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E169" w14:textId="77777777" w:rsidR="00527F95" w:rsidRPr="003F4CE1" w:rsidRDefault="00527F95" w:rsidP="4ACA25C4">
      <w:pPr>
        <w:pStyle w:val="MainTitle"/>
        <w:ind w:left="1440" w:firstLine="720"/>
      </w:pPr>
    </w:p>
    <w:p w14:paraId="4E1D2C1E" w14:textId="57429F52" w:rsidR="00845F62" w:rsidRPr="003F4CE1" w:rsidRDefault="005B0800" w:rsidP="4ACA25C4">
      <w:pPr>
        <w:pStyle w:val="MainTitle"/>
        <w:ind w:left="1440" w:firstLine="720"/>
      </w:pPr>
      <w:r w:rsidRPr="003F4CE1">
        <w:t>People</w:t>
      </w:r>
      <w:r w:rsidR="00573BA7">
        <w:t xml:space="preserve"> </w:t>
      </w:r>
      <w:r w:rsidRPr="003F4CE1">
        <w:t>with</w:t>
      </w:r>
      <w:r w:rsidR="00573BA7">
        <w:t xml:space="preserve"> </w:t>
      </w:r>
      <w:r w:rsidRPr="003F4CE1">
        <w:t>Disability</w:t>
      </w:r>
      <w:r w:rsidR="00573BA7">
        <w:t xml:space="preserve"> </w:t>
      </w:r>
      <w:r w:rsidR="00413E44">
        <w:t>and</w:t>
      </w:r>
      <w:r w:rsidR="00573BA7">
        <w:t xml:space="preserve"> </w:t>
      </w:r>
      <w:r w:rsidR="005872B7">
        <w:t>E</w:t>
      </w:r>
      <w:r w:rsidR="00413E44">
        <w:t>mployment</w:t>
      </w:r>
    </w:p>
    <w:p w14:paraId="66508C47" w14:textId="0D2CB9DA" w:rsidR="00845F62" w:rsidRPr="003F4CE1" w:rsidRDefault="00C86324" w:rsidP="004A351F">
      <w:pPr>
        <w:pStyle w:val="Date"/>
        <w:rPr>
          <w:color w:val="2E74B5" w:themeColor="accent1" w:themeShade="BF"/>
          <w:sz w:val="28"/>
        </w:rPr>
      </w:pPr>
      <w:bookmarkStart w:id="0" w:name="_Toc525894097"/>
      <w:r w:rsidRPr="003F4CE1">
        <w:rPr>
          <w:color w:val="2E74B5" w:themeColor="accent1" w:themeShade="BF"/>
          <w:sz w:val="28"/>
        </w:rPr>
        <w:t>Submission</w:t>
      </w:r>
      <w:r w:rsidR="00573BA7">
        <w:rPr>
          <w:color w:val="2E74B5" w:themeColor="accent1" w:themeShade="BF"/>
          <w:sz w:val="28"/>
        </w:rPr>
        <w:t xml:space="preserve"> </w:t>
      </w:r>
      <w:r w:rsidRPr="003F4CE1">
        <w:rPr>
          <w:color w:val="2E74B5" w:themeColor="accent1" w:themeShade="BF"/>
          <w:sz w:val="28"/>
        </w:rPr>
        <w:t>to</w:t>
      </w:r>
      <w:r w:rsidR="00573BA7">
        <w:rPr>
          <w:color w:val="2E74B5" w:themeColor="accent1" w:themeShade="BF"/>
          <w:sz w:val="28"/>
        </w:rPr>
        <w:t xml:space="preserve"> </w:t>
      </w:r>
      <w:r w:rsidRPr="003F4CE1">
        <w:rPr>
          <w:color w:val="2E74B5" w:themeColor="accent1" w:themeShade="BF"/>
          <w:sz w:val="28"/>
        </w:rPr>
        <w:t>the</w:t>
      </w:r>
      <w:bookmarkEnd w:id="0"/>
      <w:r w:rsidR="00573BA7">
        <w:rPr>
          <w:color w:val="2E74B5" w:themeColor="accent1" w:themeShade="BF"/>
          <w:sz w:val="28"/>
        </w:rPr>
        <w:t xml:space="preserve"> </w:t>
      </w:r>
      <w:r w:rsidR="00845F62" w:rsidRPr="003F4CE1">
        <w:rPr>
          <w:color w:val="2E74B5" w:themeColor="accent1" w:themeShade="BF"/>
          <w:sz w:val="28"/>
        </w:rPr>
        <w:t>Royal</w:t>
      </w:r>
      <w:r w:rsidR="00573BA7">
        <w:rPr>
          <w:color w:val="2E74B5" w:themeColor="accent1" w:themeShade="BF"/>
          <w:sz w:val="28"/>
        </w:rPr>
        <w:t xml:space="preserve"> </w:t>
      </w:r>
      <w:r w:rsidR="00845F62" w:rsidRPr="003F4CE1">
        <w:rPr>
          <w:color w:val="2E74B5" w:themeColor="accent1" w:themeShade="BF"/>
          <w:sz w:val="28"/>
        </w:rPr>
        <w:t>Commission</w:t>
      </w:r>
      <w:r w:rsidR="00573BA7">
        <w:rPr>
          <w:color w:val="2E74B5" w:themeColor="accent1" w:themeShade="BF"/>
          <w:sz w:val="28"/>
        </w:rPr>
        <w:t xml:space="preserve"> </w:t>
      </w:r>
      <w:r w:rsidR="00845F62" w:rsidRPr="003F4CE1">
        <w:rPr>
          <w:color w:val="2E74B5" w:themeColor="accent1" w:themeShade="BF"/>
          <w:sz w:val="28"/>
        </w:rPr>
        <w:t>into</w:t>
      </w:r>
      <w:r w:rsidR="00573BA7">
        <w:rPr>
          <w:color w:val="2E74B5" w:themeColor="accent1" w:themeShade="BF"/>
          <w:sz w:val="28"/>
        </w:rPr>
        <w:t xml:space="preserve"> </w:t>
      </w:r>
      <w:r w:rsidR="00845F62" w:rsidRPr="003F4CE1">
        <w:rPr>
          <w:color w:val="2E74B5" w:themeColor="accent1" w:themeShade="BF"/>
          <w:sz w:val="28"/>
        </w:rPr>
        <w:t>Violence,</w:t>
      </w:r>
      <w:r w:rsidR="00573BA7">
        <w:rPr>
          <w:color w:val="2E74B5" w:themeColor="accent1" w:themeShade="BF"/>
          <w:sz w:val="28"/>
        </w:rPr>
        <w:t xml:space="preserve"> </w:t>
      </w:r>
      <w:r w:rsidR="00845F62" w:rsidRPr="003F4CE1">
        <w:rPr>
          <w:color w:val="2E74B5" w:themeColor="accent1" w:themeShade="BF"/>
          <w:sz w:val="28"/>
        </w:rPr>
        <w:t>Abuse,</w:t>
      </w:r>
      <w:r w:rsidR="00573BA7">
        <w:rPr>
          <w:color w:val="2E74B5" w:themeColor="accent1" w:themeShade="BF"/>
          <w:sz w:val="28"/>
        </w:rPr>
        <w:t xml:space="preserve"> </w:t>
      </w:r>
      <w:r w:rsidR="00845F62" w:rsidRPr="003F4CE1">
        <w:rPr>
          <w:color w:val="2E74B5" w:themeColor="accent1" w:themeShade="BF"/>
          <w:sz w:val="28"/>
        </w:rPr>
        <w:t>Neglect</w:t>
      </w:r>
    </w:p>
    <w:p w14:paraId="7C005278" w14:textId="57BEA928" w:rsidR="00817C73" w:rsidRPr="003F4CE1" w:rsidRDefault="00573BA7" w:rsidP="004A351F">
      <w:pPr>
        <w:pStyle w:val="Date"/>
        <w:rPr>
          <w:color w:val="2E74B5" w:themeColor="accent1" w:themeShade="BF"/>
          <w:sz w:val="28"/>
        </w:rPr>
      </w:pPr>
      <w:r>
        <w:rPr>
          <w:color w:val="2E74B5" w:themeColor="accent1" w:themeShade="BF"/>
          <w:sz w:val="28"/>
        </w:rPr>
        <w:t xml:space="preserve"> </w:t>
      </w:r>
      <w:r w:rsidR="00845F62" w:rsidRPr="003F4CE1">
        <w:rPr>
          <w:color w:val="2E74B5" w:themeColor="accent1" w:themeShade="BF"/>
          <w:sz w:val="28"/>
        </w:rPr>
        <w:t>and</w:t>
      </w:r>
      <w:r>
        <w:rPr>
          <w:color w:val="2E74B5" w:themeColor="accent1" w:themeShade="BF"/>
          <w:sz w:val="28"/>
        </w:rPr>
        <w:t xml:space="preserve"> </w:t>
      </w:r>
      <w:r w:rsidR="00845F62" w:rsidRPr="003F4CE1">
        <w:rPr>
          <w:color w:val="2E74B5" w:themeColor="accent1" w:themeShade="BF"/>
          <w:sz w:val="28"/>
        </w:rPr>
        <w:t>Exploitation</w:t>
      </w:r>
      <w:r>
        <w:rPr>
          <w:color w:val="2E74B5" w:themeColor="accent1" w:themeShade="BF"/>
          <w:sz w:val="28"/>
        </w:rPr>
        <w:t xml:space="preserve"> </w:t>
      </w:r>
      <w:r w:rsidR="00845F62" w:rsidRPr="003F4CE1">
        <w:rPr>
          <w:color w:val="2E74B5" w:themeColor="accent1" w:themeShade="BF"/>
          <w:sz w:val="28"/>
        </w:rPr>
        <w:t>of</w:t>
      </w:r>
      <w:r>
        <w:rPr>
          <w:color w:val="2E74B5" w:themeColor="accent1" w:themeShade="BF"/>
          <w:sz w:val="28"/>
        </w:rPr>
        <w:t xml:space="preserve"> </w:t>
      </w:r>
      <w:r w:rsidR="00845F62" w:rsidRPr="003F4CE1">
        <w:rPr>
          <w:color w:val="2E74B5" w:themeColor="accent1" w:themeShade="BF"/>
          <w:sz w:val="28"/>
        </w:rPr>
        <w:t>People</w:t>
      </w:r>
      <w:r>
        <w:rPr>
          <w:color w:val="2E74B5" w:themeColor="accent1" w:themeShade="BF"/>
          <w:sz w:val="28"/>
        </w:rPr>
        <w:t xml:space="preserve"> </w:t>
      </w:r>
      <w:r w:rsidR="00845F62" w:rsidRPr="003F4CE1">
        <w:rPr>
          <w:color w:val="2E74B5" w:themeColor="accent1" w:themeShade="BF"/>
          <w:sz w:val="28"/>
        </w:rPr>
        <w:t>with</w:t>
      </w:r>
      <w:r>
        <w:rPr>
          <w:color w:val="2E74B5" w:themeColor="accent1" w:themeShade="BF"/>
          <w:sz w:val="28"/>
        </w:rPr>
        <w:t xml:space="preserve"> </w:t>
      </w:r>
      <w:r w:rsidR="00845F62" w:rsidRPr="003F4CE1">
        <w:rPr>
          <w:color w:val="2E74B5" w:themeColor="accent1" w:themeShade="BF"/>
          <w:sz w:val="28"/>
        </w:rPr>
        <w:t>Disability</w:t>
      </w:r>
    </w:p>
    <w:p w14:paraId="6639BF2C" w14:textId="77777777" w:rsidR="006A5D47" w:rsidRDefault="006A5D47" w:rsidP="00F220A5">
      <w:pPr>
        <w:pStyle w:val="Date"/>
        <w:rPr>
          <w:b/>
          <w:bCs/>
        </w:rPr>
      </w:pPr>
    </w:p>
    <w:p w14:paraId="565EEA82" w14:textId="21FC2E50" w:rsidR="00AC636D" w:rsidRPr="003F4CE1" w:rsidRDefault="00067FEF" w:rsidP="00067FEF">
      <w:pPr>
        <w:ind w:left="5760" w:firstLine="720"/>
      </w:pPr>
      <w:r>
        <w:rPr>
          <w:b/>
          <w:bCs/>
        </w:rPr>
        <w:t>24 September 2020</w:t>
      </w:r>
    </w:p>
    <w:p w14:paraId="12576D2C" w14:textId="77777777" w:rsidR="009E4BD0" w:rsidRPr="003F4CE1" w:rsidRDefault="009E4BD0" w:rsidP="000E4837">
      <w:pPr>
        <w:pStyle w:val="Subtitle"/>
        <w:sectPr w:rsidR="009E4BD0" w:rsidRPr="003F4CE1"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33F5A868" w14:textId="02E679D9" w:rsidR="00B33D23" w:rsidRDefault="000E4837">
      <w:pPr>
        <w:pStyle w:val="TOC1"/>
        <w:rPr>
          <w:rFonts w:asciiTheme="minorHAnsi" w:eastAsiaTheme="minorEastAsia" w:hAnsiTheme="minorHAnsi" w:cstheme="minorBidi"/>
          <w:b w:val="0"/>
          <w:sz w:val="22"/>
          <w:szCs w:val="22"/>
          <w:lang w:val="en-US" w:eastAsia="en-US"/>
        </w:rPr>
      </w:pPr>
      <w:r w:rsidRPr="003F4CE1">
        <w:lastRenderedPageBreak/>
        <w:fldChar w:fldCharType="begin"/>
      </w:r>
      <w:r w:rsidRPr="003F4CE1">
        <w:rPr>
          <w:b w:val="0"/>
        </w:rPr>
        <w:instrText xml:space="preserve"> TOC \o "1-3" \h \z \u </w:instrText>
      </w:r>
      <w:r w:rsidRPr="003F4CE1">
        <w:fldChar w:fldCharType="separate"/>
      </w:r>
      <w:hyperlink w:anchor="_Toc51834263" w:history="1">
        <w:r w:rsidR="00B33D23" w:rsidRPr="000750A2">
          <w:rPr>
            <w:rStyle w:val="Hyperlink"/>
          </w:rPr>
          <w:t>1</w:t>
        </w:r>
        <w:r w:rsidR="00B33D23">
          <w:rPr>
            <w:rFonts w:asciiTheme="minorHAnsi" w:eastAsiaTheme="minorEastAsia" w:hAnsiTheme="minorHAnsi" w:cstheme="minorBidi"/>
            <w:b w:val="0"/>
            <w:sz w:val="22"/>
            <w:szCs w:val="22"/>
            <w:lang w:val="en-US" w:eastAsia="en-US"/>
          </w:rPr>
          <w:tab/>
        </w:r>
        <w:r w:rsidR="00B33D23" w:rsidRPr="000750A2">
          <w:rPr>
            <w:rStyle w:val="Hyperlink"/>
          </w:rPr>
          <w:t>Introduction</w:t>
        </w:r>
        <w:r w:rsidR="00B33D23">
          <w:rPr>
            <w:webHidden/>
          </w:rPr>
          <w:tab/>
        </w:r>
        <w:r w:rsidR="00B33D23">
          <w:rPr>
            <w:webHidden/>
          </w:rPr>
          <w:fldChar w:fldCharType="begin"/>
        </w:r>
        <w:r w:rsidR="00B33D23">
          <w:rPr>
            <w:webHidden/>
          </w:rPr>
          <w:instrText xml:space="preserve"> PAGEREF _Toc51834263 \h </w:instrText>
        </w:r>
        <w:r w:rsidR="00B33D23">
          <w:rPr>
            <w:webHidden/>
          </w:rPr>
        </w:r>
        <w:r w:rsidR="00B33D23">
          <w:rPr>
            <w:webHidden/>
          </w:rPr>
          <w:fldChar w:fldCharType="separate"/>
        </w:r>
        <w:r w:rsidR="003944D6">
          <w:rPr>
            <w:webHidden/>
          </w:rPr>
          <w:t>4</w:t>
        </w:r>
        <w:r w:rsidR="00B33D23">
          <w:rPr>
            <w:webHidden/>
          </w:rPr>
          <w:fldChar w:fldCharType="end"/>
        </w:r>
      </w:hyperlink>
    </w:p>
    <w:p w14:paraId="724A64BC" w14:textId="2E556B79" w:rsidR="00B33D23" w:rsidRDefault="00B0600E">
      <w:pPr>
        <w:pStyle w:val="TOC1"/>
        <w:rPr>
          <w:rFonts w:asciiTheme="minorHAnsi" w:eastAsiaTheme="minorEastAsia" w:hAnsiTheme="minorHAnsi" w:cstheme="minorBidi"/>
          <w:b w:val="0"/>
          <w:sz w:val="22"/>
          <w:szCs w:val="22"/>
          <w:lang w:val="en-US" w:eastAsia="en-US"/>
        </w:rPr>
      </w:pPr>
      <w:hyperlink w:anchor="_Toc51834264" w:history="1">
        <w:r w:rsidR="00B33D23" w:rsidRPr="000750A2">
          <w:rPr>
            <w:rStyle w:val="Hyperlink"/>
          </w:rPr>
          <w:t>2</w:t>
        </w:r>
        <w:r w:rsidR="00B33D23">
          <w:rPr>
            <w:rFonts w:asciiTheme="minorHAnsi" w:eastAsiaTheme="minorEastAsia" w:hAnsiTheme="minorHAnsi" w:cstheme="minorBidi"/>
            <w:b w:val="0"/>
            <w:sz w:val="22"/>
            <w:szCs w:val="22"/>
            <w:lang w:val="en-US" w:eastAsia="en-US"/>
          </w:rPr>
          <w:tab/>
        </w:r>
        <w:r w:rsidR="00B33D23" w:rsidRPr="000750A2">
          <w:rPr>
            <w:rStyle w:val="Hyperlink"/>
          </w:rPr>
          <w:t>Summary of recommendations</w:t>
        </w:r>
        <w:r w:rsidR="00B33D23">
          <w:rPr>
            <w:webHidden/>
          </w:rPr>
          <w:tab/>
        </w:r>
        <w:r w:rsidR="00B33D23">
          <w:rPr>
            <w:webHidden/>
          </w:rPr>
          <w:fldChar w:fldCharType="begin"/>
        </w:r>
        <w:r w:rsidR="00B33D23">
          <w:rPr>
            <w:webHidden/>
          </w:rPr>
          <w:instrText xml:space="preserve"> PAGEREF _Toc51834264 \h </w:instrText>
        </w:r>
        <w:r w:rsidR="00B33D23">
          <w:rPr>
            <w:webHidden/>
          </w:rPr>
        </w:r>
        <w:r w:rsidR="00B33D23">
          <w:rPr>
            <w:webHidden/>
          </w:rPr>
          <w:fldChar w:fldCharType="separate"/>
        </w:r>
        <w:r w:rsidR="003944D6">
          <w:rPr>
            <w:webHidden/>
          </w:rPr>
          <w:t>7</w:t>
        </w:r>
        <w:r w:rsidR="00B33D23">
          <w:rPr>
            <w:webHidden/>
          </w:rPr>
          <w:fldChar w:fldCharType="end"/>
        </w:r>
      </w:hyperlink>
    </w:p>
    <w:p w14:paraId="2B078106" w14:textId="537CA444" w:rsidR="00B33D23" w:rsidRDefault="00B0600E">
      <w:pPr>
        <w:pStyle w:val="TOC1"/>
        <w:rPr>
          <w:rFonts w:asciiTheme="minorHAnsi" w:eastAsiaTheme="minorEastAsia" w:hAnsiTheme="minorHAnsi" w:cstheme="minorBidi"/>
          <w:b w:val="0"/>
          <w:sz w:val="22"/>
          <w:szCs w:val="22"/>
          <w:lang w:val="en-US" w:eastAsia="en-US"/>
        </w:rPr>
      </w:pPr>
      <w:hyperlink w:anchor="_Toc51834265" w:history="1">
        <w:r w:rsidR="00B33D23" w:rsidRPr="000750A2">
          <w:rPr>
            <w:rStyle w:val="Hyperlink"/>
          </w:rPr>
          <w:t>3</w:t>
        </w:r>
        <w:r w:rsidR="00B33D23">
          <w:rPr>
            <w:rFonts w:asciiTheme="minorHAnsi" w:eastAsiaTheme="minorEastAsia" w:hAnsiTheme="minorHAnsi" w:cstheme="minorBidi"/>
            <w:b w:val="0"/>
            <w:sz w:val="22"/>
            <w:szCs w:val="22"/>
            <w:lang w:val="en-US" w:eastAsia="en-US"/>
          </w:rPr>
          <w:tab/>
        </w:r>
        <w:r w:rsidR="00B33D23" w:rsidRPr="000750A2">
          <w:rPr>
            <w:rStyle w:val="Hyperlink"/>
          </w:rPr>
          <w:t>International and domestic human rights framework</w:t>
        </w:r>
        <w:r w:rsidR="00B33D23">
          <w:rPr>
            <w:webHidden/>
          </w:rPr>
          <w:tab/>
        </w:r>
        <w:r w:rsidR="00B33D23">
          <w:rPr>
            <w:webHidden/>
          </w:rPr>
          <w:fldChar w:fldCharType="begin"/>
        </w:r>
        <w:r w:rsidR="00B33D23">
          <w:rPr>
            <w:webHidden/>
          </w:rPr>
          <w:instrText xml:space="preserve"> PAGEREF _Toc51834265 \h </w:instrText>
        </w:r>
        <w:r w:rsidR="00B33D23">
          <w:rPr>
            <w:webHidden/>
          </w:rPr>
        </w:r>
        <w:r w:rsidR="00B33D23">
          <w:rPr>
            <w:webHidden/>
          </w:rPr>
          <w:fldChar w:fldCharType="separate"/>
        </w:r>
        <w:r w:rsidR="003944D6">
          <w:rPr>
            <w:webHidden/>
          </w:rPr>
          <w:t>10</w:t>
        </w:r>
        <w:r w:rsidR="00B33D23">
          <w:rPr>
            <w:webHidden/>
          </w:rPr>
          <w:fldChar w:fldCharType="end"/>
        </w:r>
      </w:hyperlink>
    </w:p>
    <w:p w14:paraId="59ED9F6A" w14:textId="4C09CAE0" w:rsidR="00B33D23" w:rsidRDefault="00B0600E">
      <w:pPr>
        <w:pStyle w:val="TOC2"/>
        <w:rPr>
          <w:rFonts w:asciiTheme="minorHAnsi" w:eastAsiaTheme="minorEastAsia" w:hAnsiTheme="minorHAnsi" w:cstheme="minorBidi"/>
          <w:b w:val="0"/>
          <w:i w:val="0"/>
          <w:sz w:val="22"/>
          <w:szCs w:val="22"/>
          <w:lang w:val="en-US" w:eastAsia="en-US"/>
        </w:rPr>
      </w:pPr>
      <w:hyperlink w:anchor="_Toc51834266" w:history="1">
        <w:r w:rsidR="00B33D23" w:rsidRPr="000750A2">
          <w:rPr>
            <w:rStyle w:val="Hyperlink"/>
          </w:rPr>
          <w:t>3.1</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Convention of the Rights of Persons with Disabilities</w:t>
        </w:r>
        <w:r w:rsidR="00B33D23">
          <w:rPr>
            <w:webHidden/>
          </w:rPr>
          <w:tab/>
        </w:r>
        <w:r w:rsidR="00B33D23">
          <w:rPr>
            <w:webHidden/>
          </w:rPr>
          <w:fldChar w:fldCharType="begin"/>
        </w:r>
        <w:r w:rsidR="00B33D23">
          <w:rPr>
            <w:webHidden/>
          </w:rPr>
          <w:instrText xml:space="preserve"> PAGEREF _Toc51834266 \h </w:instrText>
        </w:r>
        <w:r w:rsidR="00B33D23">
          <w:rPr>
            <w:webHidden/>
          </w:rPr>
        </w:r>
        <w:r w:rsidR="00B33D23">
          <w:rPr>
            <w:webHidden/>
          </w:rPr>
          <w:fldChar w:fldCharType="separate"/>
        </w:r>
        <w:r w:rsidR="003944D6">
          <w:rPr>
            <w:webHidden/>
          </w:rPr>
          <w:t>10</w:t>
        </w:r>
        <w:r w:rsidR="00B33D23">
          <w:rPr>
            <w:webHidden/>
          </w:rPr>
          <w:fldChar w:fldCharType="end"/>
        </w:r>
      </w:hyperlink>
    </w:p>
    <w:p w14:paraId="0C09965A" w14:textId="02270E59" w:rsidR="00B33D23" w:rsidRDefault="00B0600E">
      <w:pPr>
        <w:pStyle w:val="TOC2"/>
        <w:rPr>
          <w:rFonts w:asciiTheme="minorHAnsi" w:eastAsiaTheme="minorEastAsia" w:hAnsiTheme="minorHAnsi" w:cstheme="minorBidi"/>
          <w:b w:val="0"/>
          <w:i w:val="0"/>
          <w:sz w:val="22"/>
          <w:szCs w:val="22"/>
          <w:lang w:val="en-US" w:eastAsia="en-US"/>
        </w:rPr>
      </w:pPr>
      <w:hyperlink w:anchor="_Toc51834267" w:history="1">
        <w:r w:rsidR="00B33D23" w:rsidRPr="000750A2">
          <w:rPr>
            <w:rStyle w:val="Hyperlink"/>
          </w:rPr>
          <w:t>3.2</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Other international human rights law instruments</w:t>
        </w:r>
        <w:r w:rsidR="00B33D23">
          <w:rPr>
            <w:webHidden/>
          </w:rPr>
          <w:tab/>
        </w:r>
        <w:r w:rsidR="00B33D23">
          <w:rPr>
            <w:webHidden/>
          </w:rPr>
          <w:fldChar w:fldCharType="begin"/>
        </w:r>
        <w:r w:rsidR="00B33D23">
          <w:rPr>
            <w:webHidden/>
          </w:rPr>
          <w:instrText xml:space="preserve"> PAGEREF _Toc51834267 \h </w:instrText>
        </w:r>
        <w:r w:rsidR="00B33D23">
          <w:rPr>
            <w:webHidden/>
          </w:rPr>
        </w:r>
        <w:r w:rsidR="00B33D23">
          <w:rPr>
            <w:webHidden/>
          </w:rPr>
          <w:fldChar w:fldCharType="separate"/>
        </w:r>
        <w:r w:rsidR="003944D6">
          <w:rPr>
            <w:webHidden/>
          </w:rPr>
          <w:t>11</w:t>
        </w:r>
        <w:r w:rsidR="00B33D23">
          <w:rPr>
            <w:webHidden/>
          </w:rPr>
          <w:fldChar w:fldCharType="end"/>
        </w:r>
      </w:hyperlink>
    </w:p>
    <w:p w14:paraId="66D9C34C" w14:textId="47536CC1" w:rsidR="00B33D23" w:rsidRDefault="00B0600E">
      <w:pPr>
        <w:pStyle w:val="TOC2"/>
        <w:rPr>
          <w:rFonts w:asciiTheme="minorHAnsi" w:eastAsiaTheme="minorEastAsia" w:hAnsiTheme="minorHAnsi" w:cstheme="minorBidi"/>
          <w:b w:val="0"/>
          <w:i w:val="0"/>
          <w:sz w:val="22"/>
          <w:szCs w:val="22"/>
          <w:lang w:val="en-US" w:eastAsia="en-US"/>
        </w:rPr>
      </w:pPr>
      <w:hyperlink w:anchor="_Toc51834268" w:history="1">
        <w:r w:rsidR="00B33D23" w:rsidRPr="000750A2">
          <w:rPr>
            <w:rStyle w:val="Hyperlink"/>
          </w:rPr>
          <w:t>3.3</w:t>
        </w:r>
        <w:r w:rsidR="00B33D23">
          <w:rPr>
            <w:rFonts w:asciiTheme="minorHAnsi" w:eastAsiaTheme="minorEastAsia" w:hAnsiTheme="minorHAnsi" w:cstheme="minorBidi"/>
            <w:b w:val="0"/>
            <w:i w:val="0"/>
            <w:sz w:val="22"/>
            <w:szCs w:val="22"/>
            <w:lang w:val="en-US" w:eastAsia="en-US"/>
          </w:rPr>
          <w:tab/>
        </w:r>
        <w:r w:rsidR="00B33D23" w:rsidRPr="000750A2">
          <w:rPr>
            <w:rStyle w:val="Hyperlink"/>
            <w:iCs/>
          </w:rPr>
          <w:t xml:space="preserve">Disability Discrimination Act 1992 </w:t>
        </w:r>
        <w:r w:rsidR="00B33D23" w:rsidRPr="000750A2">
          <w:rPr>
            <w:rStyle w:val="Hyperlink"/>
          </w:rPr>
          <w:t>(Cth)</w:t>
        </w:r>
        <w:r w:rsidR="00B33D23">
          <w:rPr>
            <w:webHidden/>
          </w:rPr>
          <w:tab/>
        </w:r>
        <w:r w:rsidR="00B33D23">
          <w:rPr>
            <w:webHidden/>
          </w:rPr>
          <w:fldChar w:fldCharType="begin"/>
        </w:r>
        <w:r w:rsidR="00B33D23">
          <w:rPr>
            <w:webHidden/>
          </w:rPr>
          <w:instrText xml:space="preserve"> PAGEREF _Toc51834268 \h </w:instrText>
        </w:r>
        <w:r w:rsidR="00B33D23">
          <w:rPr>
            <w:webHidden/>
          </w:rPr>
        </w:r>
        <w:r w:rsidR="00B33D23">
          <w:rPr>
            <w:webHidden/>
          </w:rPr>
          <w:fldChar w:fldCharType="separate"/>
        </w:r>
        <w:r w:rsidR="003944D6">
          <w:rPr>
            <w:webHidden/>
          </w:rPr>
          <w:t>12</w:t>
        </w:r>
        <w:r w:rsidR="00B33D23">
          <w:rPr>
            <w:webHidden/>
          </w:rPr>
          <w:fldChar w:fldCharType="end"/>
        </w:r>
      </w:hyperlink>
    </w:p>
    <w:p w14:paraId="4B263B30" w14:textId="59674D56" w:rsidR="00B33D23" w:rsidRDefault="00B0600E">
      <w:pPr>
        <w:pStyle w:val="TOC2"/>
        <w:rPr>
          <w:rFonts w:asciiTheme="minorHAnsi" w:eastAsiaTheme="minorEastAsia" w:hAnsiTheme="minorHAnsi" w:cstheme="minorBidi"/>
          <w:b w:val="0"/>
          <w:i w:val="0"/>
          <w:sz w:val="22"/>
          <w:szCs w:val="22"/>
          <w:lang w:val="en-US" w:eastAsia="en-US"/>
        </w:rPr>
      </w:pPr>
      <w:hyperlink w:anchor="_Toc51834269" w:history="1">
        <w:r w:rsidR="00B33D23" w:rsidRPr="000750A2">
          <w:rPr>
            <w:rStyle w:val="Hyperlink"/>
          </w:rPr>
          <w:t>3.4</w:t>
        </w:r>
        <w:r w:rsidR="00B33D23">
          <w:rPr>
            <w:rFonts w:asciiTheme="minorHAnsi" w:eastAsiaTheme="minorEastAsia" w:hAnsiTheme="minorHAnsi" w:cstheme="minorBidi"/>
            <w:b w:val="0"/>
            <w:i w:val="0"/>
            <w:sz w:val="22"/>
            <w:szCs w:val="22"/>
            <w:lang w:val="en-US" w:eastAsia="en-US"/>
          </w:rPr>
          <w:tab/>
        </w:r>
        <w:r w:rsidR="00B33D23" w:rsidRPr="000750A2">
          <w:rPr>
            <w:rStyle w:val="Hyperlink"/>
            <w:iCs/>
          </w:rPr>
          <w:t xml:space="preserve">Fair Work Act 2009 </w:t>
        </w:r>
        <w:r w:rsidR="00B33D23" w:rsidRPr="000750A2">
          <w:rPr>
            <w:rStyle w:val="Hyperlink"/>
          </w:rPr>
          <w:t>(Cth)</w:t>
        </w:r>
        <w:r w:rsidR="00B33D23">
          <w:rPr>
            <w:webHidden/>
          </w:rPr>
          <w:tab/>
        </w:r>
        <w:r w:rsidR="00B33D23">
          <w:rPr>
            <w:webHidden/>
          </w:rPr>
          <w:fldChar w:fldCharType="begin"/>
        </w:r>
        <w:r w:rsidR="00B33D23">
          <w:rPr>
            <w:webHidden/>
          </w:rPr>
          <w:instrText xml:space="preserve"> PAGEREF _Toc51834269 \h </w:instrText>
        </w:r>
        <w:r w:rsidR="00B33D23">
          <w:rPr>
            <w:webHidden/>
          </w:rPr>
        </w:r>
        <w:r w:rsidR="00B33D23">
          <w:rPr>
            <w:webHidden/>
          </w:rPr>
          <w:fldChar w:fldCharType="separate"/>
        </w:r>
        <w:r w:rsidR="003944D6">
          <w:rPr>
            <w:webHidden/>
          </w:rPr>
          <w:t>13</w:t>
        </w:r>
        <w:r w:rsidR="00B33D23">
          <w:rPr>
            <w:webHidden/>
          </w:rPr>
          <w:fldChar w:fldCharType="end"/>
        </w:r>
      </w:hyperlink>
    </w:p>
    <w:p w14:paraId="14B96E97" w14:textId="2EBF718D" w:rsidR="00B33D23" w:rsidRDefault="00B0600E">
      <w:pPr>
        <w:pStyle w:val="TOC3"/>
        <w:rPr>
          <w:rFonts w:asciiTheme="minorHAnsi" w:eastAsiaTheme="minorEastAsia" w:hAnsiTheme="minorHAnsi" w:cstheme="minorBidi"/>
          <w:i w:val="0"/>
          <w:sz w:val="22"/>
          <w:szCs w:val="22"/>
          <w:lang w:val="en-US" w:eastAsia="en-US"/>
        </w:rPr>
      </w:pPr>
      <w:hyperlink w:anchor="_Toc51834270" w:history="1">
        <w:r w:rsidR="00B33D23" w:rsidRPr="000750A2">
          <w:rPr>
            <w:rStyle w:val="Hyperlink"/>
            <w:b/>
            <w14:scene3d>
              <w14:camera w14:prst="orthographicFront"/>
              <w14:lightRig w14:rig="threePt" w14:dir="t">
                <w14:rot w14:lat="0" w14:lon="0" w14:rev="0"/>
              </w14:lightRig>
            </w14:scene3d>
          </w:rPr>
          <w:t>(a)</w:t>
        </w:r>
        <w:r w:rsidR="00B33D23">
          <w:rPr>
            <w:rFonts w:asciiTheme="minorHAnsi" w:eastAsiaTheme="minorEastAsia" w:hAnsiTheme="minorHAnsi" w:cstheme="minorBidi"/>
            <w:i w:val="0"/>
            <w:sz w:val="22"/>
            <w:szCs w:val="22"/>
            <w:lang w:val="en-US" w:eastAsia="en-US"/>
          </w:rPr>
          <w:tab/>
        </w:r>
        <w:r w:rsidR="00B33D23" w:rsidRPr="000750A2">
          <w:rPr>
            <w:rStyle w:val="Hyperlink"/>
            <w:b/>
          </w:rPr>
          <w:t>The general protections regime</w:t>
        </w:r>
        <w:r w:rsidR="00B33D23">
          <w:rPr>
            <w:webHidden/>
          </w:rPr>
          <w:tab/>
        </w:r>
        <w:r w:rsidR="00B33D23">
          <w:rPr>
            <w:webHidden/>
          </w:rPr>
          <w:fldChar w:fldCharType="begin"/>
        </w:r>
        <w:r w:rsidR="00B33D23">
          <w:rPr>
            <w:webHidden/>
          </w:rPr>
          <w:instrText xml:space="preserve"> PAGEREF _Toc51834270 \h </w:instrText>
        </w:r>
        <w:r w:rsidR="00B33D23">
          <w:rPr>
            <w:webHidden/>
          </w:rPr>
        </w:r>
        <w:r w:rsidR="00B33D23">
          <w:rPr>
            <w:webHidden/>
          </w:rPr>
          <w:fldChar w:fldCharType="separate"/>
        </w:r>
        <w:r w:rsidR="003944D6">
          <w:rPr>
            <w:webHidden/>
          </w:rPr>
          <w:t>13</w:t>
        </w:r>
        <w:r w:rsidR="00B33D23">
          <w:rPr>
            <w:webHidden/>
          </w:rPr>
          <w:fldChar w:fldCharType="end"/>
        </w:r>
      </w:hyperlink>
    </w:p>
    <w:p w14:paraId="28D45BA4" w14:textId="5AAE27C3" w:rsidR="00B33D23" w:rsidRDefault="00B0600E">
      <w:pPr>
        <w:pStyle w:val="TOC3"/>
        <w:rPr>
          <w:rFonts w:asciiTheme="minorHAnsi" w:eastAsiaTheme="minorEastAsia" w:hAnsiTheme="minorHAnsi" w:cstheme="minorBidi"/>
          <w:i w:val="0"/>
          <w:sz w:val="22"/>
          <w:szCs w:val="22"/>
          <w:lang w:val="en-US" w:eastAsia="en-US"/>
        </w:rPr>
      </w:pPr>
      <w:hyperlink w:anchor="_Toc51834271" w:history="1">
        <w:r w:rsidR="00B33D23" w:rsidRPr="000750A2">
          <w:rPr>
            <w:rStyle w:val="Hyperlink"/>
            <w:b/>
            <w14:scene3d>
              <w14:camera w14:prst="orthographicFront"/>
              <w14:lightRig w14:rig="threePt" w14:dir="t">
                <w14:rot w14:lat="0" w14:lon="0" w14:rev="0"/>
              </w14:lightRig>
            </w14:scene3d>
          </w:rPr>
          <w:t>(b)</w:t>
        </w:r>
        <w:r w:rsidR="00B33D23">
          <w:rPr>
            <w:rFonts w:asciiTheme="minorHAnsi" w:eastAsiaTheme="minorEastAsia" w:hAnsiTheme="minorHAnsi" w:cstheme="minorBidi"/>
            <w:i w:val="0"/>
            <w:sz w:val="22"/>
            <w:szCs w:val="22"/>
            <w:lang w:val="en-US" w:eastAsia="en-US"/>
          </w:rPr>
          <w:tab/>
        </w:r>
        <w:r w:rsidR="00B33D23" w:rsidRPr="000750A2">
          <w:rPr>
            <w:rStyle w:val="Hyperlink"/>
            <w:b/>
          </w:rPr>
          <w:t>Unfair dismissal and unlawful termination</w:t>
        </w:r>
        <w:r w:rsidR="00B33D23">
          <w:rPr>
            <w:webHidden/>
          </w:rPr>
          <w:tab/>
        </w:r>
        <w:r w:rsidR="00B33D23">
          <w:rPr>
            <w:webHidden/>
          </w:rPr>
          <w:fldChar w:fldCharType="begin"/>
        </w:r>
        <w:r w:rsidR="00B33D23">
          <w:rPr>
            <w:webHidden/>
          </w:rPr>
          <w:instrText xml:space="preserve"> PAGEREF _Toc51834271 \h </w:instrText>
        </w:r>
        <w:r w:rsidR="00B33D23">
          <w:rPr>
            <w:webHidden/>
          </w:rPr>
        </w:r>
        <w:r w:rsidR="00B33D23">
          <w:rPr>
            <w:webHidden/>
          </w:rPr>
          <w:fldChar w:fldCharType="separate"/>
        </w:r>
        <w:r w:rsidR="003944D6">
          <w:rPr>
            <w:webHidden/>
          </w:rPr>
          <w:t>14</w:t>
        </w:r>
        <w:r w:rsidR="00B33D23">
          <w:rPr>
            <w:webHidden/>
          </w:rPr>
          <w:fldChar w:fldCharType="end"/>
        </w:r>
      </w:hyperlink>
    </w:p>
    <w:p w14:paraId="75CC72AC" w14:textId="15D9E267" w:rsidR="00B33D23" w:rsidRDefault="00B0600E">
      <w:pPr>
        <w:pStyle w:val="TOC3"/>
        <w:rPr>
          <w:rFonts w:asciiTheme="minorHAnsi" w:eastAsiaTheme="minorEastAsia" w:hAnsiTheme="minorHAnsi" w:cstheme="minorBidi"/>
          <w:i w:val="0"/>
          <w:sz w:val="22"/>
          <w:szCs w:val="22"/>
          <w:lang w:val="en-US" w:eastAsia="en-US"/>
        </w:rPr>
      </w:pPr>
      <w:hyperlink w:anchor="_Toc51834272" w:history="1">
        <w:r w:rsidR="00B33D23" w:rsidRPr="000750A2">
          <w:rPr>
            <w:rStyle w:val="Hyperlink"/>
            <w:b/>
            <w14:scene3d>
              <w14:camera w14:prst="orthographicFront"/>
              <w14:lightRig w14:rig="threePt" w14:dir="t">
                <w14:rot w14:lat="0" w14:lon="0" w14:rev="0"/>
              </w14:lightRig>
            </w14:scene3d>
          </w:rPr>
          <w:t>(c)</w:t>
        </w:r>
        <w:r w:rsidR="00B33D23">
          <w:rPr>
            <w:rFonts w:asciiTheme="minorHAnsi" w:eastAsiaTheme="minorEastAsia" w:hAnsiTheme="minorHAnsi" w:cstheme="minorBidi"/>
            <w:i w:val="0"/>
            <w:sz w:val="22"/>
            <w:szCs w:val="22"/>
            <w:lang w:val="en-US" w:eastAsia="en-US"/>
          </w:rPr>
          <w:tab/>
        </w:r>
        <w:r w:rsidR="00B33D23" w:rsidRPr="000750A2">
          <w:rPr>
            <w:rStyle w:val="Hyperlink"/>
            <w:b/>
          </w:rPr>
          <w:t>Fair and equal pay</w:t>
        </w:r>
        <w:r w:rsidR="00B33D23">
          <w:rPr>
            <w:webHidden/>
          </w:rPr>
          <w:tab/>
        </w:r>
        <w:r w:rsidR="00B33D23">
          <w:rPr>
            <w:webHidden/>
          </w:rPr>
          <w:fldChar w:fldCharType="begin"/>
        </w:r>
        <w:r w:rsidR="00B33D23">
          <w:rPr>
            <w:webHidden/>
          </w:rPr>
          <w:instrText xml:space="preserve"> PAGEREF _Toc51834272 \h </w:instrText>
        </w:r>
        <w:r w:rsidR="00B33D23">
          <w:rPr>
            <w:webHidden/>
          </w:rPr>
        </w:r>
        <w:r w:rsidR="00B33D23">
          <w:rPr>
            <w:webHidden/>
          </w:rPr>
          <w:fldChar w:fldCharType="separate"/>
        </w:r>
        <w:r w:rsidR="003944D6">
          <w:rPr>
            <w:webHidden/>
          </w:rPr>
          <w:t>14</w:t>
        </w:r>
        <w:r w:rsidR="00B33D23">
          <w:rPr>
            <w:webHidden/>
          </w:rPr>
          <w:fldChar w:fldCharType="end"/>
        </w:r>
      </w:hyperlink>
    </w:p>
    <w:p w14:paraId="3F58375B" w14:textId="4517BB14" w:rsidR="00B33D23" w:rsidRDefault="00B0600E">
      <w:pPr>
        <w:pStyle w:val="TOC2"/>
        <w:rPr>
          <w:rFonts w:asciiTheme="minorHAnsi" w:eastAsiaTheme="minorEastAsia" w:hAnsiTheme="minorHAnsi" w:cstheme="minorBidi"/>
          <w:b w:val="0"/>
          <w:i w:val="0"/>
          <w:sz w:val="22"/>
          <w:szCs w:val="22"/>
          <w:lang w:val="en-US" w:eastAsia="en-US"/>
        </w:rPr>
      </w:pPr>
      <w:hyperlink w:anchor="_Toc51834273" w:history="1">
        <w:r w:rsidR="00B33D23" w:rsidRPr="000750A2">
          <w:rPr>
            <w:rStyle w:val="Hyperlink"/>
          </w:rPr>
          <w:t>3.5</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National Disability Strategy</w:t>
        </w:r>
        <w:r w:rsidR="00B33D23">
          <w:rPr>
            <w:webHidden/>
          </w:rPr>
          <w:tab/>
        </w:r>
        <w:r w:rsidR="00B33D23">
          <w:rPr>
            <w:webHidden/>
          </w:rPr>
          <w:fldChar w:fldCharType="begin"/>
        </w:r>
        <w:r w:rsidR="00B33D23">
          <w:rPr>
            <w:webHidden/>
          </w:rPr>
          <w:instrText xml:space="preserve"> PAGEREF _Toc51834273 \h </w:instrText>
        </w:r>
        <w:r w:rsidR="00B33D23">
          <w:rPr>
            <w:webHidden/>
          </w:rPr>
        </w:r>
        <w:r w:rsidR="00B33D23">
          <w:rPr>
            <w:webHidden/>
          </w:rPr>
          <w:fldChar w:fldCharType="separate"/>
        </w:r>
        <w:r w:rsidR="003944D6">
          <w:rPr>
            <w:webHidden/>
          </w:rPr>
          <w:t>15</w:t>
        </w:r>
        <w:r w:rsidR="00B33D23">
          <w:rPr>
            <w:webHidden/>
          </w:rPr>
          <w:fldChar w:fldCharType="end"/>
        </w:r>
      </w:hyperlink>
    </w:p>
    <w:p w14:paraId="3650761A" w14:textId="11274319" w:rsidR="00B33D23" w:rsidRDefault="00B0600E">
      <w:pPr>
        <w:pStyle w:val="TOC1"/>
        <w:rPr>
          <w:rFonts w:asciiTheme="minorHAnsi" w:eastAsiaTheme="minorEastAsia" w:hAnsiTheme="minorHAnsi" w:cstheme="minorBidi"/>
          <w:b w:val="0"/>
          <w:sz w:val="22"/>
          <w:szCs w:val="22"/>
          <w:lang w:val="en-US" w:eastAsia="en-US"/>
        </w:rPr>
      </w:pPr>
      <w:hyperlink w:anchor="_Toc51834274" w:history="1">
        <w:r w:rsidR="00B33D23" w:rsidRPr="000750A2">
          <w:rPr>
            <w:rStyle w:val="Hyperlink"/>
          </w:rPr>
          <w:t>4</w:t>
        </w:r>
        <w:r w:rsidR="00B33D23">
          <w:rPr>
            <w:rFonts w:asciiTheme="minorHAnsi" w:eastAsiaTheme="minorEastAsia" w:hAnsiTheme="minorHAnsi" w:cstheme="minorBidi"/>
            <w:b w:val="0"/>
            <w:sz w:val="22"/>
            <w:szCs w:val="22"/>
            <w:lang w:val="en-US" w:eastAsia="en-US"/>
          </w:rPr>
          <w:tab/>
        </w:r>
        <w:r w:rsidR="00B33D23" w:rsidRPr="000750A2">
          <w:rPr>
            <w:rStyle w:val="Hyperlink"/>
          </w:rPr>
          <w:t>Australia’s human rights obligations to people with disability in employment</w:t>
        </w:r>
        <w:r w:rsidR="00B33D23">
          <w:rPr>
            <w:webHidden/>
          </w:rPr>
          <w:tab/>
        </w:r>
        <w:r w:rsidR="00B33D23">
          <w:rPr>
            <w:webHidden/>
          </w:rPr>
          <w:fldChar w:fldCharType="begin"/>
        </w:r>
        <w:r w:rsidR="00B33D23">
          <w:rPr>
            <w:webHidden/>
          </w:rPr>
          <w:instrText xml:space="preserve"> PAGEREF _Toc51834274 \h </w:instrText>
        </w:r>
        <w:r w:rsidR="00B33D23">
          <w:rPr>
            <w:webHidden/>
          </w:rPr>
        </w:r>
        <w:r w:rsidR="00B33D23">
          <w:rPr>
            <w:webHidden/>
          </w:rPr>
          <w:fldChar w:fldCharType="separate"/>
        </w:r>
        <w:r w:rsidR="003944D6">
          <w:rPr>
            <w:webHidden/>
          </w:rPr>
          <w:t>15</w:t>
        </w:r>
        <w:r w:rsidR="00B33D23">
          <w:rPr>
            <w:webHidden/>
          </w:rPr>
          <w:fldChar w:fldCharType="end"/>
        </w:r>
      </w:hyperlink>
    </w:p>
    <w:p w14:paraId="47CF8755" w14:textId="55B37DB1" w:rsidR="00B33D23" w:rsidRDefault="00B0600E">
      <w:pPr>
        <w:pStyle w:val="TOC2"/>
        <w:rPr>
          <w:rFonts w:asciiTheme="minorHAnsi" w:eastAsiaTheme="minorEastAsia" w:hAnsiTheme="minorHAnsi" w:cstheme="minorBidi"/>
          <w:b w:val="0"/>
          <w:i w:val="0"/>
          <w:sz w:val="22"/>
          <w:szCs w:val="22"/>
          <w:lang w:val="en-US" w:eastAsia="en-US"/>
        </w:rPr>
      </w:pPr>
      <w:hyperlink w:anchor="_Toc51834275" w:history="1">
        <w:r w:rsidR="00B33D23" w:rsidRPr="000750A2">
          <w:rPr>
            <w:rStyle w:val="Hyperlink"/>
          </w:rPr>
          <w:t>4.1</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The right to work on an equal basis with others</w:t>
        </w:r>
        <w:r w:rsidR="00B33D23">
          <w:rPr>
            <w:webHidden/>
          </w:rPr>
          <w:tab/>
        </w:r>
        <w:r w:rsidR="00B33D23">
          <w:rPr>
            <w:webHidden/>
          </w:rPr>
          <w:fldChar w:fldCharType="begin"/>
        </w:r>
        <w:r w:rsidR="00B33D23">
          <w:rPr>
            <w:webHidden/>
          </w:rPr>
          <w:instrText xml:space="preserve"> PAGEREF _Toc51834275 \h </w:instrText>
        </w:r>
        <w:r w:rsidR="00B33D23">
          <w:rPr>
            <w:webHidden/>
          </w:rPr>
        </w:r>
        <w:r w:rsidR="00B33D23">
          <w:rPr>
            <w:webHidden/>
          </w:rPr>
          <w:fldChar w:fldCharType="separate"/>
        </w:r>
        <w:r w:rsidR="003944D6">
          <w:rPr>
            <w:webHidden/>
          </w:rPr>
          <w:t>17</w:t>
        </w:r>
        <w:r w:rsidR="00B33D23">
          <w:rPr>
            <w:webHidden/>
          </w:rPr>
          <w:fldChar w:fldCharType="end"/>
        </w:r>
      </w:hyperlink>
    </w:p>
    <w:p w14:paraId="7F879115" w14:textId="6499306D" w:rsidR="00B33D23" w:rsidRDefault="00B0600E">
      <w:pPr>
        <w:pStyle w:val="TOC2"/>
        <w:rPr>
          <w:rFonts w:asciiTheme="minorHAnsi" w:eastAsiaTheme="minorEastAsia" w:hAnsiTheme="minorHAnsi" w:cstheme="minorBidi"/>
          <w:b w:val="0"/>
          <w:i w:val="0"/>
          <w:sz w:val="22"/>
          <w:szCs w:val="22"/>
          <w:lang w:val="en-US" w:eastAsia="en-US"/>
        </w:rPr>
      </w:pPr>
      <w:hyperlink w:anchor="_Toc51834276" w:history="1">
        <w:r w:rsidR="00B33D23" w:rsidRPr="000750A2">
          <w:rPr>
            <w:rStyle w:val="Hyperlink"/>
          </w:rPr>
          <w:t>4.2</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Rights relating to accessibility, inclusion and independence</w:t>
        </w:r>
        <w:r w:rsidR="00B33D23">
          <w:rPr>
            <w:webHidden/>
          </w:rPr>
          <w:tab/>
        </w:r>
        <w:r w:rsidR="00B33D23">
          <w:rPr>
            <w:webHidden/>
          </w:rPr>
          <w:fldChar w:fldCharType="begin"/>
        </w:r>
        <w:r w:rsidR="00B33D23">
          <w:rPr>
            <w:webHidden/>
          </w:rPr>
          <w:instrText xml:space="preserve"> PAGEREF _Toc51834276 \h </w:instrText>
        </w:r>
        <w:r w:rsidR="00B33D23">
          <w:rPr>
            <w:webHidden/>
          </w:rPr>
        </w:r>
        <w:r w:rsidR="00B33D23">
          <w:rPr>
            <w:webHidden/>
          </w:rPr>
          <w:fldChar w:fldCharType="separate"/>
        </w:r>
        <w:r w:rsidR="003944D6">
          <w:rPr>
            <w:webHidden/>
          </w:rPr>
          <w:t>20</w:t>
        </w:r>
        <w:r w:rsidR="00B33D23">
          <w:rPr>
            <w:webHidden/>
          </w:rPr>
          <w:fldChar w:fldCharType="end"/>
        </w:r>
      </w:hyperlink>
    </w:p>
    <w:p w14:paraId="0ED5BE3B" w14:textId="2E6B3D3B" w:rsidR="00B33D23" w:rsidRDefault="00B0600E">
      <w:pPr>
        <w:pStyle w:val="TOC2"/>
        <w:rPr>
          <w:rFonts w:asciiTheme="minorHAnsi" w:eastAsiaTheme="minorEastAsia" w:hAnsiTheme="minorHAnsi" w:cstheme="minorBidi"/>
          <w:b w:val="0"/>
          <w:i w:val="0"/>
          <w:sz w:val="22"/>
          <w:szCs w:val="22"/>
          <w:lang w:val="en-US" w:eastAsia="en-US"/>
        </w:rPr>
      </w:pPr>
      <w:hyperlink w:anchor="_Toc51834277" w:history="1">
        <w:r w:rsidR="00B33D23" w:rsidRPr="000750A2">
          <w:rPr>
            <w:rStyle w:val="Hyperlink"/>
          </w:rPr>
          <w:t>4.3</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Rights to non-discrimination and equality</w:t>
        </w:r>
        <w:r w:rsidR="00B33D23">
          <w:rPr>
            <w:webHidden/>
          </w:rPr>
          <w:tab/>
        </w:r>
        <w:r w:rsidR="00B33D23">
          <w:rPr>
            <w:webHidden/>
          </w:rPr>
          <w:fldChar w:fldCharType="begin"/>
        </w:r>
        <w:r w:rsidR="00B33D23">
          <w:rPr>
            <w:webHidden/>
          </w:rPr>
          <w:instrText xml:space="preserve"> PAGEREF _Toc51834277 \h </w:instrText>
        </w:r>
        <w:r w:rsidR="00B33D23">
          <w:rPr>
            <w:webHidden/>
          </w:rPr>
        </w:r>
        <w:r w:rsidR="00B33D23">
          <w:rPr>
            <w:webHidden/>
          </w:rPr>
          <w:fldChar w:fldCharType="separate"/>
        </w:r>
        <w:r w:rsidR="003944D6">
          <w:rPr>
            <w:webHidden/>
          </w:rPr>
          <w:t>22</w:t>
        </w:r>
        <w:r w:rsidR="00B33D23">
          <w:rPr>
            <w:webHidden/>
          </w:rPr>
          <w:fldChar w:fldCharType="end"/>
        </w:r>
      </w:hyperlink>
    </w:p>
    <w:p w14:paraId="38EF8A9E" w14:textId="4ACB28FD" w:rsidR="00B33D23" w:rsidRDefault="00B0600E">
      <w:pPr>
        <w:pStyle w:val="TOC1"/>
        <w:rPr>
          <w:rFonts w:asciiTheme="minorHAnsi" w:eastAsiaTheme="minorEastAsia" w:hAnsiTheme="minorHAnsi" w:cstheme="minorBidi"/>
          <w:b w:val="0"/>
          <w:sz w:val="22"/>
          <w:szCs w:val="22"/>
          <w:lang w:val="en-US" w:eastAsia="en-US"/>
        </w:rPr>
      </w:pPr>
      <w:hyperlink w:anchor="_Toc51834278" w:history="1">
        <w:r w:rsidR="00B33D23" w:rsidRPr="000750A2">
          <w:rPr>
            <w:rStyle w:val="Hyperlink"/>
          </w:rPr>
          <w:t>5</w:t>
        </w:r>
        <w:r w:rsidR="00B33D23">
          <w:rPr>
            <w:rFonts w:asciiTheme="minorHAnsi" w:eastAsiaTheme="minorEastAsia" w:hAnsiTheme="minorHAnsi" w:cstheme="minorBidi"/>
            <w:b w:val="0"/>
            <w:sz w:val="22"/>
            <w:szCs w:val="22"/>
            <w:lang w:val="en-US" w:eastAsia="en-US"/>
          </w:rPr>
          <w:tab/>
        </w:r>
        <w:r w:rsidR="00B33D23" w:rsidRPr="000750A2">
          <w:rPr>
            <w:rStyle w:val="Hyperlink"/>
          </w:rPr>
          <w:t>Implementing Australia’s human rights obligations</w:t>
        </w:r>
        <w:r w:rsidR="00B33D23">
          <w:rPr>
            <w:webHidden/>
          </w:rPr>
          <w:tab/>
        </w:r>
        <w:r w:rsidR="00B33D23">
          <w:rPr>
            <w:webHidden/>
          </w:rPr>
          <w:fldChar w:fldCharType="begin"/>
        </w:r>
        <w:r w:rsidR="00B33D23">
          <w:rPr>
            <w:webHidden/>
          </w:rPr>
          <w:instrText xml:space="preserve"> PAGEREF _Toc51834278 \h </w:instrText>
        </w:r>
        <w:r w:rsidR="00B33D23">
          <w:rPr>
            <w:webHidden/>
          </w:rPr>
        </w:r>
        <w:r w:rsidR="00B33D23">
          <w:rPr>
            <w:webHidden/>
          </w:rPr>
          <w:fldChar w:fldCharType="separate"/>
        </w:r>
        <w:r w:rsidR="003944D6">
          <w:rPr>
            <w:webHidden/>
          </w:rPr>
          <w:t>24</w:t>
        </w:r>
        <w:r w:rsidR="00B33D23">
          <w:rPr>
            <w:webHidden/>
          </w:rPr>
          <w:fldChar w:fldCharType="end"/>
        </w:r>
      </w:hyperlink>
    </w:p>
    <w:p w14:paraId="58A5972E" w14:textId="16B3129A" w:rsidR="00B33D23" w:rsidRDefault="00B0600E">
      <w:pPr>
        <w:pStyle w:val="TOC2"/>
        <w:rPr>
          <w:rFonts w:asciiTheme="minorHAnsi" w:eastAsiaTheme="minorEastAsia" w:hAnsiTheme="minorHAnsi" w:cstheme="minorBidi"/>
          <w:b w:val="0"/>
          <w:i w:val="0"/>
          <w:sz w:val="22"/>
          <w:szCs w:val="22"/>
          <w:lang w:val="en-US" w:eastAsia="en-US"/>
        </w:rPr>
      </w:pPr>
      <w:hyperlink w:anchor="_Toc51834279" w:history="1">
        <w:r w:rsidR="00B33D23" w:rsidRPr="000750A2">
          <w:rPr>
            <w:rStyle w:val="Hyperlink"/>
          </w:rPr>
          <w:t>5.1</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Australian Disability Enterprises</w:t>
        </w:r>
        <w:r w:rsidR="00B33D23">
          <w:rPr>
            <w:webHidden/>
          </w:rPr>
          <w:tab/>
        </w:r>
        <w:r w:rsidR="00B33D23">
          <w:rPr>
            <w:webHidden/>
          </w:rPr>
          <w:fldChar w:fldCharType="begin"/>
        </w:r>
        <w:r w:rsidR="00B33D23">
          <w:rPr>
            <w:webHidden/>
          </w:rPr>
          <w:instrText xml:space="preserve"> PAGEREF _Toc51834279 \h </w:instrText>
        </w:r>
        <w:r w:rsidR="00B33D23">
          <w:rPr>
            <w:webHidden/>
          </w:rPr>
        </w:r>
        <w:r w:rsidR="00B33D23">
          <w:rPr>
            <w:webHidden/>
          </w:rPr>
          <w:fldChar w:fldCharType="separate"/>
        </w:r>
        <w:r w:rsidR="003944D6">
          <w:rPr>
            <w:webHidden/>
          </w:rPr>
          <w:t>24</w:t>
        </w:r>
        <w:r w:rsidR="00B33D23">
          <w:rPr>
            <w:webHidden/>
          </w:rPr>
          <w:fldChar w:fldCharType="end"/>
        </w:r>
      </w:hyperlink>
    </w:p>
    <w:p w14:paraId="63A599FF" w14:textId="3CE25E63" w:rsidR="00B33D23" w:rsidRDefault="00B0600E">
      <w:pPr>
        <w:pStyle w:val="TOC3"/>
        <w:rPr>
          <w:rFonts w:asciiTheme="minorHAnsi" w:eastAsiaTheme="minorEastAsia" w:hAnsiTheme="minorHAnsi" w:cstheme="minorBidi"/>
          <w:i w:val="0"/>
          <w:sz w:val="22"/>
          <w:szCs w:val="22"/>
          <w:lang w:val="en-US" w:eastAsia="en-US"/>
        </w:rPr>
      </w:pPr>
      <w:hyperlink w:anchor="_Toc51834280" w:history="1">
        <w:r w:rsidR="00B33D23" w:rsidRPr="000750A2">
          <w:rPr>
            <w:rStyle w:val="Hyperlink"/>
            <w:b/>
            <w14:scene3d>
              <w14:camera w14:prst="orthographicFront"/>
              <w14:lightRig w14:rig="threePt" w14:dir="t">
                <w14:rot w14:lat="0" w14:lon="0" w14:rev="0"/>
              </w14:lightRig>
            </w14:scene3d>
          </w:rPr>
          <w:t>(a)</w:t>
        </w:r>
        <w:r w:rsidR="00B33D23">
          <w:rPr>
            <w:rFonts w:asciiTheme="minorHAnsi" w:eastAsiaTheme="minorEastAsia" w:hAnsiTheme="minorHAnsi" w:cstheme="minorBidi"/>
            <w:i w:val="0"/>
            <w:sz w:val="22"/>
            <w:szCs w:val="22"/>
            <w:lang w:val="en-US" w:eastAsia="en-US"/>
          </w:rPr>
          <w:tab/>
        </w:r>
        <w:r w:rsidR="00B33D23" w:rsidRPr="000750A2">
          <w:rPr>
            <w:rStyle w:val="Hyperlink"/>
            <w:b/>
          </w:rPr>
          <w:t>ADEs and the right to work on an equal basis with others under Article 27</w:t>
        </w:r>
        <w:r w:rsidR="00B33D23">
          <w:rPr>
            <w:webHidden/>
          </w:rPr>
          <w:tab/>
        </w:r>
        <w:r w:rsidR="00B33D23">
          <w:rPr>
            <w:webHidden/>
          </w:rPr>
          <w:fldChar w:fldCharType="begin"/>
        </w:r>
        <w:r w:rsidR="00B33D23">
          <w:rPr>
            <w:webHidden/>
          </w:rPr>
          <w:instrText xml:space="preserve"> PAGEREF _Toc51834280 \h </w:instrText>
        </w:r>
        <w:r w:rsidR="00B33D23">
          <w:rPr>
            <w:webHidden/>
          </w:rPr>
        </w:r>
        <w:r w:rsidR="00B33D23">
          <w:rPr>
            <w:webHidden/>
          </w:rPr>
          <w:fldChar w:fldCharType="separate"/>
        </w:r>
        <w:r w:rsidR="003944D6">
          <w:rPr>
            <w:webHidden/>
          </w:rPr>
          <w:t>25</w:t>
        </w:r>
        <w:r w:rsidR="00B33D23">
          <w:rPr>
            <w:webHidden/>
          </w:rPr>
          <w:fldChar w:fldCharType="end"/>
        </w:r>
      </w:hyperlink>
    </w:p>
    <w:p w14:paraId="6311C71E" w14:textId="1FEB8AC9" w:rsidR="00B33D23" w:rsidRDefault="00B0600E">
      <w:pPr>
        <w:pStyle w:val="TOC3"/>
        <w:rPr>
          <w:rFonts w:asciiTheme="minorHAnsi" w:eastAsiaTheme="minorEastAsia" w:hAnsiTheme="minorHAnsi" w:cstheme="minorBidi"/>
          <w:i w:val="0"/>
          <w:sz w:val="22"/>
          <w:szCs w:val="22"/>
          <w:lang w:val="en-US" w:eastAsia="en-US"/>
        </w:rPr>
      </w:pPr>
      <w:hyperlink w:anchor="_Toc51834281" w:history="1">
        <w:r w:rsidR="00B33D23" w:rsidRPr="000750A2">
          <w:rPr>
            <w:rStyle w:val="Hyperlink"/>
            <w:b/>
            <w14:scene3d>
              <w14:camera w14:prst="orthographicFront"/>
              <w14:lightRig w14:rig="threePt" w14:dir="t">
                <w14:rot w14:lat="0" w14:lon="0" w14:rev="0"/>
              </w14:lightRig>
            </w14:scene3d>
          </w:rPr>
          <w:t>(b)</w:t>
        </w:r>
        <w:r w:rsidR="00B33D23">
          <w:rPr>
            <w:rFonts w:asciiTheme="minorHAnsi" w:eastAsiaTheme="minorEastAsia" w:hAnsiTheme="minorHAnsi" w:cstheme="minorBidi"/>
            <w:i w:val="0"/>
            <w:sz w:val="22"/>
            <w:szCs w:val="22"/>
            <w:lang w:val="en-US" w:eastAsia="en-US"/>
          </w:rPr>
          <w:tab/>
        </w:r>
        <w:r w:rsidR="00B33D23" w:rsidRPr="000750A2">
          <w:rPr>
            <w:rStyle w:val="Hyperlink"/>
            <w:b/>
          </w:rPr>
          <w:t>ADEs and rights relating to accessibility, inclusion and independence</w:t>
        </w:r>
        <w:r w:rsidR="00B33D23">
          <w:rPr>
            <w:webHidden/>
          </w:rPr>
          <w:tab/>
        </w:r>
        <w:r w:rsidR="00B33D23">
          <w:rPr>
            <w:webHidden/>
          </w:rPr>
          <w:fldChar w:fldCharType="begin"/>
        </w:r>
        <w:r w:rsidR="00B33D23">
          <w:rPr>
            <w:webHidden/>
          </w:rPr>
          <w:instrText xml:space="preserve"> PAGEREF _Toc51834281 \h </w:instrText>
        </w:r>
        <w:r w:rsidR="00B33D23">
          <w:rPr>
            <w:webHidden/>
          </w:rPr>
        </w:r>
        <w:r w:rsidR="00B33D23">
          <w:rPr>
            <w:webHidden/>
          </w:rPr>
          <w:fldChar w:fldCharType="separate"/>
        </w:r>
        <w:r w:rsidR="003944D6">
          <w:rPr>
            <w:webHidden/>
          </w:rPr>
          <w:t>27</w:t>
        </w:r>
        <w:r w:rsidR="00B33D23">
          <w:rPr>
            <w:webHidden/>
          </w:rPr>
          <w:fldChar w:fldCharType="end"/>
        </w:r>
      </w:hyperlink>
    </w:p>
    <w:p w14:paraId="3C10B0ED" w14:textId="41FBA32B" w:rsidR="00B33D23" w:rsidRDefault="00B0600E">
      <w:pPr>
        <w:pStyle w:val="TOC3"/>
        <w:rPr>
          <w:rFonts w:asciiTheme="minorHAnsi" w:eastAsiaTheme="minorEastAsia" w:hAnsiTheme="minorHAnsi" w:cstheme="minorBidi"/>
          <w:i w:val="0"/>
          <w:sz w:val="22"/>
          <w:szCs w:val="22"/>
          <w:lang w:val="en-US" w:eastAsia="en-US"/>
        </w:rPr>
      </w:pPr>
      <w:hyperlink w:anchor="_Toc51834282" w:history="1">
        <w:r w:rsidR="00B33D23" w:rsidRPr="000750A2">
          <w:rPr>
            <w:rStyle w:val="Hyperlink"/>
            <w:b/>
            <w14:scene3d>
              <w14:camera w14:prst="orthographicFront"/>
              <w14:lightRig w14:rig="threePt" w14:dir="t">
                <w14:rot w14:lat="0" w14:lon="0" w14:rev="0"/>
              </w14:lightRig>
            </w14:scene3d>
          </w:rPr>
          <w:t>(c)</w:t>
        </w:r>
        <w:r w:rsidR="00B33D23">
          <w:rPr>
            <w:rFonts w:asciiTheme="minorHAnsi" w:eastAsiaTheme="minorEastAsia" w:hAnsiTheme="minorHAnsi" w:cstheme="minorBidi"/>
            <w:i w:val="0"/>
            <w:sz w:val="22"/>
            <w:szCs w:val="22"/>
            <w:lang w:val="en-US" w:eastAsia="en-US"/>
          </w:rPr>
          <w:tab/>
        </w:r>
        <w:r w:rsidR="00B33D23" w:rsidRPr="000750A2">
          <w:rPr>
            <w:rStyle w:val="Hyperlink"/>
            <w:b/>
          </w:rPr>
          <w:t>ADEs and rights to non-discrimination and equality</w:t>
        </w:r>
        <w:r w:rsidR="00B33D23">
          <w:rPr>
            <w:webHidden/>
          </w:rPr>
          <w:tab/>
        </w:r>
        <w:r w:rsidR="00B33D23">
          <w:rPr>
            <w:webHidden/>
          </w:rPr>
          <w:fldChar w:fldCharType="begin"/>
        </w:r>
        <w:r w:rsidR="00B33D23">
          <w:rPr>
            <w:webHidden/>
          </w:rPr>
          <w:instrText xml:space="preserve"> PAGEREF _Toc51834282 \h </w:instrText>
        </w:r>
        <w:r w:rsidR="00B33D23">
          <w:rPr>
            <w:webHidden/>
          </w:rPr>
        </w:r>
        <w:r w:rsidR="00B33D23">
          <w:rPr>
            <w:webHidden/>
          </w:rPr>
          <w:fldChar w:fldCharType="separate"/>
        </w:r>
        <w:r w:rsidR="003944D6">
          <w:rPr>
            <w:webHidden/>
          </w:rPr>
          <w:t>27</w:t>
        </w:r>
        <w:r w:rsidR="00B33D23">
          <w:rPr>
            <w:webHidden/>
          </w:rPr>
          <w:fldChar w:fldCharType="end"/>
        </w:r>
      </w:hyperlink>
    </w:p>
    <w:p w14:paraId="67604492" w14:textId="005DC3DB" w:rsidR="00B33D23" w:rsidRDefault="00B0600E">
      <w:pPr>
        <w:pStyle w:val="TOC2"/>
        <w:rPr>
          <w:rFonts w:asciiTheme="minorHAnsi" w:eastAsiaTheme="minorEastAsia" w:hAnsiTheme="minorHAnsi" w:cstheme="minorBidi"/>
          <w:b w:val="0"/>
          <w:i w:val="0"/>
          <w:sz w:val="22"/>
          <w:szCs w:val="22"/>
          <w:lang w:val="en-US" w:eastAsia="en-US"/>
        </w:rPr>
      </w:pPr>
      <w:hyperlink w:anchor="_Toc51834283" w:history="1">
        <w:r w:rsidR="00B33D23" w:rsidRPr="000750A2">
          <w:rPr>
            <w:rStyle w:val="Hyperlink"/>
          </w:rPr>
          <w:t>5.2</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Supported Wage System</w:t>
        </w:r>
        <w:r w:rsidR="00B33D23">
          <w:rPr>
            <w:webHidden/>
          </w:rPr>
          <w:tab/>
        </w:r>
        <w:r w:rsidR="00B33D23">
          <w:rPr>
            <w:webHidden/>
          </w:rPr>
          <w:fldChar w:fldCharType="begin"/>
        </w:r>
        <w:r w:rsidR="00B33D23">
          <w:rPr>
            <w:webHidden/>
          </w:rPr>
          <w:instrText xml:space="preserve"> PAGEREF _Toc51834283 \h </w:instrText>
        </w:r>
        <w:r w:rsidR="00B33D23">
          <w:rPr>
            <w:webHidden/>
          </w:rPr>
        </w:r>
        <w:r w:rsidR="00B33D23">
          <w:rPr>
            <w:webHidden/>
          </w:rPr>
          <w:fldChar w:fldCharType="separate"/>
        </w:r>
        <w:r w:rsidR="003944D6">
          <w:rPr>
            <w:webHidden/>
          </w:rPr>
          <w:t>28</w:t>
        </w:r>
        <w:r w:rsidR="00B33D23">
          <w:rPr>
            <w:webHidden/>
          </w:rPr>
          <w:fldChar w:fldCharType="end"/>
        </w:r>
      </w:hyperlink>
    </w:p>
    <w:p w14:paraId="73337206" w14:textId="3A58290D" w:rsidR="00B33D23" w:rsidRDefault="00B0600E">
      <w:pPr>
        <w:pStyle w:val="TOC2"/>
        <w:rPr>
          <w:rFonts w:asciiTheme="minorHAnsi" w:eastAsiaTheme="minorEastAsia" w:hAnsiTheme="minorHAnsi" w:cstheme="minorBidi"/>
          <w:b w:val="0"/>
          <w:i w:val="0"/>
          <w:sz w:val="22"/>
          <w:szCs w:val="22"/>
          <w:lang w:val="en-US" w:eastAsia="en-US"/>
        </w:rPr>
      </w:pPr>
      <w:hyperlink w:anchor="_Toc51834284" w:history="1">
        <w:r w:rsidR="00B33D23" w:rsidRPr="000750A2">
          <w:rPr>
            <w:rStyle w:val="Hyperlink"/>
          </w:rPr>
          <w:t>5.3</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Access to justice under the</w:t>
        </w:r>
        <w:r w:rsidR="00B33D23" w:rsidRPr="000750A2">
          <w:rPr>
            <w:rStyle w:val="Hyperlink"/>
            <w:bCs/>
            <w:iCs/>
          </w:rPr>
          <w:t xml:space="preserve"> Disability Discrimination Act 1992 </w:t>
        </w:r>
        <w:r w:rsidR="00B33D23" w:rsidRPr="000750A2">
          <w:rPr>
            <w:rStyle w:val="Hyperlink"/>
          </w:rPr>
          <w:t>(Cth)</w:t>
        </w:r>
        <w:r w:rsidR="00B33D23">
          <w:rPr>
            <w:webHidden/>
          </w:rPr>
          <w:tab/>
        </w:r>
        <w:r w:rsidR="00B33D23">
          <w:rPr>
            <w:webHidden/>
          </w:rPr>
          <w:fldChar w:fldCharType="begin"/>
        </w:r>
        <w:r w:rsidR="00B33D23">
          <w:rPr>
            <w:webHidden/>
          </w:rPr>
          <w:instrText xml:space="preserve"> PAGEREF _Toc51834284 \h </w:instrText>
        </w:r>
        <w:r w:rsidR="00B33D23">
          <w:rPr>
            <w:webHidden/>
          </w:rPr>
        </w:r>
        <w:r w:rsidR="00B33D23">
          <w:rPr>
            <w:webHidden/>
          </w:rPr>
          <w:fldChar w:fldCharType="separate"/>
        </w:r>
        <w:r w:rsidR="003944D6">
          <w:rPr>
            <w:webHidden/>
          </w:rPr>
          <w:t>31</w:t>
        </w:r>
        <w:r w:rsidR="00B33D23">
          <w:rPr>
            <w:webHidden/>
          </w:rPr>
          <w:fldChar w:fldCharType="end"/>
        </w:r>
      </w:hyperlink>
    </w:p>
    <w:p w14:paraId="17AA39FB" w14:textId="1AD81A90" w:rsidR="00B33D23" w:rsidRDefault="00B0600E">
      <w:pPr>
        <w:pStyle w:val="TOC3"/>
        <w:rPr>
          <w:rFonts w:asciiTheme="minorHAnsi" w:eastAsiaTheme="minorEastAsia" w:hAnsiTheme="minorHAnsi" w:cstheme="minorBidi"/>
          <w:i w:val="0"/>
          <w:sz w:val="22"/>
          <w:szCs w:val="22"/>
          <w:lang w:val="en-US" w:eastAsia="en-US"/>
        </w:rPr>
      </w:pPr>
      <w:hyperlink w:anchor="_Toc51834285" w:history="1">
        <w:r w:rsidR="00B33D23" w:rsidRPr="000750A2">
          <w:rPr>
            <w:rStyle w:val="Hyperlink"/>
            <w:b/>
            <w14:scene3d>
              <w14:camera w14:prst="orthographicFront"/>
              <w14:lightRig w14:rig="threePt" w14:dir="t">
                <w14:rot w14:lat="0" w14:lon="0" w14:rev="0"/>
              </w14:lightRig>
            </w14:scene3d>
          </w:rPr>
          <w:t>(a)</w:t>
        </w:r>
        <w:r w:rsidR="00B33D23">
          <w:rPr>
            <w:rFonts w:asciiTheme="minorHAnsi" w:eastAsiaTheme="minorEastAsia" w:hAnsiTheme="minorHAnsi" w:cstheme="minorBidi"/>
            <w:i w:val="0"/>
            <w:sz w:val="22"/>
            <w:szCs w:val="22"/>
            <w:lang w:val="en-US" w:eastAsia="en-US"/>
          </w:rPr>
          <w:tab/>
        </w:r>
        <w:r w:rsidR="00B33D23" w:rsidRPr="000750A2">
          <w:rPr>
            <w:rStyle w:val="Hyperlink"/>
            <w:b/>
          </w:rPr>
          <w:t>Limited standing to bring discrimination complaints</w:t>
        </w:r>
        <w:r w:rsidR="00B33D23">
          <w:rPr>
            <w:webHidden/>
          </w:rPr>
          <w:tab/>
        </w:r>
        <w:r w:rsidR="00B33D23">
          <w:rPr>
            <w:webHidden/>
          </w:rPr>
          <w:fldChar w:fldCharType="begin"/>
        </w:r>
        <w:r w:rsidR="00B33D23">
          <w:rPr>
            <w:webHidden/>
          </w:rPr>
          <w:instrText xml:space="preserve"> PAGEREF _Toc51834285 \h </w:instrText>
        </w:r>
        <w:r w:rsidR="00B33D23">
          <w:rPr>
            <w:webHidden/>
          </w:rPr>
        </w:r>
        <w:r w:rsidR="00B33D23">
          <w:rPr>
            <w:webHidden/>
          </w:rPr>
          <w:fldChar w:fldCharType="separate"/>
        </w:r>
        <w:r w:rsidR="003944D6">
          <w:rPr>
            <w:webHidden/>
          </w:rPr>
          <w:t>31</w:t>
        </w:r>
        <w:r w:rsidR="00B33D23">
          <w:rPr>
            <w:webHidden/>
          </w:rPr>
          <w:fldChar w:fldCharType="end"/>
        </w:r>
      </w:hyperlink>
    </w:p>
    <w:p w14:paraId="787F17F0" w14:textId="1138555F" w:rsidR="00B33D23" w:rsidRDefault="00B0600E">
      <w:pPr>
        <w:pStyle w:val="TOC3"/>
        <w:rPr>
          <w:rFonts w:asciiTheme="minorHAnsi" w:eastAsiaTheme="minorEastAsia" w:hAnsiTheme="minorHAnsi" w:cstheme="minorBidi"/>
          <w:i w:val="0"/>
          <w:sz w:val="22"/>
          <w:szCs w:val="22"/>
          <w:lang w:val="en-US" w:eastAsia="en-US"/>
        </w:rPr>
      </w:pPr>
      <w:hyperlink w:anchor="_Toc51834286" w:history="1">
        <w:r w:rsidR="00B33D23" w:rsidRPr="000750A2">
          <w:rPr>
            <w:rStyle w:val="Hyperlink"/>
            <w:b/>
            <w14:scene3d>
              <w14:camera w14:prst="orthographicFront"/>
              <w14:lightRig w14:rig="threePt" w14:dir="t">
                <w14:rot w14:lat="0" w14:lon="0" w14:rev="0"/>
              </w14:lightRig>
            </w14:scene3d>
          </w:rPr>
          <w:t>(b)</w:t>
        </w:r>
        <w:r w:rsidR="00B33D23">
          <w:rPr>
            <w:rFonts w:asciiTheme="minorHAnsi" w:eastAsiaTheme="minorEastAsia" w:hAnsiTheme="minorHAnsi" w:cstheme="minorBidi"/>
            <w:i w:val="0"/>
            <w:sz w:val="22"/>
            <w:szCs w:val="22"/>
            <w:lang w:val="en-US" w:eastAsia="en-US"/>
          </w:rPr>
          <w:tab/>
        </w:r>
        <w:r w:rsidR="00B33D23" w:rsidRPr="000750A2">
          <w:rPr>
            <w:rStyle w:val="Hyperlink"/>
            <w:b/>
          </w:rPr>
          <w:t>Introducing a positive duty</w:t>
        </w:r>
        <w:r w:rsidR="00B33D23">
          <w:rPr>
            <w:webHidden/>
          </w:rPr>
          <w:tab/>
        </w:r>
        <w:r w:rsidR="00B33D23">
          <w:rPr>
            <w:webHidden/>
          </w:rPr>
          <w:fldChar w:fldCharType="begin"/>
        </w:r>
        <w:r w:rsidR="00B33D23">
          <w:rPr>
            <w:webHidden/>
          </w:rPr>
          <w:instrText xml:space="preserve"> PAGEREF _Toc51834286 \h </w:instrText>
        </w:r>
        <w:r w:rsidR="00B33D23">
          <w:rPr>
            <w:webHidden/>
          </w:rPr>
        </w:r>
        <w:r w:rsidR="00B33D23">
          <w:rPr>
            <w:webHidden/>
          </w:rPr>
          <w:fldChar w:fldCharType="separate"/>
        </w:r>
        <w:r w:rsidR="003944D6">
          <w:rPr>
            <w:webHidden/>
          </w:rPr>
          <w:t>32</w:t>
        </w:r>
        <w:r w:rsidR="00B33D23">
          <w:rPr>
            <w:webHidden/>
          </w:rPr>
          <w:fldChar w:fldCharType="end"/>
        </w:r>
      </w:hyperlink>
    </w:p>
    <w:p w14:paraId="3EC65683" w14:textId="78DEDDAF" w:rsidR="00B33D23" w:rsidRDefault="00B0600E">
      <w:pPr>
        <w:pStyle w:val="TOC3"/>
        <w:rPr>
          <w:rFonts w:asciiTheme="minorHAnsi" w:eastAsiaTheme="minorEastAsia" w:hAnsiTheme="minorHAnsi" w:cstheme="minorBidi"/>
          <w:i w:val="0"/>
          <w:sz w:val="22"/>
          <w:szCs w:val="22"/>
          <w:lang w:val="en-US" w:eastAsia="en-US"/>
        </w:rPr>
      </w:pPr>
      <w:hyperlink w:anchor="_Toc51834287" w:history="1">
        <w:r w:rsidR="00B33D23" w:rsidRPr="000750A2">
          <w:rPr>
            <w:rStyle w:val="Hyperlink"/>
            <w:b/>
            <w14:scene3d>
              <w14:camera w14:prst="orthographicFront"/>
              <w14:lightRig w14:rig="threePt" w14:dir="t">
                <w14:rot w14:lat="0" w14:lon="0" w14:rev="0"/>
              </w14:lightRig>
            </w14:scene3d>
          </w:rPr>
          <w:t>(c)</w:t>
        </w:r>
        <w:r w:rsidR="00B33D23">
          <w:rPr>
            <w:rFonts w:asciiTheme="minorHAnsi" w:eastAsiaTheme="minorEastAsia" w:hAnsiTheme="minorHAnsi" w:cstheme="minorBidi"/>
            <w:i w:val="0"/>
            <w:sz w:val="22"/>
            <w:szCs w:val="22"/>
            <w:lang w:val="en-US" w:eastAsia="en-US"/>
          </w:rPr>
          <w:tab/>
        </w:r>
        <w:r w:rsidR="00B33D23" w:rsidRPr="000750A2">
          <w:rPr>
            <w:rStyle w:val="Hyperlink"/>
            <w:b/>
          </w:rPr>
          <w:t>Weaknesses of comparator test</w:t>
        </w:r>
        <w:r w:rsidR="00B33D23">
          <w:rPr>
            <w:webHidden/>
          </w:rPr>
          <w:tab/>
        </w:r>
        <w:r w:rsidR="00B33D23">
          <w:rPr>
            <w:webHidden/>
          </w:rPr>
          <w:fldChar w:fldCharType="begin"/>
        </w:r>
        <w:r w:rsidR="00B33D23">
          <w:rPr>
            <w:webHidden/>
          </w:rPr>
          <w:instrText xml:space="preserve"> PAGEREF _Toc51834287 \h </w:instrText>
        </w:r>
        <w:r w:rsidR="00B33D23">
          <w:rPr>
            <w:webHidden/>
          </w:rPr>
        </w:r>
        <w:r w:rsidR="00B33D23">
          <w:rPr>
            <w:webHidden/>
          </w:rPr>
          <w:fldChar w:fldCharType="separate"/>
        </w:r>
        <w:r w:rsidR="003944D6">
          <w:rPr>
            <w:webHidden/>
          </w:rPr>
          <w:t>34</w:t>
        </w:r>
        <w:r w:rsidR="00B33D23">
          <w:rPr>
            <w:webHidden/>
          </w:rPr>
          <w:fldChar w:fldCharType="end"/>
        </w:r>
      </w:hyperlink>
    </w:p>
    <w:p w14:paraId="59F1B109" w14:textId="1E2D1C3B" w:rsidR="00B33D23" w:rsidRDefault="00B0600E">
      <w:pPr>
        <w:pStyle w:val="TOC3"/>
        <w:rPr>
          <w:rFonts w:asciiTheme="minorHAnsi" w:eastAsiaTheme="minorEastAsia" w:hAnsiTheme="minorHAnsi" w:cstheme="minorBidi"/>
          <w:i w:val="0"/>
          <w:sz w:val="22"/>
          <w:szCs w:val="22"/>
          <w:lang w:val="en-US" w:eastAsia="en-US"/>
        </w:rPr>
      </w:pPr>
      <w:hyperlink w:anchor="_Toc51834288" w:history="1">
        <w:r w:rsidR="00B33D23" w:rsidRPr="000750A2">
          <w:rPr>
            <w:rStyle w:val="Hyperlink"/>
            <w:b/>
            <w14:scene3d>
              <w14:camera w14:prst="orthographicFront"/>
              <w14:lightRig w14:rig="threePt" w14:dir="t">
                <w14:rot w14:lat="0" w14:lon="0" w14:rev="0"/>
              </w14:lightRig>
            </w14:scene3d>
          </w:rPr>
          <w:t>(d)</w:t>
        </w:r>
        <w:r w:rsidR="00B33D23">
          <w:rPr>
            <w:rFonts w:asciiTheme="minorHAnsi" w:eastAsiaTheme="minorEastAsia" w:hAnsiTheme="minorHAnsi" w:cstheme="minorBidi"/>
            <w:i w:val="0"/>
            <w:sz w:val="22"/>
            <w:szCs w:val="22"/>
            <w:lang w:val="en-US" w:eastAsia="en-US"/>
          </w:rPr>
          <w:tab/>
        </w:r>
        <w:r w:rsidR="00B33D23" w:rsidRPr="000750A2">
          <w:rPr>
            <w:rStyle w:val="Hyperlink"/>
            <w:b/>
          </w:rPr>
          <w:t>Intersectional complaints</w:t>
        </w:r>
        <w:r w:rsidR="00B33D23">
          <w:rPr>
            <w:webHidden/>
          </w:rPr>
          <w:tab/>
        </w:r>
        <w:r w:rsidR="00B33D23">
          <w:rPr>
            <w:webHidden/>
          </w:rPr>
          <w:fldChar w:fldCharType="begin"/>
        </w:r>
        <w:r w:rsidR="00B33D23">
          <w:rPr>
            <w:webHidden/>
          </w:rPr>
          <w:instrText xml:space="preserve"> PAGEREF _Toc51834288 \h </w:instrText>
        </w:r>
        <w:r w:rsidR="00B33D23">
          <w:rPr>
            <w:webHidden/>
          </w:rPr>
        </w:r>
        <w:r w:rsidR="00B33D23">
          <w:rPr>
            <w:webHidden/>
          </w:rPr>
          <w:fldChar w:fldCharType="separate"/>
        </w:r>
        <w:r w:rsidR="003944D6">
          <w:rPr>
            <w:webHidden/>
          </w:rPr>
          <w:t>35</w:t>
        </w:r>
        <w:r w:rsidR="00B33D23">
          <w:rPr>
            <w:webHidden/>
          </w:rPr>
          <w:fldChar w:fldCharType="end"/>
        </w:r>
      </w:hyperlink>
    </w:p>
    <w:p w14:paraId="2821911E" w14:textId="0B6A0E38" w:rsidR="00B33D23" w:rsidRDefault="00B0600E">
      <w:pPr>
        <w:pStyle w:val="TOC3"/>
        <w:rPr>
          <w:rFonts w:asciiTheme="minorHAnsi" w:eastAsiaTheme="minorEastAsia" w:hAnsiTheme="minorHAnsi" w:cstheme="minorBidi"/>
          <w:i w:val="0"/>
          <w:sz w:val="22"/>
          <w:szCs w:val="22"/>
          <w:lang w:val="en-US" w:eastAsia="en-US"/>
        </w:rPr>
      </w:pPr>
      <w:hyperlink w:anchor="_Toc51834289" w:history="1">
        <w:r w:rsidR="00B33D23" w:rsidRPr="000750A2">
          <w:rPr>
            <w:rStyle w:val="Hyperlink"/>
            <w:b/>
            <w14:scene3d>
              <w14:camera w14:prst="orthographicFront"/>
              <w14:lightRig w14:rig="threePt" w14:dir="t">
                <w14:rot w14:lat="0" w14:lon="0" w14:rev="0"/>
              </w14:lightRig>
            </w14:scene3d>
          </w:rPr>
          <w:t>(e)</w:t>
        </w:r>
        <w:r w:rsidR="00B33D23">
          <w:rPr>
            <w:rFonts w:asciiTheme="minorHAnsi" w:eastAsiaTheme="minorEastAsia" w:hAnsiTheme="minorHAnsi" w:cstheme="minorBidi"/>
            <w:i w:val="0"/>
            <w:sz w:val="22"/>
            <w:szCs w:val="22"/>
            <w:lang w:val="en-US" w:eastAsia="en-US"/>
          </w:rPr>
          <w:tab/>
        </w:r>
        <w:r w:rsidR="00B33D23" w:rsidRPr="000750A2">
          <w:rPr>
            <w:rStyle w:val="Hyperlink"/>
            <w:b/>
          </w:rPr>
          <w:t>Effective provision of reasonable adjustments</w:t>
        </w:r>
        <w:r w:rsidR="00B33D23">
          <w:rPr>
            <w:webHidden/>
          </w:rPr>
          <w:tab/>
        </w:r>
        <w:r w:rsidR="00B33D23">
          <w:rPr>
            <w:webHidden/>
          </w:rPr>
          <w:fldChar w:fldCharType="begin"/>
        </w:r>
        <w:r w:rsidR="00B33D23">
          <w:rPr>
            <w:webHidden/>
          </w:rPr>
          <w:instrText xml:space="preserve"> PAGEREF _Toc51834289 \h </w:instrText>
        </w:r>
        <w:r w:rsidR="00B33D23">
          <w:rPr>
            <w:webHidden/>
          </w:rPr>
        </w:r>
        <w:r w:rsidR="00B33D23">
          <w:rPr>
            <w:webHidden/>
          </w:rPr>
          <w:fldChar w:fldCharType="separate"/>
        </w:r>
        <w:r w:rsidR="003944D6">
          <w:rPr>
            <w:webHidden/>
          </w:rPr>
          <w:t>36</w:t>
        </w:r>
        <w:r w:rsidR="00B33D23">
          <w:rPr>
            <w:webHidden/>
          </w:rPr>
          <w:fldChar w:fldCharType="end"/>
        </w:r>
      </w:hyperlink>
    </w:p>
    <w:p w14:paraId="2AC9067D" w14:textId="49E8AB4B" w:rsidR="00B33D23" w:rsidRDefault="00B0600E">
      <w:pPr>
        <w:pStyle w:val="TOC2"/>
        <w:rPr>
          <w:rFonts w:asciiTheme="minorHAnsi" w:eastAsiaTheme="minorEastAsia" w:hAnsiTheme="minorHAnsi" w:cstheme="minorBidi"/>
          <w:b w:val="0"/>
          <w:i w:val="0"/>
          <w:sz w:val="22"/>
          <w:szCs w:val="22"/>
          <w:lang w:val="en-US" w:eastAsia="en-US"/>
        </w:rPr>
      </w:pPr>
      <w:hyperlink w:anchor="_Toc51834290" w:history="1">
        <w:r w:rsidR="00B33D23" w:rsidRPr="000750A2">
          <w:rPr>
            <w:rStyle w:val="Hyperlink"/>
          </w:rPr>
          <w:t>5.4</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Access to justice under the Fair</w:t>
        </w:r>
        <w:r w:rsidR="00B33D23" w:rsidRPr="000750A2">
          <w:rPr>
            <w:rStyle w:val="Hyperlink"/>
            <w:iCs/>
          </w:rPr>
          <w:t xml:space="preserve"> Work Act 2009 </w:t>
        </w:r>
        <w:r w:rsidR="00B33D23" w:rsidRPr="000750A2">
          <w:rPr>
            <w:rStyle w:val="Hyperlink"/>
          </w:rPr>
          <w:t>(Cth)</w:t>
        </w:r>
        <w:r w:rsidR="00B33D23">
          <w:rPr>
            <w:webHidden/>
          </w:rPr>
          <w:tab/>
        </w:r>
        <w:r w:rsidR="00B33D23">
          <w:rPr>
            <w:webHidden/>
          </w:rPr>
          <w:fldChar w:fldCharType="begin"/>
        </w:r>
        <w:r w:rsidR="00B33D23">
          <w:rPr>
            <w:webHidden/>
          </w:rPr>
          <w:instrText xml:space="preserve"> PAGEREF _Toc51834290 \h </w:instrText>
        </w:r>
        <w:r w:rsidR="00B33D23">
          <w:rPr>
            <w:webHidden/>
          </w:rPr>
        </w:r>
        <w:r w:rsidR="00B33D23">
          <w:rPr>
            <w:webHidden/>
          </w:rPr>
          <w:fldChar w:fldCharType="separate"/>
        </w:r>
        <w:r w:rsidR="003944D6">
          <w:rPr>
            <w:webHidden/>
          </w:rPr>
          <w:t>37</w:t>
        </w:r>
        <w:r w:rsidR="00B33D23">
          <w:rPr>
            <w:webHidden/>
          </w:rPr>
          <w:fldChar w:fldCharType="end"/>
        </w:r>
      </w:hyperlink>
    </w:p>
    <w:p w14:paraId="7D0AB409" w14:textId="6B1065AD" w:rsidR="00B33D23" w:rsidRDefault="00B0600E">
      <w:pPr>
        <w:pStyle w:val="TOC3"/>
        <w:rPr>
          <w:rFonts w:asciiTheme="minorHAnsi" w:eastAsiaTheme="minorEastAsia" w:hAnsiTheme="minorHAnsi" w:cstheme="minorBidi"/>
          <w:i w:val="0"/>
          <w:sz w:val="22"/>
          <w:szCs w:val="22"/>
          <w:lang w:val="en-US" w:eastAsia="en-US"/>
        </w:rPr>
      </w:pPr>
      <w:hyperlink w:anchor="_Toc51834291" w:history="1">
        <w:r w:rsidR="00B33D23" w:rsidRPr="000750A2">
          <w:rPr>
            <w:rStyle w:val="Hyperlink"/>
            <w:b/>
            <w14:scene3d>
              <w14:camera w14:prst="orthographicFront"/>
              <w14:lightRig w14:rig="threePt" w14:dir="t">
                <w14:rot w14:lat="0" w14:lon="0" w14:rev="0"/>
              </w14:lightRig>
            </w14:scene3d>
          </w:rPr>
          <w:t>(a)</w:t>
        </w:r>
        <w:r w:rsidR="00B33D23">
          <w:rPr>
            <w:rFonts w:asciiTheme="minorHAnsi" w:eastAsiaTheme="minorEastAsia" w:hAnsiTheme="minorHAnsi" w:cstheme="minorBidi"/>
            <w:i w:val="0"/>
            <w:sz w:val="22"/>
            <w:szCs w:val="22"/>
            <w:lang w:val="en-US" w:eastAsia="en-US"/>
          </w:rPr>
          <w:tab/>
        </w:r>
        <w:r w:rsidR="00B33D23" w:rsidRPr="000750A2">
          <w:rPr>
            <w:rStyle w:val="Hyperlink"/>
            <w:b/>
          </w:rPr>
          <w:t>Unclear definition of disability</w:t>
        </w:r>
        <w:r w:rsidR="00B33D23">
          <w:rPr>
            <w:webHidden/>
          </w:rPr>
          <w:tab/>
        </w:r>
        <w:r w:rsidR="00B33D23">
          <w:rPr>
            <w:webHidden/>
          </w:rPr>
          <w:fldChar w:fldCharType="begin"/>
        </w:r>
        <w:r w:rsidR="00B33D23">
          <w:rPr>
            <w:webHidden/>
          </w:rPr>
          <w:instrText xml:space="preserve"> PAGEREF _Toc51834291 \h </w:instrText>
        </w:r>
        <w:r w:rsidR="00B33D23">
          <w:rPr>
            <w:webHidden/>
          </w:rPr>
        </w:r>
        <w:r w:rsidR="00B33D23">
          <w:rPr>
            <w:webHidden/>
          </w:rPr>
          <w:fldChar w:fldCharType="separate"/>
        </w:r>
        <w:r w:rsidR="003944D6">
          <w:rPr>
            <w:webHidden/>
          </w:rPr>
          <w:t>37</w:t>
        </w:r>
        <w:r w:rsidR="00B33D23">
          <w:rPr>
            <w:webHidden/>
          </w:rPr>
          <w:fldChar w:fldCharType="end"/>
        </w:r>
      </w:hyperlink>
    </w:p>
    <w:p w14:paraId="1EA9BA2D" w14:textId="433EBC93" w:rsidR="00B33D23" w:rsidRDefault="00B0600E">
      <w:pPr>
        <w:pStyle w:val="TOC3"/>
        <w:rPr>
          <w:rFonts w:asciiTheme="minorHAnsi" w:eastAsiaTheme="minorEastAsia" w:hAnsiTheme="minorHAnsi" w:cstheme="minorBidi"/>
          <w:i w:val="0"/>
          <w:sz w:val="22"/>
          <w:szCs w:val="22"/>
          <w:lang w:val="en-US" w:eastAsia="en-US"/>
        </w:rPr>
      </w:pPr>
      <w:hyperlink w:anchor="_Toc51834292" w:history="1">
        <w:r w:rsidR="00B33D23" w:rsidRPr="000750A2">
          <w:rPr>
            <w:rStyle w:val="Hyperlink"/>
            <w:b/>
            <w14:scene3d>
              <w14:camera w14:prst="orthographicFront"/>
              <w14:lightRig w14:rig="threePt" w14:dir="t">
                <w14:rot w14:lat="0" w14:lon="0" w14:rev="0"/>
              </w14:lightRig>
            </w14:scene3d>
          </w:rPr>
          <w:t>(b)</w:t>
        </w:r>
        <w:r w:rsidR="00B33D23">
          <w:rPr>
            <w:rFonts w:asciiTheme="minorHAnsi" w:eastAsiaTheme="minorEastAsia" w:hAnsiTheme="minorHAnsi" w:cstheme="minorBidi"/>
            <w:i w:val="0"/>
            <w:sz w:val="22"/>
            <w:szCs w:val="22"/>
            <w:lang w:val="en-US" w:eastAsia="en-US"/>
          </w:rPr>
          <w:tab/>
        </w:r>
        <w:r w:rsidR="00B33D23" w:rsidRPr="000750A2">
          <w:rPr>
            <w:rStyle w:val="Hyperlink"/>
            <w:b/>
          </w:rPr>
          <w:t>Strict time limits</w:t>
        </w:r>
        <w:r w:rsidR="00B33D23">
          <w:rPr>
            <w:webHidden/>
          </w:rPr>
          <w:tab/>
        </w:r>
        <w:r w:rsidR="00B33D23">
          <w:rPr>
            <w:webHidden/>
          </w:rPr>
          <w:fldChar w:fldCharType="begin"/>
        </w:r>
        <w:r w:rsidR="00B33D23">
          <w:rPr>
            <w:webHidden/>
          </w:rPr>
          <w:instrText xml:space="preserve"> PAGEREF _Toc51834292 \h </w:instrText>
        </w:r>
        <w:r w:rsidR="00B33D23">
          <w:rPr>
            <w:webHidden/>
          </w:rPr>
        </w:r>
        <w:r w:rsidR="00B33D23">
          <w:rPr>
            <w:webHidden/>
          </w:rPr>
          <w:fldChar w:fldCharType="separate"/>
        </w:r>
        <w:r w:rsidR="003944D6">
          <w:rPr>
            <w:webHidden/>
          </w:rPr>
          <w:t>38</w:t>
        </w:r>
        <w:r w:rsidR="00B33D23">
          <w:rPr>
            <w:webHidden/>
          </w:rPr>
          <w:fldChar w:fldCharType="end"/>
        </w:r>
      </w:hyperlink>
    </w:p>
    <w:p w14:paraId="70582264" w14:textId="066BE73B" w:rsidR="00B33D23" w:rsidRDefault="00B0600E">
      <w:pPr>
        <w:pStyle w:val="TOC3"/>
        <w:rPr>
          <w:rFonts w:asciiTheme="minorHAnsi" w:eastAsiaTheme="minorEastAsia" w:hAnsiTheme="minorHAnsi" w:cstheme="minorBidi"/>
          <w:i w:val="0"/>
          <w:sz w:val="22"/>
          <w:szCs w:val="22"/>
          <w:lang w:val="en-US" w:eastAsia="en-US"/>
        </w:rPr>
      </w:pPr>
      <w:hyperlink w:anchor="_Toc51834293" w:history="1">
        <w:r w:rsidR="00B33D23" w:rsidRPr="000750A2">
          <w:rPr>
            <w:rStyle w:val="Hyperlink"/>
            <w:b/>
            <w14:scene3d>
              <w14:camera w14:prst="orthographicFront"/>
              <w14:lightRig w14:rig="threePt" w14:dir="t">
                <w14:rot w14:lat="0" w14:lon="0" w14:rev="0"/>
              </w14:lightRig>
            </w14:scene3d>
          </w:rPr>
          <w:t>(c)</w:t>
        </w:r>
        <w:r w:rsidR="00B33D23">
          <w:rPr>
            <w:rFonts w:asciiTheme="minorHAnsi" w:eastAsiaTheme="minorEastAsia" w:hAnsiTheme="minorHAnsi" w:cstheme="minorBidi"/>
            <w:i w:val="0"/>
            <w:sz w:val="22"/>
            <w:szCs w:val="22"/>
            <w:lang w:val="en-US" w:eastAsia="en-US"/>
          </w:rPr>
          <w:tab/>
        </w:r>
        <w:r w:rsidR="00B33D23" w:rsidRPr="000750A2">
          <w:rPr>
            <w:rStyle w:val="Hyperlink"/>
            <w:b/>
          </w:rPr>
          <w:t>Limits on access to flexible working arrangements</w:t>
        </w:r>
        <w:r w:rsidR="00B33D23">
          <w:rPr>
            <w:webHidden/>
          </w:rPr>
          <w:tab/>
        </w:r>
        <w:r w:rsidR="00B33D23">
          <w:rPr>
            <w:webHidden/>
          </w:rPr>
          <w:fldChar w:fldCharType="begin"/>
        </w:r>
        <w:r w:rsidR="00B33D23">
          <w:rPr>
            <w:webHidden/>
          </w:rPr>
          <w:instrText xml:space="preserve"> PAGEREF _Toc51834293 \h </w:instrText>
        </w:r>
        <w:r w:rsidR="00B33D23">
          <w:rPr>
            <w:webHidden/>
          </w:rPr>
        </w:r>
        <w:r w:rsidR="00B33D23">
          <w:rPr>
            <w:webHidden/>
          </w:rPr>
          <w:fldChar w:fldCharType="separate"/>
        </w:r>
        <w:r w:rsidR="003944D6">
          <w:rPr>
            <w:webHidden/>
          </w:rPr>
          <w:t>39</w:t>
        </w:r>
        <w:r w:rsidR="00B33D23">
          <w:rPr>
            <w:webHidden/>
          </w:rPr>
          <w:fldChar w:fldCharType="end"/>
        </w:r>
      </w:hyperlink>
    </w:p>
    <w:p w14:paraId="002C5290" w14:textId="33FB63B6" w:rsidR="00B33D23" w:rsidRDefault="00B0600E">
      <w:pPr>
        <w:pStyle w:val="TOC2"/>
        <w:rPr>
          <w:rFonts w:asciiTheme="minorHAnsi" w:eastAsiaTheme="minorEastAsia" w:hAnsiTheme="minorHAnsi" w:cstheme="minorBidi"/>
          <w:b w:val="0"/>
          <w:i w:val="0"/>
          <w:sz w:val="22"/>
          <w:szCs w:val="22"/>
          <w:lang w:val="en-US" w:eastAsia="en-US"/>
        </w:rPr>
      </w:pPr>
      <w:hyperlink w:anchor="_Toc51834294" w:history="1">
        <w:r w:rsidR="00B33D23" w:rsidRPr="000750A2">
          <w:rPr>
            <w:rStyle w:val="Hyperlink"/>
          </w:rPr>
          <w:t>5.5</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Effectiveness of National Disability Strategy</w:t>
        </w:r>
        <w:r w:rsidR="00B33D23">
          <w:rPr>
            <w:webHidden/>
          </w:rPr>
          <w:tab/>
        </w:r>
        <w:r w:rsidR="00B33D23">
          <w:rPr>
            <w:webHidden/>
          </w:rPr>
          <w:fldChar w:fldCharType="begin"/>
        </w:r>
        <w:r w:rsidR="00B33D23">
          <w:rPr>
            <w:webHidden/>
          </w:rPr>
          <w:instrText xml:space="preserve"> PAGEREF _Toc51834294 \h </w:instrText>
        </w:r>
        <w:r w:rsidR="00B33D23">
          <w:rPr>
            <w:webHidden/>
          </w:rPr>
        </w:r>
        <w:r w:rsidR="00B33D23">
          <w:rPr>
            <w:webHidden/>
          </w:rPr>
          <w:fldChar w:fldCharType="separate"/>
        </w:r>
        <w:r w:rsidR="003944D6">
          <w:rPr>
            <w:webHidden/>
          </w:rPr>
          <w:t>40</w:t>
        </w:r>
        <w:r w:rsidR="00B33D23">
          <w:rPr>
            <w:webHidden/>
          </w:rPr>
          <w:fldChar w:fldCharType="end"/>
        </w:r>
      </w:hyperlink>
    </w:p>
    <w:p w14:paraId="3F681815" w14:textId="3138994D" w:rsidR="00B33D23" w:rsidRDefault="00B0600E">
      <w:pPr>
        <w:pStyle w:val="TOC2"/>
        <w:rPr>
          <w:rFonts w:asciiTheme="minorHAnsi" w:eastAsiaTheme="minorEastAsia" w:hAnsiTheme="minorHAnsi" w:cstheme="minorBidi"/>
          <w:b w:val="0"/>
          <w:i w:val="0"/>
          <w:sz w:val="22"/>
          <w:szCs w:val="22"/>
          <w:lang w:val="en-US" w:eastAsia="en-US"/>
        </w:rPr>
      </w:pPr>
      <w:hyperlink w:anchor="_Toc51834295" w:history="1">
        <w:r w:rsidR="00B33D23" w:rsidRPr="000750A2">
          <w:rPr>
            <w:rStyle w:val="Hyperlink"/>
            <w:lang w:eastAsia="en-GB"/>
          </w:rPr>
          <w:t>5.6</w:t>
        </w:r>
        <w:r w:rsidR="00B33D23">
          <w:rPr>
            <w:rFonts w:asciiTheme="minorHAnsi" w:eastAsiaTheme="minorEastAsia" w:hAnsiTheme="minorHAnsi" w:cstheme="minorBidi"/>
            <w:b w:val="0"/>
            <w:i w:val="0"/>
            <w:sz w:val="22"/>
            <w:szCs w:val="22"/>
            <w:lang w:val="en-US" w:eastAsia="en-US"/>
          </w:rPr>
          <w:tab/>
        </w:r>
        <w:r w:rsidR="00B33D23" w:rsidRPr="000750A2">
          <w:rPr>
            <w:rStyle w:val="Hyperlink"/>
            <w:lang w:eastAsia="en-GB"/>
          </w:rPr>
          <w:t>Effectiveness of Department of Social Services employment supports</w:t>
        </w:r>
        <w:r w:rsidR="00B33D23">
          <w:rPr>
            <w:webHidden/>
          </w:rPr>
          <w:tab/>
        </w:r>
        <w:r w:rsidR="00B33D23">
          <w:rPr>
            <w:webHidden/>
          </w:rPr>
          <w:fldChar w:fldCharType="begin"/>
        </w:r>
        <w:r w:rsidR="00B33D23">
          <w:rPr>
            <w:webHidden/>
          </w:rPr>
          <w:instrText xml:space="preserve"> PAGEREF _Toc51834295 \h </w:instrText>
        </w:r>
        <w:r w:rsidR="00B33D23">
          <w:rPr>
            <w:webHidden/>
          </w:rPr>
        </w:r>
        <w:r w:rsidR="00B33D23">
          <w:rPr>
            <w:webHidden/>
          </w:rPr>
          <w:fldChar w:fldCharType="separate"/>
        </w:r>
        <w:r w:rsidR="003944D6">
          <w:rPr>
            <w:webHidden/>
          </w:rPr>
          <w:t>42</w:t>
        </w:r>
        <w:r w:rsidR="00B33D23">
          <w:rPr>
            <w:webHidden/>
          </w:rPr>
          <w:fldChar w:fldCharType="end"/>
        </w:r>
      </w:hyperlink>
    </w:p>
    <w:p w14:paraId="1770B932" w14:textId="23FFF930" w:rsidR="00B33D23" w:rsidRDefault="00B0600E">
      <w:pPr>
        <w:pStyle w:val="TOC3"/>
        <w:rPr>
          <w:rFonts w:asciiTheme="minorHAnsi" w:eastAsiaTheme="minorEastAsia" w:hAnsiTheme="minorHAnsi" w:cstheme="minorBidi"/>
          <w:i w:val="0"/>
          <w:sz w:val="22"/>
          <w:szCs w:val="22"/>
          <w:lang w:val="en-US" w:eastAsia="en-US"/>
        </w:rPr>
      </w:pPr>
      <w:hyperlink w:anchor="_Toc51834296" w:history="1">
        <w:r w:rsidR="00B33D23" w:rsidRPr="000750A2">
          <w:rPr>
            <w:rStyle w:val="Hyperlink"/>
            <w:b/>
            <w14:scene3d>
              <w14:camera w14:prst="orthographicFront"/>
              <w14:lightRig w14:rig="threePt" w14:dir="t">
                <w14:rot w14:lat="0" w14:lon="0" w14:rev="0"/>
              </w14:lightRig>
            </w14:scene3d>
          </w:rPr>
          <w:t>(a)</w:t>
        </w:r>
        <w:r w:rsidR="00B33D23">
          <w:rPr>
            <w:rFonts w:asciiTheme="minorHAnsi" w:eastAsiaTheme="minorEastAsia" w:hAnsiTheme="minorHAnsi" w:cstheme="minorBidi"/>
            <w:i w:val="0"/>
            <w:sz w:val="22"/>
            <w:szCs w:val="22"/>
            <w:lang w:val="en-US" w:eastAsia="en-US"/>
          </w:rPr>
          <w:tab/>
        </w:r>
        <w:r w:rsidR="00B33D23" w:rsidRPr="000750A2">
          <w:rPr>
            <w:rStyle w:val="Hyperlink"/>
            <w:b/>
          </w:rPr>
          <w:t>Disability Employment Services</w:t>
        </w:r>
        <w:r w:rsidR="00B33D23">
          <w:rPr>
            <w:webHidden/>
          </w:rPr>
          <w:tab/>
        </w:r>
        <w:r w:rsidR="00B33D23">
          <w:rPr>
            <w:webHidden/>
          </w:rPr>
          <w:fldChar w:fldCharType="begin"/>
        </w:r>
        <w:r w:rsidR="00B33D23">
          <w:rPr>
            <w:webHidden/>
          </w:rPr>
          <w:instrText xml:space="preserve"> PAGEREF _Toc51834296 \h </w:instrText>
        </w:r>
        <w:r w:rsidR="00B33D23">
          <w:rPr>
            <w:webHidden/>
          </w:rPr>
        </w:r>
        <w:r w:rsidR="00B33D23">
          <w:rPr>
            <w:webHidden/>
          </w:rPr>
          <w:fldChar w:fldCharType="separate"/>
        </w:r>
        <w:r w:rsidR="003944D6">
          <w:rPr>
            <w:webHidden/>
          </w:rPr>
          <w:t>42</w:t>
        </w:r>
        <w:r w:rsidR="00B33D23">
          <w:rPr>
            <w:webHidden/>
          </w:rPr>
          <w:fldChar w:fldCharType="end"/>
        </w:r>
      </w:hyperlink>
    </w:p>
    <w:p w14:paraId="5A7D73AD" w14:textId="6FF67F4A" w:rsidR="00B33D23" w:rsidRDefault="00B0600E">
      <w:pPr>
        <w:pStyle w:val="TOC3"/>
        <w:rPr>
          <w:rFonts w:asciiTheme="minorHAnsi" w:eastAsiaTheme="minorEastAsia" w:hAnsiTheme="minorHAnsi" w:cstheme="minorBidi"/>
          <w:i w:val="0"/>
          <w:sz w:val="22"/>
          <w:szCs w:val="22"/>
          <w:lang w:val="en-US" w:eastAsia="en-US"/>
        </w:rPr>
      </w:pPr>
      <w:hyperlink w:anchor="_Toc51834297" w:history="1">
        <w:r w:rsidR="00B33D23" w:rsidRPr="000750A2">
          <w:rPr>
            <w:rStyle w:val="Hyperlink"/>
            <w:b/>
            <w14:scene3d>
              <w14:camera w14:prst="orthographicFront"/>
              <w14:lightRig w14:rig="threePt" w14:dir="t">
                <w14:rot w14:lat="0" w14:lon="0" w14:rev="0"/>
              </w14:lightRig>
            </w14:scene3d>
          </w:rPr>
          <w:t>(b)</w:t>
        </w:r>
        <w:r w:rsidR="00B33D23">
          <w:rPr>
            <w:rFonts w:asciiTheme="minorHAnsi" w:eastAsiaTheme="minorEastAsia" w:hAnsiTheme="minorHAnsi" w:cstheme="minorBidi"/>
            <w:i w:val="0"/>
            <w:sz w:val="22"/>
            <w:szCs w:val="22"/>
            <w:lang w:val="en-US" w:eastAsia="en-US"/>
          </w:rPr>
          <w:tab/>
        </w:r>
        <w:r w:rsidR="00B33D23" w:rsidRPr="000750A2">
          <w:rPr>
            <w:rStyle w:val="Hyperlink"/>
            <w:b/>
          </w:rPr>
          <w:t>JobAccess and the Employment Assistance Fund</w:t>
        </w:r>
        <w:r w:rsidR="00B33D23">
          <w:rPr>
            <w:webHidden/>
          </w:rPr>
          <w:tab/>
        </w:r>
        <w:r w:rsidR="00B33D23">
          <w:rPr>
            <w:webHidden/>
          </w:rPr>
          <w:fldChar w:fldCharType="begin"/>
        </w:r>
        <w:r w:rsidR="00B33D23">
          <w:rPr>
            <w:webHidden/>
          </w:rPr>
          <w:instrText xml:space="preserve"> PAGEREF _Toc51834297 \h </w:instrText>
        </w:r>
        <w:r w:rsidR="00B33D23">
          <w:rPr>
            <w:webHidden/>
          </w:rPr>
        </w:r>
        <w:r w:rsidR="00B33D23">
          <w:rPr>
            <w:webHidden/>
          </w:rPr>
          <w:fldChar w:fldCharType="separate"/>
        </w:r>
        <w:r w:rsidR="003944D6">
          <w:rPr>
            <w:webHidden/>
          </w:rPr>
          <w:t>44</w:t>
        </w:r>
        <w:r w:rsidR="00B33D23">
          <w:rPr>
            <w:webHidden/>
          </w:rPr>
          <w:fldChar w:fldCharType="end"/>
        </w:r>
      </w:hyperlink>
    </w:p>
    <w:p w14:paraId="19CB9CC0" w14:textId="2C6765A7" w:rsidR="00B33D23" w:rsidRDefault="00B0600E">
      <w:pPr>
        <w:pStyle w:val="TOC2"/>
        <w:rPr>
          <w:rFonts w:asciiTheme="minorHAnsi" w:eastAsiaTheme="minorEastAsia" w:hAnsiTheme="minorHAnsi" w:cstheme="minorBidi"/>
          <w:b w:val="0"/>
          <w:i w:val="0"/>
          <w:sz w:val="22"/>
          <w:szCs w:val="22"/>
          <w:lang w:val="en-US" w:eastAsia="en-US"/>
        </w:rPr>
      </w:pPr>
      <w:hyperlink w:anchor="_Toc51834298" w:history="1">
        <w:r w:rsidR="00B33D23" w:rsidRPr="000750A2">
          <w:rPr>
            <w:rStyle w:val="Hyperlink"/>
            <w:lang w:eastAsia="en-GB"/>
          </w:rPr>
          <w:t>5.7</w:t>
        </w:r>
        <w:r w:rsidR="00B33D23">
          <w:rPr>
            <w:rFonts w:asciiTheme="minorHAnsi" w:eastAsiaTheme="minorEastAsia" w:hAnsiTheme="minorHAnsi" w:cstheme="minorBidi"/>
            <w:b w:val="0"/>
            <w:i w:val="0"/>
            <w:sz w:val="22"/>
            <w:szCs w:val="22"/>
            <w:lang w:val="en-US" w:eastAsia="en-US"/>
          </w:rPr>
          <w:tab/>
        </w:r>
        <w:r w:rsidR="00B33D23" w:rsidRPr="000750A2">
          <w:rPr>
            <w:rStyle w:val="Hyperlink"/>
            <w:lang w:eastAsia="en-GB"/>
          </w:rPr>
          <w:t>Effectiveness of National Disability Insurance Scheme employment supports</w:t>
        </w:r>
        <w:r w:rsidR="00B33D23">
          <w:rPr>
            <w:webHidden/>
          </w:rPr>
          <w:tab/>
        </w:r>
        <w:r w:rsidR="00B33D23">
          <w:rPr>
            <w:webHidden/>
          </w:rPr>
          <w:fldChar w:fldCharType="begin"/>
        </w:r>
        <w:r w:rsidR="00B33D23">
          <w:rPr>
            <w:webHidden/>
          </w:rPr>
          <w:instrText xml:space="preserve"> PAGEREF _Toc51834298 \h </w:instrText>
        </w:r>
        <w:r w:rsidR="00B33D23">
          <w:rPr>
            <w:webHidden/>
          </w:rPr>
        </w:r>
        <w:r w:rsidR="00B33D23">
          <w:rPr>
            <w:webHidden/>
          </w:rPr>
          <w:fldChar w:fldCharType="separate"/>
        </w:r>
        <w:r w:rsidR="003944D6">
          <w:rPr>
            <w:webHidden/>
          </w:rPr>
          <w:t>46</w:t>
        </w:r>
        <w:r w:rsidR="00B33D23">
          <w:rPr>
            <w:webHidden/>
          </w:rPr>
          <w:fldChar w:fldCharType="end"/>
        </w:r>
      </w:hyperlink>
    </w:p>
    <w:p w14:paraId="3349309E" w14:textId="23AE67BD" w:rsidR="00B33D23" w:rsidRDefault="00B0600E">
      <w:pPr>
        <w:pStyle w:val="TOC2"/>
        <w:rPr>
          <w:rFonts w:asciiTheme="minorHAnsi" w:eastAsiaTheme="minorEastAsia" w:hAnsiTheme="minorHAnsi" w:cstheme="minorBidi"/>
          <w:b w:val="0"/>
          <w:i w:val="0"/>
          <w:sz w:val="22"/>
          <w:szCs w:val="22"/>
          <w:lang w:val="en-US" w:eastAsia="en-US"/>
        </w:rPr>
      </w:pPr>
      <w:hyperlink w:anchor="_Toc51834299" w:history="1">
        <w:r w:rsidR="00B33D23" w:rsidRPr="000750A2">
          <w:rPr>
            <w:rStyle w:val="Hyperlink"/>
          </w:rPr>
          <w:t>5.8</w:t>
        </w:r>
        <w:r w:rsidR="00B33D23">
          <w:rPr>
            <w:rFonts w:asciiTheme="minorHAnsi" w:eastAsiaTheme="minorEastAsia" w:hAnsiTheme="minorHAnsi" w:cstheme="minorBidi"/>
            <w:b w:val="0"/>
            <w:i w:val="0"/>
            <w:sz w:val="22"/>
            <w:szCs w:val="22"/>
            <w:lang w:val="en-US" w:eastAsia="en-US"/>
          </w:rPr>
          <w:tab/>
        </w:r>
        <w:r w:rsidR="00B33D23" w:rsidRPr="000750A2">
          <w:rPr>
            <w:rStyle w:val="Hyperlink"/>
          </w:rPr>
          <w:t>Young people with disability and work</w:t>
        </w:r>
        <w:r w:rsidR="00B33D23">
          <w:rPr>
            <w:webHidden/>
          </w:rPr>
          <w:tab/>
        </w:r>
        <w:r w:rsidR="00B33D23">
          <w:rPr>
            <w:webHidden/>
          </w:rPr>
          <w:fldChar w:fldCharType="begin"/>
        </w:r>
        <w:r w:rsidR="00B33D23">
          <w:rPr>
            <w:webHidden/>
          </w:rPr>
          <w:instrText xml:space="preserve"> PAGEREF _Toc51834299 \h </w:instrText>
        </w:r>
        <w:r w:rsidR="00B33D23">
          <w:rPr>
            <w:webHidden/>
          </w:rPr>
        </w:r>
        <w:r w:rsidR="00B33D23">
          <w:rPr>
            <w:webHidden/>
          </w:rPr>
          <w:fldChar w:fldCharType="separate"/>
        </w:r>
        <w:r w:rsidR="003944D6">
          <w:rPr>
            <w:webHidden/>
          </w:rPr>
          <w:t>48</w:t>
        </w:r>
        <w:r w:rsidR="00B33D23">
          <w:rPr>
            <w:webHidden/>
          </w:rPr>
          <w:fldChar w:fldCharType="end"/>
        </w:r>
      </w:hyperlink>
    </w:p>
    <w:p w14:paraId="19DAE016" w14:textId="319D1D72" w:rsidR="00B33D23" w:rsidRDefault="00B0600E">
      <w:pPr>
        <w:pStyle w:val="TOC3"/>
        <w:rPr>
          <w:rFonts w:asciiTheme="minorHAnsi" w:eastAsiaTheme="minorEastAsia" w:hAnsiTheme="minorHAnsi" w:cstheme="minorBidi"/>
          <w:i w:val="0"/>
          <w:sz w:val="22"/>
          <w:szCs w:val="22"/>
          <w:lang w:val="en-US" w:eastAsia="en-US"/>
        </w:rPr>
      </w:pPr>
      <w:hyperlink w:anchor="_Toc51834300" w:history="1">
        <w:r w:rsidR="00B33D23" w:rsidRPr="000750A2">
          <w:rPr>
            <w:rStyle w:val="Hyperlink"/>
            <w:b/>
            <w14:scene3d>
              <w14:camera w14:prst="orthographicFront"/>
              <w14:lightRig w14:rig="threePt" w14:dir="t">
                <w14:rot w14:lat="0" w14:lon="0" w14:rev="0"/>
              </w14:lightRig>
            </w14:scene3d>
          </w:rPr>
          <w:t>(a)</w:t>
        </w:r>
        <w:r w:rsidR="00B33D23">
          <w:rPr>
            <w:rFonts w:asciiTheme="minorHAnsi" w:eastAsiaTheme="minorEastAsia" w:hAnsiTheme="minorHAnsi" w:cstheme="minorBidi"/>
            <w:i w:val="0"/>
            <w:sz w:val="22"/>
            <w:szCs w:val="22"/>
            <w:lang w:val="en-US" w:eastAsia="en-US"/>
          </w:rPr>
          <w:tab/>
        </w:r>
        <w:r w:rsidR="00B33D23" w:rsidRPr="000750A2">
          <w:rPr>
            <w:rStyle w:val="Hyperlink"/>
            <w:b/>
          </w:rPr>
          <w:t>Importance of educational attainment</w:t>
        </w:r>
        <w:r w:rsidR="00B33D23">
          <w:rPr>
            <w:webHidden/>
          </w:rPr>
          <w:tab/>
        </w:r>
        <w:r w:rsidR="00B33D23">
          <w:rPr>
            <w:webHidden/>
          </w:rPr>
          <w:fldChar w:fldCharType="begin"/>
        </w:r>
        <w:r w:rsidR="00B33D23">
          <w:rPr>
            <w:webHidden/>
          </w:rPr>
          <w:instrText xml:space="preserve"> PAGEREF _Toc51834300 \h </w:instrText>
        </w:r>
        <w:r w:rsidR="00B33D23">
          <w:rPr>
            <w:webHidden/>
          </w:rPr>
        </w:r>
        <w:r w:rsidR="00B33D23">
          <w:rPr>
            <w:webHidden/>
          </w:rPr>
          <w:fldChar w:fldCharType="separate"/>
        </w:r>
        <w:r w:rsidR="003944D6">
          <w:rPr>
            <w:webHidden/>
          </w:rPr>
          <w:t>48</w:t>
        </w:r>
        <w:r w:rsidR="00B33D23">
          <w:rPr>
            <w:webHidden/>
          </w:rPr>
          <w:fldChar w:fldCharType="end"/>
        </w:r>
      </w:hyperlink>
    </w:p>
    <w:p w14:paraId="7CD378CA" w14:textId="79160B3C" w:rsidR="00B33D23" w:rsidRDefault="00B0600E">
      <w:pPr>
        <w:pStyle w:val="TOC3"/>
        <w:rPr>
          <w:rFonts w:asciiTheme="minorHAnsi" w:eastAsiaTheme="minorEastAsia" w:hAnsiTheme="minorHAnsi" w:cstheme="minorBidi"/>
          <w:i w:val="0"/>
          <w:sz w:val="22"/>
          <w:szCs w:val="22"/>
          <w:lang w:val="en-US" w:eastAsia="en-US"/>
        </w:rPr>
      </w:pPr>
      <w:hyperlink w:anchor="_Toc51834301" w:history="1">
        <w:r w:rsidR="00B33D23" w:rsidRPr="000750A2">
          <w:rPr>
            <w:rStyle w:val="Hyperlink"/>
            <w:b/>
            <w14:scene3d>
              <w14:camera w14:prst="orthographicFront"/>
              <w14:lightRig w14:rig="threePt" w14:dir="t">
                <w14:rot w14:lat="0" w14:lon="0" w14:rev="0"/>
              </w14:lightRig>
            </w14:scene3d>
          </w:rPr>
          <w:t>(b)</w:t>
        </w:r>
        <w:r w:rsidR="00B33D23">
          <w:rPr>
            <w:rFonts w:asciiTheme="minorHAnsi" w:eastAsiaTheme="minorEastAsia" w:hAnsiTheme="minorHAnsi" w:cstheme="minorBidi"/>
            <w:i w:val="0"/>
            <w:sz w:val="22"/>
            <w:szCs w:val="22"/>
            <w:lang w:val="en-US" w:eastAsia="en-US"/>
          </w:rPr>
          <w:tab/>
        </w:r>
        <w:r w:rsidR="00B33D23" w:rsidRPr="000750A2">
          <w:rPr>
            <w:rStyle w:val="Hyperlink"/>
            <w:b/>
          </w:rPr>
          <w:t>Importance of transition to work</w:t>
        </w:r>
        <w:r w:rsidR="00B33D23">
          <w:rPr>
            <w:webHidden/>
          </w:rPr>
          <w:tab/>
        </w:r>
        <w:r w:rsidR="00B33D23">
          <w:rPr>
            <w:webHidden/>
          </w:rPr>
          <w:fldChar w:fldCharType="begin"/>
        </w:r>
        <w:r w:rsidR="00B33D23">
          <w:rPr>
            <w:webHidden/>
          </w:rPr>
          <w:instrText xml:space="preserve"> PAGEREF _Toc51834301 \h </w:instrText>
        </w:r>
        <w:r w:rsidR="00B33D23">
          <w:rPr>
            <w:webHidden/>
          </w:rPr>
        </w:r>
        <w:r w:rsidR="00B33D23">
          <w:rPr>
            <w:webHidden/>
          </w:rPr>
          <w:fldChar w:fldCharType="separate"/>
        </w:r>
        <w:r w:rsidR="003944D6">
          <w:rPr>
            <w:webHidden/>
          </w:rPr>
          <w:t>50</w:t>
        </w:r>
        <w:r w:rsidR="00B33D23">
          <w:rPr>
            <w:webHidden/>
          </w:rPr>
          <w:fldChar w:fldCharType="end"/>
        </w:r>
      </w:hyperlink>
    </w:p>
    <w:p w14:paraId="57CDE48D" w14:textId="42514493" w:rsidR="00B33D23" w:rsidRDefault="00B0600E">
      <w:pPr>
        <w:pStyle w:val="TOC3"/>
        <w:rPr>
          <w:rFonts w:asciiTheme="minorHAnsi" w:eastAsiaTheme="minorEastAsia" w:hAnsiTheme="minorHAnsi" w:cstheme="minorBidi"/>
          <w:i w:val="0"/>
          <w:sz w:val="22"/>
          <w:szCs w:val="22"/>
          <w:lang w:val="en-US" w:eastAsia="en-US"/>
        </w:rPr>
      </w:pPr>
      <w:hyperlink w:anchor="_Toc51834302" w:history="1">
        <w:r w:rsidR="00B33D23" w:rsidRPr="000750A2">
          <w:rPr>
            <w:rStyle w:val="Hyperlink"/>
            <w:b/>
            <w14:scene3d>
              <w14:camera w14:prst="orthographicFront"/>
              <w14:lightRig w14:rig="threePt" w14:dir="t">
                <w14:rot w14:lat="0" w14:lon="0" w14:rev="0"/>
              </w14:lightRig>
            </w14:scene3d>
          </w:rPr>
          <w:t>(c)</w:t>
        </w:r>
        <w:r w:rsidR="00B33D23">
          <w:rPr>
            <w:rFonts w:asciiTheme="minorHAnsi" w:eastAsiaTheme="minorEastAsia" w:hAnsiTheme="minorHAnsi" w:cstheme="minorBidi"/>
            <w:i w:val="0"/>
            <w:sz w:val="22"/>
            <w:szCs w:val="22"/>
            <w:lang w:val="en-US" w:eastAsia="en-US"/>
          </w:rPr>
          <w:tab/>
        </w:r>
        <w:r w:rsidR="00B33D23" w:rsidRPr="000750A2">
          <w:rPr>
            <w:rStyle w:val="Hyperlink"/>
            <w:b/>
          </w:rPr>
          <w:t>Effectiveness of DES Eligible School Leavers program</w:t>
        </w:r>
        <w:r w:rsidR="00B33D23">
          <w:rPr>
            <w:webHidden/>
          </w:rPr>
          <w:tab/>
        </w:r>
        <w:r w:rsidR="00B33D23">
          <w:rPr>
            <w:webHidden/>
          </w:rPr>
          <w:fldChar w:fldCharType="begin"/>
        </w:r>
        <w:r w:rsidR="00B33D23">
          <w:rPr>
            <w:webHidden/>
          </w:rPr>
          <w:instrText xml:space="preserve"> PAGEREF _Toc51834302 \h </w:instrText>
        </w:r>
        <w:r w:rsidR="00B33D23">
          <w:rPr>
            <w:webHidden/>
          </w:rPr>
        </w:r>
        <w:r w:rsidR="00B33D23">
          <w:rPr>
            <w:webHidden/>
          </w:rPr>
          <w:fldChar w:fldCharType="separate"/>
        </w:r>
        <w:r w:rsidR="003944D6">
          <w:rPr>
            <w:webHidden/>
          </w:rPr>
          <w:t>51</w:t>
        </w:r>
        <w:r w:rsidR="00B33D23">
          <w:rPr>
            <w:webHidden/>
          </w:rPr>
          <w:fldChar w:fldCharType="end"/>
        </w:r>
      </w:hyperlink>
    </w:p>
    <w:p w14:paraId="10C5E924" w14:textId="7315C714" w:rsidR="00B33D23" w:rsidRDefault="00B0600E">
      <w:pPr>
        <w:pStyle w:val="TOC3"/>
        <w:rPr>
          <w:rFonts w:asciiTheme="minorHAnsi" w:eastAsiaTheme="minorEastAsia" w:hAnsiTheme="minorHAnsi" w:cstheme="minorBidi"/>
          <w:i w:val="0"/>
          <w:sz w:val="22"/>
          <w:szCs w:val="22"/>
          <w:lang w:val="en-US" w:eastAsia="en-US"/>
        </w:rPr>
      </w:pPr>
      <w:hyperlink w:anchor="_Toc51834303" w:history="1">
        <w:r w:rsidR="00B33D23" w:rsidRPr="000750A2">
          <w:rPr>
            <w:rStyle w:val="Hyperlink"/>
            <w:b/>
            <w14:scene3d>
              <w14:camera w14:prst="orthographicFront"/>
              <w14:lightRig w14:rig="threePt" w14:dir="t">
                <w14:rot w14:lat="0" w14:lon="0" w14:rev="0"/>
              </w14:lightRig>
            </w14:scene3d>
          </w:rPr>
          <w:t>(d)</w:t>
        </w:r>
        <w:r w:rsidR="00B33D23">
          <w:rPr>
            <w:rFonts w:asciiTheme="minorHAnsi" w:eastAsiaTheme="minorEastAsia" w:hAnsiTheme="minorHAnsi" w:cstheme="minorBidi"/>
            <w:i w:val="0"/>
            <w:sz w:val="22"/>
            <w:szCs w:val="22"/>
            <w:lang w:val="en-US" w:eastAsia="en-US"/>
          </w:rPr>
          <w:tab/>
        </w:r>
        <w:r w:rsidR="00B33D23" w:rsidRPr="000750A2">
          <w:rPr>
            <w:rStyle w:val="Hyperlink"/>
            <w:b/>
          </w:rPr>
          <w:t>Effectiveness of in-school programs</w:t>
        </w:r>
        <w:r w:rsidR="00B33D23">
          <w:rPr>
            <w:webHidden/>
          </w:rPr>
          <w:tab/>
        </w:r>
        <w:r w:rsidR="00B33D23">
          <w:rPr>
            <w:webHidden/>
          </w:rPr>
          <w:fldChar w:fldCharType="begin"/>
        </w:r>
        <w:r w:rsidR="00B33D23">
          <w:rPr>
            <w:webHidden/>
          </w:rPr>
          <w:instrText xml:space="preserve"> PAGEREF _Toc51834303 \h </w:instrText>
        </w:r>
        <w:r w:rsidR="00B33D23">
          <w:rPr>
            <w:webHidden/>
          </w:rPr>
        </w:r>
        <w:r w:rsidR="00B33D23">
          <w:rPr>
            <w:webHidden/>
          </w:rPr>
          <w:fldChar w:fldCharType="separate"/>
        </w:r>
        <w:r w:rsidR="003944D6">
          <w:rPr>
            <w:webHidden/>
          </w:rPr>
          <w:t>52</w:t>
        </w:r>
        <w:r w:rsidR="00B33D23">
          <w:rPr>
            <w:webHidden/>
          </w:rPr>
          <w:fldChar w:fldCharType="end"/>
        </w:r>
      </w:hyperlink>
    </w:p>
    <w:p w14:paraId="138DBD7B" w14:textId="369C287C" w:rsidR="00B33D23" w:rsidRDefault="00B0600E">
      <w:pPr>
        <w:pStyle w:val="TOC3"/>
        <w:rPr>
          <w:rFonts w:asciiTheme="minorHAnsi" w:eastAsiaTheme="minorEastAsia" w:hAnsiTheme="minorHAnsi" w:cstheme="minorBidi"/>
          <w:i w:val="0"/>
          <w:sz w:val="22"/>
          <w:szCs w:val="22"/>
          <w:lang w:val="en-US" w:eastAsia="en-US"/>
        </w:rPr>
      </w:pPr>
      <w:hyperlink w:anchor="_Toc51834304" w:history="1">
        <w:r w:rsidR="00B33D23" w:rsidRPr="000750A2">
          <w:rPr>
            <w:rStyle w:val="Hyperlink"/>
            <w:b/>
            <w14:scene3d>
              <w14:camera w14:prst="orthographicFront"/>
              <w14:lightRig w14:rig="threePt" w14:dir="t">
                <w14:rot w14:lat="0" w14:lon="0" w14:rev="0"/>
              </w14:lightRig>
            </w14:scene3d>
          </w:rPr>
          <w:t>(e)</w:t>
        </w:r>
        <w:r w:rsidR="00B33D23">
          <w:rPr>
            <w:rFonts w:asciiTheme="minorHAnsi" w:eastAsiaTheme="minorEastAsia" w:hAnsiTheme="minorHAnsi" w:cstheme="minorBidi"/>
            <w:i w:val="0"/>
            <w:sz w:val="22"/>
            <w:szCs w:val="22"/>
            <w:lang w:val="en-US" w:eastAsia="en-US"/>
          </w:rPr>
          <w:tab/>
        </w:r>
        <w:r w:rsidR="00B33D23" w:rsidRPr="000750A2">
          <w:rPr>
            <w:rStyle w:val="Hyperlink"/>
            <w:b/>
          </w:rPr>
          <w:t>Effectiveness of NDIS supports</w:t>
        </w:r>
        <w:r w:rsidR="00B33D23">
          <w:rPr>
            <w:webHidden/>
          </w:rPr>
          <w:tab/>
        </w:r>
        <w:r w:rsidR="00B33D23">
          <w:rPr>
            <w:webHidden/>
          </w:rPr>
          <w:fldChar w:fldCharType="begin"/>
        </w:r>
        <w:r w:rsidR="00B33D23">
          <w:rPr>
            <w:webHidden/>
          </w:rPr>
          <w:instrText xml:space="preserve"> PAGEREF _Toc51834304 \h </w:instrText>
        </w:r>
        <w:r w:rsidR="00B33D23">
          <w:rPr>
            <w:webHidden/>
          </w:rPr>
        </w:r>
        <w:r w:rsidR="00B33D23">
          <w:rPr>
            <w:webHidden/>
          </w:rPr>
          <w:fldChar w:fldCharType="separate"/>
        </w:r>
        <w:r w:rsidR="003944D6">
          <w:rPr>
            <w:webHidden/>
          </w:rPr>
          <w:t>52</w:t>
        </w:r>
        <w:r w:rsidR="00B33D23">
          <w:rPr>
            <w:webHidden/>
          </w:rPr>
          <w:fldChar w:fldCharType="end"/>
        </w:r>
      </w:hyperlink>
    </w:p>
    <w:p w14:paraId="3FAAE263" w14:textId="21B25868" w:rsidR="00B33D23" w:rsidRDefault="00B0600E">
      <w:pPr>
        <w:pStyle w:val="TOC1"/>
        <w:rPr>
          <w:rFonts w:asciiTheme="minorHAnsi" w:eastAsiaTheme="minorEastAsia" w:hAnsiTheme="minorHAnsi" w:cstheme="minorBidi"/>
          <w:b w:val="0"/>
          <w:sz w:val="22"/>
          <w:szCs w:val="22"/>
          <w:lang w:val="en-US" w:eastAsia="en-US"/>
        </w:rPr>
      </w:pPr>
      <w:hyperlink w:anchor="_Toc51834305" w:history="1">
        <w:r w:rsidR="00B33D23" w:rsidRPr="000750A2">
          <w:rPr>
            <w:rStyle w:val="Hyperlink"/>
            <w:rFonts w:eastAsia="Open Sans" w:cs="Open Sans"/>
          </w:rPr>
          <w:t>6</w:t>
        </w:r>
        <w:r w:rsidR="00B33D23">
          <w:rPr>
            <w:rFonts w:asciiTheme="minorHAnsi" w:eastAsiaTheme="minorEastAsia" w:hAnsiTheme="minorHAnsi" w:cstheme="minorBidi"/>
            <w:b w:val="0"/>
            <w:sz w:val="22"/>
            <w:szCs w:val="22"/>
            <w:lang w:val="en-US" w:eastAsia="en-US"/>
          </w:rPr>
          <w:tab/>
        </w:r>
        <w:r w:rsidR="00B33D23" w:rsidRPr="000750A2">
          <w:rPr>
            <w:rStyle w:val="Hyperlink"/>
          </w:rPr>
          <w:t>Appendix A:  Overview of Disability Discrimination Act Complaints in the area of employment (2013</w:t>
        </w:r>
        <w:r w:rsidR="00B33D23" w:rsidRPr="000750A2">
          <w:rPr>
            <w:rStyle w:val="Hyperlink"/>
            <w:rFonts w:ascii="Calibri" w:eastAsia="Calibri" w:hAnsi="Calibri" w:cs="Calibri"/>
          </w:rPr>
          <w:t>─</w:t>
        </w:r>
        <w:r w:rsidR="00B33D23" w:rsidRPr="000750A2">
          <w:rPr>
            <w:rStyle w:val="Hyperlink"/>
          </w:rPr>
          <w:t>2019)</w:t>
        </w:r>
        <w:r w:rsidR="00B33D23">
          <w:rPr>
            <w:webHidden/>
          </w:rPr>
          <w:tab/>
        </w:r>
        <w:r w:rsidR="00B33D23">
          <w:rPr>
            <w:webHidden/>
          </w:rPr>
          <w:fldChar w:fldCharType="begin"/>
        </w:r>
        <w:r w:rsidR="00B33D23">
          <w:rPr>
            <w:webHidden/>
          </w:rPr>
          <w:instrText xml:space="preserve"> PAGEREF _Toc51834305 \h </w:instrText>
        </w:r>
        <w:r w:rsidR="00B33D23">
          <w:rPr>
            <w:webHidden/>
          </w:rPr>
        </w:r>
        <w:r w:rsidR="00B33D23">
          <w:rPr>
            <w:webHidden/>
          </w:rPr>
          <w:fldChar w:fldCharType="separate"/>
        </w:r>
        <w:r w:rsidR="003944D6">
          <w:rPr>
            <w:webHidden/>
          </w:rPr>
          <w:t>54</w:t>
        </w:r>
        <w:r w:rsidR="00B33D23">
          <w:rPr>
            <w:webHidden/>
          </w:rPr>
          <w:fldChar w:fldCharType="end"/>
        </w:r>
      </w:hyperlink>
    </w:p>
    <w:p w14:paraId="09D6C679" w14:textId="19BBCD7A" w:rsidR="00C86324" w:rsidRPr="003F4CE1" w:rsidRDefault="000E4837">
      <w:pPr>
        <w:spacing w:before="0" w:after="0"/>
        <w:rPr>
          <w:b/>
        </w:rPr>
      </w:pPr>
      <w:r w:rsidRPr="003F4CE1">
        <w:rPr>
          <w:b/>
        </w:rPr>
        <w:fldChar w:fldCharType="end"/>
      </w:r>
      <w:r w:rsidR="00C86324" w:rsidRPr="003F4CE1">
        <w:br w:type="page"/>
      </w:r>
    </w:p>
    <w:p w14:paraId="5C74851D" w14:textId="35406B1C" w:rsidR="00B24C69" w:rsidRPr="003F4CE1" w:rsidRDefault="009F2764" w:rsidP="00B24C69">
      <w:pPr>
        <w:pStyle w:val="Heading1"/>
        <w:rPr>
          <w:color w:val="000000" w:themeColor="text1"/>
        </w:rPr>
      </w:pPr>
      <w:bookmarkStart w:id="2" w:name="_Toc207761830"/>
      <w:bookmarkStart w:id="3" w:name="_Toc209578266"/>
      <w:bookmarkStart w:id="4" w:name="_Toc209941766"/>
      <w:bookmarkStart w:id="5" w:name="_Toc525894098"/>
      <w:bookmarkStart w:id="6" w:name="_Toc45727489"/>
      <w:bookmarkStart w:id="7" w:name="_Toc51834263"/>
      <w:r w:rsidRPr="003F4CE1">
        <w:lastRenderedPageBreak/>
        <w:t>Introduction</w:t>
      </w:r>
      <w:bookmarkEnd w:id="2"/>
      <w:bookmarkEnd w:id="3"/>
      <w:bookmarkEnd w:id="4"/>
      <w:bookmarkEnd w:id="5"/>
      <w:bookmarkEnd w:id="6"/>
      <w:bookmarkEnd w:id="7"/>
    </w:p>
    <w:p w14:paraId="4A5D9923" w14:textId="5EF5EC1C" w:rsidR="5E1BF1E0" w:rsidRPr="003F4CE1" w:rsidRDefault="51C98438" w:rsidP="0049615F">
      <w:pPr>
        <w:pStyle w:val="ListNumber"/>
      </w:pPr>
      <w:r>
        <w:t>The</w:t>
      </w:r>
      <w:r w:rsidR="00573BA7">
        <w:t xml:space="preserve"> </w:t>
      </w:r>
      <w:r>
        <w:t>Australian</w:t>
      </w:r>
      <w:r w:rsidR="00573BA7">
        <w:t xml:space="preserve"> </w:t>
      </w:r>
      <w:r>
        <w:t>Human</w:t>
      </w:r>
      <w:r w:rsidR="00573BA7">
        <w:t xml:space="preserve"> </w:t>
      </w:r>
      <w:r>
        <w:t>Rights</w:t>
      </w:r>
      <w:r w:rsidR="00573BA7">
        <w:t xml:space="preserve"> </w:t>
      </w:r>
      <w:r>
        <w:t>Commission</w:t>
      </w:r>
      <w:r w:rsidR="00573BA7">
        <w:t xml:space="preserve"> </w:t>
      </w:r>
      <w:r>
        <w:t>(the</w:t>
      </w:r>
      <w:r w:rsidR="00573BA7">
        <w:t xml:space="preserve"> </w:t>
      </w:r>
      <w:r>
        <w:t>Commission)</w:t>
      </w:r>
      <w:r w:rsidR="00573BA7">
        <w:t xml:space="preserve"> </w:t>
      </w:r>
      <w:r>
        <w:t>welcomes</w:t>
      </w:r>
      <w:r w:rsidR="00573BA7">
        <w:t xml:space="preserve"> </w:t>
      </w:r>
      <w:r>
        <w:t>the</w:t>
      </w:r>
      <w:r w:rsidR="00573BA7">
        <w:t xml:space="preserve"> </w:t>
      </w:r>
      <w:r>
        <w:t>opportunity</w:t>
      </w:r>
      <w:r w:rsidR="00573BA7">
        <w:t xml:space="preserve"> </w:t>
      </w:r>
      <w:r>
        <w:t>to</w:t>
      </w:r>
      <w:r w:rsidR="00573BA7">
        <w:t xml:space="preserve"> </w:t>
      </w:r>
      <w:r>
        <w:t>provide</w:t>
      </w:r>
      <w:r w:rsidR="00573BA7">
        <w:t xml:space="preserve"> </w:t>
      </w:r>
      <w:r>
        <w:t>this</w:t>
      </w:r>
      <w:r w:rsidR="00573BA7">
        <w:t xml:space="preserve"> </w:t>
      </w:r>
      <w:r>
        <w:t>submission</w:t>
      </w:r>
      <w:r w:rsidR="00573BA7">
        <w:t xml:space="preserve"> </w:t>
      </w:r>
      <w:r>
        <w:t>to</w:t>
      </w:r>
      <w:r w:rsidR="00573BA7">
        <w:t xml:space="preserve"> </w:t>
      </w:r>
      <w:r>
        <w:t>the</w:t>
      </w:r>
      <w:r w:rsidR="00573BA7">
        <w:t xml:space="preserve"> </w:t>
      </w:r>
      <w:r>
        <w:t>Royal</w:t>
      </w:r>
      <w:r w:rsidR="00573BA7">
        <w:t xml:space="preserve"> </w:t>
      </w:r>
      <w:r>
        <w:t>Commission</w:t>
      </w:r>
      <w:r w:rsidR="00573BA7">
        <w:t xml:space="preserve"> </w:t>
      </w:r>
      <w:r>
        <w:t>into</w:t>
      </w:r>
      <w:r w:rsidR="00573BA7">
        <w:t xml:space="preserve"> </w:t>
      </w:r>
      <w:r>
        <w:t>Violence,</w:t>
      </w:r>
      <w:r w:rsidR="00573BA7">
        <w:t xml:space="preserve"> </w:t>
      </w:r>
      <w:r>
        <w:t>Abuse,</w:t>
      </w:r>
      <w:r w:rsidR="00573BA7">
        <w:t xml:space="preserve"> </w:t>
      </w:r>
      <w:r>
        <w:t>Neglect</w:t>
      </w:r>
      <w:r w:rsidR="00573BA7">
        <w:t xml:space="preserve"> </w:t>
      </w:r>
      <w:r>
        <w:t>and</w:t>
      </w:r>
      <w:r w:rsidR="00573BA7">
        <w:t xml:space="preserve"> </w:t>
      </w:r>
      <w:r>
        <w:t>Exploitation</w:t>
      </w:r>
      <w:r w:rsidR="00573BA7">
        <w:t xml:space="preserve"> </w:t>
      </w:r>
      <w:r>
        <w:t>of</w:t>
      </w:r>
      <w:r w:rsidR="00573BA7">
        <w:t xml:space="preserve"> </w:t>
      </w:r>
      <w:r>
        <w:t>People</w:t>
      </w:r>
      <w:r w:rsidR="00573BA7">
        <w:t xml:space="preserve"> </w:t>
      </w:r>
      <w:r>
        <w:t>with</w:t>
      </w:r>
      <w:r w:rsidR="00573BA7">
        <w:t xml:space="preserve"> </w:t>
      </w:r>
      <w:r>
        <w:t>Disability</w:t>
      </w:r>
      <w:r w:rsidR="00573BA7">
        <w:t xml:space="preserve"> </w:t>
      </w:r>
      <w:r>
        <w:t>(the</w:t>
      </w:r>
      <w:r w:rsidR="00573BA7">
        <w:t xml:space="preserve"> </w:t>
      </w:r>
      <w:r>
        <w:t>Royal</w:t>
      </w:r>
      <w:r w:rsidR="00573BA7">
        <w:t xml:space="preserve"> </w:t>
      </w:r>
      <w:r>
        <w:t>Commission).</w:t>
      </w:r>
      <w:r w:rsidR="00573BA7">
        <w:t xml:space="preserve"> </w:t>
      </w:r>
    </w:p>
    <w:p w14:paraId="264D0E88" w14:textId="7636056B" w:rsidR="002D316C" w:rsidRPr="003F4CE1" w:rsidRDefault="002D316C" w:rsidP="002D316C">
      <w:pPr>
        <w:pStyle w:val="ListNumber"/>
      </w:pPr>
      <w:r>
        <w:t>The</w:t>
      </w:r>
      <w:r w:rsidR="00573BA7">
        <w:t xml:space="preserve"> </w:t>
      </w:r>
      <w:r>
        <w:t>Royal</w:t>
      </w:r>
      <w:r w:rsidR="00573BA7">
        <w:t xml:space="preserve"> </w:t>
      </w:r>
      <w:r>
        <w:t>Commission</w:t>
      </w:r>
      <w:r w:rsidR="00573BA7">
        <w:t xml:space="preserve"> </w:t>
      </w:r>
      <w:r>
        <w:t>provides</w:t>
      </w:r>
      <w:r w:rsidR="00573BA7">
        <w:t xml:space="preserve"> </w:t>
      </w:r>
      <w:r>
        <w:t>an</w:t>
      </w:r>
      <w:r w:rsidR="00573BA7">
        <w:t xml:space="preserve"> </w:t>
      </w:r>
      <w:r>
        <w:t>important</w:t>
      </w:r>
      <w:r w:rsidR="00573BA7">
        <w:t xml:space="preserve"> </w:t>
      </w:r>
      <w:r>
        <w:t>opportunity</w:t>
      </w:r>
      <w:r w:rsidR="00573BA7">
        <w:t xml:space="preserve"> </w:t>
      </w:r>
      <w:r>
        <w:t>to</w:t>
      </w:r>
      <w:r w:rsidR="00573BA7">
        <w:t xml:space="preserve"> </w:t>
      </w:r>
      <w:r>
        <w:t>prevent</w:t>
      </w:r>
      <w:r w:rsidR="00573BA7">
        <w:t xml:space="preserve"> </w:t>
      </w:r>
      <w:r>
        <w:t>and</w:t>
      </w:r>
      <w:r w:rsidR="00573BA7">
        <w:t xml:space="preserve"> </w:t>
      </w:r>
      <w:r>
        <w:t>redress</w:t>
      </w:r>
      <w:r w:rsidR="00573BA7">
        <w:t xml:space="preserve"> </w:t>
      </w:r>
      <w:r>
        <w:t>violence,</w:t>
      </w:r>
      <w:r w:rsidR="00573BA7">
        <w:t xml:space="preserve"> </w:t>
      </w:r>
      <w:r>
        <w:t>abuse,</w:t>
      </w:r>
      <w:r w:rsidR="00573BA7">
        <w:t xml:space="preserve"> </w:t>
      </w:r>
      <w:r>
        <w:t>neglect</w:t>
      </w:r>
      <w:r w:rsidR="00573BA7">
        <w:t xml:space="preserve"> </w:t>
      </w:r>
      <w:r>
        <w:t>and</w:t>
      </w:r>
      <w:r w:rsidR="00573BA7">
        <w:t xml:space="preserve"> </w:t>
      </w:r>
      <w:r>
        <w:t>exploitation</w:t>
      </w:r>
      <w:r w:rsidR="00573BA7">
        <w:t xml:space="preserve"> </w:t>
      </w:r>
      <w:r>
        <w:t>of</w:t>
      </w:r>
      <w:r w:rsidR="00573BA7">
        <w:t xml:space="preserve"> </w:t>
      </w:r>
      <w:r>
        <w:t>people</w:t>
      </w:r>
      <w:r w:rsidR="00573BA7">
        <w:t xml:space="preserve"> </w:t>
      </w:r>
      <w:r>
        <w:t>with</w:t>
      </w:r>
      <w:r w:rsidR="00573BA7">
        <w:t xml:space="preserve"> </w:t>
      </w:r>
      <w:r>
        <w:t>disability.</w:t>
      </w:r>
      <w:r w:rsidR="00573BA7">
        <w:t xml:space="preserve"> </w:t>
      </w:r>
      <w:r>
        <w:t>More</w:t>
      </w:r>
      <w:r w:rsidR="00573BA7">
        <w:t xml:space="preserve"> </w:t>
      </w:r>
      <w:r>
        <w:t>generally,</w:t>
      </w:r>
      <w:r w:rsidR="00573BA7">
        <w:t xml:space="preserve"> </w:t>
      </w:r>
      <w:r>
        <w:t>the</w:t>
      </w:r>
      <w:r w:rsidR="00573BA7">
        <w:t xml:space="preserve"> </w:t>
      </w:r>
      <w:r>
        <w:t>Royal</w:t>
      </w:r>
      <w:r w:rsidR="00573BA7">
        <w:t xml:space="preserve"> </w:t>
      </w:r>
      <w:r>
        <w:t>Commission</w:t>
      </w:r>
      <w:r w:rsidR="00573BA7">
        <w:t xml:space="preserve"> </w:t>
      </w:r>
      <w:r>
        <w:t>has</w:t>
      </w:r>
      <w:r w:rsidR="00573BA7">
        <w:t xml:space="preserve"> </w:t>
      </w:r>
      <w:r>
        <w:t>the</w:t>
      </w:r>
      <w:r w:rsidR="00573BA7">
        <w:t xml:space="preserve"> </w:t>
      </w:r>
      <w:r>
        <w:t>potential</w:t>
      </w:r>
      <w:r w:rsidR="00573BA7">
        <w:t xml:space="preserve"> </w:t>
      </w:r>
      <w:r>
        <w:t>to</w:t>
      </w:r>
      <w:r w:rsidR="00573BA7">
        <w:t xml:space="preserve"> </w:t>
      </w:r>
      <w:r>
        <w:t>play</w:t>
      </w:r>
      <w:r w:rsidR="00573BA7">
        <w:t xml:space="preserve"> </w:t>
      </w:r>
      <w:r>
        <w:t>a</w:t>
      </w:r>
      <w:r w:rsidR="00573BA7">
        <w:t xml:space="preserve"> </w:t>
      </w:r>
      <w:r>
        <w:t>key</w:t>
      </w:r>
      <w:r w:rsidR="00573BA7">
        <w:t xml:space="preserve"> </w:t>
      </w:r>
      <w:r>
        <w:t>role</w:t>
      </w:r>
      <w:r w:rsidR="00573BA7">
        <w:t xml:space="preserve"> </w:t>
      </w:r>
      <w:r>
        <w:t>in</w:t>
      </w:r>
      <w:r w:rsidR="00573BA7">
        <w:t xml:space="preserve"> </w:t>
      </w:r>
      <w:r>
        <w:t>upholding</w:t>
      </w:r>
      <w:r w:rsidR="00573BA7">
        <w:t xml:space="preserve"> </w:t>
      </w:r>
      <w:r>
        <w:t>the</w:t>
      </w:r>
      <w:r w:rsidR="00573BA7">
        <w:t xml:space="preserve"> </w:t>
      </w:r>
      <w:r>
        <w:t>equality,</w:t>
      </w:r>
      <w:r w:rsidR="00573BA7">
        <w:t xml:space="preserve"> </w:t>
      </w:r>
      <w:r>
        <w:t>dignity</w:t>
      </w:r>
      <w:r w:rsidR="00573BA7">
        <w:t xml:space="preserve"> </w:t>
      </w:r>
      <w:r>
        <w:t>and</w:t>
      </w:r>
      <w:r w:rsidR="00573BA7">
        <w:t xml:space="preserve"> </w:t>
      </w:r>
      <w:r>
        <w:t>autonomy</w:t>
      </w:r>
      <w:r w:rsidR="00573BA7">
        <w:t xml:space="preserve"> </w:t>
      </w:r>
      <w:r>
        <w:t>of</w:t>
      </w:r>
      <w:r w:rsidR="00573BA7">
        <w:t xml:space="preserve"> </w:t>
      </w:r>
      <w:r>
        <w:t>people</w:t>
      </w:r>
      <w:r w:rsidR="00573BA7">
        <w:t xml:space="preserve"> </w:t>
      </w:r>
      <w:r>
        <w:t>with</w:t>
      </w:r>
      <w:r w:rsidR="00573BA7">
        <w:t xml:space="preserve"> </w:t>
      </w:r>
      <w:r>
        <w:t>disability</w:t>
      </w:r>
      <w:r w:rsidR="00573BA7">
        <w:t xml:space="preserve"> </w:t>
      </w:r>
      <w:r>
        <w:t>and</w:t>
      </w:r>
      <w:r w:rsidR="00573BA7">
        <w:t xml:space="preserve"> </w:t>
      </w:r>
      <w:r>
        <w:t>ensuring</w:t>
      </w:r>
      <w:r w:rsidR="00573BA7">
        <w:t xml:space="preserve"> </w:t>
      </w:r>
      <w:r>
        <w:t>their</w:t>
      </w:r>
      <w:r w:rsidR="00573BA7">
        <w:t xml:space="preserve"> </w:t>
      </w:r>
      <w:r>
        <w:t>full</w:t>
      </w:r>
      <w:r w:rsidR="00573BA7">
        <w:t xml:space="preserve"> </w:t>
      </w:r>
      <w:r>
        <w:t>participation</w:t>
      </w:r>
      <w:r w:rsidR="00573BA7">
        <w:t xml:space="preserve"> </w:t>
      </w:r>
      <w:r>
        <w:t>and</w:t>
      </w:r>
      <w:r w:rsidR="00573BA7">
        <w:t xml:space="preserve"> </w:t>
      </w:r>
      <w:r>
        <w:t>inclusion</w:t>
      </w:r>
      <w:r w:rsidR="00573BA7">
        <w:t xml:space="preserve"> </w:t>
      </w:r>
      <w:r>
        <w:t>in</w:t>
      </w:r>
      <w:r w:rsidR="00573BA7">
        <w:t xml:space="preserve"> </w:t>
      </w:r>
      <w:r>
        <w:t>Australian</w:t>
      </w:r>
      <w:r w:rsidR="00573BA7">
        <w:t xml:space="preserve"> </w:t>
      </w:r>
      <w:r>
        <w:t>society.</w:t>
      </w:r>
      <w:r w:rsidR="00573BA7">
        <w:t xml:space="preserve"> </w:t>
      </w:r>
      <w:r>
        <w:t>Ultimately</w:t>
      </w:r>
      <w:r w:rsidR="00573BA7">
        <w:t xml:space="preserve"> </w:t>
      </w:r>
      <w:r>
        <w:t>this</w:t>
      </w:r>
      <w:r w:rsidR="00573BA7">
        <w:t xml:space="preserve"> </w:t>
      </w:r>
      <w:r>
        <w:t>will</w:t>
      </w:r>
      <w:r w:rsidR="00573BA7">
        <w:t xml:space="preserve"> </w:t>
      </w:r>
      <w:r>
        <w:t>benefit</w:t>
      </w:r>
      <w:r w:rsidR="00573BA7">
        <w:t xml:space="preserve"> </w:t>
      </w:r>
      <w:r>
        <w:t>all</w:t>
      </w:r>
      <w:r w:rsidR="00573BA7">
        <w:t xml:space="preserve"> </w:t>
      </w:r>
      <w:r>
        <w:t>Australians,</w:t>
      </w:r>
      <w:r w:rsidR="00573BA7">
        <w:t xml:space="preserve"> </w:t>
      </w:r>
      <w:r>
        <w:t>with</w:t>
      </w:r>
      <w:r w:rsidR="00573BA7">
        <w:t xml:space="preserve"> </w:t>
      </w:r>
      <w:r>
        <w:t>and</w:t>
      </w:r>
      <w:r w:rsidR="00573BA7">
        <w:t xml:space="preserve"> </w:t>
      </w:r>
      <w:r>
        <w:t>without</w:t>
      </w:r>
      <w:r w:rsidR="00573BA7">
        <w:t xml:space="preserve"> </w:t>
      </w:r>
      <w:r>
        <w:t>disability.</w:t>
      </w:r>
      <w:r w:rsidR="00573BA7">
        <w:t xml:space="preserve"> </w:t>
      </w:r>
    </w:p>
    <w:p w14:paraId="5BADC947" w14:textId="1EE7284E" w:rsidR="5E1BF1E0" w:rsidRPr="003F4CE1" w:rsidRDefault="51C98438" w:rsidP="466A7A98">
      <w:pPr>
        <w:pStyle w:val="ListNumber"/>
        <w:rPr>
          <w:rFonts w:eastAsia="Open Sans" w:cs="Open Sans"/>
        </w:rPr>
      </w:pPr>
      <w:r>
        <w:t>The</w:t>
      </w:r>
      <w:r w:rsidR="00573BA7">
        <w:t xml:space="preserve"> </w:t>
      </w:r>
      <w:r>
        <w:t>Commission</w:t>
      </w:r>
      <w:r w:rsidR="00573BA7">
        <w:t xml:space="preserve"> </w:t>
      </w:r>
      <w:r>
        <w:t>is</w:t>
      </w:r>
      <w:r w:rsidR="00573BA7">
        <w:t xml:space="preserve"> </w:t>
      </w:r>
      <w:r>
        <w:t>Australia’s</w:t>
      </w:r>
      <w:r w:rsidR="00573BA7">
        <w:t xml:space="preserve"> </w:t>
      </w:r>
      <w:r w:rsidR="00C32352">
        <w:t>n</w:t>
      </w:r>
      <w:r>
        <w:t>ational</w:t>
      </w:r>
      <w:r w:rsidR="00573BA7">
        <w:t xml:space="preserve"> </w:t>
      </w:r>
      <w:r w:rsidR="00C32352">
        <w:t>h</w:t>
      </w:r>
      <w:r>
        <w:t>uman</w:t>
      </w:r>
      <w:r w:rsidR="00573BA7">
        <w:t xml:space="preserve"> </w:t>
      </w:r>
      <w:r w:rsidR="00C32352">
        <w:t>r</w:t>
      </w:r>
      <w:r>
        <w:t>ights</w:t>
      </w:r>
      <w:r w:rsidR="00573BA7">
        <w:t xml:space="preserve"> </w:t>
      </w:r>
      <w:r w:rsidR="00C32352">
        <w:t>i</w:t>
      </w:r>
      <w:r>
        <w:t>nstitution,</w:t>
      </w:r>
      <w:r w:rsidR="00573BA7">
        <w:t xml:space="preserve"> </w:t>
      </w:r>
      <w:r>
        <w:t>with</w:t>
      </w:r>
      <w:r w:rsidR="00573BA7">
        <w:t xml:space="preserve"> </w:t>
      </w:r>
      <w:r>
        <w:t>recognised</w:t>
      </w:r>
      <w:r w:rsidR="00573BA7">
        <w:t xml:space="preserve"> </w:t>
      </w:r>
      <w:r>
        <w:t>independent</w:t>
      </w:r>
      <w:r w:rsidR="00573BA7">
        <w:t xml:space="preserve"> </w:t>
      </w:r>
      <w:r>
        <w:t>status</w:t>
      </w:r>
      <w:r w:rsidR="00573BA7">
        <w:t xml:space="preserve"> </w:t>
      </w:r>
      <w:r>
        <w:t>and</w:t>
      </w:r>
      <w:r w:rsidR="00573BA7">
        <w:t xml:space="preserve"> </w:t>
      </w:r>
      <w:r>
        <w:t>roles</w:t>
      </w:r>
      <w:r w:rsidR="00573BA7">
        <w:t xml:space="preserve"> </w:t>
      </w:r>
      <w:r>
        <w:t>in</w:t>
      </w:r>
      <w:r w:rsidR="00573BA7">
        <w:t xml:space="preserve"> </w:t>
      </w:r>
      <w:r>
        <w:t>United</w:t>
      </w:r>
      <w:r w:rsidR="00573BA7">
        <w:t xml:space="preserve"> </w:t>
      </w:r>
      <w:r>
        <w:t>Nations</w:t>
      </w:r>
      <w:r w:rsidR="00573BA7">
        <w:t xml:space="preserve"> </w:t>
      </w:r>
      <w:r>
        <w:t>human</w:t>
      </w:r>
      <w:r w:rsidR="00573BA7">
        <w:t xml:space="preserve"> </w:t>
      </w:r>
      <w:r>
        <w:t>rights</w:t>
      </w:r>
      <w:r w:rsidR="00573BA7">
        <w:t xml:space="preserve"> </w:t>
      </w:r>
      <w:r>
        <w:t>fora.</w:t>
      </w:r>
      <w:r w:rsidR="00573BA7">
        <w:t xml:space="preserve"> </w:t>
      </w:r>
      <w:r>
        <w:t>The</w:t>
      </w:r>
      <w:r w:rsidR="00573BA7">
        <w:t xml:space="preserve"> </w:t>
      </w:r>
      <w:r>
        <w:t>Commission’s</w:t>
      </w:r>
      <w:r w:rsidR="00573BA7">
        <w:t xml:space="preserve"> </w:t>
      </w:r>
      <w:r>
        <w:t>purpose</w:t>
      </w:r>
      <w:r w:rsidR="00573BA7">
        <w:t xml:space="preserve"> </w:t>
      </w:r>
      <w:r>
        <w:t>is</w:t>
      </w:r>
      <w:r w:rsidR="00573BA7">
        <w:t xml:space="preserve"> </w:t>
      </w:r>
      <w:r>
        <w:t>to</w:t>
      </w:r>
      <w:r w:rsidR="00573BA7">
        <w:t xml:space="preserve"> </w:t>
      </w:r>
      <w:r>
        <w:t>provide</w:t>
      </w:r>
      <w:r w:rsidR="00573BA7">
        <w:t xml:space="preserve"> </w:t>
      </w:r>
      <w:r>
        <w:t>independent</w:t>
      </w:r>
      <w:r w:rsidR="00573BA7">
        <w:t xml:space="preserve"> </w:t>
      </w:r>
      <w:r>
        <w:t>and</w:t>
      </w:r>
      <w:r w:rsidR="00573BA7">
        <w:t xml:space="preserve"> </w:t>
      </w:r>
      <w:r>
        <w:t>impartial</w:t>
      </w:r>
      <w:r w:rsidR="00573BA7">
        <w:t xml:space="preserve"> </w:t>
      </w:r>
      <w:r>
        <w:t>services</w:t>
      </w:r>
      <w:r w:rsidR="00573BA7">
        <w:t xml:space="preserve"> </w:t>
      </w:r>
      <w:r>
        <w:t>to</w:t>
      </w:r>
      <w:r w:rsidR="00573BA7">
        <w:t xml:space="preserve"> </w:t>
      </w:r>
      <w:r>
        <w:t>promote</w:t>
      </w:r>
      <w:r w:rsidR="00573BA7">
        <w:t xml:space="preserve"> </w:t>
      </w:r>
      <w:r>
        <w:t>and</w:t>
      </w:r>
      <w:r w:rsidR="00573BA7">
        <w:t xml:space="preserve"> </w:t>
      </w:r>
      <w:r>
        <w:t>protect</w:t>
      </w:r>
      <w:r w:rsidR="00573BA7">
        <w:t xml:space="preserve"> </w:t>
      </w:r>
      <w:r>
        <w:t>human</w:t>
      </w:r>
      <w:r w:rsidR="00573BA7">
        <w:t xml:space="preserve"> </w:t>
      </w:r>
      <w:r>
        <w:t>rights</w:t>
      </w:r>
      <w:r w:rsidR="00573BA7">
        <w:t xml:space="preserve"> </w:t>
      </w:r>
      <w:r>
        <w:t>and</w:t>
      </w:r>
      <w:r w:rsidR="00573BA7">
        <w:t xml:space="preserve"> </w:t>
      </w:r>
      <w:r>
        <w:t>fundamental</w:t>
      </w:r>
      <w:r w:rsidR="00573BA7">
        <w:t xml:space="preserve"> </w:t>
      </w:r>
      <w:r>
        <w:t>freedoms.</w:t>
      </w:r>
      <w:r w:rsidR="00573BA7">
        <w:t xml:space="preserve"> </w:t>
      </w:r>
      <w:r>
        <w:t>The</w:t>
      </w:r>
      <w:r w:rsidR="00573BA7">
        <w:t xml:space="preserve"> </w:t>
      </w:r>
      <w:r>
        <w:t>Commission</w:t>
      </w:r>
      <w:r w:rsidR="00573BA7">
        <w:t xml:space="preserve"> </w:t>
      </w:r>
      <w:r>
        <w:t>undertakes</w:t>
      </w:r>
      <w:r w:rsidR="00573BA7">
        <w:t xml:space="preserve"> </w:t>
      </w:r>
      <w:r>
        <w:t>a</w:t>
      </w:r>
      <w:r w:rsidR="00573BA7">
        <w:t xml:space="preserve"> </w:t>
      </w:r>
      <w:r>
        <w:t>range</w:t>
      </w:r>
      <w:r w:rsidR="00573BA7">
        <w:t xml:space="preserve"> </w:t>
      </w:r>
      <w:r>
        <w:t>of</w:t>
      </w:r>
      <w:r w:rsidR="00573BA7">
        <w:t xml:space="preserve"> </w:t>
      </w:r>
      <w:r>
        <w:t>policy</w:t>
      </w:r>
      <w:r w:rsidR="00573BA7">
        <w:t xml:space="preserve"> </w:t>
      </w:r>
      <w:r>
        <w:t>development</w:t>
      </w:r>
      <w:r w:rsidR="00573BA7">
        <w:t xml:space="preserve"> </w:t>
      </w:r>
      <w:r>
        <w:t>and</w:t>
      </w:r>
      <w:r w:rsidR="00573BA7">
        <w:t xml:space="preserve"> </w:t>
      </w:r>
      <w:r>
        <w:t>research</w:t>
      </w:r>
      <w:r w:rsidR="00573BA7">
        <w:t xml:space="preserve"> </w:t>
      </w:r>
      <w:r>
        <w:t>tasks</w:t>
      </w:r>
      <w:r w:rsidR="00573BA7">
        <w:t xml:space="preserve"> </w:t>
      </w:r>
      <w:r>
        <w:t>that</w:t>
      </w:r>
      <w:r w:rsidR="00573BA7">
        <w:t xml:space="preserve"> </w:t>
      </w:r>
      <w:r>
        <w:t>aim</w:t>
      </w:r>
      <w:r w:rsidR="00573BA7">
        <w:t xml:space="preserve"> </w:t>
      </w:r>
      <w:r>
        <w:t>to</w:t>
      </w:r>
      <w:r w:rsidR="00573BA7">
        <w:t xml:space="preserve"> </w:t>
      </w:r>
      <w:r>
        <w:t>promote</w:t>
      </w:r>
      <w:r w:rsidR="00573BA7">
        <w:t xml:space="preserve"> </w:t>
      </w:r>
      <w:r>
        <w:t>compliance</w:t>
      </w:r>
      <w:r w:rsidR="00573BA7">
        <w:t xml:space="preserve"> </w:t>
      </w:r>
      <w:r>
        <w:t>with</w:t>
      </w:r>
      <w:r w:rsidR="00573BA7">
        <w:t xml:space="preserve"> </w:t>
      </w:r>
      <w:r>
        <w:t>Australia</w:t>
      </w:r>
      <w:r w:rsidR="3C577362">
        <w:t>’</w:t>
      </w:r>
      <w:r>
        <w:t>s</w:t>
      </w:r>
      <w:r w:rsidR="00573BA7">
        <w:t xml:space="preserve"> </w:t>
      </w:r>
      <w:r>
        <w:t>human</w:t>
      </w:r>
      <w:r w:rsidR="00573BA7">
        <w:t xml:space="preserve"> </w:t>
      </w:r>
      <w:r>
        <w:t>rights</w:t>
      </w:r>
      <w:r w:rsidR="00573BA7">
        <w:t xml:space="preserve"> </w:t>
      </w:r>
      <w:r>
        <w:t>obligations,</w:t>
      </w:r>
      <w:r w:rsidR="00573BA7">
        <w:t xml:space="preserve"> </w:t>
      </w:r>
      <w:r>
        <w:t>while</w:t>
      </w:r>
      <w:r w:rsidR="00573BA7">
        <w:t xml:space="preserve"> </w:t>
      </w:r>
      <w:r>
        <w:t>also</w:t>
      </w:r>
      <w:r w:rsidR="00573BA7">
        <w:t xml:space="preserve"> </w:t>
      </w:r>
      <w:r>
        <w:t>investigating</w:t>
      </w:r>
      <w:r w:rsidR="00573BA7">
        <w:t xml:space="preserve"> </w:t>
      </w:r>
      <w:r>
        <w:t>and</w:t>
      </w:r>
      <w:r w:rsidR="00573BA7">
        <w:t xml:space="preserve"> </w:t>
      </w:r>
      <w:r>
        <w:t>conciliating</w:t>
      </w:r>
      <w:r w:rsidR="00573BA7">
        <w:t xml:space="preserve"> </w:t>
      </w:r>
      <w:r>
        <w:t>complaints</w:t>
      </w:r>
      <w:r w:rsidR="00573BA7">
        <w:t xml:space="preserve"> </w:t>
      </w:r>
      <w:r>
        <w:t>of</w:t>
      </w:r>
      <w:r w:rsidR="00573BA7">
        <w:t xml:space="preserve"> </w:t>
      </w:r>
      <w:r>
        <w:t>unlawful</w:t>
      </w:r>
      <w:r w:rsidR="00573BA7">
        <w:t xml:space="preserve"> </w:t>
      </w:r>
      <w:r>
        <w:t>discrimination</w:t>
      </w:r>
      <w:r w:rsidR="00573BA7">
        <w:t xml:space="preserve"> </w:t>
      </w:r>
      <w:r>
        <w:t>and</w:t>
      </w:r>
      <w:r w:rsidR="00573BA7">
        <w:t xml:space="preserve"> </w:t>
      </w:r>
      <w:r>
        <w:t>breaches</w:t>
      </w:r>
      <w:r w:rsidR="00573BA7">
        <w:t xml:space="preserve"> </w:t>
      </w:r>
      <w:r>
        <w:t>of</w:t>
      </w:r>
      <w:r w:rsidR="00573BA7">
        <w:t xml:space="preserve"> </w:t>
      </w:r>
      <w:r>
        <w:t>human</w:t>
      </w:r>
      <w:r w:rsidR="00573BA7">
        <w:t xml:space="preserve"> </w:t>
      </w:r>
      <w:r>
        <w:t>rights.</w:t>
      </w:r>
    </w:p>
    <w:p w14:paraId="54EB9748" w14:textId="2C0033AD" w:rsidR="0032569B" w:rsidRPr="003F4CE1" w:rsidRDefault="0032569B" w:rsidP="466A7A98">
      <w:pPr>
        <w:pStyle w:val="ListNumber"/>
      </w:pPr>
      <w:r>
        <w:t>The</w:t>
      </w:r>
      <w:r w:rsidR="00573BA7">
        <w:t xml:space="preserve"> </w:t>
      </w:r>
      <w:r>
        <w:t>Commission</w:t>
      </w:r>
      <w:r w:rsidR="00573BA7">
        <w:t xml:space="preserve"> </w:t>
      </w:r>
      <w:r>
        <w:t>welcomes</w:t>
      </w:r>
      <w:r w:rsidR="00573BA7">
        <w:t xml:space="preserve"> </w:t>
      </w:r>
      <w:r>
        <w:t>the</w:t>
      </w:r>
      <w:r w:rsidR="00573BA7">
        <w:t xml:space="preserve"> </w:t>
      </w:r>
      <w:r>
        <w:t>endorsement</w:t>
      </w:r>
      <w:r w:rsidR="00573BA7">
        <w:t xml:space="preserve"> </w:t>
      </w:r>
      <w:r>
        <w:t>of</w:t>
      </w:r>
      <w:r w:rsidR="00573BA7">
        <w:t xml:space="preserve"> </w:t>
      </w:r>
      <w:r>
        <w:t>a</w:t>
      </w:r>
      <w:r w:rsidR="00573BA7">
        <w:t xml:space="preserve"> </w:t>
      </w:r>
      <w:r>
        <w:t>human</w:t>
      </w:r>
      <w:r w:rsidR="00573BA7">
        <w:t xml:space="preserve"> </w:t>
      </w:r>
      <w:r>
        <w:t>rights-based</w:t>
      </w:r>
      <w:r w:rsidR="00573BA7">
        <w:t xml:space="preserve"> </w:t>
      </w:r>
      <w:r>
        <w:t>approach</w:t>
      </w:r>
      <w:r w:rsidR="00573BA7">
        <w:t xml:space="preserve"> </w:t>
      </w:r>
      <w:r>
        <w:t>in</w:t>
      </w:r>
      <w:r w:rsidR="00573BA7">
        <w:t xml:space="preserve"> </w:t>
      </w:r>
      <w:r>
        <w:t>the</w:t>
      </w:r>
      <w:r w:rsidR="00573BA7">
        <w:t xml:space="preserve"> </w:t>
      </w:r>
      <w:r>
        <w:t>Royal</w:t>
      </w:r>
      <w:r w:rsidR="00573BA7">
        <w:t xml:space="preserve"> </w:t>
      </w:r>
      <w:r>
        <w:t>Commission’s</w:t>
      </w:r>
      <w:r w:rsidR="00573BA7">
        <w:t xml:space="preserve"> </w:t>
      </w:r>
      <w:r>
        <w:t>Terms</w:t>
      </w:r>
      <w:r w:rsidR="00573BA7">
        <w:t xml:space="preserve"> </w:t>
      </w:r>
      <w:r>
        <w:t>of</w:t>
      </w:r>
      <w:r w:rsidR="00573BA7">
        <w:t xml:space="preserve"> </w:t>
      </w:r>
      <w:r>
        <w:t>Reference.</w:t>
      </w:r>
      <w:r w:rsidR="00573BA7">
        <w:t xml:space="preserve"> </w:t>
      </w:r>
      <w:r>
        <w:t>The</w:t>
      </w:r>
      <w:r w:rsidR="00573BA7">
        <w:t xml:space="preserve"> </w:t>
      </w:r>
      <w:r>
        <w:t>Commission</w:t>
      </w:r>
      <w:r w:rsidR="00573BA7">
        <w:t xml:space="preserve"> </w:t>
      </w:r>
      <w:r>
        <w:t>also</w:t>
      </w:r>
      <w:r w:rsidR="00573BA7">
        <w:t xml:space="preserve"> </w:t>
      </w:r>
      <w:r>
        <w:t>welcomes</w:t>
      </w:r>
      <w:r w:rsidR="00573BA7">
        <w:t xml:space="preserve"> </w:t>
      </w:r>
      <w:r>
        <w:t>the</w:t>
      </w:r>
      <w:r w:rsidR="00573BA7">
        <w:t xml:space="preserve"> </w:t>
      </w:r>
      <w:r>
        <w:t>recognition</w:t>
      </w:r>
      <w:r w:rsidR="00573BA7">
        <w:t xml:space="preserve"> </w:t>
      </w:r>
      <w:r>
        <w:t>in</w:t>
      </w:r>
      <w:r w:rsidR="00573BA7">
        <w:t xml:space="preserve"> </w:t>
      </w:r>
      <w:r>
        <w:t>the</w:t>
      </w:r>
      <w:r w:rsidR="00573BA7">
        <w:t xml:space="preserve"> </w:t>
      </w:r>
      <w:r>
        <w:t>Terms</w:t>
      </w:r>
      <w:r w:rsidR="00573BA7">
        <w:t xml:space="preserve"> </w:t>
      </w:r>
      <w:r>
        <w:t>of</w:t>
      </w:r>
      <w:r w:rsidR="00573BA7">
        <w:t xml:space="preserve"> </w:t>
      </w:r>
      <w:r>
        <w:t>Reference</w:t>
      </w:r>
      <w:r w:rsidR="00573BA7">
        <w:t xml:space="preserve"> </w:t>
      </w:r>
      <w:r>
        <w:t>of</w:t>
      </w:r>
      <w:r w:rsidR="00573BA7">
        <w:t xml:space="preserve"> </w:t>
      </w:r>
      <w:r>
        <w:t>the</w:t>
      </w:r>
      <w:r w:rsidR="00573BA7">
        <w:t xml:space="preserve"> </w:t>
      </w:r>
      <w:r>
        <w:t>intersectional</w:t>
      </w:r>
      <w:r w:rsidR="00573BA7">
        <w:t xml:space="preserve"> </w:t>
      </w:r>
      <w:r>
        <w:t>nature</w:t>
      </w:r>
      <w:r w:rsidR="00573BA7">
        <w:t xml:space="preserve"> </w:t>
      </w:r>
      <w:r>
        <w:t>of</w:t>
      </w:r>
      <w:r w:rsidR="00573BA7">
        <w:t xml:space="preserve"> </w:t>
      </w:r>
      <w:r>
        <w:t>discrimination</w:t>
      </w:r>
      <w:r w:rsidR="00573BA7">
        <w:t xml:space="preserve"> </w:t>
      </w:r>
      <w:r>
        <w:t>and</w:t>
      </w:r>
      <w:r w:rsidR="00573BA7">
        <w:t xml:space="preserve"> </w:t>
      </w:r>
      <w:r>
        <w:t>disadvantage.</w:t>
      </w:r>
      <w:r w:rsidR="00573BA7">
        <w:t xml:space="preserve"> </w:t>
      </w:r>
    </w:p>
    <w:p w14:paraId="52CA4654" w14:textId="2E2E5F6D" w:rsidR="002F79ED" w:rsidRPr="002F79ED" w:rsidRDefault="0032569B" w:rsidP="002F79ED">
      <w:pPr>
        <w:pStyle w:val="ListNumber"/>
      </w:pPr>
      <w:r>
        <w:t>The</w:t>
      </w:r>
      <w:r w:rsidR="00573BA7">
        <w:t xml:space="preserve"> </w:t>
      </w:r>
      <w:r>
        <w:t>Commission</w:t>
      </w:r>
      <w:r w:rsidR="00573BA7">
        <w:t xml:space="preserve"> </w:t>
      </w:r>
      <w:r>
        <w:t>is</w:t>
      </w:r>
      <w:r w:rsidR="00573BA7">
        <w:t xml:space="preserve"> </w:t>
      </w:r>
      <w:r>
        <w:t>well</w:t>
      </w:r>
      <w:r w:rsidR="00573BA7">
        <w:t xml:space="preserve"> </w:t>
      </w:r>
      <w:r>
        <w:t>placed</w:t>
      </w:r>
      <w:r w:rsidR="00573BA7">
        <w:t xml:space="preserve"> </w:t>
      </w:r>
      <w:r>
        <w:t>to</w:t>
      </w:r>
      <w:r w:rsidR="00573BA7">
        <w:t xml:space="preserve"> </w:t>
      </w:r>
      <w:r>
        <w:t>assist</w:t>
      </w:r>
      <w:r w:rsidR="00573BA7">
        <w:t xml:space="preserve"> </w:t>
      </w:r>
      <w:r>
        <w:t>the</w:t>
      </w:r>
      <w:r w:rsidR="00573BA7">
        <w:t xml:space="preserve"> </w:t>
      </w:r>
      <w:r>
        <w:t>Royal</w:t>
      </w:r>
      <w:r w:rsidR="00573BA7">
        <w:t xml:space="preserve"> </w:t>
      </w:r>
      <w:r>
        <w:t>Commission</w:t>
      </w:r>
      <w:r w:rsidR="00573BA7">
        <w:t xml:space="preserve"> </w:t>
      </w:r>
      <w:r>
        <w:t>by</w:t>
      </w:r>
      <w:r w:rsidR="00573BA7">
        <w:t xml:space="preserve"> </w:t>
      </w:r>
      <w:r>
        <w:t>providing</w:t>
      </w:r>
      <w:r w:rsidR="00573BA7">
        <w:t xml:space="preserve"> </w:t>
      </w:r>
      <w:r>
        <w:t>a</w:t>
      </w:r>
      <w:r w:rsidR="00573BA7">
        <w:t xml:space="preserve"> </w:t>
      </w:r>
      <w:r>
        <w:t>human</w:t>
      </w:r>
      <w:r w:rsidR="00573BA7">
        <w:t xml:space="preserve"> </w:t>
      </w:r>
      <w:r>
        <w:t>rights</w:t>
      </w:r>
      <w:r w:rsidR="00573BA7">
        <w:t xml:space="preserve"> </w:t>
      </w:r>
      <w:r>
        <w:t>framework</w:t>
      </w:r>
      <w:r w:rsidR="00573BA7">
        <w:t xml:space="preserve"> </w:t>
      </w:r>
      <w:r>
        <w:t>to</w:t>
      </w:r>
      <w:r w:rsidR="00573BA7">
        <w:t xml:space="preserve"> </w:t>
      </w:r>
      <w:r>
        <w:t>guide</w:t>
      </w:r>
      <w:r w:rsidR="00573BA7">
        <w:t xml:space="preserve"> </w:t>
      </w:r>
      <w:r>
        <w:t>the</w:t>
      </w:r>
      <w:r w:rsidR="00573BA7">
        <w:t xml:space="preserve"> </w:t>
      </w:r>
      <w:r>
        <w:t>development</w:t>
      </w:r>
      <w:r w:rsidR="00573BA7">
        <w:t xml:space="preserve"> </w:t>
      </w:r>
      <w:r>
        <w:t>of</w:t>
      </w:r>
      <w:r w:rsidR="00573BA7">
        <w:t xml:space="preserve"> </w:t>
      </w:r>
      <w:r>
        <w:t>findings</w:t>
      </w:r>
      <w:r w:rsidR="00573BA7">
        <w:t xml:space="preserve"> </w:t>
      </w:r>
      <w:r>
        <w:t>and</w:t>
      </w:r>
      <w:r w:rsidR="00573BA7">
        <w:t xml:space="preserve"> </w:t>
      </w:r>
      <w:r>
        <w:t>recommendations</w:t>
      </w:r>
      <w:r w:rsidR="00573BA7">
        <w:t xml:space="preserve"> </w:t>
      </w:r>
      <w:r>
        <w:t>within</w:t>
      </w:r>
      <w:r w:rsidR="00573BA7">
        <w:t xml:space="preserve"> </w:t>
      </w:r>
      <w:r>
        <w:t>the</w:t>
      </w:r>
      <w:r w:rsidR="00573BA7">
        <w:t xml:space="preserve"> </w:t>
      </w:r>
      <w:r>
        <w:t>Terms</w:t>
      </w:r>
      <w:r w:rsidR="00573BA7">
        <w:t xml:space="preserve"> </w:t>
      </w:r>
      <w:r>
        <w:t>of</w:t>
      </w:r>
      <w:r w:rsidR="00573BA7">
        <w:t xml:space="preserve"> </w:t>
      </w:r>
      <w:r>
        <w:t>Reference.</w:t>
      </w:r>
      <w:r w:rsidR="00573BA7">
        <w:t xml:space="preserve">  </w:t>
      </w:r>
      <w:r w:rsidR="00217C6E">
        <w:t xml:space="preserve">Of particular note, the Commission conducted a national inquiry into discrimination against both people with disability </w:t>
      </w:r>
      <w:r w:rsidR="00BD4683">
        <w:t xml:space="preserve">and older workers in 2016: </w:t>
      </w:r>
      <w:r w:rsidR="00D80D0F" w:rsidRPr="07069484">
        <w:rPr>
          <w:i/>
          <w:iCs/>
        </w:rPr>
        <w:t xml:space="preserve">Willing to Work: National Inquiry into Employment Discrimination Against Older Australians and Australians with Disability </w:t>
      </w:r>
      <w:r w:rsidR="00D80D0F">
        <w:t>(</w:t>
      </w:r>
      <w:r w:rsidR="00D40827">
        <w:t>Willing to Work</w:t>
      </w:r>
      <w:r w:rsidR="00D80D0F">
        <w:t>).</w:t>
      </w:r>
      <w:r w:rsidR="008041AF">
        <w:rPr>
          <w:rStyle w:val="EndnoteReference"/>
        </w:rPr>
        <w:endnoteReference w:id="2"/>
      </w:r>
      <w:r w:rsidR="007C6CA5">
        <w:t xml:space="preserve"> The findings and recommendations of the </w:t>
      </w:r>
      <w:r w:rsidR="00D40827">
        <w:t>Willing to Work</w:t>
      </w:r>
      <w:r w:rsidR="007C6CA5">
        <w:t xml:space="preserve"> are referred to throughout this submission. </w:t>
      </w:r>
    </w:p>
    <w:p w14:paraId="74ADFAC2" w14:textId="60972B02" w:rsidR="00910AB9" w:rsidRDefault="00D42747" w:rsidP="004437A6">
      <w:pPr>
        <w:pStyle w:val="ListNumber"/>
      </w:pPr>
      <w:r>
        <w:t>The</w:t>
      </w:r>
      <w:r w:rsidR="00573BA7">
        <w:t xml:space="preserve"> </w:t>
      </w:r>
      <w:r>
        <w:t>Commission</w:t>
      </w:r>
      <w:r w:rsidR="00573BA7">
        <w:t xml:space="preserve"> </w:t>
      </w:r>
      <w:r>
        <w:t>welcomes</w:t>
      </w:r>
      <w:r w:rsidR="00573BA7">
        <w:t xml:space="preserve"> </w:t>
      </w:r>
      <w:r>
        <w:t>the</w:t>
      </w:r>
      <w:r w:rsidR="00573BA7">
        <w:t xml:space="preserve"> </w:t>
      </w:r>
      <w:r>
        <w:t>selection</w:t>
      </w:r>
      <w:r w:rsidR="00573BA7">
        <w:t xml:space="preserve"> </w:t>
      </w:r>
      <w:r>
        <w:t>of</w:t>
      </w:r>
      <w:r w:rsidR="00573BA7">
        <w:t xml:space="preserve"> </w:t>
      </w:r>
      <w:r>
        <w:t>employment</w:t>
      </w:r>
      <w:r w:rsidR="00573BA7">
        <w:t xml:space="preserve"> </w:t>
      </w:r>
      <w:r>
        <w:t>as</w:t>
      </w:r>
      <w:r w:rsidR="00573BA7">
        <w:t xml:space="preserve"> </w:t>
      </w:r>
      <w:r>
        <w:t>the</w:t>
      </w:r>
      <w:r w:rsidR="00573BA7">
        <w:t xml:space="preserve"> </w:t>
      </w:r>
      <w:r>
        <w:t>seventh</w:t>
      </w:r>
      <w:r w:rsidR="00573BA7">
        <w:t xml:space="preserve"> </w:t>
      </w:r>
      <w:r>
        <w:t>topic</w:t>
      </w:r>
      <w:r w:rsidR="00573BA7">
        <w:t xml:space="preserve"> </w:t>
      </w:r>
      <w:r>
        <w:t>of</w:t>
      </w:r>
      <w:r w:rsidR="00573BA7">
        <w:t xml:space="preserve"> </w:t>
      </w:r>
      <w:r>
        <w:t>consideration</w:t>
      </w:r>
      <w:r w:rsidR="00573BA7">
        <w:t xml:space="preserve"> </w:t>
      </w:r>
      <w:r>
        <w:t>for</w:t>
      </w:r>
      <w:r w:rsidR="00573BA7">
        <w:t xml:space="preserve"> </w:t>
      </w:r>
      <w:r>
        <w:t>the</w:t>
      </w:r>
      <w:r w:rsidR="00573BA7">
        <w:t xml:space="preserve"> </w:t>
      </w:r>
      <w:r>
        <w:t>Royal</w:t>
      </w:r>
      <w:r w:rsidR="00573BA7">
        <w:t xml:space="preserve"> </w:t>
      </w:r>
      <w:r>
        <w:t>Commission.</w:t>
      </w:r>
      <w:r w:rsidR="00573BA7">
        <w:t xml:space="preserve"> </w:t>
      </w:r>
      <w:r w:rsidR="004437A6">
        <w:t>Securing</w:t>
      </w:r>
      <w:r w:rsidR="00573BA7">
        <w:t xml:space="preserve"> </w:t>
      </w:r>
      <w:r w:rsidR="008C084F">
        <w:t>and retaining</w:t>
      </w:r>
      <w:r w:rsidR="00573BA7">
        <w:t xml:space="preserve"> </w:t>
      </w:r>
      <w:r w:rsidR="00B51F0E">
        <w:t>employment</w:t>
      </w:r>
      <w:r w:rsidR="00573BA7">
        <w:t xml:space="preserve"> </w:t>
      </w:r>
      <w:r w:rsidR="00AF4765">
        <w:t>can</w:t>
      </w:r>
      <w:r w:rsidR="00573BA7">
        <w:t xml:space="preserve"> </w:t>
      </w:r>
      <w:r w:rsidR="00271711">
        <w:t>reduce</w:t>
      </w:r>
      <w:r w:rsidR="00573BA7">
        <w:t xml:space="preserve"> </w:t>
      </w:r>
      <w:r w:rsidR="00271711">
        <w:t>experiences</w:t>
      </w:r>
      <w:r w:rsidR="00573BA7">
        <w:t xml:space="preserve"> </w:t>
      </w:r>
      <w:r w:rsidR="00271711">
        <w:t>of</w:t>
      </w:r>
      <w:r w:rsidR="00573BA7">
        <w:t xml:space="preserve"> </w:t>
      </w:r>
      <w:r w:rsidR="000378C3">
        <w:t>violence,</w:t>
      </w:r>
      <w:r w:rsidR="00573BA7">
        <w:t xml:space="preserve"> </w:t>
      </w:r>
      <w:r w:rsidR="000378C3">
        <w:t>abuse,</w:t>
      </w:r>
      <w:r w:rsidR="00573BA7">
        <w:t xml:space="preserve"> </w:t>
      </w:r>
      <w:r w:rsidR="000378C3">
        <w:t>neglect</w:t>
      </w:r>
      <w:r w:rsidR="00573BA7">
        <w:t xml:space="preserve"> </w:t>
      </w:r>
      <w:r w:rsidR="000378C3">
        <w:t>and</w:t>
      </w:r>
      <w:r w:rsidR="00573BA7">
        <w:t xml:space="preserve"> </w:t>
      </w:r>
      <w:r w:rsidR="000378C3">
        <w:t>exploitation</w:t>
      </w:r>
      <w:r w:rsidR="00573BA7">
        <w:t xml:space="preserve"> </w:t>
      </w:r>
      <w:r w:rsidR="00271711">
        <w:t>for</w:t>
      </w:r>
      <w:r w:rsidR="00573BA7">
        <w:t xml:space="preserve"> </w:t>
      </w:r>
      <w:r w:rsidR="00445AAA">
        <w:t>people</w:t>
      </w:r>
      <w:r w:rsidR="00573BA7">
        <w:t xml:space="preserve"> </w:t>
      </w:r>
      <w:r w:rsidR="00445AAA">
        <w:t>with</w:t>
      </w:r>
      <w:r w:rsidR="00573BA7">
        <w:t xml:space="preserve"> </w:t>
      </w:r>
      <w:r w:rsidR="00445AAA">
        <w:t>disability</w:t>
      </w:r>
      <w:r>
        <w:t>.</w:t>
      </w:r>
      <w:r w:rsidR="00573BA7">
        <w:t xml:space="preserve"> </w:t>
      </w:r>
      <w:r w:rsidR="002B0B34">
        <w:t>The</w:t>
      </w:r>
      <w:r w:rsidR="00573BA7">
        <w:t xml:space="preserve"> </w:t>
      </w:r>
      <w:r w:rsidR="008C084F">
        <w:t xml:space="preserve">creation of meaningful </w:t>
      </w:r>
      <w:r w:rsidR="002B0B34">
        <w:t>employment</w:t>
      </w:r>
      <w:r w:rsidR="00573BA7">
        <w:t xml:space="preserve"> </w:t>
      </w:r>
      <w:r w:rsidR="002B0B34">
        <w:t>opportunities</w:t>
      </w:r>
      <w:r w:rsidR="00573BA7">
        <w:t xml:space="preserve"> </w:t>
      </w:r>
      <w:r w:rsidR="008C084F">
        <w:t>for people with disability</w:t>
      </w:r>
      <w:r w:rsidR="00795F14">
        <w:t xml:space="preserve"> in non-segregated settings at, or above, award wages</w:t>
      </w:r>
      <w:r w:rsidR="008C084F">
        <w:t xml:space="preserve"> </w:t>
      </w:r>
      <w:r w:rsidR="002B0B34">
        <w:t>is</w:t>
      </w:r>
      <w:r w:rsidR="00573BA7">
        <w:t xml:space="preserve"> </w:t>
      </w:r>
      <w:r w:rsidR="002B0B34">
        <w:t>important</w:t>
      </w:r>
      <w:r w:rsidR="00573BA7">
        <w:t xml:space="preserve"> </w:t>
      </w:r>
      <w:r w:rsidR="002B0B34">
        <w:t>for</w:t>
      </w:r>
      <w:r w:rsidR="00573BA7">
        <w:t xml:space="preserve"> </w:t>
      </w:r>
      <w:r w:rsidR="002B0B34">
        <w:t>the</w:t>
      </w:r>
      <w:r w:rsidR="00573BA7">
        <w:t xml:space="preserve"> </w:t>
      </w:r>
      <w:r w:rsidR="002B0B34">
        <w:t>promotion</w:t>
      </w:r>
      <w:r w:rsidR="00573BA7">
        <w:t xml:space="preserve"> </w:t>
      </w:r>
      <w:r w:rsidR="002B0B34">
        <w:t>of</w:t>
      </w:r>
      <w:r w:rsidR="00573BA7">
        <w:t xml:space="preserve"> </w:t>
      </w:r>
      <w:r w:rsidR="002B0B34">
        <w:t>social</w:t>
      </w:r>
      <w:r w:rsidR="00573BA7">
        <w:t xml:space="preserve"> </w:t>
      </w:r>
      <w:r w:rsidR="002B0B34">
        <w:lastRenderedPageBreak/>
        <w:t>and</w:t>
      </w:r>
      <w:r w:rsidR="00573BA7">
        <w:t xml:space="preserve"> </w:t>
      </w:r>
      <w:r w:rsidR="002B0B34">
        <w:t>economic</w:t>
      </w:r>
      <w:r w:rsidR="00573BA7">
        <w:t xml:space="preserve"> </w:t>
      </w:r>
      <w:r w:rsidR="002B0B34">
        <w:t>independence,</w:t>
      </w:r>
      <w:r w:rsidR="00573BA7">
        <w:t xml:space="preserve"> </w:t>
      </w:r>
      <w:r w:rsidR="002B0B34">
        <w:t>security</w:t>
      </w:r>
      <w:r w:rsidR="00573BA7">
        <w:t xml:space="preserve"> </w:t>
      </w:r>
      <w:r w:rsidR="002B0B34">
        <w:t>and</w:t>
      </w:r>
      <w:r w:rsidR="00573BA7">
        <w:t xml:space="preserve"> </w:t>
      </w:r>
      <w:r w:rsidR="002B0B34">
        <w:t>autonomy,</w:t>
      </w:r>
      <w:r w:rsidR="00573BA7">
        <w:t xml:space="preserve"> </w:t>
      </w:r>
      <w:r w:rsidR="002B0B34">
        <w:t>capacity</w:t>
      </w:r>
      <w:r w:rsidR="00573BA7">
        <w:t xml:space="preserve"> </w:t>
      </w:r>
      <w:r w:rsidR="002B0B34">
        <w:t>building</w:t>
      </w:r>
      <w:r w:rsidR="00573BA7">
        <w:t xml:space="preserve"> </w:t>
      </w:r>
      <w:r w:rsidR="002B0B34">
        <w:t>and</w:t>
      </w:r>
      <w:r w:rsidR="00573BA7">
        <w:t xml:space="preserve"> </w:t>
      </w:r>
      <w:r w:rsidR="002B0B34">
        <w:t>skill</w:t>
      </w:r>
      <w:r w:rsidR="00573BA7">
        <w:t xml:space="preserve"> </w:t>
      </w:r>
      <w:r w:rsidR="002B0B34">
        <w:t>development.</w:t>
      </w:r>
      <w:r w:rsidR="00573BA7">
        <w:t xml:space="preserve"> </w:t>
      </w:r>
    </w:p>
    <w:p w14:paraId="61AC3ED1" w14:textId="60118B39" w:rsidR="004437A6" w:rsidRDefault="004437A6" w:rsidP="004437A6">
      <w:pPr>
        <w:pStyle w:val="ListNumber"/>
      </w:pPr>
      <w:r>
        <w:t>However,</w:t>
      </w:r>
      <w:r w:rsidR="00573BA7">
        <w:t xml:space="preserve"> </w:t>
      </w:r>
      <w:r>
        <w:t>people</w:t>
      </w:r>
      <w:r w:rsidR="00573BA7">
        <w:t xml:space="preserve"> </w:t>
      </w:r>
      <w:r>
        <w:t>with</w:t>
      </w:r>
      <w:r w:rsidR="00573BA7">
        <w:t xml:space="preserve"> </w:t>
      </w:r>
      <w:r>
        <w:t>disability</w:t>
      </w:r>
      <w:r w:rsidR="00573BA7">
        <w:t xml:space="preserve"> </w:t>
      </w:r>
      <w:r w:rsidRPr="00383FA7">
        <w:t>are</w:t>
      </w:r>
      <w:r w:rsidR="00573BA7">
        <w:t xml:space="preserve"> </w:t>
      </w:r>
      <w:r w:rsidR="00F07E12" w:rsidRPr="00BC4DA8">
        <w:t>employed</w:t>
      </w:r>
      <w:r w:rsidR="00573BA7">
        <w:t xml:space="preserve"> </w:t>
      </w:r>
      <w:r w:rsidR="00F07E12">
        <w:t>and</w:t>
      </w:r>
      <w:r w:rsidR="00573BA7">
        <w:t xml:space="preserve"> </w:t>
      </w:r>
      <w:r w:rsidR="00F07E12">
        <w:t>are</w:t>
      </w:r>
      <w:r w:rsidR="00573BA7">
        <w:t xml:space="preserve"> </w:t>
      </w:r>
      <w:r>
        <w:t>seeking</w:t>
      </w:r>
      <w:r w:rsidR="00573BA7">
        <w:t xml:space="preserve"> </w:t>
      </w:r>
      <w:r>
        <w:t>employment</w:t>
      </w:r>
      <w:r w:rsidR="00573BA7">
        <w:t xml:space="preserve"> </w:t>
      </w:r>
      <w:r>
        <w:t>at</w:t>
      </w:r>
      <w:r w:rsidR="00573BA7">
        <w:t xml:space="preserve"> </w:t>
      </w:r>
      <w:r w:rsidR="00F07E12">
        <w:t>substantially</w:t>
      </w:r>
      <w:r w:rsidR="00573BA7">
        <w:t xml:space="preserve"> </w:t>
      </w:r>
      <w:r>
        <w:t>lower</w:t>
      </w:r>
      <w:r w:rsidR="00573BA7">
        <w:t xml:space="preserve"> </w:t>
      </w:r>
      <w:r>
        <w:t>rates</w:t>
      </w:r>
      <w:r w:rsidR="00573BA7">
        <w:t xml:space="preserve"> </w:t>
      </w:r>
      <w:r>
        <w:t>than</w:t>
      </w:r>
      <w:r w:rsidR="00573BA7">
        <w:t xml:space="preserve"> </w:t>
      </w:r>
      <w:r>
        <w:t>people</w:t>
      </w:r>
      <w:r w:rsidR="00573BA7">
        <w:t xml:space="preserve"> </w:t>
      </w:r>
      <w:r>
        <w:t>without</w:t>
      </w:r>
      <w:r w:rsidR="00573BA7">
        <w:t xml:space="preserve"> </w:t>
      </w:r>
      <w:r>
        <w:t>disability.</w:t>
      </w:r>
      <w:r w:rsidRPr="00497E7B">
        <w:rPr>
          <w:sz w:val="20"/>
          <w:szCs w:val="20"/>
          <w:vertAlign w:val="superscript"/>
        </w:rPr>
        <w:endnoteReference w:id="3"/>
      </w:r>
      <w:r w:rsidR="00573BA7">
        <w:t xml:space="preserve"> </w:t>
      </w:r>
      <w:r w:rsidR="00910AB9">
        <w:t>The Commission is concerned that w</w:t>
      </w:r>
      <w:r w:rsidR="00910AB9" w:rsidRPr="00910AB9">
        <w:t>hile</w:t>
      </w:r>
      <w:r w:rsidR="00397467">
        <w:t xml:space="preserve"> the</w:t>
      </w:r>
      <w:r w:rsidR="00910AB9" w:rsidRPr="00910AB9">
        <w:t xml:space="preserve"> </w:t>
      </w:r>
      <w:r w:rsidR="00910AB9">
        <w:t xml:space="preserve">unemployment </w:t>
      </w:r>
      <w:r w:rsidR="00DA3F88">
        <w:t>rate</w:t>
      </w:r>
      <w:r w:rsidR="00CF4158">
        <w:t xml:space="preserve"> </w:t>
      </w:r>
      <w:r w:rsidR="00DA3F88">
        <w:t>ha</w:t>
      </w:r>
      <w:r w:rsidR="00397467">
        <w:t>s</w:t>
      </w:r>
      <w:r w:rsidR="00910AB9" w:rsidRPr="00910AB9">
        <w:t xml:space="preserve"> remained steady for working-age people without disability (around 5% between 2003 and 2015), </w:t>
      </w:r>
      <w:r w:rsidR="00345BB2">
        <w:t>it has</w:t>
      </w:r>
      <w:r w:rsidR="00DA3F88">
        <w:t xml:space="preserve"> </w:t>
      </w:r>
      <w:r w:rsidR="00910AB9" w:rsidRPr="00910AB9">
        <w:t xml:space="preserve">increased </w:t>
      </w:r>
      <w:r w:rsidR="00345BB2">
        <w:t xml:space="preserve">slightly </w:t>
      </w:r>
      <w:r w:rsidR="00910AB9" w:rsidRPr="00910AB9">
        <w:t>for those with disability (</w:t>
      </w:r>
      <w:r w:rsidR="008C084F">
        <w:t xml:space="preserve">from </w:t>
      </w:r>
      <w:r w:rsidR="00910AB9" w:rsidRPr="00910AB9">
        <w:t>8% to 10%)</w:t>
      </w:r>
      <w:r w:rsidR="00910AB9">
        <w:t xml:space="preserve"> and</w:t>
      </w:r>
      <w:r w:rsidR="008C084F">
        <w:t xml:space="preserve"> for</w:t>
      </w:r>
      <w:r w:rsidR="00910AB9">
        <w:t xml:space="preserve"> </w:t>
      </w:r>
      <w:r w:rsidR="00910AB9" w:rsidRPr="00910AB9">
        <w:t>those with severe or profound disability (</w:t>
      </w:r>
      <w:r w:rsidR="008C084F">
        <w:t xml:space="preserve">from </w:t>
      </w:r>
      <w:r w:rsidR="00910AB9" w:rsidRPr="00910AB9">
        <w:t>11% to 14%).</w:t>
      </w:r>
      <w:r w:rsidR="00A328E4">
        <w:rPr>
          <w:rStyle w:val="EndnoteReference"/>
        </w:rPr>
        <w:endnoteReference w:id="4"/>
      </w:r>
      <w:r w:rsidR="00910AB9" w:rsidRPr="00910AB9">
        <w:t xml:space="preserve"> </w:t>
      </w:r>
      <w:r w:rsidR="00910AB9">
        <w:t xml:space="preserve">People with disability </w:t>
      </w:r>
      <w:r>
        <w:t>are</w:t>
      </w:r>
      <w:r w:rsidR="00573BA7">
        <w:t xml:space="preserve"> </w:t>
      </w:r>
      <w:r>
        <w:t>also</w:t>
      </w:r>
      <w:r w:rsidR="00573BA7">
        <w:t xml:space="preserve"> </w:t>
      </w:r>
      <w:r w:rsidR="00FF7791">
        <w:t>more</w:t>
      </w:r>
      <w:r w:rsidR="00573BA7">
        <w:t xml:space="preserve"> </w:t>
      </w:r>
      <w:r w:rsidR="00FF7791">
        <w:t>likely</w:t>
      </w:r>
      <w:r w:rsidR="00573BA7">
        <w:t xml:space="preserve"> </w:t>
      </w:r>
      <w:r w:rsidR="00FF7791">
        <w:t>to</w:t>
      </w:r>
      <w:r w:rsidR="00573BA7">
        <w:t xml:space="preserve"> </w:t>
      </w:r>
      <w:r w:rsidR="00FF7791" w:rsidRPr="00A36603">
        <w:t>be</w:t>
      </w:r>
      <w:r w:rsidR="00573BA7">
        <w:t xml:space="preserve"> </w:t>
      </w:r>
      <w:r w:rsidR="00FF7791" w:rsidRPr="00A36603">
        <w:t>employed</w:t>
      </w:r>
      <w:r w:rsidR="00573BA7">
        <w:t xml:space="preserve"> </w:t>
      </w:r>
      <w:r w:rsidR="00FF7791" w:rsidRPr="00A36603">
        <w:t>on</w:t>
      </w:r>
      <w:r w:rsidR="00573BA7">
        <w:t xml:space="preserve"> </w:t>
      </w:r>
      <w:r w:rsidR="00FF7791" w:rsidRPr="00A36603">
        <w:t>a</w:t>
      </w:r>
      <w:r w:rsidR="00573BA7">
        <w:t xml:space="preserve"> </w:t>
      </w:r>
      <w:r w:rsidR="00FF7791" w:rsidRPr="00A36603">
        <w:t>part-time</w:t>
      </w:r>
      <w:r w:rsidR="00573BA7">
        <w:t xml:space="preserve"> </w:t>
      </w:r>
      <w:r w:rsidR="00FF7791" w:rsidRPr="00A36603">
        <w:t>basis</w:t>
      </w:r>
      <w:r w:rsidR="00573BA7">
        <w:t xml:space="preserve"> </w:t>
      </w:r>
      <w:r w:rsidR="00FF7791" w:rsidRPr="00A36603">
        <w:t>than</w:t>
      </w:r>
      <w:r w:rsidR="00573BA7">
        <w:t xml:space="preserve"> </w:t>
      </w:r>
      <w:r w:rsidR="00FF7791" w:rsidRPr="00A36603">
        <w:t>people</w:t>
      </w:r>
      <w:r w:rsidR="00573BA7">
        <w:t xml:space="preserve"> </w:t>
      </w:r>
      <w:r w:rsidR="00FF7791" w:rsidRPr="00A36603">
        <w:t>without</w:t>
      </w:r>
      <w:r w:rsidR="00573BA7">
        <w:t xml:space="preserve"> </w:t>
      </w:r>
      <w:r w:rsidR="00FF7791" w:rsidRPr="00A36603">
        <w:t>disability</w:t>
      </w:r>
      <w:r w:rsidR="00FF7791">
        <w:t>,</w:t>
      </w:r>
      <w:r w:rsidR="00FF7791">
        <w:rPr>
          <w:rStyle w:val="EndnoteReference"/>
        </w:rPr>
        <w:endnoteReference w:id="5"/>
      </w:r>
      <w:r w:rsidR="00573BA7">
        <w:t xml:space="preserve"> </w:t>
      </w:r>
      <w:r w:rsidR="00FF7791">
        <w:t>and</w:t>
      </w:r>
      <w:r w:rsidR="00573BA7">
        <w:t xml:space="preserve"> </w:t>
      </w:r>
      <w:r>
        <w:t>more</w:t>
      </w:r>
      <w:r w:rsidR="00573BA7">
        <w:t xml:space="preserve"> </w:t>
      </w:r>
      <w:r>
        <w:t>likely</w:t>
      </w:r>
      <w:r w:rsidR="00573BA7">
        <w:t xml:space="preserve"> </w:t>
      </w:r>
      <w:r>
        <w:t>to</w:t>
      </w:r>
      <w:r w:rsidR="00573BA7">
        <w:t xml:space="preserve"> </w:t>
      </w:r>
      <w:r>
        <w:t>be</w:t>
      </w:r>
      <w:r w:rsidR="00573BA7">
        <w:t xml:space="preserve"> </w:t>
      </w:r>
      <w:r>
        <w:t>underemployed.</w:t>
      </w:r>
      <w:r>
        <w:rPr>
          <w:rStyle w:val="EndnoteReference"/>
        </w:rPr>
        <w:endnoteReference w:id="6"/>
      </w:r>
      <w:r w:rsidR="00573BA7">
        <w:t xml:space="preserve"> </w:t>
      </w:r>
      <w:r>
        <w:t>People</w:t>
      </w:r>
      <w:r w:rsidR="00573BA7">
        <w:t xml:space="preserve"> </w:t>
      </w:r>
      <w:r>
        <w:t>with</w:t>
      </w:r>
      <w:r w:rsidR="00573BA7">
        <w:t xml:space="preserve"> </w:t>
      </w:r>
      <w:r>
        <w:t>disability</w:t>
      </w:r>
      <w:r w:rsidR="00573BA7">
        <w:t xml:space="preserve"> </w:t>
      </w:r>
      <w:r>
        <w:t>cite</w:t>
      </w:r>
      <w:r w:rsidR="00573BA7">
        <w:t xml:space="preserve"> </w:t>
      </w:r>
      <w:r>
        <w:t>their</w:t>
      </w:r>
      <w:r w:rsidR="00573BA7">
        <w:t xml:space="preserve"> </w:t>
      </w:r>
      <w:r>
        <w:t>disability</w:t>
      </w:r>
      <w:r w:rsidR="00573BA7">
        <w:t xml:space="preserve"> </w:t>
      </w:r>
      <w:r>
        <w:t>or</w:t>
      </w:r>
      <w:r w:rsidR="00573BA7">
        <w:t xml:space="preserve"> </w:t>
      </w:r>
      <w:r>
        <w:t>health</w:t>
      </w:r>
      <w:r w:rsidR="00573BA7">
        <w:t xml:space="preserve"> </w:t>
      </w:r>
      <w:r>
        <w:t>as</w:t>
      </w:r>
      <w:r w:rsidR="00573BA7">
        <w:t xml:space="preserve"> </w:t>
      </w:r>
      <w:r>
        <w:t>the</w:t>
      </w:r>
      <w:r w:rsidR="00573BA7">
        <w:t xml:space="preserve"> </w:t>
      </w:r>
      <w:r>
        <w:t>main</w:t>
      </w:r>
      <w:r w:rsidR="00573BA7">
        <w:t xml:space="preserve"> </w:t>
      </w:r>
      <w:r>
        <w:t>reason</w:t>
      </w:r>
      <w:r w:rsidR="00573BA7">
        <w:t xml:space="preserve"> </w:t>
      </w:r>
      <w:r>
        <w:t>that</w:t>
      </w:r>
      <w:r w:rsidR="00573BA7">
        <w:t xml:space="preserve"> </w:t>
      </w:r>
      <w:r>
        <w:t>they</w:t>
      </w:r>
      <w:r w:rsidR="00573BA7">
        <w:t xml:space="preserve"> </w:t>
      </w:r>
      <w:r>
        <w:t>have</w:t>
      </w:r>
      <w:r w:rsidR="00573BA7">
        <w:t xml:space="preserve"> </w:t>
      </w:r>
      <w:r>
        <w:t>difficulty</w:t>
      </w:r>
      <w:r w:rsidR="00573BA7">
        <w:t xml:space="preserve"> </w:t>
      </w:r>
      <w:r>
        <w:t>in</w:t>
      </w:r>
      <w:r w:rsidR="00573BA7">
        <w:t xml:space="preserve"> </w:t>
      </w:r>
      <w:r>
        <w:t>securing</w:t>
      </w:r>
      <w:r w:rsidR="00573BA7">
        <w:t xml:space="preserve"> </w:t>
      </w:r>
      <w:r>
        <w:t>employment.</w:t>
      </w:r>
      <w:r w:rsidRPr="00FC788D">
        <w:rPr>
          <w:sz w:val="20"/>
          <w:szCs w:val="20"/>
          <w:vertAlign w:val="superscript"/>
        </w:rPr>
        <w:endnoteReference w:id="7"/>
      </w:r>
      <w:r w:rsidR="00573BA7">
        <w:t xml:space="preserve"> </w:t>
      </w:r>
      <w:r w:rsidRPr="003F4CE1">
        <w:t>Other</w:t>
      </w:r>
      <w:r w:rsidR="00573BA7">
        <w:t xml:space="preserve"> </w:t>
      </w:r>
      <w:r w:rsidRPr="003F4CE1">
        <w:t>reasons</w:t>
      </w:r>
      <w:r w:rsidR="008C084F">
        <w:t xml:space="preserve"> noted</w:t>
      </w:r>
      <w:r w:rsidR="00573BA7">
        <w:t xml:space="preserve"> </w:t>
      </w:r>
      <w:r w:rsidRPr="003F4CE1">
        <w:t>include</w:t>
      </w:r>
      <w:r w:rsidR="00573BA7">
        <w:t xml:space="preserve"> </w:t>
      </w:r>
      <w:r w:rsidRPr="003F4CE1">
        <w:t>lacking</w:t>
      </w:r>
      <w:r w:rsidR="00573BA7">
        <w:t xml:space="preserve"> </w:t>
      </w:r>
      <w:r w:rsidRPr="003F4CE1">
        <w:t>the</w:t>
      </w:r>
      <w:r w:rsidR="00573BA7">
        <w:t xml:space="preserve"> </w:t>
      </w:r>
      <w:r w:rsidRPr="003F4CE1">
        <w:t>necessary</w:t>
      </w:r>
      <w:r w:rsidR="00573BA7">
        <w:t xml:space="preserve"> </w:t>
      </w:r>
      <w:r w:rsidRPr="003F4CE1">
        <w:t>skills,</w:t>
      </w:r>
      <w:r w:rsidR="00573BA7">
        <w:t xml:space="preserve"> </w:t>
      </w:r>
      <w:r w:rsidRPr="003F4CE1">
        <w:t>education</w:t>
      </w:r>
      <w:r w:rsidR="00573BA7">
        <w:t xml:space="preserve"> </w:t>
      </w:r>
      <w:r w:rsidRPr="003F4CE1">
        <w:t>or</w:t>
      </w:r>
      <w:r w:rsidR="00573BA7">
        <w:t xml:space="preserve"> </w:t>
      </w:r>
      <w:r w:rsidRPr="003F4CE1">
        <w:t>experience,</w:t>
      </w:r>
      <w:r w:rsidR="00573BA7">
        <w:t xml:space="preserve"> </w:t>
      </w:r>
      <w:r w:rsidRPr="003F4CE1">
        <w:t>the</w:t>
      </w:r>
      <w:r w:rsidR="00573BA7">
        <w:t xml:space="preserve"> </w:t>
      </w:r>
      <w:r w:rsidRPr="003F4CE1">
        <w:t>high</w:t>
      </w:r>
      <w:r w:rsidR="00573BA7">
        <w:t xml:space="preserve"> </w:t>
      </w:r>
      <w:r w:rsidRPr="003F4CE1">
        <w:t>levels</w:t>
      </w:r>
      <w:r w:rsidR="00573BA7">
        <w:t xml:space="preserve"> </w:t>
      </w:r>
      <w:r w:rsidRPr="003F4CE1">
        <w:t>of</w:t>
      </w:r>
      <w:r w:rsidR="00573BA7">
        <w:t xml:space="preserve"> </w:t>
      </w:r>
      <w:r w:rsidRPr="003F4CE1">
        <w:t>competition</w:t>
      </w:r>
      <w:r w:rsidR="00573BA7">
        <w:t xml:space="preserve"> </w:t>
      </w:r>
      <w:r w:rsidRPr="003F4CE1">
        <w:t>for</w:t>
      </w:r>
      <w:r w:rsidR="00573BA7">
        <w:t xml:space="preserve"> </w:t>
      </w:r>
      <w:r w:rsidR="00E92F4D">
        <w:t xml:space="preserve">available </w:t>
      </w:r>
      <w:r w:rsidRPr="003F4CE1">
        <w:t>jobs</w:t>
      </w:r>
      <w:r>
        <w:t>,</w:t>
      </w:r>
      <w:r w:rsidR="00573BA7">
        <w:t xml:space="preserve"> </w:t>
      </w:r>
      <w:r w:rsidRPr="003F4CE1">
        <w:t>or</w:t>
      </w:r>
      <w:r w:rsidR="00573BA7">
        <w:t xml:space="preserve"> </w:t>
      </w:r>
      <w:r>
        <w:t>a</w:t>
      </w:r>
      <w:r w:rsidR="00573BA7">
        <w:t xml:space="preserve"> </w:t>
      </w:r>
      <w:r>
        <w:t>lack</w:t>
      </w:r>
      <w:r w:rsidR="00573BA7">
        <w:t xml:space="preserve"> </w:t>
      </w:r>
      <w:r w:rsidRPr="003F4CE1">
        <w:t>of</w:t>
      </w:r>
      <w:r w:rsidR="00573BA7">
        <w:t xml:space="preserve"> </w:t>
      </w:r>
      <w:r w:rsidRPr="003F4CE1">
        <w:t>vacancies.</w:t>
      </w:r>
      <w:r w:rsidRPr="00FC788D">
        <w:rPr>
          <w:sz w:val="20"/>
          <w:szCs w:val="20"/>
          <w:vertAlign w:val="superscript"/>
        </w:rPr>
        <w:endnoteReference w:id="8"/>
      </w:r>
      <w:r w:rsidR="00573BA7">
        <w:rPr>
          <w:sz w:val="20"/>
          <w:szCs w:val="20"/>
          <w:vertAlign w:val="superscript"/>
        </w:rPr>
        <w:t xml:space="preserve"> </w:t>
      </w:r>
      <w:r w:rsidR="00573BA7">
        <w:t xml:space="preserve"> </w:t>
      </w:r>
    </w:p>
    <w:p w14:paraId="5D7373F9" w14:textId="1C16FE39" w:rsidR="000D0522" w:rsidRDefault="00A92AD4" w:rsidP="000D0522">
      <w:pPr>
        <w:pStyle w:val="ListNumber"/>
        <w:rPr>
          <w:rFonts w:eastAsia="Open Sans" w:cs="Open Sans"/>
        </w:rPr>
      </w:pPr>
      <w:r>
        <w:t>Likewise,</w:t>
      </w:r>
      <w:r w:rsidR="00573BA7">
        <w:t xml:space="preserve"> </w:t>
      </w:r>
      <w:r w:rsidR="00D43BF5">
        <w:t>ensuring</w:t>
      </w:r>
      <w:r w:rsidR="00573BA7">
        <w:t xml:space="preserve"> </w:t>
      </w:r>
      <w:r w:rsidR="002B6BE1">
        <w:t>that</w:t>
      </w:r>
      <w:r w:rsidR="00573BA7">
        <w:t xml:space="preserve"> </w:t>
      </w:r>
      <w:r w:rsidR="00DB4EBD">
        <w:t>the</w:t>
      </w:r>
      <w:r w:rsidR="00573BA7">
        <w:t xml:space="preserve"> </w:t>
      </w:r>
      <w:r w:rsidR="002B6BE1">
        <w:t>employment</w:t>
      </w:r>
      <w:r w:rsidR="00573BA7">
        <w:t xml:space="preserve"> </w:t>
      </w:r>
      <w:r w:rsidR="00DB4EBD">
        <w:t>experiences</w:t>
      </w:r>
      <w:r w:rsidR="00573BA7">
        <w:t xml:space="preserve"> </w:t>
      </w:r>
      <w:r w:rsidR="00DB4EBD">
        <w:t>of</w:t>
      </w:r>
      <w:r w:rsidR="00573BA7">
        <w:t xml:space="preserve"> </w:t>
      </w:r>
      <w:r w:rsidR="002B6BE1">
        <w:t>people</w:t>
      </w:r>
      <w:r w:rsidR="00573BA7">
        <w:t xml:space="preserve"> </w:t>
      </w:r>
      <w:r w:rsidR="002B6BE1">
        <w:t>with</w:t>
      </w:r>
      <w:r w:rsidR="00573BA7">
        <w:t xml:space="preserve"> </w:t>
      </w:r>
      <w:r w:rsidR="002B6BE1">
        <w:t>disability</w:t>
      </w:r>
      <w:r w:rsidR="00573BA7">
        <w:t xml:space="preserve"> </w:t>
      </w:r>
      <w:r w:rsidR="00DB4EBD">
        <w:t>are</w:t>
      </w:r>
      <w:r w:rsidR="00573BA7">
        <w:t xml:space="preserve"> </w:t>
      </w:r>
      <w:r w:rsidR="002B6BE1">
        <w:t>free</w:t>
      </w:r>
      <w:r w:rsidR="00573BA7">
        <w:t xml:space="preserve"> </w:t>
      </w:r>
      <w:r w:rsidR="002B6BE1">
        <w:t>from</w:t>
      </w:r>
      <w:r w:rsidR="00573BA7">
        <w:t xml:space="preserve"> </w:t>
      </w:r>
      <w:r w:rsidR="002B6BE1" w:rsidRPr="002B6BE1">
        <w:t>violence,</w:t>
      </w:r>
      <w:r w:rsidR="00573BA7">
        <w:t xml:space="preserve"> </w:t>
      </w:r>
      <w:r w:rsidR="002B6BE1" w:rsidRPr="002B6BE1">
        <w:t>abuse,</w:t>
      </w:r>
      <w:r w:rsidR="00573BA7">
        <w:t xml:space="preserve"> </w:t>
      </w:r>
      <w:r w:rsidR="002B6BE1" w:rsidRPr="002B6BE1">
        <w:t>neglect</w:t>
      </w:r>
      <w:r w:rsidR="00573BA7">
        <w:t xml:space="preserve"> </w:t>
      </w:r>
      <w:r w:rsidR="002B6BE1" w:rsidRPr="002B6BE1">
        <w:t>and</w:t>
      </w:r>
      <w:r w:rsidR="00573BA7">
        <w:t xml:space="preserve"> </w:t>
      </w:r>
      <w:r w:rsidR="002B6BE1" w:rsidRPr="002B6BE1">
        <w:t>exploitation</w:t>
      </w:r>
      <w:r w:rsidR="00573BA7">
        <w:t xml:space="preserve"> </w:t>
      </w:r>
      <w:r w:rsidR="00DB4EBD">
        <w:t>is</w:t>
      </w:r>
      <w:r w:rsidR="00573BA7">
        <w:t xml:space="preserve"> </w:t>
      </w:r>
      <w:r w:rsidR="00AA259D">
        <w:t>crucial</w:t>
      </w:r>
      <w:r w:rsidR="00573BA7">
        <w:t xml:space="preserve"> </w:t>
      </w:r>
      <w:r w:rsidR="00AA259D">
        <w:t>to</w:t>
      </w:r>
      <w:r w:rsidR="00573BA7">
        <w:t xml:space="preserve"> </w:t>
      </w:r>
      <w:r w:rsidR="00AA259D">
        <w:t>improving</w:t>
      </w:r>
      <w:r w:rsidR="00573BA7">
        <w:t xml:space="preserve"> </w:t>
      </w:r>
      <w:r w:rsidR="004437A6">
        <w:t>social</w:t>
      </w:r>
      <w:r w:rsidR="00573BA7">
        <w:t xml:space="preserve"> </w:t>
      </w:r>
      <w:r w:rsidR="004437A6">
        <w:t>and</w:t>
      </w:r>
      <w:r w:rsidR="00573BA7">
        <w:t xml:space="preserve"> </w:t>
      </w:r>
      <w:r w:rsidR="004437A6">
        <w:t>economic</w:t>
      </w:r>
      <w:r w:rsidR="00573BA7">
        <w:t xml:space="preserve"> </w:t>
      </w:r>
      <w:r w:rsidR="004437A6">
        <w:t>outcomes</w:t>
      </w:r>
      <w:r w:rsidR="00573BA7">
        <w:t xml:space="preserve"> </w:t>
      </w:r>
      <w:r w:rsidR="004437A6">
        <w:t>for</w:t>
      </w:r>
      <w:r w:rsidR="00573BA7">
        <w:t xml:space="preserve"> </w:t>
      </w:r>
      <w:r w:rsidR="004437A6">
        <w:t>people</w:t>
      </w:r>
      <w:r w:rsidR="00573BA7">
        <w:t xml:space="preserve"> </w:t>
      </w:r>
      <w:r w:rsidR="004437A6">
        <w:t>with</w:t>
      </w:r>
      <w:r w:rsidR="00573BA7">
        <w:t xml:space="preserve"> </w:t>
      </w:r>
      <w:r w:rsidR="004437A6">
        <w:t>disability.</w:t>
      </w:r>
      <w:r w:rsidR="00573BA7">
        <w:t xml:space="preserve"> </w:t>
      </w:r>
      <w:r w:rsidR="005B5014" w:rsidRPr="00383FA7">
        <w:rPr>
          <w:lang w:val="en-US" w:eastAsia="en-US"/>
        </w:rPr>
        <w:t>N</w:t>
      </w:r>
      <w:r w:rsidR="005B5014" w:rsidRPr="00F45C31">
        <w:rPr>
          <w:lang w:val="en-US" w:eastAsia="en-US"/>
        </w:rPr>
        <w:t>early</w:t>
      </w:r>
      <w:r w:rsidR="00573BA7">
        <w:rPr>
          <w:lang w:val="en-US" w:eastAsia="en-US"/>
        </w:rPr>
        <w:t xml:space="preserve"> </w:t>
      </w:r>
      <w:r w:rsidR="005B5014" w:rsidRPr="00F45C31">
        <w:rPr>
          <w:lang w:val="en-US" w:eastAsia="en-US"/>
        </w:rPr>
        <w:t>half</w:t>
      </w:r>
      <w:r w:rsidR="00573BA7">
        <w:rPr>
          <w:lang w:val="en-US" w:eastAsia="en-US"/>
        </w:rPr>
        <w:t xml:space="preserve"> </w:t>
      </w:r>
      <w:r w:rsidR="005B5014" w:rsidRPr="00031F84">
        <w:rPr>
          <w:lang w:val="en-US" w:eastAsia="en-US"/>
        </w:rPr>
        <w:t>of</w:t>
      </w:r>
      <w:r w:rsidR="00573BA7">
        <w:rPr>
          <w:lang w:val="en-US" w:eastAsia="en-US"/>
        </w:rPr>
        <w:t xml:space="preserve"> </w:t>
      </w:r>
      <w:r w:rsidR="005B5014" w:rsidRPr="00031F84">
        <w:rPr>
          <w:lang w:val="en-US" w:eastAsia="en-US"/>
        </w:rPr>
        <w:t>all</w:t>
      </w:r>
      <w:r w:rsidR="00573BA7">
        <w:rPr>
          <w:lang w:val="en-US" w:eastAsia="en-US"/>
        </w:rPr>
        <w:t xml:space="preserve"> </w:t>
      </w:r>
      <w:r w:rsidR="005B5014" w:rsidRPr="005D25E9">
        <w:rPr>
          <w:lang w:val="en-US" w:eastAsia="en-US"/>
        </w:rPr>
        <w:t>employed</w:t>
      </w:r>
      <w:r w:rsidR="00573BA7">
        <w:rPr>
          <w:lang w:val="en-US" w:eastAsia="en-US"/>
        </w:rPr>
        <w:t xml:space="preserve"> </w:t>
      </w:r>
      <w:r w:rsidR="005B5014" w:rsidRPr="003E0DDD">
        <w:rPr>
          <w:lang w:val="en-US" w:eastAsia="en-US"/>
        </w:rPr>
        <w:t>people</w:t>
      </w:r>
      <w:r w:rsidR="00573BA7">
        <w:rPr>
          <w:lang w:val="en-US" w:eastAsia="en-US"/>
        </w:rPr>
        <w:t xml:space="preserve"> </w:t>
      </w:r>
      <w:r w:rsidR="005B5014" w:rsidRPr="003E0DDD">
        <w:rPr>
          <w:lang w:val="en-US" w:eastAsia="en-US"/>
        </w:rPr>
        <w:t>with</w:t>
      </w:r>
      <w:r w:rsidR="00573BA7">
        <w:rPr>
          <w:lang w:val="en-US" w:eastAsia="en-US"/>
        </w:rPr>
        <w:t xml:space="preserve"> </w:t>
      </w:r>
      <w:r w:rsidR="005B5014" w:rsidRPr="003E0DDD">
        <w:rPr>
          <w:lang w:val="en-US" w:eastAsia="en-US"/>
        </w:rPr>
        <w:t>disability</w:t>
      </w:r>
      <w:r w:rsidR="00573BA7">
        <w:rPr>
          <w:lang w:val="en-US" w:eastAsia="en-US"/>
        </w:rPr>
        <w:t xml:space="preserve"> </w:t>
      </w:r>
      <w:r w:rsidR="005B5014" w:rsidRPr="0098638C">
        <w:rPr>
          <w:lang w:val="en-US" w:eastAsia="en-US"/>
        </w:rPr>
        <w:t>reported</w:t>
      </w:r>
      <w:r w:rsidR="00573BA7">
        <w:rPr>
          <w:lang w:val="en-US" w:eastAsia="en-US"/>
        </w:rPr>
        <w:t xml:space="preserve"> </w:t>
      </w:r>
      <w:r w:rsidR="005B5014" w:rsidRPr="0098638C">
        <w:rPr>
          <w:lang w:val="en-US" w:eastAsia="en-US"/>
        </w:rPr>
        <w:t>that</w:t>
      </w:r>
      <w:r w:rsidR="00573BA7">
        <w:rPr>
          <w:lang w:val="en-US" w:eastAsia="en-US"/>
        </w:rPr>
        <w:t xml:space="preserve"> </w:t>
      </w:r>
      <w:r w:rsidR="005B5014" w:rsidRPr="00741990">
        <w:rPr>
          <w:lang w:val="en-US" w:eastAsia="en-US"/>
        </w:rPr>
        <w:t>they</w:t>
      </w:r>
      <w:r w:rsidR="00573BA7">
        <w:rPr>
          <w:lang w:val="en-US" w:eastAsia="en-US"/>
        </w:rPr>
        <w:t xml:space="preserve"> </w:t>
      </w:r>
      <w:r w:rsidR="005B5014" w:rsidRPr="00741990">
        <w:rPr>
          <w:lang w:val="en-US" w:eastAsia="en-US"/>
        </w:rPr>
        <w:t>h</w:t>
      </w:r>
      <w:r w:rsidR="005B5014" w:rsidRPr="00E3502B">
        <w:rPr>
          <w:lang w:val="en-US" w:eastAsia="en-US"/>
        </w:rPr>
        <w:t>ad</w:t>
      </w:r>
      <w:r w:rsidR="00573BA7">
        <w:rPr>
          <w:lang w:val="en-US" w:eastAsia="en-US"/>
        </w:rPr>
        <w:t xml:space="preserve"> </w:t>
      </w:r>
      <w:r w:rsidR="005B5014" w:rsidRPr="00E3502B">
        <w:rPr>
          <w:lang w:val="en-US" w:eastAsia="en-US"/>
        </w:rPr>
        <w:t>experienced</w:t>
      </w:r>
      <w:r w:rsidR="00573BA7">
        <w:rPr>
          <w:lang w:val="en-US" w:eastAsia="en-US"/>
        </w:rPr>
        <w:t xml:space="preserve"> </w:t>
      </w:r>
      <w:r w:rsidR="005B5014" w:rsidRPr="00860BDD">
        <w:rPr>
          <w:lang w:val="en-US" w:eastAsia="en-US"/>
        </w:rPr>
        <w:t>unfair</w:t>
      </w:r>
      <w:r w:rsidR="00573BA7">
        <w:rPr>
          <w:lang w:val="en-US" w:eastAsia="en-US"/>
        </w:rPr>
        <w:t xml:space="preserve"> </w:t>
      </w:r>
      <w:r w:rsidR="005B5014" w:rsidRPr="00860BDD">
        <w:rPr>
          <w:lang w:val="en-US" w:eastAsia="en-US"/>
        </w:rPr>
        <w:t>treatment</w:t>
      </w:r>
      <w:r w:rsidR="00573BA7">
        <w:rPr>
          <w:lang w:val="en-US" w:eastAsia="en-US"/>
        </w:rPr>
        <w:t xml:space="preserve"> </w:t>
      </w:r>
      <w:r w:rsidR="005B5014" w:rsidRPr="00860BDD">
        <w:rPr>
          <w:lang w:val="en-US" w:eastAsia="en-US"/>
        </w:rPr>
        <w:t>or</w:t>
      </w:r>
      <w:r w:rsidR="00573BA7">
        <w:rPr>
          <w:lang w:val="en-US" w:eastAsia="en-US"/>
        </w:rPr>
        <w:t xml:space="preserve"> </w:t>
      </w:r>
      <w:r w:rsidR="005B5014" w:rsidRPr="00860BDD">
        <w:rPr>
          <w:lang w:val="en-US" w:eastAsia="en-US"/>
        </w:rPr>
        <w:t>discrimination</w:t>
      </w:r>
      <w:r w:rsidR="00573BA7">
        <w:rPr>
          <w:lang w:val="en-US" w:eastAsia="en-US"/>
        </w:rPr>
        <w:t xml:space="preserve"> </w:t>
      </w:r>
      <w:r w:rsidR="00C368DC">
        <w:rPr>
          <w:lang w:val="en-US" w:eastAsia="en-US"/>
        </w:rPr>
        <w:t xml:space="preserve">by their employer </w:t>
      </w:r>
      <w:r w:rsidR="005B5014" w:rsidRPr="00860BDD">
        <w:rPr>
          <w:lang w:val="en-US" w:eastAsia="en-US"/>
        </w:rPr>
        <w:t>due</w:t>
      </w:r>
      <w:r w:rsidR="00573BA7">
        <w:rPr>
          <w:lang w:val="en-US" w:eastAsia="en-US"/>
        </w:rPr>
        <w:t xml:space="preserve"> </w:t>
      </w:r>
      <w:r w:rsidR="005B5014" w:rsidRPr="00860BDD">
        <w:rPr>
          <w:lang w:val="en-US" w:eastAsia="en-US"/>
        </w:rPr>
        <w:t>to</w:t>
      </w:r>
      <w:r w:rsidR="00573BA7">
        <w:rPr>
          <w:lang w:val="en-US" w:eastAsia="en-US"/>
        </w:rPr>
        <w:t xml:space="preserve"> </w:t>
      </w:r>
      <w:r w:rsidR="005B5014" w:rsidRPr="00860BDD">
        <w:rPr>
          <w:lang w:val="en-US" w:eastAsia="en-US"/>
        </w:rPr>
        <w:t>their</w:t>
      </w:r>
      <w:r w:rsidR="00573BA7">
        <w:rPr>
          <w:lang w:val="en-US" w:eastAsia="en-US"/>
        </w:rPr>
        <w:t xml:space="preserve"> </w:t>
      </w:r>
      <w:r w:rsidR="005B5014" w:rsidRPr="00860BDD">
        <w:rPr>
          <w:lang w:val="en-US" w:eastAsia="en-US"/>
        </w:rPr>
        <w:t>disability</w:t>
      </w:r>
      <w:r w:rsidR="00573BA7">
        <w:rPr>
          <w:lang w:val="en-US" w:eastAsia="en-US"/>
        </w:rPr>
        <w:t xml:space="preserve"> </w:t>
      </w:r>
      <w:r w:rsidR="005B5014" w:rsidRPr="00860BDD">
        <w:rPr>
          <w:lang w:val="en-US" w:eastAsia="en-US"/>
        </w:rPr>
        <w:t>in</w:t>
      </w:r>
      <w:r w:rsidR="00573BA7">
        <w:rPr>
          <w:lang w:val="en-US" w:eastAsia="en-US"/>
        </w:rPr>
        <w:t xml:space="preserve"> </w:t>
      </w:r>
      <w:r w:rsidR="005B5014" w:rsidRPr="00860BDD">
        <w:rPr>
          <w:lang w:val="en-US" w:eastAsia="en-US"/>
        </w:rPr>
        <w:t>the</w:t>
      </w:r>
      <w:r w:rsidR="00573BA7">
        <w:rPr>
          <w:lang w:val="en-US" w:eastAsia="en-US"/>
        </w:rPr>
        <w:t xml:space="preserve"> </w:t>
      </w:r>
      <w:r w:rsidR="005B5014" w:rsidRPr="00860BDD">
        <w:rPr>
          <w:lang w:val="en-US" w:eastAsia="en-US"/>
        </w:rPr>
        <w:t>past</w:t>
      </w:r>
      <w:r w:rsidR="00573BA7">
        <w:rPr>
          <w:lang w:val="en-US" w:eastAsia="en-US"/>
        </w:rPr>
        <w:t xml:space="preserve"> </w:t>
      </w:r>
      <w:r w:rsidR="005B5014" w:rsidRPr="00180E4B">
        <w:rPr>
          <w:lang w:val="en-US" w:eastAsia="en-US"/>
        </w:rPr>
        <w:t>12</w:t>
      </w:r>
      <w:r w:rsidR="00573BA7">
        <w:rPr>
          <w:lang w:val="en-US" w:eastAsia="en-US"/>
        </w:rPr>
        <w:t xml:space="preserve"> </w:t>
      </w:r>
      <w:r w:rsidR="005B5014" w:rsidRPr="00180E4B">
        <w:rPr>
          <w:lang w:val="en-US" w:eastAsia="en-US"/>
        </w:rPr>
        <w:t>months.</w:t>
      </w:r>
      <w:r w:rsidR="005B5014">
        <w:rPr>
          <w:rStyle w:val="EndnoteReference"/>
          <w:lang w:val="en-US" w:eastAsia="en-US"/>
        </w:rPr>
        <w:endnoteReference w:id="9"/>
      </w:r>
      <w:r w:rsidR="00573BA7">
        <w:rPr>
          <w:lang w:val="en-US" w:eastAsia="en-US"/>
        </w:rPr>
        <w:t xml:space="preserve"> </w:t>
      </w:r>
      <w:r w:rsidR="005B5014" w:rsidRPr="00F45C31">
        <w:rPr>
          <w:lang w:val="en-US" w:eastAsia="en-US"/>
        </w:rPr>
        <w:t>O</w:t>
      </w:r>
      <w:r w:rsidR="005B5014" w:rsidRPr="00031F84">
        <w:rPr>
          <w:lang w:val="en-US" w:eastAsia="en-US"/>
        </w:rPr>
        <w:t>ne</w:t>
      </w:r>
      <w:r w:rsidR="00573BA7">
        <w:rPr>
          <w:lang w:val="en-US" w:eastAsia="en-US"/>
        </w:rPr>
        <w:t xml:space="preserve"> </w:t>
      </w:r>
      <w:r w:rsidR="005B5014" w:rsidRPr="00031F84">
        <w:rPr>
          <w:lang w:val="en-US" w:eastAsia="en-US"/>
        </w:rPr>
        <w:t>in</w:t>
      </w:r>
      <w:r w:rsidR="00573BA7">
        <w:rPr>
          <w:lang w:val="en-US" w:eastAsia="en-US"/>
        </w:rPr>
        <w:t xml:space="preserve"> </w:t>
      </w:r>
      <w:r w:rsidR="005B5014" w:rsidRPr="00031F84">
        <w:rPr>
          <w:lang w:val="en-US" w:eastAsia="en-US"/>
        </w:rPr>
        <w:t>five</w:t>
      </w:r>
      <w:r w:rsidR="00573BA7">
        <w:rPr>
          <w:lang w:val="en-US" w:eastAsia="en-US"/>
        </w:rPr>
        <w:t xml:space="preserve"> </w:t>
      </w:r>
      <w:r w:rsidR="005B5014" w:rsidRPr="007B1314">
        <w:rPr>
          <w:lang w:val="en-US" w:eastAsia="en-US"/>
        </w:rPr>
        <w:t>employed</w:t>
      </w:r>
      <w:r w:rsidR="00573BA7">
        <w:rPr>
          <w:lang w:val="en-US" w:eastAsia="en-US"/>
        </w:rPr>
        <w:t xml:space="preserve"> </w:t>
      </w:r>
      <w:r w:rsidR="005B5014" w:rsidRPr="00C22436">
        <w:rPr>
          <w:lang w:val="en-US" w:eastAsia="en-US"/>
        </w:rPr>
        <w:t>people</w:t>
      </w:r>
      <w:r w:rsidR="00573BA7">
        <w:rPr>
          <w:lang w:val="en-US" w:eastAsia="en-US"/>
        </w:rPr>
        <w:t xml:space="preserve"> </w:t>
      </w:r>
      <w:r w:rsidR="005B5014" w:rsidRPr="00C22436">
        <w:rPr>
          <w:lang w:val="en-US" w:eastAsia="en-US"/>
        </w:rPr>
        <w:t>with</w:t>
      </w:r>
      <w:r w:rsidR="00573BA7">
        <w:rPr>
          <w:lang w:val="en-US" w:eastAsia="en-US"/>
        </w:rPr>
        <w:t xml:space="preserve"> </w:t>
      </w:r>
      <w:r w:rsidR="005B5014" w:rsidRPr="00C22436">
        <w:rPr>
          <w:lang w:val="en-US" w:eastAsia="en-US"/>
        </w:rPr>
        <w:t>disability</w:t>
      </w:r>
      <w:r w:rsidR="00573BA7">
        <w:rPr>
          <w:lang w:val="en-US" w:eastAsia="en-US"/>
        </w:rPr>
        <w:t xml:space="preserve"> </w:t>
      </w:r>
      <w:r w:rsidR="005B5014" w:rsidRPr="00084DF1">
        <w:rPr>
          <w:lang w:val="en-US" w:eastAsia="en-US"/>
        </w:rPr>
        <w:t>also</w:t>
      </w:r>
      <w:r w:rsidR="00573BA7">
        <w:rPr>
          <w:lang w:val="en-US" w:eastAsia="en-US"/>
        </w:rPr>
        <w:t xml:space="preserve"> </w:t>
      </w:r>
      <w:r w:rsidR="005B5014" w:rsidRPr="005D25E9">
        <w:rPr>
          <w:lang w:val="en-US" w:eastAsia="en-US"/>
        </w:rPr>
        <w:t>reported</w:t>
      </w:r>
      <w:r w:rsidR="00573BA7">
        <w:rPr>
          <w:lang w:val="en-US" w:eastAsia="en-US"/>
        </w:rPr>
        <w:t xml:space="preserve"> </w:t>
      </w:r>
      <w:r w:rsidR="005B5014" w:rsidRPr="005D25E9">
        <w:rPr>
          <w:lang w:val="en-US" w:eastAsia="en-US"/>
        </w:rPr>
        <w:t>t</w:t>
      </w:r>
      <w:r w:rsidR="005B5014" w:rsidRPr="008548F6">
        <w:rPr>
          <w:lang w:val="en-US" w:eastAsia="en-US"/>
        </w:rPr>
        <w:t>hat</w:t>
      </w:r>
      <w:r w:rsidR="00573BA7">
        <w:rPr>
          <w:lang w:val="en-US" w:eastAsia="en-US"/>
        </w:rPr>
        <w:t xml:space="preserve"> </w:t>
      </w:r>
      <w:r w:rsidR="005B5014" w:rsidRPr="008548F6">
        <w:rPr>
          <w:lang w:val="en-US" w:eastAsia="en-US"/>
        </w:rPr>
        <w:t>they</w:t>
      </w:r>
      <w:r w:rsidR="00573BA7">
        <w:rPr>
          <w:lang w:val="en-US" w:eastAsia="en-US"/>
        </w:rPr>
        <w:t xml:space="preserve"> </w:t>
      </w:r>
      <w:r w:rsidR="005B5014" w:rsidRPr="008548F6">
        <w:rPr>
          <w:lang w:val="en-US" w:eastAsia="en-US"/>
        </w:rPr>
        <w:t>had</w:t>
      </w:r>
      <w:r w:rsidR="00573BA7">
        <w:rPr>
          <w:lang w:val="en-US" w:eastAsia="en-US"/>
        </w:rPr>
        <w:t xml:space="preserve"> </w:t>
      </w:r>
      <w:r w:rsidR="005B5014" w:rsidRPr="008548F6">
        <w:rPr>
          <w:lang w:val="en-US" w:eastAsia="en-US"/>
        </w:rPr>
        <w:t>a</w:t>
      </w:r>
      <w:r w:rsidR="005B5014" w:rsidRPr="003E0DDD">
        <w:rPr>
          <w:lang w:val="en-US" w:eastAsia="en-US"/>
        </w:rPr>
        <w:t>voided</w:t>
      </w:r>
      <w:r w:rsidR="00573BA7">
        <w:rPr>
          <w:lang w:val="en-US" w:eastAsia="en-US"/>
        </w:rPr>
        <w:t xml:space="preserve"> </w:t>
      </w:r>
      <w:r w:rsidR="005B5014" w:rsidRPr="003E0DDD">
        <w:rPr>
          <w:lang w:val="en-US" w:eastAsia="en-US"/>
        </w:rPr>
        <w:t>work</w:t>
      </w:r>
      <w:r w:rsidR="00573BA7">
        <w:rPr>
          <w:lang w:val="en-US" w:eastAsia="en-US"/>
        </w:rPr>
        <w:t xml:space="preserve"> </w:t>
      </w:r>
      <w:r w:rsidR="005B5014" w:rsidRPr="003E0DDD">
        <w:rPr>
          <w:lang w:val="en-US" w:eastAsia="en-US"/>
        </w:rPr>
        <w:t>due</w:t>
      </w:r>
      <w:r w:rsidR="00573BA7">
        <w:rPr>
          <w:lang w:val="en-US" w:eastAsia="en-US"/>
        </w:rPr>
        <w:t xml:space="preserve"> </w:t>
      </w:r>
      <w:r w:rsidR="005B5014" w:rsidRPr="003E0DDD">
        <w:rPr>
          <w:lang w:val="en-US" w:eastAsia="en-US"/>
        </w:rPr>
        <w:t>to</w:t>
      </w:r>
      <w:r w:rsidR="00573BA7">
        <w:rPr>
          <w:lang w:val="en-US" w:eastAsia="en-US"/>
        </w:rPr>
        <w:t xml:space="preserve"> </w:t>
      </w:r>
      <w:r w:rsidR="005B5014" w:rsidRPr="003E0DDD">
        <w:rPr>
          <w:lang w:val="en-US" w:eastAsia="en-US"/>
        </w:rPr>
        <w:t>their</w:t>
      </w:r>
      <w:r w:rsidR="00573BA7">
        <w:rPr>
          <w:lang w:val="en-US" w:eastAsia="en-US"/>
        </w:rPr>
        <w:t xml:space="preserve"> </w:t>
      </w:r>
      <w:r w:rsidR="005B5014" w:rsidRPr="003E0DDD">
        <w:rPr>
          <w:lang w:val="en-US" w:eastAsia="en-US"/>
        </w:rPr>
        <w:t>disability</w:t>
      </w:r>
      <w:r w:rsidR="00573BA7">
        <w:rPr>
          <w:lang w:val="en-US" w:eastAsia="en-US"/>
        </w:rPr>
        <w:t xml:space="preserve"> </w:t>
      </w:r>
      <w:r w:rsidR="005B5014" w:rsidRPr="003E0DDD">
        <w:rPr>
          <w:lang w:val="en-US" w:eastAsia="en-US"/>
        </w:rPr>
        <w:t>in</w:t>
      </w:r>
      <w:r w:rsidR="00573BA7">
        <w:rPr>
          <w:lang w:val="en-US" w:eastAsia="en-US"/>
        </w:rPr>
        <w:t xml:space="preserve"> </w:t>
      </w:r>
      <w:r w:rsidR="005B5014" w:rsidRPr="003E0DDD">
        <w:rPr>
          <w:lang w:val="en-US" w:eastAsia="en-US"/>
        </w:rPr>
        <w:t>the</w:t>
      </w:r>
      <w:r w:rsidR="00573BA7">
        <w:rPr>
          <w:lang w:val="en-US" w:eastAsia="en-US"/>
        </w:rPr>
        <w:t xml:space="preserve"> </w:t>
      </w:r>
      <w:r w:rsidR="005B5014" w:rsidRPr="003E0DDD">
        <w:rPr>
          <w:lang w:val="en-US" w:eastAsia="en-US"/>
        </w:rPr>
        <w:t>past</w:t>
      </w:r>
      <w:r w:rsidR="00573BA7">
        <w:rPr>
          <w:lang w:val="en-US" w:eastAsia="en-US"/>
        </w:rPr>
        <w:t xml:space="preserve"> </w:t>
      </w:r>
      <w:r w:rsidR="005B5014" w:rsidRPr="003E0DDD">
        <w:rPr>
          <w:lang w:val="en-US" w:eastAsia="en-US"/>
        </w:rPr>
        <w:t>12</w:t>
      </w:r>
      <w:r w:rsidR="00573BA7">
        <w:rPr>
          <w:lang w:val="en-US" w:eastAsia="en-US"/>
        </w:rPr>
        <w:t xml:space="preserve"> </w:t>
      </w:r>
      <w:r w:rsidR="005B5014" w:rsidRPr="003E0DDD">
        <w:rPr>
          <w:lang w:val="en-US" w:eastAsia="en-US"/>
        </w:rPr>
        <w:t>months</w:t>
      </w:r>
      <w:r w:rsidR="005B5014" w:rsidRPr="0098638C">
        <w:rPr>
          <w:lang w:val="en-US" w:eastAsia="en-US"/>
        </w:rPr>
        <w:t>.</w:t>
      </w:r>
      <w:r w:rsidR="005B5014">
        <w:rPr>
          <w:rStyle w:val="EndnoteReference"/>
          <w:lang w:val="en-US" w:eastAsia="en-US"/>
        </w:rPr>
        <w:endnoteReference w:id="10"/>
      </w:r>
      <w:r w:rsidR="00573BA7">
        <w:rPr>
          <w:lang w:val="en-US" w:eastAsia="en-US"/>
        </w:rPr>
        <w:t xml:space="preserve"> </w:t>
      </w:r>
      <w:r w:rsidR="005B3717">
        <w:t>In</w:t>
      </w:r>
      <w:r w:rsidR="00573BA7">
        <w:t xml:space="preserve"> </w:t>
      </w:r>
      <w:r w:rsidR="005B3717">
        <w:t>2018</w:t>
      </w:r>
      <w:r w:rsidR="543EAF67" w:rsidRPr="07069484">
        <w:rPr>
          <w:rFonts w:ascii="Calibri" w:eastAsia="Calibri" w:hAnsi="Calibri" w:cs="Calibri"/>
          <w:sz w:val="22"/>
          <w:szCs w:val="22"/>
        </w:rPr>
        <w:t>–</w:t>
      </w:r>
      <w:r w:rsidR="005B3717">
        <w:t>19,</w:t>
      </w:r>
      <w:r w:rsidR="00573BA7">
        <w:t xml:space="preserve"> </w:t>
      </w:r>
      <w:r w:rsidR="005B3717">
        <w:t>almost</w:t>
      </w:r>
      <w:r w:rsidR="00573BA7">
        <w:t xml:space="preserve"> </w:t>
      </w:r>
      <w:r w:rsidR="005B3717">
        <w:t>half</w:t>
      </w:r>
      <w:r w:rsidR="00573BA7">
        <w:t xml:space="preserve"> </w:t>
      </w:r>
      <w:r w:rsidR="003C665C">
        <w:t>of</w:t>
      </w:r>
      <w:r w:rsidR="00573BA7">
        <w:t xml:space="preserve"> </w:t>
      </w:r>
      <w:r w:rsidR="003C665C">
        <w:t>the</w:t>
      </w:r>
      <w:r w:rsidR="00573BA7">
        <w:t xml:space="preserve"> </w:t>
      </w:r>
      <w:r w:rsidR="005B3717">
        <w:t>complaints</w:t>
      </w:r>
      <w:r w:rsidR="005C3122">
        <w:t xml:space="preserve"> (44%)</w:t>
      </w:r>
      <w:r w:rsidR="00573BA7">
        <w:t xml:space="preserve"> </w:t>
      </w:r>
      <w:r w:rsidR="005B3717">
        <w:t>received</w:t>
      </w:r>
      <w:r w:rsidR="00573BA7">
        <w:t xml:space="preserve"> </w:t>
      </w:r>
      <w:r w:rsidR="005B3717">
        <w:t>by</w:t>
      </w:r>
      <w:r w:rsidR="00573BA7">
        <w:t xml:space="preserve"> </w:t>
      </w:r>
      <w:r w:rsidR="005B3717">
        <w:t>the</w:t>
      </w:r>
      <w:r w:rsidR="00573BA7">
        <w:t xml:space="preserve"> </w:t>
      </w:r>
      <w:r w:rsidR="005B3717">
        <w:t>Commission</w:t>
      </w:r>
      <w:r w:rsidR="00573BA7">
        <w:t xml:space="preserve"> </w:t>
      </w:r>
      <w:r w:rsidR="003C665C">
        <w:t>under</w:t>
      </w:r>
      <w:r w:rsidR="00573BA7">
        <w:t xml:space="preserve"> </w:t>
      </w:r>
      <w:r w:rsidR="003C665C">
        <w:t>anti-discrimination</w:t>
      </w:r>
      <w:r w:rsidR="00573BA7">
        <w:t xml:space="preserve"> </w:t>
      </w:r>
      <w:r w:rsidR="003C665C">
        <w:t>laws</w:t>
      </w:r>
      <w:r w:rsidR="00573BA7">
        <w:t xml:space="preserve"> </w:t>
      </w:r>
      <w:r w:rsidR="003C665C">
        <w:t>related</w:t>
      </w:r>
      <w:r w:rsidR="00573BA7">
        <w:t xml:space="preserve"> </w:t>
      </w:r>
      <w:r w:rsidR="003C665C">
        <w:t>to</w:t>
      </w:r>
      <w:r w:rsidR="00573BA7">
        <w:t xml:space="preserve"> </w:t>
      </w:r>
      <w:r w:rsidR="003C665C">
        <w:t>disability</w:t>
      </w:r>
      <w:r w:rsidR="00573BA7">
        <w:t xml:space="preserve"> </w:t>
      </w:r>
      <w:r w:rsidR="003C665C">
        <w:t>discrimination,</w:t>
      </w:r>
      <w:r w:rsidR="003E66B5">
        <w:t xml:space="preserve"> </w:t>
      </w:r>
      <w:r w:rsidR="001A0CA4">
        <w:t>with over a third of these (</w:t>
      </w:r>
      <w:r w:rsidR="005B3717">
        <w:t>36%</w:t>
      </w:r>
      <w:r w:rsidR="001A0CA4">
        <w:t>)</w:t>
      </w:r>
      <w:r w:rsidR="00573BA7">
        <w:t xml:space="preserve"> </w:t>
      </w:r>
      <w:r w:rsidR="005B3717">
        <w:t>relat</w:t>
      </w:r>
      <w:r w:rsidR="003C665C">
        <w:t>ed</w:t>
      </w:r>
      <w:r w:rsidR="00573BA7">
        <w:t xml:space="preserve"> </w:t>
      </w:r>
      <w:r w:rsidR="005B3717">
        <w:t>to</w:t>
      </w:r>
      <w:r w:rsidR="00573BA7">
        <w:t xml:space="preserve"> </w:t>
      </w:r>
      <w:r w:rsidR="005B3717">
        <w:t>employment.</w:t>
      </w:r>
      <w:r w:rsidR="00573BA7">
        <w:t xml:space="preserve"> </w:t>
      </w:r>
      <w:r w:rsidR="005B3717">
        <w:t>An</w:t>
      </w:r>
      <w:r w:rsidR="00573BA7">
        <w:t xml:space="preserve"> </w:t>
      </w:r>
      <w:r w:rsidR="005B3717">
        <w:t>overview</w:t>
      </w:r>
      <w:r w:rsidR="00573BA7">
        <w:t xml:space="preserve"> </w:t>
      </w:r>
      <w:r w:rsidR="005B3717">
        <w:t>of</w:t>
      </w:r>
      <w:r w:rsidR="00573BA7">
        <w:t xml:space="preserve"> </w:t>
      </w:r>
      <w:r w:rsidR="0029211C">
        <w:t>the</w:t>
      </w:r>
      <w:r w:rsidR="00573BA7">
        <w:t xml:space="preserve"> </w:t>
      </w:r>
      <w:r w:rsidR="00DB2A75">
        <w:t xml:space="preserve">disability related complaints received by the Commission </w:t>
      </w:r>
      <w:r w:rsidR="00FF0088">
        <w:t xml:space="preserve">between 2013-2019 </w:t>
      </w:r>
      <w:r w:rsidR="005B3717">
        <w:t>is</w:t>
      </w:r>
      <w:r w:rsidR="00573BA7">
        <w:t xml:space="preserve"> </w:t>
      </w:r>
      <w:r w:rsidR="005B3717">
        <w:t>provided</w:t>
      </w:r>
      <w:r w:rsidR="00573BA7">
        <w:t xml:space="preserve"> </w:t>
      </w:r>
      <w:r w:rsidR="005B3717">
        <w:t>in</w:t>
      </w:r>
      <w:r w:rsidR="00573BA7">
        <w:t xml:space="preserve"> </w:t>
      </w:r>
      <w:r w:rsidR="005B3717" w:rsidRPr="2239DB52">
        <w:rPr>
          <w:b/>
          <w:bCs/>
          <w:u w:val="single"/>
        </w:rPr>
        <w:t>Appendix</w:t>
      </w:r>
      <w:r w:rsidR="00573BA7" w:rsidRPr="2239DB52">
        <w:rPr>
          <w:b/>
          <w:bCs/>
          <w:u w:val="single"/>
        </w:rPr>
        <w:t xml:space="preserve"> </w:t>
      </w:r>
      <w:r w:rsidR="005B3717" w:rsidRPr="2239DB52">
        <w:rPr>
          <w:b/>
          <w:bCs/>
          <w:u w:val="single"/>
        </w:rPr>
        <w:t>A</w:t>
      </w:r>
      <w:r w:rsidR="005B3717">
        <w:t>.</w:t>
      </w:r>
    </w:p>
    <w:p w14:paraId="40B8E621" w14:textId="13151F91" w:rsidR="00DE5FC8" w:rsidRDefault="001D0534" w:rsidP="008D0B0F">
      <w:pPr>
        <w:pStyle w:val="ListNumber"/>
      </w:pPr>
      <w:bookmarkStart w:id="8" w:name="_Ref50735818"/>
      <w:r>
        <w:t>The</w:t>
      </w:r>
      <w:r w:rsidR="00573BA7">
        <w:t xml:space="preserve"> </w:t>
      </w:r>
      <w:r>
        <w:t>Commission</w:t>
      </w:r>
      <w:r w:rsidR="00573BA7">
        <w:t xml:space="preserve"> </w:t>
      </w:r>
      <w:r w:rsidR="00DE5FC8">
        <w:t>is</w:t>
      </w:r>
      <w:r w:rsidR="00573BA7">
        <w:t xml:space="preserve"> </w:t>
      </w:r>
      <w:r w:rsidR="00DE5FC8">
        <w:t>concerned</w:t>
      </w:r>
      <w:r w:rsidR="00573BA7">
        <w:t xml:space="preserve"> </w:t>
      </w:r>
      <w:r w:rsidR="00DE5FC8">
        <w:t>about</w:t>
      </w:r>
      <w:r w:rsidR="00573BA7">
        <w:t xml:space="preserve"> </w:t>
      </w:r>
      <w:r w:rsidR="00DE5FC8">
        <w:t>particularly</w:t>
      </w:r>
      <w:r w:rsidR="00573BA7">
        <w:t xml:space="preserve"> </w:t>
      </w:r>
      <w:r w:rsidR="00DE5FC8">
        <w:t>poor</w:t>
      </w:r>
      <w:r w:rsidR="00573BA7">
        <w:t xml:space="preserve"> </w:t>
      </w:r>
      <w:r w:rsidR="00DE5FC8">
        <w:t>employment</w:t>
      </w:r>
      <w:r w:rsidR="00573BA7">
        <w:t xml:space="preserve"> </w:t>
      </w:r>
      <w:r w:rsidR="00DE5FC8">
        <w:t>outcomes</w:t>
      </w:r>
      <w:r w:rsidR="00573BA7">
        <w:t xml:space="preserve"> </w:t>
      </w:r>
      <w:r w:rsidR="00DE5FC8">
        <w:t>for</w:t>
      </w:r>
      <w:r w:rsidR="00573BA7">
        <w:t xml:space="preserve"> </w:t>
      </w:r>
      <w:r w:rsidR="00DE5FC8">
        <w:t>people</w:t>
      </w:r>
      <w:r w:rsidR="00573BA7">
        <w:t xml:space="preserve"> </w:t>
      </w:r>
      <w:r w:rsidR="00DE5FC8">
        <w:t>with</w:t>
      </w:r>
      <w:r w:rsidR="00573BA7">
        <w:t xml:space="preserve"> </w:t>
      </w:r>
      <w:r w:rsidR="00DE5FC8">
        <w:t>disability</w:t>
      </w:r>
      <w:r w:rsidR="00573BA7">
        <w:t xml:space="preserve"> </w:t>
      </w:r>
      <w:r w:rsidR="00DE5FC8">
        <w:t>across</w:t>
      </w:r>
      <w:r w:rsidR="00573BA7">
        <w:t xml:space="preserve"> </w:t>
      </w:r>
      <w:r w:rsidR="00DE5FC8">
        <w:t>intersections</w:t>
      </w:r>
      <w:r w:rsidR="00573BA7">
        <w:t xml:space="preserve"> </w:t>
      </w:r>
      <w:r w:rsidR="00DE5FC8">
        <w:t>of</w:t>
      </w:r>
      <w:r w:rsidR="00573BA7">
        <w:t xml:space="preserve"> </w:t>
      </w:r>
      <w:r w:rsidR="00DE5FC8">
        <w:t>gender,</w:t>
      </w:r>
      <w:r w:rsidR="00573BA7">
        <w:t xml:space="preserve"> </w:t>
      </w:r>
      <w:r w:rsidR="00DE5FC8">
        <w:t>age</w:t>
      </w:r>
      <w:r w:rsidR="00573BA7">
        <w:t xml:space="preserve"> </w:t>
      </w:r>
      <w:r w:rsidR="00DE5FC8">
        <w:t>and</w:t>
      </w:r>
      <w:r w:rsidR="00573BA7">
        <w:t xml:space="preserve"> </w:t>
      </w:r>
      <w:r w:rsidR="00DE5FC8">
        <w:t>Aboriginal</w:t>
      </w:r>
      <w:r w:rsidR="00573BA7">
        <w:t xml:space="preserve"> </w:t>
      </w:r>
      <w:r w:rsidR="00DE5FC8">
        <w:t>and</w:t>
      </w:r>
      <w:r w:rsidR="00573BA7">
        <w:t xml:space="preserve"> </w:t>
      </w:r>
      <w:r w:rsidR="00DE5FC8">
        <w:t>Torres</w:t>
      </w:r>
      <w:r w:rsidR="00573BA7">
        <w:t xml:space="preserve"> </w:t>
      </w:r>
      <w:r w:rsidR="00DE5FC8">
        <w:t>Strait</w:t>
      </w:r>
      <w:r w:rsidR="00573BA7">
        <w:t xml:space="preserve"> </w:t>
      </w:r>
      <w:r w:rsidR="00DE5FC8">
        <w:t>Islander</w:t>
      </w:r>
      <w:r w:rsidR="00573BA7">
        <w:t xml:space="preserve"> </w:t>
      </w:r>
      <w:r w:rsidR="00DE5FC8">
        <w:t>status:</w:t>
      </w:r>
      <w:bookmarkEnd w:id="8"/>
    </w:p>
    <w:p w14:paraId="25023159" w14:textId="5F95055D" w:rsidR="008D0B0F" w:rsidRPr="00F25E7B" w:rsidRDefault="000D7868" w:rsidP="00BC4DA8">
      <w:pPr>
        <w:pStyle w:val="ListParagraph"/>
        <w:numPr>
          <w:ilvl w:val="0"/>
          <w:numId w:val="45"/>
        </w:numPr>
      </w:pPr>
      <w:r w:rsidRPr="00F25E7B">
        <w:t>W</w:t>
      </w:r>
      <w:r w:rsidR="001D0534" w:rsidRPr="00F25E7B">
        <w:t>omen</w:t>
      </w:r>
      <w:r w:rsidR="00573BA7">
        <w:t xml:space="preserve"> </w:t>
      </w:r>
      <w:r w:rsidR="001D0534" w:rsidRPr="006C5D7A">
        <w:t>and</w:t>
      </w:r>
      <w:r w:rsidR="00573BA7">
        <w:t xml:space="preserve"> </w:t>
      </w:r>
      <w:r w:rsidR="001D0534" w:rsidRPr="006C5D7A">
        <w:t>girls</w:t>
      </w:r>
      <w:r w:rsidR="00573BA7">
        <w:t xml:space="preserve"> </w:t>
      </w:r>
      <w:r w:rsidR="001D0534" w:rsidRPr="006C5D7A">
        <w:t>with</w:t>
      </w:r>
      <w:r w:rsidR="00573BA7">
        <w:t xml:space="preserve"> </w:t>
      </w:r>
      <w:r w:rsidR="001D0534" w:rsidRPr="006C5D7A">
        <w:t>disability</w:t>
      </w:r>
      <w:r w:rsidR="00573BA7">
        <w:t xml:space="preserve"> </w:t>
      </w:r>
      <w:r w:rsidRPr="006C5D7A">
        <w:t>experience</w:t>
      </w:r>
      <w:r w:rsidR="00573BA7">
        <w:t xml:space="preserve"> </w:t>
      </w:r>
      <w:r w:rsidRPr="006C5D7A">
        <w:t>particularly</w:t>
      </w:r>
      <w:r w:rsidR="00573BA7">
        <w:t xml:space="preserve"> </w:t>
      </w:r>
      <w:r w:rsidRPr="006C5D7A">
        <w:t>low</w:t>
      </w:r>
      <w:r w:rsidR="00573BA7">
        <w:t xml:space="preserve"> </w:t>
      </w:r>
      <w:r w:rsidRPr="006C5D7A">
        <w:t>rates</w:t>
      </w:r>
      <w:r w:rsidR="00573BA7">
        <w:t xml:space="preserve"> </w:t>
      </w:r>
      <w:r w:rsidRPr="006C5D7A">
        <w:t>of</w:t>
      </w:r>
      <w:r w:rsidR="00573BA7">
        <w:t xml:space="preserve"> </w:t>
      </w:r>
      <w:r w:rsidRPr="006C5D7A">
        <w:t>employment</w:t>
      </w:r>
      <w:r w:rsidR="00014A5B">
        <w:t xml:space="preserve"> (45.9%)</w:t>
      </w:r>
      <w:r w:rsidR="008B5876" w:rsidRPr="006C5D7A">
        <w:t>.</w:t>
      </w:r>
      <w:r w:rsidR="008B5876" w:rsidRPr="007B537E">
        <w:rPr>
          <w:sz w:val="20"/>
          <w:szCs w:val="20"/>
          <w:vertAlign w:val="superscript"/>
        </w:rPr>
        <w:endnoteReference w:id="11"/>
      </w:r>
      <w:r w:rsidR="00573BA7" w:rsidRPr="003E66B5">
        <w:rPr>
          <w:vertAlign w:val="superscript"/>
        </w:rPr>
        <w:t xml:space="preserve"> </w:t>
      </w:r>
      <w:r w:rsidR="00DD6A96" w:rsidRPr="00031F84">
        <w:t>W</w:t>
      </w:r>
      <w:r w:rsidR="00DD6A96" w:rsidRPr="007B1314">
        <w:t>omen</w:t>
      </w:r>
      <w:r w:rsidR="00573BA7">
        <w:t xml:space="preserve"> </w:t>
      </w:r>
      <w:r w:rsidR="00DD6A96" w:rsidRPr="007B1314">
        <w:t>with</w:t>
      </w:r>
      <w:r w:rsidR="00573BA7">
        <w:t xml:space="preserve"> </w:t>
      </w:r>
      <w:r w:rsidR="00DD6A96" w:rsidRPr="007B1314">
        <w:t>disability</w:t>
      </w:r>
      <w:r w:rsidR="00573BA7">
        <w:t xml:space="preserve"> </w:t>
      </w:r>
      <w:r w:rsidR="00CD0AD1" w:rsidRPr="00C22436">
        <w:t>work</w:t>
      </w:r>
      <w:r w:rsidR="00573BA7">
        <w:t xml:space="preserve"> </w:t>
      </w:r>
      <w:r w:rsidR="00CD0AD1" w:rsidRPr="00C22436">
        <w:t>part-time</w:t>
      </w:r>
      <w:r w:rsidR="00573BA7">
        <w:t xml:space="preserve"> </w:t>
      </w:r>
      <w:r w:rsidR="00CD0AD1" w:rsidRPr="00C22436">
        <w:t>at</w:t>
      </w:r>
      <w:r w:rsidR="00573BA7">
        <w:t xml:space="preserve"> </w:t>
      </w:r>
      <w:r w:rsidR="00CD0AD1" w:rsidRPr="00C22436">
        <w:t>almost</w:t>
      </w:r>
      <w:r w:rsidR="00573BA7">
        <w:t xml:space="preserve"> </w:t>
      </w:r>
      <w:r w:rsidR="00CD0AD1" w:rsidRPr="00C22436">
        <w:t>double</w:t>
      </w:r>
      <w:r w:rsidR="00573BA7">
        <w:t xml:space="preserve"> </w:t>
      </w:r>
      <w:r w:rsidR="00596ECF">
        <w:t xml:space="preserve">(58%) </w:t>
      </w:r>
      <w:r w:rsidR="00CD0AD1" w:rsidRPr="00084DF1">
        <w:t>the</w:t>
      </w:r>
      <w:r w:rsidR="00573BA7">
        <w:t xml:space="preserve"> </w:t>
      </w:r>
      <w:r w:rsidR="00CD0AD1" w:rsidRPr="00084DF1">
        <w:t>rate</w:t>
      </w:r>
      <w:r w:rsidR="00573BA7">
        <w:t xml:space="preserve"> </w:t>
      </w:r>
      <w:r w:rsidR="00CD0AD1" w:rsidRPr="00084DF1">
        <w:t>of</w:t>
      </w:r>
      <w:r w:rsidR="00573BA7">
        <w:t xml:space="preserve"> </w:t>
      </w:r>
      <w:r w:rsidR="00CD0AD1" w:rsidRPr="00084DF1">
        <w:t>men</w:t>
      </w:r>
      <w:r w:rsidR="00573BA7">
        <w:t xml:space="preserve"> </w:t>
      </w:r>
      <w:r w:rsidR="00DD6A96" w:rsidRPr="008548F6">
        <w:t>with</w:t>
      </w:r>
      <w:r w:rsidR="00573BA7">
        <w:t xml:space="preserve"> </w:t>
      </w:r>
      <w:r w:rsidR="00DD6A96" w:rsidRPr="008548F6">
        <w:t>disability</w:t>
      </w:r>
      <w:r w:rsidR="0058434C">
        <w:t xml:space="preserve"> (31%)</w:t>
      </w:r>
      <w:r w:rsidR="00230651">
        <w:t>.</w:t>
      </w:r>
      <w:r w:rsidR="00DD6A96" w:rsidRPr="007B537E">
        <w:rPr>
          <w:sz w:val="20"/>
          <w:szCs w:val="20"/>
          <w:vertAlign w:val="superscript"/>
        </w:rPr>
        <w:endnoteReference w:id="12"/>
      </w:r>
      <w:r w:rsidR="00573BA7" w:rsidRPr="00F25E7B">
        <w:rPr>
          <w:vertAlign w:val="superscript"/>
        </w:rPr>
        <w:t xml:space="preserve"> </w:t>
      </w:r>
      <w:r w:rsidR="00F25E7B" w:rsidRPr="00F25E7B">
        <w:rPr>
          <w:vertAlign w:val="superscript"/>
        </w:rPr>
        <w:t xml:space="preserve"> </w:t>
      </w:r>
      <w:r w:rsidR="00F25E7B">
        <w:t>Women with disability (52%) are also significantly more likely than women without disability (39%) to have experienced workplace sexual harassment in the last 5 years.</w:t>
      </w:r>
      <w:r w:rsidR="00F25E7B">
        <w:rPr>
          <w:rStyle w:val="EndnoteReference"/>
        </w:rPr>
        <w:endnoteReference w:id="13"/>
      </w:r>
      <w:r w:rsidR="00F25E7B">
        <w:t xml:space="preserve"> </w:t>
      </w:r>
    </w:p>
    <w:p w14:paraId="5729EA1B" w14:textId="7F3FD5E9" w:rsidR="008B5876" w:rsidRPr="00031F84" w:rsidRDefault="008B5876" w:rsidP="00BA1D46">
      <w:pPr>
        <w:pStyle w:val="ListParagraph"/>
        <w:numPr>
          <w:ilvl w:val="0"/>
          <w:numId w:val="43"/>
        </w:numPr>
      </w:pPr>
      <w:r>
        <w:t>Y</w:t>
      </w:r>
      <w:r w:rsidRPr="007B1314">
        <w:t>oung</w:t>
      </w:r>
      <w:r w:rsidR="00573BA7">
        <w:t xml:space="preserve"> </w:t>
      </w:r>
      <w:r w:rsidRPr="007B1314">
        <w:t>people</w:t>
      </w:r>
      <w:r w:rsidR="00573BA7">
        <w:t xml:space="preserve"> </w:t>
      </w:r>
      <w:r w:rsidRPr="00084DF1">
        <w:t>with</w:t>
      </w:r>
      <w:r w:rsidR="00573BA7">
        <w:t xml:space="preserve"> </w:t>
      </w:r>
      <w:r w:rsidRPr="005D25E9">
        <w:t>disability</w:t>
      </w:r>
      <w:r w:rsidR="00573BA7">
        <w:t xml:space="preserve"> </w:t>
      </w:r>
      <w:r w:rsidRPr="005D25E9">
        <w:t>(</w:t>
      </w:r>
      <w:r w:rsidRPr="008548F6">
        <w:t>aged</w:t>
      </w:r>
      <w:r w:rsidR="00573BA7">
        <w:t xml:space="preserve"> </w:t>
      </w:r>
      <w:r w:rsidRPr="008548F6">
        <w:t>15–24</w:t>
      </w:r>
      <w:r w:rsidRPr="003E0DDD">
        <w:t>)</w:t>
      </w:r>
      <w:r w:rsidR="00573BA7">
        <w:t xml:space="preserve"> </w:t>
      </w:r>
      <w:r w:rsidRPr="00741990">
        <w:t>are</w:t>
      </w:r>
      <w:r w:rsidR="00573BA7">
        <w:t xml:space="preserve"> </w:t>
      </w:r>
      <w:r w:rsidRPr="00741990">
        <w:t>more</w:t>
      </w:r>
      <w:r w:rsidR="00573BA7">
        <w:t xml:space="preserve"> </w:t>
      </w:r>
      <w:r w:rsidRPr="00741990">
        <w:t>than</w:t>
      </w:r>
      <w:r w:rsidR="00573BA7">
        <w:t xml:space="preserve"> </w:t>
      </w:r>
      <w:r w:rsidRPr="00741990">
        <w:t>twice</w:t>
      </w:r>
      <w:r w:rsidR="00573BA7">
        <w:t xml:space="preserve"> </w:t>
      </w:r>
      <w:r w:rsidRPr="00741990">
        <w:t>as</w:t>
      </w:r>
      <w:r w:rsidR="00573BA7">
        <w:t xml:space="preserve"> </w:t>
      </w:r>
      <w:r w:rsidRPr="00741990">
        <w:t>likely</w:t>
      </w:r>
      <w:r w:rsidR="00573BA7">
        <w:t xml:space="preserve"> </w:t>
      </w:r>
      <w:r w:rsidRPr="00741990">
        <w:t>as</w:t>
      </w:r>
      <w:r w:rsidR="00573BA7">
        <w:t xml:space="preserve"> </w:t>
      </w:r>
      <w:r w:rsidRPr="00741990">
        <w:t>those</w:t>
      </w:r>
      <w:r w:rsidR="00573BA7">
        <w:t xml:space="preserve"> </w:t>
      </w:r>
      <w:r w:rsidRPr="00741990">
        <w:t>aged</w:t>
      </w:r>
      <w:r w:rsidR="00573BA7">
        <w:t xml:space="preserve"> </w:t>
      </w:r>
      <w:r w:rsidRPr="00741990">
        <w:t>25–64</w:t>
      </w:r>
      <w:r w:rsidR="00573BA7">
        <w:t xml:space="preserve"> </w:t>
      </w:r>
      <w:r w:rsidRPr="00E3502B">
        <w:t>to</w:t>
      </w:r>
      <w:r w:rsidR="00573BA7">
        <w:t xml:space="preserve"> </w:t>
      </w:r>
      <w:r w:rsidRPr="00E3502B">
        <w:t>be</w:t>
      </w:r>
      <w:r w:rsidR="00573BA7">
        <w:t xml:space="preserve"> </w:t>
      </w:r>
      <w:r w:rsidRPr="00E3502B">
        <w:t>unemployed.</w:t>
      </w:r>
      <w:r w:rsidRPr="003E66B5">
        <w:rPr>
          <w:vertAlign w:val="superscript"/>
        </w:rPr>
        <w:endnoteReference w:id="14"/>
      </w:r>
      <w:r w:rsidR="00573BA7">
        <w:t xml:space="preserve"> </w:t>
      </w:r>
      <w:r w:rsidR="00CE1978" w:rsidRPr="007B1314">
        <w:t>They</w:t>
      </w:r>
      <w:r w:rsidR="00573BA7">
        <w:t xml:space="preserve"> </w:t>
      </w:r>
      <w:r w:rsidR="00CE1978" w:rsidRPr="007B1314">
        <w:t>a</w:t>
      </w:r>
      <w:r w:rsidR="00CE1978" w:rsidRPr="00C22436">
        <w:t>re</w:t>
      </w:r>
      <w:r w:rsidR="00573BA7">
        <w:t xml:space="preserve"> </w:t>
      </w:r>
      <w:r w:rsidR="00CE1978" w:rsidRPr="00C22436">
        <w:t>also</w:t>
      </w:r>
      <w:r w:rsidR="00573BA7">
        <w:t xml:space="preserve"> </w:t>
      </w:r>
      <w:r w:rsidR="00CE1978" w:rsidRPr="00C22436">
        <w:t>three</w:t>
      </w:r>
      <w:r w:rsidR="00573BA7">
        <w:t xml:space="preserve"> </w:t>
      </w:r>
      <w:r w:rsidR="00CE1978" w:rsidRPr="00C22436">
        <w:t>times</w:t>
      </w:r>
      <w:r w:rsidR="00573BA7">
        <w:t xml:space="preserve"> </w:t>
      </w:r>
      <w:r w:rsidR="00CE1978" w:rsidRPr="00C22436">
        <w:t>as</w:t>
      </w:r>
      <w:r w:rsidR="00573BA7">
        <w:t xml:space="preserve"> </w:t>
      </w:r>
      <w:r w:rsidR="00CE1978" w:rsidRPr="00084DF1">
        <w:t>l</w:t>
      </w:r>
      <w:r w:rsidR="00CE1978" w:rsidRPr="005D25E9">
        <w:t>ikely</w:t>
      </w:r>
      <w:r w:rsidR="00573BA7">
        <w:t xml:space="preserve"> </w:t>
      </w:r>
      <w:r w:rsidR="00CE1978" w:rsidRPr="005D25E9">
        <w:t>to</w:t>
      </w:r>
      <w:r w:rsidR="00573BA7">
        <w:t xml:space="preserve"> </w:t>
      </w:r>
      <w:r w:rsidR="00CE1978" w:rsidRPr="005D25E9">
        <w:t>be</w:t>
      </w:r>
      <w:r w:rsidR="00573BA7">
        <w:t xml:space="preserve"> </w:t>
      </w:r>
      <w:r w:rsidR="00CE1978" w:rsidRPr="005D25E9">
        <w:t>underemployed</w:t>
      </w:r>
      <w:r w:rsidR="00573BA7">
        <w:t xml:space="preserve"> </w:t>
      </w:r>
      <w:r w:rsidR="00CE1978" w:rsidRPr="005D25E9">
        <w:t>compared</w:t>
      </w:r>
      <w:r w:rsidR="00573BA7">
        <w:t xml:space="preserve"> </w:t>
      </w:r>
      <w:r w:rsidR="00CE1978" w:rsidRPr="005D25E9">
        <w:t>t</w:t>
      </w:r>
      <w:r w:rsidR="00CE1978" w:rsidRPr="008548F6">
        <w:t>o</w:t>
      </w:r>
      <w:r w:rsidR="00573BA7">
        <w:t xml:space="preserve"> </w:t>
      </w:r>
      <w:r w:rsidR="00CE1978" w:rsidRPr="008548F6">
        <w:t>older</w:t>
      </w:r>
      <w:r w:rsidR="00573BA7">
        <w:t xml:space="preserve"> </w:t>
      </w:r>
      <w:r w:rsidR="00CE1978" w:rsidRPr="008548F6">
        <w:t>people</w:t>
      </w:r>
      <w:r w:rsidR="00573BA7">
        <w:t xml:space="preserve"> </w:t>
      </w:r>
      <w:r w:rsidR="00CE1978" w:rsidRPr="008548F6">
        <w:t>with</w:t>
      </w:r>
      <w:r w:rsidR="00573BA7">
        <w:t xml:space="preserve"> </w:t>
      </w:r>
      <w:r w:rsidR="00CE1978" w:rsidRPr="008548F6">
        <w:t>disability.</w:t>
      </w:r>
      <w:r w:rsidR="00CE1978" w:rsidRPr="003E66B5">
        <w:rPr>
          <w:vertAlign w:val="superscript"/>
        </w:rPr>
        <w:endnoteReference w:id="15"/>
      </w:r>
    </w:p>
    <w:p w14:paraId="7086DC23" w14:textId="2F6CE988" w:rsidR="001E20B4" w:rsidRPr="002B54FA" w:rsidRDefault="00335830" w:rsidP="002B54FA">
      <w:pPr>
        <w:pStyle w:val="ListParagraph"/>
        <w:numPr>
          <w:ilvl w:val="0"/>
          <w:numId w:val="43"/>
        </w:numPr>
        <w:rPr>
          <w:rFonts w:ascii="Calibri" w:eastAsia="Times New Roman" w:hAnsi="Calibri" w:cs="Calibri"/>
          <w:sz w:val="22"/>
          <w:szCs w:val="22"/>
        </w:rPr>
      </w:pPr>
      <w:r w:rsidRPr="007B1314">
        <w:lastRenderedPageBreak/>
        <w:t>I</w:t>
      </w:r>
      <w:r w:rsidRPr="00C22436">
        <w:t>n</w:t>
      </w:r>
      <w:r w:rsidR="00573BA7">
        <w:t xml:space="preserve"> </w:t>
      </w:r>
      <w:r w:rsidRPr="00084DF1">
        <w:t>2012</w:t>
      </w:r>
      <w:r w:rsidRPr="005D25E9">
        <w:t>,</w:t>
      </w:r>
      <w:r w:rsidR="00573BA7">
        <w:t xml:space="preserve"> </w:t>
      </w:r>
      <w:r w:rsidRPr="003E0DDD">
        <w:t>the</w:t>
      </w:r>
      <w:r w:rsidR="00573BA7">
        <w:t xml:space="preserve"> </w:t>
      </w:r>
      <w:r w:rsidRPr="003E0DDD">
        <w:t>unemployment</w:t>
      </w:r>
      <w:r w:rsidR="00573BA7">
        <w:t xml:space="preserve"> </w:t>
      </w:r>
      <w:r w:rsidRPr="003E0DDD">
        <w:t>rate</w:t>
      </w:r>
      <w:r w:rsidR="00573BA7">
        <w:t xml:space="preserve"> </w:t>
      </w:r>
      <w:r w:rsidRPr="003E0DDD">
        <w:t>of</w:t>
      </w:r>
      <w:r w:rsidR="00573BA7">
        <w:t xml:space="preserve"> </w:t>
      </w:r>
      <w:r w:rsidRPr="0098638C">
        <w:t>Aboriginal</w:t>
      </w:r>
      <w:r w:rsidR="00573BA7">
        <w:t xml:space="preserve"> </w:t>
      </w:r>
      <w:r w:rsidRPr="00741990">
        <w:t>and</w:t>
      </w:r>
      <w:r w:rsidR="00573BA7">
        <w:t xml:space="preserve"> </w:t>
      </w:r>
      <w:r w:rsidRPr="00E3502B">
        <w:t>Torres</w:t>
      </w:r>
      <w:r w:rsidR="00573BA7">
        <w:t xml:space="preserve"> </w:t>
      </w:r>
      <w:r w:rsidRPr="00E3502B">
        <w:t>Strait</w:t>
      </w:r>
      <w:r w:rsidR="00573BA7">
        <w:t xml:space="preserve"> </w:t>
      </w:r>
      <w:r w:rsidRPr="00E3502B">
        <w:t>Islander</w:t>
      </w:r>
      <w:r w:rsidR="00573BA7">
        <w:t xml:space="preserve"> </w:t>
      </w:r>
      <w:r w:rsidRPr="00860BDD">
        <w:t>people</w:t>
      </w:r>
      <w:r w:rsidR="00573BA7">
        <w:t xml:space="preserve"> </w:t>
      </w:r>
      <w:r w:rsidRPr="00860BDD">
        <w:t>with</w:t>
      </w:r>
      <w:r w:rsidR="00573BA7">
        <w:t xml:space="preserve"> </w:t>
      </w:r>
      <w:r w:rsidRPr="00860BDD">
        <w:t>disability</w:t>
      </w:r>
      <w:r w:rsidR="00573BA7">
        <w:t xml:space="preserve"> </w:t>
      </w:r>
      <w:r w:rsidRPr="00860BDD">
        <w:t>was</w:t>
      </w:r>
      <w:r w:rsidR="00573BA7">
        <w:t xml:space="preserve"> </w:t>
      </w:r>
      <w:r w:rsidRPr="00860BDD">
        <w:t>three</w:t>
      </w:r>
      <w:r w:rsidR="00573BA7">
        <w:t xml:space="preserve"> </w:t>
      </w:r>
      <w:r w:rsidRPr="00860BDD">
        <w:t>times</w:t>
      </w:r>
      <w:r w:rsidR="00573BA7">
        <w:t xml:space="preserve"> </w:t>
      </w:r>
      <w:r w:rsidRPr="00860BDD">
        <w:t>higher</w:t>
      </w:r>
      <w:r w:rsidR="00573BA7">
        <w:t xml:space="preserve"> </w:t>
      </w:r>
      <w:r w:rsidRPr="00860BDD">
        <w:t>than</w:t>
      </w:r>
      <w:r w:rsidR="00573BA7">
        <w:t xml:space="preserve"> </w:t>
      </w:r>
      <w:r w:rsidR="00CF537D">
        <w:t xml:space="preserve">the rate for all people </w:t>
      </w:r>
      <w:r w:rsidRPr="00180E4B">
        <w:t>with</w:t>
      </w:r>
      <w:r w:rsidR="00573BA7">
        <w:t xml:space="preserve"> </w:t>
      </w:r>
      <w:r w:rsidRPr="00180E4B">
        <w:t>disability.</w:t>
      </w:r>
      <w:r w:rsidRPr="00BC4DA8">
        <w:rPr>
          <w:vertAlign w:val="superscript"/>
        </w:rPr>
        <w:endnoteReference w:id="16"/>
      </w:r>
      <w:r w:rsidR="00573BA7">
        <w:t xml:space="preserve"> </w:t>
      </w:r>
      <w:r w:rsidR="00D53BB1" w:rsidRPr="007B1314">
        <w:t>The</w:t>
      </w:r>
      <w:r w:rsidR="00573BA7">
        <w:t xml:space="preserve"> </w:t>
      </w:r>
      <w:r w:rsidR="00D53BB1" w:rsidRPr="00C22436">
        <w:t>gap</w:t>
      </w:r>
      <w:r w:rsidR="00573BA7">
        <w:t xml:space="preserve"> </w:t>
      </w:r>
      <w:r w:rsidR="00D53BB1" w:rsidRPr="00C22436">
        <w:t>betwee</w:t>
      </w:r>
      <w:r w:rsidR="00D53BB1" w:rsidRPr="00084DF1">
        <w:t>n</w:t>
      </w:r>
      <w:r w:rsidR="00573BA7">
        <w:t xml:space="preserve"> </w:t>
      </w:r>
      <w:r w:rsidR="00D53BB1" w:rsidRPr="00084DF1">
        <w:t>l</w:t>
      </w:r>
      <w:r w:rsidR="001B4782" w:rsidRPr="005D25E9">
        <w:t>a</w:t>
      </w:r>
      <w:r w:rsidR="001B4782" w:rsidRPr="008548F6">
        <w:t>bour</w:t>
      </w:r>
      <w:r w:rsidR="00573BA7">
        <w:t xml:space="preserve"> </w:t>
      </w:r>
      <w:r w:rsidR="001B4782" w:rsidRPr="003E0DDD">
        <w:t>force</w:t>
      </w:r>
      <w:r w:rsidR="00573BA7">
        <w:t xml:space="preserve"> </w:t>
      </w:r>
      <w:r w:rsidR="001B4782" w:rsidRPr="003E0DDD">
        <w:t>parti</w:t>
      </w:r>
      <w:r w:rsidR="001B4782" w:rsidRPr="0098638C">
        <w:t>cipation</w:t>
      </w:r>
      <w:r w:rsidR="00573BA7">
        <w:t xml:space="preserve"> </w:t>
      </w:r>
      <w:r w:rsidR="00D53BB1" w:rsidRPr="00741990">
        <w:t>of</w:t>
      </w:r>
      <w:r w:rsidR="00573BA7">
        <w:t xml:space="preserve"> </w:t>
      </w:r>
      <w:r w:rsidR="00D53BB1" w:rsidRPr="00741990">
        <w:t>Abor</w:t>
      </w:r>
      <w:r w:rsidR="00D53BB1" w:rsidRPr="00E3502B">
        <w:t>iginal</w:t>
      </w:r>
      <w:r w:rsidR="00573BA7">
        <w:t xml:space="preserve"> </w:t>
      </w:r>
      <w:r w:rsidR="00D53BB1" w:rsidRPr="00E3502B">
        <w:t>and</w:t>
      </w:r>
      <w:r w:rsidR="00573BA7">
        <w:t xml:space="preserve"> </w:t>
      </w:r>
      <w:r w:rsidR="00D53BB1" w:rsidRPr="00E3502B">
        <w:t>Torres</w:t>
      </w:r>
      <w:r w:rsidR="00573BA7">
        <w:t xml:space="preserve"> </w:t>
      </w:r>
      <w:r w:rsidR="00D53BB1" w:rsidRPr="00E3502B">
        <w:t>Strait</w:t>
      </w:r>
      <w:r w:rsidR="00573BA7">
        <w:t xml:space="preserve"> </w:t>
      </w:r>
      <w:r w:rsidR="00D53BB1" w:rsidRPr="00E3502B">
        <w:t>Islander</w:t>
      </w:r>
      <w:r w:rsidR="00573BA7">
        <w:t xml:space="preserve"> </w:t>
      </w:r>
      <w:r w:rsidR="00D53BB1" w:rsidRPr="00E3502B">
        <w:t>people</w:t>
      </w:r>
      <w:r w:rsidR="00573BA7">
        <w:t xml:space="preserve"> </w:t>
      </w:r>
      <w:r w:rsidR="00D53BB1" w:rsidRPr="00E3502B">
        <w:t>with</w:t>
      </w:r>
      <w:r w:rsidR="00573BA7">
        <w:t xml:space="preserve"> </w:t>
      </w:r>
      <w:r w:rsidR="00D53BB1" w:rsidRPr="00E3502B">
        <w:t>disability</w:t>
      </w:r>
      <w:r w:rsidR="00573BA7">
        <w:t xml:space="preserve"> </w:t>
      </w:r>
      <w:r w:rsidR="00D53BB1" w:rsidRPr="00E3502B">
        <w:t>(</w:t>
      </w:r>
      <w:r w:rsidR="00D53BB1" w:rsidRPr="00860BDD">
        <w:t>35%</w:t>
      </w:r>
      <w:r w:rsidR="00D53BB1" w:rsidRPr="00180E4B">
        <w:t>),</w:t>
      </w:r>
      <w:r w:rsidR="00573BA7">
        <w:t xml:space="preserve"> </w:t>
      </w:r>
      <w:r w:rsidR="00BA6587" w:rsidRPr="00180E4B">
        <w:t>and</w:t>
      </w:r>
      <w:r w:rsidR="00573BA7">
        <w:t xml:space="preserve"> </w:t>
      </w:r>
      <w:r w:rsidR="00E97C33">
        <w:t xml:space="preserve">all </w:t>
      </w:r>
      <w:r w:rsidR="00D53BB1" w:rsidRPr="003622AF">
        <w:t>people</w:t>
      </w:r>
      <w:r w:rsidR="00573BA7">
        <w:t xml:space="preserve"> </w:t>
      </w:r>
      <w:r w:rsidR="00D53BB1" w:rsidRPr="003622AF">
        <w:t>with</w:t>
      </w:r>
      <w:r w:rsidR="00573BA7">
        <w:t xml:space="preserve"> </w:t>
      </w:r>
      <w:r w:rsidR="00D53BB1" w:rsidRPr="003622AF">
        <w:t>disability</w:t>
      </w:r>
      <w:r w:rsidR="00573BA7">
        <w:t xml:space="preserve"> </w:t>
      </w:r>
      <w:r w:rsidR="00D53BB1" w:rsidRPr="001E187A">
        <w:t>(</w:t>
      </w:r>
      <w:r w:rsidR="00D53BB1" w:rsidRPr="004A4679">
        <w:t>53.6%</w:t>
      </w:r>
      <w:r w:rsidR="00D53BB1" w:rsidRPr="00660ED3">
        <w:t>)</w:t>
      </w:r>
      <w:r w:rsidR="00D53BB1" w:rsidRPr="001535C8">
        <w:t>,</w:t>
      </w:r>
      <w:r w:rsidR="00573BA7">
        <w:t xml:space="preserve"> </w:t>
      </w:r>
      <w:r w:rsidR="00D53BB1" w:rsidRPr="001535C8">
        <w:t>is</w:t>
      </w:r>
      <w:r w:rsidR="00573BA7">
        <w:t xml:space="preserve"> </w:t>
      </w:r>
      <w:r w:rsidR="00E97C33">
        <w:t xml:space="preserve">therefore much </w:t>
      </w:r>
      <w:r w:rsidR="00D53BB1" w:rsidRPr="00EF690E">
        <w:t>wider</w:t>
      </w:r>
      <w:r w:rsidR="001B5090">
        <w:t xml:space="preserve"> compared </w:t>
      </w:r>
      <w:r w:rsidR="0A5B3857">
        <w:t xml:space="preserve">to </w:t>
      </w:r>
      <w:r w:rsidR="001F57F0">
        <w:t>the same gap for</w:t>
      </w:r>
      <w:r w:rsidR="00900047">
        <w:t xml:space="preserve"> </w:t>
      </w:r>
      <w:r w:rsidR="00BA6587" w:rsidRPr="007B1314">
        <w:t>people</w:t>
      </w:r>
      <w:r w:rsidR="00573BA7">
        <w:t xml:space="preserve"> </w:t>
      </w:r>
      <w:r w:rsidR="00BA6587" w:rsidRPr="007B1314">
        <w:t>wit</w:t>
      </w:r>
      <w:r w:rsidR="00BA6587" w:rsidRPr="00C22436">
        <w:t>hout</w:t>
      </w:r>
      <w:r w:rsidR="00573BA7">
        <w:t xml:space="preserve"> </w:t>
      </w:r>
      <w:r w:rsidR="00BA6587" w:rsidRPr="00C22436">
        <w:t>disabili</w:t>
      </w:r>
      <w:r w:rsidR="00BA6587" w:rsidRPr="00084DF1">
        <w:t>ty</w:t>
      </w:r>
      <w:r w:rsidR="00BA6587" w:rsidRPr="005D25E9">
        <w:t>.</w:t>
      </w:r>
      <w:r w:rsidR="00BA6587" w:rsidRPr="00BC4DA8">
        <w:rPr>
          <w:vertAlign w:val="superscript"/>
        </w:rPr>
        <w:endnoteReference w:id="17"/>
      </w:r>
      <w:r w:rsidR="00573BA7">
        <w:t xml:space="preserve"> </w:t>
      </w:r>
    </w:p>
    <w:p w14:paraId="40C0E5F2" w14:textId="3B0D918E" w:rsidR="001E20B4" w:rsidRDefault="001E20B4" w:rsidP="0093191D">
      <w:pPr>
        <w:pStyle w:val="ListNumber"/>
      </w:pPr>
      <w:r>
        <w:t xml:space="preserve">The fact that Australia’s employment framework allows people with disability to be paid as little as </w:t>
      </w:r>
      <w:r>
        <w:rPr>
          <w:rFonts w:cs="Open Sans"/>
        </w:rPr>
        <w:t>$89 per week ($2.34 per hour for full-time employees) is also concerning.</w:t>
      </w:r>
      <w:r>
        <w:rPr>
          <w:rStyle w:val="EndnoteReference"/>
        </w:rPr>
        <w:endnoteReference w:id="18"/>
      </w:r>
      <w:r>
        <w:rPr>
          <w:rFonts w:cs="Open Sans"/>
        </w:rPr>
        <w:t xml:space="preserve">  </w:t>
      </w:r>
    </w:p>
    <w:p w14:paraId="47B690F1" w14:textId="130F9062" w:rsidR="0093191D" w:rsidRPr="003F4CE1" w:rsidRDefault="0093191D" w:rsidP="0093191D">
      <w:pPr>
        <w:pStyle w:val="ListNumber"/>
      </w:pPr>
      <w:r>
        <w:t>This</w:t>
      </w:r>
      <w:r w:rsidR="00573BA7">
        <w:t xml:space="preserve"> </w:t>
      </w:r>
      <w:r>
        <w:t>submission</w:t>
      </w:r>
      <w:r w:rsidR="00573BA7">
        <w:t xml:space="preserve"> </w:t>
      </w:r>
      <w:r>
        <w:t>addresses</w:t>
      </w:r>
      <w:r w:rsidR="00573BA7">
        <w:t xml:space="preserve"> </w:t>
      </w:r>
      <w:r>
        <w:t>the</w:t>
      </w:r>
      <w:r w:rsidR="00573BA7">
        <w:t xml:space="preserve"> </w:t>
      </w:r>
      <w:r>
        <w:t>Royal</w:t>
      </w:r>
      <w:r w:rsidR="00573BA7">
        <w:t xml:space="preserve"> </w:t>
      </w:r>
      <w:r>
        <w:t>Commission’s</w:t>
      </w:r>
      <w:r w:rsidR="00573BA7">
        <w:t xml:space="preserve"> </w:t>
      </w:r>
      <w:r>
        <w:t>Employment</w:t>
      </w:r>
      <w:r w:rsidR="00573BA7">
        <w:t xml:space="preserve"> </w:t>
      </w:r>
      <w:r>
        <w:t>Issues</w:t>
      </w:r>
      <w:r w:rsidR="00573BA7">
        <w:t xml:space="preserve"> </w:t>
      </w:r>
      <w:r>
        <w:t>Paper,</w:t>
      </w:r>
      <w:r w:rsidR="00573BA7">
        <w:t xml:space="preserve"> </w:t>
      </w:r>
      <w:r>
        <w:t>released</w:t>
      </w:r>
      <w:r w:rsidR="00573BA7">
        <w:t xml:space="preserve"> </w:t>
      </w:r>
      <w:r>
        <w:t>on</w:t>
      </w:r>
      <w:r w:rsidR="00573BA7">
        <w:t xml:space="preserve"> </w:t>
      </w:r>
      <w:r>
        <w:t>12</w:t>
      </w:r>
      <w:r w:rsidR="00573BA7">
        <w:t xml:space="preserve"> </w:t>
      </w:r>
      <w:r>
        <w:t>May</w:t>
      </w:r>
      <w:r w:rsidR="00573BA7">
        <w:t xml:space="preserve"> </w:t>
      </w:r>
      <w:r>
        <w:t>2020</w:t>
      </w:r>
      <w:r w:rsidR="00501DCB">
        <w:t xml:space="preserve"> (Issues Paper)</w:t>
      </w:r>
      <w:r>
        <w:t>.</w:t>
      </w:r>
      <w:r w:rsidR="00B76EF2" w:rsidRPr="00B76EF2">
        <w:rPr>
          <w:rStyle w:val="EndnoteReference"/>
        </w:rPr>
        <w:t xml:space="preserve"> </w:t>
      </w:r>
      <w:r w:rsidR="00B76EF2">
        <w:rPr>
          <w:rStyle w:val="EndnoteReference"/>
        </w:rPr>
        <w:endnoteReference w:id="19"/>
      </w:r>
      <w:r w:rsidR="00573BA7">
        <w:t xml:space="preserve"> </w:t>
      </w:r>
      <w:r>
        <w:t>The</w:t>
      </w:r>
      <w:r w:rsidR="00573BA7">
        <w:t xml:space="preserve"> </w:t>
      </w:r>
      <w:r>
        <w:t>submission</w:t>
      </w:r>
      <w:r w:rsidR="00573BA7">
        <w:t xml:space="preserve"> </w:t>
      </w:r>
      <w:r>
        <w:t>focuses</w:t>
      </w:r>
      <w:r w:rsidR="00573BA7">
        <w:t xml:space="preserve"> </w:t>
      </w:r>
      <w:r>
        <w:t>on</w:t>
      </w:r>
      <w:r w:rsidR="00573BA7">
        <w:t xml:space="preserve"> </w:t>
      </w:r>
      <w:r>
        <w:t>issues</w:t>
      </w:r>
      <w:r w:rsidR="00573BA7">
        <w:t xml:space="preserve"> </w:t>
      </w:r>
      <w:r>
        <w:t>raised</w:t>
      </w:r>
      <w:r w:rsidR="00573BA7">
        <w:t xml:space="preserve"> </w:t>
      </w:r>
      <w:r>
        <w:t>by</w:t>
      </w:r>
      <w:r w:rsidR="00573BA7">
        <w:t xml:space="preserve"> </w:t>
      </w:r>
      <w:r>
        <w:t>questions</w:t>
      </w:r>
      <w:r w:rsidR="00573BA7">
        <w:t xml:space="preserve"> </w:t>
      </w:r>
      <w:r>
        <w:t>one,</w:t>
      </w:r>
      <w:r w:rsidR="00573BA7">
        <w:t xml:space="preserve"> </w:t>
      </w:r>
      <w:r>
        <w:t>two,</w:t>
      </w:r>
      <w:r w:rsidR="00573BA7">
        <w:t xml:space="preserve"> </w:t>
      </w:r>
      <w:r>
        <w:t>five,</w:t>
      </w:r>
      <w:r w:rsidR="00573BA7">
        <w:t xml:space="preserve"> </w:t>
      </w:r>
      <w:r>
        <w:t>six,</w:t>
      </w:r>
      <w:r w:rsidR="00573BA7">
        <w:t xml:space="preserve"> </w:t>
      </w:r>
      <w:r>
        <w:t>and</w:t>
      </w:r>
      <w:r w:rsidR="00573BA7">
        <w:t xml:space="preserve"> </w:t>
      </w:r>
      <w:r>
        <w:t>eight</w:t>
      </w:r>
      <w:r w:rsidR="00573BA7">
        <w:t xml:space="preserve"> </w:t>
      </w:r>
      <w:r w:rsidRPr="003F4CE1">
        <w:t>of</w:t>
      </w:r>
      <w:r w:rsidR="00573BA7">
        <w:t xml:space="preserve"> </w:t>
      </w:r>
      <w:r w:rsidRPr="003F4CE1">
        <w:t>the</w:t>
      </w:r>
      <w:r w:rsidR="00573BA7">
        <w:t xml:space="preserve"> </w:t>
      </w:r>
      <w:r w:rsidRPr="003F4CE1">
        <w:t>Issues</w:t>
      </w:r>
      <w:r w:rsidR="00573BA7">
        <w:t xml:space="preserve"> </w:t>
      </w:r>
      <w:r w:rsidRPr="003F4CE1">
        <w:t>Paper.</w:t>
      </w:r>
      <w:r w:rsidR="00573BA7">
        <w:t xml:space="preserve"> </w:t>
      </w:r>
      <w:r>
        <w:t>The</w:t>
      </w:r>
      <w:r w:rsidR="00573BA7">
        <w:t xml:space="preserve"> </w:t>
      </w:r>
      <w:r>
        <w:t>Commission</w:t>
      </w:r>
      <w:r w:rsidR="00573BA7">
        <w:t xml:space="preserve"> </w:t>
      </w:r>
      <w:r>
        <w:t>has</w:t>
      </w:r>
      <w:r w:rsidR="00573BA7">
        <w:t xml:space="preserve"> </w:t>
      </w:r>
      <w:r>
        <w:t>previously</w:t>
      </w:r>
      <w:r w:rsidR="00573BA7">
        <w:t xml:space="preserve"> </w:t>
      </w:r>
      <w:r>
        <w:t>made</w:t>
      </w:r>
      <w:r w:rsidR="00573BA7">
        <w:t xml:space="preserve"> </w:t>
      </w:r>
      <w:r>
        <w:t>submissions</w:t>
      </w:r>
      <w:r w:rsidR="00573BA7">
        <w:t xml:space="preserve"> </w:t>
      </w:r>
      <w:r>
        <w:t>to</w:t>
      </w:r>
      <w:r w:rsidR="00573BA7">
        <w:t xml:space="preserve"> </w:t>
      </w:r>
      <w:r>
        <w:t>the</w:t>
      </w:r>
      <w:r w:rsidR="00573BA7">
        <w:t xml:space="preserve"> </w:t>
      </w:r>
      <w:r>
        <w:t>Royal</w:t>
      </w:r>
      <w:r w:rsidR="00573BA7">
        <w:t xml:space="preserve"> </w:t>
      </w:r>
      <w:r>
        <w:t>Commission</w:t>
      </w:r>
      <w:r w:rsidR="00573BA7">
        <w:t xml:space="preserve"> </w:t>
      </w:r>
      <w:r>
        <w:t>in</w:t>
      </w:r>
      <w:r w:rsidR="00573BA7">
        <w:t xml:space="preserve"> </w:t>
      </w:r>
      <w:r>
        <w:t>relation</w:t>
      </w:r>
      <w:r w:rsidR="00573BA7">
        <w:t xml:space="preserve"> </w:t>
      </w:r>
      <w:r>
        <w:t>to</w:t>
      </w:r>
      <w:r w:rsidR="00573BA7">
        <w:t xml:space="preserve"> </w:t>
      </w:r>
      <w:r>
        <w:t>inclusive</w:t>
      </w:r>
      <w:r w:rsidR="00573BA7">
        <w:t xml:space="preserve"> </w:t>
      </w:r>
      <w:r>
        <w:t>education</w:t>
      </w:r>
      <w:r w:rsidR="00573BA7">
        <w:t xml:space="preserve"> </w:t>
      </w:r>
      <w:r>
        <w:t>and</w:t>
      </w:r>
      <w:r w:rsidR="00573BA7">
        <w:t xml:space="preserve"> </w:t>
      </w:r>
      <w:r>
        <w:t>the</w:t>
      </w:r>
      <w:r w:rsidR="00573BA7">
        <w:t xml:space="preserve"> </w:t>
      </w:r>
      <w:r>
        <w:t>criminal</w:t>
      </w:r>
      <w:r w:rsidR="00573BA7">
        <w:t xml:space="preserve"> </w:t>
      </w:r>
      <w:r>
        <w:t>justice</w:t>
      </w:r>
      <w:r w:rsidR="00573BA7">
        <w:t xml:space="preserve"> </w:t>
      </w:r>
      <w:r>
        <w:t>system.</w:t>
      </w:r>
      <w:r>
        <w:rPr>
          <w:rStyle w:val="EndnoteReference"/>
        </w:rPr>
        <w:endnoteReference w:id="20"/>
      </w:r>
    </w:p>
    <w:p w14:paraId="34A551BD" w14:textId="24958815" w:rsidR="00BF3993" w:rsidRPr="003F4CE1" w:rsidRDefault="00BF3993" w:rsidP="0093191D">
      <w:pPr>
        <w:pStyle w:val="ListNumber"/>
      </w:pPr>
      <w:r>
        <w:t>In</w:t>
      </w:r>
      <w:r w:rsidR="00573BA7">
        <w:t xml:space="preserve"> </w:t>
      </w:r>
      <w:r>
        <w:t>considering</w:t>
      </w:r>
      <w:r w:rsidR="00573BA7">
        <w:t xml:space="preserve"> </w:t>
      </w:r>
      <w:r w:rsidR="00ED7352">
        <w:t>how</w:t>
      </w:r>
      <w:r w:rsidR="00573BA7">
        <w:t xml:space="preserve"> </w:t>
      </w:r>
      <w:r>
        <w:t>people</w:t>
      </w:r>
      <w:r w:rsidR="00573BA7">
        <w:t xml:space="preserve"> </w:t>
      </w:r>
      <w:r>
        <w:t>with</w:t>
      </w:r>
      <w:r w:rsidR="00573BA7">
        <w:t xml:space="preserve"> </w:t>
      </w:r>
      <w:r>
        <w:t>disability</w:t>
      </w:r>
      <w:r w:rsidR="00573BA7">
        <w:t xml:space="preserve"> </w:t>
      </w:r>
      <w:r w:rsidR="00ED7352">
        <w:t>experience</w:t>
      </w:r>
      <w:r w:rsidR="00573BA7">
        <w:t xml:space="preserve"> </w:t>
      </w:r>
      <w:r>
        <w:t>violence,</w:t>
      </w:r>
      <w:r w:rsidR="00573BA7">
        <w:t xml:space="preserve"> </w:t>
      </w:r>
      <w:r>
        <w:t>abuse,</w:t>
      </w:r>
      <w:r w:rsidR="00573BA7">
        <w:t xml:space="preserve"> </w:t>
      </w:r>
      <w:r>
        <w:t>neglect</w:t>
      </w:r>
      <w:r w:rsidR="00573BA7">
        <w:t xml:space="preserve"> </w:t>
      </w:r>
      <w:r>
        <w:t>and</w:t>
      </w:r>
      <w:r w:rsidR="00573BA7">
        <w:t xml:space="preserve"> </w:t>
      </w:r>
      <w:r>
        <w:t>exploitation</w:t>
      </w:r>
      <w:r w:rsidR="00573BA7">
        <w:t xml:space="preserve"> </w:t>
      </w:r>
      <w:r>
        <w:t>in</w:t>
      </w:r>
      <w:r w:rsidR="00573BA7">
        <w:t xml:space="preserve"> </w:t>
      </w:r>
      <w:r>
        <w:t>the</w:t>
      </w:r>
      <w:r w:rsidR="00573BA7">
        <w:t xml:space="preserve"> </w:t>
      </w:r>
      <w:r>
        <w:t>employment</w:t>
      </w:r>
      <w:r w:rsidR="00573BA7">
        <w:t xml:space="preserve"> </w:t>
      </w:r>
      <w:r>
        <w:t>context,</w:t>
      </w:r>
      <w:r w:rsidR="00573BA7">
        <w:t xml:space="preserve"> </w:t>
      </w:r>
      <w:r w:rsidR="00A7139A">
        <w:t>this</w:t>
      </w:r>
      <w:r w:rsidR="00573BA7">
        <w:t xml:space="preserve"> </w:t>
      </w:r>
      <w:r w:rsidR="00A7139A">
        <w:t>submission</w:t>
      </w:r>
      <w:r w:rsidR="00573BA7">
        <w:t xml:space="preserve"> </w:t>
      </w:r>
      <w:r w:rsidR="00A7139A">
        <w:t>will</w:t>
      </w:r>
      <w:r w:rsidR="00573BA7">
        <w:t xml:space="preserve"> </w:t>
      </w:r>
      <w:r w:rsidR="00ED7352">
        <w:t>focus</w:t>
      </w:r>
      <w:r w:rsidR="00573BA7">
        <w:t xml:space="preserve"> </w:t>
      </w:r>
      <w:r w:rsidR="0044277C">
        <w:t>in</w:t>
      </w:r>
      <w:r w:rsidR="00573BA7">
        <w:t xml:space="preserve"> </w:t>
      </w:r>
      <w:r w:rsidR="0044277C">
        <w:t>particular</w:t>
      </w:r>
      <w:r w:rsidR="00573BA7">
        <w:t xml:space="preserve"> </w:t>
      </w:r>
      <w:r w:rsidR="00ED7352">
        <w:t>on</w:t>
      </w:r>
      <w:r w:rsidR="00573BA7">
        <w:t xml:space="preserve"> </w:t>
      </w:r>
      <w:r w:rsidR="00A27590">
        <w:t>experiences</w:t>
      </w:r>
      <w:r w:rsidR="00573BA7">
        <w:t xml:space="preserve"> </w:t>
      </w:r>
      <w:r w:rsidR="00A27590">
        <w:t>of</w:t>
      </w:r>
      <w:r w:rsidR="00573BA7">
        <w:t xml:space="preserve"> </w:t>
      </w:r>
      <w:r w:rsidR="00ED7352">
        <w:t>financial</w:t>
      </w:r>
      <w:r w:rsidR="00573BA7">
        <w:t xml:space="preserve"> </w:t>
      </w:r>
      <w:r w:rsidR="00ED7352">
        <w:t>and</w:t>
      </w:r>
      <w:r w:rsidR="00573BA7">
        <w:t xml:space="preserve"> </w:t>
      </w:r>
      <w:r w:rsidR="00ED7352">
        <w:t>economic</w:t>
      </w:r>
      <w:r w:rsidR="00573BA7">
        <w:t xml:space="preserve"> </w:t>
      </w:r>
      <w:r w:rsidR="00ED7352">
        <w:t>abuse,</w:t>
      </w:r>
      <w:r w:rsidR="00573BA7">
        <w:t xml:space="preserve"> </w:t>
      </w:r>
      <w:r w:rsidR="00ED7352">
        <w:t>violations</w:t>
      </w:r>
      <w:r w:rsidR="00573BA7">
        <w:t xml:space="preserve"> </w:t>
      </w:r>
      <w:r w:rsidR="00ED7352">
        <w:t>of</w:t>
      </w:r>
      <w:r w:rsidR="00573BA7">
        <w:t xml:space="preserve"> </w:t>
      </w:r>
      <w:r w:rsidR="00ED7352">
        <w:t>dignity,</w:t>
      </w:r>
      <w:r w:rsidR="00573BA7">
        <w:t xml:space="preserve"> </w:t>
      </w:r>
      <w:r w:rsidR="00ED7352">
        <w:t>economic</w:t>
      </w:r>
      <w:r w:rsidR="00573BA7">
        <w:t xml:space="preserve"> </w:t>
      </w:r>
      <w:r w:rsidR="00ED7352">
        <w:t>advantage</w:t>
      </w:r>
      <w:r w:rsidR="00573BA7">
        <w:t xml:space="preserve"> </w:t>
      </w:r>
      <w:r w:rsidR="00A27590">
        <w:t>being</w:t>
      </w:r>
      <w:r w:rsidR="00573BA7">
        <w:t xml:space="preserve"> </w:t>
      </w:r>
      <w:r w:rsidR="00A27590">
        <w:t>taken</w:t>
      </w:r>
      <w:r w:rsidR="00573BA7">
        <w:t xml:space="preserve"> </w:t>
      </w:r>
      <w:r w:rsidR="00ED7352">
        <w:t>of</w:t>
      </w:r>
      <w:r w:rsidR="00573BA7">
        <w:t xml:space="preserve"> </w:t>
      </w:r>
      <w:r w:rsidR="00ED7352">
        <w:t>people</w:t>
      </w:r>
      <w:r w:rsidR="00573BA7">
        <w:t xml:space="preserve"> </w:t>
      </w:r>
      <w:r w:rsidR="00ED7352">
        <w:t>with</w:t>
      </w:r>
      <w:r w:rsidR="00573BA7">
        <w:t xml:space="preserve"> </w:t>
      </w:r>
      <w:r w:rsidR="00ED7352">
        <w:t>disability,</w:t>
      </w:r>
      <w:r w:rsidR="00573BA7">
        <w:t xml:space="preserve"> </w:t>
      </w:r>
      <w:r w:rsidR="00ED7352">
        <w:t>and</w:t>
      </w:r>
      <w:r w:rsidR="00573BA7">
        <w:t xml:space="preserve"> </w:t>
      </w:r>
      <w:r w:rsidR="00ED7352">
        <w:t>improper</w:t>
      </w:r>
      <w:r w:rsidR="00573BA7">
        <w:t xml:space="preserve"> </w:t>
      </w:r>
      <w:r w:rsidR="00ED7352">
        <w:t>use</w:t>
      </w:r>
      <w:r w:rsidR="00573BA7">
        <w:t xml:space="preserve"> </w:t>
      </w:r>
      <w:r w:rsidR="00ED7352">
        <w:t>of</w:t>
      </w:r>
      <w:r w:rsidR="00573BA7">
        <w:t xml:space="preserve"> </w:t>
      </w:r>
      <w:r w:rsidR="00ED7352">
        <w:t>labour</w:t>
      </w:r>
      <w:r w:rsidR="00573BA7">
        <w:t xml:space="preserve"> </w:t>
      </w:r>
      <w:r w:rsidR="00ED7352">
        <w:t>or</w:t>
      </w:r>
      <w:r w:rsidR="00573BA7">
        <w:t xml:space="preserve"> </w:t>
      </w:r>
      <w:r w:rsidR="00ED7352">
        <w:t>employment.</w:t>
      </w:r>
      <w:r w:rsidR="00573BA7">
        <w:t xml:space="preserve"> </w:t>
      </w:r>
    </w:p>
    <w:p w14:paraId="216E8C53" w14:textId="4ABD8D53" w:rsidR="004E72CB" w:rsidRPr="003F4CE1" w:rsidRDefault="004E72CB" w:rsidP="004E72CB">
      <w:pPr>
        <w:pStyle w:val="ListNumber"/>
      </w:pPr>
      <w:r>
        <w:t>The</w:t>
      </w:r>
      <w:r w:rsidR="00573BA7">
        <w:t xml:space="preserve"> </w:t>
      </w:r>
      <w:r>
        <w:t>Commission</w:t>
      </w:r>
      <w:r w:rsidR="00573BA7">
        <w:t xml:space="preserve"> </w:t>
      </w:r>
      <w:r>
        <w:t>notes</w:t>
      </w:r>
      <w:r w:rsidR="00573BA7">
        <w:t xml:space="preserve"> </w:t>
      </w:r>
      <w:r>
        <w:t>that</w:t>
      </w:r>
      <w:r w:rsidR="00B5580C">
        <w:t xml:space="preserve"> </w:t>
      </w:r>
      <w:r>
        <w:t>this</w:t>
      </w:r>
      <w:r w:rsidR="00573BA7">
        <w:t xml:space="preserve"> </w:t>
      </w:r>
      <w:r>
        <w:t>submission</w:t>
      </w:r>
      <w:r w:rsidR="00573BA7">
        <w:t xml:space="preserve"> </w:t>
      </w:r>
      <w:r w:rsidR="001756F6">
        <w:t>does</w:t>
      </w:r>
      <w:r w:rsidR="00573BA7">
        <w:t xml:space="preserve"> </w:t>
      </w:r>
      <w:r>
        <w:t>not</w:t>
      </w:r>
      <w:r w:rsidR="00573BA7">
        <w:t xml:space="preserve"> </w:t>
      </w:r>
      <w:r w:rsidR="001756F6">
        <w:t>explicitly</w:t>
      </w:r>
      <w:r w:rsidR="00573BA7">
        <w:t xml:space="preserve"> </w:t>
      </w:r>
      <w:r w:rsidR="001756F6">
        <w:t>consider</w:t>
      </w:r>
      <w:r w:rsidR="00573BA7">
        <w:t xml:space="preserve"> </w:t>
      </w:r>
      <w:r>
        <w:t>the</w:t>
      </w:r>
      <w:r w:rsidR="00573BA7">
        <w:t xml:space="preserve"> </w:t>
      </w:r>
      <w:r>
        <w:t>experiences</w:t>
      </w:r>
      <w:r w:rsidR="00573BA7">
        <w:t xml:space="preserve"> </w:t>
      </w:r>
      <w:r>
        <w:t>of</w:t>
      </w:r>
      <w:r w:rsidR="00573BA7">
        <w:t xml:space="preserve"> </w:t>
      </w:r>
      <w:r>
        <w:t>people</w:t>
      </w:r>
      <w:r w:rsidR="00573BA7">
        <w:t xml:space="preserve"> </w:t>
      </w:r>
      <w:r>
        <w:t>with</w:t>
      </w:r>
      <w:r w:rsidR="00573BA7">
        <w:t xml:space="preserve"> </w:t>
      </w:r>
      <w:r>
        <w:t>disability</w:t>
      </w:r>
      <w:r w:rsidR="00573BA7">
        <w:t xml:space="preserve"> </w:t>
      </w:r>
      <w:r>
        <w:t>who</w:t>
      </w:r>
      <w:r w:rsidR="00573BA7">
        <w:t xml:space="preserve"> </w:t>
      </w:r>
      <w:r>
        <w:t>work</w:t>
      </w:r>
      <w:r w:rsidR="00573BA7">
        <w:t xml:space="preserve"> </w:t>
      </w:r>
      <w:r w:rsidR="004E573D">
        <w:t>outside</w:t>
      </w:r>
      <w:r w:rsidR="00573BA7">
        <w:t xml:space="preserve"> </w:t>
      </w:r>
      <w:r>
        <w:t>the</w:t>
      </w:r>
      <w:r w:rsidR="00573BA7">
        <w:t xml:space="preserve"> </w:t>
      </w:r>
      <w:r>
        <w:t>traditional</w:t>
      </w:r>
      <w:r w:rsidR="00573BA7">
        <w:t xml:space="preserve"> </w:t>
      </w:r>
      <w:r>
        <w:t>definition</w:t>
      </w:r>
      <w:r w:rsidR="00573BA7">
        <w:t xml:space="preserve"> </w:t>
      </w:r>
      <w:r>
        <w:t>of</w:t>
      </w:r>
      <w:r w:rsidR="00573BA7">
        <w:t xml:space="preserve"> </w:t>
      </w:r>
      <w:r>
        <w:t>employmen</w:t>
      </w:r>
      <w:r w:rsidR="00136E47">
        <w:t>t.</w:t>
      </w:r>
      <w:r w:rsidR="00573BA7">
        <w:t xml:space="preserve"> </w:t>
      </w:r>
      <w:r w:rsidR="00136E47">
        <w:t>These</w:t>
      </w:r>
      <w:r w:rsidR="00573BA7">
        <w:t xml:space="preserve"> </w:t>
      </w:r>
      <w:r w:rsidR="00136E47">
        <w:t>include</w:t>
      </w:r>
      <w:r w:rsidR="00573BA7">
        <w:t xml:space="preserve"> </w:t>
      </w:r>
      <w:r>
        <w:t>on-demand</w:t>
      </w:r>
      <w:r w:rsidR="00573BA7">
        <w:t xml:space="preserve"> </w:t>
      </w:r>
      <w:r>
        <w:t>workers,</w:t>
      </w:r>
      <w:r w:rsidR="00573BA7">
        <w:t xml:space="preserve"> </w:t>
      </w:r>
      <w:r w:rsidR="77844A17">
        <w:t>‘</w:t>
      </w:r>
      <w:r>
        <w:t>gig</w:t>
      </w:r>
      <w:r w:rsidR="4C77A4F5">
        <w:t>’</w:t>
      </w:r>
      <w:r w:rsidR="00573BA7">
        <w:t xml:space="preserve"> </w:t>
      </w:r>
      <w:r>
        <w:t>workers,</w:t>
      </w:r>
      <w:r w:rsidR="00573BA7">
        <w:t xml:space="preserve"> </w:t>
      </w:r>
      <w:r>
        <w:t>independent</w:t>
      </w:r>
      <w:r w:rsidR="00573BA7">
        <w:t xml:space="preserve"> </w:t>
      </w:r>
      <w:r>
        <w:t>contractors,</w:t>
      </w:r>
      <w:r w:rsidR="00573BA7">
        <w:t xml:space="preserve"> </w:t>
      </w:r>
      <w:r>
        <w:t>and</w:t>
      </w:r>
      <w:r w:rsidR="00573BA7">
        <w:t xml:space="preserve"> </w:t>
      </w:r>
      <w:r>
        <w:t>workers</w:t>
      </w:r>
      <w:r w:rsidR="00573BA7">
        <w:t xml:space="preserve"> </w:t>
      </w:r>
      <w:r>
        <w:t>misclassified</w:t>
      </w:r>
      <w:r w:rsidR="00573BA7">
        <w:t xml:space="preserve"> </w:t>
      </w:r>
      <w:r>
        <w:t>as</w:t>
      </w:r>
      <w:r w:rsidR="00573BA7">
        <w:t xml:space="preserve"> </w:t>
      </w:r>
      <w:r>
        <w:t>independent</w:t>
      </w:r>
      <w:r w:rsidR="00573BA7">
        <w:t xml:space="preserve"> </w:t>
      </w:r>
      <w:r>
        <w:t>contractors</w:t>
      </w:r>
      <w:r w:rsidR="00573BA7">
        <w:t xml:space="preserve"> </w:t>
      </w:r>
      <w:r>
        <w:t>under</w:t>
      </w:r>
      <w:r w:rsidR="00573BA7">
        <w:t xml:space="preserve"> </w:t>
      </w:r>
      <w:r>
        <w:t>sham</w:t>
      </w:r>
      <w:r w:rsidR="00573BA7">
        <w:t xml:space="preserve"> </w:t>
      </w:r>
      <w:r>
        <w:t>contracting</w:t>
      </w:r>
      <w:r w:rsidR="00573BA7">
        <w:t xml:space="preserve"> </w:t>
      </w:r>
      <w:r>
        <w:t>arrangements</w:t>
      </w:r>
      <w:r w:rsidR="00136E47">
        <w:t>.</w:t>
      </w:r>
      <w:r w:rsidR="00573BA7">
        <w:t xml:space="preserve"> </w:t>
      </w:r>
      <w:r w:rsidR="00C36C1A">
        <w:t xml:space="preserve">However, the recommendations and principles outlined in this submission are equally applicable to </w:t>
      </w:r>
      <w:r w:rsidR="00F42AD7">
        <w:t xml:space="preserve">those working outside the traditional definition of employment. </w:t>
      </w:r>
      <w:r w:rsidR="006B742D">
        <w:t>People</w:t>
      </w:r>
      <w:r w:rsidR="00573BA7">
        <w:t xml:space="preserve"> </w:t>
      </w:r>
      <w:r w:rsidR="006B742D">
        <w:t>with</w:t>
      </w:r>
      <w:r w:rsidR="00573BA7">
        <w:t xml:space="preserve"> </w:t>
      </w:r>
      <w:r w:rsidR="006B742D">
        <w:t>disability</w:t>
      </w:r>
      <w:r w:rsidR="00573BA7">
        <w:t xml:space="preserve"> </w:t>
      </w:r>
      <w:r w:rsidR="006B742D">
        <w:t>are</w:t>
      </w:r>
      <w:r w:rsidR="00573BA7">
        <w:t xml:space="preserve"> </w:t>
      </w:r>
      <w:r w:rsidR="006B742D">
        <w:t>more</w:t>
      </w:r>
      <w:r w:rsidR="00573BA7">
        <w:t xml:space="preserve"> </w:t>
      </w:r>
      <w:r w:rsidR="006B742D" w:rsidRPr="006B742D">
        <w:t>likely</w:t>
      </w:r>
      <w:r w:rsidR="00573BA7">
        <w:t xml:space="preserve"> </w:t>
      </w:r>
      <w:r w:rsidR="006B742D">
        <w:t>than</w:t>
      </w:r>
      <w:r w:rsidR="00573BA7">
        <w:t xml:space="preserve"> </w:t>
      </w:r>
      <w:r w:rsidR="006B742D">
        <w:t>other</w:t>
      </w:r>
      <w:r w:rsidR="00BA4877">
        <w:t>s</w:t>
      </w:r>
      <w:r w:rsidR="00573BA7">
        <w:t xml:space="preserve"> </w:t>
      </w:r>
      <w:r w:rsidR="00BA4877">
        <w:t>to</w:t>
      </w:r>
      <w:r w:rsidR="00573BA7">
        <w:t xml:space="preserve"> </w:t>
      </w:r>
      <w:r w:rsidR="00BA4877">
        <w:t>work</w:t>
      </w:r>
      <w:r w:rsidR="00573BA7">
        <w:t xml:space="preserve"> </w:t>
      </w:r>
      <w:r w:rsidR="00BA4877">
        <w:t>in</w:t>
      </w:r>
      <w:r w:rsidR="00573BA7">
        <w:t xml:space="preserve"> </w:t>
      </w:r>
      <w:r w:rsidR="00BA4877">
        <w:t>the</w:t>
      </w:r>
      <w:r w:rsidR="00573BA7">
        <w:t xml:space="preserve"> </w:t>
      </w:r>
      <w:r w:rsidR="00BA4877">
        <w:t>‘gig</w:t>
      </w:r>
      <w:r w:rsidR="00573BA7">
        <w:t xml:space="preserve"> </w:t>
      </w:r>
      <w:r w:rsidR="00BA4877">
        <w:t>economy’</w:t>
      </w:r>
      <w:r w:rsidR="00AC4059">
        <w:t>,</w:t>
      </w:r>
      <w:r w:rsidR="00573BA7">
        <w:t xml:space="preserve"> </w:t>
      </w:r>
      <w:r w:rsidR="00AC4059">
        <w:t>and</w:t>
      </w:r>
      <w:r w:rsidR="00573BA7">
        <w:t xml:space="preserve"> </w:t>
      </w:r>
      <w:r w:rsidR="00AC4059">
        <w:t>significantly</w:t>
      </w:r>
      <w:r w:rsidR="00573BA7">
        <w:t xml:space="preserve"> </w:t>
      </w:r>
      <w:r w:rsidR="00AC4059">
        <w:t>more</w:t>
      </w:r>
      <w:r w:rsidR="00573BA7">
        <w:t xml:space="preserve"> </w:t>
      </w:r>
      <w:r w:rsidR="00AC4059">
        <w:t>likely</w:t>
      </w:r>
      <w:r w:rsidR="00573BA7">
        <w:t xml:space="preserve"> </w:t>
      </w:r>
      <w:r w:rsidR="00E10740">
        <w:t>to</w:t>
      </w:r>
      <w:r w:rsidR="00573BA7">
        <w:t xml:space="preserve"> </w:t>
      </w:r>
      <w:r w:rsidR="00762F7F">
        <w:t>report</w:t>
      </w:r>
      <w:r w:rsidR="00573BA7">
        <w:t xml:space="preserve"> </w:t>
      </w:r>
      <w:r w:rsidR="00762F7F">
        <w:t>that</w:t>
      </w:r>
      <w:r w:rsidR="00573BA7">
        <w:t xml:space="preserve"> </w:t>
      </w:r>
      <w:r w:rsidR="00762F7F">
        <w:t>this</w:t>
      </w:r>
      <w:r w:rsidR="00573BA7">
        <w:t xml:space="preserve"> </w:t>
      </w:r>
      <w:r w:rsidR="00762F7F">
        <w:t>work</w:t>
      </w:r>
      <w:r w:rsidR="00573BA7">
        <w:t xml:space="preserve"> </w:t>
      </w:r>
      <w:r w:rsidR="00762F7F">
        <w:t>is</w:t>
      </w:r>
      <w:r w:rsidR="00573BA7">
        <w:t xml:space="preserve"> </w:t>
      </w:r>
      <w:r w:rsidR="006B742D" w:rsidRPr="006B742D">
        <w:t>essential</w:t>
      </w:r>
      <w:r w:rsidR="00573BA7">
        <w:t xml:space="preserve"> </w:t>
      </w:r>
      <w:r w:rsidR="006B742D" w:rsidRPr="006B742D">
        <w:t>for</w:t>
      </w:r>
      <w:r w:rsidR="00573BA7">
        <w:t xml:space="preserve"> </w:t>
      </w:r>
      <w:r w:rsidR="006B742D" w:rsidRPr="006B742D">
        <w:t>meeting</w:t>
      </w:r>
      <w:r w:rsidR="00573BA7">
        <w:t xml:space="preserve"> </w:t>
      </w:r>
      <w:r w:rsidR="006B742D" w:rsidRPr="006B742D">
        <w:t>basic</w:t>
      </w:r>
      <w:r w:rsidR="00573BA7">
        <w:t xml:space="preserve"> </w:t>
      </w:r>
      <w:r w:rsidR="006B742D" w:rsidRPr="006B742D">
        <w:t>needs</w:t>
      </w:r>
      <w:r w:rsidR="006B742D">
        <w:t>.</w:t>
      </w:r>
      <w:r w:rsidR="003B29D5">
        <w:rPr>
          <w:rStyle w:val="EndnoteReference"/>
        </w:rPr>
        <w:endnoteReference w:id="21"/>
      </w:r>
      <w:r w:rsidR="00C43DB8">
        <w:t xml:space="preserve"> </w:t>
      </w:r>
      <w:r w:rsidR="0093615E">
        <w:t>The Commission also notes that much of the data relating to workforce participation of people with disability is defined according to the traditional definition of employment.</w:t>
      </w:r>
      <w:r w:rsidR="000367D6">
        <w:t xml:space="preserve"> In order to </w:t>
      </w:r>
      <w:r w:rsidR="00831AC0">
        <w:t>build a com</w:t>
      </w:r>
      <w:r w:rsidR="00B25791">
        <w:t xml:space="preserve">prehensive understanding of the </w:t>
      </w:r>
      <w:r w:rsidR="004A202A">
        <w:t>employment experiences of</w:t>
      </w:r>
      <w:r w:rsidR="006A4662">
        <w:t xml:space="preserve"> people with disability it is important that data is collected</w:t>
      </w:r>
      <w:r w:rsidR="00633B36">
        <w:t xml:space="preserve"> on a disaggregated basis beyond this traditional definition.</w:t>
      </w:r>
      <w:r w:rsidR="0093615E">
        <w:t xml:space="preserve"> </w:t>
      </w:r>
      <w:r w:rsidR="000A7D3D">
        <w:t>The</w:t>
      </w:r>
      <w:r w:rsidR="00573BA7">
        <w:t xml:space="preserve"> </w:t>
      </w:r>
      <w:r>
        <w:t>Commission</w:t>
      </w:r>
      <w:r w:rsidR="00573BA7">
        <w:t xml:space="preserve"> </w:t>
      </w:r>
      <w:r w:rsidR="006E4275">
        <w:t>calls</w:t>
      </w:r>
      <w:r w:rsidR="00573BA7">
        <w:t xml:space="preserve"> </w:t>
      </w:r>
      <w:r w:rsidR="006E4275">
        <w:t>on</w:t>
      </w:r>
      <w:r w:rsidR="00573BA7">
        <w:t xml:space="preserve"> </w:t>
      </w:r>
      <w:r>
        <w:t>the</w:t>
      </w:r>
      <w:r w:rsidR="00573BA7">
        <w:t xml:space="preserve"> </w:t>
      </w:r>
      <w:r>
        <w:t>Royal</w:t>
      </w:r>
      <w:r w:rsidR="00573BA7">
        <w:t xml:space="preserve"> </w:t>
      </w:r>
      <w:r>
        <w:t>Commission</w:t>
      </w:r>
      <w:r w:rsidR="00573BA7">
        <w:t xml:space="preserve"> </w:t>
      </w:r>
      <w:r>
        <w:t>to</w:t>
      </w:r>
      <w:r w:rsidR="00573BA7">
        <w:t xml:space="preserve"> </w:t>
      </w:r>
      <w:r>
        <w:t>ensure</w:t>
      </w:r>
      <w:r w:rsidR="00573BA7">
        <w:t xml:space="preserve"> </w:t>
      </w:r>
      <w:r>
        <w:t>that</w:t>
      </w:r>
      <w:r w:rsidR="00573BA7">
        <w:t xml:space="preserve"> </w:t>
      </w:r>
      <w:r>
        <w:t>it</w:t>
      </w:r>
      <w:r w:rsidR="0094360A">
        <w:t>s</w:t>
      </w:r>
      <w:r w:rsidR="00573BA7">
        <w:t xml:space="preserve"> </w:t>
      </w:r>
      <w:r w:rsidR="0094360A">
        <w:t>inquiry</w:t>
      </w:r>
      <w:r w:rsidR="00573BA7">
        <w:t xml:space="preserve"> </w:t>
      </w:r>
      <w:r w:rsidR="000A7D3D">
        <w:t>into</w:t>
      </w:r>
      <w:r w:rsidR="00573BA7">
        <w:t xml:space="preserve"> </w:t>
      </w:r>
      <w:r w:rsidR="000A7D3D">
        <w:t>the</w:t>
      </w:r>
      <w:r w:rsidR="00573BA7">
        <w:t xml:space="preserve"> </w:t>
      </w:r>
      <w:r w:rsidR="000A7D3D">
        <w:t>employment</w:t>
      </w:r>
      <w:r w:rsidR="00573BA7">
        <w:t xml:space="preserve"> </w:t>
      </w:r>
      <w:r w:rsidR="000A7D3D">
        <w:t>experiences</w:t>
      </w:r>
      <w:r w:rsidR="00573BA7">
        <w:t xml:space="preserve"> </w:t>
      </w:r>
      <w:r w:rsidR="000A7D3D">
        <w:t>of</w:t>
      </w:r>
      <w:r w:rsidR="00573BA7">
        <w:t xml:space="preserve"> </w:t>
      </w:r>
      <w:r w:rsidR="000A7D3D">
        <w:t>people</w:t>
      </w:r>
      <w:r w:rsidR="00573BA7">
        <w:t xml:space="preserve"> </w:t>
      </w:r>
      <w:r w:rsidR="000A7D3D">
        <w:t>with</w:t>
      </w:r>
      <w:r w:rsidR="00573BA7">
        <w:t xml:space="preserve"> </w:t>
      </w:r>
      <w:r w:rsidR="000A7D3D">
        <w:t>disability</w:t>
      </w:r>
      <w:r w:rsidR="00573BA7">
        <w:t xml:space="preserve"> </w:t>
      </w:r>
      <w:r w:rsidR="001C327B">
        <w:t>is</w:t>
      </w:r>
      <w:r w:rsidR="00573BA7">
        <w:t xml:space="preserve"> </w:t>
      </w:r>
      <w:r w:rsidR="001C327B">
        <w:t>inclusive</w:t>
      </w:r>
      <w:r w:rsidR="00573BA7">
        <w:t xml:space="preserve"> </w:t>
      </w:r>
      <w:r w:rsidR="001C327B">
        <w:t>of</w:t>
      </w:r>
      <w:r w:rsidR="00573BA7">
        <w:t xml:space="preserve"> </w:t>
      </w:r>
      <w:r w:rsidR="001C327B">
        <w:t>these</w:t>
      </w:r>
      <w:r w:rsidR="00573BA7">
        <w:t xml:space="preserve"> </w:t>
      </w:r>
      <w:r w:rsidR="001C327B">
        <w:t>workers</w:t>
      </w:r>
      <w:r w:rsidR="00573BA7">
        <w:t xml:space="preserve"> </w:t>
      </w:r>
      <w:r w:rsidR="001C327B">
        <w:t>and</w:t>
      </w:r>
      <w:r w:rsidR="00573BA7">
        <w:t xml:space="preserve"> </w:t>
      </w:r>
      <w:r w:rsidR="001C327B">
        <w:t>their</w:t>
      </w:r>
      <w:r w:rsidR="00573BA7">
        <w:t xml:space="preserve"> </w:t>
      </w:r>
      <w:r w:rsidR="001C327B">
        <w:t>human</w:t>
      </w:r>
      <w:r w:rsidR="00573BA7">
        <w:t xml:space="preserve"> </w:t>
      </w:r>
      <w:r w:rsidR="001C327B">
        <w:t>rights,</w:t>
      </w:r>
      <w:r w:rsidR="00573BA7">
        <w:t xml:space="preserve"> </w:t>
      </w:r>
      <w:r w:rsidR="006B742D">
        <w:t>regardless</w:t>
      </w:r>
      <w:r w:rsidR="00573BA7">
        <w:t xml:space="preserve"> </w:t>
      </w:r>
      <w:r w:rsidR="006B742D">
        <w:t>of</w:t>
      </w:r>
      <w:r w:rsidR="00573BA7">
        <w:t xml:space="preserve"> </w:t>
      </w:r>
      <w:r w:rsidR="006B742D">
        <w:t>whether</w:t>
      </w:r>
      <w:r w:rsidR="00573BA7">
        <w:t xml:space="preserve"> </w:t>
      </w:r>
      <w:r w:rsidR="006B742D">
        <w:t>a</w:t>
      </w:r>
      <w:r w:rsidR="00573BA7">
        <w:t xml:space="preserve"> </w:t>
      </w:r>
      <w:r w:rsidR="006B742D">
        <w:t>formal</w:t>
      </w:r>
      <w:r w:rsidR="00573BA7">
        <w:t xml:space="preserve"> </w:t>
      </w:r>
      <w:r w:rsidR="006B742D">
        <w:t>employment</w:t>
      </w:r>
      <w:r w:rsidR="00573BA7">
        <w:t xml:space="preserve"> </w:t>
      </w:r>
      <w:r w:rsidR="006B742D">
        <w:t>relationship</w:t>
      </w:r>
      <w:r w:rsidR="00573BA7">
        <w:t xml:space="preserve"> </w:t>
      </w:r>
      <w:r w:rsidR="006B742D">
        <w:t>exists</w:t>
      </w:r>
      <w:r w:rsidR="00573BA7">
        <w:t xml:space="preserve"> </w:t>
      </w:r>
      <w:r w:rsidR="006B742D">
        <w:t>under</w:t>
      </w:r>
      <w:r w:rsidR="00573BA7">
        <w:t xml:space="preserve"> </w:t>
      </w:r>
      <w:r w:rsidR="006B742D">
        <w:t>the</w:t>
      </w:r>
      <w:r w:rsidR="00573BA7">
        <w:t xml:space="preserve"> </w:t>
      </w:r>
      <w:r w:rsidR="006B742D" w:rsidRPr="07069484">
        <w:rPr>
          <w:i/>
          <w:iCs/>
        </w:rPr>
        <w:t>Fair</w:t>
      </w:r>
      <w:r w:rsidR="00573BA7" w:rsidRPr="07069484">
        <w:rPr>
          <w:i/>
          <w:iCs/>
        </w:rPr>
        <w:t xml:space="preserve"> </w:t>
      </w:r>
      <w:r w:rsidR="006B742D" w:rsidRPr="07069484">
        <w:rPr>
          <w:i/>
          <w:iCs/>
        </w:rPr>
        <w:t>Work</w:t>
      </w:r>
      <w:r w:rsidR="00573BA7" w:rsidRPr="07069484">
        <w:rPr>
          <w:i/>
          <w:iCs/>
        </w:rPr>
        <w:t xml:space="preserve"> </w:t>
      </w:r>
      <w:r w:rsidR="006B742D" w:rsidRPr="07069484">
        <w:rPr>
          <w:i/>
          <w:iCs/>
        </w:rPr>
        <w:t>Act</w:t>
      </w:r>
      <w:r w:rsidR="00573BA7" w:rsidRPr="07069484">
        <w:rPr>
          <w:i/>
          <w:iCs/>
        </w:rPr>
        <w:t xml:space="preserve"> </w:t>
      </w:r>
      <w:r w:rsidR="006B742D" w:rsidRPr="07069484">
        <w:rPr>
          <w:i/>
          <w:iCs/>
        </w:rPr>
        <w:t>2009</w:t>
      </w:r>
      <w:r w:rsidR="00573BA7" w:rsidRPr="07069484">
        <w:rPr>
          <w:i/>
          <w:iCs/>
        </w:rPr>
        <w:t xml:space="preserve"> </w:t>
      </w:r>
      <w:r w:rsidR="006B742D">
        <w:t>(Cth).</w:t>
      </w:r>
      <w:r w:rsidR="00573BA7">
        <w:t xml:space="preserve">  </w:t>
      </w:r>
    </w:p>
    <w:p w14:paraId="5FEE41CF" w14:textId="7D74A133" w:rsidR="00AB7E5B" w:rsidRDefault="1012A02D" w:rsidP="466A7A98">
      <w:pPr>
        <w:pStyle w:val="ListNumber"/>
      </w:pPr>
      <w:r>
        <w:lastRenderedPageBreak/>
        <w:t>This</w:t>
      </w:r>
      <w:r w:rsidR="00573BA7">
        <w:t xml:space="preserve"> </w:t>
      </w:r>
      <w:r>
        <w:t>submission</w:t>
      </w:r>
      <w:r w:rsidR="00573BA7">
        <w:t xml:space="preserve"> </w:t>
      </w:r>
      <w:r>
        <w:t>provides:</w:t>
      </w:r>
      <w:r w:rsidR="00573BA7">
        <w:t xml:space="preserve"> </w:t>
      </w:r>
      <w:r>
        <w:t>an</w:t>
      </w:r>
      <w:r w:rsidR="00573BA7">
        <w:t xml:space="preserve"> </w:t>
      </w:r>
      <w:r>
        <w:t>overview</w:t>
      </w:r>
      <w:r w:rsidR="00573BA7">
        <w:t xml:space="preserve"> </w:t>
      </w:r>
      <w:r>
        <w:t>of</w:t>
      </w:r>
      <w:r w:rsidR="00573BA7">
        <w:t xml:space="preserve"> </w:t>
      </w:r>
      <w:r w:rsidR="0016756A">
        <w:t>Australia’s</w:t>
      </w:r>
      <w:r w:rsidR="00573BA7">
        <w:t xml:space="preserve"> </w:t>
      </w:r>
      <w:r>
        <w:t>international</w:t>
      </w:r>
      <w:r w:rsidR="00573BA7">
        <w:t xml:space="preserve"> </w:t>
      </w:r>
      <w:r>
        <w:t>and</w:t>
      </w:r>
      <w:r w:rsidR="00573BA7">
        <w:t xml:space="preserve"> </w:t>
      </w:r>
      <w:r>
        <w:t>domestic</w:t>
      </w:r>
      <w:r w:rsidR="00573BA7">
        <w:t xml:space="preserve"> </w:t>
      </w:r>
      <w:r w:rsidR="0016756A">
        <w:t>human</w:t>
      </w:r>
      <w:r w:rsidR="00573BA7">
        <w:t xml:space="preserve"> </w:t>
      </w:r>
      <w:r w:rsidR="0016756A">
        <w:t>rights</w:t>
      </w:r>
      <w:r w:rsidR="00573BA7">
        <w:t xml:space="preserve"> </w:t>
      </w:r>
      <w:r>
        <w:t>frameworks</w:t>
      </w:r>
      <w:r w:rsidR="00573BA7">
        <w:t xml:space="preserve"> </w:t>
      </w:r>
      <w:r>
        <w:t>relevant</w:t>
      </w:r>
      <w:r w:rsidR="00573BA7">
        <w:t xml:space="preserve"> </w:t>
      </w:r>
      <w:r>
        <w:t>to</w:t>
      </w:r>
      <w:r w:rsidR="00573BA7">
        <w:t xml:space="preserve"> </w:t>
      </w:r>
      <w:r w:rsidR="47756777">
        <w:t>the</w:t>
      </w:r>
      <w:r w:rsidR="00573BA7">
        <w:t xml:space="preserve"> </w:t>
      </w:r>
      <w:r w:rsidR="47756777">
        <w:t>employment</w:t>
      </w:r>
      <w:r w:rsidR="00573BA7">
        <w:t xml:space="preserve"> </w:t>
      </w:r>
      <w:r w:rsidR="47756777">
        <w:t>of</w:t>
      </w:r>
      <w:r w:rsidR="00573BA7">
        <w:t xml:space="preserve"> </w:t>
      </w:r>
      <w:r w:rsidR="47756777">
        <w:t>people</w:t>
      </w:r>
      <w:r w:rsidR="00573BA7">
        <w:t xml:space="preserve"> </w:t>
      </w:r>
      <w:r w:rsidR="47756777">
        <w:t>with</w:t>
      </w:r>
      <w:r w:rsidR="00573BA7">
        <w:t xml:space="preserve"> </w:t>
      </w:r>
      <w:r w:rsidR="47756777">
        <w:t>disability;</w:t>
      </w:r>
      <w:r w:rsidR="00573BA7">
        <w:t xml:space="preserve"> </w:t>
      </w:r>
      <w:r w:rsidR="2F894B9B">
        <w:t>a</w:t>
      </w:r>
      <w:r w:rsidR="00573BA7">
        <w:t xml:space="preserve"> </w:t>
      </w:r>
      <w:r w:rsidR="2F894B9B">
        <w:t>brief</w:t>
      </w:r>
      <w:r w:rsidR="00573BA7">
        <w:t xml:space="preserve"> </w:t>
      </w:r>
      <w:r w:rsidR="2F894B9B">
        <w:t>overview</w:t>
      </w:r>
      <w:r w:rsidR="00573BA7">
        <w:t xml:space="preserve"> </w:t>
      </w:r>
      <w:r w:rsidR="2F894B9B">
        <w:t>of</w:t>
      </w:r>
      <w:r w:rsidR="00573BA7">
        <w:t xml:space="preserve"> </w:t>
      </w:r>
      <w:r w:rsidR="001D61E9">
        <w:t>Australia’s</w:t>
      </w:r>
      <w:r w:rsidR="00573BA7">
        <w:t xml:space="preserve"> </w:t>
      </w:r>
      <w:r w:rsidR="001D61E9">
        <w:t>supports</w:t>
      </w:r>
      <w:r w:rsidR="00573BA7">
        <w:t xml:space="preserve"> </w:t>
      </w:r>
      <w:r w:rsidR="001D61E9">
        <w:t>and</w:t>
      </w:r>
      <w:r w:rsidR="00573BA7">
        <w:t xml:space="preserve"> </w:t>
      </w:r>
      <w:r w:rsidR="001D61E9">
        <w:t>programs</w:t>
      </w:r>
      <w:r w:rsidR="00573BA7">
        <w:t xml:space="preserve"> </w:t>
      </w:r>
      <w:r w:rsidR="001D61E9">
        <w:t>for</w:t>
      </w:r>
      <w:r w:rsidR="00573BA7">
        <w:t xml:space="preserve"> </w:t>
      </w:r>
      <w:r w:rsidR="001D61E9">
        <w:t>people</w:t>
      </w:r>
      <w:r w:rsidR="00573BA7">
        <w:t xml:space="preserve"> </w:t>
      </w:r>
      <w:r w:rsidR="001D61E9">
        <w:t>with</w:t>
      </w:r>
      <w:r w:rsidR="00573BA7">
        <w:t xml:space="preserve"> </w:t>
      </w:r>
      <w:r w:rsidR="001D61E9">
        <w:t>disability</w:t>
      </w:r>
      <w:r w:rsidR="00573BA7">
        <w:t xml:space="preserve"> </w:t>
      </w:r>
      <w:r w:rsidR="001D61E9">
        <w:t>in</w:t>
      </w:r>
      <w:r w:rsidR="00573BA7">
        <w:t xml:space="preserve"> </w:t>
      </w:r>
      <w:r w:rsidR="001D61E9">
        <w:t>employment</w:t>
      </w:r>
      <w:r w:rsidR="00573BA7">
        <w:t xml:space="preserve"> </w:t>
      </w:r>
      <w:r w:rsidR="001D61E9">
        <w:t>in</w:t>
      </w:r>
      <w:r w:rsidR="00573BA7">
        <w:t xml:space="preserve"> </w:t>
      </w:r>
      <w:r w:rsidR="001D61E9">
        <w:t>Australia;</w:t>
      </w:r>
      <w:r w:rsidR="00573BA7">
        <w:t xml:space="preserve"> </w:t>
      </w:r>
      <w:r w:rsidR="001D61E9">
        <w:t>an</w:t>
      </w:r>
      <w:r w:rsidR="00573BA7">
        <w:t xml:space="preserve"> </w:t>
      </w:r>
      <w:r w:rsidR="001D61E9">
        <w:t>overview</w:t>
      </w:r>
      <w:r w:rsidR="00573BA7">
        <w:t xml:space="preserve"> </w:t>
      </w:r>
      <w:r w:rsidR="001D61E9">
        <w:t>of</w:t>
      </w:r>
      <w:r w:rsidR="00573BA7">
        <w:t xml:space="preserve"> </w:t>
      </w:r>
      <w:r w:rsidR="001D61E9">
        <w:t>how</w:t>
      </w:r>
      <w:r w:rsidR="00573BA7">
        <w:t xml:space="preserve"> </w:t>
      </w:r>
      <w:r w:rsidR="001D61E9">
        <w:t>people</w:t>
      </w:r>
      <w:r w:rsidR="00573BA7">
        <w:t xml:space="preserve"> </w:t>
      </w:r>
      <w:r w:rsidR="001D61E9">
        <w:t>with</w:t>
      </w:r>
      <w:r w:rsidR="00573BA7">
        <w:t xml:space="preserve"> </w:t>
      </w:r>
      <w:r w:rsidR="001D61E9">
        <w:t>disability</w:t>
      </w:r>
      <w:r w:rsidR="00573BA7">
        <w:t xml:space="preserve"> </w:t>
      </w:r>
      <w:r w:rsidR="001D61E9">
        <w:t>may</w:t>
      </w:r>
      <w:r w:rsidR="00573BA7">
        <w:t xml:space="preserve"> </w:t>
      </w:r>
      <w:r w:rsidR="001D61E9">
        <w:t>experience</w:t>
      </w:r>
      <w:r w:rsidR="00573BA7">
        <w:t xml:space="preserve"> </w:t>
      </w:r>
      <w:r w:rsidR="001D61E9">
        <w:t>violence,</w:t>
      </w:r>
      <w:r w:rsidR="00573BA7">
        <w:t xml:space="preserve"> </w:t>
      </w:r>
      <w:r w:rsidR="001D61E9">
        <w:t>abuse,</w:t>
      </w:r>
      <w:r w:rsidR="00573BA7">
        <w:t xml:space="preserve"> </w:t>
      </w:r>
      <w:r w:rsidR="001D61E9">
        <w:t>neglect</w:t>
      </w:r>
      <w:r w:rsidR="00573BA7">
        <w:t xml:space="preserve"> </w:t>
      </w:r>
      <w:r w:rsidR="001D61E9">
        <w:t>and</w:t>
      </w:r>
      <w:r w:rsidR="00573BA7">
        <w:t xml:space="preserve"> </w:t>
      </w:r>
      <w:r w:rsidR="001D61E9">
        <w:t>exploitation</w:t>
      </w:r>
      <w:r w:rsidR="00573BA7">
        <w:t xml:space="preserve"> </w:t>
      </w:r>
      <w:r w:rsidR="001D61E9">
        <w:t>in</w:t>
      </w:r>
      <w:r w:rsidR="00573BA7">
        <w:t xml:space="preserve"> </w:t>
      </w:r>
      <w:r w:rsidR="001D61E9">
        <w:t>employment</w:t>
      </w:r>
      <w:r w:rsidR="00573BA7">
        <w:t xml:space="preserve"> </w:t>
      </w:r>
      <w:r w:rsidR="001D61E9">
        <w:t>settings;</w:t>
      </w:r>
      <w:r w:rsidR="00573BA7">
        <w:t xml:space="preserve"> </w:t>
      </w:r>
      <w:r w:rsidR="001D61E9">
        <w:t>and</w:t>
      </w:r>
      <w:r w:rsidR="00573BA7">
        <w:t xml:space="preserve"> </w:t>
      </w:r>
      <w:r w:rsidR="2F894B9B">
        <w:t>a</w:t>
      </w:r>
      <w:r w:rsidR="001D61E9">
        <w:t>n</w:t>
      </w:r>
      <w:r w:rsidR="00573BA7">
        <w:t xml:space="preserve"> </w:t>
      </w:r>
      <w:r w:rsidR="001D61E9">
        <w:t>analysis</w:t>
      </w:r>
      <w:r w:rsidR="00573BA7">
        <w:t xml:space="preserve"> </w:t>
      </w:r>
      <w:r w:rsidR="001D61E9">
        <w:t>of</w:t>
      </w:r>
      <w:r w:rsidR="00573BA7">
        <w:t xml:space="preserve"> </w:t>
      </w:r>
      <w:r w:rsidR="001D61E9">
        <w:t>how</w:t>
      </w:r>
      <w:r w:rsidR="00573BA7">
        <w:t xml:space="preserve"> </w:t>
      </w:r>
      <w:r w:rsidR="001D61E9">
        <w:t>Australia</w:t>
      </w:r>
      <w:r w:rsidR="00573BA7">
        <w:t xml:space="preserve"> </w:t>
      </w:r>
      <w:r w:rsidR="001D61E9">
        <w:t>implements</w:t>
      </w:r>
      <w:r w:rsidR="00573BA7">
        <w:t xml:space="preserve"> </w:t>
      </w:r>
      <w:r w:rsidR="001D61E9">
        <w:t>its</w:t>
      </w:r>
      <w:r w:rsidR="00573BA7">
        <w:t xml:space="preserve"> </w:t>
      </w:r>
      <w:r w:rsidR="001D61E9">
        <w:t>international</w:t>
      </w:r>
      <w:r w:rsidR="00573BA7">
        <w:t xml:space="preserve"> </w:t>
      </w:r>
      <w:r w:rsidR="001D61E9">
        <w:t>human</w:t>
      </w:r>
      <w:r w:rsidR="00573BA7">
        <w:t xml:space="preserve"> </w:t>
      </w:r>
      <w:r w:rsidR="001D61E9">
        <w:t>rights</w:t>
      </w:r>
      <w:r w:rsidR="00573BA7">
        <w:t xml:space="preserve"> </w:t>
      </w:r>
      <w:r w:rsidR="001D61E9">
        <w:t>obligations</w:t>
      </w:r>
      <w:r w:rsidR="00573BA7">
        <w:t xml:space="preserve"> </w:t>
      </w:r>
      <w:r w:rsidR="001D61E9">
        <w:t>in</w:t>
      </w:r>
      <w:r w:rsidR="00573BA7">
        <w:t xml:space="preserve"> </w:t>
      </w:r>
      <w:r w:rsidR="001D61E9">
        <w:t>the</w:t>
      </w:r>
      <w:r w:rsidR="00573BA7">
        <w:t xml:space="preserve"> </w:t>
      </w:r>
      <w:r w:rsidR="001D61E9">
        <w:t>context</w:t>
      </w:r>
      <w:r w:rsidR="00573BA7">
        <w:t xml:space="preserve"> </w:t>
      </w:r>
      <w:r w:rsidR="001D61E9">
        <w:t>of</w:t>
      </w:r>
      <w:r w:rsidR="00573BA7">
        <w:t xml:space="preserve"> </w:t>
      </w:r>
      <w:r w:rsidR="001D61E9">
        <w:t>disability</w:t>
      </w:r>
      <w:r w:rsidR="00573BA7">
        <w:t xml:space="preserve"> </w:t>
      </w:r>
      <w:r w:rsidR="001D61E9">
        <w:t>employment</w:t>
      </w:r>
      <w:r w:rsidR="33B1A294">
        <w:t>.</w:t>
      </w:r>
      <w:r w:rsidR="00573BA7">
        <w:t xml:space="preserve"> </w:t>
      </w:r>
      <w:r w:rsidR="00C438B1">
        <w:t>The</w:t>
      </w:r>
      <w:r w:rsidR="00573BA7">
        <w:t xml:space="preserve"> </w:t>
      </w:r>
      <w:r w:rsidR="00C438B1">
        <w:t>Commission</w:t>
      </w:r>
      <w:r w:rsidR="00573BA7">
        <w:t xml:space="preserve"> </w:t>
      </w:r>
      <w:r w:rsidR="00C438B1">
        <w:t>would</w:t>
      </w:r>
      <w:r w:rsidR="00573BA7">
        <w:t xml:space="preserve"> </w:t>
      </w:r>
      <w:r w:rsidR="00C438B1">
        <w:t>be</w:t>
      </w:r>
      <w:r w:rsidR="00573BA7">
        <w:t xml:space="preserve"> </w:t>
      </w:r>
      <w:r w:rsidR="00C438B1">
        <w:t>happy</w:t>
      </w:r>
      <w:r w:rsidR="00573BA7">
        <w:t xml:space="preserve"> </w:t>
      </w:r>
      <w:r w:rsidR="00C438B1">
        <w:t>to</w:t>
      </w:r>
      <w:r w:rsidR="00573BA7">
        <w:t xml:space="preserve"> </w:t>
      </w:r>
      <w:r w:rsidR="00C438B1">
        <w:t>appear</w:t>
      </w:r>
      <w:r w:rsidR="00573BA7">
        <w:t xml:space="preserve"> </w:t>
      </w:r>
      <w:r w:rsidR="00C438B1">
        <w:t>before</w:t>
      </w:r>
      <w:r w:rsidR="00573BA7">
        <w:t xml:space="preserve"> </w:t>
      </w:r>
      <w:r w:rsidR="00C438B1">
        <w:t>the</w:t>
      </w:r>
      <w:r w:rsidR="00573BA7">
        <w:t xml:space="preserve"> </w:t>
      </w:r>
      <w:r w:rsidR="00C438B1">
        <w:t>Royal</w:t>
      </w:r>
      <w:r w:rsidR="00573BA7">
        <w:t xml:space="preserve"> </w:t>
      </w:r>
      <w:r w:rsidR="00C438B1">
        <w:t>Commission</w:t>
      </w:r>
      <w:r w:rsidR="00573BA7">
        <w:t xml:space="preserve"> </w:t>
      </w:r>
      <w:r w:rsidR="00C438B1">
        <w:t>and</w:t>
      </w:r>
      <w:r w:rsidR="00573BA7">
        <w:t xml:space="preserve"> </w:t>
      </w:r>
      <w:r w:rsidR="00C438B1">
        <w:t>to</w:t>
      </w:r>
      <w:r w:rsidR="00573BA7">
        <w:t xml:space="preserve"> </w:t>
      </w:r>
      <w:r w:rsidR="00C438B1">
        <w:t>provide</w:t>
      </w:r>
      <w:r w:rsidR="00573BA7">
        <w:t xml:space="preserve"> </w:t>
      </w:r>
      <w:r w:rsidR="00C438B1">
        <w:t>further</w:t>
      </w:r>
      <w:r w:rsidR="00573BA7">
        <w:t xml:space="preserve"> </w:t>
      </w:r>
      <w:r w:rsidR="00C438B1">
        <w:t>clarification</w:t>
      </w:r>
      <w:r w:rsidR="00573BA7">
        <w:t xml:space="preserve"> </w:t>
      </w:r>
      <w:r w:rsidR="00C438B1">
        <w:t>on</w:t>
      </w:r>
      <w:r w:rsidR="00573BA7">
        <w:t xml:space="preserve"> </w:t>
      </w:r>
      <w:r w:rsidR="00C438B1">
        <w:t>its</w:t>
      </w:r>
      <w:r w:rsidR="00573BA7">
        <w:t xml:space="preserve"> </w:t>
      </w:r>
      <w:r w:rsidR="00C438B1">
        <w:t>submission</w:t>
      </w:r>
      <w:r w:rsidR="00573BA7">
        <w:t xml:space="preserve"> </w:t>
      </w:r>
      <w:r w:rsidR="00C438B1">
        <w:t>or</w:t>
      </w:r>
      <w:r w:rsidR="00573BA7">
        <w:t xml:space="preserve"> </w:t>
      </w:r>
      <w:r w:rsidR="00C438B1">
        <w:t>other</w:t>
      </w:r>
      <w:r w:rsidR="00573BA7">
        <w:t xml:space="preserve"> </w:t>
      </w:r>
      <w:r w:rsidR="00C438B1">
        <w:t>issues</w:t>
      </w:r>
      <w:r w:rsidR="00573BA7">
        <w:t xml:space="preserve"> </w:t>
      </w:r>
      <w:r w:rsidR="00C438B1">
        <w:t>of</w:t>
      </w:r>
      <w:r w:rsidR="00573BA7">
        <w:t xml:space="preserve"> </w:t>
      </w:r>
      <w:r w:rsidR="00C438B1">
        <w:t>interest</w:t>
      </w:r>
      <w:r w:rsidR="00573BA7">
        <w:t xml:space="preserve"> </w:t>
      </w:r>
      <w:r w:rsidR="00C438B1">
        <w:t>to</w:t>
      </w:r>
      <w:r w:rsidR="00573BA7">
        <w:t xml:space="preserve"> </w:t>
      </w:r>
      <w:r w:rsidR="00C438B1">
        <w:t>the</w:t>
      </w:r>
      <w:r w:rsidR="00573BA7">
        <w:t xml:space="preserve"> </w:t>
      </w:r>
      <w:r w:rsidR="00C438B1">
        <w:t>Royal</w:t>
      </w:r>
      <w:r w:rsidR="00573BA7">
        <w:t xml:space="preserve"> </w:t>
      </w:r>
      <w:r w:rsidR="00C438B1">
        <w:t>Commission.</w:t>
      </w:r>
      <w:r w:rsidR="00573BA7">
        <w:t xml:space="preserve">  </w:t>
      </w:r>
    </w:p>
    <w:p w14:paraId="0F64AC7A" w14:textId="21988D95" w:rsidR="009F2764" w:rsidRPr="003F4CE1" w:rsidRDefault="003423F4" w:rsidP="009E08D1">
      <w:pPr>
        <w:pStyle w:val="Heading1"/>
        <w:rPr>
          <w:color w:val="000000" w:themeColor="text1"/>
        </w:rPr>
      </w:pPr>
      <w:bookmarkStart w:id="9" w:name="_Toc50730890"/>
      <w:bookmarkStart w:id="10" w:name="_Toc525894099"/>
      <w:bookmarkStart w:id="11" w:name="_Toc45727490"/>
      <w:bookmarkStart w:id="12" w:name="_Toc51834264"/>
      <w:bookmarkEnd w:id="9"/>
      <w:r w:rsidRPr="003F4CE1">
        <w:t>Summary</w:t>
      </w:r>
      <w:r w:rsidR="00573BA7">
        <w:t xml:space="preserve"> </w:t>
      </w:r>
      <w:r w:rsidR="00BB7BEA" w:rsidRPr="003F4CE1">
        <w:t>of</w:t>
      </w:r>
      <w:r w:rsidR="00573BA7">
        <w:t xml:space="preserve"> </w:t>
      </w:r>
      <w:r w:rsidR="00BB7BEA" w:rsidRPr="003F4CE1">
        <w:t>recommendations</w:t>
      </w:r>
      <w:bookmarkEnd w:id="10"/>
      <w:bookmarkEnd w:id="11"/>
      <w:bookmarkEnd w:id="12"/>
    </w:p>
    <w:p w14:paraId="316E6CCA" w14:textId="6D49BF81" w:rsidR="00CE24C4" w:rsidRPr="007B537E" w:rsidRDefault="00CE24C4" w:rsidP="00CE24C4">
      <w:pPr>
        <w:pStyle w:val="ListNumber"/>
        <w:rPr>
          <w:b/>
          <w:bCs/>
          <w:i/>
          <w:iCs/>
          <w:color w:val="000000" w:themeColor="text1"/>
          <w:lang w:eastAsia="en-GB"/>
        </w:rPr>
      </w:pPr>
      <w:r w:rsidRPr="07069484">
        <w:rPr>
          <w:b/>
          <w:bCs/>
        </w:rPr>
        <w:t xml:space="preserve">Recommendation 1: </w:t>
      </w:r>
      <w:r w:rsidR="003A4776">
        <w:rPr>
          <w:b/>
          <w:bCs/>
        </w:rPr>
        <w:t>T</w:t>
      </w:r>
      <w:r w:rsidRPr="07069484">
        <w:rPr>
          <w:b/>
          <w:bCs/>
        </w:rPr>
        <w:t>he Australian Government undertake a comprehensive review of ADEs against the requirements of international human rights law, including Article 27 of the CRPD, as recommended by the CRPD Committee.</w:t>
      </w:r>
    </w:p>
    <w:p w14:paraId="2EC4BD8B" w14:textId="77777777" w:rsidR="00CE24C4" w:rsidRPr="007B537E" w:rsidRDefault="00CE24C4" w:rsidP="00CE24C4">
      <w:pPr>
        <w:pStyle w:val="ListNumber"/>
        <w:rPr>
          <w:rFonts w:cs="Open Sans"/>
          <w:b/>
          <w:bCs/>
        </w:rPr>
      </w:pPr>
      <w:r w:rsidRPr="07069484">
        <w:rPr>
          <w:rFonts w:cs="Open Sans"/>
          <w:b/>
          <w:bCs/>
        </w:rPr>
        <w:t>Recommendation 2: The Australian Government undertake a comprehensive review of the Supported Wage System against the requirements of Article 7(a) of ICESCR and Article 27 of the CRPD, including a review of the adequacy of wages in supporting people with disability to fully and effectively participate in society.</w:t>
      </w:r>
    </w:p>
    <w:p w14:paraId="6E3A31CB" w14:textId="369ADE28" w:rsidR="00CE24C4" w:rsidRPr="007B537E" w:rsidRDefault="00CE24C4" w:rsidP="00CE24C4">
      <w:pPr>
        <w:pStyle w:val="ListNumber"/>
        <w:rPr>
          <w:rFonts w:cs="Open Sans"/>
          <w:b/>
          <w:bCs/>
        </w:rPr>
      </w:pPr>
      <w:r w:rsidRPr="07069484">
        <w:rPr>
          <w:rFonts w:cs="Open Sans"/>
          <w:b/>
          <w:bCs/>
        </w:rPr>
        <w:t xml:space="preserve">Recommendation 3: The Australian Government publicly evaluate the effectiveness of the Supported Wage System in achieving its objective of enabling people with disability to obtain employment in a manner </w:t>
      </w:r>
      <w:r w:rsidRPr="07069484">
        <w:rPr>
          <w:b/>
          <w:bCs/>
        </w:rPr>
        <w:t>that is consistent with human rights practice and international obligations</w:t>
      </w:r>
      <w:r w:rsidRPr="07069484">
        <w:rPr>
          <w:rFonts w:cs="Open Sans"/>
          <w:b/>
          <w:bCs/>
        </w:rPr>
        <w:t>.</w:t>
      </w:r>
    </w:p>
    <w:p w14:paraId="17B25071" w14:textId="7D3CCA2D" w:rsidR="00CE24C4" w:rsidRPr="007B537E" w:rsidRDefault="00FD628D" w:rsidP="00CE24C4">
      <w:pPr>
        <w:pStyle w:val="ListNumber"/>
        <w:rPr>
          <w:b/>
          <w:bCs/>
          <w:color w:val="000000" w:themeColor="text1"/>
          <w:lang w:eastAsia="en-GB"/>
        </w:rPr>
      </w:pPr>
      <w:r w:rsidRPr="07069484">
        <w:rPr>
          <w:b/>
          <w:bCs/>
        </w:rPr>
        <w:t>Recommendation 4:</w:t>
      </w:r>
      <w:r w:rsidR="00C051B4" w:rsidRPr="07069484">
        <w:rPr>
          <w:b/>
          <w:bCs/>
        </w:rPr>
        <w:t xml:space="preserve"> </w:t>
      </w:r>
      <w:r w:rsidR="003A4776">
        <w:rPr>
          <w:b/>
          <w:bCs/>
        </w:rPr>
        <w:t xml:space="preserve">The Australian Government </w:t>
      </w:r>
      <w:r w:rsidR="003A4776">
        <w:rPr>
          <w:rFonts w:cs="Open Sans"/>
          <w:b/>
          <w:bCs/>
        </w:rPr>
        <w:t>a</w:t>
      </w:r>
      <w:r w:rsidR="00C051B4" w:rsidRPr="07069484">
        <w:rPr>
          <w:rFonts w:cs="Open Sans"/>
          <w:b/>
          <w:bCs/>
        </w:rPr>
        <w:t>mend the Australian Human Rights Commission Act to allow unions and other representative groups to bring representative claims to court, consistent with the existing provisions in the Australian Human Rights Commission Act that allow unions and other representative groups to bring a representative complaint to the Commission</w:t>
      </w:r>
      <w:r w:rsidR="009D43DD">
        <w:rPr>
          <w:rFonts w:cs="Open Sans"/>
          <w:b/>
          <w:bCs/>
        </w:rPr>
        <w:t>.</w:t>
      </w:r>
      <w:r w:rsidR="00C051B4" w:rsidRPr="07069484">
        <w:rPr>
          <w:rFonts w:cs="Open Sans"/>
          <w:b/>
          <w:bCs/>
        </w:rPr>
        <w:t xml:space="preserve"> </w:t>
      </w:r>
      <w:r w:rsidRPr="07069484">
        <w:rPr>
          <w:b/>
          <w:bCs/>
        </w:rPr>
        <w:t xml:space="preserve"> </w:t>
      </w:r>
    </w:p>
    <w:p w14:paraId="3FB2AEA2" w14:textId="284612E3" w:rsidR="00F04CFA" w:rsidRPr="00387D1B" w:rsidRDefault="00F04CFA" w:rsidP="00F04CFA">
      <w:pPr>
        <w:pStyle w:val="ListNumber"/>
        <w:rPr>
          <w:b/>
          <w:bCs/>
        </w:rPr>
      </w:pPr>
      <w:r w:rsidRPr="00387D1B">
        <w:rPr>
          <w:b/>
          <w:bCs/>
        </w:rPr>
        <w:t xml:space="preserve">Recommendation 5: The Australian Government </w:t>
      </w:r>
      <w:r w:rsidR="00D67145" w:rsidRPr="00387D1B">
        <w:rPr>
          <w:b/>
          <w:bCs/>
        </w:rPr>
        <w:t xml:space="preserve">amend the Disability Discrimination Act to introduce a </w:t>
      </w:r>
      <w:r w:rsidRPr="00387D1B">
        <w:rPr>
          <w:b/>
          <w:bCs/>
        </w:rPr>
        <w:t>positive duty</w:t>
      </w:r>
      <w:r w:rsidR="00B743E2" w:rsidRPr="00387D1B">
        <w:rPr>
          <w:b/>
          <w:bCs/>
        </w:rPr>
        <w:t xml:space="preserve"> </w:t>
      </w:r>
      <w:r w:rsidRPr="00387D1B">
        <w:rPr>
          <w:b/>
          <w:bCs/>
        </w:rPr>
        <w:t xml:space="preserve">to promote substantive equality and eliminate discrimination. </w:t>
      </w:r>
    </w:p>
    <w:p w14:paraId="67CEB356" w14:textId="1F0832FF" w:rsidR="00883D19" w:rsidRPr="007B537E" w:rsidRDefault="00883D19" w:rsidP="00883D19">
      <w:pPr>
        <w:pStyle w:val="ListNumber"/>
        <w:rPr>
          <w:rFonts w:ascii="Times New Roman" w:eastAsiaTheme="minorEastAsia" w:hAnsi="Times New Roman"/>
        </w:rPr>
      </w:pPr>
      <w:r w:rsidRPr="00032F30">
        <w:rPr>
          <w:b/>
          <w:bCs/>
        </w:rPr>
        <w:t xml:space="preserve">Recommendation </w:t>
      </w:r>
      <w:r w:rsidR="00BA44CA" w:rsidRPr="00032F30">
        <w:rPr>
          <w:b/>
          <w:bCs/>
        </w:rPr>
        <w:t>6</w:t>
      </w:r>
      <w:r w:rsidRPr="00032F30">
        <w:rPr>
          <w:b/>
          <w:bCs/>
        </w:rPr>
        <w:t>: Th</w:t>
      </w:r>
      <w:r w:rsidR="002C6983" w:rsidRPr="00032F30">
        <w:rPr>
          <w:b/>
          <w:bCs/>
        </w:rPr>
        <w:t>e</w:t>
      </w:r>
      <w:r w:rsidRPr="00032F30">
        <w:rPr>
          <w:b/>
          <w:bCs/>
        </w:rPr>
        <w:t xml:space="preserve"> Australian Government amend the Disability Discrimination Act to clarify that a failure to make reasonable adjustments, except when it would impose unjustifiable hardship,</w:t>
      </w:r>
      <w:r w:rsidRPr="07069484">
        <w:rPr>
          <w:rFonts w:eastAsia="Times New Roman" w:cs="Open Sans"/>
          <w:b/>
          <w:bCs/>
        </w:rPr>
        <w:t xml:space="preserve"> </w:t>
      </w:r>
      <w:r w:rsidRPr="07069484">
        <w:rPr>
          <w:rFonts w:eastAsia="Times New Roman" w:cs="Open Sans"/>
          <w:b/>
          <w:bCs/>
        </w:rPr>
        <w:lastRenderedPageBreak/>
        <w:t xml:space="preserve">constitutes unlawful discrimination under the Disability Discrimination Act. </w:t>
      </w:r>
    </w:p>
    <w:p w14:paraId="44DE4A39" w14:textId="7AAB78A5" w:rsidR="00883D19" w:rsidRPr="007B537E" w:rsidRDefault="00883D19" w:rsidP="00883D19">
      <w:pPr>
        <w:pStyle w:val="ListNumber"/>
        <w:rPr>
          <w:b/>
          <w:bCs/>
        </w:rPr>
      </w:pPr>
      <w:r w:rsidRPr="07069484">
        <w:rPr>
          <w:b/>
          <w:bCs/>
        </w:rPr>
        <w:t xml:space="preserve">Recommendation </w:t>
      </w:r>
      <w:r w:rsidR="00BA44CA" w:rsidRPr="07069484">
        <w:rPr>
          <w:b/>
          <w:bCs/>
        </w:rPr>
        <w:t>7</w:t>
      </w:r>
      <w:r w:rsidRPr="07069484">
        <w:rPr>
          <w:b/>
          <w:bCs/>
        </w:rPr>
        <w:t xml:space="preserve">: The </w:t>
      </w:r>
      <w:r w:rsidR="002C6983">
        <w:rPr>
          <w:b/>
          <w:bCs/>
        </w:rPr>
        <w:t xml:space="preserve">Australian Government amend the </w:t>
      </w:r>
      <w:r w:rsidRPr="07069484">
        <w:rPr>
          <w:b/>
          <w:bCs/>
        </w:rPr>
        <w:t xml:space="preserve">Fair Work Act to clarify the definition of ‘disability’, and align it with the definition contained </w:t>
      </w:r>
      <w:r w:rsidR="002A683F" w:rsidRPr="07069484">
        <w:rPr>
          <w:b/>
          <w:bCs/>
        </w:rPr>
        <w:t xml:space="preserve">in the </w:t>
      </w:r>
      <w:r w:rsidRPr="07069484">
        <w:rPr>
          <w:b/>
          <w:bCs/>
        </w:rPr>
        <w:t>Disability Discrimination Act.</w:t>
      </w:r>
    </w:p>
    <w:p w14:paraId="07E01D9D" w14:textId="26E35657" w:rsidR="00854E7B" w:rsidRPr="007B537E" w:rsidRDefault="00854E7B" w:rsidP="00854E7B">
      <w:pPr>
        <w:pStyle w:val="ListNumber"/>
        <w:rPr>
          <w:b/>
          <w:bCs/>
          <w:color w:val="000000" w:themeColor="text1"/>
        </w:rPr>
      </w:pPr>
      <w:r w:rsidRPr="07069484">
        <w:rPr>
          <w:b/>
          <w:bCs/>
        </w:rPr>
        <w:t xml:space="preserve">Recommendation </w:t>
      </w:r>
      <w:r w:rsidR="002A683F" w:rsidRPr="07069484">
        <w:rPr>
          <w:b/>
          <w:bCs/>
        </w:rPr>
        <w:t>8</w:t>
      </w:r>
      <w:r w:rsidRPr="07069484">
        <w:rPr>
          <w:b/>
          <w:bCs/>
        </w:rPr>
        <w:t>: That a review of the 21 day time limit in the Fair Work Act in relation to making a general protections, unfair dismissal or unlawful termination claim is undertaken in order to assess whether it is meeting its objectives of promoting efficiency and effectiveness while also ensuring access to justice.</w:t>
      </w:r>
    </w:p>
    <w:p w14:paraId="20423EE2" w14:textId="47B41C89" w:rsidR="00854E7B" w:rsidRPr="007B537E" w:rsidRDefault="00854E7B" w:rsidP="00854E7B">
      <w:pPr>
        <w:pStyle w:val="ListNumber"/>
        <w:rPr>
          <w:b/>
          <w:bCs/>
        </w:rPr>
      </w:pPr>
      <w:r w:rsidRPr="07069484">
        <w:rPr>
          <w:b/>
          <w:bCs/>
        </w:rPr>
        <w:t xml:space="preserve">Recommendation </w:t>
      </w:r>
      <w:r w:rsidR="002A683F" w:rsidRPr="07069484">
        <w:rPr>
          <w:b/>
          <w:bCs/>
        </w:rPr>
        <w:t>9</w:t>
      </w:r>
      <w:r w:rsidRPr="07069484">
        <w:rPr>
          <w:b/>
          <w:bCs/>
        </w:rPr>
        <w:t>: Th</w:t>
      </w:r>
      <w:r w:rsidR="00A22AA8">
        <w:rPr>
          <w:b/>
          <w:bCs/>
        </w:rPr>
        <w:t xml:space="preserve">e Australian Government amend </w:t>
      </w:r>
      <w:r w:rsidRPr="07069484">
        <w:rPr>
          <w:b/>
          <w:bCs/>
        </w:rPr>
        <w:t xml:space="preserve">section 65 of the Fair Work Act so that an employer is required to provide written reasons for the grant or refusal of a request for flexible work arrangements within a reasonable period of time (for example, 21 days) and specifically provide that a request for flexible work arrangements cannot be refused without providing the employee with a reasonable opportunity to discuss the request.    </w:t>
      </w:r>
    </w:p>
    <w:p w14:paraId="656FF700" w14:textId="682F6A27" w:rsidR="00854E7B" w:rsidRPr="007B537E" w:rsidRDefault="00854E7B" w:rsidP="00854E7B">
      <w:pPr>
        <w:pStyle w:val="ListNumber"/>
        <w:rPr>
          <w:b/>
          <w:bCs/>
        </w:rPr>
      </w:pPr>
      <w:r w:rsidRPr="07069484">
        <w:rPr>
          <w:b/>
          <w:bCs/>
        </w:rPr>
        <w:t>Recommendation 1</w:t>
      </w:r>
      <w:r w:rsidR="002A683F" w:rsidRPr="07069484">
        <w:rPr>
          <w:b/>
          <w:bCs/>
        </w:rPr>
        <w:t>0</w:t>
      </w:r>
      <w:r w:rsidRPr="07069484">
        <w:rPr>
          <w:b/>
          <w:bCs/>
        </w:rPr>
        <w:t>: Th</w:t>
      </w:r>
      <w:r w:rsidR="00C659C5">
        <w:rPr>
          <w:b/>
          <w:bCs/>
        </w:rPr>
        <w:t xml:space="preserve">e </w:t>
      </w:r>
      <w:r w:rsidRPr="07069484">
        <w:rPr>
          <w:b/>
          <w:bCs/>
        </w:rPr>
        <w:t>Australian Government ensure that the National Disability Agreement and the next National Disability Strategy are appropriately resourced, and include measurable goals and robust monitoring, reporting, evaluation, governance and accountability requirements, including by implementing the recommendations made by the UNSW Review and the Productivity Commission.</w:t>
      </w:r>
    </w:p>
    <w:p w14:paraId="7182290C" w14:textId="426DEA58" w:rsidR="00854E7B" w:rsidRPr="007B537E" w:rsidRDefault="00854E7B" w:rsidP="00854E7B">
      <w:pPr>
        <w:pStyle w:val="ListNumber"/>
        <w:rPr>
          <w:rFonts w:ascii="Times New Roman" w:hAnsi="Times New Roman"/>
          <w:b/>
          <w:bCs/>
        </w:rPr>
      </w:pPr>
      <w:r w:rsidRPr="07069484">
        <w:rPr>
          <w:b/>
          <w:bCs/>
        </w:rPr>
        <w:t>Recommendation 1</w:t>
      </w:r>
      <w:r w:rsidR="002A683F" w:rsidRPr="07069484">
        <w:rPr>
          <w:b/>
          <w:bCs/>
        </w:rPr>
        <w:t>1</w:t>
      </w:r>
      <w:r w:rsidRPr="07069484">
        <w:rPr>
          <w:b/>
          <w:bCs/>
        </w:rPr>
        <w:t>: The Australian Government publish an evaluation framework for the Disability Employment Services program, including measures that demonstrate how Disability Employment Services assist the Australian Government to fulfil its international human rights obligations under Article 27(1) of the CRPD.</w:t>
      </w:r>
    </w:p>
    <w:p w14:paraId="6D451575" w14:textId="0DC415ED" w:rsidR="00854E7B" w:rsidRPr="007B537E" w:rsidRDefault="00854E7B" w:rsidP="00854E7B">
      <w:pPr>
        <w:pStyle w:val="ListNumber"/>
        <w:rPr>
          <w:b/>
          <w:bCs/>
        </w:rPr>
      </w:pPr>
      <w:r w:rsidRPr="07069484">
        <w:rPr>
          <w:b/>
          <w:bCs/>
        </w:rPr>
        <w:t>Recommendation 1</w:t>
      </w:r>
      <w:r w:rsidR="002A683F" w:rsidRPr="07069484">
        <w:rPr>
          <w:b/>
          <w:bCs/>
        </w:rPr>
        <w:t>2</w:t>
      </w:r>
      <w:r w:rsidRPr="07069484">
        <w:rPr>
          <w:b/>
          <w:bCs/>
        </w:rPr>
        <w:t>: The Australian Government provide an update and timeline for finalising and implementing a Disability Employment Framework, including details of how the measurement of other diversity characteristics (eg age, gender, and race) will be incorporated.</w:t>
      </w:r>
    </w:p>
    <w:p w14:paraId="4B13149C" w14:textId="3B4FDD18" w:rsidR="00854E7B" w:rsidRPr="007B537E" w:rsidRDefault="00854E7B" w:rsidP="00854E7B">
      <w:pPr>
        <w:pStyle w:val="ListNumber"/>
        <w:rPr>
          <w:b/>
          <w:bCs/>
        </w:rPr>
      </w:pPr>
      <w:r w:rsidRPr="07069484">
        <w:rPr>
          <w:b/>
          <w:bCs/>
        </w:rPr>
        <w:t>Recommendation 1</w:t>
      </w:r>
      <w:r w:rsidR="002A683F" w:rsidRPr="07069484">
        <w:rPr>
          <w:b/>
          <w:bCs/>
        </w:rPr>
        <w:t>3</w:t>
      </w:r>
      <w:r w:rsidRPr="07069484">
        <w:rPr>
          <w:b/>
          <w:bCs/>
        </w:rPr>
        <w:t xml:space="preserve">: To improve access to reasonable workplace adjustments for people with disability, the Australian Government: </w:t>
      </w:r>
    </w:p>
    <w:p w14:paraId="360A7718" w14:textId="04D37B3D" w:rsidR="00854E7B" w:rsidRPr="007B537E" w:rsidRDefault="00854E7B" w:rsidP="00854E7B">
      <w:pPr>
        <w:pStyle w:val="ListNumber"/>
        <w:numPr>
          <w:ilvl w:val="0"/>
          <w:numId w:val="50"/>
        </w:numPr>
        <w:rPr>
          <w:rFonts w:cs="Open Sans"/>
          <w:b/>
          <w:bCs/>
        </w:rPr>
      </w:pPr>
      <w:r w:rsidRPr="007B537E">
        <w:rPr>
          <w:rFonts w:cs="Open Sans"/>
          <w:b/>
          <w:bCs/>
        </w:rPr>
        <w:t xml:space="preserve">expand the Employment Assistance Fund to support work experience and internships, to enable greater job readiness for people with disability </w:t>
      </w:r>
    </w:p>
    <w:p w14:paraId="4A87A611" w14:textId="77777777" w:rsidR="00854E7B" w:rsidRPr="007B537E" w:rsidRDefault="00854E7B" w:rsidP="00854E7B">
      <w:pPr>
        <w:pStyle w:val="ListNumber"/>
        <w:numPr>
          <w:ilvl w:val="0"/>
          <w:numId w:val="50"/>
        </w:numPr>
        <w:rPr>
          <w:rFonts w:cs="Open Sans"/>
          <w:b/>
          <w:bCs/>
        </w:rPr>
      </w:pPr>
      <w:r w:rsidRPr="007B537E">
        <w:rPr>
          <w:rFonts w:cs="Open Sans"/>
          <w:b/>
          <w:bCs/>
        </w:rPr>
        <w:lastRenderedPageBreak/>
        <w:t xml:space="preserve">increase the funding available through the Employment Assistance Fund for Auslan interpreting and captioning </w:t>
      </w:r>
    </w:p>
    <w:p w14:paraId="50FAA58E" w14:textId="77777777" w:rsidR="00854E7B" w:rsidRPr="007B537E" w:rsidRDefault="00854E7B" w:rsidP="00854E7B">
      <w:pPr>
        <w:pStyle w:val="ListNumber"/>
        <w:numPr>
          <w:ilvl w:val="0"/>
          <w:numId w:val="50"/>
        </w:numPr>
        <w:rPr>
          <w:rFonts w:cs="Open Sans"/>
          <w:b/>
          <w:bCs/>
        </w:rPr>
      </w:pPr>
      <w:r w:rsidRPr="007B537E">
        <w:rPr>
          <w:rFonts w:cs="Open Sans"/>
          <w:b/>
          <w:bCs/>
        </w:rPr>
        <w:t xml:space="preserve">change the process for obtaining funding for reasonable adjustments so that adjustments are paid for directly by JobAccess. </w:t>
      </w:r>
    </w:p>
    <w:p w14:paraId="3AAE0816" w14:textId="3C122916" w:rsidR="00854E7B" w:rsidRPr="007B537E" w:rsidRDefault="00854E7B" w:rsidP="00854E7B">
      <w:pPr>
        <w:pStyle w:val="ListNumber"/>
        <w:rPr>
          <w:b/>
          <w:bCs/>
          <w:lang w:eastAsia="en-GB"/>
        </w:rPr>
      </w:pPr>
      <w:r w:rsidRPr="07069484">
        <w:rPr>
          <w:b/>
          <w:bCs/>
        </w:rPr>
        <w:t>Recommendation 1</w:t>
      </w:r>
      <w:r w:rsidR="002A683F" w:rsidRPr="07069484">
        <w:rPr>
          <w:b/>
          <w:bCs/>
        </w:rPr>
        <w:t>4</w:t>
      </w:r>
      <w:r w:rsidRPr="07069484">
        <w:rPr>
          <w:b/>
          <w:bCs/>
        </w:rPr>
        <w:t xml:space="preserve">: </w:t>
      </w:r>
      <w:r w:rsidR="00C659C5">
        <w:rPr>
          <w:b/>
          <w:bCs/>
        </w:rPr>
        <w:t>The</w:t>
      </w:r>
      <w:r w:rsidRPr="07069484">
        <w:rPr>
          <w:b/>
          <w:bCs/>
        </w:rPr>
        <w:t xml:space="preserve"> Australian Government develop a campaign to increase employee and employer awareness of government supports available through Disability Employment Services, JobAccess, the Employee Assistance Fund and the National Disability Recruitment Coordinator.</w:t>
      </w:r>
    </w:p>
    <w:p w14:paraId="5E26021E" w14:textId="4A82FE0C" w:rsidR="008C4B07" w:rsidRPr="008C4B07" w:rsidRDefault="008C4B07" w:rsidP="008C4B07">
      <w:pPr>
        <w:pStyle w:val="ListNumber"/>
        <w:rPr>
          <w:b/>
          <w:bCs/>
        </w:rPr>
      </w:pPr>
      <w:r w:rsidRPr="07069484">
        <w:rPr>
          <w:b/>
          <w:bCs/>
        </w:rPr>
        <w:t>Recommendation 1</w:t>
      </w:r>
      <w:r w:rsidR="002A683F" w:rsidRPr="07069484">
        <w:rPr>
          <w:b/>
          <w:bCs/>
        </w:rPr>
        <w:t>5</w:t>
      </w:r>
      <w:r w:rsidRPr="07069484">
        <w:rPr>
          <w:b/>
          <w:bCs/>
        </w:rPr>
        <w:t>: To support continuing workforce participation and to improve access to workplace adjustments for people with chronic health conditions, the Australian Government:</w:t>
      </w:r>
    </w:p>
    <w:p w14:paraId="732C32F4" w14:textId="77777777" w:rsidR="008C4B07" w:rsidRPr="008C4B07" w:rsidRDefault="008C4B07" w:rsidP="008C4B07">
      <w:pPr>
        <w:numPr>
          <w:ilvl w:val="0"/>
          <w:numId w:val="24"/>
        </w:numPr>
        <w:tabs>
          <w:tab w:val="clear" w:pos="720"/>
          <w:tab w:val="num" w:pos="1080"/>
        </w:tabs>
        <w:spacing w:before="0" w:after="0"/>
        <w:ind w:left="1080"/>
        <w:rPr>
          <w:rFonts w:cs="Open Sans"/>
          <w:b/>
          <w:bCs/>
        </w:rPr>
      </w:pPr>
      <w:r w:rsidRPr="008C4B07">
        <w:rPr>
          <w:rFonts w:cs="Open Sans"/>
          <w:b/>
          <w:bCs/>
        </w:rPr>
        <w:t xml:space="preserve">expand the Employment Assistance Fund to include training for managers and co-workers about employees with chronic health conditions </w:t>
      </w:r>
    </w:p>
    <w:p w14:paraId="01ABB6BA" w14:textId="77777777" w:rsidR="008C4B07" w:rsidRPr="008C4B07" w:rsidRDefault="008C4B07" w:rsidP="008C4B07">
      <w:pPr>
        <w:numPr>
          <w:ilvl w:val="0"/>
          <w:numId w:val="24"/>
        </w:numPr>
        <w:tabs>
          <w:tab w:val="clear" w:pos="720"/>
          <w:tab w:val="num" w:pos="1080"/>
        </w:tabs>
        <w:spacing w:before="0" w:after="0"/>
        <w:ind w:left="1080"/>
        <w:rPr>
          <w:rFonts w:cs="Open Sans"/>
          <w:b/>
          <w:bCs/>
        </w:rPr>
      </w:pPr>
      <w:r w:rsidRPr="008C4B07">
        <w:rPr>
          <w:rFonts w:cs="Open Sans"/>
          <w:b/>
          <w:bCs/>
        </w:rPr>
        <w:t xml:space="preserve">develop information and resources provided by JobAccess that specifically address workplace adjustments for employees with chronic health conditions </w:t>
      </w:r>
    </w:p>
    <w:p w14:paraId="638E1E1C" w14:textId="4079B287" w:rsidR="008C4B07" w:rsidRPr="008C4B07" w:rsidRDefault="008C4B07" w:rsidP="008C4B07">
      <w:pPr>
        <w:numPr>
          <w:ilvl w:val="0"/>
          <w:numId w:val="25"/>
        </w:numPr>
        <w:tabs>
          <w:tab w:val="clear" w:pos="720"/>
          <w:tab w:val="num" w:pos="1080"/>
        </w:tabs>
        <w:spacing w:before="0" w:after="0"/>
        <w:ind w:left="1080"/>
        <w:rPr>
          <w:rFonts w:cs="Open Sans"/>
          <w:b/>
          <w:bCs/>
        </w:rPr>
      </w:pPr>
      <w:r w:rsidRPr="008C4B07">
        <w:rPr>
          <w:rFonts w:cs="Open Sans"/>
          <w:b/>
          <w:bCs/>
        </w:rPr>
        <w:t xml:space="preserve">review the current EAF guidelines to ensure they do not exclude people with chronic health conditions from accessing workplace adjustments. </w:t>
      </w:r>
    </w:p>
    <w:p w14:paraId="12C8BD29" w14:textId="340BC4AF" w:rsidR="00502911" w:rsidRPr="007B537E" w:rsidRDefault="00502911" w:rsidP="00502911">
      <w:pPr>
        <w:pStyle w:val="ListNumber"/>
        <w:rPr>
          <w:b/>
          <w:bCs/>
        </w:rPr>
      </w:pPr>
      <w:r w:rsidRPr="07069484">
        <w:rPr>
          <w:b/>
          <w:bCs/>
        </w:rPr>
        <w:t>Recommendation 1</w:t>
      </w:r>
      <w:r w:rsidR="002A683F" w:rsidRPr="07069484">
        <w:rPr>
          <w:b/>
          <w:bCs/>
        </w:rPr>
        <w:t>6</w:t>
      </w:r>
      <w:r w:rsidRPr="07069484">
        <w:rPr>
          <w:b/>
          <w:bCs/>
        </w:rPr>
        <w:t>: Th</w:t>
      </w:r>
      <w:r w:rsidR="00201D35">
        <w:rPr>
          <w:b/>
          <w:bCs/>
        </w:rPr>
        <w:t>e</w:t>
      </w:r>
      <w:r w:rsidRPr="07069484">
        <w:rPr>
          <w:b/>
          <w:bCs/>
        </w:rPr>
        <w:t xml:space="preserve"> Australian Government ensure NDIS participants have effective access to technical and vocational guidance, placement services and vocational and continuing training, consistent with Australia’s obligations under Article 27(1)(d) of the CRPD, to develop and support </w:t>
      </w:r>
      <w:r w:rsidRPr="007B537E">
        <w:rPr>
          <w:b/>
          <w:bCs/>
        </w:rPr>
        <w:t>an</w:t>
      </w:r>
      <w:r w:rsidRPr="07069484">
        <w:rPr>
          <w:b/>
          <w:bCs/>
        </w:rPr>
        <w:t xml:space="preserve"> ‘aspiration to work’. </w:t>
      </w:r>
    </w:p>
    <w:p w14:paraId="34D2580B" w14:textId="6973C2DF" w:rsidR="00502911" w:rsidRPr="007B537E" w:rsidRDefault="00502911" w:rsidP="00502911">
      <w:pPr>
        <w:pStyle w:val="ListNumber"/>
        <w:rPr>
          <w:b/>
          <w:bCs/>
        </w:rPr>
      </w:pPr>
      <w:r w:rsidRPr="07069484">
        <w:rPr>
          <w:b/>
          <w:bCs/>
        </w:rPr>
        <w:t>Recommendation 1</w:t>
      </w:r>
      <w:r w:rsidR="002A683F" w:rsidRPr="07069484">
        <w:rPr>
          <w:b/>
          <w:bCs/>
        </w:rPr>
        <w:t>7</w:t>
      </w:r>
      <w:r w:rsidRPr="07069484">
        <w:rPr>
          <w:b/>
          <w:bCs/>
        </w:rPr>
        <w:t>: The Australian Government assess the specific impact of NDIS reforms on participants’ employment participation, in consultation with people with disability and their carers, against the obligations contained in Article 27(1) of the CRPD.</w:t>
      </w:r>
    </w:p>
    <w:p w14:paraId="02EE5878" w14:textId="219AB937" w:rsidR="00502911" w:rsidRPr="00502911" w:rsidRDefault="00502911" w:rsidP="00502911">
      <w:pPr>
        <w:pStyle w:val="ListNumber"/>
        <w:rPr>
          <w:rFonts w:ascii="Times New Roman" w:eastAsiaTheme="minorEastAsia" w:hAnsi="Times New Roman"/>
        </w:rPr>
      </w:pPr>
      <w:r w:rsidRPr="07069484">
        <w:rPr>
          <w:rStyle w:val="eop"/>
          <w:rFonts w:eastAsiaTheme="majorEastAsia" w:cs="Open Sans"/>
          <w:b/>
          <w:bCs/>
        </w:rPr>
        <w:t>Recommendation</w:t>
      </w:r>
      <w:r w:rsidRPr="007B537E">
        <w:rPr>
          <w:rStyle w:val="eop"/>
          <w:rFonts w:eastAsiaTheme="majorEastAsia" w:cs="Open Sans"/>
          <w:b/>
          <w:bCs/>
        </w:rPr>
        <w:t xml:space="preserve"> </w:t>
      </w:r>
      <w:r w:rsidR="00282899">
        <w:rPr>
          <w:rStyle w:val="eop"/>
          <w:rFonts w:eastAsiaTheme="majorEastAsia" w:cs="Open Sans"/>
          <w:b/>
          <w:bCs/>
        </w:rPr>
        <w:t>18</w:t>
      </w:r>
      <w:r w:rsidRPr="07069484">
        <w:rPr>
          <w:rStyle w:val="eop"/>
          <w:rFonts w:eastAsiaTheme="majorEastAsia" w:cs="Open Sans"/>
          <w:b/>
          <w:bCs/>
        </w:rPr>
        <w:t xml:space="preserve">: The Australian Government continue to prioritise educational attainment in developing and reforming Australian disability policy, and ensure the </w:t>
      </w:r>
      <w:r w:rsidR="008002EB">
        <w:rPr>
          <w:rStyle w:val="eop"/>
          <w:rFonts w:eastAsiaTheme="majorEastAsia" w:cs="Open Sans"/>
          <w:b/>
          <w:bCs/>
        </w:rPr>
        <w:t>connection</w:t>
      </w:r>
      <w:r w:rsidRPr="07069484">
        <w:rPr>
          <w:rStyle w:val="eop"/>
          <w:rFonts w:eastAsiaTheme="majorEastAsia" w:cs="Open Sans"/>
          <w:b/>
          <w:bCs/>
        </w:rPr>
        <w:t xml:space="preserve"> between educational attainment and employment is a key factor in the development of disability policy.</w:t>
      </w:r>
    </w:p>
    <w:p w14:paraId="4183744E" w14:textId="3EB30B2C" w:rsidR="00502911" w:rsidRPr="007B537E" w:rsidRDefault="00502911" w:rsidP="00502911">
      <w:pPr>
        <w:pStyle w:val="ListNumber"/>
        <w:rPr>
          <w:b/>
          <w:bCs/>
        </w:rPr>
      </w:pPr>
      <w:r w:rsidRPr="07069484">
        <w:rPr>
          <w:b/>
          <w:bCs/>
        </w:rPr>
        <w:t xml:space="preserve">Recommendation </w:t>
      </w:r>
      <w:r w:rsidR="00282899">
        <w:rPr>
          <w:b/>
          <w:bCs/>
        </w:rPr>
        <w:t>19</w:t>
      </w:r>
      <w:r w:rsidRPr="07069484">
        <w:rPr>
          <w:b/>
          <w:bCs/>
        </w:rPr>
        <w:t xml:space="preserve">: The Australian Government collect and make publicly available national data regarding post-school employment </w:t>
      </w:r>
      <w:r w:rsidRPr="07069484">
        <w:rPr>
          <w:b/>
          <w:bCs/>
        </w:rPr>
        <w:lastRenderedPageBreak/>
        <w:t>outcomes for students with disability, and measure the effectiveness of its school-to-work transition programs against its obligations under international human rights law.</w:t>
      </w:r>
    </w:p>
    <w:p w14:paraId="2022E838" w14:textId="72F3BAB2" w:rsidR="00502911" w:rsidRPr="007B537E" w:rsidRDefault="00502911" w:rsidP="00502911">
      <w:pPr>
        <w:pStyle w:val="ListNumber"/>
        <w:rPr>
          <w:b/>
          <w:bCs/>
        </w:rPr>
      </w:pPr>
      <w:r w:rsidRPr="07069484">
        <w:rPr>
          <w:b/>
          <w:bCs/>
        </w:rPr>
        <w:t xml:space="preserve">Recommendation </w:t>
      </w:r>
      <w:r w:rsidRPr="007B537E">
        <w:rPr>
          <w:b/>
          <w:bCs/>
        </w:rPr>
        <w:t>2</w:t>
      </w:r>
      <w:r w:rsidR="00282899">
        <w:rPr>
          <w:b/>
          <w:bCs/>
        </w:rPr>
        <w:t>0</w:t>
      </w:r>
      <w:r w:rsidRPr="07069484">
        <w:rPr>
          <w:b/>
          <w:bCs/>
        </w:rPr>
        <w:t>: Th</w:t>
      </w:r>
      <w:r w:rsidR="004512AE">
        <w:rPr>
          <w:b/>
          <w:bCs/>
        </w:rPr>
        <w:t>e</w:t>
      </w:r>
      <w:r w:rsidRPr="07069484">
        <w:rPr>
          <w:b/>
          <w:bCs/>
        </w:rPr>
        <w:t xml:space="preserve"> Australian Government evaluate the effectiveness of the DES Eligible School Leavers program against its international human rights obligations, including whether the eligibility criteria of the DES Eligible School Leavers program should be expanded to allow more students with disability in their final years of high school to access employment transition support.</w:t>
      </w:r>
    </w:p>
    <w:p w14:paraId="57C6FAF3" w14:textId="7152F035" w:rsidR="00AE099E" w:rsidRPr="007B537E" w:rsidRDefault="00AE099E" w:rsidP="00AE099E">
      <w:pPr>
        <w:pStyle w:val="ListNumber"/>
        <w:rPr>
          <w:b/>
          <w:bCs/>
        </w:rPr>
      </w:pPr>
      <w:r w:rsidRPr="07069484">
        <w:rPr>
          <w:b/>
          <w:bCs/>
        </w:rPr>
        <w:t xml:space="preserve">Recommendation </w:t>
      </w:r>
      <w:r w:rsidRPr="007B537E">
        <w:rPr>
          <w:b/>
          <w:bCs/>
        </w:rPr>
        <w:t>2</w:t>
      </w:r>
      <w:r w:rsidR="00282899">
        <w:rPr>
          <w:b/>
          <w:bCs/>
        </w:rPr>
        <w:t>1</w:t>
      </w:r>
      <w:r w:rsidRPr="07069484">
        <w:rPr>
          <w:b/>
          <w:bCs/>
        </w:rPr>
        <w:t>: Th</w:t>
      </w:r>
      <w:r w:rsidR="004512AE">
        <w:rPr>
          <w:b/>
          <w:bCs/>
        </w:rPr>
        <w:t>e</w:t>
      </w:r>
      <w:r w:rsidRPr="07069484">
        <w:rPr>
          <w:b/>
          <w:bCs/>
        </w:rPr>
        <w:t xml:space="preserve"> Australian Government allocate funding to enable a collaboration between </w:t>
      </w:r>
      <w:r w:rsidR="00C07FED">
        <w:rPr>
          <w:b/>
          <w:bCs/>
        </w:rPr>
        <w:t>s</w:t>
      </w:r>
      <w:r w:rsidRPr="07069484">
        <w:rPr>
          <w:b/>
          <w:bCs/>
        </w:rPr>
        <w:t xml:space="preserve">tate and Commonwealth education authorities and relevant agencies to develop guidance materials for teaching staff about supporting students with disability to transition from school to work. </w:t>
      </w:r>
    </w:p>
    <w:p w14:paraId="69173C0D" w14:textId="2D2855B8" w:rsidR="00D677A1" w:rsidRPr="00B44911" w:rsidRDefault="00AE099E" w:rsidP="00D677A1">
      <w:pPr>
        <w:pStyle w:val="ListNumber"/>
        <w:rPr>
          <w:rFonts w:eastAsia="Open Sans" w:cs="Open Sans"/>
          <w:b/>
          <w:bCs/>
        </w:rPr>
      </w:pPr>
      <w:r w:rsidRPr="07069484">
        <w:rPr>
          <w:b/>
          <w:bCs/>
        </w:rPr>
        <w:t xml:space="preserve">Recommendation </w:t>
      </w:r>
      <w:r w:rsidRPr="007B537E">
        <w:rPr>
          <w:b/>
          <w:bCs/>
        </w:rPr>
        <w:t>2</w:t>
      </w:r>
      <w:r w:rsidR="00282899">
        <w:rPr>
          <w:b/>
          <w:bCs/>
        </w:rPr>
        <w:t>2</w:t>
      </w:r>
      <w:r w:rsidRPr="07069484">
        <w:rPr>
          <w:b/>
          <w:bCs/>
        </w:rPr>
        <w:t>: That the NDIS Participant Employment Strategy 2019</w:t>
      </w:r>
      <w:r w:rsidR="5B7CE40B" w:rsidRPr="07069484">
        <w:rPr>
          <w:rFonts w:ascii="Calibri" w:eastAsia="Calibri" w:hAnsi="Calibri" w:cs="Calibri"/>
          <w:sz w:val="22"/>
          <w:szCs w:val="22"/>
        </w:rPr>
        <w:t>–</w:t>
      </w:r>
      <w:r w:rsidRPr="07069484">
        <w:rPr>
          <w:b/>
          <w:bCs/>
        </w:rPr>
        <w:t>2022 be amended to include clear goals for transition to work supports for young people with disability in 2021 and 2022.</w:t>
      </w:r>
    </w:p>
    <w:p w14:paraId="3FD61667" w14:textId="6D94AD05" w:rsidR="00EB1F86" w:rsidRDefault="00246EC4" w:rsidP="00EB1F86">
      <w:pPr>
        <w:pStyle w:val="Heading1"/>
      </w:pPr>
      <w:bookmarkStart w:id="13" w:name="_Toc50730892"/>
      <w:bookmarkStart w:id="14" w:name="_Toc50730893"/>
      <w:bookmarkStart w:id="15" w:name="_Toc50730894"/>
      <w:bookmarkStart w:id="16" w:name="_Toc50730895"/>
      <w:bookmarkStart w:id="17" w:name="_Toc50730896"/>
      <w:bookmarkStart w:id="18" w:name="_Toc50730897"/>
      <w:bookmarkStart w:id="19" w:name="_Toc50730898"/>
      <w:bookmarkStart w:id="20" w:name="_Toc50730899"/>
      <w:bookmarkStart w:id="21" w:name="_Toc50730900"/>
      <w:bookmarkStart w:id="22" w:name="_Toc50730901"/>
      <w:bookmarkStart w:id="23" w:name="_Toc50730902"/>
      <w:bookmarkStart w:id="24" w:name="_Toc50730903"/>
      <w:bookmarkStart w:id="25" w:name="_Toc50619678"/>
      <w:bookmarkStart w:id="26" w:name="_Toc50730904"/>
      <w:bookmarkStart w:id="27" w:name="_Toc50619679"/>
      <w:bookmarkStart w:id="28" w:name="_Toc50730905"/>
      <w:bookmarkStart w:id="29" w:name="_Toc50619680"/>
      <w:bookmarkStart w:id="30" w:name="_Toc50730906"/>
      <w:bookmarkStart w:id="31" w:name="_Toc50619681"/>
      <w:bookmarkStart w:id="32" w:name="_Toc50730907"/>
      <w:bookmarkStart w:id="33" w:name="_Toc51834265"/>
      <w:bookmarkStart w:id="34" w:name="_Toc52589410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3F4CE1">
        <w:t>International</w:t>
      </w:r>
      <w:r w:rsidR="00573BA7">
        <w:t xml:space="preserve"> </w:t>
      </w:r>
      <w:r w:rsidR="00DF23A7">
        <w:t>and</w:t>
      </w:r>
      <w:r w:rsidR="00573BA7">
        <w:t xml:space="preserve"> </w:t>
      </w:r>
      <w:r w:rsidR="00E17BA8">
        <w:t>domestic</w:t>
      </w:r>
      <w:r w:rsidR="00573BA7">
        <w:t xml:space="preserve"> </w:t>
      </w:r>
      <w:r w:rsidRPr="003F4CE1">
        <w:t>human</w:t>
      </w:r>
      <w:r w:rsidR="00573BA7">
        <w:t xml:space="preserve"> </w:t>
      </w:r>
      <w:r w:rsidRPr="003F4CE1">
        <w:t>rights</w:t>
      </w:r>
      <w:r w:rsidR="00573BA7">
        <w:t xml:space="preserve"> </w:t>
      </w:r>
      <w:r w:rsidR="000B27C9">
        <w:t>framework</w:t>
      </w:r>
      <w:bookmarkEnd w:id="33"/>
    </w:p>
    <w:p w14:paraId="7C9F61DD" w14:textId="647D7E50" w:rsidR="007B6600" w:rsidRPr="007B6600" w:rsidRDefault="007B6600" w:rsidP="007B6600">
      <w:pPr>
        <w:pStyle w:val="ListNumber"/>
      </w:pPr>
      <w:r>
        <w:t xml:space="preserve">This section outlines the international and domestic human rights instruments relevant to people with disability and employment. </w:t>
      </w:r>
    </w:p>
    <w:p w14:paraId="7C26624E" w14:textId="4E3126EF" w:rsidR="00FF540D" w:rsidRPr="000D326D" w:rsidRDefault="00FF540D" w:rsidP="00FF540D">
      <w:pPr>
        <w:pStyle w:val="Heading2"/>
      </w:pPr>
      <w:bookmarkStart w:id="35" w:name="_Toc51834266"/>
      <w:r>
        <w:t>Convention</w:t>
      </w:r>
      <w:r w:rsidR="00573BA7">
        <w:t xml:space="preserve"> </w:t>
      </w:r>
      <w:r>
        <w:t>of</w:t>
      </w:r>
      <w:r w:rsidR="00573BA7">
        <w:t xml:space="preserve"> </w:t>
      </w:r>
      <w:r>
        <w:t>the</w:t>
      </w:r>
      <w:r w:rsidR="00573BA7">
        <w:t xml:space="preserve"> </w:t>
      </w:r>
      <w:r>
        <w:t>Rights</w:t>
      </w:r>
      <w:r w:rsidR="00573BA7">
        <w:t xml:space="preserve"> </w:t>
      </w:r>
      <w:r>
        <w:t>of</w:t>
      </w:r>
      <w:r w:rsidR="00573BA7">
        <w:t xml:space="preserve"> </w:t>
      </w:r>
      <w:r w:rsidR="007B6600">
        <w:t>Persons</w:t>
      </w:r>
      <w:r w:rsidR="00573BA7">
        <w:t xml:space="preserve"> </w:t>
      </w:r>
      <w:r>
        <w:t>with</w:t>
      </w:r>
      <w:r w:rsidR="00573BA7">
        <w:t xml:space="preserve"> </w:t>
      </w:r>
      <w:r>
        <w:t>Disabilities</w:t>
      </w:r>
      <w:bookmarkEnd w:id="35"/>
    </w:p>
    <w:p w14:paraId="162CCF5E" w14:textId="77777777" w:rsidR="00BB7D79" w:rsidRDefault="00BB7D79" w:rsidP="00BB7D79">
      <w:pPr>
        <w:pStyle w:val="ListNumber"/>
      </w:pPr>
      <w:r>
        <w:t>Australia</w:t>
      </w:r>
      <w:r w:rsidR="00573BA7">
        <w:t xml:space="preserve"> </w:t>
      </w:r>
      <w:r>
        <w:t>has</w:t>
      </w:r>
      <w:r w:rsidR="00573BA7">
        <w:t xml:space="preserve"> </w:t>
      </w:r>
      <w:r>
        <w:t>ratified,</w:t>
      </w:r>
      <w:r w:rsidR="00573BA7">
        <w:t xml:space="preserve"> </w:t>
      </w:r>
      <w:r>
        <w:t>and</w:t>
      </w:r>
      <w:r w:rsidR="00573BA7">
        <w:t xml:space="preserve"> </w:t>
      </w:r>
      <w:r>
        <w:t>is</w:t>
      </w:r>
      <w:r w:rsidR="00573BA7">
        <w:t xml:space="preserve"> </w:t>
      </w:r>
      <w:r>
        <w:t>therefore</w:t>
      </w:r>
      <w:r w:rsidR="00573BA7">
        <w:t xml:space="preserve"> </w:t>
      </w:r>
      <w:r>
        <w:t>legally</w:t>
      </w:r>
      <w:r w:rsidR="00573BA7">
        <w:t xml:space="preserve"> </w:t>
      </w:r>
      <w:r>
        <w:t>bound</w:t>
      </w:r>
      <w:r w:rsidR="00573BA7">
        <w:t xml:space="preserve"> </w:t>
      </w:r>
      <w:r>
        <w:t>by,</w:t>
      </w:r>
      <w:r w:rsidR="00573BA7">
        <w:t xml:space="preserve"> </w:t>
      </w:r>
      <w:r>
        <w:t>a</w:t>
      </w:r>
      <w:r w:rsidR="00573BA7">
        <w:t xml:space="preserve"> </w:t>
      </w:r>
      <w:r>
        <w:t>range</w:t>
      </w:r>
      <w:r w:rsidR="00573BA7">
        <w:t xml:space="preserve"> </w:t>
      </w:r>
      <w:r>
        <w:t>of</w:t>
      </w:r>
      <w:r w:rsidR="00573BA7">
        <w:t xml:space="preserve"> </w:t>
      </w:r>
      <w:r>
        <w:t>international</w:t>
      </w:r>
      <w:r w:rsidR="00573BA7">
        <w:t xml:space="preserve"> </w:t>
      </w:r>
      <w:r>
        <w:t>instruments</w:t>
      </w:r>
      <w:r w:rsidR="00573BA7">
        <w:t xml:space="preserve"> </w:t>
      </w:r>
      <w:r>
        <w:t>that</w:t>
      </w:r>
      <w:r w:rsidR="00573BA7">
        <w:t xml:space="preserve"> </w:t>
      </w:r>
      <w:r>
        <w:t>recognise</w:t>
      </w:r>
      <w:r w:rsidR="00573BA7">
        <w:t xml:space="preserve"> </w:t>
      </w:r>
      <w:r>
        <w:t>the</w:t>
      </w:r>
      <w:r w:rsidR="00573BA7">
        <w:t xml:space="preserve"> </w:t>
      </w:r>
      <w:r>
        <w:t>human</w:t>
      </w:r>
      <w:r w:rsidR="00573BA7">
        <w:t xml:space="preserve"> </w:t>
      </w:r>
      <w:r>
        <w:t>rights</w:t>
      </w:r>
      <w:r w:rsidR="00573BA7">
        <w:t xml:space="preserve"> </w:t>
      </w:r>
      <w:r>
        <w:t>of</w:t>
      </w:r>
      <w:r w:rsidR="00573BA7">
        <w:t xml:space="preserve"> </w:t>
      </w:r>
      <w:r>
        <w:t>people</w:t>
      </w:r>
      <w:r w:rsidR="00573BA7">
        <w:t xml:space="preserve"> </w:t>
      </w:r>
      <w:r>
        <w:t>with</w:t>
      </w:r>
      <w:r w:rsidR="00573BA7">
        <w:t xml:space="preserve"> </w:t>
      </w:r>
      <w:r>
        <w:t>disability</w:t>
      </w:r>
      <w:r w:rsidR="00573BA7">
        <w:t xml:space="preserve"> </w:t>
      </w:r>
      <w:r>
        <w:t>in</w:t>
      </w:r>
      <w:r w:rsidR="00573BA7">
        <w:t xml:space="preserve"> </w:t>
      </w:r>
      <w:r>
        <w:t>the</w:t>
      </w:r>
      <w:r w:rsidR="00573BA7">
        <w:t xml:space="preserve"> </w:t>
      </w:r>
      <w:r>
        <w:t>employment</w:t>
      </w:r>
      <w:r w:rsidR="00573BA7">
        <w:t xml:space="preserve"> </w:t>
      </w:r>
      <w:r>
        <w:t>context.</w:t>
      </w:r>
      <w:r w:rsidR="00573BA7">
        <w:t xml:space="preserve">  </w:t>
      </w:r>
    </w:p>
    <w:p w14:paraId="67964E5C" w14:textId="7BBE7ABF" w:rsidR="00FF540D" w:rsidRDefault="00FF540D" w:rsidP="00FF540D">
      <w:pPr>
        <w:pStyle w:val="ListNumber"/>
      </w:pPr>
      <w:r>
        <w:t>Of</w:t>
      </w:r>
      <w:r w:rsidR="00573BA7">
        <w:t xml:space="preserve"> </w:t>
      </w:r>
      <w:r>
        <w:t>particular</w:t>
      </w:r>
      <w:r w:rsidR="00573BA7">
        <w:t xml:space="preserve"> </w:t>
      </w:r>
      <w:r>
        <w:t>relevance</w:t>
      </w:r>
      <w:r w:rsidR="00573BA7">
        <w:t xml:space="preserve"> </w:t>
      </w:r>
      <w:r>
        <w:t>is</w:t>
      </w:r>
      <w:r w:rsidR="00573BA7">
        <w:t xml:space="preserve"> </w:t>
      </w:r>
      <w:r>
        <w:t>Australia’s</w:t>
      </w:r>
      <w:r w:rsidR="00573BA7">
        <w:t xml:space="preserve"> </w:t>
      </w:r>
      <w:r>
        <w:t>ratification</w:t>
      </w:r>
      <w:r w:rsidR="00573BA7">
        <w:t xml:space="preserve"> </w:t>
      </w:r>
      <w:r>
        <w:t>of</w:t>
      </w:r>
      <w:r w:rsidR="00573BA7">
        <w:t xml:space="preserve"> </w:t>
      </w:r>
      <w:r>
        <w:t>the</w:t>
      </w:r>
      <w:r w:rsidR="00573BA7">
        <w:t xml:space="preserve"> </w:t>
      </w:r>
      <w:r w:rsidRPr="07069484">
        <w:rPr>
          <w:i/>
          <w:iCs/>
        </w:rPr>
        <w:t>Convention</w:t>
      </w:r>
      <w:r w:rsidR="00573BA7" w:rsidRPr="07069484">
        <w:rPr>
          <w:i/>
          <w:iCs/>
        </w:rPr>
        <w:t xml:space="preserve"> </w:t>
      </w:r>
      <w:r w:rsidRPr="07069484">
        <w:rPr>
          <w:i/>
          <w:iCs/>
        </w:rPr>
        <w:t>on</w:t>
      </w:r>
      <w:r w:rsidR="00573BA7" w:rsidRPr="07069484">
        <w:rPr>
          <w:i/>
          <w:iCs/>
        </w:rPr>
        <w:t xml:space="preserve"> </w:t>
      </w:r>
      <w:r w:rsidRPr="07069484">
        <w:rPr>
          <w:i/>
          <w:iCs/>
        </w:rPr>
        <w:t>the</w:t>
      </w:r>
      <w:r w:rsidR="00573BA7" w:rsidRPr="07069484">
        <w:rPr>
          <w:i/>
          <w:iCs/>
        </w:rPr>
        <w:t xml:space="preserve"> </w:t>
      </w:r>
      <w:r w:rsidRPr="07069484">
        <w:rPr>
          <w:i/>
          <w:iCs/>
        </w:rPr>
        <w:t>Rights</w:t>
      </w:r>
      <w:r w:rsidR="00573BA7" w:rsidRPr="07069484">
        <w:rPr>
          <w:i/>
          <w:iCs/>
        </w:rPr>
        <w:t xml:space="preserve"> </w:t>
      </w:r>
      <w:r w:rsidRPr="07069484">
        <w:rPr>
          <w:i/>
          <w:iCs/>
        </w:rPr>
        <w:t>of</w:t>
      </w:r>
      <w:r w:rsidR="00573BA7" w:rsidRPr="07069484">
        <w:rPr>
          <w:i/>
          <w:iCs/>
        </w:rPr>
        <w:t xml:space="preserve"> </w:t>
      </w:r>
      <w:r w:rsidRPr="07069484">
        <w:rPr>
          <w:i/>
          <w:iCs/>
        </w:rPr>
        <w:t>Persons</w:t>
      </w:r>
      <w:r w:rsidR="00573BA7" w:rsidRPr="07069484">
        <w:rPr>
          <w:i/>
          <w:iCs/>
        </w:rPr>
        <w:t xml:space="preserve"> </w:t>
      </w:r>
      <w:r w:rsidRPr="07069484">
        <w:rPr>
          <w:i/>
          <w:iCs/>
        </w:rPr>
        <w:t>with</w:t>
      </w:r>
      <w:r w:rsidR="00573BA7" w:rsidRPr="07069484">
        <w:rPr>
          <w:i/>
          <w:iCs/>
        </w:rPr>
        <w:t xml:space="preserve"> </w:t>
      </w:r>
      <w:r w:rsidRPr="07069484">
        <w:rPr>
          <w:i/>
          <w:iCs/>
        </w:rPr>
        <w:t>Disabilities</w:t>
      </w:r>
      <w:r w:rsidR="00573BA7">
        <w:t xml:space="preserve"> </w:t>
      </w:r>
      <w:r w:rsidRPr="00DB6D61">
        <w:t>(CRPD)</w:t>
      </w:r>
      <w:r w:rsidR="00573BA7">
        <w:t xml:space="preserve"> </w:t>
      </w:r>
      <w:r>
        <w:t>in</w:t>
      </w:r>
      <w:r w:rsidR="00573BA7">
        <w:t xml:space="preserve"> </w:t>
      </w:r>
      <w:r>
        <w:t>July</w:t>
      </w:r>
      <w:r w:rsidR="00573BA7">
        <w:t xml:space="preserve"> </w:t>
      </w:r>
      <w:r>
        <w:t>2008</w:t>
      </w:r>
      <w:r w:rsidR="00D305CC">
        <w:t>,</w:t>
      </w:r>
      <w:r w:rsidRPr="00DB6D61">
        <w:rPr>
          <w:sz w:val="20"/>
          <w:szCs w:val="20"/>
          <w:vertAlign w:val="superscript"/>
        </w:rPr>
        <w:endnoteReference w:id="22"/>
      </w:r>
      <w:r w:rsidR="00D305CC">
        <w:t xml:space="preserve"> and </w:t>
      </w:r>
      <w:r w:rsidR="00517F76">
        <w:t xml:space="preserve">the </w:t>
      </w:r>
      <w:r w:rsidR="003F1AAF">
        <w:t>Optional Protocol to the CRPD in 2009.</w:t>
      </w:r>
      <w:r w:rsidR="00B634C0">
        <w:rPr>
          <w:rStyle w:val="EndnoteReference"/>
        </w:rPr>
        <w:endnoteReference w:id="23"/>
      </w:r>
      <w:r w:rsidR="00573BA7">
        <w:t xml:space="preserve">  </w:t>
      </w:r>
      <w:r>
        <w:t>The</w:t>
      </w:r>
      <w:r w:rsidR="00573BA7">
        <w:t xml:space="preserve"> </w:t>
      </w:r>
      <w:r>
        <w:t>CRPD</w:t>
      </w:r>
      <w:r w:rsidR="00573BA7">
        <w:t xml:space="preserve"> </w:t>
      </w:r>
      <w:r>
        <w:t>is</w:t>
      </w:r>
      <w:r w:rsidR="00573BA7">
        <w:t xml:space="preserve"> </w:t>
      </w:r>
      <w:r>
        <w:t>the</w:t>
      </w:r>
      <w:r w:rsidR="00573BA7">
        <w:t xml:space="preserve"> </w:t>
      </w:r>
      <w:r>
        <w:t>principal</w:t>
      </w:r>
      <w:r w:rsidR="00573BA7">
        <w:t xml:space="preserve"> </w:t>
      </w:r>
      <w:r>
        <w:t>international</w:t>
      </w:r>
      <w:r w:rsidR="00573BA7">
        <w:t xml:space="preserve"> </w:t>
      </w:r>
      <w:r>
        <w:t>instrument</w:t>
      </w:r>
      <w:r w:rsidR="00573BA7">
        <w:t xml:space="preserve"> </w:t>
      </w:r>
      <w:r>
        <w:t>recognising</w:t>
      </w:r>
      <w:r w:rsidR="00573BA7">
        <w:t xml:space="preserve"> </w:t>
      </w:r>
      <w:r>
        <w:t>the</w:t>
      </w:r>
      <w:r w:rsidR="00573BA7">
        <w:t xml:space="preserve"> </w:t>
      </w:r>
      <w:r>
        <w:t>human</w:t>
      </w:r>
      <w:r w:rsidR="00573BA7">
        <w:t xml:space="preserve"> </w:t>
      </w:r>
      <w:r>
        <w:t>rights</w:t>
      </w:r>
      <w:r w:rsidR="00573BA7">
        <w:t xml:space="preserve"> </w:t>
      </w:r>
      <w:r>
        <w:t>of</w:t>
      </w:r>
      <w:r w:rsidR="00573BA7">
        <w:t xml:space="preserve"> </w:t>
      </w:r>
      <w:r>
        <w:t>people</w:t>
      </w:r>
      <w:r w:rsidR="00573BA7">
        <w:t xml:space="preserve"> </w:t>
      </w:r>
      <w:r>
        <w:t>with</w:t>
      </w:r>
      <w:r w:rsidR="00573BA7">
        <w:t xml:space="preserve"> </w:t>
      </w:r>
      <w:r>
        <w:t>disability.</w:t>
      </w:r>
      <w:r w:rsidR="00573BA7">
        <w:t xml:space="preserve">  </w:t>
      </w:r>
    </w:p>
    <w:p w14:paraId="0C48FB5D" w14:textId="1F5E2358" w:rsidR="00FF540D" w:rsidRDefault="00FF540D" w:rsidP="00FF540D">
      <w:pPr>
        <w:pStyle w:val="ListNumber"/>
      </w:pPr>
      <w:r>
        <w:t>The</w:t>
      </w:r>
      <w:r w:rsidR="00573BA7">
        <w:t xml:space="preserve"> </w:t>
      </w:r>
      <w:r>
        <w:t>implementation</w:t>
      </w:r>
      <w:r w:rsidR="00573BA7">
        <w:t xml:space="preserve"> </w:t>
      </w:r>
      <w:r>
        <w:t>of</w:t>
      </w:r>
      <w:r w:rsidR="00573BA7">
        <w:t xml:space="preserve"> </w:t>
      </w:r>
      <w:r>
        <w:t>the</w:t>
      </w:r>
      <w:r w:rsidR="00573BA7">
        <w:t xml:space="preserve"> </w:t>
      </w:r>
      <w:r>
        <w:t>CRPD</w:t>
      </w:r>
      <w:r w:rsidR="00573BA7">
        <w:t xml:space="preserve"> </w:t>
      </w:r>
      <w:r>
        <w:t>is</w:t>
      </w:r>
      <w:r w:rsidR="00573BA7">
        <w:t xml:space="preserve"> </w:t>
      </w:r>
      <w:r>
        <w:t>monitored</w:t>
      </w:r>
      <w:r w:rsidR="00573BA7">
        <w:t xml:space="preserve"> </w:t>
      </w:r>
      <w:r>
        <w:t>by</w:t>
      </w:r>
      <w:r w:rsidR="00573BA7">
        <w:t xml:space="preserve"> </w:t>
      </w:r>
      <w:r>
        <w:t>the</w:t>
      </w:r>
      <w:r w:rsidR="00573BA7">
        <w:t xml:space="preserve"> </w:t>
      </w:r>
      <w:r>
        <w:t>Committee</w:t>
      </w:r>
      <w:r w:rsidR="00573BA7">
        <w:t xml:space="preserve"> </w:t>
      </w:r>
      <w:r w:rsidR="00B211DF">
        <w:t>on</w:t>
      </w:r>
      <w:r w:rsidR="00573BA7">
        <w:t xml:space="preserve"> </w:t>
      </w:r>
      <w:r w:rsidR="000978D6">
        <w:t>t</w:t>
      </w:r>
      <w:r w:rsidR="00DD218D">
        <w:t>he</w:t>
      </w:r>
      <w:r w:rsidR="00573BA7">
        <w:t xml:space="preserve"> </w:t>
      </w:r>
      <w:r w:rsidR="00DD218D">
        <w:t>Rights</w:t>
      </w:r>
      <w:r w:rsidR="00573BA7">
        <w:t xml:space="preserve"> </w:t>
      </w:r>
      <w:r w:rsidR="00DD218D">
        <w:t>of</w:t>
      </w:r>
      <w:r w:rsidR="00573BA7">
        <w:t xml:space="preserve"> </w:t>
      </w:r>
      <w:r w:rsidR="00DD218D">
        <w:t>Persons</w:t>
      </w:r>
      <w:r w:rsidR="00573BA7">
        <w:t xml:space="preserve"> </w:t>
      </w:r>
      <w:r w:rsidR="00DD218D">
        <w:t>with</w:t>
      </w:r>
      <w:r w:rsidR="00573BA7">
        <w:t xml:space="preserve"> </w:t>
      </w:r>
      <w:r w:rsidR="00DD218D">
        <w:t>Disabiliti</w:t>
      </w:r>
      <w:r w:rsidR="00E248B8">
        <w:t>es</w:t>
      </w:r>
      <w:r w:rsidR="00573BA7">
        <w:t xml:space="preserve"> </w:t>
      </w:r>
      <w:r w:rsidR="00E248B8">
        <w:t>(</w:t>
      </w:r>
      <w:r>
        <w:t>CRPD</w:t>
      </w:r>
      <w:r w:rsidR="00573BA7">
        <w:t xml:space="preserve"> </w:t>
      </w:r>
      <w:r>
        <w:t>Committee</w:t>
      </w:r>
      <w:r w:rsidR="00E248B8">
        <w:t>)</w:t>
      </w:r>
      <w:r>
        <w:t>.</w:t>
      </w:r>
      <w:r w:rsidR="00573BA7">
        <w:t xml:space="preserve"> </w:t>
      </w:r>
      <w:r>
        <w:t>The</w:t>
      </w:r>
      <w:r w:rsidR="00573BA7">
        <w:t xml:space="preserve"> </w:t>
      </w:r>
      <w:r>
        <w:t>CRPD</w:t>
      </w:r>
      <w:r w:rsidR="00573BA7">
        <w:t xml:space="preserve"> </w:t>
      </w:r>
      <w:r>
        <w:t>Committee</w:t>
      </w:r>
      <w:r w:rsidR="00573BA7">
        <w:t xml:space="preserve"> </w:t>
      </w:r>
      <w:r>
        <w:t>consists</w:t>
      </w:r>
      <w:r w:rsidR="00573BA7">
        <w:t xml:space="preserve"> </w:t>
      </w:r>
      <w:r>
        <w:t>of</w:t>
      </w:r>
      <w:r w:rsidR="00573BA7">
        <w:t xml:space="preserve"> </w:t>
      </w:r>
      <w:r w:rsidR="3E0456FC">
        <w:t>18</w:t>
      </w:r>
      <w:r w:rsidR="00573BA7">
        <w:t xml:space="preserve"> </w:t>
      </w:r>
      <w:r>
        <w:t>‘experts’</w:t>
      </w:r>
      <w:r w:rsidR="00573BA7">
        <w:t xml:space="preserve"> </w:t>
      </w:r>
      <w:r>
        <w:t>of</w:t>
      </w:r>
      <w:r w:rsidR="00573BA7">
        <w:t xml:space="preserve"> </w:t>
      </w:r>
      <w:r>
        <w:t>‘high</w:t>
      </w:r>
      <w:r w:rsidR="00573BA7">
        <w:t xml:space="preserve"> </w:t>
      </w:r>
      <w:r>
        <w:t>moral</w:t>
      </w:r>
      <w:r w:rsidR="00573BA7">
        <w:t xml:space="preserve"> </w:t>
      </w:r>
      <w:r>
        <w:t>standing</w:t>
      </w:r>
      <w:r w:rsidR="00573BA7">
        <w:t xml:space="preserve"> </w:t>
      </w:r>
      <w:r>
        <w:t>and</w:t>
      </w:r>
      <w:r w:rsidR="00573BA7">
        <w:t xml:space="preserve"> </w:t>
      </w:r>
      <w:r>
        <w:t>recognized</w:t>
      </w:r>
      <w:r w:rsidR="00573BA7">
        <w:t xml:space="preserve"> </w:t>
      </w:r>
      <w:r>
        <w:t>competence</w:t>
      </w:r>
      <w:r w:rsidR="00573BA7">
        <w:t xml:space="preserve"> </w:t>
      </w:r>
      <w:r>
        <w:t>and</w:t>
      </w:r>
      <w:r w:rsidR="00573BA7">
        <w:t xml:space="preserve"> </w:t>
      </w:r>
      <w:r>
        <w:t>experience</w:t>
      </w:r>
      <w:r w:rsidR="00573BA7">
        <w:t xml:space="preserve"> </w:t>
      </w:r>
      <w:r>
        <w:t>in</w:t>
      </w:r>
      <w:r w:rsidR="00573BA7">
        <w:t xml:space="preserve"> </w:t>
      </w:r>
      <w:r>
        <w:t>the</w:t>
      </w:r>
      <w:r w:rsidR="00573BA7">
        <w:t xml:space="preserve"> </w:t>
      </w:r>
      <w:r>
        <w:t>field</w:t>
      </w:r>
      <w:r w:rsidR="00573BA7">
        <w:t xml:space="preserve"> </w:t>
      </w:r>
      <w:r>
        <w:t>covered</w:t>
      </w:r>
      <w:r w:rsidR="00573BA7">
        <w:t xml:space="preserve"> </w:t>
      </w:r>
      <w:r>
        <w:t>by</w:t>
      </w:r>
      <w:r w:rsidR="00573BA7">
        <w:t xml:space="preserve"> </w:t>
      </w:r>
      <w:r>
        <w:t>the</w:t>
      </w:r>
      <w:r w:rsidR="00573BA7">
        <w:t xml:space="preserve"> </w:t>
      </w:r>
      <w:r>
        <w:t>[CRPD]’.</w:t>
      </w:r>
      <w:r>
        <w:rPr>
          <w:rStyle w:val="EndnoteReference"/>
        </w:rPr>
        <w:endnoteReference w:id="24"/>
      </w:r>
      <w:r w:rsidR="00573BA7">
        <w:t xml:space="preserve">  </w:t>
      </w:r>
      <w:r>
        <w:t>The</w:t>
      </w:r>
      <w:r w:rsidR="00573BA7">
        <w:t xml:space="preserve"> </w:t>
      </w:r>
      <w:r>
        <w:t>implementation</w:t>
      </w:r>
      <w:r w:rsidR="00573BA7">
        <w:t xml:space="preserve"> </w:t>
      </w:r>
      <w:r>
        <w:t>of</w:t>
      </w:r>
      <w:r w:rsidR="00573BA7">
        <w:t xml:space="preserve"> </w:t>
      </w:r>
      <w:r>
        <w:lastRenderedPageBreak/>
        <w:t>the</w:t>
      </w:r>
      <w:r w:rsidR="00573BA7">
        <w:t xml:space="preserve"> </w:t>
      </w:r>
      <w:r>
        <w:t>other</w:t>
      </w:r>
      <w:r w:rsidR="00573BA7">
        <w:t xml:space="preserve"> </w:t>
      </w:r>
      <w:r w:rsidR="00B13F61">
        <w:t>human</w:t>
      </w:r>
      <w:r w:rsidR="00573BA7">
        <w:t xml:space="preserve"> </w:t>
      </w:r>
      <w:r w:rsidR="00B13F61">
        <w:t>rights</w:t>
      </w:r>
      <w:r w:rsidR="00573BA7">
        <w:t xml:space="preserve"> </w:t>
      </w:r>
      <w:r>
        <w:t>treaties</w:t>
      </w:r>
      <w:r w:rsidR="00573BA7">
        <w:t xml:space="preserve"> </w:t>
      </w:r>
      <w:r>
        <w:t>identified</w:t>
      </w:r>
      <w:r w:rsidR="00573BA7">
        <w:t xml:space="preserve"> </w:t>
      </w:r>
      <w:r w:rsidR="00B13F61">
        <w:t>below</w:t>
      </w:r>
      <w:r w:rsidR="00573BA7">
        <w:t xml:space="preserve"> </w:t>
      </w:r>
      <w:r w:rsidR="03E1F789">
        <w:t>is</w:t>
      </w:r>
      <w:r w:rsidR="00573BA7">
        <w:t xml:space="preserve"> </w:t>
      </w:r>
      <w:r>
        <w:t>similarly</w:t>
      </w:r>
      <w:r w:rsidR="00573BA7">
        <w:t xml:space="preserve"> </w:t>
      </w:r>
      <w:r>
        <w:t>monitored</w:t>
      </w:r>
      <w:r w:rsidR="00573BA7">
        <w:t xml:space="preserve"> </w:t>
      </w:r>
      <w:r>
        <w:t>by</w:t>
      </w:r>
      <w:r w:rsidR="00573BA7">
        <w:t xml:space="preserve"> </w:t>
      </w:r>
      <w:r>
        <w:t>their</w:t>
      </w:r>
      <w:r w:rsidR="00573BA7">
        <w:t xml:space="preserve"> </w:t>
      </w:r>
      <w:r>
        <w:t>respective</w:t>
      </w:r>
      <w:r w:rsidR="00573BA7">
        <w:t xml:space="preserve"> </w:t>
      </w:r>
      <w:r>
        <w:t>treaty</w:t>
      </w:r>
      <w:r w:rsidR="00573BA7">
        <w:t xml:space="preserve"> </w:t>
      </w:r>
      <w:r>
        <w:t>bodies.</w:t>
      </w:r>
      <w:r w:rsidR="00573BA7">
        <w:t xml:space="preserve">  </w:t>
      </w:r>
      <w:r w:rsidR="009E2DE0">
        <w:t xml:space="preserve">For countries like Australia that have </w:t>
      </w:r>
      <w:r w:rsidR="00D5200F">
        <w:t xml:space="preserve">ratified relevant Optional Protocols to these treaties, the treaty bodies </w:t>
      </w:r>
      <w:r w:rsidR="005124AE">
        <w:t xml:space="preserve">can </w:t>
      </w:r>
      <w:r w:rsidR="00FF3E98">
        <w:t>receive complaints from individuals about breaches of human rights obligations and make authoritative determinations</w:t>
      </w:r>
      <w:r w:rsidR="00D81254">
        <w:t>.</w:t>
      </w:r>
      <w:r w:rsidR="00D81254">
        <w:rPr>
          <w:rStyle w:val="EndnoteReference"/>
        </w:rPr>
        <w:endnoteReference w:id="25"/>
      </w:r>
      <w:r w:rsidR="00D81254">
        <w:t xml:space="preserve">  Treaty bodies also have the functions of </w:t>
      </w:r>
      <w:r w:rsidR="00AD6CEA">
        <w:t xml:space="preserve">issuing General Comments </w:t>
      </w:r>
      <w:r w:rsidR="00D54FD6">
        <w:t xml:space="preserve">on the meaning of the treaty obligations and </w:t>
      </w:r>
      <w:r>
        <w:t>Concluding</w:t>
      </w:r>
      <w:r w:rsidR="00573BA7">
        <w:t xml:space="preserve"> </w:t>
      </w:r>
      <w:r>
        <w:t>Observations</w:t>
      </w:r>
      <w:r w:rsidR="00573BA7">
        <w:t xml:space="preserve"> </w:t>
      </w:r>
      <w:r w:rsidR="00D54FD6">
        <w:t>on periodic reports provided to them by States Parties</w:t>
      </w:r>
      <w:r>
        <w:t>.</w:t>
      </w:r>
      <w:r w:rsidR="00573BA7">
        <w:t xml:space="preserve">  </w:t>
      </w:r>
      <w:r w:rsidR="00E54E0E">
        <w:t>T</w:t>
      </w:r>
      <w:r>
        <w:t>he</w:t>
      </w:r>
      <w:r w:rsidR="00573BA7">
        <w:t xml:space="preserve"> </w:t>
      </w:r>
      <w:r>
        <w:t>CRPD</w:t>
      </w:r>
      <w:r w:rsidR="00573BA7">
        <w:t xml:space="preserve"> </w:t>
      </w:r>
      <w:r>
        <w:t>and</w:t>
      </w:r>
      <w:r w:rsidR="00573BA7">
        <w:t xml:space="preserve"> </w:t>
      </w:r>
      <w:r>
        <w:t>other</w:t>
      </w:r>
      <w:r w:rsidR="00573BA7">
        <w:t xml:space="preserve"> </w:t>
      </w:r>
      <w:r>
        <w:t>human</w:t>
      </w:r>
      <w:r w:rsidR="00573BA7">
        <w:t xml:space="preserve"> </w:t>
      </w:r>
      <w:r>
        <w:t>rights</w:t>
      </w:r>
      <w:r w:rsidR="00573BA7">
        <w:t xml:space="preserve"> </w:t>
      </w:r>
      <w:r>
        <w:t>treaties</w:t>
      </w:r>
      <w:r w:rsidR="00573BA7">
        <w:t xml:space="preserve"> </w:t>
      </w:r>
      <w:r>
        <w:t>should</w:t>
      </w:r>
      <w:r w:rsidR="00573BA7">
        <w:t xml:space="preserve"> </w:t>
      </w:r>
      <w:r>
        <w:t>be</w:t>
      </w:r>
      <w:r w:rsidR="00573BA7">
        <w:t xml:space="preserve"> </w:t>
      </w:r>
      <w:r>
        <w:t>viewed</w:t>
      </w:r>
      <w:r w:rsidR="00573BA7">
        <w:t xml:space="preserve"> </w:t>
      </w:r>
      <w:r>
        <w:t>in</w:t>
      </w:r>
      <w:r w:rsidR="00573BA7">
        <w:t xml:space="preserve"> </w:t>
      </w:r>
      <w:r>
        <w:t>light</w:t>
      </w:r>
      <w:r w:rsidR="00573BA7">
        <w:t xml:space="preserve"> </w:t>
      </w:r>
      <w:r>
        <w:t>of</w:t>
      </w:r>
      <w:r w:rsidR="00573BA7">
        <w:t xml:space="preserve"> </w:t>
      </w:r>
      <w:r>
        <w:t>their</w:t>
      </w:r>
      <w:r w:rsidR="00573BA7">
        <w:t xml:space="preserve"> </w:t>
      </w:r>
      <w:r>
        <w:t>monitoring</w:t>
      </w:r>
      <w:r w:rsidR="00573BA7">
        <w:t xml:space="preserve"> </w:t>
      </w:r>
      <w:r>
        <w:t>bodies’</w:t>
      </w:r>
      <w:r w:rsidR="00573BA7">
        <w:t xml:space="preserve"> </w:t>
      </w:r>
      <w:r>
        <w:t>jurisprudence</w:t>
      </w:r>
      <w:r w:rsidR="00573BA7">
        <w:t xml:space="preserve"> </w:t>
      </w:r>
      <w:r>
        <w:t>and</w:t>
      </w:r>
      <w:r w:rsidR="00573BA7">
        <w:t xml:space="preserve"> </w:t>
      </w:r>
      <w:r>
        <w:t>commentary.</w:t>
      </w:r>
      <w:r>
        <w:rPr>
          <w:rStyle w:val="EndnoteReference"/>
        </w:rPr>
        <w:endnoteReference w:id="26"/>
      </w:r>
    </w:p>
    <w:p w14:paraId="66DFCD63" w14:textId="689BD010" w:rsidR="00FF540D" w:rsidRDefault="00FF540D" w:rsidP="00FF540D">
      <w:pPr>
        <w:pStyle w:val="ListNumber"/>
      </w:pPr>
      <w:r>
        <w:t>The</w:t>
      </w:r>
      <w:r w:rsidR="00573BA7">
        <w:t xml:space="preserve"> </w:t>
      </w:r>
      <w:r>
        <w:t>rights</w:t>
      </w:r>
      <w:r w:rsidR="00573BA7">
        <w:t xml:space="preserve"> </w:t>
      </w:r>
      <w:r>
        <w:t>of</w:t>
      </w:r>
      <w:r w:rsidR="00573BA7">
        <w:t xml:space="preserve"> </w:t>
      </w:r>
      <w:r>
        <w:t>people</w:t>
      </w:r>
      <w:r w:rsidR="00573BA7">
        <w:t xml:space="preserve"> </w:t>
      </w:r>
      <w:r>
        <w:t>with</w:t>
      </w:r>
      <w:r w:rsidR="00573BA7">
        <w:t xml:space="preserve"> </w:t>
      </w:r>
      <w:r>
        <w:t>disability</w:t>
      </w:r>
      <w:r w:rsidR="00573BA7">
        <w:t xml:space="preserve"> </w:t>
      </w:r>
      <w:r>
        <w:t>in</w:t>
      </w:r>
      <w:r w:rsidR="00573BA7">
        <w:t xml:space="preserve"> </w:t>
      </w:r>
      <w:r>
        <w:t>the</w:t>
      </w:r>
      <w:r w:rsidR="00573BA7">
        <w:t xml:space="preserve"> </w:t>
      </w:r>
      <w:r>
        <w:t>employment</w:t>
      </w:r>
      <w:r w:rsidR="00573BA7">
        <w:t xml:space="preserve"> </w:t>
      </w:r>
      <w:r>
        <w:t>context</w:t>
      </w:r>
      <w:r w:rsidR="00573BA7">
        <w:t xml:space="preserve"> </w:t>
      </w:r>
      <w:r w:rsidR="00A1191C">
        <w:t>that</w:t>
      </w:r>
      <w:r w:rsidR="00573BA7">
        <w:t xml:space="preserve"> </w:t>
      </w:r>
      <w:r>
        <w:t>are</w:t>
      </w:r>
      <w:r w:rsidR="00573BA7">
        <w:t xml:space="preserve"> </w:t>
      </w:r>
      <w:r>
        <w:t>recognised</w:t>
      </w:r>
      <w:r w:rsidR="00573BA7">
        <w:t xml:space="preserve"> </w:t>
      </w:r>
      <w:r>
        <w:t>under</w:t>
      </w:r>
      <w:r w:rsidR="00573BA7">
        <w:t xml:space="preserve"> </w:t>
      </w:r>
      <w:r>
        <w:t>international</w:t>
      </w:r>
      <w:r w:rsidR="00573BA7">
        <w:t xml:space="preserve"> </w:t>
      </w:r>
      <w:r>
        <w:t>human</w:t>
      </w:r>
      <w:r w:rsidR="00573BA7">
        <w:t xml:space="preserve"> </w:t>
      </w:r>
      <w:r>
        <w:t>rights</w:t>
      </w:r>
      <w:r w:rsidR="00573BA7">
        <w:t xml:space="preserve"> </w:t>
      </w:r>
      <w:r>
        <w:t>law</w:t>
      </w:r>
      <w:r w:rsidR="00573BA7">
        <w:t xml:space="preserve"> </w:t>
      </w:r>
      <w:r>
        <w:t>are</w:t>
      </w:r>
      <w:r w:rsidR="00573BA7">
        <w:t xml:space="preserve"> </w:t>
      </w:r>
      <w:r>
        <w:t>underpinned</w:t>
      </w:r>
      <w:r w:rsidR="00573BA7">
        <w:t xml:space="preserve"> </w:t>
      </w:r>
      <w:r>
        <w:t>by</w:t>
      </w:r>
      <w:r w:rsidR="00573BA7">
        <w:t xml:space="preserve"> </w:t>
      </w:r>
      <w:r w:rsidR="00190F6C">
        <w:t>the</w:t>
      </w:r>
      <w:r w:rsidR="00573BA7">
        <w:t xml:space="preserve"> </w:t>
      </w:r>
      <w:r>
        <w:t>general</w:t>
      </w:r>
      <w:r w:rsidR="00573BA7">
        <w:t xml:space="preserve"> </w:t>
      </w:r>
      <w:r>
        <w:t>principles</w:t>
      </w:r>
      <w:r w:rsidR="00573BA7">
        <w:t xml:space="preserve"> </w:t>
      </w:r>
      <w:r>
        <w:t>set</w:t>
      </w:r>
      <w:r w:rsidR="00573BA7">
        <w:t xml:space="preserve"> </w:t>
      </w:r>
      <w:r>
        <w:t>out</w:t>
      </w:r>
      <w:r w:rsidR="00573BA7">
        <w:t xml:space="preserve"> </w:t>
      </w:r>
      <w:r>
        <w:t>in</w:t>
      </w:r>
      <w:r w:rsidR="00573BA7">
        <w:t xml:space="preserve"> </w:t>
      </w:r>
      <w:r>
        <w:t>Article</w:t>
      </w:r>
      <w:r w:rsidR="00573BA7">
        <w:t xml:space="preserve"> </w:t>
      </w:r>
      <w:r>
        <w:t>3</w:t>
      </w:r>
      <w:r w:rsidR="00573BA7">
        <w:t xml:space="preserve"> </w:t>
      </w:r>
      <w:r>
        <w:t>of</w:t>
      </w:r>
      <w:r w:rsidR="00573BA7">
        <w:t xml:space="preserve"> </w:t>
      </w:r>
      <w:r>
        <w:t>the</w:t>
      </w:r>
      <w:r w:rsidR="00573BA7">
        <w:t xml:space="preserve"> </w:t>
      </w:r>
      <w:r>
        <w:t>CRPD</w:t>
      </w:r>
      <w:r w:rsidR="00190F6C">
        <w:t>,</w:t>
      </w:r>
      <w:r w:rsidR="00573BA7">
        <w:t xml:space="preserve"> </w:t>
      </w:r>
      <w:r w:rsidR="00190F6C">
        <w:t>includ</w:t>
      </w:r>
      <w:r w:rsidR="00E9462E">
        <w:t>ing</w:t>
      </w:r>
      <w:r>
        <w:t>:</w:t>
      </w:r>
    </w:p>
    <w:p w14:paraId="32D74E6B" w14:textId="6C55402F" w:rsidR="00FF540D" w:rsidRDefault="00F65735" w:rsidP="00FF540D">
      <w:pPr>
        <w:pStyle w:val="ListNumber"/>
        <w:numPr>
          <w:ilvl w:val="0"/>
          <w:numId w:val="34"/>
        </w:numPr>
      </w:pPr>
      <w:r>
        <w:t>r</w:t>
      </w:r>
      <w:r w:rsidR="00FF540D">
        <w:t>espect</w:t>
      </w:r>
      <w:r w:rsidR="00573BA7">
        <w:t xml:space="preserve"> </w:t>
      </w:r>
      <w:r w:rsidR="00FF540D">
        <w:t>for</w:t>
      </w:r>
      <w:r w:rsidR="00573BA7">
        <w:t xml:space="preserve"> </w:t>
      </w:r>
      <w:r w:rsidR="00FF540D">
        <w:t>inherent</w:t>
      </w:r>
      <w:r w:rsidR="00573BA7">
        <w:t xml:space="preserve"> </w:t>
      </w:r>
      <w:r w:rsidR="00FF540D">
        <w:t>dignity,</w:t>
      </w:r>
      <w:r w:rsidR="00573BA7">
        <w:t xml:space="preserve"> </w:t>
      </w:r>
      <w:r w:rsidR="00FF540D">
        <w:t>individual</w:t>
      </w:r>
      <w:r w:rsidR="00573BA7">
        <w:t xml:space="preserve"> </w:t>
      </w:r>
      <w:r w:rsidR="00FF540D">
        <w:t>autonomy</w:t>
      </w:r>
      <w:r w:rsidR="00573BA7">
        <w:t xml:space="preserve"> </w:t>
      </w:r>
      <w:r w:rsidR="00FF540D">
        <w:t>including</w:t>
      </w:r>
      <w:r w:rsidR="00573BA7">
        <w:t xml:space="preserve"> </w:t>
      </w:r>
      <w:r w:rsidR="00FF540D">
        <w:t>the</w:t>
      </w:r>
      <w:r w:rsidR="00573BA7">
        <w:t xml:space="preserve"> </w:t>
      </w:r>
      <w:r w:rsidR="00FF540D">
        <w:t>freedom</w:t>
      </w:r>
      <w:r w:rsidR="00573BA7">
        <w:t xml:space="preserve"> </w:t>
      </w:r>
      <w:r w:rsidR="00FF540D">
        <w:t>to</w:t>
      </w:r>
      <w:r w:rsidR="00573BA7">
        <w:t xml:space="preserve"> </w:t>
      </w:r>
      <w:r w:rsidR="00FF540D">
        <w:t>make</w:t>
      </w:r>
      <w:r w:rsidR="00573BA7">
        <w:t xml:space="preserve"> </w:t>
      </w:r>
      <w:r w:rsidR="00FF540D">
        <w:t>one’s</w:t>
      </w:r>
      <w:r w:rsidR="00573BA7">
        <w:t xml:space="preserve"> </w:t>
      </w:r>
      <w:r w:rsidR="00FF540D">
        <w:t>own</w:t>
      </w:r>
      <w:r w:rsidR="00573BA7">
        <w:t xml:space="preserve"> </w:t>
      </w:r>
      <w:r w:rsidR="00FF540D">
        <w:t>choices,</w:t>
      </w:r>
      <w:r w:rsidR="00573BA7">
        <w:t xml:space="preserve"> </w:t>
      </w:r>
      <w:r w:rsidR="00FF540D">
        <w:t>and</w:t>
      </w:r>
      <w:r w:rsidR="00573BA7">
        <w:t xml:space="preserve"> </w:t>
      </w:r>
      <w:r w:rsidR="00FF540D">
        <w:t>independence</w:t>
      </w:r>
      <w:r w:rsidR="00573BA7">
        <w:t xml:space="preserve"> </w:t>
      </w:r>
      <w:r w:rsidR="00FF540D">
        <w:t>of</w:t>
      </w:r>
      <w:r w:rsidR="00573BA7">
        <w:t xml:space="preserve"> </w:t>
      </w:r>
      <w:r w:rsidR="00FF540D">
        <w:t>persons</w:t>
      </w:r>
      <w:r w:rsidR="00573BA7">
        <w:t xml:space="preserve"> </w:t>
      </w:r>
    </w:p>
    <w:p w14:paraId="08E83797" w14:textId="2AC34E05" w:rsidR="00FF540D" w:rsidRDefault="00F65735" w:rsidP="00FF540D">
      <w:pPr>
        <w:pStyle w:val="ListNumber"/>
        <w:numPr>
          <w:ilvl w:val="0"/>
          <w:numId w:val="34"/>
        </w:numPr>
      </w:pPr>
      <w:r>
        <w:t>n</w:t>
      </w:r>
      <w:r w:rsidR="00FF540D">
        <w:t>on-discrimination</w:t>
      </w:r>
      <w:r w:rsidR="00190F6C">
        <w:t>,</w:t>
      </w:r>
      <w:r w:rsidR="00573BA7">
        <w:t xml:space="preserve"> </w:t>
      </w:r>
      <w:r w:rsidR="00190F6C">
        <w:t>equality</w:t>
      </w:r>
      <w:r w:rsidR="00573BA7">
        <w:t xml:space="preserve"> </w:t>
      </w:r>
      <w:r w:rsidR="00190F6C">
        <w:t>of</w:t>
      </w:r>
      <w:r w:rsidR="00573BA7">
        <w:t xml:space="preserve"> </w:t>
      </w:r>
      <w:r w:rsidR="00190F6C">
        <w:t>opportunity</w:t>
      </w:r>
      <w:r w:rsidR="00573BA7">
        <w:t xml:space="preserve"> </w:t>
      </w:r>
      <w:r w:rsidR="00190F6C">
        <w:t>and</w:t>
      </w:r>
      <w:r w:rsidR="00573BA7">
        <w:t xml:space="preserve"> </w:t>
      </w:r>
      <w:r w:rsidR="00BF081B">
        <w:t>gender</w:t>
      </w:r>
      <w:r w:rsidR="00573BA7">
        <w:t xml:space="preserve"> </w:t>
      </w:r>
      <w:r w:rsidR="00190F6C">
        <w:t>equality</w:t>
      </w:r>
      <w:r w:rsidR="00573BA7">
        <w:t xml:space="preserve"> </w:t>
      </w:r>
    </w:p>
    <w:p w14:paraId="4FA951BA" w14:textId="68FFFA1B" w:rsidR="00FF540D" w:rsidRDefault="00F65735" w:rsidP="00FF540D">
      <w:pPr>
        <w:pStyle w:val="ListNumber"/>
        <w:numPr>
          <w:ilvl w:val="0"/>
          <w:numId w:val="34"/>
        </w:numPr>
      </w:pPr>
      <w:r>
        <w:t>f</w:t>
      </w:r>
      <w:r w:rsidR="00FF540D">
        <w:t>ull</w:t>
      </w:r>
      <w:r w:rsidR="00573BA7">
        <w:t xml:space="preserve"> </w:t>
      </w:r>
      <w:r w:rsidR="00FF540D">
        <w:t>and</w:t>
      </w:r>
      <w:r w:rsidR="00573BA7">
        <w:t xml:space="preserve"> </w:t>
      </w:r>
      <w:r w:rsidR="00FF540D">
        <w:t>effective</w:t>
      </w:r>
      <w:r w:rsidR="00573BA7">
        <w:t xml:space="preserve"> </w:t>
      </w:r>
      <w:r w:rsidR="00FF540D">
        <w:t>participation</w:t>
      </w:r>
      <w:r w:rsidR="00573BA7">
        <w:t xml:space="preserve"> </w:t>
      </w:r>
      <w:r w:rsidR="00FF540D">
        <w:t>and</w:t>
      </w:r>
      <w:r w:rsidR="00573BA7">
        <w:t xml:space="preserve"> </w:t>
      </w:r>
      <w:r w:rsidR="00FF540D">
        <w:t>inclusion</w:t>
      </w:r>
      <w:r w:rsidR="00573BA7">
        <w:t xml:space="preserve"> </w:t>
      </w:r>
      <w:r w:rsidR="00FF540D">
        <w:t>in</w:t>
      </w:r>
      <w:r w:rsidR="00573BA7">
        <w:t xml:space="preserve"> </w:t>
      </w:r>
      <w:r w:rsidR="00FF540D">
        <w:t>society</w:t>
      </w:r>
      <w:r w:rsidR="00573BA7">
        <w:t xml:space="preserve"> </w:t>
      </w:r>
    </w:p>
    <w:p w14:paraId="2DB13D6A" w14:textId="6A68CCB3" w:rsidR="00FF540D" w:rsidRDefault="005F0F4D" w:rsidP="00FF540D">
      <w:pPr>
        <w:pStyle w:val="ListNumber"/>
        <w:numPr>
          <w:ilvl w:val="0"/>
          <w:numId w:val="34"/>
        </w:numPr>
      </w:pPr>
      <w:r>
        <w:t>r</w:t>
      </w:r>
      <w:r w:rsidR="00FF540D">
        <w:t>espect</w:t>
      </w:r>
      <w:r w:rsidR="00573BA7">
        <w:t xml:space="preserve"> </w:t>
      </w:r>
      <w:r w:rsidR="00FF540D">
        <w:t>for</w:t>
      </w:r>
      <w:r w:rsidR="00573BA7">
        <w:t xml:space="preserve"> </w:t>
      </w:r>
      <w:r w:rsidR="00FF540D">
        <w:t>difference</w:t>
      </w:r>
      <w:r w:rsidR="00573BA7">
        <w:t xml:space="preserve"> </w:t>
      </w:r>
      <w:r w:rsidR="00FF540D">
        <w:t>and</w:t>
      </w:r>
      <w:r w:rsidR="00573BA7">
        <w:t xml:space="preserve"> </w:t>
      </w:r>
      <w:r w:rsidR="00FF540D">
        <w:t>acceptance</w:t>
      </w:r>
      <w:r w:rsidR="00573BA7">
        <w:t xml:space="preserve"> </w:t>
      </w:r>
      <w:r w:rsidR="00FF540D">
        <w:t>of</w:t>
      </w:r>
      <w:r w:rsidR="00573BA7">
        <w:t xml:space="preserve"> </w:t>
      </w:r>
      <w:r w:rsidR="00FF540D">
        <w:t>people</w:t>
      </w:r>
      <w:r w:rsidR="00573BA7">
        <w:t xml:space="preserve"> </w:t>
      </w:r>
      <w:r w:rsidR="00FF540D">
        <w:t>with</w:t>
      </w:r>
      <w:r w:rsidR="00573BA7">
        <w:t xml:space="preserve"> </w:t>
      </w:r>
      <w:r w:rsidR="00FF540D">
        <w:t>disability</w:t>
      </w:r>
      <w:r w:rsidR="00573BA7">
        <w:t xml:space="preserve"> </w:t>
      </w:r>
      <w:r w:rsidR="00FF540D">
        <w:t>as</w:t>
      </w:r>
      <w:r w:rsidR="00573BA7">
        <w:t xml:space="preserve"> </w:t>
      </w:r>
      <w:r w:rsidR="00FF540D">
        <w:t>part</w:t>
      </w:r>
      <w:r w:rsidR="00573BA7">
        <w:t xml:space="preserve"> </w:t>
      </w:r>
      <w:r w:rsidR="00FF540D">
        <w:t>of</w:t>
      </w:r>
      <w:r w:rsidR="00573BA7">
        <w:t xml:space="preserve"> </w:t>
      </w:r>
      <w:r w:rsidR="00FF540D">
        <w:t>human</w:t>
      </w:r>
      <w:r w:rsidR="00573BA7">
        <w:t xml:space="preserve"> </w:t>
      </w:r>
      <w:r w:rsidR="00FF540D">
        <w:t>diversity</w:t>
      </w:r>
      <w:r w:rsidR="00573BA7">
        <w:t xml:space="preserve"> </w:t>
      </w:r>
      <w:r w:rsidR="00FF540D">
        <w:t>and</w:t>
      </w:r>
      <w:r w:rsidR="00573BA7">
        <w:t xml:space="preserve"> </w:t>
      </w:r>
      <w:r w:rsidR="00FF540D">
        <w:t>humanity</w:t>
      </w:r>
      <w:r w:rsidR="00573BA7">
        <w:t xml:space="preserve"> </w:t>
      </w:r>
    </w:p>
    <w:p w14:paraId="730F36BF" w14:textId="673C0FCB" w:rsidR="00FF540D" w:rsidRDefault="009940C0" w:rsidP="00FF540D">
      <w:pPr>
        <w:pStyle w:val="ListNumber"/>
        <w:numPr>
          <w:ilvl w:val="0"/>
          <w:numId w:val="34"/>
        </w:numPr>
      </w:pPr>
      <w:r>
        <w:t>a</w:t>
      </w:r>
      <w:r w:rsidR="00FF540D">
        <w:t>ccessibility</w:t>
      </w:r>
      <w:r w:rsidR="00886A57">
        <w:t>,</w:t>
      </w:r>
      <w:r w:rsidR="00573BA7">
        <w:t xml:space="preserve"> </w:t>
      </w:r>
      <w:r w:rsidR="00E9462E">
        <w:t>and</w:t>
      </w:r>
    </w:p>
    <w:p w14:paraId="00EB2FC8" w14:textId="181A259D" w:rsidR="00FF540D" w:rsidRDefault="009940C0" w:rsidP="00FF540D">
      <w:pPr>
        <w:pStyle w:val="ListNumber"/>
        <w:numPr>
          <w:ilvl w:val="0"/>
          <w:numId w:val="34"/>
        </w:numPr>
      </w:pPr>
      <w:r>
        <w:t>r</w:t>
      </w:r>
      <w:r w:rsidR="00FF540D">
        <w:t>espect</w:t>
      </w:r>
      <w:r w:rsidR="00573BA7">
        <w:t xml:space="preserve"> </w:t>
      </w:r>
      <w:r w:rsidR="00FF540D">
        <w:t>for</w:t>
      </w:r>
      <w:r w:rsidR="00573BA7">
        <w:t xml:space="preserve"> </w:t>
      </w:r>
      <w:r w:rsidR="00FF540D">
        <w:t>the</w:t>
      </w:r>
      <w:r w:rsidR="00573BA7">
        <w:t xml:space="preserve"> </w:t>
      </w:r>
      <w:r w:rsidR="00FF540D">
        <w:t>evolving</w:t>
      </w:r>
      <w:r w:rsidR="00573BA7">
        <w:t xml:space="preserve"> </w:t>
      </w:r>
      <w:r w:rsidR="00FF540D">
        <w:t>capacities</w:t>
      </w:r>
      <w:r w:rsidR="00573BA7">
        <w:t xml:space="preserve"> </w:t>
      </w:r>
      <w:r w:rsidR="00FF540D">
        <w:t>of</w:t>
      </w:r>
      <w:r w:rsidR="00573BA7">
        <w:t xml:space="preserve"> </w:t>
      </w:r>
      <w:r w:rsidR="00FF540D">
        <w:t>children</w:t>
      </w:r>
      <w:r w:rsidR="00573BA7">
        <w:t xml:space="preserve"> </w:t>
      </w:r>
      <w:r w:rsidR="00FF540D">
        <w:t>with</w:t>
      </w:r>
      <w:r w:rsidR="00573BA7">
        <w:t xml:space="preserve"> </w:t>
      </w:r>
      <w:r w:rsidR="00FF540D">
        <w:t>disabilities</w:t>
      </w:r>
      <w:r w:rsidR="00573BA7">
        <w:t xml:space="preserve"> </w:t>
      </w:r>
      <w:r w:rsidR="00FF540D">
        <w:t>and</w:t>
      </w:r>
      <w:r w:rsidR="00573BA7">
        <w:t xml:space="preserve"> </w:t>
      </w:r>
      <w:r w:rsidR="00FF540D">
        <w:t>respect</w:t>
      </w:r>
      <w:r w:rsidR="00573BA7">
        <w:t xml:space="preserve"> </w:t>
      </w:r>
      <w:r w:rsidR="00FF540D">
        <w:t>for</w:t>
      </w:r>
      <w:r w:rsidR="00573BA7">
        <w:t xml:space="preserve"> </w:t>
      </w:r>
      <w:r w:rsidR="00FF540D">
        <w:t>the</w:t>
      </w:r>
      <w:r w:rsidR="00573BA7">
        <w:t xml:space="preserve"> </w:t>
      </w:r>
      <w:r w:rsidR="00FF540D">
        <w:t>right</w:t>
      </w:r>
      <w:r w:rsidR="00573BA7">
        <w:t xml:space="preserve"> </w:t>
      </w:r>
      <w:r w:rsidR="00FF540D">
        <w:t>of</w:t>
      </w:r>
      <w:r w:rsidR="00573BA7">
        <w:t xml:space="preserve"> </w:t>
      </w:r>
      <w:r w:rsidR="00FF540D">
        <w:t>children</w:t>
      </w:r>
      <w:r w:rsidR="00573BA7">
        <w:t xml:space="preserve"> </w:t>
      </w:r>
      <w:r w:rsidR="00FF540D">
        <w:t>with</w:t>
      </w:r>
      <w:r w:rsidR="00573BA7">
        <w:t xml:space="preserve"> </w:t>
      </w:r>
      <w:r w:rsidR="00FF540D">
        <w:t>disabilities</w:t>
      </w:r>
      <w:r w:rsidR="00573BA7">
        <w:t xml:space="preserve"> </w:t>
      </w:r>
      <w:r w:rsidR="00FF540D">
        <w:t>to</w:t>
      </w:r>
      <w:r w:rsidR="00573BA7">
        <w:t xml:space="preserve"> </w:t>
      </w:r>
      <w:r w:rsidR="00FF540D">
        <w:t>preserve</w:t>
      </w:r>
      <w:r w:rsidR="00573BA7">
        <w:t xml:space="preserve"> </w:t>
      </w:r>
      <w:r w:rsidR="00FF540D">
        <w:t>their</w:t>
      </w:r>
      <w:r w:rsidR="00573BA7">
        <w:t xml:space="preserve"> </w:t>
      </w:r>
      <w:r w:rsidR="00FF540D">
        <w:t>identities.</w:t>
      </w:r>
    </w:p>
    <w:p w14:paraId="18324E70" w14:textId="6B499F7C" w:rsidR="00FF540D" w:rsidRDefault="00FF540D" w:rsidP="00BC4DA8">
      <w:pPr>
        <w:pStyle w:val="Heading2"/>
      </w:pPr>
      <w:bookmarkStart w:id="36" w:name="_Toc51834267"/>
      <w:r>
        <w:t>Other</w:t>
      </w:r>
      <w:r w:rsidR="00573BA7">
        <w:t xml:space="preserve"> </w:t>
      </w:r>
      <w:r>
        <w:t>international</w:t>
      </w:r>
      <w:r w:rsidR="00573BA7">
        <w:t xml:space="preserve"> </w:t>
      </w:r>
      <w:r>
        <w:t>human</w:t>
      </w:r>
      <w:r w:rsidR="00573BA7">
        <w:t xml:space="preserve"> </w:t>
      </w:r>
      <w:r>
        <w:t>rights</w:t>
      </w:r>
      <w:r w:rsidR="00573BA7">
        <w:t xml:space="preserve"> </w:t>
      </w:r>
      <w:r>
        <w:t>law</w:t>
      </w:r>
      <w:r w:rsidR="00573BA7">
        <w:t xml:space="preserve"> </w:t>
      </w:r>
      <w:r>
        <w:t>instruments</w:t>
      </w:r>
      <w:bookmarkEnd w:id="36"/>
    </w:p>
    <w:p w14:paraId="21ACBBCB" w14:textId="097C714E" w:rsidR="00AA421C" w:rsidRPr="00DB6D61" w:rsidRDefault="00AA421C" w:rsidP="00AA421C">
      <w:pPr>
        <w:pStyle w:val="ListNumber"/>
      </w:pPr>
      <w:r>
        <w:t>Other</w:t>
      </w:r>
      <w:r w:rsidR="00573BA7">
        <w:t xml:space="preserve"> </w:t>
      </w:r>
      <w:r>
        <w:t>instruments</w:t>
      </w:r>
      <w:r w:rsidR="00573BA7">
        <w:t xml:space="preserve"> </w:t>
      </w:r>
      <w:r>
        <w:t>that</w:t>
      </w:r>
      <w:r w:rsidR="00573BA7">
        <w:t xml:space="preserve"> </w:t>
      </w:r>
      <w:r>
        <w:t>are</w:t>
      </w:r>
      <w:r w:rsidR="00573BA7">
        <w:t xml:space="preserve"> </w:t>
      </w:r>
      <w:r>
        <w:t>binding</w:t>
      </w:r>
      <w:r w:rsidR="00573BA7">
        <w:t xml:space="preserve"> </w:t>
      </w:r>
      <w:r>
        <w:t>on</w:t>
      </w:r>
      <w:r w:rsidR="00573BA7">
        <w:t xml:space="preserve"> </w:t>
      </w:r>
      <w:r>
        <w:t>Australia</w:t>
      </w:r>
      <w:r w:rsidR="00573BA7">
        <w:t xml:space="preserve"> </w:t>
      </w:r>
      <w:r>
        <w:t>also</w:t>
      </w:r>
      <w:r w:rsidR="00573BA7">
        <w:t xml:space="preserve"> </w:t>
      </w:r>
      <w:r>
        <w:t>contain</w:t>
      </w:r>
      <w:r w:rsidR="00573BA7">
        <w:t xml:space="preserve"> </w:t>
      </w:r>
      <w:r>
        <w:t>provisions</w:t>
      </w:r>
      <w:r w:rsidR="00387BFF">
        <w:t xml:space="preserve"> relevant to people with disability</w:t>
      </w:r>
      <w:r>
        <w:t>,</w:t>
      </w:r>
      <w:r w:rsidR="00573BA7">
        <w:t xml:space="preserve"> </w:t>
      </w:r>
      <w:r>
        <w:t>includ</w:t>
      </w:r>
      <w:r w:rsidR="00087593">
        <w:t>ing</w:t>
      </w:r>
      <w:r w:rsidR="00573BA7">
        <w:t xml:space="preserve"> </w:t>
      </w:r>
      <w:r>
        <w:t>the:</w:t>
      </w:r>
    </w:p>
    <w:p w14:paraId="7AAD1A35" w14:textId="71EC7557" w:rsidR="00AA421C" w:rsidRPr="00DB6D61" w:rsidRDefault="00AA421C" w:rsidP="000A429A">
      <w:pPr>
        <w:pStyle w:val="ListParagraph"/>
        <w:numPr>
          <w:ilvl w:val="0"/>
          <w:numId w:val="49"/>
        </w:numPr>
      </w:pPr>
      <w:r w:rsidRPr="00710E6A">
        <w:rPr>
          <w:i/>
          <w:iCs/>
        </w:rPr>
        <w:t>International</w:t>
      </w:r>
      <w:r w:rsidR="00573BA7" w:rsidRPr="00710E6A">
        <w:rPr>
          <w:i/>
          <w:iCs/>
        </w:rPr>
        <w:t xml:space="preserve"> </w:t>
      </w:r>
      <w:r w:rsidRPr="00710E6A">
        <w:rPr>
          <w:i/>
          <w:iCs/>
        </w:rPr>
        <w:t>Covenant</w:t>
      </w:r>
      <w:r w:rsidR="00573BA7" w:rsidRPr="00710E6A">
        <w:rPr>
          <w:i/>
          <w:iCs/>
        </w:rPr>
        <w:t xml:space="preserve"> </w:t>
      </w:r>
      <w:r w:rsidRPr="00710E6A">
        <w:rPr>
          <w:i/>
          <w:iCs/>
        </w:rPr>
        <w:t>on</w:t>
      </w:r>
      <w:r w:rsidR="00573BA7" w:rsidRPr="00710E6A">
        <w:rPr>
          <w:i/>
          <w:iCs/>
        </w:rPr>
        <w:t xml:space="preserve"> </w:t>
      </w:r>
      <w:r w:rsidRPr="00710E6A">
        <w:rPr>
          <w:i/>
          <w:iCs/>
        </w:rPr>
        <w:t>Economic,</w:t>
      </w:r>
      <w:r w:rsidR="00573BA7" w:rsidRPr="00710E6A">
        <w:rPr>
          <w:i/>
          <w:iCs/>
        </w:rPr>
        <w:t xml:space="preserve"> </w:t>
      </w:r>
      <w:r w:rsidRPr="00710E6A">
        <w:rPr>
          <w:i/>
          <w:iCs/>
        </w:rPr>
        <w:t>Social</w:t>
      </w:r>
      <w:r w:rsidR="00573BA7" w:rsidRPr="00710E6A">
        <w:rPr>
          <w:i/>
          <w:iCs/>
        </w:rPr>
        <w:t xml:space="preserve"> </w:t>
      </w:r>
      <w:r w:rsidRPr="00710E6A">
        <w:rPr>
          <w:i/>
          <w:iCs/>
        </w:rPr>
        <w:t>and</w:t>
      </w:r>
      <w:r w:rsidR="00573BA7" w:rsidRPr="00710E6A">
        <w:rPr>
          <w:i/>
          <w:iCs/>
        </w:rPr>
        <w:t xml:space="preserve"> </w:t>
      </w:r>
      <w:r w:rsidRPr="00710E6A">
        <w:rPr>
          <w:i/>
          <w:iCs/>
        </w:rPr>
        <w:t>Cultural</w:t>
      </w:r>
      <w:r w:rsidR="00573BA7" w:rsidRPr="00710E6A">
        <w:rPr>
          <w:i/>
          <w:iCs/>
        </w:rPr>
        <w:t xml:space="preserve"> </w:t>
      </w:r>
      <w:r w:rsidRPr="00710E6A">
        <w:rPr>
          <w:i/>
          <w:iCs/>
        </w:rPr>
        <w:t>Rights</w:t>
      </w:r>
      <w:r w:rsidR="00573BA7">
        <w:t xml:space="preserve"> </w:t>
      </w:r>
      <w:r w:rsidRPr="00DB6D61">
        <w:t>(ICESCR)</w:t>
      </w:r>
      <w:r w:rsidRPr="00DB6D61">
        <w:rPr>
          <w:sz w:val="20"/>
          <w:szCs w:val="20"/>
          <w:vertAlign w:val="superscript"/>
        </w:rPr>
        <w:endnoteReference w:id="27"/>
      </w:r>
      <w:r w:rsidR="00573BA7" w:rsidRPr="000A429A">
        <w:rPr>
          <w:sz w:val="20"/>
          <w:szCs w:val="20"/>
        </w:rPr>
        <w:t xml:space="preserve"> </w:t>
      </w:r>
      <w:r w:rsidR="00573BA7">
        <w:t xml:space="preserve"> </w:t>
      </w:r>
    </w:p>
    <w:p w14:paraId="5DD35DAF" w14:textId="175E8903" w:rsidR="00AA421C" w:rsidRDefault="00AA421C" w:rsidP="000A429A">
      <w:pPr>
        <w:pStyle w:val="ListParagraph"/>
        <w:numPr>
          <w:ilvl w:val="0"/>
          <w:numId w:val="49"/>
        </w:numPr>
      </w:pPr>
      <w:r w:rsidRPr="00710E6A">
        <w:rPr>
          <w:i/>
          <w:iCs/>
        </w:rPr>
        <w:t>International</w:t>
      </w:r>
      <w:r w:rsidR="00573BA7" w:rsidRPr="00710E6A">
        <w:rPr>
          <w:i/>
          <w:iCs/>
        </w:rPr>
        <w:t xml:space="preserve"> </w:t>
      </w:r>
      <w:r w:rsidRPr="00710E6A">
        <w:rPr>
          <w:i/>
          <w:iCs/>
        </w:rPr>
        <w:t>Covenant</w:t>
      </w:r>
      <w:r w:rsidR="00573BA7" w:rsidRPr="00710E6A">
        <w:rPr>
          <w:i/>
          <w:iCs/>
        </w:rPr>
        <w:t xml:space="preserve"> </w:t>
      </w:r>
      <w:r w:rsidRPr="00710E6A">
        <w:rPr>
          <w:i/>
          <w:iCs/>
        </w:rPr>
        <w:t>on</w:t>
      </w:r>
      <w:r w:rsidR="00573BA7" w:rsidRPr="00710E6A">
        <w:rPr>
          <w:i/>
          <w:iCs/>
        </w:rPr>
        <w:t xml:space="preserve"> </w:t>
      </w:r>
      <w:r w:rsidRPr="00710E6A">
        <w:rPr>
          <w:i/>
          <w:iCs/>
        </w:rPr>
        <w:t>Civil</w:t>
      </w:r>
      <w:r w:rsidR="00573BA7" w:rsidRPr="00710E6A">
        <w:rPr>
          <w:i/>
          <w:iCs/>
        </w:rPr>
        <w:t xml:space="preserve"> </w:t>
      </w:r>
      <w:r w:rsidRPr="00710E6A">
        <w:rPr>
          <w:i/>
          <w:iCs/>
        </w:rPr>
        <w:t>and</w:t>
      </w:r>
      <w:r w:rsidR="00573BA7" w:rsidRPr="00710E6A">
        <w:rPr>
          <w:i/>
          <w:iCs/>
        </w:rPr>
        <w:t xml:space="preserve"> </w:t>
      </w:r>
      <w:r w:rsidRPr="00710E6A">
        <w:rPr>
          <w:i/>
          <w:iCs/>
        </w:rPr>
        <w:t>Political</w:t>
      </w:r>
      <w:r w:rsidR="00573BA7" w:rsidRPr="00710E6A">
        <w:rPr>
          <w:i/>
          <w:iCs/>
        </w:rPr>
        <w:t xml:space="preserve"> </w:t>
      </w:r>
      <w:r w:rsidRPr="00710E6A">
        <w:rPr>
          <w:i/>
          <w:iCs/>
        </w:rPr>
        <w:t>Rights</w:t>
      </w:r>
      <w:r w:rsidR="00573BA7">
        <w:t xml:space="preserve"> </w:t>
      </w:r>
      <w:r>
        <w:t>(ICCPR)</w:t>
      </w:r>
      <w:r>
        <w:rPr>
          <w:rStyle w:val="EndnoteReference"/>
        </w:rPr>
        <w:endnoteReference w:id="28"/>
      </w:r>
    </w:p>
    <w:p w14:paraId="10BDFB49" w14:textId="20BAFC0D" w:rsidR="00AA421C" w:rsidRDefault="00AA421C" w:rsidP="000A429A">
      <w:pPr>
        <w:pStyle w:val="ListParagraph"/>
        <w:numPr>
          <w:ilvl w:val="0"/>
          <w:numId w:val="49"/>
        </w:numPr>
      </w:pPr>
      <w:r w:rsidRPr="00710E6A">
        <w:rPr>
          <w:i/>
          <w:iCs/>
        </w:rPr>
        <w:t>Convention</w:t>
      </w:r>
      <w:r w:rsidR="00573BA7" w:rsidRPr="00710E6A">
        <w:rPr>
          <w:i/>
          <w:iCs/>
        </w:rPr>
        <w:t xml:space="preserve"> </w:t>
      </w:r>
      <w:r w:rsidRPr="00710E6A">
        <w:rPr>
          <w:i/>
          <w:iCs/>
        </w:rPr>
        <w:t>on</w:t>
      </w:r>
      <w:r w:rsidR="00573BA7" w:rsidRPr="00710E6A">
        <w:rPr>
          <w:i/>
          <w:iCs/>
        </w:rPr>
        <w:t xml:space="preserve"> </w:t>
      </w:r>
      <w:r w:rsidRPr="00710E6A">
        <w:rPr>
          <w:i/>
          <w:iCs/>
        </w:rPr>
        <w:t>the</w:t>
      </w:r>
      <w:r w:rsidR="00573BA7" w:rsidRPr="00710E6A">
        <w:rPr>
          <w:i/>
          <w:iCs/>
        </w:rPr>
        <w:t xml:space="preserve"> </w:t>
      </w:r>
      <w:r w:rsidRPr="00710E6A">
        <w:rPr>
          <w:i/>
          <w:iCs/>
        </w:rPr>
        <w:t>Rights</w:t>
      </w:r>
      <w:r w:rsidR="00573BA7" w:rsidRPr="00710E6A">
        <w:rPr>
          <w:i/>
          <w:iCs/>
        </w:rPr>
        <w:t xml:space="preserve"> </w:t>
      </w:r>
      <w:r w:rsidRPr="00710E6A">
        <w:rPr>
          <w:i/>
          <w:iCs/>
        </w:rPr>
        <w:t>of</w:t>
      </w:r>
      <w:r w:rsidR="00573BA7" w:rsidRPr="00710E6A">
        <w:rPr>
          <w:i/>
          <w:iCs/>
        </w:rPr>
        <w:t xml:space="preserve"> </w:t>
      </w:r>
      <w:r w:rsidRPr="00710E6A">
        <w:rPr>
          <w:i/>
          <w:iCs/>
        </w:rPr>
        <w:t>the</w:t>
      </w:r>
      <w:r w:rsidR="00573BA7" w:rsidRPr="00710E6A">
        <w:rPr>
          <w:i/>
          <w:iCs/>
        </w:rPr>
        <w:t xml:space="preserve"> </w:t>
      </w:r>
      <w:r w:rsidRPr="00710E6A">
        <w:rPr>
          <w:i/>
          <w:iCs/>
        </w:rPr>
        <w:t>Child</w:t>
      </w:r>
      <w:r w:rsidR="00573BA7">
        <w:t xml:space="preserve"> </w:t>
      </w:r>
      <w:r>
        <w:rPr>
          <w:rStyle w:val="EndnoteReference"/>
        </w:rPr>
        <w:endnoteReference w:id="29"/>
      </w:r>
    </w:p>
    <w:p w14:paraId="635DEAE5" w14:textId="40644EE5" w:rsidR="00AA421C" w:rsidRDefault="00AA421C" w:rsidP="000A429A">
      <w:pPr>
        <w:pStyle w:val="ListParagraph"/>
        <w:numPr>
          <w:ilvl w:val="0"/>
          <w:numId w:val="49"/>
        </w:numPr>
      </w:pPr>
      <w:r w:rsidRPr="00710E6A">
        <w:rPr>
          <w:i/>
          <w:iCs/>
        </w:rPr>
        <w:t>Convention</w:t>
      </w:r>
      <w:r w:rsidR="00573BA7" w:rsidRPr="00710E6A">
        <w:rPr>
          <w:i/>
          <w:iCs/>
        </w:rPr>
        <w:t xml:space="preserve"> </w:t>
      </w:r>
      <w:r w:rsidRPr="00710E6A">
        <w:rPr>
          <w:i/>
          <w:iCs/>
        </w:rPr>
        <w:t>on</w:t>
      </w:r>
      <w:r w:rsidR="00573BA7" w:rsidRPr="00710E6A">
        <w:rPr>
          <w:i/>
          <w:iCs/>
        </w:rPr>
        <w:t xml:space="preserve"> </w:t>
      </w:r>
      <w:r w:rsidRPr="00710E6A">
        <w:rPr>
          <w:i/>
          <w:iCs/>
        </w:rPr>
        <w:t>the</w:t>
      </w:r>
      <w:r w:rsidR="00573BA7" w:rsidRPr="00710E6A">
        <w:rPr>
          <w:i/>
          <w:iCs/>
        </w:rPr>
        <w:t xml:space="preserve"> </w:t>
      </w:r>
      <w:r w:rsidRPr="00710E6A">
        <w:rPr>
          <w:i/>
          <w:iCs/>
        </w:rPr>
        <w:t>Elimination</w:t>
      </w:r>
      <w:r w:rsidR="00573BA7" w:rsidRPr="00710E6A">
        <w:rPr>
          <w:i/>
          <w:iCs/>
        </w:rPr>
        <w:t xml:space="preserve"> </w:t>
      </w:r>
      <w:r w:rsidRPr="00710E6A">
        <w:rPr>
          <w:i/>
          <w:iCs/>
        </w:rPr>
        <w:t>of</w:t>
      </w:r>
      <w:r w:rsidR="00573BA7" w:rsidRPr="00710E6A">
        <w:rPr>
          <w:i/>
          <w:iCs/>
        </w:rPr>
        <w:t xml:space="preserve"> </w:t>
      </w:r>
      <w:r w:rsidRPr="00710E6A">
        <w:rPr>
          <w:i/>
          <w:iCs/>
        </w:rPr>
        <w:t>All</w:t>
      </w:r>
      <w:r w:rsidR="00573BA7" w:rsidRPr="00710E6A">
        <w:rPr>
          <w:i/>
          <w:iCs/>
        </w:rPr>
        <w:t xml:space="preserve"> </w:t>
      </w:r>
      <w:r w:rsidRPr="00710E6A">
        <w:rPr>
          <w:i/>
          <w:iCs/>
        </w:rPr>
        <w:t>Forms</w:t>
      </w:r>
      <w:r w:rsidR="00573BA7" w:rsidRPr="00710E6A">
        <w:rPr>
          <w:i/>
          <w:iCs/>
        </w:rPr>
        <w:t xml:space="preserve"> </w:t>
      </w:r>
      <w:r w:rsidRPr="00710E6A">
        <w:rPr>
          <w:i/>
          <w:iCs/>
        </w:rPr>
        <w:t>of</w:t>
      </w:r>
      <w:r w:rsidR="00573BA7" w:rsidRPr="00710E6A">
        <w:rPr>
          <w:i/>
          <w:iCs/>
        </w:rPr>
        <w:t xml:space="preserve"> </w:t>
      </w:r>
      <w:r w:rsidRPr="00710E6A">
        <w:rPr>
          <w:i/>
          <w:iCs/>
        </w:rPr>
        <w:t>Discrimination</w:t>
      </w:r>
      <w:r w:rsidR="00573BA7" w:rsidRPr="00710E6A">
        <w:rPr>
          <w:i/>
          <w:iCs/>
        </w:rPr>
        <w:t xml:space="preserve"> </w:t>
      </w:r>
      <w:r w:rsidRPr="00710E6A">
        <w:rPr>
          <w:i/>
          <w:iCs/>
        </w:rPr>
        <w:t>Against</w:t>
      </w:r>
      <w:r w:rsidR="00573BA7" w:rsidRPr="00710E6A">
        <w:rPr>
          <w:i/>
          <w:iCs/>
        </w:rPr>
        <w:t xml:space="preserve"> </w:t>
      </w:r>
      <w:r w:rsidRPr="00710E6A">
        <w:rPr>
          <w:i/>
          <w:iCs/>
        </w:rPr>
        <w:t>Women</w:t>
      </w:r>
      <w:r w:rsidR="00573BA7">
        <w:t xml:space="preserve"> </w:t>
      </w:r>
      <w:r>
        <w:rPr>
          <w:rStyle w:val="EndnoteReference"/>
        </w:rPr>
        <w:endnoteReference w:id="30"/>
      </w:r>
      <w:r w:rsidR="00573BA7">
        <w:t xml:space="preserve"> </w:t>
      </w:r>
      <w:r>
        <w:t>and</w:t>
      </w:r>
    </w:p>
    <w:p w14:paraId="2509490E" w14:textId="322F34FF" w:rsidR="00AA421C" w:rsidRDefault="00AA421C" w:rsidP="000A429A">
      <w:pPr>
        <w:pStyle w:val="ListParagraph"/>
        <w:numPr>
          <w:ilvl w:val="0"/>
          <w:numId w:val="49"/>
        </w:numPr>
      </w:pPr>
      <w:r w:rsidRPr="00710E6A">
        <w:rPr>
          <w:i/>
          <w:iCs/>
        </w:rPr>
        <w:t>International</w:t>
      </w:r>
      <w:r w:rsidR="00573BA7" w:rsidRPr="00710E6A">
        <w:rPr>
          <w:i/>
          <w:iCs/>
        </w:rPr>
        <w:t xml:space="preserve"> </w:t>
      </w:r>
      <w:r w:rsidR="007818A4">
        <w:rPr>
          <w:i/>
          <w:iCs/>
        </w:rPr>
        <w:t>Convention</w:t>
      </w:r>
      <w:r w:rsidR="007818A4" w:rsidRPr="00710E6A">
        <w:rPr>
          <w:i/>
          <w:iCs/>
        </w:rPr>
        <w:t xml:space="preserve"> </w:t>
      </w:r>
      <w:r w:rsidRPr="00710E6A">
        <w:rPr>
          <w:i/>
          <w:iCs/>
        </w:rPr>
        <w:t>on</w:t>
      </w:r>
      <w:r w:rsidR="00573BA7" w:rsidRPr="00710E6A">
        <w:rPr>
          <w:i/>
          <w:iCs/>
        </w:rPr>
        <w:t xml:space="preserve"> </w:t>
      </w:r>
      <w:r w:rsidRPr="00710E6A">
        <w:rPr>
          <w:i/>
          <w:iCs/>
        </w:rPr>
        <w:t>the</w:t>
      </w:r>
      <w:r w:rsidR="00573BA7" w:rsidRPr="00710E6A">
        <w:rPr>
          <w:i/>
          <w:iCs/>
        </w:rPr>
        <w:t xml:space="preserve"> </w:t>
      </w:r>
      <w:r w:rsidRPr="00710E6A">
        <w:rPr>
          <w:i/>
          <w:iCs/>
        </w:rPr>
        <w:t>Elimination</w:t>
      </w:r>
      <w:r w:rsidR="00573BA7" w:rsidRPr="00710E6A">
        <w:rPr>
          <w:i/>
          <w:iCs/>
        </w:rPr>
        <w:t xml:space="preserve"> </w:t>
      </w:r>
      <w:r w:rsidRPr="00710E6A">
        <w:rPr>
          <w:i/>
          <w:iCs/>
        </w:rPr>
        <w:t>of</w:t>
      </w:r>
      <w:r w:rsidR="00573BA7" w:rsidRPr="00710E6A">
        <w:rPr>
          <w:i/>
          <w:iCs/>
        </w:rPr>
        <w:t xml:space="preserve"> </w:t>
      </w:r>
      <w:r w:rsidRPr="00710E6A">
        <w:rPr>
          <w:i/>
          <w:iCs/>
        </w:rPr>
        <w:t>All</w:t>
      </w:r>
      <w:r w:rsidR="00573BA7" w:rsidRPr="00710E6A">
        <w:rPr>
          <w:i/>
          <w:iCs/>
        </w:rPr>
        <w:t xml:space="preserve"> </w:t>
      </w:r>
      <w:r w:rsidRPr="00710E6A">
        <w:rPr>
          <w:i/>
          <w:iCs/>
        </w:rPr>
        <w:t>Forms</w:t>
      </w:r>
      <w:r w:rsidR="00573BA7" w:rsidRPr="00710E6A">
        <w:rPr>
          <w:i/>
          <w:iCs/>
        </w:rPr>
        <w:t xml:space="preserve"> </w:t>
      </w:r>
      <w:r w:rsidRPr="00710E6A">
        <w:rPr>
          <w:i/>
          <w:iCs/>
        </w:rPr>
        <w:t>of</w:t>
      </w:r>
      <w:r w:rsidR="00573BA7" w:rsidRPr="00710E6A">
        <w:rPr>
          <w:i/>
          <w:iCs/>
        </w:rPr>
        <w:t xml:space="preserve"> </w:t>
      </w:r>
      <w:r w:rsidRPr="00710E6A">
        <w:rPr>
          <w:i/>
          <w:iCs/>
        </w:rPr>
        <w:t>Racial</w:t>
      </w:r>
      <w:r w:rsidR="00573BA7" w:rsidRPr="00710E6A">
        <w:rPr>
          <w:i/>
          <w:iCs/>
        </w:rPr>
        <w:t xml:space="preserve"> </w:t>
      </w:r>
      <w:r w:rsidRPr="00710E6A">
        <w:rPr>
          <w:i/>
          <w:iCs/>
        </w:rPr>
        <w:t>Discrimination</w:t>
      </w:r>
      <w:r>
        <w:t>.</w:t>
      </w:r>
      <w:r>
        <w:rPr>
          <w:rStyle w:val="EndnoteReference"/>
        </w:rPr>
        <w:endnoteReference w:id="31"/>
      </w:r>
    </w:p>
    <w:p w14:paraId="70446D35" w14:textId="1885890C" w:rsidR="00AA421C" w:rsidRPr="000A429A" w:rsidRDefault="35BA06AA" w:rsidP="00BC4DA8">
      <w:pPr>
        <w:pStyle w:val="ListNumber"/>
      </w:pPr>
      <w:r w:rsidRPr="000A429A">
        <w:lastRenderedPageBreak/>
        <w:t>Certain</w:t>
      </w:r>
      <w:r w:rsidR="6A8CD0A8" w:rsidRPr="000A429A">
        <w:t xml:space="preserve"> </w:t>
      </w:r>
      <w:r w:rsidRPr="000A429A">
        <w:t>conventions</w:t>
      </w:r>
      <w:r w:rsidR="6A8CD0A8" w:rsidRPr="000A429A">
        <w:t xml:space="preserve"> </w:t>
      </w:r>
      <w:r w:rsidRPr="000A429A">
        <w:t>and</w:t>
      </w:r>
      <w:r w:rsidR="6A8CD0A8" w:rsidRPr="000A429A">
        <w:t xml:space="preserve"> </w:t>
      </w:r>
      <w:r w:rsidRPr="000A429A">
        <w:t>recommendations</w:t>
      </w:r>
      <w:r w:rsidR="6A8CD0A8" w:rsidRPr="000A429A">
        <w:t xml:space="preserve"> </w:t>
      </w:r>
      <w:r w:rsidRPr="000A429A">
        <w:t>of</w:t>
      </w:r>
      <w:r w:rsidR="6A8CD0A8" w:rsidRPr="000A429A">
        <w:t xml:space="preserve"> </w:t>
      </w:r>
      <w:r w:rsidRPr="000A429A">
        <w:t>the</w:t>
      </w:r>
      <w:r w:rsidR="6A8CD0A8" w:rsidRPr="000A429A">
        <w:t xml:space="preserve"> </w:t>
      </w:r>
      <w:r w:rsidRPr="000A429A">
        <w:t>International</w:t>
      </w:r>
      <w:r w:rsidR="6A8CD0A8" w:rsidRPr="000A429A">
        <w:t xml:space="preserve"> </w:t>
      </w:r>
      <w:r w:rsidRPr="000A429A">
        <w:t>Labour</w:t>
      </w:r>
      <w:r w:rsidR="6A8CD0A8" w:rsidRPr="000A429A">
        <w:t xml:space="preserve"> </w:t>
      </w:r>
      <w:r w:rsidRPr="000A429A">
        <w:t>Organi</w:t>
      </w:r>
      <w:r w:rsidR="050B7831">
        <w:t>z</w:t>
      </w:r>
      <w:r w:rsidRPr="000A429A">
        <w:t>ation</w:t>
      </w:r>
      <w:r w:rsidR="6A8CD0A8" w:rsidRPr="000A429A">
        <w:t xml:space="preserve"> </w:t>
      </w:r>
      <w:r w:rsidRPr="000A429A">
        <w:t>(ILO)</w:t>
      </w:r>
      <w:r w:rsidR="6A8CD0A8" w:rsidRPr="000A429A">
        <w:t xml:space="preserve"> </w:t>
      </w:r>
      <w:r w:rsidRPr="000A429A">
        <w:t>are</w:t>
      </w:r>
      <w:r w:rsidR="6A8CD0A8" w:rsidRPr="000A429A">
        <w:t xml:space="preserve"> </w:t>
      </w:r>
      <w:r w:rsidRPr="000A429A">
        <w:t>also</w:t>
      </w:r>
      <w:r w:rsidR="6A8CD0A8" w:rsidRPr="000A429A">
        <w:t xml:space="preserve"> </w:t>
      </w:r>
      <w:r w:rsidRPr="000A429A">
        <w:t>relevant.</w:t>
      </w:r>
      <w:r w:rsidR="00AA421C" w:rsidRPr="000A429A">
        <w:rPr>
          <w:sz w:val="20"/>
          <w:szCs w:val="20"/>
          <w:vertAlign w:val="superscript"/>
        </w:rPr>
        <w:endnoteReference w:id="32"/>
      </w:r>
      <w:r w:rsidR="6A8CD0A8" w:rsidRPr="000A429A">
        <w:t xml:space="preserve">  </w:t>
      </w:r>
    </w:p>
    <w:p w14:paraId="712EA576" w14:textId="58FA9EF6" w:rsidR="00FF540D" w:rsidRPr="000A429A" w:rsidRDefault="00FF540D" w:rsidP="00FF540D">
      <w:pPr>
        <w:pStyle w:val="Heading2"/>
        <w:rPr>
          <w:color w:val="000000" w:themeColor="text1"/>
        </w:rPr>
      </w:pPr>
      <w:bookmarkStart w:id="37" w:name="_Ref50804302"/>
      <w:bookmarkStart w:id="38" w:name="_Toc51834268"/>
      <w:r w:rsidRPr="000A429A">
        <w:rPr>
          <w:i/>
          <w:iCs/>
        </w:rPr>
        <w:t>Disability</w:t>
      </w:r>
      <w:r w:rsidR="00573BA7" w:rsidRPr="000A429A">
        <w:rPr>
          <w:i/>
          <w:iCs/>
        </w:rPr>
        <w:t xml:space="preserve"> </w:t>
      </w:r>
      <w:r w:rsidRPr="000A429A">
        <w:rPr>
          <w:i/>
          <w:iCs/>
        </w:rPr>
        <w:t>Discrimination</w:t>
      </w:r>
      <w:r w:rsidR="00573BA7" w:rsidRPr="000A429A">
        <w:rPr>
          <w:i/>
          <w:iCs/>
        </w:rPr>
        <w:t xml:space="preserve"> </w:t>
      </w:r>
      <w:r w:rsidRPr="000A429A">
        <w:rPr>
          <w:i/>
          <w:iCs/>
        </w:rPr>
        <w:t>Act</w:t>
      </w:r>
      <w:r w:rsidR="00573BA7" w:rsidRPr="000A429A">
        <w:rPr>
          <w:i/>
          <w:iCs/>
        </w:rPr>
        <w:t xml:space="preserve"> </w:t>
      </w:r>
      <w:r w:rsidRPr="000A429A">
        <w:rPr>
          <w:i/>
          <w:iCs/>
        </w:rPr>
        <w:t>1992</w:t>
      </w:r>
      <w:r w:rsidR="00573BA7" w:rsidRPr="000A429A">
        <w:rPr>
          <w:i/>
          <w:iCs/>
        </w:rPr>
        <w:t xml:space="preserve"> </w:t>
      </w:r>
      <w:r w:rsidRPr="000A429A">
        <w:t>(Cth)</w:t>
      </w:r>
      <w:bookmarkEnd w:id="37"/>
      <w:bookmarkEnd w:id="38"/>
    </w:p>
    <w:p w14:paraId="258E8E64" w14:textId="06CD540B" w:rsidR="00FF540D" w:rsidRPr="000A429A" w:rsidRDefault="0AF84536" w:rsidP="000A429A">
      <w:pPr>
        <w:pStyle w:val="ListNumber"/>
        <w:rPr>
          <w:color w:val="000000" w:themeColor="text1"/>
        </w:rPr>
      </w:pPr>
      <w:r>
        <w:t>The</w:t>
      </w:r>
      <w:r w:rsidR="6A8CD0A8">
        <w:t xml:space="preserve"> </w:t>
      </w:r>
      <w:r w:rsidRPr="07069484">
        <w:rPr>
          <w:i/>
          <w:iCs/>
        </w:rPr>
        <w:t>Disability</w:t>
      </w:r>
      <w:r w:rsidR="6A8CD0A8" w:rsidRPr="07069484">
        <w:rPr>
          <w:i/>
          <w:iCs/>
        </w:rPr>
        <w:t xml:space="preserve"> </w:t>
      </w:r>
      <w:r w:rsidRPr="07069484">
        <w:rPr>
          <w:i/>
          <w:iCs/>
        </w:rPr>
        <w:t>Discrimination</w:t>
      </w:r>
      <w:r w:rsidR="6A8CD0A8" w:rsidRPr="07069484">
        <w:rPr>
          <w:i/>
          <w:iCs/>
        </w:rPr>
        <w:t xml:space="preserve"> </w:t>
      </w:r>
      <w:r w:rsidRPr="07069484">
        <w:rPr>
          <w:i/>
          <w:iCs/>
        </w:rPr>
        <w:t>Act</w:t>
      </w:r>
      <w:r w:rsidR="6A8CD0A8" w:rsidRPr="07069484">
        <w:rPr>
          <w:i/>
          <w:iCs/>
        </w:rPr>
        <w:t xml:space="preserve"> </w:t>
      </w:r>
      <w:r w:rsidRPr="07069484">
        <w:rPr>
          <w:i/>
          <w:iCs/>
        </w:rPr>
        <w:t>1992</w:t>
      </w:r>
      <w:r w:rsidR="6A8CD0A8" w:rsidRPr="07069484">
        <w:rPr>
          <w:i/>
          <w:iCs/>
        </w:rPr>
        <w:t xml:space="preserve"> </w:t>
      </w:r>
      <w:r>
        <w:t>(Cth)</w:t>
      </w:r>
      <w:r w:rsidR="6A8CD0A8">
        <w:t xml:space="preserve"> </w:t>
      </w:r>
      <w:r>
        <w:t>(Disability</w:t>
      </w:r>
      <w:r w:rsidR="6A8CD0A8">
        <w:t xml:space="preserve"> </w:t>
      </w:r>
      <w:r>
        <w:t>Discrimination</w:t>
      </w:r>
      <w:r w:rsidR="6A8CD0A8">
        <w:t xml:space="preserve"> </w:t>
      </w:r>
      <w:r>
        <w:t>Act)</w:t>
      </w:r>
      <w:r w:rsidR="6A8CD0A8">
        <w:t xml:space="preserve"> </w:t>
      </w:r>
      <w:r>
        <w:t>makes</w:t>
      </w:r>
      <w:r w:rsidR="6A8CD0A8">
        <w:t xml:space="preserve"> </w:t>
      </w:r>
      <w:r>
        <w:t>disability</w:t>
      </w:r>
      <w:r w:rsidR="6A8CD0A8">
        <w:t xml:space="preserve"> </w:t>
      </w:r>
      <w:r>
        <w:t>discrimination</w:t>
      </w:r>
      <w:r w:rsidR="6A8CD0A8">
        <w:t xml:space="preserve"> </w:t>
      </w:r>
      <w:r>
        <w:t>unlawful</w:t>
      </w:r>
      <w:r w:rsidR="6A8CD0A8">
        <w:t xml:space="preserve"> </w:t>
      </w:r>
      <w:r>
        <w:t>and</w:t>
      </w:r>
      <w:r w:rsidR="6A8CD0A8">
        <w:t xml:space="preserve"> </w:t>
      </w:r>
      <w:r>
        <w:t>promotes</w:t>
      </w:r>
      <w:r w:rsidR="6A8CD0A8">
        <w:t xml:space="preserve"> </w:t>
      </w:r>
      <w:r>
        <w:t>equal</w:t>
      </w:r>
      <w:r w:rsidR="6A8CD0A8">
        <w:t xml:space="preserve"> </w:t>
      </w:r>
      <w:r>
        <w:t>rights,</w:t>
      </w:r>
      <w:r w:rsidR="6A8CD0A8">
        <w:t xml:space="preserve"> </w:t>
      </w:r>
      <w:r>
        <w:t>equal</w:t>
      </w:r>
      <w:r w:rsidR="6A8CD0A8">
        <w:t xml:space="preserve"> </w:t>
      </w:r>
      <w:r>
        <w:t>opportunity</w:t>
      </w:r>
      <w:r w:rsidR="6A8CD0A8">
        <w:t xml:space="preserve"> </w:t>
      </w:r>
      <w:r>
        <w:t>and</w:t>
      </w:r>
      <w:r w:rsidR="6A8CD0A8">
        <w:t xml:space="preserve"> </w:t>
      </w:r>
      <w:r>
        <w:t>equal</w:t>
      </w:r>
      <w:r w:rsidR="6A8CD0A8">
        <w:t xml:space="preserve"> </w:t>
      </w:r>
      <w:r>
        <w:t>access</w:t>
      </w:r>
      <w:r w:rsidR="6A8CD0A8">
        <w:t xml:space="preserve"> </w:t>
      </w:r>
      <w:r>
        <w:t>for</w:t>
      </w:r>
      <w:r w:rsidR="6A8CD0A8">
        <w:t xml:space="preserve"> </w:t>
      </w:r>
      <w:r>
        <w:t>people</w:t>
      </w:r>
      <w:r w:rsidR="6A8CD0A8">
        <w:t xml:space="preserve"> </w:t>
      </w:r>
      <w:r>
        <w:t>with</w:t>
      </w:r>
      <w:r w:rsidR="6A8CD0A8">
        <w:t xml:space="preserve"> </w:t>
      </w:r>
      <w:r>
        <w:t>disability,</w:t>
      </w:r>
      <w:r w:rsidR="6A8CD0A8">
        <w:t xml:space="preserve"> </w:t>
      </w:r>
      <w:r>
        <w:t>including</w:t>
      </w:r>
      <w:r w:rsidR="6A8CD0A8">
        <w:t xml:space="preserve"> </w:t>
      </w:r>
      <w:r>
        <w:t>in</w:t>
      </w:r>
      <w:r w:rsidR="6A8CD0A8">
        <w:t xml:space="preserve"> </w:t>
      </w:r>
      <w:r>
        <w:t>relation</w:t>
      </w:r>
      <w:r w:rsidR="6A8CD0A8">
        <w:t xml:space="preserve"> </w:t>
      </w:r>
      <w:r>
        <w:t>to</w:t>
      </w:r>
      <w:r w:rsidR="6A8CD0A8">
        <w:t xml:space="preserve"> </w:t>
      </w:r>
      <w:r>
        <w:t>employment.</w:t>
      </w:r>
      <w:r w:rsidR="6A8CD0A8">
        <w:t xml:space="preserve"> </w:t>
      </w:r>
      <w:r>
        <w:t>The</w:t>
      </w:r>
      <w:r w:rsidR="6A8CD0A8">
        <w:t xml:space="preserve"> </w:t>
      </w:r>
      <w:r>
        <w:t>Disability</w:t>
      </w:r>
      <w:r w:rsidR="6A8CD0A8">
        <w:t xml:space="preserve"> </w:t>
      </w:r>
      <w:r>
        <w:t>Discrimination</w:t>
      </w:r>
      <w:r w:rsidR="6A8CD0A8">
        <w:t xml:space="preserve"> </w:t>
      </w:r>
      <w:r>
        <w:t>Act</w:t>
      </w:r>
      <w:r w:rsidR="6A8CD0A8">
        <w:t xml:space="preserve"> </w:t>
      </w:r>
      <w:r>
        <w:t>complements</w:t>
      </w:r>
      <w:r w:rsidR="6A8CD0A8">
        <w:t xml:space="preserve"> </w:t>
      </w:r>
      <w:r>
        <w:t>other</w:t>
      </w:r>
      <w:r w:rsidR="6A8CD0A8">
        <w:t xml:space="preserve"> </w:t>
      </w:r>
      <w:r>
        <w:t>anti-discrimination</w:t>
      </w:r>
      <w:r w:rsidR="6A8CD0A8">
        <w:t xml:space="preserve"> </w:t>
      </w:r>
      <w:r>
        <w:t>laws</w:t>
      </w:r>
      <w:r w:rsidR="6A8CD0A8">
        <w:t xml:space="preserve"> </w:t>
      </w:r>
      <w:r>
        <w:t>operating</w:t>
      </w:r>
      <w:r w:rsidR="6A8CD0A8">
        <w:t xml:space="preserve"> </w:t>
      </w:r>
      <w:r>
        <w:t>at</w:t>
      </w:r>
      <w:r w:rsidR="6A8CD0A8">
        <w:t xml:space="preserve"> </w:t>
      </w:r>
      <w:r>
        <w:t>the</w:t>
      </w:r>
      <w:r w:rsidR="6A8CD0A8">
        <w:t xml:space="preserve"> </w:t>
      </w:r>
      <w:r>
        <w:t>Federal,</w:t>
      </w:r>
      <w:r w:rsidR="6A8CD0A8">
        <w:t xml:space="preserve"> </w:t>
      </w:r>
      <w:r w:rsidR="00AA6C63">
        <w:t>s</w:t>
      </w:r>
      <w:r>
        <w:t>tate</w:t>
      </w:r>
      <w:r w:rsidR="6A8CD0A8">
        <w:t xml:space="preserve"> </w:t>
      </w:r>
      <w:r>
        <w:t>and</w:t>
      </w:r>
      <w:r w:rsidR="6A8CD0A8">
        <w:t xml:space="preserve"> </w:t>
      </w:r>
      <w:r w:rsidR="00AA6C63">
        <w:t>t</w:t>
      </w:r>
      <w:r>
        <w:t>erritory</w:t>
      </w:r>
      <w:r w:rsidR="6A8CD0A8">
        <w:t xml:space="preserve"> </w:t>
      </w:r>
      <w:r>
        <w:t>level</w:t>
      </w:r>
      <w:r w:rsidR="6FBE995B">
        <w:t>s</w:t>
      </w:r>
      <w:r>
        <w:t>.</w:t>
      </w:r>
      <w:r w:rsidR="6A8CD0A8">
        <w:t xml:space="preserve">  </w:t>
      </w:r>
    </w:p>
    <w:p w14:paraId="28C84248" w14:textId="0E1DD53C" w:rsidR="0000635F" w:rsidRDefault="0AF84536" w:rsidP="07069484">
      <w:pPr>
        <w:pStyle w:val="ListNumber"/>
        <w:spacing w:line="259" w:lineRule="auto"/>
        <w:rPr>
          <w:rFonts w:eastAsia="Open Sans" w:cs="Open Sans"/>
        </w:rPr>
      </w:pPr>
      <w:r w:rsidRPr="000A429A">
        <w:t>The</w:t>
      </w:r>
      <w:r w:rsidR="6A8CD0A8" w:rsidRPr="000A429A">
        <w:t xml:space="preserve"> </w:t>
      </w:r>
      <w:r w:rsidRPr="000A429A">
        <w:t>Disability</w:t>
      </w:r>
      <w:r w:rsidR="6A8CD0A8" w:rsidRPr="000A429A">
        <w:t xml:space="preserve"> </w:t>
      </w:r>
      <w:r w:rsidRPr="000A429A">
        <w:t>Discrimination</w:t>
      </w:r>
      <w:r w:rsidR="6A8CD0A8" w:rsidRPr="000A429A">
        <w:t xml:space="preserve"> </w:t>
      </w:r>
      <w:r w:rsidRPr="000A429A">
        <w:t>Act</w:t>
      </w:r>
      <w:r w:rsidR="6A8CD0A8" w:rsidRPr="000A429A">
        <w:t xml:space="preserve"> </w:t>
      </w:r>
      <w:r w:rsidRPr="000A429A">
        <w:t>prohibits</w:t>
      </w:r>
      <w:r w:rsidR="6A8CD0A8" w:rsidRPr="000A429A">
        <w:t xml:space="preserve"> </w:t>
      </w:r>
      <w:r w:rsidRPr="000A429A">
        <w:t>direct</w:t>
      </w:r>
      <w:r w:rsidR="6A8CD0A8" w:rsidRPr="000A429A">
        <w:t xml:space="preserve"> </w:t>
      </w:r>
      <w:r w:rsidRPr="000A429A">
        <w:t>and</w:t>
      </w:r>
      <w:r w:rsidR="6A8CD0A8" w:rsidRPr="000A429A">
        <w:t xml:space="preserve"> </w:t>
      </w:r>
      <w:r w:rsidRPr="000A429A">
        <w:t>indirect</w:t>
      </w:r>
      <w:r w:rsidR="6A8CD0A8" w:rsidRPr="000A429A">
        <w:t xml:space="preserve"> </w:t>
      </w:r>
      <w:r w:rsidRPr="000A429A">
        <w:t>discrimination.</w:t>
      </w:r>
      <w:r w:rsidR="6A8CD0A8" w:rsidRPr="000A429A">
        <w:t xml:space="preserve"> </w:t>
      </w:r>
      <w:r w:rsidR="382F9016">
        <w:t>‘</w:t>
      </w:r>
      <w:r w:rsidRPr="000A429A">
        <w:t>Direct</w:t>
      </w:r>
      <w:r w:rsidR="218DA4D0" w:rsidRPr="000A429A">
        <w:t>’</w:t>
      </w:r>
      <w:r w:rsidR="6A8CD0A8" w:rsidRPr="000A429A">
        <w:t xml:space="preserve"> </w:t>
      </w:r>
      <w:r w:rsidRPr="000A429A">
        <w:t>discrimination</w:t>
      </w:r>
      <w:r w:rsidR="6A8CD0A8" w:rsidRPr="000A429A">
        <w:t xml:space="preserve"> </w:t>
      </w:r>
      <w:r w:rsidR="0B65AD6D" w:rsidRPr="000A429A">
        <w:t>occurs</w:t>
      </w:r>
      <w:r w:rsidR="3CA0E09B" w:rsidRPr="000A429A">
        <w:t xml:space="preserve"> when</w:t>
      </w:r>
      <w:r w:rsidR="6A8CD0A8" w:rsidRPr="000A429A">
        <w:t xml:space="preserve"> </w:t>
      </w:r>
      <w:r w:rsidRPr="000A429A">
        <w:t>a</w:t>
      </w:r>
      <w:r w:rsidR="6A8CD0A8" w:rsidRPr="000A429A">
        <w:t xml:space="preserve"> </w:t>
      </w:r>
      <w:r w:rsidRPr="000A429A">
        <w:t>person</w:t>
      </w:r>
      <w:r w:rsidR="6A8CD0A8" w:rsidRPr="000A429A">
        <w:t xml:space="preserve"> </w:t>
      </w:r>
      <w:r w:rsidRPr="000A429A">
        <w:t>with</w:t>
      </w:r>
      <w:r w:rsidR="6A8CD0A8" w:rsidRPr="000A429A">
        <w:t xml:space="preserve"> </w:t>
      </w:r>
      <w:r w:rsidRPr="000A429A">
        <w:t>disability</w:t>
      </w:r>
      <w:r w:rsidR="6A8CD0A8" w:rsidRPr="000A429A">
        <w:t xml:space="preserve"> </w:t>
      </w:r>
      <w:r w:rsidR="3CA0E09B" w:rsidRPr="000A429A">
        <w:t xml:space="preserve">is treated </w:t>
      </w:r>
      <w:r w:rsidRPr="000A429A">
        <w:t>less</w:t>
      </w:r>
      <w:r w:rsidR="6A8CD0A8" w:rsidRPr="000A429A">
        <w:t xml:space="preserve"> </w:t>
      </w:r>
      <w:r w:rsidRPr="000A429A">
        <w:t>favourably</w:t>
      </w:r>
      <w:r w:rsidR="6A8CD0A8" w:rsidRPr="000A429A">
        <w:t xml:space="preserve"> </w:t>
      </w:r>
      <w:r w:rsidRPr="000A429A">
        <w:t>than</w:t>
      </w:r>
      <w:r w:rsidR="6A8CD0A8" w:rsidRPr="000A429A">
        <w:t xml:space="preserve"> </w:t>
      </w:r>
      <w:r w:rsidRPr="000A429A">
        <w:t>a</w:t>
      </w:r>
      <w:r w:rsidR="6A8CD0A8" w:rsidRPr="000A429A">
        <w:t xml:space="preserve"> </w:t>
      </w:r>
      <w:r w:rsidRPr="000A429A">
        <w:t>person</w:t>
      </w:r>
      <w:r w:rsidR="6A8CD0A8" w:rsidRPr="000A429A">
        <w:t xml:space="preserve"> </w:t>
      </w:r>
      <w:r w:rsidRPr="000A429A">
        <w:t>without</w:t>
      </w:r>
      <w:r w:rsidR="6A8CD0A8" w:rsidRPr="000A429A">
        <w:t xml:space="preserve"> </w:t>
      </w:r>
      <w:r w:rsidRPr="000A429A">
        <w:t>disability</w:t>
      </w:r>
      <w:r w:rsidR="6A8CD0A8" w:rsidRPr="000A429A">
        <w:t xml:space="preserve"> </w:t>
      </w:r>
      <w:r w:rsidRPr="000A429A">
        <w:t>in</w:t>
      </w:r>
      <w:r w:rsidR="6A8CD0A8" w:rsidRPr="000A429A">
        <w:t xml:space="preserve"> </w:t>
      </w:r>
      <w:r w:rsidRPr="000A429A">
        <w:t>the</w:t>
      </w:r>
      <w:r w:rsidR="6A8CD0A8" w:rsidRPr="000A429A">
        <w:t xml:space="preserve"> </w:t>
      </w:r>
      <w:r w:rsidRPr="000A429A">
        <w:t>same</w:t>
      </w:r>
      <w:r w:rsidR="6A8CD0A8" w:rsidRPr="000A429A">
        <w:t xml:space="preserve"> </w:t>
      </w:r>
      <w:r w:rsidRPr="000A429A">
        <w:t>or</w:t>
      </w:r>
      <w:r w:rsidR="6A8CD0A8" w:rsidRPr="000A429A">
        <w:t xml:space="preserve"> </w:t>
      </w:r>
      <w:r w:rsidRPr="000A429A">
        <w:t>similar</w:t>
      </w:r>
      <w:r w:rsidR="6A8CD0A8" w:rsidRPr="000A429A">
        <w:t xml:space="preserve"> </w:t>
      </w:r>
      <w:r w:rsidRPr="000A429A">
        <w:t>circumstances.</w:t>
      </w:r>
      <w:r w:rsidR="6A8CD0A8">
        <w:t xml:space="preserve"> </w:t>
      </w:r>
      <w:r w:rsidR="39D9142D">
        <w:t>‘</w:t>
      </w:r>
      <w:r w:rsidRPr="003F4CE1">
        <w:t>Indirect</w:t>
      </w:r>
      <w:r w:rsidR="0CF81162" w:rsidRPr="003F4CE1">
        <w:t>’</w:t>
      </w:r>
      <w:r w:rsidR="6A8CD0A8">
        <w:t xml:space="preserve"> </w:t>
      </w:r>
      <w:r w:rsidRPr="003F4CE1">
        <w:t>discrimination</w:t>
      </w:r>
      <w:r w:rsidR="6A8CD0A8">
        <w:t xml:space="preserve"> </w:t>
      </w:r>
      <w:r w:rsidRPr="003F4CE1">
        <w:t>occurs</w:t>
      </w:r>
      <w:r w:rsidR="6A8CD0A8">
        <w:t xml:space="preserve"> </w:t>
      </w:r>
      <w:r w:rsidRPr="003F4CE1">
        <w:t>when</w:t>
      </w:r>
      <w:r w:rsidR="0CA8116E" w:rsidRPr="0000635F">
        <w:t xml:space="preserve"> </w:t>
      </w:r>
      <w:r w:rsidR="0CA8116E">
        <w:t xml:space="preserve"> a condition,</w:t>
      </w:r>
      <w:r w:rsidR="75B539E4">
        <w:t xml:space="preserve"> requirement or</w:t>
      </w:r>
      <w:r w:rsidR="1262F8C3">
        <w:t xml:space="preserve"> </w:t>
      </w:r>
      <w:r w:rsidR="75B539E4">
        <w:t xml:space="preserve">practice that applies to everyone disadvantages people with disability, and the condition, requirement or practice is not reasonable in the circumstances. </w:t>
      </w:r>
      <w:r w:rsidR="00C81DB6" w:rsidRPr="003F4CE1">
        <w:rPr>
          <w:rStyle w:val="EndnoteReference"/>
        </w:rPr>
        <w:endnoteReference w:id="33"/>
      </w:r>
    </w:p>
    <w:p w14:paraId="3F3F72C4" w14:textId="6E7E9B4E" w:rsidR="00FF540D" w:rsidRPr="003F4CE1" w:rsidRDefault="00FF540D" w:rsidP="00FF540D">
      <w:pPr>
        <w:pStyle w:val="ListNumber"/>
        <w:rPr>
          <w:color w:val="000000" w:themeColor="text1"/>
        </w:rPr>
      </w:pPr>
      <w:r w:rsidRPr="003F4CE1">
        <w:t>The</w:t>
      </w:r>
      <w:r w:rsidR="00573BA7">
        <w:t xml:space="preserve"> </w:t>
      </w:r>
      <w:r w:rsidRPr="003F4CE1">
        <w:t>Disability</w:t>
      </w:r>
      <w:r w:rsidR="00573BA7">
        <w:t xml:space="preserve"> </w:t>
      </w:r>
      <w:r w:rsidRPr="003F4CE1">
        <w:t>Discrimination</w:t>
      </w:r>
      <w:r w:rsidR="00573BA7">
        <w:t xml:space="preserve"> </w:t>
      </w:r>
      <w:r w:rsidRPr="003F4CE1">
        <w:t>Act</w:t>
      </w:r>
      <w:r w:rsidR="00573BA7">
        <w:t xml:space="preserve"> </w:t>
      </w:r>
      <w:r w:rsidRPr="003F4CE1">
        <w:t>makes</w:t>
      </w:r>
      <w:r w:rsidR="00573BA7">
        <w:t xml:space="preserve"> </w:t>
      </w:r>
      <w:r w:rsidRPr="003F4CE1">
        <w:t>discrimination</w:t>
      </w:r>
      <w:r w:rsidR="00573BA7">
        <w:t xml:space="preserve"> </w:t>
      </w:r>
      <w:r w:rsidRPr="003F4CE1">
        <w:t>unlawful</w:t>
      </w:r>
      <w:r w:rsidR="00573BA7">
        <w:t xml:space="preserve"> </w:t>
      </w:r>
      <w:r w:rsidRPr="003F4CE1">
        <w:t>in</w:t>
      </w:r>
      <w:r w:rsidR="00573BA7">
        <w:t xml:space="preserve"> </w:t>
      </w:r>
      <w:r w:rsidRPr="003F4CE1">
        <w:t>all</w:t>
      </w:r>
      <w:r w:rsidR="00573BA7">
        <w:t xml:space="preserve"> </w:t>
      </w:r>
      <w:r w:rsidRPr="003F4CE1">
        <w:t>areas</w:t>
      </w:r>
      <w:r w:rsidR="00573BA7">
        <w:t xml:space="preserve"> </w:t>
      </w:r>
      <w:r w:rsidRPr="003F4CE1">
        <w:t>and</w:t>
      </w:r>
      <w:r w:rsidR="00573BA7">
        <w:t xml:space="preserve"> </w:t>
      </w:r>
      <w:r w:rsidR="00571028">
        <w:t xml:space="preserve">at all </w:t>
      </w:r>
      <w:r w:rsidRPr="003F4CE1">
        <w:t>stages</w:t>
      </w:r>
      <w:r w:rsidR="00573BA7">
        <w:t xml:space="preserve"> </w:t>
      </w:r>
      <w:r w:rsidRPr="003F4CE1">
        <w:t>of</w:t>
      </w:r>
      <w:r w:rsidR="00573BA7">
        <w:t xml:space="preserve"> </w:t>
      </w:r>
      <w:r w:rsidRPr="003F4CE1">
        <w:t>employment.</w:t>
      </w:r>
      <w:r w:rsidRPr="003F4CE1">
        <w:rPr>
          <w:rStyle w:val="EndnoteReference"/>
        </w:rPr>
        <w:endnoteReference w:id="34"/>
      </w:r>
      <w:r w:rsidR="00573BA7">
        <w:t xml:space="preserve"> </w:t>
      </w:r>
      <w:r>
        <w:t>The</w:t>
      </w:r>
      <w:r w:rsidR="00573BA7">
        <w:t xml:space="preserve"> </w:t>
      </w:r>
      <w:r>
        <w:t>provisions</w:t>
      </w:r>
      <w:r w:rsidR="00573BA7">
        <w:t xml:space="preserve"> </w:t>
      </w:r>
      <w:r>
        <w:t>preventing</w:t>
      </w:r>
      <w:r w:rsidR="00573BA7">
        <w:t xml:space="preserve"> </w:t>
      </w:r>
      <w:r>
        <w:t>discrimination</w:t>
      </w:r>
      <w:r w:rsidR="00573BA7">
        <w:t xml:space="preserve"> </w:t>
      </w:r>
      <w:r>
        <w:t>in</w:t>
      </w:r>
      <w:r w:rsidR="00573BA7">
        <w:t xml:space="preserve"> </w:t>
      </w:r>
      <w:r>
        <w:t>employment</w:t>
      </w:r>
      <w:r w:rsidR="00573BA7">
        <w:t xml:space="preserve"> </w:t>
      </w:r>
      <w:r>
        <w:t>are</w:t>
      </w:r>
      <w:r w:rsidR="00573BA7">
        <w:t xml:space="preserve"> </w:t>
      </w:r>
      <w:r>
        <w:t>explicitly</w:t>
      </w:r>
      <w:r w:rsidR="00573BA7">
        <w:t xml:space="preserve"> </w:t>
      </w:r>
      <w:r>
        <w:t>intended</w:t>
      </w:r>
      <w:r w:rsidR="00573BA7">
        <w:t xml:space="preserve"> </w:t>
      </w:r>
      <w:r>
        <w:t>to</w:t>
      </w:r>
      <w:r w:rsidR="00573BA7">
        <w:t xml:space="preserve"> </w:t>
      </w:r>
      <w:r>
        <w:t>give</w:t>
      </w:r>
      <w:r w:rsidR="00573BA7">
        <w:t xml:space="preserve"> </w:t>
      </w:r>
      <w:r>
        <w:t>effect</w:t>
      </w:r>
      <w:r w:rsidR="00573BA7">
        <w:t xml:space="preserve"> </w:t>
      </w:r>
      <w:r>
        <w:t>to</w:t>
      </w:r>
      <w:r w:rsidR="00573BA7">
        <w:t xml:space="preserve"> </w:t>
      </w:r>
      <w:r>
        <w:t>Australia’s</w:t>
      </w:r>
      <w:r w:rsidR="00573BA7">
        <w:t xml:space="preserve"> </w:t>
      </w:r>
      <w:r>
        <w:t>obligations</w:t>
      </w:r>
      <w:r w:rsidR="00573BA7">
        <w:t xml:space="preserve"> </w:t>
      </w:r>
      <w:r>
        <w:t>under</w:t>
      </w:r>
      <w:r w:rsidR="00573BA7">
        <w:t xml:space="preserve"> </w:t>
      </w:r>
      <w:r>
        <w:t>the</w:t>
      </w:r>
      <w:r w:rsidR="00573BA7">
        <w:t xml:space="preserve"> </w:t>
      </w:r>
      <w:r>
        <w:t>CRPD.</w:t>
      </w:r>
      <w:r>
        <w:rPr>
          <w:rStyle w:val="EndnoteReference"/>
        </w:rPr>
        <w:endnoteReference w:id="35"/>
      </w:r>
      <w:r w:rsidR="00573BA7">
        <w:t xml:space="preserve"> </w:t>
      </w:r>
      <w:r w:rsidR="004E15B9">
        <w:t>In particular</w:t>
      </w:r>
      <w:r w:rsidRPr="003F4CE1">
        <w:t>,</w:t>
      </w:r>
      <w:r w:rsidR="00573BA7">
        <w:t xml:space="preserve"> </w:t>
      </w:r>
      <w:r w:rsidRPr="003F4CE1">
        <w:t>it</w:t>
      </w:r>
      <w:r w:rsidR="00573BA7">
        <w:t xml:space="preserve"> </w:t>
      </w:r>
      <w:r w:rsidRPr="003F4CE1">
        <w:t>is</w:t>
      </w:r>
      <w:r w:rsidR="00573BA7">
        <w:t xml:space="preserve"> </w:t>
      </w:r>
      <w:r w:rsidRPr="003F4CE1">
        <w:t>unlawful</w:t>
      </w:r>
      <w:r w:rsidR="00573BA7">
        <w:t xml:space="preserve"> </w:t>
      </w:r>
      <w:r w:rsidRPr="003F4CE1">
        <w:t>for</w:t>
      </w:r>
      <w:r w:rsidR="00573BA7">
        <w:t xml:space="preserve"> </w:t>
      </w:r>
      <w:r w:rsidRPr="003F4CE1">
        <w:t>an</w:t>
      </w:r>
      <w:r w:rsidR="00573BA7">
        <w:t xml:space="preserve"> </w:t>
      </w:r>
      <w:r w:rsidRPr="003F4CE1">
        <w:t>employer</w:t>
      </w:r>
      <w:r w:rsidR="00573BA7">
        <w:t xml:space="preserve"> </w:t>
      </w:r>
      <w:r w:rsidRPr="003F4CE1">
        <w:t>to</w:t>
      </w:r>
      <w:r w:rsidR="00573BA7">
        <w:t xml:space="preserve"> </w:t>
      </w:r>
      <w:r w:rsidRPr="003F4CE1">
        <w:t>discriminate</w:t>
      </w:r>
      <w:r w:rsidR="00573BA7">
        <w:t xml:space="preserve"> </w:t>
      </w:r>
      <w:r w:rsidRPr="003F4CE1">
        <w:t>on</w:t>
      </w:r>
      <w:r w:rsidR="00573BA7">
        <w:t xml:space="preserve"> </w:t>
      </w:r>
      <w:r w:rsidRPr="003F4CE1">
        <w:t>the</w:t>
      </w:r>
      <w:r w:rsidR="00573BA7">
        <w:t xml:space="preserve"> </w:t>
      </w:r>
      <w:r w:rsidRPr="003F4CE1">
        <w:t>ground</w:t>
      </w:r>
      <w:r w:rsidR="00573BA7">
        <w:t xml:space="preserve"> </w:t>
      </w:r>
      <w:r w:rsidRPr="003F4CE1">
        <w:t>of</w:t>
      </w:r>
      <w:r w:rsidR="00573BA7">
        <w:t xml:space="preserve"> </w:t>
      </w:r>
      <w:r w:rsidRPr="003F4CE1">
        <w:t>a</w:t>
      </w:r>
      <w:r w:rsidR="00573BA7">
        <w:t xml:space="preserve"> </w:t>
      </w:r>
      <w:r w:rsidRPr="003F4CE1">
        <w:t>person’s</w:t>
      </w:r>
      <w:r w:rsidR="00573BA7">
        <w:t xml:space="preserve"> </w:t>
      </w:r>
      <w:r w:rsidRPr="003F4CE1">
        <w:t>disability:</w:t>
      </w:r>
      <w:r w:rsidR="00573BA7">
        <w:t xml:space="preserve"> </w:t>
      </w:r>
    </w:p>
    <w:p w14:paraId="00229928" w14:textId="2A5164BF" w:rsidR="00FF540D" w:rsidRPr="003F4CE1" w:rsidRDefault="00FF540D" w:rsidP="00FF540D">
      <w:pPr>
        <w:pStyle w:val="ListNumber2"/>
        <w:numPr>
          <w:ilvl w:val="0"/>
          <w:numId w:val="17"/>
        </w:numPr>
        <w:rPr>
          <w:color w:val="000000" w:themeColor="text1"/>
        </w:rPr>
      </w:pPr>
      <w:r w:rsidRPr="003F4CE1">
        <w:t>in</w:t>
      </w:r>
      <w:r w:rsidR="00573BA7">
        <w:t xml:space="preserve"> </w:t>
      </w:r>
      <w:r w:rsidRPr="003F4CE1">
        <w:t>offering</w:t>
      </w:r>
      <w:r w:rsidR="00573BA7">
        <w:t xml:space="preserve"> </w:t>
      </w:r>
      <w:r w:rsidRPr="003F4CE1">
        <w:t>employment,</w:t>
      </w:r>
      <w:r w:rsidR="00573BA7">
        <w:t xml:space="preserve"> </w:t>
      </w:r>
      <w:r w:rsidRPr="003F4CE1">
        <w:t>including</w:t>
      </w:r>
      <w:r w:rsidR="00573BA7">
        <w:t xml:space="preserve"> </w:t>
      </w:r>
      <w:r w:rsidRPr="003F4CE1">
        <w:t>the</w:t>
      </w:r>
      <w:r w:rsidR="00573BA7">
        <w:t xml:space="preserve"> </w:t>
      </w:r>
      <w:r w:rsidRPr="003F4CE1">
        <w:t>processes</w:t>
      </w:r>
      <w:r w:rsidR="00573BA7">
        <w:t xml:space="preserve"> </w:t>
      </w:r>
      <w:r w:rsidRPr="003F4CE1">
        <w:t>of</w:t>
      </w:r>
      <w:r w:rsidR="00573BA7">
        <w:t xml:space="preserve"> </w:t>
      </w:r>
      <w:r w:rsidRPr="003F4CE1">
        <w:t>determining</w:t>
      </w:r>
      <w:r w:rsidR="00573BA7">
        <w:t xml:space="preserve"> </w:t>
      </w:r>
      <w:r w:rsidRPr="003F4CE1">
        <w:t>who</w:t>
      </w:r>
      <w:r w:rsidR="00573BA7">
        <w:t xml:space="preserve"> </w:t>
      </w:r>
      <w:r w:rsidRPr="003F4CE1">
        <w:t>should</w:t>
      </w:r>
      <w:r w:rsidR="00573BA7">
        <w:t xml:space="preserve"> </w:t>
      </w:r>
      <w:r w:rsidRPr="003F4CE1">
        <w:t>be</w:t>
      </w:r>
      <w:r w:rsidR="00573BA7">
        <w:t xml:space="preserve"> </w:t>
      </w:r>
      <w:r w:rsidRPr="003F4CE1">
        <w:t>offered</w:t>
      </w:r>
      <w:r w:rsidR="00573BA7">
        <w:t xml:space="preserve"> </w:t>
      </w:r>
      <w:r w:rsidRPr="003F4CE1">
        <w:t>employment</w:t>
      </w:r>
    </w:p>
    <w:p w14:paraId="4A5A3FBD" w14:textId="0F92B181" w:rsidR="00FF540D" w:rsidRPr="003F4CE1" w:rsidRDefault="00FF540D" w:rsidP="00FF540D">
      <w:pPr>
        <w:pStyle w:val="ListNumber2"/>
        <w:numPr>
          <w:ilvl w:val="0"/>
          <w:numId w:val="17"/>
        </w:numPr>
        <w:rPr>
          <w:color w:val="000000" w:themeColor="text1"/>
        </w:rPr>
      </w:pPr>
      <w:r w:rsidRPr="003F4CE1">
        <w:t>in</w:t>
      </w:r>
      <w:r w:rsidR="00573BA7">
        <w:t xml:space="preserve"> </w:t>
      </w:r>
      <w:r w:rsidRPr="003F4CE1">
        <w:t>the</w:t>
      </w:r>
      <w:r w:rsidR="00573BA7">
        <w:t xml:space="preserve"> </w:t>
      </w:r>
      <w:r w:rsidRPr="003F4CE1">
        <w:t>terms</w:t>
      </w:r>
      <w:r w:rsidR="00573BA7">
        <w:t xml:space="preserve"> </w:t>
      </w:r>
      <w:r w:rsidRPr="003F4CE1">
        <w:t>or</w:t>
      </w:r>
      <w:r w:rsidR="00573BA7">
        <w:t xml:space="preserve"> </w:t>
      </w:r>
      <w:r w:rsidRPr="003F4CE1">
        <w:t>conditions</w:t>
      </w:r>
      <w:r w:rsidR="00573BA7">
        <w:t xml:space="preserve"> </w:t>
      </w:r>
      <w:r w:rsidRPr="003F4CE1">
        <w:t>of</w:t>
      </w:r>
      <w:r w:rsidR="00573BA7">
        <w:t xml:space="preserve"> </w:t>
      </w:r>
      <w:r w:rsidRPr="003F4CE1">
        <w:t>employment</w:t>
      </w:r>
    </w:p>
    <w:p w14:paraId="034C15F3" w14:textId="09B06B99" w:rsidR="00FF540D" w:rsidRPr="003F4CE1" w:rsidRDefault="00FF540D" w:rsidP="00FF540D">
      <w:pPr>
        <w:pStyle w:val="ListNumber2"/>
        <w:numPr>
          <w:ilvl w:val="0"/>
          <w:numId w:val="17"/>
        </w:numPr>
        <w:rPr>
          <w:color w:val="000000" w:themeColor="text1"/>
        </w:rPr>
      </w:pPr>
      <w:r w:rsidRPr="003F4CE1">
        <w:t>by</w:t>
      </w:r>
      <w:r w:rsidR="00573BA7">
        <w:t xml:space="preserve"> </w:t>
      </w:r>
      <w:r w:rsidRPr="003F4CE1">
        <w:t>denying</w:t>
      </w:r>
      <w:r w:rsidR="00573BA7">
        <w:t xml:space="preserve"> </w:t>
      </w:r>
      <w:r w:rsidRPr="003F4CE1">
        <w:t>or</w:t>
      </w:r>
      <w:r w:rsidR="00573BA7">
        <w:t xml:space="preserve"> </w:t>
      </w:r>
      <w:r w:rsidRPr="003F4CE1">
        <w:t>limiting</w:t>
      </w:r>
      <w:r w:rsidR="00573BA7">
        <w:t xml:space="preserve"> </w:t>
      </w:r>
      <w:r w:rsidRPr="003F4CE1">
        <w:t>opportunities</w:t>
      </w:r>
      <w:r w:rsidR="00573BA7">
        <w:t xml:space="preserve"> </w:t>
      </w:r>
      <w:r w:rsidRPr="003F4CE1">
        <w:t>for</w:t>
      </w:r>
      <w:r w:rsidR="00573BA7">
        <w:t xml:space="preserve"> </w:t>
      </w:r>
      <w:r w:rsidRPr="003F4CE1">
        <w:t>promotion,</w:t>
      </w:r>
      <w:r w:rsidR="00573BA7">
        <w:t xml:space="preserve"> </w:t>
      </w:r>
      <w:r w:rsidRPr="003F4CE1">
        <w:t>transfer</w:t>
      </w:r>
      <w:r w:rsidR="00573BA7">
        <w:t xml:space="preserve"> </w:t>
      </w:r>
      <w:r w:rsidRPr="003F4CE1">
        <w:t>or</w:t>
      </w:r>
      <w:r w:rsidR="00573BA7">
        <w:t xml:space="preserve"> </w:t>
      </w:r>
      <w:r w:rsidRPr="003F4CE1">
        <w:t>training,</w:t>
      </w:r>
      <w:r w:rsidR="00573BA7">
        <w:t xml:space="preserve"> </w:t>
      </w:r>
      <w:r w:rsidRPr="003F4CE1">
        <w:t>or</w:t>
      </w:r>
      <w:r w:rsidR="00573BA7">
        <w:t xml:space="preserve"> </w:t>
      </w:r>
      <w:r w:rsidRPr="003F4CE1">
        <w:t>to</w:t>
      </w:r>
      <w:r w:rsidR="00573BA7">
        <w:t xml:space="preserve"> </w:t>
      </w:r>
      <w:r w:rsidRPr="003F4CE1">
        <w:t>other</w:t>
      </w:r>
      <w:r w:rsidR="00573BA7">
        <w:t xml:space="preserve"> </w:t>
      </w:r>
      <w:r w:rsidRPr="003F4CE1">
        <w:t>benefits</w:t>
      </w:r>
      <w:r w:rsidR="00573BA7">
        <w:t xml:space="preserve"> </w:t>
      </w:r>
      <w:r w:rsidRPr="003F4CE1">
        <w:t>associated</w:t>
      </w:r>
      <w:r w:rsidR="00573BA7">
        <w:t xml:space="preserve"> </w:t>
      </w:r>
      <w:r w:rsidRPr="003F4CE1">
        <w:t>with</w:t>
      </w:r>
      <w:r w:rsidR="00573BA7">
        <w:t xml:space="preserve"> </w:t>
      </w:r>
      <w:r w:rsidRPr="003F4CE1">
        <w:t>employment</w:t>
      </w:r>
      <w:r w:rsidR="00573BA7">
        <w:t xml:space="preserve"> </w:t>
      </w:r>
    </w:p>
    <w:p w14:paraId="18F2B670" w14:textId="501C75DE" w:rsidR="00FF540D" w:rsidRPr="003F4CE1" w:rsidRDefault="00FF540D" w:rsidP="00FF540D">
      <w:pPr>
        <w:pStyle w:val="ListNumber2"/>
        <w:numPr>
          <w:ilvl w:val="0"/>
          <w:numId w:val="17"/>
        </w:numPr>
        <w:rPr>
          <w:color w:val="000000" w:themeColor="text1"/>
        </w:rPr>
      </w:pPr>
      <w:r w:rsidRPr="003F4CE1">
        <w:t>by</w:t>
      </w:r>
      <w:r w:rsidR="00573BA7">
        <w:t xml:space="preserve"> </w:t>
      </w:r>
      <w:r w:rsidRPr="003F4CE1">
        <w:t>dismissing</w:t>
      </w:r>
      <w:r w:rsidR="00573BA7">
        <w:t xml:space="preserve"> </w:t>
      </w:r>
      <w:r w:rsidRPr="003F4CE1">
        <w:t>the</w:t>
      </w:r>
      <w:r w:rsidR="00573BA7">
        <w:t xml:space="preserve"> </w:t>
      </w:r>
      <w:r w:rsidRPr="003F4CE1">
        <w:t>employee</w:t>
      </w:r>
      <w:r w:rsidR="00573BA7">
        <w:t xml:space="preserve"> </w:t>
      </w:r>
      <w:r w:rsidRPr="003F4CE1">
        <w:t>or</w:t>
      </w:r>
    </w:p>
    <w:p w14:paraId="324DB225" w14:textId="77777777" w:rsidR="00FF540D" w:rsidRPr="003F4CE1" w:rsidRDefault="00FF540D" w:rsidP="00FF540D">
      <w:pPr>
        <w:pStyle w:val="ListNumber2"/>
        <w:numPr>
          <w:ilvl w:val="0"/>
          <w:numId w:val="17"/>
        </w:numPr>
        <w:rPr>
          <w:color w:val="000000" w:themeColor="text1"/>
        </w:rPr>
      </w:pPr>
      <w:r w:rsidRPr="003F4CE1">
        <w:t>by</w:t>
      </w:r>
      <w:r w:rsidR="00573BA7">
        <w:t xml:space="preserve"> </w:t>
      </w:r>
      <w:r w:rsidRPr="003F4CE1">
        <w:t>subjecting</w:t>
      </w:r>
      <w:r w:rsidR="00573BA7">
        <w:t xml:space="preserve"> </w:t>
      </w:r>
      <w:r w:rsidRPr="003F4CE1">
        <w:t>the</w:t>
      </w:r>
      <w:r w:rsidR="00573BA7">
        <w:t xml:space="preserve"> </w:t>
      </w:r>
      <w:r w:rsidRPr="003F4CE1">
        <w:t>employee</w:t>
      </w:r>
      <w:r w:rsidR="00573BA7">
        <w:t xml:space="preserve"> </w:t>
      </w:r>
      <w:r w:rsidRPr="003F4CE1">
        <w:t>to</w:t>
      </w:r>
      <w:r w:rsidR="00573BA7">
        <w:t xml:space="preserve"> </w:t>
      </w:r>
      <w:r w:rsidRPr="003F4CE1">
        <w:t>any</w:t>
      </w:r>
      <w:r w:rsidR="00573BA7">
        <w:t xml:space="preserve"> </w:t>
      </w:r>
      <w:r w:rsidRPr="003F4CE1">
        <w:t>other</w:t>
      </w:r>
      <w:r w:rsidR="00573BA7">
        <w:t xml:space="preserve"> </w:t>
      </w:r>
      <w:r w:rsidRPr="003F4CE1">
        <w:t>detriment.</w:t>
      </w:r>
      <w:r w:rsidRPr="003F4CE1">
        <w:rPr>
          <w:rStyle w:val="EndnoteReference"/>
        </w:rPr>
        <w:endnoteReference w:id="36"/>
      </w:r>
    </w:p>
    <w:p w14:paraId="69B7FC8C" w14:textId="12BE1F08" w:rsidR="00FF540D" w:rsidRPr="003F4CE1" w:rsidRDefault="00FF540D" w:rsidP="00FF540D">
      <w:pPr>
        <w:pStyle w:val="ListNumber"/>
        <w:rPr>
          <w:color w:val="000000" w:themeColor="text1"/>
        </w:rPr>
      </w:pPr>
      <w:r w:rsidRPr="003F4CE1">
        <w:t>Employers</w:t>
      </w:r>
      <w:r w:rsidR="00573BA7">
        <w:t xml:space="preserve"> </w:t>
      </w:r>
      <w:r w:rsidRPr="003F4CE1">
        <w:t>also</w:t>
      </w:r>
      <w:r w:rsidR="00573BA7">
        <w:t xml:space="preserve"> </w:t>
      </w:r>
      <w:r w:rsidRPr="003F4CE1">
        <w:t>have</w:t>
      </w:r>
      <w:r w:rsidR="00573BA7">
        <w:t xml:space="preserve"> </w:t>
      </w:r>
      <w:r w:rsidRPr="003F4CE1">
        <w:t>an</w:t>
      </w:r>
      <w:r w:rsidR="00573BA7">
        <w:t xml:space="preserve"> </w:t>
      </w:r>
      <w:r w:rsidRPr="003F4CE1">
        <w:t>obligation</w:t>
      </w:r>
      <w:r w:rsidR="00573BA7">
        <w:t xml:space="preserve"> </w:t>
      </w:r>
      <w:r w:rsidRPr="003F4CE1">
        <w:t>to</w:t>
      </w:r>
      <w:r w:rsidR="00573BA7">
        <w:t xml:space="preserve"> </w:t>
      </w:r>
      <w:r w:rsidRPr="003F4CE1">
        <w:t>provide</w:t>
      </w:r>
      <w:r w:rsidR="00573BA7">
        <w:t xml:space="preserve"> </w:t>
      </w:r>
      <w:r w:rsidRPr="003F4CE1">
        <w:t>reasonable</w:t>
      </w:r>
      <w:r w:rsidR="00573BA7">
        <w:t xml:space="preserve"> </w:t>
      </w:r>
      <w:r w:rsidRPr="003F4CE1">
        <w:t>adjustments</w:t>
      </w:r>
      <w:r w:rsidR="00573BA7">
        <w:t xml:space="preserve"> </w:t>
      </w:r>
      <w:r w:rsidRPr="003F4CE1">
        <w:t>to</w:t>
      </w:r>
      <w:r w:rsidR="00573BA7">
        <w:t xml:space="preserve"> </w:t>
      </w:r>
      <w:r w:rsidRPr="003F4CE1">
        <w:t>ensure</w:t>
      </w:r>
      <w:r w:rsidR="00573BA7">
        <w:t xml:space="preserve"> </w:t>
      </w:r>
      <w:r w:rsidRPr="003F4CE1">
        <w:t>that</w:t>
      </w:r>
      <w:r w:rsidR="00573BA7">
        <w:t xml:space="preserve"> </w:t>
      </w:r>
      <w:r w:rsidRPr="003F4CE1">
        <w:t>people</w:t>
      </w:r>
      <w:r w:rsidR="00573BA7">
        <w:t xml:space="preserve"> </w:t>
      </w:r>
      <w:r w:rsidRPr="003F4CE1">
        <w:t>with</w:t>
      </w:r>
      <w:r w:rsidR="00573BA7">
        <w:t xml:space="preserve"> </w:t>
      </w:r>
      <w:r w:rsidRPr="003F4CE1">
        <w:t>disability</w:t>
      </w:r>
      <w:r w:rsidR="00573BA7">
        <w:t xml:space="preserve"> </w:t>
      </w:r>
      <w:r w:rsidRPr="003F4CE1">
        <w:t>are</w:t>
      </w:r>
      <w:r w:rsidR="00573BA7">
        <w:t xml:space="preserve"> </w:t>
      </w:r>
      <w:r w:rsidRPr="003F4CE1">
        <w:t>not</w:t>
      </w:r>
      <w:r w:rsidR="00573BA7">
        <w:t xml:space="preserve"> </w:t>
      </w:r>
      <w:r w:rsidRPr="003F4CE1">
        <w:t>treated</w:t>
      </w:r>
      <w:r w:rsidR="00573BA7">
        <w:t xml:space="preserve"> </w:t>
      </w:r>
      <w:r w:rsidRPr="003F4CE1">
        <w:t>unfavourably</w:t>
      </w:r>
      <w:r w:rsidR="00573BA7">
        <w:t xml:space="preserve"> </w:t>
      </w:r>
      <w:r w:rsidRPr="003F4CE1">
        <w:t>or</w:t>
      </w:r>
      <w:r w:rsidR="00573BA7">
        <w:t xml:space="preserve"> </w:t>
      </w:r>
      <w:r w:rsidRPr="003F4CE1">
        <w:t>disadvantaged</w:t>
      </w:r>
      <w:r w:rsidR="00573BA7">
        <w:t xml:space="preserve"> </w:t>
      </w:r>
      <w:r w:rsidRPr="003F4CE1">
        <w:t>because</w:t>
      </w:r>
      <w:r w:rsidR="00573BA7">
        <w:t xml:space="preserve"> </w:t>
      </w:r>
      <w:r w:rsidRPr="003F4CE1">
        <w:t>of</w:t>
      </w:r>
      <w:r w:rsidR="00573BA7">
        <w:t xml:space="preserve"> </w:t>
      </w:r>
      <w:r w:rsidRPr="003F4CE1">
        <w:t>their</w:t>
      </w:r>
      <w:r w:rsidR="00573BA7">
        <w:t xml:space="preserve"> </w:t>
      </w:r>
      <w:r w:rsidRPr="003F4CE1">
        <w:t>disability.</w:t>
      </w:r>
      <w:r w:rsidRPr="003F4CE1">
        <w:rPr>
          <w:rStyle w:val="EndnoteReference"/>
        </w:rPr>
        <w:endnoteReference w:id="37"/>
      </w:r>
      <w:r w:rsidR="00573BA7">
        <w:t xml:space="preserve"> </w:t>
      </w:r>
      <w:r>
        <w:t>This</w:t>
      </w:r>
      <w:r w:rsidR="00573BA7">
        <w:t xml:space="preserve"> </w:t>
      </w:r>
      <w:r>
        <w:t>is</w:t>
      </w:r>
      <w:r w:rsidR="00573BA7">
        <w:t xml:space="preserve"> </w:t>
      </w:r>
      <w:r>
        <w:t>consistent</w:t>
      </w:r>
      <w:r w:rsidR="00573BA7">
        <w:t xml:space="preserve"> </w:t>
      </w:r>
      <w:r>
        <w:t>with</w:t>
      </w:r>
      <w:r w:rsidR="00573BA7">
        <w:t xml:space="preserve"> </w:t>
      </w:r>
      <w:r>
        <w:t>Australia’s</w:t>
      </w:r>
      <w:r w:rsidR="00573BA7">
        <w:t xml:space="preserve"> </w:t>
      </w:r>
      <w:r>
        <w:t>obligations</w:t>
      </w:r>
      <w:r w:rsidR="00573BA7">
        <w:t xml:space="preserve"> </w:t>
      </w:r>
      <w:r>
        <w:t>under</w:t>
      </w:r>
      <w:r w:rsidR="00573BA7">
        <w:t xml:space="preserve"> </w:t>
      </w:r>
      <w:r w:rsidR="00DD41D1">
        <w:t>Article 27(1)(i)</w:t>
      </w:r>
      <w:r w:rsidR="00573BA7">
        <w:t xml:space="preserve"> </w:t>
      </w:r>
      <w:r>
        <w:t>of</w:t>
      </w:r>
      <w:r w:rsidR="00573BA7">
        <w:t xml:space="preserve"> </w:t>
      </w:r>
      <w:r>
        <w:t>the</w:t>
      </w:r>
      <w:r w:rsidR="00573BA7">
        <w:t xml:space="preserve"> </w:t>
      </w:r>
      <w:r>
        <w:t>CRPD</w:t>
      </w:r>
      <w:r w:rsidR="00573BA7">
        <w:t xml:space="preserve"> </w:t>
      </w:r>
      <w:r>
        <w:t>to</w:t>
      </w:r>
      <w:r w:rsidR="00573BA7">
        <w:t xml:space="preserve"> </w:t>
      </w:r>
      <w:r>
        <w:t>provide</w:t>
      </w:r>
      <w:r w:rsidR="00573BA7">
        <w:t xml:space="preserve"> </w:t>
      </w:r>
      <w:r>
        <w:t>‘reasonable</w:t>
      </w:r>
      <w:r w:rsidR="00573BA7">
        <w:t xml:space="preserve"> </w:t>
      </w:r>
      <w:r>
        <w:t>accommodation’</w:t>
      </w:r>
      <w:r w:rsidR="00DD41D1">
        <w:t>.</w:t>
      </w:r>
      <w:r w:rsidR="00573BA7">
        <w:t xml:space="preserve"> </w:t>
      </w:r>
      <w:r w:rsidRPr="003F4CE1">
        <w:t>Examples</w:t>
      </w:r>
      <w:r w:rsidR="00573BA7">
        <w:t xml:space="preserve"> </w:t>
      </w:r>
      <w:r w:rsidRPr="003F4CE1">
        <w:t>of</w:t>
      </w:r>
      <w:r w:rsidR="00573BA7">
        <w:t xml:space="preserve"> </w:t>
      </w:r>
      <w:r w:rsidRPr="003F4CE1">
        <w:t>reasonable</w:t>
      </w:r>
      <w:r w:rsidR="00573BA7">
        <w:t xml:space="preserve"> </w:t>
      </w:r>
      <w:r w:rsidRPr="003F4CE1">
        <w:t>adjustments</w:t>
      </w:r>
      <w:r w:rsidR="00573BA7">
        <w:t xml:space="preserve"> </w:t>
      </w:r>
      <w:r w:rsidRPr="003F4CE1">
        <w:t>may</w:t>
      </w:r>
      <w:r w:rsidR="00573BA7">
        <w:t xml:space="preserve"> </w:t>
      </w:r>
      <w:r w:rsidRPr="003F4CE1">
        <w:t>include</w:t>
      </w:r>
      <w:r w:rsidR="00573BA7">
        <w:t xml:space="preserve"> </w:t>
      </w:r>
      <w:r w:rsidRPr="003F4CE1">
        <w:t>changes</w:t>
      </w:r>
      <w:r w:rsidR="00573BA7">
        <w:t xml:space="preserve"> </w:t>
      </w:r>
      <w:r w:rsidRPr="003F4CE1">
        <w:lastRenderedPageBreak/>
        <w:t>to</w:t>
      </w:r>
      <w:r w:rsidR="00573BA7">
        <w:t xml:space="preserve"> </w:t>
      </w:r>
      <w:r w:rsidRPr="003F4CE1">
        <w:t>work</w:t>
      </w:r>
      <w:r w:rsidR="00573BA7">
        <w:t xml:space="preserve"> </w:t>
      </w:r>
      <w:r w:rsidRPr="003F4CE1">
        <w:t>hours</w:t>
      </w:r>
      <w:r>
        <w:t>,</w:t>
      </w:r>
      <w:r w:rsidR="00573BA7">
        <w:t xml:space="preserve"> </w:t>
      </w:r>
      <w:r w:rsidRPr="003F4CE1">
        <w:t>providing</w:t>
      </w:r>
      <w:r w:rsidR="00573BA7">
        <w:t xml:space="preserve"> </w:t>
      </w:r>
      <w:r w:rsidRPr="003F4CE1">
        <w:t>necessary</w:t>
      </w:r>
      <w:r w:rsidR="00573BA7">
        <w:t xml:space="preserve"> </w:t>
      </w:r>
      <w:r w:rsidRPr="003F4CE1">
        <w:t>and</w:t>
      </w:r>
      <w:r w:rsidR="00573BA7">
        <w:t xml:space="preserve"> </w:t>
      </w:r>
      <w:r w:rsidRPr="003F4CE1">
        <w:t>appropriate</w:t>
      </w:r>
      <w:r w:rsidR="00573BA7">
        <w:t xml:space="preserve"> </w:t>
      </w:r>
      <w:r w:rsidRPr="003F4CE1">
        <w:t>equipment</w:t>
      </w:r>
      <w:r>
        <w:t>,</w:t>
      </w:r>
      <w:r w:rsidR="00573BA7">
        <w:t xml:space="preserve"> </w:t>
      </w:r>
      <w:r w:rsidRPr="003F4CE1">
        <w:t>or</w:t>
      </w:r>
      <w:r w:rsidR="00573BA7">
        <w:t xml:space="preserve"> </w:t>
      </w:r>
      <w:r w:rsidRPr="003F4CE1">
        <w:t>providing</w:t>
      </w:r>
      <w:r w:rsidR="00573BA7">
        <w:t xml:space="preserve"> </w:t>
      </w:r>
      <w:r w:rsidRPr="003F4CE1">
        <w:t>work</w:t>
      </w:r>
      <w:r w:rsidR="00573BA7">
        <w:t xml:space="preserve"> </w:t>
      </w:r>
      <w:r w:rsidRPr="003F4CE1">
        <w:t>materials</w:t>
      </w:r>
      <w:r w:rsidR="00573BA7">
        <w:t xml:space="preserve"> </w:t>
      </w:r>
      <w:r w:rsidRPr="003F4CE1">
        <w:t>in</w:t>
      </w:r>
      <w:r w:rsidR="00573BA7">
        <w:t xml:space="preserve"> </w:t>
      </w:r>
      <w:r w:rsidRPr="003F4CE1">
        <w:t>an</w:t>
      </w:r>
      <w:r w:rsidR="00573BA7">
        <w:t xml:space="preserve"> </w:t>
      </w:r>
      <w:r w:rsidRPr="003F4CE1">
        <w:t>accessible</w:t>
      </w:r>
      <w:r w:rsidR="00573BA7">
        <w:t xml:space="preserve"> </w:t>
      </w:r>
      <w:r w:rsidRPr="003F4CE1">
        <w:t>format.</w:t>
      </w:r>
      <w:r w:rsidR="00573BA7">
        <w:t xml:space="preserve"> </w:t>
      </w:r>
    </w:p>
    <w:p w14:paraId="52606F29" w14:textId="24B0CDCE" w:rsidR="00FF540D" w:rsidRPr="003F4CE1" w:rsidRDefault="00FF540D" w:rsidP="00FF540D">
      <w:pPr>
        <w:pStyle w:val="ListNumber"/>
        <w:rPr>
          <w:color w:val="000000" w:themeColor="text1"/>
        </w:rPr>
      </w:pPr>
      <w:r w:rsidRPr="003F4CE1">
        <w:rPr>
          <w:color w:val="000000" w:themeColor="text1"/>
        </w:rPr>
        <w:t>An</w:t>
      </w:r>
      <w:r w:rsidR="00573BA7">
        <w:rPr>
          <w:color w:val="000000" w:themeColor="text1"/>
        </w:rPr>
        <w:t xml:space="preserve"> </w:t>
      </w:r>
      <w:r w:rsidRPr="003F4CE1">
        <w:rPr>
          <w:color w:val="000000" w:themeColor="text1"/>
        </w:rPr>
        <w:t>adjustment</w:t>
      </w:r>
      <w:r w:rsidR="00573BA7">
        <w:rPr>
          <w:color w:val="000000" w:themeColor="text1"/>
        </w:rPr>
        <w:t xml:space="preserve"> </w:t>
      </w:r>
      <w:r w:rsidRPr="003F4CE1">
        <w:rPr>
          <w:color w:val="000000" w:themeColor="text1"/>
        </w:rPr>
        <w:t>will</w:t>
      </w:r>
      <w:r w:rsidR="00573BA7">
        <w:rPr>
          <w:color w:val="000000" w:themeColor="text1"/>
        </w:rPr>
        <w:t xml:space="preserve"> </w:t>
      </w:r>
      <w:r w:rsidRPr="003F4CE1">
        <w:rPr>
          <w:color w:val="000000" w:themeColor="text1"/>
        </w:rPr>
        <w:t>not</w:t>
      </w:r>
      <w:r w:rsidR="00573BA7">
        <w:rPr>
          <w:color w:val="000000" w:themeColor="text1"/>
        </w:rPr>
        <w:t xml:space="preserve"> </w:t>
      </w:r>
      <w:r w:rsidRPr="003F4CE1">
        <w:rPr>
          <w:color w:val="000000" w:themeColor="text1"/>
        </w:rPr>
        <w:t>be</w:t>
      </w:r>
      <w:r w:rsidR="00573BA7">
        <w:rPr>
          <w:color w:val="000000" w:themeColor="text1"/>
        </w:rPr>
        <w:t xml:space="preserve"> </w:t>
      </w:r>
      <w:r w:rsidRPr="003F4CE1">
        <w:rPr>
          <w:color w:val="000000" w:themeColor="text1"/>
        </w:rPr>
        <w:t>reasonable</w:t>
      </w:r>
      <w:r w:rsidR="00573BA7">
        <w:rPr>
          <w:color w:val="000000" w:themeColor="text1"/>
        </w:rPr>
        <w:t xml:space="preserve"> </w:t>
      </w:r>
      <w:r w:rsidRPr="003F4CE1">
        <w:rPr>
          <w:color w:val="000000" w:themeColor="text1"/>
        </w:rPr>
        <w:t>if</w:t>
      </w:r>
      <w:r w:rsidR="00573BA7">
        <w:rPr>
          <w:color w:val="000000" w:themeColor="text1"/>
        </w:rPr>
        <w:t xml:space="preserve"> </w:t>
      </w:r>
      <w:r>
        <w:rPr>
          <w:color w:val="000000" w:themeColor="text1"/>
        </w:rPr>
        <w:t>it</w:t>
      </w:r>
      <w:r w:rsidR="00573BA7">
        <w:rPr>
          <w:color w:val="000000" w:themeColor="text1"/>
        </w:rPr>
        <w:t xml:space="preserve"> </w:t>
      </w:r>
      <w:r>
        <w:rPr>
          <w:color w:val="000000" w:themeColor="text1"/>
        </w:rPr>
        <w:t>would</w:t>
      </w:r>
      <w:r w:rsidR="00573BA7">
        <w:rPr>
          <w:color w:val="000000" w:themeColor="text1"/>
        </w:rPr>
        <w:t xml:space="preserve"> </w:t>
      </w:r>
      <w:r w:rsidRPr="003F4CE1">
        <w:rPr>
          <w:color w:val="000000" w:themeColor="text1"/>
        </w:rPr>
        <w:t>impose</w:t>
      </w:r>
      <w:r w:rsidR="00573BA7">
        <w:rPr>
          <w:color w:val="000000" w:themeColor="text1"/>
        </w:rPr>
        <w:t xml:space="preserve"> </w:t>
      </w:r>
      <w:r w:rsidRPr="003F4CE1">
        <w:rPr>
          <w:color w:val="000000" w:themeColor="text1"/>
        </w:rPr>
        <w:t>an</w:t>
      </w:r>
      <w:r w:rsidR="00573BA7">
        <w:rPr>
          <w:color w:val="000000" w:themeColor="text1"/>
        </w:rPr>
        <w:t xml:space="preserve"> </w:t>
      </w:r>
      <w:r w:rsidRPr="003F4CE1">
        <w:rPr>
          <w:color w:val="000000" w:themeColor="text1"/>
        </w:rPr>
        <w:t>unjustifiable</w:t>
      </w:r>
      <w:r w:rsidR="00573BA7">
        <w:rPr>
          <w:color w:val="000000" w:themeColor="text1"/>
        </w:rPr>
        <w:t xml:space="preserve"> </w:t>
      </w:r>
      <w:r w:rsidRPr="003F4CE1">
        <w:rPr>
          <w:color w:val="000000" w:themeColor="text1"/>
        </w:rPr>
        <w:t>hardship</w:t>
      </w:r>
      <w:r w:rsidR="00573BA7">
        <w:rPr>
          <w:color w:val="000000" w:themeColor="text1"/>
        </w:rPr>
        <w:t xml:space="preserve"> </w:t>
      </w:r>
      <w:r w:rsidRPr="003F4CE1">
        <w:rPr>
          <w:color w:val="000000" w:themeColor="text1"/>
        </w:rPr>
        <w:t>on</w:t>
      </w:r>
      <w:r w:rsidR="00573BA7">
        <w:rPr>
          <w:color w:val="000000" w:themeColor="text1"/>
        </w:rPr>
        <w:t xml:space="preserve"> </w:t>
      </w:r>
      <w:r>
        <w:rPr>
          <w:color w:val="000000" w:themeColor="text1"/>
        </w:rPr>
        <w:t>an</w:t>
      </w:r>
      <w:r w:rsidR="00573BA7">
        <w:rPr>
          <w:color w:val="000000" w:themeColor="text1"/>
        </w:rPr>
        <w:t xml:space="preserve"> </w:t>
      </w:r>
      <w:r w:rsidRPr="003F4CE1">
        <w:rPr>
          <w:color w:val="000000" w:themeColor="text1"/>
        </w:rPr>
        <w:t>employer.</w:t>
      </w:r>
      <w:r w:rsidRPr="003F4CE1">
        <w:rPr>
          <w:rStyle w:val="EndnoteReference"/>
          <w:color w:val="000000" w:themeColor="text1"/>
        </w:rPr>
        <w:endnoteReference w:id="38"/>
      </w:r>
      <w:r w:rsidR="00573BA7">
        <w:rPr>
          <w:color w:val="000000" w:themeColor="text1"/>
        </w:rPr>
        <w:t xml:space="preserve"> </w:t>
      </w:r>
      <w:r>
        <w:rPr>
          <w:color w:val="000000" w:themeColor="text1"/>
        </w:rPr>
        <w:t>In</w:t>
      </w:r>
      <w:r w:rsidR="00573BA7">
        <w:rPr>
          <w:color w:val="000000" w:themeColor="text1"/>
        </w:rPr>
        <w:t xml:space="preserve"> </w:t>
      </w:r>
      <w:r>
        <w:rPr>
          <w:color w:val="000000" w:themeColor="text1"/>
        </w:rPr>
        <w:t>those</w:t>
      </w:r>
      <w:r w:rsidR="00573BA7">
        <w:rPr>
          <w:color w:val="000000" w:themeColor="text1"/>
        </w:rPr>
        <w:t xml:space="preserve"> </w:t>
      </w:r>
      <w:r>
        <w:rPr>
          <w:color w:val="000000" w:themeColor="text1"/>
        </w:rPr>
        <w:t>circumstances,</w:t>
      </w:r>
      <w:r w:rsidR="00573BA7">
        <w:rPr>
          <w:color w:val="000000" w:themeColor="text1"/>
        </w:rPr>
        <w:t xml:space="preserve"> </w:t>
      </w:r>
      <w:r w:rsidRPr="003732BA">
        <w:rPr>
          <w:color w:val="000000" w:themeColor="text1"/>
        </w:rPr>
        <w:t>discrimination</w:t>
      </w:r>
      <w:r w:rsidR="00573BA7">
        <w:rPr>
          <w:color w:val="000000" w:themeColor="text1"/>
        </w:rPr>
        <w:t xml:space="preserve"> </w:t>
      </w:r>
      <w:r>
        <w:rPr>
          <w:color w:val="000000" w:themeColor="text1"/>
        </w:rPr>
        <w:t>on</w:t>
      </w:r>
      <w:r w:rsidR="00573BA7">
        <w:rPr>
          <w:color w:val="000000" w:themeColor="text1"/>
        </w:rPr>
        <w:t xml:space="preserve"> </w:t>
      </w:r>
      <w:r>
        <w:rPr>
          <w:color w:val="000000" w:themeColor="text1"/>
        </w:rPr>
        <w:t>the</w:t>
      </w:r>
      <w:r w:rsidR="00573BA7">
        <w:rPr>
          <w:color w:val="000000" w:themeColor="text1"/>
        </w:rPr>
        <w:t xml:space="preserve"> </w:t>
      </w:r>
      <w:r>
        <w:rPr>
          <w:color w:val="000000" w:themeColor="text1"/>
        </w:rPr>
        <w:t>basis</w:t>
      </w:r>
      <w:r w:rsidR="00573BA7">
        <w:rPr>
          <w:color w:val="000000" w:themeColor="text1"/>
        </w:rPr>
        <w:t xml:space="preserve"> </w:t>
      </w:r>
      <w:r>
        <w:rPr>
          <w:color w:val="000000" w:themeColor="text1"/>
        </w:rPr>
        <w:t>of</w:t>
      </w:r>
      <w:r w:rsidR="00573BA7">
        <w:rPr>
          <w:color w:val="000000" w:themeColor="text1"/>
        </w:rPr>
        <w:t xml:space="preserve"> </w:t>
      </w:r>
      <w:r>
        <w:rPr>
          <w:color w:val="000000" w:themeColor="text1"/>
        </w:rPr>
        <w:t>failing</w:t>
      </w:r>
      <w:r w:rsidR="00573BA7">
        <w:rPr>
          <w:color w:val="000000" w:themeColor="text1"/>
        </w:rPr>
        <w:t xml:space="preserve"> </w:t>
      </w:r>
      <w:r>
        <w:rPr>
          <w:color w:val="000000" w:themeColor="text1"/>
        </w:rPr>
        <w:t>to</w:t>
      </w:r>
      <w:r w:rsidR="00573BA7">
        <w:rPr>
          <w:color w:val="000000" w:themeColor="text1"/>
        </w:rPr>
        <w:t xml:space="preserve"> </w:t>
      </w:r>
      <w:r>
        <w:rPr>
          <w:color w:val="000000" w:themeColor="text1"/>
        </w:rPr>
        <w:t>provide</w:t>
      </w:r>
      <w:r w:rsidR="00573BA7">
        <w:rPr>
          <w:color w:val="000000" w:themeColor="text1"/>
        </w:rPr>
        <w:t xml:space="preserve"> </w:t>
      </w:r>
      <w:r>
        <w:rPr>
          <w:color w:val="000000" w:themeColor="text1"/>
        </w:rPr>
        <w:t>a</w:t>
      </w:r>
      <w:r w:rsidR="00573BA7">
        <w:rPr>
          <w:color w:val="000000" w:themeColor="text1"/>
        </w:rPr>
        <w:t xml:space="preserve"> </w:t>
      </w:r>
      <w:r>
        <w:rPr>
          <w:color w:val="000000" w:themeColor="text1"/>
        </w:rPr>
        <w:t>reasonable</w:t>
      </w:r>
      <w:r w:rsidR="00573BA7">
        <w:rPr>
          <w:color w:val="000000" w:themeColor="text1"/>
        </w:rPr>
        <w:t xml:space="preserve"> </w:t>
      </w:r>
      <w:r>
        <w:rPr>
          <w:color w:val="000000" w:themeColor="text1"/>
        </w:rPr>
        <w:t>adjustment</w:t>
      </w:r>
      <w:r w:rsidR="00573BA7">
        <w:rPr>
          <w:color w:val="000000" w:themeColor="text1"/>
        </w:rPr>
        <w:t xml:space="preserve"> </w:t>
      </w:r>
      <w:r w:rsidRPr="003732BA">
        <w:rPr>
          <w:color w:val="000000" w:themeColor="text1"/>
        </w:rPr>
        <w:t>will</w:t>
      </w:r>
      <w:r w:rsidR="00573BA7">
        <w:rPr>
          <w:color w:val="000000" w:themeColor="text1"/>
        </w:rPr>
        <w:t xml:space="preserve"> </w:t>
      </w:r>
      <w:r w:rsidRPr="003732BA">
        <w:rPr>
          <w:color w:val="000000" w:themeColor="text1"/>
        </w:rPr>
        <w:t>not</w:t>
      </w:r>
      <w:r w:rsidR="00573BA7">
        <w:rPr>
          <w:color w:val="000000" w:themeColor="text1"/>
        </w:rPr>
        <w:t xml:space="preserve"> </w:t>
      </w:r>
      <w:r w:rsidRPr="003732BA">
        <w:rPr>
          <w:color w:val="000000" w:themeColor="text1"/>
        </w:rPr>
        <w:t>be</w:t>
      </w:r>
      <w:r w:rsidR="00573BA7">
        <w:rPr>
          <w:color w:val="000000" w:themeColor="text1"/>
        </w:rPr>
        <w:t xml:space="preserve"> </w:t>
      </w:r>
      <w:r w:rsidRPr="003732BA">
        <w:rPr>
          <w:color w:val="000000" w:themeColor="text1"/>
        </w:rPr>
        <w:t>unlawful</w:t>
      </w:r>
      <w:r>
        <w:rPr>
          <w:color w:val="000000" w:themeColor="text1"/>
        </w:rPr>
        <w:t>.</w:t>
      </w:r>
      <w:r w:rsidR="00A144B2">
        <w:rPr>
          <w:rStyle w:val="EndnoteReference"/>
          <w:color w:val="000000" w:themeColor="text1"/>
        </w:rPr>
        <w:endnoteReference w:id="39"/>
      </w:r>
    </w:p>
    <w:p w14:paraId="58954BBD" w14:textId="7EA45E07" w:rsidR="00FF540D" w:rsidRPr="003F4CE1" w:rsidRDefault="00FF540D" w:rsidP="00FF540D">
      <w:pPr>
        <w:pStyle w:val="ListNumber"/>
        <w:rPr>
          <w:color w:val="000000" w:themeColor="text1"/>
        </w:rPr>
      </w:pPr>
      <w:r w:rsidRPr="003F4CE1">
        <w:rPr>
          <w:color w:val="000000" w:themeColor="text1"/>
        </w:rPr>
        <w:t>Similarly,</w:t>
      </w:r>
      <w:r w:rsidR="00573BA7">
        <w:rPr>
          <w:color w:val="000000" w:themeColor="text1"/>
        </w:rPr>
        <w:t xml:space="preserve"> </w:t>
      </w:r>
      <w:r w:rsidRPr="003F4CE1">
        <w:rPr>
          <w:color w:val="000000" w:themeColor="text1"/>
        </w:rPr>
        <w:t>it</w:t>
      </w:r>
      <w:r w:rsidR="00573BA7">
        <w:rPr>
          <w:color w:val="000000" w:themeColor="text1"/>
        </w:rPr>
        <w:t xml:space="preserve"> </w:t>
      </w:r>
      <w:r w:rsidRPr="003F4CE1">
        <w:rPr>
          <w:color w:val="000000" w:themeColor="text1"/>
        </w:rPr>
        <w:t>is</w:t>
      </w:r>
      <w:r w:rsidR="00573BA7">
        <w:rPr>
          <w:color w:val="000000" w:themeColor="text1"/>
        </w:rPr>
        <w:t xml:space="preserve"> </w:t>
      </w:r>
      <w:r w:rsidRPr="003F4CE1">
        <w:rPr>
          <w:color w:val="000000" w:themeColor="text1"/>
        </w:rPr>
        <w:t>not</w:t>
      </w:r>
      <w:r w:rsidR="00573BA7">
        <w:rPr>
          <w:color w:val="000000" w:themeColor="text1"/>
        </w:rPr>
        <w:t xml:space="preserve"> </w:t>
      </w:r>
      <w:r w:rsidRPr="003F4CE1">
        <w:rPr>
          <w:color w:val="000000" w:themeColor="text1"/>
        </w:rPr>
        <w:t>unlawful</w:t>
      </w:r>
      <w:r w:rsidR="00573BA7">
        <w:rPr>
          <w:color w:val="000000" w:themeColor="text1"/>
        </w:rPr>
        <w:t xml:space="preserve"> </w:t>
      </w:r>
      <w:r w:rsidRPr="003F4CE1">
        <w:rPr>
          <w:color w:val="000000" w:themeColor="text1"/>
        </w:rPr>
        <w:t>for</w:t>
      </w:r>
      <w:r w:rsidR="00573BA7">
        <w:rPr>
          <w:color w:val="000000" w:themeColor="text1"/>
        </w:rPr>
        <w:t xml:space="preserve"> </w:t>
      </w:r>
      <w:r w:rsidRPr="003F4CE1">
        <w:rPr>
          <w:color w:val="000000" w:themeColor="text1"/>
        </w:rPr>
        <w:t>an</w:t>
      </w:r>
      <w:r w:rsidR="00573BA7">
        <w:rPr>
          <w:color w:val="000000" w:themeColor="text1"/>
        </w:rPr>
        <w:t xml:space="preserve"> </w:t>
      </w:r>
      <w:r w:rsidRPr="003F4CE1">
        <w:rPr>
          <w:color w:val="000000" w:themeColor="text1"/>
        </w:rPr>
        <w:t>employer</w:t>
      </w:r>
      <w:r w:rsidR="00573BA7">
        <w:rPr>
          <w:color w:val="000000" w:themeColor="text1"/>
        </w:rPr>
        <w:t xml:space="preserve"> </w:t>
      </w:r>
      <w:r w:rsidRPr="003F4CE1">
        <w:rPr>
          <w:color w:val="000000" w:themeColor="text1"/>
        </w:rPr>
        <w:t>to</w:t>
      </w:r>
      <w:r w:rsidR="00573BA7">
        <w:rPr>
          <w:color w:val="000000" w:themeColor="text1"/>
        </w:rPr>
        <w:t xml:space="preserve"> </w:t>
      </w:r>
      <w:r w:rsidRPr="003F4CE1">
        <w:rPr>
          <w:color w:val="000000" w:themeColor="text1"/>
        </w:rPr>
        <w:t>refuse</w:t>
      </w:r>
      <w:r w:rsidR="00573BA7">
        <w:rPr>
          <w:color w:val="000000" w:themeColor="text1"/>
        </w:rPr>
        <w:t xml:space="preserve"> </w:t>
      </w:r>
      <w:r w:rsidRPr="003F4CE1">
        <w:rPr>
          <w:color w:val="000000" w:themeColor="text1"/>
        </w:rPr>
        <w:t>to</w:t>
      </w:r>
      <w:r w:rsidR="00573BA7">
        <w:rPr>
          <w:color w:val="000000" w:themeColor="text1"/>
        </w:rPr>
        <w:t xml:space="preserve"> </w:t>
      </w:r>
      <w:r w:rsidRPr="003F4CE1">
        <w:rPr>
          <w:color w:val="000000" w:themeColor="text1"/>
        </w:rPr>
        <w:t>employ</w:t>
      </w:r>
      <w:r w:rsidR="00573BA7">
        <w:rPr>
          <w:color w:val="000000" w:themeColor="text1"/>
        </w:rPr>
        <w:t xml:space="preserve"> </w:t>
      </w:r>
      <w:r w:rsidRPr="003F4CE1">
        <w:rPr>
          <w:color w:val="000000" w:themeColor="text1"/>
        </w:rPr>
        <w:t>or</w:t>
      </w:r>
      <w:r w:rsidR="00573BA7">
        <w:rPr>
          <w:color w:val="000000" w:themeColor="text1"/>
        </w:rPr>
        <w:t xml:space="preserve"> </w:t>
      </w:r>
      <w:r w:rsidRPr="003F4CE1">
        <w:rPr>
          <w:color w:val="000000" w:themeColor="text1"/>
        </w:rPr>
        <w:t>promote</w:t>
      </w:r>
      <w:r w:rsidR="00573BA7">
        <w:rPr>
          <w:color w:val="000000" w:themeColor="text1"/>
        </w:rPr>
        <w:t xml:space="preserve"> </w:t>
      </w:r>
      <w:r w:rsidRPr="003F4CE1">
        <w:rPr>
          <w:color w:val="000000" w:themeColor="text1"/>
        </w:rPr>
        <w:t>a</w:t>
      </w:r>
      <w:r w:rsidR="00573BA7">
        <w:rPr>
          <w:color w:val="000000" w:themeColor="text1"/>
        </w:rPr>
        <w:t xml:space="preserve"> </w:t>
      </w:r>
      <w:r w:rsidRPr="003F4CE1">
        <w:rPr>
          <w:color w:val="000000" w:themeColor="text1"/>
        </w:rPr>
        <w:t>person</w:t>
      </w:r>
      <w:r>
        <w:rPr>
          <w:color w:val="000000" w:themeColor="text1"/>
        </w:rPr>
        <w:t>,</w:t>
      </w:r>
      <w:r w:rsidR="00573BA7">
        <w:rPr>
          <w:color w:val="000000" w:themeColor="text1"/>
        </w:rPr>
        <w:t xml:space="preserve"> </w:t>
      </w:r>
      <w:r w:rsidR="00D45B70">
        <w:rPr>
          <w:color w:val="000000" w:themeColor="text1"/>
        </w:rPr>
        <w:t xml:space="preserve">or to dismiss a person, </w:t>
      </w:r>
      <w:r w:rsidRPr="003F4CE1">
        <w:rPr>
          <w:color w:val="000000" w:themeColor="text1"/>
        </w:rPr>
        <w:t>on</w:t>
      </w:r>
      <w:r w:rsidR="00573BA7">
        <w:rPr>
          <w:color w:val="000000" w:themeColor="text1"/>
        </w:rPr>
        <w:t xml:space="preserve"> </w:t>
      </w:r>
      <w:r w:rsidRPr="003F4CE1">
        <w:rPr>
          <w:color w:val="000000" w:themeColor="text1"/>
        </w:rPr>
        <w:t>the</w:t>
      </w:r>
      <w:r w:rsidR="00573BA7">
        <w:rPr>
          <w:color w:val="000000" w:themeColor="text1"/>
        </w:rPr>
        <w:t xml:space="preserve"> </w:t>
      </w:r>
      <w:r w:rsidRPr="003F4CE1">
        <w:rPr>
          <w:color w:val="000000" w:themeColor="text1"/>
        </w:rPr>
        <w:t>basis</w:t>
      </w:r>
      <w:r w:rsidR="00573BA7">
        <w:rPr>
          <w:color w:val="000000" w:themeColor="text1"/>
        </w:rPr>
        <w:t xml:space="preserve"> </w:t>
      </w:r>
      <w:r w:rsidRPr="003F4CE1">
        <w:rPr>
          <w:color w:val="000000" w:themeColor="text1"/>
        </w:rPr>
        <w:t>of</w:t>
      </w:r>
      <w:r w:rsidR="00573BA7">
        <w:rPr>
          <w:color w:val="000000" w:themeColor="text1"/>
        </w:rPr>
        <w:t xml:space="preserve"> </w:t>
      </w:r>
      <w:r w:rsidRPr="003F4CE1">
        <w:rPr>
          <w:color w:val="000000" w:themeColor="text1"/>
        </w:rPr>
        <w:t>their</w:t>
      </w:r>
      <w:r w:rsidR="00573BA7">
        <w:rPr>
          <w:color w:val="000000" w:themeColor="text1"/>
        </w:rPr>
        <w:t xml:space="preserve"> </w:t>
      </w:r>
      <w:r w:rsidRPr="003F4CE1">
        <w:rPr>
          <w:color w:val="000000" w:themeColor="text1"/>
        </w:rPr>
        <w:t>disability</w:t>
      </w:r>
      <w:r w:rsidR="00573BA7">
        <w:rPr>
          <w:color w:val="000000" w:themeColor="text1"/>
        </w:rPr>
        <w:t xml:space="preserve"> </w:t>
      </w:r>
      <w:r w:rsidRPr="003F4CE1">
        <w:rPr>
          <w:color w:val="000000" w:themeColor="text1"/>
        </w:rPr>
        <w:t>if</w:t>
      </w:r>
      <w:r w:rsidR="00573BA7">
        <w:rPr>
          <w:color w:val="000000" w:themeColor="text1"/>
        </w:rPr>
        <w:t xml:space="preserve"> </w:t>
      </w:r>
      <w:r w:rsidRPr="003F4CE1">
        <w:rPr>
          <w:color w:val="000000" w:themeColor="text1"/>
        </w:rPr>
        <w:t>they</w:t>
      </w:r>
      <w:r w:rsidR="00573BA7">
        <w:rPr>
          <w:color w:val="000000" w:themeColor="text1"/>
        </w:rPr>
        <w:t xml:space="preserve"> </w:t>
      </w:r>
      <w:r w:rsidRPr="003F4CE1">
        <w:rPr>
          <w:color w:val="000000" w:themeColor="text1"/>
        </w:rPr>
        <w:t>are</w:t>
      </w:r>
      <w:r w:rsidR="00573BA7">
        <w:rPr>
          <w:color w:val="000000" w:themeColor="text1"/>
        </w:rPr>
        <w:t xml:space="preserve"> </w:t>
      </w:r>
      <w:r w:rsidRPr="003F4CE1">
        <w:rPr>
          <w:color w:val="000000" w:themeColor="text1"/>
        </w:rPr>
        <w:t>unable</w:t>
      </w:r>
      <w:r w:rsidR="00573BA7">
        <w:rPr>
          <w:color w:val="000000" w:themeColor="text1"/>
        </w:rPr>
        <w:t xml:space="preserve"> </w:t>
      </w:r>
      <w:r w:rsidRPr="003F4CE1">
        <w:rPr>
          <w:color w:val="000000" w:themeColor="text1"/>
        </w:rPr>
        <w:t>to</w:t>
      </w:r>
      <w:r w:rsidR="00573BA7">
        <w:rPr>
          <w:color w:val="000000" w:themeColor="text1"/>
        </w:rPr>
        <w:t xml:space="preserve"> </w:t>
      </w:r>
      <w:r w:rsidRPr="003F4CE1">
        <w:rPr>
          <w:color w:val="000000" w:themeColor="text1"/>
        </w:rPr>
        <w:t>carry</w:t>
      </w:r>
      <w:r w:rsidR="00573BA7">
        <w:rPr>
          <w:color w:val="000000" w:themeColor="text1"/>
        </w:rPr>
        <w:t xml:space="preserve"> </w:t>
      </w:r>
      <w:r w:rsidRPr="003F4CE1">
        <w:rPr>
          <w:color w:val="000000" w:themeColor="text1"/>
        </w:rPr>
        <w:t>out</w:t>
      </w:r>
      <w:r w:rsidR="00573BA7">
        <w:rPr>
          <w:color w:val="000000" w:themeColor="text1"/>
        </w:rPr>
        <w:t xml:space="preserve"> </w:t>
      </w:r>
      <w:r w:rsidRPr="003F4CE1">
        <w:rPr>
          <w:color w:val="000000" w:themeColor="text1"/>
        </w:rPr>
        <w:t>the</w:t>
      </w:r>
      <w:r w:rsidR="00573BA7">
        <w:rPr>
          <w:color w:val="000000" w:themeColor="text1"/>
        </w:rPr>
        <w:t xml:space="preserve"> </w:t>
      </w:r>
      <w:r w:rsidR="4BF7C804">
        <w:rPr>
          <w:color w:val="000000" w:themeColor="text1"/>
        </w:rPr>
        <w:t>‘</w:t>
      </w:r>
      <w:r w:rsidRPr="003F4CE1">
        <w:rPr>
          <w:color w:val="000000" w:themeColor="text1"/>
        </w:rPr>
        <w:t>inherent</w:t>
      </w:r>
      <w:r w:rsidR="00573BA7">
        <w:rPr>
          <w:color w:val="000000" w:themeColor="text1"/>
        </w:rPr>
        <w:t xml:space="preserve"> </w:t>
      </w:r>
      <w:r w:rsidRPr="003F4CE1">
        <w:rPr>
          <w:color w:val="000000" w:themeColor="text1"/>
        </w:rPr>
        <w:t>requirements</w:t>
      </w:r>
      <w:r w:rsidR="305AAA37" w:rsidRPr="003F4CE1">
        <w:rPr>
          <w:color w:val="000000" w:themeColor="text1"/>
        </w:rPr>
        <w:t>’</w:t>
      </w:r>
      <w:r w:rsidR="00573BA7">
        <w:rPr>
          <w:color w:val="000000" w:themeColor="text1"/>
        </w:rPr>
        <w:t xml:space="preserve"> </w:t>
      </w:r>
      <w:r w:rsidRPr="003F4CE1">
        <w:rPr>
          <w:color w:val="000000" w:themeColor="text1"/>
        </w:rPr>
        <w:t>of</w:t>
      </w:r>
      <w:r w:rsidR="00573BA7">
        <w:rPr>
          <w:color w:val="000000" w:themeColor="text1"/>
        </w:rPr>
        <w:t xml:space="preserve"> </w:t>
      </w:r>
      <w:r w:rsidRPr="003F4CE1">
        <w:rPr>
          <w:color w:val="000000" w:themeColor="text1"/>
        </w:rPr>
        <w:t>the</w:t>
      </w:r>
      <w:r w:rsidR="00573BA7">
        <w:rPr>
          <w:color w:val="000000" w:themeColor="text1"/>
        </w:rPr>
        <w:t xml:space="preserve"> </w:t>
      </w:r>
      <w:r w:rsidRPr="003F4CE1">
        <w:rPr>
          <w:color w:val="000000" w:themeColor="text1"/>
        </w:rPr>
        <w:t>particular</w:t>
      </w:r>
      <w:r w:rsidR="00573BA7">
        <w:rPr>
          <w:color w:val="000000" w:themeColor="text1"/>
        </w:rPr>
        <w:t xml:space="preserve"> </w:t>
      </w:r>
      <w:r w:rsidRPr="003F4CE1">
        <w:rPr>
          <w:color w:val="000000" w:themeColor="text1"/>
        </w:rPr>
        <w:t>work,</w:t>
      </w:r>
      <w:r w:rsidR="00573BA7">
        <w:rPr>
          <w:color w:val="000000" w:themeColor="text1"/>
        </w:rPr>
        <w:t xml:space="preserve"> </w:t>
      </w:r>
      <w:r w:rsidRPr="003F4CE1">
        <w:rPr>
          <w:color w:val="000000" w:themeColor="text1"/>
        </w:rPr>
        <w:t>even</w:t>
      </w:r>
      <w:r w:rsidR="00573BA7">
        <w:rPr>
          <w:color w:val="000000" w:themeColor="text1"/>
        </w:rPr>
        <w:t xml:space="preserve"> </w:t>
      </w:r>
      <w:r w:rsidRPr="003F4CE1">
        <w:rPr>
          <w:color w:val="000000" w:themeColor="text1"/>
        </w:rPr>
        <w:t>with</w:t>
      </w:r>
      <w:r w:rsidR="00573BA7">
        <w:rPr>
          <w:color w:val="000000" w:themeColor="text1"/>
        </w:rPr>
        <w:t xml:space="preserve"> </w:t>
      </w:r>
      <w:r w:rsidRPr="003F4CE1">
        <w:rPr>
          <w:color w:val="000000" w:themeColor="text1"/>
        </w:rPr>
        <w:t>reasonable</w:t>
      </w:r>
      <w:r w:rsidR="00573BA7">
        <w:rPr>
          <w:color w:val="000000" w:themeColor="text1"/>
        </w:rPr>
        <w:t xml:space="preserve"> </w:t>
      </w:r>
      <w:r w:rsidRPr="003F4CE1">
        <w:rPr>
          <w:color w:val="000000" w:themeColor="text1"/>
        </w:rPr>
        <w:t>adjustments.</w:t>
      </w:r>
      <w:r w:rsidRPr="003F4CE1">
        <w:rPr>
          <w:rStyle w:val="EndnoteReference"/>
          <w:color w:val="000000" w:themeColor="text1"/>
        </w:rPr>
        <w:endnoteReference w:id="40"/>
      </w:r>
    </w:p>
    <w:p w14:paraId="72877550" w14:textId="36523C7B" w:rsidR="00FF540D" w:rsidRPr="003F4CE1" w:rsidRDefault="001A5AF0" w:rsidP="00FF540D">
      <w:pPr>
        <w:pStyle w:val="ListNumber"/>
        <w:rPr>
          <w:color w:val="000000" w:themeColor="text1"/>
          <w:lang w:eastAsia="en-GB"/>
        </w:rPr>
      </w:pPr>
      <w:r>
        <w:rPr>
          <w:lang w:eastAsia="en-GB"/>
        </w:rPr>
        <w:t xml:space="preserve"> A person can </w:t>
      </w:r>
      <w:r w:rsidR="00F975B5">
        <w:rPr>
          <w:lang w:eastAsia="en-GB"/>
        </w:rPr>
        <w:t>lodge a</w:t>
      </w:r>
      <w:r>
        <w:rPr>
          <w:lang w:eastAsia="en-GB"/>
        </w:rPr>
        <w:t xml:space="preserve"> complaint</w:t>
      </w:r>
      <w:r w:rsidR="00573BA7">
        <w:rPr>
          <w:lang w:eastAsia="en-GB"/>
        </w:rPr>
        <w:t xml:space="preserve"> </w:t>
      </w:r>
      <w:r w:rsidR="00F975B5">
        <w:rPr>
          <w:lang w:eastAsia="en-GB"/>
        </w:rPr>
        <w:t xml:space="preserve">of </w:t>
      </w:r>
      <w:r w:rsidR="00FF540D" w:rsidRPr="003F4CE1">
        <w:rPr>
          <w:lang w:eastAsia="en-GB"/>
        </w:rPr>
        <w:t>unlawful</w:t>
      </w:r>
      <w:r w:rsidR="00573BA7">
        <w:rPr>
          <w:lang w:eastAsia="en-GB"/>
        </w:rPr>
        <w:t xml:space="preserve"> </w:t>
      </w:r>
      <w:r w:rsidR="00FF540D" w:rsidRPr="003F4CE1">
        <w:rPr>
          <w:lang w:eastAsia="en-GB"/>
        </w:rPr>
        <w:t>discrimination</w:t>
      </w:r>
      <w:r w:rsidR="00573BA7">
        <w:rPr>
          <w:lang w:eastAsia="en-GB"/>
        </w:rPr>
        <w:t xml:space="preserve"> </w:t>
      </w:r>
      <w:r w:rsidR="00FF540D" w:rsidRPr="003F4CE1">
        <w:rPr>
          <w:lang w:eastAsia="en-GB"/>
        </w:rPr>
        <w:t>on</w:t>
      </w:r>
      <w:r w:rsidR="00573BA7">
        <w:rPr>
          <w:lang w:eastAsia="en-GB"/>
        </w:rPr>
        <w:t xml:space="preserve"> </w:t>
      </w:r>
      <w:r w:rsidR="00FF540D" w:rsidRPr="003F4CE1">
        <w:rPr>
          <w:lang w:eastAsia="en-GB"/>
        </w:rPr>
        <w:t>the</w:t>
      </w:r>
      <w:r w:rsidR="00573BA7">
        <w:rPr>
          <w:lang w:eastAsia="en-GB"/>
        </w:rPr>
        <w:t xml:space="preserve"> </w:t>
      </w:r>
      <w:r w:rsidR="00FF540D" w:rsidRPr="003F4CE1">
        <w:rPr>
          <w:lang w:eastAsia="en-GB"/>
        </w:rPr>
        <w:t>ground</w:t>
      </w:r>
      <w:r w:rsidR="00573BA7">
        <w:rPr>
          <w:lang w:eastAsia="en-GB"/>
        </w:rPr>
        <w:t xml:space="preserve"> </w:t>
      </w:r>
      <w:r w:rsidR="00FF540D" w:rsidRPr="003F4CE1">
        <w:rPr>
          <w:lang w:eastAsia="en-GB"/>
        </w:rPr>
        <w:t>of</w:t>
      </w:r>
      <w:r w:rsidR="00573BA7">
        <w:rPr>
          <w:lang w:eastAsia="en-GB"/>
        </w:rPr>
        <w:t xml:space="preserve"> </w:t>
      </w:r>
      <w:r w:rsidR="00FF540D" w:rsidRPr="003F4CE1">
        <w:rPr>
          <w:lang w:eastAsia="en-GB"/>
        </w:rPr>
        <w:t>disability</w:t>
      </w:r>
      <w:r w:rsidR="00F975B5">
        <w:rPr>
          <w:lang w:eastAsia="en-GB"/>
        </w:rPr>
        <w:t xml:space="preserve"> with the Commission</w:t>
      </w:r>
      <w:r w:rsidR="00FF540D" w:rsidRPr="003F4CE1">
        <w:rPr>
          <w:lang w:eastAsia="en-GB"/>
        </w:rPr>
        <w:t>.</w:t>
      </w:r>
      <w:r w:rsidR="00F975B5">
        <w:rPr>
          <w:rStyle w:val="EndnoteReference"/>
          <w:lang w:eastAsia="en-GB"/>
        </w:rPr>
        <w:endnoteReference w:id="41"/>
      </w:r>
      <w:r w:rsidR="00573BA7">
        <w:rPr>
          <w:lang w:eastAsia="en-GB"/>
        </w:rPr>
        <w:t xml:space="preserve"> </w:t>
      </w:r>
      <w:r w:rsidR="00FF540D" w:rsidRPr="003F4CE1">
        <w:rPr>
          <w:lang w:eastAsia="en-GB"/>
        </w:rPr>
        <w:t>Where</w:t>
      </w:r>
      <w:r w:rsidR="00573BA7">
        <w:rPr>
          <w:lang w:eastAsia="en-GB"/>
        </w:rPr>
        <w:t xml:space="preserve"> </w:t>
      </w:r>
      <w:r w:rsidR="00FF540D" w:rsidRPr="003F4CE1">
        <w:rPr>
          <w:lang w:eastAsia="en-GB"/>
        </w:rPr>
        <w:t>the</w:t>
      </w:r>
      <w:r w:rsidR="00573BA7">
        <w:rPr>
          <w:lang w:eastAsia="en-GB"/>
        </w:rPr>
        <w:t xml:space="preserve"> </w:t>
      </w:r>
      <w:r w:rsidR="00FF540D" w:rsidRPr="003F4CE1">
        <w:rPr>
          <w:lang w:eastAsia="en-GB"/>
        </w:rPr>
        <w:t>complaint</w:t>
      </w:r>
      <w:r w:rsidR="00573BA7">
        <w:rPr>
          <w:lang w:eastAsia="en-GB"/>
        </w:rPr>
        <w:t xml:space="preserve"> </w:t>
      </w:r>
      <w:r w:rsidR="00FF540D" w:rsidRPr="003F4CE1">
        <w:rPr>
          <w:lang w:eastAsia="en-GB"/>
        </w:rPr>
        <w:t>cannot</w:t>
      </w:r>
      <w:r w:rsidR="00573BA7">
        <w:rPr>
          <w:lang w:eastAsia="en-GB"/>
        </w:rPr>
        <w:t xml:space="preserve"> </w:t>
      </w:r>
      <w:r w:rsidR="00FF540D" w:rsidRPr="003F4CE1">
        <w:rPr>
          <w:lang w:eastAsia="en-GB"/>
        </w:rPr>
        <w:t>be</w:t>
      </w:r>
      <w:r w:rsidR="00573BA7">
        <w:rPr>
          <w:lang w:eastAsia="en-GB"/>
        </w:rPr>
        <w:t xml:space="preserve"> </w:t>
      </w:r>
      <w:r w:rsidR="00FF540D" w:rsidRPr="003F4CE1">
        <w:rPr>
          <w:lang w:eastAsia="en-GB"/>
        </w:rPr>
        <w:t>resolved</w:t>
      </w:r>
      <w:r w:rsidR="00573BA7">
        <w:rPr>
          <w:lang w:eastAsia="en-GB"/>
        </w:rPr>
        <w:t xml:space="preserve"> </w:t>
      </w:r>
      <w:r w:rsidR="00FF540D" w:rsidRPr="003F4CE1">
        <w:rPr>
          <w:lang w:eastAsia="en-GB"/>
        </w:rPr>
        <w:t>by</w:t>
      </w:r>
      <w:r w:rsidR="00573BA7">
        <w:rPr>
          <w:lang w:eastAsia="en-GB"/>
        </w:rPr>
        <w:t xml:space="preserve"> </w:t>
      </w:r>
      <w:r w:rsidR="00FF540D" w:rsidRPr="003F4CE1">
        <w:rPr>
          <w:lang w:eastAsia="en-GB"/>
        </w:rPr>
        <w:t>conciliation,</w:t>
      </w:r>
      <w:r w:rsidR="00573BA7">
        <w:rPr>
          <w:lang w:eastAsia="en-GB"/>
        </w:rPr>
        <w:t xml:space="preserve"> </w:t>
      </w:r>
      <w:r w:rsidR="00FF540D" w:rsidRPr="003F4CE1">
        <w:rPr>
          <w:lang w:eastAsia="en-GB"/>
        </w:rPr>
        <w:t>the</w:t>
      </w:r>
      <w:r w:rsidR="00573BA7">
        <w:rPr>
          <w:lang w:eastAsia="en-GB"/>
        </w:rPr>
        <w:t xml:space="preserve"> </w:t>
      </w:r>
      <w:r w:rsidR="00077B57">
        <w:rPr>
          <w:lang w:eastAsia="en-GB"/>
        </w:rPr>
        <w:t>complainant may choose to pursue</w:t>
      </w:r>
      <w:r w:rsidR="00573BA7">
        <w:rPr>
          <w:lang w:eastAsia="en-GB"/>
        </w:rPr>
        <w:t xml:space="preserve"> </w:t>
      </w:r>
      <w:r w:rsidR="00FF540D" w:rsidRPr="003F4CE1">
        <w:rPr>
          <w:lang w:eastAsia="en-GB"/>
        </w:rPr>
        <w:t>the</w:t>
      </w:r>
      <w:r w:rsidR="00573BA7">
        <w:rPr>
          <w:lang w:eastAsia="en-GB"/>
        </w:rPr>
        <w:t xml:space="preserve"> </w:t>
      </w:r>
      <w:r w:rsidR="00FF540D" w:rsidRPr="003F4CE1">
        <w:rPr>
          <w:lang w:eastAsia="en-GB"/>
        </w:rPr>
        <w:t>matter</w:t>
      </w:r>
      <w:r w:rsidR="00573BA7">
        <w:rPr>
          <w:lang w:eastAsia="en-GB"/>
        </w:rPr>
        <w:t xml:space="preserve"> </w:t>
      </w:r>
      <w:r w:rsidR="00FF540D" w:rsidRPr="003F4CE1">
        <w:rPr>
          <w:lang w:eastAsia="en-GB"/>
        </w:rPr>
        <w:t>in</w:t>
      </w:r>
      <w:r w:rsidR="00573BA7">
        <w:rPr>
          <w:lang w:eastAsia="en-GB"/>
        </w:rPr>
        <w:t xml:space="preserve"> </w:t>
      </w:r>
      <w:r w:rsidR="00FF540D" w:rsidRPr="003F4CE1">
        <w:rPr>
          <w:lang w:eastAsia="en-GB"/>
        </w:rPr>
        <w:t>the</w:t>
      </w:r>
      <w:r w:rsidR="00573BA7">
        <w:rPr>
          <w:lang w:eastAsia="en-GB"/>
        </w:rPr>
        <w:t xml:space="preserve"> </w:t>
      </w:r>
      <w:r w:rsidR="00FF540D" w:rsidRPr="003F4CE1">
        <w:rPr>
          <w:lang w:eastAsia="en-GB"/>
        </w:rPr>
        <w:t>Federal</w:t>
      </w:r>
      <w:r w:rsidR="00573BA7">
        <w:rPr>
          <w:lang w:eastAsia="en-GB"/>
        </w:rPr>
        <w:t xml:space="preserve"> </w:t>
      </w:r>
      <w:r w:rsidR="007C4CB5">
        <w:rPr>
          <w:lang w:eastAsia="en-GB"/>
        </w:rPr>
        <w:t xml:space="preserve">Circuit Court or the Federal </w:t>
      </w:r>
      <w:r w:rsidR="00FF540D" w:rsidRPr="003F4CE1">
        <w:rPr>
          <w:lang w:eastAsia="en-GB"/>
        </w:rPr>
        <w:t>Court</w:t>
      </w:r>
      <w:r w:rsidR="00573BA7">
        <w:rPr>
          <w:lang w:eastAsia="en-GB"/>
        </w:rPr>
        <w:t xml:space="preserve"> </w:t>
      </w:r>
      <w:r w:rsidR="00FF540D" w:rsidRPr="003F4CE1">
        <w:rPr>
          <w:lang w:eastAsia="en-GB"/>
        </w:rPr>
        <w:t>of</w:t>
      </w:r>
      <w:r w:rsidR="00573BA7">
        <w:rPr>
          <w:lang w:eastAsia="en-GB"/>
        </w:rPr>
        <w:t xml:space="preserve"> </w:t>
      </w:r>
      <w:r w:rsidR="00FF540D" w:rsidRPr="003F4CE1">
        <w:rPr>
          <w:lang w:eastAsia="en-GB"/>
        </w:rPr>
        <w:t>Australia,</w:t>
      </w:r>
      <w:r w:rsidR="00573BA7">
        <w:rPr>
          <w:lang w:eastAsia="en-GB"/>
        </w:rPr>
        <w:t xml:space="preserve"> </w:t>
      </w:r>
      <w:r w:rsidR="00FF540D" w:rsidRPr="003F4CE1">
        <w:rPr>
          <w:lang w:eastAsia="en-GB"/>
        </w:rPr>
        <w:t>where</w:t>
      </w:r>
      <w:r w:rsidR="00573BA7">
        <w:rPr>
          <w:lang w:eastAsia="en-GB"/>
        </w:rPr>
        <w:t xml:space="preserve"> </w:t>
      </w:r>
      <w:r w:rsidR="00FF540D" w:rsidRPr="003F4CE1">
        <w:rPr>
          <w:lang w:eastAsia="en-GB"/>
        </w:rPr>
        <w:t>an</w:t>
      </w:r>
      <w:r w:rsidR="00573BA7">
        <w:rPr>
          <w:lang w:eastAsia="en-GB"/>
        </w:rPr>
        <w:t xml:space="preserve"> </w:t>
      </w:r>
      <w:r w:rsidR="00FF540D" w:rsidRPr="003F4CE1">
        <w:rPr>
          <w:lang w:eastAsia="en-GB"/>
        </w:rPr>
        <w:t>enforceable</w:t>
      </w:r>
      <w:r w:rsidR="00573BA7">
        <w:rPr>
          <w:lang w:eastAsia="en-GB"/>
        </w:rPr>
        <w:t xml:space="preserve"> </w:t>
      </w:r>
      <w:r w:rsidR="00FF540D" w:rsidRPr="003F4CE1">
        <w:rPr>
          <w:lang w:eastAsia="en-GB"/>
        </w:rPr>
        <w:t>remedy</w:t>
      </w:r>
      <w:r w:rsidR="00573BA7">
        <w:rPr>
          <w:lang w:eastAsia="en-GB"/>
        </w:rPr>
        <w:t xml:space="preserve"> </w:t>
      </w:r>
      <w:r w:rsidR="00FF540D" w:rsidRPr="003F4CE1">
        <w:rPr>
          <w:lang w:eastAsia="en-GB"/>
        </w:rPr>
        <w:t>may</w:t>
      </w:r>
      <w:r w:rsidR="00573BA7">
        <w:rPr>
          <w:lang w:eastAsia="en-GB"/>
        </w:rPr>
        <w:t xml:space="preserve"> </w:t>
      </w:r>
      <w:r w:rsidR="00FF540D" w:rsidRPr="003F4CE1">
        <w:rPr>
          <w:lang w:eastAsia="en-GB"/>
        </w:rPr>
        <w:t>be</w:t>
      </w:r>
      <w:r w:rsidR="00573BA7">
        <w:rPr>
          <w:lang w:eastAsia="en-GB"/>
        </w:rPr>
        <w:t xml:space="preserve"> </w:t>
      </w:r>
      <w:r w:rsidR="00FF540D" w:rsidRPr="003F4CE1">
        <w:rPr>
          <w:lang w:eastAsia="en-GB"/>
        </w:rPr>
        <w:t>granted.</w:t>
      </w:r>
      <w:r w:rsidR="00FF540D" w:rsidRPr="003F4CE1">
        <w:rPr>
          <w:rStyle w:val="EndnoteReference"/>
          <w:lang w:eastAsia="en-GB"/>
        </w:rPr>
        <w:endnoteReference w:id="42"/>
      </w:r>
      <w:r w:rsidR="00573BA7">
        <w:rPr>
          <w:lang w:eastAsia="en-GB"/>
        </w:rPr>
        <w:t xml:space="preserve"> </w:t>
      </w:r>
      <w:r w:rsidR="00FF540D" w:rsidRPr="003F4CE1">
        <w:rPr>
          <w:lang w:eastAsia="en-GB"/>
        </w:rPr>
        <w:t>An</w:t>
      </w:r>
      <w:r w:rsidR="00573BA7">
        <w:rPr>
          <w:lang w:eastAsia="en-GB"/>
        </w:rPr>
        <w:t xml:space="preserve"> </w:t>
      </w:r>
      <w:r w:rsidR="00FF540D" w:rsidRPr="003F4CE1">
        <w:rPr>
          <w:lang w:eastAsia="en-GB"/>
        </w:rPr>
        <w:t>overview</w:t>
      </w:r>
      <w:r w:rsidR="00573BA7">
        <w:rPr>
          <w:lang w:eastAsia="en-GB"/>
        </w:rPr>
        <w:t xml:space="preserve"> </w:t>
      </w:r>
      <w:r w:rsidR="00FF540D" w:rsidRPr="003F4CE1">
        <w:rPr>
          <w:lang w:eastAsia="en-GB"/>
        </w:rPr>
        <w:t>of</w:t>
      </w:r>
      <w:r w:rsidR="00573BA7">
        <w:rPr>
          <w:lang w:eastAsia="en-GB"/>
        </w:rPr>
        <w:t xml:space="preserve"> </w:t>
      </w:r>
      <w:r w:rsidR="00FF540D" w:rsidRPr="003F4CE1">
        <w:rPr>
          <w:lang w:eastAsia="en-GB"/>
        </w:rPr>
        <w:t>the</w:t>
      </w:r>
      <w:r w:rsidR="00573BA7">
        <w:rPr>
          <w:lang w:eastAsia="en-GB"/>
        </w:rPr>
        <w:t xml:space="preserve"> </w:t>
      </w:r>
      <w:r w:rsidR="00FF540D" w:rsidRPr="003F4CE1">
        <w:rPr>
          <w:lang w:eastAsia="en-GB"/>
        </w:rPr>
        <w:t>complaints</w:t>
      </w:r>
      <w:r w:rsidR="00573BA7">
        <w:rPr>
          <w:lang w:eastAsia="en-GB"/>
        </w:rPr>
        <w:t xml:space="preserve"> </w:t>
      </w:r>
      <w:r w:rsidR="00FF540D" w:rsidRPr="003F4CE1">
        <w:rPr>
          <w:lang w:eastAsia="en-GB"/>
        </w:rPr>
        <w:t>received</w:t>
      </w:r>
      <w:r w:rsidR="00573BA7">
        <w:rPr>
          <w:lang w:eastAsia="en-GB"/>
        </w:rPr>
        <w:t xml:space="preserve"> </w:t>
      </w:r>
      <w:r w:rsidR="00FF540D" w:rsidRPr="003F4CE1">
        <w:rPr>
          <w:lang w:eastAsia="en-GB"/>
        </w:rPr>
        <w:t>by</w:t>
      </w:r>
      <w:r w:rsidR="00573BA7">
        <w:rPr>
          <w:lang w:eastAsia="en-GB"/>
        </w:rPr>
        <w:t xml:space="preserve"> </w:t>
      </w:r>
      <w:r w:rsidR="00FF540D" w:rsidRPr="003F4CE1">
        <w:rPr>
          <w:lang w:eastAsia="en-GB"/>
        </w:rPr>
        <w:t>the</w:t>
      </w:r>
      <w:r w:rsidR="00573BA7">
        <w:rPr>
          <w:lang w:eastAsia="en-GB"/>
        </w:rPr>
        <w:t xml:space="preserve"> </w:t>
      </w:r>
      <w:r w:rsidR="00FF540D" w:rsidRPr="003F4CE1">
        <w:rPr>
          <w:lang w:eastAsia="en-GB"/>
        </w:rPr>
        <w:t>Commission</w:t>
      </w:r>
      <w:r w:rsidR="00573BA7">
        <w:rPr>
          <w:lang w:eastAsia="en-GB"/>
        </w:rPr>
        <w:t xml:space="preserve"> </w:t>
      </w:r>
      <w:r w:rsidR="00FF540D" w:rsidRPr="003F4CE1">
        <w:rPr>
          <w:lang w:eastAsia="en-GB"/>
        </w:rPr>
        <w:t>in</w:t>
      </w:r>
      <w:r w:rsidR="00573BA7">
        <w:rPr>
          <w:lang w:eastAsia="en-GB"/>
        </w:rPr>
        <w:t xml:space="preserve"> </w:t>
      </w:r>
      <w:r w:rsidR="00FF540D" w:rsidRPr="003F4CE1">
        <w:rPr>
          <w:lang w:eastAsia="en-GB"/>
        </w:rPr>
        <w:t>relation</w:t>
      </w:r>
      <w:r w:rsidR="00573BA7">
        <w:rPr>
          <w:lang w:eastAsia="en-GB"/>
        </w:rPr>
        <w:t xml:space="preserve"> </w:t>
      </w:r>
      <w:r w:rsidR="00FF540D" w:rsidRPr="003F4CE1">
        <w:rPr>
          <w:lang w:eastAsia="en-GB"/>
        </w:rPr>
        <w:t>to</w:t>
      </w:r>
      <w:r w:rsidR="00573BA7">
        <w:rPr>
          <w:lang w:eastAsia="en-GB"/>
        </w:rPr>
        <w:t xml:space="preserve"> </w:t>
      </w:r>
      <w:r w:rsidR="00FF540D" w:rsidRPr="003F4CE1">
        <w:rPr>
          <w:lang w:eastAsia="en-GB"/>
        </w:rPr>
        <w:t>employment</w:t>
      </w:r>
      <w:r w:rsidR="00573BA7">
        <w:rPr>
          <w:lang w:eastAsia="en-GB"/>
        </w:rPr>
        <w:t xml:space="preserve"> </w:t>
      </w:r>
      <w:r w:rsidR="00FF540D" w:rsidRPr="003F4CE1">
        <w:rPr>
          <w:lang w:eastAsia="en-GB"/>
        </w:rPr>
        <w:t>between</w:t>
      </w:r>
      <w:r w:rsidR="00573BA7">
        <w:rPr>
          <w:lang w:eastAsia="en-GB"/>
        </w:rPr>
        <w:t xml:space="preserve"> </w:t>
      </w:r>
      <w:r w:rsidR="00FF540D" w:rsidRPr="003F4CE1">
        <w:rPr>
          <w:lang w:eastAsia="en-GB"/>
        </w:rPr>
        <w:t>January</w:t>
      </w:r>
      <w:r w:rsidR="00573BA7">
        <w:rPr>
          <w:lang w:eastAsia="en-GB"/>
        </w:rPr>
        <w:t xml:space="preserve"> </w:t>
      </w:r>
      <w:r w:rsidR="00FF540D" w:rsidRPr="003F4CE1">
        <w:rPr>
          <w:lang w:eastAsia="en-GB"/>
        </w:rPr>
        <w:t>2013</w:t>
      </w:r>
      <w:r w:rsidR="00573BA7">
        <w:rPr>
          <w:lang w:eastAsia="en-GB"/>
        </w:rPr>
        <w:t xml:space="preserve"> </w:t>
      </w:r>
      <w:r w:rsidR="00FF540D" w:rsidRPr="003F4CE1">
        <w:rPr>
          <w:lang w:eastAsia="en-GB"/>
        </w:rPr>
        <w:t>and</w:t>
      </w:r>
      <w:r w:rsidR="00573BA7">
        <w:rPr>
          <w:lang w:eastAsia="en-GB"/>
        </w:rPr>
        <w:t xml:space="preserve"> </w:t>
      </w:r>
      <w:r w:rsidR="00FF540D" w:rsidRPr="003F4CE1">
        <w:rPr>
          <w:lang w:eastAsia="en-GB"/>
        </w:rPr>
        <w:t>November</w:t>
      </w:r>
      <w:r w:rsidR="00573BA7">
        <w:rPr>
          <w:lang w:eastAsia="en-GB"/>
        </w:rPr>
        <w:t xml:space="preserve"> </w:t>
      </w:r>
      <w:r w:rsidR="00FF540D" w:rsidRPr="003F4CE1">
        <w:rPr>
          <w:lang w:eastAsia="en-GB"/>
        </w:rPr>
        <w:t>2019</w:t>
      </w:r>
      <w:r w:rsidR="00573BA7">
        <w:rPr>
          <w:lang w:eastAsia="en-GB"/>
        </w:rPr>
        <w:t xml:space="preserve"> </w:t>
      </w:r>
      <w:r w:rsidR="00FF540D" w:rsidRPr="003F4CE1">
        <w:rPr>
          <w:lang w:eastAsia="en-GB"/>
        </w:rPr>
        <w:t>is</w:t>
      </w:r>
      <w:r w:rsidR="00573BA7">
        <w:rPr>
          <w:lang w:eastAsia="en-GB"/>
        </w:rPr>
        <w:t xml:space="preserve"> </w:t>
      </w:r>
      <w:r w:rsidR="00FF540D" w:rsidRPr="003F4CE1">
        <w:rPr>
          <w:lang w:eastAsia="en-GB"/>
        </w:rPr>
        <w:t>provided</w:t>
      </w:r>
      <w:r w:rsidR="00573BA7">
        <w:rPr>
          <w:lang w:eastAsia="en-GB"/>
        </w:rPr>
        <w:t xml:space="preserve"> </w:t>
      </w:r>
      <w:r w:rsidR="00FF540D" w:rsidRPr="003F4CE1">
        <w:rPr>
          <w:lang w:eastAsia="en-GB"/>
        </w:rPr>
        <w:t>in</w:t>
      </w:r>
      <w:r w:rsidR="00573BA7">
        <w:rPr>
          <w:lang w:eastAsia="en-GB"/>
        </w:rPr>
        <w:t xml:space="preserve"> </w:t>
      </w:r>
      <w:r w:rsidR="00FF540D" w:rsidRPr="003F4CE1">
        <w:rPr>
          <w:b/>
          <w:bCs/>
          <w:u w:val="single"/>
          <w:lang w:eastAsia="en-GB"/>
        </w:rPr>
        <w:t>Appendix</w:t>
      </w:r>
      <w:r w:rsidR="00573BA7">
        <w:rPr>
          <w:b/>
          <w:bCs/>
          <w:u w:val="single"/>
          <w:lang w:eastAsia="en-GB"/>
        </w:rPr>
        <w:t xml:space="preserve"> </w:t>
      </w:r>
      <w:r w:rsidR="00FF540D" w:rsidRPr="003F4CE1">
        <w:rPr>
          <w:b/>
          <w:bCs/>
          <w:u w:val="single"/>
          <w:lang w:eastAsia="en-GB"/>
        </w:rPr>
        <w:t>A</w:t>
      </w:r>
      <w:r w:rsidR="00FF540D" w:rsidRPr="003F4CE1">
        <w:rPr>
          <w:lang w:eastAsia="en-GB"/>
        </w:rPr>
        <w:t>.</w:t>
      </w:r>
    </w:p>
    <w:p w14:paraId="51AC6E3B" w14:textId="3C864AD6" w:rsidR="00FF540D" w:rsidRPr="003F4CE1" w:rsidRDefault="009652CC" w:rsidP="00FF540D">
      <w:pPr>
        <w:pStyle w:val="ListNumber"/>
        <w:rPr>
          <w:color w:val="000000" w:themeColor="text1"/>
          <w:lang w:eastAsia="en-GB"/>
        </w:rPr>
      </w:pPr>
      <w:r w:rsidRPr="07069484">
        <w:rPr>
          <w:lang w:eastAsia="en-GB"/>
        </w:rPr>
        <w:t>Part</w:t>
      </w:r>
      <w:r w:rsidR="001353AB" w:rsidRPr="07069484">
        <w:rPr>
          <w:lang w:eastAsia="en-GB"/>
        </w:rPr>
        <w:t xml:space="preserve"> 5</w:t>
      </w:r>
      <w:r w:rsidR="003A34C5" w:rsidRPr="07069484">
        <w:rPr>
          <w:lang w:eastAsia="en-GB"/>
        </w:rPr>
        <w:t xml:space="preserve">.3 of this submission explores </w:t>
      </w:r>
      <w:r w:rsidR="007F74F9" w:rsidRPr="07069484">
        <w:rPr>
          <w:lang w:eastAsia="en-GB"/>
        </w:rPr>
        <w:t xml:space="preserve">the Commission’s concerns in relation to </w:t>
      </w:r>
      <w:r w:rsidR="00BA21FD" w:rsidRPr="07069484">
        <w:rPr>
          <w:lang w:eastAsia="en-GB"/>
        </w:rPr>
        <w:t xml:space="preserve">the operation of the </w:t>
      </w:r>
      <w:r w:rsidR="00FF540D" w:rsidRPr="07069484">
        <w:rPr>
          <w:lang w:eastAsia="en-GB"/>
        </w:rPr>
        <w:t>Disability</w:t>
      </w:r>
      <w:r w:rsidR="00573BA7" w:rsidRPr="07069484">
        <w:rPr>
          <w:lang w:eastAsia="en-GB"/>
        </w:rPr>
        <w:t xml:space="preserve"> </w:t>
      </w:r>
      <w:r w:rsidR="00FF540D" w:rsidRPr="07069484">
        <w:rPr>
          <w:lang w:eastAsia="en-GB"/>
        </w:rPr>
        <w:t>Discrimination</w:t>
      </w:r>
      <w:r w:rsidR="00573BA7" w:rsidRPr="07069484">
        <w:rPr>
          <w:lang w:eastAsia="en-GB"/>
        </w:rPr>
        <w:t xml:space="preserve"> </w:t>
      </w:r>
      <w:r w:rsidR="00FF540D" w:rsidRPr="07069484">
        <w:rPr>
          <w:lang w:eastAsia="en-GB"/>
        </w:rPr>
        <w:t>Act.</w:t>
      </w:r>
    </w:p>
    <w:p w14:paraId="33AF803F" w14:textId="0FBDF920" w:rsidR="001F1232" w:rsidRDefault="001F1232" w:rsidP="00F571F0">
      <w:pPr>
        <w:pStyle w:val="Heading2"/>
      </w:pPr>
      <w:bookmarkStart w:id="39" w:name="_Toc51834269"/>
      <w:r>
        <w:rPr>
          <w:i/>
          <w:iCs/>
        </w:rPr>
        <w:t>Fair</w:t>
      </w:r>
      <w:r w:rsidR="00573BA7">
        <w:rPr>
          <w:i/>
          <w:iCs/>
        </w:rPr>
        <w:t xml:space="preserve"> </w:t>
      </w:r>
      <w:r>
        <w:rPr>
          <w:i/>
          <w:iCs/>
        </w:rPr>
        <w:t>Work</w:t>
      </w:r>
      <w:r w:rsidR="00573BA7">
        <w:rPr>
          <w:i/>
          <w:iCs/>
        </w:rPr>
        <w:t xml:space="preserve"> </w:t>
      </w:r>
      <w:r>
        <w:rPr>
          <w:i/>
          <w:iCs/>
        </w:rPr>
        <w:t>Act</w:t>
      </w:r>
      <w:r w:rsidR="00573BA7">
        <w:rPr>
          <w:i/>
          <w:iCs/>
        </w:rPr>
        <w:t xml:space="preserve"> </w:t>
      </w:r>
      <w:r>
        <w:rPr>
          <w:i/>
          <w:iCs/>
        </w:rPr>
        <w:t>2009</w:t>
      </w:r>
      <w:r w:rsidR="00573BA7">
        <w:rPr>
          <w:i/>
          <w:iCs/>
        </w:rPr>
        <w:t xml:space="preserve"> </w:t>
      </w:r>
      <w:r>
        <w:t>(</w:t>
      </w:r>
      <w:r w:rsidR="007B6600">
        <w:t>C</w:t>
      </w:r>
      <w:r>
        <w:t>th)</w:t>
      </w:r>
      <w:bookmarkEnd w:id="39"/>
    </w:p>
    <w:p w14:paraId="316A2DC7" w14:textId="3DB9A0A9" w:rsidR="001F1232" w:rsidRDefault="46F9F59E" w:rsidP="001F1232">
      <w:pPr>
        <w:pStyle w:val="ListNumber"/>
        <w:rPr>
          <w:lang w:eastAsia="en-GB"/>
        </w:rPr>
      </w:pPr>
      <w:r w:rsidRPr="63BA0A48">
        <w:rPr>
          <w:lang w:eastAsia="en-GB"/>
        </w:rPr>
        <w:t xml:space="preserve">Since 2009, </w:t>
      </w:r>
      <w:r w:rsidR="1EE881EF" w:rsidRPr="63BA0A48">
        <w:rPr>
          <w:lang w:eastAsia="en-GB"/>
        </w:rPr>
        <w:t>t</w:t>
      </w:r>
      <w:r w:rsidR="001F1232" w:rsidRPr="63BA0A48">
        <w:rPr>
          <w:lang w:eastAsia="en-GB"/>
        </w:rPr>
        <w:t>he</w:t>
      </w:r>
      <w:r w:rsidR="00573BA7" w:rsidRPr="63BA0A48">
        <w:rPr>
          <w:lang w:eastAsia="en-GB"/>
        </w:rPr>
        <w:t xml:space="preserve"> </w:t>
      </w:r>
      <w:r w:rsidR="001F1232" w:rsidRPr="63BA0A48">
        <w:rPr>
          <w:i/>
          <w:iCs/>
          <w:lang w:eastAsia="en-GB"/>
        </w:rPr>
        <w:t>Fair</w:t>
      </w:r>
      <w:r w:rsidR="00573BA7" w:rsidRPr="63BA0A48">
        <w:rPr>
          <w:i/>
          <w:iCs/>
          <w:lang w:eastAsia="en-GB"/>
        </w:rPr>
        <w:t xml:space="preserve"> </w:t>
      </w:r>
      <w:r w:rsidR="001F1232" w:rsidRPr="63BA0A48">
        <w:rPr>
          <w:i/>
          <w:iCs/>
          <w:lang w:eastAsia="en-GB"/>
        </w:rPr>
        <w:t>Work</w:t>
      </w:r>
      <w:r w:rsidR="00573BA7" w:rsidRPr="63BA0A48">
        <w:rPr>
          <w:i/>
          <w:iCs/>
          <w:lang w:eastAsia="en-GB"/>
        </w:rPr>
        <w:t xml:space="preserve"> </w:t>
      </w:r>
      <w:r w:rsidR="001F1232" w:rsidRPr="63BA0A48">
        <w:rPr>
          <w:i/>
          <w:iCs/>
          <w:lang w:eastAsia="en-GB"/>
        </w:rPr>
        <w:t>Act</w:t>
      </w:r>
      <w:r w:rsidR="00573BA7" w:rsidRPr="63BA0A48">
        <w:rPr>
          <w:i/>
          <w:iCs/>
          <w:lang w:eastAsia="en-GB"/>
        </w:rPr>
        <w:t xml:space="preserve"> </w:t>
      </w:r>
      <w:r w:rsidR="001F1232" w:rsidRPr="63BA0A48">
        <w:rPr>
          <w:i/>
          <w:iCs/>
          <w:lang w:eastAsia="en-GB"/>
        </w:rPr>
        <w:t>2009</w:t>
      </w:r>
      <w:r w:rsidR="00573BA7" w:rsidRPr="63BA0A48">
        <w:rPr>
          <w:lang w:eastAsia="en-GB"/>
        </w:rPr>
        <w:t xml:space="preserve"> </w:t>
      </w:r>
      <w:r w:rsidR="001F1232" w:rsidRPr="63BA0A48">
        <w:rPr>
          <w:lang w:eastAsia="en-GB"/>
        </w:rPr>
        <w:t>(Cth)</w:t>
      </w:r>
      <w:r w:rsidR="00573BA7" w:rsidRPr="63BA0A48">
        <w:rPr>
          <w:lang w:eastAsia="en-GB"/>
        </w:rPr>
        <w:t xml:space="preserve"> </w:t>
      </w:r>
      <w:r w:rsidR="001F1232" w:rsidRPr="63BA0A48">
        <w:rPr>
          <w:lang w:eastAsia="en-GB"/>
        </w:rPr>
        <w:t>(Fair</w:t>
      </w:r>
      <w:r w:rsidR="00573BA7" w:rsidRPr="63BA0A48">
        <w:rPr>
          <w:lang w:eastAsia="en-GB"/>
        </w:rPr>
        <w:t xml:space="preserve"> </w:t>
      </w:r>
      <w:r w:rsidR="001F1232" w:rsidRPr="63BA0A48">
        <w:rPr>
          <w:lang w:eastAsia="en-GB"/>
        </w:rPr>
        <w:t>Work</w:t>
      </w:r>
      <w:r w:rsidR="00573BA7" w:rsidRPr="63BA0A48">
        <w:rPr>
          <w:lang w:eastAsia="en-GB"/>
        </w:rPr>
        <w:t xml:space="preserve"> </w:t>
      </w:r>
      <w:r w:rsidR="001F1232" w:rsidRPr="63BA0A48">
        <w:rPr>
          <w:lang w:eastAsia="en-GB"/>
        </w:rPr>
        <w:t>Act)</w:t>
      </w:r>
      <w:r w:rsidR="00573BA7" w:rsidRPr="63BA0A48">
        <w:rPr>
          <w:lang w:eastAsia="en-GB"/>
        </w:rPr>
        <w:t xml:space="preserve"> </w:t>
      </w:r>
      <w:r w:rsidR="74CA2BEA" w:rsidRPr="63BA0A48">
        <w:rPr>
          <w:lang w:eastAsia="en-GB"/>
        </w:rPr>
        <w:t xml:space="preserve">has been </w:t>
      </w:r>
      <w:r w:rsidR="001F1232" w:rsidRPr="63BA0A48">
        <w:rPr>
          <w:lang w:eastAsia="en-GB"/>
        </w:rPr>
        <w:t>the</w:t>
      </w:r>
      <w:r w:rsidR="00573BA7" w:rsidRPr="63BA0A48">
        <w:rPr>
          <w:lang w:eastAsia="en-GB"/>
        </w:rPr>
        <w:t xml:space="preserve"> </w:t>
      </w:r>
      <w:r w:rsidR="001F1232" w:rsidRPr="63BA0A48">
        <w:rPr>
          <w:lang w:eastAsia="en-GB"/>
        </w:rPr>
        <w:t>primary</w:t>
      </w:r>
      <w:r w:rsidR="00573BA7" w:rsidRPr="63BA0A48">
        <w:rPr>
          <w:lang w:eastAsia="en-GB"/>
        </w:rPr>
        <w:t xml:space="preserve"> </w:t>
      </w:r>
      <w:r w:rsidR="001F1232" w:rsidRPr="63BA0A48">
        <w:rPr>
          <w:lang w:eastAsia="en-GB"/>
        </w:rPr>
        <w:t>source</w:t>
      </w:r>
      <w:r w:rsidR="00573BA7" w:rsidRPr="63BA0A48">
        <w:rPr>
          <w:lang w:eastAsia="en-GB"/>
        </w:rPr>
        <w:t xml:space="preserve"> </w:t>
      </w:r>
      <w:r w:rsidR="001F1232" w:rsidRPr="63BA0A48">
        <w:rPr>
          <w:lang w:eastAsia="en-GB"/>
        </w:rPr>
        <w:t>of</w:t>
      </w:r>
      <w:r w:rsidR="00573BA7" w:rsidRPr="63BA0A48">
        <w:rPr>
          <w:lang w:eastAsia="en-GB"/>
        </w:rPr>
        <w:t xml:space="preserve"> </w:t>
      </w:r>
      <w:r w:rsidR="001F1232" w:rsidRPr="63BA0A48">
        <w:rPr>
          <w:lang w:eastAsia="en-GB"/>
        </w:rPr>
        <w:t>rights</w:t>
      </w:r>
      <w:r w:rsidR="00573BA7" w:rsidRPr="63BA0A48">
        <w:rPr>
          <w:lang w:eastAsia="en-GB"/>
        </w:rPr>
        <w:t xml:space="preserve"> </w:t>
      </w:r>
      <w:r w:rsidR="001F1232" w:rsidRPr="63BA0A48">
        <w:rPr>
          <w:lang w:eastAsia="en-GB"/>
        </w:rPr>
        <w:t>and</w:t>
      </w:r>
      <w:r w:rsidR="00573BA7" w:rsidRPr="63BA0A48">
        <w:rPr>
          <w:lang w:eastAsia="en-GB"/>
        </w:rPr>
        <w:t xml:space="preserve"> </w:t>
      </w:r>
      <w:r w:rsidR="001F1232" w:rsidRPr="63BA0A48">
        <w:rPr>
          <w:lang w:eastAsia="en-GB"/>
        </w:rPr>
        <w:t>responsibilities</w:t>
      </w:r>
      <w:r w:rsidR="00573BA7" w:rsidRPr="63BA0A48">
        <w:rPr>
          <w:lang w:eastAsia="en-GB"/>
        </w:rPr>
        <w:t xml:space="preserve"> </w:t>
      </w:r>
      <w:r w:rsidR="001F1232" w:rsidRPr="63BA0A48">
        <w:rPr>
          <w:lang w:eastAsia="en-GB"/>
        </w:rPr>
        <w:t>for</w:t>
      </w:r>
      <w:r w:rsidR="00573BA7" w:rsidRPr="63BA0A48">
        <w:rPr>
          <w:lang w:eastAsia="en-GB"/>
        </w:rPr>
        <w:t xml:space="preserve"> </w:t>
      </w:r>
      <w:r w:rsidR="001F1232" w:rsidRPr="63BA0A48">
        <w:rPr>
          <w:lang w:eastAsia="en-GB"/>
        </w:rPr>
        <w:t>employers</w:t>
      </w:r>
      <w:r w:rsidR="00573BA7" w:rsidRPr="63BA0A48">
        <w:rPr>
          <w:lang w:eastAsia="en-GB"/>
        </w:rPr>
        <w:t xml:space="preserve"> </w:t>
      </w:r>
      <w:r w:rsidR="001F1232" w:rsidRPr="63BA0A48">
        <w:rPr>
          <w:lang w:eastAsia="en-GB"/>
        </w:rPr>
        <w:t>and</w:t>
      </w:r>
      <w:r w:rsidR="00573BA7" w:rsidRPr="63BA0A48">
        <w:rPr>
          <w:lang w:eastAsia="en-GB"/>
        </w:rPr>
        <w:t xml:space="preserve"> </w:t>
      </w:r>
      <w:r w:rsidR="001F1232" w:rsidRPr="63BA0A48">
        <w:rPr>
          <w:lang w:eastAsia="en-GB"/>
        </w:rPr>
        <w:t>employees</w:t>
      </w:r>
      <w:r w:rsidR="00573BA7" w:rsidRPr="63BA0A48">
        <w:rPr>
          <w:lang w:eastAsia="en-GB"/>
        </w:rPr>
        <w:t xml:space="preserve"> </w:t>
      </w:r>
      <w:r w:rsidR="001F1232" w:rsidRPr="63BA0A48">
        <w:rPr>
          <w:lang w:eastAsia="en-GB"/>
        </w:rPr>
        <w:t>in</w:t>
      </w:r>
      <w:r w:rsidR="00573BA7" w:rsidRPr="63BA0A48">
        <w:rPr>
          <w:lang w:eastAsia="en-GB"/>
        </w:rPr>
        <w:t xml:space="preserve"> </w:t>
      </w:r>
      <w:r w:rsidR="001F1232" w:rsidRPr="63BA0A48">
        <w:rPr>
          <w:lang w:eastAsia="en-GB"/>
        </w:rPr>
        <w:t>Australia.</w:t>
      </w:r>
      <w:r w:rsidR="00573BA7" w:rsidRPr="63BA0A48">
        <w:rPr>
          <w:lang w:eastAsia="en-GB"/>
        </w:rPr>
        <w:t xml:space="preserve"> </w:t>
      </w:r>
      <w:r w:rsidR="001F1232" w:rsidRPr="63BA0A48">
        <w:rPr>
          <w:lang w:eastAsia="en-GB"/>
        </w:rPr>
        <w:t>It</w:t>
      </w:r>
      <w:r w:rsidR="00573BA7" w:rsidRPr="63BA0A48">
        <w:rPr>
          <w:lang w:eastAsia="en-GB"/>
        </w:rPr>
        <w:t xml:space="preserve"> </w:t>
      </w:r>
      <w:r w:rsidR="001F1232" w:rsidRPr="63BA0A48">
        <w:rPr>
          <w:lang w:eastAsia="en-GB"/>
        </w:rPr>
        <w:t>governs</w:t>
      </w:r>
      <w:r w:rsidR="00573BA7" w:rsidRPr="63BA0A48">
        <w:rPr>
          <w:lang w:eastAsia="en-GB"/>
        </w:rPr>
        <w:t xml:space="preserve"> </w:t>
      </w:r>
      <w:r w:rsidR="001F1232" w:rsidRPr="63BA0A48">
        <w:rPr>
          <w:lang w:eastAsia="en-GB"/>
        </w:rPr>
        <w:t>the</w:t>
      </w:r>
      <w:r w:rsidR="00573BA7" w:rsidRPr="63BA0A48">
        <w:rPr>
          <w:lang w:eastAsia="en-GB"/>
        </w:rPr>
        <w:t xml:space="preserve"> </w:t>
      </w:r>
      <w:r w:rsidR="001F1232" w:rsidRPr="63BA0A48">
        <w:rPr>
          <w:lang w:eastAsia="en-GB"/>
        </w:rPr>
        <w:t>employee/employer</w:t>
      </w:r>
      <w:r w:rsidR="00573BA7" w:rsidRPr="63BA0A48">
        <w:rPr>
          <w:lang w:eastAsia="en-GB"/>
        </w:rPr>
        <w:t xml:space="preserve"> </w:t>
      </w:r>
      <w:r w:rsidR="001F1232" w:rsidRPr="63BA0A48">
        <w:rPr>
          <w:lang w:eastAsia="en-GB"/>
        </w:rPr>
        <w:t>relationship,</w:t>
      </w:r>
      <w:r w:rsidR="00573BA7" w:rsidRPr="63BA0A48">
        <w:rPr>
          <w:lang w:eastAsia="en-GB"/>
        </w:rPr>
        <w:t xml:space="preserve"> </w:t>
      </w:r>
      <w:r w:rsidR="001F1232" w:rsidRPr="63BA0A48">
        <w:rPr>
          <w:lang w:eastAsia="en-GB"/>
        </w:rPr>
        <w:t>provides</w:t>
      </w:r>
      <w:r w:rsidR="00573BA7" w:rsidRPr="63BA0A48">
        <w:rPr>
          <w:lang w:eastAsia="en-GB"/>
        </w:rPr>
        <w:t xml:space="preserve"> </w:t>
      </w:r>
      <w:r w:rsidR="001F1232" w:rsidRPr="63BA0A48">
        <w:rPr>
          <w:lang w:eastAsia="en-GB"/>
        </w:rPr>
        <w:t>for</w:t>
      </w:r>
      <w:r w:rsidR="00573BA7" w:rsidRPr="63BA0A48">
        <w:rPr>
          <w:lang w:eastAsia="en-GB"/>
        </w:rPr>
        <w:t xml:space="preserve"> </w:t>
      </w:r>
      <w:r w:rsidR="001F1232" w:rsidRPr="63BA0A48">
        <w:rPr>
          <w:lang w:eastAsia="en-GB"/>
        </w:rPr>
        <w:t>minimum</w:t>
      </w:r>
      <w:r w:rsidR="00573BA7" w:rsidRPr="63BA0A48">
        <w:rPr>
          <w:lang w:eastAsia="en-GB"/>
        </w:rPr>
        <w:t xml:space="preserve"> </w:t>
      </w:r>
      <w:r w:rsidR="001F1232" w:rsidRPr="63BA0A48">
        <w:rPr>
          <w:lang w:eastAsia="en-GB"/>
        </w:rPr>
        <w:t>entitlements</w:t>
      </w:r>
      <w:r w:rsidR="00573BA7" w:rsidRPr="63BA0A48">
        <w:rPr>
          <w:lang w:eastAsia="en-GB"/>
        </w:rPr>
        <w:t xml:space="preserve"> </w:t>
      </w:r>
      <w:r w:rsidR="001F1232" w:rsidRPr="63BA0A48">
        <w:rPr>
          <w:lang w:eastAsia="en-GB"/>
        </w:rPr>
        <w:t>through</w:t>
      </w:r>
      <w:r w:rsidR="00573BA7" w:rsidRPr="63BA0A48">
        <w:rPr>
          <w:lang w:eastAsia="en-GB"/>
        </w:rPr>
        <w:t xml:space="preserve"> </w:t>
      </w:r>
      <w:r w:rsidR="001F1232" w:rsidRPr="63BA0A48">
        <w:rPr>
          <w:lang w:eastAsia="en-GB"/>
        </w:rPr>
        <w:t>the</w:t>
      </w:r>
      <w:r w:rsidR="00573BA7" w:rsidRPr="63BA0A48">
        <w:rPr>
          <w:lang w:eastAsia="en-GB"/>
        </w:rPr>
        <w:t xml:space="preserve"> </w:t>
      </w:r>
      <w:r w:rsidR="001F1232" w:rsidRPr="63BA0A48">
        <w:rPr>
          <w:lang w:eastAsia="en-GB"/>
        </w:rPr>
        <w:t>National</w:t>
      </w:r>
      <w:r w:rsidR="00573BA7" w:rsidRPr="63BA0A48">
        <w:rPr>
          <w:lang w:eastAsia="en-GB"/>
        </w:rPr>
        <w:t xml:space="preserve"> </w:t>
      </w:r>
      <w:r w:rsidR="001F1232" w:rsidRPr="63BA0A48">
        <w:rPr>
          <w:lang w:eastAsia="en-GB"/>
        </w:rPr>
        <w:t>Employment</w:t>
      </w:r>
      <w:r w:rsidR="00573BA7" w:rsidRPr="63BA0A48">
        <w:rPr>
          <w:lang w:eastAsia="en-GB"/>
        </w:rPr>
        <w:t xml:space="preserve"> </w:t>
      </w:r>
      <w:r w:rsidR="001F1232" w:rsidRPr="63BA0A48">
        <w:rPr>
          <w:lang w:eastAsia="en-GB"/>
        </w:rPr>
        <w:t>Standards,</w:t>
      </w:r>
      <w:r w:rsidR="00573BA7" w:rsidRPr="63BA0A48">
        <w:rPr>
          <w:lang w:eastAsia="en-GB"/>
        </w:rPr>
        <w:t xml:space="preserve"> </w:t>
      </w:r>
      <w:r w:rsidR="001F1232" w:rsidRPr="63BA0A48">
        <w:rPr>
          <w:lang w:eastAsia="en-GB"/>
        </w:rPr>
        <w:t>enables</w:t>
      </w:r>
      <w:r w:rsidR="00573BA7" w:rsidRPr="63BA0A48">
        <w:rPr>
          <w:lang w:eastAsia="en-GB"/>
        </w:rPr>
        <w:t xml:space="preserve"> </w:t>
      </w:r>
      <w:r w:rsidR="001F1232" w:rsidRPr="63BA0A48">
        <w:rPr>
          <w:lang w:eastAsia="en-GB"/>
        </w:rPr>
        <w:t>fair</w:t>
      </w:r>
      <w:r w:rsidR="00573BA7" w:rsidRPr="63BA0A48">
        <w:rPr>
          <w:lang w:eastAsia="en-GB"/>
        </w:rPr>
        <w:t xml:space="preserve"> </w:t>
      </w:r>
      <w:r w:rsidR="001F1232" w:rsidRPr="63BA0A48">
        <w:rPr>
          <w:lang w:eastAsia="en-GB"/>
        </w:rPr>
        <w:t>working</w:t>
      </w:r>
      <w:r w:rsidR="00573BA7" w:rsidRPr="63BA0A48">
        <w:rPr>
          <w:lang w:eastAsia="en-GB"/>
        </w:rPr>
        <w:t xml:space="preserve"> </w:t>
      </w:r>
      <w:r w:rsidR="001F1232" w:rsidRPr="63BA0A48">
        <w:rPr>
          <w:lang w:eastAsia="en-GB"/>
        </w:rPr>
        <w:t>practices,</w:t>
      </w:r>
      <w:r w:rsidR="00573BA7" w:rsidRPr="63BA0A48">
        <w:rPr>
          <w:lang w:eastAsia="en-GB"/>
        </w:rPr>
        <w:t xml:space="preserve"> </w:t>
      </w:r>
      <w:r w:rsidR="001F1232" w:rsidRPr="63BA0A48">
        <w:rPr>
          <w:lang w:eastAsia="en-GB"/>
        </w:rPr>
        <w:t>and</w:t>
      </w:r>
      <w:r w:rsidR="00573BA7" w:rsidRPr="63BA0A48">
        <w:rPr>
          <w:lang w:eastAsia="en-GB"/>
        </w:rPr>
        <w:t xml:space="preserve"> </w:t>
      </w:r>
      <w:r w:rsidR="00D05EF2" w:rsidRPr="63BA0A48">
        <w:rPr>
          <w:lang w:eastAsia="en-GB"/>
        </w:rPr>
        <w:t>proscribes</w:t>
      </w:r>
      <w:r w:rsidR="00573BA7" w:rsidRPr="63BA0A48">
        <w:rPr>
          <w:lang w:eastAsia="en-GB"/>
        </w:rPr>
        <w:t xml:space="preserve"> </w:t>
      </w:r>
      <w:r w:rsidR="001F1232" w:rsidRPr="63BA0A48">
        <w:rPr>
          <w:lang w:eastAsia="en-GB"/>
        </w:rPr>
        <w:t>discrimination</w:t>
      </w:r>
      <w:r w:rsidR="00573BA7" w:rsidRPr="63BA0A48">
        <w:rPr>
          <w:lang w:eastAsia="en-GB"/>
        </w:rPr>
        <w:t xml:space="preserve"> </w:t>
      </w:r>
      <w:r w:rsidR="001F1232" w:rsidRPr="63BA0A48">
        <w:rPr>
          <w:lang w:eastAsia="en-GB"/>
        </w:rPr>
        <w:t>against</w:t>
      </w:r>
      <w:r w:rsidR="00573BA7" w:rsidRPr="63BA0A48">
        <w:rPr>
          <w:lang w:eastAsia="en-GB"/>
        </w:rPr>
        <w:t xml:space="preserve"> </w:t>
      </w:r>
      <w:r w:rsidR="001F1232" w:rsidRPr="63BA0A48">
        <w:rPr>
          <w:lang w:eastAsia="en-GB"/>
        </w:rPr>
        <w:t>employees.</w:t>
      </w:r>
    </w:p>
    <w:p w14:paraId="516AF852" w14:textId="77777777" w:rsidR="001F1232" w:rsidRPr="00710E6A" w:rsidRDefault="001F1232">
      <w:pPr>
        <w:pStyle w:val="Heading3"/>
        <w:rPr>
          <w:b/>
          <w:bCs w:val="0"/>
        </w:rPr>
      </w:pPr>
      <w:bookmarkStart w:id="40" w:name="_Toc51834270"/>
      <w:r w:rsidRPr="00710E6A">
        <w:rPr>
          <w:b/>
          <w:bCs w:val="0"/>
        </w:rPr>
        <w:t>The</w:t>
      </w:r>
      <w:r w:rsidR="00573BA7" w:rsidRPr="00710E6A">
        <w:rPr>
          <w:b/>
          <w:bCs w:val="0"/>
        </w:rPr>
        <w:t xml:space="preserve"> </w:t>
      </w:r>
      <w:r w:rsidRPr="00710E6A">
        <w:rPr>
          <w:b/>
          <w:bCs w:val="0"/>
        </w:rPr>
        <w:t>general</w:t>
      </w:r>
      <w:r w:rsidR="00573BA7" w:rsidRPr="00710E6A">
        <w:rPr>
          <w:b/>
          <w:bCs w:val="0"/>
        </w:rPr>
        <w:t xml:space="preserve"> </w:t>
      </w:r>
      <w:r w:rsidRPr="00710E6A">
        <w:rPr>
          <w:b/>
          <w:bCs w:val="0"/>
        </w:rPr>
        <w:t>protections</w:t>
      </w:r>
      <w:r w:rsidR="00573BA7" w:rsidRPr="00710E6A">
        <w:rPr>
          <w:b/>
          <w:bCs w:val="0"/>
        </w:rPr>
        <w:t xml:space="preserve"> </w:t>
      </w:r>
      <w:r w:rsidRPr="00710E6A">
        <w:rPr>
          <w:b/>
          <w:bCs w:val="0"/>
        </w:rPr>
        <w:t>regime</w:t>
      </w:r>
      <w:bookmarkEnd w:id="40"/>
      <w:r w:rsidR="00573BA7" w:rsidRPr="00710E6A">
        <w:rPr>
          <w:b/>
          <w:bCs w:val="0"/>
        </w:rPr>
        <w:t xml:space="preserve"> </w:t>
      </w:r>
    </w:p>
    <w:p w14:paraId="0FC53124" w14:textId="4E970912" w:rsidR="001F1232" w:rsidRPr="003F4CE1" w:rsidRDefault="47FA238E" w:rsidP="001F1232">
      <w:pPr>
        <w:pStyle w:val="ListNumber"/>
        <w:rPr>
          <w:rFonts w:eastAsia="Open Sans" w:cs="Open Sans"/>
          <w:color w:val="000000" w:themeColor="text1"/>
        </w:rPr>
      </w:pPr>
      <w:r>
        <w:t>The</w:t>
      </w:r>
      <w:r w:rsidR="2A69E178">
        <w:t xml:space="preserve"> </w:t>
      </w:r>
      <w:r>
        <w:t>general</w:t>
      </w:r>
      <w:r w:rsidR="2A69E178">
        <w:t xml:space="preserve"> </w:t>
      </w:r>
      <w:r>
        <w:t>protections</w:t>
      </w:r>
      <w:r w:rsidR="2A69E178">
        <w:t xml:space="preserve"> </w:t>
      </w:r>
      <w:r>
        <w:t>regime</w:t>
      </w:r>
      <w:r w:rsidR="2A69E178">
        <w:t xml:space="preserve"> </w:t>
      </w:r>
      <w:r>
        <w:t>under</w:t>
      </w:r>
      <w:r w:rsidR="2A69E178">
        <w:t xml:space="preserve"> </w:t>
      </w:r>
      <w:r>
        <w:t>the</w:t>
      </w:r>
      <w:r w:rsidR="2A69E178">
        <w:t xml:space="preserve"> </w:t>
      </w:r>
      <w:r>
        <w:t>Fair</w:t>
      </w:r>
      <w:r w:rsidR="2A69E178">
        <w:t xml:space="preserve"> </w:t>
      </w:r>
      <w:r>
        <w:t>Work</w:t>
      </w:r>
      <w:r w:rsidR="2A69E178">
        <w:t xml:space="preserve"> </w:t>
      </w:r>
      <w:r>
        <w:t>Act</w:t>
      </w:r>
      <w:r w:rsidR="2A69E178">
        <w:t xml:space="preserve"> </w:t>
      </w:r>
      <w:r>
        <w:t>enables</w:t>
      </w:r>
      <w:r w:rsidR="2A69E178">
        <w:t xml:space="preserve"> </w:t>
      </w:r>
      <w:r>
        <w:t>people</w:t>
      </w:r>
      <w:r w:rsidR="2A69E178">
        <w:t xml:space="preserve"> </w:t>
      </w:r>
      <w:r>
        <w:t>with</w:t>
      </w:r>
      <w:r w:rsidR="2A69E178">
        <w:t xml:space="preserve"> </w:t>
      </w:r>
      <w:r>
        <w:t>disability</w:t>
      </w:r>
      <w:r w:rsidR="2A69E178">
        <w:t xml:space="preserve"> </w:t>
      </w:r>
      <w:r>
        <w:t>to</w:t>
      </w:r>
      <w:r w:rsidR="2A69E178">
        <w:t xml:space="preserve"> </w:t>
      </w:r>
      <w:r>
        <w:t>seek</w:t>
      </w:r>
      <w:r w:rsidR="2A69E178">
        <w:t xml:space="preserve"> </w:t>
      </w:r>
      <w:r>
        <w:t>redress</w:t>
      </w:r>
      <w:r w:rsidR="2A69E178">
        <w:t xml:space="preserve"> </w:t>
      </w:r>
      <w:r>
        <w:t>if</w:t>
      </w:r>
      <w:r w:rsidR="2A69E178">
        <w:t xml:space="preserve"> </w:t>
      </w:r>
      <w:r w:rsidR="32F38D34">
        <w:t>‘</w:t>
      </w:r>
      <w:r>
        <w:t>adverse</w:t>
      </w:r>
      <w:r w:rsidR="2A69E178">
        <w:t xml:space="preserve"> </w:t>
      </w:r>
      <w:r>
        <w:t>action</w:t>
      </w:r>
      <w:r w:rsidR="0D5B1C9A">
        <w:t>’</w:t>
      </w:r>
      <w:r w:rsidR="2A69E178">
        <w:t xml:space="preserve"> </w:t>
      </w:r>
      <w:r>
        <w:t>is</w:t>
      </w:r>
      <w:r w:rsidR="2A69E178">
        <w:t xml:space="preserve"> </w:t>
      </w:r>
      <w:r>
        <w:t>taken</w:t>
      </w:r>
      <w:r w:rsidR="2A69E178">
        <w:t xml:space="preserve"> </w:t>
      </w:r>
      <w:r>
        <w:t>against</w:t>
      </w:r>
      <w:r w:rsidR="2A69E178">
        <w:t xml:space="preserve"> </w:t>
      </w:r>
      <w:r>
        <w:t>them</w:t>
      </w:r>
      <w:r w:rsidR="2A69E178">
        <w:t xml:space="preserve"> </w:t>
      </w:r>
      <w:r>
        <w:t>in</w:t>
      </w:r>
      <w:r w:rsidR="2A69E178">
        <w:t xml:space="preserve"> </w:t>
      </w:r>
      <w:r>
        <w:t>the</w:t>
      </w:r>
      <w:r w:rsidR="2A69E178">
        <w:t xml:space="preserve"> </w:t>
      </w:r>
      <w:r>
        <w:t>employment</w:t>
      </w:r>
      <w:r w:rsidR="2A69E178">
        <w:t xml:space="preserve"> </w:t>
      </w:r>
      <w:r>
        <w:t>context.</w:t>
      </w:r>
    </w:p>
    <w:p w14:paraId="1AFAF345" w14:textId="77777777" w:rsidR="001F1232" w:rsidRPr="003F4CE1" w:rsidRDefault="001F1232" w:rsidP="001F1232">
      <w:pPr>
        <w:pStyle w:val="ListNumber"/>
        <w:rPr>
          <w:color w:val="000000" w:themeColor="text1"/>
        </w:rPr>
      </w:pPr>
      <w:r w:rsidRPr="003F4CE1">
        <w:t>The</w:t>
      </w:r>
      <w:r w:rsidR="00573BA7">
        <w:t xml:space="preserve"> </w:t>
      </w:r>
      <w:r w:rsidRPr="003F4CE1">
        <w:t>general</w:t>
      </w:r>
      <w:r w:rsidR="00573BA7">
        <w:t xml:space="preserve"> </w:t>
      </w:r>
      <w:r w:rsidRPr="003F4CE1">
        <w:t>protections</w:t>
      </w:r>
      <w:r w:rsidR="00573BA7">
        <w:t xml:space="preserve"> </w:t>
      </w:r>
      <w:r w:rsidRPr="003F4CE1">
        <w:t>regime</w:t>
      </w:r>
      <w:r w:rsidR="00573BA7">
        <w:t xml:space="preserve"> </w:t>
      </w:r>
      <w:r w:rsidRPr="003F4CE1">
        <w:t>covers</w:t>
      </w:r>
      <w:r w:rsidR="00573BA7">
        <w:t xml:space="preserve"> </w:t>
      </w:r>
      <w:r w:rsidRPr="003F4CE1">
        <w:t>discrimination</w:t>
      </w:r>
      <w:r w:rsidR="00573BA7">
        <w:t xml:space="preserve"> </w:t>
      </w:r>
      <w:r>
        <w:t>against</w:t>
      </w:r>
      <w:r w:rsidR="00573BA7">
        <w:t xml:space="preserve"> </w:t>
      </w:r>
      <w:r w:rsidRPr="003F4CE1">
        <w:t>employees</w:t>
      </w:r>
      <w:r w:rsidR="00573BA7">
        <w:t xml:space="preserve"> </w:t>
      </w:r>
      <w:r>
        <w:t>and</w:t>
      </w:r>
      <w:r w:rsidR="00573BA7">
        <w:t xml:space="preserve"> </w:t>
      </w:r>
      <w:r w:rsidRPr="003F4CE1">
        <w:t>prospective</w:t>
      </w:r>
      <w:r w:rsidR="00573BA7">
        <w:t xml:space="preserve"> </w:t>
      </w:r>
      <w:r w:rsidRPr="003F4CE1">
        <w:t>employees.</w:t>
      </w:r>
      <w:r w:rsidR="00573BA7">
        <w:t xml:space="preserve"> </w:t>
      </w:r>
      <w:r w:rsidRPr="003F4CE1">
        <w:t>This</w:t>
      </w:r>
      <w:r w:rsidR="00573BA7">
        <w:t xml:space="preserve"> </w:t>
      </w:r>
      <w:r w:rsidRPr="003F4CE1">
        <w:t>includes</w:t>
      </w:r>
      <w:r w:rsidR="00573BA7">
        <w:t xml:space="preserve"> </w:t>
      </w:r>
      <w:r w:rsidRPr="003F4CE1">
        <w:t>full</w:t>
      </w:r>
      <w:r w:rsidR="00573BA7">
        <w:t xml:space="preserve"> </w:t>
      </w:r>
      <w:r w:rsidRPr="003F4CE1">
        <w:t>time,</w:t>
      </w:r>
      <w:r w:rsidR="00573BA7">
        <w:t xml:space="preserve"> </w:t>
      </w:r>
      <w:r w:rsidRPr="003F4CE1">
        <w:t>part</w:t>
      </w:r>
      <w:r w:rsidR="00573BA7">
        <w:t xml:space="preserve"> </w:t>
      </w:r>
      <w:r w:rsidRPr="003F4CE1">
        <w:t>time</w:t>
      </w:r>
      <w:r w:rsidR="00573BA7">
        <w:t xml:space="preserve"> </w:t>
      </w:r>
      <w:r w:rsidRPr="003F4CE1">
        <w:t>and</w:t>
      </w:r>
      <w:r w:rsidR="00573BA7">
        <w:t xml:space="preserve"> </w:t>
      </w:r>
      <w:r w:rsidRPr="003F4CE1">
        <w:t>casual</w:t>
      </w:r>
      <w:r w:rsidR="00573BA7">
        <w:t xml:space="preserve"> </w:t>
      </w:r>
      <w:r w:rsidRPr="003F4CE1">
        <w:t>employees,</w:t>
      </w:r>
      <w:r w:rsidR="00573BA7">
        <w:t xml:space="preserve"> </w:t>
      </w:r>
      <w:r w:rsidRPr="003F4CE1">
        <w:t>probationary</w:t>
      </w:r>
      <w:r w:rsidR="00573BA7">
        <w:t xml:space="preserve"> </w:t>
      </w:r>
      <w:r w:rsidRPr="003F4CE1">
        <w:t>employees,</w:t>
      </w:r>
      <w:r w:rsidR="00573BA7">
        <w:t xml:space="preserve"> </w:t>
      </w:r>
      <w:r w:rsidRPr="003F4CE1">
        <w:t>apprentices</w:t>
      </w:r>
      <w:r w:rsidR="00573BA7">
        <w:t xml:space="preserve"> </w:t>
      </w:r>
      <w:r w:rsidRPr="003F4CE1">
        <w:t>and</w:t>
      </w:r>
      <w:r w:rsidR="00573BA7">
        <w:t xml:space="preserve"> </w:t>
      </w:r>
      <w:r w:rsidRPr="003F4CE1">
        <w:t>trainees,</w:t>
      </w:r>
      <w:r w:rsidR="00573BA7">
        <w:t xml:space="preserve"> </w:t>
      </w:r>
      <w:r w:rsidRPr="003F4CE1">
        <w:t>and</w:t>
      </w:r>
      <w:r w:rsidR="00573BA7">
        <w:t xml:space="preserve"> </w:t>
      </w:r>
      <w:r>
        <w:t>fixed</w:t>
      </w:r>
      <w:r w:rsidR="00573BA7">
        <w:t xml:space="preserve"> </w:t>
      </w:r>
      <w:r>
        <w:t>term</w:t>
      </w:r>
      <w:r w:rsidR="00573BA7">
        <w:t xml:space="preserve"> </w:t>
      </w:r>
      <w:r>
        <w:t>employees</w:t>
      </w:r>
      <w:r w:rsidRPr="003F4CE1">
        <w:t>.</w:t>
      </w:r>
      <w:r w:rsidRPr="003F4CE1">
        <w:rPr>
          <w:rStyle w:val="EndnoteReference"/>
        </w:rPr>
        <w:endnoteReference w:id="43"/>
      </w:r>
      <w:r w:rsidR="00573BA7">
        <w:t xml:space="preserve"> </w:t>
      </w:r>
    </w:p>
    <w:p w14:paraId="28535298" w14:textId="77777777" w:rsidR="001F1232" w:rsidRPr="003F4CE1" w:rsidRDefault="00573BA7" w:rsidP="001F1232">
      <w:pPr>
        <w:pStyle w:val="ListNumber"/>
        <w:rPr>
          <w:color w:val="000000" w:themeColor="text1"/>
        </w:rPr>
      </w:pPr>
      <w:r>
        <w:t xml:space="preserve"> </w:t>
      </w:r>
      <w:r w:rsidR="001F1232">
        <w:t>Section</w:t>
      </w:r>
      <w:r>
        <w:t xml:space="preserve"> </w:t>
      </w:r>
      <w:r w:rsidR="001F1232">
        <w:t>351(1)</w:t>
      </w:r>
      <w:r>
        <w:t xml:space="preserve"> </w:t>
      </w:r>
      <w:r w:rsidR="001F1232">
        <w:t>of</w:t>
      </w:r>
      <w:r>
        <w:t xml:space="preserve"> </w:t>
      </w:r>
      <w:r w:rsidR="001F1232">
        <w:t>the</w:t>
      </w:r>
      <w:r>
        <w:t xml:space="preserve"> </w:t>
      </w:r>
      <w:r w:rsidR="001F1232">
        <w:t>Fair</w:t>
      </w:r>
      <w:r>
        <w:t xml:space="preserve"> </w:t>
      </w:r>
      <w:r w:rsidR="001F1232">
        <w:t>Work</w:t>
      </w:r>
      <w:r>
        <w:t xml:space="preserve"> </w:t>
      </w:r>
      <w:r w:rsidR="001F1232">
        <w:t>Act</w:t>
      </w:r>
      <w:r>
        <w:t xml:space="preserve"> </w:t>
      </w:r>
      <w:r w:rsidR="001F1232">
        <w:t>provides</w:t>
      </w:r>
      <w:r>
        <w:t xml:space="preserve"> </w:t>
      </w:r>
      <w:r w:rsidR="001F1232">
        <w:t>that</w:t>
      </w:r>
      <w:r>
        <w:t xml:space="preserve"> </w:t>
      </w:r>
      <w:r w:rsidR="001F1232">
        <w:t>an</w:t>
      </w:r>
      <w:r>
        <w:t xml:space="preserve"> </w:t>
      </w:r>
      <w:r w:rsidR="001F1232">
        <w:t>employer</w:t>
      </w:r>
      <w:r>
        <w:t xml:space="preserve"> </w:t>
      </w:r>
      <w:r w:rsidR="001F1232">
        <w:t>must</w:t>
      </w:r>
      <w:r>
        <w:t xml:space="preserve"> </w:t>
      </w:r>
      <w:r w:rsidR="001F1232">
        <w:t>not</w:t>
      </w:r>
      <w:r>
        <w:t xml:space="preserve"> </w:t>
      </w:r>
      <w:r w:rsidR="001F1232">
        <w:t>take</w:t>
      </w:r>
      <w:r>
        <w:t xml:space="preserve"> </w:t>
      </w:r>
      <w:r w:rsidR="001F1232">
        <w:t>adverse</w:t>
      </w:r>
      <w:r>
        <w:t xml:space="preserve"> </w:t>
      </w:r>
      <w:r w:rsidR="001F1232">
        <w:t>action</w:t>
      </w:r>
      <w:r>
        <w:t xml:space="preserve"> </w:t>
      </w:r>
      <w:r w:rsidR="001F1232">
        <w:t>against</w:t>
      </w:r>
      <w:r>
        <w:t xml:space="preserve"> </w:t>
      </w:r>
      <w:r w:rsidR="001F1232">
        <w:t>an</w:t>
      </w:r>
      <w:r>
        <w:t xml:space="preserve"> </w:t>
      </w:r>
      <w:r w:rsidR="001F1232">
        <w:t>employee,</w:t>
      </w:r>
      <w:r>
        <w:t xml:space="preserve"> </w:t>
      </w:r>
      <w:r w:rsidR="001F1232">
        <w:t>or</w:t>
      </w:r>
      <w:r>
        <w:t xml:space="preserve"> </w:t>
      </w:r>
      <w:r w:rsidR="001F1232">
        <w:t>prospective</w:t>
      </w:r>
      <w:r>
        <w:t xml:space="preserve"> </w:t>
      </w:r>
      <w:r w:rsidR="001F1232">
        <w:t>employee,</w:t>
      </w:r>
      <w:r>
        <w:t xml:space="preserve"> </w:t>
      </w:r>
      <w:r w:rsidR="001F1232">
        <w:t>because</w:t>
      </w:r>
      <w:r>
        <w:t xml:space="preserve"> </w:t>
      </w:r>
      <w:r w:rsidR="001F1232">
        <w:t>of</w:t>
      </w:r>
      <w:r>
        <w:t xml:space="preserve"> </w:t>
      </w:r>
      <w:r w:rsidR="001F1232">
        <w:lastRenderedPageBreak/>
        <w:t>their</w:t>
      </w:r>
      <w:r>
        <w:t xml:space="preserve"> </w:t>
      </w:r>
      <w:r w:rsidR="001F1232">
        <w:t>‘physical</w:t>
      </w:r>
      <w:r>
        <w:t xml:space="preserve"> </w:t>
      </w:r>
      <w:r w:rsidR="001F1232">
        <w:t>or</w:t>
      </w:r>
      <w:r>
        <w:t xml:space="preserve"> </w:t>
      </w:r>
      <w:r w:rsidR="001F1232">
        <w:t>mental</w:t>
      </w:r>
      <w:r>
        <w:t xml:space="preserve"> </w:t>
      </w:r>
      <w:r w:rsidR="001F1232">
        <w:t>disability’</w:t>
      </w:r>
      <w:r>
        <w:t xml:space="preserve"> </w:t>
      </w:r>
      <w:r w:rsidR="001F1232">
        <w:t>(or</w:t>
      </w:r>
      <w:r>
        <w:t xml:space="preserve"> </w:t>
      </w:r>
      <w:r w:rsidR="001F1232">
        <w:t>any</w:t>
      </w:r>
      <w:r>
        <w:t xml:space="preserve"> </w:t>
      </w:r>
      <w:r w:rsidR="001F1232">
        <w:t>other</w:t>
      </w:r>
      <w:r>
        <w:t xml:space="preserve"> </w:t>
      </w:r>
      <w:r w:rsidR="001F1232">
        <w:t>protected</w:t>
      </w:r>
      <w:r>
        <w:t xml:space="preserve"> </w:t>
      </w:r>
      <w:r w:rsidR="001F1232">
        <w:t>attribute</w:t>
      </w:r>
      <w:r>
        <w:t xml:space="preserve"> </w:t>
      </w:r>
      <w:r w:rsidR="001F1232">
        <w:t>such</w:t>
      </w:r>
      <w:r>
        <w:t xml:space="preserve"> </w:t>
      </w:r>
      <w:r w:rsidR="001F1232">
        <w:t>as</w:t>
      </w:r>
      <w:r>
        <w:t xml:space="preserve"> </w:t>
      </w:r>
      <w:r w:rsidR="001F1232">
        <w:t>age,</w:t>
      </w:r>
      <w:r>
        <w:t xml:space="preserve"> </w:t>
      </w:r>
      <w:r w:rsidR="001F1232">
        <w:t>race</w:t>
      </w:r>
      <w:r>
        <w:t xml:space="preserve"> </w:t>
      </w:r>
      <w:r w:rsidR="001F1232">
        <w:t>or</w:t>
      </w:r>
      <w:r>
        <w:t xml:space="preserve"> </w:t>
      </w:r>
      <w:r w:rsidR="001F1232">
        <w:t>sex).</w:t>
      </w:r>
      <w:r>
        <w:t xml:space="preserve"> </w:t>
      </w:r>
    </w:p>
    <w:p w14:paraId="1F94515C" w14:textId="77777777" w:rsidR="001F1232" w:rsidRPr="003F4CE1" w:rsidRDefault="001F1232" w:rsidP="001F1232">
      <w:pPr>
        <w:pStyle w:val="ListNumber"/>
        <w:rPr>
          <w:color w:val="000000" w:themeColor="text1"/>
        </w:rPr>
      </w:pPr>
      <w:r>
        <w:t>Adverse</w:t>
      </w:r>
      <w:r w:rsidR="00573BA7">
        <w:t xml:space="preserve"> </w:t>
      </w:r>
      <w:r>
        <w:t>action</w:t>
      </w:r>
      <w:r w:rsidR="00573BA7">
        <w:t xml:space="preserve"> </w:t>
      </w:r>
      <w:r>
        <w:t>by</w:t>
      </w:r>
      <w:r w:rsidR="00573BA7">
        <w:t xml:space="preserve"> </w:t>
      </w:r>
      <w:r>
        <w:t>an</w:t>
      </w:r>
      <w:r w:rsidR="00573BA7">
        <w:t xml:space="preserve"> </w:t>
      </w:r>
      <w:r>
        <w:t>employer</w:t>
      </w:r>
      <w:r w:rsidR="00573BA7">
        <w:t xml:space="preserve"> </w:t>
      </w:r>
      <w:r>
        <w:t>could</w:t>
      </w:r>
      <w:r w:rsidR="00573BA7">
        <w:t xml:space="preserve"> </w:t>
      </w:r>
      <w:r>
        <w:t>include</w:t>
      </w:r>
      <w:r w:rsidR="00573BA7">
        <w:t xml:space="preserve"> </w:t>
      </w:r>
      <w:r>
        <w:t>any</w:t>
      </w:r>
      <w:r w:rsidR="00573BA7">
        <w:t xml:space="preserve"> </w:t>
      </w:r>
      <w:r>
        <w:t>of</w:t>
      </w:r>
      <w:r w:rsidR="00573BA7">
        <w:t xml:space="preserve"> </w:t>
      </w:r>
      <w:r>
        <w:t>the</w:t>
      </w:r>
      <w:r w:rsidR="00573BA7">
        <w:t xml:space="preserve"> </w:t>
      </w:r>
      <w:r>
        <w:t>following:</w:t>
      </w:r>
    </w:p>
    <w:p w14:paraId="1801FC7C" w14:textId="257367A7" w:rsidR="001F1232" w:rsidRPr="003F4CE1" w:rsidRDefault="001F1232" w:rsidP="001F1232">
      <w:pPr>
        <w:pStyle w:val="ListNumber2"/>
        <w:numPr>
          <w:ilvl w:val="0"/>
          <w:numId w:val="19"/>
        </w:numPr>
        <w:rPr>
          <w:color w:val="000000" w:themeColor="text1"/>
        </w:rPr>
      </w:pPr>
      <w:r w:rsidRPr="003F4CE1">
        <w:t>dismissing</w:t>
      </w:r>
      <w:r w:rsidR="00573BA7">
        <w:t xml:space="preserve"> </w:t>
      </w:r>
      <w:r w:rsidRPr="003F4CE1">
        <w:t>an</w:t>
      </w:r>
      <w:r w:rsidR="00573BA7">
        <w:t xml:space="preserve"> </w:t>
      </w:r>
      <w:r w:rsidRPr="003F4CE1">
        <w:t>employee</w:t>
      </w:r>
      <w:r w:rsidR="00573BA7">
        <w:t xml:space="preserve"> </w:t>
      </w:r>
    </w:p>
    <w:p w14:paraId="1F3FCE28" w14:textId="575C4549" w:rsidR="001F1232" w:rsidRPr="003F4CE1" w:rsidRDefault="001F1232" w:rsidP="001F1232">
      <w:pPr>
        <w:pStyle w:val="ListNumber2"/>
        <w:numPr>
          <w:ilvl w:val="0"/>
          <w:numId w:val="19"/>
        </w:numPr>
        <w:rPr>
          <w:color w:val="000000" w:themeColor="text1"/>
        </w:rPr>
      </w:pPr>
      <w:r w:rsidRPr="003F4CE1">
        <w:t>injuring</w:t>
      </w:r>
      <w:r w:rsidR="00573BA7">
        <w:t xml:space="preserve"> </w:t>
      </w:r>
      <w:r w:rsidRPr="003F4CE1">
        <w:t>an</w:t>
      </w:r>
      <w:r w:rsidR="00573BA7">
        <w:t xml:space="preserve"> </w:t>
      </w:r>
      <w:r w:rsidRPr="003F4CE1">
        <w:t>employee</w:t>
      </w:r>
      <w:r w:rsidR="00573BA7">
        <w:t xml:space="preserve"> </w:t>
      </w:r>
      <w:r w:rsidRPr="003F4CE1">
        <w:t>in</w:t>
      </w:r>
      <w:r w:rsidR="00573BA7">
        <w:t xml:space="preserve"> </w:t>
      </w:r>
      <w:r w:rsidRPr="003F4CE1">
        <w:t>their</w:t>
      </w:r>
      <w:r w:rsidR="00573BA7">
        <w:t xml:space="preserve"> </w:t>
      </w:r>
      <w:r w:rsidRPr="003F4CE1">
        <w:t>employment</w:t>
      </w:r>
    </w:p>
    <w:p w14:paraId="6DD49557" w14:textId="09DAF6A3" w:rsidR="001F1232" w:rsidRPr="003F4CE1" w:rsidRDefault="001F1232" w:rsidP="001F1232">
      <w:pPr>
        <w:pStyle w:val="ListNumber2"/>
        <w:numPr>
          <w:ilvl w:val="0"/>
          <w:numId w:val="19"/>
        </w:numPr>
        <w:rPr>
          <w:color w:val="000000" w:themeColor="text1"/>
        </w:rPr>
      </w:pPr>
      <w:r w:rsidRPr="003F4CE1">
        <w:t>altering</w:t>
      </w:r>
      <w:r w:rsidR="00573BA7">
        <w:t xml:space="preserve"> </w:t>
      </w:r>
      <w:r w:rsidRPr="003F4CE1">
        <w:t>the</w:t>
      </w:r>
      <w:r w:rsidR="00573BA7">
        <w:t xml:space="preserve"> </w:t>
      </w:r>
      <w:r w:rsidRPr="003F4CE1">
        <w:t>position</w:t>
      </w:r>
      <w:r w:rsidR="00573BA7">
        <w:t xml:space="preserve"> </w:t>
      </w:r>
      <w:r w:rsidRPr="003F4CE1">
        <w:t>of</w:t>
      </w:r>
      <w:r w:rsidR="00573BA7">
        <w:t xml:space="preserve"> </w:t>
      </w:r>
      <w:r w:rsidRPr="003F4CE1">
        <w:t>the</w:t>
      </w:r>
      <w:r w:rsidR="00573BA7">
        <w:t xml:space="preserve"> </w:t>
      </w:r>
      <w:r w:rsidRPr="003F4CE1">
        <w:t>employee</w:t>
      </w:r>
      <w:r w:rsidR="00573BA7">
        <w:t xml:space="preserve"> </w:t>
      </w:r>
      <w:r w:rsidRPr="003F4CE1">
        <w:t>to</w:t>
      </w:r>
      <w:r w:rsidR="00573BA7">
        <w:t xml:space="preserve"> </w:t>
      </w:r>
      <w:r w:rsidRPr="003F4CE1">
        <w:t>the</w:t>
      </w:r>
      <w:r w:rsidR="00573BA7">
        <w:t xml:space="preserve"> </w:t>
      </w:r>
      <w:r w:rsidRPr="003F4CE1">
        <w:t>employee’s</w:t>
      </w:r>
      <w:r w:rsidR="00573BA7">
        <w:t xml:space="preserve"> </w:t>
      </w:r>
      <w:r w:rsidRPr="003F4CE1">
        <w:t>prejudice</w:t>
      </w:r>
    </w:p>
    <w:p w14:paraId="0F722F62" w14:textId="30347B05" w:rsidR="001F1232" w:rsidRPr="003F4CE1" w:rsidRDefault="001F1232" w:rsidP="001F1232">
      <w:pPr>
        <w:pStyle w:val="ListNumber2"/>
        <w:numPr>
          <w:ilvl w:val="0"/>
          <w:numId w:val="19"/>
        </w:numPr>
        <w:rPr>
          <w:color w:val="000000" w:themeColor="text1"/>
        </w:rPr>
      </w:pPr>
      <w:r w:rsidRPr="003F4CE1">
        <w:t>discriminating</w:t>
      </w:r>
      <w:r w:rsidR="00573BA7">
        <w:t xml:space="preserve"> </w:t>
      </w:r>
      <w:r w:rsidRPr="003F4CE1">
        <w:t>between</w:t>
      </w:r>
      <w:r w:rsidR="00573BA7">
        <w:t xml:space="preserve"> </w:t>
      </w:r>
      <w:r w:rsidRPr="003F4CE1">
        <w:t>one</w:t>
      </w:r>
      <w:r w:rsidR="00573BA7">
        <w:t xml:space="preserve"> </w:t>
      </w:r>
      <w:r w:rsidRPr="003F4CE1">
        <w:t>employee</w:t>
      </w:r>
      <w:r w:rsidR="00573BA7">
        <w:t xml:space="preserve"> </w:t>
      </w:r>
      <w:r w:rsidRPr="003F4CE1">
        <w:t>and</w:t>
      </w:r>
      <w:r w:rsidR="00573BA7">
        <w:t xml:space="preserve"> </w:t>
      </w:r>
      <w:r w:rsidRPr="003F4CE1">
        <w:t>other</w:t>
      </w:r>
      <w:r w:rsidR="00573BA7">
        <w:t xml:space="preserve"> </w:t>
      </w:r>
      <w:r w:rsidRPr="003F4CE1">
        <w:t>employees</w:t>
      </w:r>
    </w:p>
    <w:p w14:paraId="2A9070FC" w14:textId="6860444F" w:rsidR="001F1232" w:rsidRPr="003F4CE1" w:rsidRDefault="001F1232" w:rsidP="001F1232">
      <w:pPr>
        <w:pStyle w:val="ListNumber2"/>
        <w:numPr>
          <w:ilvl w:val="0"/>
          <w:numId w:val="19"/>
        </w:numPr>
        <w:rPr>
          <w:color w:val="000000" w:themeColor="text1"/>
        </w:rPr>
      </w:pPr>
      <w:r w:rsidRPr="003F4CE1">
        <w:t>refusing</w:t>
      </w:r>
      <w:r w:rsidR="00573BA7">
        <w:t xml:space="preserve"> </w:t>
      </w:r>
      <w:r w:rsidRPr="003F4CE1">
        <w:t>to</w:t>
      </w:r>
      <w:r w:rsidR="00573BA7">
        <w:t xml:space="preserve"> </w:t>
      </w:r>
      <w:r w:rsidRPr="003F4CE1">
        <w:t>employ</w:t>
      </w:r>
      <w:r w:rsidR="00573BA7">
        <w:t xml:space="preserve"> </w:t>
      </w:r>
      <w:r w:rsidRPr="003F4CE1">
        <w:t>a</w:t>
      </w:r>
      <w:r w:rsidR="00573BA7">
        <w:t xml:space="preserve"> </w:t>
      </w:r>
      <w:r w:rsidRPr="003F4CE1">
        <w:t>prospective</w:t>
      </w:r>
      <w:r w:rsidR="00573BA7">
        <w:t xml:space="preserve"> </w:t>
      </w:r>
      <w:r w:rsidRPr="003F4CE1">
        <w:t>employee</w:t>
      </w:r>
      <w:r w:rsidR="00573BA7">
        <w:t xml:space="preserve"> </w:t>
      </w:r>
      <w:r w:rsidRPr="003F4CE1">
        <w:t>or</w:t>
      </w:r>
    </w:p>
    <w:p w14:paraId="024B37BC" w14:textId="77777777" w:rsidR="001F1232" w:rsidRPr="003F4CE1" w:rsidRDefault="001F1232" w:rsidP="001F1232">
      <w:pPr>
        <w:pStyle w:val="ListNumber2"/>
        <w:numPr>
          <w:ilvl w:val="0"/>
          <w:numId w:val="19"/>
        </w:numPr>
        <w:rPr>
          <w:color w:val="000000" w:themeColor="text1"/>
        </w:rPr>
      </w:pPr>
      <w:r w:rsidRPr="003F4CE1">
        <w:t>discriminating</w:t>
      </w:r>
      <w:r w:rsidR="00573BA7">
        <w:t xml:space="preserve"> </w:t>
      </w:r>
      <w:r w:rsidRPr="003F4CE1">
        <w:t>against</w:t>
      </w:r>
      <w:r w:rsidR="00573BA7">
        <w:t xml:space="preserve"> </w:t>
      </w:r>
      <w:r w:rsidRPr="003F4CE1">
        <w:t>a</w:t>
      </w:r>
      <w:r w:rsidR="00573BA7">
        <w:t xml:space="preserve"> </w:t>
      </w:r>
      <w:r w:rsidRPr="003F4CE1">
        <w:t>prospective</w:t>
      </w:r>
      <w:r w:rsidR="00573BA7">
        <w:t xml:space="preserve"> </w:t>
      </w:r>
      <w:r w:rsidRPr="003F4CE1">
        <w:t>employee</w:t>
      </w:r>
      <w:r w:rsidR="00573BA7">
        <w:t xml:space="preserve"> </w:t>
      </w:r>
      <w:r w:rsidRPr="003F4CE1">
        <w:t>in</w:t>
      </w:r>
      <w:r w:rsidR="00573BA7">
        <w:t xml:space="preserve"> </w:t>
      </w:r>
      <w:r w:rsidRPr="003F4CE1">
        <w:t>the</w:t>
      </w:r>
      <w:r w:rsidR="00573BA7">
        <w:t xml:space="preserve"> </w:t>
      </w:r>
      <w:r w:rsidRPr="003F4CE1">
        <w:t>terms</w:t>
      </w:r>
      <w:r w:rsidR="00573BA7">
        <w:t xml:space="preserve"> </w:t>
      </w:r>
      <w:r w:rsidRPr="003F4CE1">
        <w:t>and</w:t>
      </w:r>
      <w:r w:rsidR="00573BA7">
        <w:t xml:space="preserve"> </w:t>
      </w:r>
      <w:r w:rsidRPr="003F4CE1">
        <w:t>conditions</w:t>
      </w:r>
      <w:r w:rsidR="00573BA7">
        <w:t xml:space="preserve"> </w:t>
      </w:r>
      <w:r w:rsidRPr="003F4CE1">
        <w:t>of</w:t>
      </w:r>
      <w:r w:rsidR="00573BA7">
        <w:t xml:space="preserve"> </w:t>
      </w:r>
      <w:r w:rsidRPr="003F4CE1">
        <w:t>the</w:t>
      </w:r>
      <w:r w:rsidR="00573BA7">
        <w:t xml:space="preserve"> </w:t>
      </w:r>
      <w:r w:rsidRPr="003F4CE1">
        <w:t>employment</w:t>
      </w:r>
      <w:r w:rsidR="00573BA7">
        <w:t xml:space="preserve"> </w:t>
      </w:r>
      <w:r w:rsidRPr="003F4CE1">
        <w:t>offered.</w:t>
      </w:r>
      <w:r w:rsidRPr="003F4CE1">
        <w:rPr>
          <w:rStyle w:val="EndnoteReference"/>
        </w:rPr>
        <w:endnoteReference w:id="44"/>
      </w:r>
      <w:r w:rsidR="00573BA7">
        <w:t xml:space="preserve">  </w:t>
      </w:r>
    </w:p>
    <w:p w14:paraId="1AA5E604" w14:textId="69A26812" w:rsidR="001F1232" w:rsidRPr="00BC4DA8" w:rsidRDefault="47FA238E" w:rsidP="001F1232">
      <w:pPr>
        <w:pStyle w:val="ListNumber"/>
        <w:rPr>
          <w:rFonts w:eastAsia="Open Sans" w:cs="Open Sans"/>
          <w:color w:val="000000" w:themeColor="text1"/>
        </w:rPr>
      </w:pPr>
      <w:r w:rsidRPr="003F4CE1">
        <w:t>However,</w:t>
      </w:r>
      <w:r w:rsidR="2A69E178">
        <w:t xml:space="preserve"> </w:t>
      </w:r>
      <w:r w:rsidRPr="003F4CE1">
        <w:t>section</w:t>
      </w:r>
      <w:r w:rsidR="2A69E178">
        <w:t xml:space="preserve"> </w:t>
      </w:r>
      <w:r w:rsidRPr="003F4CE1">
        <w:t>351(1)</w:t>
      </w:r>
      <w:r w:rsidR="2A69E178">
        <w:t xml:space="preserve"> </w:t>
      </w:r>
      <w:r w:rsidRPr="003F4CE1">
        <w:t>does</w:t>
      </w:r>
      <w:r w:rsidR="2A69E178">
        <w:t xml:space="preserve"> </w:t>
      </w:r>
      <w:r w:rsidRPr="003F4CE1">
        <w:t>not</w:t>
      </w:r>
      <w:r w:rsidR="2A69E178">
        <w:t xml:space="preserve"> </w:t>
      </w:r>
      <w:r w:rsidRPr="003F4CE1">
        <w:t>apply</w:t>
      </w:r>
      <w:r w:rsidR="2A69E178">
        <w:t xml:space="preserve"> </w:t>
      </w:r>
      <w:r w:rsidRPr="003F4CE1">
        <w:t>to</w:t>
      </w:r>
      <w:r w:rsidR="2A69E178">
        <w:t xml:space="preserve"> </w:t>
      </w:r>
      <w:r w:rsidRPr="003F4CE1">
        <w:t>action</w:t>
      </w:r>
      <w:r w:rsidR="2A69E178">
        <w:t xml:space="preserve"> </w:t>
      </w:r>
      <w:r w:rsidRPr="003F4CE1">
        <w:t>that</w:t>
      </w:r>
      <w:r w:rsidR="2A69E178">
        <w:t xml:space="preserve"> </w:t>
      </w:r>
      <w:r w:rsidRPr="003F4CE1">
        <w:t>is</w:t>
      </w:r>
      <w:r w:rsidR="2A69E178">
        <w:t xml:space="preserve"> </w:t>
      </w:r>
      <w:r w:rsidRPr="003F4CE1">
        <w:t>not</w:t>
      </w:r>
      <w:r w:rsidR="2A69E178">
        <w:t xml:space="preserve"> </w:t>
      </w:r>
      <w:r w:rsidRPr="003F4CE1">
        <w:t>unlawful</w:t>
      </w:r>
      <w:r w:rsidR="2A69E178">
        <w:t xml:space="preserve"> </w:t>
      </w:r>
      <w:r w:rsidRPr="003F4CE1">
        <w:t>under</w:t>
      </w:r>
      <w:r w:rsidR="2A69E178">
        <w:t xml:space="preserve"> </w:t>
      </w:r>
      <w:r w:rsidRPr="003F4CE1">
        <w:t>any</w:t>
      </w:r>
      <w:r w:rsidR="2A69E178">
        <w:t xml:space="preserve"> </w:t>
      </w:r>
      <w:r w:rsidRPr="003F4CE1">
        <w:t>anti-discrimination</w:t>
      </w:r>
      <w:r w:rsidR="2A69E178">
        <w:t xml:space="preserve"> </w:t>
      </w:r>
      <w:r w:rsidRPr="003F4CE1">
        <w:t>law</w:t>
      </w:r>
      <w:r w:rsidR="2A69E178">
        <w:t xml:space="preserve"> </w:t>
      </w:r>
      <w:r w:rsidRPr="003F4CE1">
        <w:t>that</w:t>
      </w:r>
      <w:r w:rsidR="2A69E178">
        <w:t xml:space="preserve"> </w:t>
      </w:r>
      <w:r w:rsidRPr="003F4CE1">
        <w:t>is</w:t>
      </w:r>
      <w:r w:rsidR="2A69E178">
        <w:t xml:space="preserve"> </w:t>
      </w:r>
      <w:r w:rsidRPr="003F4CE1">
        <w:t>in</w:t>
      </w:r>
      <w:r w:rsidR="2A69E178">
        <w:t xml:space="preserve"> </w:t>
      </w:r>
      <w:r w:rsidRPr="003F4CE1">
        <w:t>force</w:t>
      </w:r>
      <w:r w:rsidR="2A69E178">
        <w:t xml:space="preserve"> </w:t>
      </w:r>
      <w:r w:rsidRPr="003F4CE1">
        <w:t>in</w:t>
      </w:r>
      <w:r w:rsidR="2A69E178">
        <w:t xml:space="preserve"> </w:t>
      </w:r>
      <w:r w:rsidRPr="003F4CE1">
        <w:t>the</w:t>
      </w:r>
      <w:r w:rsidR="2A69E178">
        <w:t xml:space="preserve"> </w:t>
      </w:r>
      <w:r w:rsidRPr="003F4CE1">
        <w:t>place</w:t>
      </w:r>
      <w:r w:rsidR="2A69E178">
        <w:t xml:space="preserve"> </w:t>
      </w:r>
      <w:r w:rsidRPr="003F4CE1">
        <w:t>where</w:t>
      </w:r>
      <w:r w:rsidR="2A69E178">
        <w:t xml:space="preserve"> </w:t>
      </w:r>
      <w:r w:rsidRPr="003F4CE1">
        <w:t>the</w:t>
      </w:r>
      <w:r w:rsidR="2A69E178">
        <w:t xml:space="preserve"> </w:t>
      </w:r>
      <w:r w:rsidRPr="003F4CE1">
        <w:t>action</w:t>
      </w:r>
      <w:r w:rsidR="2A69E178">
        <w:t xml:space="preserve"> </w:t>
      </w:r>
      <w:r w:rsidRPr="003F4CE1">
        <w:t>is</w:t>
      </w:r>
      <w:r w:rsidR="2A69E178">
        <w:t xml:space="preserve"> </w:t>
      </w:r>
      <w:r w:rsidRPr="003F4CE1">
        <w:t>taken,</w:t>
      </w:r>
      <w:r w:rsidR="2A69E178">
        <w:t xml:space="preserve"> </w:t>
      </w:r>
      <w:r w:rsidRPr="003F4CE1">
        <w:t>including</w:t>
      </w:r>
      <w:r w:rsidR="2A69E178">
        <w:t xml:space="preserve"> </w:t>
      </w:r>
      <w:r w:rsidRPr="003F4CE1">
        <w:t>the</w:t>
      </w:r>
      <w:r w:rsidR="2A69E178">
        <w:t xml:space="preserve"> </w:t>
      </w:r>
      <w:r w:rsidRPr="003F4CE1">
        <w:t>Disability</w:t>
      </w:r>
      <w:r w:rsidR="2A69E178">
        <w:t xml:space="preserve"> </w:t>
      </w:r>
      <w:r w:rsidRPr="003F4CE1">
        <w:t>Discrimination</w:t>
      </w:r>
      <w:r w:rsidR="2A69E178">
        <w:t xml:space="preserve"> </w:t>
      </w:r>
      <w:r w:rsidRPr="003F4CE1">
        <w:t>Act.</w:t>
      </w:r>
      <w:r w:rsidR="001F1232">
        <w:rPr>
          <w:rStyle w:val="EndnoteReference"/>
        </w:rPr>
        <w:endnoteReference w:id="45"/>
      </w:r>
      <w:r w:rsidR="2A69E178">
        <w:t xml:space="preserve">  </w:t>
      </w:r>
      <w:r>
        <w:t>This</w:t>
      </w:r>
      <w:r w:rsidR="2A69E178">
        <w:t xml:space="preserve"> </w:t>
      </w:r>
      <w:r>
        <w:t>means</w:t>
      </w:r>
      <w:r w:rsidR="2A69E178">
        <w:t xml:space="preserve"> </w:t>
      </w:r>
      <w:r>
        <w:t>section</w:t>
      </w:r>
      <w:r w:rsidR="2A69E178">
        <w:t xml:space="preserve"> </w:t>
      </w:r>
      <w:r w:rsidRPr="003F4CE1">
        <w:t>351(1)</w:t>
      </w:r>
      <w:r w:rsidR="2A69E178">
        <w:t xml:space="preserve"> </w:t>
      </w:r>
      <w:r w:rsidRPr="003F4CE1">
        <w:t>of</w:t>
      </w:r>
      <w:r w:rsidR="2A69E178">
        <w:t xml:space="preserve"> </w:t>
      </w:r>
      <w:r w:rsidRPr="003F4CE1">
        <w:t>the</w:t>
      </w:r>
      <w:r w:rsidR="2A69E178">
        <w:t xml:space="preserve"> </w:t>
      </w:r>
      <w:r w:rsidRPr="003F4CE1">
        <w:t>Fair</w:t>
      </w:r>
      <w:r w:rsidR="2A69E178">
        <w:t xml:space="preserve"> </w:t>
      </w:r>
      <w:r w:rsidRPr="003F4CE1">
        <w:t>Work</w:t>
      </w:r>
      <w:r w:rsidR="2A69E178">
        <w:t xml:space="preserve"> </w:t>
      </w:r>
      <w:r w:rsidRPr="003F4CE1">
        <w:t>Act</w:t>
      </w:r>
      <w:r w:rsidR="2A69E178">
        <w:t xml:space="preserve"> </w:t>
      </w:r>
      <w:r w:rsidRPr="003F4CE1">
        <w:t>simply</w:t>
      </w:r>
      <w:r w:rsidR="2A69E178">
        <w:t xml:space="preserve"> </w:t>
      </w:r>
      <w:r w:rsidRPr="003F4CE1">
        <w:t>provides</w:t>
      </w:r>
      <w:r w:rsidR="2A69E178">
        <w:t xml:space="preserve"> </w:t>
      </w:r>
      <w:r w:rsidRPr="003F4CE1">
        <w:t>an</w:t>
      </w:r>
      <w:r w:rsidR="2A69E178">
        <w:t xml:space="preserve"> </w:t>
      </w:r>
      <w:r w:rsidRPr="003F4CE1">
        <w:t>alternative</w:t>
      </w:r>
      <w:r w:rsidR="2A69E178">
        <w:t xml:space="preserve"> </w:t>
      </w:r>
      <w:r w:rsidRPr="003F4CE1">
        <w:t>avenue</w:t>
      </w:r>
      <w:r w:rsidR="2A69E178">
        <w:t xml:space="preserve"> </w:t>
      </w:r>
      <w:r w:rsidR="77191AC3" w:rsidRPr="003F4CE1">
        <w:t>for the</w:t>
      </w:r>
      <w:r w:rsidR="2A69E178">
        <w:t xml:space="preserve"> </w:t>
      </w:r>
      <w:r w:rsidRPr="003F4CE1">
        <w:t>redress</w:t>
      </w:r>
      <w:r w:rsidR="2A69E178">
        <w:t xml:space="preserve"> </w:t>
      </w:r>
      <w:r w:rsidR="43CB6F49">
        <w:t xml:space="preserve">of </w:t>
      </w:r>
      <w:r w:rsidRPr="003F4CE1">
        <w:t>disability</w:t>
      </w:r>
      <w:r w:rsidR="2A69E178">
        <w:t xml:space="preserve"> </w:t>
      </w:r>
      <w:r w:rsidRPr="003F4CE1">
        <w:t>discrimination</w:t>
      </w:r>
      <w:r w:rsidR="2A69E178">
        <w:t xml:space="preserve"> </w:t>
      </w:r>
      <w:r w:rsidRPr="003F4CE1">
        <w:t>in</w:t>
      </w:r>
      <w:r w:rsidR="2A69E178">
        <w:t xml:space="preserve"> </w:t>
      </w:r>
      <w:r>
        <w:t>the</w:t>
      </w:r>
      <w:r w:rsidR="2A69E178">
        <w:t xml:space="preserve"> </w:t>
      </w:r>
      <w:r w:rsidRPr="003F4CE1">
        <w:t>circumstances</w:t>
      </w:r>
      <w:r w:rsidR="2A69E178">
        <w:t xml:space="preserve"> </w:t>
      </w:r>
      <w:r w:rsidRPr="003F4CE1">
        <w:t>covered</w:t>
      </w:r>
      <w:r w:rsidR="2A69E178">
        <w:t xml:space="preserve"> </w:t>
      </w:r>
      <w:r w:rsidRPr="003F4CE1">
        <w:t>by</w:t>
      </w:r>
      <w:r w:rsidR="2A69E178">
        <w:t xml:space="preserve"> </w:t>
      </w:r>
      <w:r w:rsidRPr="003F4CE1">
        <w:t>the</w:t>
      </w:r>
      <w:r w:rsidR="2A69E178">
        <w:t xml:space="preserve"> </w:t>
      </w:r>
      <w:r w:rsidRPr="003F4CE1">
        <w:t>Disability</w:t>
      </w:r>
      <w:r w:rsidR="2A69E178">
        <w:t xml:space="preserve"> </w:t>
      </w:r>
      <w:r w:rsidRPr="003F4CE1">
        <w:t>Discrimination</w:t>
      </w:r>
      <w:r w:rsidR="2A69E178">
        <w:t xml:space="preserve"> </w:t>
      </w:r>
      <w:r w:rsidRPr="003F4CE1">
        <w:t>Act</w:t>
      </w:r>
      <w:r w:rsidR="2A69E178">
        <w:t xml:space="preserve"> </w:t>
      </w:r>
      <w:r>
        <w:t>and</w:t>
      </w:r>
      <w:r w:rsidR="2A69E178">
        <w:t xml:space="preserve"> </w:t>
      </w:r>
      <w:r>
        <w:t>other</w:t>
      </w:r>
      <w:r w:rsidR="2A69E178">
        <w:t xml:space="preserve"> </w:t>
      </w:r>
      <w:r w:rsidR="00AA6C63">
        <w:t>s</w:t>
      </w:r>
      <w:r>
        <w:t>tate</w:t>
      </w:r>
      <w:r w:rsidR="2A69E178">
        <w:t xml:space="preserve"> </w:t>
      </w:r>
      <w:r>
        <w:t>and</w:t>
      </w:r>
      <w:r w:rsidR="2A69E178">
        <w:t xml:space="preserve"> </w:t>
      </w:r>
      <w:r w:rsidR="00AA6C63">
        <w:t>t</w:t>
      </w:r>
      <w:r>
        <w:t>erritory</w:t>
      </w:r>
      <w:r w:rsidR="2A69E178">
        <w:t xml:space="preserve"> </w:t>
      </w:r>
      <w:r>
        <w:t>anti-discrimination</w:t>
      </w:r>
      <w:r w:rsidR="2A69E178">
        <w:t xml:space="preserve"> </w:t>
      </w:r>
      <w:r>
        <w:t>laws</w:t>
      </w:r>
      <w:r w:rsidRPr="003F4CE1">
        <w:t>.</w:t>
      </w:r>
      <w:r w:rsidR="001F1232" w:rsidRPr="003F4CE1">
        <w:rPr>
          <w:rStyle w:val="EndnoteReference"/>
        </w:rPr>
        <w:endnoteReference w:id="46"/>
      </w:r>
    </w:p>
    <w:p w14:paraId="4861837D" w14:textId="589A3C66" w:rsidR="001F1232" w:rsidRPr="00710E6A" w:rsidRDefault="001F1232" w:rsidP="001F1232">
      <w:pPr>
        <w:pStyle w:val="Heading3"/>
        <w:rPr>
          <w:b/>
          <w:bCs w:val="0"/>
        </w:rPr>
      </w:pPr>
      <w:bookmarkStart w:id="41" w:name="_Toc51834271"/>
      <w:r w:rsidRPr="00710E6A">
        <w:rPr>
          <w:b/>
          <w:bCs w:val="0"/>
        </w:rPr>
        <w:t>Unfair</w:t>
      </w:r>
      <w:r w:rsidR="00573BA7" w:rsidRPr="00710E6A">
        <w:rPr>
          <w:b/>
          <w:bCs w:val="0"/>
        </w:rPr>
        <w:t xml:space="preserve"> </w:t>
      </w:r>
      <w:r w:rsidRPr="00710E6A">
        <w:rPr>
          <w:b/>
          <w:bCs w:val="0"/>
        </w:rPr>
        <w:t>dismissal</w:t>
      </w:r>
      <w:r w:rsidR="00573BA7" w:rsidRPr="00710E6A">
        <w:rPr>
          <w:b/>
          <w:bCs w:val="0"/>
        </w:rPr>
        <w:t xml:space="preserve"> </w:t>
      </w:r>
      <w:r w:rsidRPr="00710E6A">
        <w:rPr>
          <w:b/>
          <w:bCs w:val="0"/>
        </w:rPr>
        <w:t>and</w:t>
      </w:r>
      <w:r w:rsidR="00573BA7" w:rsidRPr="00710E6A">
        <w:rPr>
          <w:b/>
          <w:bCs w:val="0"/>
        </w:rPr>
        <w:t xml:space="preserve"> </w:t>
      </w:r>
      <w:r w:rsidRPr="00710E6A">
        <w:rPr>
          <w:b/>
          <w:bCs w:val="0"/>
        </w:rPr>
        <w:t>unlawful</w:t>
      </w:r>
      <w:r w:rsidR="00573BA7" w:rsidRPr="00710E6A">
        <w:rPr>
          <w:b/>
          <w:bCs w:val="0"/>
        </w:rPr>
        <w:t xml:space="preserve"> </w:t>
      </w:r>
      <w:r w:rsidRPr="00710E6A">
        <w:rPr>
          <w:b/>
          <w:bCs w:val="0"/>
        </w:rPr>
        <w:t>termination</w:t>
      </w:r>
      <w:bookmarkEnd w:id="41"/>
      <w:r w:rsidR="00573BA7" w:rsidRPr="00710E6A">
        <w:rPr>
          <w:b/>
          <w:bCs w:val="0"/>
        </w:rPr>
        <w:t xml:space="preserve"> </w:t>
      </w:r>
    </w:p>
    <w:p w14:paraId="630E23F6" w14:textId="7A01B0DA" w:rsidR="001F1232" w:rsidRPr="00BC4DA8" w:rsidRDefault="00573BA7" w:rsidP="00C611D0">
      <w:pPr>
        <w:pStyle w:val="ListNumber"/>
        <w:rPr>
          <w:color w:val="000000" w:themeColor="text1"/>
        </w:rPr>
      </w:pPr>
      <w:r>
        <w:t xml:space="preserve"> </w:t>
      </w:r>
      <w:r w:rsidR="001F1232" w:rsidRPr="003F4CE1">
        <w:t>In</w:t>
      </w:r>
      <w:r>
        <w:t xml:space="preserve"> </w:t>
      </w:r>
      <w:r w:rsidR="001F1232" w:rsidRPr="003F4CE1">
        <w:t>addition</w:t>
      </w:r>
      <w:r>
        <w:t xml:space="preserve"> </w:t>
      </w:r>
      <w:r w:rsidR="001F1232" w:rsidRPr="003F4CE1">
        <w:t>to</w:t>
      </w:r>
      <w:r>
        <w:t xml:space="preserve"> </w:t>
      </w:r>
      <w:r w:rsidR="001F1232" w:rsidRPr="003F4CE1">
        <w:t>the</w:t>
      </w:r>
      <w:r>
        <w:t xml:space="preserve"> </w:t>
      </w:r>
      <w:r w:rsidR="001F1232" w:rsidRPr="003F4CE1">
        <w:t>general</w:t>
      </w:r>
      <w:r>
        <w:t xml:space="preserve"> </w:t>
      </w:r>
      <w:r w:rsidR="001F1232" w:rsidRPr="003F4CE1">
        <w:t>protections</w:t>
      </w:r>
      <w:r>
        <w:t xml:space="preserve"> </w:t>
      </w:r>
      <w:r w:rsidR="001F1232" w:rsidRPr="003F4CE1">
        <w:t>regime,</w:t>
      </w:r>
      <w:r>
        <w:t xml:space="preserve"> </w:t>
      </w:r>
      <w:r w:rsidR="001F1232" w:rsidRPr="003F4CE1">
        <w:t>the</w:t>
      </w:r>
      <w:r>
        <w:t xml:space="preserve"> </w:t>
      </w:r>
      <w:r w:rsidR="001F1232" w:rsidRPr="003F4CE1">
        <w:t>Fair</w:t>
      </w:r>
      <w:r>
        <w:t xml:space="preserve"> </w:t>
      </w:r>
      <w:r w:rsidR="001F1232" w:rsidRPr="003F4CE1">
        <w:t>Work</w:t>
      </w:r>
      <w:r>
        <w:t xml:space="preserve"> </w:t>
      </w:r>
      <w:r w:rsidR="001F1232" w:rsidRPr="003F4CE1">
        <w:t>Act</w:t>
      </w:r>
      <w:r>
        <w:t xml:space="preserve"> </w:t>
      </w:r>
      <w:r w:rsidR="006F2D52">
        <w:t>provides protections to all</w:t>
      </w:r>
      <w:r>
        <w:t xml:space="preserve"> </w:t>
      </w:r>
      <w:r w:rsidR="001F1232" w:rsidRPr="003F4CE1">
        <w:t>employees</w:t>
      </w:r>
      <w:r w:rsidR="006F2D52">
        <w:t xml:space="preserve"> (including people with disability)</w:t>
      </w:r>
      <w:r>
        <w:t xml:space="preserve"> </w:t>
      </w:r>
      <w:r w:rsidR="001F1232" w:rsidRPr="003F4CE1">
        <w:t>from</w:t>
      </w:r>
      <w:r>
        <w:t xml:space="preserve"> </w:t>
      </w:r>
      <w:r w:rsidR="001F1232" w:rsidRPr="003F4CE1">
        <w:t>unfair</w:t>
      </w:r>
      <w:r>
        <w:t xml:space="preserve"> </w:t>
      </w:r>
      <w:r w:rsidR="001F1232" w:rsidRPr="003F4CE1">
        <w:t>dismissal</w:t>
      </w:r>
      <w:r w:rsidR="001F1232" w:rsidRPr="003F4CE1">
        <w:rPr>
          <w:rStyle w:val="EndnoteReference"/>
        </w:rPr>
        <w:endnoteReference w:id="47"/>
      </w:r>
      <w:r>
        <w:t xml:space="preserve"> </w:t>
      </w:r>
      <w:r w:rsidR="001F1232" w:rsidRPr="003F4CE1">
        <w:t>and</w:t>
      </w:r>
      <w:r>
        <w:t xml:space="preserve"> </w:t>
      </w:r>
      <w:r w:rsidR="001F1232" w:rsidRPr="003F4CE1">
        <w:t>unlawful</w:t>
      </w:r>
      <w:r>
        <w:t xml:space="preserve"> </w:t>
      </w:r>
      <w:r w:rsidR="001F1232" w:rsidRPr="003F4CE1">
        <w:t>termination.</w:t>
      </w:r>
      <w:r w:rsidR="001F1232" w:rsidRPr="003F4CE1">
        <w:rPr>
          <w:rStyle w:val="EndnoteReference"/>
        </w:rPr>
        <w:endnoteReference w:id="48"/>
      </w:r>
      <w:r>
        <w:t xml:space="preserve">  </w:t>
      </w:r>
      <w:r w:rsidR="00797A67">
        <w:t>People with disability are included in these</w:t>
      </w:r>
      <w:r>
        <w:t xml:space="preserve"> </w:t>
      </w:r>
      <w:r w:rsidR="003B405A">
        <w:t>protections</w:t>
      </w:r>
      <w:r w:rsidR="008D6171">
        <w:t>.</w:t>
      </w:r>
      <w:r w:rsidR="00327E97">
        <w:t xml:space="preserve"> </w:t>
      </w:r>
      <w:r w:rsidR="006F2D52">
        <w:t>Whether these protections apply to people with disability on an equal basis with others in practice, as required by Article 27(1) of the CRPD and Articles 6 and 7 of</w:t>
      </w:r>
      <w:r w:rsidR="003C3DA4">
        <w:t xml:space="preserve"> the</w:t>
      </w:r>
      <w:r w:rsidR="006F2D52">
        <w:t xml:space="preserve"> ICESCR, </w:t>
      </w:r>
      <w:r w:rsidR="00327E97">
        <w:t xml:space="preserve">is </w:t>
      </w:r>
      <w:r w:rsidR="00D0191A">
        <w:t xml:space="preserve">examined at </w:t>
      </w:r>
      <w:r w:rsidR="00D0191A" w:rsidRPr="00C44625">
        <w:t xml:space="preserve">part </w:t>
      </w:r>
      <w:r w:rsidR="000A544B" w:rsidRPr="00C44625">
        <w:fldChar w:fldCharType="begin"/>
      </w:r>
      <w:r w:rsidR="000A544B" w:rsidRPr="00C44625">
        <w:instrText xml:space="preserve"> REF _Ref50731222 \w \h  \* MERGEFORMAT </w:instrText>
      </w:r>
      <w:r w:rsidR="000A544B" w:rsidRPr="00C44625">
        <w:fldChar w:fldCharType="separate"/>
      </w:r>
      <w:r w:rsidR="003944D6">
        <w:t>160</w:t>
      </w:r>
      <w:r w:rsidR="000A544B" w:rsidRPr="00C44625">
        <w:fldChar w:fldCharType="end"/>
      </w:r>
      <w:r w:rsidR="00D0191A">
        <w:t xml:space="preserve"> of this submission. </w:t>
      </w:r>
    </w:p>
    <w:p w14:paraId="6627200C" w14:textId="1E0BE204" w:rsidR="00E702AF" w:rsidRPr="00710E6A" w:rsidRDefault="00E702AF" w:rsidP="00E702AF">
      <w:pPr>
        <w:pStyle w:val="Heading3"/>
        <w:rPr>
          <w:b/>
          <w:bCs w:val="0"/>
        </w:rPr>
      </w:pPr>
      <w:bookmarkStart w:id="42" w:name="_Toc51834272"/>
      <w:r w:rsidRPr="00710E6A">
        <w:rPr>
          <w:b/>
          <w:bCs w:val="0"/>
        </w:rPr>
        <w:t>Fair</w:t>
      </w:r>
      <w:r w:rsidR="00573BA7" w:rsidRPr="00710E6A">
        <w:rPr>
          <w:b/>
          <w:bCs w:val="0"/>
        </w:rPr>
        <w:t xml:space="preserve"> </w:t>
      </w:r>
      <w:r w:rsidRPr="00710E6A">
        <w:rPr>
          <w:b/>
          <w:bCs w:val="0"/>
        </w:rPr>
        <w:t>and</w:t>
      </w:r>
      <w:r w:rsidR="00573BA7" w:rsidRPr="00710E6A">
        <w:rPr>
          <w:b/>
          <w:bCs w:val="0"/>
        </w:rPr>
        <w:t xml:space="preserve"> </w:t>
      </w:r>
      <w:r w:rsidRPr="00710E6A">
        <w:rPr>
          <w:b/>
          <w:bCs w:val="0"/>
        </w:rPr>
        <w:t>equal</w:t>
      </w:r>
      <w:r w:rsidR="00573BA7" w:rsidRPr="00710E6A">
        <w:rPr>
          <w:b/>
          <w:bCs w:val="0"/>
        </w:rPr>
        <w:t xml:space="preserve"> </w:t>
      </w:r>
      <w:r w:rsidRPr="00710E6A">
        <w:rPr>
          <w:b/>
          <w:bCs w:val="0"/>
        </w:rPr>
        <w:t>pay</w:t>
      </w:r>
      <w:bookmarkEnd w:id="42"/>
    </w:p>
    <w:p w14:paraId="7B2D7FA6" w14:textId="5F4EC6A8" w:rsidR="006F2D52" w:rsidRPr="00BC4DA8" w:rsidRDefault="00E702AF" w:rsidP="008A7EB0">
      <w:pPr>
        <w:pStyle w:val="ListNumber"/>
        <w:rPr>
          <w:lang w:eastAsia="en-GB"/>
        </w:rPr>
      </w:pPr>
      <w:r w:rsidRPr="07069484">
        <w:rPr>
          <w:lang w:eastAsia="en-GB"/>
        </w:rPr>
        <w:t>Section</w:t>
      </w:r>
      <w:r w:rsidR="00573BA7" w:rsidRPr="07069484">
        <w:rPr>
          <w:lang w:eastAsia="en-GB"/>
        </w:rPr>
        <w:t xml:space="preserve"> </w:t>
      </w:r>
      <w:r w:rsidRPr="07069484">
        <w:rPr>
          <w:lang w:eastAsia="en-GB"/>
        </w:rPr>
        <w:t>284</w:t>
      </w:r>
      <w:r w:rsidR="00573BA7" w:rsidRPr="07069484">
        <w:rPr>
          <w:lang w:eastAsia="en-GB"/>
        </w:rPr>
        <w:t xml:space="preserve"> </w:t>
      </w:r>
      <w:r w:rsidRPr="07069484">
        <w:rPr>
          <w:lang w:eastAsia="en-GB"/>
        </w:rPr>
        <w:t>of</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Fair</w:t>
      </w:r>
      <w:r w:rsidR="00573BA7" w:rsidRPr="07069484">
        <w:rPr>
          <w:lang w:eastAsia="en-GB"/>
        </w:rPr>
        <w:t xml:space="preserve"> </w:t>
      </w:r>
      <w:r w:rsidRPr="07069484">
        <w:rPr>
          <w:lang w:eastAsia="en-GB"/>
        </w:rPr>
        <w:t>Work</w:t>
      </w:r>
      <w:r w:rsidR="00573BA7" w:rsidRPr="07069484">
        <w:rPr>
          <w:lang w:eastAsia="en-GB"/>
        </w:rPr>
        <w:t xml:space="preserve"> </w:t>
      </w:r>
      <w:r w:rsidRPr="07069484">
        <w:rPr>
          <w:lang w:eastAsia="en-GB"/>
        </w:rPr>
        <w:t>Act</w:t>
      </w:r>
      <w:r w:rsidR="00573BA7" w:rsidRPr="07069484">
        <w:rPr>
          <w:lang w:eastAsia="en-GB"/>
        </w:rPr>
        <w:t xml:space="preserve"> </w:t>
      </w:r>
      <w:r w:rsidRPr="07069484">
        <w:rPr>
          <w:lang w:eastAsia="en-GB"/>
        </w:rPr>
        <w:t>requires</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Fair</w:t>
      </w:r>
      <w:r w:rsidR="00573BA7" w:rsidRPr="07069484">
        <w:rPr>
          <w:lang w:eastAsia="en-GB"/>
        </w:rPr>
        <w:t xml:space="preserve"> </w:t>
      </w:r>
      <w:r w:rsidRPr="07069484">
        <w:rPr>
          <w:lang w:eastAsia="en-GB"/>
        </w:rPr>
        <w:t>Work</w:t>
      </w:r>
      <w:r w:rsidR="00573BA7" w:rsidRPr="07069484">
        <w:rPr>
          <w:lang w:eastAsia="en-GB"/>
        </w:rPr>
        <w:t xml:space="preserve"> </w:t>
      </w:r>
      <w:r w:rsidRPr="07069484">
        <w:rPr>
          <w:lang w:eastAsia="en-GB"/>
        </w:rPr>
        <w:t>Commission</w:t>
      </w:r>
      <w:r w:rsidR="00573BA7" w:rsidRPr="07069484">
        <w:rPr>
          <w:lang w:eastAsia="en-GB"/>
        </w:rPr>
        <w:t xml:space="preserve"> </w:t>
      </w:r>
      <w:r w:rsidRPr="07069484">
        <w:rPr>
          <w:lang w:eastAsia="en-GB"/>
        </w:rPr>
        <w:t>to</w:t>
      </w:r>
      <w:r w:rsidR="00573BA7" w:rsidRPr="07069484">
        <w:rPr>
          <w:lang w:eastAsia="en-GB"/>
        </w:rPr>
        <w:t xml:space="preserve"> </w:t>
      </w:r>
      <w:r w:rsidRPr="07069484">
        <w:rPr>
          <w:lang w:eastAsia="en-GB"/>
        </w:rPr>
        <w:t>provide</w:t>
      </w:r>
      <w:r w:rsidR="00573BA7" w:rsidRPr="07069484">
        <w:rPr>
          <w:lang w:eastAsia="en-GB"/>
        </w:rPr>
        <w:t xml:space="preserve"> </w:t>
      </w:r>
      <w:r w:rsidRPr="07069484">
        <w:rPr>
          <w:lang w:eastAsia="en-GB"/>
        </w:rPr>
        <w:t>a</w:t>
      </w:r>
      <w:r w:rsidR="00573BA7" w:rsidRPr="07069484">
        <w:rPr>
          <w:lang w:eastAsia="en-GB"/>
        </w:rPr>
        <w:t xml:space="preserve"> </w:t>
      </w:r>
      <w:r w:rsidRPr="07069484">
        <w:rPr>
          <w:lang w:eastAsia="en-GB"/>
        </w:rPr>
        <w:t>safety</w:t>
      </w:r>
      <w:r w:rsidR="00573BA7" w:rsidRPr="07069484">
        <w:rPr>
          <w:lang w:eastAsia="en-GB"/>
        </w:rPr>
        <w:t xml:space="preserve"> </w:t>
      </w:r>
      <w:r w:rsidRPr="07069484">
        <w:rPr>
          <w:lang w:eastAsia="en-GB"/>
        </w:rPr>
        <w:t>net</w:t>
      </w:r>
      <w:r w:rsidR="00573BA7" w:rsidRPr="07069484">
        <w:rPr>
          <w:lang w:eastAsia="en-GB"/>
        </w:rPr>
        <w:t xml:space="preserve"> </w:t>
      </w:r>
      <w:r w:rsidRPr="07069484">
        <w:rPr>
          <w:lang w:eastAsia="en-GB"/>
        </w:rPr>
        <w:t>of</w:t>
      </w:r>
      <w:r w:rsidR="00573BA7" w:rsidRPr="07069484">
        <w:rPr>
          <w:lang w:eastAsia="en-GB"/>
        </w:rPr>
        <w:t xml:space="preserve"> </w:t>
      </w:r>
      <w:r w:rsidRPr="07069484">
        <w:rPr>
          <w:lang w:eastAsia="en-GB"/>
        </w:rPr>
        <w:t>fair</w:t>
      </w:r>
      <w:r w:rsidR="00573BA7" w:rsidRPr="07069484">
        <w:rPr>
          <w:lang w:eastAsia="en-GB"/>
        </w:rPr>
        <w:t xml:space="preserve"> </w:t>
      </w:r>
      <w:r w:rsidRPr="07069484">
        <w:rPr>
          <w:lang w:eastAsia="en-GB"/>
        </w:rPr>
        <w:t>minimum</w:t>
      </w:r>
      <w:r w:rsidR="00573BA7" w:rsidRPr="07069484">
        <w:rPr>
          <w:lang w:eastAsia="en-GB"/>
        </w:rPr>
        <w:t xml:space="preserve"> </w:t>
      </w:r>
      <w:r w:rsidRPr="07069484">
        <w:rPr>
          <w:lang w:eastAsia="en-GB"/>
        </w:rPr>
        <w:t>wages,</w:t>
      </w:r>
      <w:r w:rsidR="00573BA7" w:rsidRPr="07069484">
        <w:rPr>
          <w:lang w:eastAsia="en-GB"/>
        </w:rPr>
        <w:t xml:space="preserve"> </w:t>
      </w:r>
      <w:r w:rsidRPr="07069484">
        <w:rPr>
          <w:lang w:eastAsia="en-GB"/>
        </w:rPr>
        <w:t>including</w:t>
      </w:r>
      <w:r w:rsidR="00573BA7" w:rsidRPr="07069484">
        <w:rPr>
          <w:lang w:eastAsia="en-GB"/>
        </w:rPr>
        <w:t xml:space="preserve"> </w:t>
      </w:r>
      <w:r w:rsidRPr="07069484">
        <w:rPr>
          <w:lang w:eastAsia="en-GB"/>
        </w:rPr>
        <w:t>wages</w:t>
      </w:r>
      <w:r w:rsidR="00573BA7" w:rsidRPr="07069484">
        <w:rPr>
          <w:lang w:eastAsia="en-GB"/>
        </w:rPr>
        <w:t xml:space="preserve"> </w:t>
      </w:r>
      <w:r w:rsidRPr="07069484">
        <w:rPr>
          <w:lang w:eastAsia="en-GB"/>
        </w:rPr>
        <w:t>for</w:t>
      </w:r>
      <w:r w:rsidR="00573BA7" w:rsidRPr="07069484">
        <w:rPr>
          <w:lang w:eastAsia="en-GB"/>
        </w:rPr>
        <w:t xml:space="preserve"> </w:t>
      </w:r>
      <w:r w:rsidRPr="07069484">
        <w:rPr>
          <w:lang w:eastAsia="en-GB"/>
        </w:rPr>
        <w:t>employees</w:t>
      </w:r>
      <w:r w:rsidR="00573BA7" w:rsidRPr="07069484">
        <w:rPr>
          <w:lang w:eastAsia="en-GB"/>
        </w:rPr>
        <w:t xml:space="preserve"> </w:t>
      </w:r>
      <w:r w:rsidRPr="07069484">
        <w:rPr>
          <w:lang w:eastAsia="en-GB"/>
        </w:rPr>
        <w:t>with</w:t>
      </w:r>
      <w:r w:rsidR="00573BA7" w:rsidRPr="07069484">
        <w:rPr>
          <w:lang w:eastAsia="en-GB"/>
        </w:rPr>
        <w:t xml:space="preserve"> </w:t>
      </w:r>
      <w:r w:rsidRPr="07069484">
        <w:rPr>
          <w:lang w:eastAsia="en-GB"/>
        </w:rPr>
        <w:t>disability.</w:t>
      </w:r>
    </w:p>
    <w:p w14:paraId="56E16AFE" w14:textId="2C05DB49" w:rsidR="00AC7A67" w:rsidRDefault="00AC7A67" w:rsidP="00AC7A67">
      <w:pPr>
        <w:pStyle w:val="Heading2"/>
      </w:pPr>
      <w:bookmarkStart w:id="43" w:name="_Toc51834273"/>
      <w:r>
        <w:lastRenderedPageBreak/>
        <w:t>National</w:t>
      </w:r>
      <w:r w:rsidR="00573BA7">
        <w:t xml:space="preserve"> </w:t>
      </w:r>
      <w:r>
        <w:t>Disability</w:t>
      </w:r>
      <w:r w:rsidR="00573BA7">
        <w:t xml:space="preserve"> </w:t>
      </w:r>
      <w:r>
        <w:t>Strategy</w:t>
      </w:r>
      <w:bookmarkEnd w:id="43"/>
    </w:p>
    <w:p w14:paraId="72C81FA2" w14:textId="316106CA" w:rsidR="00605225" w:rsidRDefault="00AC7A67" w:rsidP="00AC7A67">
      <w:pPr>
        <w:pStyle w:val="ListNumber"/>
        <w:rPr>
          <w:lang w:eastAsia="en-GB"/>
        </w:rPr>
      </w:pPr>
      <w:r w:rsidRPr="07069484">
        <w:rPr>
          <w:lang w:eastAsia="en-GB"/>
        </w:rPr>
        <w:t>Following</w:t>
      </w:r>
      <w:r w:rsidR="00573BA7" w:rsidRPr="07069484">
        <w:rPr>
          <w:lang w:eastAsia="en-GB"/>
        </w:rPr>
        <w:t xml:space="preserve"> </w:t>
      </w:r>
      <w:r w:rsidRPr="07069484">
        <w:rPr>
          <w:lang w:eastAsia="en-GB"/>
        </w:rPr>
        <w:t>Australia’s</w:t>
      </w:r>
      <w:r w:rsidR="00573BA7" w:rsidRPr="07069484">
        <w:rPr>
          <w:lang w:eastAsia="en-GB"/>
        </w:rPr>
        <w:t xml:space="preserve"> </w:t>
      </w:r>
      <w:r w:rsidRPr="07069484">
        <w:rPr>
          <w:lang w:eastAsia="en-GB"/>
        </w:rPr>
        <w:t>ratification</w:t>
      </w:r>
      <w:r w:rsidR="00573BA7" w:rsidRPr="07069484">
        <w:rPr>
          <w:lang w:eastAsia="en-GB"/>
        </w:rPr>
        <w:t xml:space="preserve"> </w:t>
      </w:r>
      <w:r w:rsidRPr="07069484">
        <w:rPr>
          <w:lang w:eastAsia="en-GB"/>
        </w:rPr>
        <w:t>of</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CRPD,</w:t>
      </w:r>
      <w:r w:rsidR="00573BA7" w:rsidRPr="07069484">
        <w:rPr>
          <w:lang w:eastAsia="en-GB"/>
        </w:rPr>
        <w:t xml:space="preserve"> </w:t>
      </w:r>
      <w:r w:rsidRPr="07069484">
        <w:rPr>
          <w:lang w:eastAsia="en-GB"/>
        </w:rPr>
        <w:t>in</w:t>
      </w:r>
      <w:r w:rsidR="00573BA7" w:rsidRPr="07069484">
        <w:rPr>
          <w:lang w:eastAsia="en-GB"/>
        </w:rPr>
        <w:t xml:space="preserve"> </w:t>
      </w:r>
      <w:r w:rsidRPr="07069484">
        <w:rPr>
          <w:lang w:eastAsia="en-GB"/>
        </w:rPr>
        <w:t>2011</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Commonwealth,</w:t>
      </w:r>
      <w:r w:rsidR="00573BA7" w:rsidRPr="07069484">
        <w:rPr>
          <w:lang w:eastAsia="en-GB"/>
        </w:rPr>
        <w:t xml:space="preserve"> </w:t>
      </w:r>
      <w:r w:rsidR="00AA6C63">
        <w:rPr>
          <w:lang w:eastAsia="en-GB"/>
        </w:rPr>
        <w:t>s</w:t>
      </w:r>
      <w:r w:rsidRPr="07069484">
        <w:rPr>
          <w:lang w:eastAsia="en-GB"/>
        </w:rPr>
        <w:t>tate</w:t>
      </w:r>
      <w:r w:rsidR="00573BA7" w:rsidRPr="07069484">
        <w:rPr>
          <w:lang w:eastAsia="en-GB"/>
        </w:rPr>
        <w:t xml:space="preserve"> </w:t>
      </w:r>
      <w:r w:rsidRPr="07069484">
        <w:rPr>
          <w:lang w:eastAsia="en-GB"/>
        </w:rPr>
        <w:t>and</w:t>
      </w:r>
      <w:r w:rsidR="00573BA7" w:rsidRPr="07069484">
        <w:rPr>
          <w:lang w:eastAsia="en-GB"/>
        </w:rPr>
        <w:t xml:space="preserve"> </w:t>
      </w:r>
      <w:r w:rsidR="00AA6C63">
        <w:rPr>
          <w:lang w:eastAsia="en-GB"/>
        </w:rPr>
        <w:t>t</w:t>
      </w:r>
      <w:r w:rsidRPr="07069484">
        <w:rPr>
          <w:lang w:eastAsia="en-GB"/>
        </w:rPr>
        <w:t>erritory</w:t>
      </w:r>
      <w:r w:rsidR="00573BA7" w:rsidRPr="07069484">
        <w:rPr>
          <w:lang w:eastAsia="en-GB"/>
        </w:rPr>
        <w:t xml:space="preserve"> </w:t>
      </w:r>
      <w:r w:rsidRPr="07069484">
        <w:rPr>
          <w:lang w:eastAsia="en-GB"/>
        </w:rPr>
        <w:t>governments</w:t>
      </w:r>
      <w:r w:rsidR="00573BA7" w:rsidRPr="07069484">
        <w:rPr>
          <w:lang w:eastAsia="en-GB"/>
        </w:rPr>
        <w:t xml:space="preserve"> </w:t>
      </w:r>
      <w:r w:rsidR="00760783" w:rsidRPr="07069484">
        <w:rPr>
          <w:lang w:eastAsia="en-GB"/>
        </w:rPr>
        <w:t xml:space="preserve">developed </w:t>
      </w:r>
      <w:r w:rsidRPr="07069484">
        <w:rPr>
          <w:lang w:eastAsia="en-GB"/>
        </w:rPr>
        <w:t>the</w:t>
      </w:r>
      <w:r w:rsidR="00573BA7" w:rsidRPr="07069484">
        <w:rPr>
          <w:lang w:eastAsia="en-GB"/>
        </w:rPr>
        <w:t xml:space="preserve"> </w:t>
      </w:r>
      <w:r w:rsidRPr="07069484">
        <w:rPr>
          <w:i/>
          <w:iCs/>
          <w:lang w:eastAsia="en-GB"/>
        </w:rPr>
        <w:t>National</w:t>
      </w:r>
      <w:r w:rsidR="00573BA7" w:rsidRPr="07069484">
        <w:rPr>
          <w:i/>
          <w:iCs/>
          <w:lang w:eastAsia="en-GB"/>
        </w:rPr>
        <w:t xml:space="preserve"> </w:t>
      </w:r>
      <w:r w:rsidRPr="07069484">
        <w:rPr>
          <w:i/>
          <w:iCs/>
          <w:lang w:eastAsia="en-GB"/>
        </w:rPr>
        <w:t>Disability</w:t>
      </w:r>
      <w:r w:rsidR="00573BA7" w:rsidRPr="07069484">
        <w:rPr>
          <w:i/>
          <w:iCs/>
          <w:lang w:eastAsia="en-GB"/>
        </w:rPr>
        <w:t xml:space="preserve"> </w:t>
      </w:r>
      <w:r w:rsidRPr="07069484">
        <w:rPr>
          <w:i/>
          <w:iCs/>
          <w:lang w:eastAsia="en-GB"/>
        </w:rPr>
        <w:t>Strategy</w:t>
      </w:r>
      <w:r w:rsidR="00573BA7" w:rsidRPr="07069484">
        <w:rPr>
          <w:i/>
          <w:iCs/>
          <w:lang w:eastAsia="en-GB"/>
        </w:rPr>
        <w:t xml:space="preserve"> </w:t>
      </w:r>
      <w:r w:rsidRPr="07069484">
        <w:rPr>
          <w:i/>
          <w:iCs/>
          <w:lang w:eastAsia="en-GB"/>
        </w:rPr>
        <w:t>2010-2020</w:t>
      </w:r>
      <w:r w:rsidR="00573BA7" w:rsidRPr="07069484">
        <w:rPr>
          <w:lang w:eastAsia="en-GB"/>
        </w:rPr>
        <w:t xml:space="preserve"> </w:t>
      </w:r>
      <w:r w:rsidRPr="07069484">
        <w:rPr>
          <w:lang w:eastAsia="en-GB"/>
        </w:rPr>
        <w:t>(NDS),</w:t>
      </w:r>
      <w:r w:rsidR="00573BA7" w:rsidRPr="07069484">
        <w:rPr>
          <w:lang w:eastAsia="en-GB"/>
        </w:rPr>
        <w:t xml:space="preserve"> </w:t>
      </w:r>
      <w:r w:rsidRPr="07069484">
        <w:rPr>
          <w:lang w:eastAsia="en-GB"/>
        </w:rPr>
        <w:t>a</w:t>
      </w:r>
      <w:r w:rsidR="00573BA7" w:rsidRPr="07069484">
        <w:rPr>
          <w:lang w:eastAsia="en-GB"/>
        </w:rPr>
        <w:t xml:space="preserve"> </w:t>
      </w:r>
      <w:r w:rsidRPr="07069484">
        <w:rPr>
          <w:lang w:eastAsia="en-GB"/>
        </w:rPr>
        <w:t>national</w:t>
      </w:r>
      <w:r w:rsidR="00573BA7" w:rsidRPr="07069484">
        <w:rPr>
          <w:lang w:eastAsia="en-GB"/>
        </w:rPr>
        <w:t xml:space="preserve"> </w:t>
      </w:r>
      <w:r w:rsidRPr="07069484">
        <w:rPr>
          <w:lang w:eastAsia="en-GB"/>
        </w:rPr>
        <w:t>strategic</w:t>
      </w:r>
      <w:r w:rsidR="00573BA7" w:rsidRPr="07069484">
        <w:rPr>
          <w:lang w:eastAsia="en-GB"/>
        </w:rPr>
        <w:t xml:space="preserve"> </w:t>
      </w:r>
      <w:r w:rsidRPr="07069484">
        <w:rPr>
          <w:lang w:eastAsia="en-GB"/>
        </w:rPr>
        <w:t>plan</w:t>
      </w:r>
      <w:r w:rsidR="00573BA7" w:rsidRPr="07069484">
        <w:rPr>
          <w:lang w:eastAsia="en-GB"/>
        </w:rPr>
        <w:t xml:space="preserve"> </w:t>
      </w:r>
      <w:r w:rsidRPr="07069484">
        <w:rPr>
          <w:lang w:eastAsia="en-GB"/>
        </w:rPr>
        <w:t>to</w:t>
      </w:r>
      <w:r w:rsidR="00573BA7" w:rsidRPr="07069484">
        <w:rPr>
          <w:lang w:eastAsia="en-GB"/>
        </w:rPr>
        <w:t xml:space="preserve"> </w:t>
      </w:r>
      <w:r w:rsidRPr="07069484">
        <w:rPr>
          <w:lang w:eastAsia="en-GB"/>
        </w:rPr>
        <w:t>implement</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CRPD.</w:t>
      </w:r>
      <w:r w:rsidR="00573BA7" w:rsidRPr="07069484">
        <w:rPr>
          <w:lang w:eastAsia="en-GB"/>
        </w:rPr>
        <w:t xml:space="preserve"> </w:t>
      </w:r>
    </w:p>
    <w:p w14:paraId="709319A5" w14:textId="0A45B4A8" w:rsidR="00AC7A67" w:rsidRPr="003F4CE1" w:rsidRDefault="00AC7A67" w:rsidP="00AC7A67">
      <w:pPr>
        <w:pStyle w:val="ListNumber"/>
        <w:rPr>
          <w:lang w:eastAsia="en-GB"/>
        </w:rPr>
      </w:pPr>
      <w:r w:rsidRPr="003F4CE1">
        <w:rPr>
          <w:lang w:eastAsia="en-GB"/>
        </w:rPr>
        <w:t>The</w:t>
      </w:r>
      <w:r w:rsidR="00573BA7">
        <w:rPr>
          <w:lang w:eastAsia="en-GB"/>
        </w:rPr>
        <w:t xml:space="preserve"> </w:t>
      </w:r>
      <w:r w:rsidRPr="003F4CE1">
        <w:rPr>
          <w:lang w:eastAsia="en-GB"/>
        </w:rPr>
        <w:t>NDS</w:t>
      </w:r>
      <w:r w:rsidR="00573BA7">
        <w:rPr>
          <w:lang w:eastAsia="en-GB"/>
        </w:rPr>
        <w:t xml:space="preserve"> </w:t>
      </w:r>
      <w:r w:rsidRPr="003F4CE1">
        <w:rPr>
          <w:lang w:eastAsia="en-GB"/>
        </w:rPr>
        <w:t>aims</w:t>
      </w:r>
      <w:r w:rsidR="00573BA7">
        <w:rPr>
          <w:lang w:eastAsia="en-GB"/>
        </w:rPr>
        <w:t xml:space="preserve"> </w:t>
      </w:r>
      <w:r w:rsidRPr="003F4CE1">
        <w:rPr>
          <w:lang w:eastAsia="en-GB"/>
        </w:rPr>
        <w:t>to</w:t>
      </w:r>
      <w:r w:rsidR="00573BA7">
        <w:rPr>
          <w:lang w:eastAsia="en-GB"/>
        </w:rPr>
        <w:t xml:space="preserve"> </w:t>
      </w:r>
      <w:r w:rsidRPr="003F4CE1">
        <w:rPr>
          <w:lang w:eastAsia="en-GB"/>
        </w:rPr>
        <w:t>ensure</w:t>
      </w:r>
      <w:r w:rsidR="00573BA7">
        <w:rPr>
          <w:lang w:eastAsia="en-GB"/>
        </w:rPr>
        <w:t xml:space="preserve"> </w:t>
      </w:r>
      <w:r w:rsidRPr="003F4CE1">
        <w:rPr>
          <w:lang w:eastAsia="en-GB"/>
        </w:rPr>
        <w:t>that</w:t>
      </w:r>
      <w:r w:rsidR="00573BA7">
        <w:rPr>
          <w:lang w:eastAsia="en-GB"/>
        </w:rPr>
        <w:t xml:space="preserve"> </w:t>
      </w:r>
      <w:r w:rsidRPr="003F4CE1">
        <w:rPr>
          <w:lang w:eastAsia="en-GB"/>
        </w:rPr>
        <w:t>the</w:t>
      </w:r>
      <w:r w:rsidR="00573BA7">
        <w:rPr>
          <w:lang w:eastAsia="en-GB"/>
        </w:rPr>
        <w:t xml:space="preserve"> </w:t>
      </w:r>
      <w:r w:rsidRPr="003F4CE1">
        <w:rPr>
          <w:lang w:eastAsia="en-GB"/>
        </w:rPr>
        <w:t>principles</w:t>
      </w:r>
      <w:r w:rsidR="00573BA7">
        <w:rPr>
          <w:lang w:eastAsia="en-GB"/>
        </w:rPr>
        <w:t xml:space="preserve"> </w:t>
      </w:r>
      <w:r w:rsidRPr="003F4CE1">
        <w:rPr>
          <w:lang w:eastAsia="en-GB"/>
        </w:rPr>
        <w:t>underpinning</w:t>
      </w:r>
      <w:r w:rsidR="00573BA7">
        <w:rPr>
          <w:lang w:eastAsia="en-GB"/>
        </w:rPr>
        <w:t xml:space="preserve"> </w:t>
      </w:r>
      <w:r w:rsidRPr="003F4CE1">
        <w:rPr>
          <w:lang w:eastAsia="en-GB"/>
        </w:rPr>
        <w:t>the</w:t>
      </w:r>
      <w:r w:rsidR="00573BA7">
        <w:rPr>
          <w:lang w:eastAsia="en-GB"/>
        </w:rPr>
        <w:t xml:space="preserve"> </w:t>
      </w:r>
      <w:r>
        <w:rPr>
          <w:lang w:eastAsia="en-GB"/>
        </w:rPr>
        <w:t>CRPD</w:t>
      </w:r>
      <w:r w:rsidR="00573BA7">
        <w:rPr>
          <w:lang w:eastAsia="en-GB"/>
        </w:rPr>
        <w:t xml:space="preserve"> </w:t>
      </w:r>
      <w:r w:rsidRPr="003F4CE1">
        <w:rPr>
          <w:lang w:eastAsia="en-GB"/>
        </w:rPr>
        <w:t>are</w:t>
      </w:r>
      <w:r w:rsidR="00573BA7">
        <w:rPr>
          <w:lang w:eastAsia="en-GB"/>
        </w:rPr>
        <w:t xml:space="preserve"> </w:t>
      </w:r>
      <w:r>
        <w:rPr>
          <w:lang w:eastAsia="en-GB"/>
        </w:rPr>
        <w:t>‘</w:t>
      </w:r>
      <w:r w:rsidRPr="003F4CE1">
        <w:rPr>
          <w:lang w:eastAsia="en-GB"/>
        </w:rPr>
        <w:t>incorporated</w:t>
      </w:r>
      <w:r w:rsidR="00573BA7">
        <w:rPr>
          <w:lang w:eastAsia="en-GB"/>
        </w:rPr>
        <w:t xml:space="preserve"> </w:t>
      </w:r>
      <w:r w:rsidRPr="003F4CE1">
        <w:rPr>
          <w:lang w:eastAsia="en-GB"/>
        </w:rPr>
        <w:t>into</w:t>
      </w:r>
      <w:r w:rsidR="00573BA7">
        <w:rPr>
          <w:lang w:eastAsia="en-GB"/>
        </w:rPr>
        <w:t xml:space="preserve"> </w:t>
      </w:r>
      <w:r w:rsidRPr="003F4CE1">
        <w:rPr>
          <w:lang w:eastAsia="en-GB"/>
        </w:rPr>
        <w:t>policies</w:t>
      </w:r>
      <w:r w:rsidR="00573BA7">
        <w:rPr>
          <w:lang w:eastAsia="en-GB"/>
        </w:rPr>
        <w:t xml:space="preserve"> </w:t>
      </w:r>
      <w:r w:rsidRPr="003F4CE1">
        <w:rPr>
          <w:lang w:eastAsia="en-GB"/>
        </w:rPr>
        <w:t>and</w:t>
      </w:r>
      <w:r w:rsidR="00573BA7">
        <w:rPr>
          <w:lang w:eastAsia="en-GB"/>
        </w:rPr>
        <w:t xml:space="preserve"> </w:t>
      </w:r>
      <w:r w:rsidRPr="003F4CE1">
        <w:rPr>
          <w:lang w:eastAsia="en-GB"/>
        </w:rPr>
        <w:t>programs</w:t>
      </w:r>
      <w:r w:rsidR="00573BA7">
        <w:rPr>
          <w:lang w:eastAsia="en-GB"/>
        </w:rPr>
        <w:t xml:space="preserve"> </w:t>
      </w:r>
      <w:r w:rsidRPr="003F4CE1">
        <w:rPr>
          <w:lang w:eastAsia="en-GB"/>
        </w:rPr>
        <w:t>affecting</w:t>
      </w:r>
      <w:r w:rsidR="00573BA7">
        <w:rPr>
          <w:lang w:eastAsia="en-GB"/>
        </w:rPr>
        <w:t xml:space="preserve"> </w:t>
      </w:r>
      <w:r w:rsidRPr="003F4CE1">
        <w:rPr>
          <w:lang w:eastAsia="en-GB"/>
        </w:rPr>
        <w:t>people</w:t>
      </w:r>
      <w:r w:rsidR="00573BA7">
        <w:rPr>
          <w:lang w:eastAsia="en-GB"/>
        </w:rPr>
        <w:t xml:space="preserve"> </w:t>
      </w:r>
      <w:r w:rsidRPr="003F4CE1">
        <w:rPr>
          <w:lang w:eastAsia="en-GB"/>
        </w:rPr>
        <w:t>with</w:t>
      </w:r>
      <w:r w:rsidR="00573BA7">
        <w:rPr>
          <w:lang w:eastAsia="en-GB"/>
        </w:rPr>
        <w:t xml:space="preserve"> </w:t>
      </w:r>
      <w:r w:rsidRPr="003F4CE1">
        <w:rPr>
          <w:lang w:eastAsia="en-GB"/>
        </w:rPr>
        <w:t>disability,</w:t>
      </w:r>
      <w:r w:rsidR="00573BA7">
        <w:rPr>
          <w:lang w:eastAsia="en-GB"/>
        </w:rPr>
        <w:t xml:space="preserve"> </w:t>
      </w:r>
      <w:r w:rsidRPr="003F4CE1">
        <w:rPr>
          <w:lang w:eastAsia="en-GB"/>
        </w:rPr>
        <w:t>their</w:t>
      </w:r>
      <w:r w:rsidR="00573BA7">
        <w:rPr>
          <w:lang w:eastAsia="en-GB"/>
        </w:rPr>
        <w:t xml:space="preserve"> </w:t>
      </w:r>
      <w:r w:rsidRPr="003F4CE1">
        <w:rPr>
          <w:lang w:eastAsia="en-GB"/>
        </w:rPr>
        <w:t>families</w:t>
      </w:r>
      <w:r w:rsidR="00573BA7">
        <w:rPr>
          <w:lang w:eastAsia="en-GB"/>
        </w:rPr>
        <w:t xml:space="preserve"> </w:t>
      </w:r>
      <w:r w:rsidRPr="003F4CE1">
        <w:rPr>
          <w:lang w:eastAsia="en-GB"/>
        </w:rPr>
        <w:t>and</w:t>
      </w:r>
      <w:r w:rsidR="00573BA7">
        <w:rPr>
          <w:lang w:eastAsia="en-GB"/>
        </w:rPr>
        <w:t xml:space="preserve"> </w:t>
      </w:r>
      <w:r w:rsidRPr="003F4CE1">
        <w:rPr>
          <w:lang w:eastAsia="en-GB"/>
        </w:rPr>
        <w:t>carers’.</w:t>
      </w:r>
      <w:r w:rsidRPr="003F4CE1">
        <w:rPr>
          <w:rStyle w:val="EndnoteReference"/>
          <w:lang w:eastAsia="en-GB"/>
        </w:rPr>
        <w:endnoteReference w:id="49"/>
      </w:r>
      <w:r w:rsidR="00573BA7">
        <w:rPr>
          <w:lang w:eastAsia="en-GB"/>
        </w:rPr>
        <w:t xml:space="preserve"> </w:t>
      </w:r>
      <w:r w:rsidRPr="466A7A98">
        <w:rPr>
          <w:lang w:eastAsia="en-GB"/>
        </w:rPr>
        <w:t>The</w:t>
      </w:r>
      <w:r w:rsidR="00573BA7">
        <w:rPr>
          <w:lang w:eastAsia="en-GB"/>
        </w:rPr>
        <w:t xml:space="preserve"> </w:t>
      </w:r>
      <w:r w:rsidRPr="466A7A98">
        <w:rPr>
          <w:lang w:eastAsia="en-GB"/>
        </w:rPr>
        <w:t>NDS</w:t>
      </w:r>
      <w:r w:rsidR="00573BA7">
        <w:rPr>
          <w:lang w:eastAsia="en-GB"/>
        </w:rPr>
        <w:t xml:space="preserve"> </w:t>
      </w:r>
      <w:r w:rsidRPr="466A7A98">
        <w:rPr>
          <w:lang w:eastAsia="en-GB"/>
        </w:rPr>
        <w:t>has</w:t>
      </w:r>
      <w:r w:rsidR="00573BA7">
        <w:rPr>
          <w:lang w:eastAsia="en-GB"/>
        </w:rPr>
        <w:t xml:space="preserve"> </w:t>
      </w:r>
      <w:r w:rsidRPr="466A7A98">
        <w:rPr>
          <w:lang w:eastAsia="en-GB"/>
        </w:rPr>
        <w:t>six</w:t>
      </w:r>
      <w:r w:rsidR="00573BA7">
        <w:rPr>
          <w:lang w:eastAsia="en-GB"/>
        </w:rPr>
        <w:t xml:space="preserve"> </w:t>
      </w:r>
      <w:r w:rsidRPr="466A7A98">
        <w:rPr>
          <w:lang w:eastAsia="en-GB"/>
        </w:rPr>
        <w:t>foundational</w:t>
      </w:r>
      <w:r w:rsidR="00573BA7">
        <w:rPr>
          <w:lang w:eastAsia="en-GB"/>
        </w:rPr>
        <w:t xml:space="preserve"> </w:t>
      </w:r>
      <w:r w:rsidRPr="466A7A98">
        <w:rPr>
          <w:lang w:eastAsia="en-GB"/>
        </w:rPr>
        <w:t>policy</w:t>
      </w:r>
      <w:r w:rsidR="00573BA7">
        <w:rPr>
          <w:lang w:eastAsia="en-GB"/>
        </w:rPr>
        <w:t xml:space="preserve"> </w:t>
      </w:r>
      <w:r w:rsidRPr="466A7A98">
        <w:rPr>
          <w:lang w:eastAsia="en-GB"/>
        </w:rPr>
        <w:t>areas</w:t>
      </w:r>
      <w:r w:rsidR="001550A0">
        <w:rPr>
          <w:lang w:eastAsia="en-GB"/>
        </w:rPr>
        <w:t>.</w:t>
      </w:r>
      <w:r w:rsidR="00573BA7">
        <w:rPr>
          <w:lang w:eastAsia="en-GB"/>
        </w:rPr>
        <w:t xml:space="preserve"> </w:t>
      </w:r>
      <w:r w:rsidR="00872A40">
        <w:rPr>
          <w:lang w:eastAsia="en-GB"/>
        </w:rPr>
        <w:t xml:space="preserve">The </w:t>
      </w:r>
      <w:r>
        <w:rPr>
          <w:lang w:eastAsia="en-GB"/>
        </w:rPr>
        <w:t>t</w:t>
      </w:r>
      <w:r w:rsidRPr="466A7A98">
        <w:rPr>
          <w:lang w:eastAsia="en-GB"/>
        </w:rPr>
        <w:t>hree</w:t>
      </w:r>
      <w:r w:rsidR="00573BA7">
        <w:rPr>
          <w:lang w:eastAsia="en-GB"/>
        </w:rPr>
        <w:t xml:space="preserve"> </w:t>
      </w:r>
      <w:r w:rsidR="0032433B">
        <w:rPr>
          <w:lang w:eastAsia="en-GB"/>
        </w:rPr>
        <w:t xml:space="preserve">that are </w:t>
      </w:r>
      <w:r w:rsidR="00271D2F">
        <w:rPr>
          <w:lang w:eastAsia="en-GB"/>
        </w:rPr>
        <w:t xml:space="preserve">most relevant </w:t>
      </w:r>
      <w:r>
        <w:rPr>
          <w:lang w:eastAsia="en-GB"/>
        </w:rPr>
        <w:t>to</w:t>
      </w:r>
      <w:r w:rsidR="00573BA7">
        <w:rPr>
          <w:lang w:eastAsia="en-GB"/>
        </w:rPr>
        <w:t xml:space="preserve"> </w:t>
      </w:r>
      <w:r>
        <w:rPr>
          <w:lang w:eastAsia="en-GB"/>
        </w:rPr>
        <w:t>this</w:t>
      </w:r>
      <w:r w:rsidR="00573BA7">
        <w:rPr>
          <w:lang w:eastAsia="en-GB"/>
        </w:rPr>
        <w:t xml:space="preserve"> </w:t>
      </w:r>
      <w:r>
        <w:rPr>
          <w:lang w:eastAsia="en-GB"/>
        </w:rPr>
        <w:t>submission</w:t>
      </w:r>
      <w:r w:rsidR="00573BA7">
        <w:rPr>
          <w:lang w:eastAsia="en-GB"/>
        </w:rPr>
        <w:t xml:space="preserve"> </w:t>
      </w:r>
      <w:r w:rsidRPr="466A7A98">
        <w:rPr>
          <w:lang w:eastAsia="en-GB"/>
        </w:rPr>
        <w:t>are:</w:t>
      </w:r>
      <w:r w:rsidR="00573BA7">
        <w:rPr>
          <w:lang w:eastAsia="en-GB"/>
        </w:rPr>
        <w:t xml:space="preserve"> </w:t>
      </w:r>
    </w:p>
    <w:p w14:paraId="564BCB8C" w14:textId="2F304F26" w:rsidR="00AC7A67" w:rsidRPr="003F4CE1" w:rsidRDefault="00AC7A67" w:rsidP="00AC7A67">
      <w:pPr>
        <w:pStyle w:val="ListNumber2"/>
        <w:numPr>
          <w:ilvl w:val="0"/>
          <w:numId w:val="44"/>
        </w:numPr>
        <w:rPr>
          <w:lang w:eastAsia="en-GB"/>
        </w:rPr>
      </w:pPr>
      <w:r w:rsidRPr="003F4CE1">
        <w:rPr>
          <w:lang w:eastAsia="en-GB"/>
        </w:rPr>
        <w:t>inclusive</w:t>
      </w:r>
      <w:r w:rsidR="00573BA7">
        <w:rPr>
          <w:lang w:eastAsia="en-GB"/>
        </w:rPr>
        <w:t xml:space="preserve"> </w:t>
      </w:r>
      <w:r w:rsidRPr="003F4CE1">
        <w:rPr>
          <w:lang w:eastAsia="en-GB"/>
        </w:rPr>
        <w:t>and</w:t>
      </w:r>
      <w:r w:rsidR="00573BA7">
        <w:rPr>
          <w:lang w:eastAsia="en-GB"/>
        </w:rPr>
        <w:t xml:space="preserve"> </w:t>
      </w:r>
      <w:r w:rsidRPr="003F4CE1">
        <w:rPr>
          <w:lang w:eastAsia="en-GB"/>
        </w:rPr>
        <w:t>accessible</w:t>
      </w:r>
      <w:r w:rsidR="00573BA7">
        <w:rPr>
          <w:lang w:eastAsia="en-GB"/>
        </w:rPr>
        <w:t xml:space="preserve"> </w:t>
      </w:r>
      <w:r w:rsidRPr="003F4CE1">
        <w:rPr>
          <w:lang w:eastAsia="en-GB"/>
        </w:rPr>
        <w:t>communities:</w:t>
      </w:r>
      <w:r w:rsidR="00573BA7">
        <w:rPr>
          <w:lang w:eastAsia="en-GB"/>
        </w:rPr>
        <w:t xml:space="preserve"> </w:t>
      </w:r>
      <w:r w:rsidRPr="003F4CE1">
        <w:rPr>
          <w:lang w:eastAsia="en-GB"/>
        </w:rPr>
        <w:t>the</w:t>
      </w:r>
      <w:r w:rsidR="00573BA7">
        <w:rPr>
          <w:lang w:eastAsia="en-GB"/>
        </w:rPr>
        <w:t xml:space="preserve"> </w:t>
      </w:r>
      <w:r w:rsidRPr="003F4CE1">
        <w:rPr>
          <w:lang w:eastAsia="en-GB"/>
        </w:rPr>
        <w:t>physical</w:t>
      </w:r>
      <w:r w:rsidR="00573BA7">
        <w:rPr>
          <w:lang w:eastAsia="en-GB"/>
        </w:rPr>
        <w:t xml:space="preserve"> </w:t>
      </w:r>
      <w:r w:rsidRPr="003F4CE1">
        <w:rPr>
          <w:lang w:eastAsia="en-GB"/>
        </w:rPr>
        <w:t>environment</w:t>
      </w:r>
      <w:r w:rsidR="00573BA7">
        <w:rPr>
          <w:lang w:eastAsia="en-GB"/>
        </w:rPr>
        <w:t xml:space="preserve"> </w:t>
      </w:r>
      <w:r w:rsidRPr="003F4CE1">
        <w:rPr>
          <w:lang w:eastAsia="en-GB"/>
        </w:rPr>
        <w:t>including</w:t>
      </w:r>
      <w:r w:rsidR="00573BA7">
        <w:rPr>
          <w:lang w:eastAsia="en-GB"/>
        </w:rPr>
        <w:t xml:space="preserve"> </w:t>
      </w:r>
      <w:r w:rsidRPr="003F4CE1">
        <w:rPr>
          <w:lang w:eastAsia="en-GB"/>
        </w:rPr>
        <w:t>public</w:t>
      </w:r>
      <w:r w:rsidR="00573BA7">
        <w:rPr>
          <w:lang w:eastAsia="en-GB"/>
        </w:rPr>
        <w:t xml:space="preserve"> </w:t>
      </w:r>
      <w:r w:rsidRPr="003F4CE1">
        <w:rPr>
          <w:lang w:eastAsia="en-GB"/>
        </w:rPr>
        <w:t>transport;</w:t>
      </w:r>
      <w:r w:rsidR="00573BA7">
        <w:rPr>
          <w:lang w:eastAsia="en-GB"/>
        </w:rPr>
        <w:t xml:space="preserve"> </w:t>
      </w:r>
      <w:r w:rsidRPr="003F4CE1">
        <w:rPr>
          <w:lang w:eastAsia="en-GB"/>
        </w:rPr>
        <w:t>parks,</w:t>
      </w:r>
      <w:r w:rsidR="00573BA7">
        <w:rPr>
          <w:lang w:eastAsia="en-GB"/>
        </w:rPr>
        <w:t xml:space="preserve"> </w:t>
      </w:r>
      <w:r w:rsidRPr="003F4CE1">
        <w:rPr>
          <w:lang w:eastAsia="en-GB"/>
        </w:rPr>
        <w:t>buildings</w:t>
      </w:r>
      <w:r w:rsidR="00573BA7">
        <w:rPr>
          <w:lang w:eastAsia="en-GB"/>
        </w:rPr>
        <w:t xml:space="preserve"> </w:t>
      </w:r>
      <w:r w:rsidRPr="003F4CE1">
        <w:rPr>
          <w:lang w:eastAsia="en-GB"/>
        </w:rPr>
        <w:t>and</w:t>
      </w:r>
      <w:r w:rsidR="00573BA7">
        <w:rPr>
          <w:lang w:eastAsia="en-GB"/>
        </w:rPr>
        <w:t xml:space="preserve"> </w:t>
      </w:r>
      <w:r w:rsidRPr="003F4CE1">
        <w:rPr>
          <w:lang w:eastAsia="en-GB"/>
        </w:rPr>
        <w:t>housing;</w:t>
      </w:r>
      <w:r w:rsidR="00573BA7">
        <w:rPr>
          <w:lang w:eastAsia="en-GB"/>
        </w:rPr>
        <w:t xml:space="preserve"> </w:t>
      </w:r>
      <w:r w:rsidRPr="003F4CE1">
        <w:rPr>
          <w:lang w:eastAsia="en-GB"/>
        </w:rPr>
        <w:t>digital</w:t>
      </w:r>
      <w:r w:rsidR="00573BA7">
        <w:rPr>
          <w:lang w:eastAsia="en-GB"/>
        </w:rPr>
        <w:t xml:space="preserve"> </w:t>
      </w:r>
      <w:r w:rsidRPr="003F4CE1">
        <w:rPr>
          <w:lang w:eastAsia="en-GB"/>
        </w:rPr>
        <w:t>information</w:t>
      </w:r>
      <w:r w:rsidR="00573BA7">
        <w:rPr>
          <w:lang w:eastAsia="en-GB"/>
        </w:rPr>
        <w:t xml:space="preserve"> </w:t>
      </w:r>
      <w:r w:rsidRPr="003F4CE1">
        <w:rPr>
          <w:lang w:eastAsia="en-GB"/>
        </w:rPr>
        <w:t>and</w:t>
      </w:r>
      <w:r w:rsidR="00573BA7">
        <w:rPr>
          <w:lang w:eastAsia="en-GB"/>
        </w:rPr>
        <w:t xml:space="preserve"> </w:t>
      </w:r>
      <w:r w:rsidRPr="003F4CE1">
        <w:rPr>
          <w:lang w:eastAsia="en-GB"/>
        </w:rPr>
        <w:t>communications</w:t>
      </w:r>
      <w:r w:rsidR="00573BA7">
        <w:rPr>
          <w:lang w:eastAsia="en-GB"/>
        </w:rPr>
        <w:t xml:space="preserve"> </w:t>
      </w:r>
      <w:r w:rsidRPr="003F4CE1">
        <w:rPr>
          <w:lang w:eastAsia="en-GB"/>
        </w:rPr>
        <w:t>technologies;</w:t>
      </w:r>
      <w:r w:rsidR="00573BA7">
        <w:rPr>
          <w:lang w:eastAsia="en-GB"/>
        </w:rPr>
        <w:t xml:space="preserve"> </w:t>
      </w:r>
      <w:r w:rsidRPr="003F4CE1">
        <w:rPr>
          <w:lang w:eastAsia="en-GB"/>
        </w:rPr>
        <w:t>civic</w:t>
      </w:r>
      <w:r w:rsidR="00573BA7">
        <w:rPr>
          <w:lang w:eastAsia="en-GB"/>
        </w:rPr>
        <w:t xml:space="preserve"> </w:t>
      </w:r>
      <w:r w:rsidRPr="003F4CE1">
        <w:rPr>
          <w:lang w:eastAsia="en-GB"/>
        </w:rPr>
        <w:t>life</w:t>
      </w:r>
      <w:r w:rsidR="00573BA7">
        <w:rPr>
          <w:lang w:eastAsia="en-GB"/>
        </w:rPr>
        <w:t xml:space="preserve"> </w:t>
      </w:r>
      <w:r w:rsidRPr="003F4CE1">
        <w:rPr>
          <w:lang w:eastAsia="en-GB"/>
        </w:rPr>
        <w:t>including</w:t>
      </w:r>
      <w:r w:rsidR="00573BA7">
        <w:rPr>
          <w:lang w:eastAsia="en-GB"/>
        </w:rPr>
        <w:t xml:space="preserve"> </w:t>
      </w:r>
      <w:r w:rsidRPr="003F4CE1">
        <w:rPr>
          <w:lang w:eastAsia="en-GB"/>
        </w:rPr>
        <w:t>social,</w:t>
      </w:r>
      <w:r w:rsidR="00573BA7">
        <w:rPr>
          <w:lang w:eastAsia="en-GB"/>
        </w:rPr>
        <w:t xml:space="preserve"> </w:t>
      </w:r>
      <w:r w:rsidRPr="003F4CE1">
        <w:rPr>
          <w:lang w:eastAsia="en-GB"/>
        </w:rPr>
        <w:t>sporting,</w:t>
      </w:r>
      <w:r w:rsidR="00573BA7">
        <w:rPr>
          <w:lang w:eastAsia="en-GB"/>
        </w:rPr>
        <w:t xml:space="preserve"> </w:t>
      </w:r>
      <w:r w:rsidRPr="003F4CE1">
        <w:rPr>
          <w:lang w:eastAsia="en-GB"/>
        </w:rPr>
        <w:t>recreational</w:t>
      </w:r>
      <w:r w:rsidR="00573BA7">
        <w:rPr>
          <w:lang w:eastAsia="en-GB"/>
        </w:rPr>
        <w:t xml:space="preserve"> </w:t>
      </w:r>
      <w:r w:rsidRPr="003F4CE1">
        <w:rPr>
          <w:lang w:eastAsia="en-GB"/>
        </w:rPr>
        <w:t>and</w:t>
      </w:r>
      <w:r w:rsidR="00573BA7">
        <w:rPr>
          <w:lang w:eastAsia="en-GB"/>
        </w:rPr>
        <w:t xml:space="preserve"> </w:t>
      </w:r>
      <w:r w:rsidRPr="003F4CE1">
        <w:rPr>
          <w:lang w:eastAsia="en-GB"/>
        </w:rPr>
        <w:t>cultural</w:t>
      </w:r>
      <w:r w:rsidR="00573BA7">
        <w:rPr>
          <w:lang w:eastAsia="en-GB"/>
        </w:rPr>
        <w:t xml:space="preserve"> </w:t>
      </w:r>
      <w:r w:rsidRPr="003F4CE1">
        <w:rPr>
          <w:lang w:eastAsia="en-GB"/>
        </w:rPr>
        <w:t>life</w:t>
      </w:r>
    </w:p>
    <w:p w14:paraId="34CC9666" w14:textId="6B592E88" w:rsidR="00AC7A67" w:rsidRDefault="00AC7A67" w:rsidP="00AC7A67">
      <w:pPr>
        <w:pStyle w:val="ListNumber2"/>
        <w:numPr>
          <w:ilvl w:val="0"/>
          <w:numId w:val="44"/>
        </w:numPr>
        <w:rPr>
          <w:lang w:eastAsia="en-GB"/>
        </w:rPr>
      </w:pPr>
      <w:r w:rsidRPr="003F4CE1">
        <w:rPr>
          <w:lang w:eastAsia="en-GB"/>
        </w:rPr>
        <w:t>economic</w:t>
      </w:r>
      <w:r w:rsidR="00573BA7">
        <w:rPr>
          <w:lang w:eastAsia="en-GB"/>
        </w:rPr>
        <w:t xml:space="preserve"> </w:t>
      </w:r>
      <w:r w:rsidRPr="003F4CE1">
        <w:rPr>
          <w:lang w:eastAsia="en-GB"/>
        </w:rPr>
        <w:t>security:</w:t>
      </w:r>
      <w:r w:rsidR="00573BA7">
        <w:rPr>
          <w:lang w:eastAsia="en-GB"/>
        </w:rPr>
        <w:t xml:space="preserve"> </w:t>
      </w:r>
      <w:r w:rsidRPr="003F4CE1">
        <w:rPr>
          <w:lang w:eastAsia="en-GB"/>
        </w:rPr>
        <w:t>jobs,</w:t>
      </w:r>
      <w:r w:rsidR="00573BA7">
        <w:rPr>
          <w:lang w:eastAsia="en-GB"/>
        </w:rPr>
        <w:t xml:space="preserve"> </w:t>
      </w:r>
      <w:r w:rsidRPr="003F4CE1">
        <w:rPr>
          <w:lang w:eastAsia="en-GB"/>
        </w:rPr>
        <w:t>business</w:t>
      </w:r>
      <w:r w:rsidR="00573BA7">
        <w:rPr>
          <w:lang w:eastAsia="en-GB"/>
        </w:rPr>
        <w:t xml:space="preserve"> </w:t>
      </w:r>
      <w:r w:rsidRPr="003F4CE1">
        <w:rPr>
          <w:lang w:eastAsia="en-GB"/>
        </w:rPr>
        <w:t>opportunities,</w:t>
      </w:r>
      <w:r w:rsidR="00573BA7">
        <w:rPr>
          <w:lang w:eastAsia="en-GB"/>
        </w:rPr>
        <w:t xml:space="preserve"> </w:t>
      </w:r>
      <w:r w:rsidRPr="003F4CE1">
        <w:rPr>
          <w:lang w:eastAsia="en-GB"/>
        </w:rPr>
        <w:t>financial</w:t>
      </w:r>
      <w:r w:rsidR="00573BA7">
        <w:rPr>
          <w:lang w:eastAsia="en-GB"/>
        </w:rPr>
        <w:t xml:space="preserve"> </w:t>
      </w:r>
      <w:r w:rsidRPr="003F4CE1">
        <w:rPr>
          <w:lang w:eastAsia="en-GB"/>
        </w:rPr>
        <w:t>independence,</w:t>
      </w:r>
      <w:r w:rsidR="00573BA7">
        <w:rPr>
          <w:lang w:eastAsia="en-GB"/>
        </w:rPr>
        <w:t xml:space="preserve"> </w:t>
      </w:r>
      <w:r w:rsidRPr="003F4CE1">
        <w:rPr>
          <w:lang w:eastAsia="en-GB"/>
        </w:rPr>
        <w:t>adequate</w:t>
      </w:r>
      <w:r w:rsidR="00573BA7">
        <w:rPr>
          <w:lang w:eastAsia="en-GB"/>
        </w:rPr>
        <w:t xml:space="preserve"> </w:t>
      </w:r>
      <w:r w:rsidRPr="003F4CE1">
        <w:rPr>
          <w:lang w:eastAsia="en-GB"/>
        </w:rPr>
        <w:t>income</w:t>
      </w:r>
      <w:r w:rsidR="00573BA7">
        <w:rPr>
          <w:lang w:eastAsia="en-GB"/>
        </w:rPr>
        <w:t xml:space="preserve"> </w:t>
      </w:r>
      <w:r w:rsidRPr="003F4CE1">
        <w:rPr>
          <w:lang w:eastAsia="en-GB"/>
        </w:rPr>
        <w:t>support</w:t>
      </w:r>
      <w:r w:rsidR="00573BA7">
        <w:rPr>
          <w:lang w:eastAsia="en-GB"/>
        </w:rPr>
        <w:t xml:space="preserve"> </w:t>
      </w:r>
      <w:r w:rsidRPr="003F4CE1">
        <w:rPr>
          <w:lang w:eastAsia="en-GB"/>
        </w:rPr>
        <w:t>for</w:t>
      </w:r>
      <w:r w:rsidR="00573BA7">
        <w:rPr>
          <w:lang w:eastAsia="en-GB"/>
        </w:rPr>
        <w:t xml:space="preserve"> </w:t>
      </w:r>
      <w:r w:rsidRPr="003F4CE1">
        <w:rPr>
          <w:lang w:eastAsia="en-GB"/>
        </w:rPr>
        <w:t>those</w:t>
      </w:r>
      <w:r w:rsidR="00573BA7">
        <w:rPr>
          <w:lang w:eastAsia="en-GB"/>
        </w:rPr>
        <w:t xml:space="preserve"> </w:t>
      </w:r>
      <w:r w:rsidRPr="003F4CE1">
        <w:rPr>
          <w:lang w:eastAsia="en-GB"/>
        </w:rPr>
        <w:t>not</w:t>
      </w:r>
      <w:r w:rsidR="00573BA7">
        <w:rPr>
          <w:lang w:eastAsia="en-GB"/>
        </w:rPr>
        <w:t xml:space="preserve"> </w:t>
      </w:r>
      <w:r w:rsidRPr="003F4CE1">
        <w:rPr>
          <w:lang w:eastAsia="en-GB"/>
        </w:rPr>
        <w:t>able</w:t>
      </w:r>
      <w:r w:rsidR="00573BA7">
        <w:rPr>
          <w:lang w:eastAsia="en-GB"/>
        </w:rPr>
        <w:t xml:space="preserve"> </w:t>
      </w:r>
      <w:r w:rsidRPr="003F4CE1">
        <w:rPr>
          <w:lang w:eastAsia="en-GB"/>
        </w:rPr>
        <w:t>to</w:t>
      </w:r>
      <w:r w:rsidR="00573BA7">
        <w:rPr>
          <w:lang w:eastAsia="en-GB"/>
        </w:rPr>
        <w:t xml:space="preserve"> </w:t>
      </w:r>
      <w:r w:rsidRPr="003F4CE1">
        <w:rPr>
          <w:lang w:eastAsia="en-GB"/>
        </w:rPr>
        <w:t>work,</w:t>
      </w:r>
      <w:r w:rsidR="00573BA7">
        <w:rPr>
          <w:lang w:eastAsia="en-GB"/>
        </w:rPr>
        <w:t xml:space="preserve"> </w:t>
      </w:r>
      <w:r w:rsidRPr="003F4CE1">
        <w:rPr>
          <w:lang w:eastAsia="en-GB"/>
        </w:rPr>
        <w:t>and</w:t>
      </w:r>
      <w:r w:rsidR="00573BA7">
        <w:rPr>
          <w:lang w:eastAsia="en-GB"/>
        </w:rPr>
        <w:t xml:space="preserve"> </w:t>
      </w:r>
      <w:r w:rsidRPr="003F4CE1">
        <w:rPr>
          <w:lang w:eastAsia="en-GB"/>
        </w:rPr>
        <w:t>housing</w:t>
      </w:r>
    </w:p>
    <w:p w14:paraId="27B2870C" w14:textId="77777777" w:rsidR="00AC7A67" w:rsidRDefault="00AC7A67" w:rsidP="00AC7A67">
      <w:pPr>
        <w:pStyle w:val="ListNumber2"/>
        <w:numPr>
          <w:ilvl w:val="0"/>
          <w:numId w:val="44"/>
        </w:numPr>
        <w:rPr>
          <w:lang w:eastAsia="en-GB"/>
        </w:rPr>
      </w:pPr>
      <w:r w:rsidRPr="003F4CE1">
        <w:rPr>
          <w:lang w:eastAsia="en-GB"/>
        </w:rPr>
        <w:t>learning</w:t>
      </w:r>
      <w:r w:rsidR="00573BA7">
        <w:rPr>
          <w:lang w:eastAsia="en-GB"/>
        </w:rPr>
        <w:t xml:space="preserve"> </w:t>
      </w:r>
      <w:r w:rsidRPr="003F4CE1">
        <w:rPr>
          <w:lang w:eastAsia="en-GB"/>
        </w:rPr>
        <w:t>and</w:t>
      </w:r>
      <w:r w:rsidR="00573BA7">
        <w:rPr>
          <w:lang w:eastAsia="en-GB"/>
        </w:rPr>
        <w:t xml:space="preserve"> </w:t>
      </w:r>
      <w:r w:rsidRPr="003F4CE1">
        <w:rPr>
          <w:lang w:eastAsia="en-GB"/>
        </w:rPr>
        <w:t>skills:</w:t>
      </w:r>
      <w:r w:rsidR="00573BA7">
        <w:rPr>
          <w:lang w:eastAsia="en-GB"/>
        </w:rPr>
        <w:t xml:space="preserve"> </w:t>
      </w:r>
      <w:r w:rsidRPr="003F4CE1">
        <w:rPr>
          <w:lang w:eastAsia="en-GB"/>
        </w:rPr>
        <w:t>early</w:t>
      </w:r>
      <w:r w:rsidR="00573BA7">
        <w:rPr>
          <w:lang w:eastAsia="en-GB"/>
        </w:rPr>
        <w:t xml:space="preserve"> </w:t>
      </w:r>
      <w:r w:rsidRPr="003F4CE1">
        <w:rPr>
          <w:lang w:eastAsia="en-GB"/>
        </w:rPr>
        <w:t>childhood</w:t>
      </w:r>
      <w:r w:rsidR="00573BA7">
        <w:rPr>
          <w:lang w:eastAsia="en-GB"/>
        </w:rPr>
        <w:t xml:space="preserve"> </w:t>
      </w:r>
      <w:r w:rsidRPr="003F4CE1">
        <w:rPr>
          <w:lang w:eastAsia="en-GB"/>
        </w:rPr>
        <w:t>education</w:t>
      </w:r>
      <w:r w:rsidR="00573BA7">
        <w:rPr>
          <w:lang w:eastAsia="en-GB"/>
        </w:rPr>
        <w:t xml:space="preserve"> </w:t>
      </w:r>
      <w:r w:rsidRPr="003F4CE1">
        <w:rPr>
          <w:lang w:eastAsia="en-GB"/>
        </w:rPr>
        <w:t>and</w:t>
      </w:r>
      <w:r w:rsidR="00573BA7">
        <w:rPr>
          <w:lang w:eastAsia="en-GB"/>
        </w:rPr>
        <w:t xml:space="preserve"> </w:t>
      </w:r>
      <w:r w:rsidRPr="003F4CE1">
        <w:rPr>
          <w:lang w:eastAsia="en-GB"/>
        </w:rPr>
        <w:t>care,</w:t>
      </w:r>
      <w:r w:rsidR="00573BA7">
        <w:rPr>
          <w:lang w:eastAsia="en-GB"/>
        </w:rPr>
        <w:t xml:space="preserve"> </w:t>
      </w:r>
      <w:r w:rsidRPr="003F4CE1">
        <w:rPr>
          <w:lang w:eastAsia="en-GB"/>
        </w:rPr>
        <w:t>schools,</w:t>
      </w:r>
      <w:r w:rsidR="00573BA7">
        <w:rPr>
          <w:lang w:eastAsia="en-GB"/>
        </w:rPr>
        <w:t xml:space="preserve"> </w:t>
      </w:r>
      <w:r w:rsidRPr="003F4CE1">
        <w:rPr>
          <w:lang w:eastAsia="en-GB"/>
        </w:rPr>
        <w:t>further</w:t>
      </w:r>
      <w:r w:rsidR="00573BA7">
        <w:rPr>
          <w:lang w:eastAsia="en-GB"/>
        </w:rPr>
        <w:t xml:space="preserve"> </w:t>
      </w:r>
      <w:r w:rsidRPr="003F4CE1">
        <w:rPr>
          <w:lang w:eastAsia="en-GB"/>
        </w:rPr>
        <w:t>education,</w:t>
      </w:r>
      <w:r w:rsidR="00573BA7">
        <w:rPr>
          <w:lang w:eastAsia="en-GB"/>
        </w:rPr>
        <w:t xml:space="preserve"> </w:t>
      </w:r>
      <w:r w:rsidRPr="003F4CE1">
        <w:rPr>
          <w:lang w:eastAsia="en-GB"/>
        </w:rPr>
        <w:t>vocational</w:t>
      </w:r>
      <w:r w:rsidR="00573BA7">
        <w:rPr>
          <w:lang w:eastAsia="en-GB"/>
        </w:rPr>
        <w:t xml:space="preserve"> </w:t>
      </w:r>
      <w:r w:rsidRPr="003F4CE1">
        <w:rPr>
          <w:lang w:eastAsia="en-GB"/>
        </w:rPr>
        <w:t>education;</w:t>
      </w:r>
      <w:r w:rsidR="00573BA7">
        <w:rPr>
          <w:lang w:eastAsia="en-GB"/>
        </w:rPr>
        <w:t xml:space="preserve"> </w:t>
      </w:r>
      <w:r w:rsidRPr="003F4CE1">
        <w:rPr>
          <w:lang w:eastAsia="en-GB"/>
        </w:rPr>
        <w:t>transitions</w:t>
      </w:r>
      <w:r w:rsidR="00573BA7">
        <w:rPr>
          <w:lang w:eastAsia="en-GB"/>
        </w:rPr>
        <w:t xml:space="preserve"> </w:t>
      </w:r>
      <w:r w:rsidRPr="003F4CE1">
        <w:rPr>
          <w:lang w:eastAsia="en-GB"/>
        </w:rPr>
        <w:t>from</w:t>
      </w:r>
      <w:r w:rsidR="00573BA7">
        <w:rPr>
          <w:lang w:eastAsia="en-GB"/>
        </w:rPr>
        <w:t xml:space="preserve"> </w:t>
      </w:r>
      <w:r w:rsidRPr="003F4CE1">
        <w:rPr>
          <w:lang w:eastAsia="en-GB"/>
        </w:rPr>
        <w:t>education</w:t>
      </w:r>
      <w:r w:rsidR="00573BA7">
        <w:rPr>
          <w:lang w:eastAsia="en-GB"/>
        </w:rPr>
        <w:t xml:space="preserve"> </w:t>
      </w:r>
      <w:r w:rsidRPr="003F4CE1">
        <w:rPr>
          <w:lang w:eastAsia="en-GB"/>
        </w:rPr>
        <w:t>to</w:t>
      </w:r>
      <w:r w:rsidR="00573BA7">
        <w:rPr>
          <w:lang w:eastAsia="en-GB"/>
        </w:rPr>
        <w:t xml:space="preserve"> </w:t>
      </w:r>
      <w:r w:rsidRPr="003F4CE1">
        <w:rPr>
          <w:lang w:eastAsia="en-GB"/>
        </w:rPr>
        <w:t>employment;</w:t>
      </w:r>
      <w:r w:rsidR="00573BA7">
        <w:rPr>
          <w:lang w:eastAsia="en-GB"/>
        </w:rPr>
        <w:t xml:space="preserve"> </w:t>
      </w:r>
      <w:r w:rsidRPr="003F4CE1">
        <w:rPr>
          <w:lang w:eastAsia="en-GB"/>
        </w:rPr>
        <w:t>lifelong</w:t>
      </w:r>
      <w:r w:rsidR="00573BA7">
        <w:rPr>
          <w:lang w:eastAsia="en-GB"/>
        </w:rPr>
        <w:t xml:space="preserve"> </w:t>
      </w:r>
      <w:r w:rsidRPr="003F4CE1">
        <w:rPr>
          <w:lang w:eastAsia="en-GB"/>
        </w:rPr>
        <w:t>learning</w:t>
      </w:r>
      <w:r>
        <w:rPr>
          <w:lang w:eastAsia="en-GB"/>
        </w:rPr>
        <w:t>.</w:t>
      </w:r>
      <w:r w:rsidRPr="003F4CE1">
        <w:rPr>
          <w:rStyle w:val="EndnoteReference"/>
          <w:lang w:eastAsia="en-GB"/>
        </w:rPr>
        <w:endnoteReference w:id="50"/>
      </w:r>
    </w:p>
    <w:p w14:paraId="745B88A9" w14:textId="1594EC45" w:rsidR="00A944D4" w:rsidRDefault="00A944D4" w:rsidP="005318C5">
      <w:pPr>
        <w:pStyle w:val="ListNumber"/>
        <w:rPr>
          <w:lang w:eastAsia="en-GB"/>
        </w:rPr>
      </w:pPr>
      <w:r w:rsidRPr="07069484">
        <w:rPr>
          <w:lang w:eastAsia="en-GB"/>
        </w:rPr>
        <w:t xml:space="preserve">The NDS is being reviewed this year. It is critical that the new NDS provides for </w:t>
      </w:r>
      <w:r w:rsidR="00532E3E" w:rsidRPr="07069484">
        <w:rPr>
          <w:lang w:eastAsia="en-GB"/>
        </w:rPr>
        <w:t>data collection and public reporting in relation to the employment</w:t>
      </w:r>
      <w:r w:rsidR="005318C5" w:rsidRPr="07069484">
        <w:rPr>
          <w:lang w:eastAsia="en-GB"/>
        </w:rPr>
        <w:t xml:space="preserve"> </w:t>
      </w:r>
      <w:r w:rsidR="00532E3E" w:rsidRPr="07069484">
        <w:rPr>
          <w:lang w:eastAsia="en-GB"/>
        </w:rPr>
        <w:t>experiences of people with disability</w:t>
      </w:r>
      <w:r w:rsidR="005318C5" w:rsidRPr="07069484">
        <w:rPr>
          <w:lang w:eastAsia="en-GB"/>
        </w:rPr>
        <w:t>. The data should be collected in a manner that allows it to be disaggregated in relation to gender, ethnicity, location and other factors which impact o</w:t>
      </w:r>
      <w:r w:rsidR="0076280C" w:rsidRPr="07069484">
        <w:rPr>
          <w:lang w:eastAsia="en-GB"/>
        </w:rPr>
        <w:t>n</w:t>
      </w:r>
      <w:r w:rsidR="005318C5" w:rsidRPr="07069484">
        <w:rPr>
          <w:lang w:eastAsia="en-GB"/>
        </w:rPr>
        <w:t xml:space="preserve"> policy design. </w:t>
      </w:r>
    </w:p>
    <w:p w14:paraId="66D6FC11" w14:textId="2FC4B7AB" w:rsidR="005318C5" w:rsidRDefault="005318C5" w:rsidP="002B54FA">
      <w:pPr>
        <w:pStyle w:val="ListNumber"/>
        <w:rPr>
          <w:lang w:eastAsia="en-GB"/>
        </w:rPr>
      </w:pPr>
      <w:r>
        <w:rPr>
          <w:lang w:eastAsia="en-GB"/>
        </w:rPr>
        <w:t xml:space="preserve">The Commonwealth </w:t>
      </w:r>
      <w:r w:rsidR="002B3118">
        <w:rPr>
          <w:lang w:eastAsia="en-GB"/>
        </w:rPr>
        <w:t>and a</w:t>
      </w:r>
      <w:r>
        <w:rPr>
          <w:lang w:eastAsia="en-GB"/>
        </w:rPr>
        <w:t xml:space="preserve"> number of </w:t>
      </w:r>
      <w:r w:rsidR="00AA6C63">
        <w:rPr>
          <w:lang w:eastAsia="en-GB"/>
        </w:rPr>
        <w:t>s</w:t>
      </w:r>
      <w:r>
        <w:rPr>
          <w:lang w:eastAsia="en-GB"/>
        </w:rPr>
        <w:t xml:space="preserve">tate and </w:t>
      </w:r>
      <w:r w:rsidR="00AA6C63">
        <w:rPr>
          <w:lang w:eastAsia="en-GB"/>
        </w:rPr>
        <w:t>t</w:t>
      </w:r>
      <w:r>
        <w:rPr>
          <w:lang w:eastAsia="en-GB"/>
        </w:rPr>
        <w:t xml:space="preserve">erritory governments are currently working together to establish a National Disability Data Asset (NDDA). The NDDA is an </w:t>
      </w:r>
      <w:r w:rsidR="232936FB" w:rsidRPr="5C3AAB86">
        <w:rPr>
          <w:lang w:eastAsia="en-GB"/>
        </w:rPr>
        <w:t>18-</w:t>
      </w:r>
      <w:r>
        <w:rPr>
          <w:lang w:eastAsia="en-GB"/>
        </w:rPr>
        <w:t xml:space="preserve">month pilot </w:t>
      </w:r>
      <w:r w:rsidR="002B3118">
        <w:t>designed to ‘improve outcomes for people with disability, their families and carers, by sharing de-identified data to better understand the life experiences and outcomes of people with disability in Australia</w:t>
      </w:r>
      <w:r w:rsidR="3EDB3CC4">
        <w:t>’</w:t>
      </w:r>
      <w:r w:rsidR="002B3118">
        <w:rPr>
          <w:rStyle w:val="EndnoteReference"/>
        </w:rPr>
        <w:endnoteReference w:id="51"/>
      </w:r>
      <w:r w:rsidR="005E2027">
        <w:t xml:space="preserve"> Employment data could be collected as part of an expansion of the NDDA.</w:t>
      </w:r>
    </w:p>
    <w:p w14:paraId="3F691AF7" w14:textId="2B133199" w:rsidR="00593CB4" w:rsidRDefault="00677963" w:rsidP="0020415F">
      <w:pPr>
        <w:pStyle w:val="Heading1"/>
      </w:pPr>
      <w:bookmarkStart w:id="44" w:name="_Toc50730918"/>
      <w:bookmarkStart w:id="45" w:name="_Toc50730919"/>
      <w:bookmarkStart w:id="46" w:name="_Toc51834274"/>
      <w:bookmarkEnd w:id="44"/>
      <w:bookmarkEnd w:id="45"/>
      <w:r>
        <w:t>Australia’s</w:t>
      </w:r>
      <w:r w:rsidR="00573BA7">
        <w:t xml:space="preserve"> </w:t>
      </w:r>
      <w:r w:rsidR="00E17BA8">
        <w:t>human</w:t>
      </w:r>
      <w:r w:rsidR="00573BA7">
        <w:t xml:space="preserve"> </w:t>
      </w:r>
      <w:r w:rsidR="00E17BA8">
        <w:t>rights</w:t>
      </w:r>
      <w:r w:rsidR="00573BA7">
        <w:t xml:space="preserve"> </w:t>
      </w:r>
      <w:r>
        <w:t>obligations</w:t>
      </w:r>
      <w:r w:rsidR="00573BA7">
        <w:t xml:space="preserve"> </w:t>
      </w:r>
      <w:r w:rsidR="00E17BA8">
        <w:t>to</w:t>
      </w:r>
      <w:r w:rsidR="00573BA7">
        <w:t xml:space="preserve"> </w:t>
      </w:r>
      <w:r w:rsidR="00E17BA8">
        <w:t>people</w:t>
      </w:r>
      <w:r w:rsidR="00573BA7">
        <w:t xml:space="preserve"> </w:t>
      </w:r>
      <w:r w:rsidR="00E17BA8">
        <w:t>with</w:t>
      </w:r>
      <w:r w:rsidR="00573BA7">
        <w:t xml:space="preserve"> </w:t>
      </w:r>
      <w:r w:rsidR="00E17BA8">
        <w:t>disability</w:t>
      </w:r>
      <w:r w:rsidR="00573BA7">
        <w:t xml:space="preserve"> </w:t>
      </w:r>
      <w:r w:rsidR="00E17BA8">
        <w:t>in</w:t>
      </w:r>
      <w:r w:rsidR="00573BA7">
        <w:t xml:space="preserve"> </w:t>
      </w:r>
      <w:r w:rsidR="002C4C8A">
        <w:t>employment</w:t>
      </w:r>
      <w:bookmarkEnd w:id="46"/>
    </w:p>
    <w:p w14:paraId="44D510E2" w14:textId="28C6E7ED" w:rsidR="0083007F" w:rsidRPr="00432A72" w:rsidRDefault="00DB2564" w:rsidP="00DA2A0A">
      <w:pPr>
        <w:pStyle w:val="ListParagraph"/>
        <w:numPr>
          <w:ilvl w:val="0"/>
          <w:numId w:val="58"/>
        </w:numPr>
      </w:pPr>
      <w:r>
        <w:t>Every</w:t>
      </w:r>
      <w:r w:rsidR="00573BA7">
        <w:t xml:space="preserve"> </w:t>
      </w:r>
      <w:r>
        <w:t>human</w:t>
      </w:r>
      <w:r w:rsidR="00573BA7">
        <w:t xml:space="preserve"> </w:t>
      </w:r>
      <w:r>
        <w:t>right</w:t>
      </w:r>
      <w:r w:rsidR="00573BA7">
        <w:t xml:space="preserve"> </w:t>
      </w:r>
      <w:r w:rsidR="00BD78AB">
        <w:t>that</w:t>
      </w:r>
      <w:r w:rsidR="00573BA7">
        <w:t xml:space="preserve"> </w:t>
      </w:r>
      <w:r>
        <w:t>is</w:t>
      </w:r>
      <w:r w:rsidR="00573BA7">
        <w:t xml:space="preserve"> </w:t>
      </w:r>
      <w:r w:rsidR="00BD78AB">
        <w:t>recognised</w:t>
      </w:r>
      <w:r w:rsidR="00573BA7">
        <w:t xml:space="preserve"> </w:t>
      </w:r>
      <w:r w:rsidR="00BD78AB">
        <w:t>under</w:t>
      </w:r>
      <w:r w:rsidR="00573BA7">
        <w:t xml:space="preserve"> </w:t>
      </w:r>
      <w:r w:rsidR="00BD78AB">
        <w:t>international</w:t>
      </w:r>
      <w:r w:rsidR="00573BA7">
        <w:t xml:space="preserve"> </w:t>
      </w:r>
      <w:r w:rsidR="00BD78AB">
        <w:t>law</w:t>
      </w:r>
      <w:r>
        <w:t>,</w:t>
      </w:r>
      <w:r w:rsidR="00573BA7">
        <w:t xml:space="preserve"> </w:t>
      </w:r>
      <w:r>
        <w:t>including</w:t>
      </w:r>
      <w:r w:rsidR="00573BA7">
        <w:t xml:space="preserve"> </w:t>
      </w:r>
      <w:r>
        <w:t>thos</w:t>
      </w:r>
      <w:r w:rsidR="00ED0F1D">
        <w:t>e</w:t>
      </w:r>
      <w:r w:rsidR="00573BA7">
        <w:t xml:space="preserve"> </w:t>
      </w:r>
      <w:r>
        <w:t>borne</w:t>
      </w:r>
      <w:r w:rsidR="00573BA7">
        <w:t xml:space="preserve"> </w:t>
      </w:r>
      <w:r>
        <w:t>exclusively</w:t>
      </w:r>
      <w:r w:rsidR="00573BA7">
        <w:t xml:space="preserve"> </w:t>
      </w:r>
      <w:r>
        <w:t>by</w:t>
      </w:r>
      <w:r w:rsidR="00573BA7">
        <w:t xml:space="preserve"> </w:t>
      </w:r>
      <w:r w:rsidR="007F5BA4">
        <w:t>people</w:t>
      </w:r>
      <w:r w:rsidR="00573BA7">
        <w:t xml:space="preserve"> </w:t>
      </w:r>
      <w:r w:rsidR="007F5BA4">
        <w:t>with</w:t>
      </w:r>
      <w:r w:rsidR="00573BA7">
        <w:t xml:space="preserve"> </w:t>
      </w:r>
      <w:r w:rsidR="007F5BA4">
        <w:t>disability</w:t>
      </w:r>
      <w:r>
        <w:t>,</w:t>
      </w:r>
      <w:r w:rsidR="00573BA7">
        <w:t xml:space="preserve"> </w:t>
      </w:r>
      <w:r w:rsidR="00BD78AB">
        <w:t>impose</w:t>
      </w:r>
      <w:r w:rsidR="001A643E">
        <w:t>s</w:t>
      </w:r>
      <w:r w:rsidR="00573BA7">
        <w:t xml:space="preserve"> </w:t>
      </w:r>
      <w:r w:rsidR="00B76AC5">
        <w:t>tripart</w:t>
      </w:r>
      <w:r>
        <w:t>ite</w:t>
      </w:r>
      <w:r w:rsidR="00573BA7">
        <w:t xml:space="preserve"> </w:t>
      </w:r>
      <w:r w:rsidR="000653C5" w:rsidRPr="00432A72">
        <w:t>obligations</w:t>
      </w:r>
      <w:r w:rsidR="00573BA7" w:rsidRPr="00432A72">
        <w:t xml:space="preserve"> </w:t>
      </w:r>
      <w:r w:rsidR="00BD78AB" w:rsidRPr="00432A72">
        <w:t>on</w:t>
      </w:r>
      <w:r w:rsidR="00573BA7" w:rsidRPr="00432A72">
        <w:t xml:space="preserve"> </w:t>
      </w:r>
      <w:r w:rsidR="00BD78AB" w:rsidRPr="00432A72">
        <w:lastRenderedPageBreak/>
        <w:t>States.</w:t>
      </w:r>
      <w:r w:rsidR="00573BA7" w:rsidRPr="00432A72">
        <w:rPr>
          <w:rStyle w:val="EndnoteReference"/>
        </w:rPr>
        <w:t xml:space="preserve"> </w:t>
      </w:r>
      <w:r w:rsidRPr="00432A72">
        <w:rPr>
          <w:rStyle w:val="EndnoteReference"/>
        </w:rPr>
        <w:endnoteReference w:id="52"/>
      </w:r>
      <w:r w:rsidR="00573BA7" w:rsidRPr="00432A72">
        <w:t xml:space="preserve">  </w:t>
      </w:r>
      <w:r w:rsidR="00ED0F1D" w:rsidRPr="00432A72">
        <w:t>In</w:t>
      </w:r>
      <w:r w:rsidR="00573BA7" w:rsidRPr="00432A72">
        <w:t xml:space="preserve"> </w:t>
      </w:r>
      <w:r w:rsidR="00ED0F1D" w:rsidRPr="00432A72">
        <w:t>particular,</w:t>
      </w:r>
      <w:r w:rsidR="00573BA7" w:rsidRPr="00432A72">
        <w:t xml:space="preserve"> </w:t>
      </w:r>
      <w:r w:rsidR="00ED0F1D" w:rsidRPr="00432A72">
        <w:t>States</w:t>
      </w:r>
      <w:r w:rsidR="00573BA7" w:rsidRPr="00432A72">
        <w:t xml:space="preserve"> </w:t>
      </w:r>
      <w:r w:rsidR="00ED0F1D" w:rsidRPr="00432A72">
        <w:t>Parties</w:t>
      </w:r>
      <w:r w:rsidR="00573BA7" w:rsidRPr="00432A72">
        <w:t xml:space="preserve"> </w:t>
      </w:r>
      <w:r w:rsidR="00B86AA2" w:rsidRPr="00432A72">
        <w:t>to</w:t>
      </w:r>
      <w:r w:rsidR="00573BA7" w:rsidRPr="00432A72">
        <w:t xml:space="preserve"> </w:t>
      </w:r>
      <w:r w:rsidR="00B86AA2" w:rsidRPr="00432A72">
        <w:t>human</w:t>
      </w:r>
      <w:r w:rsidR="00573BA7" w:rsidRPr="00432A72">
        <w:t xml:space="preserve"> </w:t>
      </w:r>
      <w:r w:rsidR="00B86AA2" w:rsidRPr="00432A72">
        <w:t>rights</w:t>
      </w:r>
      <w:r w:rsidR="00573BA7" w:rsidRPr="00432A72">
        <w:t xml:space="preserve"> </w:t>
      </w:r>
      <w:r w:rsidR="00B86AA2" w:rsidRPr="00432A72">
        <w:t>treaties</w:t>
      </w:r>
      <w:r w:rsidR="00573BA7" w:rsidRPr="00432A72">
        <w:t xml:space="preserve"> </w:t>
      </w:r>
      <w:r w:rsidR="00ED0F1D" w:rsidRPr="00432A72">
        <w:t>are</w:t>
      </w:r>
      <w:r w:rsidR="00573BA7" w:rsidRPr="00432A72">
        <w:t xml:space="preserve"> </w:t>
      </w:r>
      <w:r w:rsidR="00ED0F1D" w:rsidRPr="00432A72">
        <w:t>obliged</w:t>
      </w:r>
      <w:r w:rsidR="00573BA7" w:rsidRPr="00432A72">
        <w:t xml:space="preserve"> </w:t>
      </w:r>
      <w:r w:rsidR="00ED0F1D" w:rsidRPr="00432A72">
        <w:t>to</w:t>
      </w:r>
      <w:r w:rsidR="00573BA7" w:rsidRPr="00432A72">
        <w:t xml:space="preserve"> </w:t>
      </w:r>
      <w:r w:rsidR="00FF7EE1" w:rsidRPr="07069484">
        <w:rPr>
          <w:i/>
          <w:iCs/>
        </w:rPr>
        <w:t>respect,</w:t>
      </w:r>
      <w:r w:rsidR="00573BA7" w:rsidRPr="07069484">
        <w:rPr>
          <w:i/>
          <w:iCs/>
        </w:rPr>
        <w:t xml:space="preserve"> </w:t>
      </w:r>
      <w:r w:rsidR="00FF7EE1" w:rsidRPr="07069484">
        <w:rPr>
          <w:i/>
          <w:iCs/>
        </w:rPr>
        <w:t>protect,</w:t>
      </w:r>
      <w:r w:rsidR="00573BA7" w:rsidRPr="07069484">
        <w:rPr>
          <w:i/>
          <w:iCs/>
        </w:rPr>
        <w:t xml:space="preserve"> </w:t>
      </w:r>
      <w:r w:rsidR="00FF7EE1" w:rsidRPr="00432A72">
        <w:t>and</w:t>
      </w:r>
      <w:r w:rsidR="00573BA7" w:rsidRPr="00432A72">
        <w:t xml:space="preserve"> </w:t>
      </w:r>
      <w:r w:rsidR="00FF7EE1" w:rsidRPr="07069484">
        <w:rPr>
          <w:i/>
          <w:iCs/>
        </w:rPr>
        <w:t>fulfil</w:t>
      </w:r>
      <w:r w:rsidR="00573BA7" w:rsidRPr="07069484">
        <w:rPr>
          <w:i/>
          <w:iCs/>
        </w:rPr>
        <w:t xml:space="preserve"> </w:t>
      </w:r>
      <w:r w:rsidR="00ED0F1D" w:rsidRPr="00432A72">
        <w:t>each</w:t>
      </w:r>
      <w:r w:rsidR="00573BA7" w:rsidRPr="00432A72">
        <w:t xml:space="preserve"> </w:t>
      </w:r>
      <w:r w:rsidR="00B56FEA" w:rsidRPr="00432A72">
        <w:t>recognised</w:t>
      </w:r>
      <w:r w:rsidR="00573BA7" w:rsidRPr="00432A72">
        <w:t xml:space="preserve"> </w:t>
      </w:r>
      <w:r w:rsidR="00142ECF" w:rsidRPr="00432A72">
        <w:t>right.</w:t>
      </w:r>
      <w:r w:rsidR="00573BA7" w:rsidRPr="00432A72">
        <w:t xml:space="preserve">  </w:t>
      </w:r>
      <w:r w:rsidR="00142ECF" w:rsidRPr="00432A72">
        <w:t>The</w:t>
      </w:r>
      <w:r w:rsidR="00573BA7" w:rsidRPr="00432A72">
        <w:t xml:space="preserve"> </w:t>
      </w:r>
      <w:r w:rsidR="00142ECF" w:rsidRPr="00432A72">
        <w:t>obligation</w:t>
      </w:r>
      <w:r w:rsidR="00573BA7" w:rsidRPr="00432A72">
        <w:t xml:space="preserve"> </w:t>
      </w:r>
      <w:r w:rsidR="00142ECF" w:rsidRPr="00432A72">
        <w:t>to</w:t>
      </w:r>
      <w:r w:rsidR="00573BA7" w:rsidRPr="00432A72">
        <w:t xml:space="preserve"> </w:t>
      </w:r>
      <w:r w:rsidR="00142ECF" w:rsidRPr="07069484">
        <w:rPr>
          <w:i/>
          <w:iCs/>
        </w:rPr>
        <w:t>respect</w:t>
      </w:r>
      <w:r w:rsidR="00573BA7" w:rsidRPr="07069484">
        <w:rPr>
          <w:i/>
          <w:iCs/>
        </w:rPr>
        <w:t xml:space="preserve"> </w:t>
      </w:r>
      <w:r w:rsidR="00142ECF" w:rsidRPr="00432A72">
        <w:t>rights</w:t>
      </w:r>
      <w:r w:rsidR="00573BA7" w:rsidRPr="00432A72">
        <w:t xml:space="preserve"> </w:t>
      </w:r>
      <w:r w:rsidR="00142ECF" w:rsidRPr="00432A72">
        <w:t>requires</w:t>
      </w:r>
      <w:r w:rsidR="00573BA7" w:rsidRPr="00432A72">
        <w:t xml:space="preserve"> </w:t>
      </w:r>
      <w:r w:rsidR="00142ECF" w:rsidRPr="00432A72">
        <w:t>Australia</w:t>
      </w:r>
      <w:r w:rsidR="00D17D36" w:rsidRPr="00432A72">
        <w:t>,</w:t>
      </w:r>
      <w:r w:rsidR="00573BA7" w:rsidRPr="00432A72">
        <w:t xml:space="preserve"> </w:t>
      </w:r>
      <w:r w:rsidR="00D17D36" w:rsidRPr="00432A72">
        <w:t>including</w:t>
      </w:r>
      <w:r w:rsidR="00573BA7" w:rsidRPr="00432A72">
        <w:t xml:space="preserve"> </w:t>
      </w:r>
      <w:r w:rsidR="00D17D36" w:rsidRPr="00432A72">
        <w:t>public</w:t>
      </w:r>
      <w:r w:rsidR="00573BA7" w:rsidRPr="00432A72">
        <w:t xml:space="preserve"> </w:t>
      </w:r>
      <w:r w:rsidR="00D17D36" w:rsidRPr="00432A72">
        <w:t>sector</w:t>
      </w:r>
      <w:r w:rsidR="00573BA7" w:rsidRPr="00432A72">
        <w:t xml:space="preserve"> </w:t>
      </w:r>
      <w:r w:rsidR="00D17D36" w:rsidRPr="00432A72">
        <w:t>employers,</w:t>
      </w:r>
      <w:r w:rsidR="00573BA7" w:rsidRPr="00432A72">
        <w:t xml:space="preserve"> </w:t>
      </w:r>
      <w:r w:rsidR="00142ECF" w:rsidRPr="00432A72">
        <w:t>to</w:t>
      </w:r>
      <w:r w:rsidR="00573BA7" w:rsidRPr="00432A72">
        <w:t xml:space="preserve"> </w:t>
      </w:r>
      <w:r w:rsidR="00142ECF" w:rsidRPr="00432A72">
        <w:t>refrain</w:t>
      </w:r>
      <w:r w:rsidR="00573BA7" w:rsidRPr="00432A72">
        <w:t xml:space="preserve"> </w:t>
      </w:r>
      <w:r w:rsidR="00142ECF" w:rsidRPr="00432A72">
        <w:t>from</w:t>
      </w:r>
      <w:r w:rsidR="00573BA7" w:rsidRPr="00432A72">
        <w:t xml:space="preserve"> </w:t>
      </w:r>
      <w:r w:rsidR="00142ECF" w:rsidRPr="00432A72">
        <w:t>violating</w:t>
      </w:r>
      <w:r w:rsidR="00573BA7" w:rsidRPr="00432A72">
        <w:t xml:space="preserve"> </w:t>
      </w:r>
      <w:r w:rsidR="004C5E6B" w:rsidRPr="00432A72">
        <w:t>those</w:t>
      </w:r>
      <w:r w:rsidR="00573BA7" w:rsidRPr="00432A72">
        <w:t xml:space="preserve"> </w:t>
      </w:r>
      <w:r w:rsidR="004C5E6B" w:rsidRPr="00432A72">
        <w:t>rights.</w:t>
      </w:r>
      <w:r w:rsidR="00573BA7" w:rsidRPr="00432A72">
        <w:t xml:space="preserve">  </w:t>
      </w:r>
      <w:r w:rsidR="004C5E6B" w:rsidRPr="00432A72">
        <w:t>The</w:t>
      </w:r>
      <w:r w:rsidR="00573BA7" w:rsidRPr="00432A72">
        <w:t xml:space="preserve"> </w:t>
      </w:r>
      <w:r w:rsidR="004C5E6B" w:rsidRPr="00432A72">
        <w:t>obligation</w:t>
      </w:r>
      <w:r w:rsidR="00573BA7" w:rsidRPr="00432A72">
        <w:t xml:space="preserve"> </w:t>
      </w:r>
      <w:r w:rsidR="004C5E6B" w:rsidRPr="00432A72">
        <w:t>to</w:t>
      </w:r>
      <w:r w:rsidR="00573BA7" w:rsidRPr="00432A72">
        <w:t xml:space="preserve"> </w:t>
      </w:r>
      <w:r w:rsidR="004C5E6B" w:rsidRPr="07069484">
        <w:rPr>
          <w:i/>
          <w:iCs/>
        </w:rPr>
        <w:t>protect</w:t>
      </w:r>
      <w:r w:rsidR="00573BA7" w:rsidRPr="07069484">
        <w:rPr>
          <w:i/>
          <w:iCs/>
        </w:rPr>
        <w:t xml:space="preserve"> </w:t>
      </w:r>
      <w:r w:rsidR="004C5E6B" w:rsidRPr="00432A72">
        <w:t>rights</w:t>
      </w:r>
      <w:r w:rsidR="00573BA7" w:rsidRPr="00432A72">
        <w:t xml:space="preserve"> </w:t>
      </w:r>
      <w:r w:rsidR="004C5E6B" w:rsidRPr="00432A72">
        <w:t>requires</w:t>
      </w:r>
      <w:r w:rsidR="00573BA7" w:rsidRPr="00432A72">
        <w:t xml:space="preserve"> </w:t>
      </w:r>
      <w:r w:rsidR="004C5E6B" w:rsidRPr="00432A72">
        <w:t>Australia</w:t>
      </w:r>
      <w:r w:rsidR="00573BA7" w:rsidRPr="00432A72">
        <w:t xml:space="preserve"> </w:t>
      </w:r>
      <w:r w:rsidR="004C5E6B" w:rsidRPr="00432A72">
        <w:t>to</w:t>
      </w:r>
      <w:r w:rsidR="00573BA7" w:rsidRPr="00432A72">
        <w:t xml:space="preserve"> </w:t>
      </w:r>
      <w:r w:rsidR="004C5E6B" w:rsidRPr="00432A72">
        <w:t>ensure</w:t>
      </w:r>
      <w:r w:rsidR="00573BA7" w:rsidRPr="00432A72">
        <w:t xml:space="preserve"> </w:t>
      </w:r>
      <w:r w:rsidR="004C5E6B" w:rsidRPr="00432A72">
        <w:t>that</w:t>
      </w:r>
      <w:r w:rsidR="00573BA7" w:rsidRPr="00432A72">
        <w:t xml:space="preserve"> </w:t>
      </w:r>
      <w:r w:rsidR="004C5E6B" w:rsidRPr="00432A72">
        <w:t>those</w:t>
      </w:r>
      <w:r w:rsidR="00573BA7" w:rsidRPr="00432A72">
        <w:t xml:space="preserve"> </w:t>
      </w:r>
      <w:r w:rsidR="004C5E6B" w:rsidRPr="00432A72">
        <w:t>rights</w:t>
      </w:r>
      <w:r w:rsidR="00573BA7" w:rsidRPr="00432A72">
        <w:t xml:space="preserve"> </w:t>
      </w:r>
      <w:r w:rsidR="004C5E6B" w:rsidRPr="00432A72">
        <w:t>are</w:t>
      </w:r>
      <w:r w:rsidR="00573BA7" w:rsidRPr="00432A72">
        <w:t xml:space="preserve"> </w:t>
      </w:r>
      <w:r w:rsidR="004C5E6B" w:rsidRPr="00432A72">
        <w:t>not</w:t>
      </w:r>
      <w:r w:rsidR="00573BA7" w:rsidRPr="00432A72">
        <w:t xml:space="preserve"> </w:t>
      </w:r>
      <w:r w:rsidR="004C5E6B" w:rsidRPr="00432A72">
        <w:t>violated</w:t>
      </w:r>
      <w:r w:rsidR="00573BA7" w:rsidRPr="00432A72">
        <w:t xml:space="preserve"> </w:t>
      </w:r>
      <w:r w:rsidR="004C5E6B" w:rsidRPr="00432A72">
        <w:t>by</w:t>
      </w:r>
      <w:r w:rsidR="00573BA7" w:rsidRPr="00432A72">
        <w:t xml:space="preserve"> </w:t>
      </w:r>
      <w:r w:rsidR="004C5E6B" w:rsidRPr="00432A72">
        <w:t>third</w:t>
      </w:r>
      <w:r w:rsidR="00573BA7" w:rsidRPr="00432A72">
        <w:t xml:space="preserve"> </w:t>
      </w:r>
      <w:r w:rsidR="004C5E6B" w:rsidRPr="00432A72">
        <w:t>parties,</w:t>
      </w:r>
      <w:r w:rsidR="00573BA7" w:rsidRPr="00432A72">
        <w:t xml:space="preserve"> </w:t>
      </w:r>
      <w:r w:rsidR="004C5E6B" w:rsidRPr="00432A72">
        <w:t>including</w:t>
      </w:r>
      <w:r w:rsidR="00573BA7" w:rsidRPr="00432A72">
        <w:t xml:space="preserve"> </w:t>
      </w:r>
      <w:r w:rsidR="004C5E6B" w:rsidRPr="00432A72">
        <w:t>private</w:t>
      </w:r>
      <w:r w:rsidR="00573BA7" w:rsidRPr="00432A72">
        <w:t xml:space="preserve"> </w:t>
      </w:r>
      <w:r w:rsidR="004C5E6B" w:rsidRPr="00432A72">
        <w:t>employers.</w:t>
      </w:r>
      <w:r w:rsidR="006429C2" w:rsidRPr="00432A72">
        <w:rPr>
          <w:rStyle w:val="EndnoteReference"/>
        </w:rPr>
        <w:endnoteReference w:id="53"/>
      </w:r>
      <w:r w:rsidR="00573BA7" w:rsidRPr="00432A72">
        <w:t xml:space="preserve">  </w:t>
      </w:r>
      <w:r w:rsidR="00241F16">
        <w:t>The</w:t>
      </w:r>
      <w:r w:rsidR="00573BA7" w:rsidRPr="00432A72">
        <w:t xml:space="preserve"> </w:t>
      </w:r>
      <w:r w:rsidR="0094477A" w:rsidRPr="00432A72">
        <w:t>obligation</w:t>
      </w:r>
      <w:r w:rsidR="00573BA7" w:rsidRPr="00432A72">
        <w:t xml:space="preserve"> </w:t>
      </w:r>
      <w:r w:rsidR="0094477A" w:rsidRPr="00432A72">
        <w:t>to</w:t>
      </w:r>
      <w:r w:rsidR="00573BA7" w:rsidRPr="00432A72">
        <w:t xml:space="preserve"> </w:t>
      </w:r>
      <w:r w:rsidR="0094477A" w:rsidRPr="07069484">
        <w:rPr>
          <w:i/>
          <w:iCs/>
        </w:rPr>
        <w:t>fulfil</w:t>
      </w:r>
      <w:r w:rsidR="00573BA7" w:rsidRPr="07069484">
        <w:rPr>
          <w:i/>
          <w:iCs/>
        </w:rPr>
        <w:t xml:space="preserve"> </w:t>
      </w:r>
      <w:r w:rsidR="0094477A" w:rsidRPr="00432A72">
        <w:t>rights</w:t>
      </w:r>
      <w:r w:rsidR="00573BA7" w:rsidRPr="00432A72">
        <w:t xml:space="preserve"> </w:t>
      </w:r>
      <w:r w:rsidR="0094477A" w:rsidRPr="00432A72">
        <w:t>requires</w:t>
      </w:r>
      <w:r w:rsidR="00573BA7" w:rsidRPr="00432A72">
        <w:t xml:space="preserve"> </w:t>
      </w:r>
      <w:r w:rsidR="0094477A" w:rsidRPr="00432A72">
        <w:t>states</w:t>
      </w:r>
      <w:r w:rsidR="00573BA7" w:rsidRPr="00432A72">
        <w:t xml:space="preserve"> </w:t>
      </w:r>
      <w:r w:rsidR="0094477A" w:rsidRPr="00432A72">
        <w:t>to</w:t>
      </w:r>
      <w:r w:rsidR="00573BA7" w:rsidRPr="00432A72">
        <w:t xml:space="preserve"> </w:t>
      </w:r>
      <w:r w:rsidR="0094477A" w:rsidRPr="00432A72">
        <w:t>take</w:t>
      </w:r>
      <w:r w:rsidR="00573BA7" w:rsidRPr="00432A72">
        <w:t xml:space="preserve"> </w:t>
      </w:r>
      <w:r w:rsidR="0094477A" w:rsidRPr="00432A72">
        <w:t>steps</w:t>
      </w:r>
      <w:r w:rsidR="00573BA7" w:rsidRPr="00432A72">
        <w:t xml:space="preserve"> </w:t>
      </w:r>
      <w:r w:rsidR="0094477A" w:rsidRPr="00432A72">
        <w:t>to</w:t>
      </w:r>
      <w:r w:rsidR="00573BA7" w:rsidRPr="00432A72">
        <w:t xml:space="preserve"> </w:t>
      </w:r>
      <w:r w:rsidR="00AF5FBA" w:rsidRPr="00432A72">
        <w:t>facilitate,</w:t>
      </w:r>
      <w:r w:rsidR="00573BA7" w:rsidRPr="00432A72">
        <w:t xml:space="preserve"> </w:t>
      </w:r>
      <w:r w:rsidR="00AF5FBA" w:rsidRPr="00432A72">
        <w:t>promote</w:t>
      </w:r>
      <w:r w:rsidR="00573BA7" w:rsidRPr="00432A72">
        <w:t xml:space="preserve"> </w:t>
      </w:r>
      <w:r w:rsidR="00AF5FBA" w:rsidRPr="00432A72">
        <w:t>and</w:t>
      </w:r>
      <w:r w:rsidR="00573BA7" w:rsidRPr="00432A72">
        <w:t xml:space="preserve"> </w:t>
      </w:r>
      <w:r w:rsidR="00AF5FBA" w:rsidRPr="00432A72">
        <w:t>provide</w:t>
      </w:r>
      <w:r w:rsidR="00573BA7" w:rsidRPr="00432A72">
        <w:t xml:space="preserve"> </w:t>
      </w:r>
      <w:r w:rsidR="00AF5FBA" w:rsidRPr="00432A72">
        <w:t>for</w:t>
      </w:r>
      <w:r w:rsidR="00573BA7" w:rsidRPr="00432A72">
        <w:t xml:space="preserve"> </w:t>
      </w:r>
      <w:r w:rsidR="00AF5FBA" w:rsidRPr="00432A72">
        <w:t>the</w:t>
      </w:r>
      <w:r w:rsidR="00573BA7" w:rsidRPr="00432A72">
        <w:t xml:space="preserve"> </w:t>
      </w:r>
      <w:r w:rsidR="00AF5FBA" w:rsidRPr="00432A72">
        <w:t>enjoyment</w:t>
      </w:r>
      <w:r w:rsidR="00573BA7" w:rsidRPr="00432A72">
        <w:t xml:space="preserve"> </w:t>
      </w:r>
      <w:r w:rsidR="00AF5FBA" w:rsidRPr="00432A72">
        <w:t>of</w:t>
      </w:r>
      <w:r w:rsidR="00573BA7" w:rsidRPr="00432A72">
        <w:t xml:space="preserve"> </w:t>
      </w:r>
      <w:r w:rsidR="00AF5FBA" w:rsidRPr="00432A72">
        <w:t>those</w:t>
      </w:r>
      <w:r w:rsidR="00573BA7" w:rsidRPr="00432A72">
        <w:t xml:space="preserve"> </w:t>
      </w:r>
      <w:r w:rsidR="00AF5FBA" w:rsidRPr="00432A72">
        <w:t>rights.</w:t>
      </w:r>
      <w:r w:rsidR="00573BA7" w:rsidRPr="00432A72">
        <w:t xml:space="preserve">  </w:t>
      </w:r>
      <w:r w:rsidR="00F50EAD" w:rsidRPr="00432A72">
        <w:t>Having</w:t>
      </w:r>
      <w:r w:rsidR="00573BA7" w:rsidRPr="00432A72">
        <w:t xml:space="preserve"> </w:t>
      </w:r>
      <w:r w:rsidR="00F50EAD" w:rsidRPr="00432A72">
        <w:t>ratified</w:t>
      </w:r>
      <w:r w:rsidR="00573BA7" w:rsidRPr="00432A72">
        <w:t xml:space="preserve"> </w:t>
      </w:r>
      <w:r w:rsidR="00F50EAD" w:rsidRPr="00432A72">
        <w:t>the</w:t>
      </w:r>
      <w:r w:rsidR="00573BA7" w:rsidRPr="00432A72">
        <w:t xml:space="preserve"> </w:t>
      </w:r>
      <w:r w:rsidR="00F50EAD" w:rsidRPr="00432A72">
        <w:t>CRPD</w:t>
      </w:r>
      <w:r w:rsidR="00573BA7" w:rsidRPr="00432A72">
        <w:t xml:space="preserve"> </w:t>
      </w:r>
      <w:r w:rsidR="00F50EAD" w:rsidRPr="00432A72">
        <w:t>and</w:t>
      </w:r>
      <w:r w:rsidR="00573BA7" w:rsidRPr="00432A72">
        <w:t xml:space="preserve"> </w:t>
      </w:r>
      <w:r w:rsidR="00F50EAD" w:rsidRPr="00432A72">
        <w:t>the</w:t>
      </w:r>
      <w:r w:rsidR="00573BA7" w:rsidRPr="00432A72">
        <w:t xml:space="preserve"> </w:t>
      </w:r>
      <w:r w:rsidR="00F50EAD" w:rsidRPr="00432A72">
        <w:t>other</w:t>
      </w:r>
      <w:r w:rsidR="00573BA7" w:rsidRPr="00432A72">
        <w:t xml:space="preserve"> </w:t>
      </w:r>
      <w:r w:rsidR="00F50EAD" w:rsidRPr="00432A72">
        <w:t>treaties</w:t>
      </w:r>
      <w:r w:rsidR="00573BA7" w:rsidRPr="00432A72">
        <w:t xml:space="preserve"> </w:t>
      </w:r>
      <w:r w:rsidR="00F50EAD" w:rsidRPr="00432A72">
        <w:t>identified</w:t>
      </w:r>
      <w:r w:rsidR="00573BA7" w:rsidRPr="00432A72">
        <w:t xml:space="preserve"> </w:t>
      </w:r>
      <w:r w:rsidR="00F50EAD" w:rsidRPr="00432A72">
        <w:t>in</w:t>
      </w:r>
      <w:r w:rsidR="00573BA7" w:rsidRPr="00432A72">
        <w:t xml:space="preserve"> </w:t>
      </w:r>
      <w:r w:rsidR="00F50EAD" w:rsidRPr="00432A72">
        <w:t>the</w:t>
      </w:r>
      <w:r w:rsidR="00573BA7" w:rsidRPr="00432A72">
        <w:t xml:space="preserve"> </w:t>
      </w:r>
      <w:r w:rsidR="00F50EAD" w:rsidRPr="00432A72">
        <w:t>previous</w:t>
      </w:r>
      <w:r w:rsidR="00573BA7" w:rsidRPr="00432A72">
        <w:t xml:space="preserve"> </w:t>
      </w:r>
      <w:r w:rsidR="00F50EAD" w:rsidRPr="00432A72">
        <w:t>section,</w:t>
      </w:r>
      <w:r w:rsidR="00573BA7" w:rsidRPr="00432A72">
        <w:t xml:space="preserve"> </w:t>
      </w:r>
      <w:r w:rsidR="00F50EAD" w:rsidRPr="00432A72">
        <w:t>Australia</w:t>
      </w:r>
      <w:r w:rsidR="00573BA7" w:rsidRPr="00432A72">
        <w:t xml:space="preserve"> </w:t>
      </w:r>
      <w:r w:rsidR="00F50EAD" w:rsidRPr="00432A72">
        <w:t>bears</w:t>
      </w:r>
      <w:r w:rsidR="00573BA7" w:rsidRPr="00432A72">
        <w:t xml:space="preserve"> </w:t>
      </w:r>
      <w:r w:rsidR="00F50EAD" w:rsidRPr="00432A72">
        <w:t>these</w:t>
      </w:r>
      <w:r w:rsidR="00573BA7" w:rsidRPr="00432A72">
        <w:t xml:space="preserve"> </w:t>
      </w:r>
      <w:r w:rsidR="00F50EAD" w:rsidRPr="00432A72">
        <w:t>obligations.</w:t>
      </w:r>
    </w:p>
    <w:p w14:paraId="0386EF9B" w14:textId="6CEFF369" w:rsidR="008E6D0D" w:rsidRDefault="008E6D0D" w:rsidP="00DA2A0A">
      <w:pPr>
        <w:pStyle w:val="ListParagraph"/>
        <w:numPr>
          <w:ilvl w:val="0"/>
          <w:numId w:val="58"/>
        </w:numPr>
      </w:pPr>
      <w:r>
        <w:t>Australia’s</w:t>
      </w:r>
      <w:r w:rsidR="00573BA7">
        <w:t xml:space="preserve"> </w:t>
      </w:r>
      <w:r>
        <w:t>obligations</w:t>
      </w:r>
      <w:r w:rsidR="00573BA7">
        <w:t xml:space="preserve"> </w:t>
      </w:r>
      <w:r>
        <w:t>under</w:t>
      </w:r>
      <w:r w:rsidR="00573BA7">
        <w:t xml:space="preserve"> </w:t>
      </w:r>
      <w:r>
        <w:t>the</w:t>
      </w:r>
      <w:r w:rsidR="00573BA7">
        <w:t xml:space="preserve"> </w:t>
      </w:r>
      <w:r>
        <w:t>CRPD,</w:t>
      </w:r>
      <w:r>
        <w:rPr>
          <w:rStyle w:val="EndnoteReference"/>
        </w:rPr>
        <w:endnoteReference w:id="54"/>
      </w:r>
      <w:r w:rsidR="00573BA7">
        <w:t xml:space="preserve"> </w:t>
      </w:r>
      <w:r>
        <w:t>and</w:t>
      </w:r>
      <w:r w:rsidR="00573BA7">
        <w:t xml:space="preserve"> </w:t>
      </w:r>
      <w:r>
        <w:t>under</w:t>
      </w:r>
      <w:r w:rsidR="00573BA7">
        <w:t xml:space="preserve"> </w:t>
      </w:r>
      <w:r>
        <w:t>international</w:t>
      </w:r>
      <w:r w:rsidR="00573BA7">
        <w:t xml:space="preserve"> </w:t>
      </w:r>
      <w:r>
        <w:t>law</w:t>
      </w:r>
      <w:r w:rsidR="00573BA7">
        <w:t xml:space="preserve"> </w:t>
      </w:r>
      <w:r>
        <w:t>generally,</w:t>
      </w:r>
      <w:r>
        <w:rPr>
          <w:rStyle w:val="EndnoteReference"/>
        </w:rPr>
        <w:endnoteReference w:id="55"/>
      </w:r>
      <w:r w:rsidR="00573BA7">
        <w:t xml:space="preserve"> </w:t>
      </w:r>
      <w:r>
        <w:t>extend</w:t>
      </w:r>
      <w:r w:rsidR="00573BA7">
        <w:t xml:space="preserve"> </w:t>
      </w:r>
      <w:r>
        <w:t>to</w:t>
      </w:r>
      <w:r w:rsidR="00573BA7">
        <w:t xml:space="preserve"> </w:t>
      </w:r>
      <w:r>
        <w:t>all</w:t>
      </w:r>
      <w:r w:rsidR="00573BA7">
        <w:t xml:space="preserve"> </w:t>
      </w:r>
      <w:r>
        <w:t>elements</w:t>
      </w:r>
      <w:r w:rsidR="00573BA7">
        <w:t xml:space="preserve"> </w:t>
      </w:r>
      <w:r>
        <w:t>of</w:t>
      </w:r>
      <w:r w:rsidR="00573BA7">
        <w:t xml:space="preserve"> </w:t>
      </w:r>
      <w:r>
        <w:t>Australia’s</w:t>
      </w:r>
      <w:r w:rsidR="00573BA7">
        <w:t xml:space="preserve"> </w:t>
      </w:r>
      <w:r>
        <w:t>federal</w:t>
      </w:r>
      <w:r w:rsidR="00573BA7">
        <w:t xml:space="preserve"> </w:t>
      </w:r>
      <w:r>
        <w:t>system,</w:t>
      </w:r>
      <w:r w:rsidR="00573BA7">
        <w:t xml:space="preserve"> </w:t>
      </w:r>
      <w:r>
        <w:t>without</w:t>
      </w:r>
      <w:r w:rsidR="00573BA7">
        <w:t xml:space="preserve"> </w:t>
      </w:r>
      <w:r>
        <w:t>limitation</w:t>
      </w:r>
      <w:r w:rsidR="00573BA7">
        <w:t xml:space="preserve"> </w:t>
      </w:r>
      <w:r>
        <w:t>or</w:t>
      </w:r>
      <w:r w:rsidR="00573BA7">
        <w:t xml:space="preserve"> </w:t>
      </w:r>
      <w:r>
        <w:t>exception</w:t>
      </w:r>
      <w:r w:rsidR="00573BA7">
        <w:t xml:space="preserve"> </w:t>
      </w:r>
      <w:r>
        <w:t>in</w:t>
      </w:r>
      <w:r w:rsidR="00573BA7">
        <w:t xml:space="preserve"> </w:t>
      </w:r>
      <w:r w:rsidR="00CA0762">
        <w:t>s</w:t>
      </w:r>
      <w:r>
        <w:t>tate</w:t>
      </w:r>
      <w:r w:rsidR="00573BA7">
        <w:t xml:space="preserve"> </w:t>
      </w:r>
      <w:r>
        <w:t>or</w:t>
      </w:r>
      <w:r w:rsidR="00573BA7">
        <w:t xml:space="preserve"> </w:t>
      </w:r>
      <w:r w:rsidR="00CA0762">
        <w:t>t</w:t>
      </w:r>
      <w:r>
        <w:t>erritory</w:t>
      </w:r>
      <w:r w:rsidR="00573BA7">
        <w:t xml:space="preserve"> </w:t>
      </w:r>
      <w:r>
        <w:t>jurisdictions.</w:t>
      </w:r>
    </w:p>
    <w:p w14:paraId="1BB71869" w14:textId="2D897C7C" w:rsidR="00BD78AB" w:rsidRDefault="000653C5" w:rsidP="00DA2A0A">
      <w:pPr>
        <w:pStyle w:val="ListParagraph"/>
        <w:numPr>
          <w:ilvl w:val="0"/>
          <w:numId w:val="58"/>
        </w:numPr>
      </w:pPr>
      <w:r>
        <w:t>The</w:t>
      </w:r>
      <w:r w:rsidR="00573BA7">
        <w:t xml:space="preserve"> </w:t>
      </w:r>
      <w:r>
        <w:t>content</w:t>
      </w:r>
      <w:r w:rsidR="00573BA7">
        <w:t xml:space="preserve"> </w:t>
      </w:r>
      <w:r>
        <w:t>of</w:t>
      </w:r>
      <w:r w:rsidR="00573BA7">
        <w:t xml:space="preserve"> </w:t>
      </w:r>
      <w:r>
        <w:t>Australia’s</w:t>
      </w:r>
      <w:r w:rsidR="00573BA7">
        <w:t xml:space="preserve"> </w:t>
      </w:r>
      <w:r>
        <w:t>obligations</w:t>
      </w:r>
      <w:r w:rsidR="00573BA7">
        <w:t xml:space="preserve"> </w:t>
      </w:r>
      <w:r>
        <w:t>under</w:t>
      </w:r>
      <w:r w:rsidR="00573BA7">
        <w:t xml:space="preserve"> </w:t>
      </w:r>
      <w:r>
        <w:t>the</w:t>
      </w:r>
      <w:r w:rsidR="00573BA7">
        <w:t xml:space="preserve"> </w:t>
      </w:r>
      <w:r>
        <w:t>CRPD</w:t>
      </w:r>
      <w:r w:rsidR="00573BA7">
        <w:t xml:space="preserve"> </w:t>
      </w:r>
      <w:r>
        <w:t>are</w:t>
      </w:r>
      <w:r w:rsidR="00573BA7">
        <w:t xml:space="preserve"> </w:t>
      </w:r>
      <w:r>
        <w:t>set</w:t>
      </w:r>
      <w:r w:rsidR="00573BA7">
        <w:t xml:space="preserve"> </w:t>
      </w:r>
      <w:r>
        <w:t>out</w:t>
      </w:r>
      <w:r w:rsidR="00573BA7">
        <w:t xml:space="preserve"> </w:t>
      </w:r>
      <w:r>
        <w:t>in</w:t>
      </w:r>
      <w:r w:rsidR="00573BA7">
        <w:t xml:space="preserve"> </w:t>
      </w:r>
      <w:r>
        <w:t>general</w:t>
      </w:r>
      <w:r w:rsidR="00573BA7">
        <w:t xml:space="preserve"> </w:t>
      </w:r>
      <w:r>
        <w:t>terms</w:t>
      </w:r>
      <w:r w:rsidR="00573BA7">
        <w:t xml:space="preserve"> </w:t>
      </w:r>
      <w:r>
        <w:t>in</w:t>
      </w:r>
      <w:r w:rsidR="00573BA7">
        <w:t xml:space="preserve"> </w:t>
      </w:r>
      <w:r>
        <w:t>Article</w:t>
      </w:r>
      <w:r w:rsidR="00573BA7">
        <w:t xml:space="preserve"> </w:t>
      </w:r>
      <w:r>
        <w:t>4.</w:t>
      </w:r>
      <w:r w:rsidR="00573BA7">
        <w:t xml:space="preserve">  </w:t>
      </w:r>
      <w:r w:rsidR="00EE23F2">
        <w:t>At</w:t>
      </w:r>
      <w:r w:rsidR="00573BA7">
        <w:t xml:space="preserve"> </w:t>
      </w:r>
      <w:r w:rsidR="00EE23F2">
        <w:t>the</w:t>
      </w:r>
      <w:r w:rsidR="00573BA7">
        <w:t xml:space="preserve"> </w:t>
      </w:r>
      <w:r w:rsidR="00EE23F2">
        <w:t>highest</w:t>
      </w:r>
      <w:r w:rsidR="00573BA7">
        <w:t xml:space="preserve"> </w:t>
      </w:r>
      <w:r w:rsidR="00EE23F2">
        <w:t>level,</w:t>
      </w:r>
      <w:r w:rsidR="00573BA7">
        <w:t xml:space="preserve"> </w:t>
      </w:r>
      <w:r w:rsidR="00EE23F2">
        <w:t>these</w:t>
      </w:r>
      <w:r w:rsidR="00573BA7">
        <w:t xml:space="preserve"> </w:t>
      </w:r>
      <w:r w:rsidR="00EE23F2">
        <w:t>obligations</w:t>
      </w:r>
      <w:r w:rsidR="00573BA7">
        <w:t xml:space="preserve"> </w:t>
      </w:r>
      <w:r w:rsidR="007B70D8">
        <w:t>are</w:t>
      </w:r>
      <w:r w:rsidR="00573BA7">
        <w:t xml:space="preserve"> </w:t>
      </w:r>
      <w:r w:rsidR="007B70D8">
        <w:t>to</w:t>
      </w:r>
      <w:r w:rsidR="00573BA7">
        <w:t xml:space="preserve"> </w:t>
      </w:r>
      <w:r w:rsidR="007B70D8">
        <w:t>‘ensure</w:t>
      </w:r>
      <w:r w:rsidR="00573BA7">
        <w:t xml:space="preserve"> </w:t>
      </w:r>
      <w:r w:rsidR="007B70D8">
        <w:t>and</w:t>
      </w:r>
      <w:r w:rsidR="00573BA7">
        <w:t xml:space="preserve"> </w:t>
      </w:r>
      <w:r w:rsidR="007B70D8">
        <w:t>promote</w:t>
      </w:r>
      <w:r w:rsidR="00573BA7">
        <w:t xml:space="preserve"> </w:t>
      </w:r>
      <w:r w:rsidR="007B70D8">
        <w:t>the</w:t>
      </w:r>
      <w:r w:rsidR="00573BA7">
        <w:t xml:space="preserve"> </w:t>
      </w:r>
      <w:r w:rsidR="007B70D8">
        <w:t>full</w:t>
      </w:r>
      <w:r w:rsidR="00573BA7">
        <w:t xml:space="preserve"> </w:t>
      </w:r>
      <w:r w:rsidR="007B70D8">
        <w:t>realization</w:t>
      </w:r>
      <w:r w:rsidR="00573BA7">
        <w:t xml:space="preserve"> </w:t>
      </w:r>
      <w:r w:rsidR="007B70D8">
        <w:t>of</w:t>
      </w:r>
      <w:r w:rsidR="00573BA7">
        <w:t xml:space="preserve"> </w:t>
      </w:r>
      <w:r w:rsidR="007B70D8">
        <w:t>all</w:t>
      </w:r>
      <w:r w:rsidR="00573BA7">
        <w:t xml:space="preserve"> </w:t>
      </w:r>
      <w:r w:rsidR="007B70D8">
        <w:t>human</w:t>
      </w:r>
      <w:r w:rsidR="00573BA7">
        <w:t xml:space="preserve"> </w:t>
      </w:r>
      <w:r w:rsidR="007B70D8">
        <w:t>rights</w:t>
      </w:r>
      <w:r w:rsidR="00573BA7">
        <w:t xml:space="preserve"> </w:t>
      </w:r>
      <w:r w:rsidR="007B70D8">
        <w:t>and</w:t>
      </w:r>
      <w:r w:rsidR="00573BA7">
        <w:t xml:space="preserve"> </w:t>
      </w:r>
      <w:r w:rsidR="007B70D8">
        <w:t>fundamental</w:t>
      </w:r>
      <w:r w:rsidR="00573BA7">
        <w:t xml:space="preserve"> </w:t>
      </w:r>
      <w:r w:rsidR="003B4AE1">
        <w:t>freedoms</w:t>
      </w:r>
      <w:r w:rsidR="00573BA7">
        <w:t xml:space="preserve"> </w:t>
      </w:r>
      <w:r w:rsidR="003B4AE1">
        <w:t>for</w:t>
      </w:r>
      <w:r w:rsidR="00573BA7">
        <w:t xml:space="preserve"> </w:t>
      </w:r>
      <w:r w:rsidR="003B4AE1">
        <w:t>all</w:t>
      </w:r>
      <w:r w:rsidR="00573BA7">
        <w:t xml:space="preserve"> </w:t>
      </w:r>
      <w:r w:rsidR="007156DA">
        <w:t xml:space="preserve">persons </w:t>
      </w:r>
      <w:r w:rsidR="007F5BA4">
        <w:t>with</w:t>
      </w:r>
      <w:r w:rsidR="00573BA7">
        <w:t xml:space="preserve"> </w:t>
      </w:r>
      <w:r w:rsidR="007F5BA4">
        <w:t>disabilit</w:t>
      </w:r>
      <w:r w:rsidR="007156DA">
        <w:t>ies</w:t>
      </w:r>
      <w:r w:rsidR="00573BA7">
        <w:t xml:space="preserve"> </w:t>
      </w:r>
      <w:r w:rsidR="003B4AE1">
        <w:t>without</w:t>
      </w:r>
      <w:r w:rsidR="00573BA7">
        <w:t xml:space="preserve"> </w:t>
      </w:r>
      <w:r w:rsidR="003B4AE1">
        <w:t>discrimination</w:t>
      </w:r>
      <w:r w:rsidR="00573BA7">
        <w:t xml:space="preserve"> </w:t>
      </w:r>
      <w:r w:rsidR="003B4AE1">
        <w:t>of</w:t>
      </w:r>
      <w:r w:rsidR="00573BA7">
        <w:t xml:space="preserve"> </w:t>
      </w:r>
      <w:r w:rsidR="003B4AE1">
        <w:t>any</w:t>
      </w:r>
      <w:r w:rsidR="00573BA7">
        <w:t xml:space="preserve"> </w:t>
      </w:r>
      <w:r w:rsidR="003B4AE1">
        <w:t>kind</w:t>
      </w:r>
      <w:r w:rsidR="00573BA7">
        <w:t xml:space="preserve"> </w:t>
      </w:r>
      <w:r w:rsidR="003B4AE1">
        <w:t>on</w:t>
      </w:r>
      <w:r w:rsidR="00573BA7">
        <w:t xml:space="preserve"> </w:t>
      </w:r>
      <w:r w:rsidR="003B4AE1">
        <w:t>the</w:t>
      </w:r>
      <w:r w:rsidR="00573BA7">
        <w:t xml:space="preserve"> </w:t>
      </w:r>
      <w:r w:rsidR="003B4AE1">
        <w:t>basis</w:t>
      </w:r>
      <w:r w:rsidR="00573BA7">
        <w:t xml:space="preserve"> </w:t>
      </w:r>
      <w:r w:rsidR="003B4AE1">
        <w:t>of</w:t>
      </w:r>
      <w:r w:rsidR="00573BA7">
        <w:t xml:space="preserve"> </w:t>
      </w:r>
      <w:r w:rsidR="003B4AE1">
        <w:t>disability’.</w:t>
      </w:r>
      <w:r w:rsidR="003B4AE1">
        <w:rPr>
          <w:rStyle w:val="EndnoteReference"/>
        </w:rPr>
        <w:endnoteReference w:id="56"/>
      </w:r>
      <w:r w:rsidR="00573BA7">
        <w:t xml:space="preserve">  </w:t>
      </w:r>
      <w:r w:rsidR="00E4015B">
        <w:t>Article</w:t>
      </w:r>
      <w:r w:rsidR="00573BA7">
        <w:t xml:space="preserve"> </w:t>
      </w:r>
      <w:r w:rsidR="00E4015B">
        <w:t>4(1)</w:t>
      </w:r>
      <w:r w:rsidR="00573BA7">
        <w:t xml:space="preserve"> </w:t>
      </w:r>
      <w:r w:rsidR="00967C55">
        <w:t>elaborates</w:t>
      </w:r>
      <w:r w:rsidR="00573BA7">
        <w:t xml:space="preserve"> </w:t>
      </w:r>
      <w:r w:rsidR="00836749">
        <w:t>upon</w:t>
      </w:r>
      <w:r w:rsidR="00573BA7">
        <w:t xml:space="preserve"> </w:t>
      </w:r>
      <w:r w:rsidR="00836749">
        <w:t>the</w:t>
      </w:r>
      <w:r w:rsidR="00573BA7">
        <w:t xml:space="preserve"> </w:t>
      </w:r>
      <w:r w:rsidR="00836749">
        <w:t>content</w:t>
      </w:r>
      <w:r w:rsidR="00573BA7">
        <w:t xml:space="preserve"> </w:t>
      </w:r>
      <w:r w:rsidR="00836749">
        <w:t>of</w:t>
      </w:r>
      <w:r w:rsidR="00573BA7">
        <w:t xml:space="preserve"> </w:t>
      </w:r>
      <w:r w:rsidR="000603DC">
        <w:t>States</w:t>
      </w:r>
      <w:r w:rsidR="00573BA7">
        <w:t xml:space="preserve"> </w:t>
      </w:r>
      <w:r w:rsidR="000603DC">
        <w:t>Parties’</w:t>
      </w:r>
      <w:r w:rsidR="00573BA7">
        <w:t xml:space="preserve"> </w:t>
      </w:r>
      <w:r w:rsidR="00836749">
        <w:t>general</w:t>
      </w:r>
      <w:r w:rsidR="00573BA7">
        <w:t xml:space="preserve"> </w:t>
      </w:r>
      <w:r w:rsidR="00836749">
        <w:t>obligations</w:t>
      </w:r>
      <w:r w:rsidR="00573BA7">
        <w:t xml:space="preserve"> </w:t>
      </w:r>
      <w:r w:rsidR="00474CF8">
        <w:t>under</w:t>
      </w:r>
      <w:r w:rsidR="00573BA7">
        <w:t xml:space="preserve"> </w:t>
      </w:r>
      <w:r w:rsidR="00474CF8">
        <w:t>the</w:t>
      </w:r>
      <w:r w:rsidR="00573BA7">
        <w:t xml:space="preserve"> </w:t>
      </w:r>
      <w:r w:rsidR="00474CF8">
        <w:t>CRPD</w:t>
      </w:r>
      <w:r w:rsidR="00573BA7">
        <w:t xml:space="preserve"> </w:t>
      </w:r>
      <w:r w:rsidR="00836749">
        <w:t>by</w:t>
      </w:r>
      <w:r w:rsidR="00573BA7">
        <w:t xml:space="preserve"> </w:t>
      </w:r>
      <w:r w:rsidR="00836749">
        <w:t>providing</w:t>
      </w:r>
      <w:r w:rsidR="00573BA7">
        <w:t xml:space="preserve"> </w:t>
      </w:r>
      <w:r w:rsidR="00836749">
        <w:t>that</w:t>
      </w:r>
      <w:r w:rsidR="00573BA7">
        <w:t xml:space="preserve"> </w:t>
      </w:r>
      <w:r w:rsidR="00836749">
        <w:t>they</w:t>
      </w:r>
      <w:r w:rsidR="00573BA7">
        <w:t xml:space="preserve"> </w:t>
      </w:r>
      <w:r w:rsidR="00836749">
        <w:t>must</w:t>
      </w:r>
      <w:r w:rsidR="00474CF8">
        <w:t>:</w:t>
      </w:r>
    </w:p>
    <w:p w14:paraId="01114908" w14:textId="28B65FF7" w:rsidR="00236BD7" w:rsidRDefault="00236BD7" w:rsidP="00DA2A0A">
      <w:pPr>
        <w:pStyle w:val="ListParagraph"/>
        <w:numPr>
          <w:ilvl w:val="1"/>
          <w:numId w:val="58"/>
        </w:numPr>
      </w:pPr>
      <w:r>
        <w:t>adopt</w:t>
      </w:r>
      <w:r w:rsidR="00573BA7">
        <w:t xml:space="preserve"> </w:t>
      </w:r>
      <w:r>
        <w:t>all</w:t>
      </w:r>
      <w:r w:rsidR="00573BA7">
        <w:t xml:space="preserve"> </w:t>
      </w:r>
      <w:r>
        <w:t>appropriate</w:t>
      </w:r>
      <w:r w:rsidR="00573BA7">
        <w:t xml:space="preserve"> </w:t>
      </w:r>
      <w:r>
        <w:t>legislative,</w:t>
      </w:r>
      <w:r w:rsidR="00573BA7">
        <w:t xml:space="preserve"> </w:t>
      </w:r>
      <w:r>
        <w:t>administrative</w:t>
      </w:r>
      <w:r w:rsidR="00573BA7">
        <w:t xml:space="preserve"> </w:t>
      </w:r>
      <w:r>
        <w:t>and</w:t>
      </w:r>
      <w:r w:rsidR="00573BA7">
        <w:t xml:space="preserve"> </w:t>
      </w:r>
      <w:r>
        <w:t>other</w:t>
      </w:r>
      <w:r w:rsidR="00573BA7">
        <w:t xml:space="preserve"> </w:t>
      </w:r>
      <w:r>
        <w:t>measures</w:t>
      </w:r>
      <w:r w:rsidR="00573BA7">
        <w:t xml:space="preserve"> </w:t>
      </w:r>
      <w:r>
        <w:t>for</w:t>
      </w:r>
      <w:r w:rsidR="00573BA7">
        <w:t xml:space="preserve"> </w:t>
      </w:r>
      <w:r>
        <w:t>the</w:t>
      </w:r>
      <w:r w:rsidR="00573BA7">
        <w:t xml:space="preserve"> </w:t>
      </w:r>
      <w:r>
        <w:t>implementation</w:t>
      </w:r>
      <w:r w:rsidR="00573BA7">
        <w:t xml:space="preserve"> </w:t>
      </w:r>
      <w:r>
        <w:t>of</w:t>
      </w:r>
      <w:r w:rsidR="00573BA7">
        <w:t xml:space="preserve"> </w:t>
      </w:r>
      <w:r>
        <w:t>the</w:t>
      </w:r>
      <w:r w:rsidR="00573BA7">
        <w:t xml:space="preserve"> </w:t>
      </w:r>
      <w:r>
        <w:t>rights</w:t>
      </w:r>
      <w:r w:rsidR="00573BA7">
        <w:t xml:space="preserve"> </w:t>
      </w:r>
      <w:r>
        <w:t>recogni</w:t>
      </w:r>
      <w:r w:rsidR="0003177C">
        <w:t>s</w:t>
      </w:r>
      <w:r>
        <w:t>ed</w:t>
      </w:r>
      <w:r w:rsidR="00573BA7">
        <w:t xml:space="preserve"> </w:t>
      </w:r>
      <w:r>
        <w:t>in</w:t>
      </w:r>
      <w:r w:rsidR="00573BA7">
        <w:t xml:space="preserve"> </w:t>
      </w:r>
      <w:r>
        <w:t>the</w:t>
      </w:r>
      <w:r w:rsidR="00573BA7">
        <w:t xml:space="preserve"> </w:t>
      </w:r>
      <w:r w:rsidR="0003177C">
        <w:t>CRPD</w:t>
      </w:r>
    </w:p>
    <w:p w14:paraId="0EF845CC" w14:textId="778C3F13" w:rsidR="00236BD7" w:rsidRDefault="00236BD7" w:rsidP="00DA2A0A">
      <w:pPr>
        <w:pStyle w:val="ListParagraph"/>
        <w:numPr>
          <w:ilvl w:val="1"/>
          <w:numId w:val="58"/>
        </w:numPr>
      </w:pPr>
      <w:r>
        <w:t>take</w:t>
      </w:r>
      <w:r w:rsidR="00573BA7">
        <w:t xml:space="preserve"> </w:t>
      </w:r>
      <w:r>
        <w:t>all</w:t>
      </w:r>
      <w:r w:rsidR="00573BA7">
        <w:t xml:space="preserve"> </w:t>
      </w:r>
      <w:r>
        <w:t>appropriate</w:t>
      </w:r>
      <w:r w:rsidR="00573BA7">
        <w:t xml:space="preserve"> </w:t>
      </w:r>
      <w:r>
        <w:t>measures,</w:t>
      </w:r>
      <w:r w:rsidR="00573BA7">
        <w:t xml:space="preserve"> </w:t>
      </w:r>
      <w:r>
        <w:t>including</w:t>
      </w:r>
      <w:r w:rsidR="00573BA7">
        <w:t xml:space="preserve"> </w:t>
      </w:r>
      <w:r>
        <w:t>legislation,</w:t>
      </w:r>
      <w:r w:rsidR="00573BA7">
        <w:t xml:space="preserve"> </w:t>
      </w:r>
      <w:r>
        <w:t>to</w:t>
      </w:r>
      <w:r w:rsidR="00573BA7">
        <w:t xml:space="preserve"> </w:t>
      </w:r>
      <w:r>
        <w:t>modify</w:t>
      </w:r>
      <w:r w:rsidR="00573BA7">
        <w:t xml:space="preserve"> </w:t>
      </w:r>
      <w:r>
        <w:t>or</w:t>
      </w:r>
      <w:r w:rsidR="00573BA7">
        <w:t xml:space="preserve"> </w:t>
      </w:r>
      <w:r>
        <w:t>abolish</w:t>
      </w:r>
      <w:r w:rsidR="00573BA7">
        <w:t xml:space="preserve"> </w:t>
      </w:r>
      <w:r>
        <w:t>existing</w:t>
      </w:r>
      <w:r w:rsidR="00573BA7">
        <w:t xml:space="preserve"> </w:t>
      </w:r>
      <w:r>
        <w:t>laws,</w:t>
      </w:r>
      <w:r w:rsidR="00573BA7">
        <w:t xml:space="preserve"> </w:t>
      </w:r>
      <w:r>
        <w:t>regulations,</w:t>
      </w:r>
      <w:r w:rsidR="00573BA7">
        <w:t xml:space="preserve"> </w:t>
      </w:r>
      <w:r>
        <w:t>customs</w:t>
      </w:r>
      <w:r w:rsidR="00573BA7">
        <w:t xml:space="preserve"> </w:t>
      </w:r>
      <w:r>
        <w:t>and</w:t>
      </w:r>
      <w:r w:rsidR="00573BA7">
        <w:t xml:space="preserve"> </w:t>
      </w:r>
      <w:r>
        <w:t>practices</w:t>
      </w:r>
      <w:r w:rsidR="00573BA7">
        <w:t xml:space="preserve"> </w:t>
      </w:r>
      <w:r>
        <w:t>that</w:t>
      </w:r>
      <w:r w:rsidR="00573BA7">
        <w:t xml:space="preserve"> </w:t>
      </w:r>
      <w:r>
        <w:t>constitute</w:t>
      </w:r>
      <w:r w:rsidR="00573BA7">
        <w:t xml:space="preserve"> </w:t>
      </w:r>
      <w:r>
        <w:t>discrimination</w:t>
      </w:r>
      <w:r w:rsidR="00573BA7">
        <w:t xml:space="preserve"> </w:t>
      </w:r>
      <w:r>
        <w:t>against</w:t>
      </w:r>
      <w:r w:rsidR="00573BA7">
        <w:t xml:space="preserve"> </w:t>
      </w:r>
      <w:r w:rsidR="007F5BA4">
        <w:t>people</w:t>
      </w:r>
      <w:r w:rsidR="00573BA7">
        <w:t xml:space="preserve"> </w:t>
      </w:r>
      <w:r w:rsidR="007F5BA4">
        <w:t>with</w:t>
      </w:r>
      <w:r w:rsidR="00573BA7">
        <w:t xml:space="preserve"> </w:t>
      </w:r>
      <w:r w:rsidR="007F5BA4">
        <w:t>disability</w:t>
      </w:r>
    </w:p>
    <w:p w14:paraId="301382F3" w14:textId="5A5CAC85" w:rsidR="00C02D42" w:rsidRDefault="00236BD7" w:rsidP="00DA2A0A">
      <w:pPr>
        <w:pStyle w:val="ListParagraph"/>
        <w:numPr>
          <w:ilvl w:val="1"/>
          <w:numId w:val="58"/>
        </w:numPr>
      </w:pPr>
      <w:r>
        <w:t>take</w:t>
      </w:r>
      <w:r w:rsidR="00573BA7">
        <w:t xml:space="preserve"> </w:t>
      </w:r>
      <w:r>
        <w:t>into</w:t>
      </w:r>
      <w:r w:rsidR="00573BA7">
        <w:t xml:space="preserve"> </w:t>
      </w:r>
      <w:r>
        <w:t>account</w:t>
      </w:r>
      <w:r w:rsidR="00573BA7">
        <w:t xml:space="preserve"> </w:t>
      </w:r>
      <w:r>
        <w:t>the</w:t>
      </w:r>
      <w:r w:rsidR="00573BA7">
        <w:t xml:space="preserve"> </w:t>
      </w:r>
      <w:r>
        <w:t>protection</w:t>
      </w:r>
      <w:r w:rsidR="00573BA7">
        <w:t xml:space="preserve"> </w:t>
      </w:r>
      <w:r>
        <w:t>and</w:t>
      </w:r>
      <w:r w:rsidR="00573BA7">
        <w:t xml:space="preserve"> </w:t>
      </w:r>
      <w:r>
        <w:t>promotion</w:t>
      </w:r>
      <w:r w:rsidR="00573BA7">
        <w:t xml:space="preserve"> </w:t>
      </w:r>
      <w:r>
        <w:t>of</w:t>
      </w:r>
      <w:r w:rsidR="00573BA7">
        <w:t xml:space="preserve"> </w:t>
      </w:r>
      <w:r>
        <w:t>the</w:t>
      </w:r>
      <w:r w:rsidR="00573BA7">
        <w:t xml:space="preserve"> </w:t>
      </w:r>
      <w:r>
        <w:t>human</w:t>
      </w:r>
      <w:r w:rsidR="00573BA7">
        <w:t xml:space="preserve"> </w:t>
      </w:r>
      <w:r>
        <w:t>rights</w:t>
      </w:r>
      <w:r w:rsidR="00573BA7">
        <w:t xml:space="preserve"> </w:t>
      </w:r>
      <w:r>
        <w:t>of</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t>in</w:t>
      </w:r>
      <w:r w:rsidR="00573BA7">
        <w:t xml:space="preserve"> </w:t>
      </w:r>
      <w:r>
        <w:t>all</w:t>
      </w:r>
      <w:r w:rsidR="00573BA7">
        <w:t xml:space="preserve"> </w:t>
      </w:r>
      <w:r>
        <w:t>policies</w:t>
      </w:r>
      <w:r w:rsidR="00573BA7">
        <w:t xml:space="preserve"> </w:t>
      </w:r>
      <w:r>
        <w:t>and</w:t>
      </w:r>
      <w:r w:rsidR="00573BA7">
        <w:t xml:space="preserve"> </w:t>
      </w:r>
      <w:r>
        <w:t>programmes</w:t>
      </w:r>
    </w:p>
    <w:p w14:paraId="3682593E" w14:textId="60DA3CC5" w:rsidR="00C57B44" w:rsidRDefault="00C57B44" w:rsidP="00DA2A0A">
      <w:pPr>
        <w:pStyle w:val="ListParagraph"/>
        <w:numPr>
          <w:ilvl w:val="1"/>
          <w:numId w:val="58"/>
        </w:numPr>
      </w:pPr>
      <w:r>
        <w:t>refrain</w:t>
      </w:r>
      <w:r w:rsidR="00573BA7">
        <w:t xml:space="preserve"> </w:t>
      </w:r>
      <w:r>
        <w:t>from</w:t>
      </w:r>
      <w:r w:rsidR="00573BA7">
        <w:t xml:space="preserve"> </w:t>
      </w:r>
      <w:r>
        <w:t>engaging</w:t>
      </w:r>
      <w:r w:rsidR="00573BA7">
        <w:t xml:space="preserve"> </w:t>
      </w:r>
      <w:r>
        <w:t>in</w:t>
      </w:r>
      <w:r w:rsidR="00573BA7">
        <w:t xml:space="preserve"> </w:t>
      </w:r>
      <w:r>
        <w:t>any</w:t>
      </w:r>
      <w:r w:rsidR="00573BA7">
        <w:t xml:space="preserve"> </w:t>
      </w:r>
      <w:r>
        <w:t>act</w:t>
      </w:r>
      <w:r w:rsidR="00573BA7">
        <w:t xml:space="preserve"> </w:t>
      </w:r>
      <w:r>
        <w:t>or</w:t>
      </w:r>
      <w:r w:rsidR="00573BA7">
        <w:t xml:space="preserve"> </w:t>
      </w:r>
      <w:r>
        <w:t>practice</w:t>
      </w:r>
      <w:r w:rsidR="00573BA7">
        <w:t xml:space="preserve"> </w:t>
      </w:r>
      <w:r>
        <w:t>that</w:t>
      </w:r>
      <w:r w:rsidR="00573BA7">
        <w:t xml:space="preserve"> </w:t>
      </w:r>
      <w:r>
        <w:t>is</w:t>
      </w:r>
      <w:r w:rsidR="00573BA7">
        <w:t xml:space="preserve"> </w:t>
      </w:r>
      <w:r>
        <w:t>inconsistent</w:t>
      </w:r>
      <w:r w:rsidR="00573BA7">
        <w:t xml:space="preserve"> </w:t>
      </w:r>
      <w:r>
        <w:t>with</w:t>
      </w:r>
      <w:r w:rsidR="00573BA7">
        <w:t xml:space="preserve"> </w:t>
      </w:r>
      <w:r>
        <w:t>the</w:t>
      </w:r>
      <w:r w:rsidR="00573BA7">
        <w:t xml:space="preserve"> </w:t>
      </w:r>
      <w:r w:rsidR="002F577C">
        <w:t>CRPD</w:t>
      </w:r>
      <w:r w:rsidR="00573BA7">
        <w:t xml:space="preserve"> </w:t>
      </w:r>
      <w:r>
        <w:t>and</w:t>
      </w:r>
      <w:r w:rsidR="00573BA7">
        <w:t xml:space="preserve"> </w:t>
      </w:r>
      <w:r>
        <w:t>ensure</w:t>
      </w:r>
      <w:r w:rsidR="00573BA7">
        <w:t xml:space="preserve"> </w:t>
      </w:r>
      <w:r>
        <w:t>that</w:t>
      </w:r>
      <w:r w:rsidR="00573BA7">
        <w:t xml:space="preserve"> </w:t>
      </w:r>
      <w:r>
        <w:t>public</w:t>
      </w:r>
      <w:r w:rsidR="00573BA7">
        <w:t xml:space="preserve"> </w:t>
      </w:r>
      <w:r>
        <w:t>authorities</w:t>
      </w:r>
      <w:r w:rsidR="00573BA7">
        <w:t xml:space="preserve"> </w:t>
      </w:r>
      <w:r>
        <w:t>and</w:t>
      </w:r>
      <w:r w:rsidR="00573BA7">
        <w:t xml:space="preserve"> </w:t>
      </w:r>
      <w:r>
        <w:t>institutions</w:t>
      </w:r>
      <w:r w:rsidR="00573BA7">
        <w:t xml:space="preserve"> </w:t>
      </w:r>
      <w:r>
        <w:t>act</w:t>
      </w:r>
      <w:r w:rsidR="00573BA7">
        <w:t xml:space="preserve"> </w:t>
      </w:r>
      <w:r>
        <w:t>in</w:t>
      </w:r>
      <w:r w:rsidR="00573BA7">
        <w:t xml:space="preserve"> </w:t>
      </w:r>
      <w:r>
        <w:t>conformity</w:t>
      </w:r>
      <w:r w:rsidR="00573BA7">
        <w:t xml:space="preserve"> </w:t>
      </w:r>
      <w:r>
        <w:t>with</w:t>
      </w:r>
      <w:r w:rsidR="00573BA7">
        <w:t xml:space="preserve"> </w:t>
      </w:r>
      <w:r>
        <w:t>the</w:t>
      </w:r>
      <w:r w:rsidR="00573BA7">
        <w:t xml:space="preserve"> </w:t>
      </w:r>
      <w:r w:rsidR="002F577C">
        <w:t>CRPD</w:t>
      </w:r>
      <w:r w:rsidR="00573BA7">
        <w:t xml:space="preserve"> </w:t>
      </w:r>
    </w:p>
    <w:p w14:paraId="34916AFC" w14:textId="057603B1" w:rsidR="00C57B44" w:rsidRDefault="00C57B44" w:rsidP="00DA2A0A">
      <w:pPr>
        <w:pStyle w:val="ListParagraph"/>
        <w:numPr>
          <w:ilvl w:val="1"/>
          <w:numId w:val="58"/>
        </w:numPr>
      </w:pPr>
      <w:r>
        <w:t>take</w:t>
      </w:r>
      <w:r w:rsidR="00573BA7">
        <w:t xml:space="preserve"> </w:t>
      </w:r>
      <w:r>
        <w:t>all</w:t>
      </w:r>
      <w:r w:rsidR="00573BA7">
        <w:t xml:space="preserve"> </w:t>
      </w:r>
      <w:r>
        <w:t>appropriate</w:t>
      </w:r>
      <w:r w:rsidR="00573BA7">
        <w:t xml:space="preserve"> </w:t>
      </w:r>
      <w:r>
        <w:t>measures</w:t>
      </w:r>
      <w:r w:rsidR="00573BA7">
        <w:t xml:space="preserve"> </w:t>
      </w:r>
      <w:r>
        <w:t>to</w:t>
      </w:r>
      <w:r w:rsidR="00573BA7">
        <w:t xml:space="preserve"> </w:t>
      </w:r>
      <w:r>
        <w:t>eliminate</w:t>
      </w:r>
      <w:r w:rsidR="00573BA7">
        <w:t xml:space="preserve"> </w:t>
      </w:r>
      <w:r>
        <w:t>discrimination</w:t>
      </w:r>
      <w:r w:rsidR="00573BA7">
        <w:t xml:space="preserve"> </w:t>
      </w:r>
      <w:r>
        <w:t>on</w:t>
      </w:r>
      <w:r w:rsidR="00573BA7">
        <w:t xml:space="preserve"> </w:t>
      </w:r>
      <w:r>
        <w:t>the</w:t>
      </w:r>
      <w:r w:rsidR="00573BA7">
        <w:t xml:space="preserve"> </w:t>
      </w:r>
      <w:r>
        <w:t>basis</w:t>
      </w:r>
      <w:r w:rsidR="00573BA7">
        <w:t xml:space="preserve"> </w:t>
      </w:r>
      <w:r>
        <w:t>of</w:t>
      </w:r>
      <w:r w:rsidR="00573BA7">
        <w:t xml:space="preserve"> </w:t>
      </w:r>
      <w:r>
        <w:t>disability</w:t>
      </w:r>
      <w:r w:rsidR="00573BA7">
        <w:t xml:space="preserve"> </w:t>
      </w:r>
      <w:r>
        <w:t>by</w:t>
      </w:r>
      <w:r w:rsidR="00573BA7">
        <w:t xml:space="preserve"> </w:t>
      </w:r>
      <w:r>
        <w:t>any</w:t>
      </w:r>
      <w:r w:rsidR="00573BA7">
        <w:t xml:space="preserve"> </w:t>
      </w:r>
      <w:r>
        <w:t>person,</w:t>
      </w:r>
      <w:r w:rsidR="00573BA7">
        <w:t xml:space="preserve"> </w:t>
      </w:r>
      <w:r>
        <w:t>organization</w:t>
      </w:r>
      <w:r w:rsidR="00573BA7">
        <w:t xml:space="preserve"> </w:t>
      </w:r>
      <w:r>
        <w:t>or</w:t>
      </w:r>
      <w:r w:rsidR="00573BA7">
        <w:t xml:space="preserve"> </w:t>
      </w:r>
      <w:r>
        <w:t>private</w:t>
      </w:r>
      <w:r w:rsidR="00573BA7">
        <w:t xml:space="preserve"> </w:t>
      </w:r>
      <w:r>
        <w:t>enterprise</w:t>
      </w:r>
      <w:r w:rsidR="00573BA7">
        <w:t xml:space="preserve"> </w:t>
      </w:r>
    </w:p>
    <w:p w14:paraId="71B69E2E" w14:textId="08C70E3D" w:rsidR="00D63449" w:rsidRDefault="00C57B44" w:rsidP="00DA2A0A">
      <w:pPr>
        <w:pStyle w:val="ListParagraph"/>
        <w:numPr>
          <w:ilvl w:val="1"/>
          <w:numId w:val="58"/>
        </w:numPr>
      </w:pPr>
      <w:r>
        <w:t>undertake</w:t>
      </w:r>
      <w:r w:rsidR="00573BA7">
        <w:t xml:space="preserve"> </w:t>
      </w:r>
      <w:r>
        <w:t>or</w:t>
      </w:r>
      <w:r w:rsidR="00573BA7">
        <w:t xml:space="preserve"> </w:t>
      </w:r>
      <w:r>
        <w:t>promote</w:t>
      </w:r>
      <w:r w:rsidR="00573BA7">
        <w:t xml:space="preserve"> </w:t>
      </w:r>
      <w:r>
        <w:t>research</w:t>
      </w:r>
      <w:r w:rsidR="00573BA7">
        <w:t xml:space="preserve"> </w:t>
      </w:r>
      <w:r>
        <w:t>and</w:t>
      </w:r>
      <w:r w:rsidR="00573BA7">
        <w:t xml:space="preserve"> </w:t>
      </w:r>
      <w:r>
        <w:t>development</w:t>
      </w:r>
      <w:r w:rsidR="00573BA7">
        <w:t xml:space="preserve"> </w:t>
      </w:r>
      <w:r w:rsidR="003E6FBB">
        <w:t>of</w:t>
      </w:r>
      <w:r w:rsidR="00573BA7">
        <w:t xml:space="preserve"> </w:t>
      </w:r>
      <w:r>
        <w:t>goods,</w:t>
      </w:r>
      <w:r w:rsidR="00573BA7">
        <w:t xml:space="preserve"> </w:t>
      </w:r>
      <w:r>
        <w:t>services,</w:t>
      </w:r>
      <w:r w:rsidR="00573BA7">
        <w:t xml:space="preserve"> </w:t>
      </w:r>
      <w:r>
        <w:t>equipment</w:t>
      </w:r>
      <w:r w:rsidR="00573BA7">
        <w:t xml:space="preserve"> </w:t>
      </w:r>
      <w:r>
        <w:t>and</w:t>
      </w:r>
      <w:r w:rsidR="00573BA7">
        <w:t xml:space="preserve"> </w:t>
      </w:r>
      <w:r>
        <w:t>facilities</w:t>
      </w:r>
      <w:r w:rsidR="00573BA7">
        <w:t xml:space="preserve"> </w:t>
      </w:r>
      <w:r w:rsidR="00C21D38">
        <w:t>that</w:t>
      </w:r>
      <w:r w:rsidR="00573BA7">
        <w:t xml:space="preserve"> </w:t>
      </w:r>
      <w:r w:rsidR="00C21D38">
        <w:t>are</w:t>
      </w:r>
      <w:r w:rsidR="00573BA7">
        <w:t xml:space="preserve"> </w:t>
      </w:r>
      <w:r w:rsidR="00D90AB3">
        <w:t>universally</w:t>
      </w:r>
      <w:r w:rsidR="00573BA7">
        <w:t xml:space="preserve"> </w:t>
      </w:r>
      <w:r w:rsidR="00D90AB3">
        <w:t>designed</w:t>
      </w:r>
      <w:r w:rsidR="00573BA7">
        <w:t xml:space="preserve"> </w:t>
      </w:r>
      <w:r w:rsidR="00D90AB3">
        <w:t>(that</w:t>
      </w:r>
      <w:r w:rsidR="00573BA7">
        <w:t xml:space="preserve"> </w:t>
      </w:r>
      <w:r w:rsidR="00D90AB3">
        <w:t>is,</w:t>
      </w:r>
      <w:r w:rsidR="00573BA7">
        <w:t xml:space="preserve"> </w:t>
      </w:r>
      <w:r w:rsidR="00C21D38">
        <w:t>usable</w:t>
      </w:r>
      <w:r w:rsidR="00573BA7">
        <w:t xml:space="preserve"> </w:t>
      </w:r>
      <w:r w:rsidR="00C21D38">
        <w:t>by</w:t>
      </w:r>
      <w:r w:rsidR="00573BA7">
        <w:t xml:space="preserve"> </w:t>
      </w:r>
      <w:r w:rsidR="00C21D38">
        <w:t>all</w:t>
      </w:r>
      <w:r w:rsidR="00573BA7">
        <w:t xml:space="preserve"> </w:t>
      </w:r>
      <w:r w:rsidR="00C21D38">
        <w:t>people</w:t>
      </w:r>
      <w:r w:rsidR="00573BA7">
        <w:t xml:space="preserve"> </w:t>
      </w:r>
      <w:r w:rsidR="003E6FBB">
        <w:t>and</w:t>
      </w:r>
      <w:r w:rsidR="00573BA7">
        <w:t xml:space="preserve"> </w:t>
      </w:r>
      <w:r>
        <w:t>which</w:t>
      </w:r>
      <w:r w:rsidR="00573BA7">
        <w:t xml:space="preserve"> </w:t>
      </w:r>
      <w:r>
        <w:t>require</w:t>
      </w:r>
      <w:r w:rsidR="00573BA7">
        <w:t xml:space="preserve"> </w:t>
      </w:r>
      <w:r>
        <w:t>the</w:t>
      </w:r>
      <w:r w:rsidR="00573BA7">
        <w:t xml:space="preserve"> </w:t>
      </w:r>
      <w:r>
        <w:t>minimum</w:t>
      </w:r>
      <w:r w:rsidR="00573BA7">
        <w:t xml:space="preserve"> </w:t>
      </w:r>
      <w:r>
        <w:t>possible</w:t>
      </w:r>
      <w:r w:rsidR="00573BA7">
        <w:t xml:space="preserve"> </w:t>
      </w:r>
      <w:r>
        <w:t>adaptation</w:t>
      </w:r>
      <w:r w:rsidR="00573BA7">
        <w:t xml:space="preserve"> </w:t>
      </w:r>
      <w:r>
        <w:t>and</w:t>
      </w:r>
      <w:r w:rsidR="00573BA7">
        <w:t xml:space="preserve"> </w:t>
      </w:r>
      <w:r>
        <w:t>the</w:t>
      </w:r>
      <w:r w:rsidR="00573BA7">
        <w:t xml:space="preserve"> </w:t>
      </w:r>
      <w:r>
        <w:t>least</w:t>
      </w:r>
      <w:r w:rsidR="00573BA7">
        <w:t xml:space="preserve"> </w:t>
      </w:r>
      <w:r>
        <w:t>cost</w:t>
      </w:r>
      <w:r w:rsidR="00573BA7">
        <w:t xml:space="preserve"> </w:t>
      </w:r>
      <w:r>
        <w:t>to</w:t>
      </w:r>
      <w:r w:rsidR="00573BA7">
        <w:t xml:space="preserve"> </w:t>
      </w:r>
      <w:r>
        <w:t>meet</w:t>
      </w:r>
      <w:r w:rsidR="00573BA7">
        <w:t xml:space="preserve"> </w:t>
      </w:r>
      <w:r>
        <w:t>the</w:t>
      </w:r>
      <w:r w:rsidR="00573BA7">
        <w:t xml:space="preserve"> </w:t>
      </w:r>
      <w:r>
        <w:t>specific</w:t>
      </w:r>
      <w:r w:rsidR="00573BA7">
        <w:t xml:space="preserve"> </w:t>
      </w:r>
      <w:r>
        <w:t>needs</w:t>
      </w:r>
      <w:r w:rsidR="00573BA7">
        <w:t xml:space="preserve"> </w:t>
      </w:r>
      <w:r>
        <w:t>of</w:t>
      </w:r>
      <w:r w:rsidR="00573BA7">
        <w:t xml:space="preserve"> </w:t>
      </w:r>
      <w:r w:rsidR="007F5BA4">
        <w:t>people</w:t>
      </w:r>
      <w:r w:rsidR="00573BA7">
        <w:t xml:space="preserve"> </w:t>
      </w:r>
      <w:r w:rsidR="007F5BA4">
        <w:lastRenderedPageBreak/>
        <w:t>with</w:t>
      </w:r>
      <w:r w:rsidR="00573BA7">
        <w:t xml:space="preserve"> </w:t>
      </w:r>
      <w:r w:rsidR="007F5BA4">
        <w:t>disability</w:t>
      </w:r>
      <w:r w:rsidR="00914414">
        <w:t>)</w:t>
      </w:r>
      <w:r>
        <w:t>,</w:t>
      </w:r>
      <w:r w:rsidR="00573BA7">
        <w:t xml:space="preserve"> </w:t>
      </w:r>
      <w:r>
        <w:t>promote</w:t>
      </w:r>
      <w:r w:rsidR="00573BA7">
        <w:t xml:space="preserve"> </w:t>
      </w:r>
      <w:r>
        <w:t>their</w:t>
      </w:r>
      <w:r w:rsidR="00573BA7">
        <w:t xml:space="preserve"> </w:t>
      </w:r>
      <w:r>
        <w:t>availability</w:t>
      </w:r>
      <w:r w:rsidR="00573BA7">
        <w:t xml:space="preserve"> </w:t>
      </w:r>
      <w:r>
        <w:t>and</w:t>
      </w:r>
      <w:r w:rsidR="00573BA7">
        <w:t xml:space="preserve"> </w:t>
      </w:r>
      <w:r>
        <w:t>use,</w:t>
      </w:r>
      <w:r w:rsidR="00573BA7">
        <w:t xml:space="preserve"> </w:t>
      </w:r>
      <w:r>
        <w:t>and</w:t>
      </w:r>
      <w:r w:rsidR="00573BA7">
        <w:t xml:space="preserve"> </w:t>
      </w:r>
      <w:r>
        <w:t>promote</w:t>
      </w:r>
      <w:r w:rsidR="00573BA7">
        <w:t xml:space="preserve"> </w:t>
      </w:r>
      <w:r>
        <w:t>universal</w:t>
      </w:r>
      <w:r w:rsidR="00573BA7">
        <w:t xml:space="preserve"> </w:t>
      </w:r>
      <w:r>
        <w:t>design</w:t>
      </w:r>
      <w:r w:rsidR="00573BA7">
        <w:t xml:space="preserve"> </w:t>
      </w:r>
      <w:r>
        <w:t>in</w:t>
      </w:r>
      <w:r w:rsidR="00573BA7">
        <w:t xml:space="preserve"> </w:t>
      </w:r>
      <w:r>
        <w:t>the</w:t>
      </w:r>
      <w:r w:rsidR="00573BA7">
        <w:t xml:space="preserve"> </w:t>
      </w:r>
      <w:r>
        <w:t>development</w:t>
      </w:r>
      <w:r w:rsidR="00573BA7">
        <w:t xml:space="preserve"> </w:t>
      </w:r>
      <w:r>
        <w:t>of</w:t>
      </w:r>
      <w:r w:rsidR="00573BA7">
        <w:t xml:space="preserve"> </w:t>
      </w:r>
      <w:r>
        <w:t>standards</w:t>
      </w:r>
      <w:r w:rsidR="00573BA7">
        <w:t xml:space="preserve"> </w:t>
      </w:r>
      <w:r>
        <w:t>and</w:t>
      </w:r>
      <w:r w:rsidR="00573BA7">
        <w:t xml:space="preserve"> </w:t>
      </w:r>
      <w:r>
        <w:t>guidelines</w:t>
      </w:r>
      <w:r w:rsidR="00573BA7">
        <w:t xml:space="preserve"> </w:t>
      </w:r>
    </w:p>
    <w:p w14:paraId="1B12452B" w14:textId="6F361131" w:rsidR="00D63449" w:rsidRDefault="00C57B44" w:rsidP="00DA2A0A">
      <w:pPr>
        <w:pStyle w:val="ListParagraph"/>
        <w:numPr>
          <w:ilvl w:val="1"/>
          <w:numId w:val="58"/>
        </w:numPr>
      </w:pPr>
      <w:r>
        <w:t>undertake</w:t>
      </w:r>
      <w:r w:rsidR="00573BA7">
        <w:t xml:space="preserve"> </w:t>
      </w:r>
      <w:r>
        <w:t>or</w:t>
      </w:r>
      <w:r w:rsidR="00573BA7">
        <w:t xml:space="preserve"> </w:t>
      </w:r>
      <w:r>
        <w:t>promote</w:t>
      </w:r>
      <w:r w:rsidR="00573BA7">
        <w:t xml:space="preserve"> </w:t>
      </w:r>
      <w:r>
        <w:t>research</w:t>
      </w:r>
      <w:r w:rsidR="00573BA7">
        <w:t xml:space="preserve"> </w:t>
      </w:r>
      <w:r>
        <w:t>and</w:t>
      </w:r>
      <w:r w:rsidR="00573BA7">
        <w:t xml:space="preserve"> </w:t>
      </w:r>
      <w:r>
        <w:t>development</w:t>
      </w:r>
      <w:r w:rsidR="00573BA7">
        <w:t xml:space="preserve"> </w:t>
      </w:r>
      <w:r>
        <w:t>of,</w:t>
      </w:r>
      <w:r w:rsidR="00573BA7">
        <w:t xml:space="preserve"> </w:t>
      </w:r>
      <w:r>
        <w:t>and</w:t>
      </w:r>
      <w:r w:rsidR="00573BA7">
        <w:t xml:space="preserve"> </w:t>
      </w:r>
      <w:r>
        <w:t>promote</w:t>
      </w:r>
      <w:r w:rsidR="00573BA7">
        <w:t xml:space="preserve"> </w:t>
      </w:r>
      <w:r>
        <w:t>the</w:t>
      </w:r>
      <w:r w:rsidR="00573BA7">
        <w:t xml:space="preserve"> </w:t>
      </w:r>
      <w:r>
        <w:t>availability</w:t>
      </w:r>
      <w:r w:rsidR="00573BA7">
        <w:t xml:space="preserve"> </w:t>
      </w:r>
      <w:r>
        <w:t>and</w:t>
      </w:r>
      <w:r w:rsidR="00573BA7">
        <w:t xml:space="preserve"> </w:t>
      </w:r>
      <w:r>
        <w:t>use</w:t>
      </w:r>
      <w:r w:rsidR="00573BA7">
        <w:t xml:space="preserve"> </w:t>
      </w:r>
      <w:r>
        <w:t>of</w:t>
      </w:r>
      <w:r w:rsidR="00573BA7">
        <w:t xml:space="preserve"> </w:t>
      </w:r>
      <w:r>
        <w:t>new</w:t>
      </w:r>
      <w:r w:rsidR="00573BA7">
        <w:t xml:space="preserve"> </w:t>
      </w:r>
      <w:r>
        <w:t>technologies,</w:t>
      </w:r>
      <w:r w:rsidR="00573BA7">
        <w:t xml:space="preserve"> </w:t>
      </w:r>
      <w:r>
        <w:t>including</w:t>
      </w:r>
      <w:r w:rsidR="00573BA7">
        <w:t xml:space="preserve"> </w:t>
      </w:r>
      <w:r>
        <w:t>information</w:t>
      </w:r>
      <w:r w:rsidR="00573BA7">
        <w:t xml:space="preserve"> </w:t>
      </w:r>
      <w:r>
        <w:t>and</w:t>
      </w:r>
      <w:r w:rsidR="00573BA7">
        <w:t xml:space="preserve"> </w:t>
      </w:r>
      <w:r>
        <w:t>communications</w:t>
      </w:r>
      <w:r w:rsidR="00573BA7">
        <w:t xml:space="preserve"> </w:t>
      </w:r>
      <w:r>
        <w:t>technologies,</w:t>
      </w:r>
      <w:r w:rsidR="00573BA7">
        <w:t xml:space="preserve"> </w:t>
      </w:r>
      <w:r>
        <w:t>mobility</w:t>
      </w:r>
      <w:r w:rsidR="00573BA7">
        <w:t xml:space="preserve"> </w:t>
      </w:r>
      <w:r>
        <w:t>aids,</w:t>
      </w:r>
      <w:r w:rsidR="00573BA7">
        <w:t xml:space="preserve"> </w:t>
      </w:r>
      <w:r>
        <w:t>devices</w:t>
      </w:r>
      <w:r w:rsidR="00573BA7">
        <w:t xml:space="preserve"> </w:t>
      </w:r>
      <w:r>
        <w:t>and</w:t>
      </w:r>
      <w:r w:rsidR="00573BA7">
        <w:t xml:space="preserve"> </w:t>
      </w:r>
      <w:r>
        <w:t>assistive</w:t>
      </w:r>
      <w:r w:rsidR="00573BA7">
        <w:t xml:space="preserve"> </w:t>
      </w:r>
      <w:r>
        <w:t>technologies,</w:t>
      </w:r>
      <w:r w:rsidR="00573BA7">
        <w:t xml:space="preserve"> </w:t>
      </w:r>
      <w:r>
        <w:t>suitable</w:t>
      </w:r>
      <w:r w:rsidR="00573BA7">
        <w:t xml:space="preserve"> </w:t>
      </w:r>
      <w:r>
        <w:t>for</w:t>
      </w:r>
      <w:r w:rsidR="00573BA7">
        <w:t xml:space="preserve"> </w:t>
      </w:r>
      <w:r w:rsidR="007F5BA4">
        <w:t>people</w:t>
      </w:r>
      <w:r w:rsidR="00573BA7">
        <w:t xml:space="preserve"> </w:t>
      </w:r>
      <w:r w:rsidR="007F5BA4">
        <w:t>with</w:t>
      </w:r>
      <w:r w:rsidR="00573BA7">
        <w:t xml:space="preserve"> </w:t>
      </w:r>
      <w:r w:rsidR="007F5BA4">
        <w:t>disability</w:t>
      </w:r>
      <w:r>
        <w:t>,</w:t>
      </w:r>
      <w:r w:rsidR="00573BA7">
        <w:t xml:space="preserve"> </w:t>
      </w:r>
      <w:r>
        <w:t>giving</w:t>
      </w:r>
      <w:r w:rsidR="00573BA7">
        <w:t xml:space="preserve"> </w:t>
      </w:r>
      <w:r>
        <w:t>priority</w:t>
      </w:r>
      <w:r w:rsidR="00573BA7">
        <w:t xml:space="preserve"> </w:t>
      </w:r>
      <w:r>
        <w:t>to</w:t>
      </w:r>
      <w:r w:rsidR="00573BA7">
        <w:t xml:space="preserve"> </w:t>
      </w:r>
      <w:r>
        <w:t>technologies</w:t>
      </w:r>
      <w:r w:rsidR="00573BA7">
        <w:t xml:space="preserve"> </w:t>
      </w:r>
      <w:r>
        <w:t>at</w:t>
      </w:r>
      <w:r w:rsidR="00573BA7">
        <w:t xml:space="preserve"> </w:t>
      </w:r>
      <w:r>
        <w:t>an</w:t>
      </w:r>
      <w:r w:rsidR="00573BA7">
        <w:t xml:space="preserve"> </w:t>
      </w:r>
      <w:r>
        <w:t>affordable</w:t>
      </w:r>
      <w:r w:rsidR="00573BA7">
        <w:t xml:space="preserve"> </w:t>
      </w:r>
      <w:r>
        <w:t>cost</w:t>
      </w:r>
      <w:r w:rsidR="00573BA7">
        <w:t xml:space="preserve"> </w:t>
      </w:r>
    </w:p>
    <w:p w14:paraId="7EB636C0" w14:textId="083E68D5" w:rsidR="00D63449" w:rsidRDefault="00C57B44" w:rsidP="00DA2A0A">
      <w:pPr>
        <w:pStyle w:val="ListParagraph"/>
        <w:numPr>
          <w:ilvl w:val="1"/>
          <w:numId w:val="58"/>
        </w:numPr>
      </w:pPr>
      <w:r>
        <w:t>provide</w:t>
      </w:r>
      <w:r w:rsidR="00573BA7">
        <w:t xml:space="preserve"> </w:t>
      </w:r>
      <w:r>
        <w:t>accessible</w:t>
      </w:r>
      <w:r w:rsidR="00573BA7">
        <w:t xml:space="preserve"> </w:t>
      </w:r>
      <w:r>
        <w:t>information</w:t>
      </w:r>
      <w:r w:rsidR="00573BA7">
        <w:t xml:space="preserve"> </w:t>
      </w:r>
      <w:r>
        <w:t>to</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t>about</w:t>
      </w:r>
      <w:r w:rsidR="00573BA7">
        <w:t xml:space="preserve"> </w:t>
      </w:r>
      <w:r>
        <w:t>mobility</w:t>
      </w:r>
      <w:r w:rsidR="00573BA7">
        <w:t xml:space="preserve"> </w:t>
      </w:r>
      <w:r>
        <w:t>aids,</w:t>
      </w:r>
      <w:r w:rsidR="00573BA7">
        <w:t xml:space="preserve"> </w:t>
      </w:r>
      <w:r>
        <w:t>devices</w:t>
      </w:r>
      <w:r w:rsidR="00573BA7">
        <w:t xml:space="preserve"> </w:t>
      </w:r>
      <w:r>
        <w:t>and</w:t>
      </w:r>
      <w:r w:rsidR="00573BA7">
        <w:t xml:space="preserve"> </w:t>
      </w:r>
      <w:r>
        <w:t>assistive</w:t>
      </w:r>
      <w:r w:rsidR="00573BA7">
        <w:t xml:space="preserve"> </w:t>
      </w:r>
      <w:r>
        <w:t>technologies,</w:t>
      </w:r>
      <w:r w:rsidR="00573BA7">
        <w:t xml:space="preserve"> </w:t>
      </w:r>
      <w:r>
        <w:t>including</w:t>
      </w:r>
      <w:r w:rsidR="00573BA7">
        <w:t xml:space="preserve"> </w:t>
      </w:r>
      <w:r>
        <w:t>new</w:t>
      </w:r>
      <w:r w:rsidR="00573BA7">
        <w:t xml:space="preserve"> </w:t>
      </w:r>
      <w:r>
        <w:t>technologies,</w:t>
      </w:r>
      <w:r w:rsidR="00573BA7">
        <w:t xml:space="preserve"> </w:t>
      </w:r>
      <w:r>
        <w:t>as</w:t>
      </w:r>
      <w:r w:rsidR="00573BA7">
        <w:t xml:space="preserve"> </w:t>
      </w:r>
      <w:r>
        <w:t>well</w:t>
      </w:r>
      <w:r w:rsidR="00573BA7">
        <w:t xml:space="preserve"> </w:t>
      </w:r>
      <w:r>
        <w:t>as</w:t>
      </w:r>
      <w:r w:rsidR="00573BA7">
        <w:t xml:space="preserve"> </w:t>
      </w:r>
      <w:r>
        <w:t>other</w:t>
      </w:r>
      <w:r w:rsidR="00573BA7">
        <w:t xml:space="preserve"> </w:t>
      </w:r>
      <w:r>
        <w:t>forms</w:t>
      </w:r>
      <w:r w:rsidR="00573BA7">
        <w:t xml:space="preserve"> </w:t>
      </w:r>
      <w:r>
        <w:t>of</w:t>
      </w:r>
      <w:r w:rsidR="00573BA7">
        <w:t xml:space="preserve"> </w:t>
      </w:r>
      <w:r>
        <w:t>assistance,</w:t>
      </w:r>
      <w:r w:rsidR="00573BA7">
        <w:t xml:space="preserve"> </w:t>
      </w:r>
      <w:r>
        <w:t>support</w:t>
      </w:r>
      <w:r w:rsidR="00573BA7">
        <w:t xml:space="preserve"> </w:t>
      </w:r>
      <w:r>
        <w:t>services</w:t>
      </w:r>
      <w:r w:rsidR="00573BA7">
        <w:t xml:space="preserve"> </w:t>
      </w:r>
      <w:r>
        <w:t>and</w:t>
      </w:r>
      <w:r w:rsidR="00573BA7">
        <w:t xml:space="preserve"> </w:t>
      </w:r>
      <w:r>
        <w:t>facilities</w:t>
      </w:r>
      <w:r w:rsidR="00573BA7">
        <w:t xml:space="preserve"> </w:t>
      </w:r>
    </w:p>
    <w:p w14:paraId="46A914B9" w14:textId="65A1C55D" w:rsidR="00F93CB9" w:rsidRPr="00A54D4F" w:rsidRDefault="00C57B44" w:rsidP="00DA2A0A">
      <w:pPr>
        <w:pStyle w:val="ListParagraph"/>
        <w:numPr>
          <w:ilvl w:val="1"/>
          <w:numId w:val="58"/>
        </w:numPr>
      </w:pPr>
      <w:r>
        <w:t>promote</w:t>
      </w:r>
      <w:r w:rsidR="00573BA7">
        <w:t xml:space="preserve"> </w:t>
      </w:r>
      <w:r>
        <w:t>the</w:t>
      </w:r>
      <w:r w:rsidR="00573BA7">
        <w:t xml:space="preserve"> </w:t>
      </w:r>
      <w:r>
        <w:t>training</w:t>
      </w:r>
      <w:r w:rsidR="00573BA7">
        <w:t xml:space="preserve"> </w:t>
      </w:r>
      <w:r>
        <w:t>of</w:t>
      </w:r>
      <w:r w:rsidR="00573BA7">
        <w:t xml:space="preserve"> </w:t>
      </w:r>
      <w:r>
        <w:t>professionals</w:t>
      </w:r>
      <w:r w:rsidR="00573BA7">
        <w:t xml:space="preserve"> </w:t>
      </w:r>
      <w:r>
        <w:t>and</w:t>
      </w:r>
      <w:r w:rsidR="00573BA7">
        <w:t xml:space="preserve"> </w:t>
      </w:r>
      <w:r>
        <w:t>staff</w:t>
      </w:r>
      <w:r w:rsidR="00573BA7">
        <w:t xml:space="preserve"> </w:t>
      </w:r>
      <w:r>
        <w:t>working</w:t>
      </w:r>
      <w:r w:rsidR="00573BA7">
        <w:t xml:space="preserve"> </w:t>
      </w:r>
      <w:r>
        <w:t>with</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t>in</w:t>
      </w:r>
      <w:r w:rsidR="00573BA7">
        <w:t xml:space="preserve"> </w:t>
      </w:r>
      <w:r>
        <w:t>the</w:t>
      </w:r>
      <w:r w:rsidR="00573BA7">
        <w:t xml:space="preserve"> </w:t>
      </w:r>
      <w:r>
        <w:t>rights</w:t>
      </w:r>
      <w:r w:rsidR="00573BA7">
        <w:t xml:space="preserve"> </w:t>
      </w:r>
      <w:r>
        <w:t>recogni</w:t>
      </w:r>
      <w:r w:rsidR="0070623A">
        <w:t>s</w:t>
      </w:r>
      <w:r>
        <w:t>ed</w:t>
      </w:r>
      <w:r w:rsidR="00573BA7">
        <w:t xml:space="preserve"> </w:t>
      </w:r>
      <w:r>
        <w:t>in</w:t>
      </w:r>
      <w:r w:rsidR="00573BA7">
        <w:t xml:space="preserve"> </w:t>
      </w:r>
      <w:r>
        <w:t>the</w:t>
      </w:r>
      <w:r w:rsidR="00573BA7">
        <w:t xml:space="preserve"> </w:t>
      </w:r>
      <w:r w:rsidR="0070623A">
        <w:t>CRPD</w:t>
      </w:r>
      <w:r w:rsidR="00573BA7">
        <w:t xml:space="preserve"> </w:t>
      </w:r>
      <w:r>
        <w:t>so</w:t>
      </w:r>
      <w:r w:rsidR="00573BA7">
        <w:t xml:space="preserve"> </w:t>
      </w:r>
      <w:r>
        <w:t>as</w:t>
      </w:r>
      <w:r w:rsidR="00573BA7">
        <w:t xml:space="preserve"> </w:t>
      </w:r>
      <w:r>
        <w:t>to</w:t>
      </w:r>
      <w:r w:rsidR="00573BA7">
        <w:t xml:space="preserve"> </w:t>
      </w:r>
      <w:r>
        <w:t>better</w:t>
      </w:r>
      <w:r w:rsidR="00573BA7">
        <w:t xml:space="preserve"> </w:t>
      </w:r>
      <w:r>
        <w:t>provide</w:t>
      </w:r>
      <w:r w:rsidR="00573BA7">
        <w:t xml:space="preserve"> </w:t>
      </w:r>
      <w:r>
        <w:t>the</w:t>
      </w:r>
      <w:r w:rsidR="00573BA7">
        <w:t xml:space="preserve"> </w:t>
      </w:r>
      <w:r>
        <w:t>assistance</w:t>
      </w:r>
      <w:r w:rsidR="00573BA7">
        <w:t xml:space="preserve"> </w:t>
      </w:r>
      <w:r>
        <w:t>and</w:t>
      </w:r>
      <w:r w:rsidR="00573BA7">
        <w:t xml:space="preserve"> </w:t>
      </w:r>
      <w:r>
        <w:t>services</w:t>
      </w:r>
      <w:r w:rsidR="00573BA7">
        <w:t xml:space="preserve"> </w:t>
      </w:r>
      <w:r>
        <w:t>guaranteed</w:t>
      </w:r>
      <w:r w:rsidR="00573BA7">
        <w:t xml:space="preserve"> </w:t>
      </w:r>
      <w:r>
        <w:t>by</w:t>
      </w:r>
      <w:r w:rsidR="00573BA7">
        <w:t xml:space="preserve"> </w:t>
      </w:r>
      <w:r>
        <w:t>those</w:t>
      </w:r>
      <w:r w:rsidR="00573BA7">
        <w:t xml:space="preserve"> </w:t>
      </w:r>
      <w:r>
        <w:t>rights.</w:t>
      </w:r>
    </w:p>
    <w:p w14:paraId="51FF0EFE" w14:textId="74056692" w:rsidR="00F24BF9" w:rsidRDefault="00F24BF9" w:rsidP="00DA2A0A">
      <w:pPr>
        <w:pStyle w:val="ListParagraph"/>
        <w:numPr>
          <w:ilvl w:val="0"/>
          <w:numId w:val="58"/>
        </w:numPr>
      </w:pPr>
      <w:r>
        <w:t>The</w:t>
      </w:r>
      <w:r w:rsidR="00573BA7">
        <w:t xml:space="preserve"> </w:t>
      </w:r>
      <w:r>
        <w:t>general</w:t>
      </w:r>
      <w:r w:rsidR="00573BA7">
        <w:t xml:space="preserve"> </w:t>
      </w:r>
      <w:r>
        <w:t>obligations</w:t>
      </w:r>
      <w:r w:rsidR="00573BA7">
        <w:t xml:space="preserve"> </w:t>
      </w:r>
      <w:r>
        <w:t>set</w:t>
      </w:r>
      <w:r w:rsidR="00573BA7">
        <w:t xml:space="preserve"> </w:t>
      </w:r>
      <w:r>
        <w:t>out</w:t>
      </w:r>
      <w:r w:rsidR="00573BA7">
        <w:t xml:space="preserve"> </w:t>
      </w:r>
      <w:r>
        <w:t>in</w:t>
      </w:r>
      <w:r w:rsidR="00573BA7">
        <w:t xml:space="preserve"> </w:t>
      </w:r>
      <w:r>
        <w:t>Article</w:t>
      </w:r>
      <w:r w:rsidR="00573BA7">
        <w:t xml:space="preserve"> </w:t>
      </w:r>
      <w:r>
        <w:t>4</w:t>
      </w:r>
      <w:r w:rsidR="00573BA7">
        <w:t xml:space="preserve"> </w:t>
      </w:r>
      <w:r>
        <w:t>of</w:t>
      </w:r>
      <w:r w:rsidR="00573BA7">
        <w:t xml:space="preserve"> </w:t>
      </w:r>
      <w:r>
        <w:t>the</w:t>
      </w:r>
      <w:r w:rsidR="00573BA7">
        <w:t xml:space="preserve"> </w:t>
      </w:r>
      <w:r>
        <w:t>CRPD</w:t>
      </w:r>
      <w:r w:rsidR="00573BA7">
        <w:t xml:space="preserve"> </w:t>
      </w:r>
      <w:r>
        <w:t>are</w:t>
      </w:r>
      <w:r w:rsidR="00573BA7">
        <w:t xml:space="preserve"> </w:t>
      </w:r>
      <w:r>
        <w:t>consistent</w:t>
      </w:r>
      <w:r w:rsidR="00573BA7">
        <w:t xml:space="preserve"> </w:t>
      </w:r>
      <w:r>
        <w:t>with</w:t>
      </w:r>
      <w:r w:rsidR="00573BA7">
        <w:t xml:space="preserve"> </w:t>
      </w:r>
      <w:r>
        <w:t>the</w:t>
      </w:r>
      <w:r w:rsidR="00573BA7">
        <w:t xml:space="preserve"> </w:t>
      </w:r>
      <w:r>
        <w:t>obligations</w:t>
      </w:r>
      <w:r w:rsidR="00573BA7">
        <w:t xml:space="preserve"> </w:t>
      </w:r>
      <w:r w:rsidR="00F966B2">
        <w:t>imposed</w:t>
      </w:r>
      <w:r w:rsidR="00573BA7">
        <w:t xml:space="preserve"> </w:t>
      </w:r>
      <w:r w:rsidR="00F966B2">
        <w:t>by</w:t>
      </w:r>
      <w:r w:rsidR="00573BA7">
        <w:t xml:space="preserve"> </w:t>
      </w:r>
      <w:r w:rsidR="00F966B2">
        <w:t>other</w:t>
      </w:r>
      <w:r w:rsidR="00573BA7">
        <w:t xml:space="preserve"> </w:t>
      </w:r>
      <w:r w:rsidR="00F966B2">
        <w:t>international</w:t>
      </w:r>
      <w:r w:rsidR="00573BA7">
        <w:t xml:space="preserve"> </w:t>
      </w:r>
      <w:r w:rsidR="00F966B2">
        <w:t>human</w:t>
      </w:r>
      <w:r w:rsidR="00573BA7">
        <w:t xml:space="preserve"> </w:t>
      </w:r>
      <w:r w:rsidR="00F966B2">
        <w:t>rights</w:t>
      </w:r>
      <w:r w:rsidR="00573BA7">
        <w:t xml:space="preserve"> </w:t>
      </w:r>
      <w:r w:rsidR="00F966B2">
        <w:t>law</w:t>
      </w:r>
      <w:r w:rsidR="00573BA7">
        <w:t xml:space="preserve"> </w:t>
      </w:r>
      <w:r w:rsidR="00F966B2">
        <w:t>instruments</w:t>
      </w:r>
      <w:r w:rsidR="00573BA7">
        <w:t xml:space="preserve"> </w:t>
      </w:r>
      <w:r w:rsidR="00D06BAF">
        <w:t>on</w:t>
      </w:r>
      <w:r w:rsidR="00573BA7">
        <w:t xml:space="preserve"> </w:t>
      </w:r>
      <w:r w:rsidR="00D06BAF">
        <w:t>States</w:t>
      </w:r>
      <w:r w:rsidR="00573BA7">
        <w:t xml:space="preserve"> </w:t>
      </w:r>
      <w:r w:rsidR="00D06BAF">
        <w:t>Parties.</w:t>
      </w:r>
      <w:r w:rsidR="0004213C">
        <w:rPr>
          <w:rStyle w:val="EndnoteReference"/>
        </w:rPr>
        <w:endnoteReference w:id="57"/>
      </w:r>
    </w:p>
    <w:p w14:paraId="46EB2A53" w14:textId="3057AFA5" w:rsidR="006D4669" w:rsidRDefault="00573BA7" w:rsidP="00DA2A0A">
      <w:pPr>
        <w:pStyle w:val="ListParagraph"/>
        <w:numPr>
          <w:ilvl w:val="0"/>
          <w:numId w:val="58"/>
        </w:numPr>
      </w:pPr>
      <w:r>
        <w:t xml:space="preserve"> </w:t>
      </w:r>
      <w:r w:rsidR="00183DBC">
        <w:t>The</w:t>
      </w:r>
      <w:r>
        <w:t xml:space="preserve"> </w:t>
      </w:r>
      <w:r w:rsidR="00183DBC">
        <w:t>following</w:t>
      </w:r>
      <w:r>
        <w:t xml:space="preserve"> </w:t>
      </w:r>
      <w:r w:rsidR="005C200B">
        <w:t>section</w:t>
      </w:r>
      <w:r>
        <w:t xml:space="preserve"> </w:t>
      </w:r>
      <w:r w:rsidR="00183DBC">
        <w:t>examines</w:t>
      </w:r>
      <w:r>
        <w:t xml:space="preserve"> </w:t>
      </w:r>
      <w:r w:rsidR="008B33F9">
        <w:t>Australia’s</w:t>
      </w:r>
      <w:r>
        <w:t xml:space="preserve"> </w:t>
      </w:r>
      <w:r w:rsidR="00784A01">
        <w:t>specific</w:t>
      </w:r>
      <w:r>
        <w:t xml:space="preserve"> </w:t>
      </w:r>
      <w:r w:rsidR="001D251B">
        <w:t>human</w:t>
      </w:r>
      <w:r>
        <w:t xml:space="preserve"> </w:t>
      </w:r>
      <w:r w:rsidR="001D251B">
        <w:t>rights</w:t>
      </w:r>
      <w:r>
        <w:t xml:space="preserve"> </w:t>
      </w:r>
      <w:r w:rsidR="008B33F9">
        <w:t>obligation</w:t>
      </w:r>
      <w:r w:rsidR="00BB1603">
        <w:t>s</w:t>
      </w:r>
      <w:r>
        <w:t xml:space="preserve"> </w:t>
      </w:r>
      <w:r w:rsidR="001D251B">
        <w:t>as</w:t>
      </w:r>
      <w:r>
        <w:t xml:space="preserve"> </w:t>
      </w:r>
      <w:r w:rsidR="001D251B">
        <w:t>they</w:t>
      </w:r>
      <w:r>
        <w:t xml:space="preserve"> </w:t>
      </w:r>
      <w:r w:rsidR="001D251B">
        <w:t>apply</w:t>
      </w:r>
      <w:r>
        <w:t xml:space="preserve"> </w:t>
      </w:r>
      <w:r w:rsidR="001D251B">
        <w:t>to</w:t>
      </w:r>
      <w:r>
        <w:t xml:space="preserve"> </w:t>
      </w:r>
      <w:r w:rsidR="007F5BA4">
        <w:t>people</w:t>
      </w:r>
      <w:r>
        <w:t xml:space="preserve"> </w:t>
      </w:r>
      <w:r w:rsidR="007F5BA4">
        <w:t>with</w:t>
      </w:r>
      <w:r>
        <w:t xml:space="preserve"> </w:t>
      </w:r>
      <w:r w:rsidR="007F5BA4">
        <w:t>disability</w:t>
      </w:r>
      <w:r>
        <w:t xml:space="preserve"> </w:t>
      </w:r>
      <w:r w:rsidR="006D4669">
        <w:t>in</w:t>
      </w:r>
      <w:r>
        <w:t xml:space="preserve"> </w:t>
      </w:r>
      <w:r w:rsidR="006D4669">
        <w:t>the</w:t>
      </w:r>
      <w:r>
        <w:t xml:space="preserve"> </w:t>
      </w:r>
      <w:r w:rsidR="006D4669">
        <w:t>context</w:t>
      </w:r>
      <w:r>
        <w:t xml:space="preserve"> </w:t>
      </w:r>
      <w:r w:rsidR="006D4669">
        <w:t>of</w:t>
      </w:r>
      <w:r>
        <w:t xml:space="preserve"> </w:t>
      </w:r>
      <w:r w:rsidR="006D4669">
        <w:t>employment.</w:t>
      </w:r>
    </w:p>
    <w:p w14:paraId="22A8B30A" w14:textId="3D57CD65" w:rsidR="00AD6938" w:rsidRDefault="00CC6CBB" w:rsidP="0043332A">
      <w:pPr>
        <w:pStyle w:val="Heading2"/>
      </w:pPr>
      <w:bookmarkStart w:id="47" w:name="_Ref50585330"/>
      <w:bookmarkStart w:id="48" w:name="_Toc51834275"/>
      <w:r>
        <w:t>The</w:t>
      </w:r>
      <w:r w:rsidR="00573BA7">
        <w:t xml:space="preserve"> </w:t>
      </w:r>
      <w:r w:rsidR="00ED2F5D">
        <w:t>right</w:t>
      </w:r>
      <w:r w:rsidR="00573BA7">
        <w:t xml:space="preserve"> </w:t>
      </w:r>
      <w:r w:rsidR="00ED2F5D">
        <w:t>to</w:t>
      </w:r>
      <w:r w:rsidR="00573BA7">
        <w:t xml:space="preserve"> </w:t>
      </w:r>
      <w:r w:rsidR="00ED2F5D">
        <w:t>work</w:t>
      </w:r>
      <w:r w:rsidR="00573BA7">
        <w:t xml:space="preserve"> </w:t>
      </w:r>
      <w:r w:rsidR="00ED2F5D">
        <w:t>on</w:t>
      </w:r>
      <w:r w:rsidR="00573BA7">
        <w:t xml:space="preserve"> </w:t>
      </w:r>
      <w:r w:rsidR="00ED2F5D">
        <w:t>an</w:t>
      </w:r>
      <w:r w:rsidR="00573BA7">
        <w:t xml:space="preserve"> </w:t>
      </w:r>
      <w:r w:rsidR="00ED2F5D">
        <w:t>equal</w:t>
      </w:r>
      <w:r w:rsidR="00573BA7">
        <w:t xml:space="preserve"> </w:t>
      </w:r>
      <w:r w:rsidR="00ED2F5D">
        <w:t>basis</w:t>
      </w:r>
      <w:r w:rsidR="00573BA7">
        <w:t xml:space="preserve"> </w:t>
      </w:r>
      <w:r w:rsidR="00ED2F5D">
        <w:t>with</w:t>
      </w:r>
      <w:r w:rsidR="00573BA7">
        <w:t xml:space="preserve"> </w:t>
      </w:r>
      <w:r w:rsidR="00ED2F5D">
        <w:t>others</w:t>
      </w:r>
      <w:bookmarkEnd w:id="47"/>
      <w:bookmarkEnd w:id="48"/>
    </w:p>
    <w:p w14:paraId="70EF54A7" w14:textId="55249E55" w:rsidR="00D4575F" w:rsidRPr="00D56988" w:rsidRDefault="009A05AA" w:rsidP="00DA2A0A">
      <w:pPr>
        <w:pStyle w:val="ListParagraph"/>
        <w:numPr>
          <w:ilvl w:val="0"/>
          <w:numId w:val="58"/>
        </w:numPr>
      </w:pPr>
      <w:r>
        <w:t>Article</w:t>
      </w:r>
      <w:r w:rsidR="00573BA7">
        <w:t xml:space="preserve"> </w:t>
      </w:r>
      <w:r>
        <w:t>27</w:t>
      </w:r>
      <w:r w:rsidR="00573BA7">
        <w:t xml:space="preserve"> </w:t>
      </w:r>
      <w:r>
        <w:t>of</w:t>
      </w:r>
      <w:r w:rsidR="00573BA7">
        <w:t xml:space="preserve"> </w:t>
      </w:r>
      <w:r>
        <w:t>the</w:t>
      </w:r>
      <w:r w:rsidR="00573BA7">
        <w:t xml:space="preserve"> </w:t>
      </w:r>
      <w:r>
        <w:t>CRPD</w:t>
      </w:r>
      <w:r w:rsidR="00573BA7">
        <w:t xml:space="preserve"> </w:t>
      </w:r>
      <w:r>
        <w:t>explicitly</w:t>
      </w:r>
      <w:r w:rsidR="00573BA7">
        <w:t xml:space="preserve"> </w:t>
      </w:r>
      <w:r w:rsidR="00921D69">
        <w:t>recognises</w:t>
      </w:r>
      <w:r w:rsidR="00573BA7">
        <w:t xml:space="preserve"> </w:t>
      </w:r>
      <w:r>
        <w:t>the</w:t>
      </w:r>
      <w:r w:rsidR="00573BA7">
        <w:t xml:space="preserve"> </w:t>
      </w:r>
      <w:r>
        <w:t>rights</w:t>
      </w:r>
      <w:r w:rsidR="00573BA7">
        <w:t xml:space="preserve"> </w:t>
      </w:r>
      <w:r>
        <w:t>of</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t>in</w:t>
      </w:r>
      <w:r w:rsidR="00573BA7">
        <w:t xml:space="preserve"> </w:t>
      </w:r>
      <w:r>
        <w:t>the</w:t>
      </w:r>
      <w:r w:rsidR="00573BA7">
        <w:t xml:space="preserve"> </w:t>
      </w:r>
      <w:r>
        <w:t>context</w:t>
      </w:r>
      <w:r w:rsidR="00573BA7">
        <w:t xml:space="preserve"> </w:t>
      </w:r>
      <w:r>
        <w:t>of</w:t>
      </w:r>
      <w:r w:rsidR="00573BA7">
        <w:t xml:space="preserve"> </w:t>
      </w:r>
      <w:r>
        <w:t>work</w:t>
      </w:r>
      <w:r w:rsidR="00573BA7">
        <w:t xml:space="preserve"> </w:t>
      </w:r>
      <w:r>
        <w:t>and</w:t>
      </w:r>
      <w:r w:rsidR="00573BA7">
        <w:t xml:space="preserve"> </w:t>
      </w:r>
      <w:r>
        <w:t>employment.</w:t>
      </w:r>
      <w:r w:rsidR="00573BA7">
        <w:t xml:space="preserve">  </w:t>
      </w:r>
      <w:r>
        <w:t>The</w:t>
      </w:r>
      <w:r w:rsidR="00573BA7">
        <w:t xml:space="preserve"> </w:t>
      </w:r>
      <w:r>
        <w:t>central</w:t>
      </w:r>
      <w:r w:rsidR="00573BA7">
        <w:t xml:space="preserve"> </w:t>
      </w:r>
      <w:r>
        <w:t>proposition</w:t>
      </w:r>
      <w:r w:rsidR="00573BA7">
        <w:t xml:space="preserve"> </w:t>
      </w:r>
      <w:r>
        <w:t>made</w:t>
      </w:r>
      <w:r w:rsidR="00573BA7">
        <w:t xml:space="preserve"> </w:t>
      </w:r>
      <w:r>
        <w:t>by</w:t>
      </w:r>
      <w:r w:rsidR="00573BA7">
        <w:t xml:space="preserve"> </w:t>
      </w:r>
      <w:r>
        <w:t>Article</w:t>
      </w:r>
      <w:r w:rsidR="00573BA7">
        <w:t xml:space="preserve"> </w:t>
      </w:r>
      <w:r>
        <w:t>27(1)</w:t>
      </w:r>
      <w:r w:rsidR="00573BA7">
        <w:t xml:space="preserve"> </w:t>
      </w:r>
      <w:r w:rsidR="00D4575F">
        <w:t>of</w:t>
      </w:r>
      <w:r w:rsidR="00573BA7">
        <w:t xml:space="preserve"> </w:t>
      </w:r>
      <w:r w:rsidR="00D4575F">
        <w:t>the</w:t>
      </w:r>
      <w:r w:rsidR="00573BA7">
        <w:t xml:space="preserve"> </w:t>
      </w:r>
      <w:r w:rsidR="00D4575F">
        <w:t>CRPD</w:t>
      </w:r>
      <w:r w:rsidR="00573BA7">
        <w:t xml:space="preserve"> </w:t>
      </w:r>
      <w:r w:rsidRPr="00D56988">
        <w:t>is</w:t>
      </w:r>
      <w:r w:rsidR="00573BA7" w:rsidRPr="00D56988">
        <w:t xml:space="preserve"> </w:t>
      </w:r>
      <w:r w:rsidRPr="00D56988">
        <w:t>that</w:t>
      </w:r>
      <w:r w:rsidR="00573BA7" w:rsidRPr="00D56988">
        <w:t xml:space="preserve"> </w:t>
      </w:r>
      <w:r w:rsidR="007F5BA4" w:rsidRPr="00D56988">
        <w:t>people</w:t>
      </w:r>
      <w:r w:rsidR="00573BA7" w:rsidRPr="00D56988">
        <w:t xml:space="preserve"> </w:t>
      </w:r>
      <w:r w:rsidR="007F5BA4" w:rsidRPr="00D56988">
        <w:t>with</w:t>
      </w:r>
      <w:r w:rsidR="00573BA7" w:rsidRPr="00D56988">
        <w:t xml:space="preserve"> </w:t>
      </w:r>
      <w:r w:rsidR="007F5BA4" w:rsidRPr="00D56988">
        <w:t>disability</w:t>
      </w:r>
      <w:r w:rsidR="00573BA7" w:rsidRPr="00D56988">
        <w:t xml:space="preserve"> </w:t>
      </w:r>
      <w:r w:rsidRPr="00D56988">
        <w:t>have</w:t>
      </w:r>
      <w:r w:rsidR="00573BA7" w:rsidRPr="00D56988">
        <w:t xml:space="preserve"> </w:t>
      </w:r>
      <w:r w:rsidRPr="00D56988">
        <w:t>a</w:t>
      </w:r>
      <w:r w:rsidR="00573BA7" w:rsidRPr="00D56988">
        <w:t xml:space="preserve"> </w:t>
      </w:r>
      <w:r w:rsidRPr="00D56988">
        <w:t>right</w:t>
      </w:r>
      <w:r w:rsidR="00573BA7" w:rsidRPr="00D56988">
        <w:t xml:space="preserve"> </w:t>
      </w:r>
      <w:r w:rsidRPr="00D56988">
        <w:t>to</w:t>
      </w:r>
      <w:r w:rsidR="00573BA7" w:rsidRPr="00D56988">
        <w:t xml:space="preserve"> </w:t>
      </w:r>
      <w:r w:rsidRPr="00D56988">
        <w:t>work,</w:t>
      </w:r>
      <w:r w:rsidR="00573BA7" w:rsidRPr="00D56988">
        <w:t xml:space="preserve"> </w:t>
      </w:r>
      <w:r w:rsidRPr="00D56988">
        <w:t>on</w:t>
      </w:r>
      <w:r w:rsidR="00573BA7" w:rsidRPr="00D56988">
        <w:t xml:space="preserve"> </w:t>
      </w:r>
      <w:r w:rsidRPr="00D56988">
        <w:t>an</w:t>
      </w:r>
      <w:r w:rsidR="00573BA7" w:rsidRPr="00D56988">
        <w:t xml:space="preserve"> </w:t>
      </w:r>
      <w:r w:rsidRPr="00D56988">
        <w:t>equal</w:t>
      </w:r>
      <w:r w:rsidR="00573BA7" w:rsidRPr="00D56988">
        <w:t xml:space="preserve"> </w:t>
      </w:r>
      <w:r w:rsidRPr="00D56988">
        <w:t>basis</w:t>
      </w:r>
      <w:r w:rsidR="00573BA7" w:rsidRPr="00D56988">
        <w:t xml:space="preserve"> </w:t>
      </w:r>
      <w:r w:rsidRPr="00D56988">
        <w:t>with</w:t>
      </w:r>
      <w:r w:rsidR="00573BA7" w:rsidRPr="00D56988">
        <w:t xml:space="preserve"> </w:t>
      </w:r>
      <w:r w:rsidRPr="00D56988">
        <w:t>others.</w:t>
      </w:r>
      <w:r w:rsidR="00573BA7" w:rsidRPr="00D56988">
        <w:t xml:space="preserve">  </w:t>
      </w:r>
      <w:r w:rsidR="00D4575F" w:rsidRPr="00D56988">
        <w:t>Similar</w:t>
      </w:r>
      <w:r w:rsidR="00573BA7" w:rsidRPr="00D56988">
        <w:t xml:space="preserve"> </w:t>
      </w:r>
      <w:r w:rsidR="00D4575F" w:rsidRPr="00D56988">
        <w:t>rights</w:t>
      </w:r>
      <w:r w:rsidR="00573BA7" w:rsidRPr="00D56988">
        <w:t xml:space="preserve"> </w:t>
      </w:r>
      <w:r w:rsidR="00D4575F" w:rsidRPr="00D56988">
        <w:t>are</w:t>
      </w:r>
      <w:r w:rsidR="00573BA7" w:rsidRPr="00D56988">
        <w:t xml:space="preserve"> </w:t>
      </w:r>
      <w:r w:rsidR="00D4575F" w:rsidRPr="00D56988">
        <w:t>recognised</w:t>
      </w:r>
      <w:r w:rsidR="00573BA7" w:rsidRPr="00D56988">
        <w:t xml:space="preserve"> </w:t>
      </w:r>
      <w:r w:rsidR="00D4575F" w:rsidRPr="00D56988">
        <w:t>in</w:t>
      </w:r>
      <w:r w:rsidR="00573BA7" w:rsidRPr="00D56988">
        <w:t xml:space="preserve"> </w:t>
      </w:r>
      <w:r w:rsidR="00D4575F" w:rsidRPr="00D56988">
        <w:t>ICESCR</w:t>
      </w:r>
      <w:r w:rsidR="00573BA7" w:rsidRPr="00D56988">
        <w:t xml:space="preserve"> </w:t>
      </w:r>
      <w:r w:rsidR="00D4575F" w:rsidRPr="00D56988">
        <w:t>at</w:t>
      </w:r>
      <w:r w:rsidR="00573BA7" w:rsidRPr="00D56988">
        <w:t xml:space="preserve"> </w:t>
      </w:r>
      <w:r w:rsidR="00D4575F" w:rsidRPr="00D56988">
        <w:t>Article</w:t>
      </w:r>
      <w:r w:rsidR="00573BA7" w:rsidRPr="00D56988">
        <w:t xml:space="preserve"> </w:t>
      </w:r>
      <w:r w:rsidR="00D4575F" w:rsidRPr="00D56988">
        <w:t>6</w:t>
      </w:r>
      <w:r w:rsidR="00573BA7" w:rsidRPr="00D56988">
        <w:t xml:space="preserve"> </w:t>
      </w:r>
      <w:r w:rsidR="00D4575F" w:rsidRPr="00D56988">
        <w:t>(right</w:t>
      </w:r>
      <w:r w:rsidR="00573BA7" w:rsidRPr="00D56988">
        <w:t xml:space="preserve"> </w:t>
      </w:r>
      <w:r w:rsidR="00D4575F" w:rsidRPr="00D56988">
        <w:t>to</w:t>
      </w:r>
      <w:r w:rsidR="00573BA7" w:rsidRPr="00D56988">
        <w:t xml:space="preserve"> </w:t>
      </w:r>
      <w:r w:rsidR="00D4575F" w:rsidRPr="00D56988">
        <w:t>work)</w:t>
      </w:r>
      <w:r w:rsidR="00573BA7" w:rsidRPr="00D56988">
        <w:t xml:space="preserve"> </w:t>
      </w:r>
      <w:r w:rsidR="00D4575F" w:rsidRPr="00D56988">
        <w:t>and</w:t>
      </w:r>
      <w:r w:rsidR="00573BA7" w:rsidRPr="00D56988">
        <w:t xml:space="preserve"> </w:t>
      </w:r>
      <w:r w:rsidR="00D4575F" w:rsidRPr="00D56988">
        <w:t>Article</w:t>
      </w:r>
      <w:r w:rsidR="00573BA7" w:rsidRPr="00D56988">
        <w:t xml:space="preserve"> </w:t>
      </w:r>
      <w:r w:rsidR="00D4575F" w:rsidRPr="00D56988">
        <w:t>7</w:t>
      </w:r>
      <w:r w:rsidR="00573BA7" w:rsidRPr="00D56988">
        <w:t xml:space="preserve"> </w:t>
      </w:r>
      <w:r w:rsidR="00D4575F" w:rsidRPr="00D56988">
        <w:t>(right</w:t>
      </w:r>
      <w:r w:rsidR="00573BA7" w:rsidRPr="00D56988">
        <w:t xml:space="preserve"> </w:t>
      </w:r>
      <w:r w:rsidR="00D4575F" w:rsidRPr="00D56988">
        <w:t>to</w:t>
      </w:r>
      <w:r w:rsidR="00573BA7" w:rsidRPr="00D56988">
        <w:t xml:space="preserve"> </w:t>
      </w:r>
      <w:r w:rsidR="00D4575F" w:rsidRPr="00D56988">
        <w:t>the</w:t>
      </w:r>
      <w:r w:rsidR="00573BA7" w:rsidRPr="00D56988">
        <w:t xml:space="preserve"> </w:t>
      </w:r>
      <w:r w:rsidR="00D4575F" w:rsidRPr="00D56988">
        <w:t>enjoyment</w:t>
      </w:r>
      <w:r w:rsidR="00573BA7" w:rsidRPr="00D56988">
        <w:t xml:space="preserve"> </w:t>
      </w:r>
      <w:r w:rsidR="00D4575F" w:rsidRPr="00D56988">
        <w:t>of</w:t>
      </w:r>
      <w:r w:rsidR="00573BA7" w:rsidRPr="00D56988">
        <w:t xml:space="preserve"> </w:t>
      </w:r>
      <w:r w:rsidR="00D4575F" w:rsidRPr="00D56988">
        <w:t>just</w:t>
      </w:r>
      <w:r w:rsidR="00573BA7" w:rsidRPr="00D56988">
        <w:t xml:space="preserve"> </w:t>
      </w:r>
      <w:r w:rsidR="00D4575F" w:rsidRPr="00D56988">
        <w:t>and</w:t>
      </w:r>
      <w:r w:rsidR="00573BA7" w:rsidRPr="00D56988">
        <w:t xml:space="preserve"> </w:t>
      </w:r>
      <w:r w:rsidR="00D4575F" w:rsidRPr="00D56988">
        <w:t>favourable</w:t>
      </w:r>
      <w:r w:rsidR="00573BA7" w:rsidRPr="00D56988">
        <w:t xml:space="preserve"> </w:t>
      </w:r>
      <w:r w:rsidR="00D4575F" w:rsidRPr="00D56988">
        <w:t>conditions</w:t>
      </w:r>
      <w:r w:rsidR="00573BA7" w:rsidRPr="00D56988">
        <w:t xml:space="preserve"> </w:t>
      </w:r>
      <w:r w:rsidR="00D4575F" w:rsidRPr="00D56988">
        <w:t>of</w:t>
      </w:r>
      <w:r w:rsidR="00573BA7" w:rsidRPr="00D56988">
        <w:t xml:space="preserve"> </w:t>
      </w:r>
      <w:r w:rsidR="00D4575F" w:rsidRPr="00D56988">
        <w:t>work).</w:t>
      </w:r>
      <w:r w:rsidR="00573BA7" w:rsidRPr="00D56988">
        <w:t xml:space="preserve">  </w:t>
      </w:r>
      <w:r w:rsidR="00D4575F" w:rsidRPr="00D56988">
        <w:t>Those</w:t>
      </w:r>
      <w:r w:rsidR="00573BA7" w:rsidRPr="00D56988">
        <w:t xml:space="preserve"> </w:t>
      </w:r>
      <w:r w:rsidR="00D4575F" w:rsidRPr="00D56988">
        <w:t>provisions</w:t>
      </w:r>
      <w:r w:rsidR="00573BA7" w:rsidRPr="00D56988">
        <w:t xml:space="preserve"> </w:t>
      </w:r>
      <w:r w:rsidR="00D4575F" w:rsidRPr="00D56988">
        <w:t>of</w:t>
      </w:r>
      <w:r w:rsidR="00573BA7" w:rsidRPr="00D56988">
        <w:t xml:space="preserve"> </w:t>
      </w:r>
      <w:r w:rsidR="00D4575F" w:rsidRPr="00D56988">
        <w:t>ICESCR</w:t>
      </w:r>
      <w:r w:rsidR="00573BA7" w:rsidRPr="00D56988">
        <w:t xml:space="preserve"> </w:t>
      </w:r>
      <w:r w:rsidR="00D4575F" w:rsidRPr="00D56988">
        <w:t>apply</w:t>
      </w:r>
      <w:r w:rsidR="00573BA7" w:rsidRPr="00D56988">
        <w:t xml:space="preserve"> </w:t>
      </w:r>
      <w:r w:rsidR="00D4575F" w:rsidRPr="00D56988">
        <w:t>to</w:t>
      </w:r>
      <w:r w:rsidR="00573BA7" w:rsidRPr="00D56988">
        <w:t xml:space="preserve"> </w:t>
      </w:r>
      <w:r w:rsidR="00D4575F" w:rsidRPr="00D56988">
        <w:t>‘everyone’,</w:t>
      </w:r>
      <w:r w:rsidR="00573BA7" w:rsidRPr="00D56988">
        <w:t xml:space="preserve"> </w:t>
      </w:r>
      <w:r w:rsidR="00D4575F" w:rsidRPr="00D56988">
        <w:t>including</w:t>
      </w:r>
      <w:r w:rsidR="00573BA7" w:rsidRPr="00D56988">
        <w:t xml:space="preserve"> </w:t>
      </w:r>
      <w:r w:rsidR="007F5BA4" w:rsidRPr="00D56988">
        <w:t>people</w:t>
      </w:r>
      <w:r w:rsidR="00573BA7" w:rsidRPr="00D56988">
        <w:t xml:space="preserve"> </w:t>
      </w:r>
      <w:r w:rsidR="007F5BA4" w:rsidRPr="00D56988">
        <w:t>with</w:t>
      </w:r>
      <w:r w:rsidR="00573BA7" w:rsidRPr="00D56988">
        <w:t xml:space="preserve"> </w:t>
      </w:r>
      <w:r w:rsidR="007F5BA4" w:rsidRPr="00D56988">
        <w:t>disability</w:t>
      </w:r>
      <w:r w:rsidR="00D4575F" w:rsidRPr="00D56988">
        <w:t>.</w:t>
      </w:r>
    </w:p>
    <w:p w14:paraId="0A0A17B0" w14:textId="1975AB1E" w:rsidR="00F531F4" w:rsidRPr="00D56988" w:rsidRDefault="00017EA5" w:rsidP="00DA2A0A">
      <w:pPr>
        <w:pStyle w:val="ListParagraph"/>
        <w:numPr>
          <w:ilvl w:val="0"/>
          <w:numId w:val="58"/>
        </w:numPr>
      </w:pPr>
      <w:r w:rsidRPr="00D56988">
        <w:t>The</w:t>
      </w:r>
      <w:r w:rsidR="00573BA7" w:rsidRPr="00D56988">
        <w:t xml:space="preserve"> </w:t>
      </w:r>
      <w:r w:rsidRPr="00D56988">
        <w:t>CRPD</w:t>
      </w:r>
      <w:r w:rsidR="00573BA7" w:rsidRPr="00D56988">
        <w:t xml:space="preserve"> </w:t>
      </w:r>
      <w:r w:rsidRPr="00D56988">
        <w:t>Committee</w:t>
      </w:r>
      <w:r w:rsidR="00573BA7" w:rsidRPr="00D56988">
        <w:t xml:space="preserve"> </w:t>
      </w:r>
      <w:r w:rsidRPr="00D56988">
        <w:t>has</w:t>
      </w:r>
      <w:r w:rsidR="00573BA7" w:rsidRPr="00D56988">
        <w:t xml:space="preserve"> </w:t>
      </w:r>
      <w:r w:rsidRPr="00D56988">
        <w:t>noted</w:t>
      </w:r>
      <w:r w:rsidR="00573BA7" w:rsidRPr="00D56988">
        <w:t xml:space="preserve"> </w:t>
      </w:r>
      <w:r w:rsidRPr="00D56988">
        <w:t>that</w:t>
      </w:r>
      <w:r w:rsidR="00573BA7" w:rsidRPr="00D56988">
        <w:t xml:space="preserve"> </w:t>
      </w:r>
      <w:r w:rsidRPr="00D56988">
        <w:t>Article</w:t>
      </w:r>
      <w:r w:rsidR="00573BA7" w:rsidRPr="00D56988">
        <w:t xml:space="preserve"> </w:t>
      </w:r>
      <w:r w:rsidRPr="00D56988">
        <w:t>27</w:t>
      </w:r>
      <w:r w:rsidR="00573BA7" w:rsidRPr="00D56988">
        <w:t xml:space="preserve"> </w:t>
      </w:r>
      <w:r w:rsidRPr="00D56988">
        <w:t>‘implies</w:t>
      </w:r>
      <w:r w:rsidR="00573BA7" w:rsidRPr="00D56988">
        <w:t xml:space="preserve"> </w:t>
      </w:r>
      <w:r w:rsidRPr="00D56988">
        <w:t>an</w:t>
      </w:r>
      <w:r w:rsidR="00573BA7" w:rsidRPr="00D56988">
        <w:t xml:space="preserve"> </w:t>
      </w:r>
      <w:r w:rsidRPr="00D56988">
        <w:t>obligation</w:t>
      </w:r>
      <w:r w:rsidR="00573BA7" w:rsidRPr="00D56988">
        <w:t xml:space="preserve"> </w:t>
      </w:r>
      <w:r w:rsidRPr="00D56988">
        <w:t>on</w:t>
      </w:r>
      <w:r w:rsidR="00573BA7" w:rsidRPr="00D56988">
        <w:t xml:space="preserve"> </w:t>
      </w:r>
      <w:r w:rsidRPr="00D56988">
        <w:t>the</w:t>
      </w:r>
      <w:r w:rsidR="00573BA7" w:rsidRPr="00D56988">
        <w:t xml:space="preserve"> </w:t>
      </w:r>
      <w:r w:rsidRPr="00D56988">
        <w:t>part</w:t>
      </w:r>
      <w:r w:rsidR="00573BA7" w:rsidRPr="00D56988">
        <w:t xml:space="preserve"> </w:t>
      </w:r>
      <w:r w:rsidRPr="00D56988">
        <w:t>of</w:t>
      </w:r>
      <w:r w:rsidR="00573BA7" w:rsidRPr="00D56988">
        <w:t xml:space="preserve"> </w:t>
      </w:r>
      <w:r w:rsidRPr="00D56988">
        <w:t>States</w:t>
      </w:r>
      <w:r w:rsidR="00573BA7" w:rsidRPr="00D56988">
        <w:t xml:space="preserve"> </w:t>
      </w:r>
      <w:r w:rsidR="4D0BE8FA" w:rsidRPr="00D56988">
        <w:t>P</w:t>
      </w:r>
      <w:r w:rsidRPr="00D56988">
        <w:t>arties</w:t>
      </w:r>
      <w:r w:rsidR="00573BA7" w:rsidRPr="00D56988">
        <w:t xml:space="preserve"> </w:t>
      </w:r>
      <w:r w:rsidRPr="00D56988">
        <w:t>to</w:t>
      </w:r>
      <w:r w:rsidR="00573BA7" w:rsidRPr="00D56988">
        <w:t xml:space="preserve"> </w:t>
      </w:r>
      <w:r w:rsidRPr="00D56988">
        <w:t>create</w:t>
      </w:r>
      <w:r w:rsidR="00573BA7" w:rsidRPr="00D56988">
        <w:t xml:space="preserve"> </w:t>
      </w:r>
      <w:r w:rsidRPr="00D56988">
        <w:t>an</w:t>
      </w:r>
      <w:r w:rsidR="00573BA7" w:rsidRPr="00D56988">
        <w:t xml:space="preserve"> </w:t>
      </w:r>
      <w:r w:rsidRPr="00D56988">
        <w:t>enabling</w:t>
      </w:r>
      <w:r w:rsidR="00573BA7" w:rsidRPr="00D56988">
        <w:t xml:space="preserve"> </w:t>
      </w:r>
      <w:r w:rsidRPr="00D56988">
        <w:t>and</w:t>
      </w:r>
      <w:r w:rsidR="00573BA7" w:rsidRPr="00D56988">
        <w:t xml:space="preserve"> </w:t>
      </w:r>
      <w:r w:rsidRPr="00D56988">
        <w:t>conducive</w:t>
      </w:r>
      <w:r w:rsidR="00573BA7" w:rsidRPr="00D56988">
        <w:t xml:space="preserve"> </w:t>
      </w:r>
      <w:r w:rsidRPr="00D56988">
        <w:t>environment</w:t>
      </w:r>
      <w:r w:rsidR="00573BA7" w:rsidRPr="00D56988">
        <w:t xml:space="preserve"> </w:t>
      </w:r>
      <w:r w:rsidRPr="00D56988">
        <w:t>for</w:t>
      </w:r>
      <w:r w:rsidR="00573BA7" w:rsidRPr="00D56988">
        <w:t xml:space="preserve"> </w:t>
      </w:r>
      <w:r w:rsidRPr="00D56988">
        <w:t>employment,</w:t>
      </w:r>
      <w:r w:rsidR="00573BA7" w:rsidRPr="00D56988">
        <w:t xml:space="preserve"> </w:t>
      </w:r>
      <w:r w:rsidRPr="00D56988">
        <w:t>including</w:t>
      </w:r>
      <w:r w:rsidR="00573BA7" w:rsidRPr="00D56988">
        <w:t xml:space="preserve"> </w:t>
      </w:r>
      <w:r w:rsidRPr="00D56988">
        <w:t>in</w:t>
      </w:r>
      <w:r w:rsidR="00573BA7" w:rsidRPr="00D56988">
        <w:t xml:space="preserve"> </w:t>
      </w:r>
      <w:r w:rsidRPr="00D56988">
        <w:t>the</w:t>
      </w:r>
      <w:r w:rsidR="00573BA7" w:rsidRPr="00D56988">
        <w:t xml:space="preserve"> </w:t>
      </w:r>
      <w:r w:rsidRPr="00D56988">
        <w:t>private</w:t>
      </w:r>
      <w:r w:rsidR="00573BA7" w:rsidRPr="00D56988">
        <w:t xml:space="preserve"> </w:t>
      </w:r>
      <w:r w:rsidRPr="00D56988">
        <w:t>sector’.</w:t>
      </w:r>
      <w:r w:rsidR="00253B57" w:rsidRPr="00D56988">
        <w:rPr>
          <w:rStyle w:val="EndnoteReference"/>
        </w:rPr>
        <w:endnoteReference w:id="58"/>
      </w:r>
      <w:r w:rsidR="00573BA7" w:rsidRPr="00D56988">
        <w:t xml:space="preserve">  </w:t>
      </w:r>
      <w:r w:rsidR="00F531F4" w:rsidRPr="00D56988">
        <w:t>It</w:t>
      </w:r>
      <w:r w:rsidR="00573BA7" w:rsidRPr="00D56988">
        <w:t xml:space="preserve"> </w:t>
      </w:r>
      <w:r w:rsidR="00F531F4" w:rsidRPr="00D56988">
        <w:t>has</w:t>
      </w:r>
      <w:r w:rsidR="00573BA7" w:rsidRPr="00D56988">
        <w:t xml:space="preserve"> </w:t>
      </w:r>
      <w:r w:rsidR="00F531F4" w:rsidRPr="00D56988">
        <w:t>also</w:t>
      </w:r>
      <w:r w:rsidR="00573BA7" w:rsidRPr="00D56988">
        <w:t xml:space="preserve"> </w:t>
      </w:r>
      <w:r w:rsidR="00F531F4" w:rsidRPr="00D56988">
        <w:t>taken</w:t>
      </w:r>
      <w:r w:rsidR="00573BA7" w:rsidRPr="00D56988">
        <w:t xml:space="preserve"> </w:t>
      </w:r>
      <w:r w:rsidR="00F531F4" w:rsidRPr="00D56988">
        <w:t>the</w:t>
      </w:r>
      <w:r w:rsidR="00573BA7" w:rsidRPr="00D56988">
        <w:t xml:space="preserve"> </w:t>
      </w:r>
      <w:r w:rsidR="00F531F4" w:rsidRPr="00D56988">
        <w:t>view</w:t>
      </w:r>
      <w:r w:rsidR="00573BA7" w:rsidRPr="00D56988">
        <w:t xml:space="preserve"> </w:t>
      </w:r>
      <w:r w:rsidR="00F531F4" w:rsidRPr="00D56988">
        <w:t>that</w:t>
      </w:r>
      <w:r w:rsidR="00573BA7" w:rsidRPr="00D56988">
        <w:t xml:space="preserve"> </w:t>
      </w:r>
      <w:r w:rsidR="00E555AC" w:rsidRPr="00D56988">
        <w:t>the</w:t>
      </w:r>
      <w:r w:rsidR="00573BA7" w:rsidRPr="00D56988">
        <w:t xml:space="preserve"> </w:t>
      </w:r>
      <w:r w:rsidR="00E555AC" w:rsidRPr="00D56988">
        <w:t>right</w:t>
      </w:r>
      <w:r w:rsidR="00573BA7" w:rsidRPr="00D56988">
        <w:t xml:space="preserve"> </w:t>
      </w:r>
      <w:r w:rsidR="00E555AC" w:rsidRPr="00D56988">
        <w:t>to</w:t>
      </w:r>
      <w:r w:rsidR="00573BA7" w:rsidRPr="00D56988">
        <w:t xml:space="preserve"> </w:t>
      </w:r>
      <w:r w:rsidR="00E555AC" w:rsidRPr="00D56988">
        <w:t>work</w:t>
      </w:r>
      <w:r w:rsidR="00573BA7" w:rsidRPr="00D56988">
        <w:t xml:space="preserve"> </w:t>
      </w:r>
      <w:r w:rsidR="00346EE1" w:rsidRPr="00D56988">
        <w:t>on</w:t>
      </w:r>
      <w:r w:rsidR="00573BA7" w:rsidRPr="00D56988">
        <w:t xml:space="preserve"> </w:t>
      </w:r>
      <w:r w:rsidR="00346EE1" w:rsidRPr="00D56988">
        <w:t>an</w:t>
      </w:r>
      <w:r w:rsidR="00573BA7" w:rsidRPr="00D56988">
        <w:t xml:space="preserve"> </w:t>
      </w:r>
      <w:r w:rsidR="00346EE1" w:rsidRPr="00D56988">
        <w:t>equal</w:t>
      </w:r>
      <w:r w:rsidR="00573BA7" w:rsidRPr="00D56988">
        <w:t xml:space="preserve"> </w:t>
      </w:r>
      <w:r w:rsidR="00346EE1" w:rsidRPr="00D56988">
        <w:t>basis</w:t>
      </w:r>
      <w:r w:rsidR="00573BA7" w:rsidRPr="00D56988">
        <w:t xml:space="preserve"> </w:t>
      </w:r>
      <w:r w:rsidR="00346EE1" w:rsidRPr="00D56988">
        <w:t>with</w:t>
      </w:r>
      <w:r w:rsidR="00573BA7" w:rsidRPr="00D56988">
        <w:t xml:space="preserve"> </w:t>
      </w:r>
      <w:r w:rsidR="00346EE1" w:rsidRPr="00D56988">
        <w:t>others</w:t>
      </w:r>
      <w:r w:rsidR="00573BA7" w:rsidRPr="00D56988">
        <w:t xml:space="preserve"> </w:t>
      </w:r>
      <w:r w:rsidR="00346EE1" w:rsidRPr="00D56988">
        <w:t>includes</w:t>
      </w:r>
      <w:r w:rsidR="00573BA7" w:rsidRPr="00D56988">
        <w:t xml:space="preserve"> </w:t>
      </w:r>
      <w:r w:rsidR="00E82FCA" w:rsidRPr="00D56988">
        <w:t>the</w:t>
      </w:r>
      <w:r w:rsidR="00573BA7" w:rsidRPr="00D56988">
        <w:t xml:space="preserve"> </w:t>
      </w:r>
      <w:r w:rsidR="00E82FCA" w:rsidRPr="00D56988">
        <w:t>right</w:t>
      </w:r>
      <w:r w:rsidR="00573BA7" w:rsidRPr="00D56988">
        <w:t xml:space="preserve"> </w:t>
      </w:r>
      <w:r w:rsidR="00E82FCA" w:rsidRPr="00D56988">
        <w:t>of</w:t>
      </w:r>
      <w:r w:rsidR="00573BA7" w:rsidRPr="00D56988">
        <w:t xml:space="preserve"> </w:t>
      </w:r>
      <w:r w:rsidR="007F5BA4" w:rsidRPr="00D56988">
        <w:t>people</w:t>
      </w:r>
      <w:r w:rsidR="00573BA7" w:rsidRPr="00D56988">
        <w:t xml:space="preserve"> </w:t>
      </w:r>
      <w:r w:rsidR="007F5BA4" w:rsidRPr="00D56988">
        <w:t>with</w:t>
      </w:r>
      <w:r w:rsidR="00573BA7" w:rsidRPr="00D56988">
        <w:t xml:space="preserve"> </w:t>
      </w:r>
      <w:r w:rsidR="007F5BA4" w:rsidRPr="00D56988">
        <w:t>disability</w:t>
      </w:r>
      <w:r w:rsidR="00573BA7" w:rsidRPr="00D56988">
        <w:t xml:space="preserve"> </w:t>
      </w:r>
      <w:r w:rsidR="00E82FCA" w:rsidRPr="00D56988">
        <w:t>to</w:t>
      </w:r>
      <w:r w:rsidR="00573BA7" w:rsidRPr="00D56988">
        <w:t xml:space="preserve"> </w:t>
      </w:r>
      <w:r w:rsidR="005757E7" w:rsidRPr="00D56988">
        <w:t>‘</w:t>
      </w:r>
      <w:r w:rsidR="00E82FCA" w:rsidRPr="00D56988">
        <w:t>retain</w:t>
      </w:r>
      <w:r w:rsidR="005757E7" w:rsidRPr="00D56988">
        <w:t>’</w:t>
      </w:r>
      <w:r w:rsidR="00573BA7" w:rsidRPr="00D56988">
        <w:t xml:space="preserve"> </w:t>
      </w:r>
      <w:r w:rsidR="00E82FCA" w:rsidRPr="00D56988">
        <w:t>their</w:t>
      </w:r>
      <w:r w:rsidR="00573BA7" w:rsidRPr="00D56988">
        <w:t xml:space="preserve"> </w:t>
      </w:r>
      <w:r w:rsidR="00E82FCA" w:rsidRPr="00D56988">
        <w:t>employment</w:t>
      </w:r>
      <w:r w:rsidR="00573BA7" w:rsidRPr="00D56988">
        <w:t xml:space="preserve"> </w:t>
      </w:r>
      <w:r w:rsidR="00E82FCA" w:rsidRPr="00D56988">
        <w:t>on</w:t>
      </w:r>
      <w:r w:rsidR="00573BA7" w:rsidRPr="00D56988">
        <w:t xml:space="preserve"> </w:t>
      </w:r>
      <w:r w:rsidR="00DC0B40" w:rsidRPr="00D56988">
        <w:t>an</w:t>
      </w:r>
      <w:r w:rsidR="00573BA7" w:rsidRPr="00D56988">
        <w:t xml:space="preserve"> </w:t>
      </w:r>
      <w:r w:rsidR="00DC0B40" w:rsidRPr="00D56988">
        <w:t>equal</w:t>
      </w:r>
      <w:r w:rsidR="00573BA7" w:rsidRPr="00D56988">
        <w:t xml:space="preserve"> </w:t>
      </w:r>
      <w:r w:rsidR="00DC0B40" w:rsidRPr="00D56988">
        <w:t>basis</w:t>
      </w:r>
      <w:r w:rsidR="00573BA7" w:rsidRPr="00D56988">
        <w:t xml:space="preserve"> </w:t>
      </w:r>
      <w:r w:rsidR="00DC0B40" w:rsidRPr="00D56988">
        <w:t>with</w:t>
      </w:r>
      <w:r w:rsidR="00573BA7" w:rsidRPr="00D56988">
        <w:t xml:space="preserve"> </w:t>
      </w:r>
      <w:r w:rsidR="00DC0B40" w:rsidRPr="00D56988">
        <w:t>others.</w:t>
      </w:r>
      <w:r w:rsidR="005757E7" w:rsidRPr="00D56988">
        <w:rPr>
          <w:rStyle w:val="EndnoteReference"/>
        </w:rPr>
        <w:endnoteReference w:id="59"/>
      </w:r>
      <w:r w:rsidR="00573BA7" w:rsidRPr="00D56988">
        <w:t xml:space="preserve">  </w:t>
      </w:r>
      <w:r w:rsidR="00EB2F0D" w:rsidRPr="00D56988">
        <w:t>Similarly,</w:t>
      </w:r>
      <w:r w:rsidR="00573BA7" w:rsidRPr="00D56988">
        <w:t xml:space="preserve"> </w:t>
      </w:r>
      <w:r w:rsidR="00EB2F0D" w:rsidRPr="00D56988">
        <w:t>the</w:t>
      </w:r>
      <w:r w:rsidR="00573BA7" w:rsidRPr="00D56988">
        <w:t xml:space="preserve"> </w:t>
      </w:r>
      <w:r w:rsidR="004410AA">
        <w:t xml:space="preserve">Committee </w:t>
      </w:r>
      <w:r w:rsidR="00CB2B2D">
        <w:t xml:space="preserve">on Economic, Social and Cultural Rights </w:t>
      </w:r>
      <w:r w:rsidR="004410AA">
        <w:t>(</w:t>
      </w:r>
      <w:r w:rsidR="00EB2F0D" w:rsidRPr="00D56988">
        <w:t>CESCR</w:t>
      </w:r>
      <w:r w:rsidR="004410AA">
        <w:t>)</w:t>
      </w:r>
      <w:r w:rsidR="00573BA7" w:rsidRPr="00D56988">
        <w:t xml:space="preserve"> </w:t>
      </w:r>
      <w:r w:rsidR="00EB2F0D" w:rsidRPr="00D56988">
        <w:t>has</w:t>
      </w:r>
      <w:r w:rsidR="00573BA7" w:rsidRPr="00D56988">
        <w:t xml:space="preserve"> </w:t>
      </w:r>
      <w:r w:rsidR="00EB2F0D" w:rsidRPr="00D56988">
        <w:t>commented</w:t>
      </w:r>
      <w:r w:rsidR="00573BA7" w:rsidRPr="00D56988">
        <w:t xml:space="preserve"> </w:t>
      </w:r>
      <w:r w:rsidR="00EB2F0D" w:rsidRPr="00D56988">
        <w:t>that</w:t>
      </w:r>
      <w:r w:rsidR="00573BA7" w:rsidRPr="00D56988">
        <w:t xml:space="preserve"> </w:t>
      </w:r>
      <w:r w:rsidR="00EB2F0D" w:rsidRPr="00D56988">
        <w:t>the</w:t>
      </w:r>
      <w:r w:rsidR="00573BA7" w:rsidRPr="00D56988">
        <w:t xml:space="preserve"> </w:t>
      </w:r>
      <w:r w:rsidR="00EB2F0D" w:rsidRPr="00D56988">
        <w:t>right</w:t>
      </w:r>
      <w:r w:rsidR="00573BA7" w:rsidRPr="00D56988">
        <w:t xml:space="preserve"> </w:t>
      </w:r>
      <w:r w:rsidR="00EB2F0D" w:rsidRPr="00D56988">
        <w:t>to</w:t>
      </w:r>
      <w:r w:rsidR="00573BA7" w:rsidRPr="00D56988">
        <w:t xml:space="preserve"> </w:t>
      </w:r>
      <w:r w:rsidR="00EB2F0D" w:rsidRPr="00D56988">
        <w:t>work</w:t>
      </w:r>
      <w:r w:rsidR="00573BA7" w:rsidRPr="00D56988">
        <w:t xml:space="preserve"> </w:t>
      </w:r>
      <w:r w:rsidR="00EB2F0D" w:rsidRPr="00D56988">
        <w:t>under</w:t>
      </w:r>
      <w:r w:rsidR="00573BA7" w:rsidRPr="00D56988">
        <w:t xml:space="preserve"> </w:t>
      </w:r>
      <w:r w:rsidR="00EB2F0D" w:rsidRPr="00D56988">
        <w:t>ICESCR</w:t>
      </w:r>
      <w:r w:rsidR="00573BA7" w:rsidRPr="00D56988">
        <w:t xml:space="preserve"> </w:t>
      </w:r>
      <w:r w:rsidR="00EB2F0D" w:rsidRPr="00D56988">
        <w:t>‘affirms</w:t>
      </w:r>
      <w:r w:rsidR="00573BA7" w:rsidRPr="00D56988">
        <w:t xml:space="preserve"> </w:t>
      </w:r>
      <w:r w:rsidR="00EB2F0D" w:rsidRPr="00D56988">
        <w:t>the</w:t>
      </w:r>
      <w:r w:rsidR="00573BA7" w:rsidRPr="00D56988">
        <w:t xml:space="preserve"> </w:t>
      </w:r>
      <w:r w:rsidR="00EB2F0D" w:rsidRPr="00D56988">
        <w:t>obligation</w:t>
      </w:r>
      <w:r w:rsidR="00573BA7" w:rsidRPr="00D56988">
        <w:t xml:space="preserve"> </w:t>
      </w:r>
      <w:r w:rsidR="00EB2F0D" w:rsidRPr="00D56988">
        <w:t>of</w:t>
      </w:r>
      <w:r w:rsidR="00573BA7" w:rsidRPr="00D56988">
        <w:t xml:space="preserve"> </w:t>
      </w:r>
      <w:r w:rsidR="00EB2F0D" w:rsidRPr="00D56988">
        <w:lastRenderedPageBreak/>
        <w:t>States</w:t>
      </w:r>
      <w:r w:rsidR="00573BA7" w:rsidRPr="00D56988">
        <w:t xml:space="preserve"> </w:t>
      </w:r>
      <w:r w:rsidR="00EB2F0D" w:rsidRPr="00D56988">
        <w:t>parties</w:t>
      </w:r>
      <w:r w:rsidR="00573BA7" w:rsidRPr="00D56988">
        <w:t xml:space="preserve"> </w:t>
      </w:r>
      <w:r w:rsidR="00EB2F0D" w:rsidRPr="00D56988">
        <w:t>to</w:t>
      </w:r>
      <w:r w:rsidR="00573BA7" w:rsidRPr="00D56988">
        <w:t xml:space="preserve"> </w:t>
      </w:r>
      <w:r w:rsidR="00EB2F0D" w:rsidRPr="00D56988">
        <w:t>assure</w:t>
      </w:r>
      <w:r w:rsidR="00573BA7" w:rsidRPr="00D56988">
        <w:t xml:space="preserve"> </w:t>
      </w:r>
      <w:r w:rsidR="00EB2F0D" w:rsidRPr="00D56988">
        <w:t>individuals</w:t>
      </w:r>
      <w:r w:rsidR="00573BA7" w:rsidRPr="00D56988">
        <w:t xml:space="preserve"> </w:t>
      </w:r>
      <w:r w:rsidR="00EB2F0D" w:rsidRPr="00D56988">
        <w:t>their</w:t>
      </w:r>
      <w:r w:rsidR="00573BA7" w:rsidRPr="00D56988">
        <w:t xml:space="preserve"> </w:t>
      </w:r>
      <w:r w:rsidR="00EB2F0D" w:rsidRPr="00D56988">
        <w:t>right</w:t>
      </w:r>
      <w:r w:rsidR="00573BA7" w:rsidRPr="00D56988">
        <w:t xml:space="preserve"> </w:t>
      </w:r>
      <w:r w:rsidR="00EB2F0D" w:rsidRPr="00D56988">
        <w:t>…</w:t>
      </w:r>
      <w:r w:rsidR="00573BA7" w:rsidRPr="00D56988">
        <w:t xml:space="preserve"> </w:t>
      </w:r>
      <w:r w:rsidR="00EB2F0D" w:rsidRPr="00D56988">
        <w:t>not</w:t>
      </w:r>
      <w:r w:rsidR="00573BA7" w:rsidRPr="00D56988">
        <w:t xml:space="preserve"> </w:t>
      </w:r>
      <w:r w:rsidR="00EB2F0D" w:rsidRPr="00D56988">
        <w:t>to</w:t>
      </w:r>
      <w:r w:rsidR="00573BA7" w:rsidRPr="00D56988">
        <w:t xml:space="preserve"> </w:t>
      </w:r>
      <w:r w:rsidR="00EB2F0D" w:rsidRPr="00D56988">
        <w:t>be</w:t>
      </w:r>
      <w:r w:rsidR="00573BA7" w:rsidRPr="00D56988">
        <w:t xml:space="preserve"> </w:t>
      </w:r>
      <w:r w:rsidR="00EB2F0D" w:rsidRPr="00D56988">
        <w:t>deprived</w:t>
      </w:r>
      <w:r w:rsidR="00573BA7" w:rsidRPr="00D56988">
        <w:t xml:space="preserve"> </w:t>
      </w:r>
      <w:r w:rsidR="00EB2F0D" w:rsidRPr="00D56988">
        <w:t>of</w:t>
      </w:r>
      <w:r w:rsidR="00573BA7" w:rsidRPr="00D56988">
        <w:t xml:space="preserve"> </w:t>
      </w:r>
      <w:r w:rsidR="00EB2F0D" w:rsidRPr="00D56988">
        <w:t>work</w:t>
      </w:r>
      <w:r w:rsidR="00573BA7" w:rsidRPr="00D56988">
        <w:t xml:space="preserve"> </w:t>
      </w:r>
      <w:r w:rsidR="00EB2F0D" w:rsidRPr="00D56988">
        <w:t>unfairly’.</w:t>
      </w:r>
      <w:r w:rsidR="00EB2F0D" w:rsidRPr="00D56988">
        <w:rPr>
          <w:rStyle w:val="EndnoteReference"/>
        </w:rPr>
        <w:endnoteReference w:id="60"/>
      </w:r>
      <w:r w:rsidR="00573BA7" w:rsidRPr="00D56988">
        <w:t xml:space="preserve"> </w:t>
      </w:r>
      <w:r w:rsidR="00DC0B40" w:rsidRPr="00D56988">
        <w:t>This</w:t>
      </w:r>
      <w:r w:rsidR="00573BA7" w:rsidRPr="00D56988">
        <w:t xml:space="preserve"> </w:t>
      </w:r>
      <w:r w:rsidR="00DC0B40" w:rsidRPr="00D56988">
        <w:t>is</w:t>
      </w:r>
      <w:r w:rsidR="00573BA7" w:rsidRPr="00D56988">
        <w:t xml:space="preserve"> </w:t>
      </w:r>
      <w:r w:rsidR="007E5997" w:rsidRPr="00D56988">
        <w:t>relevant</w:t>
      </w:r>
      <w:r w:rsidR="00573BA7" w:rsidRPr="00D56988">
        <w:t xml:space="preserve"> </w:t>
      </w:r>
      <w:r w:rsidR="00E610BD" w:rsidRPr="00D56988">
        <w:t>t</w:t>
      </w:r>
      <w:r w:rsidR="00E610BD">
        <w:t>o</w:t>
      </w:r>
      <w:r w:rsidR="00573BA7">
        <w:t xml:space="preserve"> </w:t>
      </w:r>
      <w:r w:rsidR="00E610BD">
        <w:t>Australia’s</w:t>
      </w:r>
      <w:r w:rsidR="00573BA7">
        <w:t xml:space="preserve"> </w:t>
      </w:r>
      <w:r w:rsidR="000B297F" w:rsidRPr="00710E6A">
        <w:t>Fair</w:t>
      </w:r>
      <w:r w:rsidR="00573BA7" w:rsidRPr="00710E6A">
        <w:t xml:space="preserve"> </w:t>
      </w:r>
      <w:r w:rsidR="000B297F" w:rsidRPr="00710E6A">
        <w:t>Work</w:t>
      </w:r>
      <w:r w:rsidR="00573BA7" w:rsidRPr="00710E6A">
        <w:t xml:space="preserve"> </w:t>
      </w:r>
      <w:r w:rsidR="000B297F" w:rsidRPr="00710E6A">
        <w:t>Act</w:t>
      </w:r>
      <w:r w:rsidR="6816E271" w:rsidRPr="00710E6A">
        <w:t>,</w:t>
      </w:r>
      <w:r w:rsidR="00573BA7" w:rsidRPr="07069484">
        <w:rPr>
          <w:i/>
          <w:iCs/>
        </w:rPr>
        <w:t xml:space="preserve"> </w:t>
      </w:r>
      <w:r w:rsidR="003A7D02">
        <w:t>discussed</w:t>
      </w:r>
      <w:r w:rsidR="00573BA7">
        <w:t xml:space="preserve"> </w:t>
      </w:r>
      <w:r w:rsidR="003A7D02" w:rsidRPr="00D56988">
        <w:t>at</w:t>
      </w:r>
      <w:r w:rsidR="00573BA7" w:rsidRPr="00D56988">
        <w:t xml:space="preserve"> </w:t>
      </w:r>
      <w:r w:rsidR="003A7D02" w:rsidRPr="00D56988">
        <w:t>part</w:t>
      </w:r>
      <w:r w:rsidR="00573BA7" w:rsidRPr="00D56988">
        <w:t xml:space="preserve"> </w:t>
      </w:r>
      <w:r w:rsidR="003A7D02" w:rsidRPr="00D56988">
        <w:fldChar w:fldCharType="begin"/>
      </w:r>
      <w:r w:rsidR="003A7D02" w:rsidRPr="00D56988">
        <w:instrText xml:space="preserve"> REF _Ref50721402 \r \h  \* MERGEFORMAT </w:instrText>
      </w:r>
      <w:r w:rsidR="003A7D02" w:rsidRPr="00D56988">
        <w:fldChar w:fldCharType="separate"/>
      </w:r>
      <w:r w:rsidR="003944D6">
        <w:t>160</w:t>
      </w:r>
      <w:r w:rsidR="003A7D02" w:rsidRPr="00D56988">
        <w:fldChar w:fldCharType="end"/>
      </w:r>
      <w:r w:rsidR="00573BA7" w:rsidRPr="00D56988">
        <w:t xml:space="preserve"> </w:t>
      </w:r>
      <w:r w:rsidR="003A7D02" w:rsidRPr="00D56988">
        <w:t>below.</w:t>
      </w:r>
    </w:p>
    <w:p w14:paraId="761E4F12" w14:textId="6F2C4443" w:rsidR="00FE38B4" w:rsidRDefault="00F3121F" w:rsidP="00DA2A0A">
      <w:pPr>
        <w:pStyle w:val="ListParagraph"/>
        <w:numPr>
          <w:ilvl w:val="0"/>
          <w:numId w:val="58"/>
        </w:numPr>
      </w:pPr>
      <w:r>
        <w:t>Article</w:t>
      </w:r>
      <w:r w:rsidR="00573BA7">
        <w:t xml:space="preserve"> </w:t>
      </w:r>
      <w:r>
        <w:t>27</w:t>
      </w:r>
      <w:r w:rsidR="00A74559">
        <w:t>(1)</w:t>
      </w:r>
      <w:r w:rsidR="00573BA7">
        <w:t xml:space="preserve"> </w:t>
      </w:r>
      <w:r>
        <w:t>of</w:t>
      </w:r>
      <w:r w:rsidR="00573BA7">
        <w:t xml:space="preserve"> </w:t>
      </w:r>
      <w:r>
        <w:t>the</w:t>
      </w:r>
      <w:r w:rsidR="00573BA7">
        <w:t xml:space="preserve"> </w:t>
      </w:r>
      <w:r>
        <w:t>CRPD</w:t>
      </w:r>
      <w:r w:rsidR="00573BA7">
        <w:t xml:space="preserve"> </w:t>
      </w:r>
      <w:r w:rsidR="009A05AA">
        <w:t>explicitly</w:t>
      </w:r>
      <w:r w:rsidR="00573BA7">
        <w:t xml:space="preserve"> </w:t>
      </w:r>
      <w:r w:rsidR="009A05AA">
        <w:t>recognises</w:t>
      </w:r>
      <w:r w:rsidR="00573BA7">
        <w:t xml:space="preserve"> </w:t>
      </w:r>
      <w:r w:rsidR="009A05AA">
        <w:t>that</w:t>
      </w:r>
      <w:r w:rsidR="00573BA7">
        <w:t xml:space="preserve"> </w:t>
      </w:r>
      <w:r w:rsidR="00B6720E">
        <w:t>the</w:t>
      </w:r>
      <w:r w:rsidR="00573BA7">
        <w:t xml:space="preserve"> </w:t>
      </w:r>
      <w:r w:rsidR="00A74559">
        <w:t>right</w:t>
      </w:r>
      <w:r w:rsidR="00573BA7">
        <w:t xml:space="preserve"> </w:t>
      </w:r>
      <w:r w:rsidR="00A74559">
        <w:t>to</w:t>
      </w:r>
      <w:r w:rsidR="00573BA7">
        <w:t xml:space="preserve"> </w:t>
      </w:r>
      <w:r w:rsidR="00A74559">
        <w:t>work</w:t>
      </w:r>
      <w:r w:rsidR="00573BA7">
        <w:t xml:space="preserve"> </w:t>
      </w:r>
      <w:r w:rsidR="00A74559">
        <w:t>on</w:t>
      </w:r>
      <w:r w:rsidR="00573BA7">
        <w:t xml:space="preserve"> </w:t>
      </w:r>
      <w:r w:rsidR="00A74559">
        <w:t>an</w:t>
      </w:r>
      <w:r w:rsidR="00573BA7">
        <w:t xml:space="preserve"> </w:t>
      </w:r>
      <w:r w:rsidR="00A74559">
        <w:t>equal</w:t>
      </w:r>
      <w:r w:rsidR="00573BA7">
        <w:t xml:space="preserve"> </w:t>
      </w:r>
      <w:r w:rsidR="00A74559">
        <w:t>basis</w:t>
      </w:r>
      <w:r w:rsidR="00573BA7">
        <w:t xml:space="preserve"> </w:t>
      </w:r>
      <w:r w:rsidR="00A74559">
        <w:t>with</w:t>
      </w:r>
      <w:r w:rsidR="00573BA7">
        <w:t xml:space="preserve"> </w:t>
      </w:r>
      <w:r w:rsidR="00A74559">
        <w:t>others</w:t>
      </w:r>
      <w:r w:rsidR="00573BA7">
        <w:t xml:space="preserve"> </w:t>
      </w:r>
      <w:r w:rsidR="009A05AA">
        <w:t>includes</w:t>
      </w:r>
      <w:r w:rsidR="00573BA7">
        <w:t xml:space="preserve"> </w:t>
      </w:r>
      <w:r w:rsidR="009A05AA">
        <w:t>the</w:t>
      </w:r>
      <w:r w:rsidR="00573BA7">
        <w:t xml:space="preserve"> </w:t>
      </w:r>
      <w:r w:rsidR="009A05AA">
        <w:t>right</w:t>
      </w:r>
      <w:r w:rsidR="00573BA7">
        <w:t xml:space="preserve"> </w:t>
      </w:r>
      <w:r w:rsidR="009A05AA">
        <w:t>to</w:t>
      </w:r>
      <w:r w:rsidR="00573BA7">
        <w:t xml:space="preserve"> </w:t>
      </w:r>
      <w:r w:rsidR="009A05AA">
        <w:t>the</w:t>
      </w:r>
      <w:r w:rsidR="00573BA7">
        <w:t xml:space="preserve"> </w:t>
      </w:r>
      <w:r w:rsidR="009A05AA" w:rsidRPr="00D56988">
        <w:t>opportunity</w:t>
      </w:r>
      <w:r w:rsidR="00573BA7" w:rsidRPr="00D56988">
        <w:t xml:space="preserve"> </w:t>
      </w:r>
      <w:r w:rsidR="009A05AA" w:rsidRPr="00D56988">
        <w:t>to</w:t>
      </w:r>
      <w:r w:rsidR="00573BA7" w:rsidRPr="00D56988">
        <w:t xml:space="preserve"> </w:t>
      </w:r>
      <w:r w:rsidR="009A05AA" w:rsidRPr="00D56988">
        <w:t>gain</w:t>
      </w:r>
      <w:r w:rsidR="00573BA7" w:rsidRPr="00D56988">
        <w:t xml:space="preserve"> </w:t>
      </w:r>
      <w:r w:rsidR="009A05AA" w:rsidRPr="00D56988">
        <w:t>a</w:t>
      </w:r>
      <w:r w:rsidR="00573BA7" w:rsidRPr="00D56988">
        <w:t xml:space="preserve"> </w:t>
      </w:r>
      <w:r w:rsidR="009A05AA" w:rsidRPr="00D56988">
        <w:t>living</w:t>
      </w:r>
      <w:r w:rsidR="00573BA7" w:rsidRPr="00D56988">
        <w:t xml:space="preserve"> </w:t>
      </w:r>
      <w:r w:rsidR="009A05AA" w:rsidRPr="00D56988">
        <w:t>by</w:t>
      </w:r>
      <w:r w:rsidR="00573BA7" w:rsidRPr="00D56988">
        <w:t xml:space="preserve"> </w:t>
      </w:r>
      <w:r w:rsidR="009A05AA" w:rsidRPr="00D56988">
        <w:t>work</w:t>
      </w:r>
      <w:r w:rsidR="00573BA7" w:rsidRPr="00D56988">
        <w:t xml:space="preserve"> </w:t>
      </w:r>
      <w:r w:rsidR="009A05AA" w:rsidRPr="00D56988">
        <w:t>freely</w:t>
      </w:r>
      <w:r w:rsidR="00573BA7" w:rsidRPr="00D56988">
        <w:t xml:space="preserve"> </w:t>
      </w:r>
      <w:r w:rsidR="009A05AA" w:rsidRPr="00D56988">
        <w:t>chosen</w:t>
      </w:r>
      <w:r w:rsidR="00573BA7" w:rsidRPr="00D56988">
        <w:t xml:space="preserve"> </w:t>
      </w:r>
      <w:r w:rsidR="009A05AA" w:rsidRPr="00D56988">
        <w:t>or</w:t>
      </w:r>
      <w:r w:rsidR="00573BA7" w:rsidRPr="00D56988">
        <w:t xml:space="preserve"> </w:t>
      </w:r>
      <w:r w:rsidR="009A05AA" w:rsidRPr="00D56988">
        <w:t>accepted</w:t>
      </w:r>
      <w:r w:rsidR="00573BA7" w:rsidRPr="00D56988">
        <w:t xml:space="preserve"> </w:t>
      </w:r>
      <w:r w:rsidR="009A05AA" w:rsidRPr="00D56988">
        <w:t>in</w:t>
      </w:r>
      <w:r w:rsidR="00573BA7" w:rsidRPr="00D56988">
        <w:t xml:space="preserve"> </w:t>
      </w:r>
      <w:r w:rsidR="009A05AA" w:rsidRPr="00D56988">
        <w:t>a</w:t>
      </w:r>
      <w:r w:rsidR="00573BA7" w:rsidRPr="00D56988">
        <w:t xml:space="preserve"> </w:t>
      </w:r>
      <w:r w:rsidR="009A05AA" w:rsidRPr="00D56988">
        <w:t>labour</w:t>
      </w:r>
      <w:r w:rsidR="00573BA7" w:rsidRPr="00D56988">
        <w:t xml:space="preserve"> </w:t>
      </w:r>
      <w:r w:rsidR="009A05AA" w:rsidRPr="00D56988">
        <w:t>market</w:t>
      </w:r>
      <w:r w:rsidR="00573BA7" w:rsidRPr="00D56988">
        <w:t xml:space="preserve"> </w:t>
      </w:r>
      <w:r w:rsidR="009A05AA" w:rsidRPr="00D56988">
        <w:t>and</w:t>
      </w:r>
      <w:r w:rsidR="00573BA7" w:rsidRPr="00D56988">
        <w:t xml:space="preserve"> </w:t>
      </w:r>
      <w:r w:rsidR="009A05AA" w:rsidRPr="00D56988">
        <w:t>work</w:t>
      </w:r>
      <w:r w:rsidR="00573BA7" w:rsidRPr="00D56988">
        <w:t xml:space="preserve"> </w:t>
      </w:r>
      <w:r w:rsidR="009A05AA" w:rsidRPr="00D56988">
        <w:t>environment</w:t>
      </w:r>
      <w:r w:rsidR="00573BA7" w:rsidRPr="00D56988">
        <w:t xml:space="preserve"> </w:t>
      </w:r>
      <w:r w:rsidR="009A05AA" w:rsidRPr="00D56988">
        <w:t>that</w:t>
      </w:r>
      <w:r w:rsidR="00573BA7" w:rsidRPr="00D56988">
        <w:t xml:space="preserve"> </w:t>
      </w:r>
      <w:r w:rsidR="009A05AA" w:rsidRPr="00D56988">
        <w:t>is</w:t>
      </w:r>
      <w:r w:rsidR="00573BA7" w:rsidRPr="00D56988">
        <w:t xml:space="preserve"> </w:t>
      </w:r>
      <w:r w:rsidR="009A05AA" w:rsidRPr="00D56988">
        <w:t>open,</w:t>
      </w:r>
      <w:r w:rsidR="00573BA7" w:rsidRPr="00D56988">
        <w:t xml:space="preserve"> </w:t>
      </w:r>
      <w:r w:rsidR="009A05AA" w:rsidRPr="00D56988">
        <w:t>inclusive</w:t>
      </w:r>
      <w:r w:rsidR="00573BA7" w:rsidRPr="00D56988">
        <w:t xml:space="preserve"> </w:t>
      </w:r>
      <w:r w:rsidR="009A05AA" w:rsidRPr="00D56988">
        <w:t>and</w:t>
      </w:r>
      <w:r w:rsidR="00573BA7" w:rsidRPr="00D56988">
        <w:t xml:space="preserve"> </w:t>
      </w:r>
      <w:r w:rsidR="009A05AA" w:rsidRPr="00D56988">
        <w:t>accessible</w:t>
      </w:r>
      <w:r w:rsidR="00573BA7" w:rsidRPr="00D56988">
        <w:t xml:space="preserve"> </w:t>
      </w:r>
      <w:r w:rsidR="009A05AA" w:rsidRPr="00D56988">
        <w:t>to</w:t>
      </w:r>
      <w:r w:rsidR="00573BA7" w:rsidRPr="00D56988">
        <w:t xml:space="preserve"> </w:t>
      </w:r>
      <w:r w:rsidR="007F5BA4" w:rsidRPr="00D56988">
        <w:t>people</w:t>
      </w:r>
      <w:r w:rsidR="00573BA7" w:rsidRPr="00D56988">
        <w:t xml:space="preserve"> </w:t>
      </w:r>
      <w:r w:rsidR="007F5BA4" w:rsidRPr="00D56988">
        <w:t>with</w:t>
      </w:r>
      <w:r w:rsidR="00573BA7" w:rsidRPr="00D56988">
        <w:t xml:space="preserve"> </w:t>
      </w:r>
      <w:r w:rsidR="007F5BA4" w:rsidRPr="00D56988">
        <w:t>disabili</w:t>
      </w:r>
      <w:r w:rsidR="007F5BA4">
        <w:t>ty</w:t>
      </w:r>
      <w:r w:rsidR="009A05AA">
        <w:t>.</w:t>
      </w:r>
      <w:r w:rsidR="00573BA7">
        <w:t xml:space="preserve">  </w:t>
      </w:r>
      <w:r w:rsidR="003115CE">
        <w:t>An</w:t>
      </w:r>
      <w:r w:rsidR="00573BA7">
        <w:t xml:space="preserve"> </w:t>
      </w:r>
      <w:r w:rsidR="003115CE">
        <w:t>‘open’</w:t>
      </w:r>
      <w:r w:rsidR="00573BA7">
        <w:t xml:space="preserve"> </w:t>
      </w:r>
      <w:r w:rsidR="003115CE">
        <w:t>labour</w:t>
      </w:r>
      <w:r w:rsidR="00573BA7">
        <w:t xml:space="preserve"> </w:t>
      </w:r>
      <w:r w:rsidR="003115CE">
        <w:t>market</w:t>
      </w:r>
      <w:r w:rsidR="00573BA7">
        <w:t xml:space="preserve"> </w:t>
      </w:r>
      <w:r w:rsidR="003115CE">
        <w:t>can</w:t>
      </w:r>
      <w:r w:rsidR="00573BA7">
        <w:t xml:space="preserve"> </w:t>
      </w:r>
      <w:r w:rsidR="003115CE">
        <w:t>be</w:t>
      </w:r>
      <w:r w:rsidR="00573BA7">
        <w:t xml:space="preserve"> </w:t>
      </w:r>
      <w:r w:rsidR="003115CE">
        <w:t>contrasted</w:t>
      </w:r>
      <w:r w:rsidR="00573BA7">
        <w:t xml:space="preserve"> </w:t>
      </w:r>
      <w:r w:rsidR="003115CE">
        <w:t>with</w:t>
      </w:r>
      <w:r w:rsidR="00573BA7">
        <w:t xml:space="preserve"> </w:t>
      </w:r>
      <w:r w:rsidR="003115CE">
        <w:t>sheltered</w:t>
      </w:r>
      <w:r w:rsidR="00573BA7">
        <w:t xml:space="preserve"> </w:t>
      </w:r>
      <w:r w:rsidR="003115CE">
        <w:t>employment</w:t>
      </w:r>
      <w:r w:rsidR="00620388">
        <w:t>,</w:t>
      </w:r>
      <w:r w:rsidR="00573BA7">
        <w:t xml:space="preserve"> </w:t>
      </w:r>
      <w:r w:rsidR="00455BD3">
        <w:t xml:space="preserve">such as </w:t>
      </w:r>
      <w:r w:rsidR="00620388">
        <w:t>that</w:t>
      </w:r>
      <w:r w:rsidR="00573BA7">
        <w:t xml:space="preserve"> </w:t>
      </w:r>
      <w:r w:rsidR="00620388">
        <w:t>offered</w:t>
      </w:r>
      <w:r w:rsidR="00573BA7">
        <w:t xml:space="preserve"> </w:t>
      </w:r>
      <w:r w:rsidR="00620388">
        <w:t>by</w:t>
      </w:r>
      <w:r w:rsidR="00573BA7">
        <w:t xml:space="preserve"> </w:t>
      </w:r>
      <w:r w:rsidR="00620388">
        <w:t>A</w:t>
      </w:r>
      <w:r w:rsidR="00374A14">
        <w:t xml:space="preserve">ustralian </w:t>
      </w:r>
      <w:r w:rsidR="00620388">
        <w:t>D</w:t>
      </w:r>
      <w:r w:rsidR="00374A14">
        <w:t xml:space="preserve">isability </w:t>
      </w:r>
      <w:r w:rsidR="00620388">
        <w:t>E</w:t>
      </w:r>
      <w:r w:rsidR="00374A14">
        <w:t>nterprise</w:t>
      </w:r>
      <w:r w:rsidR="00620388">
        <w:t>s</w:t>
      </w:r>
      <w:r w:rsidR="00374A14">
        <w:t xml:space="preserve"> (ADEs)</w:t>
      </w:r>
      <w:r w:rsidR="00620388">
        <w:t>,</w:t>
      </w:r>
      <w:r w:rsidR="00573BA7">
        <w:t xml:space="preserve"> </w:t>
      </w:r>
      <w:r w:rsidR="00EA1B52">
        <w:t>where</w:t>
      </w:r>
      <w:r w:rsidR="00573BA7">
        <w:t xml:space="preserve"> </w:t>
      </w:r>
      <w:r w:rsidR="00EA1B52">
        <w:t>jobs</w:t>
      </w:r>
      <w:r w:rsidR="00573BA7">
        <w:t xml:space="preserve"> </w:t>
      </w:r>
      <w:r w:rsidR="002148E9">
        <w:t>and</w:t>
      </w:r>
      <w:r w:rsidR="00573BA7">
        <w:t xml:space="preserve"> </w:t>
      </w:r>
      <w:r w:rsidR="002148E9">
        <w:t>wages</w:t>
      </w:r>
      <w:r w:rsidR="00573BA7">
        <w:t xml:space="preserve"> </w:t>
      </w:r>
      <w:r w:rsidR="00EA1B52">
        <w:t>are</w:t>
      </w:r>
      <w:r w:rsidR="00573BA7">
        <w:t xml:space="preserve"> </w:t>
      </w:r>
      <w:r w:rsidR="002148E9">
        <w:t>allocated</w:t>
      </w:r>
      <w:r w:rsidR="00573BA7">
        <w:t xml:space="preserve"> </w:t>
      </w:r>
      <w:r w:rsidR="00EA1B52">
        <w:t>specifically</w:t>
      </w:r>
      <w:r w:rsidR="00573BA7">
        <w:t xml:space="preserve"> </w:t>
      </w:r>
      <w:r w:rsidR="002148E9">
        <w:t>on</w:t>
      </w:r>
      <w:r w:rsidR="00573BA7">
        <w:t xml:space="preserve"> </w:t>
      </w:r>
      <w:r w:rsidR="002148E9">
        <w:t>the</w:t>
      </w:r>
      <w:r w:rsidR="00573BA7">
        <w:t xml:space="preserve"> </w:t>
      </w:r>
      <w:r w:rsidR="00B97223">
        <w:t>basis</w:t>
      </w:r>
      <w:r w:rsidR="00573BA7">
        <w:t xml:space="preserve"> </w:t>
      </w:r>
      <w:r w:rsidR="00B97223">
        <w:t>of</w:t>
      </w:r>
      <w:r w:rsidR="00573BA7">
        <w:t xml:space="preserve"> </w:t>
      </w:r>
      <w:r w:rsidR="00B97223">
        <w:t>disability.</w:t>
      </w:r>
      <w:r w:rsidR="00573BA7">
        <w:t xml:space="preserve">  </w:t>
      </w:r>
      <w:r w:rsidR="002B2C20">
        <w:t>The</w:t>
      </w:r>
      <w:r w:rsidR="00573BA7">
        <w:t xml:space="preserve"> </w:t>
      </w:r>
      <w:r w:rsidR="002B2C20">
        <w:t>CRPD</w:t>
      </w:r>
      <w:r w:rsidR="00573BA7">
        <w:t xml:space="preserve"> </w:t>
      </w:r>
      <w:r w:rsidR="002B2C20">
        <w:t>Committee</w:t>
      </w:r>
      <w:r w:rsidR="00573BA7">
        <w:t xml:space="preserve"> </w:t>
      </w:r>
      <w:r w:rsidR="00C54456">
        <w:t>has</w:t>
      </w:r>
      <w:r w:rsidR="00573BA7">
        <w:t xml:space="preserve"> </w:t>
      </w:r>
      <w:r w:rsidR="00C54456">
        <w:t>repeatedly</w:t>
      </w:r>
      <w:r w:rsidR="00573BA7">
        <w:t xml:space="preserve"> </w:t>
      </w:r>
      <w:r w:rsidR="00C54456">
        <w:t>expressed</w:t>
      </w:r>
      <w:r w:rsidR="00573BA7">
        <w:t xml:space="preserve"> </w:t>
      </w:r>
      <w:r w:rsidR="00C54456">
        <w:t>concerns</w:t>
      </w:r>
      <w:r w:rsidR="00573BA7">
        <w:t xml:space="preserve"> </w:t>
      </w:r>
      <w:r w:rsidR="00C54456">
        <w:t>about</w:t>
      </w:r>
      <w:r w:rsidR="00573BA7">
        <w:t xml:space="preserve"> </w:t>
      </w:r>
      <w:r w:rsidR="00C54456">
        <w:t>the</w:t>
      </w:r>
      <w:r w:rsidR="00573BA7">
        <w:t xml:space="preserve"> </w:t>
      </w:r>
      <w:r w:rsidR="00C54456">
        <w:t>ineffectiveness</w:t>
      </w:r>
      <w:r w:rsidR="00573BA7">
        <w:t xml:space="preserve"> </w:t>
      </w:r>
      <w:r w:rsidR="00C54456">
        <w:t>of</w:t>
      </w:r>
      <w:r w:rsidR="00573BA7">
        <w:t xml:space="preserve"> </w:t>
      </w:r>
      <w:r w:rsidR="00C54456">
        <w:t>sheltered</w:t>
      </w:r>
      <w:r w:rsidR="00573BA7">
        <w:t xml:space="preserve"> </w:t>
      </w:r>
      <w:r w:rsidR="00C54456">
        <w:t>employment</w:t>
      </w:r>
      <w:r w:rsidR="00573BA7">
        <w:t xml:space="preserve"> </w:t>
      </w:r>
      <w:r w:rsidR="00C54456">
        <w:t>in</w:t>
      </w:r>
      <w:r w:rsidR="00573BA7">
        <w:t xml:space="preserve"> </w:t>
      </w:r>
      <w:r w:rsidR="00C54456">
        <w:t>promoting</w:t>
      </w:r>
      <w:r w:rsidR="00573BA7">
        <w:t xml:space="preserve"> </w:t>
      </w:r>
      <w:r w:rsidR="00C54456">
        <w:t>employment</w:t>
      </w:r>
      <w:r w:rsidR="00573BA7">
        <w:t xml:space="preserve"> </w:t>
      </w:r>
      <w:r w:rsidR="00C54456">
        <w:t>of</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rsidR="00CB21D2">
        <w:t>in</w:t>
      </w:r>
      <w:r w:rsidR="00573BA7">
        <w:t xml:space="preserve"> </w:t>
      </w:r>
      <w:r w:rsidR="00CB21D2">
        <w:t>the</w:t>
      </w:r>
      <w:r w:rsidR="00573BA7">
        <w:t xml:space="preserve"> </w:t>
      </w:r>
      <w:r w:rsidR="00CB21D2">
        <w:t>open</w:t>
      </w:r>
      <w:r w:rsidR="00573BA7">
        <w:t xml:space="preserve"> </w:t>
      </w:r>
      <w:r w:rsidR="00CB21D2">
        <w:t>labour</w:t>
      </w:r>
      <w:r w:rsidR="00573BA7">
        <w:t xml:space="preserve"> </w:t>
      </w:r>
      <w:r w:rsidR="00CB21D2">
        <w:t>market</w:t>
      </w:r>
      <w:r w:rsidR="00483803">
        <w:t>,</w:t>
      </w:r>
      <w:r w:rsidR="00573BA7">
        <w:t xml:space="preserve"> </w:t>
      </w:r>
      <w:r w:rsidR="00483803">
        <w:t>as</w:t>
      </w:r>
      <w:r w:rsidR="00573BA7">
        <w:t xml:space="preserve"> </w:t>
      </w:r>
      <w:r w:rsidR="00483803">
        <w:t>discussed</w:t>
      </w:r>
      <w:r w:rsidR="00573BA7">
        <w:t xml:space="preserve"> </w:t>
      </w:r>
      <w:r w:rsidR="00483803">
        <w:t>at</w:t>
      </w:r>
      <w:r w:rsidR="00573BA7">
        <w:t xml:space="preserve"> </w:t>
      </w:r>
      <w:r w:rsidR="00483803" w:rsidRPr="00D56988">
        <w:t>part</w:t>
      </w:r>
      <w:r w:rsidR="00573BA7" w:rsidRPr="00D56988">
        <w:t xml:space="preserve"> </w:t>
      </w:r>
      <w:r w:rsidR="00D56988">
        <w:fldChar w:fldCharType="begin"/>
      </w:r>
      <w:r w:rsidR="00D56988">
        <w:instrText xml:space="preserve"> REF _Ref50804112 \w \h </w:instrText>
      </w:r>
      <w:r w:rsidR="00D56988">
        <w:fldChar w:fldCharType="separate"/>
      </w:r>
      <w:r w:rsidR="003944D6">
        <w:t>5.1</w:t>
      </w:r>
      <w:r w:rsidR="00D56988">
        <w:fldChar w:fldCharType="end"/>
      </w:r>
      <w:r w:rsidR="00573BA7">
        <w:t xml:space="preserve"> </w:t>
      </w:r>
      <w:r w:rsidR="00483803">
        <w:t>of</w:t>
      </w:r>
      <w:r w:rsidR="00573BA7">
        <w:t xml:space="preserve"> </w:t>
      </w:r>
      <w:r w:rsidR="00483803">
        <w:t>this</w:t>
      </w:r>
      <w:r w:rsidR="00573BA7">
        <w:t xml:space="preserve"> </w:t>
      </w:r>
      <w:r w:rsidR="00483803">
        <w:t>submission</w:t>
      </w:r>
      <w:r w:rsidR="00CB21D2">
        <w:t>.</w:t>
      </w:r>
      <w:r w:rsidR="00CB21D2">
        <w:rPr>
          <w:rStyle w:val="EndnoteReference"/>
        </w:rPr>
        <w:endnoteReference w:id="61"/>
      </w:r>
    </w:p>
    <w:p w14:paraId="412C8E8E" w14:textId="7BAC1303" w:rsidR="009A05AA" w:rsidRPr="009B178F" w:rsidRDefault="009A05AA" w:rsidP="00DA2A0A">
      <w:pPr>
        <w:pStyle w:val="ListParagraph"/>
        <w:numPr>
          <w:ilvl w:val="0"/>
          <w:numId w:val="58"/>
        </w:numPr>
      </w:pPr>
      <w:r>
        <w:t>Article</w:t>
      </w:r>
      <w:r w:rsidR="00573BA7">
        <w:t xml:space="preserve"> </w:t>
      </w:r>
      <w:r>
        <w:t>27(1)</w:t>
      </w:r>
      <w:r w:rsidR="00573BA7">
        <w:t xml:space="preserve"> </w:t>
      </w:r>
      <w:r w:rsidR="00AA30BE">
        <w:t>of</w:t>
      </w:r>
      <w:r w:rsidR="00573BA7">
        <w:t xml:space="preserve"> </w:t>
      </w:r>
      <w:r w:rsidR="00AA30BE">
        <w:t>the</w:t>
      </w:r>
      <w:r w:rsidR="00573BA7">
        <w:t xml:space="preserve"> </w:t>
      </w:r>
      <w:r w:rsidR="00AA30BE">
        <w:t>CRPD</w:t>
      </w:r>
      <w:r w:rsidR="00573BA7">
        <w:t xml:space="preserve"> </w:t>
      </w:r>
      <w:r w:rsidR="00AA30BE">
        <w:t>explicitly</w:t>
      </w:r>
      <w:r w:rsidR="00573BA7">
        <w:t xml:space="preserve"> </w:t>
      </w:r>
      <w:r w:rsidR="00063601">
        <w:t>sets</w:t>
      </w:r>
      <w:r w:rsidR="00573BA7">
        <w:t xml:space="preserve"> </w:t>
      </w:r>
      <w:r w:rsidR="00063601">
        <w:t>out</w:t>
      </w:r>
      <w:r w:rsidR="00573BA7">
        <w:t xml:space="preserve"> </w:t>
      </w:r>
      <w:r>
        <w:t>the</w:t>
      </w:r>
      <w:r w:rsidR="00573BA7">
        <w:t xml:space="preserve"> </w:t>
      </w:r>
      <w:r>
        <w:t>content</w:t>
      </w:r>
      <w:r w:rsidR="00573BA7">
        <w:t xml:space="preserve"> </w:t>
      </w:r>
      <w:r>
        <w:t>of</w:t>
      </w:r>
      <w:r w:rsidR="00573BA7">
        <w:t xml:space="preserve"> </w:t>
      </w:r>
      <w:r w:rsidR="005A6356">
        <w:t>States</w:t>
      </w:r>
      <w:r w:rsidR="00573BA7">
        <w:t xml:space="preserve"> </w:t>
      </w:r>
      <w:r w:rsidR="005A6356">
        <w:t>Parties’</w:t>
      </w:r>
      <w:r w:rsidR="00573BA7">
        <w:t xml:space="preserve"> </w:t>
      </w:r>
      <w:r>
        <w:t>obligations</w:t>
      </w:r>
      <w:r w:rsidR="00573BA7">
        <w:t xml:space="preserve"> </w:t>
      </w:r>
      <w:r>
        <w:t>in</w:t>
      </w:r>
      <w:r w:rsidR="00573BA7">
        <w:t xml:space="preserve"> </w:t>
      </w:r>
      <w:r>
        <w:t>relation</w:t>
      </w:r>
      <w:r w:rsidR="00573BA7">
        <w:t xml:space="preserve"> </w:t>
      </w:r>
      <w:r>
        <w:t>to</w:t>
      </w:r>
      <w:r w:rsidR="00573BA7">
        <w:t xml:space="preserve"> </w:t>
      </w:r>
      <w:r>
        <w:t>the</w:t>
      </w:r>
      <w:r w:rsidR="00573BA7">
        <w:t xml:space="preserve"> </w:t>
      </w:r>
      <w:r>
        <w:t>right</w:t>
      </w:r>
      <w:r w:rsidR="00573BA7">
        <w:t xml:space="preserve"> </w:t>
      </w:r>
      <w:r>
        <w:t>of</w:t>
      </w:r>
      <w:r w:rsidR="00573BA7">
        <w:t xml:space="preserve"> </w:t>
      </w:r>
      <w:r>
        <w:t>persons</w:t>
      </w:r>
      <w:r w:rsidR="00573BA7">
        <w:t xml:space="preserve"> </w:t>
      </w:r>
      <w:r>
        <w:t>with</w:t>
      </w:r>
      <w:r w:rsidR="00573BA7">
        <w:t xml:space="preserve"> </w:t>
      </w:r>
      <w:r>
        <w:t>disability</w:t>
      </w:r>
      <w:r w:rsidR="00573BA7">
        <w:t xml:space="preserve"> </w:t>
      </w:r>
      <w:r>
        <w:t>to</w:t>
      </w:r>
      <w:r w:rsidR="00573BA7">
        <w:t xml:space="preserve"> </w:t>
      </w:r>
      <w:r>
        <w:t>work.</w:t>
      </w:r>
      <w:r w:rsidR="00573BA7">
        <w:t xml:space="preserve">  </w:t>
      </w:r>
      <w:r>
        <w:t>It</w:t>
      </w:r>
      <w:r w:rsidR="00573BA7">
        <w:t xml:space="preserve"> </w:t>
      </w:r>
      <w:r>
        <w:t>provides</w:t>
      </w:r>
      <w:r w:rsidR="00573BA7">
        <w:t xml:space="preserve"> </w:t>
      </w:r>
      <w:r>
        <w:t>that</w:t>
      </w:r>
      <w:r w:rsidR="00573BA7">
        <w:t xml:space="preserve"> </w:t>
      </w:r>
      <w:r>
        <w:t>States</w:t>
      </w:r>
      <w:r w:rsidR="00573BA7">
        <w:t xml:space="preserve"> </w:t>
      </w:r>
      <w:r>
        <w:t>Parties</w:t>
      </w:r>
      <w:r w:rsidR="00573BA7">
        <w:t xml:space="preserve"> </w:t>
      </w:r>
      <w:r w:rsidRPr="009B178F">
        <w:t>must</w:t>
      </w:r>
      <w:r w:rsidR="00573BA7" w:rsidRPr="009B178F">
        <w:t xml:space="preserve"> </w:t>
      </w:r>
      <w:r w:rsidRPr="009B178F">
        <w:t>safeguard</w:t>
      </w:r>
      <w:r w:rsidR="00573BA7" w:rsidRPr="009B178F">
        <w:t xml:space="preserve"> </w:t>
      </w:r>
      <w:r w:rsidRPr="009B178F">
        <w:t>and</w:t>
      </w:r>
      <w:r w:rsidR="00573BA7" w:rsidRPr="009B178F">
        <w:t xml:space="preserve"> </w:t>
      </w:r>
      <w:r w:rsidRPr="009B178F">
        <w:t>promote</w:t>
      </w:r>
      <w:r w:rsidR="00573BA7" w:rsidRPr="009B178F">
        <w:t xml:space="preserve"> </w:t>
      </w:r>
      <w:r w:rsidRPr="009B178F">
        <w:t>the</w:t>
      </w:r>
      <w:r w:rsidR="00573BA7" w:rsidRPr="009B178F">
        <w:t xml:space="preserve"> </w:t>
      </w:r>
      <w:r w:rsidRPr="009B178F">
        <w:t>realisation</w:t>
      </w:r>
      <w:r w:rsidR="00573BA7" w:rsidRPr="009B178F">
        <w:t xml:space="preserve"> </w:t>
      </w:r>
      <w:r w:rsidRPr="009B178F">
        <w:t>of</w:t>
      </w:r>
      <w:r w:rsidR="00573BA7" w:rsidRPr="009B178F">
        <w:t xml:space="preserve"> </w:t>
      </w:r>
      <w:r w:rsidRPr="009B178F">
        <w:t>the</w:t>
      </w:r>
      <w:r w:rsidR="00573BA7" w:rsidRPr="009B178F">
        <w:t xml:space="preserve"> </w:t>
      </w:r>
      <w:r w:rsidRPr="009B178F">
        <w:t>right</w:t>
      </w:r>
      <w:r w:rsidR="00573BA7" w:rsidRPr="009B178F">
        <w:t xml:space="preserve"> </w:t>
      </w:r>
      <w:r w:rsidRPr="009B178F">
        <w:t>to</w:t>
      </w:r>
      <w:r w:rsidR="00573BA7" w:rsidRPr="009B178F">
        <w:t xml:space="preserve"> </w:t>
      </w:r>
      <w:r w:rsidRPr="009B178F">
        <w:t>work</w:t>
      </w:r>
      <w:r w:rsidR="00573BA7" w:rsidRPr="009B178F">
        <w:t xml:space="preserve"> </w:t>
      </w:r>
      <w:r w:rsidRPr="009B178F">
        <w:t>by</w:t>
      </w:r>
      <w:r w:rsidR="00573BA7" w:rsidRPr="009B178F">
        <w:t xml:space="preserve"> </w:t>
      </w:r>
      <w:r w:rsidRPr="009B178F">
        <w:t>taking</w:t>
      </w:r>
      <w:r w:rsidR="00573BA7" w:rsidRPr="009B178F">
        <w:t xml:space="preserve"> </w:t>
      </w:r>
      <w:r w:rsidRPr="009B178F">
        <w:t>appropriate</w:t>
      </w:r>
      <w:r w:rsidR="00573BA7" w:rsidRPr="009B178F">
        <w:t xml:space="preserve"> </w:t>
      </w:r>
      <w:r w:rsidRPr="009B178F">
        <w:t>steps,</w:t>
      </w:r>
      <w:r w:rsidR="00573BA7" w:rsidRPr="009B178F">
        <w:t xml:space="preserve"> </w:t>
      </w:r>
      <w:r w:rsidRPr="009B178F">
        <w:t>including</w:t>
      </w:r>
      <w:r w:rsidR="00573BA7" w:rsidRPr="009B178F">
        <w:t xml:space="preserve"> </w:t>
      </w:r>
      <w:r w:rsidRPr="009B178F">
        <w:t>through</w:t>
      </w:r>
      <w:r w:rsidR="00573BA7" w:rsidRPr="009B178F">
        <w:t xml:space="preserve"> </w:t>
      </w:r>
      <w:r w:rsidRPr="009B178F">
        <w:t>legislation,</w:t>
      </w:r>
      <w:r w:rsidR="00573BA7" w:rsidRPr="009B178F">
        <w:t xml:space="preserve"> </w:t>
      </w:r>
      <w:r w:rsidRPr="009B178F">
        <w:t>to:</w:t>
      </w:r>
    </w:p>
    <w:p w14:paraId="6565A631" w14:textId="6B2F5905" w:rsidR="009A05AA" w:rsidRPr="009B178F" w:rsidRDefault="009A05AA" w:rsidP="00DA2A0A">
      <w:pPr>
        <w:pStyle w:val="ListParagraph"/>
        <w:numPr>
          <w:ilvl w:val="1"/>
          <w:numId w:val="58"/>
        </w:numPr>
      </w:pPr>
      <w:r w:rsidRPr="009B178F">
        <w:t>Prohibit</w:t>
      </w:r>
      <w:r w:rsidR="00573BA7" w:rsidRPr="009B178F">
        <w:t xml:space="preserve"> </w:t>
      </w:r>
      <w:r w:rsidRPr="009B178F">
        <w:t>discrimination</w:t>
      </w:r>
      <w:r w:rsidR="00573BA7" w:rsidRPr="009B178F">
        <w:t xml:space="preserve"> </w:t>
      </w:r>
      <w:r w:rsidRPr="009B178F">
        <w:t>on</w:t>
      </w:r>
      <w:r w:rsidR="00573BA7" w:rsidRPr="009B178F">
        <w:t xml:space="preserve"> </w:t>
      </w:r>
      <w:r w:rsidRPr="009B178F">
        <w:t>the</w:t>
      </w:r>
      <w:r w:rsidR="00573BA7" w:rsidRPr="009B178F">
        <w:t xml:space="preserve"> </w:t>
      </w:r>
      <w:r w:rsidRPr="009B178F">
        <w:t>basis</w:t>
      </w:r>
      <w:r w:rsidR="00573BA7" w:rsidRPr="009B178F">
        <w:t xml:space="preserve"> </w:t>
      </w:r>
      <w:r w:rsidRPr="009B178F">
        <w:t>of</w:t>
      </w:r>
      <w:r w:rsidR="00573BA7" w:rsidRPr="009B178F">
        <w:t xml:space="preserve"> </w:t>
      </w:r>
      <w:r w:rsidRPr="009B178F">
        <w:t>disability</w:t>
      </w:r>
      <w:r w:rsidR="00573BA7" w:rsidRPr="009B178F">
        <w:t xml:space="preserve"> </w:t>
      </w:r>
      <w:r w:rsidRPr="009B178F">
        <w:t>with</w:t>
      </w:r>
      <w:r w:rsidR="00573BA7" w:rsidRPr="009B178F">
        <w:t xml:space="preserve"> </w:t>
      </w:r>
      <w:r w:rsidRPr="009B178F">
        <w:t>regard</w:t>
      </w:r>
      <w:r w:rsidR="00573BA7" w:rsidRPr="009B178F">
        <w:t xml:space="preserve"> </w:t>
      </w:r>
      <w:r w:rsidRPr="009B178F">
        <w:t>to</w:t>
      </w:r>
      <w:r w:rsidR="00573BA7" w:rsidRPr="009B178F">
        <w:t xml:space="preserve"> </w:t>
      </w:r>
      <w:r w:rsidRPr="009B178F">
        <w:t>all</w:t>
      </w:r>
      <w:r w:rsidR="00573BA7" w:rsidRPr="009B178F">
        <w:t xml:space="preserve"> </w:t>
      </w:r>
      <w:r w:rsidRPr="009B178F">
        <w:t>matters</w:t>
      </w:r>
      <w:r w:rsidR="00573BA7" w:rsidRPr="009B178F">
        <w:t xml:space="preserve"> </w:t>
      </w:r>
      <w:r w:rsidRPr="009B178F">
        <w:t>concerning</w:t>
      </w:r>
      <w:r w:rsidR="00573BA7" w:rsidRPr="009B178F">
        <w:t xml:space="preserve"> </w:t>
      </w:r>
      <w:r w:rsidRPr="009B178F">
        <w:t>all</w:t>
      </w:r>
      <w:r w:rsidR="00573BA7" w:rsidRPr="009B178F">
        <w:t xml:space="preserve"> </w:t>
      </w:r>
      <w:r w:rsidRPr="009B178F">
        <w:t>forms</w:t>
      </w:r>
      <w:r w:rsidR="00573BA7" w:rsidRPr="009B178F">
        <w:t xml:space="preserve"> </w:t>
      </w:r>
      <w:r w:rsidRPr="009B178F">
        <w:t>of</w:t>
      </w:r>
      <w:r w:rsidR="00573BA7" w:rsidRPr="009B178F">
        <w:t xml:space="preserve"> </w:t>
      </w:r>
      <w:r w:rsidRPr="009B178F">
        <w:t>employment,</w:t>
      </w:r>
      <w:r w:rsidR="00573BA7" w:rsidRPr="009B178F">
        <w:t xml:space="preserve"> </w:t>
      </w:r>
      <w:r w:rsidRPr="009B178F">
        <w:t>including</w:t>
      </w:r>
      <w:r w:rsidR="00573BA7" w:rsidRPr="009B178F">
        <w:t xml:space="preserve"> </w:t>
      </w:r>
      <w:r w:rsidRPr="009B178F">
        <w:t>conditions</w:t>
      </w:r>
      <w:r w:rsidR="00573BA7" w:rsidRPr="009B178F">
        <w:t xml:space="preserve"> </w:t>
      </w:r>
      <w:r w:rsidRPr="009B178F">
        <w:t>of</w:t>
      </w:r>
      <w:r w:rsidR="00573BA7" w:rsidRPr="009B178F">
        <w:t xml:space="preserve"> </w:t>
      </w:r>
      <w:r w:rsidRPr="009B178F">
        <w:t>recruitment,</w:t>
      </w:r>
      <w:r w:rsidR="00573BA7" w:rsidRPr="009B178F">
        <w:t xml:space="preserve"> </w:t>
      </w:r>
      <w:r w:rsidRPr="009B178F">
        <w:t>hiring</w:t>
      </w:r>
      <w:r w:rsidR="00573BA7" w:rsidRPr="009B178F">
        <w:t xml:space="preserve"> </w:t>
      </w:r>
      <w:r w:rsidRPr="009B178F">
        <w:t>and</w:t>
      </w:r>
      <w:r w:rsidR="00573BA7" w:rsidRPr="009B178F">
        <w:t xml:space="preserve"> </w:t>
      </w:r>
      <w:r w:rsidRPr="009B178F">
        <w:t>employment,</w:t>
      </w:r>
      <w:r w:rsidR="00573BA7" w:rsidRPr="009B178F">
        <w:t xml:space="preserve"> </w:t>
      </w:r>
      <w:r w:rsidRPr="009B178F">
        <w:t>continuance</w:t>
      </w:r>
      <w:r w:rsidR="00573BA7" w:rsidRPr="009B178F">
        <w:t xml:space="preserve"> </w:t>
      </w:r>
      <w:r w:rsidRPr="009B178F">
        <w:t>of</w:t>
      </w:r>
      <w:r w:rsidR="00573BA7" w:rsidRPr="009B178F">
        <w:t xml:space="preserve"> </w:t>
      </w:r>
      <w:r w:rsidRPr="009B178F">
        <w:t>employment,</w:t>
      </w:r>
      <w:r w:rsidR="00573BA7" w:rsidRPr="009B178F">
        <w:t xml:space="preserve"> </w:t>
      </w:r>
      <w:r w:rsidRPr="009B178F">
        <w:t>career</w:t>
      </w:r>
      <w:r w:rsidR="00573BA7" w:rsidRPr="009B178F">
        <w:t xml:space="preserve"> </w:t>
      </w:r>
      <w:r w:rsidRPr="009B178F">
        <w:t>advancement</w:t>
      </w:r>
      <w:r w:rsidR="00573BA7" w:rsidRPr="009B178F">
        <w:t xml:space="preserve"> </w:t>
      </w:r>
      <w:r w:rsidRPr="009B178F">
        <w:t>and</w:t>
      </w:r>
      <w:r w:rsidR="00573BA7" w:rsidRPr="009B178F">
        <w:t xml:space="preserve"> </w:t>
      </w:r>
      <w:r w:rsidRPr="009B178F">
        <w:t>safe</w:t>
      </w:r>
      <w:r w:rsidR="00573BA7" w:rsidRPr="009B178F">
        <w:t xml:space="preserve"> </w:t>
      </w:r>
      <w:r w:rsidRPr="009B178F">
        <w:t>and</w:t>
      </w:r>
      <w:r w:rsidR="00573BA7" w:rsidRPr="009B178F">
        <w:t xml:space="preserve"> </w:t>
      </w:r>
      <w:r w:rsidRPr="009B178F">
        <w:t>healthy</w:t>
      </w:r>
      <w:r w:rsidR="00573BA7" w:rsidRPr="009B178F">
        <w:t xml:space="preserve"> </w:t>
      </w:r>
      <w:r w:rsidRPr="009B178F">
        <w:t>working</w:t>
      </w:r>
      <w:r w:rsidR="00573BA7" w:rsidRPr="009B178F">
        <w:t xml:space="preserve"> </w:t>
      </w:r>
      <w:r w:rsidRPr="009B178F">
        <w:t>conditions.</w:t>
      </w:r>
      <w:r w:rsidR="00E04E12" w:rsidRPr="009B178F">
        <w:rPr>
          <w:rStyle w:val="EndnoteReference"/>
        </w:rPr>
        <w:endnoteReference w:id="62"/>
      </w:r>
    </w:p>
    <w:p w14:paraId="07A58005" w14:textId="28904DD9" w:rsidR="009A05AA" w:rsidRDefault="009A05AA" w:rsidP="00DA2A0A">
      <w:pPr>
        <w:pStyle w:val="ListParagraph"/>
        <w:numPr>
          <w:ilvl w:val="1"/>
          <w:numId w:val="58"/>
        </w:numPr>
      </w:pPr>
      <w:r w:rsidRPr="009B178F">
        <w:t>Protect</w:t>
      </w:r>
      <w:r w:rsidR="00573BA7" w:rsidRPr="009B178F">
        <w:t xml:space="preserve"> </w:t>
      </w:r>
      <w:r w:rsidRPr="009B178F">
        <w:t>the</w:t>
      </w:r>
      <w:r w:rsidR="00573BA7" w:rsidRPr="009B178F">
        <w:t xml:space="preserve"> </w:t>
      </w:r>
      <w:r w:rsidRPr="009B178F">
        <w:t>rights</w:t>
      </w:r>
      <w:r w:rsidR="00573BA7" w:rsidRPr="009B178F">
        <w:t xml:space="preserve"> </w:t>
      </w:r>
      <w:r w:rsidRPr="009B178F">
        <w:t>of</w:t>
      </w:r>
      <w:r w:rsidR="00573BA7" w:rsidRPr="009B178F">
        <w:t xml:space="preserve"> </w:t>
      </w:r>
      <w:r w:rsidR="007F5BA4" w:rsidRPr="009B178F">
        <w:t>people</w:t>
      </w:r>
      <w:r w:rsidR="00573BA7" w:rsidRPr="009B178F">
        <w:t xml:space="preserve"> </w:t>
      </w:r>
      <w:r w:rsidR="007F5BA4" w:rsidRPr="009B178F">
        <w:t>with</w:t>
      </w:r>
      <w:r w:rsidR="00573BA7" w:rsidRPr="009B178F">
        <w:t xml:space="preserve"> </w:t>
      </w:r>
      <w:r w:rsidR="007F5BA4" w:rsidRPr="009B178F">
        <w:t>disability</w:t>
      </w:r>
      <w:r w:rsidRPr="009B178F">
        <w:t>,</w:t>
      </w:r>
      <w:r w:rsidR="00573BA7" w:rsidRPr="009B178F">
        <w:t xml:space="preserve"> </w:t>
      </w:r>
      <w:r w:rsidRPr="009B178F">
        <w:t>on</w:t>
      </w:r>
      <w:r w:rsidR="00573BA7" w:rsidRPr="009B178F">
        <w:t xml:space="preserve"> </w:t>
      </w:r>
      <w:r w:rsidRPr="009B178F">
        <w:t>an</w:t>
      </w:r>
      <w:r w:rsidR="00573BA7" w:rsidRPr="009B178F">
        <w:t xml:space="preserve"> </w:t>
      </w:r>
      <w:r w:rsidRPr="009B178F">
        <w:t>equal</w:t>
      </w:r>
      <w:r w:rsidR="00573BA7" w:rsidRPr="009B178F">
        <w:t xml:space="preserve"> </w:t>
      </w:r>
      <w:r w:rsidRPr="009B178F">
        <w:t>basis</w:t>
      </w:r>
      <w:r w:rsidR="00573BA7" w:rsidRPr="009B178F">
        <w:t xml:space="preserve"> </w:t>
      </w:r>
      <w:r w:rsidRPr="009B178F">
        <w:t>with</w:t>
      </w:r>
      <w:r w:rsidR="00573BA7" w:rsidRPr="009B178F">
        <w:t xml:space="preserve"> </w:t>
      </w:r>
      <w:r w:rsidRPr="009B178F">
        <w:t>others,</w:t>
      </w:r>
      <w:r w:rsidR="00573BA7" w:rsidRPr="009B178F">
        <w:t xml:space="preserve"> </w:t>
      </w:r>
      <w:r w:rsidRPr="009B178F">
        <w:t>to</w:t>
      </w:r>
      <w:r w:rsidR="00573BA7" w:rsidRPr="009B178F">
        <w:t xml:space="preserve"> </w:t>
      </w:r>
      <w:r w:rsidRPr="009B178F">
        <w:t>just</w:t>
      </w:r>
      <w:r w:rsidR="00573BA7" w:rsidRPr="009B178F">
        <w:t xml:space="preserve"> </w:t>
      </w:r>
      <w:r w:rsidRPr="009B178F">
        <w:t>and</w:t>
      </w:r>
      <w:r w:rsidR="00573BA7" w:rsidRPr="009B178F">
        <w:t xml:space="preserve"> </w:t>
      </w:r>
      <w:r w:rsidRPr="009B178F">
        <w:t>favourable</w:t>
      </w:r>
      <w:r w:rsidR="00573BA7" w:rsidRPr="009B178F">
        <w:t xml:space="preserve"> </w:t>
      </w:r>
      <w:r w:rsidRPr="009B178F">
        <w:t>conditions</w:t>
      </w:r>
      <w:r w:rsidR="00573BA7" w:rsidRPr="009B178F">
        <w:t xml:space="preserve"> </w:t>
      </w:r>
      <w:r w:rsidRPr="009B178F">
        <w:t>of</w:t>
      </w:r>
      <w:r w:rsidR="00573BA7" w:rsidRPr="009B178F">
        <w:t xml:space="preserve"> </w:t>
      </w:r>
      <w:r w:rsidRPr="009B178F">
        <w:t>work,</w:t>
      </w:r>
      <w:r w:rsidR="00573BA7" w:rsidRPr="009B178F">
        <w:t xml:space="preserve"> </w:t>
      </w:r>
      <w:r w:rsidRPr="009B178F">
        <w:t>including</w:t>
      </w:r>
      <w:r w:rsidR="00573BA7" w:rsidRPr="009B178F">
        <w:t xml:space="preserve"> </w:t>
      </w:r>
      <w:r w:rsidRPr="009B178F">
        <w:t>equal</w:t>
      </w:r>
      <w:r w:rsidR="00573BA7" w:rsidRPr="009B178F">
        <w:t xml:space="preserve"> </w:t>
      </w:r>
      <w:r w:rsidRPr="009B178F">
        <w:t>opportunities</w:t>
      </w:r>
      <w:r w:rsidR="00573BA7" w:rsidRPr="009B178F">
        <w:t xml:space="preserve"> </w:t>
      </w:r>
      <w:r w:rsidRPr="009B178F">
        <w:t>and</w:t>
      </w:r>
      <w:r w:rsidR="00573BA7" w:rsidRPr="009B178F">
        <w:t xml:space="preserve"> </w:t>
      </w:r>
      <w:r w:rsidRPr="009B178F">
        <w:t>equal</w:t>
      </w:r>
      <w:r w:rsidR="00573BA7" w:rsidRPr="009B178F">
        <w:t xml:space="preserve"> </w:t>
      </w:r>
      <w:r w:rsidRPr="009B178F">
        <w:t>remuneration</w:t>
      </w:r>
      <w:r w:rsidR="00573BA7" w:rsidRPr="009B178F">
        <w:t xml:space="preserve"> </w:t>
      </w:r>
      <w:r w:rsidRPr="009B178F">
        <w:t>for</w:t>
      </w:r>
      <w:r w:rsidR="00573BA7" w:rsidRPr="009B178F">
        <w:t xml:space="preserve"> </w:t>
      </w:r>
      <w:r w:rsidRPr="009B178F">
        <w:t>work</w:t>
      </w:r>
      <w:r w:rsidR="00573BA7" w:rsidRPr="009B178F">
        <w:t xml:space="preserve"> </w:t>
      </w:r>
      <w:r w:rsidRPr="009B178F">
        <w:t>of</w:t>
      </w:r>
      <w:r w:rsidR="00573BA7" w:rsidRPr="009B178F">
        <w:t xml:space="preserve"> </w:t>
      </w:r>
      <w:r w:rsidRPr="009B178F">
        <w:t>equal</w:t>
      </w:r>
      <w:r w:rsidR="00573BA7" w:rsidRPr="009B178F">
        <w:t xml:space="preserve"> </w:t>
      </w:r>
      <w:r w:rsidRPr="009B178F">
        <w:t>value,</w:t>
      </w:r>
      <w:r w:rsidR="00573BA7" w:rsidRPr="009B178F">
        <w:t xml:space="preserve"> </w:t>
      </w:r>
      <w:r w:rsidRPr="009B178F">
        <w:t>safe</w:t>
      </w:r>
      <w:r w:rsidR="00573BA7" w:rsidRPr="009B178F">
        <w:t xml:space="preserve"> </w:t>
      </w:r>
      <w:r w:rsidRPr="009B178F">
        <w:t>and</w:t>
      </w:r>
      <w:r w:rsidR="00573BA7" w:rsidRPr="009B178F">
        <w:t xml:space="preserve"> </w:t>
      </w:r>
      <w:r w:rsidRPr="009B178F">
        <w:t>healthy</w:t>
      </w:r>
      <w:r w:rsidR="00573BA7" w:rsidRPr="009B178F">
        <w:t xml:space="preserve"> </w:t>
      </w:r>
      <w:r w:rsidRPr="009B178F">
        <w:t>working</w:t>
      </w:r>
      <w:r w:rsidR="00573BA7" w:rsidRPr="009B178F">
        <w:t xml:space="preserve"> </w:t>
      </w:r>
      <w:r w:rsidRPr="009B178F">
        <w:t>conditions,</w:t>
      </w:r>
      <w:r w:rsidR="00573BA7" w:rsidRPr="009B178F">
        <w:t xml:space="preserve"> </w:t>
      </w:r>
      <w:r w:rsidRPr="009B178F">
        <w:t>including</w:t>
      </w:r>
      <w:r w:rsidR="00573BA7" w:rsidRPr="009B178F">
        <w:t xml:space="preserve"> </w:t>
      </w:r>
      <w:r w:rsidRPr="009B178F">
        <w:t>protection</w:t>
      </w:r>
      <w:r w:rsidR="00573BA7" w:rsidRPr="009B178F">
        <w:t xml:space="preserve"> </w:t>
      </w:r>
      <w:r w:rsidRPr="009B178F">
        <w:t>from</w:t>
      </w:r>
      <w:r w:rsidR="00573BA7" w:rsidRPr="009B178F">
        <w:t xml:space="preserve"> </w:t>
      </w:r>
      <w:r w:rsidRPr="009B178F">
        <w:t>harassment,</w:t>
      </w:r>
      <w:r w:rsidR="00573BA7" w:rsidRPr="009B178F">
        <w:t xml:space="preserve"> </w:t>
      </w:r>
      <w:r w:rsidRPr="009B178F">
        <w:t>and</w:t>
      </w:r>
      <w:r w:rsidR="00573BA7" w:rsidRPr="009B178F">
        <w:t xml:space="preserve"> </w:t>
      </w:r>
      <w:r w:rsidRPr="009B178F">
        <w:t>the</w:t>
      </w:r>
      <w:r w:rsidR="00573BA7" w:rsidRPr="009B178F">
        <w:t xml:space="preserve"> </w:t>
      </w:r>
      <w:r w:rsidRPr="009B178F">
        <w:t>redress</w:t>
      </w:r>
      <w:r w:rsidR="00573BA7" w:rsidRPr="009B178F">
        <w:t xml:space="preserve"> </w:t>
      </w:r>
      <w:r w:rsidRPr="009B178F">
        <w:t>of</w:t>
      </w:r>
      <w:r w:rsidR="00573BA7" w:rsidRPr="009B178F">
        <w:t xml:space="preserve"> </w:t>
      </w:r>
      <w:r w:rsidRPr="009B178F">
        <w:t>grievances</w:t>
      </w:r>
      <w:r w:rsidR="00ED3E5F" w:rsidRPr="009B178F">
        <w:t>.</w:t>
      </w:r>
      <w:r w:rsidR="009F0B6C" w:rsidRPr="009B178F">
        <w:rPr>
          <w:rStyle w:val="EndnoteReference"/>
        </w:rPr>
        <w:endnoteReference w:id="63"/>
      </w:r>
      <w:r w:rsidR="00573BA7" w:rsidRPr="009B178F">
        <w:t xml:space="preserve">  </w:t>
      </w:r>
      <w:r w:rsidR="005A0F2C" w:rsidRPr="009B178F">
        <w:t>Th</w:t>
      </w:r>
      <w:r w:rsidR="00B24D2E" w:rsidRPr="009B178F">
        <w:t>is</w:t>
      </w:r>
      <w:r w:rsidR="00573BA7">
        <w:t xml:space="preserve"> </w:t>
      </w:r>
      <w:r w:rsidR="00B24D2E" w:rsidRPr="00CB4BD4">
        <w:t>is</w:t>
      </w:r>
      <w:r w:rsidR="00573BA7">
        <w:t xml:space="preserve"> </w:t>
      </w:r>
      <w:r w:rsidR="00050B6F" w:rsidRPr="000D2E9B">
        <w:t>partic</w:t>
      </w:r>
      <w:r w:rsidR="000F6000" w:rsidRPr="000D2E9B">
        <w:t>ularly</w:t>
      </w:r>
      <w:r w:rsidR="00573BA7">
        <w:t xml:space="preserve"> </w:t>
      </w:r>
      <w:r w:rsidR="000F6000" w:rsidRPr="000D2E9B">
        <w:t>relevant</w:t>
      </w:r>
      <w:r w:rsidR="00573BA7">
        <w:t xml:space="preserve"> </w:t>
      </w:r>
      <w:r w:rsidR="000F6000" w:rsidRPr="000D2E9B">
        <w:t>to</w:t>
      </w:r>
      <w:r w:rsidR="00573BA7">
        <w:t xml:space="preserve"> </w:t>
      </w:r>
      <w:r w:rsidR="001B263B" w:rsidRPr="000D2E9B">
        <w:t>ADE</w:t>
      </w:r>
      <w:r w:rsidR="00A2558E">
        <w:t>s</w:t>
      </w:r>
      <w:r w:rsidR="001B263B" w:rsidRPr="000D2E9B">
        <w:t>,</w:t>
      </w:r>
      <w:r w:rsidR="00573BA7">
        <w:t xml:space="preserve"> </w:t>
      </w:r>
      <w:r w:rsidR="00B24D2E">
        <w:t>discussed</w:t>
      </w:r>
      <w:r w:rsidR="00573BA7">
        <w:t xml:space="preserve"> </w:t>
      </w:r>
      <w:r w:rsidR="00B24D2E">
        <w:t>a</w:t>
      </w:r>
      <w:r w:rsidR="00B24D2E" w:rsidRPr="009B178F">
        <w:t>t</w:t>
      </w:r>
      <w:r w:rsidR="00573BA7" w:rsidRPr="009B178F">
        <w:t xml:space="preserve"> </w:t>
      </w:r>
      <w:r w:rsidR="00B24D2E" w:rsidRPr="009B178F">
        <w:t>par</w:t>
      </w:r>
      <w:r w:rsidR="00356307" w:rsidRPr="009B178F">
        <w:t>t</w:t>
      </w:r>
      <w:r w:rsidR="00573BA7" w:rsidRPr="009B178F">
        <w:t xml:space="preserve"> </w:t>
      </w:r>
      <w:r w:rsidR="009B178F" w:rsidRPr="009B178F">
        <w:fldChar w:fldCharType="begin"/>
      </w:r>
      <w:r w:rsidR="009B178F" w:rsidRPr="009B178F">
        <w:instrText xml:space="preserve"> REF _Ref50804185 \w \h </w:instrText>
      </w:r>
      <w:r w:rsidR="009B178F">
        <w:instrText xml:space="preserve"> \* MERGEFORMAT </w:instrText>
      </w:r>
      <w:r w:rsidR="009B178F" w:rsidRPr="009B178F">
        <w:fldChar w:fldCharType="separate"/>
      </w:r>
      <w:r w:rsidR="003944D6">
        <w:t>5.1</w:t>
      </w:r>
      <w:r w:rsidR="009B178F" w:rsidRPr="009B178F">
        <w:fldChar w:fldCharType="end"/>
      </w:r>
      <w:r w:rsidR="009B178F">
        <w:t xml:space="preserve"> of this submission, and the Supported Wage System, discussed at part </w:t>
      </w:r>
      <w:r w:rsidR="009B178F">
        <w:fldChar w:fldCharType="begin"/>
      </w:r>
      <w:r w:rsidR="009B178F">
        <w:instrText xml:space="preserve"> REF _Ref50804176 \w \h </w:instrText>
      </w:r>
      <w:r w:rsidR="009B178F">
        <w:fldChar w:fldCharType="separate"/>
      </w:r>
      <w:r w:rsidR="003944D6">
        <w:t>109</w:t>
      </w:r>
      <w:r w:rsidR="009B178F">
        <w:fldChar w:fldCharType="end"/>
      </w:r>
      <w:r w:rsidR="009B178F">
        <w:t>.</w:t>
      </w:r>
    </w:p>
    <w:p w14:paraId="732CE79A" w14:textId="06E44AE6" w:rsidR="009A05AA" w:rsidRDefault="009A05AA" w:rsidP="00DA2A0A">
      <w:pPr>
        <w:pStyle w:val="ListParagraph"/>
        <w:numPr>
          <w:ilvl w:val="1"/>
          <w:numId w:val="58"/>
        </w:numPr>
      </w:pPr>
      <w:r>
        <w:t>Ensure</w:t>
      </w:r>
      <w:r w:rsidR="00573BA7">
        <w:t xml:space="preserve"> </w:t>
      </w:r>
      <w:r>
        <w:t>that</w:t>
      </w:r>
      <w:r w:rsidR="00573BA7">
        <w:t xml:space="preserve"> </w:t>
      </w:r>
      <w:r w:rsidR="007F5BA4">
        <w:t>people</w:t>
      </w:r>
      <w:r w:rsidR="00573BA7">
        <w:t xml:space="preserve"> </w:t>
      </w:r>
      <w:r w:rsidR="007F5BA4" w:rsidRPr="009B178F">
        <w:t>with</w:t>
      </w:r>
      <w:r w:rsidR="00573BA7" w:rsidRPr="009B178F">
        <w:t xml:space="preserve"> </w:t>
      </w:r>
      <w:r w:rsidR="007F5BA4" w:rsidRPr="009B178F">
        <w:t>disability</w:t>
      </w:r>
      <w:r w:rsidR="00573BA7" w:rsidRPr="009B178F">
        <w:t xml:space="preserve"> </w:t>
      </w:r>
      <w:r w:rsidRPr="009B178F">
        <w:t>are</w:t>
      </w:r>
      <w:r w:rsidR="00573BA7" w:rsidRPr="009B178F">
        <w:t xml:space="preserve"> </w:t>
      </w:r>
      <w:r w:rsidRPr="009B178F">
        <w:t>able</w:t>
      </w:r>
      <w:r w:rsidR="00573BA7" w:rsidRPr="009B178F">
        <w:t xml:space="preserve"> </w:t>
      </w:r>
      <w:r w:rsidRPr="009B178F">
        <w:t>to</w:t>
      </w:r>
      <w:r w:rsidR="00573BA7" w:rsidRPr="009B178F">
        <w:t xml:space="preserve"> </w:t>
      </w:r>
      <w:r w:rsidRPr="009B178F">
        <w:t>exercise</w:t>
      </w:r>
      <w:r w:rsidR="00573BA7" w:rsidRPr="009B178F">
        <w:t xml:space="preserve"> </w:t>
      </w:r>
      <w:r w:rsidRPr="009B178F">
        <w:t>their</w:t>
      </w:r>
      <w:r w:rsidR="00573BA7" w:rsidRPr="009B178F">
        <w:t xml:space="preserve"> </w:t>
      </w:r>
      <w:r w:rsidRPr="009B178F">
        <w:t>labour</w:t>
      </w:r>
      <w:r w:rsidR="00573BA7" w:rsidRPr="009B178F">
        <w:t xml:space="preserve"> </w:t>
      </w:r>
      <w:r w:rsidRPr="009B178F">
        <w:t>and</w:t>
      </w:r>
      <w:r w:rsidR="00573BA7" w:rsidRPr="009B178F">
        <w:t xml:space="preserve"> </w:t>
      </w:r>
      <w:r w:rsidRPr="009B178F">
        <w:t>trade</w:t>
      </w:r>
      <w:r w:rsidR="00573BA7" w:rsidRPr="009B178F">
        <w:t xml:space="preserve"> </w:t>
      </w:r>
      <w:r w:rsidRPr="009B178F">
        <w:t>union</w:t>
      </w:r>
      <w:r w:rsidR="00573BA7" w:rsidRPr="009B178F">
        <w:t xml:space="preserve"> </w:t>
      </w:r>
      <w:r w:rsidRPr="009B178F">
        <w:t>rights</w:t>
      </w:r>
      <w:r w:rsidR="00573BA7" w:rsidRPr="009B178F">
        <w:t xml:space="preserve"> </w:t>
      </w:r>
      <w:r w:rsidRPr="009B178F">
        <w:t>on</w:t>
      </w:r>
      <w:r w:rsidR="00573BA7">
        <w:t xml:space="preserve"> </w:t>
      </w:r>
      <w:r>
        <w:t>an</w:t>
      </w:r>
      <w:r w:rsidR="00573BA7">
        <w:t xml:space="preserve"> </w:t>
      </w:r>
      <w:r>
        <w:t>equal</w:t>
      </w:r>
      <w:r w:rsidR="00573BA7">
        <w:t xml:space="preserve"> </w:t>
      </w:r>
      <w:r>
        <w:t>basis</w:t>
      </w:r>
      <w:r w:rsidR="00573BA7">
        <w:t xml:space="preserve"> </w:t>
      </w:r>
      <w:r>
        <w:t>with</w:t>
      </w:r>
      <w:r w:rsidR="00573BA7">
        <w:t xml:space="preserve"> </w:t>
      </w:r>
      <w:r>
        <w:t>others</w:t>
      </w:r>
      <w:r w:rsidR="009F0B6C">
        <w:t>.</w:t>
      </w:r>
      <w:r w:rsidR="009F0B6C">
        <w:rPr>
          <w:rStyle w:val="EndnoteReference"/>
        </w:rPr>
        <w:endnoteReference w:id="64"/>
      </w:r>
      <w:r w:rsidR="00573BA7">
        <w:t xml:space="preserve"> </w:t>
      </w:r>
      <w:r w:rsidR="00354A59">
        <w:t>This</w:t>
      </w:r>
      <w:r w:rsidR="00573BA7">
        <w:t xml:space="preserve"> </w:t>
      </w:r>
      <w:r w:rsidR="00354A59">
        <w:t>includes</w:t>
      </w:r>
      <w:r w:rsidR="00573BA7">
        <w:t xml:space="preserve"> </w:t>
      </w:r>
      <w:r w:rsidR="001774AE">
        <w:t>persons</w:t>
      </w:r>
      <w:r w:rsidR="00573BA7">
        <w:t xml:space="preserve"> </w:t>
      </w:r>
      <w:r w:rsidR="001774AE">
        <w:t>employed</w:t>
      </w:r>
      <w:r w:rsidR="00573BA7">
        <w:t xml:space="preserve"> </w:t>
      </w:r>
      <w:r w:rsidR="001774AE">
        <w:t>in</w:t>
      </w:r>
      <w:r w:rsidR="00573BA7">
        <w:t xml:space="preserve"> </w:t>
      </w:r>
      <w:r w:rsidR="001774AE">
        <w:t>ADEs</w:t>
      </w:r>
      <w:r w:rsidR="00356307">
        <w:t>,</w:t>
      </w:r>
      <w:r w:rsidR="009547C0" w:rsidRPr="009547C0">
        <w:rPr>
          <w:rStyle w:val="EndnoteReference"/>
        </w:rPr>
        <w:t xml:space="preserve"> </w:t>
      </w:r>
      <w:r w:rsidR="009547C0">
        <w:rPr>
          <w:rStyle w:val="EndnoteReference"/>
        </w:rPr>
        <w:endnoteReference w:id="65"/>
      </w:r>
      <w:r w:rsidR="009547C0">
        <w:t xml:space="preserve"> </w:t>
      </w:r>
      <w:r w:rsidR="00356307">
        <w:t>as</w:t>
      </w:r>
      <w:r w:rsidR="00573BA7">
        <w:t xml:space="preserve"> </w:t>
      </w:r>
      <w:r w:rsidR="00356307">
        <w:t>discussed</w:t>
      </w:r>
      <w:r w:rsidR="00573BA7">
        <w:t xml:space="preserve"> </w:t>
      </w:r>
      <w:r w:rsidR="00356307">
        <w:t>at</w:t>
      </w:r>
      <w:r w:rsidR="00573BA7">
        <w:t xml:space="preserve"> </w:t>
      </w:r>
      <w:r w:rsidR="00356307" w:rsidRPr="009B178F">
        <w:t>part</w:t>
      </w:r>
      <w:r w:rsidR="00573BA7" w:rsidRPr="009B178F">
        <w:t xml:space="preserve"> </w:t>
      </w:r>
      <w:r w:rsidR="009B178F">
        <w:fldChar w:fldCharType="begin"/>
      </w:r>
      <w:r w:rsidR="009B178F">
        <w:instrText xml:space="preserve"> REF _Ref50804205 \w \h </w:instrText>
      </w:r>
      <w:r w:rsidR="009B178F">
        <w:fldChar w:fldCharType="separate"/>
      </w:r>
      <w:r w:rsidR="003944D6">
        <w:t>5.1(a)</w:t>
      </w:r>
      <w:r w:rsidR="009B178F">
        <w:fldChar w:fldCharType="end"/>
      </w:r>
      <w:r w:rsidR="009B178F">
        <w:t xml:space="preserve"> </w:t>
      </w:r>
      <w:r w:rsidR="00356307" w:rsidRPr="009B178F">
        <w:t>of</w:t>
      </w:r>
      <w:r w:rsidR="00573BA7">
        <w:t xml:space="preserve"> </w:t>
      </w:r>
      <w:r w:rsidR="00356307">
        <w:t>this</w:t>
      </w:r>
      <w:r w:rsidR="00573BA7">
        <w:t xml:space="preserve"> </w:t>
      </w:r>
      <w:r w:rsidR="00356307">
        <w:t>submission</w:t>
      </w:r>
      <w:r w:rsidR="00F12525">
        <w:t>.</w:t>
      </w:r>
      <w:r w:rsidR="00573BA7">
        <w:t xml:space="preserve"> </w:t>
      </w:r>
    </w:p>
    <w:p w14:paraId="1CBDEA18" w14:textId="4BB377C4" w:rsidR="009A05AA" w:rsidRPr="009B178F" w:rsidRDefault="009A05AA" w:rsidP="00DA2A0A">
      <w:pPr>
        <w:pStyle w:val="ListParagraph"/>
        <w:numPr>
          <w:ilvl w:val="1"/>
          <w:numId w:val="58"/>
        </w:numPr>
      </w:pPr>
      <w:r>
        <w:t>Enable</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t>to</w:t>
      </w:r>
      <w:r w:rsidR="00573BA7">
        <w:t xml:space="preserve"> </w:t>
      </w:r>
      <w:r>
        <w:t>have</w:t>
      </w:r>
      <w:r w:rsidR="00573BA7">
        <w:t xml:space="preserve"> </w:t>
      </w:r>
      <w:r>
        <w:t>effective</w:t>
      </w:r>
      <w:r w:rsidR="00573BA7">
        <w:t xml:space="preserve"> </w:t>
      </w:r>
      <w:r w:rsidRPr="009B178F">
        <w:t>access</w:t>
      </w:r>
      <w:r w:rsidR="00573BA7" w:rsidRPr="009B178F">
        <w:t xml:space="preserve"> </w:t>
      </w:r>
      <w:r w:rsidRPr="009B178F">
        <w:t>to</w:t>
      </w:r>
      <w:r w:rsidR="00573BA7" w:rsidRPr="009B178F">
        <w:t xml:space="preserve"> </w:t>
      </w:r>
      <w:r w:rsidRPr="009B178F">
        <w:t>general</w:t>
      </w:r>
      <w:r w:rsidR="00573BA7" w:rsidRPr="009B178F">
        <w:t xml:space="preserve"> </w:t>
      </w:r>
      <w:r w:rsidRPr="009B178F">
        <w:t>technical</w:t>
      </w:r>
      <w:r w:rsidR="00573BA7" w:rsidRPr="009B178F">
        <w:t xml:space="preserve"> </w:t>
      </w:r>
      <w:r w:rsidRPr="009B178F">
        <w:t>and</w:t>
      </w:r>
      <w:r w:rsidR="00573BA7" w:rsidRPr="009B178F">
        <w:t xml:space="preserve"> </w:t>
      </w:r>
      <w:r w:rsidRPr="009B178F">
        <w:t>vocational</w:t>
      </w:r>
      <w:r w:rsidR="00573BA7" w:rsidRPr="009B178F">
        <w:t xml:space="preserve"> </w:t>
      </w:r>
      <w:r w:rsidRPr="009B178F">
        <w:t>guidance</w:t>
      </w:r>
      <w:r w:rsidR="00573BA7" w:rsidRPr="009B178F">
        <w:t xml:space="preserve"> </w:t>
      </w:r>
      <w:r w:rsidRPr="009B178F">
        <w:t>programmes,</w:t>
      </w:r>
      <w:r w:rsidR="00573BA7" w:rsidRPr="009B178F">
        <w:t xml:space="preserve"> </w:t>
      </w:r>
      <w:r w:rsidRPr="009B178F">
        <w:t>placement</w:t>
      </w:r>
      <w:r w:rsidR="00573BA7" w:rsidRPr="009B178F">
        <w:t xml:space="preserve"> </w:t>
      </w:r>
      <w:r w:rsidRPr="009B178F">
        <w:t>services</w:t>
      </w:r>
      <w:r w:rsidR="00573BA7" w:rsidRPr="009B178F">
        <w:t xml:space="preserve"> </w:t>
      </w:r>
      <w:r w:rsidRPr="009B178F">
        <w:t>and</w:t>
      </w:r>
      <w:r w:rsidR="00573BA7" w:rsidRPr="009B178F">
        <w:t xml:space="preserve"> </w:t>
      </w:r>
      <w:r w:rsidRPr="009B178F">
        <w:t>vocational</w:t>
      </w:r>
      <w:r w:rsidR="00573BA7" w:rsidRPr="009B178F">
        <w:t xml:space="preserve"> </w:t>
      </w:r>
      <w:r w:rsidRPr="009B178F">
        <w:t>and</w:t>
      </w:r>
      <w:r w:rsidR="00573BA7" w:rsidRPr="009B178F">
        <w:t xml:space="preserve"> </w:t>
      </w:r>
      <w:r w:rsidRPr="009B178F">
        <w:t>continuing</w:t>
      </w:r>
      <w:r w:rsidR="00573BA7" w:rsidRPr="009B178F">
        <w:t xml:space="preserve"> </w:t>
      </w:r>
      <w:r w:rsidRPr="009B178F">
        <w:t>training</w:t>
      </w:r>
      <w:r w:rsidR="009F0B6C" w:rsidRPr="009B178F">
        <w:t>.</w:t>
      </w:r>
      <w:r w:rsidR="009F0B6C" w:rsidRPr="009B178F">
        <w:rPr>
          <w:rStyle w:val="EndnoteReference"/>
        </w:rPr>
        <w:endnoteReference w:id="66"/>
      </w:r>
    </w:p>
    <w:p w14:paraId="3CCA6AF8" w14:textId="27194A92" w:rsidR="009A05AA" w:rsidRDefault="009A05AA" w:rsidP="00DA2A0A">
      <w:pPr>
        <w:pStyle w:val="ListParagraph"/>
        <w:numPr>
          <w:ilvl w:val="1"/>
          <w:numId w:val="58"/>
        </w:numPr>
      </w:pPr>
      <w:r w:rsidRPr="009B178F">
        <w:lastRenderedPageBreak/>
        <w:t>Promote</w:t>
      </w:r>
      <w:r w:rsidR="00573BA7" w:rsidRPr="009B178F">
        <w:t xml:space="preserve"> </w:t>
      </w:r>
      <w:r w:rsidRPr="009B178F">
        <w:t>employment</w:t>
      </w:r>
      <w:r w:rsidR="00573BA7" w:rsidRPr="009B178F">
        <w:t xml:space="preserve"> </w:t>
      </w:r>
      <w:r w:rsidRPr="009B178F">
        <w:t>opportunities</w:t>
      </w:r>
      <w:r w:rsidR="00573BA7" w:rsidRPr="009B178F">
        <w:t xml:space="preserve"> </w:t>
      </w:r>
      <w:r w:rsidRPr="009B178F">
        <w:t>and</w:t>
      </w:r>
      <w:r w:rsidR="00573BA7" w:rsidRPr="009B178F">
        <w:t xml:space="preserve"> </w:t>
      </w:r>
      <w:r w:rsidRPr="009B178F">
        <w:t>career</w:t>
      </w:r>
      <w:r w:rsidR="00573BA7" w:rsidRPr="009B178F">
        <w:t xml:space="preserve"> </w:t>
      </w:r>
      <w:r w:rsidRPr="009B178F">
        <w:t>advancement</w:t>
      </w:r>
      <w:r w:rsidR="00573BA7" w:rsidRPr="009B178F">
        <w:t xml:space="preserve"> </w:t>
      </w:r>
      <w:r w:rsidRPr="009B178F">
        <w:t>for</w:t>
      </w:r>
      <w:r w:rsidR="00573BA7" w:rsidRPr="009B178F">
        <w:t xml:space="preserve"> </w:t>
      </w:r>
      <w:r w:rsidR="007F5BA4" w:rsidRPr="009B178F">
        <w:t>people</w:t>
      </w:r>
      <w:r w:rsidR="00573BA7" w:rsidRPr="009B178F">
        <w:t xml:space="preserve"> </w:t>
      </w:r>
      <w:r w:rsidR="007F5BA4" w:rsidRPr="009B178F">
        <w:t>with</w:t>
      </w:r>
      <w:r w:rsidR="00573BA7" w:rsidRPr="009B178F">
        <w:t xml:space="preserve"> </w:t>
      </w:r>
      <w:r w:rsidR="007F5BA4" w:rsidRPr="009B178F">
        <w:t>disability</w:t>
      </w:r>
      <w:r w:rsidR="00573BA7" w:rsidRPr="009B178F">
        <w:t xml:space="preserve"> </w:t>
      </w:r>
      <w:r w:rsidRPr="009B178F">
        <w:t>in</w:t>
      </w:r>
      <w:r w:rsidR="00573BA7" w:rsidRPr="009B178F">
        <w:t xml:space="preserve"> </w:t>
      </w:r>
      <w:r w:rsidRPr="009B178F">
        <w:t>the</w:t>
      </w:r>
      <w:r w:rsidR="00573BA7" w:rsidRPr="009B178F">
        <w:t xml:space="preserve"> </w:t>
      </w:r>
      <w:r w:rsidRPr="009B178F">
        <w:t>labour</w:t>
      </w:r>
      <w:r w:rsidR="00573BA7" w:rsidRPr="009B178F">
        <w:t xml:space="preserve"> </w:t>
      </w:r>
      <w:r w:rsidRPr="009B178F">
        <w:t>market,</w:t>
      </w:r>
      <w:r w:rsidR="00573BA7" w:rsidRPr="009B178F">
        <w:t xml:space="preserve"> </w:t>
      </w:r>
      <w:r w:rsidRPr="009B178F">
        <w:t>as</w:t>
      </w:r>
      <w:r w:rsidR="00573BA7" w:rsidRPr="009B178F">
        <w:t xml:space="preserve"> </w:t>
      </w:r>
      <w:r w:rsidRPr="009B178F">
        <w:t>well</w:t>
      </w:r>
      <w:r w:rsidR="00573BA7" w:rsidRPr="009B178F">
        <w:t xml:space="preserve"> </w:t>
      </w:r>
      <w:r w:rsidRPr="009B178F">
        <w:t>as</w:t>
      </w:r>
      <w:r w:rsidR="00573BA7" w:rsidRPr="009B178F">
        <w:t xml:space="preserve"> </w:t>
      </w:r>
      <w:r w:rsidRPr="009B178F">
        <w:t>assistance</w:t>
      </w:r>
      <w:r w:rsidR="00573BA7" w:rsidRPr="009B178F">
        <w:t xml:space="preserve"> </w:t>
      </w:r>
      <w:r w:rsidRPr="009B178F">
        <w:t>in</w:t>
      </w:r>
      <w:r w:rsidR="00573BA7" w:rsidRPr="009B178F">
        <w:t xml:space="preserve"> </w:t>
      </w:r>
      <w:r w:rsidRPr="009B178F">
        <w:t>finding,</w:t>
      </w:r>
      <w:r w:rsidR="00573BA7" w:rsidRPr="009B178F">
        <w:t xml:space="preserve"> </w:t>
      </w:r>
      <w:r w:rsidRPr="009B178F">
        <w:t>obtaining,</w:t>
      </w:r>
      <w:r w:rsidR="00573BA7" w:rsidRPr="009B178F">
        <w:t xml:space="preserve"> </w:t>
      </w:r>
      <w:r w:rsidRPr="009B178F">
        <w:t>maintaining</w:t>
      </w:r>
      <w:r w:rsidR="00573BA7" w:rsidRPr="009B178F">
        <w:t xml:space="preserve"> </w:t>
      </w:r>
      <w:r w:rsidRPr="009B178F">
        <w:t>and</w:t>
      </w:r>
      <w:r w:rsidR="00573BA7" w:rsidRPr="009B178F">
        <w:t xml:space="preserve"> </w:t>
      </w:r>
      <w:r w:rsidRPr="009B178F">
        <w:t>returning</w:t>
      </w:r>
      <w:r w:rsidR="00573BA7" w:rsidRPr="009B178F">
        <w:t xml:space="preserve"> </w:t>
      </w:r>
      <w:r w:rsidRPr="009B178F">
        <w:t>to</w:t>
      </w:r>
      <w:r w:rsidR="00573BA7" w:rsidRPr="009B178F">
        <w:t xml:space="preserve"> </w:t>
      </w:r>
      <w:r w:rsidRPr="009B178F">
        <w:t>employment</w:t>
      </w:r>
      <w:r w:rsidR="009F0B6C" w:rsidRPr="009B178F">
        <w:t>.</w:t>
      </w:r>
      <w:r w:rsidR="009F0B6C" w:rsidRPr="009B178F">
        <w:rPr>
          <w:rStyle w:val="EndnoteReference"/>
        </w:rPr>
        <w:endnoteReference w:id="67"/>
      </w:r>
      <w:r w:rsidR="00573BA7" w:rsidRPr="009B178F">
        <w:t xml:space="preserve">  </w:t>
      </w:r>
      <w:r w:rsidR="00BD5A61" w:rsidRPr="009B178F">
        <w:t>This</w:t>
      </w:r>
      <w:r w:rsidR="00573BA7" w:rsidRPr="009B178F">
        <w:t xml:space="preserve"> </w:t>
      </w:r>
      <w:r w:rsidR="00BD5A61" w:rsidRPr="009B178F">
        <w:t>is</w:t>
      </w:r>
      <w:r w:rsidR="00573BA7" w:rsidRPr="009B178F">
        <w:t xml:space="preserve"> </w:t>
      </w:r>
      <w:r w:rsidR="00BD5A61" w:rsidRPr="009B178F">
        <w:t>particularly</w:t>
      </w:r>
      <w:r w:rsidR="00573BA7" w:rsidRPr="009B178F">
        <w:t xml:space="preserve"> </w:t>
      </w:r>
      <w:r w:rsidR="00BD5A61" w:rsidRPr="009B178F">
        <w:t>problematic</w:t>
      </w:r>
      <w:r w:rsidR="00573BA7" w:rsidRPr="009B178F">
        <w:t xml:space="preserve"> </w:t>
      </w:r>
      <w:r w:rsidR="00BD5A61" w:rsidRPr="009B178F">
        <w:t>in</w:t>
      </w:r>
      <w:r w:rsidR="00573BA7" w:rsidRPr="009B178F">
        <w:t xml:space="preserve"> </w:t>
      </w:r>
      <w:r w:rsidR="0076611C" w:rsidRPr="009B178F">
        <w:t>relation</w:t>
      </w:r>
      <w:r w:rsidR="00573BA7" w:rsidRPr="009B178F">
        <w:t xml:space="preserve"> </w:t>
      </w:r>
      <w:r w:rsidR="0076611C" w:rsidRPr="009B178F">
        <w:t>to</w:t>
      </w:r>
      <w:r w:rsidR="00573BA7" w:rsidRPr="009B178F">
        <w:t xml:space="preserve"> </w:t>
      </w:r>
      <w:r w:rsidR="00BD5A61" w:rsidRPr="009B178F">
        <w:t>ADEs</w:t>
      </w:r>
      <w:r w:rsidR="008B34EF" w:rsidRPr="009B178F">
        <w:t>,</w:t>
      </w:r>
      <w:r w:rsidR="00573BA7" w:rsidRPr="009B178F">
        <w:t xml:space="preserve"> </w:t>
      </w:r>
      <w:r w:rsidR="008B34EF" w:rsidRPr="009B178F">
        <w:t>as</w:t>
      </w:r>
      <w:r w:rsidR="00573BA7" w:rsidRPr="009B178F">
        <w:t xml:space="preserve"> </w:t>
      </w:r>
      <w:r w:rsidR="008B34EF" w:rsidRPr="009B178F">
        <w:t>discussed</w:t>
      </w:r>
      <w:r w:rsidR="00573BA7">
        <w:t xml:space="preserve"> </w:t>
      </w:r>
      <w:r w:rsidR="008B34EF">
        <w:t>at</w:t>
      </w:r>
      <w:r w:rsidR="00573BA7">
        <w:t xml:space="preserve"> </w:t>
      </w:r>
      <w:r w:rsidR="008B34EF" w:rsidRPr="009B178F">
        <w:t>part</w:t>
      </w:r>
      <w:r w:rsidR="00573BA7" w:rsidRPr="009B178F">
        <w:t xml:space="preserve"> </w:t>
      </w:r>
      <w:r w:rsidR="009B178F">
        <w:fldChar w:fldCharType="begin"/>
      </w:r>
      <w:r w:rsidR="009B178F">
        <w:instrText xml:space="preserve"> REF _Ref50804218 \w \h </w:instrText>
      </w:r>
      <w:r w:rsidR="009B178F">
        <w:fldChar w:fldCharType="separate"/>
      </w:r>
      <w:r w:rsidR="003944D6">
        <w:t>5.1</w:t>
      </w:r>
      <w:r w:rsidR="009B178F">
        <w:fldChar w:fldCharType="end"/>
      </w:r>
      <w:r w:rsidR="009B178F">
        <w:t xml:space="preserve"> </w:t>
      </w:r>
      <w:r w:rsidR="009C7E14">
        <w:t>of</w:t>
      </w:r>
      <w:r w:rsidR="00573BA7">
        <w:t xml:space="preserve"> </w:t>
      </w:r>
      <w:r w:rsidR="009C7E14">
        <w:t>this</w:t>
      </w:r>
      <w:r w:rsidR="00573BA7">
        <w:t xml:space="preserve"> </w:t>
      </w:r>
      <w:r w:rsidR="009C7E14">
        <w:t>submission</w:t>
      </w:r>
      <w:r w:rsidR="0076611C">
        <w:t>.</w:t>
      </w:r>
      <w:r w:rsidR="00573BA7">
        <w:t xml:space="preserve"> </w:t>
      </w:r>
    </w:p>
    <w:p w14:paraId="3C76742D" w14:textId="04339129" w:rsidR="009A05AA" w:rsidRPr="003B123A" w:rsidRDefault="009A05AA" w:rsidP="00DA2A0A">
      <w:pPr>
        <w:pStyle w:val="ListParagraph"/>
        <w:numPr>
          <w:ilvl w:val="1"/>
          <w:numId w:val="58"/>
        </w:numPr>
      </w:pPr>
      <w:r>
        <w:t>Promote</w:t>
      </w:r>
      <w:r w:rsidR="00573BA7">
        <w:t xml:space="preserve"> </w:t>
      </w:r>
      <w:r w:rsidRPr="003B123A">
        <w:t>opportunities</w:t>
      </w:r>
      <w:r w:rsidR="00573BA7" w:rsidRPr="003B123A">
        <w:t xml:space="preserve"> </w:t>
      </w:r>
      <w:r w:rsidRPr="003B123A">
        <w:t>for</w:t>
      </w:r>
      <w:r w:rsidR="00573BA7" w:rsidRPr="003B123A">
        <w:t xml:space="preserve"> </w:t>
      </w:r>
      <w:r w:rsidRPr="003B123A">
        <w:t>self-employment,</w:t>
      </w:r>
      <w:r w:rsidR="00573BA7" w:rsidRPr="003B123A">
        <w:t xml:space="preserve"> </w:t>
      </w:r>
      <w:r w:rsidRPr="003B123A">
        <w:t>entrepreneurship,</w:t>
      </w:r>
      <w:r w:rsidR="00573BA7" w:rsidRPr="003B123A">
        <w:t xml:space="preserve"> </w:t>
      </w:r>
      <w:r w:rsidRPr="003B123A">
        <w:t>the</w:t>
      </w:r>
      <w:r w:rsidR="00573BA7" w:rsidRPr="003B123A">
        <w:t xml:space="preserve"> </w:t>
      </w:r>
      <w:r w:rsidRPr="003B123A">
        <w:t>development</w:t>
      </w:r>
      <w:r w:rsidR="00573BA7" w:rsidRPr="003B123A">
        <w:t xml:space="preserve"> </w:t>
      </w:r>
      <w:r w:rsidRPr="003B123A">
        <w:t>of</w:t>
      </w:r>
      <w:r w:rsidR="00573BA7" w:rsidRPr="003B123A">
        <w:t xml:space="preserve"> </w:t>
      </w:r>
      <w:r w:rsidRPr="003B123A">
        <w:t>cooperatives</w:t>
      </w:r>
      <w:r w:rsidR="00573BA7" w:rsidRPr="003B123A">
        <w:t xml:space="preserve"> </w:t>
      </w:r>
      <w:r w:rsidRPr="003B123A">
        <w:t>and</w:t>
      </w:r>
      <w:r w:rsidR="00573BA7" w:rsidRPr="003B123A">
        <w:t xml:space="preserve"> </w:t>
      </w:r>
      <w:r w:rsidRPr="003B123A">
        <w:t>starting</w:t>
      </w:r>
      <w:r w:rsidR="00573BA7" w:rsidRPr="003B123A">
        <w:t xml:space="preserve"> </w:t>
      </w:r>
      <w:r w:rsidRPr="003B123A">
        <w:t>one’s</w:t>
      </w:r>
      <w:r w:rsidR="00573BA7" w:rsidRPr="003B123A">
        <w:t xml:space="preserve"> </w:t>
      </w:r>
      <w:r w:rsidRPr="003B123A">
        <w:t>own</w:t>
      </w:r>
      <w:r w:rsidR="00573BA7" w:rsidRPr="003B123A">
        <w:t xml:space="preserve"> </w:t>
      </w:r>
      <w:r w:rsidRPr="003B123A">
        <w:t>business</w:t>
      </w:r>
      <w:r w:rsidR="009F0B6C" w:rsidRPr="003B123A">
        <w:t>.</w:t>
      </w:r>
      <w:r w:rsidR="009F0B6C" w:rsidRPr="003B123A">
        <w:rPr>
          <w:rStyle w:val="EndnoteReference"/>
        </w:rPr>
        <w:endnoteReference w:id="68"/>
      </w:r>
    </w:p>
    <w:p w14:paraId="2753B226" w14:textId="1E836076" w:rsidR="009A05AA" w:rsidRPr="003B123A" w:rsidRDefault="009A05AA" w:rsidP="00DA2A0A">
      <w:pPr>
        <w:pStyle w:val="ListParagraph"/>
        <w:numPr>
          <w:ilvl w:val="1"/>
          <w:numId w:val="58"/>
        </w:numPr>
      </w:pPr>
      <w:r w:rsidRPr="003B123A">
        <w:t>Employ</w:t>
      </w:r>
      <w:r w:rsidR="00573BA7" w:rsidRPr="003B123A">
        <w:t xml:space="preserve"> </w:t>
      </w:r>
      <w:r w:rsidR="007F5BA4" w:rsidRPr="003B123A">
        <w:t>people</w:t>
      </w:r>
      <w:r w:rsidR="00573BA7" w:rsidRPr="003B123A">
        <w:t xml:space="preserve"> </w:t>
      </w:r>
      <w:r w:rsidR="007F5BA4" w:rsidRPr="003B123A">
        <w:t>with</w:t>
      </w:r>
      <w:r w:rsidR="00573BA7" w:rsidRPr="003B123A">
        <w:t xml:space="preserve"> </w:t>
      </w:r>
      <w:r w:rsidR="007F5BA4" w:rsidRPr="003B123A">
        <w:t>disability</w:t>
      </w:r>
      <w:r w:rsidR="00573BA7" w:rsidRPr="003B123A">
        <w:t xml:space="preserve"> </w:t>
      </w:r>
      <w:r w:rsidRPr="003B123A">
        <w:t>in</w:t>
      </w:r>
      <w:r w:rsidR="00573BA7" w:rsidRPr="003B123A">
        <w:t xml:space="preserve"> </w:t>
      </w:r>
      <w:r w:rsidRPr="003B123A">
        <w:t>the</w:t>
      </w:r>
      <w:r w:rsidR="00573BA7" w:rsidRPr="003B123A">
        <w:t xml:space="preserve"> </w:t>
      </w:r>
      <w:r w:rsidRPr="003B123A">
        <w:t>public</w:t>
      </w:r>
      <w:r w:rsidR="00573BA7" w:rsidRPr="003B123A">
        <w:t xml:space="preserve"> </w:t>
      </w:r>
      <w:r w:rsidRPr="003B123A">
        <w:t>sector</w:t>
      </w:r>
      <w:r w:rsidR="009F0B6C" w:rsidRPr="003B123A">
        <w:t>.</w:t>
      </w:r>
      <w:r w:rsidR="009F0B6C" w:rsidRPr="003B123A">
        <w:rPr>
          <w:rStyle w:val="EndnoteReference"/>
        </w:rPr>
        <w:endnoteReference w:id="69"/>
      </w:r>
    </w:p>
    <w:p w14:paraId="50E62070" w14:textId="6E2CFD5B" w:rsidR="009A05AA" w:rsidRDefault="009A05AA" w:rsidP="00DA2A0A">
      <w:pPr>
        <w:pStyle w:val="ListParagraph"/>
        <w:numPr>
          <w:ilvl w:val="1"/>
          <w:numId w:val="58"/>
        </w:numPr>
      </w:pPr>
      <w:r w:rsidRPr="003B123A">
        <w:t>Promote</w:t>
      </w:r>
      <w:r w:rsidR="00573BA7" w:rsidRPr="003B123A">
        <w:t xml:space="preserve"> </w:t>
      </w:r>
      <w:r w:rsidRPr="003B123A">
        <w:t>the</w:t>
      </w:r>
      <w:r w:rsidR="00573BA7" w:rsidRPr="003B123A">
        <w:t xml:space="preserve"> </w:t>
      </w:r>
      <w:r w:rsidRPr="003B123A">
        <w:t>employment</w:t>
      </w:r>
      <w:r w:rsidR="00573BA7" w:rsidRPr="003B123A">
        <w:t xml:space="preserve"> </w:t>
      </w:r>
      <w:r w:rsidRPr="003B123A">
        <w:t>of</w:t>
      </w:r>
      <w:r w:rsidR="00573BA7" w:rsidRPr="003B123A">
        <w:t xml:space="preserve"> </w:t>
      </w:r>
      <w:r w:rsidR="007F5BA4" w:rsidRPr="003B123A">
        <w:t>people</w:t>
      </w:r>
      <w:r w:rsidR="00573BA7" w:rsidRPr="003B123A">
        <w:t xml:space="preserve"> </w:t>
      </w:r>
      <w:r w:rsidR="007F5BA4" w:rsidRPr="003B123A">
        <w:t>with</w:t>
      </w:r>
      <w:r w:rsidR="00573BA7" w:rsidRPr="003B123A">
        <w:t xml:space="preserve"> </w:t>
      </w:r>
      <w:r w:rsidR="007F5BA4" w:rsidRPr="003B123A">
        <w:t>disability</w:t>
      </w:r>
      <w:r w:rsidR="00573BA7" w:rsidRPr="003B123A">
        <w:t xml:space="preserve"> </w:t>
      </w:r>
      <w:r w:rsidRPr="003B123A">
        <w:t>in</w:t>
      </w:r>
      <w:r w:rsidR="00573BA7" w:rsidRPr="003B123A">
        <w:t xml:space="preserve"> </w:t>
      </w:r>
      <w:r w:rsidRPr="003B123A">
        <w:t>the</w:t>
      </w:r>
      <w:r w:rsidR="00573BA7" w:rsidRPr="003B123A">
        <w:t xml:space="preserve"> </w:t>
      </w:r>
      <w:r w:rsidRPr="003B123A">
        <w:t>private</w:t>
      </w:r>
      <w:r w:rsidR="00573BA7" w:rsidRPr="003B123A">
        <w:t xml:space="preserve"> </w:t>
      </w:r>
      <w:r w:rsidRPr="003B123A">
        <w:t>sector</w:t>
      </w:r>
      <w:r w:rsidR="00573BA7" w:rsidRPr="003B123A">
        <w:t xml:space="preserve"> </w:t>
      </w:r>
      <w:r w:rsidRPr="003B123A">
        <w:t>through</w:t>
      </w:r>
      <w:r w:rsidR="00573BA7" w:rsidRPr="003B123A">
        <w:t xml:space="preserve"> </w:t>
      </w:r>
      <w:r w:rsidRPr="003B123A">
        <w:t>appropriate</w:t>
      </w:r>
      <w:r w:rsidR="00573BA7" w:rsidRPr="003B123A">
        <w:t xml:space="preserve"> </w:t>
      </w:r>
      <w:r w:rsidRPr="003B123A">
        <w:t>policies</w:t>
      </w:r>
      <w:r w:rsidR="00573BA7" w:rsidRPr="003B123A">
        <w:t xml:space="preserve"> </w:t>
      </w:r>
      <w:r w:rsidRPr="003B123A">
        <w:t>and</w:t>
      </w:r>
      <w:r w:rsidR="00573BA7" w:rsidRPr="003B123A">
        <w:t xml:space="preserve"> </w:t>
      </w:r>
      <w:r w:rsidRPr="003B123A">
        <w:t>measures,</w:t>
      </w:r>
      <w:r w:rsidR="00573BA7" w:rsidRPr="003B123A">
        <w:t xml:space="preserve"> </w:t>
      </w:r>
      <w:r w:rsidRPr="003B123A">
        <w:t>which</w:t>
      </w:r>
      <w:r w:rsidR="00573BA7" w:rsidRPr="003B123A">
        <w:t xml:space="preserve"> </w:t>
      </w:r>
      <w:r w:rsidRPr="003B123A">
        <w:t>may</w:t>
      </w:r>
      <w:r w:rsidR="00573BA7" w:rsidRPr="003B123A">
        <w:t xml:space="preserve"> </w:t>
      </w:r>
      <w:r w:rsidRPr="003B123A">
        <w:t>include</w:t>
      </w:r>
      <w:r w:rsidR="00573BA7" w:rsidRPr="003B123A">
        <w:t xml:space="preserve"> </w:t>
      </w:r>
      <w:r w:rsidRPr="003B123A">
        <w:t>affirmative</w:t>
      </w:r>
      <w:r w:rsidR="00573BA7" w:rsidRPr="003B123A">
        <w:t xml:space="preserve"> </w:t>
      </w:r>
      <w:r w:rsidRPr="003B123A">
        <w:t>action</w:t>
      </w:r>
      <w:r w:rsidR="00573BA7" w:rsidRPr="003B123A">
        <w:t xml:space="preserve"> </w:t>
      </w:r>
      <w:r w:rsidRPr="003B123A">
        <w:t>programmes,</w:t>
      </w:r>
      <w:r w:rsidR="00573BA7" w:rsidRPr="003B123A">
        <w:t xml:space="preserve"> </w:t>
      </w:r>
      <w:r w:rsidRPr="003B123A">
        <w:t>incentives</w:t>
      </w:r>
      <w:r w:rsidR="00573BA7">
        <w:t xml:space="preserve"> </w:t>
      </w:r>
      <w:r>
        <w:t>and</w:t>
      </w:r>
      <w:r w:rsidR="00573BA7">
        <w:t xml:space="preserve"> </w:t>
      </w:r>
      <w:r>
        <w:t>other</w:t>
      </w:r>
      <w:r w:rsidR="00573BA7">
        <w:t xml:space="preserve"> </w:t>
      </w:r>
      <w:r>
        <w:t>measures</w:t>
      </w:r>
      <w:r w:rsidR="009F0B6C">
        <w:t>.</w:t>
      </w:r>
      <w:r w:rsidR="009F0B6C">
        <w:rPr>
          <w:rStyle w:val="EndnoteReference"/>
        </w:rPr>
        <w:endnoteReference w:id="70"/>
      </w:r>
    </w:p>
    <w:p w14:paraId="27775137" w14:textId="7F7F512A" w:rsidR="009A05AA" w:rsidRDefault="009A05AA" w:rsidP="00DA2A0A">
      <w:pPr>
        <w:pStyle w:val="ListParagraph"/>
        <w:numPr>
          <w:ilvl w:val="1"/>
          <w:numId w:val="58"/>
        </w:numPr>
      </w:pPr>
      <w:r w:rsidRPr="003B123A">
        <w:t>Ensure</w:t>
      </w:r>
      <w:r w:rsidR="00573BA7" w:rsidRPr="003B123A">
        <w:t xml:space="preserve"> </w:t>
      </w:r>
      <w:r w:rsidRPr="003B123A">
        <w:t>that</w:t>
      </w:r>
      <w:r w:rsidR="00573BA7" w:rsidRPr="003B123A">
        <w:t xml:space="preserve"> </w:t>
      </w:r>
      <w:r w:rsidRPr="003B123A">
        <w:t>reasonable</w:t>
      </w:r>
      <w:r w:rsidR="00573BA7" w:rsidRPr="003B123A">
        <w:t xml:space="preserve"> </w:t>
      </w:r>
      <w:r w:rsidRPr="003B123A">
        <w:t>accommodation</w:t>
      </w:r>
      <w:r w:rsidR="00573BA7" w:rsidRPr="003B123A">
        <w:t xml:space="preserve"> </w:t>
      </w:r>
      <w:r w:rsidRPr="003B123A">
        <w:t>is</w:t>
      </w:r>
      <w:r w:rsidR="00573BA7" w:rsidRPr="003B123A">
        <w:t xml:space="preserve"> </w:t>
      </w:r>
      <w:r w:rsidRPr="003B123A">
        <w:t>provided</w:t>
      </w:r>
      <w:r w:rsidR="00573BA7" w:rsidRPr="003B123A">
        <w:t xml:space="preserve"> </w:t>
      </w:r>
      <w:r w:rsidRPr="003B123A">
        <w:t>to</w:t>
      </w:r>
      <w:r w:rsidR="00573BA7" w:rsidRPr="003B123A">
        <w:t xml:space="preserve"> </w:t>
      </w:r>
      <w:r w:rsidR="007F5BA4" w:rsidRPr="003B123A">
        <w:t>people</w:t>
      </w:r>
      <w:r w:rsidR="00573BA7" w:rsidRPr="003B123A">
        <w:t xml:space="preserve"> </w:t>
      </w:r>
      <w:r w:rsidR="007F5BA4" w:rsidRPr="003B123A">
        <w:t>with</w:t>
      </w:r>
      <w:r w:rsidR="00573BA7" w:rsidRPr="003B123A">
        <w:t xml:space="preserve"> </w:t>
      </w:r>
      <w:r w:rsidR="007F5BA4" w:rsidRPr="003B123A">
        <w:t>disability</w:t>
      </w:r>
      <w:r w:rsidR="00573BA7" w:rsidRPr="003B123A">
        <w:t xml:space="preserve"> </w:t>
      </w:r>
      <w:r w:rsidRPr="003B123A">
        <w:t>in</w:t>
      </w:r>
      <w:r w:rsidR="00573BA7" w:rsidRPr="003B123A">
        <w:t xml:space="preserve"> </w:t>
      </w:r>
      <w:r w:rsidRPr="003B123A">
        <w:t>the</w:t>
      </w:r>
      <w:r w:rsidR="00573BA7" w:rsidRPr="003B123A">
        <w:t xml:space="preserve"> </w:t>
      </w:r>
      <w:r w:rsidRPr="003B123A">
        <w:t>workplace</w:t>
      </w:r>
      <w:r w:rsidR="009F0B6C" w:rsidRPr="003B123A">
        <w:t>.</w:t>
      </w:r>
      <w:r w:rsidR="009F0B6C" w:rsidRPr="003B123A">
        <w:rPr>
          <w:rStyle w:val="EndnoteReference"/>
        </w:rPr>
        <w:endnoteReference w:id="71"/>
      </w:r>
      <w:r w:rsidR="00573BA7" w:rsidRPr="003B123A">
        <w:t xml:space="preserve">  </w:t>
      </w:r>
      <w:r w:rsidR="0056496E" w:rsidRPr="003B123A">
        <w:t>The</w:t>
      </w:r>
      <w:r w:rsidR="00573BA7" w:rsidRPr="003B123A">
        <w:t xml:space="preserve"> </w:t>
      </w:r>
      <w:r w:rsidR="0056496E" w:rsidRPr="003B123A">
        <w:t>CRPD</w:t>
      </w:r>
      <w:r w:rsidR="00573BA7" w:rsidRPr="003B123A">
        <w:t xml:space="preserve"> </w:t>
      </w:r>
      <w:r w:rsidR="0056496E" w:rsidRPr="003B123A">
        <w:t>defines</w:t>
      </w:r>
      <w:r w:rsidR="00573BA7" w:rsidRPr="003B123A">
        <w:t xml:space="preserve"> </w:t>
      </w:r>
      <w:r w:rsidR="0056496E" w:rsidRPr="003B123A">
        <w:t>‘reasonable</w:t>
      </w:r>
      <w:r w:rsidR="00573BA7" w:rsidRPr="003B123A">
        <w:t xml:space="preserve"> </w:t>
      </w:r>
      <w:r w:rsidR="0056496E" w:rsidRPr="003B123A">
        <w:t>accommodation’</w:t>
      </w:r>
      <w:r w:rsidR="00573BA7" w:rsidRPr="003B123A">
        <w:t xml:space="preserve"> </w:t>
      </w:r>
      <w:r w:rsidR="0056496E" w:rsidRPr="003B123A">
        <w:t>as</w:t>
      </w:r>
      <w:r w:rsidR="00573BA7" w:rsidRPr="003B123A">
        <w:t xml:space="preserve"> </w:t>
      </w:r>
      <w:r w:rsidR="0056496E" w:rsidRPr="003B123A">
        <w:t>‘necessary</w:t>
      </w:r>
      <w:r w:rsidR="00573BA7" w:rsidRPr="003B123A">
        <w:t xml:space="preserve"> </w:t>
      </w:r>
      <w:r w:rsidR="00BD06B5" w:rsidRPr="003B123A">
        <w:t>and</w:t>
      </w:r>
      <w:r w:rsidR="00573BA7" w:rsidRPr="003B123A">
        <w:t xml:space="preserve"> </w:t>
      </w:r>
      <w:r w:rsidR="00BD06B5" w:rsidRPr="003B123A">
        <w:t>appropriate</w:t>
      </w:r>
      <w:r w:rsidR="00573BA7" w:rsidRPr="003B123A">
        <w:t xml:space="preserve"> </w:t>
      </w:r>
      <w:r w:rsidR="00BD06B5" w:rsidRPr="003B123A">
        <w:t>mod</w:t>
      </w:r>
      <w:r w:rsidR="00BD06B5">
        <w:t>ification</w:t>
      </w:r>
      <w:r w:rsidR="00573BA7">
        <w:t xml:space="preserve"> </w:t>
      </w:r>
      <w:r w:rsidR="00BD06B5">
        <w:t>and</w:t>
      </w:r>
      <w:r w:rsidR="00573BA7">
        <w:t xml:space="preserve"> </w:t>
      </w:r>
      <w:r w:rsidR="00BD06B5">
        <w:t>adjustments</w:t>
      </w:r>
      <w:r w:rsidR="00573BA7">
        <w:t xml:space="preserve"> </w:t>
      </w:r>
      <w:r w:rsidR="00BD06B5">
        <w:t>not</w:t>
      </w:r>
      <w:r w:rsidR="00573BA7">
        <w:t xml:space="preserve"> </w:t>
      </w:r>
      <w:r w:rsidR="00BD06B5">
        <w:t>imposing</w:t>
      </w:r>
      <w:r w:rsidR="00573BA7">
        <w:t xml:space="preserve"> </w:t>
      </w:r>
      <w:r w:rsidR="00BD06B5">
        <w:t>a</w:t>
      </w:r>
      <w:r w:rsidR="00573BA7">
        <w:t xml:space="preserve"> </w:t>
      </w:r>
      <w:r w:rsidR="00BD06B5">
        <w:t>disproportionate</w:t>
      </w:r>
      <w:r w:rsidR="00573BA7">
        <w:t xml:space="preserve"> </w:t>
      </w:r>
      <w:r w:rsidR="00BD06B5">
        <w:t>or</w:t>
      </w:r>
      <w:r w:rsidR="00573BA7">
        <w:t xml:space="preserve"> </w:t>
      </w:r>
      <w:r w:rsidR="00BD06B5">
        <w:t>undue</w:t>
      </w:r>
      <w:r w:rsidR="00573BA7">
        <w:t xml:space="preserve"> </w:t>
      </w:r>
      <w:r w:rsidR="00BD06B5">
        <w:t>burden,</w:t>
      </w:r>
      <w:r w:rsidR="00573BA7">
        <w:t xml:space="preserve"> </w:t>
      </w:r>
      <w:r w:rsidR="00BD06B5">
        <w:t>where</w:t>
      </w:r>
      <w:r w:rsidR="00573BA7">
        <w:t xml:space="preserve"> </w:t>
      </w:r>
      <w:r w:rsidR="00BD06B5">
        <w:t>needed</w:t>
      </w:r>
      <w:r w:rsidR="00573BA7">
        <w:t xml:space="preserve"> </w:t>
      </w:r>
      <w:r w:rsidR="00BD06B5">
        <w:t>in</w:t>
      </w:r>
      <w:r w:rsidR="00573BA7">
        <w:t xml:space="preserve"> </w:t>
      </w:r>
      <w:r w:rsidR="00BD06B5">
        <w:t>a</w:t>
      </w:r>
      <w:r w:rsidR="00573BA7">
        <w:t xml:space="preserve"> </w:t>
      </w:r>
      <w:r w:rsidR="00BD06B5">
        <w:t>particular</w:t>
      </w:r>
      <w:r w:rsidR="00573BA7">
        <w:t xml:space="preserve"> </w:t>
      </w:r>
      <w:r w:rsidR="00BD06B5">
        <w:t>case,</w:t>
      </w:r>
      <w:r w:rsidR="00573BA7">
        <w:t xml:space="preserve"> </w:t>
      </w:r>
      <w:r w:rsidR="00BD06B5">
        <w:t>to</w:t>
      </w:r>
      <w:r w:rsidR="00573BA7">
        <w:t xml:space="preserve"> </w:t>
      </w:r>
      <w:r w:rsidR="00BD06B5">
        <w:t>ensure</w:t>
      </w:r>
      <w:r w:rsidR="00573BA7">
        <w:t xml:space="preserve"> </w:t>
      </w:r>
      <w:r w:rsidR="00BD06B5">
        <w:t>to</w:t>
      </w:r>
      <w:r w:rsidR="00573BA7">
        <w:t xml:space="preserve"> </w:t>
      </w:r>
      <w:r w:rsidR="00363001">
        <w:t xml:space="preserve">persons </w:t>
      </w:r>
      <w:r w:rsidR="007F5BA4">
        <w:t>with</w:t>
      </w:r>
      <w:r w:rsidR="00573BA7">
        <w:t xml:space="preserve"> </w:t>
      </w:r>
      <w:r w:rsidR="007F5BA4">
        <w:t>disabilit</w:t>
      </w:r>
      <w:r w:rsidR="00363001">
        <w:t>ies</w:t>
      </w:r>
      <w:r w:rsidR="00573BA7">
        <w:t xml:space="preserve"> </w:t>
      </w:r>
      <w:r w:rsidR="00BD06B5">
        <w:t>the</w:t>
      </w:r>
      <w:r w:rsidR="00573BA7">
        <w:t xml:space="preserve"> </w:t>
      </w:r>
      <w:r w:rsidR="00BD06B5">
        <w:t>enjoyment</w:t>
      </w:r>
      <w:r w:rsidR="00573BA7">
        <w:t xml:space="preserve"> </w:t>
      </w:r>
      <w:r w:rsidR="00BD06B5">
        <w:t>or</w:t>
      </w:r>
      <w:r w:rsidR="00573BA7">
        <w:t xml:space="preserve"> </w:t>
      </w:r>
      <w:r w:rsidR="00BD06B5">
        <w:t>exercise</w:t>
      </w:r>
      <w:r w:rsidR="00573BA7">
        <w:t xml:space="preserve"> </w:t>
      </w:r>
      <w:r w:rsidR="00BD06B5">
        <w:t>on</w:t>
      </w:r>
      <w:r w:rsidR="00573BA7">
        <w:t xml:space="preserve"> </w:t>
      </w:r>
      <w:r w:rsidR="00BD06B5">
        <w:t>an</w:t>
      </w:r>
      <w:r w:rsidR="00573BA7">
        <w:t xml:space="preserve"> </w:t>
      </w:r>
      <w:r w:rsidR="00BD06B5">
        <w:t>equal</w:t>
      </w:r>
      <w:r w:rsidR="00573BA7">
        <w:t xml:space="preserve"> </w:t>
      </w:r>
      <w:r w:rsidR="00BD06B5">
        <w:t>basis</w:t>
      </w:r>
      <w:r w:rsidR="00573BA7">
        <w:t xml:space="preserve"> </w:t>
      </w:r>
      <w:r w:rsidR="00BD06B5">
        <w:t>with</w:t>
      </w:r>
      <w:r w:rsidR="00573BA7">
        <w:t xml:space="preserve"> </w:t>
      </w:r>
      <w:r w:rsidR="00BD06B5">
        <w:t>others</w:t>
      </w:r>
      <w:r w:rsidR="00573BA7">
        <w:t xml:space="preserve"> </w:t>
      </w:r>
      <w:r w:rsidR="00BD06B5">
        <w:t>of</w:t>
      </w:r>
      <w:r w:rsidR="00573BA7">
        <w:t xml:space="preserve"> </w:t>
      </w:r>
      <w:r w:rsidR="00BD06B5">
        <w:t>all</w:t>
      </w:r>
      <w:r w:rsidR="00573BA7">
        <w:t xml:space="preserve"> </w:t>
      </w:r>
      <w:r w:rsidR="00BD06B5">
        <w:t>human</w:t>
      </w:r>
      <w:r w:rsidR="00573BA7">
        <w:t xml:space="preserve"> </w:t>
      </w:r>
      <w:r w:rsidR="00BD06B5">
        <w:t>rights</w:t>
      </w:r>
      <w:r w:rsidR="00573BA7">
        <w:t xml:space="preserve"> </w:t>
      </w:r>
      <w:r w:rsidR="00BD06B5">
        <w:t>and</w:t>
      </w:r>
      <w:r w:rsidR="00573BA7">
        <w:t xml:space="preserve"> </w:t>
      </w:r>
      <w:r w:rsidR="00BD06B5">
        <w:t>fundamental</w:t>
      </w:r>
      <w:r w:rsidR="00573BA7">
        <w:t xml:space="preserve"> </w:t>
      </w:r>
      <w:r w:rsidR="00BD06B5">
        <w:t>freedoms’.</w:t>
      </w:r>
      <w:r w:rsidR="00BD06B5">
        <w:rPr>
          <w:rStyle w:val="EndnoteReference"/>
        </w:rPr>
        <w:endnoteReference w:id="72"/>
      </w:r>
      <w:r w:rsidR="00573BA7">
        <w:t xml:space="preserve">  </w:t>
      </w:r>
      <w:r w:rsidR="00D0060D">
        <w:t xml:space="preserve">Reasonable accommodation under international human rights law is considered in further detail in </w:t>
      </w:r>
      <w:r w:rsidR="00D0060D" w:rsidRPr="00D0060D">
        <w:t xml:space="preserve">part </w:t>
      </w:r>
      <w:r w:rsidR="00D0060D" w:rsidRPr="00D0060D">
        <w:fldChar w:fldCharType="begin"/>
      </w:r>
      <w:r w:rsidR="00D0060D" w:rsidRPr="00D0060D">
        <w:instrText xml:space="preserve"> REF _Ref50549794 \w \h  \* MERGEFORMAT </w:instrText>
      </w:r>
      <w:r w:rsidR="00D0060D" w:rsidRPr="00D0060D">
        <w:fldChar w:fldCharType="separate"/>
      </w:r>
      <w:r w:rsidR="003944D6">
        <w:t>4.3</w:t>
      </w:r>
      <w:r w:rsidR="00D0060D" w:rsidRPr="00D0060D">
        <w:fldChar w:fldCharType="end"/>
      </w:r>
      <w:r w:rsidR="00D0060D" w:rsidRPr="00D0060D">
        <w:t xml:space="preserve"> of this</w:t>
      </w:r>
      <w:r w:rsidR="00D0060D">
        <w:t xml:space="preserve"> submission. </w:t>
      </w:r>
      <w:r w:rsidR="00C0763C">
        <w:t>The</w:t>
      </w:r>
      <w:r w:rsidR="00573BA7">
        <w:t xml:space="preserve"> </w:t>
      </w:r>
      <w:r w:rsidR="00C0763C">
        <w:t>denial</w:t>
      </w:r>
      <w:r w:rsidR="00573BA7">
        <w:t xml:space="preserve"> </w:t>
      </w:r>
      <w:r w:rsidR="00C0763C">
        <w:t>of</w:t>
      </w:r>
      <w:r w:rsidR="00573BA7">
        <w:t xml:space="preserve"> </w:t>
      </w:r>
      <w:r w:rsidR="00C0763C">
        <w:t>reasonable</w:t>
      </w:r>
      <w:r w:rsidR="00573BA7">
        <w:t xml:space="preserve"> </w:t>
      </w:r>
      <w:r w:rsidR="00C0763C">
        <w:t>accommodation</w:t>
      </w:r>
      <w:r w:rsidR="00573BA7">
        <w:t xml:space="preserve"> </w:t>
      </w:r>
      <w:r w:rsidR="00C0763C">
        <w:t>constitutes</w:t>
      </w:r>
      <w:r w:rsidR="00573BA7">
        <w:t xml:space="preserve"> </w:t>
      </w:r>
      <w:r w:rsidR="00C0763C">
        <w:t>a</w:t>
      </w:r>
      <w:r w:rsidR="00573BA7">
        <w:t xml:space="preserve"> </w:t>
      </w:r>
      <w:r w:rsidR="00C0763C">
        <w:t>form</w:t>
      </w:r>
      <w:r w:rsidR="00573BA7">
        <w:t xml:space="preserve"> </w:t>
      </w:r>
      <w:r w:rsidR="00C0763C">
        <w:t>of</w:t>
      </w:r>
      <w:r w:rsidR="00573BA7">
        <w:t xml:space="preserve"> </w:t>
      </w:r>
      <w:r w:rsidR="00C0763C">
        <w:t>discrimination</w:t>
      </w:r>
      <w:r w:rsidR="00573BA7">
        <w:t xml:space="preserve"> </w:t>
      </w:r>
      <w:r w:rsidR="00C0763C">
        <w:t>under</w:t>
      </w:r>
      <w:r w:rsidR="00573BA7">
        <w:t xml:space="preserve"> </w:t>
      </w:r>
      <w:r w:rsidR="00C0763C">
        <w:t>the</w:t>
      </w:r>
      <w:r w:rsidR="00573BA7">
        <w:t xml:space="preserve"> </w:t>
      </w:r>
      <w:r w:rsidR="00C0763C">
        <w:t>CRPD</w:t>
      </w:r>
      <w:r w:rsidR="00420DCB">
        <w:t>,</w:t>
      </w:r>
      <w:r w:rsidR="00573BA7">
        <w:t xml:space="preserve"> </w:t>
      </w:r>
      <w:r w:rsidR="00420DCB">
        <w:t>which</w:t>
      </w:r>
      <w:r w:rsidR="00573BA7">
        <w:t xml:space="preserve"> </w:t>
      </w:r>
      <w:r w:rsidR="00420DCB">
        <w:t>is</w:t>
      </w:r>
      <w:r w:rsidR="00573BA7">
        <w:t xml:space="preserve"> </w:t>
      </w:r>
      <w:r w:rsidR="00420DCB">
        <w:t>reflected</w:t>
      </w:r>
      <w:r w:rsidR="00573BA7">
        <w:t xml:space="preserve"> </w:t>
      </w:r>
      <w:r w:rsidR="00420DCB">
        <w:t>in</w:t>
      </w:r>
      <w:r w:rsidR="00573BA7">
        <w:t xml:space="preserve"> </w:t>
      </w:r>
      <w:r w:rsidR="00420DCB">
        <w:t>Australia’s</w:t>
      </w:r>
      <w:r w:rsidR="00573BA7">
        <w:t xml:space="preserve"> </w:t>
      </w:r>
      <w:r w:rsidR="00420DCB">
        <w:t>anti-discrimination</w:t>
      </w:r>
      <w:r w:rsidR="00573BA7">
        <w:t xml:space="preserve"> </w:t>
      </w:r>
      <w:r w:rsidR="00420DCB">
        <w:t>laws</w:t>
      </w:r>
      <w:r w:rsidR="00573BA7">
        <w:t xml:space="preserve"> </w:t>
      </w:r>
      <w:r w:rsidR="00420DCB">
        <w:t>as</w:t>
      </w:r>
      <w:r w:rsidR="00573BA7">
        <w:t xml:space="preserve"> </w:t>
      </w:r>
      <w:r w:rsidR="00420DCB">
        <w:t>discussed</w:t>
      </w:r>
      <w:r w:rsidR="00573BA7">
        <w:t xml:space="preserve"> </w:t>
      </w:r>
      <w:r w:rsidR="00420DCB">
        <w:t>at</w:t>
      </w:r>
      <w:r w:rsidR="00573BA7">
        <w:t xml:space="preserve"> </w:t>
      </w:r>
      <w:r w:rsidR="00420DCB" w:rsidRPr="00D0060D">
        <w:t>part</w:t>
      </w:r>
      <w:r w:rsidR="0040257B">
        <w:t>s</w:t>
      </w:r>
      <w:r w:rsidR="00D0060D">
        <w:t xml:space="preserve"> </w:t>
      </w:r>
      <w:r w:rsidR="00D0060D">
        <w:fldChar w:fldCharType="begin"/>
      </w:r>
      <w:r w:rsidR="00D0060D">
        <w:instrText xml:space="preserve"> REF _Ref50804302 \w \h </w:instrText>
      </w:r>
      <w:r w:rsidR="00D0060D">
        <w:fldChar w:fldCharType="separate"/>
      </w:r>
      <w:r w:rsidR="003944D6">
        <w:t>3.3</w:t>
      </w:r>
      <w:r w:rsidR="00D0060D">
        <w:fldChar w:fldCharType="end"/>
      </w:r>
      <w:r w:rsidR="00D0060D">
        <w:t xml:space="preserve"> and</w:t>
      </w:r>
      <w:r w:rsidR="00573BA7" w:rsidRPr="00D0060D">
        <w:t xml:space="preserve"> </w:t>
      </w:r>
      <w:r w:rsidR="003B123A" w:rsidRPr="00D0060D">
        <w:fldChar w:fldCharType="begin"/>
      </w:r>
      <w:r w:rsidR="003B123A" w:rsidRPr="00D0060D">
        <w:instrText xml:space="preserve"> REF _Ref50730820 \w \h </w:instrText>
      </w:r>
      <w:r w:rsidR="00D0060D">
        <w:instrText xml:space="preserve"> \* MERGEFORMAT </w:instrText>
      </w:r>
      <w:r w:rsidR="003B123A" w:rsidRPr="00D0060D">
        <w:fldChar w:fldCharType="separate"/>
      </w:r>
      <w:r w:rsidR="003944D6">
        <w:t>5.3(e)</w:t>
      </w:r>
      <w:r w:rsidR="003B123A" w:rsidRPr="00D0060D">
        <w:fldChar w:fldCharType="end"/>
      </w:r>
      <w:r w:rsidR="00573BA7" w:rsidRPr="00D0060D">
        <w:t xml:space="preserve"> </w:t>
      </w:r>
      <w:r w:rsidR="00420DCB" w:rsidRPr="00D0060D">
        <w:t>of</w:t>
      </w:r>
      <w:r w:rsidR="00573BA7" w:rsidRPr="00D0060D">
        <w:t xml:space="preserve"> </w:t>
      </w:r>
      <w:r w:rsidR="00420DCB" w:rsidRPr="00D0060D">
        <w:t>this</w:t>
      </w:r>
      <w:r w:rsidR="00573BA7">
        <w:t xml:space="preserve"> </w:t>
      </w:r>
      <w:r w:rsidR="00420DCB">
        <w:t>submission</w:t>
      </w:r>
      <w:r w:rsidR="00272287">
        <w:t>.</w:t>
      </w:r>
      <w:r w:rsidR="00C0763C">
        <w:rPr>
          <w:rStyle w:val="EndnoteReference"/>
        </w:rPr>
        <w:endnoteReference w:id="73"/>
      </w:r>
      <w:r w:rsidR="00573BA7">
        <w:t xml:space="preserve"> </w:t>
      </w:r>
    </w:p>
    <w:p w14:paraId="27736D5E" w14:textId="546A06B8" w:rsidR="009A05AA" w:rsidRDefault="009A05AA" w:rsidP="00DA2A0A">
      <w:pPr>
        <w:pStyle w:val="ListParagraph"/>
        <w:numPr>
          <w:ilvl w:val="1"/>
          <w:numId w:val="58"/>
        </w:numPr>
      </w:pPr>
      <w:r w:rsidRPr="00F725E0">
        <w:t>Promote</w:t>
      </w:r>
      <w:r w:rsidR="00573BA7" w:rsidRPr="00F725E0">
        <w:t xml:space="preserve"> </w:t>
      </w:r>
      <w:r w:rsidRPr="00F725E0">
        <w:t>the</w:t>
      </w:r>
      <w:r w:rsidR="00573BA7" w:rsidRPr="00F725E0">
        <w:t xml:space="preserve"> </w:t>
      </w:r>
      <w:r w:rsidRPr="00F725E0">
        <w:t>acquisition</w:t>
      </w:r>
      <w:r w:rsidR="00573BA7" w:rsidRPr="00F725E0">
        <w:t xml:space="preserve"> </w:t>
      </w:r>
      <w:r w:rsidRPr="00F725E0">
        <w:t>by</w:t>
      </w:r>
      <w:r w:rsidR="00573BA7" w:rsidRPr="00F725E0">
        <w:t xml:space="preserve"> </w:t>
      </w:r>
      <w:r w:rsidR="007F5BA4" w:rsidRPr="00F725E0">
        <w:t>people</w:t>
      </w:r>
      <w:r w:rsidR="00573BA7" w:rsidRPr="00F725E0">
        <w:t xml:space="preserve"> </w:t>
      </w:r>
      <w:r w:rsidR="007F5BA4" w:rsidRPr="00F725E0">
        <w:t>with</w:t>
      </w:r>
      <w:r w:rsidR="00573BA7" w:rsidRPr="00F725E0">
        <w:t xml:space="preserve"> </w:t>
      </w:r>
      <w:r w:rsidR="007F5BA4" w:rsidRPr="00F725E0">
        <w:t>disability</w:t>
      </w:r>
      <w:r w:rsidR="00573BA7" w:rsidRPr="00F725E0">
        <w:t xml:space="preserve"> </w:t>
      </w:r>
      <w:r w:rsidRPr="00F725E0">
        <w:t>of</w:t>
      </w:r>
      <w:r w:rsidR="00573BA7" w:rsidRPr="00F725E0">
        <w:t xml:space="preserve"> </w:t>
      </w:r>
      <w:r w:rsidRPr="00F725E0">
        <w:t>work</w:t>
      </w:r>
      <w:r w:rsidR="00573BA7" w:rsidRPr="00F725E0">
        <w:t xml:space="preserve"> </w:t>
      </w:r>
      <w:r w:rsidRPr="00F725E0">
        <w:t>experience</w:t>
      </w:r>
      <w:r w:rsidR="00573BA7" w:rsidRPr="00F725E0">
        <w:t xml:space="preserve"> </w:t>
      </w:r>
      <w:r w:rsidRPr="00F725E0">
        <w:t>in</w:t>
      </w:r>
      <w:r w:rsidR="00573BA7" w:rsidRPr="00F725E0">
        <w:t xml:space="preserve"> </w:t>
      </w:r>
      <w:r w:rsidRPr="00F725E0">
        <w:t>the</w:t>
      </w:r>
      <w:r w:rsidR="00573BA7" w:rsidRPr="00F725E0">
        <w:t xml:space="preserve"> </w:t>
      </w:r>
      <w:r w:rsidRPr="00F725E0">
        <w:t>open</w:t>
      </w:r>
      <w:r w:rsidR="00573BA7" w:rsidRPr="00F725E0">
        <w:t xml:space="preserve"> </w:t>
      </w:r>
      <w:r w:rsidRPr="00F725E0">
        <w:t>labour</w:t>
      </w:r>
      <w:r w:rsidR="00573BA7" w:rsidRPr="00F725E0">
        <w:t xml:space="preserve"> </w:t>
      </w:r>
      <w:r w:rsidRPr="00F725E0">
        <w:t>market</w:t>
      </w:r>
      <w:r w:rsidR="009F0B6C" w:rsidRPr="00F725E0">
        <w:t>.</w:t>
      </w:r>
      <w:r w:rsidR="009F0B6C" w:rsidRPr="00F725E0">
        <w:rPr>
          <w:rStyle w:val="EndnoteReference"/>
        </w:rPr>
        <w:endnoteReference w:id="74"/>
      </w:r>
      <w:r w:rsidR="00573BA7" w:rsidRPr="00F725E0">
        <w:t xml:space="preserve">  </w:t>
      </w:r>
      <w:r w:rsidR="00130AEA" w:rsidRPr="00F725E0">
        <w:t>Acquiring</w:t>
      </w:r>
      <w:r w:rsidR="00573BA7">
        <w:t xml:space="preserve"> </w:t>
      </w:r>
      <w:r w:rsidR="00130AEA">
        <w:t>work</w:t>
      </w:r>
      <w:r w:rsidR="00573BA7">
        <w:t xml:space="preserve"> </w:t>
      </w:r>
      <w:r w:rsidR="00130AEA">
        <w:t>in</w:t>
      </w:r>
      <w:r w:rsidR="00573BA7">
        <w:t xml:space="preserve"> </w:t>
      </w:r>
      <w:r w:rsidR="00130AEA">
        <w:t>the</w:t>
      </w:r>
      <w:r w:rsidR="00573BA7">
        <w:t xml:space="preserve"> </w:t>
      </w:r>
      <w:r w:rsidR="00130AEA">
        <w:t>open</w:t>
      </w:r>
      <w:r w:rsidR="00573BA7">
        <w:t xml:space="preserve"> </w:t>
      </w:r>
      <w:r w:rsidR="00130AEA">
        <w:t>labour</w:t>
      </w:r>
      <w:r w:rsidR="00573BA7">
        <w:t xml:space="preserve"> </w:t>
      </w:r>
      <w:r w:rsidR="00130AEA">
        <w:t>market</w:t>
      </w:r>
      <w:r w:rsidR="00573BA7">
        <w:t xml:space="preserve"> </w:t>
      </w:r>
      <w:r w:rsidR="00130AEA">
        <w:t>is</w:t>
      </w:r>
      <w:r w:rsidR="00573BA7">
        <w:t xml:space="preserve"> </w:t>
      </w:r>
      <w:r w:rsidR="00130AEA">
        <w:t>central</w:t>
      </w:r>
      <w:r w:rsidR="00573BA7">
        <w:t xml:space="preserve"> </w:t>
      </w:r>
      <w:r w:rsidR="007A002E">
        <w:t>to</w:t>
      </w:r>
      <w:r w:rsidR="00573BA7">
        <w:t xml:space="preserve"> </w:t>
      </w:r>
      <w:r w:rsidR="007A002E">
        <w:t>the</w:t>
      </w:r>
      <w:r w:rsidR="00573BA7">
        <w:t xml:space="preserve"> </w:t>
      </w:r>
      <w:r w:rsidR="007A002E">
        <w:t>right</w:t>
      </w:r>
      <w:r w:rsidR="00573BA7">
        <w:t xml:space="preserve"> </w:t>
      </w:r>
      <w:r w:rsidR="007A002E">
        <w:t>to</w:t>
      </w:r>
      <w:r w:rsidR="00573BA7">
        <w:t xml:space="preserve"> </w:t>
      </w:r>
      <w:r w:rsidR="007A002E">
        <w:t>work,</w:t>
      </w:r>
      <w:r w:rsidR="00573BA7">
        <w:t xml:space="preserve"> </w:t>
      </w:r>
      <w:r w:rsidR="007A002E">
        <w:t>on</w:t>
      </w:r>
      <w:r w:rsidR="00573BA7">
        <w:t xml:space="preserve"> </w:t>
      </w:r>
      <w:r w:rsidR="007A002E">
        <w:t>an</w:t>
      </w:r>
      <w:r w:rsidR="00573BA7">
        <w:t xml:space="preserve"> </w:t>
      </w:r>
      <w:r w:rsidR="007A002E">
        <w:t>equal</w:t>
      </w:r>
      <w:r w:rsidR="00573BA7">
        <w:t xml:space="preserve"> </w:t>
      </w:r>
      <w:r w:rsidR="007A002E">
        <w:t>basis</w:t>
      </w:r>
      <w:r w:rsidR="00573BA7">
        <w:t xml:space="preserve"> </w:t>
      </w:r>
      <w:r w:rsidR="00DC4BA9">
        <w:t>with</w:t>
      </w:r>
      <w:r w:rsidR="00573BA7">
        <w:t xml:space="preserve"> </w:t>
      </w:r>
      <w:r w:rsidR="00DC4BA9">
        <w:t>others.</w:t>
      </w:r>
      <w:r w:rsidR="00573BA7">
        <w:t xml:space="preserve">  </w:t>
      </w:r>
      <w:r w:rsidR="005926CC">
        <w:t>The</w:t>
      </w:r>
      <w:r w:rsidR="00573BA7">
        <w:t xml:space="preserve"> </w:t>
      </w:r>
      <w:r w:rsidR="005926CC">
        <w:t>low</w:t>
      </w:r>
      <w:r w:rsidR="00573BA7">
        <w:t xml:space="preserve"> </w:t>
      </w:r>
      <w:r w:rsidR="00631C68">
        <w:t>rate</w:t>
      </w:r>
      <w:r w:rsidR="00573BA7">
        <w:t xml:space="preserve"> </w:t>
      </w:r>
      <w:r w:rsidR="00631C68">
        <w:t>of</w:t>
      </w:r>
      <w:r w:rsidR="00573BA7">
        <w:t xml:space="preserve"> </w:t>
      </w:r>
      <w:r w:rsidR="00631C68">
        <w:t>participation</w:t>
      </w:r>
      <w:r w:rsidR="00573BA7">
        <w:t xml:space="preserve"> </w:t>
      </w:r>
      <w:r w:rsidR="00631C68">
        <w:t>in</w:t>
      </w:r>
      <w:r w:rsidR="00573BA7">
        <w:t xml:space="preserve"> </w:t>
      </w:r>
      <w:r w:rsidR="00631C68">
        <w:t>the</w:t>
      </w:r>
      <w:r w:rsidR="00573BA7">
        <w:t xml:space="preserve"> </w:t>
      </w:r>
      <w:r w:rsidR="00631C68">
        <w:t>open</w:t>
      </w:r>
      <w:r w:rsidR="00573BA7">
        <w:t xml:space="preserve"> </w:t>
      </w:r>
      <w:r w:rsidR="00631C68">
        <w:t>labour</w:t>
      </w:r>
      <w:r w:rsidR="00573BA7">
        <w:t xml:space="preserve"> </w:t>
      </w:r>
      <w:r w:rsidR="00631C68">
        <w:t>market</w:t>
      </w:r>
      <w:r w:rsidR="00573BA7">
        <w:t xml:space="preserve"> </w:t>
      </w:r>
      <w:r w:rsidR="00631C68">
        <w:t>by</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rsidR="00631C68">
        <w:t>who</w:t>
      </w:r>
      <w:r w:rsidR="00573BA7">
        <w:t xml:space="preserve"> </w:t>
      </w:r>
      <w:r w:rsidR="00631C68">
        <w:t>are</w:t>
      </w:r>
      <w:r w:rsidR="00573BA7">
        <w:t xml:space="preserve"> </w:t>
      </w:r>
      <w:r w:rsidR="00631C68">
        <w:t>employed</w:t>
      </w:r>
      <w:r w:rsidR="00573BA7">
        <w:t xml:space="preserve"> </w:t>
      </w:r>
      <w:r w:rsidR="00631C68">
        <w:t>in</w:t>
      </w:r>
      <w:r w:rsidR="00573BA7">
        <w:t xml:space="preserve"> </w:t>
      </w:r>
      <w:r w:rsidR="00631C68">
        <w:t>ADEs</w:t>
      </w:r>
      <w:r w:rsidR="00573BA7">
        <w:t xml:space="preserve"> </w:t>
      </w:r>
      <w:r w:rsidR="00631C68">
        <w:t>is</w:t>
      </w:r>
      <w:r w:rsidR="00573BA7">
        <w:t xml:space="preserve"> </w:t>
      </w:r>
      <w:r w:rsidR="00631C68">
        <w:t>problematic</w:t>
      </w:r>
      <w:r w:rsidR="00573BA7">
        <w:t xml:space="preserve"> </w:t>
      </w:r>
      <w:r w:rsidR="00631C68">
        <w:t>in</w:t>
      </w:r>
      <w:r w:rsidR="00573BA7">
        <w:t xml:space="preserve"> </w:t>
      </w:r>
      <w:r w:rsidR="00631C68">
        <w:t>that</w:t>
      </w:r>
      <w:r w:rsidR="00573BA7">
        <w:t xml:space="preserve"> </w:t>
      </w:r>
      <w:r w:rsidR="00631C68">
        <w:t>regard</w:t>
      </w:r>
      <w:r w:rsidR="00764864">
        <w:t xml:space="preserve">, as discussed at </w:t>
      </w:r>
      <w:r w:rsidR="00764864" w:rsidRPr="00F725E0">
        <w:t>part</w:t>
      </w:r>
      <w:r w:rsidR="00AF2F42" w:rsidRPr="00F725E0">
        <w:t xml:space="preserve"> </w:t>
      </w:r>
      <w:r w:rsidR="00F725E0" w:rsidRPr="00F725E0">
        <w:fldChar w:fldCharType="begin"/>
      </w:r>
      <w:r w:rsidR="00F725E0" w:rsidRPr="00F725E0">
        <w:instrText xml:space="preserve"> REF _Ref50804335 \w \h </w:instrText>
      </w:r>
      <w:r w:rsidR="00F725E0">
        <w:instrText xml:space="preserve"> \* MERGEFORMAT </w:instrText>
      </w:r>
      <w:r w:rsidR="00F725E0" w:rsidRPr="00F725E0">
        <w:fldChar w:fldCharType="separate"/>
      </w:r>
      <w:r w:rsidR="003944D6">
        <w:t>5.1</w:t>
      </w:r>
      <w:r w:rsidR="00F725E0" w:rsidRPr="00F725E0">
        <w:fldChar w:fldCharType="end"/>
      </w:r>
      <w:r w:rsidR="00573BA7">
        <w:t xml:space="preserve"> </w:t>
      </w:r>
      <w:r w:rsidR="00631C68">
        <w:t>of</w:t>
      </w:r>
      <w:r w:rsidR="00573BA7">
        <w:t xml:space="preserve"> </w:t>
      </w:r>
      <w:r w:rsidR="00631C68">
        <w:t>this</w:t>
      </w:r>
      <w:r w:rsidR="00573BA7">
        <w:t xml:space="preserve"> </w:t>
      </w:r>
      <w:r w:rsidR="00631C68">
        <w:t>submission.</w:t>
      </w:r>
    </w:p>
    <w:p w14:paraId="3584941C" w14:textId="65F95ED8" w:rsidR="00677963" w:rsidRPr="00677963" w:rsidRDefault="009A05AA" w:rsidP="00DA2A0A">
      <w:pPr>
        <w:pStyle w:val="ListParagraph"/>
        <w:numPr>
          <w:ilvl w:val="1"/>
          <w:numId w:val="58"/>
        </w:numPr>
      </w:pPr>
      <w:r>
        <w:t>Promote</w:t>
      </w:r>
      <w:r w:rsidR="00573BA7">
        <w:t xml:space="preserve"> </w:t>
      </w:r>
      <w:r>
        <w:t>vocational</w:t>
      </w:r>
      <w:r w:rsidR="00573BA7">
        <w:t xml:space="preserve"> </w:t>
      </w:r>
      <w:r>
        <w:t>and</w:t>
      </w:r>
      <w:r w:rsidR="00573BA7">
        <w:t xml:space="preserve"> </w:t>
      </w:r>
      <w:r>
        <w:t>professional</w:t>
      </w:r>
      <w:r w:rsidR="00573BA7">
        <w:t xml:space="preserve"> </w:t>
      </w:r>
      <w:r>
        <w:t>rehabilitation,</w:t>
      </w:r>
      <w:r w:rsidR="00573BA7">
        <w:t xml:space="preserve"> </w:t>
      </w:r>
      <w:r>
        <w:t>job</w:t>
      </w:r>
      <w:r w:rsidR="00573BA7">
        <w:t xml:space="preserve"> </w:t>
      </w:r>
      <w:r>
        <w:t>retention</w:t>
      </w:r>
      <w:r w:rsidR="00573BA7">
        <w:t xml:space="preserve"> </w:t>
      </w:r>
      <w:r>
        <w:t>and</w:t>
      </w:r>
      <w:r w:rsidR="00573BA7">
        <w:t xml:space="preserve"> </w:t>
      </w:r>
      <w:r>
        <w:t>return-to-work</w:t>
      </w:r>
      <w:r w:rsidR="00573BA7">
        <w:t xml:space="preserve"> </w:t>
      </w:r>
      <w:r>
        <w:t>programmes</w:t>
      </w:r>
      <w:r w:rsidR="00573BA7">
        <w:t xml:space="preserve"> </w:t>
      </w:r>
      <w:r>
        <w:t>for</w:t>
      </w:r>
      <w:r w:rsidR="00573BA7">
        <w:t xml:space="preserve"> </w:t>
      </w:r>
      <w:r w:rsidR="007F5BA4">
        <w:t>people</w:t>
      </w:r>
      <w:r w:rsidR="00573BA7">
        <w:t xml:space="preserve"> </w:t>
      </w:r>
      <w:r w:rsidR="007F5BA4">
        <w:t>with</w:t>
      </w:r>
      <w:r w:rsidR="00573BA7">
        <w:t xml:space="preserve"> </w:t>
      </w:r>
      <w:r w:rsidR="007F5BA4">
        <w:t>disability</w:t>
      </w:r>
      <w:r>
        <w:t>.</w:t>
      </w:r>
      <w:r w:rsidR="009F0B6C">
        <w:rPr>
          <w:rStyle w:val="EndnoteReference"/>
        </w:rPr>
        <w:endnoteReference w:id="75"/>
      </w:r>
    </w:p>
    <w:p w14:paraId="67861C55" w14:textId="4388DFD1" w:rsidR="003B1A71" w:rsidRDefault="006A2010" w:rsidP="00DA2A0A">
      <w:pPr>
        <w:pStyle w:val="ListParagraph"/>
        <w:numPr>
          <w:ilvl w:val="0"/>
          <w:numId w:val="58"/>
        </w:numPr>
      </w:pPr>
      <w:r>
        <w:t>Article</w:t>
      </w:r>
      <w:r w:rsidR="00573BA7">
        <w:t xml:space="preserve"> </w:t>
      </w:r>
      <w:r>
        <w:t>27(2)</w:t>
      </w:r>
      <w:r w:rsidR="00573BA7">
        <w:t xml:space="preserve"> </w:t>
      </w:r>
      <w:r>
        <w:t>of</w:t>
      </w:r>
      <w:r w:rsidR="00573BA7">
        <w:t xml:space="preserve"> </w:t>
      </w:r>
      <w:r>
        <w:t>the</w:t>
      </w:r>
      <w:r w:rsidR="00573BA7">
        <w:t xml:space="preserve"> </w:t>
      </w:r>
      <w:r>
        <w:t>CRPD</w:t>
      </w:r>
      <w:r w:rsidR="00573BA7">
        <w:t xml:space="preserve"> </w:t>
      </w:r>
      <w:r>
        <w:t>strengthens</w:t>
      </w:r>
      <w:r w:rsidR="00573BA7">
        <w:t xml:space="preserve"> </w:t>
      </w:r>
      <w:r>
        <w:t>the</w:t>
      </w:r>
      <w:r w:rsidR="00573BA7">
        <w:t xml:space="preserve"> </w:t>
      </w:r>
      <w:r>
        <w:t>obligations</w:t>
      </w:r>
      <w:r w:rsidR="00573BA7">
        <w:t xml:space="preserve"> </w:t>
      </w:r>
      <w:r>
        <w:t>contained</w:t>
      </w:r>
      <w:r w:rsidR="00573BA7">
        <w:t xml:space="preserve"> </w:t>
      </w:r>
      <w:r>
        <w:t>in</w:t>
      </w:r>
      <w:r w:rsidR="00573BA7">
        <w:t xml:space="preserve"> </w:t>
      </w:r>
      <w:r>
        <w:t>Article</w:t>
      </w:r>
      <w:r w:rsidR="00573BA7">
        <w:t xml:space="preserve"> </w:t>
      </w:r>
      <w:r>
        <w:t>8</w:t>
      </w:r>
      <w:r w:rsidR="00573BA7">
        <w:t xml:space="preserve"> </w:t>
      </w:r>
      <w:r>
        <w:t>of</w:t>
      </w:r>
      <w:r w:rsidR="00573BA7">
        <w:t xml:space="preserve"> </w:t>
      </w:r>
      <w:r>
        <w:t>the</w:t>
      </w:r>
      <w:r w:rsidR="00573BA7">
        <w:t xml:space="preserve"> </w:t>
      </w:r>
      <w:r>
        <w:t>ICCPR</w:t>
      </w:r>
      <w:r w:rsidR="00573BA7">
        <w:t xml:space="preserve"> </w:t>
      </w:r>
      <w:r>
        <w:t>by</w:t>
      </w:r>
      <w:r w:rsidR="00573BA7">
        <w:t xml:space="preserve"> </w:t>
      </w:r>
      <w:r>
        <w:t>requiring</w:t>
      </w:r>
      <w:r w:rsidR="00573BA7">
        <w:t xml:space="preserve"> </w:t>
      </w:r>
      <w:r>
        <w:t>Australia</w:t>
      </w:r>
      <w:r w:rsidR="00573BA7">
        <w:t xml:space="preserve"> </w:t>
      </w:r>
      <w:r>
        <w:t>to</w:t>
      </w:r>
      <w:r w:rsidR="00573BA7">
        <w:t xml:space="preserve"> </w:t>
      </w:r>
      <w:r>
        <w:t>ensure</w:t>
      </w:r>
      <w:r w:rsidR="00573BA7">
        <w:t xml:space="preserve"> </w:t>
      </w:r>
      <w:r>
        <w:t>that</w:t>
      </w:r>
      <w:r w:rsidR="00573BA7">
        <w:t xml:space="preserve"> </w:t>
      </w:r>
      <w:r>
        <w:t>persons</w:t>
      </w:r>
      <w:r w:rsidR="00573BA7">
        <w:t xml:space="preserve"> </w:t>
      </w:r>
      <w:r>
        <w:t>with</w:t>
      </w:r>
      <w:r w:rsidR="00573BA7">
        <w:t xml:space="preserve"> </w:t>
      </w:r>
      <w:r>
        <w:t>disabilities</w:t>
      </w:r>
      <w:r w:rsidR="00573BA7">
        <w:t xml:space="preserve"> </w:t>
      </w:r>
      <w:r>
        <w:t>are</w:t>
      </w:r>
      <w:r w:rsidR="00573BA7">
        <w:t xml:space="preserve"> </w:t>
      </w:r>
      <w:r>
        <w:lastRenderedPageBreak/>
        <w:t>not</w:t>
      </w:r>
      <w:r w:rsidR="00573BA7">
        <w:t xml:space="preserve"> </w:t>
      </w:r>
      <w:r>
        <w:t>subject</w:t>
      </w:r>
      <w:r w:rsidR="00573BA7">
        <w:t xml:space="preserve"> </w:t>
      </w:r>
      <w:r>
        <w:t>to</w:t>
      </w:r>
      <w:r w:rsidR="00573BA7">
        <w:t xml:space="preserve"> </w:t>
      </w:r>
      <w:r>
        <w:t>slavery</w:t>
      </w:r>
      <w:r w:rsidR="00573BA7">
        <w:t xml:space="preserve"> </w:t>
      </w:r>
      <w:r>
        <w:t>or</w:t>
      </w:r>
      <w:r w:rsidR="00573BA7">
        <w:t xml:space="preserve"> </w:t>
      </w:r>
      <w:r>
        <w:t>servitude,</w:t>
      </w:r>
      <w:r w:rsidR="00573BA7">
        <w:t xml:space="preserve"> </w:t>
      </w:r>
      <w:r>
        <w:t>and</w:t>
      </w:r>
      <w:r w:rsidR="00573BA7">
        <w:t xml:space="preserve"> </w:t>
      </w:r>
      <w:r>
        <w:t>that</w:t>
      </w:r>
      <w:r w:rsidR="00573BA7">
        <w:t xml:space="preserve"> </w:t>
      </w:r>
      <w:r>
        <w:t>they</w:t>
      </w:r>
      <w:r w:rsidR="00573BA7">
        <w:t xml:space="preserve"> </w:t>
      </w:r>
      <w:r>
        <w:t>are</w:t>
      </w:r>
      <w:r w:rsidR="00573BA7">
        <w:t xml:space="preserve"> </w:t>
      </w:r>
      <w:r>
        <w:t>protected</w:t>
      </w:r>
      <w:r w:rsidR="00573BA7">
        <w:t xml:space="preserve"> </w:t>
      </w:r>
      <w:r>
        <w:t>from</w:t>
      </w:r>
      <w:r w:rsidR="00573BA7">
        <w:t xml:space="preserve"> </w:t>
      </w:r>
      <w:r>
        <w:t>forced</w:t>
      </w:r>
      <w:r w:rsidR="00573BA7">
        <w:t xml:space="preserve"> </w:t>
      </w:r>
      <w:r>
        <w:t>or</w:t>
      </w:r>
      <w:r w:rsidR="00573BA7">
        <w:t xml:space="preserve"> </w:t>
      </w:r>
      <w:r>
        <w:t>compulsory</w:t>
      </w:r>
      <w:r w:rsidR="00573BA7">
        <w:t xml:space="preserve"> </w:t>
      </w:r>
      <w:r>
        <w:t>labour.</w:t>
      </w:r>
      <w:r>
        <w:rPr>
          <w:rStyle w:val="EndnoteReference"/>
        </w:rPr>
        <w:endnoteReference w:id="76"/>
      </w:r>
    </w:p>
    <w:p w14:paraId="7677773C" w14:textId="2C066360" w:rsidR="000975E4" w:rsidRPr="00897A1A" w:rsidRDefault="00EF79A0" w:rsidP="00DA2A0A">
      <w:pPr>
        <w:pStyle w:val="ListParagraph"/>
        <w:numPr>
          <w:ilvl w:val="0"/>
          <w:numId w:val="58"/>
        </w:numPr>
      </w:pPr>
      <w:r w:rsidRPr="00F05AEB">
        <w:t>In</w:t>
      </w:r>
      <w:r w:rsidR="00573BA7">
        <w:t xml:space="preserve"> </w:t>
      </w:r>
      <w:r w:rsidRPr="00F05AEB">
        <w:t>its</w:t>
      </w:r>
      <w:r w:rsidR="00573BA7">
        <w:t xml:space="preserve"> </w:t>
      </w:r>
      <w:r w:rsidRPr="00F05AEB">
        <w:t>Concluding</w:t>
      </w:r>
      <w:r w:rsidR="00573BA7">
        <w:t xml:space="preserve"> </w:t>
      </w:r>
      <w:r w:rsidRPr="009E1EF2">
        <w:t>Observations</w:t>
      </w:r>
      <w:r w:rsidR="00573BA7">
        <w:t xml:space="preserve"> </w:t>
      </w:r>
      <w:r w:rsidRPr="009E1EF2">
        <w:t>on</w:t>
      </w:r>
      <w:r w:rsidR="00573BA7">
        <w:t xml:space="preserve"> </w:t>
      </w:r>
      <w:r w:rsidRPr="009E1EF2">
        <w:t>Australia,</w:t>
      </w:r>
      <w:r w:rsidR="00573BA7">
        <w:t xml:space="preserve"> </w:t>
      </w:r>
      <w:r w:rsidRPr="00750F2C">
        <w:t>t</w:t>
      </w:r>
      <w:r w:rsidR="005845F0" w:rsidRPr="008548F6">
        <w:t>he</w:t>
      </w:r>
      <w:r w:rsidR="00573BA7">
        <w:t xml:space="preserve"> </w:t>
      </w:r>
      <w:r w:rsidR="005845F0" w:rsidRPr="003E0DDD">
        <w:t>CRPD</w:t>
      </w:r>
      <w:r w:rsidR="00573BA7">
        <w:t xml:space="preserve"> </w:t>
      </w:r>
      <w:r w:rsidR="005845F0" w:rsidRPr="003E0DDD">
        <w:t>Committee</w:t>
      </w:r>
      <w:r w:rsidR="00573BA7">
        <w:t xml:space="preserve"> </w:t>
      </w:r>
      <w:r w:rsidR="005845F0" w:rsidRPr="003E0DDD">
        <w:t>has</w:t>
      </w:r>
      <w:r w:rsidR="00573BA7">
        <w:t xml:space="preserve"> </w:t>
      </w:r>
      <w:r w:rsidR="00B41FCA" w:rsidRPr="0098638C">
        <w:t>recommend</w:t>
      </w:r>
      <w:r w:rsidR="00B41FCA" w:rsidRPr="0061202F">
        <w:t>ed</w:t>
      </w:r>
      <w:r w:rsidR="00573BA7">
        <w:t xml:space="preserve"> </w:t>
      </w:r>
      <w:r w:rsidR="00B41FCA" w:rsidRPr="0061202F">
        <w:t>a</w:t>
      </w:r>
      <w:r w:rsidR="00573BA7">
        <w:t xml:space="preserve"> </w:t>
      </w:r>
      <w:r w:rsidR="00B41FCA" w:rsidRPr="0061202F">
        <w:t>r</w:t>
      </w:r>
      <w:r w:rsidR="00B41FCA" w:rsidRPr="00741990">
        <w:t>ange</w:t>
      </w:r>
      <w:r w:rsidR="00573BA7">
        <w:t xml:space="preserve"> </w:t>
      </w:r>
      <w:r w:rsidR="00B41FCA" w:rsidRPr="00741990">
        <w:t>of</w:t>
      </w:r>
      <w:r w:rsidR="00573BA7">
        <w:t xml:space="preserve"> </w:t>
      </w:r>
      <w:r w:rsidR="00B41FCA" w:rsidRPr="00741990">
        <w:t>measures</w:t>
      </w:r>
      <w:r w:rsidR="00573BA7">
        <w:t xml:space="preserve"> </w:t>
      </w:r>
      <w:r w:rsidR="00B41FCA" w:rsidRPr="00741990">
        <w:t>that</w:t>
      </w:r>
      <w:r w:rsidR="00573BA7">
        <w:t xml:space="preserve"> </w:t>
      </w:r>
      <w:r w:rsidR="00B41FCA" w:rsidRPr="00741990">
        <w:t>Australia</w:t>
      </w:r>
      <w:r w:rsidR="00573BA7">
        <w:t xml:space="preserve"> </w:t>
      </w:r>
      <w:r w:rsidR="00B41FCA" w:rsidRPr="00741990">
        <w:t>must</w:t>
      </w:r>
      <w:r w:rsidR="00573BA7">
        <w:t xml:space="preserve"> </w:t>
      </w:r>
      <w:r w:rsidR="00B41FCA" w:rsidRPr="00E3502B">
        <w:t>implement</w:t>
      </w:r>
      <w:r w:rsidR="00573BA7">
        <w:t xml:space="preserve"> </w:t>
      </w:r>
      <w:r w:rsidR="008A120F">
        <w:t xml:space="preserve">to give effect to its </w:t>
      </w:r>
      <w:r w:rsidR="000B5F20" w:rsidRPr="00860BDD">
        <w:t>obligations</w:t>
      </w:r>
      <w:r w:rsidR="00573BA7">
        <w:t xml:space="preserve"> </w:t>
      </w:r>
      <w:r w:rsidR="000B5F20" w:rsidRPr="00860BDD">
        <w:t>under</w:t>
      </w:r>
      <w:r w:rsidR="00573BA7">
        <w:t xml:space="preserve"> </w:t>
      </w:r>
      <w:r w:rsidR="000B5F20" w:rsidRPr="00860BDD">
        <w:t>Article</w:t>
      </w:r>
      <w:r w:rsidR="00573BA7">
        <w:t xml:space="preserve"> </w:t>
      </w:r>
      <w:r w:rsidR="000B5F20" w:rsidRPr="00860BDD">
        <w:t>27.</w:t>
      </w:r>
      <w:r w:rsidR="00573BA7">
        <w:t xml:space="preserve">  </w:t>
      </w:r>
      <w:r w:rsidR="00632A43" w:rsidRPr="00180E4B">
        <w:t>In</w:t>
      </w:r>
      <w:r w:rsidR="00573BA7">
        <w:t xml:space="preserve"> </w:t>
      </w:r>
      <w:r w:rsidR="00632A43" w:rsidRPr="00180E4B">
        <w:t>particular,</w:t>
      </w:r>
      <w:r w:rsidR="00573BA7">
        <w:t xml:space="preserve"> </w:t>
      </w:r>
      <w:r w:rsidR="00632A43" w:rsidRPr="00180E4B">
        <w:t>the</w:t>
      </w:r>
      <w:r w:rsidR="00573BA7">
        <w:t xml:space="preserve"> </w:t>
      </w:r>
      <w:r w:rsidR="00632A43" w:rsidRPr="00180E4B">
        <w:t>CRPD</w:t>
      </w:r>
      <w:r w:rsidR="00573BA7">
        <w:t xml:space="preserve"> </w:t>
      </w:r>
      <w:r w:rsidR="00632A43" w:rsidRPr="00180E4B">
        <w:t>Committee</w:t>
      </w:r>
      <w:r w:rsidR="00573BA7">
        <w:t xml:space="preserve"> </w:t>
      </w:r>
      <w:r w:rsidR="00632A43" w:rsidRPr="00180E4B">
        <w:t>has</w:t>
      </w:r>
      <w:r w:rsidR="00573BA7">
        <w:t xml:space="preserve"> </w:t>
      </w:r>
      <w:r w:rsidR="00632A43" w:rsidRPr="00A265EB">
        <w:t>recommended</w:t>
      </w:r>
      <w:r w:rsidR="00573BA7">
        <w:t xml:space="preserve"> </w:t>
      </w:r>
      <w:r w:rsidR="00632A43" w:rsidRPr="00897A1A">
        <w:t>that</w:t>
      </w:r>
      <w:r w:rsidR="00573BA7">
        <w:t xml:space="preserve"> </w:t>
      </w:r>
      <w:r w:rsidR="00632A43" w:rsidRPr="00897A1A">
        <w:t>Australia:</w:t>
      </w:r>
    </w:p>
    <w:p w14:paraId="793EDBA4" w14:textId="25F191E1" w:rsidR="00D333B0" w:rsidRPr="00D333B0" w:rsidRDefault="00A76F1D" w:rsidP="00DA2A0A">
      <w:pPr>
        <w:pStyle w:val="ListParagraph"/>
        <w:numPr>
          <w:ilvl w:val="1"/>
          <w:numId w:val="58"/>
        </w:numPr>
      </w:pPr>
      <w:r w:rsidRPr="00A76F1D">
        <w:t>Take</w:t>
      </w:r>
      <w:r w:rsidR="00573BA7">
        <w:t xml:space="preserve"> </w:t>
      </w:r>
      <w:r w:rsidRPr="00A76F1D">
        <w:t>measures</w:t>
      </w:r>
      <w:r w:rsidR="00573BA7">
        <w:t xml:space="preserve"> </w:t>
      </w:r>
      <w:r w:rsidRPr="00A76F1D">
        <w:t>to</w:t>
      </w:r>
      <w:r w:rsidR="00573BA7">
        <w:t xml:space="preserve"> </w:t>
      </w:r>
      <w:r w:rsidRPr="00A76F1D">
        <w:t>reform</w:t>
      </w:r>
      <w:r w:rsidR="00573BA7">
        <w:t xml:space="preserve"> </w:t>
      </w:r>
      <w:r w:rsidRPr="00A76F1D">
        <w:t>the</w:t>
      </w:r>
      <w:r w:rsidR="00573BA7">
        <w:t xml:space="preserve"> </w:t>
      </w:r>
      <w:r w:rsidRPr="00A76F1D">
        <w:t>Disability</w:t>
      </w:r>
      <w:r w:rsidR="00573BA7">
        <w:t xml:space="preserve"> </w:t>
      </w:r>
      <w:r w:rsidRPr="00A76F1D">
        <w:t>Employment</w:t>
      </w:r>
      <w:r w:rsidR="00573BA7">
        <w:t xml:space="preserve"> </w:t>
      </w:r>
      <w:r w:rsidRPr="00A76F1D">
        <w:t>Services</w:t>
      </w:r>
      <w:r w:rsidR="00573BA7">
        <w:t xml:space="preserve"> </w:t>
      </w:r>
      <w:r w:rsidRPr="00A76F1D">
        <w:t>and</w:t>
      </w:r>
      <w:r w:rsidR="00573BA7">
        <w:t xml:space="preserve"> </w:t>
      </w:r>
      <w:r w:rsidRPr="00A76F1D">
        <w:t>develop</w:t>
      </w:r>
      <w:r w:rsidR="00573BA7">
        <w:t xml:space="preserve"> </w:t>
      </w:r>
      <w:r w:rsidRPr="00A76F1D">
        <w:t>a</w:t>
      </w:r>
      <w:r w:rsidR="00573BA7">
        <w:t xml:space="preserve"> </w:t>
      </w:r>
      <w:r w:rsidRPr="00A76F1D">
        <w:t>national</w:t>
      </w:r>
      <w:r w:rsidR="00573BA7">
        <w:t xml:space="preserve"> </w:t>
      </w:r>
      <w:r w:rsidRPr="00A76F1D">
        <w:t>disability</w:t>
      </w:r>
      <w:r w:rsidR="00573BA7">
        <w:t xml:space="preserve"> </w:t>
      </w:r>
      <w:r w:rsidRPr="00A76F1D">
        <w:t>employment</w:t>
      </w:r>
      <w:r w:rsidR="00573BA7">
        <w:t xml:space="preserve"> </w:t>
      </w:r>
      <w:r w:rsidRPr="00A76F1D">
        <w:t>strategy</w:t>
      </w:r>
      <w:r w:rsidR="00573BA7">
        <w:t xml:space="preserve"> </w:t>
      </w:r>
      <w:r w:rsidRPr="00A76F1D">
        <w:t>that</w:t>
      </w:r>
      <w:r w:rsidR="00573BA7">
        <w:t xml:space="preserve"> </w:t>
      </w:r>
      <w:r w:rsidRPr="00A76F1D">
        <w:t>incorporates</w:t>
      </w:r>
      <w:r w:rsidR="00573BA7">
        <w:t xml:space="preserve"> </w:t>
      </w:r>
      <w:r w:rsidRPr="00A76F1D">
        <w:t>the</w:t>
      </w:r>
      <w:r w:rsidR="00573BA7">
        <w:t xml:space="preserve"> </w:t>
      </w:r>
      <w:r w:rsidRPr="00A76F1D">
        <w:t>recommendations</w:t>
      </w:r>
      <w:r w:rsidR="00573BA7">
        <w:t xml:space="preserve"> </w:t>
      </w:r>
      <w:r w:rsidRPr="00A76F1D">
        <w:t>from</w:t>
      </w:r>
      <w:r w:rsidR="00573BA7">
        <w:t xml:space="preserve"> </w:t>
      </w:r>
      <w:r w:rsidRPr="00A76F1D">
        <w:t>the</w:t>
      </w:r>
      <w:r w:rsidR="00573BA7">
        <w:t xml:space="preserve"> </w:t>
      </w:r>
      <w:r w:rsidR="00EB4AF7">
        <w:t xml:space="preserve">Willing to Work Report </w:t>
      </w:r>
      <w:r w:rsidRPr="00A76F1D">
        <w:t>and</w:t>
      </w:r>
      <w:r w:rsidR="00573BA7">
        <w:t xml:space="preserve"> </w:t>
      </w:r>
      <w:r w:rsidRPr="00A76F1D">
        <w:t>contains</w:t>
      </w:r>
      <w:r w:rsidR="00573BA7">
        <w:t xml:space="preserve"> </w:t>
      </w:r>
      <w:r w:rsidRPr="00A76F1D">
        <w:t>targeted</w:t>
      </w:r>
      <w:r w:rsidR="00573BA7">
        <w:t xml:space="preserve"> </w:t>
      </w:r>
      <w:r w:rsidRPr="00A76F1D">
        <w:t>gender-sensitive</w:t>
      </w:r>
      <w:r w:rsidR="00573BA7">
        <w:t xml:space="preserve"> </w:t>
      </w:r>
      <w:r w:rsidRPr="00A76F1D">
        <w:t>measures</w:t>
      </w:r>
      <w:r w:rsidR="009A7F7D">
        <w:t>.</w:t>
      </w:r>
      <w:r w:rsidR="004D6D69">
        <w:rPr>
          <w:rStyle w:val="EndnoteReference"/>
        </w:rPr>
        <w:endnoteReference w:id="77"/>
      </w:r>
      <w:r w:rsidR="00573BA7">
        <w:t xml:space="preserve"> </w:t>
      </w:r>
    </w:p>
    <w:p w14:paraId="5BB02032" w14:textId="3173445E" w:rsidR="00B228B2" w:rsidRDefault="00B228B2" w:rsidP="00DA2A0A">
      <w:pPr>
        <w:pStyle w:val="ListParagraph"/>
        <w:numPr>
          <w:ilvl w:val="1"/>
          <w:numId w:val="58"/>
        </w:numPr>
      </w:pPr>
      <w:r w:rsidRPr="00B228B2">
        <w:t>Undertake</w:t>
      </w:r>
      <w:r w:rsidR="00573BA7">
        <w:t xml:space="preserve"> </w:t>
      </w:r>
      <w:r w:rsidRPr="00B228B2">
        <w:t>a</w:t>
      </w:r>
      <w:r w:rsidR="00573BA7">
        <w:t xml:space="preserve"> </w:t>
      </w:r>
      <w:r w:rsidRPr="00B228B2">
        <w:t>comprehensive</w:t>
      </w:r>
      <w:r w:rsidR="00573BA7">
        <w:t xml:space="preserve"> </w:t>
      </w:r>
      <w:r w:rsidRPr="00B228B2">
        <w:t>review</w:t>
      </w:r>
      <w:r w:rsidR="00573BA7">
        <w:t xml:space="preserve"> </w:t>
      </w:r>
      <w:r w:rsidRPr="00B228B2">
        <w:t>of</w:t>
      </w:r>
      <w:r w:rsidR="00573BA7">
        <w:t xml:space="preserve"> </w:t>
      </w:r>
      <w:r w:rsidR="009A7F7D">
        <w:t>ADEs</w:t>
      </w:r>
      <w:r w:rsidR="00573BA7">
        <w:t xml:space="preserve"> </w:t>
      </w:r>
      <w:r w:rsidRPr="00B228B2">
        <w:t>to</w:t>
      </w:r>
      <w:r w:rsidR="00573BA7">
        <w:t xml:space="preserve"> </w:t>
      </w:r>
      <w:r w:rsidRPr="00B228B2">
        <w:t>ensure</w:t>
      </w:r>
      <w:r w:rsidR="00573BA7">
        <w:t xml:space="preserve"> </w:t>
      </w:r>
      <w:r w:rsidRPr="00B228B2">
        <w:t>that</w:t>
      </w:r>
      <w:r w:rsidR="00573BA7">
        <w:t xml:space="preserve"> </w:t>
      </w:r>
      <w:r w:rsidRPr="00B228B2">
        <w:t>they</w:t>
      </w:r>
      <w:r w:rsidR="00573BA7">
        <w:t xml:space="preserve"> </w:t>
      </w:r>
      <w:r w:rsidRPr="00B228B2">
        <w:t>adhere</w:t>
      </w:r>
      <w:r w:rsidR="00573BA7">
        <w:t xml:space="preserve"> </w:t>
      </w:r>
      <w:r w:rsidRPr="00B228B2">
        <w:t>to</w:t>
      </w:r>
      <w:r w:rsidR="00573BA7">
        <w:t xml:space="preserve"> </w:t>
      </w:r>
      <w:r w:rsidR="00552DC9">
        <w:t>A</w:t>
      </w:r>
      <w:r w:rsidRPr="00B228B2">
        <w:t>rticle</w:t>
      </w:r>
      <w:r w:rsidR="00573BA7">
        <w:t xml:space="preserve"> </w:t>
      </w:r>
      <w:r w:rsidRPr="00B228B2">
        <w:t>27</w:t>
      </w:r>
      <w:r w:rsidR="00573BA7">
        <w:t xml:space="preserve"> </w:t>
      </w:r>
      <w:r w:rsidRPr="00B228B2">
        <w:t>of</w:t>
      </w:r>
      <w:r w:rsidR="00573BA7">
        <w:t xml:space="preserve"> </w:t>
      </w:r>
      <w:r w:rsidRPr="00B228B2">
        <w:t>the</w:t>
      </w:r>
      <w:r w:rsidR="00573BA7">
        <w:t xml:space="preserve"> </w:t>
      </w:r>
      <w:r w:rsidR="00552DC9" w:rsidRPr="00B228B2">
        <w:t>C</w:t>
      </w:r>
      <w:r w:rsidR="00552DC9">
        <w:t xml:space="preserve">RPD </w:t>
      </w:r>
      <w:r w:rsidRPr="00B228B2">
        <w:t>and</w:t>
      </w:r>
      <w:r w:rsidR="00573BA7">
        <w:t xml:space="preserve"> </w:t>
      </w:r>
      <w:r w:rsidRPr="00B228B2">
        <w:t>provide</w:t>
      </w:r>
      <w:r w:rsidR="00573BA7">
        <w:t xml:space="preserve"> </w:t>
      </w:r>
      <w:r w:rsidRPr="00B228B2">
        <w:t>services</w:t>
      </w:r>
      <w:r w:rsidR="00573BA7">
        <w:t xml:space="preserve"> </w:t>
      </w:r>
      <w:r w:rsidRPr="00B228B2">
        <w:t>to</w:t>
      </w:r>
      <w:r w:rsidR="00573BA7">
        <w:t xml:space="preserve"> </w:t>
      </w:r>
      <w:r w:rsidRPr="00B228B2">
        <w:t>enable</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rsidRPr="00B228B2">
        <w:t>to</w:t>
      </w:r>
      <w:r w:rsidR="00573BA7">
        <w:t xml:space="preserve"> </w:t>
      </w:r>
      <w:r w:rsidRPr="00B228B2">
        <w:t>transition</w:t>
      </w:r>
      <w:r w:rsidR="00573BA7">
        <w:t xml:space="preserve"> </w:t>
      </w:r>
      <w:r w:rsidRPr="00B228B2">
        <w:t>from</w:t>
      </w:r>
      <w:r w:rsidR="00573BA7">
        <w:t xml:space="preserve"> </w:t>
      </w:r>
      <w:r w:rsidRPr="00B228B2">
        <w:t>sheltered</w:t>
      </w:r>
      <w:r w:rsidR="00573BA7">
        <w:t xml:space="preserve"> </w:t>
      </w:r>
      <w:r w:rsidRPr="00B228B2">
        <w:t>employment</w:t>
      </w:r>
      <w:r w:rsidR="00573BA7">
        <w:t xml:space="preserve"> </w:t>
      </w:r>
      <w:r w:rsidRPr="00B228B2">
        <w:t>into</w:t>
      </w:r>
      <w:r w:rsidR="00573BA7">
        <w:t xml:space="preserve"> </w:t>
      </w:r>
      <w:r w:rsidRPr="00B228B2">
        <w:t>open,</w:t>
      </w:r>
      <w:r w:rsidR="00573BA7">
        <w:t xml:space="preserve"> </w:t>
      </w:r>
      <w:r w:rsidRPr="00B228B2">
        <w:t>inclusive</w:t>
      </w:r>
      <w:r w:rsidR="00573BA7">
        <w:t xml:space="preserve"> </w:t>
      </w:r>
      <w:r w:rsidRPr="00B228B2">
        <w:t>and</w:t>
      </w:r>
      <w:r w:rsidR="00573BA7">
        <w:t xml:space="preserve"> </w:t>
      </w:r>
      <w:r w:rsidRPr="00B228B2">
        <w:t>accessible</w:t>
      </w:r>
      <w:r w:rsidR="00573BA7">
        <w:t xml:space="preserve"> </w:t>
      </w:r>
      <w:r w:rsidRPr="00B228B2">
        <w:t>employment,</w:t>
      </w:r>
      <w:r w:rsidR="00573BA7">
        <w:t xml:space="preserve"> </w:t>
      </w:r>
      <w:r w:rsidRPr="00B228B2">
        <w:t>ensuring</w:t>
      </w:r>
      <w:r w:rsidR="00573BA7">
        <w:t xml:space="preserve"> </w:t>
      </w:r>
      <w:r w:rsidRPr="00B228B2">
        <w:t>equal</w:t>
      </w:r>
      <w:r w:rsidR="00573BA7">
        <w:t xml:space="preserve"> </w:t>
      </w:r>
      <w:r w:rsidRPr="00B228B2">
        <w:t>remuneration</w:t>
      </w:r>
      <w:r w:rsidR="00573BA7">
        <w:t xml:space="preserve"> </w:t>
      </w:r>
      <w:r w:rsidRPr="00B228B2">
        <w:t>for</w:t>
      </w:r>
      <w:r w:rsidR="00573BA7">
        <w:t xml:space="preserve"> </w:t>
      </w:r>
      <w:r w:rsidRPr="00B228B2">
        <w:t>work</w:t>
      </w:r>
      <w:r w:rsidR="00573BA7">
        <w:t xml:space="preserve"> </w:t>
      </w:r>
      <w:r w:rsidRPr="00B228B2">
        <w:t>of</w:t>
      </w:r>
      <w:r w:rsidR="00573BA7">
        <w:t xml:space="preserve"> </w:t>
      </w:r>
      <w:r w:rsidRPr="00B228B2">
        <w:t>equal</w:t>
      </w:r>
      <w:r w:rsidR="00573BA7">
        <w:t xml:space="preserve"> </w:t>
      </w:r>
      <w:r w:rsidRPr="00B228B2">
        <w:t>value</w:t>
      </w:r>
      <w:r w:rsidR="009A7F7D">
        <w:t>.</w:t>
      </w:r>
      <w:r w:rsidR="00A61D18">
        <w:rPr>
          <w:rStyle w:val="EndnoteReference"/>
        </w:rPr>
        <w:endnoteReference w:id="78"/>
      </w:r>
    </w:p>
    <w:p w14:paraId="314C6023" w14:textId="1C9FCD48" w:rsidR="00A6041E" w:rsidRPr="00A6041E" w:rsidRDefault="004D6D69" w:rsidP="00DA2A0A">
      <w:pPr>
        <w:pStyle w:val="ListParagraph"/>
        <w:numPr>
          <w:ilvl w:val="1"/>
          <w:numId w:val="58"/>
        </w:numPr>
      </w:pPr>
      <w:r w:rsidRPr="004D6D69">
        <w:t>Implement</w:t>
      </w:r>
      <w:r w:rsidR="00573BA7">
        <w:t xml:space="preserve"> </w:t>
      </w:r>
      <w:r w:rsidRPr="004D6D69">
        <w:t>measures</w:t>
      </w:r>
      <w:r w:rsidR="00573BA7">
        <w:t xml:space="preserve"> </w:t>
      </w:r>
      <w:r w:rsidRPr="004D6D69">
        <w:t>to</w:t>
      </w:r>
      <w:r w:rsidR="00573BA7">
        <w:t xml:space="preserve"> </w:t>
      </w:r>
      <w:r w:rsidRPr="004D6D69">
        <w:t>address</w:t>
      </w:r>
      <w:r w:rsidR="00573BA7">
        <w:t xml:space="preserve"> </w:t>
      </w:r>
      <w:r w:rsidRPr="004D6D69">
        <w:t>systemic</w:t>
      </w:r>
      <w:r w:rsidR="00573BA7">
        <w:t xml:space="preserve"> </w:t>
      </w:r>
      <w:r w:rsidRPr="004D6D69">
        <w:t>and</w:t>
      </w:r>
      <w:r w:rsidR="00573BA7">
        <w:t xml:space="preserve"> </w:t>
      </w:r>
      <w:r w:rsidRPr="004D6D69">
        <w:t>structural</w:t>
      </w:r>
      <w:r w:rsidR="00573BA7">
        <w:t xml:space="preserve"> </w:t>
      </w:r>
      <w:r w:rsidRPr="004D6D69">
        <w:t>barriers</w:t>
      </w:r>
      <w:r w:rsidR="00573BA7">
        <w:t xml:space="preserve"> </w:t>
      </w:r>
      <w:r w:rsidRPr="004D6D69">
        <w:t>experienced</w:t>
      </w:r>
      <w:r w:rsidR="00573BA7">
        <w:t xml:space="preserve"> </w:t>
      </w:r>
      <w:r w:rsidRPr="004D6D69">
        <w:t>by</w:t>
      </w:r>
      <w:r w:rsidR="00573BA7">
        <w:t xml:space="preserve"> </w:t>
      </w:r>
      <w:r w:rsidR="007F5BA4">
        <w:t>people</w:t>
      </w:r>
      <w:r w:rsidR="00573BA7">
        <w:t xml:space="preserve"> </w:t>
      </w:r>
      <w:r w:rsidR="007F5BA4">
        <w:t>with</w:t>
      </w:r>
      <w:r w:rsidR="00573BA7">
        <w:t xml:space="preserve"> </w:t>
      </w:r>
      <w:r w:rsidR="007F5BA4">
        <w:t>disability</w:t>
      </w:r>
      <w:r w:rsidRPr="004D6D69">
        <w:t>,</w:t>
      </w:r>
      <w:r w:rsidR="00573BA7">
        <w:t xml:space="preserve"> </w:t>
      </w:r>
      <w:r w:rsidRPr="004D6D69">
        <w:t>particularly</w:t>
      </w:r>
      <w:r w:rsidR="00573BA7">
        <w:t xml:space="preserve"> </w:t>
      </w:r>
      <w:r w:rsidRPr="004D6D69">
        <w:t>by</w:t>
      </w:r>
      <w:r w:rsidR="00573BA7">
        <w:t xml:space="preserve"> </w:t>
      </w:r>
      <w:r w:rsidRPr="004D6D69">
        <w:t>women</w:t>
      </w:r>
      <w:r w:rsidR="00573BA7">
        <w:t xml:space="preserve"> </w:t>
      </w:r>
      <w:r w:rsidRPr="004D6D69">
        <w:t>with</w:t>
      </w:r>
      <w:r w:rsidR="00573BA7">
        <w:t xml:space="preserve"> </w:t>
      </w:r>
      <w:r w:rsidRPr="004D6D69">
        <w:t>disabilities,</w:t>
      </w:r>
      <w:r w:rsidR="00573BA7">
        <w:t xml:space="preserve"> </w:t>
      </w:r>
      <w:r w:rsidRPr="004D6D69">
        <w:t>Aboriginal</w:t>
      </w:r>
      <w:r w:rsidR="00573BA7">
        <w:t xml:space="preserve"> </w:t>
      </w:r>
      <w:r w:rsidRPr="004D6D69">
        <w:t>and</w:t>
      </w:r>
      <w:r w:rsidR="00573BA7">
        <w:t xml:space="preserve"> </w:t>
      </w:r>
      <w:r w:rsidRPr="004D6D69">
        <w:t>Torres</w:t>
      </w:r>
      <w:r w:rsidR="00573BA7">
        <w:t xml:space="preserve"> </w:t>
      </w:r>
      <w:r w:rsidRPr="004D6D69">
        <w:t>Strait</w:t>
      </w:r>
      <w:r w:rsidR="00573BA7">
        <w:t xml:space="preserve"> </w:t>
      </w:r>
      <w:r w:rsidRPr="004D6D69">
        <w:t>Islander</w:t>
      </w:r>
      <w:r w:rsidR="00573BA7">
        <w:t xml:space="preserve"> </w:t>
      </w:r>
      <w:r w:rsidR="007F5BA4">
        <w:t>people</w:t>
      </w:r>
      <w:r w:rsidR="00573BA7">
        <w:t xml:space="preserve"> </w:t>
      </w:r>
      <w:r w:rsidR="007F5BA4">
        <w:t>with</w:t>
      </w:r>
      <w:r w:rsidR="00573BA7">
        <w:t xml:space="preserve"> </w:t>
      </w:r>
      <w:r w:rsidR="007F5BA4">
        <w:t>disability</w:t>
      </w:r>
      <w:r w:rsidRPr="004D6D69">
        <w:t>,</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rsidRPr="004D6D69">
        <w:t>from</w:t>
      </w:r>
      <w:r w:rsidR="00573BA7">
        <w:t xml:space="preserve"> </w:t>
      </w:r>
      <w:r w:rsidRPr="004D6D69">
        <w:t>culturally</w:t>
      </w:r>
      <w:r w:rsidR="00573BA7">
        <w:t xml:space="preserve"> </w:t>
      </w:r>
      <w:r w:rsidRPr="004D6D69">
        <w:t>and</w:t>
      </w:r>
      <w:r w:rsidR="00573BA7">
        <w:t xml:space="preserve"> </w:t>
      </w:r>
      <w:r w:rsidRPr="004D6D69">
        <w:t>linguistically</w:t>
      </w:r>
      <w:r w:rsidR="00573BA7">
        <w:t xml:space="preserve"> </w:t>
      </w:r>
      <w:r w:rsidRPr="004D6D69">
        <w:t>diverse</w:t>
      </w:r>
      <w:r w:rsidR="00573BA7">
        <w:t xml:space="preserve"> </w:t>
      </w:r>
      <w:r w:rsidRPr="004D6D69">
        <w:t>backgrounds</w:t>
      </w:r>
      <w:r w:rsidR="00573BA7">
        <w:t xml:space="preserve"> </w:t>
      </w:r>
      <w:r w:rsidRPr="004D6D69">
        <w:t>and</w:t>
      </w:r>
      <w:r w:rsidR="00573BA7">
        <w:t xml:space="preserve"> </w:t>
      </w:r>
      <w:r w:rsidRPr="004D6D69">
        <w:t>refugee</w:t>
      </w:r>
      <w:r w:rsidR="00573BA7">
        <w:t xml:space="preserve"> </w:t>
      </w:r>
      <w:r w:rsidRPr="004D6D69">
        <w:t>and</w:t>
      </w:r>
      <w:r w:rsidR="00573BA7">
        <w:t xml:space="preserve"> </w:t>
      </w:r>
      <w:r w:rsidRPr="004D6D69">
        <w:t>asylum-seeking</w:t>
      </w:r>
      <w:r w:rsidR="00573BA7">
        <w:t xml:space="preserve"> </w:t>
      </w:r>
      <w:r w:rsidR="007F5BA4">
        <w:t>people</w:t>
      </w:r>
      <w:r w:rsidR="00573BA7">
        <w:t xml:space="preserve"> </w:t>
      </w:r>
      <w:r w:rsidR="007F5BA4">
        <w:t>with</w:t>
      </w:r>
      <w:r w:rsidR="00573BA7">
        <w:t xml:space="preserve"> </w:t>
      </w:r>
      <w:r w:rsidR="007F5BA4">
        <w:t>disability</w:t>
      </w:r>
      <w:r w:rsidR="00552DC9">
        <w:t>.</w:t>
      </w:r>
      <w:r w:rsidR="00A61D18">
        <w:rPr>
          <w:rStyle w:val="EndnoteReference"/>
        </w:rPr>
        <w:endnoteReference w:id="79"/>
      </w:r>
    </w:p>
    <w:p w14:paraId="07A492C0" w14:textId="5967EFDB" w:rsidR="00F0557B" w:rsidRPr="00F0557B" w:rsidRDefault="00C05D3F" w:rsidP="00DA2A0A">
      <w:pPr>
        <w:pStyle w:val="ListParagraph"/>
        <w:numPr>
          <w:ilvl w:val="1"/>
          <w:numId w:val="58"/>
        </w:numPr>
      </w:pPr>
      <w:r w:rsidRPr="00C05D3F">
        <w:t>Immediately</w:t>
      </w:r>
      <w:r w:rsidR="00573BA7">
        <w:t xml:space="preserve"> </w:t>
      </w:r>
      <w:r w:rsidRPr="00C05D3F">
        <w:t>discontinue</w:t>
      </w:r>
      <w:r w:rsidR="00573BA7">
        <w:t xml:space="preserve"> </w:t>
      </w:r>
      <w:r w:rsidRPr="00C05D3F">
        <w:t>the</w:t>
      </w:r>
      <w:r w:rsidR="00573BA7">
        <w:t xml:space="preserve"> </w:t>
      </w:r>
      <w:r w:rsidRPr="00C05D3F">
        <w:t>use</w:t>
      </w:r>
      <w:r w:rsidR="00573BA7">
        <w:t xml:space="preserve"> </w:t>
      </w:r>
      <w:r w:rsidRPr="00C05D3F">
        <w:t>of</w:t>
      </w:r>
      <w:r w:rsidR="00573BA7">
        <w:t xml:space="preserve"> </w:t>
      </w:r>
      <w:r w:rsidRPr="00C05D3F">
        <w:t>the</w:t>
      </w:r>
      <w:r w:rsidR="00573BA7">
        <w:t xml:space="preserve"> </w:t>
      </w:r>
      <w:r w:rsidRPr="00C05D3F">
        <w:t>Business</w:t>
      </w:r>
      <w:r w:rsidR="00573BA7">
        <w:t xml:space="preserve"> </w:t>
      </w:r>
      <w:r w:rsidRPr="00C05D3F">
        <w:t>Services</w:t>
      </w:r>
      <w:r w:rsidR="00573BA7">
        <w:t xml:space="preserve"> </w:t>
      </w:r>
      <w:r w:rsidRPr="00C05D3F">
        <w:t>Wage</w:t>
      </w:r>
      <w:r w:rsidR="00573BA7">
        <w:t xml:space="preserve"> </w:t>
      </w:r>
      <w:r w:rsidRPr="00C05D3F">
        <w:t>Assessment</w:t>
      </w:r>
      <w:r w:rsidR="00573BA7">
        <w:t xml:space="preserve"> </w:t>
      </w:r>
      <w:r w:rsidRPr="00C05D3F">
        <w:t>Tool</w:t>
      </w:r>
      <w:r w:rsidR="00552DC9">
        <w:t>.</w:t>
      </w:r>
      <w:r w:rsidR="00D5757C">
        <w:rPr>
          <w:rStyle w:val="EndnoteReference"/>
        </w:rPr>
        <w:endnoteReference w:id="80"/>
      </w:r>
    </w:p>
    <w:p w14:paraId="16CDDAFF" w14:textId="55A66249" w:rsidR="00D23B47" w:rsidRPr="00D23B47" w:rsidRDefault="00673C1A" w:rsidP="00DA2A0A">
      <w:pPr>
        <w:pStyle w:val="ListParagraph"/>
        <w:numPr>
          <w:ilvl w:val="1"/>
          <w:numId w:val="58"/>
        </w:numPr>
      </w:pPr>
      <w:r w:rsidRPr="00673C1A">
        <w:t>Ensure</w:t>
      </w:r>
      <w:r w:rsidR="00573BA7">
        <w:t xml:space="preserve"> </w:t>
      </w:r>
      <w:r w:rsidRPr="00673C1A">
        <w:t>that</w:t>
      </w:r>
      <w:r w:rsidR="00573BA7">
        <w:t xml:space="preserve"> </w:t>
      </w:r>
      <w:r w:rsidRPr="00673C1A">
        <w:t>the</w:t>
      </w:r>
      <w:r w:rsidR="00573BA7">
        <w:t xml:space="preserve"> </w:t>
      </w:r>
      <w:r w:rsidRPr="00673C1A">
        <w:t>Supported</w:t>
      </w:r>
      <w:r w:rsidR="00573BA7">
        <w:t xml:space="preserve"> </w:t>
      </w:r>
      <w:r w:rsidRPr="00673C1A">
        <w:t>Wage</w:t>
      </w:r>
      <w:r w:rsidR="00573BA7">
        <w:t xml:space="preserve"> </w:t>
      </w:r>
      <w:r w:rsidRPr="00673C1A">
        <w:t>System</w:t>
      </w:r>
      <w:r w:rsidR="00573BA7">
        <w:t xml:space="preserve"> </w:t>
      </w:r>
      <w:r w:rsidRPr="00673C1A">
        <w:t>is</w:t>
      </w:r>
      <w:r w:rsidR="00573BA7">
        <w:t xml:space="preserve"> </w:t>
      </w:r>
      <w:r w:rsidRPr="00673C1A">
        <w:t>modified</w:t>
      </w:r>
      <w:r w:rsidR="00573BA7">
        <w:t xml:space="preserve"> </w:t>
      </w:r>
      <w:r w:rsidRPr="00673C1A">
        <w:t>to</w:t>
      </w:r>
      <w:r w:rsidR="00573BA7">
        <w:t xml:space="preserve"> </w:t>
      </w:r>
      <w:r w:rsidRPr="00673C1A">
        <w:t>secure</w:t>
      </w:r>
      <w:r w:rsidR="00573BA7">
        <w:t xml:space="preserve"> </w:t>
      </w:r>
      <w:r w:rsidRPr="00673C1A">
        <w:t>correct</w:t>
      </w:r>
      <w:r w:rsidR="00573BA7">
        <w:t xml:space="preserve"> </w:t>
      </w:r>
      <w:r w:rsidRPr="00673C1A">
        <w:t>assessment</w:t>
      </w:r>
      <w:r w:rsidR="00573BA7">
        <w:t xml:space="preserve"> </w:t>
      </w:r>
      <w:r w:rsidRPr="00673C1A">
        <w:t>of</w:t>
      </w:r>
      <w:r w:rsidR="00573BA7">
        <w:t xml:space="preserve"> </w:t>
      </w:r>
      <w:r w:rsidRPr="00673C1A">
        <w:t>the</w:t>
      </w:r>
      <w:r w:rsidR="00573BA7">
        <w:t xml:space="preserve"> </w:t>
      </w:r>
      <w:r w:rsidRPr="00673C1A">
        <w:t>wages</w:t>
      </w:r>
      <w:r w:rsidR="00573BA7">
        <w:t xml:space="preserve"> </w:t>
      </w:r>
      <w:r w:rsidRPr="00673C1A">
        <w:t>of</w:t>
      </w:r>
      <w:r w:rsidR="00573BA7">
        <w:t xml:space="preserve"> </w:t>
      </w:r>
      <w:r w:rsidRPr="00673C1A">
        <w:t>persons</w:t>
      </w:r>
      <w:r w:rsidR="00573BA7">
        <w:t xml:space="preserve"> </w:t>
      </w:r>
      <w:r w:rsidRPr="00673C1A">
        <w:t>in</w:t>
      </w:r>
      <w:r w:rsidR="00573BA7">
        <w:t xml:space="preserve"> </w:t>
      </w:r>
      <w:r w:rsidRPr="00673C1A">
        <w:t>supported</w:t>
      </w:r>
      <w:r w:rsidR="00573BA7">
        <w:t xml:space="preserve"> </w:t>
      </w:r>
      <w:r w:rsidRPr="00673C1A">
        <w:t>employment</w:t>
      </w:r>
      <w:r w:rsidR="000F2ABF">
        <w:t>,</w:t>
      </w:r>
      <w:r w:rsidR="00573BA7">
        <w:t xml:space="preserve"> </w:t>
      </w:r>
      <w:r w:rsidR="000F2ABF">
        <w:t>including</w:t>
      </w:r>
      <w:r w:rsidR="00573BA7">
        <w:t xml:space="preserve"> </w:t>
      </w:r>
      <w:r w:rsidR="000F2ABF">
        <w:t>ADEs</w:t>
      </w:r>
      <w:r w:rsidR="002C09D1">
        <w:t>.</w:t>
      </w:r>
      <w:r w:rsidR="000F2ABF">
        <w:rPr>
          <w:rStyle w:val="EndnoteReference"/>
        </w:rPr>
        <w:endnoteReference w:id="81"/>
      </w:r>
      <w:r w:rsidR="00573BA7">
        <w:t xml:space="preserve"> </w:t>
      </w:r>
    </w:p>
    <w:p w14:paraId="6C4A875C" w14:textId="6B156602" w:rsidR="00F644B2" w:rsidRPr="00A76F1D" w:rsidRDefault="00D5757C" w:rsidP="00DA2A0A">
      <w:pPr>
        <w:pStyle w:val="ListParagraph"/>
        <w:numPr>
          <w:ilvl w:val="1"/>
          <w:numId w:val="58"/>
        </w:numPr>
      </w:pPr>
      <w:r w:rsidRPr="00D5757C">
        <w:t>Adopt</w:t>
      </w:r>
      <w:r w:rsidR="00573BA7">
        <w:t xml:space="preserve"> </w:t>
      </w:r>
      <w:r w:rsidRPr="00D5757C">
        <w:t>initiatives</w:t>
      </w:r>
      <w:r w:rsidR="00573BA7">
        <w:t xml:space="preserve"> </w:t>
      </w:r>
      <w:r w:rsidRPr="00D5757C">
        <w:t>to</w:t>
      </w:r>
      <w:r w:rsidR="00573BA7">
        <w:t xml:space="preserve"> </w:t>
      </w:r>
      <w:r w:rsidRPr="00D5757C">
        <w:t>increase</w:t>
      </w:r>
      <w:r w:rsidR="00573BA7">
        <w:t xml:space="preserve"> </w:t>
      </w:r>
      <w:r w:rsidRPr="00D5757C">
        <w:t>employment</w:t>
      </w:r>
      <w:r w:rsidR="00573BA7">
        <w:t xml:space="preserve"> </w:t>
      </w:r>
      <w:r w:rsidRPr="00D5757C">
        <w:t>participation</w:t>
      </w:r>
      <w:r w:rsidR="00573BA7">
        <w:t xml:space="preserve"> </w:t>
      </w:r>
      <w:r w:rsidRPr="00D5757C">
        <w:t>by</w:t>
      </w:r>
      <w:r w:rsidR="00573BA7">
        <w:t xml:space="preserve"> </w:t>
      </w:r>
      <w:r w:rsidRPr="00D5757C">
        <w:t>women</w:t>
      </w:r>
      <w:r w:rsidR="00573BA7">
        <w:t xml:space="preserve"> </w:t>
      </w:r>
      <w:r w:rsidRPr="00D5757C">
        <w:t>with</w:t>
      </w:r>
      <w:r w:rsidR="00573BA7">
        <w:t xml:space="preserve"> </w:t>
      </w:r>
      <w:r w:rsidRPr="00D5757C">
        <w:t>disabilities</w:t>
      </w:r>
      <w:r w:rsidR="00573BA7">
        <w:t xml:space="preserve"> </w:t>
      </w:r>
      <w:r w:rsidRPr="00D5757C">
        <w:t>by</w:t>
      </w:r>
      <w:r w:rsidR="00573BA7">
        <w:t xml:space="preserve"> </w:t>
      </w:r>
      <w:r w:rsidRPr="00D5757C">
        <w:t>addressing</w:t>
      </w:r>
      <w:r w:rsidR="00573BA7">
        <w:t xml:space="preserve"> </w:t>
      </w:r>
      <w:r w:rsidRPr="00D5757C">
        <w:t>the</w:t>
      </w:r>
      <w:r w:rsidR="00573BA7">
        <w:t xml:space="preserve"> </w:t>
      </w:r>
      <w:r w:rsidRPr="00D5757C">
        <w:t>specific</w:t>
      </w:r>
      <w:r w:rsidR="00573BA7">
        <w:t xml:space="preserve"> </w:t>
      </w:r>
      <w:r w:rsidRPr="00D5757C">
        <w:t>underlying</w:t>
      </w:r>
      <w:r w:rsidR="00573BA7">
        <w:t xml:space="preserve"> </w:t>
      </w:r>
      <w:r w:rsidRPr="00D5757C">
        <w:t>structural</w:t>
      </w:r>
      <w:r w:rsidR="00573BA7">
        <w:t xml:space="preserve"> </w:t>
      </w:r>
      <w:r w:rsidRPr="00D5757C">
        <w:t>barriers</w:t>
      </w:r>
      <w:r w:rsidR="00573BA7">
        <w:t xml:space="preserve"> </w:t>
      </w:r>
      <w:r w:rsidRPr="00D5757C">
        <w:t>to</w:t>
      </w:r>
      <w:r w:rsidR="00573BA7">
        <w:t xml:space="preserve"> </w:t>
      </w:r>
      <w:r w:rsidRPr="00D5757C">
        <w:t>their</w:t>
      </w:r>
      <w:r w:rsidR="00573BA7">
        <w:t xml:space="preserve"> </w:t>
      </w:r>
      <w:r w:rsidRPr="00D5757C">
        <w:t>workforce</w:t>
      </w:r>
      <w:r w:rsidR="00573BA7">
        <w:t xml:space="preserve"> </w:t>
      </w:r>
      <w:r w:rsidRPr="00D5757C">
        <w:t>participation.</w:t>
      </w:r>
      <w:r w:rsidR="000F2ABF">
        <w:rPr>
          <w:rStyle w:val="EndnoteReference"/>
        </w:rPr>
        <w:endnoteReference w:id="82"/>
      </w:r>
    </w:p>
    <w:p w14:paraId="6448A428" w14:textId="7C085C48" w:rsidR="00763A89" w:rsidRDefault="00763A89" w:rsidP="00763A89">
      <w:pPr>
        <w:pStyle w:val="Heading2"/>
      </w:pPr>
      <w:bookmarkStart w:id="49" w:name="_Ref50537734"/>
      <w:bookmarkStart w:id="50" w:name="_Toc51834276"/>
      <w:r>
        <w:t>Rights</w:t>
      </w:r>
      <w:r w:rsidR="00573BA7">
        <w:t xml:space="preserve"> </w:t>
      </w:r>
      <w:r>
        <w:t>relating</w:t>
      </w:r>
      <w:r w:rsidR="00573BA7">
        <w:t xml:space="preserve"> </w:t>
      </w:r>
      <w:r>
        <w:t>to</w:t>
      </w:r>
      <w:r w:rsidR="00573BA7">
        <w:t xml:space="preserve"> </w:t>
      </w:r>
      <w:r w:rsidR="00D20242">
        <w:t>accessibility,</w:t>
      </w:r>
      <w:r w:rsidR="00573BA7">
        <w:t xml:space="preserve"> </w:t>
      </w:r>
      <w:r w:rsidR="00E12821">
        <w:t>inclusion</w:t>
      </w:r>
      <w:r w:rsidR="00573BA7">
        <w:t xml:space="preserve"> </w:t>
      </w:r>
      <w:r w:rsidR="005C3F11">
        <w:t>and</w:t>
      </w:r>
      <w:r w:rsidR="00573BA7">
        <w:t xml:space="preserve"> </w:t>
      </w:r>
      <w:r w:rsidR="005C3F11">
        <w:t>independence</w:t>
      </w:r>
      <w:bookmarkEnd w:id="49"/>
      <w:bookmarkEnd w:id="50"/>
      <w:r w:rsidR="00573BA7">
        <w:t xml:space="preserve"> </w:t>
      </w:r>
    </w:p>
    <w:p w14:paraId="1A6236FD" w14:textId="7CD46552" w:rsidR="0010676C" w:rsidRDefault="006907D8" w:rsidP="00DA2A0A">
      <w:pPr>
        <w:pStyle w:val="ListParagraph"/>
        <w:numPr>
          <w:ilvl w:val="0"/>
          <w:numId w:val="58"/>
        </w:numPr>
      </w:pPr>
      <w:r w:rsidRPr="00D30D5B">
        <w:t>Article</w:t>
      </w:r>
      <w:r w:rsidR="00573BA7" w:rsidRPr="00D30D5B">
        <w:t xml:space="preserve"> </w:t>
      </w:r>
      <w:r w:rsidRPr="00D30D5B">
        <w:t>9</w:t>
      </w:r>
      <w:r w:rsidR="00573BA7" w:rsidRPr="00D30D5B">
        <w:t xml:space="preserve"> </w:t>
      </w:r>
      <w:r w:rsidRPr="00D30D5B">
        <w:t>of</w:t>
      </w:r>
      <w:r w:rsidR="00573BA7" w:rsidRPr="00D30D5B">
        <w:t xml:space="preserve"> </w:t>
      </w:r>
      <w:r w:rsidRPr="00D30D5B">
        <w:t>the</w:t>
      </w:r>
      <w:r w:rsidR="00573BA7" w:rsidRPr="00D30D5B">
        <w:t xml:space="preserve"> </w:t>
      </w:r>
      <w:r w:rsidRPr="00D30D5B">
        <w:t>CRPD</w:t>
      </w:r>
      <w:r w:rsidR="00573BA7" w:rsidRPr="00D30D5B">
        <w:t xml:space="preserve"> </w:t>
      </w:r>
      <w:r w:rsidR="0002553A" w:rsidRPr="00D30D5B">
        <w:t>imposes</w:t>
      </w:r>
      <w:r w:rsidR="00573BA7" w:rsidRPr="00D30D5B">
        <w:t xml:space="preserve"> </w:t>
      </w:r>
      <w:r w:rsidR="00B77F66" w:rsidRPr="00D30D5B">
        <w:t>an</w:t>
      </w:r>
      <w:r w:rsidR="00573BA7" w:rsidRPr="00D30D5B">
        <w:t xml:space="preserve"> </w:t>
      </w:r>
      <w:r w:rsidR="0002553A" w:rsidRPr="00D30D5B">
        <w:t>obligation</w:t>
      </w:r>
      <w:r w:rsidR="00573BA7" w:rsidRPr="00D30D5B">
        <w:t xml:space="preserve"> </w:t>
      </w:r>
      <w:r w:rsidR="0002553A" w:rsidRPr="00D30D5B">
        <w:t>on</w:t>
      </w:r>
      <w:r w:rsidR="00573BA7" w:rsidRPr="00D30D5B">
        <w:t xml:space="preserve"> </w:t>
      </w:r>
      <w:r w:rsidR="0002553A" w:rsidRPr="00D30D5B">
        <w:t>Australia</w:t>
      </w:r>
      <w:r w:rsidR="00573BA7" w:rsidRPr="00D30D5B">
        <w:t xml:space="preserve"> </w:t>
      </w:r>
      <w:r w:rsidR="00F237D3" w:rsidRPr="00D30D5B">
        <w:t>to</w:t>
      </w:r>
      <w:r w:rsidR="00573BA7" w:rsidRPr="00D30D5B">
        <w:t xml:space="preserve"> </w:t>
      </w:r>
      <w:r w:rsidR="00F237D3" w:rsidRPr="00D30D5B">
        <w:t>take</w:t>
      </w:r>
      <w:r w:rsidR="00573BA7" w:rsidRPr="00D30D5B">
        <w:t xml:space="preserve"> </w:t>
      </w:r>
      <w:r w:rsidR="00F237D3" w:rsidRPr="00D30D5B">
        <w:t>appropriate</w:t>
      </w:r>
      <w:r w:rsidR="00573BA7" w:rsidRPr="00D30D5B">
        <w:t xml:space="preserve"> </w:t>
      </w:r>
      <w:r w:rsidR="00F237D3" w:rsidRPr="00D30D5B">
        <w:t>measures</w:t>
      </w:r>
      <w:r w:rsidR="00573BA7" w:rsidRPr="00D30D5B">
        <w:t xml:space="preserve"> </w:t>
      </w:r>
      <w:r w:rsidR="00F237D3" w:rsidRPr="00D30D5B">
        <w:t>to</w:t>
      </w:r>
      <w:r w:rsidR="00573BA7" w:rsidRPr="00D30D5B">
        <w:t xml:space="preserve"> </w:t>
      </w:r>
      <w:r w:rsidR="00F237D3" w:rsidRPr="00D30D5B">
        <w:t>ensure</w:t>
      </w:r>
      <w:r w:rsidR="005E2027">
        <w:t xml:space="preserve"> </w:t>
      </w:r>
      <w:r w:rsidR="007F5BA4" w:rsidRPr="00D30D5B">
        <w:t>people</w:t>
      </w:r>
      <w:r w:rsidR="00573BA7" w:rsidRPr="00D30D5B">
        <w:t xml:space="preserve"> </w:t>
      </w:r>
      <w:r w:rsidR="007F5BA4" w:rsidRPr="00D30D5B">
        <w:t>with</w:t>
      </w:r>
      <w:r w:rsidR="00573BA7" w:rsidRPr="00D30D5B">
        <w:t xml:space="preserve"> </w:t>
      </w:r>
      <w:r w:rsidR="007F5BA4" w:rsidRPr="00D30D5B">
        <w:t>disability</w:t>
      </w:r>
      <w:r w:rsidR="00573BA7" w:rsidRPr="00D30D5B">
        <w:t xml:space="preserve"> </w:t>
      </w:r>
      <w:r w:rsidR="00F237D3" w:rsidRPr="00D30D5B">
        <w:t>access,</w:t>
      </w:r>
      <w:r w:rsidR="00573BA7" w:rsidRPr="00D30D5B">
        <w:t xml:space="preserve"> </w:t>
      </w:r>
      <w:r w:rsidR="00F237D3" w:rsidRPr="00D30D5B">
        <w:t>on</w:t>
      </w:r>
      <w:r w:rsidR="00573BA7" w:rsidRPr="00D30D5B">
        <w:t xml:space="preserve"> </w:t>
      </w:r>
      <w:r w:rsidR="00F237D3" w:rsidRPr="00D30D5B">
        <w:t>an</w:t>
      </w:r>
      <w:r w:rsidR="00573BA7" w:rsidRPr="00D30D5B">
        <w:t xml:space="preserve"> </w:t>
      </w:r>
      <w:r w:rsidR="00F237D3" w:rsidRPr="00D30D5B">
        <w:t>equal</w:t>
      </w:r>
      <w:r w:rsidR="00573BA7" w:rsidRPr="00D30D5B">
        <w:t xml:space="preserve"> </w:t>
      </w:r>
      <w:r w:rsidR="00F237D3" w:rsidRPr="00D30D5B">
        <w:t>basis</w:t>
      </w:r>
      <w:r w:rsidR="00573BA7" w:rsidRPr="00D30D5B">
        <w:t xml:space="preserve"> </w:t>
      </w:r>
      <w:r w:rsidR="00F237D3" w:rsidRPr="00D30D5B">
        <w:t>with</w:t>
      </w:r>
      <w:r w:rsidR="00573BA7" w:rsidRPr="00D30D5B">
        <w:t xml:space="preserve"> </w:t>
      </w:r>
      <w:r w:rsidR="00F237D3" w:rsidRPr="00D30D5B">
        <w:lastRenderedPageBreak/>
        <w:t>others,</w:t>
      </w:r>
      <w:r w:rsidR="00573BA7" w:rsidRPr="00D30D5B">
        <w:t xml:space="preserve"> </w:t>
      </w:r>
      <w:r w:rsidR="00F237D3" w:rsidRPr="00D30D5B">
        <w:t>to</w:t>
      </w:r>
      <w:r w:rsidR="00573BA7" w:rsidRPr="00D30D5B">
        <w:t xml:space="preserve"> </w:t>
      </w:r>
      <w:r w:rsidR="00F237D3" w:rsidRPr="00D30D5B">
        <w:t>the</w:t>
      </w:r>
      <w:r w:rsidR="00573BA7" w:rsidRPr="00D30D5B">
        <w:t xml:space="preserve"> </w:t>
      </w:r>
      <w:r w:rsidR="00F237D3" w:rsidRPr="00D30D5B">
        <w:t>physical</w:t>
      </w:r>
      <w:r w:rsidR="00573BA7" w:rsidRPr="00D30D5B">
        <w:t xml:space="preserve"> </w:t>
      </w:r>
      <w:r w:rsidR="00F237D3" w:rsidRPr="00D30D5B">
        <w:t>environment</w:t>
      </w:r>
      <w:r w:rsidR="00B40CA0" w:rsidRPr="00D30D5B">
        <w:t>,</w:t>
      </w:r>
      <w:r w:rsidR="00573BA7" w:rsidRPr="00D30D5B">
        <w:t xml:space="preserve"> </w:t>
      </w:r>
      <w:r w:rsidR="00B40CA0" w:rsidRPr="00D30D5B">
        <w:t>to</w:t>
      </w:r>
      <w:r w:rsidR="00573BA7" w:rsidRPr="00D30D5B">
        <w:t xml:space="preserve"> </w:t>
      </w:r>
      <w:r w:rsidR="002257EB" w:rsidRPr="00D30D5B">
        <w:t>information</w:t>
      </w:r>
      <w:r w:rsidR="00573BA7" w:rsidRPr="00D30D5B">
        <w:t xml:space="preserve"> </w:t>
      </w:r>
      <w:r w:rsidR="002257EB" w:rsidRPr="00D30D5B">
        <w:t>and</w:t>
      </w:r>
      <w:r w:rsidR="00573BA7" w:rsidRPr="00D30D5B">
        <w:t xml:space="preserve"> </w:t>
      </w:r>
      <w:r w:rsidR="002257EB" w:rsidRPr="00D30D5B">
        <w:t>communication</w:t>
      </w:r>
      <w:r w:rsidR="00573BA7" w:rsidRPr="00D30D5B">
        <w:t xml:space="preserve"> </w:t>
      </w:r>
      <w:r w:rsidR="002257EB" w:rsidRPr="00D30D5B">
        <w:t>technologies</w:t>
      </w:r>
      <w:r w:rsidR="00573BA7" w:rsidRPr="00D30D5B">
        <w:t xml:space="preserve"> </w:t>
      </w:r>
      <w:r w:rsidR="002257EB" w:rsidRPr="00D30D5B">
        <w:t>and</w:t>
      </w:r>
      <w:r w:rsidR="00573BA7" w:rsidRPr="00D30D5B">
        <w:t xml:space="preserve"> </w:t>
      </w:r>
      <w:r w:rsidR="002257EB" w:rsidRPr="00D30D5B">
        <w:t>systems</w:t>
      </w:r>
      <w:r w:rsidR="00573BA7" w:rsidRPr="00D30D5B">
        <w:t xml:space="preserve"> </w:t>
      </w:r>
      <w:r w:rsidR="002257EB" w:rsidRPr="00D30D5B">
        <w:t>and</w:t>
      </w:r>
      <w:r w:rsidR="00573BA7" w:rsidRPr="00D30D5B">
        <w:t xml:space="preserve"> </w:t>
      </w:r>
      <w:r w:rsidR="002257EB" w:rsidRPr="00D30D5B">
        <w:t>to</w:t>
      </w:r>
      <w:r w:rsidR="00573BA7" w:rsidRPr="00D30D5B">
        <w:t xml:space="preserve"> </w:t>
      </w:r>
      <w:r w:rsidR="002257EB" w:rsidRPr="00D30D5B">
        <w:t>other</w:t>
      </w:r>
      <w:r w:rsidR="00573BA7" w:rsidRPr="00D30D5B">
        <w:t xml:space="preserve"> </w:t>
      </w:r>
      <w:r w:rsidR="002257EB" w:rsidRPr="00D30D5B">
        <w:t>facilities</w:t>
      </w:r>
      <w:r w:rsidR="00573BA7" w:rsidRPr="00D30D5B">
        <w:t xml:space="preserve"> </w:t>
      </w:r>
      <w:r w:rsidR="00053907" w:rsidRPr="00D30D5B">
        <w:t>and</w:t>
      </w:r>
      <w:r w:rsidR="00573BA7" w:rsidRPr="00D30D5B">
        <w:t xml:space="preserve"> </w:t>
      </w:r>
      <w:r w:rsidR="00053907" w:rsidRPr="00D30D5B">
        <w:t>services</w:t>
      </w:r>
      <w:r w:rsidR="00573BA7" w:rsidRPr="00D30D5B">
        <w:t xml:space="preserve"> </w:t>
      </w:r>
      <w:r w:rsidR="00053907" w:rsidRPr="00D30D5B">
        <w:t>open</w:t>
      </w:r>
      <w:r w:rsidR="00573BA7" w:rsidRPr="00D30D5B">
        <w:t xml:space="preserve"> </w:t>
      </w:r>
      <w:r w:rsidR="00053907" w:rsidRPr="00D30D5B">
        <w:t>or</w:t>
      </w:r>
      <w:r w:rsidR="00573BA7" w:rsidRPr="00D30D5B">
        <w:t xml:space="preserve"> </w:t>
      </w:r>
      <w:r w:rsidR="00053907" w:rsidRPr="00D30D5B">
        <w:t>provided</w:t>
      </w:r>
      <w:r w:rsidR="00573BA7" w:rsidRPr="00D30D5B">
        <w:t xml:space="preserve"> </w:t>
      </w:r>
      <w:r w:rsidR="00053907" w:rsidRPr="00D30D5B">
        <w:t>to</w:t>
      </w:r>
      <w:r w:rsidR="00573BA7" w:rsidRPr="00D30D5B">
        <w:t xml:space="preserve"> </w:t>
      </w:r>
      <w:r w:rsidR="00053907" w:rsidRPr="00D30D5B">
        <w:t>the</w:t>
      </w:r>
      <w:r w:rsidR="00573BA7" w:rsidRPr="00D30D5B">
        <w:t xml:space="preserve"> </w:t>
      </w:r>
      <w:r w:rsidR="00053907" w:rsidRPr="00D30D5B">
        <w:t>public.</w:t>
      </w:r>
      <w:r w:rsidR="00573BA7" w:rsidRPr="00D30D5B">
        <w:t xml:space="preserve">  </w:t>
      </w:r>
      <w:r w:rsidR="00E96FD7" w:rsidRPr="00D30D5B">
        <w:t>Article</w:t>
      </w:r>
      <w:r w:rsidR="00573BA7" w:rsidRPr="00D30D5B">
        <w:t xml:space="preserve"> </w:t>
      </w:r>
      <w:r w:rsidR="00E96FD7" w:rsidRPr="00D30D5B">
        <w:t>9</w:t>
      </w:r>
      <w:r w:rsidR="00573BA7" w:rsidRPr="00D30D5B">
        <w:t xml:space="preserve"> </w:t>
      </w:r>
      <w:r w:rsidR="00E96FD7" w:rsidRPr="00D30D5B">
        <w:t>specifies</w:t>
      </w:r>
      <w:r w:rsidR="00573BA7" w:rsidRPr="00D30D5B">
        <w:t xml:space="preserve"> </w:t>
      </w:r>
      <w:r w:rsidR="00E96FD7" w:rsidRPr="00D30D5B">
        <w:t>that</w:t>
      </w:r>
      <w:r w:rsidR="00573BA7" w:rsidRPr="00D30D5B">
        <w:t xml:space="preserve"> </w:t>
      </w:r>
      <w:r w:rsidR="00E96FD7" w:rsidRPr="00D30D5B">
        <w:t>t</w:t>
      </w:r>
      <w:r w:rsidR="00931189" w:rsidRPr="00D30D5B">
        <w:t>hose</w:t>
      </w:r>
      <w:r w:rsidR="00573BA7">
        <w:t xml:space="preserve"> </w:t>
      </w:r>
      <w:r w:rsidR="00931189">
        <w:t>measures</w:t>
      </w:r>
      <w:r w:rsidR="00573BA7">
        <w:t xml:space="preserve"> </w:t>
      </w:r>
      <w:r w:rsidR="002C38E1">
        <w:t>apply</w:t>
      </w:r>
      <w:r w:rsidR="00573BA7">
        <w:t xml:space="preserve"> </w:t>
      </w:r>
      <w:r w:rsidR="002C38E1">
        <w:t>to</w:t>
      </w:r>
      <w:r w:rsidR="00573BA7">
        <w:t xml:space="preserve"> </w:t>
      </w:r>
      <w:r w:rsidR="002C38E1">
        <w:t>workplaces</w:t>
      </w:r>
      <w:r w:rsidR="00573BA7">
        <w:t xml:space="preserve"> </w:t>
      </w:r>
      <w:r w:rsidR="002C38E1">
        <w:t>and</w:t>
      </w:r>
      <w:r w:rsidR="00573BA7">
        <w:t xml:space="preserve"> </w:t>
      </w:r>
      <w:r w:rsidR="002C38E1">
        <w:t>entail</w:t>
      </w:r>
      <w:r w:rsidR="00573BA7">
        <w:t xml:space="preserve"> </w:t>
      </w:r>
      <w:r w:rsidR="00600260">
        <w:t>the</w:t>
      </w:r>
      <w:r w:rsidR="00573BA7">
        <w:t xml:space="preserve"> </w:t>
      </w:r>
      <w:r w:rsidR="00600260">
        <w:t>identification</w:t>
      </w:r>
      <w:r w:rsidR="00573BA7">
        <w:t xml:space="preserve"> </w:t>
      </w:r>
      <w:r w:rsidR="00A97C49">
        <w:t>and</w:t>
      </w:r>
      <w:r w:rsidR="00573BA7">
        <w:t xml:space="preserve"> </w:t>
      </w:r>
      <w:r w:rsidR="00A97C49">
        <w:t>elimination</w:t>
      </w:r>
      <w:r w:rsidR="00573BA7">
        <w:t xml:space="preserve"> </w:t>
      </w:r>
      <w:r w:rsidR="00A97C49">
        <w:t>of</w:t>
      </w:r>
      <w:r w:rsidR="00573BA7">
        <w:t xml:space="preserve"> </w:t>
      </w:r>
      <w:r w:rsidR="00CB51F0">
        <w:t>obstacles</w:t>
      </w:r>
      <w:r w:rsidR="00573BA7">
        <w:t xml:space="preserve"> </w:t>
      </w:r>
      <w:r w:rsidR="00CB51F0">
        <w:t>and</w:t>
      </w:r>
      <w:r w:rsidR="00573BA7">
        <w:t xml:space="preserve"> </w:t>
      </w:r>
      <w:r w:rsidR="00CB51F0">
        <w:t>barriers</w:t>
      </w:r>
      <w:r w:rsidR="00573BA7">
        <w:t xml:space="preserve"> </w:t>
      </w:r>
      <w:r w:rsidR="00CB51F0">
        <w:t>to</w:t>
      </w:r>
      <w:r w:rsidR="00573BA7">
        <w:t xml:space="preserve"> </w:t>
      </w:r>
      <w:r w:rsidR="00CB51F0">
        <w:t>accessibility</w:t>
      </w:r>
      <w:r w:rsidR="00BA1FD0">
        <w:t>.</w:t>
      </w:r>
      <w:r w:rsidR="00573BA7">
        <w:t xml:space="preserve">  </w:t>
      </w:r>
      <w:r w:rsidR="00F65903">
        <w:t>In</w:t>
      </w:r>
      <w:r w:rsidR="00573BA7">
        <w:t xml:space="preserve"> </w:t>
      </w:r>
      <w:r w:rsidR="00D26CF7">
        <w:t>relation</w:t>
      </w:r>
      <w:r w:rsidR="00573BA7">
        <w:t xml:space="preserve"> </w:t>
      </w:r>
      <w:r w:rsidR="00916E7B">
        <w:t>to</w:t>
      </w:r>
      <w:r w:rsidR="00573BA7">
        <w:t xml:space="preserve"> </w:t>
      </w:r>
      <w:r w:rsidR="00916E7B">
        <w:t>States</w:t>
      </w:r>
      <w:r w:rsidR="00573BA7">
        <w:t xml:space="preserve"> </w:t>
      </w:r>
      <w:r w:rsidR="00916E7B">
        <w:t>Parties’</w:t>
      </w:r>
      <w:r w:rsidR="00573BA7">
        <w:t xml:space="preserve"> </w:t>
      </w:r>
      <w:r w:rsidR="00916E7B">
        <w:t>obligations</w:t>
      </w:r>
      <w:r w:rsidR="00573BA7">
        <w:t xml:space="preserve"> </w:t>
      </w:r>
      <w:r w:rsidR="00916E7B">
        <w:t>under</w:t>
      </w:r>
      <w:r w:rsidR="00573BA7">
        <w:t xml:space="preserve"> </w:t>
      </w:r>
      <w:r w:rsidR="0014581E">
        <w:t>Article</w:t>
      </w:r>
      <w:r w:rsidR="00573BA7">
        <w:t xml:space="preserve"> </w:t>
      </w:r>
      <w:r w:rsidR="0014581E">
        <w:t>9,</w:t>
      </w:r>
      <w:r w:rsidR="00573BA7">
        <w:t xml:space="preserve"> </w:t>
      </w:r>
      <w:r w:rsidR="0014581E">
        <w:t>the</w:t>
      </w:r>
      <w:r w:rsidR="00573BA7">
        <w:t xml:space="preserve"> </w:t>
      </w:r>
      <w:r w:rsidR="00FB73F9">
        <w:t>CRPD</w:t>
      </w:r>
      <w:r w:rsidR="00573BA7">
        <w:t xml:space="preserve"> </w:t>
      </w:r>
      <w:r w:rsidR="00FB73F9">
        <w:t>Committee</w:t>
      </w:r>
      <w:r w:rsidR="00573BA7">
        <w:t xml:space="preserve"> </w:t>
      </w:r>
      <w:r w:rsidR="00C21B7D">
        <w:t>has</w:t>
      </w:r>
      <w:r w:rsidR="00573BA7">
        <w:t xml:space="preserve"> </w:t>
      </w:r>
      <w:r w:rsidR="00FB73F9">
        <w:t>commented</w:t>
      </w:r>
      <w:r w:rsidR="00573BA7">
        <w:t xml:space="preserve"> </w:t>
      </w:r>
      <w:r w:rsidR="0014581E">
        <w:t>that</w:t>
      </w:r>
      <w:r w:rsidR="0010676C">
        <w:t>:</w:t>
      </w:r>
    </w:p>
    <w:p w14:paraId="1DCD8DB6" w14:textId="34593BAA" w:rsidR="00B4247A" w:rsidRPr="007B537E" w:rsidRDefault="0010676C" w:rsidP="0010676C">
      <w:pPr>
        <w:pStyle w:val="ListParagraph"/>
        <w:rPr>
          <w:sz w:val="22"/>
          <w:szCs w:val="22"/>
        </w:rPr>
      </w:pPr>
      <w:r w:rsidRPr="007B537E">
        <w:rPr>
          <w:sz w:val="22"/>
          <w:szCs w:val="22"/>
        </w:rPr>
        <w:t>P</w:t>
      </w:r>
      <w:r w:rsidR="00FB73F9" w:rsidRPr="007B537E">
        <w:rPr>
          <w:sz w:val="22"/>
          <w:szCs w:val="22"/>
        </w:rPr>
        <w:t>ersons</w:t>
      </w:r>
      <w:r w:rsidR="00573BA7" w:rsidRPr="007B537E">
        <w:rPr>
          <w:sz w:val="22"/>
          <w:szCs w:val="22"/>
        </w:rPr>
        <w:t xml:space="preserve"> </w:t>
      </w:r>
      <w:r w:rsidR="00FB73F9" w:rsidRPr="007B537E">
        <w:rPr>
          <w:sz w:val="22"/>
          <w:szCs w:val="22"/>
        </w:rPr>
        <w:t>with</w:t>
      </w:r>
      <w:r w:rsidR="00573BA7" w:rsidRPr="007B537E">
        <w:rPr>
          <w:sz w:val="22"/>
          <w:szCs w:val="22"/>
        </w:rPr>
        <w:t xml:space="preserve"> </w:t>
      </w:r>
      <w:r w:rsidR="00FB73F9" w:rsidRPr="007B537E">
        <w:rPr>
          <w:sz w:val="22"/>
          <w:szCs w:val="22"/>
        </w:rPr>
        <w:t>disabilities</w:t>
      </w:r>
      <w:r w:rsidR="00573BA7" w:rsidRPr="007B537E">
        <w:rPr>
          <w:sz w:val="22"/>
          <w:szCs w:val="22"/>
        </w:rPr>
        <w:t xml:space="preserve"> </w:t>
      </w:r>
      <w:r w:rsidR="00FB73F9" w:rsidRPr="007B537E">
        <w:rPr>
          <w:sz w:val="22"/>
          <w:szCs w:val="22"/>
        </w:rPr>
        <w:t>cannot</w:t>
      </w:r>
      <w:r w:rsidR="00573BA7" w:rsidRPr="007B537E">
        <w:rPr>
          <w:sz w:val="22"/>
          <w:szCs w:val="22"/>
        </w:rPr>
        <w:t xml:space="preserve"> </w:t>
      </w:r>
      <w:r w:rsidR="00FB73F9" w:rsidRPr="007B537E">
        <w:rPr>
          <w:sz w:val="22"/>
          <w:szCs w:val="22"/>
        </w:rPr>
        <w:t>effectively</w:t>
      </w:r>
      <w:r w:rsidR="00573BA7" w:rsidRPr="007B537E">
        <w:rPr>
          <w:sz w:val="22"/>
          <w:szCs w:val="22"/>
        </w:rPr>
        <w:t xml:space="preserve"> </w:t>
      </w:r>
      <w:r w:rsidR="00FB73F9" w:rsidRPr="007B537E">
        <w:rPr>
          <w:sz w:val="22"/>
          <w:szCs w:val="22"/>
        </w:rPr>
        <w:t>enjoy</w:t>
      </w:r>
      <w:r w:rsidR="00573BA7" w:rsidRPr="007B537E">
        <w:rPr>
          <w:sz w:val="22"/>
          <w:szCs w:val="22"/>
        </w:rPr>
        <w:t xml:space="preserve"> </w:t>
      </w:r>
      <w:r w:rsidR="00FB73F9" w:rsidRPr="007B537E">
        <w:rPr>
          <w:sz w:val="22"/>
          <w:szCs w:val="22"/>
        </w:rPr>
        <w:t>their</w:t>
      </w:r>
      <w:r w:rsidR="00573BA7" w:rsidRPr="007B537E">
        <w:rPr>
          <w:sz w:val="22"/>
          <w:szCs w:val="22"/>
        </w:rPr>
        <w:t xml:space="preserve"> </w:t>
      </w:r>
      <w:r w:rsidR="00FB73F9" w:rsidRPr="007B537E">
        <w:rPr>
          <w:sz w:val="22"/>
          <w:szCs w:val="22"/>
        </w:rPr>
        <w:t>work</w:t>
      </w:r>
      <w:r w:rsidR="00573BA7" w:rsidRPr="007B537E">
        <w:rPr>
          <w:sz w:val="22"/>
          <w:szCs w:val="22"/>
        </w:rPr>
        <w:t xml:space="preserve"> </w:t>
      </w:r>
      <w:r w:rsidR="00FB73F9" w:rsidRPr="007B537E">
        <w:rPr>
          <w:sz w:val="22"/>
          <w:szCs w:val="22"/>
        </w:rPr>
        <w:t>and</w:t>
      </w:r>
      <w:r w:rsidR="00573BA7" w:rsidRPr="007B537E">
        <w:rPr>
          <w:sz w:val="22"/>
          <w:szCs w:val="22"/>
        </w:rPr>
        <w:t xml:space="preserve"> </w:t>
      </w:r>
      <w:r w:rsidR="00FB73F9" w:rsidRPr="007B537E">
        <w:rPr>
          <w:sz w:val="22"/>
          <w:szCs w:val="22"/>
        </w:rPr>
        <w:t>employment</w:t>
      </w:r>
      <w:r w:rsidR="00573BA7" w:rsidRPr="007B537E">
        <w:rPr>
          <w:sz w:val="22"/>
          <w:szCs w:val="22"/>
        </w:rPr>
        <w:t xml:space="preserve"> </w:t>
      </w:r>
      <w:r w:rsidR="00FB73F9" w:rsidRPr="007B537E">
        <w:rPr>
          <w:sz w:val="22"/>
          <w:szCs w:val="22"/>
        </w:rPr>
        <w:t>rights,</w:t>
      </w:r>
      <w:r w:rsidR="00573BA7" w:rsidRPr="007B537E">
        <w:rPr>
          <w:sz w:val="22"/>
          <w:szCs w:val="22"/>
        </w:rPr>
        <w:t xml:space="preserve"> </w:t>
      </w:r>
      <w:r w:rsidR="00FB73F9" w:rsidRPr="007B537E">
        <w:rPr>
          <w:sz w:val="22"/>
          <w:szCs w:val="22"/>
        </w:rPr>
        <w:t>as</w:t>
      </w:r>
      <w:r w:rsidR="00573BA7" w:rsidRPr="007B537E">
        <w:rPr>
          <w:sz w:val="22"/>
          <w:szCs w:val="22"/>
        </w:rPr>
        <w:t xml:space="preserve"> </w:t>
      </w:r>
      <w:r w:rsidR="00FB73F9" w:rsidRPr="007B537E">
        <w:rPr>
          <w:sz w:val="22"/>
          <w:szCs w:val="22"/>
        </w:rPr>
        <w:t>described</w:t>
      </w:r>
      <w:r w:rsidR="00573BA7" w:rsidRPr="007B537E">
        <w:rPr>
          <w:sz w:val="22"/>
          <w:szCs w:val="22"/>
        </w:rPr>
        <w:t xml:space="preserve"> </w:t>
      </w:r>
      <w:r w:rsidR="00FB73F9" w:rsidRPr="007B537E">
        <w:rPr>
          <w:sz w:val="22"/>
          <w:szCs w:val="22"/>
        </w:rPr>
        <w:t>in</w:t>
      </w:r>
      <w:r w:rsidR="00573BA7" w:rsidRPr="007B537E">
        <w:rPr>
          <w:sz w:val="22"/>
          <w:szCs w:val="22"/>
        </w:rPr>
        <w:t xml:space="preserve"> </w:t>
      </w:r>
      <w:r w:rsidR="00FB73F9" w:rsidRPr="007B537E">
        <w:rPr>
          <w:sz w:val="22"/>
          <w:szCs w:val="22"/>
        </w:rPr>
        <w:t>article</w:t>
      </w:r>
      <w:r w:rsidR="00573BA7" w:rsidRPr="007B537E">
        <w:rPr>
          <w:sz w:val="22"/>
          <w:szCs w:val="22"/>
        </w:rPr>
        <w:t xml:space="preserve"> </w:t>
      </w:r>
      <w:r w:rsidR="00FB73F9" w:rsidRPr="007B537E">
        <w:rPr>
          <w:sz w:val="22"/>
          <w:szCs w:val="22"/>
        </w:rPr>
        <w:t>27</w:t>
      </w:r>
      <w:r w:rsidR="00573BA7" w:rsidRPr="007B537E">
        <w:rPr>
          <w:sz w:val="22"/>
          <w:szCs w:val="22"/>
        </w:rPr>
        <w:t xml:space="preserve"> </w:t>
      </w:r>
      <w:r w:rsidR="00FB73F9" w:rsidRPr="007B537E">
        <w:rPr>
          <w:sz w:val="22"/>
          <w:szCs w:val="22"/>
        </w:rPr>
        <w:t>of</w:t>
      </w:r>
      <w:r w:rsidR="00573BA7" w:rsidRPr="007B537E">
        <w:rPr>
          <w:sz w:val="22"/>
          <w:szCs w:val="22"/>
        </w:rPr>
        <w:t xml:space="preserve"> </w:t>
      </w:r>
      <w:r w:rsidR="00FB73F9" w:rsidRPr="007B537E">
        <w:rPr>
          <w:sz w:val="22"/>
          <w:szCs w:val="22"/>
        </w:rPr>
        <w:t>the</w:t>
      </w:r>
      <w:r w:rsidR="00573BA7" w:rsidRPr="007B537E">
        <w:rPr>
          <w:sz w:val="22"/>
          <w:szCs w:val="22"/>
        </w:rPr>
        <w:t xml:space="preserve"> </w:t>
      </w:r>
      <w:r w:rsidR="00FB73F9" w:rsidRPr="007B537E">
        <w:rPr>
          <w:sz w:val="22"/>
          <w:szCs w:val="22"/>
        </w:rPr>
        <w:t>[CRPD],</w:t>
      </w:r>
      <w:r w:rsidR="00573BA7" w:rsidRPr="007B537E">
        <w:rPr>
          <w:sz w:val="22"/>
          <w:szCs w:val="22"/>
        </w:rPr>
        <w:t xml:space="preserve"> </w:t>
      </w:r>
      <w:r w:rsidR="00FB73F9" w:rsidRPr="007B537E">
        <w:rPr>
          <w:sz w:val="22"/>
          <w:szCs w:val="22"/>
        </w:rPr>
        <w:t>if</w:t>
      </w:r>
      <w:r w:rsidR="00573BA7" w:rsidRPr="007B537E">
        <w:rPr>
          <w:sz w:val="22"/>
          <w:szCs w:val="22"/>
        </w:rPr>
        <w:t xml:space="preserve"> </w:t>
      </w:r>
      <w:r w:rsidR="00FB73F9" w:rsidRPr="007B537E">
        <w:rPr>
          <w:sz w:val="22"/>
          <w:szCs w:val="22"/>
        </w:rPr>
        <w:t>the</w:t>
      </w:r>
      <w:r w:rsidR="00573BA7" w:rsidRPr="007B537E">
        <w:rPr>
          <w:sz w:val="22"/>
          <w:szCs w:val="22"/>
        </w:rPr>
        <w:t xml:space="preserve"> </w:t>
      </w:r>
      <w:r w:rsidR="00FB73F9" w:rsidRPr="007B537E">
        <w:rPr>
          <w:sz w:val="22"/>
          <w:szCs w:val="22"/>
        </w:rPr>
        <w:t>workplace</w:t>
      </w:r>
      <w:r w:rsidR="00573BA7" w:rsidRPr="007B537E">
        <w:rPr>
          <w:sz w:val="22"/>
          <w:szCs w:val="22"/>
        </w:rPr>
        <w:t xml:space="preserve"> </w:t>
      </w:r>
      <w:r w:rsidR="00FB73F9" w:rsidRPr="007B537E">
        <w:rPr>
          <w:sz w:val="22"/>
          <w:szCs w:val="22"/>
        </w:rPr>
        <w:t>itself</w:t>
      </w:r>
      <w:r w:rsidR="00573BA7" w:rsidRPr="007B537E">
        <w:rPr>
          <w:sz w:val="22"/>
          <w:szCs w:val="22"/>
        </w:rPr>
        <w:t xml:space="preserve"> </w:t>
      </w:r>
      <w:r w:rsidR="00FB73F9" w:rsidRPr="007B537E">
        <w:rPr>
          <w:sz w:val="22"/>
          <w:szCs w:val="22"/>
        </w:rPr>
        <w:t>is</w:t>
      </w:r>
      <w:r w:rsidR="00573BA7" w:rsidRPr="007B537E">
        <w:rPr>
          <w:sz w:val="22"/>
          <w:szCs w:val="22"/>
        </w:rPr>
        <w:t xml:space="preserve"> </w:t>
      </w:r>
      <w:r w:rsidR="00FB73F9" w:rsidRPr="007B537E">
        <w:rPr>
          <w:sz w:val="22"/>
          <w:szCs w:val="22"/>
        </w:rPr>
        <w:t>not</w:t>
      </w:r>
      <w:r w:rsidR="00573BA7" w:rsidRPr="007B537E">
        <w:rPr>
          <w:sz w:val="22"/>
          <w:szCs w:val="22"/>
        </w:rPr>
        <w:t xml:space="preserve"> </w:t>
      </w:r>
      <w:r w:rsidR="00FB73F9" w:rsidRPr="007B537E">
        <w:rPr>
          <w:sz w:val="22"/>
          <w:szCs w:val="22"/>
        </w:rPr>
        <w:t>accessible</w:t>
      </w:r>
      <w:r w:rsidRPr="007B537E">
        <w:rPr>
          <w:sz w:val="22"/>
          <w:szCs w:val="22"/>
        </w:rPr>
        <w:t>.</w:t>
      </w:r>
      <w:r w:rsidR="00573BA7" w:rsidRPr="007B537E">
        <w:rPr>
          <w:sz w:val="22"/>
          <w:szCs w:val="22"/>
        </w:rPr>
        <w:t xml:space="preserve">  </w:t>
      </w:r>
      <w:r w:rsidR="002C2960" w:rsidRPr="007B537E">
        <w:rPr>
          <w:sz w:val="22"/>
          <w:szCs w:val="22"/>
        </w:rPr>
        <w:t>Workplaces</w:t>
      </w:r>
      <w:r w:rsidR="00573BA7" w:rsidRPr="007B537E">
        <w:rPr>
          <w:sz w:val="22"/>
          <w:szCs w:val="22"/>
        </w:rPr>
        <w:t xml:space="preserve"> </w:t>
      </w:r>
      <w:r w:rsidR="002C2960" w:rsidRPr="007B537E">
        <w:rPr>
          <w:sz w:val="22"/>
          <w:szCs w:val="22"/>
        </w:rPr>
        <w:t>therefore</w:t>
      </w:r>
      <w:r w:rsidR="00573BA7" w:rsidRPr="007B537E">
        <w:rPr>
          <w:sz w:val="22"/>
          <w:szCs w:val="22"/>
        </w:rPr>
        <w:t xml:space="preserve"> </w:t>
      </w:r>
      <w:r w:rsidR="002C2960" w:rsidRPr="007B537E">
        <w:rPr>
          <w:sz w:val="22"/>
          <w:szCs w:val="22"/>
        </w:rPr>
        <w:t>have</w:t>
      </w:r>
      <w:r w:rsidR="00573BA7" w:rsidRPr="007B537E">
        <w:rPr>
          <w:sz w:val="22"/>
          <w:szCs w:val="22"/>
        </w:rPr>
        <w:t xml:space="preserve"> </w:t>
      </w:r>
      <w:r w:rsidR="002C2960" w:rsidRPr="007B537E">
        <w:rPr>
          <w:sz w:val="22"/>
          <w:szCs w:val="22"/>
        </w:rPr>
        <w:t>to</w:t>
      </w:r>
      <w:r w:rsidR="00573BA7" w:rsidRPr="007B537E">
        <w:rPr>
          <w:sz w:val="22"/>
          <w:szCs w:val="22"/>
        </w:rPr>
        <w:t xml:space="preserve"> </w:t>
      </w:r>
      <w:r w:rsidR="002C2960" w:rsidRPr="007B537E">
        <w:rPr>
          <w:sz w:val="22"/>
          <w:szCs w:val="22"/>
        </w:rPr>
        <w:t>be</w:t>
      </w:r>
      <w:r w:rsidR="00573BA7" w:rsidRPr="007B537E">
        <w:rPr>
          <w:sz w:val="22"/>
          <w:szCs w:val="22"/>
        </w:rPr>
        <w:t xml:space="preserve"> </w:t>
      </w:r>
      <w:r w:rsidR="002C2960" w:rsidRPr="007B537E">
        <w:rPr>
          <w:sz w:val="22"/>
          <w:szCs w:val="22"/>
        </w:rPr>
        <w:t>accessible,</w:t>
      </w:r>
      <w:r w:rsidR="00573BA7" w:rsidRPr="007B537E">
        <w:rPr>
          <w:sz w:val="22"/>
          <w:szCs w:val="22"/>
        </w:rPr>
        <w:t xml:space="preserve"> </w:t>
      </w:r>
      <w:r w:rsidR="002C2960" w:rsidRPr="007B537E">
        <w:rPr>
          <w:sz w:val="22"/>
          <w:szCs w:val="22"/>
        </w:rPr>
        <w:t>as</w:t>
      </w:r>
      <w:r w:rsidR="00573BA7" w:rsidRPr="007B537E">
        <w:rPr>
          <w:sz w:val="22"/>
          <w:szCs w:val="22"/>
        </w:rPr>
        <w:t xml:space="preserve"> </w:t>
      </w:r>
      <w:r w:rsidR="002C2960" w:rsidRPr="007B537E">
        <w:rPr>
          <w:sz w:val="22"/>
          <w:szCs w:val="22"/>
        </w:rPr>
        <w:t>is</w:t>
      </w:r>
      <w:r w:rsidR="00573BA7" w:rsidRPr="007B537E">
        <w:rPr>
          <w:sz w:val="22"/>
          <w:szCs w:val="22"/>
        </w:rPr>
        <w:t xml:space="preserve"> </w:t>
      </w:r>
      <w:r w:rsidR="002C2960" w:rsidRPr="007B537E">
        <w:rPr>
          <w:sz w:val="22"/>
          <w:szCs w:val="22"/>
        </w:rPr>
        <w:t>explicitly</w:t>
      </w:r>
      <w:r w:rsidR="00573BA7" w:rsidRPr="007B537E">
        <w:rPr>
          <w:sz w:val="22"/>
          <w:szCs w:val="22"/>
        </w:rPr>
        <w:t xml:space="preserve"> </w:t>
      </w:r>
      <w:r w:rsidR="002C2960" w:rsidRPr="007B537E">
        <w:rPr>
          <w:sz w:val="22"/>
          <w:szCs w:val="22"/>
        </w:rPr>
        <w:t>indicated</w:t>
      </w:r>
      <w:r w:rsidR="00573BA7" w:rsidRPr="007B537E">
        <w:rPr>
          <w:sz w:val="22"/>
          <w:szCs w:val="22"/>
        </w:rPr>
        <w:t xml:space="preserve"> </w:t>
      </w:r>
      <w:r w:rsidR="002C2960" w:rsidRPr="007B537E">
        <w:rPr>
          <w:sz w:val="22"/>
          <w:szCs w:val="22"/>
        </w:rPr>
        <w:t>in</w:t>
      </w:r>
      <w:r w:rsidR="00573BA7" w:rsidRPr="007B537E">
        <w:rPr>
          <w:sz w:val="22"/>
          <w:szCs w:val="22"/>
        </w:rPr>
        <w:t xml:space="preserve"> </w:t>
      </w:r>
      <w:r w:rsidR="002C2960" w:rsidRPr="007B537E">
        <w:rPr>
          <w:sz w:val="22"/>
          <w:szCs w:val="22"/>
        </w:rPr>
        <w:t>article</w:t>
      </w:r>
      <w:r w:rsidR="00573BA7" w:rsidRPr="007B537E">
        <w:rPr>
          <w:sz w:val="22"/>
          <w:szCs w:val="22"/>
        </w:rPr>
        <w:t xml:space="preserve"> </w:t>
      </w:r>
      <w:r w:rsidR="002C2960" w:rsidRPr="007B537E">
        <w:rPr>
          <w:sz w:val="22"/>
          <w:szCs w:val="22"/>
        </w:rPr>
        <w:t>9,</w:t>
      </w:r>
      <w:r w:rsidR="00573BA7" w:rsidRPr="007B537E">
        <w:rPr>
          <w:sz w:val="22"/>
          <w:szCs w:val="22"/>
        </w:rPr>
        <w:t xml:space="preserve"> </w:t>
      </w:r>
      <w:r w:rsidR="002C2960" w:rsidRPr="007B537E">
        <w:rPr>
          <w:sz w:val="22"/>
          <w:szCs w:val="22"/>
        </w:rPr>
        <w:t>paragraph</w:t>
      </w:r>
      <w:r w:rsidR="00573BA7" w:rsidRPr="007B537E">
        <w:rPr>
          <w:sz w:val="22"/>
          <w:szCs w:val="22"/>
        </w:rPr>
        <w:t xml:space="preserve"> </w:t>
      </w:r>
      <w:r w:rsidR="002C2960" w:rsidRPr="007B537E">
        <w:rPr>
          <w:sz w:val="22"/>
          <w:szCs w:val="22"/>
        </w:rPr>
        <w:t>1</w:t>
      </w:r>
      <w:r w:rsidR="00573BA7" w:rsidRPr="007B537E">
        <w:rPr>
          <w:sz w:val="22"/>
          <w:szCs w:val="22"/>
        </w:rPr>
        <w:t xml:space="preserve"> </w:t>
      </w:r>
      <w:r w:rsidR="002C2960" w:rsidRPr="007B537E">
        <w:rPr>
          <w:sz w:val="22"/>
          <w:szCs w:val="22"/>
        </w:rPr>
        <w:t>(a)</w:t>
      </w:r>
      <w:r w:rsidRPr="007B537E">
        <w:rPr>
          <w:sz w:val="22"/>
          <w:szCs w:val="22"/>
        </w:rPr>
        <w:t>.</w:t>
      </w:r>
      <w:r w:rsidR="00573BA7" w:rsidRPr="007B537E">
        <w:rPr>
          <w:sz w:val="22"/>
          <w:szCs w:val="22"/>
        </w:rPr>
        <w:t xml:space="preserve">  </w:t>
      </w:r>
      <w:r w:rsidR="00695D3F" w:rsidRPr="007B537E">
        <w:rPr>
          <w:sz w:val="22"/>
          <w:szCs w:val="22"/>
        </w:rPr>
        <w:t>A</w:t>
      </w:r>
      <w:r w:rsidR="00573BA7" w:rsidRPr="007B537E">
        <w:rPr>
          <w:sz w:val="22"/>
          <w:szCs w:val="22"/>
        </w:rPr>
        <w:t xml:space="preserve"> </w:t>
      </w:r>
      <w:r w:rsidR="00695D3F" w:rsidRPr="007B537E">
        <w:rPr>
          <w:sz w:val="22"/>
          <w:szCs w:val="22"/>
        </w:rPr>
        <w:t>refusal</w:t>
      </w:r>
      <w:r w:rsidR="00573BA7" w:rsidRPr="007B537E">
        <w:rPr>
          <w:sz w:val="22"/>
          <w:szCs w:val="22"/>
        </w:rPr>
        <w:t xml:space="preserve"> </w:t>
      </w:r>
      <w:r w:rsidR="00695D3F" w:rsidRPr="007B537E">
        <w:rPr>
          <w:sz w:val="22"/>
          <w:szCs w:val="22"/>
        </w:rPr>
        <w:t>to</w:t>
      </w:r>
      <w:r w:rsidR="00573BA7" w:rsidRPr="007B537E">
        <w:rPr>
          <w:sz w:val="22"/>
          <w:szCs w:val="22"/>
        </w:rPr>
        <w:t xml:space="preserve"> </w:t>
      </w:r>
      <w:r w:rsidR="00695D3F" w:rsidRPr="007B537E">
        <w:rPr>
          <w:sz w:val="22"/>
          <w:szCs w:val="22"/>
        </w:rPr>
        <w:t>adapt</w:t>
      </w:r>
      <w:r w:rsidR="00573BA7" w:rsidRPr="007B537E">
        <w:rPr>
          <w:sz w:val="22"/>
          <w:szCs w:val="22"/>
        </w:rPr>
        <w:t xml:space="preserve"> </w:t>
      </w:r>
      <w:r w:rsidR="00695D3F" w:rsidRPr="007B537E">
        <w:rPr>
          <w:sz w:val="22"/>
          <w:szCs w:val="22"/>
        </w:rPr>
        <w:t>the</w:t>
      </w:r>
      <w:r w:rsidR="00573BA7" w:rsidRPr="007B537E">
        <w:rPr>
          <w:sz w:val="22"/>
          <w:szCs w:val="22"/>
        </w:rPr>
        <w:t xml:space="preserve"> </w:t>
      </w:r>
      <w:r w:rsidR="00695D3F" w:rsidRPr="007B537E">
        <w:rPr>
          <w:sz w:val="22"/>
          <w:szCs w:val="22"/>
        </w:rPr>
        <w:t>workplace</w:t>
      </w:r>
      <w:r w:rsidR="00573BA7" w:rsidRPr="007B537E">
        <w:rPr>
          <w:sz w:val="22"/>
          <w:szCs w:val="22"/>
        </w:rPr>
        <w:t xml:space="preserve"> </w:t>
      </w:r>
      <w:r w:rsidR="00695D3F" w:rsidRPr="007B537E">
        <w:rPr>
          <w:sz w:val="22"/>
          <w:szCs w:val="22"/>
        </w:rPr>
        <w:t>constitutes</w:t>
      </w:r>
      <w:r w:rsidR="00573BA7" w:rsidRPr="007B537E">
        <w:rPr>
          <w:sz w:val="22"/>
          <w:szCs w:val="22"/>
        </w:rPr>
        <w:t xml:space="preserve"> </w:t>
      </w:r>
      <w:r w:rsidR="00695D3F" w:rsidRPr="007B537E">
        <w:rPr>
          <w:sz w:val="22"/>
          <w:szCs w:val="22"/>
        </w:rPr>
        <w:t>a</w:t>
      </w:r>
      <w:r w:rsidR="00573BA7" w:rsidRPr="007B537E">
        <w:rPr>
          <w:sz w:val="22"/>
          <w:szCs w:val="22"/>
        </w:rPr>
        <w:t xml:space="preserve"> </w:t>
      </w:r>
      <w:r w:rsidR="00695D3F" w:rsidRPr="007B537E">
        <w:rPr>
          <w:sz w:val="22"/>
          <w:szCs w:val="22"/>
        </w:rPr>
        <w:t>prohibited</w:t>
      </w:r>
      <w:r w:rsidR="00573BA7" w:rsidRPr="007B537E">
        <w:rPr>
          <w:sz w:val="22"/>
          <w:szCs w:val="22"/>
        </w:rPr>
        <w:t xml:space="preserve"> </w:t>
      </w:r>
      <w:r w:rsidR="00695D3F" w:rsidRPr="007B537E">
        <w:rPr>
          <w:sz w:val="22"/>
          <w:szCs w:val="22"/>
        </w:rPr>
        <w:t>act</w:t>
      </w:r>
      <w:r w:rsidR="00573BA7" w:rsidRPr="007B537E">
        <w:rPr>
          <w:sz w:val="22"/>
          <w:szCs w:val="22"/>
        </w:rPr>
        <w:t xml:space="preserve"> </w:t>
      </w:r>
      <w:r w:rsidR="00695D3F" w:rsidRPr="007B537E">
        <w:rPr>
          <w:sz w:val="22"/>
          <w:szCs w:val="22"/>
        </w:rPr>
        <w:t>of</w:t>
      </w:r>
      <w:r w:rsidR="00573BA7" w:rsidRPr="007B537E">
        <w:rPr>
          <w:sz w:val="22"/>
          <w:szCs w:val="22"/>
        </w:rPr>
        <w:t xml:space="preserve"> </w:t>
      </w:r>
      <w:r w:rsidR="00695D3F" w:rsidRPr="007B537E">
        <w:rPr>
          <w:sz w:val="22"/>
          <w:szCs w:val="22"/>
        </w:rPr>
        <w:t>disability-based</w:t>
      </w:r>
      <w:r w:rsidR="00573BA7" w:rsidRPr="007B537E">
        <w:rPr>
          <w:sz w:val="22"/>
          <w:szCs w:val="22"/>
        </w:rPr>
        <w:t xml:space="preserve"> </w:t>
      </w:r>
      <w:r w:rsidR="00695D3F" w:rsidRPr="007B537E">
        <w:rPr>
          <w:sz w:val="22"/>
          <w:szCs w:val="22"/>
        </w:rPr>
        <w:t>discrimination</w:t>
      </w:r>
      <w:r w:rsidRPr="007B537E">
        <w:rPr>
          <w:sz w:val="22"/>
          <w:szCs w:val="22"/>
        </w:rPr>
        <w:t>.</w:t>
      </w:r>
      <w:r w:rsidR="00573BA7" w:rsidRPr="007B537E">
        <w:rPr>
          <w:sz w:val="22"/>
          <w:szCs w:val="22"/>
        </w:rPr>
        <w:t xml:space="preserve">  </w:t>
      </w:r>
      <w:r w:rsidR="00FA5F72" w:rsidRPr="007B537E">
        <w:rPr>
          <w:sz w:val="22"/>
          <w:szCs w:val="22"/>
        </w:rPr>
        <w:t>Besides</w:t>
      </w:r>
      <w:r w:rsidR="00573BA7" w:rsidRPr="007B537E">
        <w:rPr>
          <w:sz w:val="22"/>
          <w:szCs w:val="22"/>
        </w:rPr>
        <w:t xml:space="preserve"> </w:t>
      </w:r>
      <w:r w:rsidR="00FA5F72" w:rsidRPr="007B537E">
        <w:rPr>
          <w:sz w:val="22"/>
          <w:szCs w:val="22"/>
        </w:rPr>
        <w:t>the</w:t>
      </w:r>
      <w:r w:rsidR="00573BA7" w:rsidRPr="007B537E">
        <w:rPr>
          <w:sz w:val="22"/>
          <w:szCs w:val="22"/>
        </w:rPr>
        <w:t xml:space="preserve"> </w:t>
      </w:r>
      <w:r w:rsidR="00FA5F72" w:rsidRPr="007B537E">
        <w:rPr>
          <w:sz w:val="22"/>
          <w:szCs w:val="22"/>
        </w:rPr>
        <w:t>physical</w:t>
      </w:r>
      <w:r w:rsidR="00573BA7" w:rsidRPr="007B537E">
        <w:rPr>
          <w:sz w:val="22"/>
          <w:szCs w:val="22"/>
        </w:rPr>
        <w:t xml:space="preserve"> </w:t>
      </w:r>
      <w:r w:rsidR="00FA5F72" w:rsidRPr="007B537E">
        <w:rPr>
          <w:sz w:val="22"/>
          <w:szCs w:val="22"/>
        </w:rPr>
        <w:t>accessibility</w:t>
      </w:r>
      <w:r w:rsidR="00573BA7" w:rsidRPr="007B537E">
        <w:rPr>
          <w:sz w:val="22"/>
          <w:szCs w:val="22"/>
        </w:rPr>
        <w:t xml:space="preserve"> </w:t>
      </w:r>
      <w:r w:rsidR="00FA5F72" w:rsidRPr="007B537E">
        <w:rPr>
          <w:sz w:val="22"/>
          <w:szCs w:val="22"/>
        </w:rPr>
        <w:t>of</w:t>
      </w:r>
      <w:r w:rsidR="00573BA7" w:rsidRPr="007B537E">
        <w:rPr>
          <w:sz w:val="22"/>
          <w:szCs w:val="22"/>
        </w:rPr>
        <w:t xml:space="preserve"> </w:t>
      </w:r>
      <w:r w:rsidR="00FA5F72" w:rsidRPr="007B537E">
        <w:rPr>
          <w:sz w:val="22"/>
          <w:szCs w:val="22"/>
        </w:rPr>
        <w:t>the</w:t>
      </w:r>
      <w:r w:rsidR="00573BA7" w:rsidRPr="007B537E">
        <w:rPr>
          <w:sz w:val="22"/>
          <w:szCs w:val="22"/>
        </w:rPr>
        <w:t xml:space="preserve"> </w:t>
      </w:r>
      <w:r w:rsidR="00FA5F72" w:rsidRPr="007B537E">
        <w:rPr>
          <w:sz w:val="22"/>
          <w:szCs w:val="22"/>
        </w:rPr>
        <w:t>workplace,</w:t>
      </w:r>
      <w:r w:rsidR="00573BA7" w:rsidRPr="007B537E">
        <w:rPr>
          <w:sz w:val="22"/>
          <w:szCs w:val="22"/>
        </w:rPr>
        <w:t xml:space="preserve"> </w:t>
      </w:r>
      <w:r w:rsidR="00FA5F72" w:rsidRPr="007B537E" w:rsidDel="007F5BA4">
        <w:rPr>
          <w:sz w:val="22"/>
          <w:szCs w:val="22"/>
        </w:rPr>
        <w:t>persons</w:t>
      </w:r>
      <w:r w:rsidR="00573BA7" w:rsidRPr="007B537E">
        <w:rPr>
          <w:sz w:val="22"/>
          <w:szCs w:val="22"/>
        </w:rPr>
        <w:t xml:space="preserve"> </w:t>
      </w:r>
      <w:r w:rsidR="00FA5F72" w:rsidRPr="007B537E" w:rsidDel="007F5BA4">
        <w:rPr>
          <w:sz w:val="22"/>
          <w:szCs w:val="22"/>
        </w:rPr>
        <w:t>with</w:t>
      </w:r>
      <w:r w:rsidR="00573BA7" w:rsidRPr="007B537E">
        <w:rPr>
          <w:sz w:val="22"/>
          <w:szCs w:val="22"/>
        </w:rPr>
        <w:t xml:space="preserve"> </w:t>
      </w:r>
      <w:r w:rsidR="00FA5F72" w:rsidRPr="007B537E" w:rsidDel="007F5BA4">
        <w:rPr>
          <w:sz w:val="22"/>
          <w:szCs w:val="22"/>
        </w:rPr>
        <w:t>disabilities</w:t>
      </w:r>
      <w:r w:rsidR="00573BA7" w:rsidRPr="007B537E">
        <w:rPr>
          <w:sz w:val="22"/>
          <w:szCs w:val="22"/>
        </w:rPr>
        <w:t xml:space="preserve"> </w:t>
      </w:r>
      <w:r w:rsidR="00FA5F72" w:rsidRPr="007B537E">
        <w:rPr>
          <w:sz w:val="22"/>
          <w:szCs w:val="22"/>
        </w:rPr>
        <w:t>need</w:t>
      </w:r>
      <w:r w:rsidR="00573BA7" w:rsidRPr="007B537E">
        <w:rPr>
          <w:sz w:val="22"/>
          <w:szCs w:val="22"/>
        </w:rPr>
        <w:t xml:space="preserve"> </w:t>
      </w:r>
      <w:r w:rsidR="00FA5F72" w:rsidRPr="007B537E">
        <w:rPr>
          <w:sz w:val="22"/>
          <w:szCs w:val="22"/>
        </w:rPr>
        <w:t>accessible</w:t>
      </w:r>
      <w:r w:rsidR="00573BA7" w:rsidRPr="007B537E">
        <w:rPr>
          <w:sz w:val="22"/>
          <w:szCs w:val="22"/>
        </w:rPr>
        <w:t xml:space="preserve"> </w:t>
      </w:r>
      <w:r w:rsidR="00FA5F72" w:rsidRPr="007B537E">
        <w:rPr>
          <w:sz w:val="22"/>
          <w:szCs w:val="22"/>
        </w:rPr>
        <w:t>transport</w:t>
      </w:r>
      <w:r w:rsidR="00573BA7" w:rsidRPr="007B537E">
        <w:rPr>
          <w:sz w:val="22"/>
          <w:szCs w:val="22"/>
        </w:rPr>
        <w:t xml:space="preserve"> </w:t>
      </w:r>
      <w:r w:rsidR="00FA5F72" w:rsidRPr="007B537E">
        <w:rPr>
          <w:sz w:val="22"/>
          <w:szCs w:val="22"/>
        </w:rPr>
        <w:t>and</w:t>
      </w:r>
      <w:r w:rsidR="00573BA7" w:rsidRPr="007B537E">
        <w:rPr>
          <w:sz w:val="22"/>
          <w:szCs w:val="22"/>
        </w:rPr>
        <w:t xml:space="preserve"> </w:t>
      </w:r>
      <w:r w:rsidR="00FA5F72" w:rsidRPr="007B537E">
        <w:rPr>
          <w:sz w:val="22"/>
          <w:szCs w:val="22"/>
        </w:rPr>
        <w:t>support</w:t>
      </w:r>
      <w:r w:rsidR="00573BA7" w:rsidRPr="007B537E">
        <w:rPr>
          <w:sz w:val="22"/>
          <w:szCs w:val="22"/>
        </w:rPr>
        <w:t xml:space="preserve"> </w:t>
      </w:r>
      <w:r w:rsidR="00FA5F72" w:rsidRPr="007B537E">
        <w:rPr>
          <w:sz w:val="22"/>
          <w:szCs w:val="22"/>
        </w:rPr>
        <w:t>services</w:t>
      </w:r>
      <w:r w:rsidR="00573BA7" w:rsidRPr="007B537E">
        <w:rPr>
          <w:sz w:val="22"/>
          <w:szCs w:val="22"/>
        </w:rPr>
        <w:t xml:space="preserve"> </w:t>
      </w:r>
      <w:r w:rsidR="00FA5F72" w:rsidRPr="007B537E">
        <w:rPr>
          <w:sz w:val="22"/>
          <w:szCs w:val="22"/>
        </w:rPr>
        <w:t>to</w:t>
      </w:r>
      <w:r w:rsidR="00573BA7" w:rsidRPr="007B537E">
        <w:rPr>
          <w:sz w:val="22"/>
          <w:szCs w:val="22"/>
        </w:rPr>
        <w:t xml:space="preserve"> </w:t>
      </w:r>
      <w:r w:rsidR="00FA5F72" w:rsidRPr="007B537E">
        <w:rPr>
          <w:sz w:val="22"/>
          <w:szCs w:val="22"/>
        </w:rPr>
        <w:t>get</w:t>
      </w:r>
      <w:r w:rsidR="00573BA7" w:rsidRPr="007B537E">
        <w:rPr>
          <w:sz w:val="22"/>
          <w:szCs w:val="22"/>
        </w:rPr>
        <w:t xml:space="preserve"> </w:t>
      </w:r>
      <w:r w:rsidR="00FA5F72" w:rsidRPr="007B537E">
        <w:rPr>
          <w:sz w:val="22"/>
          <w:szCs w:val="22"/>
        </w:rPr>
        <w:t>to</w:t>
      </w:r>
      <w:r w:rsidR="00573BA7" w:rsidRPr="007B537E">
        <w:rPr>
          <w:sz w:val="22"/>
          <w:szCs w:val="22"/>
        </w:rPr>
        <w:t xml:space="preserve"> </w:t>
      </w:r>
      <w:r w:rsidR="00FA5F72" w:rsidRPr="007B537E">
        <w:rPr>
          <w:sz w:val="22"/>
          <w:szCs w:val="22"/>
        </w:rPr>
        <w:t>their</w:t>
      </w:r>
      <w:r w:rsidR="00573BA7" w:rsidRPr="007B537E">
        <w:rPr>
          <w:sz w:val="22"/>
          <w:szCs w:val="22"/>
        </w:rPr>
        <w:t xml:space="preserve"> </w:t>
      </w:r>
      <w:r w:rsidR="00FA5F72" w:rsidRPr="007B537E">
        <w:rPr>
          <w:sz w:val="22"/>
          <w:szCs w:val="22"/>
        </w:rPr>
        <w:t>workplaces.</w:t>
      </w:r>
      <w:r w:rsidR="00573BA7" w:rsidRPr="007B537E">
        <w:rPr>
          <w:sz w:val="22"/>
          <w:szCs w:val="22"/>
        </w:rPr>
        <w:t xml:space="preserve">  </w:t>
      </w:r>
      <w:r w:rsidR="00D0672B" w:rsidRPr="007B537E">
        <w:rPr>
          <w:sz w:val="22"/>
          <w:szCs w:val="22"/>
        </w:rPr>
        <w:t>All</w:t>
      </w:r>
      <w:r w:rsidR="00573BA7" w:rsidRPr="007B537E">
        <w:rPr>
          <w:sz w:val="22"/>
          <w:szCs w:val="22"/>
        </w:rPr>
        <w:t xml:space="preserve"> </w:t>
      </w:r>
      <w:r w:rsidR="00D0672B" w:rsidRPr="007B537E">
        <w:rPr>
          <w:sz w:val="22"/>
          <w:szCs w:val="22"/>
        </w:rPr>
        <w:t>information</w:t>
      </w:r>
      <w:r w:rsidR="00573BA7" w:rsidRPr="007B537E">
        <w:rPr>
          <w:sz w:val="22"/>
          <w:szCs w:val="22"/>
        </w:rPr>
        <w:t xml:space="preserve"> </w:t>
      </w:r>
      <w:r w:rsidR="00D0672B" w:rsidRPr="007B537E">
        <w:rPr>
          <w:sz w:val="22"/>
          <w:szCs w:val="22"/>
        </w:rPr>
        <w:t>pertaining</w:t>
      </w:r>
      <w:r w:rsidR="00573BA7" w:rsidRPr="007B537E">
        <w:rPr>
          <w:sz w:val="22"/>
          <w:szCs w:val="22"/>
        </w:rPr>
        <w:t xml:space="preserve"> </w:t>
      </w:r>
      <w:r w:rsidR="00D0672B" w:rsidRPr="007B537E">
        <w:rPr>
          <w:sz w:val="22"/>
          <w:szCs w:val="22"/>
        </w:rPr>
        <w:t>to</w:t>
      </w:r>
      <w:r w:rsidR="00573BA7" w:rsidRPr="007B537E">
        <w:rPr>
          <w:sz w:val="22"/>
          <w:szCs w:val="22"/>
        </w:rPr>
        <w:t xml:space="preserve"> </w:t>
      </w:r>
      <w:r w:rsidR="00D0672B" w:rsidRPr="007B537E">
        <w:rPr>
          <w:sz w:val="22"/>
          <w:szCs w:val="22"/>
        </w:rPr>
        <w:t>work,</w:t>
      </w:r>
      <w:r w:rsidR="00573BA7" w:rsidRPr="007B537E">
        <w:rPr>
          <w:sz w:val="22"/>
          <w:szCs w:val="22"/>
        </w:rPr>
        <w:t xml:space="preserve"> </w:t>
      </w:r>
      <w:r w:rsidR="000F0AEE" w:rsidRPr="007B537E">
        <w:rPr>
          <w:sz w:val="22"/>
          <w:szCs w:val="22"/>
        </w:rPr>
        <w:t>advertisements</w:t>
      </w:r>
      <w:r w:rsidR="00573BA7" w:rsidRPr="007B537E">
        <w:rPr>
          <w:sz w:val="22"/>
          <w:szCs w:val="22"/>
        </w:rPr>
        <w:t xml:space="preserve"> </w:t>
      </w:r>
      <w:r w:rsidR="00D0672B" w:rsidRPr="007B537E">
        <w:rPr>
          <w:sz w:val="22"/>
          <w:szCs w:val="22"/>
        </w:rPr>
        <w:t>of</w:t>
      </w:r>
      <w:r w:rsidR="00573BA7" w:rsidRPr="007B537E">
        <w:rPr>
          <w:sz w:val="22"/>
          <w:szCs w:val="22"/>
        </w:rPr>
        <w:t xml:space="preserve"> </w:t>
      </w:r>
      <w:r w:rsidR="00D0672B" w:rsidRPr="007B537E">
        <w:rPr>
          <w:sz w:val="22"/>
          <w:szCs w:val="22"/>
        </w:rPr>
        <w:t>job</w:t>
      </w:r>
      <w:r w:rsidR="00573BA7" w:rsidRPr="007B537E">
        <w:rPr>
          <w:sz w:val="22"/>
          <w:szCs w:val="22"/>
        </w:rPr>
        <w:t xml:space="preserve"> </w:t>
      </w:r>
      <w:r w:rsidR="00D0672B" w:rsidRPr="007B537E">
        <w:rPr>
          <w:sz w:val="22"/>
          <w:szCs w:val="22"/>
        </w:rPr>
        <w:t>offers,</w:t>
      </w:r>
      <w:r w:rsidR="00573BA7" w:rsidRPr="007B537E">
        <w:rPr>
          <w:sz w:val="22"/>
          <w:szCs w:val="22"/>
        </w:rPr>
        <w:t xml:space="preserve"> </w:t>
      </w:r>
      <w:r w:rsidR="00D0672B" w:rsidRPr="007B537E">
        <w:rPr>
          <w:sz w:val="22"/>
          <w:szCs w:val="22"/>
        </w:rPr>
        <w:t>selection</w:t>
      </w:r>
      <w:r w:rsidR="00573BA7" w:rsidRPr="007B537E">
        <w:rPr>
          <w:sz w:val="22"/>
          <w:szCs w:val="22"/>
        </w:rPr>
        <w:t xml:space="preserve"> </w:t>
      </w:r>
      <w:r w:rsidR="00D0672B" w:rsidRPr="007B537E">
        <w:rPr>
          <w:sz w:val="22"/>
          <w:szCs w:val="22"/>
        </w:rPr>
        <w:t>processes</w:t>
      </w:r>
      <w:r w:rsidR="00573BA7" w:rsidRPr="007B537E">
        <w:rPr>
          <w:sz w:val="22"/>
          <w:szCs w:val="22"/>
        </w:rPr>
        <w:t xml:space="preserve"> </w:t>
      </w:r>
      <w:r w:rsidR="00D0672B" w:rsidRPr="007B537E">
        <w:rPr>
          <w:sz w:val="22"/>
          <w:szCs w:val="22"/>
        </w:rPr>
        <w:t>and</w:t>
      </w:r>
      <w:r w:rsidR="00573BA7" w:rsidRPr="007B537E">
        <w:rPr>
          <w:sz w:val="22"/>
          <w:szCs w:val="22"/>
        </w:rPr>
        <w:t xml:space="preserve"> </w:t>
      </w:r>
      <w:r w:rsidR="00D0672B" w:rsidRPr="007B537E">
        <w:rPr>
          <w:sz w:val="22"/>
          <w:szCs w:val="22"/>
        </w:rPr>
        <w:t>communication</w:t>
      </w:r>
      <w:r w:rsidR="00573BA7" w:rsidRPr="007B537E">
        <w:rPr>
          <w:sz w:val="22"/>
          <w:szCs w:val="22"/>
        </w:rPr>
        <w:t xml:space="preserve"> </w:t>
      </w:r>
      <w:r w:rsidR="00D0672B" w:rsidRPr="007B537E">
        <w:rPr>
          <w:sz w:val="22"/>
          <w:szCs w:val="22"/>
        </w:rPr>
        <w:t>at</w:t>
      </w:r>
      <w:r w:rsidR="00573BA7" w:rsidRPr="007B537E">
        <w:rPr>
          <w:sz w:val="22"/>
          <w:szCs w:val="22"/>
        </w:rPr>
        <w:t xml:space="preserve"> </w:t>
      </w:r>
      <w:r w:rsidR="00D0672B" w:rsidRPr="007B537E">
        <w:rPr>
          <w:sz w:val="22"/>
          <w:szCs w:val="22"/>
        </w:rPr>
        <w:t>the</w:t>
      </w:r>
      <w:r w:rsidR="00573BA7" w:rsidRPr="007B537E">
        <w:rPr>
          <w:sz w:val="22"/>
          <w:szCs w:val="22"/>
        </w:rPr>
        <w:t xml:space="preserve"> </w:t>
      </w:r>
      <w:r w:rsidR="00D0672B" w:rsidRPr="007B537E">
        <w:rPr>
          <w:sz w:val="22"/>
          <w:szCs w:val="22"/>
        </w:rPr>
        <w:t>workplace</w:t>
      </w:r>
      <w:r w:rsidR="00573BA7" w:rsidRPr="007B537E">
        <w:rPr>
          <w:sz w:val="22"/>
          <w:szCs w:val="22"/>
        </w:rPr>
        <w:t xml:space="preserve"> </w:t>
      </w:r>
      <w:r w:rsidR="00D0672B" w:rsidRPr="007B537E">
        <w:rPr>
          <w:sz w:val="22"/>
          <w:szCs w:val="22"/>
        </w:rPr>
        <w:t>that</w:t>
      </w:r>
      <w:r w:rsidR="00573BA7" w:rsidRPr="007B537E">
        <w:rPr>
          <w:sz w:val="22"/>
          <w:szCs w:val="22"/>
        </w:rPr>
        <w:t xml:space="preserve"> </w:t>
      </w:r>
      <w:r w:rsidR="00D0672B" w:rsidRPr="007B537E">
        <w:rPr>
          <w:sz w:val="22"/>
          <w:szCs w:val="22"/>
        </w:rPr>
        <w:t>is</w:t>
      </w:r>
      <w:r w:rsidR="00573BA7" w:rsidRPr="007B537E">
        <w:rPr>
          <w:sz w:val="22"/>
          <w:szCs w:val="22"/>
        </w:rPr>
        <w:t xml:space="preserve"> </w:t>
      </w:r>
      <w:r w:rsidR="00D0672B" w:rsidRPr="007B537E">
        <w:rPr>
          <w:sz w:val="22"/>
          <w:szCs w:val="22"/>
        </w:rPr>
        <w:t>part</w:t>
      </w:r>
      <w:r w:rsidR="00573BA7" w:rsidRPr="007B537E">
        <w:rPr>
          <w:sz w:val="22"/>
          <w:szCs w:val="22"/>
        </w:rPr>
        <w:t xml:space="preserve"> </w:t>
      </w:r>
      <w:r w:rsidR="00D0672B" w:rsidRPr="007B537E">
        <w:rPr>
          <w:sz w:val="22"/>
          <w:szCs w:val="22"/>
        </w:rPr>
        <w:t>of</w:t>
      </w:r>
      <w:r w:rsidR="00573BA7" w:rsidRPr="007B537E">
        <w:rPr>
          <w:sz w:val="22"/>
          <w:szCs w:val="22"/>
        </w:rPr>
        <w:t xml:space="preserve"> </w:t>
      </w:r>
      <w:r w:rsidR="00D0672B" w:rsidRPr="007B537E">
        <w:rPr>
          <w:sz w:val="22"/>
          <w:szCs w:val="22"/>
        </w:rPr>
        <w:t>the</w:t>
      </w:r>
      <w:r w:rsidR="00573BA7" w:rsidRPr="007B537E">
        <w:rPr>
          <w:sz w:val="22"/>
          <w:szCs w:val="22"/>
        </w:rPr>
        <w:t xml:space="preserve"> </w:t>
      </w:r>
      <w:r w:rsidR="00D0672B" w:rsidRPr="007B537E">
        <w:rPr>
          <w:sz w:val="22"/>
          <w:szCs w:val="22"/>
        </w:rPr>
        <w:t>work</w:t>
      </w:r>
      <w:r w:rsidR="00573BA7" w:rsidRPr="007B537E">
        <w:rPr>
          <w:sz w:val="22"/>
          <w:szCs w:val="22"/>
        </w:rPr>
        <w:t xml:space="preserve"> </w:t>
      </w:r>
      <w:r w:rsidR="00D0672B" w:rsidRPr="007B537E">
        <w:rPr>
          <w:sz w:val="22"/>
          <w:szCs w:val="22"/>
        </w:rPr>
        <w:t>process</w:t>
      </w:r>
      <w:r w:rsidR="00573BA7" w:rsidRPr="007B537E">
        <w:rPr>
          <w:sz w:val="22"/>
          <w:szCs w:val="22"/>
        </w:rPr>
        <w:t xml:space="preserve"> </w:t>
      </w:r>
      <w:r w:rsidR="00D0672B" w:rsidRPr="007B537E">
        <w:rPr>
          <w:sz w:val="22"/>
          <w:szCs w:val="22"/>
        </w:rPr>
        <w:t>must</w:t>
      </w:r>
      <w:r w:rsidR="00573BA7" w:rsidRPr="007B537E">
        <w:rPr>
          <w:sz w:val="22"/>
          <w:szCs w:val="22"/>
        </w:rPr>
        <w:t xml:space="preserve"> </w:t>
      </w:r>
      <w:r w:rsidR="00D0672B" w:rsidRPr="007B537E">
        <w:rPr>
          <w:sz w:val="22"/>
          <w:szCs w:val="22"/>
        </w:rPr>
        <w:t>be</w:t>
      </w:r>
      <w:r w:rsidR="00573BA7" w:rsidRPr="007B537E">
        <w:rPr>
          <w:sz w:val="22"/>
          <w:szCs w:val="22"/>
        </w:rPr>
        <w:t xml:space="preserve"> </w:t>
      </w:r>
      <w:r w:rsidR="00D0672B" w:rsidRPr="007B537E">
        <w:rPr>
          <w:sz w:val="22"/>
          <w:szCs w:val="22"/>
        </w:rPr>
        <w:t>accessible</w:t>
      </w:r>
      <w:r w:rsidR="00573BA7" w:rsidRPr="007B537E">
        <w:rPr>
          <w:sz w:val="22"/>
          <w:szCs w:val="22"/>
        </w:rPr>
        <w:t xml:space="preserve"> </w:t>
      </w:r>
      <w:r w:rsidR="00D0672B" w:rsidRPr="007B537E">
        <w:rPr>
          <w:sz w:val="22"/>
          <w:szCs w:val="22"/>
        </w:rPr>
        <w:t>through</w:t>
      </w:r>
      <w:r w:rsidR="00573BA7" w:rsidRPr="007B537E">
        <w:rPr>
          <w:sz w:val="22"/>
          <w:szCs w:val="22"/>
        </w:rPr>
        <w:t xml:space="preserve"> </w:t>
      </w:r>
      <w:r w:rsidR="00D0672B" w:rsidRPr="007B537E">
        <w:rPr>
          <w:sz w:val="22"/>
          <w:szCs w:val="22"/>
        </w:rPr>
        <w:t>sign</w:t>
      </w:r>
      <w:r w:rsidR="00573BA7" w:rsidRPr="007B537E">
        <w:rPr>
          <w:sz w:val="22"/>
          <w:szCs w:val="22"/>
        </w:rPr>
        <w:t xml:space="preserve"> </w:t>
      </w:r>
      <w:r w:rsidR="000663A7" w:rsidRPr="007B537E">
        <w:rPr>
          <w:sz w:val="22"/>
          <w:szCs w:val="22"/>
        </w:rPr>
        <w:t>language,</w:t>
      </w:r>
      <w:r w:rsidR="00573BA7" w:rsidRPr="007B537E">
        <w:rPr>
          <w:sz w:val="22"/>
          <w:szCs w:val="22"/>
        </w:rPr>
        <w:t xml:space="preserve"> </w:t>
      </w:r>
      <w:r w:rsidR="000663A7" w:rsidRPr="007B537E">
        <w:rPr>
          <w:sz w:val="22"/>
          <w:szCs w:val="22"/>
        </w:rPr>
        <w:t>Braille,</w:t>
      </w:r>
      <w:r w:rsidR="00573BA7" w:rsidRPr="007B537E">
        <w:rPr>
          <w:sz w:val="22"/>
          <w:szCs w:val="22"/>
        </w:rPr>
        <w:t xml:space="preserve"> </w:t>
      </w:r>
      <w:r w:rsidR="000663A7" w:rsidRPr="007B537E">
        <w:rPr>
          <w:sz w:val="22"/>
          <w:szCs w:val="22"/>
        </w:rPr>
        <w:t>accessible</w:t>
      </w:r>
      <w:r w:rsidR="00573BA7" w:rsidRPr="007B537E">
        <w:rPr>
          <w:sz w:val="22"/>
          <w:szCs w:val="22"/>
        </w:rPr>
        <w:t xml:space="preserve"> </w:t>
      </w:r>
      <w:r w:rsidR="000663A7" w:rsidRPr="007B537E">
        <w:rPr>
          <w:sz w:val="22"/>
          <w:szCs w:val="22"/>
        </w:rPr>
        <w:t>electronic</w:t>
      </w:r>
      <w:r w:rsidR="00573BA7" w:rsidRPr="007B537E">
        <w:rPr>
          <w:sz w:val="22"/>
          <w:szCs w:val="22"/>
        </w:rPr>
        <w:t xml:space="preserve"> </w:t>
      </w:r>
      <w:r w:rsidR="000663A7" w:rsidRPr="007B537E">
        <w:rPr>
          <w:sz w:val="22"/>
          <w:szCs w:val="22"/>
        </w:rPr>
        <w:t>formats,</w:t>
      </w:r>
      <w:r w:rsidR="00573BA7" w:rsidRPr="007B537E">
        <w:rPr>
          <w:sz w:val="22"/>
          <w:szCs w:val="22"/>
        </w:rPr>
        <w:t xml:space="preserve"> </w:t>
      </w:r>
      <w:r w:rsidR="000663A7" w:rsidRPr="007B537E">
        <w:rPr>
          <w:sz w:val="22"/>
          <w:szCs w:val="22"/>
        </w:rPr>
        <w:t>alternative</w:t>
      </w:r>
      <w:r w:rsidR="00573BA7" w:rsidRPr="007B537E">
        <w:rPr>
          <w:sz w:val="22"/>
          <w:szCs w:val="22"/>
        </w:rPr>
        <w:t xml:space="preserve"> </w:t>
      </w:r>
      <w:r w:rsidR="000663A7" w:rsidRPr="007B537E">
        <w:rPr>
          <w:sz w:val="22"/>
          <w:szCs w:val="22"/>
        </w:rPr>
        <w:t>script,</w:t>
      </w:r>
      <w:r w:rsidR="00573BA7" w:rsidRPr="007B537E">
        <w:rPr>
          <w:sz w:val="22"/>
          <w:szCs w:val="22"/>
        </w:rPr>
        <w:t xml:space="preserve"> </w:t>
      </w:r>
      <w:r w:rsidR="000663A7" w:rsidRPr="007B537E">
        <w:rPr>
          <w:sz w:val="22"/>
          <w:szCs w:val="22"/>
        </w:rPr>
        <w:t>and</w:t>
      </w:r>
      <w:r w:rsidR="00573BA7" w:rsidRPr="007B537E">
        <w:rPr>
          <w:sz w:val="22"/>
          <w:szCs w:val="22"/>
        </w:rPr>
        <w:t xml:space="preserve"> </w:t>
      </w:r>
      <w:r w:rsidR="000663A7" w:rsidRPr="007B537E">
        <w:rPr>
          <w:sz w:val="22"/>
          <w:szCs w:val="22"/>
        </w:rPr>
        <w:t>augmentative</w:t>
      </w:r>
      <w:r w:rsidR="00573BA7" w:rsidRPr="007B537E">
        <w:rPr>
          <w:sz w:val="22"/>
          <w:szCs w:val="22"/>
        </w:rPr>
        <w:t xml:space="preserve"> </w:t>
      </w:r>
      <w:r w:rsidR="000663A7" w:rsidRPr="007B537E">
        <w:rPr>
          <w:sz w:val="22"/>
          <w:szCs w:val="22"/>
        </w:rPr>
        <w:t>and</w:t>
      </w:r>
      <w:r w:rsidR="00573BA7" w:rsidRPr="007B537E">
        <w:rPr>
          <w:sz w:val="22"/>
          <w:szCs w:val="22"/>
        </w:rPr>
        <w:t xml:space="preserve"> </w:t>
      </w:r>
      <w:r w:rsidR="000663A7" w:rsidRPr="007B537E">
        <w:rPr>
          <w:sz w:val="22"/>
          <w:szCs w:val="22"/>
        </w:rPr>
        <w:t>alternative</w:t>
      </w:r>
      <w:r w:rsidR="00573BA7" w:rsidRPr="007B537E">
        <w:rPr>
          <w:sz w:val="22"/>
          <w:szCs w:val="22"/>
        </w:rPr>
        <w:t xml:space="preserve"> </w:t>
      </w:r>
      <w:r w:rsidR="000663A7" w:rsidRPr="007B537E">
        <w:rPr>
          <w:sz w:val="22"/>
          <w:szCs w:val="22"/>
        </w:rPr>
        <w:t>modes,</w:t>
      </w:r>
      <w:r w:rsidR="00573BA7" w:rsidRPr="007B537E">
        <w:rPr>
          <w:sz w:val="22"/>
          <w:szCs w:val="22"/>
        </w:rPr>
        <w:t xml:space="preserve"> </w:t>
      </w:r>
      <w:r w:rsidR="000663A7" w:rsidRPr="007B537E">
        <w:rPr>
          <w:sz w:val="22"/>
          <w:szCs w:val="22"/>
        </w:rPr>
        <w:t>means</w:t>
      </w:r>
      <w:r w:rsidR="00573BA7" w:rsidRPr="007B537E">
        <w:rPr>
          <w:sz w:val="22"/>
          <w:szCs w:val="22"/>
        </w:rPr>
        <w:t xml:space="preserve"> </w:t>
      </w:r>
      <w:r w:rsidR="000663A7" w:rsidRPr="007B537E">
        <w:rPr>
          <w:sz w:val="22"/>
          <w:szCs w:val="22"/>
        </w:rPr>
        <w:t>and</w:t>
      </w:r>
      <w:r w:rsidR="00573BA7" w:rsidRPr="007B537E">
        <w:rPr>
          <w:sz w:val="22"/>
          <w:szCs w:val="22"/>
        </w:rPr>
        <w:t xml:space="preserve"> </w:t>
      </w:r>
      <w:r w:rsidR="000663A7" w:rsidRPr="007B537E">
        <w:rPr>
          <w:sz w:val="22"/>
          <w:szCs w:val="22"/>
        </w:rPr>
        <w:t>formats</w:t>
      </w:r>
      <w:r w:rsidR="00573BA7" w:rsidRPr="007B537E">
        <w:rPr>
          <w:sz w:val="22"/>
          <w:szCs w:val="22"/>
        </w:rPr>
        <w:t xml:space="preserve"> </w:t>
      </w:r>
      <w:r w:rsidR="000663A7" w:rsidRPr="007B537E">
        <w:rPr>
          <w:sz w:val="22"/>
          <w:szCs w:val="22"/>
        </w:rPr>
        <w:t>of</w:t>
      </w:r>
      <w:r w:rsidR="00573BA7" w:rsidRPr="007B537E">
        <w:rPr>
          <w:sz w:val="22"/>
          <w:szCs w:val="22"/>
        </w:rPr>
        <w:t xml:space="preserve"> </w:t>
      </w:r>
      <w:r w:rsidR="000663A7" w:rsidRPr="007B537E">
        <w:rPr>
          <w:sz w:val="22"/>
          <w:szCs w:val="22"/>
        </w:rPr>
        <w:t>communication.</w:t>
      </w:r>
      <w:r w:rsidR="00573BA7" w:rsidRPr="007B537E">
        <w:rPr>
          <w:sz w:val="22"/>
          <w:szCs w:val="22"/>
        </w:rPr>
        <w:t xml:space="preserve">  </w:t>
      </w:r>
      <w:r w:rsidR="000663A7" w:rsidRPr="007B537E">
        <w:rPr>
          <w:sz w:val="22"/>
          <w:szCs w:val="22"/>
        </w:rPr>
        <w:t>A</w:t>
      </w:r>
      <w:r w:rsidR="002F5768" w:rsidRPr="007B537E">
        <w:rPr>
          <w:sz w:val="22"/>
          <w:szCs w:val="22"/>
        </w:rPr>
        <w:t>ll</w:t>
      </w:r>
      <w:r w:rsidR="00573BA7" w:rsidRPr="007B537E">
        <w:rPr>
          <w:sz w:val="22"/>
          <w:szCs w:val="22"/>
        </w:rPr>
        <w:t xml:space="preserve"> </w:t>
      </w:r>
      <w:r w:rsidR="002F5768" w:rsidRPr="007B537E">
        <w:rPr>
          <w:sz w:val="22"/>
          <w:szCs w:val="22"/>
        </w:rPr>
        <w:t>trade</w:t>
      </w:r>
      <w:r w:rsidR="00573BA7" w:rsidRPr="007B537E">
        <w:rPr>
          <w:sz w:val="22"/>
          <w:szCs w:val="22"/>
        </w:rPr>
        <w:t xml:space="preserve"> </w:t>
      </w:r>
      <w:r w:rsidR="002F5768" w:rsidRPr="007B537E">
        <w:rPr>
          <w:sz w:val="22"/>
          <w:szCs w:val="22"/>
        </w:rPr>
        <w:t>union</w:t>
      </w:r>
      <w:r w:rsidR="00573BA7" w:rsidRPr="007B537E">
        <w:rPr>
          <w:sz w:val="22"/>
          <w:szCs w:val="22"/>
        </w:rPr>
        <w:t xml:space="preserve"> </w:t>
      </w:r>
      <w:r w:rsidR="002F5768" w:rsidRPr="007B537E">
        <w:rPr>
          <w:sz w:val="22"/>
          <w:szCs w:val="22"/>
        </w:rPr>
        <w:t>and</w:t>
      </w:r>
      <w:r w:rsidR="00573BA7" w:rsidRPr="007B537E">
        <w:rPr>
          <w:sz w:val="22"/>
          <w:szCs w:val="22"/>
        </w:rPr>
        <w:t xml:space="preserve"> </w:t>
      </w:r>
      <w:r w:rsidR="002F5768" w:rsidRPr="007B537E">
        <w:rPr>
          <w:sz w:val="22"/>
          <w:szCs w:val="22"/>
        </w:rPr>
        <w:t>labour</w:t>
      </w:r>
      <w:r w:rsidR="00573BA7" w:rsidRPr="007B537E">
        <w:rPr>
          <w:sz w:val="22"/>
          <w:szCs w:val="22"/>
        </w:rPr>
        <w:t xml:space="preserve"> </w:t>
      </w:r>
      <w:r w:rsidR="002F5768" w:rsidRPr="007B537E">
        <w:rPr>
          <w:sz w:val="22"/>
          <w:szCs w:val="22"/>
        </w:rPr>
        <w:t>rights</w:t>
      </w:r>
      <w:r w:rsidR="00573BA7" w:rsidRPr="007B537E">
        <w:rPr>
          <w:sz w:val="22"/>
          <w:szCs w:val="22"/>
        </w:rPr>
        <w:t xml:space="preserve"> </w:t>
      </w:r>
      <w:r w:rsidR="002F5768" w:rsidRPr="007B537E">
        <w:rPr>
          <w:sz w:val="22"/>
          <w:szCs w:val="22"/>
        </w:rPr>
        <w:t>must</w:t>
      </w:r>
      <w:r w:rsidR="00573BA7" w:rsidRPr="007B537E">
        <w:rPr>
          <w:sz w:val="22"/>
          <w:szCs w:val="22"/>
        </w:rPr>
        <w:t xml:space="preserve"> </w:t>
      </w:r>
      <w:r w:rsidR="002F5768" w:rsidRPr="007B537E">
        <w:rPr>
          <w:sz w:val="22"/>
          <w:szCs w:val="22"/>
        </w:rPr>
        <w:t>also</w:t>
      </w:r>
      <w:r w:rsidR="00573BA7" w:rsidRPr="007B537E">
        <w:rPr>
          <w:sz w:val="22"/>
          <w:szCs w:val="22"/>
        </w:rPr>
        <w:t xml:space="preserve"> </w:t>
      </w:r>
      <w:r w:rsidR="002F5768" w:rsidRPr="007B537E">
        <w:rPr>
          <w:sz w:val="22"/>
          <w:szCs w:val="22"/>
        </w:rPr>
        <w:t>be</w:t>
      </w:r>
      <w:r w:rsidR="00573BA7" w:rsidRPr="007B537E">
        <w:rPr>
          <w:sz w:val="22"/>
          <w:szCs w:val="22"/>
        </w:rPr>
        <w:t xml:space="preserve"> </w:t>
      </w:r>
      <w:r w:rsidR="002F5768" w:rsidRPr="007B537E">
        <w:rPr>
          <w:sz w:val="22"/>
          <w:szCs w:val="22"/>
        </w:rPr>
        <w:t>accessible,</w:t>
      </w:r>
      <w:r w:rsidR="00573BA7" w:rsidRPr="007B537E">
        <w:rPr>
          <w:sz w:val="22"/>
          <w:szCs w:val="22"/>
        </w:rPr>
        <w:t xml:space="preserve"> </w:t>
      </w:r>
      <w:r w:rsidR="002F5768" w:rsidRPr="007B537E">
        <w:rPr>
          <w:sz w:val="22"/>
          <w:szCs w:val="22"/>
        </w:rPr>
        <w:t>as</w:t>
      </w:r>
      <w:r w:rsidR="00573BA7" w:rsidRPr="007B537E">
        <w:rPr>
          <w:sz w:val="22"/>
          <w:szCs w:val="22"/>
        </w:rPr>
        <w:t xml:space="preserve"> </w:t>
      </w:r>
      <w:r w:rsidR="002F5768" w:rsidRPr="007B537E">
        <w:rPr>
          <w:sz w:val="22"/>
          <w:szCs w:val="22"/>
        </w:rPr>
        <w:t>must</w:t>
      </w:r>
      <w:r w:rsidR="00573BA7" w:rsidRPr="007B537E">
        <w:rPr>
          <w:sz w:val="22"/>
          <w:szCs w:val="22"/>
        </w:rPr>
        <w:t xml:space="preserve"> </w:t>
      </w:r>
      <w:r w:rsidR="002F5768" w:rsidRPr="007B537E">
        <w:rPr>
          <w:sz w:val="22"/>
          <w:szCs w:val="22"/>
        </w:rPr>
        <w:t>training</w:t>
      </w:r>
      <w:r w:rsidR="00573BA7" w:rsidRPr="007B537E">
        <w:rPr>
          <w:sz w:val="22"/>
          <w:szCs w:val="22"/>
        </w:rPr>
        <w:t xml:space="preserve"> </w:t>
      </w:r>
      <w:r w:rsidR="002F5768" w:rsidRPr="007B537E">
        <w:rPr>
          <w:sz w:val="22"/>
          <w:szCs w:val="22"/>
        </w:rPr>
        <w:t>opportunities</w:t>
      </w:r>
      <w:r w:rsidR="00573BA7" w:rsidRPr="007B537E">
        <w:rPr>
          <w:sz w:val="22"/>
          <w:szCs w:val="22"/>
        </w:rPr>
        <w:t xml:space="preserve"> </w:t>
      </w:r>
      <w:r w:rsidR="002F5768" w:rsidRPr="007B537E">
        <w:rPr>
          <w:sz w:val="22"/>
          <w:szCs w:val="22"/>
        </w:rPr>
        <w:t>and</w:t>
      </w:r>
      <w:r w:rsidR="00573BA7" w:rsidRPr="007B537E">
        <w:rPr>
          <w:sz w:val="22"/>
          <w:szCs w:val="22"/>
        </w:rPr>
        <w:t xml:space="preserve"> </w:t>
      </w:r>
      <w:r w:rsidR="002F5768" w:rsidRPr="007B537E">
        <w:rPr>
          <w:sz w:val="22"/>
          <w:szCs w:val="22"/>
        </w:rPr>
        <w:t>job</w:t>
      </w:r>
      <w:r w:rsidR="00573BA7" w:rsidRPr="007B537E">
        <w:rPr>
          <w:sz w:val="22"/>
          <w:szCs w:val="22"/>
        </w:rPr>
        <w:t xml:space="preserve"> </w:t>
      </w:r>
      <w:r w:rsidR="002F5768" w:rsidRPr="007B537E">
        <w:rPr>
          <w:sz w:val="22"/>
          <w:szCs w:val="22"/>
        </w:rPr>
        <w:t>qualifications</w:t>
      </w:r>
      <w:r w:rsidR="00512B85">
        <w:rPr>
          <w:sz w:val="22"/>
          <w:szCs w:val="22"/>
        </w:rPr>
        <w:t xml:space="preserve"> </w:t>
      </w:r>
      <w:r w:rsidR="00F65903" w:rsidRPr="007B537E">
        <w:rPr>
          <w:sz w:val="22"/>
          <w:szCs w:val="22"/>
        </w:rPr>
        <w:t>..</w:t>
      </w:r>
      <w:r w:rsidRPr="007B537E">
        <w:rPr>
          <w:sz w:val="22"/>
          <w:szCs w:val="22"/>
        </w:rPr>
        <w:t>.</w:t>
      </w:r>
      <w:r w:rsidR="00573BA7" w:rsidRPr="007B537E">
        <w:rPr>
          <w:sz w:val="22"/>
          <w:szCs w:val="22"/>
        </w:rPr>
        <w:t xml:space="preserve"> </w:t>
      </w:r>
      <w:r w:rsidR="00512B85">
        <w:rPr>
          <w:sz w:val="22"/>
          <w:szCs w:val="22"/>
        </w:rPr>
        <w:t>.</w:t>
      </w:r>
      <w:r w:rsidR="00512B85" w:rsidRPr="004B255B">
        <w:rPr>
          <w:rStyle w:val="EndnoteReference"/>
        </w:rPr>
        <w:endnoteReference w:id="83"/>
      </w:r>
    </w:p>
    <w:p w14:paraId="1183678D" w14:textId="77777777" w:rsidR="0074346B" w:rsidRDefault="00573BA7" w:rsidP="00DA2A0A">
      <w:pPr>
        <w:pStyle w:val="ListParagraph"/>
        <w:numPr>
          <w:ilvl w:val="0"/>
          <w:numId w:val="58"/>
        </w:numPr>
      </w:pPr>
      <w:r>
        <w:t xml:space="preserve"> </w:t>
      </w:r>
      <w:r w:rsidR="00855E9E">
        <w:t>Article</w:t>
      </w:r>
      <w:r>
        <w:t xml:space="preserve"> </w:t>
      </w:r>
      <w:r w:rsidR="00855E9E">
        <w:t>9(1)</w:t>
      </w:r>
      <w:r>
        <w:t xml:space="preserve"> </w:t>
      </w:r>
      <w:r w:rsidR="00113E40">
        <w:t>of</w:t>
      </w:r>
      <w:r>
        <w:t xml:space="preserve"> </w:t>
      </w:r>
      <w:r w:rsidR="00113E40">
        <w:t>the</w:t>
      </w:r>
      <w:r>
        <w:t xml:space="preserve"> </w:t>
      </w:r>
      <w:r w:rsidR="00113E40">
        <w:t>CRPD</w:t>
      </w:r>
      <w:r>
        <w:t xml:space="preserve"> </w:t>
      </w:r>
      <w:r w:rsidR="00495293">
        <w:t>explicitly</w:t>
      </w:r>
      <w:r>
        <w:t xml:space="preserve"> </w:t>
      </w:r>
      <w:r w:rsidR="0061109F">
        <w:t>recognises</w:t>
      </w:r>
      <w:r>
        <w:t xml:space="preserve"> </w:t>
      </w:r>
      <w:r w:rsidR="00855E9E">
        <w:t>that</w:t>
      </w:r>
      <w:r>
        <w:t xml:space="preserve"> </w:t>
      </w:r>
      <w:r w:rsidR="00286DE3" w:rsidRPr="00D30D5B">
        <w:t>accessibility</w:t>
      </w:r>
      <w:r w:rsidRPr="00D30D5B">
        <w:t xml:space="preserve"> </w:t>
      </w:r>
      <w:r w:rsidR="00855E9E" w:rsidRPr="00D30D5B">
        <w:t>is</w:t>
      </w:r>
      <w:r w:rsidRPr="00D30D5B">
        <w:t xml:space="preserve"> </w:t>
      </w:r>
      <w:r w:rsidR="00855E9E" w:rsidRPr="00D30D5B">
        <w:t>intended</w:t>
      </w:r>
      <w:r w:rsidRPr="00D30D5B">
        <w:t xml:space="preserve"> </w:t>
      </w:r>
      <w:r w:rsidR="00855E9E" w:rsidRPr="00D30D5B">
        <w:t>to</w:t>
      </w:r>
      <w:r w:rsidRPr="00D30D5B">
        <w:t xml:space="preserve"> </w:t>
      </w:r>
      <w:r w:rsidR="00855E9E" w:rsidRPr="00D30D5B">
        <w:t>enable</w:t>
      </w:r>
      <w:r w:rsidRPr="00D30D5B">
        <w:t xml:space="preserve"> </w:t>
      </w:r>
      <w:r w:rsidR="007F5BA4" w:rsidRPr="00D30D5B">
        <w:t>people</w:t>
      </w:r>
      <w:r w:rsidRPr="00D30D5B">
        <w:t xml:space="preserve"> </w:t>
      </w:r>
      <w:r w:rsidR="007F5BA4" w:rsidRPr="00D30D5B">
        <w:t>with</w:t>
      </w:r>
      <w:r w:rsidRPr="00D30D5B">
        <w:t xml:space="preserve"> </w:t>
      </w:r>
      <w:r w:rsidR="007F5BA4" w:rsidRPr="00D30D5B">
        <w:t>disability</w:t>
      </w:r>
      <w:r w:rsidRPr="00D30D5B">
        <w:t xml:space="preserve"> </w:t>
      </w:r>
      <w:r w:rsidR="00855E9E" w:rsidRPr="00D30D5B">
        <w:t>to</w:t>
      </w:r>
      <w:r w:rsidRPr="00D30D5B">
        <w:t xml:space="preserve"> </w:t>
      </w:r>
      <w:r w:rsidR="00855E9E" w:rsidRPr="00D30D5B">
        <w:t>live</w:t>
      </w:r>
      <w:r w:rsidRPr="00D30D5B">
        <w:t xml:space="preserve"> </w:t>
      </w:r>
      <w:r w:rsidR="00855E9E" w:rsidRPr="00D30D5B">
        <w:t>independently</w:t>
      </w:r>
      <w:r w:rsidRPr="00D30D5B">
        <w:t xml:space="preserve"> </w:t>
      </w:r>
      <w:r w:rsidR="00855E9E" w:rsidRPr="00D30D5B">
        <w:t>and</w:t>
      </w:r>
      <w:r w:rsidRPr="00D30D5B">
        <w:t xml:space="preserve"> </w:t>
      </w:r>
      <w:r w:rsidR="00855E9E" w:rsidRPr="00D30D5B">
        <w:t>participate</w:t>
      </w:r>
      <w:r w:rsidRPr="00D30D5B">
        <w:t xml:space="preserve"> </w:t>
      </w:r>
      <w:r w:rsidR="00855E9E" w:rsidRPr="00D30D5B">
        <w:t>fully</w:t>
      </w:r>
      <w:r w:rsidRPr="00D30D5B">
        <w:t xml:space="preserve"> </w:t>
      </w:r>
      <w:r w:rsidR="00855E9E" w:rsidRPr="00D30D5B">
        <w:t>in</w:t>
      </w:r>
      <w:r w:rsidRPr="00D30D5B">
        <w:t xml:space="preserve"> </w:t>
      </w:r>
      <w:r w:rsidR="00855E9E" w:rsidRPr="00D30D5B">
        <w:t>all</w:t>
      </w:r>
      <w:r w:rsidRPr="00D30D5B">
        <w:t xml:space="preserve"> </w:t>
      </w:r>
      <w:r w:rsidR="00855E9E" w:rsidRPr="00D30D5B">
        <w:t>aspects</w:t>
      </w:r>
      <w:r w:rsidRPr="00D30D5B">
        <w:t xml:space="preserve"> </w:t>
      </w:r>
      <w:r w:rsidR="00855E9E" w:rsidRPr="00D30D5B">
        <w:t>of</w:t>
      </w:r>
      <w:r w:rsidRPr="00D30D5B">
        <w:t xml:space="preserve"> </w:t>
      </w:r>
      <w:r w:rsidR="00855E9E" w:rsidRPr="00D30D5B">
        <w:t>life,</w:t>
      </w:r>
      <w:r w:rsidRPr="00D30D5B">
        <w:t xml:space="preserve"> </w:t>
      </w:r>
      <w:r w:rsidR="00855E9E" w:rsidRPr="00D30D5B">
        <w:t>including</w:t>
      </w:r>
      <w:r w:rsidRPr="00D30D5B">
        <w:t xml:space="preserve"> </w:t>
      </w:r>
      <w:r w:rsidR="00855E9E" w:rsidRPr="00D30D5B">
        <w:t>employment.</w:t>
      </w:r>
      <w:r w:rsidRPr="00D30D5B">
        <w:t xml:space="preserve">  </w:t>
      </w:r>
    </w:p>
    <w:p w14:paraId="634E1E66" w14:textId="2DB846DD" w:rsidR="00672E8D" w:rsidRPr="00D30D5B" w:rsidRDefault="00195413" w:rsidP="00DA2A0A">
      <w:pPr>
        <w:pStyle w:val="ListParagraph"/>
        <w:numPr>
          <w:ilvl w:val="0"/>
          <w:numId w:val="58"/>
        </w:numPr>
      </w:pPr>
      <w:r w:rsidRPr="00D30D5B">
        <w:t>Article</w:t>
      </w:r>
      <w:r w:rsidR="00573BA7" w:rsidRPr="00D30D5B">
        <w:t xml:space="preserve"> </w:t>
      </w:r>
      <w:r w:rsidRPr="00D30D5B">
        <w:t>19</w:t>
      </w:r>
      <w:r w:rsidR="00573BA7" w:rsidRPr="00D30D5B">
        <w:t xml:space="preserve"> </w:t>
      </w:r>
      <w:r w:rsidR="004237F9" w:rsidRPr="00D30D5B">
        <w:t>recognises</w:t>
      </w:r>
      <w:r w:rsidR="00573BA7" w:rsidRPr="00D30D5B">
        <w:t xml:space="preserve"> </w:t>
      </w:r>
      <w:r w:rsidR="004237F9" w:rsidRPr="00D30D5B">
        <w:t>the</w:t>
      </w:r>
      <w:r w:rsidR="00573BA7" w:rsidRPr="00D30D5B">
        <w:t xml:space="preserve"> </w:t>
      </w:r>
      <w:r w:rsidR="004237F9" w:rsidRPr="00D30D5B">
        <w:t>equal</w:t>
      </w:r>
      <w:r w:rsidR="00573BA7" w:rsidRPr="00D30D5B">
        <w:t xml:space="preserve"> </w:t>
      </w:r>
      <w:r w:rsidR="004237F9" w:rsidRPr="00D30D5B">
        <w:t>right</w:t>
      </w:r>
      <w:r w:rsidR="00573BA7" w:rsidRPr="00D30D5B">
        <w:t xml:space="preserve"> </w:t>
      </w:r>
      <w:r w:rsidR="004237F9" w:rsidRPr="00D30D5B">
        <w:t>of</w:t>
      </w:r>
      <w:r w:rsidR="00573BA7" w:rsidRPr="00D30D5B">
        <w:t xml:space="preserve"> </w:t>
      </w:r>
      <w:r w:rsidR="004237F9" w:rsidRPr="00D30D5B">
        <w:t>all</w:t>
      </w:r>
      <w:r w:rsidR="00573BA7" w:rsidRPr="00D30D5B">
        <w:t xml:space="preserve"> </w:t>
      </w:r>
      <w:r w:rsidR="007F5BA4" w:rsidRPr="00D30D5B">
        <w:t>people</w:t>
      </w:r>
      <w:r w:rsidR="00573BA7" w:rsidRPr="00D30D5B">
        <w:t xml:space="preserve"> </w:t>
      </w:r>
      <w:r w:rsidR="007F5BA4" w:rsidRPr="00D30D5B">
        <w:t>with</w:t>
      </w:r>
      <w:r w:rsidR="00573BA7" w:rsidRPr="00D30D5B">
        <w:t xml:space="preserve"> </w:t>
      </w:r>
      <w:r w:rsidR="007F5BA4" w:rsidRPr="00D30D5B">
        <w:t>disability</w:t>
      </w:r>
      <w:r w:rsidR="00573BA7" w:rsidRPr="00D30D5B">
        <w:t xml:space="preserve"> </w:t>
      </w:r>
      <w:r w:rsidR="004237F9" w:rsidRPr="00D30D5B">
        <w:t>to</w:t>
      </w:r>
      <w:r w:rsidR="00573BA7" w:rsidRPr="00D30D5B">
        <w:t xml:space="preserve"> </w:t>
      </w:r>
      <w:r w:rsidR="004237F9" w:rsidRPr="00D30D5B">
        <w:t>live</w:t>
      </w:r>
      <w:r w:rsidR="00573BA7" w:rsidRPr="00D30D5B">
        <w:t xml:space="preserve"> </w:t>
      </w:r>
      <w:r w:rsidR="004237F9" w:rsidRPr="00D30D5B">
        <w:t>in</w:t>
      </w:r>
      <w:r w:rsidR="00573BA7" w:rsidRPr="00D30D5B">
        <w:t xml:space="preserve"> </w:t>
      </w:r>
      <w:r w:rsidR="004237F9" w:rsidRPr="00D30D5B">
        <w:t>the</w:t>
      </w:r>
      <w:r w:rsidR="00573BA7" w:rsidRPr="00D30D5B">
        <w:t xml:space="preserve"> </w:t>
      </w:r>
      <w:r w:rsidR="004237F9" w:rsidRPr="00D30D5B">
        <w:t>community,</w:t>
      </w:r>
      <w:r w:rsidR="00573BA7" w:rsidRPr="00D30D5B">
        <w:t xml:space="preserve"> </w:t>
      </w:r>
      <w:r w:rsidR="004237F9" w:rsidRPr="00D30D5B">
        <w:t>with</w:t>
      </w:r>
      <w:r w:rsidR="00573BA7" w:rsidRPr="00D30D5B">
        <w:t xml:space="preserve"> </w:t>
      </w:r>
      <w:r w:rsidR="004237F9" w:rsidRPr="00D30D5B">
        <w:t>choices</w:t>
      </w:r>
      <w:r w:rsidR="00573BA7" w:rsidRPr="00D30D5B">
        <w:t xml:space="preserve"> </w:t>
      </w:r>
      <w:r w:rsidR="004237F9" w:rsidRPr="00D30D5B">
        <w:t>equal</w:t>
      </w:r>
      <w:r w:rsidR="00573BA7" w:rsidRPr="00D30D5B">
        <w:t xml:space="preserve"> </w:t>
      </w:r>
      <w:r w:rsidR="004237F9" w:rsidRPr="00D30D5B">
        <w:t>to</w:t>
      </w:r>
      <w:r w:rsidR="00573BA7" w:rsidRPr="00D30D5B">
        <w:t xml:space="preserve"> </w:t>
      </w:r>
      <w:r w:rsidR="004237F9" w:rsidRPr="00D30D5B">
        <w:t>others</w:t>
      </w:r>
      <w:r w:rsidR="00596151" w:rsidRPr="00D30D5B">
        <w:t>.</w:t>
      </w:r>
      <w:r w:rsidR="00573BA7" w:rsidRPr="00D30D5B">
        <w:t xml:space="preserve">  </w:t>
      </w:r>
      <w:r w:rsidR="003333D6" w:rsidRPr="00D30D5B">
        <w:t>It</w:t>
      </w:r>
      <w:r w:rsidR="00573BA7" w:rsidRPr="00D30D5B">
        <w:t xml:space="preserve"> </w:t>
      </w:r>
      <w:r w:rsidR="003333D6" w:rsidRPr="00D30D5B">
        <w:t>imposes</w:t>
      </w:r>
      <w:r w:rsidR="00573BA7" w:rsidRPr="00D30D5B">
        <w:t xml:space="preserve"> </w:t>
      </w:r>
      <w:r w:rsidR="003333D6" w:rsidRPr="00D30D5B">
        <w:t>an</w:t>
      </w:r>
      <w:r w:rsidR="00573BA7" w:rsidRPr="00D30D5B">
        <w:t xml:space="preserve"> </w:t>
      </w:r>
      <w:r w:rsidR="003333D6" w:rsidRPr="00D30D5B">
        <w:t>obligation</w:t>
      </w:r>
      <w:r w:rsidR="00573BA7" w:rsidRPr="00D30D5B">
        <w:t xml:space="preserve"> </w:t>
      </w:r>
      <w:r w:rsidR="003333D6" w:rsidRPr="00D30D5B">
        <w:t>on</w:t>
      </w:r>
      <w:r w:rsidR="00573BA7" w:rsidRPr="00D30D5B">
        <w:t xml:space="preserve"> </w:t>
      </w:r>
      <w:r w:rsidR="003333D6" w:rsidRPr="00D30D5B">
        <w:t>Australia</w:t>
      </w:r>
      <w:r w:rsidR="00573BA7" w:rsidRPr="00D30D5B">
        <w:t xml:space="preserve"> </w:t>
      </w:r>
      <w:r w:rsidR="003333D6" w:rsidRPr="00D30D5B">
        <w:t>to</w:t>
      </w:r>
      <w:r w:rsidR="00573BA7" w:rsidRPr="00D30D5B">
        <w:t xml:space="preserve"> </w:t>
      </w:r>
      <w:r w:rsidR="00495293" w:rsidRPr="00D30D5B">
        <w:t>take</w:t>
      </w:r>
      <w:r w:rsidR="00573BA7" w:rsidRPr="00D30D5B">
        <w:t xml:space="preserve"> </w:t>
      </w:r>
      <w:r w:rsidR="00495293" w:rsidRPr="00D30D5B">
        <w:t>effective</w:t>
      </w:r>
      <w:r w:rsidR="00573BA7" w:rsidRPr="00D30D5B">
        <w:t xml:space="preserve"> </w:t>
      </w:r>
      <w:r w:rsidR="00495293" w:rsidRPr="00D30D5B">
        <w:t>and</w:t>
      </w:r>
      <w:r w:rsidR="00573BA7" w:rsidRPr="00D30D5B">
        <w:t xml:space="preserve"> </w:t>
      </w:r>
      <w:r w:rsidR="00495293" w:rsidRPr="00D30D5B">
        <w:t>appropriate</w:t>
      </w:r>
      <w:r w:rsidR="00573BA7" w:rsidRPr="00D30D5B">
        <w:t xml:space="preserve"> </w:t>
      </w:r>
      <w:r w:rsidR="00495293" w:rsidRPr="00D30D5B">
        <w:t>measures</w:t>
      </w:r>
      <w:r w:rsidR="00573BA7" w:rsidRPr="00D30D5B">
        <w:t xml:space="preserve"> </w:t>
      </w:r>
      <w:r w:rsidR="00495293" w:rsidRPr="00D30D5B">
        <w:t>to</w:t>
      </w:r>
      <w:r w:rsidR="00573BA7" w:rsidRPr="00D30D5B">
        <w:t xml:space="preserve"> </w:t>
      </w:r>
      <w:r w:rsidR="00495293" w:rsidRPr="00D30D5B">
        <w:t>facilitate</w:t>
      </w:r>
      <w:r w:rsidR="00573BA7" w:rsidRPr="00D30D5B">
        <w:t xml:space="preserve"> </w:t>
      </w:r>
      <w:r w:rsidR="00495293" w:rsidRPr="00D30D5B">
        <w:t>full</w:t>
      </w:r>
      <w:r w:rsidR="00573BA7" w:rsidRPr="00D30D5B">
        <w:t xml:space="preserve"> </w:t>
      </w:r>
      <w:r w:rsidR="00495293" w:rsidRPr="00D30D5B">
        <w:t>enjoyment</w:t>
      </w:r>
      <w:r w:rsidR="00573BA7" w:rsidRPr="00D30D5B">
        <w:t xml:space="preserve"> </w:t>
      </w:r>
      <w:r w:rsidR="00495293" w:rsidRPr="00D30D5B">
        <w:t>by</w:t>
      </w:r>
      <w:r w:rsidR="00573BA7" w:rsidRPr="00D30D5B">
        <w:t xml:space="preserve"> </w:t>
      </w:r>
      <w:r w:rsidR="007F5BA4" w:rsidRPr="00D30D5B">
        <w:t>people</w:t>
      </w:r>
      <w:r w:rsidR="00573BA7" w:rsidRPr="00D30D5B">
        <w:t xml:space="preserve"> </w:t>
      </w:r>
      <w:r w:rsidR="007F5BA4" w:rsidRPr="00D30D5B">
        <w:t>with</w:t>
      </w:r>
      <w:r w:rsidR="00573BA7" w:rsidRPr="00D30D5B">
        <w:t xml:space="preserve"> </w:t>
      </w:r>
      <w:r w:rsidR="007F5BA4" w:rsidRPr="00D30D5B">
        <w:t>disability</w:t>
      </w:r>
      <w:r w:rsidR="00573BA7" w:rsidRPr="00D30D5B">
        <w:t xml:space="preserve"> </w:t>
      </w:r>
      <w:r w:rsidR="00495293" w:rsidRPr="00D30D5B">
        <w:t>of</w:t>
      </w:r>
      <w:r w:rsidR="00573BA7" w:rsidRPr="00D30D5B">
        <w:t xml:space="preserve"> </w:t>
      </w:r>
      <w:r w:rsidR="00495293" w:rsidRPr="00D30D5B">
        <w:t>this</w:t>
      </w:r>
      <w:r w:rsidR="00573BA7" w:rsidRPr="00D30D5B">
        <w:t xml:space="preserve"> </w:t>
      </w:r>
      <w:r w:rsidR="00495293" w:rsidRPr="00D30D5B">
        <w:t>right</w:t>
      </w:r>
      <w:r w:rsidR="00573BA7" w:rsidRPr="00D30D5B">
        <w:t xml:space="preserve"> </w:t>
      </w:r>
      <w:r w:rsidR="00495293" w:rsidRPr="00D30D5B">
        <w:t>and</w:t>
      </w:r>
      <w:r w:rsidR="00573BA7" w:rsidRPr="00D30D5B">
        <w:t xml:space="preserve"> </w:t>
      </w:r>
      <w:r w:rsidR="00495293" w:rsidRPr="00D30D5B">
        <w:t>their</w:t>
      </w:r>
      <w:r w:rsidR="00573BA7" w:rsidRPr="00D30D5B">
        <w:t xml:space="preserve"> </w:t>
      </w:r>
      <w:r w:rsidR="00495293" w:rsidRPr="00D30D5B">
        <w:t>full</w:t>
      </w:r>
      <w:r w:rsidR="00573BA7" w:rsidRPr="00D30D5B">
        <w:t xml:space="preserve"> </w:t>
      </w:r>
      <w:r w:rsidR="00495293" w:rsidRPr="00D30D5B">
        <w:t>inclusion</w:t>
      </w:r>
      <w:r w:rsidR="00573BA7" w:rsidRPr="00D30D5B">
        <w:t xml:space="preserve"> </w:t>
      </w:r>
      <w:r w:rsidR="00495293" w:rsidRPr="00D30D5B">
        <w:t>and</w:t>
      </w:r>
      <w:r w:rsidR="00573BA7" w:rsidRPr="00D30D5B">
        <w:t xml:space="preserve"> </w:t>
      </w:r>
      <w:r w:rsidR="00495293" w:rsidRPr="00D30D5B">
        <w:t>participation</w:t>
      </w:r>
      <w:r w:rsidR="00573BA7" w:rsidRPr="00D30D5B">
        <w:t xml:space="preserve"> </w:t>
      </w:r>
      <w:r w:rsidR="00495293" w:rsidRPr="00D30D5B">
        <w:t>in</w:t>
      </w:r>
      <w:r w:rsidR="00573BA7" w:rsidRPr="00D30D5B">
        <w:t xml:space="preserve"> </w:t>
      </w:r>
      <w:r w:rsidR="00495293" w:rsidRPr="00D30D5B">
        <w:t>the</w:t>
      </w:r>
      <w:r w:rsidR="00573BA7" w:rsidRPr="00D30D5B">
        <w:t xml:space="preserve"> </w:t>
      </w:r>
      <w:r w:rsidR="00495293" w:rsidRPr="00D30D5B">
        <w:t>community.</w:t>
      </w:r>
      <w:r w:rsidR="00573BA7" w:rsidRPr="00D30D5B">
        <w:t xml:space="preserve">  </w:t>
      </w:r>
      <w:r w:rsidR="00495293" w:rsidRPr="00D30D5B">
        <w:t>That</w:t>
      </w:r>
      <w:r w:rsidR="00573BA7" w:rsidRPr="00D30D5B">
        <w:t xml:space="preserve"> </w:t>
      </w:r>
      <w:r w:rsidR="00495293" w:rsidRPr="00D30D5B">
        <w:t>obligation</w:t>
      </w:r>
      <w:r w:rsidR="00573BA7" w:rsidRPr="00D30D5B">
        <w:t xml:space="preserve"> </w:t>
      </w:r>
      <w:r w:rsidR="00495293" w:rsidRPr="00D30D5B">
        <w:t>includes</w:t>
      </w:r>
      <w:r w:rsidR="00573BA7" w:rsidRPr="00D30D5B">
        <w:t xml:space="preserve"> </w:t>
      </w:r>
      <w:r w:rsidR="00312638" w:rsidRPr="00D30D5B">
        <w:t>ensuring</w:t>
      </w:r>
      <w:r w:rsidR="00573BA7" w:rsidRPr="00D30D5B">
        <w:t xml:space="preserve"> </w:t>
      </w:r>
      <w:r w:rsidR="00312638" w:rsidRPr="00D30D5B">
        <w:t>that</w:t>
      </w:r>
      <w:r w:rsidR="00573BA7" w:rsidRPr="00D30D5B">
        <w:t xml:space="preserve"> </w:t>
      </w:r>
      <w:r w:rsidR="007F5BA4" w:rsidRPr="00D30D5B">
        <w:t>people</w:t>
      </w:r>
      <w:r w:rsidR="00573BA7" w:rsidRPr="00D30D5B">
        <w:t xml:space="preserve"> </w:t>
      </w:r>
      <w:r w:rsidR="007F5BA4" w:rsidRPr="00D30D5B">
        <w:t>with</w:t>
      </w:r>
      <w:r w:rsidR="00573BA7" w:rsidRPr="00D30D5B">
        <w:t xml:space="preserve"> </w:t>
      </w:r>
      <w:r w:rsidR="007F5BA4" w:rsidRPr="00D30D5B">
        <w:t>disability</w:t>
      </w:r>
      <w:r w:rsidR="00573BA7" w:rsidRPr="00D30D5B">
        <w:t xml:space="preserve"> </w:t>
      </w:r>
      <w:r w:rsidR="00634D10" w:rsidRPr="00D30D5B">
        <w:t>have</w:t>
      </w:r>
      <w:r w:rsidR="00573BA7" w:rsidRPr="00D30D5B">
        <w:t xml:space="preserve"> </w:t>
      </w:r>
      <w:r w:rsidR="00634D10" w:rsidRPr="00D30D5B">
        <w:t>ac</w:t>
      </w:r>
      <w:r w:rsidR="000E1C5F" w:rsidRPr="00D30D5B">
        <w:t>cess</w:t>
      </w:r>
      <w:r w:rsidR="00573BA7" w:rsidRPr="00D30D5B">
        <w:t xml:space="preserve"> </w:t>
      </w:r>
      <w:r w:rsidR="000E1C5F" w:rsidRPr="00D30D5B">
        <w:t>to</w:t>
      </w:r>
      <w:r w:rsidR="00573BA7" w:rsidRPr="00D30D5B">
        <w:t xml:space="preserve"> </w:t>
      </w:r>
      <w:r w:rsidR="000E1C5F" w:rsidRPr="00D30D5B">
        <w:t>a</w:t>
      </w:r>
      <w:r w:rsidR="00573BA7" w:rsidRPr="00D30D5B">
        <w:t xml:space="preserve"> </w:t>
      </w:r>
      <w:r w:rsidR="000E1C5F" w:rsidRPr="00D30D5B">
        <w:t>range</w:t>
      </w:r>
      <w:r w:rsidR="00573BA7" w:rsidRPr="00D30D5B">
        <w:t xml:space="preserve"> </w:t>
      </w:r>
      <w:r w:rsidR="000E1C5F" w:rsidRPr="00D30D5B">
        <w:t>of</w:t>
      </w:r>
      <w:r w:rsidR="00573BA7" w:rsidRPr="00D30D5B">
        <w:t xml:space="preserve"> </w:t>
      </w:r>
      <w:r w:rsidR="000E1C5F" w:rsidRPr="00D30D5B">
        <w:t>support</w:t>
      </w:r>
      <w:r w:rsidR="00573BA7" w:rsidRPr="00D30D5B">
        <w:t xml:space="preserve"> </w:t>
      </w:r>
      <w:r w:rsidR="00777930" w:rsidRPr="00D30D5B">
        <w:t>services,</w:t>
      </w:r>
      <w:r w:rsidR="00573BA7" w:rsidRPr="00D30D5B">
        <w:t xml:space="preserve"> </w:t>
      </w:r>
      <w:r w:rsidR="00777930" w:rsidRPr="00D30D5B">
        <w:t>including</w:t>
      </w:r>
      <w:r w:rsidR="00573BA7" w:rsidRPr="00D30D5B">
        <w:t xml:space="preserve"> </w:t>
      </w:r>
      <w:r w:rsidR="00777930" w:rsidRPr="00D30D5B">
        <w:t>personal</w:t>
      </w:r>
      <w:r w:rsidR="00573BA7" w:rsidRPr="00D30D5B">
        <w:t xml:space="preserve"> </w:t>
      </w:r>
      <w:r w:rsidR="00777930" w:rsidRPr="00D30D5B">
        <w:t>assistance</w:t>
      </w:r>
      <w:r w:rsidR="00573BA7" w:rsidRPr="00D30D5B">
        <w:t xml:space="preserve"> </w:t>
      </w:r>
      <w:r w:rsidR="00777930" w:rsidRPr="00D30D5B">
        <w:t>necessary</w:t>
      </w:r>
      <w:r w:rsidR="00573BA7" w:rsidRPr="00D30D5B">
        <w:t xml:space="preserve"> </w:t>
      </w:r>
      <w:r w:rsidR="00777930" w:rsidRPr="00D30D5B">
        <w:t>to</w:t>
      </w:r>
      <w:r w:rsidR="00573BA7" w:rsidRPr="00D30D5B">
        <w:t xml:space="preserve"> </w:t>
      </w:r>
      <w:r w:rsidR="00777930" w:rsidRPr="00D30D5B">
        <w:t>support</w:t>
      </w:r>
      <w:r w:rsidR="00573BA7" w:rsidRPr="00D30D5B">
        <w:t xml:space="preserve"> </w:t>
      </w:r>
      <w:r w:rsidR="00777930" w:rsidRPr="00D30D5B">
        <w:t>living</w:t>
      </w:r>
      <w:r w:rsidR="00573BA7" w:rsidRPr="00D30D5B">
        <w:t xml:space="preserve"> </w:t>
      </w:r>
      <w:r w:rsidR="00777930" w:rsidRPr="00D30D5B">
        <w:t>and</w:t>
      </w:r>
      <w:r w:rsidR="00573BA7" w:rsidRPr="00D30D5B">
        <w:t xml:space="preserve"> </w:t>
      </w:r>
      <w:r w:rsidR="00777930" w:rsidRPr="00D30D5B">
        <w:t>inclusion</w:t>
      </w:r>
      <w:r w:rsidR="00573BA7" w:rsidRPr="00D30D5B">
        <w:t xml:space="preserve"> </w:t>
      </w:r>
      <w:r w:rsidR="00777930" w:rsidRPr="00D30D5B">
        <w:t>in</w:t>
      </w:r>
      <w:r w:rsidR="00573BA7" w:rsidRPr="00D30D5B">
        <w:t xml:space="preserve"> </w:t>
      </w:r>
      <w:r w:rsidR="00777930" w:rsidRPr="00D30D5B">
        <w:t>the</w:t>
      </w:r>
      <w:r w:rsidR="00573BA7" w:rsidRPr="00D30D5B">
        <w:t xml:space="preserve"> </w:t>
      </w:r>
      <w:r w:rsidR="00777930" w:rsidRPr="00D30D5B">
        <w:t>community,</w:t>
      </w:r>
      <w:r w:rsidR="00573BA7" w:rsidRPr="00D30D5B">
        <w:t xml:space="preserve"> </w:t>
      </w:r>
      <w:r w:rsidR="00777930" w:rsidRPr="00D30D5B">
        <w:t>and</w:t>
      </w:r>
      <w:r w:rsidR="00573BA7" w:rsidRPr="00D30D5B">
        <w:t xml:space="preserve"> </w:t>
      </w:r>
      <w:r w:rsidR="00777930" w:rsidRPr="00D30D5B">
        <w:t>to</w:t>
      </w:r>
      <w:r w:rsidR="00573BA7" w:rsidRPr="00D30D5B">
        <w:t xml:space="preserve"> </w:t>
      </w:r>
      <w:r w:rsidR="00777930" w:rsidRPr="00D30D5B">
        <w:t>prevent</w:t>
      </w:r>
      <w:r w:rsidR="00573BA7" w:rsidRPr="00D30D5B">
        <w:t xml:space="preserve"> </w:t>
      </w:r>
      <w:r w:rsidR="00777930" w:rsidRPr="00D30D5B">
        <w:t>isolation</w:t>
      </w:r>
      <w:r w:rsidR="00573BA7" w:rsidRPr="00D30D5B">
        <w:t xml:space="preserve"> </w:t>
      </w:r>
      <w:r w:rsidR="00777930" w:rsidRPr="00D30D5B">
        <w:t>or</w:t>
      </w:r>
      <w:r w:rsidR="00573BA7" w:rsidRPr="00D30D5B">
        <w:t xml:space="preserve"> </w:t>
      </w:r>
      <w:r w:rsidR="00777930" w:rsidRPr="00D30D5B">
        <w:t>segregation</w:t>
      </w:r>
      <w:r w:rsidR="00573BA7" w:rsidRPr="00D30D5B">
        <w:t xml:space="preserve"> </w:t>
      </w:r>
      <w:r w:rsidR="00777930" w:rsidRPr="00D30D5B">
        <w:t>from</w:t>
      </w:r>
      <w:r w:rsidR="00573BA7" w:rsidRPr="00D30D5B">
        <w:t xml:space="preserve"> </w:t>
      </w:r>
      <w:r w:rsidR="00777930" w:rsidRPr="00D30D5B">
        <w:t>the</w:t>
      </w:r>
      <w:r w:rsidR="00573BA7" w:rsidRPr="00D30D5B">
        <w:t xml:space="preserve"> </w:t>
      </w:r>
      <w:r w:rsidR="00777930" w:rsidRPr="00D30D5B">
        <w:t>community.</w:t>
      </w:r>
      <w:r w:rsidR="00091A5D" w:rsidRPr="00D30D5B">
        <w:rPr>
          <w:rStyle w:val="EndnoteReference"/>
        </w:rPr>
        <w:endnoteReference w:id="84"/>
      </w:r>
      <w:r w:rsidR="00573BA7" w:rsidRPr="00D30D5B">
        <w:t xml:space="preserve">  </w:t>
      </w:r>
      <w:r w:rsidR="00865435" w:rsidRPr="00D30D5B">
        <w:t>Those</w:t>
      </w:r>
      <w:r w:rsidR="00573BA7" w:rsidRPr="00D30D5B">
        <w:t xml:space="preserve"> </w:t>
      </w:r>
      <w:r w:rsidR="00865435" w:rsidRPr="00D30D5B">
        <w:t>s</w:t>
      </w:r>
      <w:r w:rsidR="00070EDB" w:rsidRPr="00D30D5B">
        <w:t>upport</w:t>
      </w:r>
      <w:r w:rsidR="00573BA7" w:rsidRPr="00D30D5B">
        <w:t xml:space="preserve"> </w:t>
      </w:r>
      <w:r w:rsidR="00865435" w:rsidRPr="00D30D5B">
        <w:t>services</w:t>
      </w:r>
      <w:r w:rsidR="00573BA7" w:rsidRPr="00D30D5B">
        <w:t xml:space="preserve"> </w:t>
      </w:r>
      <w:r w:rsidR="00602EF5" w:rsidRPr="00D30D5B">
        <w:t>extend</w:t>
      </w:r>
      <w:r w:rsidR="00573BA7" w:rsidRPr="00D30D5B">
        <w:t xml:space="preserve"> </w:t>
      </w:r>
      <w:r w:rsidR="00602EF5" w:rsidRPr="00D30D5B">
        <w:t>to</w:t>
      </w:r>
      <w:r w:rsidR="00573BA7" w:rsidRPr="00D30D5B">
        <w:t xml:space="preserve"> </w:t>
      </w:r>
      <w:r w:rsidR="00602EF5" w:rsidRPr="00D30D5B">
        <w:t>the</w:t>
      </w:r>
      <w:r w:rsidR="00573BA7" w:rsidRPr="00D30D5B">
        <w:t xml:space="preserve"> </w:t>
      </w:r>
      <w:r w:rsidR="00602EF5" w:rsidRPr="00D30D5B">
        <w:t>employment</w:t>
      </w:r>
      <w:r w:rsidR="00573BA7" w:rsidRPr="00D30D5B">
        <w:t xml:space="preserve"> </w:t>
      </w:r>
      <w:r w:rsidR="00602EF5" w:rsidRPr="00D30D5B">
        <w:t>context.</w:t>
      </w:r>
      <w:r w:rsidR="00602EF5" w:rsidRPr="00D30D5B">
        <w:rPr>
          <w:rStyle w:val="EndnoteReference"/>
        </w:rPr>
        <w:endnoteReference w:id="85"/>
      </w:r>
      <w:r w:rsidR="00573BA7" w:rsidRPr="00D30D5B">
        <w:t xml:space="preserve"> </w:t>
      </w:r>
    </w:p>
    <w:p w14:paraId="77214550" w14:textId="5ED7C7AD" w:rsidR="00B51F0E" w:rsidRPr="00D30D5B" w:rsidRDefault="00573BA7" w:rsidP="00DA2A0A">
      <w:pPr>
        <w:pStyle w:val="ListParagraph"/>
        <w:numPr>
          <w:ilvl w:val="0"/>
          <w:numId w:val="58"/>
        </w:numPr>
        <w:rPr>
          <w:rStyle w:val="EndnoteReference"/>
          <w:sz w:val="24"/>
          <w:vertAlign w:val="baseline"/>
        </w:rPr>
      </w:pPr>
      <w:r>
        <w:t xml:space="preserve"> </w:t>
      </w:r>
      <w:r w:rsidR="00606C62">
        <w:t>The</w:t>
      </w:r>
      <w:r>
        <w:t xml:space="preserve"> </w:t>
      </w:r>
      <w:r w:rsidR="00606C62">
        <w:t>CRPD</w:t>
      </w:r>
      <w:r>
        <w:t xml:space="preserve"> </w:t>
      </w:r>
      <w:r w:rsidR="00606C62">
        <w:t>Committee</w:t>
      </w:r>
      <w:r>
        <w:t xml:space="preserve"> </w:t>
      </w:r>
      <w:r w:rsidR="00606C62">
        <w:t>has</w:t>
      </w:r>
      <w:r>
        <w:t xml:space="preserve"> </w:t>
      </w:r>
      <w:r w:rsidR="001A6631">
        <w:t>commented</w:t>
      </w:r>
      <w:r>
        <w:t xml:space="preserve"> </w:t>
      </w:r>
      <w:r w:rsidR="001A6631">
        <w:t>that</w:t>
      </w:r>
      <w:r>
        <w:t xml:space="preserve"> </w:t>
      </w:r>
      <w:r w:rsidR="00803072">
        <w:t>‘</w:t>
      </w:r>
      <w:r w:rsidR="00803072" w:rsidRPr="0045606C">
        <w:t>[t]</w:t>
      </w:r>
      <w:r w:rsidR="001A6631" w:rsidRPr="00803072">
        <w:t>he</w:t>
      </w:r>
      <w:r>
        <w:t xml:space="preserve"> </w:t>
      </w:r>
      <w:r w:rsidR="001A6631" w:rsidRPr="00803072">
        <w:t>existence</w:t>
      </w:r>
      <w:r>
        <w:t xml:space="preserve"> </w:t>
      </w:r>
      <w:r w:rsidR="001A6631" w:rsidRPr="00803072">
        <w:t>of</w:t>
      </w:r>
      <w:r>
        <w:t xml:space="preserve"> </w:t>
      </w:r>
      <w:r w:rsidR="001A6631" w:rsidRPr="00803072">
        <w:t>individualized</w:t>
      </w:r>
      <w:r>
        <w:t xml:space="preserve"> </w:t>
      </w:r>
      <w:r w:rsidR="001A6631" w:rsidRPr="00803072">
        <w:t>support</w:t>
      </w:r>
      <w:r>
        <w:t xml:space="preserve"> </w:t>
      </w:r>
      <w:r w:rsidR="001A6631" w:rsidRPr="00803072">
        <w:t>services,</w:t>
      </w:r>
      <w:r>
        <w:t xml:space="preserve"> </w:t>
      </w:r>
      <w:r w:rsidR="001A6631" w:rsidRPr="00803072">
        <w:t>including</w:t>
      </w:r>
      <w:r>
        <w:t xml:space="preserve"> </w:t>
      </w:r>
      <w:r w:rsidR="001A6631" w:rsidRPr="00803072">
        <w:t>personal</w:t>
      </w:r>
      <w:r>
        <w:t xml:space="preserve"> </w:t>
      </w:r>
      <w:r w:rsidR="001A6631" w:rsidRPr="00803072">
        <w:t>a</w:t>
      </w:r>
      <w:r w:rsidR="001A6631" w:rsidRPr="0045606C">
        <w:t>ssistance,</w:t>
      </w:r>
      <w:r>
        <w:t xml:space="preserve"> </w:t>
      </w:r>
      <w:r w:rsidR="001A6631" w:rsidRPr="0045606C">
        <w:t>often</w:t>
      </w:r>
      <w:r>
        <w:t xml:space="preserve"> </w:t>
      </w:r>
      <w:r w:rsidR="001A6631" w:rsidRPr="0045606C">
        <w:t>is</w:t>
      </w:r>
      <w:r>
        <w:t xml:space="preserve"> </w:t>
      </w:r>
      <w:r w:rsidR="001A6631" w:rsidRPr="0045606C">
        <w:t>a</w:t>
      </w:r>
      <w:r>
        <w:t xml:space="preserve"> </w:t>
      </w:r>
      <w:r w:rsidR="001A6631" w:rsidRPr="0045606C">
        <w:t>precondition</w:t>
      </w:r>
      <w:r>
        <w:t xml:space="preserve"> </w:t>
      </w:r>
      <w:r w:rsidR="001A6631" w:rsidRPr="0045606C">
        <w:t>for</w:t>
      </w:r>
      <w:r>
        <w:t xml:space="preserve"> </w:t>
      </w:r>
      <w:r w:rsidR="001A6631" w:rsidRPr="0045606C">
        <w:t>effective</w:t>
      </w:r>
      <w:r>
        <w:t xml:space="preserve"> </w:t>
      </w:r>
      <w:r w:rsidR="001A6631" w:rsidRPr="0045606C">
        <w:t>e</w:t>
      </w:r>
      <w:r w:rsidR="0081097C" w:rsidRPr="0045606C">
        <w:t>njoyment</w:t>
      </w:r>
      <w:r>
        <w:t xml:space="preserve"> </w:t>
      </w:r>
      <w:r w:rsidR="0081097C" w:rsidRPr="0045606C">
        <w:t>of</w:t>
      </w:r>
      <w:r>
        <w:t xml:space="preserve"> </w:t>
      </w:r>
      <w:r w:rsidR="0081097C" w:rsidRPr="0045606C">
        <w:t>the</w:t>
      </w:r>
      <w:r>
        <w:t xml:space="preserve"> </w:t>
      </w:r>
      <w:r w:rsidR="0081097C" w:rsidRPr="0045606C">
        <w:t>right</w:t>
      </w:r>
      <w:r>
        <w:t xml:space="preserve"> </w:t>
      </w:r>
      <w:r w:rsidR="0081097C" w:rsidRPr="0045606C">
        <w:t>to</w:t>
      </w:r>
      <w:r>
        <w:t xml:space="preserve"> </w:t>
      </w:r>
      <w:r w:rsidR="0081097C" w:rsidRPr="0045606C">
        <w:t>work</w:t>
      </w:r>
      <w:r>
        <w:t xml:space="preserve"> </w:t>
      </w:r>
      <w:r w:rsidR="0081097C" w:rsidRPr="0045606C">
        <w:t>and</w:t>
      </w:r>
      <w:r>
        <w:t xml:space="preserve"> </w:t>
      </w:r>
      <w:r w:rsidR="0081097C" w:rsidRPr="0045606C">
        <w:t>employment</w:t>
      </w:r>
      <w:r w:rsidR="009F42F2">
        <w:t>’.</w:t>
      </w:r>
      <w:r w:rsidR="0045606C" w:rsidRPr="0045606C">
        <w:rPr>
          <w:rStyle w:val="EndnoteReference"/>
        </w:rPr>
        <w:endnoteReference w:id="86"/>
      </w:r>
      <w:r>
        <w:t xml:space="preserve">  </w:t>
      </w:r>
      <w:r w:rsidR="00F05AEB">
        <w:t>It</w:t>
      </w:r>
      <w:r>
        <w:t xml:space="preserve"> </w:t>
      </w:r>
      <w:r w:rsidR="00F05AEB">
        <w:t>has</w:t>
      </w:r>
      <w:r>
        <w:t xml:space="preserve"> </w:t>
      </w:r>
      <w:r w:rsidR="00F05AEB">
        <w:t>also</w:t>
      </w:r>
      <w:r>
        <w:t xml:space="preserve"> </w:t>
      </w:r>
      <w:r w:rsidR="0045606C">
        <w:t>recognised</w:t>
      </w:r>
      <w:r>
        <w:t xml:space="preserve"> </w:t>
      </w:r>
      <w:r w:rsidR="0045606C">
        <w:t>that</w:t>
      </w:r>
      <w:r>
        <w:t xml:space="preserve"> </w:t>
      </w:r>
      <w:r w:rsidR="0045606C">
        <w:t>‘</w:t>
      </w:r>
      <w:r w:rsidR="007F5BA4">
        <w:t>people</w:t>
      </w:r>
      <w:r>
        <w:t xml:space="preserve"> </w:t>
      </w:r>
      <w:r w:rsidR="007F5BA4">
        <w:t>with</w:t>
      </w:r>
      <w:r>
        <w:t xml:space="preserve"> </w:t>
      </w:r>
      <w:r w:rsidR="007F5BA4">
        <w:t>disability</w:t>
      </w:r>
      <w:r>
        <w:t xml:space="preserve"> </w:t>
      </w:r>
      <w:r w:rsidR="004407E6">
        <w:t>should</w:t>
      </w:r>
      <w:r>
        <w:t xml:space="preserve"> </w:t>
      </w:r>
      <w:r w:rsidR="004407E6">
        <w:t>also</w:t>
      </w:r>
      <w:r>
        <w:t xml:space="preserve"> </w:t>
      </w:r>
      <w:r w:rsidR="004407E6">
        <w:t>become</w:t>
      </w:r>
      <w:r>
        <w:t xml:space="preserve"> </w:t>
      </w:r>
      <w:r w:rsidR="004407E6">
        <w:t>employers,</w:t>
      </w:r>
      <w:r>
        <w:t xml:space="preserve"> </w:t>
      </w:r>
      <w:r w:rsidR="004407E6">
        <w:t>managers</w:t>
      </w:r>
      <w:r>
        <w:t xml:space="preserve"> </w:t>
      </w:r>
      <w:r w:rsidR="004407E6">
        <w:t>or</w:t>
      </w:r>
      <w:r>
        <w:t xml:space="preserve"> </w:t>
      </w:r>
      <w:r w:rsidR="004407E6">
        <w:t>trainers</w:t>
      </w:r>
      <w:r>
        <w:t xml:space="preserve"> </w:t>
      </w:r>
      <w:r w:rsidR="004407E6">
        <w:t>in</w:t>
      </w:r>
      <w:r>
        <w:t xml:space="preserve"> </w:t>
      </w:r>
      <w:r w:rsidR="004407E6">
        <w:t>disability-specific</w:t>
      </w:r>
      <w:r>
        <w:t xml:space="preserve"> </w:t>
      </w:r>
      <w:r w:rsidR="004407E6">
        <w:t>support</w:t>
      </w:r>
      <w:r>
        <w:t xml:space="preserve"> </w:t>
      </w:r>
      <w:r w:rsidR="004407E6">
        <w:t>services’,</w:t>
      </w:r>
      <w:r>
        <w:t xml:space="preserve"> </w:t>
      </w:r>
      <w:r w:rsidR="004407E6">
        <w:t>and</w:t>
      </w:r>
      <w:r>
        <w:t xml:space="preserve"> </w:t>
      </w:r>
      <w:r w:rsidR="004407E6">
        <w:t>thus,</w:t>
      </w:r>
      <w:r>
        <w:t xml:space="preserve"> </w:t>
      </w:r>
      <w:r w:rsidR="00B20A23">
        <w:t>implementing</w:t>
      </w:r>
      <w:r>
        <w:t xml:space="preserve"> </w:t>
      </w:r>
      <w:r w:rsidR="00B20A23">
        <w:t>Article</w:t>
      </w:r>
      <w:r>
        <w:t xml:space="preserve"> </w:t>
      </w:r>
      <w:r w:rsidR="00B20A23" w:rsidRPr="00D30D5B">
        <w:t>19</w:t>
      </w:r>
      <w:r w:rsidRPr="00D30D5B">
        <w:t xml:space="preserve"> </w:t>
      </w:r>
      <w:r w:rsidR="00B20A23" w:rsidRPr="00D30D5B">
        <w:t>will</w:t>
      </w:r>
      <w:r w:rsidRPr="00D30D5B">
        <w:t xml:space="preserve"> </w:t>
      </w:r>
      <w:r w:rsidR="00B20A23" w:rsidRPr="00D30D5B">
        <w:t>‘help</w:t>
      </w:r>
      <w:r w:rsidRPr="00D30D5B">
        <w:t xml:space="preserve"> </w:t>
      </w:r>
      <w:r w:rsidR="00B20A23" w:rsidRPr="00D30D5B">
        <w:t>to</w:t>
      </w:r>
      <w:r w:rsidRPr="00D30D5B">
        <w:t xml:space="preserve"> </w:t>
      </w:r>
      <w:r w:rsidR="00B20A23" w:rsidRPr="00D30D5B">
        <w:t>phase</w:t>
      </w:r>
      <w:r w:rsidRPr="00D30D5B">
        <w:t xml:space="preserve"> </w:t>
      </w:r>
      <w:r w:rsidR="00B20A23" w:rsidRPr="00D30D5B">
        <w:t>out</w:t>
      </w:r>
      <w:r w:rsidRPr="00D30D5B">
        <w:t xml:space="preserve"> </w:t>
      </w:r>
      <w:r w:rsidR="00B20A23" w:rsidRPr="00D30D5B">
        <w:t>sheltered</w:t>
      </w:r>
      <w:r w:rsidRPr="00D30D5B">
        <w:t xml:space="preserve"> </w:t>
      </w:r>
      <w:r w:rsidR="00B20A23" w:rsidRPr="00D30D5B">
        <w:t>employment’</w:t>
      </w:r>
      <w:r w:rsidR="008370FF" w:rsidRPr="00D30D5B">
        <w:t>,</w:t>
      </w:r>
      <w:r w:rsidRPr="00D30D5B">
        <w:t xml:space="preserve"> </w:t>
      </w:r>
      <w:r w:rsidR="008370FF" w:rsidRPr="00D30D5B">
        <w:t>like</w:t>
      </w:r>
      <w:r w:rsidRPr="00D30D5B">
        <w:t xml:space="preserve"> </w:t>
      </w:r>
      <w:r w:rsidR="008370FF" w:rsidRPr="00D30D5B">
        <w:t>ADEs</w:t>
      </w:r>
      <w:r w:rsidR="007E12BD" w:rsidRPr="00D30D5B">
        <w:t>.</w:t>
      </w:r>
      <w:r w:rsidR="00DC1927" w:rsidRPr="00D30D5B">
        <w:rPr>
          <w:rStyle w:val="EndnoteReference"/>
        </w:rPr>
        <w:endnoteReference w:id="87"/>
      </w:r>
    </w:p>
    <w:p w14:paraId="11DE6588" w14:textId="14B32393" w:rsidR="002C3B08" w:rsidRPr="00D30D5B" w:rsidRDefault="00573BA7" w:rsidP="00DA2A0A">
      <w:pPr>
        <w:pStyle w:val="ListParagraph"/>
        <w:numPr>
          <w:ilvl w:val="0"/>
          <w:numId w:val="58"/>
        </w:numPr>
      </w:pPr>
      <w:r w:rsidRPr="00D30D5B">
        <w:lastRenderedPageBreak/>
        <w:t xml:space="preserve"> </w:t>
      </w:r>
      <w:r w:rsidR="00D766B4" w:rsidRPr="00D30D5B">
        <w:t>Additionally</w:t>
      </w:r>
      <w:r w:rsidR="00451FE8" w:rsidRPr="00D30D5B">
        <w:t>,</w:t>
      </w:r>
      <w:r w:rsidRPr="00D30D5B">
        <w:t xml:space="preserve"> </w:t>
      </w:r>
      <w:r w:rsidR="00962F22" w:rsidRPr="00D30D5B">
        <w:t>the</w:t>
      </w:r>
      <w:r w:rsidRPr="00D30D5B">
        <w:t xml:space="preserve"> </w:t>
      </w:r>
      <w:r w:rsidR="00962F22" w:rsidRPr="00D30D5B">
        <w:t>CRPD</w:t>
      </w:r>
      <w:r w:rsidRPr="00D30D5B">
        <w:t xml:space="preserve"> </w:t>
      </w:r>
      <w:r w:rsidR="00962F22" w:rsidRPr="00D30D5B">
        <w:t>recognises</w:t>
      </w:r>
      <w:r w:rsidRPr="00D30D5B">
        <w:t xml:space="preserve"> </w:t>
      </w:r>
      <w:r w:rsidR="00962F22" w:rsidRPr="00D30D5B">
        <w:t>the</w:t>
      </w:r>
      <w:r w:rsidRPr="00D30D5B">
        <w:t xml:space="preserve"> </w:t>
      </w:r>
      <w:r w:rsidR="00962F22" w:rsidRPr="00D30D5B">
        <w:t>role</w:t>
      </w:r>
      <w:r w:rsidRPr="00D30D5B">
        <w:t xml:space="preserve"> </w:t>
      </w:r>
      <w:r w:rsidR="00962F22" w:rsidRPr="00D30D5B">
        <w:t>of</w:t>
      </w:r>
      <w:r w:rsidRPr="00D30D5B">
        <w:t xml:space="preserve"> </w:t>
      </w:r>
      <w:r w:rsidR="00962F22" w:rsidRPr="00D30D5B">
        <w:t>habilitation</w:t>
      </w:r>
      <w:r w:rsidRPr="00D30D5B">
        <w:t xml:space="preserve"> </w:t>
      </w:r>
      <w:r w:rsidR="00962F22" w:rsidRPr="00D30D5B">
        <w:t>and</w:t>
      </w:r>
      <w:r w:rsidRPr="00D30D5B">
        <w:t xml:space="preserve"> </w:t>
      </w:r>
      <w:r w:rsidR="00962F22" w:rsidRPr="00D30D5B">
        <w:t>rehabilitation</w:t>
      </w:r>
      <w:r w:rsidR="0003224A" w:rsidRPr="00D30D5B">
        <w:rPr>
          <w:rStyle w:val="EndnoteReference"/>
        </w:rPr>
        <w:endnoteReference w:id="88"/>
      </w:r>
      <w:r w:rsidRPr="00D30D5B">
        <w:t xml:space="preserve">  </w:t>
      </w:r>
      <w:r w:rsidR="00962F22" w:rsidRPr="00D30D5B">
        <w:t>in</w:t>
      </w:r>
      <w:r w:rsidRPr="00D30D5B">
        <w:t xml:space="preserve"> </w:t>
      </w:r>
      <w:r w:rsidR="00962F22" w:rsidRPr="00D30D5B">
        <w:t>enabling</w:t>
      </w:r>
      <w:r w:rsidRPr="00D30D5B">
        <w:t xml:space="preserve"> </w:t>
      </w:r>
      <w:r w:rsidR="007F5BA4" w:rsidRPr="00D30D5B">
        <w:t>people</w:t>
      </w:r>
      <w:r w:rsidRPr="00D30D5B">
        <w:t xml:space="preserve"> </w:t>
      </w:r>
      <w:r w:rsidR="007F5BA4" w:rsidRPr="00D30D5B">
        <w:t>with</w:t>
      </w:r>
      <w:r w:rsidRPr="00D30D5B">
        <w:t xml:space="preserve"> </w:t>
      </w:r>
      <w:r w:rsidR="007F5BA4" w:rsidRPr="00D30D5B">
        <w:t>disability</w:t>
      </w:r>
      <w:r w:rsidRPr="00D30D5B">
        <w:t xml:space="preserve"> </w:t>
      </w:r>
      <w:r w:rsidR="00962F22" w:rsidRPr="00D30D5B">
        <w:t>to</w:t>
      </w:r>
      <w:r w:rsidRPr="00D30D5B">
        <w:t xml:space="preserve"> </w:t>
      </w:r>
      <w:r w:rsidR="00962F22" w:rsidRPr="00D30D5B">
        <w:t>attain</w:t>
      </w:r>
      <w:r w:rsidRPr="00D30D5B">
        <w:t xml:space="preserve"> </w:t>
      </w:r>
      <w:r w:rsidR="00962F22" w:rsidRPr="00D30D5B">
        <w:t>and</w:t>
      </w:r>
      <w:r w:rsidRPr="00D30D5B">
        <w:t xml:space="preserve"> </w:t>
      </w:r>
      <w:r w:rsidR="00962F22" w:rsidRPr="00D30D5B">
        <w:t>maintain</w:t>
      </w:r>
      <w:r w:rsidRPr="00D30D5B">
        <w:t xml:space="preserve"> </w:t>
      </w:r>
      <w:r w:rsidR="00962F22" w:rsidRPr="00D30D5B">
        <w:t>maximum</w:t>
      </w:r>
      <w:r w:rsidRPr="00D30D5B">
        <w:t xml:space="preserve"> </w:t>
      </w:r>
      <w:r w:rsidR="00962F22" w:rsidRPr="00D30D5B">
        <w:t>independence,</w:t>
      </w:r>
      <w:r w:rsidRPr="00D30D5B">
        <w:t xml:space="preserve"> </w:t>
      </w:r>
      <w:r w:rsidR="00962F22" w:rsidRPr="00D30D5B">
        <w:t>full</w:t>
      </w:r>
      <w:r w:rsidRPr="00D30D5B">
        <w:t xml:space="preserve"> </w:t>
      </w:r>
      <w:r w:rsidR="00962F22" w:rsidRPr="00D30D5B">
        <w:t>physical,</w:t>
      </w:r>
      <w:r w:rsidRPr="00D30D5B">
        <w:t xml:space="preserve"> </w:t>
      </w:r>
      <w:r w:rsidR="00962F22" w:rsidRPr="00D30D5B">
        <w:t>mental,</w:t>
      </w:r>
      <w:r w:rsidRPr="00D30D5B">
        <w:t xml:space="preserve"> </w:t>
      </w:r>
      <w:r w:rsidR="00962F22" w:rsidRPr="00D30D5B">
        <w:t>social</w:t>
      </w:r>
      <w:r w:rsidRPr="00D30D5B">
        <w:t xml:space="preserve"> </w:t>
      </w:r>
      <w:r w:rsidR="00962F22" w:rsidRPr="00D30D5B">
        <w:t>and</w:t>
      </w:r>
      <w:r w:rsidRPr="00D30D5B">
        <w:t xml:space="preserve"> </w:t>
      </w:r>
      <w:r w:rsidR="00962F22" w:rsidRPr="00D30D5B">
        <w:t>vocational</w:t>
      </w:r>
      <w:r w:rsidRPr="00D30D5B">
        <w:t xml:space="preserve"> </w:t>
      </w:r>
      <w:r w:rsidR="00962F22" w:rsidRPr="00D30D5B">
        <w:t>ability,</w:t>
      </w:r>
      <w:r w:rsidRPr="00D30D5B">
        <w:t xml:space="preserve"> </w:t>
      </w:r>
      <w:r w:rsidR="00962F22" w:rsidRPr="00D30D5B">
        <w:t>and</w:t>
      </w:r>
      <w:r w:rsidRPr="00D30D5B">
        <w:t xml:space="preserve"> </w:t>
      </w:r>
      <w:r w:rsidR="00962F22" w:rsidRPr="00D30D5B">
        <w:t>full</w:t>
      </w:r>
      <w:r w:rsidRPr="00D30D5B">
        <w:t xml:space="preserve"> </w:t>
      </w:r>
      <w:r w:rsidR="00962F22" w:rsidRPr="00D30D5B">
        <w:t>inclusion</w:t>
      </w:r>
      <w:r w:rsidRPr="00D30D5B">
        <w:t xml:space="preserve"> </w:t>
      </w:r>
      <w:r w:rsidR="00962F22" w:rsidRPr="00D30D5B">
        <w:t>and</w:t>
      </w:r>
      <w:r w:rsidRPr="00D30D5B">
        <w:t xml:space="preserve"> </w:t>
      </w:r>
      <w:r w:rsidR="00962F22" w:rsidRPr="00D30D5B">
        <w:t>participation</w:t>
      </w:r>
      <w:r w:rsidRPr="00D30D5B">
        <w:t xml:space="preserve"> </w:t>
      </w:r>
      <w:r w:rsidR="00962F22" w:rsidRPr="00D30D5B">
        <w:t>in</w:t>
      </w:r>
      <w:r w:rsidRPr="00D30D5B">
        <w:t xml:space="preserve"> </w:t>
      </w:r>
      <w:r w:rsidR="00962F22" w:rsidRPr="00D30D5B">
        <w:t>all</w:t>
      </w:r>
      <w:r w:rsidRPr="00D30D5B">
        <w:t xml:space="preserve"> </w:t>
      </w:r>
      <w:r w:rsidR="00962F22" w:rsidRPr="00D30D5B">
        <w:t>aspects</w:t>
      </w:r>
      <w:r w:rsidRPr="00D30D5B">
        <w:t xml:space="preserve"> </w:t>
      </w:r>
      <w:r w:rsidR="00962F22" w:rsidRPr="00D30D5B">
        <w:t>of</w:t>
      </w:r>
      <w:r w:rsidRPr="00D30D5B">
        <w:t xml:space="preserve"> </w:t>
      </w:r>
      <w:r w:rsidR="00962F22" w:rsidRPr="00D30D5B">
        <w:t>life.</w:t>
      </w:r>
      <w:r w:rsidRPr="00D30D5B">
        <w:t xml:space="preserve">  </w:t>
      </w:r>
      <w:r w:rsidR="00D766B4" w:rsidRPr="00D30D5B">
        <w:t>Article</w:t>
      </w:r>
      <w:r w:rsidRPr="00D30D5B">
        <w:t xml:space="preserve"> </w:t>
      </w:r>
      <w:r w:rsidR="00D766B4" w:rsidRPr="00D30D5B">
        <w:t>26(1)</w:t>
      </w:r>
      <w:r w:rsidRPr="00D30D5B">
        <w:t xml:space="preserve"> </w:t>
      </w:r>
      <w:r w:rsidR="00D766B4" w:rsidRPr="00D30D5B">
        <w:t>of</w:t>
      </w:r>
      <w:r w:rsidRPr="00D30D5B">
        <w:t xml:space="preserve"> </w:t>
      </w:r>
      <w:r w:rsidR="00D766B4" w:rsidRPr="00D30D5B">
        <w:t>the</w:t>
      </w:r>
      <w:r w:rsidRPr="00D30D5B">
        <w:t xml:space="preserve"> </w:t>
      </w:r>
      <w:r w:rsidR="00D766B4" w:rsidRPr="00D30D5B">
        <w:t>CRPD</w:t>
      </w:r>
      <w:r w:rsidRPr="00D30D5B">
        <w:t xml:space="preserve"> </w:t>
      </w:r>
      <w:r w:rsidR="00D766B4" w:rsidRPr="00D30D5B">
        <w:t>imposes</w:t>
      </w:r>
      <w:r w:rsidRPr="00D30D5B">
        <w:t xml:space="preserve"> </w:t>
      </w:r>
      <w:r w:rsidR="00D766B4" w:rsidRPr="00D30D5B">
        <w:t>an</w:t>
      </w:r>
      <w:r w:rsidRPr="00D30D5B">
        <w:t xml:space="preserve"> </w:t>
      </w:r>
      <w:r w:rsidR="00D766B4" w:rsidRPr="00D30D5B">
        <w:t>obligation</w:t>
      </w:r>
      <w:r w:rsidRPr="00D30D5B">
        <w:t xml:space="preserve"> </w:t>
      </w:r>
      <w:r w:rsidR="00D766B4" w:rsidRPr="00D30D5B">
        <w:t>on</w:t>
      </w:r>
      <w:r w:rsidRPr="00D30D5B">
        <w:t xml:space="preserve"> </w:t>
      </w:r>
      <w:r w:rsidR="00D766B4" w:rsidRPr="00D30D5B">
        <w:t>Australia</w:t>
      </w:r>
      <w:r w:rsidRPr="00D30D5B">
        <w:t xml:space="preserve"> </w:t>
      </w:r>
      <w:r w:rsidR="00D766B4" w:rsidRPr="00D30D5B">
        <w:t>to</w:t>
      </w:r>
      <w:r w:rsidRPr="00D30D5B">
        <w:t xml:space="preserve"> </w:t>
      </w:r>
      <w:r w:rsidR="00D766B4" w:rsidRPr="00D30D5B">
        <w:t>take</w:t>
      </w:r>
      <w:r w:rsidRPr="00D30D5B">
        <w:t xml:space="preserve"> </w:t>
      </w:r>
      <w:r w:rsidR="00D766B4" w:rsidRPr="00D30D5B">
        <w:t>effective</w:t>
      </w:r>
      <w:r w:rsidRPr="00D30D5B">
        <w:t xml:space="preserve"> </w:t>
      </w:r>
      <w:r w:rsidR="00D766B4" w:rsidRPr="00D30D5B">
        <w:t>and</w:t>
      </w:r>
      <w:r w:rsidRPr="00D30D5B">
        <w:t xml:space="preserve"> </w:t>
      </w:r>
      <w:r w:rsidR="00D766B4" w:rsidRPr="00D30D5B">
        <w:t>appropriate</w:t>
      </w:r>
      <w:r w:rsidRPr="00D30D5B">
        <w:t xml:space="preserve"> </w:t>
      </w:r>
      <w:r w:rsidR="00D766B4" w:rsidRPr="00D30D5B">
        <w:t>measures</w:t>
      </w:r>
      <w:r w:rsidRPr="00D30D5B">
        <w:t xml:space="preserve"> </w:t>
      </w:r>
      <w:r w:rsidR="00D766B4" w:rsidRPr="00D30D5B">
        <w:t>to</w:t>
      </w:r>
      <w:r w:rsidRPr="00D30D5B">
        <w:t xml:space="preserve"> </w:t>
      </w:r>
      <w:r w:rsidR="00D766B4" w:rsidRPr="00D30D5B">
        <w:t>enable</w:t>
      </w:r>
      <w:r w:rsidRPr="00D30D5B">
        <w:t xml:space="preserve"> </w:t>
      </w:r>
      <w:r w:rsidR="00D766B4" w:rsidRPr="00D30D5B">
        <w:t>that</w:t>
      </w:r>
      <w:r w:rsidRPr="00D30D5B">
        <w:t xml:space="preserve"> </w:t>
      </w:r>
      <w:r w:rsidR="00D766B4" w:rsidRPr="00D30D5B">
        <w:t>level</w:t>
      </w:r>
      <w:r w:rsidRPr="00D30D5B">
        <w:t xml:space="preserve"> </w:t>
      </w:r>
      <w:r w:rsidR="00D766B4" w:rsidRPr="00D30D5B">
        <w:t>of</w:t>
      </w:r>
      <w:r w:rsidRPr="00D30D5B">
        <w:t xml:space="preserve"> </w:t>
      </w:r>
      <w:r w:rsidR="00D766B4" w:rsidRPr="00D30D5B">
        <w:t>independence,</w:t>
      </w:r>
      <w:r w:rsidRPr="00D30D5B">
        <w:t xml:space="preserve"> </w:t>
      </w:r>
      <w:r w:rsidR="00D766B4" w:rsidRPr="00D30D5B">
        <w:t>ability,</w:t>
      </w:r>
      <w:r w:rsidRPr="00D30D5B">
        <w:t xml:space="preserve"> </w:t>
      </w:r>
      <w:r w:rsidR="00D766B4" w:rsidRPr="00D30D5B">
        <w:t>inclusion</w:t>
      </w:r>
      <w:r w:rsidRPr="00D30D5B">
        <w:t xml:space="preserve"> </w:t>
      </w:r>
      <w:r w:rsidR="00D766B4" w:rsidRPr="00D30D5B">
        <w:t>and</w:t>
      </w:r>
      <w:r w:rsidRPr="00D30D5B">
        <w:t xml:space="preserve"> </w:t>
      </w:r>
      <w:r w:rsidR="00D766B4" w:rsidRPr="00D30D5B">
        <w:t>participation.</w:t>
      </w:r>
      <w:r w:rsidRPr="00D30D5B">
        <w:t xml:space="preserve">  </w:t>
      </w:r>
      <w:r w:rsidR="000D2865" w:rsidRPr="00D30D5B">
        <w:t>Australia</w:t>
      </w:r>
      <w:r w:rsidRPr="00D30D5B">
        <w:t xml:space="preserve"> </w:t>
      </w:r>
      <w:r w:rsidR="000D2865" w:rsidRPr="00D30D5B">
        <w:t>is</w:t>
      </w:r>
      <w:r w:rsidRPr="00D30D5B">
        <w:t xml:space="preserve"> </w:t>
      </w:r>
      <w:r w:rsidR="000D2865" w:rsidRPr="00D30D5B">
        <w:t>obligated</w:t>
      </w:r>
      <w:r w:rsidRPr="00D30D5B">
        <w:t xml:space="preserve"> </w:t>
      </w:r>
      <w:r w:rsidR="000D2865" w:rsidRPr="00D30D5B">
        <w:t>to</w:t>
      </w:r>
      <w:r w:rsidRPr="00D30D5B">
        <w:t xml:space="preserve"> </w:t>
      </w:r>
      <w:r w:rsidR="000D2865" w:rsidRPr="00D30D5B">
        <w:t>‘organize,</w:t>
      </w:r>
      <w:r w:rsidRPr="00D30D5B">
        <w:t xml:space="preserve"> </w:t>
      </w:r>
      <w:r w:rsidR="000D2865" w:rsidRPr="00D30D5B">
        <w:t>strengthen</w:t>
      </w:r>
      <w:r w:rsidRPr="00D30D5B">
        <w:t xml:space="preserve"> </w:t>
      </w:r>
      <w:r w:rsidR="000D2865" w:rsidRPr="00D30D5B">
        <w:t>and</w:t>
      </w:r>
      <w:r w:rsidRPr="00D30D5B">
        <w:t xml:space="preserve"> </w:t>
      </w:r>
      <w:r w:rsidR="000D2865" w:rsidRPr="00D30D5B">
        <w:t>extend</w:t>
      </w:r>
      <w:r w:rsidRPr="00D30D5B">
        <w:t xml:space="preserve"> </w:t>
      </w:r>
      <w:r w:rsidR="000D2865" w:rsidRPr="00D30D5B">
        <w:t>comprehensive</w:t>
      </w:r>
      <w:r w:rsidRPr="00D30D5B">
        <w:t xml:space="preserve"> </w:t>
      </w:r>
      <w:r w:rsidR="000D2865" w:rsidRPr="00D30D5B">
        <w:t>habilitation</w:t>
      </w:r>
      <w:r w:rsidRPr="00D30D5B">
        <w:t xml:space="preserve"> </w:t>
      </w:r>
      <w:r w:rsidR="000D2865" w:rsidRPr="00D30D5B">
        <w:t>and</w:t>
      </w:r>
      <w:r w:rsidRPr="00D30D5B">
        <w:t xml:space="preserve"> </w:t>
      </w:r>
      <w:r w:rsidR="000D2865" w:rsidRPr="00D30D5B">
        <w:t>rehabilitation</w:t>
      </w:r>
      <w:r w:rsidRPr="00D30D5B">
        <w:t xml:space="preserve"> </w:t>
      </w:r>
      <w:r w:rsidR="000D2865" w:rsidRPr="00D30D5B">
        <w:t>services</w:t>
      </w:r>
      <w:r w:rsidRPr="00D30D5B">
        <w:t xml:space="preserve"> </w:t>
      </w:r>
      <w:r w:rsidR="000D2865" w:rsidRPr="00D30D5B">
        <w:t>and</w:t>
      </w:r>
      <w:r w:rsidRPr="00D30D5B">
        <w:t xml:space="preserve"> </w:t>
      </w:r>
      <w:r w:rsidR="000D2865" w:rsidRPr="00D30D5B">
        <w:t>programmes,</w:t>
      </w:r>
      <w:r w:rsidRPr="00D30D5B">
        <w:t xml:space="preserve"> </w:t>
      </w:r>
      <w:r w:rsidR="000D2865" w:rsidRPr="00D30D5B">
        <w:t>particularly</w:t>
      </w:r>
      <w:r w:rsidRPr="00D30D5B">
        <w:t xml:space="preserve"> </w:t>
      </w:r>
      <w:r w:rsidR="000D2865" w:rsidRPr="00D30D5B">
        <w:t>in</w:t>
      </w:r>
      <w:r w:rsidRPr="00D30D5B">
        <w:t xml:space="preserve"> </w:t>
      </w:r>
      <w:r w:rsidR="000D2865" w:rsidRPr="00D30D5B">
        <w:t>the</w:t>
      </w:r>
      <w:r w:rsidRPr="00D30D5B">
        <w:t xml:space="preserve"> </w:t>
      </w:r>
      <w:r w:rsidR="000D2865" w:rsidRPr="00D30D5B">
        <w:t>areas</w:t>
      </w:r>
      <w:r w:rsidRPr="00D30D5B">
        <w:t xml:space="preserve"> </w:t>
      </w:r>
      <w:r w:rsidR="000D2865" w:rsidRPr="00D30D5B">
        <w:t>of</w:t>
      </w:r>
      <w:r w:rsidRPr="00D30D5B">
        <w:t xml:space="preserve"> </w:t>
      </w:r>
      <w:r w:rsidR="000D2865" w:rsidRPr="00D30D5B">
        <w:t>[amongst</w:t>
      </w:r>
      <w:r w:rsidRPr="00D30D5B">
        <w:t xml:space="preserve"> </w:t>
      </w:r>
      <w:r w:rsidR="000D2865" w:rsidRPr="00D30D5B">
        <w:t>others]</w:t>
      </w:r>
      <w:r w:rsidR="0095134F">
        <w:t xml:space="preserve"> </w:t>
      </w:r>
      <w:r w:rsidR="000D2865" w:rsidRPr="00D30D5B">
        <w:t>…</w:t>
      </w:r>
      <w:r w:rsidR="0095134F">
        <w:t xml:space="preserve"> </w:t>
      </w:r>
      <w:r w:rsidR="000D2865" w:rsidRPr="00D30D5B">
        <w:t>employment’.</w:t>
      </w:r>
      <w:r w:rsidR="000D2865" w:rsidRPr="00D30D5B">
        <w:rPr>
          <w:rStyle w:val="EndnoteReference"/>
        </w:rPr>
        <w:endnoteReference w:id="89"/>
      </w:r>
      <w:r w:rsidRPr="00D30D5B">
        <w:t xml:space="preserve">  </w:t>
      </w:r>
      <w:r w:rsidR="000D2865" w:rsidRPr="00D30D5B">
        <w:t>Those</w:t>
      </w:r>
      <w:r w:rsidRPr="00D30D5B">
        <w:t xml:space="preserve"> </w:t>
      </w:r>
      <w:r w:rsidR="000D2865" w:rsidRPr="00D30D5B">
        <w:t>services</w:t>
      </w:r>
      <w:r w:rsidRPr="00D30D5B">
        <w:t xml:space="preserve"> </w:t>
      </w:r>
      <w:r w:rsidR="000D2865" w:rsidRPr="00D30D5B">
        <w:t>and</w:t>
      </w:r>
      <w:r w:rsidRPr="00D30D5B">
        <w:t xml:space="preserve"> </w:t>
      </w:r>
      <w:r w:rsidR="000D2865" w:rsidRPr="00D30D5B">
        <w:t>programs</w:t>
      </w:r>
      <w:r w:rsidRPr="00D30D5B">
        <w:t xml:space="preserve"> </w:t>
      </w:r>
      <w:r w:rsidR="000D2865" w:rsidRPr="00D30D5B">
        <w:t>must</w:t>
      </w:r>
      <w:r w:rsidRPr="00D30D5B">
        <w:t xml:space="preserve"> </w:t>
      </w:r>
      <w:r w:rsidR="000D2865" w:rsidRPr="00D30D5B">
        <w:t>begin</w:t>
      </w:r>
      <w:r w:rsidRPr="00D30D5B">
        <w:t xml:space="preserve"> </w:t>
      </w:r>
      <w:r w:rsidR="000D2865" w:rsidRPr="00D30D5B">
        <w:t>at</w:t>
      </w:r>
      <w:r w:rsidRPr="00D30D5B">
        <w:t xml:space="preserve"> </w:t>
      </w:r>
      <w:r w:rsidR="000D2865" w:rsidRPr="00D30D5B">
        <w:t>the</w:t>
      </w:r>
      <w:r w:rsidRPr="00D30D5B">
        <w:t xml:space="preserve"> </w:t>
      </w:r>
      <w:r w:rsidR="000D2865" w:rsidRPr="00D30D5B">
        <w:t>earliest</w:t>
      </w:r>
      <w:r w:rsidRPr="00D30D5B">
        <w:t xml:space="preserve"> </w:t>
      </w:r>
      <w:r w:rsidR="000D2865" w:rsidRPr="00D30D5B">
        <w:t>possible</w:t>
      </w:r>
      <w:r w:rsidRPr="00D30D5B">
        <w:t xml:space="preserve"> </w:t>
      </w:r>
      <w:r w:rsidR="000D2865" w:rsidRPr="00D30D5B">
        <w:t>stage,</w:t>
      </w:r>
      <w:r w:rsidRPr="00D30D5B">
        <w:t xml:space="preserve"> </w:t>
      </w:r>
      <w:r w:rsidR="007615A9" w:rsidRPr="00D30D5B">
        <w:t>must</w:t>
      </w:r>
      <w:r w:rsidRPr="00D30D5B">
        <w:t xml:space="preserve"> </w:t>
      </w:r>
      <w:r w:rsidR="007615A9" w:rsidRPr="00D30D5B">
        <w:t>be</w:t>
      </w:r>
      <w:r w:rsidRPr="00D30D5B">
        <w:t xml:space="preserve"> </w:t>
      </w:r>
      <w:r w:rsidR="007615A9" w:rsidRPr="00D30D5B">
        <w:t>based</w:t>
      </w:r>
      <w:r w:rsidRPr="00D30D5B">
        <w:t xml:space="preserve"> </w:t>
      </w:r>
      <w:r w:rsidR="007615A9" w:rsidRPr="00D30D5B">
        <w:t>on</w:t>
      </w:r>
      <w:r w:rsidRPr="00D30D5B">
        <w:t xml:space="preserve"> </w:t>
      </w:r>
      <w:r w:rsidR="007615A9" w:rsidRPr="00D30D5B">
        <w:t>a</w:t>
      </w:r>
      <w:r w:rsidRPr="00D30D5B">
        <w:t xml:space="preserve"> </w:t>
      </w:r>
      <w:r w:rsidR="00EF7E5A" w:rsidRPr="00D30D5B">
        <w:t>multidisciplinary</w:t>
      </w:r>
      <w:r w:rsidRPr="00D30D5B">
        <w:t xml:space="preserve"> </w:t>
      </w:r>
      <w:r w:rsidR="007615A9" w:rsidRPr="00D30D5B">
        <w:t>assessment</w:t>
      </w:r>
      <w:r w:rsidRPr="00D30D5B">
        <w:t xml:space="preserve"> </w:t>
      </w:r>
      <w:r w:rsidR="007615A9" w:rsidRPr="00D30D5B">
        <w:t>of</w:t>
      </w:r>
      <w:r w:rsidRPr="00D30D5B">
        <w:t xml:space="preserve"> </w:t>
      </w:r>
      <w:r w:rsidR="007615A9" w:rsidRPr="00D30D5B">
        <w:t>individual</w:t>
      </w:r>
      <w:r w:rsidRPr="00D30D5B">
        <w:t xml:space="preserve"> </w:t>
      </w:r>
      <w:r w:rsidR="007615A9" w:rsidRPr="00D30D5B">
        <w:t>needs</w:t>
      </w:r>
      <w:r w:rsidRPr="00D30D5B">
        <w:t xml:space="preserve"> </w:t>
      </w:r>
      <w:r w:rsidR="007615A9" w:rsidRPr="00D30D5B">
        <w:t>and</w:t>
      </w:r>
      <w:r w:rsidRPr="00D30D5B">
        <w:t xml:space="preserve"> </w:t>
      </w:r>
      <w:r w:rsidR="007615A9" w:rsidRPr="00D30D5B">
        <w:t>strengths,</w:t>
      </w:r>
      <w:r w:rsidRPr="00D30D5B">
        <w:t xml:space="preserve"> </w:t>
      </w:r>
      <w:r w:rsidR="007615A9" w:rsidRPr="00D30D5B">
        <w:t>and</w:t>
      </w:r>
      <w:r w:rsidRPr="00D30D5B">
        <w:t xml:space="preserve"> </w:t>
      </w:r>
      <w:r w:rsidR="007615A9" w:rsidRPr="00D30D5B">
        <w:t>must</w:t>
      </w:r>
      <w:r w:rsidRPr="00D30D5B">
        <w:t xml:space="preserve"> </w:t>
      </w:r>
      <w:r w:rsidR="007615A9" w:rsidRPr="00D30D5B">
        <w:t>support</w:t>
      </w:r>
      <w:r w:rsidRPr="00D30D5B">
        <w:t xml:space="preserve"> </w:t>
      </w:r>
      <w:r w:rsidR="007615A9" w:rsidRPr="00D30D5B">
        <w:t>participation</w:t>
      </w:r>
      <w:r w:rsidRPr="00D30D5B">
        <w:t xml:space="preserve"> </w:t>
      </w:r>
      <w:r w:rsidR="007615A9" w:rsidRPr="00D30D5B">
        <w:t>and</w:t>
      </w:r>
      <w:r w:rsidRPr="00D30D5B">
        <w:t xml:space="preserve"> </w:t>
      </w:r>
      <w:r w:rsidR="007615A9" w:rsidRPr="00D30D5B">
        <w:t>inclusion</w:t>
      </w:r>
      <w:r w:rsidRPr="00D30D5B">
        <w:t xml:space="preserve"> </w:t>
      </w:r>
      <w:r w:rsidR="007615A9" w:rsidRPr="00D30D5B">
        <w:t>in</w:t>
      </w:r>
      <w:r w:rsidRPr="00D30D5B">
        <w:t xml:space="preserve"> </w:t>
      </w:r>
      <w:r w:rsidR="007615A9" w:rsidRPr="00D30D5B">
        <w:t>the</w:t>
      </w:r>
      <w:r w:rsidRPr="00D30D5B">
        <w:t xml:space="preserve"> </w:t>
      </w:r>
      <w:r w:rsidR="007615A9" w:rsidRPr="00D30D5B">
        <w:t>community</w:t>
      </w:r>
      <w:r w:rsidRPr="00D30D5B">
        <w:t xml:space="preserve"> </w:t>
      </w:r>
      <w:r w:rsidR="007615A9" w:rsidRPr="00D30D5B">
        <w:t>and</w:t>
      </w:r>
      <w:r w:rsidRPr="00D30D5B">
        <w:t xml:space="preserve"> </w:t>
      </w:r>
      <w:r w:rsidR="007615A9" w:rsidRPr="00D30D5B">
        <w:t>all</w:t>
      </w:r>
      <w:r w:rsidRPr="00D30D5B">
        <w:t xml:space="preserve"> </w:t>
      </w:r>
      <w:r w:rsidR="007615A9" w:rsidRPr="00D30D5B">
        <w:t>aspects</w:t>
      </w:r>
      <w:r w:rsidRPr="00D30D5B">
        <w:t xml:space="preserve"> </w:t>
      </w:r>
      <w:r w:rsidR="007615A9" w:rsidRPr="00D30D5B">
        <w:t>of</w:t>
      </w:r>
      <w:r w:rsidRPr="00D30D5B">
        <w:t xml:space="preserve"> </w:t>
      </w:r>
      <w:r w:rsidR="007615A9" w:rsidRPr="00D30D5B">
        <w:t>society.</w:t>
      </w:r>
      <w:r w:rsidR="007615A9" w:rsidRPr="00D30D5B">
        <w:rPr>
          <w:rStyle w:val="EndnoteReference"/>
        </w:rPr>
        <w:endnoteReference w:id="90"/>
      </w:r>
    </w:p>
    <w:p w14:paraId="11405A1C" w14:textId="448CE4FF" w:rsidR="006E6498" w:rsidRDefault="00E12821" w:rsidP="00061CEE">
      <w:pPr>
        <w:pStyle w:val="Heading2"/>
      </w:pPr>
      <w:bookmarkStart w:id="51" w:name="_Ref50549794"/>
      <w:bookmarkStart w:id="52" w:name="_Toc51834277"/>
      <w:r>
        <w:t>Rights</w:t>
      </w:r>
      <w:r w:rsidR="00573BA7">
        <w:t xml:space="preserve"> </w:t>
      </w:r>
      <w:r w:rsidR="00CC6CBB">
        <w:t>to</w:t>
      </w:r>
      <w:r w:rsidR="00573BA7">
        <w:t xml:space="preserve"> </w:t>
      </w:r>
      <w:r w:rsidR="00CC6CBB">
        <w:t>non-discrimination</w:t>
      </w:r>
      <w:r w:rsidR="00573BA7">
        <w:t xml:space="preserve"> </w:t>
      </w:r>
      <w:r w:rsidR="00CC6CBB">
        <w:t>and</w:t>
      </w:r>
      <w:r w:rsidR="00573BA7">
        <w:t xml:space="preserve"> </w:t>
      </w:r>
      <w:r w:rsidR="00CC6CBB">
        <w:t>equality</w:t>
      </w:r>
      <w:bookmarkEnd w:id="51"/>
      <w:bookmarkEnd w:id="52"/>
    </w:p>
    <w:p w14:paraId="786345D0" w14:textId="376876F9" w:rsidR="00DC1A48" w:rsidRDefault="00DB7FAD" w:rsidP="00DA2A0A">
      <w:pPr>
        <w:pStyle w:val="ListParagraph"/>
        <w:numPr>
          <w:ilvl w:val="0"/>
          <w:numId w:val="58"/>
        </w:numPr>
        <w:tabs>
          <w:tab w:val="left" w:pos="720"/>
          <w:tab w:val="left" w:pos="1440"/>
        </w:tabs>
        <w:spacing w:line="300" w:lineRule="exact"/>
      </w:pPr>
      <w:r>
        <w:t>Rights</w:t>
      </w:r>
      <w:r w:rsidR="00573BA7">
        <w:t xml:space="preserve"> </w:t>
      </w:r>
      <w:r>
        <w:t>relating</w:t>
      </w:r>
      <w:r w:rsidR="00573BA7">
        <w:t xml:space="preserve"> </w:t>
      </w:r>
      <w:r>
        <w:t>to</w:t>
      </w:r>
      <w:r w:rsidR="00573BA7">
        <w:t xml:space="preserve"> </w:t>
      </w:r>
      <w:r>
        <w:t>n</w:t>
      </w:r>
      <w:r w:rsidR="009075B5">
        <w:t>on-discrimination</w:t>
      </w:r>
      <w:r w:rsidR="00573BA7">
        <w:t xml:space="preserve"> </w:t>
      </w:r>
      <w:r w:rsidR="009075B5">
        <w:t>and</w:t>
      </w:r>
      <w:r w:rsidR="00573BA7">
        <w:t xml:space="preserve"> </w:t>
      </w:r>
      <w:r w:rsidR="009075B5">
        <w:t>equality</w:t>
      </w:r>
      <w:r w:rsidR="00573BA7">
        <w:t xml:space="preserve"> </w:t>
      </w:r>
      <w:r>
        <w:t>are</w:t>
      </w:r>
      <w:r w:rsidR="00573BA7">
        <w:t xml:space="preserve"> </w:t>
      </w:r>
      <w:r>
        <w:t>central</w:t>
      </w:r>
      <w:r w:rsidR="00573BA7">
        <w:t xml:space="preserve"> </w:t>
      </w:r>
      <w:r>
        <w:t>to</w:t>
      </w:r>
      <w:r w:rsidR="00573BA7">
        <w:t xml:space="preserve"> </w:t>
      </w:r>
      <w:r>
        <w:t>the</w:t>
      </w:r>
      <w:r w:rsidR="00573BA7">
        <w:t xml:space="preserve"> </w:t>
      </w:r>
      <w:r>
        <w:t>CRPD</w:t>
      </w:r>
      <w:r w:rsidR="00573BA7">
        <w:t xml:space="preserve"> </w:t>
      </w:r>
      <w:r>
        <w:t>and</w:t>
      </w:r>
      <w:r w:rsidR="00573BA7">
        <w:t xml:space="preserve"> </w:t>
      </w:r>
      <w:r>
        <w:t>to</w:t>
      </w:r>
      <w:r w:rsidR="00573BA7">
        <w:t xml:space="preserve"> </w:t>
      </w:r>
      <w:r>
        <w:t>international</w:t>
      </w:r>
      <w:r w:rsidR="00573BA7">
        <w:t xml:space="preserve"> </w:t>
      </w:r>
      <w:r>
        <w:t>human</w:t>
      </w:r>
      <w:r w:rsidR="00573BA7">
        <w:t xml:space="preserve"> </w:t>
      </w:r>
      <w:r>
        <w:t>rights</w:t>
      </w:r>
      <w:r w:rsidR="00573BA7">
        <w:t xml:space="preserve"> </w:t>
      </w:r>
      <w:r>
        <w:t>law</w:t>
      </w:r>
      <w:r w:rsidR="00573BA7">
        <w:t xml:space="preserve"> </w:t>
      </w:r>
      <w:r>
        <w:t>generally</w:t>
      </w:r>
      <w:r w:rsidR="009075B5">
        <w:t>.</w:t>
      </w:r>
      <w:r w:rsidR="00741990">
        <w:rPr>
          <w:rStyle w:val="EndnoteReference"/>
        </w:rPr>
        <w:endnoteReference w:id="91"/>
      </w:r>
      <w:r w:rsidR="00573BA7">
        <w:t xml:space="preserve">  </w:t>
      </w:r>
      <w:r w:rsidR="00806290">
        <w:t>As</w:t>
      </w:r>
      <w:r w:rsidR="00573BA7">
        <w:t xml:space="preserve"> </w:t>
      </w:r>
      <w:r w:rsidR="00806290">
        <w:t>the</w:t>
      </w:r>
      <w:r w:rsidR="00573BA7">
        <w:t xml:space="preserve"> </w:t>
      </w:r>
      <w:r w:rsidR="00806290">
        <w:t>CRPD</w:t>
      </w:r>
      <w:r w:rsidR="00573BA7">
        <w:t xml:space="preserve"> </w:t>
      </w:r>
      <w:r w:rsidR="00806290">
        <w:t>Committee</w:t>
      </w:r>
      <w:r w:rsidR="00573BA7">
        <w:t xml:space="preserve"> </w:t>
      </w:r>
      <w:r w:rsidR="00806290">
        <w:t>has</w:t>
      </w:r>
      <w:r w:rsidR="00573BA7">
        <w:t xml:space="preserve"> </w:t>
      </w:r>
      <w:r w:rsidR="00806290">
        <w:t>commented,</w:t>
      </w:r>
      <w:r w:rsidR="00573BA7">
        <w:t xml:space="preserve"> </w:t>
      </w:r>
      <w:r w:rsidR="00806290">
        <w:t>‘[p]romoting</w:t>
      </w:r>
      <w:r w:rsidR="00573BA7">
        <w:t xml:space="preserve"> </w:t>
      </w:r>
      <w:r w:rsidR="00806290">
        <w:t>equality</w:t>
      </w:r>
      <w:r w:rsidR="00573BA7">
        <w:t xml:space="preserve"> </w:t>
      </w:r>
      <w:r w:rsidR="00806290">
        <w:t>and</w:t>
      </w:r>
      <w:r w:rsidR="00573BA7">
        <w:t xml:space="preserve"> </w:t>
      </w:r>
      <w:r w:rsidR="00806290">
        <w:t>tackling</w:t>
      </w:r>
      <w:r w:rsidR="00573BA7">
        <w:t xml:space="preserve"> </w:t>
      </w:r>
      <w:r w:rsidR="00806290">
        <w:t>discrimination</w:t>
      </w:r>
      <w:r w:rsidR="00573BA7">
        <w:t xml:space="preserve"> </w:t>
      </w:r>
      <w:r w:rsidR="00806290">
        <w:t>are</w:t>
      </w:r>
      <w:r w:rsidR="00573BA7">
        <w:t xml:space="preserve"> </w:t>
      </w:r>
      <w:r w:rsidR="00806290">
        <w:t>cross-cutting</w:t>
      </w:r>
      <w:r w:rsidR="00573BA7">
        <w:t xml:space="preserve"> </w:t>
      </w:r>
      <w:r w:rsidR="00806290">
        <w:t>obligations</w:t>
      </w:r>
      <w:r w:rsidR="00573BA7">
        <w:t xml:space="preserve"> </w:t>
      </w:r>
      <w:r w:rsidR="00806290">
        <w:t>of</w:t>
      </w:r>
      <w:r w:rsidR="00573BA7">
        <w:t xml:space="preserve"> </w:t>
      </w:r>
      <w:r w:rsidR="00806290">
        <w:t>immediate</w:t>
      </w:r>
      <w:r w:rsidR="00573BA7">
        <w:t xml:space="preserve"> </w:t>
      </w:r>
      <w:r w:rsidR="00806290">
        <w:t>realization.</w:t>
      </w:r>
      <w:r w:rsidR="00573BA7">
        <w:t xml:space="preserve">  </w:t>
      </w:r>
      <w:r w:rsidR="00806290">
        <w:t>They</w:t>
      </w:r>
      <w:r w:rsidR="00573BA7">
        <w:t xml:space="preserve"> </w:t>
      </w:r>
      <w:r w:rsidR="00806290">
        <w:t>are</w:t>
      </w:r>
      <w:r w:rsidR="00573BA7">
        <w:t xml:space="preserve"> </w:t>
      </w:r>
      <w:r w:rsidR="00806290">
        <w:t>not</w:t>
      </w:r>
      <w:r w:rsidR="00573BA7">
        <w:t xml:space="preserve"> </w:t>
      </w:r>
      <w:r w:rsidR="00806290">
        <w:t>subject</w:t>
      </w:r>
      <w:r w:rsidR="00573BA7">
        <w:t xml:space="preserve"> </w:t>
      </w:r>
      <w:r w:rsidR="00806290">
        <w:t>to</w:t>
      </w:r>
      <w:r w:rsidR="00573BA7">
        <w:t xml:space="preserve"> </w:t>
      </w:r>
      <w:r w:rsidR="00806290">
        <w:t>progressive</w:t>
      </w:r>
      <w:r w:rsidR="00573BA7">
        <w:t xml:space="preserve"> </w:t>
      </w:r>
      <w:r w:rsidR="00806290">
        <w:t>realization.</w:t>
      </w:r>
      <w:r w:rsidR="4507B0F5">
        <w:t>’</w:t>
      </w:r>
      <w:r w:rsidR="00806290">
        <w:rPr>
          <w:rStyle w:val="EndnoteReference"/>
        </w:rPr>
        <w:endnoteReference w:id="92"/>
      </w:r>
      <w:r w:rsidR="00573BA7">
        <w:t xml:space="preserve"> </w:t>
      </w:r>
    </w:p>
    <w:p w14:paraId="4D053E6B" w14:textId="171424DF" w:rsidR="00A168B0" w:rsidRDefault="00573BA7" w:rsidP="00DA2A0A">
      <w:pPr>
        <w:pStyle w:val="ListParagraph"/>
        <w:numPr>
          <w:ilvl w:val="0"/>
          <w:numId w:val="58"/>
        </w:numPr>
        <w:tabs>
          <w:tab w:val="left" w:pos="720"/>
          <w:tab w:val="left" w:pos="1440"/>
        </w:tabs>
        <w:spacing w:line="300" w:lineRule="exact"/>
        <w:rPr>
          <w:rFonts w:cs="Open Sans"/>
        </w:rPr>
      </w:pPr>
      <w:r>
        <w:t xml:space="preserve"> </w:t>
      </w:r>
      <w:r w:rsidR="00DC1A48" w:rsidRPr="00F71DFC">
        <w:rPr>
          <w:rFonts w:eastAsia="Open Sans" w:cs="Open Sans"/>
        </w:rPr>
        <w:t>Discrimination</w:t>
      </w:r>
      <w:r w:rsidRPr="00F71DFC">
        <w:rPr>
          <w:rFonts w:eastAsia="Open Sans" w:cs="Open Sans"/>
        </w:rPr>
        <w:t xml:space="preserve"> </w:t>
      </w:r>
      <w:r w:rsidR="00DC1A48" w:rsidRPr="00F71DFC">
        <w:rPr>
          <w:rFonts w:eastAsia="Open Sans" w:cs="Open Sans"/>
        </w:rPr>
        <w:t>is</w:t>
      </w:r>
      <w:r w:rsidRPr="00F71DFC">
        <w:rPr>
          <w:rFonts w:eastAsia="Open Sans" w:cs="Open Sans"/>
        </w:rPr>
        <w:t xml:space="preserve"> </w:t>
      </w:r>
      <w:r w:rsidR="00DC1A48" w:rsidRPr="00F71DFC">
        <w:rPr>
          <w:rFonts w:eastAsia="Open Sans" w:cs="Open Sans"/>
        </w:rPr>
        <w:t>defined</w:t>
      </w:r>
      <w:r w:rsidRPr="00F71DFC">
        <w:rPr>
          <w:rFonts w:eastAsia="Open Sans" w:cs="Open Sans"/>
        </w:rPr>
        <w:t xml:space="preserve"> </w:t>
      </w:r>
      <w:r w:rsidR="00DC1A48" w:rsidRPr="00F71DFC">
        <w:rPr>
          <w:rFonts w:eastAsia="Open Sans" w:cs="Open Sans"/>
        </w:rPr>
        <w:t>in</w:t>
      </w:r>
      <w:r w:rsidRPr="00F71DFC">
        <w:rPr>
          <w:rFonts w:eastAsia="Open Sans" w:cs="Open Sans"/>
        </w:rPr>
        <w:t xml:space="preserve"> </w:t>
      </w:r>
      <w:r w:rsidR="00DC1A48" w:rsidRPr="00F71DFC">
        <w:rPr>
          <w:rFonts w:eastAsia="Open Sans" w:cs="Open Sans"/>
        </w:rPr>
        <w:t>Article</w:t>
      </w:r>
      <w:r w:rsidRPr="00F71DFC">
        <w:rPr>
          <w:rFonts w:eastAsia="Open Sans" w:cs="Open Sans"/>
        </w:rPr>
        <w:t xml:space="preserve"> </w:t>
      </w:r>
      <w:r w:rsidR="00DC1A48" w:rsidRPr="00F71DFC">
        <w:rPr>
          <w:rFonts w:eastAsia="Open Sans" w:cs="Open Sans"/>
        </w:rPr>
        <w:t>2</w:t>
      </w:r>
      <w:r w:rsidRPr="00F71DFC">
        <w:rPr>
          <w:rFonts w:eastAsia="Open Sans" w:cs="Open Sans"/>
        </w:rPr>
        <w:t xml:space="preserve"> </w:t>
      </w:r>
      <w:r w:rsidR="00DC1A48" w:rsidRPr="00F71DFC">
        <w:rPr>
          <w:rFonts w:eastAsia="Open Sans" w:cs="Open Sans"/>
        </w:rPr>
        <w:t>of</w:t>
      </w:r>
      <w:r w:rsidRPr="00F71DFC">
        <w:rPr>
          <w:rFonts w:eastAsia="Open Sans" w:cs="Open Sans"/>
        </w:rPr>
        <w:t xml:space="preserve"> </w:t>
      </w:r>
      <w:r w:rsidR="00DC1A48" w:rsidRPr="00F71DFC">
        <w:rPr>
          <w:rFonts w:eastAsia="Open Sans" w:cs="Open Sans"/>
        </w:rPr>
        <w:t>the</w:t>
      </w:r>
      <w:r w:rsidR="00F71DFC" w:rsidRPr="00F71DFC">
        <w:rPr>
          <w:rFonts w:eastAsia="Open Sans" w:cs="Open Sans"/>
        </w:rPr>
        <w:t xml:space="preserve"> </w:t>
      </w:r>
      <w:r w:rsidR="00DC1A48" w:rsidRPr="00F71DFC">
        <w:rPr>
          <w:rFonts w:eastAsia="Open Sans" w:cs="Open Sans"/>
        </w:rPr>
        <w:t>CRPD</w:t>
      </w:r>
      <w:r w:rsidRPr="00F71DFC">
        <w:rPr>
          <w:rFonts w:eastAsia="Open Sans" w:cs="Open Sans"/>
        </w:rPr>
        <w:t xml:space="preserve"> </w:t>
      </w:r>
      <w:r w:rsidR="00DC1A48" w:rsidRPr="00F71DFC">
        <w:rPr>
          <w:rFonts w:eastAsia="Open Sans" w:cs="Open Sans"/>
        </w:rPr>
        <w:t>to</w:t>
      </w:r>
      <w:r w:rsidRPr="00F71DFC">
        <w:rPr>
          <w:rFonts w:eastAsia="Open Sans" w:cs="Open Sans"/>
        </w:rPr>
        <w:t xml:space="preserve"> </w:t>
      </w:r>
      <w:r w:rsidR="00DC1A48" w:rsidRPr="00F71DFC">
        <w:rPr>
          <w:rFonts w:eastAsia="Open Sans" w:cs="Open Sans"/>
        </w:rPr>
        <w:t>mean</w:t>
      </w:r>
      <w:r w:rsidRPr="00F71DFC">
        <w:rPr>
          <w:rFonts w:eastAsia="Open Sans" w:cs="Open Sans"/>
        </w:rPr>
        <w:t xml:space="preserve"> </w:t>
      </w:r>
      <w:r w:rsidR="00DC1A48" w:rsidRPr="00F71DFC">
        <w:rPr>
          <w:rFonts w:eastAsia="Open Sans" w:cs="Open Sans"/>
        </w:rPr>
        <w:t>‘</w:t>
      </w:r>
      <w:r w:rsidR="00DC1A48" w:rsidRPr="00F71DFC">
        <w:rPr>
          <w:rFonts w:cs="Open Sans"/>
        </w:rPr>
        <w:t>any</w:t>
      </w:r>
      <w:r w:rsidRPr="00F71DFC">
        <w:rPr>
          <w:rFonts w:cs="Open Sans"/>
        </w:rPr>
        <w:t xml:space="preserve"> </w:t>
      </w:r>
      <w:r w:rsidR="00DC1A48" w:rsidRPr="00F71DFC">
        <w:rPr>
          <w:rFonts w:cs="Open Sans"/>
        </w:rPr>
        <w:t>distinction,</w:t>
      </w:r>
      <w:r w:rsidRPr="00F71DFC">
        <w:rPr>
          <w:rFonts w:cs="Open Sans"/>
        </w:rPr>
        <w:t xml:space="preserve"> </w:t>
      </w:r>
      <w:r w:rsidR="00DC1A48" w:rsidRPr="00F71DFC">
        <w:rPr>
          <w:rFonts w:cs="Open Sans"/>
        </w:rPr>
        <w:t>exclusion</w:t>
      </w:r>
      <w:r w:rsidRPr="00F71DFC">
        <w:rPr>
          <w:rFonts w:cs="Open Sans"/>
        </w:rPr>
        <w:t xml:space="preserve"> </w:t>
      </w:r>
      <w:r w:rsidR="00DC1A48" w:rsidRPr="00F71DFC">
        <w:rPr>
          <w:rFonts w:cs="Open Sans"/>
        </w:rPr>
        <w:t>or</w:t>
      </w:r>
      <w:r w:rsidRPr="00F71DFC">
        <w:rPr>
          <w:rFonts w:cs="Open Sans"/>
        </w:rPr>
        <w:t xml:space="preserve"> </w:t>
      </w:r>
      <w:r w:rsidR="00DC1A48" w:rsidRPr="00F71DFC">
        <w:rPr>
          <w:rFonts w:cs="Open Sans"/>
        </w:rPr>
        <w:t>restriction</w:t>
      </w:r>
      <w:r w:rsidRPr="00F71DFC">
        <w:rPr>
          <w:rFonts w:cs="Open Sans"/>
        </w:rPr>
        <w:t xml:space="preserve"> </w:t>
      </w:r>
      <w:r w:rsidR="00DC1A48" w:rsidRPr="00F71DFC">
        <w:rPr>
          <w:rFonts w:cs="Open Sans"/>
        </w:rPr>
        <w:t>on</w:t>
      </w:r>
      <w:r w:rsidRPr="00F71DFC">
        <w:rPr>
          <w:rFonts w:cs="Open Sans"/>
        </w:rPr>
        <w:t xml:space="preserve"> </w:t>
      </w:r>
      <w:r w:rsidR="00DC1A48" w:rsidRPr="00F71DFC">
        <w:rPr>
          <w:rFonts w:cs="Open Sans"/>
        </w:rPr>
        <w:t>the</w:t>
      </w:r>
      <w:r w:rsidRPr="00F71DFC">
        <w:rPr>
          <w:rFonts w:cs="Open Sans"/>
        </w:rPr>
        <w:t xml:space="preserve"> </w:t>
      </w:r>
      <w:r w:rsidR="00DC1A48" w:rsidRPr="00F71DFC">
        <w:rPr>
          <w:rFonts w:cs="Open Sans"/>
        </w:rPr>
        <w:t>basis</w:t>
      </w:r>
      <w:r w:rsidRPr="00F71DFC">
        <w:rPr>
          <w:rFonts w:cs="Open Sans"/>
        </w:rPr>
        <w:t xml:space="preserve"> </w:t>
      </w:r>
      <w:r w:rsidR="00DC1A48" w:rsidRPr="00F71DFC">
        <w:rPr>
          <w:rFonts w:cs="Open Sans"/>
        </w:rPr>
        <w:t>of</w:t>
      </w:r>
      <w:r w:rsidRPr="00F71DFC">
        <w:rPr>
          <w:rFonts w:cs="Open Sans"/>
        </w:rPr>
        <w:t xml:space="preserve"> </w:t>
      </w:r>
      <w:r w:rsidR="00DC1A48" w:rsidRPr="00F71DFC">
        <w:rPr>
          <w:rFonts w:cs="Open Sans"/>
        </w:rPr>
        <w:t>disability</w:t>
      </w:r>
      <w:r w:rsidRPr="00F71DFC">
        <w:rPr>
          <w:rFonts w:cs="Open Sans"/>
        </w:rPr>
        <w:t xml:space="preserve"> </w:t>
      </w:r>
      <w:r w:rsidR="00DC1A48" w:rsidRPr="00F71DFC">
        <w:rPr>
          <w:rFonts w:cs="Open Sans"/>
        </w:rPr>
        <w:t>which</w:t>
      </w:r>
      <w:r w:rsidRPr="00F71DFC">
        <w:rPr>
          <w:rFonts w:cs="Open Sans"/>
        </w:rPr>
        <w:t xml:space="preserve"> </w:t>
      </w:r>
      <w:r w:rsidR="00DC1A48" w:rsidRPr="00F71DFC">
        <w:rPr>
          <w:rFonts w:cs="Open Sans"/>
        </w:rPr>
        <w:t>has</w:t>
      </w:r>
      <w:r w:rsidRPr="00F71DFC">
        <w:rPr>
          <w:rFonts w:cs="Open Sans"/>
        </w:rPr>
        <w:t xml:space="preserve"> </w:t>
      </w:r>
      <w:r w:rsidR="00DC1A48" w:rsidRPr="00F71DFC">
        <w:rPr>
          <w:rFonts w:cs="Open Sans"/>
        </w:rPr>
        <w:t>the</w:t>
      </w:r>
      <w:r w:rsidRPr="00F71DFC">
        <w:rPr>
          <w:rFonts w:cs="Open Sans"/>
        </w:rPr>
        <w:t xml:space="preserve"> </w:t>
      </w:r>
      <w:r w:rsidR="00DC1A48" w:rsidRPr="00F71DFC">
        <w:rPr>
          <w:rFonts w:cs="Open Sans"/>
        </w:rPr>
        <w:t>purpose</w:t>
      </w:r>
      <w:r w:rsidRPr="00F71DFC">
        <w:rPr>
          <w:rFonts w:cs="Open Sans"/>
        </w:rPr>
        <w:t xml:space="preserve"> </w:t>
      </w:r>
      <w:r w:rsidR="00DC1A48" w:rsidRPr="00F71DFC">
        <w:rPr>
          <w:rFonts w:cs="Open Sans"/>
        </w:rPr>
        <w:t>or</w:t>
      </w:r>
      <w:r w:rsidRPr="00F71DFC">
        <w:rPr>
          <w:rFonts w:cs="Open Sans"/>
        </w:rPr>
        <w:t xml:space="preserve"> </w:t>
      </w:r>
      <w:r w:rsidR="00DC1A48" w:rsidRPr="00F71DFC">
        <w:rPr>
          <w:rFonts w:cs="Open Sans"/>
        </w:rPr>
        <w:t>effect</w:t>
      </w:r>
      <w:r w:rsidRPr="00F71DFC">
        <w:rPr>
          <w:rFonts w:cs="Open Sans"/>
        </w:rPr>
        <w:t xml:space="preserve"> </w:t>
      </w:r>
      <w:r w:rsidR="00DC1A48" w:rsidRPr="00F71DFC">
        <w:rPr>
          <w:rFonts w:cs="Open Sans"/>
        </w:rPr>
        <w:t>of</w:t>
      </w:r>
      <w:r w:rsidRPr="00F71DFC">
        <w:rPr>
          <w:rFonts w:cs="Open Sans"/>
        </w:rPr>
        <w:t xml:space="preserve"> </w:t>
      </w:r>
      <w:r w:rsidR="00DC1A48" w:rsidRPr="00F71DFC">
        <w:rPr>
          <w:rFonts w:cs="Open Sans"/>
        </w:rPr>
        <w:t>impairing</w:t>
      </w:r>
      <w:r w:rsidRPr="00F71DFC">
        <w:rPr>
          <w:rFonts w:cs="Open Sans"/>
        </w:rPr>
        <w:t xml:space="preserve"> </w:t>
      </w:r>
      <w:r w:rsidR="00DC1A48" w:rsidRPr="00F71DFC">
        <w:rPr>
          <w:rFonts w:cs="Open Sans"/>
        </w:rPr>
        <w:t>or</w:t>
      </w:r>
      <w:r w:rsidRPr="00F71DFC">
        <w:rPr>
          <w:rFonts w:cs="Open Sans"/>
        </w:rPr>
        <w:t xml:space="preserve"> </w:t>
      </w:r>
      <w:r w:rsidR="00DC1A48" w:rsidRPr="00F71DFC">
        <w:rPr>
          <w:rFonts w:cs="Open Sans"/>
        </w:rPr>
        <w:t>nullifying</w:t>
      </w:r>
      <w:r w:rsidRPr="00F71DFC">
        <w:rPr>
          <w:rFonts w:cs="Open Sans"/>
        </w:rPr>
        <w:t xml:space="preserve"> </w:t>
      </w:r>
      <w:r w:rsidR="00DC1A48" w:rsidRPr="00F71DFC">
        <w:rPr>
          <w:rFonts w:cs="Open Sans"/>
        </w:rPr>
        <w:t>the</w:t>
      </w:r>
      <w:r w:rsidRPr="00F71DFC">
        <w:rPr>
          <w:rFonts w:cs="Open Sans"/>
        </w:rPr>
        <w:t xml:space="preserve"> </w:t>
      </w:r>
      <w:r w:rsidR="00DC1A48" w:rsidRPr="00F71DFC">
        <w:rPr>
          <w:rFonts w:cs="Open Sans"/>
        </w:rPr>
        <w:t>recognition,</w:t>
      </w:r>
      <w:r w:rsidRPr="00F71DFC">
        <w:rPr>
          <w:rFonts w:cs="Open Sans"/>
        </w:rPr>
        <w:t xml:space="preserve"> </w:t>
      </w:r>
      <w:r w:rsidR="00DC1A48" w:rsidRPr="00F71DFC">
        <w:rPr>
          <w:rFonts w:cs="Open Sans"/>
        </w:rPr>
        <w:t>enjoyment</w:t>
      </w:r>
      <w:r w:rsidRPr="00F71DFC">
        <w:rPr>
          <w:rFonts w:cs="Open Sans"/>
        </w:rPr>
        <w:t xml:space="preserve"> </w:t>
      </w:r>
      <w:r w:rsidR="00DC1A48" w:rsidRPr="00F71DFC">
        <w:rPr>
          <w:rFonts w:cs="Open Sans"/>
        </w:rPr>
        <w:t>or</w:t>
      </w:r>
      <w:r w:rsidRPr="00F71DFC">
        <w:rPr>
          <w:rFonts w:cs="Open Sans"/>
        </w:rPr>
        <w:t xml:space="preserve"> </w:t>
      </w:r>
      <w:r w:rsidR="00DC1A48" w:rsidRPr="00F71DFC">
        <w:rPr>
          <w:rFonts w:cs="Open Sans"/>
        </w:rPr>
        <w:t>exercise,</w:t>
      </w:r>
      <w:r w:rsidRPr="00F71DFC">
        <w:rPr>
          <w:rFonts w:cs="Open Sans"/>
        </w:rPr>
        <w:t xml:space="preserve"> </w:t>
      </w:r>
      <w:r w:rsidR="00DC1A48" w:rsidRPr="00F71DFC">
        <w:rPr>
          <w:rFonts w:cs="Open Sans"/>
        </w:rPr>
        <w:t>on</w:t>
      </w:r>
      <w:r w:rsidRPr="00F71DFC">
        <w:rPr>
          <w:rFonts w:cs="Open Sans"/>
        </w:rPr>
        <w:t xml:space="preserve"> </w:t>
      </w:r>
      <w:r w:rsidR="00DC1A48" w:rsidRPr="00F71DFC">
        <w:rPr>
          <w:rFonts w:cs="Open Sans"/>
        </w:rPr>
        <w:t>an</w:t>
      </w:r>
      <w:r w:rsidRPr="00F71DFC">
        <w:rPr>
          <w:rFonts w:cs="Open Sans"/>
        </w:rPr>
        <w:t xml:space="preserve"> </w:t>
      </w:r>
      <w:r w:rsidR="00DC1A48" w:rsidRPr="00F71DFC">
        <w:rPr>
          <w:rFonts w:cs="Open Sans"/>
        </w:rPr>
        <w:t>equal</w:t>
      </w:r>
      <w:r w:rsidRPr="00F71DFC">
        <w:rPr>
          <w:rFonts w:cs="Open Sans"/>
        </w:rPr>
        <w:t xml:space="preserve"> </w:t>
      </w:r>
      <w:r w:rsidR="00DC1A48" w:rsidRPr="00F71DFC">
        <w:rPr>
          <w:rFonts w:cs="Open Sans"/>
        </w:rPr>
        <w:t>basis</w:t>
      </w:r>
      <w:r w:rsidRPr="00F71DFC">
        <w:rPr>
          <w:rFonts w:cs="Open Sans"/>
        </w:rPr>
        <w:t xml:space="preserve"> </w:t>
      </w:r>
      <w:r w:rsidR="00DC1A48" w:rsidRPr="00F71DFC">
        <w:rPr>
          <w:rFonts w:cs="Open Sans"/>
        </w:rPr>
        <w:t>with</w:t>
      </w:r>
      <w:r w:rsidRPr="00F71DFC">
        <w:rPr>
          <w:rFonts w:cs="Open Sans"/>
        </w:rPr>
        <w:t xml:space="preserve"> </w:t>
      </w:r>
      <w:r w:rsidR="00DC1A48" w:rsidRPr="00F71DFC">
        <w:rPr>
          <w:rFonts w:cs="Open Sans"/>
        </w:rPr>
        <w:t>others,</w:t>
      </w:r>
      <w:r w:rsidRPr="00F71DFC">
        <w:rPr>
          <w:rFonts w:cs="Open Sans"/>
        </w:rPr>
        <w:t xml:space="preserve"> </w:t>
      </w:r>
      <w:r w:rsidR="00DC1A48" w:rsidRPr="00F71DFC">
        <w:rPr>
          <w:rFonts w:cs="Open Sans"/>
        </w:rPr>
        <w:t>of</w:t>
      </w:r>
      <w:r w:rsidRPr="00F71DFC">
        <w:rPr>
          <w:rFonts w:cs="Open Sans"/>
        </w:rPr>
        <w:t xml:space="preserve"> </w:t>
      </w:r>
      <w:r w:rsidR="00DC1A48" w:rsidRPr="00F71DFC">
        <w:rPr>
          <w:rFonts w:cs="Open Sans"/>
        </w:rPr>
        <w:t>all</w:t>
      </w:r>
      <w:r w:rsidRPr="00F71DFC">
        <w:rPr>
          <w:rFonts w:cs="Open Sans"/>
        </w:rPr>
        <w:t xml:space="preserve"> </w:t>
      </w:r>
      <w:r w:rsidR="00DC1A48" w:rsidRPr="00F71DFC">
        <w:rPr>
          <w:rFonts w:cs="Open Sans"/>
        </w:rPr>
        <w:t>human</w:t>
      </w:r>
      <w:r w:rsidRPr="00F71DFC">
        <w:rPr>
          <w:rFonts w:cs="Open Sans"/>
        </w:rPr>
        <w:t xml:space="preserve"> </w:t>
      </w:r>
      <w:r w:rsidR="00DC1A48" w:rsidRPr="00F71DFC">
        <w:rPr>
          <w:rFonts w:cs="Open Sans"/>
        </w:rPr>
        <w:t>rights</w:t>
      </w:r>
      <w:r w:rsidRPr="00F71DFC">
        <w:rPr>
          <w:rFonts w:cs="Open Sans"/>
        </w:rPr>
        <w:t xml:space="preserve"> </w:t>
      </w:r>
      <w:r w:rsidR="00DC1A48" w:rsidRPr="00F71DFC">
        <w:rPr>
          <w:rFonts w:cs="Open Sans"/>
        </w:rPr>
        <w:t>and</w:t>
      </w:r>
      <w:r w:rsidRPr="00F71DFC">
        <w:rPr>
          <w:rFonts w:cs="Open Sans"/>
        </w:rPr>
        <w:t xml:space="preserve"> </w:t>
      </w:r>
      <w:r w:rsidR="00DC1A48" w:rsidRPr="00F71DFC">
        <w:rPr>
          <w:rFonts w:cs="Open Sans"/>
        </w:rPr>
        <w:t>fundamental</w:t>
      </w:r>
      <w:r w:rsidRPr="00F71DFC">
        <w:rPr>
          <w:rFonts w:cs="Open Sans"/>
        </w:rPr>
        <w:t xml:space="preserve"> </w:t>
      </w:r>
      <w:r w:rsidR="00DC1A48" w:rsidRPr="00F71DFC">
        <w:rPr>
          <w:rFonts w:cs="Open Sans"/>
        </w:rPr>
        <w:t>freedoms</w:t>
      </w:r>
      <w:r w:rsidRPr="00F71DFC">
        <w:rPr>
          <w:rFonts w:cs="Open Sans"/>
        </w:rPr>
        <w:t xml:space="preserve"> </w:t>
      </w:r>
      <w:r w:rsidR="00DC1A48" w:rsidRPr="00F71DFC">
        <w:rPr>
          <w:rFonts w:cs="Open Sans"/>
        </w:rPr>
        <w:t>in</w:t>
      </w:r>
      <w:r w:rsidRPr="00F71DFC">
        <w:rPr>
          <w:rFonts w:cs="Open Sans"/>
        </w:rPr>
        <w:t xml:space="preserve"> </w:t>
      </w:r>
      <w:r w:rsidR="00DC1A48" w:rsidRPr="00F71DFC">
        <w:rPr>
          <w:rFonts w:cs="Open Sans"/>
        </w:rPr>
        <w:t>the</w:t>
      </w:r>
      <w:r w:rsidRPr="00F71DFC">
        <w:rPr>
          <w:rFonts w:cs="Open Sans"/>
        </w:rPr>
        <w:t xml:space="preserve"> </w:t>
      </w:r>
      <w:r w:rsidR="00DC1A48" w:rsidRPr="00F71DFC">
        <w:rPr>
          <w:rFonts w:cs="Open Sans"/>
        </w:rPr>
        <w:t>political,</w:t>
      </w:r>
      <w:r w:rsidRPr="00F71DFC">
        <w:rPr>
          <w:rFonts w:cs="Open Sans"/>
        </w:rPr>
        <w:t xml:space="preserve"> </w:t>
      </w:r>
      <w:r w:rsidR="00DC1A48" w:rsidRPr="00F71DFC">
        <w:rPr>
          <w:rFonts w:cs="Open Sans"/>
        </w:rPr>
        <w:t>economic,</w:t>
      </w:r>
      <w:r w:rsidRPr="00F71DFC">
        <w:rPr>
          <w:rFonts w:cs="Open Sans"/>
        </w:rPr>
        <w:t xml:space="preserve"> </w:t>
      </w:r>
      <w:r w:rsidR="00DC1A48" w:rsidRPr="00F71DFC">
        <w:rPr>
          <w:rFonts w:cs="Open Sans"/>
        </w:rPr>
        <w:t>social,</w:t>
      </w:r>
      <w:r w:rsidRPr="00F71DFC">
        <w:rPr>
          <w:rFonts w:cs="Open Sans"/>
        </w:rPr>
        <w:t xml:space="preserve"> </w:t>
      </w:r>
      <w:r w:rsidR="00DC1A48" w:rsidRPr="00F71DFC">
        <w:rPr>
          <w:rFonts w:cs="Open Sans"/>
        </w:rPr>
        <w:t>cultural,</w:t>
      </w:r>
      <w:r w:rsidRPr="00F71DFC">
        <w:rPr>
          <w:rFonts w:cs="Open Sans"/>
        </w:rPr>
        <w:t xml:space="preserve"> </w:t>
      </w:r>
      <w:r w:rsidR="00DC1A48" w:rsidRPr="00F71DFC">
        <w:rPr>
          <w:rFonts w:cs="Open Sans"/>
        </w:rPr>
        <w:t>civil</w:t>
      </w:r>
      <w:r w:rsidRPr="00F71DFC">
        <w:rPr>
          <w:rFonts w:cs="Open Sans"/>
        </w:rPr>
        <w:t xml:space="preserve"> </w:t>
      </w:r>
      <w:r w:rsidR="00DC1A48" w:rsidRPr="00F71DFC">
        <w:rPr>
          <w:rFonts w:cs="Open Sans"/>
        </w:rPr>
        <w:t>or</w:t>
      </w:r>
      <w:r w:rsidRPr="00F71DFC">
        <w:rPr>
          <w:rFonts w:cs="Open Sans"/>
        </w:rPr>
        <w:t xml:space="preserve"> </w:t>
      </w:r>
      <w:r w:rsidR="00DC1A48" w:rsidRPr="00F71DFC">
        <w:rPr>
          <w:rFonts w:cs="Open Sans"/>
        </w:rPr>
        <w:t>any</w:t>
      </w:r>
      <w:r w:rsidRPr="00F71DFC">
        <w:rPr>
          <w:rFonts w:cs="Open Sans"/>
        </w:rPr>
        <w:t xml:space="preserve"> </w:t>
      </w:r>
      <w:r w:rsidR="00DC1A48" w:rsidRPr="00F71DFC">
        <w:rPr>
          <w:rFonts w:cs="Open Sans"/>
        </w:rPr>
        <w:t>other</w:t>
      </w:r>
      <w:r w:rsidRPr="00F71DFC">
        <w:rPr>
          <w:rFonts w:cs="Open Sans"/>
        </w:rPr>
        <w:t xml:space="preserve"> </w:t>
      </w:r>
      <w:r w:rsidR="00DC1A48" w:rsidRPr="00F71DFC">
        <w:rPr>
          <w:rFonts w:cs="Open Sans"/>
        </w:rPr>
        <w:t>field</w:t>
      </w:r>
      <w:r w:rsidR="0095134F">
        <w:rPr>
          <w:rFonts w:cs="Open Sans"/>
        </w:rPr>
        <w:t xml:space="preserve"> </w:t>
      </w:r>
      <w:r w:rsidR="00DC1A48" w:rsidRPr="00F71DFC">
        <w:rPr>
          <w:rFonts w:cs="Open Sans"/>
        </w:rPr>
        <w:t>…</w:t>
      </w:r>
      <w:r w:rsidRPr="00F71DFC">
        <w:rPr>
          <w:rFonts w:cs="Open Sans"/>
        </w:rPr>
        <w:t xml:space="preserve"> </w:t>
      </w:r>
      <w:r w:rsidR="00DC1A48" w:rsidRPr="00F71DFC">
        <w:rPr>
          <w:rFonts w:cs="Open Sans"/>
        </w:rPr>
        <w:t>including</w:t>
      </w:r>
      <w:r w:rsidRPr="00F71DFC">
        <w:rPr>
          <w:rFonts w:cs="Open Sans"/>
        </w:rPr>
        <w:t xml:space="preserve"> </w:t>
      </w:r>
      <w:r w:rsidR="00DC1A48" w:rsidRPr="00F71DFC">
        <w:rPr>
          <w:rFonts w:cs="Open Sans"/>
        </w:rPr>
        <w:t>denial</w:t>
      </w:r>
      <w:r w:rsidRPr="00F71DFC">
        <w:rPr>
          <w:rFonts w:cs="Open Sans"/>
        </w:rPr>
        <w:t xml:space="preserve"> </w:t>
      </w:r>
      <w:r w:rsidR="00DC1A48" w:rsidRPr="00F71DFC">
        <w:rPr>
          <w:rFonts w:cs="Open Sans"/>
        </w:rPr>
        <w:t>of</w:t>
      </w:r>
      <w:r w:rsidRPr="00F71DFC">
        <w:rPr>
          <w:rFonts w:cs="Open Sans"/>
        </w:rPr>
        <w:t xml:space="preserve"> </w:t>
      </w:r>
      <w:r w:rsidR="00DC1A48" w:rsidRPr="00F71DFC">
        <w:rPr>
          <w:rFonts w:cs="Open Sans"/>
        </w:rPr>
        <w:t>reasonable</w:t>
      </w:r>
      <w:r w:rsidRPr="00F71DFC">
        <w:rPr>
          <w:rFonts w:cs="Open Sans"/>
        </w:rPr>
        <w:t xml:space="preserve"> </w:t>
      </w:r>
      <w:r w:rsidR="00DC1A48" w:rsidRPr="00F71DFC">
        <w:rPr>
          <w:rFonts w:cs="Open Sans"/>
        </w:rPr>
        <w:t>accommodation’.</w:t>
      </w:r>
      <w:r w:rsidR="00DC1A48" w:rsidRPr="003F4CE1">
        <w:rPr>
          <w:rStyle w:val="EndnoteReference"/>
          <w:rFonts w:cs="Open Sans"/>
        </w:rPr>
        <w:endnoteReference w:id="93"/>
      </w:r>
      <w:r w:rsidRPr="00F71DFC">
        <w:rPr>
          <w:rFonts w:cs="Open Sans"/>
        </w:rPr>
        <w:t xml:space="preserve">  </w:t>
      </w:r>
    </w:p>
    <w:p w14:paraId="7BC2317E" w14:textId="307279C4" w:rsidR="00DC1A48" w:rsidRPr="00F71DFC" w:rsidRDefault="00F71DFC" w:rsidP="00DA2A0A">
      <w:pPr>
        <w:pStyle w:val="ListParagraph"/>
        <w:numPr>
          <w:ilvl w:val="0"/>
          <w:numId w:val="58"/>
        </w:numPr>
        <w:tabs>
          <w:tab w:val="left" w:pos="720"/>
          <w:tab w:val="left" w:pos="1440"/>
        </w:tabs>
        <w:spacing w:line="300" w:lineRule="exact"/>
        <w:rPr>
          <w:rFonts w:cs="Open Sans"/>
        </w:rPr>
      </w:pPr>
      <w:r w:rsidRPr="00F71DFC">
        <w:rPr>
          <w:rFonts w:cs="Open Sans"/>
        </w:rPr>
        <w:t>A</w:t>
      </w:r>
      <w:r w:rsidR="00726990" w:rsidRPr="00F71DFC">
        <w:rPr>
          <w:rFonts w:cs="Open Sans"/>
        </w:rPr>
        <w:t>ffirmative</w:t>
      </w:r>
      <w:r w:rsidR="00573BA7" w:rsidRPr="00F71DFC">
        <w:rPr>
          <w:rFonts w:cs="Open Sans"/>
        </w:rPr>
        <w:t xml:space="preserve"> </w:t>
      </w:r>
      <w:r w:rsidRPr="00F71DFC">
        <w:rPr>
          <w:rFonts w:cs="Open Sans"/>
        </w:rPr>
        <w:t xml:space="preserve">action </w:t>
      </w:r>
      <w:r w:rsidR="001E187A" w:rsidRPr="00F71DFC">
        <w:rPr>
          <w:rFonts w:cs="Open Sans"/>
        </w:rPr>
        <w:t>measures</w:t>
      </w:r>
      <w:r w:rsidR="00573BA7" w:rsidRPr="00F71DFC">
        <w:rPr>
          <w:rFonts w:cs="Open Sans"/>
        </w:rPr>
        <w:t xml:space="preserve"> </w:t>
      </w:r>
      <w:r w:rsidRPr="00F71DFC">
        <w:rPr>
          <w:rFonts w:cs="Open Sans"/>
        </w:rPr>
        <w:t xml:space="preserve">to accelerate or achieve de facto equality of </w:t>
      </w:r>
      <w:r>
        <w:rPr>
          <w:rFonts w:cs="Open Sans"/>
        </w:rPr>
        <w:t>people</w:t>
      </w:r>
      <w:r w:rsidRPr="00F71DFC">
        <w:rPr>
          <w:rFonts w:cs="Open Sans"/>
        </w:rPr>
        <w:t xml:space="preserve"> </w:t>
      </w:r>
      <w:r w:rsidRPr="00F71DFC" w:rsidDel="007F5BA4">
        <w:rPr>
          <w:rFonts w:cs="Open Sans"/>
        </w:rPr>
        <w:t>with</w:t>
      </w:r>
      <w:r w:rsidRPr="00F71DFC">
        <w:rPr>
          <w:rFonts w:cs="Open Sans"/>
        </w:rPr>
        <w:t xml:space="preserve"> </w:t>
      </w:r>
      <w:r w:rsidRPr="00F71DFC" w:rsidDel="007F5BA4">
        <w:rPr>
          <w:rFonts w:cs="Open Sans"/>
        </w:rPr>
        <w:t>disabilities</w:t>
      </w:r>
      <w:r w:rsidRPr="00F71DFC">
        <w:rPr>
          <w:rFonts w:cs="Open Sans"/>
        </w:rPr>
        <w:t xml:space="preserve"> </w:t>
      </w:r>
      <w:r w:rsidR="001E187A" w:rsidRPr="00F71DFC">
        <w:rPr>
          <w:rFonts w:cs="Open Sans"/>
        </w:rPr>
        <w:t>are</w:t>
      </w:r>
      <w:r w:rsidR="00573BA7" w:rsidRPr="00F71DFC">
        <w:rPr>
          <w:rFonts w:cs="Open Sans"/>
        </w:rPr>
        <w:t xml:space="preserve"> </w:t>
      </w:r>
      <w:r w:rsidR="000F7787" w:rsidRPr="00F71DFC">
        <w:rPr>
          <w:rFonts w:cs="Open Sans"/>
        </w:rPr>
        <w:t>expressly</w:t>
      </w:r>
      <w:r w:rsidR="00573BA7" w:rsidRPr="00F71DFC">
        <w:rPr>
          <w:rFonts w:cs="Open Sans"/>
        </w:rPr>
        <w:t xml:space="preserve"> </w:t>
      </w:r>
      <w:r w:rsidR="00726990" w:rsidRPr="00F71DFC">
        <w:rPr>
          <w:rFonts w:cs="Open Sans"/>
        </w:rPr>
        <w:t>excluded</w:t>
      </w:r>
      <w:r w:rsidR="00573BA7" w:rsidRPr="00F71DFC">
        <w:rPr>
          <w:rFonts w:cs="Open Sans"/>
        </w:rPr>
        <w:t xml:space="preserve"> </w:t>
      </w:r>
      <w:r w:rsidR="00726990" w:rsidRPr="00F71DFC">
        <w:rPr>
          <w:rFonts w:cs="Open Sans"/>
        </w:rPr>
        <w:t>from</w:t>
      </w:r>
      <w:r w:rsidR="00573BA7" w:rsidRPr="00F71DFC">
        <w:rPr>
          <w:rFonts w:cs="Open Sans"/>
        </w:rPr>
        <w:t xml:space="preserve"> </w:t>
      </w:r>
      <w:r w:rsidR="000F7787" w:rsidRPr="00F71DFC">
        <w:rPr>
          <w:rFonts w:cs="Open Sans"/>
        </w:rPr>
        <w:t>that</w:t>
      </w:r>
      <w:r w:rsidR="00573BA7" w:rsidRPr="00F71DFC">
        <w:rPr>
          <w:rFonts w:cs="Open Sans"/>
        </w:rPr>
        <w:t xml:space="preserve"> </w:t>
      </w:r>
      <w:r w:rsidR="000F7787" w:rsidRPr="00F71DFC">
        <w:rPr>
          <w:rFonts w:cs="Open Sans"/>
        </w:rPr>
        <w:t>definition</w:t>
      </w:r>
      <w:r w:rsidR="00C4356D">
        <w:rPr>
          <w:rFonts w:cs="Open Sans"/>
        </w:rPr>
        <w:t>,</w:t>
      </w:r>
      <w:r w:rsidR="001E187A">
        <w:rPr>
          <w:rStyle w:val="EndnoteReference"/>
          <w:rFonts w:cs="Open Sans"/>
        </w:rPr>
        <w:endnoteReference w:id="94"/>
      </w:r>
      <w:r w:rsidR="00573BA7" w:rsidRPr="00F71DFC">
        <w:rPr>
          <w:rFonts w:cs="Open Sans"/>
        </w:rPr>
        <w:t xml:space="preserve"> </w:t>
      </w:r>
      <w:r w:rsidR="00C4356D">
        <w:rPr>
          <w:rFonts w:cs="Open Sans"/>
        </w:rPr>
        <w:t xml:space="preserve">but </w:t>
      </w:r>
      <w:r w:rsidR="004A4679" w:rsidRPr="00F71DFC">
        <w:rPr>
          <w:rFonts w:cs="Open Sans"/>
        </w:rPr>
        <w:t>must</w:t>
      </w:r>
      <w:r w:rsidR="00573BA7" w:rsidRPr="00F71DFC">
        <w:rPr>
          <w:rFonts w:cs="Open Sans"/>
        </w:rPr>
        <w:t xml:space="preserve"> </w:t>
      </w:r>
      <w:r w:rsidR="004A4679" w:rsidRPr="00F71DFC">
        <w:rPr>
          <w:rFonts w:cs="Open Sans"/>
        </w:rPr>
        <w:t>not</w:t>
      </w:r>
      <w:r w:rsidR="00573BA7" w:rsidRPr="00F71DFC">
        <w:rPr>
          <w:rFonts w:cs="Open Sans"/>
        </w:rPr>
        <w:t xml:space="preserve"> </w:t>
      </w:r>
      <w:r w:rsidR="004A4679" w:rsidRPr="00F71DFC">
        <w:rPr>
          <w:rFonts w:cs="Open Sans"/>
        </w:rPr>
        <w:t>result</w:t>
      </w:r>
      <w:r w:rsidR="00573BA7" w:rsidRPr="00F71DFC">
        <w:rPr>
          <w:rFonts w:cs="Open Sans"/>
        </w:rPr>
        <w:t xml:space="preserve"> </w:t>
      </w:r>
      <w:r w:rsidR="004A4679" w:rsidRPr="00F71DFC">
        <w:rPr>
          <w:rFonts w:cs="Open Sans"/>
        </w:rPr>
        <w:t>in</w:t>
      </w:r>
      <w:r w:rsidR="00C4356D">
        <w:rPr>
          <w:rFonts w:cs="Open Sans"/>
        </w:rPr>
        <w:t xml:space="preserve"> the</w:t>
      </w:r>
      <w:r w:rsidR="00573BA7" w:rsidRPr="00F71DFC">
        <w:rPr>
          <w:rFonts w:cs="Open Sans"/>
        </w:rPr>
        <w:t xml:space="preserve"> </w:t>
      </w:r>
      <w:r w:rsidR="004A4679" w:rsidRPr="00F71DFC">
        <w:rPr>
          <w:rFonts w:cs="Open Sans"/>
        </w:rPr>
        <w:t>perpetuation</w:t>
      </w:r>
      <w:r w:rsidR="00573BA7" w:rsidRPr="00F71DFC">
        <w:rPr>
          <w:rFonts w:cs="Open Sans"/>
        </w:rPr>
        <w:t xml:space="preserve"> </w:t>
      </w:r>
      <w:r w:rsidR="004A4679" w:rsidRPr="00F71DFC">
        <w:rPr>
          <w:rFonts w:cs="Open Sans"/>
        </w:rPr>
        <w:t>of</w:t>
      </w:r>
      <w:r w:rsidR="00573BA7" w:rsidRPr="00F71DFC">
        <w:rPr>
          <w:rFonts w:cs="Open Sans"/>
        </w:rPr>
        <w:t xml:space="preserve"> </w:t>
      </w:r>
      <w:r w:rsidR="00C4356D">
        <w:rPr>
          <w:rFonts w:cs="Open Sans"/>
        </w:rPr>
        <w:t>‘</w:t>
      </w:r>
      <w:r w:rsidR="004A4679" w:rsidRPr="00F71DFC">
        <w:rPr>
          <w:rFonts w:cs="Open Sans"/>
        </w:rPr>
        <w:t>isolation,</w:t>
      </w:r>
      <w:r w:rsidR="00573BA7" w:rsidRPr="00F71DFC">
        <w:rPr>
          <w:rFonts w:cs="Open Sans"/>
        </w:rPr>
        <w:t xml:space="preserve"> </w:t>
      </w:r>
      <w:r w:rsidR="004A4679" w:rsidRPr="00F71DFC">
        <w:rPr>
          <w:rFonts w:cs="Open Sans"/>
        </w:rPr>
        <w:t>segregation,</w:t>
      </w:r>
      <w:r w:rsidR="00573BA7" w:rsidRPr="00F71DFC">
        <w:rPr>
          <w:rFonts w:cs="Open Sans"/>
        </w:rPr>
        <w:t xml:space="preserve"> </w:t>
      </w:r>
      <w:r w:rsidR="004A4679" w:rsidRPr="00F71DFC">
        <w:rPr>
          <w:rFonts w:cs="Open Sans"/>
        </w:rPr>
        <w:t>stereotyping,</w:t>
      </w:r>
      <w:r w:rsidR="00573BA7" w:rsidRPr="00F71DFC">
        <w:rPr>
          <w:rFonts w:cs="Open Sans"/>
        </w:rPr>
        <w:t xml:space="preserve"> </w:t>
      </w:r>
      <w:r w:rsidR="004A4679" w:rsidRPr="00F71DFC">
        <w:rPr>
          <w:rFonts w:cs="Open Sans"/>
        </w:rPr>
        <w:t>stigmatization</w:t>
      </w:r>
      <w:r w:rsidR="00573BA7" w:rsidRPr="00F71DFC">
        <w:rPr>
          <w:rFonts w:cs="Open Sans"/>
        </w:rPr>
        <w:t xml:space="preserve"> </w:t>
      </w:r>
      <w:r w:rsidR="004A4679" w:rsidRPr="00F71DFC">
        <w:rPr>
          <w:rFonts w:cs="Open Sans"/>
        </w:rPr>
        <w:t>or</w:t>
      </w:r>
      <w:r w:rsidR="00573BA7" w:rsidRPr="00F71DFC">
        <w:rPr>
          <w:rFonts w:cs="Open Sans"/>
        </w:rPr>
        <w:t xml:space="preserve"> </w:t>
      </w:r>
      <w:r w:rsidR="004A4679" w:rsidRPr="00F71DFC">
        <w:rPr>
          <w:rFonts w:cs="Open Sans"/>
        </w:rPr>
        <w:t>otherwise</w:t>
      </w:r>
      <w:r w:rsidR="00573BA7" w:rsidRPr="00F71DFC">
        <w:rPr>
          <w:rFonts w:cs="Open Sans"/>
        </w:rPr>
        <w:t xml:space="preserve"> </w:t>
      </w:r>
      <w:r w:rsidR="004A4679" w:rsidRPr="00F71DFC">
        <w:rPr>
          <w:rFonts w:cs="Open Sans"/>
        </w:rPr>
        <w:t>discrimination</w:t>
      </w:r>
      <w:r w:rsidR="00573BA7" w:rsidRPr="00F71DFC">
        <w:rPr>
          <w:rFonts w:cs="Open Sans"/>
        </w:rPr>
        <w:t xml:space="preserve"> </w:t>
      </w:r>
      <w:r w:rsidR="004A4679" w:rsidRPr="00F71DFC">
        <w:rPr>
          <w:rFonts w:cs="Open Sans"/>
        </w:rPr>
        <w:t>against</w:t>
      </w:r>
      <w:r w:rsidR="00573BA7" w:rsidRPr="00F71DFC">
        <w:rPr>
          <w:rFonts w:cs="Open Sans"/>
        </w:rPr>
        <w:t xml:space="preserve"> </w:t>
      </w:r>
      <w:r w:rsidR="004A4679" w:rsidRPr="00F71DFC" w:rsidDel="007F5BA4">
        <w:rPr>
          <w:rFonts w:cs="Open Sans"/>
        </w:rPr>
        <w:t>persons</w:t>
      </w:r>
      <w:r w:rsidR="00573BA7" w:rsidRPr="00F71DFC">
        <w:rPr>
          <w:rFonts w:cs="Open Sans"/>
        </w:rPr>
        <w:t xml:space="preserve"> </w:t>
      </w:r>
      <w:r w:rsidR="004A4679" w:rsidRPr="00F71DFC" w:rsidDel="007F5BA4">
        <w:rPr>
          <w:rFonts w:cs="Open Sans"/>
        </w:rPr>
        <w:t>with</w:t>
      </w:r>
      <w:r w:rsidR="00573BA7" w:rsidRPr="00F71DFC">
        <w:rPr>
          <w:rFonts w:cs="Open Sans"/>
        </w:rPr>
        <w:t xml:space="preserve"> </w:t>
      </w:r>
      <w:r w:rsidR="004A4679" w:rsidRPr="00F71DFC">
        <w:rPr>
          <w:rFonts w:cs="Open Sans"/>
        </w:rPr>
        <w:t>disabilities’.</w:t>
      </w:r>
      <w:r w:rsidR="004A4679">
        <w:rPr>
          <w:rStyle w:val="EndnoteReference"/>
          <w:rFonts w:cs="Open Sans"/>
        </w:rPr>
        <w:endnoteReference w:id="95"/>
      </w:r>
    </w:p>
    <w:p w14:paraId="6A06A1EB" w14:textId="5A59705E" w:rsidR="00372E24" w:rsidRPr="00DC1A48" w:rsidRDefault="00FB78C6" w:rsidP="00DA2A0A">
      <w:pPr>
        <w:pStyle w:val="ListParagraph"/>
        <w:numPr>
          <w:ilvl w:val="0"/>
          <w:numId w:val="58"/>
        </w:numPr>
        <w:tabs>
          <w:tab w:val="left" w:pos="720"/>
          <w:tab w:val="left" w:pos="1440"/>
        </w:tabs>
        <w:spacing w:line="300" w:lineRule="exact"/>
        <w:rPr>
          <w:rFonts w:cs="Open Sans"/>
        </w:rPr>
      </w:pPr>
      <w:r>
        <w:t>Rights</w:t>
      </w:r>
      <w:r w:rsidR="00573BA7">
        <w:t xml:space="preserve"> </w:t>
      </w:r>
      <w:r>
        <w:t>to</w:t>
      </w:r>
      <w:r w:rsidR="00573BA7">
        <w:t xml:space="preserve"> </w:t>
      </w:r>
      <w:r>
        <w:t>non-discrimination</w:t>
      </w:r>
      <w:r w:rsidR="00573BA7">
        <w:t xml:space="preserve"> </w:t>
      </w:r>
      <w:r>
        <w:t>and</w:t>
      </w:r>
      <w:r w:rsidR="00573BA7">
        <w:t xml:space="preserve"> </w:t>
      </w:r>
      <w:r>
        <w:t>equality</w:t>
      </w:r>
      <w:r w:rsidR="00573BA7">
        <w:t xml:space="preserve"> </w:t>
      </w:r>
      <w:r w:rsidR="005A6FDD">
        <w:t>for</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t>in</w:t>
      </w:r>
      <w:r w:rsidR="00573BA7">
        <w:t xml:space="preserve"> </w:t>
      </w:r>
      <w:r>
        <w:t>the</w:t>
      </w:r>
      <w:r w:rsidR="00573BA7">
        <w:t xml:space="preserve"> </w:t>
      </w:r>
      <w:r>
        <w:t>employment</w:t>
      </w:r>
      <w:r w:rsidR="00573BA7">
        <w:t xml:space="preserve"> </w:t>
      </w:r>
      <w:r w:rsidR="005A6FDD">
        <w:t>context</w:t>
      </w:r>
      <w:r w:rsidR="00573BA7">
        <w:t xml:space="preserve"> </w:t>
      </w:r>
      <w:r w:rsidR="005A6FDD">
        <w:t>are</w:t>
      </w:r>
      <w:r w:rsidR="00573BA7">
        <w:t xml:space="preserve"> </w:t>
      </w:r>
      <w:r w:rsidR="005A6FDD">
        <w:t>recognised</w:t>
      </w:r>
      <w:r w:rsidR="00573BA7">
        <w:t xml:space="preserve"> </w:t>
      </w:r>
      <w:r w:rsidR="005A6FDD">
        <w:t>in</w:t>
      </w:r>
      <w:r w:rsidR="00573BA7">
        <w:t xml:space="preserve"> </w:t>
      </w:r>
      <w:r w:rsidR="005A6FDD">
        <w:t>numerous</w:t>
      </w:r>
      <w:r w:rsidR="00573BA7">
        <w:t xml:space="preserve"> </w:t>
      </w:r>
      <w:r w:rsidR="005A6FDD">
        <w:t>ways</w:t>
      </w:r>
      <w:r w:rsidR="00573BA7">
        <w:t xml:space="preserve"> </w:t>
      </w:r>
      <w:r w:rsidR="005A6FDD">
        <w:t>under</w:t>
      </w:r>
      <w:r w:rsidR="00573BA7">
        <w:t xml:space="preserve"> </w:t>
      </w:r>
      <w:r w:rsidR="005A6FDD">
        <w:t>international</w:t>
      </w:r>
      <w:r w:rsidR="00573BA7">
        <w:t xml:space="preserve"> </w:t>
      </w:r>
      <w:r w:rsidR="005A6FDD">
        <w:t>human</w:t>
      </w:r>
      <w:r w:rsidR="00573BA7">
        <w:t xml:space="preserve"> </w:t>
      </w:r>
      <w:r w:rsidR="005A6FDD">
        <w:t>rights</w:t>
      </w:r>
      <w:r w:rsidR="00573BA7">
        <w:t xml:space="preserve"> </w:t>
      </w:r>
      <w:r w:rsidR="005A6FDD">
        <w:t>law</w:t>
      </w:r>
      <w:r w:rsidR="009661F6">
        <w:t>, in addition to Article 27(1)</w:t>
      </w:r>
      <w:r w:rsidR="005A6FDD">
        <w:t>.</w:t>
      </w:r>
      <w:r w:rsidR="00573BA7">
        <w:t xml:space="preserve">  </w:t>
      </w:r>
      <w:r w:rsidR="002D568C">
        <w:rPr>
          <w:rFonts w:cs="Open Sans"/>
        </w:rPr>
        <w:t>For</w:t>
      </w:r>
      <w:r w:rsidR="00573BA7">
        <w:rPr>
          <w:rFonts w:cs="Open Sans"/>
        </w:rPr>
        <w:t xml:space="preserve"> </w:t>
      </w:r>
      <w:r w:rsidR="002D568C">
        <w:rPr>
          <w:rFonts w:cs="Open Sans"/>
        </w:rPr>
        <w:t>example</w:t>
      </w:r>
      <w:r w:rsidR="0082478D">
        <w:rPr>
          <w:rFonts w:cs="Open Sans"/>
        </w:rPr>
        <w:t>:</w:t>
      </w:r>
    </w:p>
    <w:p w14:paraId="2FFD5C6B" w14:textId="420E7071" w:rsidR="003F0424" w:rsidRDefault="008F58E1" w:rsidP="00DA2A0A">
      <w:pPr>
        <w:pStyle w:val="ListParagraph"/>
        <w:numPr>
          <w:ilvl w:val="1"/>
          <w:numId w:val="58"/>
        </w:numPr>
      </w:pPr>
      <w:r>
        <w:t>T</w:t>
      </w:r>
      <w:r w:rsidR="00503B4D">
        <w:t>he</w:t>
      </w:r>
      <w:r w:rsidR="00573BA7">
        <w:t xml:space="preserve"> </w:t>
      </w:r>
      <w:r w:rsidR="00503B4D">
        <w:t>general</w:t>
      </w:r>
      <w:r w:rsidR="00573BA7">
        <w:t xml:space="preserve"> </w:t>
      </w:r>
      <w:r w:rsidR="00503B4D">
        <w:t>obligation</w:t>
      </w:r>
      <w:r w:rsidR="00573BA7">
        <w:t xml:space="preserve"> </w:t>
      </w:r>
      <w:r w:rsidR="00503B4D">
        <w:t>clause</w:t>
      </w:r>
      <w:r w:rsidR="00573BA7">
        <w:t xml:space="preserve"> </w:t>
      </w:r>
      <w:r w:rsidR="00503B4D">
        <w:t>in</w:t>
      </w:r>
      <w:r w:rsidR="00573BA7">
        <w:t xml:space="preserve"> </w:t>
      </w:r>
      <w:r w:rsidR="002908C3">
        <w:t>Article</w:t>
      </w:r>
      <w:r w:rsidR="00573BA7">
        <w:t xml:space="preserve"> </w:t>
      </w:r>
      <w:r w:rsidR="002908C3">
        <w:t>4</w:t>
      </w:r>
      <w:r w:rsidR="009370BC">
        <w:t>(1)</w:t>
      </w:r>
      <w:r w:rsidR="00573BA7">
        <w:t xml:space="preserve"> </w:t>
      </w:r>
      <w:r w:rsidR="002908C3">
        <w:t>of</w:t>
      </w:r>
      <w:r w:rsidR="00573BA7">
        <w:t xml:space="preserve"> </w:t>
      </w:r>
      <w:r w:rsidR="002908C3">
        <w:t>the</w:t>
      </w:r>
      <w:r w:rsidR="00573BA7">
        <w:t xml:space="preserve"> </w:t>
      </w:r>
      <w:r w:rsidR="002908C3">
        <w:t>CRPD</w:t>
      </w:r>
      <w:r w:rsidR="00573BA7">
        <w:t xml:space="preserve"> </w:t>
      </w:r>
      <w:r w:rsidR="002908C3">
        <w:t>requires</w:t>
      </w:r>
      <w:r w:rsidR="00573BA7">
        <w:t xml:space="preserve"> </w:t>
      </w:r>
      <w:r w:rsidR="002908C3">
        <w:t>Australia</w:t>
      </w:r>
      <w:r w:rsidR="00573BA7">
        <w:t xml:space="preserve"> </w:t>
      </w:r>
      <w:r w:rsidR="002908C3">
        <w:t>to</w:t>
      </w:r>
      <w:r w:rsidR="00573BA7">
        <w:t xml:space="preserve"> </w:t>
      </w:r>
      <w:r w:rsidR="009370BC" w:rsidRPr="008D0B0E">
        <w:t>‘</w:t>
      </w:r>
      <w:r w:rsidR="00503B4D" w:rsidRPr="00710E6A">
        <w:t>ensure</w:t>
      </w:r>
      <w:r w:rsidR="00573BA7" w:rsidRPr="00710E6A">
        <w:t xml:space="preserve"> </w:t>
      </w:r>
      <w:r w:rsidR="00503B4D" w:rsidRPr="00710E6A">
        <w:t>and</w:t>
      </w:r>
      <w:r w:rsidR="00573BA7" w:rsidRPr="00710E6A">
        <w:t xml:space="preserve"> </w:t>
      </w:r>
      <w:r w:rsidR="00503B4D" w:rsidRPr="00710E6A">
        <w:t>promote</w:t>
      </w:r>
      <w:r w:rsidR="00573BA7" w:rsidRPr="00710E6A">
        <w:t xml:space="preserve"> </w:t>
      </w:r>
      <w:r w:rsidR="00503B4D" w:rsidRPr="00710E6A">
        <w:t>the</w:t>
      </w:r>
      <w:r w:rsidR="00573BA7" w:rsidRPr="00710E6A">
        <w:t xml:space="preserve"> </w:t>
      </w:r>
      <w:r w:rsidR="00503B4D" w:rsidRPr="00710E6A">
        <w:t>full</w:t>
      </w:r>
      <w:r w:rsidR="00573BA7" w:rsidRPr="00710E6A">
        <w:t xml:space="preserve"> </w:t>
      </w:r>
      <w:r w:rsidR="00503B4D" w:rsidRPr="00710E6A">
        <w:t>realization</w:t>
      </w:r>
      <w:r w:rsidR="00573BA7" w:rsidRPr="00710E6A">
        <w:t xml:space="preserve"> </w:t>
      </w:r>
      <w:r w:rsidR="00503B4D" w:rsidRPr="00710E6A">
        <w:t>of</w:t>
      </w:r>
      <w:r w:rsidR="00573BA7" w:rsidRPr="00710E6A">
        <w:t xml:space="preserve"> </w:t>
      </w:r>
      <w:r w:rsidR="00503B4D" w:rsidRPr="00710E6A">
        <w:t>all</w:t>
      </w:r>
      <w:r w:rsidR="00573BA7" w:rsidRPr="00710E6A">
        <w:t xml:space="preserve"> </w:t>
      </w:r>
      <w:r w:rsidR="00503B4D" w:rsidRPr="00710E6A">
        <w:t>human</w:t>
      </w:r>
      <w:r w:rsidR="00573BA7" w:rsidRPr="00710E6A">
        <w:t xml:space="preserve"> </w:t>
      </w:r>
      <w:r w:rsidR="00503B4D" w:rsidRPr="00710E6A">
        <w:t>rights</w:t>
      </w:r>
      <w:r w:rsidR="00573BA7" w:rsidRPr="00710E6A">
        <w:t xml:space="preserve"> </w:t>
      </w:r>
      <w:r w:rsidR="00503B4D" w:rsidRPr="00710E6A">
        <w:t>and</w:t>
      </w:r>
      <w:r w:rsidR="00573BA7" w:rsidRPr="00710E6A">
        <w:t xml:space="preserve"> </w:t>
      </w:r>
      <w:r w:rsidR="00503B4D" w:rsidRPr="00710E6A">
        <w:t>fundamental</w:t>
      </w:r>
      <w:r w:rsidR="00573BA7" w:rsidRPr="00710E6A">
        <w:t xml:space="preserve"> </w:t>
      </w:r>
      <w:r w:rsidR="00503B4D" w:rsidRPr="00710E6A">
        <w:t>freedoms</w:t>
      </w:r>
      <w:r w:rsidR="00573BA7" w:rsidRPr="00710E6A">
        <w:t xml:space="preserve"> </w:t>
      </w:r>
      <w:r w:rsidR="00503B4D" w:rsidRPr="00710E6A">
        <w:t>for</w:t>
      </w:r>
      <w:r w:rsidR="00573BA7" w:rsidRPr="00710E6A">
        <w:t xml:space="preserve"> </w:t>
      </w:r>
      <w:r w:rsidR="00503B4D" w:rsidRPr="00710E6A">
        <w:t>all</w:t>
      </w:r>
      <w:r w:rsidR="00573BA7" w:rsidRPr="00710E6A">
        <w:t xml:space="preserve"> </w:t>
      </w:r>
      <w:r w:rsidR="00503B4D" w:rsidRPr="00710E6A" w:rsidDel="007F5BA4">
        <w:t>persons</w:t>
      </w:r>
      <w:r w:rsidR="00573BA7" w:rsidRPr="00710E6A">
        <w:t xml:space="preserve"> </w:t>
      </w:r>
      <w:r w:rsidR="00503B4D" w:rsidRPr="00710E6A" w:rsidDel="007F5BA4">
        <w:t>with</w:t>
      </w:r>
      <w:r w:rsidR="00573BA7" w:rsidRPr="00710E6A">
        <w:t xml:space="preserve"> </w:t>
      </w:r>
      <w:r w:rsidR="00503B4D" w:rsidRPr="00710E6A" w:rsidDel="007F5BA4">
        <w:t>disabilities</w:t>
      </w:r>
      <w:r w:rsidR="00573BA7" w:rsidRPr="00710E6A">
        <w:t xml:space="preserve"> </w:t>
      </w:r>
      <w:r w:rsidR="00503B4D" w:rsidRPr="00710E6A">
        <w:t>without</w:t>
      </w:r>
      <w:r w:rsidR="00573BA7" w:rsidRPr="00710E6A">
        <w:t xml:space="preserve"> </w:t>
      </w:r>
      <w:r w:rsidR="00503B4D" w:rsidRPr="00710E6A">
        <w:t>discrimination</w:t>
      </w:r>
      <w:r w:rsidR="00573BA7" w:rsidRPr="008D0B0E">
        <w:t xml:space="preserve"> </w:t>
      </w:r>
      <w:r w:rsidR="00503B4D" w:rsidRPr="00A658BA">
        <w:t>of</w:t>
      </w:r>
      <w:r w:rsidR="00573BA7">
        <w:t xml:space="preserve"> </w:t>
      </w:r>
      <w:r w:rsidR="00503B4D">
        <w:t>any</w:t>
      </w:r>
      <w:r w:rsidR="00573BA7">
        <w:t xml:space="preserve"> </w:t>
      </w:r>
      <w:r w:rsidR="00503B4D">
        <w:t>kind</w:t>
      </w:r>
      <w:r w:rsidR="00573BA7">
        <w:t xml:space="preserve"> </w:t>
      </w:r>
      <w:r w:rsidR="00497BAA">
        <w:t>on</w:t>
      </w:r>
      <w:r w:rsidR="00573BA7">
        <w:t xml:space="preserve"> </w:t>
      </w:r>
      <w:r w:rsidR="00497BAA">
        <w:t>the</w:t>
      </w:r>
      <w:r w:rsidR="00573BA7">
        <w:t xml:space="preserve"> </w:t>
      </w:r>
      <w:r w:rsidR="00497BAA">
        <w:t>basis</w:t>
      </w:r>
      <w:r w:rsidR="00573BA7">
        <w:t xml:space="preserve"> </w:t>
      </w:r>
      <w:r w:rsidR="00497BAA">
        <w:t>of</w:t>
      </w:r>
      <w:r w:rsidR="00573BA7">
        <w:t xml:space="preserve"> </w:t>
      </w:r>
      <w:r w:rsidR="00497BAA">
        <w:t>disability’.</w:t>
      </w:r>
      <w:r w:rsidR="00573BA7">
        <w:t xml:space="preserve">  </w:t>
      </w:r>
    </w:p>
    <w:p w14:paraId="062494A5" w14:textId="42E4459E" w:rsidR="009650DD" w:rsidRDefault="00F467AB" w:rsidP="00DA2A0A">
      <w:pPr>
        <w:pStyle w:val="ListParagraph"/>
        <w:numPr>
          <w:ilvl w:val="1"/>
          <w:numId w:val="58"/>
        </w:numPr>
      </w:pPr>
      <w:r>
        <w:lastRenderedPageBreak/>
        <w:t>Article</w:t>
      </w:r>
      <w:r w:rsidR="00573BA7">
        <w:t xml:space="preserve"> </w:t>
      </w:r>
      <w:r>
        <w:t>5(1)</w:t>
      </w:r>
      <w:r w:rsidR="00573BA7">
        <w:t xml:space="preserve"> </w:t>
      </w:r>
      <w:r w:rsidR="00FA5468">
        <w:t>of</w:t>
      </w:r>
      <w:r w:rsidR="00573BA7">
        <w:t xml:space="preserve"> </w:t>
      </w:r>
      <w:r w:rsidR="00FA5468">
        <w:t>the</w:t>
      </w:r>
      <w:r w:rsidR="00573BA7">
        <w:t xml:space="preserve"> </w:t>
      </w:r>
      <w:r w:rsidR="00FA5468">
        <w:t>CRPD</w:t>
      </w:r>
      <w:r w:rsidR="00573BA7">
        <w:t xml:space="preserve"> </w:t>
      </w:r>
      <w:r>
        <w:t>recognises</w:t>
      </w:r>
      <w:r w:rsidR="00573BA7">
        <w:t xml:space="preserve"> </w:t>
      </w:r>
      <w:r w:rsidR="00CA6080">
        <w:t>that</w:t>
      </w:r>
      <w:r w:rsidR="00573BA7">
        <w:t xml:space="preserve"> </w:t>
      </w:r>
      <w:r w:rsidR="00C269A7">
        <w:t>all</w:t>
      </w:r>
      <w:r w:rsidR="00573BA7">
        <w:t xml:space="preserve"> </w:t>
      </w:r>
      <w:r w:rsidR="00C269A7">
        <w:t>persons</w:t>
      </w:r>
      <w:r w:rsidR="005D25E9">
        <w:t>,</w:t>
      </w:r>
      <w:r w:rsidR="00573BA7">
        <w:t xml:space="preserve"> </w:t>
      </w:r>
      <w:r w:rsidR="005D25E9">
        <w:t>including</w:t>
      </w:r>
      <w:r w:rsidR="00573BA7">
        <w:t xml:space="preserve"> </w:t>
      </w:r>
      <w:r w:rsidR="007F5BA4">
        <w:t>people</w:t>
      </w:r>
      <w:r w:rsidR="00573BA7">
        <w:t xml:space="preserve"> </w:t>
      </w:r>
      <w:r w:rsidR="007F5BA4">
        <w:t>with</w:t>
      </w:r>
      <w:r w:rsidR="00573BA7">
        <w:t xml:space="preserve"> </w:t>
      </w:r>
      <w:r w:rsidR="007F5BA4">
        <w:t>disability</w:t>
      </w:r>
      <w:r w:rsidR="005D25E9">
        <w:t>,</w:t>
      </w:r>
      <w:r w:rsidR="00573BA7">
        <w:t xml:space="preserve"> </w:t>
      </w:r>
      <w:r w:rsidR="00C269A7">
        <w:t>are</w:t>
      </w:r>
      <w:r w:rsidR="00573BA7">
        <w:t xml:space="preserve"> </w:t>
      </w:r>
      <w:r w:rsidR="00C269A7">
        <w:t>equal</w:t>
      </w:r>
      <w:r w:rsidR="00573BA7">
        <w:t xml:space="preserve"> </w:t>
      </w:r>
      <w:r w:rsidR="00C269A7">
        <w:t>before</w:t>
      </w:r>
      <w:r w:rsidR="00573BA7">
        <w:t xml:space="preserve"> </w:t>
      </w:r>
      <w:r w:rsidR="00C269A7">
        <w:t>and</w:t>
      </w:r>
      <w:r w:rsidR="00573BA7">
        <w:t xml:space="preserve"> </w:t>
      </w:r>
      <w:r w:rsidR="00C269A7" w:rsidRPr="00D30D5B">
        <w:t>under</w:t>
      </w:r>
      <w:r w:rsidR="00573BA7" w:rsidRPr="00D30D5B">
        <w:t xml:space="preserve"> </w:t>
      </w:r>
      <w:r w:rsidR="00C269A7" w:rsidRPr="00D30D5B">
        <w:t>the</w:t>
      </w:r>
      <w:r w:rsidR="00573BA7" w:rsidRPr="00D30D5B">
        <w:t xml:space="preserve"> </w:t>
      </w:r>
      <w:r w:rsidR="00C269A7" w:rsidRPr="00D30D5B">
        <w:t>law</w:t>
      </w:r>
      <w:r w:rsidR="00573BA7" w:rsidRPr="00D30D5B">
        <w:t xml:space="preserve"> </w:t>
      </w:r>
      <w:r w:rsidR="00C269A7" w:rsidRPr="00D30D5B">
        <w:t>and</w:t>
      </w:r>
      <w:r w:rsidR="00573BA7" w:rsidRPr="00D30D5B">
        <w:t xml:space="preserve"> </w:t>
      </w:r>
      <w:r w:rsidR="00C269A7" w:rsidRPr="00D30D5B">
        <w:t>are</w:t>
      </w:r>
      <w:r w:rsidR="00573BA7" w:rsidRPr="00D30D5B">
        <w:t xml:space="preserve"> </w:t>
      </w:r>
      <w:r w:rsidR="00C269A7" w:rsidRPr="00D30D5B">
        <w:t>entitled</w:t>
      </w:r>
      <w:r w:rsidR="00573BA7" w:rsidRPr="00D30D5B">
        <w:t xml:space="preserve"> </w:t>
      </w:r>
      <w:r w:rsidR="00C269A7" w:rsidRPr="00D30D5B">
        <w:t>without</w:t>
      </w:r>
      <w:r w:rsidR="00573BA7" w:rsidRPr="00D30D5B">
        <w:t xml:space="preserve"> </w:t>
      </w:r>
      <w:r w:rsidR="00C269A7" w:rsidRPr="00D30D5B">
        <w:t>any</w:t>
      </w:r>
      <w:r w:rsidR="00573BA7" w:rsidRPr="00D30D5B">
        <w:t xml:space="preserve"> </w:t>
      </w:r>
      <w:r w:rsidR="005D25E9" w:rsidRPr="00D30D5B">
        <w:t>discrimination</w:t>
      </w:r>
      <w:r w:rsidR="00573BA7" w:rsidRPr="00D30D5B">
        <w:t xml:space="preserve"> </w:t>
      </w:r>
      <w:r w:rsidR="005D25E9" w:rsidRPr="00D30D5B">
        <w:t>to</w:t>
      </w:r>
      <w:r w:rsidR="00573BA7" w:rsidRPr="00D30D5B">
        <w:t xml:space="preserve"> </w:t>
      </w:r>
      <w:r w:rsidR="005D25E9" w:rsidRPr="00D30D5B">
        <w:t>the</w:t>
      </w:r>
      <w:r w:rsidR="00573BA7" w:rsidRPr="00D30D5B">
        <w:t xml:space="preserve"> </w:t>
      </w:r>
      <w:r w:rsidR="005D25E9" w:rsidRPr="00D30D5B">
        <w:t>equal</w:t>
      </w:r>
      <w:r w:rsidR="00573BA7" w:rsidRPr="00D30D5B">
        <w:t xml:space="preserve"> </w:t>
      </w:r>
      <w:r w:rsidR="005D25E9" w:rsidRPr="00D30D5B">
        <w:t>protection</w:t>
      </w:r>
      <w:r w:rsidR="00573BA7" w:rsidRPr="00D30D5B">
        <w:t xml:space="preserve"> </w:t>
      </w:r>
      <w:r w:rsidR="005D25E9" w:rsidRPr="00D30D5B">
        <w:t>and</w:t>
      </w:r>
      <w:r w:rsidR="00573BA7" w:rsidRPr="00D30D5B">
        <w:t xml:space="preserve"> </w:t>
      </w:r>
      <w:r w:rsidR="005D25E9" w:rsidRPr="00D30D5B">
        <w:t>equal</w:t>
      </w:r>
      <w:r w:rsidR="00573BA7" w:rsidRPr="00D30D5B">
        <w:t xml:space="preserve"> </w:t>
      </w:r>
      <w:r w:rsidR="005D25E9" w:rsidRPr="00D30D5B">
        <w:t>benefit</w:t>
      </w:r>
      <w:r w:rsidR="00573BA7" w:rsidRPr="00D30D5B">
        <w:t xml:space="preserve"> </w:t>
      </w:r>
      <w:r w:rsidR="005D25E9" w:rsidRPr="00D30D5B">
        <w:t>of</w:t>
      </w:r>
      <w:r w:rsidR="00573BA7" w:rsidRPr="00D30D5B">
        <w:t xml:space="preserve"> </w:t>
      </w:r>
      <w:r w:rsidR="005D25E9" w:rsidRPr="00D30D5B">
        <w:t>the</w:t>
      </w:r>
      <w:r w:rsidR="00573BA7" w:rsidRPr="00D30D5B">
        <w:t xml:space="preserve"> </w:t>
      </w:r>
      <w:r w:rsidR="005D25E9" w:rsidRPr="00D30D5B">
        <w:t>law.</w:t>
      </w:r>
      <w:r w:rsidR="00573BA7" w:rsidRPr="00D30D5B">
        <w:t xml:space="preserve">  </w:t>
      </w:r>
      <w:r w:rsidR="005D25E9" w:rsidRPr="00D30D5B">
        <w:t>Similar</w:t>
      </w:r>
      <w:r w:rsidR="00573BA7" w:rsidRPr="00D30D5B">
        <w:t xml:space="preserve"> </w:t>
      </w:r>
      <w:r w:rsidR="005D25E9" w:rsidRPr="00D30D5B">
        <w:t>discrimination</w:t>
      </w:r>
      <w:r w:rsidR="00573BA7" w:rsidRPr="00D30D5B">
        <w:t xml:space="preserve"> </w:t>
      </w:r>
      <w:r w:rsidR="005D25E9" w:rsidRPr="00D30D5B">
        <w:t>provisions</w:t>
      </w:r>
      <w:r w:rsidR="00573BA7" w:rsidRPr="00D30D5B">
        <w:t xml:space="preserve"> </w:t>
      </w:r>
      <w:r w:rsidR="005D25E9" w:rsidRPr="00D30D5B">
        <w:t>also</w:t>
      </w:r>
      <w:r w:rsidR="00573BA7" w:rsidRPr="00D30D5B">
        <w:t xml:space="preserve"> </w:t>
      </w:r>
      <w:r w:rsidR="005D25E9" w:rsidRPr="00D30D5B">
        <w:t>exist</w:t>
      </w:r>
      <w:r w:rsidR="00573BA7" w:rsidRPr="00D30D5B">
        <w:t xml:space="preserve"> </w:t>
      </w:r>
      <w:r w:rsidR="005D25E9" w:rsidRPr="00D30D5B">
        <w:t>elsewhere</w:t>
      </w:r>
      <w:r w:rsidR="00573BA7" w:rsidRPr="00D30D5B">
        <w:t xml:space="preserve"> </w:t>
      </w:r>
      <w:r w:rsidR="005D25E9" w:rsidRPr="00D30D5B">
        <w:t>in</w:t>
      </w:r>
      <w:r w:rsidR="00573BA7" w:rsidRPr="00D30D5B">
        <w:t xml:space="preserve"> </w:t>
      </w:r>
      <w:r w:rsidR="005D25E9" w:rsidRPr="00D30D5B">
        <w:t>international</w:t>
      </w:r>
      <w:r w:rsidR="00573BA7" w:rsidRPr="00D30D5B">
        <w:t xml:space="preserve"> </w:t>
      </w:r>
      <w:r w:rsidR="005D25E9" w:rsidRPr="00D30D5B">
        <w:t>human</w:t>
      </w:r>
      <w:r w:rsidR="00573BA7" w:rsidRPr="00D30D5B">
        <w:t xml:space="preserve"> </w:t>
      </w:r>
      <w:r w:rsidR="005D25E9" w:rsidRPr="00D30D5B">
        <w:t>rights</w:t>
      </w:r>
      <w:r w:rsidR="00573BA7" w:rsidRPr="00D30D5B">
        <w:t xml:space="preserve"> </w:t>
      </w:r>
      <w:r w:rsidR="005D25E9" w:rsidRPr="00D30D5B">
        <w:t>law.</w:t>
      </w:r>
      <w:r w:rsidR="005D25E9" w:rsidRPr="00D30D5B">
        <w:rPr>
          <w:rStyle w:val="EndnoteReference"/>
        </w:rPr>
        <w:endnoteReference w:id="96"/>
      </w:r>
      <w:r w:rsidR="00573BA7" w:rsidRPr="00D30D5B">
        <w:t xml:space="preserve"> </w:t>
      </w:r>
      <w:r w:rsidR="000414C7" w:rsidRPr="00D30D5B">
        <w:t>The</w:t>
      </w:r>
      <w:r w:rsidR="00573BA7" w:rsidRPr="00D30D5B">
        <w:t xml:space="preserve"> </w:t>
      </w:r>
      <w:r w:rsidR="000414C7" w:rsidRPr="00D30D5B">
        <w:t>CRPD</w:t>
      </w:r>
      <w:r w:rsidR="00573BA7" w:rsidRPr="00D30D5B">
        <w:t xml:space="preserve"> </w:t>
      </w:r>
      <w:r w:rsidR="000414C7" w:rsidRPr="00D30D5B">
        <w:t>C</w:t>
      </w:r>
      <w:r w:rsidR="006840CF" w:rsidRPr="00D30D5B">
        <w:t>om</w:t>
      </w:r>
      <w:r w:rsidR="00860BDD" w:rsidRPr="00D30D5B">
        <w:t>mittee</w:t>
      </w:r>
      <w:r w:rsidR="00573BA7" w:rsidRPr="00D30D5B">
        <w:t xml:space="preserve"> </w:t>
      </w:r>
      <w:r w:rsidR="00860BDD" w:rsidRPr="00D30D5B">
        <w:t>has</w:t>
      </w:r>
      <w:r w:rsidR="00573BA7" w:rsidRPr="00D30D5B">
        <w:t xml:space="preserve"> </w:t>
      </w:r>
      <w:r w:rsidR="00860BDD" w:rsidRPr="00D30D5B">
        <w:t>com</w:t>
      </w:r>
      <w:r w:rsidR="006840CF" w:rsidRPr="00D30D5B">
        <w:t>mented</w:t>
      </w:r>
      <w:r w:rsidR="00573BA7" w:rsidRPr="00D30D5B">
        <w:t xml:space="preserve"> </w:t>
      </w:r>
      <w:r w:rsidR="006840CF" w:rsidRPr="00D30D5B">
        <w:t>that</w:t>
      </w:r>
      <w:r w:rsidR="00573BA7" w:rsidRPr="00D30D5B">
        <w:t xml:space="preserve"> </w:t>
      </w:r>
      <w:r w:rsidR="00E3502B" w:rsidRPr="00D30D5B">
        <w:t>‘equality</w:t>
      </w:r>
      <w:r w:rsidR="00573BA7" w:rsidRPr="00D30D5B">
        <w:t xml:space="preserve"> </w:t>
      </w:r>
      <w:r w:rsidR="00E3502B" w:rsidRPr="00D30D5B">
        <w:t>under</w:t>
      </w:r>
      <w:r w:rsidR="00573BA7" w:rsidRPr="00D30D5B">
        <w:t xml:space="preserve"> </w:t>
      </w:r>
      <w:r w:rsidR="00E3502B" w:rsidRPr="00D30D5B">
        <w:t>the</w:t>
      </w:r>
      <w:r w:rsidR="00573BA7" w:rsidRPr="00D30D5B">
        <w:t xml:space="preserve"> </w:t>
      </w:r>
      <w:r w:rsidR="00E3502B" w:rsidRPr="00D30D5B">
        <w:t>law</w:t>
      </w:r>
      <w:r w:rsidR="00573BA7" w:rsidRPr="00D30D5B">
        <w:t xml:space="preserve"> </w:t>
      </w:r>
      <w:r w:rsidR="00E3502B" w:rsidRPr="00D30D5B">
        <w:t>refers</w:t>
      </w:r>
      <w:r w:rsidR="00573BA7" w:rsidRPr="00D30D5B">
        <w:t xml:space="preserve"> </w:t>
      </w:r>
      <w:r w:rsidR="00E3502B" w:rsidRPr="00D30D5B">
        <w:t>to</w:t>
      </w:r>
      <w:r w:rsidR="00573BA7" w:rsidRPr="00D30D5B">
        <w:t xml:space="preserve"> </w:t>
      </w:r>
      <w:r w:rsidR="00E3502B" w:rsidRPr="00D30D5B">
        <w:t>the</w:t>
      </w:r>
      <w:r w:rsidR="00573BA7" w:rsidRPr="00D30D5B">
        <w:t xml:space="preserve"> </w:t>
      </w:r>
      <w:r w:rsidR="00E3502B" w:rsidRPr="00D30D5B">
        <w:t>right</w:t>
      </w:r>
      <w:r w:rsidR="00573BA7" w:rsidRPr="00D30D5B">
        <w:t xml:space="preserve"> </w:t>
      </w:r>
      <w:r w:rsidR="00E3502B" w:rsidRPr="00D30D5B">
        <w:t>to</w:t>
      </w:r>
      <w:r w:rsidR="00573BA7" w:rsidRPr="00D30D5B">
        <w:t xml:space="preserve"> </w:t>
      </w:r>
      <w:r w:rsidR="00E3502B" w:rsidRPr="00D30D5B">
        <w:t>use</w:t>
      </w:r>
      <w:r w:rsidR="00573BA7" w:rsidRPr="00D30D5B">
        <w:t xml:space="preserve"> </w:t>
      </w:r>
      <w:r w:rsidR="00E3502B" w:rsidRPr="00D30D5B">
        <w:t>the</w:t>
      </w:r>
      <w:r w:rsidR="00573BA7" w:rsidRPr="00D30D5B">
        <w:t xml:space="preserve"> </w:t>
      </w:r>
      <w:r w:rsidR="00E3502B" w:rsidRPr="00D30D5B">
        <w:t>law</w:t>
      </w:r>
      <w:r w:rsidR="00573BA7" w:rsidRPr="00D30D5B">
        <w:t xml:space="preserve"> </w:t>
      </w:r>
      <w:r w:rsidR="00E3502B" w:rsidRPr="00D30D5B">
        <w:t>for</w:t>
      </w:r>
      <w:r w:rsidR="00573BA7" w:rsidRPr="00D30D5B">
        <w:t xml:space="preserve"> </w:t>
      </w:r>
      <w:r w:rsidR="00E3502B" w:rsidRPr="00D30D5B">
        <w:t>personal</w:t>
      </w:r>
      <w:r w:rsidR="00573BA7" w:rsidRPr="00D30D5B">
        <w:t xml:space="preserve"> </w:t>
      </w:r>
      <w:r w:rsidR="00E3502B" w:rsidRPr="00D30D5B">
        <w:t>benefit’.</w:t>
      </w:r>
      <w:r w:rsidR="00E3502B" w:rsidRPr="00D30D5B">
        <w:rPr>
          <w:rStyle w:val="EndnoteReference"/>
        </w:rPr>
        <w:endnoteReference w:id="97"/>
      </w:r>
      <w:r w:rsidR="00573BA7" w:rsidRPr="00D30D5B">
        <w:t xml:space="preserve">  </w:t>
      </w:r>
      <w:r w:rsidR="00860BDD" w:rsidRPr="00D30D5B">
        <w:t>Consequently,</w:t>
      </w:r>
      <w:r w:rsidR="00573BA7" w:rsidRPr="00D30D5B">
        <w:t xml:space="preserve"> </w:t>
      </w:r>
      <w:r w:rsidR="00860BDD" w:rsidRPr="00D30D5B">
        <w:t>Australia</w:t>
      </w:r>
      <w:r w:rsidR="00573BA7" w:rsidRPr="00D30D5B">
        <w:t xml:space="preserve"> </w:t>
      </w:r>
      <w:r w:rsidR="00860BDD" w:rsidRPr="00D30D5B">
        <w:t>‘must</w:t>
      </w:r>
      <w:r w:rsidR="00573BA7" w:rsidRPr="00D30D5B">
        <w:t xml:space="preserve"> </w:t>
      </w:r>
      <w:r w:rsidR="00860BDD" w:rsidRPr="00D30D5B">
        <w:t>eliminate</w:t>
      </w:r>
      <w:r w:rsidR="00573BA7" w:rsidRPr="00D30D5B">
        <w:t xml:space="preserve"> </w:t>
      </w:r>
      <w:r w:rsidR="00860BDD" w:rsidRPr="00D30D5B">
        <w:t>barriers</w:t>
      </w:r>
      <w:r w:rsidR="00573BA7" w:rsidRPr="00D30D5B">
        <w:t xml:space="preserve"> </w:t>
      </w:r>
      <w:r w:rsidR="00860BDD" w:rsidRPr="00D30D5B">
        <w:t>to</w:t>
      </w:r>
      <w:r w:rsidR="00573BA7" w:rsidRPr="00D30D5B">
        <w:t xml:space="preserve"> </w:t>
      </w:r>
      <w:r w:rsidR="00860BDD" w:rsidRPr="00D30D5B">
        <w:t>gaining</w:t>
      </w:r>
      <w:r w:rsidR="00573BA7" w:rsidRPr="00D30D5B">
        <w:t xml:space="preserve"> </w:t>
      </w:r>
      <w:r w:rsidR="00860BDD" w:rsidRPr="00D30D5B">
        <w:t>access</w:t>
      </w:r>
      <w:r w:rsidR="00573BA7" w:rsidRPr="00D30D5B">
        <w:t xml:space="preserve"> </w:t>
      </w:r>
      <w:r w:rsidR="00860BDD" w:rsidRPr="00D30D5B">
        <w:t>to</w:t>
      </w:r>
      <w:r w:rsidR="00573BA7" w:rsidRPr="00D30D5B">
        <w:t xml:space="preserve"> </w:t>
      </w:r>
      <w:r w:rsidR="00860BDD" w:rsidRPr="00D30D5B">
        <w:t>all</w:t>
      </w:r>
      <w:r w:rsidR="00573BA7" w:rsidRPr="00D30D5B">
        <w:t xml:space="preserve"> </w:t>
      </w:r>
      <w:r w:rsidR="00860BDD" w:rsidRPr="00D30D5B">
        <w:t>of</w:t>
      </w:r>
      <w:r w:rsidR="00573BA7" w:rsidRPr="00D30D5B">
        <w:t xml:space="preserve"> </w:t>
      </w:r>
      <w:r w:rsidR="00860BDD" w:rsidRPr="00D30D5B">
        <w:t>the</w:t>
      </w:r>
      <w:r w:rsidR="00573BA7" w:rsidRPr="00D30D5B">
        <w:t xml:space="preserve"> </w:t>
      </w:r>
      <w:r w:rsidR="00860BDD" w:rsidRPr="00D30D5B">
        <w:t>protections</w:t>
      </w:r>
      <w:r w:rsidR="00573BA7" w:rsidRPr="00D30D5B">
        <w:t xml:space="preserve"> </w:t>
      </w:r>
      <w:r w:rsidR="00860BDD" w:rsidRPr="00D30D5B">
        <w:t>of</w:t>
      </w:r>
      <w:r w:rsidR="00573BA7" w:rsidRPr="00D30D5B">
        <w:t xml:space="preserve"> </w:t>
      </w:r>
      <w:r w:rsidR="00860BDD" w:rsidRPr="00D30D5B">
        <w:t>the</w:t>
      </w:r>
      <w:r w:rsidR="00573BA7" w:rsidRPr="00D30D5B">
        <w:t xml:space="preserve"> </w:t>
      </w:r>
      <w:r w:rsidR="00860BDD" w:rsidRPr="00D30D5B">
        <w:t>law</w:t>
      </w:r>
      <w:r w:rsidR="00573BA7" w:rsidRPr="00D30D5B">
        <w:t xml:space="preserve"> </w:t>
      </w:r>
      <w:r w:rsidR="00860BDD" w:rsidRPr="00D30D5B">
        <w:t>and</w:t>
      </w:r>
      <w:r w:rsidR="00573BA7" w:rsidRPr="00D30D5B">
        <w:t xml:space="preserve"> </w:t>
      </w:r>
      <w:r w:rsidR="00860BDD" w:rsidRPr="00D30D5B">
        <w:t>the</w:t>
      </w:r>
      <w:r w:rsidR="00573BA7" w:rsidRPr="00D30D5B">
        <w:t xml:space="preserve"> </w:t>
      </w:r>
      <w:r w:rsidR="00860BDD" w:rsidRPr="00D30D5B">
        <w:t>benefits</w:t>
      </w:r>
      <w:r w:rsidR="00573BA7" w:rsidRPr="00D30D5B">
        <w:t xml:space="preserve"> </w:t>
      </w:r>
      <w:r w:rsidR="00860BDD" w:rsidRPr="00D30D5B">
        <w:t>of</w:t>
      </w:r>
      <w:r w:rsidR="00573BA7" w:rsidRPr="00D30D5B">
        <w:t xml:space="preserve"> </w:t>
      </w:r>
      <w:r w:rsidR="00860BDD" w:rsidRPr="00D30D5B">
        <w:t>equal</w:t>
      </w:r>
      <w:r w:rsidR="00573BA7" w:rsidRPr="00D30D5B">
        <w:t xml:space="preserve"> </w:t>
      </w:r>
      <w:r w:rsidR="00860BDD" w:rsidRPr="00D30D5B">
        <w:t>access</w:t>
      </w:r>
      <w:r w:rsidR="00573BA7" w:rsidRPr="00D30D5B">
        <w:t xml:space="preserve"> </w:t>
      </w:r>
      <w:r w:rsidR="00860BDD" w:rsidRPr="00D30D5B">
        <w:t>to</w:t>
      </w:r>
      <w:r w:rsidR="00573BA7" w:rsidRPr="00D30D5B">
        <w:t xml:space="preserve"> </w:t>
      </w:r>
      <w:r w:rsidR="00860BDD" w:rsidRPr="00D30D5B">
        <w:t>the</w:t>
      </w:r>
      <w:r w:rsidR="00573BA7" w:rsidRPr="00D30D5B">
        <w:t xml:space="preserve"> </w:t>
      </w:r>
      <w:r w:rsidR="00860BDD" w:rsidRPr="00D30D5B">
        <w:t>law</w:t>
      </w:r>
      <w:r w:rsidR="00573BA7" w:rsidRPr="00D30D5B">
        <w:t xml:space="preserve"> </w:t>
      </w:r>
      <w:r w:rsidR="00860BDD" w:rsidRPr="00D30D5B">
        <w:t>and</w:t>
      </w:r>
      <w:r w:rsidR="00573BA7" w:rsidRPr="00D30D5B">
        <w:t xml:space="preserve"> </w:t>
      </w:r>
      <w:r w:rsidR="00860BDD" w:rsidRPr="00D30D5B">
        <w:t>justice</w:t>
      </w:r>
      <w:r w:rsidR="00573BA7" w:rsidRPr="00D30D5B">
        <w:t xml:space="preserve"> </w:t>
      </w:r>
      <w:r w:rsidR="00860BDD" w:rsidRPr="00D30D5B">
        <w:t>to</w:t>
      </w:r>
      <w:r w:rsidR="00573BA7" w:rsidRPr="00D30D5B">
        <w:t xml:space="preserve"> </w:t>
      </w:r>
      <w:r w:rsidR="00860BDD" w:rsidRPr="00D30D5B">
        <w:t>assert</w:t>
      </w:r>
      <w:r w:rsidR="00573BA7" w:rsidRPr="00D30D5B">
        <w:t xml:space="preserve"> </w:t>
      </w:r>
      <w:r w:rsidR="00860BDD" w:rsidRPr="00D30D5B">
        <w:t>rights’.</w:t>
      </w:r>
      <w:r w:rsidR="00860BDD" w:rsidRPr="00D30D5B">
        <w:rPr>
          <w:rStyle w:val="EndnoteReference"/>
        </w:rPr>
        <w:endnoteReference w:id="98"/>
      </w:r>
      <w:r w:rsidR="00573BA7" w:rsidRPr="00D30D5B">
        <w:t xml:space="preserve">  </w:t>
      </w:r>
      <w:r w:rsidR="009E7E48" w:rsidRPr="00D30D5B">
        <w:t>This</w:t>
      </w:r>
      <w:r w:rsidR="00573BA7">
        <w:t xml:space="preserve"> </w:t>
      </w:r>
      <w:r w:rsidR="009E7E48">
        <w:t>is</w:t>
      </w:r>
      <w:r w:rsidR="00573BA7">
        <w:t xml:space="preserve"> </w:t>
      </w:r>
      <w:r w:rsidR="009E7E48">
        <w:t>of</w:t>
      </w:r>
      <w:r w:rsidR="00573BA7">
        <w:t xml:space="preserve"> </w:t>
      </w:r>
      <w:r w:rsidR="009E7E48">
        <w:t>relevance</w:t>
      </w:r>
      <w:r w:rsidR="00573BA7">
        <w:t xml:space="preserve"> </w:t>
      </w:r>
      <w:r w:rsidR="009E7E48">
        <w:t>to</w:t>
      </w:r>
      <w:r w:rsidR="00573BA7">
        <w:t xml:space="preserve"> </w:t>
      </w:r>
      <w:r w:rsidR="009E7E48">
        <w:t>Australia’s</w:t>
      </w:r>
      <w:r w:rsidR="00573BA7">
        <w:t xml:space="preserve"> </w:t>
      </w:r>
      <w:r w:rsidR="009E7E48">
        <w:t>l</w:t>
      </w:r>
      <w:r w:rsidR="00CF6146">
        <w:t>egislative</w:t>
      </w:r>
      <w:r w:rsidR="00573BA7">
        <w:t xml:space="preserve"> </w:t>
      </w:r>
      <w:r w:rsidR="003014B8">
        <w:t>regimes</w:t>
      </w:r>
      <w:r w:rsidR="00573BA7">
        <w:t xml:space="preserve"> </w:t>
      </w:r>
      <w:r w:rsidR="003014B8">
        <w:t>which</w:t>
      </w:r>
      <w:r w:rsidR="00573BA7">
        <w:t xml:space="preserve"> </w:t>
      </w:r>
      <w:r w:rsidR="003014B8">
        <w:t>purport</w:t>
      </w:r>
      <w:r w:rsidR="00573BA7">
        <w:t xml:space="preserve"> </w:t>
      </w:r>
      <w:r w:rsidR="003014B8">
        <w:t>to</w:t>
      </w:r>
      <w:r w:rsidR="00573BA7">
        <w:t xml:space="preserve"> </w:t>
      </w:r>
      <w:r w:rsidR="00CC7D00">
        <w:t>uphold the rights of people</w:t>
      </w:r>
      <w:r w:rsidR="00573BA7">
        <w:t xml:space="preserve"> </w:t>
      </w:r>
      <w:r w:rsidR="007F5BA4">
        <w:t>with</w:t>
      </w:r>
      <w:r w:rsidR="00573BA7">
        <w:t xml:space="preserve"> </w:t>
      </w:r>
      <w:r w:rsidR="007F5BA4">
        <w:t>disability</w:t>
      </w:r>
      <w:r w:rsidR="003C10A5">
        <w:t>,</w:t>
      </w:r>
      <w:r w:rsidR="00573BA7">
        <w:t xml:space="preserve"> </w:t>
      </w:r>
      <w:r w:rsidR="003C10A5">
        <w:t>considered</w:t>
      </w:r>
      <w:r w:rsidR="00573BA7">
        <w:t xml:space="preserve"> </w:t>
      </w:r>
      <w:r w:rsidR="003C10A5" w:rsidRPr="00D30D5B">
        <w:t>at</w:t>
      </w:r>
      <w:r w:rsidR="00573BA7" w:rsidRPr="00D30D5B">
        <w:t xml:space="preserve"> </w:t>
      </w:r>
      <w:r w:rsidR="008F58E1" w:rsidRPr="00D30D5B">
        <w:t>parts</w:t>
      </w:r>
      <w:r w:rsidR="00573BA7" w:rsidRPr="00D30D5B">
        <w:t xml:space="preserve"> </w:t>
      </w:r>
      <w:r w:rsidR="00E054CD">
        <w:t xml:space="preserve">5.3 and 5.4 </w:t>
      </w:r>
      <w:r w:rsidR="003C10A5" w:rsidRPr="00D30D5B">
        <w:t>of</w:t>
      </w:r>
      <w:r w:rsidR="00573BA7" w:rsidRPr="00D30D5B">
        <w:t xml:space="preserve"> </w:t>
      </w:r>
      <w:r w:rsidR="003C10A5" w:rsidRPr="00D30D5B">
        <w:t>this</w:t>
      </w:r>
      <w:r w:rsidR="00573BA7">
        <w:t xml:space="preserve"> </w:t>
      </w:r>
      <w:r w:rsidR="003C10A5">
        <w:t>submission.</w:t>
      </w:r>
    </w:p>
    <w:p w14:paraId="21666AAD" w14:textId="4579095F" w:rsidR="009650DD" w:rsidRPr="00ED1722" w:rsidRDefault="00E05E3F" w:rsidP="00DA2A0A">
      <w:pPr>
        <w:pStyle w:val="ListParagraph"/>
        <w:numPr>
          <w:ilvl w:val="1"/>
          <w:numId w:val="58"/>
        </w:numPr>
      </w:pPr>
      <w:r>
        <w:t>Article</w:t>
      </w:r>
      <w:r w:rsidR="00573BA7">
        <w:t xml:space="preserve"> </w:t>
      </w:r>
      <w:r>
        <w:t>5(</w:t>
      </w:r>
      <w:r w:rsidR="000532D5">
        <w:t>2</w:t>
      </w:r>
      <w:r>
        <w:t>)</w:t>
      </w:r>
      <w:r w:rsidR="00573BA7">
        <w:t xml:space="preserve"> </w:t>
      </w:r>
      <w:r w:rsidR="00FA5468">
        <w:t>of</w:t>
      </w:r>
      <w:r w:rsidR="00573BA7">
        <w:t xml:space="preserve"> </w:t>
      </w:r>
      <w:r w:rsidR="00FA5468">
        <w:t>the</w:t>
      </w:r>
      <w:r w:rsidR="00573BA7">
        <w:t xml:space="preserve"> </w:t>
      </w:r>
      <w:r w:rsidR="00FA5468" w:rsidRPr="00ED1722">
        <w:t>CRPD</w:t>
      </w:r>
      <w:r w:rsidR="00573BA7" w:rsidRPr="00ED1722">
        <w:t xml:space="preserve"> </w:t>
      </w:r>
      <w:r w:rsidR="000532D5" w:rsidRPr="00ED1722">
        <w:t>requires</w:t>
      </w:r>
      <w:r w:rsidR="00573BA7" w:rsidRPr="00ED1722">
        <w:t xml:space="preserve"> </w:t>
      </w:r>
      <w:r w:rsidR="000532D5" w:rsidRPr="00ED1722">
        <w:t>Australia</w:t>
      </w:r>
      <w:r w:rsidR="00573BA7" w:rsidRPr="00ED1722">
        <w:t xml:space="preserve"> </w:t>
      </w:r>
      <w:r w:rsidR="000532D5" w:rsidRPr="00ED1722">
        <w:t>to</w:t>
      </w:r>
      <w:r w:rsidR="00573BA7" w:rsidRPr="00ED1722">
        <w:t xml:space="preserve"> </w:t>
      </w:r>
      <w:r w:rsidR="000532D5" w:rsidRPr="00ED1722">
        <w:t>prohibit</w:t>
      </w:r>
      <w:r w:rsidR="00573BA7" w:rsidRPr="00ED1722">
        <w:t xml:space="preserve"> </w:t>
      </w:r>
      <w:r w:rsidR="000532D5" w:rsidRPr="00ED1722">
        <w:t>all</w:t>
      </w:r>
      <w:r w:rsidR="00573BA7" w:rsidRPr="00ED1722">
        <w:t xml:space="preserve"> </w:t>
      </w:r>
      <w:r w:rsidR="000532D5" w:rsidRPr="00ED1722">
        <w:t>discrimination</w:t>
      </w:r>
      <w:r w:rsidR="00573BA7" w:rsidRPr="00ED1722">
        <w:t xml:space="preserve"> </w:t>
      </w:r>
      <w:r w:rsidR="000532D5" w:rsidRPr="00ED1722">
        <w:t>on</w:t>
      </w:r>
      <w:r w:rsidR="00573BA7" w:rsidRPr="00ED1722">
        <w:t xml:space="preserve"> </w:t>
      </w:r>
      <w:r w:rsidR="000532D5" w:rsidRPr="00ED1722">
        <w:t>the</w:t>
      </w:r>
      <w:r w:rsidR="00573BA7" w:rsidRPr="00ED1722">
        <w:t xml:space="preserve"> </w:t>
      </w:r>
      <w:r w:rsidR="000532D5" w:rsidRPr="00ED1722">
        <w:t>basis</w:t>
      </w:r>
      <w:r w:rsidR="00573BA7" w:rsidRPr="00ED1722">
        <w:t xml:space="preserve"> </w:t>
      </w:r>
      <w:r w:rsidR="000532D5" w:rsidRPr="00ED1722">
        <w:t>of</w:t>
      </w:r>
      <w:r w:rsidR="00573BA7" w:rsidRPr="00ED1722">
        <w:t xml:space="preserve"> </w:t>
      </w:r>
      <w:r w:rsidR="000532D5" w:rsidRPr="00ED1722">
        <w:t>disability</w:t>
      </w:r>
      <w:r w:rsidR="00573BA7" w:rsidRPr="00ED1722">
        <w:t xml:space="preserve"> </w:t>
      </w:r>
      <w:r w:rsidR="000532D5" w:rsidRPr="00ED1722">
        <w:t>and</w:t>
      </w:r>
      <w:r w:rsidR="00573BA7" w:rsidRPr="00ED1722">
        <w:t xml:space="preserve"> </w:t>
      </w:r>
      <w:r w:rsidR="000532D5" w:rsidRPr="00ED1722">
        <w:t>guarantee</w:t>
      </w:r>
      <w:r w:rsidR="00573BA7" w:rsidRPr="00ED1722">
        <w:t xml:space="preserve"> </w:t>
      </w:r>
      <w:r w:rsidR="008F7258" w:rsidRPr="00ED1722">
        <w:t>to</w:t>
      </w:r>
      <w:r w:rsidR="00573BA7" w:rsidRPr="00ED1722">
        <w:t xml:space="preserve"> </w:t>
      </w:r>
      <w:r w:rsidR="007F5BA4" w:rsidRPr="00ED1722">
        <w:t>people</w:t>
      </w:r>
      <w:r w:rsidR="00573BA7" w:rsidRPr="00ED1722">
        <w:t xml:space="preserve"> </w:t>
      </w:r>
      <w:r w:rsidR="007F5BA4" w:rsidRPr="00ED1722">
        <w:t>with</w:t>
      </w:r>
      <w:r w:rsidR="00573BA7" w:rsidRPr="00ED1722">
        <w:t xml:space="preserve"> </w:t>
      </w:r>
      <w:r w:rsidR="007F5BA4" w:rsidRPr="00ED1722">
        <w:t>disability</w:t>
      </w:r>
      <w:r w:rsidR="00573BA7" w:rsidRPr="00ED1722">
        <w:t xml:space="preserve"> </w:t>
      </w:r>
      <w:r w:rsidR="008F7258" w:rsidRPr="00ED1722">
        <w:t>equal</w:t>
      </w:r>
      <w:r w:rsidR="00573BA7" w:rsidRPr="00ED1722">
        <w:t xml:space="preserve"> </w:t>
      </w:r>
      <w:r w:rsidR="008F7258" w:rsidRPr="00ED1722">
        <w:t>and</w:t>
      </w:r>
      <w:r w:rsidR="00573BA7" w:rsidRPr="00ED1722">
        <w:t xml:space="preserve"> </w:t>
      </w:r>
      <w:r w:rsidR="008F7258" w:rsidRPr="00ED1722">
        <w:t>effective</w:t>
      </w:r>
      <w:r w:rsidR="00573BA7" w:rsidRPr="00ED1722">
        <w:t xml:space="preserve"> </w:t>
      </w:r>
      <w:r w:rsidR="008F7258" w:rsidRPr="00ED1722">
        <w:t>legal</w:t>
      </w:r>
      <w:r w:rsidR="00573BA7" w:rsidRPr="00ED1722">
        <w:t xml:space="preserve"> </w:t>
      </w:r>
      <w:r w:rsidR="008F7258" w:rsidRPr="00ED1722">
        <w:t>protection</w:t>
      </w:r>
      <w:r w:rsidR="00573BA7" w:rsidRPr="00ED1722">
        <w:t xml:space="preserve"> </w:t>
      </w:r>
      <w:r w:rsidR="008F7258" w:rsidRPr="00ED1722">
        <w:t>against</w:t>
      </w:r>
      <w:r w:rsidR="00573BA7" w:rsidRPr="00ED1722">
        <w:t xml:space="preserve"> </w:t>
      </w:r>
      <w:r w:rsidR="008F7258" w:rsidRPr="00ED1722">
        <w:t>discrimination</w:t>
      </w:r>
      <w:r w:rsidR="00573BA7" w:rsidRPr="00ED1722">
        <w:t xml:space="preserve"> </w:t>
      </w:r>
      <w:r w:rsidR="008F7258" w:rsidRPr="00ED1722">
        <w:t>on</w:t>
      </w:r>
      <w:r w:rsidR="00573BA7" w:rsidRPr="00ED1722">
        <w:t xml:space="preserve"> </w:t>
      </w:r>
      <w:r w:rsidR="008F7258" w:rsidRPr="00ED1722">
        <w:t>all</w:t>
      </w:r>
      <w:r w:rsidR="00573BA7" w:rsidRPr="00ED1722">
        <w:t xml:space="preserve"> </w:t>
      </w:r>
      <w:r w:rsidR="008F7258" w:rsidRPr="00ED1722">
        <w:t>grounds.</w:t>
      </w:r>
      <w:r w:rsidR="00573BA7" w:rsidRPr="00ED1722">
        <w:t xml:space="preserve">  </w:t>
      </w:r>
      <w:r w:rsidR="00CC256A" w:rsidRPr="00ED1722">
        <w:t>The</w:t>
      </w:r>
      <w:r w:rsidR="00573BA7" w:rsidRPr="00ED1722">
        <w:t xml:space="preserve"> </w:t>
      </w:r>
      <w:r w:rsidR="00CC256A" w:rsidRPr="00ED1722">
        <w:t>CRPD</w:t>
      </w:r>
      <w:r w:rsidR="00573BA7" w:rsidRPr="00ED1722">
        <w:t xml:space="preserve"> </w:t>
      </w:r>
      <w:r w:rsidR="00CC256A" w:rsidRPr="00ED1722">
        <w:t>Committee</w:t>
      </w:r>
      <w:r w:rsidR="00573BA7" w:rsidRPr="00ED1722">
        <w:t xml:space="preserve"> </w:t>
      </w:r>
      <w:r w:rsidR="00CC256A" w:rsidRPr="00ED1722">
        <w:t>has</w:t>
      </w:r>
      <w:r w:rsidR="00573BA7" w:rsidRPr="00ED1722">
        <w:t xml:space="preserve"> </w:t>
      </w:r>
      <w:r w:rsidR="00CC256A" w:rsidRPr="00ED1722">
        <w:t>confirmed</w:t>
      </w:r>
      <w:r w:rsidR="00573BA7" w:rsidRPr="00ED1722">
        <w:t xml:space="preserve"> </w:t>
      </w:r>
      <w:r w:rsidR="00CC256A" w:rsidRPr="00ED1722">
        <w:t>that</w:t>
      </w:r>
      <w:r w:rsidR="00573BA7" w:rsidRPr="00ED1722">
        <w:t xml:space="preserve"> </w:t>
      </w:r>
      <w:r w:rsidR="00CC256A" w:rsidRPr="00ED1722">
        <w:t>‘the</w:t>
      </w:r>
      <w:r w:rsidR="00573BA7" w:rsidRPr="00ED1722">
        <w:t xml:space="preserve"> </w:t>
      </w:r>
      <w:r w:rsidR="00CC256A" w:rsidRPr="00ED1722">
        <w:t>duty</w:t>
      </w:r>
      <w:r w:rsidR="00573BA7" w:rsidRPr="00ED1722">
        <w:t xml:space="preserve"> </w:t>
      </w:r>
      <w:r w:rsidR="00CC256A" w:rsidRPr="00ED1722">
        <w:t>to</w:t>
      </w:r>
      <w:r w:rsidR="00573BA7" w:rsidRPr="00ED1722">
        <w:t xml:space="preserve"> </w:t>
      </w:r>
      <w:r w:rsidR="00CC256A" w:rsidRPr="00ED1722">
        <w:t>prohib</w:t>
      </w:r>
      <w:r w:rsidR="00CC3744" w:rsidRPr="00ED1722">
        <w:t>it</w:t>
      </w:r>
      <w:r w:rsidR="00573BA7" w:rsidRPr="00ED1722">
        <w:t xml:space="preserve"> </w:t>
      </w:r>
      <w:r w:rsidR="00CC3744" w:rsidRPr="00ED1722">
        <w:t>“all</w:t>
      </w:r>
      <w:r w:rsidR="00573BA7" w:rsidRPr="00ED1722">
        <w:t xml:space="preserve"> </w:t>
      </w:r>
      <w:r w:rsidR="00CC3744" w:rsidRPr="00ED1722">
        <w:t>discrimination”</w:t>
      </w:r>
      <w:r w:rsidR="00573BA7" w:rsidRPr="00ED1722">
        <w:t xml:space="preserve"> </w:t>
      </w:r>
      <w:r w:rsidR="00CC3744" w:rsidRPr="00ED1722">
        <w:t>includes</w:t>
      </w:r>
      <w:r w:rsidR="00573BA7" w:rsidRPr="00ED1722">
        <w:t xml:space="preserve"> </w:t>
      </w:r>
      <w:r w:rsidR="00CC3744" w:rsidRPr="00ED1722">
        <w:t>all</w:t>
      </w:r>
      <w:r w:rsidR="00573BA7" w:rsidRPr="00ED1722">
        <w:t xml:space="preserve"> </w:t>
      </w:r>
      <w:r w:rsidR="00CC3744" w:rsidRPr="00ED1722">
        <w:t>forms</w:t>
      </w:r>
      <w:r w:rsidR="00573BA7" w:rsidRPr="00ED1722">
        <w:t xml:space="preserve"> </w:t>
      </w:r>
      <w:r w:rsidR="00CC3744" w:rsidRPr="00ED1722">
        <w:t>of</w:t>
      </w:r>
      <w:r w:rsidR="00573BA7" w:rsidRPr="00ED1722">
        <w:t xml:space="preserve"> </w:t>
      </w:r>
      <w:r w:rsidR="00CC3744" w:rsidRPr="00ED1722">
        <w:t>discrimination’,</w:t>
      </w:r>
      <w:r w:rsidR="00573BA7" w:rsidRPr="00ED1722">
        <w:t xml:space="preserve"> </w:t>
      </w:r>
      <w:r w:rsidR="00CC3744" w:rsidRPr="00ED1722">
        <w:t>including</w:t>
      </w:r>
      <w:r w:rsidR="00573BA7" w:rsidRPr="00ED1722">
        <w:t xml:space="preserve"> </w:t>
      </w:r>
      <w:r w:rsidR="00CC3744" w:rsidRPr="00ED1722">
        <w:t>direct</w:t>
      </w:r>
      <w:r w:rsidR="00573BA7" w:rsidRPr="00ED1722">
        <w:t xml:space="preserve"> </w:t>
      </w:r>
      <w:r w:rsidR="00CC3744" w:rsidRPr="00ED1722">
        <w:t>discrimination,</w:t>
      </w:r>
      <w:r w:rsidR="00573BA7" w:rsidRPr="00ED1722">
        <w:t xml:space="preserve"> </w:t>
      </w:r>
      <w:r w:rsidR="00CC3744" w:rsidRPr="00ED1722">
        <w:t>indirect</w:t>
      </w:r>
      <w:r w:rsidR="00573BA7" w:rsidRPr="00ED1722">
        <w:t xml:space="preserve"> </w:t>
      </w:r>
      <w:r w:rsidR="00CC3744" w:rsidRPr="00ED1722">
        <w:t>discrimination,</w:t>
      </w:r>
      <w:r w:rsidR="00573BA7" w:rsidRPr="00ED1722">
        <w:t xml:space="preserve"> </w:t>
      </w:r>
      <w:r w:rsidR="00CC3744" w:rsidRPr="00ED1722">
        <w:t>the</w:t>
      </w:r>
      <w:r w:rsidR="00573BA7" w:rsidRPr="00ED1722">
        <w:t xml:space="preserve"> </w:t>
      </w:r>
      <w:r w:rsidR="00CC3744" w:rsidRPr="00ED1722">
        <w:t>denial</w:t>
      </w:r>
      <w:r w:rsidR="00573BA7" w:rsidRPr="00ED1722">
        <w:t xml:space="preserve"> </w:t>
      </w:r>
      <w:r w:rsidR="00CC3744" w:rsidRPr="00ED1722">
        <w:t>of</w:t>
      </w:r>
      <w:r w:rsidR="00573BA7" w:rsidRPr="00ED1722">
        <w:t xml:space="preserve"> </w:t>
      </w:r>
      <w:r w:rsidR="00CC3744" w:rsidRPr="00ED1722">
        <w:t>reasonable</w:t>
      </w:r>
      <w:r w:rsidR="00573BA7" w:rsidRPr="00ED1722">
        <w:t xml:space="preserve"> </w:t>
      </w:r>
      <w:r w:rsidR="00180E4B" w:rsidRPr="00ED1722">
        <w:t>accommodation</w:t>
      </w:r>
      <w:r w:rsidR="00502F2C" w:rsidRPr="00ED1722">
        <w:t>,</w:t>
      </w:r>
      <w:r w:rsidR="00573BA7" w:rsidRPr="00ED1722">
        <w:t xml:space="preserve"> </w:t>
      </w:r>
      <w:r w:rsidR="00502F2C" w:rsidRPr="00ED1722">
        <w:t>and</w:t>
      </w:r>
      <w:r w:rsidR="00573BA7" w:rsidRPr="00ED1722">
        <w:t xml:space="preserve"> </w:t>
      </w:r>
      <w:r w:rsidR="00502F2C" w:rsidRPr="00ED1722">
        <w:t>harassment</w:t>
      </w:r>
      <w:r w:rsidR="00180E4B" w:rsidRPr="00ED1722">
        <w:t>.</w:t>
      </w:r>
      <w:r w:rsidR="00180E4B" w:rsidRPr="00ED1722">
        <w:rPr>
          <w:rStyle w:val="EndnoteReference"/>
        </w:rPr>
        <w:endnoteReference w:id="99"/>
      </w:r>
      <w:r w:rsidR="00573BA7" w:rsidRPr="00ED1722">
        <w:t xml:space="preserve">  </w:t>
      </w:r>
      <w:r w:rsidR="00000415" w:rsidRPr="00ED1722">
        <w:t>Additionally,</w:t>
      </w:r>
      <w:r w:rsidR="00573BA7" w:rsidRPr="00ED1722">
        <w:t xml:space="preserve"> </w:t>
      </w:r>
      <w:r w:rsidR="00000415" w:rsidRPr="00ED1722">
        <w:t>Article</w:t>
      </w:r>
      <w:r w:rsidR="00573BA7" w:rsidRPr="00ED1722">
        <w:t xml:space="preserve"> </w:t>
      </w:r>
      <w:r w:rsidR="00000415" w:rsidRPr="00ED1722">
        <w:t>5(2)</w:t>
      </w:r>
      <w:r w:rsidR="00573BA7" w:rsidRPr="00ED1722">
        <w:t xml:space="preserve"> </w:t>
      </w:r>
      <w:r w:rsidR="00000415" w:rsidRPr="00ED1722">
        <w:t>requires</w:t>
      </w:r>
      <w:r w:rsidR="00573BA7" w:rsidRPr="00ED1722">
        <w:t xml:space="preserve"> </w:t>
      </w:r>
      <w:r w:rsidR="00000415" w:rsidRPr="00ED1722">
        <w:t>Australia</w:t>
      </w:r>
      <w:r w:rsidR="00573BA7" w:rsidRPr="00ED1722">
        <w:t xml:space="preserve"> </w:t>
      </w:r>
      <w:r w:rsidR="00C216B6" w:rsidRPr="00ED1722">
        <w:t>to</w:t>
      </w:r>
      <w:r w:rsidR="00573BA7" w:rsidRPr="00ED1722">
        <w:t xml:space="preserve"> </w:t>
      </w:r>
      <w:r w:rsidR="00A265EB" w:rsidRPr="00ED1722">
        <w:t>‘enact</w:t>
      </w:r>
      <w:r w:rsidR="00573BA7" w:rsidRPr="00ED1722">
        <w:t xml:space="preserve"> </w:t>
      </w:r>
      <w:r w:rsidR="00A265EB" w:rsidRPr="00ED1722">
        <w:t>specific</w:t>
      </w:r>
      <w:r w:rsidR="00573BA7" w:rsidRPr="00ED1722">
        <w:t xml:space="preserve"> </w:t>
      </w:r>
      <w:r w:rsidR="00A265EB" w:rsidRPr="00ED1722">
        <w:t>and</w:t>
      </w:r>
      <w:r w:rsidR="00573BA7" w:rsidRPr="00ED1722">
        <w:t xml:space="preserve"> </w:t>
      </w:r>
      <w:r w:rsidR="00A265EB" w:rsidRPr="00ED1722">
        <w:t>comprehensive</w:t>
      </w:r>
      <w:r w:rsidR="00573BA7" w:rsidRPr="00ED1722">
        <w:t xml:space="preserve"> </w:t>
      </w:r>
      <w:r w:rsidR="00A265EB" w:rsidRPr="00ED1722">
        <w:t>anti-discrimination</w:t>
      </w:r>
      <w:r w:rsidR="00573BA7" w:rsidRPr="00ED1722">
        <w:t xml:space="preserve"> </w:t>
      </w:r>
      <w:r w:rsidR="00A265EB" w:rsidRPr="00ED1722">
        <w:t>legislation’</w:t>
      </w:r>
      <w:r w:rsidR="00573BA7" w:rsidRPr="00ED1722">
        <w:t xml:space="preserve"> </w:t>
      </w:r>
      <w:r w:rsidR="00A265EB" w:rsidRPr="00ED1722">
        <w:t>so</w:t>
      </w:r>
      <w:r w:rsidR="00573BA7" w:rsidRPr="00ED1722">
        <w:t xml:space="preserve"> </w:t>
      </w:r>
      <w:r w:rsidR="00A265EB" w:rsidRPr="00ED1722">
        <w:t>as</w:t>
      </w:r>
      <w:r w:rsidR="00573BA7" w:rsidRPr="00ED1722">
        <w:t xml:space="preserve"> </w:t>
      </w:r>
      <w:r w:rsidR="00A265EB" w:rsidRPr="00ED1722">
        <w:t>to</w:t>
      </w:r>
      <w:r w:rsidR="00573BA7" w:rsidRPr="00ED1722">
        <w:t xml:space="preserve"> </w:t>
      </w:r>
      <w:r w:rsidR="000106FE" w:rsidRPr="00ED1722">
        <w:t>secure</w:t>
      </w:r>
      <w:r w:rsidR="00573BA7" w:rsidRPr="00ED1722">
        <w:t xml:space="preserve"> </w:t>
      </w:r>
      <w:r w:rsidR="000106FE" w:rsidRPr="00ED1722">
        <w:t>equal</w:t>
      </w:r>
      <w:r w:rsidR="00573BA7" w:rsidRPr="00ED1722">
        <w:t xml:space="preserve"> </w:t>
      </w:r>
      <w:r w:rsidR="000106FE" w:rsidRPr="00ED1722">
        <w:t>and</w:t>
      </w:r>
      <w:r w:rsidR="00573BA7" w:rsidRPr="00ED1722">
        <w:t xml:space="preserve"> </w:t>
      </w:r>
      <w:r w:rsidR="000106FE" w:rsidRPr="00ED1722">
        <w:t>effective</w:t>
      </w:r>
      <w:r w:rsidR="00573BA7" w:rsidRPr="00ED1722">
        <w:t xml:space="preserve"> </w:t>
      </w:r>
      <w:r w:rsidR="003145C3" w:rsidRPr="00ED1722">
        <w:t>legal</w:t>
      </w:r>
      <w:r w:rsidR="00573BA7" w:rsidRPr="00ED1722">
        <w:t xml:space="preserve"> </w:t>
      </w:r>
      <w:r w:rsidR="003145C3" w:rsidRPr="00ED1722">
        <w:t>protection</w:t>
      </w:r>
      <w:r w:rsidR="00573BA7" w:rsidRPr="00ED1722">
        <w:t xml:space="preserve"> </w:t>
      </w:r>
      <w:r w:rsidR="003145C3" w:rsidRPr="00ED1722">
        <w:t>against</w:t>
      </w:r>
      <w:r w:rsidR="00573BA7" w:rsidRPr="00ED1722">
        <w:t xml:space="preserve"> </w:t>
      </w:r>
      <w:r w:rsidR="003145C3" w:rsidRPr="00ED1722">
        <w:t>discrimination</w:t>
      </w:r>
      <w:r w:rsidR="00A265EB" w:rsidRPr="00ED1722">
        <w:t>.</w:t>
      </w:r>
      <w:r w:rsidR="00A265EB" w:rsidRPr="00ED1722">
        <w:rPr>
          <w:rStyle w:val="EndnoteReference"/>
        </w:rPr>
        <w:endnoteReference w:id="100"/>
      </w:r>
    </w:p>
    <w:p w14:paraId="4B7DE55E" w14:textId="363EEA82" w:rsidR="00D43F1E" w:rsidRDefault="006C3107" w:rsidP="00DA2A0A">
      <w:pPr>
        <w:pStyle w:val="ListParagraph"/>
        <w:numPr>
          <w:ilvl w:val="1"/>
          <w:numId w:val="58"/>
        </w:numPr>
      </w:pPr>
      <w:r w:rsidRPr="00ED1722">
        <w:t>Article</w:t>
      </w:r>
      <w:r w:rsidR="00573BA7" w:rsidRPr="00ED1722">
        <w:t xml:space="preserve"> </w:t>
      </w:r>
      <w:r w:rsidR="00230C3A" w:rsidRPr="00ED1722">
        <w:t>5(3)</w:t>
      </w:r>
      <w:r w:rsidR="00573BA7" w:rsidRPr="00ED1722">
        <w:t xml:space="preserve"> </w:t>
      </w:r>
      <w:r w:rsidR="00FA5468" w:rsidRPr="00ED1722">
        <w:t>of</w:t>
      </w:r>
      <w:r w:rsidR="00573BA7" w:rsidRPr="00ED1722">
        <w:t xml:space="preserve"> </w:t>
      </w:r>
      <w:r w:rsidR="00FA5468" w:rsidRPr="00ED1722">
        <w:t>the</w:t>
      </w:r>
      <w:r w:rsidR="00573BA7" w:rsidRPr="00ED1722">
        <w:t xml:space="preserve"> </w:t>
      </w:r>
      <w:r w:rsidR="00FA5468" w:rsidRPr="00ED1722">
        <w:t>CRPD</w:t>
      </w:r>
      <w:r w:rsidR="00573BA7" w:rsidRPr="00ED1722">
        <w:t xml:space="preserve"> </w:t>
      </w:r>
      <w:r w:rsidR="00F51D1C" w:rsidRPr="00ED1722">
        <w:t>requires</w:t>
      </w:r>
      <w:r w:rsidR="00573BA7" w:rsidRPr="00ED1722">
        <w:t xml:space="preserve"> </w:t>
      </w:r>
      <w:r w:rsidR="00F51D1C" w:rsidRPr="00ED1722">
        <w:t>Australia</w:t>
      </w:r>
      <w:r w:rsidR="00573BA7" w:rsidRPr="00ED1722">
        <w:t xml:space="preserve"> </w:t>
      </w:r>
      <w:r w:rsidR="00DD4506" w:rsidRPr="00ED1722">
        <w:t>to</w:t>
      </w:r>
      <w:r w:rsidR="00573BA7" w:rsidRPr="00ED1722">
        <w:t xml:space="preserve"> </w:t>
      </w:r>
      <w:r w:rsidR="00DD4506" w:rsidRPr="00ED1722">
        <w:t>take</w:t>
      </w:r>
      <w:r w:rsidR="00573BA7" w:rsidRPr="00ED1722">
        <w:t xml:space="preserve"> </w:t>
      </w:r>
      <w:r w:rsidR="00DD4506" w:rsidRPr="00ED1722">
        <w:t>all</w:t>
      </w:r>
      <w:r w:rsidR="00573BA7" w:rsidRPr="00ED1722">
        <w:t xml:space="preserve"> </w:t>
      </w:r>
      <w:r w:rsidR="00DD4506" w:rsidRPr="00ED1722">
        <w:t>appropriate</w:t>
      </w:r>
      <w:r w:rsidR="00573BA7" w:rsidRPr="00ED1722">
        <w:t xml:space="preserve"> </w:t>
      </w:r>
      <w:r w:rsidR="00DD4506" w:rsidRPr="00ED1722">
        <w:t>steps</w:t>
      </w:r>
      <w:r w:rsidR="00573BA7" w:rsidRPr="00ED1722">
        <w:t xml:space="preserve"> </w:t>
      </w:r>
      <w:r w:rsidR="00DD4506" w:rsidRPr="00ED1722">
        <w:t>to</w:t>
      </w:r>
      <w:r w:rsidR="00573BA7" w:rsidRPr="00ED1722">
        <w:t xml:space="preserve"> </w:t>
      </w:r>
      <w:r w:rsidR="00DD4506" w:rsidRPr="00ED1722">
        <w:t>ensure</w:t>
      </w:r>
      <w:r w:rsidR="00573BA7" w:rsidRPr="00ED1722">
        <w:t xml:space="preserve"> </w:t>
      </w:r>
      <w:r w:rsidR="00DD4506" w:rsidRPr="00ED1722">
        <w:t>that</w:t>
      </w:r>
      <w:r w:rsidR="00573BA7" w:rsidRPr="00ED1722">
        <w:t xml:space="preserve"> </w:t>
      </w:r>
      <w:r w:rsidR="00DD4506" w:rsidRPr="00ED1722">
        <w:t>reasonable</w:t>
      </w:r>
      <w:r w:rsidR="00573BA7" w:rsidRPr="00ED1722">
        <w:t xml:space="preserve"> </w:t>
      </w:r>
      <w:r w:rsidR="00DD4506" w:rsidRPr="00ED1722">
        <w:t>accommodation</w:t>
      </w:r>
      <w:r w:rsidR="00573BA7" w:rsidRPr="00ED1722">
        <w:t xml:space="preserve"> </w:t>
      </w:r>
      <w:r w:rsidR="00DD4506" w:rsidRPr="00ED1722">
        <w:t>is</w:t>
      </w:r>
      <w:r w:rsidR="00573BA7" w:rsidRPr="00ED1722">
        <w:t xml:space="preserve"> </w:t>
      </w:r>
      <w:r w:rsidR="00DD4506" w:rsidRPr="00ED1722">
        <w:t>provided</w:t>
      </w:r>
      <w:r w:rsidR="004C3C53" w:rsidRPr="00ED1722">
        <w:t xml:space="preserve"> to people with disability</w:t>
      </w:r>
      <w:r w:rsidR="00FA5468" w:rsidRPr="00ED1722">
        <w:t>.</w:t>
      </w:r>
      <w:r w:rsidR="00573BA7" w:rsidRPr="00ED1722">
        <w:t xml:space="preserve">  </w:t>
      </w:r>
      <w:r w:rsidR="0016743B">
        <w:t>Article</w:t>
      </w:r>
      <w:r w:rsidR="00573BA7">
        <w:t xml:space="preserve"> </w:t>
      </w:r>
      <w:r w:rsidR="0016743B">
        <w:t>27(1)</w:t>
      </w:r>
      <w:r w:rsidR="005A28B9">
        <w:t>(i)</w:t>
      </w:r>
      <w:r w:rsidR="00573BA7">
        <w:t xml:space="preserve"> </w:t>
      </w:r>
      <w:r w:rsidR="005A28B9">
        <w:t>contains</w:t>
      </w:r>
      <w:r w:rsidR="00573BA7">
        <w:t xml:space="preserve"> </w:t>
      </w:r>
      <w:r w:rsidR="005A28B9">
        <w:t>a</w:t>
      </w:r>
      <w:r w:rsidR="00573BA7">
        <w:t xml:space="preserve"> </w:t>
      </w:r>
      <w:r w:rsidR="005A28B9">
        <w:t>similar</w:t>
      </w:r>
      <w:r w:rsidR="00573BA7">
        <w:t xml:space="preserve"> </w:t>
      </w:r>
      <w:r w:rsidR="005A28B9">
        <w:t>provision</w:t>
      </w:r>
      <w:r w:rsidR="004C3C53">
        <w:t xml:space="preserve"> specific to </w:t>
      </w:r>
      <w:r w:rsidR="005A28B9">
        <w:t>the</w:t>
      </w:r>
      <w:r w:rsidR="00573BA7">
        <w:t xml:space="preserve"> </w:t>
      </w:r>
      <w:r w:rsidR="005A28B9">
        <w:t>workplace.</w:t>
      </w:r>
      <w:r w:rsidR="00573BA7">
        <w:t xml:space="preserve"> </w:t>
      </w:r>
      <w:r w:rsidR="00FC0EE4">
        <w:t>The</w:t>
      </w:r>
      <w:r w:rsidR="00573BA7">
        <w:t xml:space="preserve"> </w:t>
      </w:r>
      <w:r w:rsidR="00FC0EE4">
        <w:t>CRPD</w:t>
      </w:r>
      <w:r w:rsidR="00573BA7">
        <w:t xml:space="preserve"> </w:t>
      </w:r>
      <w:r w:rsidR="00FC0EE4">
        <w:t>Committee</w:t>
      </w:r>
      <w:r w:rsidR="00573BA7">
        <w:t xml:space="preserve"> </w:t>
      </w:r>
      <w:r w:rsidR="00FC0EE4">
        <w:t>has</w:t>
      </w:r>
      <w:r w:rsidR="00573BA7">
        <w:t xml:space="preserve"> </w:t>
      </w:r>
      <w:r w:rsidR="00FC0EE4">
        <w:t>commented</w:t>
      </w:r>
      <w:r w:rsidR="00573BA7">
        <w:t xml:space="preserve"> </w:t>
      </w:r>
      <w:r w:rsidR="00FC0EE4">
        <w:t>that</w:t>
      </w:r>
      <w:r w:rsidR="00573BA7">
        <w:t xml:space="preserve"> </w:t>
      </w:r>
      <w:r w:rsidR="00137896">
        <w:t>‘reasonable</w:t>
      </w:r>
      <w:r w:rsidR="00573BA7">
        <w:t xml:space="preserve"> </w:t>
      </w:r>
      <w:r w:rsidR="00137896">
        <w:t>accommodation</w:t>
      </w:r>
      <w:r w:rsidR="00573BA7">
        <w:t xml:space="preserve"> </w:t>
      </w:r>
      <w:r w:rsidR="00137896">
        <w:t>must</w:t>
      </w:r>
      <w:r w:rsidR="00573BA7">
        <w:t xml:space="preserve"> </w:t>
      </w:r>
      <w:r w:rsidR="00137896">
        <w:t>be</w:t>
      </w:r>
      <w:r w:rsidR="00573BA7">
        <w:t xml:space="preserve"> </w:t>
      </w:r>
      <w:r w:rsidR="00137896">
        <w:t>provided</w:t>
      </w:r>
      <w:r w:rsidR="00573BA7">
        <w:t xml:space="preserve"> </w:t>
      </w:r>
      <w:r w:rsidR="003622AF">
        <w:t>from</w:t>
      </w:r>
      <w:r w:rsidR="00573BA7">
        <w:t xml:space="preserve"> </w:t>
      </w:r>
      <w:r w:rsidR="003622AF">
        <w:t>the</w:t>
      </w:r>
      <w:r w:rsidR="00573BA7">
        <w:t xml:space="preserve"> </w:t>
      </w:r>
      <w:r w:rsidR="003622AF">
        <w:t>moment</w:t>
      </w:r>
      <w:r w:rsidR="00573BA7">
        <w:t xml:space="preserve"> </w:t>
      </w:r>
      <w:r w:rsidR="003622AF">
        <w:t>that</w:t>
      </w:r>
      <w:r w:rsidR="00573BA7">
        <w:t xml:space="preserve"> </w:t>
      </w:r>
      <w:r w:rsidR="003622AF">
        <w:t>a</w:t>
      </w:r>
      <w:r w:rsidR="00573BA7">
        <w:t xml:space="preserve"> </w:t>
      </w:r>
      <w:r w:rsidR="003622AF">
        <w:t>person</w:t>
      </w:r>
      <w:r w:rsidR="00573BA7">
        <w:t xml:space="preserve"> </w:t>
      </w:r>
      <w:r w:rsidR="003622AF">
        <w:t>with</w:t>
      </w:r>
      <w:r w:rsidR="00573BA7">
        <w:t xml:space="preserve"> </w:t>
      </w:r>
      <w:r w:rsidR="003622AF">
        <w:t>a</w:t>
      </w:r>
      <w:r w:rsidR="00573BA7">
        <w:t xml:space="preserve"> </w:t>
      </w:r>
      <w:r w:rsidR="003622AF">
        <w:t>disability</w:t>
      </w:r>
      <w:r w:rsidR="00573BA7">
        <w:t xml:space="preserve"> </w:t>
      </w:r>
      <w:r w:rsidR="003622AF">
        <w:t>requires</w:t>
      </w:r>
      <w:r w:rsidR="00573BA7">
        <w:t xml:space="preserve"> </w:t>
      </w:r>
      <w:r w:rsidR="003622AF">
        <w:t>access</w:t>
      </w:r>
      <w:r w:rsidR="00573BA7">
        <w:t xml:space="preserve"> </w:t>
      </w:r>
      <w:r w:rsidR="003622AF">
        <w:t>to</w:t>
      </w:r>
      <w:r w:rsidR="00573BA7">
        <w:t xml:space="preserve"> </w:t>
      </w:r>
      <w:r w:rsidR="003622AF">
        <w:t>non-accessible</w:t>
      </w:r>
      <w:r w:rsidR="00573BA7">
        <w:t xml:space="preserve"> </w:t>
      </w:r>
      <w:r w:rsidR="003622AF">
        <w:t>situations</w:t>
      </w:r>
      <w:r w:rsidR="00573BA7">
        <w:t xml:space="preserve"> </w:t>
      </w:r>
      <w:r w:rsidR="003622AF">
        <w:t>or</w:t>
      </w:r>
      <w:r w:rsidR="00573BA7">
        <w:t xml:space="preserve"> </w:t>
      </w:r>
      <w:r w:rsidR="003622AF">
        <w:t>environments,</w:t>
      </w:r>
      <w:r w:rsidR="00573BA7">
        <w:t xml:space="preserve"> </w:t>
      </w:r>
      <w:r w:rsidR="003622AF">
        <w:t>or</w:t>
      </w:r>
      <w:r w:rsidR="00573BA7">
        <w:t xml:space="preserve"> </w:t>
      </w:r>
      <w:r w:rsidR="003622AF">
        <w:t>wants</w:t>
      </w:r>
      <w:r w:rsidR="00573BA7">
        <w:t xml:space="preserve"> </w:t>
      </w:r>
      <w:r w:rsidR="003622AF">
        <w:t>to</w:t>
      </w:r>
      <w:r w:rsidR="00573BA7">
        <w:t xml:space="preserve"> </w:t>
      </w:r>
      <w:r w:rsidR="003622AF">
        <w:t>exercise</w:t>
      </w:r>
      <w:r w:rsidR="00573BA7">
        <w:t xml:space="preserve"> </w:t>
      </w:r>
      <w:r w:rsidR="003622AF">
        <w:t>[their]</w:t>
      </w:r>
      <w:r w:rsidR="00573BA7">
        <w:t xml:space="preserve"> </w:t>
      </w:r>
      <w:r w:rsidR="003622AF">
        <w:t>rights’.</w:t>
      </w:r>
      <w:r w:rsidR="003622AF">
        <w:rPr>
          <w:rStyle w:val="EndnoteReference"/>
        </w:rPr>
        <w:endnoteReference w:id="101"/>
      </w:r>
      <w:r w:rsidR="00573BA7">
        <w:t xml:space="preserve">  </w:t>
      </w:r>
    </w:p>
    <w:p w14:paraId="5AE5ECE8" w14:textId="387544DF" w:rsidR="00886508" w:rsidRPr="00886508" w:rsidRDefault="00886508" w:rsidP="00DA2A0A">
      <w:pPr>
        <w:pStyle w:val="ListParagraph"/>
        <w:numPr>
          <w:ilvl w:val="0"/>
          <w:numId w:val="58"/>
        </w:numPr>
        <w:tabs>
          <w:tab w:val="left" w:pos="720"/>
          <w:tab w:val="left" w:pos="1440"/>
        </w:tabs>
        <w:spacing w:line="300" w:lineRule="exact"/>
      </w:pPr>
      <w:r>
        <w:t>Although</w:t>
      </w:r>
      <w:r w:rsidR="00573BA7">
        <w:t xml:space="preserve"> </w:t>
      </w:r>
      <w:r>
        <w:t>many</w:t>
      </w:r>
      <w:r w:rsidR="00573BA7">
        <w:t xml:space="preserve"> </w:t>
      </w:r>
      <w:r>
        <w:t>international</w:t>
      </w:r>
      <w:r w:rsidR="00573BA7">
        <w:t xml:space="preserve"> </w:t>
      </w:r>
      <w:r>
        <w:t>human</w:t>
      </w:r>
      <w:r w:rsidR="00573BA7">
        <w:t xml:space="preserve"> </w:t>
      </w:r>
      <w:r>
        <w:t>rights</w:t>
      </w:r>
      <w:r w:rsidR="00573BA7">
        <w:t xml:space="preserve"> </w:t>
      </w:r>
      <w:r>
        <w:t>instruments</w:t>
      </w:r>
      <w:r w:rsidR="00573BA7">
        <w:t xml:space="preserve"> </w:t>
      </w:r>
      <w:r>
        <w:t>beyond</w:t>
      </w:r>
      <w:r w:rsidR="00573BA7">
        <w:t xml:space="preserve"> </w:t>
      </w:r>
      <w:r>
        <w:t>the</w:t>
      </w:r>
      <w:r w:rsidR="00573BA7">
        <w:t xml:space="preserve"> </w:t>
      </w:r>
      <w:r>
        <w:t>CRPD</w:t>
      </w:r>
      <w:r w:rsidR="00573BA7">
        <w:t xml:space="preserve"> </w:t>
      </w:r>
      <w:r>
        <w:t>do</w:t>
      </w:r>
      <w:r w:rsidR="00573BA7">
        <w:t xml:space="preserve"> </w:t>
      </w:r>
      <w:r>
        <w:t>not</w:t>
      </w:r>
      <w:r w:rsidR="00573BA7">
        <w:t xml:space="preserve"> </w:t>
      </w:r>
      <w:r>
        <w:t>explicitly</w:t>
      </w:r>
      <w:r w:rsidR="00573BA7">
        <w:t xml:space="preserve"> </w:t>
      </w:r>
      <w:r>
        <w:t>specify</w:t>
      </w:r>
      <w:r w:rsidR="00573BA7">
        <w:t xml:space="preserve"> </w:t>
      </w:r>
      <w:r>
        <w:t>‘disability’</w:t>
      </w:r>
      <w:r w:rsidR="00573BA7">
        <w:t xml:space="preserve"> </w:t>
      </w:r>
      <w:r>
        <w:t>as</w:t>
      </w:r>
      <w:r w:rsidR="00573BA7">
        <w:t xml:space="preserve"> </w:t>
      </w:r>
      <w:r>
        <w:t>an</w:t>
      </w:r>
      <w:r w:rsidR="00573BA7">
        <w:t xml:space="preserve"> </w:t>
      </w:r>
      <w:r>
        <w:t>attribute</w:t>
      </w:r>
      <w:r w:rsidR="00573BA7">
        <w:t xml:space="preserve"> </w:t>
      </w:r>
      <w:r>
        <w:t>that</w:t>
      </w:r>
      <w:r w:rsidR="00573BA7">
        <w:t xml:space="preserve"> </w:t>
      </w:r>
      <w:r>
        <w:t>is</w:t>
      </w:r>
      <w:r w:rsidR="00573BA7">
        <w:t xml:space="preserve"> </w:t>
      </w:r>
      <w:r>
        <w:t>to</w:t>
      </w:r>
      <w:r w:rsidR="00573BA7">
        <w:t xml:space="preserve"> </w:t>
      </w:r>
      <w:r>
        <w:t>be</w:t>
      </w:r>
      <w:r w:rsidR="00573BA7">
        <w:t xml:space="preserve"> </w:t>
      </w:r>
      <w:r>
        <w:t>protected</w:t>
      </w:r>
      <w:r w:rsidR="00573BA7">
        <w:t xml:space="preserve"> </w:t>
      </w:r>
      <w:r>
        <w:t>from</w:t>
      </w:r>
      <w:r w:rsidR="00573BA7">
        <w:t xml:space="preserve"> </w:t>
      </w:r>
      <w:r>
        <w:t>discrimination,</w:t>
      </w:r>
      <w:r w:rsidR="00573BA7">
        <w:t xml:space="preserve"> </w:t>
      </w:r>
      <w:r>
        <w:t>‘disability’</w:t>
      </w:r>
      <w:r w:rsidR="00573BA7">
        <w:t xml:space="preserve"> </w:t>
      </w:r>
      <w:r>
        <w:t>has</w:t>
      </w:r>
      <w:r w:rsidR="00573BA7">
        <w:t xml:space="preserve"> </w:t>
      </w:r>
      <w:r>
        <w:t>been</w:t>
      </w:r>
      <w:r w:rsidR="00573BA7">
        <w:t xml:space="preserve"> </w:t>
      </w:r>
      <w:r>
        <w:t>authoritatively</w:t>
      </w:r>
      <w:r w:rsidR="00573BA7">
        <w:t xml:space="preserve"> </w:t>
      </w:r>
      <w:r>
        <w:t>interpreted</w:t>
      </w:r>
      <w:r w:rsidR="00573BA7">
        <w:t xml:space="preserve"> </w:t>
      </w:r>
      <w:r>
        <w:t>to</w:t>
      </w:r>
      <w:r w:rsidR="00573BA7">
        <w:t xml:space="preserve"> </w:t>
      </w:r>
      <w:r>
        <w:t>be</w:t>
      </w:r>
      <w:r w:rsidR="00573BA7">
        <w:t xml:space="preserve"> </w:t>
      </w:r>
      <w:r>
        <w:t>an</w:t>
      </w:r>
      <w:r w:rsidR="00573BA7">
        <w:t xml:space="preserve"> </w:t>
      </w:r>
      <w:r>
        <w:t>‘other</w:t>
      </w:r>
      <w:r w:rsidR="00573BA7">
        <w:t xml:space="preserve"> </w:t>
      </w:r>
      <w:r>
        <w:t>status’</w:t>
      </w:r>
      <w:r w:rsidR="00573BA7">
        <w:t xml:space="preserve"> </w:t>
      </w:r>
      <w:r>
        <w:t>of</w:t>
      </w:r>
      <w:r w:rsidR="00573BA7">
        <w:t xml:space="preserve"> </w:t>
      </w:r>
      <w:r>
        <w:t>the</w:t>
      </w:r>
      <w:r w:rsidR="00573BA7">
        <w:t xml:space="preserve"> </w:t>
      </w:r>
      <w:r>
        <w:t>sort</w:t>
      </w:r>
      <w:r w:rsidR="00573BA7">
        <w:t xml:space="preserve"> </w:t>
      </w:r>
      <w:r>
        <w:t>that</w:t>
      </w:r>
      <w:r w:rsidR="00573BA7">
        <w:t xml:space="preserve"> </w:t>
      </w:r>
      <w:r>
        <w:t>is</w:t>
      </w:r>
      <w:r w:rsidR="00573BA7">
        <w:t xml:space="preserve"> </w:t>
      </w:r>
      <w:r>
        <w:t>protected.</w:t>
      </w:r>
      <w:r>
        <w:rPr>
          <w:rStyle w:val="EndnoteReference"/>
        </w:rPr>
        <w:endnoteReference w:id="102"/>
      </w:r>
      <w:r w:rsidR="00573BA7">
        <w:t xml:space="preserve">  </w:t>
      </w:r>
      <w:r>
        <w:t>Such</w:t>
      </w:r>
      <w:r w:rsidR="00573BA7">
        <w:t xml:space="preserve"> </w:t>
      </w:r>
      <w:r>
        <w:t>an</w:t>
      </w:r>
      <w:r w:rsidR="00573BA7">
        <w:t xml:space="preserve"> </w:t>
      </w:r>
      <w:r>
        <w:t>interpretation</w:t>
      </w:r>
      <w:r w:rsidR="00573BA7">
        <w:t xml:space="preserve"> </w:t>
      </w:r>
      <w:r>
        <w:t>is</w:t>
      </w:r>
      <w:r w:rsidR="00573BA7">
        <w:t xml:space="preserve"> </w:t>
      </w:r>
      <w:r>
        <w:t>consistent</w:t>
      </w:r>
      <w:r w:rsidR="00573BA7">
        <w:t xml:space="preserve"> </w:t>
      </w:r>
      <w:r>
        <w:t>with</w:t>
      </w:r>
      <w:r w:rsidR="00573BA7">
        <w:t xml:space="preserve"> </w:t>
      </w:r>
      <w:r>
        <w:t>the</w:t>
      </w:r>
      <w:r w:rsidR="00573BA7">
        <w:t xml:space="preserve"> </w:t>
      </w:r>
      <w:r>
        <w:t>principle</w:t>
      </w:r>
      <w:r w:rsidR="00573BA7">
        <w:t xml:space="preserve"> </w:t>
      </w:r>
      <w:r>
        <w:t>that</w:t>
      </w:r>
      <w:r w:rsidR="00573BA7">
        <w:t xml:space="preserve"> </w:t>
      </w:r>
      <w:r>
        <w:t>human</w:t>
      </w:r>
      <w:r w:rsidR="00573BA7">
        <w:t xml:space="preserve"> </w:t>
      </w:r>
      <w:r>
        <w:t>rights</w:t>
      </w:r>
      <w:r w:rsidR="00573BA7">
        <w:t xml:space="preserve"> </w:t>
      </w:r>
      <w:r>
        <w:t>treaties</w:t>
      </w:r>
      <w:r w:rsidR="00573BA7">
        <w:t xml:space="preserve"> </w:t>
      </w:r>
      <w:r>
        <w:t>are</w:t>
      </w:r>
      <w:r w:rsidR="00573BA7">
        <w:t xml:space="preserve"> </w:t>
      </w:r>
      <w:r>
        <w:t>‘living</w:t>
      </w:r>
      <w:r w:rsidR="00573BA7">
        <w:t xml:space="preserve"> </w:t>
      </w:r>
      <w:r>
        <w:t>instruments’</w:t>
      </w:r>
      <w:r w:rsidR="00573BA7">
        <w:t xml:space="preserve"> </w:t>
      </w:r>
      <w:r>
        <w:t>that</w:t>
      </w:r>
      <w:r w:rsidR="00573BA7">
        <w:t xml:space="preserve"> </w:t>
      </w:r>
      <w:r>
        <w:t>must</w:t>
      </w:r>
      <w:r w:rsidR="00573BA7">
        <w:t xml:space="preserve"> </w:t>
      </w:r>
      <w:r>
        <w:t>be</w:t>
      </w:r>
      <w:r w:rsidR="00573BA7">
        <w:t xml:space="preserve"> </w:t>
      </w:r>
      <w:r>
        <w:t>interpreted</w:t>
      </w:r>
      <w:r w:rsidR="00573BA7">
        <w:t xml:space="preserve"> </w:t>
      </w:r>
      <w:r>
        <w:t>in</w:t>
      </w:r>
      <w:r w:rsidR="00573BA7">
        <w:t xml:space="preserve"> </w:t>
      </w:r>
      <w:r>
        <w:t>light</w:t>
      </w:r>
      <w:r w:rsidR="00573BA7">
        <w:t xml:space="preserve"> </w:t>
      </w:r>
      <w:r>
        <w:t>of</w:t>
      </w:r>
      <w:r w:rsidR="00573BA7">
        <w:t xml:space="preserve"> </w:t>
      </w:r>
      <w:r>
        <w:t>present</w:t>
      </w:r>
      <w:r w:rsidR="00573BA7">
        <w:t xml:space="preserve"> </w:t>
      </w:r>
      <w:r>
        <w:t>day</w:t>
      </w:r>
      <w:r w:rsidR="00573BA7">
        <w:t xml:space="preserve"> </w:t>
      </w:r>
      <w:r>
        <w:t>conditions.</w:t>
      </w:r>
      <w:r>
        <w:rPr>
          <w:rStyle w:val="EndnoteReference"/>
        </w:rPr>
        <w:endnoteReference w:id="103"/>
      </w:r>
      <w:r w:rsidR="00573BA7">
        <w:t xml:space="preserve"> </w:t>
      </w:r>
      <w:r>
        <w:t>Consequently,</w:t>
      </w:r>
      <w:r w:rsidR="00573BA7">
        <w:t xml:space="preserve"> </w:t>
      </w:r>
      <w:r>
        <w:t>many</w:t>
      </w:r>
      <w:r w:rsidR="00573BA7">
        <w:t xml:space="preserve"> </w:t>
      </w:r>
      <w:r>
        <w:t>of</w:t>
      </w:r>
      <w:r w:rsidR="00573BA7">
        <w:t xml:space="preserve"> </w:t>
      </w:r>
      <w:r>
        <w:t>the</w:t>
      </w:r>
      <w:r w:rsidR="00573BA7">
        <w:t xml:space="preserve"> </w:t>
      </w:r>
      <w:r>
        <w:t>relevant</w:t>
      </w:r>
      <w:r w:rsidR="00573BA7">
        <w:t xml:space="preserve"> </w:t>
      </w:r>
      <w:r>
        <w:t>non-discrimination</w:t>
      </w:r>
      <w:r w:rsidR="00573BA7">
        <w:t xml:space="preserve"> </w:t>
      </w:r>
      <w:r>
        <w:t>and</w:t>
      </w:r>
      <w:r w:rsidR="00573BA7">
        <w:t xml:space="preserve"> </w:t>
      </w:r>
      <w:r>
        <w:t>equality</w:t>
      </w:r>
      <w:r w:rsidR="00573BA7">
        <w:t xml:space="preserve"> </w:t>
      </w:r>
      <w:r>
        <w:t>rights</w:t>
      </w:r>
      <w:r w:rsidR="00573BA7">
        <w:t xml:space="preserve"> </w:t>
      </w:r>
      <w:r>
        <w:t>that</w:t>
      </w:r>
      <w:r w:rsidR="00573BA7">
        <w:t xml:space="preserve"> </w:t>
      </w:r>
      <w:r>
        <w:t>are</w:t>
      </w:r>
      <w:r w:rsidR="00573BA7">
        <w:t xml:space="preserve"> </w:t>
      </w:r>
      <w:r>
        <w:t>recognised</w:t>
      </w:r>
      <w:r w:rsidR="00573BA7">
        <w:t xml:space="preserve"> </w:t>
      </w:r>
      <w:r>
        <w:t>under</w:t>
      </w:r>
      <w:r w:rsidR="00573BA7">
        <w:t xml:space="preserve"> </w:t>
      </w:r>
      <w:r>
        <w:t>the</w:t>
      </w:r>
      <w:r w:rsidR="00573BA7">
        <w:t xml:space="preserve"> </w:t>
      </w:r>
      <w:r>
        <w:t>CRPD</w:t>
      </w:r>
      <w:r w:rsidR="00573BA7">
        <w:t xml:space="preserve"> </w:t>
      </w:r>
      <w:r>
        <w:t>are</w:t>
      </w:r>
      <w:r w:rsidR="00573BA7">
        <w:t xml:space="preserve"> </w:t>
      </w:r>
      <w:r>
        <w:t>also</w:t>
      </w:r>
      <w:r w:rsidR="00573BA7">
        <w:t xml:space="preserve"> </w:t>
      </w:r>
      <w:r>
        <w:t>recognised</w:t>
      </w:r>
      <w:r w:rsidR="00573BA7">
        <w:t xml:space="preserve"> </w:t>
      </w:r>
      <w:r>
        <w:t>elsewhere</w:t>
      </w:r>
      <w:r w:rsidR="00573BA7">
        <w:t xml:space="preserve"> </w:t>
      </w:r>
      <w:r w:rsidR="00E6125E">
        <w:t>in</w:t>
      </w:r>
      <w:r w:rsidR="00573BA7">
        <w:t xml:space="preserve"> </w:t>
      </w:r>
      <w:r>
        <w:t>international</w:t>
      </w:r>
      <w:r w:rsidR="00573BA7">
        <w:t xml:space="preserve"> </w:t>
      </w:r>
      <w:r>
        <w:t>human</w:t>
      </w:r>
      <w:r w:rsidR="00573BA7">
        <w:t xml:space="preserve"> </w:t>
      </w:r>
      <w:r>
        <w:t>rights</w:t>
      </w:r>
      <w:r w:rsidR="00573BA7">
        <w:t xml:space="preserve"> </w:t>
      </w:r>
      <w:r>
        <w:t>law.</w:t>
      </w:r>
      <w:r>
        <w:rPr>
          <w:rStyle w:val="EndnoteReference"/>
        </w:rPr>
        <w:endnoteReference w:id="104"/>
      </w:r>
    </w:p>
    <w:p w14:paraId="19232F97" w14:textId="55628D59" w:rsidR="00D00994" w:rsidRDefault="00D00994" w:rsidP="00DA2A0A">
      <w:pPr>
        <w:pStyle w:val="ListParagraph"/>
        <w:numPr>
          <w:ilvl w:val="0"/>
          <w:numId w:val="58"/>
        </w:numPr>
      </w:pPr>
      <w:r>
        <w:rPr>
          <w:rFonts w:cs="Open Sans"/>
        </w:rPr>
        <w:lastRenderedPageBreak/>
        <w:t>Ultimately,</w:t>
      </w:r>
      <w:r w:rsidR="00573BA7">
        <w:rPr>
          <w:rFonts w:cs="Open Sans"/>
        </w:rPr>
        <w:t xml:space="preserve"> </w:t>
      </w:r>
      <w:r>
        <w:rPr>
          <w:rFonts w:cs="Open Sans"/>
        </w:rPr>
        <w:t>Australia</w:t>
      </w:r>
      <w:r w:rsidR="00573BA7">
        <w:rPr>
          <w:rFonts w:cs="Open Sans"/>
        </w:rPr>
        <w:t xml:space="preserve"> </w:t>
      </w:r>
      <w:r>
        <w:rPr>
          <w:rFonts w:cs="Open Sans"/>
        </w:rPr>
        <w:t>‘must</w:t>
      </w:r>
      <w:r w:rsidR="00573BA7">
        <w:rPr>
          <w:rFonts w:cs="Open Sans"/>
        </w:rPr>
        <w:t xml:space="preserve"> </w:t>
      </w:r>
      <w:r>
        <w:rPr>
          <w:rFonts w:cs="Open Sans"/>
        </w:rPr>
        <w:t>ensure</w:t>
      </w:r>
      <w:r w:rsidR="00573BA7">
        <w:rPr>
          <w:rFonts w:cs="Open Sans"/>
        </w:rPr>
        <w:t xml:space="preserve"> </w:t>
      </w:r>
      <w:r>
        <w:rPr>
          <w:rFonts w:cs="Open Sans"/>
        </w:rPr>
        <w:t>that</w:t>
      </w:r>
      <w:r w:rsidR="00573BA7">
        <w:rPr>
          <w:rFonts w:cs="Open Sans"/>
        </w:rPr>
        <w:t xml:space="preserve"> </w:t>
      </w:r>
      <w:r>
        <w:rPr>
          <w:rFonts w:cs="Open Sans"/>
        </w:rPr>
        <w:t>there</w:t>
      </w:r>
      <w:r w:rsidR="00573BA7">
        <w:rPr>
          <w:rFonts w:cs="Open Sans"/>
        </w:rPr>
        <w:t xml:space="preserve"> </w:t>
      </w:r>
      <w:r>
        <w:rPr>
          <w:rFonts w:cs="Open Sans"/>
        </w:rPr>
        <w:t>is</w:t>
      </w:r>
      <w:r w:rsidR="00573BA7">
        <w:rPr>
          <w:rFonts w:cs="Open Sans"/>
        </w:rPr>
        <w:t xml:space="preserve"> </w:t>
      </w:r>
      <w:r>
        <w:rPr>
          <w:rFonts w:cs="Open Sans"/>
        </w:rPr>
        <w:t>no</w:t>
      </w:r>
      <w:r w:rsidR="00573BA7">
        <w:rPr>
          <w:rFonts w:cs="Open Sans"/>
        </w:rPr>
        <w:t xml:space="preserve"> </w:t>
      </w:r>
      <w:r>
        <w:rPr>
          <w:rFonts w:cs="Open Sans"/>
        </w:rPr>
        <w:t>discrimination</w:t>
      </w:r>
      <w:r w:rsidR="00573BA7">
        <w:rPr>
          <w:rFonts w:cs="Open Sans"/>
        </w:rPr>
        <w:t xml:space="preserve"> </w:t>
      </w:r>
      <w:r>
        <w:rPr>
          <w:rFonts w:cs="Open Sans"/>
        </w:rPr>
        <w:t>on</w:t>
      </w:r>
      <w:r w:rsidR="00573BA7">
        <w:rPr>
          <w:rFonts w:cs="Open Sans"/>
        </w:rPr>
        <w:t xml:space="preserve"> </w:t>
      </w:r>
      <w:r>
        <w:rPr>
          <w:rFonts w:cs="Open Sans"/>
        </w:rPr>
        <w:t>the</w:t>
      </w:r>
      <w:r w:rsidR="00573BA7">
        <w:rPr>
          <w:rFonts w:cs="Open Sans"/>
        </w:rPr>
        <w:t xml:space="preserve"> </w:t>
      </w:r>
      <w:r>
        <w:rPr>
          <w:rFonts w:cs="Open Sans"/>
        </w:rPr>
        <w:t>grounds</w:t>
      </w:r>
      <w:r w:rsidR="00573BA7">
        <w:rPr>
          <w:rFonts w:cs="Open Sans"/>
        </w:rPr>
        <w:t xml:space="preserve"> </w:t>
      </w:r>
      <w:r>
        <w:rPr>
          <w:rFonts w:cs="Open Sans"/>
        </w:rPr>
        <w:t>of</w:t>
      </w:r>
      <w:r w:rsidR="00573BA7">
        <w:rPr>
          <w:rFonts w:cs="Open Sans"/>
        </w:rPr>
        <w:t xml:space="preserve"> </w:t>
      </w:r>
      <w:r>
        <w:rPr>
          <w:rFonts w:cs="Open Sans"/>
        </w:rPr>
        <w:t>disability</w:t>
      </w:r>
      <w:r w:rsidR="00573BA7">
        <w:rPr>
          <w:rFonts w:cs="Open Sans"/>
        </w:rPr>
        <w:t xml:space="preserve"> </w:t>
      </w:r>
      <w:r>
        <w:rPr>
          <w:rFonts w:cs="Open Sans"/>
        </w:rPr>
        <w:t>in</w:t>
      </w:r>
      <w:r w:rsidR="00573BA7">
        <w:rPr>
          <w:rFonts w:cs="Open Sans"/>
        </w:rPr>
        <w:t xml:space="preserve"> </w:t>
      </w:r>
      <w:r>
        <w:rPr>
          <w:rFonts w:cs="Open Sans"/>
        </w:rPr>
        <w:t>connection</w:t>
      </w:r>
      <w:r w:rsidR="00573BA7">
        <w:rPr>
          <w:rFonts w:cs="Open Sans"/>
        </w:rPr>
        <w:t xml:space="preserve"> </w:t>
      </w:r>
      <w:r>
        <w:rPr>
          <w:rFonts w:cs="Open Sans"/>
        </w:rPr>
        <w:t>to</w:t>
      </w:r>
      <w:r w:rsidR="00573BA7">
        <w:rPr>
          <w:rFonts w:cs="Open Sans"/>
        </w:rPr>
        <w:t xml:space="preserve"> </w:t>
      </w:r>
      <w:r>
        <w:rPr>
          <w:rFonts w:cs="Open Sans"/>
        </w:rPr>
        <w:t>work</w:t>
      </w:r>
      <w:r w:rsidR="00573BA7">
        <w:rPr>
          <w:rFonts w:cs="Open Sans"/>
        </w:rPr>
        <w:t xml:space="preserve"> </w:t>
      </w:r>
      <w:r>
        <w:rPr>
          <w:rFonts w:cs="Open Sans"/>
        </w:rPr>
        <w:t>and</w:t>
      </w:r>
      <w:r w:rsidR="00573BA7">
        <w:rPr>
          <w:rFonts w:cs="Open Sans"/>
        </w:rPr>
        <w:t xml:space="preserve"> </w:t>
      </w:r>
      <w:r>
        <w:rPr>
          <w:rFonts w:cs="Open Sans"/>
        </w:rPr>
        <w:t>employment’.</w:t>
      </w:r>
      <w:r>
        <w:rPr>
          <w:rStyle w:val="EndnoteReference"/>
          <w:rFonts w:cs="Open Sans"/>
        </w:rPr>
        <w:endnoteReference w:id="105"/>
      </w:r>
    </w:p>
    <w:p w14:paraId="78A3CBDB" w14:textId="17C34806" w:rsidR="00140DB9" w:rsidRDefault="00E67169" w:rsidP="00DA2A0A">
      <w:pPr>
        <w:pStyle w:val="ListParagraph"/>
        <w:numPr>
          <w:ilvl w:val="0"/>
          <w:numId w:val="58"/>
        </w:numPr>
      </w:pPr>
      <w:r>
        <w:t>The</w:t>
      </w:r>
      <w:r w:rsidR="00573BA7">
        <w:t xml:space="preserve"> </w:t>
      </w:r>
      <w:r>
        <w:t>CRPD</w:t>
      </w:r>
      <w:r w:rsidR="00573BA7">
        <w:t xml:space="preserve"> </w:t>
      </w:r>
      <w:r>
        <w:t>Committee</w:t>
      </w:r>
      <w:r w:rsidR="00573BA7">
        <w:t xml:space="preserve"> </w:t>
      </w:r>
      <w:r>
        <w:t>has</w:t>
      </w:r>
      <w:r w:rsidR="00573BA7">
        <w:t xml:space="preserve"> </w:t>
      </w:r>
      <w:r w:rsidRPr="009661F6">
        <w:t>confirmed</w:t>
      </w:r>
      <w:r w:rsidR="00573BA7" w:rsidRPr="009661F6">
        <w:t xml:space="preserve"> </w:t>
      </w:r>
      <w:r w:rsidRPr="009661F6">
        <w:t>that</w:t>
      </w:r>
      <w:r w:rsidR="00573BA7" w:rsidRPr="009661F6">
        <w:t xml:space="preserve"> </w:t>
      </w:r>
      <w:r w:rsidRPr="009661F6">
        <w:t>‘[t]he</w:t>
      </w:r>
      <w:r w:rsidR="00573BA7" w:rsidRPr="009661F6">
        <w:t xml:space="preserve"> </w:t>
      </w:r>
      <w:r w:rsidRPr="009661F6">
        <w:t>effective</w:t>
      </w:r>
      <w:r w:rsidR="00573BA7" w:rsidRPr="009661F6">
        <w:t xml:space="preserve"> </w:t>
      </w:r>
      <w:r w:rsidRPr="009661F6">
        <w:t>enjoyment</w:t>
      </w:r>
      <w:r w:rsidR="00573BA7" w:rsidRPr="009661F6">
        <w:t xml:space="preserve"> </w:t>
      </w:r>
      <w:r w:rsidRPr="009661F6">
        <w:t>of</w:t>
      </w:r>
      <w:r w:rsidR="00573BA7" w:rsidRPr="009661F6">
        <w:t xml:space="preserve"> </w:t>
      </w:r>
      <w:r w:rsidRPr="009661F6">
        <w:t>the</w:t>
      </w:r>
      <w:r w:rsidR="00573BA7" w:rsidRPr="009661F6">
        <w:t xml:space="preserve"> </w:t>
      </w:r>
      <w:r w:rsidRPr="009661F6">
        <w:t>rights</w:t>
      </w:r>
      <w:r w:rsidR="00573BA7" w:rsidRPr="009661F6">
        <w:t xml:space="preserve"> </w:t>
      </w:r>
      <w:r w:rsidRPr="009661F6">
        <w:t>to</w:t>
      </w:r>
      <w:r w:rsidR="00573BA7" w:rsidRPr="009661F6">
        <w:t xml:space="preserve"> </w:t>
      </w:r>
      <w:r w:rsidRPr="009661F6">
        <w:t>equality</w:t>
      </w:r>
      <w:r w:rsidR="00573BA7" w:rsidRPr="009661F6">
        <w:t xml:space="preserve"> </w:t>
      </w:r>
      <w:r w:rsidRPr="009661F6">
        <w:t>and</w:t>
      </w:r>
      <w:r w:rsidR="00573BA7" w:rsidRPr="009661F6">
        <w:t xml:space="preserve"> </w:t>
      </w:r>
      <w:r w:rsidRPr="009661F6">
        <w:t>non-discrimination</w:t>
      </w:r>
      <w:r w:rsidR="00573BA7" w:rsidRPr="009661F6">
        <w:t xml:space="preserve"> </w:t>
      </w:r>
      <w:r w:rsidRPr="009661F6">
        <w:t>calls</w:t>
      </w:r>
      <w:r w:rsidR="00573BA7" w:rsidRPr="009661F6">
        <w:t xml:space="preserve"> </w:t>
      </w:r>
      <w:r w:rsidRPr="009661F6">
        <w:t>for</w:t>
      </w:r>
      <w:r w:rsidR="00573BA7" w:rsidRPr="009661F6">
        <w:t xml:space="preserve"> </w:t>
      </w:r>
      <w:r w:rsidRPr="009661F6">
        <w:t>the</w:t>
      </w:r>
      <w:r w:rsidR="00573BA7" w:rsidRPr="009661F6">
        <w:t xml:space="preserve"> </w:t>
      </w:r>
      <w:r w:rsidRPr="009661F6">
        <w:t>adoption</w:t>
      </w:r>
      <w:r w:rsidR="00573BA7" w:rsidRPr="009661F6">
        <w:t xml:space="preserve"> </w:t>
      </w:r>
      <w:r w:rsidRPr="009661F6">
        <w:t>of</w:t>
      </w:r>
      <w:r w:rsidR="00573BA7" w:rsidRPr="009661F6">
        <w:t xml:space="preserve"> </w:t>
      </w:r>
      <w:r w:rsidRPr="009661F6">
        <w:t>enforcement</w:t>
      </w:r>
      <w:r w:rsidR="00573BA7" w:rsidRPr="009661F6">
        <w:t xml:space="preserve"> </w:t>
      </w:r>
      <w:r w:rsidRPr="009661F6">
        <w:t>measures’.</w:t>
      </w:r>
      <w:r w:rsidRPr="009661F6">
        <w:rPr>
          <w:rStyle w:val="EndnoteReference"/>
        </w:rPr>
        <w:endnoteReference w:id="106"/>
      </w:r>
      <w:r w:rsidR="00573BA7" w:rsidRPr="009661F6">
        <w:t xml:space="preserve">  </w:t>
      </w:r>
      <w:r w:rsidRPr="009661F6">
        <w:t>This</w:t>
      </w:r>
      <w:r w:rsidR="00573BA7" w:rsidRPr="009661F6">
        <w:t xml:space="preserve"> </w:t>
      </w:r>
      <w:r w:rsidRPr="009661F6">
        <w:t>includes</w:t>
      </w:r>
      <w:r w:rsidR="00573BA7" w:rsidRPr="009661F6">
        <w:t xml:space="preserve"> </w:t>
      </w:r>
      <w:r w:rsidRPr="009661F6">
        <w:t>measures</w:t>
      </w:r>
      <w:r w:rsidR="00573BA7" w:rsidRPr="009661F6">
        <w:t xml:space="preserve"> </w:t>
      </w:r>
      <w:r w:rsidRPr="009661F6">
        <w:t>to</w:t>
      </w:r>
      <w:r w:rsidR="00573BA7" w:rsidRPr="009661F6">
        <w:t xml:space="preserve"> </w:t>
      </w:r>
      <w:r w:rsidRPr="009661F6">
        <w:t>ensure</w:t>
      </w:r>
      <w:r w:rsidR="00573BA7" w:rsidRPr="009661F6">
        <w:t xml:space="preserve"> </w:t>
      </w:r>
      <w:r w:rsidR="00E905C3">
        <w:t xml:space="preserve">that </w:t>
      </w:r>
      <w:r w:rsidRPr="009661F6">
        <w:t>rights</w:t>
      </w:r>
      <w:r w:rsidR="00573BA7" w:rsidRPr="009661F6">
        <w:t xml:space="preserve"> </w:t>
      </w:r>
      <w:r w:rsidRPr="009661F6">
        <w:t>contained</w:t>
      </w:r>
      <w:r w:rsidR="00573BA7" w:rsidRPr="009661F6">
        <w:t xml:space="preserve"> </w:t>
      </w:r>
      <w:r w:rsidRPr="009661F6">
        <w:t>in</w:t>
      </w:r>
      <w:r w:rsidR="00573BA7" w:rsidRPr="009661F6">
        <w:t xml:space="preserve"> </w:t>
      </w:r>
      <w:r w:rsidRPr="009661F6">
        <w:t>the</w:t>
      </w:r>
      <w:r w:rsidR="00573BA7" w:rsidRPr="009661F6">
        <w:t xml:space="preserve"> </w:t>
      </w:r>
      <w:r w:rsidRPr="009661F6">
        <w:t>CRPD</w:t>
      </w:r>
      <w:r w:rsidR="00573BA7" w:rsidRPr="009661F6">
        <w:t xml:space="preserve"> </w:t>
      </w:r>
      <w:r w:rsidRPr="009661F6">
        <w:t>are</w:t>
      </w:r>
      <w:r w:rsidR="00573BA7" w:rsidRPr="009661F6">
        <w:t xml:space="preserve"> </w:t>
      </w:r>
      <w:r w:rsidRPr="009661F6">
        <w:t>actionable</w:t>
      </w:r>
      <w:r w:rsidR="00573BA7" w:rsidRPr="009661F6">
        <w:t xml:space="preserve"> </w:t>
      </w:r>
      <w:r w:rsidRPr="009661F6">
        <w:t>in</w:t>
      </w:r>
      <w:r w:rsidR="00573BA7" w:rsidRPr="009661F6">
        <w:t xml:space="preserve"> </w:t>
      </w:r>
      <w:r w:rsidRPr="009661F6">
        <w:t>domestic</w:t>
      </w:r>
      <w:r w:rsidR="00573BA7" w:rsidRPr="009661F6">
        <w:t xml:space="preserve"> </w:t>
      </w:r>
      <w:r w:rsidRPr="009661F6">
        <w:t>courts,</w:t>
      </w:r>
      <w:r w:rsidR="00573BA7" w:rsidRPr="009661F6">
        <w:t xml:space="preserve"> </w:t>
      </w:r>
      <w:r w:rsidR="00D7342F">
        <w:t>that there is</w:t>
      </w:r>
      <w:r w:rsidR="00D7342F" w:rsidRPr="009661F6">
        <w:t xml:space="preserve"> </w:t>
      </w:r>
      <w:r w:rsidRPr="009661F6">
        <w:t>access</w:t>
      </w:r>
      <w:r w:rsidR="00573BA7" w:rsidRPr="009661F6">
        <w:t xml:space="preserve"> </w:t>
      </w:r>
      <w:r w:rsidRPr="009661F6">
        <w:t>to</w:t>
      </w:r>
      <w:r w:rsidR="00573BA7" w:rsidRPr="009661F6">
        <w:t xml:space="preserve"> </w:t>
      </w:r>
      <w:r w:rsidRPr="009661F6">
        <w:t>justice</w:t>
      </w:r>
      <w:r w:rsidR="00573BA7" w:rsidRPr="009661F6">
        <w:t xml:space="preserve"> </w:t>
      </w:r>
      <w:r w:rsidRPr="009661F6">
        <w:t>for</w:t>
      </w:r>
      <w:r w:rsidR="00573BA7" w:rsidRPr="009661F6">
        <w:t xml:space="preserve"> </w:t>
      </w:r>
      <w:r w:rsidRPr="009661F6">
        <w:t>all</w:t>
      </w:r>
      <w:r w:rsidR="00573BA7" w:rsidRPr="009661F6">
        <w:t xml:space="preserve"> </w:t>
      </w:r>
      <w:r w:rsidRPr="009661F6">
        <w:t>persons</w:t>
      </w:r>
      <w:r w:rsidR="00573BA7" w:rsidRPr="009661F6">
        <w:t xml:space="preserve"> </w:t>
      </w:r>
      <w:r w:rsidRPr="009661F6">
        <w:t>who</w:t>
      </w:r>
      <w:r w:rsidR="00573BA7" w:rsidRPr="009661F6">
        <w:t xml:space="preserve"> </w:t>
      </w:r>
      <w:r w:rsidRPr="009661F6">
        <w:t>have</w:t>
      </w:r>
      <w:r w:rsidR="00573BA7" w:rsidRPr="009661F6">
        <w:t xml:space="preserve"> </w:t>
      </w:r>
      <w:r w:rsidRPr="009661F6">
        <w:t>experience</w:t>
      </w:r>
      <w:r w:rsidR="00E6125E">
        <w:t>d</w:t>
      </w:r>
      <w:r w:rsidR="00573BA7" w:rsidRPr="009661F6">
        <w:t xml:space="preserve"> </w:t>
      </w:r>
      <w:r w:rsidRPr="009661F6">
        <w:t>discrimination</w:t>
      </w:r>
      <w:r>
        <w:t>,</w:t>
      </w:r>
      <w:r w:rsidR="00573BA7">
        <w:t xml:space="preserve"> </w:t>
      </w:r>
      <w:r>
        <w:t>and</w:t>
      </w:r>
      <w:r w:rsidR="00573BA7">
        <w:t xml:space="preserve"> </w:t>
      </w:r>
      <w:r>
        <w:t>that</w:t>
      </w:r>
      <w:r w:rsidR="00573BA7">
        <w:t xml:space="preserve"> </w:t>
      </w:r>
      <w:r>
        <w:t>effective,</w:t>
      </w:r>
      <w:r w:rsidR="00573BA7">
        <w:t xml:space="preserve"> </w:t>
      </w:r>
      <w:r>
        <w:t>proportionate</w:t>
      </w:r>
      <w:r w:rsidR="00573BA7">
        <w:t xml:space="preserve"> </w:t>
      </w:r>
      <w:r>
        <w:t>and</w:t>
      </w:r>
      <w:r w:rsidR="00573BA7">
        <w:t xml:space="preserve"> </w:t>
      </w:r>
      <w:r>
        <w:t>dissuasive</w:t>
      </w:r>
      <w:r w:rsidR="00573BA7">
        <w:t xml:space="preserve"> </w:t>
      </w:r>
      <w:r>
        <w:t>sanctions</w:t>
      </w:r>
      <w:r w:rsidR="00573BA7">
        <w:t xml:space="preserve"> </w:t>
      </w:r>
      <w:r>
        <w:t>and</w:t>
      </w:r>
      <w:r w:rsidR="00573BA7">
        <w:t xml:space="preserve"> </w:t>
      </w:r>
      <w:r>
        <w:t>remedies</w:t>
      </w:r>
      <w:r w:rsidR="00573BA7">
        <w:t xml:space="preserve"> </w:t>
      </w:r>
      <w:r w:rsidR="00D7342F">
        <w:t xml:space="preserve">are available </w:t>
      </w:r>
      <w:r>
        <w:t>in</w:t>
      </w:r>
      <w:r w:rsidR="00573BA7">
        <w:t xml:space="preserve"> </w:t>
      </w:r>
      <w:r>
        <w:t>the</w:t>
      </w:r>
      <w:r w:rsidR="00573BA7">
        <w:t xml:space="preserve"> </w:t>
      </w:r>
      <w:r>
        <w:t>event</w:t>
      </w:r>
      <w:r w:rsidR="00573BA7">
        <w:t xml:space="preserve"> </w:t>
      </w:r>
      <w:r>
        <w:t>of</w:t>
      </w:r>
      <w:r w:rsidR="00573BA7">
        <w:t xml:space="preserve"> </w:t>
      </w:r>
      <w:r>
        <w:t>a</w:t>
      </w:r>
      <w:r w:rsidR="00573BA7">
        <w:t xml:space="preserve"> </w:t>
      </w:r>
      <w:r>
        <w:t>breach.</w:t>
      </w:r>
      <w:r>
        <w:rPr>
          <w:rStyle w:val="EndnoteReference"/>
        </w:rPr>
        <w:endnoteReference w:id="107"/>
      </w:r>
      <w:r w:rsidR="00573BA7">
        <w:t xml:space="preserve">  </w:t>
      </w:r>
    </w:p>
    <w:p w14:paraId="0104EED2" w14:textId="1D27F88E" w:rsidR="00E67169" w:rsidRPr="00140DB9" w:rsidRDefault="00193F6D" w:rsidP="00DA2A0A">
      <w:pPr>
        <w:pStyle w:val="ListParagraph"/>
        <w:numPr>
          <w:ilvl w:val="0"/>
          <w:numId w:val="58"/>
        </w:numPr>
      </w:pPr>
      <w:r>
        <w:t>Articl</w:t>
      </w:r>
      <w:r w:rsidR="00253DC9">
        <w:t>e</w:t>
      </w:r>
      <w:r w:rsidR="00573BA7">
        <w:t xml:space="preserve"> </w:t>
      </w:r>
      <w:r w:rsidR="00253DC9">
        <w:t>13</w:t>
      </w:r>
      <w:r w:rsidR="00573BA7">
        <w:t xml:space="preserve"> </w:t>
      </w:r>
      <w:r w:rsidR="00253DC9">
        <w:t>of</w:t>
      </w:r>
      <w:r w:rsidR="00573BA7">
        <w:t xml:space="preserve"> </w:t>
      </w:r>
      <w:r w:rsidR="00253DC9">
        <w:t>the</w:t>
      </w:r>
      <w:r w:rsidR="00573BA7">
        <w:t xml:space="preserve"> </w:t>
      </w:r>
      <w:r w:rsidR="00253DC9">
        <w:t>CRPD</w:t>
      </w:r>
      <w:r w:rsidR="00573BA7">
        <w:t xml:space="preserve"> </w:t>
      </w:r>
      <w:r w:rsidR="00253DC9">
        <w:t>is</w:t>
      </w:r>
      <w:r w:rsidR="00573BA7">
        <w:t xml:space="preserve"> </w:t>
      </w:r>
      <w:r w:rsidR="005713DC">
        <w:t>relevant</w:t>
      </w:r>
      <w:r w:rsidR="00573BA7">
        <w:t xml:space="preserve"> </w:t>
      </w:r>
      <w:r w:rsidR="005713DC">
        <w:t>in</w:t>
      </w:r>
      <w:r w:rsidR="00573BA7">
        <w:t xml:space="preserve"> </w:t>
      </w:r>
      <w:r w:rsidR="005713DC">
        <w:t>that</w:t>
      </w:r>
      <w:r w:rsidR="00573BA7">
        <w:t xml:space="preserve"> </w:t>
      </w:r>
      <w:r w:rsidR="005713DC">
        <w:t>regard,</w:t>
      </w:r>
      <w:r w:rsidR="00573BA7">
        <w:t xml:space="preserve"> </w:t>
      </w:r>
      <w:r w:rsidR="005713DC">
        <w:t>as</w:t>
      </w:r>
      <w:r w:rsidR="00573BA7">
        <w:t xml:space="preserve"> </w:t>
      </w:r>
      <w:r w:rsidR="005713DC">
        <w:t>it</w:t>
      </w:r>
      <w:r w:rsidR="00573BA7">
        <w:t xml:space="preserve"> </w:t>
      </w:r>
      <w:r w:rsidR="005713DC">
        <w:t>requires</w:t>
      </w:r>
      <w:r w:rsidR="00573BA7">
        <w:t xml:space="preserve"> </w:t>
      </w:r>
      <w:r w:rsidR="005713DC">
        <w:t>Australia</w:t>
      </w:r>
      <w:r w:rsidR="00573BA7">
        <w:t xml:space="preserve"> </w:t>
      </w:r>
      <w:r w:rsidR="005713DC">
        <w:t>to</w:t>
      </w:r>
      <w:r w:rsidR="00573BA7">
        <w:t xml:space="preserve"> </w:t>
      </w:r>
      <w:r w:rsidR="00A267E8">
        <w:t>ensure</w:t>
      </w:r>
      <w:r w:rsidR="00573BA7">
        <w:t xml:space="preserve"> </w:t>
      </w:r>
      <w:r w:rsidR="00CB39DC">
        <w:t>effective</w:t>
      </w:r>
      <w:r w:rsidR="00573BA7">
        <w:t xml:space="preserve"> </w:t>
      </w:r>
      <w:r w:rsidR="00CB39DC">
        <w:t>access</w:t>
      </w:r>
      <w:r w:rsidR="00573BA7">
        <w:t xml:space="preserve"> </w:t>
      </w:r>
      <w:r w:rsidR="00CB39DC">
        <w:t>to</w:t>
      </w:r>
      <w:r w:rsidR="00573BA7">
        <w:t xml:space="preserve"> </w:t>
      </w:r>
      <w:r w:rsidR="00CB39DC">
        <w:t>justice</w:t>
      </w:r>
      <w:r w:rsidR="00573BA7">
        <w:t xml:space="preserve"> </w:t>
      </w:r>
      <w:r w:rsidR="00CB39DC">
        <w:t>for</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rsidR="00CB39DC">
        <w:t>on</w:t>
      </w:r>
      <w:r w:rsidR="00573BA7">
        <w:t xml:space="preserve"> </w:t>
      </w:r>
      <w:r w:rsidR="00CB39DC">
        <w:t>an</w:t>
      </w:r>
      <w:r w:rsidR="00573BA7">
        <w:t xml:space="preserve"> </w:t>
      </w:r>
      <w:r w:rsidR="00CB39DC">
        <w:t>equal</w:t>
      </w:r>
      <w:r w:rsidR="00573BA7">
        <w:t xml:space="preserve"> </w:t>
      </w:r>
      <w:r w:rsidR="00CB39DC">
        <w:t>basis</w:t>
      </w:r>
      <w:r w:rsidR="00573BA7">
        <w:t xml:space="preserve"> </w:t>
      </w:r>
      <w:r w:rsidR="00CB39DC">
        <w:t>with</w:t>
      </w:r>
      <w:r w:rsidR="00573BA7">
        <w:t xml:space="preserve"> </w:t>
      </w:r>
      <w:r w:rsidR="00CB39DC">
        <w:t>others.</w:t>
      </w:r>
      <w:r w:rsidR="00573BA7">
        <w:t xml:space="preserve">  </w:t>
      </w:r>
      <w:r w:rsidR="00E67169">
        <w:t>The</w:t>
      </w:r>
      <w:r w:rsidR="00573BA7">
        <w:t xml:space="preserve"> </w:t>
      </w:r>
      <w:r w:rsidR="00E67169">
        <w:t>legal</w:t>
      </w:r>
      <w:r w:rsidR="00573BA7">
        <w:t xml:space="preserve"> </w:t>
      </w:r>
      <w:r w:rsidR="00E67169">
        <w:t>right</w:t>
      </w:r>
      <w:r w:rsidR="00573BA7">
        <w:t xml:space="preserve"> </w:t>
      </w:r>
      <w:r w:rsidR="00E67169">
        <w:t>to</w:t>
      </w:r>
      <w:r w:rsidR="00573BA7">
        <w:t xml:space="preserve"> </w:t>
      </w:r>
      <w:r w:rsidR="00E67169">
        <w:t>pursue</w:t>
      </w:r>
      <w:r w:rsidR="00573BA7">
        <w:t xml:space="preserve"> </w:t>
      </w:r>
      <w:r w:rsidR="00E67169">
        <w:t>claims</w:t>
      </w:r>
      <w:r w:rsidR="00573BA7">
        <w:t xml:space="preserve"> </w:t>
      </w:r>
      <w:r w:rsidR="00E67169">
        <w:t>through</w:t>
      </w:r>
      <w:r w:rsidR="00573BA7">
        <w:t xml:space="preserve"> </w:t>
      </w:r>
      <w:r w:rsidR="00E67169">
        <w:t>associations,</w:t>
      </w:r>
      <w:r w:rsidR="00573BA7">
        <w:t xml:space="preserve"> </w:t>
      </w:r>
      <w:r w:rsidR="00E67169">
        <w:t>organisations</w:t>
      </w:r>
      <w:r w:rsidR="00573BA7">
        <w:t xml:space="preserve"> </w:t>
      </w:r>
      <w:r w:rsidR="00E67169">
        <w:t>or</w:t>
      </w:r>
      <w:r w:rsidR="00573BA7">
        <w:t xml:space="preserve"> </w:t>
      </w:r>
      <w:r w:rsidR="00E67169">
        <w:t>other</w:t>
      </w:r>
      <w:r w:rsidR="00573BA7">
        <w:t xml:space="preserve"> </w:t>
      </w:r>
      <w:r w:rsidR="00E67169">
        <w:t>legal</w:t>
      </w:r>
      <w:r w:rsidR="00573BA7">
        <w:t xml:space="preserve"> </w:t>
      </w:r>
      <w:r w:rsidR="00E67169">
        <w:t>entities</w:t>
      </w:r>
      <w:r w:rsidR="00573BA7">
        <w:t xml:space="preserve"> </w:t>
      </w:r>
      <w:r w:rsidR="00E67169">
        <w:t>that</w:t>
      </w:r>
      <w:r w:rsidR="00573BA7">
        <w:t xml:space="preserve"> </w:t>
      </w:r>
      <w:r w:rsidR="00E67169">
        <w:t>have</w:t>
      </w:r>
      <w:r w:rsidR="00573BA7">
        <w:t xml:space="preserve"> </w:t>
      </w:r>
      <w:r w:rsidR="00E67169">
        <w:t>a</w:t>
      </w:r>
      <w:r w:rsidR="00573BA7">
        <w:t xml:space="preserve"> </w:t>
      </w:r>
      <w:r w:rsidR="00E67169">
        <w:t>legitimate</w:t>
      </w:r>
      <w:r w:rsidR="00573BA7">
        <w:t xml:space="preserve"> </w:t>
      </w:r>
      <w:r w:rsidR="00E67169">
        <w:t>interest</w:t>
      </w:r>
      <w:r w:rsidR="00573BA7">
        <w:t xml:space="preserve"> </w:t>
      </w:r>
      <w:r w:rsidR="00E67169">
        <w:t>in</w:t>
      </w:r>
      <w:r w:rsidR="00573BA7">
        <w:t xml:space="preserve"> </w:t>
      </w:r>
      <w:r w:rsidR="00E67169">
        <w:t>the</w:t>
      </w:r>
      <w:r w:rsidR="00573BA7">
        <w:t xml:space="preserve"> </w:t>
      </w:r>
      <w:r w:rsidR="00E67169">
        <w:t>realisation</w:t>
      </w:r>
      <w:r w:rsidR="00573BA7">
        <w:t xml:space="preserve"> </w:t>
      </w:r>
      <w:r w:rsidR="00E67169">
        <w:t>of</w:t>
      </w:r>
      <w:r w:rsidR="00573BA7">
        <w:t xml:space="preserve"> </w:t>
      </w:r>
      <w:r w:rsidR="00E67169">
        <w:t>the</w:t>
      </w:r>
      <w:r w:rsidR="00573BA7">
        <w:t xml:space="preserve"> </w:t>
      </w:r>
      <w:r w:rsidR="00E67169">
        <w:t>right</w:t>
      </w:r>
      <w:r w:rsidR="00573BA7">
        <w:t xml:space="preserve"> </w:t>
      </w:r>
      <w:r w:rsidR="00E67169">
        <w:t>to</w:t>
      </w:r>
      <w:r w:rsidR="00573BA7">
        <w:t xml:space="preserve"> </w:t>
      </w:r>
      <w:r w:rsidR="00E67169">
        <w:t>equality</w:t>
      </w:r>
      <w:r w:rsidR="00573BA7">
        <w:t xml:space="preserve"> </w:t>
      </w:r>
      <w:r w:rsidR="00E67169">
        <w:t>is</w:t>
      </w:r>
      <w:r w:rsidR="00573BA7">
        <w:t xml:space="preserve"> </w:t>
      </w:r>
      <w:r w:rsidR="00E67169">
        <w:t>also</w:t>
      </w:r>
      <w:r w:rsidR="00573BA7">
        <w:t xml:space="preserve"> </w:t>
      </w:r>
      <w:r w:rsidR="00E67169">
        <w:t>required.</w:t>
      </w:r>
      <w:r w:rsidR="00E67169">
        <w:rPr>
          <w:rStyle w:val="EndnoteReference"/>
        </w:rPr>
        <w:endnoteReference w:id="108"/>
      </w:r>
      <w:r w:rsidR="00573BA7">
        <w:t xml:space="preserve"> </w:t>
      </w:r>
      <w:r w:rsidR="00E67169">
        <w:t>These</w:t>
      </w:r>
      <w:r w:rsidR="00573BA7">
        <w:t xml:space="preserve"> </w:t>
      </w:r>
      <w:r w:rsidR="00E67169">
        <w:t>obligations</w:t>
      </w:r>
      <w:r w:rsidR="00573BA7">
        <w:t xml:space="preserve"> </w:t>
      </w:r>
      <w:r w:rsidR="00E67169">
        <w:t>are</w:t>
      </w:r>
      <w:r w:rsidR="00573BA7">
        <w:t xml:space="preserve"> </w:t>
      </w:r>
      <w:r w:rsidR="00E67169">
        <w:t>particularly</w:t>
      </w:r>
      <w:r w:rsidR="00573BA7">
        <w:t xml:space="preserve"> </w:t>
      </w:r>
      <w:r w:rsidR="00E67169">
        <w:t>relevant</w:t>
      </w:r>
      <w:r w:rsidR="00573BA7">
        <w:t xml:space="preserve"> </w:t>
      </w:r>
      <w:r w:rsidR="00E67169">
        <w:t>to</w:t>
      </w:r>
      <w:r w:rsidR="00573BA7">
        <w:t xml:space="preserve"> </w:t>
      </w:r>
      <w:r w:rsidR="00E67169">
        <w:t>Australia’s</w:t>
      </w:r>
      <w:r w:rsidR="00573BA7">
        <w:t xml:space="preserve"> </w:t>
      </w:r>
      <w:r w:rsidR="00E67169">
        <w:t>various</w:t>
      </w:r>
      <w:r w:rsidR="00573BA7">
        <w:t xml:space="preserve"> </w:t>
      </w:r>
      <w:r w:rsidR="00E67169">
        <w:t>legislative</w:t>
      </w:r>
      <w:r w:rsidR="00573BA7">
        <w:t xml:space="preserve"> </w:t>
      </w:r>
      <w:r w:rsidR="00E67169">
        <w:t>regimes,</w:t>
      </w:r>
      <w:r w:rsidR="00573BA7">
        <w:t xml:space="preserve"> </w:t>
      </w:r>
      <w:r w:rsidR="00E67169">
        <w:t>which</w:t>
      </w:r>
      <w:r w:rsidR="00573BA7">
        <w:t xml:space="preserve"> </w:t>
      </w:r>
      <w:r w:rsidR="00E67169">
        <w:t>purport</w:t>
      </w:r>
      <w:r w:rsidR="00573BA7">
        <w:t xml:space="preserve"> </w:t>
      </w:r>
      <w:r w:rsidR="00E67169">
        <w:t>to</w:t>
      </w:r>
      <w:r w:rsidR="00573BA7">
        <w:t xml:space="preserve"> </w:t>
      </w:r>
      <w:r w:rsidR="00E67169">
        <w:t>provide</w:t>
      </w:r>
      <w:r w:rsidR="00573BA7">
        <w:t xml:space="preserve"> </w:t>
      </w:r>
      <w:r w:rsidR="00E67169">
        <w:t>avenues</w:t>
      </w:r>
      <w:r w:rsidR="00573BA7">
        <w:t xml:space="preserve"> </w:t>
      </w:r>
      <w:r w:rsidR="00E67169">
        <w:t>for</w:t>
      </w:r>
      <w:r w:rsidR="00573BA7">
        <w:t xml:space="preserve"> </w:t>
      </w:r>
      <w:r w:rsidR="00E67169">
        <w:t>redress</w:t>
      </w:r>
      <w:r w:rsidR="00573BA7">
        <w:t xml:space="preserve"> </w:t>
      </w:r>
      <w:r w:rsidR="00E67169">
        <w:t>to</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rsidR="00E67169">
        <w:t>who</w:t>
      </w:r>
      <w:r w:rsidR="00573BA7">
        <w:t xml:space="preserve"> </w:t>
      </w:r>
      <w:r w:rsidR="00E67169">
        <w:t>have</w:t>
      </w:r>
      <w:r w:rsidR="00573BA7">
        <w:t xml:space="preserve"> </w:t>
      </w:r>
      <w:r w:rsidR="00E67169">
        <w:t>been</w:t>
      </w:r>
      <w:r w:rsidR="00573BA7">
        <w:t xml:space="preserve"> </w:t>
      </w:r>
      <w:r w:rsidR="00E67169">
        <w:t>discriminated</w:t>
      </w:r>
      <w:r w:rsidR="00573BA7">
        <w:t xml:space="preserve"> </w:t>
      </w:r>
      <w:r w:rsidR="00E67169">
        <w:t>against</w:t>
      </w:r>
      <w:r w:rsidR="00573BA7">
        <w:t xml:space="preserve"> </w:t>
      </w:r>
      <w:r w:rsidR="00E67169">
        <w:t>in</w:t>
      </w:r>
      <w:r w:rsidR="00573BA7">
        <w:t xml:space="preserve"> </w:t>
      </w:r>
      <w:r w:rsidR="00E67169">
        <w:t>the</w:t>
      </w:r>
      <w:r w:rsidR="00573BA7">
        <w:t xml:space="preserve"> </w:t>
      </w:r>
      <w:r w:rsidR="00E67169">
        <w:t>employment</w:t>
      </w:r>
      <w:r w:rsidR="00573BA7">
        <w:t xml:space="preserve"> </w:t>
      </w:r>
      <w:r w:rsidR="00E67169">
        <w:t>context</w:t>
      </w:r>
      <w:r w:rsidR="00A67DBD">
        <w:t xml:space="preserve">, as discussed </w:t>
      </w:r>
      <w:r w:rsidR="00A67DBD" w:rsidRPr="00140DB9">
        <w:t>at</w:t>
      </w:r>
      <w:r w:rsidR="00573BA7" w:rsidRPr="00140DB9">
        <w:t xml:space="preserve"> </w:t>
      </w:r>
      <w:r w:rsidR="00243B3C" w:rsidRPr="00140DB9">
        <w:t>parts</w:t>
      </w:r>
      <w:r w:rsidR="00573BA7" w:rsidRPr="00140DB9">
        <w:t xml:space="preserve"> </w:t>
      </w:r>
      <w:r w:rsidR="00140DB9" w:rsidRPr="00140DB9">
        <w:fldChar w:fldCharType="begin"/>
      </w:r>
      <w:r w:rsidR="00140DB9" w:rsidRPr="00140DB9">
        <w:instrText xml:space="preserve"> REF _Ref50804511 \w \h </w:instrText>
      </w:r>
      <w:r w:rsidR="00140DB9">
        <w:instrText xml:space="preserve"> \* MERGEFORMAT </w:instrText>
      </w:r>
      <w:r w:rsidR="00140DB9" w:rsidRPr="00140DB9">
        <w:fldChar w:fldCharType="separate"/>
      </w:r>
      <w:r w:rsidR="003944D6">
        <w:t>5.3</w:t>
      </w:r>
      <w:r w:rsidR="00140DB9" w:rsidRPr="00140DB9">
        <w:fldChar w:fldCharType="end"/>
      </w:r>
      <w:r w:rsidR="00140DB9" w:rsidRPr="00140DB9">
        <w:t xml:space="preserve"> and </w:t>
      </w:r>
      <w:r w:rsidR="00E67169" w:rsidRPr="00140DB9">
        <w:fldChar w:fldCharType="begin"/>
      </w:r>
      <w:r w:rsidR="00E67169" w:rsidRPr="00140DB9">
        <w:instrText xml:space="preserve"> REF _Ref50574294 \r \h </w:instrText>
      </w:r>
      <w:r w:rsidR="00243B3C" w:rsidRPr="00140DB9">
        <w:instrText xml:space="preserve"> \* MERGEFORMAT </w:instrText>
      </w:r>
      <w:r w:rsidR="00E67169" w:rsidRPr="00140DB9">
        <w:fldChar w:fldCharType="separate"/>
      </w:r>
      <w:r w:rsidR="003944D6">
        <w:t>160</w:t>
      </w:r>
      <w:r w:rsidR="00E67169" w:rsidRPr="00140DB9">
        <w:fldChar w:fldCharType="end"/>
      </w:r>
      <w:r w:rsidR="00573BA7" w:rsidRPr="00140DB9">
        <w:t xml:space="preserve"> </w:t>
      </w:r>
      <w:r w:rsidR="00E67169" w:rsidRPr="00140DB9">
        <w:t>of</w:t>
      </w:r>
      <w:r w:rsidR="00573BA7" w:rsidRPr="00140DB9">
        <w:t xml:space="preserve"> </w:t>
      </w:r>
      <w:r w:rsidR="00E67169" w:rsidRPr="00140DB9">
        <w:t>this</w:t>
      </w:r>
      <w:r w:rsidR="00573BA7" w:rsidRPr="00140DB9">
        <w:t xml:space="preserve"> </w:t>
      </w:r>
      <w:r w:rsidR="00E67169" w:rsidRPr="00140DB9">
        <w:t>submission</w:t>
      </w:r>
      <w:r w:rsidR="00ED1BA5" w:rsidRPr="00140DB9">
        <w:t>.</w:t>
      </w:r>
    </w:p>
    <w:p w14:paraId="4F5EB49F" w14:textId="59003C97" w:rsidR="00D03307" w:rsidRDefault="00982AAD" w:rsidP="001C04F6">
      <w:pPr>
        <w:pStyle w:val="Heading1"/>
      </w:pPr>
      <w:bookmarkStart w:id="53" w:name="_Hlk47702793"/>
      <w:bookmarkStart w:id="54" w:name="_Toc51834278"/>
      <w:bookmarkEnd w:id="34"/>
      <w:bookmarkEnd w:id="53"/>
      <w:r>
        <w:t>I</w:t>
      </w:r>
      <w:r w:rsidR="003418D3">
        <w:t>mplement</w:t>
      </w:r>
      <w:r w:rsidR="00547988">
        <w:t>ing</w:t>
      </w:r>
      <w:r w:rsidR="00573BA7">
        <w:t xml:space="preserve"> </w:t>
      </w:r>
      <w:r>
        <w:t>Australia’s</w:t>
      </w:r>
      <w:r w:rsidR="00573BA7">
        <w:t xml:space="preserve"> </w:t>
      </w:r>
      <w:r>
        <w:t>human</w:t>
      </w:r>
      <w:r w:rsidR="00573BA7">
        <w:t xml:space="preserve"> </w:t>
      </w:r>
      <w:r>
        <w:t>rights</w:t>
      </w:r>
      <w:r w:rsidR="00573BA7">
        <w:t xml:space="preserve"> </w:t>
      </w:r>
      <w:r>
        <w:t>obligations</w:t>
      </w:r>
      <w:bookmarkEnd w:id="54"/>
    </w:p>
    <w:p w14:paraId="2F9F688A" w14:textId="03B76C5C" w:rsidR="000E16F5" w:rsidRPr="0038015C" w:rsidRDefault="000E16F5" w:rsidP="00FA4BC6">
      <w:pPr>
        <w:pStyle w:val="ListNumber"/>
        <w:numPr>
          <w:ilvl w:val="0"/>
          <w:numId w:val="59"/>
        </w:numPr>
        <w:rPr>
          <w:lang w:eastAsia="en-GB"/>
        </w:rPr>
      </w:pPr>
      <w:r w:rsidRPr="000E16F5">
        <w:rPr>
          <w:lang w:eastAsia="en-GB"/>
        </w:rPr>
        <w:t>This</w:t>
      </w:r>
      <w:r w:rsidR="00573BA7">
        <w:rPr>
          <w:lang w:eastAsia="en-GB"/>
        </w:rPr>
        <w:t xml:space="preserve"> </w:t>
      </w:r>
      <w:r w:rsidRPr="000E16F5">
        <w:rPr>
          <w:lang w:eastAsia="en-GB"/>
        </w:rPr>
        <w:t>section</w:t>
      </w:r>
      <w:r w:rsidR="00573BA7">
        <w:rPr>
          <w:lang w:eastAsia="en-GB"/>
        </w:rPr>
        <w:t xml:space="preserve"> </w:t>
      </w:r>
      <w:r w:rsidRPr="000E16F5">
        <w:rPr>
          <w:lang w:eastAsia="en-GB"/>
        </w:rPr>
        <w:t>discusses</w:t>
      </w:r>
      <w:r w:rsidR="00573BA7">
        <w:rPr>
          <w:lang w:eastAsia="en-GB"/>
        </w:rPr>
        <w:t xml:space="preserve"> </w:t>
      </w:r>
      <w:r w:rsidRPr="000E16F5">
        <w:rPr>
          <w:lang w:eastAsia="en-GB"/>
        </w:rPr>
        <w:t>Australia’s</w:t>
      </w:r>
      <w:r w:rsidR="00573BA7">
        <w:rPr>
          <w:lang w:eastAsia="en-GB"/>
        </w:rPr>
        <w:t xml:space="preserve"> </w:t>
      </w:r>
      <w:r w:rsidRPr="000E16F5">
        <w:rPr>
          <w:lang w:eastAsia="en-GB"/>
        </w:rPr>
        <w:t>obligations</w:t>
      </w:r>
      <w:r w:rsidR="00573BA7">
        <w:rPr>
          <w:lang w:eastAsia="en-GB"/>
        </w:rPr>
        <w:t xml:space="preserve"> </w:t>
      </w:r>
      <w:r w:rsidRPr="000E16F5">
        <w:rPr>
          <w:lang w:eastAsia="en-GB"/>
        </w:rPr>
        <w:t>to</w:t>
      </w:r>
      <w:r w:rsidR="00573BA7">
        <w:rPr>
          <w:lang w:eastAsia="en-GB"/>
        </w:rPr>
        <w:t xml:space="preserve"> </w:t>
      </w:r>
      <w:r>
        <w:rPr>
          <w:lang w:eastAsia="en-GB"/>
        </w:rPr>
        <w:t>people</w:t>
      </w:r>
      <w:r w:rsidR="00573BA7">
        <w:rPr>
          <w:lang w:eastAsia="en-GB"/>
        </w:rPr>
        <w:t xml:space="preserve"> </w:t>
      </w:r>
      <w:r>
        <w:rPr>
          <w:lang w:eastAsia="en-GB"/>
        </w:rPr>
        <w:t>with</w:t>
      </w:r>
      <w:r w:rsidR="00573BA7">
        <w:rPr>
          <w:lang w:eastAsia="en-GB"/>
        </w:rPr>
        <w:t xml:space="preserve"> </w:t>
      </w:r>
      <w:r>
        <w:rPr>
          <w:lang w:eastAsia="en-GB"/>
        </w:rPr>
        <w:t>disability</w:t>
      </w:r>
      <w:r w:rsidR="00573BA7">
        <w:rPr>
          <w:lang w:eastAsia="en-GB"/>
        </w:rPr>
        <w:t xml:space="preserve"> </w:t>
      </w:r>
      <w:r>
        <w:rPr>
          <w:lang w:eastAsia="en-GB"/>
        </w:rPr>
        <w:t>in</w:t>
      </w:r>
      <w:r w:rsidR="00573BA7">
        <w:rPr>
          <w:lang w:eastAsia="en-GB"/>
        </w:rPr>
        <w:t xml:space="preserve"> </w:t>
      </w:r>
      <w:r>
        <w:rPr>
          <w:lang w:eastAsia="en-GB"/>
        </w:rPr>
        <w:t>employment</w:t>
      </w:r>
      <w:r w:rsidR="00573BA7">
        <w:rPr>
          <w:lang w:eastAsia="en-GB"/>
        </w:rPr>
        <w:t xml:space="preserve"> </w:t>
      </w:r>
      <w:r w:rsidRPr="000E16F5">
        <w:rPr>
          <w:lang w:eastAsia="en-GB"/>
        </w:rPr>
        <w:t>in</w:t>
      </w:r>
      <w:r w:rsidR="00573BA7">
        <w:rPr>
          <w:lang w:eastAsia="en-GB"/>
        </w:rPr>
        <w:t xml:space="preserve"> </w:t>
      </w:r>
      <w:r w:rsidRPr="000E16F5">
        <w:rPr>
          <w:lang w:eastAsia="en-GB"/>
        </w:rPr>
        <w:t>accordance</w:t>
      </w:r>
      <w:r w:rsidR="00573BA7">
        <w:rPr>
          <w:lang w:eastAsia="en-GB"/>
        </w:rPr>
        <w:t xml:space="preserve"> </w:t>
      </w:r>
      <w:r w:rsidRPr="000E16F5">
        <w:rPr>
          <w:lang w:eastAsia="en-GB"/>
        </w:rPr>
        <w:t>with</w:t>
      </w:r>
      <w:r w:rsidR="00573BA7">
        <w:rPr>
          <w:lang w:eastAsia="en-GB"/>
        </w:rPr>
        <w:t xml:space="preserve"> </w:t>
      </w:r>
      <w:r w:rsidRPr="000E16F5">
        <w:rPr>
          <w:lang w:eastAsia="en-GB"/>
        </w:rPr>
        <w:t>Article</w:t>
      </w:r>
      <w:r w:rsidR="00573BA7">
        <w:rPr>
          <w:lang w:eastAsia="en-GB"/>
        </w:rPr>
        <w:t xml:space="preserve"> </w:t>
      </w:r>
      <w:r>
        <w:rPr>
          <w:lang w:eastAsia="en-GB"/>
        </w:rPr>
        <w:t>27</w:t>
      </w:r>
      <w:r w:rsidR="00573BA7">
        <w:rPr>
          <w:lang w:eastAsia="en-GB"/>
        </w:rPr>
        <w:t xml:space="preserve"> </w:t>
      </w:r>
      <w:r w:rsidRPr="000E16F5">
        <w:rPr>
          <w:lang w:eastAsia="en-GB"/>
        </w:rPr>
        <w:t>of</w:t>
      </w:r>
      <w:r w:rsidR="00573BA7">
        <w:rPr>
          <w:lang w:eastAsia="en-GB"/>
        </w:rPr>
        <w:t xml:space="preserve"> </w:t>
      </w:r>
      <w:r w:rsidRPr="000E16F5">
        <w:rPr>
          <w:lang w:eastAsia="en-GB"/>
        </w:rPr>
        <w:t>the</w:t>
      </w:r>
      <w:r w:rsidR="00573BA7">
        <w:rPr>
          <w:lang w:eastAsia="en-GB"/>
        </w:rPr>
        <w:t xml:space="preserve"> </w:t>
      </w:r>
      <w:r w:rsidRPr="00B211DF">
        <w:rPr>
          <w:lang w:eastAsia="en-GB"/>
        </w:rPr>
        <w:t>CRPD.</w:t>
      </w:r>
      <w:r w:rsidR="00573BA7">
        <w:rPr>
          <w:lang w:eastAsia="en-GB"/>
        </w:rPr>
        <w:t xml:space="preserve"> </w:t>
      </w:r>
      <w:r w:rsidRPr="00B211DF">
        <w:rPr>
          <w:lang w:eastAsia="en-GB"/>
        </w:rPr>
        <w:t>It</w:t>
      </w:r>
      <w:r w:rsidR="00573BA7">
        <w:rPr>
          <w:lang w:eastAsia="en-GB"/>
        </w:rPr>
        <w:t xml:space="preserve"> </w:t>
      </w:r>
      <w:r w:rsidRPr="00B211DF">
        <w:rPr>
          <w:lang w:eastAsia="en-GB"/>
        </w:rPr>
        <w:t>analyses</w:t>
      </w:r>
      <w:r w:rsidR="00573BA7">
        <w:rPr>
          <w:lang w:eastAsia="en-GB"/>
        </w:rPr>
        <w:t xml:space="preserve"> </w:t>
      </w:r>
      <w:r w:rsidR="00756757">
        <w:rPr>
          <w:lang w:eastAsia="en-GB"/>
        </w:rPr>
        <w:t>the</w:t>
      </w:r>
      <w:r w:rsidR="00573BA7">
        <w:rPr>
          <w:lang w:eastAsia="en-GB"/>
        </w:rPr>
        <w:t xml:space="preserve"> </w:t>
      </w:r>
      <w:r w:rsidR="00756757">
        <w:rPr>
          <w:lang w:eastAsia="en-GB"/>
        </w:rPr>
        <w:t>extent</w:t>
      </w:r>
      <w:r w:rsidR="00573BA7">
        <w:rPr>
          <w:lang w:eastAsia="en-GB"/>
        </w:rPr>
        <w:t xml:space="preserve"> </w:t>
      </w:r>
      <w:r w:rsidR="00756757">
        <w:rPr>
          <w:lang w:eastAsia="en-GB"/>
        </w:rPr>
        <w:t>to</w:t>
      </w:r>
      <w:r w:rsidR="00573BA7">
        <w:rPr>
          <w:lang w:eastAsia="en-GB"/>
        </w:rPr>
        <w:t xml:space="preserve"> </w:t>
      </w:r>
      <w:r w:rsidR="00756757">
        <w:rPr>
          <w:lang w:eastAsia="en-GB"/>
        </w:rPr>
        <w:t>which</w:t>
      </w:r>
      <w:r w:rsidR="00573BA7">
        <w:rPr>
          <w:lang w:eastAsia="en-GB"/>
        </w:rPr>
        <w:t xml:space="preserve"> </w:t>
      </w:r>
      <w:r w:rsidR="00996053" w:rsidRPr="00BC4DA8">
        <w:rPr>
          <w:lang w:eastAsia="en-GB"/>
        </w:rPr>
        <w:t>Australia</w:t>
      </w:r>
      <w:r w:rsidR="00573BA7">
        <w:rPr>
          <w:lang w:eastAsia="en-GB"/>
        </w:rPr>
        <w:t xml:space="preserve"> </w:t>
      </w:r>
      <w:r w:rsidR="00996053" w:rsidRPr="00BC4DA8">
        <w:rPr>
          <w:lang w:eastAsia="en-GB"/>
        </w:rPr>
        <w:t>respect</w:t>
      </w:r>
      <w:r w:rsidR="00756757">
        <w:rPr>
          <w:lang w:eastAsia="en-GB"/>
        </w:rPr>
        <w:t>s</w:t>
      </w:r>
      <w:r w:rsidR="00996053" w:rsidRPr="00BC4DA8">
        <w:rPr>
          <w:lang w:eastAsia="en-GB"/>
        </w:rPr>
        <w:t>,</w:t>
      </w:r>
      <w:r w:rsidR="00573BA7">
        <w:rPr>
          <w:lang w:eastAsia="en-GB"/>
        </w:rPr>
        <w:t xml:space="preserve"> </w:t>
      </w:r>
      <w:r w:rsidR="00996053" w:rsidRPr="00BC4DA8">
        <w:rPr>
          <w:lang w:eastAsia="en-GB"/>
        </w:rPr>
        <w:t>protect</w:t>
      </w:r>
      <w:r w:rsidR="00756757">
        <w:rPr>
          <w:lang w:eastAsia="en-GB"/>
        </w:rPr>
        <w:t>s</w:t>
      </w:r>
      <w:r w:rsidR="00573BA7">
        <w:rPr>
          <w:lang w:eastAsia="en-GB"/>
        </w:rPr>
        <w:t xml:space="preserve"> </w:t>
      </w:r>
      <w:r w:rsidR="00996053" w:rsidRPr="00BC4DA8">
        <w:rPr>
          <w:lang w:eastAsia="en-GB"/>
        </w:rPr>
        <w:t>and</w:t>
      </w:r>
      <w:r w:rsidR="00573BA7">
        <w:rPr>
          <w:lang w:eastAsia="en-GB"/>
        </w:rPr>
        <w:t xml:space="preserve"> </w:t>
      </w:r>
      <w:r w:rsidR="00996053" w:rsidRPr="00BC4DA8">
        <w:rPr>
          <w:lang w:eastAsia="en-GB"/>
        </w:rPr>
        <w:t>fulfil</w:t>
      </w:r>
      <w:r w:rsidR="00756757">
        <w:rPr>
          <w:lang w:eastAsia="en-GB"/>
        </w:rPr>
        <w:t>s</w:t>
      </w:r>
      <w:r w:rsidR="00573BA7">
        <w:rPr>
          <w:lang w:eastAsia="en-GB"/>
        </w:rPr>
        <w:t xml:space="preserve"> </w:t>
      </w:r>
      <w:r w:rsidR="00996053" w:rsidRPr="00BC4DA8">
        <w:rPr>
          <w:lang w:eastAsia="en-GB"/>
        </w:rPr>
        <w:t>the</w:t>
      </w:r>
      <w:r w:rsidR="00573BA7">
        <w:rPr>
          <w:lang w:eastAsia="en-GB"/>
        </w:rPr>
        <w:t xml:space="preserve"> </w:t>
      </w:r>
      <w:r w:rsidRPr="00B211DF">
        <w:rPr>
          <w:lang w:eastAsia="en-GB"/>
        </w:rPr>
        <w:t>right</w:t>
      </w:r>
      <w:r w:rsidR="00573BA7">
        <w:rPr>
          <w:lang w:eastAsia="en-GB"/>
        </w:rPr>
        <w:t xml:space="preserve"> </w:t>
      </w:r>
      <w:r w:rsidRPr="00B211DF">
        <w:rPr>
          <w:lang w:eastAsia="en-GB"/>
        </w:rPr>
        <w:t>to</w:t>
      </w:r>
      <w:r w:rsidR="00573BA7">
        <w:rPr>
          <w:lang w:eastAsia="en-GB"/>
        </w:rPr>
        <w:t xml:space="preserve"> </w:t>
      </w:r>
      <w:r w:rsidR="00996053" w:rsidRPr="00BC4DA8">
        <w:rPr>
          <w:lang w:eastAsia="en-GB"/>
        </w:rPr>
        <w:t>equal</w:t>
      </w:r>
      <w:r w:rsidR="00573BA7">
        <w:rPr>
          <w:lang w:eastAsia="en-GB"/>
        </w:rPr>
        <w:t xml:space="preserve"> </w:t>
      </w:r>
      <w:r w:rsidR="00131A49" w:rsidRPr="00BC4DA8">
        <w:rPr>
          <w:lang w:eastAsia="en-GB"/>
        </w:rPr>
        <w:t>work</w:t>
      </w:r>
      <w:r w:rsidR="00996053" w:rsidRPr="00BC4DA8">
        <w:rPr>
          <w:lang w:eastAsia="en-GB"/>
        </w:rPr>
        <w:t>,</w:t>
      </w:r>
      <w:r w:rsidR="00573BA7">
        <w:rPr>
          <w:lang w:eastAsia="en-GB"/>
        </w:rPr>
        <w:t xml:space="preserve"> </w:t>
      </w:r>
      <w:r w:rsidR="00996053" w:rsidRPr="00BC4DA8">
        <w:rPr>
          <w:lang w:eastAsia="en-GB"/>
        </w:rPr>
        <w:t>accessibility,</w:t>
      </w:r>
      <w:r w:rsidR="00573BA7">
        <w:rPr>
          <w:lang w:eastAsia="en-GB"/>
        </w:rPr>
        <w:t xml:space="preserve"> </w:t>
      </w:r>
      <w:r w:rsidR="00996053" w:rsidRPr="00BC4DA8">
        <w:rPr>
          <w:lang w:eastAsia="en-GB"/>
        </w:rPr>
        <w:t>inclusion</w:t>
      </w:r>
      <w:r w:rsidR="00573BA7">
        <w:rPr>
          <w:lang w:eastAsia="en-GB"/>
        </w:rPr>
        <w:t xml:space="preserve"> </w:t>
      </w:r>
      <w:r w:rsidR="00996053" w:rsidRPr="00BC4DA8">
        <w:rPr>
          <w:lang w:eastAsia="en-GB"/>
        </w:rPr>
        <w:t>and</w:t>
      </w:r>
      <w:r w:rsidR="00573BA7">
        <w:rPr>
          <w:lang w:eastAsia="en-GB"/>
        </w:rPr>
        <w:t xml:space="preserve"> </w:t>
      </w:r>
      <w:r w:rsidR="00996053" w:rsidRPr="00BC4DA8">
        <w:rPr>
          <w:lang w:eastAsia="en-GB"/>
        </w:rPr>
        <w:t>independence,</w:t>
      </w:r>
      <w:r w:rsidR="00573BA7">
        <w:rPr>
          <w:lang w:eastAsia="en-GB"/>
        </w:rPr>
        <w:t xml:space="preserve"> </w:t>
      </w:r>
      <w:r w:rsidR="00996053" w:rsidRPr="00BC4DA8">
        <w:rPr>
          <w:lang w:eastAsia="en-GB"/>
        </w:rPr>
        <w:t>and</w:t>
      </w:r>
      <w:r w:rsidR="00573BA7">
        <w:rPr>
          <w:lang w:eastAsia="en-GB"/>
        </w:rPr>
        <w:t xml:space="preserve"> </w:t>
      </w:r>
      <w:r w:rsidR="00996053" w:rsidRPr="00BC4DA8">
        <w:rPr>
          <w:lang w:eastAsia="en-GB"/>
        </w:rPr>
        <w:t>non-discrimination</w:t>
      </w:r>
      <w:r w:rsidR="00573BA7">
        <w:rPr>
          <w:lang w:eastAsia="en-GB"/>
        </w:rPr>
        <w:t xml:space="preserve"> </w:t>
      </w:r>
      <w:r w:rsidR="00996053" w:rsidRPr="00BC4DA8">
        <w:rPr>
          <w:lang w:eastAsia="en-GB"/>
        </w:rPr>
        <w:t>and</w:t>
      </w:r>
      <w:r w:rsidR="00573BA7">
        <w:rPr>
          <w:lang w:eastAsia="en-GB"/>
        </w:rPr>
        <w:t xml:space="preserve"> </w:t>
      </w:r>
      <w:r w:rsidR="00996053" w:rsidRPr="00BC4DA8">
        <w:rPr>
          <w:lang w:eastAsia="en-GB"/>
        </w:rPr>
        <w:t>equality</w:t>
      </w:r>
      <w:r w:rsidR="00573BA7">
        <w:rPr>
          <w:lang w:eastAsia="en-GB"/>
        </w:rPr>
        <w:t xml:space="preserve"> </w:t>
      </w:r>
      <w:r w:rsidR="00996053" w:rsidRPr="00BC4DA8">
        <w:rPr>
          <w:lang w:eastAsia="en-GB"/>
        </w:rPr>
        <w:t>for</w:t>
      </w:r>
      <w:r w:rsidR="00573BA7">
        <w:rPr>
          <w:lang w:eastAsia="en-GB"/>
        </w:rPr>
        <w:t xml:space="preserve"> </w:t>
      </w:r>
      <w:r w:rsidR="00996053" w:rsidRPr="00BC4DA8">
        <w:rPr>
          <w:lang w:eastAsia="en-GB"/>
        </w:rPr>
        <w:t>people</w:t>
      </w:r>
      <w:r w:rsidR="00573BA7">
        <w:rPr>
          <w:lang w:eastAsia="en-GB"/>
        </w:rPr>
        <w:t xml:space="preserve"> </w:t>
      </w:r>
      <w:r w:rsidR="00996053" w:rsidRPr="00BC4DA8">
        <w:rPr>
          <w:lang w:eastAsia="en-GB"/>
        </w:rPr>
        <w:t>with</w:t>
      </w:r>
      <w:r w:rsidR="00573BA7">
        <w:rPr>
          <w:lang w:eastAsia="en-GB"/>
        </w:rPr>
        <w:t xml:space="preserve"> </w:t>
      </w:r>
      <w:r w:rsidR="00996053" w:rsidRPr="00BC4DA8">
        <w:rPr>
          <w:lang w:eastAsia="en-GB"/>
        </w:rPr>
        <w:t>disability.</w:t>
      </w:r>
      <w:r w:rsidR="00573BA7">
        <w:rPr>
          <w:lang w:eastAsia="en-GB"/>
        </w:rPr>
        <w:t xml:space="preserve"> </w:t>
      </w:r>
      <w:r w:rsidRPr="00B211DF">
        <w:rPr>
          <w:lang w:eastAsia="en-GB"/>
        </w:rPr>
        <w:t>This</w:t>
      </w:r>
      <w:r w:rsidR="00573BA7">
        <w:rPr>
          <w:lang w:eastAsia="en-GB"/>
        </w:rPr>
        <w:t xml:space="preserve"> </w:t>
      </w:r>
      <w:r w:rsidRPr="00B211DF">
        <w:rPr>
          <w:lang w:eastAsia="en-GB"/>
        </w:rPr>
        <w:t>helps</w:t>
      </w:r>
      <w:r w:rsidR="00573BA7">
        <w:rPr>
          <w:lang w:eastAsia="en-GB"/>
        </w:rPr>
        <w:t xml:space="preserve"> </w:t>
      </w:r>
      <w:r w:rsidRPr="00B211DF">
        <w:rPr>
          <w:lang w:eastAsia="en-GB"/>
        </w:rPr>
        <w:t>to</w:t>
      </w:r>
      <w:r w:rsidR="00573BA7">
        <w:rPr>
          <w:lang w:eastAsia="en-GB"/>
        </w:rPr>
        <w:t xml:space="preserve"> </w:t>
      </w:r>
      <w:r w:rsidRPr="00B211DF">
        <w:rPr>
          <w:lang w:eastAsia="en-GB"/>
        </w:rPr>
        <w:t>identify</w:t>
      </w:r>
      <w:r w:rsidR="00573BA7">
        <w:rPr>
          <w:lang w:eastAsia="en-GB"/>
        </w:rPr>
        <w:t xml:space="preserve"> </w:t>
      </w:r>
      <w:r w:rsidRPr="00B211DF">
        <w:rPr>
          <w:lang w:eastAsia="en-GB"/>
        </w:rPr>
        <w:t>not</w:t>
      </w:r>
      <w:r w:rsidR="00573BA7">
        <w:rPr>
          <w:lang w:eastAsia="en-GB"/>
        </w:rPr>
        <w:t xml:space="preserve"> </w:t>
      </w:r>
      <w:r w:rsidRPr="00B211DF">
        <w:rPr>
          <w:lang w:eastAsia="en-GB"/>
        </w:rPr>
        <w:t>only</w:t>
      </w:r>
      <w:r w:rsidR="00573BA7">
        <w:rPr>
          <w:lang w:eastAsia="en-GB"/>
        </w:rPr>
        <w:t xml:space="preserve"> </w:t>
      </w:r>
      <w:r w:rsidRPr="00B211DF">
        <w:rPr>
          <w:lang w:eastAsia="en-GB"/>
        </w:rPr>
        <w:t>what</w:t>
      </w:r>
      <w:r w:rsidR="00573BA7">
        <w:rPr>
          <w:lang w:eastAsia="en-GB"/>
        </w:rPr>
        <w:t xml:space="preserve"> </w:t>
      </w:r>
      <w:r w:rsidRPr="00B211DF">
        <w:rPr>
          <w:lang w:eastAsia="en-GB"/>
        </w:rPr>
        <w:t>is</w:t>
      </w:r>
      <w:r w:rsidR="00573BA7">
        <w:rPr>
          <w:lang w:eastAsia="en-GB"/>
        </w:rPr>
        <w:t xml:space="preserve"> </w:t>
      </w:r>
      <w:r w:rsidRPr="00B211DF">
        <w:rPr>
          <w:lang w:eastAsia="en-GB"/>
        </w:rPr>
        <w:t>expected</w:t>
      </w:r>
      <w:r w:rsidR="00573BA7">
        <w:rPr>
          <w:lang w:eastAsia="en-GB"/>
        </w:rPr>
        <w:t xml:space="preserve"> </w:t>
      </w:r>
      <w:r w:rsidRPr="00B211DF">
        <w:rPr>
          <w:lang w:eastAsia="en-GB"/>
        </w:rPr>
        <w:t>of</w:t>
      </w:r>
      <w:r w:rsidR="00573BA7">
        <w:rPr>
          <w:lang w:eastAsia="en-GB"/>
        </w:rPr>
        <w:t xml:space="preserve"> </w:t>
      </w:r>
      <w:r w:rsidRPr="00B211DF">
        <w:rPr>
          <w:lang w:eastAsia="en-GB"/>
        </w:rPr>
        <w:t>Australia</w:t>
      </w:r>
      <w:r w:rsidR="00573BA7">
        <w:rPr>
          <w:lang w:eastAsia="en-GB"/>
        </w:rPr>
        <w:t xml:space="preserve"> </w:t>
      </w:r>
      <w:r w:rsidRPr="00B211DF">
        <w:rPr>
          <w:lang w:eastAsia="en-GB"/>
        </w:rPr>
        <w:t>under</w:t>
      </w:r>
      <w:r w:rsidR="00573BA7">
        <w:rPr>
          <w:lang w:eastAsia="en-GB"/>
        </w:rPr>
        <w:t xml:space="preserve"> </w:t>
      </w:r>
      <w:r w:rsidR="004432B0" w:rsidRPr="00BC4DA8">
        <w:rPr>
          <w:lang w:eastAsia="en-GB"/>
        </w:rPr>
        <w:t>international</w:t>
      </w:r>
      <w:r w:rsidR="00573BA7">
        <w:rPr>
          <w:lang w:eastAsia="en-GB"/>
        </w:rPr>
        <w:t xml:space="preserve"> </w:t>
      </w:r>
      <w:r w:rsidR="004432B0" w:rsidRPr="00BC4DA8">
        <w:rPr>
          <w:lang w:eastAsia="en-GB"/>
        </w:rPr>
        <w:t>law</w:t>
      </w:r>
      <w:r w:rsidRPr="00B211DF">
        <w:rPr>
          <w:lang w:eastAsia="en-GB"/>
        </w:rPr>
        <w:t>,</w:t>
      </w:r>
      <w:r w:rsidR="00573BA7">
        <w:rPr>
          <w:lang w:eastAsia="en-GB"/>
        </w:rPr>
        <w:t xml:space="preserve"> </w:t>
      </w:r>
      <w:r w:rsidRPr="00B211DF">
        <w:rPr>
          <w:lang w:eastAsia="en-GB"/>
        </w:rPr>
        <w:t>but</w:t>
      </w:r>
      <w:r w:rsidR="00573BA7">
        <w:rPr>
          <w:lang w:eastAsia="en-GB"/>
        </w:rPr>
        <w:t xml:space="preserve"> </w:t>
      </w:r>
      <w:r w:rsidRPr="00B211DF">
        <w:rPr>
          <w:lang w:eastAsia="en-GB"/>
        </w:rPr>
        <w:t>also</w:t>
      </w:r>
      <w:r w:rsidR="00573BA7">
        <w:rPr>
          <w:lang w:eastAsia="en-GB"/>
        </w:rPr>
        <w:t xml:space="preserve"> </w:t>
      </w:r>
      <w:r w:rsidRPr="00B211DF">
        <w:rPr>
          <w:lang w:eastAsia="en-GB"/>
        </w:rPr>
        <w:t>what</w:t>
      </w:r>
      <w:r w:rsidR="00573BA7">
        <w:rPr>
          <w:lang w:eastAsia="en-GB"/>
        </w:rPr>
        <w:t xml:space="preserve"> </w:t>
      </w:r>
      <w:r w:rsidRPr="00B211DF">
        <w:rPr>
          <w:lang w:eastAsia="en-GB"/>
        </w:rPr>
        <w:t>strategies</w:t>
      </w:r>
      <w:r w:rsidR="00573BA7">
        <w:rPr>
          <w:lang w:eastAsia="en-GB"/>
        </w:rPr>
        <w:t xml:space="preserve"> </w:t>
      </w:r>
      <w:r w:rsidRPr="00B211DF">
        <w:rPr>
          <w:lang w:eastAsia="en-GB"/>
        </w:rPr>
        <w:t>could</w:t>
      </w:r>
      <w:r w:rsidR="00573BA7">
        <w:rPr>
          <w:lang w:eastAsia="en-GB"/>
        </w:rPr>
        <w:t xml:space="preserve"> </w:t>
      </w:r>
      <w:r w:rsidRPr="00B211DF">
        <w:rPr>
          <w:lang w:eastAsia="en-GB"/>
        </w:rPr>
        <w:t>be</w:t>
      </w:r>
      <w:r w:rsidR="00573BA7">
        <w:rPr>
          <w:lang w:eastAsia="en-GB"/>
        </w:rPr>
        <w:t xml:space="preserve"> </w:t>
      </w:r>
      <w:r w:rsidRPr="00B211DF">
        <w:rPr>
          <w:lang w:eastAsia="en-GB"/>
        </w:rPr>
        <w:t>adopted</w:t>
      </w:r>
      <w:r w:rsidR="00573BA7">
        <w:rPr>
          <w:lang w:eastAsia="en-GB"/>
        </w:rPr>
        <w:t xml:space="preserve"> </w:t>
      </w:r>
      <w:r w:rsidRPr="00B211DF">
        <w:rPr>
          <w:lang w:eastAsia="en-GB"/>
        </w:rPr>
        <w:t>to</w:t>
      </w:r>
      <w:r w:rsidR="00573BA7">
        <w:rPr>
          <w:lang w:eastAsia="en-GB"/>
        </w:rPr>
        <w:t xml:space="preserve"> </w:t>
      </w:r>
      <w:r w:rsidRPr="00B211DF">
        <w:rPr>
          <w:lang w:eastAsia="en-GB"/>
        </w:rPr>
        <w:t>fulfil</w:t>
      </w:r>
      <w:r w:rsidR="00573BA7">
        <w:rPr>
          <w:lang w:eastAsia="en-GB"/>
        </w:rPr>
        <w:t xml:space="preserve"> </w:t>
      </w:r>
      <w:r w:rsidRPr="00B211DF">
        <w:rPr>
          <w:lang w:eastAsia="en-GB"/>
        </w:rPr>
        <w:t>these</w:t>
      </w:r>
      <w:r w:rsidR="00573BA7">
        <w:rPr>
          <w:lang w:eastAsia="en-GB"/>
        </w:rPr>
        <w:t xml:space="preserve"> </w:t>
      </w:r>
      <w:r w:rsidRPr="00B211DF">
        <w:rPr>
          <w:lang w:eastAsia="en-GB"/>
        </w:rPr>
        <w:t>obligations.</w:t>
      </w:r>
    </w:p>
    <w:p w14:paraId="0D28F7AC" w14:textId="4F87D8F1" w:rsidR="005521C8" w:rsidRPr="003F4CE1" w:rsidRDefault="005521C8" w:rsidP="00431D63">
      <w:pPr>
        <w:pStyle w:val="Heading2"/>
        <w:rPr>
          <w:color w:val="000000" w:themeColor="text1"/>
        </w:rPr>
      </w:pPr>
      <w:bookmarkStart w:id="55" w:name="_Toc50730925"/>
      <w:bookmarkStart w:id="56" w:name="_Ref50804112"/>
      <w:bookmarkStart w:id="57" w:name="_Ref50804185"/>
      <w:bookmarkStart w:id="58" w:name="_Ref50804218"/>
      <w:bookmarkStart w:id="59" w:name="_Ref50804335"/>
      <w:bookmarkStart w:id="60" w:name="_Toc51834279"/>
      <w:bookmarkEnd w:id="55"/>
      <w:r w:rsidRPr="00431D63">
        <w:t>Australian</w:t>
      </w:r>
      <w:r w:rsidR="00573BA7">
        <w:t xml:space="preserve"> </w:t>
      </w:r>
      <w:r w:rsidRPr="003F4CE1">
        <w:t>Disability</w:t>
      </w:r>
      <w:r w:rsidR="00573BA7">
        <w:t xml:space="preserve"> </w:t>
      </w:r>
      <w:r w:rsidRPr="003F4CE1">
        <w:t>Enterprises</w:t>
      </w:r>
      <w:bookmarkEnd w:id="56"/>
      <w:bookmarkEnd w:id="57"/>
      <w:bookmarkEnd w:id="58"/>
      <w:bookmarkEnd w:id="59"/>
      <w:bookmarkEnd w:id="60"/>
    </w:p>
    <w:p w14:paraId="5ABB538C" w14:textId="5117500B" w:rsidR="00BC7A47" w:rsidRPr="00E9462E" w:rsidRDefault="00BC7A47" w:rsidP="005521C8">
      <w:pPr>
        <w:pStyle w:val="ListNumber"/>
        <w:rPr>
          <w:lang w:eastAsia="en-GB"/>
        </w:rPr>
      </w:pPr>
      <w:r w:rsidRPr="07069484">
        <w:rPr>
          <w:lang w:eastAsia="en-GB"/>
        </w:rPr>
        <w:t>This</w:t>
      </w:r>
      <w:r w:rsidR="00573BA7" w:rsidRPr="07069484">
        <w:rPr>
          <w:lang w:eastAsia="en-GB"/>
        </w:rPr>
        <w:t xml:space="preserve"> </w:t>
      </w:r>
      <w:r w:rsidRPr="07069484">
        <w:rPr>
          <w:lang w:eastAsia="en-GB"/>
        </w:rPr>
        <w:t>section</w:t>
      </w:r>
      <w:r w:rsidR="00573BA7" w:rsidRPr="07069484">
        <w:rPr>
          <w:lang w:eastAsia="en-GB"/>
        </w:rPr>
        <w:t xml:space="preserve"> </w:t>
      </w:r>
      <w:r w:rsidRPr="07069484">
        <w:rPr>
          <w:lang w:eastAsia="en-GB"/>
        </w:rPr>
        <w:t>addresses</w:t>
      </w:r>
      <w:r w:rsidR="00573BA7" w:rsidRPr="07069484">
        <w:rPr>
          <w:lang w:eastAsia="en-GB"/>
        </w:rPr>
        <w:t xml:space="preserve"> </w:t>
      </w:r>
      <w:r w:rsidR="0050177E" w:rsidRPr="07069484">
        <w:rPr>
          <w:lang w:eastAsia="en-GB"/>
        </w:rPr>
        <w:t>the</w:t>
      </w:r>
      <w:r w:rsidR="00573BA7" w:rsidRPr="07069484">
        <w:rPr>
          <w:lang w:eastAsia="en-GB"/>
        </w:rPr>
        <w:t xml:space="preserve"> </w:t>
      </w:r>
      <w:r w:rsidR="00CA5BF4" w:rsidRPr="07069484">
        <w:rPr>
          <w:lang w:eastAsia="en-GB"/>
        </w:rPr>
        <w:t>Commission’s</w:t>
      </w:r>
      <w:r w:rsidR="00573BA7" w:rsidRPr="07069484">
        <w:rPr>
          <w:lang w:eastAsia="en-GB"/>
        </w:rPr>
        <w:t xml:space="preserve"> </w:t>
      </w:r>
      <w:r w:rsidR="00CA5BF4" w:rsidRPr="07069484">
        <w:rPr>
          <w:lang w:eastAsia="en-GB"/>
        </w:rPr>
        <w:t>concerns</w:t>
      </w:r>
      <w:r w:rsidR="00573BA7" w:rsidRPr="07069484">
        <w:rPr>
          <w:lang w:eastAsia="en-GB"/>
        </w:rPr>
        <w:t xml:space="preserve"> </w:t>
      </w:r>
      <w:r w:rsidR="00CA5BF4" w:rsidRPr="07069484">
        <w:rPr>
          <w:lang w:eastAsia="en-GB"/>
        </w:rPr>
        <w:t>that</w:t>
      </w:r>
      <w:r w:rsidR="008A5582" w:rsidRPr="07069484">
        <w:rPr>
          <w:lang w:eastAsia="en-GB"/>
        </w:rPr>
        <w:t xml:space="preserve"> ADEs </w:t>
      </w:r>
      <w:r w:rsidR="00283805" w:rsidRPr="07069484">
        <w:rPr>
          <w:lang w:eastAsia="en-GB"/>
        </w:rPr>
        <w:t>fail</w:t>
      </w:r>
      <w:r w:rsidR="00573BA7" w:rsidRPr="07069484">
        <w:rPr>
          <w:lang w:eastAsia="en-GB"/>
        </w:rPr>
        <w:t xml:space="preserve"> </w:t>
      </w:r>
      <w:r w:rsidR="008459EF" w:rsidRPr="07069484">
        <w:rPr>
          <w:lang w:eastAsia="en-GB"/>
        </w:rPr>
        <w:t>to</w:t>
      </w:r>
      <w:r w:rsidR="00573BA7" w:rsidRPr="07069484">
        <w:rPr>
          <w:lang w:eastAsia="en-GB"/>
        </w:rPr>
        <w:t xml:space="preserve"> </w:t>
      </w:r>
      <w:r w:rsidR="008459EF" w:rsidRPr="07069484">
        <w:rPr>
          <w:lang w:eastAsia="en-GB"/>
        </w:rPr>
        <w:t>uphold</w:t>
      </w:r>
      <w:r w:rsidR="00573BA7" w:rsidRPr="07069484">
        <w:rPr>
          <w:lang w:eastAsia="en-GB"/>
        </w:rPr>
        <w:t xml:space="preserve"> </w:t>
      </w:r>
      <w:r w:rsidR="00966689" w:rsidRPr="07069484">
        <w:rPr>
          <w:lang w:eastAsia="en-GB"/>
        </w:rPr>
        <w:t>the</w:t>
      </w:r>
      <w:r w:rsidR="00573BA7" w:rsidRPr="07069484">
        <w:rPr>
          <w:lang w:eastAsia="en-GB"/>
        </w:rPr>
        <w:t xml:space="preserve"> </w:t>
      </w:r>
      <w:r w:rsidR="00D869DC" w:rsidRPr="07069484">
        <w:rPr>
          <w:lang w:eastAsia="en-GB"/>
        </w:rPr>
        <w:t>human</w:t>
      </w:r>
      <w:r w:rsidR="00573BA7" w:rsidRPr="07069484">
        <w:rPr>
          <w:lang w:eastAsia="en-GB"/>
        </w:rPr>
        <w:t xml:space="preserve"> </w:t>
      </w:r>
      <w:r w:rsidR="00D869DC" w:rsidRPr="07069484">
        <w:rPr>
          <w:lang w:eastAsia="en-GB"/>
        </w:rPr>
        <w:t>rights</w:t>
      </w:r>
      <w:r w:rsidR="00573BA7" w:rsidRPr="07069484">
        <w:rPr>
          <w:lang w:eastAsia="en-GB"/>
        </w:rPr>
        <w:t xml:space="preserve"> </w:t>
      </w:r>
      <w:r w:rsidR="00E7533B" w:rsidRPr="07069484">
        <w:rPr>
          <w:lang w:eastAsia="en-GB"/>
        </w:rPr>
        <w:t>of</w:t>
      </w:r>
      <w:r w:rsidR="00573BA7" w:rsidRPr="07069484">
        <w:rPr>
          <w:lang w:eastAsia="en-GB"/>
        </w:rPr>
        <w:t xml:space="preserve"> </w:t>
      </w:r>
      <w:r w:rsidR="00E7533B" w:rsidRPr="07069484">
        <w:rPr>
          <w:lang w:eastAsia="en-GB"/>
        </w:rPr>
        <w:t>people</w:t>
      </w:r>
      <w:r w:rsidR="00573BA7" w:rsidRPr="07069484">
        <w:rPr>
          <w:lang w:eastAsia="en-GB"/>
        </w:rPr>
        <w:t xml:space="preserve"> </w:t>
      </w:r>
      <w:r w:rsidR="00E7533B" w:rsidRPr="07069484">
        <w:rPr>
          <w:lang w:eastAsia="en-GB"/>
        </w:rPr>
        <w:t>with</w:t>
      </w:r>
      <w:r w:rsidR="00573BA7" w:rsidRPr="07069484">
        <w:rPr>
          <w:lang w:eastAsia="en-GB"/>
        </w:rPr>
        <w:t xml:space="preserve"> </w:t>
      </w:r>
      <w:r w:rsidR="00E7533B" w:rsidRPr="07069484">
        <w:rPr>
          <w:lang w:eastAsia="en-GB"/>
        </w:rPr>
        <w:t>disability</w:t>
      </w:r>
      <w:r w:rsidRPr="07069484">
        <w:rPr>
          <w:lang w:eastAsia="en-GB"/>
        </w:rPr>
        <w:t>.</w:t>
      </w:r>
      <w:r w:rsidR="00573BA7" w:rsidRPr="07069484">
        <w:rPr>
          <w:lang w:eastAsia="en-GB"/>
        </w:rPr>
        <w:t xml:space="preserve"> </w:t>
      </w:r>
      <w:r w:rsidRPr="07069484">
        <w:rPr>
          <w:lang w:eastAsia="en-GB"/>
        </w:rPr>
        <w:t>This</w:t>
      </w:r>
      <w:r w:rsidR="00573BA7" w:rsidRPr="07069484">
        <w:rPr>
          <w:lang w:eastAsia="en-GB"/>
        </w:rPr>
        <w:t xml:space="preserve"> </w:t>
      </w:r>
      <w:r w:rsidRPr="07069484">
        <w:rPr>
          <w:lang w:eastAsia="en-GB"/>
        </w:rPr>
        <w:t>section</w:t>
      </w:r>
      <w:r w:rsidR="00573BA7" w:rsidRPr="07069484">
        <w:rPr>
          <w:lang w:eastAsia="en-GB"/>
        </w:rPr>
        <w:t xml:space="preserve"> </w:t>
      </w:r>
      <w:r w:rsidR="006234E3" w:rsidRPr="07069484">
        <w:rPr>
          <w:lang w:eastAsia="en-GB"/>
        </w:rPr>
        <w:t>responds</w:t>
      </w:r>
      <w:r w:rsidR="00573BA7" w:rsidRPr="07069484">
        <w:rPr>
          <w:lang w:eastAsia="en-GB"/>
        </w:rPr>
        <w:t xml:space="preserve"> </w:t>
      </w:r>
      <w:r w:rsidR="006234E3" w:rsidRPr="07069484">
        <w:rPr>
          <w:lang w:eastAsia="en-GB"/>
        </w:rPr>
        <w:t>to</w:t>
      </w:r>
      <w:r w:rsidR="00573BA7" w:rsidRPr="07069484">
        <w:rPr>
          <w:lang w:eastAsia="en-GB"/>
        </w:rPr>
        <w:t xml:space="preserve"> </w:t>
      </w:r>
      <w:r w:rsidR="007A0471" w:rsidRPr="07069484">
        <w:rPr>
          <w:lang w:eastAsia="en-GB"/>
        </w:rPr>
        <w:t>questions</w:t>
      </w:r>
      <w:r w:rsidR="00573BA7" w:rsidRPr="07069484">
        <w:rPr>
          <w:lang w:eastAsia="en-GB"/>
        </w:rPr>
        <w:t xml:space="preserve"> </w:t>
      </w:r>
      <w:r w:rsidR="005E2027" w:rsidRPr="07069484">
        <w:rPr>
          <w:lang w:eastAsia="en-GB"/>
        </w:rPr>
        <w:t>one</w:t>
      </w:r>
      <w:r w:rsidR="00127E73" w:rsidRPr="07069484">
        <w:rPr>
          <w:lang w:eastAsia="en-GB"/>
        </w:rPr>
        <w:t>,</w:t>
      </w:r>
      <w:r w:rsidR="00573BA7" w:rsidRPr="07069484">
        <w:rPr>
          <w:lang w:eastAsia="en-GB"/>
        </w:rPr>
        <w:t xml:space="preserve"> </w:t>
      </w:r>
      <w:r w:rsidR="005E2027" w:rsidRPr="07069484">
        <w:rPr>
          <w:lang w:eastAsia="en-GB"/>
        </w:rPr>
        <w:t>two</w:t>
      </w:r>
      <w:r w:rsidR="00573BA7" w:rsidRPr="07069484">
        <w:rPr>
          <w:lang w:eastAsia="en-GB"/>
        </w:rPr>
        <w:t xml:space="preserve"> </w:t>
      </w:r>
      <w:r w:rsidR="00127E73" w:rsidRPr="07069484">
        <w:rPr>
          <w:lang w:eastAsia="en-GB"/>
        </w:rPr>
        <w:t>and</w:t>
      </w:r>
      <w:r w:rsidR="00573BA7" w:rsidRPr="07069484">
        <w:rPr>
          <w:lang w:eastAsia="en-GB"/>
        </w:rPr>
        <w:t xml:space="preserve"> </w:t>
      </w:r>
      <w:r w:rsidR="005E2027" w:rsidRPr="07069484">
        <w:rPr>
          <w:lang w:eastAsia="en-GB"/>
        </w:rPr>
        <w:t>six</w:t>
      </w:r>
      <w:r w:rsidR="00573BA7" w:rsidRPr="07069484">
        <w:rPr>
          <w:lang w:eastAsia="en-GB"/>
        </w:rPr>
        <w:t xml:space="preserve"> </w:t>
      </w:r>
      <w:r w:rsidR="007A0471" w:rsidRPr="07069484">
        <w:rPr>
          <w:lang w:eastAsia="en-GB"/>
        </w:rPr>
        <w:t>of</w:t>
      </w:r>
      <w:r w:rsidR="00573BA7" w:rsidRPr="07069484">
        <w:rPr>
          <w:lang w:eastAsia="en-GB"/>
        </w:rPr>
        <w:t xml:space="preserve"> </w:t>
      </w:r>
      <w:r w:rsidR="007A0471" w:rsidRPr="07069484">
        <w:rPr>
          <w:lang w:eastAsia="en-GB"/>
        </w:rPr>
        <w:t>the</w:t>
      </w:r>
      <w:r w:rsidR="00573BA7" w:rsidRPr="07069484">
        <w:rPr>
          <w:lang w:eastAsia="en-GB"/>
        </w:rPr>
        <w:t xml:space="preserve"> </w:t>
      </w:r>
      <w:r w:rsidR="007A0471" w:rsidRPr="07069484">
        <w:rPr>
          <w:lang w:eastAsia="en-GB"/>
        </w:rPr>
        <w:t>Issues</w:t>
      </w:r>
      <w:r w:rsidR="00573BA7" w:rsidRPr="07069484">
        <w:rPr>
          <w:lang w:eastAsia="en-GB"/>
        </w:rPr>
        <w:t xml:space="preserve"> </w:t>
      </w:r>
      <w:r w:rsidR="007A0471" w:rsidRPr="07069484">
        <w:rPr>
          <w:lang w:eastAsia="en-GB"/>
        </w:rPr>
        <w:t>Paper.</w:t>
      </w:r>
    </w:p>
    <w:p w14:paraId="7EAA1EA6" w14:textId="0814B731" w:rsidR="007875B9" w:rsidRDefault="005521C8" w:rsidP="007875B9">
      <w:pPr>
        <w:pStyle w:val="ListNumber"/>
        <w:rPr>
          <w:lang w:eastAsia="en-GB"/>
        </w:rPr>
      </w:pPr>
      <w:r w:rsidRPr="003F4CE1">
        <w:rPr>
          <w:lang w:eastAsia="en-GB"/>
        </w:rPr>
        <w:t>ADEs</w:t>
      </w:r>
      <w:r w:rsidR="00573BA7">
        <w:rPr>
          <w:lang w:eastAsia="en-GB"/>
        </w:rPr>
        <w:t xml:space="preserve"> </w:t>
      </w:r>
      <w:r w:rsidRPr="003F4CE1">
        <w:rPr>
          <w:lang w:eastAsia="en-GB"/>
        </w:rPr>
        <w:t>are</w:t>
      </w:r>
      <w:r w:rsidR="00573BA7">
        <w:rPr>
          <w:lang w:eastAsia="en-GB"/>
        </w:rPr>
        <w:t xml:space="preserve"> </w:t>
      </w:r>
      <w:r w:rsidRPr="003F4CE1">
        <w:rPr>
          <w:lang w:eastAsia="en-GB"/>
        </w:rPr>
        <w:t>commercial</w:t>
      </w:r>
      <w:r w:rsidR="00573BA7">
        <w:rPr>
          <w:lang w:eastAsia="en-GB"/>
        </w:rPr>
        <w:t xml:space="preserve"> </w:t>
      </w:r>
      <w:r w:rsidRPr="003F4CE1">
        <w:rPr>
          <w:lang w:eastAsia="en-GB"/>
        </w:rPr>
        <w:t>organisations</w:t>
      </w:r>
      <w:r w:rsidR="00573BA7">
        <w:rPr>
          <w:lang w:eastAsia="en-GB"/>
        </w:rPr>
        <w:t xml:space="preserve"> </w:t>
      </w:r>
      <w:r w:rsidRPr="003F4CE1">
        <w:rPr>
          <w:lang w:eastAsia="en-GB"/>
        </w:rPr>
        <w:t>that</w:t>
      </w:r>
      <w:r w:rsidR="00573BA7">
        <w:rPr>
          <w:lang w:eastAsia="en-GB"/>
        </w:rPr>
        <w:t xml:space="preserve"> </w:t>
      </w:r>
      <w:r w:rsidRPr="003F4CE1">
        <w:rPr>
          <w:lang w:eastAsia="en-GB"/>
        </w:rPr>
        <w:t>provide</w:t>
      </w:r>
      <w:r w:rsidR="00573BA7">
        <w:rPr>
          <w:lang w:eastAsia="en-GB"/>
        </w:rPr>
        <w:t xml:space="preserve"> </w:t>
      </w:r>
      <w:r>
        <w:rPr>
          <w:lang w:eastAsia="en-GB"/>
        </w:rPr>
        <w:t>sheltered</w:t>
      </w:r>
      <w:r w:rsidR="00573BA7">
        <w:rPr>
          <w:lang w:eastAsia="en-GB"/>
        </w:rPr>
        <w:t xml:space="preserve"> </w:t>
      </w:r>
      <w:r>
        <w:rPr>
          <w:lang w:eastAsia="en-GB"/>
        </w:rPr>
        <w:t>(rather</w:t>
      </w:r>
      <w:r w:rsidR="00573BA7">
        <w:rPr>
          <w:lang w:eastAsia="en-GB"/>
        </w:rPr>
        <w:t xml:space="preserve"> </w:t>
      </w:r>
      <w:r>
        <w:rPr>
          <w:lang w:eastAsia="en-GB"/>
        </w:rPr>
        <w:t>than</w:t>
      </w:r>
      <w:r w:rsidR="00573BA7">
        <w:rPr>
          <w:lang w:eastAsia="en-GB"/>
        </w:rPr>
        <w:t xml:space="preserve"> </w:t>
      </w:r>
      <w:r>
        <w:rPr>
          <w:lang w:eastAsia="en-GB"/>
        </w:rPr>
        <w:t>open)</w:t>
      </w:r>
      <w:r w:rsidR="00573BA7">
        <w:rPr>
          <w:lang w:eastAsia="en-GB"/>
        </w:rPr>
        <w:t xml:space="preserve"> </w:t>
      </w:r>
      <w:r w:rsidRPr="003F4CE1">
        <w:rPr>
          <w:lang w:eastAsia="en-GB"/>
        </w:rPr>
        <w:t>employment</w:t>
      </w:r>
      <w:r w:rsidR="00573BA7">
        <w:rPr>
          <w:lang w:eastAsia="en-GB"/>
        </w:rPr>
        <w:t xml:space="preserve"> </w:t>
      </w:r>
      <w:r w:rsidRPr="003F4CE1">
        <w:rPr>
          <w:lang w:eastAsia="en-GB"/>
        </w:rPr>
        <w:t>to</w:t>
      </w:r>
      <w:r w:rsidR="00573BA7">
        <w:rPr>
          <w:lang w:eastAsia="en-GB"/>
        </w:rPr>
        <w:t xml:space="preserve"> </w:t>
      </w:r>
      <w:r w:rsidRPr="003F4CE1">
        <w:rPr>
          <w:lang w:eastAsia="en-GB"/>
        </w:rPr>
        <w:t>people</w:t>
      </w:r>
      <w:r w:rsidR="00573BA7">
        <w:rPr>
          <w:lang w:eastAsia="en-GB"/>
        </w:rPr>
        <w:t xml:space="preserve"> </w:t>
      </w:r>
      <w:r w:rsidRPr="003F4CE1">
        <w:rPr>
          <w:lang w:eastAsia="en-GB"/>
        </w:rPr>
        <w:t>with</w:t>
      </w:r>
      <w:r w:rsidR="00573BA7">
        <w:rPr>
          <w:lang w:eastAsia="en-GB"/>
        </w:rPr>
        <w:t xml:space="preserve"> </w:t>
      </w:r>
      <w:r w:rsidRPr="003F4CE1">
        <w:rPr>
          <w:lang w:eastAsia="en-GB"/>
        </w:rPr>
        <w:t>disabilities.</w:t>
      </w:r>
      <w:r w:rsidR="00573BA7">
        <w:rPr>
          <w:lang w:eastAsia="en-GB"/>
        </w:rPr>
        <w:t xml:space="preserve"> </w:t>
      </w:r>
      <w:r w:rsidR="007875B9" w:rsidRPr="003F4CE1">
        <w:rPr>
          <w:lang w:eastAsia="en-GB"/>
        </w:rPr>
        <w:t>ADEs</w:t>
      </w:r>
      <w:r w:rsidR="00573BA7">
        <w:rPr>
          <w:lang w:eastAsia="en-GB"/>
        </w:rPr>
        <w:t xml:space="preserve"> </w:t>
      </w:r>
      <w:r w:rsidR="007875B9" w:rsidRPr="003F4CE1">
        <w:rPr>
          <w:lang w:eastAsia="en-GB"/>
        </w:rPr>
        <w:t>employ</w:t>
      </w:r>
      <w:r w:rsidR="00573BA7">
        <w:rPr>
          <w:lang w:eastAsia="en-GB"/>
        </w:rPr>
        <w:t xml:space="preserve"> </w:t>
      </w:r>
      <w:r w:rsidR="007875B9" w:rsidRPr="003F4CE1">
        <w:rPr>
          <w:lang w:eastAsia="en-GB"/>
        </w:rPr>
        <w:t>approximately</w:t>
      </w:r>
      <w:r w:rsidR="00573BA7">
        <w:rPr>
          <w:lang w:eastAsia="en-GB"/>
        </w:rPr>
        <w:t xml:space="preserve"> </w:t>
      </w:r>
      <w:r w:rsidR="007875B9" w:rsidRPr="003F4CE1">
        <w:rPr>
          <w:lang w:eastAsia="en-GB"/>
        </w:rPr>
        <w:t>20,000</w:t>
      </w:r>
      <w:r w:rsidR="00573BA7">
        <w:rPr>
          <w:lang w:eastAsia="en-GB"/>
        </w:rPr>
        <w:t xml:space="preserve"> </w:t>
      </w:r>
      <w:r w:rsidR="007875B9" w:rsidRPr="003F4CE1">
        <w:rPr>
          <w:lang w:eastAsia="en-GB"/>
        </w:rPr>
        <w:lastRenderedPageBreak/>
        <w:t>people</w:t>
      </w:r>
      <w:r w:rsidR="00573BA7">
        <w:rPr>
          <w:lang w:eastAsia="en-GB"/>
        </w:rPr>
        <w:t xml:space="preserve"> </w:t>
      </w:r>
      <w:r w:rsidR="007875B9" w:rsidRPr="003F4CE1">
        <w:rPr>
          <w:lang w:eastAsia="en-GB"/>
        </w:rPr>
        <w:t>with</w:t>
      </w:r>
      <w:r w:rsidR="00573BA7">
        <w:rPr>
          <w:lang w:eastAsia="en-GB"/>
        </w:rPr>
        <w:t xml:space="preserve"> </w:t>
      </w:r>
      <w:r w:rsidR="007875B9" w:rsidRPr="003F4CE1">
        <w:rPr>
          <w:lang w:eastAsia="en-GB"/>
        </w:rPr>
        <w:t>moderate</w:t>
      </w:r>
      <w:r w:rsidR="00573BA7">
        <w:rPr>
          <w:lang w:eastAsia="en-GB"/>
        </w:rPr>
        <w:t xml:space="preserve"> </w:t>
      </w:r>
      <w:r w:rsidR="007875B9" w:rsidRPr="003F4CE1">
        <w:rPr>
          <w:lang w:eastAsia="en-GB"/>
        </w:rPr>
        <w:t>to</w:t>
      </w:r>
      <w:r w:rsidR="00573BA7">
        <w:rPr>
          <w:lang w:eastAsia="en-GB"/>
        </w:rPr>
        <w:t xml:space="preserve"> </w:t>
      </w:r>
      <w:r w:rsidR="007875B9" w:rsidRPr="003F4CE1">
        <w:rPr>
          <w:lang w:eastAsia="en-GB"/>
        </w:rPr>
        <w:t>severe</w:t>
      </w:r>
      <w:r w:rsidR="00573BA7">
        <w:rPr>
          <w:lang w:eastAsia="en-GB"/>
        </w:rPr>
        <w:t xml:space="preserve"> </w:t>
      </w:r>
      <w:r w:rsidR="007875B9" w:rsidRPr="003F4CE1">
        <w:rPr>
          <w:lang w:eastAsia="en-GB"/>
        </w:rPr>
        <w:t>disabilities</w:t>
      </w:r>
      <w:r w:rsidR="00573BA7">
        <w:rPr>
          <w:lang w:eastAsia="en-GB"/>
        </w:rPr>
        <w:t xml:space="preserve"> </w:t>
      </w:r>
      <w:r w:rsidR="007875B9" w:rsidRPr="003F4CE1">
        <w:rPr>
          <w:lang w:eastAsia="en-GB"/>
        </w:rPr>
        <w:t>to</w:t>
      </w:r>
      <w:r w:rsidR="00573BA7">
        <w:rPr>
          <w:lang w:eastAsia="en-GB"/>
        </w:rPr>
        <w:t xml:space="preserve"> </w:t>
      </w:r>
      <w:r w:rsidR="007875B9" w:rsidRPr="003F4CE1">
        <w:rPr>
          <w:lang w:eastAsia="en-GB"/>
        </w:rPr>
        <w:t>perform</w:t>
      </w:r>
      <w:r w:rsidR="00573BA7">
        <w:rPr>
          <w:lang w:eastAsia="en-GB"/>
        </w:rPr>
        <w:t xml:space="preserve"> </w:t>
      </w:r>
      <w:r w:rsidR="007875B9" w:rsidRPr="003F4CE1">
        <w:rPr>
          <w:lang w:eastAsia="en-GB"/>
        </w:rPr>
        <w:t>work</w:t>
      </w:r>
      <w:r w:rsidR="00573BA7">
        <w:rPr>
          <w:lang w:eastAsia="en-GB"/>
        </w:rPr>
        <w:t xml:space="preserve"> </w:t>
      </w:r>
      <w:r w:rsidR="007875B9">
        <w:rPr>
          <w:lang w:eastAsia="en-GB"/>
        </w:rPr>
        <w:t>such</w:t>
      </w:r>
      <w:r w:rsidR="00573BA7">
        <w:rPr>
          <w:lang w:eastAsia="en-GB"/>
        </w:rPr>
        <w:t xml:space="preserve"> </w:t>
      </w:r>
      <w:r w:rsidR="007875B9">
        <w:rPr>
          <w:lang w:eastAsia="en-GB"/>
        </w:rPr>
        <w:t>as</w:t>
      </w:r>
      <w:r w:rsidR="00573BA7">
        <w:rPr>
          <w:lang w:eastAsia="en-GB"/>
        </w:rPr>
        <w:t xml:space="preserve"> </w:t>
      </w:r>
      <w:r w:rsidR="007875B9" w:rsidRPr="003F4CE1">
        <w:rPr>
          <w:lang w:eastAsia="en-GB"/>
        </w:rPr>
        <w:t>packaging,</w:t>
      </w:r>
      <w:r w:rsidR="00573BA7">
        <w:rPr>
          <w:lang w:eastAsia="en-GB"/>
        </w:rPr>
        <w:t xml:space="preserve"> </w:t>
      </w:r>
      <w:r w:rsidR="007875B9" w:rsidRPr="003F4CE1">
        <w:rPr>
          <w:lang w:eastAsia="en-GB"/>
        </w:rPr>
        <w:t>assembly,</w:t>
      </w:r>
      <w:r w:rsidR="00573BA7">
        <w:rPr>
          <w:lang w:eastAsia="en-GB"/>
        </w:rPr>
        <w:t xml:space="preserve"> </w:t>
      </w:r>
      <w:r w:rsidR="007875B9" w:rsidRPr="003F4CE1">
        <w:rPr>
          <w:lang w:eastAsia="en-GB"/>
        </w:rPr>
        <w:t>production,</w:t>
      </w:r>
      <w:r w:rsidR="00573BA7">
        <w:rPr>
          <w:lang w:eastAsia="en-GB"/>
        </w:rPr>
        <w:t xml:space="preserve"> </w:t>
      </w:r>
      <w:r w:rsidR="007875B9" w:rsidRPr="003F4CE1">
        <w:rPr>
          <w:lang w:eastAsia="en-GB"/>
        </w:rPr>
        <w:t>recycling,</w:t>
      </w:r>
      <w:r w:rsidR="00573BA7">
        <w:rPr>
          <w:lang w:eastAsia="en-GB"/>
        </w:rPr>
        <w:t xml:space="preserve"> </w:t>
      </w:r>
      <w:r w:rsidR="007875B9" w:rsidRPr="003F4CE1">
        <w:rPr>
          <w:lang w:eastAsia="en-GB"/>
        </w:rPr>
        <w:t>screen</w:t>
      </w:r>
      <w:r w:rsidR="00573BA7">
        <w:rPr>
          <w:lang w:eastAsia="en-GB"/>
        </w:rPr>
        <w:t xml:space="preserve"> </w:t>
      </w:r>
      <w:r w:rsidR="007875B9" w:rsidRPr="003F4CE1">
        <w:rPr>
          <w:lang w:eastAsia="en-GB"/>
        </w:rPr>
        <w:t>printing,</w:t>
      </w:r>
      <w:r w:rsidR="00573BA7">
        <w:rPr>
          <w:lang w:eastAsia="en-GB"/>
        </w:rPr>
        <w:t xml:space="preserve"> </w:t>
      </w:r>
      <w:r w:rsidR="007875B9" w:rsidRPr="003F4CE1">
        <w:rPr>
          <w:lang w:eastAsia="en-GB"/>
        </w:rPr>
        <w:t>garden</w:t>
      </w:r>
      <w:r w:rsidR="00573BA7">
        <w:rPr>
          <w:lang w:eastAsia="en-GB"/>
        </w:rPr>
        <w:t xml:space="preserve"> </w:t>
      </w:r>
      <w:r w:rsidR="007875B9" w:rsidRPr="003F4CE1">
        <w:rPr>
          <w:lang w:eastAsia="en-GB"/>
        </w:rPr>
        <w:t>maintenance,</w:t>
      </w:r>
      <w:r w:rsidR="00573BA7">
        <w:rPr>
          <w:lang w:eastAsia="en-GB"/>
        </w:rPr>
        <w:t xml:space="preserve"> </w:t>
      </w:r>
      <w:r w:rsidR="007875B9" w:rsidRPr="003F4CE1">
        <w:rPr>
          <w:lang w:eastAsia="en-GB"/>
        </w:rPr>
        <w:t>cleaning</w:t>
      </w:r>
      <w:r w:rsidR="00573BA7">
        <w:rPr>
          <w:lang w:eastAsia="en-GB"/>
        </w:rPr>
        <w:t xml:space="preserve"> </w:t>
      </w:r>
      <w:r w:rsidR="007875B9" w:rsidRPr="003F4CE1">
        <w:rPr>
          <w:lang w:eastAsia="en-GB"/>
        </w:rPr>
        <w:t>and</w:t>
      </w:r>
      <w:r w:rsidR="00573BA7">
        <w:rPr>
          <w:lang w:eastAsia="en-GB"/>
        </w:rPr>
        <w:t xml:space="preserve"> </w:t>
      </w:r>
      <w:r w:rsidR="007875B9" w:rsidRPr="003F4CE1">
        <w:rPr>
          <w:lang w:eastAsia="en-GB"/>
        </w:rPr>
        <w:t>food</w:t>
      </w:r>
      <w:r w:rsidR="00573BA7">
        <w:rPr>
          <w:lang w:eastAsia="en-GB"/>
        </w:rPr>
        <w:t xml:space="preserve"> </w:t>
      </w:r>
      <w:r w:rsidR="007875B9" w:rsidRPr="003F4CE1">
        <w:rPr>
          <w:lang w:eastAsia="en-GB"/>
        </w:rPr>
        <w:t>services.</w:t>
      </w:r>
      <w:r w:rsidR="007875B9" w:rsidRPr="003F4CE1">
        <w:rPr>
          <w:rStyle w:val="EndnoteReference"/>
          <w:color w:val="000000" w:themeColor="text1"/>
          <w:lang w:eastAsia="en-GB"/>
        </w:rPr>
        <w:endnoteReference w:id="109"/>
      </w:r>
      <w:r w:rsidR="00573BA7">
        <w:rPr>
          <w:lang w:eastAsia="en-GB"/>
        </w:rPr>
        <w:t xml:space="preserve">  </w:t>
      </w:r>
    </w:p>
    <w:p w14:paraId="77B22B4B" w14:textId="656F3786" w:rsidR="005521C8" w:rsidRDefault="007875B9" w:rsidP="008A7EB0">
      <w:pPr>
        <w:pStyle w:val="ListNumber"/>
        <w:rPr>
          <w:lang w:eastAsia="en-GB"/>
        </w:rPr>
      </w:pPr>
      <w:r w:rsidRPr="07069484">
        <w:rPr>
          <w:lang w:eastAsia="en-GB"/>
        </w:rPr>
        <w:t>ADEs</w:t>
      </w:r>
      <w:r w:rsidR="00573BA7" w:rsidRPr="07069484">
        <w:rPr>
          <w:lang w:eastAsia="en-GB"/>
        </w:rPr>
        <w:t xml:space="preserve"> </w:t>
      </w:r>
      <w:r w:rsidR="005521C8" w:rsidRPr="07069484">
        <w:rPr>
          <w:lang w:eastAsia="en-GB"/>
        </w:rPr>
        <w:t>are</w:t>
      </w:r>
      <w:r w:rsidR="00573BA7" w:rsidRPr="07069484">
        <w:rPr>
          <w:lang w:eastAsia="en-GB"/>
        </w:rPr>
        <w:t xml:space="preserve"> </w:t>
      </w:r>
      <w:r w:rsidR="005521C8" w:rsidRPr="07069484">
        <w:rPr>
          <w:lang w:eastAsia="en-GB"/>
        </w:rPr>
        <w:t>government</w:t>
      </w:r>
      <w:r w:rsidR="00573BA7" w:rsidRPr="07069484">
        <w:rPr>
          <w:lang w:eastAsia="en-GB"/>
        </w:rPr>
        <w:t xml:space="preserve"> </w:t>
      </w:r>
      <w:r w:rsidR="005521C8" w:rsidRPr="07069484">
        <w:rPr>
          <w:lang w:eastAsia="en-GB"/>
        </w:rPr>
        <w:t>funded</w:t>
      </w:r>
      <w:r w:rsidR="00573BA7" w:rsidRPr="07069484">
        <w:rPr>
          <w:lang w:eastAsia="en-GB"/>
        </w:rPr>
        <w:t xml:space="preserve"> </w:t>
      </w:r>
      <w:r w:rsidR="005521C8" w:rsidRPr="07069484">
        <w:rPr>
          <w:lang w:eastAsia="en-GB"/>
        </w:rPr>
        <w:t>and</w:t>
      </w:r>
      <w:r w:rsidR="00573BA7" w:rsidRPr="07069484">
        <w:rPr>
          <w:lang w:eastAsia="en-GB"/>
        </w:rPr>
        <w:t xml:space="preserve"> </w:t>
      </w:r>
      <w:r w:rsidR="005521C8" w:rsidRPr="07069484">
        <w:rPr>
          <w:lang w:eastAsia="en-GB"/>
        </w:rPr>
        <w:t>subsidised</w:t>
      </w:r>
      <w:r w:rsidR="00573BA7" w:rsidRPr="07069484">
        <w:rPr>
          <w:lang w:eastAsia="en-GB"/>
        </w:rPr>
        <w:t xml:space="preserve"> </w:t>
      </w:r>
      <w:r w:rsidR="005521C8" w:rsidRPr="07069484">
        <w:rPr>
          <w:lang w:eastAsia="en-GB"/>
        </w:rPr>
        <w:t>through</w:t>
      </w:r>
      <w:r w:rsidR="00573BA7" w:rsidRPr="07069484">
        <w:rPr>
          <w:lang w:eastAsia="en-GB"/>
        </w:rPr>
        <w:t xml:space="preserve"> </w:t>
      </w:r>
      <w:r w:rsidR="005521C8" w:rsidRPr="07069484">
        <w:rPr>
          <w:lang w:eastAsia="en-GB"/>
        </w:rPr>
        <w:t>the</w:t>
      </w:r>
      <w:r w:rsidR="00573BA7" w:rsidRPr="07069484">
        <w:rPr>
          <w:lang w:eastAsia="en-GB"/>
        </w:rPr>
        <w:t xml:space="preserve"> </w:t>
      </w:r>
      <w:r w:rsidR="005521C8" w:rsidRPr="07069484">
        <w:rPr>
          <w:lang w:eastAsia="en-GB"/>
        </w:rPr>
        <w:t>Department</w:t>
      </w:r>
      <w:r w:rsidR="00573BA7" w:rsidRPr="07069484">
        <w:rPr>
          <w:lang w:eastAsia="en-GB"/>
        </w:rPr>
        <w:t xml:space="preserve"> </w:t>
      </w:r>
      <w:r w:rsidR="005521C8" w:rsidRPr="07069484">
        <w:rPr>
          <w:lang w:eastAsia="en-GB"/>
        </w:rPr>
        <w:t>of</w:t>
      </w:r>
      <w:r w:rsidR="00573BA7" w:rsidRPr="07069484">
        <w:rPr>
          <w:lang w:eastAsia="en-GB"/>
        </w:rPr>
        <w:t xml:space="preserve"> </w:t>
      </w:r>
      <w:r w:rsidR="005521C8" w:rsidRPr="07069484">
        <w:rPr>
          <w:lang w:eastAsia="en-GB"/>
        </w:rPr>
        <w:t>Social</w:t>
      </w:r>
      <w:r w:rsidR="00573BA7" w:rsidRPr="07069484">
        <w:rPr>
          <w:lang w:eastAsia="en-GB"/>
        </w:rPr>
        <w:t xml:space="preserve"> </w:t>
      </w:r>
      <w:r w:rsidR="005521C8" w:rsidRPr="07069484">
        <w:rPr>
          <w:lang w:eastAsia="en-GB"/>
        </w:rPr>
        <w:t>Services.</w:t>
      </w:r>
      <w:r w:rsidR="00573BA7" w:rsidRPr="07069484">
        <w:rPr>
          <w:lang w:eastAsia="en-GB"/>
        </w:rPr>
        <w:t xml:space="preserve"> </w:t>
      </w:r>
      <w:r w:rsidR="005521C8" w:rsidRPr="07069484">
        <w:rPr>
          <w:lang w:eastAsia="en-GB"/>
        </w:rPr>
        <w:t>A</w:t>
      </w:r>
      <w:r w:rsidRPr="07069484">
        <w:rPr>
          <w:lang w:eastAsia="en-GB"/>
        </w:rPr>
        <w:t>ccordingly,</w:t>
      </w:r>
      <w:r w:rsidR="00573BA7" w:rsidRPr="07069484">
        <w:rPr>
          <w:lang w:eastAsia="en-GB"/>
        </w:rPr>
        <w:t xml:space="preserve"> </w:t>
      </w:r>
      <w:r w:rsidR="005521C8" w:rsidRPr="07069484">
        <w:rPr>
          <w:lang w:eastAsia="en-GB"/>
        </w:rPr>
        <w:t>ADEs</w:t>
      </w:r>
      <w:r w:rsidR="00573BA7" w:rsidRPr="07069484">
        <w:rPr>
          <w:lang w:eastAsia="en-GB"/>
        </w:rPr>
        <w:t xml:space="preserve"> </w:t>
      </w:r>
      <w:r w:rsidR="005521C8" w:rsidRPr="07069484">
        <w:rPr>
          <w:lang w:eastAsia="en-GB"/>
        </w:rPr>
        <w:t>must</w:t>
      </w:r>
      <w:r w:rsidR="00573BA7" w:rsidRPr="07069484">
        <w:rPr>
          <w:lang w:eastAsia="en-GB"/>
        </w:rPr>
        <w:t xml:space="preserve"> </w:t>
      </w:r>
      <w:r w:rsidR="005521C8" w:rsidRPr="07069484">
        <w:rPr>
          <w:lang w:eastAsia="en-GB"/>
        </w:rPr>
        <w:t>be</w:t>
      </w:r>
      <w:r w:rsidR="00573BA7" w:rsidRPr="07069484">
        <w:rPr>
          <w:lang w:eastAsia="en-GB"/>
        </w:rPr>
        <w:t xml:space="preserve"> </w:t>
      </w:r>
      <w:r w:rsidR="005521C8" w:rsidRPr="07069484">
        <w:rPr>
          <w:lang w:eastAsia="en-GB"/>
        </w:rPr>
        <w:t>certified</w:t>
      </w:r>
      <w:r w:rsidR="00573BA7" w:rsidRPr="07069484">
        <w:rPr>
          <w:lang w:eastAsia="en-GB"/>
        </w:rPr>
        <w:t xml:space="preserve"> </w:t>
      </w:r>
      <w:r w:rsidR="005521C8" w:rsidRPr="07069484">
        <w:rPr>
          <w:lang w:eastAsia="en-GB"/>
        </w:rPr>
        <w:t>against</w:t>
      </w:r>
      <w:r w:rsidR="00573BA7" w:rsidRPr="07069484">
        <w:rPr>
          <w:lang w:eastAsia="en-GB"/>
        </w:rPr>
        <w:t xml:space="preserve"> </w:t>
      </w:r>
      <w:r w:rsidR="005521C8" w:rsidRPr="07069484">
        <w:rPr>
          <w:lang w:eastAsia="en-GB"/>
        </w:rPr>
        <w:t>the</w:t>
      </w:r>
      <w:r w:rsidR="00573BA7" w:rsidRPr="07069484">
        <w:rPr>
          <w:lang w:eastAsia="en-GB"/>
        </w:rPr>
        <w:t xml:space="preserve"> </w:t>
      </w:r>
      <w:r w:rsidR="005521C8" w:rsidRPr="07069484">
        <w:rPr>
          <w:lang w:eastAsia="en-GB"/>
        </w:rPr>
        <w:t>National</w:t>
      </w:r>
      <w:r w:rsidR="00573BA7" w:rsidRPr="07069484">
        <w:rPr>
          <w:lang w:eastAsia="en-GB"/>
        </w:rPr>
        <w:t xml:space="preserve"> </w:t>
      </w:r>
      <w:r w:rsidR="005521C8" w:rsidRPr="07069484">
        <w:rPr>
          <w:lang w:eastAsia="en-GB"/>
        </w:rPr>
        <w:t>Standards</w:t>
      </w:r>
      <w:r w:rsidR="00573BA7" w:rsidRPr="07069484">
        <w:rPr>
          <w:lang w:eastAsia="en-GB"/>
        </w:rPr>
        <w:t xml:space="preserve"> </w:t>
      </w:r>
      <w:r w:rsidR="005521C8" w:rsidRPr="07069484">
        <w:rPr>
          <w:lang w:eastAsia="en-GB"/>
        </w:rPr>
        <w:t>for</w:t>
      </w:r>
      <w:r w:rsidR="00573BA7" w:rsidRPr="07069484">
        <w:rPr>
          <w:lang w:eastAsia="en-GB"/>
        </w:rPr>
        <w:t xml:space="preserve"> </w:t>
      </w:r>
      <w:r w:rsidR="005521C8" w:rsidRPr="07069484">
        <w:rPr>
          <w:lang w:eastAsia="en-GB"/>
        </w:rPr>
        <w:t>Disability</w:t>
      </w:r>
      <w:r w:rsidR="00573BA7" w:rsidRPr="07069484">
        <w:rPr>
          <w:lang w:eastAsia="en-GB"/>
        </w:rPr>
        <w:t xml:space="preserve"> </w:t>
      </w:r>
      <w:r w:rsidR="005521C8" w:rsidRPr="07069484">
        <w:rPr>
          <w:lang w:eastAsia="en-GB"/>
        </w:rPr>
        <w:t>Services</w:t>
      </w:r>
      <w:r w:rsidR="00573BA7" w:rsidRPr="07069484">
        <w:rPr>
          <w:lang w:eastAsia="en-GB"/>
        </w:rPr>
        <w:t xml:space="preserve"> </w:t>
      </w:r>
      <w:r w:rsidR="005521C8" w:rsidRPr="07069484">
        <w:rPr>
          <w:lang w:eastAsia="en-GB"/>
        </w:rPr>
        <w:t>under</w:t>
      </w:r>
      <w:r w:rsidR="00573BA7" w:rsidRPr="07069484">
        <w:rPr>
          <w:lang w:eastAsia="en-GB"/>
        </w:rPr>
        <w:t xml:space="preserve"> </w:t>
      </w:r>
      <w:r w:rsidR="005521C8" w:rsidRPr="07069484">
        <w:rPr>
          <w:lang w:eastAsia="en-GB"/>
        </w:rPr>
        <w:t>the</w:t>
      </w:r>
      <w:r w:rsidR="00573BA7" w:rsidRPr="07069484">
        <w:rPr>
          <w:lang w:eastAsia="en-GB"/>
        </w:rPr>
        <w:t xml:space="preserve"> </w:t>
      </w:r>
      <w:r w:rsidR="005521C8" w:rsidRPr="07069484">
        <w:rPr>
          <w:i/>
          <w:iCs/>
          <w:lang w:eastAsia="en-GB"/>
        </w:rPr>
        <w:t>Disability</w:t>
      </w:r>
      <w:r w:rsidR="00573BA7" w:rsidRPr="07069484">
        <w:rPr>
          <w:i/>
          <w:iCs/>
          <w:lang w:eastAsia="en-GB"/>
        </w:rPr>
        <w:t xml:space="preserve"> </w:t>
      </w:r>
      <w:r w:rsidR="005521C8" w:rsidRPr="07069484">
        <w:rPr>
          <w:i/>
          <w:iCs/>
          <w:lang w:eastAsia="en-GB"/>
        </w:rPr>
        <w:t>Services</w:t>
      </w:r>
      <w:r w:rsidR="00573BA7" w:rsidRPr="07069484">
        <w:rPr>
          <w:i/>
          <w:iCs/>
          <w:lang w:eastAsia="en-GB"/>
        </w:rPr>
        <w:t xml:space="preserve"> </w:t>
      </w:r>
      <w:r w:rsidR="005521C8" w:rsidRPr="07069484">
        <w:rPr>
          <w:i/>
          <w:iCs/>
          <w:lang w:eastAsia="en-GB"/>
        </w:rPr>
        <w:t>Act</w:t>
      </w:r>
      <w:r w:rsidR="00573BA7" w:rsidRPr="07069484">
        <w:rPr>
          <w:i/>
          <w:iCs/>
          <w:lang w:eastAsia="en-GB"/>
        </w:rPr>
        <w:t xml:space="preserve"> </w:t>
      </w:r>
      <w:r w:rsidR="005521C8" w:rsidRPr="07069484">
        <w:rPr>
          <w:i/>
          <w:iCs/>
          <w:lang w:eastAsia="en-GB"/>
        </w:rPr>
        <w:t>1986</w:t>
      </w:r>
      <w:r w:rsidR="00573BA7" w:rsidRPr="07069484">
        <w:rPr>
          <w:i/>
          <w:iCs/>
          <w:lang w:eastAsia="en-GB"/>
        </w:rPr>
        <w:t xml:space="preserve"> </w:t>
      </w:r>
      <w:r w:rsidR="005521C8" w:rsidRPr="07069484">
        <w:rPr>
          <w:lang w:eastAsia="en-GB"/>
        </w:rPr>
        <w:t>(Cth).</w:t>
      </w:r>
      <w:r w:rsidR="00573BA7" w:rsidRPr="07069484">
        <w:rPr>
          <w:lang w:eastAsia="en-GB"/>
        </w:rPr>
        <w:t xml:space="preserve">  </w:t>
      </w:r>
      <w:r w:rsidR="005521C8" w:rsidRPr="07069484">
        <w:rPr>
          <w:lang w:eastAsia="en-GB"/>
        </w:rPr>
        <w:t>Failing</w:t>
      </w:r>
      <w:r w:rsidR="00573BA7" w:rsidRPr="07069484">
        <w:rPr>
          <w:lang w:eastAsia="en-GB"/>
        </w:rPr>
        <w:t xml:space="preserve"> </w:t>
      </w:r>
      <w:r w:rsidR="005521C8" w:rsidRPr="07069484">
        <w:rPr>
          <w:lang w:eastAsia="en-GB"/>
        </w:rPr>
        <w:t>to</w:t>
      </w:r>
      <w:r w:rsidR="00573BA7" w:rsidRPr="07069484">
        <w:rPr>
          <w:lang w:eastAsia="en-GB"/>
        </w:rPr>
        <w:t xml:space="preserve"> </w:t>
      </w:r>
      <w:r w:rsidR="005521C8" w:rsidRPr="07069484">
        <w:rPr>
          <w:lang w:eastAsia="en-GB"/>
        </w:rPr>
        <w:t>meet</w:t>
      </w:r>
      <w:r w:rsidR="00573BA7" w:rsidRPr="07069484">
        <w:rPr>
          <w:lang w:eastAsia="en-GB"/>
        </w:rPr>
        <w:t xml:space="preserve"> </w:t>
      </w:r>
      <w:r w:rsidR="005521C8" w:rsidRPr="07069484">
        <w:rPr>
          <w:lang w:eastAsia="en-GB"/>
        </w:rPr>
        <w:t>certification</w:t>
      </w:r>
      <w:r w:rsidR="00573BA7" w:rsidRPr="07069484">
        <w:rPr>
          <w:lang w:eastAsia="en-GB"/>
        </w:rPr>
        <w:t xml:space="preserve"> </w:t>
      </w:r>
      <w:r w:rsidR="005521C8" w:rsidRPr="07069484">
        <w:rPr>
          <w:lang w:eastAsia="en-GB"/>
        </w:rPr>
        <w:t>requirements</w:t>
      </w:r>
      <w:r w:rsidR="00573BA7" w:rsidRPr="07069484">
        <w:rPr>
          <w:lang w:eastAsia="en-GB"/>
        </w:rPr>
        <w:t xml:space="preserve"> </w:t>
      </w:r>
      <w:r w:rsidR="005521C8" w:rsidRPr="07069484">
        <w:rPr>
          <w:lang w:eastAsia="en-GB"/>
        </w:rPr>
        <w:t>may</w:t>
      </w:r>
      <w:r w:rsidR="00573BA7" w:rsidRPr="07069484">
        <w:rPr>
          <w:lang w:eastAsia="en-GB"/>
        </w:rPr>
        <w:t xml:space="preserve"> </w:t>
      </w:r>
      <w:r w:rsidR="005521C8" w:rsidRPr="07069484">
        <w:rPr>
          <w:lang w:eastAsia="en-GB"/>
        </w:rPr>
        <w:t>lead</w:t>
      </w:r>
      <w:r w:rsidR="00573BA7" w:rsidRPr="07069484">
        <w:rPr>
          <w:lang w:eastAsia="en-GB"/>
        </w:rPr>
        <w:t xml:space="preserve"> </w:t>
      </w:r>
      <w:r w:rsidR="005521C8" w:rsidRPr="07069484">
        <w:rPr>
          <w:lang w:eastAsia="en-GB"/>
        </w:rPr>
        <w:t>to</w:t>
      </w:r>
      <w:r w:rsidR="00573BA7" w:rsidRPr="07069484">
        <w:rPr>
          <w:lang w:eastAsia="en-GB"/>
        </w:rPr>
        <w:t xml:space="preserve"> </w:t>
      </w:r>
      <w:r w:rsidR="005521C8" w:rsidRPr="07069484">
        <w:rPr>
          <w:lang w:eastAsia="en-GB"/>
        </w:rPr>
        <w:t>a</w:t>
      </w:r>
      <w:r w:rsidR="00573BA7" w:rsidRPr="07069484">
        <w:rPr>
          <w:lang w:eastAsia="en-GB"/>
        </w:rPr>
        <w:t xml:space="preserve"> </w:t>
      </w:r>
      <w:r w:rsidR="005521C8" w:rsidRPr="07069484">
        <w:rPr>
          <w:lang w:eastAsia="en-GB"/>
        </w:rPr>
        <w:t>loss</w:t>
      </w:r>
      <w:r w:rsidR="00573BA7" w:rsidRPr="07069484">
        <w:rPr>
          <w:lang w:eastAsia="en-GB"/>
        </w:rPr>
        <w:t xml:space="preserve"> </w:t>
      </w:r>
      <w:r w:rsidR="005521C8" w:rsidRPr="07069484">
        <w:rPr>
          <w:lang w:eastAsia="en-GB"/>
        </w:rPr>
        <w:t>of</w:t>
      </w:r>
      <w:r w:rsidR="00573BA7" w:rsidRPr="07069484">
        <w:rPr>
          <w:lang w:eastAsia="en-GB"/>
        </w:rPr>
        <w:t xml:space="preserve"> </w:t>
      </w:r>
      <w:r w:rsidR="005521C8" w:rsidRPr="07069484">
        <w:rPr>
          <w:lang w:eastAsia="en-GB"/>
        </w:rPr>
        <w:t>funding.</w:t>
      </w:r>
    </w:p>
    <w:p w14:paraId="0933C3BA" w14:textId="2E27FECE" w:rsidR="005521C8" w:rsidRDefault="00C54627" w:rsidP="005521C8">
      <w:pPr>
        <w:pStyle w:val="ListNumber"/>
        <w:rPr>
          <w:lang w:eastAsia="en-GB"/>
        </w:rPr>
      </w:pPr>
      <w:r>
        <w:rPr>
          <w:lang w:eastAsia="en-GB"/>
        </w:rPr>
        <w:t xml:space="preserve">People </w:t>
      </w:r>
      <w:r w:rsidR="005521C8" w:rsidRPr="00C82AF5">
        <w:rPr>
          <w:lang w:eastAsia="en-GB"/>
        </w:rPr>
        <w:t>with</w:t>
      </w:r>
      <w:r w:rsidR="00573BA7">
        <w:rPr>
          <w:lang w:eastAsia="en-GB"/>
        </w:rPr>
        <w:t xml:space="preserve"> </w:t>
      </w:r>
      <w:r w:rsidR="005521C8" w:rsidRPr="00C82AF5">
        <w:rPr>
          <w:lang w:eastAsia="en-GB"/>
        </w:rPr>
        <w:t>disabilit</w:t>
      </w:r>
      <w:r>
        <w:rPr>
          <w:lang w:eastAsia="en-GB"/>
        </w:rPr>
        <w:t>y</w:t>
      </w:r>
      <w:r w:rsidR="00573BA7">
        <w:rPr>
          <w:lang w:eastAsia="en-GB"/>
        </w:rPr>
        <w:t xml:space="preserve"> </w:t>
      </w:r>
      <w:r w:rsidR="005521C8" w:rsidRPr="00C82AF5">
        <w:rPr>
          <w:lang w:eastAsia="en-GB"/>
        </w:rPr>
        <w:t>who</w:t>
      </w:r>
      <w:r w:rsidR="00573BA7">
        <w:rPr>
          <w:lang w:eastAsia="en-GB"/>
        </w:rPr>
        <w:t xml:space="preserve"> </w:t>
      </w:r>
      <w:r w:rsidR="005521C8" w:rsidRPr="00C82AF5">
        <w:rPr>
          <w:lang w:eastAsia="en-GB"/>
        </w:rPr>
        <w:t>are</w:t>
      </w:r>
      <w:r w:rsidR="00573BA7">
        <w:rPr>
          <w:lang w:eastAsia="en-GB"/>
        </w:rPr>
        <w:t xml:space="preserve"> </w:t>
      </w:r>
      <w:r w:rsidR="005521C8" w:rsidRPr="00C82AF5">
        <w:rPr>
          <w:lang w:eastAsia="en-GB"/>
        </w:rPr>
        <w:t>employed</w:t>
      </w:r>
      <w:r w:rsidR="00573BA7">
        <w:rPr>
          <w:lang w:eastAsia="en-GB"/>
        </w:rPr>
        <w:t xml:space="preserve"> </w:t>
      </w:r>
      <w:r w:rsidR="005521C8" w:rsidRPr="00C82AF5">
        <w:rPr>
          <w:lang w:eastAsia="en-GB"/>
        </w:rPr>
        <w:t>in</w:t>
      </w:r>
      <w:r w:rsidR="00573BA7">
        <w:rPr>
          <w:lang w:eastAsia="en-GB"/>
        </w:rPr>
        <w:t xml:space="preserve"> </w:t>
      </w:r>
      <w:r w:rsidR="005521C8" w:rsidRPr="00C82AF5">
        <w:rPr>
          <w:lang w:eastAsia="en-GB"/>
        </w:rPr>
        <w:t>ADEs</w:t>
      </w:r>
      <w:r w:rsidR="00573BA7">
        <w:rPr>
          <w:lang w:eastAsia="en-GB"/>
        </w:rPr>
        <w:t xml:space="preserve"> </w:t>
      </w:r>
      <w:r w:rsidR="005521C8" w:rsidRPr="00C82AF5">
        <w:rPr>
          <w:lang w:eastAsia="en-GB"/>
        </w:rPr>
        <w:t>very</w:t>
      </w:r>
      <w:r w:rsidR="00573BA7">
        <w:rPr>
          <w:lang w:eastAsia="en-GB"/>
        </w:rPr>
        <w:t xml:space="preserve"> </w:t>
      </w:r>
      <w:r w:rsidR="005521C8" w:rsidRPr="00C82AF5">
        <w:rPr>
          <w:lang w:eastAsia="en-GB"/>
        </w:rPr>
        <w:t>rarely</w:t>
      </w:r>
      <w:r w:rsidR="00573BA7">
        <w:rPr>
          <w:lang w:eastAsia="en-GB"/>
        </w:rPr>
        <w:t xml:space="preserve"> </w:t>
      </w:r>
      <w:r w:rsidR="005521C8" w:rsidRPr="00C82AF5">
        <w:rPr>
          <w:lang w:eastAsia="en-GB"/>
        </w:rPr>
        <w:t>advance</w:t>
      </w:r>
      <w:r w:rsidR="00573BA7">
        <w:rPr>
          <w:lang w:eastAsia="en-GB"/>
        </w:rPr>
        <w:t xml:space="preserve"> </w:t>
      </w:r>
      <w:r w:rsidR="005521C8" w:rsidRPr="00C82AF5">
        <w:rPr>
          <w:lang w:eastAsia="en-GB"/>
        </w:rPr>
        <w:t>into</w:t>
      </w:r>
      <w:r w:rsidR="00573BA7">
        <w:rPr>
          <w:lang w:eastAsia="en-GB"/>
        </w:rPr>
        <w:t xml:space="preserve"> </w:t>
      </w:r>
      <w:r w:rsidR="005521C8" w:rsidRPr="00C82AF5">
        <w:rPr>
          <w:lang w:eastAsia="en-GB"/>
        </w:rPr>
        <w:t>open</w:t>
      </w:r>
      <w:r w:rsidR="00573BA7">
        <w:rPr>
          <w:lang w:eastAsia="en-GB"/>
        </w:rPr>
        <w:t xml:space="preserve"> </w:t>
      </w:r>
      <w:r w:rsidR="005521C8" w:rsidRPr="00C82AF5">
        <w:rPr>
          <w:lang w:eastAsia="en-GB"/>
        </w:rPr>
        <w:t>employment</w:t>
      </w:r>
      <w:r w:rsidR="005521C8">
        <w:rPr>
          <w:lang w:eastAsia="en-GB"/>
        </w:rPr>
        <w:t>.</w:t>
      </w:r>
      <w:r w:rsidR="00573BA7">
        <w:rPr>
          <w:lang w:eastAsia="en-GB"/>
        </w:rPr>
        <w:t xml:space="preserve">  </w:t>
      </w:r>
      <w:r w:rsidR="00F445D6">
        <w:rPr>
          <w:lang w:eastAsia="en-GB"/>
        </w:rPr>
        <w:t>For</w:t>
      </w:r>
      <w:r w:rsidR="00573BA7">
        <w:rPr>
          <w:lang w:eastAsia="en-GB"/>
        </w:rPr>
        <w:t xml:space="preserve"> </w:t>
      </w:r>
      <w:r w:rsidR="00F445D6">
        <w:rPr>
          <w:lang w:eastAsia="en-GB"/>
        </w:rPr>
        <w:t>example,</w:t>
      </w:r>
      <w:r w:rsidR="00573BA7">
        <w:rPr>
          <w:lang w:eastAsia="en-GB"/>
        </w:rPr>
        <w:t xml:space="preserve"> </w:t>
      </w:r>
      <w:r w:rsidR="00F445D6">
        <w:rPr>
          <w:lang w:eastAsia="en-GB"/>
        </w:rPr>
        <w:t>i</w:t>
      </w:r>
      <w:r w:rsidR="005521C8" w:rsidRPr="00C82AF5">
        <w:rPr>
          <w:lang w:eastAsia="en-GB"/>
        </w:rPr>
        <w:t>n</w:t>
      </w:r>
      <w:r w:rsidR="00573BA7">
        <w:rPr>
          <w:lang w:eastAsia="en-GB"/>
        </w:rPr>
        <w:t xml:space="preserve"> </w:t>
      </w:r>
      <w:r w:rsidR="005521C8" w:rsidRPr="00C82AF5">
        <w:rPr>
          <w:lang w:eastAsia="en-GB"/>
        </w:rPr>
        <w:t>2014,</w:t>
      </w:r>
      <w:r w:rsidR="00573BA7">
        <w:rPr>
          <w:lang w:eastAsia="en-GB"/>
        </w:rPr>
        <w:t xml:space="preserve"> </w:t>
      </w:r>
      <w:r w:rsidR="005521C8" w:rsidRPr="00C82AF5">
        <w:rPr>
          <w:lang w:eastAsia="en-GB"/>
        </w:rPr>
        <w:t>only</w:t>
      </w:r>
      <w:r w:rsidR="00573BA7">
        <w:rPr>
          <w:lang w:eastAsia="en-GB"/>
        </w:rPr>
        <w:t xml:space="preserve"> </w:t>
      </w:r>
      <w:r w:rsidR="005521C8" w:rsidRPr="00C82AF5">
        <w:rPr>
          <w:lang w:eastAsia="en-GB"/>
        </w:rPr>
        <w:t>0.8%</w:t>
      </w:r>
      <w:r w:rsidR="00573BA7">
        <w:rPr>
          <w:lang w:eastAsia="en-GB"/>
        </w:rPr>
        <w:t xml:space="preserve"> </w:t>
      </w:r>
      <w:r w:rsidR="005521C8" w:rsidRPr="00C82AF5">
        <w:rPr>
          <w:lang w:eastAsia="en-GB"/>
        </w:rPr>
        <w:t>of</w:t>
      </w:r>
      <w:r w:rsidR="00573BA7">
        <w:rPr>
          <w:lang w:eastAsia="en-GB"/>
        </w:rPr>
        <w:t xml:space="preserve"> </w:t>
      </w:r>
      <w:r w:rsidR="005521C8" w:rsidRPr="00C82AF5">
        <w:rPr>
          <w:lang w:eastAsia="en-GB"/>
        </w:rPr>
        <w:t>ADE</w:t>
      </w:r>
      <w:r w:rsidR="00573BA7">
        <w:rPr>
          <w:lang w:eastAsia="en-GB"/>
        </w:rPr>
        <w:t xml:space="preserve"> </w:t>
      </w:r>
      <w:r w:rsidR="005521C8" w:rsidRPr="00C82AF5">
        <w:rPr>
          <w:lang w:eastAsia="en-GB"/>
        </w:rPr>
        <w:t>employees</w:t>
      </w:r>
      <w:r w:rsidR="00573BA7">
        <w:rPr>
          <w:lang w:eastAsia="en-GB"/>
        </w:rPr>
        <w:t xml:space="preserve"> </w:t>
      </w:r>
      <w:r w:rsidR="005521C8" w:rsidRPr="00C82AF5">
        <w:rPr>
          <w:lang w:eastAsia="en-GB"/>
        </w:rPr>
        <w:t>moved</w:t>
      </w:r>
      <w:r w:rsidR="00573BA7">
        <w:rPr>
          <w:lang w:eastAsia="en-GB"/>
        </w:rPr>
        <w:t xml:space="preserve"> </w:t>
      </w:r>
      <w:r w:rsidR="005521C8" w:rsidRPr="00C82AF5">
        <w:rPr>
          <w:lang w:eastAsia="en-GB"/>
        </w:rPr>
        <w:t>into</w:t>
      </w:r>
      <w:r w:rsidR="00573BA7">
        <w:rPr>
          <w:lang w:eastAsia="en-GB"/>
        </w:rPr>
        <w:t xml:space="preserve"> </w:t>
      </w:r>
      <w:r w:rsidR="005521C8" w:rsidRPr="00C82AF5">
        <w:rPr>
          <w:lang w:eastAsia="en-GB"/>
        </w:rPr>
        <w:t>open</w:t>
      </w:r>
      <w:r w:rsidR="00573BA7">
        <w:rPr>
          <w:lang w:eastAsia="en-GB"/>
        </w:rPr>
        <w:t xml:space="preserve"> </w:t>
      </w:r>
      <w:r w:rsidR="005521C8" w:rsidRPr="00C82AF5">
        <w:rPr>
          <w:lang w:eastAsia="en-GB"/>
        </w:rPr>
        <w:t>employment.</w:t>
      </w:r>
      <w:r w:rsidR="005521C8" w:rsidRPr="003F4CE1">
        <w:rPr>
          <w:rStyle w:val="EndnoteReference"/>
          <w:color w:val="000000" w:themeColor="text1"/>
          <w:lang w:eastAsia="en-GB"/>
        </w:rPr>
        <w:endnoteReference w:id="110"/>
      </w:r>
      <w:r w:rsidR="00573BA7">
        <w:rPr>
          <w:lang w:eastAsia="en-GB"/>
        </w:rPr>
        <w:t xml:space="preserve">  </w:t>
      </w:r>
      <w:r w:rsidR="005521C8">
        <w:rPr>
          <w:lang w:eastAsia="en-GB"/>
        </w:rPr>
        <w:t>ADEs</w:t>
      </w:r>
      <w:r w:rsidR="00573BA7">
        <w:rPr>
          <w:lang w:eastAsia="en-GB"/>
        </w:rPr>
        <w:t xml:space="preserve"> </w:t>
      </w:r>
      <w:r w:rsidR="005521C8">
        <w:rPr>
          <w:lang w:eastAsia="en-GB"/>
        </w:rPr>
        <w:t>therefore</w:t>
      </w:r>
      <w:r w:rsidR="00573BA7">
        <w:rPr>
          <w:lang w:eastAsia="en-GB"/>
        </w:rPr>
        <w:t xml:space="preserve"> </w:t>
      </w:r>
      <w:r w:rsidR="005521C8">
        <w:rPr>
          <w:lang w:eastAsia="en-GB"/>
        </w:rPr>
        <w:t>segregate</w:t>
      </w:r>
      <w:r w:rsidR="00573BA7">
        <w:rPr>
          <w:lang w:eastAsia="en-GB"/>
        </w:rPr>
        <w:t xml:space="preserve"> </w:t>
      </w:r>
      <w:r w:rsidR="005521C8">
        <w:rPr>
          <w:lang w:eastAsia="en-GB"/>
        </w:rPr>
        <w:t>people</w:t>
      </w:r>
      <w:r w:rsidR="00573BA7">
        <w:rPr>
          <w:lang w:eastAsia="en-GB"/>
        </w:rPr>
        <w:t xml:space="preserve"> </w:t>
      </w:r>
      <w:r w:rsidR="005521C8">
        <w:rPr>
          <w:lang w:eastAsia="en-GB"/>
        </w:rPr>
        <w:t>with</w:t>
      </w:r>
      <w:r w:rsidR="00573BA7">
        <w:rPr>
          <w:lang w:eastAsia="en-GB"/>
        </w:rPr>
        <w:t xml:space="preserve"> </w:t>
      </w:r>
      <w:r w:rsidR="005521C8">
        <w:rPr>
          <w:lang w:eastAsia="en-GB"/>
        </w:rPr>
        <w:t>disability</w:t>
      </w:r>
      <w:r w:rsidR="00573BA7">
        <w:rPr>
          <w:lang w:eastAsia="en-GB"/>
        </w:rPr>
        <w:t xml:space="preserve"> </w:t>
      </w:r>
      <w:r w:rsidR="005521C8">
        <w:rPr>
          <w:lang w:eastAsia="en-GB"/>
        </w:rPr>
        <w:t>from</w:t>
      </w:r>
      <w:r w:rsidR="00573BA7">
        <w:rPr>
          <w:lang w:eastAsia="en-GB"/>
        </w:rPr>
        <w:t xml:space="preserve"> </w:t>
      </w:r>
      <w:r w:rsidR="005521C8">
        <w:rPr>
          <w:lang w:eastAsia="en-GB"/>
        </w:rPr>
        <w:t>the</w:t>
      </w:r>
      <w:r w:rsidR="00573BA7">
        <w:rPr>
          <w:lang w:eastAsia="en-GB"/>
        </w:rPr>
        <w:t xml:space="preserve"> </w:t>
      </w:r>
      <w:r w:rsidR="005521C8">
        <w:rPr>
          <w:lang w:eastAsia="en-GB"/>
        </w:rPr>
        <w:t>general</w:t>
      </w:r>
      <w:r w:rsidR="00573BA7">
        <w:rPr>
          <w:lang w:eastAsia="en-GB"/>
        </w:rPr>
        <w:t xml:space="preserve"> </w:t>
      </w:r>
      <w:r w:rsidR="005521C8">
        <w:rPr>
          <w:lang w:eastAsia="en-GB"/>
        </w:rPr>
        <w:t>labour</w:t>
      </w:r>
      <w:r w:rsidR="00573BA7">
        <w:rPr>
          <w:lang w:eastAsia="en-GB"/>
        </w:rPr>
        <w:t xml:space="preserve"> </w:t>
      </w:r>
      <w:r w:rsidR="005521C8">
        <w:rPr>
          <w:lang w:eastAsia="en-GB"/>
        </w:rPr>
        <w:t>market.</w:t>
      </w:r>
      <w:r w:rsidR="00573BA7">
        <w:rPr>
          <w:lang w:eastAsia="en-GB"/>
        </w:rPr>
        <w:t xml:space="preserve">  </w:t>
      </w:r>
    </w:p>
    <w:p w14:paraId="4F66F3CF" w14:textId="1E4E1A78" w:rsidR="00E84920" w:rsidRDefault="00E84920" w:rsidP="005521C8">
      <w:pPr>
        <w:pStyle w:val="ListNumber"/>
        <w:rPr>
          <w:lang w:eastAsia="en-GB"/>
        </w:rPr>
      </w:pPr>
      <w:r>
        <w:rPr>
          <w:lang w:eastAsia="en-GB"/>
        </w:rPr>
        <w:t xml:space="preserve"> As outlined in section 5.2 below the current disability employment framework </w:t>
      </w:r>
      <w:r w:rsidRPr="00D66209">
        <w:rPr>
          <w:rFonts w:cs="Open Sans"/>
        </w:rPr>
        <w:t>allows</w:t>
      </w:r>
      <w:r>
        <w:rPr>
          <w:rFonts w:cs="Open Sans"/>
        </w:rPr>
        <w:t xml:space="preserve"> </w:t>
      </w:r>
      <w:r w:rsidRPr="00D66209">
        <w:rPr>
          <w:rFonts w:cs="Open Sans"/>
        </w:rPr>
        <w:t>employers</w:t>
      </w:r>
      <w:r>
        <w:rPr>
          <w:rFonts w:cs="Open Sans"/>
        </w:rPr>
        <w:t xml:space="preserve"> </w:t>
      </w:r>
      <w:r w:rsidRPr="00D66209">
        <w:rPr>
          <w:rFonts w:cs="Open Sans"/>
        </w:rPr>
        <w:t>to</w:t>
      </w:r>
      <w:r>
        <w:rPr>
          <w:rFonts w:cs="Open Sans"/>
        </w:rPr>
        <w:t xml:space="preserve"> </w:t>
      </w:r>
      <w:r w:rsidRPr="00D66209">
        <w:rPr>
          <w:rFonts w:cs="Open Sans"/>
        </w:rPr>
        <w:t>pay</w:t>
      </w:r>
      <w:r>
        <w:rPr>
          <w:rFonts w:cs="Open Sans"/>
        </w:rPr>
        <w:t xml:space="preserve"> </w:t>
      </w:r>
      <w:r w:rsidRPr="00D66209">
        <w:rPr>
          <w:rFonts w:cs="Open Sans"/>
        </w:rPr>
        <w:t>employees</w:t>
      </w:r>
      <w:r>
        <w:rPr>
          <w:rFonts w:cs="Open Sans"/>
        </w:rPr>
        <w:t xml:space="preserve"> </w:t>
      </w:r>
      <w:r w:rsidRPr="00D66209">
        <w:rPr>
          <w:rFonts w:cs="Open Sans"/>
        </w:rPr>
        <w:t>with</w:t>
      </w:r>
      <w:r>
        <w:rPr>
          <w:rFonts w:cs="Open Sans"/>
        </w:rPr>
        <w:t xml:space="preserve"> </w:t>
      </w:r>
      <w:r w:rsidRPr="00D66209">
        <w:rPr>
          <w:rFonts w:cs="Open Sans"/>
        </w:rPr>
        <w:t>disability</w:t>
      </w:r>
      <w:r>
        <w:rPr>
          <w:rFonts w:cs="Open Sans"/>
        </w:rPr>
        <w:t xml:space="preserve"> </w:t>
      </w:r>
      <w:r w:rsidRPr="00D66209">
        <w:rPr>
          <w:rFonts w:cs="Open Sans"/>
        </w:rPr>
        <w:t>as</w:t>
      </w:r>
      <w:r>
        <w:rPr>
          <w:rFonts w:cs="Open Sans"/>
        </w:rPr>
        <w:t xml:space="preserve"> </w:t>
      </w:r>
      <w:r w:rsidRPr="00D66209">
        <w:rPr>
          <w:rFonts w:cs="Open Sans"/>
        </w:rPr>
        <w:t>little</w:t>
      </w:r>
      <w:r>
        <w:rPr>
          <w:rFonts w:cs="Open Sans"/>
        </w:rPr>
        <w:t xml:space="preserve"> </w:t>
      </w:r>
      <w:r w:rsidRPr="00D66209">
        <w:rPr>
          <w:rFonts w:cs="Open Sans"/>
        </w:rPr>
        <w:t>as</w:t>
      </w:r>
      <w:r>
        <w:rPr>
          <w:rFonts w:cs="Open Sans"/>
        </w:rPr>
        <w:t xml:space="preserve"> </w:t>
      </w:r>
      <w:r w:rsidRPr="00D66209">
        <w:rPr>
          <w:rFonts w:cs="Open Sans"/>
        </w:rPr>
        <w:t>$89</w:t>
      </w:r>
      <w:r>
        <w:rPr>
          <w:rFonts w:cs="Open Sans"/>
        </w:rPr>
        <w:t xml:space="preserve"> </w:t>
      </w:r>
      <w:r w:rsidRPr="00D66209">
        <w:rPr>
          <w:rFonts w:cs="Open Sans"/>
        </w:rPr>
        <w:t>per</w:t>
      </w:r>
      <w:r>
        <w:rPr>
          <w:rFonts w:cs="Open Sans"/>
        </w:rPr>
        <w:t xml:space="preserve"> </w:t>
      </w:r>
      <w:r w:rsidRPr="00D66209">
        <w:rPr>
          <w:rFonts w:cs="Open Sans"/>
        </w:rPr>
        <w:t>week</w:t>
      </w:r>
      <w:r>
        <w:rPr>
          <w:rFonts w:cs="Open Sans"/>
        </w:rPr>
        <w:t xml:space="preserve"> </w:t>
      </w:r>
      <w:r w:rsidRPr="00D66209">
        <w:rPr>
          <w:rFonts w:cs="Open Sans"/>
        </w:rPr>
        <w:t>($2.34</w:t>
      </w:r>
      <w:r>
        <w:rPr>
          <w:rFonts w:cs="Open Sans"/>
        </w:rPr>
        <w:t xml:space="preserve"> </w:t>
      </w:r>
      <w:r w:rsidRPr="00D66209">
        <w:rPr>
          <w:rFonts w:cs="Open Sans"/>
        </w:rPr>
        <w:t>per</w:t>
      </w:r>
      <w:r>
        <w:rPr>
          <w:rFonts w:cs="Open Sans"/>
        </w:rPr>
        <w:t xml:space="preserve"> </w:t>
      </w:r>
      <w:r w:rsidRPr="00D66209">
        <w:rPr>
          <w:rFonts w:cs="Open Sans"/>
        </w:rPr>
        <w:t>hour</w:t>
      </w:r>
      <w:r>
        <w:rPr>
          <w:rFonts w:cs="Open Sans"/>
        </w:rPr>
        <w:t xml:space="preserve"> </w:t>
      </w:r>
      <w:r w:rsidRPr="00D66209">
        <w:rPr>
          <w:rFonts w:cs="Open Sans"/>
        </w:rPr>
        <w:t>for</w:t>
      </w:r>
      <w:r>
        <w:rPr>
          <w:rFonts w:cs="Open Sans"/>
        </w:rPr>
        <w:t xml:space="preserve"> </w:t>
      </w:r>
      <w:r w:rsidRPr="00D66209">
        <w:rPr>
          <w:rFonts w:cs="Open Sans"/>
        </w:rPr>
        <w:t>full-time</w:t>
      </w:r>
      <w:r>
        <w:rPr>
          <w:rFonts w:cs="Open Sans"/>
        </w:rPr>
        <w:t xml:space="preserve"> </w:t>
      </w:r>
      <w:r w:rsidRPr="00D66209">
        <w:rPr>
          <w:rFonts w:cs="Open Sans"/>
        </w:rPr>
        <w:t>employees).</w:t>
      </w:r>
      <w:r w:rsidRPr="003F4CE1">
        <w:rPr>
          <w:rStyle w:val="EndnoteReference"/>
          <w:rFonts w:cs="Open Sans"/>
        </w:rPr>
        <w:endnoteReference w:id="111"/>
      </w:r>
      <w:r>
        <w:rPr>
          <w:rFonts w:cs="Open Sans"/>
        </w:rPr>
        <w:t xml:space="preserve">  </w:t>
      </w:r>
    </w:p>
    <w:p w14:paraId="21E86434" w14:textId="3837BC8C" w:rsidR="005521C8" w:rsidRPr="00710E6A" w:rsidRDefault="005521C8" w:rsidP="005521C8">
      <w:pPr>
        <w:pStyle w:val="Heading3"/>
        <w:rPr>
          <w:b/>
          <w:bCs w:val="0"/>
        </w:rPr>
      </w:pPr>
      <w:bookmarkStart w:id="61" w:name="_Ref50804205"/>
      <w:bookmarkStart w:id="62" w:name="_Toc51834280"/>
      <w:r w:rsidRPr="00710E6A">
        <w:rPr>
          <w:b/>
          <w:bCs w:val="0"/>
        </w:rPr>
        <w:t>ADEs</w:t>
      </w:r>
      <w:r w:rsidR="00573BA7" w:rsidRPr="00710E6A">
        <w:rPr>
          <w:b/>
          <w:bCs w:val="0"/>
        </w:rPr>
        <w:t xml:space="preserve"> </w:t>
      </w:r>
      <w:r w:rsidRPr="00710E6A">
        <w:rPr>
          <w:b/>
          <w:bCs w:val="0"/>
        </w:rPr>
        <w:t>and</w:t>
      </w:r>
      <w:r w:rsidR="00573BA7" w:rsidRPr="00710E6A">
        <w:rPr>
          <w:b/>
          <w:bCs w:val="0"/>
        </w:rPr>
        <w:t xml:space="preserve"> </w:t>
      </w:r>
      <w:r w:rsidRPr="00710E6A">
        <w:rPr>
          <w:b/>
          <w:bCs w:val="0"/>
        </w:rPr>
        <w:t>the</w:t>
      </w:r>
      <w:r w:rsidR="00573BA7" w:rsidRPr="00710E6A">
        <w:rPr>
          <w:b/>
          <w:bCs w:val="0"/>
        </w:rPr>
        <w:t xml:space="preserve"> </w:t>
      </w:r>
      <w:r w:rsidRPr="00710E6A">
        <w:rPr>
          <w:b/>
          <w:bCs w:val="0"/>
        </w:rPr>
        <w:t>right</w:t>
      </w:r>
      <w:r w:rsidR="00573BA7" w:rsidRPr="00710E6A">
        <w:rPr>
          <w:b/>
          <w:bCs w:val="0"/>
        </w:rPr>
        <w:t xml:space="preserve"> </w:t>
      </w:r>
      <w:r w:rsidRPr="00710E6A">
        <w:rPr>
          <w:b/>
          <w:bCs w:val="0"/>
        </w:rPr>
        <w:t>to</w:t>
      </w:r>
      <w:r w:rsidR="00573BA7" w:rsidRPr="00710E6A">
        <w:rPr>
          <w:b/>
          <w:bCs w:val="0"/>
        </w:rPr>
        <w:t xml:space="preserve"> </w:t>
      </w:r>
      <w:r w:rsidRPr="00710E6A">
        <w:rPr>
          <w:b/>
          <w:bCs w:val="0"/>
        </w:rPr>
        <w:t>work</w:t>
      </w:r>
      <w:r w:rsidR="00573BA7" w:rsidRPr="00710E6A">
        <w:rPr>
          <w:b/>
          <w:bCs w:val="0"/>
        </w:rPr>
        <w:t xml:space="preserve"> </w:t>
      </w:r>
      <w:r w:rsidRPr="00710E6A">
        <w:rPr>
          <w:b/>
          <w:bCs w:val="0"/>
        </w:rPr>
        <w:t>on</w:t>
      </w:r>
      <w:r w:rsidR="00573BA7" w:rsidRPr="00710E6A">
        <w:rPr>
          <w:b/>
          <w:bCs w:val="0"/>
        </w:rPr>
        <w:t xml:space="preserve"> </w:t>
      </w:r>
      <w:r w:rsidRPr="00710E6A">
        <w:rPr>
          <w:b/>
          <w:bCs w:val="0"/>
        </w:rPr>
        <w:t>an</w:t>
      </w:r>
      <w:r w:rsidR="00573BA7" w:rsidRPr="00710E6A">
        <w:rPr>
          <w:b/>
          <w:bCs w:val="0"/>
        </w:rPr>
        <w:t xml:space="preserve"> </w:t>
      </w:r>
      <w:r w:rsidRPr="00710E6A">
        <w:rPr>
          <w:b/>
          <w:bCs w:val="0"/>
        </w:rPr>
        <w:t>equal</w:t>
      </w:r>
      <w:r w:rsidR="00573BA7" w:rsidRPr="00710E6A">
        <w:rPr>
          <w:b/>
          <w:bCs w:val="0"/>
        </w:rPr>
        <w:t xml:space="preserve"> </w:t>
      </w:r>
      <w:r w:rsidRPr="00710E6A">
        <w:rPr>
          <w:b/>
          <w:bCs w:val="0"/>
        </w:rPr>
        <w:t>basis</w:t>
      </w:r>
      <w:r w:rsidR="00573BA7" w:rsidRPr="00710E6A">
        <w:rPr>
          <w:b/>
          <w:bCs w:val="0"/>
        </w:rPr>
        <w:t xml:space="preserve"> </w:t>
      </w:r>
      <w:r w:rsidRPr="00710E6A">
        <w:rPr>
          <w:b/>
          <w:bCs w:val="0"/>
        </w:rPr>
        <w:t>with</w:t>
      </w:r>
      <w:r w:rsidR="00573BA7" w:rsidRPr="00710E6A">
        <w:rPr>
          <w:b/>
          <w:bCs w:val="0"/>
        </w:rPr>
        <w:t xml:space="preserve"> </w:t>
      </w:r>
      <w:r w:rsidRPr="00710E6A">
        <w:rPr>
          <w:b/>
          <w:bCs w:val="0"/>
        </w:rPr>
        <w:t>others</w:t>
      </w:r>
      <w:r w:rsidR="00573BA7" w:rsidRPr="00710E6A">
        <w:rPr>
          <w:b/>
          <w:bCs w:val="0"/>
        </w:rPr>
        <w:t xml:space="preserve"> </w:t>
      </w:r>
      <w:r w:rsidRPr="00710E6A">
        <w:rPr>
          <w:b/>
          <w:bCs w:val="0"/>
        </w:rPr>
        <w:t>under</w:t>
      </w:r>
      <w:r w:rsidR="00573BA7" w:rsidRPr="00710E6A">
        <w:rPr>
          <w:b/>
          <w:bCs w:val="0"/>
        </w:rPr>
        <w:t xml:space="preserve"> </w:t>
      </w:r>
      <w:r w:rsidRPr="00710E6A">
        <w:rPr>
          <w:b/>
          <w:bCs w:val="0"/>
        </w:rPr>
        <w:t>Article</w:t>
      </w:r>
      <w:r w:rsidR="00573BA7" w:rsidRPr="00710E6A">
        <w:rPr>
          <w:b/>
          <w:bCs w:val="0"/>
        </w:rPr>
        <w:t xml:space="preserve"> </w:t>
      </w:r>
      <w:r w:rsidRPr="00710E6A">
        <w:rPr>
          <w:b/>
          <w:bCs w:val="0"/>
        </w:rPr>
        <w:t>27</w:t>
      </w:r>
      <w:bookmarkEnd w:id="61"/>
      <w:bookmarkEnd w:id="62"/>
    </w:p>
    <w:p w14:paraId="1C976C9E" w14:textId="77777777" w:rsidR="003A5431" w:rsidRDefault="005521C8" w:rsidP="008A7EB0">
      <w:pPr>
        <w:pStyle w:val="ListNumber"/>
        <w:rPr>
          <w:lang w:eastAsia="en-GB"/>
        </w:rPr>
      </w:pPr>
      <w:r>
        <w:t>Article</w:t>
      </w:r>
      <w:r w:rsidR="00573BA7">
        <w:t xml:space="preserve"> </w:t>
      </w:r>
      <w:r>
        <w:t>27(1)</w:t>
      </w:r>
      <w:r w:rsidR="00573BA7">
        <w:t xml:space="preserve"> </w:t>
      </w:r>
      <w:r>
        <w:t>of</w:t>
      </w:r>
      <w:r w:rsidR="00573BA7">
        <w:t xml:space="preserve"> </w:t>
      </w:r>
      <w:r>
        <w:t>the</w:t>
      </w:r>
      <w:r w:rsidR="00573BA7">
        <w:t xml:space="preserve"> </w:t>
      </w:r>
      <w:r>
        <w:t>CRPD</w:t>
      </w:r>
      <w:r w:rsidR="00573BA7">
        <w:t xml:space="preserve"> </w:t>
      </w:r>
      <w:r>
        <w:t>recognises</w:t>
      </w:r>
      <w:r w:rsidR="00573BA7">
        <w:t xml:space="preserve"> </w:t>
      </w:r>
      <w:r>
        <w:t>that</w:t>
      </w:r>
      <w:r w:rsidR="00573BA7">
        <w:t xml:space="preserve"> </w:t>
      </w:r>
      <w:r>
        <w:t>the</w:t>
      </w:r>
      <w:r w:rsidR="00573BA7">
        <w:t xml:space="preserve"> </w:t>
      </w:r>
      <w:r>
        <w:t>right</w:t>
      </w:r>
      <w:r w:rsidR="00573BA7">
        <w:t xml:space="preserve"> </w:t>
      </w:r>
      <w:r>
        <w:t>to</w:t>
      </w:r>
      <w:r w:rsidR="00573BA7">
        <w:t xml:space="preserve"> </w:t>
      </w:r>
      <w:r>
        <w:t>work</w:t>
      </w:r>
      <w:r w:rsidR="00573BA7">
        <w:t xml:space="preserve"> </w:t>
      </w:r>
      <w:r>
        <w:t>on</w:t>
      </w:r>
      <w:r w:rsidR="00573BA7">
        <w:t xml:space="preserve"> </w:t>
      </w:r>
      <w:r>
        <w:t>an</w:t>
      </w:r>
      <w:r w:rsidR="00573BA7">
        <w:t xml:space="preserve"> </w:t>
      </w:r>
      <w:r>
        <w:t>equal</w:t>
      </w:r>
      <w:r w:rsidR="00573BA7">
        <w:t xml:space="preserve"> </w:t>
      </w:r>
      <w:r>
        <w:t>basis</w:t>
      </w:r>
      <w:r w:rsidR="00573BA7">
        <w:t xml:space="preserve"> </w:t>
      </w:r>
      <w:r>
        <w:t>with</w:t>
      </w:r>
      <w:r w:rsidR="00573BA7">
        <w:t xml:space="preserve"> </w:t>
      </w:r>
      <w:r>
        <w:t>others</w:t>
      </w:r>
      <w:r w:rsidR="00573BA7">
        <w:t xml:space="preserve"> </w:t>
      </w:r>
      <w:r>
        <w:t>includes</w:t>
      </w:r>
      <w:r w:rsidR="00573BA7">
        <w:t xml:space="preserve"> </w:t>
      </w:r>
      <w:r>
        <w:t>the</w:t>
      </w:r>
      <w:r w:rsidR="00573BA7">
        <w:t xml:space="preserve"> </w:t>
      </w:r>
      <w:r>
        <w:t>right</w:t>
      </w:r>
      <w:r w:rsidR="00573BA7">
        <w:t xml:space="preserve"> </w:t>
      </w:r>
      <w:r>
        <w:t>to</w:t>
      </w:r>
      <w:r w:rsidR="00573BA7">
        <w:t xml:space="preserve"> </w:t>
      </w:r>
      <w:r>
        <w:t>the</w:t>
      </w:r>
      <w:r w:rsidR="00573BA7">
        <w:t xml:space="preserve"> </w:t>
      </w:r>
      <w:r>
        <w:t>opportunity</w:t>
      </w:r>
      <w:r w:rsidR="00573BA7">
        <w:t xml:space="preserve"> </w:t>
      </w:r>
      <w:r>
        <w:t>to</w:t>
      </w:r>
      <w:r w:rsidR="00573BA7">
        <w:t xml:space="preserve"> </w:t>
      </w:r>
      <w:r>
        <w:t>gain</w:t>
      </w:r>
      <w:r w:rsidR="00573BA7">
        <w:t xml:space="preserve"> </w:t>
      </w:r>
      <w:r>
        <w:t>a</w:t>
      </w:r>
      <w:r w:rsidR="00573BA7">
        <w:t xml:space="preserve"> </w:t>
      </w:r>
      <w:r>
        <w:t>living</w:t>
      </w:r>
      <w:r w:rsidR="00573BA7">
        <w:t xml:space="preserve"> </w:t>
      </w:r>
      <w:r>
        <w:t>by</w:t>
      </w:r>
      <w:r w:rsidR="00573BA7">
        <w:t xml:space="preserve"> </w:t>
      </w:r>
      <w:r>
        <w:t>work</w:t>
      </w:r>
      <w:r w:rsidR="00573BA7">
        <w:t xml:space="preserve"> </w:t>
      </w:r>
      <w:r>
        <w:t>freely</w:t>
      </w:r>
      <w:r w:rsidR="00573BA7">
        <w:t xml:space="preserve"> </w:t>
      </w:r>
      <w:r>
        <w:t>chosen</w:t>
      </w:r>
      <w:r w:rsidR="00573BA7">
        <w:t xml:space="preserve"> </w:t>
      </w:r>
      <w:r>
        <w:t>or</w:t>
      </w:r>
      <w:r w:rsidR="00573BA7">
        <w:t xml:space="preserve"> </w:t>
      </w:r>
      <w:r>
        <w:t>accepted</w:t>
      </w:r>
      <w:r w:rsidR="00573BA7">
        <w:t xml:space="preserve"> </w:t>
      </w:r>
      <w:r>
        <w:t>in</w:t>
      </w:r>
      <w:r w:rsidR="00573BA7">
        <w:t xml:space="preserve"> </w:t>
      </w:r>
      <w:r>
        <w:t>a</w:t>
      </w:r>
      <w:r w:rsidR="00573BA7">
        <w:t xml:space="preserve"> </w:t>
      </w:r>
      <w:r>
        <w:t>labour</w:t>
      </w:r>
      <w:r w:rsidR="00573BA7">
        <w:t xml:space="preserve"> </w:t>
      </w:r>
      <w:r>
        <w:t>market</w:t>
      </w:r>
      <w:r w:rsidR="00573BA7">
        <w:t xml:space="preserve"> </w:t>
      </w:r>
      <w:r>
        <w:t>and</w:t>
      </w:r>
      <w:r w:rsidR="00573BA7">
        <w:t xml:space="preserve"> </w:t>
      </w:r>
      <w:r>
        <w:t>work</w:t>
      </w:r>
      <w:r w:rsidR="00573BA7">
        <w:t xml:space="preserve"> </w:t>
      </w:r>
      <w:r>
        <w:t>environment</w:t>
      </w:r>
      <w:r w:rsidR="00573BA7">
        <w:t xml:space="preserve"> </w:t>
      </w:r>
      <w:r>
        <w:t>that</w:t>
      </w:r>
      <w:r w:rsidR="00573BA7">
        <w:t xml:space="preserve"> </w:t>
      </w:r>
      <w:r>
        <w:t>is</w:t>
      </w:r>
      <w:r w:rsidR="00573BA7">
        <w:t xml:space="preserve"> </w:t>
      </w:r>
      <w:r>
        <w:t>open,</w:t>
      </w:r>
      <w:r w:rsidR="00573BA7">
        <w:t xml:space="preserve"> </w:t>
      </w:r>
      <w:r>
        <w:t>inclusive</w:t>
      </w:r>
      <w:r w:rsidR="00573BA7">
        <w:t xml:space="preserve"> </w:t>
      </w:r>
      <w:r>
        <w:t>and</w:t>
      </w:r>
      <w:r w:rsidR="00573BA7">
        <w:t xml:space="preserve"> </w:t>
      </w:r>
      <w:r>
        <w:t>accessible</w:t>
      </w:r>
      <w:r w:rsidR="00573BA7">
        <w:t xml:space="preserve"> </w:t>
      </w:r>
      <w:r>
        <w:t>to</w:t>
      </w:r>
      <w:r w:rsidR="00573BA7">
        <w:t xml:space="preserve"> </w:t>
      </w:r>
      <w:r>
        <w:t>people</w:t>
      </w:r>
      <w:r w:rsidR="00573BA7">
        <w:t xml:space="preserve"> </w:t>
      </w:r>
      <w:r>
        <w:t>with</w:t>
      </w:r>
      <w:r w:rsidR="00573BA7">
        <w:t xml:space="preserve"> </w:t>
      </w:r>
      <w:r>
        <w:t>disability.</w:t>
      </w:r>
      <w:r w:rsidR="00573BA7">
        <w:t xml:space="preserve"> </w:t>
      </w:r>
      <w:r>
        <w:t>An</w:t>
      </w:r>
      <w:r w:rsidR="00573BA7">
        <w:t xml:space="preserve"> </w:t>
      </w:r>
      <w:r>
        <w:t>‘open’</w:t>
      </w:r>
      <w:r w:rsidR="00573BA7">
        <w:t xml:space="preserve"> </w:t>
      </w:r>
      <w:r>
        <w:t>labour</w:t>
      </w:r>
      <w:r w:rsidR="00573BA7">
        <w:t xml:space="preserve"> </w:t>
      </w:r>
      <w:r>
        <w:t>market</w:t>
      </w:r>
      <w:r w:rsidR="00573BA7">
        <w:t xml:space="preserve"> </w:t>
      </w:r>
      <w:r>
        <w:t>can</w:t>
      </w:r>
      <w:r w:rsidR="00573BA7">
        <w:t xml:space="preserve"> </w:t>
      </w:r>
      <w:r>
        <w:t>be</w:t>
      </w:r>
      <w:r w:rsidR="00573BA7">
        <w:t xml:space="preserve"> </w:t>
      </w:r>
      <w:r>
        <w:t>contrasted</w:t>
      </w:r>
      <w:r w:rsidR="00573BA7">
        <w:t xml:space="preserve"> </w:t>
      </w:r>
      <w:r>
        <w:t>with</w:t>
      </w:r>
      <w:r w:rsidR="00573BA7">
        <w:t xml:space="preserve"> </w:t>
      </w:r>
      <w:r>
        <w:t>sheltered</w:t>
      </w:r>
      <w:r w:rsidR="00573BA7">
        <w:t xml:space="preserve"> </w:t>
      </w:r>
      <w:r>
        <w:t>employment,</w:t>
      </w:r>
      <w:r w:rsidR="00573BA7">
        <w:t xml:space="preserve"> </w:t>
      </w:r>
      <w:r>
        <w:t>like</w:t>
      </w:r>
      <w:r w:rsidR="00573BA7">
        <w:t xml:space="preserve"> </w:t>
      </w:r>
      <w:r>
        <w:t>that</w:t>
      </w:r>
      <w:r w:rsidR="00573BA7">
        <w:t xml:space="preserve"> </w:t>
      </w:r>
      <w:r>
        <w:t>offered</w:t>
      </w:r>
      <w:r w:rsidR="00573BA7">
        <w:t xml:space="preserve"> </w:t>
      </w:r>
      <w:r>
        <w:t>by</w:t>
      </w:r>
      <w:r w:rsidR="00573BA7">
        <w:t xml:space="preserve"> </w:t>
      </w:r>
      <w:r>
        <w:t>ADEs,</w:t>
      </w:r>
      <w:r w:rsidR="00573BA7">
        <w:t xml:space="preserve"> </w:t>
      </w:r>
      <w:r>
        <w:t>where</w:t>
      </w:r>
      <w:r w:rsidR="00573BA7">
        <w:t xml:space="preserve"> </w:t>
      </w:r>
      <w:r>
        <w:t>jobs</w:t>
      </w:r>
      <w:r w:rsidR="00573BA7">
        <w:t xml:space="preserve"> </w:t>
      </w:r>
      <w:r>
        <w:t>and</w:t>
      </w:r>
      <w:r w:rsidR="00573BA7">
        <w:t xml:space="preserve"> </w:t>
      </w:r>
      <w:r>
        <w:t>wages</w:t>
      </w:r>
      <w:r w:rsidR="00573BA7">
        <w:t xml:space="preserve"> </w:t>
      </w:r>
      <w:r>
        <w:t>are</w:t>
      </w:r>
      <w:r w:rsidR="00573BA7">
        <w:t xml:space="preserve"> </w:t>
      </w:r>
      <w:r>
        <w:t>allocated</w:t>
      </w:r>
      <w:r w:rsidR="00573BA7">
        <w:t xml:space="preserve"> </w:t>
      </w:r>
      <w:r>
        <w:t>specifically</w:t>
      </w:r>
      <w:r w:rsidR="00573BA7">
        <w:t xml:space="preserve"> </w:t>
      </w:r>
      <w:r>
        <w:t>on</w:t>
      </w:r>
      <w:r w:rsidR="00573BA7">
        <w:t xml:space="preserve"> </w:t>
      </w:r>
      <w:r>
        <w:t>the</w:t>
      </w:r>
      <w:r w:rsidR="00573BA7">
        <w:t xml:space="preserve"> </w:t>
      </w:r>
      <w:r>
        <w:t>basis</w:t>
      </w:r>
      <w:r w:rsidR="00573BA7">
        <w:t xml:space="preserve"> </w:t>
      </w:r>
      <w:r>
        <w:t>of</w:t>
      </w:r>
      <w:r w:rsidR="00573BA7">
        <w:t xml:space="preserve"> </w:t>
      </w:r>
      <w:r>
        <w:t>disability.</w:t>
      </w:r>
      <w:r w:rsidR="00573BA7">
        <w:t xml:space="preserve">  </w:t>
      </w:r>
    </w:p>
    <w:p w14:paraId="6B58EA1E" w14:textId="3DA90D9E" w:rsidR="005521C8" w:rsidRDefault="005521C8" w:rsidP="008A7EB0">
      <w:pPr>
        <w:pStyle w:val="ListNumber"/>
        <w:rPr>
          <w:lang w:eastAsia="en-GB"/>
        </w:rPr>
      </w:pPr>
      <w:r>
        <w:t>The</w:t>
      </w:r>
      <w:r w:rsidR="00573BA7">
        <w:t xml:space="preserve"> </w:t>
      </w:r>
      <w:r>
        <w:t>CRPD</w:t>
      </w:r>
      <w:r w:rsidR="00573BA7">
        <w:t xml:space="preserve"> </w:t>
      </w:r>
      <w:r>
        <w:t>Committee</w:t>
      </w:r>
      <w:r w:rsidR="00573BA7">
        <w:t xml:space="preserve"> </w:t>
      </w:r>
      <w:r>
        <w:t>has</w:t>
      </w:r>
      <w:r w:rsidR="00573BA7">
        <w:t xml:space="preserve"> </w:t>
      </w:r>
      <w:r>
        <w:t>repeatedly</w:t>
      </w:r>
      <w:r w:rsidR="00573BA7">
        <w:t xml:space="preserve"> </w:t>
      </w:r>
      <w:r>
        <w:t>expressed</w:t>
      </w:r>
      <w:r w:rsidR="00573BA7">
        <w:t xml:space="preserve"> </w:t>
      </w:r>
      <w:r>
        <w:t>concerns</w:t>
      </w:r>
      <w:r w:rsidR="00573BA7">
        <w:t xml:space="preserve"> </w:t>
      </w:r>
      <w:r>
        <w:t>about</w:t>
      </w:r>
      <w:r w:rsidR="00573BA7">
        <w:t xml:space="preserve"> </w:t>
      </w:r>
      <w:r>
        <w:t>the</w:t>
      </w:r>
      <w:r w:rsidR="00573BA7">
        <w:t xml:space="preserve"> </w:t>
      </w:r>
      <w:r>
        <w:t>ineffectiveness</w:t>
      </w:r>
      <w:r w:rsidR="00573BA7">
        <w:t xml:space="preserve"> </w:t>
      </w:r>
      <w:r>
        <w:t>of</w:t>
      </w:r>
      <w:r w:rsidR="00573BA7">
        <w:t xml:space="preserve"> </w:t>
      </w:r>
      <w:r>
        <w:t>sheltered</w:t>
      </w:r>
      <w:r w:rsidR="00573BA7">
        <w:t xml:space="preserve"> </w:t>
      </w:r>
      <w:r>
        <w:t>employment</w:t>
      </w:r>
      <w:r w:rsidR="00573BA7">
        <w:t xml:space="preserve"> </w:t>
      </w:r>
      <w:r>
        <w:t>in</w:t>
      </w:r>
      <w:r w:rsidR="00573BA7">
        <w:t xml:space="preserve"> </w:t>
      </w:r>
      <w:r>
        <w:t>promoting</w:t>
      </w:r>
      <w:r w:rsidR="00573BA7">
        <w:t xml:space="preserve"> </w:t>
      </w:r>
      <w:r w:rsidR="00373BC7">
        <w:t>the</w:t>
      </w:r>
      <w:r w:rsidR="00573BA7">
        <w:t xml:space="preserve"> </w:t>
      </w:r>
      <w:r w:rsidR="00373BC7">
        <w:t>participation</w:t>
      </w:r>
      <w:r w:rsidR="00573BA7">
        <w:t xml:space="preserve"> </w:t>
      </w:r>
      <w:r>
        <w:t>of</w:t>
      </w:r>
      <w:r w:rsidR="00573BA7">
        <w:t xml:space="preserve"> </w:t>
      </w:r>
      <w:r>
        <w:t>people</w:t>
      </w:r>
      <w:r w:rsidR="00573BA7">
        <w:t xml:space="preserve"> </w:t>
      </w:r>
      <w:r>
        <w:t>with</w:t>
      </w:r>
      <w:r w:rsidR="00573BA7">
        <w:t xml:space="preserve"> </w:t>
      </w:r>
      <w:r>
        <w:t>disability</w:t>
      </w:r>
      <w:r w:rsidR="00573BA7">
        <w:t xml:space="preserve"> </w:t>
      </w:r>
      <w:r>
        <w:t>in</w:t>
      </w:r>
      <w:r w:rsidR="00573BA7">
        <w:t xml:space="preserve"> </w:t>
      </w:r>
      <w:r>
        <w:t>the</w:t>
      </w:r>
      <w:r w:rsidR="00573BA7">
        <w:t xml:space="preserve"> </w:t>
      </w:r>
      <w:r>
        <w:t>open</w:t>
      </w:r>
      <w:r w:rsidR="00573BA7">
        <w:t xml:space="preserve"> </w:t>
      </w:r>
      <w:r>
        <w:t>labour</w:t>
      </w:r>
      <w:r w:rsidR="00573BA7">
        <w:t xml:space="preserve"> </w:t>
      </w:r>
      <w:r>
        <w:t>market.</w:t>
      </w:r>
      <w:r>
        <w:rPr>
          <w:rStyle w:val="EndnoteReference"/>
        </w:rPr>
        <w:endnoteReference w:id="112"/>
      </w:r>
      <w:r w:rsidR="00573BA7">
        <w:t xml:space="preserve">  </w:t>
      </w:r>
      <w:r w:rsidRPr="003E17DF">
        <w:t>Such</w:t>
      </w:r>
      <w:r w:rsidR="00573BA7">
        <w:t xml:space="preserve"> </w:t>
      </w:r>
      <w:r w:rsidRPr="003E17DF">
        <w:t>concerns</w:t>
      </w:r>
      <w:r w:rsidR="00573BA7">
        <w:t xml:space="preserve"> </w:t>
      </w:r>
      <w:r w:rsidRPr="003E17DF">
        <w:t>have</w:t>
      </w:r>
      <w:r w:rsidR="00573BA7">
        <w:t xml:space="preserve"> </w:t>
      </w:r>
      <w:r w:rsidRPr="003E17DF">
        <w:t>been</w:t>
      </w:r>
      <w:r w:rsidR="00573BA7">
        <w:t xml:space="preserve"> </w:t>
      </w:r>
      <w:r w:rsidRPr="003E17DF">
        <w:t>expressed</w:t>
      </w:r>
      <w:r w:rsidR="00573BA7">
        <w:t xml:space="preserve"> </w:t>
      </w:r>
      <w:r w:rsidRPr="003E17DF">
        <w:t>explicitly</w:t>
      </w:r>
      <w:r w:rsidR="00573BA7">
        <w:t xml:space="preserve"> </w:t>
      </w:r>
      <w:r w:rsidRPr="003E17DF">
        <w:t>in</w:t>
      </w:r>
      <w:r w:rsidR="00573BA7">
        <w:t xml:space="preserve"> </w:t>
      </w:r>
      <w:r w:rsidR="00465EE1">
        <w:t>relation to</w:t>
      </w:r>
      <w:r w:rsidR="00573BA7">
        <w:t xml:space="preserve"> </w:t>
      </w:r>
      <w:r w:rsidRPr="003E17DF">
        <w:t>ADEs</w:t>
      </w:r>
      <w:r w:rsidR="00465EE1">
        <w:t xml:space="preserve"> in Australia</w:t>
      </w:r>
      <w:r w:rsidRPr="003E17DF">
        <w:t>.</w:t>
      </w:r>
      <w:r w:rsidRPr="003E17DF">
        <w:rPr>
          <w:rStyle w:val="EndnoteReference"/>
        </w:rPr>
        <w:endnoteReference w:id="113"/>
      </w:r>
      <w:r w:rsidR="00573BA7">
        <w:t xml:space="preserve">  </w:t>
      </w:r>
      <w:r w:rsidRPr="003E17DF">
        <w:t>In</w:t>
      </w:r>
      <w:r w:rsidR="00573BA7">
        <w:t xml:space="preserve"> </w:t>
      </w:r>
      <w:r w:rsidRPr="003E17DF">
        <w:t>its</w:t>
      </w:r>
      <w:r w:rsidR="00573BA7">
        <w:t xml:space="preserve"> </w:t>
      </w:r>
      <w:r w:rsidRPr="003E17DF">
        <w:t>most</w:t>
      </w:r>
      <w:r w:rsidR="00573BA7">
        <w:t xml:space="preserve"> </w:t>
      </w:r>
      <w:r w:rsidRPr="003E17DF">
        <w:t>recent</w:t>
      </w:r>
      <w:r w:rsidR="00573BA7">
        <w:t xml:space="preserve"> </w:t>
      </w:r>
      <w:r w:rsidRPr="003E17DF">
        <w:t>Concluding</w:t>
      </w:r>
      <w:r w:rsidR="00573BA7">
        <w:t xml:space="preserve"> </w:t>
      </w:r>
      <w:r w:rsidRPr="003E17DF">
        <w:t>Observations</w:t>
      </w:r>
      <w:r w:rsidR="00573BA7">
        <w:t xml:space="preserve"> </w:t>
      </w:r>
      <w:r w:rsidRPr="003E17DF">
        <w:t>on</w:t>
      </w:r>
      <w:r w:rsidR="00573BA7">
        <w:t xml:space="preserve"> </w:t>
      </w:r>
      <w:r w:rsidRPr="003E17DF">
        <w:t>Australia,</w:t>
      </w:r>
      <w:r w:rsidR="00573BA7">
        <w:t xml:space="preserve"> </w:t>
      </w:r>
      <w:r w:rsidRPr="003E17DF">
        <w:t>the</w:t>
      </w:r>
      <w:r w:rsidR="00573BA7">
        <w:t xml:space="preserve"> </w:t>
      </w:r>
      <w:r w:rsidRPr="003E17DF">
        <w:t>CRPD</w:t>
      </w:r>
      <w:r w:rsidR="00573BA7">
        <w:t xml:space="preserve"> </w:t>
      </w:r>
      <w:r w:rsidRPr="003E17DF">
        <w:t>Committee</w:t>
      </w:r>
      <w:r w:rsidR="00573BA7">
        <w:t xml:space="preserve"> </w:t>
      </w:r>
      <w:r w:rsidRPr="003E17DF">
        <w:t>stated</w:t>
      </w:r>
      <w:r w:rsidR="00573BA7">
        <w:t xml:space="preserve"> </w:t>
      </w:r>
      <w:r w:rsidRPr="003E17DF">
        <w:t>that</w:t>
      </w:r>
      <w:r w:rsidR="00573BA7">
        <w:t xml:space="preserve"> </w:t>
      </w:r>
      <w:r w:rsidRPr="003E17DF">
        <w:t>it</w:t>
      </w:r>
      <w:r w:rsidR="00573BA7">
        <w:t xml:space="preserve"> </w:t>
      </w:r>
      <w:r w:rsidR="4EBDF2CC" w:rsidRPr="003E17DF">
        <w:t>was</w:t>
      </w:r>
      <w:r w:rsidR="00573BA7">
        <w:t xml:space="preserve"> </w:t>
      </w:r>
      <w:r w:rsidRPr="003E17DF">
        <w:t>concerned</w:t>
      </w:r>
      <w:r w:rsidR="00573BA7">
        <w:t xml:space="preserve"> </w:t>
      </w:r>
      <w:r w:rsidRPr="003E17DF">
        <w:t>about</w:t>
      </w:r>
      <w:r w:rsidR="00573BA7">
        <w:t xml:space="preserve"> </w:t>
      </w:r>
      <w:r w:rsidRPr="003E17DF">
        <w:t>both</w:t>
      </w:r>
      <w:r w:rsidR="00573BA7">
        <w:t xml:space="preserve"> </w:t>
      </w:r>
      <w:r w:rsidRPr="003E17DF">
        <w:t>‘[t]he</w:t>
      </w:r>
      <w:r w:rsidR="00573BA7">
        <w:t xml:space="preserve"> </w:t>
      </w:r>
      <w:r w:rsidRPr="003E17DF">
        <w:t>low</w:t>
      </w:r>
      <w:r w:rsidR="00573BA7">
        <w:t xml:space="preserve"> </w:t>
      </w:r>
      <w:r w:rsidRPr="003E17DF">
        <w:t>labour</w:t>
      </w:r>
      <w:r w:rsidR="00573BA7">
        <w:t xml:space="preserve"> </w:t>
      </w:r>
      <w:r w:rsidRPr="003E17DF">
        <w:t>force</w:t>
      </w:r>
      <w:r w:rsidR="00573BA7">
        <w:t xml:space="preserve"> </w:t>
      </w:r>
      <w:r w:rsidRPr="003E17DF">
        <w:t>participation</w:t>
      </w:r>
      <w:r w:rsidR="00573BA7">
        <w:t xml:space="preserve"> </w:t>
      </w:r>
      <w:r w:rsidRPr="003E17DF">
        <w:t>of</w:t>
      </w:r>
      <w:r w:rsidR="00573BA7">
        <w:t xml:space="preserve"> </w:t>
      </w:r>
      <w:r>
        <w:t>people</w:t>
      </w:r>
      <w:r w:rsidR="00573BA7">
        <w:t xml:space="preserve"> </w:t>
      </w:r>
      <w:r>
        <w:t>with</w:t>
      </w:r>
      <w:r w:rsidR="00573BA7">
        <w:t xml:space="preserve"> </w:t>
      </w:r>
      <w:r>
        <w:t>disability</w:t>
      </w:r>
      <w:r w:rsidRPr="003E17DF">
        <w:t>’</w:t>
      </w:r>
      <w:r w:rsidR="00573BA7">
        <w:t xml:space="preserve"> </w:t>
      </w:r>
      <w:r w:rsidRPr="003E17DF">
        <w:t>and</w:t>
      </w:r>
      <w:r w:rsidR="00573BA7">
        <w:t xml:space="preserve"> </w:t>
      </w:r>
      <w:r w:rsidRPr="003E17DF">
        <w:t>‘the</w:t>
      </w:r>
      <w:r w:rsidR="00573BA7">
        <w:t xml:space="preserve"> </w:t>
      </w:r>
      <w:r w:rsidRPr="003E17DF">
        <w:t>ongoing</w:t>
      </w:r>
      <w:r w:rsidR="00573BA7">
        <w:t xml:space="preserve"> </w:t>
      </w:r>
      <w:r w:rsidRPr="003E17DF">
        <w:t>segregation</w:t>
      </w:r>
      <w:r w:rsidR="00573BA7">
        <w:t xml:space="preserve"> </w:t>
      </w:r>
      <w:r w:rsidRPr="003E17DF">
        <w:t>of</w:t>
      </w:r>
      <w:r w:rsidR="00573BA7">
        <w:t xml:space="preserve"> </w:t>
      </w:r>
      <w:r>
        <w:t>people</w:t>
      </w:r>
      <w:r w:rsidR="00573BA7">
        <w:t xml:space="preserve"> </w:t>
      </w:r>
      <w:r>
        <w:t>with</w:t>
      </w:r>
      <w:r w:rsidR="00573BA7">
        <w:t xml:space="preserve"> </w:t>
      </w:r>
      <w:r>
        <w:t>disability</w:t>
      </w:r>
      <w:r w:rsidR="00573BA7">
        <w:t xml:space="preserve"> </w:t>
      </w:r>
      <w:r w:rsidRPr="003E17DF">
        <w:t>employed</w:t>
      </w:r>
      <w:r w:rsidR="00573BA7">
        <w:t xml:space="preserve"> </w:t>
      </w:r>
      <w:r w:rsidRPr="003E17DF">
        <w:t>through</w:t>
      </w:r>
      <w:r w:rsidR="00573BA7">
        <w:t xml:space="preserve"> </w:t>
      </w:r>
      <w:r w:rsidRPr="003E17DF">
        <w:t>Australian</w:t>
      </w:r>
      <w:r w:rsidR="00573BA7">
        <w:t xml:space="preserve"> </w:t>
      </w:r>
      <w:r w:rsidRPr="003E17DF">
        <w:t>Disability</w:t>
      </w:r>
      <w:r w:rsidR="00573BA7">
        <w:t xml:space="preserve"> </w:t>
      </w:r>
      <w:r w:rsidRPr="003E17DF">
        <w:t>Enterprises</w:t>
      </w:r>
      <w:r w:rsidR="00573BA7">
        <w:t xml:space="preserve"> </w:t>
      </w:r>
      <w:r w:rsidRPr="003E17DF">
        <w:t>and</w:t>
      </w:r>
      <w:r w:rsidR="00573BA7">
        <w:t xml:space="preserve"> </w:t>
      </w:r>
      <w:r w:rsidRPr="003E17DF">
        <w:t>the</w:t>
      </w:r>
      <w:r w:rsidR="00573BA7">
        <w:t xml:space="preserve"> </w:t>
      </w:r>
      <w:r w:rsidRPr="003E17DF">
        <w:t>fact</w:t>
      </w:r>
      <w:r w:rsidR="00573BA7">
        <w:t xml:space="preserve"> </w:t>
      </w:r>
      <w:r w:rsidRPr="003E17DF">
        <w:t>that</w:t>
      </w:r>
      <w:r w:rsidR="00573BA7">
        <w:t xml:space="preserve"> </w:t>
      </w:r>
      <w:r w:rsidRPr="003E17DF">
        <w:t>such</w:t>
      </w:r>
      <w:r w:rsidR="00573BA7">
        <w:t xml:space="preserve"> </w:t>
      </w:r>
      <w:r w:rsidRPr="003E17DF">
        <w:t>persons</w:t>
      </w:r>
      <w:r w:rsidR="00573BA7">
        <w:t xml:space="preserve"> </w:t>
      </w:r>
      <w:r w:rsidRPr="003E17DF">
        <w:t>receive</w:t>
      </w:r>
      <w:r w:rsidR="00573BA7">
        <w:t xml:space="preserve"> </w:t>
      </w:r>
      <w:r w:rsidRPr="003E17DF">
        <w:t>a</w:t>
      </w:r>
      <w:r w:rsidR="00573BA7">
        <w:t xml:space="preserve"> </w:t>
      </w:r>
      <w:r w:rsidRPr="003E17DF">
        <w:t>sub-minimum</w:t>
      </w:r>
      <w:r w:rsidR="00573BA7">
        <w:t xml:space="preserve"> </w:t>
      </w:r>
      <w:r w:rsidRPr="003E17DF">
        <w:t>wage’.</w:t>
      </w:r>
      <w:r w:rsidRPr="003E17DF">
        <w:rPr>
          <w:rStyle w:val="EndnoteReference"/>
        </w:rPr>
        <w:endnoteReference w:id="114"/>
      </w:r>
    </w:p>
    <w:p w14:paraId="4D1A68D3" w14:textId="3796D48D" w:rsidR="005521C8" w:rsidRPr="001700FC" w:rsidRDefault="005521C8" w:rsidP="005521C8">
      <w:pPr>
        <w:pStyle w:val="ListNumber"/>
      </w:pPr>
      <w:r>
        <w:t>The</w:t>
      </w:r>
      <w:r w:rsidR="00573BA7">
        <w:t xml:space="preserve"> </w:t>
      </w:r>
      <w:r w:rsidR="00D56988">
        <w:t>CRPD</w:t>
      </w:r>
      <w:r w:rsidR="00573BA7">
        <w:t xml:space="preserve"> </w:t>
      </w:r>
      <w:r>
        <w:t>Committee’s</w:t>
      </w:r>
      <w:r w:rsidR="00573BA7">
        <w:t xml:space="preserve"> </w:t>
      </w:r>
      <w:r>
        <w:t>concerns</w:t>
      </w:r>
      <w:r w:rsidR="00573BA7">
        <w:t xml:space="preserve"> </w:t>
      </w:r>
      <w:r>
        <w:t>regarding</w:t>
      </w:r>
      <w:r w:rsidR="00573BA7">
        <w:t xml:space="preserve"> </w:t>
      </w:r>
      <w:r>
        <w:t>sheltered</w:t>
      </w:r>
      <w:r w:rsidR="00573BA7">
        <w:t xml:space="preserve"> </w:t>
      </w:r>
      <w:r>
        <w:t>employment</w:t>
      </w:r>
      <w:r w:rsidR="00573BA7">
        <w:t xml:space="preserve"> </w:t>
      </w:r>
      <w:r>
        <w:t>(like</w:t>
      </w:r>
      <w:r w:rsidR="00573BA7">
        <w:t xml:space="preserve"> </w:t>
      </w:r>
      <w:r>
        <w:t>ADEs)</w:t>
      </w:r>
      <w:r w:rsidR="00573BA7">
        <w:t xml:space="preserve"> </w:t>
      </w:r>
      <w:r>
        <w:t>in</w:t>
      </w:r>
      <w:r w:rsidR="00573BA7">
        <w:t xml:space="preserve"> </w:t>
      </w:r>
      <w:r>
        <w:t>the</w:t>
      </w:r>
      <w:r w:rsidR="00573BA7">
        <w:t xml:space="preserve"> </w:t>
      </w:r>
      <w:r>
        <w:t>context</w:t>
      </w:r>
      <w:r w:rsidR="00573BA7">
        <w:t xml:space="preserve"> </w:t>
      </w:r>
      <w:r>
        <w:t>of</w:t>
      </w:r>
      <w:r w:rsidR="00573BA7">
        <w:t xml:space="preserve"> </w:t>
      </w:r>
      <w:r>
        <w:t>Article</w:t>
      </w:r>
      <w:r w:rsidR="00573BA7">
        <w:t xml:space="preserve"> </w:t>
      </w:r>
      <w:r>
        <w:t>27</w:t>
      </w:r>
      <w:r w:rsidR="00573BA7">
        <w:t xml:space="preserve"> </w:t>
      </w:r>
      <w:r>
        <w:t>of</w:t>
      </w:r>
      <w:r w:rsidR="00573BA7">
        <w:t xml:space="preserve"> </w:t>
      </w:r>
      <w:r>
        <w:t>the</w:t>
      </w:r>
      <w:r w:rsidR="00573BA7">
        <w:t xml:space="preserve"> </w:t>
      </w:r>
      <w:r w:rsidR="00D56988">
        <w:t>CRPD</w:t>
      </w:r>
      <w:r w:rsidR="00573BA7">
        <w:t xml:space="preserve"> </w:t>
      </w:r>
      <w:r>
        <w:t>are</w:t>
      </w:r>
      <w:r w:rsidR="00573BA7">
        <w:t xml:space="preserve"> </w:t>
      </w:r>
      <w:r>
        <w:t>shared</w:t>
      </w:r>
      <w:r w:rsidR="00573BA7">
        <w:t xml:space="preserve"> </w:t>
      </w:r>
      <w:r>
        <w:t>by</w:t>
      </w:r>
      <w:r w:rsidR="00573BA7">
        <w:t xml:space="preserve"> </w:t>
      </w:r>
      <w:r>
        <w:t>the</w:t>
      </w:r>
      <w:r w:rsidR="00573BA7">
        <w:t xml:space="preserve"> </w:t>
      </w:r>
      <w:r>
        <w:t>CESCR.</w:t>
      </w:r>
      <w:r w:rsidR="00573BA7">
        <w:t xml:space="preserve">  </w:t>
      </w:r>
      <w:r>
        <w:t>For</w:t>
      </w:r>
      <w:r w:rsidR="00573BA7">
        <w:t xml:space="preserve"> </w:t>
      </w:r>
      <w:r>
        <w:t>example,</w:t>
      </w:r>
      <w:r w:rsidR="00573BA7">
        <w:t xml:space="preserve"> </w:t>
      </w:r>
      <w:r>
        <w:t>the</w:t>
      </w:r>
      <w:r w:rsidR="00573BA7">
        <w:t xml:space="preserve"> </w:t>
      </w:r>
      <w:r>
        <w:t>CESCR</w:t>
      </w:r>
      <w:r w:rsidR="00573BA7">
        <w:t xml:space="preserve"> </w:t>
      </w:r>
      <w:r>
        <w:t>has</w:t>
      </w:r>
      <w:r w:rsidR="00573BA7">
        <w:t xml:space="preserve"> </w:t>
      </w:r>
      <w:r>
        <w:t>commented</w:t>
      </w:r>
      <w:r w:rsidR="00573BA7">
        <w:t xml:space="preserve"> </w:t>
      </w:r>
      <w:r>
        <w:t>that</w:t>
      </w:r>
      <w:r w:rsidR="00573BA7">
        <w:t xml:space="preserve"> </w:t>
      </w:r>
      <w:r>
        <w:t>the</w:t>
      </w:r>
      <w:r w:rsidR="00573BA7">
        <w:t xml:space="preserve"> </w:t>
      </w:r>
      <w:r>
        <w:t>‘right</w:t>
      </w:r>
      <w:r w:rsidR="00573BA7">
        <w:t xml:space="preserve"> </w:t>
      </w:r>
      <w:r>
        <w:t>of</w:t>
      </w:r>
      <w:r w:rsidR="00573BA7">
        <w:t xml:space="preserve"> </w:t>
      </w:r>
      <w:r>
        <w:t>everyone</w:t>
      </w:r>
      <w:r w:rsidR="00573BA7">
        <w:t xml:space="preserve"> </w:t>
      </w:r>
      <w:r>
        <w:t>to</w:t>
      </w:r>
      <w:r w:rsidR="00573BA7">
        <w:t xml:space="preserve"> </w:t>
      </w:r>
      <w:r>
        <w:t>the</w:t>
      </w:r>
      <w:r w:rsidR="00573BA7">
        <w:t xml:space="preserve"> </w:t>
      </w:r>
      <w:r>
        <w:t>opportunity</w:t>
      </w:r>
      <w:r w:rsidR="00573BA7">
        <w:t xml:space="preserve"> </w:t>
      </w:r>
      <w:r>
        <w:t>to</w:t>
      </w:r>
      <w:r w:rsidR="00573BA7">
        <w:t xml:space="preserve"> </w:t>
      </w:r>
      <w:r>
        <w:t>gain</w:t>
      </w:r>
      <w:r w:rsidR="00573BA7">
        <w:t xml:space="preserve"> </w:t>
      </w:r>
      <w:r>
        <w:t>[their]</w:t>
      </w:r>
      <w:r w:rsidR="00573BA7">
        <w:t xml:space="preserve"> </w:t>
      </w:r>
      <w:r>
        <w:t>living</w:t>
      </w:r>
      <w:r w:rsidR="00573BA7">
        <w:t xml:space="preserve"> </w:t>
      </w:r>
      <w:r>
        <w:t>by</w:t>
      </w:r>
      <w:r w:rsidR="00573BA7">
        <w:t xml:space="preserve"> </w:t>
      </w:r>
      <w:r>
        <w:t>work</w:t>
      </w:r>
      <w:r w:rsidR="00573BA7">
        <w:t xml:space="preserve"> </w:t>
      </w:r>
      <w:r>
        <w:t>which</w:t>
      </w:r>
      <w:r w:rsidR="00573BA7">
        <w:t xml:space="preserve"> </w:t>
      </w:r>
      <w:r>
        <w:t>[they]</w:t>
      </w:r>
      <w:r w:rsidR="00573BA7">
        <w:t xml:space="preserve"> </w:t>
      </w:r>
      <w:r>
        <w:t>freely</w:t>
      </w:r>
      <w:r w:rsidR="00573BA7">
        <w:t xml:space="preserve"> </w:t>
      </w:r>
      <w:r>
        <w:t>[choose</w:t>
      </w:r>
      <w:r w:rsidR="00573BA7">
        <w:t xml:space="preserve"> </w:t>
      </w:r>
      <w:r>
        <w:t>or</w:t>
      </w:r>
      <w:r w:rsidR="00573BA7">
        <w:t xml:space="preserve"> </w:t>
      </w:r>
      <w:r>
        <w:t>accept]’</w:t>
      </w:r>
      <w:r w:rsidR="00573BA7">
        <w:t xml:space="preserve"> </w:t>
      </w:r>
      <w:r>
        <w:t>in</w:t>
      </w:r>
      <w:r w:rsidR="00573BA7">
        <w:t xml:space="preserve"> </w:t>
      </w:r>
      <w:r w:rsidRPr="001700FC">
        <w:t>article</w:t>
      </w:r>
      <w:r w:rsidR="00573BA7" w:rsidRPr="001700FC">
        <w:t xml:space="preserve"> </w:t>
      </w:r>
      <w:r w:rsidRPr="001700FC">
        <w:t>6(1)</w:t>
      </w:r>
      <w:r w:rsidR="00573BA7" w:rsidRPr="001700FC">
        <w:t xml:space="preserve"> </w:t>
      </w:r>
      <w:r w:rsidRPr="001700FC">
        <w:t>of</w:t>
      </w:r>
      <w:r w:rsidR="00573BA7" w:rsidRPr="001700FC">
        <w:t xml:space="preserve"> </w:t>
      </w:r>
      <w:r w:rsidRPr="001700FC">
        <w:t>ICESCR</w:t>
      </w:r>
      <w:r w:rsidR="00573BA7" w:rsidRPr="001700FC">
        <w:t xml:space="preserve"> </w:t>
      </w:r>
      <w:r w:rsidRPr="001700FC">
        <w:t>‘is</w:t>
      </w:r>
      <w:r w:rsidR="00573BA7" w:rsidRPr="001700FC">
        <w:t xml:space="preserve"> </w:t>
      </w:r>
      <w:r w:rsidRPr="001700FC">
        <w:t>not</w:t>
      </w:r>
      <w:r w:rsidR="00573BA7" w:rsidRPr="001700FC">
        <w:t xml:space="preserve"> </w:t>
      </w:r>
      <w:r w:rsidRPr="001700FC">
        <w:t>realized</w:t>
      </w:r>
      <w:r w:rsidR="00573BA7" w:rsidRPr="001700FC">
        <w:t xml:space="preserve"> </w:t>
      </w:r>
      <w:r w:rsidRPr="001700FC">
        <w:t>where</w:t>
      </w:r>
      <w:r w:rsidR="00573BA7" w:rsidRPr="001700FC">
        <w:t xml:space="preserve"> </w:t>
      </w:r>
      <w:r w:rsidRPr="001700FC">
        <w:t>the</w:t>
      </w:r>
      <w:r w:rsidR="00573BA7" w:rsidRPr="001700FC">
        <w:t xml:space="preserve"> </w:t>
      </w:r>
      <w:r w:rsidRPr="001700FC">
        <w:t>only</w:t>
      </w:r>
      <w:r w:rsidR="00573BA7" w:rsidRPr="001700FC">
        <w:t xml:space="preserve"> </w:t>
      </w:r>
      <w:r w:rsidRPr="001700FC">
        <w:t>real</w:t>
      </w:r>
      <w:r w:rsidR="00573BA7" w:rsidRPr="001700FC">
        <w:t xml:space="preserve"> </w:t>
      </w:r>
      <w:r w:rsidRPr="001700FC">
        <w:lastRenderedPageBreak/>
        <w:t>opportunity</w:t>
      </w:r>
      <w:r w:rsidR="00573BA7" w:rsidRPr="001700FC">
        <w:t xml:space="preserve"> </w:t>
      </w:r>
      <w:r w:rsidRPr="001700FC">
        <w:t>open</w:t>
      </w:r>
      <w:r w:rsidR="00573BA7" w:rsidRPr="001700FC">
        <w:t xml:space="preserve"> </w:t>
      </w:r>
      <w:r w:rsidRPr="001700FC">
        <w:t>to</w:t>
      </w:r>
      <w:r w:rsidR="00573BA7" w:rsidRPr="001700FC">
        <w:t xml:space="preserve"> </w:t>
      </w:r>
      <w:r w:rsidRPr="001700FC">
        <w:t>[people</w:t>
      </w:r>
      <w:r w:rsidR="00573BA7" w:rsidRPr="001700FC">
        <w:t xml:space="preserve"> </w:t>
      </w:r>
      <w:r w:rsidRPr="001700FC">
        <w:t>with</w:t>
      </w:r>
      <w:r w:rsidR="00573BA7" w:rsidRPr="001700FC">
        <w:t xml:space="preserve"> </w:t>
      </w:r>
      <w:r w:rsidRPr="001700FC">
        <w:t>disability]</w:t>
      </w:r>
      <w:r w:rsidR="00573BA7" w:rsidRPr="001700FC">
        <w:t xml:space="preserve"> </w:t>
      </w:r>
      <w:r w:rsidRPr="001700FC">
        <w:t>is</w:t>
      </w:r>
      <w:r w:rsidR="00573BA7" w:rsidRPr="001700FC">
        <w:t xml:space="preserve"> </w:t>
      </w:r>
      <w:r w:rsidRPr="001700FC">
        <w:t>to</w:t>
      </w:r>
      <w:r w:rsidR="00573BA7" w:rsidRPr="001700FC">
        <w:t xml:space="preserve"> </w:t>
      </w:r>
      <w:r w:rsidRPr="001700FC">
        <w:t>work</w:t>
      </w:r>
      <w:r w:rsidR="00573BA7" w:rsidRPr="001700FC">
        <w:t xml:space="preserve"> </w:t>
      </w:r>
      <w:r w:rsidRPr="001700FC">
        <w:t>in</w:t>
      </w:r>
      <w:r w:rsidR="00573BA7" w:rsidRPr="001700FC">
        <w:t xml:space="preserve"> </w:t>
      </w:r>
      <w:r w:rsidRPr="001700FC">
        <w:t>so-called</w:t>
      </w:r>
      <w:r w:rsidR="00573BA7" w:rsidRPr="001700FC">
        <w:t xml:space="preserve"> </w:t>
      </w:r>
      <w:r w:rsidRPr="001700FC">
        <w:t>“sheltered”</w:t>
      </w:r>
      <w:r w:rsidR="00573BA7" w:rsidRPr="001700FC">
        <w:t xml:space="preserve"> </w:t>
      </w:r>
      <w:r w:rsidRPr="001700FC">
        <w:t>facilities</w:t>
      </w:r>
      <w:r w:rsidR="00573BA7" w:rsidRPr="001700FC">
        <w:t xml:space="preserve"> </w:t>
      </w:r>
      <w:r w:rsidRPr="001700FC">
        <w:t>under</w:t>
      </w:r>
      <w:r w:rsidR="00573BA7" w:rsidRPr="001700FC">
        <w:t xml:space="preserve"> </w:t>
      </w:r>
      <w:r w:rsidRPr="001700FC">
        <w:t>sub-standard</w:t>
      </w:r>
      <w:r w:rsidR="00573BA7" w:rsidRPr="001700FC">
        <w:t xml:space="preserve"> </w:t>
      </w:r>
      <w:r w:rsidRPr="001700FC">
        <w:t>conditions’.</w:t>
      </w:r>
      <w:r w:rsidR="008B742E">
        <w:rPr>
          <w:rStyle w:val="EndnoteReference"/>
        </w:rPr>
        <w:endnoteReference w:id="115"/>
      </w:r>
    </w:p>
    <w:p w14:paraId="56069E9E" w14:textId="73022165" w:rsidR="00A01742" w:rsidRPr="001700FC" w:rsidRDefault="00573BA7" w:rsidP="005521C8">
      <w:pPr>
        <w:pStyle w:val="ListNumber"/>
        <w:rPr>
          <w:lang w:eastAsia="en-GB"/>
        </w:rPr>
      </w:pPr>
      <w:r w:rsidRPr="001700FC">
        <w:t xml:space="preserve"> </w:t>
      </w:r>
      <w:r w:rsidR="005521C8" w:rsidRPr="001700FC">
        <w:rPr>
          <w:lang w:eastAsia="en-GB"/>
        </w:rPr>
        <w:t>Employees</w:t>
      </w:r>
      <w:r w:rsidRPr="001700FC">
        <w:rPr>
          <w:lang w:eastAsia="en-GB"/>
        </w:rPr>
        <w:t xml:space="preserve"> </w:t>
      </w:r>
      <w:r w:rsidR="005521C8" w:rsidRPr="001700FC">
        <w:rPr>
          <w:lang w:eastAsia="en-GB"/>
        </w:rPr>
        <w:t>of</w:t>
      </w:r>
      <w:r w:rsidRPr="001700FC">
        <w:rPr>
          <w:lang w:eastAsia="en-GB"/>
        </w:rPr>
        <w:t xml:space="preserve"> </w:t>
      </w:r>
      <w:r w:rsidR="005521C8" w:rsidRPr="001700FC">
        <w:rPr>
          <w:lang w:eastAsia="en-GB"/>
        </w:rPr>
        <w:t>ADEs</w:t>
      </w:r>
      <w:r w:rsidRPr="001700FC">
        <w:rPr>
          <w:lang w:eastAsia="en-GB"/>
        </w:rPr>
        <w:t xml:space="preserve"> </w:t>
      </w:r>
      <w:r w:rsidR="005521C8" w:rsidRPr="001700FC">
        <w:rPr>
          <w:lang w:eastAsia="en-GB"/>
        </w:rPr>
        <w:t>are</w:t>
      </w:r>
      <w:r w:rsidRPr="001700FC">
        <w:rPr>
          <w:lang w:eastAsia="en-GB"/>
        </w:rPr>
        <w:t xml:space="preserve"> </w:t>
      </w:r>
      <w:r w:rsidR="005521C8" w:rsidRPr="001700FC">
        <w:rPr>
          <w:lang w:eastAsia="en-GB"/>
        </w:rPr>
        <w:t>typically</w:t>
      </w:r>
      <w:r w:rsidRPr="001700FC">
        <w:rPr>
          <w:lang w:eastAsia="en-GB"/>
        </w:rPr>
        <w:t xml:space="preserve"> </w:t>
      </w:r>
      <w:r w:rsidR="005521C8" w:rsidRPr="001700FC">
        <w:rPr>
          <w:lang w:eastAsia="en-GB"/>
        </w:rPr>
        <w:t>subject</w:t>
      </w:r>
      <w:r w:rsidRPr="001700FC">
        <w:rPr>
          <w:lang w:eastAsia="en-GB"/>
        </w:rPr>
        <w:t xml:space="preserve"> </w:t>
      </w:r>
      <w:r w:rsidR="005521C8" w:rsidRPr="001700FC">
        <w:rPr>
          <w:lang w:eastAsia="en-GB"/>
        </w:rPr>
        <w:t>to</w:t>
      </w:r>
      <w:r w:rsidRPr="001700FC">
        <w:rPr>
          <w:lang w:eastAsia="en-GB"/>
        </w:rPr>
        <w:t xml:space="preserve"> </w:t>
      </w:r>
      <w:r w:rsidR="005521C8" w:rsidRPr="001700FC">
        <w:rPr>
          <w:lang w:eastAsia="en-GB"/>
        </w:rPr>
        <w:t>conditions</w:t>
      </w:r>
      <w:r w:rsidRPr="001700FC">
        <w:rPr>
          <w:lang w:eastAsia="en-GB"/>
        </w:rPr>
        <w:t xml:space="preserve"> </w:t>
      </w:r>
      <w:r w:rsidR="005521C8" w:rsidRPr="001700FC">
        <w:rPr>
          <w:lang w:eastAsia="en-GB"/>
        </w:rPr>
        <w:t>of</w:t>
      </w:r>
      <w:r w:rsidRPr="001700FC">
        <w:rPr>
          <w:lang w:eastAsia="en-GB"/>
        </w:rPr>
        <w:t xml:space="preserve"> </w:t>
      </w:r>
      <w:r w:rsidR="005521C8" w:rsidRPr="001700FC">
        <w:rPr>
          <w:lang w:eastAsia="en-GB"/>
        </w:rPr>
        <w:t>employment</w:t>
      </w:r>
      <w:r w:rsidRPr="001700FC">
        <w:rPr>
          <w:lang w:eastAsia="en-GB"/>
        </w:rPr>
        <w:t xml:space="preserve"> </w:t>
      </w:r>
      <w:r w:rsidR="005521C8" w:rsidRPr="001700FC">
        <w:rPr>
          <w:lang w:eastAsia="en-GB"/>
        </w:rPr>
        <w:t>that</w:t>
      </w:r>
      <w:r w:rsidRPr="001700FC">
        <w:rPr>
          <w:lang w:eastAsia="en-GB"/>
        </w:rPr>
        <w:t xml:space="preserve"> </w:t>
      </w:r>
      <w:r w:rsidR="005521C8" w:rsidRPr="001700FC">
        <w:rPr>
          <w:lang w:eastAsia="en-GB"/>
        </w:rPr>
        <w:t>fall</w:t>
      </w:r>
      <w:r w:rsidRPr="001700FC">
        <w:rPr>
          <w:lang w:eastAsia="en-GB"/>
        </w:rPr>
        <w:t xml:space="preserve"> </w:t>
      </w:r>
      <w:r w:rsidR="005521C8" w:rsidRPr="001700FC">
        <w:rPr>
          <w:lang w:eastAsia="en-GB"/>
        </w:rPr>
        <w:t>short</w:t>
      </w:r>
      <w:r w:rsidRPr="001700FC">
        <w:rPr>
          <w:lang w:eastAsia="en-GB"/>
        </w:rPr>
        <w:t xml:space="preserve"> </w:t>
      </w:r>
      <w:r w:rsidR="005521C8" w:rsidRPr="001700FC">
        <w:rPr>
          <w:lang w:eastAsia="en-GB"/>
        </w:rPr>
        <w:t>of</w:t>
      </w:r>
      <w:r w:rsidRPr="001700FC">
        <w:rPr>
          <w:lang w:eastAsia="en-GB"/>
        </w:rPr>
        <w:t xml:space="preserve"> </w:t>
      </w:r>
      <w:r w:rsidR="005521C8" w:rsidRPr="001700FC">
        <w:rPr>
          <w:lang w:eastAsia="en-GB"/>
        </w:rPr>
        <w:t>the</w:t>
      </w:r>
      <w:r w:rsidRPr="001700FC">
        <w:rPr>
          <w:lang w:eastAsia="en-GB"/>
        </w:rPr>
        <w:t xml:space="preserve"> </w:t>
      </w:r>
      <w:r w:rsidR="005521C8" w:rsidRPr="001700FC">
        <w:rPr>
          <w:lang w:eastAsia="en-GB"/>
        </w:rPr>
        <w:t>standards</w:t>
      </w:r>
      <w:r w:rsidRPr="001700FC">
        <w:rPr>
          <w:lang w:eastAsia="en-GB"/>
        </w:rPr>
        <w:t xml:space="preserve"> </w:t>
      </w:r>
      <w:r w:rsidR="005521C8" w:rsidRPr="001700FC">
        <w:rPr>
          <w:lang w:eastAsia="en-GB"/>
        </w:rPr>
        <w:t>applied</w:t>
      </w:r>
      <w:r w:rsidRPr="001700FC">
        <w:rPr>
          <w:lang w:eastAsia="en-GB"/>
        </w:rPr>
        <w:t xml:space="preserve"> </w:t>
      </w:r>
      <w:r w:rsidR="005521C8" w:rsidRPr="001700FC">
        <w:rPr>
          <w:lang w:eastAsia="en-GB"/>
        </w:rPr>
        <w:t>to</w:t>
      </w:r>
      <w:r w:rsidRPr="001700FC">
        <w:rPr>
          <w:lang w:eastAsia="en-GB"/>
        </w:rPr>
        <w:t xml:space="preserve"> </w:t>
      </w:r>
      <w:r w:rsidR="005521C8" w:rsidRPr="001700FC">
        <w:rPr>
          <w:lang w:eastAsia="en-GB"/>
        </w:rPr>
        <w:t>employees</w:t>
      </w:r>
      <w:r w:rsidRPr="001700FC">
        <w:rPr>
          <w:lang w:eastAsia="en-GB"/>
        </w:rPr>
        <w:t xml:space="preserve"> </w:t>
      </w:r>
      <w:r w:rsidR="005521C8" w:rsidRPr="001700FC">
        <w:rPr>
          <w:lang w:eastAsia="en-GB"/>
        </w:rPr>
        <w:t>without</w:t>
      </w:r>
      <w:r w:rsidRPr="001700FC">
        <w:rPr>
          <w:lang w:eastAsia="en-GB"/>
        </w:rPr>
        <w:t xml:space="preserve"> </w:t>
      </w:r>
      <w:r w:rsidR="005521C8" w:rsidRPr="001700FC">
        <w:rPr>
          <w:lang w:eastAsia="en-GB"/>
        </w:rPr>
        <w:t>a</w:t>
      </w:r>
      <w:r w:rsidRPr="001700FC">
        <w:rPr>
          <w:lang w:eastAsia="en-GB"/>
        </w:rPr>
        <w:t xml:space="preserve"> </w:t>
      </w:r>
      <w:r w:rsidR="005521C8" w:rsidRPr="001700FC">
        <w:rPr>
          <w:lang w:eastAsia="en-GB"/>
        </w:rPr>
        <w:t>disability.</w:t>
      </w:r>
      <w:r w:rsidRPr="001700FC">
        <w:rPr>
          <w:lang w:eastAsia="en-GB"/>
        </w:rPr>
        <w:t xml:space="preserve">  </w:t>
      </w:r>
      <w:r w:rsidR="005521C8" w:rsidRPr="001700FC">
        <w:rPr>
          <w:lang w:eastAsia="en-GB"/>
        </w:rPr>
        <w:t>For</w:t>
      </w:r>
      <w:r w:rsidRPr="001700FC">
        <w:rPr>
          <w:lang w:eastAsia="en-GB"/>
        </w:rPr>
        <w:t xml:space="preserve"> </w:t>
      </w:r>
      <w:r w:rsidR="005521C8" w:rsidRPr="001700FC">
        <w:rPr>
          <w:lang w:eastAsia="en-GB"/>
        </w:rPr>
        <w:t>example,</w:t>
      </w:r>
      <w:r w:rsidRPr="001700FC">
        <w:rPr>
          <w:lang w:eastAsia="en-GB"/>
        </w:rPr>
        <w:t xml:space="preserve"> </w:t>
      </w:r>
      <w:r w:rsidR="005521C8" w:rsidRPr="001700FC">
        <w:rPr>
          <w:lang w:eastAsia="en-GB"/>
        </w:rPr>
        <w:t>ADE</w:t>
      </w:r>
      <w:r w:rsidRPr="001700FC">
        <w:rPr>
          <w:lang w:eastAsia="en-GB"/>
        </w:rPr>
        <w:t xml:space="preserve"> </w:t>
      </w:r>
      <w:r w:rsidR="005521C8" w:rsidRPr="001700FC">
        <w:rPr>
          <w:lang w:eastAsia="en-GB"/>
        </w:rPr>
        <w:t>employees</w:t>
      </w:r>
      <w:r w:rsidRPr="001700FC">
        <w:rPr>
          <w:lang w:eastAsia="en-GB"/>
        </w:rPr>
        <w:t xml:space="preserve"> </w:t>
      </w:r>
      <w:r w:rsidR="005521C8" w:rsidRPr="001700FC">
        <w:rPr>
          <w:lang w:eastAsia="en-GB"/>
        </w:rPr>
        <w:t>typically</w:t>
      </w:r>
      <w:r w:rsidRPr="001700FC">
        <w:rPr>
          <w:lang w:eastAsia="en-GB"/>
        </w:rPr>
        <w:t xml:space="preserve"> </w:t>
      </w:r>
      <w:r w:rsidR="005521C8" w:rsidRPr="001700FC">
        <w:rPr>
          <w:lang w:eastAsia="en-GB"/>
        </w:rPr>
        <w:t>earn</w:t>
      </w:r>
      <w:r w:rsidRPr="001700FC">
        <w:rPr>
          <w:lang w:eastAsia="en-GB"/>
        </w:rPr>
        <w:t xml:space="preserve"> </w:t>
      </w:r>
      <w:r w:rsidR="005521C8" w:rsidRPr="001700FC">
        <w:rPr>
          <w:lang w:eastAsia="en-GB"/>
        </w:rPr>
        <w:t>less</w:t>
      </w:r>
      <w:r w:rsidRPr="001700FC">
        <w:rPr>
          <w:lang w:eastAsia="en-GB"/>
        </w:rPr>
        <w:t xml:space="preserve"> </w:t>
      </w:r>
      <w:r w:rsidR="005521C8" w:rsidRPr="001700FC">
        <w:rPr>
          <w:lang w:eastAsia="en-GB"/>
        </w:rPr>
        <w:t>than</w:t>
      </w:r>
      <w:r w:rsidRPr="001700FC">
        <w:rPr>
          <w:lang w:eastAsia="en-GB"/>
        </w:rPr>
        <w:t xml:space="preserve"> </w:t>
      </w:r>
      <w:r w:rsidR="005521C8" w:rsidRPr="001700FC">
        <w:rPr>
          <w:lang w:eastAsia="en-GB"/>
        </w:rPr>
        <w:t>the</w:t>
      </w:r>
      <w:r w:rsidRPr="001700FC">
        <w:rPr>
          <w:lang w:eastAsia="en-GB"/>
        </w:rPr>
        <w:t xml:space="preserve"> </w:t>
      </w:r>
      <w:r w:rsidR="005521C8" w:rsidRPr="001700FC">
        <w:rPr>
          <w:lang w:eastAsia="en-GB"/>
        </w:rPr>
        <w:t>minimum</w:t>
      </w:r>
      <w:r w:rsidRPr="001700FC">
        <w:rPr>
          <w:lang w:eastAsia="en-GB"/>
        </w:rPr>
        <w:t xml:space="preserve"> </w:t>
      </w:r>
      <w:r w:rsidR="005521C8" w:rsidRPr="001700FC">
        <w:rPr>
          <w:lang w:eastAsia="en-GB"/>
        </w:rPr>
        <w:t>wage</w:t>
      </w:r>
      <w:r w:rsidRPr="001700FC">
        <w:rPr>
          <w:lang w:eastAsia="en-GB"/>
        </w:rPr>
        <w:t xml:space="preserve"> </w:t>
      </w:r>
      <w:r w:rsidR="005521C8" w:rsidRPr="001700FC">
        <w:rPr>
          <w:lang w:eastAsia="en-GB"/>
        </w:rPr>
        <w:t>applied</w:t>
      </w:r>
      <w:r w:rsidRPr="001700FC">
        <w:rPr>
          <w:lang w:eastAsia="en-GB"/>
        </w:rPr>
        <w:t xml:space="preserve"> </w:t>
      </w:r>
      <w:r w:rsidR="005521C8" w:rsidRPr="001700FC">
        <w:rPr>
          <w:lang w:eastAsia="en-GB"/>
        </w:rPr>
        <w:t>to</w:t>
      </w:r>
      <w:r w:rsidRPr="001700FC">
        <w:rPr>
          <w:lang w:eastAsia="en-GB"/>
        </w:rPr>
        <w:t xml:space="preserve"> </w:t>
      </w:r>
      <w:r w:rsidR="005521C8" w:rsidRPr="001700FC">
        <w:rPr>
          <w:lang w:eastAsia="en-GB"/>
        </w:rPr>
        <w:t>employees</w:t>
      </w:r>
      <w:r w:rsidRPr="001700FC">
        <w:rPr>
          <w:lang w:eastAsia="en-GB"/>
        </w:rPr>
        <w:t xml:space="preserve"> </w:t>
      </w:r>
      <w:r w:rsidR="005521C8" w:rsidRPr="001700FC">
        <w:rPr>
          <w:lang w:eastAsia="en-GB"/>
        </w:rPr>
        <w:t>without</w:t>
      </w:r>
      <w:r w:rsidRPr="001700FC">
        <w:rPr>
          <w:lang w:eastAsia="en-GB"/>
        </w:rPr>
        <w:t xml:space="preserve"> </w:t>
      </w:r>
      <w:r w:rsidR="005521C8" w:rsidRPr="001700FC">
        <w:rPr>
          <w:lang w:eastAsia="en-GB"/>
        </w:rPr>
        <w:t>a</w:t>
      </w:r>
      <w:r w:rsidRPr="001700FC">
        <w:rPr>
          <w:lang w:eastAsia="en-GB"/>
        </w:rPr>
        <w:t xml:space="preserve"> </w:t>
      </w:r>
      <w:r w:rsidR="005521C8" w:rsidRPr="001700FC">
        <w:rPr>
          <w:lang w:eastAsia="en-GB"/>
        </w:rPr>
        <w:t>disability,</w:t>
      </w:r>
      <w:r w:rsidR="00182627" w:rsidRPr="001700FC">
        <w:rPr>
          <w:lang w:eastAsia="en-GB"/>
        </w:rPr>
        <w:t xml:space="preserve"> as discussed at part </w:t>
      </w:r>
      <w:r w:rsidR="001700FC" w:rsidRPr="001700FC">
        <w:rPr>
          <w:lang w:eastAsia="en-GB"/>
        </w:rPr>
        <w:fldChar w:fldCharType="begin"/>
      </w:r>
      <w:r w:rsidR="001700FC" w:rsidRPr="001700FC">
        <w:rPr>
          <w:lang w:eastAsia="en-GB"/>
        </w:rPr>
        <w:instrText xml:space="preserve"> REF _Ref50804530 \w \h  \* MERGEFORMAT </w:instrText>
      </w:r>
      <w:r w:rsidR="001700FC" w:rsidRPr="001700FC">
        <w:rPr>
          <w:lang w:eastAsia="en-GB"/>
        </w:rPr>
      </w:r>
      <w:r w:rsidR="001700FC" w:rsidRPr="001700FC">
        <w:rPr>
          <w:lang w:eastAsia="en-GB"/>
        </w:rPr>
        <w:fldChar w:fldCharType="separate"/>
      </w:r>
      <w:r w:rsidR="003944D6">
        <w:rPr>
          <w:lang w:eastAsia="en-GB"/>
        </w:rPr>
        <w:t>109</w:t>
      </w:r>
      <w:r w:rsidR="001700FC" w:rsidRPr="001700FC">
        <w:rPr>
          <w:lang w:eastAsia="en-GB"/>
        </w:rPr>
        <w:fldChar w:fldCharType="end"/>
      </w:r>
      <w:r w:rsidR="001700FC" w:rsidRPr="001700FC">
        <w:rPr>
          <w:lang w:eastAsia="en-GB"/>
        </w:rPr>
        <w:t xml:space="preserve"> </w:t>
      </w:r>
      <w:r w:rsidR="00182627" w:rsidRPr="001700FC">
        <w:rPr>
          <w:lang w:eastAsia="en-GB"/>
        </w:rPr>
        <w:t xml:space="preserve">of this submission. </w:t>
      </w:r>
    </w:p>
    <w:p w14:paraId="09343E19" w14:textId="72995A2B" w:rsidR="005521C8" w:rsidRPr="001700FC" w:rsidRDefault="005521C8" w:rsidP="005521C8">
      <w:pPr>
        <w:pStyle w:val="ListNumber"/>
        <w:rPr>
          <w:lang w:eastAsia="en-GB"/>
        </w:rPr>
      </w:pPr>
      <w:r w:rsidRPr="001700FC">
        <w:rPr>
          <w:lang w:eastAsia="en-GB"/>
        </w:rPr>
        <w:t>Th</w:t>
      </w:r>
      <w:r w:rsidR="00182627" w:rsidRPr="001700FC">
        <w:rPr>
          <w:lang w:eastAsia="en-GB"/>
        </w:rPr>
        <w:t>is</w:t>
      </w:r>
      <w:r w:rsidR="00573BA7" w:rsidRPr="001700FC">
        <w:rPr>
          <w:lang w:eastAsia="en-GB"/>
        </w:rPr>
        <w:t xml:space="preserve"> </w:t>
      </w:r>
      <w:r w:rsidRPr="001700FC">
        <w:rPr>
          <w:lang w:eastAsia="en-GB"/>
        </w:rPr>
        <w:t>is</w:t>
      </w:r>
      <w:r w:rsidR="00573BA7" w:rsidRPr="001700FC">
        <w:rPr>
          <w:lang w:eastAsia="en-GB"/>
        </w:rPr>
        <w:t xml:space="preserve"> </w:t>
      </w:r>
      <w:r w:rsidRPr="001700FC">
        <w:rPr>
          <w:lang w:eastAsia="en-GB"/>
        </w:rPr>
        <w:t>inconsistent</w:t>
      </w:r>
      <w:r w:rsidR="00573BA7" w:rsidRPr="001700FC">
        <w:rPr>
          <w:lang w:eastAsia="en-GB"/>
        </w:rPr>
        <w:t xml:space="preserve"> </w:t>
      </w:r>
      <w:r w:rsidRPr="001700FC">
        <w:rPr>
          <w:lang w:eastAsia="en-GB"/>
        </w:rPr>
        <w:t>with</w:t>
      </w:r>
      <w:r w:rsidR="00573BA7" w:rsidRPr="001700FC">
        <w:rPr>
          <w:lang w:eastAsia="en-GB"/>
        </w:rPr>
        <w:t xml:space="preserve"> </w:t>
      </w:r>
      <w:r w:rsidRPr="001700FC">
        <w:rPr>
          <w:lang w:eastAsia="en-GB"/>
        </w:rPr>
        <w:t>Australia’s</w:t>
      </w:r>
      <w:r w:rsidR="00573BA7" w:rsidRPr="001700FC">
        <w:rPr>
          <w:lang w:eastAsia="en-GB"/>
        </w:rPr>
        <w:t xml:space="preserve"> </w:t>
      </w:r>
      <w:r w:rsidRPr="001700FC">
        <w:rPr>
          <w:lang w:eastAsia="en-GB"/>
        </w:rPr>
        <w:t>obligation</w:t>
      </w:r>
      <w:r w:rsidR="00573BA7" w:rsidRPr="001700FC">
        <w:rPr>
          <w:lang w:eastAsia="en-GB"/>
        </w:rPr>
        <w:t xml:space="preserve"> </w:t>
      </w:r>
      <w:r w:rsidRPr="001700FC">
        <w:rPr>
          <w:lang w:eastAsia="en-GB"/>
        </w:rPr>
        <w:t>to</w:t>
      </w:r>
      <w:r w:rsidR="00573BA7" w:rsidRPr="001700FC">
        <w:rPr>
          <w:lang w:eastAsia="en-GB"/>
        </w:rPr>
        <w:t xml:space="preserve"> </w:t>
      </w:r>
      <w:r w:rsidRPr="001700FC">
        <w:rPr>
          <w:lang w:eastAsia="en-GB"/>
        </w:rPr>
        <w:t>ensure</w:t>
      </w:r>
      <w:r w:rsidR="00573BA7" w:rsidRPr="001700FC">
        <w:rPr>
          <w:lang w:eastAsia="en-GB"/>
        </w:rPr>
        <w:t xml:space="preserve"> </w:t>
      </w:r>
      <w:r w:rsidRPr="001700FC">
        <w:rPr>
          <w:lang w:eastAsia="en-GB"/>
        </w:rPr>
        <w:t>that</w:t>
      </w:r>
      <w:r w:rsidR="00573BA7" w:rsidRPr="001700FC">
        <w:rPr>
          <w:lang w:eastAsia="en-GB"/>
        </w:rPr>
        <w:t xml:space="preserve"> </w:t>
      </w:r>
      <w:r w:rsidRPr="001700FC">
        <w:rPr>
          <w:lang w:eastAsia="en-GB"/>
        </w:rPr>
        <w:t>people</w:t>
      </w:r>
      <w:r w:rsidR="00573BA7" w:rsidRPr="001700FC">
        <w:rPr>
          <w:lang w:eastAsia="en-GB"/>
        </w:rPr>
        <w:t xml:space="preserve"> </w:t>
      </w:r>
      <w:r w:rsidRPr="001700FC">
        <w:rPr>
          <w:lang w:eastAsia="en-GB"/>
        </w:rPr>
        <w:t>with</w:t>
      </w:r>
      <w:r w:rsidR="00573BA7" w:rsidRPr="001700FC">
        <w:rPr>
          <w:lang w:eastAsia="en-GB"/>
        </w:rPr>
        <w:t xml:space="preserve"> </w:t>
      </w:r>
      <w:r w:rsidRPr="001700FC">
        <w:rPr>
          <w:lang w:eastAsia="en-GB"/>
        </w:rPr>
        <w:t>disability</w:t>
      </w:r>
      <w:r w:rsidR="00573BA7" w:rsidRPr="001700FC">
        <w:rPr>
          <w:lang w:eastAsia="en-GB"/>
        </w:rPr>
        <w:t xml:space="preserve"> </w:t>
      </w:r>
      <w:r w:rsidRPr="001700FC">
        <w:rPr>
          <w:lang w:eastAsia="en-GB"/>
        </w:rPr>
        <w:t>receive</w:t>
      </w:r>
      <w:r w:rsidR="00573BA7" w:rsidRPr="001700FC">
        <w:rPr>
          <w:lang w:eastAsia="en-GB"/>
        </w:rPr>
        <w:t xml:space="preserve"> </w:t>
      </w:r>
      <w:r w:rsidRPr="001700FC">
        <w:rPr>
          <w:lang w:eastAsia="en-GB"/>
        </w:rPr>
        <w:t>just</w:t>
      </w:r>
      <w:r w:rsidR="00573BA7" w:rsidRPr="001700FC">
        <w:rPr>
          <w:lang w:eastAsia="en-GB"/>
        </w:rPr>
        <w:t xml:space="preserve"> </w:t>
      </w:r>
      <w:r w:rsidRPr="001700FC">
        <w:rPr>
          <w:lang w:eastAsia="en-GB"/>
        </w:rPr>
        <w:t>and</w:t>
      </w:r>
      <w:r w:rsidR="00573BA7" w:rsidRPr="001700FC">
        <w:rPr>
          <w:lang w:eastAsia="en-GB"/>
        </w:rPr>
        <w:t xml:space="preserve"> </w:t>
      </w:r>
      <w:r w:rsidRPr="001700FC">
        <w:rPr>
          <w:lang w:eastAsia="en-GB"/>
        </w:rPr>
        <w:t>favourable</w:t>
      </w:r>
      <w:r w:rsidR="00573BA7" w:rsidRPr="001700FC">
        <w:rPr>
          <w:lang w:eastAsia="en-GB"/>
        </w:rPr>
        <w:t xml:space="preserve"> </w:t>
      </w:r>
      <w:r w:rsidRPr="001700FC">
        <w:rPr>
          <w:lang w:eastAsia="en-GB"/>
        </w:rPr>
        <w:t>conditions</w:t>
      </w:r>
      <w:r w:rsidR="00573BA7" w:rsidRPr="001700FC">
        <w:rPr>
          <w:lang w:eastAsia="en-GB"/>
        </w:rPr>
        <w:t xml:space="preserve"> </w:t>
      </w:r>
      <w:r w:rsidRPr="001700FC">
        <w:rPr>
          <w:lang w:eastAsia="en-GB"/>
        </w:rPr>
        <w:t>of</w:t>
      </w:r>
      <w:r w:rsidR="00573BA7" w:rsidRPr="001700FC">
        <w:rPr>
          <w:lang w:eastAsia="en-GB"/>
        </w:rPr>
        <w:t xml:space="preserve"> </w:t>
      </w:r>
      <w:r w:rsidRPr="001700FC">
        <w:rPr>
          <w:lang w:eastAsia="en-GB"/>
        </w:rPr>
        <w:t>work</w:t>
      </w:r>
      <w:r w:rsidR="00573BA7" w:rsidRPr="001700FC">
        <w:rPr>
          <w:lang w:eastAsia="en-GB"/>
        </w:rPr>
        <w:t xml:space="preserve"> </w:t>
      </w:r>
      <w:r w:rsidRPr="001700FC">
        <w:rPr>
          <w:lang w:eastAsia="en-GB"/>
        </w:rPr>
        <w:t>on</w:t>
      </w:r>
      <w:r w:rsidR="00573BA7" w:rsidRPr="001700FC">
        <w:rPr>
          <w:lang w:eastAsia="en-GB"/>
        </w:rPr>
        <w:t xml:space="preserve"> </w:t>
      </w:r>
      <w:r w:rsidRPr="001700FC">
        <w:rPr>
          <w:lang w:eastAsia="en-GB"/>
        </w:rPr>
        <w:t>an</w:t>
      </w:r>
      <w:r w:rsidR="00573BA7" w:rsidRPr="001700FC">
        <w:rPr>
          <w:lang w:eastAsia="en-GB"/>
        </w:rPr>
        <w:t xml:space="preserve"> </w:t>
      </w:r>
      <w:r w:rsidRPr="001700FC">
        <w:rPr>
          <w:lang w:eastAsia="en-GB"/>
        </w:rPr>
        <w:t>equal</w:t>
      </w:r>
      <w:r w:rsidR="00573BA7" w:rsidRPr="001700FC">
        <w:rPr>
          <w:lang w:eastAsia="en-GB"/>
        </w:rPr>
        <w:t xml:space="preserve"> </w:t>
      </w:r>
      <w:r w:rsidRPr="001700FC">
        <w:rPr>
          <w:lang w:eastAsia="en-GB"/>
        </w:rPr>
        <w:t>basis</w:t>
      </w:r>
      <w:r w:rsidR="00573BA7" w:rsidRPr="001700FC">
        <w:rPr>
          <w:lang w:eastAsia="en-GB"/>
        </w:rPr>
        <w:t xml:space="preserve"> </w:t>
      </w:r>
      <w:r w:rsidRPr="001700FC">
        <w:rPr>
          <w:lang w:eastAsia="en-GB"/>
        </w:rPr>
        <w:t>with</w:t>
      </w:r>
      <w:r w:rsidR="00573BA7" w:rsidRPr="001700FC">
        <w:rPr>
          <w:lang w:eastAsia="en-GB"/>
        </w:rPr>
        <w:t xml:space="preserve"> </w:t>
      </w:r>
      <w:r w:rsidRPr="001700FC">
        <w:rPr>
          <w:lang w:eastAsia="en-GB"/>
        </w:rPr>
        <w:t>others.</w:t>
      </w:r>
      <w:r w:rsidRPr="001700FC">
        <w:rPr>
          <w:rStyle w:val="EndnoteReference"/>
          <w:lang w:eastAsia="en-GB"/>
        </w:rPr>
        <w:endnoteReference w:id="116"/>
      </w:r>
      <w:r w:rsidR="00573BA7" w:rsidRPr="001700FC">
        <w:t xml:space="preserve"> </w:t>
      </w:r>
      <w:r w:rsidR="0006626B" w:rsidRPr="001700FC">
        <w:t>Article</w:t>
      </w:r>
      <w:r w:rsidR="00573BA7" w:rsidRPr="001700FC">
        <w:t xml:space="preserve"> </w:t>
      </w:r>
      <w:r w:rsidR="0006626B" w:rsidRPr="001700FC">
        <w:t>27(1)(b)</w:t>
      </w:r>
      <w:r w:rsidR="00573BA7" w:rsidRPr="001700FC">
        <w:t xml:space="preserve"> </w:t>
      </w:r>
      <w:r w:rsidR="0006626B" w:rsidRPr="001700FC">
        <w:t>requires</w:t>
      </w:r>
      <w:r w:rsidR="00573BA7" w:rsidRPr="001700FC">
        <w:t xml:space="preserve"> </w:t>
      </w:r>
      <w:r w:rsidR="0006626B" w:rsidRPr="001700FC">
        <w:t>Australia</w:t>
      </w:r>
      <w:r w:rsidR="00573BA7" w:rsidRPr="001700FC">
        <w:t xml:space="preserve"> </w:t>
      </w:r>
      <w:r w:rsidR="0006626B" w:rsidRPr="001700FC">
        <w:t>to</w:t>
      </w:r>
      <w:r w:rsidR="00573BA7" w:rsidRPr="001700FC">
        <w:t xml:space="preserve"> </w:t>
      </w:r>
      <w:r w:rsidR="0006626B" w:rsidRPr="001700FC">
        <w:t>protect</w:t>
      </w:r>
      <w:r w:rsidR="00573BA7" w:rsidRPr="001700FC">
        <w:t xml:space="preserve"> </w:t>
      </w:r>
      <w:r w:rsidR="0006626B" w:rsidRPr="001700FC">
        <w:t>the</w:t>
      </w:r>
      <w:r w:rsidR="00573BA7" w:rsidRPr="001700FC">
        <w:t xml:space="preserve"> </w:t>
      </w:r>
      <w:r w:rsidR="0006626B" w:rsidRPr="001700FC">
        <w:t>rights</w:t>
      </w:r>
      <w:r w:rsidR="00573BA7" w:rsidRPr="001700FC">
        <w:t xml:space="preserve"> </w:t>
      </w:r>
      <w:r w:rsidR="0006626B" w:rsidRPr="001700FC">
        <w:t>of</w:t>
      </w:r>
      <w:r w:rsidR="00573BA7" w:rsidRPr="001700FC">
        <w:t xml:space="preserve"> </w:t>
      </w:r>
      <w:r w:rsidR="0006626B" w:rsidRPr="001700FC">
        <w:t>people</w:t>
      </w:r>
      <w:r w:rsidR="00573BA7" w:rsidRPr="001700FC">
        <w:t xml:space="preserve"> </w:t>
      </w:r>
      <w:r w:rsidR="0006626B" w:rsidRPr="001700FC">
        <w:t>with</w:t>
      </w:r>
      <w:r w:rsidR="00573BA7" w:rsidRPr="001700FC">
        <w:t xml:space="preserve"> </w:t>
      </w:r>
      <w:r w:rsidR="0006626B" w:rsidRPr="001700FC">
        <w:t>disability,</w:t>
      </w:r>
      <w:r w:rsidR="00573BA7" w:rsidRPr="001700FC">
        <w:t xml:space="preserve"> </w:t>
      </w:r>
      <w:r w:rsidR="0006626B" w:rsidRPr="001700FC">
        <w:t>on</w:t>
      </w:r>
      <w:r w:rsidR="00573BA7" w:rsidRPr="001700FC">
        <w:t xml:space="preserve"> </w:t>
      </w:r>
      <w:r w:rsidR="0006626B" w:rsidRPr="001700FC">
        <w:t>an</w:t>
      </w:r>
      <w:r w:rsidR="00573BA7" w:rsidRPr="001700FC">
        <w:t xml:space="preserve"> </w:t>
      </w:r>
      <w:r w:rsidR="0006626B" w:rsidRPr="001700FC">
        <w:t>equal</w:t>
      </w:r>
      <w:r w:rsidR="00573BA7" w:rsidRPr="001700FC">
        <w:t xml:space="preserve"> </w:t>
      </w:r>
      <w:r w:rsidR="0006626B" w:rsidRPr="001700FC">
        <w:t>basis</w:t>
      </w:r>
      <w:r w:rsidR="00573BA7" w:rsidRPr="001700FC">
        <w:t xml:space="preserve"> </w:t>
      </w:r>
      <w:r w:rsidR="0006626B" w:rsidRPr="001700FC">
        <w:t>with</w:t>
      </w:r>
      <w:r w:rsidR="00573BA7" w:rsidRPr="001700FC">
        <w:t xml:space="preserve"> </w:t>
      </w:r>
      <w:r w:rsidR="0006626B" w:rsidRPr="001700FC">
        <w:t>others,</w:t>
      </w:r>
      <w:r w:rsidR="00573BA7" w:rsidRPr="001700FC">
        <w:t xml:space="preserve"> </w:t>
      </w:r>
      <w:r w:rsidR="0006626B" w:rsidRPr="001700FC">
        <w:t>to</w:t>
      </w:r>
      <w:r w:rsidR="00573BA7" w:rsidRPr="001700FC">
        <w:t xml:space="preserve"> </w:t>
      </w:r>
      <w:r w:rsidR="0006626B" w:rsidRPr="001700FC">
        <w:t>just</w:t>
      </w:r>
      <w:r w:rsidR="00573BA7" w:rsidRPr="001700FC">
        <w:t xml:space="preserve"> </w:t>
      </w:r>
      <w:r w:rsidR="0006626B" w:rsidRPr="001700FC">
        <w:t>and</w:t>
      </w:r>
      <w:r w:rsidR="00573BA7" w:rsidRPr="001700FC">
        <w:t xml:space="preserve"> </w:t>
      </w:r>
      <w:r w:rsidR="0006626B" w:rsidRPr="001700FC">
        <w:t>favourable</w:t>
      </w:r>
      <w:r w:rsidR="00573BA7" w:rsidRPr="001700FC">
        <w:t xml:space="preserve"> </w:t>
      </w:r>
      <w:r w:rsidR="0006626B" w:rsidRPr="001700FC">
        <w:t>conditions</w:t>
      </w:r>
      <w:r w:rsidR="00573BA7" w:rsidRPr="001700FC">
        <w:t xml:space="preserve"> </w:t>
      </w:r>
      <w:r w:rsidR="0006626B" w:rsidRPr="001700FC">
        <w:t>of</w:t>
      </w:r>
      <w:r w:rsidR="00573BA7" w:rsidRPr="001700FC">
        <w:t xml:space="preserve"> </w:t>
      </w:r>
      <w:r w:rsidR="0006626B" w:rsidRPr="001700FC">
        <w:t>work,</w:t>
      </w:r>
      <w:r w:rsidR="00573BA7" w:rsidRPr="001700FC">
        <w:t xml:space="preserve"> </w:t>
      </w:r>
      <w:r w:rsidR="0006626B" w:rsidRPr="001700FC">
        <w:t>including</w:t>
      </w:r>
      <w:r w:rsidR="00573BA7" w:rsidRPr="001700FC">
        <w:t xml:space="preserve"> </w:t>
      </w:r>
      <w:r w:rsidR="0006626B" w:rsidRPr="001700FC">
        <w:t>equal</w:t>
      </w:r>
      <w:r w:rsidR="00573BA7" w:rsidRPr="001700FC">
        <w:t xml:space="preserve"> </w:t>
      </w:r>
      <w:r w:rsidR="0006626B" w:rsidRPr="001700FC">
        <w:t>opportunities</w:t>
      </w:r>
      <w:r w:rsidR="00573BA7" w:rsidRPr="001700FC">
        <w:t xml:space="preserve"> </w:t>
      </w:r>
      <w:r w:rsidR="0006626B" w:rsidRPr="001700FC">
        <w:t>and</w:t>
      </w:r>
      <w:r w:rsidR="00573BA7" w:rsidRPr="001700FC">
        <w:t xml:space="preserve"> </w:t>
      </w:r>
      <w:r w:rsidR="0006626B" w:rsidRPr="001700FC">
        <w:t>equal</w:t>
      </w:r>
      <w:r w:rsidR="00573BA7" w:rsidRPr="001700FC">
        <w:t xml:space="preserve"> </w:t>
      </w:r>
      <w:r w:rsidR="0006626B" w:rsidRPr="001700FC">
        <w:t>pay</w:t>
      </w:r>
      <w:r w:rsidR="00573BA7" w:rsidRPr="001700FC">
        <w:t xml:space="preserve"> </w:t>
      </w:r>
      <w:r w:rsidR="0006626B" w:rsidRPr="001700FC">
        <w:t>for</w:t>
      </w:r>
      <w:r w:rsidR="00573BA7" w:rsidRPr="001700FC">
        <w:t xml:space="preserve"> </w:t>
      </w:r>
      <w:r w:rsidR="0006626B" w:rsidRPr="001700FC">
        <w:t>work</w:t>
      </w:r>
      <w:r w:rsidR="00573BA7" w:rsidRPr="001700FC">
        <w:t xml:space="preserve"> </w:t>
      </w:r>
      <w:r w:rsidR="0006626B" w:rsidRPr="001700FC">
        <w:t>of</w:t>
      </w:r>
      <w:r w:rsidR="00573BA7" w:rsidRPr="001700FC">
        <w:t xml:space="preserve"> </w:t>
      </w:r>
      <w:r w:rsidR="0006626B" w:rsidRPr="001700FC">
        <w:t>equal</w:t>
      </w:r>
      <w:r w:rsidR="00573BA7" w:rsidRPr="001700FC">
        <w:t xml:space="preserve"> </w:t>
      </w:r>
      <w:r w:rsidR="0006626B" w:rsidRPr="001700FC">
        <w:t>value.</w:t>
      </w:r>
      <w:r w:rsidR="00573BA7" w:rsidRPr="001700FC">
        <w:t xml:space="preserve"> </w:t>
      </w:r>
      <w:r w:rsidR="00573BA7" w:rsidRPr="001700FC">
        <w:rPr>
          <w:lang w:eastAsia="en-GB"/>
        </w:rPr>
        <w:t xml:space="preserve"> </w:t>
      </w:r>
      <w:r w:rsidR="0006626B" w:rsidRPr="001700FC">
        <w:t>This</w:t>
      </w:r>
      <w:r w:rsidR="00573BA7" w:rsidRPr="001700FC">
        <w:t xml:space="preserve"> </w:t>
      </w:r>
      <w:r w:rsidR="0006626B" w:rsidRPr="001700FC">
        <w:t>requires</w:t>
      </w:r>
      <w:r w:rsidR="00573BA7" w:rsidRPr="001700FC">
        <w:t xml:space="preserve"> </w:t>
      </w:r>
      <w:r w:rsidR="0006626B" w:rsidRPr="001700FC">
        <w:t>that</w:t>
      </w:r>
      <w:r w:rsidR="00573BA7" w:rsidRPr="001700FC">
        <w:t xml:space="preserve"> </w:t>
      </w:r>
      <w:r w:rsidR="00F53B98">
        <w:t>the amount a person is paid</w:t>
      </w:r>
      <w:r w:rsidR="00F53B98" w:rsidRPr="001700FC">
        <w:t xml:space="preserve"> </w:t>
      </w:r>
      <w:r w:rsidR="0006626B" w:rsidRPr="001700FC">
        <w:t>is</w:t>
      </w:r>
      <w:r w:rsidR="00573BA7" w:rsidRPr="001700FC">
        <w:t xml:space="preserve"> </w:t>
      </w:r>
      <w:r w:rsidR="0006626B" w:rsidRPr="001700FC">
        <w:t>not</w:t>
      </w:r>
      <w:r w:rsidR="00573BA7" w:rsidRPr="001700FC">
        <w:t xml:space="preserve"> </w:t>
      </w:r>
      <w:r w:rsidR="0006626B" w:rsidRPr="001700FC">
        <w:t>impacted</w:t>
      </w:r>
      <w:r w:rsidR="00573BA7" w:rsidRPr="001700FC">
        <w:t xml:space="preserve"> </w:t>
      </w:r>
      <w:r w:rsidR="0006626B" w:rsidRPr="001700FC">
        <w:t>by</w:t>
      </w:r>
      <w:r w:rsidR="00573BA7" w:rsidRPr="001700FC">
        <w:t xml:space="preserve"> </w:t>
      </w:r>
      <w:r w:rsidR="0006626B" w:rsidRPr="001700FC">
        <w:t>the</w:t>
      </w:r>
      <w:r w:rsidR="00573BA7" w:rsidRPr="001700FC">
        <w:t xml:space="preserve"> </w:t>
      </w:r>
      <w:r w:rsidR="0006626B" w:rsidRPr="001700FC">
        <w:t>mere</w:t>
      </w:r>
      <w:r w:rsidR="00573BA7" w:rsidRPr="001700FC">
        <w:t xml:space="preserve"> </w:t>
      </w:r>
      <w:r w:rsidR="0006626B" w:rsidRPr="001700FC">
        <w:t>presence</w:t>
      </w:r>
      <w:r w:rsidR="00573BA7" w:rsidRPr="001700FC">
        <w:t xml:space="preserve"> </w:t>
      </w:r>
      <w:r w:rsidR="0006626B" w:rsidRPr="001700FC">
        <w:t>or</w:t>
      </w:r>
      <w:r w:rsidR="00573BA7" w:rsidRPr="001700FC">
        <w:t xml:space="preserve"> </w:t>
      </w:r>
      <w:r w:rsidR="0006626B" w:rsidRPr="001700FC">
        <w:t>absence</w:t>
      </w:r>
      <w:r w:rsidR="00573BA7" w:rsidRPr="001700FC">
        <w:t xml:space="preserve"> </w:t>
      </w:r>
      <w:r w:rsidR="0006626B" w:rsidRPr="001700FC">
        <w:t>of</w:t>
      </w:r>
      <w:r w:rsidR="00573BA7" w:rsidRPr="001700FC">
        <w:t xml:space="preserve"> </w:t>
      </w:r>
      <w:r w:rsidR="0006626B" w:rsidRPr="001700FC">
        <w:t>a</w:t>
      </w:r>
      <w:r w:rsidR="00573BA7" w:rsidRPr="001700FC">
        <w:t xml:space="preserve"> </w:t>
      </w:r>
      <w:r w:rsidR="0006626B" w:rsidRPr="001700FC">
        <w:t>disability.</w:t>
      </w:r>
      <w:r w:rsidR="00573BA7" w:rsidRPr="001700FC">
        <w:t xml:space="preserve"> </w:t>
      </w:r>
      <w:r w:rsidR="00F52AE9" w:rsidRPr="001700FC">
        <w:t>L</w:t>
      </w:r>
      <w:r w:rsidR="0006626B" w:rsidRPr="001700FC">
        <w:t>egislative</w:t>
      </w:r>
      <w:r w:rsidR="00573BA7" w:rsidRPr="001700FC">
        <w:t xml:space="preserve"> </w:t>
      </w:r>
      <w:r w:rsidR="0006626B" w:rsidRPr="001700FC">
        <w:t>regime</w:t>
      </w:r>
      <w:r w:rsidR="00F52AE9" w:rsidRPr="001700FC">
        <w:t>s</w:t>
      </w:r>
      <w:r w:rsidR="00573BA7" w:rsidRPr="001700FC">
        <w:t xml:space="preserve"> </w:t>
      </w:r>
      <w:r w:rsidR="0006626B" w:rsidRPr="001700FC">
        <w:t>that</w:t>
      </w:r>
      <w:r w:rsidR="00573BA7" w:rsidRPr="001700FC">
        <w:t xml:space="preserve"> </w:t>
      </w:r>
      <w:r w:rsidR="0006626B" w:rsidRPr="001700FC">
        <w:t>lower</w:t>
      </w:r>
      <w:r w:rsidR="00573BA7" w:rsidRPr="001700FC">
        <w:t xml:space="preserve"> </w:t>
      </w:r>
      <w:r w:rsidR="0006626B" w:rsidRPr="001700FC">
        <w:t>the</w:t>
      </w:r>
      <w:r w:rsidR="00573BA7" w:rsidRPr="001700FC">
        <w:t xml:space="preserve"> </w:t>
      </w:r>
      <w:r w:rsidR="0006626B" w:rsidRPr="001700FC">
        <w:t>minimum</w:t>
      </w:r>
      <w:r w:rsidR="00573BA7" w:rsidRPr="001700FC">
        <w:t xml:space="preserve"> </w:t>
      </w:r>
      <w:r w:rsidR="0006626B" w:rsidRPr="001700FC">
        <w:t>wage</w:t>
      </w:r>
      <w:r w:rsidR="00573BA7" w:rsidRPr="001700FC">
        <w:t xml:space="preserve"> </w:t>
      </w:r>
      <w:r w:rsidR="00F52AE9" w:rsidRPr="001700FC">
        <w:t>because of a person’s</w:t>
      </w:r>
      <w:r w:rsidR="00573BA7" w:rsidRPr="001700FC">
        <w:t xml:space="preserve"> </w:t>
      </w:r>
      <w:r w:rsidR="0006626B" w:rsidRPr="001700FC">
        <w:t>disability,</w:t>
      </w:r>
      <w:r w:rsidR="00573BA7" w:rsidRPr="001700FC">
        <w:t xml:space="preserve"> </w:t>
      </w:r>
      <w:r w:rsidR="0006626B" w:rsidRPr="001700FC">
        <w:t>regardless</w:t>
      </w:r>
      <w:r w:rsidR="00573BA7" w:rsidRPr="001700FC">
        <w:t xml:space="preserve"> </w:t>
      </w:r>
      <w:r w:rsidR="0006626B" w:rsidRPr="001700FC">
        <w:t>of</w:t>
      </w:r>
      <w:r w:rsidR="00573BA7" w:rsidRPr="001700FC">
        <w:t xml:space="preserve"> </w:t>
      </w:r>
      <w:r w:rsidR="0006626B" w:rsidRPr="001700FC">
        <w:t>their</w:t>
      </w:r>
      <w:r w:rsidR="00573BA7" w:rsidRPr="001700FC">
        <w:t xml:space="preserve"> </w:t>
      </w:r>
      <w:r w:rsidR="0006626B" w:rsidRPr="001700FC">
        <w:t>work’s</w:t>
      </w:r>
      <w:r w:rsidR="00573BA7" w:rsidRPr="001700FC">
        <w:t xml:space="preserve"> </w:t>
      </w:r>
      <w:r w:rsidR="0006626B" w:rsidRPr="001700FC">
        <w:t>objective</w:t>
      </w:r>
      <w:r w:rsidR="00573BA7" w:rsidRPr="001700FC">
        <w:t xml:space="preserve"> </w:t>
      </w:r>
      <w:r w:rsidR="0006626B" w:rsidRPr="001700FC">
        <w:t>value,</w:t>
      </w:r>
      <w:r w:rsidR="00573BA7" w:rsidRPr="001700FC">
        <w:t xml:space="preserve"> </w:t>
      </w:r>
      <w:r w:rsidR="00F52AE9" w:rsidRPr="001700FC">
        <w:t>are</w:t>
      </w:r>
      <w:r w:rsidR="00573BA7" w:rsidRPr="001700FC">
        <w:t xml:space="preserve"> </w:t>
      </w:r>
      <w:r w:rsidR="0006626B" w:rsidRPr="001700FC">
        <w:t>inconsistent</w:t>
      </w:r>
      <w:r w:rsidR="00573BA7" w:rsidRPr="001700FC">
        <w:t xml:space="preserve"> </w:t>
      </w:r>
      <w:r w:rsidR="0006626B" w:rsidRPr="001700FC">
        <w:t>with</w:t>
      </w:r>
      <w:r w:rsidR="00573BA7" w:rsidRPr="001700FC">
        <w:t xml:space="preserve"> </w:t>
      </w:r>
      <w:r w:rsidR="0006626B" w:rsidRPr="001700FC">
        <w:t>the</w:t>
      </w:r>
      <w:r w:rsidR="00573BA7" w:rsidRPr="001700FC">
        <w:t xml:space="preserve"> </w:t>
      </w:r>
      <w:r w:rsidR="0006626B" w:rsidRPr="001700FC">
        <w:t>CRPD.</w:t>
      </w:r>
      <w:r w:rsidR="0006626B" w:rsidRPr="001700FC">
        <w:rPr>
          <w:rStyle w:val="EndnoteReference"/>
        </w:rPr>
        <w:endnoteReference w:id="117"/>
      </w:r>
      <w:r w:rsidR="00573BA7" w:rsidRPr="001700FC">
        <w:t xml:space="preserve"> </w:t>
      </w:r>
      <w:r w:rsidR="0006626B" w:rsidRPr="001700FC">
        <w:t>That</w:t>
      </w:r>
      <w:r w:rsidR="00573BA7" w:rsidRPr="001700FC">
        <w:t xml:space="preserve"> </w:t>
      </w:r>
      <w:r w:rsidR="0006626B" w:rsidRPr="001700FC">
        <w:t>view</w:t>
      </w:r>
      <w:r w:rsidR="00573BA7" w:rsidRPr="001700FC">
        <w:t xml:space="preserve"> </w:t>
      </w:r>
      <w:r w:rsidR="0006626B" w:rsidRPr="001700FC">
        <w:t>is</w:t>
      </w:r>
      <w:r w:rsidR="00573BA7" w:rsidRPr="001700FC">
        <w:t xml:space="preserve"> </w:t>
      </w:r>
      <w:r w:rsidR="008B2340">
        <w:t>reinforced</w:t>
      </w:r>
      <w:r w:rsidR="008B2340" w:rsidRPr="001700FC">
        <w:t xml:space="preserve"> </w:t>
      </w:r>
      <w:r w:rsidR="0006626B" w:rsidRPr="001700FC">
        <w:t>by</w:t>
      </w:r>
      <w:r w:rsidR="00573BA7" w:rsidRPr="001700FC">
        <w:t xml:space="preserve"> </w:t>
      </w:r>
      <w:r w:rsidR="0006626B" w:rsidRPr="001700FC">
        <w:t>the</w:t>
      </w:r>
      <w:r w:rsidR="00573BA7" w:rsidRPr="001700FC">
        <w:t xml:space="preserve"> </w:t>
      </w:r>
      <w:r w:rsidR="0006626B" w:rsidRPr="001700FC">
        <w:t>CESCR,</w:t>
      </w:r>
      <w:r w:rsidR="00573BA7" w:rsidRPr="001700FC">
        <w:t xml:space="preserve"> </w:t>
      </w:r>
      <w:r w:rsidR="0006626B" w:rsidRPr="001700FC">
        <w:t>which</w:t>
      </w:r>
      <w:r w:rsidR="00573BA7" w:rsidRPr="001700FC">
        <w:t xml:space="preserve"> </w:t>
      </w:r>
      <w:r w:rsidR="0006626B" w:rsidRPr="001700FC">
        <w:t>has</w:t>
      </w:r>
      <w:r w:rsidR="00573BA7" w:rsidRPr="001700FC">
        <w:t xml:space="preserve"> </w:t>
      </w:r>
      <w:r w:rsidR="0006626B" w:rsidRPr="001700FC">
        <w:t>commented</w:t>
      </w:r>
      <w:r w:rsidR="00573BA7" w:rsidRPr="001700FC">
        <w:t xml:space="preserve"> </w:t>
      </w:r>
      <w:r w:rsidR="0006626B" w:rsidRPr="001700FC">
        <w:t>in</w:t>
      </w:r>
      <w:r w:rsidR="00573BA7" w:rsidRPr="001700FC">
        <w:t xml:space="preserve"> </w:t>
      </w:r>
      <w:r w:rsidR="0006626B" w:rsidRPr="001700FC">
        <w:t>relation</w:t>
      </w:r>
      <w:r w:rsidR="00573BA7" w:rsidRPr="001700FC">
        <w:t xml:space="preserve"> </w:t>
      </w:r>
      <w:r w:rsidR="0006626B" w:rsidRPr="001700FC">
        <w:t>to</w:t>
      </w:r>
      <w:r w:rsidR="00573BA7" w:rsidRPr="001700FC">
        <w:t xml:space="preserve"> </w:t>
      </w:r>
      <w:r w:rsidR="0006626B" w:rsidRPr="001700FC">
        <w:t>an</w:t>
      </w:r>
      <w:r w:rsidR="00573BA7" w:rsidRPr="001700FC">
        <w:t xml:space="preserve"> </w:t>
      </w:r>
      <w:r w:rsidR="0006626B" w:rsidRPr="001700FC">
        <w:t>equivalent</w:t>
      </w:r>
      <w:r w:rsidR="00573BA7" w:rsidRPr="001700FC">
        <w:t xml:space="preserve"> </w:t>
      </w:r>
      <w:r w:rsidR="0006626B" w:rsidRPr="001700FC">
        <w:t>provision</w:t>
      </w:r>
      <w:r w:rsidR="00573BA7" w:rsidRPr="001700FC">
        <w:t xml:space="preserve"> </w:t>
      </w:r>
      <w:r w:rsidR="0006626B" w:rsidRPr="001700FC">
        <w:t>in</w:t>
      </w:r>
      <w:r w:rsidR="00573BA7" w:rsidRPr="001700FC">
        <w:t xml:space="preserve"> </w:t>
      </w:r>
      <w:r w:rsidR="0006626B" w:rsidRPr="001700FC">
        <w:t>ICESCR</w:t>
      </w:r>
      <w:r w:rsidR="0006626B" w:rsidRPr="001700FC">
        <w:rPr>
          <w:rStyle w:val="EndnoteReference"/>
        </w:rPr>
        <w:endnoteReference w:id="118"/>
      </w:r>
      <w:r w:rsidR="00573BA7" w:rsidRPr="001700FC">
        <w:t xml:space="preserve"> </w:t>
      </w:r>
      <w:r w:rsidR="0006626B" w:rsidRPr="001700FC">
        <w:t>that</w:t>
      </w:r>
      <w:r w:rsidR="00573BA7" w:rsidRPr="001700FC">
        <w:t xml:space="preserve"> </w:t>
      </w:r>
      <w:r w:rsidR="0006626B" w:rsidRPr="001700FC">
        <w:t>persons</w:t>
      </w:r>
      <w:r w:rsidR="00573BA7" w:rsidRPr="001700FC">
        <w:t xml:space="preserve"> </w:t>
      </w:r>
      <w:r w:rsidR="0006626B" w:rsidRPr="001700FC">
        <w:t>with</w:t>
      </w:r>
      <w:r w:rsidR="00573BA7" w:rsidRPr="001700FC">
        <w:t xml:space="preserve"> </w:t>
      </w:r>
      <w:r w:rsidR="0006626B" w:rsidRPr="001700FC">
        <w:t>disability</w:t>
      </w:r>
      <w:r w:rsidR="00573BA7" w:rsidRPr="001700FC">
        <w:t xml:space="preserve"> </w:t>
      </w:r>
      <w:r w:rsidR="0006626B" w:rsidRPr="001700FC">
        <w:t>‘must</w:t>
      </w:r>
      <w:r w:rsidR="00573BA7" w:rsidRPr="001700FC">
        <w:t xml:space="preserve"> </w:t>
      </w:r>
      <w:r w:rsidR="0006626B" w:rsidRPr="001700FC">
        <w:t>not</w:t>
      </w:r>
      <w:r w:rsidR="00573BA7" w:rsidRPr="001700FC">
        <w:t xml:space="preserve"> </w:t>
      </w:r>
      <w:r w:rsidR="0006626B" w:rsidRPr="001700FC">
        <w:t>suffer</w:t>
      </w:r>
      <w:r w:rsidR="00573BA7" w:rsidRPr="001700FC">
        <w:t xml:space="preserve"> </w:t>
      </w:r>
      <w:r w:rsidR="0006626B" w:rsidRPr="001700FC">
        <w:t>wage</w:t>
      </w:r>
      <w:r w:rsidR="00573BA7" w:rsidRPr="001700FC">
        <w:t xml:space="preserve"> </w:t>
      </w:r>
      <w:r w:rsidR="0006626B" w:rsidRPr="001700FC">
        <w:t>discrimination</w:t>
      </w:r>
      <w:r w:rsidR="00573BA7" w:rsidRPr="001700FC">
        <w:t xml:space="preserve"> </w:t>
      </w:r>
      <w:r w:rsidR="0006626B" w:rsidRPr="001700FC">
        <w:t>due</w:t>
      </w:r>
      <w:r w:rsidR="00573BA7" w:rsidRPr="001700FC">
        <w:t xml:space="preserve"> </w:t>
      </w:r>
      <w:r w:rsidR="0006626B" w:rsidRPr="001700FC">
        <w:t>to</w:t>
      </w:r>
      <w:r w:rsidR="00573BA7" w:rsidRPr="001700FC">
        <w:t xml:space="preserve"> </w:t>
      </w:r>
      <w:r w:rsidR="0006626B" w:rsidRPr="001700FC">
        <w:t>a</w:t>
      </w:r>
      <w:r w:rsidR="00573BA7" w:rsidRPr="001700FC">
        <w:t xml:space="preserve"> </w:t>
      </w:r>
      <w:r w:rsidR="0006626B" w:rsidRPr="001700FC">
        <w:t>perceived</w:t>
      </w:r>
      <w:r w:rsidR="00573BA7" w:rsidRPr="001700FC">
        <w:t xml:space="preserve"> </w:t>
      </w:r>
      <w:r w:rsidR="0006626B" w:rsidRPr="001700FC">
        <w:t>reduced</w:t>
      </w:r>
      <w:r w:rsidR="00573BA7" w:rsidRPr="001700FC">
        <w:t xml:space="preserve"> </w:t>
      </w:r>
      <w:r w:rsidR="0006626B" w:rsidRPr="001700FC">
        <w:t>capacity</w:t>
      </w:r>
      <w:r w:rsidR="00573BA7" w:rsidRPr="001700FC">
        <w:t xml:space="preserve"> </w:t>
      </w:r>
      <w:r w:rsidR="0006626B" w:rsidRPr="001700FC">
        <w:t>of</w:t>
      </w:r>
      <w:r w:rsidR="00573BA7" w:rsidRPr="001700FC">
        <w:t xml:space="preserve"> </w:t>
      </w:r>
      <w:r w:rsidR="0006626B" w:rsidRPr="001700FC">
        <w:t>work’.</w:t>
      </w:r>
      <w:r w:rsidR="0006626B" w:rsidRPr="001700FC">
        <w:rPr>
          <w:rStyle w:val="EndnoteReference"/>
        </w:rPr>
        <w:endnoteReference w:id="119"/>
      </w:r>
      <w:r w:rsidR="00573BA7" w:rsidRPr="001700FC">
        <w:t xml:space="preserve"> </w:t>
      </w:r>
      <w:r w:rsidR="0052570D" w:rsidRPr="001700FC">
        <w:t>The</w:t>
      </w:r>
      <w:r w:rsidR="00573BA7" w:rsidRPr="001700FC">
        <w:t xml:space="preserve"> </w:t>
      </w:r>
      <w:r w:rsidR="0052570D" w:rsidRPr="001700FC">
        <w:t>application</w:t>
      </w:r>
      <w:r w:rsidR="00573BA7" w:rsidRPr="001700FC">
        <w:t xml:space="preserve"> </w:t>
      </w:r>
      <w:r w:rsidR="0052570D" w:rsidRPr="001700FC">
        <w:t>of</w:t>
      </w:r>
      <w:r w:rsidR="00573BA7" w:rsidRPr="001700FC">
        <w:t xml:space="preserve"> </w:t>
      </w:r>
      <w:r w:rsidR="0052570D" w:rsidRPr="001700FC">
        <w:t>the</w:t>
      </w:r>
      <w:r w:rsidR="00573BA7" w:rsidRPr="001700FC">
        <w:t xml:space="preserve"> </w:t>
      </w:r>
      <w:r w:rsidR="0052570D" w:rsidRPr="001700FC">
        <w:t>Supported</w:t>
      </w:r>
      <w:r w:rsidR="00573BA7" w:rsidRPr="001700FC">
        <w:t xml:space="preserve"> </w:t>
      </w:r>
      <w:r w:rsidR="0052570D" w:rsidRPr="001700FC">
        <w:t>Wage</w:t>
      </w:r>
      <w:r w:rsidR="00573BA7" w:rsidRPr="001700FC">
        <w:t xml:space="preserve"> </w:t>
      </w:r>
      <w:r w:rsidR="0052570D" w:rsidRPr="001700FC">
        <w:t>System</w:t>
      </w:r>
      <w:r w:rsidR="00840593" w:rsidRPr="001700FC">
        <w:t xml:space="preserve"> in ADEs is problematic in this regard</w:t>
      </w:r>
      <w:r w:rsidR="00182627" w:rsidRPr="001700FC">
        <w:t>, and is discussed further at part 5.</w:t>
      </w:r>
      <w:r w:rsidR="00734EA9">
        <w:t>2</w:t>
      </w:r>
      <w:r w:rsidR="00182627" w:rsidRPr="001700FC">
        <w:t xml:space="preserve"> of this submission</w:t>
      </w:r>
      <w:r w:rsidR="00840593" w:rsidRPr="001700FC">
        <w:t>.</w:t>
      </w:r>
    </w:p>
    <w:p w14:paraId="343EF796" w14:textId="6CF75F4E" w:rsidR="005521C8" w:rsidRDefault="006A5A77" w:rsidP="005521C8">
      <w:pPr>
        <w:pStyle w:val="ListNumber"/>
        <w:rPr>
          <w:lang w:eastAsia="en-GB"/>
        </w:rPr>
      </w:pPr>
      <w:r w:rsidRPr="07069484">
        <w:rPr>
          <w:lang w:eastAsia="en-GB"/>
        </w:rPr>
        <w:t xml:space="preserve">Furthermore, </w:t>
      </w:r>
      <w:r w:rsidR="005521C8" w:rsidRPr="07069484">
        <w:rPr>
          <w:lang w:eastAsia="en-GB"/>
        </w:rPr>
        <w:t>Article</w:t>
      </w:r>
      <w:r w:rsidR="00573BA7" w:rsidRPr="07069484">
        <w:rPr>
          <w:lang w:eastAsia="en-GB"/>
        </w:rPr>
        <w:t xml:space="preserve"> </w:t>
      </w:r>
      <w:r w:rsidR="005521C8" w:rsidRPr="07069484">
        <w:rPr>
          <w:lang w:eastAsia="en-GB"/>
        </w:rPr>
        <w:t>27(1)(e)</w:t>
      </w:r>
      <w:r w:rsidR="00573BA7" w:rsidRPr="07069484">
        <w:rPr>
          <w:lang w:eastAsia="en-GB"/>
        </w:rPr>
        <w:t xml:space="preserve"> </w:t>
      </w:r>
      <w:r w:rsidR="00A01742" w:rsidRPr="07069484">
        <w:rPr>
          <w:lang w:eastAsia="en-GB"/>
        </w:rPr>
        <w:t>of</w:t>
      </w:r>
      <w:r w:rsidR="00573BA7" w:rsidRPr="07069484">
        <w:rPr>
          <w:lang w:eastAsia="en-GB"/>
        </w:rPr>
        <w:t xml:space="preserve"> </w:t>
      </w:r>
      <w:r w:rsidR="00A01742" w:rsidRPr="07069484">
        <w:rPr>
          <w:lang w:eastAsia="en-GB"/>
        </w:rPr>
        <w:t>the</w:t>
      </w:r>
      <w:r w:rsidR="00573BA7" w:rsidRPr="07069484">
        <w:rPr>
          <w:lang w:eastAsia="en-GB"/>
        </w:rPr>
        <w:t xml:space="preserve"> </w:t>
      </w:r>
      <w:r w:rsidR="00A01742" w:rsidRPr="07069484">
        <w:rPr>
          <w:lang w:eastAsia="en-GB"/>
        </w:rPr>
        <w:t>CRPD</w:t>
      </w:r>
      <w:r w:rsidR="00573BA7" w:rsidRPr="07069484">
        <w:rPr>
          <w:lang w:eastAsia="en-GB"/>
        </w:rPr>
        <w:t xml:space="preserve"> </w:t>
      </w:r>
      <w:r w:rsidR="005521C8" w:rsidRPr="07069484">
        <w:rPr>
          <w:lang w:eastAsia="en-GB"/>
        </w:rPr>
        <w:t>requires</w:t>
      </w:r>
      <w:r w:rsidR="00573BA7" w:rsidRPr="07069484">
        <w:rPr>
          <w:lang w:eastAsia="en-GB"/>
        </w:rPr>
        <w:t xml:space="preserve"> </w:t>
      </w:r>
      <w:r w:rsidR="005521C8" w:rsidRPr="07069484">
        <w:rPr>
          <w:lang w:eastAsia="en-GB"/>
        </w:rPr>
        <w:t>Australia</w:t>
      </w:r>
      <w:r w:rsidR="00573BA7" w:rsidRPr="07069484">
        <w:rPr>
          <w:lang w:eastAsia="en-GB"/>
        </w:rPr>
        <w:t xml:space="preserve"> </w:t>
      </w:r>
      <w:r w:rsidR="005521C8" w:rsidRPr="07069484">
        <w:rPr>
          <w:lang w:eastAsia="en-GB"/>
        </w:rPr>
        <w:t>to</w:t>
      </w:r>
      <w:r w:rsidR="00573BA7" w:rsidRPr="07069484">
        <w:rPr>
          <w:lang w:eastAsia="en-GB"/>
        </w:rPr>
        <w:t xml:space="preserve"> </w:t>
      </w:r>
      <w:r w:rsidR="005521C8" w:rsidRPr="07069484">
        <w:rPr>
          <w:lang w:eastAsia="en-GB"/>
        </w:rPr>
        <w:t>p</w:t>
      </w:r>
      <w:r w:rsidR="005521C8">
        <w:t>romote</w:t>
      </w:r>
      <w:r w:rsidR="00573BA7">
        <w:t xml:space="preserve"> </w:t>
      </w:r>
      <w:r w:rsidR="005521C8">
        <w:t>employment</w:t>
      </w:r>
      <w:r w:rsidR="00573BA7">
        <w:t xml:space="preserve"> </w:t>
      </w:r>
      <w:r w:rsidR="005521C8">
        <w:t>opportunities</w:t>
      </w:r>
      <w:r w:rsidR="00573BA7">
        <w:t xml:space="preserve"> </w:t>
      </w:r>
      <w:r w:rsidR="005521C8">
        <w:t>and</w:t>
      </w:r>
      <w:r w:rsidR="00573BA7">
        <w:t xml:space="preserve"> </w:t>
      </w:r>
      <w:r w:rsidR="005521C8">
        <w:t>career</w:t>
      </w:r>
      <w:r w:rsidR="00573BA7">
        <w:t xml:space="preserve"> </w:t>
      </w:r>
      <w:r w:rsidR="005521C8">
        <w:t>advancement</w:t>
      </w:r>
      <w:r w:rsidR="00573BA7">
        <w:t xml:space="preserve"> </w:t>
      </w:r>
      <w:r w:rsidR="005521C8">
        <w:t>for</w:t>
      </w:r>
      <w:r w:rsidR="00573BA7">
        <w:t xml:space="preserve"> </w:t>
      </w:r>
      <w:r w:rsidR="005521C8">
        <w:t>people</w:t>
      </w:r>
      <w:r w:rsidR="00573BA7">
        <w:t xml:space="preserve"> </w:t>
      </w:r>
      <w:r w:rsidR="005521C8">
        <w:t>with</w:t>
      </w:r>
      <w:r w:rsidR="00573BA7">
        <w:t xml:space="preserve"> </w:t>
      </w:r>
      <w:r w:rsidR="005521C8">
        <w:t>disability</w:t>
      </w:r>
      <w:r w:rsidR="00573BA7">
        <w:t xml:space="preserve"> </w:t>
      </w:r>
      <w:r w:rsidR="005521C8">
        <w:t>in</w:t>
      </w:r>
      <w:r w:rsidR="00573BA7">
        <w:t xml:space="preserve"> </w:t>
      </w:r>
      <w:r w:rsidR="005521C8">
        <w:t>the</w:t>
      </w:r>
      <w:r w:rsidR="00573BA7">
        <w:t xml:space="preserve"> </w:t>
      </w:r>
      <w:r w:rsidR="005521C8">
        <w:t>labour</w:t>
      </w:r>
      <w:r w:rsidR="00573BA7">
        <w:t xml:space="preserve"> </w:t>
      </w:r>
      <w:r w:rsidR="005521C8">
        <w:t>market,</w:t>
      </w:r>
      <w:r w:rsidR="00573BA7">
        <w:t xml:space="preserve"> </w:t>
      </w:r>
      <w:r w:rsidR="005521C8">
        <w:t>as</w:t>
      </w:r>
      <w:r w:rsidR="00573BA7">
        <w:t xml:space="preserve"> </w:t>
      </w:r>
      <w:r w:rsidR="005521C8">
        <w:t>well</w:t>
      </w:r>
      <w:r w:rsidR="00573BA7">
        <w:t xml:space="preserve"> </w:t>
      </w:r>
      <w:r w:rsidR="005521C8">
        <w:t>as</w:t>
      </w:r>
      <w:r w:rsidR="00573BA7">
        <w:t xml:space="preserve"> </w:t>
      </w:r>
      <w:r w:rsidR="005521C8">
        <w:t>assistance</w:t>
      </w:r>
      <w:r w:rsidR="00573BA7">
        <w:t xml:space="preserve"> </w:t>
      </w:r>
      <w:r w:rsidR="005521C8">
        <w:t>in</w:t>
      </w:r>
      <w:r w:rsidR="00573BA7">
        <w:t xml:space="preserve"> </w:t>
      </w:r>
      <w:r w:rsidR="005521C8">
        <w:t>finding,</w:t>
      </w:r>
      <w:r w:rsidR="00573BA7">
        <w:t xml:space="preserve"> </w:t>
      </w:r>
      <w:r w:rsidR="005521C8">
        <w:t>obtaining,</w:t>
      </w:r>
      <w:r w:rsidR="00573BA7">
        <w:t xml:space="preserve"> </w:t>
      </w:r>
      <w:r w:rsidR="005521C8">
        <w:t>maintaining</w:t>
      </w:r>
      <w:r w:rsidR="00573BA7">
        <w:t xml:space="preserve"> </w:t>
      </w:r>
      <w:r w:rsidR="005521C8">
        <w:t>and</w:t>
      </w:r>
      <w:r w:rsidR="00573BA7">
        <w:t xml:space="preserve"> </w:t>
      </w:r>
      <w:r w:rsidR="005521C8">
        <w:t>returning</w:t>
      </w:r>
      <w:r w:rsidR="00573BA7">
        <w:t xml:space="preserve"> </w:t>
      </w:r>
      <w:r w:rsidR="005521C8">
        <w:t>to</w:t>
      </w:r>
      <w:r w:rsidR="00573BA7">
        <w:t xml:space="preserve"> </w:t>
      </w:r>
      <w:r w:rsidR="005521C8">
        <w:t>employment.</w:t>
      </w:r>
      <w:r w:rsidR="00573BA7">
        <w:t xml:space="preserve"> </w:t>
      </w:r>
      <w:r w:rsidR="00D51377">
        <w:t>Similarly,</w:t>
      </w:r>
      <w:r w:rsidR="00573BA7">
        <w:t xml:space="preserve"> </w:t>
      </w:r>
      <w:r w:rsidR="00AA68A8">
        <w:t>A</w:t>
      </w:r>
      <w:r w:rsidR="00D51377">
        <w:t>rticle</w:t>
      </w:r>
      <w:r w:rsidR="00573BA7">
        <w:t xml:space="preserve"> </w:t>
      </w:r>
      <w:r w:rsidR="00D51377">
        <w:t>27(1)(j)</w:t>
      </w:r>
      <w:r w:rsidR="00573BA7">
        <w:t xml:space="preserve"> </w:t>
      </w:r>
      <w:r w:rsidR="00D51377">
        <w:t>requires</w:t>
      </w:r>
      <w:r w:rsidR="00573BA7">
        <w:t xml:space="preserve"> </w:t>
      </w:r>
      <w:r w:rsidR="00D51377">
        <w:t>Australia</w:t>
      </w:r>
      <w:r w:rsidR="00573BA7">
        <w:t xml:space="preserve"> </w:t>
      </w:r>
      <w:r w:rsidR="00D51377">
        <w:t>to</w:t>
      </w:r>
      <w:r w:rsidR="00573BA7">
        <w:t xml:space="preserve"> </w:t>
      </w:r>
      <w:r w:rsidR="00D51377">
        <w:t>promote</w:t>
      </w:r>
      <w:r w:rsidR="00573BA7">
        <w:t xml:space="preserve"> </w:t>
      </w:r>
      <w:r w:rsidR="00D51377">
        <w:t>the</w:t>
      </w:r>
      <w:r w:rsidR="00573BA7">
        <w:t xml:space="preserve"> </w:t>
      </w:r>
      <w:r w:rsidR="00D51377">
        <w:t>acquisition</w:t>
      </w:r>
      <w:r w:rsidR="00573BA7">
        <w:t xml:space="preserve"> </w:t>
      </w:r>
      <w:r w:rsidR="00D51377">
        <w:t>by</w:t>
      </w:r>
      <w:r w:rsidR="00573BA7">
        <w:t xml:space="preserve"> </w:t>
      </w:r>
      <w:r w:rsidR="00D51377">
        <w:t>people</w:t>
      </w:r>
      <w:r w:rsidR="00573BA7">
        <w:t xml:space="preserve"> </w:t>
      </w:r>
      <w:r w:rsidR="00D51377">
        <w:t>with</w:t>
      </w:r>
      <w:r w:rsidR="00573BA7">
        <w:t xml:space="preserve"> </w:t>
      </w:r>
      <w:r w:rsidR="00D51377">
        <w:t>disability</w:t>
      </w:r>
      <w:r w:rsidR="00573BA7">
        <w:t xml:space="preserve"> </w:t>
      </w:r>
      <w:r w:rsidR="00D51377">
        <w:t>of</w:t>
      </w:r>
      <w:r w:rsidR="00573BA7">
        <w:t xml:space="preserve"> </w:t>
      </w:r>
      <w:r w:rsidR="00D51377">
        <w:t>work</w:t>
      </w:r>
      <w:r w:rsidR="00573BA7">
        <w:t xml:space="preserve"> </w:t>
      </w:r>
      <w:r w:rsidR="00D51377">
        <w:t>experience</w:t>
      </w:r>
      <w:r w:rsidR="00573BA7">
        <w:t xml:space="preserve"> </w:t>
      </w:r>
      <w:r w:rsidR="00D51377">
        <w:t>in</w:t>
      </w:r>
      <w:r w:rsidR="00573BA7">
        <w:t xml:space="preserve"> </w:t>
      </w:r>
      <w:r w:rsidR="00D51377">
        <w:t>the</w:t>
      </w:r>
      <w:r w:rsidR="00573BA7">
        <w:t xml:space="preserve"> </w:t>
      </w:r>
      <w:r w:rsidR="00D51377">
        <w:t>open</w:t>
      </w:r>
      <w:r w:rsidR="00573BA7">
        <w:t xml:space="preserve"> </w:t>
      </w:r>
      <w:r w:rsidR="00D51377">
        <w:t>labour</w:t>
      </w:r>
      <w:r w:rsidR="00573BA7">
        <w:t xml:space="preserve"> </w:t>
      </w:r>
      <w:r w:rsidR="00D51377">
        <w:t>market.</w:t>
      </w:r>
      <w:r w:rsidR="00573BA7">
        <w:t xml:space="preserve">  </w:t>
      </w:r>
      <w:r w:rsidR="005521C8">
        <w:t>The</w:t>
      </w:r>
      <w:r w:rsidR="00573BA7">
        <w:t xml:space="preserve"> </w:t>
      </w:r>
      <w:r w:rsidR="005521C8">
        <w:t>ongoing</w:t>
      </w:r>
      <w:r w:rsidR="00573BA7">
        <w:t xml:space="preserve"> </w:t>
      </w:r>
      <w:r w:rsidR="005521C8">
        <w:t>maintenance</w:t>
      </w:r>
      <w:r w:rsidR="00573BA7">
        <w:t xml:space="preserve"> </w:t>
      </w:r>
      <w:r w:rsidR="005521C8">
        <w:t>of</w:t>
      </w:r>
      <w:r w:rsidR="00573BA7">
        <w:t xml:space="preserve"> </w:t>
      </w:r>
      <w:r w:rsidR="005521C8">
        <w:t>ADEs</w:t>
      </w:r>
      <w:r w:rsidR="00573BA7">
        <w:t xml:space="preserve"> </w:t>
      </w:r>
      <w:r w:rsidR="005521C8">
        <w:t>is</w:t>
      </w:r>
      <w:r w:rsidR="00573BA7">
        <w:t xml:space="preserve"> </w:t>
      </w:r>
      <w:r w:rsidR="005521C8">
        <w:t>inconsistent</w:t>
      </w:r>
      <w:r w:rsidR="00573BA7">
        <w:t xml:space="preserve"> </w:t>
      </w:r>
      <w:r w:rsidR="005521C8">
        <w:t>with</w:t>
      </w:r>
      <w:r w:rsidR="00573BA7">
        <w:t xml:space="preserve"> </w:t>
      </w:r>
      <w:r w:rsidR="00D51377">
        <w:t>those</w:t>
      </w:r>
      <w:r w:rsidR="00573BA7">
        <w:t xml:space="preserve"> </w:t>
      </w:r>
      <w:r w:rsidR="005521C8">
        <w:t>obligation</w:t>
      </w:r>
      <w:r w:rsidR="00D51377">
        <w:t>s</w:t>
      </w:r>
      <w:r w:rsidR="005521C8">
        <w:t>,</w:t>
      </w:r>
      <w:r w:rsidR="00573BA7">
        <w:t xml:space="preserve"> </w:t>
      </w:r>
      <w:r w:rsidR="005521C8">
        <w:t>given</w:t>
      </w:r>
      <w:r w:rsidR="00573BA7">
        <w:t xml:space="preserve"> </w:t>
      </w:r>
      <w:r w:rsidR="005521C8">
        <w:t>that</w:t>
      </w:r>
      <w:r w:rsidR="00573BA7">
        <w:t xml:space="preserve"> </w:t>
      </w:r>
      <w:r w:rsidR="005521C8">
        <w:t>people</w:t>
      </w:r>
      <w:r w:rsidR="00573BA7">
        <w:t xml:space="preserve"> </w:t>
      </w:r>
      <w:r w:rsidR="005521C8">
        <w:t>with</w:t>
      </w:r>
      <w:r w:rsidR="00573BA7">
        <w:t xml:space="preserve"> </w:t>
      </w:r>
      <w:r w:rsidR="005521C8">
        <w:t>disability</w:t>
      </w:r>
      <w:r w:rsidR="00573BA7">
        <w:t xml:space="preserve"> </w:t>
      </w:r>
      <w:r w:rsidR="005521C8">
        <w:t>who</w:t>
      </w:r>
      <w:r w:rsidR="00573BA7">
        <w:t xml:space="preserve"> </w:t>
      </w:r>
      <w:r w:rsidR="005521C8">
        <w:t>are</w:t>
      </w:r>
      <w:r w:rsidR="00573BA7">
        <w:t xml:space="preserve"> </w:t>
      </w:r>
      <w:r w:rsidR="005521C8">
        <w:t>employed</w:t>
      </w:r>
      <w:r w:rsidR="00573BA7">
        <w:t xml:space="preserve"> </w:t>
      </w:r>
      <w:r w:rsidR="005521C8">
        <w:t>in</w:t>
      </w:r>
      <w:r w:rsidR="00573BA7">
        <w:t xml:space="preserve"> </w:t>
      </w:r>
      <w:r w:rsidR="005521C8">
        <w:t>ADEs</w:t>
      </w:r>
      <w:r w:rsidR="00573BA7">
        <w:t xml:space="preserve"> </w:t>
      </w:r>
      <w:r w:rsidR="005521C8">
        <w:t>have</w:t>
      </w:r>
      <w:r w:rsidR="00573BA7">
        <w:t xml:space="preserve"> </w:t>
      </w:r>
      <w:r w:rsidR="005521C8" w:rsidRPr="07069484">
        <w:rPr>
          <w:i/>
          <w:iCs/>
        </w:rPr>
        <w:t>a</w:t>
      </w:r>
      <w:r w:rsidR="00573BA7">
        <w:t xml:space="preserve"> </w:t>
      </w:r>
      <w:r w:rsidR="005521C8">
        <w:t>job</w:t>
      </w:r>
      <w:r w:rsidR="00573BA7">
        <w:t xml:space="preserve"> </w:t>
      </w:r>
      <w:r w:rsidR="005521C8">
        <w:t>but</w:t>
      </w:r>
      <w:r w:rsidR="00573BA7">
        <w:t xml:space="preserve"> </w:t>
      </w:r>
      <w:r w:rsidR="005521C8">
        <w:t>rarely</w:t>
      </w:r>
      <w:r w:rsidR="00573BA7">
        <w:t xml:space="preserve"> </w:t>
      </w:r>
      <w:r w:rsidR="005521C8">
        <w:t>advance</w:t>
      </w:r>
      <w:r w:rsidR="00573BA7">
        <w:t xml:space="preserve"> </w:t>
      </w:r>
      <w:r w:rsidR="005521C8">
        <w:t>their</w:t>
      </w:r>
      <w:r w:rsidR="00573BA7">
        <w:t xml:space="preserve"> </w:t>
      </w:r>
      <w:r w:rsidR="005521C8">
        <w:t>careers</w:t>
      </w:r>
      <w:r w:rsidR="00573BA7">
        <w:t xml:space="preserve"> </w:t>
      </w:r>
      <w:r w:rsidR="005521C8">
        <w:t>into</w:t>
      </w:r>
      <w:r w:rsidR="00573BA7">
        <w:t xml:space="preserve"> </w:t>
      </w:r>
      <w:r w:rsidR="005521C8">
        <w:t>the</w:t>
      </w:r>
      <w:r w:rsidR="00573BA7">
        <w:t xml:space="preserve"> </w:t>
      </w:r>
      <w:r w:rsidR="005521C8">
        <w:t>open</w:t>
      </w:r>
      <w:r w:rsidR="00573BA7">
        <w:t xml:space="preserve"> </w:t>
      </w:r>
      <w:r w:rsidR="005521C8">
        <w:t>labour</w:t>
      </w:r>
      <w:r w:rsidR="00573BA7">
        <w:t xml:space="preserve"> </w:t>
      </w:r>
      <w:r w:rsidR="005521C8">
        <w:t>market.</w:t>
      </w:r>
    </w:p>
    <w:p w14:paraId="6EACF94D" w14:textId="1D4ED69D" w:rsidR="005521C8" w:rsidRDefault="00FB493D" w:rsidP="005521C8">
      <w:pPr>
        <w:pStyle w:val="ListNumber"/>
        <w:rPr>
          <w:lang w:eastAsia="en-GB"/>
        </w:rPr>
      </w:pPr>
      <w:r>
        <w:t>T</w:t>
      </w:r>
      <w:r w:rsidR="00F06175">
        <w:t>he</w:t>
      </w:r>
      <w:r w:rsidR="00573BA7">
        <w:t xml:space="preserve"> </w:t>
      </w:r>
      <w:r w:rsidR="002F1964" w:rsidRPr="00BC4DA8">
        <w:t>CRPD</w:t>
      </w:r>
      <w:r w:rsidR="00573BA7">
        <w:t xml:space="preserve"> </w:t>
      </w:r>
      <w:r w:rsidR="002F1964" w:rsidRPr="00BC4DA8">
        <w:t>Committee</w:t>
      </w:r>
      <w:r w:rsidR="00573BA7">
        <w:t xml:space="preserve"> </w:t>
      </w:r>
      <w:r w:rsidR="002F1964" w:rsidRPr="00BC4DA8">
        <w:t>has</w:t>
      </w:r>
      <w:r w:rsidR="00573BA7">
        <w:t xml:space="preserve"> </w:t>
      </w:r>
      <w:r>
        <w:t>also</w:t>
      </w:r>
      <w:r w:rsidR="00573BA7">
        <w:t xml:space="preserve"> </w:t>
      </w:r>
      <w:r w:rsidR="002F1964" w:rsidRPr="00BC4DA8">
        <w:t>expressed</w:t>
      </w:r>
      <w:r w:rsidR="00573BA7">
        <w:t xml:space="preserve"> </w:t>
      </w:r>
      <w:r w:rsidR="002F1964" w:rsidRPr="00BC4DA8">
        <w:t>concerns</w:t>
      </w:r>
      <w:r w:rsidR="00573BA7">
        <w:t xml:space="preserve"> </w:t>
      </w:r>
      <w:r w:rsidR="002F1964" w:rsidRPr="00BC4DA8">
        <w:t>that</w:t>
      </w:r>
      <w:r w:rsidR="00573BA7">
        <w:t xml:space="preserve"> </w:t>
      </w:r>
      <w:r w:rsidR="002F1964" w:rsidRPr="00BC4DA8">
        <w:t>people</w:t>
      </w:r>
      <w:r w:rsidR="00573BA7">
        <w:t xml:space="preserve"> </w:t>
      </w:r>
      <w:r w:rsidR="002F1964" w:rsidRPr="00BC4DA8">
        <w:t>with</w:t>
      </w:r>
      <w:r w:rsidR="00573BA7">
        <w:t xml:space="preserve"> </w:t>
      </w:r>
      <w:r w:rsidR="002F1964" w:rsidRPr="00BC4DA8">
        <w:t>disability</w:t>
      </w:r>
      <w:r w:rsidR="00573BA7">
        <w:t xml:space="preserve"> </w:t>
      </w:r>
      <w:r w:rsidR="002F1964" w:rsidRPr="00BC4DA8">
        <w:t>cannot</w:t>
      </w:r>
      <w:r w:rsidR="00573BA7">
        <w:t xml:space="preserve"> </w:t>
      </w:r>
      <w:r>
        <w:t>establish</w:t>
      </w:r>
      <w:r w:rsidR="00573BA7">
        <w:t xml:space="preserve"> </w:t>
      </w:r>
      <w:r w:rsidR="002F1964" w:rsidRPr="00BC4DA8">
        <w:t>a</w:t>
      </w:r>
      <w:r w:rsidR="00573BA7">
        <w:t xml:space="preserve"> </w:t>
      </w:r>
      <w:r w:rsidR="002F1964" w:rsidRPr="00BC4DA8">
        <w:t>representative</w:t>
      </w:r>
      <w:r w:rsidR="00573BA7">
        <w:t xml:space="preserve"> </w:t>
      </w:r>
      <w:r w:rsidR="002F1964" w:rsidRPr="00BC4DA8">
        <w:t>trade</w:t>
      </w:r>
      <w:r w:rsidR="00573BA7">
        <w:t xml:space="preserve"> </w:t>
      </w:r>
      <w:r w:rsidR="002F1964" w:rsidRPr="00BC4DA8">
        <w:t>union</w:t>
      </w:r>
      <w:r w:rsidR="00573BA7">
        <w:t xml:space="preserve"> </w:t>
      </w:r>
      <w:r w:rsidR="002F1964" w:rsidRPr="00BC4DA8">
        <w:t>in</w:t>
      </w:r>
      <w:r w:rsidR="00573BA7">
        <w:t xml:space="preserve"> </w:t>
      </w:r>
      <w:r w:rsidR="002F1964" w:rsidRPr="00BC4DA8">
        <w:t>the</w:t>
      </w:r>
      <w:r w:rsidR="00573BA7">
        <w:t xml:space="preserve"> </w:t>
      </w:r>
      <w:r w:rsidR="002F1964" w:rsidRPr="00BC4DA8">
        <w:t>open</w:t>
      </w:r>
      <w:r w:rsidR="00573BA7">
        <w:t xml:space="preserve"> </w:t>
      </w:r>
      <w:r w:rsidR="002F1964" w:rsidRPr="00BC4DA8">
        <w:t>labour</w:t>
      </w:r>
      <w:r w:rsidR="00573BA7">
        <w:t xml:space="preserve"> </w:t>
      </w:r>
      <w:r w:rsidR="002F1964" w:rsidRPr="00BC4DA8">
        <w:t>market</w:t>
      </w:r>
      <w:r w:rsidR="00573BA7">
        <w:t xml:space="preserve"> </w:t>
      </w:r>
      <w:r>
        <w:t>because</w:t>
      </w:r>
      <w:r w:rsidR="00573BA7">
        <w:t xml:space="preserve"> </w:t>
      </w:r>
      <w:r>
        <w:t>of</w:t>
      </w:r>
      <w:r w:rsidR="00573BA7">
        <w:t xml:space="preserve"> </w:t>
      </w:r>
      <w:r w:rsidR="002F1964" w:rsidRPr="00BC4DA8">
        <w:t>their</w:t>
      </w:r>
      <w:r w:rsidR="00573BA7">
        <w:t xml:space="preserve"> </w:t>
      </w:r>
      <w:r w:rsidR="002F1964" w:rsidRPr="00BC4DA8">
        <w:t>low</w:t>
      </w:r>
      <w:r w:rsidR="00573BA7">
        <w:t xml:space="preserve"> </w:t>
      </w:r>
      <w:r w:rsidR="002F1964" w:rsidRPr="00BC4DA8">
        <w:t>representation</w:t>
      </w:r>
      <w:r>
        <w:t>,</w:t>
      </w:r>
      <w:r w:rsidR="00573BA7">
        <w:t xml:space="preserve"> </w:t>
      </w:r>
      <w:r>
        <w:t>which</w:t>
      </w:r>
      <w:r w:rsidR="00573BA7">
        <w:t xml:space="preserve"> </w:t>
      </w:r>
      <w:r>
        <w:t>may</w:t>
      </w:r>
      <w:r w:rsidR="00573BA7">
        <w:t xml:space="preserve"> </w:t>
      </w:r>
      <w:r>
        <w:t>conflict</w:t>
      </w:r>
      <w:r w:rsidR="00573BA7">
        <w:t xml:space="preserve"> </w:t>
      </w:r>
      <w:r>
        <w:t>with</w:t>
      </w:r>
      <w:r w:rsidR="00573BA7">
        <w:t xml:space="preserve"> </w:t>
      </w:r>
      <w:r>
        <w:t>the</w:t>
      </w:r>
      <w:r w:rsidR="00573BA7">
        <w:t xml:space="preserve"> </w:t>
      </w:r>
      <w:r>
        <w:t>right</w:t>
      </w:r>
      <w:r w:rsidR="00573BA7">
        <w:t xml:space="preserve"> </w:t>
      </w:r>
      <w:r>
        <w:t>provided</w:t>
      </w:r>
      <w:r w:rsidR="00573BA7">
        <w:t xml:space="preserve"> </w:t>
      </w:r>
      <w:r w:rsidRPr="00FB493D">
        <w:t>by</w:t>
      </w:r>
      <w:r w:rsidR="00573BA7">
        <w:t xml:space="preserve"> </w:t>
      </w:r>
      <w:r w:rsidRPr="00FB493D">
        <w:t>Article</w:t>
      </w:r>
      <w:r w:rsidR="00573BA7">
        <w:t xml:space="preserve"> </w:t>
      </w:r>
      <w:r w:rsidRPr="00FB493D">
        <w:t>27(1)(c)</w:t>
      </w:r>
      <w:r w:rsidR="00573BA7">
        <w:t xml:space="preserve"> </w:t>
      </w:r>
      <w:r w:rsidRPr="00FB493D">
        <w:t>of</w:t>
      </w:r>
      <w:r w:rsidR="00573BA7">
        <w:t xml:space="preserve"> </w:t>
      </w:r>
      <w:r w:rsidRPr="00FB493D">
        <w:t>the</w:t>
      </w:r>
      <w:r w:rsidR="00573BA7">
        <w:t xml:space="preserve"> </w:t>
      </w:r>
      <w:r w:rsidRPr="00FB493D">
        <w:t>CRPD</w:t>
      </w:r>
      <w:r w:rsidR="00573BA7">
        <w:t xml:space="preserve"> </w:t>
      </w:r>
      <w:r>
        <w:t>to</w:t>
      </w:r>
      <w:r w:rsidR="00573BA7">
        <w:t xml:space="preserve"> </w:t>
      </w:r>
      <w:r>
        <w:t>exercise</w:t>
      </w:r>
      <w:r w:rsidR="00573BA7">
        <w:t xml:space="preserve"> </w:t>
      </w:r>
      <w:r w:rsidRPr="00FB493D">
        <w:t>trade</w:t>
      </w:r>
      <w:r w:rsidR="00573BA7">
        <w:t xml:space="preserve"> </w:t>
      </w:r>
      <w:r w:rsidRPr="00FB493D">
        <w:t>union</w:t>
      </w:r>
      <w:r w:rsidR="00573BA7">
        <w:t xml:space="preserve"> </w:t>
      </w:r>
      <w:r>
        <w:t>rights</w:t>
      </w:r>
      <w:r w:rsidR="00573BA7">
        <w:t xml:space="preserve"> </w:t>
      </w:r>
      <w:r w:rsidRPr="00FB493D">
        <w:t>on</w:t>
      </w:r>
      <w:r w:rsidR="00573BA7">
        <w:t xml:space="preserve"> </w:t>
      </w:r>
      <w:r w:rsidRPr="00FB493D">
        <w:t>an</w:t>
      </w:r>
      <w:r w:rsidR="00573BA7">
        <w:t xml:space="preserve"> </w:t>
      </w:r>
      <w:r w:rsidRPr="00FB493D">
        <w:t>equal</w:t>
      </w:r>
      <w:r w:rsidR="00573BA7">
        <w:t xml:space="preserve"> </w:t>
      </w:r>
      <w:r w:rsidRPr="00FB493D">
        <w:t>basis</w:t>
      </w:r>
      <w:r w:rsidR="00573BA7">
        <w:t xml:space="preserve"> </w:t>
      </w:r>
      <w:r w:rsidRPr="00FB493D">
        <w:t>with</w:t>
      </w:r>
      <w:r w:rsidR="00573BA7">
        <w:t xml:space="preserve"> </w:t>
      </w:r>
      <w:r w:rsidRPr="00FB493D">
        <w:t>others</w:t>
      </w:r>
      <w:r w:rsidR="002F1964" w:rsidRPr="00BC4DA8">
        <w:t>.</w:t>
      </w:r>
      <w:r w:rsidR="002F1964" w:rsidRPr="00BC4DA8">
        <w:rPr>
          <w:rStyle w:val="EndnoteReference"/>
        </w:rPr>
        <w:endnoteReference w:id="120"/>
      </w:r>
    </w:p>
    <w:p w14:paraId="7CE4E792" w14:textId="77777777" w:rsidR="005521C8" w:rsidRDefault="005521C8" w:rsidP="005521C8">
      <w:pPr>
        <w:pStyle w:val="ListNumber"/>
        <w:rPr>
          <w:lang w:eastAsia="en-GB"/>
        </w:rPr>
      </w:pPr>
      <w:r>
        <w:t>Accordingly,</w:t>
      </w:r>
      <w:r w:rsidR="00573BA7">
        <w:t xml:space="preserve"> </w:t>
      </w:r>
      <w:r>
        <w:t>Australia’s</w:t>
      </w:r>
      <w:r w:rsidR="00573BA7">
        <w:t xml:space="preserve"> </w:t>
      </w:r>
      <w:r>
        <w:t>ongoing</w:t>
      </w:r>
      <w:r w:rsidR="00573BA7">
        <w:t xml:space="preserve"> </w:t>
      </w:r>
      <w:r>
        <w:t>maintenance</w:t>
      </w:r>
      <w:r w:rsidR="00573BA7">
        <w:t xml:space="preserve"> </w:t>
      </w:r>
      <w:r>
        <w:t>and</w:t>
      </w:r>
      <w:r w:rsidR="00573BA7">
        <w:t xml:space="preserve"> </w:t>
      </w:r>
      <w:r>
        <w:t>promotion</w:t>
      </w:r>
      <w:r w:rsidR="00573BA7">
        <w:t xml:space="preserve"> </w:t>
      </w:r>
      <w:r>
        <w:t>of</w:t>
      </w:r>
      <w:r w:rsidR="00573BA7">
        <w:t xml:space="preserve"> </w:t>
      </w:r>
      <w:r>
        <w:t>ADEs</w:t>
      </w:r>
      <w:r w:rsidR="00573BA7">
        <w:t xml:space="preserve"> </w:t>
      </w:r>
      <w:r>
        <w:t>is</w:t>
      </w:r>
      <w:r w:rsidR="00573BA7">
        <w:t xml:space="preserve"> </w:t>
      </w:r>
      <w:r>
        <w:t>inconsistent</w:t>
      </w:r>
      <w:r w:rsidR="00573BA7">
        <w:t xml:space="preserve"> </w:t>
      </w:r>
      <w:r>
        <w:t>with</w:t>
      </w:r>
      <w:r w:rsidR="00573BA7">
        <w:t xml:space="preserve"> </w:t>
      </w:r>
      <w:r>
        <w:t>its</w:t>
      </w:r>
      <w:r w:rsidR="00573BA7">
        <w:t xml:space="preserve"> </w:t>
      </w:r>
      <w:r>
        <w:t>obligations</w:t>
      </w:r>
      <w:r w:rsidR="00573BA7">
        <w:t xml:space="preserve"> </w:t>
      </w:r>
      <w:r>
        <w:t>regarding</w:t>
      </w:r>
      <w:r w:rsidR="00573BA7">
        <w:t xml:space="preserve"> </w:t>
      </w:r>
      <w:r>
        <w:t>the</w:t>
      </w:r>
      <w:r w:rsidR="00573BA7">
        <w:t xml:space="preserve"> </w:t>
      </w:r>
      <w:r>
        <w:t>right</w:t>
      </w:r>
      <w:r w:rsidR="00573BA7">
        <w:t xml:space="preserve"> </w:t>
      </w:r>
      <w:r>
        <w:t>of</w:t>
      </w:r>
      <w:r w:rsidR="00573BA7">
        <w:t xml:space="preserve"> </w:t>
      </w:r>
      <w:r>
        <w:t>people</w:t>
      </w:r>
      <w:r w:rsidR="00573BA7">
        <w:t xml:space="preserve"> </w:t>
      </w:r>
      <w:r>
        <w:t>with</w:t>
      </w:r>
      <w:r w:rsidR="00573BA7">
        <w:t xml:space="preserve"> </w:t>
      </w:r>
      <w:r>
        <w:t>disability</w:t>
      </w:r>
      <w:r w:rsidR="00573BA7">
        <w:t xml:space="preserve"> </w:t>
      </w:r>
      <w:r>
        <w:t>to</w:t>
      </w:r>
      <w:r w:rsidR="00573BA7">
        <w:t xml:space="preserve"> </w:t>
      </w:r>
      <w:r>
        <w:t>work</w:t>
      </w:r>
      <w:r w:rsidR="00573BA7">
        <w:t xml:space="preserve"> </w:t>
      </w:r>
      <w:r>
        <w:t>on</w:t>
      </w:r>
      <w:r w:rsidR="00573BA7">
        <w:t xml:space="preserve"> </w:t>
      </w:r>
      <w:r>
        <w:t>an</w:t>
      </w:r>
      <w:r w:rsidR="00573BA7">
        <w:t xml:space="preserve"> </w:t>
      </w:r>
      <w:r>
        <w:t>equal</w:t>
      </w:r>
      <w:r w:rsidR="00573BA7">
        <w:t xml:space="preserve"> </w:t>
      </w:r>
      <w:r>
        <w:t>basis</w:t>
      </w:r>
      <w:r w:rsidR="00573BA7">
        <w:t xml:space="preserve"> </w:t>
      </w:r>
      <w:r>
        <w:t>with</w:t>
      </w:r>
      <w:r w:rsidR="00573BA7">
        <w:t xml:space="preserve"> </w:t>
      </w:r>
      <w:r>
        <w:t>others</w:t>
      </w:r>
      <w:r w:rsidR="00573BA7">
        <w:t xml:space="preserve"> </w:t>
      </w:r>
      <w:r>
        <w:t>under</w:t>
      </w:r>
      <w:r w:rsidR="00573BA7">
        <w:t xml:space="preserve"> </w:t>
      </w:r>
      <w:r>
        <w:t>Article</w:t>
      </w:r>
      <w:r w:rsidR="00573BA7">
        <w:t xml:space="preserve"> </w:t>
      </w:r>
      <w:r>
        <w:t>27</w:t>
      </w:r>
      <w:r w:rsidR="00573BA7">
        <w:t xml:space="preserve"> </w:t>
      </w:r>
      <w:r>
        <w:t>of</w:t>
      </w:r>
      <w:r w:rsidR="00573BA7">
        <w:t xml:space="preserve"> </w:t>
      </w:r>
      <w:r>
        <w:t>the</w:t>
      </w:r>
      <w:r w:rsidR="00573BA7">
        <w:t xml:space="preserve"> </w:t>
      </w:r>
      <w:r>
        <w:t>CRPD.</w:t>
      </w:r>
    </w:p>
    <w:p w14:paraId="7494BBC1" w14:textId="5DFF644D" w:rsidR="005521C8" w:rsidRDefault="005521C8" w:rsidP="005521C8">
      <w:pPr>
        <w:pStyle w:val="ListNumber"/>
      </w:pPr>
      <w:r>
        <w:rPr>
          <w:lang w:eastAsia="en-GB"/>
        </w:rPr>
        <w:t>To</w:t>
      </w:r>
      <w:r w:rsidR="00573BA7">
        <w:rPr>
          <w:lang w:eastAsia="en-GB"/>
        </w:rPr>
        <w:t xml:space="preserve"> </w:t>
      </w:r>
      <w:r>
        <w:rPr>
          <w:lang w:eastAsia="en-GB"/>
        </w:rPr>
        <w:t>satisfy</w:t>
      </w:r>
      <w:r w:rsidR="00573BA7">
        <w:rPr>
          <w:lang w:eastAsia="en-GB"/>
        </w:rPr>
        <w:t xml:space="preserve"> </w:t>
      </w:r>
      <w:r>
        <w:rPr>
          <w:lang w:eastAsia="en-GB"/>
        </w:rPr>
        <w:t>its</w:t>
      </w:r>
      <w:r w:rsidR="00573BA7">
        <w:rPr>
          <w:lang w:eastAsia="en-GB"/>
        </w:rPr>
        <w:t xml:space="preserve"> </w:t>
      </w:r>
      <w:r>
        <w:rPr>
          <w:lang w:eastAsia="en-GB"/>
        </w:rPr>
        <w:t>obligations</w:t>
      </w:r>
      <w:r w:rsidR="00573BA7">
        <w:rPr>
          <w:lang w:eastAsia="en-GB"/>
        </w:rPr>
        <w:t xml:space="preserve"> </w:t>
      </w:r>
      <w:r>
        <w:rPr>
          <w:lang w:eastAsia="en-GB"/>
        </w:rPr>
        <w:t>under</w:t>
      </w:r>
      <w:r w:rsidR="00573BA7">
        <w:rPr>
          <w:lang w:eastAsia="en-GB"/>
        </w:rPr>
        <w:t xml:space="preserve"> </w:t>
      </w:r>
      <w:r>
        <w:rPr>
          <w:lang w:eastAsia="en-GB"/>
        </w:rPr>
        <w:t>Article</w:t>
      </w:r>
      <w:r w:rsidR="00573BA7">
        <w:rPr>
          <w:lang w:eastAsia="en-GB"/>
        </w:rPr>
        <w:t xml:space="preserve"> </w:t>
      </w:r>
      <w:r>
        <w:rPr>
          <w:lang w:eastAsia="en-GB"/>
        </w:rPr>
        <w:t>27</w:t>
      </w:r>
      <w:r w:rsidR="00573BA7">
        <w:rPr>
          <w:lang w:eastAsia="en-GB"/>
        </w:rPr>
        <w:t xml:space="preserve"> </w:t>
      </w:r>
      <w:r>
        <w:rPr>
          <w:lang w:eastAsia="en-GB"/>
        </w:rPr>
        <w:t>of</w:t>
      </w:r>
      <w:r w:rsidR="00573BA7">
        <w:rPr>
          <w:lang w:eastAsia="en-GB"/>
        </w:rPr>
        <w:t xml:space="preserve"> </w:t>
      </w:r>
      <w:r>
        <w:rPr>
          <w:lang w:eastAsia="en-GB"/>
        </w:rPr>
        <w:t>the</w:t>
      </w:r>
      <w:r w:rsidR="00573BA7">
        <w:rPr>
          <w:lang w:eastAsia="en-GB"/>
        </w:rPr>
        <w:t xml:space="preserve"> </w:t>
      </w:r>
      <w:r w:rsidR="00D56988">
        <w:rPr>
          <w:lang w:eastAsia="en-GB"/>
        </w:rPr>
        <w:t>CRPD</w:t>
      </w:r>
      <w:r>
        <w:rPr>
          <w:lang w:eastAsia="en-GB"/>
        </w:rPr>
        <w:t>,</w:t>
      </w:r>
      <w:r w:rsidR="00573BA7">
        <w:rPr>
          <w:lang w:eastAsia="en-GB"/>
        </w:rPr>
        <w:t xml:space="preserve"> </w:t>
      </w:r>
      <w:r>
        <w:rPr>
          <w:lang w:eastAsia="en-GB"/>
        </w:rPr>
        <w:t>Australia</w:t>
      </w:r>
      <w:r w:rsidR="00573BA7">
        <w:rPr>
          <w:lang w:eastAsia="en-GB"/>
        </w:rPr>
        <w:t xml:space="preserve"> </w:t>
      </w:r>
      <w:r>
        <w:rPr>
          <w:lang w:eastAsia="en-GB"/>
        </w:rPr>
        <w:t>must</w:t>
      </w:r>
      <w:r w:rsidR="00573BA7">
        <w:rPr>
          <w:lang w:eastAsia="en-GB"/>
        </w:rPr>
        <w:t xml:space="preserve"> </w:t>
      </w:r>
      <w:r>
        <w:rPr>
          <w:lang w:eastAsia="en-GB"/>
        </w:rPr>
        <w:t>strengthen</w:t>
      </w:r>
      <w:r w:rsidR="00573BA7">
        <w:rPr>
          <w:lang w:eastAsia="en-GB"/>
        </w:rPr>
        <w:t xml:space="preserve"> </w:t>
      </w:r>
      <w:r>
        <w:rPr>
          <w:lang w:eastAsia="en-GB"/>
        </w:rPr>
        <w:t>its</w:t>
      </w:r>
      <w:r w:rsidR="00573BA7">
        <w:rPr>
          <w:lang w:eastAsia="en-GB"/>
        </w:rPr>
        <w:t xml:space="preserve"> </w:t>
      </w:r>
      <w:r>
        <w:rPr>
          <w:lang w:eastAsia="en-GB"/>
        </w:rPr>
        <w:t>efforts</w:t>
      </w:r>
      <w:r w:rsidR="00573BA7">
        <w:rPr>
          <w:lang w:eastAsia="en-GB"/>
        </w:rPr>
        <w:t xml:space="preserve"> </w:t>
      </w:r>
      <w:r>
        <w:rPr>
          <w:lang w:eastAsia="en-GB"/>
        </w:rPr>
        <w:t>to</w:t>
      </w:r>
      <w:r w:rsidR="00573BA7">
        <w:rPr>
          <w:lang w:eastAsia="en-GB"/>
        </w:rPr>
        <w:t xml:space="preserve"> </w:t>
      </w:r>
      <w:r>
        <w:rPr>
          <w:lang w:eastAsia="en-GB"/>
        </w:rPr>
        <w:t>support</w:t>
      </w:r>
      <w:r w:rsidR="00573BA7">
        <w:rPr>
          <w:lang w:eastAsia="en-GB"/>
        </w:rPr>
        <w:t xml:space="preserve"> </w:t>
      </w:r>
      <w:r>
        <w:rPr>
          <w:lang w:eastAsia="en-GB"/>
        </w:rPr>
        <w:t>the</w:t>
      </w:r>
      <w:r w:rsidR="00573BA7">
        <w:rPr>
          <w:lang w:eastAsia="en-GB"/>
        </w:rPr>
        <w:t xml:space="preserve"> </w:t>
      </w:r>
      <w:r>
        <w:rPr>
          <w:lang w:eastAsia="en-GB"/>
        </w:rPr>
        <w:t>transition</w:t>
      </w:r>
      <w:r w:rsidR="00573BA7">
        <w:rPr>
          <w:lang w:eastAsia="en-GB"/>
        </w:rPr>
        <w:t xml:space="preserve"> </w:t>
      </w:r>
      <w:r>
        <w:rPr>
          <w:lang w:eastAsia="en-GB"/>
        </w:rPr>
        <w:t>of</w:t>
      </w:r>
      <w:r w:rsidR="00573BA7">
        <w:rPr>
          <w:lang w:eastAsia="en-GB"/>
        </w:rPr>
        <w:t xml:space="preserve"> </w:t>
      </w:r>
      <w:r>
        <w:rPr>
          <w:lang w:eastAsia="en-GB"/>
        </w:rPr>
        <w:t>all</w:t>
      </w:r>
      <w:r w:rsidR="00573BA7">
        <w:rPr>
          <w:lang w:eastAsia="en-GB"/>
        </w:rPr>
        <w:t xml:space="preserve"> </w:t>
      </w:r>
      <w:r>
        <w:rPr>
          <w:lang w:eastAsia="en-GB"/>
        </w:rPr>
        <w:t>people</w:t>
      </w:r>
      <w:r w:rsidR="00573BA7">
        <w:rPr>
          <w:lang w:eastAsia="en-GB"/>
        </w:rPr>
        <w:t xml:space="preserve"> </w:t>
      </w:r>
      <w:r>
        <w:rPr>
          <w:lang w:eastAsia="en-GB"/>
        </w:rPr>
        <w:t>with</w:t>
      </w:r>
      <w:r w:rsidR="00573BA7">
        <w:rPr>
          <w:lang w:eastAsia="en-GB"/>
        </w:rPr>
        <w:t xml:space="preserve"> </w:t>
      </w:r>
      <w:r>
        <w:rPr>
          <w:lang w:eastAsia="en-GB"/>
        </w:rPr>
        <w:t>disability</w:t>
      </w:r>
      <w:r w:rsidR="00573BA7">
        <w:rPr>
          <w:lang w:eastAsia="en-GB"/>
        </w:rPr>
        <w:t xml:space="preserve"> </w:t>
      </w:r>
      <w:r>
        <w:rPr>
          <w:lang w:eastAsia="en-GB"/>
        </w:rPr>
        <w:lastRenderedPageBreak/>
        <w:t>who</w:t>
      </w:r>
      <w:r w:rsidR="00573BA7">
        <w:rPr>
          <w:lang w:eastAsia="en-GB"/>
        </w:rPr>
        <w:t xml:space="preserve"> </w:t>
      </w:r>
      <w:r>
        <w:rPr>
          <w:lang w:eastAsia="en-GB"/>
        </w:rPr>
        <w:t>are</w:t>
      </w:r>
      <w:r w:rsidR="00573BA7">
        <w:rPr>
          <w:lang w:eastAsia="en-GB"/>
        </w:rPr>
        <w:t xml:space="preserve"> </w:t>
      </w:r>
      <w:r>
        <w:rPr>
          <w:lang w:eastAsia="en-GB"/>
        </w:rPr>
        <w:t>currently</w:t>
      </w:r>
      <w:r w:rsidR="00573BA7">
        <w:rPr>
          <w:lang w:eastAsia="en-GB"/>
        </w:rPr>
        <w:t xml:space="preserve"> </w:t>
      </w:r>
      <w:r>
        <w:rPr>
          <w:lang w:eastAsia="en-GB"/>
        </w:rPr>
        <w:t>employed</w:t>
      </w:r>
      <w:r w:rsidR="00573BA7">
        <w:rPr>
          <w:lang w:eastAsia="en-GB"/>
        </w:rPr>
        <w:t xml:space="preserve"> </w:t>
      </w:r>
      <w:r>
        <w:rPr>
          <w:lang w:eastAsia="en-GB"/>
        </w:rPr>
        <w:t>in</w:t>
      </w:r>
      <w:r w:rsidR="00573BA7">
        <w:rPr>
          <w:lang w:eastAsia="en-GB"/>
        </w:rPr>
        <w:t xml:space="preserve"> </w:t>
      </w:r>
      <w:r>
        <w:rPr>
          <w:lang w:eastAsia="en-GB"/>
        </w:rPr>
        <w:t>ADEs</w:t>
      </w:r>
      <w:r w:rsidR="00573BA7">
        <w:rPr>
          <w:lang w:eastAsia="en-GB"/>
        </w:rPr>
        <w:t xml:space="preserve"> </w:t>
      </w:r>
      <w:r>
        <w:rPr>
          <w:lang w:eastAsia="en-GB"/>
        </w:rPr>
        <w:t>into</w:t>
      </w:r>
      <w:r w:rsidR="00573BA7">
        <w:rPr>
          <w:lang w:eastAsia="en-GB"/>
        </w:rPr>
        <w:t xml:space="preserve"> </w:t>
      </w:r>
      <w:r>
        <w:rPr>
          <w:lang w:eastAsia="en-GB"/>
        </w:rPr>
        <w:t>formal,</w:t>
      </w:r>
      <w:r w:rsidR="00573BA7">
        <w:rPr>
          <w:lang w:eastAsia="en-GB"/>
        </w:rPr>
        <w:t xml:space="preserve"> </w:t>
      </w:r>
      <w:r>
        <w:rPr>
          <w:lang w:eastAsia="en-GB"/>
        </w:rPr>
        <w:t>open</w:t>
      </w:r>
      <w:r w:rsidR="00573BA7">
        <w:rPr>
          <w:lang w:eastAsia="en-GB"/>
        </w:rPr>
        <w:t xml:space="preserve"> </w:t>
      </w:r>
      <w:r>
        <w:rPr>
          <w:lang w:eastAsia="en-GB"/>
        </w:rPr>
        <w:t>labour</w:t>
      </w:r>
      <w:r w:rsidR="00573BA7">
        <w:rPr>
          <w:lang w:eastAsia="en-GB"/>
        </w:rPr>
        <w:t xml:space="preserve"> </w:t>
      </w:r>
      <w:r>
        <w:rPr>
          <w:lang w:eastAsia="en-GB"/>
        </w:rPr>
        <w:t>market</w:t>
      </w:r>
      <w:r w:rsidR="00573BA7">
        <w:rPr>
          <w:lang w:eastAsia="en-GB"/>
        </w:rPr>
        <w:t xml:space="preserve"> </w:t>
      </w:r>
      <w:r>
        <w:rPr>
          <w:lang w:eastAsia="en-GB"/>
        </w:rPr>
        <w:t>employment.</w:t>
      </w:r>
      <w:r>
        <w:rPr>
          <w:rStyle w:val="EndnoteReference"/>
          <w:lang w:eastAsia="en-GB"/>
        </w:rPr>
        <w:endnoteReference w:id="121"/>
      </w:r>
      <w:r w:rsidR="00573BA7">
        <w:rPr>
          <w:lang w:eastAsia="en-GB"/>
        </w:rPr>
        <w:t xml:space="preserve">  </w:t>
      </w:r>
      <w:r>
        <w:rPr>
          <w:lang w:eastAsia="en-GB"/>
        </w:rPr>
        <w:t>That</w:t>
      </w:r>
      <w:r w:rsidR="00573BA7">
        <w:rPr>
          <w:lang w:eastAsia="en-GB"/>
        </w:rPr>
        <w:t xml:space="preserve"> </w:t>
      </w:r>
      <w:r>
        <w:rPr>
          <w:lang w:eastAsia="en-GB"/>
        </w:rPr>
        <w:t>process</w:t>
      </w:r>
      <w:r w:rsidR="00573BA7">
        <w:rPr>
          <w:lang w:eastAsia="en-GB"/>
        </w:rPr>
        <w:t xml:space="preserve"> </w:t>
      </w:r>
      <w:r>
        <w:rPr>
          <w:lang w:eastAsia="en-GB"/>
        </w:rPr>
        <w:t>must</w:t>
      </w:r>
      <w:r w:rsidR="00573BA7">
        <w:rPr>
          <w:lang w:eastAsia="en-GB"/>
        </w:rPr>
        <w:t xml:space="preserve"> </w:t>
      </w:r>
      <w:r>
        <w:rPr>
          <w:lang w:eastAsia="en-GB"/>
        </w:rPr>
        <w:t>include</w:t>
      </w:r>
      <w:r w:rsidR="00573BA7">
        <w:rPr>
          <w:lang w:eastAsia="en-GB"/>
        </w:rPr>
        <w:t xml:space="preserve"> </w:t>
      </w:r>
      <w:r>
        <w:rPr>
          <w:lang w:eastAsia="en-GB"/>
        </w:rPr>
        <w:t>a</w:t>
      </w:r>
      <w:r w:rsidR="00573BA7">
        <w:rPr>
          <w:lang w:eastAsia="en-GB"/>
        </w:rPr>
        <w:t xml:space="preserve"> </w:t>
      </w:r>
      <w:r>
        <w:rPr>
          <w:lang w:eastAsia="en-GB"/>
        </w:rPr>
        <w:t>dedicated</w:t>
      </w:r>
      <w:r w:rsidR="00573BA7">
        <w:rPr>
          <w:lang w:eastAsia="en-GB"/>
        </w:rPr>
        <w:t xml:space="preserve"> </w:t>
      </w:r>
      <w:r>
        <w:rPr>
          <w:lang w:eastAsia="en-GB"/>
        </w:rPr>
        <w:t>action</w:t>
      </w:r>
      <w:r w:rsidR="00573BA7">
        <w:rPr>
          <w:lang w:eastAsia="en-GB"/>
        </w:rPr>
        <w:t xml:space="preserve"> </w:t>
      </w:r>
      <w:r>
        <w:rPr>
          <w:lang w:eastAsia="en-GB"/>
        </w:rPr>
        <w:t>plan,</w:t>
      </w:r>
      <w:r w:rsidR="00573BA7">
        <w:rPr>
          <w:lang w:eastAsia="en-GB"/>
        </w:rPr>
        <w:t xml:space="preserve"> </w:t>
      </w:r>
      <w:r>
        <w:rPr>
          <w:lang w:eastAsia="en-GB"/>
        </w:rPr>
        <w:t>timetable,</w:t>
      </w:r>
      <w:r w:rsidR="00573BA7">
        <w:rPr>
          <w:lang w:eastAsia="en-GB"/>
        </w:rPr>
        <w:t xml:space="preserve"> </w:t>
      </w:r>
      <w:r>
        <w:rPr>
          <w:lang w:eastAsia="en-GB"/>
        </w:rPr>
        <w:t>and</w:t>
      </w:r>
      <w:r w:rsidR="00573BA7">
        <w:rPr>
          <w:lang w:eastAsia="en-GB"/>
        </w:rPr>
        <w:t xml:space="preserve"> </w:t>
      </w:r>
      <w:r>
        <w:rPr>
          <w:lang w:eastAsia="en-GB"/>
        </w:rPr>
        <w:t>budget.</w:t>
      </w:r>
      <w:r>
        <w:rPr>
          <w:rStyle w:val="EndnoteReference"/>
          <w:lang w:eastAsia="en-GB"/>
        </w:rPr>
        <w:endnoteReference w:id="122"/>
      </w:r>
      <w:r w:rsidR="00573BA7">
        <w:rPr>
          <w:lang w:eastAsia="en-GB"/>
        </w:rPr>
        <w:t xml:space="preserve"> </w:t>
      </w:r>
      <w:r>
        <w:rPr>
          <w:lang w:eastAsia="en-GB"/>
        </w:rPr>
        <w:t>Australia</w:t>
      </w:r>
      <w:r w:rsidR="00573BA7">
        <w:rPr>
          <w:lang w:eastAsia="en-GB"/>
        </w:rPr>
        <w:t xml:space="preserve"> </w:t>
      </w:r>
      <w:r>
        <w:rPr>
          <w:lang w:eastAsia="en-GB"/>
        </w:rPr>
        <w:t>must</w:t>
      </w:r>
      <w:r w:rsidR="00573BA7">
        <w:rPr>
          <w:lang w:eastAsia="en-GB"/>
        </w:rPr>
        <w:t xml:space="preserve"> </w:t>
      </w:r>
      <w:r>
        <w:rPr>
          <w:lang w:eastAsia="en-GB"/>
        </w:rPr>
        <w:t>also</w:t>
      </w:r>
      <w:r w:rsidR="00573BA7">
        <w:rPr>
          <w:lang w:eastAsia="en-GB"/>
        </w:rPr>
        <w:t xml:space="preserve"> </w:t>
      </w:r>
      <w:r>
        <w:rPr>
          <w:lang w:eastAsia="en-GB"/>
        </w:rPr>
        <w:t>ensure</w:t>
      </w:r>
      <w:r w:rsidR="00573BA7">
        <w:rPr>
          <w:lang w:eastAsia="en-GB"/>
        </w:rPr>
        <w:t xml:space="preserve"> </w:t>
      </w:r>
      <w:r>
        <w:rPr>
          <w:lang w:eastAsia="en-GB"/>
        </w:rPr>
        <w:t>that</w:t>
      </w:r>
      <w:r w:rsidR="00573BA7">
        <w:rPr>
          <w:lang w:eastAsia="en-GB"/>
        </w:rPr>
        <w:t xml:space="preserve"> </w:t>
      </w:r>
      <w:r>
        <w:rPr>
          <w:lang w:eastAsia="en-GB"/>
        </w:rPr>
        <w:t>people</w:t>
      </w:r>
      <w:r w:rsidR="00573BA7">
        <w:rPr>
          <w:lang w:eastAsia="en-GB"/>
        </w:rPr>
        <w:t xml:space="preserve"> </w:t>
      </w:r>
      <w:r>
        <w:rPr>
          <w:lang w:eastAsia="en-GB"/>
        </w:rPr>
        <w:t>with</w:t>
      </w:r>
      <w:r w:rsidR="00573BA7">
        <w:rPr>
          <w:lang w:eastAsia="en-GB"/>
        </w:rPr>
        <w:t xml:space="preserve"> </w:t>
      </w:r>
      <w:r>
        <w:rPr>
          <w:lang w:eastAsia="en-GB"/>
        </w:rPr>
        <w:t>disability</w:t>
      </w:r>
      <w:r w:rsidR="00573BA7">
        <w:rPr>
          <w:lang w:eastAsia="en-GB"/>
        </w:rPr>
        <w:t xml:space="preserve"> </w:t>
      </w:r>
      <w:r>
        <w:rPr>
          <w:lang w:eastAsia="en-GB"/>
        </w:rPr>
        <w:t>are</w:t>
      </w:r>
      <w:r w:rsidR="00573BA7">
        <w:rPr>
          <w:lang w:eastAsia="en-GB"/>
        </w:rPr>
        <w:t xml:space="preserve"> </w:t>
      </w:r>
      <w:r>
        <w:rPr>
          <w:lang w:eastAsia="en-GB"/>
        </w:rPr>
        <w:t>not</w:t>
      </w:r>
      <w:r w:rsidR="00573BA7">
        <w:rPr>
          <w:lang w:eastAsia="en-GB"/>
        </w:rPr>
        <w:t xml:space="preserve"> </w:t>
      </w:r>
      <w:r>
        <w:rPr>
          <w:lang w:eastAsia="en-GB"/>
        </w:rPr>
        <w:t>subject</w:t>
      </w:r>
      <w:r w:rsidR="00573BA7">
        <w:rPr>
          <w:lang w:eastAsia="en-GB"/>
        </w:rPr>
        <w:t xml:space="preserve"> </w:t>
      </w:r>
      <w:r>
        <w:rPr>
          <w:lang w:eastAsia="en-GB"/>
        </w:rPr>
        <w:t>to</w:t>
      </w:r>
      <w:r w:rsidR="00573BA7">
        <w:rPr>
          <w:lang w:eastAsia="en-GB"/>
        </w:rPr>
        <w:t xml:space="preserve"> </w:t>
      </w:r>
      <w:r>
        <w:rPr>
          <w:lang w:eastAsia="en-GB"/>
        </w:rPr>
        <w:t>financial</w:t>
      </w:r>
      <w:r w:rsidR="00573BA7">
        <w:rPr>
          <w:lang w:eastAsia="en-GB"/>
        </w:rPr>
        <w:t xml:space="preserve"> </w:t>
      </w:r>
      <w:r>
        <w:rPr>
          <w:lang w:eastAsia="en-GB"/>
        </w:rPr>
        <w:t>disincentives</w:t>
      </w:r>
      <w:r w:rsidR="00573BA7">
        <w:rPr>
          <w:lang w:eastAsia="en-GB"/>
        </w:rPr>
        <w:t xml:space="preserve"> </w:t>
      </w:r>
      <w:r>
        <w:rPr>
          <w:lang w:eastAsia="en-GB"/>
        </w:rPr>
        <w:t>that</w:t>
      </w:r>
      <w:r w:rsidR="00573BA7">
        <w:rPr>
          <w:lang w:eastAsia="en-GB"/>
        </w:rPr>
        <w:t xml:space="preserve"> </w:t>
      </w:r>
      <w:r>
        <w:rPr>
          <w:lang w:eastAsia="en-GB"/>
        </w:rPr>
        <w:t>prevent</w:t>
      </w:r>
      <w:r w:rsidR="00573BA7">
        <w:rPr>
          <w:lang w:eastAsia="en-GB"/>
        </w:rPr>
        <w:t xml:space="preserve"> </w:t>
      </w:r>
      <w:r>
        <w:rPr>
          <w:lang w:eastAsia="en-GB"/>
        </w:rPr>
        <w:t>them</w:t>
      </w:r>
      <w:r w:rsidR="00573BA7">
        <w:rPr>
          <w:lang w:eastAsia="en-GB"/>
        </w:rPr>
        <w:t xml:space="preserve"> </w:t>
      </w:r>
      <w:r>
        <w:rPr>
          <w:lang w:eastAsia="en-GB"/>
        </w:rPr>
        <w:t>from</w:t>
      </w:r>
      <w:r w:rsidR="00573BA7">
        <w:rPr>
          <w:lang w:eastAsia="en-GB"/>
        </w:rPr>
        <w:t xml:space="preserve"> </w:t>
      </w:r>
      <w:r>
        <w:rPr>
          <w:lang w:eastAsia="en-GB"/>
        </w:rPr>
        <w:t>entering</w:t>
      </w:r>
      <w:r w:rsidR="00573BA7">
        <w:rPr>
          <w:lang w:eastAsia="en-GB"/>
        </w:rPr>
        <w:t xml:space="preserve"> </w:t>
      </w:r>
      <w:r>
        <w:rPr>
          <w:lang w:eastAsia="en-GB"/>
        </w:rPr>
        <w:t>or</w:t>
      </w:r>
      <w:r w:rsidR="00573BA7">
        <w:rPr>
          <w:lang w:eastAsia="en-GB"/>
        </w:rPr>
        <w:t xml:space="preserve"> </w:t>
      </w:r>
      <w:r>
        <w:rPr>
          <w:lang w:eastAsia="en-GB"/>
        </w:rPr>
        <w:t>transitioning</w:t>
      </w:r>
      <w:r w:rsidR="00573BA7">
        <w:rPr>
          <w:lang w:eastAsia="en-GB"/>
        </w:rPr>
        <w:t xml:space="preserve"> </w:t>
      </w:r>
      <w:r>
        <w:rPr>
          <w:lang w:eastAsia="en-GB"/>
        </w:rPr>
        <w:t>into</w:t>
      </w:r>
      <w:r w:rsidR="00573BA7">
        <w:rPr>
          <w:lang w:eastAsia="en-GB"/>
        </w:rPr>
        <w:t xml:space="preserve"> </w:t>
      </w:r>
      <w:r>
        <w:rPr>
          <w:lang w:eastAsia="en-GB"/>
        </w:rPr>
        <w:t>the</w:t>
      </w:r>
      <w:r w:rsidR="00573BA7">
        <w:rPr>
          <w:lang w:eastAsia="en-GB"/>
        </w:rPr>
        <w:t xml:space="preserve"> </w:t>
      </w:r>
      <w:r>
        <w:rPr>
          <w:lang w:eastAsia="en-GB"/>
        </w:rPr>
        <w:t>open</w:t>
      </w:r>
      <w:r w:rsidR="00573BA7">
        <w:rPr>
          <w:lang w:eastAsia="en-GB"/>
        </w:rPr>
        <w:t xml:space="preserve"> </w:t>
      </w:r>
      <w:r>
        <w:rPr>
          <w:lang w:eastAsia="en-GB"/>
        </w:rPr>
        <w:t>labour</w:t>
      </w:r>
      <w:r w:rsidR="00573BA7">
        <w:rPr>
          <w:lang w:eastAsia="en-GB"/>
        </w:rPr>
        <w:t xml:space="preserve"> </w:t>
      </w:r>
      <w:r>
        <w:rPr>
          <w:lang w:eastAsia="en-GB"/>
        </w:rPr>
        <w:t>market.</w:t>
      </w:r>
      <w:r>
        <w:rPr>
          <w:rStyle w:val="EndnoteReference"/>
          <w:lang w:eastAsia="en-GB"/>
        </w:rPr>
        <w:endnoteReference w:id="123"/>
      </w:r>
    </w:p>
    <w:p w14:paraId="08F3D4BA" w14:textId="57DA7031" w:rsidR="005521C8" w:rsidRPr="00710E6A" w:rsidRDefault="005521C8" w:rsidP="005521C8">
      <w:pPr>
        <w:pStyle w:val="Heading3"/>
        <w:rPr>
          <w:b/>
          <w:bCs w:val="0"/>
        </w:rPr>
      </w:pPr>
      <w:bookmarkStart w:id="63" w:name="_Toc51834281"/>
      <w:r w:rsidRPr="00710E6A">
        <w:rPr>
          <w:b/>
          <w:bCs w:val="0"/>
        </w:rPr>
        <w:t>ADEs</w:t>
      </w:r>
      <w:r w:rsidR="00573BA7" w:rsidRPr="00710E6A">
        <w:rPr>
          <w:b/>
          <w:bCs w:val="0"/>
        </w:rPr>
        <w:t xml:space="preserve"> </w:t>
      </w:r>
      <w:r w:rsidRPr="00710E6A">
        <w:rPr>
          <w:b/>
          <w:bCs w:val="0"/>
        </w:rPr>
        <w:t>and</w:t>
      </w:r>
      <w:r w:rsidR="00573BA7" w:rsidRPr="00710E6A">
        <w:rPr>
          <w:b/>
          <w:bCs w:val="0"/>
        </w:rPr>
        <w:t xml:space="preserve"> </w:t>
      </w:r>
      <w:r w:rsidRPr="00710E6A">
        <w:rPr>
          <w:b/>
          <w:bCs w:val="0"/>
        </w:rPr>
        <w:t>rights</w:t>
      </w:r>
      <w:r w:rsidR="00573BA7" w:rsidRPr="00710E6A">
        <w:rPr>
          <w:b/>
          <w:bCs w:val="0"/>
        </w:rPr>
        <w:t xml:space="preserve"> </w:t>
      </w:r>
      <w:r w:rsidRPr="00710E6A">
        <w:rPr>
          <w:b/>
          <w:bCs w:val="0"/>
        </w:rPr>
        <w:t>relating</w:t>
      </w:r>
      <w:r w:rsidR="00573BA7" w:rsidRPr="00710E6A">
        <w:rPr>
          <w:b/>
          <w:bCs w:val="0"/>
        </w:rPr>
        <w:t xml:space="preserve"> </w:t>
      </w:r>
      <w:r w:rsidRPr="00710E6A">
        <w:rPr>
          <w:b/>
          <w:bCs w:val="0"/>
        </w:rPr>
        <w:t>to</w:t>
      </w:r>
      <w:r w:rsidR="00573BA7" w:rsidRPr="00710E6A">
        <w:rPr>
          <w:b/>
          <w:bCs w:val="0"/>
        </w:rPr>
        <w:t xml:space="preserve"> </w:t>
      </w:r>
      <w:r w:rsidRPr="00710E6A">
        <w:rPr>
          <w:b/>
          <w:bCs w:val="0"/>
        </w:rPr>
        <w:t>accessibility,</w:t>
      </w:r>
      <w:r w:rsidR="00573BA7" w:rsidRPr="00710E6A">
        <w:rPr>
          <w:b/>
          <w:bCs w:val="0"/>
        </w:rPr>
        <w:t xml:space="preserve"> </w:t>
      </w:r>
      <w:r w:rsidRPr="00710E6A">
        <w:rPr>
          <w:b/>
          <w:bCs w:val="0"/>
        </w:rPr>
        <w:t>inclusion</w:t>
      </w:r>
      <w:r w:rsidR="00573BA7" w:rsidRPr="00710E6A">
        <w:rPr>
          <w:b/>
          <w:bCs w:val="0"/>
        </w:rPr>
        <w:t xml:space="preserve"> </w:t>
      </w:r>
      <w:r w:rsidRPr="00710E6A">
        <w:rPr>
          <w:b/>
          <w:bCs w:val="0"/>
        </w:rPr>
        <w:t>and</w:t>
      </w:r>
      <w:r w:rsidR="00573BA7" w:rsidRPr="00710E6A">
        <w:rPr>
          <w:b/>
          <w:bCs w:val="0"/>
        </w:rPr>
        <w:t xml:space="preserve"> </w:t>
      </w:r>
      <w:r w:rsidRPr="00710E6A">
        <w:rPr>
          <w:b/>
          <w:bCs w:val="0"/>
        </w:rPr>
        <w:t>independence</w:t>
      </w:r>
      <w:bookmarkEnd w:id="63"/>
    </w:p>
    <w:p w14:paraId="0D348F8F" w14:textId="183D0B61" w:rsidR="005521C8" w:rsidRDefault="005521C8" w:rsidP="005521C8">
      <w:pPr>
        <w:pStyle w:val="ListNumber"/>
        <w:rPr>
          <w:lang w:eastAsia="en-GB"/>
        </w:rPr>
      </w:pPr>
      <w:r w:rsidRPr="07069484">
        <w:rPr>
          <w:lang w:eastAsia="en-GB"/>
        </w:rPr>
        <w:t>Article</w:t>
      </w:r>
      <w:r w:rsidR="00573BA7" w:rsidRPr="07069484">
        <w:rPr>
          <w:lang w:eastAsia="en-GB"/>
        </w:rPr>
        <w:t xml:space="preserve"> </w:t>
      </w:r>
      <w:r w:rsidRPr="07069484">
        <w:rPr>
          <w:lang w:eastAsia="en-GB"/>
        </w:rPr>
        <w:t>19</w:t>
      </w:r>
      <w:r w:rsidR="00573BA7" w:rsidRPr="07069484">
        <w:rPr>
          <w:lang w:eastAsia="en-GB"/>
        </w:rPr>
        <w:t xml:space="preserve"> </w:t>
      </w:r>
      <w:r w:rsidRPr="07069484">
        <w:rPr>
          <w:lang w:eastAsia="en-GB"/>
        </w:rPr>
        <w:t>of</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CRPD</w:t>
      </w:r>
      <w:r w:rsidR="00573BA7" w:rsidRPr="07069484">
        <w:rPr>
          <w:lang w:eastAsia="en-GB"/>
        </w:rPr>
        <w:t xml:space="preserve"> </w:t>
      </w:r>
      <w:r w:rsidRPr="07069484">
        <w:rPr>
          <w:lang w:eastAsia="en-GB"/>
        </w:rPr>
        <w:t>recognises</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equal</w:t>
      </w:r>
      <w:r w:rsidR="00573BA7" w:rsidRPr="07069484">
        <w:rPr>
          <w:lang w:eastAsia="en-GB"/>
        </w:rPr>
        <w:t xml:space="preserve"> </w:t>
      </w:r>
      <w:r w:rsidRPr="07069484">
        <w:rPr>
          <w:lang w:eastAsia="en-GB"/>
        </w:rPr>
        <w:t>right</w:t>
      </w:r>
      <w:r w:rsidR="00573BA7" w:rsidRPr="07069484">
        <w:rPr>
          <w:lang w:eastAsia="en-GB"/>
        </w:rPr>
        <w:t xml:space="preserve"> </w:t>
      </w:r>
      <w:r w:rsidRPr="07069484">
        <w:rPr>
          <w:lang w:eastAsia="en-GB"/>
        </w:rPr>
        <w:t>of</w:t>
      </w:r>
      <w:r w:rsidR="00573BA7" w:rsidRPr="07069484">
        <w:rPr>
          <w:lang w:eastAsia="en-GB"/>
        </w:rPr>
        <w:t xml:space="preserve"> </w:t>
      </w:r>
      <w:r w:rsidRPr="07069484">
        <w:rPr>
          <w:lang w:eastAsia="en-GB"/>
        </w:rPr>
        <w:t>all</w:t>
      </w:r>
      <w:r w:rsidR="00573BA7" w:rsidRPr="07069484">
        <w:rPr>
          <w:lang w:eastAsia="en-GB"/>
        </w:rPr>
        <w:t xml:space="preserve"> </w:t>
      </w:r>
      <w:r w:rsidRPr="07069484">
        <w:rPr>
          <w:lang w:eastAsia="en-GB"/>
        </w:rPr>
        <w:t>people</w:t>
      </w:r>
      <w:r w:rsidR="00573BA7" w:rsidRPr="07069484">
        <w:rPr>
          <w:lang w:eastAsia="en-GB"/>
        </w:rPr>
        <w:t xml:space="preserve"> </w:t>
      </w:r>
      <w:r w:rsidRPr="07069484">
        <w:rPr>
          <w:lang w:eastAsia="en-GB"/>
        </w:rPr>
        <w:t>with</w:t>
      </w:r>
      <w:r w:rsidR="00573BA7" w:rsidRPr="07069484">
        <w:rPr>
          <w:lang w:eastAsia="en-GB"/>
        </w:rPr>
        <w:t xml:space="preserve"> </w:t>
      </w:r>
      <w:r w:rsidRPr="07069484">
        <w:rPr>
          <w:lang w:eastAsia="en-GB"/>
        </w:rPr>
        <w:t>disability</w:t>
      </w:r>
      <w:r w:rsidR="00573BA7" w:rsidRPr="07069484">
        <w:rPr>
          <w:lang w:eastAsia="en-GB"/>
        </w:rPr>
        <w:t xml:space="preserve"> </w:t>
      </w:r>
      <w:r w:rsidRPr="07069484">
        <w:rPr>
          <w:lang w:eastAsia="en-GB"/>
        </w:rPr>
        <w:t>to</w:t>
      </w:r>
      <w:r w:rsidR="00573BA7" w:rsidRPr="07069484">
        <w:rPr>
          <w:lang w:eastAsia="en-GB"/>
        </w:rPr>
        <w:t xml:space="preserve"> </w:t>
      </w:r>
      <w:r w:rsidRPr="07069484">
        <w:rPr>
          <w:lang w:eastAsia="en-GB"/>
        </w:rPr>
        <w:t>full</w:t>
      </w:r>
      <w:r w:rsidR="00573BA7" w:rsidRPr="07069484">
        <w:rPr>
          <w:lang w:eastAsia="en-GB"/>
        </w:rPr>
        <w:t xml:space="preserve"> </w:t>
      </w:r>
      <w:r w:rsidRPr="07069484">
        <w:rPr>
          <w:lang w:eastAsia="en-GB"/>
        </w:rPr>
        <w:t>inclusion</w:t>
      </w:r>
      <w:r w:rsidR="00573BA7" w:rsidRPr="07069484">
        <w:rPr>
          <w:lang w:eastAsia="en-GB"/>
        </w:rPr>
        <w:t xml:space="preserve"> </w:t>
      </w:r>
      <w:r w:rsidRPr="07069484">
        <w:rPr>
          <w:lang w:eastAsia="en-GB"/>
        </w:rPr>
        <w:t>and</w:t>
      </w:r>
      <w:r w:rsidR="00573BA7" w:rsidRPr="07069484">
        <w:rPr>
          <w:lang w:eastAsia="en-GB"/>
        </w:rPr>
        <w:t xml:space="preserve"> </w:t>
      </w:r>
      <w:r w:rsidRPr="07069484">
        <w:rPr>
          <w:lang w:eastAsia="en-GB"/>
        </w:rPr>
        <w:t>participation</w:t>
      </w:r>
      <w:r w:rsidR="00573BA7" w:rsidRPr="07069484">
        <w:rPr>
          <w:lang w:eastAsia="en-GB"/>
        </w:rPr>
        <w:t xml:space="preserve"> </w:t>
      </w:r>
      <w:r w:rsidRPr="07069484">
        <w:rPr>
          <w:lang w:eastAsia="en-GB"/>
        </w:rPr>
        <w:t>in</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community,</w:t>
      </w:r>
      <w:r w:rsidR="00573BA7" w:rsidRPr="07069484">
        <w:rPr>
          <w:lang w:eastAsia="en-GB"/>
        </w:rPr>
        <w:t xml:space="preserve"> </w:t>
      </w:r>
      <w:r w:rsidRPr="07069484">
        <w:rPr>
          <w:lang w:eastAsia="en-GB"/>
        </w:rPr>
        <w:t>with</w:t>
      </w:r>
      <w:r w:rsidR="00573BA7" w:rsidRPr="07069484">
        <w:rPr>
          <w:lang w:eastAsia="en-GB"/>
        </w:rPr>
        <w:t xml:space="preserve"> </w:t>
      </w:r>
      <w:r w:rsidRPr="07069484">
        <w:rPr>
          <w:lang w:eastAsia="en-GB"/>
        </w:rPr>
        <w:t>choices</w:t>
      </w:r>
      <w:r w:rsidR="00573BA7" w:rsidRPr="07069484">
        <w:rPr>
          <w:lang w:eastAsia="en-GB"/>
        </w:rPr>
        <w:t xml:space="preserve"> </w:t>
      </w:r>
      <w:r w:rsidRPr="07069484">
        <w:rPr>
          <w:lang w:eastAsia="en-GB"/>
        </w:rPr>
        <w:t>equal</w:t>
      </w:r>
      <w:r w:rsidR="00573BA7" w:rsidRPr="07069484">
        <w:rPr>
          <w:lang w:eastAsia="en-GB"/>
        </w:rPr>
        <w:t xml:space="preserve"> </w:t>
      </w:r>
      <w:r w:rsidRPr="07069484">
        <w:rPr>
          <w:lang w:eastAsia="en-GB"/>
        </w:rPr>
        <w:t>to</w:t>
      </w:r>
      <w:r w:rsidR="00573BA7" w:rsidRPr="07069484">
        <w:rPr>
          <w:lang w:eastAsia="en-GB"/>
        </w:rPr>
        <w:t xml:space="preserve"> </w:t>
      </w:r>
      <w:r w:rsidRPr="07069484">
        <w:rPr>
          <w:lang w:eastAsia="en-GB"/>
        </w:rPr>
        <w:t>others.</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frequent</w:t>
      </w:r>
      <w:r w:rsidR="00573BA7" w:rsidRPr="07069484">
        <w:rPr>
          <w:lang w:eastAsia="en-GB"/>
        </w:rPr>
        <w:t xml:space="preserve"> </w:t>
      </w:r>
      <w:r w:rsidRPr="07069484">
        <w:rPr>
          <w:lang w:eastAsia="en-GB"/>
        </w:rPr>
        <w:t>segregation</w:t>
      </w:r>
      <w:r w:rsidR="00573BA7" w:rsidRPr="07069484">
        <w:rPr>
          <w:lang w:eastAsia="en-GB"/>
        </w:rPr>
        <w:t xml:space="preserve"> </w:t>
      </w:r>
      <w:r w:rsidRPr="07069484">
        <w:rPr>
          <w:lang w:eastAsia="en-GB"/>
        </w:rPr>
        <w:t>of</w:t>
      </w:r>
      <w:r w:rsidR="00573BA7" w:rsidRPr="07069484">
        <w:rPr>
          <w:lang w:eastAsia="en-GB"/>
        </w:rPr>
        <w:t xml:space="preserve"> </w:t>
      </w:r>
      <w:r w:rsidRPr="07069484">
        <w:rPr>
          <w:lang w:eastAsia="en-GB"/>
        </w:rPr>
        <w:t>people</w:t>
      </w:r>
      <w:r w:rsidR="00573BA7" w:rsidRPr="07069484">
        <w:rPr>
          <w:lang w:eastAsia="en-GB"/>
        </w:rPr>
        <w:t xml:space="preserve"> </w:t>
      </w:r>
      <w:r w:rsidRPr="07069484">
        <w:rPr>
          <w:lang w:eastAsia="en-GB"/>
        </w:rPr>
        <w:t>with</w:t>
      </w:r>
      <w:r w:rsidR="00573BA7" w:rsidRPr="07069484">
        <w:rPr>
          <w:lang w:eastAsia="en-GB"/>
        </w:rPr>
        <w:t xml:space="preserve"> </w:t>
      </w:r>
      <w:r w:rsidRPr="07069484">
        <w:rPr>
          <w:lang w:eastAsia="en-GB"/>
        </w:rPr>
        <w:t>disability</w:t>
      </w:r>
      <w:r w:rsidR="00573BA7" w:rsidRPr="07069484">
        <w:rPr>
          <w:lang w:eastAsia="en-GB"/>
        </w:rPr>
        <w:t xml:space="preserve"> </w:t>
      </w:r>
      <w:r w:rsidRPr="07069484">
        <w:rPr>
          <w:lang w:eastAsia="en-GB"/>
        </w:rPr>
        <w:t>in</w:t>
      </w:r>
      <w:r w:rsidR="00573BA7" w:rsidRPr="07069484">
        <w:rPr>
          <w:lang w:eastAsia="en-GB"/>
        </w:rPr>
        <w:t xml:space="preserve"> </w:t>
      </w:r>
      <w:r w:rsidRPr="07069484">
        <w:rPr>
          <w:lang w:eastAsia="en-GB"/>
        </w:rPr>
        <w:t>ADEs</w:t>
      </w:r>
      <w:r w:rsidR="00573BA7" w:rsidRPr="07069484">
        <w:rPr>
          <w:lang w:eastAsia="en-GB"/>
        </w:rPr>
        <w:t xml:space="preserve"> </w:t>
      </w:r>
      <w:r w:rsidRPr="07069484">
        <w:rPr>
          <w:lang w:eastAsia="en-GB"/>
        </w:rPr>
        <w:t>from</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open</w:t>
      </w:r>
      <w:r w:rsidR="00573BA7" w:rsidRPr="07069484">
        <w:rPr>
          <w:lang w:eastAsia="en-GB"/>
        </w:rPr>
        <w:t xml:space="preserve"> </w:t>
      </w:r>
      <w:r w:rsidRPr="07069484">
        <w:rPr>
          <w:lang w:eastAsia="en-GB"/>
        </w:rPr>
        <w:t>labour</w:t>
      </w:r>
      <w:r w:rsidR="00573BA7" w:rsidRPr="07069484">
        <w:rPr>
          <w:lang w:eastAsia="en-GB"/>
        </w:rPr>
        <w:t xml:space="preserve"> </w:t>
      </w:r>
      <w:r w:rsidRPr="07069484">
        <w:rPr>
          <w:lang w:eastAsia="en-GB"/>
        </w:rPr>
        <w:t>market</w:t>
      </w:r>
      <w:r w:rsidR="00573BA7" w:rsidRPr="07069484">
        <w:rPr>
          <w:lang w:eastAsia="en-GB"/>
        </w:rPr>
        <w:t xml:space="preserve"> </w:t>
      </w:r>
      <w:r w:rsidRPr="07069484">
        <w:rPr>
          <w:lang w:eastAsia="en-GB"/>
        </w:rPr>
        <w:t>is</w:t>
      </w:r>
      <w:r w:rsidR="00573BA7" w:rsidRPr="07069484">
        <w:rPr>
          <w:lang w:eastAsia="en-GB"/>
        </w:rPr>
        <w:t xml:space="preserve"> </w:t>
      </w:r>
      <w:r w:rsidR="00890C31" w:rsidRPr="07069484">
        <w:rPr>
          <w:lang w:eastAsia="en-GB"/>
        </w:rPr>
        <w:t>in</w:t>
      </w:r>
      <w:r w:rsidRPr="07069484">
        <w:rPr>
          <w:lang w:eastAsia="en-GB"/>
        </w:rPr>
        <w:t>consistent</w:t>
      </w:r>
      <w:r w:rsidR="00573BA7" w:rsidRPr="07069484">
        <w:rPr>
          <w:lang w:eastAsia="en-GB"/>
        </w:rPr>
        <w:t xml:space="preserve"> </w:t>
      </w:r>
      <w:r w:rsidRPr="07069484">
        <w:rPr>
          <w:lang w:eastAsia="en-GB"/>
        </w:rPr>
        <w:t>with</w:t>
      </w:r>
      <w:r w:rsidR="00573BA7" w:rsidRPr="07069484">
        <w:rPr>
          <w:lang w:eastAsia="en-GB"/>
        </w:rPr>
        <w:t xml:space="preserve"> </w:t>
      </w:r>
      <w:r w:rsidRPr="07069484">
        <w:rPr>
          <w:lang w:eastAsia="en-GB"/>
        </w:rPr>
        <w:t>this</w:t>
      </w:r>
      <w:r w:rsidR="00573BA7" w:rsidRPr="07069484">
        <w:rPr>
          <w:lang w:eastAsia="en-GB"/>
        </w:rPr>
        <w:t xml:space="preserve"> </w:t>
      </w:r>
      <w:r w:rsidRPr="07069484">
        <w:rPr>
          <w:lang w:eastAsia="en-GB"/>
        </w:rPr>
        <w:t>right.</w:t>
      </w:r>
    </w:p>
    <w:p w14:paraId="347405F7" w14:textId="3DAA8562" w:rsidR="005521C8" w:rsidRPr="00987EE3" w:rsidRDefault="00577AC9" w:rsidP="005521C8">
      <w:pPr>
        <w:pStyle w:val="ListNumber"/>
      </w:pPr>
      <w:r>
        <w:t>The</w:t>
      </w:r>
      <w:r w:rsidR="00573BA7">
        <w:t xml:space="preserve"> </w:t>
      </w:r>
      <w:r w:rsidR="005521C8">
        <w:t>failure</w:t>
      </w:r>
      <w:r w:rsidR="00573BA7">
        <w:t xml:space="preserve"> </w:t>
      </w:r>
      <w:r>
        <w:t>of</w:t>
      </w:r>
      <w:r w:rsidR="00573BA7">
        <w:t xml:space="preserve"> </w:t>
      </w:r>
      <w:r>
        <w:t>ADEs</w:t>
      </w:r>
      <w:r w:rsidR="00573BA7">
        <w:t xml:space="preserve"> </w:t>
      </w:r>
      <w:r w:rsidR="005521C8">
        <w:t>to</w:t>
      </w:r>
      <w:r w:rsidR="00573BA7">
        <w:t xml:space="preserve"> </w:t>
      </w:r>
      <w:r w:rsidR="005521C8">
        <w:t>effectively</w:t>
      </w:r>
      <w:r w:rsidR="00573BA7">
        <w:t xml:space="preserve"> </w:t>
      </w:r>
      <w:r w:rsidR="005521C8">
        <w:t>transition</w:t>
      </w:r>
      <w:r w:rsidR="00573BA7">
        <w:t xml:space="preserve"> </w:t>
      </w:r>
      <w:r w:rsidR="005521C8">
        <w:t>people</w:t>
      </w:r>
      <w:r w:rsidR="00573BA7">
        <w:t xml:space="preserve"> </w:t>
      </w:r>
      <w:r w:rsidR="005521C8">
        <w:t>with</w:t>
      </w:r>
      <w:r w:rsidR="00573BA7">
        <w:t xml:space="preserve"> </w:t>
      </w:r>
      <w:r w:rsidR="005521C8">
        <w:t>disability</w:t>
      </w:r>
      <w:r w:rsidR="00573BA7">
        <w:t xml:space="preserve"> </w:t>
      </w:r>
      <w:r w:rsidR="005521C8">
        <w:t>into</w:t>
      </w:r>
      <w:r w:rsidR="00573BA7">
        <w:t xml:space="preserve"> </w:t>
      </w:r>
      <w:r w:rsidR="005521C8">
        <w:t>the</w:t>
      </w:r>
      <w:r w:rsidR="00573BA7">
        <w:t xml:space="preserve"> </w:t>
      </w:r>
      <w:r w:rsidR="005521C8">
        <w:t>open</w:t>
      </w:r>
      <w:r w:rsidR="00573BA7">
        <w:t xml:space="preserve"> </w:t>
      </w:r>
      <w:r w:rsidR="005521C8">
        <w:t>labour</w:t>
      </w:r>
      <w:r w:rsidR="00573BA7">
        <w:t xml:space="preserve"> </w:t>
      </w:r>
      <w:r w:rsidR="005521C8">
        <w:t>market</w:t>
      </w:r>
      <w:r w:rsidR="00573BA7">
        <w:t xml:space="preserve"> </w:t>
      </w:r>
      <w:r w:rsidR="005521C8">
        <w:t>is</w:t>
      </w:r>
      <w:r w:rsidR="00573BA7">
        <w:t xml:space="preserve"> </w:t>
      </w:r>
      <w:r w:rsidR="005521C8">
        <w:t>also</w:t>
      </w:r>
      <w:r w:rsidR="00573BA7">
        <w:t xml:space="preserve"> </w:t>
      </w:r>
      <w:r w:rsidR="005521C8">
        <w:t>inconsistent</w:t>
      </w:r>
      <w:r w:rsidR="00573BA7">
        <w:t xml:space="preserve"> </w:t>
      </w:r>
      <w:r w:rsidR="005521C8">
        <w:t>with</w:t>
      </w:r>
      <w:r w:rsidR="00573BA7">
        <w:t xml:space="preserve"> </w:t>
      </w:r>
      <w:r w:rsidR="005521C8">
        <w:t>Australia’s</w:t>
      </w:r>
      <w:r w:rsidR="00573BA7">
        <w:t xml:space="preserve"> </w:t>
      </w:r>
      <w:r w:rsidR="005521C8">
        <w:t>obligations</w:t>
      </w:r>
      <w:r w:rsidR="00573BA7">
        <w:t xml:space="preserve"> </w:t>
      </w:r>
      <w:r w:rsidR="005521C8">
        <w:t>regarding</w:t>
      </w:r>
      <w:r w:rsidR="00573BA7">
        <w:t xml:space="preserve"> </w:t>
      </w:r>
      <w:r w:rsidR="005521C8">
        <w:t>rights</w:t>
      </w:r>
      <w:r w:rsidR="00573BA7">
        <w:t xml:space="preserve"> </w:t>
      </w:r>
      <w:r w:rsidR="005521C8">
        <w:t>to</w:t>
      </w:r>
      <w:r w:rsidR="00573BA7">
        <w:t xml:space="preserve"> </w:t>
      </w:r>
      <w:r w:rsidR="005521C8">
        <w:t>accessibility,</w:t>
      </w:r>
      <w:r w:rsidR="00573BA7">
        <w:t xml:space="preserve"> </w:t>
      </w:r>
      <w:r w:rsidR="005521C8">
        <w:t>inclusion</w:t>
      </w:r>
      <w:r w:rsidR="00573BA7">
        <w:t xml:space="preserve"> </w:t>
      </w:r>
      <w:r w:rsidR="005521C8">
        <w:t>and</w:t>
      </w:r>
      <w:r w:rsidR="00573BA7">
        <w:t xml:space="preserve"> </w:t>
      </w:r>
      <w:r w:rsidR="005521C8">
        <w:t>independence.</w:t>
      </w:r>
      <w:r w:rsidR="00573BA7">
        <w:t xml:space="preserve">  </w:t>
      </w:r>
      <w:r w:rsidR="005521C8">
        <w:t>Creating</w:t>
      </w:r>
      <w:r w:rsidR="00573BA7">
        <w:t xml:space="preserve"> </w:t>
      </w:r>
      <w:r w:rsidR="005521C8">
        <w:t>an</w:t>
      </w:r>
      <w:r w:rsidR="00573BA7">
        <w:t xml:space="preserve"> </w:t>
      </w:r>
      <w:r w:rsidR="005521C8">
        <w:t>inclusive</w:t>
      </w:r>
      <w:r w:rsidR="00573BA7">
        <w:t xml:space="preserve"> </w:t>
      </w:r>
      <w:r w:rsidR="005521C8">
        <w:t>labour</w:t>
      </w:r>
      <w:r w:rsidR="00573BA7">
        <w:t xml:space="preserve"> </w:t>
      </w:r>
      <w:r w:rsidR="005521C8">
        <w:t>market</w:t>
      </w:r>
      <w:r w:rsidR="00573BA7">
        <w:t xml:space="preserve"> </w:t>
      </w:r>
      <w:r w:rsidR="005521C8">
        <w:t>in</w:t>
      </w:r>
      <w:r w:rsidR="00573BA7">
        <w:t xml:space="preserve"> </w:t>
      </w:r>
      <w:r w:rsidR="005521C8">
        <w:t>accordance</w:t>
      </w:r>
      <w:r w:rsidR="00573BA7">
        <w:t xml:space="preserve"> </w:t>
      </w:r>
      <w:r w:rsidR="005521C8">
        <w:t>with</w:t>
      </w:r>
      <w:r w:rsidR="00573BA7">
        <w:t xml:space="preserve"> </w:t>
      </w:r>
      <w:r w:rsidR="005521C8">
        <w:t>the</w:t>
      </w:r>
      <w:r w:rsidR="00573BA7">
        <w:t xml:space="preserve"> </w:t>
      </w:r>
      <w:r w:rsidR="005521C8">
        <w:t>CRPD</w:t>
      </w:r>
      <w:r w:rsidR="00573BA7">
        <w:t xml:space="preserve"> </w:t>
      </w:r>
      <w:r w:rsidR="005521C8">
        <w:t>entails</w:t>
      </w:r>
      <w:r w:rsidR="00573BA7">
        <w:t xml:space="preserve"> </w:t>
      </w:r>
      <w:r w:rsidR="005521C8">
        <w:t>creating</w:t>
      </w:r>
      <w:r w:rsidR="00573BA7">
        <w:t xml:space="preserve"> </w:t>
      </w:r>
      <w:r w:rsidR="005521C8">
        <w:t>employment</w:t>
      </w:r>
      <w:r w:rsidR="00573BA7">
        <w:t xml:space="preserve"> </w:t>
      </w:r>
      <w:r w:rsidR="005521C8">
        <w:t>opportunities</w:t>
      </w:r>
      <w:r w:rsidR="00573BA7">
        <w:t xml:space="preserve"> </w:t>
      </w:r>
      <w:r w:rsidR="005521C8">
        <w:t>in</w:t>
      </w:r>
      <w:r w:rsidR="00573BA7">
        <w:t xml:space="preserve"> </w:t>
      </w:r>
      <w:r w:rsidR="005521C8">
        <w:t>accessible</w:t>
      </w:r>
      <w:r w:rsidR="00573BA7">
        <w:t xml:space="preserve"> </w:t>
      </w:r>
      <w:r w:rsidR="005521C8">
        <w:t>workplaces,</w:t>
      </w:r>
      <w:r w:rsidR="00573BA7">
        <w:t xml:space="preserve"> </w:t>
      </w:r>
      <w:r w:rsidR="005521C8">
        <w:t>phasing</w:t>
      </w:r>
      <w:r w:rsidR="00573BA7">
        <w:t xml:space="preserve"> </w:t>
      </w:r>
      <w:r w:rsidR="005521C8">
        <w:t>out</w:t>
      </w:r>
      <w:r w:rsidR="00573BA7">
        <w:t xml:space="preserve"> </w:t>
      </w:r>
      <w:r w:rsidR="005521C8">
        <w:t>ADEs</w:t>
      </w:r>
      <w:r w:rsidR="00573BA7">
        <w:t xml:space="preserve"> </w:t>
      </w:r>
      <w:r w:rsidR="005521C8">
        <w:t>through</w:t>
      </w:r>
      <w:r w:rsidR="00573BA7">
        <w:t xml:space="preserve"> </w:t>
      </w:r>
      <w:r w:rsidR="005521C8">
        <w:t>immediately</w:t>
      </w:r>
      <w:r w:rsidR="00573BA7">
        <w:t xml:space="preserve"> </w:t>
      </w:r>
      <w:r w:rsidR="005521C8">
        <w:t>enforceable</w:t>
      </w:r>
      <w:r w:rsidR="00573BA7">
        <w:t xml:space="preserve"> </w:t>
      </w:r>
      <w:r w:rsidR="005521C8">
        <w:t>exit</w:t>
      </w:r>
      <w:r w:rsidR="00573BA7">
        <w:t xml:space="preserve"> </w:t>
      </w:r>
      <w:r w:rsidR="005521C8">
        <w:t>strategies</w:t>
      </w:r>
      <w:r w:rsidR="00573BA7">
        <w:t xml:space="preserve"> </w:t>
      </w:r>
      <w:r w:rsidR="005521C8">
        <w:t>and</w:t>
      </w:r>
      <w:r w:rsidR="00573BA7">
        <w:t xml:space="preserve"> </w:t>
      </w:r>
      <w:r w:rsidR="005521C8">
        <w:t>timelines,</w:t>
      </w:r>
      <w:r w:rsidR="00573BA7">
        <w:t xml:space="preserve"> </w:t>
      </w:r>
      <w:r w:rsidR="005521C8">
        <w:t>and</w:t>
      </w:r>
      <w:r w:rsidR="00573BA7">
        <w:t xml:space="preserve"> </w:t>
      </w:r>
      <w:r w:rsidR="005521C8">
        <w:t>creating</w:t>
      </w:r>
      <w:r w:rsidR="00573BA7">
        <w:t xml:space="preserve"> </w:t>
      </w:r>
      <w:r w:rsidR="005521C8">
        <w:t>incentives</w:t>
      </w:r>
      <w:r w:rsidR="00573BA7">
        <w:t xml:space="preserve"> </w:t>
      </w:r>
      <w:r w:rsidR="005521C8">
        <w:t>for</w:t>
      </w:r>
      <w:r w:rsidR="00573BA7">
        <w:t xml:space="preserve"> </w:t>
      </w:r>
      <w:r w:rsidR="005521C8">
        <w:t>employment</w:t>
      </w:r>
      <w:r w:rsidR="00573BA7">
        <w:t xml:space="preserve"> </w:t>
      </w:r>
      <w:r w:rsidR="005521C8">
        <w:t>in</w:t>
      </w:r>
      <w:r w:rsidR="00573BA7">
        <w:t xml:space="preserve"> </w:t>
      </w:r>
      <w:r w:rsidR="005521C8">
        <w:t>the</w:t>
      </w:r>
      <w:r w:rsidR="00573BA7">
        <w:t xml:space="preserve"> </w:t>
      </w:r>
      <w:r w:rsidR="005521C8">
        <w:t>mainstream</w:t>
      </w:r>
      <w:r w:rsidR="00573BA7">
        <w:t xml:space="preserve"> </w:t>
      </w:r>
      <w:r w:rsidR="005521C8">
        <w:t>labour</w:t>
      </w:r>
      <w:r w:rsidR="00573BA7">
        <w:t xml:space="preserve"> </w:t>
      </w:r>
      <w:r w:rsidR="005521C8">
        <w:t>market.</w:t>
      </w:r>
      <w:r w:rsidR="005521C8">
        <w:rPr>
          <w:rStyle w:val="EndnoteReference"/>
        </w:rPr>
        <w:endnoteReference w:id="124"/>
      </w:r>
      <w:r w:rsidR="00573BA7">
        <w:t xml:space="preserve"> </w:t>
      </w:r>
    </w:p>
    <w:p w14:paraId="6215A43A" w14:textId="2E9AD0CB" w:rsidR="005521C8" w:rsidRPr="00710E6A" w:rsidRDefault="005521C8" w:rsidP="005521C8">
      <w:pPr>
        <w:pStyle w:val="Heading3"/>
        <w:rPr>
          <w:b/>
          <w:bCs w:val="0"/>
        </w:rPr>
      </w:pPr>
      <w:bookmarkStart w:id="64" w:name="_Toc51834282"/>
      <w:r w:rsidRPr="00710E6A">
        <w:rPr>
          <w:b/>
          <w:bCs w:val="0"/>
        </w:rPr>
        <w:t>ADEs</w:t>
      </w:r>
      <w:r w:rsidR="00ED7F18" w:rsidRPr="00710E6A">
        <w:rPr>
          <w:b/>
          <w:bCs w:val="0"/>
        </w:rPr>
        <w:t xml:space="preserve"> and</w:t>
      </w:r>
      <w:r w:rsidR="00573BA7" w:rsidRPr="00710E6A">
        <w:rPr>
          <w:b/>
          <w:bCs w:val="0"/>
        </w:rPr>
        <w:t xml:space="preserve"> </w:t>
      </w:r>
      <w:r w:rsidRPr="00710E6A">
        <w:rPr>
          <w:b/>
          <w:bCs w:val="0"/>
        </w:rPr>
        <w:t>rights</w:t>
      </w:r>
      <w:r w:rsidR="00573BA7" w:rsidRPr="00710E6A">
        <w:rPr>
          <w:b/>
          <w:bCs w:val="0"/>
        </w:rPr>
        <w:t xml:space="preserve"> </w:t>
      </w:r>
      <w:r w:rsidRPr="00710E6A">
        <w:rPr>
          <w:b/>
          <w:bCs w:val="0"/>
        </w:rPr>
        <w:t>to</w:t>
      </w:r>
      <w:r w:rsidR="00573BA7" w:rsidRPr="00710E6A">
        <w:rPr>
          <w:b/>
          <w:bCs w:val="0"/>
        </w:rPr>
        <w:t xml:space="preserve"> </w:t>
      </w:r>
      <w:r w:rsidRPr="00710E6A">
        <w:rPr>
          <w:b/>
          <w:bCs w:val="0"/>
        </w:rPr>
        <w:t>non-discrimination</w:t>
      </w:r>
      <w:r w:rsidR="00573BA7" w:rsidRPr="00710E6A">
        <w:rPr>
          <w:b/>
          <w:bCs w:val="0"/>
        </w:rPr>
        <w:t xml:space="preserve"> </w:t>
      </w:r>
      <w:r w:rsidRPr="00710E6A">
        <w:rPr>
          <w:b/>
          <w:bCs w:val="0"/>
        </w:rPr>
        <w:t>and</w:t>
      </w:r>
      <w:r w:rsidR="00573BA7" w:rsidRPr="00710E6A">
        <w:rPr>
          <w:b/>
          <w:bCs w:val="0"/>
        </w:rPr>
        <w:t xml:space="preserve"> </w:t>
      </w:r>
      <w:r w:rsidRPr="00710E6A">
        <w:rPr>
          <w:b/>
          <w:bCs w:val="0"/>
        </w:rPr>
        <w:t>equality</w:t>
      </w:r>
      <w:bookmarkEnd w:id="64"/>
    </w:p>
    <w:p w14:paraId="734A3A8E" w14:textId="77777777" w:rsidR="005521C8" w:rsidRDefault="005521C8" w:rsidP="005521C8">
      <w:pPr>
        <w:pStyle w:val="ListNumber"/>
      </w:pPr>
      <w:r w:rsidRPr="07069484">
        <w:rPr>
          <w:lang w:eastAsia="en-GB"/>
        </w:rPr>
        <w:t>Furthermore,</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ongoing</w:t>
      </w:r>
      <w:r w:rsidR="00573BA7" w:rsidRPr="07069484">
        <w:rPr>
          <w:lang w:eastAsia="en-GB"/>
        </w:rPr>
        <w:t xml:space="preserve"> </w:t>
      </w:r>
      <w:r w:rsidRPr="07069484">
        <w:rPr>
          <w:lang w:eastAsia="en-GB"/>
        </w:rPr>
        <w:t>operation</w:t>
      </w:r>
      <w:r w:rsidR="00573BA7" w:rsidRPr="07069484">
        <w:rPr>
          <w:lang w:eastAsia="en-GB"/>
        </w:rPr>
        <w:t xml:space="preserve"> </w:t>
      </w:r>
      <w:r w:rsidRPr="07069484">
        <w:rPr>
          <w:lang w:eastAsia="en-GB"/>
        </w:rPr>
        <w:t>of</w:t>
      </w:r>
      <w:r w:rsidR="00573BA7" w:rsidRPr="07069484">
        <w:rPr>
          <w:lang w:eastAsia="en-GB"/>
        </w:rPr>
        <w:t xml:space="preserve"> </w:t>
      </w:r>
      <w:r w:rsidRPr="07069484">
        <w:rPr>
          <w:lang w:eastAsia="en-GB"/>
        </w:rPr>
        <w:t>ADEs</w:t>
      </w:r>
      <w:r w:rsidR="00573BA7" w:rsidRPr="07069484">
        <w:rPr>
          <w:lang w:eastAsia="en-GB"/>
        </w:rPr>
        <w:t xml:space="preserve"> </w:t>
      </w:r>
      <w:r w:rsidRPr="07069484">
        <w:rPr>
          <w:lang w:eastAsia="en-GB"/>
        </w:rPr>
        <w:t>is</w:t>
      </w:r>
      <w:r w:rsidR="00573BA7" w:rsidRPr="07069484">
        <w:rPr>
          <w:lang w:eastAsia="en-GB"/>
        </w:rPr>
        <w:t xml:space="preserve"> </w:t>
      </w:r>
      <w:r w:rsidRPr="07069484">
        <w:rPr>
          <w:lang w:eastAsia="en-GB"/>
        </w:rPr>
        <w:t>inconsistent</w:t>
      </w:r>
      <w:r w:rsidR="00573BA7" w:rsidRPr="07069484">
        <w:rPr>
          <w:lang w:eastAsia="en-GB"/>
        </w:rPr>
        <w:t xml:space="preserve"> </w:t>
      </w:r>
      <w:r w:rsidRPr="07069484">
        <w:rPr>
          <w:lang w:eastAsia="en-GB"/>
        </w:rPr>
        <w:t>with</w:t>
      </w:r>
      <w:r w:rsidR="00573BA7" w:rsidRPr="07069484">
        <w:rPr>
          <w:lang w:eastAsia="en-GB"/>
        </w:rPr>
        <w:t xml:space="preserve"> </w:t>
      </w:r>
      <w:r w:rsidRPr="07069484">
        <w:rPr>
          <w:lang w:eastAsia="en-GB"/>
        </w:rPr>
        <w:t>Australia’s</w:t>
      </w:r>
      <w:r w:rsidR="00573BA7" w:rsidRPr="07069484">
        <w:rPr>
          <w:lang w:eastAsia="en-GB"/>
        </w:rPr>
        <w:t xml:space="preserve"> </w:t>
      </w:r>
      <w:r w:rsidRPr="07069484">
        <w:rPr>
          <w:lang w:eastAsia="en-GB"/>
        </w:rPr>
        <w:t>obligations</w:t>
      </w:r>
      <w:r w:rsidR="00573BA7" w:rsidRPr="07069484">
        <w:rPr>
          <w:lang w:eastAsia="en-GB"/>
        </w:rPr>
        <w:t xml:space="preserve"> </w:t>
      </w:r>
      <w:r w:rsidRPr="07069484">
        <w:rPr>
          <w:lang w:eastAsia="en-GB"/>
        </w:rPr>
        <w:t>relating</w:t>
      </w:r>
      <w:r w:rsidR="00573BA7" w:rsidRPr="07069484">
        <w:rPr>
          <w:lang w:eastAsia="en-GB"/>
        </w:rPr>
        <w:t xml:space="preserve"> </w:t>
      </w:r>
      <w:r w:rsidRPr="07069484">
        <w:rPr>
          <w:lang w:eastAsia="en-GB"/>
        </w:rPr>
        <w:t>to</w:t>
      </w:r>
      <w:r w:rsidR="00573BA7" w:rsidRPr="07069484">
        <w:rPr>
          <w:lang w:eastAsia="en-GB"/>
        </w:rPr>
        <w:t xml:space="preserve"> </w:t>
      </w:r>
      <w:r w:rsidRPr="07069484">
        <w:rPr>
          <w:lang w:eastAsia="en-GB"/>
        </w:rPr>
        <w:t>non-discrimination</w:t>
      </w:r>
      <w:r w:rsidR="00573BA7" w:rsidRPr="07069484">
        <w:rPr>
          <w:lang w:eastAsia="en-GB"/>
        </w:rPr>
        <w:t xml:space="preserve"> </w:t>
      </w:r>
      <w:r w:rsidRPr="07069484">
        <w:rPr>
          <w:lang w:eastAsia="en-GB"/>
        </w:rPr>
        <w:t>and</w:t>
      </w:r>
      <w:r w:rsidR="00573BA7" w:rsidRPr="07069484">
        <w:rPr>
          <w:lang w:eastAsia="en-GB"/>
        </w:rPr>
        <w:t xml:space="preserve"> </w:t>
      </w:r>
      <w:r w:rsidRPr="07069484">
        <w:rPr>
          <w:lang w:eastAsia="en-GB"/>
        </w:rPr>
        <w:t>equality.</w:t>
      </w:r>
      <w:r w:rsidR="00573BA7" w:rsidRPr="07069484">
        <w:rPr>
          <w:lang w:eastAsia="en-GB"/>
        </w:rPr>
        <w:t xml:space="preserve">  </w:t>
      </w:r>
      <w:r w:rsidRPr="07069484">
        <w:rPr>
          <w:lang w:eastAsia="en-GB"/>
        </w:rPr>
        <w:t>Under</w:t>
      </w:r>
      <w:r w:rsidR="00573BA7" w:rsidRPr="07069484">
        <w:rPr>
          <w:lang w:eastAsia="en-GB"/>
        </w:rPr>
        <w:t xml:space="preserve"> </w:t>
      </w:r>
      <w:r w:rsidRPr="07069484">
        <w:rPr>
          <w:lang w:eastAsia="en-GB"/>
        </w:rPr>
        <w:t>Article</w:t>
      </w:r>
      <w:r w:rsidR="00573BA7" w:rsidRPr="07069484">
        <w:rPr>
          <w:lang w:eastAsia="en-GB"/>
        </w:rPr>
        <w:t xml:space="preserve"> </w:t>
      </w:r>
      <w:r w:rsidRPr="07069484">
        <w:rPr>
          <w:lang w:eastAsia="en-GB"/>
        </w:rPr>
        <w:t>27(1),</w:t>
      </w:r>
      <w:r w:rsidR="00573BA7" w:rsidRPr="07069484">
        <w:rPr>
          <w:lang w:eastAsia="en-GB"/>
        </w:rPr>
        <w:t xml:space="preserve"> </w:t>
      </w:r>
      <w:r w:rsidRPr="07069484">
        <w:rPr>
          <w:lang w:eastAsia="en-GB"/>
        </w:rPr>
        <w:t>Australia</w:t>
      </w:r>
      <w:r w:rsidR="00573BA7" w:rsidRPr="07069484">
        <w:rPr>
          <w:lang w:eastAsia="en-GB"/>
        </w:rPr>
        <w:t xml:space="preserve"> </w:t>
      </w:r>
      <w:r w:rsidRPr="07069484">
        <w:rPr>
          <w:lang w:eastAsia="en-GB"/>
        </w:rPr>
        <w:t>is</w:t>
      </w:r>
      <w:r w:rsidR="00573BA7" w:rsidRPr="07069484">
        <w:rPr>
          <w:lang w:eastAsia="en-GB"/>
        </w:rPr>
        <w:t xml:space="preserve"> </w:t>
      </w:r>
      <w:r w:rsidRPr="07069484">
        <w:rPr>
          <w:lang w:eastAsia="en-GB"/>
        </w:rPr>
        <w:t>obligated</w:t>
      </w:r>
      <w:r w:rsidR="00573BA7" w:rsidRPr="07069484">
        <w:rPr>
          <w:lang w:eastAsia="en-GB"/>
        </w:rPr>
        <w:t xml:space="preserve"> </w:t>
      </w:r>
      <w:r w:rsidRPr="07069484">
        <w:rPr>
          <w:lang w:eastAsia="en-GB"/>
        </w:rPr>
        <w:t>to</w:t>
      </w:r>
      <w:r w:rsidR="00573BA7" w:rsidRPr="07069484">
        <w:rPr>
          <w:lang w:eastAsia="en-GB"/>
        </w:rPr>
        <w:t xml:space="preserve"> </w:t>
      </w:r>
      <w:r w:rsidRPr="07069484">
        <w:rPr>
          <w:lang w:eastAsia="en-GB"/>
        </w:rPr>
        <w:t>prohibit</w:t>
      </w:r>
      <w:r w:rsidR="00573BA7" w:rsidRPr="07069484">
        <w:rPr>
          <w:lang w:eastAsia="en-GB"/>
        </w:rPr>
        <w:t xml:space="preserve"> </w:t>
      </w:r>
      <w:r w:rsidRPr="07069484">
        <w:rPr>
          <w:lang w:eastAsia="en-GB"/>
        </w:rPr>
        <w:t>discrimination</w:t>
      </w:r>
      <w:r w:rsidR="00573BA7" w:rsidRPr="07069484">
        <w:rPr>
          <w:lang w:eastAsia="en-GB"/>
        </w:rPr>
        <w:t xml:space="preserve"> </w:t>
      </w:r>
      <w:r w:rsidRPr="07069484">
        <w:rPr>
          <w:lang w:eastAsia="en-GB"/>
        </w:rPr>
        <w:t>on</w:t>
      </w:r>
      <w:r w:rsidR="00573BA7" w:rsidRPr="07069484">
        <w:rPr>
          <w:lang w:eastAsia="en-GB"/>
        </w:rPr>
        <w:t xml:space="preserve"> </w:t>
      </w:r>
      <w:r w:rsidRPr="07069484">
        <w:rPr>
          <w:lang w:eastAsia="en-GB"/>
        </w:rPr>
        <w:t>the</w:t>
      </w:r>
      <w:r w:rsidR="00573BA7" w:rsidRPr="07069484">
        <w:rPr>
          <w:lang w:eastAsia="en-GB"/>
        </w:rPr>
        <w:t xml:space="preserve"> </w:t>
      </w:r>
      <w:r w:rsidRPr="07069484">
        <w:rPr>
          <w:lang w:eastAsia="en-GB"/>
        </w:rPr>
        <w:t>basis</w:t>
      </w:r>
      <w:r w:rsidR="00573BA7" w:rsidRPr="07069484">
        <w:rPr>
          <w:lang w:eastAsia="en-GB"/>
        </w:rPr>
        <w:t xml:space="preserve"> </w:t>
      </w:r>
      <w:r w:rsidRPr="07069484">
        <w:rPr>
          <w:lang w:eastAsia="en-GB"/>
        </w:rPr>
        <w:t>of</w:t>
      </w:r>
      <w:r w:rsidR="00573BA7" w:rsidRPr="07069484">
        <w:rPr>
          <w:lang w:eastAsia="en-GB"/>
        </w:rPr>
        <w:t xml:space="preserve"> </w:t>
      </w:r>
      <w:r w:rsidRPr="07069484">
        <w:rPr>
          <w:lang w:eastAsia="en-GB"/>
        </w:rPr>
        <w:t>disability</w:t>
      </w:r>
      <w:r w:rsidR="00573BA7" w:rsidRPr="07069484">
        <w:rPr>
          <w:lang w:eastAsia="en-GB"/>
        </w:rPr>
        <w:t xml:space="preserve"> </w:t>
      </w:r>
      <w:r w:rsidRPr="07069484">
        <w:rPr>
          <w:lang w:eastAsia="en-GB"/>
        </w:rPr>
        <w:t>with</w:t>
      </w:r>
      <w:r w:rsidR="00573BA7" w:rsidRPr="07069484">
        <w:rPr>
          <w:lang w:eastAsia="en-GB"/>
        </w:rPr>
        <w:t xml:space="preserve"> </w:t>
      </w:r>
      <w:r w:rsidRPr="07069484">
        <w:rPr>
          <w:lang w:eastAsia="en-GB"/>
        </w:rPr>
        <w:t>regard</w:t>
      </w:r>
      <w:r w:rsidR="00573BA7" w:rsidRPr="07069484">
        <w:rPr>
          <w:lang w:eastAsia="en-GB"/>
        </w:rPr>
        <w:t xml:space="preserve"> </w:t>
      </w:r>
      <w:r w:rsidRPr="07069484">
        <w:rPr>
          <w:lang w:eastAsia="en-GB"/>
        </w:rPr>
        <w:t>to</w:t>
      </w:r>
      <w:r w:rsidR="00573BA7" w:rsidRPr="07069484">
        <w:rPr>
          <w:lang w:eastAsia="en-GB"/>
        </w:rPr>
        <w:t xml:space="preserve"> </w:t>
      </w:r>
      <w:r w:rsidRPr="07069484">
        <w:rPr>
          <w:lang w:eastAsia="en-GB"/>
        </w:rPr>
        <w:t>all</w:t>
      </w:r>
      <w:r w:rsidR="00573BA7" w:rsidRPr="07069484">
        <w:rPr>
          <w:lang w:eastAsia="en-GB"/>
        </w:rPr>
        <w:t xml:space="preserve"> </w:t>
      </w:r>
      <w:r w:rsidRPr="07069484">
        <w:rPr>
          <w:lang w:eastAsia="en-GB"/>
        </w:rPr>
        <w:t>matters</w:t>
      </w:r>
      <w:r w:rsidR="00573BA7" w:rsidRPr="07069484">
        <w:rPr>
          <w:lang w:eastAsia="en-GB"/>
        </w:rPr>
        <w:t xml:space="preserve"> </w:t>
      </w:r>
      <w:r w:rsidRPr="07069484">
        <w:rPr>
          <w:lang w:eastAsia="en-GB"/>
        </w:rPr>
        <w:t>concerning</w:t>
      </w:r>
      <w:r w:rsidR="00573BA7" w:rsidRPr="07069484">
        <w:rPr>
          <w:lang w:eastAsia="en-GB"/>
        </w:rPr>
        <w:t xml:space="preserve"> </w:t>
      </w:r>
      <w:r w:rsidRPr="07069484">
        <w:rPr>
          <w:lang w:eastAsia="en-GB"/>
        </w:rPr>
        <w:t>all</w:t>
      </w:r>
      <w:r w:rsidR="00573BA7" w:rsidRPr="07069484">
        <w:rPr>
          <w:lang w:eastAsia="en-GB"/>
        </w:rPr>
        <w:t xml:space="preserve"> </w:t>
      </w:r>
      <w:r w:rsidRPr="07069484">
        <w:rPr>
          <w:lang w:eastAsia="en-GB"/>
        </w:rPr>
        <w:t>forms</w:t>
      </w:r>
      <w:r w:rsidR="00573BA7" w:rsidRPr="07069484">
        <w:rPr>
          <w:lang w:eastAsia="en-GB"/>
        </w:rPr>
        <w:t xml:space="preserve"> </w:t>
      </w:r>
      <w:r w:rsidRPr="07069484">
        <w:rPr>
          <w:lang w:eastAsia="en-GB"/>
        </w:rPr>
        <w:t>of</w:t>
      </w:r>
      <w:r w:rsidR="00573BA7" w:rsidRPr="07069484">
        <w:rPr>
          <w:lang w:eastAsia="en-GB"/>
        </w:rPr>
        <w:t xml:space="preserve"> </w:t>
      </w:r>
      <w:r w:rsidRPr="07069484">
        <w:rPr>
          <w:lang w:eastAsia="en-GB"/>
        </w:rPr>
        <w:t>employment.</w:t>
      </w:r>
      <w:r w:rsidR="00573BA7" w:rsidRPr="07069484">
        <w:rPr>
          <w:lang w:eastAsia="en-GB"/>
        </w:rPr>
        <w:t xml:space="preserve">  </w:t>
      </w:r>
      <w:r>
        <w:t>The</w:t>
      </w:r>
      <w:r w:rsidR="00573BA7">
        <w:t xml:space="preserve"> </w:t>
      </w:r>
      <w:r>
        <w:t>reference</w:t>
      </w:r>
      <w:r w:rsidR="00573BA7">
        <w:t xml:space="preserve"> </w:t>
      </w:r>
      <w:r>
        <w:t>to</w:t>
      </w:r>
      <w:r w:rsidR="00573BA7">
        <w:t xml:space="preserve"> </w:t>
      </w:r>
      <w:r>
        <w:t>‘all</w:t>
      </w:r>
      <w:r w:rsidR="00573BA7">
        <w:t xml:space="preserve"> </w:t>
      </w:r>
      <w:r>
        <w:t>forms</w:t>
      </w:r>
      <w:r w:rsidR="00573BA7">
        <w:t xml:space="preserve"> </w:t>
      </w:r>
      <w:r>
        <w:t>of</w:t>
      </w:r>
      <w:r w:rsidR="00573BA7">
        <w:t xml:space="preserve"> </w:t>
      </w:r>
      <w:r>
        <w:t>employment’</w:t>
      </w:r>
      <w:r w:rsidR="00573BA7">
        <w:t xml:space="preserve"> </w:t>
      </w:r>
      <w:r>
        <w:t>confirms</w:t>
      </w:r>
      <w:r w:rsidR="00573BA7">
        <w:t xml:space="preserve"> </w:t>
      </w:r>
      <w:r>
        <w:t>that</w:t>
      </w:r>
      <w:r w:rsidR="00573BA7">
        <w:t xml:space="preserve"> </w:t>
      </w:r>
      <w:r>
        <w:t>the</w:t>
      </w:r>
      <w:r w:rsidR="00573BA7">
        <w:t xml:space="preserve"> </w:t>
      </w:r>
      <w:r>
        <w:t>obligation</w:t>
      </w:r>
      <w:r w:rsidR="00573BA7">
        <w:t xml:space="preserve"> </w:t>
      </w:r>
      <w:r>
        <w:t>to</w:t>
      </w:r>
      <w:r w:rsidR="00573BA7">
        <w:t xml:space="preserve"> </w:t>
      </w:r>
      <w:r>
        <w:t>prohibit</w:t>
      </w:r>
      <w:r w:rsidR="00573BA7">
        <w:t xml:space="preserve"> </w:t>
      </w:r>
      <w:r>
        <w:t>discrimination</w:t>
      </w:r>
      <w:r w:rsidR="00573BA7">
        <w:t xml:space="preserve"> </w:t>
      </w:r>
      <w:r>
        <w:t>extends</w:t>
      </w:r>
      <w:r w:rsidR="00573BA7">
        <w:t xml:space="preserve"> </w:t>
      </w:r>
      <w:r>
        <w:t>to</w:t>
      </w:r>
      <w:r w:rsidR="00573BA7">
        <w:t xml:space="preserve"> </w:t>
      </w:r>
      <w:r>
        <w:t>discrimination</w:t>
      </w:r>
      <w:r w:rsidR="00573BA7">
        <w:t xml:space="preserve"> </w:t>
      </w:r>
      <w:r>
        <w:t>in</w:t>
      </w:r>
      <w:r w:rsidR="00573BA7">
        <w:t xml:space="preserve"> </w:t>
      </w:r>
      <w:r>
        <w:t>the</w:t>
      </w:r>
      <w:r w:rsidR="00573BA7">
        <w:t xml:space="preserve"> </w:t>
      </w:r>
      <w:r>
        <w:t>context</w:t>
      </w:r>
      <w:r w:rsidR="00573BA7">
        <w:t xml:space="preserve"> </w:t>
      </w:r>
      <w:r>
        <w:t>of</w:t>
      </w:r>
      <w:r w:rsidR="00573BA7">
        <w:t xml:space="preserve"> </w:t>
      </w:r>
      <w:r>
        <w:t>sheltered</w:t>
      </w:r>
      <w:r w:rsidR="00573BA7">
        <w:t xml:space="preserve"> </w:t>
      </w:r>
      <w:r>
        <w:t>employment,</w:t>
      </w:r>
      <w:r w:rsidR="00573BA7">
        <w:t xml:space="preserve"> </w:t>
      </w:r>
      <w:r>
        <w:t>such</w:t>
      </w:r>
      <w:r w:rsidR="00573BA7">
        <w:t xml:space="preserve"> </w:t>
      </w:r>
      <w:r>
        <w:t>as</w:t>
      </w:r>
      <w:r w:rsidR="00573BA7">
        <w:t xml:space="preserve"> </w:t>
      </w:r>
      <w:r>
        <w:t>employment</w:t>
      </w:r>
      <w:r w:rsidR="00573BA7">
        <w:t xml:space="preserve"> </w:t>
      </w:r>
      <w:r>
        <w:t>with</w:t>
      </w:r>
      <w:r w:rsidR="00573BA7">
        <w:t xml:space="preserve"> </w:t>
      </w:r>
      <w:r>
        <w:t>ADEs.</w:t>
      </w:r>
      <w:r w:rsidR="00573BA7" w:rsidRPr="07069484">
        <w:rPr>
          <w:lang w:eastAsia="en-GB"/>
        </w:rPr>
        <w:t xml:space="preserve"> </w:t>
      </w:r>
    </w:p>
    <w:p w14:paraId="01B55299" w14:textId="77777777" w:rsidR="005521C8" w:rsidRDefault="005521C8" w:rsidP="005521C8">
      <w:pPr>
        <w:pStyle w:val="ListNumber"/>
      </w:pPr>
      <w:r>
        <w:t>To</w:t>
      </w:r>
      <w:r w:rsidR="00573BA7">
        <w:t xml:space="preserve"> </w:t>
      </w:r>
      <w:r>
        <w:t>the</w:t>
      </w:r>
      <w:r w:rsidR="00573BA7">
        <w:t xml:space="preserve"> </w:t>
      </w:r>
      <w:r>
        <w:t>extent</w:t>
      </w:r>
      <w:r w:rsidR="00573BA7">
        <w:t xml:space="preserve"> </w:t>
      </w:r>
      <w:r>
        <w:t>that</w:t>
      </w:r>
      <w:r w:rsidR="00573BA7">
        <w:t xml:space="preserve"> </w:t>
      </w:r>
      <w:r>
        <w:t>the</w:t>
      </w:r>
      <w:r w:rsidR="00573BA7">
        <w:t xml:space="preserve"> </w:t>
      </w:r>
      <w:r>
        <w:t>remuneration</w:t>
      </w:r>
      <w:r w:rsidR="00573BA7">
        <w:t xml:space="preserve"> </w:t>
      </w:r>
      <w:r>
        <w:t>of</w:t>
      </w:r>
      <w:r w:rsidR="00573BA7">
        <w:t xml:space="preserve"> </w:t>
      </w:r>
      <w:r>
        <w:t>ADE</w:t>
      </w:r>
      <w:r w:rsidR="00573BA7">
        <w:t xml:space="preserve"> </w:t>
      </w:r>
      <w:r>
        <w:t>employees</w:t>
      </w:r>
      <w:r w:rsidR="00573BA7">
        <w:t xml:space="preserve"> </w:t>
      </w:r>
      <w:r>
        <w:t>is</w:t>
      </w:r>
      <w:r w:rsidR="00573BA7">
        <w:t xml:space="preserve"> </w:t>
      </w:r>
      <w:r>
        <w:t>calculated</w:t>
      </w:r>
      <w:r w:rsidR="00573BA7">
        <w:t xml:space="preserve"> </w:t>
      </w:r>
      <w:r>
        <w:t>on</w:t>
      </w:r>
      <w:r w:rsidR="00573BA7">
        <w:t xml:space="preserve"> </w:t>
      </w:r>
      <w:r>
        <w:t>the</w:t>
      </w:r>
      <w:r w:rsidR="00573BA7">
        <w:t xml:space="preserve"> </w:t>
      </w:r>
      <w:r>
        <w:t>basis</w:t>
      </w:r>
      <w:r w:rsidR="00573BA7">
        <w:t xml:space="preserve"> </w:t>
      </w:r>
      <w:r>
        <w:t>of</w:t>
      </w:r>
      <w:r w:rsidR="00573BA7">
        <w:t xml:space="preserve"> </w:t>
      </w:r>
      <w:r>
        <w:t>their</w:t>
      </w:r>
      <w:r w:rsidR="00573BA7">
        <w:t xml:space="preserve"> </w:t>
      </w:r>
      <w:r>
        <w:t>status</w:t>
      </w:r>
      <w:r w:rsidR="00573BA7">
        <w:t xml:space="preserve"> </w:t>
      </w:r>
      <w:r>
        <w:t>as</w:t>
      </w:r>
      <w:r w:rsidR="00573BA7">
        <w:t xml:space="preserve"> </w:t>
      </w:r>
      <w:r>
        <w:t>a</w:t>
      </w:r>
      <w:r w:rsidR="00573BA7">
        <w:t xml:space="preserve"> </w:t>
      </w:r>
      <w:r>
        <w:t>person</w:t>
      </w:r>
      <w:r w:rsidR="00573BA7">
        <w:t xml:space="preserve"> </w:t>
      </w:r>
      <w:r>
        <w:t>with</w:t>
      </w:r>
      <w:r w:rsidR="00573BA7">
        <w:t xml:space="preserve"> </w:t>
      </w:r>
      <w:r>
        <w:t>a</w:t>
      </w:r>
      <w:r w:rsidR="00573BA7">
        <w:t xml:space="preserve"> </w:t>
      </w:r>
      <w:r>
        <w:t>disability,</w:t>
      </w:r>
      <w:r w:rsidR="00573BA7">
        <w:t xml:space="preserve"> </w:t>
      </w:r>
      <w:r>
        <w:t>Australia’s</w:t>
      </w:r>
      <w:r w:rsidR="00573BA7">
        <w:t xml:space="preserve"> </w:t>
      </w:r>
      <w:r>
        <w:t>ongoing</w:t>
      </w:r>
      <w:r w:rsidR="00573BA7">
        <w:t xml:space="preserve"> </w:t>
      </w:r>
      <w:r>
        <w:t>support</w:t>
      </w:r>
      <w:r w:rsidR="00573BA7">
        <w:t xml:space="preserve"> </w:t>
      </w:r>
      <w:r>
        <w:t>of</w:t>
      </w:r>
      <w:r w:rsidR="00573BA7">
        <w:t xml:space="preserve"> </w:t>
      </w:r>
      <w:r>
        <w:t>ADEs</w:t>
      </w:r>
      <w:r w:rsidR="00573BA7">
        <w:t xml:space="preserve"> </w:t>
      </w:r>
      <w:r>
        <w:t>is</w:t>
      </w:r>
      <w:r w:rsidR="00573BA7">
        <w:t xml:space="preserve"> </w:t>
      </w:r>
      <w:r>
        <w:t>inconsistent</w:t>
      </w:r>
      <w:r w:rsidR="00573BA7">
        <w:t xml:space="preserve"> </w:t>
      </w:r>
      <w:r>
        <w:t>with</w:t>
      </w:r>
      <w:r w:rsidR="00573BA7">
        <w:t xml:space="preserve"> </w:t>
      </w:r>
      <w:r>
        <w:t>its</w:t>
      </w:r>
      <w:r w:rsidR="00573BA7">
        <w:t xml:space="preserve"> </w:t>
      </w:r>
      <w:r>
        <w:t>obligations</w:t>
      </w:r>
      <w:r w:rsidR="00573BA7">
        <w:t xml:space="preserve"> </w:t>
      </w:r>
      <w:r>
        <w:t>to</w:t>
      </w:r>
      <w:r w:rsidR="00573BA7">
        <w:t xml:space="preserve"> </w:t>
      </w:r>
      <w:r>
        <w:t>respect,</w:t>
      </w:r>
      <w:r w:rsidR="00573BA7">
        <w:t xml:space="preserve"> </w:t>
      </w:r>
      <w:r>
        <w:t>protect</w:t>
      </w:r>
      <w:r w:rsidR="00573BA7">
        <w:t xml:space="preserve"> </w:t>
      </w:r>
      <w:r>
        <w:t>and</w:t>
      </w:r>
      <w:r w:rsidR="00573BA7">
        <w:t xml:space="preserve"> </w:t>
      </w:r>
      <w:r>
        <w:t>fulfil</w:t>
      </w:r>
      <w:r w:rsidR="00573BA7">
        <w:t xml:space="preserve"> </w:t>
      </w:r>
      <w:r>
        <w:t>non-discrimination</w:t>
      </w:r>
      <w:r w:rsidR="00573BA7">
        <w:t xml:space="preserve"> </w:t>
      </w:r>
      <w:r>
        <w:t>and</w:t>
      </w:r>
      <w:r w:rsidR="00573BA7">
        <w:t xml:space="preserve"> </w:t>
      </w:r>
      <w:r>
        <w:t>equality</w:t>
      </w:r>
      <w:r w:rsidR="00573BA7">
        <w:t xml:space="preserve"> </w:t>
      </w:r>
      <w:r>
        <w:t>rights.</w:t>
      </w:r>
    </w:p>
    <w:p w14:paraId="0710A898" w14:textId="23543268" w:rsidR="00B56FEF" w:rsidRDefault="00B1231D" w:rsidP="005521C8">
      <w:pPr>
        <w:pStyle w:val="ListNumber"/>
      </w:pPr>
      <w:r>
        <w:t>In</w:t>
      </w:r>
      <w:r w:rsidR="00573BA7">
        <w:t xml:space="preserve"> </w:t>
      </w:r>
      <w:r>
        <w:t>order</w:t>
      </w:r>
      <w:r w:rsidR="00573BA7">
        <w:t xml:space="preserve"> </w:t>
      </w:r>
      <w:r>
        <w:t>to</w:t>
      </w:r>
      <w:r w:rsidR="00573BA7">
        <w:t xml:space="preserve"> </w:t>
      </w:r>
      <w:r>
        <w:t>ensure</w:t>
      </w:r>
      <w:r w:rsidR="00573BA7">
        <w:t xml:space="preserve"> </w:t>
      </w:r>
      <w:r>
        <w:t>reasonable</w:t>
      </w:r>
      <w:r w:rsidR="00573BA7">
        <w:t xml:space="preserve"> </w:t>
      </w:r>
      <w:r>
        <w:t>accommodation</w:t>
      </w:r>
      <w:r w:rsidR="00573BA7">
        <w:t xml:space="preserve"> </w:t>
      </w:r>
      <w:r>
        <w:t>as</w:t>
      </w:r>
      <w:r w:rsidR="00573BA7">
        <w:t xml:space="preserve"> </w:t>
      </w:r>
      <w:r>
        <w:t>required</w:t>
      </w:r>
      <w:r w:rsidR="00573BA7">
        <w:t xml:space="preserve"> </w:t>
      </w:r>
      <w:r>
        <w:t>by</w:t>
      </w:r>
      <w:r w:rsidR="00573BA7">
        <w:t xml:space="preserve"> </w:t>
      </w:r>
      <w:r>
        <w:t>Article</w:t>
      </w:r>
      <w:r w:rsidR="00573BA7">
        <w:t xml:space="preserve"> </w:t>
      </w:r>
      <w:r>
        <w:t>5(3),</w:t>
      </w:r>
      <w:r w:rsidR="00573BA7">
        <w:t xml:space="preserve"> </w:t>
      </w:r>
      <w:r>
        <w:t>and</w:t>
      </w:r>
      <w:r w:rsidR="00573BA7">
        <w:t xml:space="preserve"> </w:t>
      </w:r>
      <w:r>
        <w:t>to</w:t>
      </w:r>
      <w:r w:rsidR="00573BA7">
        <w:t xml:space="preserve"> </w:t>
      </w:r>
      <w:r>
        <w:t>achieve</w:t>
      </w:r>
      <w:r w:rsidR="00573BA7">
        <w:t xml:space="preserve"> </w:t>
      </w:r>
      <w:r>
        <w:t>or</w:t>
      </w:r>
      <w:r w:rsidR="00573BA7">
        <w:t xml:space="preserve"> </w:t>
      </w:r>
      <w:r>
        <w:t>accelerate</w:t>
      </w:r>
      <w:r w:rsidR="00573BA7">
        <w:t xml:space="preserve"> </w:t>
      </w:r>
      <w:r>
        <w:t>de</w:t>
      </w:r>
      <w:r w:rsidR="00573BA7">
        <w:t xml:space="preserve"> </w:t>
      </w:r>
      <w:r>
        <w:t>facto</w:t>
      </w:r>
      <w:r w:rsidR="00573BA7">
        <w:t xml:space="preserve"> </w:t>
      </w:r>
      <w:r>
        <w:t>equality</w:t>
      </w:r>
      <w:r w:rsidR="00573BA7">
        <w:t xml:space="preserve"> </w:t>
      </w:r>
      <w:r>
        <w:t>in</w:t>
      </w:r>
      <w:r w:rsidR="00573BA7">
        <w:t xml:space="preserve"> </w:t>
      </w:r>
      <w:r>
        <w:t>the</w:t>
      </w:r>
      <w:r w:rsidR="00573BA7">
        <w:t xml:space="preserve"> </w:t>
      </w:r>
      <w:r>
        <w:t>work</w:t>
      </w:r>
      <w:r w:rsidR="00573BA7">
        <w:t xml:space="preserve"> </w:t>
      </w:r>
      <w:r>
        <w:t>environment</w:t>
      </w:r>
      <w:r w:rsidR="00573BA7">
        <w:t xml:space="preserve"> </w:t>
      </w:r>
      <w:r>
        <w:t>as</w:t>
      </w:r>
      <w:r w:rsidR="00573BA7">
        <w:t xml:space="preserve"> </w:t>
      </w:r>
      <w:r>
        <w:t>required</w:t>
      </w:r>
      <w:r w:rsidR="00573BA7">
        <w:t xml:space="preserve"> </w:t>
      </w:r>
      <w:r>
        <w:t>by</w:t>
      </w:r>
      <w:r w:rsidR="00573BA7">
        <w:t xml:space="preserve"> </w:t>
      </w:r>
      <w:r>
        <w:t>Article</w:t>
      </w:r>
      <w:r w:rsidR="00573BA7">
        <w:t xml:space="preserve"> </w:t>
      </w:r>
      <w:r>
        <w:t>5(4),</w:t>
      </w:r>
      <w:r w:rsidR="00573BA7">
        <w:t xml:space="preserve"> </w:t>
      </w:r>
      <w:r>
        <w:t>the</w:t>
      </w:r>
      <w:r w:rsidR="00573BA7">
        <w:t xml:space="preserve"> </w:t>
      </w:r>
      <w:r>
        <w:t>CRPD</w:t>
      </w:r>
      <w:r w:rsidR="00573BA7">
        <w:t xml:space="preserve"> </w:t>
      </w:r>
      <w:r>
        <w:t>Committee</w:t>
      </w:r>
      <w:r w:rsidR="00573BA7">
        <w:t xml:space="preserve"> </w:t>
      </w:r>
      <w:r>
        <w:t>has</w:t>
      </w:r>
      <w:r w:rsidR="00573BA7">
        <w:t xml:space="preserve"> </w:t>
      </w:r>
      <w:r>
        <w:t>commented</w:t>
      </w:r>
      <w:r w:rsidR="00573BA7">
        <w:t xml:space="preserve"> </w:t>
      </w:r>
      <w:r>
        <w:t>that</w:t>
      </w:r>
      <w:r w:rsidR="00573BA7">
        <w:t xml:space="preserve"> </w:t>
      </w:r>
      <w:r>
        <w:t>States</w:t>
      </w:r>
      <w:r w:rsidR="00573BA7">
        <w:t xml:space="preserve"> </w:t>
      </w:r>
      <w:r>
        <w:t>Parties</w:t>
      </w:r>
      <w:r w:rsidR="00573BA7">
        <w:t xml:space="preserve"> </w:t>
      </w:r>
      <w:r>
        <w:t>should</w:t>
      </w:r>
      <w:r w:rsidR="00B56FEF">
        <w:t>:</w:t>
      </w:r>
    </w:p>
    <w:p w14:paraId="570F0C8C" w14:textId="23348E5A" w:rsidR="00B1231D" w:rsidRPr="007B537E" w:rsidRDefault="00B1231D" w:rsidP="00710E6A">
      <w:pPr>
        <w:pStyle w:val="ListNumber"/>
        <w:numPr>
          <w:ilvl w:val="0"/>
          <w:numId w:val="0"/>
        </w:numPr>
        <w:ind w:left="720"/>
        <w:rPr>
          <w:sz w:val="22"/>
          <w:szCs w:val="22"/>
        </w:rPr>
      </w:pPr>
      <w:r w:rsidRPr="007B537E">
        <w:rPr>
          <w:sz w:val="22"/>
          <w:szCs w:val="22"/>
        </w:rPr>
        <w:t>[f]acilitate</w:t>
      </w:r>
      <w:r w:rsidR="00573BA7" w:rsidRPr="007B537E">
        <w:rPr>
          <w:sz w:val="22"/>
          <w:szCs w:val="22"/>
        </w:rPr>
        <w:t xml:space="preserve"> </w:t>
      </w:r>
      <w:r w:rsidRPr="007B537E">
        <w:rPr>
          <w:sz w:val="22"/>
          <w:szCs w:val="22"/>
        </w:rPr>
        <w:t>the</w:t>
      </w:r>
      <w:r w:rsidR="00573BA7" w:rsidRPr="007B537E">
        <w:rPr>
          <w:sz w:val="22"/>
          <w:szCs w:val="22"/>
        </w:rPr>
        <w:t xml:space="preserve"> </w:t>
      </w:r>
      <w:r w:rsidRPr="007B537E">
        <w:rPr>
          <w:sz w:val="22"/>
          <w:szCs w:val="22"/>
        </w:rPr>
        <w:t>transition</w:t>
      </w:r>
      <w:r w:rsidR="00573BA7" w:rsidRPr="007B537E">
        <w:rPr>
          <w:sz w:val="22"/>
          <w:szCs w:val="22"/>
        </w:rPr>
        <w:t xml:space="preserve"> </w:t>
      </w:r>
      <w:r w:rsidRPr="007B537E">
        <w:rPr>
          <w:sz w:val="22"/>
          <w:szCs w:val="22"/>
        </w:rPr>
        <w:t>away</w:t>
      </w:r>
      <w:r w:rsidR="00573BA7" w:rsidRPr="007B537E">
        <w:rPr>
          <w:sz w:val="22"/>
          <w:szCs w:val="22"/>
        </w:rPr>
        <w:t xml:space="preserve"> </w:t>
      </w:r>
      <w:r w:rsidRPr="007B537E">
        <w:rPr>
          <w:sz w:val="22"/>
          <w:szCs w:val="22"/>
        </w:rPr>
        <w:t>from</w:t>
      </w:r>
      <w:r w:rsidR="00573BA7" w:rsidRPr="007B537E">
        <w:rPr>
          <w:sz w:val="22"/>
          <w:szCs w:val="22"/>
        </w:rPr>
        <w:t xml:space="preserve"> </w:t>
      </w:r>
      <w:r w:rsidRPr="007B537E">
        <w:rPr>
          <w:sz w:val="22"/>
          <w:szCs w:val="22"/>
        </w:rPr>
        <w:t>segregated</w:t>
      </w:r>
      <w:r w:rsidR="00573BA7" w:rsidRPr="007B537E">
        <w:rPr>
          <w:sz w:val="22"/>
          <w:szCs w:val="22"/>
        </w:rPr>
        <w:t xml:space="preserve"> </w:t>
      </w:r>
      <w:r w:rsidRPr="007B537E">
        <w:rPr>
          <w:sz w:val="22"/>
          <w:szCs w:val="22"/>
        </w:rPr>
        <w:t>work</w:t>
      </w:r>
      <w:r w:rsidR="00573BA7" w:rsidRPr="007B537E">
        <w:rPr>
          <w:sz w:val="22"/>
          <w:szCs w:val="22"/>
        </w:rPr>
        <w:t xml:space="preserve"> </w:t>
      </w:r>
      <w:r w:rsidRPr="007B537E">
        <w:rPr>
          <w:sz w:val="22"/>
          <w:szCs w:val="22"/>
        </w:rPr>
        <w:t>environments</w:t>
      </w:r>
      <w:r w:rsidR="00573BA7" w:rsidRPr="007B537E">
        <w:rPr>
          <w:sz w:val="22"/>
          <w:szCs w:val="22"/>
        </w:rPr>
        <w:t xml:space="preserve"> </w:t>
      </w:r>
      <w:r w:rsidRPr="007B537E">
        <w:rPr>
          <w:sz w:val="22"/>
          <w:szCs w:val="22"/>
        </w:rPr>
        <w:t>for</w:t>
      </w:r>
      <w:r w:rsidR="00573BA7" w:rsidRPr="007B537E">
        <w:rPr>
          <w:sz w:val="22"/>
          <w:szCs w:val="22"/>
        </w:rPr>
        <w:t xml:space="preserve"> </w:t>
      </w:r>
      <w:r w:rsidRPr="007B537E">
        <w:rPr>
          <w:sz w:val="22"/>
          <w:szCs w:val="22"/>
        </w:rPr>
        <w:t>persons</w:t>
      </w:r>
      <w:r w:rsidR="00573BA7" w:rsidRPr="007B537E">
        <w:rPr>
          <w:sz w:val="22"/>
          <w:szCs w:val="22"/>
        </w:rPr>
        <w:t xml:space="preserve"> </w:t>
      </w:r>
      <w:r w:rsidRPr="007B537E">
        <w:rPr>
          <w:sz w:val="22"/>
          <w:szCs w:val="22"/>
        </w:rPr>
        <w:t>with</w:t>
      </w:r>
      <w:r w:rsidR="00573BA7" w:rsidRPr="007B537E">
        <w:rPr>
          <w:sz w:val="22"/>
          <w:szCs w:val="22"/>
        </w:rPr>
        <w:t xml:space="preserve"> </w:t>
      </w:r>
      <w:r w:rsidRPr="007B537E">
        <w:rPr>
          <w:sz w:val="22"/>
          <w:szCs w:val="22"/>
        </w:rPr>
        <w:t>disabilities</w:t>
      </w:r>
      <w:r w:rsidR="00573BA7" w:rsidRPr="007B537E">
        <w:rPr>
          <w:sz w:val="22"/>
          <w:szCs w:val="22"/>
        </w:rPr>
        <w:t xml:space="preserve"> </w:t>
      </w:r>
      <w:r w:rsidRPr="007B537E">
        <w:rPr>
          <w:sz w:val="22"/>
          <w:szCs w:val="22"/>
        </w:rPr>
        <w:t>and</w:t>
      </w:r>
      <w:r w:rsidR="00573BA7" w:rsidRPr="007B537E">
        <w:rPr>
          <w:sz w:val="22"/>
          <w:szCs w:val="22"/>
        </w:rPr>
        <w:t xml:space="preserve"> </w:t>
      </w:r>
      <w:r w:rsidRPr="007B537E">
        <w:rPr>
          <w:sz w:val="22"/>
          <w:szCs w:val="22"/>
        </w:rPr>
        <w:t>support</w:t>
      </w:r>
      <w:r w:rsidR="00573BA7" w:rsidRPr="007B537E">
        <w:rPr>
          <w:sz w:val="22"/>
          <w:szCs w:val="22"/>
        </w:rPr>
        <w:t xml:space="preserve"> </w:t>
      </w:r>
      <w:r w:rsidRPr="007B537E">
        <w:rPr>
          <w:sz w:val="22"/>
          <w:szCs w:val="22"/>
        </w:rPr>
        <w:t>their</w:t>
      </w:r>
      <w:r w:rsidR="00573BA7" w:rsidRPr="007B537E">
        <w:rPr>
          <w:sz w:val="22"/>
          <w:szCs w:val="22"/>
        </w:rPr>
        <w:t xml:space="preserve"> </w:t>
      </w:r>
      <w:r w:rsidRPr="007B537E">
        <w:rPr>
          <w:sz w:val="22"/>
          <w:szCs w:val="22"/>
        </w:rPr>
        <w:t>engagement</w:t>
      </w:r>
      <w:r w:rsidR="00573BA7" w:rsidRPr="007B537E">
        <w:rPr>
          <w:sz w:val="22"/>
          <w:szCs w:val="22"/>
        </w:rPr>
        <w:t xml:space="preserve"> </w:t>
      </w:r>
      <w:r w:rsidRPr="007B537E">
        <w:rPr>
          <w:sz w:val="22"/>
          <w:szCs w:val="22"/>
        </w:rPr>
        <w:t>in</w:t>
      </w:r>
      <w:r w:rsidR="00573BA7" w:rsidRPr="007B537E">
        <w:rPr>
          <w:sz w:val="22"/>
          <w:szCs w:val="22"/>
        </w:rPr>
        <w:t xml:space="preserve"> </w:t>
      </w:r>
      <w:r w:rsidRPr="007B537E">
        <w:rPr>
          <w:sz w:val="22"/>
          <w:szCs w:val="22"/>
        </w:rPr>
        <w:t>the</w:t>
      </w:r>
      <w:r w:rsidR="00573BA7" w:rsidRPr="007B537E">
        <w:rPr>
          <w:sz w:val="22"/>
          <w:szCs w:val="22"/>
        </w:rPr>
        <w:t xml:space="preserve"> </w:t>
      </w:r>
      <w:r w:rsidRPr="007B537E">
        <w:rPr>
          <w:sz w:val="22"/>
          <w:szCs w:val="22"/>
        </w:rPr>
        <w:t>open</w:t>
      </w:r>
      <w:r w:rsidR="00573BA7" w:rsidRPr="007B537E">
        <w:rPr>
          <w:sz w:val="22"/>
          <w:szCs w:val="22"/>
        </w:rPr>
        <w:t xml:space="preserve"> </w:t>
      </w:r>
      <w:r w:rsidRPr="007B537E">
        <w:rPr>
          <w:sz w:val="22"/>
          <w:szCs w:val="22"/>
        </w:rPr>
        <w:t>labour</w:t>
      </w:r>
      <w:r w:rsidR="00573BA7" w:rsidRPr="007B537E">
        <w:rPr>
          <w:sz w:val="22"/>
          <w:szCs w:val="22"/>
        </w:rPr>
        <w:t xml:space="preserve"> </w:t>
      </w:r>
      <w:r w:rsidRPr="007B537E">
        <w:rPr>
          <w:sz w:val="22"/>
          <w:szCs w:val="22"/>
        </w:rPr>
        <w:t>market,</w:t>
      </w:r>
      <w:r w:rsidR="00573BA7" w:rsidRPr="007B537E">
        <w:rPr>
          <w:sz w:val="22"/>
          <w:szCs w:val="22"/>
        </w:rPr>
        <w:t xml:space="preserve"> </w:t>
      </w:r>
      <w:r w:rsidRPr="007B537E">
        <w:rPr>
          <w:sz w:val="22"/>
          <w:szCs w:val="22"/>
        </w:rPr>
        <w:t>and</w:t>
      </w:r>
      <w:r w:rsidR="00573BA7" w:rsidRPr="007B537E">
        <w:rPr>
          <w:sz w:val="22"/>
          <w:szCs w:val="22"/>
        </w:rPr>
        <w:t xml:space="preserve"> </w:t>
      </w:r>
      <w:r w:rsidRPr="007B537E">
        <w:rPr>
          <w:sz w:val="22"/>
          <w:szCs w:val="22"/>
        </w:rPr>
        <w:t>in</w:t>
      </w:r>
      <w:r w:rsidR="00573BA7" w:rsidRPr="007B537E">
        <w:rPr>
          <w:sz w:val="22"/>
          <w:szCs w:val="22"/>
        </w:rPr>
        <w:t xml:space="preserve"> </w:t>
      </w:r>
      <w:r w:rsidRPr="007B537E">
        <w:rPr>
          <w:sz w:val="22"/>
          <w:szCs w:val="22"/>
        </w:rPr>
        <w:lastRenderedPageBreak/>
        <w:t>the</w:t>
      </w:r>
      <w:r w:rsidR="00573BA7" w:rsidRPr="007B537E">
        <w:rPr>
          <w:sz w:val="22"/>
          <w:szCs w:val="22"/>
        </w:rPr>
        <w:t xml:space="preserve"> </w:t>
      </w:r>
      <w:r w:rsidRPr="007B537E">
        <w:rPr>
          <w:sz w:val="22"/>
          <w:szCs w:val="22"/>
        </w:rPr>
        <w:t>meantime</w:t>
      </w:r>
      <w:r w:rsidR="00573BA7" w:rsidRPr="007B537E">
        <w:rPr>
          <w:sz w:val="22"/>
          <w:szCs w:val="22"/>
        </w:rPr>
        <w:t xml:space="preserve"> </w:t>
      </w:r>
      <w:r w:rsidRPr="007B537E">
        <w:rPr>
          <w:sz w:val="22"/>
          <w:szCs w:val="22"/>
        </w:rPr>
        <w:t>also</w:t>
      </w:r>
      <w:r w:rsidR="00573BA7" w:rsidRPr="007B537E">
        <w:rPr>
          <w:sz w:val="22"/>
          <w:szCs w:val="22"/>
        </w:rPr>
        <w:t xml:space="preserve"> </w:t>
      </w:r>
      <w:r w:rsidRPr="007B537E">
        <w:rPr>
          <w:sz w:val="22"/>
          <w:szCs w:val="22"/>
        </w:rPr>
        <w:t>ensure</w:t>
      </w:r>
      <w:r w:rsidR="00573BA7" w:rsidRPr="007B537E">
        <w:rPr>
          <w:sz w:val="22"/>
          <w:szCs w:val="22"/>
        </w:rPr>
        <w:t xml:space="preserve"> </w:t>
      </w:r>
      <w:r w:rsidRPr="007B537E">
        <w:rPr>
          <w:sz w:val="22"/>
          <w:szCs w:val="22"/>
        </w:rPr>
        <w:t>the</w:t>
      </w:r>
      <w:r w:rsidR="00573BA7" w:rsidRPr="007B537E">
        <w:rPr>
          <w:sz w:val="22"/>
          <w:szCs w:val="22"/>
        </w:rPr>
        <w:t xml:space="preserve"> </w:t>
      </w:r>
      <w:r w:rsidRPr="007B537E">
        <w:rPr>
          <w:sz w:val="22"/>
          <w:szCs w:val="22"/>
        </w:rPr>
        <w:t>immediate</w:t>
      </w:r>
      <w:r w:rsidR="00573BA7" w:rsidRPr="007B537E">
        <w:rPr>
          <w:sz w:val="22"/>
          <w:szCs w:val="22"/>
        </w:rPr>
        <w:t xml:space="preserve"> </w:t>
      </w:r>
      <w:r w:rsidRPr="007B537E">
        <w:rPr>
          <w:sz w:val="22"/>
          <w:szCs w:val="22"/>
        </w:rPr>
        <w:t>applicability</w:t>
      </w:r>
      <w:r w:rsidR="00573BA7" w:rsidRPr="007B537E">
        <w:rPr>
          <w:sz w:val="22"/>
          <w:szCs w:val="22"/>
        </w:rPr>
        <w:t xml:space="preserve"> </w:t>
      </w:r>
      <w:r w:rsidRPr="007B537E">
        <w:rPr>
          <w:sz w:val="22"/>
          <w:szCs w:val="22"/>
        </w:rPr>
        <w:t>of</w:t>
      </w:r>
      <w:r w:rsidR="00573BA7" w:rsidRPr="007B537E">
        <w:rPr>
          <w:sz w:val="22"/>
          <w:szCs w:val="22"/>
        </w:rPr>
        <w:t xml:space="preserve"> </w:t>
      </w:r>
      <w:r w:rsidRPr="007B537E">
        <w:rPr>
          <w:sz w:val="22"/>
          <w:szCs w:val="22"/>
        </w:rPr>
        <w:t>labour</w:t>
      </w:r>
      <w:r w:rsidR="00573BA7" w:rsidRPr="007B537E">
        <w:rPr>
          <w:sz w:val="22"/>
          <w:szCs w:val="22"/>
        </w:rPr>
        <w:t xml:space="preserve"> </w:t>
      </w:r>
      <w:r w:rsidRPr="007B537E">
        <w:rPr>
          <w:sz w:val="22"/>
          <w:szCs w:val="22"/>
        </w:rPr>
        <w:t>rights</w:t>
      </w:r>
      <w:r w:rsidR="00573BA7" w:rsidRPr="007B537E">
        <w:rPr>
          <w:sz w:val="22"/>
          <w:szCs w:val="22"/>
        </w:rPr>
        <w:t xml:space="preserve"> </w:t>
      </w:r>
      <w:r w:rsidRPr="007B537E">
        <w:rPr>
          <w:sz w:val="22"/>
          <w:szCs w:val="22"/>
        </w:rPr>
        <w:t>to</w:t>
      </w:r>
      <w:r w:rsidR="00573BA7" w:rsidRPr="007B537E">
        <w:rPr>
          <w:sz w:val="22"/>
          <w:szCs w:val="22"/>
        </w:rPr>
        <w:t xml:space="preserve"> </w:t>
      </w:r>
      <w:r w:rsidRPr="007B537E">
        <w:rPr>
          <w:sz w:val="22"/>
          <w:szCs w:val="22"/>
        </w:rPr>
        <w:t>those</w:t>
      </w:r>
      <w:r w:rsidR="00573BA7" w:rsidRPr="007B537E">
        <w:rPr>
          <w:sz w:val="22"/>
          <w:szCs w:val="22"/>
        </w:rPr>
        <w:t xml:space="preserve"> </w:t>
      </w:r>
      <w:r w:rsidRPr="007B537E">
        <w:rPr>
          <w:sz w:val="22"/>
          <w:szCs w:val="22"/>
        </w:rPr>
        <w:t>settings.</w:t>
      </w:r>
      <w:r w:rsidR="00166B37" w:rsidRPr="07069484">
        <w:rPr>
          <w:rStyle w:val="EndnoteReference"/>
        </w:rPr>
        <w:endnoteReference w:id="125"/>
      </w:r>
    </w:p>
    <w:p w14:paraId="25D358D9" w14:textId="058EDFB6" w:rsidR="005521C8" w:rsidRPr="003F4CE1" w:rsidRDefault="005521C8" w:rsidP="005521C8">
      <w:pPr>
        <w:pStyle w:val="ListNumber"/>
        <w:rPr>
          <w:lang w:eastAsia="en-GB"/>
        </w:rPr>
      </w:pPr>
      <w:r>
        <w:rPr>
          <w:lang w:eastAsia="en-GB"/>
        </w:rPr>
        <w:t>The</w:t>
      </w:r>
      <w:r w:rsidR="00573BA7">
        <w:rPr>
          <w:lang w:eastAsia="en-GB"/>
        </w:rPr>
        <w:t xml:space="preserve"> </w:t>
      </w:r>
      <w:r w:rsidR="00D56988">
        <w:rPr>
          <w:lang w:eastAsia="en-GB"/>
        </w:rPr>
        <w:t>CRPD</w:t>
      </w:r>
      <w:r w:rsidR="00573BA7">
        <w:rPr>
          <w:lang w:eastAsia="en-GB"/>
        </w:rPr>
        <w:t xml:space="preserve"> </w:t>
      </w:r>
      <w:r>
        <w:rPr>
          <w:lang w:eastAsia="en-GB"/>
        </w:rPr>
        <w:t>Committee</w:t>
      </w:r>
      <w:r w:rsidR="00573BA7">
        <w:rPr>
          <w:lang w:eastAsia="en-GB"/>
        </w:rPr>
        <w:t xml:space="preserve"> </w:t>
      </w:r>
      <w:r>
        <w:rPr>
          <w:lang w:eastAsia="en-GB"/>
        </w:rPr>
        <w:t>has</w:t>
      </w:r>
      <w:r w:rsidR="00573BA7">
        <w:rPr>
          <w:lang w:eastAsia="en-GB"/>
        </w:rPr>
        <w:t xml:space="preserve"> </w:t>
      </w:r>
      <w:r w:rsidR="00B1231D">
        <w:rPr>
          <w:lang w:eastAsia="en-GB"/>
        </w:rPr>
        <w:t>specifically</w:t>
      </w:r>
      <w:r w:rsidR="00573BA7">
        <w:rPr>
          <w:lang w:eastAsia="en-GB"/>
        </w:rPr>
        <w:t xml:space="preserve"> </w:t>
      </w:r>
      <w:r w:rsidRPr="003F4CE1">
        <w:rPr>
          <w:lang w:eastAsia="en-GB"/>
        </w:rPr>
        <w:t>expressed</w:t>
      </w:r>
      <w:r w:rsidR="00573BA7">
        <w:rPr>
          <w:lang w:eastAsia="en-GB"/>
        </w:rPr>
        <w:t xml:space="preserve"> </w:t>
      </w:r>
      <w:r>
        <w:rPr>
          <w:lang w:eastAsia="en-GB"/>
        </w:rPr>
        <w:t>its</w:t>
      </w:r>
      <w:r w:rsidR="00573BA7">
        <w:rPr>
          <w:lang w:eastAsia="en-GB"/>
        </w:rPr>
        <w:t xml:space="preserve"> </w:t>
      </w:r>
      <w:r w:rsidRPr="003F4CE1">
        <w:rPr>
          <w:lang w:eastAsia="en-GB"/>
        </w:rPr>
        <w:t>concern</w:t>
      </w:r>
      <w:r>
        <w:rPr>
          <w:lang w:eastAsia="en-GB"/>
        </w:rPr>
        <w:t>s</w:t>
      </w:r>
      <w:r w:rsidR="00573BA7">
        <w:rPr>
          <w:lang w:eastAsia="en-GB"/>
        </w:rPr>
        <w:t xml:space="preserve"> </w:t>
      </w:r>
      <w:r w:rsidRPr="003F4CE1">
        <w:rPr>
          <w:lang w:eastAsia="en-GB"/>
        </w:rPr>
        <w:t>about</w:t>
      </w:r>
      <w:r w:rsidR="00573BA7">
        <w:rPr>
          <w:lang w:eastAsia="en-GB"/>
        </w:rPr>
        <w:t xml:space="preserve"> </w:t>
      </w:r>
      <w:r w:rsidRPr="003F4CE1">
        <w:rPr>
          <w:lang w:eastAsia="en-GB"/>
        </w:rPr>
        <w:t>‘the</w:t>
      </w:r>
      <w:r w:rsidR="00573BA7">
        <w:rPr>
          <w:lang w:eastAsia="en-GB"/>
        </w:rPr>
        <w:t xml:space="preserve"> </w:t>
      </w:r>
      <w:r w:rsidRPr="003F4CE1">
        <w:rPr>
          <w:lang w:eastAsia="en-GB"/>
        </w:rPr>
        <w:t>ongoing</w:t>
      </w:r>
      <w:r w:rsidR="00573BA7">
        <w:rPr>
          <w:lang w:eastAsia="en-GB"/>
        </w:rPr>
        <w:t xml:space="preserve"> </w:t>
      </w:r>
      <w:r w:rsidRPr="003F4CE1">
        <w:rPr>
          <w:lang w:eastAsia="en-GB"/>
        </w:rPr>
        <w:t>segregation</w:t>
      </w:r>
      <w:r w:rsidR="00573BA7">
        <w:rPr>
          <w:lang w:eastAsia="en-GB"/>
        </w:rPr>
        <w:t xml:space="preserve"> </w:t>
      </w:r>
      <w:r w:rsidRPr="003F4CE1">
        <w:rPr>
          <w:lang w:eastAsia="en-GB"/>
        </w:rPr>
        <w:t>of</w:t>
      </w:r>
      <w:r w:rsidR="00573BA7">
        <w:rPr>
          <w:lang w:eastAsia="en-GB"/>
        </w:rPr>
        <w:t xml:space="preserve"> </w:t>
      </w:r>
      <w:r>
        <w:rPr>
          <w:lang w:eastAsia="en-GB"/>
        </w:rPr>
        <w:t>people</w:t>
      </w:r>
      <w:r w:rsidR="00573BA7">
        <w:rPr>
          <w:lang w:eastAsia="en-GB"/>
        </w:rPr>
        <w:t xml:space="preserve"> </w:t>
      </w:r>
      <w:r>
        <w:rPr>
          <w:lang w:eastAsia="en-GB"/>
        </w:rPr>
        <w:t>with</w:t>
      </w:r>
      <w:r w:rsidR="00573BA7">
        <w:rPr>
          <w:lang w:eastAsia="en-GB"/>
        </w:rPr>
        <w:t xml:space="preserve"> </w:t>
      </w:r>
      <w:r>
        <w:rPr>
          <w:lang w:eastAsia="en-GB"/>
        </w:rPr>
        <w:t>disability</w:t>
      </w:r>
      <w:r w:rsidR="00573BA7">
        <w:rPr>
          <w:lang w:eastAsia="en-GB"/>
        </w:rPr>
        <w:t xml:space="preserve"> </w:t>
      </w:r>
      <w:r w:rsidRPr="003F4CE1">
        <w:rPr>
          <w:lang w:eastAsia="en-GB"/>
        </w:rPr>
        <w:t>employed</w:t>
      </w:r>
      <w:r w:rsidR="00573BA7">
        <w:rPr>
          <w:lang w:eastAsia="en-GB"/>
        </w:rPr>
        <w:t xml:space="preserve"> </w:t>
      </w:r>
      <w:r w:rsidRPr="003F4CE1">
        <w:rPr>
          <w:lang w:eastAsia="en-GB"/>
        </w:rPr>
        <w:t>through</w:t>
      </w:r>
      <w:r w:rsidR="00573BA7">
        <w:rPr>
          <w:lang w:eastAsia="en-GB"/>
        </w:rPr>
        <w:t xml:space="preserve"> </w:t>
      </w:r>
      <w:r w:rsidRPr="003F4CE1">
        <w:rPr>
          <w:lang w:eastAsia="en-GB"/>
        </w:rPr>
        <w:t>Australian</w:t>
      </w:r>
      <w:r w:rsidR="00573BA7">
        <w:rPr>
          <w:lang w:eastAsia="en-GB"/>
        </w:rPr>
        <w:t xml:space="preserve"> </w:t>
      </w:r>
      <w:r w:rsidRPr="003F4CE1">
        <w:rPr>
          <w:lang w:eastAsia="en-GB"/>
        </w:rPr>
        <w:t>Disability</w:t>
      </w:r>
      <w:r w:rsidR="00573BA7">
        <w:rPr>
          <w:lang w:eastAsia="en-GB"/>
        </w:rPr>
        <w:t xml:space="preserve"> </w:t>
      </w:r>
      <w:r w:rsidRPr="003F4CE1">
        <w:rPr>
          <w:lang w:eastAsia="en-GB"/>
        </w:rPr>
        <w:t>Enterprises</w:t>
      </w:r>
      <w:r w:rsidR="00573BA7">
        <w:rPr>
          <w:lang w:eastAsia="en-GB"/>
        </w:rPr>
        <w:t xml:space="preserve"> </w:t>
      </w:r>
      <w:r w:rsidRPr="003F4CE1">
        <w:rPr>
          <w:lang w:eastAsia="en-GB"/>
        </w:rPr>
        <w:t>and</w:t>
      </w:r>
      <w:r w:rsidR="00573BA7">
        <w:rPr>
          <w:lang w:eastAsia="en-GB"/>
        </w:rPr>
        <w:t xml:space="preserve"> </w:t>
      </w:r>
      <w:r w:rsidRPr="003F4CE1">
        <w:rPr>
          <w:lang w:eastAsia="en-GB"/>
        </w:rPr>
        <w:t>the</w:t>
      </w:r>
      <w:r w:rsidR="00573BA7">
        <w:rPr>
          <w:lang w:eastAsia="en-GB"/>
        </w:rPr>
        <w:t xml:space="preserve"> </w:t>
      </w:r>
      <w:r w:rsidRPr="003F4CE1">
        <w:rPr>
          <w:lang w:eastAsia="en-GB"/>
        </w:rPr>
        <w:t>fact</w:t>
      </w:r>
      <w:r w:rsidR="00573BA7">
        <w:rPr>
          <w:lang w:eastAsia="en-GB"/>
        </w:rPr>
        <w:t xml:space="preserve"> </w:t>
      </w:r>
      <w:r w:rsidRPr="003F4CE1">
        <w:rPr>
          <w:lang w:eastAsia="en-GB"/>
        </w:rPr>
        <w:t>that</w:t>
      </w:r>
      <w:r w:rsidR="00573BA7">
        <w:rPr>
          <w:lang w:eastAsia="en-GB"/>
        </w:rPr>
        <w:t xml:space="preserve"> </w:t>
      </w:r>
      <w:r w:rsidRPr="003F4CE1">
        <w:rPr>
          <w:lang w:eastAsia="en-GB"/>
        </w:rPr>
        <w:t>such</w:t>
      </w:r>
      <w:r w:rsidR="00573BA7">
        <w:rPr>
          <w:lang w:eastAsia="en-GB"/>
        </w:rPr>
        <w:t xml:space="preserve"> </w:t>
      </w:r>
      <w:r w:rsidRPr="003F4CE1">
        <w:rPr>
          <w:lang w:eastAsia="en-GB"/>
        </w:rPr>
        <w:t>persons</w:t>
      </w:r>
      <w:r w:rsidR="00573BA7">
        <w:rPr>
          <w:lang w:eastAsia="en-GB"/>
        </w:rPr>
        <w:t xml:space="preserve"> </w:t>
      </w:r>
      <w:r w:rsidRPr="003F4CE1">
        <w:rPr>
          <w:lang w:eastAsia="en-GB"/>
        </w:rPr>
        <w:t>receive</w:t>
      </w:r>
      <w:r w:rsidR="00573BA7">
        <w:rPr>
          <w:lang w:eastAsia="en-GB"/>
        </w:rPr>
        <w:t xml:space="preserve"> </w:t>
      </w:r>
      <w:r w:rsidRPr="003F4CE1">
        <w:rPr>
          <w:lang w:eastAsia="en-GB"/>
        </w:rPr>
        <w:t>a</w:t>
      </w:r>
      <w:r w:rsidR="00573BA7">
        <w:rPr>
          <w:lang w:eastAsia="en-GB"/>
        </w:rPr>
        <w:t xml:space="preserve"> </w:t>
      </w:r>
      <w:r w:rsidRPr="003F4CE1">
        <w:rPr>
          <w:lang w:eastAsia="en-GB"/>
        </w:rPr>
        <w:t>sub-minimum</w:t>
      </w:r>
      <w:r w:rsidR="00573BA7">
        <w:rPr>
          <w:lang w:eastAsia="en-GB"/>
        </w:rPr>
        <w:t xml:space="preserve"> </w:t>
      </w:r>
      <w:r w:rsidRPr="003F4CE1">
        <w:rPr>
          <w:lang w:eastAsia="en-GB"/>
        </w:rPr>
        <w:t>wage’.</w:t>
      </w:r>
      <w:r w:rsidRPr="003F4CE1">
        <w:rPr>
          <w:rStyle w:val="EndnoteReference"/>
          <w:color w:val="000000" w:themeColor="text1"/>
          <w:lang w:eastAsia="en-GB"/>
        </w:rPr>
        <w:endnoteReference w:id="126"/>
      </w:r>
      <w:r w:rsidR="00573BA7">
        <w:rPr>
          <w:lang w:eastAsia="en-GB"/>
        </w:rPr>
        <w:t xml:space="preserve">  </w:t>
      </w:r>
      <w:r w:rsidRPr="466A7A98">
        <w:rPr>
          <w:lang w:eastAsia="en-GB"/>
        </w:rPr>
        <w:t>In</w:t>
      </w:r>
      <w:r w:rsidR="00573BA7">
        <w:rPr>
          <w:lang w:eastAsia="en-GB"/>
        </w:rPr>
        <w:t xml:space="preserve"> </w:t>
      </w:r>
      <w:r w:rsidRPr="466A7A98">
        <w:rPr>
          <w:lang w:eastAsia="en-GB"/>
        </w:rPr>
        <w:t>considering</w:t>
      </w:r>
      <w:r w:rsidR="00573BA7">
        <w:rPr>
          <w:lang w:eastAsia="en-GB"/>
        </w:rPr>
        <w:t xml:space="preserve"> </w:t>
      </w:r>
      <w:r w:rsidRPr="466A7A98">
        <w:rPr>
          <w:lang w:eastAsia="en-GB"/>
        </w:rPr>
        <w:t>ADEs</w:t>
      </w:r>
      <w:r w:rsidR="00573BA7">
        <w:rPr>
          <w:lang w:eastAsia="en-GB"/>
        </w:rPr>
        <w:t xml:space="preserve"> </w:t>
      </w:r>
      <w:r w:rsidRPr="466A7A98">
        <w:rPr>
          <w:lang w:eastAsia="en-GB"/>
        </w:rPr>
        <w:t>in</w:t>
      </w:r>
      <w:r w:rsidR="00573BA7">
        <w:rPr>
          <w:lang w:eastAsia="en-GB"/>
        </w:rPr>
        <w:t xml:space="preserve"> </w:t>
      </w:r>
      <w:r w:rsidRPr="466A7A98">
        <w:rPr>
          <w:lang w:eastAsia="en-GB"/>
        </w:rPr>
        <w:t>2019,</w:t>
      </w:r>
      <w:r w:rsidR="00573BA7">
        <w:rPr>
          <w:lang w:eastAsia="en-GB"/>
        </w:rPr>
        <w:t xml:space="preserve"> </w:t>
      </w:r>
      <w:r>
        <w:rPr>
          <w:lang w:eastAsia="en-GB"/>
        </w:rPr>
        <w:t>it</w:t>
      </w:r>
      <w:r w:rsidR="00573BA7">
        <w:rPr>
          <w:lang w:eastAsia="en-GB"/>
        </w:rPr>
        <w:t xml:space="preserve"> </w:t>
      </w:r>
      <w:r w:rsidRPr="466A7A98">
        <w:rPr>
          <w:lang w:eastAsia="en-GB"/>
        </w:rPr>
        <w:t>recommended</w:t>
      </w:r>
      <w:r w:rsidR="00573BA7">
        <w:rPr>
          <w:lang w:eastAsia="en-GB"/>
        </w:rPr>
        <w:t xml:space="preserve"> </w:t>
      </w:r>
      <w:r w:rsidRPr="466A7A98">
        <w:rPr>
          <w:lang w:eastAsia="en-GB"/>
        </w:rPr>
        <w:t>that</w:t>
      </w:r>
      <w:r w:rsidR="00573BA7">
        <w:rPr>
          <w:lang w:eastAsia="en-GB"/>
        </w:rPr>
        <w:t xml:space="preserve"> </w:t>
      </w:r>
      <w:r w:rsidRPr="466A7A98">
        <w:rPr>
          <w:lang w:eastAsia="en-GB"/>
        </w:rPr>
        <w:t>Australia:</w:t>
      </w:r>
    </w:p>
    <w:p w14:paraId="380439F9" w14:textId="629AB64D" w:rsidR="005521C8" w:rsidRPr="007B537E" w:rsidRDefault="005521C8" w:rsidP="005521C8">
      <w:pPr>
        <w:pStyle w:val="ListNumber2"/>
        <w:numPr>
          <w:ilvl w:val="0"/>
          <w:numId w:val="0"/>
        </w:numPr>
        <w:ind w:left="720"/>
        <w:rPr>
          <w:color w:val="000000" w:themeColor="text1"/>
          <w:sz w:val="22"/>
          <w:szCs w:val="22"/>
          <w:lang w:eastAsia="en-GB"/>
        </w:rPr>
      </w:pPr>
      <w:r w:rsidRPr="007B537E">
        <w:rPr>
          <w:color w:val="000000" w:themeColor="text1"/>
          <w:sz w:val="22"/>
          <w:szCs w:val="22"/>
          <w:lang w:eastAsia="en-GB"/>
        </w:rPr>
        <w:t>Undertake</w:t>
      </w:r>
      <w:r w:rsidR="00573BA7" w:rsidRPr="007B537E">
        <w:rPr>
          <w:color w:val="000000" w:themeColor="text1"/>
          <w:sz w:val="22"/>
          <w:szCs w:val="22"/>
          <w:lang w:eastAsia="en-GB"/>
        </w:rPr>
        <w:t xml:space="preserve"> </w:t>
      </w:r>
      <w:r w:rsidRPr="007B537E">
        <w:rPr>
          <w:color w:val="000000" w:themeColor="text1"/>
          <w:sz w:val="22"/>
          <w:szCs w:val="22"/>
          <w:lang w:eastAsia="en-GB"/>
        </w:rPr>
        <w:t>a</w:t>
      </w:r>
      <w:r w:rsidR="00573BA7" w:rsidRPr="007B537E">
        <w:rPr>
          <w:color w:val="000000" w:themeColor="text1"/>
          <w:sz w:val="22"/>
          <w:szCs w:val="22"/>
          <w:lang w:eastAsia="en-GB"/>
        </w:rPr>
        <w:t xml:space="preserve"> </w:t>
      </w:r>
      <w:r w:rsidRPr="007B537E">
        <w:rPr>
          <w:color w:val="000000" w:themeColor="text1"/>
          <w:sz w:val="22"/>
          <w:szCs w:val="22"/>
          <w:lang w:eastAsia="en-GB"/>
        </w:rPr>
        <w:t>comprehensive</w:t>
      </w:r>
      <w:r w:rsidR="00573BA7" w:rsidRPr="007B537E">
        <w:rPr>
          <w:color w:val="000000" w:themeColor="text1"/>
          <w:sz w:val="22"/>
          <w:szCs w:val="22"/>
          <w:lang w:eastAsia="en-GB"/>
        </w:rPr>
        <w:t xml:space="preserve"> </w:t>
      </w:r>
      <w:r w:rsidRPr="007B537E">
        <w:rPr>
          <w:color w:val="000000" w:themeColor="text1"/>
          <w:sz w:val="22"/>
          <w:szCs w:val="22"/>
          <w:lang w:eastAsia="en-GB"/>
        </w:rPr>
        <w:t>review</w:t>
      </w:r>
      <w:r w:rsidR="00573BA7" w:rsidRPr="007B537E">
        <w:rPr>
          <w:color w:val="000000" w:themeColor="text1"/>
          <w:sz w:val="22"/>
          <w:szCs w:val="22"/>
          <w:lang w:eastAsia="en-GB"/>
        </w:rPr>
        <w:t xml:space="preserve"> </w:t>
      </w:r>
      <w:r w:rsidRPr="007B537E">
        <w:rPr>
          <w:color w:val="000000" w:themeColor="text1"/>
          <w:sz w:val="22"/>
          <w:szCs w:val="22"/>
          <w:lang w:eastAsia="en-GB"/>
        </w:rPr>
        <w:t>of</w:t>
      </w:r>
      <w:r w:rsidR="00573BA7" w:rsidRPr="007B537E">
        <w:rPr>
          <w:color w:val="000000" w:themeColor="text1"/>
          <w:sz w:val="22"/>
          <w:szCs w:val="22"/>
          <w:lang w:eastAsia="en-GB"/>
        </w:rPr>
        <w:t xml:space="preserve"> </w:t>
      </w:r>
      <w:r w:rsidRPr="007B537E">
        <w:rPr>
          <w:color w:val="000000" w:themeColor="text1"/>
          <w:sz w:val="22"/>
          <w:szCs w:val="22"/>
          <w:lang w:eastAsia="en-GB"/>
        </w:rPr>
        <w:t>Australian</w:t>
      </w:r>
      <w:r w:rsidR="00573BA7" w:rsidRPr="007B537E">
        <w:rPr>
          <w:color w:val="000000" w:themeColor="text1"/>
          <w:sz w:val="22"/>
          <w:szCs w:val="22"/>
          <w:lang w:eastAsia="en-GB"/>
        </w:rPr>
        <w:t xml:space="preserve"> </w:t>
      </w:r>
      <w:r w:rsidRPr="007B537E">
        <w:rPr>
          <w:color w:val="000000" w:themeColor="text1"/>
          <w:sz w:val="22"/>
          <w:szCs w:val="22"/>
          <w:lang w:eastAsia="en-GB"/>
        </w:rPr>
        <w:t>Disability</w:t>
      </w:r>
      <w:r w:rsidR="00573BA7" w:rsidRPr="007B537E">
        <w:rPr>
          <w:color w:val="000000" w:themeColor="text1"/>
          <w:sz w:val="22"/>
          <w:szCs w:val="22"/>
          <w:lang w:eastAsia="en-GB"/>
        </w:rPr>
        <w:t xml:space="preserve"> </w:t>
      </w:r>
      <w:r w:rsidRPr="007B537E">
        <w:rPr>
          <w:color w:val="000000" w:themeColor="text1"/>
          <w:sz w:val="22"/>
          <w:szCs w:val="22"/>
          <w:lang w:eastAsia="en-GB"/>
        </w:rPr>
        <w:t>Enterprises</w:t>
      </w:r>
      <w:r w:rsidR="00573BA7" w:rsidRPr="007B537E">
        <w:rPr>
          <w:color w:val="000000" w:themeColor="text1"/>
          <w:sz w:val="22"/>
          <w:szCs w:val="22"/>
          <w:lang w:eastAsia="en-GB"/>
        </w:rPr>
        <w:t xml:space="preserve"> </w:t>
      </w:r>
      <w:r w:rsidRPr="007B537E">
        <w:rPr>
          <w:color w:val="000000" w:themeColor="text1"/>
          <w:sz w:val="22"/>
          <w:szCs w:val="22"/>
          <w:lang w:eastAsia="en-GB"/>
        </w:rPr>
        <w:t>to</w:t>
      </w:r>
      <w:r w:rsidR="00573BA7" w:rsidRPr="007B537E">
        <w:rPr>
          <w:color w:val="000000" w:themeColor="text1"/>
          <w:sz w:val="22"/>
          <w:szCs w:val="22"/>
          <w:lang w:eastAsia="en-GB"/>
        </w:rPr>
        <w:t xml:space="preserve"> </w:t>
      </w:r>
      <w:r w:rsidRPr="007B537E">
        <w:rPr>
          <w:color w:val="000000" w:themeColor="text1"/>
          <w:sz w:val="22"/>
          <w:szCs w:val="22"/>
          <w:lang w:eastAsia="en-GB"/>
        </w:rPr>
        <w:t>ensure</w:t>
      </w:r>
      <w:r w:rsidR="00573BA7" w:rsidRPr="007B537E">
        <w:rPr>
          <w:color w:val="000000" w:themeColor="text1"/>
          <w:sz w:val="22"/>
          <w:szCs w:val="22"/>
          <w:lang w:eastAsia="en-GB"/>
        </w:rPr>
        <w:t xml:space="preserve"> </w:t>
      </w:r>
      <w:r w:rsidRPr="007B537E">
        <w:rPr>
          <w:color w:val="000000" w:themeColor="text1"/>
          <w:sz w:val="22"/>
          <w:szCs w:val="22"/>
          <w:lang w:eastAsia="en-GB"/>
        </w:rPr>
        <w:t>that</w:t>
      </w:r>
      <w:r w:rsidR="00573BA7" w:rsidRPr="007B537E">
        <w:rPr>
          <w:color w:val="000000" w:themeColor="text1"/>
          <w:sz w:val="22"/>
          <w:szCs w:val="22"/>
          <w:lang w:eastAsia="en-GB"/>
        </w:rPr>
        <w:t xml:space="preserve"> </w:t>
      </w:r>
      <w:r w:rsidRPr="007B537E">
        <w:rPr>
          <w:color w:val="000000" w:themeColor="text1"/>
          <w:sz w:val="22"/>
          <w:szCs w:val="22"/>
          <w:lang w:eastAsia="en-GB"/>
        </w:rPr>
        <w:t>they</w:t>
      </w:r>
      <w:r w:rsidR="00573BA7" w:rsidRPr="007B537E">
        <w:rPr>
          <w:color w:val="000000" w:themeColor="text1"/>
          <w:sz w:val="22"/>
          <w:szCs w:val="22"/>
          <w:lang w:eastAsia="en-GB"/>
        </w:rPr>
        <w:t xml:space="preserve"> </w:t>
      </w:r>
      <w:r w:rsidRPr="007B537E">
        <w:rPr>
          <w:color w:val="000000" w:themeColor="text1"/>
          <w:sz w:val="22"/>
          <w:szCs w:val="22"/>
          <w:lang w:eastAsia="en-GB"/>
        </w:rPr>
        <w:t>adhere</w:t>
      </w:r>
      <w:r w:rsidR="00573BA7" w:rsidRPr="007B537E">
        <w:rPr>
          <w:color w:val="000000" w:themeColor="text1"/>
          <w:sz w:val="22"/>
          <w:szCs w:val="22"/>
          <w:lang w:eastAsia="en-GB"/>
        </w:rPr>
        <w:t xml:space="preserve"> </w:t>
      </w:r>
      <w:r w:rsidRPr="007B537E">
        <w:rPr>
          <w:color w:val="000000" w:themeColor="text1"/>
          <w:sz w:val="22"/>
          <w:szCs w:val="22"/>
          <w:lang w:eastAsia="en-GB"/>
        </w:rPr>
        <w:t>to</w:t>
      </w:r>
      <w:r w:rsidR="00573BA7" w:rsidRPr="007B537E">
        <w:rPr>
          <w:color w:val="000000" w:themeColor="text1"/>
          <w:sz w:val="22"/>
          <w:szCs w:val="22"/>
          <w:lang w:eastAsia="en-GB"/>
        </w:rPr>
        <w:t xml:space="preserve"> </w:t>
      </w:r>
      <w:r w:rsidRPr="007B537E">
        <w:rPr>
          <w:color w:val="000000" w:themeColor="text1"/>
          <w:sz w:val="22"/>
          <w:szCs w:val="22"/>
          <w:lang w:eastAsia="en-GB"/>
        </w:rPr>
        <w:t>article</w:t>
      </w:r>
      <w:r w:rsidR="00573BA7" w:rsidRPr="007B537E">
        <w:rPr>
          <w:color w:val="000000" w:themeColor="text1"/>
          <w:sz w:val="22"/>
          <w:szCs w:val="22"/>
          <w:lang w:eastAsia="en-GB"/>
        </w:rPr>
        <w:t xml:space="preserve"> </w:t>
      </w:r>
      <w:r w:rsidRPr="007B537E">
        <w:rPr>
          <w:color w:val="000000" w:themeColor="text1"/>
          <w:sz w:val="22"/>
          <w:szCs w:val="22"/>
          <w:lang w:eastAsia="en-GB"/>
        </w:rPr>
        <w:t>27</w:t>
      </w:r>
      <w:r w:rsidR="00573BA7" w:rsidRPr="007B537E">
        <w:rPr>
          <w:color w:val="000000" w:themeColor="text1"/>
          <w:sz w:val="22"/>
          <w:szCs w:val="22"/>
          <w:lang w:eastAsia="en-GB"/>
        </w:rPr>
        <w:t xml:space="preserve"> </w:t>
      </w:r>
      <w:r w:rsidRPr="007B537E">
        <w:rPr>
          <w:color w:val="000000" w:themeColor="text1"/>
          <w:sz w:val="22"/>
          <w:szCs w:val="22"/>
          <w:lang w:eastAsia="en-GB"/>
        </w:rPr>
        <w:t>of</w:t>
      </w:r>
      <w:r w:rsidR="00573BA7" w:rsidRPr="007B537E">
        <w:rPr>
          <w:color w:val="000000" w:themeColor="text1"/>
          <w:sz w:val="22"/>
          <w:szCs w:val="22"/>
          <w:lang w:eastAsia="en-GB"/>
        </w:rPr>
        <w:t xml:space="preserve"> </w:t>
      </w:r>
      <w:r w:rsidRPr="007B537E">
        <w:rPr>
          <w:color w:val="000000" w:themeColor="text1"/>
          <w:sz w:val="22"/>
          <w:szCs w:val="22"/>
          <w:lang w:eastAsia="en-GB"/>
        </w:rPr>
        <w:t>the</w:t>
      </w:r>
      <w:r w:rsidR="00573BA7" w:rsidRPr="007B537E">
        <w:rPr>
          <w:color w:val="000000" w:themeColor="text1"/>
          <w:sz w:val="22"/>
          <w:szCs w:val="22"/>
          <w:lang w:eastAsia="en-GB"/>
        </w:rPr>
        <w:t xml:space="preserve"> </w:t>
      </w:r>
      <w:r w:rsidRPr="007B537E">
        <w:rPr>
          <w:color w:val="000000" w:themeColor="text1"/>
          <w:sz w:val="22"/>
          <w:szCs w:val="22"/>
          <w:lang w:eastAsia="en-GB"/>
        </w:rPr>
        <w:t>Convention</w:t>
      </w:r>
      <w:r w:rsidR="00573BA7" w:rsidRPr="007B537E">
        <w:rPr>
          <w:color w:val="000000" w:themeColor="text1"/>
          <w:sz w:val="22"/>
          <w:szCs w:val="22"/>
          <w:lang w:eastAsia="en-GB"/>
        </w:rPr>
        <w:t xml:space="preserve"> </w:t>
      </w:r>
      <w:r w:rsidRPr="007B537E">
        <w:rPr>
          <w:color w:val="000000" w:themeColor="text1"/>
          <w:sz w:val="22"/>
          <w:szCs w:val="22"/>
          <w:lang w:eastAsia="en-GB"/>
        </w:rPr>
        <w:t>and</w:t>
      </w:r>
      <w:r w:rsidR="00573BA7" w:rsidRPr="007B537E">
        <w:rPr>
          <w:color w:val="000000" w:themeColor="text1"/>
          <w:sz w:val="22"/>
          <w:szCs w:val="22"/>
          <w:lang w:eastAsia="en-GB"/>
        </w:rPr>
        <w:t xml:space="preserve"> </w:t>
      </w:r>
      <w:r w:rsidRPr="007B537E">
        <w:rPr>
          <w:color w:val="000000" w:themeColor="text1"/>
          <w:sz w:val="22"/>
          <w:szCs w:val="22"/>
          <w:lang w:eastAsia="en-GB"/>
        </w:rPr>
        <w:t>provide</w:t>
      </w:r>
      <w:r w:rsidR="00573BA7" w:rsidRPr="007B537E">
        <w:rPr>
          <w:color w:val="000000" w:themeColor="text1"/>
          <w:sz w:val="22"/>
          <w:szCs w:val="22"/>
          <w:lang w:eastAsia="en-GB"/>
        </w:rPr>
        <w:t xml:space="preserve"> </w:t>
      </w:r>
      <w:r w:rsidRPr="007B537E">
        <w:rPr>
          <w:color w:val="000000" w:themeColor="text1"/>
          <w:sz w:val="22"/>
          <w:szCs w:val="22"/>
          <w:lang w:eastAsia="en-GB"/>
        </w:rPr>
        <w:t>services</w:t>
      </w:r>
      <w:r w:rsidR="00573BA7" w:rsidRPr="007B537E">
        <w:rPr>
          <w:color w:val="000000" w:themeColor="text1"/>
          <w:sz w:val="22"/>
          <w:szCs w:val="22"/>
          <w:lang w:eastAsia="en-GB"/>
        </w:rPr>
        <w:t xml:space="preserve"> </w:t>
      </w:r>
      <w:r w:rsidRPr="007B537E">
        <w:rPr>
          <w:color w:val="000000" w:themeColor="text1"/>
          <w:sz w:val="22"/>
          <w:szCs w:val="22"/>
          <w:lang w:eastAsia="en-GB"/>
        </w:rPr>
        <w:t>to</w:t>
      </w:r>
      <w:r w:rsidR="00573BA7" w:rsidRPr="007B537E">
        <w:rPr>
          <w:color w:val="000000" w:themeColor="text1"/>
          <w:sz w:val="22"/>
          <w:szCs w:val="22"/>
          <w:lang w:eastAsia="en-GB"/>
        </w:rPr>
        <w:t xml:space="preserve"> </w:t>
      </w:r>
      <w:r w:rsidRPr="007B537E">
        <w:rPr>
          <w:color w:val="000000" w:themeColor="text1"/>
          <w:sz w:val="22"/>
          <w:szCs w:val="22"/>
          <w:lang w:eastAsia="en-GB"/>
        </w:rPr>
        <w:t>enable</w:t>
      </w:r>
      <w:r w:rsidR="00573BA7" w:rsidRPr="007B537E">
        <w:rPr>
          <w:color w:val="000000" w:themeColor="text1"/>
          <w:sz w:val="22"/>
          <w:szCs w:val="22"/>
          <w:lang w:eastAsia="en-GB"/>
        </w:rPr>
        <w:t xml:space="preserve"> </w:t>
      </w:r>
      <w:r w:rsidRPr="007B537E">
        <w:rPr>
          <w:color w:val="000000" w:themeColor="text1"/>
          <w:sz w:val="22"/>
          <w:szCs w:val="22"/>
          <w:lang w:eastAsia="en-GB"/>
        </w:rPr>
        <w:t>people</w:t>
      </w:r>
      <w:r w:rsidR="00573BA7" w:rsidRPr="007B537E">
        <w:rPr>
          <w:color w:val="000000" w:themeColor="text1"/>
          <w:sz w:val="22"/>
          <w:szCs w:val="22"/>
          <w:lang w:eastAsia="en-GB"/>
        </w:rPr>
        <w:t xml:space="preserve"> </w:t>
      </w:r>
      <w:r w:rsidRPr="007B537E">
        <w:rPr>
          <w:color w:val="000000" w:themeColor="text1"/>
          <w:sz w:val="22"/>
          <w:szCs w:val="22"/>
          <w:lang w:eastAsia="en-GB"/>
        </w:rPr>
        <w:t>with</w:t>
      </w:r>
      <w:r w:rsidR="00573BA7" w:rsidRPr="007B537E">
        <w:rPr>
          <w:color w:val="000000" w:themeColor="text1"/>
          <w:sz w:val="22"/>
          <w:szCs w:val="22"/>
          <w:lang w:eastAsia="en-GB"/>
        </w:rPr>
        <w:t xml:space="preserve"> </w:t>
      </w:r>
      <w:r w:rsidRPr="007B537E">
        <w:rPr>
          <w:color w:val="000000" w:themeColor="text1"/>
          <w:sz w:val="22"/>
          <w:szCs w:val="22"/>
          <w:lang w:eastAsia="en-GB"/>
        </w:rPr>
        <w:t>disability</w:t>
      </w:r>
      <w:r w:rsidR="00573BA7" w:rsidRPr="007B537E">
        <w:rPr>
          <w:color w:val="000000" w:themeColor="text1"/>
          <w:sz w:val="22"/>
          <w:szCs w:val="22"/>
          <w:lang w:eastAsia="en-GB"/>
        </w:rPr>
        <w:t xml:space="preserve"> </w:t>
      </w:r>
      <w:r w:rsidRPr="007B537E">
        <w:rPr>
          <w:color w:val="000000" w:themeColor="text1"/>
          <w:sz w:val="22"/>
          <w:szCs w:val="22"/>
          <w:lang w:eastAsia="en-GB"/>
        </w:rPr>
        <w:t>to</w:t>
      </w:r>
      <w:r w:rsidR="00573BA7" w:rsidRPr="007B537E">
        <w:rPr>
          <w:color w:val="000000" w:themeColor="text1"/>
          <w:sz w:val="22"/>
          <w:szCs w:val="22"/>
          <w:lang w:eastAsia="en-GB"/>
        </w:rPr>
        <w:t xml:space="preserve"> </w:t>
      </w:r>
      <w:r w:rsidRPr="007B537E">
        <w:rPr>
          <w:color w:val="000000" w:themeColor="text1"/>
          <w:sz w:val="22"/>
          <w:szCs w:val="22"/>
          <w:lang w:eastAsia="en-GB"/>
        </w:rPr>
        <w:t>transition</w:t>
      </w:r>
      <w:r w:rsidR="00573BA7" w:rsidRPr="007B537E">
        <w:rPr>
          <w:color w:val="000000" w:themeColor="text1"/>
          <w:sz w:val="22"/>
          <w:szCs w:val="22"/>
          <w:lang w:eastAsia="en-GB"/>
        </w:rPr>
        <w:t xml:space="preserve"> </w:t>
      </w:r>
      <w:r w:rsidRPr="007B537E">
        <w:rPr>
          <w:color w:val="000000" w:themeColor="text1"/>
          <w:sz w:val="22"/>
          <w:szCs w:val="22"/>
          <w:lang w:eastAsia="en-GB"/>
        </w:rPr>
        <w:t>from</w:t>
      </w:r>
      <w:r w:rsidR="00573BA7" w:rsidRPr="007B537E">
        <w:rPr>
          <w:color w:val="000000" w:themeColor="text1"/>
          <w:sz w:val="22"/>
          <w:szCs w:val="22"/>
          <w:lang w:eastAsia="en-GB"/>
        </w:rPr>
        <w:t xml:space="preserve"> </w:t>
      </w:r>
      <w:r w:rsidRPr="007B537E">
        <w:rPr>
          <w:color w:val="000000" w:themeColor="text1"/>
          <w:sz w:val="22"/>
          <w:szCs w:val="22"/>
          <w:lang w:eastAsia="en-GB"/>
        </w:rPr>
        <w:t>sheltered</w:t>
      </w:r>
      <w:r w:rsidR="00573BA7" w:rsidRPr="007B537E">
        <w:rPr>
          <w:color w:val="000000" w:themeColor="text1"/>
          <w:sz w:val="22"/>
          <w:szCs w:val="22"/>
          <w:lang w:eastAsia="en-GB"/>
        </w:rPr>
        <w:t xml:space="preserve"> </w:t>
      </w:r>
      <w:r w:rsidRPr="007B537E">
        <w:rPr>
          <w:color w:val="000000" w:themeColor="text1"/>
          <w:sz w:val="22"/>
          <w:szCs w:val="22"/>
          <w:lang w:eastAsia="en-GB"/>
        </w:rPr>
        <w:t>employment</w:t>
      </w:r>
      <w:r w:rsidR="00573BA7" w:rsidRPr="007B537E">
        <w:rPr>
          <w:color w:val="000000" w:themeColor="text1"/>
          <w:sz w:val="22"/>
          <w:szCs w:val="22"/>
          <w:lang w:eastAsia="en-GB"/>
        </w:rPr>
        <w:t xml:space="preserve"> </w:t>
      </w:r>
      <w:r w:rsidRPr="007B537E">
        <w:rPr>
          <w:color w:val="000000" w:themeColor="text1"/>
          <w:sz w:val="22"/>
          <w:szCs w:val="22"/>
          <w:lang w:eastAsia="en-GB"/>
        </w:rPr>
        <w:t>into</w:t>
      </w:r>
      <w:r w:rsidR="00573BA7" w:rsidRPr="007B537E">
        <w:rPr>
          <w:color w:val="000000" w:themeColor="text1"/>
          <w:sz w:val="22"/>
          <w:szCs w:val="22"/>
          <w:lang w:eastAsia="en-GB"/>
        </w:rPr>
        <w:t xml:space="preserve"> </w:t>
      </w:r>
      <w:r w:rsidRPr="007B537E">
        <w:rPr>
          <w:color w:val="000000" w:themeColor="text1"/>
          <w:sz w:val="22"/>
          <w:szCs w:val="22"/>
          <w:lang w:eastAsia="en-GB"/>
        </w:rPr>
        <w:t>open,</w:t>
      </w:r>
      <w:r w:rsidR="00573BA7" w:rsidRPr="007B537E">
        <w:rPr>
          <w:color w:val="000000" w:themeColor="text1"/>
          <w:sz w:val="22"/>
          <w:szCs w:val="22"/>
          <w:lang w:eastAsia="en-GB"/>
        </w:rPr>
        <w:t xml:space="preserve"> </w:t>
      </w:r>
      <w:r w:rsidRPr="007B537E">
        <w:rPr>
          <w:color w:val="000000" w:themeColor="text1"/>
          <w:sz w:val="22"/>
          <w:szCs w:val="22"/>
          <w:lang w:eastAsia="en-GB"/>
        </w:rPr>
        <w:t>inclusive</w:t>
      </w:r>
      <w:r w:rsidR="00573BA7" w:rsidRPr="007B537E">
        <w:rPr>
          <w:color w:val="000000" w:themeColor="text1"/>
          <w:sz w:val="22"/>
          <w:szCs w:val="22"/>
          <w:lang w:eastAsia="en-GB"/>
        </w:rPr>
        <w:t xml:space="preserve"> </w:t>
      </w:r>
      <w:r w:rsidRPr="007B537E">
        <w:rPr>
          <w:color w:val="000000" w:themeColor="text1"/>
          <w:sz w:val="22"/>
          <w:szCs w:val="22"/>
          <w:lang w:eastAsia="en-GB"/>
        </w:rPr>
        <w:t>and</w:t>
      </w:r>
      <w:r w:rsidR="00573BA7" w:rsidRPr="007B537E">
        <w:rPr>
          <w:color w:val="000000" w:themeColor="text1"/>
          <w:sz w:val="22"/>
          <w:szCs w:val="22"/>
          <w:lang w:eastAsia="en-GB"/>
        </w:rPr>
        <w:t xml:space="preserve"> </w:t>
      </w:r>
      <w:r w:rsidRPr="007B537E">
        <w:rPr>
          <w:color w:val="000000" w:themeColor="text1"/>
          <w:sz w:val="22"/>
          <w:szCs w:val="22"/>
          <w:lang w:eastAsia="en-GB"/>
        </w:rPr>
        <w:t>accessible</w:t>
      </w:r>
      <w:r w:rsidR="00573BA7" w:rsidRPr="007B537E">
        <w:rPr>
          <w:color w:val="000000" w:themeColor="text1"/>
          <w:sz w:val="22"/>
          <w:szCs w:val="22"/>
          <w:lang w:eastAsia="en-GB"/>
        </w:rPr>
        <w:t xml:space="preserve"> </w:t>
      </w:r>
      <w:r w:rsidRPr="007B537E">
        <w:rPr>
          <w:color w:val="000000" w:themeColor="text1"/>
          <w:sz w:val="22"/>
          <w:szCs w:val="22"/>
          <w:lang w:eastAsia="en-GB"/>
        </w:rPr>
        <w:t>employment,</w:t>
      </w:r>
      <w:r w:rsidR="00573BA7" w:rsidRPr="007B537E">
        <w:rPr>
          <w:color w:val="000000" w:themeColor="text1"/>
          <w:sz w:val="22"/>
          <w:szCs w:val="22"/>
          <w:lang w:eastAsia="en-GB"/>
        </w:rPr>
        <w:t xml:space="preserve"> </w:t>
      </w:r>
      <w:r w:rsidRPr="007B537E">
        <w:rPr>
          <w:color w:val="000000" w:themeColor="text1"/>
          <w:sz w:val="22"/>
          <w:szCs w:val="22"/>
          <w:lang w:eastAsia="en-GB"/>
        </w:rPr>
        <w:t>ensuring</w:t>
      </w:r>
      <w:r w:rsidR="00573BA7" w:rsidRPr="007B537E">
        <w:rPr>
          <w:color w:val="000000" w:themeColor="text1"/>
          <w:sz w:val="22"/>
          <w:szCs w:val="22"/>
          <w:lang w:eastAsia="en-GB"/>
        </w:rPr>
        <w:t xml:space="preserve"> </w:t>
      </w:r>
      <w:r w:rsidRPr="007B537E">
        <w:rPr>
          <w:color w:val="000000" w:themeColor="text1"/>
          <w:sz w:val="22"/>
          <w:szCs w:val="22"/>
          <w:lang w:eastAsia="en-GB"/>
        </w:rPr>
        <w:t>equal</w:t>
      </w:r>
      <w:r w:rsidR="00573BA7" w:rsidRPr="007B537E">
        <w:rPr>
          <w:color w:val="000000" w:themeColor="text1"/>
          <w:sz w:val="22"/>
          <w:szCs w:val="22"/>
          <w:lang w:eastAsia="en-GB"/>
        </w:rPr>
        <w:t xml:space="preserve"> </w:t>
      </w:r>
      <w:r w:rsidRPr="007B537E">
        <w:rPr>
          <w:color w:val="000000" w:themeColor="text1"/>
          <w:sz w:val="22"/>
          <w:szCs w:val="22"/>
          <w:lang w:eastAsia="en-GB"/>
        </w:rPr>
        <w:t>remuneration</w:t>
      </w:r>
      <w:r w:rsidR="00573BA7" w:rsidRPr="007B537E">
        <w:rPr>
          <w:color w:val="000000" w:themeColor="text1"/>
          <w:sz w:val="22"/>
          <w:szCs w:val="22"/>
          <w:lang w:eastAsia="en-GB"/>
        </w:rPr>
        <w:t xml:space="preserve"> </w:t>
      </w:r>
      <w:r w:rsidRPr="007B537E">
        <w:rPr>
          <w:color w:val="000000" w:themeColor="text1"/>
          <w:sz w:val="22"/>
          <w:szCs w:val="22"/>
          <w:lang w:eastAsia="en-GB"/>
        </w:rPr>
        <w:t>for</w:t>
      </w:r>
      <w:r w:rsidR="00573BA7" w:rsidRPr="007B537E">
        <w:rPr>
          <w:color w:val="000000" w:themeColor="text1"/>
          <w:sz w:val="22"/>
          <w:szCs w:val="22"/>
          <w:lang w:eastAsia="en-GB"/>
        </w:rPr>
        <w:t xml:space="preserve"> </w:t>
      </w:r>
      <w:r w:rsidRPr="007B537E">
        <w:rPr>
          <w:color w:val="000000" w:themeColor="text1"/>
          <w:sz w:val="22"/>
          <w:szCs w:val="22"/>
          <w:lang w:eastAsia="en-GB"/>
        </w:rPr>
        <w:t>work</w:t>
      </w:r>
      <w:r w:rsidR="00573BA7" w:rsidRPr="007B537E">
        <w:rPr>
          <w:color w:val="000000" w:themeColor="text1"/>
          <w:sz w:val="22"/>
          <w:szCs w:val="22"/>
          <w:lang w:eastAsia="en-GB"/>
        </w:rPr>
        <w:t xml:space="preserve"> </w:t>
      </w:r>
      <w:r w:rsidRPr="007B537E">
        <w:rPr>
          <w:color w:val="000000" w:themeColor="text1"/>
          <w:sz w:val="22"/>
          <w:szCs w:val="22"/>
          <w:lang w:eastAsia="en-GB"/>
        </w:rPr>
        <w:t>of</w:t>
      </w:r>
      <w:r w:rsidR="00573BA7" w:rsidRPr="007B537E">
        <w:rPr>
          <w:color w:val="000000" w:themeColor="text1"/>
          <w:sz w:val="22"/>
          <w:szCs w:val="22"/>
          <w:lang w:eastAsia="en-GB"/>
        </w:rPr>
        <w:t xml:space="preserve"> </w:t>
      </w:r>
      <w:r w:rsidRPr="007B537E">
        <w:rPr>
          <w:color w:val="000000" w:themeColor="text1"/>
          <w:sz w:val="22"/>
          <w:szCs w:val="22"/>
          <w:lang w:eastAsia="en-GB"/>
        </w:rPr>
        <w:t>equal</w:t>
      </w:r>
      <w:r w:rsidR="00573BA7" w:rsidRPr="007B537E">
        <w:rPr>
          <w:color w:val="000000" w:themeColor="text1"/>
          <w:sz w:val="22"/>
          <w:szCs w:val="22"/>
          <w:lang w:eastAsia="en-GB"/>
        </w:rPr>
        <w:t xml:space="preserve"> </w:t>
      </w:r>
      <w:r w:rsidRPr="007B537E">
        <w:rPr>
          <w:color w:val="000000" w:themeColor="text1"/>
          <w:sz w:val="22"/>
          <w:szCs w:val="22"/>
          <w:lang w:eastAsia="en-GB"/>
        </w:rPr>
        <w:t>value.</w:t>
      </w:r>
      <w:r w:rsidR="00166B37" w:rsidRPr="07069484">
        <w:rPr>
          <w:rStyle w:val="EndnoteReference"/>
          <w:color w:val="000000" w:themeColor="text1"/>
          <w:lang w:eastAsia="en-GB"/>
        </w:rPr>
        <w:endnoteReference w:id="127"/>
      </w:r>
    </w:p>
    <w:p w14:paraId="50620C0B" w14:textId="77777777" w:rsidR="00D17716" w:rsidRPr="00D17716" w:rsidRDefault="00D17716" w:rsidP="00D17716">
      <w:pPr>
        <w:pStyle w:val="ListNumber"/>
        <w:rPr>
          <w:b/>
          <w:bCs/>
          <w:i/>
          <w:iCs/>
          <w:color w:val="000000" w:themeColor="text1"/>
          <w:lang w:eastAsia="en-GB"/>
        </w:rPr>
      </w:pPr>
      <w:bookmarkStart w:id="65" w:name="_Toc51834283"/>
      <w:bookmarkStart w:id="66" w:name="_Ref50804176"/>
      <w:bookmarkStart w:id="67" w:name="_Ref50804530"/>
      <w:r w:rsidRPr="00D17716">
        <w:rPr>
          <w:b/>
          <w:bCs/>
          <w:i/>
          <w:iCs/>
        </w:rPr>
        <w:t>Recommendation 1: The Australian Government undertake a comprehensive review of ADEs against the requirements of international human rights law, including Article 27 of the CRPD, as recommended by the CRPD Committee.</w:t>
      </w:r>
    </w:p>
    <w:p w14:paraId="65DE8D60" w14:textId="08D0A71B" w:rsidR="00F71B5B" w:rsidRPr="003F4CE1" w:rsidRDefault="00F71B5B" w:rsidP="00F71B5B">
      <w:pPr>
        <w:pStyle w:val="Heading2"/>
      </w:pPr>
      <w:r w:rsidRPr="003F4CE1">
        <w:t>Supported</w:t>
      </w:r>
      <w:r>
        <w:t xml:space="preserve"> </w:t>
      </w:r>
      <w:r w:rsidRPr="003F4CE1">
        <w:t>Wage</w:t>
      </w:r>
      <w:r>
        <w:t xml:space="preserve"> </w:t>
      </w:r>
      <w:r w:rsidRPr="003F4CE1">
        <w:t>System</w:t>
      </w:r>
      <w:bookmarkEnd w:id="65"/>
      <w:r>
        <w:t xml:space="preserve"> </w:t>
      </w:r>
      <w:bookmarkEnd w:id="66"/>
      <w:bookmarkEnd w:id="67"/>
    </w:p>
    <w:p w14:paraId="7D462E14" w14:textId="3C52B6B9" w:rsidR="00F71B5B" w:rsidRPr="00E9462E" w:rsidRDefault="00F71B5B" w:rsidP="00F71B5B">
      <w:pPr>
        <w:pStyle w:val="ListNumber"/>
        <w:rPr>
          <w:lang w:eastAsia="en-GB"/>
        </w:rPr>
      </w:pPr>
      <w:r w:rsidRPr="07069484">
        <w:rPr>
          <w:rFonts w:eastAsiaTheme="minorEastAsia"/>
        </w:rPr>
        <w:t xml:space="preserve">This section addresses the Commission’s concerns that the Supported Wage System (SWS) may limit Australia’s ability to fulfil its international human rights obligations. </w:t>
      </w:r>
      <w:r w:rsidRPr="07069484">
        <w:rPr>
          <w:lang w:eastAsia="en-GB"/>
        </w:rPr>
        <w:t>This section responds to questions</w:t>
      </w:r>
      <w:r w:rsidR="005316DF" w:rsidRPr="07069484">
        <w:rPr>
          <w:lang w:eastAsia="en-GB"/>
        </w:rPr>
        <w:t xml:space="preserve"> one, two</w:t>
      </w:r>
      <w:r w:rsidRPr="07069484">
        <w:rPr>
          <w:lang w:eastAsia="en-GB"/>
        </w:rPr>
        <w:t xml:space="preserve">, </w:t>
      </w:r>
      <w:r w:rsidR="005316DF" w:rsidRPr="07069484">
        <w:rPr>
          <w:lang w:eastAsia="en-GB"/>
        </w:rPr>
        <w:t>six</w:t>
      </w:r>
      <w:r w:rsidRPr="07069484">
        <w:rPr>
          <w:lang w:eastAsia="en-GB"/>
        </w:rPr>
        <w:t xml:space="preserve"> and </w:t>
      </w:r>
      <w:r w:rsidR="005316DF" w:rsidRPr="07069484">
        <w:rPr>
          <w:lang w:eastAsia="en-GB"/>
        </w:rPr>
        <w:t>eight</w:t>
      </w:r>
      <w:r w:rsidRPr="07069484">
        <w:rPr>
          <w:lang w:eastAsia="en-GB"/>
        </w:rPr>
        <w:t xml:space="preserve"> of the Issues Paper.</w:t>
      </w:r>
    </w:p>
    <w:p w14:paraId="0862AE21" w14:textId="77777777" w:rsidR="00F71B5B" w:rsidRPr="00393F70" w:rsidRDefault="00F71B5B" w:rsidP="00F71B5B">
      <w:pPr>
        <w:pStyle w:val="ListNumber"/>
        <w:rPr>
          <w:rFonts w:eastAsiaTheme="minorEastAsia"/>
          <w:sz w:val="22"/>
          <w:szCs w:val="22"/>
        </w:rPr>
      </w:pPr>
      <w:r w:rsidRPr="003F4CE1">
        <w:t>The</w:t>
      </w:r>
      <w:r>
        <w:t xml:space="preserve"> </w:t>
      </w:r>
      <w:r w:rsidRPr="009B136D">
        <w:t>SWS</w:t>
      </w:r>
      <w:r>
        <w:t xml:space="preserve"> </w:t>
      </w:r>
      <w:r w:rsidRPr="003F4CE1">
        <w:t>aims</w:t>
      </w:r>
      <w:r>
        <w:t xml:space="preserve"> </w:t>
      </w:r>
      <w:r w:rsidRPr="003F4CE1">
        <w:t>to</w:t>
      </w:r>
      <w:r>
        <w:t xml:space="preserve"> ‘enable people whose work productivity is reduced as a result of their disability to obtain employment’</w:t>
      </w:r>
      <w:r w:rsidRPr="003F4CE1">
        <w:t>.</w:t>
      </w:r>
      <w:r w:rsidRPr="003F4CE1">
        <w:rPr>
          <w:rStyle w:val="EndnoteReference"/>
          <w:rFonts w:cs="Open Sans"/>
        </w:rPr>
        <w:endnoteReference w:id="128"/>
      </w:r>
      <w:r>
        <w:t xml:space="preserve"> </w:t>
      </w:r>
      <w:r w:rsidRPr="003F4CE1">
        <w:t>The</w:t>
      </w:r>
      <w:r>
        <w:t xml:space="preserve"> </w:t>
      </w:r>
      <w:r w:rsidRPr="003F4CE1">
        <w:t>SWS</w:t>
      </w:r>
      <w:r>
        <w:t xml:space="preserve"> </w:t>
      </w:r>
      <w:r w:rsidRPr="003F4CE1">
        <w:t>was</w:t>
      </w:r>
      <w:r>
        <w:t xml:space="preserve"> </w:t>
      </w:r>
      <w:r w:rsidRPr="003F4CE1">
        <w:t>designed</w:t>
      </w:r>
      <w:r>
        <w:t xml:space="preserve"> </w:t>
      </w:r>
      <w:r w:rsidRPr="003F4CE1">
        <w:t>to</w:t>
      </w:r>
      <w:r>
        <w:t xml:space="preserve"> </w:t>
      </w:r>
      <w:r w:rsidRPr="003F4CE1">
        <w:t>apply</w:t>
      </w:r>
      <w:r>
        <w:t xml:space="preserve"> </w:t>
      </w:r>
      <w:r w:rsidRPr="003F4CE1">
        <w:t>to</w:t>
      </w:r>
      <w:r>
        <w:t xml:space="preserve"> </w:t>
      </w:r>
      <w:r w:rsidRPr="003F4CE1">
        <w:t>employees</w:t>
      </w:r>
      <w:r>
        <w:t xml:space="preserve"> </w:t>
      </w:r>
      <w:r w:rsidRPr="003F4CE1">
        <w:t>with</w:t>
      </w:r>
      <w:r>
        <w:t xml:space="preserve"> </w:t>
      </w:r>
      <w:r w:rsidRPr="003F4CE1">
        <w:t>disability</w:t>
      </w:r>
      <w:r>
        <w:t xml:space="preserve"> </w:t>
      </w:r>
      <w:r w:rsidRPr="003F4CE1">
        <w:t>working</w:t>
      </w:r>
      <w:r>
        <w:t xml:space="preserve"> </w:t>
      </w:r>
      <w:r w:rsidRPr="003F4CE1">
        <w:t>in</w:t>
      </w:r>
      <w:r>
        <w:t xml:space="preserve"> </w:t>
      </w:r>
      <w:r w:rsidRPr="003F4CE1">
        <w:t>‘open</w:t>
      </w:r>
      <w:r>
        <w:t xml:space="preserve"> </w:t>
      </w:r>
      <w:r w:rsidRPr="003F4CE1">
        <w:t>employment’,</w:t>
      </w:r>
      <w:r>
        <w:t xml:space="preserve"> </w:t>
      </w:r>
      <w:r w:rsidRPr="003F4CE1">
        <w:t>but</w:t>
      </w:r>
      <w:r>
        <w:t xml:space="preserve"> </w:t>
      </w:r>
      <w:r w:rsidRPr="003F4CE1">
        <w:t>is</w:t>
      </w:r>
      <w:r>
        <w:t xml:space="preserve"> </w:t>
      </w:r>
      <w:r w:rsidRPr="003F4CE1">
        <w:t>also</w:t>
      </w:r>
      <w:r>
        <w:t xml:space="preserve"> </w:t>
      </w:r>
      <w:r w:rsidRPr="003F4CE1">
        <w:t>one</w:t>
      </w:r>
      <w:r>
        <w:t xml:space="preserve"> </w:t>
      </w:r>
      <w:r w:rsidRPr="003F4CE1">
        <w:t>of</w:t>
      </w:r>
      <w:r>
        <w:t xml:space="preserve"> </w:t>
      </w:r>
      <w:r w:rsidRPr="003F4CE1">
        <w:t>the</w:t>
      </w:r>
      <w:r>
        <w:t xml:space="preserve"> </w:t>
      </w:r>
      <w:r w:rsidRPr="003F4CE1">
        <w:t>wage</w:t>
      </w:r>
      <w:r>
        <w:t xml:space="preserve"> </w:t>
      </w:r>
      <w:r w:rsidRPr="003F4CE1">
        <w:t>assessment</w:t>
      </w:r>
      <w:r>
        <w:t xml:space="preserve"> </w:t>
      </w:r>
      <w:r w:rsidRPr="003F4CE1">
        <w:t>tools</w:t>
      </w:r>
      <w:r>
        <w:t xml:space="preserve"> </w:t>
      </w:r>
      <w:r w:rsidRPr="003F4CE1">
        <w:t>used</w:t>
      </w:r>
      <w:r>
        <w:t xml:space="preserve"> for employees of </w:t>
      </w:r>
      <w:r w:rsidRPr="003F4CE1">
        <w:t>ADEs</w:t>
      </w:r>
      <w:r>
        <w:t xml:space="preserve"> </w:t>
      </w:r>
      <w:r w:rsidRPr="003F4CE1">
        <w:t>under</w:t>
      </w:r>
      <w:r>
        <w:t xml:space="preserve"> </w:t>
      </w:r>
      <w:r w:rsidRPr="003F4CE1">
        <w:t>the</w:t>
      </w:r>
      <w:r>
        <w:t xml:space="preserve"> </w:t>
      </w:r>
      <w:r w:rsidRPr="07069484">
        <w:rPr>
          <w:i/>
          <w:iCs/>
        </w:rPr>
        <w:t>Supported Employment Service Award 2020</w:t>
      </w:r>
      <w:r>
        <w:t xml:space="preserve"> </w:t>
      </w:r>
      <w:r w:rsidRPr="003F4CE1">
        <w:t>(</w:t>
      </w:r>
      <w:r w:rsidRPr="009B136D">
        <w:t>SES</w:t>
      </w:r>
      <w:r>
        <w:t xml:space="preserve"> </w:t>
      </w:r>
      <w:r w:rsidRPr="009B136D">
        <w:t>Award</w:t>
      </w:r>
      <w:r w:rsidRPr="003F4CE1">
        <w:t>)</w:t>
      </w:r>
      <w:r>
        <w:t>, an industrial instrument that sets minimum pay and conditions for employees in ADEs</w:t>
      </w:r>
      <w:r w:rsidRPr="003F4CE1">
        <w:t>.</w:t>
      </w:r>
      <w:r w:rsidRPr="003F4CE1">
        <w:rPr>
          <w:rStyle w:val="EndnoteReference"/>
          <w:rFonts w:cs="Open Sans"/>
        </w:rPr>
        <w:endnoteReference w:id="129"/>
      </w:r>
      <w:r>
        <w:t xml:space="preserve"> </w:t>
      </w:r>
    </w:p>
    <w:p w14:paraId="4CBEDB04" w14:textId="17E43A96" w:rsidR="00F71B5B" w:rsidRPr="003F4CE1" w:rsidRDefault="00F71B5B" w:rsidP="00F71B5B">
      <w:pPr>
        <w:pStyle w:val="ListNumber"/>
      </w:pPr>
      <w:r w:rsidRPr="003F4CE1">
        <w:t>Where</w:t>
      </w:r>
      <w:r>
        <w:t xml:space="preserve"> </w:t>
      </w:r>
      <w:r w:rsidRPr="003F4CE1">
        <w:t>an</w:t>
      </w:r>
      <w:r>
        <w:t xml:space="preserve"> </w:t>
      </w:r>
      <w:r w:rsidRPr="003F4CE1">
        <w:t>employee</w:t>
      </w:r>
      <w:r>
        <w:t xml:space="preserve"> </w:t>
      </w:r>
      <w:r w:rsidRPr="003F4CE1">
        <w:t>with</w:t>
      </w:r>
      <w:r>
        <w:t xml:space="preserve"> </w:t>
      </w:r>
      <w:r w:rsidRPr="003F4CE1">
        <w:t>disability</w:t>
      </w:r>
      <w:r>
        <w:t xml:space="preserve"> </w:t>
      </w:r>
      <w:r w:rsidRPr="003F4CE1">
        <w:t>is</w:t>
      </w:r>
      <w:r>
        <w:t xml:space="preserve"> </w:t>
      </w:r>
      <w:r w:rsidRPr="003F4CE1">
        <w:t>assessed</w:t>
      </w:r>
      <w:r>
        <w:t xml:space="preserve"> </w:t>
      </w:r>
      <w:r w:rsidRPr="003F4CE1">
        <w:t>by</w:t>
      </w:r>
      <w:r>
        <w:t xml:space="preserve"> </w:t>
      </w:r>
      <w:r w:rsidRPr="003F4CE1">
        <w:t>a</w:t>
      </w:r>
      <w:r>
        <w:t xml:space="preserve"> </w:t>
      </w:r>
      <w:r w:rsidRPr="003F4CE1">
        <w:t>qualified</w:t>
      </w:r>
      <w:r>
        <w:t xml:space="preserve"> </w:t>
      </w:r>
      <w:r w:rsidRPr="003F4CE1">
        <w:t>assessor</w:t>
      </w:r>
      <w:r>
        <w:t xml:space="preserve"> </w:t>
      </w:r>
      <w:r w:rsidRPr="003F4CE1">
        <w:t>as</w:t>
      </w:r>
      <w:r>
        <w:t xml:space="preserve"> </w:t>
      </w:r>
      <w:r w:rsidRPr="003F4CE1">
        <w:t>being</w:t>
      </w:r>
      <w:r>
        <w:t xml:space="preserve"> </w:t>
      </w:r>
      <w:r w:rsidRPr="003F4CE1">
        <w:t>unable</w:t>
      </w:r>
      <w:r>
        <w:t xml:space="preserve"> </w:t>
      </w:r>
      <w:r w:rsidRPr="003F4CE1">
        <w:t>to</w:t>
      </w:r>
      <w:r>
        <w:t xml:space="preserve"> </w:t>
      </w:r>
      <w:r w:rsidRPr="003F4CE1">
        <w:t>work</w:t>
      </w:r>
      <w:r>
        <w:t xml:space="preserve"> </w:t>
      </w:r>
      <w:r w:rsidRPr="003F4CE1">
        <w:t>at</w:t>
      </w:r>
      <w:r>
        <w:t xml:space="preserve"> </w:t>
      </w:r>
      <w:r w:rsidRPr="003F4CE1">
        <w:t>full</w:t>
      </w:r>
      <w:r>
        <w:t xml:space="preserve"> </w:t>
      </w:r>
      <w:r w:rsidRPr="003F4CE1">
        <w:t>productive</w:t>
      </w:r>
      <w:r>
        <w:t xml:space="preserve"> </w:t>
      </w:r>
      <w:r w:rsidRPr="003F4CE1">
        <w:t>capacity</w:t>
      </w:r>
      <w:r>
        <w:t xml:space="preserve"> </w:t>
      </w:r>
      <w:r w:rsidRPr="003F4CE1">
        <w:t>compared</w:t>
      </w:r>
      <w:r>
        <w:t xml:space="preserve"> </w:t>
      </w:r>
      <w:r w:rsidR="00334715">
        <w:t xml:space="preserve">to </w:t>
      </w:r>
      <w:r w:rsidRPr="003F4CE1">
        <w:t>other</w:t>
      </w:r>
      <w:r>
        <w:t xml:space="preserve"> </w:t>
      </w:r>
      <w:r w:rsidRPr="003F4CE1">
        <w:t>employees,</w:t>
      </w:r>
      <w:r>
        <w:t xml:space="preserve"> </w:t>
      </w:r>
      <w:r w:rsidRPr="003F4CE1">
        <w:t>the</w:t>
      </w:r>
      <w:r>
        <w:t xml:space="preserve"> </w:t>
      </w:r>
      <w:r w:rsidRPr="003F4CE1">
        <w:t>SWS</w:t>
      </w:r>
      <w:r>
        <w:t xml:space="preserve"> </w:t>
      </w:r>
      <w:r w:rsidRPr="003F4CE1">
        <w:t>permits</w:t>
      </w:r>
      <w:r>
        <w:t xml:space="preserve"> </w:t>
      </w:r>
      <w:r w:rsidRPr="003F4CE1">
        <w:t>an</w:t>
      </w:r>
      <w:r>
        <w:t xml:space="preserve"> </w:t>
      </w:r>
      <w:r w:rsidRPr="003F4CE1">
        <w:t>employer</w:t>
      </w:r>
      <w:r>
        <w:t xml:space="preserve"> </w:t>
      </w:r>
      <w:r w:rsidRPr="003F4CE1">
        <w:t>to</w:t>
      </w:r>
      <w:r>
        <w:t xml:space="preserve"> </w:t>
      </w:r>
      <w:r w:rsidRPr="003F4CE1">
        <w:t>pay</w:t>
      </w:r>
      <w:r>
        <w:t xml:space="preserve"> </w:t>
      </w:r>
      <w:r w:rsidRPr="003F4CE1">
        <w:t>a</w:t>
      </w:r>
      <w:r>
        <w:t xml:space="preserve"> </w:t>
      </w:r>
      <w:r w:rsidRPr="003F4CE1">
        <w:t>pro-rata</w:t>
      </w:r>
      <w:r>
        <w:t xml:space="preserve"> </w:t>
      </w:r>
      <w:r w:rsidRPr="003F4CE1">
        <w:t>amount</w:t>
      </w:r>
      <w:r>
        <w:t xml:space="preserve"> </w:t>
      </w:r>
      <w:r w:rsidRPr="003F4CE1">
        <w:t>of</w:t>
      </w:r>
      <w:r>
        <w:t xml:space="preserve"> </w:t>
      </w:r>
      <w:r w:rsidRPr="003F4CE1">
        <w:t>the</w:t>
      </w:r>
      <w:r>
        <w:t xml:space="preserve"> </w:t>
      </w:r>
      <w:r w:rsidRPr="003F4CE1">
        <w:t>applicable</w:t>
      </w:r>
      <w:r>
        <w:t xml:space="preserve"> </w:t>
      </w:r>
      <w:r w:rsidRPr="003F4CE1">
        <w:t>minimum</w:t>
      </w:r>
      <w:r>
        <w:t xml:space="preserve"> </w:t>
      </w:r>
      <w:r w:rsidRPr="003F4CE1">
        <w:t>wage</w:t>
      </w:r>
      <w:r>
        <w:t xml:space="preserve"> </w:t>
      </w:r>
      <w:r w:rsidRPr="003F4CE1">
        <w:t>based</w:t>
      </w:r>
      <w:r>
        <w:t xml:space="preserve"> </w:t>
      </w:r>
      <w:r w:rsidRPr="003F4CE1">
        <w:t>on</w:t>
      </w:r>
      <w:r>
        <w:t xml:space="preserve"> </w:t>
      </w:r>
      <w:r w:rsidRPr="003F4CE1">
        <w:t>the</w:t>
      </w:r>
      <w:r>
        <w:t xml:space="preserve"> </w:t>
      </w:r>
      <w:r w:rsidRPr="003F4CE1">
        <w:t>employee’s</w:t>
      </w:r>
      <w:r>
        <w:t xml:space="preserve"> </w:t>
      </w:r>
      <w:r w:rsidRPr="003F4CE1">
        <w:t>productivity.</w:t>
      </w:r>
      <w:r w:rsidRPr="003F4CE1">
        <w:rPr>
          <w:rStyle w:val="EndnoteReference"/>
          <w:rFonts w:cs="Open Sans"/>
        </w:rPr>
        <w:endnoteReference w:id="130"/>
      </w:r>
      <w:r>
        <w:t xml:space="preserve"> </w:t>
      </w:r>
      <w:r w:rsidRPr="003F4CE1">
        <w:t>For</w:t>
      </w:r>
      <w:r>
        <w:t xml:space="preserve"> </w:t>
      </w:r>
      <w:r w:rsidRPr="003F4CE1">
        <w:t>example,</w:t>
      </w:r>
      <w:r>
        <w:t xml:space="preserve"> </w:t>
      </w:r>
      <w:r w:rsidRPr="003F4CE1">
        <w:t>someone</w:t>
      </w:r>
      <w:r>
        <w:t xml:space="preserve"> assessed as having </w:t>
      </w:r>
      <w:r w:rsidRPr="003F4CE1">
        <w:t>a</w:t>
      </w:r>
      <w:r>
        <w:t xml:space="preserve"> </w:t>
      </w:r>
      <w:r w:rsidRPr="003F4CE1">
        <w:t>work</w:t>
      </w:r>
      <w:r>
        <w:t xml:space="preserve"> </w:t>
      </w:r>
      <w:r w:rsidRPr="003F4CE1">
        <w:t>capacity</w:t>
      </w:r>
      <w:r>
        <w:t xml:space="preserve"> </w:t>
      </w:r>
      <w:r w:rsidRPr="003F4CE1">
        <w:t>of</w:t>
      </w:r>
      <w:r>
        <w:t xml:space="preserve"> </w:t>
      </w:r>
      <w:r w:rsidRPr="003F4CE1">
        <w:t>70%</w:t>
      </w:r>
      <w:r>
        <w:t xml:space="preserve"> </w:t>
      </w:r>
      <w:r w:rsidRPr="003F4CE1">
        <w:t>compared</w:t>
      </w:r>
      <w:r>
        <w:t xml:space="preserve"> </w:t>
      </w:r>
      <w:r w:rsidRPr="003F4CE1">
        <w:t>with</w:t>
      </w:r>
      <w:r>
        <w:t xml:space="preserve"> </w:t>
      </w:r>
      <w:r w:rsidRPr="003F4CE1">
        <w:t>other</w:t>
      </w:r>
      <w:r>
        <w:t xml:space="preserve"> </w:t>
      </w:r>
      <w:r w:rsidRPr="003F4CE1">
        <w:t>employees</w:t>
      </w:r>
      <w:r>
        <w:t xml:space="preserve"> </w:t>
      </w:r>
      <w:r w:rsidRPr="003F4CE1">
        <w:t>can</w:t>
      </w:r>
      <w:r>
        <w:t xml:space="preserve"> </w:t>
      </w:r>
      <w:r w:rsidRPr="003F4CE1">
        <w:t>be</w:t>
      </w:r>
      <w:r>
        <w:t xml:space="preserve"> </w:t>
      </w:r>
      <w:r w:rsidRPr="003F4CE1">
        <w:t>paid</w:t>
      </w:r>
      <w:r>
        <w:t xml:space="preserve"> </w:t>
      </w:r>
      <w:r w:rsidRPr="003F4CE1">
        <w:t>70%</w:t>
      </w:r>
      <w:r>
        <w:t xml:space="preserve"> </w:t>
      </w:r>
      <w:r w:rsidRPr="003F4CE1">
        <w:t>of</w:t>
      </w:r>
      <w:r>
        <w:t xml:space="preserve"> </w:t>
      </w:r>
      <w:r w:rsidRPr="003F4CE1">
        <w:t>the</w:t>
      </w:r>
      <w:r>
        <w:t xml:space="preserve"> </w:t>
      </w:r>
      <w:r w:rsidRPr="003F4CE1">
        <w:t>applicable</w:t>
      </w:r>
      <w:r>
        <w:t xml:space="preserve"> </w:t>
      </w:r>
      <w:r w:rsidRPr="003F4CE1">
        <w:t>minimum</w:t>
      </w:r>
      <w:r>
        <w:t xml:space="preserve"> </w:t>
      </w:r>
      <w:r w:rsidRPr="003F4CE1">
        <w:t>wage.</w:t>
      </w:r>
      <w:r w:rsidR="00B76ACE">
        <w:rPr>
          <w:rStyle w:val="EndnoteReference"/>
        </w:rPr>
        <w:endnoteReference w:id="131"/>
      </w:r>
      <w:r w:rsidRPr="00585A46">
        <w:t xml:space="preserve"> </w:t>
      </w:r>
      <w:r>
        <w:t>Section 47 of the Disability Discrimination Act explicitly excludes productivity-based wages</w:t>
      </w:r>
      <w:r w:rsidR="00DE465C">
        <w:t xml:space="preserve"> </w:t>
      </w:r>
      <w:r w:rsidR="006175F2">
        <w:t xml:space="preserve">determined </w:t>
      </w:r>
      <w:r w:rsidR="00DE465C">
        <w:t xml:space="preserve">in accordance with </w:t>
      </w:r>
      <w:r w:rsidR="006175F2">
        <w:t>an order or award of a relevant court or tribunal</w:t>
      </w:r>
      <w:r>
        <w:t>, such as the SWS, from being considered unlawful discrimination.</w:t>
      </w:r>
      <w:r w:rsidR="00A658BA">
        <w:rPr>
          <w:rStyle w:val="EndnoteReference"/>
        </w:rPr>
        <w:endnoteReference w:id="132"/>
      </w:r>
      <w:r>
        <w:t xml:space="preserve"> </w:t>
      </w:r>
    </w:p>
    <w:p w14:paraId="50E4F6AD" w14:textId="77777777" w:rsidR="00F71B5B" w:rsidRDefault="00F71B5B" w:rsidP="00F71B5B">
      <w:pPr>
        <w:pStyle w:val="ListNumber"/>
      </w:pPr>
      <w:r w:rsidRPr="003F4CE1">
        <w:lastRenderedPageBreak/>
        <w:t>The</w:t>
      </w:r>
      <w:r>
        <w:t xml:space="preserve"> </w:t>
      </w:r>
      <w:r w:rsidRPr="003F4CE1">
        <w:t>SWS</w:t>
      </w:r>
      <w:r>
        <w:t xml:space="preserve"> </w:t>
      </w:r>
      <w:r w:rsidRPr="003F4CE1">
        <w:t>is</w:t>
      </w:r>
      <w:r>
        <w:t xml:space="preserve"> </w:t>
      </w:r>
      <w:r w:rsidRPr="003F4CE1">
        <w:t>part</w:t>
      </w:r>
      <w:r>
        <w:t xml:space="preserve"> </w:t>
      </w:r>
      <w:r w:rsidRPr="003F4CE1">
        <w:t>of</w:t>
      </w:r>
      <w:r>
        <w:t xml:space="preserve"> </w:t>
      </w:r>
      <w:r w:rsidRPr="003F4CE1">
        <w:t>Australia’s</w:t>
      </w:r>
      <w:r>
        <w:t xml:space="preserve"> </w:t>
      </w:r>
      <w:r w:rsidRPr="003F4CE1">
        <w:t>industrial</w:t>
      </w:r>
      <w:r>
        <w:t xml:space="preserve"> </w:t>
      </w:r>
      <w:r w:rsidRPr="003F4CE1">
        <w:t>relations</w:t>
      </w:r>
      <w:r>
        <w:t xml:space="preserve"> </w:t>
      </w:r>
      <w:r w:rsidRPr="003F4CE1">
        <w:t>framework</w:t>
      </w:r>
      <w:r>
        <w:t xml:space="preserve">, and is facilitated by section </w:t>
      </w:r>
      <w:r w:rsidRPr="0038798A">
        <w:t xml:space="preserve">284 of the Fair Work Act </w:t>
      </w:r>
      <w:r>
        <w:t>which permits</w:t>
      </w:r>
      <w:r w:rsidRPr="0038798A">
        <w:t xml:space="preserve"> the Fair Work Commission to </w:t>
      </w:r>
      <w:r>
        <w:t>set</w:t>
      </w:r>
      <w:r w:rsidRPr="0038798A">
        <w:t xml:space="preserve"> fair minimum wages</w:t>
      </w:r>
      <w:r>
        <w:t xml:space="preserve"> </w:t>
      </w:r>
      <w:r w:rsidRPr="0038798A">
        <w:t>for employees with disability</w:t>
      </w:r>
      <w:r w:rsidRPr="003F4CE1">
        <w:t>.</w:t>
      </w:r>
      <w:r>
        <w:t xml:space="preserve"> </w:t>
      </w:r>
      <w:r w:rsidRPr="003F4CE1">
        <w:t>People</w:t>
      </w:r>
      <w:r>
        <w:t xml:space="preserve"> </w:t>
      </w:r>
      <w:r w:rsidRPr="003F4CE1">
        <w:t>with</w:t>
      </w:r>
      <w:r>
        <w:t xml:space="preserve"> </w:t>
      </w:r>
      <w:r w:rsidRPr="003F4CE1">
        <w:t>disability</w:t>
      </w:r>
      <w:r>
        <w:t xml:space="preserve"> </w:t>
      </w:r>
      <w:r w:rsidRPr="003F4CE1">
        <w:t>who</w:t>
      </w:r>
      <w:r>
        <w:t xml:space="preserve"> </w:t>
      </w:r>
      <w:r w:rsidRPr="003F4CE1">
        <w:t>are</w:t>
      </w:r>
      <w:r>
        <w:t xml:space="preserve"> </w:t>
      </w:r>
      <w:r w:rsidRPr="003F4CE1">
        <w:t>paid</w:t>
      </w:r>
      <w:r>
        <w:t xml:space="preserve"> </w:t>
      </w:r>
      <w:r w:rsidRPr="003F4CE1">
        <w:t>an</w:t>
      </w:r>
      <w:r>
        <w:t xml:space="preserve"> </w:t>
      </w:r>
      <w:r w:rsidRPr="003F4CE1">
        <w:t>SWS</w:t>
      </w:r>
      <w:r>
        <w:t xml:space="preserve"> </w:t>
      </w:r>
      <w:r w:rsidRPr="003F4CE1">
        <w:t>wage</w:t>
      </w:r>
      <w:r>
        <w:t xml:space="preserve"> </w:t>
      </w:r>
      <w:r w:rsidRPr="003F4CE1">
        <w:t>otherwise</w:t>
      </w:r>
      <w:r>
        <w:t xml:space="preserve"> </w:t>
      </w:r>
      <w:r w:rsidRPr="003F4CE1">
        <w:t>retain</w:t>
      </w:r>
      <w:r>
        <w:t xml:space="preserve"> </w:t>
      </w:r>
      <w:r w:rsidRPr="003F4CE1">
        <w:t>the</w:t>
      </w:r>
      <w:r>
        <w:t xml:space="preserve"> </w:t>
      </w:r>
      <w:r w:rsidRPr="003F4CE1">
        <w:t>same</w:t>
      </w:r>
      <w:r>
        <w:t xml:space="preserve"> </w:t>
      </w:r>
      <w:r w:rsidRPr="003F4CE1">
        <w:t>employment</w:t>
      </w:r>
      <w:r>
        <w:t xml:space="preserve"> </w:t>
      </w:r>
      <w:r w:rsidRPr="003F4CE1">
        <w:t>conditions</w:t>
      </w:r>
      <w:r>
        <w:t xml:space="preserve"> </w:t>
      </w:r>
      <w:r w:rsidRPr="003F4CE1">
        <w:t>as</w:t>
      </w:r>
      <w:r>
        <w:t xml:space="preserve"> </w:t>
      </w:r>
      <w:r w:rsidRPr="003F4CE1">
        <w:t>their</w:t>
      </w:r>
      <w:r>
        <w:t xml:space="preserve"> </w:t>
      </w:r>
      <w:r w:rsidRPr="003F4CE1">
        <w:t>fellow</w:t>
      </w:r>
      <w:r>
        <w:t xml:space="preserve"> </w:t>
      </w:r>
      <w:r w:rsidRPr="003F4CE1">
        <w:t>employees</w:t>
      </w:r>
      <w:r>
        <w:t xml:space="preserve"> </w:t>
      </w:r>
      <w:r w:rsidRPr="003F4CE1">
        <w:t>under</w:t>
      </w:r>
      <w:r>
        <w:t xml:space="preserve"> </w:t>
      </w:r>
      <w:r w:rsidRPr="003F4CE1">
        <w:t>the</w:t>
      </w:r>
      <w:r>
        <w:t xml:space="preserve"> </w:t>
      </w:r>
      <w:r w:rsidRPr="003F4CE1">
        <w:t>relevant</w:t>
      </w:r>
      <w:r>
        <w:t xml:space="preserve"> </w:t>
      </w:r>
      <w:r w:rsidRPr="003F4CE1">
        <w:t>industrial</w:t>
      </w:r>
      <w:r>
        <w:t xml:space="preserve"> </w:t>
      </w:r>
      <w:r w:rsidRPr="003F4CE1">
        <w:t>instrument.</w:t>
      </w:r>
      <w:r w:rsidRPr="003F4CE1">
        <w:rPr>
          <w:rStyle w:val="EndnoteReference"/>
          <w:rFonts w:cs="Open Sans"/>
        </w:rPr>
        <w:endnoteReference w:id="133"/>
      </w:r>
      <w:r>
        <w:t xml:space="preserve"> </w:t>
      </w:r>
    </w:p>
    <w:p w14:paraId="7AD83CF6" w14:textId="0BCBBED6" w:rsidR="00F71B5B" w:rsidRDefault="00F71B5B" w:rsidP="00F71B5B">
      <w:pPr>
        <w:pStyle w:val="ListNumber"/>
      </w:pPr>
      <w:r w:rsidRPr="003F4CE1">
        <w:t>The</w:t>
      </w:r>
      <w:r>
        <w:t xml:space="preserve"> </w:t>
      </w:r>
      <w:r w:rsidRPr="003F4CE1">
        <w:t>SWS</w:t>
      </w:r>
      <w:r>
        <w:t xml:space="preserve"> </w:t>
      </w:r>
      <w:r w:rsidRPr="003F4CE1">
        <w:t>has</w:t>
      </w:r>
      <w:r>
        <w:t xml:space="preserve"> </w:t>
      </w:r>
      <w:r w:rsidRPr="003F4CE1">
        <w:t>effectively</w:t>
      </w:r>
      <w:r>
        <w:t xml:space="preserve"> </w:t>
      </w:r>
      <w:r w:rsidRPr="003F4CE1">
        <w:t>replaced</w:t>
      </w:r>
      <w:r>
        <w:t xml:space="preserve"> </w:t>
      </w:r>
      <w:r w:rsidRPr="003F4CE1">
        <w:t>the</w:t>
      </w:r>
      <w:r>
        <w:t xml:space="preserve"> </w:t>
      </w:r>
      <w:r w:rsidRPr="003F4CE1">
        <w:t>Business</w:t>
      </w:r>
      <w:r>
        <w:t xml:space="preserve"> </w:t>
      </w:r>
      <w:r w:rsidRPr="003F4CE1">
        <w:t>Services</w:t>
      </w:r>
      <w:r>
        <w:t xml:space="preserve"> </w:t>
      </w:r>
      <w:r w:rsidRPr="003F4CE1">
        <w:t>Wage</w:t>
      </w:r>
      <w:r>
        <w:t xml:space="preserve"> </w:t>
      </w:r>
      <w:r w:rsidRPr="003F4CE1">
        <w:t>Assessment</w:t>
      </w:r>
      <w:r>
        <w:t xml:space="preserve"> </w:t>
      </w:r>
      <w:r w:rsidRPr="003F4CE1">
        <w:t>Tool</w:t>
      </w:r>
      <w:r>
        <w:t xml:space="preserve"> </w:t>
      </w:r>
      <w:r w:rsidRPr="003F4CE1">
        <w:t>(</w:t>
      </w:r>
      <w:r w:rsidRPr="00A25064">
        <w:t>BSWAT</w:t>
      </w:r>
      <w:r w:rsidRPr="003F4CE1">
        <w:t>),</w:t>
      </w:r>
      <w:r>
        <w:t xml:space="preserve"> </w:t>
      </w:r>
      <w:r w:rsidRPr="003F4CE1">
        <w:t>a</w:t>
      </w:r>
      <w:r>
        <w:t xml:space="preserve"> previous </w:t>
      </w:r>
      <w:r w:rsidRPr="003F4CE1">
        <w:t>method</w:t>
      </w:r>
      <w:r>
        <w:t xml:space="preserve"> </w:t>
      </w:r>
      <w:r w:rsidRPr="003F4CE1">
        <w:t>of</w:t>
      </w:r>
      <w:r>
        <w:t xml:space="preserve"> </w:t>
      </w:r>
      <w:r w:rsidRPr="003F4CE1">
        <w:t>calculating</w:t>
      </w:r>
      <w:r>
        <w:t xml:space="preserve"> </w:t>
      </w:r>
      <w:r w:rsidRPr="003F4CE1">
        <w:t>a</w:t>
      </w:r>
      <w:r>
        <w:t xml:space="preserve"> </w:t>
      </w:r>
      <w:r w:rsidRPr="003F4CE1">
        <w:t>supported</w:t>
      </w:r>
      <w:r>
        <w:t xml:space="preserve"> </w:t>
      </w:r>
      <w:r w:rsidRPr="003F4CE1">
        <w:t>wage</w:t>
      </w:r>
      <w:r>
        <w:t xml:space="preserve"> </w:t>
      </w:r>
      <w:r w:rsidRPr="003F4CE1">
        <w:t>that</w:t>
      </w:r>
      <w:r>
        <w:t xml:space="preserve"> </w:t>
      </w:r>
      <w:r w:rsidRPr="003F4CE1">
        <w:t>combined</w:t>
      </w:r>
      <w:r>
        <w:t xml:space="preserve"> </w:t>
      </w:r>
      <w:r w:rsidRPr="003F4CE1">
        <w:t>a</w:t>
      </w:r>
      <w:r>
        <w:t xml:space="preserve"> </w:t>
      </w:r>
      <w:r w:rsidRPr="003F4CE1">
        <w:t>productivity</w:t>
      </w:r>
      <w:r>
        <w:t xml:space="preserve"> </w:t>
      </w:r>
      <w:r w:rsidRPr="003F4CE1">
        <w:t>assessment</w:t>
      </w:r>
      <w:r>
        <w:t xml:space="preserve"> </w:t>
      </w:r>
      <w:r w:rsidRPr="003F4CE1">
        <w:t>with</w:t>
      </w:r>
      <w:r>
        <w:t xml:space="preserve"> </w:t>
      </w:r>
      <w:r w:rsidRPr="003F4CE1">
        <w:t>a</w:t>
      </w:r>
      <w:r>
        <w:t xml:space="preserve"> </w:t>
      </w:r>
      <w:r w:rsidRPr="003F4CE1">
        <w:t>competency</w:t>
      </w:r>
      <w:r>
        <w:t xml:space="preserve"> </w:t>
      </w:r>
      <w:r w:rsidRPr="003F4CE1">
        <w:t>assessment.</w:t>
      </w:r>
      <w:r w:rsidRPr="003F4CE1">
        <w:rPr>
          <w:rStyle w:val="EndnoteReference"/>
          <w:rFonts w:cs="Open Sans"/>
        </w:rPr>
        <w:endnoteReference w:id="134"/>
      </w:r>
      <w:r>
        <w:t xml:space="preserve"> </w:t>
      </w:r>
      <w:r w:rsidRPr="003F4CE1">
        <w:t>In</w:t>
      </w:r>
      <w:r>
        <w:t xml:space="preserve"> </w:t>
      </w:r>
      <w:r w:rsidRPr="003F4CE1">
        <w:t>December</w:t>
      </w:r>
      <w:r>
        <w:t xml:space="preserve"> </w:t>
      </w:r>
      <w:r w:rsidRPr="003F4CE1">
        <w:t>2012,</w:t>
      </w:r>
      <w:r>
        <w:t xml:space="preserve"> </w:t>
      </w:r>
      <w:r w:rsidRPr="003F4CE1">
        <w:t>the</w:t>
      </w:r>
      <w:r>
        <w:t xml:space="preserve"> </w:t>
      </w:r>
      <w:r w:rsidRPr="003F4CE1">
        <w:t>Full</w:t>
      </w:r>
      <w:r>
        <w:t xml:space="preserve"> </w:t>
      </w:r>
      <w:r w:rsidR="00B92FB2">
        <w:t xml:space="preserve">Court of the </w:t>
      </w:r>
      <w:r w:rsidRPr="003F4CE1">
        <w:t>Federal</w:t>
      </w:r>
      <w:r>
        <w:t xml:space="preserve"> </w:t>
      </w:r>
      <w:r w:rsidRPr="003F4CE1">
        <w:t>Court</w:t>
      </w:r>
      <w:r>
        <w:t xml:space="preserve"> </w:t>
      </w:r>
      <w:r w:rsidRPr="003F4CE1">
        <w:t>in</w:t>
      </w:r>
      <w:r>
        <w:t xml:space="preserve"> </w:t>
      </w:r>
      <w:r w:rsidRPr="07069484">
        <w:rPr>
          <w:i/>
          <w:iCs/>
        </w:rPr>
        <w:t xml:space="preserve">Nojin v Commonwealth </w:t>
      </w:r>
      <w:r w:rsidRPr="003F4CE1">
        <w:t>[2012]</w:t>
      </w:r>
      <w:r>
        <w:t xml:space="preserve"> </w:t>
      </w:r>
      <w:r w:rsidRPr="003F4CE1">
        <w:t>FCAFC</w:t>
      </w:r>
      <w:r>
        <w:t xml:space="preserve"> </w:t>
      </w:r>
      <w:r w:rsidRPr="003F4CE1">
        <w:t>192</w:t>
      </w:r>
      <w:r>
        <w:t xml:space="preserve"> </w:t>
      </w:r>
      <w:r w:rsidRPr="003F4CE1">
        <w:t>found</w:t>
      </w:r>
      <w:r>
        <w:t xml:space="preserve"> </w:t>
      </w:r>
      <w:r w:rsidRPr="003F4CE1">
        <w:t>the</w:t>
      </w:r>
      <w:r>
        <w:t xml:space="preserve"> </w:t>
      </w:r>
      <w:r w:rsidRPr="003F4CE1">
        <w:t>BSWAT</w:t>
      </w:r>
      <w:r>
        <w:t xml:space="preserve"> </w:t>
      </w:r>
      <w:r w:rsidRPr="003F4CE1">
        <w:t>indirectly</w:t>
      </w:r>
      <w:r>
        <w:t xml:space="preserve"> </w:t>
      </w:r>
      <w:r w:rsidRPr="003F4CE1">
        <w:t>discriminated</w:t>
      </w:r>
      <w:r>
        <w:t xml:space="preserve"> </w:t>
      </w:r>
      <w:r w:rsidRPr="003F4CE1">
        <w:t>against</w:t>
      </w:r>
      <w:r>
        <w:t xml:space="preserve"> </w:t>
      </w:r>
      <w:r w:rsidRPr="003F4CE1">
        <w:t>ADE</w:t>
      </w:r>
      <w:r>
        <w:t xml:space="preserve"> </w:t>
      </w:r>
      <w:r w:rsidRPr="003F4CE1">
        <w:t>employees</w:t>
      </w:r>
      <w:r>
        <w:t xml:space="preserve"> </w:t>
      </w:r>
      <w:r w:rsidRPr="003F4CE1">
        <w:t>with</w:t>
      </w:r>
      <w:r>
        <w:t xml:space="preserve"> </w:t>
      </w:r>
      <w:r w:rsidRPr="003F4CE1">
        <w:t>intellectual</w:t>
      </w:r>
      <w:r>
        <w:t xml:space="preserve"> </w:t>
      </w:r>
      <w:r w:rsidRPr="003F4CE1">
        <w:t>disabilities</w:t>
      </w:r>
      <w:r>
        <w:t xml:space="preserve"> </w:t>
      </w:r>
      <w:r w:rsidRPr="003F4CE1">
        <w:t>under</w:t>
      </w:r>
      <w:r>
        <w:t xml:space="preserve"> </w:t>
      </w:r>
      <w:r w:rsidRPr="003F4CE1">
        <w:t>the</w:t>
      </w:r>
      <w:r>
        <w:t xml:space="preserve"> </w:t>
      </w:r>
      <w:r w:rsidRPr="003F4CE1">
        <w:t>Disability</w:t>
      </w:r>
      <w:r>
        <w:t xml:space="preserve"> </w:t>
      </w:r>
      <w:r w:rsidRPr="003F4CE1">
        <w:t>Discrimination</w:t>
      </w:r>
      <w:r>
        <w:t xml:space="preserve"> </w:t>
      </w:r>
      <w:r w:rsidRPr="003F4CE1">
        <w:t>Act.</w:t>
      </w:r>
      <w:r w:rsidRPr="003F4CE1">
        <w:rPr>
          <w:rStyle w:val="EndnoteReference"/>
          <w:rFonts w:cs="Open Sans"/>
        </w:rPr>
        <w:endnoteReference w:id="135"/>
      </w:r>
      <w:r>
        <w:t xml:space="preserve"> </w:t>
      </w:r>
      <w:r w:rsidR="00A25064">
        <w:t>S</w:t>
      </w:r>
      <w:r w:rsidRPr="003F4CE1">
        <w:t>ince</w:t>
      </w:r>
      <w:r>
        <w:t xml:space="preserve"> </w:t>
      </w:r>
      <w:r w:rsidRPr="003F4CE1">
        <w:t>May</w:t>
      </w:r>
      <w:r>
        <w:t xml:space="preserve"> </w:t>
      </w:r>
      <w:r w:rsidRPr="003F4CE1">
        <w:t>2014,</w:t>
      </w:r>
      <w:r>
        <w:t xml:space="preserve"> </w:t>
      </w:r>
      <w:r w:rsidRPr="003F4CE1">
        <w:t>the</w:t>
      </w:r>
      <w:r>
        <w:t xml:space="preserve"> </w:t>
      </w:r>
      <w:r w:rsidRPr="003F4CE1">
        <w:t>BSWAT</w:t>
      </w:r>
      <w:r>
        <w:t xml:space="preserve"> </w:t>
      </w:r>
      <w:r w:rsidRPr="003F4CE1">
        <w:t>has</w:t>
      </w:r>
      <w:r>
        <w:t xml:space="preserve"> </w:t>
      </w:r>
      <w:r w:rsidRPr="003F4CE1">
        <w:t>been</w:t>
      </w:r>
      <w:r>
        <w:t xml:space="preserve"> </w:t>
      </w:r>
      <w:r w:rsidRPr="003F4CE1">
        <w:t>phased</w:t>
      </w:r>
      <w:r>
        <w:t xml:space="preserve"> </w:t>
      </w:r>
      <w:r w:rsidRPr="003F4CE1">
        <w:t>out</w:t>
      </w:r>
      <w:r>
        <w:t xml:space="preserve"> </w:t>
      </w:r>
      <w:r w:rsidRPr="003F4CE1">
        <w:t>in</w:t>
      </w:r>
      <w:r>
        <w:t xml:space="preserve"> </w:t>
      </w:r>
      <w:r w:rsidRPr="003F4CE1">
        <w:t>favour</w:t>
      </w:r>
      <w:r>
        <w:t xml:space="preserve"> </w:t>
      </w:r>
      <w:r w:rsidRPr="003F4CE1">
        <w:t>of</w:t>
      </w:r>
      <w:r>
        <w:t xml:space="preserve"> </w:t>
      </w:r>
      <w:r w:rsidRPr="003F4CE1">
        <w:t>the</w:t>
      </w:r>
      <w:r>
        <w:t xml:space="preserve"> </w:t>
      </w:r>
      <w:r w:rsidRPr="003F4CE1">
        <w:t>SWS</w:t>
      </w:r>
      <w:r w:rsidR="00DE66D9">
        <w:t xml:space="preserve"> regime</w:t>
      </w:r>
      <w:r w:rsidRPr="003F4CE1">
        <w:t>.</w:t>
      </w:r>
      <w:r w:rsidRPr="003F4CE1">
        <w:rPr>
          <w:rStyle w:val="EndnoteReference"/>
          <w:rFonts w:cs="Open Sans"/>
        </w:rPr>
        <w:endnoteReference w:id="136"/>
      </w:r>
      <w:r>
        <w:t xml:space="preserve"> </w:t>
      </w:r>
    </w:p>
    <w:p w14:paraId="3B1BFD8D" w14:textId="39808F8E" w:rsidR="0062611D" w:rsidRPr="003F4CE1" w:rsidRDefault="0062611D" w:rsidP="008A7EB0">
      <w:pPr>
        <w:pStyle w:val="ListNumber"/>
      </w:pPr>
      <w:r w:rsidRPr="0062611D">
        <w:rPr>
          <w:rFonts w:cs="Open Sans"/>
        </w:rPr>
        <w:t>The Commission acknowledges that the SWS provides a less discriminatory solution than the BSWAT, and that the SWS is widely accepted in the disability sector as a tool designed to incentivise employers to employ people with disability.</w:t>
      </w:r>
      <w:r>
        <w:rPr>
          <w:rStyle w:val="EndnoteReference"/>
          <w:rFonts w:cs="Open Sans"/>
        </w:rPr>
        <w:endnoteReference w:id="137"/>
      </w:r>
      <w:r w:rsidRPr="0062611D">
        <w:rPr>
          <w:rFonts w:cs="Open Sans"/>
        </w:rPr>
        <w:t xml:space="preserve">  </w:t>
      </w:r>
    </w:p>
    <w:p w14:paraId="3D0D4FC9" w14:textId="2BE39E67" w:rsidR="00F71B5B" w:rsidRDefault="0062611D" w:rsidP="00F71B5B">
      <w:pPr>
        <w:pStyle w:val="ListNumber"/>
      </w:pPr>
      <w:r>
        <w:rPr>
          <w:rFonts w:cs="Open Sans"/>
        </w:rPr>
        <w:t>However, th</w:t>
      </w:r>
      <w:r w:rsidR="00F71B5B">
        <w:rPr>
          <w:rFonts w:cs="Open Sans"/>
        </w:rPr>
        <w:t xml:space="preserve">e Commission </w:t>
      </w:r>
      <w:r w:rsidR="00A25064">
        <w:rPr>
          <w:rFonts w:cs="Open Sans"/>
        </w:rPr>
        <w:t>remains</w:t>
      </w:r>
      <w:r w:rsidR="00F71B5B">
        <w:rPr>
          <w:rFonts w:cs="Open Sans"/>
        </w:rPr>
        <w:t xml:space="preserve"> concerned about the discriminatory nature of the SWS. N</w:t>
      </w:r>
      <w:r w:rsidR="00F71B5B" w:rsidRPr="00393F70">
        <w:rPr>
          <w:rFonts w:cs="Open Sans"/>
        </w:rPr>
        <w:t xml:space="preserve">o other employees in Australia are permitted to be paid below-minimum hourly or weekly wages based on the profitability or viability of their own labour. </w:t>
      </w:r>
      <w:r w:rsidR="00F71B5B">
        <w:t xml:space="preserve">The concept of determining the extent of a person’s human rights based on work capacity or productivity has been considered by the CRPD Committee as a </w:t>
      </w:r>
      <w:r w:rsidR="00EC3C3A">
        <w:t>‘</w:t>
      </w:r>
      <w:r w:rsidR="00F71B5B">
        <w:t xml:space="preserve">remnant of the medical </w:t>
      </w:r>
      <w:r w:rsidR="002B6F3C">
        <w:t>approach</w:t>
      </w:r>
      <w:r w:rsidR="00F71B5B">
        <w:t xml:space="preserve"> </w:t>
      </w:r>
      <w:r w:rsidR="002B6F3C">
        <w:t>to</w:t>
      </w:r>
      <w:r w:rsidR="00F71B5B">
        <w:t xml:space="preserve"> disability, superseded by the human rights-based approach’.</w:t>
      </w:r>
      <w:r w:rsidR="00F71B5B" w:rsidRPr="00393F70">
        <w:rPr>
          <w:rStyle w:val="EndnoteReference"/>
        </w:rPr>
        <w:endnoteReference w:id="138"/>
      </w:r>
      <w:r w:rsidR="00F71B5B" w:rsidRPr="00393F70">
        <w:t xml:space="preserve"> </w:t>
      </w:r>
    </w:p>
    <w:p w14:paraId="42BAB47A" w14:textId="47DBF485" w:rsidR="00F71B5B" w:rsidRDefault="00F71B5B" w:rsidP="00F71B5B">
      <w:pPr>
        <w:pStyle w:val="ListNumber"/>
      </w:pPr>
      <w:r>
        <w:t xml:space="preserve">When capacity and productivity criteria are applied through the SWS and other wage assessment tools to restrict access to human rights such as the </w:t>
      </w:r>
      <w:r w:rsidR="00A801CC">
        <w:t>right to equal pay</w:t>
      </w:r>
      <w:r>
        <w:t>, the Commission is concerned that this imposes a discriminatory limit on the exercise of a person’s right to work on an equal basis with others under Article 27(1)(b) of the CRPD.</w:t>
      </w:r>
    </w:p>
    <w:p w14:paraId="0FAA79B9" w14:textId="426848FB" w:rsidR="00F71B5B" w:rsidRDefault="00F71B5B" w:rsidP="00F71B5B">
      <w:pPr>
        <w:pStyle w:val="ListNumber"/>
        <w:rPr>
          <w:rFonts w:cs="Open Sans"/>
        </w:rPr>
      </w:pPr>
      <w:r w:rsidRPr="00393F70">
        <w:rPr>
          <w:rFonts w:cs="Open Sans"/>
        </w:rPr>
        <w:t xml:space="preserve">Further, </w:t>
      </w:r>
      <w:r w:rsidR="003B768D">
        <w:rPr>
          <w:rFonts w:cs="Open Sans"/>
        </w:rPr>
        <w:t xml:space="preserve">as noted in </w:t>
      </w:r>
      <w:r w:rsidR="00245F33">
        <w:rPr>
          <w:rFonts w:cs="Open Sans"/>
        </w:rPr>
        <w:t>Willing to Work</w:t>
      </w:r>
      <w:r w:rsidRPr="00393F70">
        <w:rPr>
          <w:rFonts w:cs="Open Sans"/>
        </w:rPr>
        <w:t xml:space="preserve">, the Commission </w:t>
      </w:r>
      <w:r w:rsidR="003B768D">
        <w:rPr>
          <w:rFonts w:cs="Open Sans"/>
        </w:rPr>
        <w:t xml:space="preserve">has </w:t>
      </w:r>
      <w:r w:rsidRPr="00393F70">
        <w:rPr>
          <w:rFonts w:cs="Open Sans"/>
        </w:rPr>
        <w:t>heard concerns from individuals and organisations about the adequacy of wages paid to people with disability through the SWS.</w:t>
      </w:r>
      <w:r w:rsidR="003B768D">
        <w:rPr>
          <w:rStyle w:val="EndnoteReference"/>
          <w:rFonts w:cs="Open Sans"/>
        </w:rPr>
        <w:endnoteReference w:id="139"/>
      </w:r>
      <w:r w:rsidRPr="00393F70">
        <w:rPr>
          <w:rFonts w:cs="Open Sans"/>
        </w:rPr>
        <w:t xml:space="preserve"> </w:t>
      </w:r>
      <w:r w:rsidR="2089B36A" w:rsidRPr="00393F70">
        <w:rPr>
          <w:rFonts w:cs="Open Sans"/>
        </w:rPr>
        <w:t xml:space="preserve">The </w:t>
      </w:r>
      <w:r w:rsidRPr="00D66209">
        <w:rPr>
          <w:rFonts w:cs="Open Sans"/>
        </w:rPr>
        <w:t>SWS</w:t>
      </w:r>
      <w:r>
        <w:rPr>
          <w:rFonts w:cs="Open Sans"/>
        </w:rPr>
        <w:t xml:space="preserve"> </w:t>
      </w:r>
      <w:r w:rsidRPr="00D66209">
        <w:rPr>
          <w:rFonts w:cs="Open Sans"/>
        </w:rPr>
        <w:t>allows</w:t>
      </w:r>
      <w:r>
        <w:rPr>
          <w:rFonts w:cs="Open Sans"/>
        </w:rPr>
        <w:t xml:space="preserve"> </w:t>
      </w:r>
      <w:r w:rsidRPr="00D66209">
        <w:rPr>
          <w:rFonts w:cs="Open Sans"/>
        </w:rPr>
        <w:t>employers</w:t>
      </w:r>
      <w:r>
        <w:rPr>
          <w:rFonts w:cs="Open Sans"/>
        </w:rPr>
        <w:t xml:space="preserve"> </w:t>
      </w:r>
      <w:r w:rsidRPr="00D66209">
        <w:rPr>
          <w:rFonts w:cs="Open Sans"/>
        </w:rPr>
        <w:t>to</w:t>
      </w:r>
      <w:r>
        <w:rPr>
          <w:rFonts w:cs="Open Sans"/>
        </w:rPr>
        <w:t xml:space="preserve"> </w:t>
      </w:r>
      <w:r w:rsidRPr="00D66209">
        <w:rPr>
          <w:rFonts w:cs="Open Sans"/>
        </w:rPr>
        <w:t>pay</w:t>
      </w:r>
      <w:r>
        <w:rPr>
          <w:rFonts w:cs="Open Sans"/>
        </w:rPr>
        <w:t xml:space="preserve"> </w:t>
      </w:r>
      <w:r w:rsidRPr="00D66209">
        <w:rPr>
          <w:rFonts w:cs="Open Sans"/>
        </w:rPr>
        <w:t>employees</w:t>
      </w:r>
      <w:r>
        <w:rPr>
          <w:rFonts w:cs="Open Sans"/>
        </w:rPr>
        <w:t xml:space="preserve"> </w:t>
      </w:r>
      <w:r w:rsidRPr="00D66209">
        <w:rPr>
          <w:rFonts w:cs="Open Sans"/>
        </w:rPr>
        <w:t>with</w:t>
      </w:r>
      <w:r>
        <w:rPr>
          <w:rFonts w:cs="Open Sans"/>
        </w:rPr>
        <w:t xml:space="preserve"> </w:t>
      </w:r>
      <w:r w:rsidRPr="00D66209">
        <w:rPr>
          <w:rFonts w:cs="Open Sans"/>
        </w:rPr>
        <w:t>disability</w:t>
      </w:r>
      <w:r>
        <w:rPr>
          <w:rFonts w:cs="Open Sans"/>
        </w:rPr>
        <w:t xml:space="preserve"> </w:t>
      </w:r>
      <w:r w:rsidRPr="00D66209">
        <w:rPr>
          <w:rFonts w:cs="Open Sans"/>
        </w:rPr>
        <w:t>as</w:t>
      </w:r>
      <w:r>
        <w:rPr>
          <w:rFonts w:cs="Open Sans"/>
        </w:rPr>
        <w:t xml:space="preserve"> </w:t>
      </w:r>
      <w:r w:rsidRPr="00D66209">
        <w:rPr>
          <w:rFonts w:cs="Open Sans"/>
        </w:rPr>
        <w:t>little</w:t>
      </w:r>
      <w:r>
        <w:rPr>
          <w:rFonts w:cs="Open Sans"/>
        </w:rPr>
        <w:t xml:space="preserve"> </w:t>
      </w:r>
      <w:r w:rsidRPr="00D66209">
        <w:rPr>
          <w:rFonts w:cs="Open Sans"/>
        </w:rPr>
        <w:t>as</w:t>
      </w:r>
      <w:r>
        <w:rPr>
          <w:rFonts w:cs="Open Sans"/>
        </w:rPr>
        <w:t xml:space="preserve"> </w:t>
      </w:r>
      <w:r w:rsidRPr="00D66209">
        <w:rPr>
          <w:rFonts w:cs="Open Sans"/>
        </w:rPr>
        <w:t>$89</w:t>
      </w:r>
      <w:r>
        <w:rPr>
          <w:rFonts w:cs="Open Sans"/>
        </w:rPr>
        <w:t xml:space="preserve"> </w:t>
      </w:r>
      <w:r w:rsidRPr="00D66209">
        <w:rPr>
          <w:rFonts w:cs="Open Sans"/>
        </w:rPr>
        <w:t>per</w:t>
      </w:r>
      <w:r>
        <w:rPr>
          <w:rFonts w:cs="Open Sans"/>
        </w:rPr>
        <w:t xml:space="preserve"> </w:t>
      </w:r>
      <w:r w:rsidRPr="00D66209">
        <w:rPr>
          <w:rFonts w:cs="Open Sans"/>
        </w:rPr>
        <w:t>week</w:t>
      </w:r>
      <w:r>
        <w:rPr>
          <w:rFonts w:cs="Open Sans"/>
        </w:rPr>
        <w:t xml:space="preserve"> </w:t>
      </w:r>
      <w:r w:rsidRPr="00D66209">
        <w:rPr>
          <w:rFonts w:cs="Open Sans"/>
        </w:rPr>
        <w:t>($2.34</w:t>
      </w:r>
      <w:r>
        <w:rPr>
          <w:rFonts w:cs="Open Sans"/>
        </w:rPr>
        <w:t xml:space="preserve"> </w:t>
      </w:r>
      <w:r w:rsidRPr="00D66209">
        <w:rPr>
          <w:rFonts w:cs="Open Sans"/>
        </w:rPr>
        <w:t>per</w:t>
      </w:r>
      <w:r>
        <w:rPr>
          <w:rFonts w:cs="Open Sans"/>
        </w:rPr>
        <w:t xml:space="preserve"> </w:t>
      </w:r>
      <w:r w:rsidRPr="00D66209">
        <w:rPr>
          <w:rFonts w:cs="Open Sans"/>
        </w:rPr>
        <w:t>hour</w:t>
      </w:r>
      <w:r>
        <w:rPr>
          <w:rFonts w:cs="Open Sans"/>
        </w:rPr>
        <w:t xml:space="preserve"> </w:t>
      </w:r>
      <w:r w:rsidRPr="00D66209">
        <w:rPr>
          <w:rFonts w:cs="Open Sans"/>
        </w:rPr>
        <w:t>for</w:t>
      </w:r>
      <w:r>
        <w:rPr>
          <w:rFonts w:cs="Open Sans"/>
        </w:rPr>
        <w:t xml:space="preserve"> </w:t>
      </w:r>
      <w:r w:rsidRPr="00D66209">
        <w:rPr>
          <w:rFonts w:cs="Open Sans"/>
        </w:rPr>
        <w:t>full-time</w:t>
      </w:r>
      <w:r>
        <w:rPr>
          <w:rFonts w:cs="Open Sans"/>
        </w:rPr>
        <w:t xml:space="preserve"> </w:t>
      </w:r>
      <w:r w:rsidRPr="00D66209">
        <w:rPr>
          <w:rFonts w:cs="Open Sans"/>
        </w:rPr>
        <w:t>employees),</w:t>
      </w:r>
      <w:r>
        <w:rPr>
          <w:rFonts w:cs="Open Sans"/>
        </w:rPr>
        <w:t xml:space="preserve"> </w:t>
      </w:r>
      <w:r w:rsidRPr="00D66209">
        <w:rPr>
          <w:rFonts w:cs="Open Sans"/>
        </w:rPr>
        <w:t>or</w:t>
      </w:r>
      <w:r>
        <w:rPr>
          <w:rFonts w:cs="Open Sans"/>
        </w:rPr>
        <w:t xml:space="preserve"> </w:t>
      </w:r>
      <w:r w:rsidRPr="00D66209">
        <w:rPr>
          <w:rFonts w:cs="Open Sans"/>
        </w:rPr>
        <w:t>12.5%</w:t>
      </w:r>
      <w:r>
        <w:rPr>
          <w:rFonts w:cs="Open Sans"/>
        </w:rPr>
        <w:t xml:space="preserve"> </w:t>
      </w:r>
      <w:r w:rsidRPr="00D66209">
        <w:rPr>
          <w:rFonts w:cs="Open Sans"/>
        </w:rPr>
        <w:t>of</w:t>
      </w:r>
      <w:r>
        <w:rPr>
          <w:rFonts w:cs="Open Sans"/>
        </w:rPr>
        <w:t xml:space="preserve"> </w:t>
      </w:r>
      <w:r w:rsidRPr="00D66209">
        <w:rPr>
          <w:rFonts w:cs="Open Sans"/>
        </w:rPr>
        <w:t>the</w:t>
      </w:r>
      <w:r>
        <w:rPr>
          <w:rFonts w:cs="Open Sans"/>
        </w:rPr>
        <w:t xml:space="preserve"> </w:t>
      </w:r>
      <w:r w:rsidRPr="00D66209">
        <w:rPr>
          <w:rFonts w:cs="Open Sans"/>
        </w:rPr>
        <w:t>minimum</w:t>
      </w:r>
      <w:r>
        <w:rPr>
          <w:rFonts w:cs="Open Sans"/>
        </w:rPr>
        <w:t xml:space="preserve"> </w:t>
      </w:r>
      <w:r w:rsidRPr="00D66209">
        <w:rPr>
          <w:rFonts w:cs="Open Sans"/>
        </w:rPr>
        <w:t>wage</w:t>
      </w:r>
      <w:r>
        <w:rPr>
          <w:rFonts w:cs="Open Sans"/>
        </w:rPr>
        <w:t xml:space="preserve"> </w:t>
      </w:r>
      <w:r w:rsidRPr="00D66209">
        <w:rPr>
          <w:rFonts w:cs="Open Sans"/>
        </w:rPr>
        <w:t>for</w:t>
      </w:r>
      <w:r>
        <w:rPr>
          <w:rFonts w:cs="Open Sans"/>
        </w:rPr>
        <w:t xml:space="preserve"> </w:t>
      </w:r>
      <w:r w:rsidRPr="00D66209">
        <w:rPr>
          <w:rFonts w:cs="Open Sans"/>
        </w:rPr>
        <w:t>those</w:t>
      </w:r>
      <w:r>
        <w:rPr>
          <w:rFonts w:cs="Open Sans"/>
        </w:rPr>
        <w:t xml:space="preserve"> </w:t>
      </w:r>
      <w:r w:rsidRPr="00D66209">
        <w:rPr>
          <w:rFonts w:cs="Open Sans"/>
        </w:rPr>
        <w:t>employees</w:t>
      </w:r>
      <w:r>
        <w:rPr>
          <w:rFonts w:cs="Open Sans"/>
        </w:rPr>
        <w:t xml:space="preserve"> </w:t>
      </w:r>
      <w:r w:rsidRPr="00D66209">
        <w:rPr>
          <w:rFonts w:cs="Open Sans"/>
        </w:rPr>
        <w:t>in</w:t>
      </w:r>
      <w:r>
        <w:rPr>
          <w:rFonts w:cs="Open Sans"/>
        </w:rPr>
        <w:t xml:space="preserve"> </w:t>
      </w:r>
      <w:r w:rsidRPr="00D66209">
        <w:rPr>
          <w:rFonts w:cs="Open Sans"/>
        </w:rPr>
        <w:t>ADEs</w:t>
      </w:r>
      <w:r>
        <w:rPr>
          <w:rFonts w:cs="Open Sans"/>
        </w:rPr>
        <w:t xml:space="preserve"> </w:t>
      </w:r>
      <w:r w:rsidRPr="00D66209">
        <w:rPr>
          <w:rFonts w:cs="Open Sans"/>
        </w:rPr>
        <w:t>covered</w:t>
      </w:r>
      <w:r>
        <w:rPr>
          <w:rFonts w:cs="Open Sans"/>
        </w:rPr>
        <w:t xml:space="preserve"> </w:t>
      </w:r>
      <w:r w:rsidRPr="00D66209">
        <w:rPr>
          <w:rFonts w:cs="Open Sans"/>
        </w:rPr>
        <w:t>by</w:t>
      </w:r>
      <w:r>
        <w:rPr>
          <w:rFonts w:cs="Open Sans"/>
        </w:rPr>
        <w:t xml:space="preserve"> </w:t>
      </w:r>
      <w:r w:rsidRPr="00D66209">
        <w:rPr>
          <w:rFonts w:cs="Open Sans"/>
        </w:rPr>
        <w:t>the</w:t>
      </w:r>
      <w:r>
        <w:rPr>
          <w:rFonts w:cs="Open Sans"/>
        </w:rPr>
        <w:t xml:space="preserve"> </w:t>
      </w:r>
      <w:r w:rsidRPr="00D66209">
        <w:rPr>
          <w:rFonts w:cs="Open Sans"/>
        </w:rPr>
        <w:t>SES</w:t>
      </w:r>
      <w:r>
        <w:rPr>
          <w:rFonts w:cs="Open Sans"/>
        </w:rPr>
        <w:t xml:space="preserve"> </w:t>
      </w:r>
      <w:r w:rsidRPr="00D66209">
        <w:rPr>
          <w:rFonts w:cs="Open Sans"/>
        </w:rPr>
        <w:t>Award.</w:t>
      </w:r>
      <w:r w:rsidRPr="003F4CE1">
        <w:rPr>
          <w:rStyle w:val="EndnoteReference"/>
          <w:rFonts w:cs="Open Sans"/>
        </w:rPr>
        <w:endnoteReference w:id="140"/>
      </w:r>
      <w:r>
        <w:rPr>
          <w:rFonts w:cs="Open Sans"/>
        </w:rPr>
        <w:t xml:space="preserve">  </w:t>
      </w:r>
    </w:p>
    <w:p w14:paraId="1A0C7A09" w14:textId="2264CF91" w:rsidR="00F71B5B" w:rsidRPr="009470C6" w:rsidRDefault="00F71B5B" w:rsidP="00F71B5B">
      <w:pPr>
        <w:pStyle w:val="ListNumber"/>
        <w:rPr>
          <w:rFonts w:cs="Open Sans"/>
        </w:rPr>
      </w:pPr>
      <w:r w:rsidRPr="00393F70">
        <w:rPr>
          <w:rFonts w:cs="Open Sans"/>
        </w:rPr>
        <w:t xml:space="preserve">The issue of wage adequacy was also raised in submissions to the Commission regarding the Commonwealth’s application for an exemption </w:t>
      </w:r>
      <w:r w:rsidRPr="00393F70">
        <w:rPr>
          <w:rFonts w:cs="Open Sans"/>
        </w:rPr>
        <w:lastRenderedPageBreak/>
        <w:t>under the Disability Discrimination Act for the BSWAT, and in the Department of Social Services review of the Disability Employment Framework.</w:t>
      </w:r>
      <w:r w:rsidRPr="003F4CE1">
        <w:rPr>
          <w:rStyle w:val="EndnoteReference"/>
          <w:rFonts w:cs="Open Sans"/>
        </w:rPr>
        <w:endnoteReference w:id="141"/>
      </w:r>
      <w:r w:rsidRPr="00393F70">
        <w:rPr>
          <w:rFonts w:cs="Open Sans"/>
        </w:rPr>
        <w:t xml:space="preserve"> </w:t>
      </w:r>
      <w:r>
        <w:t>Indeed,</w:t>
      </w:r>
      <w:r w:rsidRPr="006B4AF9">
        <w:t xml:space="preserve"> </w:t>
      </w:r>
      <w:r w:rsidR="0092293F">
        <w:t xml:space="preserve">the </w:t>
      </w:r>
      <w:r w:rsidRPr="006B4AF9">
        <w:t xml:space="preserve">CESCR </w:t>
      </w:r>
      <w:r>
        <w:t xml:space="preserve">has commented </w:t>
      </w:r>
      <w:r w:rsidRPr="006B4AF9">
        <w:t xml:space="preserve">that persons with disability ‘must not suffer wage discrimination due to a perceived reduced capacity </w:t>
      </w:r>
      <w:r w:rsidR="003A6E5C">
        <w:t>for</w:t>
      </w:r>
      <w:r w:rsidR="003A6E5C" w:rsidRPr="006B4AF9">
        <w:t xml:space="preserve"> </w:t>
      </w:r>
      <w:r w:rsidRPr="006B4AF9">
        <w:t>work’.</w:t>
      </w:r>
      <w:r w:rsidRPr="006B4AF9">
        <w:rPr>
          <w:rStyle w:val="EndnoteReference"/>
        </w:rPr>
        <w:endnoteReference w:id="142"/>
      </w:r>
      <w:r>
        <w:t xml:space="preserve"> </w:t>
      </w:r>
    </w:p>
    <w:p w14:paraId="6BB27E36" w14:textId="35C4A458" w:rsidR="00F71B5B" w:rsidRDefault="00F71B5B" w:rsidP="00F71B5B">
      <w:pPr>
        <w:pStyle w:val="ListNumber"/>
      </w:pPr>
      <w:r w:rsidRPr="003F4CE1">
        <w:t>The</w:t>
      </w:r>
      <w:r>
        <w:t xml:space="preserve"> </w:t>
      </w:r>
      <w:r w:rsidRPr="003F4CE1">
        <w:t>Commission</w:t>
      </w:r>
      <w:r>
        <w:t xml:space="preserve"> </w:t>
      </w:r>
      <w:r w:rsidRPr="003F4CE1">
        <w:t>is</w:t>
      </w:r>
      <w:r>
        <w:t xml:space="preserve"> therefore </w:t>
      </w:r>
      <w:r w:rsidRPr="003F4CE1">
        <w:t>concerned</w:t>
      </w:r>
      <w:r>
        <w:t xml:space="preserve"> </w:t>
      </w:r>
      <w:r w:rsidRPr="003F4CE1">
        <w:t>that</w:t>
      </w:r>
      <w:r>
        <w:t xml:space="preserve"> </w:t>
      </w:r>
      <w:r w:rsidRPr="003F4CE1">
        <w:t>inadequate</w:t>
      </w:r>
      <w:r>
        <w:t xml:space="preserve"> </w:t>
      </w:r>
      <w:r w:rsidRPr="003F4CE1">
        <w:t>wages</w:t>
      </w:r>
      <w:r>
        <w:t xml:space="preserve"> </w:t>
      </w:r>
      <w:r w:rsidRPr="003F4CE1">
        <w:t>under</w:t>
      </w:r>
      <w:r>
        <w:t xml:space="preserve"> </w:t>
      </w:r>
      <w:r w:rsidRPr="003F4CE1">
        <w:t>the</w:t>
      </w:r>
      <w:r>
        <w:t xml:space="preserve"> </w:t>
      </w:r>
      <w:r w:rsidRPr="003F4CE1">
        <w:t>SWS</w:t>
      </w:r>
      <w:r>
        <w:t xml:space="preserve"> </w:t>
      </w:r>
      <w:r w:rsidRPr="003F4CE1">
        <w:t>may</w:t>
      </w:r>
      <w:r>
        <w:t xml:space="preserve"> </w:t>
      </w:r>
      <w:r w:rsidRPr="003F4CE1">
        <w:t>contravene</w:t>
      </w:r>
      <w:r>
        <w:t xml:space="preserve"> </w:t>
      </w:r>
      <w:r w:rsidRPr="003F4CE1">
        <w:t>Article</w:t>
      </w:r>
      <w:r>
        <w:t xml:space="preserve"> </w:t>
      </w:r>
      <w:r w:rsidRPr="003F4CE1">
        <w:t>7(a)</w:t>
      </w:r>
      <w:r>
        <w:t xml:space="preserve"> </w:t>
      </w:r>
      <w:r w:rsidRPr="003F4CE1">
        <w:t>of</w:t>
      </w:r>
      <w:r>
        <w:t xml:space="preserve"> </w:t>
      </w:r>
      <w:r w:rsidRPr="003F4CE1">
        <w:t>ICESCR,</w:t>
      </w:r>
      <w:r>
        <w:t xml:space="preserve"> </w:t>
      </w:r>
      <w:r w:rsidRPr="003F4CE1">
        <w:t>which</w:t>
      </w:r>
      <w:r>
        <w:t xml:space="preserve"> </w:t>
      </w:r>
      <w:r w:rsidRPr="003F4CE1">
        <w:t>requires</w:t>
      </w:r>
      <w:r>
        <w:t xml:space="preserve"> </w:t>
      </w:r>
      <w:r w:rsidRPr="003F4CE1">
        <w:t>Australia</w:t>
      </w:r>
      <w:r>
        <w:t xml:space="preserve"> </w:t>
      </w:r>
      <w:r w:rsidRPr="003F4CE1">
        <w:t>to</w:t>
      </w:r>
      <w:r>
        <w:t xml:space="preserve"> </w:t>
      </w:r>
      <w:r w:rsidRPr="003F4CE1">
        <w:t>ensure</w:t>
      </w:r>
      <w:r>
        <w:t xml:space="preserve"> </w:t>
      </w:r>
      <w:r w:rsidRPr="003F4CE1">
        <w:t>fair</w:t>
      </w:r>
      <w:r>
        <w:t xml:space="preserve"> </w:t>
      </w:r>
      <w:r w:rsidRPr="003F4CE1">
        <w:t>wages,</w:t>
      </w:r>
      <w:r>
        <w:t xml:space="preserve"> </w:t>
      </w:r>
      <w:r w:rsidRPr="003F4CE1">
        <w:t>equal</w:t>
      </w:r>
      <w:r>
        <w:t xml:space="preserve"> </w:t>
      </w:r>
      <w:r w:rsidRPr="003F4CE1">
        <w:t>remuneration</w:t>
      </w:r>
      <w:r>
        <w:t xml:space="preserve"> </w:t>
      </w:r>
      <w:r w:rsidRPr="003F4CE1">
        <w:t>for</w:t>
      </w:r>
      <w:r>
        <w:t xml:space="preserve"> </w:t>
      </w:r>
      <w:r w:rsidRPr="003F4CE1">
        <w:t>work</w:t>
      </w:r>
      <w:r>
        <w:t xml:space="preserve"> </w:t>
      </w:r>
      <w:r w:rsidRPr="003F4CE1">
        <w:t>of</w:t>
      </w:r>
      <w:r>
        <w:t xml:space="preserve"> </w:t>
      </w:r>
      <w:r w:rsidRPr="003F4CE1">
        <w:t>equal</w:t>
      </w:r>
      <w:r>
        <w:t xml:space="preserve"> </w:t>
      </w:r>
      <w:r w:rsidRPr="003F4CE1">
        <w:t>value,</w:t>
      </w:r>
      <w:r>
        <w:t xml:space="preserve"> </w:t>
      </w:r>
      <w:r w:rsidRPr="003F4CE1">
        <w:t>and</w:t>
      </w:r>
      <w:r>
        <w:t xml:space="preserve"> </w:t>
      </w:r>
      <w:r w:rsidRPr="003F4CE1">
        <w:t>a</w:t>
      </w:r>
      <w:r>
        <w:t xml:space="preserve"> </w:t>
      </w:r>
      <w:r w:rsidRPr="003F4CE1">
        <w:t>decent</w:t>
      </w:r>
      <w:r>
        <w:t xml:space="preserve"> </w:t>
      </w:r>
      <w:r w:rsidRPr="003F4CE1">
        <w:t>living</w:t>
      </w:r>
      <w:r>
        <w:t xml:space="preserve"> </w:t>
      </w:r>
      <w:r w:rsidRPr="003F4CE1">
        <w:t>for</w:t>
      </w:r>
      <w:r>
        <w:t xml:space="preserve"> </w:t>
      </w:r>
      <w:r w:rsidRPr="003F4CE1">
        <w:t>themselves</w:t>
      </w:r>
      <w:r>
        <w:t xml:space="preserve"> </w:t>
      </w:r>
      <w:r w:rsidRPr="003F4CE1">
        <w:t>and</w:t>
      </w:r>
      <w:r>
        <w:t xml:space="preserve"> </w:t>
      </w:r>
      <w:r w:rsidRPr="003F4CE1">
        <w:t>their</w:t>
      </w:r>
      <w:r>
        <w:t xml:space="preserve"> </w:t>
      </w:r>
      <w:r w:rsidRPr="003F4CE1">
        <w:t>families</w:t>
      </w:r>
      <w:r>
        <w:t xml:space="preserve"> </w:t>
      </w:r>
      <w:r w:rsidRPr="003F4CE1">
        <w:t>without</w:t>
      </w:r>
      <w:r>
        <w:t xml:space="preserve"> </w:t>
      </w:r>
      <w:r w:rsidRPr="003F4CE1">
        <w:t>discrimination</w:t>
      </w:r>
      <w:r>
        <w:t xml:space="preserve"> </w:t>
      </w:r>
      <w:r w:rsidRPr="003F4CE1">
        <w:t>of</w:t>
      </w:r>
      <w:r>
        <w:t xml:space="preserve"> </w:t>
      </w:r>
      <w:r w:rsidRPr="003F4CE1">
        <w:t>any</w:t>
      </w:r>
      <w:r>
        <w:t xml:space="preserve"> </w:t>
      </w:r>
      <w:r w:rsidRPr="003F4CE1">
        <w:t>kind.</w:t>
      </w:r>
      <w:r w:rsidRPr="003F4CE1">
        <w:rPr>
          <w:rStyle w:val="EndnoteReference"/>
          <w:rFonts w:cs="Open Sans"/>
        </w:rPr>
        <w:endnoteReference w:id="143"/>
      </w:r>
      <w:r>
        <w:t xml:space="preserve"> Australia’s ability to ensure people with disability can f</w:t>
      </w:r>
      <w:r w:rsidRPr="00AC39A7">
        <w:t>ull</w:t>
      </w:r>
      <w:r>
        <w:t>y</w:t>
      </w:r>
      <w:r w:rsidRPr="00AC39A7">
        <w:t xml:space="preserve"> and effective</w:t>
      </w:r>
      <w:r>
        <w:t>ly</w:t>
      </w:r>
      <w:r w:rsidRPr="00AC39A7">
        <w:t xml:space="preserve"> participat</w:t>
      </w:r>
      <w:r>
        <w:t>e</w:t>
      </w:r>
      <w:r w:rsidRPr="00AC39A7">
        <w:t xml:space="preserve"> in society</w:t>
      </w:r>
      <w:r>
        <w:t>,</w:t>
      </w:r>
      <w:r w:rsidRPr="0084505D">
        <w:t xml:space="preserve"> </w:t>
      </w:r>
      <w:r>
        <w:t>as required by Article 3 of the CRPD, may also be at risk if people with disability are unable to earn a living wage. In turn, an unliveable wage may expose people with disability to abuse and exploitation in other aspects of their lives.</w:t>
      </w:r>
    </w:p>
    <w:p w14:paraId="39A0E0BE" w14:textId="53E191AB" w:rsidR="00F71B5B" w:rsidRDefault="00F71B5B" w:rsidP="00F71B5B">
      <w:pPr>
        <w:pStyle w:val="ListNumber"/>
      </w:pPr>
      <w:r>
        <w:t>I</w:t>
      </w:r>
      <w:r w:rsidRPr="003F4CE1">
        <w:t>n</w:t>
      </w:r>
      <w:r>
        <w:t xml:space="preserve"> </w:t>
      </w:r>
      <w:r w:rsidRPr="003F4CE1">
        <w:t>October</w:t>
      </w:r>
      <w:r>
        <w:t xml:space="preserve"> </w:t>
      </w:r>
      <w:r w:rsidRPr="003F4CE1">
        <w:t>2019</w:t>
      </w:r>
      <w:r>
        <w:t xml:space="preserve"> </w:t>
      </w:r>
      <w:r w:rsidRPr="003F4CE1">
        <w:t>the</w:t>
      </w:r>
      <w:r>
        <w:t xml:space="preserve"> </w:t>
      </w:r>
      <w:r w:rsidR="000833E0">
        <w:t>CRPD Committee</w:t>
      </w:r>
      <w:r>
        <w:t xml:space="preserve"> </w:t>
      </w:r>
      <w:r w:rsidRPr="003F4CE1">
        <w:t>encouraged</w:t>
      </w:r>
      <w:r>
        <w:t xml:space="preserve"> the </w:t>
      </w:r>
      <w:r w:rsidRPr="003F4CE1">
        <w:t>Australia</w:t>
      </w:r>
      <w:r>
        <w:t xml:space="preserve">n Government </w:t>
      </w:r>
      <w:r w:rsidRPr="003F4CE1">
        <w:t>to</w:t>
      </w:r>
      <w:r>
        <w:t xml:space="preserve"> </w:t>
      </w:r>
      <w:r w:rsidRPr="003F4CE1">
        <w:t>enable</w:t>
      </w:r>
      <w:r>
        <w:t xml:space="preserve"> people with disability </w:t>
      </w:r>
      <w:r w:rsidRPr="003F4CE1">
        <w:t>to</w:t>
      </w:r>
      <w:r>
        <w:t xml:space="preserve"> </w:t>
      </w:r>
      <w:r w:rsidRPr="003F4CE1">
        <w:t>transition</w:t>
      </w:r>
      <w:r>
        <w:t xml:space="preserve"> </w:t>
      </w:r>
      <w:r w:rsidRPr="003F4CE1">
        <w:t>into</w:t>
      </w:r>
      <w:r>
        <w:t xml:space="preserve"> </w:t>
      </w:r>
      <w:r w:rsidRPr="003F4CE1">
        <w:t>open,</w:t>
      </w:r>
      <w:r>
        <w:t xml:space="preserve"> </w:t>
      </w:r>
      <w:r w:rsidRPr="003F4CE1">
        <w:t>inclusive</w:t>
      </w:r>
      <w:r>
        <w:t xml:space="preserve"> </w:t>
      </w:r>
      <w:r w:rsidRPr="003F4CE1">
        <w:t>and</w:t>
      </w:r>
      <w:r>
        <w:t xml:space="preserve"> </w:t>
      </w:r>
      <w:r w:rsidRPr="003F4CE1">
        <w:t>accessible</w:t>
      </w:r>
      <w:r>
        <w:t xml:space="preserve"> </w:t>
      </w:r>
      <w:r w:rsidRPr="003F4CE1">
        <w:t>employment,</w:t>
      </w:r>
      <w:r>
        <w:t xml:space="preserve"> </w:t>
      </w:r>
      <w:r w:rsidRPr="003F4CE1">
        <w:t>ensuring</w:t>
      </w:r>
      <w:r>
        <w:t xml:space="preserve"> </w:t>
      </w:r>
      <w:r w:rsidRPr="003F4CE1">
        <w:t>equal</w:t>
      </w:r>
      <w:r>
        <w:t xml:space="preserve"> </w:t>
      </w:r>
      <w:r w:rsidRPr="003F4CE1">
        <w:t>remuneration</w:t>
      </w:r>
      <w:r>
        <w:t xml:space="preserve"> </w:t>
      </w:r>
      <w:r w:rsidRPr="003F4CE1">
        <w:t>for</w:t>
      </w:r>
      <w:r>
        <w:t xml:space="preserve"> </w:t>
      </w:r>
      <w:r w:rsidRPr="003F4CE1">
        <w:t>work</w:t>
      </w:r>
      <w:r>
        <w:t xml:space="preserve"> </w:t>
      </w:r>
      <w:r w:rsidRPr="003F4CE1">
        <w:t>of</w:t>
      </w:r>
      <w:r>
        <w:t xml:space="preserve"> </w:t>
      </w:r>
      <w:r w:rsidRPr="003F4CE1">
        <w:t>equal</w:t>
      </w:r>
      <w:r>
        <w:t xml:space="preserve"> </w:t>
      </w:r>
      <w:r w:rsidRPr="003F4CE1">
        <w:t>value.</w:t>
      </w:r>
      <w:r w:rsidRPr="003F4CE1">
        <w:rPr>
          <w:rStyle w:val="EndnoteReference"/>
          <w:rFonts w:cs="Open Sans"/>
        </w:rPr>
        <w:endnoteReference w:id="144"/>
      </w:r>
      <w:r>
        <w:t xml:space="preserve"> The Commission echoes this recommendation and calls on the Australian Government to ensure that the SWS does not contravene Australia’s obligations under ICESCR and </w:t>
      </w:r>
      <w:r w:rsidR="3E1F5C3B">
        <w:t xml:space="preserve">the </w:t>
      </w:r>
      <w:r>
        <w:t>CRPD.</w:t>
      </w:r>
    </w:p>
    <w:p w14:paraId="5FB9B73F" w14:textId="77777777" w:rsidR="00873071" w:rsidRPr="00873071" w:rsidRDefault="00873071" w:rsidP="00873071">
      <w:pPr>
        <w:pStyle w:val="ListNumber"/>
        <w:rPr>
          <w:rFonts w:cs="Open Sans"/>
          <w:b/>
          <w:bCs/>
          <w:i/>
          <w:iCs/>
        </w:rPr>
      </w:pPr>
      <w:r w:rsidRPr="00873071">
        <w:rPr>
          <w:rFonts w:cs="Open Sans"/>
          <w:b/>
          <w:bCs/>
          <w:i/>
          <w:iCs/>
        </w:rPr>
        <w:t>Recommendation 2: The Australian Government undertake a comprehensive review of the Supported Wage System against the requirements of Article 7(a) of ICESCR and Article 27 of the CRPD, including a review of the adequacy of wages in supporting people with disability to fully and effectively participate in society.</w:t>
      </w:r>
    </w:p>
    <w:p w14:paraId="17526E66" w14:textId="431D9E13" w:rsidR="00F37143" w:rsidRDefault="00F37143" w:rsidP="00F37143">
      <w:pPr>
        <w:pStyle w:val="ListNumber"/>
        <w:rPr>
          <w:rFonts w:cs="Open Sans"/>
        </w:rPr>
      </w:pPr>
      <w:r>
        <w:rPr>
          <w:rFonts w:cs="Open Sans"/>
        </w:rPr>
        <w:t xml:space="preserve">The Commission also acknowledges that, if the SWS is achieving its stated aims of enabling people with disability to secure employment, then there is a tension between </w:t>
      </w:r>
      <w:r w:rsidR="001F749D">
        <w:rPr>
          <w:rFonts w:cs="Open Sans"/>
        </w:rPr>
        <w:t xml:space="preserve">Australia’s obligations to </w:t>
      </w:r>
      <w:r w:rsidR="00B45DD1">
        <w:rPr>
          <w:rFonts w:cs="Open Sans"/>
        </w:rPr>
        <w:t>ensure</w:t>
      </w:r>
      <w:r w:rsidR="006414EB">
        <w:rPr>
          <w:rFonts w:cs="Open Sans"/>
        </w:rPr>
        <w:t xml:space="preserve"> non-discrimination and fair</w:t>
      </w:r>
      <w:r>
        <w:rPr>
          <w:rFonts w:cs="Open Sans"/>
        </w:rPr>
        <w:t xml:space="preserve"> pay</w:t>
      </w:r>
      <w:r w:rsidR="00FF3D9D">
        <w:rPr>
          <w:rFonts w:cs="Open Sans"/>
        </w:rPr>
        <w:t xml:space="preserve">, and Australia’s obligations to create </w:t>
      </w:r>
      <w:r w:rsidR="00FF3D9D" w:rsidRPr="00FF3D9D">
        <w:rPr>
          <w:rFonts w:cs="Open Sans"/>
        </w:rPr>
        <w:t>an enabling environment for employment</w:t>
      </w:r>
      <w:r w:rsidR="00FF3D9D">
        <w:rPr>
          <w:rFonts w:cs="Open Sans"/>
        </w:rPr>
        <w:t xml:space="preserve"> of people with disability</w:t>
      </w:r>
      <w:r w:rsidR="001F749D">
        <w:rPr>
          <w:rFonts w:cs="Open Sans"/>
        </w:rPr>
        <w:t xml:space="preserve"> and provide a right to work</w:t>
      </w:r>
      <w:r w:rsidR="00FF3D9D">
        <w:rPr>
          <w:rFonts w:cs="Open Sans"/>
        </w:rPr>
        <w:t>.</w:t>
      </w:r>
      <w:r w:rsidR="00733CF2">
        <w:rPr>
          <w:rStyle w:val="EndnoteReference"/>
          <w:rFonts w:cs="Open Sans"/>
        </w:rPr>
        <w:endnoteReference w:id="145"/>
      </w:r>
    </w:p>
    <w:p w14:paraId="10B89B2E" w14:textId="55D295F9" w:rsidR="00C77583" w:rsidRDefault="00C77583" w:rsidP="00C77583">
      <w:pPr>
        <w:pStyle w:val="ListNumber"/>
        <w:rPr>
          <w:rFonts w:cs="Open Sans"/>
        </w:rPr>
      </w:pPr>
      <w:r>
        <w:rPr>
          <w:rFonts w:cs="Open Sans"/>
        </w:rPr>
        <w:t xml:space="preserve">However, the Commission is concerned </w:t>
      </w:r>
      <w:r w:rsidR="002B655D">
        <w:rPr>
          <w:rFonts w:cs="Open Sans"/>
        </w:rPr>
        <w:t>that</w:t>
      </w:r>
      <w:r>
        <w:rPr>
          <w:rFonts w:cs="Open Sans"/>
        </w:rPr>
        <w:t xml:space="preserve"> the Australian Government</w:t>
      </w:r>
      <w:r w:rsidR="002B655D">
        <w:rPr>
          <w:rFonts w:cs="Open Sans"/>
        </w:rPr>
        <w:t xml:space="preserve"> has not </w:t>
      </w:r>
      <w:r>
        <w:rPr>
          <w:rFonts w:cs="Open Sans"/>
        </w:rPr>
        <w:t>demonstrate</w:t>
      </w:r>
      <w:r w:rsidR="002B655D">
        <w:rPr>
          <w:rFonts w:cs="Open Sans"/>
        </w:rPr>
        <w:t>d</w:t>
      </w:r>
      <w:r>
        <w:rPr>
          <w:rFonts w:cs="Open Sans"/>
        </w:rPr>
        <w:t xml:space="preserve"> that the SWS achieves its objectives</w:t>
      </w:r>
      <w:r w:rsidR="002B655D">
        <w:rPr>
          <w:rFonts w:cs="Open Sans"/>
        </w:rPr>
        <w:t xml:space="preserve">. </w:t>
      </w:r>
      <w:r w:rsidRPr="00AD7668">
        <w:t xml:space="preserve">There is little publicly available information on the number of people with disability under the SWS, </w:t>
      </w:r>
      <w:r w:rsidR="005D409A">
        <w:t>their average wage,</w:t>
      </w:r>
      <w:r w:rsidR="002B655D">
        <w:t xml:space="preserve"> whether they have</w:t>
      </w:r>
      <w:r w:rsidR="0016531B">
        <w:t xml:space="preserve"> obtained</w:t>
      </w:r>
      <w:r w:rsidR="002B655D">
        <w:t xml:space="preserve"> </w:t>
      </w:r>
      <w:r w:rsidR="00BE10FD">
        <w:t xml:space="preserve">sustained </w:t>
      </w:r>
      <w:r w:rsidR="002B655D">
        <w:t>employment</w:t>
      </w:r>
      <w:r w:rsidR="00BE10FD">
        <w:t xml:space="preserve">, </w:t>
      </w:r>
      <w:r w:rsidR="005D409A">
        <w:t xml:space="preserve">or </w:t>
      </w:r>
      <w:r w:rsidR="005D409A" w:rsidRPr="003F4CE1">
        <w:t>how</w:t>
      </w:r>
      <w:r w:rsidR="005D409A">
        <w:t xml:space="preserve"> </w:t>
      </w:r>
      <w:r w:rsidR="005D409A" w:rsidRPr="003F4CE1">
        <w:t>the</w:t>
      </w:r>
      <w:r w:rsidR="005D409A">
        <w:t xml:space="preserve"> </w:t>
      </w:r>
      <w:r w:rsidR="005D409A" w:rsidRPr="003F4CE1">
        <w:t>SWS</w:t>
      </w:r>
      <w:r w:rsidR="005D409A">
        <w:t xml:space="preserve"> </w:t>
      </w:r>
      <w:r w:rsidR="005D409A" w:rsidRPr="003F4CE1">
        <w:t>impacts</w:t>
      </w:r>
      <w:r w:rsidR="005D409A">
        <w:t xml:space="preserve"> </w:t>
      </w:r>
      <w:r w:rsidR="005D409A" w:rsidRPr="003F4CE1">
        <w:t>the</w:t>
      </w:r>
      <w:r w:rsidR="005D409A">
        <w:t xml:space="preserve"> </w:t>
      </w:r>
      <w:r w:rsidR="005D409A" w:rsidRPr="003F4CE1">
        <w:t>standard</w:t>
      </w:r>
      <w:r w:rsidR="005D409A">
        <w:t xml:space="preserve"> </w:t>
      </w:r>
      <w:r w:rsidR="005D409A" w:rsidRPr="003F4CE1">
        <w:t>of</w:t>
      </w:r>
      <w:r w:rsidR="005D409A">
        <w:t xml:space="preserve"> </w:t>
      </w:r>
      <w:r w:rsidR="005D409A" w:rsidRPr="003F4CE1">
        <w:t>living</w:t>
      </w:r>
      <w:r w:rsidR="005D409A">
        <w:t xml:space="preserve"> </w:t>
      </w:r>
      <w:r w:rsidR="005D409A" w:rsidRPr="003F4CE1">
        <w:t>of</w:t>
      </w:r>
      <w:r w:rsidR="005D409A">
        <w:t xml:space="preserve"> </w:t>
      </w:r>
      <w:r w:rsidR="005D409A" w:rsidRPr="003F4CE1">
        <w:t>people</w:t>
      </w:r>
      <w:r w:rsidR="005D409A">
        <w:t xml:space="preserve"> </w:t>
      </w:r>
      <w:r w:rsidR="005D409A" w:rsidRPr="003F4CE1">
        <w:t>with</w:t>
      </w:r>
      <w:r w:rsidR="005D409A">
        <w:t xml:space="preserve"> </w:t>
      </w:r>
      <w:r w:rsidR="005D409A" w:rsidRPr="003F4CE1">
        <w:t>disability.</w:t>
      </w:r>
      <w:r w:rsidR="005D409A">
        <w:t xml:space="preserve"> </w:t>
      </w:r>
      <w:r w:rsidR="005D409A" w:rsidRPr="003F4CE1">
        <w:t>Further,</w:t>
      </w:r>
      <w:r w:rsidR="005D409A">
        <w:t xml:space="preserve"> </w:t>
      </w:r>
      <w:r w:rsidR="00D52006">
        <w:t xml:space="preserve">through </w:t>
      </w:r>
      <w:r w:rsidR="005D409A" w:rsidRPr="003F4CE1">
        <w:t>the</w:t>
      </w:r>
      <w:r w:rsidR="005D409A">
        <w:t xml:space="preserve"> </w:t>
      </w:r>
      <w:r w:rsidR="00245F33">
        <w:t>Willing to Work</w:t>
      </w:r>
      <w:r w:rsidR="005D409A">
        <w:t xml:space="preserve"> </w:t>
      </w:r>
      <w:r w:rsidR="2EB7D035">
        <w:t xml:space="preserve">inquiry, </w:t>
      </w:r>
      <w:r w:rsidR="00D52006">
        <w:t>the Commission heard</w:t>
      </w:r>
      <w:r w:rsidR="005D409A">
        <w:t xml:space="preserve"> </w:t>
      </w:r>
      <w:r w:rsidR="005D409A" w:rsidRPr="003F4CE1">
        <w:t>that</w:t>
      </w:r>
      <w:r w:rsidR="005D409A">
        <w:t xml:space="preserve"> </w:t>
      </w:r>
      <w:r w:rsidR="00AB1511">
        <w:t xml:space="preserve">the </w:t>
      </w:r>
      <w:r w:rsidR="005D409A" w:rsidRPr="003F4CE1">
        <w:t>SWS</w:t>
      </w:r>
      <w:r w:rsidR="005D409A">
        <w:t xml:space="preserve"> </w:t>
      </w:r>
      <w:r w:rsidR="005D409A" w:rsidRPr="003F4CE1">
        <w:t>does</w:t>
      </w:r>
      <w:r w:rsidR="005D409A">
        <w:t xml:space="preserve"> </w:t>
      </w:r>
      <w:r w:rsidR="005D409A" w:rsidRPr="003F4CE1">
        <w:t>not</w:t>
      </w:r>
      <w:r w:rsidR="005D409A">
        <w:t xml:space="preserve"> </w:t>
      </w:r>
      <w:r w:rsidR="005D409A" w:rsidRPr="003F4CE1">
        <w:t>provide</w:t>
      </w:r>
      <w:r w:rsidR="005D409A">
        <w:t xml:space="preserve"> </w:t>
      </w:r>
      <w:r w:rsidR="005D409A" w:rsidRPr="003F4CE1">
        <w:t>sufficient</w:t>
      </w:r>
      <w:r w:rsidR="005D409A">
        <w:t xml:space="preserve"> </w:t>
      </w:r>
      <w:r w:rsidR="005D409A" w:rsidRPr="003F4CE1">
        <w:t>opportunities</w:t>
      </w:r>
      <w:r w:rsidR="005D409A">
        <w:t xml:space="preserve"> </w:t>
      </w:r>
      <w:r w:rsidR="005D409A" w:rsidRPr="003F4CE1">
        <w:t>for</w:t>
      </w:r>
      <w:r w:rsidR="005D409A">
        <w:t xml:space="preserve"> </w:t>
      </w:r>
      <w:r w:rsidR="005D409A" w:rsidRPr="003F4CE1">
        <w:lastRenderedPageBreak/>
        <w:t>employees</w:t>
      </w:r>
      <w:r w:rsidR="005D409A">
        <w:t xml:space="preserve"> </w:t>
      </w:r>
      <w:r w:rsidR="005D409A" w:rsidRPr="003F4CE1">
        <w:t>to</w:t>
      </w:r>
      <w:r w:rsidR="005D409A">
        <w:t xml:space="preserve"> </w:t>
      </w:r>
      <w:r w:rsidR="005D409A" w:rsidRPr="003F4CE1">
        <w:t>transition</w:t>
      </w:r>
      <w:r w:rsidR="005D409A">
        <w:t xml:space="preserve"> </w:t>
      </w:r>
      <w:r w:rsidR="005D409A" w:rsidRPr="003F4CE1">
        <w:t>to</w:t>
      </w:r>
      <w:r w:rsidR="005D409A">
        <w:t xml:space="preserve"> </w:t>
      </w:r>
      <w:r w:rsidR="005D409A" w:rsidRPr="003F4CE1">
        <w:t>a</w:t>
      </w:r>
      <w:r w:rsidR="005D409A">
        <w:t xml:space="preserve"> </w:t>
      </w:r>
      <w:r w:rsidR="005D409A" w:rsidRPr="003F4CE1">
        <w:t>full</w:t>
      </w:r>
      <w:r w:rsidR="005D409A">
        <w:t xml:space="preserve"> </w:t>
      </w:r>
      <w:r w:rsidR="005D409A" w:rsidRPr="003F4CE1">
        <w:t>wage</w:t>
      </w:r>
      <w:r w:rsidR="00D52006">
        <w:t xml:space="preserve">, </w:t>
      </w:r>
      <w:r w:rsidR="00B65822">
        <w:t xml:space="preserve">however </w:t>
      </w:r>
      <w:r w:rsidR="00D52006">
        <w:t xml:space="preserve">there is limited data available to </w:t>
      </w:r>
      <w:r w:rsidR="00FF3D37">
        <w:t>test these assertions</w:t>
      </w:r>
      <w:r w:rsidR="005D409A" w:rsidRPr="003F4CE1">
        <w:t>.</w:t>
      </w:r>
      <w:r w:rsidR="005D409A" w:rsidRPr="003F4CE1">
        <w:rPr>
          <w:rStyle w:val="EndnoteReference"/>
          <w:rFonts w:cs="Open Sans"/>
        </w:rPr>
        <w:endnoteReference w:id="146"/>
      </w:r>
    </w:p>
    <w:p w14:paraId="2CE0AC8B" w14:textId="625575C3" w:rsidR="00F71B5B" w:rsidRPr="003F4CE1" w:rsidRDefault="00464517" w:rsidP="00F71B5B">
      <w:pPr>
        <w:pStyle w:val="ListNumber"/>
      </w:pPr>
      <w:r>
        <w:t xml:space="preserve">There has been limited oversight of the operation of </w:t>
      </w:r>
      <w:r w:rsidR="00945742">
        <w:t xml:space="preserve">the </w:t>
      </w:r>
      <w:r>
        <w:t xml:space="preserve">SWS in ADEs, </w:t>
      </w:r>
      <w:r w:rsidR="00F71B5B" w:rsidRPr="003F4CE1">
        <w:t>as</w:t>
      </w:r>
      <w:r w:rsidR="00F71B5B">
        <w:t xml:space="preserve"> </w:t>
      </w:r>
      <w:r w:rsidR="00F71B5B" w:rsidRPr="003F4CE1">
        <w:t>part</w:t>
      </w:r>
      <w:r w:rsidR="00F71B5B">
        <w:t xml:space="preserve"> </w:t>
      </w:r>
      <w:r w:rsidR="00F71B5B" w:rsidRPr="003F4CE1">
        <w:t>of</w:t>
      </w:r>
      <w:r w:rsidR="00F71B5B">
        <w:t xml:space="preserve"> </w:t>
      </w:r>
      <w:r w:rsidR="00F71B5B" w:rsidRPr="003F4CE1">
        <w:t>the</w:t>
      </w:r>
      <w:r w:rsidR="00F71B5B">
        <w:t xml:space="preserve"> </w:t>
      </w:r>
      <w:r w:rsidR="00F71B5B" w:rsidRPr="003F4CE1">
        <w:t>Fair</w:t>
      </w:r>
      <w:r w:rsidR="00F71B5B">
        <w:t xml:space="preserve"> </w:t>
      </w:r>
      <w:r w:rsidR="00F71B5B" w:rsidRPr="003F4CE1">
        <w:t>Work</w:t>
      </w:r>
      <w:r w:rsidR="00F71B5B">
        <w:t xml:space="preserve"> </w:t>
      </w:r>
      <w:r w:rsidR="00F71B5B" w:rsidRPr="003F4CE1">
        <w:t>Commission’s</w:t>
      </w:r>
      <w:r w:rsidR="00F71B5B">
        <w:t xml:space="preserve"> four </w:t>
      </w:r>
      <w:r w:rsidR="00F71B5B" w:rsidRPr="003F4CE1">
        <w:t>yearly</w:t>
      </w:r>
      <w:r w:rsidR="00F71B5B">
        <w:t xml:space="preserve"> </w:t>
      </w:r>
      <w:r w:rsidR="00F71B5B" w:rsidRPr="003F4CE1">
        <w:t>review</w:t>
      </w:r>
      <w:r w:rsidR="00F71B5B">
        <w:t xml:space="preserve"> of the SES Award</w:t>
      </w:r>
      <w:r>
        <w:t xml:space="preserve"> </w:t>
      </w:r>
      <w:r w:rsidR="00F71B5B" w:rsidRPr="003F4CE1">
        <w:t>in</w:t>
      </w:r>
      <w:r w:rsidR="00F71B5B">
        <w:t xml:space="preserve"> </w:t>
      </w:r>
      <w:r w:rsidR="00F71B5B" w:rsidRPr="003F4CE1">
        <w:t>consultation</w:t>
      </w:r>
      <w:r w:rsidR="00F71B5B">
        <w:t xml:space="preserve"> </w:t>
      </w:r>
      <w:r w:rsidR="00F71B5B" w:rsidRPr="003F4CE1">
        <w:t>with</w:t>
      </w:r>
      <w:r w:rsidR="00F71B5B">
        <w:t xml:space="preserve"> </w:t>
      </w:r>
      <w:r w:rsidR="00F71B5B" w:rsidRPr="003F4CE1">
        <w:t>industry</w:t>
      </w:r>
      <w:r w:rsidR="00F71B5B">
        <w:t xml:space="preserve"> </w:t>
      </w:r>
      <w:r w:rsidR="00F71B5B" w:rsidRPr="003F4CE1">
        <w:t>and</w:t>
      </w:r>
      <w:r w:rsidR="00F71B5B">
        <w:t xml:space="preserve"> </w:t>
      </w:r>
      <w:r w:rsidR="00F71B5B" w:rsidRPr="003F4CE1">
        <w:t>unions.</w:t>
      </w:r>
      <w:r w:rsidR="00F71B5B" w:rsidRPr="003F4CE1">
        <w:rPr>
          <w:rStyle w:val="EndnoteReference"/>
          <w:rFonts w:cs="Open Sans"/>
        </w:rPr>
        <w:endnoteReference w:id="147"/>
      </w:r>
      <w:r w:rsidR="00F71B5B">
        <w:t xml:space="preserve"> </w:t>
      </w:r>
      <w:r w:rsidR="00F71B5B" w:rsidRPr="003F4CE1">
        <w:t>However,</w:t>
      </w:r>
      <w:r w:rsidR="00F71B5B">
        <w:t xml:space="preserve"> the four yearly review</w:t>
      </w:r>
      <w:r w:rsidR="002C3625">
        <w:t>s</w:t>
      </w:r>
      <w:r w:rsidR="00F71B5B">
        <w:t xml:space="preserve"> will cease after 2020, and in any case did </w:t>
      </w:r>
      <w:r w:rsidR="00F71B5B" w:rsidRPr="003F4CE1">
        <w:t>not</w:t>
      </w:r>
      <w:r w:rsidR="00F71B5B">
        <w:t xml:space="preserve"> </w:t>
      </w:r>
      <w:r w:rsidR="00F71B5B" w:rsidRPr="003F4CE1">
        <w:t>require</w:t>
      </w:r>
      <w:r w:rsidR="00F71B5B">
        <w:t xml:space="preserve"> </w:t>
      </w:r>
      <w:r w:rsidR="00F71B5B" w:rsidRPr="003F4CE1">
        <w:t>the</w:t>
      </w:r>
      <w:r w:rsidR="00F71B5B">
        <w:t xml:space="preserve"> </w:t>
      </w:r>
      <w:r w:rsidR="00F71B5B" w:rsidRPr="003F4CE1">
        <w:t>Fair</w:t>
      </w:r>
      <w:r w:rsidR="00F71B5B">
        <w:t xml:space="preserve"> </w:t>
      </w:r>
      <w:r w:rsidR="00F71B5B" w:rsidRPr="003F4CE1">
        <w:t>Work</w:t>
      </w:r>
      <w:r w:rsidR="00F71B5B">
        <w:t xml:space="preserve"> </w:t>
      </w:r>
      <w:r w:rsidR="00F71B5B" w:rsidRPr="003F4CE1">
        <w:t>Commission</w:t>
      </w:r>
      <w:r w:rsidR="00F71B5B">
        <w:t xml:space="preserve"> </w:t>
      </w:r>
      <w:r w:rsidR="00F71B5B" w:rsidRPr="003F4CE1">
        <w:t>to</w:t>
      </w:r>
      <w:r w:rsidR="00F71B5B">
        <w:t xml:space="preserve"> </w:t>
      </w:r>
      <w:r w:rsidR="00F71B5B" w:rsidRPr="003F4CE1">
        <w:t>consider</w:t>
      </w:r>
      <w:r w:rsidR="00F71B5B">
        <w:t xml:space="preserve"> </w:t>
      </w:r>
      <w:r w:rsidR="00F71B5B" w:rsidRPr="003F4CE1">
        <w:t>the</w:t>
      </w:r>
      <w:r w:rsidR="00F71B5B">
        <w:t xml:space="preserve"> </w:t>
      </w:r>
      <w:r w:rsidR="00F71B5B" w:rsidRPr="003F4CE1">
        <w:t>human</w:t>
      </w:r>
      <w:r w:rsidR="00F71B5B">
        <w:t xml:space="preserve"> </w:t>
      </w:r>
      <w:r w:rsidR="00F71B5B" w:rsidRPr="003F4CE1">
        <w:t>rights</w:t>
      </w:r>
      <w:r w:rsidR="00F71B5B">
        <w:t xml:space="preserve"> </w:t>
      </w:r>
      <w:r w:rsidR="00F71B5B" w:rsidRPr="003F4CE1">
        <w:t>or</w:t>
      </w:r>
      <w:r w:rsidR="00F71B5B">
        <w:t xml:space="preserve"> </w:t>
      </w:r>
      <w:r w:rsidR="00F71B5B" w:rsidRPr="003F4CE1">
        <w:t>discrimination</w:t>
      </w:r>
      <w:r w:rsidR="00F71B5B">
        <w:t xml:space="preserve"> </w:t>
      </w:r>
      <w:r w:rsidR="00F71B5B" w:rsidRPr="003F4CE1">
        <w:t>implications</w:t>
      </w:r>
      <w:r w:rsidR="00F71B5B">
        <w:t xml:space="preserve"> </w:t>
      </w:r>
      <w:r w:rsidR="00F71B5B" w:rsidRPr="003F4CE1">
        <w:t>of</w:t>
      </w:r>
      <w:r w:rsidR="00F71B5B">
        <w:t xml:space="preserve"> </w:t>
      </w:r>
      <w:r w:rsidR="00F71B5B" w:rsidRPr="003F4CE1">
        <w:t>SWS</w:t>
      </w:r>
      <w:r w:rsidR="00F71B5B">
        <w:t xml:space="preserve"> </w:t>
      </w:r>
      <w:r w:rsidR="00F71B5B" w:rsidRPr="003F4CE1">
        <w:t>in</w:t>
      </w:r>
      <w:r w:rsidR="00F71B5B">
        <w:t xml:space="preserve"> </w:t>
      </w:r>
      <w:r w:rsidR="00F71B5B" w:rsidRPr="003F4CE1">
        <w:t>ADEs.</w:t>
      </w:r>
      <w:r w:rsidR="00F71B5B" w:rsidRPr="003F4CE1">
        <w:rPr>
          <w:rStyle w:val="EndnoteReference"/>
          <w:rFonts w:cs="Open Sans"/>
        </w:rPr>
        <w:endnoteReference w:id="148"/>
      </w:r>
      <w:r w:rsidR="00F71B5B">
        <w:t xml:space="preserve"> </w:t>
      </w:r>
      <w:r w:rsidR="00A638B1">
        <w:t>For these reasons, the Commission calls on the Australian Government to ensure its evaluation of the SWS includes both open employment and ADEs.</w:t>
      </w:r>
    </w:p>
    <w:p w14:paraId="6BBDD583" w14:textId="2A07F3B3" w:rsidR="005F2875" w:rsidRPr="00800A87" w:rsidRDefault="005F2875" w:rsidP="00800A87">
      <w:pPr>
        <w:pStyle w:val="ListNumber"/>
        <w:rPr>
          <w:rFonts w:cs="Open Sans"/>
          <w:b/>
          <w:bCs/>
          <w:i/>
          <w:iCs/>
        </w:rPr>
      </w:pPr>
      <w:r w:rsidRPr="00800A87">
        <w:rPr>
          <w:rFonts w:cs="Open Sans"/>
          <w:b/>
          <w:bCs/>
          <w:i/>
          <w:iCs/>
        </w:rPr>
        <w:t xml:space="preserve">Recommendation 3: The Australian Government publicly evaluate the effectiveness of the Supported Wage System in achieving its objective of enabling people with disability to obtain employment in a manner </w:t>
      </w:r>
      <w:r w:rsidRPr="00800A87">
        <w:rPr>
          <w:b/>
          <w:bCs/>
          <w:i/>
          <w:iCs/>
        </w:rPr>
        <w:t>that is consistent with human rights practice and international obligations</w:t>
      </w:r>
      <w:r w:rsidRPr="00800A87">
        <w:rPr>
          <w:rFonts w:cs="Open Sans"/>
          <w:b/>
          <w:bCs/>
          <w:i/>
          <w:iCs/>
        </w:rPr>
        <w:t>.</w:t>
      </w:r>
    </w:p>
    <w:p w14:paraId="70F1DD25" w14:textId="4B40D190" w:rsidR="001F1232" w:rsidRDefault="003E6CF7" w:rsidP="001C2E45">
      <w:pPr>
        <w:pStyle w:val="Heading2"/>
        <w:rPr>
          <w:rStyle w:val="Heading2Char"/>
          <w:b/>
        </w:rPr>
      </w:pPr>
      <w:bookmarkStart w:id="68" w:name="_Ref50804437"/>
      <w:bookmarkStart w:id="69" w:name="_Ref50804511"/>
      <w:bookmarkStart w:id="70" w:name="_Toc51834284"/>
      <w:r w:rsidRPr="001C2E45">
        <w:t>Access</w:t>
      </w:r>
      <w:r w:rsidR="00573BA7" w:rsidRPr="00764864">
        <w:t xml:space="preserve"> </w:t>
      </w:r>
      <w:r w:rsidRPr="00764864">
        <w:t>to</w:t>
      </w:r>
      <w:r w:rsidR="00573BA7" w:rsidRPr="00764864">
        <w:t xml:space="preserve"> </w:t>
      </w:r>
      <w:r w:rsidRPr="00764864">
        <w:t>justice</w:t>
      </w:r>
      <w:r w:rsidR="00573BA7" w:rsidRPr="00764864">
        <w:t xml:space="preserve"> </w:t>
      </w:r>
      <w:r w:rsidRPr="00764864">
        <w:t>under</w:t>
      </w:r>
      <w:r w:rsidR="00573BA7" w:rsidRPr="00764864">
        <w:t xml:space="preserve"> </w:t>
      </w:r>
      <w:r w:rsidR="001F1232" w:rsidRPr="00764864">
        <w:t>the</w:t>
      </w:r>
      <w:r w:rsidR="00573BA7" w:rsidRPr="00BC4DA8">
        <w:rPr>
          <w:b w:val="0"/>
          <w:bCs/>
          <w:i/>
          <w:iCs/>
        </w:rPr>
        <w:t xml:space="preserve"> </w:t>
      </w:r>
      <w:r w:rsidR="001F1232" w:rsidRPr="00BC4DA8">
        <w:rPr>
          <w:rStyle w:val="Heading2Char"/>
          <w:b/>
          <w:bCs/>
          <w:i/>
          <w:iCs/>
        </w:rPr>
        <w:t>Disability</w:t>
      </w:r>
      <w:r w:rsidR="00573BA7" w:rsidRPr="00BC4DA8">
        <w:rPr>
          <w:rStyle w:val="Heading2Char"/>
          <w:b/>
          <w:bCs/>
          <w:i/>
          <w:iCs/>
        </w:rPr>
        <w:t xml:space="preserve"> </w:t>
      </w:r>
      <w:r w:rsidR="001F1232" w:rsidRPr="00BC4DA8">
        <w:rPr>
          <w:rStyle w:val="Heading2Char"/>
          <w:b/>
          <w:bCs/>
          <w:i/>
          <w:iCs/>
        </w:rPr>
        <w:t>Discrimination</w:t>
      </w:r>
      <w:r w:rsidR="00573BA7" w:rsidRPr="00BC4DA8">
        <w:rPr>
          <w:rStyle w:val="Heading2Char"/>
          <w:b/>
          <w:bCs/>
          <w:i/>
          <w:iCs/>
        </w:rPr>
        <w:t xml:space="preserve"> </w:t>
      </w:r>
      <w:r w:rsidR="001F1232" w:rsidRPr="00BC4DA8">
        <w:rPr>
          <w:rStyle w:val="Heading2Char"/>
          <w:b/>
          <w:bCs/>
          <w:i/>
          <w:iCs/>
        </w:rPr>
        <w:t>Act</w:t>
      </w:r>
      <w:r w:rsidR="00573BA7" w:rsidRPr="00BC4DA8">
        <w:rPr>
          <w:rStyle w:val="Heading2Char"/>
          <w:b/>
          <w:bCs/>
          <w:i/>
          <w:iCs/>
        </w:rPr>
        <w:t xml:space="preserve"> </w:t>
      </w:r>
      <w:r w:rsidR="001F1232" w:rsidRPr="00BC4DA8">
        <w:rPr>
          <w:rStyle w:val="Heading2Char"/>
          <w:b/>
          <w:bCs/>
          <w:i/>
          <w:iCs/>
        </w:rPr>
        <w:t>1992</w:t>
      </w:r>
      <w:r w:rsidR="00573BA7" w:rsidRPr="00BC4DA8">
        <w:rPr>
          <w:rStyle w:val="Heading2Char"/>
          <w:b/>
          <w:bCs/>
          <w:i/>
          <w:iCs/>
        </w:rPr>
        <w:t xml:space="preserve"> </w:t>
      </w:r>
      <w:r w:rsidR="001F1232" w:rsidRPr="007B537E">
        <w:rPr>
          <w:rStyle w:val="Heading2Char"/>
          <w:b/>
        </w:rPr>
        <w:t>(Cth)</w:t>
      </w:r>
      <w:bookmarkEnd w:id="68"/>
      <w:bookmarkEnd w:id="69"/>
      <w:bookmarkEnd w:id="70"/>
    </w:p>
    <w:p w14:paraId="639B4AFE" w14:textId="46776A97" w:rsidR="00ED79AE" w:rsidRPr="00E9462E" w:rsidRDefault="001C2E45" w:rsidP="00ED79AE">
      <w:pPr>
        <w:pStyle w:val="ListNumber"/>
        <w:rPr>
          <w:lang w:eastAsia="en-GB"/>
        </w:rPr>
      </w:pPr>
      <w:r w:rsidRPr="07069484">
        <w:rPr>
          <w:lang w:eastAsia="en-GB"/>
        </w:rPr>
        <w:t>Th</w:t>
      </w:r>
      <w:r w:rsidR="00ED79AE" w:rsidRPr="07069484">
        <w:rPr>
          <w:lang w:eastAsia="en-GB"/>
        </w:rPr>
        <w:t>is section addresses the</w:t>
      </w:r>
      <w:r w:rsidRPr="07069484">
        <w:rPr>
          <w:lang w:eastAsia="en-GB"/>
        </w:rPr>
        <w:t xml:space="preserve"> Commission</w:t>
      </w:r>
      <w:r w:rsidR="00ED79AE" w:rsidRPr="07069484">
        <w:rPr>
          <w:lang w:eastAsia="en-GB"/>
        </w:rPr>
        <w:t xml:space="preserve">’s concerns </w:t>
      </w:r>
      <w:r w:rsidRPr="07069484">
        <w:rPr>
          <w:lang w:eastAsia="en-GB"/>
        </w:rPr>
        <w:t xml:space="preserve">about </w:t>
      </w:r>
      <w:r w:rsidR="00ED79AE" w:rsidRPr="07069484">
        <w:rPr>
          <w:lang w:eastAsia="en-GB"/>
        </w:rPr>
        <w:t>several</w:t>
      </w:r>
      <w:r w:rsidRPr="07069484">
        <w:rPr>
          <w:lang w:eastAsia="en-GB"/>
        </w:rPr>
        <w:t xml:space="preserve"> aspects of the </w:t>
      </w:r>
      <w:r w:rsidR="00BC25C5" w:rsidRPr="07069484">
        <w:rPr>
          <w:lang w:eastAsia="en-GB"/>
        </w:rPr>
        <w:t>Disability Discrimination Act</w:t>
      </w:r>
      <w:r w:rsidRPr="07069484">
        <w:rPr>
          <w:lang w:eastAsia="en-GB"/>
        </w:rPr>
        <w:t xml:space="preserve"> which may limit its effectiveness in protecting the human rights of people with disability.</w:t>
      </w:r>
      <w:r w:rsidR="00ED79AE" w:rsidRPr="07069484">
        <w:rPr>
          <w:lang w:eastAsia="en-GB"/>
        </w:rPr>
        <w:t xml:space="preserve"> This section responds to questions </w:t>
      </w:r>
      <w:r w:rsidR="000B26E0" w:rsidRPr="07069484">
        <w:rPr>
          <w:lang w:eastAsia="en-GB"/>
        </w:rPr>
        <w:t>five</w:t>
      </w:r>
      <w:r w:rsidR="00F15517" w:rsidRPr="07069484">
        <w:rPr>
          <w:lang w:eastAsia="en-GB"/>
        </w:rPr>
        <w:t xml:space="preserve"> and </w:t>
      </w:r>
      <w:r w:rsidR="000B26E0" w:rsidRPr="07069484">
        <w:rPr>
          <w:lang w:eastAsia="en-GB"/>
        </w:rPr>
        <w:t>eight</w:t>
      </w:r>
      <w:r w:rsidR="00ED79AE" w:rsidRPr="07069484">
        <w:rPr>
          <w:lang w:eastAsia="en-GB"/>
        </w:rPr>
        <w:t xml:space="preserve"> of the Issues Paper.</w:t>
      </w:r>
    </w:p>
    <w:p w14:paraId="61036FE0" w14:textId="7296DD69" w:rsidR="00AC7A67" w:rsidRPr="00710E6A" w:rsidRDefault="00283FBD" w:rsidP="00BC4DA8">
      <w:pPr>
        <w:pStyle w:val="Heading3"/>
        <w:rPr>
          <w:b/>
          <w:bCs w:val="0"/>
        </w:rPr>
      </w:pPr>
      <w:bookmarkStart w:id="71" w:name="_Toc51834285"/>
      <w:r w:rsidRPr="00710E6A">
        <w:rPr>
          <w:b/>
          <w:bCs w:val="0"/>
        </w:rPr>
        <w:t>Limited</w:t>
      </w:r>
      <w:r w:rsidR="00573BA7" w:rsidRPr="00710E6A">
        <w:rPr>
          <w:b/>
          <w:bCs w:val="0"/>
        </w:rPr>
        <w:t xml:space="preserve"> </w:t>
      </w:r>
      <w:r w:rsidRPr="00710E6A">
        <w:rPr>
          <w:b/>
          <w:bCs w:val="0"/>
        </w:rPr>
        <w:t>standing</w:t>
      </w:r>
      <w:r w:rsidR="00573BA7" w:rsidRPr="00710E6A">
        <w:rPr>
          <w:b/>
          <w:bCs w:val="0"/>
        </w:rPr>
        <w:t xml:space="preserve"> </w:t>
      </w:r>
      <w:r w:rsidRPr="00710E6A">
        <w:rPr>
          <w:b/>
          <w:bCs w:val="0"/>
        </w:rPr>
        <w:t>to</w:t>
      </w:r>
      <w:r w:rsidR="00573BA7" w:rsidRPr="00710E6A">
        <w:rPr>
          <w:b/>
          <w:bCs w:val="0"/>
        </w:rPr>
        <w:t xml:space="preserve"> </w:t>
      </w:r>
      <w:r w:rsidRPr="00710E6A">
        <w:rPr>
          <w:b/>
          <w:bCs w:val="0"/>
        </w:rPr>
        <w:t>bring</w:t>
      </w:r>
      <w:r w:rsidR="00573BA7" w:rsidRPr="00710E6A">
        <w:rPr>
          <w:b/>
          <w:bCs w:val="0"/>
        </w:rPr>
        <w:t xml:space="preserve"> </w:t>
      </w:r>
      <w:r w:rsidRPr="00710E6A">
        <w:rPr>
          <w:b/>
          <w:bCs w:val="0"/>
        </w:rPr>
        <w:t>discrimination</w:t>
      </w:r>
      <w:r w:rsidR="00573BA7" w:rsidRPr="00710E6A">
        <w:rPr>
          <w:b/>
          <w:bCs w:val="0"/>
        </w:rPr>
        <w:t xml:space="preserve"> </w:t>
      </w:r>
      <w:r w:rsidRPr="00710E6A">
        <w:rPr>
          <w:b/>
          <w:bCs w:val="0"/>
        </w:rPr>
        <w:t>complaints</w:t>
      </w:r>
      <w:bookmarkEnd w:id="71"/>
    </w:p>
    <w:p w14:paraId="7057C8A3" w14:textId="2D226D3E" w:rsidR="00A67DBD" w:rsidRDefault="000A390C">
      <w:pPr>
        <w:pStyle w:val="ListNumber"/>
        <w:rPr>
          <w:rFonts w:cs="Open Sans"/>
        </w:rPr>
      </w:pPr>
      <w:r w:rsidRPr="003F4CE1">
        <w:rPr>
          <w:rFonts w:cs="Open Sans"/>
        </w:rPr>
        <w:t>If</w:t>
      </w:r>
      <w:r w:rsidR="00573BA7">
        <w:rPr>
          <w:rFonts w:cs="Open Sans"/>
        </w:rPr>
        <w:t xml:space="preserve"> </w:t>
      </w:r>
      <w:r w:rsidRPr="003F4CE1">
        <w:rPr>
          <w:rFonts w:cs="Open Sans"/>
        </w:rPr>
        <w:t>a</w:t>
      </w:r>
      <w:r w:rsidR="00573BA7">
        <w:rPr>
          <w:rFonts w:cs="Open Sans"/>
        </w:rPr>
        <w:t xml:space="preserve"> </w:t>
      </w:r>
      <w:r w:rsidRPr="003F4CE1">
        <w:rPr>
          <w:rFonts w:cs="Open Sans"/>
        </w:rPr>
        <w:t>person</w:t>
      </w:r>
      <w:r w:rsidR="00573BA7">
        <w:rPr>
          <w:rFonts w:cs="Open Sans"/>
        </w:rPr>
        <w:t xml:space="preserve"> </w:t>
      </w:r>
      <w:r w:rsidRPr="003F4CE1">
        <w:rPr>
          <w:rFonts w:cs="Open Sans"/>
        </w:rPr>
        <w:t>experiences</w:t>
      </w:r>
      <w:r w:rsidR="00573BA7">
        <w:rPr>
          <w:rFonts w:cs="Open Sans"/>
        </w:rPr>
        <w:t xml:space="preserve"> </w:t>
      </w:r>
      <w:r w:rsidR="00AB028E" w:rsidRPr="003F4CE1">
        <w:rPr>
          <w:rFonts w:cs="Open Sans"/>
        </w:rPr>
        <w:t>discrimination</w:t>
      </w:r>
      <w:r w:rsidR="00573BA7">
        <w:rPr>
          <w:rFonts w:cs="Open Sans"/>
        </w:rPr>
        <w:t xml:space="preserve"> </w:t>
      </w:r>
      <w:r w:rsidR="00AB028E" w:rsidRPr="003F4CE1">
        <w:rPr>
          <w:rFonts w:cs="Open Sans"/>
        </w:rPr>
        <w:t>in</w:t>
      </w:r>
      <w:r w:rsidR="00573BA7">
        <w:rPr>
          <w:rFonts w:cs="Open Sans"/>
        </w:rPr>
        <w:t xml:space="preserve"> </w:t>
      </w:r>
      <w:r w:rsidRPr="003F4CE1">
        <w:rPr>
          <w:rFonts w:cs="Open Sans"/>
        </w:rPr>
        <w:t>employment</w:t>
      </w:r>
      <w:r w:rsidR="00573BA7">
        <w:rPr>
          <w:rFonts w:cs="Open Sans"/>
        </w:rPr>
        <w:t xml:space="preserve"> </w:t>
      </w:r>
      <w:r w:rsidRPr="003F4CE1">
        <w:rPr>
          <w:rFonts w:cs="Open Sans"/>
        </w:rPr>
        <w:t>under</w:t>
      </w:r>
      <w:r w:rsidR="00573BA7">
        <w:rPr>
          <w:rFonts w:cs="Open Sans"/>
        </w:rPr>
        <w:t xml:space="preserve"> </w:t>
      </w:r>
      <w:r w:rsidR="00AB028E" w:rsidRPr="003F4CE1">
        <w:rPr>
          <w:rFonts w:cs="Open Sans"/>
        </w:rPr>
        <w:t>the</w:t>
      </w:r>
      <w:r w:rsidR="00573BA7">
        <w:rPr>
          <w:rFonts w:cs="Open Sans"/>
        </w:rPr>
        <w:t xml:space="preserve"> </w:t>
      </w:r>
      <w:r w:rsidR="00AB028E" w:rsidRPr="003F4CE1">
        <w:rPr>
          <w:rFonts w:cs="Open Sans"/>
        </w:rPr>
        <w:t>Disability</w:t>
      </w:r>
      <w:r w:rsidR="00573BA7">
        <w:rPr>
          <w:rFonts w:cs="Open Sans"/>
        </w:rPr>
        <w:t xml:space="preserve"> </w:t>
      </w:r>
      <w:r w:rsidR="00AB028E" w:rsidRPr="003F4CE1">
        <w:rPr>
          <w:rFonts w:cs="Open Sans"/>
        </w:rPr>
        <w:t>Discrimination</w:t>
      </w:r>
      <w:r w:rsidR="00573BA7">
        <w:rPr>
          <w:rFonts w:cs="Open Sans"/>
        </w:rPr>
        <w:t xml:space="preserve"> </w:t>
      </w:r>
      <w:r w:rsidR="00AB028E" w:rsidRPr="003F4CE1">
        <w:rPr>
          <w:rFonts w:cs="Open Sans"/>
        </w:rPr>
        <w:t>Act</w:t>
      </w:r>
      <w:r w:rsidRPr="003F4CE1">
        <w:rPr>
          <w:rFonts w:cs="Open Sans"/>
        </w:rPr>
        <w:t>,</w:t>
      </w:r>
      <w:r w:rsidR="00573BA7">
        <w:rPr>
          <w:rFonts w:cs="Open Sans"/>
        </w:rPr>
        <w:t xml:space="preserve"> </w:t>
      </w:r>
      <w:r w:rsidR="00015C12" w:rsidRPr="003F4CE1">
        <w:rPr>
          <w:rFonts w:cs="Open Sans"/>
        </w:rPr>
        <w:t>the</w:t>
      </w:r>
      <w:r w:rsidR="00573BA7">
        <w:rPr>
          <w:rFonts w:cs="Open Sans"/>
        </w:rPr>
        <w:t xml:space="preserve"> </w:t>
      </w:r>
      <w:r w:rsidR="00015C12" w:rsidRPr="003F4CE1">
        <w:rPr>
          <w:rFonts w:cs="Open Sans"/>
        </w:rPr>
        <w:t>onus</w:t>
      </w:r>
      <w:r w:rsidR="00573BA7">
        <w:rPr>
          <w:rFonts w:cs="Open Sans"/>
        </w:rPr>
        <w:t xml:space="preserve"> </w:t>
      </w:r>
      <w:r w:rsidR="00015C12" w:rsidRPr="003F4CE1">
        <w:rPr>
          <w:rFonts w:cs="Open Sans"/>
        </w:rPr>
        <w:t>is</w:t>
      </w:r>
      <w:r w:rsidR="00573BA7">
        <w:rPr>
          <w:rFonts w:cs="Open Sans"/>
        </w:rPr>
        <w:t xml:space="preserve"> </w:t>
      </w:r>
      <w:r w:rsidR="00015C12" w:rsidRPr="003F4CE1">
        <w:rPr>
          <w:rFonts w:cs="Open Sans"/>
        </w:rPr>
        <w:t>on</w:t>
      </w:r>
      <w:r w:rsidR="00573BA7">
        <w:rPr>
          <w:rFonts w:cs="Open Sans"/>
        </w:rPr>
        <w:t xml:space="preserve"> </w:t>
      </w:r>
      <w:r w:rsidR="00015C12" w:rsidRPr="003F4CE1">
        <w:rPr>
          <w:rFonts w:cs="Open Sans"/>
        </w:rPr>
        <w:t>that</w:t>
      </w:r>
      <w:r w:rsidR="00573BA7">
        <w:rPr>
          <w:rFonts w:cs="Open Sans"/>
        </w:rPr>
        <w:t xml:space="preserve"> </w:t>
      </w:r>
      <w:r w:rsidR="00015C12" w:rsidRPr="003F4CE1">
        <w:rPr>
          <w:rFonts w:cs="Open Sans"/>
        </w:rPr>
        <w:t>person</w:t>
      </w:r>
      <w:r w:rsidR="00573BA7">
        <w:rPr>
          <w:rFonts w:cs="Open Sans"/>
        </w:rPr>
        <w:t xml:space="preserve"> </w:t>
      </w:r>
      <w:r w:rsidR="00015C12" w:rsidRPr="003F4CE1">
        <w:rPr>
          <w:rFonts w:cs="Open Sans"/>
        </w:rPr>
        <w:t>to</w:t>
      </w:r>
      <w:r w:rsidR="00573BA7">
        <w:rPr>
          <w:rFonts w:cs="Open Sans"/>
        </w:rPr>
        <w:t xml:space="preserve"> </w:t>
      </w:r>
      <w:r w:rsidRPr="003F4CE1">
        <w:rPr>
          <w:rFonts w:cs="Open Sans"/>
        </w:rPr>
        <w:t>bring</w:t>
      </w:r>
      <w:r w:rsidR="00573BA7">
        <w:rPr>
          <w:rFonts w:cs="Open Sans"/>
        </w:rPr>
        <w:t xml:space="preserve"> </w:t>
      </w:r>
      <w:r w:rsidRPr="003F4CE1">
        <w:rPr>
          <w:rFonts w:cs="Open Sans"/>
        </w:rPr>
        <w:t>a</w:t>
      </w:r>
      <w:r w:rsidR="00573BA7">
        <w:rPr>
          <w:rFonts w:cs="Open Sans"/>
        </w:rPr>
        <w:t xml:space="preserve"> </w:t>
      </w:r>
      <w:r w:rsidRPr="003F4CE1">
        <w:rPr>
          <w:rFonts w:cs="Open Sans"/>
        </w:rPr>
        <w:t>complaint</w:t>
      </w:r>
      <w:r w:rsidR="00573BA7">
        <w:rPr>
          <w:rFonts w:cs="Open Sans"/>
        </w:rPr>
        <w:t xml:space="preserve"> </w:t>
      </w:r>
      <w:r w:rsidRPr="003F4CE1">
        <w:rPr>
          <w:rFonts w:cs="Open Sans"/>
        </w:rPr>
        <w:t>or</w:t>
      </w:r>
      <w:r w:rsidR="00573BA7">
        <w:rPr>
          <w:rFonts w:cs="Open Sans"/>
        </w:rPr>
        <w:t xml:space="preserve"> </w:t>
      </w:r>
      <w:r w:rsidRPr="003F4CE1">
        <w:rPr>
          <w:rFonts w:cs="Open Sans"/>
        </w:rPr>
        <w:t>court</w:t>
      </w:r>
      <w:r w:rsidR="00573BA7">
        <w:rPr>
          <w:rFonts w:cs="Open Sans"/>
        </w:rPr>
        <w:t xml:space="preserve"> </w:t>
      </w:r>
      <w:r w:rsidR="00AB028E" w:rsidRPr="003F4CE1">
        <w:rPr>
          <w:rFonts w:cs="Open Sans"/>
        </w:rPr>
        <w:t>action</w:t>
      </w:r>
      <w:r w:rsidR="00573BA7">
        <w:rPr>
          <w:rFonts w:cs="Open Sans"/>
        </w:rPr>
        <w:t xml:space="preserve"> </w:t>
      </w:r>
      <w:r w:rsidRPr="003F4CE1">
        <w:rPr>
          <w:rFonts w:cs="Open Sans"/>
        </w:rPr>
        <w:t>to</w:t>
      </w:r>
      <w:r w:rsidR="00573BA7">
        <w:rPr>
          <w:rFonts w:cs="Open Sans"/>
        </w:rPr>
        <w:t xml:space="preserve"> </w:t>
      </w:r>
      <w:r w:rsidRPr="003F4CE1">
        <w:rPr>
          <w:rFonts w:cs="Open Sans"/>
        </w:rPr>
        <w:t>enforce</w:t>
      </w:r>
      <w:r w:rsidR="00573BA7">
        <w:rPr>
          <w:rFonts w:cs="Open Sans"/>
        </w:rPr>
        <w:t xml:space="preserve"> </w:t>
      </w:r>
      <w:r w:rsidR="00015C12" w:rsidRPr="003F4CE1">
        <w:rPr>
          <w:rFonts w:cs="Open Sans"/>
        </w:rPr>
        <w:t>their</w:t>
      </w:r>
      <w:r w:rsidR="00573BA7">
        <w:rPr>
          <w:rFonts w:cs="Open Sans"/>
        </w:rPr>
        <w:t xml:space="preserve"> </w:t>
      </w:r>
      <w:r w:rsidR="00015C12" w:rsidRPr="003F4CE1">
        <w:rPr>
          <w:rFonts w:cs="Open Sans"/>
        </w:rPr>
        <w:t>rights</w:t>
      </w:r>
      <w:r w:rsidR="00AB028E" w:rsidRPr="003F4CE1">
        <w:rPr>
          <w:rFonts w:cs="Open Sans"/>
        </w:rPr>
        <w:t>.</w:t>
      </w:r>
      <w:r w:rsidR="00573BA7">
        <w:rPr>
          <w:rFonts w:cs="Open Sans"/>
        </w:rPr>
        <w:t xml:space="preserve"> </w:t>
      </w:r>
      <w:r w:rsidR="00A67DBD">
        <w:rPr>
          <w:rFonts w:cs="Open Sans"/>
        </w:rPr>
        <w:t xml:space="preserve">Further, while </w:t>
      </w:r>
      <w:r w:rsidR="00A67DBD" w:rsidRPr="00A67DBD">
        <w:rPr>
          <w:rFonts w:cs="Open Sans"/>
        </w:rPr>
        <w:t>organisations or persons</w:t>
      </w:r>
      <w:r w:rsidR="00A67DBD">
        <w:rPr>
          <w:rFonts w:cs="Open Sans"/>
        </w:rPr>
        <w:t xml:space="preserve"> other than </w:t>
      </w:r>
      <w:r w:rsidR="00490A94">
        <w:rPr>
          <w:rFonts w:cs="Open Sans"/>
        </w:rPr>
        <w:t xml:space="preserve">an </w:t>
      </w:r>
      <w:r w:rsidR="00A67DBD">
        <w:rPr>
          <w:rFonts w:cs="Open Sans"/>
        </w:rPr>
        <w:t>affected person</w:t>
      </w:r>
      <w:r w:rsidR="00A67DBD" w:rsidRPr="00A67DBD">
        <w:rPr>
          <w:rFonts w:cs="Open Sans"/>
        </w:rPr>
        <w:t xml:space="preserve"> can make anti-discrimination complaints to the Commission, only </w:t>
      </w:r>
      <w:r w:rsidR="00490A94">
        <w:rPr>
          <w:rFonts w:cs="Open Sans"/>
        </w:rPr>
        <w:t xml:space="preserve">a </w:t>
      </w:r>
      <w:r w:rsidR="00A67DBD" w:rsidRPr="00A67DBD">
        <w:rPr>
          <w:rFonts w:cs="Open Sans"/>
        </w:rPr>
        <w:t xml:space="preserve">person </w:t>
      </w:r>
      <w:r w:rsidR="00490A94">
        <w:rPr>
          <w:rFonts w:cs="Open Sans"/>
        </w:rPr>
        <w:t>on whose behalf the complaint was lodged</w:t>
      </w:r>
      <w:r w:rsidR="00A67DBD" w:rsidRPr="00A67DBD">
        <w:rPr>
          <w:rFonts w:cs="Open Sans"/>
        </w:rPr>
        <w:t xml:space="preserve"> has standing to bring anti-discrimination proceedings to court if the complaint does not resolve at the Commission.</w:t>
      </w:r>
      <w:r w:rsidR="00A67DBD" w:rsidRPr="003F4CE1">
        <w:rPr>
          <w:rStyle w:val="EndnoteReference"/>
          <w:rFonts w:cs="Open Sans"/>
        </w:rPr>
        <w:endnoteReference w:id="149"/>
      </w:r>
      <w:r w:rsidR="00A67DBD" w:rsidRPr="00A67DBD">
        <w:rPr>
          <w:rFonts w:cs="Open Sans"/>
        </w:rPr>
        <w:t xml:space="preserve"> </w:t>
      </w:r>
    </w:p>
    <w:p w14:paraId="466CE1B1" w14:textId="7C7688DB" w:rsidR="00AA525A" w:rsidRPr="004D1CBF" w:rsidRDefault="00AB028E" w:rsidP="008A7EB0">
      <w:pPr>
        <w:pStyle w:val="ListNumber"/>
        <w:rPr>
          <w:rFonts w:cs="Open Sans"/>
        </w:rPr>
      </w:pPr>
      <w:r w:rsidRPr="004D1CBF">
        <w:rPr>
          <w:rFonts w:cs="Open Sans"/>
        </w:rPr>
        <w:t>This</w:t>
      </w:r>
      <w:r w:rsidR="00573BA7" w:rsidRPr="004D1CBF">
        <w:rPr>
          <w:rFonts w:cs="Open Sans"/>
        </w:rPr>
        <w:t xml:space="preserve"> </w:t>
      </w:r>
      <w:r w:rsidRPr="004D1CBF">
        <w:rPr>
          <w:rFonts w:cs="Open Sans"/>
        </w:rPr>
        <w:t>complaints-based</w:t>
      </w:r>
      <w:r w:rsidR="00573BA7" w:rsidRPr="004D1CBF">
        <w:rPr>
          <w:rFonts w:cs="Open Sans"/>
        </w:rPr>
        <w:t xml:space="preserve"> </w:t>
      </w:r>
      <w:r w:rsidRPr="004D1CBF">
        <w:rPr>
          <w:rFonts w:cs="Open Sans"/>
        </w:rPr>
        <w:t>model</w:t>
      </w:r>
      <w:r w:rsidR="00573BA7" w:rsidRPr="004D1CBF">
        <w:rPr>
          <w:rFonts w:cs="Open Sans"/>
        </w:rPr>
        <w:t xml:space="preserve"> </w:t>
      </w:r>
      <w:r w:rsidRPr="004D1CBF">
        <w:rPr>
          <w:rFonts w:cs="Open Sans"/>
        </w:rPr>
        <w:t>was</w:t>
      </w:r>
      <w:r w:rsidR="00573BA7" w:rsidRPr="004D1CBF">
        <w:rPr>
          <w:rFonts w:cs="Open Sans"/>
        </w:rPr>
        <w:t xml:space="preserve"> </w:t>
      </w:r>
      <w:r w:rsidR="004D1CBF" w:rsidRPr="004D1CBF">
        <w:rPr>
          <w:rFonts w:cs="Open Sans"/>
        </w:rPr>
        <w:t>highlighted</w:t>
      </w:r>
      <w:r w:rsidR="00573BA7" w:rsidRPr="004D1CBF">
        <w:rPr>
          <w:rFonts w:cs="Open Sans"/>
        </w:rPr>
        <w:t xml:space="preserve"> </w:t>
      </w:r>
      <w:r w:rsidRPr="004D1CBF">
        <w:rPr>
          <w:rFonts w:cs="Open Sans"/>
        </w:rPr>
        <w:t>in</w:t>
      </w:r>
      <w:r w:rsidR="00573BA7" w:rsidRPr="004D1CBF">
        <w:rPr>
          <w:rFonts w:cs="Open Sans"/>
        </w:rPr>
        <w:t xml:space="preserve"> </w:t>
      </w:r>
      <w:r w:rsidR="00245F33">
        <w:rPr>
          <w:rFonts w:cs="Open Sans"/>
        </w:rPr>
        <w:t>Willing to Work</w:t>
      </w:r>
      <w:r w:rsidR="00573BA7" w:rsidRPr="004D1CBF">
        <w:rPr>
          <w:rFonts w:cs="Open Sans"/>
        </w:rPr>
        <w:t xml:space="preserve"> </w:t>
      </w:r>
      <w:r w:rsidRPr="004D1CBF">
        <w:rPr>
          <w:rFonts w:cs="Open Sans"/>
        </w:rPr>
        <w:t>as</w:t>
      </w:r>
      <w:r w:rsidR="00573BA7" w:rsidRPr="004D1CBF">
        <w:rPr>
          <w:rFonts w:cs="Open Sans"/>
        </w:rPr>
        <w:t xml:space="preserve"> </w:t>
      </w:r>
      <w:r w:rsidRPr="004D1CBF">
        <w:rPr>
          <w:rFonts w:cs="Open Sans"/>
        </w:rPr>
        <w:t>a</w:t>
      </w:r>
      <w:r w:rsidR="00573BA7" w:rsidRPr="004D1CBF">
        <w:rPr>
          <w:rFonts w:cs="Open Sans"/>
        </w:rPr>
        <w:t xml:space="preserve"> </w:t>
      </w:r>
      <w:r w:rsidRPr="004D1CBF">
        <w:rPr>
          <w:rFonts w:cs="Open Sans"/>
        </w:rPr>
        <w:t>significant</w:t>
      </w:r>
      <w:r w:rsidR="00573BA7" w:rsidRPr="004D1CBF">
        <w:rPr>
          <w:rFonts w:cs="Open Sans"/>
        </w:rPr>
        <w:t xml:space="preserve"> </w:t>
      </w:r>
      <w:r w:rsidR="00324D79">
        <w:rPr>
          <w:rFonts w:cs="Open Sans"/>
        </w:rPr>
        <w:t>limitation on</w:t>
      </w:r>
      <w:r w:rsidR="00573BA7" w:rsidRPr="004D1CBF">
        <w:rPr>
          <w:rFonts w:cs="Open Sans"/>
        </w:rPr>
        <w:t xml:space="preserve"> </w:t>
      </w:r>
      <w:r w:rsidR="00A7273F" w:rsidRPr="004D1CBF">
        <w:rPr>
          <w:rFonts w:cs="Open Sans"/>
        </w:rPr>
        <w:t>access</w:t>
      </w:r>
      <w:r w:rsidR="00573BA7" w:rsidRPr="004D1CBF">
        <w:rPr>
          <w:rFonts w:cs="Open Sans"/>
        </w:rPr>
        <w:t xml:space="preserve"> </w:t>
      </w:r>
      <w:r w:rsidR="00A7273F" w:rsidRPr="004D1CBF">
        <w:rPr>
          <w:rFonts w:cs="Open Sans"/>
        </w:rPr>
        <w:t>to</w:t>
      </w:r>
      <w:r w:rsidR="00573BA7" w:rsidRPr="004D1CBF">
        <w:rPr>
          <w:rFonts w:cs="Open Sans"/>
        </w:rPr>
        <w:t xml:space="preserve"> </w:t>
      </w:r>
      <w:r w:rsidR="00A7273F" w:rsidRPr="004D1CBF">
        <w:rPr>
          <w:rFonts w:cs="Open Sans"/>
        </w:rPr>
        <w:t>justice</w:t>
      </w:r>
      <w:r w:rsidR="00573BA7" w:rsidRPr="004D1CBF">
        <w:rPr>
          <w:rFonts w:cs="Open Sans"/>
        </w:rPr>
        <w:t xml:space="preserve"> </w:t>
      </w:r>
      <w:r w:rsidR="00A7273F" w:rsidRPr="004D1CBF">
        <w:rPr>
          <w:rFonts w:cs="Open Sans"/>
        </w:rPr>
        <w:t>for</w:t>
      </w:r>
      <w:r w:rsidR="00573BA7" w:rsidRPr="004D1CBF">
        <w:rPr>
          <w:rFonts w:cs="Open Sans"/>
        </w:rPr>
        <w:t xml:space="preserve"> </w:t>
      </w:r>
      <w:r w:rsidR="00A7273F" w:rsidRPr="004D1CBF">
        <w:rPr>
          <w:rFonts w:cs="Open Sans"/>
        </w:rPr>
        <w:t>people</w:t>
      </w:r>
      <w:r w:rsidR="00573BA7" w:rsidRPr="004D1CBF">
        <w:rPr>
          <w:rFonts w:cs="Open Sans"/>
        </w:rPr>
        <w:t xml:space="preserve"> </w:t>
      </w:r>
      <w:r w:rsidR="00A7273F" w:rsidRPr="004D1CBF">
        <w:rPr>
          <w:rFonts w:cs="Open Sans"/>
        </w:rPr>
        <w:t>with</w:t>
      </w:r>
      <w:r w:rsidR="00573BA7" w:rsidRPr="004D1CBF">
        <w:rPr>
          <w:rFonts w:cs="Open Sans"/>
        </w:rPr>
        <w:t xml:space="preserve"> </w:t>
      </w:r>
      <w:r w:rsidR="00A7273F" w:rsidRPr="004D1CBF">
        <w:rPr>
          <w:rFonts w:cs="Open Sans"/>
        </w:rPr>
        <w:t>disability.</w:t>
      </w:r>
      <w:r w:rsidR="001E3740" w:rsidRPr="003F4CE1">
        <w:rPr>
          <w:rStyle w:val="EndnoteReference"/>
          <w:rFonts w:cs="Open Sans"/>
        </w:rPr>
        <w:endnoteReference w:id="150"/>
      </w:r>
      <w:r w:rsidR="00573BA7" w:rsidRPr="004D1CBF">
        <w:rPr>
          <w:rFonts w:cs="Open Sans"/>
        </w:rPr>
        <w:t xml:space="preserve"> </w:t>
      </w:r>
      <w:r w:rsidR="001D1F12" w:rsidRPr="004D1CBF">
        <w:rPr>
          <w:rFonts w:cs="Open Sans"/>
        </w:rPr>
        <w:t xml:space="preserve">The Commission is concerned that </w:t>
      </w:r>
      <w:r w:rsidR="0021033B">
        <w:rPr>
          <w:rFonts w:cs="Open Sans"/>
        </w:rPr>
        <w:t>the complexity of the current model</w:t>
      </w:r>
      <w:r w:rsidR="001D1F12" w:rsidRPr="004D1CBF">
        <w:rPr>
          <w:rFonts w:cs="Open Sans"/>
        </w:rPr>
        <w:t xml:space="preserve"> may </w:t>
      </w:r>
      <w:r w:rsidR="007411FF" w:rsidRPr="004D1CBF">
        <w:rPr>
          <w:rFonts w:cs="Open Sans"/>
        </w:rPr>
        <w:t>limit Australia’s ability to effectively implement its obligations under Article 5(1) of the CRPD</w:t>
      </w:r>
      <w:r w:rsidR="000D4DCF">
        <w:rPr>
          <w:rFonts w:cs="Open Sans"/>
        </w:rPr>
        <w:t xml:space="preserve"> to </w:t>
      </w:r>
      <w:r w:rsidR="000D4DCF" w:rsidRPr="000D4DCF">
        <w:rPr>
          <w:rFonts w:cs="Open Sans"/>
        </w:rPr>
        <w:t>eliminate barriers to gaining access to all of the protections of the law</w:t>
      </w:r>
      <w:r w:rsidR="000D4DCF">
        <w:rPr>
          <w:rFonts w:cs="Open Sans"/>
        </w:rPr>
        <w:t xml:space="preserve">, </w:t>
      </w:r>
      <w:r w:rsidR="002D58F1">
        <w:rPr>
          <w:rFonts w:cs="Open Sans"/>
        </w:rPr>
        <w:t xml:space="preserve">and </w:t>
      </w:r>
      <w:r w:rsidR="00175E7A">
        <w:rPr>
          <w:rFonts w:cs="Open Sans"/>
        </w:rPr>
        <w:t xml:space="preserve">under </w:t>
      </w:r>
      <w:r w:rsidR="002D58F1">
        <w:rPr>
          <w:rFonts w:cs="Open Sans"/>
        </w:rPr>
        <w:t>Article 13 to provide access to justice</w:t>
      </w:r>
      <w:r w:rsidR="002A0241">
        <w:rPr>
          <w:rFonts w:cs="Open Sans"/>
        </w:rPr>
        <w:t>.</w:t>
      </w:r>
      <w:r w:rsidR="004B6CDA">
        <w:rPr>
          <w:rStyle w:val="EndnoteReference"/>
        </w:rPr>
        <w:endnoteReference w:id="151"/>
      </w:r>
      <w:r w:rsidR="004B6CDA" w:rsidRPr="004D1CBF">
        <w:rPr>
          <w:rFonts w:cs="Open Sans"/>
        </w:rPr>
        <w:t xml:space="preserve"> </w:t>
      </w:r>
    </w:p>
    <w:p w14:paraId="4EDE8BCE" w14:textId="0107F072" w:rsidR="0030332F" w:rsidRPr="003F4CE1" w:rsidRDefault="00950840" w:rsidP="00662F4B">
      <w:pPr>
        <w:pStyle w:val="ListNumber"/>
        <w:rPr>
          <w:rFonts w:cs="Open Sans"/>
        </w:rPr>
      </w:pPr>
      <w:r>
        <w:rPr>
          <w:rFonts w:cs="Open Sans"/>
        </w:rPr>
        <w:t>I</w:t>
      </w:r>
      <w:r w:rsidR="00AB028E" w:rsidRPr="003F4CE1">
        <w:rPr>
          <w:rFonts w:cs="Open Sans"/>
        </w:rPr>
        <w:t>mprov</w:t>
      </w:r>
      <w:r>
        <w:rPr>
          <w:rFonts w:cs="Open Sans"/>
        </w:rPr>
        <w:t>ing</w:t>
      </w:r>
      <w:r w:rsidR="00573BA7">
        <w:rPr>
          <w:rFonts w:cs="Open Sans"/>
        </w:rPr>
        <w:t xml:space="preserve"> </w:t>
      </w:r>
      <w:r w:rsidR="00AB028E" w:rsidRPr="003F4CE1">
        <w:rPr>
          <w:rFonts w:cs="Open Sans"/>
        </w:rPr>
        <w:t>the</w:t>
      </w:r>
      <w:r w:rsidR="00573BA7">
        <w:rPr>
          <w:rFonts w:cs="Open Sans"/>
        </w:rPr>
        <w:t xml:space="preserve"> </w:t>
      </w:r>
      <w:r w:rsidR="00AB028E" w:rsidRPr="003F4CE1">
        <w:rPr>
          <w:rFonts w:cs="Open Sans"/>
        </w:rPr>
        <w:t>ability</w:t>
      </w:r>
      <w:r w:rsidR="00573BA7">
        <w:rPr>
          <w:rFonts w:cs="Open Sans"/>
        </w:rPr>
        <w:t xml:space="preserve"> </w:t>
      </w:r>
      <w:r w:rsidR="00AB028E" w:rsidRPr="003F4CE1">
        <w:rPr>
          <w:rFonts w:cs="Open Sans"/>
        </w:rPr>
        <w:t>of</w:t>
      </w:r>
      <w:r w:rsidR="00573BA7">
        <w:rPr>
          <w:rFonts w:cs="Open Sans"/>
        </w:rPr>
        <w:t xml:space="preserve"> </w:t>
      </w:r>
      <w:r w:rsidR="00AB028E" w:rsidRPr="003F4CE1">
        <w:rPr>
          <w:rFonts w:cs="Open Sans"/>
        </w:rPr>
        <w:t>organisations</w:t>
      </w:r>
      <w:r w:rsidR="00573BA7">
        <w:rPr>
          <w:rFonts w:cs="Open Sans"/>
        </w:rPr>
        <w:t xml:space="preserve"> </w:t>
      </w:r>
      <w:r w:rsidR="00AB028E" w:rsidRPr="003F4CE1">
        <w:rPr>
          <w:rFonts w:cs="Open Sans"/>
        </w:rPr>
        <w:t>to</w:t>
      </w:r>
      <w:r w:rsidR="00573BA7">
        <w:rPr>
          <w:rFonts w:cs="Open Sans"/>
        </w:rPr>
        <w:t xml:space="preserve"> </w:t>
      </w:r>
      <w:r w:rsidR="00712EFE">
        <w:rPr>
          <w:rFonts w:cs="Open Sans"/>
        </w:rPr>
        <w:t xml:space="preserve">bring court proceedings </w:t>
      </w:r>
      <w:r w:rsidR="00AB028E" w:rsidRPr="003F4CE1">
        <w:rPr>
          <w:rFonts w:cs="Open Sans"/>
        </w:rPr>
        <w:t>on</w:t>
      </w:r>
      <w:r w:rsidR="00573BA7">
        <w:rPr>
          <w:rFonts w:cs="Open Sans"/>
        </w:rPr>
        <w:t xml:space="preserve"> </w:t>
      </w:r>
      <w:r w:rsidR="00AB028E" w:rsidRPr="003F4CE1">
        <w:rPr>
          <w:rFonts w:cs="Open Sans"/>
        </w:rPr>
        <w:t>behalf</w:t>
      </w:r>
      <w:r w:rsidR="00573BA7">
        <w:rPr>
          <w:rFonts w:cs="Open Sans"/>
        </w:rPr>
        <w:t xml:space="preserve"> </w:t>
      </w:r>
      <w:r w:rsidR="00AB028E" w:rsidRPr="003F4CE1">
        <w:rPr>
          <w:rFonts w:cs="Open Sans"/>
        </w:rPr>
        <w:t>of</w:t>
      </w:r>
      <w:r w:rsidR="00573BA7">
        <w:rPr>
          <w:rFonts w:cs="Open Sans"/>
        </w:rPr>
        <w:t xml:space="preserve"> </w:t>
      </w:r>
      <w:r>
        <w:rPr>
          <w:rFonts w:cs="Open Sans"/>
        </w:rPr>
        <w:t xml:space="preserve">an affected person may assist Australia in complying with these </w:t>
      </w:r>
      <w:r>
        <w:rPr>
          <w:rFonts w:cs="Open Sans"/>
        </w:rPr>
        <w:lastRenderedPageBreak/>
        <w:t>obligations</w:t>
      </w:r>
      <w:r w:rsidR="0065223C" w:rsidRPr="003F4CE1">
        <w:rPr>
          <w:rFonts w:cs="Open Sans"/>
        </w:rPr>
        <w:t>.</w:t>
      </w:r>
      <w:r w:rsidR="00573BA7">
        <w:rPr>
          <w:rFonts w:cs="Open Sans"/>
        </w:rPr>
        <w:t xml:space="preserve"> </w:t>
      </w:r>
      <w:r w:rsidR="0065223C" w:rsidRPr="003F4CE1">
        <w:rPr>
          <w:rFonts w:cs="Open Sans"/>
        </w:rPr>
        <w:t>R</w:t>
      </w:r>
      <w:r w:rsidR="00AB028E" w:rsidRPr="003F4CE1">
        <w:rPr>
          <w:rFonts w:cs="Open Sans"/>
        </w:rPr>
        <w:t>eforms</w:t>
      </w:r>
      <w:r w:rsidR="00573BA7">
        <w:rPr>
          <w:rFonts w:cs="Open Sans"/>
        </w:rPr>
        <w:t xml:space="preserve"> </w:t>
      </w:r>
      <w:r w:rsidR="00AB028E" w:rsidRPr="003F4CE1">
        <w:rPr>
          <w:rFonts w:cs="Open Sans"/>
        </w:rPr>
        <w:t>to</w:t>
      </w:r>
      <w:r w:rsidR="00573BA7">
        <w:rPr>
          <w:rFonts w:cs="Open Sans"/>
        </w:rPr>
        <w:t xml:space="preserve"> </w:t>
      </w:r>
      <w:r w:rsidR="00AB028E" w:rsidRPr="003F4CE1">
        <w:rPr>
          <w:rFonts w:cs="Open Sans"/>
        </w:rPr>
        <w:t>anti-discrimination</w:t>
      </w:r>
      <w:r w:rsidR="00573BA7">
        <w:rPr>
          <w:rFonts w:cs="Open Sans"/>
        </w:rPr>
        <w:t xml:space="preserve"> </w:t>
      </w:r>
      <w:r w:rsidR="00AB028E" w:rsidRPr="003F4CE1">
        <w:rPr>
          <w:rFonts w:cs="Open Sans"/>
        </w:rPr>
        <w:t>standing</w:t>
      </w:r>
      <w:r w:rsidR="00573BA7">
        <w:rPr>
          <w:rFonts w:cs="Open Sans"/>
        </w:rPr>
        <w:t xml:space="preserve"> </w:t>
      </w:r>
      <w:r w:rsidR="00AB028E" w:rsidRPr="003F4CE1">
        <w:rPr>
          <w:rFonts w:cs="Open Sans"/>
        </w:rPr>
        <w:t>requirements</w:t>
      </w:r>
      <w:r w:rsidR="00573BA7">
        <w:rPr>
          <w:rFonts w:cs="Open Sans"/>
        </w:rPr>
        <w:t xml:space="preserve"> </w:t>
      </w:r>
      <w:r w:rsidR="00892FC0">
        <w:rPr>
          <w:rFonts w:cs="Open Sans"/>
        </w:rPr>
        <w:t>were</w:t>
      </w:r>
      <w:r w:rsidR="00573BA7">
        <w:rPr>
          <w:rFonts w:cs="Open Sans"/>
        </w:rPr>
        <w:t xml:space="preserve"> </w:t>
      </w:r>
      <w:r w:rsidR="00AB028E" w:rsidRPr="003F4CE1">
        <w:rPr>
          <w:rFonts w:cs="Open Sans"/>
        </w:rPr>
        <w:t>recommended</w:t>
      </w:r>
      <w:r w:rsidR="00573BA7">
        <w:rPr>
          <w:rFonts w:cs="Open Sans"/>
        </w:rPr>
        <w:t xml:space="preserve"> </w:t>
      </w:r>
      <w:r w:rsidR="00AB028E" w:rsidRPr="003F4CE1">
        <w:rPr>
          <w:rFonts w:cs="Open Sans"/>
        </w:rPr>
        <w:t>by</w:t>
      </w:r>
      <w:r w:rsidR="00573BA7">
        <w:rPr>
          <w:rFonts w:cs="Open Sans"/>
        </w:rPr>
        <w:t xml:space="preserve"> </w:t>
      </w:r>
      <w:r w:rsidR="00AB028E" w:rsidRPr="003F4CE1">
        <w:rPr>
          <w:rFonts w:cs="Open Sans"/>
        </w:rPr>
        <w:t>the</w:t>
      </w:r>
      <w:r w:rsidR="00573BA7">
        <w:rPr>
          <w:rFonts w:cs="Open Sans"/>
        </w:rPr>
        <w:t xml:space="preserve"> </w:t>
      </w:r>
      <w:r w:rsidR="00AB028E" w:rsidRPr="003F4CE1">
        <w:rPr>
          <w:rFonts w:cs="Open Sans"/>
        </w:rPr>
        <w:t>Productivity</w:t>
      </w:r>
      <w:r w:rsidR="00573BA7">
        <w:rPr>
          <w:rFonts w:cs="Open Sans"/>
        </w:rPr>
        <w:t xml:space="preserve"> </w:t>
      </w:r>
      <w:r w:rsidR="00AB028E" w:rsidRPr="003F4CE1">
        <w:rPr>
          <w:rFonts w:cs="Open Sans"/>
        </w:rPr>
        <w:t>Commission</w:t>
      </w:r>
      <w:r w:rsidR="00573BA7">
        <w:rPr>
          <w:rFonts w:cs="Open Sans"/>
        </w:rPr>
        <w:t xml:space="preserve"> </w:t>
      </w:r>
      <w:r w:rsidR="00AB028E" w:rsidRPr="003F4CE1">
        <w:rPr>
          <w:rFonts w:cs="Open Sans"/>
        </w:rPr>
        <w:t>in</w:t>
      </w:r>
      <w:r w:rsidR="00573BA7">
        <w:rPr>
          <w:rFonts w:cs="Open Sans"/>
        </w:rPr>
        <w:t xml:space="preserve"> </w:t>
      </w:r>
      <w:r w:rsidR="00AB028E" w:rsidRPr="003F4CE1">
        <w:rPr>
          <w:rFonts w:cs="Open Sans"/>
        </w:rPr>
        <w:t>its</w:t>
      </w:r>
      <w:r w:rsidR="00573BA7">
        <w:rPr>
          <w:rFonts w:cs="Open Sans"/>
        </w:rPr>
        <w:t xml:space="preserve"> </w:t>
      </w:r>
      <w:r w:rsidR="00AB028E" w:rsidRPr="003F4CE1">
        <w:rPr>
          <w:rFonts w:cs="Open Sans"/>
        </w:rPr>
        <w:t>2004</w:t>
      </w:r>
      <w:r w:rsidR="00573BA7">
        <w:rPr>
          <w:rFonts w:cs="Open Sans"/>
        </w:rPr>
        <w:t xml:space="preserve"> </w:t>
      </w:r>
      <w:r w:rsidR="00AB028E" w:rsidRPr="003F4CE1">
        <w:rPr>
          <w:rFonts w:cs="Open Sans"/>
        </w:rPr>
        <w:t>review</w:t>
      </w:r>
      <w:r w:rsidR="00573BA7">
        <w:rPr>
          <w:rFonts w:cs="Open Sans"/>
        </w:rPr>
        <w:t xml:space="preserve"> </w:t>
      </w:r>
      <w:r w:rsidR="00AB028E" w:rsidRPr="003F4CE1">
        <w:rPr>
          <w:rFonts w:cs="Open Sans"/>
        </w:rPr>
        <w:t>of</w:t>
      </w:r>
      <w:r w:rsidR="00573BA7">
        <w:rPr>
          <w:rFonts w:cs="Open Sans"/>
        </w:rPr>
        <w:t xml:space="preserve"> </w:t>
      </w:r>
      <w:r w:rsidR="00AB028E" w:rsidRPr="003F4CE1">
        <w:rPr>
          <w:rFonts w:cs="Open Sans"/>
        </w:rPr>
        <w:t>the</w:t>
      </w:r>
      <w:r w:rsidR="00573BA7">
        <w:rPr>
          <w:rFonts w:cs="Open Sans"/>
        </w:rPr>
        <w:t xml:space="preserve"> </w:t>
      </w:r>
      <w:r w:rsidR="00AB028E" w:rsidRPr="003F4CE1">
        <w:rPr>
          <w:rFonts w:cs="Open Sans"/>
        </w:rPr>
        <w:t>Disability</w:t>
      </w:r>
      <w:r w:rsidR="00573BA7">
        <w:rPr>
          <w:rFonts w:cs="Open Sans"/>
        </w:rPr>
        <w:t xml:space="preserve"> </w:t>
      </w:r>
      <w:r w:rsidR="00AB028E" w:rsidRPr="003F4CE1">
        <w:rPr>
          <w:rFonts w:cs="Open Sans"/>
        </w:rPr>
        <w:t>Discrimination</w:t>
      </w:r>
      <w:r w:rsidR="00573BA7">
        <w:rPr>
          <w:rFonts w:cs="Open Sans"/>
        </w:rPr>
        <w:t xml:space="preserve"> </w:t>
      </w:r>
      <w:r w:rsidR="00AB028E" w:rsidRPr="003F4CE1">
        <w:rPr>
          <w:rFonts w:cs="Open Sans"/>
        </w:rPr>
        <w:t>Act</w:t>
      </w:r>
      <w:r w:rsidR="00807362">
        <w:rPr>
          <w:rFonts w:cs="Open Sans"/>
        </w:rPr>
        <w:t xml:space="preserve"> (2004 Productivity Commission Review)</w:t>
      </w:r>
      <w:r w:rsidR="00AB028E" w:rsidRPr="003F4CE1">
        <w:rPr>
          <w:rFonts w:cs="Open Sans"/>
        </w:rPr>
        <w:t>,</w:t>
      </w:r>
      <w:r w:rsidR="00AD3EA7" w:rsidRPr="003F4CE1">
        <w:rPr>
          <w:rStyle w:val="EndnoteReference"/>
          <w:rFonts w:cs="Open Sans"/>
        </w:rPr>
        <w:endnoteReference w:id="152"/>
      </w:r>
      <w:r w:rsidR="00573BA7">
        <w:rPr>
          <w:rFonts w:cs="Open Sans"/>
        </w:rPr>
        <w:t xml:space="preserve"> </w:t>
      </w:r>
      <w:r w:rsidR="00AB028E" w:rsidRPr="003F4CE1">
        <w:rPr>
          <w:rFonts w:cs="Open Sans"/>
        </w:rPr>
        <w:t>by</w:t>
      </w:r>
      <w:r w:rsidR="00573BA7">
        <w:rPr>
          <w:rFonts w:cs="Open Sans"/>
        </w:rPr>
        <w:t xml:space="preserve"> </w:t>
      </w:r>
      <w:r w:rsidR="00AB028E" w:rsidRPr="003F4CE1">
        <w:rPr>
          <w:rFonts w:cs="Open Sans"/>
        </w:rPr>
        <w:t>the</w:t>
      </w:r>
      <w:r w:rsidR="00573BA7">
        <w:rPr>
          <w:rFonts w:cs="Open Sans"/>
        </w:rPr>
        <w:t xml:space="preserve"> </w:t>
      </w:r>
      <w:r w:rsidR="00AB028E" w:rsidRPr="003F4CE1">
        <w:rPr>
          <w:rFonts w:cs="Open Sans"/>
        </w:rPr>
        <w:t>Commission</w:t>
      </w:r>
      <w:r w:rsidR="00573BA7">
        <w:rPr>
          <w:rFonts w:cs="Open Sans"/>
        </w:rPr>
        <w:t xml:space="preserve"> </w:t>
      </w:r>
      <w:r w:rsidR="00AB028E" w:rsidRPr="003F4CE1">
        <w:rPr>
          <w:rFonts w:cs="Open Sans"/>
        </w:rPr>
        <w:t>in</w:t>
      </w:r>
      <w:r w:rsidR="00573BA7">
        <w:rPr>
          <w:rFonts w:cs="Open Sans"/>
        </w:rPr>
        <w:t xml:space="preserve"> </w:t>
      </w:r>
      <w:r w:rsidR="00AB028E" w:rsidRPr="003F4CE1">
        <w:rPr>
          <w:rFonts w:cs="Open Sans"/>
        </w:rPr>
        <w:t>its</w:t>
      </w:r>
      <w:r w:rsidR="00573BA7">
        <w:rPr>
          <w:rFonts w:cs="Open Sans"/>
        </w:rPr>
        <w:t xml:space="preserve"> </w:t>
      </w:r>
      <w:r w:rsidR="00AB028E" w:rsidRPr="003F4CE1">
        <w:rPr>
          <w:rFonts w:cs="Open Sans"/>
        </w:rPr>
        <w:t>submission</w:t>
      </w:r>
      <w:r w:rsidR="00573BA7">
        <w:rPr>
          <w:rFonts w:cs="Open Sans"/>
        </w:rPr>
        <w:t xml:space="preserve"> </w:t>
      </w:r>
      <w:r w:rsidR="00AB028E" w:rsidRPr="003F4CE1">
        <w:rPr>
          <w:rFonts w:cs="Open Sans"/>
        </w:rPr>
        <w:t>to</w:t>
      </w:r>
      <w:r w:rsidR="00573BA7">
        <w:rPr>
          <w:rFonts w:cs="Open Sans"/>
        </w:rPr>
        <w:t xml:space="preserve"> </w:t>
      </w:r>
      <w:r w:rsidR="00AB028E" w:rsidRPr="003F4CE1">
        <w:rPr>
          <w:rFonts w:cs="Open Sans"/>
        </w:rPr>
        <w:t>the</w:t>
      </w:r>
      <w:r w:rsidR="00573BA7">
        <w:rPr>
          <w:rFonts w:cs="Open Sans"/>
        </w:rPr>
        <w:t xml:space="preserve"> </w:t>
      </w:r>
      <w:r w:rsidR="00AB028E" w:rsidRPr="003F4CE1">
        <w:rPr>
          <w:rFonts w:cs="Open Sans"/>
        </w:rPr>
        <w:t>Attorney-General’s</w:t>
      </w:r>
      <w:r w:rsidR="00573BA7">
        <w:rPr>
          <w:rFonts w:cs="Open Sans"/>
        </w:rPr>
        <w:t xml:space="preserve"> </w:t>
      </w:r>
      <w:r w:rsidR="00AB028E" w:rsidRPr="003F4CE1">
        <w:rPr>
          <w:rFonts w:cs="Open Sans"/>
        </w:rPr>
        <w:t>2011</w:t>
      </w:r>
      <w:r w:rsidR="00573BA7">
        <w:rPr>
          <w:rFonts w:cs="Open Sans"/>
        </w:rPr>
        <w:t xml:space="preserve"> </w:t>
      </w:r>
      <w:r w:rsidR="00AB028E" w:rsidRPr="003F4CE1">
        <w:rPr>
          <w:rFonts w:cs="Open Sans"/>
        </w:rPr>
        <w:t>Consolidation</w:t>
      </w:r>
      <w:r w:rsidR="00573BA7">
        <w:rPr>
          <w:rFonts w:cs="Open Sans"/>
        </w:rPr>
        <w:t xml:space="preserve"> </w:t>
      </w:r>
      <w:r w:rsidR="00AB028E" w:rsidRPr="003F4CE1">
        <w:rPr>
          <w:rFonts w:cs="Open Sans"/>
        </w:rPr>
        <w:t>of</w:t>
      </w:r>
      <w:r w:rsidR="00573BA7">
        <w:rPr>
          <w:rFonts w:cs="Open Sans"/>
        </w:rPr>
        <w:t xml:space="preserve"> </w:t>
      </w:r>
      <w:r w:rsidR="00AB028E" w:rsidRPr="003F4CE1">
        <w:rPr>
          <w:rFonts w:cs="Open Sans"/>
        </w:rPr>
        <w:t>Commonwealth</w:t>
      </w:r>
      <w:r w:rsidR="00573BA7">
        <w:rPr>
          <w:rFonts w:cs="Open Sans"/>
        </w:rPr>
        <w:t xml:space="preserve"> </w:t>
      </w:r>
      <w:r w:rsidR="00AB028E" w:rsidRPr="003F4CE1">
        <w:rPr>
          <w:rFonts w:cs="Open Sans"/>
        </w:rPr>
        <w:t>Anti-Discrimination</w:t>
      </w:r>
      <w:r w:rsidR="00573BA7">
        <w:rPr>
          <w:rFonts w:cs="Open Sans"/>
        </w:rPr>
        <w:t xml:space="preserve"> </w:t>
      </w:r>
      <w:r w:rsidR="00AB028E" w:rsidRPr="003F4CE1">
        <w:rPr>
          <w:rFonts w:cs="Open Sans"/>
        </w:rPr>
        <w:t>Laws</w:t>
      </w:r>
      <w:r w:rsidR="00573BA7">
        <w:rPr>
          <w:rFonts w:cs="Open Sans"/>
        </w:rPr>
        <w:t xml:space="preserve"> </w:t>
      </w:r>
      <w:r w:rsidR="00AB028E" w:rsidRPr="003F4CE1">
        <w:rPr>
          <w:rFonts w:cs="Open Sans"/>
        </w:rPr>
        <w:t>Discussion</w:t>
      </w:r>
      <w:r w:rsidR="00573BA7">
        <w:rPr>
          <w:rFonts w:cs="Open Sans"/>
        </w:rPr>
        <w:t xml:space="preserve"> </w:t>
      </w:r>
      <w:r w:rsidR="00AB028E" w:rsidRPr="003F4CE1">
        <w:rPr>
          <w:rFonts w:cs="Open Sans"/>
        </w:rPr>
        <w:t>Paper</w:t>
      </w:r>
      <w:r w:rsidR="00573BA7">
        <w:rPr>
          <w:rFonts w:cs="Open Sans"/>
        </w:rPr>
        <w:t xml:space="preserve"> </w:t>
      </w:r>
      <w:r w:rsidR="00AB028E" w:rsidRPr="003F4CE1">
        <w:rPr>
          <w:rFonts w:cs="Open Sans"/>
        </w:rPr>
        <w:t>(Consolidation</w:t>
      </w:r>
      <w:r w:rsidR="00573BA7">
        <w:rPr>
          <w:rFonts w:cs="Open Sans"/>
        </w:rPr>
        <w:t xml:space="preserve"> </w:t>
      </w:r>
      <w:r w:rsidR="00AB028E" w:rsidRPr="003F4CE1">
        <w:rPr>
          <w:rFonts w:cs="Open Sans"/>
        </w:rPr>
        <w:t>Discussion</w:t>
      </w:r>
      <w:r w:rsidR="00573BA7">
        <w:rPr>
          <w:rFonts w:cs="Open Sans"/>
        </w:rPr>
        <w:t xml:space="preserve"> </w:t>
      </w:r>
      <w:r w:rsidR="00AB028E" w:rsidRPr="003F4CE1">
        <w:rPr>
          <w:rFonts w:cs="Open Sans"/>
        </w:rPr>
        <w:t>Paper</w:t>
      </w:r>
      <w:r w:rsidR="008F1337">
        <w:rPr>
          <w:rFonts w:cs="Open Sans"/>
        </w:rPr>
        <w:t xml:space="preserve"> Submission</w:t>
      </w:r>
      <w:r w:rsidR="00AB028E" w:rsidRPr="003F4CE1">
        <w:rPr>
          <w:rFonts w:cs="Open Sans"/>
        </w:rPr>
        <w:t>)</w:t>
      </w:r>
      <w:r w:rsidR="00573BA7">
        <w:rPr>
          <w:rFonts w:cs="Open Sans"/>
        </w:rPr>
        <w:t xml:space="preserve"> </w:t>
      </w:r>
      <w:r w:rsidR="0065223C" w:rsidRPr="003F4CE1">
        <w:rPr>
          <w:rFonts w:cs="Open Sans"/>
        </w:rPr>
        <w:t>and</w:t>
      </w:r>
      <w:r w:rsidR="00573BA7">
        <w:rPr>
          <w:rFonts w:cs="Open Sans"/>
        </w:rPr>
        <w:t xml:space="preserve"> </w:t>
      </w:r>
      <w:r w:rsidR="00726D51">
        <w:rPr>
          <w:rFonts w:cs="Open Sans"/>
        </w:rPr>
        <w:t>in</w:t>
      </w:r>
      <w:r w:rsidR="00573BA7">
        <w:rPr>
          <w:rFonts w:cs="Open Sans"/>
        </w:rPr>
        <w:t xml:space="preserve"> </w:t>
      </w:r>
      <w:r w:rsidR="0065223C" w:rsidRPr="003F4CE1">
        <w:rPr>
          <w:rFonts w:cs="Open Sans"/>
        </w:rPr>
        <w:t>the</w:t>
      </w:r>
      <w:r w:rsidR="00573BA7">
        <w:rPr>
          <w:rFonts w:cs="Open Sans"/>
        </w:rPr>
        <w:t xml:space="preserve"> </w:t>
      </w:r>
      <w:r w:rsidR="0065223C" w:rsidRPr="003F4CE1">
        <w:rPr>
          <w:rFonts w:cs="Open Sans"/>
        </w:rPr>
        <w:t>W</w:t>
      </w:r>
      <w:r w:rsidR="00245F33">
        <w:rPr>
          <w:rFonts w:cs="Open Sans"/>
        </w:rPr>
        <w:t>illing to Work</w:t>
      </w:r>
      <w:r w:rsidR="00AB028E" w:rsidRPr="003F4CE1">
        <w:rPr>
          <w:rFonts w:cs="Open Sans"/>
        </w:rPr>
        <w:t>.</w:t>
      </w:r>
      <w:r w:rsidR="00366419" w:rsidRPr="003F4CE1">
        <w:rPr>
          <w:rStyle w:val="EndnoteReference"/>
          <w:rFonts w:cs="Open Sans"/>
        </w:rPr>
        <w:endnoteReference w:id="153"/>
      </w:r>
      <w:r w:rsidR="00573BA7">
        <w:rPr>
          <w:rFonts w:cs="Open Sans"/>
        </w:rPr>
        <w:t xml:space="preserve"> </w:t>
      </w:r>
    </w:p>
    <w:p w14:paraId="0611C632" w14:textId="5BCC99A9" w:rsidR="005D7FA8" w:rsidRDefault="00206837" w:rsidP="00662F4B">
      <w:pPr>
        <w:pStyle w:val="ListNumber"/>
        <w:rPr>
          <w:rFonts w:cs="Open Sans"/>
        </w:rPr>
      </w:pPr>
      <w:r w:rsidRPr="07069484">
        <w:rPr>
          <w:rFonts w:cs="Open Sans"/>
        </w:rPr>
        <w:t xml:space="preserve"> The Commission </w:t>
      </w:r>
      <w:r w:rsidR="00372DAC">
        <w:rPr>
          <w:rFonts w:cs="Open Sans"/>
        </w:rPr>
        <w:t xml:space="preserve">is </w:t>
      </w:r>
      <w:r w:rsidRPr="07069484">
        <w:rPr>
          <w:rFonts w:cs="Open Sans"/>
        </w:rPr>
        <w:t xml:space="preserve">also currently conducting a major project, </w:t>
      </w:r>
      <w:r w:rsidRPr="07069484">
        <w:rPr>
          <w:rFonts w:cs="Open Sans"/>
          <w:i/>
          <w:iCs/>
        </w:rPr>
        <w:t xml:space="preserve">Free and Equal: An Australian conversation on human rights </w:t>
      </w:r>
      <w:r w:rsidRPr="07069484">
        <w:rPr>
          <w:rFonts w:cs="Open Sans"/>
        </w:rPr>
        <w:t>(National Conversation).</w:t>
      </w:r>
      <w:r w:rsidRPr="07069484">
        <w:rPr>
          <w:rStyle w:val="EndnoteReference"/>
          <w:rFonts w:cs="Open Sans"/>
          <w:i/>
          <w:iCs/>
        </w:rPr>
        <w:t xml:space="preserve"> </w:t>
      </w:r>
      <w:r w:rsidRPr="000231B2">
        <w:rPr>
          <w:rStyle w:val="EndnoteReference"/>
          <w:rFonts w:cs="Open Sans"/>
        </w:rPr>
        <w:endnoteReference w:id="154"/>
      </w:r>
      <w:r w:rsidRPr="07069484">
        <w:rPr>
          <w:rFonts w:cs="Open Sans"/>
          <w:i/>
          <w:iCs/>
        </w:rPr>
        <w:t xml:space="preserve"> </w:t>
      </w:r>
      <w:r w:rsidRPr="07069484">
        <w:rPr>
          <w:rFonts w:cs="Open Sans"/>
        </w:rPr>
        <w:t xml:space="preserve"> The purpose of the National Conversation is to develop a framework that will guide government action and community partnerships to fully realise human rights and advance equality in Australia.</w:t>
      </w:r>
    </w:p>
    <w:p w14:paraId="3BDC8D39" w14:textId="474D2E71" w:rsidR="00AB028E" w:rsidRPr="003F4CE1" w:rsidRDefault="005D7FA8" w:rsidP="00662F4B">
      <w:pPr>
        <w:pStyle w:val="ListNumber"/>
        <w:rPr>
          <w:rFonts w:cs="Open Sans"/>
        </w:rPr>
      </w:pPr>
      <w:r w:rsidRPr="07069484">
        <w:rPr>
          <w:rFonts w:cs="Open Sans"/>
        </w:rPr>
        <w:t>Th</w:t>
      </w:r>
      <w:r w:rsidR="00497797" w:rsidRPr="07069484">
        <w:rPr>
          <w:rFonts w:cs="Open Sans"/>
        </w:rPr>
        <w:t>rough the National Conversation the</w:t>
      </w:r>
      <w:r w:rsidR="00573BA7">
        <w:rPr>
          <w:rFonts w:cs="Open Sans"/>
        </w:rPr>
        <w:t xml:space="preserve"> </w:t>
      </w:r>
      <w:r w:rsidR="00AB028E" w:rsidRPr="003F4CE1">
        <w:rPr>
          <w:rFonts w:cs="Open Sans"/>
        </w:rPr>
        <w:t>Commission</w:t>
      </w:r>
      <w:r w:rsidR="00497797" w:rsidRPr="07069484">
        <w:rPr>
          <w:rFonts w:cs="Open Sans"/>
        </w:rPr>
        <w:t xml:space="preserve"> </w:t>
      </w:r>
      <w:r w:rsidR="00573BA7">
        <w:rPr>
          <w:rFonts w:cs="Open Sans"/>
        </w:rPr>
        <w:t xml:space="preserve"> </w:t>
      </w:r>
      <w:r w:rsidR="0AA7E01C">
        <w:rPr>
          <w:rFonts w:cs="Open Sans"/>
        </w:rPr>
        <w:t xml:space="preserve">is </w:t>
      </w:r>
      <w:r w:rsidR="00AB028E" w:rsidRPr="003F4CE1">
        <w:rPr>
          <w:rFonts w:cs="Open Sans"/>
        </w:rPr>
        <w:t>consider</w:t>
      </w:r>
      <w:r w:rsidR="30AEE59E" w:rsidRPr="003F4CE1">
        <w:rPr>
          <w:rFonts w:cs="Open Sans"/>
        </w:rPr>
        <w:t>ing</w:t>
      </w:r>
      <w:r w:rsidR="00573BA7">
        <w:rPr>
          <w:rFonts w:cs="Open Sans"/>
        </w:rPr>
        <w:t xml:space="preserve"> </w:t>
      </w:r>
      <w:r w:rsidR="00AB028E" w:rsidRPr="003F4CE1">
        <w:rPr>
          <w:rFonts w:cs="Open Sans"/>
        </w:rPr>
        <w:t>the</w:t>
      </w:r>
      <w:r w:rsidR="00573BA7">
        <w:rPr>
          <w:rFonts w:cs="Open Sans"/>
        </w:rPr>
        <w:t xml:space="preserve"> </w:t>
      </w:r>
      <w:r w:rsidR="00AB028E" w:rsidRPr="003F4CE1">
        <w:rPr>
          <w:rFonts w:cs="Open Sans"/>
        </w:rPr>
        <w:t>question</w:t>
      </w:r>
      <w:r w:rsidR="00573BA7">
        <w:rPr>
          <w:rFonts w:cs="Open Sans"/>
        </w:rPr>
        <w:t xml:space="preserve"> </w:t>
      </w:r>
      <w:r w:rsidR="00AB028E" w:rsidRPr="003F4CE1">
        <w:rPr>
          <w:rFonts w:cs="Open Sans"/>
        </w:rPr>
        <w:t>of</w:t>
      </w:r>
      <w:r w:rsidR="00573BA7">
        <w:rPr>
          <w:rFonts w:cs="Open Sans"/>
        </w:rPr>
        <w:t xml:space="preserve"> </w:t>
      </w:r>
      <w:r w:rsidR="00AB028E" w:rsidRPr="003F4CE1">
        <w:rPr>
          <w:rFonts w:cs="Open Sans"/>
        </w:rPr>
        <w:t>how</w:t>
      </w:r>
      <w:r w:rsidR="00573BA7">
        <w:rPr>
          <w:rFonts w:cs="Open Sans"/>
        </w:rPr>
        <w:t xml:space="preserve"> </w:t>
      </w:r>
      <w:r w:rsidR="00AB028E" w:rsidRPr="003F4CE1">
        <w:rPr>
          <w:rFonts w:cs="Open Sans"/>
        </w:rPr>
        <w:t>the</w:t>
      </w:r>
      <w:r w:rsidR="00573BA7">
        <w:rPr>
          <w:rFonts w:cs="Open Sans"/>
        </w:rPr>
        <w:t xml:space="preserve"> </w:t>
      </w:r>
      <w:r w:rsidR="00AB028E" w:rsidRPr="003F4CE1">
        <w:rPr>
          <w:rFonts w:cs="Open Sans"/>
        </w:rPr>
        <w:t>complaints</w:t>
      </w:r>
      <w:r w:rsidR="00573BA7">
        <w:rPr>
          <w:rFonts w:cs="Open Sans"/>
        </w:rPr>
        <w:t xml:space="preserve"> </w:t>
      </w:r>
      <w:r w:rsidR="00AB028E" w:rsidRPr="003F4CE1">
        <w:rPr>
          <w:rFonts w:cs="Open Sans"/>
        </w:rPr>
        <w:t>process</w:t>
      </w:r>
      <w:r w:rsidR="00573BA7">
        <w:rPr>
          <w:rFonts w:cs="Open Sans"/>
        </w:rPr>
        <w:t xml:space="preserve"> </w:t>
      </w:r>
      <w:r w:rsidR="00AB028E" w:rsidRPr="003F4CE1">
        <w:rPr>
          <w:rFonts w:cs="Open Sans"/>
        </w:rPr>
        <w:t>(including</w:t>
      </w:r>
      <w:r w:rsidR="00573BA7">
        <w:rPr>
          <w:rFonts w:cs="Open Sans"/>
        </w:rPr>
        <w:t xml:space="preserve"> </w:t>
      </w:r>
      <w:r w:rsidR="00AB028E" w:rsidRPr="003F4CE1">
        <w:rPr>
          <w:rFonts w:cs="Open Sans"/>
        </w:rPr>
        <w:t>the</w:t>
      </w:r>
      <w:r w:rsidR="00573BA7">
        <w:rPr>
          <w:rFonts w:cs="Open Sans"/>
        </w:rPr>
        <w:t xml:space="preserve"> </w:t>
      </w:r>
      <w:r w:rsidR="00AB028E" w:rsidRPr="003F4CE1">
        <w:rPr>
          <w:rFonts w:cs="Open Sans"/>
        </w:rPr>
        <w:t>court</w:t>
      </w:r>
      <w:r w:rsidR="00573BA7">
        <w:rPr>
          <w:rFonts w:cs="Open Sans"/>
        </w:rPr>
        <w:t xml:space="preserve"> </w:t>
      </w:r>
      <w:r w:rsidR="00AB028E" w:rsidRPr="003F4CE1">
        <w:rPr>
          <w:rFonts w:cs="Open Sans"/>
        </w:rPr>
        <w:t>stage)</w:t>
      </w:r>
      <w:r w:rsidR="00573BA7">
        <w:rPr>
          <w:rFonts w:cs="Open Sans"/>
        </w:rPr>
        <w:t xml:space="preserve"> </w:t>
      </w:r>
      <w:r w:rsidR="000C1421" w:rsidRPr="003F4CE1">
        <w:rPr>
          <w:rFonts w:cs="Open Sans"/>
        </w:rPr>
        <w:t>under</w:t>
      </w:r>
      <w:r w:rsidR="00573BA7">
        <w:rPr>
          <w:rFonts w:cs="Open Sans"/>
        </w:rPr>
        <w:t xml:space="preserve"> </w:t>
      </w:r>
      <w:r w:rsidR="000C1421" w:rsidRPr="003F4CE1">
        <w:rPr>
          <w:rFonts w:cs="Open Sans"/>
        </w:rPr>
        <w:t>federal</w:t>
      </w:r>
      <w:r w:rsidR="00573BA7">
        <w:rPr>
          <w:rFonts w:cs="Open Sans"/>
        </w:rPr>
        <w:t xml:space="preserve"> </w:t>
      </w:r>
      <w:r w:rsidR="000C1421" w:rsidRPr="003F4CE1">
        <w:rPr>
          <w:rFonts w:cs="Open Sans"/>
        </w:rPr>
        <w:t>anti-discrimination</w:t>
      </w:r>
      <w:r w:rsidR="00573BA7">
        <w:rPr>
          <w:rFonts w:cs="Open Sans"/>
        </w:rPr>
        <w:t xml:space="preserve"> </w:t>
      </w:r>
      <w:r w:rsidR="000C1421" w:rsidRPr="003F4CE1">
        <w:rPr>
          <w:rFonts w:cs="Open Sans"/>
        </w:rPr>
        <w:t>laws</w:t>
      </w:r>
      <w:r w:rsidR="00573BA7">
        <w:rPr>
          <w:rFonts w:cs="Open Sans"/>
        </w:rPr>
        <w:t xml:space="preserve"> </w:t>
      </w:r>
      <w:r w:rsidR="00AB028E" w:rsidRPr="003F4CE1">
        <w:rPr>
          <w:rFonts w:cs="Open Sans"/>
        </w:rPr>
        <w:t>could</w:t>
      </w:r>
      <w:r w:rsidR="00573BA7">
        <w:rPr>
          <w:rFonts w:cs="Open Sans"/>
        </w:rPr>
        <w:t xml:space="preserve"> </w:t>
      </w:r>
      <w:r w:rsidR="00AB028E" w:rsidRPr="003F4CE1">
        <w:rPr>
          <w:rFonts w:cs="Open Sans"/>
        </w:rPr>
        <w:t>be</w:t>
      </w:r>
      <w:r w:rsidR="00573BA7">
        <w:rPr>
          <w:rFonts w:cs="Open Sans"/>
        </w:rPr>
        <w:t xml:space="preserve"> </w:t>
      </w:r>
      <w:r w:rsidR="00AB028E" w:rsidRPr="003F4CE1">
        <w:rPr>
          <w:rFonts w:cs="Open Sans"/>
        </w:rPr>
        <w:t>reformed</w:t>
      </w:r>
      <w:r w:rsidR="00573BA7">
        <w:rPr>
          <w:rFonts w:cs="Open Sans"/>
        </w:rPr>
        <w:t xml:space="preserve"> </w:t>
      </w:r>
      <w:r w:rsidR="00AB028E" w:rsidRPr="003F4CE1">
        <w:rPr>
          <w:rFonts w:cs="Open Sans"/>
        </w:rPr>
        <w:t>to</w:t>
      </w:r>
      <w:r w:rsidR="00573BA7">
        <w:rPr>
          <w:rFonts w:cs="Open Sans"/>
        </w:rPr>
        <w:t xml:space="preserve"> </w:t>
      </w:r>
      <w:r w:rsidR="00AB028E" w:rsidRPr="003F4CE1">
        <w:rPr>
          <w:rFonts w:cs="Open Sans"/>
        </w:rPr>
        <w:t>promote</w:t>
      </w:r>
      <w:r w:rsidR="00573BA7">
        <w:rPr>
          <w:rFonts w:cs="Open Sans"/>
        </w:rPr>
        <w:t xml:space="preserve"> </w:t>
      </w:r>
      <w:r w:rsidR="00AB028E" w:rsidRPr="003F4CE1">
        <w:rPr>
          <w:rFonts w:cs="Open Sans"/>
        </w:rPr>
        <w:t>access</w:t>
      </w:r>
      <w:r w:rsidR="00573BA7">
        <w:rPr>
          <w:rFonts w:cs="Open Sans"/>
        </w:rPr>
        <w:t xml:space="preserve"> </w:t>
      </w:r>
      <w:r w:rsidR="00AB028E" w:rsidRPr="003F4CE1">
        <w:rPr>
          <w:rFonts w:cs="Open Sans"/>
        </w:rPr>
        <w:t>to</w:t>
      </w:r>
      <w:r w:rsidR="00573BA7">
        <w:rPr>
          <w:rFonts w:cs="Open Sans"/>
        </w:rPr>
        <w:t xml:space="preserve"> </w:t>
      </w:r>
      <w:r w:rsidR="00AB028E" w:rsidRPr="003F4CE1">
        <w:rPr>
          <w:rFonts w:cs="Open Sans"/>
        </w:rPr>
        <w:t>justice.</w:t>
      </w:r>
      <w:r w:rsidR="00AD3EA7" w:rsidRPr="003F4CE1">
        <w:rPr>
          <w:rStyle w:val="EndnoteReference"/>
          <w:rFonts w:cs="Open Sans"/>
        </w:rPr>
        <w:endnoteReference w:id="155"/>
      </w:r>
      <w:r w:rsidR="00573BA7">
        <w:rPr>
          <w:rFonts w:cs="Open Sans"/>
        </w:rPr>
        <w:t xml:space="preserve"> </w:t>
      </w:r>
      <w:r w:rsidR="00AB028E" w:rsidRPr="003F4CE1">
        <w:rPr>
          <w:rFonts w:cs="Open Sans"/>
        </w:rPr>
        <w:t>Submissions</w:t>
      </w:r>
      <w:r w:rsidR="00573BA7">
        <w:rPr>
          <w:rFonts w:cs="Open Sans"/>
        </w:rPr>
        <w:t xml:space="preserve"> </w:t>
      </w:r>
      <w:r w:rsidR="00AB028E" w:rsidRPr="003F4CE1">
        <w:rPr>
          <w:rFonts w:cs="Open Sans"/>
        </w:rPr>
        <w:t>have</w:t>
      </w:r>
      <w:r w:rsidR="00573BA7">
        <w:rPr>
          <w:rFonts w:cs="Open Sans"/>
        </w:rPr>
        <w:t xml:space="preserve"> </w:t>
      </w:r>
      <w:r w:rsidR="00AB028E" w:rsidRPr="003F4CE1">
        <w:rPr>
          <w:rFonts w:cs="Open Sans"/>
        </w:rPr>
        <w:t>highlighted</w:t>
      </w:r>
      <w:r w:rsidR="00573BA7">
        <w:rPr>
          <w:rFonts w:cs="Open Sans"/>
        </w:rPr>
        <w:t xml:space="preserve"> </w:t>
      </w:r>
      <w:r w:rsidR="00E5573D">
        <w:rPr>
          <w:rFonts w:cs="Open Sans"/>
        </w:rPr>
        <w:t>how</w:t>
      </w:r>
      <w:r w:rsidR="00573BA7">
        <w:rPr>
          <w:rFonts w:cs="Open Sans"/>
        </w:rPr>
        <w:t xml:space="preserve"> </w:t>
      </w:r>
      <w:r w:rsidR="00AB028E" w:rsidRPr="003F4CE1">
        <w:rPr>
          <w:rFonts w:cs="Open Sans"/>
        </w:rPr>
        <w:t>clarifying</w:t>
      </w:r>
      <w:r w:rsidR="00573BA7">
        <w:rPr>
          <w:rFonts w:cs="Open Sans"/>
        </w:rPr>
        <w:t xml:space="preserve"> </w:t>
      </w:r>
      <w:r w:rsidR="00AB028E" w:rsidRPr="003F4CE1">
        <w:rPr>
          <w:rFonts w:cs="Open Sans"/>
        </w:rPr>
        <w:t>standing</w:t>
      </w:r>
      <w:r w:rsidR="00573BA7">
        <w:rPr>
          <w:rFonts w:cs="Open Sans"/>
        </w:rPr>
        <w:t xml:space="preserve"> </w:t>
      </w:r>
      <w:r w:rsidR="00AB028E" w:rsidRPr="003F4CE1">
        <w:rPr>
          <w:rFonts w:cs="Open Sans"/>
        </w:rPr>
        <w:t>in</w:t>
      </w:r>
      <w:r w:rsidR="00573BA7">
        <w:rPr>
          <w:rFonts w:cs="Open Sans"/>
        </w:rPr>
        <w:t xml:space="preserve"> </w:t>
      </w:r>
      <w:r w:rsidR="00AB028E" w:rsidRPr="003F4CE1">
        <w:rPr>
          <w:rFonts w:cs="Open Sans"/>
        </w:rPr>
        <w:t>federal</w:t>
      </w:r>
      <w:r w:rsidR="00573BA7">
        <w:rPr>
          <w:rFonts w:cs="Open Sans"/>
        </w:rPr>
        <w:t xml:space="preserve"> </w:t>
      </w:r>
      <w:r w:rsidR="00AB028E" w:rsidRPr="003F4CE1">
        <w:rPr>
          <w:rFonts w:cs="Open Sans"/>
        </w:rPr>
        <w:t>discrimination</w:t>
      </w:r>
      <w:r w:rsidR="00573BA7">
        <w:rPr>
          <w:rFonts w:cs="Open Sans"/>
        </w:rPr>
        <w:t xml:space="preserve"> </w:t>
      </w:r>
      <w:r w:rsidR="00AB028E" w:rsidRPr="003F4CE1">
        <w:rPr>
          <w:rFonts w:cs="Open Sans"/>
        </w:rPr>
        <w:t>law</w:t>
      </w:r>
      <w:r w:rsidR="00573BA7">
        <w:rPr>
          <w:rFonts w:cs="Open Sans"/>
        </w:rPr>
        <w:t xml:space="preserve"> </w:t>
      </w:r>
      <w:r w:rsidR="00AB028E" w:rsidRPr="003F4CE1">
        <w:rPr>
          <w:rFonts w:cs="Open Sans"/>
        </w:rPr>
        <w:t>would</w:t>
      </w:r>
      <w:r w:rsidR="00573BA7">
        <w:rPr>
          <w:rFonts w:cs="Open Sans"/>
        </w:rPr>
        <w:t xml:space="preserve"> </w:t>
      </w:r>
      <w:r w:rsidR="00AB028E" w:rsidRPr="003F4CE1">
        <w:rPr>
          <w:rFonts w:cs="Open Sans"/>
        </w:rPr>
        <w:t>promote</w:t>
      </w:r>
      <w:r w:rsidR="00573BA7">
        <w:rPr>
          <w:rFonts w:cs="Open Sans"/>
        </w:rPr>
        <w:t xml:space="preserve"> </w:t>
      </w:r>
      <w:r w:rsidR="00AB028E" w:rsidRPr="003F4CE1">
        <w:rPr>
          <w:rFonts w:cs="Open Sans"/>
        </w:rPr>
        <w:t>greater</w:t>
      </w:r>
      <w:r w:rsidR="00573BA7">
        <w:rPr>
          <w:rFonts w:cs="Open Sans"/>
        </w:rPr>
        <w:t xml:space="preserve"> </w:t>
      </w:r>
      <w:r w:rsidR="00AB028E" w:rsidRPr="003F4CE1">
        <w:rPr>
          <w:rFonts w:cs="Open Sans"/>
        </w:rPr>
        <w:t>access</w:t>
      </w:r>
      <w:r w:rsidR="00573BA7">
        <w:rPr>
          <w:rFonts w:cs="Open Sans"/>
        </w:rPr>
        <w:t xml:space="preserve"> </w:t>
      </w:r>
      <w:r w:rsidR="00AB028E" w:rsidRPr="003F4CE1">
        <w:rPr>
          <w:rFonts w:cs="Open Sans"/>
        </w:rPr>
        <w:t>to</w:t>
      </w:r>
      <w:r w:rsidR="00573BA7">
        <w:rPr>
          <w:rFonts w:cs="Open Sans"/>
        </w:rPr>
        <w:t xml:space="preserve"> </w:t>
      </w:r>
      <w:r w:rsidR="00AB028E" w:rsidRPr="003F4CE1">
        <w:rPr>
          <w:rFonts w:cs="Open Sans"/>
        </w:rPr>
        <w:t>justice:</w:t>
      </w:r>
    </w:p>
    <w:p w14:paraId="268CCF53" w14:textId="2EAD18AC" w:rsidR="00366419" w:rsidRPr="007B537E" w:rsidRDefault="00AB028E" w:rsidP="007B537E">
      <w:pPr>
        <w:ind w:left="720"/>
        <w:rPr>
          <w:rFonts w:cs="Open Sans"/>
          <w:sz w:val="22"/>
          <w:szCs w:val="22"/>
        </w:rPr>
      </w:pPr>
      <w:r w:rsidRPr="007B537E">
        <w:rPr>
          <w:rFonts w:cs="Open Sans"/>
          <w:sz w:val="22"/>
          <w:szCs w:val="22"/>
        </w:rPr>
        <w:t>In</w:t>
      </w:r>
      <w:r w:rsidR="00573BA7" w:rsidRPr="007B537E">
        <w:rPr>
          <w:rFonts w:cs="Open Sans"/>
          <w:sz w:val="22"/>
          <w:szCs w:val="22"/>
        </w:rPr>
        <w:t xml:space="preserve"> </w:t>
      </w:r>
      <w:r w:rsidRPr="007B537E">
        <w:rPr>
          <w:rFonts w:cs="Open Sans"/>
          <w:sz w:val="22"/>
          <w:szCs w:val="22"/>
        </w:rPr>
        <w:t>many</w:t>
      </w:r>
      <w:r w:rsidR="00573BA7" w:rsidRPr="007B537E">
        <w:rPr>
          <w:rFonts w:cs="Open Sans"/>
          <w:sz w:val="22"/>
          <w:szCs w:val="22"/>
        </w:rPr>
        <w:t xml:space="preserve"> </w:t>
      </w:r>
      <w:r w:rsidRPr="007B537E">
        <w:rPr>
          <w:rFonts w:cs="Open Sans"/>
          <w:sz w:val="22"/>
          <w:szCs w:val="22"/>
        </w:rPr>
        <w:t>cases,</w:t>
      </w:r>
      <w:r w:rsidR="00573BA7" w:rsidRPr="007B537E">
        <w:rPr>
          <w:rFonts w:cs="Open Sans"/>
          <w:sz w:val="22"/>
          <w:szCs w:val="22"/>
        </w:rPr>
        <w:t xml:space="preserve"> </w:t>
      </w:r>
      <w:r w:rsidRPr="007B537E">
        <w:rPr>
          <w:rFonts w:cs="Open Sans"/>
          <w:sz w:val="22"/>
          <w:szCs w:val="22"/>
        </w:rPr>
        <w:t>organisations</w:t>
      </w:r>
      <w:r w:rsidR="00573BA7" w:rsidRPr="007B537E">
        <w:rPr>
          <w:rFonts w:cs="Open Sans"/>
          <w:sz w:val="22"/>
          <w:szCs w:val="22"/>
        </w:rPr>
        <w:t xml:space="preserve"> </w:t>
      </w:r>
      <w:r w:rsidRPr="007B537E">
        <w:rPr>
          <w:rFonts w:cs="Open Sans"/>
          <w:sz w:val="22"/>
          <w:szCs w:val="22"/>
        </w:rPr>
        <w:t>are</w:t>
      </w:r>
      <w:r w:rsidR="00573BA7" w:rsidRPr="007B537E">
        <w:rPr>
          <w:rFonts w:cs="Open Sans"/>
          <w:sz w:val="22"/>
          <w:szCs w:val="22"/>
        </w:rPr>
        <w:t xml:space="preserve"> </w:t>
      </w:r>
      <w:r w:rsidRPr="007B537E">
        <w:rPr>
          <w:rFonts w:cs="Open Sans"/>
          <w:sz w:val="22"/>
          <w:szCs w:val="22"/>
        </w:rPr>
        <w:t>better</w:t>
      </w:r>
      <w:r w:rsidR="00573BA7" w:rsidRPr="007B537E">
        <w:rPr>
          <w:rFonts w:cs="Open Sans"/>
          <w:sz w:val="22"/>
          <w:szCs w:val="22"/>
        </w:rPr>
        <w:t xml:space="preserve"> </w:t>
      </w:r>
      <w:r w:rsidRPr="007B537E">
        <w:rPr>
          <w:rFonts w:cs="Open Sans"/>
          <w:sz w:val="22"/>
          <w:szCs w:val="22"/>
        </w:rPr>
        <w:t>placed</w:t>
      </w:r>
      <w:r w:rsidR="00573BA7" w:rsidRPr="007B537E">
        <w:rPr>
          <w:rFonts w:cs="Open Sans"/>
          <w:sz w:val="22"/>
          <w:szCs w:val="22"/>
        </w:rPr>
        <w:t xml:space="preserve"> </w:t>
      </w:r>
      <w:r w:rsidRPr="007B537E">
        <w:rPr>
          <w:rFonts w:cs="Open Sans"/>
          <w:sz w:val="22"/>
          <w:szCs w:val="22"/>
        </w:rPr>
        <w:t>than</w:t>
      </w:r>
      <w:r w:rsidR="00573BA7" w:rsidRPr="007B537E">
        <w:rPr>
          <w:rFonts w:cs="Open Sans"/>
          <w:sz w:val="22"/>
          <w:szCs w:val="22"/>
        </w:rPr>
        <w:t xml:space="preserve"> </w:t>
      </w:r>
      <w:r w:rsidRPr="007B537E">
        <w:rPr>
          <w:rFonts w:cs="Open Sans"/>
          <w:sz w:val="22"/>
          <w:szCs w:val="22"/>
        </w:rPr>
        <w:t>individuals</w:t>
      </w:r>
      <w:r w:rsidR="00573BA7" w:rsidRPr="007B537E">
        <w:rPr>
          <w:rFonts w:cs="Open Sans"/>
          <w:sz w:val="22"/>
          <w:szCs w:val="22"/>
        </w:rPr>
        <w:t xml:space="preserve"> </w:t>
      </w:r>
      <w:r w:rsidRPr="007B537E">
        <w:rPr>
          <w:rFonts w:cs="Open Sans"/>
          <w:sz w:val="22"/>
          <w:szCs w:val="22"/>
        </w:rPr>
        <w:t>to</w:t>
      </w:r>
      <w:r w:rsidR="00573BA7" w:rsidRPr="007B537E">
        <w:rPr>
          <w:rFonts w:cs="Open Sans"/>
          <w:sz w:val="22"/>
          <w:szCs w:val="22"/>
        </w:rPr>
        <w:t xml:space="preserve"> </w:t>
      </w:r>
      <w:r w:rsidRPr="007B537E">
        <w:rPr>
          <w:rFonts w:cs="Open Sans"/>
          <w:sz w:val="22"/>
          <w:szCs w:val="22"/>
        </w:rPr>
        <w:t>make</w:t>
      </w:r>
      <w:r w:rsidR="00573BA7" w:rsidRPr="007B537E">
        <w:rPr>
          <w:rFonts w:cs="Open Sans"/>
          <w:sz w:val="22"/>
          <w:szCs w:val="22"/>
        </w:rPr>
        <w:t xml:space="preserve"> </w:t>
      </w:r>
      <w:r w:rsidRPr="007B537E">
        <w:rPr>
          <w:rFonts w:cs="Open Sans"/>
          <w:sz w:val="22"/>
          <w:szCs w:val="22"/>
        </w:rPr>
        <w:t>complaints</w:t>
      </w:r>
      <w:r w:rsidR="00573BA7" w:rsidRPr="007B537E">
        <w:rPr>
          <w:rFonts w:cs="Open Sans"/>
          <w:sz w:val="22"/>
          <w:szCs w:val="22"/>
        </w:rPr>
        <w:t xml:space="preserve"> </w:t>
      </w:r>
      <w:r w:rsidRPr="007B537E">
        <w:rPr>
          <w:rFonts w:cs="Open Sans"/>
          <w:sz w:val="22"/>
          <w:szCs w:val="22"/>
        </w:rPr>
        <w:t>regarding</w:t>
      </w:r>
      <w:r w:rsidR="00573BA7" w:rsidRPr="007B537E">
        <w:rPr>
          <w:rFonts w:cs="Open Sans"/>
          <w:sz w:val="22"/>
          <w:szCs w:val="22"/>
        </w:rPr>
        <w:t xml:space="preserve"> </w:t>
      </w:r>
      <w:r w:rsidRPr="007B537E">
        <w:rPr>
          <w:rFonts w:cs="Open Sans"/>
          <w:sz w:val="22"/>
          <w:szCs w:val="22"/>
        </w:rPr>
        <w:t>discrimination,</w:t>
      </w:r>
      <w:r w:rsidR="00573BA7" w:rsidRPr="007B537E">
        <w:rPr>
          <w:rFonts w:cs="Open Sans"/>
          <w:sz w:val="22"/>
          <w:szCs w:val="22"/>
        </w:rPr>
        <w:t xml:space="preserve"> </w:t>
      </w:r>
      <w:r w:rsidRPr="007B537E">
        <w:rPr>
          <w:rFonts w:cs="Open Sans"/>
          <w:sz w:val="22"/>
          <w:szCs w:val="22"/>
        </w:rPr>
        <w:t>particularly</w:t>
      </w:r>
      <w:r w:rsidR="00573BA7" w:rsidRPr="007B537E">
        <w:rPr>
          <w:rFonts w:cs="Open Sans"/>
          <w:sz w:val="22"/>
          <w:szCs w:val="22"/>
        </w:rPr>
        <w:t xml:space="preserve"> </w:t>
      </w:r>
      <w:r w:rsidRPr="007B537E">
        <w:rPr>
          <w:rFonts w:cs="Open Sans"/>
          <w:sz w:val="22"/>
          <w:szCs w:val="22"/>
        </w:rPr>
        <w:t>in</w:t>
      </w:r>
      <w:r w:rsidR="00573BA7" w:rsidRPr="007B537E">
        <w:rPr>
          <w:rFonts w:cs="Open Sans"/>
          <w:sz w:val="22"/>
          <w:szCs w:val="22"/>
        </w:rPr>
        <w:t xml:space="preserve"> </w:t>
      </w:r>
      <w:r w:rsidRPr="007B537E">
        <w:rPr>
          <w:rFonts w:cs="Open Sans"/>
          <w:sz w:val="22"/>
          <w:szCs w:val="22"/>
        </w:rPr>
        <w:t>the</w:t>
      </w:r>
      <w:r w:rsidR="00573BA7" w:rsidRPr="007B537E">
        <w:rPr>
          <w:rFonts w:cs="Open Sans"/>
          <w:sz w:val="22"/>
          <w:szCs w:val="22"/>
        </w:rPr>
        <w:t xml:space="preserve"> </w:t>
      </w:r>
      <w:r w:rsidRPr="007B537E">
        <w:rPr>
          <w:rFonts w:cs="Open Sans"/>
          <w:sz w:val="22"/>
          <w:szCs w:val="22"/>
        </w:rPr>
        <w:t>case</w:t>
      </w:r>
      <w:r w:rsidR="00573BA7" w:rsidRPr="007B537E">
        <w:rPr>
          <w:rFonts w:cs="Open Sans"/>
          <w:sz w:val="22"/>
          <w:szCs w:val="22"/>
        </w:rPr>
        <w:t xml:space="preserve"> </w:t>
      </w:r>
      <w:r w:rsidRPr="007B537E">
        <w:rPr>
          <w:rFonts w:cs="Open Sans"/>
          <w:sz w:val="22"/>
          <w:szCs w:val="22"/>
        </w:rPr>
        <w:t>of</w:t>
      </w:r>
      <w:r w:rsidR="00573BA7" w:rsidRPr="007B537E">
        <w:rPr>
          <w:rFonts w:cs="Open Sans"/>
          <w:sz w:val="22"/>
          <w:szCs w:val="22"/>
        </w:rPr>
        <w:t xml:space="preserve"> </w:t>
      </w:r>
      <w:r w:rsidRPr="007B537E">
        <w:rPr>
          <w:rFonts w:cs="Open Sans"/>
          <w:sz w:val="22"/>
          <w:szCs w:val="22"/>
        </w:rPr>
        <w:t>systemic</w:t>
      </w:r>
      <w:r w:rsidR="00573BA7" w:rsidRPr="007B537E">
        <w:rPr>
          <w:rFonts w:cs="Open Sans"/>
          <w:sz w:val="22"/>
          <w:szCs w:val="22"/>
        </w:rPr>
        <w:t xml:space="preserve"> </w:t>
      </w:r>
      <w:r w:rsidRPr="007B537E">
        <w:rPr>
          <w:rFonts w:cs="Open Sans"/>
          <w:sz w:val="22"/>
          <w:szCs w:val="22"/>
        </w:rPr>
        <w:t>discrimination.</w:t>
      </w:r>
      <w:r w:rsidR="00573BA7" w:rsidRPr="007B537E">
        <w:rPr>
          <w:rFonts w:cs="Open Sans"/>
          <w:sz w:val="22"/>
          <w:szCs w:val="22"/>
        </w:rPr>
        <w:t xml:space="preserve"> </w:t>
      </w:r>
      <w:r w:rsidRPr="007B537E">
        <w:rPr>
          <w:rFonts w:cs="Open Sans"/>
          <w:sz w:val="22"/>
          <w:szCs w:val="22"/>
        </w:rPr>
        <w:t>Organisations</w:t>
      </w:r>
      <w:r w:rsidR="00573BA7" w:rsidRPr="007B537E">
        <w:rPr>
          <w:rFonts w:cs="Open Sans"/>
          <w:sz w:val="22"/>
          <w:szCs w:val="22"/>
        </w:rPr>
        <w:t xml:space="preserve"> </w:t>
      </w:r>
      <w:r w:rsidRPr="007B537E">
        <w:rPr>
          <w:rFonts w:cs="Open Sans"/>
          <w:sz w:val="22"/>
          <w:szCs w:val="22"/>
        </w:rPr>
        <w:t>may</w:t>
      </w:r>
      <w:r w:rsidR="00573BA7" w:rsidRPr="007B537E">
        <w:rPr>
          <w:rFonts w:cs="Open Sans"/>
          <w:sz w:val="22"/>
          <w:szCs w:val="22"/>
        </w:rPr>
        <w:t xml:space="preserve"> </w:t>
      </w:r>
      <w:r w:rsidRPr="007B537E">
        <w:rPr>
          <w:rFonts w:cs="Open Sans"/>
          <w:sz w:val="22"/>
          <w:szCs w:val="22"/>
        </w:rPr>
        <w:t>also</w:t>
      </w:r>
      <w:r w:rsidR="00573BA7" w:rsidRPr="007B537E">
        <w:rPr>
          <w:rFonts w:cs="Open Sans"/>
          <w:sz w:val="22"/>
          <w:szCs w:val="22"/>
        </w:rPr>
        <w:t xml:space="preserve"> </w:t>
      </w:r>
      <w:r w:rsidRPr="007B537E">
        <w:rPr>
          <w:rFonts w:cs="Open Sans"/>
          <w:sz w:val="22"/>
          <w:szCs w:val="22"/>
        </w:rPr>
        <w:t>be</w:t>
      </w:r>
      <w:r w:rsidR="00573BA7" w:rsidRPr="007B537E">
        <w:rPr>
          <w:rFonts w:cs="Open Sans"/>
          <w:sz w:val="22"/>
          <w:szCs w:val="22"/>
        </w:rPr>
        <w:t xml:space="preserve"> </w:t>
      </w:r>
      <w:r w:rsidRPr="007B537E">
        <w:rPr>
          <w:rFonts w:cs="Open Sans"/>
          <w:sz w:val="22"/>
          <w:szCs w:val="22"/>
        </w:rPr>
        <w:t>better</w:t>
      </w:r>
      <w:r w:rsidR="00573BA7" w:rsidRPr="007B537E">
        <w:rPr>
          <w:rFonts w:cs="Open Sans"/>
          <w:sz w:val="22"/>
          <w:szCs w:val="22"/>
        </w:rPr>
        <w:t xml:space="preserve"> </w:t>
      </w:r>
      <w:r w:rsidRPr="007B537E">
        <w:rPr>
          <w:rFonts w:cs="Open Sans"/>
          <w:sz w:val="22"/>
          <w:szCs w:val="22"/>
        </w:rPr>
        <w:t>resourced</w:t>
      </w:r>
      <w:r w:rsidR="00573BA7" w:rsidRPr="007B537E">
        <w:rPr>
          <w:rFonts w:cs="Open Sans"/>
          <w:sz w:val="22"/>
          <w:szCs w:val="22"/>
        </w:rPr>
        <w:t xml:space="preserve"> </w:t>
      </w:r>
      <w:r w:rsidRPr="007B537E">
        <w:rPr>
          <w:rFonts w:cs="Open Sans"/>
          <w:sz w:val="22"/>
          <w:szCs w:val="22"/>
        </w:rPr>
        <w:t>to</w:t>
      </w:r>
      <w:r w:rsidR="00573BA7" w:rsidRPr="007B537E">
        <w:rPr>
          <w:rFonts w:cs="Open Sans"/>
          <w:sz w:val="22"/>
          <w:szCs w:val="22"/>
        </w:rPr>
        <w:t xml:space="preserve"> </w:t>
      </w:r>
      <w:r w:rsidRPr="007B537E">
        <w:rPr>
          <w:rFonts w:cs="Open Sans"/>
          <w:sz w:val="22"/>
          <w:szCs w:val="22"/>
        </w:rPr>
        <w:t>absorb</w:t>
      </w:r>
      <w:r w:rsidR="00573BA7" w:rsidRPr="007B537E">
        <w:rPr>
          <w:rFonts w:cs="Open Sans"/>
          <w:sz w:val="22"/>
          <w:szCs w:val="22"/>
        </w:rPr>
        <w:t xml:space="preserve"> </w:t>
      </w:r>
      <w:r w:rsidRPr="007B537E">
        <w:rPr>
          <w:rFonts w:cs="Open Sans"/>
          <w:sz w:val="22"/>
          <w:szCs w:val="22"/>
        </w:rPr>
        <w:t>the</w:t>
      </w:r>
      <w:r w:rsidR="00573BA7" w:rsidRPr="007B537E">
        <w:rPr>
          <w:rFonts w:cs="Open Sans"/>
          <w:sz w:val="22"/>
          <w:szCs w:val="22"/>
        </w:rPr>
        <w:t xml:space="preserve"> </w:t>
      </w:r>
      <w:r w:rsidRPr="007B537E">
        <w:rPr>
          <w:rFonts w:cs="Open Sans"/>
          <w:sz w:val="22"/>
          <w:szCs w:val="22"/>
        </w:rPr>
        <w:t>costs</w:t>
      </w:r>
      <w:r w:rsidR="00573BA7" w:rsidRPr="007B537E">
        <w:rPr>
          <w:rFonts w:cs="Open Sans"/>
          <w:sz w:val="22"/>
          <w:szCs w:val="22"/>
        </w:rPr>
        <w:t xml:space="preserve"> </w:t>
      </w:r>
      <w:r w:rsidRPr="007B537E">
        <w:rPr>
          <w:rFonts w:cs="Open Sans"/>
          <w:sz w:val="22"/>
          <w:szCs w:val="22"/>
        </w:rPr>
        <w:t>risks</w:t>
      </w:r>
      <w:r w:rsidR="00573BA7" w:rsidRPr="007B537E">
        <w:rPr>
          <w:rFonts w:cs="Open Sans"/>
          <w:sz w:val="22"/>
          <w:szCs w:val="22"/>
        </w:rPr>
        <w:t xml:space="preserve"> </w:t>
      </w:r>
      <w:r w:rsidRPr="007B537E">
        <w:rPr>
          <w:rFonts w:cs="Open Sans"/>
          <w:sz w:val="22"/>
          <w:szCs w:val="22"/>
        </w:rPr>
        <w:t>that</w:t>
      </w:r>
      <w:r w:rsidR="00573BA7" w:rsidRPr="007B537E">
        <w:rPr>
          <w:rFonts w:cs="Open Sans"/>
          <w:sz w:val="22"/>
          <w:szCs w:val="22"/>
        </w:rPr>
        <w:t xml:space="preserve"> </w:t>
      </w:r>
      <w:r w:rsidRPr="007B537E">
        <w:rPr>
          <w:rFonts w:cs="Open Sans"/>
          <w:sz w:val="22"/>
          <w:szCs w:val="22"/>
        </w:rPr>
        <w:t>are</w:t>
      </w:r>
      <w:r w:rsidR="00573BA7" w:rsidRPr="007B537E">
        <w:rPr>
          <w:rFonts w:cs="Open Sans"/>
          <w:sz w:val="22"/>
          <w:szCs w:val="22"/>
        </w:rPr>
        <w:t xml:space="preserve"> </w:t>
      </w:r>
      <w:r w:rsidRPr="007B537E">
        <w:rPr>
          <w:rFonts w:cs="Open Sans"/>
          <w:sz w:val="22"/>
          <w:szCs w:val="22"/>
        </w:rPr>
        <w:t>associated</w:t>
      </w:r>
      <w:r w:rsidR="00573BA7" w:rsidRPr="007B537E">
        <w:rPr>
          <w:rFonts w:cs="Open Sans"/>
          <w:sz w:val="22"/>
          <w:szCs w:val="22"/>
        </w:rPr>
        <w:t xml:space="preserve"> </w:t>
      </w:r>
      <w:r w:rsidRPr="007B537E">
        <w:rPr>
          <w:rFonts w:cs="Open Sans"/>
          <w:sz w:val="22"/>
          <w:szCs w:val="22"/>
        </w:rPr>
        <w:t>with</w:t>
      </w:r>
      <w:r w:rsidR="00573BA7" w:rsidRPr="007B537E">
        <w:rPr>
          <w:rFonts w:cs="Open Sans"/>
          <w:sz w:val="22"/>
          <w:szCs w:val="22"/>
        </w:rPr>
        <w:t xml:space="preserve"> </w:t>
      </w:r>
      <w:r w:rsidRPr="007B537E">
        <w:rPr>
          <w:rFonts w:cs="Open Sans"/>
          <w:sz w:val="22"/>
          <w:szCs w:val="22"/>
        </w:rPr>
        <w:t>pursuing</w:t>
      </w:r>
      <w:r w:rsidR="00573BA7" w:rsidRPr="007B537E">
        <w:rPr>
          <w:rFonts w:cs="Open Sans"/>
          <w:sz w:val="22"/>
          <w:szCs w:val="22"/>
        </w:rPr>
        <w:t xml:space="preserve"> </w:t>
      </w:r>
      <w:r w:rsidRPr="007B537E">
        <w:rPr>
          <w:rFonts w:cs="Open Sans"/>
          <w:sz w:val="22"/>
          <w:szCs w:val="22"/>
        </w:rPr>
        <w:t>discrimination</w:t>
      </w:r>
      <w:r w:rsidR="00573BA7" w:rsidRPr="007B537E">
        <w:rPr>
          <w:rFonts w:cs="Open Sans"/>
          <w:sz w:val="22"/>
          <w:szCs w:val="22"/>
        </w:rPr>
        <w:t xml:space="preserve"> </w:t>
      </w:r>
      <w:r w:rsidRPr="007B537E">
        <w:rPr>
          <w:rFonts w:cs="Open Sans"/>
          <w:sz w:val="22"/>
          <w:szCs w:val="22"/>
        </w:rPr>
        <w:t>complaints</w:t>
      </w:r>
      <w:r w:rsidR="00573BA7" w:rsidRPr="007B537E">
        <w:rPr>
          <w:rFonts w:cs="Open Sans"/>
          <w:sz w:val="22"/>
          <w:szCs w:val="22"/>
        </w:rPr>
        <w:t xml:space="preserve"> </w:t>
      </w:r>
      <w:r w:rsidRPr="007B537E">
        <w:rPr>
          <w:rFonts w:cs="Open Sans"/>
          <w:sz w:val="22"/>
          <w:szCs w:val="22"/>
        </w:rPr>
        <w:t>in</w:t>
      </w:r>
      <w:r w:rsidR="00573BA7" w:rsidRPr="007B537E">
        <w:rPr>
          <w:rFonts w:cs="Open Sans"/>
          <w:sz w:val="22"/>
          <w:szCs w:val="22"/>
        </w:rPr>
        <w:t xml:space="preserve"> </w:t>
      </w:r>
      <w:r w:rsidRPr="007B537E">
        <w:rPr>
          <w:rFonts w:cs="Open Sans"/>
          <w:sz w:val="22"/>
          <w:szCs w:val="22"/>
        </w:rPr>
        <w:t>court.</w:t>
      </w:r>
      <w:r w:rsidR="00573BA7" w:rsidRPr="007B537E">
        <w:rPr>
          <w:rFonts w:cs="Open Sans"/>
          <w:sz w:val="22"/>
          <w:szCs w:val="22"/>
        </w:rPr>
        <w:t xml:space="preserve"> </w:t>
      </w:r>
      <w:r w:rsidRPr="007B537E">
        <w:rPr>
          <w:rFonts w:cs="Open Sans"/>
          <w:sz w:val="22"/>
          <w:szCs w:val="22"/>
        </w:rPr>
        <w:t>This</w:t>
      </w:r>
      <w:r w:rsidR="00573BA7" w:rsidRPr="007B537E">
        <w:rPr>
          <w:rFonts w:cs="Open Sans"/>
          <w:sz w:val="22"/>
          <w:szCs w:val="22"/>
        </w:rPr>
        <w:t xml:space="preserve"> </w:t>
      </w:r>
      <w:r w:rsidRPr="007B537E">
        <w:rPr>
          <w:rFonts w:cs="Open Sans"/>
          <w:sz w:val="22"/>
          <w:szCs w:val="22"/>
        </w:rPr>
        <w:t>is</w:t>
      </w:r>
      <w:r w:rsidR="00573BA7" w:rsidRPr="007B537E">
        <w:rPr>
          <w:rFonts w:cs="Open Sans"/>
          <w:sz w:val="22"/>
          <w:szCs w:val="22"/>
        </w:rPr>
        <w:t xml:space="preserve"> </w:t>
      </w:r>
      <w:r w:rsidRPr="007B537E">
        <w:rPr>
          <w:rFonts w:cs="Open Sans"/>
          <w:sz w:val="22"/>
          <w:szCs w:val="22"/>
        </w:rPr>
        <w:t>particularly</w:t>
      </w:r>
      <w:r w:rsidR="00573BA7" w:rsidRPr="007B537E">
        <w:rPr>
          <w:rFonts w:cs="Open Sans"/>
          <w:sz w:val="22"/>
          <w:szCs w:val="22"/>
        </w:rPr>
        <w:t xml:space="preserve"> </w:t>
      </w:r>
      <w:r w:rsidRPr="007B537E">
        <w:rPr>
          <w:rFonts w:cs="Open Sans"/>
          <w:sz w:val="22"/>
          <w:szCs w:val="22"/>
        </w:rPr>
        <w:t>the</w:t>
      </w:r>
      <w:r w:rsidR="00573BA7" w:rsidRPr="007B537E">
        <w:rPr>
          <w:rFonts w:cs="Open Sans"/>
          <w:sz w:val="22"/>
          <w:szCs w:val="22"/>
        </w:rPr>
        <w:t xml:space="preserve"> </w:t>
      </w:r>
      <w:r w:rsidRPr="007B537E">
        <w:rPr>
          <w:rFonts w:cs="Open Sans"/>
          <w:sz w:val="22"/>
          <w:szCs w:val="22"/>
        </w:rPr>
        <w:t>case</w:t>
      </w:r>
      <w:r w:rsidR="00573BA7" w:rsidRPr="007B537E">
        <w:rPr>
          <w:rFonts w:cs="Open Sans"/>
          <w:sz w:val="22"/>
          <w:szCs w:val="22"/>
        </w:rPr>
        <w:t xml:space="preserve"> </w:t>
      </w:r>
      <w:r w:rsidRPr="007B537E">
        <w:rPr>
          <w:rFonts w:cs="Open Sans"/>
          <w:sz w:val="22"/>
          <w:szCs w:val="22"/>
        </w:rPr>
        <w:t>when</w:t>
      </w:r>
      <w:r w:rsidR="00573BA7" w:rsidRPr="007B537E">
        <w:rPr>
          <w:rFonts w:cs="Open Sans"/>
          <w:sz w:val="22"/>
          <w:szCs w:val="22"/>
        </w:rPr>
        <w:t xml:space="preserve"> </w:t>
      </w:r>
      <w:r w:rsidRPr="007B537E">
        <w:rPr>
          <w:rFonts w:cs="Open Sans"/>
          <w:sz w:val="22"/>
          <w:szCs w:val="22"/>
        </w:rPr>
        <w:t>the</w:t>
      </w:r>
      <w:r w:rsidR="00573BA7" w:rsidRPr="007B537E">
        <w:rPr>
          <w:rFonts w:cs="Open Sans"/>
          <w:sz w:val="22"/>
          <w:szCs w:val="22"/>
        </w:rPr>
        <w:t xml:space="preserve"> </w:t>
      </w:r>
      <w:r w:rsidRPr="007B537E">
        <w:rPr>
          <w:rFonts w:cs="Open Sans"/>
          <w:sz w:val="22"/>
          <w:szCs w:val="22"/>
        </w:rPr>
        <w:t>discriminator</w:t>
      </w:r>
      <w:r w:rsidR="00573BA7" w:rsidRPr="007B537E">
        <w:rPr>
          <w:rFonts w:cs="Open Sans"/>
          <w:sz w:val="22"/>
          <w:szCs w:val="22"/>
        </w:rPr>
        <w:t xml:space="preserve"> </w:t>
      </w:r>
      <w:r w:rsidRPr="007B537E">
        <w:rPr>
          <w:rFonts w:cs="Open Sans"/>
          <w:sz w:val="22"/>
          <w:szCs w:val="22"/>
        </w:rPr>
        <w:t>is</w:t>
      </w:r>
      <w:r w:rsidR="00573BA7" w:rsidRPr="007B537E">
        <w:rPr>
          <w:rFonts w:cs="Open Sans"/>
          <w:sz w:val="22"/>
          <w:szCs w:val="22"/>
        </w:rPr>
        <w:t xml:space="preserve"> </w:t>
      </w:r>
      <w:r w:rsidRPr="007B537E">
        <w:rPr>
          <w:rFonts w:cs="Open Sans"/>
          <w:sz w:val="22"/>
          <w:szCs w:val="22"/>
        </w:rPr>
        <w:t>a</w:t>
      </w:r>
      <w:r w:rsidR="00573BA7" w:rsidRPr="007B537E">
        <w:rPr>
          <w:rFonts w:cs="Open Sans"/>
          <w:sz w:val="22"/>
          <w:szCs w:val="22"/>
        </w:rPr>
        <w:t xml:space="preserve"> </w:t>
      </w:r>
      <w:r w:rsidRPr="007B537E">
        <w:rPr>
          <w:rFonts w:cs="Open Sans"/>
          <w:sz w:val="22"/>
          <w:szCs w:val="22"/>
        </w:rPr>
        <w:t>large</w:t>
      </w:r>
      <w:r w:rsidR="00573BA7" w:rsidRPr="007B537E">
        <w:rPr>
          <w:rFonts w:cs="Open Sans"/>
          <w:sz w:val="22"/>
          <w:szCs w:val="22"/>
        </w:rPr>
        <w:t xml:space="preserve"> </w:t>
      </w:r>
      <w:r w:rsidRPr="007B537E">
        <w:rPr>
          <w:rFonts w:cs="Open Sans"/>
          <w:sz w:val="22"/>
          <w:szCs w:val="22"/>
        </w:rPr>
        <w:t>corporation,</w:t>
      </w:r>
      <w:r w:rsidR="00573BA7" w:rsidRPr="007B537E">
        <w:rPr>
          <w:rFonts w:cs="Open Sans"/>
          <w:sz w:val="22"/>
          <w:szCs w:val="22"/>
        </w:rPr>
        <w:t xml:space="preserve"> </w:t>
      </w:r>
      <w:r w:rsidRPr="007B537E">
        <w:rPr>
          <w:rFonts w:cs="Open Sans"/>
          <w:sz w:val="22"/>
          <w:szCs w:val="22"/>
        </w:rPr>
        <w:t>and</w:t>
      </w:r>
      <w:r w:rsidR="00573BA7" w:rsidRPr="007B537E">
        <w:rPr>
          <w:rFonts w:cs="Open Sans"/>
          <w:sz w:val="22"/>
          <w:szCs w:val="22"/>
        </w:rPr>
        <w:t xml:space="preserve"> </w:t>
      </w:r>
      <w:r w:rsidRPr="007B537E">
        <w:rPr>
          <w:rFonts w:cs="Open Sans"/>
          <w:sz w:val="22"/>
          <w:szCs w:val="22"/>
        </w:rPr>
        <w:t>there</w:t>
      </w:r>
      <w:r w:rsidR="00573BA7" w:rsidRPr="007B537E">
        <w:rPr>
          <w:rFonts w:cs="Open Sans"/>
          <w:sz w:val="22"/>
          <w:szCs w:val="22"/>
        </w:rPr>
        <w:t xml:space="preserve"> </w:t>
      </w:r>
      <w:r w:rsidRPr="007B537E">
        <w:rPr>
          <w:rFonts w:cs="Open Sans"/>
          <w:sz w:val="22"/>
          <w:szCs w:val="22"/>
        </w:rPr>
        <w:t>is</w:t>
      </w:r>
      <w:r w:rsidR="00573BA7" w:rsidRPr="007B537E">
        <w:rPr>
          <w:rFonts w:cs="Open Sans"/>
          <w:sz w:val="22"/>
          <w:szCs w:val="22"/>
        </w:rPr>
        <w:t xml:space="preserve"> </w:t>
      </w:r>
      <w:r w:rsidRPr="007B537E">
        <w:rPr>
          <w:rFonts w:cs="Open Sans"/>
          <w:sz w:val="22"/>
          <w:szCs w:val="22"/>
        </w:rPr>
        <w:t>a</w:t>
      </w:r>
      <w:r w:rsidR="00573BA7" w:rsidRPr="007B537E">
        <w:rPr>
          <w:rFonts w:cs="Open Sans"/>
          <w:sz w:val="22"/>
          <w:szCs w:val="22"/>
        </w:rPr>
        <w:t xml:space="preserve"> </w:t>
      </w:r>
      <w:r w:rsidRPr="007B537E">
        <w:rPr>
          <w:rFonts w:cs="Open Sans"/>
          <w:sz w:val="22"/>
          <w:szCs w:val="22"/>
        </w:rPr>
        <w:t>significant</w:t>
      </w:r>
      <w:r w:rsidR="00573BA7" w:rsidRPr="007B537E">
        <w:rPr>
          <w:rFonts w:cs="Open Sans"/>
          <w:sz w:val="22"/>
          <w:szCs w:val="22"/>
        </w:rPr>
        <w:t xml:space="preserve"> </w:t>
      </w:r>
      <w:r w:rsidRPr="007B537E">
        <w:rPr>
          <w:rFonts w:cs="Open Sans"/>
          <w:sz w:val="22"/>
          <w:szCs w:val="22"/>
        </w:rPr>
        <w:t>difference</w:t>
      </w:r>
      <w:r w:rsidR="00573BA7" w:rsidRPr="007B537E">
        <w:rPr>
          <w:rFonts w:cs="Open Sans"/>
          <w:sz w:val="22"/>
          <w:szCs w:val="22"/>
        </w:rPr>
        <w:t xml:space="preserve"> </w:t>
      </w:r>
      <w:r w:rsidRPr="007B537E">
        <w:rPr>
          <w:rFonts w:cs="Open Sans"/>
          <w:sz w:val="22"/>
          <w:szCs w:val="22"/>
        </w:rPr>
        <w:t>between</w:t>
      </w:r>
      <w:r w:rsidR="00573BA7" w:rsidRPr="007B537E">
        <w:rPr>
          <w:rFonts w:cs="Open Sans"/>
          <w:sz w:val="22"/>
          <w:szCs w:val="22"/>
        </w:rPr>
        <w:t xml:space="preserve"> </w:t>
      </w:r>
      <w:r w:rsidRPr="007B537E">
        <w:rPr>
          <w:rFonts w:cs="Open Sans"/>
          <w:sz w:val="22"/>
          <w:szCs w:val="22"/>
        </w:rPr>
        <w:t>the</w:t>
      </w:r>
      <w:r w:rsidR="00573BA7" w:rsidRPr="007B537E">
        <w:rPr>
          <w:rFonts w:cs="Open Sans"/>
          <w:sz w:val="22"/>
          <w:szCs w:val="22"/>
        </w:rPr>
        <w:t xml:space="preserve"> </w:t>
      </w:r>
      <w:r w:rsidRPr="007B537E">
        <w:rPr>
          <w:rFonts w:cs="Open Sans"/>
          <w:sz w:val="22"/>
          <w:szCs w:val="22"/>
        </w:rPr>
        <w:t>resources</w:t>
      </w:r>
      <w:r w:rsidR="00573BA7" w:rsidRPr="007B537E">
        <w:rPr>
          <w:rFonts w:cs="Open Sans"/>
          <w:sz w:val="22"/>
          <w:szCs w:val="22"/>
        </w:rPr>
        <w:t xml:space="preserve"> </w:t>
      </w:r>
      <w:r w:rsidRPr="007B537E">
        <w:rPr>
          <w:rFonts w:cs="Open Sans"/>
          <w:sz w:val="22"/>
          <w:szCs w:val="22"/>
        </w:rPr>
        <w:t>of</w:t>
      </w:r>
      <w:r w:rsidR="00573BA7" w:rsidRPr="007B537E">
        <w:rPr>
          <w:rFonts w:cs="Open Sans"/>
          <w:sz w:val="22"/>
          <w:szCs w:val="22"/>
        </w:rPr>
        <w:t xml:space="preserve"> </w:t>
      </w:r>
      <w:r w:rsidRPr="007B537E">
        <w:rPr>
          <w:rFonts w:cs="Open Sans"/>
          <w:sz w:val="22"/>
          <w:szCs w:val="22"/>
        </w:rPr>
        <w:t>the</w:t>
      </w:r>
      <w:r w:rsidR="00573BA7" w:rsidRPr="007B537E">
        <w:rPr>
          <w:rFonts w:cs="Open Sans"/>
          <w:sz w:val="22"/>
          <w:szCs w:val="22"/>
        </w:rPr>
        <w:t xml:space="preserve"> </w:t>
      </w:r>
      <w:r w:rsidRPr="007B537E">
        <w:rPr>
          <w:rFonts w:cs="Open Sans"/>
          <w:sz w:val="22"/>
          <w:szCs w:val="22"/>
        </w:rPr>
        <w:t>complainant</w:t>
      </w:r>
      <w:r w:rsidR="00573BA7" w:rsidRPr="007B537E">
        <w:rPr>
          <w:rFonts w:cs="Open Sans"/>
          <w:sz w:val="22"/>
          <w:szCs w:val="22"/>
        </w:rPr>
        <w:t xml:space="preserve"> </w:t>
      </w:r>
      <w:r w:rsidRPr="007B537E">
        <w:rPr>
          <w:rFonts w:cs="Open Sans"/>
          <w:sz w:val="22"/>
          <w:szCs w:val="22"/>
        </w:rPr>
        <w:t>and</w:t>
      </w:r>
      <w:r w:rsidR="00573BA7" w:rsidRPr="007B537E">
        <w:rPr>
          <w:rFonts w:cs="Open Sans"/>
          <w:sz w:val="22"/>
          <w:szCs w:val="22"/>
        </w:rPr>
        <w:t xml:space="preserve"> </w:t>
      </w:r>
      <w:r w:rsidRPr="007B537E">
        <w:rPr>
          <w:rFonts w:cs="Open Sans"/>
          <w:sz w:val="22"/>
          <w:szCs w:val="22"/>
        </w:rPr>
        <w:t>alleged</w:t>
      </w:r>
      <w:r w:rsidR="00573BA7" w:rsidRPr="007B537E">
        <w:rPr>
          <w:rFonts w:cs="Open Sans"/>
          <w:sz w:val="22"/>
          <w:szCs w:val="22"/>
        </w:rPr>
        <w:t xml:space="preserve"> </w:t>
      </w:r>
      <w:r w:rsidRPr="007B537E">
        <w:rPr>
          <w:rFonts w:cs="Open Sans"/>
          <w:sz w:val="22"/>
          <w:szCs w:val="22"/>
        </w:rPr>
        <w:t>discriminator.</w:t>
      </w:r>
      <w:r w:rsidR="00573BA7" w:rsidRPr="007B537E">
        <w:rPr>
          <w:rFonts w:cs="Open Sans"/>
          <w:sz w:val="22"/>
          <w:szCs w:val="22"/>
        </w:rPr>
        <w:t xml:space="preserve"> </w:t>
      </w:r>
      <w:r w:rsidRPr="007B537E">
        <w:rPr>
          <w:rFonts w:cs="Open Sans"/>
          <w:sz w:val="22"/>
          <w:szCs w:val="22"/>
        </w:rPr>
        <w:t>Extending</w:t>
      </w:r>
      <w:r w:rsidR="00573BA7" w:rsidRPr="007B537E">
        <w:rPr>
          <w:rFonts w:cs="Open Sans"/>
          <w:sz w:val="22"/>
          <w:szCs w:val="22"/>
        </w:rPr>
        <w:t xml:space="preserve"> </w:t>
      </w:r>
      <w:r w:rsidRPr="007B537E">
        <w:rPr>
          <w:rFonts w:cs="Open Sans"/>
          <w:sz w:val="22"/>
          <w:szCs w:val="22"/>
        </w:rPr>
        <w:t>the</w:t>
      </w:r>
      <w:r w:rsidR="00573BA7" w:rsidRPr="007B537E">
        <w:rPr>
          <w:rFonts w:cs="Open Sans"/>
          <w:sz w:val="22"/>
          <w:szCs w:val="22"/>
        </w:rPr>
        <w:t xml:space="preserve"> </w:t>
      </w:r>
      <w:r w:rsidRPr="007B537E">
        <w:rPr>
          <w:rFonts w:cs="Open Sans"/>
          <w:sz w:val="22"/>
          <w:szCs w:val="22"/>
        </w:rPr>
        <w:t>rules</w:t>
      </w:r>
      <w:r w:rsidR="00573BA7" w:rsidRPr="007B537E">
        <w:rPr>
          <w:rFonts w:cs="Open Sans"/>
          <w:sz w:val="22"/>
          <w:szCs w:val="22"/>
        </w:rPr>
        <w:t xml:space="preserve"> </w:t>
      </w:r>
      <w:r w:rsidRPr="007B537E">
        <w:rPr>
          <w:rFonts w:cs="Open Sans"/>
          <w:sz w:val="22"/>
          <w:szCs w:val="22"/>
        </w:rPr>
        <w:t>of</w:t>
      </w:r>
      <w:r w:rsidR="00573BA7" w:rsidRPr="007B537E">
        <w:rPr>
          <w:rFonts w:cs="Open Sans"/>
          <w:sz w:val="22"/>
          <w:szCs w:val="22"/>
        </w:rPr>
        <w:t xml:space="preserve"> </w:t>
      </w:r>
      <w:r w:rsidRPr="007B537E">
        <w:rPr>
          <w:rFonts w:cs="Open Sans"/>
          <w:sz w:val="22"/>
          <w:szCs w:val="22"/>
        </w:rPr>
        <w:t>standing</w:t>
      </w:r>
      <w:r w:rsidR="00573BA7" w:rsidRPr="007B537E">
        <w:rPr>
          <w:rFonts w:cs="Open Sans"/>
          <w:sz w:val="22"/>
          <w:szCs w:val="22"/>
        </w:rPr>
        <w:t xml:space="preserve"> </w:t>
      </w:r>
      <w:r w:rsidRPr="007B537E">
        <w:rPr>
          <w:rFonts w:cs="Open Sans"/>
          <w:sz w:val="22"/>
          <w:szCs w:val="22"/>
        </w:rPr>
        <w:t>would</w:t>
      </w:r>
      <w:r w:rsidR="00573BA7" w:rsidRPr="007B537E">
        <w:rPr>
          <w:rFonts w:cs="Open Sans"/>
          <w:sz w:val="22"/>
          <w:szCs w:val="22"/>
        </w:rPr>
        <w:t xml:space="preserve"> </w:t>
      </w:r>
      <w:r w:rsidRPr="007B537E">
        <w:rPr>
          <w:rFonts w:cs="Open Sans"/>
          <w:sz w:val="22"/>
          <w:szCs w:val="22"/>
        </w:rPr>
        <w:t>assist</w:t>
      </w:r>
      <w:r w:rsidR="00573BA7" w:rsidRPr="007B537E">
        <w:rPr>
          <w:rFonts w:cs="Open Sans"/>
          <w:sz w:val="22"/>
          <w:szCs w:val="22"/>
        </w:rPr>
        <w:t xml:space="preserve"> </w:t>
      </w:r>
      <w:r w:rsidRPr="007B537E">
        <w:rPr>
          <w:rFonts w:cs="Open Sans"/>
          <w:sz w:val="22"/>
          <w:szCs w:val="22"/>
        </w:rPr>
        <w:t>to</w:t>
      </w:r>
      <w:r w:rsidR="00573BA7" w:rsidRPr="007B537E">
        <w:rPr>
          <w:rFonts w:cs="Open Sans"/>
          <w:sz w:val="22"/>
          <w:szCs w:val="22"/>
        </w:rPr>
        <w:t xml:space="preserve"> </w:t>
      </w:r>
      <w:r w:rsidRPr="007B537E">
        <w:rPr>
          <w:rFonts w:cs="Open Sans"/>
          <w:sz w:val="22"/>
          <w:szCs w:val="22"/>
        </w:rPr>
        <w:t>place</w:t>
      </w:r>
      <w:r w:rsidR="00573BA7" w:rsidRPr="007B537E">
        <w:rPr>
          <w:rFonts w:cs="Open Sans"/>
          <w:sz w:val="22"/>
          <w:szCs w:val="22"/>
        </w:rPr>
        <w:t xml:space="preserve"> </w:t>
      </w:r>
      <w:r w:rsidRPr="007B537E">
        <w:rPr>
          <w:rFonts w:cs="Open Sans"/>
          <w:sz w:val="22"/>
          <w:szCs w:val="22"/>
        </w:rPr>
        <w:t>greater</w:t>
      </w:r>
      <w:r w:rsidR="00573BA7" w:rsidRPr="007B537E">
        <w:rPr>
          <w:rFonts w:cs="Open Sans"/>
          <w:sz w:val="22"/>
          <w:szCs w:val="22"/>
        </w:rPr>
        <w:t xml:space="preserve"> </w:t>
      </w:r>
      <w:r w:rsidRPr="007B537E">
        <w:rPr>
          <w:rFonts w:cs="Open Sans"/>
          <w:sz w:val="22"/>
          <w:szCs w:val="22"/>
        </w:rPr>
        <w:t>focus</w:t>
      </w:r>
      <w:r w:rsidR="00573BA7" w:rsidRPr="007B537E">
        <w:rPr>
          <w:rFonts w:cs="Open Sans"/>
          <w:sz w:val="22"/>
          <w:szCs w:val="22"/>
        </w:rPr>
        <w:t xml:space="preserve"> </w:t>
      </w:r>
      <w:r w:rsidRPr="007B537E">
        <w:rPr>
          <w:rFonts w:cs="Open Sans"/>
          <w:sz w:val="22"/>
          <w:szCs w:val="22"/>
        </w:rPr>
        <w:t>on</w:t>
      </w:r>
      <w:r w:rsidR="00573BA7" w:rsidRPr="007B537E">
        <w:rPr>
          <w:rFonts w:cs="Open Sans"/>
          <w:sz w:val="22"/>
          <w:szCs w:val="22"/>
        </w:rPr>
        <w:t xml:space="preserve"> </w:t>
      </w:r>
      <w:r w:rsidRPr="007B537E">
        <w:rPr>
          <w:rFonts w:cs="Open Sans"/>
          <w:sz w:val="22"/>
          <w:szCs w:val="22"/>
        </w:rPr>
        <w:t>systemic</w:t>
      </w:r>
      <w:r w:rsidR="00573BA7" w:rsidRPr="007B537E">
        <w:rPr>
          <w:rFonts w:cs="Open Sans"/>
          <w:sz w:val="22"/>
          <w:szCs w:val="22"/>
        </w:rPr>
        <w:t xml:space="preserve"> </w:t>
      </w:r>
      <w:r w:rsidRPr="007B537E">
        <w:rPr>
          <w:rFonts w:cs="Open Sans"/>
          <w:sz w:val="22"/>
          <w:szCs w:val="22"/>
        </w:rPr>
        <w:t>discrimination</w:t>
      </w:r>
      <w:r w:rsidR="00573BA7" w:rsidRPr="007B537E">
        <w:rPr>
          <w:rFonts w:cs="Open Sans"/>
          <w:sz w:val="22"/>
          <w:szCs w:val="22"/>
        </w:rPr>
        <w:t xml:space="preserve"> </w:t>
      </w:r>
      <w:r w:rsidRPr="007B537E">
        <w:rPr>
          <w:rFonts w:cs="Open Sans"/>
          <w:sz w:val="22"/>
          <w:szCs w:val="22"/>
        </w:rPr>
        <w:t>issues</w:t>
      </w:r>
      <w:r w:rsidR="00573BA7" w:rsidRPr="007B537E">
        <w:rPr>
          <w:rFonts w:cs="Open Sans"/>
          <w:sz w:val="22"/>
          <w:szCs w:val="22"/>
        </w:rPr>
        <w:t xml:space="preserve"> </w:t>
      </w:r>
      <w:r w:rsidRPr="007B537E">
        <w:rPr>
          <w:rFonts w:cs="Open Sans"/>
          <w:sz w:val="22"/>
          <w:szCs w:val="22"/>
        </w:rPr>
        <w:t>and</w:t>
      </w:r>
      <w:r w:rsidR="00573BA7" w:rsidRPr="007B537E">
        <w:rPr>
          <w:rFonts w:cs="Open Sans"/>
          <w:sz w:val="22"/>
          <w:szCs w:val="22"/>
        </w:rPr>
        <w:t xml:space="preserve"> </w:t>
      </w:r>
      <w:r w:rsidRPr="007B537E">
        <w:rPr>
          <w:rFonts w:cs="Open Sans"/>
          <w:sz w:val="22"/>
          <w:szCs w:val="22"/>
        </w:rPr>
        <w:t>limit</w:t>
      </w:r>
      <w:r w:rsidR="00573BA7" w:rsidRPr="007B537E">
        <w:rPr>
          <w:rFonts w:cs="Open Sans"/>
          <w:sz w:val="22"/>
          <w:szCs w:val="22"/>
        </w:rPr>
        <w:t xml:space="preserve"> </w:t>
      </w:r>
      <w:r w:rsidRPr="007B537E">
        <w:rPr>
          <w:rFonts w:cs="Open Sans"/>
          <w:sz w:val="22"/>
          <w:szCs w:val="22"/>
        </w:rPr>
        <w:t>the</w:t>
      </w:r>
      <w:r w:rsidR="00573BA7" w:rsidRPr="007B537E">
        <w:rPr>
          <w:rFonts w:cs="Open Sans"/>
          <w:sz w:val="22"/>
          <w:szCs w:val="22"/>
        </w:rPr>
        <w:t xml:space="preserve"> </w:t>
      </w:r>
      <w:r w:rsidRPr="007B537E">
        <w:rPr>
          <w:rFonts w:cs="Open Sans"/>
          <w:sz w:val="22"/>
          <w:szCs w:val="22"/>
        </w:rPr>
        <w:t>risks</w:t>
      </w:r>
      <w:r w:rsidR="00573BA7" w:rsidRPr="007B537E">
        <w:rPr>
          <w:rFonts w:cs="Open Sans"/>
          <w:sz w:val="22"/>
          <w:szCs w:val="22"/>
        </w:rPr>
        <w:t xml:space="preserve"> </w:t>
      </w:r>
      <w:r w:rsidRPr="007B537E">
        <w:rPr>
          <w:rFonts w:cs="Open Sans"/>
          <w:sz w:val="22"/>
          <w:szCs w:val="22"/>
        </w:rPr>
        <w:t>and</w:t>
      </w:r>
      <w:r w:rsidR="00573BA7" w:rsidRPr="007B537E">
        <w:rPr>
          <w:rFonts w:cs="Open Sans"/>
          <w:sz w:val="22"/>
          <w:szCs w:val="22"/>
        </w:rPr>
        <w:t xml:space="preserve"> </w:t>
      </w:r>
      <w:r w:rsidRPr="007B537E">
        <w:rPr>
          <w:rFonts w:cs="Open Sans"/>
          <w:sz w:val="22"/>
          <w:szCs w:val="22"/>
        </w:rPr>
        <w:t>burden</w:t>
      </w:r>
      <w:r w:rsidR="00573BA7" w:rsidRPr="007B537E">
        <w:rPr>
          <w:rFonts w:cs="Open Sans"/>
          <w:sz w:val="22"/>
          <w:szCs w:val="22"/>
        </w:rPr>
        <w:t xml:space="preserve"> </w:t>
      </w:r>
      <w:r w:rsidRPr="007B537E">
        <w:rPr>
          <w:rFonts w:cs="Open Sans"/>
          <w:sz w:val="22"/>
          <w:szCs w:val="22"/>
        </w:rPr>
        <w:t>that</w:t>
      </w:r>
      <w:r w:rsidR="00573BA7" w:rsidRPr="007B537E">
        <w:rPr>
          <w:rFonts w:cs="Open Sans"/>
          <w:sz w:val="22"/>
          <w:szCs w:val="22"/>
        </w:rPr>
        <w:t xml:space="preserve"> </w:t>
      </w:r>
      <w:r w:rsidRPr="007B537E">
        <w:rPr>
          <w:rFonts w:cs="Open Sans"/>
          <w:sz w:val="22"/>
          <w:szCs w:val="22"/>
        </w:rPr>
        <w:t>litigation</w:t>
      </w:r>
      <w:r w:rsidR="005F14C1">
        <w:rPr>
          <w:rFonts w:cs="Open Sans"/>
          <w:sz w:val="22"/>
          <w:szCs w:val="22"/>
        </w:rPr>
        <w:t xml:space="preserve"> </w:t>
      </w:r>
      <w:r w:rsidRPr="007B537E">
        <w:rPr>
          <w:rFonts w:cs="Open Sans"/>
          <w:sz w:val="22"/>
          <w:szCs w:val="22"/>
        </w:rPr>
        <w:t>…</w:t>
      </w:r>
      <w:r w:rsidR="005F14C1">
        <w:rPr>
          <w:rFonts w:cs="Open Sans"/>
          <w:sz w:val="22"/>
          <w:szCs w:val="22"/>
        </w:rPr>
        <w:t xml:space="preserve"> </w:t>
      </w:r>
      <w:r w:rsidRPr="007B537E">
        <w:rPr>
          <w:rFonts w:cs="Open Sans"/>
          <w:sz w:val="22"/>
          <w:szCs w:val="22"/>
        </w:rPr>
        <w:t>places</w:t>
      </w:r>
      <w:r w:rsidR="00573BA7" w:rsidRPr="007B537E">
        <w:rPr>
          <w:rFonts w:cs="Open Sans"/>
          <w:sz w:val="22"/>
          <w:szCs w:val="22"/>
        </w:rPr>
        <w:t xml:space="preserve"> </w:t>
      </w:r>
      <w:r w:rsidRPr="007B537E">
        <w:rPr>
          <w:rFonts w:cs="Open Sans"/>
          <w:sz w:val="22"/>
          <w:szCs w:val="22"/>
        </w:rPr>
        <w:t>on</w:t>
      </w:r>
      <w:r w:rsidR="00573BA7" w:rsidRPr="007B537E">
        <w:rPr>
          <w:rFonts w:cs="Open Sans"/>
          <w:sz w:val="22"/>
          <w:szCs w:val="22"/>
        </w:rPr>
        <w:t xml:space="preserve"> </w:t>
      </w:r>
      <w:r w:rsidRPr="007B537E">
        <w:rPr>
          <w:rFonts w:cs="Open Sans"/>
          <w:sz w:val="22"/>
          <w:szCs w:val="22"/>
        </w:rPr>
        <w:t>individuals.</w:t>
      </w:r>
      <w:r w:rsidR="00EB6372" w:rsidRPr="07069484">
        <w:rPr>
          <w:rStyle w:val="EndnoteReference"/>
          <w:rFonts w:cs="Open Sans"/>
        </w:rPr>
        <w:endnoteReference w:id="156"/>
      </w:r>
    </w:p>
    <w:p w14:paraId="175587A3" w14:textId="33F5DB8E" w:rsidR="00A97DA6" w:rsidRDefault="00A97DA6" w:rsidP="00A97DA6">
      <w:pPr>
        <w:pStyle w:val="ListNumber"/>
      </w:pPr>
      <w:r>
        <w:t xml:space="preserve">More recently, the Commission has </w:t>
      </w:r>
      <w:r w:rsidR="00F60666">
        <w:t xml:space="preserve">considered </w:t>
      </w:r>
      <w:r>
        <w:t xml:space="preserve">the issue of standing in its </w:t>
      </w:r>
      <w:r w:rsidRPr="004022BC">
        <w:t>Respect@Work</w:t>
      </w:r>
      <w:r w:rsidRPr="07069484">
        <w:rPr>
          <w:i/>
          <w:iCs/>
        </w:rPr>
        <w:t xml:space="preserve"> </w:t>
      </w:r>
      <w:r>
        <w:t xml:space="preserve">report and recommended that the </w:t>
      </w:r>
      <w:r w:rsidRPr="07069484">
        <w:rPr>
          <w:i/>
          <w:iCs/>
        </w:rPr>
        <w:t xml:space="preserve">Australian Human Rights Commission Act 1986 </w:t>
      </w:r>
      <w:r>
        <w:t xml:space="preserve">(Cth) be amended to allow representative groups to bring </w:t>
      </w:r>
      <w:r w:rsidR="00A539E6">
        <w:t>representative claims to court</w:t>
      </w:r>
      <w:r>
        <w:t>.</w:t>
      </w:r>
      <w:r w:rsidR="00B01636">
        <w:rPr>
          <w:rStyle w:val="EndnoteReference"/>
        </w:rPr>
        <w:endnoteReference w:id="157"/>
      </w:r>
      <w:r>
        <w:t xml:space="preserve"> The Commission reiterates this recommendation.</w:t>
      </w:r>
    </w:p>
    <w:p w14:paraId="68F23022" w14:textId="4A2E6F43" w:rsidR="006C53DF" w:rsidRPr="004022BC" w:rsidRDefault="00A36854" w:rsidP="004022BC">
      <w:pPr>
        <w:pStyle w:val="ListNumber"/>
      </w:pPr>
      <w:r w:rsidRPr="004022BC">
        <w:t>The issue of standing will be further explored in the National Conversation report due to be published later this year.</w:t>
      </w:r>
    </w:p>
    <w:p w14:paraId="3A94B132" w14:textId="77777777" w:rsidR="000E1DDB" w:rsidRPr="000E1DDB" w:rsidRDefault="000E1DDB" w:rsidP="000E1DDB">
      <w:pPr>
        <w:pStyle w:val="ListNumber"/>
        <w:rPr>
          <w:b/>
          <w:bCs/>
          <w:i/>
          <w:iCs/>
          <w:color w:val="000000" w:themeColor="text1"/>
          <w:lang w:eastAsia="en-GB"/>
        </w:rPr>
      </w:pPr>
      <w:bookmarkStart w:id="72" w:name="_Toc51834286"/>
      <w:r w:rsidRPr="000E1DDB">
        <w:rPr>
          <w:b/>
          <w:bCs/>
          <w:i/>
          <w:iCs/>
        </w:rPr>
        <w:t xml:space="preserve">Recommendation 4: The Australian Government </w:t>
      </w:r>
      <w:r w:rsidRPr="000E1DDB">
        <w:rPr>
          <w:rFonts w:cs="Open Sans"/>
          <w:b/>
          <w:bCs/>
          <w:i/>
          <w:iCs/>
        </w:rPr>
        <w:t xml:space="preserve">amend the Australian Human Rights Commission Act to allow unions and other representative groups to bring representative claims to court, consistent with the existing provisions in the Australian Human Rights Commission Act that allow unions and other representative groups to bring a representative complaint to the Commission. </w:t>
      </w:r>
      <w:r w:rsidRPr="000E1DDB">
        <w:rPr>
          <w:b/>
          <w:bCs/>
          <w:i/>
          <w:iCs/>
        </w:rPr>
        <w:t xml:space="preserve"> </w:t>
      </w:r>
    </w:p>
    <w:p w14:paraId="3F8D4285" w14:textId="2EFC4E5D" w:rsidR="002A51FD" w:rsidRPr="00710E6A" w:rsidRDefault="00F7338C">
      <w:pPr>
        <w:pStyle w:val="Heading3"/>
        <w:rPr>
          <w:b/>
          <w:bCs w:val="0"/>
        </w:rPr>
      </w:pPr>
      <w:r w:rsidRPr="00710E6A">
        <w:rPr>
          <w:b/>
          <w:bCs w:val="0"/>
        </w:rPr>
        <w:lastRenderedPageBreak/>
        <w:t>Introducing a positive duty</w:t>
      </w:r>
      <w:bookmarkEnd w:id="72"/>
    </w:p>
    <w:p w14:paraId="691B4038" w14:textId="49B3BF1B" w:rsidR="002A51FD" w:rsidRPr="003F4CE1" w:rsidRDefault="007617C0" w:rsidP="00662F4B">
      <w:pPr>
        <w:pStyle w:val="ListNumber"/>
        <w:rPr>
          <w:rFonts w:eastAsia="Times New Roman" w:cs="Open Sans"/>
        </w:rPr>
      </w:pPr>
      <w:r w:rsidRPr="07069484">
        <w:rPr>
          <w:rFonts w:eastAsia="Times New Roman" w:cs="Open Sans"/>
        </w:rPr>
        <w:t>T</w:t>
      </w:r>
      <w:r w:rsidR="002A51FD" w:rsidRPr="07069484">
        <w:rPr>
          <w:rFonts w:eastAsia="Times New Roman" w:cs="Open Sans"/>
        </w:rPr>
        <w:t>he</w:t>
      </w:r>
      <w:r w:rsidR="00573BA7" w:rsidRPr="07069484">
        <w:rPr>
          <w:rFonts w:eastAsia="Times New Roman" w:cs="Open Sans"/>
        </w:rPr>
        <w:t xml:space="preserve"> </w:t>
      </w:r>
      <w:r w:rsidR="002A51FD" w:rsidRPr="07069484">
        <w:rPr>
          <w:rFonts w:eastAsia="Times New Roman" w:cs="Open Sans"/>
        </w:rPr>
        <w:t>Disability</w:t>
      </w:r>
      <w:r w:rsidR="00573BA7" w:rsidRPr="07069484">
        <w:rPr>
          <w:rFonts w:eastAsia="Times New Roman" w:cs="Open Sans"/>
        </w:rPr>
        <w:t xml:space="preserve"> </w:t>
      </w:r>
      <w:r w:rsidR="002A51FD" w:rsidRPr="07069484">
        <w:rPr>
          <w:rFonts w:eastAsia="Times New Roman" w:cs="Open Sans"/>
        </w:rPr>
        <w:t>Discrimination</w:t>
      </w:r>
      <w:r w:rsidR="00573BA7" w:rsidRPr="07069484">
        <w:rPr>
          <w:rFonts w:eastAsia="Times New Roman" w:cs="Open Sans"/>
        </w:rPr>
        <w:t xml:space="preserve"> </w:t>
      </w:r>
      <w:r w:rsidR="002A51FD" w:rsidRPr="07069484">
        <w:rPr>
          <w:rFonts w:eastAsia="Times New Roman" w:cs="Open Sans"/>
        </w:rPr>
        <w:t>Act</w:t>
      </w:r>
      <w:r w:rsidR="00573BA7" w:rsidRPr="07069484">
        <w:rPr>
          <w:rFonts w:eastAsia="Times New Roman" w:cs="Open Sans"/>
        </w:rPr>
        <w:t xml:space="preserve"> </w:t>
      </w:r>
      <w:r w:rsidR="002A51FD" w:rsidRPr="07069484">
        <w:rPr>
          <w:rFonts w:eastAsia="Times New Roman" w:cs="Open Sans"/>
        </w:rPr>
        <w:t>relies</w:t>
      </w:r>
      <w:r w:rsidR="00573BA7" w:rsidRPr="07069484">
        <w:rPr>
          <w:rFonts w:eastAsia="Times New Roman" w:cs="Open Sans"/>
        </w:rPr>
        <w:t xml:space="preserve"> </w:t>
      </w:r>
      <w:r w:rsidR="002A51FD" w:rsidRPr="07069484">
        <w:rPr>
          <w:rFonts w:eastAsia="Times New Roman" w:cs="Open Sans"/>
        </w:rPr>
        <w:t>on</w:t>
      </w:r>
      <w:r w:rsidR="00573BA7" w:rsidRPr="07069484">
        <w:rPr>
          <w:rFonts w:eastAsia="Times New Roman" w:cs="Open Sans"/>
        </w:rPr>
        <w:t xml:space="preserve"> </w:t>
      </w:r>
      <w:r w:rsidR="002A51FD" w:rsidRPr="07069484">
        <w:rPr>
          <w:rFonts w:eastAsia="Times New Roman" w:cs="Open Sans"/>
        </w:rPr>
        <w:t>a</w:t>
      </w:r>
      <w:r w:rsidR="00573BA7" w:rsidRPr="07069484">
        <w:rPr>
          <w:rFonts w:eastAsia="Times New Roman" w:cs="Open Sans"/>
        </w:rPr>
        <w:t xml:space="preserve"> </w:t>
      </w:r>
      <w:r w:rsidR="002A51FD" w:rsidRPr="07069484">
        <w:rPr>
          <w:rFonts w:eastAsia="Times New Roman" w:cs="Open Sans"/>
        </w:rPr>
        <w:t>remedial</w:t>
      </w:r>
      <w:r w:rsidR="00573BA7" w:rsidRPr="07069484">
        <w:rPr>
          <w:rFonts w:eastAsia="Times New Roman" w:cs="Open Sans"/>
        </w:rPr>
        <w:t xml:space="preserve"> </w:t>
      </w:r>
      <w:r w:rsidR="002A51FD" w:rsidRPr="07069484">
        <w:rPr>
          <w:rFonts w:eastAsia="Times New Roman" w:cs="Open Sans"/>
        </w:rPr>
        <w:t>model</w:t>
      </w:r>
      <w:r w:rsidR="00573BA7" w:rsidRPr="07069484">
        <w:rPr>
          <w:rFonts w:eastAsia="Times New Roman" w:cs="Open Sans"/>
        </w:rPr>
        <w:t xml:space="preserve"> </w:t>
      </w:r>
      <w:r w:rsidR="002A51FD" w:rsidRPr="07069484">
        <w:rPr>
          <w:rFonts w:eastAsia="Times New Roman" w:cs="Open Sans"/>
        </w:rPr>
        <w:t>of</w:t>
      </w:r>
      <w:r w:rsidR="00573BA7" w:rsidRPr="07069484">
        <w:rPr>
          <w:rFonts w:eastAsia="Times New Roman" w:cs="Open Sans"/>
        </w:rPr>
        <w:t xml:space="preserve"> </w:t>
      </w:r>
      <w:r w:rsidR="002A51FD" w:rsidRPr="07069484">
        <w:rPr>
          <w:rFonts w:eastAsia="Times New Roman" w:cs="Open Sans"/>
        </w:rPr>
        <w:t>anti-discrimination</w:t>
      </w:r>
      <w:r w:rsidR="00573BA7" w:rsidRPr="07069484">
        <w:rPr>
          <w:rFonts w:eastAsia="Times New Roman" w:cs="Open Sans"/>
        </w:rPr>
        <w:t xml:space="preserve"> </w:t>
      </w:r>
      <w:r w:rsidR="002A51FD" w:rsidRPr="07069484">
        <w:rPr>
          <w:rFonts w:eastAsia="Times New Roman" w:cs="Open Sans"/>
        </w:rPr>
        <w:t>law.</w:t>
      </w:r>
      <w:r w:rsidR="00573BA7" w:rsidRPr="07069484">
        <w:rPr>
          <w:rFonts w:eastAsia="Times New Roman" w:cs="Open Sans"/>
        </w:rPr>
        <w:t xml:space="preserve"> </w:t>
      </w:r>
      <w:r w:rsidRPr="07069484">
        <w:rPr>
          <w:rFonts w:eastAsia="Times New Roman" w:cs="Open Sans"/>
        </w:rPr>
        <w:t>A</w:t>
      </w:r>
      <w:r w:rsidR="002A51FD" w:rsidRPr="07069484">
        <w:rPr>
          <w:rFonts w:eastAsia="Times New Roman" w:cs="Open Sans"/>
        </w:rPr>
        <w:t>lthough</w:t>
      </w:r>
      <w:r w:rsidR="00573BA7" w:rsidRPr="07069484">
        <w:rPr>
          <w:rFonts w:eastAsia="Times New Roman" w:cs="Open Sans"/>
        </w:rPr>
        <w:t xml:space="preserve"> </w:t>
      </w:r>
      <w:r w:rsidR="002A51FD" w:rsidRPr="07069484">
        <w:rPr>
          <w:rFonts w:eastAsia="Times New Roman" w:cs="Open Sans"/>
        </w:rPr>
        <w:t>it</w:t>
      </w:r>
      <w:r w:rsidR="00573BA7" w:rsidRPr="07069484">
        <w:rPr>
          <w:rFonts w:eastAsia="Times New Roman" w:cs="Open Sans"/>
        </w:rPr>
        <w:t xml:space="preserve"> </w:t>
      </w:r>
      <w:r w:rsidR="002A51FD" w:rsidRPr="07069484">
        <w:rPr>
          <w:rFonts w:eastAsia="Times New Roman" w:cs="Open Sans"/>
        </w:rPr>
        <w:t>is</w:t>
      </w:r>
      <w:r w:rsidR="00573BA7" w:rsidRPr="07069484">
        <w:rPr>
          <w:rFonts w:eastAsia="Times New Roman" w:cs="Open Sans"/>
        </w:rPr>
        <w:t xml:space="preserve"> </w:t>
      </w:r>
      <w:r w:rsidR="002A51FD" w:rsidRPr="07069484">
        <w:rPr>
          <w:rFonts w:eastAsia="Times New Roman" w:cs="Open Sans"/>
        </w:rPr>
        <w:t>unlawful</w:t>
      </w:r>
      <w:r w:rsidR="00573BA7" w:rsidRPr="07069484">
        <w:rPr>
          <w:rFonts w:eastAsia="Times New Roman" w:cs="Open Sans"/>
        </w:rPr>
        <w:t xml:space="preserve"> </w:t>
      </w:r>
      <w:r w:rsidR="002A51FD" w:rsidRPr="07069484">
        <w:rPr>
          <w:rFonts w:eastAsia="Times New Roman" w:cs="Open Sans"/>
        </w:rPr>
        <w:t>for</w:t>
      </w:r>
      <w:r w:rsidR="00573BA7" w:rsidRPr="07069484">
        <w:rPr>
          <w:rFonts w:eastAsia="Times New Roman" w:cs="Open Sans"/>
        </w:rPr>
        <w:t xml:space="preserve"> </w:t>
      </w:r>
      <w:r w:rsidR="002A51FD" w:rsidRPr="07069484">
        <w:rPr>
          <w:rFonts w:eastAsia="Times New Roman" w:cs="Open Sans"/>
        </w:rPr>
        <w:t>employers</w:t>
      </w:r>
      <w:r w:rsidR="00573BA7" w:rsidRPr="07069484">
        <w:rPr>
          <w:rFonts w:eastAsia="Times New Roman" w:cs="Open Sans"/>
        </w:rPr>
        <w:t xml:space="preserve"> </w:t>
      </w:r>
      <w:r w:rsidR="002A51FD" w:rsidRPr="07069484">
        <w:rPr>
          <w:rFonts w:eastAsia="Times New Roman" w:cs="Open Sans"/>
        </w:rPr>
        <w:t>to</w:t>
      </w:r>
      <w:r w:rsidR="00573BA7" w:rsidRPr="07069484">
        <w:rPr>
          <w:rFonts w:eastAsia="Times New Roman" w:cs="Open Sans"/>
        </w:rPr>
        <w:t xml:space="preserve"> </w:t>
      </w:r>
      <w:r w:rsidR="002A51FD" w:rsidRPr="07069484">
        <w:rPr>
          <w:rFonts w:eastAsia="Times New Roman" w:cs="Open Sans"/>
        </w:rPr>
        <w:t>discriminate</w:t>
      </w:r>
      <w:r w:rsidR="00573BA7" w:rsidRPr="07069484">
        <w:rPr>
          <w:rFonts w:eastAsia="Times New Roman" w:cs="Open Sans"/>
        </w:rPr>
        <w:t xml:space="preserve"> </w:t>
      </w:r>
      <w:r w:rsidR="002A51FD" w:rsidRPr="07069484">
        <w:rPr>
          <w:rFonts w:eastAsia="Times New Roman" w:cs="Open Sans"/>
        </w:rPr>
        <w:t>against</w:t>
      </w:r>
      <w:r w:rsidR="00573BA7" w:rsidRPr="07069484">
        <w:rPr>
          <w:rFonts w:eastAsia="Times New Roman" w:cs="Open Sans"/>
        </w:rPr>
        <w:t xml:space="preserve"> </w:t>
      </w:r>
      <w:r w:rsidR="002A51FD" w:rsidRPr="07069484">
        <w:rPr>
          <w:rFonts w:eastAsia="Times New Roman" w:cs="Open Sans"/>
        </w:rPr>
        <w:t>employees</w:t>
      </w:r>
      <w:r w:rsidR="00573BA7" w:rsidRPr="07069484">
        <w:rPr>
          <w:rFonts w:eastAsia="Times New Roman" w:cs="Open Sans"/>
        </w:rPr>
        <w:t xml:space="preserve"> </w:t>
      </w:r>
      <w:r w:rsidR="002A51FD" w:rsidRPr="07069484">
        <w:rPr>
          <w:rFonts w:eastAsia="Times New Roman" w:cs="Open Sans"/>
        </w:rPr>
        <w:t>with</w:t>
      </w:r>
      <w:r w:rsidR="00573BA7" w:rsidRPr="07069484">
        <w:rPr>
          <w:rFonts w:eastAsia="Times New Roman" w:cs="Open Sans"/>
        </w:rPr>
        <w:t xml:space="preserve"> </w:t>
      </w:r>
      <w:r w:rsidR="002A51FD" w:rsidRPr="07069484">
        <w:rPr>
          <w:rFonts w:eastAsia="Times New Roman" w:cs="Open Sans"/>
        </w:rPr>
        <w:t>disability,</w:t>
      </w:r>
      <w:r w:rsidR="00573BA7" w:rsidRPr="07069484">
        <w:rPr>
          <w:rFonts w:eastAsia="Times New Roman" w:cs="Open Sans"/>
        </w:rPr>
        <w:t xml:space="preserve"> </w:t>
      </w:r>
      <w:r w:rsidR="002A51FD" w:rsidRPr="07069484">
        <w:rPr>
          <w:rFonts w:eastAsia="Times New Roman" w:cs="Open Sans"/>
        </w:rPr>
        <w:t>no</w:t>
      </w:r>
      <w:r w:rsidR="00573BA7" w:rsidRPr="07069484">
        <w:rPr>
          <w:rFonts w:eastAsia="Times New Roman" w:cs="Open Sans"/>
        </w:rPr>
        <w:t xml:space="preserve"> </w:t>
      </w:r>
      <w:r w:rsidR="002A51FD" w:rsidRPr="07069484">
        <w:rPr>
          <w:rFonts w:eastAsia="Times New Roman" w:cs="Open Sans"/>
        </w:rPr>
        <w:t>criminal</w:t>
      </w:r>
      <w:r w:rsidR="00573BA7" w:rsidRPr="07069484">
        <w:rPr>
          <w:rFonts w:eastAsia="Times New Roman" w:cs="Open Sans"/>
        </w:rPr>
        <w:t xml:space="preserve"> </w:t>
      </w:r>
      <w:r w:rsidR="002A51FD" w:rsidRPr="07069484">
        <w:rPr>
          <w:rFonts w:eastAsia="Times New Roman" w:cs="Open Sans"/>
        </w:rPr>
        <w:t>or</w:t>
      </w:r>
      <w:r w:rsidR="00573BA7" w:rsidRPr="07069484">
        <w:rPr>
          <w:rFonts w:eastAsia="Times New Roman" w:cs="Open Sans"/>
        </w:rPr>
        <w:t xml:space="preserve"> </w:t>
      </w:r>
      <w:r w:rsidR="002A51FD" w:rsidRPr="07069484">
        <w:rPr>
          <w:rFonts w:eastAsia="Times New Roman" w:cs="Open Sans"/>
        </w:rPr>
        <w:t>civil</w:t>
      </w:r>
      <w:r w:rsidR="00573BA7" w:rsidRPr="07069484">
        <w:rPr>
          <w:rFonts w:eastAsia="Times New Roman" w:cs="Open Sans"/>
        </w:rPr>
        <w:t xml:space="preserve"> </w:t>
      </w:r>
      <w:r w:rsidR="002A51FD" w:rsidRPr="07069484">
        <w:rPr>
          <w:rFonts w:eastAsia="Times New Roman" w:cs="Open Sans"/>
        </w:rPr>
        <w:t>penalties</w:t>
      </w:r>
      <w:r w:rsidR="00573BA7" w:rsidRPr="07069484">
        <w:rPr>
          <w:rFonts w:eastAsia="Times New Roman" w:cs="Open Sans"/>
        </w:rPr>
        <w:t xml:space="preserve"> </w:t>
      </w:r>
      <w:r w:rsidR="002A51FD" w:rsidRPr="07069484">
        <w:rPr>
          <w:rFonts w:eastAsia="Times New Roman" w:cs="Open Sans"/>
        </w:rPr>
        <w:t>attach</w:t>
      </w:r>
      <w:r w:rsidR="00573BA7" w:rsidRPr="07069484">
        <w:rPr>
          <w:rFonts w:eastAsia="Times New Roman" w:cs="Open Sans"/>
        </w:rPr>
        <w:t xml:space="preserve"> </w:t>
      </w:r>
      <w:r w:rsidR="002A51FD" w:rsidRPr="07069484">
        <w:rPr>
          <w:rFonts w:eastAsia="Times New Roman" w:cs="Open Sans"/>
        </w:rPr>
        <w:t>to</w:t>
      </w:r>
      <w:r w:rsidR="00573BA7" w:rsidRPr="07069484">
        <w:rPr>
          <w:rFonts w:eastAsia="Times New Roman" w:cs="Open Sans"/>
        </w:rPr>
        <w:t xml:space="preserve"> </w:t>
      </w:r>
      <w:r w:rsidR="00F2734F" w:rsidRPr="07069484">
        <w:rPr>
          <w:rFonts w:eastAsia="Times New Roman" w:cs="Open Sans"/>
        </w:rPr>
        <w:t>that</w:t>
      </w:r>
      <w:r w:rsidR="00573BA7" w:rsidRPr="07069484">
        <w:rPr>
          <w:rFonts w:eastAsia="Times New Roman" w:cs="Open Sans"/>
        </w:rPr>
        <w:t xml:space="preserve"> </w:t>
      </w:r>
      <w:r w:rsidR="002A51FD" w:rsidRPr="07069484">
        <w:rPr>
          <w:rFonts w:eastAsia="Times New Roman" w:cs="Open Sans"/>
        </w:rPr>
        <w:t>unlawful</w:t>
      </w:r>
      <w:r w:rsidR="00573BA7" w:rsidRPr="07069484">
        <w:rPr>
          <w:rFonts w:eastAsia="Times New Roman" w:cs="Open Sans"/>
        </w:rPr>
        <w:t xml:space="preserve"> </w:t>
      </w:r>
      <w:r w:rsidR="002A51FD" w:rsidRPr="07069484">
        <w:rPr>
          <w:rFonts w:eastAsia="Times New Roman" w:cs="Open Sans"/>
        </w:rPr>
        <w:t>act.</w:t>
      </w:r>
      <w:r w:rsidR="00573BA7" w:rsidRPr="07069484">
        <w:rPr>
          <w:rFonts w:eastAsia="Times New Roman" w:cs="Open Sans"/>
        </w:rPr>
        <w:t xml:space="preserve"> </w:t>
      </w:r>
      <w:r w:rsidR="002A51FD" w:rsidRPr="07069484">
        <w:rPr>
          <w:rFonts w:eastAsia="Times New Roman" w:cs="Open Sans"/>
        </w:rPr>
        <w:t>Rather,</w:t>
      </w:r>
      <w:r w:rsidR="00573BA7" w:rsidRPr="07069484">
        <w:rPr>
          <w:rFonts w:eastAsia="Times New Roman" w:cs="Open Sans"/>
        </w:rPr>
        <w:t xml:space="preserve"> </w:t>
      </w:r>
      <w:r w:rsidR="002A51FD" w:rsidRPr="07069484">
        <w:rPr>
          <w:rFonts w:eastAsia="Times New Roman" w:cs="Open Sans"/>
        </w:rPr>
        <w:t>the</w:t>
      </w:r>
      <w:r w:rsidR="00573BA7" w:rsidRPr="07069484">
        <w:rPr>
          <w:rFonts w:eastAsia="Times New Roman" w:cs="Open Sans"/>
        </w:rPr>
        <w:t xml:space="preserve"> </w:t>
      </w:r>
      <w:r w:rsidR="002A51FD" w:rsidRPr="07069484">
        <w:rPr>
          <w:rFonts w:eastAsia="Times New Roman" w:cs="Open Sans"/>
        </w:rPr>
        <w:t>person</w:t>
      </w:r>
      <w:r w:rsidR="00573BA7" w:rsidRPr="07069484">
        <w:rPr>
          <w:rFonts w:eastAsia="Times New Roman" w:cs="Open Sans"/>
        </w:rPr>
        <w:t xml:space="preserve"> </w:t>
      </w:r>
      <w:r w:rsidR="002A51FD" w:rsidRPr="07069484">
        <w:rPr>
          <w:rFonts w:eastAsia="Times New Roman" w:cs="Open Sans"/>
        </w:rPr>
        <w:t>who</w:t>
      </w:r>
      <w:r w:rsidR="00573BA7" w:rsidRPr="07069484">
        <w:rPr>
          <w:rFonts w:eastAsia="Times New Roman" w:cs="Open Sans"/>
        </w:rPr>
        <w:t xml:space="preserve"> </w:t>
      </w:r>
      <w:r w:rsidR="002A51FD" w:rsidRPr="07069484">
        <w:rPr>
          <w:rFonts w:eastAsia="Times New Roman" w:cs="Open Sans"/>
        </w:rPr>
        <w:t>has</w:t>
      </w:r>
      <w:r w:rsidR="00573BA7" w:rsidRPr="07069484">
        <w:rPr>
          <w:rFonts w:eastAsia="Times New Roman" w:cs="Open Sans"/>
        </w:rPr>
        <w:t xml:space="preserve"> </w:t>
      </w:r>
      <w:r w:rsidR="002A51FD" w:rsidRPr="07069484">
        <w:rPr>
          <w:rFonts w:eastAsia="Times New Roman" w:cs="Open Sans"/>
        </w:rPr>
        <w:t>been</w:t>
      </w:r>
      <w:r w:rsidR="00573BA7" w:rsidRPr="07069484">
        <w:rPr>
          <w:rFonts w:eastAsia="Times New Roman" w:cs="Open Sans"/>
        </w:rPr>
        <w:t xml:space="preserve"> </w:t>
      </w:r>
      <w:r w:rsidR="002A51FD" w:rsidRPr="07069484">
        <w:rPr>
          <w:rFonts w:eastAsia="Times New Roman" w:cs="Open Sans"/>
        </w:rPr>
        <w:t>discriminated</w:t>
      </w:r>
      <w:r w:rsidR="00573BA7" w:rsidRPr="07069484">
        <w:rPr>
          <w:rFonts w:eastAsia="Times New Roman" w:cs="Open Sans"/>
        </w:rPr>
        <w:t xml:space="preserve"> </w:t>
      </w:r>
      <w:r w:rsidR="002A51FD" w:rsidRPr="07069484">
        <w:rPr>
          <w:rFonts w:eastAsia="Times New Roman" w:cs="Open Sans"/>
        </w:rPr>
        <w:t>against</w:t>
      </w:r>
      <w:r w:rsidR="00573BA7" w:rsidRPr="07069484">
        <w:rPr>
          <w:rFonts w:eastAsia="Times New Roman" w:cs="Open Sans"/>
        </w:rPr>
        <w:t xml:space="preserve"> </w:t>
      </w:r>
      <w:r w:rsidR="002A51FD" w:rsidRPr="07069484">
        <w:rPr>
          <w:rFonts w:eastAsia="Times New Roman" w:cs="Open Sans"/>
        </w:rPr>
        <w:t>must</w:t>
      </w:r>
      <w:r w:rsidR="00573BA7" w:rsidRPr="07069484">
        <w:rPr>
          <w:rFonts w:eastAsia="Times New Roman" w:cs="Open Sans"/>
        </w:rPr>
        <w:t xml:space="preserve"> </w:t>
      </w:r>
      <w:r w:rsidR="002A51FD" w:rsidRPr="07069484">
        <w:rPr>
          <w:rFonts w:eastAsia="Times New Roman" w:cs="Open Sans"/>
        </w:rPr>
        <w:t>bring</w:t>
      </w:r>
      <w:r w:rsidR="00573BA7" w:rsidRPr="07069484">
        <w:rPr>
          <w:rFonts w:eastAsia="Times New Roman" w:cs="Open Sans"/>
        </w:rPr>
        <w:t xml:space="preserve"> </w:t>
      </w:r>
      <w:r w:rsidR="002A51FD" w:rsidRPr="07069484">
        <w:rPr>
          <w:rFonts w:eastAsia="Times New Roman" w:cs="Open Sans"/>
        </w:rPr>
        <w:t>a</w:t>
      </w:r>
      <w:r w:rsidR="00573BA7" w:rsidRPr="07069484">
        <w:rPr>
          <w:rFonts w:eastAsia="Times New Roman" w:cs="Open Sans"/>
        </w:rPr>
        <w:t xml:space="preserve"> </w:t>
      </w:r>
      <w:r w:rsidR="002A51FD" w:rsidRPr="07069484">
        <w:rPr>
          <w:rFonts w:eastAsia="Times New Roman" w:cs="Open Sans"/>
        </w:rPr>
        <w:t>complaint</w:t>
      </w:r>
      <w:r w:rsidR="00573BA7" w:rsidRPr="07069484">
        <w:rPr>
          <w:rFonts w:eastAsia="Times New Roman" w:cs="Open Sans"/>
        </w:rPr>
        <w:t xml:space="preserve"> </w:t>
      </w:r>
      <w:r w:rsidR="002A51FD" w:rsidRPr="07069484">
        <w:rPr>
          <w:rFonts w:eastAsia="Times New Roman" w:cs="Open Sans"/>
        </w:rPr>
        <w:t>and</w:t>
      </w:r>
      <w:r w:rsidR="00573BA7" w:rsidRPr="07069484">
        <w:rPr>
          <w:rFonts w:eastAsia="Times New Roman" w:cs="Open Sans"/>
        </w:rPr>
        <w:t xml:space="preserve"> </w:t>
      </w:r>
      <w:r w:rsidR="002A51FD" w:rsidRPr="07069484">
        <w:rPr>
          <w:rFonts w:eastAsia="Times New Roman" w:cs="Open Sans"/>
        </w:rPr>
        <w:t>prove</w:t>
      </w:r>
      <w:r w:rsidR="00573BA7" w:rsidRPr="07069484">
        <w:rPr>
          <w:rFonts w:eastAsia="Times New Roman" w:cs="Open Sans"/>
        </w:rPr>
        <w:t xml:space="preserve"> </w:t>
      </w:r>
      <w:r w:rsidR="002A51FD" w:rsidRPr="07069484">
        <w:rPr>
          <w:rFonts w:eastAsia="Times New Roman" w:cs="Open Sans"/>
        </w:rPr>
        <w:t>the</w:t>
      </w:r>
      <w:r w:rsidR="00573BA7" w:rsidRPr="07069484">
        <w:rPr>
          <w:rFonts w:eastAsia="Times New Roman" w:cs="Open Sans"/>
        </w:rPr>
        <w:t xml:space="preserve"> </w:t>
      </w:r>
      <w:r w:rsidR="002A51FD" w:rsidRPr="07069484">
        <w:rPr>
          <w:rFonts w:eastAsia="Times New Roman" w:cs="Open Sans"/>
        </w:rPr>
        <w:t>discrimination</w:t>
      </w:r>
      <w:r w:rsidR="00573BA7" w:rsidRPr="07069484">
        <w:rPr>
          <w:rFonts w:eastAsia="Times New Roman" w:cs="Open Sans"/>
        </w:rPr>
        <w:t xml:space="preserve"> </w:t>
      </w:r>
      <w:r w:rsidR="002A51FD" w:rsidRPr="07069484">
        <w:rPr>
          <w:rFonts w:eastAsia="Times New Roman" w:cs="Open Sans"/>
        </w:rPr>
        <w:t>occurred.</w:t>
      </w:r>
      <w:r w:rsidR="00573BA7" w:rsidRPr="07069484">
        <w:rPr>
          <w:rFonts w:eastAsia="Times New Roman" w:cs="Open Sans"/>
        </w:rPr>
        <w:t xml:space="preserve"> </w:t>
      </w:r>
    </w:p>
    <w:p w14:paraId="494B9CA6" w14:textId="428CF972" w:rsidR="006030E7" w:rsidRDefault="002A51FD" w:rsidP="00A0405D">
      <w:pPr>
        <w:pStyle w:val="ListNumber"/>
        <w:rPr>
          <w:rFonts w:eastAsia="Times New Roman" w:cs="Open Sans"/>
        </w:rPr>
      </w:pPr>
      <w:r w:rsidRPr="07069484">
        <w:rPr>
          <w:rFonts w:eastAsia="Times New Roman" w:cs="Open Sans"/>
        </w:rPr>
        <w:t>The</w:t>
      </w:r>
      <w:r w:rsidR="00573BA7" w:rsidRPr="07069484">
        <w:rPr>
          <w:rFonts w:eastAsia="Times New Roman" w:cs="Open Sans"/>
        </w:rPr>
        <w:t xml:space="preserve"> </w:t>
      </w:r>
      <w:r w:rsidRPr="07069484">
        <w:rPr>
          <w:rFonts w:eastAsia="Times New Roman" w:cs="Open Sans"/>
        </w:rPr>
        <w:t>Commission</w:t>
      </w:r>
      <w:r w:rsidR="00A0405D" w:rsidRPr="07069484">
        <w:rPr>
          <w:rFonts w:eastAsia="Times New Roman" w:cs="Open Sans"/>
        </w:rPr>
        <w:t xml:space="preserve"> is concerned that this model </w:t>
      </w:r>
      <w:r w:rsidR="0080786A" w:rsidRPr="07069484">
        <w:rPr>
          <w:rFonts w:eastAsia="Times New Roman" w:cs="Open Sans"/>
        </w:rPr>
        <w:t>does little to</w:t>
      </w:r>
      <w:r w:rsidR="00A0405D" w:rsidRPr="07069484">
        <w:rPr>
          <w:rFonts w:eastAsia="Times New Roman" w:cs="Open Sans"/>
        </w:rPr>
        <w:t xml:space="preserve"> address systemic discrimination</w:t>
      </w:r>
      <w:r w:rsidR="00745003" w:rsidRPr="07069484">
        <w:rPr>
          <w:rFonts w:eastAsia="Times New Roman" w:cs="Open Sans"/>
        </w:rPr>
        <w:t xml:space="preserve"> or </w:t>
      </w:r>
      <w:r w:rsidR="006030E7" w:rsidRPr="07069484">
        <w:rPr>
          <w:rFonts w:eastAsia="Times New Roman" w:cs="Open Sans"/>
        </w:rPr>
        <w:t xml:space="preserve">enable systemic </w:t>
      </w:r>
      <w:r w:rsidR="00404AC5" w:rsidRPr="07069484">
        <w:rPr>
          <w:rFonts w:eastAsia="Times New Roman" w:cs="Open Sans"/>
        </w:rPr>
        <w:t>reduc</w:t>
      </w:r>
      <w:r w:rsidR="00745003" w:rsidRPr="07069484">
        <w:rPr>
          <w:rFonts w:eastAsia="Times New Roman" w:cs="Open Sans"/>
        </w:rPr>
        <w:t>tions in</w:t>
      </w:r>
      <w:r w:rsidR="00573BA7" w:rsidRPr="07069484">
        <w:rPr>
          <w:rFonts w:eastAsia="Times New Roman" w:cs="Open Sans"/>
        </w:rPr>
        <w:t xml:space="preserve"> </w:t>
      </w:r>
      <w:r w:rsidR="007617C0" w:rsidRPr="07069484">
        <w:rPr>
          <w:rFonts w:eastAsia="Times New Roman" w:cs="Open Sans"/>
        </w:rPr>
        <w:t>discrimination</w:t>
      </w:r>
      <w:r w:rsidR="00573BA7" w:rsidRPr="07069484">
        <w:rPr>
          <w:rFonts w:eastAsia="Times New Roman" w:cs="Open Sans"/>
        </w:rPr>
        <w:t xml:space="preserve"> </w:t>
      </w:r>
      <w:r w:rsidR="007617C0" w:rsidRPr="07069484">
        <w:rPr>
          <w:rFonts w:eastAsia="Times New Roman" w:cs="Open Sans"/>
        </w:rPr>
        <w:t>in</w:t>
      </w:r>
      <w:r w:rsidR="00573BA7" w:rsidRPr="07069484">
        <w:rPr>
          <w:rFonts w:eastAsia="Times New Roman" w:cs="Open Sans"/>
        </w:rPr>
        <w:t xml:space="preserve"> </w:t>
      </w:r>
      <w:r w:rsidR="007617C0" w:rsidRPr="07069484">
        <w:rPr>
          <w:rFonts w:eastAsia="Times New Roman" w:cs="Open Sans"/>
        </w:rPr>
        <w:t>Australia</w:t>
      </w:r>
      <w:r w:rsidR="006030E7" w:rsidRPr="07069484">
        <w:rPr>
          <w:rFonts w:eastAsia="Times New Roman" w:cs="Open Sans"/>
        </w:rPr>
        <w:t xml:space="preserve">. </w:t>
      </w:r>
      <w:r w:rsidR="00157DA8" w:rsidRPr="07069484">
        <w:rPr>
          <w:rFonts w:eastAsia="Times New Roman" w:cs="Open Sans"/>
        </w:rPr>
        <w:t xml:space="preserve">As a result, </w:t>
      </w:r>
      <w:r w:rsidR="0080786A" w:rsidRPr="07069484">
        <w:rPr>
          <w:rFonts w:eastAsia="Times New Roman" w:cs="Open Sans"/>
        </w:rPr>
        <w:t>this model fails to guarantee to people with disability equal and effective legal protection against discrimination on all grounds</w:t>
      </w:r>
      <w:r w:rsidR="004C60FC" w:rsidRPr="07069484">
        <w:rPr>
          <w:rFonts w:eastAsia="Times New Roman" w:cs="Open Sans"/>
        </w:rPr>
        <w:t>, as required by Article 5(2) of the CRPD</w:t>
      </w:r>
      <w:r w:rsidR="00E73B38" w:rsidRPr="07069484">
        <w:rPr>
          <w:rFonts w:eastAsia="Times New Roman" w:cs="Open Sans"/>
        </w:rPr>
        <w:t>, and access to justice as required by Article 13 of the CRPD</w:t>
      </w:r>
      <w:r w:rsidR="004C60FC" w:rsidRPr="07069484">
        <w:rPr>
          <w:rFonts w:eastAsia="Times New Roman" w:cs="Open Sans"/>
        </w:rPr>
        <w:t>.</w:t>
      </w:r>
    </w:p>
    <w:p w14:paraId="0F4C932A" w14:textId="1A2A9284" w:rsidR="00202D8B" w:rsidRPr="00E316C1" w:rsidRDefault="006030E7" w:rsidP="00E316C1">
      <w:pPr>
        <w:pStyle w:val="ListNumber"/>
        <w:rPr>
          <w:rFonts w:eastAsia="Times New Roman" w:cs="Open Sans"/>
        </w:rPr>
      </w:pPr>
      <w:r w:rsidRPr="00157DA8">
        <w:rPr>
          <w:rFonts w:eastAsia="Times New Roman" w:cs="Open Sans"/>
        </w:rPr>
        <w:t>A</w:t>
      </w:r>
      <w:r w:rsidR="00573BA7" w:rsidRPr="00157DA8">
        <w:rPr>
          <w:rFonts w:eastAsia="Times New Roman" w:cs="Open Sans"/>
        </w:rPr>
        <w:t xml:space="preserve"> </w:t>
      </w:r>
      <w:r w:rsidR="00404AC5" w:rsidRPr="00157DA8">
        <w:rPr>
          <w:rFonts w:eastAsia="Times New Roman" w:cs="Open Sans"/>
        </w:rPr>
        <w:t>m</w:t>
      </w:r>
      <w:r w:rsidR="002A51FD" w:rsidRPr="00157DA8">
        <w:rPr>
          <w:rFonts w:eastAsia="Times New Roman" w:cs="Open Sans"/>
        </w:rPr>
        <w:t>ore</w:t>
      </w:r>
      <w:r w:rsidR="00573BA7" w:rsidRPr="00157DA8">
        <w:rPr>
          <w:rFonts w:eastAsia="Times New Roman" w:cs="Open Sans"/>
        </w:rPr>
        <w:t xml:space="preserve"> </w:t>
      </w:r>
      <w:r w:rsidR="00404AC5" w:rsidRPr="00157DA8">
        <w:rPr>
          <w:rFonts w:eastAsia="Times New Roman" w:cs="Open Sans"/>
        </w:rPr>
        <w:t>p</w:t>
      </w:r>
      <w:r w:rsidR="002A51FD" w:rsidRPr="00157DA8">
        <w:rPr>
          <w:rFonts w:eastAsia="Times New Roman" w:cs="Open Sans"/>
        </w:rPr>
        <w:t>roactive</w:t>
      </w:r>
      <w:r w:rsidR="00573BA7" w:rsidRPr="00157DA8">
        <w:rPr>
          <w:rFonts w:eastAsia="Times New Roman" w:cs="Open Sans"/>
        </w:rPr>
        <w:t xml:space="preserve"> </w:t>
      </w:r>
      <w:r w:rsidR="002A51FD" w:rsidRPr="00157DA8">
        <w:rPr>
          <w:rFonts w:eastAsia="Times New Roman" w:cs="Open Sans"/>
        </w:rPr>
        <w:t>model</w:t>
      </w:r>
      <w:r w:rsidR="00573BA7" w:rsidRPr="00157DA8">
        <w:rPr>
          <w:rFonts w:eastAsia="Times New Roman" w:cs="Open Sans"/>
        </w:rPr>
        <w:t xml:space="preserve"> </w:t>
      </w:r>
      <w:r w:rsidR="002A51FD" w:rsidRPr="00157DA8">
        <w:rPr>
          <w:rFonts w:eastAsia="Times New Roman" w:cs="Open Sans"/>
        </w:rPr>
        <w:t>of</w:t>
      </w:r>
      <w:r w:rsidR="00573BA7" w:rsidRPr="00157DA8">
        <w:rPr>
          <w:rFonts w:eastAsia="Times New Roman" w:cs="Open Sans"/>
        </w:rPr>
        <w:t xml:space="preserve"> </w:t>
      </w:r>
      <w:r w:rsidR="002A51FD" w:rsidRPr="00157DA8">
        <w:rPr>
          <w:rFonts w:eastAsia="Times New Roman" w:cs="Open Sans"/>
        </w:rPr>
        <w:t>anti-discrimination</w:t>
      </w:r>
      <w:r w:rsidR="00573BA7" w:rsidRPr="00157DA8">
        <w:rPr>
          <w:rFonts w:eastAsia="Times New Roman" w:cs="Open Sans"/>
        </w:rPr>
        <w:t xml:space="preserve"> </w:t>
      </w:r>
      <w:r w:rsidR="002A51FD" w:rsidRPr="00157DA8">
        <w:rPr>
          <w:rFonts w:eastAsia="Times New Roman" w:cs="Open Sans"/>
        </w:rPr>
        <w:t>law,</w:t>
      </w:r>
      <w:r w:rsidR="00573BA7" w:rsidRPr="00157DA8">
        <w:rPr>
          <w:rFonts w:eastAsia="Times New Roman" w:cs="Open Sans"/>
        </w:rPr>
        <w:t xml:space="preserve"> </w:t>
      </w:r>
      <w:r w:rsidR="002A51FD" w:rsidRPr="00157DA8">
        <w:rPr>
          <w:rFonts w:eastAsia="Times New Roman" w:cs="Open Sans"/>
        </w:rPr>
        <w:t>both</w:t>
      </w:r>
      <w:r w:rsidR="00573BA7" w:rsidRPr="00157DA8">
        <w:rPr>
          <w:rFonts w:eastAsia="Times New Roman" w:cs="Open Sans"/>
        </w:rPr>
        <w:t xml:space="preserve"> </w:t>
      </w:r>
      <w:r w:rsidR="002A51FD" w:rsidRPr="00157DA8">
        <w:rPr>
          <w:rFonts w:eastAsia="Times New Roman" w:cs="Open Sans"/>
        </w:rPr>
        <w:t>in</w:t>
      </w:r>
      <w:r w:rsidR="00573BA7" w:rsidRPr="00157DA8">
        <w:rPr>
          <w:rFonts w:eastAsia="Times New Roman" w:cs="Open Sans"/>
        </w:rPr>
        <w:t xml:space="preserve"> </w:t>
      </w:r>
      <w:r w:rsidR="002A51FD" w:rsidRPr="00157DA8">
        <w:rPr>
          <w:rFonts w:eastAsia="Times New Roman" w:cs="Open Sans"/>
        </w:rPr>
        <w:t>the</w:t>
      </w:r>
      <w:r w:rsidR="00573BA7" w:rsidRPr="00157DA8">
        <w:rPr>
          <w:rFonts w:eastAsia="Times New Roman" w:cs="Open Sans"/>
        </w:rPr>
        <w:t xml:space="preserve"> </w:t>
      </w:r>
      <w:r w:rsidR="002A51FD" w:rsidRPr="00157DA8">
        <w:rPr>
          <w:rFonts w:eastAsia="Times New Roman" w:cs="Open Sans"/>
        </w:rPr>
        <w:t>Dis</w:t>
      </w:r>
      <w:r w:rsidRPr="00157DA8">
        <w:rPr>
          <w:rFonts w:eastAsia="Times New Roman" w:cs="Open Sans"/>
        </w:rPr>
        <w:t>a</w:t>
      </w:r>
      <w:r w:rsidR="002A51FD" w:rsidRPr="00157DA8">
        <w:rPr>
          <w:rFonts w:eastAsia="Times New Roman" w:cs="Open Sans"/>
        </w:rPr>
        <w:t>bility</w:t>
      </w:r>
      <w:r w:rsidR="00573BA7" w:rsidRPr="00157DA8">
        <w:rPr>
          <w:rFonts w:eastAsia="Times New Roman" w:cs="Open Sans"/>
        </w:rPr>
        <w:t xml:space="preserve"> </w:t>
      </w:r>
      <w:r w:rsidR="002A51FD" w:rsidRPr="00157DA8">
        <w:rPr>
          <w:rFonts w:eastAsia="Times New Roman" w:cs="Open Sans"/>
        </w:rPr>
        <w:t>Discrimination</w:t>
      </w:r>
      <w:r w:rsidR="00573BA7" w:rsidRPr="00157DA8">
        <w:rPr>
          <w:rFonts w:eastAsia="Times New Roman" w:cs="Open Sans"/>
        </w:rPr>
        <w:t xml:space="preserve"> </w:t>
      </w:r>
      <w:r w:rsidR="002A51FD" w:rsidRPr="00157DA8">
        <w:rPr>
          <w:rFonts w:eastAsia="Times New Roman" w:cs="Open Sans"/>
        </w:rPr>
        <w:t>Act</w:t>
      </w:r>
      <w:r w:rsidR="00573BA7" w:rsidRPr="00157DA8">
        <w:rPr>
          <w:rFonts w:eastAsia="Times New Roman" w:cs="Open Sans"/>
        </w:rPr>
        <w:t xml:space="preserve"> </w:t>
      </w:r>
      <w:r w:rsidR="002A51FD" w:rsidRPr="00157DA8">
        <w:rPr>
          <w:rFonts w:eastAsia="Times New Roman" w:cs="Open Sans"/>
        </w:rPr>
        <w:t>and</w:t>
      </w:r>
      <w:r w:rsidR="00573BA7" w:rsidRPr="00157DA8">
        <w:rPr>
          <w:rFonts w:eastAsia="Times New Roman" w:cs="Open Sans"/>
        </w:rPr>
        <w:t xml:space="preserve"> </w:t>
      </w:r>
      <w:r w:rsidR="00E11CB7" w:rsidRPr="00157DA8">
        <w:rPr>
          <w:rFonts w:eastAsia="Times New Roman" w:cs="Open Sans"/>
        </w:rPr>
        <w:t>in</w:t>
      </w:r>
      <w:r w:rsidR="00573BA7" w:rsidRPr="00157DA8">
        <w:rPr>
          <w:rFonts w:eastAsia="Times New Roman" w:cs="Open Sans"/>
        </w:rPr>
        <w:t xml:space="preserve"> </w:t>
      </w:r>
      <w:r w:rsidR="002A51FD" w:rsidRPr="00157DA8">
        <w:rPr>
          <w:rFonts w:eastAsia="Times New Roman" w:cs="Open Sans"/>
        </w:rPr>
        <w:t>other</w:t>
      </w:r>
      <w:r w:rsidR="00573BA7" w:rsidRPr="00157DA8">
        <w:rPr>
          <w:rFonts w:eastAsia="Times New Roman" w:cs="Open Sans"/>
        </w:rPr>
        <w:t xml:space="preserve"> </w:t>
      </w:r>
      <w:r w:rsidR="002A51FD" w:rsidRPr="00157DA8">
        <w:rPr>
          <w:rFonts w:eastAsia="Times New Roman" w:cs="Open Sans"/>
        </w:rPr>
        <w:t>federal</w:t>
      </w:r>
      <w:r w:rsidR="00573BA7" w:rsidRPr="00157DA8">
        <w:rPr>
          <w:rFonts w:eastAsia="Times New Roman" w:cs="Open Sans"/>
        </w:rPr>
        <w:t xml:space="preserve"> </w:t>
      </w:r>
      <w:r w:rsidR="002A51FD" w:rsidRPr="00157DA8">
        <w:rPr>
          <w:rFonts w:eastAsia="Times New Roman" w:cs="Open Sans"/>
        </w:rPr>
        <w:t>anti-discrimination</w:t>
      </w:r>
      <w:r w:rsidR="00573BA7" w:rsidRPr="00157DA8">
        <w:rPr>
          <w:rFonts w:eastAsia="Times New Roman" w:cs="Open Sans"/>
        </w:rPr>
        <w:t xml:space="preserve"> </w:t>
      </w:r>
      <w:r w:rsidR="002A51FD" w:rsidRPr="00157DA8">
        <w:rPr>
          <w:rFonts w:eastAsia="Times New Roman" w:cs="Open Sans"/>
        </w:rPr>
        <w:t>laws</w:t>
      </w:r>
      <w:r w:rsidRPr="00157DA8">
        <w:rPr>
          <w:rFonts w:eastAsia="Times New Roman" w:cs="Open Sans"/>
        </w:rPr>
        <w:t xml:space="preserve">, </w:t>
      </w:r>
      <w:r w:rsidR="00731A3B" w:rsidRPr="00157DA8">
        <w:rPr>
          <w:rFonts w:eastAsia="Times New Roman" w:cs="Open Sans"/>
        </w:rPr>
        <w:t xml:space="preserve">could address these concerns. </w:t>
      </w:r>
      <w:r w:rsidR="002A51FD" w:rsidRPr="00157DA8">
        <w:rPr>
          <w:rFonts w:eastAsia="Times New Roman" w:cs="Open Sans"/>
        </w:rPr>
        <w:t>One</w:t>
      </w:r>
      <w:r w:rsidR="00573BA7" w:rsidRPr="00157DA8">
        <w:rPr>
          <w:rFonts w:eastAsia="Times New Roman" w:cs="Open Sans"/>
        </w:rPr>
        <w:t xml:space="preserve"> </w:t>
      </w:r>
      <w:r w:rsidR="00B62671">
        <w:rPr>
          <w:rFonts w:eastAsia="Times New Roman" w:cs="Open Sans"/>
        </w:rPr>
        <w:t>approach would be to</w:t>
      </w:r>
      <w:r w:rsidR="00573BA7" w:rsidRPr="00157DA8">
        <w:rPr>
          <w:rFonts w:eastAsia="Times New Roman" w:cs="Open Sans"/>
        </w:rPr>
        <w:t xml:space="preserve"> </w:t>
      </w:r>
      <w:r w:rsidR="002A51FD" w:rsidRPr="00157DA8">
        <w:rPr>
          <w:rFonts w:eastAsia="Times New Roman" w:cs="Open Sans"/>
        </w:rPr>
        <w:t>create</w:t>
      </w:r>
      <w:r w:rsidR="00573BA7" w:rsidRPr="00157DA8">
        <w:rPr>
          <w:rFonts w:eastAsia="Times New Roman" w:cs="Open Sans"/>
        </w:rPr>
        <w:t xml:space="preserve"> </w:t>
      </w:r>
      <w:r w:rsidR="002A51FD" w:rsidRPr="00157DA8">
        <w:rPr>
          <w:rFonts w:eastAsia="Times New Roman" w:cs="Open Sans"/>
        </w:rPr>
        <w:t>a</w:t>
      </w:r>
      <w:r w:rsidR="00573BA7" w:rsidRPr="00157DA8">
        <w:rPr>
          <w:rFonts w:eastAsia="Times New Roman" w:cs="Open Sans"/>
        </w:rPr>
        <w:t xml:space="preserve"> </w:t>
      </w:r>
      <w:r w:rsidR="002A51FD" w:rsidRPr="00157DA8">
        <w:rPr>
          <w:rFonts w:eastAsia="Times New Roman" w:cs="Open Sans"/>
        </w:rPr>
        <w:t>positive</w:t>
      </w:r>
      <w:r w:rsidR="00573BA7" w:rsidRPr="00157DA8">
        <w:rPr>
          <w:rFonts w:eastAsia="Times New Roman" w:cs="Open Sans"/>
        </w:rPr>
        <w:t xml:space="preserve"> </w:t>
      </w:r>
      <w:r w:rsidR="002A51FD" w:rsidRPr="00157DA8">
        <w:rPr>
          <w:rFonts w:eastAsia="Times New Roman" w:cs="Open Sans"/>
        </w:rPr>
        <w:t>duty</w:t>
      </w:r>
      <w:r w:rsidR="00573BA7" w:rsidRPr="00157DA8">
        <w:rPr>
          <w:rFonts w:eastAsia="Times New Roman" w:cs="Open Sans"/>
        </w:rPr>
        <w:t xml:space="preserve"> </w:t>
      </w:r>
      <w:r w:rsidR="002A51FD" w:rsidRPr="00157DA8">
        <w:rPr>
          <w:rFonts w:eastAsia="Times New Roman" w:cs="Open Sans"/>
        </w:rPr>
        <w:t>to</w:t>
      </w:r>
      <w:r w:rsidR="00573BA7" w:rsidRPr="00157DA8">
        <w:rPr>
          <w:rFonts w:eastAsia="Times New Roman" w:cs="Open Sans"/>
        </w:rPr>
        <w:t xml:space="preserve"> </w:t>
      </w:r>
      <w:r w:rsidR="002A51FD" w:rsidRPr="00157DA8">
        <w:rPr>
          <w:rFonts w:eastAsia="Times New Roman" w:cs="Open Sans"/>
        </w:rPr>
        <w:t>promote</w:t>
      </w:r>
      <w:r w:rsidR="00573BA7" w:rsidRPr="00157DA8">
        <w:rPr>
          <w:rFonts w:eastAsia="Times New Roman" w:cs="Open Sans"/>
        </w:rPr>
        <w:t xml:space="preserve"> </w:t>
      </w:r>
      <w:r w:rsidR="002A51FD" w:rsidRPr="00157DA8">
        <w:rPr>
          <w:rFonts w:eastAsia="Times New Roman" w:cs="Open Sans"/>
        </w:rPr>
        <w:t>substantive</w:t>
      </w:r>
      <w:r w:rsidR="00573BA7" w:rsidRPr="00157DA8">
        <w:rPr>
          <w:rFonts w:eastAsia="Times New Roman" w:cs="Open Sans"/>
        </w:rPr>
        <w:t xml:space="preserve"> </w:t>
      </w:r>
      <w:r w:rsidR="002A51FD" w:rsidRPr="00157DA8">
        <w:rPr>
          <w:rFonts w:eastAsia="Times New Roman" w:cs="Open Sans"/>
        </w:rPr>
        <w:t>equality</w:t>
      </w:r>
      <w:r w:rsidR="00573BA7" w:rsidRPr="00157DA8">
        <w:rPr>
          <w:rFonts w:eastAsia="Times New Roman" w:cs="Open Sans"/>
        </w:rPr>
        <w:t xml:space="preserve"> </w:t>
      </w:r>
      <w:r w:rsidR="002A51FD" w:rsidRPr="00157DA8">
        <w:rPr>
          <w:rFonts w:eastAsia="Times New Roman" w:cs="Open Sans"/>
        </w:rPr>
        <w:t>or</w:t>
      </w:r>
      <w:r w:rsidR="00573BA7" w:rsidRPr="00157DA8">
        <w:rPr>
          <w:rFonts w:eastAsia="Times New Roman" w:cs="Open Sans"/>
        </w:rPr>
        <w:t xml:space="preserve"> </w:t>
      </w:r>
      <w:r w:rsidR="002A51FD" w:rsidRPr="00157DA8">
        <w:rPr>
          <w:rFonts w:eastAsia="Times New Roman" w:cs="Open Sans"/>
        </w:rPr>
        <w:t>prevent</w:t>
      </w:r>
      <w:r w:rsidR="00573BA7" w:rsidRPr="00157DA8">
        <w:rPr>
          <w:rFonts w:eastAsia="Times New Roman" w:cs="Open Sans"/>
        </w:rPr>
        <w:t xml:space="preserve"> </w:t>
      </w:r>
      <w:r w:rsidR="002A51FD" w:rsidRPr="00157DA8">
        <w:rPr>
          <w:rFonts w:eastAsia="Times New Roman" w:cs="Open Sans"/>
        </w:rPr>
        <w:t>discrimination.</w:t>
      </w:r>
      <w:r w:rsidR="00573BA7" w:rsidRPr="00157DA8">
        <w:rPr>
          <w:rFonts w:eastAsia="Times New Roman" w:cs="Open Sans"/>
        </w:rPr>
        <w:t xml:space="preserve"> </w:t>
      </w:r>
      <w:r w:rsidR="002A51FD" w:rsidRPr="00157DA8">
        <w:rPr>
          <w:rFonts w:eastAsia="Times New Roman" w:cs="Open Sans"/>
        </w:rPr>
        <w:t>This</w:t>
      </w:r>
      <w:r w:rsidR="00573BA7" w:rsidRPr="00157DA8">
        <w:rPr>
          <w:rFonts w:eastAsia="Times New Roman" w:cs="Open Sans"/>
        </w:rPr>
        <w:t xml:space="preserve"> </w:t>
      </w:r>
      <w:r w:rsidR="002A51FD" w:rsidRPr="00157DA8">
        <w:rPr>
          <w:rFonts w:eastAsia="Times New Roman" w:cs="Open Sans"/>
        </w:rPr>
        <w:t>has</w:t>
      </w:r>
      <w:r w:rsidR="00573BA7" w:rsidRPr="00157DA8">
        <w:rPr>
          <w:rFonts w:eastAsia="Times New Roman" w:cs="Open Sans"/>
        </w:rPr>
        <w:t xml:space="preserve"> </w:t>
      </w:r>
      <w:r w:rsidR="002A51FD" w:rsidRPr="00157DA8">
        <w:rPr>
          <w:rFonts w:eastAsia="Times New Roman" w:cs="Open Sans"/>
        </w:rPr>
        <w:t>been</w:t>
      </w:r>
      <w:r w:rsidR="00573BA7" w:rsidRPr="00157DA8">
        <w:rPr>
          <w:rFonts w:eastAsia="Times New Roman" w:cs="Open Sans"/>
        </w:rPr>
        <w:t xml:space="preserve"> </w:t>
      </w:r>
      <w:r w:rsidR="002A51FD" w:rsidRPr="00157DA8">
        <w:rPr>
          <w:rFonts w:eastAsia="Times New Roman" w:cs="Open Sans"/>
        </w:rPr>
        <w:t>previously</w:t>
      </w:r>
      <w:r w:rsidR="00573BA7" w:rsidRPr="00157DA8">
        <w:rPr>
          <w:rFonts w:eastAsia="Times New Roman" w:cs="Open Sans"/>
        </w:rPr>
        <w:t xml:space="preserve"> </w:t>
      </w:r>
      <w:r w:rsidR="002A51FD" w:rsidRPr="00157DA8">
        <w:rPr>
          <w:rFonts w:eastAsia="Times New Roman" w:cs="Open Sans"/>
        </w:rPr>
        <w:t>recommended</w:t>
      </w:r>
      <w:r w:rsidR="00573BA7" w:rsidRPr="00157DA8">
        <w:rPr>
          <w:rFonts w:eastAsia="Times New Roman" w:cs="Open Sans"/>
        </w:rPr>
        <w:t xml:space="preserve"> </w:t>
      </w:r>
      <w:r w:rsidR="002A51FD" w:rsidRPr="00157DA8">
        <w:rPr>
          <w:rFonts w:eastAsia="Times New Roman" w:cs="Open Sans"/>
        </w:rPr>
        <w:t>by</w:t>
      </w:r>
      <w:r w:rsidR="00573BA7" w:rsidRPr="00157DA8">
        <w:rPr>
          <w:rFonts w:eastAsia="Times New Roman" w:cs="Open Sans"/>
        </w:rPr>
        <w:t xml:space="preserve"> </w:t>
      </w:r>
      <w:r w:rsidR="002A51FD" w:rsidRPr="00157DA8">
        <w:rPr>
          <w:rFonts w:eastAsia="Times New Roman" w:cs="Open Sans"/>
        </w:rPr>
        <w:t>the</w:t>
      </w:r>
      <w:r w:rsidR="00573BA7" w:rsidRPr="00157DA8">
        <w:rPr>
          <w:rFonts w:eastAsia="Times New Roman" w:cs="Open Sans"/>
        </w:rPr>
        <w:t xml:space="preserve"> </w:t>
      </w:r>
      <w:r w:rsidR="002A51FD" w:rsidRPr="00157DA8">
        <w:rPr>
          <w:rFonts w:eastAsia="Times New Roman" w:cs="Open Sans"/>
        </w:rPr>
        <w:t>Commission</w:t>
      </w:r>
      <w:r w:rsidR="00573BA7" w:rsidRPr="00157DA8">
        <w:rPr>
          <w:rFonts w:eastAsia="Times New Roman" w:cs="Open Sans"/>
        </w:rPr>
        <w:t xml:space="preserve"> </w:t>
      </w:r>
      <w:r w:rsidR="002A51FD" w:rsidRPr="00157DA8">
        <w:rPr>
          <w:rFonts w:eastAsia="Times New Roman" w:cs="Open Sans"/>
        </w:rPr>
        <w:t>in</w:t>
      </w:r>
      <w:r w:rsidR="00573BA7" w:rsidRPr="00157DA8">
        <w:rPr>
          <w:rFonts w:eastAsia="Times New Roman" w:cs="Open Sans"/>
        </w:rPr>
        <w:t xml:space="preserve"> </w:t>
      </w:r>
      <w:r w:rsidR="002A51FD" w:rsidRPr="00157DA8">
        <w:rPr>
          <w:rFonts w:eastAsia="Times New Roman" w:cs="Open Sans"/>
        </w:rPr>
        <w:t>its</w:t>
      </w:r>
      <w:r w:rsidR="00573BA7" w:rsidRPr="00157DA8">
        <w:rPr>
          <w:rFonts w:eastAsia="Times New Roman" w:cs="Open Sans"/>
        </w:rPr>
        <w:t xml:space="preserve"> </w:t>
      </w:r>
      <w:r w:rsidR="002A51FD" w:rsidRPr="00157DA8">
        <w:rPr>
          <w:rFonts w:eastAsia="Times New Roman" w:cs="Open Sans"/>
        </w:rPr>
        <w:t>Consolidation</w:t>
      </w:r>
      <w:r w:rsidR="00573BA7" w:rsidRPr="00157DA8">
        <w:rPr>
          <w:rFonts w:eastAsia="Times New Roman" w:cs="Open Sans"/>
        </w:rPr>
        <w:t xml:space="preserve"> </w:t>
      </w:r>
      <w:r w:rsidR="002A51FD" w:rsidRPr="00157DA8">
        <w:rPr>
          <w:rFonts w:eastAsia="Times New Roman" w:cs="Open Sans"/>
        </w:rPr>
        <w:t>Discussion</w:t>
      </w:r>
      <w:r w:rsidR="00573BA7" w:rsidRPr="00157DA8">
        <w:rPr>
          <w:rFonts w:eastAsia="Times New Roman" w:cs="Open Sans"/>
        </w:rPr>
        <w:t xml:space="preserve"> </w:t>
      </w:r>
      <w:r w:rsidR="002A51FD" w:rsidRPr="00157DA8">
        <w:rPr>
          <w:rFonts w:eastAsia="Times New Roman" w:cs="Open Sans"/>
        </w:rPr>
        <w:t>Paper</w:t>
      </w:r>
      <w:r w:rsidR="00EC4904">
        <w:rPr>
          <w:rFonts w:eastAsia="Times New Roman" w:cs="Open Sans"/>
        </w:rPr>
        <w:t xml:space="preserve"> Submission</w:t>
      </w:r>
      <w:r w:rsidR="009B5244" w:rsidRPr="00157DA8">
        <w:rPr>
          <w:rFonts w:eastAsia="Times New Roman" w:cs="Open Sans"/>
        </w:rPr>
        <w:t>,</w:t>
      </w:r>
      <w:r w:rsidR="0094505D">
        <w:rPr>
          <w:rStyle w:val="EndnoteReference"/>
          <w:rFonts w:eastAsia="Times New Roman" w:cs="Open Sans"/>
        </w:rPr>
        <w:endnoteReference w:id="158"/>
      </w:r>
      <w:r w:rsidR="00573BA7" w:rsidRPr="00157DA8">
        <w:rPr>
          <w:rFonts w:eastAsia="Times New Roman" w:cs="Open Sans"/>
        </w:rPr>
        <w:t xml:space="preserve"> </w:t>
      </w:r>
      <w:r w:rsidR="002727B3" w:rsidRPr="00157DA8">
        <w:rPr>
          <w:rFonts w:eastAsia="Times New Roman" w:cs="Open Sans"/>
        </w:rPr>
        <w:t>its</w:t>
      </w:r>
      <w:r w:rsidR="00573BA7" w:rsidRPr="00157DA8">
        <w:rPr>
          <w:rFonts w:eastAsia="Times New Roman" w:cs="Open Sans"/>
        </w:rPr>
        <w:t xml:space="preserve"> </w:t>
      </w:r>
      <w:r w:rsidR="002727B3" w:rsidRPr="00157DA8">
        <w:rPr>
          <w:rFonts w:eastAsia="Times New Roman" w:cs="Open Sans"/>
        </w:rPr>
        <w:t>submission</w:t>
      </w:r>
      <w:r w:rsidR="00573BA7" w:rsidRPr="00157DA8">
        <w:rPr>
          <w:rFonts w:eastAsia="Times New Roman" w:cs="Open Sans"/>
        </w:rPr>
        <w:t xml:space="preserve"> </w:t>
      </w:r>
      <w:r w:rsidR="002727B3" w:rsidRPr="00157DA8">
        <w:rPr>
          <w:rFonts w:eastAsia="Times New Roman" w:cs="Open Sans"/>
        </w:rPr>
        <w:t>to</w:t>
      </w:r>
      <w:r w:rsidR="00573BA7" w:rsidRPr="00157DA8">
        <w:rPr>
          <w:rFonts w:eastAsia="Times New Roman" w:cs="Open Sans"/>
        </w:rPr>
        <w:t xml:space="preserve"> </w:t>
      </w:r>
      <w:r w:rsidR="002727B3" w:rsidRPr="00157DA8">
        <w:rPr>
          <w:rFonts w:eastAsia="Times New Roman" w:cs="Open Sans"/>
        </w:rPr>
        <w:t>the</w:t>
      </w:r>
      <w:r w:rsidR="00573BA7" w:rsidRPr="00157DA8">
        <w:rPr>
          <w:rFonts w:eastAsia="Times New Roman" w:cs="Open Sans"/>
        </w:rPr>
        <w:t xml:space="preserve"> </w:t>
      </w:r>
      <w:r w:rsidR="002A51FD" w:rsidRPr="00157DA8">
        <w:rPr>
          <w:rFonts w:eastAsia="Times New Roman" w:cs="Open Sans"/>
        </w:rPr>
        <w:t>Inquiry</w:t>
      </w:r>
      <w:r w:rsidR="00573BA7" w:rsidRPr="00157DA8">
        <w:rPr>
          <w:rFonts w:eastAsia="Times New Roman" w:cs="Open Sans"/>
        </w:rPr>
        <w:t xml:space="preserve"> </w:t>
      </w:r>
      <w:r w:rsidR="002A51FD" w:rsidRPr="00157DA8">
        <w:rPr>
          <w:rFonts w:eastAsia="Times New Roman" w:cs="Open Sans"/>
        </w:rPr>
        <w:t>into</w:t>
      </w:r>
      <w:r w:rsidR="00573BA7" w:rsidRPr="00157DA8">
        <w:rPr>
          <w:rFonts w:eastAsia="Times New Roman" w:cs="Open Sans"/>
        </w:rPr>
        <w:t xml:space="preserve"> </w:t>
      </w:r>
      <w:r w:rsidR="002A51FD" w:rsidRPr="00157DA8">
        <w:rPr>
          <w:rFonts w:eastAsia="Times New Roman" w:cs="Open Sans"/>
        </w:rPr>
        <w:t>the</w:t>
      </w:r>
      <w:r w:rsidR="00573BA7" w:rsidRPr="00157DA8">
        <w:rPr>
          <w:rFonts w:eastAsia="Times New Roman" w:cs="Open Sans"/>
        </w:rPr>
        <w:t xml:space="preserve"> </w:t>
      </w:r>
      <w:r w:rsidR="002A51FD" w:rsidRPr="00157DA8">
        <w:rPr>
          <w:rFonts w:eastAsia="Times New Roman" w:cs="Open Sans"/>
        </w:rPr>
        <w:t>Effectiveness</w:t>
      </w:r>
      <w:r w:rsidR="00573BA7" w:rsidRPr="00157DA8">
        <w:rPr>
          <w:rFonts w:eastAsia="Times New Roman" w:cs="Open Sans"/>
        </w:rPr>
        <w:t xml:space="preserve"> </w:t>
      </w:r>
      <w:r w:rsidR="002A51FD" w:rsidRPr="00157DA8">
        <w:rPr>
          <w:rFonts w:eastAsia="Times New Roman" w:cs="Open Sans"/>
        </w:rPr>
        <w:t>of</w:t>
      </w:r>
      <w:r w:rsidR="00573BA7" w:rsidRPr="00157DA8">
        <w:rPr>
          <w:rFonts w:eastAsia="Times New Roman" w:cs="Open Sans"/>
        </w:rPr>
        <w:t xml:space="preserve"> </w:t>
      </w:r>
      <w:r w:rsidR="002A51FD" w:rsidRPr="00157DA8">
        <w:rPr>
          <w:rFonts w:eastAsia="Times New Roman" w:cs="Open Sans"/>
        </w:rPr>
        <w:t>the</w:t>
      </w:r>
      <w:r w:rsidR="00573BA7" w:rsidRPr="00157DA8">
        <w:rPr>
          <w:rFonts w:eastAsia="Times New Roman" w:cs="Open Sans"/>
        </w:rPr>
        <w:t xml:space="preserve"> </w:t>
      </w:r>
      <w:r w:rsidR="002A51FD" w:rsidRPr="07069484">
        <w:rPr>
          <w:rFonts w:eastAsia="Times New Roman" w:cs="Open Sans"/>
          <w:i/>
          <w:iCs/>
        </w:rPr>
        <w:t>Sex</w:t>
      </w:r>
      <w:r w:rsidR="00573BA7" w:rsidRPr="07069484">
        <w:rPr>
          <w:rFonts w:eastAsia="Times New Roman" w:cs="Open Sans"/>
          <w:i/>
          <w:iCs/>
        </w:rPr>
        <w:t xml:space="preserve"> </w:t>
      </w:r>
      <w:r w:rsidR="002A51FD" w:rsidRPr="07069484">
        <w:rPr>
          <w:rFonts w:eastAsia="Times New Roman" w:cs="Open Sans"/>
          <w:i/>
          <w:iCs/>
        </w:rPr>
        <w:t>Discrimination</w:t>
      </w:r>
      <w:r w:rsidR="00573BA7" w:rsidRPr="07069484">
        <w:rPr>
          <w:rFonts w:eastAsia="Times New Roman" w:cs="Open Sans"/>
          <w:i/>
          <w:iCs/>
        </w:rPr>
        <w:t xml:space="preserve"> </w:t>
      </w:r>
      <w:r w:rsidR="002A51FD" w:rsidRPr="07069484">
        <w:rPr>
          <w:rFonts w:eastAsia="Times New Roman" w:cs="Open Sans"/>
          <w:i/>
          <w:iCs/>
        </w:rPr>
        <w:t>Act</w:t>
      </w:r>
      <w:r w:rsidR="00573BA7" w:rsidRPr="07069484">
        <w:rPr>
          <w:rFonts w:eastAsia="Times New Roman" w:cs="Open Sans"/>
          <w:i/>
          <w:iCs/>
        </w:rPr>
        <w:t xml:space="preserve"> </w:t>
      </w:r>
      <w:r w:rsidR="002A51FD" w:rsidRPr="07069484">
        <w:rPr>
          <w:rFonts w:eastAsia="Times New Roman" w:cs="Open Sans"/>
          <w:i/>
          <w:iCs/>
        </w:rPr>
        <w:t>1984</w:t>
      </w:r>
      <w:r w:rsidR="00573BA7" w:rsidRPr="00157DA8">
        <w:rPr>
          <w:rFonts w:eastAsia="Times New Roman" w:cs="Open Sans"/>
        </w:rPr>
        <w:t xml:space="preserve"> </w:t>
      </w:r>
      <w:r w:rsidR="002A51FD" w:rsidRPr="00157DA8">
        <w:rPr>
          <w:rFonts w:eastAsia="Times New Roman" w:cs="Open Sans"/>
        </w:rPr>
        <w:t>(Cth)</w:t>
      </w:r>
      <w:r w:rsidR="00573BA7" w:rsidRPr="00157DA8">
        <w:rPr>
          <w:rFonts w:eastAsia="Times New Roman" w:cs="Open Sans"/>
        </w:rPr>
        <w:t xml:space="preserve"> </w:t>
      </w:r>
      <w:r w:rsidR="002A51FD" w:rsidRPr="00157DA8">
        <w:rPr>
          <w:rFonts w:eastAsia="Times New Roman" w:cs="Open Sans"/>
        </w:rPr>
        <w:t>(2008</w:t>
      </w:r>
      <w:r w:rsidR="00573BA7" w:rsidRPr="00157DA8">
        <w:rPr>
          <w:rFonts w:eastAsia="Times New Roman" w:cs="Open Sans"/>
        </w:rPr>
        <w:t xml:space="preserve"> </w:t>
      </w:r>
      <w:r w:rsidR="002A51FD" w:rsidRPr="00157DA8">
        <w:rPr>
          <w:rFonts w:eastAsia="Times New Roman" w:cs="Open Sans"/>
        </w:rPr>
        <w:t>SDA</w:t>
      </w:r>
      <w:r w:rsidR="00573BA7" w:rsidRPr="00157DA8">
        <w:rPr>
          <w:rFonts w:eastAsia="Times New Roman" w:cs="Open Sans"/>
        </w:rPr>
        <w:t xml:space="preserve"> </w:t>
      </w:r>
      <w:r w:rsidR="002A51FD" w:rsidRPr="00157DA8">
        <w:rPr>
          <w:rFonts w:eastAsia="Times New Roman" w:cs="Open Sans"/>
        </w:rPr>
        <w:t>Inquiry</w:t>
      </w:r>
      <w:r w:rsidR="005F4F14">
        <w:rPr>
          <w:rFonts w:eastAsia="Times New Roman" w:cs="Open Sans"/>
        </w:rPr>
        <w:t xml:space="preserve"> Submission</w:t>
      </w:r>
      <w:r w:rsidR="002A51FD" w:rsidRPr="00157DA8">
        <w:rPr>
          <w:rFonts w:eastAsia="Times New Roman" w:cs="Open Sans"/>
        </w:rPr>
        <w:t>)</w:t>
      </w:r>
      <w:r w:rsidR="009B5244" w:rsidRPr="00157DA8">
        <w:rPr>
          <w:rFonts w:eastAsia="Times New Roman" w:cs="Open Sans"/>
        </w:rPr>
        <w:t>,</w:t>
      </w:r>
      <w:r w:rsidR="0094505D">
        <w:rPr>
          <w:rStyle w:val="EndnoteReference"/>
          <w:rFonts w:eastAsia="Times New Roman" w:cs="Open Sans"/>
        </w:rPr>
        <w:endnoteReference w:id="159"/>
      </w:r>
      <w:r w:rsidR="00573BA7" w:rsidRPr="00157DA8">
        <w:rPr>
          <w:rFonts w:eastAsia="Times New Roman" w:cs="Open Sans"/>
        </w:rPr>
        <w:t xml:space="preserve"> </w:t>
      </w:r>
      <w:r w:rsidR="00F2734F" w:rsidRPr="00157DA8">
        <w:rPr>
          <w:rFonts w:eastAsia="Times New Roman" w:cs="Open Sans"/>
        </w:rPr>
        <w:t>in</w:t>
      </w:r>
      <w:r w:rsidR="00573BA7" w:rsidRPr="00157DA8">
        <w:rPr>
          <w:rFonts w:eastAsia="Times New Roman" w:cs="Open Sans"/>
        </w:rPr>
        <w:t xml:space="preserve"> </w:t>
      </w:r>
      <w:r w:rsidR="00245F33">
        <w:rPr>
          <w:rFonts w:eastAsia="Times New Roman" w:cs="Open Sans"/>
        </w:rPr>
        <w:t>Willing to Work</w:t>
      </w:r>
      <w:r w:rsidR="000E46E6">
        <w:rPr>
          <w:rFonts w:eastAsia="Times New Roman" w:cs="Open Sans"/>
        </w:rPr>
        <w:t>,</w:t>
      </w:r>
      <w:r w:rsidR="000E46E6" w:rsidRPr="003F4CE1">
        <w:rPr>
          <w:rStyle w:val="EndnoteReference"/>
          <w:rFonts w:eastAsia="Times New Roman" w:cs="Open Sans"/>
        </w:rPr>
        <w:endnoteReference w:id="160"/>
      </w:r>
      <w:r w:rsidR="00573BA7" w:rsidRPr="00157DA8">
        <w:rPr>
          <w:rFonts w:eastAsia="Times New Roman" w:cs="Open Sans"/>
        </w:rPr>
        <w:t xml:space="preserve"> </w:t>
      </w:r>
      <w:r w:rsidR="000E46E6">
        <w:rPr>
          <w:rFonts w:eastAsia="Times New Roman" w:cs="Open Sans"/>
        </w:rPr>
        <w:t>and most recently in the Commission’s Respect@Work report.</w:t>
      </w:r>
      <w:r w:rsidR="000E46E6">
        <w:rPr>
          <w:rStyle w:val="EndnoteReference"/>
          <w:rFonts w:eastAsia="Times New Roman" w:cs="Open Sans"/>
        </w:rPr>
        <w:endnoteReference w:id="161"/>
      </w:r>
      <w:r w:rsidR="001C5858">
        <w:rPr>
          <w:rFonts w:eastAsia="Times New Roman" w:cs="Open Sans"/>
        </w:rPr>
        <w:t xml:space="preserve"> The Commission reiterates this recommendation.</w:t>
      </w:r>
      <w:bookmarkStart w:id="73" w:name="_Hlk51610322"/>
    </w:p>
    <w:p w14:paraId="7A089A86" w14:textId="71BA333D" w:rsidR="002A51FD" w:rsidRPr="003F4CE1" w:rsidRDefault="002A51FD" w:rsidP="00662F4B">
      <w:pPr>
        <w:pStyle w:val="ListNumber"/>
        <w:rPr>
          <w:rFonts w:eastAsia="Times New Roman" w:cs="Open Sans"/>
        </w:rPr>
      </w:pPr>
      <w:r w:rsidRPr="003F4CE1">
        <w:rPr>
          <w:rFonts w:eastAsia="Times New Roman" w:cs="Open Sans"/>
        </w:rPr>
        <w:t>A</w:t>
      </w:r>
      <w:r w:rsidR="00573BA7">
        <w:rPr>
          <w:rFonts w:eastAsia="Times New Roman" w:cs="Open Sans"/>
        </w:rPr>
        <w:t xml:space="preserve"> </w:t>
      </w:r>
      <w:r w:rsidRPr="003F4CE1">
        <w:rPr>
          <w:rFonts w:eastAsia="Times New Roman" w:cs="Open Sans"/>
        </w:rPr>
        <w:t>positive</w:t>
      </w:r>
      <w:r w:rsidR="00573BA7">
        <w:rPr>
          <w:rFonts w:eastAsia="Times New Roman" w:cs="Open Sans"/>
        </w:rPr>
        <w:t xml:space="preserve"> </w:t>
      </w:r>
      <w:r w:rsidRPr="003F4CE1">
        <w:rPr>
          <w:rFonts w:eastAsia="Times New Roman" w:cs="Open Sans"/>
        </w:rPr>
        <w:t>duty</w:t>
      </w:r>
      <w:r w:rsidR="00573BA7">
        <w:rPr>
          <w:rFonts w:eastAsia="Times New Roman" w:cs="Open Sans"/>
        </w:rPr>
        <w:t xml:space="preserve"> </w:t>
      </w:r>
      <w:r w:rsidRPr="003F4CE1">
        <w:rPr>
          <w:rFonts w:eastAsia="Times New Roman" w:cs="Open Sans"/>
        </w:rPr>
        <w:t>exists</w:t>
      </w:r>
      <w:r w:rsidR="00573BA7">
        <w:rPr>
          <w:rFonts w:eastAsia="Times New Roman" w:cs="Open Sans"/>
        </w:rPr>
        <w:t xml:space="preserve"> </w:t>
      </w:r>
      <w:r w:rsidRPr="003F4CE1">
        <w:rPr>
          <w:rFonts w:eastAsia="Times New Roman" w:cs="Open Sans"/>
        </w:rPr>
        <w:t>in</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00B30684">
        <w:rPr>
          <w:rFonts w:eastAsia="Times New Roman" w:cs="Open Sans"/>
        </w:rPr>
        <w:t>UK</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00B30684">
        <w:rPr>
          <w:rFonts w:eastAsia="Times New Roman" w:cs="Open Sans"/>
        </w:rPr>
        <w:t>Victorian</w:t>
      </w:r>
      <w:r w:rsidR="00573BA7">
        <w:rPr>
          <w:rFonts w:eastAsia="Times New Roman" w:cs="Open Sans"/>
        </w:rPr>
        <w:t xml:space="preserve"> </w:t>
      </w:r>
      <w:r w:rsidRPr="003F4CE1">
        <w:rPr>
          <w:rFonts w:eastAsia="Times New Roman" w:cs="Open Sans"/>
        </w:rPr>
        <w:t>anti-discrimination</w:t>
      </w:r>
      <w:r w:rsidR="00573BA7">
        <w:rPr>
          <w:rFonts w:eastAsia="Times New Roman" w:cs="Open Sans"/>
        </w:rPr>
        <w:t xml:space="preserve"> </w:t>
      </w:r>
      <w:r w:rsidRPr="003F4CE1">
        <w:rPr>
          <w:rFonts w:eastAsia="Times New Roman" w:cs="Open Sans"/>
        </w:rPr>
        <w:t>jurisdictions.</w:t>
      </w:r>
      <w:r w:rsidR="00573BA7">
        <w:rPr>
          <w:rFonts w:eastAsia="Times New Roman" w:cs="Open Sans"/>
        </w:rPr>
        <w:t xml:space="preserve"> </w:t>
      </w:r>
      <w:r w:rsidRPr="003F4CE1">
        <w:rPr>
          <w:rFonts w:eastAsia="Times New Roman" w:cs="Open Sans"/>
        </w:rPr>
        <w:t>In</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UK,</w:t>
      </w:r>
      <w:r w:rsidR="00573BA7">
        <w:rPr>
          <w:rFonts w:eastAsia="Times New Roman" w:cs="Open Sans"/>
        </w:rPr>
        <w:t xml:space="preserve"> </w:t>
      </w:r>
      <w:r w:rsidRPr="003F4CE1">
        <w:rPr>
          <w:rFonts w:eastAsia="Times New Roman" w:cs="Open Sans"/>
        </w:rPr>
        <w:t>key</w:t>
      </w:r>
      <w:r w:rsidR="00573BA7">
        <w:rPr>
          <w:rFonts w:eastAsia="Times New Roman" w:cs="Open Sans"/>
        </w:rPr>
        <w:t xml:space="preserve"> </w:t>
      </w:r>
      <w:r w:rsidRPr="003F4CE1">
        <w:rPr>
          <w:rFonts w:eastAsia="Times New Roman" w:cs="Open Sans"/>
        </w:rPr>
        <w:t>public</w:t>
      </w:r>
      <w:r w:rsidR="00573BA7">
        <w:rPr>
          <w:rFonts w:eastAsia="Times New Roman" w:cs="Open Sans"/>
        </w:rPr>
        <w:t xml:space="preserve"> </w:t>
      </w:r>
      <w:r w:rsidRPr="003F4CE1">
        <w:rPr>
          <w:rFonts w:eastAsia="Times New Roman" w:cs="Open Sans"/>
        </w:rPr>
        <w:t>authorities</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Pr="003F4CE1">
        <w:rPr>
          <w:rFonts w:eastAsia="Times New Roman" w:cs="Open Sans"/>
        </w:rPr>
        <w:t>private</w:t>
      </w:r>
      <w:r w:rsidR="00573BA7">
        <w:rPr>
          <w:rFonts w:eastAsia="Times New Roman" w:cs="Open Sans"/>
        </w:rPr>
        <w:t xml:space="preserve"> </w:t>
      </w:r>
      <w:r w:rsidRPr="003F4CE1">
        <w:rPr>
          <w:rFonts w:eastAsia="Times New Roman" w:cs="Open Sans"/>
        </w:rPr>
        <w:t>bodies</w:t>
      </w:r>
      <w:r w:rsidR="00573BA7">
        <w:rPr>
          <w:rFonts w:eastAsia="Times New Roman" w:cs="Open Sans"/>
        </w:rPr>
        <w:t xml:space="preserve"> </w:t>
      </w:r>
      <w:r w:rsidRPr="003F4CE1">
        <w:rPr>
          <w:rFonts w:eastAsia="Times New Roman" w:cs="Open Sans"/>
        </w:rPr>
        <w:t>carrying</w:t>
      </w:r>
      <w:r w:rsidR="00573BA7">
        <w:rPr>
          <w:rFonts w:eastAsia="Times New Roman" w:cs="Open Sans"/>
        </w:rPr>
        <w:t xml:space="preserve"> </w:t>
      </w:r>
      <w:r w:rsidRPr="003F4CE1">
        <w:rPr>
          <w:rFonts w:eastAsia="Times New Roman" w:cs="Open Sans"/>
        </w:rPr>
        <w:t>out</w:t>
      </w:r>
      <w:r w:rsidR="00573BA7">
        <w:rPr>
          <w:rFonts w:eastAsia="Times New Roman" w:cs="Open Sans"/>
        </w:rPr>
        <w:t xml:space="preserve"> </w:t>
      </w:r>
      <w:r w:rsidRPr="003F4CE1">
        <w:rPr>
          <w:rFonts w:eastAsia="Times New Roman" w:cs="Open Sans"/>
        </w:rPr>
        <w:t>a</w:t>
      </w:r>
      <w:r w:rsidR="00573BA7">
        <w:rPr>
          <w:rFonts w:eastAsia="Times New Roman" w:cs="Open Sans"/>
        </w:rPr>
        <w:t xml:space="preserve"> </w:t>
      </w:r>
      <w:r w:rsidRPr="003F4CE1">
        <w:rPr>
          <w:rFonts w:eastAsia="Times New Roman" w:cs="Open Sans"/>
        </w:rPr>
        <w:t>public</w:t>
      </w:r>
      <w:r w:rsidR="00573BA7">
        <w:rPr>
          <w:rFonts w:eastAsia="Times New Roman" w:cs="Open Sans"/>
        </w:rPr>
        <w:t xml:space="preserve"> </w:t>
      </w:r>
      <w:r w:rsidRPr="003F4CE1">
        <w:rPr>
          <w:rFonts w:eastAsia="Times New Roman" w:cs="Open Sans"/>
        </w:rPr>
        <w:t>function</w:t>
      </w:r>
      <w:r w:rsidR="00573BA7">
        <w:rPr>
          <w:rFonts w:eastAsia="Times New Roman" w:cs="Open Sans"/>
        </w:rPr>
        <w:t xml:space="preserve"> </w:t>
      </w:r>
      <w:r w:rsidRPr="003F4CE1">
        <w:rPr>
          <w:rFonts w:eastAsia="Times New Roman" w:cs="Open Sans"/>
        </w:rPr>
        <w:t>have</w:t>
      </w:r>
      <w:r w:rsidR="00573BA7">
        <w:rPr>
          <w:rFonts w:eastAsia="Times New Roman" w:cs="Open Sans"/>
        </w:rPr>
        <w:t xml:space="preserve"> </w:t>
      </w:r>
      <w:r w:rsidRPr="003F4CE1">
        <w:rPr>
          <w:rFonts w:eastAsia="Times New Roman" w:cs="Open Sans"/>
        </w:rPr>
        <w:t>a</w:t>
      </w:r>
      <w:r w:rsidR="00573BA7">
        <w:rPr>
          <w:rFonts w:eastAsia="Times New Roman" w:cs="Open Sans"/>
        </w:rPr>
        <w:t xml:space="preserve"> </w:t>
      </w:r>
      <w:r w:rsidRPr="003F4CE1">
        <w:rPr>
          <w:rFonts w:eastAsia="Times New Roman" w:cs="Open Sans"/>
        </w:rPr>
        <w:t>general</w:t>
      </w:r>
      <w:r w:rsidR="00573BA7">
        <w:rPr>
          <w:rFonts w:eastAsia="Times New Roman" w:cs="Open Sans"/>
        </w:rPr>
        <w:t xml:space="preserve"> </w:t>
      </w:r>
      <w:r w:rsidRPr="003F4CE1">
        <w:rPr>
          <w:rFonts w:eastAsia="Times New Roman" w:cs="Open Sans"/>
        </w:rPr>
        <w:t>duty</w:t>
      </w:r>
      <w:r w:rsidR="00573BA7">
        <w:rPr>
          <w:rFonts w:eastAsia="Times New Roman" w:cs="Open Sans"/>
        </w:rPr>
        <w:t xml:space="preserve"> </w:t>
      </w:r>
      <w:r w:rsidRPr="003F4CE1">
        <w:rPr>
          <w:rFonts w:eastAsia="Times New Roman" w:cs="Open Sans"/>
        </w:rPr>
        <w:t>under</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7069484">
        <w:rPr>
          <w:rFonts w:eastAsia="Times New Roman" w:cs="Open Sans"/>
          <w:i/>
          <w:iCs/>
        </w:rPr>
        <w:t>Equality</w:t>
      </w:r>
      <w:r w:rsidR="00573BA7" w:rsidRPr="07069484">
        <w:rPr>
          <w:rFonts w:eastAsia="Times New Roman" w:cs="Open Sans"/>
          <w:i/>
          <w:iCs/>
        </w:rPr>
        <w:t xml:space="preserve"> </w:t>
      </w:r>
      <w:r w:rsidRPr="07069484">
        <w:rPr>
          <w:rFonts w:eastAsia="Times New Roman" w:cs="Open Sans"/>
          <w:i/>
          <w:iCs/>
        </w:rPr>
        <w:t>Act</w:t>
      </w:r>
      <w:r w:rsidR="00573BA7" w:rsidRPr="07069484">
        <w:rPr>
          <w:rFonts w:eastAsia="Times New Roman" w:cs="Open Sans"/>
          <w:i/>
          <w:iCs/>
        </w:rPr>
        <w:t xml:space="preserve"> </w:t>
      </w:r>
      <w:r w:rsidRPr="07069484">
        <w:rPr>
          <w:rFonts w:eastAsia="Times New Roman" w:cs="Open Sans"/>
          <w:i/>
          <w:iCs/>
        </w:rPr>
        <w:t>2010</w:t>
      </w:r>
      <w:r w:rsidR="00573BA7" w:rsidRPr="07069484">
        <w:rPr>
          <w:rFonts w:eastAsia="Times New Roman" w:cs="Open Sans"/>
          <w:i/>
          <w:iCs/>
        </w:rPr>
        <w:t xml:space="preserve"> </w:t>
      </w:r>
      <w:r w:rsidR="00D83DC6" w:rsidRPr="003F4CE1">
        <w:rPr>
          <w:rFonts w:eastAsia="Times New Roman" w:cs="Open Sans"/>
        </w:rPr>
        <w:t>(</w:t>
      </w:r>
      <w:r w:rsidRPr="003F4CE1">
        <w:rPr>
          <w:rFonts w:eastAsia="Times New Roman" w:cs="Open Sans"/>
        </w:rPr>
        <w:t>UK)</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have</w:t>
      </w:r>
      <w:r w:rsidR="00573BA7">
        <w:rPr>
          <w:rFonts w:eastAsia="Times New Roman" w:cs="Open Sans"/>
        </w:rPr>
        <w:t xml:space="preserve"> </w:t>
      </w:r>
      <w:r w:rsidRPr="003F4CE1">
        <w:rPr>
          <w:rFonts w:eastAsia="Times New Roman" w:cs="Open Sans"/>
        </w:rPr>
        <w:t>due</w:t>
      </w:r>
      <w:r w:rsidR="00573BA7">
        <w:rPr>
          <w:rFonts w:eastAsia="Times New Roman" w:cs="Open Sans"/>
        </w:rPr>
        <w:t xml:space="preserve"> </w:t>
      </w:r>
      <w:r w:rsidRPr="003F4CE1">
        <w:rPr>
          <w:rFonts w:eastAsia="Times New Roman" w:cs="Open Sans"/>
        </w:rPr>
        <w:t>regard</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need</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eliminate</w:t>
      </w:r>
      <w:r w:rsidR="00573BA7">
        <w:rPr>
          <w:rFonts w:eastAsia="Times New Roman" w:cs="Open Sans"/>
        </w:rPr>
        <w:t xml:space="preserve"> </w:t>
      </w:r>
      <w:r w:rsidRPr="003F4CE1">
        <w:rPr>
          <w:rFonts w:eastAsia="Times New Roman" w:cs="Open Sans"/>
        </w:rPr>
        <w:t>unlawful</w:t>
      </w:r>
      <w:r w:rsidR="00573BA7">
        <w:rPr>
          <w:rFonts w:eastAsia="Times New Roman" w:cs="Open Sans"/>
        </w:rPr>
        <w:t xml:space="preserve"> </w:t>
      </w:r>
      <w:r w:rsidRPr="003F4CE1">
        <w:rPr>
          <w:rFonts w:eastAsia="Times New Roman" w:cs="Open Sans"/>
        </w:rPr>
        <w:t>discrimination,</w:t>
      </w:r>
      <w:r w:rsidR="00573BA7">
        <w:rPr>
          <w:rFonts w:eastAsia="Times New Roman" w:cs="Open Sans"/>
        </w:rPr>
        <w:t xml:space="preserve"> </w:t>
      </w:r>
      <w:r w:rsidRPr="003F4CE1">
        <w:rPr>
          <w:rFonts w:eastAsia="Times New Roman" w:cs="Open Sans"/>
        </w:rPr>
        <w:t>harassment</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Pr="003F4CE1">
        <w:rPr>
          <w:rFonts w:eastAsia="Times New Roman" w:cs="Open Sans"/>
        </w:rPr>
        <w:t>victimisation</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advance</w:t>
      </w:r>
      <w:r w:rsidR="00573BA7">
        <w:rPr>
          <w:rFonts w:eastAsia="Times New Roman" w:cs="Open Sans"/>
        </w:rPr>
        <w:t xml:space="preserve"> </w:t>
      </w:r>
      <w:r w:rsidRPr="003F4CE1">
        <w:rPr>
          <w:rFonts w:eastAsia="Times New Roman" w:cs="Open Sans"/>
        </w:rPr>
        <w:t>equality</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opportunity</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Pr="003F4CE1">
        <w:rPr>
          <w:rFonts w:eastAsia="Times New Roman" w:cs="Open Sans"/>
        </w:rPr>
        <w:t>good</w:t>
      </w:r>
      <w:r w:rsidR="00573BA7">
        <w:rPr>
          <w:rFonts w:eastAsia="Times New Roman" w:cs="Open Sans"/>
        </w:rPr>
        <w:t xml:space="preserve"> </w:t>
      </w:r>
      <w:r w:rsidRPr="003F4CE1">
        <w:rPr>
          <w:rFonts w:eastAsia="Times New Roman" w:cs="Open Sans"/>
        </w:rPr>
        <w:t>relations</w:t>
      </w:r>
      <w:r w:rsidR="00573BA7">
        <w:rPr>
          <w:rFonts w:eastAsia="Times New Roman" w:cs="Open Sans"/>
        </w:rPr>
        <w:t xml:space="preserve"> </w:t>
      </w:r>
      <w:r w:rsidRPr="003F4CE1">
        <w:rPr>
          <w:rFonts w:eastAsia="Times New Roman" w:cs="Open Sans"/>
        </w:rPr>
        <w:t>between</w:t>
      </w:r>
      <w:r w:rsidR="00573BA7">
        <w:rPr>
          <w:rFonts w:eastAsia="Times New Roman" w:cs="Open Sans"/>
        </w:rPr>
        <w:t xml:space="preserve"> </w:t>
      </w:r>
      <w:r w:rsidRPr="003F4CE1">
        <w:rPr>
          <w:rFonts w:eastAsia="Times New Roman" w:cs="Open Sans"/>
        </w:rPr>
        <w:t>different</w:t>
      </w:r>
      <w:r w:rsidR="00573BA7">
        <w:rPr>
          <w:rFonts w:eastAsia="Times New Roman" w:cs="Open Sans"/>
        </w:rPr>
        <w:t xml:space="preserve"> </w:t>
      </w:r>
      <w:r w:rsidRPr="003F4CE1">
        <w:rPr>
          <w:rFonts w:eastAsia="Times New Roman" w:cs="Open Sans"/>
        </w:rPr>
        <w:t>groups.</w:t>
      </w:r>
      <w:r w:rsidR="003E57CD">
        <w:rPr>
          <w:rStyle w:val="EndnoteReference"/>
          <w:rFonts w:eastAsia="Times New Roman" w:cs="Open Sans"/>
        </w:rPr>
        <w:endnoteReference w:id="162"/>
      </w:r>
      <w:r w:rsidR="00573BA7">
        <w:rPr>
          <w:rFonts w:eastAsia="Times New Roman" w:cs="Open Sans"/>
        </w:rPr>
        <w:t xml:space="preserve"> </w:t>
      </w:r>
      <w:r w:rsidR="006616F9">
        <w:rPr>
          <w:rFonts w:eastAsia="Times New Roman" w:cs="Open Sans"/>
        </w:rPr>
        <w:t>The</w:t>
      </w:r>
      <w:r w:rsidR="00573BA7">
        <w:rPr>
          <w:rFonts w:eastAsia="Times New Roman" w:cs="Open Sans"/>
        </w:rPr>
        <w:t xml:space="preserve"> </w:t>
      </w:r>
      <w:r w:rsidR="006616F9">
        <w:rPr>
          <w:rFonts w:eastAsia="Times New Roman" w:cs="Open Sans"/>
        </w:rPr>
        <w:t>UK</w:t>
      </w:r>
      <w:r w:rsidR="00573BA7">
        <w:rPr>
          <w:rFonts w:eastAsia="Times New Roman" w:cs="Open Sans"/>
        </w:rPr>
        <w:t xml:space="preserve"> </w:t>
      </w:r>
      <w:r w:rsidRPr="003F4CE1">
        <w:rPr>
          <w:rFonts w:eastAsia="Times New Roman" w:cs="Open Sans"/>
        </w:rPr>
        <w:t>Equality</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Pr="003F4CE1">
        <w:rPr>
          <w:rFonts w:eastAsia="Times New Roman" w:cs="Open Sans"/>
        </w:rPr>
        <w:t>Human</w:t>
      </w:r>
      <w:r w:rsidR="00573BA7">
        <w:rPr>
          <w:rFonts w:eastAsia="Times New Roman" w:cs="Open Sans"/>
        </w:rPr>
        <w:t xml:space="preserve"> </w:t>
      </w:r>
      <w:r w:rsidRPr="003F4CE1">
        <w:rPr>
          <w:rFonts w:eastAsia="Times New Roman" w:cs="Open Sans"/>
        </w:rPr>
        <w:t>Rights</w:t>
      </w:r>
      <w:r w:rsidR="00573BA7">
        <w:rPr>
          <w:rFonts w:eastAsia="Times New Roman" w:cs="Open Sans"/>
        </w:rPr>
        <w:t xml:space="preserve"> </w:t>
      </w:r>
      <w:r w:rsidR="00D83DC6" w:rsidRPr="003F4CE1">
        <w:rPr>
          <w:rFonts w:eastAsia="Times New Roman" w:cs="Open Sans"/>
        </w:rPr>
        <w:t>C</w:t>
      </w:r>
      <w:r w:rsidRPr="003F4CE1">
        <w:rPr>
          <w:rFonts w:eastAsia="Times New Roman" w:cs="Open Sans"/>
        </w:rPr>
        <w:t>ommission</w:t>
      </w:r>
      <w:r w:rsidR="00573BA7">
        <w:rPr>
          <w:rFonts w:eastAsia="Times New Roman" w:cs="Open Sans"/>
        </w:rPr>
        <w:t xml:space="preserve"> </w:t>
      </w:r>
      <w:r w:rsidRPr="003F4CE1">
        <w:rPr>
          <w:rFonts w:eastAsia="Times New Roman" w:cs="Open Sans"/>
        </w:rPr>
        <w:t>requires</w:t>
      </w:r>
      <w:r w:rsidR="00573BA7">
        <w:rPr>
          <w:rFonts w:eastAsia="Times New Roman" w:cs="Open Sans"/>
        </w:rPr>
        <w:t xml:space="preserve"> </w:t>
      </w:r>
      <w:r w:rsidRPr="003F4CE1">
        <w:rPr>
          <w:rFonts w:eastAsia="Times New Roman" w:cs="Open Sans"/>
        </w:rPr>
        <w:t>organ</w:t>
      </w:r>
      <w:r w:rsidR="002727B3" w:rsidRPr="003F4CE1">
        <w:rPr>
          <w:rFonts w:eastAsia="Times New Roman" w:cs="Open Sans"/>
        </w:rPr>
        <w:t>is</w:t>
      </w:r>
      <w:r w:rsidRPr="003F4CE1">
        <w:rPr>
          <w:rFonts w:eastAsia="Times New Roman" w:cs="Open Sans"/>
        </w:rPr>
        <w:t>ations</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publicly</w:t>
      </w:r>
      <w:r w:rsidR="00573BA7">
        <w:rPr>
          <w:rFonts w:eastAsia="Times New Roman" w:cs="Open Sans"/>
        </w:rPr>
        <w:t xml:space="preserve"> </w:t>
      </w:r>
      <w:r w:rsidRPr="003F4CE1">
        <w:rPr>
          <w:rFonts w:eastAsia="Times New Roman" w:cs="Open Sans"/>
        </w:rPr>
        <w:t>demonstrate</w:t>
      </w:r>
      <w:r w:rsidR="00573BA7">
        <w:rPr>
          <w:rFonts w:eastAsia="Times New Roman" w:cs="Open Sans"/>
        </w:rPr>
        <w:t xml:space="preserve"> </w:t>
      </w:r>
      <w:r w:rsidRPr="003F4CE1">
        <w:rPr>
          <w:rFonts w:eastAsia="Times New Roman" w:cs="Open Sans"/>
        </w:rPr>
        <w:t>their</w:t>
      </w:r>
      <w:r w:rsidR="00573BA7">
        <w:rPr>
          <w:rFonts w:eastAsia="Times New Roman" w:cs="Open Sans"/>
        </w:rPr>
        <w:t xml:space="preserve"> </w:t>
      </w:r>
      <w:r w:rsidRPr="003F4CE1">
        <w:rPr>
          <w:rFonts w:eastAsia="Times New Roman" w:cs="Open Sans"/>
        </w:rPr>
        <w:t>compliance</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Pr="003F4CE1">
        <w:rPr>
          <w:rFonts w:eastAsia="Times New Roman" w:cs="Open Sans"/>
        </w:rPr>
        <w:t>set</w:t>
      </w:r>
      <w:r w:rsidR="00573BA7">
        <w:rPr>
          <w:rFonts w:eastAsia="Times New Roman" w:cs="Open Sans"/>
        </w:rPr>
        <w:t xml:space="preserve"> </w:t>
      </w:r>
      <w:r w:rsidRPr="003F4CE1">
        <w:rPr>
          <w:rFonts w:eastAsia="Times New Roman" w:cs="Open Sans"/>
        </w:rPr>
        <w:t>measurable</w:t>
      </w:r>
      <w:r w:rsidR="00573BA7">
        <w:rPr>
          <w:rFonts w:eastAsia="Times New Roman" w:cs="Open Sans"/>
        </w:rPr>
        <w:t xml:space="preserve"> </w:t>
      </w:r>
      <w:r w:rsidRPr="003F4CE1">
        <w:rPr>
          <w:rFonts w:eastAsia="Times New Roman" w:cs="Open Sans"/>
        </w:rPr>
        <w:t>goals,</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Pr="003F4CE1">
        <w:rPr>
          <w:rFonts w:eastAsia="Times New Roman" w:cs="Open Sans"/>
        </w:rPr>
        <w:t>may</w:t>
      </w:r>
      <w:r w:rsidR="00573BA7">
        <w:rPr>
          <w:rFonts w:eastAsia="Times New Roman" w:cs="Open Sans"/>
        </w:rPr>
        <w:t xml:space="preserve"> </w:t>
      </w:r>
      <w:r w:rsidRPr="003F4CE1">
        <w:rPr>
          <w:rFonts w:eastAsia="Times New Roman" w:cs="Open Sans"/>
        </w:rPr>
        <w:t>seek</w:t>
      </w:r>
      <w:r w:rsidR="00573BA7">
        <w:rPr>
          <w:rFonts w:eastAsia="Times New Roman" w:cs="Open Sans"/>
        </w:rPr>
        <w:t xml:space="preserve"> </w:t>
      </w:r>
      <w:r w:rsidRPr="003F4CE1">
        <w:rPr>
          <w:rFonts w:eastAsia="Times New Roman" w:cs="Open Sans"/>
        </w:rPr>
        <w:t>compliance</w:t>
      </w:r>
      <w:r w:rsidR="00573BA7">
        <w:rPr>
          <w:rFonts w:eastAsia="Times New Roman" w:cs="Open Sans"/>
        </w:rPr>
        <w:t xml:space="preserve"> </w:t>
      </w:r>
      <w:r w:rsidRPr="003F4CE1">
        <w:rPr>
          <w:rFonts w:eastAsia="Times New Roman" w:cs="Open Sans"/>
        </w:rPr>
        <w:t>through</w:t>
      </w:r>
      <w:r w:rsidR="00573BA7">
        <w:rPr>
          <w:rFonts w:eastAsia="Times New Roman" w:cs="Open Sans"/>
        </w:rPr>
        <w:t xml:space="preserve"> </w:t>
      </w:r>
      <w:r w:rsidRPr="003F4CE1">
        <w:rPr>
          <w:rFonts w:eastAsia="Times New Roman" w:cs="Open Sans"/>
        </w:rPr>
        <w:t>improvement</w:t>
      </w:r>
      <w:r w:rsidR="00573BA7">
        <w:rPr>
          <w:rFonts w:eastAsia="Times New Roman" w:cs="Open Sans"/>
        </w:rPr>
        <w:t xml:space="preserve"> </w:t>
      </w:r>
      <w:r w:rsidRPr="003F4CE1">
        <w:rPr>
          <w:rFonts w:eastAsia="Times New Roman" w:cs="Open Sans"/>
        </w:rPr>
        <w:t>notices</w:t>
      </w:r>
      <w:r w:rsidR="00573BA7">
        <w:rPr>
          <w:rFonts w:eastAsia="Times New Roman" w:cs="Open Sans"/>
        </w:rPr>
        <w:t xml:space="preserve"> </w:t>
      </w:r>
      <w:r w:rsidRPr="003F4CE1">
        <w:rPr>
          <w:rFonts w:eastAsia="Times New Roman" w:cs="Open Sans"/>
        </w:rPr>
        <w:t>or</w:t>
      </w:r>
      <w:r w:rsidR="00573BA7">
        <w:rPr>
          <w:rFonts w:eastAsia="Times New Roman" w:cs="Open Sans"/>
        </w:rPr>
        <w:t xml:space="preserve"> </w:t>
      </w:r>
      <w:r w:rsidRPr="003F4CE1">
        <w:rPr>
          <w:rFonts w:eastAsia="Times New Roman" w:cs="Open Sans"/>
        </w:rPr>
        <w:t>court</w:t>
      </w:r>
      <w:r w:rsidR="00573BA7">
        <w:rPr>
          <w:rFonts w:eastAsia="Times New Roman" w:cs="Open Sans"/>
        </w:rPr>
        <w:t xml:space="preserve"> </w:t>
      </w:r>
      <w:r w:rsidRPr="003F4CE1">
        <w:rPr>
          <w:rFonts w:eastAsia="Times New Roman" w:cs="Open Sans"/>
        </w:rPr>
        <w:t>orders.</w:t>
      </w:r>
      <w:r w:rsidR="005905FA" w:rsidRPr="003F4CE1">
        <w:rPr>
          <w:rStyle w:val="EndnoteReference"/>
          <w:rFonts w:eastAsia="Times New Roman" w:cs="Open Sans"/>
        </w:rPr>
        <w:endnoteReference w:id="163"/>
      </w:r>
      <w:r w:rsidR="00573BA7">
        <w:rPr>
          <w:rFonts w:eastAsia="Times New Roman" w:cs="Open Sans"/>
        </w:rPr>
        <w:t xml:space="preserve"> </w:t>
      </w:r>
    </w:p>
    <w:bookmarkEnd w:id="73"/>
    <w:p w14:paraId="6E4D8D0D" w14:textId="6E6040CD" w:rsidR="002A51FD" w:rsidRPr="003F4CE1" w:rsidRDefault="002A51FD" w:rsidP="00662F4B">
      <w:pPr>
        <w:pStyle w:val="ListNumber"/>
        <w:rPr>
          <w:rFonts w:eastAsia="Times New Roman" w:cs="Open Sans"/>
        </w:rPr>
      </w:pPr>
      <w:r w:rsidRPr="07069484">
        <w:rPr>
          <w:rFonts w:eastAsia="Times New Roman" w:cs="Open Sans"/>
        </w:rPr>
        <w:t>In</w:t>
      </w:r>
      <w:r w:rsidR="00573BA7" w:rsidRPr="07069484">
        <w:rPr>
          <w:rFonts w:eastAsia="Times New Roman" w:cs="Open Sans"/>
        </w:rPr>
        <w:t xml:space="preserve"> </w:t>
      </w:r>
      <w:r w:rsidRPr="07069484">
        <w:rPr>
          <w:rFonts w:eastAsia="Times New Roman" w:cs="Open Sans"/>
        </w:rPr>
        <w:t>Victoria,</w:t>
      </w:r>
      <w:r w:rsidR="00573BA7" w:rsidRPr="07069484">
        <w:rPr>
          <w:rFonts w:eastAsia="Times New Roman" w:cs="Open Sans"/>
        </w:rPr>
        <w:t xml:space="preserve"> </w:t>
      </w:r>
      <w:r w:rsidRPr="07069484">
        <w:rPr>
          <w:rFonts w:eastAsia="Times New Roman" w:cs="Open Sans"/>
        </w:rPr>
        <w:t>section</w:t>
      </w:r>
      <w:r w:rsidR="00573BA7" w:rsidRPr="07069484">
        <w:rPr>
          <w:rFonts w:eastAsia="Times New Roman" w:cs="Open Sans"/>
        </w:rPr>
        <w:t xml:space="preserve"> </w:t>
      </w:r>
      <w:r w:rsidRPr="07069484">
        <w:rPr>
          <w:rFonts w:eastAsia="Times New Roman" w:cs="Open Sans"/>
        </w:rPr>
        <w:t>15</w:t>
      </w:r>
      <w:r w:rsidR="00573BA7" w:rsidRPr="07069484">
        <w:rPr>
          <w:rFonts w:eastAsia="Times New Roman" w:cs="Open Sans"/>
        </w:rPr>
        <w:t xml:space="preserve"> </w:t>
      </w:r>
      <w:r w:rsidRPr="07069484">
        <w:rPr>
          <w:rFonts w:eastAsia="Times New Roman" w:cs="Open Sans"/>
        </w:rPr>
        <w:t>of</w:t>
      </w:r>
      <w:r w:rsidR="00573BA7" w:rsidRPr="07069484">
        <w:rPr>
          <w:rFonts w:eastAsia="Times New Roman" w:cs="Open Sans"/>
        </w:rPr>
        <w:t xml:space="preserve"> </w:t>
      </w:r>
      <w:r w:rsidRPr="07069484">
        <w:rPr>
          <w:rFonts w:eastAsia="Times New Roman" w:cs="Open Sans"/>
        </w:rPr>
        <w:t>the</w:t>
      </w:r>
      <w:r w:rsidR="00573BA7" w:rsidRPr="07069484">
        <w:rPr>
          <w:rFonts w:eastAsia="Times New Roman" w:cs="Open Sans"/>
        </w:rPr>
        <w:t xml:space="preserve"> </w:t>
      </w:r>
      <w:r w:rsidRPr="07069484">
        <w:rPr>
          <w:rFonts w:eastAsia="Times New Roman" w:cs="Open Sans"/>
          <w:i/>
          <w:iCs/>
        </w:rPr>
        <w:t>Equal</w:t>
      </w:r>
      <w:r w:rsidR="00573BA7" w:rsidRPr="07069484">
        <w:rPr>
          <w:rFonts w:eastAsia="Times New Roman" w:cs="Open Sans"/>
          <w:i/>
          <w:iCs/>
        </w:rPr>
        <w:t xml:space="preserve"> </w:t>
      </w:r>
      <w:r w:rsidRPr="07069484">
        <w:rPr>
          <w:rFonts w:eastAsia="Times New Roman" w:cs="Open Sans"/>
          <w:i/>
          <w:iCs/>
        </w:rPr>
        <w:t>Opportunity</w:t>
      </w:r>
      <w:r w:rsidR="00573BA7" w:rsidRPr="07069484">
        <w:rPr>
          <w:rFonts w:eastAsia="Times New Roman" w:cs="Open Sans"/>
          <w:i/>
          <w:iCs/>
        </w:rPr>
        <w:t xml:space="preserve"> </w:t>
      </w:r>
      <w:r w:rsidRPr="07069484">
        <w:rPr>
          <w:rFonts w:eastAsia="Times New Roman" w:cs="Open Sans"/>
          <w:i/>
          <w:iCs/>
        </w:rPr>
        <w:t>Act</w:t>
      </w:r>
      <w:r w:rsidR="00573BA7" w:rsidRPr="07069484">
        <w:rPr>
          <w:rFonts w:eastAsia="Times New Roman" w:cs="Open Sans"/>
          <w:i/>
          <w:iCs/>
        </w:rPr>
        <w:t xml:space="preserve"> </w:t>
      </w:r>
      <w:r w:rsidRPr="07069484">
        <w:rPr>
          <w:rFonts w:eastAsia="Times New Roman" w:cs="Open Sans"/>
          <w:i/>
          <w:iCs/>
        </w:rPr>
        <w:t>2010</w:t>
      </w:r>
      <w:r w:rsidR="00573BA7" w:rsidRPr="07069484">
        <w:rPr>
          <w:rFonts w:eastAsia="Times New Roman" w:cs="Open Sans"/>
        </w:rPr>
        <w:t xml:space="preserve"> </w:t>
      </w:r>
      <w:r w:rsidRPr="07069484">
        <w:rPr>
          <w:rFonts w:eastAsia="Times New Roman" w:cs="Open Sans"/>
        </w:rPr>
        <w:t>(Vic)</w:t>
      </w:r>
      <w:r w:rsidR="00573BA7" w:rsidRPr="07069484">
        <w:rPr>
          <w:rFonts w:eastAsia="Times New Roman" w:cs="Open Sans"/>
        </w:rPr>
        <w:t xml:space="preserve"> </w:t>
      </w:r>
      <w:r w:rsidRPr="07069484">
        <w:rPr>
          <w:rFonts w:eastAsia="Times New Roman" w:cs="Open Sans"/>
        </w:rPr>
        <w:t>contains</w:t>
      </w:r>
      <w:r w:rsidR="00573BA7" w:rsidRPr="07069484">
        <w:rPr>
          <w:rFonts w:eastAsia="Times New Roman" w:cs="Open Sans"/>
        </w:rPr>
        <w:t xml:space="preserve"> </w:t>
      </w:r>
      <w:r w:rsidRPr="07069484">
        <w:rPr>
          <w:rFonts w:eastAsia="Times New Roman" w:cs="Open Sans"/>
        </w:rPr>
        <w:t>a</w:t>
      </w:r>
      <w:r w:rsidR="00573BA7" w:rsidRPr="07069484">
        <w:rPr>
          <w:rFonts w:eastAsia="Times New Roman" w:cs="Open Sans"/>
        </w:rPr>
        <w:t xml:space="preserve"> </w:t>
      </w:r>
      <w:r w:rsidRPr="07069484">
        <w:rPr>
          <w:rFonts w:eastAsia="Times New Roman" w:cs="Open Sans"/>
        </w:rPr>
        <w:t>positive</w:t>
      </w:r>
      <w:r w:rsidR="00573BA7" w:rsidRPr="07069484">
        <w:rPr>
          <w:rFonts w:eastAsia="Times New Roman" w:cs="Open Sans"/>
        </w:rPr>
        <w:t xml:space="preserve"> </w:t>
      </w:r>
      <w:r w:rsidRPr="07069484">
        <w:rPr>
          <w:rFonts w:eastAsia="Times New Roman" w:cs="Open Sans"/>
        </w:rPr>
        <w:t>duty</w:t>
      </w:r>
      <w:r w:rsidR="00573BA7" w:rsidRPr="07069484">
        <w:rPr>
          <w:rFonts w:eastAsia="Times New Roman" w:cs="Open Sans"/>
        </w:rPr>
        <w:t xml:space="preserve"> </w:t>
      </w:r>
      <w:r w:rsidRPr="07069484">
        <w:rPr>
          <w:rFonts w:eastAsia="Times New Roman" w:cs="Open Sans"/>
        </w:rPr>
        <w:t>requiring</w:t>
      </w:r>
      <w:r w:rsidR="00573BA7" w:rsidRPr="07069484">
        <w:rPr>
          <w:rFonts w:eastAsia="Times New Roman" w:cs="Open Sans"/>
        </w:rPr>
        <w:t xml:space="preserve"> </w:t>
      </w:r>
      <w:r w:rsidRPr="07069484">
        <w:rPr>
          <w:rFonts w:eastAsia="Times New Roman" w:cs="Open Sans"/>
        </w:rPr>
        <w:t>all</w:t>
      </w:r>
      <w:r w:rsidR="00573BA7" w:rsidRPr="07069484">
        <w:rPr>
          <w:rFonts w:eastAsia="Times New Roman" w:cs="Open Sans"/>
        </w:rPr>
        <w:t xml:space="preserve"> </w:t>
      </w:r>
      <w:r w:rsidRPr="07069484">
        <w:rPr>
          <w:rFonts w:eastAsia="Times New Roman" w:cs="Open Sans"/>
        </w:rPr>
        <w:t>organisations</w:t>
      </w:r>
      <w:r w:rsidR="00573BA7" w:rsidRPr="07069484">
        <w:rPr>
          <w:rFonts w:eastAsia="Times New Roman" w:cs="Open Sans"/>
        </w:rPr>
        <w:t xml:space="preserve"> </w:t>
      </w:r>
      <w:r w:rsidRPr="07069484">
        <w:rPr>
          <w:rFonts w:eastAsia="Times New Roman" w:cs="Open Sans"/>
        </w:rPr>
        <w:t>covered</w:t>
      </w:r>
      <w:r w:rsidR="00573BA7" w:rsidRPr="07069484">
        <w:rPr>
          <w:rFonts w:eastAsia="Times New Roman" w:cs="Open Sans"/>
        </w:rPr>
        <w:t xml:space="preserve"> </w:t>
      </w:r>
      <w:r w:rsidRPr="07069484">
        <w:rPr>
          <w:rFonts w:eastAsia="Times New Roman" w:cs="Open Sans"/>
        </w:rPr>
        <w:t>by</w:t>
      </w:r>
      <w:r w:rsidR="00573BA7" w:rsidRPr="07069484">
        <w:rPr>
          <w:rFonts w:eastAsia="Times New Roman" w:cs="Open Sans"/>
        </w:rPr>
        <w:t xml:space="preserve"> </w:t>
      </w:r>
      <w:r w:rsidRPr="07069484">
        <w:rPr>
          <w:rFonts w:eastAsia="Times New Roman" w:cs="Open Sans"/>
        </w:rPr>
        <w:t>th</w:t>
      </w:r>
      <w:r w:rsidR="0020468F" w:rsidRPr="07069484">
        <w:rPr>
          <w:rFonts w:eastAsia="Times New Roman" w:cs="Open Sans"/>
        </w:rPr>
        <w:t>at</w:t>
      </w:r>
      <w:r w:rsidR="00573BA7" w:rsidRPr="07069484">
        <w:rPr>
          <w:rFonts w:eastAsia="Times New Roman" w:cs="Open Sans"/>
        </w:rPr>
        <w:t xml:space="preserve"> </w:t>
      </w:r>
      <w:r w:rsidRPr="07069484">
        <w:rPr>
          <w:rFonts w:eastAsia="Times New Roman" w:cs="Open Sans"/>
        </w:rPr>
        <w:t>Act—including</w:t>
      </w:r>
      <w:r w:rsidR="00573BA7" w:rsidRPr="07069484">
        <w:rPr>
          <w:rFonts w:eastAsia="Times New Roman" w:cs="Open Sans"/>
        </w:rPr>
        <w:t xml:space="preserve"> </w:t>
      </w:r>
      <w:r w:rsidRPr="07069484">
        <w:rPr>
          <w:rFonts w:eastAsia="Times New Roman" w:cs="Open Sans"/>
        </w:rPr>
        <w:t>government,</w:t>
      </w:r>
      <w:r w:rsidR="00573BA7" w:rsidRPr="07069484">
        <w:rPr>
          <w:rFonts w:eastAsia="Times New Roman" w:cs="Open Sans"/>
        </w:rPr>
        <w:t xml:space="preserve"> </w:t>
      </w:r>
      <w:r w:rsidRPr="07069484">
        <w:rPr>
          <w:rFonts w:eastAsia="Times New Roman" w:cs="Open Sans"/>
        </w:rPr>
        <w:t>business,</w:t>
      </w:r>
      <w:r w:rsidR="00573BA7" w:rsidRPr="07069484">
        <w:rPr>
          <w:rFonts w:eastAsia="Times New Roman" w:cs="Open Sans"/>
        </w:rPr>
        <w:t xml:space="preserve"> </w:t>
      </w:r>
      <w:r w:rsidR="00547B45" w:rsidRPr="07069484">
        <w:rPr>
          <w:rFonts w:eastAsia="Times New Roman" w:cs="Open Sans"/>
        </w:rPr>
        <w:t>employers,</w:t>
      </w:r>
      <w:r w:rsidR="00573BA7" w:rsidRPr="07069484">
        <w:rPr>
          <w:rFonts w:eastAsia="Times New Roman" w:cs="Open Sans"/>
        </w:rPr>
        <w:t xml:space="preserve"> </w:t>
      </w:r>
      <w:r w:rsidRPr="07069484">
        <w:rPr>
          <w:rFonts w:eastAsia="Times New Roman" w:cs="Open Sans"/>
        </w:rPr>
        <w:t>and</w:t>
      </w:r>
      <w:r w:rsidR="00573BA7" w:rsidRPr="07069484">
        <w:rPr>
          <w:rFonts w:eastAsia="Times New Roman" w:cs="Open Sans"/>
        </w:rPr>
        <w:t xml:space="preserve"> </w:t>
      </w:r>
      <w:r w:rsidRPr="07069484">
        <w:rPr>
          <w:rFonts w:eastAsia="Times New Roman" w:cs="Open Sans"/>
        </w:rPr>
        <w:t>service</w:t>
      </w:r>
      <w:r w:rsidR="00573BA7" w:rsidRPr="07069484">
        <w:rPr>
          <w:rFonts w:eastAsia="Times New Roman" w:cs="Open Sans"/>
        </w:rPr>
        <w:t xml:space="preserve"> </w:t>
      </w:r>
      <w:r w:rsidRPr="07069484">
        <w:rPr>
          <w:rFonts w:eastAsia="Times New Roman" w:cs="Open Sans"/>
        </w:rPr>
        <w:t>providers—to</w:t>
      </w:r>
      <w:r w:rsidR="00573BA7" w:rsidRPr="07069484">
        <w:rPr>
          <w:rFonts w:eastAsia="Times New Roman" w:cs="Open Sans"/>
        </w:rPr>
        <w:t xml:space="preserve"> </w:t>
      </w:r>
      <w:r w:rsidRPr="07069484">
        <w:rPr>
          <w:rFonts w:eastAsia="Times New Roman" w:cs="Open Sans"/>
        </w:rPr>
        <w:t>take</w:t>
      </w:r>
      <w:r w:rsidR="00573BA7" w:rsidRPr="07069484">
        <w:rPr>
          <w:rFonts w:eastAsia="Times New Roman" w:cs="Open Sans"/>
        </w:rPr>
        <w:t xml:space="preserve"> </w:t>
      </w:r>
      <w:r w:rsidRPr="07069484">
        <w:rPr>
          <w:rFonts w:eastAsia="Times New Roman" w:cs="Open Sans"/>
        </w:rPr>
        <w:t>measures</w:t>
      </w:r>
      <w:r w:rsidR="00573BA7" w:rsidRPr="07069484">
        <w:rPr>
          <w:rFonts w:eastAsia="Times New Roman" w:cs="Open Sans"/>
        </w:rPr>
        <w:t xml:space="preserve"> </w:t>
      </w:r>
      <w:r w:rsidRPr="07069484">
        <w:rPr>
          <w:rFonts w:eastAsia="Times New Roman" w:cs="Open Sans"/>
        </w:rPr>
        <w:t>to</w:t>
      </w:r>
      <w:r w:rsidR="00573BA7" w:rsidRPr="07069484">
        <w:rPr>
          <w:rFonts w:eastAsia="Times New Roman" w:cs="Open Sans"/>
        </w:rPr>
        <w:t xml:space="preserve"> </w:t>
      </w:r>
      <w:r w:rsidRPr="07069484">
        <w:rPr>
          <w:rFonts w:eastAsia="Times New Roman" w:cs="Open Sans"/>
        </w:rPr>
        <w:t>eliminate</w:t>
      </w:r>
      <w:r w:rsidR="00573BA7" w:rsidRPr="07069484">
        <w:rPr>
          <w:rFonts w:eastAsia="Times New Roman" w:cs="Open Sans"/>
        </w:rPr>
        <w:t xml:space="preserve"> </w:t>
      </w:r>
      <w:r w:rsidRPr="07069484">
        <w:rPr>
          <w:rFonts w:eastAsia="Times New Roman" w:cs="Open Sans"/>
        </w:rPr>
        <w:t>discrimination,</w:t>
      </w:r>
      <w:r w:rsidR="00573BA7" w:rsidRPr="07069484">
        <w:rPr>
          <w:rFonts w:eastAsia="Times New Roman" w:cs="Open Sans"/>
        </w:rPr>
        <w:t xml:space="preserve"> </w:t>
      </w:r>
      <w:r w:rsidRPr="07069484">
        <w:rPr>
          <w:rFonts w:eastAsia="Times New Roman" w:cs="Open Sans"/>
        </w:rPr>
        <w:t>sexual</w:t>
      </w:r>
      <w:r w:rsidR="00573BA7" w:rsidRPr="07069484">
        <w:rPr>
          <w:rFonts w:eastAsia="Times New Roman" w:cs="Open Sans"/>
        </w:rPr>
        <w:t xml:space="preserve"> </w:t>
      </w:r>
      <w:r w:rsidRPr="07069484">
        <w:rPr>
          <w:rFonts w:eastAsia="Times New Roman" w:cs="Open Sans"/>
        </w:rPr>
        <w:t>harassment</w:t>
      </w:r>
      <w:r w:rsidR="00573BA7" w:rsidRPr="07069484">
        <w:rPr>
          <w:rFonts w:eastAsia="Times New Roman" w:cs="Open Sans"/>
        </w:rPr>
        <w:t xml:space="preserve"> </w:t>
      </w:r>
      <w:r w:rsidRPr="07069484">
        <w:rPr>
          <w:rFonts w:eastAsia="Times New Roman" w:cs="Open Sans"/>
        </w:rPr>
        <w:t>and</w:t>
      </w:r>
      <w:r w:rsidR="00573BA7" w:rsidRPr="07069484">
        <w:rPr>
          <w:rFonts w:eastAsia="Times New Roman" w:cs="Open Sans"/>
        </w:rPr>
        <w:t xml:space="preserve"> </w:t>
      </w:r>
      <w:r w:rsidRPr="07069484">
        <w:rPr>
          <w:rFonts w:eastAsia="Times New Roman" w:cs="Open Sans"/>
        </w:rPr>
        <w:t>victimisation.</w:t>
      </w:r>
      <w:r w:rsidR="00573BA7" w:rsidRPr="07069484">
        <w:rPr>
          <w:rFonts w:eastAsia="Times New Roman" w:cs="Open Sans"/>
        </w:rPr>
        <w:t xml:space="preserve"> </w:t>
      </w:r>
      <w:r w:rsidRPr="07069484">
        <w:rPr>
          <w:rFonts w:eastAsia="Times New Roman" w:cs="Open Sans"/>
        </w:rPr>
        <w:t>Similarly</w:t>
      </w:r>
      <w:r w:rsidR="00573BA7" w:rsidRPr="07069484">
        <w:rPr>
          <w:rFonts w:eastAsia="Times New Roman" w:cs="Open Sans"/>
        </w:rPr>
        <w:t xml:space="preserve"> </w:t>
      </w:r>
      <w:r w:rsidRPr="07069484">
        <w:rPr>
          <w:rFonts w:eastAsia="Times New Roman" w:cs="Open Sans"/>
        </w:rPr>
        <w:t>to</w:t>
      </w:r>
      <w:r w:rsidR="00573BA7" w:rsidRPr="07069484">
        <w:rPr>
          <w:rFonts w:eastAsia="Times New Roman" w:cs="Open Sans"/>
        </w:rPr>
        <w:t xml:space="preserve"> </w:t>
      </w:r>
      <w:r w:rsidRPr="07069484">
        <w:rPr>
          <w:rFonts w:eastAsia="Times New Roman" w:cs="Open Sans"/>
        </w:rPr>
        <w:t>the</w:t>
      </w:r>
      <w:r w:rsidR="00573BA7" w:rsidRPr="07069484">
        <w:rPr>
          <w:rFonts w:eastAsia="Times New Roman" w:cs="Open Sans"/>
        </w:rPr>
        <w:t xml:space="preserve"> </w:t>
      </w:r>
      <w:r w:rsidRPr="07069484">
        <w:rPr>
          <w:rFonts w:eastAsia="Times New Roman" w:cs="Open Sans"/>
        </w:rPr>
        <w:t>UK,</w:t>
      </w:r>
      <w:r w:rsidR="00573BA7" w:rsidRPr="07069484">
        <w:rPr>
          <w:rFonts w:eastAsia="Times New Roman" w:cs="Open Sans"/>
        </w:rPr>
        <w:t xml:space="preserve"> </w:t>
      </w:r>
      <w:r w:rsidR="0020468F" w:rsidRPr="07069484">
        <w:rPr>
          <w:rFonts w:eastAsia="Times New Roman" w:cs="Open Sans"/>
        </w:rPr>
        <w:t>the</w:t>
      </w:r>
      <w:r w:rsidR="00573BA7" w:rsidRPr="07069484">
        <w:rPr>
          <w:rFonts w:eastAsia="Times New Roman" w:cs="Open Sans"/>
        </w:rPr>
        <w:t xml:space="preserve"> </w:t>
      </w:r>
      <w:r w:rsidR="0020468F" w:rsidRPr="07069484">
        <w:rPr>
          <w:rFonts w:eastAsia="Times New Roman" w:cs="Open Sans"/>
        </w:rPr>
        <w:t>Victorian</w:t>
      </w:r>
      <w:r w:rsidR="00573BA7" w:rsidRPr="07069484">
        <w:rPr>
          <w:rFonts w:eastAsia="Times New Roman" w:cs="Open Sans"/>
        </w:rPr>
        <w:t xml:space="preserve"> </w:t>
      </w:r>
      <w:r w:rsidR="0020468F" w:rsidRPr="07069484">
        <w:rPr>
          <w:rFonts w:eastAsia="Times New Roman" w:cs="Open Sans"/>
        </w:rPr>
        <w:t>Equal</w:t>
      </w:r>
      <w:r w:rsidR="00573BA7" w:rsidRPr="07069484">
        <w:rPr>
          <w:rFonts w:eastAsia="Times New Roman" w:cs="Open Sans"/>
        </w:rPr>
        <w:t xml:space="preserve"> </w:t>
      </w:r>
      <w:r w:rsidR="0020468F" w:rsidRPr="07069484">
        <w:rPr>
          <w:rFonts w:eastAsia="Times New Roman" w:cs="Open Sans"/>
        </w:rPr>
        <w:t>Opportunity</w:t>
      </w:r>
      <w:r w:rsidR="00573BA7" w:rsidRPr="07069484">
        <w:rPr>
          <w:rFonts w:eastAsia="Times New Roman" w:cs="Open Sans"/>
        </w:rPr>
        <w:t xml:space="preserve"> </w:t>
      </w:r>
      <w:r w:rsidR="0020468F" w:rsidRPr="07069484">
        <w:rPr>
          <w:rFonts w:eastAsia="Times New Roman" w:cs="Open Sans"/>
        </w:rPr>
        <w:t>and</w:t>
      </w:r>
      <w:r w:rsidR="00573BA7" w:rsidRPr="07069484">
        <w:rPr>
          <w:rFonts w:eastAsia="Times New Roman" w:cs="Open Sans"/>
        </w:rPr>
        <w:t xml:space="preserve"> </w:t>
      </w:r>
      <w:r w:rsidR="0020468F" w:rsidRPr="07069484">
        <w:rPr>
          <w:rFonts w:eastAsia="Times New Roman" w:cs="Open Sans"/>
        </w:rPr>
        <w:t>Human</w:t>
      </w:r>
      <w:r w:rsidR="00573BA7" w:rsidRPr="07069484">
        <w:rPr>
          <w:rFonts w:eastAsia="Times New Roman" w:cs="Open Sans"/>
        </w:rPr>
        <w:t xml:space="preserve"> </w:t>
      </w:r>
      <w:r w:rsidR="0020468F" w:rsidRPr="07069484">
        <w:rPr>
          <w:rFonts w:eastAsia="Times New Roman" w:cs="Open Sans"/>
        </w:rPr>
        <w:t>Rights</w:t>
      </w:r>
      <w:r w:rsidR="00573BA7" w:rsidRPr="07069484">
        <w:rPr>
          <w:rFonts w:eastAsia="Times New Roman" w:cs="Open Sans"/>
        </w:rPr>
        <w:t xml:space="preserve"> </w:t>
      </w:r>
      <w:r w:rsidR="0020468F" w:rsidRPr="07069484">
        <w:rPr>
          <w:rFonts w:eastAsia="Times New Roman" w:cs="Open Sans"/>
        </w:rPr>
        <w:t>Commission</w:t>
      </w:r>
      <w:r w:rsidR="00573BA7" w:rsidRPr="07069484">
        <w:rPr>
          <w:rFonts w:eastAsia="Times New Roman" w:cs="Open Sans"/>
        </w:rPr>
        <w:t xml:space="preserve"> </w:t>
      </w:r>
      <w:r w:rsidR="0020468F" w:rsidRPr="07069484">
        <w:rPr>
          <w:rFonts w:eastAsia="Times New Roman" w:cs="Open Sans"/>
        </w:rPr>
        <w:t>(VEOHRC)</w:t>
      </w:r>
      <w:r w:rsidR="00573BA7" w:rsidRPr="07069484">
        <w:rPr>
          <w:rFonts w:eastAsia="Times New Roman" w:cs="Open Sans"/>
        </w:rPr>
        <w:t xml:space="preserve"> </w:t>
      </w:r>
      <w:r w:rsidRPr="07069484">
        <w:rPr>
          <w:rFonts w:eastAsia="Times New Roman" w:cs="Open Sans"/>
        </w:rPr>
        <w:t>has</w:t>
      </w:r>
      <w:r w:rsidR="00573BA7" w:rsidRPr="07069484">
        <w:rPr>
          <w:rFonts w:eastAsia="Times New Roman" w:cs="Open Sans"/>
        </w:rPr>
        <w:t xml:space="preserve"> </w:t>
      </w:r>
      <w:r w:rsidRPr="07069484">
        <w:rPr>
          <w:rFonts w:eastAsia="Times New Roman" w:cs="Open Sans"/>
        </w:rPr>
        <w:t>the</w:t>
      </w:r>
      <w:r w:rsidR="00573BA7" w:rsidRPr="07069484">
        <w:rPr>
          <w:rFonts w:eastAsia="Times New Roman" w:cs="Open Sans"/>
        </w:rPr>
        <w:t xml:space="preserve"> </w:t>
      </w:r>
      <w:r w:rsidRPr="07069484">
        <w:rPr>
          <w:rFonts w:eastAsia="Times New Roman" w:cs="Open Sans"/>
        </w:rPr>
        <w:t>power</w:t>
      </w:r>
      <w:r w:rsidR="00573BA7" w:rsidRPr="07069484">
        <w:rPr>
          <w:rFonts w:eastAsia="Times New Roman" w:cs="Open Sans"/>
        </w:rPr>
        <w:t xml:space="preserve"> </w:t>
      </w:r>
      <w:r w:rsidRPr="07069484">
        <w:rPr>
          <w:rFonts w:eastAsia="Times New Roman" w:cs="Open Sans"/>
        </w:rPr>
        <w:t>to</w:t>
      </w:r>
      <w:r w:rsidR="00573BA7" w:rsidRPr="07069484">
        <w:rPr>
          <w:rFonts w:eastAsia="Times New Roman" w:cs="Open Sans"/>
        </w:rPr>
        <w:t xml:space="preserve"> </w:t>
      </w:r>
      <w:r w:rsidRPr="07069484">
        <w:rPr>
          <w:rFonts w:eastAsia="Times New Roman" w:cs="Open Sans"/>
        </w:rPr>
        <w:t>investigate</w:t>
      </w:r>
      <w:r w:rsidR="00573BA7" w:rsidRPr="07069484">
        <w:rPr>
          <w:rFonts w:eastAsia="Times New Roman" w:cs="Open Sans"/>
        </w:rPr>
        <w:t xml:space="preserve"> </w:t>
      </w:r>
      <w:r w:rsidRPr="07069484">
        <w:rPr>
          <w:rFonts w:eastAsia="Times New Roman" w:cs="Open Sans"/>
        </w:rPr>
        <w:t>non-compliance,</w:t>
      </w:r>
      <w:r w:rsidR="00573BA7" w:rsidRPr="07069484">
        <w:rPr>
          <w:rFonts w:eastAsia="Times New Roman" w:cs="Open Sans"/>
        </w:rPr>
        <w:t xml:space="preserve"> </w:t>
      </w:r>
      <w:r w:rsidRPr="07069484">
        <w:rPr>
          <w:rFonts w:eastAsia="Times New Roman" w:cs="Open Sans"/>
        </w:rPr>
        <w:t>and</w:t>
      </w:r>
      <w:r w:rsidR="00573BA7" w:rsidRPr="07069484">
        <w:rPr>
          <w:rFonts w:eastAsia="Times New Roman" w:cs="Open Sans"/>
        </w:rPr>
        <w:t xml:space="preserve"> </w:t>
      </w:r>
      <w:r w:rsidRPr="07069484">
        <w:rPr>
          <w:rFonts w:eastAsia="Times New Roman" w:cs="Open Sans"/>
        </w:rPr>
        <w:t>seek</w:t>
      </w:r>
      <w:r w:rsidR="00573BA7" w:rsidRPr="07069484">
        <w:rPr>
          <w:rFonts w:eastAsia="Times New Roman" w:cs="Open Sans"/>
        </w:rPr>
        <w:t xml:space="preserve"> </w:t>
      </w:r>
      <w:r w:rsidRPr="07069484">
        <w:rPr>
          <w:rFonts w:eastAsia="Times New Roman" w:cs="Open Sans"/>
        </w:rPr>
        <w:t>orders</w:t>
      </w:r>
      <w:r w:rsidR="00573BA7" w:rsidRPr="07069484">
        <w:rPr>
          <w:rFonts w:eastAsia="Times New Roman" w:cs="Open Sans"/>
        </w:rPr>
        <w:t xml:space="preserve"> </w:t>
      </w:r>
      <w:r w:rsidRPr="07069484">
        <w:rPr>
          <w:rFonts w:eastAsia="Times New Roman" w:cs="Open Sans"/>
        </w:rPr>
        <w:t>from</w:t>
      </w:r>
      <w:r w:rsidR="00573BA7" w:rsidRPr="07069484">
        <w:rPr>
          <w:rFonts w:eastAsia="Times New Roman" w:cs="Open Sans"/>
        </w:rPr>
        <w:t xml:space="preserve"> </w:t>
      </w:r>
      <w:r w:rsidRPr="07069484">
        <w:rPr>
          <w:rFonts w:eastAsia="Times New Roman" w:cs="Open Sans"/>
        </w:rPr>
        <w:t>the</w:t>
      </w:r>
      <w:r w:rsidR="00573BA7" w:rsidRPr="07069484">
        <w:rPr>
          <w:rFonts w:eastAsia="Times New Roman" w:cs="Open Sans"/>
        </w:rPr>
        <w:t xml:space="preserve"> </w:t>
      </w:r>
      <w:r w:rsidRPr="07069484">
        <w:rPr>
          <w:rFonts w:eastAsia="Times New Roman" w:cs="Open Sans"/>
        </w:rPr>
        <w:t>Victorian</w:t>
      </w:r>
      <w:r w:rsidR="00573BA7" w:rsidRPr="07069484">
        <w:rPr>
          <w:rFonts w:eastAsia="Times New Roman" w:cs="Open Sans"/>
        </w:rPr>
        <w:t xml:space="preserve"> </w:t>
      </w:r>
      <w:r w:rsidRPr="07069484">
        <w:rPr>
          <w:rFonts w:eastAsia="Times New Roman" w:cs="Open Sans"/>
        </w:rPr>
        <w:t>Civil</w:t>
      </w:r>
      <w:r w:rsidR="00573BA7" w:rsidRPr="07069484">
        <w:rPr>
          <w:rFonts w:eastAsia="Times New Roman" w:cs="Open Sans"/>
        </w:rPr>
        <w:t xml:space="preserve"> </w:t>
      </w:r>
      <w:r w:rsidRPr="07069484">
        <w:rPr>
          <w:rFonts w:eastAsia="Times New Roman" w:cs="Open Sans"/>
        </w:rPr>
        <w:t>and</w:t>
      </w:r>
      <w:r w:rsidR="00573BA7" w:rsidRPr="07069484">
        <w:rPr>
          <w:rFonts w:eastAsia="Times New Roman" w:cs="Open Sans"/>
        </w:rPr>
        <w:t xml:space="preserve"> </w:t>
      </w:r>
      <w:r w:rsidRPr="07069484">
        <w:rPr>
          <w:rFonts w:eastAsia="Times New Roman" w:cs="Open Sans"/>
        </w:rPr>
        <w:t>Administrative</w:t>
      </w:r>
      <w:r w:rsidR="00573BA7" w:rsidRPr="07069484">
        <w:rPr>
          <w:rFonts w:eastAsia="Times New Roman" w:cs="Open Sans"/>
        </w:rPr>
        <w:t xml:space="preserve"> </w:t>
      </w:r>
      <w:r w:rsidRPr="07069484">
        <w:rPr>
          <w:rFonts w:eastAsia="Times New Roman" w:cs="Open Sans"/>
        </w:rPr>
        <w:t>Tribunal</w:t>
      </w:r>
      <w:r w:rsidR="00573BA7" w:rsidRPr="07069484">
        <w:rPr>
          <w:rFonts w:eastAsia="Times New Roman" w:cs="Open Sans"/>
        </w:rPr>
        <w:t xml:space="preserve"> </w:t>
      </w:r>
      <w:r w:rsidRPr="07069484">
        <w:rPr>
          <w:rFonts w:eastAsia="Times New Roman" w:cs="Open Sans"/>
        </w:rPr>
        <w:t>(VCAT)</w:t>
      </w:r>
      <w:r w:rsidR="00573BA7" w:rsidRPr="07069484">
        <w:rPr>
          <w:rFonts w:eastAsia="Times New Roman" w:cs="Open Sans"/>
        </w:rPr>
        <w:t xml:space="preserve"> </w:t>
      </w:r>
      <w:r w:rsidRPr="07069484">
        <w:rPr>
          <w:rFonts w:eastAsia="Times New Roman" w:cs="Open Sans"/>
        </w:rPr>
        <w:t>to</w:t>
      </w:r>
      <w:r w:rsidR="00573BA7" w:rsidRPr="07069484">
        <w:rPr>
          <w:rFonts w:eastAsia="Times New Roman" w:cs="Open Sans"/>
        </w:rPr>
        <w:t xml:space="preserve"> </w:t>
      </w:r>
      <w:r w:rsidRPr="07069484">
        <w:rPr>
          <w:rFonts w:eastAsia="Times New Roman" w:cs="Open Sans"/>
        </w:rPr>
        <w:t>compel</w:t>
      </w:r>
      <w:r w:rsidR="00573BA7" w:rsidRPr="07069484">
        <w:rPr>
          <w:rFonts w:eastAsia="Times New Roman" w:cs="Open Sans"/>
        </w:rPr>
        <w:t xml:space="preserve"> </w:t>
      </w:r>
      <w:r w:rsidRPr="07069484">
        <w:rPr>
          <w:rFonts w:eastAsia="Times New Roman" w:cs="Open Sans"/>
        </w:rPr>
        <w:t>evidence</w:t>
      </w:r>
      <w:r w:rsidR="00573BA7" w:rsidRPr="07069484">
        <w:rPr>
          <w:rFonts w:eastAsia="Times New Roman" w:cs="Open Sans"/>
        </w:rPr>
        <w:t xml:space="preserve"> </w:t>
      </w:r>
      <w:r w:rsidRPr="07069484">
        <w:rPr>
          <w:rFonts w:eastAsia="Times New Roman" w:cs="Open Sans"/>
        </w:rPr>
        <w:t>for</w:t>
      </w:r>
      <w:r w:rsidR="00573BA7" w:rsidRPr="07069484">
        <w:rPr>
          <w:rFonts w:eastAsia="Times New Roman" w:cs="Open Sans"/>
        </w:rPr>
        <w:t xml:space="preserve"> </w:t>
      </w:r>
      <w:r w:rsidRPr="07069484">
        <w:rPr>
          <w:rFonts w:eastAsia="Times New Roman" w:cs="Open Sans"/>
        </w:rPr>
        <w:t>its</w:t>
      </w:r>
      <w:r w:rsidR="00573BA7" w:rsidRPr="07069484">
        <w:rPr>
          <w:rFonts w:eastAsia="Times New Roman" w:cs="Open Sans"/>
        </w:rPr>
        <w:t xml:space="preserve"> </w:t>
      </w:r>
      <w:r w:rsidRPr="07069484">
        <w:rPr>
          <w:rFonts w:eastAsia="Times New Roman" w:cs="Open Sans"/>
        </w:rPr>
        <w:t>investigations.</w:t>
      </w:r>
      <w:r w:rsidR="00573BA7" w:rsidRPr="07069484">
        <w:rPr>
          <w:rFonts w:eastAsia="Times New Roman" w:cs="Open Sans"/>
        </w:rPr>
        <w:t xml:space="preserve"> </w:t>
      </w:r>
      <w:r w:rsidRPr="07069484">
        <w:rPr>
          <w:rFonts w:eastAsia="Times New Roman" w:cs="Open Sans"/>
        </w:rPr>
        <w:t>After</w:t>
      </w:r>
      <w:r w:rsidR="00573BA7" w:rsidRPr="07069484">
        <w:rPr>
          <w:rFonts w:eastAsia="Times New Roman" w:cs="Open Sans"/>
        </w:rPr>
        <w:t xml:space="preserve"> </w:t>
      </w:r>
      <w:r w:rsidRPr="07069484">
        <w:rPr>
          <w:rFonts w:eastAsia="Times New Roman" w:cs="Open Sans"/>
        </w:rPr>
        <w:t>an</w:t>
      </w:r>
      <w:r w:rsidR="00573BA7" w:rsidRPr="07069484">
        <w:rPr>
          <w:rFonts w:eastAsia="Times New Roman" w:cs="Open Sans"/>
        </w:rPr>
        <w:t xml:space="preserve"> </w:t>
      </w:r>
      <w:r w:rsidRPr="07069484">
        <w:rPr>
          <w:rFonts w:eastAsia="Times New Roman" w:cs="Open Sans"/>
        </w:rPr>
        <w:t>investigation</w:t>
      </w:r>
      <w:r w:rsidR="00573BA7" w:rsidRPr="07069484">
        <w:rPr>
          <w:rFonts w:eastAsia="Times New Roman" w:cs="Open Sans"/>
        </w:rPr>
        <w:t xml:space="preserve"> </w:t>
      </w:r>
      <w:r w:rsidRPr="07069484">
        <w:rPr>
          <w:rFonts w:eastAsia="Times New Roman" w:cs="Open Sans"/>
        </w:rPr>
        <w:t>has</w:t>
      </w:r>
      <w:r w:rsidR="00573BA7" w:rsidRPr="07069484">
        <w:rPr>
          <w:rFonts w:eastAsia="Times New Roman" w:cs="Open Sans"/>
        </w:rPr>
        <w:t xml:space="preserve"> </w:t>
      </w:r>
      <w:r w:rsidRPr="07069484">
        <w:rPr>
          <w:rFonts w:eastAsia="Times New Roman" w:cs="Open Sans"/>
        </w:rPr>
        <w:t>been</w:t>
      </w:r>
      <w:r w:rsidR="00573BA7" w:rsidRPr="07069484">
        <w:rPr>
          <w:rFonts w:eastAsia="Times New Roman" w:cs="Open Sans"/>
        </w:rPr>
        <w:t xml:space="preserve"> </w:t>
      </w:r>
      <w:r w:rsidRPr="07069484">
        <w:rPr>
          <w:rFonts w:eastAsia="Times New Roman" w:cs="Open Sans"/>
        </w:rPr>
        <w:t>conducted,</w:t>
      </w:r>
      <w:r w:rsidR="00573BA7" w:rsidRPr="07069484">
        <w:rPr>
          <w:rFonts w:eastAsia="Times New Roman" w:cs="Open Sans"/>
        </w:rPr>
        <w:t xml:space="preserve"> </w:t>
      </w:r>
      <w:r w:rsidRPr="07069484">
        <w:rPr>
          <w:rFonts w:eastAsia="Times New Roman" w:cs="Open Sans"/>
        </w:rPr>
        <w:t>VEOHRC</w:t>
      </w:r>
      <w:r w:rsidR="00573BA7" w:rsidRPr="07069484">
        <w:rPr>
          <w:rFonts w:eastAsia="Times New Roman" w:cs="Open Sans"/>
        </w:rPr>
        <w:t xml:space="preserve"> </w:t>
      </w:r>
      <w:r w:rsidRPr="07069484">
        <w:rPr>
          <w:rFonts w:eastAsia="Times New Roman" w:cs="Open Sans"/>
        </w:rPr>
        <w:t>may</w:t>
      </w:r>
      <w:r w:rsidR="00573BA7" w:rsidRPr="07069484">
        <w:rPr>
          <w:rFonts w:eastAsia="Times New Roman" w:cs="Open Sans"/>
        </w:rPr>
        <w:t xml:space="preserve"> </w:t>
      </w:r>
      <w:r w:rsidRPr="07069484">
        <w:rPr>
          <w:rFonts w:eastAsia="Times New Roman" w:cs="Open Sans"/>
        </w:rPr>
        <w:lastRenderedPageBreak/>
        <w:t>require</w:t>
      </w:r>
      <w:r w:rsidR="00573BA7" w:rsidRPr="07069484">
        <w:rPr>
          <w:rFonts w:eastAsia="Times New Roman" w:cs="Open Sans"/>
        </w:rPr>
        <w:t xml:space="preserve"> </w:t>
      </w:r>
      <w:r w:rsidRPr="07069484">
        <w:rPr>
          <w:rFonts w:eastAsia="Times New Roman" w:cs="Open Sans"/>
        </w:rPr>
        <w:t>entities</w:t>
      </w:r>
      <w:r w:rsidR="00573BA7" w:rsidRPr="07069484">
        <w:rPr>
          <w:rFonts w:eastAsia="Times New Roman" w:cs="Open Sans"/>
        </w:rPr>
        <w:t xml:space="preserve"> </w:t>
      </w:r>
      <w:r w:rsidRPr="07069484">
        <w:rPr>
          <w:rFonts w:eastAsia="Times New Roman" w:cs="Open Sans"/>
        </w:rPr>
        <w:t>to</w:t>
      </w:r>
      <w:r w:rsidR="00573BA7" w:rsidRPr="07069484">
        <w:rPr>
          <w:rFonts w:eastAsia="Times New Roman" w:cs="Open Sans"/>
        </w:rPr>
        <w:t xml:space="preserve"> </w:t>
      </w:r>
      <w:r w:rsidRPr="07069484">
        <w:rPr>
          <w:rFonts w:eastAsia="Times New Roman" w:cs="Open Sans"/>
        </w:rPr>
        <w:t>take</w:t>
      </w:r>
      <w:r w:rsidR="00573BA7" w:rsidRPr="07069484">
        <w:rPr>
          <w:rFonts w:eastAsia="Times New Roman" w:cs="Open Sans"/>
        </w:rPr>
        <w:t xml:space="preserve"> </w:t>
      </w:r>
      <w:r w:rsidRPr="07069484">
        <w:rPr>
          <w:rFonts w:eastAsia="Times New Roman" w:cs="Open Sans"/>
        </w:rPr>
        <w:t>certain</w:t>
      </w:r>
      <w:r w:rsidR="00573BA7" w:rsidRPr="07069484">
        <w:rPr>
          <w:rFonts w:eastAsia="Times New Roman" w:cs="Open Sans"/>
        </w:rPr>
        <w:t xml:space="preserve"> </w:t>
      </w:r>
      <w:r w:rsidRPr="07069484">
        <w:rPr>
          <w:rFonts w:eastAsia="Times New Roman" w:cs="Open Sans"/>
        </w:rPr>
        <w:t>actions</w:t>
      </w:r>
      <w:r w:rsidR="00573BA7" w:rsidRPr="07069484">
        <w:rPr>
          <w:rFonts w:eastAsia="Times New Roman" w:cs="Open Sans"/>
        </w:rPr>
        <w:t xml:space="preserve"> </w:t>
      </w:r>
      <w:r w:rsidRPr="07069484">
        <w:rPr>
          <w:rFonts w:eastAsia="Times New Roman" w:cs="Open Sans"/>
        </w:rPr>
        <w:t>to</w:t>
      </w:r>
      <w:r w:rsidR="00573BA7" w:rsidRPr="07069484">
        <w:rPr>
          <w:rFonts w:eastAsia="Times New Roman" w:cs="Open Sans"/>
        </w:rPr>
        <w:t xml:space="preserve"> </w:t>
      </w:r>
      <w:r w:rsidRPr="07069484">
        <w:rPr>
          <w:rFonts w:eastAsia="Times New Roman" w:cs="Open Sans"/>
        </w:rPr>
        <w:t>comply</w:t>
      </w:r>
      <w:r w:rsidR="00573BA7" w:rsidRPr="07069484">
        <w:rPr>
          <w:rFonts w:eastAsia="Times New Roman" w:cs="Open Sans"/>
        </w:rPr>
        <w:t xml:space="preserve"> </w:t>
      </w:r>
      <w:r w:rsidRPr="07069484">
        <w:rPr>
          <w:rFonts w:eastAsia="Times New Roman" w:cs="Open Sans"/>
        </w:rPr>
        <w:t>with</w:t>
      </w:r>
      <w:r w:rsidR="00573BA7" w:rsidRPr="07069484">
        <w:rPr>
          <w:rFonts w:eastAsia="Times New Roman" w:cs="Open Sans"/>
        </w:rPr>
        <w:t xml:space="preserve"> </w:t>
      </w:r>
      <w:r w:rsidRPr="07069484">
        <w:rPr>
          <w:rFonts w:eastAsia="Times New Roman" w:cs="Open Sans"/>
        </w:rPr>
        <w:t>the</w:t>
      </w:r>
      <w:r w:rsidR="00573BA7" w:rsidRPr="07069484">
        <w:rPr>
          <w:rFonts w:eastAsia="Times New Roman" w:cs="Open Sans"/>
        </w:rPr>
        <w:t xml:space="preserve"> </w:t>
      </w:r>
      <w:r w:rsidRPr="07069484">
        <w:rPr>
          <w:rFonts w:eastAsia="Times New Roman" w:cs="Open Sans"/>
        </w:rPr>
        <w:t>positive</w:t>
      </w:r>
      <w:r w:rsidR="00573BA7" w:rsidRPr="07069484">
        <w:rPr>
          <w:rFonts w:eastAsia="Times New Roman" w:cs="Open Sans"/>
        </w:rPr>
        <w:t xml:space="preserve"> </w:t>
      </w:r>
      <w:r w:rsidRPr="07069484">
        <w:rPr>
          <w:rFonts w:eastAsia="Times New Roman" w:cs="Open Sans"/>
        </w:rPr>
        <w:t>duty,</w:t>
      </w:r>
      <w:r w:rsidR="00573BA7" w:rsidRPr="07069484">
        <w:rPr>
          <w:rFonts w:eastAsia="Times New Roman" w:cs="Open Sans"/>
        </w:rPr>
        <w:t xml:space="preserve"> </w:t>
      </w:r>
      <w:r w:rsidRPr="07069484">
        <w:rPr>
          <w:rFonts w:eastAsia="Times New Roman" w:cs="Open Sans"/>
        </w:rPr>
        <w:t>refer</w:t>
      </w:r>
      <w:r w:rsidR="00573BA7" w:rsidRPr="07069484">
        <w:rPr>
          <w:rFonts w:eastAsia="Times New Roman" w:cs="Open Sans"/>
        </w:rPr>
        <w:t xml:space="preserve"> </w:t>
      </w:r>
      <w:r w:rsidRPr="07069484">
        <w:rPr>
          <w:rFonts w:eastAsia="Times New Roman" w:cs="Open Sans"/>
        </w:rPr>
        <w:t>a</w:t>
      </w:r>
      <w:r w:rsidR="00573BA7" w:rsidRPr="07069484">
        <w:rPr>
          <w:rFonts w:eastAsia="Times New Roman" w:cs="Open Sans"/>
        </w:rPr>
        <w:t xml:space="preserve"> </w:t>
      </w:r>
      <w:r w:rsidRPr="07069484">
        <w:rPr>
          <w:rFonts w:eastAsia="Times New Roman" w:cs="Open Sans"/>
        </w:rPr>
        <w:t>matter</w:t>
      </w:r>
      <w:r w:rsidR="00573BA7" w:rsidRPr="07069484">
        <w:rPr>
          <w:rFonts w:eastAsia="Times New Roman" w:cs="Open Sans"/>
        </w:rPr>
        <w:t xml:space="preserve"> </w:t>
      </w:r>
      <w:r w:rsidRPr="07069484">
        <w:rPr>
          <w:rFonts w:eastAsia="Times New Roman" w:cs="Open Sans"/>
        </w:rPr>
        <w:t>to</w:t>
      </w:r>
      <w:r w:rsidR="00573BA7" w:rsidRPr="07069484">
        <w:rPr>
          <w:rFonts w:eastAsia="Times New Roman" w:cs="Open Sans"/>
        </w:rPr>
        <w:t xml:space="preserve"> </w:t>
      </w:r>
      <w:r w:rsidRPr="07069484">
        <w:rPr>
          <w:rFonts w:eastAsia="Times New Roman" w:cs="Open Sans"/>
        </w:rPr>
        <w:t>VCAT</w:t>
      </w:r>
      <w:r w:rsidR="00573BA7" w:rsidRPr="07069484">
        <w:rPr>
          <w:rFonts w:eastAsia="Times New Roman" w:cs="Open Sans"/>
        </w:rPr>
        <w:t xml:space="preserve"> </w:t>
      </w:r>
      <w:r w:rsidRPr="07069484">
        <w:rPr>
          <w:rFonts w:eastAsia="Times New Roman" w:cs="Open Sans"/>
        </w:rPr>
        <w:t>or</w:t>
      </w:r>
      <w:r w:rsidR="00573BA7" w:rsidRPr="07069484">
        <w:rPr>
          <w:rFonts w:eastAsia="Times New Roman" w:cs="Open Sans"/>
        </w:rPr>
        <w:t xml:space="preserve"> </w:t>
      </w:r>
      <w:r w:rsidRPr="07069484">
        <w:rPr>
          <w:rFonts w:eastAsia="Times New Roman" w:cs="Open Sans"/>
        </w:rPr>
        <w:t>the</w:t>
      </w:r>
      <w:r w:rsidR="00573BA7" w:rsidRPr="07069484">
        <w:rPr>
          <w:rFonts w:eastAsia="Times New Roman" w:cs="Open Sans"/>
        </w:rPr>
        <w:t xml:space="preserve"> </w:t>
      </w:r>
      <w:r w:rsidRPr="07069484">
        <w:rPr>
          <w:rFonts w:eastAsia="Times New Roman" w:cs="Open Sans"/>
        </w:rPr>
        <w:t>Attorney-General,</w:t>
      </w:r>
      <w:r w:rsidR="00573BA7" w:rsidRPr="07069484">
        <w:rPr>
          <w:rFonts w:eastAsia="Times New Roman" w:cs="Open Sans"/>
        </w:rPr>
        <w:t xml:space="preserve"> </w:t>
      </w:r>
      <w:r w:rsidRPr="07069484">
        <w:rPr>
          <w:rFonts w:eastAsia="Times New Roman" w:cs="Open Sans"/>
        </w:rPr>
        <w:t>or</w:t>
      </w:r>
      <w:r w:rsidR="00573BA7" w:rsidRPr="07069484">
        <w:rPr>
          <w:rFonts w:eastAsia="Times New Roman" w:cs="Open Sans"/>
        </w:rPr>
        <w:t xml:space="preserve"> </w:t>
      </w:r>
      <w:r w:rsidRPr="07069484">
        <w:rPr>
          <w:rFonts w:eastAsia="Times New Roman" w:cs="Open Sans"/>
        </w:rPr>
        <w:t>report</w:t>
      </w:r>
      <w:r w:rsidR="00573BA7" w:rsidRPr="07069484">
        <w:rPr>
          <w:rFonts w:eastAsia="Times New Roman" w:cs="Open Sans"/>
        </w:rPr>
        <w:t xml:space="preserve"> </w:t>
      </w:r>
      <w:r w:rsidRPr="07069484">
        <w:rPr>
          <w:rFonts w:eastAsia="Times New Roman" w:cs="Open Sans"/>
        </w:rPr>
        <w:t>on</w:t>
      </w:r>
      <w:r w:rsidR="00573BA7" w:rsidRPr="07069484">
        <w:rPr>
          <w:rFonts w:eastAsia="Times New Roman" w:cs="Open Sans"/>
        </w:rPr>
        <w:t xml:space="preserve"> </w:t>
      </w:r>
      <w:r w:rsidRPr="07069484">
        <w:rPr>
          <w:rFonts w:eastAsia="Times New Roman" w:cs="Open Sans"/>
        </w:rPr>
        <w:t>the</w:t>
      </w:r>
      <w:r w:rsidR="00573BA7" w:rsidRPr="07069484">
        <w:rPr>
          <w:rFonts w:eastAsia="Times New Roman" w:cs="Open Sans"/>
        </w:rPr>
        <w:t xml:space="preserve"> </w:t>
      </w:r>
      <w:r w:rsidRPr="07069484">
        <w:rPr>
          <w:rFonts w:eastAsia="Times New Roman" w:cs="Open Sans"/>
        </w:rPr>
        <w:t>matter</w:t>
      </w:r>
      <w:r w:rsidR="00573BA7" w:rsidRPr="07069484">
        <w:rPr>
          <w:rFonts w:eastAsia="Times New Roman" w:cs="Open Sans"/>
        </w:rPr>
        <w:t xml:space="preserve"> </w:t>
      </w:r>
      <w:r w:rsidRPr="07069484">
        <w:rPr>
          <w:rFonts w:eastAsia="Times New Roman" w:cs="Open Sans"/>
        </w:rPr>
        <w:t>to</w:t>
      </w:r>
      <w:r w:rsidR="00573BA7" w:rsidRPr="07069484">
        <w:rPr>
          <w:rFonts w:eastAsia="Times New Roman" w:cs="Open Sans"/>
        </w:rPr>
        <w:t xml:space="preserve"> </w:t>
      </w:r>
      <w:r w:rsidRPr="07069484">
        <w:rPr>
          <w:rFonts w:eastAsia="Times New Roman" w:cs="Open Sans"/>
        </w:rPr>
        <w:t>Parliament.</w:t>
      </w:r>
      <w:r w:rsidR="00573BA7" w:rsidRPr="07069484">
        <w:rPr>
          <w:rFonts w:eastAsia="Times New Roman" w:cs="Open Sans"/>
        </w:rPr>
        <w:t xml:space="preserve"> </w:t>
      </w:r>
    </w:p>
    <w:p w14:paraId="36111A39" w14:textId="28185AB7" w:rsidR="002A51FD" w:rsidRDefault="002A51FD" w:rsidP="00662F4B">
      <w:pPr>
        <w:pStyle w:val="ListNumber"/>
        <w:rPr>
          <w:rFonts w:eastAsia="Times New Roman" w:cs="Open Sans"/>
        </w:rPr>
      </w:pPr>
      <w:r w:rsidRPr="003F4CE1">
        <w:rPr>
          <w:rFonts w:eastAsia="Times New Roman" w:cs="Open Sans"/>
        </w:rPr>
        <w:t>Recent</w:t>
      </w:r>
      <w:r w:rsidR="00573BA7">
        <w:rPr>
          <w:rFonts w:eastAsia="Times New Roman" w:cs="Open Sans"/>
        </w:rPr>
        <w:t xml:space="preserve"> </w:t>
      </w:r>
      <w:r w:rsidRPr="003F4CE1">
        <w:rPr>
          <w:rFonts w:eastAsia="Times New Roman" w:cs="Open Sans"/>
        </w:rPr>
        <w:t>assessments</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Victorian</w:t>
      </w:r>
      <w:r w:rsidR="00573BA7">
        <w:rPr>
          <w:rFonts w:eastAsia="Times New Roman" w:cs="Open Sans"/>
        </w:rPr>
        <w:t xml:space="preserve"> </w:t>
      </w:r>
      <w:r w:rsidRPr="003F4CE1">
        <w:rPr>
          <w:rFonts w:eastAsia="Times New Roman" w:cs="Open Sans"/>
        </w:rPr>
        <w:t>approach</w:t>
      </w:r>
      <w:r w:rsidR="00573BA7">
        <w:rPr>
          <w:rFonts w:eastAsia="Times New Roman" w:cs="Open Sans"/>
        </w:rPr>
        <w:t xml:space="preserve"> </w:t>
      </w:r>
      <w:r w:rsidRPr="003F4CE1">
        <w:rPr>
          <w:rFonts w:eastAsia="Times New Roman" w:cs="Open Sans"/>
        </w:rPr>
        <w:t>highlight</w:t>
      </w:r>
      <w:r w:rsidR="00573BA7">
        <w:rPr>
          <w:rFonts w:eastAsia="Times New Roman" w:cs="Open Sans"/>
        </w:rPr>
        <w:t xml:space="preserve"> </w:t>
      </w:r>
      <w:r w:rsidR="0074268C">
        <w:rPr>
          <w:rFonts w:eastAsia="Times New Roman" w:cs="Open Sans"/>
        </w:rPr>
        <w:t>that</w:t>
      </w:r>
      <w:r w:rsidR="00573BA7">
        <w:rPr>
          <w:rFonts w:eastAsia="Times New Roman" w:cs="Open Sans"/>
        </w:rPr>
        <w:t xml:space="preserve"> </w:t>
      </w:r>
      <w:r w:rsidR="001F4553">
        <w:rPr>
          <w:rFonts w:eastAsia="Times New Roman" w:cs="Open Sans"/>
        </w:rPr>
        <w:t>section</w:t>
      </w:r>
      <w:r w:rsidR="00573BA7">
        <w:rPr>
          <w:rFonts w:eastAsia="Times New Roman" w:cs="Open Sans"/>
        </w:rPr>
        <w:t xml:space="preserve"> </w:t>
      </w:r>
      <w:r w:rsidR="001F4553">
        <w:rPr>
          <w:rFonts w:eastAsia="Times New Roman" w:cs="Open Sans"/>
        </w:rPr>
        <w:t>15</w:t>
      </w:r>
      <w:r w:rsidR="00573BA7">
        <w:rPr>
          <w:rFonts w:eastAsia="Times New Roman" w:cs="Open Sans"/>
        </w:rPr>
        <w:t xml:space="preserve"> </w:t>
      </w:r>
      <w:r w:rsidRPr="003F4CE1">
        <w:rPr>
          <w:rFonts w:eastAsia="Times New Roman" w:cs="Open Sans"/>
        </w:rPr>
        <w:t>lack</w:t>
      </w:r>
      <w:r w:rsidR="0074268C">
        <w:rPr>
          <w:rFonts w:eastAsia="Times New Roman" w:cs="Open Sans"/>
        </w:rPr>
        <w:t>s</w:t>
      </w:r>
      <w:r w:rsidR="00573BA7">
        <w:rPr>
          <w:rFonts w:eastAsia="Times New Roman" w:cs="Open Sans"/>
        </w:rPr>
        <w:t xml:space="preserve"> </w:t>
      </w:r>
      <w:r w:rsidRPr="003F4CE1">
        <w:rPr>
          <w:rFonts w:eastAsia="Times New Roman" w:cs="Open Sans"/>
        </w:rPr>
        <w:t>a</w:t>
      </w:r>
      <w:r w:rsidR="00573BA7">
        <w:rPr>
          <w:rFonts w:eastAsia="Times New Roman" w:cs="Open Sans"/>
        </w:rPr>
        <w:t xml:space="preserve"> </w:t>
      </w:r>
      <w:r w:rsidRPr="003F4CE1">
        <w:rPr>
          <w:rFonts w:eastAsia="Times New Roman" w:cs="Open Sans"/>
        </w:rPr>
        <w:t>statutory</w:t>
      </w:r>
      <w:r w:rsidR="00573BA7">
        <w:rPr>
          <w:rFonts w:eastAsia="Times New Roman" w:cs="Open Sans"/>
        </w:rPr>
        <w:t xml:space="preserve"> </w:t>
      </w:r>
      <w:r w:rsidRPr="003F4CE1">
        <w:rPr>
          <w:rFonts w:eastAsia="Times New Roman" w:cs="Open Sans"/>
        </w:rPr>
        <w:t>provision</w:t>
      </w:r>
      <w:r w:rsidR="00573BA7">
        <w:rPr>
          <w:rFonts w:eastAsia="Times New Roman" w:cs="Open Sans"/>
        </w:rPr>
        <w:t xml:space="preserve"> </w:t>
      </w:r>
      <w:r w:rsidRPr="003F4CE1">
        <w:rPr>
          <w:rFonts w:eastAsia="Times New Roman" w:cs="Open Sans"/>
        </w:rPr>
        <w:t>for</w:t>
      </w:r>
      <w:r w:rsidR="00573BA7">
        <w:rPr>
          <w:rFonts w:eastAsia="Times New Roman" w:cs="Open Sans"/>
        </w:rPr>
        <w:t xml:space="preserve"> </w:t>
      </w:r>
      <w:r w:rsidRPr="003F4CE1">
        <w:rPr>
          <w:rFonts w:eastAsia="Times New Roman" w:cs="Open Sans"/>
        </w:rPr>
        <w:t>enforcement</w:t>
      </w:r>
      <w:r w:rsidR="00573BA7">
        <w:rPr>
          <w:rFonts w:eastAsia="Times New Roman" w:cs="Open Sans"/>
        </w:rPr>
        <w:t xml:space="preserve"> </w:t>
      </w:r>
      <w:r w:rsidRPr="003F4CE1">
        <w:rPr>
          <w:rFonts w:eastAsia="Times New Roman" w:cs="Open Sans"/>
        </w:rPr>
        <w:t>in</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event</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a</w:t>
      </w:r>
      <w:r w:rsidR="00573BA7">
        <w:rPr>
          <w:rFonts w:eastAsia="Times New Roman" w:cs="Open Sans"/>
        </w:rPr>
        <w:t xml:space="preserve"> </w:t>
      </w:r>
      <w:r w:rsidRPr="003F4CE1">
        <w:rPr>
          <w:rFonts w:eastAsia="Times New Roman" w:cs="Open Sans"/>
        </w:rPr>
        <w:t>breach</w:t>
      </w:r>
      <w:r w:rsidR="00573BA7">
        <w:rPr>
          <w:rFonts w:eastAsia="Times New Roman" w:cs="Open Sans"/>
        </w:rPr>
        <w:t xml:space="preserve"> </w:t>
      </w:r>
      <w:r w:rsidR="001F4553">
        <w:rPr>
          <w:rFonts w:eastAsia="Times New Roman" w:cs="Open Sans"/>
        </w:rPr>
        <w:t>of</w:t>
      </w:r>
      <w:r w:rsidR="00573BA7">
        <w:rPr>
          <w:rFonts w:eastAsia="Times New Roman" w:cs="Open Sans"/>
        </w:rPr>
        <w:t xml:space="preserve"> </w:t>
      </w:r>
      <w:r w:rsidR="001F4553">
        <w:rPr>
          <w:rFonts w:eastAsia="Times New Roman" w:cs="Open Sans"/>
        </w:rPr>
        <w:t>the</w:t>
      </w:r>
      <w:r w:rsidR="00573BA7">
        <w:rPr>
          <w:rFonts w:eastAsia="Times New Roman" w:cs="Open Sans"/>
        </w:rPr>
        <w:t xml:space="preserve"> </w:t>
      </w:r>
      <w:r w:rsidR="001F4553">
        <w:rPr>
          <w:rFonts w:eastAsia="Times New Roman" w:cs="Open Sans"/>
        </w:rPr>
        <w:t>positive</w:t>
      </w:r>
      <w:r w:rsidR="00573BA7">
        <w:rPr>
          <w:rFonts w:eastAsia="Times New Roman" w:cs="Open Sans"/>
        </w:rPr>
        <w:t xml:space="preserve"> </w:t>
      </w:r>
      <w:r w:rsidR="001F4553">
        <w:rPr>
          <w:rFonts w:eastAsia="Times New Roman" w:cs="Open Sans"/>
        </w:rPr>
        <w:t>duty.</w:t>
      </w:r>
      <w:r w:rsidR="001F4553" w:rsidRPr="003F4CE1">
        <w:rPr>
          <w:rStyle w:val="EndnoteReference"/>
          <w:rFonts w:eastAsia="Times New Roman" w:cs="Open Sans"/>
        </w:rPr>
        <w:endnoteReference w:id="164"/>
      </w:r>
      <w:r w:rsidR="00573BA7">
        <w:rPr>
          <w:rFonts w:eastAsia="Times New Roman" w:cs="Open Sans"/>
        </w:rPr>
        <w:t xml:space="preserve"> </w:t>
      </w:r>
      <w:r w:rsidR="001F4553">
        <w:rPr>
          <w:rFonts w:eastAsia="Times New Roman" w:cs="Open Sans"/>
        </w:rPr>
        <w:t>They</w:t>
      </w:r>
      <w:r w:rsidR="00573BA7">
        <w:rPr>
          <w:rFonts w:eastAsia="Times New Roman" w:cs="Open Sans"/>
        </w:rPr>
        <w:t xml:space="preserve"> </w:t>
      </w:r>
      <w:r w:rsidR="001F4553">
        <w:rPr>
          <w:rFonts w:eastAsia="Times New Roman" w:cs="Open Sans"/>
        </w:rPr>
        <w:t>also</w:t>
      </w:r>
      <w:r w:rsidR="00573BA7">
        <w:rPr>
          <w:rFonts w:eastAsia="Times New Roman" w:cs="Open Sans"/>
        </w:rPr>
        <w:t xml:space="preserve"> </w:t>
      </w:r>
      <w:r w:rsidR="001F4553">
        <w:rPr>
          <w:rFonts w:eastAsia="Times New Roman" w:cs="Open Sans"/>
        </w:rPr>
        <w:t>highlight</w:t>
      </w:r>
      <w:r w:rsidR="00573BA7">
        <w:rPr>
          <w:rFonts w:eastAsia="Times New Roman" w:cs="Open Sans"/>
        </w:rPr>
        <w:t xml:space="preserve"> </w:t>
      </w:r>
      <w:r w:rsidR="001F4553">
        <w:rPr>
          <w:rFonts w:eastAsia="Times New Roman" w:cs="Open Sans"/>
        </w:rPr>
        <w:t>that</w:t>
      </w:r>
      <w:r w:rsidR="00573BA7">
        <w:rPr>
          <w:rFonts w:eastAsia="Times New Roman" w:cs="Open Sans"/>
        </w:rPr>
        <w:t xml:space="preserve"> </w:t>
      </w:r>
      <w:r w:rsidRPr="003F4CE1">
        <w:rPr>
          <w:rFonts w:eastAsia="Times New Roman" w:cs="Open Sans"/>
        </w:rPr>
        <w:t>no</w:t>
      </w:r>
      <w:r w:rsidR="00573BA7">
        <w:rPr>
          <w:rFonts w:eastAsia="Times New Roman" w:cs="Open Sans"/>
        </w:rPr>
        <w:t xml:space="preserve"> </w:t>
      </w:r>
      <w:r w:rsidRPr="003F4CE1">
        <w:rPr>
          <w:rFonts w:eastAsia="Times New Roman" w:cs="Open Sans"/>
        </w:rPr>
        <w:t>cases</w:t>
      </w:r>
      <w:r w:rsidR="00573BA7">
        <w:rPr>
          <w:rFonts w:eastAsia="Times New Roman" w:cs="Open Sans"/>
        </w:rPr>
        <w:t xml:space="preserve"> </w:t>
      </w:r>
      <w:r w:rsidRPr="003F4CE1">
        <w:rPr>
          <w:rFonts w:eastAsia="Times New Roman" w:cs="Open Sans"/>
        </w:rPr>
        <w:t>have</w:t>
      </w:r>
      <w:r w:rsidR="00573BA7">
        <w:rPr>
          <w:rFonts w:eastAsia="Times New Roman" w:cs="Open Sans"/>
        </w:rPr>
        <w:t xml:space="preserve"> </w:t>
      </w:r>
      <w:r w:rsidRPr="003F4CE1">
        <w:rPr>
          <w:rFonts w:eastAsia="Times New Roman" w:cs="Open Sans"/>
        </w:rPr>
        <w:t>successfully</w:t>
      </w:r>
      <w:r w:rsidR="00573BA7">
        <w:rPr>
          <w:rFonts w:eastAsia="Times New Roman" w:cs="Open Sans"/>
        </w:rPr>
        <w:t xml:space="preserve"> </w:t>
      </w:r>
      <w:r w:rsidRPr="003F4CE1">
        <w:rPr>
          <w:rFonts w:eastAsia="Times New Roman" w:cs="Open Sans"/>
        </w:rPr>
        <w:t>been</w:t>
      </w:r>
      <w:r w:rsidR="00573BA7">
        <w:rPr>
          <w:rFonts w:eastAsia="Times New Roman" w:cs="Open Sans"/>
        </w:rPr>
        <w:t xml:space="preserve"> </w:t>
      </w:r>
      <w:r w:rsidRPr="003F4CE1">
        <w:rPr>
          <w:rFonts w:eastAsia="Times New Roman" w:cs="Open Sans"/>
        </w:rPr>
        <w:t>brought</w:t>
      </w:r>
      <w:r w:rsidR="00573BA7">
        <w:rPr>
          <w:rFonts w:eastAsia="Times New Roman" w:cs="Open Sans"/>
        </w:rPr>
        <w:t xml:space="preserve"> </w:t>
      </w:r>
      <w:r w:rsidRPr="003F4CE1">
        <w:rPr>
          <w:rFonts w:eastAsia="Times New Roman" w:cs="Open Sans"/>
        </w:rPr>
        <w:t>in</w:t>
      </w:r>
      <w:r w:rsidR="00573BA7">
        <w:rPr>
          <w:rFonts w:eastAsia="Times New Roman" w:cs="Open Sans"/>
        </w:rPr>
        <w:t xml:space="preserve"> </w:t>
      </w:r>
      <w:r w:rsidRPr="003F4CE1">
        <w:rPr>
          <w:rFonts w:eastAsia="Times New Roman" w:cs="Open Sans"/>
        </w:rPr>
        <w:t>VCAT</w:t>
      </w:r>
      <w:r w:rsidR="00573BA7">
        <w:rPr>
          <w:rFonts w:eastAsia="Times New Roman" w:cs="Open Sans"/>
        </w:rPr>
        <w:t xml:space="preserve"> </w:t>
      </w:r>
      <w:r w:rsidRPr="003F4CE1">
        <w:rPr>
          <w:rFonts w:eastAsia="Times New Roman" w:cs="Open Sans"/>
        </w:rPr>
        <w:t>or</w:t>
      </w:r>
      <w:r w:rsidR="00573BA7">
        <w:rPr>
          <w:rFonts w:eastAsia="Times New Roman" w:cs="Open Sans"/>
        </w:rPr>
        <w:t xml:space="preserve"> </w:t>
      </w:r>
      <w:r w:rsidRPr="003F4CE1">
        <w:rPr>
          <w:rFonts w:eastAsia="Times New Roman" w:cs="Open Sans"/>
        </w:rPr>
        <w:t>a</w:t>
      </w:r>
      <w:r w:rsidR="00573BA7">
        <w:rPr>
          <w:rFonts w:eastAsia="Times New Roman" w:cs="Open Sans"/>
        </w:rPr>
        <w:t xml:space="preserve"> </w:t>
      </w:r>
      <w:r w:rsidRPr="003F4CE1">
        <w:rPr>
          <w:rFonts w:eastAsia="Times New Roman" w:cs="Open Sans"/>
        </w:rPr>
        <w:t>court</w:t>
      </w:r>
      <w:r w:rsidR="00573BA7">
        <w:rPr>
          <w:rFonts w:eastAsia="Times New Roman" w:cs="Open Sans"/>
        </w:rPr>
        <w:t xml:space="preserve"> </w:t>
      </w:r>
      <w:r w:rsidRPr="003F4CE1">
        <w:rPr>
          <w:rFonts w:eastAsia="Times New Roman" w:cs="Open Sans"/>
        </w:rPr>
        <w:t>alleging</w:t>
      </w:r>
      <w:r w:rsidR="00573BA7">
        <w:rPr>
          <w:rFonts w:eastAsia="Times New Roman" w:cs="Open Sans"/>
        </w:rPr>
        <w:t xml:space="preserve"> </w:t>
      </w:r>
      <w:r w:rsidRPr="003F4CE1">
        <w:rPr>
          <w:rFonts w:eastAsia="Times New Roman" w:cs="Open Sans"/>
        </w:rPr>
        <w:t>a</w:t>
      </w:r>
      <w:r w:rsidR="00573BA7">
        <w:rPr>
          <w:rFonts w:eastAsia="Times New Roman" w:cs="Open Sans"/>
        </w:rPr>
        <w:t xml:space="preserve"> </w:t>
      </w:r>
      <w:r w:rsidRPr="003F4CE1">
        <w:rPr>
          <w:rFonts w:eastAsia="Times New Roman" w:cs="Open Sans"/>
        </w:rPr>
        <w:t>breach</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positive</w:t>
      </w:r>
      <w:r w:rsidR="00573BA7">
        <w:rPr>
          <w:rFonts w:eastAsia="Times New Roman" w:cs="Open Sans"/>
        </w:rPr>
        <w:t xml:space="preserve"> </w:t>
      </w:r>
      <w:r w:rsidRPr="003F4CE1">
        <w:rPr>
          <w:rFonts w:eastAsia="Times New Roman" w:cs="Open Sans"/>
        </w:rPr>
        <w:t>duty.</w:t>
      </w:r>
      <w:r w:rsidR="00DD5D5D" w:rsidRPr="003F4CE1">
        <w:rPr>
          <w:rStyle w:val="EndnoteReference"/>
          <w:rFonts w:eastAsia="Times New Roman" w:cs="Open Sans"/>
        </w:rPr>
        <w:endnoteReference w:id="165"/>
      </w:r>
      <w:r w:rsidR="00573BA7">
        <w:rPr>
          <w:rFonts w:eastAsia="Times New Roman" w:cs="Open Sans"/>
        </w:rPr>
        <w:t xml:space="preserve"> </w:t>
      </w:r>
      <w:r w:rsidRPr="003F4CE1">
        <w:rPr>
          <w:rFonts w:eastAsia="Times New Roman" w:cs="Open Sans"/>
        </w:rPr>
        <w:t>Other</w:t>
      </w:r>
      <w:r w:rsidR="00573BA7">
        <w:rPr>
          <w:rFonts w:eastAsia="Times New Roman" w:cs="Open Sans"/>
        </w:rPr>
        <w:t xml:space="preserve"> </w:t>
      </w:r>
      <w:r w:rsidR="00833FB3">
        <w:rPr>
          <w:rFonts w:eastAsia="Times New Roman" w:cs="Open Sans"/>
        </w:rPr>
        <w:t>analyses</w:t>
      </w:r>
      <w:r w:rsidR="00573BA7">
        <w:rPr>
          <w:rFonts w:eastAsia="Times New Roman" w:cs="Open Sans"/>
        </w:rPr>
        <w:t xml:space="preserve"> </w:t>
      </w:r>
      <w:r w:rsidRPr="003F4CE1">
        <w:rPr>
          <w:rFonts w:eastAsia="Times New Roman" w:cs="Open Sans"/>
        </w:rPr>
        <w:t>have</w:t>
      </w:r>
      <w:r w:rsidR="00573BA7">
        <w:rPr>
          <w:rFonts w:eastAsia="Times New Roman" w:cs="Open Sans"/>
        </w:rPr>
        <w:t xml:space="preserve"> </w:t>
      </w:r>
      <w:r w:rsidRPr="003F4CE1">
        <w:rPr>
          <w:rFonts w:eastAsia="Times New Roman" w:cs="Open Sans"/>
        </w:rPr>
        <w:t>asserted</w:t>
      </w:r>
      <w:r w:rsidR="00573BA7">
        <w:rPr>
          <w:rFonts w:eastAsia="Times New Roman" w:cs="Open Sans"/>
        </w:rPr>
        <w:t xml:space="preserve"> </w:t>
      </w:r>
      <w:r w:rsidRPr="003F4CE1">
        <w:rPr>
          <w:rFonts w:eastAsia="Times New Roman" w:cs="Open Sans"/>
        </w:rPr>
        <w:t>that</w:t>
      </w:r>
      <w:r w:rsidR="00573BA7">
        <w:rPr>
          <w:rFonts w:eastAsia="Times New Roman" w:cs="Open Sans"/>
        </w:rPr>
        <w:t xml:space="preserve"> </w:t>
      </w:r>
      <w:r w:rsidR="003039E5">
        <w:rPr>
          <w:rFonts w:eastAsia="Times New Roman" w:cs="Open Sans"/>
        </w:rPr>
        <w:t>the</w:t>
      </w:r>
      <w:r w:rsidR="00573BA7">
        <w:rPr>
          <w:rFonts w:eastAsia="Times New Roman" w:cs="Open Sans"/>
        </w:rPr>
        <w:t xml:space="preserve"> </w:t>
      </w:r>
      <w:r w:rsidR="003039E5">
        <w:rPr>
          <w:rFonts w:eastAsia="Times New Roman" w:cs="Open Sans"/>
        </w:rPr>
        <w:t>positive</w:t>
      </w:r>
      <w:r w:rsidR="00573BA7">
        <w:rPr>
          <w:rFonts w:eastAsia="Times New Roman" w:cs="Open Sans"/>
        </w:rPr>
        <w:t xml:space="preserve"> </w:t>
      </w:r>
      <w:r w:rsidR="003039E5">
        <w:rPr>
          <w:rFonts w:eastAsia="Times New Roman" w:cs="Open Sans"/>
        </w:rPr>
        <w:t>duty</w:t>
      </w:r>
      <w:r w:rsidR="00573BA7">
        <w:rPr>
          <w:rFonts w:eastAsia="Times New Roman" w:cs="Open Sans"/>
        </w:rPr>
        <w:t xml:space="preserve"> </w:t>
      </w:r>
      <w:r w:rsidR="003039E5">
        <w:rPr>
          <w:rFonts w:eastAsia="Times New Roman" w:cs="Open Sans"/>
        </w:rPr>
        <w:t>would</w:t>
      </w:r>
      <w:r w:rsidR="00573BA7">
        <w:rPr>
          <w:rFonts w:eastAsia="Times New Roman" w:cs="Open Sans"/>
        </w:rPr>
        <w:t xml:space="preserve"> </w:t>
      </w:r>
      <w:r w:rsidR="003039E5">
        <w:rPr>
          <w:rFonts w:eastAsia="Times New Roman" w:cs="Open Sans"/>
        </w:rPr>
        <w:t>be</w:t>
      </w:r>
      <w:r w:rsidR="00573BA7">
        <w:rPr>
          <w:rFonts w:eastAsia="Times New Roman" w:cs="Open Sans"/>
        </w:rPr>
        <w:t xml:space="preserve"> </w:t>
      </w:r>
      <w:r w:rsidR="003039E5">
        <w:rPr>
          <w:rFonts w:eastAsia="Times New Roman" w:cs="Open Sans"/>
        </w:rPr>
        <w:t>easier</w:t>
      </w:r>
      <w:r w:rsidR="00573BA7">
        <w:rPr>
          <w:rFonts w:eastAsia="Times New Roman" w:cs="Open Sans"/>
        </w:rPr>
        <w:t xml:space="preserve"> </w:t>
      </w:r>
      <w:r w:rsidR="003039E5">
        <w:rPr>
          <w:rFonts w:eastAsia="Times New Roman" w:cs="Open Sans"/>
        </w:rPr>
        <w:t>to</w:t>
      </w:r>
      <w:r w:rsidR="00573BA7">
        <w:rPr>
          <w:rFonts w:eastAsia="Times New Roman" w:cs="Open Sans"/>
        </w:rPr>
        <w:t xml:space="preserve"> </w:t>
      </w:r>
      <w:r w:rsidR="003039E5">
        <w:rPr>
          <w:rFonts w:eastAsia="Times New Roman" w:cs="Open Sans"/>
        </w:rPr>
        <w:t>comply</w:t>
      </w:r>
      <w:r w:rsidR="00573BA7">
        <w:rPr>
          <w:rFonts w:eastAsia="Times New Roman" w:cs="Open Sans"/>
        </w:rPr>
        <w:t xml:space="preserve"> </w:t>
      </w:r>
      <w:r w:rsidR="003039E5">
        <w:rPr>
          <w:rFonts w:eastAsia="Times New Roman" w:cs="Open Sans"/>
        </w:rPr>
        <w:t>with</w:t>
      </w:r>
      <w:r w:rsidR="00573BA7">
        <w:rPr>
          <w:rFonts w:eastAsia="Times New Roman" w:cs="Open Sans"/>
        </w:rPr>
        <w:t xml:space="preserve"> </w:t>
      </w:r>
      <w:r w:rsidR="003039E5">
        <w:rPr>
          <w:rFonts w:eastAsia="Times New Roman" w:cs="Open Sans"/>
        </w:rPr>
        <w:t>and</w:t>
      </w:r>
      <w:r w:rsidR="00573BA7">
        <w:rPr>
          <w:rFonts w:eastAsia="Times New Roman" w:cs="Open Sans"/>
        </w:rPr>
        <w:t xml:space="preserve"> </w:t>
      </w:r>
      <w:r w:rsidR="003039E5">
        <w:rPr>
          <w:rFonts w:eastAsia="Times New Roman" w:cs="Open Sans"/>
        </w:rPr>
        <w:t>enforce</w:t>
      </w:r>
      <w:r w:rsidR="00573BA7">
        <w:rPr>
          <w:rFonts w:eastAsia="Times New Roman" w:cs="Open Sans"/>
        </w:rPr>
        <w:t xml:space="preserve"> </w:t>
      </w:r>
      <w:r w:rsidR="003039E5">
        <w:rPr>
          <w:rFonts w:eastAsia="Times New Roman" w:cs="Open Sans"/>
        </w:rPr>
        <w:t>if</w:t>
      </w:r>
      <w:r w:rsidR="00573BA7">
        <w:rPr>
          <w:rFonts w:eastAsia="Times New Roman" w:cs="Open Sans"/>
        </w:rPr>
        <w:t xml:space="preserve"> </w:t>
      </w:r>
      <w:r w:rsidR="003039E5">
        <w:rPr>
          <w:rFonts w:eastAsia="Times New Roman" w:cs="Open Sans"/>
        </w:rPr>
        <w:t>the</w:t>
      </w:r>
      <w:r w:rsidR="00573BA7">
        <w:rPr>
          <w:rFonts w:eastAsia="Times New Roman" w:cs="Open Sans"/>
        </w:rPr>
        <w:t xml:space="preserve"> </w:t>
      </w:r>
      <w:r w:rsidR="003039E5">
        <w:rPr>
          <w:rFonts w:eastAsia="Times New Roman" w:cs="Open Sans"/>
        </w:rPr>
        <w:t>legislation</w:t>
      </w:r>
      <w:r w:rsidR="00573BA7">
        <w:rPr>
          <w:rFonts w:eastAsia="Times New Roman" w:cs="Open Sans"/>
        </w:rPr>
        <w:t xml:space="preserve"> </w:t>
      </w:r>
      <w:r w:rsidR="003039E5">
        <w:rPr>
          <w:rFonts w:eastAsia="Times New Roman" w:cs="Open Sans"/>
        </w:rPr>
        <w:t>prescribed</w:t>
      </w:r>
      <w:r w:rsidR="00573BA7">
        <w:rPr>
          <w:rFonts w:eastAsia="Times New Roman" w:cs="Open Sans"/>
        </w:rPr>
        <w:t xml:space="preserve"> </w:t>
      </w:r>
      <w:r w:rsidRPr="003F4CE1">
        <w:rPr>
          <w:rFonts w:eastAsia="Times New Roman" w:cs="Open Sans"/>
        </w:rPr>
        <w:t>actions</w:t>
      </w:r>
      <w:r w:rsidR="00573BA7">
        <w:rPr>
          <w:rFonts w:eastAsia="Times New Roman" w:cs="Open Sans"/>
        </w:rPr>
        <w:t xml:space="preserve"> </w:t>
      </w:r>
      <w:r w:rsidR="003039E5">
        <w:rPr>
          <w:rFonts w:eastAsia="Times New Roman" w:cs="Open Sans"/>
        </w:rPr>
        <w:t>that</w:t>
      </w:r>
      <w:r w:rsidR="00573BA7">
        <w:rPr>
          <w:rFonts w:eastAsia="Times New Roman" w:cs="Open Sans"/>
        </w:rPr>
        <w:t xml:space="preserve"> </w:t>
      </w:r>
      <w:r w:rsidRPr="003F4CE1">
        <w:rPr>
          <w:rFonts w:eastAsia="Times New Roman" w:cs="Open Sans"/>
        </w:rPr>
        <w:t>organisations</w:t>
      </w:r>
      <w:r w:rsidR="00573BA7">
        <w:rPr>
          <w:rFonts w:eastAsia="Times New Roman" w:cs="Open Sans"/>
        </w:rPr>
        <w:t xml:space="preserve"> </w:t>
      </w:r>
      <w:r w:rsidRPr="003F4CE1">
        <w:rPr>
          <w:rFonts w:eastAsia="Times New Roman" w:cs="Open Sans"/>
        </w:rPr>
        <w:t>must</w:t>
      </w:r>
      <w:r w:rsidR="00573BA7">
        <w:rPr>
          <w:rFonts w:eastAsia="Times New Roman" w:cs="Open Sans"/>
        </w:rPr>
        <w:t xml:space="preserve"> </w:t>
      </w:r>
      <w:r w:rsidRPr="003F4CE1">
        <w:rPr>
          <w:rFonts w:eastAsia="Times New Roman" w:cs="Open Sans"/>
        </w:rPr>
        <w:t>take</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demonstrate</w:t>
      </w:r>
      <w:r w:rsidR="00573BA7">
        <w:rPr>
          <w:rFonts w:eastAsia="Times New Roman" w:cs="Open Sans"/>
        </w:rPr>
        <w:t xml:space="preserve"> </w:t>
      </w:r>
      <w:r w:rsidRPr="003F4CE1">
        <w:rPr>
          <w:rFonts w:eastAsia="Times New Roman" w:cs="Open Sans"/>
        </w:rPr>
        <w:t>compliance.</w:t>
      </w:r>
      <w:r w:rsidR="005905FA" w:rsidRPr="003F4CE1">
        <w:rPr>
          <w:rStyle w:val="EndnoteReference"/>
          <w:rFonts w:eastAsia="Times New Roman" w:cs="Open Sans"/>
        </w:rPr>
        <w:endnoteReference w:id="166"/>
      </w:r>
      <w:r w:rsidR="00573BA7">
        <w:rPr>
          <w:rFonts w:eastAsia="Times New Roman" w:cs="Open Sans"/>
        </w:rPr>
        <w:t xml:space="preserve"> </w:t>
      </w:r>
      <w:r w:rsidR="00BA5B65">
        <w:rPr>
          <w:rFonts w:eastAsia="Times New Roman" w:cs="Open Sans"/>
        </w:rPr>
        <w:t>Accordingly,</w:t>
      </w:r>
      <w:r w:rsidR="00573BA7">
        <w:rPr>
          <w:rFonts w:eastAsia="Times New Roman" w:cs="Open Sans"/>
        </w:rPr>
        <w:t xml:space="preserve"> </w:t>
      </w:r>
      <w:r w:rsidR="00BA5B65">
        <w:rPr>
          <w:rFonts w:eastAsia="Times New Roman" w:cs="Open Sans"/>
        </w:rPr>
        <w:t>t</w:t>
      </w:r>
      <w:r w:rsidRPr="003F4CE1">
        <w:rPr>
          <w:rFonts w:eastAsia="Times New Roman" w:cs="Open Sans"/>
        </w:rPr>
        <w:t>he</w:t>
      </w:r>
      <w:r w:rsidR="00573BA7">
        <w:rPr>
          <w:rFonts w:eastAsia="Times New Roman" w:cs="Open Sans"/>
        </w:rPr>
        <w:t xml:space="preserve"> </w:t>
      </w:r>
      <w:r w:rsidRPr="003F4CE1">
        <w:rPr>
          <w:rFonts w:eastAsia="Times New Roman" w:cs="Open Sans"/>
        </w:rPr>
        <w:t>Commission</w:t>
      </w:r>
      <w:r w:rsidR="00573BA7">
        <w:rPr>
          <w:rFonts w:eastAsia="Times New Roman" w:cs="Open Sans"/>
        </w:rPr>
        <w:t xml:space="preserve"> </w:t>
      </w:r>
      <w:r w:rsidR="000E319B">
        <w:rPr>
          <w:rFonts w:eastAsia="Times New Roman" w:cs="Open Sans"/>
        </w:rPr>
        <w:t xml:space="preserve">echoes the comments of the CRPD Committee in </w:t>
      </w:r>
      <w:r w:rsidR="000E319B" w:rsidRPr="003F4CE1">
        <w:rPr>
          <w:rFonts w:eastAsia="Times New Roman" w:cs="Open Sans"/>
        </w:rPr>
        <w:t>recommendi</w:t>
      </w:r>
      <w:r w:rsidR="000E319B">
        <w:rPr>
          <w:rFonts w:eastAsia="Times New Roman" w:cs="Open Sans"/>
        </w:rPr>
        <w:t xml:space="preserve">ng </w:t>
      </w:r>
      <w:r w:rsidRPr="003F4CE1">
        <w:rPr>
          <w:rFonts w:eastAsia="Times New Roman" w:cs="Open Sans"/>
        </w:rPr>
        <w:t>that</w:t>
      </w:r>
      <w:r w:rsidR="00573BA7">
        <w:rPr>
          <w:rFonts w:eastAsia="Times New Roman" w:cs="Open Sans"/>
        </w:rPr>
        <w:t xml:space="preserve"> </w:t>
      </w:r>
      <w:r w:rsidRPr="003F4CE1">
        <w:rPr>
          <w:rFonts w:eastAsia="Times New Roman" w:cs="Open Sans"/>
        </w:rPr>
        <w:t>enforceability</w:t>
      </w:r>
      <w:r w:rsidR="00573BA7">
        <w:rPr>
          <w:rFonts w:eastAsia="Times New Roman" w:cs="Open Sans"/>
        </w:rPr>
        <w:t xml:space="preserve"> </w:t>
      </w:r>
      <w:r w:rsidRPr="003F4CE1">
        <w:rPr>
          <w:rFonts w:eastAsia="Times New Roman" w:cs="Open Sans"/>
        </w:rPr>
        <w:t>be</w:t>
      </w:r>
      <w:r w:rsidR="00573BA7">
        <w:rPr>
          <w:rFonts w:eastAsia="Times New Roman" w:cs="Open Sans"/>
        </w:rPr>
        <w:t xml:space="preserve"> </w:t>
      </w:r>
      <w:r w:rsidRPr="003F4CE1">
        <w:rPr>
          <w:rFonts w:eastAsia="Times New Roman" w:cs="Open Sans"/>
        </w:rPr>
        <w:t>a</w:t>
      </w:r>
      <w:r w:rsidR="00573BA7">
        <w:rPr>
          <w:rFonts w:eastAsia="Times New Roman" w:cs="Open Sans"/>
        </w:rPr>
        <w:t xml:space="preserve"> </w:t>
      </w:r>
      <w:r w:rsidRPr="003F4CE1">
        <w:rPr>
          <w:rFonts w:eastAsia="Times New Roman" w:cs="Open Sans"/>
        </w:rPr>
        <w:t>key</w:t>
      </w:r>
      <w:r w:rsidR="00573BA7">
        <w:rPr>
          <w:rFonts w:eastAsia="Times New Roman" w:cs="Open Sans"/>
        </w:rPr>
        <w:t xml:space="preserve"> </w:t>
      </w:r>
      <w:r w:rsidRPr="003F4CE1">
        <w:rPr>
          <w:rFonts w:eastAsia="Times New Roman" w:cs="Open Sans"/>
        </w:rPr>
        <w:t>consideration</w:t>
      </w:r>
      <w:r w:rsidR="00573BA7">
        <w:rPr>
          <w:rFonts w:eastAsia="Times New Roman" w:cs="Open Sans"/>
        </w:rPr>
        <w:t xml:space="preserve"> </w:t>
      </w:r>
      <w:r w:rsidR="000E319B">
        <w:rPr>
          <w:rFonts w:eastAsia="Times New Roman" w:cs="Open Sans"/>
        </w:rPr>
        <w:t>when</w:t>
      </w:r>
      <w:r w:rsidR="00573BA7">
        <w:rPr>
          <w:rFonts w:eastAsia="Times New Roman" w:cs="Open Sans"/>
        </w:rPr>
        <w:t xml:space="preserve"> </w:t>
      </w:r>
      <w:r w:rsidR="000E319B">
        <w:rPr>
          <w:rFonts w:eastAsia="Times New Roman" w:cs="Open Sans"/>
        </w:rPr>
        <w:t>reforming</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Disability</w:t>
      </w:r>
      <w:r w:rsidR="00573BA7">
        <w:rPr>
          <w:rFonts w:eastAsia="Times New Roman" w:cs="Open Sans"/>
        </w:rPr>
        <w:t xml:space="preserve"> </w:t>
      </w:r>
      <w:r w:rsidRPr="003F4CE1">
        <w:rPr>
          <w:rFonts w:eastAsia="Times New Roman" w:cs="Open Sans"/>
        </w:rPr>
        <w:t>Discrimination</w:t>
      </w:r>
      <w:r w:rsidR="00573BA7">
        <w:rPr>
          <w:rFonts w:eastAsia="Times New Roman" w:cs="Open Sans"/>
        </w:rPr>
        <w:t xml:space="preserve"> </w:t>
      </w:r>
      <w:r w:rsidRPr="003F4CE1">
        <w:rPr>
          <w:rFonts w:eastAsia="Times New Roman" w:cs="Open Sans"/>
        </w:rPr>
        <w:t>Act</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Pr="003F4CE1">
        <w:rPr>
          <w:rFonts w:eastAsia="Times New Roman" w:cs="Open Sans"/>
        </w:rPr>
        <w:t>other</w:t>
      </w:r>
      <w:r w:rsidR="00573BA7">
        <w:rPr>
          <w:rFonts w:eastAsia="Times New Roman" w:cs="Open Sans"/>
        </w:rPr>
        <w:t xml:space="preserve"> </w:t>
      </w:r>
      <w:r w:rsidRPr="003F4CE1">
        <w:rPr>
          <w:rFonts w:eastAsia="Times New Roman" w:cs="Open Sans"/>
        </w:rPr>
        <w:t>federal</w:t>
      </w:r>
      <w:r w:rsidR="00573BA7">
        <w:rPr>
          <w:rFonts w:eastAsia="Times New Roman" w:cs="Open Sans"/>
        </w:rPr>
        <w:t xml:space="preserve"> </w:t>
      </w:r>
      <w:r w:rsidRPr="003F4CE1">
        <w:rPr>
          <w:rFonts w:eastAsia="Times New Roman" w:cs="Open Sans"/>
        </w:rPr>
        <w:t>discrimination</w:t>
      </w:r>
      <w:r w:rsidR="00573BA7">
        <w:rPr>
          <w:rFonts w:eastAsia="Times New Roman" w:cs="Open Sans"/>
        </w:rPr>
        <w:t xml:space="preserve"> </w:t>
      </w:r>
      <w:r w:rsidRPr="003F4CE1">
        <w:rPr>
          <w:rFonts w:eastAsia="Times New Roman" w:cs="Open Sans"/>
        </w:rPr>
        <w:t>laws.</w:t>
      </w:r>
      <w:r w:rsidR="000E319B">
        <w:rPr>
          <w:rStyle w:val="EndnoteReference"/>
          <w:rFonts w:eastAsia="Times New Roman" w:cs="Open Sans"/>
        </w:rPr>
        <w:endnoteReference w:id="167"/>
      </w:r>
    </w:p>
    <w:p w14:paraId="73258AC2" w14:textId="0A2056E8" w:rsidR="00024AC5" w:rsidRPr="003F4CE1" w:rsidRDefault="0051727F" w:rsidP="00662F4B">
      <w:pPr>
        <w:pStyle w:val="ListNumber"/>
        <w:rPr>
          <w:rFonts w:eastAsia="Times New Roman" w:cs="Open Sans"/>
        </w:rPr>
      </w:pPr>
      <w:r w:rsidRPr="07069484">
        <w:rPr>
          <w:rFonts w:eastAsia="Times New Roman" w:cs="Open Sans"/>
        </w:rPr>
        <w:t>The introduction and operation of a positive duty will be further explored in the National Conversation report due to be published later this year.</w:t>
      </w:r>
    </w:p>
    <w:p w14:paraId="69392235" w14:textId="77777777" w:rsidR="007962F1" w:rsidRPr="007962F1" w:rsidRDefault="007962F1" w:rsidP="007962F1">
      <w:pPr>
        <w:pStyle w:val="ListNumber"/>
        <w:rPr>
          <w:b/>
          <w:bCs/>
          <w:i/>
          <w:iCs/>
        </w:rPr>
      </w:pPr>
      <w:bookmarkStart w:id="74" w:name="_Toc51834287"/>
      <w:r w:rsidRPr="007962F1">
        <w:rPr>
          <w:b/>
          <w:bCs/>
          <w:i/>
          <w:iCs/>
        </w:rPr>
        <w:t xml:space="preserve">Recommendation 5: The Australian Government amend the Disability Discrimination Act to introduce a positive duty to promote substantive equality and eliminate discrimination. </w:t>
      </w:r>
    </w:p>
    <w:p w14:paraId="3B1404F5" w14:textId="7D7E9D89" w:rsidR="00A9438D" w:rsidRPr="00710E6A" w:rsidRDefault="00F15517">
      <w:pPr>
        <w:pStyle w:val="Heading3"/>
        <w:rPr>
          <w:b/>
          <w:bCs w:val="0"/>
        </w:rPr>
      </w:pPr>
      <w:r w:rsidRPr="00710E6A">
        <w:rPr>
          <w:b/>
          <w:bCs w:val="0"/>
        </w:rPr>
        <w:t>Weaknesses of c</w:t>
      </w:r>
      <w:r w:rsidR="00A9438D" w:rsidRPr="00710E6A">
        <w:rPr>
          <w:b/>
          <w:bCs w:val="0"/>
        </w:rPr>
        <w:t>omparator</w:t>
      </w:r>
      <w:r w:rsidR="00573BA7" w:rsidRPr="00710E6A">
        <w:rPr>
          <w:b/>
          <w:bCs w:val="0"/>
        </w:rPr>
        <w:t xml:space="preserve"> </w:t>
      </w:r>
      <w:r w:rsidR="00A9438D" w:rsidRPr="00710E6A">
        <w:rPr>
          <w:b/>
          <w:bCs w:val="0"/>
        </w:rPr>
        <w:t>test</w:t>
      </w:r>
      <w:bookmarkEnd w:id="74"/>
    </w:p>
    <w:p w14:paraId="15C342B1" w14:textId="7EF50D46" w:rsidR="005438F7" w:rsidRPr="003F4CE1" w:rsidRDefault="005438F7" w:rsidP="00662F4B">
      <w:pPr>
        <w:pStyle w:val="ListNumber"/>
        <w:rPr>
          <w:rFonts w:eastAsia="Times New Roman" w:cs="Open Sans"/>
          <w:sz w:val="22"/>
          <w:szCs w:val="22"/>
        </w:rPr>
      </w:pPr>
      <w:r w:rsidRPr="07069484">
        <w:rPr>
          <w:rFonts w:eastAsia="Times New Roman" w:cs="Open Sans"/>
        </w:rPr>
        <w:t>To</w:t>
      </w:r>
      <w:r w:rsidR="00573BA7" w:rsidRPr="07069484">
        <w:rPr>
          <w:rFonts w:eastAsia="Times New Roman" w:cs="Open Sans"/>
        </w:rPr>
        <w:t xml:space="preserve"> </w:t>
      </w:r>
      <w:r w:rsidRPr="07069484">
        <w:rPr>
          <w:rFonts w:eastAsia="Times New Roman" w:cs="Open Sans"/>
        </w:rPr>
        <w:t>prove</w:t>
      </w:r>
      <w:r w:rsidR="00573BA7" w:rsidRPr="07069484">
        <w:rPr>
          <w:rFonts w:eastAsia="Times New Roman" w:cs="Open Sans"/>
        </w:rPr>
        <w:t xml:space="preserve"> </w:t>
      </w:r>
      <w:r w:rsidRPr="07069484">
        <w:rPr>
          <w:rFonts w:eastAsia="Times New Roman" w:cs="Open Sans"/>
        </w:rPr>
        <w:t>that</w:t>
      </w:r>
      <w:r w:rsidR="00573BA7" w:rsidRPr="07069484">
        <w:rPr>
          <w:rFonts w:eastAsia="Times New Roman" w:cs="Open Sans"/>
        </w:rPr>
        <w:t xml:space="preserve"> </w:t>
      </w:r>
      <w:r w:rsidRPr="07069484">
        <w:rPr>
          <w:rFonts w:eastAsia="Times New Roman" w:cs="Open Sans"/>
        </w:rPr>
        <w:t>direct</w:t>
      </w:r>
      <w:r w:rsidR="00573BA7" w:rsidRPr="07069484">
        <w:rPr>
          <w:rFonts w:eastAsia="Times New Roman" w:cs="Open Sans"/>
        </w:rPr>
        <w:t xml:space="preserve"> </w:t>
      </w:r>
      <w:r w:rsidRPr="07069484">
        <w:rPr>
          <w:rFonts w:eastAsia="Times New Roman" w:cs="Open Sans"/>
        </w:rPr>
        <w:t>discrimination</w:t>
      </w:r>
      <w:r w:rsidR="00573BA7" w:rsidRPr="07069484">
        <w:rPr>
          <w:rFonts w:eastAsia="Times New Roman" w:cs="Open Sans"/>
        </w:rPr>
        <w:t xml:space="preserve"> </w:t>
      </w:r>
      <w:r w:rsidRPr="07069484">
        <w:rPr>
          <w:rFonts w:eastAsia="Times New Roman" w:cs="Open Sans"/>
        </w:rPr>
        <w:t>has</w:t>
      </w:r>
      <w:r w:rsidR="00573BA7" w:rsidRPr="07069484">
        <w:rPr>
          <w:rFonts w:eastAsia="Times New Roman" w:cs="Open Sans"/>
        </w:rPr>
        <w:t xml:space="preserve"> </w:t>
      </w:r>
      <w:r w:rsidRPr="07069484">
        <w:rPr>
          <w:rFonts w:eastAsia="Times New Roman" w:cs="Open Sans"/>
        </w:rPr>
        <w:t>occurred,</w:t>
      </w:r>
      <w:r w:rsidR="00573BA7" w:rsidRPr="07069484">
        <w:rPr>
          <w:rFonts w:eastAsia="Times New Roman" w:cs="Open Sans"/>
        </w:rPr>
        <w:t xml:space="preserve"> </w:t>
      </w:r>
      <w:r w:rsidRPr="07069484">
        <w:rPr>
          <w:rFonts w:eastAsia="Times New Roman" w:cs="Open Sans"/>
        </w:rPr>
        <w:t>section</w:t>
      </w:r>
      <w:r w:rsidR="00573BA7" w:rsidRPr="07069484">
        <w:rPr>
          <w:rFonts w:eastAsia="Times New Roman" w:cs="Open Sans"/>
        </w:rPr>
        <w:t xml:space="preserve"> </w:t>
      </w:r>
      <w:r w:rsidRPr="07069484">
        <w:rPr>
          <w:rFonts w:eastAsia="Times New Roman" w:cs="Open Sans"/>
        </w:rPr>
        <w:t>5(1)</w:t>
      </w:r>
      <w:r w:rsidR="00573BA7" w:rsidRPr="07069484">
        <w:rPr>
          <w:rFonts w:eastAsia="Times New Roman" w:cs="Open Sans"/>
        </w:rPr>
        <w:t xml:space="preserve"> </w:t>
      </w:r>
      <w:r w:rsidRPr="07069484">
        <w:rPr>
          <w:rFonts w:eastAsia="Times New Roman" w:cs="Open Sans"/>
        </w:rPr>
        <w:t>of</w:t>
      </w:r>
      <w:r w:rsidR="00573BA7" w:rsidRPr="07069484">
        <w:rPr>
          <w:rFonts w:eastAsia="Times New Roman" w:cs="Open Sans"/>
        </w:rPr>
        <w:t xml:space="preserve"> </w:t>
      </w:r>
      <w:r w:rsidRPr="07069484">
        <w:rPr>
          <w:rFonts w:eastAsia="Times New Roman" w:cs="Open Sans"/>
        </w:rPr>
        <w:t>the</w:t>
      </w:r>
      <w:r w:rsidR="00573BA7" w:rsidRPr="07069484">
        <w:rPr>
          <w:rFonts w:eastAsia="Times New Roman" w:cs="Open Sans"/>
        </w:rPr>
        <w:t xml:space="preserve"> </w:t>
      </w:r>
      <w:r w:rsidRPr="07069484">
        <w:rPr>
          <w:rFonts w:eastAsia="Times New Roman" w:cs="Open Sans"/>
        </w:rPr>
        <w:t>Disability</w:t>
      </w:r>
      <w:r w:rsidR="00573BA7" w:rsidRPr="07069484">
        <w:rPr>
          <w:rFonts w:eastAsia="Times New Roman" w:cs="Open Sans"/>
        </w:rPr>
        <w:t xml:space="preserve"> </w:t>
      </w:r>
      <w:r w:rsidRPr="07069484">
        <w:rPr>
          <w:rFonts w:eastAsia="Times New Roman" w:cs="Open Sans"/>
        </w:rPr>
        <w:t>Discrimination</w:t>
      </w:r>
      <w:r w:rsidR="00573BA7" w:rsidRPr="07069484">
        <w:rPr>
          <w:rFonts w:eastAsia="Times New Roman" w:cs="Open Sans"/>
        </w:rPr>
        <w:t xml:space="preserve"> </w:t>
      </w:r>
      <w:r w:rsidRPr="07069484">
        <w:rPr>
          <w:rFonts w:eastAsia="Times New Roman" w:cs="Open Sans"/>
        </w:rPr>
        <w:t>Act</w:t>
      </w:r>
      <w:r w:rsidR="00573BA7" w:rsidRPr="07069484">
        <w:rPr>
          <w:rFonts w:eastAsia="Times New Roman" w:cs="Open Sans"/>
        </w:rPr>
        <w:t xml:space="preserve"> </w:t>
      </w:r>
      <w:r w:rsidRPr="07069484">
        <w:rPr>
          <w:rFonts w:eastAsia="Times New Roman" w:cs="Open Sans"/>
        </w:rPr>
        <w:t>requires</w:t>
      </w:r>
      <w:r w:rsidR="00573BA7" w:rsidRPr="07069484">
        <w:rPr>
          <w:rFonts w:eastAsia="Times New Roman" w:cs="Open Sans"/>
        </w:rPr>
        <w:t xml:space="preserve"> </w:t>
      </w:r>
      <w:r w:rsidRPr="07069484">
        <w:rPr>
          <w:rFonts w:eastAsia="Times New Roman" w:cs="Open Sans"/>
        </w:rPr>
        <w:t>a</w:t>
      </w:r>
      <w:r w:rsidR="00573BA7" w:rsidRPr="07069484">
        <w:rPr>
          <w:rFonts w:eastAsia="Times New Roman" w:cs="Open Sans"/>
        </w:rPr>
        <w:t xml:space="preserve"> </w:t>
      </w:r>
      <w:r w:rsidRPr="07069484">
        <w:rPr>
          <w:rFonts w:eastAsia="Times New Roman" w:cs="Open Sans"/>
        </w:rPr>
        <w:t>comparison</w:t>
      </w:r>
      <w:r w:rsidR="00573BA7" w:rsidRPr="07069484">
        <w:rPr>
          <w:rFonts w:eastAsia="Times New Roman" w:cs="Open Sans"/>
        </w:rPr>
        <w:t xml:space="preserve"> </w:t>
      </w:r>
      <w:r w:rsidRPr="07069484">
        <w:rPr>
          <w:rFonts w:eastAsia="Times New Roman" w:cs="Open Sans"/>
        </w:rPr>
        <w:t>to</w:t>
      </w:r>
      <w:r w:rsidR="00573BA7" w:rsidRPr="07069484">
        <w:rPr>
          <w:rFonts w:eastAsia="Times New Roman" w:cs="Open Sans"/>
        </w:rPr>
        <w:t xml:space="preserve"> </w:t>
      </w:r>
      <w:r w:rsidRPr="07069484">
        <w:rPr>
          <w:rFonts w:eastAsia="Times New Roman" w:cs="Open Sans"/>
        </w:rPr>
        <w:t>be</w:t>
      </w:r>
      <w:r w:rsidR="00573BA7" w:rsidRPr="07069484">
        <w:rPr>
          <w:rFonts w:eastAsia="Times New Roman" w:cs="Open Sans"/>
        </w:rPr>
        <w:t xml:space="preserve"> </w:t>
      </w:r>
      <w:r w:rsidRPr="07069484">
        <w:rPr>
          <w:rFonts w:eastAsia="Times New Roman" w:cs="Open Sans"/>
        </w:rPr>
        <w:t>made</w:t>
      </w:r>
      <w:r w:rsidR="00573BA7" w:rsidRPr="07069484">
        <w:rPr>
          <w:rFonts w:eastAsia="Times New Roman" w:cs="Open Sans"/>
        </w:rPr>
        <w:t xml:space="preserve"> </w:t>
      </w:r>
      <w:r w:rsidRPr="07069484">
        <w:rPr>
          <w:rFonts w:eastAsia="Times New Roman" w:cs="Open Sans"/>
        </w:rPr>
        <w:t>between</w:t>
      </w:r>
      <w:r w:rsidR="00573BA7" w:rsidRPr="07069484">
        <w:rPr>
          <w:rFonts w:eastAsia="Times New Roman" w:cs="Open Sans"/>
        </w:rPr>
        <w:t xml:space="preserve"> </w:t>
      </w:r>
      <w:r w:rsidRPr="07069484">
        <w:rPr>
          <w:rFonts w:eastAsia="Times New Roman" w:cs="Open Sans"/>
        </w:rPr>
        <w:t>the</w:t>
      </w:r>
      <w:r w:rsidR="00573BA7" w:rsidRPr="07069484">
        <w:rPr>
          <w:rFonts w:eastAsia="Times New Roman" w:cs="Open Sans"/>
        </w:rPr>
        <w:t xml:space="preserve"> </w:t>
      </w:r>
      <w:r w:rsidRPr="07069484">
        <w:rPr>
          <w:rFonts w:eastAsia="Times New Roman" w:cs="Open Sans"/>
        </w:rPr>
        <w:t>way</w:t>
      </w:r>
      <w:r w:rsidR="00573BA7" w:rsidRPr="07069484">
        <w:rPr>
          <w:rFonts w:eastAsia="Times New Roman" w:cs="Open Sans"/>
        </w:rPr>
        <w:t xml:space="preserve"> </w:t>
      </w:r>
      <w:r w:rsidRPr="07069484">
        <w:rPr>
          <w:rFonts w:eastAsia="Times New Roman" w:cs="Open Sans"/>
        </w:rPr>
        <w:t>in</w:t>
      </w:r>
      <w:r w:rsidR="00573BA7" w:rsidRPr="07069484">
        <w:rPr>
          <w:rFonts w:eastAsia="Times New Roman" w:cs="Open Sans"/>
        </w:rPr>
        <w:t xml:space="preserve"> </w:t>
      </w:r>
      <w:r w:rsidRPr="07069484">
        <w:rPr>
          <w:rFonts w:eastAsia="Times New Roman" w:cs="Open Sans"/>
        </w:rPr>
        <w:t>which</w:t>
      </w:r>
      <w:r w:rsidR="00573BA7" w:rsidRPr="07069484">
        <w:rPr>
          <w:rFonts w:eastAsia="Times New Roman" w:cs="Open Sans"/>
        </w:rPr>
        <w:t xml:space="preserve"> </w:t>
      </w:r>
      <w:r w:rsidRPr="07069484">
        <w:rPr>
          <w:rFonts w:eastAsia="Times New Roman" w:cs="Open Sans"/>
        </w:rPr>
        <w:t>a</w:t>
      </w:r>
      <w:r w:rsidR="00573BA7" w:rsidRPr="07069484">
        <w:rPr>
          <w:rFonts w:eastAsia="Times New Roman" w:cs="Open Sans"/>
        </w:rPr>
        <w:t xml:space="preserve"> </w:t>
      </w:r>
      <w:r w:rsidRPr="07069484">
        <w:rPr>
          <w:rFonts w:eastAsia="Times New Roman" w:cs="Open Sans"/>
        </w:rPr>
        <w:t>person</w:t>
      </w:r>
      <w:r w:rsidR="00573BA7" w:rsidRPr="07069484">
        <w:rPr>
          <w:rFonts w:eastAsia="Times New Roman" w:cs="Open Sans"/>
        </w:rPr>
        <w:t xml:space="preserve"> </w:t>
      </w:r>
      <w:r w:rsidRPr="07069484">
        <w:rPr>
          <w:rFonts w:eastAsia="Times New Roman" w:cs="Open Sans"/>
        </w:rPr>
        <w:t>with</w:t>
      </w:r>
      <w:r w:rsidR="00573BA7" w:rsidRPr="07069484">
        <w:rPr>
          <w:rFonts w:eastAsia="Times New Roman" w:cs="Open Sans"/>
        </w:rPr>
        <w:t xml:space="preserve"> </w:t>
      </w:r>
      <w:r w:rsidRPr="07069484">
        <w:rPr>
          <w:rFonts w:eastAsia="Times New Roman" w:cs="Open Sans"/>
        </w:rPr>
        <w:t>a</w:t>
      </w:r>
      <w:r w:rsidR="00573BA7" w:rsidRPr="07069484">
        <w:rPr>
          <w:rFonts w:eastAsia="Times New Roman" w:cs="Open Sans"/>
        </w:rPr>
        <w:t xml:space="preserve"> </w:t>
      </w:r>
      <w:r w:rsidRPr="07069484">
        <w:rPr>
          <w:rFonts w:eastAsia="Times New Roman" w:cs="Open Sans"/>
        </w:rPr>
        <w:t>particular</w:t>
      </w:r>
      <w:r w:rsidR="00573BA7" w:rsidRPr="07069484">
        <w:rPr>
          <w:rFonts w:eastAsia="Times New Roman" w:cs="Open Sans"/>
        </w:rPr>
        <w:t xml:space="preserve"> </w:t>
      </w:r>
      <w:r w:rsidRPr="07069484">
        <w:rPr>
          <w:rFonts w:eastAsia="Times New Roman" w:cs="Open Sans"/>
        </w:rPr>
        <w:t>disability</w:t>
      </w:r>
      <w:r w:rsidR="00573BA7" w:rsidRPr="07069484">
        <w:rPr>
          <w:rFonts w:eastAsia="Times New Roman" w:cs="Open Sans"/>
        </w:rPr>
        <w:t xml:space="preserve"> </w:t>
      </w:r>
      <w:r w:rsidRPr="07069484">
        <w:rPr>
          <w:rFonts w:eastAsia="Times New Roman" w:cs="Open Sans"/>
        </w:rPr>
        <w:t>is</w:t>
      </w:r>
      <w:r w:rsidR="00573BA7" w:rsidRPr="07069484">
        <w:rPr>
          <w:rFonts w:eastAsia="Times New Roman" w:cs="Open Sans"/>
        </w:rPr>
        <w:t xml:space="preserve"> </w:t>
      </w:r>
      <w:r w:rsidRPr="07069484">
        <w:rPr>
          <w:rFonts w:eastAsia="Times New Roman" w:cs="Open Sans"/>
        </w:rPr>
        <w:t>treated</w:t>
      </w:r>
      <w:r w:rsidR="00573BA7" w:rsidRPr="07069484">
        <w:rPr>
          <w:rFonts w:eastAsia="Times New Roman" w:cs="Open Sans"/>
        </w:rPr>
        <w:t xml:space="preserve"> </w:t>
      </w:r>
      <w:r w:rsidRPr="07069484">
        <w:rPr>
          <w:rFonts w:eastAsia="Times New Roman" w:cs="Open Sans"/>
        </w:rPr>
        <w:t>and</w:t>
      </w:r>
      <w:r w:rsidR="00573BA7" w:rsidRPr="07069484">
        <w:rPr>
          <w:rFonts w:eastAsia="Times New Roman" w:cs="Open Sans"/>
        </w:rPr>
        <w:t xml:space="preserve"> </w:t>
      </w:r>
      <w:r w:rsidRPr="07069484">
        <w:rPr>
          <w:rFonts w:eastAsia="Times New Roman" w:cs="Open Sans"/>
        </w:rPr>
        <w:t>the</w:t>
      </w:r>
      <w:r w:rsidR="00573BA7" w:rsidRPr="07069484">
        <w:rPr>
          <w:rFonts w:eastAsia="Times New Roman" w:cs="Open Sans"/>
        </w:rPr>
        <w:t xml:space="preserve"> </w:t>
      </w:r>
      <w:r w:rsidRPr="07069484">
        <w:rPr>
          <w:rFonts w:eastAsia="Times New Roman" w:cs="Open Sans"/>
        </w:rPr>
        <w:t>way</w:t>
      </w:r>
      <w:r w:rsidR="00573BA7" w:rsidRPr="07069484">
        <w:rPr>
          <w:rFonts w:eastAsia="Times New Roman" w:cs="Open Sans"/>
        </w:rPr>
        <w:t xml:space="preserve"> </w:t>
      </w:r>
      <w:r w:rsidRPr="07069484">
        <w:rPr>
          <w:rFonts w:eastAsia="Times New Roman" w:cs="Open Sans"/>
        </w:rPr>
        <w:t>in</w:t>
      </w:r>
      <w:r w:rsidR="00573BA7" w:rsidRPr="07069484">
        <w:rPr>
          <w:rFonts w:eastAsia="Times New Roman" w:cs="Open Sans"/>
        </w:rPr>
        <w:t xml:space="preserve"> </w:t>
      </w:r>
      <w:r w:rsidRPr="07069484">
        <w:rPr>
          <w:rFonts w:eastAsia="Times New Roman" w:cs="Open Sans"/>
        </w:rPr>
        <w:t>which</w:t>
      </w:r>
      <w:r w:rsidR="00573BA7" w:rsidRPr="07069484">
        <w:rPr>
          <w:rFonts w:eastAsia="Times New Roman" w:cs="Open Sans"/>
        </w:rPr>
        <w:t xml:space="preserve"> </w:t>
      </w:r>
      <w:r w:rsidRPr="07069484">
        <w:rPr>
          <w:rFonts w:eastAsia="Times New Roman" w:cs="Open Sans"/>
        </w:rPr>
        <w:t>a</w:t>
      </w:r>
      <w:r w:rsidR="00573BA7" w:rsidRPr="07069484">
        <w:rPr>
          <w:rFonts w:eastAsia="Times New Roman" w:cs="Open Sans"/>
        </w:rPr>
        <w:t xml:space="preserve"> </w:t>
      </w:r>
      <w:r w:rsidRPr="07069484">
        <w:rPr>
          <w:rFonts w:eastAsia="Times New Roman" w:cs="Open Sans"/>
        </w:rPr>
        <w:t>person</w:t>
      </w:r>
      <w:r w:rsidR="00573BA7" w:rsidRPr="07069484">
        <w:rPr>
          <w:rFonts w:eastAsia="Times New Roman" w:cs="Open Sans"/>
        </w:rPr>
        <w:t xml:space="preserve"> </w:t>
      </w:r>
      <w:r w:rsidRPr="07069484">
        <w:rPr>
          <w:rFonts w:eastAsia="Times New Roman" w:cs="Open Sans"/>
        </w:rPr>
        <w:t>without</w:t>
      </w:r>
      <w:r w:rsidR="00573BA7" w:rsidRPr="07069484">
        <w:rPr>
          <w:rFonts w:eastAsia="Times New Roman" w:cs="Open Sans"/>
        </w:rPr>
        <w:t xml:space="preserve"> </w:t>
      </w:r>
      <w:r w:rsidRPr="07069484">
        <w:rPr>
          <w:rFonts w:eastAsia="Times New Roman" w:cs="Open Sans"/>
        </w:rPr>
        <w:t>that</w:t>
      </w:r>
      <w:r w:rsidR="00573BA7" w:rsidRPr="07069484">
        <w:rPr>
          <w:rFonts w:eastAsia="Times New Roman" w:cs="Open Sans"/>
        </w:rPr>
        <w:t xml:space="preserve"> </w:t>
      </w:r>
      <w:r w:rsidRPr="07069484">
        <w:rPr>
          <w:rFonts w:eastAsia="Times New Roman" w:cs="Open Sans"/>
        </w:rPr>
        <w:t>disability</w:t>
      </w:r>
      <w:r w:rsidR="00573BA7" w:rsidRPr="07069484">
        <w:rPr>
          <w:rFonts w:eastAsia="Times New Roman" w:cs="Open Sans"/>
        </w:rPr>
        <w:t xml:space="preserve"> </w:t>
      </w:r>
      <w:r w:rsidRPr="07069484">
        <w:rPr>
          <w:rFonts w:eastAsia="Times New Roman" w:cs="Open Sans"/>
        </w:rPr>
        <w:t>would</w:t>
      </w:r>
      <w:r w:rsidR="00573BA7" w:rsidRPr="07069484">
        <w:rPr>
          <w:rFonts w:eastAsia="Times New Roman" w:cs="Open Sans"/>
        </w:rPr>
        <w:t xml:space="preserve"> </w:t>
      </w:r>
      <w:r w:rsidRPr="07069484">
        <w:rPr>
          <w:rFonts w:eastAsia="Times New Roman" w:cs="Open Sans"/>
        </w:rPr>
        <w:t>have</w:t>
      </w:r>
      <w:r w:rsidR="00573BA7" w:rsidRPr="07069484">
        <w:rPr>
          <w:rFonts w:eastAsia="Times New Roman" w:cs="Open Sans"/>
        </w:rPr>
        <w:t xml:space="preserve"> </w:t>
      </w:r>
      <w:r w:rsidRPr="07069484">
        <w:rPr>
          <w:rFonts w:eastAsia="Times New Roman" w:cs="Open Sans"/>
        </w:rPr>
        <w:t>been</w:t>
      </w:r>
      <w:r w:rsidR="00573BA7" w:rsidRPr="07069484">
        <w:rPr>
          <w:rFonts w:eastAsia="Times New Roman" w:cs="Open Sans"/>
        </w:rPr>
        <w:t xml:space="preserve"> </w:t>
      </w:r>
      <w:r w:rsidRPr="07069484">
        <w:rPr>
          <w:rFonts w:eastAsia="Times New Roman" w:cs="Open Sans"/>
        </w:rPr>
        <w:t>treated</w:t>
      </w:r>
      <w:r w:rsidR="006231A4" w:rsidRPr="07069484">
        <w:rPr>
          <w:rFonts w:eastAsia="Times New Roman" w:cs="Open Sans"/>
        </w:rPr>
        <w:t>,</w:t>
      </w:r>
      <w:r w:rsidR="00573BA7" w:rsidRPr="07069484">
        <w:rPr>
          <w:rFonts w:eastAsia="Times New Roman" w:cs="Open Sans"/>
        </w:rPr>
        <w:t xml:space="preserve"> </w:t>
      </w:r>
      <w:r w:rsidRPr="07069484">
        <w:rPr>
          <w:rFonts w:eastAsia="Times New Roman" w:cs="Open Sans"/>
        </w:rPr>
        <w:t>in</w:t>
      </w:r>
      <w:r w:rsidR="00573BA7" w:rsidRPr="07069484">
        <w:rPr>
          <w:rFonts w:eastAsia="Times New Roman" w:cs="Open Sans"/>
        </w:rPr>
        <w:t xml:space="preserve"> </w:t>
      </w:r>
      <w:r w:rsidRPr="07069484">
        <w:rPr>
          <w:rFonts w:eastAsia="Times New Roman" w:cs="Open Sans"/>
        </w:rPr>
        <w:t>circumstances</w:t>
      </w:r>
      <w:r w:rsidR="00573BA7" w:rsidRPr="07069484">
        <w:rPr>
          <w:rFonts w:eastAsia="Times New Roman" w:cs="Open Sans"/>
        </w:rPr>
        <w:t xml:space="preserve"> </w:t>
      </w:r>
      <w:r w:rsidRPr="07069484">
        <w:rPr>
          <w:rFonts w:eastAsia="Times New Roman" w:cs="Open Sans"/>
        </w:rPr>
        <w:t>that</w:t>
      </w:r>
      <w:r w:rsidR="00573BA7" w:rsidRPr="07069484">
        <w:rPr>
          <w:rFonts w:eastAsia="Times New Roman" w:cs="Open Sans"/>
        </w:rPr>
        <w:t xml:space="preserve"> </w:t>
      </w:r>
      <w:r w:rsidRPr="07069484">
        <w:rPr>
          <w:rFonts w:eastAsia="Times New Roman" w:cs="Open Sans"/>
        </w:rPr>
        <w:t>are</w:t>
      </w:r>
      <w:r w:rsidR="00573BA7" w:rsidRPr="07069484">
        <w:rPr>
          <w:rFonts w:eastAsia="Times New Roman" w:cs="Open Sans"/>
        </w:rPr>
        <w:t xml:space="preserve"> </w:t>
      </w:r>
      <w:r w:rsidRPr="07069484">
        <w:rPr>
          <w:rFonts w:eastAsia="Times New Roman" w:cs="Open Sans"/>
        </w:rPr>
        <w:t>materially</w:t>
      </w:r>
      <w:r w:rsidR="00573BA7" w:rsidRPr="07069484">
        <w:rPr>
          <w:rFonts w:eastAsia="Times New Roman" w:cs="Open Sans"/>
        </w:rPr>
        <w:t xml:space="preserve"> </w:t>
      </w:r>
      <w:r w:rsidRPr="07069484">
        <w:rPr>
          <w:rFonts w:eastAsia="Times New Roman" w:cs="Open Sans"/>
        </w:rPr>
        <w:t>the</w:t>
      </w:r>
      <w:r w:rsidR="00573BA7" w:rsidRPr="07069484">
        <w:rPr>
          <w:rFonts w:eastAsia="Times New Roman" w:cs="Open Sans"/>
        </w:rPr>
        <w:t xml:space="preserve"> </w:t>
      </w:r>
      <w:r w:rsidRPr="07069484">
        <w:rPr>
          <w:rFonts w:eastAsia="Times New Roman" w:cs="Open Sans"/>
        </w:rPr>
        <w:t>same.</w:t>
      </w:r>
    </w:p>
    <w:p w14:paraId="47E61F96" w14:textId="282F3DC9" w:rsidR="005438F7" w:rsidRPr="003F4CE1" w:rsidRDefault="005438F7" w:rsidP="00662F4B">
      <w:pPr>
        <w:pStyle w:val="ListNumber"/>
        <w:rPr>
          <w:rFonts w:eastAsia="Times New Roman" w:cs="Open Sans"/>
        </w:rPr>
      </w:pPr>
      <w:r w:rsidRPr="07069484">
        <w:rPr>
          <w:rFonts w:eastAsia="Times New Roman" w:cs="Open Sans"/>
        </w:rPr>
        <w:t>The</w:t>
      </w:r>
      <w:r w:rsidR="00573BA7" w:rsidRPr="07069484">
        <w:rPr>
          <w:rFonts w:eastAsia="Times New Roman" w:cs="Open Sans"/>
        </w:rPr>
        <w:t xml:space="preserve"> </w:t>
      </w:r>
      <w:r w:rsidR="006231A4" w:rsidRPr="07069484">
        <w:rPr>
          <w:rFonts w:eastAsia="Times New Roman" w:cs="Open Sans"/>
        </w:rPr>
        <w:t xml:space="preserve">Commission is concerned that the </w:t>
      </w:r>
      <w:r w:rsidRPr="07069484">
        <w:rPr>
          <w:rFonts w:eastAsia="Times New Roman" w:cs="Open Sans"/>
        </w:rPr>
        <w:t>comparator</w:t>
      </w:r>
      <w:r w:rsidR="00573BA7" w:rsidRPr="07069484">
        <w:rPr>
          <w:rFonts w:eastAsia="Times New Roman" w:cs="Open Sans"/>
        </w:rPr>
        <w:t xml:space="preserve"> </w:t>
      </w:r>
      <w:r w:rsidRPr="07069484">
        <w:rPr>
          <w:rFonts w:eastAsia="Times New Roman" w:cs="Open Sans"/>
        </w:rPr>
        <w:t>test</w:t>
      </w:r>
      <w:r w:rsidR="00573BA7" w:rsidRPr="07069484">
        <w:rPr>
          <w:rFonts w:eastAsia="Times New Roman" w:cs="Open Sans"/>
        </w:rPr>
        <w:t xml:space="preserve"> </w:t>
      </w:r>
      <w:r w:rsidRPr="07069484">
        <w:rPr>
          <w:rFonts w:eastAsia="Times New Roman" w:cs="Open Sans"/>
        </w:rPr>
        <w:t>result</w:t>
      </w:r>
      <w:r w:rsidR="00BD0D27" w:rsidRPr="07069484">
        <w:rPr>
          <w:rFonts w:eastAsia="Times New Roman" w:cs="Open Sans"/>
        </w:rPr>
        <w:t>s</w:t>
      </w:r>
      <w:r w:rsidR="00573BA7" w:rsidRPr="07069484">
        <w:rPr>
          <w:rFonts w:eastAsia="Times New Roman" w:cs="Open Sans"/>
        </w:rPr>
        <w:t xml:space="preserve"> </w:t>
      </w:r>
      <w:r w:rsidRPr="07069484">
        <w:rPr>
          <w:rFonts w:eastAsia="Times New Roman" w:cs="Open Sans"/>
        </w:rPr>
        <w:t>in</w:t>
      </w:r>
      <w:r w:rsidR="00573BA7" w:rsidRPr="07069484">
        <w:rPr>
          <w:rFonts w:eastAsia="Times New Roman" w:cs="Open Sans"/>
        </w:rPr>
        <w:t xml:space="preserve"> </w:t>
      </w:r>
      <w:r w:rsidRPr="07069484">
        <w:rPr>
          <w:rFonts w:eastAsia="Times New Roman" w:cs="Open Sans"/>
        </w:rPr>
        <w:t>uncertainty</w:t>
      </w:r>
      <w:r w:rsidR="00573BA7" w:rsidRPr="07069484">
        <w:rPr>
          <w:rFonts w:eastAsia="Times New Roman" w:cs="Open Sans"/>
        </w:rPr>
        <w:t xml:space="preserve"> </w:t>
      </w:r>
      <w:r w:rsidRPr="07069484">
        <w:rPr>
          <w:rFonts w:eastAsia="Times New Roman" w:cs="Open Sans"/>
        </w:rPr>
        <w:t>and</w:t>
      </w:r>
      <w:r w:rsidR="00573BA7" w:rsidRPr="07069484">
        <w:rPr>
          <w:rFonts w:eastAsia="Times New Roman" w:cs="Open Sans"/>
        </w:rPr>
        <w:t xml:space="preserve"> </w:t>
      </w:r>
      <w:r w:rsidRPr="07069484">
        <w:rPr>
          <w:rFonts w:eastAsia="Times New Roman" w:cs="Open Sans"/>
        </w:rPr>
        <w:t>impracticality</w:t>
      </w:r>
      <w:r w:rsidR="00573BA7" w:rsidRPr="07069484">
        <w:rPr>
          <w:rFonts w:eastAsia="Times New Roman" w:cs="Open Sans"/>
        </w:rPr>
        <w:t xml:space="preserve"> </w:t>
      </w:r>
      <w:r w:rsidRPr="07069484">
        <w:rPr>
          <w:rFonts w:eastAsia="Times New Roman" w:cs="Open Sans"/>
        </w:rPr>
        <w:t>for</w:t>
      </w:r>
      <w:r w:rsidR="00573BA7" w:rsidRPr="07069484">
        <w:rPr>
          <w:rFonts w:eastAsia="Times New Roman" w:cs="Open Sans"/>
        </w:rPr>
        <w:t xml:space="preserve"> </w:t>
      </w:r>
      <w:r w:rsidRPr="07069484">
        <w:rPr>
          <w:rFonts w:eastAsia="Times New Roman" w:cs="Open Sans"/>
        </w:rPr>
        <w:t>people</w:t>
      </w:r>
      <w:r w:rsidR="00573BA7" w:rsidRPr="07069484">
        <w:rPr>
          <w:rFonts w:eastAsia="Times New Roman" w:cs="Open Sans"/>
        </w:rPr>
        <w:t xml:space="preserve"> </w:t>
      </w:r>
      <w:r w:rsidRPr="07069484">
        <w:rPr>
          <w:rFonts w:eastAsia="Times New Roman" w:cs="Open Sans"/>
        </w:rPr>
        <w:t>with</w:t>
      </w:r>
      <w:r w:rsidR="00573BA7" w:rsidRPr="07069484">
        <w:rPr>
          <w:rFonts w:eastAsia="Times New Roman" w:cs="Open Sans"/>
        </w:rPr>
        <w:t xml:space="preserve"> </w:t>
      </w:r>
      <w:r w:rsidRPr="07069484">
        <w:rPr>
          <w:rFonts w:eastAsia="Times New Roman" w:cs="Open Sans"/>
        </w:rPr>
        <w:t>disability</w:t>
      </w:r>
      <w:r w:rsidR="005D3CCA" w:rsidRPr="07069484">
        <w:rPr>
          <w:rFonts w:eastAsia="Times New Roman" w:cs="Open Sans"/>
        </w:rPr>
        <w:t>, as noted by the Attorney-General’s Department</w:t>
      </w:r>
      <w:r w:rsidRPr="07069484">
        <w:rPr>
          <w:rFonts w:eastAsia="Times New Roman" w:cs="Open Sans"/>
        </w:rPr>
        <w:t>:</w:t>
      </w:r>
    </w:p>
    <w:p w14:paraId="2C520813" w14:textId="626490B3" w:rsidR="00DD5D5D" w:rsidRPr="007B537E" w:rsidRDefault="005438F7" w:rsidP="007B537E">
      <w:pPr>
        <w:ind w:left="720"/>
        <w:textAlignment w:val="baseline"/>
        <w:rPr>
          <w:rFonts w:eastAsia="Times New Roman" w:cs="Open Sans"/>
          <w:sz w:val="22"/>
          <w:szCs w:val="22"/>
        </w:rPr>
      </w:pPr>
      <w:r w:rsidRPr="007B537E">
        <w:rPr>
          <w:rFonts w:eastAsia="Times New Roman" w:cs="Open Sans"/>
          <w:sz w:val="22"/>
          <w:szCs w:val="22"/>
        </w:rPr>
        <w:t>In</w:t>
      </w:r>
      <w:r w:rsidR="00573BA7" w:rsidRPr="007B537E">
        <w:rPr>
          <w:rFonts w:eastAsia="Times New Roman" w:cs="Open Sans"/>
          <w:sz w:val="22"/>
          <w:szCs w:val="22"/>
        </w:rPr>
        <w:t xml:space="preserve"> </w:t>
      </w:r>
      <w:r w:rsidRPr="007B537E">
        <w:rPr>
          <w:rFonts w:eastAsia="Times New Roman" w:cs="Open Sans"/>
          <w:sz w:val="22"/>
          <w:szCs w:val="22"/>
        </w:rPr>
        <w:t>many</w:t>
      </w:r>
      <w:r w:rsidR="00573BA7" w:rsidRPr="007B537E">
        <w:rPr>
          <w:rFonts w:eastAsia="Times New Roman" w:cs="Open Sans"/>
          <w:sz w:val="22"/>
          <w:szCs w:val="22"/>
        </w:rPr>
        <w:t xml:space="preserve"> </w:t>
      </w:r>
      <w:r w:rsidRPr="007B537E">
        <w:rPr>
          <w:rFonts w:eastAsia="Times New Roman" w:cs="Open Sans"/>
          <w:sz w:val="22"/>
          <w:szCs w:val="22"/>
        </w:rPr>
        <w:t>cases,</w:t>
      </w:r>
      <w:r w:rsidR="00573BA7" w:rsidRPr="007B537E">
        <w:rPr>
          <w:rFonts w:eastAsia="Times New Roman" w:cs="Open Sans"/>
          <w:sz w:val="22"/>
          <w:szCs w:val="22"/>
        </w:rPr>
        <w:t xml:space="preserve"> </w:t>
      </w:r>
      <w:r w:rsidRPr="007B537E">
        <w:rPr>
          <w:rFonts w:eastAsia="Times New Roman" w:cs="Open Sans"/>
          <w:sz w:val="22"/>
          <w:szCs w:val="22"/>
        </w:rPr>
        <w:t>there</w:t>
      </w:r>
      <w:r w:rsidR="00573BA7" w:rsidRPr="007B537E">
        <w:rPr>
          <w:rFonts w:eastAsia="Times New Roman" w:cs="Open Sans"/>
          <w:sz w:val="22"/>
          <w:szCs w:val="22"/>
        </w:rPr>
        <w:t xml:space="preserve"> </w:t>
      </w:r>
      <w:r w:rsidRPr="007B537E">
        <w:rPr>
          <w:rFonts w:eastAsia="Times New Roman" w:cs="Open Sans"/>
          <w:sz w:val="22"/>
          <w:szCs w:val="22"/>
        </w:rPr>
        <w:t>will</w:t>
      </w:r>
      <w:r w:rsidR="00573BA7" w:rsidRPr="007B537E">
        <w:rPr>
          <w:rFonts w:eastAsia="Times New Roman" w:cs="Open Sans"/>
          <w:sz w:val="22"/>
          <w:szCs w:val="22"/>
        </w:rPr>
        <w:t xml:space="preserve"> </w:t>
      </w:r>
      <w:r w:rsidRPr="007B537E">
        <w:rPr>
          <w:rFonts w:eastAsia="Times New Roman" w:cs="Open Sans"/>
          <w:sz w:val="22"/>
          <w:szCs w:val="22"/>
        </w:rPr>
        <w:t>not</w:t>
      </w:r>
      <w:r w:rsidR="00573BA7" w:rsidRPr="007B537E">
        <w:rPr>
          <w:rFonts w:eastAsia="Times New Roman" w:cs="Open Sans"/>
          <w:sz w:val="22"/>
          <w:szCs w:val="22"/>
        </w:rPr>
        <w:t xml:space="preserve"> </w:t>
      </w:r>
      <w:r w:rsidRPr="007B537E">
        <w:rPr>
          <w:rFonts w:eastAsia="Times New Roman" w:cs="Open Sans"/>
          <w:sz w:val="22"/>
          <w:szCs w:val="22"/>
        </w:rPr>
        <w:t>be</w:t>
      </w:r>
      <w:r w:rsidR="00573BA7" w:rsidRPr="007B537E">
        <w:rPr>
          <w:rFonts w:eastAsia="Times New Roman" w:cs="Open Sans"/>
          <w:sz w:val="22"/>
          <w:szCs w:val="22"/>
        </w:rPr>
        <w:t xml:space="preserve"> </w:t>
      </w:r>
      <w:r w:rsidRPr="007B537E">
        <w:rPr>
          <w:rFonts w:eastAsia="Times New Roman" w:cs="Open Sans"/>
          <w:sz w:val="22"/>
          <w:szCs w:val="22"/>
        </w:rPr>
        <w:t>a</w:t>
      </w:r>
      <w:r w:rsidR="00573BA7" w:rsidRPr="007B537E">
        <w:rPr>
          <w:rFonts w:eastAsia="Times New Roman" w:cs="Open Sans"/>
          <w:sz w:val="22"/>
          <w:szCs w:val="22"/>
        </w:rPr>
        <w:t xml:space="preserve"> </w:t>
      </w:r>
      <w:r w:rsidRPr="007B537E">
        <w:rPr>
          <w:rFonts w:eastAsia="Times New Roman" w:cs="Open Sans"/>
          <w:sz w:val="22"/>
          <w:szCs w:val="22"/>
        </w:rPr>
        <w:t>suitable</w:t>
      </w:r>
      <w:r w:rsidR="00573BA7" w:rsidRPr="007B537E">
        <w:rPr>
          <w:rFonts w:eastAsia="Times New Roman" w:cs="Open Sans"/>
          <w:sz w:val="22"/>
          <w:szCs w:val="22"/>
        </w:rPr>
        <w:t xml:space="preserve"> </w:t>
      </w:r>
      <w:r w:rsidRPr="007B537E">
        <w:rPr>
          <w:rFonts w:eastAsia="Times New Roman" w:cs="Open Sans"/>
          <w:sz w:val="22"/>
          <w:szCs w:val="22"/>
        </w:rPr>
        <w:t>comparator</w:t>
      </w:r>
      <w:r w:rsidR="00573BA7" w:rsidRPr="007B537E">
        <w:rPr>
          <w:rFonts w:eastAsia="Times New Roman" w:cs="Open Sans"/>
          <w:sz w:val="22"/>
          <w:szCs w:val="22"/>
        </w:rPr>
        <w:t xml:space="preserve"> </w:t>
      </w:r>
      <w:r w:rsidRPr="007B537E">
        <w:rPr>
          <w:rFonts w:eastAsia="Times New Roman" w:cs="Open Sans"/>
          <w:sz w:val="22"/>
          <w:szCs w:val="22"/>
        </w:rPr>
        <w:t>for</w:t>
      </w:r>
      <w:r w:rsidR="00573BA7" w:rsidRPr="007B537E">
        <w:rPr>
          <w:rFonts w:eastAsia="Times New Roman" w:cs="Open Sans"/>
          <w:sz w:val="22"/>
          <w:szCs w:val="22"/>
        </w:rPr>
        <w:t xml:space="preserve"> </w:t>
      </w:r>
      <w:r w:rsidRPr="007B537E">
        <w:rPr>
          <w:rFonts w:eastAsia="Times New Roman" w:cs="Open Sans"/>
          <w:sz w:val="22"/>
          <w:szCs w:val="22"/>
        </w:rPr>
        <w:t>the</w:t>
      </w:r>
      <w:r w:rsidR="00573BA7" w:rsidRPr="007B537E">
        <w:rPr>
          <w:rFonts w:eastAsia="Times New Roman" w:cs="Open Sans"/>
          <w:sz w:val="22"/>
          <w:szCs w:val="22"/>
        </w:rPr>
        <w:t xml:space="preserve"> </w:t>
      </w:r>
      <w:r w:rsidRPr="007B537E">
        <w:rPr>
          <w:rFonts w:eastAsia="Times New Roman" w:cs="Open Sans"/>
          <w:sz w:val="22"/>
          <w:szCs w:val="22"/>
        </w:rPr>
        <w:t>complainant,</w:t>
      </w:r>
      <w:r w:rsidR="00573BA7" w:rsidRPr="007B537E">
        <w:rPr>
          <w:rFonts w:eastAsia="Times New Roman" w:cs="Open Sans"/>
          <w:sz w:val="22"/>
          <w:szCs w:val="22"/>
        </w:rPr>
        <w:t xml:space="preserve"> </w:t>
      </w:r>
      <w:r w:rsidRPr="007B537E">
        <w:rPr>
          <w:rFonts w:eastAsia="Times New Roman" w:cs="Open Sans"/>
          <w:sz w:val="22"/>
          <w:szCs w:val="22"/>
        </w:rPr>
        <w:t>and</w:t>
      </w:r>
      <w:r w:rsidR="00573BA7" w:rsidRPr="007B537E">
        <w:rPr>
          <w:rFonts w:eastAsia="Times New Roman" w:cs="Open Sans"/>
          <w:sz w:val="22"/>
          <w:szCs w:val="22"/>
        </w:rPr>
        <w:t xml:space="preserve"> </w:t>
      </w:r>
      <w:r w:rsidRPr="007B537E">
        <w:rPr>
          <w:rFonts w:eastAsia="Times New Roman" w:cs="Open Sans"/>
          <w:sz w:val="22"/>
          <w:szCs w:val="22"/>
        </w:rPr>
        <w:t>courts</w:t>
      </w:r>
      <w:r w:rsidR="00573BA7" w:rsidRPr="007B537E">
        <w:rPr>
          <w:rFonts w:eastAsia="Times New Roman" w:cs="Open Sans"/>
          <w:sz w:val="22"/>
          <w:szCs w:val="22"/>
        </w:rPr>
        <w:t xml:space="preserve"> </w:t>
      </w:r>
      <w:r w:rsidRPr="007B537E">
        <w:rPr>
          <w:rFonts w:eastAsia="Times New Roman" w:cs="Open Sans"/>
          <w:sz w:val="22"/>
          <w:szCs w:val="22"/>
        </w:rPr>
        <w:t>have</w:t>
      </w:r>
      <w:r w:rsidR="00573BA7" w:rsidRPr="007B537E">
        <w:rPr>
          <w:rFonts w:eastAsia="Times New Roman" w:cs="Open Sans"/>
          <w:sz w:val="22"/>
          <w:szCs w:val="22"/>
        </w:rPr>
        <w:t xml:space="preserve"> </w:t>
      </w:r>
      <w:r w:rsidRPr="007B537E">
        <w:rPr>
          <w:rFonts w:eastAsia="Times New Roman" w:cs="Open Sans"/>
          <w:sz w:val="22"/>
          <w:szCs w:val="22"/>
        </w:rPr>
        <w:t>therefore</w:t>
      </w:r>
      <w:r w:rsidR="00573BA7" w:rsidRPr="007B537E">
        <w:rPr>
          <w:rFonts w:eastAsia="Times New Roman" w:cs="Open Sans"/>
          <w:sz w:val="22"/>
          <w:szCs w:val="22"/>
        </w:rPr>
        <w:t xml:space="preserve"> </w:t>
      </w:r>
      <w:r w:rsidRPr="007B537E">
        <w:rPr>
          <w:rFonts w:eastAsia="Times New Roman" w:cs="Open Sans"/>
          <w:sz w:val="22"/>
          <w:szCs w:val="22"/>
        </w:rPr>
        <w:t>relied</w:t>
      </w:r>
      <w:r w:rsidR="00573BA7" w:rsidRPr="007B537E">
        <w:rPr>
          <w:rFonts w:eastAsia="Times New Roman" w:cs="Open Sans"/>
          <w:sz w:val="22"/>
          <w:szCs w:val="22"/>
        </w:rPr>
        <w:t xml:space="preserve"> </w:t>
      </w:r>
      <w:r w:rsidRPr="007B537E">
        <w:rPr>
          <w:rFonts w:eastAsia="Times New Roman" w:cs="Open Sans"/>
          <w:sz w:val="22"/>
          <w:szCs w:val="22"/>
        </w:rPr>
        <w:t>on</w:t>
      </w:r>
      <w:r w:rsidR="00573BA7" w:rsidRPr="007B537E">
        <w:rPr>
          <w:rFonts w:eastAsia="Times New Roman" w:cs="Open Sans"/>
          <w:sz w:val="22"/>
          <w:szCs w:val="22"/>
        </w:rPr>
        <w:t xml:space="preserve"> </w:t>
      </w:r>
      <w:r w:rsidRPr="007B537E">
        <w:rPr>
          <w:rFonts w:eastAsia="Times New Roman" w:cs="Open Sans"/>
          <w:sz w:val="22"/>
          <w:szCs w:val="22"/>
        </w:rPr>
        <w:t>identifying</w:t>
      </w:r>
      <w:r w:rsidR="00573BA7" w:rsidRPr="007B537E">
        <w:rPr>
          <w:rFonts w:eastAsia="Times New Roman" w:cs="Open Sans"/>
          <w:sz w:val="22"/>
          <w:szCs w:val="22"/>
        </w:rPr>
        <w:t xml:space="preserve"> </w:t>
      </w:r>
      <w:r w:rsidRPr="007B537E">
        <w:rPr>
          <w:rFonts w:eastAsia="Times New Roman" w:cs="Open Sans"/>
          <w:sz w:val="22"/>
          <w:szCs w:val="22"/>
        </w:rPr>
        <w:t>a</w:t>
      </w:r>
      <w:r w:rsidR="00573BA7" w:rsidRPr="007B537E">
        <w:rPr>
          <w:rFonts w:eastAsia="Times New Roman" w:cs="Open Sans"/>
          <w:sz w:val="22"/>
          <w:szCs w:val="22"/>
        </w:rPr>
        <w:t xml:space="preserve"> </w:t>
      </w:r>
      <w:r w:rsidRPr="007B537E">
        <w:rPr>
          <w:rFonts w:eastAsia="Times New Roman" w:cs="Open Sans"/>
          <w:sz w:val="22"/>
          <w:szCs w:val="22"/>
        </w:rPr>
        <w:t>hypothetical</w:t>
      </w:r>
      <w:r w:rsidR="00573BA7" w:rsidRPr="007B537E">
        <w:rPr>
          <w:rFonts w:eastAsia="Times New Roman" w:cs="Open Sans"/>
          <w:sz w:val="22"/>
          <w:szCs w:val="22"/>
        </w:rPr>
        <w:t xml:space="preserve"> </w:t>
      </w:r>
      <w:r w:rsidRPr="007B537E">
        <w:rPr>
          <w:rFonts w:eastAsia="Times New Roman" w:cs="Open Sans"/>
          <w:sz w:val="22"/>
          <w:szCs w:val="22"/>
        </w:rPr>
        <w:t>comparator,</w:t>
      </w:r>
      <w:r w:rsidR="00573BA7" w:rsidRPr="007B537E">
        <w:rPr>
          <w:rFonts w:eastAsia="Times New Roman" w:cs="Open Sans"/>
          <w:sz w:val="22"/>
          <w:szCs w:val="22"/>
        </w:rPr>
        <w:t xml:space="preserve"> </w:t>
      </w:r>
      <w:r w:rsidRPr="007B537E">
        <w:rPr>
          <w:rFonts w:eastAsia="Times New Roman" w:cs="Open Sans"/>
          <w:sz w:val="22"/>
          <w:szCs w:val="22"/>
        </w:rPr>
        <w:t>and</w:t>
      </w:r>
      <w:r w:rsidR="00573BA7" w:rsidRPr="007B537E">
        <w:rPr>
          <w:rFonts w:eastAsia="Times New Roman" w:cs="Open Sans"/>
          <w:sz w:val="22"/>
          <w:szCs w:val="22"/>
        </w:rPr>
        <w:t xml:space="preserve"> </w:t>
      </w:r>
      <w:r w:rsidRPr="007B537E">
        <w:rPr>
          <w:rFonts w:eastAsia="Times New Roman" w:cs="Open Sans"/>
          <w:sz w:val="22"/>
          <w:szCs w:val="22"/>
        </w:rPr>
        <w:t>reconstructing</w:t>
      </w:r>
      <w:r w:rsidR="00573BA7" w:rsidRPr="007B537E">
        <w:rPr>
          <w:rFonts w:eastAsia="Times New Roman" w:cs="Open Sans"/>
          <w:sz w:val="22"/>
          <w:szCs w:val="22"/>
        </w:rPr>
        <w:t xml:space="preserve"> </w:t>
      </w:r>
      <w:r w:rsidRPr="007B537E">
        <w:rPr>
          <w:rFonts w:eastAsia="Times New Roman" w:cs="Open Sans"/>
          <w:sz w:val="22"/>
          <w:szCs w:val="22"/>
        </w:rPr>
        <w:t>how</w:t>
      </w:r>
      <w:r w:rsidR="00573BA7" w:rsidRPr="007B537E">
        <w:rPr>
          <w:rFonts w:eastAsia="Times New Roman" w:cs="Open Sans"/>
          <w:sz w:val="22"/>
          <w:szCs w:val="22"/>
        </w:rPr>
        <w:t xml:space="preserve"> </w:t>
      </w:r>
      <w:r w:rsidRPr="007B537E">
        <w:rPr>
          <w:rFonts w:eastAsia="Times New Roman" w:cs="Open Sans"/>
          <w:sz w:val="22"/>
          <w:szCs w:val="22"/>
        </w:rPr>
        <w:t>the</w:t>
      </w:r>
      <w:r w:rsidR="00573BA7" w:rsidRPr="007B537E">
        <w:rPr>
          <w:rFonts w:eastAsia="Times New Roman" w:cs="Open Sans"/>
          <w:sz w:val="22"/>
          <w:szCs w:val="22"/>
        </w:rPr>
        <w:t xml:space="preserve"> </w:t>
      </w:r>
      <w:r w:rsidRPr="007B537E">
        <w:rPr>
          <w:rFonts w:eastAsia="Times New Roman" w:cs="Open Sans"/>
          <w:sz w:val="22"/>
          <w:szCs w:val="22"/>
        </w:rPr>
        <w:t>discriminator</w:t>
      </w:r>
      <w:r w:rsidR="00573BA7" w:rsidRPr="007B537E">
        <w:rPr>
          <w:rFonts w:eastAsia="Times New Roman" w:cs="Open Sans"/>
          <w:sz w:val="22"/>
          <w:szCs w:val="22"/>
        </w:rPr>
        <w:t xml:space="preserve"> </w:t>
      </w:r>
      <w:r w:rsidRPr="007B537E">
        <w:rPr>
          <w:rFonts w:eastAsia="Times New Roman" w:cs="Open Sans"/>
          <w:sz w:val="22"/>
          <w:szCs w:val="22"/>
        </w:rPr>
        <w:t>might</w:t>
      </w:r>
      <w:r w:rsidR="00573BA7" w:rsidRPr="007B537E">
        <w:rPr>
          <w:rFonts w:eastAsia="Times New Roman" w:cs="Open Sans"/>
          <w:sz w:val="22"/>
          <w:szCs w:val="22"/>
        </w:rPr>
        <w:t xml:space="preserve"> </w:t>
      </w:r>
      <w:r w:rsidRPr="007B537E">
        <w:rPr>
          <w:rFonts w:eastAsia="Times New Roman" w:cs="Open Sans"/>
          <w:sz w:val="22"/>
          <w:szCs w:val="22"/>
        </w:rPr>
        <w:t>have</w:t>
      </w:r>
      <w:r w:rsidR="00573BA7" w:rsidRPr="007B537E">
        <w:rPr>
          <w:rFonts w:eastAsia="Times New Roman" w:cs="Open Sans"/>
          <w:sz w:val="22"/>
          <w:szCs w:val="22"/>
        </w:rPr>
        <w:t xml:space="preserve"> </w:t>
      </w:r>
      <w:r w:rsidRPr="007B537E">
        <w:rPr>
          <w:rFonts w:eastAsia="Times New Roman" w:cs="Open Sans"/>
          <w:sz w:val="22"/>
          <w:szCs w:val="22"/>
        </w:rPr>
        <w:t>treated</w:t>
      </w:r>
      <w:r w:rsidR="00573BA7" w:rsidRPr="007B537E">
        <w:rPr>
          <w:rFonts w:eastAsia="Times New Roman" w:cs="Open Sans"/>
          <w:sz w:val="22"/>
          <w:szCs w:val="22"/>
        </w:rPr>
        <w:t xml:space="preserve"> </w:t>
      </w:r>
      <w:r w:rsidRPr="007B537E">
        <w:rPr>
          <w:rFonts w:eastAsia="Times New Roman" w:cs="Open Sans"/>
          <w:sz w:val="22"/>
          <w:szCs w:val="22"/>
        </w:rPr>
        <w:t>them.</w:t>
      </w:r>
      <w:r w:rsidR="00573BA7" w:rsidRPr="007B537E">
        <w:rPr>
          <w:rFonts w:eastAsia="Times New Roman" w:cs="Open Sans"/>
          <w:sz w:val="22"/>
          <w:szCs w:val="22"/>
        </w:rPr>
        <w:t xml:space="preserve"> </w:t>
      </w:r>
      <w:r w:rsidRPr="007B537E">
        <w:rPr>
          <w:rFonts w:eastAsia="Times New Roman" w:cs="Open Sans"/>
          <w:sz w:val="22"/>
          <w:szCs w:val="22"/>
        </w:rPr>
        <w:t>Cases</w:t>
      </w:r>
      <w:r w:rsidR="00573BA7" w:rsidRPr="007B537E">
        <w:rPr>
          <w:rFonts w:eastAsia="Times New Roman" w:cs="Open Sans"/>
          <w:sz w:val="22"/>
          <w:szCs w:val="22"/>
        </w:rPr>
        <w:t xml:space="preserve"> </w:t>
      </w:r>
      <w:r w:rsidRPr="007B537E">
        <w:rPr>
          <w:rFonts w:eastAsia="Times New Roman" w:cs="Open Sans"/>
          <w:sz w:val="22"/>
          <w:szCs w:val="22"/>
        </w:rPr>
        <w:t>regularly</w:t>
      </w:r>
      <w:r w:rsidR="00573BA7" w:rsidRPr="007B537E">
        <w:rPr>
          <w:rFonts w:eastAsia="Times New Roman" w:cs="Open Sans"/>
          <w:sz w:val="22"/>
          <w:szCs w:val="22"/>
        </w:rPr>
        <w:t xml:space="preserve"> </w:t>
      </w:r>
      <w:r w:rsidRPr="007B537E">
        <w:rPr>
          <w:rFonts w:eastAsia="Times New Roman" w:cs="Open Sans"/>
          <w:sz w:val="22"/>
          <w:szCs w:val="22"/>
        </w:rPr>
        <w:t>turn</w:t>
      </w:r>
      <w:r w:rsidR="00573BA7" w:rsidRPr="007B537E">
        <w:rPr>
          <w:rFonts w:eastAsia="Times New Roman" w:cs="Open Sans"/>
          <w:sz w:val="22"/>
          <w:szCs w:val="22"/>
        </w:rPr>
        <w:t xml:space="preserve"> </w:t>
      </w:r>
      <w:r w:rsidRPr="007B537E">
        <w:rPr>
          <w:rFonts w:eastAsia="Times New Roman" w:cs="Open Sans"/>
          <w:sz w:val="22"/>
          <w:szCs w:val="22"/>
        </w:rPr>
        <w:t>on</w:t>
      </w:r>
      <w:r w:rsidR="00573BA7" w:rsidRPr="007B537E">
        <w:rPr>
          <w:rFonts w:eastAsia="Times New Roman" w:cs="Open Sans"/>
          <w:sz w:val="22"/>
          <w:szCs w:val="22"/>
        </w:rPr>
        <w:t xml:space="preserve"> </w:t>
      </w:r>
      <w:r w:rsidRPr="007B537E">
        <w:rPr>
          <w:rFonts w:eastAsia="Times New Roman" w:cs="Open Sans"/>
          <w:sz w:val="22"/>
          <w:szCs w:val="22"/>
        </w:rPr>
        <w:t>a</w:t>
      </w:r>
      <w:r w:rsidR="00573BA7" w:rsidRPr="007B537E">
        <w:rPr>
          <w:rFonts w:eastAsia="Times New Roman" w:cs="Open Sans"/>
          <w:sz w:val="22"/>
          <w:szCs w:val="22"/>
        </w:rPr>
        <w:t xml:space="preserve"> </w:t>
      </w:r>
      <w:r w:rsidRPr="007B537E">
        <w:rPr>
          <w:rFonts w:eastAsia="Times New Roman" w:cs="Open Sans"/>
          <w:sz w:val="22"/>
          <w:szCs w:val="22"/>
        </w:rPr>
        <w:t>particular</w:t>
      </w:r>
      <w:r w:rsidR="00573BA7" w:rsidRPr="007B537E">
        <w:rPr>
          <w:rFonts w:eastAsia="Times New Roman" w:cs="Open Sans"/>
          <w:sz w:val="22"/>
          <w:szCs w:val="22"/>
        </w:rPr>
        <w:t xml:space="preserve"> </w:t>
      </w:r>
      <w:r w:rsidRPr="007B537E">
        <w:rPr>
          <w:rFonts w:eastAsia="Times New Roman" w:cs="Open Sans"/>
          <w:sz w:val="22"/>
          <w:szCs w:val="22"/>
        </w:rPr>
        <w:t>judge’s</w:t>
      </w:r>
      <w:r w:rsidR="00573BA7" w:rsidRPr="007B537E">
        <w:rPr>
          <w:rFonts w:eastAsia="Times New Roman" w:cs="Open Sans"/>
          <w:sz w:val="22"/>
          <w:szCs w:val="22"/>
        </w:rPr>
        <w:t xml:space="preserve"> </w:t>
      </w:r>
      <w:r w:rsidRPr="007B537E">
        <w:rPr>
          <w:rFonts w:eastAsia="Times New Roman" w:cs="Open Sans"/>
          <w:sz w:val="22"/>
          <w:szCs w:val="22"/>
        </w:rPr>
        <w:t>view</w:t>
      </w:r>
      <w:r w:rsidR="00573BA7" w:rsidRPr="007B537E">
        <w:rPr>
          <w:rFonts w:eastAsia="Times New Roman" w:cs="Open Sans"/>
          <w:sz w:val="22"/>
          <w:szCs w:val="22"/>
        </w:rPr>
        <w:t xml:space="preserve"> </w:t>
      </w:r>
      <w:r w:rsidRPr="007B537E">
        <w:rPr>
          <w:rFonts w:eastAsia="Times New Roman" w:cs="Open Sans"/>
          <w:sz w:val="22"/>
          <w:szCs w:val="22"/>
        </w:rPr>
        <w:t>as</w:t>
      </w:r>
      <w:r w:rsidR="00573BA7" w:rsidRPr="007B537E">
        <w:rPr>
          <w:rFonts w:eastAsia="Times New Roman" w:cs="Open Sans"/>
          <w:sz w:val="22"/>
          <w:szCs w:val="22"/>
        </w:rPr>
        <w:t xml:space="preserve"> </w:t>
      </w:r>
      <w:r w:rsidRPr="007B537E">
        <w:rPr>
          <w:rFonts w:eastAsia="Times New Roman" w:cs="Open Sans"/>
          <w:sz w:val="22"/>
          <w:szCs w:val="22"/>
        </w:rPr>
        <w:t>to</w:t>
      </w:r>
      <w:r w:rsidR="00573BA7" w:rsidRPr="007B537E">
        <w:rPr>
          <w:rFonts w:eastAsia="Times New Roman" w:cs="Open Sans"/>
          <w:sz w:val="22"/>
          <w:szCs w:val="22"/>
        </w:rPr>
        <w:t xml:space="preserve"> </w:t>
      </w:r>
      <w:r w:rsidRPr="007B537E">
        <w:rPr>
          <w:rFonts w:eastAsia="Times New Roman" w:cs="Open Sans"/>
          <w:sz w:val="22"/>
          <w:szCs w:val="22"/>
        </w:rPr>
        <w:t>what</w:t>
      </w:r>
      <w:r w:rsidR="00573BA7" w:rsidRPr="007B537E">
        <w:rPr>
          <w:rFonts w:eastAsia="Times New Roman" w:cs="Open Sans"/>
          <w:sz w:val="22"/>
          <w:szCs w:val="22"/>
        </w:rPr>
        <w:t xml:space="preserve"> </w:t>
      </w:r>
      <w:r w:rsidRPr="007B537E">
        <w:rPr>
          <w:rFonts w:eastAsia="Times New Roman" w:cs="Open Sans"/>
          <w:sz w:val="22"/>
          <w:szCs w:val="22"/>
        </w:rPr>
        <w:t>the</w:t>
      </w:r>
      <w:r w:rsidR="00573BA7" w:rsidRPr="007B537E">
        <w:rPr>
          <w:rFonts w:eastAsia="Times New Roman" w:cs="Open Sans"/>
          <w:sz w:val="22"/>
          <w:szCs w:val="22"/>
        </w:rPr>
        <w:t xml:space="preserve"> </w:t>
      </w:r>
      <w:r w:rsidRPr="007B537E">
        <w:rPr>
          <w:rFonts w:eastAsia="Times New Roman" w:cs="Open Sans"/>
          <w:sz w:val="22"/>
          <w:szCs w:val="22"/>
        </w:rPr>
        <w:t>material</w:t>
      </w:r>
      <w:r w:rsidR="00573BA7" w:rsidRPr="007B537E">
        <w:rPr>
          <w:rFonts w:eastAsia="Times New Roman" w:cs="Open Sans"/>
          <w:sz w:val="22"/>
          <w:szCs w:val="22"/>
        </w:rPr>
        <w:t xml:space="preserve"> </w:t>
      </w:r>
      <w:r w:rsidRPr="007B537E">
        <w:rPr>
          <w:rFonts w:eastAsia="Times New Roman" w:cs="Open Sans"/>
          <w:sz w:val="22"/>
          <w:szCs w:val="22"/>
        </w:rPr>
        <w:t>circumstances</w:t>
      </w:r>
      <w:r w:rsidR="00573BA7" w:rsidRPr="007B537E">
        <w:rPr>
          <w:rFonts w:eastAsia="Times New Roman" w:cs="Open Sans"/>
          <w:sz w:val="22"/>
          <w:szCs w:val="22"/>
        </w:rPr>
        <w:t xml:space="preserve"> </w:t>
      </w:r>
      <w:r w:rsidRPr="007B537E">
        <w:rPr>
          <w:rFonts w:eastAsia="Times New Roman" w:cs="Open Sans"/>
          <w:sz w:val="22"/>
          <w:szCs w:val="22"/>
        </w:rPr>
        <w:t>were,</w:t>
      </w:r>
      <w:r w:rsidR="00573BA7" w:rsidRPr="007B537E">
        <w:rPr>
          <w:rFonts w:eastAsia="Times New Roman" w:cs="Open Sans"/>
          <w:sz w:val="22"/>
          <w:szCs w:val="22"/>
        </w:rPr>
        <w:t xml:space="preserve"> </w:t>
      </w:r>
      <w:r w:rsidRPr="007B537E">
        <w:rPr>
          <w:rFonts w:eastAsia="Times New Roman" w:cs="Open Sans"/>
          <w:sz w:val="22"/>
          <w:szCs w:val="22"/>
        </w:rPr>
        <w:t>and</w:t>
      </w:r>
      <w:r w:rsidR="00573BA7" w:rsidRPr="007B537E">
        <w:rPr>
          <w:rFonts w:eastAsia="Times New Roman" w:cs="Open Sans"/>
          <w:sz w:val="22"/>
          <w:szCs w:val="22"/>
        </w:rPr>
        <w:t xml:space="preserve"> </w:t>
      </w:r>
      <w:r w:rsidRPr="007B537E">
        <w:rPr>
          <w:rFonts w:eastAsia="Times New Roman" w:cs="Open Sans"/>
          <w:sz w:val="22"/>
          <w:szCs w:val="22"/>
        </w:rPr>
        <w:t>how</w:t>
      </w:r>
      <w:r w:rsidR="00573BA7" w:rsidRPr="007B537E">
        <w:rPr>
          <w:rFonts w:eastAsia="Times New Roman" w:cs="Open Sans"/>
          <w:sz w:val="22"/>
          <w:szCs w:val="22"/>
        </w:rPr>
        <w:t xml:space="preserve"> </w:t>
      </w:r>
      <w:r w:rsidRPr="007B537E">
        <w:rPr>
          <w:rFonts w:eastAsia="Times New Roman" w:cs="Open Sans"/>
          <w:sz w:val="22"/>
          <w:szCs w:val="22"/>
        </w:rPr>
        <w:t>the</w:t>
      </w:r>
      <w:r w:rsidR="00573BA7" w:rsidRPr="007B537E">
        <w:rPr>
          <w:rFonts w:eastAsia="Times New Roman" w:cs="Open Sans"/>
          <w:sz w:val="22"/>
          <w:szCs w:val="22"/>
        </w:rPr>
        <w:t xml:space="preserve"> </w:t>
      </w:r>
      <w:r w:rsidRPr="007B537E">
        <w:rPr>
          <w:rFonts w:eastAsia="Times New Roman" w:cs="Open Sans"/>
          <w:sz w:val="22"/>
          <w:szCs w:val="22"/>
        </w:rPr>
        <w:t>discriminator</w:t>
      </w:r>
      <w:r w:rsidR="00573BA7" w:rsidRPr="007B537E">
        <w:rPr>
          <w:rFonts w:eastAsia="Times New Roman" w:cs="Open Sans"/>
          <w:sz w:val="22"/>
          <w:szCs w:val="22"/>
        </w:rPr>
        <w:t xml:space="preserve"> </w:t>
      </w:r>
      <w:r w:rsidRPr="007B537E">
        <w:rPr>
          <w:rFonts w:eastAsia="Times New Roman" w:cs="Open Sans"/>
          <w:sz w:val="22"/>
          <w:szCs w:val="22"/>
        </w:rPr>
        <w:t>might</w:t>
      </w:r>
      <w:r w:rsidR="00573BA7" w:rsidRPr="007B537E">
        <w:rPr>
          <w:rFonts w:eastAsia="Times New Roman" w:cs="Open Sans"/>
          <w:sz w:val="22"/>
          <w:szCs w:val="22"/>
        </w:rPr>
        <w:t xml:space="preserve"> </w:t>
      </w:r>
      <w:r w:rsidRPr="007B537E">
        <w:rPr>
          <w:rFonts w:eastAsia="Times New Roman" w:cs="Open Sans"/>
          <w:sz w:val="22"/>
          <w:szCs w:val="22"/>
        </w:rPr>
        <w:t>have</w:t>
      </w:r>
      <w:r w:rsidR="00573BA7" w:rsidRPr="007B537E">
        <w:rPr>
          <w:rFonts w:eastAsia="Times New Roman" w:cs="Open Sans"/>
          <w:sz w:val="22"/>
          <w:szCs w:val="22"/>
        </w:rPr>
        <w:t xml:space="preserve"> </w:t>
      </w:r>
      <w:r w:rsidRPr="007B537E">
        <w:rPr>
          <w:rFonts w:eastAsia="Times New Roman" w:cs="Open Sans"/>
          <w:sz w:val="22"/>
          <w:szCs w:val="22"/>
        </w:rPr>
        <w:t>treated</w:t>
      </w:r>
      <w:r w:rsidR="00573BA7" w:rsidRPr="007B537E">
        <w:rPr>
          <w:rFonts w:eastAsia="Times New Roman" w:cs="Open Sans"/>
          <w:sz w:val="22"/>
          <w:szCs w:val="22"/>
        </w:rPr>
        <w:t xml:space="preserve"> </w:t>
      </w:r>
      <w:r w:rsidRPr="007B537E">
        <w:rPr>
          <w:rFonts w:eastAsia="Times New Roman" w:cs="Open Sans"/>
          <w:sz w:val="22"/>
          <w:szCs w:val="22"/>
        </w:rPr>
        <w:t>a</w:t>
      </w:r>
      <w:r w:rsidR="00573BA7" w:rsidRPr="007B537E">
        <w:rPr>
          <w:rFonts w:eastAsia="Times New Roman" w:cs="Open Sans"/>
          <w:sz w:val="22"/>
          <w:szCs w:val="22"/>
        </w:rPr>
        <w:t xml:space="preserve"> </w:t>
      </w:r>
      <w:r w:rsidRPr="007B537E">
        <w:rPr>
          <w:rFonts w:eastAsia="Times New Roman" w:cs="Open Sans"/>
          <w:sz w:val="22"/>
          <w:szCs w:val="22"/>
        </w:rPr>
        <w:t>hypothetical</w:t>
      </w:r>
      <w:r w:rsidR="00573BA7" w:rsidRPr="007B537E">
        <w:rPr>
          <w:rFonts w:eastAsia="Times New Roman" w:cs="Open Sans"/>
          <w:sz w:val="22"/>
          <w:szCs w:val="22"/>
        </w:rPr>
        <w:t xml:space="preserve"> </w:t>
      </w:r>
      <w:r w:rsidRPr="007B537E">
        <w:rPr>
          <w:rFonts w:eastAsia="Times New Roman" w:cs="Open Sans"/>
          <w:sz w:val="22"/>
          <w:szCs w:val="22"/>
        </w:rPr>
        <w:t>person</w:t>
      </w:r>
      <w:r w:rsidR="00573BA7" w:rsidRPr="007B537E">
        <w:rPr>
          <w:rFonts w:eastAsia="Times New Roman" w:cs="Open Sans"/>
          <w:sz w:val="22"/>
          <w:szCs w:val="22"/>
        </w:rPr>
        <w:t xml:space="preserve"> </w:t>
      </w:r>
      <w:r w:rsidRPr="007B537E">
        <w:rPr>
          <w:rFonts w:eastAsia="Times New Roman" w:cs="Open Sans"/>
          <w:sz w:val="22"/>
          <w:szCs w:val="22"/>
        </w:rPr>
        <w:t>without</w:t>
      </w:r>
      <w:r w:rsidR="00573BA7" w:rsidRPr="007B537E">
        <w:rPr>
          <w:rFonts w:eastAsia="Times New Roman" w:cs="Open Sans"/>
          <w:sz w:val="22"/>
          <w:szCs w:val="22"/>
        </w:rPr>
        <w:t xml:space="preserve"> </w:t>
      </w:r>
      <w:r w:rsidRPr="007B537E">
        <w:rPr>
          <w:rFonts w:eastAsia="Times New Roman" w:cs="Open Sans"/>
          <w:sz w:val="22"/>
          <w:szCs w:val="22"/>
        </w:rPr>
        <w:t>the</w:t>
      </w:r>
      <w:r w:rsidR="00573BA7" w:rsidRPr="007B537E">
        <w:rPr>
          <w:rFonts w:eastAsia="Times New Roman" w:cs="Open Sans"/>
          <w:sz w:val="22"/>
          <w:szCs w:val="22"/>
        </w:rPr>
        <w:t xml:space="preserve"> </w:t>
      </w:r>
      <w:r w:rsidRPr="007B537E">
        <w:rPr>
          <w:rFonts w:eastAsia="Times New Roman" w:cs="Open Sans"/>
          <w:sz w:val="22"/>
          <w:szCs w:val="22"/>
        </w:rPr>
        <w:t>protected</w:t>
      </w:r>
      <w:r w:rsidR="00573BA7" w:rsidRPr="007B537E">
        <w:rPr>
          <w:rFonts w:eastAsia="Times New Roman" w:cs="Open Sans"/>
          <w:sz w:val="22"/>
          <w:szCs w:val="22"/>
        </w:rPr>
        <w:t xml:space="preserve"> </w:t>
      </w:r>
      <w:r w:rsidRPr="007B537E">
        <w:rPr>
          <w:rFonts w:eastAsia="Times New Roman" w:cs="Open Sans"/>
          <w:sz w:val="22"/>
          <w:szCs w:val="22"/>
        </w:rPr>
        <w:t>attribute</w:t>
      </w:r>
      <w:r w:rsidR="00573BA7" w:rsidRPr="007B537E">
        <w:rPr>
          <w:rFonts w:eastAsia="Times New Roman" w:cs="Open Sans"/>
          <w:sz w:val="22"/>
          <w:szCs w:val="22"/>
        </w:rPr>
        <w:t xml:space="preserve"> </w:t>
      </w:r>
      <w:r w:rsidRPr="007B537E">
        <w:rPr>
          <w:rFonts w:eastAsia="Times New Roman" w:cs="Open Sans"/>
          <w:sz w:val="22"/>
          <w:szCs w:val="22"/>
        </w:rPr>
        <w:t>in</w:t>
      </w:r>
      <w:r w:rsidR="00573BA7" w:rsidRPr="007B537E">
        <w:rPr>
          <w:rFonts w:eastAsia="Times New Roman" w:cs="Open Sans"/>
          <w:sz w:val="22"/>
          <w:szCs w:val="22"/>
        </w:rPr>
        <w:t xml:space="preserve"> </w:t>
      </w:r>
      <w:r w:rsidRPr="007B537E">
        <w:rPr>
          <w:rFonts w:eastAsia="Times New Roman" w:cs="Open Sans"/>
          <w:sz w:val="22"/>
          <w:szCs w:val="22"/>
        </w:rPr>
        <w:t>those</w:t>
      </w:r>
      <w:r w:rsidR="00573BA7" w:rsidRPr="007B537E">
        <w:rPr>
          <w:rFonts w:eastAsia="Times New Roman" w:cs="Open Sans"/>
          <w:sz w:val="22"/>
          <w:szCs w:val="22"/>
        </w:rPr>
        <w:t xml:space="preserve"> </w:t>
      </w:r>
      <w:r w:rsidRPr="007B537E">
        <w:rPr>
          <w:rFonts w:eastAsia="Times New Roman" w:cs="Open Sans"/>
          <w:sz w:val="22"/>
          <w:szCs w:val="22"/>
        </w:rPr>
        <w:t>circumstances.</w:t>
      </w:r>
      <w:r w:rsidR="00573BA7" w:rsidRPr="007B537E">
        <w:rPr>
          <w:rFonts w:eastAsia="Times New Roman" w:cs="Open Sans"/>
          <w:sz w:val="22"/>
          <w:szCs w:val="22"/>
        </w:rPr>
        <w:t xml:space="preserve"> </w:t>
      </w:r>
      <w:r w:rsidRPr="007B537E">
        <w:rPr>
          <w:rFonts w:eastAsia="Times New Roman" w:cs="Open Sans"/>
          <w:sz w:val="22"/>
          <w:szCs w:val="22"/>
        </w:rPr>
        <w:t>Results</w:t>
      </w:r>
      <w:r w:rsidR="00573BA7" w:rsidRPr="007B537E">
        <w:rPr>
          <w:rFonts w:eastAsia="Times New Roman" w:cs="Open Sans"/>
          <w:sz w:val="22"/>
          <w:szCs w:val="22"/>
        </w:rPr>
        <w:t xml:space="preserve"> </w:t>
      </w:r>
      <w:r w:rsidRPr="007B537E">
        <w:rPr>
          <w:rFonts w:eastAsia="Times New Roman" w:cs="Open Sans"/>
          <w:sz w:val="22"/>
          <w:szCs w:val="22"/>
        </w:rPr>
        <w:t>are</w:t>
      </w:r>
      <w:r w:rsidR="00573BA7" w:rsidRPr="007B537E">
        <w:rPr>
          <w:rFonts w:eastAsia="Times New Roman" w:cs="Open Sans"/>
          <w:sz w:val="22"/>
          <w:szCs w:val="22"/>
        </w:rPr>
        <w:t xml:space="preserve"> </w:t>
      </w:r>
      <w:r w:rsidRPr="007B537E">
        <w:rPr>
          <w:rFonts w:eastAsia="Times New Roman" w:cs="Open Sans"/>
          <w:sz w:val="22"/>
          <w:szCs w:val="22"/>
        </w:rPr>
        <w:t>unpredictable</w:t>
      </w:r>
      <w:r w:rsidR="00573BA7" w:rsidRPr="007B537E">
        <w:rPr>
          <w:rFonts w:eastAsia="Times New Roman" w:cs="Open Sans"/>
          <w:sz w:val="22"/>
          <w:szCs w:val="22"/>
        </w:rPr>
        <w:t xml:space="preserve"> </w:t>
      </w:r>
      <w:r w:rsidRPr="007B537E">
        <w:rPr>
          <w:rFonts w:eastAsia="Times New Roman" w:cs="Open Sans"/>
          <w:sz w:val="22"/>
          <w:szCs w:val="22"/>
        </w:rPr>
        <w:t>and</w:t>
      </w:r>
      <w:r w:rsidR="00573BA7" w:rsidRPr="007B537E">
        <w:rPr>
          <w:rFonts w:eastAsia="Times New Roman" w:cs="Open Sans"/>
          <w:sz w:val="22"/>
          <w:szCs w:val="22"/>
        </w:rPr>
        <w:t xml:space="preserve"> </w:t>
      </w:r>
      <w:r w:rsidRPr="007B537E">
        <w:rPr>
          <w:rFonts w:eastAsia="Times New Roman" w:cs="Open Sans"/>
          <w:sz w:val="22"/>
          <w:szCs w:val="22"/>
        </w:rPr>
        <w:t>have</w:t>
      </w:r>
      <w:r w:rsidR="00573BA7" w:rsidRPr="007B537E">
        <w:rPr>
          <w:rFonts w:eastAsia="Times New Roman" w:cs="Open Sans"/>
          <w:sz w:val="22"/>
          <w:szCs w:val="22"/>
        </w:rPr>
        <w:t xml:space="preserve"> </w:t>
      </w:r>
      <w:r w:rsidRPr="007B537E">
        <w:rPr>
          <w:rFonts w:eastAsia="Times New Roman" w:cs="Open Sans"/>
          <w:sz w:val="22"/>
          <w:szCs w:val="22"/>
        </w:rPr>
        <w:t>created</w:t>
      </w:r>
      <w:r w:rsidR="00573BA7" w:rsidRPr="007B537E">
        <w:rPr>
          <w:rFonts w:eastAsia="Times New Roman" w:cs="Open Sans"/>
          <w:sz w:val="22"/>
          <w:szCs w:val="22"/>
        </w:rPr>
        <w:t xml:space="preserve"> </w:t>
      </w:r>
      <w:r w:rsidRPr="007B537E">
        <w:rPr>
          <w:rFonts w:eastAsia="Times New Roman" w:cs="Open Sans"/>
          <w:sz w:val="22"/>
          <w:szCs w:val="22"/>
        </w:rPr>
        <w:t>significant</w:t>
      </w:r>
      <w:r w:rsidR="00573BA7" w:rsidRPr="007B537E">
        <w:rPr>
          <w:rFonts w:eastAsia="Times New Roman" w:cs="Open Sans"/>
          <w:sz w:val="22"/>
          <w:szCs w:val="22"/>
        </w:rPr>
        <w:t xml:space="preserve"> </w:t>
      </w:r>
      <w:r w:rsidRPr="007B537E">
        <w:rPr>
          <w:rFonts w:eastAsia="Times New Roman" w:cs="Open Sans"/>
          <w:sz w:val="22"/>
          <w:szCs w:val="22"/>
        </w:rPr>
        <w:t>uncertainty.</w:t>
      </w:r>
      <w:r w:rsidR="00E961B9">
        <w:rPr>
          <w:rStyle w:val="EndnoteReference"/>
          <w:rFonts w:eastAsia="Times New Roman" w:cs="Open Sans"/>
          <w:szCs w:val="22"/>
        </w:rPr>
        <w:endnoteReference w:id="168"/>
      </w:r>
    </w:p>
    <w:p w14:paraId="6EC21162" w14:textId="34F51F8E" w:rsidR="002B1718" w:rsidRDefault="002B1718" w:rsidP="00662F4B">
      <w:pPr>
        <w:pStyle w:val="ListNumber"/>
        <w:rPr>
          <w:rFonts w:eastAsia="Times New Roman" w:cs="Open Sans"/>
        </w:rPr>
      </w:pPr>
      <w:r w:rsidRPr="07069484">
        <w:rPr>
          <w:rFonts w:eastAsia="Times New Roman" w:cs="Open Sans"/>
        </w:rPr>
        <w:lastRenderedPageBreak/>
        <w:t xml:space="preserve">At its highest, the comparator test may limit Australia’s ability to effectively implement </w:t>
      </w:r>
      <w:r w:rsidR="004854B2" w:rsidRPr="07069484">
        <w:rPr>
          <w:rFonts w:eastAsia="Times New Roman" w:cs="Open Sans"/>
        </w:rPr>
        <w:t xml:space="preserve">its obligations under Articles 5(1) and </w:t>
      </w:r>
      <w:r w:rsidR="00B56115" w:rsidRPr="07069484">
        <w:rPr>
          <w:rFonts w:eastAsia="Times New Roman" w:cs="Open Sans"/>
        </w:rPr>
        <w:t>13</w:t>
      </w:r>
      <w:r w:rsidR="004854B2" w:rsidRPr="07069484">
        <w:rPr>
          <w:rFonts w:eastAsia="Times New Roman" w:cs="Open Sans"/>
        </w:rPr>
        <w:t xml:space="preserve"> of the CRPD</w:t>
      </w:r>
      <w:r w:rsidR="00100F5C" w:rsidRPr="07069484">
        <w:rPr>
          <w:rFonts w:eastAsia="Times New Roman" w:cs="Open Sans"/>
        </w:rPr>
        <w:t xml:space="preserve">, particularly with regard to Australia’s duty to eliminate barriers </w:t>
      </w:r>
      <w:r w:rsidR="006447BC" w:rsidRPr="07069484">
        <w:rPr>
          <w:rFonts w:eastAsia="Times New Roman" w:cs="Open Sans"/>
        </w:rPr>
        <w:t>that may prevent people with disability from</w:t>
      </w:r>
      <w:r w:rsidR="00100F5C" w:rsidRPr="07069484">
        <w:rPr>
          <w:rFonts w:eastAsia="Times New Roman" w:cs="Open Sans"/>
        </w:rPr>
        <w:t xml:space="preserve"> gaining access to all of the protections of the law.</w:t>
      </w:r>
    </w:p>
    <w:p w14:paraId="14CDA869" w14:textId="6A02C34E" w:rsidR="005438F7" w:rsidRPr="003F4CE1" w:rsidRDefault="005438F7" w:rsidP="00662F4B">
      <w:pPr>
        <w:pStyle w:val="ListNumber"/>
        <w:rPr>
          <w:rFonts w:eastAsia="Times New Roman" w:cs="Open Sans"/>
        </w:rPr>
      </w:pPr>
      <w:r w:rsidRPr="003F4CE1">
        <w:rPr>
          <w:rFonts w:eastAsia="Times New Roman" w:cs="Open Sans"/>
        </w:rPr>
        <w:t>Th</w:t>
      </w:r>
      <w:r w:rsidR="00A824FD">
        <w:rPr>
          <w:rFonts w:eastAsia="Times New Roman" w:cs="Open Sans"/>
        </w:rPr>
        <w:t xml:space="preserve">is concern was shared </w:t>
      </w:r>
      <w:r w:rsidRPr="003F4CE1">
        <w:rPr>
          <w:rFonts w:eastAsia="Times New Roman" w:cs="Open Sans"/>
        </w:rPr>
        <w:t>by</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NSW</w:t>
      </w:r>
      <w:r w:rsidR="00573BA7">
        <w:rPr>
          <w:rFonts w:eastAsia="Times New Roman" w:cs="Open Sans"/>
        </w:rPr>
        <w:t xml:space="preserve"> </w:t>
      </w:r>
      <w:r w:rsidRPr="003F4CE1">
        <w:rPr>
          <w:rFonts w:eastAsia="Times New Roman" w:cs="Open Sans"/>
        </w:rPr>
        <w:t>Law</w:t>
      </w:r>
      <w:r w:rsidR="00573BA7">
        <w:rPr>
          <w:rFonts w:eastAsia="Times New Roman" w:cs="Open Sans"/>
        </w:rPr>
        <w:t xml:space="preserve"> </w:t>
      </w:r>
      <w:r w:rsidRPr="003F4CE1">
        <w:rPr>
          <w:rFonts w:eastAsia="Times New Roman" w:cs="Open Sans"/>
        </w:rPr>
        <w:t>Reform</w:t>
      </w:r>
      <w:r w:rsidR="00573BA7">
        <w:rPr>
          <w:rFonts w:eastAsia="Times New Roman" w:cs="Open Sans"/>
        </w:rPr>
        <w:t xml:space="preserve"> </w:t>
      </w:r>
      <w:r w:rsidRPr="003F4CE1">
        <w:rPr>
          <w:rFonts w:eastAsia="Times New Roman" w:cs="Open Sans"/>
        </w:rPr>
        <w:t>Commission</w:t>
      </w:r>
      <w:r w:rsidR="00573BA7">
        <w:rPr>
          <w:rFonts w:eastAsia="Times New Roman" w:cs="Open Sans"/>
        </w:rPr>
        <w:t xml:space="preserve"> </w:t>
      </w:r>
      <w:r w:rsidRPr="003F4CE1">
        <w:rPr>
          <w:rFonts w:eastAsia="Times New Roman" w:cs="Open Sans"/>
        </w:rPr>
        <w:t>in</w:t>
      </w:r>
      <w:r w:rsidR="00573BA7">
        <w:rPr>
          <w:rFonts w:eastAsia="Times New Roman" w:cs="Open Sans"/>
        </w:rPr>
        <w:t xml:space="preserve"> </w:t>
      </w:r>
      <w:r w:rsidR="00576FAB">
        <w:rPr>
          <w:rFonts w:eastAsia="Times New Roman" w:cs="Open Sans"/>
        </w:rPr>
        <w:t>its</w:t>
      </w:r>
      <w:r w:rsidR="00573BA7">
        <w:rPr>
          <w:rFonts w:eastAsia="Times New Roman" w:cs="Open Sans"/>
        </w:rPr>
        <w:t xml:space="preserve"> </w:t>
      </w:r>
      <w:r w:rsidRPr="003F4CE1">
        <w:rPr>
          <w:rFonts w:eastAsia="Times New Roman" w:cs="Open Sans"/>
        </w:rPr>
        <w:t>1999</w:t>
      </w:r>
      <w:r w:rsidR="00573BA7">
        <w:rPr>
          <w:rFonts w:eastAsia="Times New Roman" w:cs="Open Sans"/>
        </w:rPr>
        <w:t xml:space="preserve"> </w:t>
      </w:r>
      <w:r w:rsidRPr="003F4CE1">
        <w:rPr>
          <w:rFonts w:eastAsia="Times New Roman" w:cs="Open Sans"/>
        </w:rPr>
        <w:t>review</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7069484">
        <w:rPr>
          <w:rFonts w:eastAsia="Times New Roman" w:cs="Open Sans"/>
          <w:i/>
          <w:iCs/>
        </w:rPr>
        <w:t>Anti-Discrimination</w:t>
      </w:r>
      <w:r w:rsidR="00573BA7" w:rsidRPr="07069484">
        <w:rPr>
          <w:rFonts w:eastAsia="Times New Roman" w:cs="Open Sans"/>
          <w:i/>
          <w:iCs/>
        </w:rPr>
        <w:t xml:space="preserve"> </w:t>
      </w:r>
      <w:r w:rsidRPr="07069484">
        <w:rPr>
          <w:rFonts w:eastAsia="Times New Roman" w:cs="Open Sans"/>
          <w:i/>
          <w:iCs/>
        </w:rPr>
        <w:t>Act</w:t>
      </w:r>
      <w:r w:rsidR="00573BA7" w:rsidRPr="07069484">
        <w:rPr>
          <w:rFonts w:eastAsia="Times New Roman" w:cs="Open Sans"/>
          <w:i/>
          <w:iCs/>
        </w:rPr>
        <w:t xml:space="preserve"> </w:t>
      </w:r>
      <w:r w:rsidRPr="07069484">
        <w:rPr>
          <w:rFonts w:eastAsia="Times New Roman" w:cs="Open Sans"/>
          <w:i/>
          <w:iCs/>
        </w:rPr>
        <w:t>1977</w:t>
      </w:r>
      <w:r w:rsidR="00576FAB" w:rsidRPr="00807362">
        <w:rPr>
          <w:rFonts w:eastAsia="Times New Roman" w:cs="Open Sans"/>
        </w:rPr>
        <w:t xml:space="preserve"> (NSW)</w:t>
      </w:r>
      <w:r w:rsidRPr="00807362">
        <w:rPr>
          <w:rFonts w:eastAsia="Times New Roman" w:cs="Open Sans"/>
        </w:rPr>
        <w:t>,</w:t>
      </w:r>
      <w:r w:rsidR="0010385B">
        <w:rPr>
          <w:rStyle w:val="EndnoteReference"/>
          <w:rFonts w:eastAsia="Times New Roman" w:cs="Open Sans"/>
        </w:rPr>
        <w:endnoteReference w:id="169"/>
      </w:r>
      <w:r w:rsidR="00573BA7" w:rsidRPr="00807362">
        <w:rPr>
          <w:rFonts w:eastAsia="Times New Roman" w:cs="Open Sans"/>
        </w:rPr>
        <w:t xml:space="preserve"> </w:t>
      </w:r>
      <w:r w:rsidRPr="00807362">
        <w:rPr>
          <w:rFonts w:eastAsia="Times New Roman" w:cs="Open Sans"/>
        </w:rPr>
        <w:t>the</w:t>
      </w:r>
      <w:r w:rsidR="00573BA7" w:rsidRPr="00807362">
        <w:rPr>
          <w:rFonts w:eastAsia="Times New Roman" w:cs="Open Sans"/>
        </w:rPr>
        <w:t xml:space="preserve"> </w:t>
      </w:r>
      <w:r w:rsidRPr="00807362">
        <w:rPr>
          <w:rFonts w:eastAsia="Times New Roman" w:cs="Open Sans"/>
        </w:rPr>
        <w:t>2004</w:t>
      </w:r>
      <w:r w:rsidR="00573BA7" w:rsidRPr="00807362">
        <w:rPr>
          <w:rFonts w:eastAsia="Times New Roman" w:cs="Open Sans"/>
        </w:rPr>
        <w:t xml:space="preserve"> </w:t>
      </w:r>
      <w:r w:rsidRPr="00807362">
        <w:rPr>
          <w:rFonts w:eastAsia="Times New Roman" w:cs="Open Sans"/>
        </w:rPr>
        <w:t>Productivity</w:t>
      </w:r>
      <w:r w:rsidR="00573BA7" w:rsidRPr="00807362">
        <w:rPr>
          <w:rFonts w:eastAsia="Times New Roman" w:cs="Open Sans"/>
        </w:rPr>
        <w:t xml:space="preserve"> </w:t>
      </w:r>
      <w:r w:rsidRPr="00807362">
        <w:rPr>
          <w:rFonts w:eastAsia="Times New Roman" w:cs="Open Sans"/>
        </w:rPr>
        <w:t>Commission</w:t>
      </w:r>
      <w:r w:rsidR="00573BA7" w:rsidRPr="00807362">
        <w:rPr>
          <w:rFonts w:eastAsia="Times New Roman" w:cs="Open Sans"/>
        </w:rPr>
        <w:t xml:space="preserve"> </w:t>
      </w:r>
      <w:r w:rsidRPr="00807362">
        <w:rPr>
          <w:rFonts w:eastAsia="Times New Roman" w:cs="Open Sans"/>
        </w:rPr>
        <w:t>Review,</w:t>
      </w:r>
      <w:r w:rsidR="0010385B">
        <w:rPr>
          <w:rStyle w:val="EndnoteReference"/>
          <w:rFonts w:eastAsia="Times New Roman" w:cs="Open Sans"/>
        </w:rPr>
        <w:endnoteReference w:id="170"/>
      </w:r>
      <w:r w:rsidR="00573BA7" w:rsidRPr="00807362">
        <w:rPr>
          <w:rFonts w:eastAsia="Times New Roman" w:cs="Open Sans"/>
        </w:rPr>
        <w:t xml:space="preserve"> </w:t>
      </w:r>
      <w:r w:rsidRPr="00807362">
        <w:rPr>
          <w:rFonts w:eastAsia="Times New Roman" w:cs="Open Sans"/>
        </w:rPr>
        <w:t>the</w:t>
      </w:r>
      <w:r w:rsidR="00573BA7" w:rsidRPr="00807362">
        <w:rPr>
          <w:rFonts w:eastAsia="Times New Roman" w:cs="Open Sans"/>
        </w:rPr>
        <w:t xml:space="preserve"> </w:t>
      </w:r>
      <w:r w:rsidRPr="00807362">
        <w:rPr>
          <w:rFonts w:eastAsia="Times New Roman" w:cs="Open Sans"/>
        </w:rPr>
        <w:t>2008</w:t>
      </w:r>
      <w:r w:rsidR="00573BA7" w:rsidRPr="00807362">
        <w:rPr>
          <w:rFonts w:eastAsia="Times New Roman" w:cs="Open Sans"/>
        </w:rPr>
        <w:t xml:space="preserve"> </w:t>
      </w:r>
      <w:r w:rsidRPr="00807362">
        <w:rPr>
          <w:rFonts w:eastAsia="Times New Roman" w:cs="Open Sans"/>
        </w:rPr>
        <w:t>SDA</w:t>
      </w:r>
      <w:r w:rsidR="00573BA7" w:rsidRPr="00807362">
        <w:rPr>
          <w:rFonts w:eastAsia="Times New Roman" w:cs="Open Sans"/>
        </w:rPr>
        <w:t xml:space="preserve"> </w:t>
      </w:r>
      <w:r w:rsidRPr="00807362">
        <w:rPr>
          <w:rFonts w:eastAsia="Times New Roman" w:cs="Open Sans"/>
        </w:rPr>
        <w:t>Inquiry</w:t>
      </w:r>
      <w:r w:rsidR="00807362">
        <w:rPr>
          <w:rFonts w:eastAsia="Times New Roman" w:cs="Open Sans"/>
        </w:rPr>
        <w:t>,</w:t>
      </w:r>
      <w:r w:rsidR="0010385B">
        <w:rPr>
          <w:rStyle w:val="EndnoteReference"/>
          <w:rFonts w:eastAsia="Times New Roman" w:cs="Open Sans"/>
        </w:rPr>
        <w:endnoteReference w:id="171"/>
      </w:r>
      <w:r w:rsidR="00573BA7" w:rsidRPr="00807362">
        <w:rPr>
          <w:rFonts w:eastAsia="Times New Roman" w:cs="Open Sans"/>
        </w:rPr>
        <w:t xml:space="preserve"> </w:t>
      </w:r>
      <w:r w:rsidRPr="00807362">
        <w:rPr>
          <w:rFonts w:eastAsia="Times New Roman" w:cs="Open Sans"/>
        </w:rPr>
        <w:t>and</w:t>
      </w:r>
      <w:r w:rsidR="00DD3A8B">
        <w:rPr>
          <w:rFonts w:eastAsia="Times New Roman" w:cs="Open Sans"/>
        </w:rPr>
        <w:t xml:space="preserve"> in</w:t>
      </w:r>
      <w:r w:rsidR="00573BA7" w:rsidRPr="00807362">
        <w:rPr>
          <w:rFonts w:eastAsia="Times New Roman" w:cs="Open Sans"/>
        </w:rPr>
        <w:t xml:space="preserve"> </w:t>
      </w:r>
      <w:r w:rsidRPr="00807362">
        <w:rPr>
          <w:rFonts w:eastAsia="Times New Roman" w:cs="Open Sans"/>
        </w:rPr>
        <w:t>the</w:t>
      </w:r>
      <w:r w:rsidR="00573BA7" w:rsidRPr="00807362">
        <w:rPr>
          <w:rFonts w:eastAsia="Times New Roman" w:cs="Open Sans"/>
        </w:rPr>
        <w:t xml:space="preserve"> </w:t>
      </w:r>
      <w:r w:rsidRPr="00807362">
        <w:rPr>
          <w:rFonts w:eastAsia="Times New Roman" w:cs="Open Sans"/>
        </w:rPr>
        <w:t>Consolidation</w:t>
      </w:r>
      <w:r w:rsidR="00573BA7" w:rsidRPr="00807362">
        <w:rPr>
          <w:rFonts w:eastAsia="Times New Roman" w:cs="Open Sans"/>
        </w:rPr>
        <w:t xml:space="preserve"> </w:t>
      </w:r>
      <w:r w:rsidRPr="00807362">
        <w:rPr>
          <w:rFonts w:eastAsia="Times New Roman" w:cs="Open Sans"/>
        </w:rPr>
        <w:t>Discussion</w:t>
      </w:r>
      <w:r w:rsidR="00573BA7" w:rsidRPr="00807362">
        <w:rPr>
          <w:rFonts w:eastAsia="Times New Roman" w:cs="Open Sans"/>
        </w:rPr>
        <w:t xml:space="preserve"> </w:t>
      </w:r>
      <w:r w:rsidRPr="00807362">
        <w:rPr>
          <w:rFonts w:eastAsia="Times New Roman" w:cs="Open Sans"/>
        </w:rPr>
        <w:t>Paper.</w:t>
      </w:r>
      <w:r w:rsidR="00DD3A8B">
        <w:rPr>
          <w:rStyle w:val="EndnoteReference"/>
          <w:rFonts w:eastAsia="Times New Roman" w:cs="Open Sans"/>
        </w:rPr>
        <w:endnoteReference w:id="172"/>
      </w:r>
      <w:r w:rsidR="00573BA7">
        <w:rPr>
          <w:rFonts w:eastAsia="Times New Roman" w:cs="Open Sans"/>
        </w:rPr>
        <w:t xml:space="preserve"> </w:t>
      </w:r>
    </w:p>
    <w:p w14:paraId="3128CCC7" w14:textId="727244D7" w:rsidR="005438F7" w:rsidRPr="003F4CE1" w:rsidRDefault="005438F7" w:rsidP="00662F4B">
      <w:pPr>
        <w:pStyle w:val="ListNumber"/>
        <w:rPr>
          <w:rFonts w:eastAsia="Times New Roman" w:cs="Open Sans"/>
        </w:rPr>
      </w:pPr>
      <w:r w:rsidRPr="003F4CE1">
        <w:rPr>
          <w:rFonts w:eastAsia="Times New Roman" w:cs="Open Sans"/>
        </w:rPr>
        <w:t>Several</w:t>
      </w:r>
      <w:r w:rsidR="00573BA7">
        <w:rPr>
          <w:rFonts w:eastAsia="Times New Roman" w:cs="Open Sans"/>
        </w:rPr>
        <w:t xml:space="preserve"> </w:t>
      </w:r>
      <w:r w:rsidRPr="003F4CE1">
        <w:rPr>
          <w:rFonts w:eastAsia="Times New Roman" w:cs="Open Sans"/>
        </w:rPr>
        <w:t>jurisdictions</w:t>
      </w:r>
      <w:r w:rsidR="00573BA7">
        <w:rPr>
          <w:rFonts w:eastAsia="Times New Roman" w:cs="Open Sans"/>
        </w:rPr>
        <w:t xml:space="preserve"> </w:t>
      </w:r>
      <w:r w:rsidRPr="003F4CE1">
        <w:rPr>
          <w:rFonts w:eastAsia="Times New Roman" w:cs="Open Sans"/>
        </w:rPr>
        <w:t>have</w:t>
      </w:r>
      <w:r w:rsidR="00573BA7">
        <w:rPr>
          <w:rFonts w:eastAsia="Times New Roman" w:cs="Open Sans"/>
        </w:rPr>
        <w:t xml:space="preserve"> </w:t>
      </w:r>
      <w:r w:rsidRPr="003F4CE1">
        <w:rPr>
          <w:rFonts w:eastAsia="Times New Roman" w:cs="Open Sans"/>
        </w:rPr>
        <w:t>already</w:t>
      </w:r>
      <w:r w:rsidR="00573BA7">
        <w:rPr>
          <w:rFonts w:eastAsia="Times New Roman" w:cs="Open Sans"/>
        </w:rPr>
        <w:t xml:space="preserve"> </w:t>
      </w:r>
      <w:r w:rsidRPr="003F4CE1">
        <w:rPr>
          <w:rFonts w:eastAsia="Times New Roman" w:cs="Open Sans"/>
        </w:rPr>
        <w:t>incorporated</w:t>
      </w:r>
      <w:r w:rsidR="00573BA7">
        <w:rPr>
          <w:rFonts w:eastAsia="Times New Roman" w:cs="Open Sans"/>
        </w:rPr>
        <w:t xml:space="preserve"> </w:t>
      </w:r>
      <w:r w:rsidRPr="003F4CE1">
        <w:rPr>
          <w:rFonts w:eastAsia="Times New Roman" w:cs="Open Sans"/>
        </w:rPr>
        <w:t>alternatives</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comparator</w:t>
      </w:r>
      <w:r w:rsidR="00573BA7">
        <w:rPr>
          <w:rFonts w:eastAsia="Times New Roman" w:cs="Open Sans"/>
        </w:rPr>
        <w:t xml:space="preserve"> </w:t>
      </w:r>
      <w:r w:rsidRPr="003F4CE1">
        <w:rPr>
          <w:rFonts w:eastAsia="Times New Roman" w:cs="Open Sans"/>
        </w:rPr>
        <w:t>test</w:t>
      </w:r>
      <w:r w:rsidR="00A67696">
        <w:rPr>
          <w:rFonts w:eastAsia="Times New Roman" w:cs="Open Sans"/>
        </w:rPr>
        <w:t xml:space="preserve"> in their legislation</w:t>
      </w:r>
      <w:r w:rsidRPr="003F4CE1">
        <w:rPr>
          <w:rFonts w:eastAsia="Times New Roman" w:cs="Open Sans"/>
        </w:rPr>
        <w:t>.</w:t>
      </w:r>
      <w:r w:rsidR="009017A0" w:rsidRPr="003F4CE1">
        <w:rPr>
          <w:rStyle w:val="EndnoteReference"/>
          <w:rFonts w:eastAsia="Times New Roman" w:cs="Open Sans"/>
        </w:rPr>
        <w:endnoteReference w:id="173"/>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Commission’s</w:t>
      </w:r>
      <w:r w:rsidR="00573BA7">
        <w:rPr>
          <w:rFonts w:eastAsia="Times New Roman" w:cs="Open Sans"/>
        </w:rPr>
        <w:t xml:space="preserve"> </w:t>
      </w:r>
      <w:r w:rsidRPr="003F4CE1">
        <w:rPr>
          <w:rFonts w:eastAsia="Times New Roman" w:cs="Open Sans"/>
        </w:rPr>
        <w:t>suggested</w:t>
      </w:r>
      <w:r w:rsidR="00573BA7">
        <w:rPr>
          <w:rFonts w:eastAsia="Times New Roman" w:cs="Open Sans"/>
        </w:rPr>
        <w:t xml:space="preserve"> </w:t>
      </w:r>
      <w:r w:rsidRPr="003F4CE1">
        <w:rPr>
          <w:rFonts w:eastAsia="Times New Roman" w:cs="Open Sans"/>
        </w:rPr>
        <w:t>approach,</w:t>
      </w:r>
      <w:r w:rsidR="00573BA7">
        <w:rPr>
          <w:rFonts w:eastAsia="Times New Roman" w:cs="Open Sans"/>
        </w:rPr>
        <w:t xml:space="preserve"> </w:t>
      </w:r>
      <w:r w:rsidRPr="003F4CE1">
        <w:rPr>
          <w:rFonts w:eastAsia="Times New Roman" w:cs="Open Sans"/>
        </w:rPr>
        <w:t>echoing</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recommendation</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Senate</w:t>
      </w:r>
      <w:r w:rsidR="00573BA7">
        <w:rPr>
          <w:rFonts w:eastAsia="Times New Roman" w:cs="Open Sans"/>
        </w:rPr>
        <w:t xml:space="preserve"> </w:t>
      </w:r>
      <w:r w:rsidRPr="003F4CE1">
        <w:rPr>
          <w:rFonts w:eastAsia="Times New Roman" w:cs="Open Sans"/>
        </w:rPr>
        <w:t>Committee</w:t>
      </w:r>
      <w:r w:rsidR="00573BA7">
        <w:rPr>
          <w:rFonts w:eastAsia="Times New Roman" w:cs="Open Sans"/>
        </w:rPr>
        <w:t xml:space="preserve"> </w:t>
      </w:r>
      <w:r w:rsidRPr="003F4CE1">
        <w:rPr>
          <w:rFonts w:eastAsia="Times New Roman" w:cs="Open Sans"/>
        </w:rPr>
        <w:t>in</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2008</w:t>
      </w:r>
      <w:r w:rsidR="00573BA7">
        <w:rPr>
          <w:rFonts w:eastAsia="Times New Roman" w:cs="Open Sans"/>
        </w:rPr>
        <w:t xml:space="preserve"> </w:t>
      </w:r>
      <w:r w:rsidRPr="003F4CE1">
        <w:rPr>
          <w:rFonts w:eastAsia="Times New Roman" w:cs="Open Sans"/>
        </w:rPr>
        <w:t>SDA</w:t>
      </w:r>
      <w:r w:rsidR="00573BA7">
        <w:rPr>
          <w:rFonts w:eastAsia="Times New Roman" w:cs="Open Sans"/>
        </w:rPr>
        <w:t xml:space="preserve"> </w:t>
      </w:r>
      <w:r w:rsidR="00A67696">
        <w:rPr>
          <w:rFonts w:eastAsia="Times New Roman" w:cs="Open Sans"/>
        </w:rPr>
        <w:t xml:space="preserve">Inquiry </w:t>
      </w:r>
      <w:r w:rsidRPr="003F4CE1">
        <w:rPr>
          <w:rFonts w:eastAsia="Times New Roman" w:cs="Open Sans"/>
        </w:rPr>
        <w:t>and</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Exposure</w:t>
      </w:r>
      <w:r w:rsidR="00573BA7">
        <w:rPr>
          <w:rFonts w:eastAsia="Times New Roman" w:cs="Open Sans"/>
        </w:rPr>
        <w:t xml:space="preserve"> </w:t>
      </w:r>
      <w:r w:rsidRPr="003F4CE1">
        <w:rPr>
          <w:rFonts w:eastAsia="Times New Roman" w:cs="Open Sans"/>
        </w:rPr>
        <w:t>Draft</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Human</w:t>
      </w:r>
      <w:r w:rsidR="00573BA7">
        <w:rPr>
          <w:rFonts w:eastAsia="Times New Roman" w:cs="Open Sans"/>
        </w:rPr>
        <w:t xml:space="preserve"> </w:t>
      </w:r>
      <w:r w:rsidRPr="003F4CE1">
        <w:rPr>
          <w:rFonts w:eastAsia="Times New Roman" w:cs="Open Sans"/>
        </w:rPr>
        <w:t>Rights</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Pr="003F4CE1">
        <w:rPr>
          <w:rFonts w:eastAsia="Times New Roman" w:cs="Open Sans"/>
        </w:rPr>
        <w:t>Anti-Discrimination</w:t>
      </w:r>
      <w:r w:rsidR="00573BA7">
        <w:rPr>
          <w:rFonts w:eastAsia="Times New Roman" w:cs="Open Sans"/>
        </w:rPr>
        <w:t xml:space="preserve"> </w:t>
      </w:r>
      <w:r w:rsidRPr="003F4CE1">
        <w:rPr>
          <w:rFonts w:eastAsia="Times New Roman" w:cs="Open Sans"/>
        </w:rPr>
        <w:t>Bill</w:t>
      </w:r>
      <w:r w:rsidR="00967DFC">
        <w:rPr>
          <w:rFonts w:eastAsia="Times New Roman" w:cs="Open Sans"/>
        </w:rPr>
        <w:t>,</w:t>
      </w:r>
      <w:r w:rsidR="001A4E65">
        <w:rPr>
          <w:rStyle w:val="EndnoteReference"/>
          <w:rFonts w:eastAsia="Times New Roman" w:cs="Open Sans"/>
        </w:rPr>
        <w:endnoteReference w:id="174"/>
      </w:r>
      <w:r w:rsidR="00573BA7">
        <w:rPr>
          <w:rFonts w:eastAsia="Times New Roman" w:cs="Open Sans"/>
        </w:rPr>
        <w:t xml:space="preserve"> </w:t>
      </w:r>
      <w:r w:rsidRPr="003F4CE1">
        <w:rPr>
          <w:rFonts w:eastAsia="Times New Roman" w:cs="Open Sans"/>
        </w:rPr>
        <w:t>is</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adopt</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definition</w:t>
      </w:r>
      <w:r w:rsidR="00573BA7">
        <w:rPr>
          <w:rFonts w:eastAsia="Times New Roman" w:cs="Open Sans"/>
        </w:rPr>
        <w:t xml:space="preserve"> </w:t>
      </w:r>
      <w:r w:rsidRPr="003F4CE1">
        <w:rPr>
          <w:rFonts w:eastAsia="Times New Roman" w:cs="Open Sans"/>
        </w:rPr>
        <w:t>in</w:t>
      </w:r>
      <w:r w:rsidR="00573BA7">
        <w:rPr>
          <w:rFonts w:eastAsia="Times New Roman" w:cs="Open Sans"/>
        </w:rPr>
        <w:t xml:space="preserve"> </w:t>
      </w:r>
      <w:r w:rsidRPr="003F4CE1">
        <w:rPr>
          <w:rFonts w:eastAsia="Times New Roman" w:cs="Open Sans"/>
        </w:rPr>
        <w:t>section</w:t>
      </w:r>
      <w:r w:rsidR="00573BA7">
        <w:rPr>
          <w:rFonts w:eastAsia="Times New Roman" w:cs="Open Sans"/>
        </w:rPr>
        <w:t xml:space="preserve"> </w:t>
      </w:r>
      <w:r w:rsidRPr="003F4CE1">
        <w:rPr>
          <w:rFonts w:eastAsia="Times New Roman" w:cs="Open Sans"/>
        </w:rPr>
        <w:t>8(2)</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7069484">
        <w:rPr>
          <w:rFonts w:eastAsia="Times New Roman" w:cs="Open Sans"/>
          <w:i/>
          <w:iCs/>
        </w:rPr>
        <w:t>Discrimination</w:t>
      </w:r>
      <w:r w:rsidR="00573BA7" w:rsidRPr="07069484">
        <w:rPr>
          <w:rFonts w:eastAsia="Times New Roman" w:cs="Open Sans"/>
          <w:i/>
          <w:iCs/>
        </w:rPr>
        <w:t xml:space="preserve"> </w:t>
      </w:r>
      <w:r w:rsidRPr="07069484">
        <w:rPr>
          <w:rFonts w:eastAsia="Times New Roman" w:cs="Open Sans"/>
          <w:i/>
          <w:iCs/>
        </w:rPr>
        <w:t>Act</w:t>
      </w:r>
      <w:r w:rsidR="00573BA7" w:rsidRPr="07069484">
        <w:rPr>
          <w:rFonts w:eastAsia="Times New Roman" w:cs="Open Sans"/>
          <w:i/>
          <w:iCs/>
        </w:rPr>
        <w:t xml:space="preserve"> </w:t>
      </w:r>
      <w:r w:rsidRPr="07069484">
        <w:rPr>
          <w:rFonts w:eastAsia="Times New Roman" w:cs="Open Sans"/>
          <w:i/>
          <w:iCs/>
        </w:rPr>
        <w:t>1991</w:t>
      </w:r>
      <w:r w:rsidR="00573BA7" w:rsidRPr="07069484">
        <w:rPr>
          <w:rFonts w:eastAsia="Times New Roman" w:cs="Open Sans"/>
          <w:i/>
          <w:iCs/>
        </w:rPr>
        <w:t xml:space="preserve"> </w:t>
      </w:r>
      <w:r w:rsidRPr="003F4CE1">
        <w:rPr>
          <w:rFonts w:eastAsia="Times New Roman" w:cs="Open Sans"/>
        </w:rPr>
        <w:t>(ACT):</w:t>
      </w:r>
    </w:p>
    <w:p w14:paraId="38CA6887" w14:textId="4563448A" w:rsidR="005438F7" w:rsidRPr="007B537E" w:rsidRDefault="005438F7" w:rsidP="007B537E">
      <w:pPr>
        <w:ind w:left="720"/>
        <w:textAlignment w:val="baseline"/>
        <w:rPr>
          <w:rFonts w:eastAsia="Times New Roman" w:cs="Open Sans"/>
          <w:sz w:val="22"/>
          <w:szCs w:val="22"/>
        </w:rPr>
      </w:pPr>
      <w:r w:rsidRPr="007B537E">
        <w:rPr>
          <w:rFonts w:eastAsia="Times New Roman" w:cs="Open Sans"/>
          <w:sz w:val="22"/>
          <w:szCs w:val="22"/>
        </w:rPr>
        <w:t>A</w:t>
      </w:r>
      <w:r w:rsidR="00573BA7" w:rsidRPr="007B537E">
        <w:rPr>
          <w:rFonts w:eastAsia="Times New Roman" w:cs="Open Sans"/>
          <w:sz w:val="22"/>
          <w:szCs w:val="22"/>
        </w:rPr>
        <w:t xml:space="preserve"> </w:t>
      </w:r>
      <w:r w:rsidRPr="007B537E">
        <w:rPr>
          <w:rFonts w:eastAsia="Times New Roman" w:cs="Open Sans"/>
          <w:sz w:val="22"/>
          <w:szCs w:val="22"/>
        </w:rPr>
        <w:t>person</w:t>
      </w:r>
      <w:r w:rsidR="00573BA7" w:rsidRPr="007B537E">
        <w:rPr>
          <w:rFonts w:eastAsia="Times New Roman" w:cs="Open Sans"/>
          <w:sz w:val="22"/>
          <w:szCs w:val="22"/>
        </w:rPr>
        <w:t xml:space="preserve"> </w:t>
      </w:r>
      <w:r w:rsidRPr="007B537E">
        <w:rPr>
          <w:rFonts w:eastAsia="Times New Roman" w:cs="Open Sans"/>
          <w:sz w:val="22"/>
          <w:szCs w:val="22"/>
        </w:rPr>
        <w:t>directly</w:t>
      </w:r>
      <w:r w:rsidR="00573BA7" w:rsidRPr="007B537E">
        <w:rPr>
          <w:rFonts w:eastAsia="Times New Roman" w:cs="Open Sans"/>
          <w:sz w:val="22"/>
          <w:szCs w:val="22"/>
        </w:rPr>
        <w:t xml:space="preserve"> </w:t>
      </w:r>
      <w:r w:rsidRPr="007B537E">
        <w:rPr>
          <w:rFonts w:eastAsia="Times New Roman" w:cs="Open Sans"/>
          <w:sz w:val="22"/>
          <w:szCs w:val="22"/>
        </w:rPr>
        <w:t>discriminates</w:t>
      </w:r>
      <w:r w:rsidR="00573BA7" w:rsidRPr="007B537E">
        <w:rPr>
          <w:rFonts w:eastAsia="Times New Roman" w:cs="Open Sans"/>
          <w:sz w:val="22"/>
          <w:szCs w:val="22"/>
        </w:rPr>
        <w:t xml:space="preserve"> </w:t>
      </w:r>
      <w:r w:rsidRPr="007B537E">
        <w:rPr>
          <w:rFonts w:eastAsia="Times New Roman" w:cs="Open Sans"/>
          <w:sz w:val="22"/>
          <w:szCs w:val="22"/>
        </w:rPr>
        <w:t>against</w:t>
      </w:r>
      <w:r w:rsidR="00573BA7" w:rsidRPr="007B537E">
        <w:rPr>
          <w:rFonts w:eastAsia="Times New Roman" w:cs="Open Sans"/>
          <w:sz w:val="22"/>
          <w:szCs w:val="22"/>
        </w:rPr>
        <w:t xml:space="preserve"> </w:t>
      </w:r>
      <w:r w:rsidRPr="007B537E">
        <w:rPr>
          <w:rFonts w:eastAsia="Times New Roman" w:cs="Open Sans"/>
          <w:sz w:val="22"/>
          <w:szCs w:val="22"/>
        </w:rPr>
        <w:t>someone</w:t>
      </w:r>
      <w:r w:rsidR="00573BA7" w:rsidRPr="007B537E">
        <w:rPr>
          <w:rFonts w:eastAsia="Times New Roman" w:cs="Open Sans"/>
          <w:sz w:val="22"/>
          <w:szCs w:val="22"/>
        </w:rPr>
        <w:t xml:space="preserve"> </w:t>
      </w:r>
      <w:r w:rsidRPr="007B537E">
        <w:rPr>
          <w:rFonts w:eastAsia="Times New Roman" w:cs="Open Sans"/>
          <w:sz w:val="22"/>
          <w:szCs w:val="22"/>
        </w:rPr>
        <w:t>else</w:t>
      </w:r>
      <w:r w:rsidR="00573BA7" w:rsidRPr="007B537E">
        <w:rPr>
          <w:rFonts w:eastAsia="Times New Roman" w:cs="Open Sans"/>
          <w:sz w:val="22"/>
          <w:szCs w:val="22"/>
        </w:rPr>
        <w:t xml:space="preserve"> </w:t>
      </w:r>
      <w:r w:rsidRPr="007B537E">
        <w:rPr>
          <w:rFonts w:eastAsia="Times New Roman" w:cs="Open Sans"/>
          <w:sz w:val="22"/>
          <w:szCs w:val="22"/>
        </w:rPr>
        <w:t>if</w:t>
      </w:r>
      <w:r w:rsidR="00573BA7" w:rsidRPr="007B537E">
        <w:rPr>
          <w:rFonts w:eastAsia="Times New Roman" w:cs="Open Sans"/>
          <w:sz w:val="22"/>
          <w:szCs w:val="22"/>
        </w:rPr>
        <w:t xml:space="preserve"> </w:t>
      </w:r>
      <w:r w:rsidRPr="007B537E">
        <w:rPr>
          <w:rFonts w:eastAsia="Times New Roman" w:cs="Open Sans"/>
          <w:sz w:val="22"/>
          <w:szCs w:val="22"/>
        </w:rPr>
        <w:t>the</w:t>
      </w:r>
      <w:r w:rsidR="00573BA7" w:rsidRPr="007B537E">
        <w:rPr>
          <w:rFonts w:eastAsia="Times New Roman" w:cs="Open Sans"/>
          <w:sz w:val="22"/>
          <w:szCs w:val="22"/>
        </w:rPr>
        <w:t xml:space="preserve"> </w:t>
      </w:r>
      <w:r w:rsidRPr="007B537E">
        <w:rPr>
          <w:rFonts w:eastAsia="Times New Roman" w:cs="Open Sans"/>
          <w:sz w:val="22"/>
          <w:szCs w:val="22"/>
        </w:rPr>
        <w:t>person</w:t>
      </w:r>
      <w:r w:rsidR="00573BA7" w:rsidRPr="007B537E">
        <w:rPr>
          <w:rFonts w:eastAsia="Times New Roman" w:cs="Open Sans"/>
          <w:sz w:val="22"/>
          <w:szCs w:val="22"/>
        </w:rPr>
        <w:t xml:space="preserve"> </w:t>
      </w:r>
      <w:r w:rsidRPr="007B537E">
        <w:rPr>
          <w:rFonts w:eastAsia="Times New Roman" w:cs="Open Sans"/>
          <w:sz w:val="22"/>
          <w:szCs w:val="22"/>
        </w:rPr>
        <w:t>treats,</w:t>
      </w:r>
      <w:r w:rsidR="00573BA7" w:rsidRPr="007B537E">
        <w:rPr>
          <w:rFonts w:eastAsia="Times New Roman" w:cs="Open Sans"/>
          <w:sz w:val="22"/>
          <w:szCs w:val="22"/>
        </w:rPr>
        <w:t xml:space="preserve"> </w:t>
      </w:r>
      <w:r w:rsidRPr="007B537E">
        <w:rPr>
          <w:rFonts w:eastAsia="Times New Roman" w:cs="Open Sans"/>
          <w:sz w:val="22"/>
          <w:szCs w:val="22"/>
        </w:rPr>
        <w:t>or</w:t>
      </w:r>
      <w:r w:rsidR="00573BA7" w:rsidRPr="007B537E">
        <w:rPr>
          <w:rFonts w:eastAsia="Times New Roman" w:cs="Open Sans"/>
          <w:sz w:val="22"/>
          <w:szCs w:val="22"/>
        </w:rPr>
        <w:t xml:space="preserve"> </w:t>
      </w:r>
      <w:r w:rsidRPr="007B537E">
        <w:rPr>
          <w:rFonts w:eastAsia="Times New Roman" w:cs="Open Sans"/>
          <w:sz w:val="22"/>
          <w:szCs w:val="22"/>
        </w:rPr>
        <w:t>proposes</w:t>
      </w:r>
      <w:r w:rsidR="00573BA7" w:rsidRPr="007B537E">
        <w:rPr>
          <w:rFonts w:eastAsia="Times New Roman" w:cs="Open Sans"/>
          <w:sz w:val="22"/>
          <w:szCs w:val="22"/>
        </w:rPr>
        <w:t xml:space="preserve"> </w:t>
      </w:r>
      <w:r w:rsidRPr="007B537E">
        <w:rPr>
          <w:rFonts w:eastAsia="Times New Roman" w:cs="Open Sans"/>
          <w:sz w:val="22"/>
          <w:szCs w:val="22"/>
        </w:rPr>
        <w:t>to</w:t>
      </w:r>
      <w:r w:rsidR="00573BA7" w:rsidRPr="007B537E">
        <w:rPr>
          <w:rFonts w:eastAsia="Times New Roman" w:cs="Open Sans"/>
          <w:sz w:val="22"/>
          <w:szCs w:val="22"/>
        </w:rPr>
        <w:t xml:space="preserve"> </w:t>
      </w:r>
      <w:r w:rsidRPr="007B537E">
        <w:rPr>
          <w:rFonts w:eastAsia="Times New Roman" w:cs="Open Sans"/>
          <w:sz w:val="22"/>
          <w:szCs w:val="22"/>
        </w:rPr>
        <w:t>treat,</w:t>
      </w:r>
      <w:r w:rsidR="00573BA7" w:rsidRPr="007B537E">
        <w:rPr>
          <w:rFonts w:eastAsia="Times New Roman" w:cs="Open Sans"/>
          <w:sz w:val="22"/>
          <w:szCs w:val="22"/>
        </w:rPr>
        <w:t xml:space="preserve"> </w:t>
      </w:r>
      <w:r w:rsidRPr="007B537E">
        <w:rPr>
          <w:rFonts w:eastAsia="Times New Roman" w:cs="Open Sans"/>
          <w:sz w:val="22"/>
          <w:szCs w:val="22"/>
        </w:rPr>
        <w:t>another</w:t>
      </w:r>
      <w:r w:rsidR="00573BA7" w:rsidRPr="007B537E">
        <w:rPr>
          <w:rFonts w:eastAsia="Times New Roman" w:cs="Open Sans"/>
          <w:sz w:val="22"/>
          <w:szCs w:val="22"/>
        </w:rPr>
        <w:t xml:space="preserve"> </w:t>
      </w:r>
      <w:r w:rsidRPr="007B537E">
        <w:rPr>
          <w:rFonts w:eastAsia="Times New Roman" w:cs="Open Sans"/>
          <w:sz w:val="22"/>
          <w:szCs w:val="22"/>
        </w:rPr>
        <w:t>person</w:t>
      </w:r>
      <w:r w:rsidR="00573BA7" w:rsidRPr="007B537E">
        <w:rPr>
          <w:rFonts w:eastAsia="Times New Roman" w:cs="Open Sans"/>
          <w:sz w:val="22"/>
          <w:szCs w:val="22"/>
        </w:rPr>
        <w:t xml:space="preserve"> </w:t>
      </w:r>
      <w:r w:rsidRPr="007B537E">
        <w:rPr>
          <w:rFonts w:eastAsia="Times New Roman" w:cs="Open Sans"/>
          <w:sz w:val="22"/>
          <w:szCs w:val="22"/>
        </w:rPr>
        <w:t>unfavourably</w:t>
      </w:r>
      <w:r w:rsidR="00573BA7" w:rsidRPr="007B537E">
        <w:rPr>
          <w:rFonts w:eastAsia="Times New Roman" w:cs="Open Sans"/>
          <w:sz w:val="22"/>
          <w:szCs w:val="22"/>
        </w:rPr>
        <w:t xml:space="preserve"> </w:t>
      </w:r>
      <w:r w:rsidRPr="007B537E">
        <w:rPr>
          <w:rFonts w:eastAsia="Times New Roman" w:cs="Open Sans"/>
          <w:sz w:val="22"/>
          <w:szCs w:val="22"/>
        </w:rPr>
        <w:t>because</w:t>
      </w:r>
      <w:r w:rsidR="00573BA7" w:rsidRPr="007B537E">
        <w:rPr>
          <w:rFonts w:eastAsia="Times New Roman" w:cs="Open Sans"/>
          <w:sz w:val="22"/>
          <w:szCs w:val="22"/>
        </w:rPr>
        <w:t xml:space="preserve"> </w:t>
      </w:r>
      <w:r w:rsidRPr="007B537E">
        <w:rPr>
          <w:rFonts w:eastAsia="Times New Roman" w:cs="Open Sans"/>
          <w:sz w:val="22"/>
          <w:szCs w:val="22"/>
        </w:rPr>
        <w:t>the</w:t>
      </w:r>
      <w:r w:rsidR="00573BA7" w:rsidRPr="007B537E">
        <w:rPr>
          <w:rFonts w:eastAsia="Times New Roman" w:cs="Open Sans"/>
          <w:sz w:val="22"/>
          <w:szCs w:val="22"/>
        </w:rPr>
        <w:t xml:space="preserve"> </w:t>
      </w:r>
      <w:r w:rsidRPr="007B537E">
        <w:rPr>
          <w:rFonts w:eastAsia="Times New Roman" w:cs="Open Sans"/>
          <w:sz w:val="22"/>
          <w:szCs w:val="22"/>
        </w:rPr>
        <w:t>other</w:t>
      </w:r>
      <w:r w:rsidR="00573BA7" w:rsidRPr="007B537E">
        <w:rPr>
          <w:rFonts w:eastAsia="Times New Roman" w:cs="Open Sans"/>
          <w:sz w:val="22"/>
          <w:szCs w:val="22"/>
        </w:rPr>
        <w:t xml:space="preserve"> </w:t>
      </w:r>
      <w:r w:rsidRPr="007B537E">
        <w:rPr>
          <w:rFonts w:eastAsia="Times New Roman" w:cs="Open Sans"/>
          <w:sz w:val="22"/>
          <w:szCs w:val="22"/>
        </w:rPr>
        <w:t>person</w:t>
      </w:r>
      <w:r w:rsidR="00573BA7" w:rsidRPr="007B537E">
        <w:rPr>
          <w:rFonts w:eastAsia="Times New Roman" w:cs="Open Sans"/>
          <w:sz w:val="22"/>
          <w:szCs w:val="22"/>
        </w:rPr>
        <w:t xml:space="preserve"> </w:t>
      </w:r>
      <w:r w:rsidRPr="007B537E">
        <w:rPr>
          <w:rFonts w:eastAsia="Times New Roman" w:cs="Open Sans"/>
          <w:sz w:val="22"/>
          <w:szCs w:val="22"/>
        </w:rPr>
        <w:t>has</w:t>
      </w:r>
      <w:r w:rsidR="00573BA7" w:rsidRPr="007B537E">
        <w:rPr>
          <w:rFonts w:eastAsia="Times New Roman" w:cs="Open Sans"/>
          <w:sz w:val="22"/>
          <w:szCs w:val="22"/>
        </w:rPr>
        <w:t xml:space="preserve"> </w:t>
      </w:r>
      <w:r w:rsidRPr="007B537E">
        <w:rPr>
          <w:rFonts w:eastAsia="Times New Roman" w:cs="Open Sans"/>
          <w:sz w:val="22"/>
          <w:szCs w:val="22"/>
        </w:rPr>
        <w:t>1</w:t>
      </w:r>
      <w:r w:rsidR="00573BA7" w:rsidRPr="007B537E">
        <w:rPr>
          <w:rFonts w:eastAsia="Times New Roman" w:cs="Open Sans"/>
          <w:sz w:val="22"/>
          <w:szCs w:val="22"/>
        </w:rPr>
        <w:t xml:space="preserve"> </w:t>
      </w:r>
      <w:r w:rsidRPr="007B537E">
        <w:rPr>
          <w:rFonts w:eastAsia="Times New Roman" w:cs="Open Sans"/>
          <w:sz w:val="22"/>
          <w:szCs w:val="22"/>
        </w:rPr>
        <w:t>or</w:t>
      </w:r>
      <w:r w:rsidR="00573BA7" w:rsidRPr="007B537E">
        <w:rPr>
          <w:rFonts w:eastAsia="Times New Roman" w:cs="Open Sans"/>
          <w:sz w:val="22"/>
          <w:szCs w:val="22"/>
        </w:rPr>
        <w:t xml:space="preserve"> </w:t>
      </w:r>
      <w:r w:rsidRPr="007B537E">
        <w:rPr>
          <w:rFonts w:eastAsia="Times New Roman" w:cs="Open Sans"/>
          <w:sz w:val="22"/>
          <w:szCs w:val="22"/>
        </w:rPr>
        <w:t>more</w:t>
      </w:r>
      <w:r w:rsidR="00573BA7" w:rsidRPr="007B537E">
        <w:rPr>
          <w:rFonts w:eastAsia="Times New Roman" w:cs="Open Sans"/>
          <w:sz w:val="22"/>
          <w:szCs w:val="22"/>
        </w:rPr>
        <w:t xml:space="preserve"> </w:t>
      </w:r>
      <w:r w:rsidRPr="007B537E">
        <w:rPr>
          <w:rFonts w:eastAsia="Times New Roman" w:cs="Open Sans"/>
          <w:sz w:val="22"/>
          <w:szCs w:val="22"/>
        </w:rPr>
        <w:t>protected</w:t>
      </w:r>
      <w:r w:rsidR="00573BA7" w:rsidRPr="007B537E">
        <w:rPr>
          <w:rFonts w:eastAsia="Times New Roman" w:cs="Open Sans"/>
          <w:sz w:val="22"/>
          <w:szCs w:val="22"/>
        </w:rPr>
        <w:t xml:space="preserve"> </w:t>
      </w:r>
      <w:r w:rsidRPr="007B537E">
        <w:rPr>
          <w:rFonts w:eastAsia="Times New Roman" w:cs="Open Sans"/>
          <w:sz w:val="22"/>
          <w:szCs w:val="22"/>
        </w:rPr>
        <w:t>attributes.</w:t>
      </w:r>
    </w:p>
    <w:p w14:paraId="1BC6D9F3" w14:textId="2A487373" w:rsidR="005D3CCA" w:rsidRPr="001956A7" w:rsidRDefault="005D3CCA" w:rsidP="00662F4B">
      <w:pPr>
        <w:pStyle w:val="ListNumber"/>
        <w:rPr>
          <w:rFonts w:cs="Open Sans"/>
          <w:b/>
          <w:bCs/>
          <w:i/>
          <w:iCs/>
        </w:rPr>
      </w:pPr>
      <w:r w:rsidRPr="07069484">
        <w:rPr>
          <w:rFonts w:cs="Open Sans"/>
        </w:rPr>
        <w:t xml:space="preserve">This approach is preferable because it provides for a clearer test </w:t>
      </w:r>
      <w:r w:rsidR="00856C6D" w:rsidRPr="07069484">
        <w:rPr>
          <w:rFonts w:cs="Open Sans"/>
        </w:rPr>
        <w:t>that is</w:t>
      </w:r>
      <w:r w:rsidRPr="07069484">
        <w:rPr>
          <w:rFonts w:cs="Open Sans"/>
        </w:rPr>
        <w:t xml:space="preserve"> </w:t>
      </w:r>
      <w:r w:rsidR="00883D19" w:rsidRPr="07069484">
        <w:rPr>
          <w:rFonts w:cs="Open Sans"/>
        </w:rPr>
        <w:t xml:space="preserve">less likely to lead to subjective assessments regarding who is an appropriate comparator. </w:t>
      </w:r>
    </w:p>
    <w:p w14:paraId="09EF7167" w14:textId="3843720D" w:rsidR="009B0567" w:rsidRPr="00707BCE" w:rsidRDefault="009B0567" w:rsidP="00707BCE">
      <w:pPr>
        <w:pStyle w:val="ListNumber"/>
        <w:rPr>
          <w:rFonts w:ascii="Times New Roman" w:eastAsiaTheme="minorEastAsia" w:hAnsi="Times New Roman"/>
          <w:b/>
          <w:bCs/>
          <w:i/>
          <w:iCs/>
        </w:rPr>
      </w:pPr>
      <w:r w:rsidRPr="07069484">
        <w:rPr>
          <w:rFonts w:cs="Open Sans"/>
        </w:rPr>
        <w:t xml:space="preserve">The </w:t>
      </w:r>
      <w:r w:rsidR="00EE4344">
        <w:rPr>
          <w:rFonts w:cs="Open Sans"/>
        </w:rPr>
        <w:t>formulation of the comparator test</w:t>
      </w:r>
      <w:r w:rsidRPr="07069484">
        <w:rPr>
          <w:rFonts w:cs="Open Sans"/>
        </w:rPr>
        <w:t xml:space="preserve"> will be further explored </w:t>
      </w:r>
      <w:r w:rsidR="000E4E9D" w:rsidRPr="07069484">
        <w:rPr>
          <w:rFonts w:eastAsia="Times New Roman" w:cs="Open Sans"/>
        </w:rPr>
        <w:t>in the National Conversation report due to be published later this year</w:t>
      </w:r>
      <w:r w:rsidRPr="07069484">
        <w:rPr>
          <w:rFonts w:cs="Open Sans"/>
        </w:rPr>
        <w:t>.</w:t>
      </w:r>
    </w:p>
    <w:p w14:paraId="657E62E6" w14:textId="2A792ACC" w:rsidR="009F4BD7" w:rsidRPr="003F4CE1" w:rsidRDefault="00C23EE5">
      <w:pPr>
        <w:pStyle w:val="Heading3"/>
      </w:pPr>
      <w:bookmarkStart w:id="75" w:name="_Toc51834288"/>
      <w:r w:rsidRPr="00710E6A">
        <w:rPr>
          <w:b/>
          <w:bCs w:val="0"/>
        </w:rPr>
        <w:t>Intersectional complaints</w:t>
      </w:r>
      <w:bookmarkEnd w:id="75"/>
    </w:p>
    <w:p w14:paraId="399BE3E7" w14:textId="1663F432" w:rsidR="0098008D" w:rsidRDefault="00823D1C" w:rsidP="00662F4B">
      <w:pPr>
        <w:pStyle w:val="ListNumber"/>
        <w:rPr>
          <w:rFonts w:eastAsia="Times New Roman" w:cs="Open Sans"/>
        </w:rPr>
      </w:pPr>
      <w:r>
        <w:rPr>
          <w:rFonts w:eastAsia="Times New Roman" w:cs="Open Sans"/>
        </w:rPr>
        <w:t xml:space="preserve">As </w:t>
      </w:r>
      <w:r w:rsidRPr="001956A7">
        <w:rPr>
          <w:rFonts w:eastAsia="Times New Roman" w:cs="Open Sans"/>
        </w:rPr>
        <w:t xml:space="preserve">discussed at paragraph </w:t>
      </w:r>
      <w:r w:rsidR="0077132B" w:rsidRPr="001956A7">
        <w:rPr>
          <w:rFonts w:eastAsia="Times New Roman" w:cs="Open Sans"/>
        </w:rPr>
        <w:t xml:space="preserve">9 </w:t>
      </w:r>
      <w:r w:rsidRPr="001956A7">
        <w:rPr>
          <w:rFonts w:eastAsia="Times New Roman" w:cs="Open Sans"/>
        </w:rPr>
        <w:t>of this</w:t>
      </w:r>
      <w:r>
        <w:rPr>
          <w:rFonts w:eastAsia="Times New Roman" w:cs="Open Sans"/>
        </w:rPr>
        <w:t xml:space="preserve"> submission, t</w:t>
      </w:r>
      <w:r w:rsidR="00820C3C" w:rsidRPr="003F4CE1">
        <w:rPr>
          <w:rFonts w:eastAsia="Times New Roman" w:cs="Open Sans"/>
        </w:rPr>
        <w:t>he</w:t>
      </w:r>
      <w:r w:rsidR="00573BA7">
        <w:rPr>
          <w:rFonts w:eastAsia="Times New Roman" w:cs="Open Sans"/>
        </w:rPr>
        <w:t xml:space="preserve"> </w:t>
      </w:r>
      <w:r w:rsidR="00820C3C" w:rsidRPr="003F4CE1">
        <w:rPr>
          <w:rFonts w:eastAsia="Times New Roman" w:cs="Open Sans"/>
        </w:rPr>
        <w:t>Commission</w:t>
      </w:r>
      <w:r w:rsidR="00573BA7">
        <w:rPr>
          <w:rFonts w:eastAsia="Times New Roman" w:cs="Open Sans"/>
        </w:rPr>
        <w:t xml:space="preserve"> </w:t>
      </w:r>
      <w:r w:rsidR="00412FDE">
        <w:rPr>
          <w:rFonts w:eastAsia="Times New Roman" w:cs="Open Sans"/>
        </w:rPr>
        <w:t xml:space="preserve">is deeply concerned about </w:t>
      </w:r>
      <w:r w:rsidR="0098008D" w:rsidRPr="003F4CE1">
        <w:rPr>
          <w:rFonts w:eastAsia="Times New Roman" w:cs="Open Sans"/>
        </w:rPr>
        <w:t>the</w:t>
      </w:r>
      <w:r w:rsidR="00573BA7">
        <w:rPr>
          <w:rFonts w:eastAsia="Times New Roman" w:cs="Open Sans"/>
        </w:rPr>
        <w:t xml:space="preserve"> </w:t>
      </w:r>
      <w:r w:rsidR="00340997" w:rsidRPr="003F4CE1">
        <w:rPr>
          <w:rFonts w:eastAsia="Times New Roman" w:cs="Open Sans"/>
        </w:rPr>
        <w:t>experiences</w:t>
      </w:r>
      <w:r w:rsidR="00573BA7">
        <w:rPr>
          <w:rFonts w:eastAsia="Times New Roman" w:cs="Open Sans"/>
        </w:rPr>
        <w:t xml:space="preserve"> </w:t>
      </w:r>
      <w:r w:rsidR="00340997" w:rsidRPr="003F4CE1">
        <w:rPr>
          <w:rFonts w:eastAsia="Times New Roman" w:cs="Open Sans"/>
        </w:rPr>
        <w:t>of</w:t>
      </w:r>
      <w:r w:rsidR="00573BA7">
        <w:rPr>
          <w:rFonts w:eastAsia="Times New Roman" w:cs="Open Sans"/>
        </w:rPr>
        <w:t xml:space="preserve"> </w:t>
      </w:r>
      <w:r w:rsidR="00340997" w:rsidRPr="003F4CE1">
        <w:rPr>
          <w:rFonts w:eastAsia="Times New Roman" w:cs="Open Sans"/>
        </w:rPr>
        <w:t>people</w:t>
      </w:r>
      <w:r w:rsidR="00573BA7">
        <w:rPr>
          <w:rFonts w:eastAsia="Times New Roman" w:cs="Open Sans"/>
        </w:rPr>
        <w:t xml:space="preserve"> </w:t>
      </w:r>
      <w:r w:rsidR="00340997" w:rsidRPr="003F4CE1">
        <w:rPr>
          <w:rFonts w:eastAsia="Times New Roman" w:cs="Open Sans"/>
        </w:rPr>
        <w:t>with</w:t>
      </w:r>
      <w:r w:rsidR="00573BA7">
        <w:rPr>
          <w:rFonts w:eastAsia="Times New Roman" w:cs="Open Sans"/>
        </w:rPr>
        <w:t xml:space="preserve"> </w:t>
      </w:r>
      <w:r w:rsidR="00340997" w:rsidRPr="003F4CE1">
        <w:rPr>
          <w:rFonts w:eastAsia="Times New Roman" w:cs="Open Sans"/>
        </w:rPr>
        <w:t>disability</w:t>
      </w:r>
      <w:r w:rsidR="00573BA7">
        <w:rPr>
          <w:rFonts w:eastAsia="Times New Roman" w:cs="Open Sans"/>
        </w:rPr>
        <w:t xml:space="preserve"> </w:t>
      </w:r>
      <w:r w:rsidR="00340997" w:rsidRPr="003F4CE1">
        <w:rPr>
          <w:rFonts w:eastAsia="Times New Roman" w:cs="Open Sans"/>
        </w:rPr>
        <w:t>across</w:t>
      </w:r>
      <w:r w:rsidR="00573BA7">
        <w:rPr>
          <w:rFonts w:eastAsia="Times New Roman" w:cs="Open Sans"/>
        </w:rPr>
        <w:t xml:space="preserve"> </w:t>
      </w:r>
      <w:r w:rsidR="00340997" w:rsidRPr="003F4CE1">
        <w:rPr>
          <w:rFonts w:eastAsia="Times New Roman" w:cs="Open Sans"/>
        </w:rPr>
        <w:t>intersections</w:t>
      </w:r>
      <w:r w:rsidR="00573BA7">
        <w:rPr>
          <w:rFonts w:eastAsia="Times New Roman" w:cs="Open Sans"/>
        </w:rPr>
        <w:t xml:space="preserve"> </w:t>
      </w:r>
      <w:r w:rsidR="00340997" w:rsidRPr="003F4CE1">
        <w:rPr>
          <w:rFonts w:eastAsia="Times New Roman" w:cs="Open Sans"/>
        </w:rPr>
        <w:t>such</w:t>
      </w:r>
      <w:r w:rsidR="00573BA7">
        <w:rPr>
          <w:rFonts w:eastAsia="Times New Roman" w:cs="Open Sans"/>
        </w:rPr>
        <w:t xml:space="preserve"> </w:t>
      </w:r>
      <w:r w:rsidR="00340997" w:rsidRPr="003F4CE1">
        <w:rPr>
          <w:rFonts w:eastAsia="Times New Roman" w:cs="Open Sans"/>
        </w:rPr>
        <w:t>as</w:t>
      </w:r>
      <w:r w:rsidR="00573BA7">
        <w:rPr>
          <w:rFonts w:eastAsia="Times New Roman" w:cs="Open Sans"/>
        </w:rPr>
        <w:t xml:space="preserve"> </w:t>
      </w:r>
      <w:r w:rsidR="00340997" w:rsidRPr="003F4CE1">
        <w:rPr>
          <w:rFonts w:eastAsia="Times New Roman" w:cs="Open Sans"/>
        </w:rPr>
        <w:t>race,</w:t>
      </w:r>
      <w:r w:rsidR="00573BA7">
        <w:rPr>
          <w:rFonts w:eastAsia="Times New Roman" w:cs="Open Sans"/>
        </w:rPr>
        <w:t xml:space="preserve"> </w:t>
      </w:r>
      <w:r w:rsidR="00340997" w:rsidRPr="003F4CE1">
        <w:rPr>
          <w:rFonts w:eastAsia="Times New Roman" w:cs="Open Sans"/>
        </w:rPr>
        <w:t>gender</w:t>
      </w:r>
      <w:r w:rsidR="00573BA7">
        <w:rPr>
          <w:rFonts w:eastAsia="Times New Roman" w:cs="Open Sans"/>
        </w:rPr>
        <w:t xml:space="preserve"> </w:t>
      </w:r>
      <w:r w:rsidR="00340997" w:rsidRPr="003F4CE1">
        <w:rPr>
          <w:rFonts w:eastAsia="Times New Roman" w:cs="Open Sans"/>
        </w:rPr>
        <w:t>and</w:t>
      </w:r>
      <w:r w:rsidR="00573BA7">
        <w:rPr>
          <w:rFonts w:eastAsia="Times New Roman" w:cs="Open Sans"/>
        </w:rPr>
        <w:t xml:space="preserve"> </w:t>
      </w:r>
      <w:r w:rsidR="00340997" w:rsidRPr="003F4CE1">
        <w:rPr>
          <w:rFonts w:eastAsia="Times New Roman" w:cs="Open Sans"/>
        </w:rPr>
        <w:t>age</w:t>
      </w:r>
      <w:r w:rsidR="00412FDE">
        <w:rPr>
          <w:rFonts w:eastAsia="Times New Roman" w:cs="Open Sans"/>
        </w:rPr>
        <w:t xml:space="preserve"> in employment, and </w:t>
      </w:r>
      <w:r w:rsidR="00412FDE" w:rsidRPr="00412FDE">
        <w:rPr>
          <w:rFonts w:eastAsia="Times New Roman" w:cs="Open Sans"/>
        </w:rPr>
        <w:t>commends the Royal Commission’s consideration</w:t>
      </w:r>
      <w:r w:rsidR="00412FDE">
        <w:rPr>
          <w:rFonts w:eastAsia="Times New Roman" w:cs="Open Sans"/>
        </w:rPr>
        <w:t xml:space="preserve"> of these intersections</w:t>
      </w:r>
      <w:r w:rsidR="00340997" w:rsidRPr="003F4CE1">
        <w:rPr>
          <w:rFonts w:eastAsia="Times New Roman" w:cs="Open Sans"/>
        </w:rPr>
        <w:t>.</w:t>
      </w:r>
    </w:p>
    <w:p w14:paraId="096EF629" w14:textId="266981A5" w:rsidR="004A2834" w:rsidRPr="003F4CE1" w:rsidRDefault="006536BD" w:rsidP="00662F4B">
      <w:pPr>
        <w:pStyle w:val="ListNumber"/>
        <w:rPr>
          <w:rFonts w:eastAsia="Times New Roman" w:cs="Open Sans"/>
          <w:sz w:val="22"/>
          <w:szCs w:val="22"/>
        </w:rPr>
      </w:pPr>
      <w:r w:rsidRPr="07069484">
        <w:rPr>
          <w:rFonts w:eastAsia="Times New Roman" w:cs="Open Sans"/>
        </w:rPr>
        <w:t>A p</w:t>
      </w:r>
      <w:r w:rsidR="004A2834" w:rsidRPr="07069484">
        <w:rPr>
          <w:rFonts w:eastAsia="Times New Roman" w:cs="Open Sans"/>
        </w:rPr>
        <w:t>erson</w:t>
      </w:r>
      <w:r w:rsidR="00573BA7" w:rsidRPr="07069484">
        <w:rPr>
          <w:rFonts w:eastAsia="Times New Roman" w:cs="Open Sans"/>
        </w:rPr>
        <w:t xml:space="preserve"> </w:t>
      </w:r>
      <w:r w:rsidR="004A2834" w:rsidRPr="07069484">
        <w:rPr>
          <w:rFonts w:eastAsia="Times New Roman" w:cs="Open Sans"/>
        </w:rPr>
        <w:t>with</w:t>
      </w:r>
      <w:r w:rsidR="00573BA7" w:rsidRPr="07069484">
        <w:rPr>
          <w:rFonts w:eastAsia="Times New Roman" w:cs="Open Sans"/>
        </w:rPr>
        <w:t xml:space="preserve"> </w:t>
      </w:r>
      <w:r w:rsidR="004A2834" w:rsidRPr="07069484">
        <w:rPr>
          <w:rFonts w:eastAsia="Times New Roman" w:cs="Open Sans"/>
        </w:rPr>
        <w:t>disability</w:t>
      </w:r>
      <w:r w:rsidR="00573BA7" w:rsidRPr="07069484">
        <w:rPr>
          <w:rFonts w:eastAsia="Times New Roman" w:cs="Open Sans"/>
        </w:rPr>
        <w:t xml:space="preserve"> </w:t>
      </w:r>
      <w:r w:rsidR="004A2834" w:rsidRPr="07069484">
        <w:rPr>
          <w:rFonts w:eastAsia="Times New Roman" w:cs="Open Sans"/>
        </w:rPr>
        <w:t>who</w:t>
      </w:r>
      <w:r w:rsidR="00573BA7" w:rsidRPr="07069484">
        <w:rPr>
          <w:rFonts w:eastAsia="Times New Roman" w:cs="Open Sans"/>
        </w:rPr>
        <w:t xml:space="preserve"> </w:t>
      </w:r>
      <w:r w:rsidR="004A2834" w:rsidRPr="07069484">
        <w:rPr>
          <w:rFonts w:eastAsia="Times New Roman" w:cs="Open Sans"/>
        </w:rPr>
        <w:t>ha</w:t>
      </w:r>
      <w:r w:rsidRPr="07069484">
        <w:rPr>
          <w:rFonts w:eastAsia="Times New Roman" w:cs="Open Sans"/>
        </w:rPr>
        <w:t>s</w:t>
      </w:r>
      <w:r w:rsidR="00573BA7" w:rsidRPr="07069484">
        <w:rPr>
          <w:rFonts w:eastAsia="Times New Roman" w:cs="Open Sans"/>
        </w:rPr>
        <w:t xml:space="preserve"> </w:t>
      </w:r>
      <w:r w:rsidR="004A2834" w:rsidRPr="07069484">
        <w:rPr>
          <w:rFonts w:eastAsia="Times New Roman" w:cs="Open Sans"/>
        </w:rPr>
        <w:t>experienced</w:t>
      </w:r>
      <w:r w:rsidR="00573BA7" w:rsidRPr="07069484">
        <w:rPr>
          <w:rFonts w:eastAsia="Times New Roman" w:cs="Open Sans"/>
        </w:rPr>
        <w:t xml:space="preserve"> </w:t>
      </w:r>
      <w:r w:rsidR="00970E84" w:rsidRPr="07069484">
        <w:rPr>
          <w:rFonts w:eastAsia="Times New Roman" w:cs="Open Sans"/>
        </w:rPr>
        <w:t xml:space="preserve">intersectional </w:t>
      </w:r>
      <w:r w:rsidR="004A2834" w:rsidRPr="07069484">
        <w:rPr>
          <w:rFonts w:eastAsia="Times New Roman" w:cs="Open Sans"/>
        </w:rPr>
        <w:t>discrimination</w:t>
      </w:r>
      <w:r w:rsidR="00573BA7" w:rsidRPr="07069484">
        <w:rPr>
          <w:rFonts w:eastAsia="Times New Roman" w:cs="Open Sans"/>
        </w:rPr>
        <w:t xml:space="preserve"> </w:t>
      </w:r>
      <w:r w:rsidR="00970E84" w:rsidRPr="07069484">
        <w:rPr>
          <w:rFonts w:eastAsia="Times New Roman" w:cs="Open Sans"/>
        </w:rPr>
        <w:t xml:space="preserve">(discrimination </w:t>
      </w:r>
      <w:r w:rsidR="004A2834" w:rsidRPr="07069484">
        <w:rPr>
          <w:rFonts w:eastAsia="Times New Roman" w:cs="Open Sans"/>
        </w:rPr>
        <w:t>on</w:t>
      </w:r>
      <w:r w:rsidR="00573BA7" w:rsidRPr="07069484">
        <w:rPr>
          <w:rFonts w:eastAsia="Times New Roman" w:cs="Open Sans"/>
        </w:rPr>
        <w:t xml:space="preserve"> </w:t>
      </w:r>
      <w:r w:rsidR="004A2834" w:rsidRPr="07069484">
        <w:rPr>
          <w:rFonts w:eastAsia="Times New Roman" w:cs="Open Sans"/>
        </w:rPr>
        <w:t>the</w:t>
      </w:r>
      <w:r w:rsidR="00573BA7" w:rsidRPr="07069484">
        <w:rPr>
          <w:rFonts w:eastAsia="Times New Roman" w:cs="Open Sans"/>
        </w:rPr>
        <w:t xml:space="preserve"> </w:t>
      </w:r>
      <w:r w:rsidR="004A2834" w:rsidRPr="07069484">
        <w:rPr>
          <w:rFonts w:eastAsia="Times New Roman" w:cs="Open Sans"/>
        </w:rPr>
        <w:t>basis</w:t>
      </w:r>
      <w:r w:rsidR="00573BA7" w:rsidRPr="07069484">
        <w:rPr>
          <w:rFonts w:eastAsia="Times New Roman" w:cs="Open Sans"/>
        </w:rPr>
        <w:t xml:space="preserve"> </w:t>
      </w:r>
      <w:r w:rsidR="004A2834" w:rsidRPr="07069484">
        <w:rPr>
          <w:rFonts w:eastAsia="Times New Roman" w:cs="Open Sans"/>
        </w:rPr>
        <w:t>of</w:t>
      </w:r>
      <w:r w:rsidR="00573BA7" w:rsidRPr="07069484">
        <w:rPr>
          <w:rFonts w:eastAsia="Times New Roman" w:cs="Open Sans"/>
        </w:rPr>
        <w:t xml:space="preserve"> </w:t>
      </w:r>
      <w:r w:rsidR="004A2834" w:rsidRPr="07069484">
        <w:rPr>
          <w:rFonts w:eastAsia="Times New Roman" w:cs="Open Sans"/>
        </w:rPr>
        <w:t>a</w:t>
      </w:r>
      <w:r w:rsidR="00573BA7" w:rsidRPr="07069484">
        <w:rPr>
          <w:rFonts w:eastAsia="Times New Roman" w:cs="Open Sans"/>
        </w:rPr>
        <w:t xml:space="preserve"> </w:t>
      </w:r>
      <w:r w:rsidR="004A2834" w:rsidRPr="07069484">
        <w:rPr>
          <w:rFonts w:eastAsia="Times New Roman" w:cs="Open Sans"/>
        </w:rPr>
        <w:t>combination</w:t>
      </w:r>
      <w:r w:rsidR="00573BA7" w:rsidRPr="07069484">
        <w:rPr>
          <w:rFonts w:eastAsia="Times New Roman" w:cs="Open Sans"/>
        </w:rPr>
        <w:t xml:space="preserve"> </w:t>
      </w:r>
      <w:r w:rsidR="004A2834" w:rsidRPr="07069484">
        <w:rPr>
          <w:rFonts w:eastAsia="Times New Roman" w:cs="Open Sans"/>
        </w:rPr>
        <w:t>of</w:t>
      </w:r>
      <w:r w:rsidR="00573BA7" w:rsidRPr="07069484">
        <w:rPr>
          <w:rFonts w:eastAsia="Times New Roman" w:cs="Open Sans"/>
        </w:rPr>
        <w:t xml:space="preserve"> </w:t>
      </w:r>
      <w:r w:rsidR="004A2834" w:rsidRPr="07069484">
        <w:rPr>
          <w:rFonts w:eastAsia="Times New Roman" w:cs="Open Sans"/>
        </w:rPr>
        <w:t>attributes</w:t>
      </w:r>
      <w:r w:rsidR="0098008D" w:rsidRPr="07069484">
        <w:rPr>
          <w:rFonts w:eastAsia="Times New Roman" w:cs="Open Sans"/>
        </w:rPr>
        <w:t>)</w:t>
      </w:r>
      <w:r w:rsidR="00573BA7" w:rsidRPr="07069484">
        <w:rPr>
          <w:rFonts w:eastAsia="Times New Roman" w:cs="Open Sans"/>
        </w:rPr>
        <w:t xml:space="preserve"> </w:t>
      </w:r>
      <w:r w:rsidR="00D078B9" w:rsidRPr="07069484">
        <w:rPr>
          <w:rFonts w:eastAsia="Times New Roman" w:cs="Open Sans"/>
        </w:rPr>
        <w:t>may</w:t>
      </w:r>
      <w:r w:rsidR="00573BA7" w:rsidRPr="07069484">
        <w:rPr>
          <w:rFonts w:eastAsia="Times New Roman" w:cs="Open Sans"/>
        </w:rPr>
        <w:t xml:space="preserve"> </w:t>
      </w:r>
      <w:r w:rsidR="00D078B9" w:rsidRPr="07069484">
        <w:rPr>
          <w:rFonts w:eastAsia="Times New Roman" w:cs="Open Sans"/>
        </w:rPr>
        <w:t>make</w:t>
      </w:r>
      <w:r w:rsidR="00573BA7" w:rsidRPr="07069484">
        <w:rPr>
          <w:rFonts w:eastAsia="Times New Roman" w:cs="Open Sans"/>
        </w:rPr>
        <w:t xml:space="preserve"> </w:t>
      </w:r>
      <w:r w:rsidR="00D078B9" w:rsidRPr="07069484">
        <w:rPr>
          <w:rFonts w:eastAsia="Times New Roman" w:cs="Open Sans"/>
        </w:rPr>
        <w:t>a</w:t>
      </w:r>
      <w:r w:rsidR="00573BA7" w:rsidRPr="07069484">
        <w:rPr>
          <w:rFonts w:eastAsia="Times New Roman" w:cs="Open Sans"/>
        </w:rPr>
        <w:t xml:space="preserve"> </w:t>
      </w:r>
      <w:r w:rsidR="00D078B9" w:rsidRPr="07069484">
        <w:rPr>
          <w:rFonts w:eastAsia="Times New Roman" w:cs="Open Sans"/>
        </w:rPr>
        <w:t>complaint</w:t>
      </w:r>
      <w:r w:rsidR="00573BA7" w:rsidRPr="07069484">
        <w:rPr>
          <w:rFonts w:eastAsia="Times New Roman" w:cs="Open Sans"/>
        </w:rPr>
        <w:t xml:space="preserve"> </w:t>
      </w:r>
      <w:r w:rsidR="00D078B9" w:rsidRPr="07069484">
        <w:rPr>
          <w:rFonts w:eastAsia="Times New Roman" w:cs="Open Sans"/>
        </w:rPr>
        <w:t>to</w:t>
      </w:r>
      <w:r w:rsidR="00573BA7" w:rsidRPr="07069484">
        <w:rPr>
          <w:rFonts w:eastAsia="Times New Roman" w:cs="Open Sans"/>
        </w:rPr>
        <w:t xml:space="preserve"> </w:t>
      </w:r>
      <w:r w:rsidR="00D078B9" w:rsidRPr="07069484">
        <w:rPr>
          <w:rFonts w:eastAsia="Times New Roman" w:cs="Open Sans"/>
        </w:rPr>
        <w:t>the</w:t>
      </w:r>
      <w:r w:rsidR="00573BA7" w:rsidRPr="07069484">
        <w:rPr>
          <w:rFonts w:eastAsia="Times New Roman" w:cs="Open Sans"/>
        </w:rPr>
        <w:t xml:space="preserve"> </w:t>
      </w:r>
      <w:r w:rsidR="00D078B9" w:rsidRPr="07069484">
        <w:rPr>
          <w:rFonts w:eastAsia="Times New Roman" w:cs="Open Sans"/>
        </w:rPr>
        <w:t>Commission</w:t>
      </w:r>
      <w:r w:rsidR="004A2834" w:rsidRPr="07069484">
        <w:rPr>
          <w:rFonts w:eastAsia="Times New Roman" w:cs="Open Sans"/>
        </w:rPr>
        <w:t>.</w:t>
      </w:r>
      <w:r w:rsidR="00573BA7" w:rsidRPr="07069484">
        <w:rPr>
          <w:rFonts w:eastAsia="Times New Roman" w:cs="Open Sans"/>
        </w:rPr>
        <w:t xml:space="preserve"> </w:t>
      </w:r>
      <w:r w:rsidR="004A2834" w:rsidRPr="07069484">
        <w:rPr>
          <w:rFonts w:eastAsia="Times New Roman" w:cs="Open Sans"/>
        </w:rPr>
        <w:t>In</w:t>
      </w:r>
      <w:r w:rsidR="00573BA7" w:rsidRPr="07069484">
        <w:rPr>
          <w:rFonts w:eastAsia="Times New Roman" w:cs="Open Sans"/>
        </w:rPr>
        <w:t xml:space="preserve"> </w:t>
      </w:r>
      <w:r w:rsidR="004A2834" w:rsidRPr="07069484">
        <w:rPr>
          <w:rFonts w:eastAsia="Times New Roman" w:cs="Open Sans"/>
        </w:rPr>
        <w:t>practice,</w:t>
      </w:r>
      <w:r w:rsidR="00573BA7" w:rsidRPr="07069484">
        <w:rPr>
          <w:rFonts w:eastAsia="Times New Roman" w:cs="Open Sans"/>
        </w:rPr>
        <w:t xml:space="preserve"> </w:t>
      </w:r>
      <w:r w:rsidR="004A2834" w:rsidRPr="07069484">
        <w:rPr>
          <w:rFonts w:eastAsia="Times New Roman" w:cs="Open Sans"/>
        </w:rPr>
        <w:t>the</w:t>
      </w:r>
      <w:r w:rsidR="00573BA7" w:rsidRPr="07069484">
        <w:rPr>
          <w:rFonts w:eastAsia="Times New Roman" w:cs="Open Sans"/>
        </w:rPr>
        <w:t xml:space="preserve"> </w:t>
      </w:r>
      <w:r w:rsidR="004A2834" w:rsidRPr="07069484">
        <w:rPr>
          <w:rFonts w:eastAsia="Times New Roman" w:cs="Open Sans"/>
        </w:rPr>
        <w:t>Commission</w:t>
      </w:r>
      <w:r w:rsidR="00573BA7" w:rsidRPr="07069484">
        <w:rPr>
          <w:rFonts w:eastAsia="Times New Roman" w:cs="Open Sans"/>
        </w:rPr>
        <w:t xml:space="preserve"> </w:t>
      </w:r>
      <w:r w:rsidR="004A2834" w:rsidRPr="07069484">
        <w:rPr>
          <w:rFonts w:eastAsia="Times New Roman" w:cs="Open Sans"/>
        </w:rPr>
        <w:t>will</w:t>
      </w:r>
      <w:r w:rsidR="00573BA7" w:rsidRPr="07069484">
        <w:rPr>
          <w:rFonts w:eastAsia="Times New Roman" w:cs="Open Sans"/>
        </w:rPr>
        <w:t xml:space="preserve"> </w:t>
      </w:r>
      <w:r w:rsidR="00E02F65" w:rsidRPr="07069484">
        <w:rPr>
          <w:rFonts w:eastAsia="Times New Roman" w:cs="Open Sans"/>
        </w:rPr>
        <w:t>consider</w:t>
      </w:r>
      <w:r w:rsidR="00573BA7" w:rsidRPr="07069484">
        <w:rPr>
          <w:rFonts w:eastAsia="Times New Roman" w:cs="Open Sans"/>
        </w:rPr>
        <w:t xml:space="preserve"> </w:t>
      </w:r>
      <w:r w:rsidR="008B0294" w:rsidRPr="07069484">
        <w:rPr>
          <w:rFonts w:eastAsia="Times New Roman" w:cs="Open Sans"/>
        </w:rPr>
        <w:t>the</w:t>
      </w:r>
      <w:r w:rsidR="00573BA7" w:rsidRPr="07069484">
        <w:rPr>
          <w:rFonts w:eastAsia="Times New Roman" w:cs="Open Sans"/>
        </w:rPr>
        <w:t xml:space="preserve"> </w:t>
      </w:r>
      <w:r w:rsidR="008B0294" w:rsidRPr="07069484">
        <w:rPr>
          <w:rFonts w:eastAsia="Times New Roman" w:cs="Open Sans"/>
        </w:rPr>
        <w:t>complaint</w:t>
      </w:r>
      <w:r w:rsidR="00573BA7" w:rsidRPr="07069484">
        <w:rPr>
          <w:rFonts w:eastAsia="Times New Roman" w:cs="Open Sans"/>
        </w:rPr>
        <w:t xml:space="preserve"> </w:t>
      </w:r>
      <w:r w:rsidR="008B0294" w:rsidRPr="07069484">
        <w:rPr>
          <w:rFonts w:eastAsia="Times New Roman" w:cs="Open Sans"/>
        </w:rPr>
        <w:t>holistically</w:t>
      </w:r>
      <w:r w:rsidR="00573BA7" w:rsidRPr="07069484">
        <w:rPr>
          <w:rFonts w:eastAsia="Times New Roman" w:cs="Open Sans"/>
        </w:rPr>
        <w:t xml:space="preserve"> </w:t>
      </w:r>
      <w:r w:rsidR="008B0294" w:rsidRPr="07069484">
        <w:rPr>
          <w:rFonts w:eastAsia="Times New Roman" w:cs="Open Sans"/>
        </w:rPr>
        <w:t>and</w:t>
      </w:r>
      <w:r w:rsidR="00573BA7" w:rsidRPr="07069484">
        <w:rPr>
          <w:rFonts w:eastAsia="Times New Roman" w:cs="Open Sans"/>
        </w:rPr>
        <w:t xml:space="preserve"> </w:t>
      </w:r>
      <w:r w:rsidR="00E02F65" w:rsidRPr="07069484">
        <w:rPr>
          <w:rFonts w:eastAsia="Times New Roman" w:cs="Open Sans"/>
        </w:rPr>
        <w:t>treat</w:t>
      </w:r>
      <w:r w:rsidR="00573BA7" w:rsidRPr="07069484">
        <w:rPr>
          <w:rFonts w:eastAsia="Times New Roman" w:cs="Open Sans"/>
        </w:rPr>
        <w:t xml:space="preserve"> </w:t>
      </w:r>
      <w:r w:rsidR="00E02F65" w:rsidRPr="07069484">
        <w:rPr>
          <w:rFonts w:eastAsia="Times New Roman" w:cs="Open Sans"/>
        </w:rPr>
        <w:t>it</w:t>
      </w:r>
      <w:r w:rsidR="00573BA7" w:rsidRPr="07069484">
        <w:rPr>
          <w:rFonts w:eastAsia="Times New Roman" w:cs="Open Sans"/>
        </w:rPr>
        <w:t xml:space="preserve"> </w:t>
      </w:r>
      <w:r w:rsidR="004A2834" w:rsidRPr="07069484">
        <w:rPr>
          <w:rFonts w:eastAsia="Times New Roman" w:cs="Open Sans"/>
        </w:rPr>
        <w:t>as</w:t>
      </w:r>
      <w:r w:rsidR="00573BA7" w:rsidRPr="07069484">
        <w:rPr>
          <w:rFonts w:eastAsia="Times New Roman" w:cs="Open Sans"/>
        </w:rPr>
        <w:t xml:space="preserve"> </w:t>
      </w:r>
      <w:r w:rsidR="004A2834" w:rsidRPr="07069484">
        <w:rPr>
          <w:rFonts w:eastAsia="Times New Roman" w:cs="Open Sans"/>
        </w:rPr>
        <w:t>a</w:t>
      </w:r>
      <w:r w:rsidR="00573BA7" w:rsidRPr="07069484">
        <w:rPr>
          <w:rFonts w:eastAsia="Times New Roman" w:cs="Open Sans"/>
        </w:rPr>
        <w:t xml:space="preserve"> </w:t>
      </w:r>
      <w:r w:rsidR="004A2834" w:rsidRPr="07069484">
        <w:rPr>
          <w:rFonts w:eastAsia="Times New Roman" w:cs="Open Sans"/>
        </w:rPr>
        <w:t>single</w:t>
      </w:r>
      <w:r w:rsidR="00573BA7" w:rsidRPr="07069484">
        <w:rPr>
          <w:rFonts w:eastAsia="Times New Roman" w:cs="Open Sans"/>
        </w:rPr>
        <w:t xml:space="preserve"> </w:t>
      </w:r>
      <w:r w:rsidR="004A2834" w:rsidRPr="07069484">
        <w:rPr>
          <w:rFonts w:eastAsia="Times New Roman" w:cs="Open Sans"/>
        </w:rPr>
        <w:t>complaint.</w:t>
      </w:r>
      <w:r w:rsidR="00573BA7" w:rsidRPr="07069484">
        <w:rPr>
          <w:rFonts w:eastAsia="Times New Roman" w:cs="Open Sans"/>
        </w:rPr>
        <w:t xml:space="preserve"> </w:t>
      </w:r>
      <w:r w:rsidR="004A2834" w:rsidRPr="07069484">
        <w:rPr>
          <w:rFonts w:eastAsia="Times New Roman" w:cs="Open Sans"/>
        </w:rPr>
        <w:t>However,</w:t>
      </w:r>
      <w:r w:rsidR="00573BA7" w:rsidRPr="07069484">
        <w:rPr>
          <w:rFonts w:eastAsia="Times New Roman" w:cs="Open Sans"/>
        </w:rPr>
        <w:t xml:space="preserve"> </w:t>
      </w:r>
      <w:r w:rsidR="004A2834" w:rsidRPr="07069484">
        <w:rPr>
          <w:rFonts w:eastAsia="Times New Roman" w:cs="Open Sans"/>
        </w:rPr>
        <w:t>if</w:t>
      </w:r>
      <w:r w:rsidR="00573BA7" w:rsidRPr="07069484">
        <w:rPr>
          <w:rFonts w:eastAsia="Times New Roman" w:cs="Open Sans"/>
        </w:rPr>
        <w:t xml:space="preserve"> </w:t>
      </w:r>
      <w:r w:rsidR="004A2834" w:rsidRPr="07069484">
        <w:rPr>
          <w:rFonts w:eastAsia="Times New Roman" w:cs="Open Sans"/>
        </w:rPr>
        <w:t>the</w:t>
      </w:r>
      <w:r w:rsidR="00573BA7" w:rsidRPr="07069484">
        <w:rPr>
          <w:rFonts w:eastAsia="Times New Roman" w:cs="Open Sans"/>
        </w:rPr>
        <w:t xml:space="preserve"> </w:t>
      </w:r>
      <w:r w:rsidR="004A2834" w:rsidRPr="07069484">
        <w:rPr>
          <w:rFonts w:eastAsia="Times New Roman" w:cs="Open Sans"/>
        </w:rPr>
        <w:t>matter</w:t>
      </w:r>
      <w:r w:rsidR="00573BA7" w:rsidRPr="07069484">
        <w:rPr>
          <w:rFonts w:eastAsia="Times New Roman" w:cs="Open Sans"/>
        </w:rPr>
        <w:t xml:space="preserve"> </w:t>
      </w:r>
      <w:r w:rsidR="004A2834" w:rsidRPr="07069484">
        <w:rPr>
          <w:rFonts w:eastAsia="Times New Roman" w:cs="Open Sans"/>
        </w:rPr>
        <w:t>is</w:t>
      </w:r>
      <w:r w:rsidR="00573BA7" w:rsidRPr="07069484">
        <w:rPr>
          <w:rFonts w:eastAsia="Times New Roman" w:cs="Open Sans"/>
        </w:rPr>
        <w:t xml:space="preserve"> </w:t>
      </w:r>
      <w:r w:rsidR="004A2834" w:rsidRPr="07069484">
        <w:rPr>
          <w:rFonts w:eastAsia="Times New Roman" w:cs="Open Sans"/>
        </w:rPr>
        <w:t>not</w:t>
      </w:r>
      <w:r w:rsidR="00573BA7" w:rsidRPr="07069484">
        <w:rPr>
          <w:rFonts w:eastAsia="Times New Roman" w:cs="Open Sans"/>
        </w:rPr>
        <w:t xml:space="preserve"> </w:t>
      </w:r>
      <w:r w:rsidR="004A2834" w:rsidRPr="07069484">
        <w:rPr>
          <w:rFonts w:eastAsia="Times New Roman" w:cs="Open Sans"/>
        </w:rPr>
        <w:t>settled</w:t>
      </w:r>
      <w:r w:rsidR="00573BA7" w:rsidRPr="07069484">
        <w:rPr>
          <w:rFonts w:eastAsia="Times New Roman" w:cs="Open Sans"/>
        </w:rPr>
        <w:t xml:space="preserve"> </w:t>
      </w:r>
      <w:r w:rsidR="004A2834" w:rsidRPr="07069484">
        <w:rPr>
          <w:rFonts w:eastAsia="Times New Roman" w:cs="Open Sans"/>
        </w:rPr>
        <w:t>at</w:t>
      </w:r>
      <w:r w:rsidR="00573BA7" w:rsidRPr="07069484">
        <w:rPr>
          <w:rFonts w:eastAsia="Times New Roman" w:cs="Open Sans"/>
        </w:rPr>
        <w:t xml:space="preserve"> </w:t>
      </w:r>
      <w:r w:rsidR="004A2834" w:rsidRPr="07069484">
        <w:rPr>
          <w:rFonts w:eastAsia="Times New Roman" w:cs="Open Sans"/>
        </w:rPr>
        <w:t>the</w:t>
      </w:r>
      <w:r w:rsidR="00573BA7" w:rsidRPr="07069484">
        <w:rPr>
          <w:rFonts w:eastAsia="Times New Roman" w:cs="Open Sans"/>
        </w:rPr>
        <w:t xml:space="preserve"> </w:t>
      </w:r>
      <w:r w:rsidR="004A2834" w:rsidRPr="07069484">
        <w:rPr>
          <w:rFonts w:eastAsia="Times New Roman" w:cs="Open Sans"/>
        </w:rPr>
        <w:t>Commission</w:t>
      </w:r>
      <w:r w:rsidR="00573BA7" w:rsidRPr="07069484">
        <w:rPr>
          <w:rFonts w:eastAsia="Times New Roman" w:cs="Open Sans"/>
        </w:rPr>
        <w:t xml:space="preserve"> </w:t>
      </w:r>
      <w:r w:rsidR="004A2834" w:rsidRPr="07069484">
        <w:rPr>
          <w:rFonts w:eastAsia="Times New Roman" w:cs="Open Sans"/>
        </w:rPr>
        <w:t>and</w:t>
      </w:r>
      <w:r w:rsidR="00573BA7" w:rsidRPr="07069484">
        <w:rPr>
          <w:rFonts w:eastAsia="Times New Roman" w:cs="Open Sans"/>
        </w:rPr>
        <w:t xml:space="preserve"> </w:t>
      </w:r>
      <w:r w:rsidR="004A2834" w:rsidRPr="07069484">
        <w:rPr>
          <w:rFonts w:eastAsia="Times New Roman" w:cs="Open Sans"/>
        </w:rPr>
        <w:t>the</w:t>
      </w:r>
      <w:r w:rsidR="00573BA7" w:rsidRPr="07069484">
        <w:rPr>
          <w:rFonts w:eastAsia="Times New Roman" w:cs="Open Sans"/>
        </w:rPr>
        <w:t xml:space="preserve"> </w:t>
      </w:r>
      <w:r w:rsidR="004A2834" w:rsidRPr="07069484">
        <w:rPr>
          <w:rFonts w:eastAsia="Times New Roman" w:cs="Open Sans"/>
        </w:rPr>
        <w:t>person</w:t>
      </w:r>
      <w:r w:rsidR="00573BA7" w:rsidRPr="07069484">
        <w:rPr>
          <w:rFonts w:eastAsia="Times New Roman" w:cs="Open Sans"/>
        </w:rPr>
        <w:t xml:space="preserve"> </w:t>
      </w:r>
      <w:r w:rsidR="004A2834" w:rsidRPr="07069484">
        <w:rPr>
          <w:rFonts w:eastAsia="Times New Roman" w:cs="Open Sans"/>
        </w:rPr>
        <w:t>wishes</w:t>
      </w:r>
      <w:r w:rsidR="00573BA7" w:rsidRPr="07069484">
        <w:rPr>
          <w:rFonts w:eastAsia="Times New Roman" w:cs="Open Sans"/>
        </w:rPr>
        <w:t xml:space="preserve"> </w:t>
      </w:r>
      <w:r w:rsidR="004A2834" w:rsidRPr="07069484">
        <w:rPr>
          <w:rFonts w:eastAsia="Times New Roman" w:cs="Open Sans"/>
        </w:rPr>
        <w:t>to</w:t>
      </w:r>
      <w:r w:rsidR="00573BA7" w:rsidRPr="07069484">
        <w:rPr>
          <w:rFonts w:eastAsia="Times New Roman" w:cs="Open Sans"/>
        </w:rPr>
        <w:t xml:space="preserve"> </w:t>
      </w:r>
      <w:r w:rsidR="004A2834" w:rsidRPr="07069484">
        <w:rPr>
          <w:rFonts w:eastAsia="Times New Roman" w:cs="Open Sans"/>
        </w:rPr>
        <w:t>bring</w:t>
      </w:r>
      <w:r w:rsidR="00573BA7" w:rsidRPr="07069484">
        <w:rPr>
          <w:rFonts w:eastAsia="Times New Roman" w:cs="Open Sans"/>
        </w:rPr>
        <w:t xml:space="preserve"> </w:t>
      </w:r>
      <w:r w:rsidR="004A2834" w:rsidRPr="07069484">
        <w:rPr>
          <w:rFonts w:eastAsia="Times New Roman" w:cs="Open Sans"/>
        </w:rPr>
        <w:t>court</w:t>
      </w:r>
      <w:r w:rsidR="00573BA7" w:rsidRPr="07069484">
        <w:rPr>
          <w:rFonts w:eastAsia="Times New Roman" w:cs="Open Sans"/>
        </w:rPr>
        <w:t xml:space="preserve"> </w:t>
      </w:r>
      <w:r w:rsidR="004A2834" w:rsidRPr="07069484">
        <w:rPr>
          <w:rFonts w:eastAsia="Times New Roman" w:cs="Open Sans"/>
        </w:rPr>
        <w:t>proceedings,</w:t>
      </w:r>
      <w:r w:rsidR="00573BA7" w:rsidRPr="07069484">
        <w:rPr>
          <w:rFonts w:eastAsia="Times New Roman" w:cs="Open Sans"/>
        </w:rPr>
        <w:t xml:space="preserve"> </w:t>
      </w:r>
      <w:r w:rsidR="004A2834" w:rsidRPr="07069484">
        <w:rPr>
          <w:rFonts w:eastAsia="Times New Roman" w:cs="Open Sans"/>
        </w:rPr>
        <w:t>they</w:t>
      </w:r>
      <w:r w:rsidR="00573BA7" w:rsidRPr="07069484">
        <w:rPr>
          <w:rFonts w:eastAsia="Times New Roman" w:cs="Open Sans"/>
        </w:rPr>
        <w:t xml:space="preserve"> </w:t>
      </w:r>
      <w:r w:rsidR="004A2834" w:rsidRPr="07069484">
        <w:rPr>
          <w:rFonts w:eastAsia="Times New Roman" w:cs="Open Sans"/>
        </w:rPr>
        <w:t>are</w:t>
      </w:r>
      <w:r w:rsidR="00573BA7" w:rsidRPr="07069484">
        <w:rPr>
          <w:rFonts w:eastAsia="Times New Roman" w:cs="Open Sans"/>
        </w:rPr>
        <w:t xml:space="preserve"> </w:t>
      </w:r>
      <w:r w:rsidR="004A2834" w:rsidRPr="07069484">
        <w:rPr>
          <w:rFonts w:eastAsia="Times New Roman" w:cs="Open Sans"/>
        </w:rPr>
        <w:t>required</w:t>
      </w:r>
      <w:r w:rsidR="00573BA7" w:rsidRPr="07069484">
        <w:rPr>
          <w:rFonts w:eastAsia="Times New Roman" w:cs="Open Sans"/>
        </w:rPr>
        <w:t xml:space="preserve"> </w:t>
      </w:r>
      <w:r w:rsidR="004A2834" w:rsidRPr="07069484">
        <w:rPr>
          <w:rFonts w:eastAsia="Times New Roman" w:cs="Open Sans"/>
        </w:rPr>
        <w:t>to</w:t>
      </w:r>
      <w:r w:rsidR="00573BA7" w:rsidRPr="07069484">
        <w:rPr>
          <w:rFonts w:eastAsia="Times New Roman" w:cs="Open Sans"/>
        </w:rPr>
        <w:t xml:space="preserve"> </w:t>
      </w:r>
      <w:r w:rsidR="004A2834" w:rsidRPr="07069484">
        <w:rPr>
          <w:rFonts w:eastAsia="Times New Roman" w:cs="Open Sans"/>
        </w:rPr>
        <w:t>prove</w:t>
      </w:r>
      <w:r w:rsidR="00573BA7" w:rsidRPr="07069484">
        <w:rPr>
          <w:rFonts w:eastAsia="Times New Roman" w:cs="Open Sans"/>
        </w:rPr>
        <w:t xml:space="preserve"> </w:t>
      </w:r>
      <w:r w:rsidR="00E57FAF" w:rsidRPr="07069484">
        <w:rPr>
          <w:rFonts w:eastAsia="Times New Roman" w:cs="Open Sans"/>
        </w:rPr>
        <w:t xml:space="preserve">that </w:t>
      </w:r>
      <w:r w:rsidR="004A2834" w:rsidRPr="07069484">
        <w:rPr>
          <w:rFonts w:eastAsia="Times New Roman" w:cs="Open Sans"/>
        </w:rPr>
        <w:t>discrimination</w:t>
      </w:r>
      <w:r w:rsidR="00E57FAF" w:rsidRPr="07069484">
        <w:rPr>
          <w:rFonts w:eastAsia="Times New Roman" w:cs="Open Sans"/>
        </w:rPr>
        <w:t xml:space="preserve"> occurred</w:t>
      </w:r>
      <w:r w:rsidR="00573BA7" w:rsidRPr="07069484">
        <w:rPr>
          <w:rFonts w:eastAsia="Times New Roman" w:cs="Open Sans"/>
        </w:rPr>
        <w:t xml:space="preserve"> </w:t>
      </w:r>
      <w:r w:rsidR="004A2834" w:rsidRPr="07069484">
        <w:rPr>
          <w:rFonts w:eastAsia="Times New Roman" w:cs="Open Sans"/>
        </w:rPr>
        <w:t>in</w:t>
      </w:r>
      <w:r w:rsidR="00573BA7" w:rsidRPr="07069484">
        <w:rPr>
          <w:rFonts w:eastAsia="Times New Roman" w:cs="Open Sans"/>
        </w:rPr>
        <w:t xml:space="preserve"> </w:t>
      </w:r>
      <w:r w:rsidR="004A2834" w:rsidRPr="07069484">
        <w:rPr>
          <w:rFonts w:eastAsia="Times New Roman" w:cs="Open Sans"/>
        </w:rPr>
        <w:t>relation</w:t>
      </w:r>
      <w:r w:rsidR="00573BA7" w:rsidRPr="07069484">
        <w:rPr>
          <w:rFonts w:eastAsia="Times New Roman" w:cs="Open Sans"/>
        </w:rPr>
        <w:t xml:space="preserve"> </w:t>
      </w:r>
      <w:r w:rsidR="004A2834" w:rsidRPr="07069484">
        <w:rPr>
          <w:rFonts w:eastAsia="Times New Roman" w:cs="Open Sans"/>
        </w:rPr>
        <w:t>to</w:t>
      </w:r>
      <w:r w:rsidR="00573BA7" w:rsidRPr="07069484">
        <w:rPr>
          <w:rFonts w:eastAsia="Times New Roman" w:cs="Open Sans"/>
        </w:rPr>
        <w:t xml:space="preserve"> </w:t>
      </w:r>
      <w:r w:rsidR="004A2834" w:rsidRPr="07069484">
        <w:rPr>
          <w:rFonts w:eastAsia="Times New Roman" w:cs="Open Sans"/>
        </w:rPr>
        <w:t>each</w:t>
      </w:r>
      <w:r w:rsidR="00573BA7" w:rsidRPr="07069484">
        <w:rPr>
          <w:rFonts w:eastAsia="Times New Roman" w:cs="Open Sans"/>
        </w:rPr>
        <w:t xml:space="preserve"> </w:t>
      </w:r>
      <w:r w:rsidR="004A2834" w:rsidRPr="07069484">
        <w:rPr>
          <w:rFonts w:eastAsia="Times New Roman" w:cs="Open Sans"/>
        </w:rPr>
        <w:t>attribute.</w:t>
      </w:r>
      <w:r w:rsidR="00573BA7" w:rsidRPr="07069484">
        <w:rPr>
          <w:rFonts w:eastAsia="Times New Roman" w:cs="Open Sans"/>
        </w:rPr>
        <w:t xml:space="preserve"> </w:t>
      </w:r>
      <w:r w:rsidR="00D746A7" w:rsidRPr="07069484">
        <w:rPr>
          <w:rFonts w:eastAsia="Times New Roman" w:cs="Open Sans"/>
        </w:rPr>
        <w:t>This</w:t>
      </w:r>
      <w:r w:rsidR="00573BA7" w:rsidRPr="07069484">
        <w:rPr>
          <w:rFonts w:eastAsia="Times New Roman" w:cs="Open Sans"/>
        </w:rPr>
        <w:t xml:space="preserve"> </w:t>
      </w:r>
      <w:r w:rsidR="00D746A7" w:rsidRPr="07069484">
        <w:rPr>
          <w:rFonts w:eastAsia="Times New Roman" w:cs="Open Sans"/>
        </w:rPr>
        <w:t>requires</w:t>
      </w:r>
      <w:r w:rsidR="00573BA7" w:rsidRPr="07069484">
        <w:rPr>
          <w:rFonts w:eastAsia="Times New Roman" w:cs="Open Sans"/>
        </w:rPr>
        <w:t xml:space="preserve"> </w:t>
      </w:r>
      <w:r w:rsidR="00D746A7" w:rsidRPr="07069484">
        <w:rPr>
          <w:rFonts w:eastAsia="Times New Roman" w:cs="Open Sans"/>
        </w:rPr>
        <w:t>the</w:t>
      </w:r>
      <w:r w:rsidR="00573BA7" w:rsidRPr="07069484">
        <w:rPr>
          <w:rFonts w:eastAsia="Times New Roman" w:cs="Open Sans"/>
        </w:rPr>
        <w:t xml:space="preserve"> </w:t>
      </w:r>
      <w:r w:rsidR="00D746A7" w:rsidRPr="07069484">
        <w:rPr>
          <w:rFonts w:eastAsia="Times New Roman" w:cs="Open Sans"/>
        </w:rPr>
        <w:t>person</w:t>
      </w:r>
      <w:r w:rsidR="00573BA7" w:rsidRPr="07069484">
        <w:rPr>
          <w:rFonts w:eastAsia="Times New Roman" w:cs="Open Sans"/>
        </w:rPr>
        <w:t xml:space="preserve"> </w:t>
      </w:r>
      <w:r w:rsidR="00D746A7" w:rsidRPr="07069484">
        <w:rPr>
          <w:rFonts w:eastAsia="Times New Roman" w:cs="Open Sans"/>
        </w:rPr>
        <w:t>to</w:t>
      </w:r>
      <w:r w:rsidR="00573BA7" w:rsidRPr="07069484">
        <w:rPr>
          <w:rFonts w:eastAsia="Times New Roman" w:cs="Open Sans"/>
        </w:rPr>
        <w:t xml:space="preserve"> </w:t>
      </w:r>
      <w:r w:rsidR="00D746A7" w:rsidRPr="07069484">
        <w:rPr>
          <w:rFonts w:eastAsia="Times New Roman" w:cs="Open Sans"/>
        </w:rPr>
        <w:t>satisfy</w:t>
      </w:r>
      <w:r w:rsidR="00573BA7" w:rsidRPr="07069484">
        <w:rPr>
          <w:rFonts w:eastAsia="Times New Roman" w:cs="Open Sans"/>
        </w:rPr>
        <w:t xml:space="preserve"> </w:t>
      </w:r>
      <w:r w:rsidR="00D746A7" w:rsidRPr="07069484">
        <w:rPr>
          <w:rFonts w:eastAsia="Times New Roman" w:cs="Open Sans"/>
        </w:rPr>
        <w:t>different</w:t>
      </w:r>
      <w:r w:rsidR="00573BA7" w:rsidRPr="07069484">
        <w:rPr>
          <w:rFonts w:eastAsia="Times New Roman" w:cs="Open Sans"/>
        </w:rPr>
        <w:t xml:space="preserve"> </w:t>
      </w:r>
      <w:r w:rsidR="00D746A7" w:rsidRPr="07069484">
        <w:rPr>
          <w:rFonts w:eastAsia="Times New Roman" w:cs="Open Sans"/>
        </w:rPr>
        <w:t>tests</w:t>
      </w:r>
      <w:r w:rsidR="00573BA7" w:rsidRPr="07069484">
        <w:rPr>
          <w:rFonts w:eastAsia="Times New Roman" w:cs="Open Sans"/>
        </w:rPr>
        <w:t xml:space="preserve"> </w:t>
      </w:r>
      <w:r w:rsidR="00D746A7" w:rsidRPr="07069484">
        <w:rPr>
          <w:rFonts w:eastAsia="Times New Roman" w:cs="Open Sans"/>
        </w:rPr>
        <w:lastRenderedPageBreak/>
        <w:t>for</w:t>
      </w:r>
      <w:r w:rsidR="00573BA7" w:rsidRPr="07069484">
        <w:rPr>
          <w:rFonts w:eastAsia="Times New Roman" w:cs="Open Sans"/>
        </w:rPr>
        <w:t xml:space="preserve"> </w:t>
      </w:r>
      <w:r w:rsidR="00D746A7" w:rsidRPr="07069484">
        <w:rPr>
          <w:rFonts w:eastAsia="Times New Roman" w:cs="Open Sans"/>
        </w:rPr>
        <w:t>different</w:t>
      </w:r>
      <w:r w:rsidR="00573BA7" w:rsidRPr="07069484">
        <w:rPr>
          <w:rFonts w:eastAsia="Times New Roman" w:cs="Open Sans"/>
        </w:rPr>
        <w:t xml:space="preserve"> </w:t>
      </w:r>
      <w:r w:rsidR="00D746A7" w:rsidRPr="07069484">
        <w:rPr>
          <w:rFonts w:eastAsia="Times New Roman" w:cs="Open Sans"/>
        </w:rPr>
        <w:t>attributes</w:t>
      </w:r>
      <w:r w:rsidR="00573BA7" w:rsidRPr="07069484">
        <w:rPr>
          <w:rFonts w:eastAsia="Times New Roman" w:cs="Open Sans"/>
        </w:rPr>
        <w:t xml:space="preserve"> </w:t>
      </w:r>
      <w:r w:rsidR="00D746A7" w:rsidRPr="07069484">
        <w:rPr>
          <w:rFonts w:eastAsia="Times New Roman" w:cs="Open Sans"/>
        </w:rPr>
        <w:t>under</w:t>
      </w:r>
      <w:r w:rsidR="00573BA7" w:rsidRPr="07069484">
        <w:rPr>
          <w:rFonts w:eastAsia="Times New Roman" w:cs="Open Sans"/>
        </w:rPr>
        <w:t xml:space="preserve"> </w:t>
      </w:r>
      <w:r w:rsidR="00D746A7" w:rsidRPr="07069484">
        <w:rPr>
          <w:rFonts w:eastAsia="Times New Roman" w:cs="Open Sans"/>
        </w:rPr>
        <w:t>the</w:t>
      </w:r>
      <w:r w:rsidR="00573BA7" w:rsidRPr="07069484">
        <w:rPr>
          <w:rFonts w:eastAsia="Times New Roman" w:cs="Open Sans"/>
        </w:rPr>
        <w:t xml:space="preserve"> </w:t>
      </w:r>
      <w:r w:rsidR="00D746A7" w:rsidRPr="07069484">
        <w:rPr>
          <w:rFonts w:eastAsia="Times New Roman" w:cs="Open Sans"/>
        </w:rPr>
        <w:t>various</w:t>
      </w:r>
      <w:r w:rsidR="00573BA7" w:rsidRPr="07069484">
        <w:rPr>
          <w:rFonts w:eastAsia="Times New Roman" w:cs="Open Sans"/>
        </w:rPr>
        <w:t xml:space="preserve"> </w:t>
      </w:r>
      <w:r w:rsidR="00D746A7" w:rsidRPr="07069484">
        <w:rPr>
          <w:rFonts w:eastAsia="Times New Roman" w:cs="Open Sans"/>
        </w:rPr>
        <w:t>anti-discrimination</w:t>
      </w:r>
      <w:r w:rsidR="00573BA7" w:rsidRPr="07069484">
        <w:rPr>
          <w:rFonts w:eastAsia="Times New Roman" w:cs="Open Sans"/>
        </w:rPr>
        <w:t xml:space="preserve"> </w:t>
      </w:r>
      <w:r w:rsidR="00D746A7" w:rsidRPr="07069484">
        <w:rPr>
          <w:rFonts w:eastAsia="Times New Roman" w:cs="Open Sans"/>
        </w:rPr>
        <w:t>laws,</w:t>
      </w:r>
      <w:r w:rsidR="00573BA7" w:rsidRPr="07069484">
        <w:rPr>
          <w:rFonts w:eastAsia="Times New Roman" w:cs="Open Sans"/>
        </w:rPr>
        <w:t xml:space="preserve"> </w:t>
      </w:r>
      <w:r w:rsidR="00196FDD" w:rsidRPr="07069484">
        <w:rPr>
          <w:rFonts w:eastAsia="Times New Roman" w:cs="Open Sans"/>
        </w:rPr>
        <w:t>applying</w:t>
      </w:r>
      <w:r w:rsidR="00573BA7" w:rsidRPr="07069484">
        <w:rPr>
          <w:rFonts w:eastAsia="Times New Roman" w:cs="Open Sans"/>
        </w:rPr>
        <w:t xml:space="preserve"> </w:t>
      </w:r>
      <w:r w:rsidR="00D746A7" w:rsidRPr="07069484">
        <w:rPr>
          <w:rFonts w:eastAsia="Times New Roman" w:cs="Open Sans"/>
        </w:rPr>
        <w:t>different</w:t>
      </w:r>
      <w:r w:rsidR="00573BA7" w:rsidRPr="07069484">
        <w:rPr>
          <w:rFonts w:eastAsia="Times New Roman" w:cs="Open Sans"/>
        </w:rPr>
        <w:t xml:space="preserve"> </w:t>
      </w:r>
      <w:r w:rsidR="00D746A7" w:rsidRPr="07069484">
        <w:rPr>
          <w:rFonts w:eastAsia="Times New Roman" w:cs="Open Sans"/>
        </w:rPr>
        <w:t>elements</w:t>
      </w:r>
      <w:r w:rsidR="00573BA7" w:rsidRPr="07069484">
        <w:rPr>
          <w:rFonts w:eastAsia="Times New Roman" w:cs="Open Sans"/>
        </w:rPr>
        <w:t xml:space="preserve"> </w:t>
      </w:r>
      <w:r w:rsidR="00D746A7" w:rsidRPr="07069484">
        <w:rPr>
          <w:rFonts w:eastAsia="Times New Roman" w:cs="Open Sans"/>
        </w:rPr>
        <w:t>of</w:t>
      </w:r>
      <w:r w:rsidR="00573BA7" w:rsidRPr="07069484">
        <w:rPr>
          <w:rFonts w:eastAsia="Times New Roman" w:cs="Open Sans"/>
        </w:rPr>
        <w:t xml:space="preserve"> </w:t>
      </w:r>
      <w:r w:rsidR="00D746A7" w:rsidRPr="07069484">
        <w:rPr>
          <w:rFonts w:eastAsia="Times New Roman" w:cs="Open Sans"/>
        </w:rPr>
        <w:t>proof.</w:t>
      </w:r>
    </w:p>
    <w:p w14:paraId="1DC7C162" w14:textId="455CEEA7" w:rsidR="00182F9E" w:rsidRDefault="00E57FAF" w:rsidP="00D12D36">
      <w:pPr>
        <w:pStyle w:val="ListNumber"/>
        <w:rPr>
          <w:rFonts w:eastAsia="Times New Roman" w:cs="Open Sans"/>
        </w:rPr>
      </w:pPr>
      <w:r>
        <w:rPr>
          <w:rFonts w:eastAsia="Times New Roman" w:cs="Open Sans"/>
        </w:rPr>
        <w:t xml:space="preserve">In </w:t>
      </w:r>
      <w:r w:rsidR="00245F33">
        <w:rPr>
          <w:rFonts w:eastAsia="Times New Roman" w:cs="Open Sans"/>
        </w:rPr>
        <w:t>Willing to Work</w:t>
      </w:r>
      <w:r>
        <w:rPr>
          <w:rFonts w:eastAsia="Times New Roman" w:cs="Open Sans"/>
        </w:rPr>
        <w:t>, the Commission</w:t>
      </w:r>
      <w:r w:rsidR="00573BA7">
        <w:rPr>
          <w:rFonts w:eastAsia="Times New Roman" w:cs="Open Sans"/>
        </w:rPr>
        <w:t xml:space="preserve"> </w:t>
      </w:r>
      <w:r w:rsidR="00196FDD">
        <w:rPr>
          <w:rFonts w:eastAsia="Times New Roman" w:cs="Open Sans"/>
        </w:rPr>
        <w:t>found</w:t>
      </w:r>
      <w:r w:rsidR="00573BA7">
        <w:rPr>
          <w:rFonts w:eastAsia="Times New Roman" w:cs="Open Sans"/>
        </w:rPr>
        <w:t xml:space="preserve"> </w:t>
      </w:r>
      <w:r w:rsidR="004A2834" w:rsidRPr="003F4CE1">
        <w:rPr>
          <w:rFonts w:eastAsia="Times New Roman" w:cs="Open Sans"/>
        </w:rPr>
        <w:t>this</w:t>
      </w:r>
      <w:r w:rsidR="00573BA7">
        <w:rPr>
          <w:rFonts w:eastAsia="Times New Roman" w:cs="Open Sans"/>
        </w:rPr>
        <w:t xml:space="preserve"> </w:t>
      </w:r>
      <w:r w:rsidR="004A2834" w:rsidRPr="003F4CE1">
        <w:rPr>
          <w:rFonts w:eastAsia="Times New Roman" w:cs="Open Sans"/>
        </w:rPr>
        <w:t>creates</w:t>
      </w:r>
      <w:r w:rsidR="00573BA7">
        <w:rPr>
          <w:rFonts w:eastAsia="Times New Roman" w:cs="Open Sans"/>
        </w:rPr>
        <w:t xml:space="preserve"> </w:t>
      </w:r>
      <w:r w:rsidR="004A2834" w:rsidRPr="003F4CE1">
        <w:rPr>
          <w:rFonts w:eastAsia="Times New Roman" w:cs="Open Sans"/>
        </w:rPr>
        <w:t>difficulties</w:t>
      </w:r>
      <w:r w:rsidR="00573BA7">
        <w:rPr>
          <w:rFonts w:eastAsia="Times New Roman" w:cs="Open Sans"/>
        </w:rPr>
        <w:t xml:space="preserve"> </w:t>
      </w:r>
      <w:r w:rsidR="004A2834" w:rsidRPr="003F4CE1">
        <w:rPr>
          <w:rFonts w:eastAsia="Times New Roman" w:cs="Open Sans"/>
        </w:rPr>
        <w:t>for</w:t>
      </w:r>
      <w:r w:rsidR="00573BA7">
        <w:rPr>
          <w:rFonts w:eastAsia="Times New Roman" w:cs="Open Sans"/>
        </w:rPr>
        <w:t xml:space="preserve"> </w:t>
      </w:r>
      <w:r w:rsidR="004A2834" w:rsidRPr="003F4CE1">
        <w:rPr>
          <w:rFonts w:eastAsia="Times New Roman" w:cs="Open Sans"/>
        </w:rPr>
        <w:t>individuals</w:t>
      </w:r>
      <w:r w:rsidR="00573BA7">
        <w:rPr>
          <w:rFonts w:eastAsia="Times New Roman" w:cs="Open Sans"/>
        </w:rPr>
        <w:t xml:space="preserve"> </w:t>
      </w:r>
      <w:r w:rsidR="004A2834" w:rsidRPr="003F4CE1">
        <w:rPr>
          <w:rFonts w:eastAsia="Times New Roman" w:cs="Open Sans"/>
        </w:rPr>
        <w:t>who</w:t>
      </w:r>
      <w:r w:rsidR="00573BA7">
        <w:rPr>
          <w:rFonts w:eastAsia="Times New Roman" w:cs="Open Sans"/>
        </w:rPr>
        <w:t xml:space="preserve"> </w:t>
      </w:r>
      <w:r w:rsidR="004A2834" w:rsidRPr="003F4CE1">
        <w:rPr>
          <w:rFonts w:eastAsia="Times New Roman" w:cs="Open Sans"/>
        </w:rPr>
        <w:t>have</w:t>
      </w:r>
      <w:r w:rsidR="00573BA7">
        <w:rPr>
          <w:rFonts w:eastAsia="Times New Roman" w:cs="Open Sans"/>
        </w:rPr>
        <w:t xml:space="preserve"> </w:t>
      </w:r>
      <w:r w:rsidR="004A2834" w:rsidRPr="003F4CE1">
        <w:rPr>
          <w:rFonts w:eastAsia="Times New Roman" w:cs="Open Sans"/>
        </w:rPr>
        <w:t>experienced</w:t>
      </w:r>
      <w:r w:rsidR="00573BA7">
        <w:rPr>
          <w:rFonts w:eastAsia="Times New Roman" w:cs="Open Sans"/>
        </w:rPr>
        <w:t xml:space="preserve"> </w:t>
      </w:r>
      <w:r w:rsidR="004A2834" w:rsidRPr="003F4CE1">
        <w:rPr>
          <w:rFonts w:eastAsia="Times New Roman" w:cs="Open Sans"/>
        </w:rPr>
        <w:t>intersectional</w:t>
      </w:r>
      <w:r w:rsidR="00573BA7">
        <w:rPr>
          <w:rFonts w:eastAsia="Times New Roman" w:cs="Open Sans"/>
        </w:rPr>
        <w:t xml:space="preserve"> </w:t>
      </w:r>
      <w:r w:rsidR="004A2834" w:rsidRPr="003F4CE1">
        <w:rPr>
          <w:rFonts w:eastAsia="Times New Roman" w:cs="Open Sans"/>
        </w:rPr>
        <w:t>discrimination.</w:t>
      </w:r>
      <w:r w:rsidR="00DD5D5D" w:rsidRPr="003F4CE1">
        <w:rPr>
          <w:rStyle w:val="EndnoteReference"/>
          <w:rFonts w:eastAsia="Times New Roman" w:cs="Open Sans"/>
        </w:rPr>
        <w:endnoteReference w:id="175"/>
      </w:r>
      <w:r w:rsidR="00573BA7">
        <w:rPr>
          <w:rFonts w:eastAsia="Times New Roman" w:cs="Open Sans"/>
        </w:rPr>
        <w:t xml:space="preserve"> </w:t>
      </w:r>
      <w:r w:rsidR="004A2834" w:rsidRPr="003F4CE1">
        <w:rPr>
          <w:rFonts w:eastAsia="Times New Roman" w:cs="Open Sans"/>
        </w:rPr>
        <w:t>The</w:t>
      </w:r>
      <w:r w:rsidR="00573BA7">
        <w:rPr>
          <w:rFonts w:eastAsia="Times New Roman" w:cs="Open Sans"/>
        </w:rPr>
        <w:t xml:space="preserve"> </w:t>
      </w:r>
      <w:r w:rsidR="004A2834" w:rsidRPr="003F4CE1">
        <w:rPr>
          <w:rFonts w:eastAsia="Times New Roman" w:cs="Open Sans"/>
        </w:rPr>
        <w:t>Commission’s</w:t>
      </w:r>
      <w:r w:rsidR="00573BA7">
        <w:rPr>
          <w:rFonts w:eastAsia="Times New Roman" w:cs="Open Sans"/>
        </w:rPr>
        <w:t xml:space="preserve"> </w:t>
      </w:r>
      <w:r w:rsidR="0088038A">
        <w:rPr>
          <w:rFonts w:eastAsia="Times New Roman" w:cs="Open Sans"/>
        </w:rPr>
        <w:t>National Conversation</w:t>
      </w:r>
      <w:r w:rsidR="00573BA7">
        <w:rPr>
          <w:rFonts w:eastAsia="Times New Roman" w:cs="Open Sans"/>
        </w:rPr>
        <w:t xml:space="preserve"> </w:t>
      </w:r>
      <w:r w:rsidR="004A2834" w:rsidRPr="003F4CE1">
        <w:rPr>
          <w:rFonts w:eastAsia="Times New Roman" w:cs="Open Sans"/>
        </w:rPr>
        <w:t>discussion</w:t>
      </w:r>
      <w:r w:rsidR="00573BA7">
        <w:rPr>
          <w:rFonts w:eastAsia="Times New Roman" w:cs="Open Sans"/>
        </w:rPr>
        <w:t xml:space="preserve"> </w:t>
      </w:r>
      <w:r w:rsidR="004A2834" w:rsidRPr="003F4CE1">
        <w:rPr>
          <w:rFonts w:eastAsia="Times New Roman" w:cs="Open Sans"/>
        </w:rPr>
        <w:t>paper</w:t>
      </w:r>
      <w:r w:rsidR="00573BA7">
        <w:rPr>
          <w:rFonts w:eastAsia="Times New Roman" w:cs="Open Sans"/>
        </w:rPr>
        <w:t xml:space="preserve"> </w:t>
      </w:r>
      <w:r w:rsidR="00182F9E">
        <w:rPr>
          <w:rFonts w:eastAsia="Times New Roman" w:cs="Open Sans"/>
        </w:rPr>
        <w:t>has</w:t>
      </w:r>
      <w:r w:rsidR="00573BA7">
        <w:rPr>
          <w:rFonts w:eastAsia="Times New Roman" w:cs="Open Sans"/>
        </w:rPr>
        <w:t xml:space="preserve"> </w:t>
      </w:r>
      <w:r w:rsidR="004A2834" w:rsidRPr="003F4CE1">
        <w:rPr>
          <w:rFonts w:eastAsia="Times New Roman" w:cs="Open Sans"/>
        </w:rPr>
        <w:t>raised</w:t>
      </w:r>
      <w:r w:rsidR="00573BA7">
        <w:rPr>
          <w:rFonts w:eastAsia="Times New Roman" w:cs="Open Sans"/>
        </w:rPr>
        <w:t xml:space="preserve"> </w:t>
      </w:r>
      <w:r w:rsidR="004A2834" w:rsidRPr="003F4CE1">
        <w:rPr>
          <w:rFonts w:eastAsia="Times New Roman" w:cs="Open Sans"/>
        </w:rPr>
        <w:t>concerns</w:t>
      </w:r>
      <w:r w:rsidR="00573BA7">
        <w:rPr>
          <w:rFonts w:eastAsia="Times New Roman" w:cs="Open Sans"/>
        </w:rPr>
        <w:t xml:space="preserve"> </w:t>
      </w:r>
      <w:r w:rsidR="004A2834" w:rsidRPr="003F4CE1">
        <w:rPr>
          <w:rFonts w:eastAsia="Times New Roman" w:cs="Open Sans"/>
        </w:rPr>
        <w:t>that</w:t>
      </w:r>
      <w:r w:rsidR="00573BA7">
        <w:rPr>
          <w:rFonts w:eastAsia="Times New Roman" w:cs="Open Sans"/>
        </w:rPr>
        <w:t xml:space="preserve"> </w:t>
      </w:r>
      <w:r w:rsidR="000418D0" w:rsidRPr="003F4CE1">
        <w:rPr>
          <w:rFonts w:eastAsia="Times New Roman" w:cs="Open Sans"/>
        </w:rPr>
        <w:t>treating</w:t>
      </w:r>
      <w:r w:rsidR="00573BA7">
        <w:rPr>
          <w:rFonts w:eastAsia="Times New Roman" w:cs="Open Sans"/>
        </w:rPr>
        <w:t xml:space="preserve"> </w:t>
      </w:r>
      <w:r w:rsidR="00560F3A">
        <w:rPr>
          <w:rFonts w:eastAsia="Times New Roman" w:cs="Open Sans"/>
        </w:rPr>
        <w:t xml:space="preserve">a single </w:t>
      </w:r>
      <w:r w:rsidR="000418D0" w:rsidRPr="003F4CE1">
        <w:rPr>
          <w:rFonts w:eastAsia="Times New Roman" w:cs="Open Sans"/>
        </w:rPr>
        <w:t>intersectional</w:t>
      </w:r>
      <w:r w:rsidR="00573BA7">
        <w:rPr>
          <w:rFonts w:eastAsia="Times New Roman" w:cs="Open Sans"/>
        </w:rPr>
        <w:t xml:space="preserve"> </w:t>
      </w:r>
      <w:r w:rsidR="000418D0" w:rsidRPr="003F4CE1">
        <w:rPr>
          <w:rFonts w:eastAsia="Times New Roman" w:cs="Open Sans"/>
        </w:rPr>
        <w:t>discrimination</w:t>
      </w:r>
      <w:r w:rsidR="00573BA7">
        <w:rPr>
          <w:rFonts w:eastAsia="Times New Roman" w:cs="Open Sans"/>
        </w:rPr>
        <w:t xml:space="preserve"> </w:t>
      </w:r>
      <w:r w:rsidR="000418D0" w:rsidRPr="003F4CE1">
        <w:rPr>
          <w:rFonts w:eastAsia="Times New Roman" w:cs="Open Sans"/>
        </w:rPr>
        <w:t>claim</w:t>
      </w:r>
      <w:r w:rsidR="00573BA7">
        <w:rPr>
          <w:rFonts w:eastAsia="Times New Roman" w:cs="Open Sans"/>
        </w:rPr>
        <w:t xml:space="preserve"> </w:t>
      </w:r>
      <w:r w:rsidR="000418D0" w:rsidRPr="003F4CE1">
        <w:rPr>
          <w:rFonts w:eastAsia="Times New Roman" w:cs="Open Sans"/>
        </w:rPr>
        <w:t>as</w:t>
      </w:r>
      <w:r w:rsidR="00573BA7">
        <w:rPr>
          <w:rFonts w:eastAsia="Times New Roman" w:cs="Open Sans"/>
        </w:rPr>
        <w:t xml:space="preserve"> </w:t>
      </w:r>
      <w:r w:rsidR="00E4420F">
        <w:rPr>
          <w:rFonts w:eastAsia="Times New Roman" w:cs="Open Sans"/>
        </w:rPr>
        <w:t xml:space="preserve">a number of </w:t>
      </w:r>
      <w:r w:rsidR="000418D0" w:rsidRPr="003F4CE1">
        <w:rPr>
          <w:rFonts w:eastAsia="Times New Roman" w:cs="Open Sans"/>
        </w:rPr>
        <w:t>separate</w:t>
      </w:r>
      <w:r w:rsidR="000C6139">
        <w:rPr>
          <w:rFonts w:eastAsia="Times New Roman" w:cs="Open Sans"/>
        </w:rPr>
        <w:t xml:space="preserve"> claims</w:t>
      </w:r>
      <w:r w:rsidR="00573BA7">
        <w:rPr>
          <w:rFonts w:eastAsia="Times New Roman" w:cs="Open Sans"/>
        </w:rPr>
        <w:t xml:space="preserve"> </w:t>
      </w:r>
      <w:r w:rsidR="004A2834" w:rsidRPr="003F4CE1">
        <w:rPr>
          <w:rFonts w:eastAsia="Times New Roman" w:cs="Open Sans"/>
        </w:rPr>
        <w:t>is</w:t>
      </w:r>
      <w:r w:rsidR="00573BA7">
        <w:rPr>
          <w:rFonts w:eastAsia="Times New Roman" w:cs="Open Sans"/>
        </w:rPr>
        <w:t xml:space="preserve"> </w:t>
      </w:r>
      <w:r w:rsidR="004A2834" w:rsidRPr="003F4CE1">
        <w:rPr>
          <w:rFonts w:eastAsia="Times New Roman" w:cs="Open Sans"/>
        </w:rPr>
        <w:t>burdensome</w:t>
      </w:r>
      <w:r w:rsidR="00573BA7">
        <w:rPr>
          <w:rFonts w:eastAsia="Times New Roman" w:cs="Open Sans"/>
        </w:rPr>
        <w:t xml:space="preserve"> </w:t>
      </w:r>
      <w:r w:rsidR="004A2834" w:rsidRPr="003F4CE1">
        <w:rPr>
          <w:rFonts w:eastAsia="Times New Roman" w:cs="Open Sans"/>
        </w:rPr>
        <w:t>and</w:t>
      </w:r>
      <w:r w:rsidR="00573BA7">
        <w:rPr>
          <w:rFonts w:eastAsia="Times New Roman" w:cs="Open Sans"/>
        </w:rPr>
        <w:t xml:space="preserve"> </w:t>
      </w:r>
      <w:r w:rsidR="000418D0" w:rsidRPr="003F4CE1">
        <w:rPr>
          <w:rFonts w:eastAsia="Times New Roman" w:cs="Open Sans"/>
        </w:rPr>
        <w:t>in</w:t>
      </w:r>
      <w:r w:rsidR="004A2834" w:rsidRPr="003F4CE1">
        <w:rPr>
          <w:rFonts w:eastAsia="Times New Roman" w:cs="Open Sans"/>
        </w:rPr>
        <w:t>effective.</w:t>
      </w:r>
      <w:r w:rsidR="00551DD5" w:rsidRPr="003F4CE1">
        <w:rPr>
          <w:rStyle w:val="EndnoteReference"/>
          <w:rFonts w:eastAsia="Times New Roman" w:cs="Open Sans"/>
        </w:rPr>
        <w:endnoteReference w:id="176"/>
      </w:r>
      <w:r w:rsidR="00573BA7">
        <w:rPr>
          <w:rFonts w:eastAsia="Times New Roman" w:cs="Open Sans"/>
        </w:rPr>
        <w:t xml:space="preserve"> </w:t>
      </w:r>
      <w:r w:rsidR="00182F9E">
        <w:rPr>
          <w:rFonts w:eastAsia="Times New Roman" w:cs="Open Sans"/>
        </w:rPr>
        <w:t>The Commission is concerned that this treatment of intersectional claims under the Disability Discrimination Act may</w:t>
      </w:r>
      <w:r w:rsidR="00EF2A9B">
        <w:rPr>
          <w:rFonts w:eastAsia="Times New Roman" w:cs="Open Sans"/>
        </w:rPr>
        <w:t xml:space="preserve"> limit the ability of people with disability to obtain </w:t>
      </w:r>
      <w:r w:rsidR="00EF2A9B" w:rsidRPr="00EF2A9B">
        <w:rPr>
          <w:rFonts w:eastAsia="Times New Roman" w:cs="Open Sans"/>
        </w:rPr>
        <w:t>the equal protection and equal benefit of the law</w:t>
      </w:r>
      <w:r w:rsidR="00EF2A9B">
        <w:rPr>
          <w:rFonts w:eastAsia="Times New Roman" w:cs="Open Sans"/>
        </w:rPr>
        <w:t>, as is required by Article 5(1) of the CRPD.</w:t>
      </w:r>
    </w:p>
    <w:p w14:paraId="35716A84" w14:textId="121E4B4F" w:rsidR="004A2834" w:rsidRPr="00182F9E" w:rsidRDefault="00D12D36" w:rsidP="008A7EB0">
      <w:pPr>
        <w:pStyle w:val="ListNumber"/>
        <w:rPr>
          <w:rFonts w:eastAsia="Times New Roman" w:cs="Open Sans"/>
        </w:rPr>
      </w:pPr>
      <w:r w:rsidRPr="00182F9E">
        <w:rPr>
          <w:rFonts w:eastAsia="Times New Roman" w:cs="Open Sans"/>
        </w:rPr>
        <w:t>The Commission has previously expressed support for an intersectional approach to federal discrimination laws, which would create a comprehensive and clear jurisdiction while avoiding the creation of new obligations.</w:t>
      </w:r>
      <w:r w:rsidR="003B2902">
        <w:rPr>
          <w:rStyle w:val="EndnoteReference"/>
          <w:rFonts w:eastAsia="Times New Roman" w:cs="Open Sans"/>
        </w:rPr>
        <w:endnoteReference w:id="177"/>
      </w:r>
      <w:r w:rsidRPr="00182F9E">
        <w:rPr>
          <w:rFonts w:eastAsia="Times New Roman" w:cs="Open Sans"/>
        </w:rPr>
        <w:t xml:space="preserve"> </w:t>
      </w:r>
      <w:r w:rsidR="00B42363" w:rsidRPr="00182F9E">
        <w:rPr>
          <w:rFonts w:eastAsia="Times New Roman" w:cs="Open Sans"/>
        </w:rPr>
        <w:t>Such</w:t>
      </w:r>
      <w:r w:rsidR="00573BA7" w:rsidRPr="00182F9E">
        <w:rPr>
          <w:rFonts w:eastAsia="Times New Roman" w:cs="Open Sans"/>
        </w:rPr>
        <w:t xml:space="preserve"> </w:t>
      </w:r>
      <w:r w:rsidR="00B42363" w:rsidRPr="00182F9E">
        <w:rPr>
          <w:rFonts w:eastAsia="Times New Roman" w:cs="Open Sans"/>
        </w:rPr>
        <w:t>an</w:t>
      </w:r>
      <w:r w:rsidR="00573BA7" w:rsidRPr="00182F9E">
        <w:rPr>
          <w:rFonts w:eastAsia="Times New Roman" w:cs="Open Sans"/>
        </w:rPr>
        <w:t xml:space="preserve"> </w:t>
      </w:r>
      <w:r w:rsidR="00B42363" w:rsidRPr="00182F9E">
        <w:rPr>
          <w:rFonts w:eastAsia="Times New Roman" w:cs="Open Sans"/>
        </w:rPr>
        <w:t>approach</w:t>
      </w:r>
      <w:r w:rsidR="00573BA7" w:rsidRPr="00182F9E">
        <w:rPr>
          <w:rFonts w:eastAsia="Times New Roman" w:cs="Open Sans"/>
        </w:rPr>
        <w:t xml:space="preserve"> </w:t>
      </w:r>
      <w:r w:rsidR="004A2834" w:rsidRPr="00182F9E">
        <w:rPr>
          <w:rFonts w:eastAsia="Times New Roman" w:cs="Open Sans"/>
        </w:rPr>
        <w:t>has</w:t>
      </w:r>
      <w:r w:rsidR="00573BA7" w:rsidRPr="00182F9E">
        <w:rPr>
          <w:rFonts w:eastAsia="Times New Roman" w:cs="Open Sans"/>
        </w:rPr>
        <w:t xml:space="preserve"> </w:t>
      </w:r>
      <w:r w:rsidR="004A2834" w:rsidRPr="00182F9E">
        <w:rPr>
          <w:rFonts w:eastAsia="Times New Roman" w:cs="Open Sans"/>
        </w:rPr>
        <w:t>been</w:t>
      </w:r>
      <w:r w:rsidR="00573BA7" w:rsidRPr="00182F9E">
        <w:rPr>
          <w:rFonts w:eastAsia="Times New Roman" w:cs="Open Sans"/>
        </w:rPr>
        <w:t xml:space="preserve"> </w:t>
      </w:r>
      <w:r w:rsidR="004A2834" w:rsidRPr="00182F9E">
        <w:rPr>
          <w:rFonts w:eastAsia="Times New Roman" w:cs="Open Sans"/>
        </w:rPr>
        <w:t>implemented</w:t>
      </w:r>
      <w:r w:rsidR="00573BA7" w:rsidRPr="00182F9E">
        <w:rPr>
          <w:rFonts w:eastAsia="Times New Roman" w:cs="Open Sans"/>
        </w:rPr>
        <w:t xml:space="preserve"> </w:t>
      </w:r>
      <w:r w:rsidR="004A2834" w:rsidRPr="00182F9E">
        <w:rPr>
          <w:rFonts w:eastAsia="Times New Roman" w:cs="Open Sans"/>
        </w:rPr>
        <w:t>in</w:t>
      </w:r>
      <w:r w:rsidR="00573BA7" w:rsidRPr="00182F9E">
        <w:rPr>
          <w:rFonts w:eastAsia="Times New Roman" w:cs="Open Sans"/>
        </w:rPr>
        <w:t xml:space="preserve"> </w:t>
      </w:r>
      <w:r w:rsidR="004A2834" w:rsidRPr="00182F9E">
        <w:rPr>
          <w:rFonts w:eastAsia="Times New Roman" w:cs="Open Sans"/>
        </w:rPr>
        <w:t>the</w:t>
      </w:r>
      <w:r w:rsidR="00573BA7" w:rsidRPr="00182F9E">
        <w:rPr>
          <w:rFonts w:eastAsia="Times New Roman" w:cs="Open Sans"/>
        </w:rPr>
        <w:t xml:space="preserve"> </w:t>
      </w:r>
      <w:r w:rsidR="004A2834" w:rsidRPr="00182F9E">
        <w:rPr>
          <w:rFonts w:eastAsia="Times New Roman" w:cs="Open Sans"/>
        </w:rPr>
        <w:t>UK,</w:t>
      </w:r>
      <w:r w:rsidR="00573BA7" w:rsidRPr="00182F9E">
        <w:rPr>
          <w:rFonts w:eastAsia="Times New Roman" w:cs="Open Sans"/>
        </w:rPr>
        <w:t xml:space="preserve"> </w:t>
      </w:r>
      <w:r w:rsidR="004A2834" w:rsidRPr="00182F9E">
        <w:rPr>
          <w:rFonts w:eastAsia="Times New Roman" w:cs="Open Sans"/>
        </w:rPr>
        <w:t>where</w:t>
      </w:r>
      <w:r w:rsidR="00573BA7" w:rsidRPr="00182F9E">
        <w:rPr>
          <w:rFonts w:eastAsia="Times New Roman" w:cs="Open Sans"/>
        </w:rPr>
        <w:t xml:space="preserve"> </w:t>
      </w:r>
      <w:r w:rsidR="004A2834" w:rsidRPr="00182F9E">
        <w:rPr>
          <w:rFonts w:eastAsia="Times New Roman" w:cs="Open Sans"/>
        </w:rPr>
        <w:t>the</w:t>
      </w:r>
      <w:r w:rsidR="00573BA7" w:rsidRPr="00182F9E">
        <w:rPr>
          <w:rFonts w:eastAsia="Times New Roman" w:cs="Open Sans"/>
        </w:rPr>
        <w:t xml:space="preserve"> </w:t>
      </w:r>
      <w:r w:rsidR="004A2834" w:rsidRPr="07069484">
        <w:rPr>
          <w:rFonts w:eastAsia="Times New Roman" w:cs="Open Sans"/>
          <w:i/>
          <w:iCs/>
        </w:rPr>
        <w:t>Equality</w:t>
      </w:r>
      <w:r w:rsidR="00573BA7" w:rsidRPr="07069484">
        <w:rPr>
          <w:rFonts w:eastAsia="Times New Roman" w:cs="Open Sans"/>
          <w:i/>
          <w:iCs/>
        </w:rPr>
        <w:t xml:space="preserve"> </w:t>
      </w:r>
      <w:r w:rsidR="004A2834" w:rsidRPr="07069484">
        <w:rPr>
          <w:rFonts w:eastAsia="Times New Roman" w:cs="Open Sans"/>
          <w:i/>
          <w:iCs/>
        </w:rPr>
        <w:t>Act</w:t>
      </w:r>
      <w:r w:rsidR="00573BA7" w:rsidRPr="07069484">
        <w:rPr>
          <w:rFonts w:eastAsia="Times New Roman" w:cs="Open Sans"/>
          <w:i/>
          <w:iCs/>
        </w:rPr>
        <w:t xml:space="preserve"> </w:t>
      </w:r>
      <w:r w:rsidR="004A2834" w:rsidRPr="07069484">
        <w:rPr>
          <w:rFonts w:eastAsia="Times New Roman" w:cs="Open Sans"/>
          <w:i/>
          <w:iCs/>
        </w:rPr>
        <w:t>2010</w:t>
      </w:r>
      <w:r w:rsidR="00573BA7" w:rsidRPr="00182F9E">
        <w:rPr>
          <w:rFonts w:eastAsia="Times New Roman" w:cs="Open Sans"/>
        </w:rPr>
        <w:t xml:space="preserve"> </w:t>
      </w:r>
      <w:r w:rsidR="004A2834" w:rsidRPr="00182F9E">
        <w:rPr>
          <w:rFonts w:eastAsia="Times New Roman" w:cs="Open Sans"/>
        </w:rPr>
        <w:t>(UK)</w:t>
      </w:r>
      <w:r w:rsidR="00573BA7" w:rsidRPr="00182F9E">
        <w:rPr>
          <w:rFonts w:eastAsia="Times New Roman" w:cs="Open Sans"/>
        </w:rPr>
        <w:t xml:space="preserve"> </w:t>
      </w:r>
      <w:r w:rsidR="008839CD" w:rsidRPr="00182F9E">
        <w:rPr>
          <w:rFonts w:eastAsia="Times New Roman" w:cs="Open Sans"/>
        </w:rPr>
        <w:t>uses</w:t>
      </w:r>
      <w:r w:rsidR="00573BA7" w:rsidRPr="00182F9E">
        <w:rPr>
          <w:rFonts w:eastAsia="Times New Roman" w:cs="Open Sans"/>
        </w:rPr>
        <w:t xml:space="preserve"> </w:t>
      </w:r>
      <w:r w:rsidR="008839CD" w:rsidRPr="00182F9E">
        <w:rPr>
          <w:rFonts w:eastAsia="Times New Roman" w:cs="Open Sans"/>
        </w:rPr>
        <w:t>the</w:t>
      </w:r>
      <w:r w:rsidR="00573BA7" w:rsidRPr="00182F9E">
        <w:rPr>
          <w:rFonts w:eastAsia="Times New Roman" w:cs="Open Sans"/>
        </w:rPr>
        <w:t xml:space="preserve"> </w:t>
      </w:r>
      <w:r w:rsidR="008839CD" w:rsidRPr="00182F9E">
        <w:rPr>
          <w:rFonts w:eastAsia="Times New Roman" w:cs="Open Sans"/>
        </w:rPr>
        <w:t>concept</w:t>
      </w:r>
      <w:r w:rsidR="00573BA7" w:rsidRPr="00182F9E">
        <w:rPr>
          <w:rFonts w:eastAsia="Times New Roman" w:cs="Open Sans"/>
        </w:rPr>
        <w:t xml:space="preserve"> </w:t>
      </w:r>
      <w:r w:rsidR="008839CD" w:rsidRPr="00182F9E">
        <w:rPr>
          <w:rFonts w:eastAsia="Times New Roman" w:cs="Open Sans"/>
        </w:rPr>
        <w:t>of</w:t>
      </w:r>
      <w:r w:rsidR="00573BA7" w:rsidRPr="00182F9E">
        <w:rPr>
          <w:rFonts w:eastAsia="Times New Roman" w:cs="Open Sans"/>
        </w:rPr>
        <w:t xml:space="preserve"> </w:t>
      </w:r>
      <w:r w:rsidR="004A2834" w:rsidRPr="00182F9E">
        <w:rPr>
          <w:rFonts w:eastAsia="Times New Roman" w:cs="Open Sans"/>
        </w:rPr>
        <w:t>‘combined</w:t>
      </w:r>
      <w:r w:rsidR="00573BA7" w:rsidRPr="00182F9E">
        <w:rPr>
          <w:rFonts w:eastAsia="Times New Roman" w:cs="Open Sans"/>
        </w:rPr>
        <w:t xml:space="preserve"> </w:t>
      </w:r>
      <w:r w:rsidR="004A2834" w:rsidRPr="00182F9E">
        <w:rPr>
          <w:rFonts w:eastAsia="Times New Roman" w:cs="Open Sans"/>
        </w:rPr>
        <w:t>discrimination’:</w:t>
      </w:r>
    </w:p>
    <w:p w14:paraId="0921064B" w14:textId="08C301CA" w:rsidR="004A2834" w:rsidRPr="007B537E" w:rsidRDefault="004A2834" w:rsidP="007B537E">
      <w:pPr>
        <w:ind w:left="720"/>
        <w:textAlignment w:val="baseline"/>
        <w:rPr>
          <w:rFonts w:eastAsia="Times New Roman" w:cs="Open Sans"/>
          <w:sz w:val="22"/>
          <w:szCs w:val="22"/>
        </w:rPr>
      </w:pPr>
      <w:r w:rsidRPr="007B537E">
        <w:rPr>
          <w:rFonts w:eastAsia="Times New Roman" w:cs="Open Sans"/>
          <w:sz w:val="22"/>
          <w:szCs w:val="22"/>
        </w:rPr>
        <w:t>A</w:t>
      </w:r>
      <w:r w:rsidR="00573BA7" w:rsidRPr="007B537E">
        <w:rPr>
          <w:rFonts w:eastAsia="Times New Roman" w:cs="Open Sans"/>
          <w:sz w:val="22"/>
          <w:szCs w:val="22"/>
        </w:rPr>
        <w:t xml:space="preserve"> </w:t>
      </w:r>
      <w:r w:rsidRPr="007B537E">
        <w:rPr>
          <w:rFonts w:eastAsia="Times New Roman" w:cs="Open Sans"/>
          <w:sz w:val="22"/>
          <w:szCs w:val="22"/>
        </w:rPr>
        <w:t>person</w:t>
      </w:r>
      <w:r w:rsidR="00573BA7" w:rsidRPr="007B537E">
        <w:rPr>
          <w:rFonts w:eastAsia="Times New Roman" w:cs="Open Sans"/>
          <w:sz w:val="22"/>
          <w:szCs w:val="22"/>
        </w:rPr>
        <w:t xml:space="preserve"> </w:t>
      </w:r>
      <w:r w:rsidRPr="007B537E">
        <w:rPr>
          <w:rFonts w:eastAsia="Times New Roman" w:cs="Open Sans"/>
          <w:sz w:val="22"/>
          <w:szCs w:val="22"/>
        </w:rPr>
        <w:t>(A)</w:t>
      </w:r>
      <w:r w:rsidR="00573BA7" w:rsidRPr="007B537E">
        <w:rPr>
          <w:rFonts w:eastAsia="Times New Roman" w:cs="Open Sans"/>
          <w:sz w:val="22"/>
          <w:szCs w:val="22"/>
        </w:rPr>
        <w:t xml:space="preserve"> </w:t>
      </w:r>
      <w:r w:rsidRPr="007B537E">
        <w:rPr>
          <w:rFonts w:eastAsia="Times New Roman" w:cs="Open Sans"/>
          <w:sz w:val="22"/>
          <w:szCs w:val="22"/>
        </w:rPr>
        <w:t>discriminates</w:t>
      </w:r>
      <w:r w:rsidR="00573BA7" w:rsidRPr="007B537E">
        <w:rPr>
          <w:rFonts w:eastAsia="Times New Roman" w:cs="Open Sans"/>
          <w:sz w:val="22"/>
          <w:szCs w:val="22"/>
        </w:rPr>
        <w:t xml:space="preserve"> </w:t>
      </w:r>
      <w:r w:rsidRPr="007B537E">
        <w:rPr>
          <w:rFonts w:eastAsia="Times New Roman" w:cs="Open Sans"/>
          <w:sz w:val="22"/>
          <w:szCs w:val="22"/>
        </w:rPr>
        <w:t>against</w:t>
      </w:r>
      <w:r w:rsidR="00573BA7" w:rsidRPr="007B537E">
        <w:rPr>
          <w:rFonts w:eastAsia="Times New Roman" w:cs="Open Sans"/>
          <w:sz w:val="22"/>
          <w:szCs w:val="22"/>
        </w:rPr>
        <w:t xml:space="preserve"> </w:t>
      </w:r>
      <w:r w:rsidRPr="007B537E">
        <w:rPr>
          <w:rFonts w:eastAsia="Times New Roman" w:cs="Open Sans"/>
          <w:sz w:val="22"/>
          <w:szCs w:val="22"/>
        </w:rPr>
        <w:t>another</w:t>
      </w:r>
      <w:r w:rsidR="00573BA7" w:rsidRPr="007B537E">
        <w:rPr>
          <w:rFonts w:eastAsia="Times New Roman" w:cs="Open Sans"/>
          <w:sz w:val="22"/>
          <w:szCs w:val="22"/>
        </w:rPr>
        <w:t xml:space="preserve"> </w:t>
      </w:r>
      <w:r w:rsidRPr="007B537E">
        <w:rPr>
          <w:rFonts w:eastAsia="Times New Roman" w:cs="Open Sans"/>
          <w:sz w:val="22"/>
          <w:szCs w:val="22"/>
        </w:rPr>
        <w:t>(B)</w:t>
      </w:r>
      <w:r w:rsidR="00573BA7" w:rsidRPr="007B537E">
        <w:rPr>
          <w:rFonts w:eastAsia="Times New Roman" w:cs="Open Sans"/>
          <w:sz w:val="22"/>
          <w:szCs w:val="22"/>
        </w:rPr>
        <w:t xml:space="preserve"> </w:t>
      </w:r>
      <w:r w:rsidRPr="007B537E">
        <w:rPr>
          <w:rFonts w:eastAsia="Times New Roman" w:cs="Open Sans"/>
          <w:sz w:val="22"/>
          <w:szCs w:val="22"/>
        </w:rPr>
        <w:t>if,</w:t>
      </w:r>
      <w:r w:rsidR="00573BA7" w:rsidRPr="007B537E">
        <w:rPr>
          <w:rFonts w:eastAsia="Times New Roman" w:cs="Open Sans"/>
          <w:sz w:val="22"/>
          <w:szCs w:val="22"/>
        </w:rPr>
        <w:t xml:space="preserve"> </w:t>
      </w:r>
      <w:r w:rsidRPr="007B537E">
        <w:rPr>
          <w:rFonts w:eastAsia="Times New Roman" w:cs="Open Sans"/>
          <w:sz w:val="22"/>
          <w:szCs w:val="22"/>
        </w:rPr>
        <w:t>because</w:t>
      </w:r>
      <w:r w:rsidR="00573BA7" w:rsidRPr="007B537E">
        <w:rPr>
          <w:rFonts w:eastAsia="Times New Roman" w:cs="Open Sans"/>
          <w:sz w:val="22"/>
          <w:szCs w:val="22"/>
        </w:rPr>
        <w:t xml:space="preserve"> </w:t>
      </w:r>
      <w:r w:rsidRPr="007B537E">
        <w:rPr>
          <w:rFonts w:eastAsia="Times New Roman" w:cs="Open Sans"/>
          <w:sz w:val="22"/>
          <w:szCs w:val="22"/>
        </w:rPr>
        <w:t>of</w:t>
      </w:r>
      <w:r w:rsidR="00573BA7" w:rsidRPr="007B537E">
        <w:rPr>
          <w:rFonts w:eastAsia="Times New Roman" w:cs="Open Sans"/>
          <w:sz w:val="22"/>
          <w:szCs w:val="22"/>
        </w:rPr>
        <w:t xml:space="preserve"> </w:t>
      </w:r>
      <w:r w:rsidRPr="007B537E">
        <w:rPr>
          <w:rFonts w:eastAsia="Times New Roman" w:cs="Open Sans"/>
          <w:sz w:val="22"/>
          <w:szCs w:val="22"/>
        </w:rPr>
        <w:t>a</w:t>
      </w:r>
      <w:r w:rsidR="00573BA7" w:rsidRPr="007B537E">
        <w:rPr>
          <w:rFonts w:eastAsia="Times New Roman" w:cs="Open Sans"/>
          <w:sz w:val="22"/>
          <w:szCs w:val="22"/>
        </w:rPr>
        <w:t xml:space="preserve"> </w:t>
      </w:r>
      <w:r w:rsidRPr="007B537E">
        <w:rPr>
          <w:rFonts w:eastAsia="Times New Roman" w:cs="Open Sans"/>
          <w:sz w:val="22"/>
          <w:szCs w:val="22"/>
        </w:rPr>
        <w:t>combination</w:t>
      </w:r>
      <w:r w:rsidR="00573BA7" w:rsidRPr="007B537E">
        <w:rPr>
          <w:rFonts w:eastAsia="Times New Roman" w:cs="Open Sans"/>
          <w:sz w:val="22"/>
          <w:szCs w:val="22"/>
        </w:rPr>
        <w:t xml:space="preserve"> </w:t>
      </w:r>
      <w:r w:rsidRPr="007B537E">
        <w:rPr>
          <w:rFonts w:eastAsia="Times New Roman" w:cs="Open Sans"/>
          <w:sz w:val="22"/>
          <w:szCs w:val="22"/>
        </w:rPr>
        <w:t>of</w:t>
      </w:r>
      <w:r w:rsidR="00573BA7" w:rsidRPr="007B537E">
        <w:rPr>
          <w:rFonts w:eastAsia="Times New Roman" w:cs="Open Sans"/>
          <w:sz w:val="22"/>
          <w:szCs w:val="22"/>
        </w:rPr>
        <w:t xml:space="preserve"> </w:t>
      </w:r>
      <w:r w:rsidRPr="007B537E">
        <w:rPr>
          <w:rFonts w:eastAsia="Times New Roman" w:cs="Open Sans"/>
          <w:sz w:val="22"/>
          <w:szCs w:val="22"/>
        </w:rPr>
        <w:t>two</w:t>
      </w:r>
      <w:r w:rsidR="00573BA7" w:rsidRPr="007B537E">
        <w:rPr>
          <w:rFonts w:eastAsia="Times New Roman" w:cs="Open Sans"/>
          <w:sz w:val="22"/>
          <w:szCs w:val="22"/>
        </w:rPr>
        <w:t xml:space="preserve"> </w:t>
      </w:r>
      <w:r w:rsidRPr="007B537E">
        <w:rPr>
          <w:rFonts w:eastAsia="Times New Roman" w:cs="Open Sans"/>
          <w:sz w:val="22"/>
          <w:szCs w:val="22"/>
        </w:rPr>
        <w:t>relevant</w:t>
      </w:r>
      <w:r w:rsidR="00573BA7" w:rsidRPr="007B537E">
        <w:rPr>
          <w:rFonts w:eastAsia="Times New Roman" w:cs="Open Sans"/>
          <w:sz w:val="22"/>
          <w:szCs w:val="22"/>
        </w:rPr>
        <w:t xml:space="preserve"> </w:t>
      </w:r>
      <w:r w:rsidRPr="007B537E">
        <w:rPr>
          <w:rFonts w:eastAsia="Times New Roman" w:cs="Open Sans"/>
          <w:sz w:val="22"/>
          <w:szCs w:val="22"/>
        </w:rPr>
        <w:t>protected</w:t>
      </w:r>
      <w:r w:rsidR="00573BA7" w:rsidRPr="007B537E">
        <w:rPr>
          <w:rFonts w:eastAsia="Times New Roman" w:cs="Open Sans"/>
          <w:sz w:val="22"/>
          <w:szCs w:val="22"/>
        </w:rPr>
        <w:t xml:space="preserve"> </w:t>
      </w:r>
      <w:r w:rsidRPr="007B537E">
        <w:rPr>
          <w:rFonts w:eastAsia="Times New Roman" w:cs="Open Sans"/>
          <w:sz w:val="22"/>
          <w:szCs w:val="22"/>
        </w:rPr>
        <w:t>characteristics,</w:t>
      </w:r>
      <w:r w:rsidR="00573BA7" w:rsidRPr="007B537E">
        <w:rPr>
          <w:rFonts w:eastAsia="Times New Roman" w:cs="Open Sans"/>
          <w:sz w:val="22"/>
          <w:szCs w:val="22"/>
        </w:rPr>
        <w:t xml:space="preserve"> </w:t>
      </w:r>
      <w:r w:rsidRPr="007B537E">
        <w:rPr>
          <w:rFonts w:eastAsia="Times New Roman" w:cs="Open Sans"/>
          <w:sz w:val="22"/>
          <w:szCs w:val="22"/>
        </w:rPr>
        <w:t>A</w:t>
      </w:r>
      <w:r w:rsidR="00573BA7" w:rsidRPr="007B537E">
        <w:rPr>
          <w:rFonts w:eastAsia="Times New Roman" w:cs="Open Sans"/>
          <w:sz w:val="22"/>
          <w:szCs w:val="22"/>
        </w:rPr>
        <w:t xml:space="preserve"> </w:t>
      </w:r>
      <w:r w:rsidRPr="007B537E">
        <w:rPr>
          <w:rFonts w:eastAsia="Times New Roman" w:cs="Open Sans"/>
          <w:sz w:val="22"/>
          <w:szCs w:val="22"/>
        </w:rPr>
        <w:t>treats</w:t>
      </w:r>
      <w:r w:rsidR="00573BA7" w:rsidRPr="007B537E">
        <w:rPr>
          <w:rFonts w:eastAsia="Times New Roman" w:cs="Open Sans"/>
          <w:sz w:val="22"/>
          <w:szCs w:val="22"/>
        </w:rPr>
        <w:t xml:space="preserve"> </w:t>
      </w:r>
      <w:r w:rsidRPr="007B537E">
        <w:rPr>
          <w:rFonts w:eastAsia="Times New Roman" w:cs="Open Sans"/>
          <w:sz w:val="22"/>
          <w:szCs w:val="22"/>
        </w:rPr>
        <w:t>B</w:t>
      </w:r>
      <w:r w:rsidR="00573BA7" w:rsidRPr="007B537E">
        <w:rPr>
          <w:rFonts w:eastAsia="Times New Roman" w:cs="Open Sans"/>
          <w:sz w:val="22"/>
          <w:szCs w:val="22"/>
        </w:rPr>
        <w:t xml:space="preserve"> </w:t>
      </w:r>
      <w:r w:rsidRPr="007B537E">
        <w:rPr>
          <w:rFonts w:eastAsia="Times New Roman" w:cs="Open Sans"/>
          <w:sz w:val="22"/>
          <w:szCs w:val="22"/>
        </w:rPr>
        <w:t>less</w:t>
      </w:r>
      <w:r w:rsidR="00573BA7" w:rsidRPr="007B537E">
        <w:rPr>
          <w:rFonts w:eastAsia="Times New Roman" w:cs="Open Sans"/>
          <w:sz w:val="22"/>
          <w:szCs w:val="22"/>
        </w:rPr>
        <w:t xml:space="preserve"> </w:t>
      </w:r>
      <w:r w:rsidRPr="007B537E">
        <w:rPr>
          <w:rFonts w:eastAsia="Times New Roman" w:cs="Open Sans"/>
          <w:sz w:val="22"/>
          <w:szCs w:val="22"/>
        </w:rPr>
        <w:t>favourably</w:t>
      </w:r>
      <w:r w:rsidR="00573BA7" w:rsidRPr="007B537E">
        <w:rPr>
          <w:rFonts w:eastAsia="Times New Roman" w:cs="Open Sans"/>
          <w:sz w:val="22"/>
          <w:szCs w:val="22"/>
        </w:rPr>
        <w:t xml:space="preserve"> </w:t>
      </w:r>
      <w:r w:rsidRPr="007B537E">
        <w:rPr>
          <w:rFonts w:eastAsia="Times New Roman" w:cs="Open Sans"/>
          <w:sz w:val="22"/>
          <w:szCs w:val="22"/>
        </w:rPr>
        <w:t>than</w:t>
      </w:r>
      <w:r w:rsidR="00573BA7" w:rsidRPr="007B537E">
        <w:rPr>
          <w:rFonts w:eastAsia="Times New Roman" w:cs="Open Sans"/>
          <w:sz w:val="22"/>
          <w:szCs w:val="22"/>
        </w:rPr>
        <w:t xml:space="preserve"> </w:t>
      </w:r>
      <w:r w:rsidRPr="007B537E">
        <w:rPr>
          <w:rFonts w:eastAsia="Times New Roman" w:cs="Open Sans"/>
          <w:sz w:val="22"/>
          <w:szCs w:val="22"/>
        </w:rPr>
        <w:t>A</w:t>
      </w:r>
      <w:r w:rsidR="00573BA7" w:rsidRPr="007B537E">
        <w:rPr>
          <w:rFonts w:eastAsia="Times New Roman" w:cs="Open Sans"/>
          <w:sz w:val="22"/>
          <w:szCs w:val="22"/>
        </w:rPr>
        <w:t xml:space="preserve"> </w:t>
      </w:r>
      <w:r w:rsidRPr="007B537E">
        <w:rPr>
          <w:rFonts w:eastAsia="Times New Roman" w:cs="Open Sans"/>
          <w:sz w:val="22"/>
          <w:szCs w:val="22"/>
        </w:rPr>
        <w:t>treats</w:t>
      </w:r>
      <w:r w:rsidR="00573BA7" w:rsidRPr="007B537E">
        <w:rPr>
          <w:rFonts w:eastAsia="Times New Roman" w:cs="Open Sans"/>
          <w:sz w:val="22"/>
          <w:szCs w:val="22"/>
        </w:rPr>
        <w:t xml:space="preserve"> </w:t>
      </w:r>
      <w:r w:rsidRPr="007B537E">
        <w:rPr>
          <w:rFonts w:eastAsia="Times New Roman" w:cs="Open Sans"/>
          <w:sz w:val="22"/>
          <w:szCs w:val="22"/>
        </w:rPr>
        <w:t>or</w:t>
      </w:r>
      <w:r w:rsidR="00573BA7" w:rsidRPr="007B537E">
        <w:rPr>
          <w:rFonts w:eastAsia="Times New Roman" w:cs="Open Sans"/>
          <w:sz w:val="22"/>
          <w:szCs w:val="22"/>
        </w:rPr>
        <w:t xml:space="preserve"> </w:t>
      </w:r>
      <w:r w:rsidRPr="007B537E">
        <w:rPr>
          <w:rFonts w:eastAsia="Times New Roman" w:cs="Open Sans"/>
          <w:sz w:val="22"/>
          <w:szCs w:val="22"/>
        </w:rPr>
        <w:t>would</w:t>
      </w:r>
      <w:r w:rsidR="00573BA7" w:rsidRPr="007B537E">
        <w:rPr>
          <w:rFonts w:eastAsia="Times New Roman" w:cs="Open Sans"/>
          <w:sz w:val="22"/>
          <w:szCs w:val="22"/>
        </w:rPr>
        <w:t xml:space="preserve"> </w:t>
      </w:r>
      <w:r w:rsidRPr="007B537E">
        <w:rPr>
          <w:rFonts w:eastAsia="Times New Roman" w:cs="Open Sans"/>
          <w:sz w:val="22"/>
          <w:szCs w:val="22"/>
        </w:rPr>
        <w:t>treat</w:t>
      </w:r>
      <w:r w:rsidR="00573BA7" w:rsidRPr="007B537E">
        <w:rPr>
          <w:rFonts w:eastAsia="Times New Roman" w:cs="Open Sans"/>
          <w:sz w:val="22"/>
          <w:szCs w:val="22"/>
        </w:rPr>
        <w:t xml:space="preserve"> </w:t>
      </w:r>
      <w:r w:rsidRPr="007B537E">
        <w:rPr>
          <w:rFonts w:eastAsia="Times New Roman" w:cs="Open Sans"/>
          <w:sz w:val="22"/>
          <w:szCs w:val="22"/>
        </w:rPr>
        <w:t>a</w:t>
      </w:r>
      <w:r w:rsidR="00573BA7" w:rsidRPr="007B537E">
        <w:rPr>
          <w:rFonts w:eastAsia="Times New Roman" w:cs="Open Sans"/>
          <w:sz w:val="22"/>
          <w:szCs w:val="22"/>
        </w:rPr>
        <w:t xml:space="preserve"> </w:t>
      </w:r>
      <w:r w:rsidRPr="007B537E">
        <w:rPr>
          <w:rFonts w:eastAsia="Times New Roman" w:cs="Open Sans"/>
          <w:sz w:val="22"/>
          <w:szCs w:val="22"/>
        </w:rPr>
        <w:t>person</w:t>
      </w:r>
      <w:r w:rsidR="00573BA7" w:rsidRPr="007B537E">
        <w:rPr>
          <w:rFonts w:eastAsia="Times New Roman" w:cs="Open Sans"/>
          <w:sz w:val="22"/>
          <w:szCs w:val="22"/>
        </w:rPr>
        <w:t xml:space="preserve"> </w:t>
      </w:r>
      <w:r w:rsidRPr="007B537E">
        <w:rPr>
          <w:rFonts w:eastAsia="Times New Roman" w:cs="Open Sans"/>
          <w:sz w:val="22"/>
          <w:szCs w:val="22"/>
        </w:rPr>
        <w:t>who</w:t>
      </w:r>
      <w:r w:rsidR="00573BA7" w:rsidRPr="007B537E">
        <w:rPr>
          <w:rFonts w:eastAsia="Times New Roman" w:cs="Open Sans"/>
          <w:sz w:val="22"/>
          <w:szCs w:val="22"/>
        </w:rPr>
        <w:t xml:space="preserve"> </w:t>
      </w:r>
      <w:r w:rsidRPr="007B537E">
        <w:rPr>
          <w:rFonts w:eastAsia="Times New Roman" w:cs="Open Sans"/>
          <w:sz w:val="22"/>
          <w:szCs w:val="22"/>
        </w:rPr>
        <w:t>does</w:t>
      </w:r>
      <w:r w:rsidR="00573BA7" w:rsidRPr="007B537E">
        <w:rPr>
          <w:rFonts w:eastAsia="Times New Roman" w:cs="Open Sans"/>
          <w:sz w:val="22"/>
          <w:szCs w:val="22"/>
        </w:rPr>
        <w:t xml:space="preserve"> </w:t>
      </w:r>
      <w:r w:rsidRPr="007B537E">
        <w:rPr>
          <w:rFonts w:eastAsia="Times New Roman" w:cs="Open Sans"/>
          <w:sz w:val="22"/>
          <w:szCs w:val="22"/>
        </w:rPr>
        <w:t>not</w:t>
      </w:r>
      <w:r w:rsidR="00573BA7" w:rsidRPr="007B537E">
        <w:rPr>
          <w:rFonts w:eastAsia="Times New Roman" w:cs="Open Sans"/>
          <w:sz w:val="22"/>
          <w:szCs w:val="22"/>
        </w:rPr>
        <w:t xml:space="preserve"> </w:t>
      </w:r>
      <w:r w:rsidRPr="007B537E">
        <w:rPr>
          <w:rFonts w:eastAsia="Times New Roman" w:cs="Open Sans"/>
          <w:sz w:val="22"/>
          <w:szCs w:val="22"/>
        </w:rPr>
        <w:t>share</w:t>
      </w:r>
      <w:r w:rsidR="00573BA7" w:rsidRPr="007B537E">
        <w:rPr>
          <w:rFonts w:eastAsia="Times New Roman" w:cs="Open Sans"/>
          <w:sz w:val="22"/>
          <w:szCs w:val="22"/>
        </w:rPr>
        <w:t xml:space="preserve"> </w:t>
      </w:r>
      <w:r w:rsidRPr="007B537E">
        <w:rPr>
          <w:rFonts w:eastAsia="Times New Roman" w:cs="Open Sans"/>
          <w:sz w:val="22"/>
          <w:szCs w:val="22"/>
        </w:rPr>
        <w:t>either</w:t>
      </w:r>
      <w:r w:rsidR="00573BA7" w:rsidRPr="007B537E">
        <w:rPr>
          <w:rFonts w:eastAsia="Times New Roman" w:cs="Open Sans"/>
          <w:sz w:val="22"/>
          <w:szCs w:val="22"/>
        </w:rPr>
        <w:t xml:space="preserve"> </w:t>
      </w:r>
      <w:r w:rsidRPr="007B537E">
        <w:rPr>
          <w:rFonts w:eastAsia="Times New Roman" w:cs="Open Sans"/>
          <w:sz w:val="22"/>
          <w:szCs w:val="22"/>
        </w:rPr>
        <w:t>of</w:t>
      </w:r>
      <w:r w:rsidR="00573BA7" w:rsidRPr="007B537E">
        <w:rPr>
          <w:rFonts w:eastAsia="Times New Roman" w:cs="Open Sans"/>
          <w:sz w:val="22"/>
          <w:szCs w:val="22"/>
        </w:rPr>
        <w:t xml:space="preserve"> </w:t>
      </w:r>
      <w:r w:rsidRPr="007B537E">
        <w:rPr>
          <w:rFonts w:eastAsia="Times New Roman" w:cs="Open Sans"/>
          <w:sz w:val="22"/>
          <w:szCs w:val="22"/>
        </w:rPr>
        <w:t>those</w:t>
      </w:r>
      <w:r w:rsidR="00573BA7" w:rsidRPr="007B537E">
        <w:rPr>
          <w:rFonts w:eastAsia="Times New Roman" w:cs="Open Sans"/>
          <w:sz w:val="22"/>
          <w:szCs w:val="22"/>
        </w:rPr>
        <w:t xml:space="preserve"> </w:t>
      </w:r>
      <w:r w:rsidRPr="007B537E">
        <w:rPr>
          <w:rFonts w:eastAsia="Times New Roman" w:cs="Open Sans"/>
          <w:sz w:val="22"/>
          <w:szCs w:val="22"/>
        </w:rPr>
        <w:t>characteristics.</w:t>
      </w:r>
      <w:r w:rsidR="006744B1" w:rsidRPr="07069484">
        <w:rPr>
          <w:rStyle w:val="EndnoteReference"/>
          <w:rFonts w:eastAsia="Times New Roman" w:cs="Open Sans"/>
        </w:rPr>
        <w:endnoteReference w:id="178"/>
      </w:r>
      <w:r w:rsidR="00573BA7" w:rsidRPr="007B537E">
        <w:rPr>
          <w:rFonts w:eastAsia="Times New Roman" w:cs="Open Sans"/>
          <w:sz w:val="22"/>
          <w:szCs w:val="22"/>
        </w:rPr>
        <w:t xml:space="preserve"> </w:t>
      </w:r>
    </w:p>
    <w:p w14:paraId="04ABA9D8" w14:textId="3F1E30CD" w:rsidR="00A975B0" w:rsidRDefault="004A2834" w:rsidP="00662F4B">
      <w:pPr>
        <w:pStyle w:val="ListNumber"/>
        <w:rPr>
          <w:rFonts w:eastAsia="Times New Roman" w:cs="Open Sans"/>
        </w:rPr>
      </w:pPr>
      <w:r w:rsidRPr="003F4CE1">
        <w:rPr>
          <w:rFonts w:eastAsia="Times New Roman" w:cs="Open Sans"/>
        </w:rPr>
        <w:t>Similarly,</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Exposure</w:t>
      </w:r>
      <w:r w:rsidR="00573BA7">
        <w:rPr>
          <w:rFonts w:eastAsia="Times New Roman" w:cs="Open Sans"/>
        </w:rPr>
        <w:t xml:space="preserve"> </w:t>
      </w:r>
      <w:r w:rsidRPr="003F4CE1">
        <w:rPr>
          <w:rFonts w:eastAsia="Times New Roman" w:cs="Open Sans"/>
        </w:rPr>
        <w:t>Draft</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Human</w:t>
      </w:r>
      <w:r w:rsidR="00573BA7">
        <w:rPr>
          <w:rFonts w:eastAsia="Times New Roman" w:cs="Open Sans"/>
        </w:rPr>
        <w:t xml:space="preserve"> </w:t>
      </w:r>
      <w:r w:rsidRPr="003F4CE1">
        <w:rPr>
          <w:rFonts w:eastAsia="Times New Roman" w:cs="Open Sans"/>
        </w:rPr>
        <w:t>Rights</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Pr="003F4CE1">
        <w:rPr>
          <w:rFonts w:eastAsia="Times New Roman" w:cs="Open Sans"/>
        </w:rPr>
        <w:t>Anti-Discrimination</w:t>
      </w:r>
      <w:r w:rsidR="00573BA7">
        <w:rPr>
          <w:rFonts w:eastAsia="Times New Roman" w:cs="Open Sans"/>
        </w:rPr>
        <w:t xml:space="preserve"> </w:t>
      </w:r>
      <w:r w:rsidRPr="003F4CE1">
        <w:rPr>
          <w:rFonts w:eastAsia="Times New Roman" w:cs="Open Sans"/>
        </w:rPr>
        <w:t>Bill</w:t>
      </w:r>
      <w:r w:rsidR="00573BA7">
        <w:rPr>
          <w:rFonts w:eastAsia="Times New Roman" w:cs="Open Sans"/>
        </w:rPr>
        <w:t xml:space="preserve"> </w:t>
      </w:r>
      <w:r w:rsidR="00824858">
        <w:rPr>
          <w:rFonts w:eastAsia="Times New Roman" w:cs="Open Sans"/>
        </w:rPr>
        <w:t xml:space="preserve">2012 (Cth) </w:t>
      </w:r>
      <w:r w:rsidRPr="003F4CE1">
        <w:rPr>
          <w:rFonts w:eastAsia="Times New Roman" w:cs="Open Sans"/>
        </w:rPr>
        <w:t>proposed</w:t>
      </w:r>
      <w:r w:rsidR="00573BA7">
        <w:rPr>
          <w:rFonts w:eastAsia="Times New Roman" w:cs="Open Sans"/>
        </w:rPr>
        <w:t xml:space="preserve"> </w:t>
      </w:r>
      <w:r w:rsidRPr="003F4CE1">
        <w:rPr>
          <w:rFonts w:eastAsia="Times New Roman" w:cs="Open Sans"/>
        </w:rPr>
        <w:t>that</w:t>
      </w:r>
      <w:r w:rsidR="00573BA7">
        <w:rPr>
          <w:rFonts w:eastAsia="Times New Roman" w:cs="Open Sans"/>
        </w:rPr>
        <w:t xml:space="preserve"> </w:t>
      </w:r>
      <w:r w:rsidRPr="003F4CE1">
        <w:rPr>
          <w:rFonts w:eastAsia="Times New Roman" w:cs="Open Sans"/>
        </w:rPr>
        <w:t>direct</w:t>
      </w:r>
      <w:r w:rsidR="00573BA7">
        <w:rPr>
          <w:rFonts w:eastAsia="Times New Roman" w:cs="Open Sans"/>
        </w:rPr>
        <w:t xml:space="preserve"> </w:t>
      </w:r>
      <w:r w:rsidRPr="003F4CE1">
        <w:rPr>
          <w:rFonts w:eastAsia="Times New Roman" w:cs="Open Sans"/>
        </w:rPr>
        <w:t>discrimination,</w:t>
      </w:r>
      <w:r w:rsidR="00573BA7">
        <w:rPr>
          <w:rFonts w:eastAsia="Times New Roman" w:cs="Open Sans"/>
        </w:rPr>
        <w:t xml:space="preserve"> </w:t>
      </w:r>
      <w:r w:rsidRPr="003F4CE1">
        <w:rPr>
          <w:rFonts w:eastAsia="Times New Roman" w:cs="Open Sans"/>
        </w:rPr>
        <w:t>(including</w:t>
      </w:r>
      <w:r w:rsidR="00573BA7">
        <w:rPr>
          <w:rFonts w:eastAsia="Times New Roman" w:cs="Open Sans"/>
        </w:rPr>
        <w:t xml:space="preserve"> </w:t>
      </w:r>
      <w:r w:rsidRPr="003F4CE1">
        <w:rPr>
          <w:rFonts w:eastAsia="Times New Roman" w:cs="Open Sans"/>
        </w:rPr>
        <w:t>harassment)</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Pr="003F4CE1">
        <w:rPr>
          <w:rFonts w:eastAsia="Times New Roman" w:cs="Open Sans"/>
        </w:rPr>
        <w:t>indirect</w:t>
      </w:r>
      <w:r w:rsidR="00573BA7">
        <w:rPr>
          <w:rFonts w:eastAsia="Times New Roman" w:cs="Open Sans"/>
        </w:rPr>
        <w:t xml:space="preserve"> </w:t>
      </w:r>
      <w:r w:rsidRPr="003F4CE1">
        <w:rPr>
          <w:rFonts w:eastAsia="Times New Roman" w:cs="Open Sans"/>
        </w:rPr>
        <w:t>discrimination</w:t>
      </w:r>
      <w:r w:rsidR="00573BA7">
        <w:rPr>
          <w:rFonts w:eastAsia="Times New Roman" w:cs="Open Sans"/>
        </w:rPr>
        <w:t xml:space="preserve"> </w:t>
      </w:r>
      <w:r w:rsidRPr="003F4CE1">
        <w:rPr>
          <w:rFonts w:eastAsia="Times New Roman" w:cs="Open Sans"/>
        </w:rPr>
        <w:t>include</w:t>
      </w:r>
      <w:r w:rsidR="00573BA7">
        <w:rPr>
          <w:rFonts w:eastAsia="Times New Roman" w:cs="Open Sans"/>
        </w:rPr>
        <w:t xml:space="preserve"> </w:t>
      </w:r>
      <w:r w:rsidRPr="003F4CE1">
        <w:rPr>
          <w:rFonts w:eastAsia="Times New Roman" w:cs="Open Sans"/>
        </w:rPr>
        <w:t>situations</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intersectional</w:t>
      </w:r>
      <w:r w:rsidR="00573BA7">
        <w:rPr>
          <w:rFonts w:eastAsia="Times New Roman" w:cs="Open Sans"/>
        </w:rPr>
        <w:t xml:space="preserve"> </w:t>
      </w:r>
      <w:r w:rsidRPr="003F4CE1">
        <w:rPr>
          <w:rFonts w:eastAsia="Times New Roman" w:cs="Open Sans"/>
        </w:rPr>
        <w:t>discrimination</w:t>
      </w:r>
      <w:r w:rsidR="00573BA7">
        <w:rPr>
          <w:rFonts w:eastAsia="Times New Roman" w:cs="Open Sans"/>
        </w:rPr>
        <w:t xml:space="preserve"> </w:t>
      </w:r>
      <w:r w:rsidRPr="003F4CE1">
        <w:rPr>
          <w:rFonts w:eastAsia="Times New Roman" w:cs="Open Sans"/>
        </w:rPr>
        <w:t>where</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discrimination</w:t>
      </w:r>
      <w:r w:rsidR="00573BA7">
        <w:rPr>
          <w:rFonts w:eastAsia="Times New Roman" w:cs="Open Sans"/>
        </w:rPr>
        <w:t xml:space="preserve"> </w:t>
      </w:r>
      <w:r w:rsidRPr="003F4CE1">
        <w:rPr>
          <w:rFonts w:eastAsia="Times New Roman" w:cs="Open Sans"/>
        </w:rPr>
        <w:t>relates</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‘a</w:t>
      </w:r>
      <w:r w:rsidR="00573BA7">
        <w:rPr>
          <w:rFonts w:eastAsia="Times New Roman" w:cs="Open Sans"/>
        </w:rPr>
        <w:t xml:space="preserve"> </w:t>
      </w:r>
      <w:r w:rsidRPr="003F4CE1">
        <w:rPr>
          <w:rFonts w:eastAsia="Times New Roman" w:cs="Open Sans"/>
        </w:rPr>
        <w:t>particular</w:t>
      </w:r>
      <w:r w:rsidR="00573BA7">
        <w:rPr>
          <w:rFonts w:eastAsia="Times New Roman" w:cs="Open Sans"/>
        </w:rPr>
        <w:t xml:space="preserve"> </w:t>
      </w:r>
      <w:r w:rsidRPr="003F4CE1">
        <w:rPr>
          <w:rFonts w:eastAsia="Times New Roman" w:cs="Open Sans"/>
        </w:rPr>
        <w:t>combination</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two</w:t>
      </w:r>
      <w:r w:rsidR="00573BA7">
        <w:rPr>
          <w:rFonts w:eastAsia="Times New Roman" w:cs="Open Sans"/>
        </w:rPr>
        <w:t xml:space="preserve"> </w:t>
      </w:r>
      <w:r w:rsidRPr="003F4CE1">
        <w:rPr>
          <w:rFonts w:eastAsia="Times New Roman" w:cs="Open Sans"/>
        </w:rPr>
        <w:t>or</w:t>
      </w:r>
      <w:r w:rsidR="00573BA7">
        <w:rPr>
          <w:rFonts w:eastAsia="Times New Roman" w:cs="Open Sans"/>
        </w:rPr>
        <w:t xml:space="preserve"> </w:t>
      </w:r>
      <w:r w:rsidRPr="003F4CE1">
        <w:rPr>
          <w:rFonts w:eastAsia="Times New Roman" w:cs="Open Sans"/>
        </w:rPr>
        <w:t>more</w:t>
      </w:r>
      <w:r w:rsidR="00573BA7">
        <w:rPr>
          <w:rFonts w:eastAsia="Times New Roman" w:cs="Open Sans"/>
        </w:rPr>
        <w:t xml:space="preserve"> </w:t>
      </w:r>
      <w:r w:rsidRPr="003F4CE1">
        <w:rPr>
          <w:rFonts w:eastAsia="Times New Roman" w:cs="Open Sans"/>
        </w:rPr>
        <w:t>protected</w:t>
      </w:r>
      <w:r w:rsidR="00573BA7">
        <w:rPr>
          <w:rFonts w:eastAsia="Times New Roman" w:cs="Open Sans"/>
        </w:rPr>
        <w:t xml:space="preserve"> </w:t>
      </w:r>
      <w:r w:rsidRPr="003F4CE1">
        <w:rPr>
          <w:rFonts w:eastAsia="Times New Roman" w:cs="Open Sans"/>
        </w:rPr>
        <w:t>attributes’.</w:t>
      </w:r>
      <w:r w:rsidR="00A975B0" w:rsidRPr="003F4CE1">
        <w:rPr>
          <w:rStyle w:val="EndnoteReference"/>
          <w:rFonts w:eastAsia="Times New Roman" w:cs="Open Sans"/>
        </w:rPr>
        <w:endnoteReference w:id="179"/>
      </w:r>
    </w:p>
    <w:p w14:paraId="53453E77" w14:textId="666F3BE0" w:rsidR="00E9517A" w:rsidRPr="00707BCE" w:rsidRDefault="00E9517A" w:rsidP="00707BCE">
      <w:pPr>
        <w:pStyle w:val="ListNumber"/>
        <w:rPr>
          <w:rFonts w:ascii="Times New Roman" w:eastAsiaTheme="minorEastAsia" w:hAnsi="Times New Roman"/>
          <w:b/>
          <w:bCs/>
          <w:i/>
          <w:iCs/>
        </w:rPr>
      </w:pPr>
      <w:r w:rsidRPr="07069484">
        <w:rPr>
          <w:rFonts w:cs="Open Sans"/>
        </w:rPr>
        <w:t xml:space="preserve">The </w:t>
      </w:r>
      <w:r w:rsidR="006D1C3B">
        <w:rPr>
          <w:rFonts w:cs="Open Sans"/>
        </w:rPr>
        <w:t>approach to c</w:t>
      </w:r>
      <w:r w:rsidR="00500C10">
        <w:rPr>
          <w:rFonts w:cs="Open Sans"/>
        </w:rPr>
        <w:t>laims of intersectional</w:t>
      </w:r>
      <w:r w:rsidR="00BA0C06">
        <w:rPr>
          <w:rFonts w:cs="Open Sans"/>
        </w:rPr>
        <w:t xml:space="preserve"> discrimina</w:t>
      </w:r>
      <w:r w:rsidR="00EC3913">
        <w:rPr>
          <w:rFonts w:cs="Open Sans"/>
        </w:rPr>
        <w:t>tion</w:t>
      </w:r>
      <w:r w:rsidRPr="07069484">
        <w:rPr>
          <w:rFonts w:cs="Open Sans"/>
        </w:rPr>
        <w:t xml:space="preserve"> will </w:t>
      </w:r>
      <w:r w:rsidR="008B484C">
        <w:rPr>
          <w:rFonts w:cs="Open Sans"/>
        </w:rPr>
        <w:t xml:space="preserve">be further explored </w:t>
      </w:r>
      <w:r w:rsidR="008B484C" w:rsidRPr="07069484">
        <w:rPr>
          <w:rFonts w:eastAsia="Times New Roman" w:cs="Open Sans"/>
        </w:rPr>
        <w:t>in the National Conversation report due to be published later this year.</w:t>
      </w:r>
    </w:p>
    <w:p w14:paraId="5311F06A" w14:textId="1FCC63C1" w:rsidR="004A2834" w:rsidRPr="00710E6A" w:rsidRDefault="00BF3B93">
      <w:pPr>
        <w:pStyle w:val="Heading3"/>
        <w:rPr>
          <w:b/>
          <w:bCs w:val="0"/>
        </w:rPr>
      </w:pPr>
      <w:bookmarkStart w:id="76" w:name="_Ref50730820"/>
      <w:bookmarkStart w:id="77" w:name="_Toc51834289"/>
      <w:r w:rsidRPr="00710E6A">
        <w:rPr>
          <w:b/>
          <w:bCs w:val="0"/>
        </w:rPr>
        <w:t>Effective provision of r</w:t>
      </w:r>
      <w:r w:rsidR="004A2834" w:rsidRPr="00710E6A">
        <w:rPr>
          <w:b/>
          <w:bCs w:val="0"/>
        </w:rPr>
        <w:t>easonable</w:t>
      </w:r>
      <w:r w:rsidR="00573BA7" w:rsidRPr="00710E6A">
        <w:rPr>
          <w:b/>
          <w:bCs w:val="0"/>
        </w:rPr>
        <w:t xml:space="preserve"> </w:t>
      </w:r>
      <w:r w:rsidR="004A2834" w:rsidRPr="00710E6A">
        <w:rPr>
          <w:b/>
          <w:bCs w:val="0"/>
        </w:rPr>
        <w:t>adjustments</w:t>
      </w:r>
      <w:bookmarkEnd w:id="76"/>
      <w:bookmarkEnd w:id="77"/>
    </w:p>
    <w:p w14:paraId="29265967" w14:textId="688F1596" w:rsidR="006D15B3" w:rsidRPr="00BE3E52" w:rsidRDefault="00996BE2" w:rsidP="008A7EB0">
      <w:pPr>
        <w:pStyle w:val="ListNumber"/>
        <w:rPr>
          <w:rFonts w:eastAsia="Times New Roman" w:cs="Open Sans"/>
          <w:sz w:val="22"/>
          <w:szCs w:val="22"/>
        </w:rPr>
      </w:pPr>
      <w:r w:rsidRPr="07069484">
        <w:rPr>
          <w:rFonts w:eastAsia="Times New Roman" w:cs="Open Sans"/>
        </w:rPr>
        <w:t>Under Article</w:t>
      </w:r>
      <w:r w:rsidR="00F84282" w:rsidRPr="07069484">
        <w:rPr>
          <w:rFonts w:eastAsia="Times New Roman" w:cs="Open Sans"/>
        </w:rPr>
        <w:t>s</w:t>
      </w:r>
      <w:r w:rsidRPr="07069484">
        <w:rPr>
          <w:rFonts w:eastAsia="Times New Roman" w:cs="Open Sans"/>
        </w:rPr>
        <w:t xml:space="preserve"> </w:t>
      </w:r>
      <w:r w:rsidR="00F84282" w:rsidRPr="07069484">
        <w:rPr>
          <w:rFonts w:eastAsia="Times New Roman" w:cs="Open Sans"/>
        </w:rPr>
        <w:t xml:space="preserve">5(3) and </w:t>
      </w:r>
      <w:r w:rsidRPr="07069484">
        <w:rPr>
          <w:rFonts w:eastAsia="Times New Roman" w:cs="Open Sans"/>
        </w:rPr>
        <w:t xml:space="preserve">27(1)(i) of the CRPD, </w:t>
      </w:r>
      <w:r w:rsidR="00112F69" w:rsidRPr="07069484">
        <w:rPr>
          <w:rFonts w:eastAsia="Times New Roman" w:cs="Open Sans"/>
        </w:rPr>
        <w:t>Australia</w:t>
      </w:r>
      <w:r w:rsidR="00573BA7" w:rsidRPr="07069484">
        <w:rPr>
          <w:rFonts w:eastAsia="Times New Roman" w:cs="Open Sans"/>
        </w:rPr>
        <w:t xml:space="preserve"> </w:t>
      </w:r>
      <w:r w:rsidR="00112F69" w:rsidRPr="07069484">
        <w:rPr>
          <w:rFonts w:eastAsia="Times New Roman" w:cs="Open Sans"/>
        </w:rPr>
        <w:t>is</w:t>
      </w:r>
      <w:r w:rsidR="00573BA7" w:rsidRPr="07069484">
        <w:rPr>
          <w:rFonts w:eastAsia="Times New Roman" w:cs="Open Sans"/>
        </w:rPr>
        <w:t xml:space="preserve"> </w:t>
      </w:r>
      <w:r w:rsidR="00112F69" w:rsidRPr="07069484">
        <w:rPr>
          <w:rFonts w:eastAsia="Times New Roman" w:cs="Open Sans"/>
        </w:rPr>
        <w:t>required</w:t>
      </w:r>
      <w:r w:rsidR="00573BA7" w:rsidRPr="07069484">
        <w:rPr>
          <w:rFonts w:eastAsia="Times New Roman" w:cs="Open Sans"/>
        </w:rPr>
        <w:t xml:space="preserve"> </w:t>
      </w:r>
      <w:r w:rsidR="00112F69" w:rsidRPr="07069484">
        <w:rPr>
          <w:rFonts w:eastAsia="Times New Roman" w:cs="Open Sans"/>
        </w:rPr>
        <w:t>to</w:t>
      </w:r>
      <w:r w:rsidR="00573BA7" w:rsidRPr="07069484">
        <w:rPr>
          <w:rFonts w:eastAsia="Times New Roman" w:cs="Open Sans"/>
        </w:rPr>
        <w:t xml:space="preserve"> </w:t>
      </w:r>
      <w:r w:rsidR="00112F69" w:rsidRPr="07069484">
        <w:rPr>
          <w:rFonts w:eastAsia="Times New Roman" w:cs="Open Sans"/>
        </w:rPr>
        <w:t>ensure</w:t>
      </w:r>
      <w:r w:rsidR="00573BA7" w:rsidRPr="07069484">
        <w:rPr>
          <w:rFonts w:eastAsia="Times New Roman" w:cs="Open Sans"/>
        </w:rPr>
        <w:t xml:space="preserve"> </w:t>
      </w:r>
      <w:r w:rsidR="00112F69" w:rsidRPr="07069484">
        <w:rPr>
          <w:rFonts w:eastAsia="Times New Roman" w:cs="Open Sans"/>
        </w:rPr>
        <w:t>that</w:t>
      </w:r>
      <w:r w:rsidR="00573BA7" w:rsidRPr="07069484">
        <w:rPr>
          <w:rFonts w:eastAsia="Times New Roman" w:cs="Open Sans"/>
        </w:rPr>
        <w:t xml:space="preserve"> </w:t>
      </w:r>
      <w:r w:rsidR="00112F69" w:rsidRPr="07069484">
        <w:rPr>
          <w:rFonts w:eastAsia="Times New Roman" w:cs="Open Sans"/>
        </w:rPr>
        <w:t>reasonable</w:t>
      </w:r>
      <w:r w:rsidR="00573BA7" w:rsidRPr="07069484">
        <w:rPr>
          <w:rFonts w:eastAsia="Times New Roman" w:cs="Open Sans"/>
        </w:rPr>
        <w:t xml:space="preserve"> </w:t>
      </w:r>
      <w:r w:rsidR="00112F69" w:rsidRPr="07069484">
        <w:rPr>
          <w:rFonts w:eastAsia="Times New Roman" w:cs="Open Sans"/>
        </w:rPr>
        <w:t>accommodation</w:t>
      </w:r>
      <w:r w:rsidR="00573BA7" w:rsidRPr="07069484">
        <w:rPr>
          <w:rFonts w:eastAsia="Times New Roman" w:cs="Open Sans"/>
        </w:rPr>
        <w:t xml:space="preserve"> </w:t>
      </w:r>
      <w:r w:rsidR="00112F69" w:rsidRPr="07069484">
        <w:rPr>
          <w:rFonts w:eastAsia="Times New Roman" w:cs="Open Sans"/>
        </w:rPr>
        <w:t>(</w:t>
      </w:r>
      <w:r w:rsidR="007818FB" w:rsidRPr="07069484">
        <w:rPr>
          <w:rFonts w:eastAsia="Times New Roman" w:cs="Open Sans"/>
        </w:rPr>
        <w:t>referred</w:t>
      </w:r>
      <w:r w:rsidR="00573BA7" w:rsidRPr="07069484">
        <w:rPr>
          <w:rFonts w:eastAsia="Times New Roman" w:cs="Open Sans"/>
        </w:rPr>
        <w:t xml:space="preserve"> </w:t>
      </w:r>
      <w:r w:rsidR="007818FB" w:rsidRPr="07069484">
        <w:rPr>
          <w:rFonts w:eastAsia="Times New Roman" w:cs="Open Sans"/>
        </w:rPr>
        <w:t>to</w:t>
      </w:r>
      <w:r w:rsidR="00573BA7" w:rsidRPr="07069484">
        <w:rPr>
          <w:rFonts w:eastAsia="Times New Roman" w:cs="Open Sans"/>
        </w:rPr>
        <w:t xml:space="preserve"> </w:t>
      </w:r>
      <w:r w:rsidR="007818FB" w:rsidRPr="07069484">
        <w:rPr>
          <w:rFonts w:eastAsia="Times New Roman" w:cs="Open Sans"/>
        </w:rPr>
        <w:t>as</w:t>
      </w:r>
      <w:r w:rsidR="00573BA7" w:rsidRPr="07069484">
        <w:rPr>
          <w:rFonts w:eastAsia="Times New Roman" w:cs="Open Sans"/>
        </w:rPr>
        <w:t xml:space="preserve"> </w:t>
      </w:r>
      <w:r w:rsidR="00112F69" w:rsidRPr="07069484">
        <w:rPr>
          <w:rFonts w:eastAsia="Times New Roman" w:cs="Open Sans"/>
        </w:rPr>
        <w:t>‘reasonable</w:t>
      </w:r>
      <w:r w:rsidR="00573BA7" w:rsidRPr="07069484">
        <w:rPr>
          <w:rFonts w:eastAsia="Times New Roman" w:cs="Open Sans"/>
        </w:rPr>
        <w:t xml:space="preserve"> </w:t>
      </w:r>
      <w:r w:rsidR="00112F69" w:rsidRPr="07069484">
        <w:rPr>
          <w:rFonts w:eastAsia="Times New Roman" w:cs="Open Sans"/>
        </w:rPr>
        <w:t>adjustments’</w:t>
      </w:r>
      <w:r w:rsidR="00573BA7" w:rsidRPr="07069484">
        <w:rPr>
          <w:rFonts w:eastAsia="Times New Roman" w:cs="Open Sans"/>
        </w:rPr>
        <w:t xml:space="preserve"> </w:t>
      </w:r>
      <w:r w:rsidR="00112F69" w:rsidRPr="07069484">
        <w:rPr>
          <w:rFonts w:eastAsia="Times New Roman" w:cs="Open Sans"/>
        </w:rPr>
        <w:t>in</w:t>
      </w:r>
      <w:r w:rsidR="00573BA7" w:rsidRPr="07069484">
        <w:rPr>
          <w:rFonts w:eastAsia="Times New Roman" w:cs="Open Sans"/>
        </w:rPr>
        <w:t xml:space="preserve"> </w:t>
      </w:r>
      <w:r w:rsidR="00112F69" w:rsidRPr="07069484">
        <w:rPr>
          <w:rFonts w:eastAsia="Times New Roman" w:cs="Open Sans"/>
        </w:rPr>
        <w:t>the</w:t>
      </w:r>
      <w:r w:rsidR="00573BA7" w:rsidRPr="07069484">
        <w:rPr>
          <w:rFonts w:eastAsia="Times New Roman" w:cs="Open Sans"/>
        </w:rPr>
        <w:t xml:space="preserve"> </w:t>
      </w:r>
      <w:r w:rsidR="00112F69" w:rsidRPr="07069484">
        <w:rPr>
          <w:rFonts w:eastAsia="Times New Roman" w:cs="Open Sans"/>
        </w:rPr>
        <w:t>Disability</w:t>
      </w:r>
      <w:r w:rsidR="00573BA7" w:rsidRPr="07069484">
        <w:rPr>
          <w:rFonts w:eastAsia="Times New Roman" w:cs="Open Sans"/>
        </w:rPr>
        <w:t xml:space="preserve"> </w:t>
      </w:r>
      <w:r w:rsidR="00112F69" w:rsidRPr="07069484">
        <w:rPr>
          <w:rFonts w:eastAsia="Times New Roman" w:cs="Open Sans"/>
        </w:rPr>
        <w:t>Discrimination</w:t>
      </w:r>
      <w:r w:rsidR="00573BA7" w:rsidRPr="07069484">
        <w:rPr>
          <w:rFonts w:eastAsia="Times New Roman" w:cs="Open Sans"/>
          <w:i/>
          <w:iCs/>
        </w:rPr>
        <w:t xml:space="preserve"> </w:t>
      </w:r>
      <w:r w:rsidR="00112F69" w:rsidRPr="07069484">
        <w:rPr>
          <w:rFonts w:eastAsia="Times New Roman" w:cs="Open Sans"/>
        </w:rPr>
        <w:t>Act)</w:t>
      </w:r>
      <w:r w:rsidR="00573BA7" w:rsidRPr="07069484">
        <w:rPr>
          <w:rFonts w:eastAsia="Times New Roman" w:cs="Open Sans"/>
        </w:rPr>
        <w:t xml:space="preserve"> </w:t>
      </w:r>
      <w:r w:rsidR="00112F69" w:rsidRPr="07069484">
        <w:rPr>
          <w:rFonts w:eastAsia="Times New Roman" w:cs="Open Sans"/>
        </w:rPr>
        <w:t>is</w:t>
      </w:r>
      <w:r w:rsidR="00573BA7" w:rsidRPr="07069484">
        <w:rPr>
          <w:rFonts w:eastAsia="Times New Roman" w:cs="Open Sans"/>
        </w:rPr>
        <w:t xml:space="preserve"> </w:t>
      </w:r>
      <w:r w:rsidR="00112F69" w:rsidRPr="07069484">
        <w:rPr>
          <w:rFonts w:eastAsia="Times New Roman" w:cs="Open Sans"/>
        </w:rPr>
        <w:t>provided</w:t>
      </w:r>
      <w:r w:rsidR="00573BA7" w:rsidRPr="07069484">
        <w:rPr>
          <w:rFonts w:eastAsia="Times New Roman" w:cs="Open Sans"/>
        </w:rPr>
        <w:t xml:space="preserve"> </w:t>
      </w:r>
      <w:r w:rsidR="00112F69" w:rsidRPr="07069484">
        <w:rPr>
          <w:rFonts w:eastAsia="Times New Roman" w:cs="Open Sans"/>
        </w:rPr>
        <w:t>to</w:t>
      </w:r>
      <w:r w:rsidR="00573BA7" w:rsidRPr="07069484">
        <w:rPr>
          <w:rFonts w:eastAsia="Times New Roman" w:cs="Open Sans"/>
        </w:rPr>
        <w:t xml:space="preserve"> </w:t>
      </w:r>
      <w:r w:rsidR="00112F69" w:rsidRPr="07069484">
        <w:rPr>
          <w:rFonts w:eastAsia="Times New Roman" w:cs="Open Sans"/>
        </w:rPr>
        <w:t>people</w:t>
      </w:r>
      <w:r w:rsidR="00573BA7" w:rsidRPr="07069484">
        <w:rPr>
          <w:rFonts w:eastAsia="Times New Roman" w:cs="Open Sans"/>
        </w:rPr>
        <w:t xml:space="preserve"> </w:t>
      </w:r>
      <w:r w:rsidR="00112F69" w:rsidRPr="07069484">
        <w:rPr>
          <w:rFonts w:eastAsia="Times New Roman" w:cs="Open Sans"/>
        </w:rPr>
        <w:t>with</w:t>
      </w:r>
      <w:r w:rsidR="00573BA7" w:rsidRPr="07069484">
        <w:rPr>
          <w:rFonts w:eastAsia="Times New Roman" w:cs="Open Sans"/>
        </w:rPr>
        <w:t xml:space="preserve"> </w:t>
      </w:r>
      <w:r w:rsidR="00112F69" w:rsidRPr="07069484">
        <w:rPr>
          <w:rFonts w:eastAsia="Times New Roman" w:cs="Open Sans"/>
        </w:rPr>
        <w:t>disability</w:t>
      </w:r>
      <w:r w:rsidR="00512A2A" w:rsidRPr="07069484">
        <w:rPr>
          <w:rFonts w:eastAsia="Times New Roman" w:cs="Open Sans"/>
        </w:rPr>
        <w:t xml:space="preserve"> in the workplace</w:t>
      </w:r>
      <w:r w:rsidR="00112F69" w:rsidRPr="07069484">
        <w:rPr>
          <w:rFonts w:eastAsia="Times New Roman" w:cs="Open Sans"/>
        </w:rPr>
        <w:t>.</w:t>
      </w:r>
      <w:r w:rsidR="00573BA7" w:rsidRPr="07069484">
        <w:rPr>
          <w:rFonts w:eastAsia="Times New Roman" w:cs="Open Sans"/>
        </w:rPr>
        <w:t xml:space="preserve"> </w:t>
      </w:r>
      <w:r w:rsidR="00112F69" w:rsidRPr="07069484">
        <w:rPr>
          <w:rFonts w:eastAsia="Times New Roman" w:cs="Open Sans"/>
        </w:rPr>
        <w:t>However,</w:t>
      </w:r>
      <w:r w:rsidR="00573BA7" w:rsidRPr="07069484">
        <w:rPr>
          <w:rFonts w:eastAsia="Times New Roman" w:cs="Open Sans"/>
        </w:rPr>
        <w:t xml:space="preserve"> </w:t>
      </w:r>
      <w:r w:rsidR="00112F69" w:rsidRPr="07069484">
        <w:rPr>
          <w:rFonts w:eastAsia="Times New Roman" w:cs="Open Sans"/>
        </w:rPr>
        <w:t>t</w:t>
      </w:r>
      <w:r w:rsidR="006D15B3" w:rsidRPr="07069484">
        <w:rPr>
          <w:rFonts w:eastAsia="Times New Roman" w:cs="Open Sans"/>
        </w:rPr>
        <w:t>he</w:t>
      </w:r>
      <w:r w:rsidR="00573BA7" w:rsidRPr="07069484">
        <w:rPr>
          <w:rFonts w:eastAsia="Times New Roman" w:cs="Open Sans"/>
        </w:rPr>
        <w:t xml:space="preserve"> </w:t>
      </w:r>
      <w:r w:rsidR="006D15B3" w:rsidRPr="07069484">
        <w:rPr>
          <w:rFonts w:eastAsia="Times New Roman" w:cs="Open Sans"/>
        </w:rPr>
        <w:t>decision</w:t>
      </w:r>
      <w:r w:rsidR="00573BA7" w:rsidRPr="07069484">
        <w:rPr>
          <w:rFonts w:eastAsia="Times New Roman" w:cs="Open Sans"/>
        </w:rPr>
        <w:t xml:space="preserve"> </w:t>
      </w:r>
      <w:r w:rsidR="006D15B3" w:rsidRPr="07069484">
        <w:rPr>
          <w:rFonts w:eastAsia="Times New Roman" w:cs="Open Sans"/>
        </w:rPr>
        <w:t>of</w:t>
      </w:r>
      <w:r w:rsidR="00573BA7" w:rsidRPr="07069484">
        <w:rPr>
          <w:rFonts w:eastAsia="Times New Roman" w:cs="Open Sans"/>
        </w:rPr>
        <w:t xml:space="preserve"> </w:t>
      </w:r>
      <w:r w:rsidR="006D15B3" w:rsidRPr="07069484">
        <w:rPr>
          <w:rFonts w:eastAsia="Times New Roman" w:cs="Open Sans"/>
        </w:rPr>
        <w:t>the</w:t>
      </w:r>
      <w:r w:rsidR="00573BA7" w:rsidRPr="07069484">
        <w:rPr>
          <w:rFonts w:eastAsia="Times New Roman" w:cs="Open Sans"/>
        </w:rPr>
        <w:t xml:space="preserve"> </w:t>
      </w:r>
      <w:r w:rsidR="006D15B3" w:rsidRPr="07069484">
        <w:rPr>
          <w:rFonts w:eastAsia="Times New Roman" w:cs="Open Sans"/>
        </w:rPr>
        <w:t>Full</w:t>
      </w:r>
      <w:r w:rsidR="00573BA7" w:rsidRPr="07069484">
        <w:rPr>
          <w:rFonts w:eastAsia="Times New Roman" w:cs="Open Sans"/>
        </w:rPr>
        <w:t xml:space="preserve"> </w:t>
      </w:r>
      <w:r w:rsidR="002F7579" w:rsidRPr="07069484">
        <w:rPr>
          <w:rFonts w:eastAsia="Times New Roman" w:cs="Open Sans"/>
        </w:rPr>
        <w:t xml:space="preserve">Court of the </w:t>
      </w:r>
      <w:r w:rsidR="006D15B3" w:rsidRPr="07069484">
        <w:rPr>
          <w:rFonts w:eastAsia="Times New Roman" w:cs="Open Sans"/>
        </w:rPr>
        <w:t>Federal</w:t>
      </w:r>
      <w:r w:rsidR="00573BA7" w:rsidRPr="07069484">
        <w:rPr>
          <w:rFonts w:eastAsia="Times New Roman" w:cs="Open Sans"/>
        </w:rPr>
        <w:t xml:space="preserve"> </w:t>
      </w:r>
      <w:r w:rsidR="006D15B3" w:rsidRPr="07069484">
        <w:rPr>
          <w:rFonts w:eastAsia="Times New Roman" w:cs="Open Sans"/>
        </w:rPr>
        <w:t>Court</w:t>
      </w:r>
      <w:r w:rsidR="00573BA7" w:rsidRPr="07069484">
        <w:rPr>
          <w:rFonts w:eastAsia="Times New Roman" w:cs="Open Sans"/>
        </w:rPr>
        <w:t xml:space="preserve"> </w:t>
      </w:r>
      <w:r w:rsidR="006D15B3" w:rsidRPr="07069484">
        <w:rPr>
          <w:rFonts w:eastAsia="Times New Roman" w:cs="Open Sans"/>
        </w:rPr>
        <w:t>in</w:t>
      </w:r>
      <w:r w:rsidR="00573BA7" w:rsidRPr="07069484">
        <w:rPr>
          <w:rFonts w:eastAsia="Times New Roman" w:cs="Open Sans"/>
        </w:rPr>
        <w:t xml:space="preserve"> </w:t>
      </w:r>
      <w:r w:rsidR="006D15B3" w:rsidRPr="07069484">
        <w:rPr>
          <w:rFonts w:eastAsia="Times New Roman" w:cs="Open Sans"/>
        </w:rPr>
        <w:t>the</w:t>
      </w:r>
      <w:r w:rsidR="00573BA7" w:rsidRPr="07069484">
        <w:rPr>
          <w:rFonts w:eastAsia="Times New Roman" w:cs="Open Sans"/>
        </w:rPr>
        <w:t xml:space="preserve"> </w:t>
      </w:r>
      <w:r w:rsidR="006D15B3" w:rsidRPr="07069484">
        <w:rPr>
          <w:rFonts w:eastAsia="Times New Roman" w:cs="Open Sans"/>
        </w:rPr>
        <w:t>matter</w:t>
      </w:r>
      <w:r w:rsidR="00573BA7" w:rsidRPr="07069484">
        <w:rPr>
          <w:rFonts w:eastAsia="Times New Roman" w:cs="Open Sans"/>
        </w:rPr>
        <w:t xml:space="preserve"> </w:t>
      </w:r>
      <w:r w:rsidR="006D15B3" w:rsidRPr="07069484">
        <w:rPr>
          <w:rFonts w:eastAsia="Times New Roman" w:cs="Open Sans"/>
        </w:rPr>
        <w:t>of</w:t>
      </w:r>
      <w:r w:rsidR="00573BA7" w:rsidRPr="07069484">
        <w:rPr>
          <w:rFonts w:eastAsia="Times New Roman" w:cs="Open Sans"/>
        </w:rPr>
        <w:t xml:space="preserve"> </w:t>
      </w:r>
      <w:r w:rsidR="006D15B3" w:rsidRPr="07069484">
        <w:rPr>
          <w:rFonts w:eastAsia="Times New Roman" w:cs="Open Sans"/>
          <w:i/>
          <w:iCs/>
        </w:rPr>
        <w:t>Sklavos</w:t>
      </w:r>
      <w:r w:rsidR="00573BA7" w:rsidRPr="07069484">
        <w:rPr>
          <w:rFonts w:eastAsia="Times New Roman" w:cs="Open Sans"/>
          <w:i/>
          <w:iCs/>
        </w:rPr>
        <w:t xml:space="preserve"> </w:t>
      </w:r>
      <w:r w:rsidR="006D15B3" w:rsidRPr="07069484">
        <w:rPr>
          <w:rFonts w:eastAsia="Times New Roman" w:cs="Open Sans"/>
          <w:i/>
          <w:iCs/>
        </w:rPr>
        <w:t>v</w:t>
      </w:r>
      <w:r w:rsidR="00573BA7" w:rsidRPr="07069484">
        <w:rPr>
          <w:rFonts w:eastAsia="Times New Roman" w:cs="Open Sans"/>
          <w:i/>
          <w:iCs/>
        </w:rPr>
        <w:t xml:space="preserve"> </w:t>
      </w:r>
      <w:r w:rsidR="006D15B3" w:rsidRPr="07069484">
        <w:rPr>
          <w:rFonts w:eastAsia="Times New Roman" w:cs="Open Sans"/>
          <w:i/>
          <w:iCs/>
        </w:rPr>
        <w:t>Australasian</w:t>
      </w:r>
      <w:r w:rsidR="00573BA7" w:rsidRPr="07069484">
        <w:rPr>
          <w:rFonts w:eastAsia="Times New Roman" w:cs="Open Sans"/>
          <w:i/>
          <w:iCs/>
        </w:rPr>
        <w:t xml:space="preserve"> </w:t>
      </w:r>
      <w:r w:rsidR="006D15B3" w:rsidRPr="07069484">
        <w:rPr>
          <w:rFonts w:eastAsia="Times New Roman" w:cs="Open Sans"/>
          <w:i/>
          <w:iCs/>
        </w:rPr>
        <w:t>College</w:t>
      </w:r>
      <w:r w:rsidR="00573BA7" w:rsidRPr="07069484">
        <w:rPr>
          <w:rFonts w:eastAsia="Times New Roman" w:cs="Open Sans"/>
          <w:i/>
          <w:iCs/>
        </w:rPr>
        <w:t xml:space="preserve"> </w:t>
      </w:r>
      <w:r w:rsidR="006D15B3" w:rsidRPr="07069484">
        <w:rPr>
          <w:rFonts w:eastAsia="Times New Roman" w:cs="Open Sans"/>
          <w:i/>
          <w:iCs/>
        </w:rPr>
        <w:t>of</w:t>
      </w:r>
      <w:r w:rsidR="00573BA7" w:rsidRPr="07069484">
        <w:rPr>
          <w:rFonts w:eastAsia="Times New Roman" w:cs="Open Sans"/>
          <w:i/>
          <w:iCs/>
        </w:rPr>
        <w:t xml:space="preserve"> </w:t>
      </w:r>
      <w:r w:rsidR="006D15B3" w:rsidRPr="07069484">
        <w:rPr>
          <w:rFonts w:eastAsia="Times New Roman" w:cs="Open Sans"/>
          <w:i/>
          <w:iCs/>
        </w:rPr>
        <w:t>Dermatologists</w:t>
      </w:r>
      <w:r w:rsidR="00573BA7" w:rsidRPr="07069484">
        <w:rPr>
          <w:rFonts w:eastAsia="Times New Roman" w:cs="Open Sans"/>
        </w:rPr>
        <w:t xml:space="preserve"> </w:t>
      </w:r>
      <w:r w:rsidR="00B635EA" w:rsidRPr="07069484">
        <w:rPr>
          <w:rFonts w:eastAsia="Times New Roman" w:cs="Open Sans"/>
        </w:rPr>
        <w:t xml:space="preserve">(2017) </w:t>
      </w:r>
      <w:r w:rsidR="00AE0711" w:rsidRPr="07069484">
        <w:rPr>
          <w:rFonts w:eastAsia="Times New Roman" w:cs="Open Sans"/>
        </w:rPr>
        <w:t>256 FCR 247</w:t>
      </w:r>
      <w:r w:rsidR="00573BA7" w:rsidRPr="07069484">
        <w:rPr>
          <w:rFonts w:eastAsia="Times New Roman" w:cs="Open Sans"/>
        </w:rPr>
        <w:t xml:space="preserve"> </w:t>
      </w:r>
      <w:r w:rsidR="006D15B3" w:rsidRPr="07069484">
        <w:rPr>
          <w:rFonts w:eastAsia="Times New Roman" w:cs="Open Sans"/>
        </w:rPr>
        <w:t>(</w:t>
      </w:r>
      <w:r w:rsidR="006D15B3" w:rsidRPr="07069484">
        <w:rPr>
          <w:rFonts w:eastAsia="Times New Roman" w:cs="Open Sans"/>
          <w:i/>
          <w:iCs/>
        </w:rPr>
        <w:t>Sklavos</w:t>
      </w:r>
      <w:r w:rsidR="006D15B3" w:rsidRPr="07069484">
        <w:rPr>
          <w:rFonts w:eastAsia="Times New Roman" w:cs="Open Sans"/>
        </w:rPr>
        <w:t>)</w:t>
      </w:r>
      <w:r w:rsidR="00573BA7" w:rsidRPr="07069484">
        <w:rPr>
          <w:rFonts w:eastAsia="Times New Roman" w:cs="Open Sans"/>
        </w:rPr>
        <w:t xml:space="preserve"> </w:t>
      </w:r>
      <w:r w:rsidR="006D15B3" w:rsidRPr="07069484">
        <w:rPr>
          <w:rFonts w:eastAsia="Times New Roman" w:cs="Open Sans"/>
        </w:rPr>
        <w:t>may</w:t>
      </w:r>
      <w:r w:rsidR="00573BA7" w:rsidRPr="07069484">
        <w:rPr>
          <w:rFonts w:eastAsia="Times New Roman" w:cs="Open Sans"/>
        </w:rPr>
        <w:t xml:space="preserve"> </w:t>
      </w:r>
      <w:r w:rsidR="006D15B3" w:rsidRPr="07069484">
        <w:rPr>
          <w:rFonts w:eastAsia="Times New Roman" w:cs="Open Sans"/>
        </w:rPr>
        <w:t>have</w:t>
      </w:r>
      <w:r w:rsidR="00573BA7" w:rsidRPr="07069484">
        <w:rPr>
          <w:rFonts w:eastAsia="Times New Roman" w:cs="Open Sans"/>
        </w:rPr>
        <w:t xml:space="preserve"> </w:t>
      </w:r>
      <w:r w:rsidR="006D15B3" w:rsidRPr="07069484">
        <w:rPr>
          <w:rFonts w:eastAsia="Times New Roman" w:cs="Open Sans"/>
        </w:rPr>
        <w:t>undermined</w:t>
      </w:r>
      <w:r w:rsidR="00573BA7" w:rsidRPr="07069484">
        <w:rPr>
          <w:rFonts w:eastAsia="Times New Roman" w:cs="Open Sans"/>
        </w:rPr>
        <w:t xml:space="preserve"> </w:t>
      </w:r>
      <w:r w:rsidR="006D15B3" w:rsidRPr="07069484">
        <w:rPr>
          <w:rFonts w:eastAsia="Times New Roman" w:cs="Open Sans"/>
        </w:rPr>
        <w:t>the</w:t>
      </w:r>
      <w:r w:rsidR="00573BA7" w:rsidRPr="07069484">
        <w:rPr>
          <w:rFonts w:eastAsia="Times New Roman" w:cs="Open Sans"/>
        </w:rPr>
        <w:t xml:space="preserve"> </w:t>
      </w:r>
      <w:r w:rsidR="006D15B3" w:rsidRPr="07069484">
        <w:rPr>
          <w:rFonts w:eastAsia="Times New Roman" w:cs="Open Sans"/>
        </w:rPr>
        <w:t>operation</w:t>
      </w:r>
      <w:r w:rsidR="00573BA7" w:rsidRPr="07069484">
        <w:rPr>
          <w:rFonts w:eastAsia="Times New Roman" w:cs="Open Sans"/>
        </w:rPr>
        <w:t xml:space="preserve"> </w:t>
      </w:r>
      <w:r w:rsidR="006D15B3" w:rsidRPr="07069484">
        <w:rPr>
          <w:rFonts w:eastAsia="Times New Roman" w:cs="Open Sans"/>
        </w:rPr>
        <w:t>of</w:t>
      </w:r>
      <w:r w:rsidR="00573BA7" w:rsidRPr="07069484">
        <w:rPr>
          <w:rFonts w:eastAsia="Times New Roman" w:cs="Open Sans"/>
        </w:rPr>
        <w:t xml:space="preserve"> </w:t>
      </w:r>
      <w:r w:rsidR="006D15B3" w:rsidRPr="07069484">
        <w:rPr>
          <w:rFonts w:eastAsia="Times New Roman" w:cs="Open Sans"/>
        </w:rPr>
        <w:t>the</w:t>
      </w:r>
      <w:r w:rsidR="00573BA7" w:rsidRPr="07069484">
        <w:rPr>
          <w:rFonts w:eastAsia="Times New Roman" w:cs="Open Sans"/>
        </w:rPr>
        <w:t xml:space="preserve"> </w:t>
      </w:r>
      <w:r w:rsidR="00AB26A5" w:rsidRPr="07069484">
        <w:rPr>
          <w:rFonts w:eastAsia="Times New Roman" w:cs="Open Sans"/>
        </w:rPr>
        <w:t>reasonable</w:t>
      </w:r>
      <w:r w:rsidR="00573BA7" w:rsidRPr="07069484">
        <w:rPr>
          <w:rFonts w:eastAsia="Times New Roman" w:cs="Open Sans"/>
        </w:rPr>
        <w:t xml:space="preserve"> </w:t>
      </w:r>
      <w:r w:rsidR="00AB26A5" w:rsidRPr="07069484">
        <w:rPr>
          <w:rFonts w:eastAsia="Times New Roman" w:cs="Open Sans"/>
        </w:rPr>
        <w:t>adjustments</w:t>
      </w:r>
      <w:r w:rsidR="00573BA7" w:rsidRPr="07069484">
        <w:rPr>
          <w:rFonts w:eastAsia="Times New Roman" w:cs="Open Sans"/>
        </w:rPr>
        <w:t xml:space="preserve"> </w:t>
      </w:r>
      <w:r w:rsidR="00AB26A5" w:rsidRPr="07069484">
        <w:rPr>
          <w:rFonts w:eastAsia="Times New Roman" w:cs="Open Sans"/>
        </w:rPr>
        <w:t>provisions</w:t>
      </w:r>
      <w:r w:rsidR="00573BA7" w:rsidRPr="07069484">
        <w:rPr>
          <w:rFonts w:eastAsia="Times New Roman" w:cs="Open Sans"/>
        </w:rPr>
        <w:t xml:space="preserve"> </w:t>
      </w:r>
      <w:r w:rsidR="00AB26A5" w:rsidRPr="07069484">
        <w:rPr>
          <w:rFonts w:eastAsia="Times New Roman" w:cs="Open Sans"/>
        </w:rPr>
        <w:t>of</w:t>
      </w:r>
      <w:r w:rsidR="00573BA7" w:rsidRPr="07069484">
        <w:rPr>
          <w:rFonts w:eastAsia="Times New Roman" w:cs="Open Sans"/>
        </w:rPr>
        <w:t xml:space="preserve"> </w:t>
      </w:r>
      <w:r w:rsidR="00AB26A5" w:rsidRPr="07069484">
        <w:rPr>
          <w:rFonts w:eastAsia="Times New Roman" w:cs="Open Sans"/>
        </w:rPr>
        <w:t>the</w:t>
      </w:r>
      <w:r w:rsidR="00573BA7" w:rsidRPr="07069484">
        <w:rPr>
          <w:rFonts w:eastAsia="Times New Roman" w:cs="Open Sans"/>
        </w:rPr>
        <w:t xml:space="preserve"> </w:t>
      </w:r>
      <w:r w:rsidR="006D15B3" w:rsidRPr="07069484">
        <w:rPr>
          <w:rFonts w:eastAsia="Times New Roman" w:cs="Open Sans"/>
        </w:rPr>
        <w:t>Disability</w:t>
      </w:r>
      <w:r w:rsidR="00573BA7" w:rsidRPr="07069484">
        <w:rPr>
          <w:rFonts w:eastAsia="Times New Roman" w:cs="Open Sans"/>
        </w:rPr>
        <w:t xml:space="preserve"> </w:t>
      </w:r>
      <w:r w:rsidR="006D15B3" w:rsidRPr="07069484">
        <w:rPr>
          <w:rFonts w:eastAsia="Times New Roman" w:cs="Open Sans"/>
        </w:rPr>
        <w:t>Discrimination</w:t>
      </w:r>
      <w:r w:rsidR="00573BA7" w:rsidRPr="07069484">
        <w:rPr>
          <w:rFonts w:eastAsia="Times New Roman" w:cs="Open Sans"/>
        </w:rPr>
        <w:t xml:space="preserve"> </w:t>
      </w:r>
      <w:r w:rsidR="006D15B3" w:rsidRPr="07069484">
        <w:rPr>
          <w:rFonts w:eastAsia="Times New Roman" w:cs="Open Sans"/>
        </w:rPr>
        <w:t>Act,</w:t>
      </w:r>
      <w:r w:rsidR="00573BA7" w:rsidRPr="07069484">
        <w:rPr>
          <w:rFonts w:eastAsia="Times New Roman" w:cs="Open Sans"/>
        </w:rPr>
        <w:t xml:space="preserve"> </w:t>
      </w:r>
      <w:r w:rsidR="00C84A2D" w:rsidRPr="07069484">
        <w:rPr>
          <w:rFonts w:eastAsia="Times New Roman" w:cs="Open Sans"/>
        </w:rPr>
        <w:t xml:space="preserve">and </w:t>
      </w:r>
      <w:r w:rsidR="00C84A2D" w:rsidRPr="07069484">
        <w:rPr>
          <w:rFonts w:eastAsia="Times New Roman" w:cs="Open Sans"/>
        </w:rPr>
        <w:lastRenderedPageBreak/>
        <w:t xml:space="preserve">thus </w:t>
      </w:r>
      <w:r w:rsidR="00790BE0" w:rsidRPr="07069484">
        <w:rPr>
          <w:rFonts w:eastAsia="Times New Roman" w:cs="Open Sans"/>
        </w:rPr>
        <w:t xml:space="preserve">may limit Australia’s ability to </w:t>
      </w:r>
      <w:r w:rsidR="00765D38" w:rsidRPr="07069484">
        <w:rPr>
          <w:rFonts w:eastAsia="Times New Roman" w:cs="Open Sans"/>
        </w:rPr>
        <w:t>effectively</w:t>
      </w:r>
      <w:r w:rsidR="006E515B" w:rsidRPr="07069484">
        <w:rPr>
          <w:rFonts w:eastAsia="Times New Roman" w:cs="Open Sans"/>
        </w:rPr>
        <w:t xml:space="preserve"> implement</w:t>
      </w:r>
      <w:r w:rsidR="00790BE0" w:rsidRPr="07069484">
        <w:rPr>
          <w:rFonts w:eastAsia="Times New Roman" w:cs="Open Sans"/>
        </w:rPr>
        <w:t xml:space="preserve"> </w:t>
      </w:r>
      <w:r w:rsidR="00BE3E52" w:rsidRPr="07069484">
        <w:rPr>
          <w:rFonts w:eastAsia="Times New Roman" w:cs="Open Sans"/>
        </w:rPr>
        <w:t xml:space="preserve">Articles 5(3) and </w:t>
      </w:r>
      <w:r w:rsidR="00790BE0" w:rsidRPr="07069484">
        <w:rPr>
          <w:rFonts w:eastAsia="Times New Roman" w:cs="Open Sans"/>
        </w:rPr>
        <w:t>27(1)(i)</w:t>
      </w:r>
      <w:r w:rsidR="00942C6B" w:rsidRPr="07069484">
        <w:rPr>
          <w:rFonts w:eastAsia="Times New Roman" w:cs="Open Sans"/>
        </w:rPr>
        <w:t xml:space="preserve"> of the CRPD</w:t>
      </w:r>
      <w:r w:rsidR="006D15B3" w:rsidRPr="07069484">
        <w:rPr>
          <w:rFonts w:eastAsia="Times New Roman" w:cs="Open Sans"/>
        </w:rPr>
        <w:t>.</w:t>
      </w:r>
      <w:r w:rsidR="00573BA7" w:rsidRPr="07069484">
        <w:rPr>
          <w:rFonts w:eastAsia="Times New Roman" w:cs="Open Sans"/>
        </w:rPr>
        <w:t xml:space="preserve">  </w:t>
      </w:r>
    </w:p>
    <w:p w14:paraId="2D2F39B6" w14:textId="28C13767" w:rsidR="006D15B3" w:rsidRPr="003F4CE1" w:rsidRDefault="006D15B3" w:rsidP="00662F4B">
      <w:pPr>
        <w:pStyle w:val="ListNumber"/>
        <w:rPr>
          <w:rFonts w:eastAsia="Times New Roman" w:cs="Open Sans"/>
        </w:rPr>
      </w:pPr>
      <w:r w:rsidRPr="07069484">
        <w:rPr>
          <w:rFonts w:eastAsia="Times New Roman" w:cs="Open Sans"/>
          <w:i/>
          <w:iCs/>
        </w:rPr>
        <w:t>Sklavos</w:t>
      </w:r>
      <w:r w:rsidR="00573BA7">
        <w:rPr>
          <w:rFonts w:eastAsia="Times New Roman" w:cs="Open Sans"/>
        </w:rPr>
        <w:t xml:space="preserve"> </w:t>
      </w:r>
      <w:r w:rsidR="00672575">
        <w:rPr>
          <w:rFonts w:eastAsia="Times New Roman" w:cs="Open Sans"/>
        </w:rPr>
        <w:t>dealt</w:t>
      </w:r>
      <w:r w:rsidR="00573BA7">
        <w:rPr>
          <w:rFonts w:eastAsia="Times New Roman" w:cs="Open Sans"/>
        </w:rPr>
        <w:t xml:space="preserve"> </w:t>
      </w:r>
      <w:r w:rsidR="00672575">
        <w:rPr>
          <w:rFonts w:eastAsia="Times New Roman" w:cs="Open Sans"/>
        </w:rPr>
        <w:t>with</w:t>
      </w:r>
      <w:r w:rsidR="00573BA7">
        <w:rPr>
          <w:rFonts w:eastAsia="Times New Roman" w:cs="Open Sans"/>
        </w:rPr>
        <w:t xml:space="preserve"> </w:t>
      </w:r>
      <w:r w:rsidR="00672575">
        <w:rPr>
          <w:rFonts w:eastAsia="Times New Roman" w:cs="Open Sans"/>
        </w:rPr>
        <w:t>a</w:t>
      </w:r>
      <w:r w:rsidR="00573BA7">
        <w:rPr>
          <w:rFonts w:eastAsia="Times New Roman" w:cs="Open Sans"/>
        </w:rPr>
        <w:t xml:space="preserve"> </w:t>
      </w:r>
      <w:r w:rsidR="00672575">
        <w:rPr>
          <w:rFonts w:eastAsia="Times New Roman" w:cs="Open Sans"/>
        </w:rPr>
        <w:t>complaint</w:t>
      </w:r>
      <w:r w:rsidR="00573BA7">
        <w:rPr>
          <w:rFonts w:eastAsia="Times New Roman" w:cs="Open Sans"/>
        </w:rPr>
        <w:t xml:space="preserve"> </w:t>
      </w:r>
      <w:r w:rsidR="00672575">
        <w:rPr>
          <w:rFonts w:eastAsia="Times New Roman" w:cs="Open Sans"/>
        </w:rPr>
        <w:t>of</w:t>
      </w:r>
      <w:r w:rsidR="00573BA7">
        <w:rPr>
          <w:rFonts w:eastAsia="Times New Roman" w:cs="Open Sans"/>
        </w:rPr>
        <w:t xml:space="preserve"> </w:t>
      </w:r>
      <w:r w:rsidRPr="003F4CE1">
        <w:rPr>
          <w:rFonts w:eastAsia="Times New Roman" w:cs="Open Sans"/>
        </w:rPr>
        <w:t>direct</w:t>
      </w:r>
      <w:r w:rsidR="00573BA7">
        <w:rPr>
          <w:rFonts w:eastAsia="Times New Roman" w:cs="Open Sans"/>
        </w:rPr>
        <w:t xml:space="preserve"> </w:t>
      </w:r>
      <w:r w:rsidRPr="003F4CE1">
        <w:rPr>
          <w:rFonts w:eastAsia="Times New Roman" w:cs="Open Sans"/>
        </w:rPr>
        <w:t>discrimination</w:t>
      </w:r>
      <w:r w:rsidR="00573BA7">
        <w:rPr>
          <w:rFonts w:eastAsia="Times New Roman" w:cs="Open Sans"/>
        </w:rPr>
        <w:t xml:space="preserve"> </w:t>
      </w:r>
      <w:r w:rsidRPr="003F4CE1">
        <w:rPr>
          <w:rFonts w:eastAsia="Times New Roman" w:cs="Open Sans"/>
        </w:rPr>
        <w:t>under</w:t>
      </w:r>
      <w:r w:rsidR="00573BA7">
        <w:rPr>
          <w:rFonts w:eastAsia="Times New Roman" w:cs="Open Sans"/>
        </w:rPr>
        <w:t xml:space="preserve"> </w:t>
      </w:r>
      <w:r w:rsidRPr="003F4CE1">
        <w:rPr>
          <w:rFonts w:eastAsia="Times New Roman" w:cs="Open Sans"/>
        </w:rPr>
        <w:t>section</w:t>
      </w:r>
      <w:r w:rsidR="00573BA7">
        <w:rPr>
          <w:rFonts w:eastAsia="Times New Roman" w:cs="Open Sans"/>
        </w:rPr>
        <w:t xml:space="preserve"> </w:t>
      </w:r>
      <w:r w:rsidRPr="003F4CE1">
        <w:rPr>
          <w:rFonts w:eastAsia="Times New Roman" w:cs="Open Sans"/>
        </w:rPr>
        <w:t>5(2)</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00672575">
        <w:rPr>
          <w:rFonts w:eastAsia="Times New Roman" w:cs="Open Sans"/>
        </w:rPr>
        <w:t>Disability</w:t>
      </w:r>
      <w:r w:rsidR="00573BA7">
        <w:rPr>
          <w:rFonts w:eastAsia="Times New Roman" w:cs="Open Sans"/>
        </w:rPr>
        <w:t xml:space="preserve"> </w:t>
      </w:r>
      <w:r w:rsidR="00672575">
        <w:rPr>
          <w:rFonts w:eastAsia="Times New Roman" w:cs="Open Sans"/>
        </w:rPr>
        <w:t>Discrimination</w:t>
      </w:r>
      <w:r w:rsidR="00573BA7">
        <w:rPr>
          <w:rFonts w:eastAsia="Times New Roman" w:cs="Open Sans"/>
        </w:rPr>
        <w:t xml:space="preserve"> </w:t>
      </w:r>
      <w:r w:rsidR="00672575">
        <w:rPr>
          <w:rFonts w:eastAsia="Times New Roman" w:cs="Open Sans"/>
        </w:rPr>
        <w:t>Act,</w:t>
      </w:r>
      <w:r w:rsidR="00573BA7">
        <w:rPr>
          <w:rFonts w:eastAsia="Times New Roman" w:cs="Open Sans"/>
        </w:rPr>
        <w:t xml:space="preserve"> </w:t>
      </w:r>
      <w:r w:rsidR="007F7F47">
        <w:rPr>
          <w:rFonts w:eastAsia="Times New Roman" w:cs="Open Sans"/>
        </w:rPr>
        <w:t>on the basis that</w:t>
      </w:r>
      <w:r w:rsidR="00D2125B">
        <w:rPr>
          <w:rFonts w:eastAsia="Times New Roman" w:cs="Open Sans"/>
        </w:rPr>
        <w:t xml:space="preserve"> the</w:t>
      </w:r>
      <w:r w:rsidR="00573BA7">
        <w:rPr>
          <w:rFonts w:eastAsia="Times New Roman" w:cs="Open Sans"/>
        </w:rPr>
        <w:t xml:space="preserve"> </w:t>
      </w:r>
      <w:r w:rsidR="00D2125B">
        <w:rPr>
          <w:rFonts w:eastAsia="Times New Roman" w:cs="Open Sans"/>
        </w:rPr>
        <w:t xml:space="preserve">Australasian College of Dermatologists </w:t>
      </w:r>
      <w:r w:rsidR="00672575">
        <w:rPr>
          <w:rFonts w:eastAsia="Times New Roman" w:cs="Open Sans"/>
        </w:rPr>
        <w:t>had</w:t>
      </w:r>
      <w:r w:rsidR="00573BA7">
        <w:rPr>
          <w:rFonts w:eastAsia="Times New Roman" w:cs="Open Sans"/>
        </w:rPr>
        <w:t xml:space="preserve"> </w:t>
      </w:r>
      <w:r w:rsidR="00672575">
        <w:rPr>
          <w:rFonts w:eastAsia="Times New Roman" w:cs="Open Sans"/>
        </w:rPr>
        <w:t>failed</w:t>
      </w:r>
      <w:r w:rsidR="00573BA7">
        <w:rPr>
          <w:rFonts w:eastAsia="Times New Roman" w:cs="Open Sans"/>
        </w:rPr>
        <w:t xml:space="preserve"> </w:t>
      </w:r>
      <w:r w:rsidR="00672575">
        <w:rPr>
          <w:rFonts w:eastAsia="Times New Roman" w:cs="Open Sans"/>
        </w:rPr>
        <w:t>to</w:t>
      </w:r>
      <w:r w:rsidR="00573BA7">
        <w:rPr>
          <w:rFonts w:eastAsia="Times New Roman" w:cs="Open Sans"/>
        </w:rPr>
        <w:t xml:space="preserve"> </w:t>
      </w:r>
      <w:r w:rsidR="00672575">
        <w:rPr>
          <w:rFonts w:eastAsia="Times New Roman" w:cs="Open Sans"/>
        </w:rPr>
        <w:t>make</w:t>
      </w:r>
      <w:r w:rsidR="00573BA7">
        <w:rPr>
          <w:rFonts w:eastAsia="Times New Roman" w:cs="Open Sans"/>
        </w:rPr>
        <w:t xml:space="preserve"> </w:t>
      </w:r>
      <w:r w:rsidR="00672575">
        <w:rPr>
          <w:rFonts w:eastAsia="Times New Roman" w:cs="Open Sans"/>
        </w:rPr>
        <w:t>reasonable</w:t>
      </w:r>
      <w:r w:rsidR="00573BA7">
        <w:rPr>
          <w:rFonts w:eastAsia="Times New Roman" w:cs="Open Sans"/>
        </w:rPr>
        <w:t xml:space="preserve"> </w:t>
      </w:r>
      <w:r w:rsidR="00672575">
        <w:rPr>
          <w:rFonts w:eastAsia="Times New Roman" w:cs="Open Sans"/>
        </w:rPr>
        <w:t>adjustments.</w:t>
      </w:r>
      <w:r w:rsidR="00573BA7">
        <w:rPr>
          <w:rFonts w:eastAsia="Times New Roman" w:cs="Open Sans"/>
        </w:rPr>
        <w:t xml:space="preserve"> </w:t>
      </w:r>
      <w:r w:rsidR="00672575">
        <w:rPr>
          <w:rFonts w:eastAsia="Times New Roman" w:cs="Open Sans"/>
        </w:rPr>
        <w:t>The</w:t>
      </w:r>
      <w:r w:rsidR="00573BA7">
        <w:rPr>
          <w:rFonts w:eastAsia="Times New Roman" w:cs="Open Sans"/>
        </w:rPr>
        <w:t xml:space="preserve"> </w:t>
      </w:r>
      <w:r w:rsidR="00672575">
        <w:rPr>
          <w:rFonts w:eastAsia="Times New Roman" w:cs="Open Sans"/>
        </w:rPr>
        <w:t>court</w:t>
      </w:r>
      <w:r w:rsidR="00573BA7">
        <w:rPr>
          <w:rFonts w:eastAsia="Times New Roman" w:cs="Open Sans"/>
        </w:rPr>
        <w:t xml:space="preserve"> </w:t>
      </w:r>
      <w:r w:rsidR="00672575">
        <w:rPr>
          <w:rFonts w:eastAsia="Times New Roman" w:cs="Open Sans"/>
        </w:rPr>
        <w:t>in</w:t>
      </w:r>
      <w:r w:rsidR="00573BA7">
        <w:rPr>
          <w:rFonts w:eastAsia="Times New Roman" w:cs="Open Sans"/>
        </w:rPr>
        <w:t xml:space="preserve"> </w:t>
      </w:r>
      <w:r w:rsidR="00672575" w:rsidRPr="07069484">
        <w:rPr>
          <w:rFonts w:eastAsia="Times New Roman" w:cs="Open Sans"/>
          <w:i/>
          <w:iCs/>
        </w:rPr>
        <w:t>Sklavos</w:t>
      </w:r>
      <w:r w:rsidR="00573BA7" w:rsidRPr="07069484">
        <w:rPr>
          <w:rFonts w:eastAsia="Times New Roman" w:cs="Open Sans"/>
          <w:i/>
          <w:iCs/>
        </w:rPr>
        <w:t xml:space="preserve"> </w:t>
      </w:r>
      <w:r w:rsidR="00672575">
        <w:rPr>
          <w:rFonts w:eastAsia="Times New Roman" w:cs="Open Sans"/>
        </w:rPr>
        <w:t>held</w:t>
      </w:r>
      <w:r w:rsidR="00573BA7">
        <w:rPr>
          <w:rFonts w:eastAsia="Times New Roman" w:cs="Open Sans"/>
        </w:rPr>
        <w:t xml:space="preserve"> </w:t>
      </w:r>
      <w:r w:rsidR="00672575">
        <w:rPr>
          <w:rFonts w:eastAsia="Times New Roman" w:cs="Open Sans"/>
        </w:rPr>
        <w:t>that</w:t>
      </w:r>
      <w:r w:rsidR="00573BA7">
        <w:rPr>
          <w:rFonts w:eastAsia="Times New Roman" w:cs="Open Sans"/>
        </w:rPr>
        <w:t xml:space="preserve"> </w:t>
      </w:r>
      <w:r w:rsidRPr="003F4CE1">
        <w:rPr>
          <w:rFonts w:eastAsia="Times New Roman" w:cs="Open Sans"/>
        </w:rPr>
        <w:t>an</w:t>
      </w:r>
      <w:r w:rsidR="00573BA7">
        <w:rPr>
          <w:rFonts w:eastAsia="Times New Roman" w:cs="Open Sans"/>
        </w:rPr>
        <w:t xml:space="preserve"> </w:t>
      </w:r>
      <w:r w:rsidRPr="003F4CE1">
        <w:rPr>
          <w:rFonts w:eastAsia="Times New Roman" w:cs="Open Sans"/>
        </w:rPr>
        <w:t>aggrieved</w:t>
      </w:r>
      <w:r w:rsidR="00573BA7">
        <w:rPr>
          <w:rFonts w:eastAsia="Times New Roman" w:cs="Open Sans"/>
        </w:rPr>
        <w:t xml:space="preserve"> </w:t>
      </w:r>
      <w:r w:rsidRPr="003F4CE1">
        <w:rPr>
          <w:rFonts w:eastAsia="Times New Roman" w:cs="Open Sans"/>
        </w:rPr>
        <w:t>person</w:t>
      </w:r>
      <w:r w:rsidR="00573BA7">
        <w:rPr>
          <w:rFonts w:eastAsia="Times New Roman" w:cs="Open Sans"/>
        </w:rPr>
        <w:t xml:space="preserve"> </w:t>
      </w:r>
      <w:r w:rsidRPr="003F4CE1">
        <w:rPr>
          <w:rFonts w:eastAsia="Times New Roman" w:cs="Open Sans"/>
        </w:rPr>
        <w:t>must</w:t>
      </w:r>
      <w:r w:rsidR="00573BA7">
        <w:rPr>
          <w:rFonts w:eastAsia="Times New Roman" w:cs="Open Sans"/>
        </w:rPr>
        <w:t xml:space="preserve"> </w:t>
      </w:r>
      <w:r w:rsidRPr="003F4CE1">
        <w:rPr>
          <w:rFonts w:eastAsia="Times New Roman" w:cs="Open Sans"/>
        </w:rPr>
        <w:t>prove</w:t>
      </w:r>
      <w:r w:rsidR="00573BA7">
        <w:rPr>
          <w:rFonts w:eastAsia="Times New Roman" w:cs="Open Sans"/>
        </w:rPr>
        <w:t xml:space="preserve"> </w:t>
      </w:r>
      <w:r w:rsidRPr="003F4CE1">
        <w:rPr>
          <w:rFonts w:eastAsia="Times New Roman" w:cs="Open Sans"/>
        </w:rPr>
        <w:t>that</w:t>
      </w:r>
      <w:r w:rsidR="00573BA7">
        <w:rPr>
          <w:rFonts w:eastAsia="Times New Roman" w:cs="Open Sans"/>
        </w:rPr>
        <w:t xml:space="preserve"> </w:t>
      </w:r>
      <w:r w:rsidRPr="003F4CE1">
        <w:rPr>
          <w:rFonts w:eastAsia="Times New Roman" w:cs="Open Sans"/>
        </w:rPr>
        <w:t>their</w:t>
      </w:r>
      <w:r w:rsidR="00573BA7">
        <w:rPr>
          <w:rFonts w:eastAsia="Times New Roman" w:cs="Open Sans"/>
        </w:rPr>
        <w:t xml:space="preserve"> </w:t>
      </w:r>
      <w:r w:rsidRPr="003F4CE1">
        <w:rPr>
          <w:rFonts w:eastAsia="Times New Roman" w:cs="Open Sans"/>
        </w:rPr>
        <w:t>disability</w:t>
      </w:r>
      <w:r w:rsidR="00573BA7">
        <w:rPr>
          <w:rFonts w:eastAsia="Times New Roman" w:cs="Open Sans"/>
        </w:rPr>
        <w:t xml:space="preserve"> </w:t>
      </w:r>
      <w:r w:rsidR="00A144F0">
        <w:rPr>
          <w:rFonts w:eastAsia="Times New Roman" w:cs="Open Sans"/>
        </w:rPr>
        <w:t>itself</w:t>
      </w:r>
      <w:r w:rsidR="00573BA7">
        <w:rPr>
          <w:rFonts w:eastAsia="Times New Roman" w:cs="Open Sans"/>
        </w:rPr>
        <w:t xml:space="preserve"> </w:t>
      </w:r>
      <w:r w:rsidRPr="003F4CE1">
        <w:rPr>
          <w:rFonts w:eastAsia="Times New Roman" w:cs="Open Sans"/>
        </w:rPr>
        <w:t>was</w:t>
      </w:r>
      <w:r w:rsidR="00573BA7">
        <w:rPr>
          <w:rFonts w:eastAsia="Times New Roman" w:cs="Open Sans"/>
        </w:rPr>
        <w:t xml:space="preserve"> </w:t>
      </w:r>
      <w:r w:rsidRPr="003F4CE1">
        <w:rPr>
          <w:rFonts w:eastAsia="Times New Roman" w:cs="Open Sans"/>
        </w:rPr>
        <w:t>one</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reasons</w:t>
      </w:r>
      <w:r w:rsidR="00573BA7">
        <w:rPr>
          <w:rFonts w:eastAsia="Times New Roman" w:cs="Open Sans"/>
        </w:rPr>
        <w:t xml:space="preserve"> </w:t>
      </w:r>
      <w:r w:rsidRPr="003F4CE1">
        <w:rPr>
          <w:rFonts w:eastAsia="Times New Roman" w:cs="Open Sans"/>
        </w:rPr>
        <w:t>that</w:t>
      </w:r>
      <w:r w:rsidR="00573BA7">
        <w:rPr>
          <w:rFonts w:eastAsia="Times New Roman" w:cs="Open Sans"/>
        </w:rPr>
        <w:t xml:space="preserve"> </w:t>
      </w:r>
      <w:r w:rsidRPr="003F4CE1">
        <w:rPr>
          <w:rFonts w:eastAsia="Times New Roman" w:cs="Open Sans"/>
        </w:rPr>
        <w:t>another</w:t>
      </w:r>
      <w:r w:rsidR="00573BA7">
        <w:rPr>
          <w:rFonts w:eastAsia="Times New Roman" w:cs="Open Sans"/>
        </w:rPr>
        <w:t xml:space="preserve"> </w:t>
      </w:r>
      <w:r w:rsidRPr="003F4CE1">
        <w:rPr>
          <w:rFonts w:eastAsia="Times New Roman" w:cs="Open Sans"/>
        </w:rPr>
        <w:t>person</w:t>
      </w:r>
      <w:r w:rsidR="00573BA7">
        <w:rPr>
          <w:rFonts w:eastAsia="Times New Roman" w:cs="Open Sans"/>
        </w:rPr>
        <w:t xml:space="preserve"> </w:t>
      </w:r>
      <w:r w:rsidRPr="003F4CE1">
        <w:rPr>
          <w:rFonts w:eastAsia="Times New Roman" w:cs="Open Sans"/>
        </w:rPr>
        <w:t>failed</w:t>
      </w:r>
      <w:r w:rsidR="00573BA7">
        <w:rPr>
          <w:rFonts w:eastAsia="Times New Roman" w:cs="Open Sans"/>
        </w:rPr>
        <w:t xml:space="preserve"> </w:t>
      </w:r>
      <w:r w:rsidRPr="003F4CE1">
        <w:rPr>
          <w:rFonts w:eastAsia="Times New Roman" w:cs="Open Sans"/>
        </w:rPr>
        <w:t>make</w:t>
      </w:r>
      <w:r w:rsidR="00573BA7">
        <w:rPr>
          <w:rFonts w:eastAsia="Times New Roman" w:cs="Open Sans"/>
        </w:rPr>
        <w:t xml:space="preserve"> </w:t>
      </w:r>
      <w:r w:rsidRPr="003F4CE1">
        <w:rPr>
          <w:rFonts w:eastAsia="Times New Roman" w:cs="Open Sans"/>
        </w:rPr>
        <w:t>reasonable</w:t>
      </w:r>
      <w:r w:rsidR="00573BA7">
        <w:rPr>
          <w:rFonts w:eastAsia="Times New Roman" w:cs="Open Sans"/>
        </w:rPr>
        <w:t xml:space="preserve"> </w:t>
      </w:r>
      <w:r w:rsidRPr="003F4CE1">
        <w:rPr>
          <w:rFonts w:eastAsia="Times New Roman" w:cs="Open Sans"/>
        </w:rPr>
        <w:t>adjustments</w:t>
      </w:r>
      <w:r w:rsidR="00347235" w:rsidRPr="003F4CE1">
        <w:rPr>
          <w:rFonts w:eastAsia="Times New Roman" w:cs="Open Sans"/>
        </w:rPr>
        <w:t>.</w:t>
      </w:r>
      <w:r w:rsidR="00970FC6" w:rsidRPr="003F4CE1">
        <w:rPr>
          <w:rStyle w:val="EndnoteReference"/>
          <w:rFonts w:eastAsia="Times New Roman" w:cs="Open Sans"/>
        </w:rPr>
        <w:endnoteReference w:id="180"/>
      </w:r>
      <w:r w:rsidR="00573BA7">
        <w:rPr>
          <w:rFonts w:eastAsia="Times New Roman" w:cs="Open Sans"/>
        </w:rPr>
        <w:t xml:space="preserve"> </w:t>
      </w:r>
      <w:r w:rsidRPr="003F4CE1">
        <w:rPr>
          <w:rFonts w:eastAsia="Times New Roman" w:cs="Open Sans"/>
        </w:rPr>
        <w:t>For</w:t>
      </w:r>
      <w:r w:rsidR="00573BA7">
        <w:rPr>
          <w:rFonts w:eastAsia="Times New Roman" w:cs="Open Sans"/>
        </w:rPr>
        <w:t xml:space="preserve"> </w:t>
      </w:r>
      <w:r w:rsidRPr="003F4CE1">
        <w:rPr>
          <w:rFonts w:eastAsia="Times New Roman" w:cs="Open Sans"/>
        </w:rPr>
        <w:t>example,</w:t>
      </w:r>
      <w:r w:rsidR="00573BA7">
        <w:rPr>
          <w:rFonts w:eastAsia="Times New Roman" w:cs="Open Sans"/>
        </w:rPr>
        <w:t xml:space="preserve"> </w:t>
      </w:r>
      <w:r w:rsidRPr="003F4CE1">
        <w:rPr>
          <w:rFonts w:eastAsia="Times New Roman" w:cs="Open Sans"/>
        </w:rPr>
        <w:t>a</w:t>
      </w:r>
      <w:r w:rsidR="00573BA7">
        <w:rPr>
          <w:rFonts w:eastAsia="Times New Roman" w:cs="Open Sans"/>
        </w:rPr>
        <w:t xml:space="preserve"> </w:t>
      </w:r>
      <w:r w:rsidRPr="003F4CE1">
        <w:rPr>
          <w:rFonts w:eastAsia="Times New Roman" w:cs="Open Sans"/>
        </w:rPr>
        <w:t>person</w:t>
      </w:r>
      <w:r w:rsidR="00573BA7">
        <w:rPr>
          <w:rFonts w:eastAsia="Times New Roman" w:cs="Open Sans"/>
        </w:rPr>
        <w:t xml:space="preserve"> </w:t>
      </w:r>
      <w:r w:rsidRPr="003F4CE1">
        <w:rPr>
          <w:rFonts w:eastAsia="Times New Roman" w:cs="Open Sans"/>
        </w:rPr>
        <w:t>who</w:t>
      </w:r>
      <w:r w:rsidR="00573BA7">
        <w:rPr>
          <w:rFonts w:eastAsia="Times New Roman" w:cs="Open Sans"/>
        </w:rPr>
        <w:t xml:space="preserve"> </w:t>
      </w:r>
      <w:r w:rsidRPr="003F4CE1">
        <w:rPr>
          <w:rFonts w:eastAsia="Times New Roman" w:cs="Open Sans"/>
        </w:rPr>
        <w:t>requires</w:t>
      </w:r>
      <w:r w:rsidR="00573BA7">
        <w:rPr>
          <w:rFonts w:eastAsia="Times New Roman" w:cs="Open Sans"/>
        </w:rPr>
        <w:t xml:space="preserve"> </w:t>
      </w:r>
      <w:r w:rsidRPr="003F4CE1">
        <w:rPr>
          <w:rFonts w:eastAsia="Times New Roman" w:cs="Open Sans"/>
        </w:rPr>
        <w:t>flexible</w:t>
      </w:r>
      <w:r w:rsidR="00573BA7">
        <w:rPr>
          <w:rFonts w:eastAsia="Times New Roman" w:cs="Open Sans"/>
        </w:rPr>
        <w:t xml:space="preserve"> </w:t>
      </w:r>
      <w:r w:rsidRPr="003F4CE1">
        <w:rPr>
          <w:rFonts w:eastAsia="Times New Roman" w:cs="Open Sans"/>
        </w:rPr>
        <w:t>working</w:t>
      </w:r>
      <w:r w:rsidR="00573BA7">
        <w:rPr>
          <w:rFonts w:eastAsia="Times New Roman" w:cs="Open Sans"/>
        </w:rPr>
        <w:t xml:space="preserve"> </w:t>
      </w:r>
      <w:r w:rsidRPr="003F4CE1">
        <w:rPr>
          <w:rFonts w:eastAsia="Times New Roman" w:cs="Open Sans"/>
        </w:rPr>
        <w:t>hours</w:t>
      </w:r>
      <w:r w:rsidR="00573BA7">
        <w:rPr>
          <w:rFonts w:eastAsia="Times New Roman" w:cs="Open Sans"/>
        </w:rPr>
        <w:t xml:space="preserve"> </w:t>
      </w:r>
      <w:r w:rsidRPr="003F4CE1">
        <w:rPr>
          <w:rFonts w:eastAsia="Times New Roman" w:cs="Open Sans"/>
        </w:rPr>
        <w:t>because</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00A144F0">
        <w:rPr>
          <w:rFonts w:eastAsia="Times New Roman" w:cs="Open Sans"/>
        </w:rPr>
        <w:t>a</w:t>
      </w:r>
      <w:r w:rsidR="00573BA7">
        <w:rPr>
          <w:rFonts w:eastAsia="Times New Roman" w:cs="Open Sans"/>
        </w:rPr>
        <w:t xml:space="preserve"> </w:t>
      </w:r>
      <w:r w:rsidRPr="003F4CE1">
        <w:rPr>
          <w:rFonts w:eastAsia="Times New Roman" w:cs="Open Sans"/>
        </w:rPr>
        <w:t>psychological</w:t>
      </w:r>
      <w:r w:rsidR="00573BA7">
        <w:rPr>
          <w:rFonts w:eastAsia="Times New Roman" w:cs="Open Sans"/>
        </w:rPr>
        <w:t xml:space="preserve"> </w:t>
      </w:r>
      <w:r w:rsidRPr="003F4CE1">
        <w:rPr>
          <w:rFonts w:eastAsia="Times New Roman" w:cs="Open Sans"/>
        </w:rPr>
        <w:t>disability</w:t>
      </w:r>
      <w:r w:rsidR="00573BA7">
        <w:rPr>
          <w:rFonts w:eastAsia="Times New Roman" w:cs="Open Sans"/>
        </w:rPr>
        <w:t xml:space="preserve"> </w:t>
      </w:r>
      <w:r w:rsidRPr="003F4CE1">
        <w:rPr>
          <w:rFonts w:eastAsia="Times New Roman" w:cs="Open Sans"/>
        </w:rPr>
        <w:t>must</w:t>
      </w:r>
      <w:r w:rsidR="00573BA7">
        <w:rPr>
          <w:rFonts w:eastAsia="Times New Roman" w:cs="Open Sans"/>
        </w:rPr>
        <w:t xml:space="preserve"> </w:t>
      </w:r>
      <w:r w:rsidRPr="003F4CE1">
        <w:rPr>
          <w:rFonts w:eastAsia="Times New Roman" w:cs="Open Sans"/>
        </w:rPr>
        <w:t>prove</w:t>
      </w:r>
      <w:r w:rsidR="00573BA7">
        <w:rPr>
          <w:rFonts w:eastAsia="Times New Roman" w:cs="Open Sans"/>
        </w:rPr>
        <w:t xml:space="preserve"> </w:t>
      </w:r>
      <w:r w:rsidRPr="003F4CE1">
        <w:rPr>
          <w:rFonts w:eastAsia="Times New Roman" w:cs="Open Sans"/>
        </w:rPr>
        <w:t>that</w:t>
      </w:r>
      <w:r w:rsidR="00573BA7">
        <w:rPr>
          <w:rFonts w:eastAsia="Times New Roman" w:cs="Open Sans"/>
        </w:rPr>
        <w:t xml:space="preserve"> </w:t>
      </w:r>
      <w:r w:rsidRPr="003F4CE1">
        <w:rPr>
          <w:rFonts w:eastAsia="Times New Roman" w:cs="Open Sans"/>
        </w:rPr>
        <w:t>their</w:t>
      </w:r>
      <w:r w:rsidR="00573BA7">
        <w:rPr>
          <w:rFonts w:eastAsia="Times New Roman" w:cs="Open Sans"/>
        </w:rPr>
        <w:t xml:space="preserve"> </w:t>
      </w:r>
      <w:r w:rsidRPr="003F4CE1">
        <w:rPr>
          <w:rFonts w:eastAsia="Times New Roman" w:cs="Open Sans"/>
        </w:rPr>
        <w:t>employer’s</w:t>
      </w:r>
      <w:r w:rsidR="00573BA7">
        <w:rPr>
          <w:rFonts w:eastAsia="Times New Roman" w:cs="Open Sans"/>
        </w:rPr>
        <w:t xml:space="preserve"> </w:t>
      </w:r>
      <w:r w:rsidRPr="003F4CE1">
        <w:rPr>
          <w:rFonts w:eastAsia="Times New Roman" w:cs="Open Sans"/>
        </w:rPr>
        <w:t>failure</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00672575">
        <w:rPr>
          <w:rFonts w:eastAsia="Times New Roman" w:cs="Open Sans"/>
        </w:rPr>
        <w:t>a</w:t>
      </w:r>
      <w:r w:rsidRPr="003F4CE1">
        <w:rPr>
          <w:rFonts w:eastAsia="Times New Roman" w:cs="Open Sans"/>
        </w:rPr>
        <w:t>ccommodate</w:t>
      </w:r>
      <w:r w:rsidR="00573BA7">
        <w:rPr>
          <w:rFonts w:eastAsia="Times New Roman" w:cs="Open Sans"/>
        </w:rPr>
        <w:t xml:space="preserve"> </w:t>
      </w:r>
      <w:r w:rsidRPr="003F4CE1">
        <w:rPr>
          <w:rFonts w:eastAsia="Times New Roman" w:cs="Open Sans"/>
        </w:rPr>
        <w:t>those</w:t>
      </w:r>
      <w:r w:rsidR="00573BA7">
        <w:rPr>
          <w:rFonts w:eastAsia="Times New Roman" w:cs="Open Sans"/>
        </w:rPr>
        <w:t xml:space="preserve"> </w:t>
      </w:r>
      <w:r w:rsidRPr="003F4CE1">
        <w:rPr>
          <w:rFonts w:eastAsia="Times New Roman" w:cs="Open Sans"/>
        </w:rPr>
        <w:t>hours</w:t>
      </w:r>
      <w:r w:rsidR="00573BA7">
        <w:rPr>
          <w:rFonts w:eastAsia="Times New Roman" w:cs="Open Sans"/>
        </w:rPr>
        <w:t xml:space="preserve"> </w:t>
      </w:r>
      <w:r w:rsidRPr="003F4CE1">
        <w:rPr>
          <w:rFonts w:eastAsia="Times New Roman" w:cs="Open Sans"/>
        </w:rPr>
        <w:t>was</w:t>
      </w:r>
      <w:r w:rsidR="00573BA7">
        <w:rPr>
          <w:rFonts w:eastAsia="Times New Roman" w:cs="Open Sans"/>
        </w:rPr>
        <w:t xml:space="preserve"> </w:t>
      </w:r>
      <w:r w:rsidRPr="003F4CE1">
        <w:rPr>
          <w:rFonts w:eastAsia="Times New Roman" w:cs="Open Sans"/>
        </w:rPr>
        <w:t>because</w:t>
      </w:r>
      <w:r w:rsidR="00573BA7" w:rsidRPr="07069484">
        <w:rPr>
          <w:rFonts w:eastAsia="Times New Roman" w:cs="Open Sans"/>
          <w:i/>
          <w:iCs/>
        </w:rPr>
        <w:t xml:space="preserve"> </w:t>
      </w:r>
      <w:r w:rsidRPr="003F4CE1">
        <w:rPr>
          <w:rFonts w:eastAsia="Times New Roman" w:cs="Open Sans"/>
        </w:rPr>
        <w:t>they</w:t>
      </w:r>
      <w:r w:rsidR="00573BA7">
        <w:rPr>
          <w:rFonts w:eastAsia="Times New Roman" w:cs="Open Sans"/>
        </w:rPr>
        <w:t xml:space="preserve"> </w:t>
      </w:r>
      <w:r w:rsidRPr="003F4CE1">
        <w:rPr>
          <w:rFonts w:eastAsia="Times New Roman" w:cs="Open Sans"/>
        </w:rPr>
        <w:t>ha</w:t>
      </w:r>
      <w:r w:rsidR="000576A4" w:rsidRPr="003F4CE1">
        <w:rPr>
          <w:rFonts w:eastAsia="Times New Roman" w:cs="Open Sans"/>
        </w:rPr>
        <w:t>ve</w:t>
      </w:r>
      <w:r w:rsidR="00573BA7">
        <w:rPr>
          <w:rFonts w:eastAsia="Times New Roman" w:cs="Open Sans"/>
        </w:rPr>
        <w:t xml:space="preserve"> </w:t>
      </w:r>
      <w:r w:rsidRPr="003F4CE1">
        <w:rPr>
          <w:rFonts w:eastAsia="Times New Roman" w:cs="Open Sans"/>
        </w:rPr>
        <w:t>a</w:t>
      </w:r>
      <w:r w:rsidR="00573BA7">
        <w:rPr>
          <w:rFonts w:eastAsia="Times New Roman" w:cs="Open Sans"/>
        </w:rPr>
        <w:t xml:space="preserve"> </w:t>
      </w:r>
      <w:r w:rsidRPr="003F4CE1">
        <w:rPr>
          <w:rFonts w:eastAsia="Times New Roman" w:cs="Open Sans"/>
        </w:rPr>
        <w:t>psychological</w:t>
      </w:r>
      <w:r w:rsidR="00573BA7">
        <w:rPr>
          <w:rFonts w:eastAsia="Times New Roman" w:cs="Open Sans"/>
        </w:rPr>
        <w:t xml:space="preserve"> </w:t>
      </w:r>
      <w:r w:rsidR="00A144F0">
        <w:rPr>
          <w:rFonts w:eastAsia="Times New Roman" w:cs="Open Sans"/>
        </w:rPr>
        <w:t>disability</w:t>
      </w:r>
      <w:r w:rsidRPr="003F4CE1">
        <w:rPr>
          <w:rFonts w:eastAsia="Times New Roman" w:cs="Open Sans"/>
        </w:rPr>
        <w:t>.</w:t>
      </w:r>
      <w:r w:rsidR="00573BA7">
        <w:rPr>
          <w:rFonts w:eastAsia="Times New Roman" w:cs="Open Sans"/>
        </w:rPr>
        <w:t xml:space="preserve"> </w:t>
      </w:r>
    </w:p>
    <w:p w14:paraId="47F295EE" w14:textId="654166E2" w:rsidR="006D15B3" w:rsidRPr="003F4CE1" w:rsidRDefault="006D15B3" w:rsidP="00662F4B">
      <w:pPr>
        <w:pStyle w:val="ListNumber"/>
        <w:rPr>
          <w:rFonts w:eastAsia="Times New Roman" w:cs="Open Sans"/>
        </w:rPr>
      </w:pPr>
      <w:r w:rsidRPr="003F4CE1">
        <w:rPr>
          <w:rFonts w:eastAsia="Times New Roman" w:cs="Open Sans"/>
        </w:rPr>
        <w:t>The</w:t>
      </w:r>
      <w:r w:rsidR="00573BA7">
        <w:rPr>
          <w:rFonts w:eastAsia="Times New Roman" w:cs="Open Sans"/>
        </w:rPr>
        <w:t xml:space="preserve"> </w:t>
      </w:r>
      <w:r w:rsidRPr="003F4CE1">
        <w:rPr>
          <w:rFonts w:eastAsia="Times New Roman" w:cs="Open Sans"/>
        </w:rPr>
        <w:t>Commission</w:t>
      </w:r>
      <w:r w:rsidR="00573BA7">
        <w:rPr>
          <w:rFonts w:eastAsia="Times New Roman" w:cs="Open Sans"/>
        </w:rPr>
        <w:t xml:space="preserve"> </w:t>
      </w:r>
      <w:r w:rsidRPr="003F4CE1">
        <w:rPr>
          <w:rFonts w:eastAsia="Times New Roman" w:cs="Open Sans"/>
        </w:rPr>
        <w:t>shares</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view</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00E712CB" w:rsidRPr="003F4CE1">
        <w:rPr>
          <w:rFonts w:eastAsia="Times New Roman" w:cs="Open Sans"/>
        </w:rPr>
        <w:t>the</w:t>
      </w:r>
      <w:r w:rsidR="00573BA7">
        <w:rPr>
          <w:rFonts w:eastAsia="Times New Roman" w:cs="Open Sans"/>
        </w:rPr>
        <w:t xml:space="preserve"> </w:t>
      </w:r>
      <w:r w:rsidR="00E712CB" w:rsidRPr="003F4CE1">
        <w:rPr>
          <w:rFonts w:eastAsia="Times New Roman" w:cs="Open Sans"/>
        </w:rPr>
        <w:t>Public</w:t>
      </w:r>
      <w:r w:rsidR="00573BA7">
        <w:rPr>
          <w:rFonts w:eastAsia="Times New Roman" w:cs="Open Sans"/>
        </w:rPr>
        <w:t xml:space="preserve"> </w:t>
      </w:r>
      <w:r w:rsidR="00E712CB" w:rsidRPr="003F4CE1">
        <w:rPr>
          <w:rFonts w:eastAsia="Times New Roman" w:cs="Open Sans"/>
        </w:rPr>
        <w:t>Interest</w:t>
      </w:r>
      <w:r w:rsidR="00573BA7">
        <w:rPr>
          <w:rFonts w:eastAsia="Times New Roman" w:cs="Open Sans"/>
        </w:rPr>
        <w:t xml:space="preserve"> </w:t>
      </w:r>
      <w:r w:rsidR="00E712CB" w:rsidRPr="003F4CE1">
        <w:rPr>
          <w:rFonts w:eastAsia="Times New Roman" w:cs="Open Sans"/>
        </w:rPr>
        <w:t>Advocacy</w:t>
      </w:r>
      <w:r w:rsidR="00573BA7">
        <w:rPr>
          <w:rFonts w:eastAsia="Times New Roman" w:cs="Open Sans"/>
        </w:rPr>
        <w:t xml:space="preserve"> </w:t>
      </w:r>
      <w:r w:rsidR="00E712CB" w:rsidRPr="003F4CE1">
        <w:rPr>
          <w:rFonts w:eastAsia="Times New Roman" w:cs="Open Sans"/>
        </w:rPr>
        <w:t>Centre</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00E712CB" w:rsidRPr="003F4CE1">
        <w:rPr>
          <w:rFonts w:eastAsia="Times New Roman" w:cs="Open Sans"/>
        </w:rPr>
        <w:t>People</w:t>
      </w:r>
      <w:r w:rsidR="00573BA7">
        <w:rPr>
          <w:rFonts w:eastAsia="Times New Roman" w:cs="Open Sans"/>
        </w:rPr>
        <w:t xml:space="preserve"> </w:t>
      </w:r>
      <w:r w:rsidR="00E712CB" w:rsidRPr="003F4CE1">
        <w:rPr>
          <w:rFonts w:eastAsia="Times New Roman" w:cs="Open Sans"/>
        </w:rPr>
        <w:t>with</w:t>
      </w:r>
      <w:r w:rsidR="00573BA7">
        <w:rPr>
          <w:rFonts w:eastAsia="Times New Roman" w:cs="Open Sans"/>
        </w:rPr>
        <w:t xml:space="preserve"> </w:t>
      </w:r>
      <w:r w:rsidR="00E712CB" w:rsidRPr="003F4CE1">
        <w:rPr>
          <w:rFonts w:eastAsia="Times New Roman" w:cs="Open Sans"/>
        </w:rPr>
        <w:t>Disability</w:t>
      </w:r>
      <w:r w:rsidR="00573BA7">
        <w:rPr>
          <w:rFonts w:eastAsia="Times New Roman" w:cs="Open Sans"/>
        </w:rPr>
        <w:t xml:space="preserve"> </w:t>
      </w:r>
      <w:r w:rsidR="00E712CB" w:rsidRPr="003F4CE1">
        <w:rPr>
          <w:rFonts w:eastAsia="Times New Roman" w:cs="Open Sans"/>
        </w:rPr>
        <w:t>Australia</w:t>
      </w:r>
      <w:r w:rsidR="00573BA7">
        <w:rPr>
          <w:rFonts w:eastAsia="Times New Roman" w:cs="Open Sans"/>
        </w:rPr>
        <w:t xml:space="preserve"> </w:t>
      </w:r>
      <w:r w:rsidRPr="003F4CE1">
        <w:rPr>
          <w:rFonts w:eastAsia="Times New Roman" w:cs="Open Sans"/>
        </w:rPr>
        <w:t>that</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decision</w:t>
      </w:r>
      <w:r w:rsidR="00573BA7">
        <w:rPr>
          <w:rFonts w:eastAsia="Times New Roman" w:cs="Open Sans"/>
        </w:rPr>
        <w:t xml:space="preserve"> </w:t>
      </w:r>
      <w:r w:rsidRPr="003F4CE1">
        <w:rPr>
          <w:rFonts w:eastAsia="Times New Roman" w:cs="Open Sans"/>
        </w:rPr>
        <w:t>in</w:t>
      </w:r>
      <w:r w:rsidR="00573BA7">
        <w:rPr>
          <w:rFonts w:eastAsia="Times New Roman" w:cs="Open Sans"/>
        </w:rPr>
        <w:t xml:space="preserve"> </w:t>
      </w:r>
      <w:r w:rsidRPr="07069484">
        <w:rPr>
          <w:rFonts w:eastAsia="Times New Roman" w:cs="Open Sans"/>
          <w:i/>
          <w:iCs/>
        </w:rPr>
        <w:t>Sklavos</w:t>
      </w:r>
      <w:r w:rsidR="00573BA7" w:rsidRPr="07069484">
        <w:rPr>
          <w:rFonts w:eastAsia="Times New Roman" w:cs="Open Sans"/>
          <w:i/>
          <w:iCs/>
        </w:rPr>
        <w:t xml:space="preserve"> </w:t>
      </w:r>
      <w:r w:rsidRPr="003F4CE1">
        <w:rPr>
          <w:rFonts w:eastAsia="Times New Roman" w:cs="Open Sans"/>
        </w:rPr>
        <w:t>has</w:t>
      </w:r>
      <w:r w:rsidR="00573BA7">
        <w:rPr>
          <w:rFonts w:eastAsia="Times New Roman" w:cs="Open Sans"/>
        </w:rPr>
        <w:t xml:space="preserve"> </w:t>
      </w:r>
      <w:r w:rsidRPr="003F4CE1">
        <w:rPr>
          <w:rFonts w:eastAsia="Times New Roman" w:cs="Open Sans"/>
        </w:rPr>
        <w:t>made</w:t>
      </w:r>
      <w:r w:rsidR="00573BA7">
        <w:rPr>
          <w:rFonts w:eastAsia="Times New Roman" w:cs="Open Sans"/>
        </w:rPr>
        <w:t xml:space="preserve"> </w:t>
      </w:r>
      <w:r w:rsidRPr="003F4CE1">
        <w:rPr>
          <w:rFonts w:eastAsia="Times New Roman" w:cs="Open Sans"/>
        </w:rPr>
        <w:t>it</w:t>
      </w:r>
      <w:r w:rsidR="00573BA7">
        <w:rPr>
          <w:rFonts w:eastAsia="Times New Roman" w:cs="Open Sans"/>
        </w:rPr>
        <w:t xml:space="preserve"> </w:t>
      </w:r>
      <w:r w:rsidRPr="003F4CE1">
        <w:rPr>
          <w:rFonts w:eastAsia="Times New Roman" w:cs="Open Sans"/>
        </w:rPr>
        <w:t>unduly</w:t>
      </w:r>
      <w:r w:rsidR="00573BA7">
        <w:rPr>
          <w:rFonts w:eastAsia="Times New Roman" w:cs="Open Sans"/>
        </w:rPr>
        <w:t xml:space="preserve"> </w:t>
      </w:r>
      <w:r w:rsidRPr="003F4CE1">
        <w:rPr>
          <w:rFonts w:eastAsia="Times New Roman" w:cs="Open Sans"/>
        </w:rPr>
        <w:t>onerous</w:t>
      </w:r>
      <w:r w:rsidR="00573BA7">
        <w:rPr>
          <w:rFonts w:eastAsia="Times New Roman" w:cs="Open Sans"/>
        </w:rPr>
        <w:t xml:space="preserve"> </w:t>
      </w:r>
      <w:r w:rsidRPr="003F4CE1">
        <w:rPr>
          <w:rFonts w:eastAsia="Times New Roman" w:cs="Open Sans"/>
        </w:rPr>
        <w:t>for</w:t>
      </w:r>
      <w:r w:rsidR="00573BA7">
        <w:rPr>
          <w:rFonts w:eastAsia="Times New Roman" w:cs="Open Sans"/>
        </w:rPr>
        <w:t xml:space="preserve"> </w:t>
      </w:r>
      <w:r w:rsidRPr="003F4CE1">
        <w:rPr>
          <w:rFonts w:eastAsia="Times New Roman" w:cs="Open Sans"/>
        </w:rPr>
        <w:t>a</w:t>
      </w:r>
      <w:r w:rsidR="00573BA7">
        <w:rPr>
          <w:rFonts w:eastAsia="Times New Roman" w:cs="Open Sans"/>
        </w:rPr>
        <w:t xml:space="preserve"> </w:t>
      </w:r>
      <w:r w:rsidRPr="003F4CE1">
        <w:rPr>
          <w:rFonts w:eastAsia="Times New Roman" w:cs="Open Sans"/>
        </w:rPr>
        <w:t>person</w:t>
      </w:r>
      <w:r w:rsidR="00573BA7">
        <w:rPr>
          <w:rFonts w:eastAsia="Times New Roman" w:cs="Open Sans"/>
        </w:rPr>
        <w:t xml:space="preserve"> </w:t>
      </w:r>
      <w:r w:rsidRPr="003F4CE1">
        <w:rPr>
          <w:rFonts w:eastAsia="Times New Roman" w:cs="Open Sans"/>
        </w:rPr>
        <w:t>with</w:t>
      </w:r>
      <w:r w:rsidR="00573BA7">
        <w:rPr>
          <w:rFonts w:eastAsia="Times New Roman" w:cs="Open Sans"/>
        </w:rPr>
        <w:t xml:space="preserve"> </w:t>
      </w:r>
      <w:r w:rsidRPr="003F4CE1">
        <w:rPr>
          <w:rFonts w:eastAsia="Times New Roman" w:cs="Open Sans"/>
        </w:rPr>
        <w:t>disability</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successfully</w:t>
      </w:r>
      <w:r w:rsidR="00573BA7">
        <w:rPr>
          <w:rFonts w:eastAsia="Times New Roman" w:cs="Open Sans"/>
        </w:rPr>
        <w:t xml:space="preserve"> </w:t>
      </w:r>
      <w:r w:rsidRPr="003F4CE1">
        <w:rPr>
          <w:rFonts w:eastAsia="Times New Roman" w:cs="Open Sans"/>
        </w:rPr>
        <w:t>prove</w:t>
      </w:r>
      <w:r w:rsidR="00573BA7">
        <w:rPr>
          <w:rFonts w:eastAsia="Times New Roman" w:cs="Open Sans"/>
        </w:rPr>
        <w:t xml:space="preserve"> </w:t>
      </w:r>
      <w:r w:rsidRPr="003F4CE1">
        <w:rPr>
          <w:rFonts w:eastAsia="Times New Roman" w:cs="Open Sans"/>
        </w:rPr>
        <w:t>their</w:t>
      </w:r>
      <w:r w:rsidR="00573BA7">
        <w:rPr>
          <w:rFonts w:eastAsia="Times New Roman" w:cs="Open Sans"/>
        </w:rPr>
        <w:t xml:space="preserve"> </w:t>
      </w:r>
      <w:r w:rsidRPr="003F4CE1">
        <w:rPr>
          <w:rFonts w:eastAsia="Times New Roman" w:cs="Open Sans"/>
        </w:rPr>
        <w:t>discrimination</w:t>
      </w:r>
      <w:r w:rsidR="00573BA7">
        <w:rPr>
          <w:rFonts w:eastAsia="Times New Roman" w:cs="Open Sans"/>
        </w:rPr>
        <w:t xml:space="preserve"> </w:t>
      </w:r>
      <w:r w:rsidRPr="003F4CE1">
        <w:rPr>
          <w:rFonts w:eastAsia="Times New Roman" w:cs="Open Sans"/>
        </w:rPr>
        <w:t>complaint,</w:t>
      </w:r>
      <w:r w:rsidR="00573BA7">
        <w:rPr>
          <w:rFonts w:eastAsia="Times New Roman" w:cs="Open Sans"/>
        </w:rPr>
        <w:t xml:space="preserve"> </w:t>
      </w:r>
      <w:r w:rsidRPr="003F4CE1">
        <w:rPr>
          <w:rFonts w:eastAsia="Times New Roman" w:cs="Open Sans"/>
        </w:rPr>
        <w:t>and</w:t>
      </w:r>
      <w:r w:rsidR="00573BA7">
        <w:rPr>
          <w:rFonts w:eastAsia="Times New Roman" w:cs="Open Sans"/>
        </w:rPr>
        <w:t xml:space="preserve"> </w:t>
      </w:r>
      <w:r w:rsidR="000576A4" w:rsidRPr="003F4CE1">
        <w:rPr>
          <w:rFonts w:eastAsia="Times New Roman" w:cs="Open Sans"/>
        </w:rPr>
        <w:t>may</w:t>
      </w:r>
      <w:r w:rsidR="00573BA7">
        <w:rPr>
          <w:rFonts w:eastAsia="Times New Roman" w:cs="Open Sans"/>
        </w:rPr>
        <w:t xml:space="preserve"> </w:t>
      </w:r>
      <w:r w:rsidRPr="003F4CE1">
        <w:rPr>
          <w:rFonts w:eastAsia="Times New Roman" w:cs="Open Sans"/>
        </w:rPr>
        <w:t>contradict</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purpose</w:t>
      </w:r>
      <w:r w:rsidR="00573BA7">
        <w:rPr>
          <w:rFonts w:eastAsia="Times New Roman" w:cs="Open Sans"/>
        </w:rPr>
        <w:t xml:space="preserve"> </w:t>
      </w:r>
      <w:r w:rsidRPr="003F4CE1">
        <w:rPr>
          <w:rFonts w:eastAsia="Times New Roman" w:cs="Open Sans"/>
        </w:rPr>
        <w:t>of</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requirement</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make</w:t>
      </w:r>
      <w:r w:rsidR="00573BA7">
        <w:rPr>
          <w:rFonts w:eastAsia="Times New Roman" w:cs="Open Sans"/>
        </w:rPr>
        <w:t xml:space="preserve"> </w:t>
      </w:r>
      <w:r w:rsidRPr="003F4CE1">
        <w:rPr>
          <w:rFonts w:eastAsia="Times New Roman" w:cs="Open Sans"/>
        </w:rPr>
        <w:t>reasonable</w:t>
      </w:r>
      <w:r w:rsidR="00573BA7">
        <w:rPr>
          <w:rFonts w:eastAsia="Times New Roman" w:cs="Open Sans"/>
        </w:rPr>
        <w:t xml:space="preserve"> </w:t>
      </w:r>
      <w:r w:rsidRPr="003F4CE1">
        <w:rPr>
          <w:rFonts w:eastAsia="Times New Roman" w:cs="Open Sans"/>
        </w:rPr>
        <w:t>adjustments.</w:t>
      </w:r>
      <w:r w:rsidR="00A975B0" w:rsidRPr="003F4CE1">
        <w:rPr>
          <w:rStyle w:val="EndnoteReference"/>
          <w:rFonts w:eastAsia="Times New Roman" w:cs="Open Sans"/>
        </w:rPr>
        <w:endnoteReference w:id="181"/>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Commission</w:t>
      </w:r>
      <w:r w:rsidR="00573BA7">
        <w:rPr>
          <w:rFonts w:eastAsia="Times New Roman" w:cs="Open Sans"/>
        </w:rPr>
        <w:t xml:space="preserve"> </w:t>
      </w:r>
      <w:r w:rsidR="000576A4" w:rsidRPr="003F4CE1">
        <w:rPr>
          <w:rFonts w:eastAsia="Times New Roman" w:cs="Open Sans"/>
        </w:rPr>
        <w:t>recommends</w:t>
      </w:r>
      <w:r w:rsidR="00573BA7">
        <w:rPr>
          <w:rFonts w:eastAsia="Times New Roman" w:cs="Open Sans"/>
        </w:rPr>
        <w:t xml:space="preserve"> </w:t>
      </w:r>
      <w:r w:rsidR="000576A4" w:rsidRPr="003F4CE1">
        <w:rPr>
          <w:rFonts w:eastAsia="Times New Roman" w:cs="Open Sans"/>
        </w:rPr>
        <w:t>that</w:t>
      </w:r>
      <w:r w:rsidR="00573BA7">
        <w:rPr>
          <w:rFonts w:eastAsia="Times New Roman" w:cs="Open Sans"/>
        </w:rPr>
        <w:t xml:space="preserve"> </w:t>
      </w:r>
      <w:r w:rsidR="000576A4" w:rsidRPr="003F4CE1">
        <w:rPr>
          <w:rFonts w:eastAsia="Times New Roman" w:cs="Open Sans"/>
        </w:rPr>
        <w:t>the</w:t>
      </w:r>
      <w:r w:rsidR="00573BA7">
        <w:rPr>
          <w:rFonts w:eastAsia="Times New Roman" w:cs="Open Sans"/>
        </w:rPr>
        <w:t xml:space="preserve"> </w:t>
      </w:r>
      <w:r w:rsidR="000576A4" w:rsidRPr="003F4CE1">
        <w:rPr>
          <w:rFonts w:eastAsia="Times New Roman" w:cs="Open Sans"/>
        </w:rPr>
        <w:t>Australian</w:t>
      </w:r>
      <w:r w:rsidR="00573BA7">
        <w:rPr>
          <w:rFonts w:eastAsia="Times New Roman" w:cs="Open Sans"/>
        </w:rPr>
        <w:t xml:space="preserve"> </w:t>
      </w:r>
      <w:r w:rsidR="000576A4" w:rsidRPr="003F4CE1">
        <w:rPr>
          <w:rFonts w:eastAsia="Times New Roman" w:cs="Open Sans"/>
        </w:rPr>
        <w:t>Government</w:t>
      </w:r>
      <w:r w:rsidR="00573BA7">
        <w:rPr>
          <w:rFonts w:eastAsia="Times New Roman" w:cs="Open Sans"/>
        </w:rPr>
        <w:t xml:space="preserve"> </w:t>
      </w:r>
      <w:r w:rsidR="000576A4" w:rsidRPr="003F4CE1">
        <w:rPr>
          <w:rFonts w:eastAsia="Times New Roman" w:cs="Open Sans"/>
        </w:rPr>
        <w:t>make</w:t>
      </w:r>
      <w:r w:rsidR="00573BA7">
        <w:rPr>
          <w:rFonts w:eastAsia="Times New Roman" w:cs="Open Sans"/>
        </w:rPr>
        <w:t xml:space="preserve"> </w:t>
      </w:r>
      <w:r w:rsidRPr="003F4CE1">
        <w:rPr>
          <w:rFonts w:eastAsia="Times New Roman" w:cs="Open Sans"/>
        </w:rPr>
        <w:t>amendments</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the</w:t>
      </w:r>
      <w:r w:rsidR="00573BA7">
        <w:rPr>
          <w:rFonts w:eastAsia="Times New Roman" w:cs="Open Sans"/>
        </w:rPr>
        <w:t xml:space="preserve"> </w:t>
      </w:r>
      <w:r w:rsidRPr="003F4CE1">
        <w:rPr>
          <w:rFonts w:eastAsia="Times New Roman" w:cs="Open Sans"/>
        </w:rPr>
        <w:t>Act</w:t>
      </w:r>
      <w:r w:rsidR="00573BA7">
        <w:rPr>
          <w:rFonts w:eastAsia="Times New Roman" w:cs="Open Sans"/>
        </w:rPr>
        <w:t xml:space="preserve"> </w:t>
      </w:r>
      <w:r w:rsidRPr="003F4CE1">
        <w:rPr>
          <w:rFonts w:eastAsia="Times New Roman" w:cs="Open Sans"/>
        </w:rPr>
        <w:t>which</w:t>
      </w:r>
      <w:r w:rsidR="00573BA7">
        <w:rPr>
          <w:rFonts w:eastAsia="Times New Roman" w:cs="Open Sans"/>
        </w:rPr>
        <w:t xml:space="preserve"> </w:t>
      </w:r>
      <w:r w:rsidRPr="003F4CE1">
        <w:rPr>
          <w:rFonts w:eastAsia="Times New Roman" w:cs="Open Sans"/>
        </w:rPr>
        <w:t>clarify</w:t>
      </w:r>
      <w:r w:rsidR="00573BA7">
        <w:rPr>
          <w:rFonts w:eastAsia="Times New Roman" w:cs="Open Sans"/>
        </w:rPr>
        <w:t xml:space="preserve"> </w:t>
      </w:r>
      <w:r w:rsidRPr="003F4CE1">
        <w:rPr>
          <w:rFonts w:eastAsia="Times New Roman" w:cs="Open Sans"/>
        </w:rPr>
        <w:t>that</w:t>
      </w:r>
      <w:r w:rsidR="00573BA7">
        <w:rPr>
          <w:rFonts w:eastAsia="Times New Roman" w:cs="Open Sans"/>
        </w:rPr>
        <w:t xml:space="preserve"> </w:t>
      </w:r>
      <w:r w:rsidRPr="003F4CE1">
        <w:rPr>
          <w:rFonts w:eastAsia="Times New Roman" w:cs="Open Sans"/>
        </w:rPr>
        <w:t>failing</w:t>
      </w:r>
      <w:r w:rsidR="00573BA7">
        <w:rPr>
          <w:rFonts w:eastAsia="Times New Roman" w:cs="Open Sans"/>
        </w:rPr>
        <w:t xml:space="preserve"> </w:t>
      </w:r>
      <w:r w:rsidRPr="003F4CE1">
        <w:rPr>
          <w:rFonts w:eastAsia="Times New Roman" w:cs="Open Sans"/>
        </w:rPr>
        <w:t>to</w:t>
      </w:r>
      <w:r w:rsidR="00573BA7">
        <w:rPr>
          <w:rFonts w:eastAsia="Times New Roman" w:cs="Open Sans"/>
        </w:rPr>
        <w:t xml:space="preserve"> </w:t>
      </w:r>
      <w:r w:rsidRPr="003F4CE1">
        <w:rPr>
          <w:rFonts w:eastAsia="Times New Roman" w:cs="Open Sans"/>
        </w:rPr>
        <w:t>make</w:t>
      </w:r>
      <w:r w:rsidR="00573BA7">
        <w:rPr>
          <w:rFonts w:eastAsia="Times New Roman" w:cs="Open Sans"/>
        </w:rPr>
        <w:t xml:space="preserve"> </w:t>
      </w:r>
      <w:r w:rsidRPr="003F4CE1">
        <w:rPr>
          <w:rFonts w:eastAsia="Times New Roman" w:cs="Open Sans"/>
        </w:rPr>
        <w:t>reasonable</w:t>
      </w:r>
      <w:r w:rsidR="00573BA7">
        <w:rPr>
          <w:rFonts w:eastAsia="Times New Roman" w:cs="Open Sans"/>
        </w:rPr>
        <w:t xml:space="preserve"> </w:t>
      </w:r>
      <w:r w:rsidRPr="003F4CE1">
        <w:rPr>
          <w:rFonts w:eastAsia="Times New Roman" w:cs="Open Sans"/>
        </w:rPr>
        <w:t>adjustments</w:t>
      </w:r>
      <w:r w:rsidR="00573BA7">
        <w:rPr>
          <w:rFonts w:eastAsia="Times New Roman" w:cs="Open Sans"/>
        </w:rPr>
        <w:t xml:space="preserve"> </w:t>
      </w:r>
      <w:r w:rsidRPr="003F4CE1">
        <w:rPr>
          <w:rFonts w:eastAsia="Times New Roman" w:cs="Open Sans"/>
        </w:rPr>
        <w:t>is</w:t>
      </w:r>
      <w:r w:rsidR="00573BA7">
        <w:rPr>
          <w:rFonts w:eastAsia="Times New Roman" w:cs="Open Sans"/>
        </w:rPr>
        <w:t xml:space="preserve"> </w:t>
      </w:r>
      <w:r w:rsidRPr="003F4CE1">
        <w:rPr>
          <w:rFonts w:eastAsia="Times New Roman" w:cs="Open Sans"/>
        </w:rPr>
        <w:t>in</w:t>
      </w:r>
      <w:r w:rsidR="00573BA7">
        <w:rPr>
          <w:rFonts w:eastAsia="Times New Roman" w:cs="Open Sans"/>
        </w:rPr>
        <w:t xml:space="preserve"> </w:t>
      </w:r>
      <w:r w:rsidRPr="003F4CE1">
        <w:rPr>
          <w:rFonts w:eastAsia="Times New Roman" w:cs="Open Sans"/>
        </w:rPr>
        <w:t>itself</w:t>
      </w:r>
      <w:r w:rsidR="00573BA7">
        <w:rPr>
          <w:rFonts w:eastAsia="Times New Roman" w:cs="Open Sans"/>
        </w:rPr>
        <w:t xml:space="preserve"> </w:t>
      </w:r>
      <w:r w:rsidRPr="003F4CE1">
        <w:rPr>
          <w:rFonts w:eastAsia="Times New Roman" w:cs="Open Sans"/>
        </w:rPr>
        <w:t>discrimination</w:t>
      </w:r>
      <w:r w:rsidR="0029517D">
        <w:rPr>
          <w:rFonts w:eastAsia="Times New Roman" w:cs="Open Sans"/>
        </w:rPr>
        <w:t>, and that it is not necessary for the complain</w:t>
      </w:r>
      <w:r w:rsidR="00764DBD">
        <w:rPr>
          <w:rFonts w:eastAsia="Times New Roman" w:cs="Open Sans"/>
        </w:rPr>
        <w:t>ant’s disability to be a causative factor in the refusal to make reasonable adjustments</w:t>
      </w:r>
      <w:r w:rsidRPr="003F4CE1">
        <w:rPr>
          <w:rFonts w:eastAsia="Times New Roman" w:cs="Open Sans"/>
        </w:rPr>
        <w:t>.</w:t>
      </w:r>
      <w:r w:rsidR="00A975B0" w:rsidRPr="003F4CE1">
        <w:rPr>
          <w:rStyle w:val="EndnoteReference"/>
          <w:rFonts w:eastAsia="Times New Roman" w:cs="Open Sans"/>
        </w:rPr>
        <w:endnoteReference w:id="182"/>
      </w:r>
      <w:r w:rsidR="00573BA7">
        <w:rPr>
          <w:rFonts w:eastAsia="Times New Roman" w:cs="Open Sans"/>
        </w:rPr>
        <w:t xml:space="preserve"> </w:t>
      </w:r>
    </w:p>
    <w:p w14:paraId="35C8D308" w14:textId="77777777" w:rsidR="00F3105E" w:rsidRPr="00B119CA" w:rsidRDefault="00F3105E" w:rsidP="00F3105E">
      <w:pPr>
        <w:pStyle w:val="ListNumber"/>
        <w:rPr>
          <w:rFonts w:ascii="Times New Roman" w:eastAsiaTheme="minorEastAsia" w:hAnsi="Times New Roman"/>
          <w:i/>
          <w:iCs/>
        </w:rPr>
      </w:pPr>
      <w:bookmarkStart w:id="78" w:name="_Toc50559427"/>
      <w:bookmarkStart w:id="79" w:name="_Toc50619694"/>
      <w:bookmarkStart w:id="80" w:name="_Toc50730937"/>
      <w:bookmarkStart w:id="81" w:name="_Toc50559428"/>
      <w:bookmarkStart w:id="82" w:name="_Toc50619695"/>
      <w:bookmarkStart w:id="83" w:name="_Toc50730938"/>
      <w:bookmarkStart w:id="84" w:name="_Toc50559429"/>
      <w:bookmarkStart w:id="85" w:name="_Toc50619696"/>
      <w:bookmarkStart w:id="86" w:name="_Toc50730939"/>
      <w:bookmarkStart w:id="87" w:name="_Toc50559430"/>
      <w:bookmarkStart w:id="88" w:name="_Toc50619697"/>
      <w:bookmarkStart w:id="89" w:name="_Toc50730940"/>
      <w:bookmarkStart w:id="90" w:name="_Toc50559431"/>
      <w:bookmarkStart w:id="91" w:name="_Toc50619698"/>
      <w:bookmarkStart w:id="92" w:name="_Toc50730941"/>
      <w:bookmarkStart w:id="93" w:name="_Toc50559432"/>
      <w:bookmarkStart w:id="94" w:name="_Toc50619699"/>
      <w:bookmarkStart w:id="95" w:name="_Toc50730942"/>
      <w:bookmarkStart w:id="96" w:name="_Toc45727502"/>
      <w:bookmarkStart w:id="97" w:name="_Ref50547677"/>
      <w:bookmarkStart w:id="98" w:name="_Ref50574294"/>
      <w:bookmarkStart w:id="99" w:name="_Ref50721402"/>
      <w:bookmarkStart w:id="100" w:name="_Ref50731222"/>
      <w:bookmarkStart w:id="101" w:name="_Toc51834290"/>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B119CA">
        <w:rPr>
          <w:b/>
          <w:bCs/>
          <w:i/>
          <w:iCs/>
        </w:rPr>
        <w:t>Recommendation 6: The Australian Government amend the Disability Discrimination Act to clarify that a failure to make reasonable adjustments, except when it would impose unjustifiable hardship,</w:t>
      </w:r>
      <w:r w:rsidRPr="00B119CA">
        <w:rPr>
          <w:rFonts w:eastAsia="Times New Roman" w:cs="Open Sans"/>
          <w:b/>
          <w:bCs/>
          <w:i/>
          <w:iCs/>
        </w:rPr>
        <w:t xml:space="preserve"> constitutes unlawful discrimination under the Disability Discrimination Act. </w:t>
      </w:r>
    </w:p>
    <w:p w14:paraId="1AE45CD7" w14:textId="4A9F37E5" w:rsidR="00DD4C82" w:rsidRPr="003F4CE1" w:rsidRDefault="001F1232" w:rsidP="00DD4C82">
      <w:pPr>
        <w:pStyle w:val="Heading2"/>
        <w:rPr>
          <w:color w:val="000000" w:themeColor="text1"/>
        </w:rPr>
      </w:pPr>
      <w:r>
        <w:t>Access</w:t>
      </w:r>
      <w:r w:rsidR="00573BA7">
        <w:t xml:space="preserve"> </w:t>
      </w:r>
      <w:r>
        <w:t>to</w:t>
      </w:r>
      <w:r w:rsidR="00573BA7">
        <w:t xml:space="preserve"> </w:t>
      </w:r>
      <w:r>
        <w:t>justice</w:t>
      </w:r>
      <w:r w:rsidR="00573BA7">
        <w:t xml:space="preserve"> </w:t>
      </w:r>
      <w:r>
        <w:t>under</w:t>
      </w:r>
      <w:r w:rsidR="00573BA7">
        <w:t xml:space="preserve"> </w:t>
      </w:r>
      <w:r>
        <w:t>the</w:t>
      </w:r>
      <w:r w:rsidR="00573BA7">
        <w:t xml:space="preserve"> </w:t>
      </w:r>
      <w:r w:rsidR="00DD4C82" w:rsidRPr="001F1232">
        <w:rPr>
          <w:i/>
        </w:rPr>
        <w:t>Fair</w:t>
      </w:r>
      <w:r w:rsidR="00573BA7">
        <w:rPr>
          <w:i/>
          <w:iCs/>
        </w:rPr>
        <w:t xml:space="preserve"> </w:t>
      </w:r>
      <w:r w:rsidR="00DD4C82" w:rsidRPr="003F4CE1">
        <w:rPr>
          <w:i/>
          <w:iCs/>
        </w:rPr>
        <w:t>Work</w:t>
      </w:r>
      <w:r w:rsidR="00573BA7">
        <w:rPr>
          <w:i/>
          <w:iCs/>
        </w:rPr>
        <w:t xml:space="preserve"> </w:t>
      </w:r>
      <w:r w:rsidR="00DD4C82" w:rsidRPr="003F4CE1">
        <w:rPr>
          <w:i/>
          <w:iCs/>
        </w:rPr>
        <w:t>Act</w:t>
      </w:r>
      <w:r w:rsidR="00573BA7">
        <w:rPr>
          <w:i/>
          <w:iCs/>
        </w:rPr>
        <w:t xml:space="preserve"> </w:t>
      </w:r>
      <w:r w:rsidR="00DD4C82" w:rsidRPr="003F4CE1">
        <w:rPr>
          <w:i/>
          <w:iCs/>
        </w:rPr>
        <w:t>2009</w:t>
      </w:r>
      <w:r w:rsidR="00573BA7">
        <w:rPr>
          <w:i/>
          <w:iCs/>
        </w:rPr>
        <w:t xml:space="preserve"> </w:t>
      </w:r>
      <w:r w:rsidR="00DD4C82" w:rsidRPr="003F4CE1">
        <w:t>(Cth)</w:t>
      </w:r>
      <w:bookmarkEnd w:id="96"/>
      <w:bookmarkEnd w:id="97"/>
      <w:bookmarkEnd w:id="98"/>
      <w:bookmarkEnd w:id="99"/>
      <w:bookmarkEnd w:id="100"/>
      <w:bookmarkEnd w:id="101"/>
    </w:p>
    <w:p w14:paraId="4E8293DC" w14:textId="7C3B08B8" w:rsidR="0031066C" w:rsidRDefault="00F15517">
      <w:pPr>
        <w:pStyle w:val="ListNumber"/>
        <w:rPr>
          <w:lang w:eastAsia="en-GB"/>
        </w:rPr>
      </w:pPr>
      <w:r w:rsidRPr="07069484">
        <w:rPr>
          <w:lang w:eastAsia="en-GB"/>
        </w:rPr>
        <w:t xml:space="preserve">This section addresses the Commission’s concerns about several aspects of the Fair Work Act which may limit its effectiveness in protecting the human rights of people with disability. This section responds to questions </w:t>
      </w:r>
      <w:r w:rsidR="000B26E0" w:rsidRPr="07069484">
        <w:rPr>
          <w:lang w:eastAsia="en-GB"/>
        </w:rPr>
        <w:t>five</w:t>
      </w:r>
      <w:r w:rsidRPr="07069484">
        <w:rPr>
          <w:lang w:eastAsia="en-GB"/>
        </w:rPr>
        <w:t xml:space="preserve"> and </w:t>
      </w:r>
      <w:r w:rsidR="000B26E0" w:rsidRPr="07069484">
        <w:rPr>
          <w:lang w:eastAsia="en-GB"/>
        </w:rPr>
        <w:t>eight</w:t>
      </w:r>
      <w:r w:rsidRPr="07069484">
        <w:rPr>
          <w:lang w:eastAsia="en-GB"/>
        </w:rPr>
        <w:t xml:space="preserve"> of the Issues Paper.</w:t>
      </w:r>
    </w:p>
    <w:p w14:paraId="339B34C1" w14:textId="603B24CA" w:rsidR="003B5CCD" w:rsidRPr="00710E6A" w:rsidRDefault="000F3A0F" w:rsidP="00BC4DA8">
      <w:pPr>
        <w:pStyle w:val="Heading3"/>
        <w:rPr>
          <w:b/>
          <w:bCs w:val="0"/>
        </w:rPr>
      </w:pPr>
      <w:bookmarkStart w:id="102" w:name="_Ref50721394"/>
      <w:bookmarkStart w:id="103" w:name="_Toc51834291"/>
      <w:r w:rsidRPr="00710E6A">
        <w:rPr>
          <w:b/>
          <w:bCs w:val="0"/>
        </w:rPr>
        <w:t>Unclear</w:t>
      </w:r>
      <w:r w:rsidR="00573BA7" w:rsidRPr="00710E6A">
        <w:rPr>
          <w:b/>
          <w:bCs w:val="0"/>
        </w:rPr>
        <w:t xml:space="preserve"> </w:t>
      </w:r>
      <w:r w:rsidRPr="00710E6A">
        <w:rPr>
          <w:b/>
          <w:bCs w:val="0"/>
        </w:rPr>
        <w:t>definition</w:t>
      </w:r>
      <w:r w:rsidR="00573BA7" w:rsidRPr="00710E6A">
        <w:rPr>
          <w:b/>
          <w:bCs w:val="0"/>
        </w:rPr>
        <w:t xml:space="preserve"> </w:t>
      </w:r>
      <w:r w:rsidRPr="00710E6A">
        <w:rPr>
          <w:b/>
          <w:bCs w:val="0"/>
        </w:rPr>
        <w:t>of</w:t>
      </w:r>
      <w:r w:rsidR="00573BA7" w:rsidRPr="00710E6A">
        <w:rPr>
          <w:b/>
          <w:bCs w:val="0"/>
        </w:rPr>
        <w:t xml:space="preserve"> </w:t>
      </w:r>
      <w:r w:rsidRPr="00710E6A">
        <w:rPr>
          <w:b/>
          <w:bCs w:val="0"/>
        </w:rPr>
        <w:t>disability</w:t>
      </w:r>
      <w:bookmarkEnd w:id="102"/>
      <w:bookmarkEnd w:id="103"/>
    </w:p>
    <w:p w14:paraId="596FCE8F" w14:textId="323C38E8" w:rsidR="007B75A5" w:rsidRPr="00BC4DA8" w:rsidRDefault="00505428" w:rsidP="009162F9">
      <w:pPr>
        <w:pStyle w:val="ListNumber"/>
        <w:rPr>
          <w:rFonts w:eastAsia="Open Sans" w:cs="Open Sans"/>
          <w:color w:val="000000" w:themeColor="text1"/>
          <w:vertAlign w:val="superscript"/>
        </w:rPr>
      </w:pPr>
      <w:r>
        <w:t>T</w:t>
      </w:r>
      <w:r w:rsidR="043DFDBD">
        <w:t>he</w:t>
      </w:r>
      <w:r w:rsidR="00573BA7">
        <w:t xml:space="preserve"> </w:t>
      </w:r>
      <w:r w:rsidR="043DFDBD">
        <w:t>protected</w:t>
      </w:r>
      <w:r w:rsidR="00573BA7">
        <w:t xml:space="preserve"> </w:t>
      </w:r>
      <w:r w:rsidR="043DFDBD">
        <w:t>attribute</w:t>
      </w:r>
      <w:r w:rsidR="00573BA7">
        <w:t xml:space="preserve"> </w:t>
      </w:r>
      <w:r w:rsidR="172154C3">
        <w:t>of</w:t>
      </w:r>
      <w:r w:rsidR="00573BA7">
        <w:t xml:space="preserve"> </w:t>
      </w:r>
      <w:r w:rsidR="02BB8B76">
        <w:t>‘</w:t>
      </w:r>
      <w:r w:rsidR="5FD574CF">
        <w:t>physical</w:t>
      </w:r>
      <w:r w:rsidR="00573BA7">
        <w:t xml:space="preserve"> </w:t>
      </w:r>
      <w:r w:rsidR="5FD574CF">
        <w:t>or</w:t>
      </w:r>
      <w:r w:rsidR="00573BA7">
        <w:t xml:space="preserve"> </w:t>
      </w:r>
      <w:r w:rsidR="5FD574CF">
        <w:t>mental</w:t>
      </w:r>
      <w:r w:rsidR="00573BA7">
        <w:t xml:space="preserve"> </w:t>
      </w:r>
      <w:r w:rsidR="02BB8B76">
        <w:t>disability’</w:t>
      </w:r>
      <w:r w:rsidR="00573BA7">
        <w:t xml:space="preserve"> </w:t>
      </w:r>
      <w:r w:rsidR="02BB8B76">
        <w:t>is</w:t>
      </w:r>
      <w:r w:rsidR="00573BA7">
        <w:t xml:space="preserve"> </w:t>
      </w:r>
      <w:r w:rsidR="02BB8B76">
        <w:t>not</w:t>
      </w:r>
      <w:r w:rsidR="00573BA7">
        <w:t xml:space="preserve"> </w:t>
      </w:r>
      <w:r w:rsidR="02BB8B76">
        <w:t>defined</w:t>
      </w:r>
      <w:r w:rsidR="00573BA7">
        <w:t xml:space="preserve"> </w:t>
      </w:r>
      <w:r w:rsidR="02BB8B76">
        <w:t>in</w:t>
      </w:r>
      <w:r w:rsidR="00573BA7">
        <w:t xml:space="preserve"> </w:t>
      </w:r>
      <w:r w:rsidR="02BB8B76">
        <w:t>the</w:t>
      </w:r>
      <w:r w:rsidR="00573BA7">
        <w:t xml:space="preserve"> </w:t>
      </w:r>
      <w:r w:rsidR="00957490">
        <w:t>Fair</w:t>
      </w:r>
      <w:r w:rsidR="00573BA7">
        <w:t xml:space="preserve"> </w:t>
      </w:r>
      <w:r w:rsidR="00957490">
        <w:t>Work</w:t>
      </w:r>
      <w:r w:rsidR="00573BA7">
        <w:t xml:space="preserve"> </w:t>
      </w:r>
      <w:r w:rsidR="00957490">
        <w:t>Act</w:t>
      </w:r>
      <w:r w:rsidR="02BB8B76">
        <w:t>.</w:t>
      </w:r>
      <w:r w:rsidR="00573BA7">
        <w:t xml:space="preserve">  </w:t>
      </w:r>
      <w:r w:rsidR="3B3DA5BA">
        <w:t>T</w:t>
      </w:r>
      <w:r w:rsidR="6052C3C6">
        <w:t>he</w:t>
      </w:r>
      <w:r w:rsidR="00573BA7">
        <w:t xml:space="preserve"> </w:t>
      </w:r>
      <w:r w:rsidR="6052C3C6">
        <w:t>courts</w:t>
      </w:r>
      <w:r w:rsidR="00573BA7">
        <w:t xml:space="preserve"> </w:t>
      </w:r>
      <w:r w:rsidR="6052C3C6">
        <w:t>and</w:t>
      </w:r>
      <w:r w:rsidR="00573BA7">
        <w:t xml:space="preserve"> </w:t>
      </w:r>
      <w:r w:rsidR="6052C3C6">
        <w:t>the</w:t>
      </w:r>
      <w:r w:rsidR="00573BA7">
        <w:t xml:space="preserve"> </w:t>
      </w:r>
      <w:r w:rsidR="6052C3C6">
        <w:t>Fair</w:t>
      </w:r>
      <w:r w:rsidR="00573BA7">
        <w:t xml:space="preserve"> </w:t>
      </w:r>
      <w:r w:rsidR="6052C3C6">
        <w:t>Work</w:t>
      </w:r>
      <w:r w:rsidR="00573BA7">
        <w:t xml:space="preserve"> </w:t>
      </w:r>
      <w:r w:rsidR="6052C3C6">
        <w:t>Commission</w:t>
      </w:r>
      <w:r w:rsidR="00573BA7">
        <w:t xml:space="preserve"> </w:t>
      </w:r>
      <w:r w:rsidR="6052C3C6">
        <w:t>have</w:t>
      </w:r>
      <w:r w:rsidR="00573BA7">
        <w:t xml:space="preserve"> </w:t>
      </w:r>
      <w:r w:rsidR="6052C3C6">
        <w:t>interpreted</w:t>
      </w:r>
      <w:r w:rsidR="00573BA7">
        <w:t xml:space="preserve"> </w:t>
      </w:r>
      <w:r w:rsidR="6052C3C6">
        <w:t>the</w:t>
      </w:r>
      <w:r w:rsidR="00573BA7">
        <w:t xml:space="preserve"> </w:t>
      </w:r>
      <w:r w:rsidR="6052C3C6">
        <w:t>meaning</w:t>
      </w:r>
      <w:r w:rsidR="00573BA7">
        <w:t xml:space="preserve"> </w:t>
      </w:r>
      <w:r w:rsidR="6052C3C6">
        <w:t>of</w:t>
      </w:r>
      <w:r w:rsidR="00573BA7">
        <w:t xml:space="preserve"> </w:t>
      </w:r>
      <w:r w:rsidR="6052C3C6">
        <w:t>a</w:t>
      </w:r>
      <w:r w:rsidR="00573BA7">
        <w:t xml:space="preserve"> </w:t>
      </w:r>
      <w:r w:rsidR="6052C3C6">
        <w:t>‘physical</w:t>
      </w:r>
      <w:r w:rsidR="00573BA7">
        <w:t xml:space="preserve"> </w:t>
      </w:r>
      <w:r w:rsidR="6052C3C6">
        <w:t>or</w:t>
      </w:r>
      <w:r w:rsidR="00573BA7">
        <w:t xml:space="preserve"> </w:t>
      </w:r>
      <w:r w:rsidR="6052C3C6">
        <w:t>mental</w:t>
      </w:r>
      <w:r w:rsidR="00573BA7">
        <w:t xml:space="preserve"> </w:t>
      </w:r>
      <w:r w:rsidR="6052C3C6">
        <w:t>disability’</w:t>
      </w:r>
      <w:r w:rsidR="00573BA7">
        <w:t xml:space="preserve"> </w:t>
      </w:r>
      <w:r w:rsidR="2C2D47B1">
        <w:t>inconsistently</w:t>
      </w:r>
      <w:r w:rsidR="3B3DA5BA">
        <w:t>.</w:t>
      </w:r>
      <w:r w:rsidR="00573BA7">
        <w:t xml:space="preserve">  </w:t>
      </w:r>
    </w:p>
    <w:p w14:paraId="5F031924" w14:textId="1DF7319B" w:rsidR="00AE0D57" w:rsidRPr="00BC4DA8" w:rsidRDefault="406DFB85">
      <w:pPr>
        <w:pStyle w:val="ListNumber"/>
        <w:rPr>
          <w:rFonts w:eastAsia="Open Sans" w:cs="Open Sans"/>
          <w:color w:val="000000" w:themeColor="text1"/>
          <w:vertAlign w:val="superscript"/>
        </w:rPr>
      </w:pPr>
      <w:r w:rsidRPr="003F4CE1">
        <w:t>For</w:t>
      </w:r>
      <w:r w:rsidR="00573BA7">
        <w:t xml:space="preserve"> </w:t>
      </w:r>
      <w:r w:rsidRPr="003F4CE1">
        <w:t>example,</w:t>
      </w:r>
      <w:r w:rsidR="00573BA7">
        <w:t xml:space="preserve"> </w:t>
      </w:r>
      <w:r w:rsidRPr="003F4CE1">
        <w:t>the</w:t>
      </w:r>
      <w:r w:rsidR="00573BA7">
        <w:t xml:space="preserve"> </w:t>
      </w:r>
      <w:r w:rsidRPr="003F4CE1">
        <w:t>Federal</w:t>
      </w:r>
      <w:r w:rsidR="00573BA7">
        <w:t xml:space="preserve"> </w:t>
      </w:r>
      <w:r w:rsidRPr="003F4CE1">
        <w:t>Circuit</w:t>
      </w:r>
      <w:r w:rsidR="00573BA7">
        <w:t xml:space="preserve"> </w:t>
      </w:r>
      <w:r w:rsidRPr="003F4CE1">
        <w:t>Court</w:t>
      </w:r>
      <w:r w:rsidR="00573BA7">
        <w:t xml:space="preserve"> </w:t>
      </w:r>
      <w:r w:rsidRPr="003F4CE1">
        <w:t>of</w:t>
      </w:r>
      <w:r w:rsidR="00573BA7">
        <w:t xml:space="preserve"> </w:t>
      </w:r>
      <w:r w:rsidRPr="003F4CE1">
        <w:t>Australia</w:t>
      </w:r>
      <w:r w:rsidR="00573BA7">
        <w:t xml:space="preserve"> </w:t>
      </w:r>
      <w:r w:rsidR="00A73123">
        <w:t>has</w:t>
      </w:r>
      <w:r w:rsidR="00573BA7">
        <w:t xml:space="preserve"> </w:t>
      </w:r>
      <w:r w:rsidRPr="003F4CE1">
        <w:t>applied</w:t>
      </w:r>
      <w:r w:rsidR="00573BA7">
        <w:t xml:space="preserve"> </w:t>
      </w:r>
      <w:r w:rsidRPr="003F4CE1">
        <w:t>the</w:t>
      </w:r>
      <w:r w:rsidR="00573BA7">
        <w:t xml:space="preserve"> </w:t>
      </w:r>
      <w:r w:rsidRPr="003F4CE1">
        <w:t>expansive</w:t>
      </w:r>
      <w:r w:rsidR="00573BA7">
        <w:t xml:space="preserve"> </w:t>
      </w:r>
      <w:r w:rsidRPr="003F4CE1">
        <w:t>definition</w:t>
      </w:r>
      <w:r w:rsidR="00573BA7">
        <w:t xml:space="preserve"> </w:t>
      </w:r>
      <w:r w:rsidRPr="003F4CE1">
        <w:t>of</w:t>
      </w:r>
      <w:r w:rsidR="00573BA7">
        <w:t xml:space="preserve"> </w:t>
      </w:r>
      <w:r w:rsidR="68FA4039" w:rsidRPr="003F4CE1">
        <w:t>‘</w:t>
      </w:r>
      <w:r w:rsidR="0438228B" w:rsidRPr="003F4CE1">
        <w:t>disability’</w:t>
      </w:r>
      <w:r w:rsidR="00573BA7">
        <w:t xml:space="preserve"> </w:t>
      </w:r>
      <w:r w:rsidRPr="003F4CE1">
        <w:t>contained</w:t>
      </w:r>
      <w:r w:rsidR="00573BA7">
        <w:t xml:space="preserve"> </w:t>
      </w:r>
      <w:r w:rsidRPr="003F4CE1">
        <w:t>in</w:t>
      </w:r>
      <w:r w:rsidR="00573BA7">
        <w:t xml:space="preserve"> </w:t>
      </w:r>
      <w:r w:rsidRPr="003F4CE1">
        <w:t>section</w:t>
      </w:r>
      <w:r w:rsidR="00573BA7">
        <w:t xml:space="preserve"> </w:t>
      </w:r>
      <w:r w:rsidRPr="003F4CE1">
        <w:t>4</w:t>
      </w:r>
      <w:r w:rsidR="00573BA7">
        <w:t xml:space="preserve"> </w:t>
      </w:r>
      <w:r w:rsidRPr="003F4CE1">
        <w:t>of</w:t>
      </w:r>
      <w:r w:rsidR="00573BA7">
        <w:t xml:space="preserve"> </w:t>
      </w:r>
      <w:r w:rsidRPr="003F4CE1">
        <w:t>the</w:t>
      </w:r>
      <w:r w:rsidR="00573BA7">
        <w:t xml:space="preserve"> </w:t>
      </w:r>
      <w:r w:rsidR="00A43D02" w:rsidRPr="003F4CE1">
        <w:t>Disability</w:t>
      </w:r>
      <w:r w:rsidR="00573BA7">
        <w:t xml:space="preserve"> </w:t>
      </w:r>
      <w:r w:rsidR="00A43D02" w:rsidRPr="003F4CE1">
        <w:lastRenderedPageBreak/>
        <w:t>Discrimination</w:t>
      </w:r>
      <w:r w:rsidR="00573BA7">
        <w:t xml:space="preserve"> </w:t>
      </w:r>
      <w:r w:rsidR="00A43D02" w:rsidRPr="003F4CE1">
        <w:t>Act</w:t>
      </w:r>
      <w:r w:rsidR="00573BA7" w:rsidRPr="07069484">
        <w:rPr>
          <w:i/>
          <w:iCs/>
        </w:rPr>
        <w:t xml:space="preserve"> </w:t>
      </w:r>
      <w:r w:rsidR="00A73123">
        <w:t>in</w:t>
      </w:r>
      <w:r w:rsidR="00573BA7">
        <w:t xml:space="preserve"> </w:t>
      </w:r>
      <w:r w:rsidR="309B11C3" w:rsidRPr="003F4CE1">
        <w:t>considering</w:t>
      </w:r>
      <w:r w:rsidR="00573BA7">
        <w:t xml:space="preserve"> </w:t>
      </w:r>
      <w:r w:rsidR="6163A097" w:rsidRPr="003F4CE1">
        <w:t>a</w:t>
      </w:r>
      <w:r w:rsidR="00573BA7">
        <w:t xml:space="preserve"> </w:t>
      </w:r>
      <w:r w:rsidR="6163A097" w:rsidRPr="003F4CE1">
        <w:t>claim</w:t>
      </w:r>
      <w:r w:rsidR="00573BA7">
        <w:t xml:space="preserve"> </w:t>
      </w:r>
      <w:r w:rsidR="6163A097" w:rsidRPr="003F4CE1">
        <w:t>under</w:t>
      </w:r>
      <w:r w:rsidR="00573BA7">
        <w:t xml:space="preserve"> </w:t>
      </w:r>
      <w:r w:rsidR="6163A097" w:rsidRPr="003F4CE1">
        <w:t>section</w:t>
      </w:r>
      <w:r w:rsidR="00573BA7">
        <w:t xml:space="preserve"> </w:t>
      </w:r>
      <w:r w:rsidR="6163A097" w:rsidRPr="003F4CE1">
        <w:t>351</w:t>
      </w:r>
      <w:r w:rsidR="00573BA7">
        <w:t xml:space="preserve"> </w:t>
      </w:r>
      <w:r w:rsidR="6163A097" w:rsidRPr="003F4CE1">
        <w:t>of</w:t>
      </w:r>
      <w:r w:rsidR="00573BA7">
        <w:t xml:space="preserve"> </w:t>
      </w:r>
      <w:r w:rsidR="6163A097" w:rsidRPr="003F4CE1">
        <w:t>the</w:t>
      </w:r>
      <w:r w:rsidR="00573BA7">
        <w:t xml:space="preserve"> </w:t>
      </w:r>
      <w:r w:rsidR="00644C0A" w:rsidRPr="003F4CE1">
        <w:t>Fair</w:t>
      </w:r>
      <w:r w:rsidR="00573BA7">
        <w:t xml:space="preserve"> </w:t>
      </w:r>
      <w:r w:rsidR="00644C0A" w:rsidRPr="003F4CE1">
        <w:t>Work</w:t>
      </w:r>
      <w:r w:rsidR="00573BA7">
        <w:t xml:space="preserve"> </w:t>
      </w:r>
      <w:r w:rsidR="00644C0A" w:rsidRPr="003F4CE1">
        <w:t>Act</w:t>
      </w:r>
      <w:r w:rsidR="309B11C3" w:rsidRPr="003F4CE1">
        <w:t>.</w:t>
      </w:r>
      <w:r w:rsidR="004635DF" w:rsidRPr="003F4CE1">
        <w:rPr>
          <w:rStyle w:val="EndnoteReference"/>
        </w:rPr>
        <w:endnoteReference w:id="183"/>
      </w:r>
      <w:r w:rsidR="00573BA7">
        <w:t xml:space="preserve">  </w:t>
      </w:r>
      <w:r w:rsidRPr="003F4CE1">
        <w:t>By</w:t>
      </w:r>
      <w:r w:rsidR="00573BA7">
        <w:t xml:space="preserve"> </w:t>
      </w:r>
      <w:r w:rsidRPr="003F4CE1">
        <w:t>contrast,</w:t>
      </w:r>
      <w:r w:rsidR="00573BA7">
        <w:t xml:space="preserve"> </w:t>
      </w:r>
      <w:r w:rsidR="77D7DEDA" w:rsidRPr="003F4CE1">
        <w:t>other</w:t>
      </w:r>
      <w:r w:rsidR="00573BA7">
        <w:t xml:space="preserve"> </w:t>
      </w:r>
      <w:r w:rsidR="77D7DEDA" w:rsidRPr="003F4CE1">
        <w:t>cases</w:t>
      </w:r>
      <w:r w:rsidR="00573BA7">
        <w:t xml:space="preserve"> </w:t>
      </w:r>
      <w:r w:rsidR="77D7DEDA" w:rsidRPr="003F4CE1">
        <w:t>have</w:t>
      </w:r>
      <w:r w:rsidR="00573BA7">
        <w:t xml:space="preserve"> </w:t>
      </w:r>
      <w:r w:rsidR="0858386C" w:rsidRPr="003F4CE1">
        <w:t>been</w:t>
      </w:r>
      <w:r w:rsidR="00573BA7">
        <w:t xml:space="preserve"> </w:t>
      </w:r>
      <w:r w:rsidR="0858386C" w:rsidRPr="003F4CE1">
        <w:t>decided</w:t>
      </w:r>
      <w:r w:rsidR="00573BA7">
        <w:t xml:space="preserve"> </w:t>
      </w:r>
      <w:r w:rsidR="0858386C" w:rsidRPr="003F4CE1">
        <w:t>on</w:t>
      </w:r>
      <w:r w:rsidR="00573BA7">
        <w:t xml:space="preserve"> </w:t>
      </w:r>
      <w:r w:rsidR="0858386C" w:rsidRPr="003F4CE1">
        <w:t>the</w:t>
      </w:r>
      <w:r w:rsidR="00573BA7">
        <w:t xml:space="preserve"> </w:t>
      </w:r>
      <w:r w:rsidR="0858386C" w:rsidRPr="003F4CE1">
        <w:t>basis</w:t>
      </w:r>
      <w:r w:rsidR="00573BA7">
        <w:t xml:space="preserve"> </w:t>
      </w:r>
      <w:r w:rsidR="0858386C" w:rsidRPr="003F4CE1">
        <w:t>that</w:t>
      </w:r>
      <w:r w:rsidR="00573BA7">
        <w:t xml:space="preserve"> </w:t>
      </w:r>
      <w:r w:rsidR="5D75F143" w:rsidRPr="003F4CE1">
        <w:t>the</w:t>
      </w:r>
      <w:r w:rsidR="00573BA7">
        <w:t xml:space="preserve"> </w:t>
      </w:r>
      <w:r w:rsidR="5D75F143" w:rsidRPr="003F4CE1">
        <w:t>definition</w:t>
      </w:r>
      <w:r w:rsidR="00573BA7">
        <w:t xml:space="preserve"> </w:t>
      </w:r>
      <w:r w:rsidR="5D75F143" w:rsidRPr="003F4CE1">
        <w:t>of</w:t>
      </w:r>
      <w:r w:rsidR="00573BA7">
        <w:t xml:space="preserve"> </w:t>
      </w:r>
      <w:r w:rsidR="5D75F143" w:rsidRPr="003F4CE1">
        <w:t>‘disability’</w:t>
      </w:r>
      <w:r w:rsidR="00573BA7">
        <w:t xml:space="preserve"> </w:t>
      </w:r>
      <w:r w:rsidR="5D75F143" w:rsidRPr="003F4CE1">
        <w:t>in</w:t>
      </w:r>
      <w:r w:rsidR="00573BA7">
        <w:t xml:space="preserve"> </w:t>
      </w:r>
      <w:r w:rsidR="5D75F143" w:rsidRPr="003F4CE1">
        <w:t>the</w:t>
      </w:r>
      <w:r w:rsidR="00573BA7">
        <w:t xml:space="preserve"> </w:t>
      </w:r>
      <w:r w:rsidR="00A43D02" w:rsidRPr="003F4CE1">
        <w:t>Disability</w:t>
      </w:r>
      <w:r w:rsidR="00573BA7">
        <w:t xml:space="preserve"> </w:t>
      </w:r>
      <w:r w:rsidR="00A43D02" w:rsidRPr="003F4CE1">
        <w:t>Discrimination</w:t>
      </w:r>
      <w:r w:rsidR="00573BA7">
        <w:t xml:space="preserve"> </w:t>
      </w:r>
      <w:r w:rsidR="00A43D02" w:rsidRPr="003F4CE1">
        <w:t>Act</w:t>
      </w:r>
      <w:r w:rsidR="00573BA7" w:rsidRPr="07069484">
        <w:rPr>
          <w:i/>
          <w:iCs/>
        </w:rPr>
        <w:t xml:space="preserve"> </w:t>
      </w:r>
      <w:r w:rsidR="0858386C" w:rsidRPr="003F4CE1">
        <w:t>is</w:t>
      </w:r>
      <w:r w:rsidR="00573BA7">
        <w:t xml:space="preserve"> </w:t>
      </w:r>
      <w:r w:rsidR="28D67010" w:rsidRPr="003F4CE1">
        <w:t>of</w:t>
      </w:r>
      <w:r w:rsidR="00573BA7">
        <w:t xml:space="preserve"> </w:t>
      </w:r>
      <w:r w:rsidR="28D67010" w:rsidRPr="003F4CE1">
        <w:t>limited</w:t>
      </w:r>
      <w:r w:rsidR="00573BA7">
        <w:t xml:space="preserve"> </w:t>
      </w:r>
      <w:r w:rsidR="28D67010" w:rsidRPr="003F4CE1">
        <w:t>or</w:t>
      </w:r>
      <w:r w:rsidR="00573BA7">
        <w:t xml:space="preserve"> </w:t>
      </w:r>
      <w:r w:rsidR="28D67010" w:rsidRPr="003F4CE1">
        <w:t>no</w:t>
      </w:r>
      <w:r w:rsidR="00573BA7">
        <w:t xml:space="preserve"> </w:t>
      </w:r>
      <w:r w:rsidR="28D67010" w:rsidRPr="003F4CE1">
        <w:t>relevance</w:t>
      </w:r>
      <w:r w:rsidR="00573BA7">
        <w:t xml:space="preserve"> </w:t>
      </w:r>
      <w:r w:rsidR="0B189DBE" w:rsidRPr="003F4CE1">
        <w:t>when</w:t>
      </w:r>
      <w:r w:rsidR="00573BA7">
        <w:t xml:space="preserve"> </w:t>
      </w:r>
      <w:r w:rsidR="0B189DBE" w:rsidRPr="003F4CE1">
        <w:t>interpreting</w:t>
      </w:r>
      <w:r w:rsidR="00573BA7">
        <w:t xml:space="preserve"> </w:t>
      </w:r>
      <w:r w:rsidR="0B189DBE" w:rsidRPr="003F4CE1">
        <w:t>‘physical</w:t>
      </w:r>
      <w:r w:rsidR="00573BA7">
        <w:t xml:space="preserve"> </w:t>
      </w:r>
      <w:r w:rsidR="0B189DBE" w:rsidRPr="003F4CE1">
        <w:t>or</w:t>
      </w:r>
      <w:r w:rsidR="00573BA7">
        <w:t xml:space="preserve"> </w:t>
      </w:r>
      <w:r w:rsidR="0B189DBE" w:rsidRPr="003F4CE1">
        <w:t>mental</w:t>
      </w:r>
      <w:r w:rsidR="00573BA7">
        <w:t xml:space="preserve"> </w:t>
      </w:r>
      <w:r w:rsidR="0B189DBE" w:rsidRPr="003F4CE1">
        <w:t>disability’</w:t>
      </w:r>
      <w:r w:rsidR="00573BA7">
        <w:t xml:space="preserve"> </w:t>
      </w:r>
      <w:r w:rsidR="0B189DBE" w:rsidRPr="003F4CE1">
        <w:t>under</w:t>
      </w:r>
      <w:r w:rsidR="00573BA7">
        <w:t xml:space="preserve"> </w:t>
      </w:r>
      <w:r w:rsidR="0B189DBE" w:rsidRPr="003F4CE1">
        <w:t>section</w:t>
      </w:r>
      <w:r w:rsidR="00573BA7">
        <w:t xml:space="preserve"> </w:t>
      </w:r>
      <w:r w:rsidR="0B189DBE" w:rsidRPr="003F4CE1">
        <w:t>351</w:t>
      </w:r>
      <w:r w:rsidR="677D36F8" w:rsidRPr="003F4CE1">
        <w:t>.</w:t>
      </w:r>
      <w:r w:rsidR="004E4C6B" w:rsidRPr="003F4CE1">
        <w:rPr>
          <w:rStyle w:val="EndnoteReference"/>
        </w:rPr>
        <w:endnoteReference w:id="184"/>
      </w:r>
      <w:r w:rsidR="00573BA7">
        <w:t xml:space="preserve">  </w:t>
      </w:r>
      <w:r w:rsidR="3D7C6C45" w:rsidRPr="003F4CE1">
        <w:t>Other</w:t>
      </w:r>
      <w:r w:rsidR="00573BA7">
        <w:t xml:space="preserve"> </w:t>
      </w:r>
      <w:r w:rsidR="3D7C6C45" w:rsidRPr="003F4CE1">
        <w:t>cases</w:t>
      </w:r>
      <w:r w:rsidR="00573BA7">
        <w:t xml:space="preserve"> </w:t>
      </w:r>
      <w:r w:rsidR="3D7C6C45" w:rsidRPr="003F4CE1">
        <w:t>still</w:t>
      </w:r>
      <w:r w:rsidR="00573BA7">
        <w:t xml:space="preserve"> </w:t>
      </w:r>
      <w:r w:rsidR="3D7C6C45" w:rsidRPr="003F4CE1">
        <w:t>have</w:t>
      </w:r>
      <w:r w:rsidR="00573BA7">
        <w:t xml:space="preserve"> </w:t>
      </w:r>
      <w:r w:rsidR="0C823ED5" w:rsidRPr="003F4CE1">
        <w:t>interpreted</w:t>
      </w:r>
      <w:r w:rsidR="00573BA7">
        <w:t xml:space="preserve"> </w:t>
      </w:r>
      <w:r w:rsidR="0C823ED5" w:rsidRPr="003F4CE1">
        <w:t>the</w:t>
      </w:r>
      <w:r w:rsidR="00573BA7">
        <w:t xml:space="preserve"> </w:t>
      </w:r>
      <w:r w:rsidR="0C823ED5" w:rsidRPr="003F4CE1">
        <w:t>term</w:t>
      </w:r>
      <w:r w:rsidR="00573BA7">
        <w:t xml:space="preserve"> </w:t>
      </w:r>
      <w:r w:rsidR="0C823ED5" w:rsidRPr="003F4CE1">
        <w:t>‘physical</w:t>
      </w:r>
      <w:r w:rsidR="00573BA7">
        <w:t xml:space="preserve"> </w:t>
      </w:r>
      <w:r w:rsidR="0C823ED5" w:rsidRPr="003F4CE1">
        <w:t>or</w:t>
      </w:r>
      <w:r w:rsidR="00573BA7">
        <w:t xml:space="preserve"> </w:t>
      </w:r>
      <w:r w:rsidR="0C823ED5" w:rsidRPr="003F4CE1">
        <w:t>mental</w:t>
      </w:r>
      <w:r w:rsidR="00573BA7">
        <w:t xml:space="preserve"> </w:t>
      </w:r>
      <w:r w:rsidR="0C823ED5" w:rsidRPr="003F4CE1">
        <w:t>disability’</w:t>
      </w:r>
      <w:r w:rsidR="00573BA7">
        <w:t xml:space="preserve"> </w:t>
      </w:r>
      <w:r w:rsidR="0C823ED5" w:rsidRPr="003F4CE1">
        <w:t>by</w:t>
      </w:r>
      <w:r w:rsidR="00573BA7">
        <w:t xml:space="preserve"> </w:t>
      </w:r>
      <w:r w:rsidR="0099B9DC" w:rsidRPr="003F4CE1">
        <w:t>incorrectly</w:t>
      </w:r>
      <w:r w:rsidR="00573BA7">
        <w:t xml:space="preserve"> </w:t>
      </w:r>
      <w:r w:rsidR="0099B9DC" w:rsidRPr="003F4CE1">
        <w:t>using</w:t>
      </w:r>
      <w:r w:rsidR="00573BA7">
        <w:t xml:space="preserve"> </w:t>
      </w:r>
      <w:r w:rsidR="0099B9DC" w:rsidRPr="003F4CE1">
        <w:t>the</w:t>
      </w:r>
      <w:r w:rsidR="00573BA7">
        <w:t xml:space="preserve"> </w:t>
      </w:r>
      <w:r w:rsidR="597B3B89" w:rsidRPr="003F4CE1">
        <w:t>restrictive</w:t>
      </w:r>
      <w:r w:rsidR="00573BA7">
        <w:t xml:space="preserve"> </w:t>
      </w:r>
      <w:r w:rsidR="0099B9DC" w:rsidRPr="003F4CE1">
        <w:t>definition</w:t>
      </w:r>
      <w:r w:rsidR="00573BA7">
        <w:t xml:space="preserve"> </w:t>
      </w:r>
      <w:r w:rsidR="0099B9DC" w:rsidRPr="003F4CE1">
        <w:t>of</w:t>
      </w:r>
      <w:r w:rsidR="00573BA7">
        <w:t xml:space="preserve"> </w:t>
      </w:r>
      <w:r w:rsidR="7ED7C830" w:rsidRPr="003F4CE1">
        <w:t>‘employee</w:t>
      </w:r>
      <w:r w:rsidR="00573BA7">
        <w:t xml:space="preserve"> </w:t>
      </w:r>
      <w:r w:rsidR="7ED7C830" w:rsidRPr="003F4CE1">
        <w:t>with</w:t>
      </w:r>
      <w:r w:rsidR="00573BA7">
        <w:t xml:space="preserve"> </w:t>
      </w:r>
      <w:r w:rsidR="7ED7C830" w:rsidRPr="003F4CE1">
        <w:t>a</w:t>
      </w:r>
      <w:r w:rsidR="00573BA7">
        <w:t xml:space="preserve"> </w:t>
      </w:r>
      <w:r w:rsidR="7ED7C830" w:rsidRPr="003F4CE1">
        <w:t>disability’</w:t>
      </w:r>
      <w:r w:rsidR="182A2B37" w:rsidRPr="003F4CE1">
        <w:t>,</w:t>
      </w:r>
      <w:r w:rsidR="00573BA7">
        <w:t xml:space="preserve"> </w:t>
      </w:r>
      <w:r w:rsidR="182A2B37" w:rsidRPr="003F4CE1">
        <w:t>which</w:t>
      </w:r>
      <w:r w:rsidR="00573BA7">
        <w:t xml:space="preserve"> </w:t>
      </w:r>
      <w:r w:rsidR="52883E01" w:rsidRPr="003F4CE1">
        <w:t>is</w:t>
      </w:r>
      <w:r w:rsidR="00573BA7">
        <w:t xml:space="preserve"> </w:t>
      </w:r>
      <w:r w:rsidR="52883E01" w:rsidRPr="003F4CE1">
        <w:t>defined</w:t>
      </w:r>
      <w:r w:rsidR="00573BA7">
        <w:t xml:space="preserve"> </w:t>
      </w:r>
      <w:r w:rsidR="597B3B89" w:rsidRPr="003F4CE1">
        <w:t>in</w:t>
      </w:r>
      <w:r w:rsidR="00573BA7">
        <w:t xml:space="preserve"> </w:t>
      </w:r>
      <w:r w:rsidR="7871717C" w:rsidRPr="003F4CE1">
        <w:t>section</w:t>
      </w:r>
      <w:r w:rsidR="00573BA7">
        <w:t xml:space="preserve"> </w:t>
      </w:r>
      <w:r w:rsidR="7871717C" w:rsidRPr="003F4CE1">
        <w:t>12</w:t>
      </w:r>
      <w:r w:rsidR="00573BA7">
        <w:t xml:space="preserve"> </w:t>
      </w:r>
      <w:r w:rsidR="7871717C" w:rsidRPr="003F4CE1">
        <w:t>of</w:t>
      </w:r>
      <w:r w:rsidR="00573BA7">
        <w:t xml:space="preserve"> </w:t>
      </w:r>
      <w:r w:rsidR="597B3B89" w:rsidRPr="003F4CE1">
        <w:t>the</w:t>
      </w:r>
      <w:r w:rsidR="00573BA7">
        <w:t xml:space="preserve"> </w:t>
      </w:r>
      <w:r w:rsidR="00C04F20" w:rsidRPr="003F4CE1">
        <w:t>Fair</w:t>
      </w:r>
      <w:r w:rsidR="00573BA7">
        <w:t xml:space="preserve"> </w:t>
      </w:r>
      <w:r w:rsidR="00C04F20" w:rsidRPr="003F4CE1">
        <w:t>Work</w:t>
      </w:r>
      <w:r w:rsidR="00573BA7">
        <w:t xml:space="preserve"> </w:t>
      </w:r>
      <w:r w:rsidR="00C04F20" w:rsidRPr="003F4CE1">
        <w:t>Act</w:t>
      </w:r>
      <w:r w:rsidR="00573BA7">
        <w:t xml:space="preserve"> </w:t>
      </w:r>
      <w:r w:rsidR="597B3B89" w:rsidRPr="003F4CE1">
        <w:t>to</w:t>
      </w:r>
      <w:r w:rsidR="00573BA7">
        <w:t xml:space="preserve"> </w:t>
      </w:r>
      <w:r w:rsidR="597B3B89" w:rsidRPr="003F4CE1">
        <w:t>only</w:t>
      </w:r>
      <w:r w:rsidR="00573BA7">
        <w:t xml:space="preserve"> </w:t>
      </w:r>
      <w:r w:rsidR="597B3B89" w:rsidRPr="003F4CE1">
        <w:t>include</w:t>
      </w:r>
      <w:r w:rsidR="00573BA7">
        <w:t xml:space="preserve"> </w:t>
      </w:r>
      <w:r w:rsidR="1C35A0F9" w:rsidRPr="003F4CE1">
        <w:t>some</w:t>
      </w:r>
      <w:r w:rsidR="00573BA7">
        <w:t xml:space="preserve"> </w:t>
      </w:r>
      <w:r w:rsidR="1C35A0F9" w:rsidRPr="003F4CE1">
        <w:t>employees</w:t>
      </w:r>
      <w:r w:rsidR="00573BA7">
        <w:t xml:space="preserve"> </w:t>
      </w:r>
      <w:r w:rsidR="1C35A0F9" w:rsidRPr="003F4CE1">
        <w:t>who</w:t>
      </w:r>
      <w:r w:rsidR="00573BA7">
        <w:t xml:space="preserve"> </w:t>
      </w:r>
      <w:r w:rsidR="1C35A0F9" w:rsidRPr="003F4CE1">
        <w:t>qualify</w:t>
      </w:r>
      <w:r w:rsidR="00573BA7">
        <w:t xml:space="preserve"> </w:t>
      </w:r>
      <w:r w:rsidR="1C35A0F9" w:rsidRPr="003F4CE1">
        <w:t>for</w:t>
      </w:r>
      <w:r w:rsidR="00573BA7">
        <w:t xml:space="preserve"> </w:t>
      </w:r>
      <w:r w:rsidR="1C35A0F9" w:rsidRPr="003F4CE1">
        <w:t>a</w:t>
      </w:r>
      <w:r w:rsidR="00573BA7">
        <w:t xml:space="preserve"> </w:t>
      </w:r>
      <w:r w:rsidR="1C35A0F9" w:rsidRPr="003F4CE1">
        <w:t>disability</w:t>
      </w:r>
      <w:r w:rsidR="00573BA7">
        <w:t xml:space="preserve"> </w:t>
      </w:r>
      <w:r w:rsidR="1C35A0F9" w:rsidRPr="003F4CE1">
        <w:t>support</w:t>
      </w:r>
      <w:r w:rsidR="00573BA7">
        <w:t xml:space="preserve"> </w:t>
      </w:r>
      <w:r w:rsidR="1C35A0F9" w:rsidRPr="003F4CE1">
        <w:t>pen</w:t>
      </w:r>
      <w:r w:rsidR="7871717C" w:rsidRPr="003F4CE1">
        <w:t>s</w:t>
      </w:r>
      <w:r w:rsidR="1C35A0F9" w:rsidRPr="003F4CE1">
        <w:t>ion</w:t>
      </w:r>
      <w:r w:rsidR="7871717C" w:rsidRPr="003F4CE1">
        <w:t>.</w:t>
      </w:r>
      <w:r w:rsidR="0072210F" w:rsidRPr="003F4CE1">
        <w:rPr>
          <w:rStyle w:val="EndnoteReference"/>
        </w:rPr>
        <w:endnoteReference w:id="185"/>
      </w:r>
    </w:p>
    <w:p w14:paraId="32F44737" w14:textId="649B8651" w:rsidR="00494A8E" w:rsidRPr="00BC4DA8" w:rsidRDefault="004F7D3F">
      <w:pPr>
        <w:pStyle w:val="ListNumber"/>
        <w:rPr>
          <w:rFonts w:eastAsia="Open Sans" w:cs="Open Sans"/>
          <w:color w:val="000000" w:themeColor="text1"/>
          <w:vertAlign w:val="superscript"/>
        </w:rPr>
      </w:pPr>
      <w:r>
        <w:t>T</w:t>
      </w:r>
      <w:r w:rsidRPr="003F4CE1">
        <w:t>he</w:t>
      </w:r>
      <w:r w:rsidR="00573BA7">
        <w:t xml:space="preserve"> </w:t>
      </w:r>
      <w:r>
        <w:t>CESCR</w:t>
      </w:r>
      <w:r w:rsidR="00573BA7">
        <w:t xml:space="preserve"> </w:t>
      </w:r>
      <w:r w:rsidRPr="003F4CE1">
        <w:t>has</w:t>
      </w:r>
      <w:r w:rsidR="00573BA7">
        <w:t xml:space="preserve"> </w:t>
      </w:r>
      <w:r w:rsidRPr="003F4CE1">
        <w:t>commented</w:t>
      </w:r>
      <w:r w:rsidR="00573BA7">
        <w:t xml:space="preserve"> </w:t>
      </w:r>
      <w:r w:rsidRPr="003F4CE1">
        <w:t>that</w:t>
      </w:r>
      <w:r w:rsidR="00573BA7">
        <w:t xml:space="preserve"> </w:t>
      </w:r>
      <w:r w:rsidRPr="003F4CE1">
        <w:t>failure</w:t>
      </w:r>
      <w:r w:rsidR="00573BA7">
        <w:t xml:space="preserve"> </w:t>
      </w:r>
      <w:r w:rsidRPr="003F4CE1">
        <w:t>to</w:t>
      </w:r>
      <w:r w:rsidR="00573BA7">
        <w:t xml:space="preserve"> </w:t>
      </w:r>
      <w:r w:rsidRPr="003F4CE1">
        <w:t>protect</w:t>
      </w:r>
      <w:r w:rsidR="00573BA7">
        <w:t xml:space="preserve"> </w:t>
      </w:r>
      <w:r w:rsidRPr="003F4CE1">
        <w:t>workers</w:t>
      </w:r>
      <w:r w:rsidR="00573BA7">
        <w:t xml:space="preserve"> </w:t>
      </w:r>
      <w:r w:rsidRPr="003F4CE1">
        <w:t>against</w:t>
      </w:r>
      <w:r w:rsidR="00573BA7">
        <w:t xml:space="preserve"> </w:t>
      </w:r>
      <w:r>
        <w:t>unfair</w:t>
      </w:r>
      <w:r w:rsidR="00573BA7">
        <w:t xml:space="preserve"> </w:t>
      </w:r>
      <w:r w:rsidRPr="003F4CE1">
        <w:t>dismissal</w:t>
      </w:r>
      <w:r w:rsidR="00573BA7">
        <w:t xml:space="preserve"> </w:t>
      </w:r>
      <w:r w:rsidRPr="003F4CE1">
        <w:t>is</w:t>
      </w:r>
      <w:r w:rsidR="00573BA7">
        <w:t xml:space="preserve"> </w:t>
      </w:r>
      <w:r w:rsidRPr="003F4CE1">
        <w:t>a</w:t>
      </w:r>
      <w:r w:rsidR="00573BA7">
        <w:t xml:space="preserve"> </w:t>
      </w:r>
      <w:r w:rsidRPr="003F4CE1">
        <w:t>violation</w:t>
      </w:r>
      <w:r w:rsidR="00573BA7">
        <w:t xml:space="preserve"> </w:t>
      </w:r>
      <w:r w:rsidRPr="003F4CE1">
        <w:t>of</w:t>
      </w:r>
      <w:r w:rsidR="00573BA7">
        <w:t xml:space="preserve"> </w:t>
      </w:r>
      <w:r w:rsidRPr="003F4CE1">
        <w:t>the</w:t>
      </w:r>
      <w:r w:rsidR="00573BA7">
        <w:t xml:space="preserve"> </w:t>
      </w:r>
      <w:r>
        <w:t>S</w:t>
      </w:r>
      <w:r w:rsidRPr="003F4CE1">
        <w:t>tate’s</w:t>
      </w:r>
      <w:r w:rsidR="00573BA7">
        <w:t xml:space="preserve"> </w:t>
      </w:r>
      <w:r w:rsidRPr="003F4CE1">
        <w:t>obligation</w:t>
      </w:r>
      <w:r w:rsidR="00573BA7">
        <w:t xml:space="preserve"> </w:t>
      </w:r>
      <w:r w:rsidRPr="003F4CE1">
        <w:t>to</w:t>
      </w:r>
      <w:r w:rsidR="00573BA7">
        <w:t xml:space="preserve"> </w:t>
      </w:r>
      <w:r w:rsidRPr="003F4CE1">
        <w:t>take</w:t>
      </w:r>
      <w:r w:rsidR="00573BA7">
        <w:t xml:space="preserve"> </w:t>
      </w:r>
      <w:r w:rsidRPr="003F4CE1">
        <w:t>all</w:t>
      </w:r>
      <w:r w:rsidR="00573BA7">
        <w:t xml:space="preserve"> </w:t>
      </w:r>
      <w:r w:rsidRPr="003F4CE1">
        <w:t>necessary</w:t>
      </w:r>
      <w:r w:rsidR="00573BA7">
        <w:t xml:space="preserve"> </w:t>
      </w:r>
      <w:r w:rsidRPr="003F4CE1">
        <w:t>measures</w:t>
      </w:r>
      <w:r w:rsidR="00573BA7">
        <w:t xml:space="preserve"> </w:t>
      </w:r>
      <w:r w:rsidRPr="003F4CE1">
        <w:t>to</w:t>
      </w:r>
      <w:r w:rsidR="00573BA7">
        <w:t xml:space="preserve"> </w:t>
      </w:r>
      <w:r w:rsidRPr="003F4CE1">
        <w:t>safeguard</w:t>
      </w:r>
      <w:r w:rsidR="00573BA7">
        <w:t xml:space="preserve"> </w:t>
      </w:r>
      <w:r w:rsidRPr="003F4CE1">
        <w:t>persons</w:t>
      </w:r>
      <w:r w:rsidR="00573BA7">
        <w:t xml:space="preserve"> </w:t>
      </w:r>
      <w:r w:rsidRPr="003F4CE1">
        <w:t>from</w:t>
      </w:r>
      <w:r w:rsidR="00573BA7">
        <w:t xml:space="preserve"> </w:t>
      </w:r>
      <w:r w:rsidRPr="003F4CE1">
        <w:t>infringements</w:t>
      </w:r>
      <w:r w:rsidR="00573BA7">
        <w:t xml:space="preserve"> </w:t>
      </w:r>
      <w:r w:rsidRPr="003F4CE1">
        <w:t>of</w:t>
      </w:r>
      <w:r w:rsidR="00573BA7">
        <w:t xml:space="preserve"> </w:t>
      </w:r>
      <w:r w:rsidRPr="003F4CE1">
        <w:t>the</w:t>
      </w:r>
      <w:r w:rsidR="00573BA7">
        <w:t xml:space="preserve"> </w:t>
      </w:r>
      <w:r w:rsidRPr="003F4CE1">
        <w:t>right</w:t>
      </w:r>
      <w:r w:rsidR="00573BA7">
        <w:t xml:space="preserve"> </w:t>
      </w:r>
      <w:r w:rsidRPr="003F4CE1">
        <w:t>to</w:t>
      </w:r>
      <w:r w:rsidR="00573BA7">
        <w:t xml:space="preserve"> </w:t>
      </w:r>
      <w:r w:rsidRPr="003F4CE1">
        <w:t>work.</w:t>
      </w:r>
      <w:r w:rsidRPr="003F4CE1">
        <w:rPr>
          <w:rStyle w:val="EndnoteReference"/>
        </w:rPr>
        <w:endnoteReference w:id="186"/>
      </w:r>
      <w:r w:rsidR="00573BA7">
        <w:t xml:space="preserve"> </w:t>
      </w:r>
      <w:r w:rsidR="00AC7C90">
        <w:t>Accordingly,</w:t>
      </w:r>
      <w:r w:rsidR="00573BA7">
        <w:t xml:space="preserve"> </w:t>
      </w:r>
      <w:r w:rsidR="00AC7C90">
        <w:t>t</w:t>
      </w:r>
      <w:r w:rsidR="00494A8E">
        <w:t>he</w:t>
      </w:r>
      <w:r w:rsidR="00573BA7">
        <w:t xml:space="preserve"> </w:t>
      </w:r>
      <w:r w:rsidR="00494A8E">
        <w:t>Commission</w:t>
      </w:r>
      <w:r w:rsidR="00573BA7">
        <w:t xml:space="preserve"> </w:t>
      </w:r>
      <w:r w:rsidR="00494A8E">
        <w:t>is</w:t>
      </w:r>
      <w:r w:rsidR="00573BA7">
        <w:t xml:space="preserve"> </w:t>
      </w:r>
      <w:r w:rsidR="00494A8E">
        <w:t>concerned</w:t>
      </w:r>
      <w:r w:rsidR="00573BA7">
        <w:t xml:space="preserve"> </w:t>
      </w:r>
      <w:r w:rsidR="00494A8E">
        <w:t>that</w:t>
      </w:r>
      <w:r w:rsidR="00573BA7">
        <w:t xml:space="preserve"> </w:t>
      </w:r>
      <w:r w:rsidR="00494A8E">
        <w:t>the</w:t>
      </w:r>
      <w:r w:rsidR="00573BA7">
        <w:t xml:space="preserve"> </w:t>
      </w:r>
      <w:r w:rsidR="00494A8E">
        <w:t>inconsistent</w:t>
      </w:r>
      <w:r w:rsidR="00573BA7">
        <w:t xml:space="preserve"> </w:t>
      </w:r>
      <w:r w:rsidR="00494A8E">
        <w:t>application</w:t>
      </w:r>
      <w:r w:rsidR="00573BA7">
        <w:t xml:space="preserve"> </w:t>
      </w:r>
      <w:r w:rsidR="00494A8E">
        <w:t>of</w:t>
      </w:r>
      <w:r w:rsidR="00573BA7">
        <w:t xml:space="preserve"> </w:t>
      </w:r>
      <w:r w:rsidR="00AC7C90">
        <w:t>the</w:t>
      </w:r>
      <w:r w:rsidR="00573BA7">
        <w:t xml:space="preserve"> </w:t>
      </w:r>
      <w:r w:rsidR="00494A8E">
        <w:t>unfair</w:t>
      </w:r>
      <w:r w:rsidR="00573BA7">
        <w:t xml:space="preserve"> </w:t>
      </w:r>
      <w:r w:rsidR="00494A8E">
        <w:t>dismissal</w:t>
      </w:r>
      <w:r w:rsidR="00573BA7">
        <w:t xml:space="preserve"> </w:t>
      </w:r>
      <w:r w:rsidR="00AC7C90">
        <w:t>jurisdiction</w:t>
      </w:r>
      <w:r w:rsidR="00573BA7">
        <w:t xml:space="preserve"> </w:t>
      </w:r>
      <w:r w:rsidR="00494A8E">
        <w:t>to</w:t>
      </w:r>
      <w:r w:rsidR="00573BA7">
        <w:t xml:space="preserve"> </w:t>
      </w:r>
      <w:r w:rsidR="00494A8E">
        <w:t>people</w:t>
      </w:r>
      <w:r w:rsidR="00573BA7">
        <w:t xml:space="preserve"> </w:t>
      </w:r>
      <w:r w:rsidR="00494A8E">
        <w:t>with</w:t>
      </w:r>
      <w:r w:rsidR="00573BA7">
        <w:t xml:space="preserve"> </w:t>
      </w:r>
      <w:r w:rsidR="00494A8E">
        <w:t>disability</w:t>
      </w:r>
      <w:r w:rsidR="00573BA7">
        <w:t xml:space="preserve"> </w:t>
      </w:r>
      <w:r w:rsidR="00494A8E">
        <w:t>may</w:t>
      </w:r>
      <w:r w:rsidR="00573BA7">
        <w:t xml:space="preserve"> </w:t>
      </w:r>
      <w:r w:rsidR="00494A8E">
        <w:t>restrict</w:t>
      </w:r>
      <w:r w:rsidR="00573BA7">
        <w:t xml:space="preserve"> </w:t>
      </w:r>
      <w:r w:rsidR="00494A8E">
        <w:t>their</w:t>
      </w:r>
      <w:r w:rsidR="00573BA7">
        <w:t xml:space="preserve"> </w:t>
      </w:r>
      <w:r w:rsidR="002953B2">
        <w:t>human</w:t>
      </w:r>
      <w:r w:rsidR="00573BA7">
        <w:t xml:space="preserve"> </w:t>
      </w:r>
      <w:r w:rsidR="002953B2">
        <w:t>rights</w:t>
      </w:r>
      <w:r w:rsidR="00573BA7">
        <w:t xml:space="preserve"> </w:t>
      </w:r>
      <w:r w:rsidR="00AC7C90">
        <w:t>to</w:t>
      </w:r>
      <w:r w:rsidR="00573BA7">
        <w:t xml:space="preserve"> </w:t>
      </w:r>
      <w:r w:rsidR="00AC7C90">
        <w:t>equal</w:t>
      </w:r>
      <w:r w:rsidR="00573BA7">
        <w:t xml:space="preserve"> </w:t>
      </w:r>
      <w:r w:rsidR="00AC7C90">
        <w:t>work</w:t>
      </w:r>
      <w:r w:rsidR="00573BA7">
        <w:t xml:space="preserve"> </w:t>
      </w:r>
      <w:r w:rsidR="00DB4396">
        <w:t>under</w:t>
      </w:r>
      <w:r w:rsidR="00573BA7">
        <w:t xml:space="preserve"> </w:t>
      </w:r>
      <w:r w:rsidR="002953B2" w:rsidRPr="002953B2">
        <w:t>Article</w:t>
      </w:r>
      <w:r w:rsidR="00573BA7">
        <w:t xml:space="preserve"> </w:t>
      </w:r>
      <w:r w:rsidR="002953B2" w:rsidRPr="002953B2">
        <w:t>27(1)</w:t>
      </w:r>
      <w:r w:rsidR="00573BA7">
        <w:t xml:space="preserve"> </w:t>
      </w:r>
      <w:r w:rsidR="002953B2" w:rsidRPr="002953B2">
        <w:t>of</w:t>
      </w:r>
      <w:r w:rsidR="00573BA7">
        <w:t xml:space="preserve"> </w:t>
      </w:r>
      <w:r w:rsidR="002953B2" w:rsidRPr="002953B2">
        <w:t>the</w:t>
      </w:r>
      <w:r w:rsidR="00573BA7">
        <w:t xml:space="preserve"> </w:t>
      </w:r>
      <w:r w:rsidR="002953B2" w:rsidRPr="002953B2">
        <w:t>CRPD</w:t>
      </w:r>
      <w:r w:rsidR="00573BA7">
        <w:t xml:space="preserve"> </w:t>
      </w:r>
      <w:r w:rsidR="00DB4396">
        <w:t>and</w:t>
      </w:r>
      <w:r w:rsidR="00573BA7">
        <w:t xml:space="preserve"> </w:t>
      </w:r>
      <w:r w:rsidR="002953B2" w:rsidRPr="002953B2">
        <w:t>Article</w:t>
      </w:r>
      <w:r w:rsidR="00DB4396">
        <w:t>s</w:t>
      </w:r>
      <w:r w:rsidR="00573BA7">
        <w:t xml:space="preserve"> </w:t>
      </w:r>
      <w:r w:rsidR="002953B2" w:rsidRPr="002953B2">
        <w:t>6</w:t>
      </w:r>
      <w:r w:rsidR="00573BA7">
        <w:t xml:space="preserve"> </w:t>
      </w:r>
      <w:r w:rsidR="00DB4396">
        <w:t>and</w:t>
      </w:r>
      <w:r w:rsidR="00573BA7">
        <w:t xml:space="preserve"> </w:t>
      </w:r>
      <w:r w:rsidR="002953B2" w:rsidRPr="002953B2">
        <w:t>7</w:t>
      </w:r>
      <w:r w:rsidR="00573BA7">
        <w:t xml:space="preserve"> </w:t>
      </w:r>
      <w:r w:rsidR="00DB4396">
        <w:t>of</w:t>
      </w:r>
      <w:r w:rsidR="00573BA7">
        <w:t xml:space="preserve"> </w:t>
      </w:r>
      <w:r w:rsidR="00DB4396">
        <w:t>ICESCR.</w:t>
      </w:r>
      <w:r w:rsidR="00BC25C5">
        <w:t xml:space="preserve"> Further, the Commission is concerned that this inconsistency limits access to justice for people with disability, as required under Article 13 of the CRPD.</w:t>
      </w:r>
    </w:p>
    <w:p w14:paraId="151318FC" w14:textId="77777777" w:rsidR="0093503A" w:rsidRPr="0093503A" w:rsidRDefault="0093503A" w:rsidP="0093503A">
      <w:pPr>
        <w:pStyle w:val="ListNumber"/>
        <w:rPr>
          <w:b/>
          <w:bCs/>
          <w:i/>
          <w:iCs/>
        </w:rPr>
      </w:pPr>
      <w:bookmarkStart w:id="104" w:name="_Toc50730946"/>
      <w:bookmarkStart w:id="105" w:name="_Toc51834292"/>
      <w:bookmarkEnd w:id="104"/>
      <w:r w:rsidRPr="0093503A">
        <w:rPr>
          <w:b/>
          <w:bCs/>
          <w:i/>
          <w:iCs/>
        </w:rPr>
        <w:t>Recommendation 7: The Australian Government amend the Fair Work Act to clarify the definition of ‘disability’, and align it with the definition contained in the Disability Discrimination Act.</w:t>
      </w:r>
    </w:p>
    <w:p w14:paraId="32295E4D" w14:textId="21A942AE" w:rsidR="002346A9" w:rsidRPr="00710E6A" w:rsidRDefault="003B5CCD">
      <w:pPr>
        <w:pStyle w:val="Heading3"/>
        <w:rPr>
          <w:b/>
        </w:rPr>
      </w:pPr>
      <w:r w:rsidRPr="00710E6A">
        <w:rPr>
          <w:b/>
        </w:rPr>
        <w:t>Strict</w:t>
      </w:r>
      <w:r w:rsidR="00573BA7" w:rsidRPr="00710E6A">
        <w:rPr>
          <w:b/>
        </w:rPr>
        <w:t xml:space="preserve"> </w:t>
      </w:r>
      <w:bookmarkStart w:id="106" w:name="_Toc50730948"/>
      <w:bookmarkStart w:id="107" w:name="_Toc50730949"/>
      <w:bookmarkEnd w:id="106"/>
      <w:bookmarkEnd w:id="107"/>
      <w:r w:rsidRPr="00710E6A">
        <w:rPr>
          <w:b/>
        </w:rPr>
        <w:t>t</w:t>
      </w:r>
      <w:r w:rsidR="002346A9" w:rsidRPr="00710E6A">
        <w:rPr>
          <w:b/>
        </w:rPr>
        <w:t>ime</w:t>
      </w:r>
      <w:r w:rsidR="00573BA7" w:rsidRPr="00710E6A">
        <w:rPr>
          <w:b/>
        </w:rPr>
        <w:t xml:space="preserve"> </w:t>
      </w:r>
      <w:r w:rsidR="002346A9" w:rsidRPr="00710E6A">
        <w:rPr>
          <w:b/>
        </w:rPr>
        <w:t>limit</w:t>
      </w:r>
      <w:r w:rsidRPr="00710E6A">
        <w:rPr>
          <w:b/>
        </w:rPr>
        <w:t>s</w:t>
      </w:r>
      <w:bookmarkEnd w:id="105"/>
      <w:r w:rsidR="00573BA7" w:rsidRPr="00710E6A">
        <w:rPr>
          <w:b/>
        </w:rPr>
        <w:t xml:space="preserve"> </w:t>
      </w:r>
    </w:p>
    <w:p w14:paraId="13A4F5EF" w14:textId="7B343A82" w:rsidR="007355C5" w:rsidRDefault="009D4F1D" w:rsidP="00662F4B">
      <w:pPr>
        <w:pStyle w:val="ListNumber"/>
      </w:pPr>
      <w:r>
        <w:t>The</w:t>
      </w:r>
      <w:r w:rsidR="00573BA7">
        <w:t xml:space="preserve"> </w:t>
      </w:r>
      <w:r>
        <w:t>Fair</w:t>
      </w:r>
      <w:r w:rsidR="00573BA7">
        <w:t xml:space="preserve"> </w:t>
      </w:r>
      <w:r>
        <w:t>Work</w:t>
      </w:r>
      <w:r w:rsidR="00573BA7">
        <w:t xml:space="preserve"> </w:t>
      </w:r>
      <w:r>
        <w:t>Act</w:t>
      </w:r>
      <w:r w:rsidR="00573BA7">
        <w:t xml:space="preserve"> </w:t>
      </w:r>
      <w:r w:rsidR="007A1A56">
        <w:t>provides</w:t>
      </w:r>
      <w:r w:rsidR="00573BA7">
        <w:t xml:space="preserve"> </w:t>
      </w:r>
      <w:r w:rsidR="007F5BA4">
        <w:t>people</w:t>
      </w:r>
      <w:r w:rsidR="00573BA7">
        <w:t xml:space="preserve"> </w:t>
      </w:r>
      <w:r w:rsidR="007F5BA4">
        <w:t>with</w:t>
      </w:r>
      <w:r w:rsidR="00573BA7">
        <w:t xml:space="preserve"> </w:t>
      </w:r>
      <w:r w:rsidR="007F5BA4">
        <w:t>disability</w:t>
      </w:r>
      <w:r w:rsidR="00573BA7">
        <w:t xml:space="preserve"> </w:t>
      </w:r>
      <w:r w:rsidR="008D6980">
        <w:t>with</w:t>
      </w:r>
      <w:r w:rsidR="00573BA7">
        <w:t xml:space="preserve"> </w:t>
      </w:r>
      <w:r w:rsidR="008D6980">
        <w:t>access</w:t>
      </w:r>
      <w:r w:rsidR="00573BA7">
        <w:t xml:space="preserve"> </w:t>
      </w:r>
      <w:r w:rsidR="008D6980">
        <w:t>to</w:t>
      </w:r>
      <w:r w:rsidR="00573BA7">
        <w:t xml:space="preserve"> </w:t>
      </w:r>
      <w:r w:rsidR="008D6980">
        <w:t>an</w:t>
      </w:r>
      <w:r w:rsidR="00573BA7">
        <w:t xml:space="preserve"> </w:t>
      </w:r>
      <w:r w:rsidR="008D6980">
        <w:t>effective</w:t>
      </w:r>
      <w:r w:rsidR="00573BA7">
        <w:t xml:space="preserve"> </w:t>
      </w:r>
      <w:r w:rsidR="008D6980">
        <w:t>remedy</w:t>
      </w:r>
      <w:r w:rsidR="00573BA7">
        <w:t xml:space="preserve"> </w:t>
      </w:r>
      <w:r w:rsidR="008D6980">
        <w:t>in</w:t>
      </w:r>
      <w:r w:rsidR="00573BA7">
        <w:t xml:space="preserve"> </w:t>
      </w:r>
      <w:r w:rsidR="008D6980">
        <w:t>certain</w:t>
      </w:r>
      <w:r w:rsidR="00573BA7">
        <w:t xml:space="preserve"> </w:t>
      </w:r>
      <w:r w:rsidR="008D6980">
        <w:t>circumstances</w:t>
      </w:r>
      <w:r w:rsidR="00573BA7">
        <w:t xml:space="preserve"> </w:t>
      </w:r>
      <w:r w:rsidR="00B136B8">
        <w:t>following</w:t>
      </w:r>
      <w:r w:rsidR="00573BA7">
        <w:t xml:space="preserve"> </w:t>
      </w:r>
      <w:r>
        <w:t>a</w:t>
      </w:r>
      <w:r w:rsidR="00573BA7">
        <w:t xml:space="preserve"> </w:t>
      </w:r>
      <w:r w:rsidR="0054136A">
        <w:t>dismissal</w:t>
      </w:r>
      <w:r w:rsidR="00573BA7">
        <w:t xml:space="preserve"> </w:t>
      </w:r>
      <w:r>
        <w:t>from</w:t>
      </w:r>
      <w:r w:rsidR="00573BA7">
        <w:t xml:space="preserve"> </w:t>
      </w:r>
      <w:r>
        <w:t>employment</w:t>
      </w:r>
      <w:r w:rsidR="008D6980">
        <w:t>.</w:t>
      </w:r>
      <w:r w:rsidR="00573BA7">
        <w:t xml:space="preserve">  </w:t>
      </w:r>
      <w:r w:rsidR="008D6980">
        <w:t>Such</w:t>
      </w:r>
      <w:r w:rsidR="00573BA7">
        <w:t xml:space="preserve"> </w:t>
      </w:r>
      <w:r w:rsidR="008D6980">
        <w:t>a</w:t>
      </w:r>
      <w:r w:rsidR="00573BA7">
        <w:t xml:space="preserve"> </w:t>
      </w:r>
      <w:r w:rsidR="008D6980">
        <w:t>remedy</w:t>
      </w:r>
      <w:r w:rsidR="00573BA7">
        <w:t xml:space="preserve"> </w:t>
      </w:r>
      <w:r w:rsidR="008D6980">
        <w:t>can</w:t>
      </w:r>
      <w:r w:rsidR="00573BA7">
        <w:t xml:space="preserve"> </w:t>
      </w:r>
      <w:r w:rsidR="008D6980">
        <w:t>be</w:t>
      </w:r>
      <w:r w:rsidR="00573BA7">
        <w:t xml:space="preserve"> </w:t>
      </w:r>
      <w:r w:rsidR="008D6980">
        <w:t>pursued</w:t>
      </w:r>
      <w:r w:rsidR="00573BA7">
        <w:t xml:space="preserve"> </w:t>
      </w:r>
      <w:r w:rsidR="008D6980">
        <w:t>under</w:t>
      </w:r>
      <w:r w:rsidR="00573BA7">
        <w:t xml:space="preserve"> </w:t>
      </w:r>
      <w:r w:rsidR="008D6980">
        <w:t>the</w:t>
      </w:r>
      <w:r w:rsidR="00573BA7">
        <w:t xml:space="preserve"> </w:t>
      </w:r>
      <w:r w:rsidR="008D6980">
        <w:t>general</w:t>
      </w:r>
      <w:r w:rsidR="00573BA7">
        <w:t xml:space="preserve"> </w:t>
      </w:r>
      <w:r w:rsidR="008D6980">
        <w:t>protections,</w:t>
      </w:r>
      <w:r w:rsidR="00573BA7">
        <w:t xml:space="preserve"> </w:t>
      </w:r>
      <w:r w:rsidR="008D6980">
        <w:t>unfair</w:t>
      </w:r>
      <w:r w:rsidR="00573BA7">
        <w:t xml:space="preserve"> </w:t>
      </w:r>
      <w:r w:rsidR="008D6980">
        <w:t>dismissal</w:t>
      </w:r>
      <w:r w:rsidR="00573BA7">
        <w:t xml:space="preserve"> </w:t>
      </w:r>
      <w:r w:rsidR="008D6980">
        <w:t>or</w:t>
      </w:r>
      <w:r w:rsidR="00573BA7">
        <w:t xml:space="preserve"> </w:t>
      </w:r>
      <w:r w:rsidR="008D6980">
        <w:t>unlawful</w:t>
      </w:r>
      <w:r w:rsidR="00573BA7">
        <w:t xml:space="preserve"> </w:t>
      </w:r>
      <w:r w:rsidR="008D6980">
        <w:t>termination</w:t>
      </w:r>
      <w:r w:rsidR="00573BA7">
        <w:t xml:space="preserve"> </w:t>
      </w:r>
      <w:r w:rsidR="008D6980">
        <w:t>provisions</w:t>
      </w:r>
      <w:r w:rsidR="00573BA7">
        <w:t xml:space="preserve"> </w:t>
      </w:r>
      <w:r w:rsidR="008D6980">
        <w:t>of</w:t>
      </w:r>
      <w:r w:rsidR="00573BA7">
        <w:t xml:space="preserve"> </w:t>
      </w:r>
      <w:r w:rsidR="008D6980">
        <w:t>the</w:t>
      </w:r>
      <w:r w:rsidR="00573BA7">
        <w:t xml:space="preserve"> </w:t>
      </w:r>
      <w:r w:rsidR="008D6980">
        <w:t>Fair</w:t>
      </w:r>
      <w:r w:rsidR="00573BA7">
        <w:t xml:space="preserve"> </w:t>
      </w:r>
      <w:r w:rsidR="008D6980">
        <w:t>Work</w:t>
      </w:r>
      <w:r w:rsidR="00573BA7">
        <w:t xml:space="preserve"> </w:t>
      </w:r>
      <w:r w:rsidR="008D6980">
        <w:t>Act.</w:t>
      </w:r>
      <w:r w:rsidR="00573BA7">
        <w:t xml:space="preserve">  </w:t>
      </w:r>
    </w:p>
    <w:p w14:paraId="12D6CD06" w14:textId="589F87BF" w:rsidR="00763248" w:rsidRPr="003F4CE1" w:rsidRDefault="008D6980" w:rsidP="00662F4B">
      <w:pPr>
        <w:pStyle w:val="ListNumber"/>
      </w:pPr>
      <w:r w:rsidRPr="003F4CE1">
        <w:t>However,</w:t>
      </w:r>
      <w:r w:rsidR="00573BA7">
        <w:t xml:space="preserve"> </w:t>
      </w:r>
      <w:r w:rsidR="00C04F06" w:rsidRPr="003F4CE1">
        <w:t>applicants</w:t>
      </w:r>
      <w:r w:rsidR="00573BA7">
        <w:t xml:space="preserve"> </w:t>
      </w:r>
      <w:r w:rsidR="00C04F06" w:rsidRPr="003F4CE1">
        <w:t>must</w:t>
      </w:r>
      <w:r w:rsidR="00573BA7">
        <w:t xml:space="preserve"> </w:t>
      </w:r>
      <w:r w:rsidR="00C04F06" w:rsidRPr="003F4CE1">
        <w:t>bring</w:t>
      </w:r>
      <w:r w:rsidR="00573BA7">
        <w:t xml:space="preserve"> </w:t>
      </w:r>
      <w:r w:rsidR="00C04F06" w:rsidRPr="003F4CE1">
        <w:t>their</w:t>
      </w:r>
      <w:r w:rsidR="00573BA7">
        <w:t xml:space="preserve"> </w:t>
      </w:r>
      <w:r w:rsidR="00C04F06" w:rsidRPr="003F4CE1">
        <w:t>complaints</w:t>
      </w:r>
      <w:r w:rsidR="00573BA7">
        <w:t xml:space="preserve"> </w:t>
      </w:r>
      <w:r w:rsidR="00C04F06" w:rsidRPr="003F4CE1">
        <w:t>within</w:t>
      </w:r>
      <w:r w:rsidR="00573BA7">
        <w:t xml:space="preserve"> </w:t>
      </w:r>
      <w:r w:rsidR="00C04F06" w:rsidRPr="003F4CE1">
        <w:t>21</w:t>
      </w:r>
      <w:r w:rsidR="00573BA7">
        <w:t xml:space="preserve"> </w:t>
      </w:r>
      <w:r w:rsidR="008A59AA" w:rsidRPr="003F4CE1">
        <w:t>calendar</w:t>
      </w:r>
      <w:r w:rsidR="00573BA7">
        <w:t xml:space="preserve"> </w:t>
      </w:r>
      <w:r w:rsidR="00C04F06" w:rsidRPr="003F4CE1">
        <w:t>days</w:t>
      </w:r>
      <w:r w:rsidR="00573BA7">
        <w:t xml:space="preserve"> </w:t>
      </w:r>
      <w:r w:rsidR="008A59AA" w:rsidRPr="003F4CE1">
        <w:t>from</w:t>
      </w:r>
      <w:r w:rsidR="00573BA7">
        <w:t xml:space="preserve"> </w:t>
      </w:r>
      <w:r w:rsidR="008A59AA" w:rsidRPr="003F4CE1">
        <w:t>the</w:t>
      </w:r>
      <w:r w:rsidR="00573BA7">
        <w:t xml:space="preserve"> </w:t>
      </w:r>
      <w:r w:rsidR="008A59AA" w:rsidRPr="003F4CE1">
        <w:t>date</w:t>
      </w:r>
      <w:r w:rsidR="00573BA7">
        <w:t xml:space="preserve"> </w:t>
      </w:r>
      <w:r w:rsidR="008E435D" w:rsidRPr="003F4CE1">
        <w:t>that</w:t>
      </w:r>
      <w:r w:rsidR="00573BA7">
        <w:t xml:space="preserve"> </w:t>
      </w:r>
      <w:r w:rsidR="008E435D" w:rsidRPr="003F4CE1">
        <w:t>the</w:t>
      </w:r>
      <w:r w:rsidR="00573BA7">
        <w:t xml:space="preserve"> </w:t>
      </w:r>
      <w:r w:rsidR="008E435D" w:rsidRPr="003F4CE1">
        <w:t>dismissal</w:t>
      </w:r>
      <w:r w:rsidR="00573BA7">
        <w:t xml:space="preserve"> </w:t>
      </w:r>
      <w:r w:rsidR="008E435D" w:rsidRPr="003F4CE1">
        <w:t>or</w:t>
      </w:r>
      <w:r w:rsidR="00573BA7">
        <w:t xml:space="preserve"> </w:t>
      </w:r>
      <w:r w:rsidR="001547DC" w:rsidRPr="003F4CE1">
        <w:t>termination</w:t>
      </w:r>
      <w:r w:rsidR="00573BA7">
        <w:t xml:space="preserve"> </w:t>
      </w:r>
      <w:r w:rsidR="008E435D" w:rsidRPr="003F4CE1">
        <w:t>takes</w:t>
      </w:r>
      <w:r w:rsidR="00573BA7">
        <w:t xml:space="preserve"> </w:t>
      </w:r>
      <w:r w:rsidR="008E435D" w:rsidRPr="003F4CE1">
        <w:t>effect</w:t>
      </w:r>
      <w:r w:rsidR="008A59AA" w:rsidRPr="003F4CE1">
        <w:t>.</w:t>
      </w:r>
      <w:r w:rsidR="007D5031" w:rsidRPr="003F4CE1">
        <w:rPr>
          <w:rStyle w:val="EndnoteReference"/>
          <w:color w:val="000000" w:themeColor="text1"/>
        </w:rPr>
        <w:endnoteReference w:id="187"/>
      </w:r>
      <w:r w:rsidR="00573BA7">
        <w:t xml:space="preserve"> </w:t>
      </w:r>
    </w:p>
    <w:p w14:paraId="089F4CFD" w14:textId="7A8E9EF3" w:rsidR="00F52E8C" w:rsidRPr="003F4CE1" w:rsidRDefault="6FF8241C" w:rsidP="00662F4B">
      <w:pPr>
        <w:pStyle w:val="ListNumber"/>
      </w:pPr>
      <w:r w:rsidRPr="003F4CE1">
        <w:t>In</w:t>
      </w:r>
      <w:r w:rsidR="00573BA7">
        <w:t xml:space="preserve"> </w:t>
      </w:r>
      <w:r w:rsidR="00245F33">
        <w:t>Willing to Work</w:t>
      </w:r>
      <w:r w:rsidR="005065A2">
        <w:t>, the Commission found</w:t>
      </w:r>
      <w:r w:rsidR="005065A2" w:rsidRPr="07069484">
        <w:rPr>
          <w:i/>
          <w:iCs/>
        </w:rPr>
        <w:t xml:space="preserve"> </w:t>
      </w:r>
      <w:r w:rsidR="008274A5">
        <w:t>this</w:t>
      </w:r>
      <w:r w:rsidR="00573BA7">
        <w:t xml:space="preserve"> </w:t>
      </w:r>
      <w:r w:rsidR="008274A5">
        <w:t>time</w:t>
      </w:r>
      <w:r w:rsidR="00573BA7">
        <w:t xml:space="preserve"> </w:t>
      </w:r>
      <w:r w:rsidR="008274A5">
        <w:t>limit</w:t>
      </w:r>
      <w:r w:rsidR="00573BA7">
        <w:t xml:space="preserve"> </w:t>
      </w:r>
      <w:r w:rsidRPr="003F4CE1">
        <w:t>can</w:t>
      </w:r>
      <w:r w:rsidR="00573BA7">
        <w:t xml:space="preserve"> </w:t>
      </w:r>
      <w:r w:rsidRPr="003F4CE1">
        <w:t>be</w:t>
      </w:r>
      <w:r w:rsidR="00573BA7">
        <w:t xml:space="preserve"> </w:t>
      </w:r>
      <w:r w:rsidRPr="003F4CE1">
        <w:t>too</w:t>
      </w:r>
      <w:r w:rsidR="00573BA7">
        <w:t xml:space="preserve"> </w:t>
      </w:r>
      <w:r w:rsidRPr="003F4CE1">
        <w:t>short</w:t>
      </w:r>
      <w:r w:rsidR="00573BA7">
        <w:t xml:space="preserve"> </w:t>
      </w:r>
      <w:r w:rsidRPr="003F4CE1">
        <w:t>for</w:t>
      </w:r>
      <w:r w:rsidR="00573BA7">
        <w:t xml:space="preserve"> </w:t>
      </w:r>
      <w:r w:rsidRPr="003F4CE1">
        <w:t>employees</w:t>
      </w:r>
      <w:r w:rsidR="00573BA7">
        <w:t xml:space="preserve"> </w:t>
      </w:r>
      <w:r w:rsidRPr="003F4CE1">
        <w:t>with</w:t>
      </w:r>
      <w:r w:rsidR="00573BA7">
        <w:t xml:space="preserve"> </w:t>
      </w:r>
      <w:r w:rsidRPr="003F4CE1">
        <w:t>disability</w:t>
      </w:r>
      <w:r w:rsidR="00573BA7">
        <w:t xml:space="preserve"> </w:t>
      </w:r>
      <w:r w:rsidRPr="003F4CE1">
        <w:t>who</w:t>
      </w:r>
      <w:r w:rsidR="00573BA7">
        <w:t xml:space="preserve"> </w:t>
      </w:r>
      <w:r w:rsidRPr="003F4CE1">
        <w:t>have</w:t>
      </w:r>
      <w:r w:rsidR="00573BA7">
        <w:t xml:space="preserve"> </w:t>
      </w:r>
      <w:r w:rsidRPr="003F4CE1">
        <w:t>experienced</w:t>
      </w:r>
      <w:r w:rsidR="00573BA7">
        <w:t xml:space="preserve"> </w:t>
      </w:r>
      <w:r w:rsidRPr="003F4CE1">
        <w:t>discrimination</w:t>
      </w:r>
      <w:r w:rsidR="00882EF9">
        <w:t>,</w:t>
      </w:r>
      <w:r w:rsidR="00BB4E47" w:rsidRPr="003F4CE1">
        <w:rPr>
          <w:rStyle w:val="EndnoteReference"/>
        </w:rPr>
        <w:endnoteReference w:id="188"/>
      </w:r>
      <w:r w:rsidR="00573BA7">
        <w:t xml:space="preserve"> </w:t>
      </w:r>
      <w:r w:rsidR="00882EF9">
        <w:t>and may</w:t>
      </w:r>
      <w:r w:rsidR="00573BA7">
        <w:t xml:space="preserve"> </w:t>
      </w:r>
      <w:r w:rsidR="00051FD3" w:rsidRPr="003F4CE1">
        <w:t>prevent</w:t>
      </w:r>
      <w:r w:rsidR="00573BA7">
        <w:t xml:space="preserve"> </w:t>
      </w:r>
      <w:r w:rsidR="00051FD3" w:rsidRPr="003F4CE1">
        <w:t>some</w:t>
      </w:r>
      <w:r w:rsidR="00573BA7">
        <w:t xml:space="preserve"> </w:t>
      </w:r>
      <w:r w:rsidR="00051FD3" w:rsidRPr="003F4CE1">
        <w:t>people</w:t>
      </w:r>
      <w:r w:rsidR="00573BA7">
        <w:t xml:space="preserve"> </w:t>
      </w:r>
      <w:r w:rsidR="00051FD3" w:rsidRPr="003F4CE1">
        <w:t>with</w:t>
      </w:r>
      <w:r w:rsidR="00573BA7">
        <w:t xml:space="preserve"> </w:t>
      </w:r>
      <w:r w:rsidR="00051FD3" w:rsidRPr="003F4CE1">
        <w:t>disability</w:t>
      </w:r>
      <w:r w:rsidR="00573BA7">
        <w:t xml:space="preserve"> </w:t>
      </w:r>
      <w:r w:rsidR="007F291A" w:rsidRPr="003F4CE1">
        <w:t>from</w:t>
      </w:r>
      <w:r w:rsidR="00573BA7">
        <w:t xml:space="preserve"> </w:t>
      </w:r>
      <w:r w:rsidR="007F291A" w:rsidRPr="003F4CE1">
        <w:t>accessing</w:t>
      </w:r>
      <w:r w:rsidR="00573BA7">
        <w:t xml:space="preserve"> </w:t>
      </w:r>
      <w:r w:rsidR="007F291A" w:rsidRPr="003F4CE1">
        <w:t>an</w:t>
      </w:r>
      <w:r w:rsidR="00573BA7">
        <w:t xml:space="preserve"> </w:t>
      </w:r>
      <w:r w:rsidR="007F291A" w:rsidRPr="003F4CE1">
        <w:t>effective</w:t>
      </w:r>
      <w:r w:rsidR="00573BA7">
        <w:t xml:space="preserve"> </w:t>
      </w:r>
      <w:r w:rsidR="007F291A" w:rsidRPr="003F4CE1">
        <w:t>remedy</w:t>
      </w:r>
      <w:r w:rsidR="00573BA7">
        <w:t xml:space="preserve"> </w:t>
      </w:r>
      <w:r w:rsidR="007F291A" w:rsidRPr="003F4CE1">
        <w:t>under</w:t>
      </w:r>
      <w:r w:rsidR="00573BA7">
        <w:t xml:space="preserve"> </w:t>
      </w:r>
      <w:r w:rsidR="007F291A" w:rsidRPr="003F4CE1">
        <w:t>the</w:t>
      </w:r>
      <w:r w:rsidR="00573BA7">
        <w:t xml:space="preserve"> </w:t>
      </w:r>
      <w:r w:rsidR="007F291A" w:rsidRPr="003F4CE1">
        <w:t>Fair</w:t>
      </w:r>
      <w:r w:rsidR="00573BA7">
        <w:t xml:space="preserve"> </w:t>
      </w:r>
      <w:r w:rsidR="007F291A" w:rsidRPr="003F4CE1">
        <w:t>Work</w:t>
      </w:r>
      <w:r w:rsidR="00573BA7">
        <w:t xml:space="preserve"> </w:t>
      </w:r>
      <w:r w:rsidR="007F291A" w:rsidRPr="003F4CE1">
        <w:t>Act</w:t>
      </w:r>
      <w:r w:rsidR="00F52E8C" w:rsidRPr="003F4CE1">
        <w:t>.</w:t>
      </w:r>
      <w:r w:rsidR="00F52E8C" w:rsidRPr="003F4CE1">
        <w:rPr>
          <w:rStyle w:val="EndnoteReference"/>
        </w:rPr>
        <w:endnoteReference w:id="189"/>
      </w:r>
      <w:r w:rsidR="00573BA7">
        <w:t xml:space="preserve">  </w:t>
      </w:r>
      <w:r w:rsidR="00BA513E">
        <w:t xml:space="preserve">The Commission is concerned that this may contravene Australia’s obligations under </w:t>
      </w:r>
      <w:r w:rsidR="00832BA2">
        <w:t>Article</w:t>
      </w:r>
      <w:r w:rsidR="00882EF9">
        <w:t>s 5(1) and</w:t>
      </w:r>
      <w:r w:rsidR="00832BA2">
        <w:t xml:space="preserve"> 13 of the CRPD, </w:t>
      </w:r>
      <w:r w:rsidR="00044911">
        <w:t xml:space="preserve">by limiting the ability of people with disability to effectively </w:t>
      </w:r>
      <w:r w:rsidR="00424F61">
        <w:t xml:space="preserve">access justice and </w:t>
      </w:r>
      <w:r w:rsidR="00044911">
        <w:t>enjoy their rights to equality before th</w:t>
      </w:r>
      <w:r w:rsidR="00044911" w:rsidRPr="00044911">
        <w:t>e law.</w:t>
      </w:r>
      <w:r w:rsidR="00044911" w:rsidRPr="00044911">
        <w:rPr>
          <w:rStyle w:val="EndnoteReference"/>
        </w:rPr>
        <w:endnoteReference w:id="190"/>
      </w:r>
    </w:p>
    <w:p w14:paraId="7D531C92" w14:textId="58C3297F" w:rsidR="00BB4E47" w:rsidRPr="003F4CE1" w:rsidRDefault="0021614E" w:rsidP="00662F4B">
      <w:pPr>
        <w:pStyle w:val="ListNumber"/>
      </w:pPr>
      <w:r>
        <w:t>T</w:t>
      </w:r>
      <w:r w:rsidR="00EC47C5" w:rsidRPr="003F4CE1">
        <w:t>he</w:t>
      </w:r>
      <w:r w:rsidR="00573BA7">
        <w:t xml:space="preserve"> </w:t>
      </w:r>
      <w:r w:rsidR="00EC47C5" w:rsidRPr="003F4CE1">
        <w:t>Fair</w:t>
      </w:r>
      <w:r w:rsidR="00573BA7">
        <w:t xml:space="preserve"> </w:t>
      </w:r>
      <w:r w:rsidR="00EC47C5" w:rsidRPr="003F4CE1">
        <w:t>Work</w:t>
      </w:r>
      <w:r w:rsidR="00573BA7">
        <w:t xml:space="preserve"> </w:t>
      </w:r>
      <w:r w:rsidR="00EC47C5" w:rsidRPr="003F4CE1">
        <w:t>Act</w:t>
      </w:r>
      <w:r w:rsidR="00573BA7">
        <w:t xml:space="preserve"> </w:t>
      </w:r>
      <w:r w:rsidR="00EC47C5" w:rsidRPr="003F4CE1">
        <w:t>empowers</w:t>
      </w:r>
      <w:r w:rsidR="00573BA7">
        <w:t xml:space="preserve"> </w:t>
      </w:r>
      <w:r w:rsidR="00EC47C5" w:rsidRPr="003F4CE1">
        <w:t>the</w:t>
      </w:r>
      <w:r w:rsidR="00573BA7">
        <w:t xml:space="preserve"> </w:t>
      </w:r>
      <w:r w:rsidR="00FA32A4" w:rsidRPr="003F4CE1">
        <w:t>Fair</w:t>
      </w:r>
      <w:r w:rsidR="00573BA7">
        <w:t xml:space="preserve"> </w:t>
      </w:r>
      <w:r w:rsidR="00FA32A4" w:rsidRPr="003F4CE1">
        <w:t>Work</w:t>
      </w:r>
      <w:r w:rsidR="00573BA7">
        <w:t xml:space="preserve"> </w:t>
      </w:r>
      <w:r w:rsidR="00FA32A4" w:rsidRPr="003F4CE1">
        <w:t>Commission</w:t>
      </w:r>
      <w:r w:rsidR="00573BA7">
        <w:t xml:space="preserve"> </w:t>
      </w:r>
      <w:r w:rsidR="00FA32A4" w:rsidRPr="003F4CE1">
        <w:t>to</w:t>
      </w:r>
      <w:r w:rsidR="00573BA7">
        <w:t xml:space="preserve"> </w:t>
      </w:r>
      <w:r w:rsidR="009F69E3" w:rsidRPr="003F4CE1">
        <w:t>extend</w:t>
      </w:r>
      <w:r w:rsidR="00573BA7">
        <w:t xml:space="preserve"> </w:t>
      </w:r>
      <w:r w:rsidR="009F69E3" w:rsidRPr="003F4CE1">
        <w:t>the</w:t>
      </w:r>
      <w:r w:rsidR="00573BA7">
        <w:t xml:space="preserve"> </w:t>
      </w:r>
      <w:r w:rsidR="009F69E3" w:rsidRPr="003F4CE1">
        <w:t>21</w:t>
      </w:r>
      <w:r w:rsidR="00573BA7">
        <w:t xml:space="preserve"> </w:t>
      </w:r>
      <w:r w:rsidR="009F69E3" w:rsidRPr="003F4CE1">
        <w:t>day</w:t>
      </w:r>
      <w:r w:rsidR="00573BA7">
        <w:t xml:space="preserve"> </w:t>
      </w:r>
      <w:r w:rsidR="009F69E3" w:rsidRPr="003F4CE1">
        <w:t>time</w:t>
      </w:r>
      <w:r w:rsidR="00573BA7">
        <w:t xml:space="preserve"> </w:t>
      </w:r>
      <w:r w:rsidR="009F69E3" w:rsidRPr="003F4CE1">
        <w:t>limit</w:t>
      </w:r>
      <w:r w:rsidR="00573BA7">
        <w:t xml:space="preserve"> </w:t>
      </w:r>
      <w:r w:rsidR="00295D8E" w:rsidRPr="003F4CE1">
        <w:t>if</w:t>
      </w:r>
      <w:r w:rsidR="00573BA7">
        <w:t xml:space="preserve"> </w:t>
      </w:r>
      <w:r w:rsidR="00295D8E" w:rsidRPr="003F4CE1">
        <w:t>it</w:t>
      </w:r>
      <w:r w:rsidR="00573BA7">
        <w:t xml:space="preserve"> </w:t>
      </w:r>
      <w:r w:rsidR="00295D8E" w:rsidRPr="003F4CE1">
        <w:t>is</w:t>
      </w:r>
      <w:r w:rsidR="00573BA7">
        <w:t xml:space="preserve"> </w:t>
      </w:r>
      <w:r w:rsidR="00295D8E" w:rsidRPr="003F4CE1">
        <w:t>satisfied</w:t>
      </w:r>
      <w:r w:rsidR="00573BA7">
        <w:t xml:space="preserve"> </w:t>
      </w:r>
      <w:r w:rsidR="00295D8E" w:rsidRPr="003F4CE1">
        <w:t>that</w:t>
      </w:r>
      <w:r w:rsidR="00573BA7">
        <w:t xml:space="preserve"> </w:t>
      </w:r>
      <w:r w:rsidR="00295D8E" w:rsidRPr="003F4CE1">
        <w:t>there</w:t>
      </w:r>
      <w:r w:rsidR="00573BA7">
        <w:t xml:space="preserve"> </w:t>
      </w:r>
      <w:r w:rsidR="00295D8E" w:rsidRPr="003F4CE1">
        <w:t>are</w:t>
      </w:r>
      <w:r w:rsidR="00573BA7">
        <w:t xml:space="preserve"> </w:t>
      </w:r>
      <w:r w:rsidR="00295D8E" w:rsidRPr="003F4CE1">
        <w:t>exceptional</w:t>
      </w:r>
      <w:r w:rsidR="00573BA7">
        <w:t xml:space="preserve"> </w:t>
      </w:r>
      <w:r w:rsidR="00295D8E" w:rsidRPr="003F4CE1">
        <w:t>circumstances.</w:t>
      </w:r>
      <w:r w:rsidR="0021082D" w:rsidRPr="003F4CE1">
        <w:rPr>
          <w:rStyle w:val="EndnoteReference"/>
          <w:color w:val="000000" w:themeColor="text1"/>
        </w:rPr>
        <w:endnoteReference w:id="191"/>
      </w:r>
      <w:r w:rsidR="00573BA7">
        <w:t xml:space="preserve">  </w:t>
      </w:r>
      <w:r w:rsidR="00CB78E5" w:rsidRPr="003F4CE1">
        <w:lastRenderedPageBreak/>
        <w:t>At</w:t>
      </w:r>
      <w:r w:rsidR="00573BA7">
        <w:t xml:space="preserve"> </w:t>
      </w:r>
      <w:r w:rsidR="00CB78E5" w:rsidRPr="003F4CE1">
        <w:t>times,</w:t>
      </w:r>
      <w:r w:rsidR="00573BA7">
        <w:t xml:space="preserve"> </w:t>
      </w:r>
      <w:r w:rsidR="00CB78E5" w:rsidRPr="003F4CE1">
        <w:t>the</w:t>
      </w:r>
      <w:r w:rsidR="00573BA7">
        <w:t xml:space="preserve"> </w:t>
      </w:r>
      <w:r w:rsidR="00CB78E5" w:rsidRPr="003F4CE1">
        <w:t>Fair</w:t>
      </w:r>
      <w:r w:rsidR="00573BA7">
        <w:t xml:space="preserve"> </w:t>
      </w:r>
      <w:r w:rsidR="00CB78E5" w:rsidRPr="003F4CE1">
        <w:t>Work</w:t>
      </w:r>
      <w:r w:rsidR="00573BA7">
        <w:t xml:space="preserve"> </w:t>
      </w:r>
      <w:r w:rsidR="00CB78E5" w:rsidRPr="003F4CE1">
        <w:t>Commission</w:t>
      </w:r>
      <w:r w:rsidR="00573BA7">
        <w:t xml:space="preserve"> </w:t>
      </w:r>
      <w:r w:rsidR="00CB78E5" w:rsidRPr="003F4CE1">
        <w:t>has</w:t>
      </w:r>
      <w:r w:rsidR="00573BA7">
        <w:t xml:space="preserve"> </w:t>
      </w:r>
      <w:r w:rsidR="00662478" w:rsidRPr="003F4CE1">
        <w:t>found</w:t>
      </w:r>
      <w:r w:rsidR="00573BA7">
        <w:t xml:space="preserve"> </w:t>
      </w:r>
      <w:r w:rsidR="00662478" w:rsidRPr="003F4CE1">
        <w:t>that</w:t>
      </w:r>
      <w:r w:rsidR="00573BA7">
        <w:t xml:space="preserve"> </w:t>
      </w:r>
      <w:r w:rsidR="00662478" w:rsidRPr="003F4CE1">
        <w:t>an</w:t>
      </w:r>
      <w:r w:rsidR="00573BA7">
        <w:t xml:space="preserve"> </w:t>
      </w:r>
      <w:r w:rsidR="00662478" w:rsidRPr="003F4CE1">
        <w:t>applicant’s</w:t>
      </w:r>
      <w:r w:rsidR="00573BA7">
        <w:t xml:space="preserve"> </w:t>
      </w:r>
      <w:r w:rsidR="00662478" w:rsidRPr="003F4CE1">
        <w:t>disability</w:t>
      </w:r>
      <w:r w:rsidR="00573BA7">
        <w:t xml:space="preserve"> </w:t>
      </w:r>
      <w:r w:rsidR="00662478" w:rsidRPr="003F4CE1">
        <w:t>gives</w:t>
      </w:r>
      <w:r w:rsidR="00573BA7">
        <w:t xml:space="preserve"> </w:t>
      </w:r>
      <w:r w:rsidR="00662478" w:rsidRPr="003F4CE1">
        <w:t>rise</w:t>
      </w:r>
      <w:r w:rsidR="00573BA7">
        <w:t xml:space="preserve"> </w:t>
      </w:r>
      <w:r w:rsidR="00662478" w:rsidRPr="003F4CE1">
        <w:t>to</w:t>
      </w:r>
      <w:r w:rsidR="00573BA7">
        <w:t xml:space="preserve"> </w:t>
      </w:r>
      <w:r w:rsidR="00691CD6" w:rsidRPr="003F4CE1">
        <w:t>exceptional</w:t>
      </w:r>
      <w:r w:rsidR="00573BA7">
        <w:t xml:space="preserve"> </w:t>
      </w:r>
      <w:r w:rsidR="00691CD6" w:rsidRPr="003F4CE1">
        <w:t>circumstances</w:t>
      </w:r>
      <w:r w:rsidR="00573BA7">
        <w:t xml:space="preserve"> </w:t>
      </w:r>
      <w:r w:rsidR="00691CD6" w:rsidRPr="003F4CE1">
        <w:t>justifying</w:t>
      </w:r>
      <w:r w:rsidR="00573BA7">
        <w:t xml:space="preserve"> </w:t>
      </w:r>
      <w:r w:rsidR="00691CD6" w:rsidRPr="003F4CE1">
        <w:t>an</w:t>
      </w:r>
      <w:r w:rsidR="00573BA7">
        <w:t xml:space="preserve"> </w:t>
      </w:r>
      <w:r w:rsidR="00691CD6" w:rsidRPr="003F4CE1">
        <w:t>extension.</w:t>
      </w:r>
      <w:r w:rsidR="00691CD6" w:rsidRPr="003F4CE1">
        <w:rPr>
          <w:rStyle w:val="EndnoteReference"/>
          <w:color w:val="000000" w:themeColor="text1"/>
        </w:rPr>
        <w:endnoteReference w:id="192"/>
      </w:r>
      <w:r w:rsidR="00573BA7">
        <w:t xml:space="preserve">  </w:t>
      </w:r>
      <w:r w:rsidR="00436B04" w:rsidRPr="003F4CE1">
        <w:t>However,</w:t>
      </w:r>
      <w:r w:rsidR="00573BA7">
        <w:t xml:space="preserve"> </w:t>
      </w:r>
      <w:r w:rsidR="0070157A" w:rsidRPr="003F4CE1">
        <w:t>the</w:t>
      </w:r>
      <w:r w:rsidR="00573BA7">
        <w:t xml:space="preserve"> </w:t>
      </w:r>
      <w:r w:rsidR="0070157A" w:rsidRPr="003F4CE1">
        <w:t>need</w:t>
      </w:r>
      <w:r w:rsidR="00573BA7">
        <w:t xml:space="preserve"> </w:t>
      </w:r>
      <w:r w:rsidR="0070157A" w:rsidRPr="003F4CE1">
        <w:t>to</w:t>
      </w:r>
      <w:r w:rsidR="00573BA7">
        <w:t xml:space="preserve"> </w:t>
      </w:r>
      <w:r w:rsidR="0070157A" w:rsidRPr="003F4CE1">
        <w:t>establish</w:t>
      </w:r>
      <w:r w:rsidR="00573BA7">
        <w:t xml:space="preserve"> </w:t>
      </w:r>
      <w:r w:rsidR="0070157A" w:rsidRPr="003F4CE1">
        <w:t>exceptional</w:t>
      </w:r>
      <w:r w:rsidR="00573BA7">
        <w:t xml:space="preserve"> </w:t>
      </w:r>
      <w:r w:rsidR="0070157A" w:rsidRPr="003F4CE1">
        <w:t>circumstances</w:t>
      </w:r>
      <w:r w:rsidR="00573BA7">
        <w:t xml:space="preserve"> </w:t>
      </w:r>
      <w:r w:rsidR="0070157A" w:rsidRPr="003F4CE1">
        <w:t>is</w:t>
      </w:r>
      <w:r w:rsidR="00573BA7">
        <w:t xml:space="preserve"> </w:t>
      </w:r>
      <w:r w:rsidR="0070157A" w:rsidRPr="003F4CE1">
        <w:t>itself</w:t>
      </w:r>
      <w:r w:rsidR="00573BA7">
        <w:t xml:space="preserve"> </w:t>
      </w:r>
      <w:r w:rsidR="0070157A" w:rsidRPr="003F4CE1">
        <w:t>onerous</w:t>
      </w:r>
      <w:r w:rsidR="00573BA7">
        <w:t xml:space="preserve"> </w:t>
      </w:r>
      <w:r>
        <w:t>for</w:t>
      </w:r>
      <w:r w:rsidR="00573BA7">
        <w:t xml:space="preserve"> </w:t>
      </w:r>
      <w:r>
        <w:t>applicants,</w:t>
      </w:r>
      <w:r w:rsidR="00573BA7">
        <w:t xml:space="preserve"> </w:t>
      </w:r>
      <w:r>
        <w:t>especially</w:t>
      </w:r>
      <w:r w:rsidR="00573BA7">
        <w:t xml:space="preserve"> </w:t>
      </w:r>
      <w:r>
        <w:t>when</w:t>
      </w:r>
      <w:r w:rsidR="00573BA7">
        <w:t xml:space="preserve"> </w:t>
      </w:r>
      <w:r>
        <w:t>unrepresented</w:t>
      </w:r>
      <w:r w:rsidR="00C559EF" w:rsidRPr="003F4CE1">
        <w:t>,</w:t>
      </w:r>
      <w:r w:rsidR="00573BA7">
        <w:t xml:space="preserve"> </w:t>
      </w:r>
      <w:r w:rsidR="00C559EF" w:rsidRPr="003F4CE1">
        <w:t>and</w:t>
      </w:r>
      <w:r w:rsidR="00573BA7">
        <w:t xml:space="preserve"> </w:t>
      </w:r>
      <w:r w:rsidR="000F4A27" w:rsidRPr="003F4CE1">
        <w:t>can</w:t>
      </w:r>
      <w:r w:rsidR="00573BA7">
        <w:t xml:space="preserve"> </w:t>
      </w:r>
      <w:r w:rsidR="000F4A27" w:rsidRPr="003F4CE1">
        <w:t>be</w:t>
      </w:r>
      <w:r w:rsidR="00573BA7">
        <w:t xml:space="preserve"> </w:t>
      </w:r>
      <w:r w:rsidR="000F4A27" w:rsidRPr="003F4CE1">
        <w:t>prohibitive</w:t>
      </w:r>
      <w:r w:rsidR="00573BA7">
        <w:t xml:space="preserve"> </w:t>
      </w:r>
      <w:r>
        <w:t>to</w:t>
      </w:r>
      <w:r w:rsidR="00573BA7">
        <w:t xml:space="preserve"> </w:t>
      </w:r>
      <w:r>
        <w:t>accessing</w:t>
      </w:r>
      <w:r w:rsidR="00573BA7">
        <w:t xml:space="preserve"> </w:t>
      </w:r>
      <w:r>
        <w:t>justice</w:t>
      </w:r>
      <w:r w:rsidR="000F4A27" w:rsidRPr="003F4CE1">
        <w:t>.</w:t>
      </w:r>
      <w:r w:rsidR="00492767" w:rsidRPr="003F4CE1">
        <w:rPr>
          <w:rStyle w:val="EndnoteReference"/>
          <w:color w:val="000000" w:themeColor="text1"/>
        </w:rPr>
        <w:endnoteReference w:id="193"/>
      </w:r>
    </w:p>
    <w:p w14:paraId="4964CA8E" w14:textId="77777777" w:rsidR="00D667AA" w:rsidRPr="00D667AA" w:rsidRDefault="00D667AA" w:rsidP="00D667AA">
      <w:pPr>
        <w:pStyle w:val="ListNumber"/>
        <w:rPr>
          <w:b/>
          <w:bCs/>
          <w:i/>
          <w:iCs/>
          <w:color w:val="000000" w:themeColor="text1"/>
        </w:rPr>
      </w:pPr>
      <w:bookmarkStart w:id="108" w:name="_Toc51834293"/>
      <w:r w:rsidRPr="00D667AA">
        <w:rPr>
          <w:b/>
          <w:bCs/>
          <w:i/>
          <w:iCs/>
        </w:rPr>
        <w:t>Recommendation 8: That a review of the 21 day time limit in the Fair Work Act in relation to making a general protections, unfair dismissal or unlawful termination claim is undertaken in order to assess whether it is meeting its objectives of promoting efficiency and effectiveness while also ensuring access to justice.</w:t>
      </w:r>
    </w:p>
    <w:p w14:paraId="6B66AAFD" w14:textId="4561E346" w:rsidR="002346A9" w:rsidRPr="00710E6A" w:rsidRDefault="003B5CCD">
      <w:pPr>
        <w:pStyle w:val="Heading3"/>
        <w:rPr>
          <w:b/>
          <w:bCs w:val="0"/>
        </w:rPr>
      </w:pPr>
      <w:r w:rsidRPr="00710E6A">
        <w:rPr>
          <w:b/>
          <w:bCs w:val="0"/>
        </w:rPr>
        <w:t>Limits</w:t>
      </w:r>
      <w:r w:rsidR="00573BA7" w:rsidRPr="00710E6A">
        <w:rPr>
          <w:b/>
          <w:bCs w:val="0"/>
        </w:rPr>
        <w:t xml:space="preserve"> </w:t>
      </w:r>
      <w:r w:rsidRPr="00710E6A">
        <w:rPr>
          <w:b/>
          <w:bCs w:val="0"/>
        </w:rPr>
        <w:t>on</w:t>
      </w:r>
      <w:r w:rsidR="00573BA7" w:rsidRPr="00710E6A">
        <w:rPr>
          <w:b/>
          <w:bCs w:val="0"/>
        </w:rPr>
        <w:t xml:space="preserve"> </w:t>
      </w:r>
      <w:r w:rsidRPr="00710E6A">
        <w:rPr>
          <w:b/>
          <w:bCs w:val="0"/>
        </w:rPr>
        <w:t>access</w:t>
      </w:r>
      <w:r w:rsidR="00573BA7" w:rsidRPr="00710E6A">
        <w:rPr>
          <w:b/>
          <w:bCs w:val="0"/>
        </w:rPr>
        <w:t xml:space="preserve"> </w:t>
      </w:r>
      <w:r w:rsidRPr="00710E6A">
        <w:rPr>
          <w:b/>
          <w:bCs w:val="0"/>
        </w:rPr>
        <w:t>to</w:t>
      </w:r>
      <w:r w:rsidR="00573BA7" w:rsidRPr="00710E6A">
        <w:rPr>
          <w:b/>
          <w:bCs w:val="0"/>
        </w:rPr>
        <w:t xml:space="preserve"> </w:t>
      </w:r>
      <w:r w:rsidRPr="00710E6A">
        <w:rPr>
          <w:b/>
          <w:bCs w:val="0"/>
        </w:rPr>
        <w:t>f</w:t>
      </w:r>
      <w:r w:rsidR="002346A9" w:rsidRPr="00710E6A">
        <w:rPr>
          <w:b/>
          <w:bCs w:val="0"/>
        </w:rPr>
        <w:t>lexible</w:t>
      </w:r>
      <w:r w:rsidR="00573BA7" w:rsidRPr="00710E6A">
        <w:rPr>
          <w:b/>
          <w:bCs w:val="0"/>
        </w:rPr>
        <w:t xml:space="preserve"> </w:t>
      </w:r>
      <w:r w:rsidR="002346A9" w:rsidRPr="00710E6A">
        <w:rPr>
          <w:b/>
          <w:bCs w:val="0"/>
        </w:rPr>
        <w:t>working</w:t>
      </w:r>
      <w:r w:rsidR="00573BA7" w:rsidRPr="00710E6A">
        <w:rPr>
          <w:b/>
          <w:bCs w:val="0"/>
        </w:rPr>
        <w:t xml:space="preserve"> </w:t>
      </w:r>
      <w:r w:rsidR="002346A9" w:rsidRPr="00710E6A">
        <w:rPr>
          <w:b/>
          <w:bCs w:val="0"/>
        </w:rPr>
        <w:t>arrangements</w:t>
      </w:r>
      <w:bookmarkEnd w:id="108"/>
    </w:p>
    <w:p w14:paraId="4E00EBF2" w14:textId="521BDE47" w:rsidR="00D65E71" w:rsidRPr="003F4CE1" w:rsidRDefault="00DF7F20" w:rsidP="00662F4B">
      <w:pPr>
        <w:pStyle w:val="ListNumber"/>
      </w:pPr>
      <w:r w:rsidRPr="003F4CE1">
        <w:t>Under</w:t>
      </w:r>
      <w:r w:rsidR="00573BA7">
        <w:t xml:space="preserve"> </w:t>
      </w:r>
      <w:r w:rsidRPr="003F4CE1">
        <w:t>t</w:t>
      </w:r>
      <w:r w:rsidR="00002404" w:rsidRPr="003F4CE1">
        <w:t>he</w:t>
      </w:r>
      <w:r w:rsidR="00573BA7">
        <w:t xml:space="preserve"> </w:t>
      </w:r>
      <w:r w:rsidR="00002404" w:rsidRPr="003F4CE1">
        <w:t>National</w:t>
      </w:r>
      <w:r w:rsidR="00573BA7">
        <w:t xml:space="preserve"> </w:t>
      </w:r>
      <w:r w:rsidR="00002404" w:rsidRPr="003F4CE1">
        <w:t>Employment</w:t>
      </w:r>
      <w:r w:rsidR="00573BA7">
        <w:t xml:space="preserve"> </w:t>
      </w:r>
      <w:r w:rsidR="00002404" w:rsidRPr="003F4CE1">
        <w:t>Standards</w:t>
      </w:r>
      <w:r w:rsidR="00573BA7">
        <w:t xml:space="preserve"> </w:t>
      </w:r>
      <w:r w:rsidR="00002404" w:rsidRPr="003F4CE1">
        <w:t>contained</w:t>
      </w:r>
      <w:r w:rsidR="00573BA7">
        <w:t xml:space="preserve"> </w:t>
      </w:r>
      <w:r w:rsidR="00002404" w:rsidRPr="003F4CE1">
        <w:t>in</w:t>
      </w:r>
      <w:r w:rsidR="00573BA7">
        <w:t xml:space="preserve"> </w:t>
      </w:r>
      <w:r w:rsidR="00002404" w:rsidRPr="003F4CE1">
        <w:t>the</w:t>
      </w:r>
      <w:r w:rsidR="00573BA7">
        <w:t xml:space="preserve"> </w:t>
      </w:r>
      <w:r w:rsidR="00002404" w:rsidRPr="003F4CE1">
        <w:t>Fair</w:t>
      </w:r>
      <w:r w:rsidR="00573BA7">
        <w:t xml:space="preserve"> </w:t>
      </w:r>
      <w:r w:rsidR="00002404" w:rsidRPr="003F4CE1">
        <w:t>Work</w:t>
      </w:r>
      <w:r w:rsidR="00573BA7">
        <w:t xml:space="preserve"> </w:t>
      </w:r>
      <w:r w:rsidR="00002404" w:rsidRPr="003F4CE1">
        <w:t>Act</w:t>
      </w:r>
      <w:r w:rsidRPr="003F4CE1">
        <w:t>,</w:t>
      </w:r>
      <w:r w:rsidR="00573BA7">
        <w:t xml:space="preserve"> </w:t>
      </w:r>
      <w:r w:rsidR="00C44DFF" w:rsidRPr="003F4CE1">
        <w:t>employees</w:t>
      </w:r>
      <w:r w:rsidR="00573BA7">
        <w:t xml:space="preserve"> </w:t>
      </w:r>
      <w:r w:rsidR="002A6121" w:rsidRPr="003F4CE1">
        <w:t>with</w:t>
      </w:r>
      <w:r w:rsidR="00573BA7">
        <w:t xml:space="preserve"> </w:t>
      </w:r>
      <w:r w:rsidR="002A6121" w:rsidRPr="003F4CE1">
        <w:t>disability</w:t>
      </w:r>
      <w:r w:rsidR="00573BA7">
        <w:t xml:space="preserve"> </w:t>
      </w:r>
      <w:r w:rsidR="00A6371E" w:rsidRPr="003F4CE1">
        <w:t>have</w:t>
      </w:r>
      <w:r w:rsidR="00573BA7">
        <w:t xml:space="preserve"> </w:t>
      </w:r>
      <w:r w:rsidR="00C44DFF" w:rsidRPr="003F4CE1">
        <w:t>a</w:t>
      </w:r>
      <w:r w:rsidR="00573BA7">
        <w:t xml:space="preserve"> </w:t>
      </w:r>
      <w:r w:rsidR="00C44DFF" w:rsidRPr="003F4CE1">
        <w:t>right</w:t>
      </w:r>
      <w:r w:rsidR="00573BA7">
        <w:t xml:space="preserve"> </w:t>
      </w:r>
      <w:r w:rsidR="00C44DFF" w:rsidRPr="003F4CE1">
        <w:t>to</w:t>
      </w:r>
      <w:r w:rsidR="00573BA7">
        <w:t xml:space="preserve"> </w:t>
      </w:r>
      <w:r w:rsidR="005356DE" w:rsidRPr="003F4CE1">
        <w:t>submit</w:t>
      </w:r>
      <w:r w:rsidR="00573BA7">
        <w:t xml:space="preserve"> </w:t>
      </w:r>
      <w:r w:rsidR="005356DE" w:rsidRPr="003F4CE1">
        <w:t>a</w:t>
      </w:r>
      <w:r w:rsidR="00573BA7">
        <w:t xml:space="preserve"> </w:t>
      </w:r>
      <w:r w:rsidR="00C44DFF" w:rsidRPr="003F4CE1">
        <w:t>request</w:t>
      </w:r>
      <w:r w:rsidR="00573BA7">
        <w:t xml:space="preserve"> </w:t>
      </w:r>
      <w:r w:rsidR="005356DE" w:rsidRPr="003F4CE1">
        <w:t>to</w:t>
      </w:r>
      <w:r w:rsidR="00573BA7">
        <w:t xml:space="preserve"> </w:t>
      </w:r>
      <w:r w:rsidR="005356DE" w:rsidRPr="003F4CE1">
        <w:t>their</w:t>
      </w:r>
      <w:r w:rsidR="00573BA7">
        <w:t xml:space="preserve"> </w:t>
      </w:r>
      <w:r w:rsidR="005356DE" w:rsidRPr="003F4CE1">
        <w:t>employer</w:t>
      </w:r>
      <w:r w:rsidR="00573BA7">
        <w:t xml:space="preserve"> </w:t>
      </w:r>
      <w:r w:rsidR="00C44DFF" w:rsidRPr="003F4CE1">
        <w:t>for</w:t>
      </w:r>
      <w:r w:rsidR="00573BA7">
        <w:t xml:space="preserve"> </w:t>
      </w:r>
      <w:r w:rsidR="00F651D6" w:rsidRPr="003F4CE1">
        <w:t>a</w:t>
      </w:r>
      <w:r w:rsidR="00573BA7">
        <w:t xml:space="preserve"> </w:t>
      </w:r>
      <w:r w:rsidR="00F651D6" w:rsidRPr="003F4CE1">
        <w:t>change</w:t>
      </w:r>
      <w:r w:rsidR="00573BA7">
        <w:t xml:space="preserve"> </w:t>
      </w:r>
      <w:r w:rsidR="00F651D6" w:rsidRPr="003F4CE1">
        <w:t>in</w:t>
      </w:r>
      <w:r w:rsidR="00573BA7">
        <w:t xml:space="preserve"> </w:t>
      </w:r>
      <w:r w:rsidR="002A6121" w:rsidRPr="003F4CE1">
        <w:t>their</w:t>
      </w:r>
      <w:r w:rsidR="00573BA7">
        <w:t xml:space="preserve"> </w:t>
      </w:r>
      <w:r w:rsidR="00F651D6" w:rsidRPr="003F4CE1">
        <w:t>working</w:t>
      </w:r>
      <w:r w:rsidR="00573BA7">
        <w:t xml:space="preserve"> </w:t>
      </w:r>
      <w:r w:rsidR="00F651D6" w:rsidRPr="003F4CE1">
        <w:t>arrangements</w:t>
      </w:r>
      <w:r w:rsidR="002A6121" w:rsidRPr="003F4CE1">
        <w:t>.</w:t>
      </w:r>
      <w:r w:rsidR="002A6121" w:rsidRPr="003F4CE1">
        <w:rPr>
          <w:rStyle w:val="EndnoteReference"/>
          <w:color w:val="000000" w:themeColor="text1"/>
        </w:rPr>
        <w:endnoteReference w:id="194"/>
      </w:r>
      <w:r w:rsidR="00573BA7">
        <w:t xml:space="preserve">  </w:t>
      </w:r>
      <w:r w:rsidR="00E30F8B" w:rsidRPr="003F4CE1">
        <w:t>Flexible</w:t>
      </w:r>
      <w:r w:rsidR="00573BA7">
        <w:t xml:space="preserve"> </w:t>
      </w:r>
      <w:r w:rsidR="00E30F8B" w:rsidRPr="003F4CE1">
        <w:t>working</w:t>
      </w:r>
      <w:r w:rsidR="00573BA7">
        <w:t xml:space="preserve"> </w:t>
      </w:r>
      <w:r w:rsidR="00E30F8B" w:rsidRPr="003F4CE1">
        <w:t>arrangements</w:t>
      </w:r>
      <w:r w:rsidR="00573BA7">
        <w:t xml:space="preserve"> </w:t>
      </w:r>
      <w:r w:rsidR="00E30F8B" w:rsidRPr="003F4CE1">
        <w:t>of</w:t>
      </w:r>
      <w:r w:rsidR="00573BA7">
        <w:t xml:space="preserve"> </w:t>
      </w:r>
      <w:r w:rsidR="00E30F8B" w:rsidRPr="003F4CE1">
        <w:t>this</w:t>
      </w:r>
      <w:r w:rsidR="00573BA7">
        <w:t xml:space="preserve"> </w:t>
      </w:r>
      <w:r w:rsidR="00E30F8B" w:rsidRPr="003F4CE1">
        <w:t>sort</w:t>
      </w:r>
      <w:r w:rsidR="00573BA7">
        <w:t xml:space="preserve"> </w:t>
      </w:r>
      <w:r w:rsidR="00E30F8B" w:rsidRPr="003F4CE1">
        <w:t>may</w:t>
      </w:r>
      <w:r w:rsidR="00573BA7">
        <w:t xml:space="preserve"> </w:t>
      </w:r>
      <w:r w:rsidR="00E30F8B" w:rsidRPr="003F4CE1">
        <w:t>include</w:t>
      </w:r>
      <w:r w:rsidR="00573BA7">
        <w:t xml:space="preserve"> </w:t>
      </w:r>
      <w:r w:rsidR="00D65E71" w:rsidRPr="003F4CE1">
        <w:t>changes</w:t>
      </w:r>
      <w:r w:rsidR="00573BA7">
        <w:t xml:space="preserve"> </w:t>
      </w:r>
      <w:r w:rsidR="00D65E71" w:rsidRPr="003F4CE1">
        <w:t>in</w:t>
      </w:r>
      <w:r w:rsidR="00573BA7">
        <w:t xml:space="preserve"> </w:t>
      </w:r>
      <w:r w:rsidR="00D65E71" w:rsidRPr="003F4CE1">
        <w:t>hours</w:t>
      </w:r>
      <w:r w:rsidR="00573BA7">
        <w:t xml:space="preserve"> </w:t>
      </w:r>
      <w:r w:rsidR="00D65E71" w:rsidRPr="003F4CE1">
        <w:t>of</w:t>
      </w:r>
      <w:r w:rsidR="00573BA7">
        <w:t xml:space="preserve"> </w:t>
      </w:r>
      <w:r w:rsidR="00D65E71" w:rsidRPr="003F4CE1">
        <w:t>work,</w:t>
      </w:r>
      <w:r w:rsidR="00573BA7">
        <w:t xml:space="preserve"> </w:t>
      </w:r>
      <w:r w:rsidR="00D65E71" w:rsidRPr="003F4CE1">
        <w:t>patterns</w:t>
      </w:r>
      <w:r w:rsidR="00573BA7">
        <w:t xml:space="preserve"> </w:t>
      </w:r>
      <w:r w:rsidR="00D65E71" w:rsidRPr="003F4CE1">
        <w:t>of</w:t>
      </w:r>
      <w:r w:rsidR="00573BA7">
        <w:t xml:space="preserve"> </w:t>
      </w:r>
      <w:r w:rsidR="00D65E71" w:rsidRPr="003F4CE1">
        <w:t>work</w:t>
      </w:r>
      <w:r w:rsidR="00573BA7">
        <w:t xml:space="preserve"> </w:t>
      </w:r>
      <w:r w:rsidR="00D65E71" w:rsidRPr="003F4CE1">
        <w:t>or</w:t>
      </w:r>
      <w:r w:rsidR="00573BA7">
        <w:t xml:space="preserve"> </w:t>
      </w:r>
      <w:r w:rsidR="00D65E71" w:rsidRPr="003F4CE1">
        <w:t>the</w:t>
      </w:r>
      <w:r w:rsidR="00573BA7">
        <w:t xml:space="preserve"> </w:t>
      </w:r>
      <w:r w:rsidR="00D65E71" w:rsidRPr="003F4CE1">
        <w:t>location</w:t>
      </w:r>
      <w:r w:rsidR="00573BA7">
        <w:t xml:space="preserve"> </w:t>
      </w:r>
      <w:r w:rsidR="00D65E71" w:rsidRPr="003F4CE1">
        <w:t>of</w:t>
      </w:r>
      <w:r w:rsidR="00573BA7">
        <w:t xml:space="preserve"> </w:t>
      </w:r>
      <w:r w:rsidR="00D65E71" w:rsidRPr="003F4CE1">
        <w:t>work.</w:t>
      </w:r>
      <w:r w:rsidR="00573BA7">
        <w:t xml:space="preserve"> </w:t>
      </w:r>
    </w:p>
    <w:p w14:paraId="2135949E" w14:textId="122B2E46" w:rsidR="00DF7F20" w:rsidRPr="003F4CE1" w:rsidRDefault="00D65E71" w:rsidP="00662F4B">
      <w:pPr>
        <w:pStyle w:val="ListNumber"/>
      </w:pPr>
      <w:r w:rsidRPr="003F4CE1">
        <w:t>However,</w:t>
      </w:r>
      <w:r w:rsidR="00573BA7">
        <w:t xml:space="preserve"> </w:t>
      </w:r>
      <w:r w:rsidRPr="003F4CE1">
        <w:t>this</w:t>
      </w:r>
      <w:r w:rsidR="00573BA7">
        <w:t xml:space="preserve"> </w:t>
      </w:r>
      <w:r w:rsidRPr="003F4CE1">
        <w:t>provision</w:t>
      </w:r>
      <w:r w:rsidR="00573BA7">
        <w:t xml:space="preserve"> </w:t>
      </w:r>
      <w:r w:rsidRPr="003F4CE1">
        <w:t>only</w:t>
      </w:r>
      <w:r w:rsidR="00573BA7">
        <w:t xml:space="preserve"> </w:t>
      </w:r>
      <w:r w:rsidRPr="003F4CE1">
        <w:t>applies</w:t>
      </w:r>
      <w:r w:rsidR="00573BA7">
        <w:t xml:space="preserve"> </w:t>
      </w:r>
      <w:r w:rsidRPr="003F4CE1">
        <w:t>to</w:t>
      </w:r>
      <w:r w:rsidR="00573BA7">
        <w:t xml:space="preserve"> </w:t>
      </w:r>
      <w:r w:rsidRPr="003F4CE1">
        <w:t>employees</w:t>
      </w:r>
      <w:r w:rsidR="00573BA7">
        <w:t xml:space="preserve"> </w:t>
      </w:r>
      <w:r w:rsidRPr="003F4CE1">
        <w:t>who</w:t>
      </w:r>
      <w:r w:rsidR="00573BA7">
        <w:t xml:space="preserve"> </w:t>
      </w:r>
      <w:r w:rsidRPr="003F4CE1">
        <w:t>have</w:t>
      </w:r>
      <w:r w:rsidR="00573BA7">
        <w:t xml:space="preserve"> </w:t>
      </w:r>
      <w:r w:rsidR="00393B48">
        <w:t>had</w:t>
      </w:r>
      <w:r w:rsidR="00573BA7">
        <w:t xml:space="preserve"> </w:t>
      </w:r>
      <w:r w:rsidR="00393B48">
        <w:t>continuous</w:t>
      </w:r>
      <w:r w:rsidR="00573BA7">
        <w:t xml:space="preserve"> </w:t>
      </w:r>
      <w:r w:rsidRPr="003F4CE1">
        <w:t>employment</w:t>
      </w:r>
      <w:r w:rsidR="00573BA7">
        <w:t xml:space="preserve"> </w:t>
      </w:r>
      <w:r w:rsidRPr="003F4CE1">
        <w:t>for</w:t>
      </w:r>
      <w:r w:rsidR="00573BA7">
        <w:t xml:space="preserve"> </w:t>
      </w:r>
      <w:r w:rsidRPr="003F4CE1">
        <w:t>12</w:t>
      </w:r>
      <w:r w:rsidR="00573BA7">
        <w:t xml:space="preserve"> </w:t>
      </w:r>
      <w:r w:rsidRPr="003F4CE1">
        <w:t>months</w:t>
      </w:r>
      <w:r w:rsidR="00393B48">
        <w:t>,</w:t>
      </w:r>
      <w:r w:rsidR="00573BA7">
        <w:t xml:space="preserve"> </w:t>
      </w:r>
      <w:r w:rsidRPr="003F4CE1">
        <w:t>or</w:t>
      </w:r>
      <w:r w:rsidR="00573BA7">
        <w:t xml:space="preserve"> </w:t>
      </w:r>
      <w:r w:rsidRPr="003F4CE1">
        <w:t>to</w:t>
      </w:r>
      <w:r w:rsidR="00573BA7">
        <w:t xml:space="preserve"> </w:t>
      </w:r>
      <w:r w:rsidRPr="003F4CE1">
        <w:t>long</w:t>
      </w:r>
      <w:r w:rsidR="00573BA7">
        <w:t xml:space="preserve"> </w:t>
      </w:r>
      <w:r w:rsidRPr="003F4CE1">
        <w:t>term</w:t>
      </w:r>
      <w:r w:rsidR="00573BA7">
        <w:t xml:space="preserve"> </w:t>
      </w:r>
      <w:r w:rsidRPr="003F4CE1">
        <w:t>casual</w:t>
      </w:r>
      <w:r w:rsidR="00573BA7">
        <w:t xml:space="preserve"> </w:t>
      </w:r>
      <w:r w:rsidRPr="003F4CE1">
        <w:t>employees</w:t>
      </w:r>
      <w:r w:rsidR="00573BA7">
        <w:t xml:space="preserve"> </w:t>
      </w:r>
      <w:r w:rsidRPr="003F4CE1">
        <w:t>who</w:t>
      </w:r>
      <w:r w:rsidR="00573BA7">
        <w:t xml:space="preserve"> </w:t>
      </w:r>
      <w:r w:rsidR="00755320" w:rsidRPr="003F4CE1">
        <w:t>have</w:t>
      </w:r>
      <w:r w:rsidR="00573BA7">
        <w:t xml:space="preserve"> </w:t>
      </w:r>
      <w:r w:rsidR="00755320" w:rsidRPr="003F4CE1">
        <w:t>a</w:t>
      </w:r>
      <w:r w:rsidR="00573BA7">
        <w:t xml:space="preserve"> </w:t>
      </w:r>
      <w:r w:rsidR="00755320" w:rsidRPr="003F4CE1">
        <w:t>reasonable</w:t>
      </w:r>
      <w:r w:rsidR="00573BA7">
        <w:t xml:space="preserve"> </w:t>
      </w:r>
      <w:r w:rsidR="00755320" w:rsidRPr="003F4CE1">
        <w:t>expectation</w:t>
      </w:r>
      <w:r w:rsidR="00573BA7">
        <w:t xml:space="preserve"> </w:t>
      </w:r>
      <w:r w:rsidR="00755320" w:rsidRPr="003F4CE1">
        <w:t>of</w:t>
      </w:r>
      <w:r w:rsidR="00573BA7">
        <w:t xml:space="preserve"> </w:t>
      </w:r>
      <w:r w:rsidR="00755320" w:rsidRPr="003F4CE1">
        <w:t>continuing</w:t>
      </w:r>
      <w:r w:rsidR="00573BA7">
        <w:t xml:space="preserve"> </w:t>
      </w:r>
      <w:r w:rsidR="00686A13" w:rsidRPr="003F4CE1">
        <w:t>employment</w:t>
      </w:r>
      <w:r w:rsidR="00573BA7">
        <w:t xml:space="preserve"> </w:t>
      </w:r>
      <w:r w:rsidR="00393B48">
        <w:t>with</w:t>
      </w:r>
      <w:r w:rsidR="00573BA7">
        <w:t xml:space="preserve"> </w:t>
      </w:r>
      <w:r w:rsidR="00686A13" w:rsidRPr="003F4CE1">
        <w:t>the</w:t>
      </w:r>
      <w:r w:rsidR="00393B48">
        <w:t>ir</w:t>
      </w:r>
      <w:r w:rsidR="00573BA7">
        <w:t xml:space="preserve"> </w:t>
      </w:r>
      <w:r w:rsidR="00686A13" w:rsidRPr="003F4CE1">
        <w:t>employer</w:t>
      </w:r>
      <w:r w:rsidR="00573BA7">
        <w:t xml:space="preserve"> </w:t>
      </w:r>
      <w:r w:rsidR="001A47B8" w:rsidRPr="003F4CE1">
        <w:t>on</w:t>
      </w:r>
      <w:r w:rsidR="00573BA7">
        <w:t xml:space="preserve"> </w:t>
      </w:r>
      <w:r w:rsidR="001A47B8" w:rsidRPr="003F4CE1">
        <w:t>a</w:t>
      </w:r>
      <w:r w:rsidR="00573BA7">
        <w:t xml:space="preserve"> </w:t>
      </w:r>
      <w:r w:rsidR="001A47B8" w:rsidRPr="003F4CE1">
        <w:t>regular</w:t>
      </w:r>
      <w:r w:rsidR="00573BA7">
        <w:t xml:space="preserve"> </w:t>
      </w:r>
      <w:r w:rsidR="001A47B8" w:rsidRPr="003F4CE1">
        <w:t>and</w:t>
      </w:r>
      <w:r w:rsidR="00573BA7">
        <w:t xml:space="preserve"> </w:t>
      </w:r>
      <w:r w:rsidR="001A47B8" w:rsidRPr="003F4CE1">
        <w:t>systematic</w:t>
      </w:r>
      <w:r w:rsidR="00573BA7">
        <w:t xml:space="preserve"> </w:t>
      </w:r>
      <w:r w:rsidR="001A47B8" w:rsidRPr="003F4CE1">
        <w:t>basis</w:t>
      </w:r>
      <w:r w:rsidRPr="003F4CE1">
        <w:t>.</w:t>
      </w:r>
      <w:r w:rsidRPr="003F4CE1">
        <w:rPr>
          <w:rStyle w:val="EndnoteReference"/>
        </w:rPr>
        <w:endnoteReference w:id="195"/>
      </w:r>
    </w:p>
    <w:p w14:paraId="1E3BAE4D" w14:textId="38681368" w:rsidR="00B16C17" w:rsidRDefault="0031442F" w:rsidP="00662F4B">
      <w:pPr>
        <w:pStyle w:val="ListNumber"/>
      </w:pPr>
      <w:r w:rsidRPr="003F4CE1">
        <w:t>Section</w:t>
      </w:r>
      <w:r w:rsidR="00573BA7">
        <w:t xml:space="preserve"> </w:t>
      </w:r>
      <w:r w:rsidRPr="003F4CE1">
        <w:t>65(5)</w:t>
      </w:r>
      <w:r w:rsidR="00573BA7">
        <w:t xml:space="preserve"> </w:t>
      </w:r>
      <w:r w:rsidR="00267ED3" w:rsidRPr="003F4CE1">
        <w:t>of</w:t>
      </w:r>
      <w:r w:rsidR="00573BA7">
        <w:t xml:space="preserve"> </w:t>
      </w:r>
      <w:r w:rsidR="00542B38" w:rsidRPr="003F4CE1">
        <w:t>the</w:t>
      </w:r>
      <w:r w:rsidR="00573BA7">
        <w:t xml:space="preserve"> </w:t>
      </w:r>
      <w:r w:rsidR="00542B38" w:rsidRPr="003F4CE1">
        <w:t>Fair</w:t>
      </w:r>
      <w:r w:rsidR="00573BA7">
        <w:t xml:space="preserve"> </w:t>
      </w:r>
      <w:r w:rsidR="00542B38" w:rsidRPr="003F4CE1">
        <w:t>Work</w:t>
      </w:r>
      <w:r w:rsidR="00573BA7">
        <w:t xml:space="preserve"> </w:t>
      </w:r>
      <w:r w:rsidR="00542B38" w:rsidRPr="003F4CE1">
        <w:t>Act</w:t>
      </w:r>
      <w:r w:rsidR="00573BA7">
        <w:t xml:space="preserve"> </w:t>
      </w:r>
      <w:r w:rsidR="00542B38" w:rsidRPr="003F4CE1">
        <w:t>provides</w:t>
      </w:r>
      <w:r w:rsidR="00573BA7">
        <w:t xml:space="preserve"> </w:t>
      </w:r>
      <w:r w:rsidR="00542B38" w:rsidRPr="003F4CE1">
        <w:t>that</w:t>
      </w:r>
      <w:r w:rsidR="00573BA7">
        <w:t xml:space="preserve"> </w:t>
      </w:r>
      <w:r w:rsidR="00542B38" w:rsidRPr="003F4CE1">
        <w:t>e</w:t>
      </w:r>
      <w:r w:rsidR="00183853" w:rsidRPr="003F4CE1">
        <w:t>mployers</w:t>
      </w:r>
      <w:r w:rsidR="00573BA7">
        <w:t xml:space="preserve"> </w:t>
      </w:r>
      <w:r w:rsidR="005356DE" w:rsidRPr="003F4CE1">
        <w:t>can</w:t>
      </w:r>
      <w:r w:rsidR="00573BA7">
        <w:t xml:space="preserve"> </w:t>
      </w:r>
      <w:r w:rsidR="005356DE" w:rsidRPr="003F4CE1">
        <w:t>only</w:t>
      </w:r>
      <w:r w:rsidR="00573BA7">
        <w:t xml:space="preserve"> </w:t>
      </w:r>
      <w:r w:rsidR="005356DE" w:rsidRPr="003F4CE1">
        <w:t>refuse</w:t>
      </w:r>
      <w:r w:rsidR="00573BA7">
        <w:t xml:space="preserve"> </w:t>
      </w:r>
      <w:r w:rsidR="00267ED3" w:rsidRPr="003F4CE1">
        <w:t>an</w:t>
      </w:r>
      <w:r w:rsidR="00573BA7">
        <w:t xml:space="preserve"> </w:t>
      </w:r>
      <w:r w:rsidR="00267ED3" w:rsidRPr="003F4CE1">
        <w:t>employee’s</w:t>
      </w:r>
      <w:r w:rsidR="00573BA7">
        <w:t xml:space="preserve"> </w:t>
      </w:r>
      <w:r w:rsidR="005356DE" w:rsidRPr="003F4CE1">
        <w:t>request</w:t>
      </w:r>
      <w:r w:rsidR="00573BA7">
        <w:t xml:space="preserve"> </w:t>
      </w:r>
      <w:r w:rsidR="007E0CBD" w:rsidRPr="003F4CE1">
        <w:t>for</w:t>
      </w:r>
      <w:r w:rsidR="00573BA7">
        <w:t xml:space="preserve"> </w:t>
      </w:r>
      <w:r w:rsidR="00B928B2">
        <w:t xml:space="preserve">a </w:t>
      </w:r>
      <w:r w:rsidR="007E0CBD" w:rsidRPr="003F4CE1">
        <w:t>flexible</w:t>
      </w:r>
      <w:r w:rsidR="00573BA7">
        <w:t xml:space="preserve"> </w:t>
      </w:r>
      <w:r w:rsidR="007E0CBD" w:rsidRPr="003F4CE1">
        <w:t>working</w:t>
      </w:r>
      <w:r w:rsidR="00573BA7">
        <w:t xml:space="preserve"> </w:t>
      </w:r>
      <w:r w:rsidR="007E0CBD" w:rsidRPr="003F4CE1">
        <w:t>arrangement</w:t>
      </w:r>
      <w:r w:rsidR="00573BA7">
        <w:t xml:space="preserve"> </w:t>
      </w:r>
      <w:r w:rsidR="005356DE" w:rsidRPr="003F4CE1">
        <w:t>on</w:t>
      </w:r>
      <w:r w:rsidR="00573BA7">
        <w:t xml:space="preserve"> </w:t>
      </w:r>
      <w:r w:rsidR="00F74D00" w:rsidRPr="003F4CE1">
        <w:t>‘</w:t>
      </w:r>
      <w:r w:rsidR="005356DE" w:rsidRPr="003F4CE1">
        <w:t>reasonable</w:t>
      </w:r>
      <w:r w:rsidR="00573BA7">
        <w:t xml:space="preserve"> </w:t>
      </w:r>
      <w:r w:rsidR="005356DE" w:rsidRPr="003F4CE1">
        <w:t>business</w:t>
      </w:r>
      <w:r w:rsidR="00573BA7">
        <w:t xml:space="preserve"> </w:t>
      </w:r>
      <w:r w:rsidR="005356DE" w:rsidRPr="003F4CE1">
        <w:t>grounds</w:t>
      </w:r>
      <w:r w:rsidR="00F74D00" w:rsidRPr="003F4CE1">
        <w:t>’</w:t>
      </w:r>
      <w:r w:rsidR="009F542F" w:rsidRPr="003F4CE1">
        <w:t>.</w:t>
      </w:r>
      <w:r w:rsidR="005356DE" w:rsidRPr="003F4CE1">
        <w:rPr>
          <w:rStyle w:val="EndnoteReference"/>
          <w:color w:val="000000" w:themeColor="text1"/>
        </w:rPr>
        <w:endnoteReference w:id="196"/>
      </w:r>
      <w:r w:rsidR="00573BA7">
        <w:t xml:space="preserve"> </w:t>
      </w:r>
      <w:r w:rsidR="00151A72" w:rsidRPr="003F4CE1">
        <w:t>However,</w:t>
      </w:r>
      <w:r w:rsidR="00573BA7">
        <w:t xml:space="preserve"> </w:t>
      </w:r>
      <w:r w:rsidR="006C50FC" w:rsidRPr="003F4CE1">
        <w:t>the</w:t>
      </w:r>
      <w:r w:rsidR="00573BA7">
        <w:t xml:space="preserve"> </w:t>
      </w:r>
      <w:r w:rsidR="006C50FC" w:rsidRPr="003F4CE1">
        <w:t>Fair</w:t>
      </w:r>
      <w:r w:rsidR="00573BA7">
        <w:t xml:space="preserve"> </w:t>
      </w:r>
      <w:r w:rsidR="006C50FC" w:rsidRPr="003F4CE1">
        <w:t>Work</w:t>
      </w:r>
      <w:r w:rsidR="00573BA7">
        <w:t xml:space="preserve"> </w:t>
      </w:r>
      <w:r w:rsidR="006C50FC" w:rsidRPr="003F4CE1">
        <w:t>Act</w:t>
      </w:r>
      <w:r w:rsidR="00573BA7">
        <w:t xml:space="preserve"> </w:t>
      </w:r>
      <w:r w:rsidR="000B489F" w:rsidRPr="003F4CE1">
        <w:t>explicitly</w:t>
      </w:r>
      <w:r w:rsidR="00573BA7">
        <w:t xml:space="preserve"> </w:t>
      </w:r>
      <w:r w:rsidR="006C50FC" w:rsidRPr="003F4CE1">
        <w:t>prevents</w:t>
      </w:r>
      <w:r w:rsidR="00573BA7">
        <w:t xml:space="preserve"> </w:t>
      </w:r>
      <w:r w:rsidR="006C50FC" w:rsidRPr="003F4CE1">
        <w:t>the</w:t>
      </w:r>
      <w:r w:rsidR="00573BA7">
        <w:t xml:space="preserve"> </w:t>
      </w:r>
      <w:r w:rsidR="006C50FC" w:rsidRPr="003F4CE1">
        <w:t>Fair</w:t>
      </w:r>
      <w:r w:rsidR="00573BA7">
        <w:t xml:space="preserve"> </w:t>
      </w:r>
      <w:r w:rsidR="000B489F" w:rsidRPr="003F4CE1">
        <w:t>Work</w:t>
      </w:r>
      <w:r w:rsidR="00573BA7">
        <w:t xml:space="preserve"> </w:t>
      </w:r>
      <w:r w:rsidR="000B489F" w:rsidRPr="003F4CE1">
        <w:t>Commission</w:t>
      </w:r>
      <w:r w:rsidR="00573BA7">
        <w:t xml:space="preserve"> </w:t>
      </w:r>
      <w:r w:rsidR="000B489F" w:rsidRPr="003F4CE1">
        <w:t>from</w:t>
      </w:r>
      <w:r w:rsidR="00573BA7">
        <w:t xml:space="preserve"> </w:t>
      </w:r>
      <w:r w:rsidR="000B489F" w:rsidRPr="003F4CE1">
        <w:t>dealing</w:t>
      </w:r>
      <w:r w:rsidR="00573BA7">
        <w:t xml:space="preserve"> </w:t>
      </w:r>
      <w:r w:rsidR="000B489F" w:rsidRPr="003F4CE1">
        <w:t>with</w:t>
      </w:r>
      <w:r w:rsidR="00573BA7">
        <w:t xml:space="preserve"> </w:t>
      </w:r>
      <w:r w:rsidR="000B489F" w:rsidRPr="003F4CE1">
        <w:t>a</w:t>
      </w:r>
      <w:r w:rsidR="00573BA7">
        <w:t xml:space="preserve"> </w:t>
      </w:r>
      <w:r w:rsidR="000B489F" w:rsidRPr="003F4CE1">
        <w:t>dispute</w:t>
      </w:r>
      <w:r w:rsidR="00573BA7">
        <w:t xml:space="preserve"> </w:t>
      </w:r>
      <w:r w:rsidR="00F96988" w:rsidRPr="003F4CE1">
        <w:t>or</w:t>
      </w:r>
      <w:r w:rsidR="00573BA7">
        <w:t xml:space="preserve"> </w:t>
      </w:r>
      <w:r w:rsidR="00F96988" w:rsidRPr="003F4CE1">
        <w:t>making</w:t>
      </w:r>
      <w:r w:rsidR="00573BA7">
        <w:t xml:space="preserve"> </w:t>
      </w:r>
      <w:r w:rsidR="008232A0" w:rsidRPr="003F4CE1">
        <w:t>orders</w:t>
      </w:r>
      <w:r w:rsidR="00573BA7">
        <w:t xml:space="preserve"> </w:t>
      </w:r>
      <w:r w:rsidR="000B489F" w:rsidRPr="003F4CE1">
        <w:t>about</w:t>
      </w:r>
      <w:r w:rsidR="00573BA7">
        <w:t xml:space="preserve"> </w:t>
      </w:r>
      <w:r w:rsidR="000B489F" w:rsidRPr="003F4CE1">
        <w:t>whether</w:t>
      </w:r>
      <w:r w:rsidR="00573BA7">
        <w:t xml:space="preserve"> </w:t>
      </w:r>
      <w:r w:rsidR="000B489F" w:rsidRPr="003F4CE1">
        <w:t>an</w:t>
      </w:r>
      <w:r w:rsidR="00573BA7">
        <w:t xml:space="preserve"> </w:t>
      </w:r>
      <w:r w:rsidR="000B489F" w:rsidRPr="003F4CE1">
        <w:t>employer</w:t>
      </w:r>
      <w:r w:rsidR="00573BA7">
        <w:t xml:space="preserve"> </w:t>
      </w:r>
      <w:r w:rsidR="000B489F" w:rsidRPr="003F4CE1">
        <w:t>had</w:t>
      </w:r>
      <w:r w:rsidR="00573BA7">
        <w:t xml:space="preserve"> </w:t>
      </w:r>
      <w:r w:rsidR="00DF39B0">
        <w:t>‘</w:t>
      </w:r>
      <w:r w:rsidR="000B489F" w:rsidRPr="003F4CE1">
        <w:t>reasonable</w:t>
      </w:r>
      <w:r w:rsidR="00573BA7">
        <w:t xml:space="preserve"> </w:t>
      </w:r>
      <w:r w:rsidR="000B489F" w:rsidRPr="003F4CE1">
        <w:t>business</w:t>
      </w:r>
      <w:r w:rsidR="00573BA7">
        <w:t xml:space="preserve"> </w:t>
      </w:r>
      <w:r w:rsidR="0086518C" w:rsidRPr="003F4CE1">
        <w:t>grounds</w:t>
      </w:r>
      <w:r w:rsidR="00DF39B0">
        <w:t>’</w:t>
      </w:r>
      <w:r w:rsidR="00573BA7">
        <w:t xml:space="preserve"> </w:t>
      </w:r>
      <w:r w:rsidR="006D5C21" w:rsidRPr="003F4CE1">
        <w:t>for</w:t>
      </w:r>
      <w:r w:rsidR="00573BA7">
        <w:t xml:space="preserve"> </w:t>
      </w:r>
      <w:r w:rsidR="006D5C21" w:rsidRPr="003F4CE1">
        <w:t>refusing</w:t>
      </w:r>
      <w:r w:rsidR="00573BA7">
        <w:t xml:space="preserve"> </w:t>
      </w:r>
      <w:r w:rsidR="006D5C21" w:rsidRPr="003F4CE1">
        <w:t>an</w:t>
      </w:r>
      <w:r w:rsidR="00573BA7">
        <w:t xml:space="preserve"> </w:t>
      </w:r>
      <w:r w:rsidR="006D5C21" w:rsidRPr="003F4CE1">
        <w:t>employee’s</w:t>
      </w:r>
      <w:r w:rsidR="00573BA7">
        <w:t xml:space="preserve"> </w:t>
      </w:r>
      <w:r w:rsidR="006D5C21" w:rsidRPr="003F4CE1">
        <w:t>request</w:t>
      </w:r>
      <w:r w:rsidR="0086518C" w:rsidRPr="003F4CE1">
        <w:t>.</w:t>
      </w:r>
      <w:r w:rsidR="003328EF" w:rsidRPr="003F4CE1">
        <w:rPr>
          <w:rStyle w:val="EndnoteReference"/>
          <w:color w:val="000000" w:themeColor="text1"/>
        </w:rPr>
        <w:endnoteReference w:id="197"/>
      </w:r>
      <w:r w:rsidR="00573BA7">
        <w:t xml:space="preserve"> </w:t>
      </w:r>
    </w:p>
    <w:p w14:paraId="149ED3D0" w14:textId="4F8B7513" w:rsidR="00002404" w:rsidRPr="003F4CE1" w:rsidRDefault="00427EEA" w:rsidP="00662F4B">
      <w:pPr>
        <w:pStyle w:val="ListNumber"/>
      </w:pPr>
      <w:r w:rsidRPr="003F4CE1">
        <w:t>As</w:t>
      </w:r>
      <w:r w:rsidR="00573BA7">
        <w:t xml:space="preserve"> </w:t>
      </w:r>
      <w:r w:rsidR="00B16C17">
        <w:t xml:space="preserve">the Commission </w:t>
      </w:r>
      <w:r w:rsidRPr="003F4CE1">
        <w:t>observed</w:t>
      </w:r>
      <w:r w:rsidR="00573BA7">
        <w:t xml:space="preserve"> </w:t>
      </w:r>
      <w:r w:rsidRPr="003F4CE1">
        <w:t>in</w:t>
      </w:r>
      <w:r w:rsidR="00573BA7">
        <w:t xml:space="preserve"> </w:t>
      </w:r>
      <w:r w:rsidR="00245F33">
        <w:t>Willing to Work</w:t>
      </w:r>
      <w:r w:rsidR="008115CB" w:rsidRPr="000C451A">
        <w:t>,</w:t>
      </w:r>
      <w:r w:rsidR="00573BA7">
        <w:t xml:space="preserve"> </w:t>
      </w:r>
      <w:r w:rsidR="008115CB" w:rsidRPr="000C451A">
        <w:t>stakeholders</w:t>
      </w:r>
      <w:r w:rsidR="00573BA7">
        <w:t xml:space="preserve"> </w:t>
      </w:r>
      <w:r w:rsidR="008115CB" w:rsidRPr="003F4CE1">
        <w:t>have</w:t>
      </w:r>
      <w:r w:rsidR="00573BA7">
        <w:t xml:space="preserve"> </w:t>
      </w:r>
      <w:r w:rsidR="008115CB" w:rsidRPr="003F4CE1">
        <w:t>expressed</w:t>
      </w:r>
      <w:r w:rsidR="00573BA7">
        <w:t xml:space="preserve"> </w:t>
      </w:r>
      <w:r w:rsidR="008115CB" w:rsidRPr="003F4CE1">
        <w:t>concerns</w:t>
      </w:r>
      <w:r w:rsidR="00573BA7">
        <w:t xml:space="preserve"> </w:t>
      </w:r>
      <w:r w:rsidR="008115CB" w:rsidRPr="003F4CE1">
        <w:t>that</w:t>
      </w:r>
      <w:r w:rsidR="00573BA7">
        <w:t xml:space="preserve"> </w:t>
      </w:r>
      <w:r w:rsidR="00DA19AF" w:rsidRPr="003F4CE1">
        <w:t>the</w:t>
      </w:r>
      <w:r w:rsidR="00573BA7">
        <w:t xml:space="preserve"> </w:t>
      </w:r>
      <w:r w:rsidR="00DA19AF" w:rsidRPr="003F4CE1">
        <w:t>right</w:t>
      </w:r>
      <w:r w:rsidR="00573BA7">
        <w:t xml:space="preserve"> </w:t>
      </w:r>
      <w:r w:rsidR="00DA19AF" w:rsidRPr="003F4CE1">
        <w:t>to</w:t>
      </w:r>
      <w:r w:rsidR="00573BA7">
        <w:t xml:space="preserve"> </w:t>
      </w:r>
      <w:r w:rsidR="00DA19AF" w:rsidRPr="003F4CE1">
        <w:t>request</w:t>
      </w:r>
      <w:r w:rsidR="00573BA7">
        <w:t xml:space="preserve"> </w:t>
      </w:r>
      <w:r w:rsidR="00DA19AF" w:rsidRPr="003F4CE1">
        <w:t>flexible</w:t>
      </w:r>
      <w:r w:rsidR="00573BA7">
        <w:t xml:space="preserve"> </w:t>
      </w:r>
      <w:r w:rsidR="00DA19AF" w:rsidRPr="003F4CE1">
        <w:t>working</w:t>
      </w:r>
      <w:r w:rsidR="00573BA7">
        <w:t xml:space="preserve"> </w:t>
      </w:r>
      <w:r w:rsidR="00DA19AF" w:rsidRPr="003F4CE1">
        <w:t>arrangements</w:t>
      </w:r>
      <w:r w:rsidR="00573BA7">
        <w:t xml:space="preserve"> </w:t>
      </w:r>
      <w:r w:rsidR="00DA19AF" w:rsidRPr="003F4CE1">
        <w:t>‘lacks</w:t>
      </w:r>
      <w:r w:rsidR="00573BA7">
        <w:t xml:space="preserve"> </w:t>
      </w:r>
      <w:r w:rsidR="00DA19AF" w:rsidRPr="003F4CE1">
        <w:t>teeth’</w:t>
      </w:r>
      <w:r w:rsidR="00573BA7">
        <w:t xml:space="preserve"> </w:t>
      </w:r>
      <w:r w:rsidR="007F4609" w:rsidRPr="003F4CE1">
        <w:t>in</w:t>
      </w:r>
      <w:r w:rsidR="00573BA7">
        <w:t xml:space="preserve"> </w:t>
      </w:r>
      <w:r w:rsidR="007F4609" w:rsidRPr="003F4CE1">
        <w:t>that</w:t>
      </w:r>
      <w:r w:rsidR="00573BA7">
        <w:t xml:space="preserve"> </w:t>
      </w:r>
      <w:r w:rsidR="007F4609" w:rsidRPr="003F4CE1">
        <w:t>employees</w:t>
      </w:r>
      <w:r w:rsidR="00573BA7">
        <w:t xml:space="preserve"> </w:t>
      </w:r>
      <w:r w:rsidR="007F4609" w:rsidRPr="003F4CE1">
        <w:t>have</w:t>
      </w:r>
      <w:r w:rsidR="00573BA7">
        <w:t xml:space="preserve"> </w:t>
      </w:r>
      <w:r w:rsidR="007F4609" w:rsidRPr="003F4CE1">
        <w:t>no</w:t>
      </w:r>
      <w:r w:rsidR="00573BA7">
        <w:t xml:space="preserve"> </w:t>
      </w:r>
      <w:r w:rsidR="007F4609" w:rsidRPr="003F4CE1">
        <w:t>recourse</w:t>
      </w:r>
      <w:r w:rsidR="00573BA7">
        <w:t xml:space="preserve"> </w:t>
      </w:r>
      <w:r w:rsidR="007F4609" w:rsidRPr="003F4CE1">
        <w:t>under</w:t>
      </w:r>
      <w:r w:rsidR="00573BA7">
        <w:t xml:space="preserve"> </w:t>
      </w:r>
      <w:r w:rsidR="007F4609" w:rsidRPr="003F4CE1">
        <w:t>the</w:t>
      </w:r>
      <w:r w:rsidR="00573BA7">
        <w:t xml:space="preserve"> </w:t>
      </w:r>
      <w:r w:rsidR="007F4609" w:rsidRPr="003F4CE1">
        <w:t>Fair</w:t>
      </w:r>
      <w:r w:rsidR="00573BA7">
        <w:t xml:space="preserve"> </w:t>
      </w:r>
      <w:r w:rsidR="007F4609" w:rsidRPr="003F4CE1">
        <w:t>Work</w:t>
      </w:r>
      <w:r w:rsidR="00573BA7">
        <w:t xml:space="preserve"> </w:t>
      </w:r>
      <w:r w:rsidR="007F4609" w:rsidRPr="003F4CE1">
        <w:t>Act</w:t>
      </w:r>
      <w:r w:rsidR="00573BA7">
        <w:t xml:space="preserve"> </w:t>
      </w:r>
      <w:r w:rsidR="00C40A79" w:rsidRPr="003F4CE1">
        <w:t>if</w:t>
      </w:r>
      <w:r w:rsidR="00573BA7">
        <w:t xml:space="preserve"> </w:t>
      </w:r>
      <w:r w:rsidR="00C40A79" w:rsidRPr="003F4CE1">
        <w:t>an</w:t>
      </w:r>
      <w:r w:rsidR="00573BA7">
        <w:t xml:space="preserve"> </w:t>
      </w:r>
      <w:r w:rsidR="00C40A79" w:rsidRPr="003F4CE1">
        <w:t>employer’s</w:t>
      </w:r>
      <w:r w:rsidR="00573BA7">
        <w:t xml:space="preserve"> </w:t>
      </w:r>
      <w:r w:rsidR="00C40A79" w:rsidRPr="003F4CE1">
        <w:t>refusal</w:t>
      </w:r>
      <w:r w:rsidR="00573BA7">
        <w:t xml:space="preserve"> </w:t>
      </w:r>
      <w:r w:rsidR="00C40A79" w:rsidRPr="003F4CE1">
        <w:t>was</w:t>
      </w:r>
      <w:r w:rsidR="00573BA7">
        <w:t xml:space="preserve"> </w:t>
      </w:r>
      <w:r w:rsidR="00C40A79" w:rsidRPr="003F4CE1">
        <w:t>not</w:t>
      </w:r>
      <w:r w:rsidR="00573BA7">
        <w:t xml:space="preserve"> </w:t>
      </w:r>
      <w:r w:rsidR="00C40A79" w:rsidRPr="003F4CE1">
        <w:t>on</w:t>
      </w:r>
      <w:r w:rsidR="00573BA7">
        <w:t xml:space="preserve"> </w:t>
      </w:r>
      <w:r w:rsidR="00C40A79" w:rsidRPr="003F4CE1">
        <w:t>‘reasonable</w:t>
      </w:r>
      <w:r w:rsidR="00573BA7">
        <w:t xml:space="preserve"> </w:t>
      </w:r>
      <w:r w:rsidR="00C40A79" w:rsidRPr="003F4CE1">
        <w:t>business</w:t>
      </w:r>
      <w:r w:rsidR="00573BA7">
        <w:t xml:space="preserve"> </w:t>
      </w:r>
      <w:r w:rsidR="00C40A79" w:rsidRPr="003F4CE1">
        <w:t>grounds’.</w:t>
      </w:r>
      <w:r w:rsidR="00C40A79" w:rsidRPr="003F4CE1">
        <w:rPr>
          <w:rStyle w:val="EndnoteReference"/>
          <w:color w:val="000000" w:themeColor="text1"/>
        </w:rPr>
        <w:endnoteReference w:id="198"/>
      </w:r>
      <w:r w:rsidR="00414FAE">
        <w:t xml:space="preserve"> </w:t>
      </w:r>
      <w:r w:rsidR="00B16C17">
        <w:t>The Commission is concerned that</w:t>
      </w:r>
      <w:r w:rsidR="00F07E0A">
        <w:t xml:space="preserve"> weak enforceability of section 65 may limit the rights of people with disability to effectively enjoy their human rights to </w:t>
      </w:r>
      <w:r w:rsidR="00F1105A">
        <w:t xml:space="preserve">equality and non-discrimination, as provided for </w:t>
      </w:r>
      <w:r w:rsidR="00675477">
        <w:t>in Articles 4(1), 5(1) and 27(1) of the CRPD.</w:t>
      </w:r>
    </w:p>
    <w:p w14:paraId="1CABDEB7" w14:textId="1D9AFD29" w:rsidR="00965918" w:rsidRDefault="009D7D14" w:rsidP="00662F4B">
      <w:pPr>
        <w:pStyle w:val="ListNumber"/>
      </w:pPr>
      <w:r w:rsidRPr="003F4CE1">
        <w:t>Additionally,</w:t>
      </w:r>
      <w:r w:rsidR="00573BA7">
        <w:t xml:space="preserve"> </w:t>
      </w:r>
      <w:r w:rsidRPr="003F4CE1">
        <w:t>the</w:t>
      </w:r>
      <w:r w:rsidR="00573BA7">
        <w:t xml:space="preserve"> </w:t>
      </w:r>
      <w:r w:rsidRPr="003F4CE1">
        <w:t>current</w:t>
      </w:r>
      <w:r w:rsidR="00573BA7">
        <w:t xml:space="preserve"> </w:t>
      </w:r>
      <w:r w:rsidRPr="003F4CE1">
        <w:t>provisions</w:t>
      </w:r>
      <w:r w:rsidR="00573BA7">
        <w:t xml:space="preserve"> </w:t>
      </w:r>
      <w:r w:rsidRPr="003F4CE1">
        <w:t>of</w:t>
      </w:r>
      <w:r w:rsidR="00573BA7">
        <w:t xml:space="preserve"> </w:t>
      </w:r>
      <w:r w:rsidRPr="003F4CE1">
        <w:t>the</w:t>
      </w:r>
      <w:r w:rsidR="00573BA7">
        <w:t xml:space="preserve"> </w:t>
      </w:r>
      <w:r w:rsidRPr="003F4CE1">
        <w:t>Fair</w:t>
      </w:r>
      <w:r w:rsidR="00573BA7">
        <w:t xml:space="preserve"> </w:t>
      </w:r>
      <w:r w:rsidRPr="003F4CE1">
        <w:t>Work</w:t>
      </w:r>
      <w:r w:rsidR="00573BA7">
        <w:t xml:space="preserve"> </w:t>
      </w:r>
      <w:r w:rsidRPr="003F4CE1">
        <w:t>Act</w:t>
      </w:r>
      <w:r w:rsidR="00573BA7">
        <w:t xml:space="preserve"> </w:t>
      </w:r>
      <w:r w:rsidRPr="003F4CE1">
        <w:t>do</w:t>
      </w:r>
      <w:r w:rsidR="00573BA7">
        <w:t xml:space="preserve"> </w:t>
      </w:r>
      <w:r w:rsidRPr="003F4CE1">
        <w:t>not</w:t>
      </w:r>
      <w:r w:rsidR="00573BA7">
        <w:t xml:space="preserve"> </w:t>
      </w:r>
      <w:r w:rsidRPr="003F4CE1">
        <w:t>require</w:t>
      </w:r>
      <w:r w:rsidR="00573BA7">
        <w:t xml:space="preserve"> </w:t>
      </w:r>
      <w:r w:rsidR="0065317F" w:rsidRPr="003F4CE1">
        <w:t>employers</w:t>
      </w:r>
      <w:r w:rsidR="00573BA7">
        <w:t xml:space="preserve"> </w:t>
      </w:r>
      <w:r w:rsidR="0065317F" w:rsidRPr="003F4CE1">
        <w:t>to</w:t>
      </w:r>
      <w:r w:rsidR="00573BA7">
        <w:t xml:space="preserve"> </w:t>
      </w:r>
      <w:r w:rsidR="00E874E2" w:rsidRPr="003F4CE1">
        <w:t>consult</w:t>
      </w:r>
      <w:r w:rsidR="00573BA7">
        <w:t xml:space="preserve"> </w:t>
      </w:r>
      <w:r w:rsidR="00E874E2" w:rsidRPr="003F4CE1">
        <w:t>with</w:t>
      </w:r>
      <w:r w:rsidR="00573BA7">
        <w:t xml:space="preserve"> </w:t>
      </w:r>
      <w:r w:rsidR="00E874E2" w:rsidRPr="003F4CE1">
        <w:t>employees</w:t>
      </w:r>
      <w:r w:rsidR="00573BA7">
        <w:t xml:space="preserve"> </w:t>
      </w:r>
      <w:r w:rsidR="00E874E2" w:rsidRPr="003F4CE1">
        <w:t>before</w:t>
      </w:r>
      <w:r w:rsidR="00573BA7">
        <w:t xml:space="preserve"> </w:t>
      </w:r>
      <w:r w:rsidR="00E874E2" w:rsidRPr="003F4CE1">
        <w:t>refusing</w:t>
      </w:r>
      <w:r w:rsidR="00573BA7">
        <w:t xml:space="preserve"> </w:t>
      </w:r>
      <w:r w:rsidR="00CF7EDC">
        <w:t>a</w:t>
      </w:r>
      <w:r w:rsidR="00573BA7">
        <w:t xml:space="preserve"> </w:t>
      </w:r>
      <w:r w:rsidR="00E874E2" w:rsidRPr="003F4CE1">
        <w:t>request</w:t>
      </w:r>
      <w:r w:rsidR="00573BA7">
        <w:t xml:space="preserve"> </w:t>
      </w:r>
      <w:r w:rsidR="00CF7EDC">
        <w:t>for</w:t>
      </w:r>
      <w:r w:rsidR="00573BA7">
        <w:t xml:space="preserve"> </w:t>
      </w:r>
      <w:r w:rsidR="00CF7EDC">
        <w:t>flexible</w:t>
      </w:r>
      <w:r w:rsidR="00573BA7">
        <w:t xml:space="preserve"> </w:t>
      </w:r>
      <w:r w:rsidR="00CF7EDC">
        <w:lastRenderedPageBreak/>
        <w:t>working</w:t>
      </w:r>
      <w:r w:rsidR="00573BA7">
        <w:t xml:space="preserve"> </w:t>
      </w:r>
      <w:r w:rsidR="00CF7EDC">
        <w:t>arrangement</w:t>
      </w:r>
      <w:r w:rsidR="00251128">
        <w:t>s</w:t>
      </w:r>
      <w:r w:rsidR="00E874E2" w:rsidRPr="003F4CE1">
        <w:t>.</w:t>
      </w:r>
      <w:r w:rsidR="00573BA7">
        <w:t xml:space="preserve">  </w:t>
      </w:r>
      <w:r w:rsidR="00C6682F" w:rsidRPr="003F4CE1">
        <w:t>Amending</w:t>
      </w:r>
      <w:r w:rsidR="00573BA7">
        <w:t xml:space="preserve"> </w:t>
      </w:r>
      <w:r w:rsidR="00D7404D" w:rsidRPr="003F4CE1">
        <w:t>the</w:t>
      </w:r>
      <w:r w:rsidR="00573BA7">
        <w:t xml:space="preserve"> </w:t>
      </w:r>
      <w:r w:rsidR="00D7404D" w:rsidRPr="003F4CE1">
        <w:t>Fair</w:t>
      </w:r>
      <w:r w:rsidR="00573BA7">
        <w:t xml:space="preserve"> </w:t>
      </w:r>
      <w:r w:rsidR="00D7404D" w:rsidRPr="003F4CE1">
        <w:t>Work</w:t>
      </w:r>
      <w:r w:rsidR="00573BA7">
        <w:t xml:space="preserve"> </w:t>
      </w:r>
      <w:r w:rsidR="00D7404D" w:rsidRPr="003F4CE1">
        <w:t>Act</w:t>
      </w:r>
      <w:r w:rsidR="00573BA7">
        <w:t xml:space="preserve"> </w:t>
      </w:r>
      <w:r w:rsidR="00D7404D" w:rsidRPr="003F4CE1">
        <w:t>to</w:t>
      </w:r>
      <w:r w:rsidR="00573BA7">
        <w:t xml:space="preserve"> </w:t>
      </w:r>
      <w:r w:rsidR="00D7404D" w:rsidRPr="003F4CE1">
        <w:t>include</w:t>
      </w:r>
      <w:r w:rsidR="00573BA7">
        <w:t xml:space="preserve"> </w:t>
      </w:r>
      <w:r w:rsidR="00D7404D" w:rsidRPr="003F4CE1">
        <w:t>such</w:t>
      </w:r>
      <w:r w:rsidR="00573BA7">
        <w:t xml:space="preserve"> </w:t>
      </w:r>
      <w:r w:rsidR="00D7404D" w:rsidRPr="003F4CE1">
        <w:t>a</w:t>
      </w:r>
      <w:r w:rsidR="00573BA7">
        <w:t xml:space="preserve"> </w:t>
      </w:r>
      <w:r w:rsidR="00D7404D" w:rsidRPr="003F4CE1">
        <w:t>requirement</w:t>
      </w:r>
      <w:r w:rsidR="00573BA7">
        <w:t xml:space="preserve"> </w:t>
      </w:r>
      <w:r w:rsidR="00D7404D" w:rsidRPr="003F4CE1">
        <w:t>was</w:t>
      </w:r>
      <w:r w:rsidR="00573BA7">
        <w:t xml:space="preserve"> </w:t>
      </w:r>
      <w:r w:rsidR="008B331C" w:rsidRPr="003F4CE1">
        <w:t>recommended</w:t>
      </w:r>
      <w:r w:rsidR="00573BA7">
        <w:t xml:space="preserve"> </w:t>
      </w:r>
      <w:r w:rsidR="00C06276" w:rsidRPr="003F4CE1">
        <w:t>by</w:t>
      </w:r>
      <w:r w:rsidR="00573BA7">
        <w:t xml:space="preserve"> </w:t>
      </w:r>
      <w:r w:rsidR="00C06276" w:rsidRPr="003F4CE1">
        <w:t>a</w:t>
      </w:r>
      <w:r w:rsidR="00573BA7">
        <w:t xml:space="preserve"> </w:t>
      </w:r>
      <w:r w:rsidR="00C06276" w:rsidRPr="003F4CE1">
        <w:t>panel</w:t>
      </w:r>
      <w:r w:rsidR="00573BA7">
        <w:t xml:space="preserve"> </w:t>
      </w:r>
      <w:r w:rsidR="00532BF1" w:rsidRPr="003F4CE1">
        <w:t>convened</w:t>
      </w:r>
      <w:r w:rsidR="00573BA7">
        <w:t xml:space="preserve"> </w:t>
      </w:r>
      <w:r w:rsidR="00C163B4" w:rsidRPr="003F4CE1">
        <w:t>by</w:t>
      </w:r>
      <w:r w:rsidR="00573BA7">
        <w:t xml:space="preserve"> </w:t>
      </w:r>
      <w:r w:rsidR="00C163B4" w:rsidRPr="003F4CE1">
        <w:t>the</w:t>
      </w:r>
      <w:r w:rsidR="00573BA7">
        <w:t xml:space="preserve"> </w:t>
      </w:r>
      <w:r w:rsidR="00C163B4" w:rsidRPr="003F4CE1">
        <w:t>Australian</w:t>
      </w:r>
      <w:r w:rsidR="00573BA7">
        <w:t xml:space="preserve"> </w:t>
      </w:r>
      <w:r w:rsidR="00C163B4" w:rsidRPr="003F4CE1">
        <w:t>Government</w:t>
      </w:r>
      <w:r w:rsidR="00573BA7">
        <w:t xml:space="preserve"> </w:t>
      </w:r>
      <w:r w:rsidR="00C163B4" w:rsidRPr="003F4CE1">
        <w:t>in</w:t>
      </w:r>
      <w:r w:rsidR="00573BA7">
        <w:t xml:space="preserve"> </w:t>
      </w:r>
      <w:r w:rsidR="00C163B4" w:rsidRPr="003F4CE1">
        <w:t>2012</w:t>
      </w:r>
      <w:r w:rsidR="00573BA7">
        <w:t xml:space="preserve"> </w:t>
      </w:r>
      <w:r w:rsidR="00C163B4" w:rsidRPr="003F4CE1">
        <w:t>to</w:t>
      </w:r>
      <w:r w:rsidR="00573BA7">
        <w:t xml:space="preserve"> </w:t>
      </w:r>
      <w:r w:rsidR="000977F0" w:rsidRPr="003F4CE1">
        <w:t>evaluate</w:t>
      </w:r>
      <w:r w:rsidR="00573BA7">
        <w:t xml:space="preserve"> </w:t>
      </w:r>
      <w:r w:rsidR="000977F0" w:rsidRPr="003F4CE1">
        <w:t>the</w:t>
      </w:r>
      <w:r w:rsidR="00573BA7">
        <w:t xml:space="preserve"> </w:t>
      </w:r>
      <w:r w:rsidR="000977F0" w:rsidRPr="003F4CE1">
        <w:t>legislation.</w:t>
      </w:r>
      <w:r w:rsidR="00E00361" w:rsidRPr="003F4CE1">
        <w:rPr>
          <w:rStyle w:val="EndnoteReference"/>
        </w:rPr>
        <w:endnoteReference w:id="199"/>
      </w:r>
      <w:r w:rsidR="00573BA7">
        <w:t xml:space="preserve">  </w:t>
      </w:r>
      <w:r w:rsidR="00903F62" w:rsidRPr="003F4CE1">
        <w:t>Requiring</w:t>
      </w:r>
      <w:r w:rsidR="00573BA7">
        <w:t xml:space="preserve"> </w:t>
      </w:r>
      <w:r w:rsidR="00903F62" w:rsidRPr="003F4CE1">
        <w:t>employers</w:t>
      </w:r>
      <w:r w:rsidR="00573BA7">
        <w:t xml:space="preserve"> </w:t>
      </w:r>
      <w:r w:rsidR="00903F62" w:rsidRPr="003F4CE1">
        <w:t>to</w:t>
      </w:r>
      <w:r w:rsidR="00573BA7">
        <w:t xml:space="preserve"> </w:t>
      </w:r>
      <w:r w:rsidR="00903F62" w:rsidRPr="003F4CE1">
        <w:t>discuss</w:t>
      </w:r>
      <w:r w:rsidR="00573BA7">
        <w:t xml:space="preserve"> </w:t>
      </w:r>
      <w:r w:rsidR="00903F62" w:rsidRPr="003F4CE1">
        <w:t>a</w:t>
      </w:r>
      <w:r w:rsidR="00573BA7">
        <w:t xml:space="preserve"> </w:t>
      </w:r>
      <w:r w:rsidR="00903F62" w:rsidRPr="003F4CE1">
        <w:t>requested</w:t>
      </w:r>
      <w:r w:rsidR="00573BA7">
        <w:t xml:space="preserve"> </w:t>
      </w:r>
      <w:r w:rsidR="00903F62" w:rsidRPr="003F4CE1">
        <w:t>flexible</w:t>
      </w:r>
      <w:r w:rsidR="00573BA7">
        <w:t xml:space="preserve"> </w:t>
      </w:r>
      <w:r w:rsidR="00903F62" w:rsidRPr="003F4CE1">
        <w:t>working</w:t>
      </w:r>
      <w:r w:rsidR="00573BA7">
        <w:t xml:space="preserve"> </w:t>
      </w:r>
      <w:r w:rsidR="00903F62" w:rsidRPr="003F4CE1">
        <w:t>arrangement</w:t>
      </w:r>
      <w:r w:rsidR="00573BA7">
        <w:t xml:space="preserve"> </w:t>
      </w:r>
      <w:r w:rsidR="00D550B4" w:rsidRPr="003F4CE1">
        <w:t>with</w:t>
      </w:r>
      <w:r w:rsidR="00573BA7">
        <w:t xml:space="preserve"> </w:t>
      </w:r>
      <w:r w:rsidR="00D550B4" w:rsidRPr="003F4CE1">
        <w:t>the</w:t>
      </w:r>
      <w:r w:rsidR="00573BA7">
        <w:t xml:space="preserve"> </w:t>
      </w:r>
      <w:r w:rsidR="00D550B4" w:rsidRPr="003F4CE1">
        <w:t>employee</w:t>
      </w:r>
      <w:r w:rsidR="00573BA7">
        <w:t xml:space="preserve"> </w:t>
      </w:r>
      <w:r w:rsidR="00456792" w:rsidRPr="003F4CE1">
        <w:t>before</w:t>
      </w:r>
      <w:r w:rsidR="00573BA7">
        <w:t xml:space="preserve"> </w:t>
      </w:r>
      <w:r w:rsidR="00456792" w:rsidRPr="003F4CE1">
        <w:t>refusing</w:t>
      </w:r>
      <w:r w:rsidR="00573BA7">
        <w:t xml:space="preserve"> </w:t>
      </w:r>
      <w:r w:rsidR="00AA4AD8" w:rsidRPr="003F4CE1">
        <w:t>the</w:t>
      </w:r>
      <w:r w:rsidR="00573BA7">
        <w:t xml:space="preserve"> </w:t>
      </w:r>
      <w:r w:rsidR="00AA4AD8" w:rsidRPr="003F4CE1">
        <w:t>request</w:t>
      </w:r>
      <w:r w:rsidR="00573BA7">
        <w:t xml:space="preserve"> </w:t>
      </w:r>
      <w:r w:rsidR="00251128">
        <w:t>is</w:t>
      </w:r>
      <w:r w:rsidR="00573BA7">
        <w:t xml:space="preserve"> </w:t>
      </w:r>
      <w:r w:rsidR="00A216FA" w:rsidRPr="003F4CE1">
        <w:t>consistent</w:t>
      </w:r>
      <w:r w:rsidR="00573BA7">
        <w:t xml:space="preserve"> </w:t>
      </w:r>
      <w:r w:rsidR="00A216FA" w:rsidRPr="003F4CE1">
        <w:t>with</w:t>
      </w:r>
      <w:r w:rsidR="00573BA7">
        <w:t xml:space="preserve"> </w:t>
      </w:r>
      <w:r w:rsidR="00CB0532" w:rsidRPr="003F4CE1">
        <w:t>procedural</w:t>
      </w:r>
      <w:r w:rsidR="00573BA7">
        <w:t xml:space="preserve"> </w:t>
      </w:r>
      <w:r w:rsidR="00CB0532" w:rsidRPr="003F4CE1">
        <w:t>fairness</w:t>
      </w:r>
      <w:r w:rsidR="00A216FA" w:rsidRPr="003F4CE1">
        <w:t>.</w:t>
      </w:r>
      <w:r w:rsidR="00573BA7">
        <w:t xml:space="preserve">  </w:t>
      </w:r>
      <w:r w:rsidR="00A216FA" w:rsidRPr="003F4CE1">
        <w:t>Doing</w:t>
      </w:r>
      <w:r w:rsidR="00573BA7">
        <w:t xml:space="preserve"> </w:t>
      </w:r>
      <w:r w:rsidR="00A216FA" w:rsidRPr="003F4CE1">
        <w:t>so</w:t>
      </w:r>
      <w:r w:rsidR="00573BA7">
        <w:t xml:space="preserve"> </w:t>
      </w:r>
      <w:r w:rsidR="00E34D78" w:rsidRPr="003F4CE1">
        <w:t>would</w:t>
      </w:r>
      <w:r w:rsidR="00573BA7">
        <w:t xml:space="preserve"> </w:t>
      </w:r>
      <w:r w:rsidR="00A216FA" w:rsidRPr="003F4CE1">
        <w:t>also</w:t>
      </w:r>
      <w:r w:rsidR="00573BA7">
        <w:t xml:space="preserve"> </w:t>
      </w:r>
      <w:r w:rsidR="00E34D78" w:rsidRPr="003F4CE1">
        <w:t>ensure</w:t>
      </w:r>
      <w:r w:rsidR="00573BA7">
        <w:t xml:space="preserve"> </w:t>
      </w:r>
      <w:r w:rsidR="00E34D78" w:rsidRPr="003F4CE1">
        <w:t>that</w:t>
      </w:r>
      <w:r w:rsidR="00573BA7">
        <w:t xml:space="preserve"> </w:t>
      </w:r>
      <w:r w:rsidR="00002DB7" w:rsidRPr="003F4CE1">
        <w:t>due</w:t>
      </w:r>
      <w:r w:rsidR="00573BA7">
        <w:t xml:space="preserve"> </w:t>
      </w:r>
      <w:r w:rsidR="00002DB7" w:rsidRPr="003F4CE1">
        <w:t>consideration</w:t>
      </w:r>
      <w:r w:rsidR="00573BA7">
        <w:t xml:space="preserve"> </w:t>
      </w:r>
      <w:r w:rsidR="00CE2F4F" w:rsidRPr="003F4CE1">
        <w:t>is</w:t>
      </w:r>
      <w:r w:rsidR="00573BA7">
        <w:t xml:space="preserve"> </w:t>
      </w:r>
      <w:r w:rsidR="00CD607C" w:rsidRPr="003F4CE1">
        <w:t>afforded</w:t>
      </w:r>
      <w:r w:rsidR="00573BA7">
        <w:t xml:space="preserve"> </w:t>
      </w:r>
      <w:r w:rsidR="00002DB7" w:rsidRPr="003F4CE1">
        <w:t>to</w:t>
      </w:r>
      <w:r w:rsidR="00573BA7">
        <w:t xml:space="preserve"> </w:t>
      </w:r>
      <w:r w:rsidR="00002DB7" w:rsidRPr="003F4CE1">
        <w:t>requests</w:t>
      </w:r>
      <w:r w:rsidR="00573BA7">
        <w:t xml:space="preserve"> </w:t>
      </w:r>
      <w:r w:rsidR="005822F7" w:rsidRPr="003F4CE1">
        <w:t>for</w:t>
      </w:r>
      <w:r w:rsidR="00573BA7">
        <w:t xml:space="preserve"> </w:t>
      </w:r>
      <w:r w:rsidR="005822F7" w:rsidRPr="003F4CE1">
        <w:t>arrangements</w:t>
      </w:r>
      <w:r w:rsidR="00573BA7">
        <w:t xml:space="preserve"> </w:t>
      </w:r>
      <w:r w:rsidR="00A82AB0" w:rsidRPr="003F4CE1">
        <w:t>that</w:t>
      </w:r>
      <w:r w:rsidR="00573BA7">
        <w:t xml:space="preserve"> </w:t>
      </w:r>
      <w:r w:rsidR="00CE2F4F" w:rsidRPr="003F4CE1">
        <w:t>enable</w:t>
      </w:r>
      <w:r w:rsidR="00573BA7">
        <w:t xml:space="preserve"> </w:t>
      </w:r>
      <w:r w:rsidR="00A82AB0" w:rsidRPr="003F4CE1">
        <w:t>employee</w:t>
      </w:r>
      <w:r w:rsidR="0055617F" w:rsidRPr="003F4CE1">
        <w:t>s</w:t>
      </w:r>
      <w:r w:rsidR="00573BA7">
        <w:t xml:space="preserve"> </w:t>
      </w:r>
      <w:r w:rsidR="00A82AB0" w:rsidRPr="003F4CE1">
        <w:t>with</w:t>
      </w:r>
      <w:r w:rsidR="00573BA7">
        <w:t xml:space="preserve"> </w:t>
      </w:r>
      <w:r w:rsidR="00A82AB0" w:rsidRPr="003F4CE1">
        <w:t>a</w:t>
      </w:r>
      <w:r w:rsidR="00573BA7">
        <w:t xml:space="preserve"> </w:t>
      </w:r>
      <w:r w:rsidR="00A82AB0" w:rsidRPr="003F4CE1">
        <w:t>disability</w:t>
      </w:r>
      <w:r w:rsidR="00573BA7">
        <w:t xml:space="preserve"> </w:t>
      </w:r>
      <w:r w:rsidR="00A82AB0" w:rsidRPr="003F4CE1">
        <w:t>to</w:t>
      </w:r>
      <w:r w:rsidR="00573BA7">
        <w:t xml:space="preserve"> </w:t>
      </w:r>
      <w:r w:rsidR="0055617F" w:rsidRPr="003F4CE1">
        <w:t>participate</w:t>
      </w:r>
      <w:r w:rsidR="00573BA7">
        <w:t xml:space="preserve"> </w:t>
      </w:r>
      <w:r w:rsidR="00CE2F4F" w:rsidRPr="003F4CE1">
        <w:t>more</w:t>
      </w:r>
      <w:r w:rsidR="00573BA7">
        <w:t xml:space="preserve"> </w:t>
      </w:r>
      <w:r w:rsidR="00CE2F4F" w:rsidRPr="003F4CE1">
        <w:t>fully</w:t>
      </w:r>
      <w:r w:rsidR="00573BA7">
        <w:t xml:space="preserve"> </w:t>
      </w:r>
      <w:r w:rsidR="0055617F" w:rsidRPr="003F4CE1">
        <w:t>in</w:t>
      </w:r>
      <w:r w:rsidR="00573BA7">
        <w:t xml:space="preserve"> </w:t>
      </w:r>
      <w:r w:rsidR="0055617F" w:rsidRPr="003F4CE1">
        <w:t>the</w:t>
      </w:r>
      <w:r w:rsidR="00573BA7">
        <w:t xml:space="preserve"> </w:t>
      </w:r>
      <w:r w:rsidR="0055617F" w:rsidRPr="003F4CE1">
        <w:t>labour</w:t>
      </w:r>
      <w:r w:rsidR="00573BA7">
        <w:t xml:space="preserve"> </w:t>
      </w:r>
      <w:r w:rsidR="0055617F" w:rsidRPr="003F4CE1">
        <w:t>market.</w:t>
      </w:r>
    </w:p>
    <w:p w14:paraId="502CF0CF" w14:textId="5038642B" w:rsidR="00CB0E66" w:rsidRDefault="008B2931" w:rsidP="00662F4B">
      <w:pPr>
        <w:pStyle w:val="ListNumber"/>
      </w:pPr>
      <w:r>
        <w:t>Section 76 of the Fair Work Act (extending unpaid parental leave</w:t>
      </w:r>
      <w:r w:rsidR="00A70753">
        <w:t xml:space="preserve"> beyond 12 months</w:t>
      </w:r>
      <w:r>
        <w:t xml:space="preserve">) provides a useful model for consulting with employees about </w:t>
      </w:r>
      <w:r w:rsidR="009627E1">
        <w:t>work arrangements. Where an employee requests an extension of unpaid parental leave beyond 12 months</w:t>
      </w:r>
      <w:r w:rsidR="00E74ABF">
        <w:t xml:space="preserve"> the following steps apply:</w:t>
      </w:r>
    </w:p>
    <w:p w14:paraId="1E67A8AE" w14:textId="7D4CF179" w:rsidR="00E74ABF" w:rsidRDefault="000A29D1" w:rsidP="00E74ABF">
      <w:pPr>
        <w:pStyle w:val="ListNumber"/>
        <w:numPr>
          <w:ilvl w:val="0"/>
          <w:numId w:val="52"/>
        </w:numPr>
      </w:pPr>
      <w:r>
        <w:t>the employee must make the request in writing</w:t>
      </w:r>
      <w:r w:rsidR="00E53FCB">
        <w:rPr>
          <w:rStyle w:val="EndnoteReference"/>
        </w:rPr>
        <w:endnoteReference w:id="200"/>
      </w:r>
    </w:p>
    <w:p w14:paraId="3F8652EF" w14:textId="17DAA869" w:rsidR="000A29D1" w:rsidRDefault="000A4CD7" w:rsidP="00E74ABF">
      <w:pPr>
        <w:pStyle w:val="ListNumber"/>
        <w:numPr>
          <w:ilvl w:val="0"/>
          <w:numId w:val="52"/>
        </w:numPr>
      </w:pPr>
      <w:r>
        <w:t>the employer must provide a written response within 21 days of receiving the request</w:t>
      </w:r>
      <w:r w:rsidR="00726FEC">
        <w:rPr>
          <w:rStyle w:val="EndnoteReference"/>
        </w:rPr>
        <w:endnoteReference w:id="201"/>
      </w:r>
    </w:p>
    <w:p w14:paraId="0CAFEC32" w14:textId="52E50F1E" w:rsidR="000A4CD7" w:rsidRDefault="000A4CD7" w:rsidP="00E74ABF">
      <w:pPr>
        <w:pStyle w:val="ListNumber"/>
        <w:numPr>
          <w:ilvl w:val="0"/>
          <w:numId w:val="52"/>
        </w:numPr>
      </w:pPr>
      <w:r>
        <w:t>a refusal can only be made on ‘reasonable business grounds’</w:t>
      </w:r>
      <w:r w:rsidR="009C7CF7">
        <w:rPr>
          <w:rStyle w:val="EndnoteReference"/>
        </w:rPr>
        <w:endnoteReference w:id="202"/>
      </w:r>
    </w:p>
    <w:p w14:paraId="3E58E995" w14:textId="1ACC6DA4" w:rsidR="00B554E7" w:rsidRPr="003F4CE1" w:rsidRDefault="00B554E7" w:rsidP="00710E6A">
      <w:pPr>
        <w:pStyle w:val="ListNumber"/>
        <w:numPr>
          <w:ilvl w:val="0"/>
          <w:numId w:val="52"/>
        </w:numPr>
      </w:pPr>
      <w:r>
        <w:t>the employer cannot refuse the request without the employer providing the employee a reasonable opportunity to discuss the request.</w:t>
      </w:r>
      <w:r w:rsidR="009C7CF7">
        <w:rPr>
          <w:rStyle w:val="EndnoteReference"/>
        </w:rPr>
        <w:endnoteReference w:id="203"/>
      </w:r>
      <w:r>
        <w:t xml:space="preserve"> </w:t>
      </w:r>
    </w:p>
    <w:p w14:paraId="73EFBEFD" w14:textId="125F3958" w:rsidR="00E330AD" w:rsidRPr="00223CE7" w:rsidRDefault="00E330AD" w:rsidP="00223CE7">
      <w:pPr>
        <w:pStyle w:val="ListNumber"/>
        <w:rPr>
          <w:b/>
          <w:bCs/>
          <w:i/>
          <w:iCs/>
        </w:rPr>
      </w:pPr>
      <w:r w:rsidRPr="00223CE7">
        <w:rPr>
          <w:b/>
          <w:bCs/>
          <w:i/>
          <w:iCs/>
        </w:rPr>
        <w:t xml:space="preserve">Recommendation 9: The Australian Government amend section 65 of the Fair Work Act so that an employer is required to provide written reasons for the grant or refusal of a request for flexible work arrangements within a reasonable period of time (for example, 21 days) and specifically provide that a request for flexible work arrangements cannot be refused without providing the employee with a reasonable opportunity to discuss the request.    </w:t>
      </w:r>
    </w:p>
    <w:p w14:paraId="783CAB6B" w14:textId="7AB0CBCE" w:rsidR="00017132" w:rsidRPr="003F4CE1" w:rsidRDefault="00E74DDF" w:rsidP="00017132">
      <w:pPr>
        <w:pStyle w:val="Heading2"/>
      </w:pPr>
      <w:bookmarkStart w:id="109" w:name="_Toc45727503"/>
      <w:bookmarkStart w:id="110" w:name="_Toc51834294"/>
      <w:r>
        <w:t>E</w:t>
      </w:r>
      <w:r w:rsidR="00DC7751">
        <w:t>ffectiveness</w:t>
      </w:r>
      <w:r w:rsidR="00573BA7">
        <w:t xml:space="preserve"> </w:t>
      </w:r>
      <w:r w:rsidR="00DC7751">
        <w:t>of</w:t>
      </w:r>
      <w:r w:rsidR="00573BA7">
        <w:t xml:space="preserve"> </w:t>
      </w:r>
      <w:r w:rsidR="00017132" w:rsidRPr="003F4CE1">
        <w:t>National</w:t>
      </w:r>
      <w:r w:rsidR="00573BA7">
        <w:t xml:space="preserve"> </w:t>
      </w:r>
      <w:r w:rsidR="00017132" w:rsidRPr="003F4CE1">
        <w:t>Disability</w:t>
      </w:r>
      <w:r w:rsidR="00573BA7">
        <w:t xml:space="preserve"> </w:t>
      </w:r>
      <w:r w:rsidR="00017132" w:rsidRPr="003F4CE1">
        <w:t>Strategy</w:t>
      </w:r>
      <w:bookmarkEnd w:id="109"/>
      <w:bookmarkEnd w:id="110"/>
      <w:r w:rsidR="00573BA7">
        <w:t xml:space="preserve"> </w:t>
      </w:r>
    </w:p>
    <w:p w14:paraId="4380EE62" w14:textId="0DB700B0" w:rsidR="00AD3083" w:rsidRPr="00E9462E" w:rsidRDefault="00AD3083" w:rsidP="00AD3083">
      <w:pPr>
        <w:pStyle w:val="ListNumber"/>
        <w:rPr>
          <w:lang w:eastAsia="en-GB"/>
        </w:rPr>
      </w:pPr>
      <w:r w:rsidRPr="07069484">
        <w:rPr>
          <w:lang w:eastAsia="en-GB"/>
        </w:rPr>
        <w:t xml:space="preserve">This section briefly addresses how the NDS may be insufficient to support the Australian Government to fulfil its obligations under international human rights law. This section responds to questions </w:t>
      </w:r>
      <w:r w:rsidR="000B26E0" w:rsidRPr="07069484">
        <w:rPr>
          <w:lang w:eastAsia="en-GB"/>
        </w:rPr>
        <w:t>two</w:t>
      </w:r>
      <w:r w:rsidR="003C6D05" w:rsidRPr="07069484">
        <w:rPr>
          <w:lang w:eastAsia="en-GB"/>
        </w:rPr>
        <w:t xml:space="preserve">, </w:t>
      </w:r>
      <w:r w:rsidR="000B26E0" w:rsidRPr="07069484">
        <w:rPr>
          <w:lang w:eastAsia="en-GB"/>
        </w:rPr>
        <w:t>five</w:t>
      </w:r>
      <w:r w:rsidRPr="07069484">
        <w:rPr>
          <w:lang w:eastAsia="en-GB"/>
        </w:rPr>
        <w:t xml:space="preserve"> and </w:t>
      </w:r>
      <w:r w:rsidR="000B26E0" w:rsidRPr="07069484">
        <w:rPr>
          <w:lang w:eastAsia="en-GB"/>
        </w:rPr>
        <w:t>eight</w:t>
      </w:r>
      <w:r w:rsidRPr="07069484">
        <w:rPr>
          <w:lang w:eastAsia="en-GB"/>
        </w:rPr>
        <w:t xml:space="preserve"> of the Issues Paper.</w:t>
      </w:r>
    </w:p>
    <w:p w14:paraId="058CB6A5" w14:textId="68E7FBDB" w:rsidR="00605225" w:rsidRPr="003F4CE1" w:rsidRDefault="00C45D51" w:rsidP="006A6E2C">
      <w:pPr>
        <w:pStyle w:val="ListNumber"/>
        <w:rPr>
          <w:lang w:eastAsia="en-GB"/>
        </w:rPr>
      </w:pPr>
      <w:r w:rsidRPr="07069484">
        <w:rPr>
          <w:lang w:eastAsia="en-GB"/>
        </w:rPr>
        <w:t>T</w:t>
      </w:r>
      <w:r w:rsidR="002D548F" w:rsidRPr="07069484">
        <w:rPr>
          <w:lang w:eastAsia="en-GB"/>
        </w:rPr>
        <w:t xml:space="preserve">he Commission is concerned that the NDS </w:t>
      </w:r>
      <w:r w:rsidR="00655B54" w:rsidRPr="07069484">
        <w:rPr>
          <w:lang w:eastAsia="en-GB"/>
        </w:rPr>
        <w:t xml:space="preserve">has not </w:t>
      </w:r>
      <w:r w:rsidR="00637392" w:rsidRPr="07069484">
        <w:rPr>
          <w:lang w:eastAsia="en-GB"/>
        </w:rPr>
        <w:t>equipped Australia to adequately fulfil its obligations</w:t>
      </w:r>
      <w:r w:rsidR="00031A06" w:rsidRPr="07069484">
        <w:rPr>
          <w:lang w:eastAsia="en-GB"/>
        </w:rPr>
        <w:t xml:space="preserve"> under the CRPD</w:t>
      </w:r>
      <w:r w:rsidR="00637392" w:rsidRPr="07069484">
        <w:rPr>
          <w:lang w:eastAsia="en-GB"/>
        </w:rPr>
        <w:t xml:space="preserve"> in relation to the employment of people with disability.</w:t>
      </w:r>
      <w:r w:rsidR="00FB05D7" w:rsidRPr="07069484">
        <w:rPr>
          <w:lang w:eastAsia="en-GB"/>
        </w:rPr>
        <w:t xml:space="preserve"> </w:t>
      </w:r>
      <w:r w:rsidR="001A32E4" w:rsidRPr="07069484">
        <w:rPr>
          <w:lang w:eastAsia="en-GB"/>
        </w:rPr>
        <w:t>The Commission notes that a comprehensive review of the NDS is currently being undertaken, and a new version of the NDS will be developed for beyond 2020.</w:t>
      </w:r>
    </w:p>
    <w:p w14:paraId="769C53A8" w14:textId="788EC950" w:rsidR="00F84EE8" w:rsidRDefault="00637392" w:rsidP="00637392">
      <w:pPr>
        <w:pStyle w:val="ListNumber"/>
        <w:rPr>
          <w:rFonts w:eastAsia="Times New Roman" w:cs="Open Sans"/>
        </w:rPr>
      </w:pPr>
      <w:r>
        <w:rPr>
          <w:lang w:eastAsia="en-GB"/>
        </w:rPr>
        <w:lastRenderedPageBreak/>
        <w:t>In 2017, a</w:t>
      </w:r>
      <w:r w:rsidR="00573BA7">
        <w:rPr>
          <w:rFonts w:cs="Open Sans"/>
        </w:rPr>
        <w:t xml:space="preserve"> </w:t>
      </w:r>
      <w:r w:rsidR="001E1FD3" w:rsidRPr="003F4CE1">
        <w:rPr>
          <w:rFonts w:cs="Open Sans"/>
        </w:rPr>
        <w:t>Senate</w:t>
      </w:r>
      <w:r w:rsidR="00573BA7">
        <w:rPr>
          <w:rFonts w:cs="Open Sans"/>
        </w:rPr>
        <w:t xml:space="preserve"> </w:t>
      </w:r>
      <w:r w:rsidR="001E1FD3" w:rsidRPr="003F4CE1">
        <w:rPr>
          <w:rFonts w:cs="Open Sans"/>
        </w:rPr>
        <w:t>Standing</w:t>
      </w:r>
      <w:r w:rsidR="00573BA7">
        <w:rPr>
          <w:rFonts w:cs="Open Sans"/>
        </w:rPr>
        <w:t xml:space="preserve"> </w:t>
      </w:r>
      <w:r w:rsidR="001E1FD3" w:rsidRPr="003F4CE1">
        <w:rPr>
          <w:rFonts w:cs="Open Sans"/>
        </w:rPr>
        <w:t>Committee</w:t>
      </w:r>
      <w:r w:rsidR="00573BA7">
        <w:rPr>
          <w:rFonts w:cs="Open Sans"/>
        </w:rPr>
        <w:t xml:space="preserve"> </w:t>
      </w:r>
      <w:r w:rsidR="00304B44">
        <w:rPr>
          <w:rFonts w:cs="Open Sans"/>
        </w:rPr>
        <w:t>review</w:t>
      </w:r>
      <w:r w:rsidR="00573BA7">
        <w:rPr>
          <w:rFonts w:eastAsia="Times New Roman" w:cs="Open Sans"/>
        </w:rPr>
        <w:t xml:space="preserve"> </w:t>
      </w:r>
      <w:r w:rsidR="007F0010" w:rsidRPr="003F4CE1">
        <w:rPr>
          <w:rFonts w:eastAsia="Times New Roman" w:cs="Open Sans"/>
        </w:rPr>
        <w:t>concluded</w:t>
      </w:r>
      <w:r w:rsidR="00573BA7">
        <w:rPr>
          <w:rFonts w:eastAsia="Times New Roman" w:cs="Open Sans"/>
        </w:rPr>
        <w:t xml:space="preserve"> </w:t>
      </w:r>
      <w:r w:rsidR="007F0010" w:rsidRPr="003F4CE1">
        <w:rPr>
          <w:rFonts w:eastAsia="Times New Roman" w:cs="Open Sans"/>
        </w:rPr>
        <w:t>that</w:t>
      </w:r>
      <w:r w:rsidR="00573BA7">
        <w:rPr>
          <w:rFonts w:eastAsia="Times New Roman" w:cs="Open Sans"/>
        </w:rPr>
        <w:t xml:space="preserve"> </w:t>
      </w:r>
      <w:r w:rsidR="007F0010" w:rsidRPr="003F4CE1">
        <w:rPr>
          <w:rFonts w:eastAsia="Times New Roman" w:cs="Open Sans"/>
        </w:rPr>
        <w:t>the</w:t>
      </w:r>
      <w:r w:rsidR="00573BA7">
        <w:rPr>
          <w:rFonts w:eastAsia="Times New Roman" w:cs="Open Sans"/>
        </w:rPr>
        <w:t xml:space="preserve"> </w:t>
      </w:r>
      <w:r w:rsidR="007F0010" w:rsidRPr="003F4CE1">
        <w:rPr>
          <w:rFonts w:eastAsia="Times New Roman" w:cs="Open Sans"/>
        </w:rPr>
        <w:t>introduction</w:t>
      </w:r>
      <w:r w:rsidR="00573BA7">
        <w:rPr>
          <w:rFonts w:eastAsia="Times New Roman" w:cs="Open Sans"/>
        </w:rPr>
        <w:t xml:space="preserve"> </w:t>
      </w:r>
      <w:r w:rsidR="007F0010" w:rsidRPr="003F4CE1">
        <w:rPr>
          <w:rFonts w:eastAsia="Times New Roman" w:cs="Open Sans"/>
        </w:rPr>
        <w:t>of</w:t>
      </w:r>
      <w:r w:rsidR="00573BA7">
        <w:rPr>
          <w:rFonts w:eastAsia="Times New Roman" w:cs="Open Sans"/>
        </w:rPr>
        <w:t xml:space="preserve"> </w:t>
      </w:r>
      <w:r w:rsidR="007F0010" w:rsidRPr="003F4CE1">
        <w:rPr>
          <w:rFonts w:eastAsia="Times New Roman" w:cs="Open Sans"/>
        </w:rPr>
        <w:t>the</w:t>
      </w:r>
      <w:r w:rsidR="00573BA7">
        <w:rPr>
          <w:rFonts w:eastAsia="Times New Roman" w:cs="Open Sans"/>
        </w:rPr>
        <w:t xml:space="preserve"> </w:t>
      </w:r>
      <w:r w:rsidR="007F0010">
        <w:rPr>
          <w:rFonts w:eastAsia="Times New Roman" w:cs="Open Sans"/>
        </w:rPr>
        <w:t>NDS</w:t>
      </w:r>
      <w:r w:rsidR="00573BA7">
        <w:rPr>
          <w:rFonts w:eastAsia="Times New Roman" w:cs="Open Sans"/>
        </w:rPr>
        <w:t xml:space="preserve"> </w:t>
      </w:r>
      <w:r w:rsidR="007F0010" w:rsidRPr="003F4CE1">
        <w:rPr>
          <w:rFonts w:eastAsia="Times New Roman" w:cs="Open Sans"/>
        </w:rPr>
        <w:t>has</w:t>
      </w:r>
      <w:r w:rsidR="00573BA7">
        <w:rPr>
          <w:rFonts w:eastAsia="Times New Roman" w:cs="Open Sans"/>
        </w:rPr>
        <w:t xml:space="preserve"> </w:t>
      </w:r>
      <w:r w:rsidR="007F0010">
        <w:rPr>
          <w:rFonts w:eastAsia="Times New Roman" w:cs="Open Sans"/>
        </w:rPr>
        <w:t>failed</w:t>
      </w:r>
      <w:r w:rsidR="00573BA7">
        <w:rPr>
          <w:rFonts w:eastAsia="Times New Roman" w:cs="Open Sans"/>
        </w:rPr>
        <w:t xml:space="preserve"> </w:t>
      </w:r>
      <w:r w:rsidR="007F0010">
        <w:rPr>
          <w:rFonts w:eastAsia="Times New Roman" w:cs="Open Sans"/>
        </w:rPr>
        <w:t>to</w:t>
      </w:r>
      <w:r w:rsidR="00573BA7">
        <w:rPr>
          <w:rFonts w:eastAsia="Times New Roman" w:cs="Open Sans"/>
        </w:rPr>
        <w:t xml:space="preserve"> </w:t>
      </w:r>
      <w:r w:rsidR="007F0010">
        <w:rPr>
          <w:rFonts w:eastAsia="Times New Roman" w:cs="Open Sans"/>
        </w:rPr>
        <w:t>address</w:t>
      </w:r>
      <w:r w:rsidR="00573BA7">
        <w:rPr>
          <w:rFonts w:eastAsia="Times New Roman" w:cs="Open Sans"/>
        </w:rPr>
        <w:t xml:space="preserve"> </w:t>
      </w:r>
      <w:r w:rsidR="007F0010">
        <w:rPr>
          <w:rFonts w:eastAsia="Times New Roman" w:cs="Open Sans"/>
        </w:rPr>
        <w:t>decreasing</w:t>
      </w:r>
      <w:r w:rsidR="00573BA7">
        <w:rPr>
          <w:rFonts w:eastAsia="Times New Roman" w:cs="Open Sans"/>
        </w:rPr>
        <w:t xml:space="preserve"> </w:t>
      </w:r>
      <w:r w:rsidR="007F0010">
        <w:rPr>
          <w:rFonts w:eastAsia="Times New Roman" w:cs="Open Sans"/>
        </w:rPr>
        <w:t>rates</w:t>
      </w:r>
      <w:r w:rsidR="00573BA7">
        <w:rPr>
          <w:rFonts w:eastAsia="Times New Roman" w:cs="Open Sans"/>
        </w:rPr>
        <w:t xml:space="preserve"> </w:t>
      </w:r>
      <w:r w:rsidR="007F0010">
        <w:rPr>
          <w:rFonts w:eastAsia="Times New Roman" w:cs="Open Sans"/>
        </w:rPr>
        <w:t>of</w:t>
      </w:r>
      <w:r w:rsidR="00573BA7">
        <w:rPr>
          <w:rFonts w:eastAsia="Times New Roman" w:cs="Open Sans"/>
        </w:rPr>
        <w:t xml:space="preserve"> </w:t>
      </w:r>
      <w:r w:rsidR="007F0010">
        <w:rPr>
          <w:rFonts w:eastAsia="Times New Roman" w:cs="Open Sans"/>
        </w:rPr>
        <w:t>employment</w:t>
      </w:r>
      <w:r w:rsidR="00573BA7">
        <w:rPr>
          <w:rFonts w:eastAsia="Times New Roman" w:cs="Open Sans"/>
        </w:rPr>
        <w:t xml:space="preserve"> </w:t>
      </w:r>
      <w:r w:rsidR="007F0010">
        <w:rPr>
          <w:rFonts w:eastAsia="Times New Roman" w:cs="Open Sans"/>
        </w:rPr>
        <w:t>for</w:t>
      </w:r>
      <w:r w:rsidR="00573BA7">
        <w:rPr>
          <w:rFonts w:eastAsia="Times New Roman" w:cs="Open Sans"/>
        </w:rPr>
        <w:t xml:space="preserve"> </w:t>
      </w:r>
      <w:r w:rsidR="007F0010">
        <w:rPr>
          <w:rFonts w:eastAsia="Times New Roman" w:cs="Open Sans"/>
        </w:rPr>
        <w:t>people</w:t>
      </w:r>
      <w:r w:rsidR="00573BA7">
        <w:rPr>
          <w:rFonts w:eastAsia="Times New Roman" w:cs="Open Sans"/>
        </w:rPr>
        <w:t xml:space="preserve"> </w:t>
      </w:r>
      <w:r w:rsidR="007F0010">
        <w:rPr>
          <w:rFonts w:eastAsia="Times New Roman" w:cs="Open Sans"/>
        </w:rPr>
        <w:t>with</w:t>
      </w:r>
      <w:r w:rsidR="00573BA7">
        <w:rPr>
          <w:rFonts w:eastAsia="Times New Roman" w:cs="Open Sans"/>
        </w:rPr>
        <w:t xml:space="preserve"> </w:t>
      </w:r>
      <w:r w:rsidR="007F0010" w:rsidRPr="006A6E2C">
        <w:rPr>
          <w:rFonts w:eastAsia="Times New Roman" w:cs="Open Sans"/>
        </w:rPr>
        <w:t>disability</w:t>
      </w:r>
      <w:r w:rsidR="007F0010" w:rsidRPr="00BC4DA8">
        <w:rPr>
          <w:rFonts w:eastAsia="Times New Roman" w:cs="Open Sans"/>
        </w:rPr>
        <w:t>.</w:t>
      </w:r>
      <w:r w:rsidR="00605225" w:rsidRPr="003F4CE1">
        <w:rPr>
          <w:rStyle w:val="EndnoteReference"/>
          <w:rFonts w:eastAsia="Times New Roman" w:cs="Open Sans"/>
        </w:rPr>
        <w:endnoteReference w:id="204"/>
      </w:r>
      <w:r w:rsidR="00573BA7">
        <w:rPr>
          <w:rFonts w:eastAsia="Times New Roman" w:cs="Open Sans"/>
        </w:rPr>
        <w:t xml:space="preserve"> </w:t>
      </w:r>
      <w:r w:rsidR="007F0010">
        <w:rPr>
          <w:rFonts w:eastAsia="Times New Roman" w:cs="Open Sans"/>
        </w:rPr>
        <w:t>In</w:t>
      </w:r>
      <w:r w:rsidR="00573BA7">
        <w:rPr>
          <w:rFonts w:eastAsia="Times New Roman" w:cs="Open Sans"/>
        </w:rPr>
        <w:t xml:space="preserve"> </w:t>
      </w:r>
      <w:r w:rsidR="007F0010">
        <w:rPr>
          <w:rFonts w:eastAsia="Times New Roman" w:cs="Open Sans"/>
        </w:rPr>
        <w:t>particular,</w:t>
      </w:r>
      <w:r w:rsidR="00573BA7">
        <w:rPr>
          <w:rFonts w:eastAsia="Times New Roman" w:cs="Open Sans"/>
        </w:rPr>
        <w:t xml:space="preserve"> </w:t>
      </w:r>
      <w:r w:rsidR="007F0010">
        <w:rPr>
          <w:rFonts w:eastAsia="Times New Roman" w:cs="Open Sans"/>
        </w:rPr>
        <w:t>it</w:t>
      </w:r>
      <w:r w:rsidR="00573BA7">
        <w:rPr>
          <w:rFonts w:eastAsia="Times New Roman" w:cs="Open Sans"/>
        </w:rPr>
        <w:t xml:space="preserve"> </w:t>
      </w:r>
      <w:r w:rsidR="001E1FD3" w:rsidRPr="003F4CE1">
        <w:rPr>
          <w:rFonts w:eastAsia="Times New Roman" w:cs="Open Sans"/>
        </w:rPr>
        <w:t>noted</w:t>
      </w:r>
      <w:r w:rsidR="00573BA7">
        <w:rPr>
          <w:rFonts w:eastAsia="Times New Roman" w:cs="Open Sans"/>
        </w:rPr>
        <w:t xml:space="preserve"> </w:t>
      </w:r>
      <w:r w:rsidR="001E1FD3" w:rsidRPr="003F4CE1">
        <w:rPr>
          <w:rFonts w:eastAsia="Times New Roman" w:cs="Open Sans"/>
        </w:rPr>
        <w:t>the</w:t>
      </w:r>
      <w:r w:rsidR="00573BA7">
        <w:rPr>
          <w:rFonts w:eastAsia="Times New Roman" w:cs="Open Sans"/>
        </w:rPr>
        <w:t xml:space="preserve"> </w:t>
      </w:r>
      <w:r w:rsidR="001E1FD3" w:rsidRPr="003F4CE1">
        <w:rPr>
          <w:rFonts w:eastAsia="Times New Roman" w:cs="Open Sans"/>
        </w:rPr>
        <w:t>failure</w:t>
      </w:r>
      <w:r w:rsidR="00573BA7">
        <w:rPr>
          <w:rFonts w:eastAsia="Times New Roman" w:cs="Open Sans"/>
        </w:rPr>
        <w:t xml:space="preserve"> </w:t>
      </w:r>
      <w:r w:rsidR="001E1FD3" w:rsidRPr="003F4CE1">
        <w:rPr>
          <w:rFonts w:eastAsia="Times New Roman" w:cs="Open Sans"/>
        </w:rPr>
        <w:t>of</w:t>
      </w:r>
      <w:r w:rsidR="00573BA7">
        <w:rPr>
          <w:rFonts w:eastAsia="Times New Roman" w:cs="Open Sans"/>
        </w:rPr>
        <w:t xml:space="preserve"> </w:t>
      </w:r>
      <w:r w:rsidR="001E1FD3" w:rsidRPr="003F4CE1">
        <w:rPr>
          <w:rFonts w:eastAsia="Times New Roman" w:cs="Open Sans"/>
        </w:rPr>
        <w:t>the</w:t>
      </w:r>
      <w:r w:rsidR="00573BA7">
        <w:rPr>
          <w:rFonts w:eastAsia="Times New Roman" w:cs="Open Sans"/>
        </w:rPr>
        <w:t xml:space="preserve"> </w:t>
      </w:r>
      <w:r w:rsidR="00DA2D83">
        <w:rPr>
          <w:rFonts w:eastAsia="Times New Roman" w:cs="Open Sans"/>
        </w:rPr>
        <w:t>NDS</w:t>
      </w:r>
      <w:r w:rsidR="00573BA7">
        <w:rPr>
          <w:rFonts w:eastAsia="Times New Roman" w:cs="Open Sans"/>
        </w:rPr>
        <w:t xml:space="preserve"> </w:t>
      </w:r>
      <w:r w:rsidR="001E1FD3" w:rsidRPr="003F4CE1">
        <w:rPr>
          <w:rFonts w:eastAsia="Times New Roman" w:cs="Open Sans"/>
        </w:rPr>
        <w:t>to</w:t>
      </w:r>
      <w:r w:rsidR="00573BA7">
        <w:rPr>
          <w:rFonts w:eastAsia="Times New Roman" w:cs="Open Sans"/>
        </w:rPr>
        <w:t xml:space="preserve"> </w:t>
      </w:r>
      <w:r w:rsidR="00AD545A">
        <w:rPr>
          <w:rFonts w:eastAsia="Times New Roman" w:cs="Open Sans"/>
        </w:rPr>
        <w:t>include workplaces and employers in its focus on accessible spaces which</w:t>
      </w:r>
      <w:r w:rsidR="001E1FD3" w:rsidRPr="003F4CE1">
        <w:rPr>
          <w:rFonts w:eastAsia="Times New Roman" w:cs="Open Sans"/>
        </w:rPr>
        <w:t>,</w:t>
      </w:r>
      <w:r w:rsidR="00573BA7">
        <w:rPr>
          <w:rFonts w:eastAsia="Times New Roman" w:cs="Open Sans"/>
        </w:rPr>
        <w:t xml:space="preserve"> </w:t>
      </w:r>
      <w:r w:rsidR="001E1FD3" w:rsidRPr="003F4CE1">
        <w:rPr>
          <w:rFonts w:eastAsia="Times New Roman" w:cs="Open Sans"/>
        </w:rPr>
        <w:t>as</w:t>
      </w:r>
      <w:r w:rsidR="00573BA7">
        <w:rPr>
          <w:rFonts w:eastAsia="Times New Roman" w:cs="Open Sans"/>
        </w:rPr>
        <w:t xml:space="preserve"> </w:t>
      </w:r>
      <w:r w:rsidR="001E1FD3" w:rsidRPr="003F4CE1">
        <w:rPr>
          <w:rFonts w:eastAsia="Times New Roman" w:cs="Open Sans"/>
        </w:rPr>
        <w:t>submitted</w:t>
      </w:r>
      <w:r w:rsidR="00573BA7">
        <w:rPr>
          <w:rFonts w:eastAsia="Times New Roman" w:cs="Open Sans"/>
        </w:rPr>
        <w:t xml:space="preserve"> </w:t>
      </w:r>
      <w:r w:rsidR="001E1FD3" w:rsidRPr="003F4CE1">
        <w:rPr>
          <w:rFonts w:eastAsia="Times New Roman" w:cs="Open Sans"/>
        </w:rPr>
        <w:t>by</w:t>
      </w:r>
      <w:r w:rsidR="00573BA7">
        <w:rPr>
          <w:rFonts w:eastAsia="Times New Roman" w:cs="Open Sans"/>
        </w:rPr>
        <w:t xml:space="preserve"> </w:t>
      </w:r>
      <w:r w:rsidR="001E1FD3" w:rsidRPr="003F4CE1">
        <w:rPr>
          <w:rFonts w:eastAsia="Times New Roman" w:cs="Open Sans"/>
        </w:rPr>
        <w:t>the</w:t>
      </w:r>
      <w:r w:rsidR="00573BA7">
        <w:rPr>
          <w:rFonts w:eastAsia="Times New Roman" w:cs="Open Sans"/>
        </w:rPr>
        <w:t xml:space="preserve"> </w:t>
      </w:r>
      <w:r w:rsidR="001E1FD3" w:rsidRPr="003F4CE1">
        <w:rPr>
          <w:rFonts w:eastAsia="Times New Roman" w:cs="Open Sans"/>
        </w:rPr>
        <w:t>Australian</w:t>
      </w:r>
      <w:r w:rsidR="00573BA7">
        <w:rPr>
          <w:rFonts w:eastAsia="Times New Roman" w:cs="Open Sans"/>
        </w:rPr>
        <w:t xml:space="preserve"> </w:t>
      </w:r>
      <w:r w:rsidR="001E1FD3" w:rsidRPr="003F4CE1">
        <w:rPr>
          <w:rFonts w:eastAsia="Times New Roman" w:cs="Open Sans"/>
        </w:rPr>
        <w:t>Blindness</w:t>
      </w:r>
      <w:r w:rsidR="00573BA7">
        <w:rPr>
          <w:rFonts w:eastAsia="Times New Roman" w:cs="Open Sans"/>
        </w:rPr>
        <w:t xml:space="preserve"> </w:t>
      </w:r>
      <w:r w:rsidR="001E1FD3" w:rsidRPr="003F4CE1">
        <w:rPr>
          <w:rFonts w:eastAsia="Times New Roman" w:cs="Open Sans"/>
        </w:rPr>
        <w:t>Forum</w:t>
      </w:r>
      <w:r w:rsidR="00F84EE8">
        <w:rPr>
          <w:rFonts w:eastAsia="Times New Roman" w:cs="Open Sans"/>
        </w:rPr>
        <w:t>:</w:t>
      </w:r>
    </w:p>
    <w:p w14:paraId="23DEC304" w14:textId="39A6F8BA" w:rsidR="00F84EE8" w:rsidRPr="007B537E" w:rsidRDefault="00F84EE8" w:rsidP="00BC4DA8">
      <w:pPr>
        <w:pStyle w:val="ListNumber"/>
        <w:numPr>
          <w:ilvl w:val="0"/>
          <w:numId w:val="0"/>
        </w:numPr>
        <w:ind w:left="720"/>
        <w:rPr>
          <w:sz w:val="22"/>
          <w:szCs w:val="22"/>
        </w:rPr>
      </w:pPr>
      <w:r w:rsidRPr="007B537E">
        <w:rPr>
          <w:sz w:val="22"/>
          <w:szCs w:val="22"/>
        </w:rPr>
        <w:t>has had an enormous effect on the employment rates of people with disability. The absence of accessible workplaces, transport, materials and communication services all restrict people with disability from participating in employment and thereby significantly reducing their income.</w:t>
      </w:r>
      <w:bookmarkStart w:id="111" w:name="book147"/>
      <w:bookmarkEnd w:id="111"/>
      <w:r w:rsidRPr="007B537E">
        <w:rPr>
          <w:sz w:val="22"/>
          <w:szCs w:val="22"/>
        </w:rPr>
        <w:t xml:space="preserve"> Significant accessibility barriers for economic participation through employment include lack of physical access to many places of employment, discriminatory hiring practices, and lack of public transport options, and lack of quiet spaces for autism.</w:t>
      </w:r>
      <w:bookmarkStart w:id="112" w:name="book148"/>
      <w:bookmarkEnd w:id="112"/>
      <w:r w:rsidR="00E34322" w:rsidRPr="07069484">
        <w:rPr>
          <w:rStyle w:val="EndnoteReference"/>
        </w:rPr>
        <w:endnoteReference w:id="205"/>
      </w:r>
    </w:p>
    <w:p w14:paraId="7F99A784" w14:textId="58E0EB4B" w:rsidR="00F84EE8" w:rsidRPr="003F4CE1" w:rsidRDefault="00F84EE8" w:rsidP="006A6E2C">
      <w:pPr>
        <w:pStyle w:val="ListNumber"/>
      </w:pPr>
      <w:r>
        <w:t xml:space="preserve">The Commission is concerned </w:t>
      </w:r>
      <w:r w:rsidR="00AD545A">
        <w:t>that this</w:t>
      </w:r>
      <w:r w:rsidR="00664B7D">
        <w:t xml:space="preserve"> gap</w:t>
      </w:r>
      <w:r w:rsidR="00AD545A">
        <w:t xml:space="preserve"> may </w:t>
      </w:r>
      <w:r w:rsidR="00664B7D">
        <w:t>constrain</w:t>
      </w:r>
      <w:r w:rsidR="00AD545A">
        <w:t xml:space="preserve"> Australia’s ability to fulfil its obligations under Article 9</w:t>
      </w:r>
      <w:r w:rsidR="009052BB">
        <w:t>(1)(a)</w:t>
      </w:r>
      <w:r w:rsidR="00AD545A">
        <w:t xml:space="preserve"> of the CRPD</w:t>
      </w:r>
      <w:r w:rsidR="00865B57">
        <w:t xml:space="preserve">, which requires it to ensure that people with disability </w:t>
      </w:r>
      <w:r w:rsidR="00743682">
        <w:t xml:space="preserve">have </w:t>
      </w:r>
      <w:r w:rsidR="009052BB">
        <w:t xml:space="preserve">equal access to workplaces. </w:t>
      </w:r>
      <w:r w:rsidR="001F50E4">
        <w:t>In turn, this may limit the enjoyment by people with disability of the right to enjoy the other rights contained in Article 27 of the CRPD.</w:t>
      </w:r>
      <w:r w:rsidR="00505826">
        <w:t xml:space="preserve"> The Commission calls on the Australian Government to ensure workplace accessibility is explicitly </w:t>
      </w:r>
      <w:r w:rsidR="00341695">
        <w:t>included</w:t>
      </w:r>
      <w:r w:rsidR="00505826">
        <w:t xml:space="preserve"> in the next </w:t>
      </w:r>
      <w:r w:rsidR="00341695">
        <w:t xml:space="preserve">version of the </w:t>
      </w:r>
      <w:r w:rsidR="00505826">
        <w:t>NDS.</w:t>
      </w:r>
    </w:p>
    <w:p w14:paraId="3C679A29" w14:textId="0BF86556" w:rsidR="00A6679B" w:rsidRDefault="00527346" w:rsidP="00BC4DA8">
      <w:pPr>
        <w:pStyle w:val="ListNumber"/>
      </w:pPr>
      <w:r>
        <w:rPr>
          <w:rFonts w:eastAsia="Times New Roman" w:cs="Open Sans"/>
        </w:rPr>
        <w:t>An</w:t>
      </w:r>
      <w:r w:rsidR="00573BA7">
        <w:rPr>
          <w:rFonts w:eastAsia="Times New Roman" w:cs="Open Sans"/>
        </w:rPr>
        <w:t xml:space="preserve"> </w:t>
      </w:r>
      <w:r>
        <w:rPr>
          <w:rFonts w:eastAsia="Times New Roman" w:cs="Open Sans"/>
        </w:rPr>
        <w:t>independent</w:t>
      </w:r>
      <w:r w:rsidR="00573BA7">
        <w:rPr>
          <w:rFonts w:eastAsia="Times New Roman" w:cs="Open Sans"/>
        </w:rPr>
        <w:t xml:space="preserve"> </w:t>
      </w:r>
      <w:r>
        <w:rPr>
          <w:rFonts w:eastAsia="Times New Roman" w:cs="Open Sans"/>
        </w:rPr>
        <w:t>review</w:t>
      </w:r>
      <w:r w:rsidR="00573BA7">
        <w:rPr>
          <w:rFonts w:eastAsia="Times New Roman" w:cs="Open Sans"/>
        </w:rPr>
        <w:t xml:space="preserve"> </w:t>
      </w:r>
      <w:r>
        <w:rPr>
          <w:rFonts w:eastAsia="Times New Roman" w:cs="Open Sans"/>
        </w:rPr>
        <w:t>of</w:t>
      </w:r>
      <w:r w:rsidR="00573BA7">
        <w:rPr>
          <w:rFonts w:eastAsia="Times New Roman" w:cs="Open Sans"/>
        </w:rPr>
        <w:t xml:space="preserve"> </w:t>
      </w:r>
      <w:r>
        <w:rPr>
          <w:rFonts w:eastAsia="Times New Roman" w:cs="Open Sans"/>
        </w:rPr>
        <w:t>the</w:t>
      </w:r>
      <w:r w:rsidR="00573BA7">
        <w:rPr>
          <w:rFonts w:eastAsia="Times New Roman" w:cs="Open Sans"/>
        </w:rPr>
        <w:t xml:space="preserve"> </w:t>
      </w:r>
      <w:r>
        <w:rPr>
          <w:rFonts w:eastAsia="Times New Roman" w:cs="Open Sans"/>
        </w:rPr>
        <w:t>NDS</w:t>
      </w:r>
      <w:r w:rsidR="00573BA7">
        <w:rPr>
          <w:rFonts w:eastAsia="Times New Roman" w:cs="Open Sans"/>
        </w:rPr>
        <w:t xml:space="preserve"> </w:t>
      </w:r>
      <w:r w:rsidR="006A6E2C">
        <w:rPr>
          <w:rFonts w:eastAsia="Times New Roman" w:cs="Open Sans"/>
        </w:rPr>
        <w:t xml:space="preserve">by the University of New South Wales, </w:t>
      </w:r>
      <w:r>
        <w:rPr>
          <w:rFonts w:eastAsia="Times New Roman" w:cs="Open Sans"/>
        </w:rPr>
        <w:t>commissioned</w:t>
      </w:r>
      <w:r w:rsidR="00573BA7">
        <w:rPr>
          <w:rFonts w:eastAsia="Times New Roman" w:cs="Open Sans"/>
        </w:rPr>
        <w:t xml:space="preserve"> </w:t>
      </w:r>
      <w:r>
        <w:rPr>
          <w:rFonts w:eastAsia="Times New Roman" w:cs="Open Sans"/>
        </w:rPr>
        <w:t>by</w:t>
      </w:r>
      <w:r w:rsidR="00573BA7">
        <w:rPr>
          <w:rFonts w:eastAsia="Times New Roman" w:cs="Open Sans"/>
        </w:rPr>
        <w:t xml:space="preserve"> </w:t>
      </w:r>
      <w:r>
        <w:rPr>
          <w:rFonts w:eastAsia="Times New Roman" w:cs="Open Sans"/>
        </w:rPr>
        <w:t>the</w:t>
      </w:r>
      <w:r w:rsidR="00573BA7">
        <w:t xml:space="preserve"> </w:t>
      </w:r>
      <w:r>
        <w:t>Department</w:t>
      </w:r>
      <w:r w:rsidR="00573BA7">
        <w:t xml:space="preserve"> </w:t>
      </w:r>
      <w:r>
        <w:t>of</w:t>
      </w:r>
      <w:r w:rsidR="00573BA7">
        <w:t xml:space="preserve"> </w:t>
      </w:r>
      <w:r>
        <w:t>Social</w:t>
      </w:r>
      <w:r w:rsidR="00573BA7">
        <w:t xml:space="preserve"> </w:t>
      </w:r>
      <w:r w:rsidR="00DB144D">
        <w:t>Services</w:t>
      </w:r>
      <w:r w:rsidR="00E46E22">
        <w:t xml:space="preserve"> </w:t>
      </w:r>
      <w:r>
        <w:t>in</w:t>
      </w:r>
      <w:r w:rsidR="00573BA7">
        <w:t xml:space="preserve"> </w:t>
      </w:r>
      <w:r>
        <w:t>2018</w:t>
      </w:r>
      <w:r w:rsidR="001C4A88">
        <w:t>,</w:t>
      </w:r>
      <w:r w:rsidR="00573BA7">
        <w:t xml:space="preserve"> </w:t>
      </w:r>
      <w:r w:rsidR="00D167F3">
        <w:t xml:space="preserve">found </w:t>
      </w:r>
      <w:r w:rsidR="001E1FD3" w:rsidRPr="003F4CE1">
        <w:t>that</w:t>
      </w:r>
      <w:r w:rsidR="00573BA7">
        <w:t xml:space="preserve"> </w:t>
      </w:r>
      <w:r w:rsidR="001E1FD3" w:rsidRPr="003F4CE1">
        <w:t>the</w:t>
      </w:r>
      <w:r w:rsidR="00573BA7">
        <w:t xml:space="preserve"> </w:t>
      </w:r>
      <w:r w:rsidR="001E1FD3" w:rsidRPr="003F4CE1">
        <w:t>implementation</w:t>
      </w:r>
      <w:r w:rsidR="00573BA7">
        <w:t xml:space="preserve"> </w:t>
      </w:r>
      <w:r w:rsidR="001E1FD3" w:rsidRPr="003F4CE1">
        <w:t>of</w:t>
      </w:r>
      <w:r w:rsidR="00573BA7">
        <w:t xml:space="preserve"> </w:t>
      </w:r>
      <w:r w:rsidR="001E1FD3" w:rsidRPr="003F4CE1">
        <w:t>the</w:t>
      </w:r>
      <w:r w:rsidR="00573BA7">
        <w:t xml:space="preserve"> </w:t>
      </w:r>
      <w:r w:rsidR="001E1FD3" w:rsidRPr="003F4CE1">
        <w:t>NDS</w:t>
      </w:r>
      <w:r w:rsidR="00573BA7">
        <w:t xml:space="preserve"> </w:t>
      </w:r>
      <w:r w:rsidR="001E1FD3" w:rsidRPr="003F4CE1">
        <w:t>had</w:t>
      </w:r>
      <w:r w:rsidR="00573BA7">
        <w:t xml:space="preserve"> </w:t>
      </w:r>
      <w:r w:rsidR="001E1FD3" w:rsidRPr="003F4CE1">
        <w:t>been</w:t>
      </w:r>
      <w:r w:rsidR="00573BA7">
        <w:t xml:space="preserve"> </w:t>
      </w:r>
      <w:r w:rsidR="001E1FD3" w:rsidRPr="003F4CE1">
        <w:t>uneven</w:t>
      </w:r>
      <w:r w:rsidR="00573BA7">
        <w:t xml:space="preserve"> </w:t>
      </w:r>
      <w:r w:rsidR="001E1FD3" w:rsidRPr="003F4CE1">
        <w:t>and</w:t>
      </w:r>
      <w:r w:rsidR="00573BA7">
        <w:t xml:space="preserve"> </w:t>
      </w:r>
      <w:r w:rsidR="001E1FD3" w:rsidRPr="003F4CE1">
        <w:t>lacked</w:t>
      </w:r>
      <w:r w:rsidR="00573BA7">
        <w:t xml:space="preserve"> </w:t>
      </w:r>
      <w:r w:rsidR="001E1FD3" w:rsidRPr="003F4CE1">
        <w:t>a</w:t>
      </w:r>
      <w:r w:rsidR="00573BA7">
        <w:t xml:space="preserve"> </w:t>
      </w:r>
      <w:r w:rsidR="001E1FD3" w:rsidRPr="003F4CE1">
        <w:t>systematic</w:t>
      </w:r>
      <w:r w:rsidR="00573BA7">
        <w:t xml:space="preserve"> </w:t>
      </w:r>
      <w:r w:rsidR="001E1FD3" w:rsidRPr="003F4CE1">
        <w:t>approach</w:t>
      </w:r>
      <w:r w:rsidR="001C4A88">
        <w:t xml:space="preserve"> (UNSW Review).</w:t>
      </w:r>
      <w:r w:rsidR="001C4A88">
        <w:rPr>
          <w:rStyle w:val="EndnoteReference"/>
        </w:rPr>
        <w:endnoteReference w:id="206"/>
      </w:r>
      <w:r w:rsidR="002443DD">
        <w:t xml:space="preserve"> The UNSW Review</w:t>
      </w:r>
      <w:r w:rsidR="00EB7587">
        <w:t xml:space="preserve"> </w:t>
      </w:r>
      <w:r w:rsidR="00D167F3">
        <w:t>made several recommendations for reforms to be incorporated into the next version of the NDS.</w:t>
      </w:r>
      <w:r w:rsidR="005A4F31">
        <w:rPr>
          <w:rStyle w:val="EndnoteReference"/>
        </w:rPr>
        <w:endnoteReference w:id="207"/>
      </w:r>
      <w:r w:rsidR="00573BA7">
        <w:t xml:space="preserve"> </w:t>
      </w:r>
    </w:p>
    <w:p w14:paraId="0A6E7E25" w14:textId="0626CEC2" w:rsidR="001E1FD3" w:rsidRPr="003F4CE1" w:rsidRDefault="005C59C2" w:rsidP="00BC4DA8">
      <w:pPr>
        <w:pStyle w:val="ListNumber"/>
      </w:pPr>
      <w:r>
        <w:t>Similarly, the</w:t>
      </w:r>
      <w:r w:rsidR="00573BA7">
        <w:t xml:space="preserve"> </w:t>
      </w:r>
      <w:r w:rsidR="001E1FD3" w:rsidRPr="003F4CE1">
        <w:t>Productivity</w:t>
      </w:r>
      <w:r w:rsidR="00573BA7">
        <w:t xml:space="preserve"> </w:t>
      </w:r>
      <w:r w:rsidR="001E1FD3" w:rsidRPr="003F4CE1">
        <w:t>Commission</w:t>
      </w:r>
      <w:r w:rsidR="00682EAD">
        <w:t xml:space="preserve">’s 2019 review of the </w:t>
      </w:r>
      <w:r w:rsidR="00011C33">
        <w:t xml:space="preserve">National Disability Agreement (NDA) </w:t>
      </w:r>
      <w:r w:rsidR="006A6E2C">
        <w:t xml:space="preserve">made </w:t>
      </w:r>
      <w:r>
        <w:t>several</w:t>
      </w:r>
      <w:r w:rsidR="006A6E2C">
        <w:t xml:space="preserve"> </w:t>
      </w:r>
      <w:r w:rsidR="001E1FD3" w:rsidRPr="003F4CE1">
        <w:t>recommendations</w:t>
      </w:r>
      <w:r w:rsidR="00D167F3">
        <w:t xml:space="preserve"> for</w:t>
      </w:r>
      <w:r>
        <w:t xml:space="preserve"> the next version of the NDS</w:t>
      </w:r>
      <w:r w:rsidR="00816C3B">
        <w:t>.</w:t>
      </w:r>
      <w:r w:rsidR="00567F61">
        <w:rPr>
          <w:rStyle w:val="EndnoteReference"/>
        </w:rPr>
        <w:endnoteReference w:id="208"/>
      </w:r>
      <w:r w:rsidR="00816C3B">
        <w:t xml:space="preserve"> These included </w:t>
      </w:r>
      <w:r>
        <w:t>the c</w:t>
      </w:r>
      <w:r w:rsidR="001E1FD3" w:rsidRPr="003F4CE1">
        <w:t>reation</w:t>
      </w:r>
      <w:r w:rsidR="00573BA7">
        <w:t xml:space="preserve"> </w:t>
      </w:r>
      <w:r w:rsidR="001E1FD3" w:rsidRPr="003F4CE1">
        <w:t>of</w:t>
      </w:r>
      <w:r w:rsidR="00573BA7">
        <w:t xml:space="preserve"> </w:t>
      </w:r>
      <w:r w:rsidR="001E1FD3" w:rsidRPr="003F4CE1">
        <w:t>a</w:t>
      </w:r>
      <w:r w:rsidR="00573BA7">
        <w:t xml:space="preserve"> </w:t>
      </w:r>
      <w:r w:rsidR="001E1FD3" w:rsidRPr="003F4CE1">
        <w:t>new</w:t>
      </w:r>
      <w:r w:rsidR="00573BA7">
        <w:t xml:space="preserve"> </w:t>
      </w:r>
      <w:r>
        <w:t>National Disability Agreement</w:t>
      </w:r>
      <w:r w:rsidR="00573BA7">
        <w:t xml:space="preserve"> </w:t>
      </w:r>
      <w:r w:rsidR="001E1FD3" w:rsidRPr="003F4CE1">
        <w:t>to</w:t>
      </w:r>
      <w:r w:rsidR="00573BA7">
        <w:t xml:space="preserve"> </w:t>
      </w:r>
      <w:r w:rsidR="001E1FD3" w:rsidRPr="003F4CE1">
        <w:t>explicitly</w:t>
      </w:r>
      <w:r w:rsidR="00573BA7">
        <w:t xml:space="preserve"> </w:t>
      </w:r>
      <w:r w:rsidR="001E1FD3" w:rsidRPr="003F4CE1">
        <w:t>articulate</w:t>
      </w:r>
      <w:r w:rsidR="00573BA7">
        <w:t xml:space="preserve"> </w:t>
      </w:r>
      <w:r w:rsidR="001E1FD3" w:rsidRPr="003F4CE1">
        <w:t>how</w:t>
      </w:r>
      <w:r w:rsidR="00573BA7">
        <w:t xml:space="preserve"> </w:t>
      </w:r>
      <w:r>
        <w:t xml:space="preserve">the Australian </w:t>
      </w:r>
      <w:r w:rsidR="001E1FD3" w:rsidRPr="003F4CE1">
        <w:t>Government</w:t>
      </w:r>
      <w:r w:rsidR="00573BA7">
        <w:t xml:space="preserve"> </w:t>
      </w:r>
      <w:r w:rsidR="001E1FD3" w:rsidRPr="003F4CE1">
        <w:t>intend</w:t>
      </w:r>
      <w:r>
        <w:t>s</w:t>
      </w:r>
      <w:r w:rsidR="00573BA7">
        <w:t xml:space="preserve"> </w:t>
      </w:r>
      <w:r w:rsidR="001E1FD3" w:rsidRPr="003F4CE1">
        <w:t>to</w:t>
      </w:r>
      <w:r w:rsidR="00573BA7">
        <w:t xml:space="preserve"> </w:t>
      </w:r>
      <w:r w:rsidR="001E1FD3" w:rsidRPr="003F4CE1">
        <w:t>fulfil</w:t>
      </w:r>
      <w:r w:rsidR="00573BA7">
        <w:t xml:space="preserve"> </w:t>
      </w:r>
      <w:r w:rsidR="001E1FD3" w:rsidRPr="003F4CE1">
        <w:t>commitments</w:t>
      </w:r>
      <w:r w:rsidR="00573BA7">
        <w:t xml:space="preserve"> </w:t>
      </w:r>
      <w:r w:rsidR="001E1FD3" w:rsidRPr="003F4CE1">
        <w:t>under</w:t>
      </w:r>
      <w:r w:rsidR="00573BA7">
        <w:t xml:space="preserve"> </w:t>
      </w:r>
      <w:r w:rsidR="001E1FD3" w:rsidRPr="003F4CE1">
        <w:t>the</w:t>
      </w:r>
      <w:r w:rsidR="00573BA7">
        <w:t xml:space="preserve"> </w:t>
      </w:r>
      <w:r w:rsidR="001E1FD3" w:rsidRPr="003F4CE1">
        <w:t>CRPD</w:t>
      </w:r>
      <w:r w:rsidR="006F6335">
        <w:t>, and</w:t>
      </w:r>
      <w:r w:rsidR="00816C3B">
        <w:t xml:space="preserve"> clearer performance indicators and accountability mechanisms.</w:t>
      </w:r>
      <w:r w:rsidR="001E1FD3" w:rsidRPr="003F4CE1">
        <w:rPr>
          <w:rStyle w:val="EndnoteReference"/>
        </w:rPr>
        <w:endnoteReference w:id="209"/>
      </w:r>
      <w:r w:rsidR="00FF0F3E">
        <w:t xml:space="preserve"> The </w:t>
      </w:r>
      <w:r w:rsidR="002B705E">
        <w:t xml:space="preserve">NDA is a ‘high-level agreement between the Australian, </w:t>
      </w:r>
      <w:r w:rsidR="008D5D87">
        <w:t>s</w:t>
      </w:r>
      <w:r w:rsidR="002B705E">
        <w:t xml:space="preserve">tate and </w:t>
      </w:r>
      <w:r w:rsidR="008D5D87">
        <w:t>t</w:t>
      </w:r>
      <w:r w:rsidR="002B705E">
        <w:t>erritory Governments that commenced in 2009</w:t>
      </w:r>
      <w:r w:rsidR="0035300B">
        <w:t>’</w:t>
      </w:r>
      <w:r w:rsidR="002B705E">
        <w:t>.</w:t>
      </w:r>
      <w:r w:rsidR="0035300B">
        <w:rPr>
          <w:rStyle w:val="EndnoteReference"/>
        </w:rPr>
        <w:endnoteReference w:id="210"/>
      </w:r>
      <w:r w:rsidR="002B705E">
        <w:t xml:space="preserve"> </w:t>
      </w:r>
      <w:r w:rsidR="00DB4F03">
        <w:t xml:space="preserve">It delineates responsibilities for disability </w:t>
      </w:r>
      <w:r w:rsidR="00394CD8">
        <w:t>policy</w:t>
      </w:r>
      <w:r w:rsidR="00DB4F03">
        <w:t xml:space="preserve"> and sits under the Intergovernmental </w:t>
      </w:r>
      <w:r w:rsidR="00274691">
        <w:t>Agreement on Federal Financial Relations. It precedes the NDS and NDIS and as a resul</w:t>
      </w:r>
      <w:r w:rsidR="00394CD8">
        <w:t>t</w:t>
      </w:r>
      <w:r w:rsidR="00274691">
        <w:t xml:space="preserve"> is outdated. </w:t>
      </w:r>
    </w:p>
    <w:p w14:paraId="4BE9FDCC" w14:textId="4691823D" w:rsidR="001E1FD3" w:rsidRPr="003F4CE1" w:rsidRDefault="001E1FD3" w:rsidP="00662F4B">
      <w:pPr>
        <w:pStyle w:val="ListNumber"/>
      </w:pPr>
      <w:r w:rsidRPr="003F4CE1">
        <w:t>The</w:t>
      </w:r>
      <w:r w:rsidR="00573BA7">
        <w:t xml:space="preserve"> </w:t>
      </w:r>
      <w:r w:rsidRPr="003F4CE1">
        <w:t>Commission</w:t>
      </w:r>
      <w:r w:rsidR="00573BA7">
        <w:t xml:space="preserve"> </w:t>
      </w:r>
      <w:r w:rsidRPr="003F4CE1">
        <w:t>supports</w:t>
      </w:r>
      <w:r w:rsidR="00573BA7">
        <w:t xml:space="preserve"> </w:t>
      </w:r>
      <w:r w:rsidRPr="003F4CE1">
        <w:t>the</w:t>
      </w:r>
      <w:r w:rsidR="00573BA7">
        <w:t xml:space="preserve"> </w:t>
      </w:r>
      <w:r w:rsidRPr="003F4CE1">
        <w:t>recommendations</w:t>
      </w:r>
      <w:r w:rsidR="00573BA7">
        <w:t xml:space="preserve"> </w:t>
      </w:r>
      <w:r w:rsidRPr="003F4CE1">
        <w:t>made</w:t>
      </w:r>
      <w:r w:rsidR="00573BA7">
        <w:t xml:space="preserve"> </w:t>
      </w:r>
      <w:r w:rsidRPr="003F4CE1">
        <w:t>by</w:t>
      </w:r>
      <w:r w:rsidR="00573BA7">
        <w:t xml:space="preserve"> </w:t>
      </w:r>
      <w:r w:rsidRPr="003F4CE1">
        <w:t>the</w:t>
      </w:r>
      <w:r w:rsidR="00573BA7">
        <w:t xml:space="preserve"> </w:t>
      </w:r>
      <w:r w:rsidRPr="003F4CE1">
        <w:t>UNSW</w:t>
      </w:r>
      <w:r w:rsidR="00573BA7">
        <w:t xml:space="preserve"> </w:t>
      </w:r>
      <w:r w:rsidRPr="003F4CE1">
        <w:t>Review</w:t>
      </w:r>
      <w:r w:rsidR="00573BA7">
        <w:t xml:space="preserve"> </w:t>
      </w:r>
      <w:r w:rsidRPr="003F4CE1">
        <w:t>and</w:t>
      </w:r>
      <w:r w:rsidR="00573BA7">
        <w:t xml:space="preserve"> </w:t>
      </w:r>
      <w:r w:rsidRPr="003F4CE1">
        <w:t>the</w:t>
      </w:r>
      <w:r w:rsidR="00573BA7">
        <w:t xml:space="preserve"> </w:t>
      </w:r>
      <w:r w:rsidRPr="003F4CE1">
        <w:t>Productivity</w:t>
      </w:r>
      <w:r w:rsidR="00573BA7">
        <w:t xml:space="preserve"> </w:t>
      </w:r>
      <w:r w:rsidRPr="003F4CE1">
        <w:t>Commission</w:t>
      </w:r>
      <w:r w:rsidR="00573BA7">
        <w:t xml:space="preserve"> </w:t>
      </w:r>
      <w:r w:rsidRPr="003F4CE1">
        <w:t>to</w:t>
      </w:r>
      <w:r w:rsidR="00573BA7">
        <w:t xml:space="preserve"> </w:t>
      </w:r>
      <w:r w:rsidRPr="003F4CE1">
        <w:t>improve</w:t>
      </w:r>
      <w:r w:rsidR="00573BA7">
        <w:t xml:space="preserve"> </w:t>
      </w:r>
      <w:r w:rsidRPr="003F4CE1">
        <w:t>the</w:t>
      </w:r>
      <w:r w:rsidR="00573BA7">
        <w:t xml:space="preserve"> </w:t>
      </w:r>
      <w:r w:rsidRPr="003F4CE1">
        <w:t>implementation,</w:t>
      </w:r>
      <w:r w:rsidR="00573BA7">
        <w:t xml:space="preserve"> </w:t>
      </w:r>
      <w:r w:rsidRPr="003F4CE1">
        <w:t>resourcing,</w:t>
      </w:r>
      <w:r w:rsidR="00573BA7">
        <w:t xml:space="preserve"> </w:t>
      </w:r>
      <w:r w:rsidRPr="003F4CE1">
        <w:t>monitoring</w:t>
      </w:r>
      <w:r w:rsidR="00573BA7">
        <w:t xml:space="preserve"> </w:t>
      </w:r>
      <w:r w:rsidRPr="003F4CE1">
        <w:t>and</w:t>
      </w:r>
      <w:r w:rsidR="00573BA7">
        <w:t xml:space="preserve"> </w:t>
      </w:r>
      <w:r w:rsidRPr="003F4CE1">
        <w:t>evaluation</w:t>
      </w:r>
      <w:r w:rsidR="00573BA7">
        <w:t xml:space="preserve"> </w:t>
      </w:r>
      <w:r w:rsidRPr="003F4CE1">
        <w:t>of</w:t>
      </w:r>
      <w:r w:rsidR="00573BA7">
        <w:t xml:space="preserve"> </w:t>
      </w:r>
      <w:r w:rsidRPr="003F4CE1">
        <w:t>the</w:t>
      </w:r>
      <w:r w:rsidR="00573BA7">
        <w:t xml:space="preserve"> </w:t>
      </w:r>
      <w:r w:rsidRPr="003F4CE1">
        <w:t>next</w:t>
      </w:r>
      <w:r w:rsidR="00573BA7">
        <w:t xml:space="preserve"> </w:t>
      </w:r>
      <w:r w:rsidRPr="003F4CE1">
        <w:t>NDS</w:t>
      </w:r>
      <w:r w:rsidR="00856AD6">
        <w:t>.</w:t>
      </w:r>
      <w:r w:rsidRPr="003F4CE1">
        <w:rPr>
          <w:rStyle w:val="EndnoteReference"/>
        </w:rPr>
        <w:endnoteReference w:id="211"/>
      </w:r>
      <w:r w:rsidR="00EC1BEF">
        <w:t xml:space="preserve"> As noted above, a comprehensive review of the NDS is currently underway.</w:t>
      </w:r>
      <w:r w:rsidR="00AD3A27">
        <w:t xml:space="preserve"> The </w:t>
      </w:r>
      <w:r w:rsidR="00AD3A27" w:rsidRPr="07069484">
        <w:rPr>
          <w:i/>
          <w:iCs/>
        </w:rPr>
        <w:t xml:space="preserve">National </w:t>
      </w:r>
      <w:r w:rsidR="00AD3A27" w:rsidRPr="07069484">
        <w:rPr>
          <w:i/>
          <w:iCs/>
        </w:rPr>
        <w:lastRenderedPageBreak/>
        <w:t xml:space="preserve">Disability Strategy – Position Paper </w:t>
      </w:r>
      <w:r w:rsidR="00AD3A27">
        <w:t>also discusses the importance of reporting and data collection and specifically seeks input on how these should be incorporated in the new NDS.</w:t>
      </w:r>
      <w:r w:rsidR="00AD3A27">
        <w:rPr>
          <w:rStyle w:val="EndnoteReference"/>
        </w:rPr>
        <w:endnoteReference w:id="212"/>
      </w:r>
    </w:p>
    <w:p w14:paraId="6A24D50E" w14:textId="26C41257" w:rsidR="00EB5899" w:rsidRPr="00716954" w:rsidRDefault="00EB5899" w:rsidP="00716954">
      <w:pPr>
        <w:pStyle w:val="ListNumber"/>
        <w:rPr>
          <w:b/>
          <w:bCs/>
          <w:i/>
          <w:iCs/>
        </w:rPr>
      </w:pPr>
      <w:r w:rsidRPr="00716954">
        <w:rPr>
          <w:b/>
          <w:bCs/>
          <w:i/>
          <w:iCs/>
        </w:rPr>
        <w:t>Recommendation 10: The Australian Government ensure that the National Disability Agreement and the next National Disability Strategy are appropriately resourced, and include measurable goals and robust monitoring, reporting, evaluation, governance and accountability requirements, including by implementing the recommendations made by the UNSW Review and the Productivity Commission.</w:t>
      </w:r>
    </w:p>
    <w:p w14:paraId="5862CC9B" w14:textId="1D10274A" w:rsidR="003355DD" w:rsidRPr="003F4CE1" w:rsidRDefault="0043414D" w:rsidP="003355DD">
      <w:pPr>
        <w:pStyle w:val="Heading2"/>
        <w:rPr>
          <w:color w:val="000000" w:themeColor="text1"/>
          <w:lang w:eastAsia="en-GB"/>
        </w:rPr>
      </w:pPr>
      <w:bookmarkStart w:id="113" w:name="_Toc45727504"/>
      <w:bookmarkStart w:id="114" w:name="_Toc51834295"/>
      <w:r>
        <w:rPr>
          <w:lang w:eastAsia="en-GB"/>
        </w:rPr>
        <w:t>Effectiveness</w:t>
      </w:r>
      <w:r w:rsidR="00573BA7">
        <w:rPr>
          <w:lang w:eastAsia="en-GB"/>
        </w:rPr>
        <w:t xml:space="preserve"> </w:t>
      </w:r>
      <w:r>
        <w:rPr>
          <w:lang w:eastAsia="en-GB"/>
        </w:rPr>
        <w:t>of</w:t>
      </w:r>
      <w:r w:rsidR="00573BA7">
        <w:rPr>
          <w:lang w:eastAsia="en-GB"/>
        </w:rPr>
        <w:t xml:space="preserve"> </w:t>
      </w:r>
      <w:r w:rsidR="003355DD" w:rsidRPr="003F4CE1">
        <w:rPr>
          <w:lang w:eastAsia="en-GB"/>
        </w:rPr>
        <w:t>Department</w:t>
      </w:r>
      <w:r w:rsidR="00573BA7">
        <w:rPr>
          <w:lang w:eastAsia="en-GB"/>
        </w:rPr>
        <w:t xml:space="preserve"> </w:t>
      </w:r>
      <w:r w:rsidR="003355DD" w:rsidRPr="003F4CE1">
        <w:rPr>
          <w:lang w:eastAsia="en-GB"/>
        </w:rPr>
        <w:t>of</w:t>
      </w:r>
      <w:r w:rsidR="00573BA7">
        <w:rPr>
          <w:lang w:eastAsia="en-GB"/>
        </w:rPr>
        <w:t xml:space="preserve"> </w:t>
      </w:r>
      <w:r w:rsidR="003355DD" w:rsidRPr="003F4CE1">
        <w:rPr>
          <w:lang w:eastAsia="en-GB"/>
        </w:rPr>
        <w:t>Social</w:t>
      </w:r>
      <w:r w:rsidR="00573BA7">
        <w:rPr>
          <w:lang w:eastAsia="en-GB"/>
        </w:rPr>
        <w:t xml:space="preserve"> </w:t>
      </w:r>
      <w:r w:rsidR="003355DD" w:rsidRPr="003F4CE1">
        <w:rPr>
          <w:lang w:eastAsia="en-GB"/>
        </w:rPr>
        <w:t>Services</w:t>
      </w:r>
      <w:r w:rsidR="00573BA7">
        <w:rPr>
          <w:lang w:eastAsia="en-GB"/>
        </w:rPr>
        <w:t xml:space="preserve"> </w:t>
      </w:r>
      <w:r w:rsidR="003355DD" w:rsidRPr="003F4CE1">
        <w:rPr>
          <w:lang w:eastAsia="en-GB"/>
        </w:rPr>
        <w:t>employment</w:t>
      </w:r>
      <w:r w:rsidR="00573BA7">
        <w:rPr>
          <w:lang w:eastAsia="en-GB"/>
        </w:rPr>
        <w:t xml:space="preserve"> </w:t>
      </w:r>
      <w:r w:rsidR="003355DD" w:rsidRPr="003F4CE1">
        <w:rPr>
          <w:lang w:eastAsia="en-GB"/>
        </w:rPr>
        <w:t>supports</w:t>
      </w:r>
      <w:bookmarkEnd w:id="113"/>
      <w:bookmarkEnd w:id="114"/>
    </w:p>
    <w:p w14:paraId="5803BBC9" w14:textId="0733170E" w:rsidR="008E455E" w:rsidRPr="00E9462E" w:rsidRDefault="008E455E" w:rsidP="008E455E">
      <w:pPr>
        <w:pStyle w:val="ListNumber"/>
        <w:rPr>
          <w:lang w:eastAsia="en-GB"/>
        </w:rPr>
      </w:pPr>
      <w:r w:rsidRPr="07069484">
        <w:rPr>
          <w:lang w:eastAsia="en-GB"/>
        </w:rPr>
        <w:t>This section addresses the</w:t>
      </w:r>
      <w:r w:rsidR="0050458A" w:rsidRPr="07069484">
        <w:rPr>
          <w:lang w:eastAsia="en-GB"/>
        </w:rPr>
        <w:t xml:space="preserve"> effectiveness of</w:t>
      </w:r>
      <w:r w:rsidRPr="07069484">
        <w:rPr>
          <w:lang w:eastAsia="en-GB"/>
        </w:rPr>
        <w:t xml:space="preserve"> various</w:t>
      </w:r>
      <w:r w:rsidR="008158EF" w:rsidRPr="07069484">
        <w:rPr>
          <w:lang w:eastAsia="en-GB"/>
        </w:rPr>
        <w:t xml:space="preserve"> disability</w:t>
      </w:r>
      <w:r w:rsidRPr="07069484">
        <w:rPr>
          <w:lang w:eastAsia="en-GB"/>
        </w:rPr>
        <w:t xml:space="preserve"> employment </w:t>
      </w:r>
      <w:r w:rsidR="0050458A" w:rsidRPr="07069484">
        <w:rPr>
          <w:lang w:eastAsia="en-GB"/>
        </w:rPr>
        <w:t xml:space="preserve">programs and supports offered by the Australian Government’s Department of Social Services in protecting </w:t>
      </w:r>
      <w:r w:rsidR="008158EF" w:rsidRPr="07069484">
        <w:rPr>
          <w:lang w:eastAsia="en-GB"/>
        </w:rPr>
        <w:t>the human rights of people with disability</w:t>
      </w:r>
      <w:r w:rsidR="0050458A" w:rsidRPr="07069484">
        <w:rPr>
          <w:lang w:eastAsia="en-GB"/>
        </w:rPr>
        <w:t xml:space="preserve">. </w:t>
      </w:r>
      <w:r w:rsidR="000C348B" w:rsidRPr="07069484">
        <w:rPr>
          <w:lang w:eastAsia="en-GB"/>
        </w:rPr>
        <w:t xml:space="preserve">These include Disability Employment Services, JobAccess and the Employment Assistance Fund. </w:t>
      </w:r>
      <w:r w:rsidRPr="07069484">
        <w:rPr>
          <w:lang w:eastAsia="en-GB"/>
        </w:rPr>
        <w:t>This section responds to questions</w:t>
      </w:r>
      <w:r w:rsidR="000C348B" w:rsidRPr="07069484">
        <w:rPr>
          <w:lang w:eastAsia="en-GB"/>
        </w:rPr>
        <w:t xml:space="preserve"> </w:t>
      </w:r>
      <w:r w:rsidR="000B26E0" w:rsidRPr="07069484">
        <w:rPr>
          <w:lang w:eastAsia="en-GB"/>
        </w:rPr>
        <w:t>two</w:t>
      </w:r>
      <w:r w:rsidR="000C348B" w:rsidRPr="07069484">
        <w:rPr>
          <w:lang w:eastAsia="en-GB"/>
        </w:rPr>
        <w:t>,</w:t>
      </w:r>
      <w:r w:rsidRPr="07069484">
        <w:rPr>
          <w:lang w:eastAsia="en-GB"/>
        </w:rPr>
        <w:t xml:space="preserve"> </w:t>
      </w:r>
      <w:r w:rsidR="000B26E0" w:rsidRPr="07069484">
        <w:rPr>
          <w:lang w:eastAsia="en-GB"/>
        </w:rPr>
        <w:t>five</w:t>
      </w:r>
      <w:r w:rsidR="00E64054" w:rsidRPr="07069484">
        <w:rPr>
          <w:lang w:eastAsia="en-GB"/>
        </w:rPr>
        <w:t xml:space="preserve">, </w:t>
      </w:r>
      <w:r w:rsidR="000B26E0" w:rsidRPr="07069484">
        <w:rPr>
          <w:lang w:eastAsia="en-GB"/>
        </w:rPr>
        <w:t>six</w:t>
      </w:r>
      <w:r w:rsidRPr="07069484">
        <w:rPr>
          <w:lang w:eastAsia="en-GB"/>
        </w:rPr>
        <w:t xml:space="preserve"> and </w:t>
      </w:r>
      <w:r w:rsidR="000B26E0" w:rsidRPr="07069484">
        <w:rPr>
          <w:lang w:eastAsia="en-GB"/>
        </w:rPr>
        <w:t>eight</w:t>
      </w:r>
      <w:r w:rsidRPr="07069484">
        <w:rPr>
          <w:lang w:eastAsia="en-GB"/>
        </w:rPr>
        <w:t xml:space="preserve"> of the Issues Paper.</w:t>
      </w:r>
    </w:p>
    <w:p w14:paraId="12A03DB2" w14:textId="30F0FD78" w:rsidR="00ED356C" w:rsidRPr="00710E6A" w:rsidRDefault="00DD4C82">
      <w:pPr>
        <w:pStyle w:val="Heading3"/>
        <w:rPr>
          <w:b/>
          <w:bCs w:val="0"/>
        </w:rPr>
      </w:pPr>
      <w:bookmarkStart w:id="115" w:name="_Toc45727505"/>
      <w:bookmarkStart w:id="116" w:name="_Toc51834296"/>
      <w:r w:rsidRPr="00710E6A">
        <w:rPr>
          <w:b/>
          <w:bCs w:val="0"/>
        </w:rPr>
        <w:t>Disability</w:t>
      </w:r>
      <w:r w:rsidR="00573BA7" w:rsidRPr="00710E6A">
        <w:rPr>
          <w:b/>
          <w:bCs w:val="0"/>
        </w:rPr>
        <w:t xml:space="preserve"> </w:t>
      </w:r>
      <w:r w:rsidRPr="00710E6A">
        <w:rPr>
          <w:b/>
          <w:bCs w:val="0"/>
        </w:rPr>
        <w:t>Employment</w:t>
      </w:r>
      <w:r w:rsidR="00573BA7" w:rsidRPr="00710E6A">
        <w:rPr>
          <w:b/>
          <w:bCs w:val="0"/>
        </w:rPr>
        <w:t xml:space="preserve"> </w:t>
      </w:r>
      <w:r w:rsidRPr="00710E6A">
        <w:rPr>
          <w:b/>
          <w:bCs w:val="0"/>
        </w:rPr>
        <w:t>Services</w:t>
      </w:r>
      <w:bookmarkEnd w:id="115"/>
      <w:bookmarkEnd w:id="116"/>
    </w:p>
    <w:p w14:paraId="7795E22D" w14:textId="717FAB24" w:rsidR="002675E2" w:rsidRDefault="007352CC" w:rsidP="008A7EB0">
      <w:pPr>
        <w:pStyle w:val="ListNumber"/>
      </w:pPr>
      <w:r>
        <w:t xml:space="preserve">Introduced in 2010, </w:t>
      </w:r>
      <w:r w:rsidR="00B7386A">
        <w:t>Disability</w:t>
      </w:r>
      <w:r w:rsidR="00573BA7">
        <w:t xml:space="preserve"> </w:t>
      </w:r>
      <w:r w:rsidR="00B7386A">
        <w:t>Employment</w:t>
      </w:r>
      <w:r w:rsidR="00573BA7">
        <w:t xml:space="preserve"> </w:t>
      </w:r>
      <w:r w:rsidR="00B7386A">
        <w:t>Services</w:t>
      </w:r>
      <w:r w:rsidR="00573BA7">
        <w:t xml:space="preserve"> </w:t>
      </w:r>
      <w:r w:rsidR="00B7386A">
        <w:t>(DES)</w:t>
      </w:r>
      <w:r w:rsidR="00573BA7">
        <w:t xml:space="preserve"> </w:t>
      </w:r>
      <w:r w:rsidR="7515FFF6">
        <w:t>assist</w:t>
      </w:r>
      <w:r w:rsidR="006401CF">
        <w:t xml:space="preserve"> </w:t>
      </w:r>
      <w:r w:rsidR="00B7386A">
        <w:t>people</w:t>
      </w:r>
      <w:r w:rsidR="00573BA7">
        <w:t xml:space="preserve"> </w:t>
      </w:r>
      <w:r w:rsidR="00B7386A">
        <w:t>with</w:t>
      </w:r>
      <w:r w:rsidR="00573BA7">
        <w:t xml:space="preserve"> </w:t>
      </w:r>
      <w:r w:rsidR="00B7386A">
        <w:t>disability</w:t>
      </w:r>
      <w:r w:rsidR="00573BA7">
        <w:t xml:space="preserve"> </w:t>
      </w:r>
      <w:r w:rsidR="00B7386A">
        <w:t>to</w:t>
      </w:r>
      <w:r w:rsidR="00573BA7">
        <w:t xml:space="preserve"> </w:t>
      </w:r>
      <w:r w:rsidR="00B7386A">
        <w:t>find</w:t>
      </w:r>
      <w:r w:rsidR="00573BA7">
        <w:t xml:space="preserve"> </w:t>
      </w:r>
      <w:r w:rsidR="00B7386A">
        <w:t>and</w:t>
      </w:r>
      <w:r w:rsidR="00573BA7">
        <w:t xml:space="preserve"> </w:t>
      </w:r>
      <w:r w:rsidR="00B7386A">
        <w:t>retain</w:t>
      </w:r>
      <w:r w:rsidR="00573BA7">
        <w:t xml:space="preserve"> </w:t>
      </w:r>
      <w:r w:rsidR="00B7386A">
        <w:t>employment</w:t>
      </w:r>
      <w:r w:rsidR="00573BA7">
        <w:t xml:space="preserve"> </w:t>
      </w:r>
      <w:r w:rsidR="00B7386A">
        <w:t>in</w:t>
      </w:r>
      <w:r w:rsidR="00573BA7">
        <w:t xml:space="preserve"> </w:t>
      </w:r>
      <w:r w:rsidR="00B7386A">
        <w:t>the</w:t>
      </w:r>
      <w:r w:rsidR="00573BA7">
        <w:t xml:space="preserve"> </w:t>
      </w:r>
      <w:r w:rsidR="00B7386A">
        <w:t>open</w:t>
      </w:r>
      <w:r w:rsidR="00573BA7">
        <w:t xml:space="preserve"> </w:t>
      </w:r>
      <w:r w:rsidR="00B7386A">
        <w:t>labour</w:t>
      </w:r>
      <w:r w:rsidR="00573BA7">
        <w:t xml:space="preserve"> </w:t>
      </w:r>
      <w:r w:rsidR="00B7386A">
        <w:t>market,</w:t>
      </w:r>
      <w:r w:rsidR="00573BA7">
        <w:t xml:space="preserve"> </w:t>
      </w:r>
      <w:r w:rsidR="00B7386A">
        <w:t>and</w:t>
      </w:r>
      <w:r w:rsidR="00573BA7">
        <w:t xml:space="preserve"> </w:t>
      </w:r>
      <w:r w:rsidR="00B7386A">
        <w:t>support</w:t>
      </w:r>
      <w:r w:rsidR="00573BA7">
        <w:t xml:space="preserve"> </w:t>
      </w:r>
      <w:r w:rsidR="00B7386A">
        <w:t>their</w:t>
      </w:r>
      <w:r w:rsidR="00573BA7">
        <w:t xml:space="preserve"> </w:t>
      </w:r>
      <w:r w:rsidR="00B7386A">
        <w:t>employers.</w:t>
      </w:r>
      <w:r w:rsidR="00573BA7">
        <w:t xml:space="preserve"> </w:t>
      </w:r>
      <w:r w:rsidR="00B7386A">
        <w:t>DES</w:t>
      </w:r>
      <w:r w:rsidR="00573BA7">
        <w:t xml:space="preserve"> </w:t>
      </w:r>
      <w:r w:rsidR="000C348B">
        <w:t>offers</w:t>
      </w:r>
      <w:r w:rsidR="00573BA7">
        <w:t xml:space="preserve"> </w:t>
      </w:r>
      <w:r w:rsidR="00B7386A">
        <w:t>two</w:t>
      </w:r>
      <w:r w:rsidR="00573BA7">
        <w:t xml:space="preserve"> </w:t>
      </w:r>
      <w:r w:rsidR="00B7386A">
        <w:t>streams</w:t>
      </w:r>
      <w:r w:rsidR="00573BA7">
        <w:t xml:space="preserve"> </w:t>
      </w:r>
      <w:r w:rsidR="00B7386A">
        <w:t>of</w:t>
      </w:r>
      <w:r w:rsidR="00573BA7">
        <w:t xml:space="preserve"> </w:t>
      </w:r>
      <w:r w:rsidR="00B7386A">
        <w:t>services</w:t>
      </w:r>
      <w:r w:rsidR="00573BA7">
        <w:t xml:space="preserve"> </w:t>
      </w:r>
      <w:r w:rsidR="00B7386A">
        <w:t>administered</w:t>
      </w:r>
      <w:r w:rsidR="00573BA7">
        <w:t xml:space="preserve"> </w:t>
      </w:r>
      <w:r w:rsidR="00B7386A">
        <w:t>through</w:t>
      </w:r>
      <w:r w:rsidR="00573BA7">
        <w:t xml:space="preserve"> </w:t>
      </w:r>
      <w:r w:rsidR="00C035DA">
        <w:t>private</w:t>
      </w:r>
      <w:r w:rsidR="00573BA7">
        <w:t xml:space="preserve"> </w:t>
      </w:r>
      <w:r w:rsidR="00B7386A">
        <w:t>DES</w:t>
      </w:r>
      <w:r w:rsidR="00573BA7">
        <w:t xml:space="preserve"> </w:t>
      </w:r>
      <w:r w:rsidR="00B7386A">
        <w:t>providers</w:t>
      </w:r>
      <w:r w:rsidR="00C035DA">
        <w:t>, many of which are for-profit companies</w:t>
      </w:r>
      <w:r w:rsidR="002675E2">
        <w:t>:</w:t>
      </w:r>
      <w:r w:rsidR="00573BA7">
        <w:t xml:space="preserve"> </w:t>
      </w:r>
    </w:p>
    <w:p w14:paraId="43D9C6BA" w14:textId="4D3DDADA" w:rsidR="002675E2" w:rsidRDefault="00B7386A" w:rsidP="002675E2">
      <w:pPr>
        <w:pStyle w:val="ListNumber"/>
        <w:numPr>
          <w:ilvl w:val="0"/>
          <w:numId w:val="53"/>
        </w:numPr>
      </w:pPr>
      <w:r>
        <w:t>Employment</w:t>
      </w:r>
      <w:r w:rsidR="00573BA7">
        <w:t xml:space="preserve"> </w:t>
      </w:r>
      <w:r>
        <w:t>Support</w:t>
      </w:r>
      <w:r w:rsidR="00573BA7">
        <w:t xml:space="preserve"> </w:t>
      </w:r>
      <w:r>
        <w:t>Services</w:t>
      </w:r>
      <w:r w:rsidR="00573BA7">
        <w:t xml:space="preserve"> </w:t>
      </w:r>
      <w:r>
        <w:t>assist</w:t>
      </w:r>
      <w:r w:rsidR="00573BA7">
        <w:t xml:space="preserve"> </w:t>
      </w:r>
      <w:r>
        <w:t>people</w:t>
      </w:r>
      <w:r w:rsidR="00573BA7">
        <w:t xml:space="preserve"> </w:t>
      </w:r>
      <w:r>
        <w:t>with</w:t>
      </w:r>
      <w:r w:rsidR="00573BA7">
        <w:t xml:space="preserve"> </w:t>
      </w:r>
      <w:r>
        <w:t>permanent</w:t>
      </w:r>
      <w:r w:rsidR="00573BA7">
        <w:t xml:space="preserve"> </w:t>
      </w:r>
      <w:r>
        <w:t>disability</w:t>
      </w:r>
      <w:r w:rsidR="00573BA7">
        <w:t xml:space="preserve"> </w:t>
      </w:r>
      <w:r>
        <w:t>to</w:t>
      </w:r>
      <w:r w:rsidR="00573BA7">
        <w:t xml:space="preserve"> </w:t>
      </w:r>
      <w:r>
        <w:t>find</w:t>
      </w:r>
      <w:r w:rsidR="00573BA7">
        <w:t xml:space="preserve"> </w:t>
      </w:r>
      <w:r>
        <w:t>work</w:t>
      </w:r>
      <w:r w:rsidR="00573BA7">
        <w:t xml:space="preserve"> </w:t>
      </w:r>
      <w:r>
        <w:t>where</w:t>
      </w:r>
      <w:r w:rsidR="00573BA7">
        <w:t xml:space="preserve"> </w:t>
      </w:r>
      <w:r>
        <w:t>they</w:t>
      </w:r>
      <w:r w:rsidR="00573BA7">
        <w:t xml:space="preserve"> </w:t>
      </w:r>
      <w:r>
        <w:t>require</w:t>
      </w:r>
      <w:r w:rsidR="00573BA7">
        <w:t xml:space="preserve"> </w:t>
      </w:r>
      <w:r>
        <w:t>ongoing</w:t>
      </w:r>
      <w:r w:rsidR="00573BA7">
        <w:t xml:space="preserve"> </w:t>
      </w:r>
      <w:r>
        <w:t>support</w:t>
      </w:r>
      <w:r w:rsidR="00573BA7">
        <w:t xml:space="preserve"> </w:t>
      </w:r>
      <w:r>
        <w:t>in</w:t>
      </w:r>
      <w:r w:rsidR="00573BA7">
        <w:t xml:space="preserve"> </w:t>
      </w:r>
      <w:r>
        <w:t>the</w:t>
      </w:r>
      <w:r w:rsidR="00573BA7">
        <w:t xml:space="preserve"> </w:t>
      </w:r>
      <w:r>
        <w:t>workplace</w:t>
      </w:r>
      <w:r w:rsidR="00A43D02">
        <w:t>.</w:t>
      </w:r>
      <w:r w:rsidR="00573BA7">
        <w:t xml:space="preserve"> </w:t>
      </w:r>
    </w:p>
    <w:p w14:paraId="41EB9A89" w14:textId="5901CA97" w:rsidR="00437C57" w:rsidRPr="003F4CE1" w:rsidRDefault="00B7386A" w:rsidP="00710E6A">
      <w:pPr>
        <w:pStyle w:val="ListNumber"/>
        <w:numPr>
          <w:ilvl w:val="0"/>
          <w:numId w:val="53"/>
        </w:numPr>
      </w:pPr>
      <w:r>
        <w:t>Disability</w:t>
      </w:r>
      <w:r w:rsidR="00573BA7">
        <w:t xml:space="preserve"> </w:t>
      </w:r>
      <w:r>
        <w:t>Management</w:t>
      </w:r>
      <w:r w:rsidR="00573BA7">
        <w:t xml:space="preserve"> </w:t>
      </w:r>
      <w:r>
        <w:t>Services</w:t>
      </w:r>
      <w:r w:rsidR="00573BA7">
        <w:t xml:space="preserve"> </w:t>
      </w:r>
      <w:r>
        <w:t>assist</w:t>
      </w:r>
      <w:r w:rsidR="00573BA7">
        <w:t xml:space="preserve"> </w:t>
      </w:r>
      <w:r>
        <w:t>other</w:t>
      </w:r>
      <w:r w:rsidR="00573BA7">
        <w:t xml:space="preserve"> </w:t>
      </w:r>
      <w:r>
        <w:t>people</w:t>
      </w:r>
      <w:r w:rsidR="00573BA7">
        <w:t xml:space="preserve"> </w:t>
      </w:r>
      <w:r>
        <w:t>with</w:t>
      </w:r>
      <w:r w:rsidR="00573BA7">
        <w:t xml:space="preserve"> </w:t>
      </w:r>
      <w:r>
        <w:t>disability</w:t>
      </w:r>
      <w:r w:rsidR="00573BA7">
        <w:t xml:space="preserve"> </w:t>
      </w:r>
      <w:r>
        <w:t>who</w:t>
      </w:r>
      <w:r w:rsidR="00573BA7">
        <w:t xml:space="preserve"> </w:t>
      </w:r>
      <w:r>
        <w:t>have</w:t>
      </w:r>
      <w:r w:rsidR="00573BA7">
        <w:t xml:space="preserve"> </w:t>
      </w:r>
      <w:r>
        <w:t>less</w:t>
      </w:r>
      <w:r w:rsidR="00573BA7">
        <w:t xml:space="preserve"> </w:t>
      </w:r>
      <w:r>
        <w:t>intensive</w:t>
      </w:r>
      <w:r w:rsidR="00573BA7">
        <w:t xml:space="preserve"> </w:t>
      </w:r>
      <w:r>
        <w:t>workplace</w:t>
      </w:r>
      <w:r w:rsidR="00573BA7">
        <w:t xml:space="preserve"> </w:t>
      </w:r>
      <w:r>
        <w:t>needs.</w:t>
      </w:r>
      <w:r w:rsidR="00573BA7">
        <w:t xml:space="preserve">  </w:t>
      </w:r>
    </w:p>
    <w:p w14:paraId="602684D5" w14:textId="2FB5FA8F" w:rsidR="000F1193" w:rsidRDefault="00437C57" w:rsidP="008A7EB0">
      <w:pPr>
        <w:pStyle w:val="ListNumber"/>
      </w:pPr>
      <w:r w:rsidRPr="003F4CE1">
        <w:t>In</w:t>
      </w:r>
      <w:r w:rsidR="00573BA7">
        <w:t xml:space="preserve"> </w:t>
      </w:r>
      <w:r w:rsidRPr="003F4CE1">
        <w:t>July</w:t>
      </w:r>
      <w:r w:rsidR="00573BA7">
        <w:t xml:space="preserve"> </w:t>
      </w:r>
      <w:r w:rsidRPr="003F4CE1">
        <w:t>2018,</w:t>
      </w:r>
      <w:r w:rsidR="00573BA7">
        <w:t xml:space="preserve"> </w:t>
      </w:r>
      <w:r w:rsidR="00A94B1E">
        <w:t xml:space="preserve">acknowledging that ‘DES is underperforming in achieving longer-term employment outcomes while participation rates for people with disability remain static’, </w:t>
      </w:r>
      <w:r w:rsidRPr="003F4CE1">
        <w:t>the</w:t>
      </w:r>
      <w:r w:rsidR="00573BA7">
        <w:t xml:space="preserve"> </w:t>
      </w:r>
      <w:r w:rsidRPr="003F4CE1">
        <w:t>Australian</w:t>
      </w:r>
      <w:r w:rsidR="00573BA7">
        <w:t xml:space="preserve"> </w:t>
      </w:r>
      <w:r w:rsidRPr="003F4CE1">
        <w:t>Government</w:t>
      </w:r>
      <w:r w:rsidR="00573BA7">
        <w:t xml:space="preserve"> </w:t>
      </w:r>
      <w:r w:rsidRPr="003F4CE1">
        <w:t>implemented</w:t>
      </w:r>
      <w:r w:rsidR="00573BA7">
        <w:t xml:space="preserve"> </w:t>
      </w:r>
      <w:r w:rsidRPr="003F4CE1">
        <w:t>significant</w:t>
      </w:r>
      <w:r w:rsidR="00573BA7">
        <w:t xml:space="preserve"> </w:t>
      </w:r>
      <w:r w:rsidRPr="003F4CE1">
        <w:t>reforms</w:t>
      </w:r>
      <w:r w:rsidR="00573BA7">
        <w:t xml:space="preserve"> </w:t>
      </w:r>
      <w:r w:rsidRPr="003F4CE1">
        <w:t>to</w:t>
      </w:r>
      <w:r w:rsidR="00573BA7">
        <w:t xml:space="preserve"> </w:t>
      </w:r>
      <w:r w:rsidR="000F1193" w:rsidRPr="003F4CE1">
        <w:t>DES</w:t>
      </w:r>
      <w:r w:rsidR="00A94B1E">
        <w:t>.</w:t>
      </w:r>
      <w:r w:rsidR="00A94B1E" w:rsidRPr="66369AFE">
        <w:rPr>
          <w:sz w:val="20"/>
          <w:szCs w:val="20"/>
          <w:vertAlign w:val="superscript"/>
        </w:rPr>
        <w:endnoteReference w:id="213"/>
      </w:r>
      <w:r w:rsidR="009F6F6A">
        <w:t xml:space="preserve"> </w:t>
      </w:r>
      <w:r w:rsidR="000F1193" w:rsidRPr="003F4CE1">
        <w:t>These</w:t>
      </w:r>
      <w:r w:rsidR="00573BA7">
        <w:t xml:space="preserve"> </w:t>
      </w:r>
      <w:r w:rsidR="000F1193" w:rsidRPr="003F4CE1">
        <w:t>reforms</w:t>
      </w:r>
      <w:r w:rsidR="00573BA7">
        <w:t xml:space="preserve"> </w:t>
      </w:r>
      <w:r w:rsidR="000F1193" w:rsidRPr="003F4CE1">
        <w:t>aimed</w:t>
      </w:r>
      <w:r w:rsidR="00573BA7">
        <w:t xml:space="preserve"> </w:t>
      </w:r>
      <w:r w:rsidR="000F1193" w:rsidRPr="003F4CE1">
        <w:t>to</w:t>
      </w:r>
      <w:r w:rsidR="00573BA7">
        <w:t xml:space="preserve"> </w:t>
      </w:r>
      <w:r w:rsidR="000F1193" w:rsidRPr="003F4CE1">
        <w:t>improve</w:t>
      </w:r>
      <w:r w:rsidR="00573BA7">
        <w:t xml:space="preserve"> </w:t>
      </w:r>
      <w:r w:rsidR="000F1193" w:rsidRPr="003F4CE1">
        <w:t>participant</w:t>
      </w:r>
      <w:r w:rsidR="00573BA7">
        <w:t xml:space="preserve"> </w:t>
      </w:r>
      <w:r w:rsidR="000F1193" w:rsidRPr="003F4CE1">
        <w:t>choice</w:t>
      </w:r>
      <w:r w:rsidR="00573BA7">
        <w:t xml:space="preserve"> </w:t>
      </w:r>
      <w:r w:rsidR="000F1193" w:rsidRPr="003F4CE1">
        <w:t>and</w:t>
      </w:r>
      <w:r w:rsidR="00573BA7">
        <w:t xml:space="preserve"> </w:t>
      </w:r>
      <w:r w:rsidR="000F1193" w:rsidRPr="003F4CE1">
        <w:t>control,</w:t>
      </w:r>
      <w:r w:rsidR="00573BA7">
        <w:t xml:space="preserve"> </w:t>
      </w:r>
      <w:r w:rsidR="000F1193" w:rsidRPr="003F4CE1">
        <w:t>enable</w:t>
      </w:r>
      <w:r w:rsidR="00573BA7">
        <w:t xml:space="preserve"> </w:t>
      </w:r>
      <w:r w:rsidR="000F1193" w:rsidRPr="003F4CE1">
        <w:t>competition</w:t>
      </w:r>
      <w:r w:rsidR="00573BA7">
        <w:t xml:space="preserve"> </w:t>
      </w:r>
      <w:r w:rsidR="000F1193" w:rsidRPr="003F4CE1">
        <w:t>and</w:t>
      </w:r>
      <w:r w:rsidR="00573BA7">
        <w:t xml:space="preserve"> </w:t>
      </w:r>
      <w:r w:rsidR="000F1193" w:rsidRPr="003F4CE1">
        <w:t>incentivi</w:t>
      </w:r>
      <w:r w:rsidR="008B115E">
        <w:t>s</w:t>
      </w:r>
      <w:r w:rsidR="000F1193" w:rsidRPr="003F4CE1">
        <w:t>ation</w:t>
      </w:r>
      <w:r w:rsidR="00573BA7">
        <w:t xml:space="preserve"> </w:t>
      </w:r>
      <w:r w:rsidR="000F1193" w:rsidRPr="003F4CE1">
        <w:t>in</w:t>
      </w:r>
      <w:r w:rsidR="00573BA7">
        <w:t xml:space="preserve"> </w:t>
      </w:r>
      <w:r w:rsidR="000F1193" w:rsidRPr="003F4CE1">
        <w:t>the</w:t>
      </w:r>
      <w:r w:rsidR="00573BA7">
        <w:t xml:space="preserve"> </w:t>
      </w:r>
      <w:r w:rsidR="000F1193" w:rsidRPr="003F4CE1">
        <w:t>provider</w:t>
      </w:r>
      <w:r w:rsidR="00573BA7">
        <w:t xml:space="preserve"> </w:t>
      </w:r>
      <w:r w:rsidR="000F1193" w:rsidRPr="003F4CE1">
        <w:t>market,</w:t>
      </w:r>
      <w:r w:rsidR="00573BA7">
        <w:t xml:space="preserve"> </w:t>
      </w:r>
      <w:r w:rsidR="000F1193" w:rsidRPr="003F4CE1">
        <w:t>and</w:t>
      </w:r>
      <w:r w:rsidR="00573BA7">
        <w:t xml:space="preserve"> </w:t>
      </w:r>
      <w:r w:rsidR="000F1193" w:rsidRPr="003F4CE1">
        <w:t>trial</w:t>
      </w:r>
      <w:r w:rsidR="00004215">
        <w:t xml:space="preserve">led an </w:t>
      </w:r>
      <w:r w:rsidR="000F1193" w:rsidRPr="003F4CE1">
        <w:t>expand</w:t>
      </w:r>
      <w:r w:rsidR="008B115E">
        <w:t>ed</w:t>
      </w:r>
      <w:r w:rsidR="00573BA7">
        <w:t xml:space="preserve"> </w:t>
      </w:r>
      <w:r w:rsidR="000F1193" w:rsidRPr="003F4CE1">
        <w:t>DES</w:t>
      </w:r>
      <w:r w:rsidR="00573BA7">
        <w:t xml:space="preserve"> </w:t>
      </w:r>
      <w:r w:rsidR="00004215">
        <w:t>offering</w:t>
      </w:r>
      <w:r w:rsidR="00573BA7">
        <w:t xml:space="preserve"> </w:t>
      </w:r>
      <w:r w:rsidR="000F1193" w:rsidRPr="003F4CE1">
        <w:t>for</w:t>
      </w:r>
      <w:r w:rsidR="00573BA7">
        <w:t xml:space="preserve"> </w:t>
      </w:r>
      <w:r w:rsidR="000F1193" w:rsidRPr="003F4CE1">
        <w:t>students</w:t>
      </w:r>
      <w:r w:rsidR="00573BA7">
        <w:t xml:space="preserve"> </w:t>
      </w:r>
      <w:r w:rsidR="000F1193" w:rsidRPr="003F4CE1">
        <w:t>in</w:t>
      </w:r>
      <w:r w:rsidR="00573BA7">
        <w:t xml:space="preserve"> </w:t>
      </w:r>
      <w:r w:rsidR="000F1193" w:rsidRPr="003F4CE1">
        <w:t>their</w:t>
      </w:r>
      <w:r w:rsidR="00573BA7">
        <w:t xml:space="preserve"> </w:t>
      </w:r>
      <w:r w:rsidR="000F1193" w:rsidRPr="003F4CE1">
        <w:t>last</w:t>
      </w:r>
      <w:r w:rsidR="00573BA7">
        <w:t xml:space="preserve"> </w:t>
      </w:r>
      <w:r w:rsidR="000F1193" w:rsidRPr="003F4CE1">
        <w:t>year</w:t>
      </w:r>
      <w:r w:rsidR="00573BA7">
        <w:t xml:space="preserve"> </w:t>
      </w:r>
      <w:r w:rsidR="000F1193" w:rsidRPr="003F4CE1">
        <w:t>of</w:t>
      </w:r>
      <w:r w:rsidR="00573BA7">
        <w:t xml:space="preserve"> </w:t>
      </w:r>
      <w:r w:rsidR="000F1193" w:rsidRPr="003F4CE1">
        <w:t>school.</w:t>
      </w:r>
      <w:r w:rsidR="000F1193" w:rsidRPr="003F4CE1">
        <w:rPr>
          <w:rStyle w:val="EndnoteReference"/>
          <w:rFonts w:cs="Open Sans"/>
        </w:rPr>
        <w:endnoteReference w:id="214"/>
      </w:r>
      <w:r w:rsidR="00573BA7">
        <w:t xml:space="preserve"> </w:t>
      </w:r>
    </w:p>
    <w:p w14:paraId="5817BCD7" w14:textId="30C85CA1" w:rsidR="00437AE6" w:rsidRDefault="008410D8" w:rsidP="000C348B">
      <w:pPr>
        <w:pStyle w:val="ListNumber"/>
      </w:pPr>
      <w:r>
        <w:t xml:space="preserve">So far, there is </w:t>
      </w:r>
      <w:r w:rsidR="00523F76">
        <w:t>little</w:t>
      </w:r>
      <w:r>
        <w:t xml:space="preserve"> evidence of the impact of these reforms. </w:t>
      </w:r>
      <w:r w:rsidR="00B751DA">
        <w:t xml:space="preserve">Australian disability rights groups have criticised the reforms, </w:t>
      </w:r>
      <w:r w:rsidR="00A4697E">
        <w:t xml:space="preserve">citing a lack of </w:t>
      </w:r>
      <w:r w:rsidR="00A4697E">
        <w:lastRenderedPageBreak/>
        <w:t>consultation with people with disability</w:t>
      </w:r>
      <w:r w:rsidR="00524FCD">
        <w:t>, funding cuts unfairly impacting people with intellectual disability,</w:t>
      </w:r>
      <w:r w:rsidR="00A4697E">
        <w:t xml:space="preserve"> </w:t>
      </w:r>
      <w:r w:rsidR="00883E46">
        <w:t xml:space="preserve">and </w:t>
      </w:r>
      <w:r w:rsidR="008029B7">
        <w:t xml:space="preserve">a </w:t>
      </w:r>
      <w:r w:rsidR="00883E46">
        <w:t xml:space="preserve">potential </w:t>
      </w:r>
      <w:r w:rsidR="001E7B72">
        <w:t>disincen</w:t>
      </w:r>
      <w:r w:rsidR="008029B7">
        <w:t>tive</w:t>
      </w:r>
      <w:r w:rsidR="00883E46">
        <w:t xml:space="preserve"> for DES providers to </w:t>
      </w:r>
      <w:r w:rsidR="001E7B72">
        <w:t>assist jobseekers with high support needs.</w:t>
      </w:r>
      <w:r w:rsidR="001E7B72" w:rsidRPr="00A5410D">
        <w:rPr>
          <w:rStyle w:val="EndnoteReference"/>
        </w:rPr>
        <w:endnoteReference w:id="215"/>
      </w:r>
      <w:r w:rsidR="00A5410D" w:rsidRPr="00BC4DA8">
        <w:t xml:space="preserve"> </w:t>
      </w:r>
      <w:r w:rsidR="000F1193" w:rsidRPr="00BC4DA8">
        <w:t>There</w:t>
      </w:r>
      <w:r w:rsidR="00573BA7" w:rsidRPr="00BC4DA8">
        <w:t xml:space="preserve"> </w:t>
      </w:r>
      <w:r w:rsidR="000F1193" w:rsidRPr="00BC4DA8">
        <w:t>is</w:t>
      </w:r>
      <w:r w:rsidR="00573BA7" w:rsidRPr="00BC4DA8">
        <w:t xml:space="preserve"> </w:t>
      </w:r>
      <w:r w:rsidR="00A5410D">
        <w:t>some</w:t>
      </w:r>
      <w:r w:rsidR="00573BA7" w:rsidRPr="00BC4DA8">
        <w:t xml:space="preserve"> </w:t>
      </w:r>
      <w:r w:rsidR="000F1193" w:rsidRPr="00BC4DA8">
        <w:t>evidence</w:t>
      </w:r>
      <w:r w:rsidR="00573BA7" w:rsidRPr="00BC4DA8">
        <w:t xml:space="preserve"> </w:t>
      </w:r>
      <w:r w:rsidR="000F1193" w:rsidRPr="00BC4DA8">
        <w:t>that</w:t>
      </w:r>
      <w:r w:rsidR="00573BA7" w:rsidRPr="00BC4DA8">
        <w:t xml:space="preserve"> </w:t>
      </w:r>
      <w:r w:rsidR="000F1193" w:rsidRPr="00BC4DA8">
        <w:t>the</w:t>
      </w:r>
      <w:r w:rsidR="00573BA7" w:rsidRPr="00BC4DA8">
        <w:t xml:space="preserve"> </w:t>
      </w:r>
      <w:r w:rsidR="00A5410D">
        <w:t>focus on</w:t>
      </w:r>
      <w:r w:rsidR="00573BA7" w:rsidRPr="00BC4DA8">
        <w:t xml:space="preserve"> </w:t>
      </w:r>
      <w:r w:rsidR="000F1193" w:rsidRPr="00BC4DA8">
        <w:t>increased</w:t>
      </w:r>
      <w:r w:rsidR="00573BA7" w:rsidRPr="00BC4DA8">
        <w:t xml:space="preserve"> </w:t>
      </w:r>
      <w:r w:rsidR="000F1193" w:rsidRPr="00BC4DA8">
        <w:t>participant</w:t>
      </w:r>
      <w:r w:rsidR="00573BA7" w:rsidRPr="00BC4DA8">
        <w:t xml:space="preserve"> </w:t>
      </w:r>
      <w:r w:rsidR="000F1193" w:rsidRPr="00BC4DA8">
        <w:t>choice</w:t>
      </w:r>
      <w:r w:rsidR="00573BA7" w:rsidRPr="00BC4DA8">
        <w:t xml:space="preserve"> </w:t>
      </w:r>
      <w:r w:rsidR="000F1193" w:rsidRPr="00BC4DA8">
        <w:t>and</w:t>
      </w:r>
      <w:r w:rsidR="00573BA7" w:rsidRPr="00BC4DA8">
        <w:t xml:space="preserve"> </w:t>
      </w:r>
      <w:r w:rsidR="000F1193" w:rsidRPr="00BC4DA8">
        <w:t>control</w:t>
      </w:r>
      <w:r w:rsidR="00573BA7" w:rsidRPr="00BC4DA8">
        <w:t xml:space="preserve"> </w:t>
      </w:r>
      <w:r w:rsidR="00A5410D">
        <w:t xml:space="preserve">in the reforms </w:t>
      </w:r>
      <w:r w:rsidR="000F1193" w:rsidRPr="00BC4DA8">
        <w:t>is</w:t>
      </w:r>
      <w:r w:rsidR="00573BA7" w:rsidRPr="00BC4DA8">
        <w:t xml:space="preserve"> </w:t>
      </w:r>
      <w:r w:rsidR="000F1193" w:rsidRPr="00BC4DA8">
        <w:t>not</w:t>
      </w:r>
      <w:r w:rsidR="00573BA7" w:rsidRPr="00BC4DA8">
        <w:t xml:space="preserve"> </w:t>
      </w:r>
      <w:r w:rsidR="000F1193" w:rsidRPr="00BC4DA8">
        <w:t>necessarily</w:t>
      </w:r>
      <w:r w:rsidR="00573BA7" w:rsidRPr="00BC4DA8">
        <w:t xml:space="preserve"> </w:t>
      </w:r>
      <w:r w:rsidR="000F1193" w:rsidRPr="00BC4DA8">
        <w:t>translating</w:t>
      </w:r>
      <w:r w:rsidR="00573BA7" w:rsidRPr="00BC4DA8">
        <w:t xml:space="preserve"> </w:t>
      </w:r>
      <w:r w:rsidR="00897238">
        <w:t>in</w:t>
      </w:r>
      <w:r w:rsidR="000F1193" w:rsidRPr="00BC4DA8">
        <w:t>to</w:t>
      </w:r>
      <w:r w:rsidR="00573BA7" w:rsidRPr="00BC4DA8">
        <w:t xml:space="preserve"> </w:t>
      </w:r>
      <w:r w:rsidR="000F1193" w:rsidRPr="00BC4DA8">
        <w:t>better</w:t>
      </w:r>
      <w:r w:rsidR="00573BA7" w:rsidRPr="00BC4DA8">
        <w:t xml:space="preserve"> </w:t>
      </w:r>
      <w:r w:rsidR="000F1193" w:rsidRPr="00BC4DA8">
        <w:t>outcomes</w:t>
      </w:r>
      <w:r w:rsidR="00573BA7" w:rsidRPr="00BC4DA8">
        <w:t xml:space="preserve"> </w:t>
      </w:r>
      <w:r w:rsidR="000F1193" w:rsidRPr="00BC4DA8">
        <w:t>for</w:t>
      </w:r>
      <w:r w:rsidR="00573BA7" w:rsidRPr="00BC4DA8">
        <w:t xml:space="preserve"> </w:t>
      </w:r>
      <w:r w:rsidR="000F1193" w:rsidRPr="00BC4DA8">
        <w:t>people</w:t>
      </w:r>
      <w:r w:rsidR="00573BA7" w:rsidRPr="00BC4DA8">
        <w:t xml:space="preserve"> </w:t>
      </w:r>
      <w:r w:rsidR="000F1193" w:rsidRPr="00BC4DA8">
        <w:t>with</w:t>
      </w:r>
      <w:r w:rsidR="00573BA7" w:rsidRPr="00BC4DA8">
        <w:t xml:space="preserve"> </w:t>
      </w:r>
      <w:r w:rsidR="000F1193" w:rsidRPr="00BC4DA8">
        <w:t>disability.</w:t>
      </w:r>
      <w:r w:rsidR="000F1193" w:rsidRPr="00BC4DA8">
        <w:rPr>
          <w:rStyle w:val="EndnoteReference"/>
          <w:rFonts w:cs="Open Sans"/>
        </w:rPr>
        <w:endnoteReference w:id="216"/>
      </w:r>
      <w:r w:rsidR="00573BA7" w:rsidRPr="00BC4DA8">
        <w:t xml:space="preserve"> </w:t>
      </w:r>
      <w:r w:rsidR="005F6D1D">
        <w:t xml:space="preserve">Concerns have also been raised by DES participants about the </w:t>
      </w:r>
      <w:r w:rsidR="002C3564">
        <w:t xml:space="preserve">poor </w:t>
      </w:r>
      <w:r w:rsidR="005F6D1D">
        <w:t xml:space="preserve">quality </w:t>
      </w:r>
      <w:r w:rsidR="002C3564">
        <w:t>of DES services even after the implementation of the 2018 reforms.</w:t>
      </w:r>
      <w:r w:rsidR="002C3564">
        <w:rPr>
          <w:rStyle w:val="EndnoteReference"/>
        </w:rPr>
        <w:endnoteReference w:id="217"/>
      </w:r>
    </w:p>
    <w:p w14:paraId="46E9B25A" w14:textId="04EA4BEC" w:rsidR="000C348B" w:rsidRPr="00BC4DA8" w:rsidRDefault="00BA424B">
      <w:pPr>
        <w:pStyle w:val="ListNumber"/>
        <w:rPr>
          <w:rFonts w:eastAsia="Open Sans" w:cs="Open Sans"/>
        </w:rPr>
      </w:pPr>
      <w:r>
        <w:t xml:space="preserve">The Commission </w:t>
      </w:r>
      <w:r w:rsidR="00897238">
        <w:t>is also</w:t>
      </w:r>
      <w:r>
        <w:t xml:space="preserve"> concerned</w:t>
      </w:r>
      <w:r w:rsidR="003954C0">
        <w:t xml:space="preserve"> about the cost effectiveness of the program</w:t>
      </w:r>
      <w:r w:rsidR="00437AE6">
        <w:t xml:space="preserve">. </w:t>
      </w:r>
      <w:r w:rsidR="006B2D8B">
        <w:t>As at 2016</w:t>
      </w:r>
      <w:r w:rsidR="55108D7D">
        <w:t>,</w:t>
      </w:r>
      <w:r w:rsidR="006B2D8B">
        <w:t xml:space="preserve"> the </w:t>
      </w:r>
      <w:r w:rsidR="003954C0">
        <w:t xml:space="preserve">Australian Government </w:t>
      </w:r>
      <w:r w:rsidR="006B2D8B">
        <w:t xml:space="preserve">was spending </w:t>
      </w:r>
      <w:r w:rsidR="003954C0">
        <w:t>approximately $800 million each year on DES</w:t>
      </w:r>
      <w:r w:rsidR="00437AE6">
        <w:t>.</w:t>
      </w:r>
      <w:r w:rsidR="003954C0">
        <w:rPr>
          <w:rStyle w:val="EndnoteReference"/>
        </w:rPr>
        <w:endnoteReference w:id="218"/>
      </w:r>
      <w:r w:rsidR="00437AE6">
        <w:t xml:space="preserve"> However,</w:t>
      </w:r>
      <w:r w:rsidR="005B59D0">
        <w:t xml:space="preserve"> </w:t>
      </w:r>
      <w:r w:rsidR="00A16B91">
        <w:t xml:space="preserve">as at June 2017, </w:t>
      </w:r>
      <w:r w:rsidR="002E3B4A">
        <w:t>only 4.3</w:t>
      </w:r>
      <w:r w:rsidR="005B59D0">
        <w:t xml:space="preserve">% of </w:t>
      </w:r>
      <w:r w:rsidR="0046061B">
        <w:t>Australians</w:t>
      </w:r>
      <w:r w:rsidR="005B59D0">
        <w:t xml:space="preserve"> with disability </w:t>
      </w:r>
      <w:r w:rsidR="00850120">
        <w:t>participated in DES</w:t>
      </w:r>
      <w:r w:rsidR="005B59D0">
        <w:t>.</w:t>
      </w:r>
      <w:r w:rsidR="005B59D0">
        <w:rPr>
          <w:rStyle w:val="EndnoteReference"/>
        </w:rPr>
        <w:endnoteReference w:id="219"/>
      </w:r>
      <w:r w:rsidR="006D539A">
        <w:t xml:space="preserve"> </w:t>
      </w:r>
      <w:r w:rsidR="00AD5EE2">
        <w:t>Of participants who</w:t>
      </w:r>
      <w:r w:rsidR="001A7FAC">
        <w:t xml:space="preserve"> commenced with DES and</w:t>
      </w:r>
      <w:r w:rsidR="00AD5EE2">
        <w:t xml:space="preserve"> found employment </w:t>
      </w:r>
      <w:r w:rsidR="0041747E">
        <w:t>i</w:t>
      </w:r>
      <w:r w:rsidR="00802F83">
        <w:t>n 2018</w:t>
      </w:r>
      <w:r w:rsidR="19ABAA83" w:rsidRPr="6772E214">
        <w:rPr>
          <w:rFonts w:ascii="Calibri" w:eastAsia="Calibri" w:hAnsi="Calibri" w:cs="Calibri"/>
          <w:sz w:val="22"/>
          <w:szCs w:val="22"/>
        </w:rPr>
        <w:t>─</w:t>
      </w:r>
      <w:r w:rsidR="00802F83">
        <w:t>2019</w:t>
      </w:r>
      <w:r w:rsidR="00AD5EE2">
        <w:t xml:space="preserve">, </w:t>
      </w:r>
      <w:r w:rsidR="00AF53E5">
        <w:t>72</w:t>
      </w:r>
      <w:r w:rsidR="009F6F6A">
        <w:t xml:space="preserve">% </w:t>
      </w:r>
      <w:r w:rsidR="00AF53E5">
        <w:t xml:space="preserve">were no longer </w:t>
      </w:r>
      <w:r w:rsidR="00AD5EE2">
        <w:t>employed</w:t>
      </w:r>
      <w:r w:rsidR="009F6F6A">
        <w:t xml:space="preserve"> </w:t>
      </w:r>
      <w:r w:rsidR="005F1931">
        <w:t>six</w:t>
      </w:r>
      <w:r w:rsidR="009F6F6A">
        <w:t xml:space="preserve"> months </w:t>
      </w:r>
      <w:r w:rsidR="00AD5EE2">
        <w:t>later</w:t>
      </w:r>
      <w:r w:rsidR="009F6F6A" w:rsidRPr="004B45F2">
        <w:t>.</w:t>
      </w:r>
      <w:r w:rsidR="00AF53E5">
        <w:rPr>
          <w:rStyle w:val="EndnoteReference"/>
        </w:rPr>
        <w:endnoteReference w:id="220"/>
      </w:r>
      <w:r w:rsidR="009F6F6A" w:rsidRPr="004B45F2">
        <w:t xml:space="preserve"> </w:t>
      </w:r>
      <w:r w:rsidR="007E6825">
        <w:t>That rate has decreased by 10% since 2016</w:t>
      </w:r>
      <w:r w:rsidR="13D228B0" w:rsidRPr="6772E214">
        <w:rPr>
          <w:rFonts w:ascii="Calibri" w:eastAsia="Calibri" w:hAnsi="Calibri" w:cs="Calibri"/>
          <w:sz w:val="22"/>
          <w:szCs w:val="22"/>
        </w:rPr>
        <w:t>─</w:t>
      </w:r>
      <w:r w:rsidR="007E6825">
        <w:t>17</w:t>
      </w:r>
      <w:r w:rsidR="000C348B" w:rsidRPr="00BC4DA8">
        <w:t>.</w:t>
      </w:r>
      <w:r w:rsidR="000C348B" w:rsidRPr="007B537E">
        <w:rPr>
          <w:sz w:val="20"/>
          <w:szCs w:val="20"/>
          <w:vertAlign w:val="superscript"/>
        </w:rPr>
        <w:endnoteReference w:id="221"/>
      </w:r>
      <w:r w:rsidR="00AB663D">
        <w:t xml:space="preserve"> Data on the success and cost effectiveness of DES post-2018 reforms is limited.</w:t>
      </w:r>
    </w:p>
    <w:p w14:paraId="1578592D" w14:textId="735A0A5A" w:rsidR="00B6659D" w:rsidRPr="003F4CE1" w:rsidRDefault="004B16DB" w:rsidP="00662F4B">
      <w:pPr>
        <w:pStyle w:val="ListNumber"/>
      </w:pPr>
      <w:r>
        <w:t xml:space="preserve">While the Department of Social Services publishes detailed monthly reports on caseload, participant employment outcomes and provider performance, the </w:t>
      </w:r>
      <w:r w:rsidR="00B6659D" w:rsidRPr="003F4CE1">
        <w:t>Australian</w:t>
      </w:r>
      <w:r w:rsidR="00573BA7">
        <w:t xml:space="preserve"> </w:t>
      </w:r>
      <w:r w:rsidR="00B6659D" w:rsidRPr="003F4CE1">
        <w:t>National</w:t>
      </w:r>
      <w:r w:rsidR="00573BA7">
        <w:t xml:space="preserve"> </w:t>
      </w:r>
      <w:r w:rsidR="00B6659D" w:rsidRPr="003F4CE1">
        <w:t>Audit</w:t>
      </w:r>
      <w:r w:rsidR="00573BA7">
        <w:t xml:space="preserve"> </w:t>
      </w:r>
      <w:r w:rsidR="00B6659D" w:rsidRPr="003F4CE1">
        <w:t>Office</w:t>
      </w:r>
      <w:r w:rsidR="00573BA7">
        <w:t xml:space="preserve"> </w:t>
      </w:r>
      <w:r w:rsidR="0073257F">
        <w:t>review</w:t>
      </w:r>
      <w:r w:rsidR="00573BA7">
        <w:t xml:space="preserve"> </w:t>
      </w:r>
      <w:r w:rsidR="00B6659D" w:rsidRPr="003F4CE1">
        <w:t>in</w:t>
      </w:r>
      <w:r w:rsidR="00573BA7">
        <w:t xml:space="preserve"> </w:t>
      </w:r>
      <w:r w:rsidR="00B6659D" w:rsidRPr="003F4CE1">
        <w:t>June</w:t>
      </w:r>
      <w:r w:rsidR="00573BA7">
        <w:t xml:space="preserve"> </w:t>
      </w:r>
      <w:r w:rsidR="00B6659D" w:rsidRPr="003F4CE1">
        <w:t>2020</w:t>
      </w:r>
      <w:r w:rsidR="00573BA7">
        <w:t xml:space="preserve"> </w:t>
      </w:r>
      <w:r w:rsidR="00A621B9">
        <w:t xml:space="preserve">found </w:t>
      </w:r>
      <w:r w:rsidR="00B6659D" w:rsidRPr="003F4CE1">
        <w:t>that</w:t>
      </w:r>
      <w:r w:rsidR="00573BA7">
        <w:t xml:space="preserve"> </w:t>
      </w:r>
      <w:r>
        <w:t>there is no</w:t>
      </w:r>
      <w:r w:rsidR="005235EE" w:rsidRPr="005235EE">
        <w:t xml:space="preserve"> </w:t>
      </w:r>
      <w:r>
        <w:t>‘</w:t>
      </w:r>
      <w:r w:rsidR="005235EE" w:rsidRPr="005235EE">
        <w:t>evaluation framework to effectively measure DES program performance or the success of the DES reforms</w:t>
      </w:r>
      <w:r w:rsidR="005235EE">
        <w:t>’</w:t>
      </w:r>
      <w:r w:rsidR="00B6659D" w:rsidRPr="003F4CE1">
        <w:t>.</w:t>
      </w:r>
      <w:r w:rsidR="00B6659D" w:rsidRPr="003F4CE1">
        <w:rPr>
          <w:rStyle w:val="EndnoteReference"/>
          <w:rFonts w:cs="Open Sans"/>
        </w:rPr>
        <w:endnoteReference w:id="222"/>
      </w:r>
      <w:r w:rsidR="00573BA7">
        <w:t xml:space="preserve"> </w:t>
      </w:r>
      <w:r w:rsidR="00B13692" w:rsidRPr="003F4CE1">
        <w:t>The</w:t>
      </w:r>
      <w:r w:rsidR="00573BA7">
        <w:t xml:space="preserve"> </w:t>
      </w:r>
      <w:r w:rsidR="00A621B9">
        <w:t>CRPD Committee</w:t>
      </w:r>
      <w:r w:rsidR="00573BA7">
        <w:t xml:space="preserve"> </w:t>
      </w:r>
      <w:r w:rsidR="00B13692" w:rsidRPr="003F4CE1">
        <w:t>has</w:t>
      </w:r>
      <w:r w:rsidR="00573BA7">
        <w:t xml:space="preserve"> </w:t>
      </w:r>
      <w:r w:rsidR="00B13692" w:rsidRPr="003F4CE1">
        <w:t>also</w:t>
      </w:r>
      <w:r w:rsidR="00573BA7">
        <w:t xml:space="preserve"> </w:t>
      </w:r>
      <w:r w:rsidR="00B13692" w:rsidRPr="003F4CE1">
        <w:t>expressed</w:t>
      </w:r>
      <w:r w:rsidR="00573BA7">
        <w:t xml:space="preserve"> </w:t>
      </w:r>
      <w:r w:rsidR="00B13692" w:rsidRPr="003F4CE1">
        <w:t>concerns</w:t>
      </w:r>
      <w:r w:rsidR="00573BA7">
        <w:t xml:space="preserve"> </w:t>
      </w:r>
      <w:r w:rsidR="00B13692" w:rsidRPr="003F4CE1">
        <w:t>about</w:t>
      </w:r>
      <w:r w:rsidR="00573BA7">
        <w:t xml:space="preserve"> </w:t>
      </w:r>
      <w:r w:rsidR="00B13692" w:rsidRPr="003F4CE1">
        <w:t>the</w:t>
      </w:r>
      <w:r w:rsidR="00573BA7">
        <w:t xml:space="preserve"> </w:t>
      </w:r>
      <w:r w:rsidR="00B13692" w:rsidRPr="003F4CE1">
        <w:t>lack</w:t>
      </w:r>
      <w:r w:rsidR="00573BA7">
        <w:t xml:space="preserve"> </w:t>
      </w:r>
      <w:r w:rsidR="00B13692" w:rsidRPr="003F4CE1">
        <w:t>of</w:t>
      </w:r>
      <w:r w:rsidR="00573BA7">
        <w:t xml:space="preserve"> </w:t>
      </w:r>
      <w:r w:rsidR="00B13692" w:rsidRPr="003F4CE1">
        <w:t>clear</w:t>
      </w:r>
      <w:r w:rsidR="00573BA7">
        <w:t xml:space="preserve"> </w:t>
      </w:r>
      <w:r w:rsidR="00B13692" w:rsidRPr="003F4CE1">
        <w:t>measures</w:t>
      </w:r>
      <w:r w:rsidR="00573BA7">
        <w:t xml:space="preserve"> </w:t>
      </w:r>
      <w:r w:rsidR="00B13692" w:rsidRPr="003F4CE1">
        <w:t>to</w:t>
      </w:r>
      <w:r w:rsidR="00573BA7">
        <w:t xml:space="preserve"> </w:t>
      </w:r>
      <w:r w:rsidR="00B13692" w:rsidRPr="003F4CE1">
        <w:t>reform</w:t>
      </w:r>
      <w:r w:rsidR="00573BA7">
        <w:t xml:space="preserve"> </w:t>
      </w:r>
      <w:r w:rsidR="00B13692" w:rsidRPr="003F4CE1">
        <w:t>DES,</w:t>
      </w:r>
      <w:r w:rsidR="00573BA7">
        <w:t xml:space="preserve"> </w:t>
      </w:r>
      <w:r w:rsidR="00B13692" w:rsidRPr="003F4CE1">
        <w:t>and</w:t>
      </w:r>
      <w:r w:rsidR="00573BA7">
        <w:t xml:space="preserve"> </w:t>
      </w:r>
      <w:r w:rsidR="00B13692" w:rsidRPr="003F4CE1">
        <w:t>recommends</w:t>
      </w:r>
      <w:r w:rsidR="00573BA7">
        <w:t xml:space="preserve"> </w:t>
      </w:r>
      <w:r w:rsidR="00B13692" w:rsidRPr="003F4CE1">
        <w:t>that</w:t>
      </w:r>
      <w:r w:rsidR="00573BA7">
        <w:t xml:space="preserve"> </w:t>
      </w:r>
      <w:r w:rsidR="00B13692" w:rsidRPr="003F4CE1">
        <w:t>the</w:t>
      </w:r>
      <w:r w:rsidR="00573BA7">
        <w:t xml:space="preserve"> </w:t>
      </w:r>
      <w:r w:rsidR="00B13692" w:rsidRPr="003F4CE1">
        <w:t>Australian</w:t>
      </w:r>
      <w:r w:rsidR="00573BA7">
        <w:t xml:space="preserve"> </w:t>
      </w:r>
      <w:r w:rsidR="00B13692" w:rsidRPr="003F4CE1">
        <w:t>Government</w:t>
      </w:r>
      <w:r w:rsidR="00573BA7">
        <w:t xml:space="preserve"> </w:t>
      </w:r>
      <w:r w:rsidR="00B13692" w:rsidRPr="003F4CE1">
        <w:t>take</w:t>
      </w:r>
      <w:r w:rsidR="00573BA7">
        <w:t xml:space="preserve"> </w:t>
      </w:r>
      <w:r w:rsidR="00B13692" w:rsidRPr="003F4CE1">
        <w:t>measures</w:t>
      </w:r>
      <w:r w:rsidR="00573BA7">
        <w:t xml:space="preserve"> </w:t>
      </w:r>
      <w:r w:rsidR="00B13692" w:rsidRPr="003F4CE1">
        <w:t>to</w:t>
      </w:r>
      <w:r w:rsidR="00573BA7">
        <w:t xml:space="preserve"> </w:t>
      </w:r>
      <w:r w:rsidR="00B13692" w:rsidRPr="003F4CE1">
        <w:t>further</w:t>
      </w:r>
      <w:r w:rsidR="00573BA7">
        <w:t xml:space="preserve"> </w:t>
      </w:r>
      <w:r w:rsidR="00B13692" w:rsidRPr="003F4CE1">
        <w:t>reform</w:t>
      </w:r>
      <w:r w:rsidR="00573BA7">
        <w:t xml:space="preserve"> </w:t>
      </w:r>
      <w:r w:rsidR="00B13692" w:rsidRPr="003F4CE1">
        <w:t>the</w:t>
      </w:r>
      <w:r w:rsidR="00573BA7">
        <w:t xml:space="preserve"> </w:t>
      </w:r>
      <w:r w:rsidR="00B13692" w:rsidRPr="003F4CE1">
        <w:t>DES.</w:t>
      </w:r>
      <w:r w:rsidR="00B13692" w:rsidRPr="003F4CE1">
        <w:rPr>
          <w:rStyle w:val="EndnoteReference"/>
          <w:rFonts w:cs="Open Sans"/>
        </w:rPr>
        <w:endnoteReference w:id="223"/>
      </w:r>
      <w:r w:rsidR="00573BA7">
        <w:t xml:space="preserve"> </w:t>
      </w:r>
    </w:p>
    <w:p w14:paraId="4501D4E9" w14:textId="2EF3AF91" w:rsidR="00B6659D" w:rsidRPr="003F4CE1" w:rsidRDefault="00B6659D" w:rsidP="00662F4B">
      <w:pPr>
        <w:pStyle w:val="ListNumber"/>
      </w:pPr>
      <w:r w:rsidRPr="003F4CE1">
        <w:t>In</w:t>
      </w:r>
      <w:r w:rsidR="00573BA7">
        <w:t xml:space="preserve"> </w:t>
      </w:r>
      <w:r w:rsidRPr="003F4CE1">
        <w:t>response,</w:t>
      </w:r>
      <w:r w:rsidR="00573BA7">
        <w:t xml:space="preserve"> </w:t>
      </w:r>
      <w:r w:rsidRPr="003F4CE1">
        <w:t>the</w:t>
      </w:r>
      <w:r w:rsidR="00573BA7">
        <w:t xml:space="preserve"> </w:t>
      </w:r>
      <w:r w:rsidRPr="003F4CE1">
        <w:t>Department</w:t>
      </w:r>
      <w:r w:rsidR="00573BA7">
        <w:t xml:space="preserve"> </w:t>
      </w:r>
      <w:r w:rsidRPr="003F4CE1">
        <w:t>of</w:t>
      </w:r>
      <w:r w:rsidR="00573BA7">
        <w:t xml:space="preserve"> </w:t>
      </w:r>
      <w:r w:rsidRPr="003F4CE1">
        <w:t>Social</w:t>
      </w:r>
      <w:r w:rsidR="00573BA7">
        <w:t xml:space="preserve"> </w:t>
      </w:r>
      <w:r w:rsidRPr="003F4CE1">
        <w:t>Services</w:t>
      </w:r>
      <w:r w:rsidR="00573BA7">
        <w:t xml:space="preserve"> </w:t>
      </w:r>
      <w:r w:rsidRPr="003F4CE1">
        <w:t>has</w:t>
      </w:r>
      <w:r w:rsidR="00573BA7">
        <w:t xml:space="preserve"> </w:t>
      </w:r>
      <w:r w:rsidRPr="003F4CE1">
        <w:t>agreed</w:t>
      </w:r>
      <w:r w:rsidR="00573BA7">
        <w:t xml:space="preserve"> </w:t>
      </w:r>
      <w:r w:rsidRPr="003F4CE1">
        <w:t>to</w:t>
      </w:r>
      <w:r w:rsidR="00573BA7">
        <w:t xml:space="preserve"> </w:t>
      </w:r>
      <w:r w:rsidRPr="003F4CE1">
        <w:t>develop</w:t>
      </w:r>
      <w:r w:rsidR="00573BA7">
        <w:t xml:space="preserve"> </w:t>
      </w:r>
      <w:r w:rsidRPr="003F4CE1">
        <w:t>an</w:t>
      </w:r>
      <w:r w:rsidR="00573BA7">
        <w:t xml:space="preserve"> </w:t>
      </w:r>
      <w:r w:rsidRPr="003F4CE1">
        <w:t>evaluation</w:t>
      </w:r>
      <w:r w:rsidR="00573BA7">
        <w:t xml:space="preserve"> </w:t>
      </w:r>
      <w:r w:rsidRPr="003F4CE1">
        <w:t>framework</w:t>
      </w:r>
      <w:r w:rsidR="00573BA7">
        <w:t xml:space="preserve"> </w:t>
      </w:r>
      <w:r w:rsidRPr="003F4CE1">
        <w:t>that</w:t>
      </w:r>
      <w:r w:rsidR="00573BA7">
        <w:t xml:space="preserve"> </w:t>
      </w:r>
      <w:r w:rsidRPr="003F4CE1">
        <w:t>includes</w:t>
      </w:r>
      <w:r w:rsidR="00573BA7">
        <w:t xml:space="preserve"> </w:t>
      </w:r>
      <w:r w:rsidRPr="003F4CE1">
        <w:t>program-level</w:t>
      </w:r>
      <w:r w:rsidR="00573BA7">
        <w:t xml:space="preserve"> </w:t>
      </w:r>
      <w:r w:rsidRPr="003F4CE1">
        <w:t>performance</w:t>
      </w:r>
      <w:r w:rsidR="00573BA7">
        <w:t xml:space="preserve"> </w:t>
      </w:r>
      <w:r w:rsidRPr="003F4CE1">
        <w:t>metrics</w:t>
      </w:r>
      <w:r w:rsidR="00573BA7">
        <w:t xml:space="preserve"> </w:t>
      </w:r>
      <w:r w:rsidRPr="003F4CE1">
        <w:t>to</w:t>
      </w:r>
      <w:r w:rsidR="00573BA7">
        <w:t xml:space="preserve"> </w:t>
      </w:r>
      <w:r w:rsidRPr="003F4CE1">
        <w:t>enable</w:t>
      </w:r>
      <w:r w:rsidR="00573BA7">
        <w:t xml:space="preserve"> </w:t>
      </w:r>
      <w:r w:rsidRPr="003F4CE1">
        <w:t>evaluation</w:t>
      </w:r>
      <w:r w:rsidR="00573BA7">
        <w:t xml:space="preserve"> </w:t>
      </w:r>
      <w:r w:rsidRPr="003F4CE1">
        <w:t>of</w:t>
      </w:r>
      <w:r w:rsidR="00573BA7">
        <w:t xml:space="preserve"> </w:t>
      </w:r>
      <w:r w:rsidRPr="003F4CE1">
        <w:t>the</w:t>
      </w:r>
      <w:r w:rsidR="00573BA7">
        <w:t xml:space="preserve"> </w:t>
      </w:r>
      <w:r w:rsidRPr="003F4CE1">
        <w:t>DES</w:t>
      </w:r>
      <w:r w:rsidR="00573BA7">
        <w:t xml:space="preserve"> </w:t>
      </w:r>
      <w:r w:rsidRPr="003F4CE1">
        <w:t>reforms</w:t>
      </w:r>
      <w:r w:rsidR="00573BA7">
        <w:t xml:space="preserve"> </w:t>
      </w:r>
      <w:r w:rsidRPr="003F4CE1">
        <w:t>in</w:t>
      </w:r>
      <w:r w:rsidR="00573BA7">
        <w:t xml:space="preserve"> </w:t>
      </w:r>
      <w:r w:rsidRPr="003F4CE1">
        <w:t>achieving</w:t>
      </w:r>
      <w:r w:rsidR="00573BA7">
        <w:t xml:space="preserve"> </w:t>
      </w:r>
      <w:r w:rsidRPr="003F4CE1">
        <w:t>their</w:t>
      </w:r>
      <w:r w:rsidR="00573BA7">
        <w:t xml:space="preserve"> </w:t>
      </w:r>
      <w:r w:rsidRPr="003F4CE1">
        <w:t>intended</w:t>
      </w:r>
      <w:r w:rsidR="00573BA7">
        <w:t xml:space="preserve"> </w:t>
      </w:r>
      <w:r w:rsidRPr="003F4CE1">
        <w:t>purposes.</w:t>
      </w:r>
      <w:r w:rsidRPr="003F4CE1">
        <w:rPr>
          <w:rStyle w:val="EndnoteReference"/>
          <w:rFonts w:cs="Open Sans"/>
        </w:rPr>
        <w:endnoteReference w:id="224"/>
      </w:r>
      <w:r w:rsidR="00573BA7">
        <w:t xml:space="preserve"> </w:t>
      </w:r>
    </w:p>
    <w:p w14:paraId="228CFCBF" w14:textId="55A31BFA" w:rsidR="009551E6" w:rsidRDefault="009551E6" w:rsidP="00662F4B">
      <w:pPr>
        <w:pStyle w:val="ListNumber"/>
      </w:pPr>
      <w:r>
        <w:t xml:space="preserve">In </w:t>
      </w:r>
      <w:r w:rsidR="00D803C6">
        <w:t xml:space="preserve">the meantime, </w:t>
      </w:r>
      <w:r>
        <w:t xml:space="preserve">the Commission is concerned </w:t>
      </w:r>
      <w:r w:rsidR="00D803C6">
        <w:t>that the absence of safeguards may</w:t>
      </w:r>
      <w:r w:rsidR="00B53F63">
        <w:t xml:space="preserve"> expose</w:t>
      </w:r>
      <w:r w:rsidR="00D803C6">
        <w:t xml:space="preserve"> </w:t>
      </w:r>
      <w:r w:rsidR="00B53F63">
        <w:t xml:space="preserve">people </w:t>
      </w:r>
      <w:r>
        <w:t>with disability</w:t>
      </w:r>
      <w:r w:rsidR="00B53F63">
        <w:t xml:space="preserve"> to exploitation</w:t>
      </w:r>
      <w:r w:rsidR="00C928D0">
        <w:t xml:space="preserve">. It is also concerned about the Australian Government’s ability to demonstrate </w:t>
      </w:r>
      <w:r>
        <w:t>fulfil</w:t>
      </w:r>
      <w:r w:rsidR="00C928D0">
        <w:t>ment of</w:t>
      </w:r>
      <w:r>
        <w:t xml:space="preserve"> its obligations to promote</w:t>
      </w:r>
      <w:r w:rsidR="00530EA1">
        <w:t xml:space="preserve"> effective access to placement services, employment opportunities, career advancement, and</w:t>
      </w:r>
      <w:r>
        <w:t xml:space="preserve"> the acquisition of open employment by people with disability as required by Article 27(1) of the CRPD.</w:t>
      </w:r>
      <w:r w:rsidR="00573BA7">
        <w:t xml:space="preserve"> </w:t>
      </w:r>
    </w:p>
    <w:p w14:paraId="3B32F147" w14:textId="72F4EE37" w:rsidR="00545BC6" w:rsidRPr="00545BC6" w:rsidRDefault="00545BC6" w:rsidP="00545BC6">
      <w:pPr>
        <w:pStyle w:val="ListNumber"/>
        <w:rPr>
          <w:rFonts w:ascii="Times New Roman" w:hAnsi="Times New Roman"/>
          <w:b/>
          <w:bCs/>
          <w:i/>
          <w:iCs/>
        </w:rPr>
      </w:pPr>
      <w:r w:rsidRPr="00545BC6">
        <w:rPr>
          <w:b/>
          <w:bCs/>
          <w:i/>
          <w:iCs/>
        </w:rPr>
        <w:t>Recommendation 11: The Australian Government publish an evaluation framework for the Disability Employment Services program, including measures that demonstrate how Disability Employment Services assist the Australian Government to fulfil its international human rights obligations under Article 27(1) of the CRPD.</w:t>
      </w:r>
    </w:p>
    <w:p w14:paraId="38945CAF" w14:textId="6D37D709" w:rsidR="00CC403D" w:rsidRPr="003F4CE1" w:rsidRDefault="00CC403D" w:rsidP="00662F4B">
      <w:pPr>
        <w:pStyle w:val="ListNumber"/>
      </w:pPr>
      <w:r w:rsidRPr="003F4CE1">
        <w:lastRenderedPageBreak/>
        <w:t>In</w:t>
      </w:r>
      <w:r w:rsidR="00573BA7">
        <w:t xml:space="preserve"> </w:t>
      </w:r>
      <w:r w:rsidRPr="003F4CE1">
        <w:t>2015,</w:t>
      </w:r>
      <w:r w:rsidR="00573BA7">
        <w:t xml:space="preserve"> </w:t>
      </w:r>
      <w:r w:rsidRPr="003F4CE1">
        <w:t>the</w:t>
      </w:r>
      <w:r w:rsidR="00573BA7">
        <w:t xml:space="preserve"> </w:t>
      </w:r>
      <w:r w:rsidRPr="003F4CE1">
        <w:t>Australian</w:t>
      </w:r>
      <w:r w:rsidR="00573BA7">
        <w:t xml:space="preserve"> </w:t>
      </w:r>
      <w:r w:rsidRPr="003F4CE1">
        <w:t>Government</w:t>
      </w:r>
      <w:r w:rsidR="00573BA7">
        <w:t xml:space="preserve"> </w:t>
      </w:r>
      <w:r w:rsidRPr="003F4CE1">
        <w:t>committed</w:t>
      </w:r>
      <w:r w:rsidR="00573BA7">
        <w:t xml:space="preserve"> </w:t>
      </w:r>
      <w:r w:rsidRPr="003F4CE1">
        <w:t>to</w:t>
      </w:r>
      <w:r w:rsidR="00573BA7">
        <w:t xml:space="preserve"> </w:t>
      </w:r>
      <w:r w:rsidRPr="003F4CE1">
        <w:t>implementing</w:t>
      </w:r>
      <w:r w:rsidR="00573BA7">
        <w:t xml:space="preserve"> </w:t>
      </w:r>
      <w:r w:rsidRPr="003F4CE1">
        <w:t>a</w:t>
      </w:r>
      <w:r w:rsidR="00573BA7">
        <w:t xml:space="preserve"> </w:t>
      </w:r>
      <w:r w:rsidRPr="003F4CE1">
        <w:t>new</w:t>
      </w:r>
      <w:r w:rsidR="00573BA7">
        <w:t xml:space="preserve"> </w:t>
      </w:r>
      <w:r w:rsidRPr="003F4CE1">
        <w:t>Disability</w:t>
      </w:r>
      <w:r w:rsidR="00573BA7">
        <w:t xml:space="preserve"> </w:t>
      </w:r>
      <w:r w:rsidRPr="003F4CE1">
        <w:t>Employment</w:t>
      </w:r>
      <w:r w:rsidR="00573BA7">
        <w:t xml:space="preserve"> </w:t>
      </w:r>
      <w:r w:rsidRPr="003F4CE1">
        <w:t>Framework</w:t>
      </w:r>
      <w:r w:rsidR="00573BA7">
        <w:t xml:space="preserve"> </w:t>
      </w:r>
      <w:r w:rsidRPr="003F4CE1">
        <w:t>in</w:t>
      </w:r>
      <w:r w:rsidR="00573BA7">
        <w:t xml:space="preserve"> </w:t>
      </w:r>
      <w:r w:rsidR="001D1B37">
        <w:t>early</w:t>
      </w:r>
      <w:r w:rsidR="00573BA7">
        <w:t xml:space="preserve"> </w:t>
      </w:r>
      <w:r w:rsidRPr="003F4CE1">
        <w:t>2016</w:t>
      </w:r>
      <w:r w:rsidR="001D1B37">
        <w:t>,</w:t>
      </w:r>
      <w:r w:rsidR="00573BA7">
        <w:t xml:space="preserve"> </w:t>
      </w:r>
      <w:r w:rsidRPr="003F4CE1">
        <w:t>to</w:t>
      </w:r>
      <w:r w:rsidR="00573BA7">
        <w:t xml:space="preserve"> </w:t>
      </w:r>
      <w:r w:rsidRPr="003F4CE1">
        <w:t>review</w:t>
      </w:r>
      <w:r w:rsidR="00573BA7">
        <w:t xml:space="preserve"> </w:t>
      </w:r>
      <w:r w:rsidRPr="003F4CE1">
        <w:t>and</w:t>
      </w:r>
      <w:r w:rsidR="00573BA7">
        <w:t xml:space="preserve"> </w:t>
      </w:r>
      <w:r w:rsidRPr="003F4CE1">
        <w:t>improve</w:t>
      </w:r>
      <w:r w:rsidR="00573BA7">
        <w:t xml:space="preserve"> </w:t>
      </w:r>
      <w:r w:rsidRPr="003F4CE1">
        <w:t>employment</w:t>
      </w:r>
      <w:r w:rsidR="00573BA7">
        <w:t xml:space="preserve"> </w:t>
      </w:r>
      <w:r w:rsidRPr="003F4CE1">
        <w:t>outcomes</w:t>
      </w:r>
      <w:r w:rsidR="00573BA7">
        <w:t xml:space="preserve"> </w:t>
      </w:r>
      <w:r w:rsidRPr="003F4CE1">
        <w:t>for</w:t>
      </w:r>
      <w:r w:rsidR="00573BA7">
        <w:t xml:space="preserve"> </w:t>
      </w:r>
      <w:r w:rsidRPr="003F4CE1">
        <w:t>people</w:t>
      </w:r>
      <w:r w:rsidR="00573BA7">
        <w:t xml:space="preserve"> </w:t>
      </w:r>
      <w:r w:rsidRPr="003F4CE1">
        <w:t>with</w:t>
      </w:r>
      <w:r w:rsidR="00573BA7">
        <w:t xml:space="preserve"> </w:t>
      </w:r>
      <w:r w:rsidRPr="003F4CE1">
        <w:t>disability.</w:t>
      </w:r>
      <w:r w:rsidRPr="466A7A98">
        <w:rPr>
          <w:sz w:val="20"/>
          <w:szCs w:val="20"/>
          <w:vertAlign w:val="superscript"/>
        </w:rPr>
        <w:endnoteReference w:id="225"/>
      </w:r>
      <w:r w:rsidR="00573BA7">
        <w:t xml:space="preserve"> </w:t>
      </w:r>
      <w:r w:rsidR="00D272DC" w:rsidRPr="003F4CE1">
        <w:t>However,</w:t>
      </w:r>
      <w:r w:rsidR="00573BA7">
        <w:t xml:space="preserve"> </w:t>
      </w:r>
      <w:r w:rsidR="00D272DC" w:rsidRPr="003F4CE1">
        <w:t>no</w:t>
      </w:r>
      <w:r w:rsidR="00573BA7">
        <w:t xml:space="preserve"> </w:t>
      </w:r>
      <w:r w:rsidR="00D272DC" w:rsidRPr="003F4CE1">
        <w:t>Disability</w:t>
      </w:r>
      <w:r w:rsidR="00573BA7">
        <w:t xml:space="preserve"> </w:t>
      </w:r>
      <w:r w:rsidR="00D272DC" w:rsidRPr="003F4CE1">
        <w:t>Employment</w:t>
      </w:r>
      <w:r w:rsidR="00573BA7">
        <w:t xml:space="preserve"> </w:t>
      </w:r>
      <w:r w:rsidR="00D272DC" w:rsidRPr="003F4CE1">
        <w:t>Framework</w:t>
      </w:r>
      <w:r w:rsidR="00573BA7">
        <w:t xml:space="preserve"> </w:t>
      </w:r>
      <w:r w:rsidR="00D272DC" w:rsidRPr="003F4CE1">
        <w:t>has</w:t>
      </w:r>
      <w:r w:rsidR="00573BA7">
        <w:t xml:space="preserve"> </w:t>
      </w:r>
      <w:r w:rsidR="00D272DC" w:rsidRPr="003F4CE1">
        <w:t>been</w:t>
      </w:r>
      <w:r w:rsidR="00573BA7">
        <w:t xml:space="preserve"> </w:t>
      </w:r>
      <w:r w:rsidR="00D272DC" w:rsidRPr="003F4CE1">
        <w:t>released,</w:t>
      </w:r>
      <w:r w:rsidR="00573BA7">
        <w:t xml:space="preserve"> </w:t>
      </w:r>
      <w:r w:rsidR="00CC14B1" w:rsidRPr="003F4CE1">
        <w:t>despite</w:t>
      </w:r>
      <w:r w:rsidR="00573BA7">
        <w:t xml:space="preserve"> </w:t>
      </w:r>
      <w:r w:rsidR="00D272DC" w:rsidRPr="003F4CE1">
        <w:t>the</w:t>
      </w:r>
      <w:r w:rsidR="00573BA7">
        <w:t xml:space="preserve"> </w:t>
      </w:r>
      <w:r w:rsidRPr="003F4CE1">
        <w:t>Australian</w:t>
      </w:r>
      <w:r w:rsidR="00573BA7">
        <w:t xml:space="preserve"> </w:t>
      </w:r>
      <w:r w:rsidRPr="003F4CE1">
        <w:t>Government</w:t>
      </w:r>
      <w:r w:rsidR="00573BA7">
        <w:t xml:space="preserve"> </w:t>
      </w:r>
      <w:r w:rsidR="00743DF9">
        <w:t>referring to th</w:t>
      </w:r>
      <w:r w:rsidR="00F158EC">
        <w:t>e existence of the</w:t>
      </w:r>
      <w:r w:rsidR="00573BA7">
        <w:t xml:space="preserve"> </w:t>
      </w:r>
      <w:r w:rsidRPr="003F4CE1">
        <w:t>framework</w:t>
      </w:r>
      <w:r w:rsidR="00573BA7">
        <w:t xml:space="preserve"> </w:t>
      </w:r>
      <w:r w:rsidR="00743DF9">
        <w:t>in its 201</w:t>
      </w:r>
      <w:r w:rsidR="00901955">
        <w:t>8</w:t>
      </w:r>
      <w:r w:rsidR="00CF03BF">
        <w:t xml:space="preserve"> c</w:t>
      </w:r>
      <w:r w:rsidR="00CF03BF" w:rsidRPr="00CF03BF">
        <w:t xml:space="preserve">ombined second and third periodic reports </w:t>
      </w:r>
      <w:r w:rsidR="00743DF9">
        <w:t>to the CRPD Committee</w:t>
      </w:r>
      <w:r w:rsidRPr="003F4CE1">
        <w:t>.</w:t>
      </w:r>
      <w:r w:rsidRPr="466A7A98">
        <w:rPr>
          <w:sz w:val="20"/>
          <w:szCs w:val="20"/>
          <w:vertAlign w:val="superscript"/>
        </w:rPr>
        <w:endnoteReference w:id="226"/>
      </w:r>
      <w:r w:rsidR="00573BA7">
        <w:t xml:space="preserve"> </w:t>
      </w:r>
    </w:p>
    <w:p w14:paraId="6CDB1A31" w14:textId="261F2A1A" w:rsidR="00B7386A" w:rsidRPr="003F4CE1" w:rsidRDefault="002F39A0">
      <w:pPr>
        <w:pStyle w:val="ListNumber"/>
      </w:pPr>
      <w:r>
        <w:t>In</w:t>
      </w:r>
      <w:r w:rsidR="00573BA7">
        <w:t xml:space="preserve"> </w:t>
      </w:r>
      <w:r>
        <w:t>its</w:t>
      </w:r>
      <w:r w:rsidR="00573BA7">
        <w:t xml:space="preserve"> </w:t>
      </w:r>
      <w:r>
        <w:t>submission</w:t>
      </w:r>
      <w:r w:rsidR="00573BA7">
        <w:t xml:space="preserve"> </w:t>
      </w:r>
      <w:r w:rsidR="00C26CE0">
        <w:t>to the CRPD Committee in 2019</w:t>
      </w:r>
      <w:r>
        <w:t>,</w:t>
      </w:r>
      <w:r w:rsidR="00573BA7">
        <w:t xml:space="preserve"> </w:t>
      </w:r>
      <w:r>
        <w:t>the</w:t>
      </w:r>
      <w:r w:rsidR="00573BA7">
        <w:t xml:space="preserve"> </w:t>
      </w:r>
      <w:r>
        <w:t>Commission</w:t>
      </w:r>
      <w:r w:rsidR="00573BA7">
        <w:t xml:space="preserve"> </w:t>
      </w:r>
      <w:r>
        <w:t>expressed</w:t>
      </w:r>
      <w:r w:rsidR="00573BA7">
        <w:t xml:space="preserve"> </w:t>
      </w:r>
      <w:r>
        <w:t>its</w:t>
      </w:r>
      <w:r w:rsidR="00573BA7">
        <w:t xml:space="preserve"> </w:t>
      </w:r>
      <w:r>
        <w:t>concern</w:t>
      </w:r>
      <w:r w:rsidR="00573BA7">
        <w:t xml:space="preserve"> </w:t>
      </w:r>
      <w:r>
        <w:t>that</w:t>
      </w:r>
      <w:r w:rsidR="00573BA7">
        <w:t xml:space="preserve"> </w:t>
      </w:r>
      <w:r>
        <w:t>the</w:t>
      </w:r>
      <w:r w:rsidR="00573BA7">
        <w:t xml:space="preserve"> </w:t>
      </w:r>
      <w:r>
        <w:t>status</w:t>
      </w:r>
      <w:r w:rsidR="00573BA7">
        <w:t xml:space="preserve"> </w:t>
      </w:r>
      <w:r>
        <w:t>of</w:t>
      </w:r>
      <w:r w:rsidR="00573BA7">
        <w:t xml:space="preserve"> </w:t>
      </w:r>
      <w:r>
        <w:t>this</w:t>
      </w:r>
      <w:r w:rsidR="00573BA7">
        <w:t xml:space="preserve"> </w:t>
      </w:r>
      <w:r>
        <w:t>framework</w:t>
      </w:r>
      <w:r w:rsidR="00573BA7">
        <w:t xml:space="preserve"> </w:t>
      </w:r>
      <w:r>
        <w:t>remains</w:t>
      </w:r>
      <w:r w:rsidR="00573BA7">
        <w:t xml:space="preserve"> </w:t>
      </w:r>
      <w:r>
        <w:t>unclear,</w:t>
      </w:r>
      <w:r w:rsidR="00573BA7">
        <w:t xml:space="preserve"> </w:t>
      </w:r>
      <w:r>
        <w:t>and</w:t>
      </w:r>
      <w:r w:rsidR="00573BA7">
        <w:t xml:space="preserve"> </w:t>
      </w:r>
      <w:r>
        <w:t>that</w:t>
      </w:r>
      <w:r w:rsidR="00573BA7">
        <w:t xml:space="preserve"> </w:t>
      </w:r>
      <w:r w:rsidR="00115C49">
        <w:t>its</w:t>
      </w:r>
      <w:r w:rsidR="00573BA7">
        <w:t xml:space="preserve"> </w:t>
      </w:r>
      <w:r>
        <w:t>development</w:t>
      </w:r>
      <w:r w:rsidR="00573BA7">
        <w:t xml:space="preserve"> </w:t>
      </w:r>
      <w:r>
        <w:t>may</w:t>
      </w:r>
      <w:r w:rsidR="00573BA7">
        <w:t xml:space="preserve"> </w:t>
      </w:r>
      <w:r>
        <w:t>have</w:t>
      </w:r>
      <w:r w:rsidR="00573BA7">
        <w:t xml:space="preserve"> </w:t>
      </w:r>
      <w:r>
        <w:t>halted.</w:t>
      </w:r>
      <w:r w:rsidR="00573BA7">
        <w:t xml:space="preserve"> </w:t>
      </w:r>
      <w:r w:rsidR="00C26CE0">
        <w:t xml:space="preserve"> The CRPD Committee shared</w:t>
      </w:r>
      <w:r w:rsidR="00573BA7">
        <w:t xml:space="preserve"> </w:t>
      </w:r>
      <w:r w:rsidR="00C26CE0">
        <w:t>these</w:t>
      </w:r>
      <w:r w:rsidR="00573BA7">
        <w:t xml:space="preserve"> </w:t>
      </w:r>
      <w:r w:rsidR="00B7386A" w:rsidRPr="003F4CE1">
        <w:t>concern</w:t>
      </w:r>
      <w:r w:rsidR="00115C49" w:rsidRPr="003F4CE1">
        <w:t>s</w:t>
      </w:r>
      <w:r w:rsidR="00B7386A" w:rsidRPr="003F4CE1">
        <w:t>,</w:t>
      </w:r>
      <w:r w:rsidR="00573BA7">
        <w:t xml:space="preserve"> </w:t>
      </w:r>
      <w:r w:rsidR="00B7386A" w:rsidRPr="003F4CE1">
        <w:t>and</w:t>
      </w:r>
      <w:r w:rsidR="00573BA7">
        <w:t xml:space="preserve"> </w:t>
      </w:r>
      <w:r w:rsidR="00B7386A" w:rsidRPr="003F4CE1">
        <w:t>recommended</w:t>
      </w:r>
      <w:r w:rsidR="00573BA7">
        <w:t xml:space="preserve"> </w:t>
      </w:r>
      <w:r w:rsidR="00B7386A" w:rsidRPr="003F4CE1">
        <w:t>that</w:t>
      </w:r>
      <w:r w:rsidR="00573BA7">
        <w:t xml:space="preserve"> </w:t>
      </w:r>
      <w:r w:rsidR="00B7386A" w:rsidRPr="003F4CE1">
        <w:t>the</w:t>
      </w:r>
      <w:r w:rsidR="00573BA7">
        <w:t xml:space="preserve"> </w:t>
      </w:r>
      <w:r w:rsidR="00B7386A" w:rsidRPr="003F4CE1">
        <w:t>Australian</w:t>
      </w:r>
      <w:r w:rsidR="00573BA7">
        <w:t xml:space="preserve"> </w:t>
      </w:r>
      <w:r w:rsidR="00B7386A" w:rsidRPr="003F4CE1">
        <w:t>Government</w:t>
      </w:r>
      <w:r w:rsidR="00573BA7">
        <w:t xml:space="preserve"> </w:t>
      </w:r>
      <w:r w:rsidR="00B7386A" w:rsidRPr="003F4CE1">
        <w:t>develop</w:t>
      </w:r>
      <w:r w:rsidR="00573BA7">
        <w:t xml:space="preserve"> </w:t>
      </w:r>
      <w:r w:rsidR="00B7386A" w:rsidRPr="003F4CE1">
        <w:t>a</w:t>
      </w:r>
      <w:r w:rsidR="00573BA7">
        <w:t xml:space="preserve"> </w:t>
      </w:r>
      <w:r w:rsidR="00B7386A" w:rsidRPr="003F4CE1">
        <w:t>national</w:t>
      </w:r>
      <w:r w:rsidR="00573BA7">
        <w:t xml:space="preserve"> </w:t>
      </w:r>
      <w:r w:rsidR="00B7386A" w:rsidRPr="003F4CE1">
        <w:t>disability</w:t>
      </w:r>
      <w:r w:rsidR="00573BA7">
        <w:t xml:space="preserve"> </w:t>
      </w:r>
      <w:r w:rsidR="00B7386A" w:rsidRPr="003F4CE1">
        <w:t>employment</w:t>
      </w:r>
      <w:r w:rsidR="00573BA7">
        <w:t xml:space="preserve"> </w:t>
      </w:r>
      <w:r w:rsidR="00B7386A" w:rsidRPr="003F4CE1">
        <w:t>strategy</w:t>
      </w:r>
      <w:r w:rsidR="00573BA7">
        <w:t xml:space="preserve"> </w:t>
      </w:r>
      <w:r w:rsidR="00B7386A" w:rsidRPr="003F4CE1">
        <w:t>that</w:t>
      </w:r>
      <w:r w:rsidR="00573BA7">
        <w:t xml:space="preserve"> </w:t>
      </w:r>
      <w:r w:rsidR="00B7386A" w:rsidRPr="003F4CE1">
        <w:t>incorporates</w:t>
      </w:r>
      <w:r w:rsidR="00573BA7">
        <w:t xml:space="preserve"> </w:t>
      </w:r>
      <w:r w:rsidR="00B7386A" w:rsidRPr="003F4CE1">
        <w:t>recommendations</w:t>
      </w:r>
      <w:r w:rsidR="00573BA7">
        <w:t xml:space="preserve"> </w:t>
      </w:r>
      <w:r w:rsidR="00B7386A" w:rsidRPr="003F4CE1">
        <w:t>from</w:t>
      </w:r>
      <w:r w:rsidR="00573BA7">
        <w:t xml:space="preserve"> </w:t>
      </w:r>
      <w:r w:rsidR="00245F33">
        <w:t>Willing to Work</w:t>
      </w:r>
      <w:r w:rsidR="00573BA7">
        <w:t xml:space="preserve"> </w:t>
      </w:r>
      <w:r w:rsidR="00B7386A" w:rsidRPr="003F4CE1">
        <w:t>and</w:t>
      </w:r>
      <w:r w:rsidR="00573BA7">
        <w:t xml:space="preserve"> </w:t>
      </w:r>
      <w:r w:rsidR="00B7386A" w:rsidRPr="003F4CE1">
        <w:t>contains</w:t>
      </w:r>
      <w:r w:rsidR="00573BA7">
        <w:t xml:space="preserve"> </w:t>
      </w:r>
      <w:r w:rsidR="00B7386A" w:rsidRPr="003F4CE1">
        <w:t>targeted</w:t>
      </w:r>
      <w:r w:rsidR="00573BA7">
        <w:t xml:space="preserve"> </w:t>
      </w:r>
      <w:r w:rsidR="00B7386A" w:rsidRPr="003F4CE1">
        <w:t>gender-sensitive</w:t>
      </w:r>
      <w:r w:rsidR="00573BA7">
        <w:t xml:space="preserve"> </w:t>
      </w:r>
      <w:r w:rsidR="00B7386A" w:rsidRPr="003F4CE1">
        <w:t>measures.</w:t>
      </w:r>
      <w:r w:rsidR="00E4763D" w:rsidRPr="003F4CE1">
        <w:rPr>
          <w:rStyle w:val="EndnoteReference"/>
          <w:rFonts w:cs="Open Sans"/>
        </w:rPr>
        <w:endnoteReference w:id="227"/>
      </w:r>
      <w:r w:rsidR="00573BA7">
        <w:t xml:space="preserve"> </w:t>
      </w:r>
    </w:p>
    <w:p w14:paraId="59A2087E" w14:textId="77777777" w:rsidR="0001490D" w:rsidRPr="0001490D" w:rsidRDefault="0001490D" w:rsidP="0001490D">
      <w:pPr>
        <w:pStyle w:val="ListNumber"/>
        <w:rPr>
          <w:b/>
          <w:bCs/>
          <w:i/>
          <w:iCs/>
        </w:rPr>
      </w:pPr>
      <w:bookmarkStart w:id="117" w:name="_Toc45727506"/>
      <w:bookmarkStart w:id="118" w:name="_Toc51834297"/>
      <w:r w:rsidRPr="0001490D">
        <w:rPr>
          <w:b/>
          <w:bCs/>
          <w:i/>
          <w:iCs/>
        </w:rPr>
        <w:t>Recommendation 12: The Australian Government provide an update and timeline for finalising and implementing a Disability Employment Framework, including details of how the measurement of other diversity characteristics (eg age, gender, and race) will be incorporated.</w:t>
      </w:r>
    </w:p>
    <w:p w14:paraId="596A418F" w14:textId="604C06B2" w:rsidR="00ED356C" w:rsidRPr="00710E6A" w:rsidRDefault="004424F6">
      <w:pPr>
        <w:pStyle w:val="Heading3"/>
        <w:rPr>
          <w:b/>
          <w:bCs w:val="0"/>
        </w:rPr>
      </w:pPr>
      <w:r w:rsidRPr="00710E6A">
        <w:rPr>
          <w:b/>
          <w:bCs w:val="0"/>
        </w:rPr>
        <w:t>JobAccess</w:t>
      </w:r>
      <w:r w:rsidR="00573BA7" w:rsidRPr="00710E6A">
        <w:rPr>
          <w:b/>
          <w:bCs w:val="0"/>
        </w:rPr>
        <w:t xml:space="preserve"> </w:t>
      </w:r>
      <w:r w:rsidR="00DF23A7">
        <w:rPr>
          <w:b/>
          <w:bCs w:val="0"/>
        </w:rPr>
        <w:t>and</w:t>
      </w:r>
      <w:r w:rsidR="00573BA7" w:rsidRPr="00710E6A">
        <w:rPr>
          <w:b/>
          <w:bCs w:val="0"/>
        </w:rPr>
        <w:t xml:space="preserve"> </w:t>
      </w:r>
      <w:r w:rsidRPr="00710E6A">
        <w:rPr>
          <w:b/>
          <w:bCs w:val="0"/>
        </w:rPr>
        <w:t>the</w:t>
      </w:r>
      <w:r w:rsidR="00573BA7" w:rsidRPr="00710E6A">
        <w:rPr>
          <w:b/>
          <w:bCs w:val="0"/>
        </w:rPr>
        <w:t xml:space="preserve"> </w:t>
      </w:r>
      <w:r w:rsidR="003355DD" w:rsidRPr="00710E6A">
        <w:rPr>
          <w:b/>
          <w:bCs w:val="0"/>
        </w:rPr>
        <w:t>Employment</w:t>
      </w:r>
      <w:r w:rsidR="00573BA7" w:rsidRPr="00710E6A">
        <w:rPr>
          <w:b/>
          <w:bCs w:val="0"/>
        </w:rPr>
        <w:t xml:space="preserve"> </w:t>
      </w:r>
      <w:r w:rsidR="003355DD" w:rsidRPr="00710E6A">
        <w:rPr>
          <w:b/>
          <w:bCs w:val="0"/>
        </w:rPr>
        <w:t>Assistance</w:t>
      </w:r>
      <w:r w:rsidR="00573BA7" w:rsidRPr="00710E6A">
        <w:rPr>
          <w:b/>
          <w:bCs w:val="0"/>
        </w:rPr>
        <w:t xml:space="preserve"> </w:t>
      </w:r>
      <w:r w:rsidR="003355DD" w:rsidRPr="00710E6A">
        <w:rPr>
          <w:b/>
          <w:bCs w:val="0"/>
        </w:rPr>
        <w:t>Fund</w:t>
      </w:r>
      <w:bookmarkEnd w:id="117"/>
      <w:bookmarkEnd w:id="118"/>
    </w:p>
    <w:p w14:paraId="4EF2C33A" w14:textId="6AEA0468" w:rsidR="000E2705" w:rsidRPr="009B136D" w:rsidRDefault="004424F6" w:rsidP="00662F4B">
      <w:pPr>
        <w:pStyle w:val="ListNumber"/>
        <w:rPr>
          <w:rFonts w:eastAsiaTheme="minorEastAsia"/>
          <w:sz w:val="22"/>
          <w:szCs w:val="22"/>
        </w:rPr>
      </w:pPr>
      <w:r>
        <w:t>JobAccess</w:t>
      </w:r>
      <w:r w:rsidR="00573BA7">
        <w:t xml:space="preserve"> </w:t>
      </w:r>
      <w:r>
        <w:t>is</w:t>
      </w:r>
      <w:r w:rsidR="00573BA7">
        <w:t xml:space="preserve"> </w:t>
      </w:r>
      <w:r>
        <w:t>an</w:t>
      </w:r>
      <w:r w:rsidR="00573BA7">
        <w:t xml:space="preserve"> </w:t>
      </w:r>
      <w:r>
        <w:t>information</w:t>
      </w:r>
      <w:r w:rsidR="00573BA7">
        <w:t xml:space="preserve"> </w:t>
      </w:r>
      <w:r>
        <w:t>service</w:t>
      </w:r>
      <w:r w:rsidR="00573BA7">
        <w:t xml:space="preserve"> </w:t>
      </w:r>
      <w:r w:rsidR="00BB5F8C">
        <w:t>provided</w:t>
      </w:r>
      <w:r w:rsidR="00573BA7">
        <w:t xml:space="preserve"> </w:t>
      </w:r>
      <w:r w:rsidR="00BB5F8C">
        <w:t>by</w:t>
      </w:r>
      <w:r w:rsidR="00573BA7">
        <w:t xml:space="preserve"> </w:t>
      </w:r>
      <w:r w:rsidR="00BB5F8C">
        <w:t>the</w:t>
      </w:r>
      <w:r w:rsidR="00573BA7">
        <w:t xml:space="preserve"> </w:t>
      </w:r>
      <w:r w:rsidR="00BB5F8C">
        <w:t>Australian</w:t>
      </w:r>
      <w:r w:rsidR="00573BA7">
        <w:t xml:space="preserve"> </w:t>
      </w:r>
      <w:r w:rsidR="00BB5F8C">
        <w:t>Government</w:t>
      </w:r>
      <w:r w:rsidR="00573BA7">
        <w:t xml:space="preserve"> </w:t>
      </w:r>
      <w:r>
        <w:t>that</w:t>
      </w:r>
      <w:r w:rsidR="00573BA7">
        <w:t xml:space="preserve"> </w:t>
      </w:r>
      <w:r>
        <w:t>provides</w:t>
      </w:r>
      <w:r w:rsidR="00573BA7">
        <w:t xml:space="preserve"> </w:t>
      </w:r>
      <w:r>
        <w:t>online</w:t>
      </w:r>
      <w:r w:rsidR="00573BA7">
        <w:t xml:space="preserve"> </w:t>
      </w:r>
      <w:r>
        <w:t>and</w:t>
      </w:r>
      <w:r w:rsidR="00573BA7">
        <w:t xml:space="preserve"> </w:t>
      </w:r>
      <w:r>
        <w:t>telephone</w:t>
      </w:r>
      <w:r w:rsidR="00573BA7">
        <w:t xml:space="preserve"> </w:t>
      </w:r>
      <w:r>
        <w:t>advice</w:t>
      </w:r>
      <w:r w:rsidR="00573BA7">
        <w:t xml:space="preserve"> </w:t>
      </w:r>
      <w:r>
        <w:t>to</w:t>
      </w:r>
      <w:r w:rsidR="00573BA7">
        <w:t xml:space="preserve"> </w:t>
      </w:r>
      <w:r>
        <w:t>people</w:t>
      </w:r>
      <w:r w:rsidR="00573BA7">
        <w:t xml:space="preserve"> </w:t>
      </w:r>
      <w:r>
        <w:t>with</w:t>
      </w:r>
      <w:r w:rsidR="00573BA7">
        <w:t xml:space="preserve"> </w:t>
      </w:r>
      <w:r>
        <w:t>disability</w:t>
      </w:r>
      <w:r w:rsidR="00573BA7">
        <w:t xml:space="preserve"> </w:t>
      </w:r>
      <w:r>
        <w:t>and</w:t>
      </w:r>
      <w:r w:rsidR="00573BA7">
        <w:t xml:space="preserve"> </w:t>
      </w:r>
      <w:r>
        <w:t>their</w:t>
      </w:r>
      <w:r w:rsidR="00573BA7">
        <w:t xml:space="preserve"> </w:t>
      </w:r>
      <w:r>
        <w:t>employers</w:t>
      </w:r>
      <w:r w:rsidR="00573BA7">
        <w:t xml:space="preserve"> </w:t>
      </w:r>
      <w:r>
        <w:t>on</w:t>
      </w:r>
      <w:r w:rsidR="00573BA7">
        <w:t xml:space="preserve"> </w:t>
      </w:r>
      <w:r>
        <w:t>employment-related</w:t>
      </w:r>
      <w:r w:rsidR="00573BA7">
        <w:t xml:space="preserve"> </w:t>
      </w:r>
      <w:r>
        <w:t>matters.</w:t>
      </w:r>
      <w:r w:rsidR="00573BA7">
        <w:t xml:space="preserve"> </w:t>
      </w:r>
    </w:p>
    <w:p w14:paraId="51991C9B" w14:textId="7D6F4677" w:rsidR="004424F6" w:rsidRPr="003F4CE1" w:rsidRDefault="004424F6" w:rsidP="00662F4B">
      <w:pPr>
        <w:pStyle w:val="ListNumber"/>
        <w:rPr>
          <w:rFonts w:eastAsiaTheme="minorEastAsia"/>
          <w:sz w:val="22"/>
          <w:szCs w:val="22"/>
        </w:rPr>
      </w:pPr>
      <w:r w:rsidRPr="003F4CE1">
        <w:t>The</w:t>
      </w:r>
      <w:r w:rsidR="00573BA7">
        <w:t xml:space="preserve"> </w:t>
      </w:r>
      <w:r w:rsidRPr="003F4CE1">
        <w:t>Employment</w:t>
      </w:r>
      <w:r w:rsidR="00573BA7">
        <w:t xml:space="preserve"> </w:t>
      </w:r>
      <w:r w:rsidRPr="003F4CE1">
        <w:t>Assistance</w:t>
      </w:r>
      <w:r w:rsidR="00573BA7">
        <w:t xml:space="preserve"> </w:t>
      </w:r>
      <w:r w:rsidRPr="003F4CE1">
        <w:t>Fund</w:t>
      </w:r>
      <w:r w:rsidR="00573BA7">
        <w:t xml:space="preserve"> </w:t>
      </w:r>
      <w:r w:rsidRPr="003F4CE1">
        <w:t>(</w:t>
      </w:r>
      <w:r w:rsidRPr="00BC4DA8">
        <w:t>EAF</w:t>
      </w:r>
      <w:r w:rsidRPr="003F4CE1">
        <w:t>)</w:t>
      </w:r>
      <w:r w:rsidR="00573BA7">
        <w:t xml:space="preserve"> </w:t>
      </w:r>
      <w:r w:rsidRPr="003F4CE1">
        <w:t>operates</w:t>
      </w:r>
      <w:r w:rsidR="00573BA7">
        <w:t xml:space="preserve"> </w:t>
      </w:r>
      <w:r w:rsidRPr="003F4CE1">
        <w:t>through</w:t>
      </w:r>
      <w:r w:rsidR="00573BA7">
        <w:t xml:space="preserve"> </w:t>
      </w:r>
      <w:r w:rsidRPr="003F4CE1">
        <w:t>JobAccess.</w:t>
      </w:r>
      <w:r w:rsidR="00573BA7">
        <w:t xml:space="preserve"> </w:t>
      </w:r>
      <w:r w:rsidRPr="003F4CE1">
        <w:t>The</w:t>
      </w:r>
      <w:r w:rsidR="00573BA7">
        <w:t xml:space="preserve"> </w:t>
      </w:r>
      <w:r w:rsidRPr="003F4CE1">
        <w:t>EAF</w:t>
      </w:r>
      <w:r w:rsidR="00573BA7">
        <w:t xml:space="preserve"> </w:t>
      </w:r>
      <w:r w:rsidRPr="003F4CE1">
        <w:t>reimburses</w:t>
      </w:r>
      <w:r w:rsidR="00573BA7">
        <w:t xml:space="preserve"> </w:t>
      </w:r>
      <w:r w:rsidRPr="003F4CE1">
        <w:t>employers</w:t>
      </w:r>
      <w:r w:rsidR="00573BA7">
        <w:t xml:space="preserve"> </w:t>
      </w:r>
      <w:r w:rsidRPr="003F4CE1">
        <w:t>for</w:t>
      </w:r>
      <w:r w:rsidR="00573BA7">
        <w:t xml:space="preserve"> </w:t>
      </w:r>
      <w:r w:rsidRPr="003F4CE1">
        <w:t>the</w:t>
      </w:r>
      <w:r w:rsidR="00573BA7">
        <w:t xml:space="preserve"> </w:t>
      </w:r>
      <w:r w:rsidRPr="003F4CE1">
        <w:t>cost</w:t>
      </w:r>
      <w:r w:rsidR="00573BA7">
        <w:t xml:space="preserve"> </w:t>
      </w:r>
      <w:r w:rsidRPr="003F4CE1">
        <w:t>of</w:t>
      </w:r>
      <w:r w:rsidR="00573BA7">
        <w:t xml:space="preserve"> </w:t>
      </w:r>
      <w:r w:rsidRPr="003F4CE1">
        <w:t>reasonable</w:t>
      </w:r>
      <w:r w:rsidR="00573BA7">
        <w:t xml:space="preserve"> </w:t>
      </w:r>
      <w:r w:rsidRPr="003F4CE1">
        <w:t>adjustments</w:t>
      </w:r>
      <w:r w:rsidR="00573BA7">
        <w:t xml:space="preserve"> </w:t>
      </w:r>
      <w:r w:rsidRPr="003F4CE1">
        <w:t>for</w:t>
      </w:r>
      <w:r w:rsidR="00573BA7">
        <w:t xml:space="preserve"> </w:t>
      </w:r>
      <w:r w:rsidRPr="003F4CE1">
        <w:t>people</w:t>
      </w:r>
      <w:r w:rsidR="00573BA7">
        <w:t xml:space="preserve"> </w:t>
      </w:r>
      <w:r w:rsidRPr="003F4CE1">
        <w:t>with</w:t>
      </w:r>
      <w:r w:rsidR="00573BA7">
        <w:t xml:space="preserve"> </w:t>
      </w:r>
      <w:r w:rsidRPr="003F4CE1">
        <w:t>disability</w:t>
      </w:r>
      <w:r w:rsidR="00573BA7">
        <w:t xml:space="preserve"> </w:t>
      </w:r>
      <w:r w:rsidRPr="003F4CE1">
        <w:t>who</w:t>
      </w:r>
      <w:r w:rsidR="00573BA7">
        <w:t xml:space="preserve"> </w:t>
      </w:r>
      <w:r w:rsidRPr="003F4CE1">
        <w:t>are</w:t>
      </w:r>
      <w:r w:rsidR="00573BA7">
        <w:t xml:space="preserve"> </w:t>
      </w:r>
      <w:r w:rsidRPr="003F4CE1">
        <w:t>in</w:t>
      </w:r>
      <w:r w:rsidR="00573BA7">
        <w:t xml:space="preserve"> </w:t>
      </w:r>
      <w:r w:rsidRPr="003F4CE1">
        <w:t>employment</w:t>
      </w:r>
      <w:r w:rsidR="00573BA7">
        <w:t xml:space="preserve"> </w:t>
      </w:r>
      <w:r w:rsidRPr="003F4CE1">
        <w:t>or</w:t>
      </w:r>
      <w:r w:rsidR="00573BA7">
        <w:t xml:space="preserve"> </w:t>
      </w:r>
      <w:r w:rsidRPr="003F4CE1">
        <w:t>looking</w:t>
      </w:r>
      <w:r w:rsidR="00573BA7">
        <w:t xml:space="preserve"> </w:t>
      </w:r>
      <w:r w:rsidRPr="003F4CE1">
        <w:t>for</w:t>
      </w:r>
      <w:r w:rsidR="00573BA7">
        <w:t xml:space="preserve"> </w:t>
      </w:r>
      <w:r w:rsidRPr="003F4CE1">
        <w:t>work</w:t>
      </w:r>
      <w:r w:rsidR="00573BA7">
        <w:t xml:space="preserve"> </w:t>
      </w:r>
      <w:r w:rsidRPr="003F4CE1">
        <w:t>and</w:t>
      </w:r>
      <w:r w:rsidR="00573BA7">
        <w:t xml:space="preserve"> </w:t>
      </w:r>
      <w:r w:rsidRPr="003F4CE1">
        <w:t>who</w:t>
      </w:r>
      <w:r w:rsidR="00573BA7">
        <w:t xml:space="preserve"> </w:t>
      </w:r>
      <w:r w:rsidRPr="003F4CE1">
        <w:t>meet</w:t>
      </w:r>
      <w:r w:rsidR="00573BA7">
        <w:t xml:space="preserve"> </w:t>
      </w:r>
      <w:r w:rsidRPr="003F4CE1">
        <w:t>the</w:t>
      </w:r>
      <w:r w:rsidR="00573BA7">
        <w:t xml:space="preserve"> </w:t>
      </w:r>
      <w:r w:rsidRPr="003F4CE1">
        <w:t>EAF</w:t>
      </w:r>
      <w:r w:rsidR="00573BA7">
        <w:t xml:space="preserve"> </w:t>
      </w:r>
      <w:r w:rsidRPr="003F4CE1">
        <w:t>guidelines.</w:t>
      </w:r>
      <w:r w:rsidR="000C1CDA" w:rsidRPr="003F4CE1">
        <w:rPr>
          <w:rStyle w:val="EndnoteReference"/>
          <w:rFonts w:cs="Open Sans"/>
        </w:rPr>
        <w:endnoteReference w:id="228"/>
      </w:r>
      <w:r w:rsidR="00573BA7">
        <w:t xml:space="preserve"> </w:t>
      </w:r>
    </w:p>
    <w:p w14:paraId="52AF5077" w14:textId="1E62E2FA" w:rsidR="004424F6" w:rsidRPr="003F4CE1" w:rsidRDefault="004424F6" w:rsidP="00662F4B">
      <w:pPr>
        <w:pStyle w:val="ListNumber"/>
      </w:pPr>
      <w:r w:rsidRPr="003F4CE1">
        <w:t>Generally,</w:t>
      </w:r>
      <w:r w:rsidR="00573BA7">
        <w:t xml:space="preserve"> </w:t>
      </w:r>
      <w:r w:rsidRPr="003F4CE1">
        <w:t>JobAccess</w:t>
      </w:r>
      <w:r w:rsidR="00573BA7">
        <w:t xml:space="preserve"> </w:t>
      </w:r>
      <w:r w:rsidRPr="003F4CE1">
        <w:t>and</w:t>
      </w:r>
      <w:r w:rsidR="00573BA7">
        <w:t xml:space="preserve"> </w:t>
      </w:r>
      <w:r w:rsidRPr="003F4CE1">
        <w:t>the</w:t>
      </w:r>
      <w:r w:rsidR="00573BA7">
        <w:t xml:space="preserve"> </w:t>
      </w:r>
      <w:r w:rsidRPr="003F4CE1">
        <w:t>EAF</w:t>
      </w:r>
      <w:r w:rsidR="00573BA7">
        <w:t xml:space="preserve"> </w:t>
      </w:r>
      <w:r w:rsidRPr="003F4CE1">
        <w:t>receive</w:t>
      </w:r>
      <w:r w:rsidR="00573BA7">
        <w:t xml:space="preserve"> </w:t>
      </w:r>
      <w:r w:rsidRPr="003F4CE1">
        <w:t>positive</w:t>
      </w:r>
      <w:r w:rsidR="00573BA7">
        <w:t xml:space="preserve"> </w:t>
      </w:r>
      <w:r w:rsidRPr="003F4CE1">
        <w:t>feedback</w:t>
      </w:r>
      <w:r w:rsidR="00573BA7">
        <w:t xml:space="preserve"> </w:t>
      </w:r>
      <w:r w:rsidRPr="003F4CE1">
        <w:t>from</w:t>
      </w:r>
      <w:r w:rsidR="00573BA7">
        <w:t xml:space="preserve"> </w:t>
      </w:r>
      <w:r w:rsidRPr="003F4CE1">
        <w:t>employers</w:t>
      </w:r>
      <w:r w:rsidR="00573BA7">
        <w:t xml:space="preserve"> </w:t>
      </w:r>
      <w:r w:rsidRPr="003F4CE1">
        <w:t>and</w:t>
      </w:r>
      <w:r w:rsidR="00573BA7">
        <w:t xml:space="preserve"> </w:t>
      </w:r>
      <w:r w:rsidR="003414C4" w:rsidRPr="003F4CE1">
        <w:t>people</w:t>
      </w:r>
      <w:r w:rsidR="00573BA7">
        <w:t xml:space="preserve"> </w:t>
      </w:r>
      <w:r w:rsidR="003414C4" w:rsidRPr="003F4CE1">
        <w:t>with</w:t>
      </w:r>
      <w:r w:rsidR="00573BA7">
        <w:t xml:space="preserve"> </w:t>
      </w:r>
      <w:r w:rsidR="003414C4" w:rsidRPr="003F4CE1">
        <w:t>disability</w:t>
      </w:r>
      <w:r w:rsidRPr="003F4CE1">
        <w:t>.</w:t>
      </w:r>
      <w:r w:rsidR="00686627" w:rsidRPr="007B537E">
        <w:rPr>
          <w:sz w:val="20"/>
          <w:szCs w:val="20"/>
          <w:vertAlign w:val="superscript"/>
        </w:rPr>
        <w:endnoteReference w:id="229"/>
      </w:r>
      <w:r w:rsidR="00573BA7">
        <w:t xml:space="preserve"> </w:t>
      </w:r>
      <w:r w:rsidRPr="003F4CE1">
        <w:t>However,</w:t>
      </w:r>
      <w:r w:rsidR="00573BA7">
        <w:t xml:space="preserve"> </w:t>
      </w:r>
      <w:r w:rsidRPr="003F4CE1">
        <w:t>the</w:t>
      </w:r>
      <w:r w:rsidR="00573BA7">
        <w:t xml:space="preserve"> </w:t>
      </w:r>
      <w:r w:rsidRPr="003F4CE1">
        <w:t>Commission</w:t>
      </w:r>
      <w:r w:rsidR="00573BA7">
        <w:t xml:space="preserve"> </w:t>
      </w:r>
      <w:r w:rsidRPr="003F4CE1">
        <w:t>has</w:t>
      </w:r>
      <w:r w:rsidR="00573BA7">
        <w:t xml:space="preserve"> </w:t>
      </w:r>
      <w:r w:rsidR="000E2705">
        <w:t>heard</w:t>
      </w:r>
      <w:r w:rsidR="00573BA7">
        <w:t xml:space="preserve"> </w:t>
      </w:r>
      <w:r w:rsidRPr="003F4CE1">
        <w:t>that</w:t>
      </w:r>
      <w:r w:rsidR="00573BA7">
        <w:t xml:space="preserve"> </w:t>
      </w:r>
      <w:r w:rsidRPr="003F4CE1">
        <w:t>many</w:t>
      </w:r>
      <w:r w:rsidR="00573BA7">
        <w:t xml:space="preserve"> </w:t>
      </w:r>
      <w:r w:rsidRPr="003F4CE1">
        <w:t>employers</w:t>
      </w:r>
      <w:r w:rsidR="00573BA7">
        <w:t xml:space="preserve"> </w:t>
      </w:r>
      <w:r w:rsidRPr="003F4CE1">
        <w:t>are</w:t>
      </w:r>
      <w:r w:rsidR="00573BA7">
        <w:t xml:space="preserve"> </w:t>
      </w:r>
      <w:r w:rsidRPr="003F4CE1">
        <w:t>not</w:t>
      </w:r>
      <w:r w:rsidR="00573BA7">
        <w:t xml:space="preserve"> </w:t>
      </w:r>
      <w:r w:rsidRPr="003F4CE1">
        <w:t>aware</w:t>
      </w:r>
      <w:r w:rsidR="00573BA7">
        <w:t xml:space="preserve"> </w:t>
      </w:r>
      <w:r w:rsidRPr="003F4CE1">
        <w:t>of</w:t>
      </w:r>
      <w:r w:rsidR="00573BA7">
        <w:t xml:space="preserve"> </w:t>
      </w:r>
      <w:r w:rsidRPr="003F4CE1">
        <w:t>JobAccess</w:t>
      </w:r>
      <w:r w:rsidR="00573BA7">
        <w:t xml:space="preserve"> </w:t>
      </w:r>
      <w:r w:rsidRPr="003F4CE1">
        <w:t>and</w:t>
      </w:r>
      <w:r w:rsidR="00573BA7">
        <w:t xml:space="preserve"> </w:t>
      </w:r>
      <w:r w:rsidRPr="003F4CE1">
        <w:t>the</w:t>
      </w:r>
      <w:r w:rsidR="00573BA7">
        <w:t xml:space="preserve"> </w:t>
      </w:r>
      <w:r w:rsidRPr="003F4CE1">
        <w:t>EAF,</w:t>
      </w:r>
      <w:r w:rsidR="00573BA7">
        <w:t xml:space="preserve"> </w:t>
      </w:r>
      <w:r w:rsidRPr="003F4CE1">
        <w:t>the</w:t>
      </w:r>
      <w:r w:rsidR="00573BA7">
        <w:t xml:space="preserve"> </w:t>
      </w:r>
      <w:r w:rsidRPr="003F4CE1">
        <w:t>process</w:t>
      </w:r>
      <w:r w:rsidR="00573BA7">
        <w:t xml:space="preserve"> </w:t>
      </w:r>
      <w:r w:rsidRPr="003F4CE1">
        <w:t>for</w:t>
      </w:r>
      <w:r w:rsidR="00573BA7">
        <w:t xml:space="preserve"> </w:t>
      </w:r>
      <w:r w:rsidRPr="003F4CE1">
        <w:t>making</w:t>
      </w:r>
      <w:r w:rsidR="00573BA7">
        <w:t xml:space="preserve"> </w:t>
      </w:r>
      <w:r w:rsidRPr="003F4CE1">
        <w:t>an</w:t>
      </w:r>
      <w:r w:rsidR="00573BA7">
        <w:t xml:space="preserve"> </w:t>
      </w:r>
      <w:r w:rsidRPr="003F4CE1">
        <w:t>application,</w:t>
      </w:r>
      <w:r w:rsidR="00573BA7">
        <w:t xml:space="preserve"> </w:t>
      </w:r>
      <w:r w:rsidRPr="003F4CE1">
        <w:t>the</w:t>
      </w:r>
      <w:r w:rsidR="00573BA7">
        <w:t xml:space="preserve"> </w:t>
      </w:r>
      <w:r w:rsidRPr="003F4CE1">
        <w:t>employee</w:t>
      </w:r>
      <w:r w:rsidR="00573BA7">
        <w:t xml:space="preserve"> </w:t>
      </w:r>
      <w:r w:rsidRPr="003F4CE1">
        <w:t>assessment</w:t>
      </w:r>
      <w:r w:rsidR="00573BA7">
        <w:t xml:space="preserve"> </w:t>
      </w:r>
      <w:r w:rsidRPr="003F4CE1">
        <w:t>process,</w:t>
      </w:r>
      <w:r w:rsidR="00573BA7">
        <w:t xml:space="preserve"> </w:t>
      </w:r>
      <w:r w:rsidRPr="003F4CE1">
        <w:t>or</w:t>
      </w:r>
      <w:r w:rsidR="00573BA7">
        <w:t xml:space="preserve"> </w:t>
      </w:r>
      <w:r w:rsidRPr="003F4CE1">
        <w:t>where</w:t>
      </w:r>
      <w:r w:rsidR="00573BA7">
        <w:t xml:space="preserve"> </w:t>
      </w:r>
      <w:r w:rsidRPr="003F4CE1">
        <w:t>to</w:t>
      </w:r>
      <w:r w:rsidR="00573BA7">
        <w:t xml:space="preserve"> </w:t>
      </w:r>
      <w:r w:rsidRPr="003F4CE1">
        <w:t>go</w:t>
      </w:r>
      <w:r w:rsidR="00573BA7">
        <w:t xml:space="preserve"> </w:t>
      </w:r>
      <w:r w:rsidRPr="003F4CE1">
        <w:t>for</w:t>
      </w:r>
      <w:r w:rsidR="00573BA7">
        <w:t xml:space="preserve"> </w:t>
      </w:r>
      <w:r w:rsidRPr="003F4CE1">
        <w:t>advice</w:t>
      </w:r>
      <w:r w:rsidR="00573BA7">
        <w:t xml:space="preserve"> </w:t>
      </w:r>
      <w:r w:rsidR="00706746">
        <w:t>on</w:t>
      </w:r>
      <w:r w:rsidR="00573BA7">
        <w:t xml:space="preserve"> </w:t>
      </w:r>
      <w:r w:rsidR="00706746">
        <w:t>disability</w:t>
      </w:r>
      <w:r w:rsidR="00573BA7">
        <w:t xml:space="preserve"> </w:t>
      </w:r>
      <w:r w:rsidR="00706746">
        <w:t>employment</w:t>
      </w:r>
      <w:r w:rsidRPr="003F4CE1">
        <w:t>.</w:t>
      </w:r>
      <w:r w:rsidR="005F2E4E" w:rsidRPr="003F4CE1">
        <w:rPr>
          <w:rStyle w:val="EndnoteReference"/>
          <w:rFonts w:cs="Open Sans"/>
        </w:rPr>
        <w:endnoteReference w:id="230"/>
      </w:r>
      <w:r w:rsidR="00573BA7">
        <w:t xml:space="preserve"> </w:t>
      </w:r>
      <w:r w:rsidRPr="003F4CE1">
        <w:t>The</w:t>
      </w:r>
      <w:r w:rsidR="00573BA7">
        <w:t xml:space="preserve"> </w:t>
      </w:r>
      <w:r w:rsidRPr="003F4CE1">
        <w:t>Department</w:t>
      </w:r>
      <w:r w:rsidR="00573BA7">
        <w:t xml:space="preserve"> </w:t>
      </w:r>
      <w:r w:rsidRPr="003F4CE1">
        <w:t>of</w:t>
      </w:r>
      <w:r w:rsidR="00573BA7">
        <w:t xml:space="preserve"> </w:t>
      </w:r>
      <w:r w:rsidRPr="003F4CE1">
        <w:t>Social</w:t>
      </w:r>
      <w:r w:rsidR="00573BA7">
        <w:t xml:space="preserve"> </w:t>
      </w:r>
      <w:r w:rsidRPr="003F4CE1">
        <w:t>Services</w:t>
      </w:r>
      <w:r w:rsidR="00573BA7">
        <w:t xml:space="preserve"> </w:t>
      </w:r>
      <w:r w:rsidRPr="003F4CE1">
        <w:t>has</w:t>
      </w:r>
      <w:r w:rsidR="00573BA7">
        <w:t xml:space="preserve"> </w:t>
      </w:r>
      <w:r w:rsidR="00780BE5" w:rsidRPr="003F4CE1">
        <w:t>also</w:t>
      </w:r>
      <w:r w:rsidR="00573BA7">
        <w:t xml:space="preserve"> </w:t>
      </w:r>
      <w:r w:rsidRPr="003F4CE1">
        <w:t>acknowledged</w:t>
      </w:r>
      <w:r w:rsidR="00573BA7">
        <w:t xml:space="preserve"> </w:t>
      </w:r>
      <w:r w:rsidRPr="003F4CE1">
        <w:t>calls</w:t>
      </w:r>
      <w:r w:rsidR="00573BA7">
        <w:t xml:space="preserve"> </w:t>
      </w:r>
      <w:r w:rsidRPr="003F4CE1">
        <w:t>for</w:t>
      </w:r>
      <w:r w:rsidR="00573BA7">
        <w:t xml:space="preserve"> </w:t>
      </w:r>
      <w:r w:rsidRPr="003F4CE1">
        <w:t>JobAccess</w:t>
      </w:r>
      <w:r w:rsidR="00573BA7">
        <w:t xml:space="preserve"> </w:t>
      </w:r>
      <w:r w:rsidRPr="003F4CE1">
        <w:t>and</w:t>
      </w:r>
      <w:r w:rsidR="00573BA7">
        <w:t xml:space="preserve"> </w:t>
      </w:r>
      <w:r w:rsidRPr="003F4CE1">
        <w:t>the</w:t>
      </w:r>
      <w:r w:rsidR="00573BA7">
        <w:t xml:space="preserve"> </w:t>
      </w:r>
      <w:r w:rsidRPr="003F4CE1">
        <w:t>EAF</w:t>
      </w:r>
      <w:r w:rsidR="00573BA7">
        <w:t xml:space="preserve"> </w:t>
      </w:r>
      <w:r w:rsidRPr="003F4CE1">
        <w:t>to</w:t>
      </w:r>
      <w:r w:rsidR="00573BA7">
        <w:t xml:space="preserve"> </w:t>
      </w:r>
      <w:r w:rsidRPr="003F4CE1">
        <w:t>be</w:t>
      </w:r>
      <w:r w:rsidR="00573BA7">
        <w:t xml:space="preserve"> </w:t>
      </w:r>
      <w:r w:rsidRPr="003F4CE1">
        <w:t>more</w:t>
      </w:r>
      <w:r w:rsidR="00573BA7">
        <w:t xml:space="preserve"> </w:t>
      </w:r>
      <w:r w:rsidRPr="003F4CE1">
        <w:t>widely</w:t>
      </w:r>
      <w:r w:rsidR="00573BA7">
        <w:t xml:space="preserve"> </w:t>
      </w:r>
      <w:r w:rsidRPr="003F4CE1">
        <w:t>publicised.</w:t>
      </w:r>
      <w:r w:rsidR="00F5701B" w:rsidRPr="007B537E">
        <w:rPr>
          <w:rStyle w:val="EndnoteReference"/>
          <w:rFonts w:cs="Open Sans"/>
        </w:rPr>
        <w:endnoteReference w:id="231"/>
      </w:r>
      <w:r w:rsidR="00573BA7">
        <w:t xml:space="preserve"> </w:t>
      </w:r>
      <w:r w:rsidR="00415292">
        <w:t xml:space="preserve">Further promotion </w:t>
      </w:r>
      <w:r w:rsidRPr="003F4CE1">
        <w:t>of</w:t>
      </w:r>
      <w:r w:rsidR="00573BA7">
        <w:t xml:space="preserve"> </w:t>
      </w:r>
      <w:r w:rsidRPr="003F4CE1">
        <w:t>JobAccess</w:t>
      </w:r>
      <w:r w:rsidR="00573BA7">
        <w:t xml:space="preserve"> </w:t>
      </w:r>
      <w:r w:rsidRPr="003F4CE1">
        <w:t>and</w:t>
      </w:r>
      <w:r w:rsidR="00573BA7">
        <w:t xml:space="preserve"> </w:t>
      </w:r>
      <w:r w:rsidRPr="003F4CE1">
        <w:t>the</w:t>
      </w:r>
      <w:r w:rsidR="00573BA7">
        <w:t xml:space="preserve"> </w:t>
      </w:r>
      <w:r w:rsidRPr="003F4CE1">
        <w:t>EAF</w:t>
      </w:r>
      <w:r w:rsidR="00573BA7">
        <w:t xml:space="preserve"> </w:t>
      </w:r>
      <w:r w:rsidRPr="003F4CE1">
        <w:t>may</w:t>
      </w:r>
      <w:r w:rsidR="00573BA7">
        <w:t xml:space="preserve"> </w:t>
      </w:r>
      <w:r w:rsidR="00415292">
        <w:t>assist the Australian Government in p</w:t>
      </w:r>
      <w:r w:rsidR="00415292" w:rsidRPr="00415292">
        <w:t>romot</w:t>
      </w:r>
      <w:r w:rsidR="00415292">
        <w:t>ing</w:t>
      </w:r>
      <w:r w:rsidR="00415292" w:rsidRPr="00415292">
        <w:t xml:space="preserve"> the employment of people with disability in the private sector</w:t>
      </w:r>
      <w:r w:rsidR="00415292">
        <w:t xml:space="preserve">, as required by </w:t>
      </w:r>
      <w:r w:rsidR="00415292" w:rsidRPr="00415292">
        <w:t>Article 27(1)(h)</w:t>
      </w:r>
      <w:r w:rsidR="00415292">
        <w:t xml:space="preserve"> of the CRPD.</w:t>
      </w:r>
    </w:p>
    <w:p w14:paraId="551AFBA2" w14:textId="18D760AA" w:rsidR="00854DCE" w:rsidRPr="003F4CE1" w:rsidRDefault="004424F6" w:rsidP="008A7EB0">
      <w:pPr>
        <w:pStyle w:val="ListNumber"/>
      </w:pPr>
      <w:r w:rsidRPr="003F4CE1">
        <w:t>Those</w:t>
      </w:r>
      <w:r w:rsidR="00573BA7">
        <w:t xml:space="preserve"> </w:t>
      </w:r>
      <w:r w:rsidRPr="003F4CE1">
        <w:t>employers</w:t>
      </w:r>
      <w:r w:rsidR="00573BA7">
        <w:t xml:space="preserve"> </w:t>
      </w:r>
      <w:r w:rsidRPr="003F4CE1">
        <w:t>who</w:t>
      </w:r>
      <w:r w:rsidR="00573BA7">
        <w:t xml:space="preserve"> </w:t>
      </w:r>
      <w:r w:rsidRPr="003F4CE1">
        <w:t>are</w:t>
      </w:r>
      <w:r w:rsidR="00573BA7">
        <w:t xml:space="preserve"> </w:t>
      </w:r>
      <w:r w:rsidRPr="003F4CE1">
        <w:t>aware</w:t>
      </w:r>
      <w:r w:rsidR="00573BA7">
        <w:t xml:space="preserve"> </w:t>
      </w:r>
      <w:r w:rsidRPr="003F4CE1">
        <w:t>of</w:t>
      </w:r>
      <w:r w:rsidR="00573BA7">
        <w:t xml:space="preserve"> </w:t>
      </w:r>
      <w:r w:rsidRPr="003F4CE1">
        <w:t>EAF</w:t>
      </w:r>
      <w:r w:rsidR="00573BA7">
        <w:t xml:space="preserve"> </w:t>
      </w:r>
      <w:r w:rsidR="00780BE5" w:rsidRPr="003F4CE1">
        <w:t>report</w:t>
      </w:r>
      <w:r w:rsidR="00573BA7">
        <w:t xml:space="preserve"> </w:t>
      </w:r>
      <w:r w:rsidR="00780BE5" w:rsidRPr="003F4CE1">
        <w:t>concerns</w:t>
      </w:r>
      <w:r w:rsidR="00573BA7">
        <w:t xml:space="preserve"> </w:t>
      </w:r>
      <w:r w:rsidRPr="003F4CE1">
        <w:t>of</w:t>
      </w:r>
      <w:r w:rsidR="00573BA7">
        <w:t xml:space="preserve"> </w:t>
      </w:r>
      <w:r w:rsidRPr="003F4CE1">
        <w:t>insufficient</w:t>
      </w:r>
      <w:r w:rsidR="00573BA7">
        <w:t xml:space="preserve"> </w:t>
      </w:r>
      <w:r w:rsidRPr="003F4CE1">
        <w:t>funding,</w:t>
      </w:r>
      <w:r w:rsidR="00573BA7">
        <w:t xml:space="preserve"> </w:t>
      </w:r>
      <w:r w:rsidRPr="003F4CE1">
        <w:t>particularly</w:t>
      </w:r>
      <w:r w:rsidR="00573BA7">
        <w:t xml:space="preserve"> </w:t>
      </w:r>
      <w:r w:rsidRPr="003F4CE1">
        <w:t>for</w:t>
      </w:r>
      <w:r w:rsidR="00573BA7">
        <w:t xml:space="preserve"> </w:t>
      </w:r>
      <w:r w:rsidRPr="003F4CE1">
        <w:t>Auslan</w:t>
      </w:r>
      <w:r w:rsidR="00573BA7">
        <w:t xml:space="preserve"> </w:t>
      </w:r>
      <w:r w:rsidRPr="003F4CE1">
        <w:t>interpreting</w:t>
      </w:r>
      <w:r w:rsidR="00573BA7">
        <w:t xml:space="preserve"> </w:t>
      </w:r>
      <w:r w:rsidRPr="003F4CE1">
        <w:t>and</w:t>
      </w:r>
      <w:r w:rsidR="00573BA7">
        <w:t xml:space="preserve"> </w:t>
      </w:r>
      <w:r w:rsidRPr="003F4CE1">
        <w:t>captioning.</w:t>
      </w:r>
      <w:r w:rsidR="001C313E" w:rsidRPr="003F4CE1">
        <w:rPr>
          <w:rStyle w:val="EndnoteReference"/>
          <w:rFonts w:cs="Open Sans"/>
        </w:rPr>
        <w:endnoteReference w:id="232"/>
      </w:r>
      <w:r w:rsidR="00573BA7">
        <w:t xml:space="preserve"> </w:t>
      </w:r>
      <w:r w:rsidRPr="003F4CE1">
        <w:t>They</w:t>
      </w:r>
      <w:r w:rsidR="00573BA7">
        <w:t xml:space="preserve"> </w:t>
      </w:r>
      <w:r w:rsidRPr="003F4CE1">
        <w:t>also</w:t>
      </w:r>
      <w:r w:rsidR="00573BA7">
        <w:t xml:space="preserve"> </w:t>
      </w:r>
      <w:r w:rsidRPr="003F4CE1">
        <w:t>raise</w:t>
      </w:r>
      <w:r w:rsidR="00573BA7">
        <w:t xml:space="preserve"> </w:t>
      </w:r>
      <w:r w:rsidRPr="003F4CE1">
        <w:t>concerns</w:t>
      </w:r>
      <w:r w:rsidR="00573BA7">
        <w:t xml:space="preserve"> </w:t>
      </w:r>
      <w:r w:rsidRPr="003F4CE1">
        <w:t>about</w:t>
      </w:r>
      <w:r w:rsidR="00573BA7">
        <w:t xml:space="preserve"> </w:t>
      </w:r>
      <w:r w:rsidRPr="003F4CE1">
        <w:t>the</w:t>
      </w:r>
      <w:r w:rsidR="00573BA7">
        <w:t xml:space="preserve"> </w:t>
      </w:r>
      <w:r w:rsidRPr="003F4CE1">
        <w:t>EAF’s</w:t>
      </w:r>
      <w:r w:rsidR="00573BA7">
        <w:t xml:space="preserve"> </w:t>
      </w:r>
      <w:r w:rsidRPr="003F4CE1">
        <w:t>inflexible,</w:t>
      </w:r>
      <w:r w:rsidR="00573BA7">
        <w:t xml:space="preserve"> </w:t>
      </w:r>
      <w:r w:rsidRPr="003F4CE1">
        <w:t>reactive</w:t>
      </w:r>
      <w:r w:rsidR="00573BA7">
        <w:t xml:space="preserve"> </w:t>
      </w:r>
      <w:r w:rsidRPr="003F4CE1">
        <w:t>funding</w:t>
      </w:r>
      <w:r w:rsidR="00573BA7">
        <w:t xml:space="preserve"> </w:t>
      </w:r>
      <w:r w:rsidRPr="003F4CE1">
        <w:t>model.</w:t>
      </w:r>
      <w:r w:rsidR="00573BA7">
        <w:t xml:space="preserve"> </w:t>
      </w:r>
      <w:r w:rsidRPr="003F4CE1">
        <w:t>For</w:t>
      </w:r>
      <w:r w:rsidR="00573BA7">
        <w:t xml:space="preserve"> </w:t>
      </w:r>
      <w:r w:rsidRPr="003F4CE1">
        <w:t>example,</w:t>
      </w:r>
      <w:r w:rsidR="00573BA7">
        <w:t xml:space="preserve"> </w:t>
      </w:r>
      <w:r w:rsidRPr="003F4CE1">
        <w:lastRenderedPageBreak/>
        <w:t>employers</w:t>
      </w:r>
      <w:r w:rsidR="00573BA7">
        <w:t xml:space="preserve"> </w:t>
      </w:r>
      <w:r w:rsidRPr="003F4CE1">
        <w:t>must</w:t>
      </w:r>
      <w:r w:rsidR="00573BA7">
        <w:t xml:space="preserve"> </w:t>
      </w:r>
      <w:r w:rsidRPr="003F4CE1">
        <w:t>pay</w:t>
      </w:r>
      <w:r w:rsidR="00573BA7">
        <w:t xml:space="preserve"> </w:t>
      </w:r>
      <w:r w:rsidRPr="003F4CE1">
        <w:t>for</w:t>
      </w:r>
      <w:r w:rsidR="00573BA7">
        <w:t xml:space="preserve"> </w:t>
      </w:r>
      <w:r w:rsidRPr="003F4CE1">
        <w:t>the</w:t>
      </w:r>
      <w:r w:rsidR="00573BA7">
        <w:t xml:space="preserve"> </w:t>
      </w:r>
      <w:r w:rsidRPr="003F4CE1">
        <w:t>adjustments</w:t>
      </w:r>
      <w:r w:rsidR="00573BA7">
        <w:t xml:space="preserve"> </w:t>
      </w:r>
      <w:r w:rsidRPr="003F4CE1">
        <w:t>themselves</w:t>
      </w:r>
      <w:r w:rsidR="00573BA7">
        <w:t xml:space="preserve"> </w:t>
      </w:r>
      <w:r w:rsidRPr="003F4CE1">
        <w:t>and</w:t>
      </w:r>
      <w:r w:rsidR="00573BA7">
        <w:t xml:space="preserve"> </w:t>
      </w:r>
      <w:r w:rsidRPr="003F4CE1">
        <w:t>be</w:t>
      </w:r>
      <w:r w:rsidR="00573BA7">
        <w:t xml:space="preserve"> </w:t>
      </w:r>
      <w:r w:rsidRPr="003F4CE1">
        <w:t>reimbursed</w:t>
      </w:r>
      <w:r w:rsidR="00573BA7">
        <w:t xml:space="preserve"> </w:t>
      </w:r>
      <w:r w:rsidR="00713B29" w:rsidRPr="003F4CE1">
        <w:t>by</w:t>
      </w:r>
      <w:r w:rsidR="00573BA7">
        <w:t xml:space="preserve"> </w:t>
      </w:r>
      <w:r w:rsidR="00713B29" w:rsidRPr="003F4CE1">
        <w:t>the</w:t>
      </w:r>
      <w:r w:rsidR="00573BA7">
        <w:t xml:space="preserve"> </w:t>
      </w:r>
      <w:r w:rsidR="00713B29" w:rsidRPr="003F4CE1">
        <w:t>EAF</w:t>
      </w:r>
      <w:r w:rsidRPr="003F4CE1">
        <w:t>,</w:t>
      </w:r>
      <w:r w:rsidR="00573BA7">
        <w:t xml:space="preserve"> </w:t>
      </w:r>
      <w:r w:rsidRPr="003F4CE1">
        <w:t>cannot</w:t>
      </w:r>
      <w:r w:rsidR="00573BA7">
        <w:t xml:space="preserve"> </w:t>
      </w:r>
      <w:r w:rsidRPr="003F4CE1">
        <w:t>usually</w:t>
      </w:r>
      <w:r w:rsidR="00573BA7">
        <w:t xml:space="preserve"> </w:t>
      </w:r>
      <w:r w:rsidRPr="003F4CE1">
        <w:t>seek</w:t>
      </w:r>
      <w:r w:rsidR="00573BA7">
        <w:t xml:space="preserve"> </w:t>
      </w:r>
      <w:r w:rsidRPr="003F4CE1">
        <w:t>funding</w:t>
      </w:r>
      <w:r w:rsidR="00573BA7">
        <w:t xml:space="preserve"> </w:t>
      </w:r>
      <w:r w:rsidRPr="003F4CE1">
        <w:t>at</w:t>
      </w:r>
      <w:r w:rsidR="00573BA7">
        <w:t xml:space="preserve"> </w:t>
      </w:r>
      <w:r w:rsidRPr="003F4CE1">
        <w:t>the</w:t>
      </w:r>
      <w:r w:rsidR="00573BA7">
        <w:t xml:space="preserve"> </w:t>
      </w:r>
      <w:r w:rsidRPr="003F4CE1">
        <w:t>job</w:t>
      </w:r>
      <w:r w:rsidR="00573BA7">
        <w:t xml:space="preserve"> </w:t>
      </w:r>
      <w:r w:rsidRPr="003F4CE1">
        <w:t>search</w:t>
      </w:r>
      <w:r w:rsidR="00573BA7">
        <w:t xml:space="preserve"> </w:t>
      </w:r>
      <w:r w:rsidRPr="003F4CE1">
        <w:t>or</w:t>
      </w:r>
      <w:r w:rsidR="00573BA7">
        <w:t xml:space="preserve"> </w:t>
      </w:r>
      <w:r w:rsidRPr="003F4CE1">
        <w:t>interview</w:t>
      </w:r>
      <w:r w:rsidR="00573BA7">
        <w:t xml:space="preserve"> </w:t>
      </w:r>
      <w:r w:rsidRPr="003F4CE1">
        <w:t>stage,</w:t>
      </w:r>
      <w:r w:rsidR="00573BA7">
        <w:t xml:space="preserve"> </w:t>
      </w:r>
      <w:r w:rsidRPr="003F4CE1">
        <w:t>and</w:t>
      </w:r>
      <w:r w:rsidR="00573BA7">
        <w:t xml:space="preserve"> </w:t>
      </w:r>
      <w:r w:rsidRPr="003F4CE1">
        <w:t>are</w:t>
      </w:r>
      <w:r w:rsidR="00573BA7">
        <w:t xml:space="preserve"> </w:t>
      </w:r>
      <w:r w:rsidRPr="003F4CE1">
        <w:t>limited</w:t>
      </w:r>
      <w:r w:rsidR="00573BA7">
        <w:t xml:space="preserve"> </w:t>
      </w:r>
      <w:r w:rsidRPr="003F4CE1">
        <w:t>to</w:t>
      </w:r>
      <w:r w:rsidR="00573BA7">
        <w:t xml:space="preserve"> </w:t>
      </w:r>
      <w:r w:rsidRPr="003F4CE1">
        <w:t>using</w:t>
      </w:r>
      <w:r w:rsidR="00573BA7">
        <w:t xml:space="preserve"> </w:t>
      </w:r>
      <w:r w:rsidRPr="003F4CE1">
        <w:t>funds</w:t>
      </w:r>
      <w:r w:rsidR="00573BA7">
        <w:t xml:space="preserve"> </w:t>
      </w:r>
      <w:r w:rsidRPr="003F4CE1">
        <w:t>for</w:t>
      </w:r>
      <w:r w:rsidR="00573BA7">
        <w:t xml:space="preserve"> </w:t>
      </w:r>
      <w:r w:rsidRPr="003F4CE1">
        <w:t>specific</w:t>
      </w:r>
      <w:r w:rsidR="00573BA7">
        <w:t xml:space="preserve"> </w:t>
      </w:r>
      <w:r w:rsidRPr="003F4CE1">
        <w:t>adjustments</w:t>
      </w:r>
      <w:r w:rsidR="00573BA7">
        <w:t xml:space="preserve"> </w:t>
      </w:r>
      <w:r w:rsidRPr="003F4CE1">
        <w:t>that</w:t>
      </w:r>
      <w:r w:rsidR="00573BA7">
        <w:t xml:space="preserve"> </w:t>
      </w:r>
      <w:r w:rsidRPr="003F4CE1">
        <w:t>are</w:t>
      </w:r>
      <w:r w:rsidR="00573BA7">
        <w:t xml:space="preserve"> </w:t>
      </w:r>
      <w:r w:rsidRPr="003F4CE1">
        <w:t>not</w:t>
      </w:r>
      <w:r w:rsidR="00573BA7">
        <w:t xml:space="preserve"> </w:t>
      </w:r>
      <w:r w:rsidRPr="003F4CE1">
        <w:t>always</w:t>
      </w:r>
      <w:r w:rsidR="00573BA7">
        <w:t xml:space="preserve"> </w:t>
      </w:r>
      <w:r w:rsidRPr="003F4CE1">
        <w:t>responsive</w:t>
      </w:r>
      <w:r w:rsidR="00573BA7">
        <w:t xml:space="preserve"> </w:t>
      </w:r>
      <w:r w:rsidRPr="003F4CE1">
        <w:t>to</w:t>
      </w:r>
      <w:r w:rsidR="00573BA7">
        <w:t xml:space="preserve"> </w:t>
      </w:r>
      <w:r w:rsidRPr="003F4CE1">
        <w:t>an</w:t>
      </w:r>
      <w:r w:rsidR="00573BA7">
        <w:t xml:space="preserve"> </w:t>
      </w:r>
      <w:r w:rsidRPr="003F4CE1">
        <w:t>employer’s</w:t>
      </w:r>
      <w:r w:rsidR="00573BA7">
        <w:t xml:space="preserve"> </w:t>
      </w:r>
      <w:r w:rsidRPr="003F4CE1">
        <w:t>requirements.</w:t>
      </w:r>
      <w:r w:rsidR="006C2BC6" w:rsidRPr="003F4CE1">
        <w:rPr>
          <w:rStyle w:val="EndnoteReference"/>
          <w:rFonts w:cs="Open Sans"/>
        </w:rPr>
        <w:endnoteReference w:id="233"/>
      </w:r>
      <w:r w:rsidR="00573BA7">
        <w:t xml:space="preserve"> </w:t>
      </w:r>
      <w:r w:rsidRPr="003F4CE1">
        <w:t>Further,</w:t>
      </w:r>
      <w:r w:rsidR="00573BA7">
        <w:t xml:space="preserve"> </w:t>
      </w:r>
      <w:r w:rsidR="00A02414">
        <w:t>in</w:t>
      </w:r>
      <w:r w:rsidR="00573BA7">
        <w:t xml:space="preserve"> </w:t>
      </w:r>
      <w:r w:rsidR="00245F33">
        <w:t>Willing to Work</w:t>
      </w:r>
      <w:r w:rsidR="00A02414">
        <w:t>,</w:t>
      </w:r>
      <w:r w:rsidR="00573BA7">
        <w:t xml:space="preserve"> </w:t>
      </w:r>
      <w:r w:rsidR="00A02414">
        <w:t>the</w:t>
      </w:r>
      <w:r w:rsidR="00573BA7">
        <w:t xml:space="preserve"> </w:t>
      </w:r>
      <w:r w:rsidR="00A02414">
        <w:t>Commission</w:t>
      </w:r>
      <w:r w:rsidR="00573BA7">
        <w:t xml:space="preserve"> </w:t>
      </w:r>
      <w:r w:rsidRPr="003F4CE1">
        <w:t>also</w:t>
      </w:r>
      <w:r w:rsidR="00573BA7">
        <w:t xml:space="preserve"> </w:t>
      </w:r>
      <w:r w:rsidR="001443B9">
        <w:t>found</w:t>
      </w:r>
      <w:r w:rsidR="00573BA7">
        <w:t xml:space="preserve"> </w:t>
      </w:r>
      <w:r w:rsidRPr="003F4CE1">
        <w:t>that</w:t>
      </w:r>
      <w:r w:rsidR="00573BA7">
        <w:t xml:space="preserve"> </w:t>
      </w:r>
      <w:r w:rsidRPr="003F4CE1">
        <w:t>a</w:t>
      </w:r>
      <w:r w:rsidR="00573BA7">
        <w:t xml:space="preserve"> </w:t>
      </w:r>
      <w:r w:rsidRPr="003F4CE1">
        <w:t>lack</w:t>
      </w:r>
      <w:r w:rsidR="00573BA7">
        <w:t xml:space="preserve"> </w:t>
      </w:r>
      <w:r w:rsidRPr="003F4CE1">
        <w:t>of</w:t>
      </w:r>
      <w:r w:rsidR="00573BA7">
        <w:t xml:space="preserve"> </w:t>
      </w:r>
      <w:r w:rsidR="00A67794">
        <w:t xml:space="preserve">EAF funding for </w:t>
      </w:r>
      <w:r w:rsidRPr="003F4CE1">
        <w:t>reasonable</w:t>
      </w:r>
      <w:r w:rsidR="00573BA7">
        <w:t xml:space="preserve"> </w:t>
      </w:r>
      <w:r w:rsidRPr="003F4CE1">
        <w:t>adjustments</w:t>
      </w:r>
      <w:r w:rsidR="00573BA7">
        <w:t xml:space="preserve"> </w:t>
      </w:r>
      <w:r w:rsidR="00A67794">
        <w:t xml:space="preserve">to facilitate </w:t>
      </w:r>
      <w:r w:rsidR="00A67794" w:rsidRPr="003F4CE1">
        <w:t>work</w:t>
      </w:r>
      <w:r w:rsidR="00A67794">
        <w:t xml:space="preserve"> </w:t>
      </w:r>
      <w:r w:rsidR="00A67794" w:rsidRPr="003F4CE1">
        <w:t>experience</w:t>
      </w:r>
      <w:r w:rsidR="00A67794">
        <w:t xml:space="preserve"> </w:t>
      </w:r>
      <w:r w:rsidR="00A67794" w:rsidRPr="003F4CE1">
        <w:t>and</w:t>
      </w:r>
      <w:r w:rsidR="00A67794">
        <w:t xml:space="preserve"> </w:t>
      </w:r>
      <w:r w:rsidR="00A67794" w:rsidRPr="003F4CE1">
        <w:t xml:space="preserve">internships </w:t>
      </w:r>
      <w:r w:rsidRPr="003F4CE1">
        <w:t>can</w:t>
      </w:r>
      <w:r w:rsidR="00573BA7">
        <w:t xml:space="preserve"> </w:t>
      </w:r>
      <w:r w:rsidRPr="003F4CE1">
        <w:t>hinder</w:t>
      </w:r>
      <w:r w:rsidR="00573BA7">
        <w:t xml:space="preserve"> </w:t>
      </w:r>
      <w:r w:rsidRPr="003F4CE1">
        <w:t>access</w:t>
      </w:r>
      <w:r w:rsidR="00573BA7">
        <w:t xml:space="preserve"> </w:t>
      </w:r>
      <w:r w:rsidRPr="003F4CE1">
        <w:t>to</w:t>
      </w:r>
      <w:r w:rsidR="00573BA7">
        <w:t xml:space="preserve"> </w:t>
      </w:r>
      <w:r w:rsidRPr="003F4CE1">
        <w:t>important</w:t>
      </w:r>
      <w:r w:rsidR="00573BA7">
        <w:t xml:space="preserve"> </w:t>
      </w:r>
      <w:r w:rsidRPr="003F4CE1">
        <w:t>pathway</w:t>
      </w:r>
      <w:r w:rsidR="00A67794">
        <w:t>s</w:t>
      </w:r>
      <w:r w:rsidR="00573BA7">
        <w:t xml:space="preserve"> </w:t>
      </w:r>
      <w:r w:rsidRPr="003F4CE1">
        <w:t>to</w:t>
      </w:r>
      <w:r w:rsidR="00573BA7">
        <w:t xml:space="preserve"> </w:t>
      </w:r>
      <w:r w:rsidRPr="003F4CE1">
        <w:t>employment</w:t>
      </w:r>
      <w:r w:rsidR="00573BA7">
        <w:t xml:space="preserve"> </w:t>
      </w:r>
      <w:r w:rsidRPr="003F4CE1">
        <w:t>for</w:t>
      </w:r>
      <w:r w:rsidR="00573BA7">
        <w:t xml:space="preserve"> </w:t>
      </w:r>
      <w:r w:rsidRPr="003F4CE1">
        <w:t>young</w:t>
      </w:r>
      <w:r w:rsidR="00573BA7">
        <w:t xml:space="preserve"> </w:t>
      </w:r>
      <w:r w:rsidRPr="003F4CE1">
        <w:t>people</w:t>
      </w:r>
      <w:r w:rsidR="00573BA7">
        <w:t xml:space="preserve"> </w:t>
      </w:r>
      <w:r w:rsidRPr="003F4CE1">
        <w:t>with</w:t>
      </w:r>
      <w:r w:rsidR="00573BA7">
        <w:t xml:space="preserve"> </w:t>
      </w:r>
      <w:r w:rsidRPr="003F4CE1">
        <w:t>disability.</w:t>
      </w:r>
      <w:r w:rsidR="00854DCE" w:rsidRPr="003F4CE1">
        <w:rPr>
          <w:rStyle w:val="EndnoteReference"/>
          <w:rFonts w:cs="Open Sans"/>
        </w:rPr>
        <w:endnoteReference w:id="234"/>
      </w:r>
      <w:r w:rsidR="00292C48">
        <w:t xml:space="preserve"> </w:t>
      </w:r>
    </w:p>
    <w:p w14:paraId="40BCF71C" w14:textId="19A40914" w:rsidR="00011227" w:rsidRPr="003F4CE1" w:rsidRDefault="00011227" w:rsidP="00011227">
      <w:pPr>
        <w:pStyle w:val="ListNumber"/>
      </w:pPr>
      <w:r>
        <w:t xml:space="preserve">Overall, the Commission is concerned that, despite making several recommendations in </w:t>
      </w:r>
      <w:r w:rsidR="00245F33">
        <w:t>Willing to Work</w:t>
      </w:r>
      <w:r>
        <w:t xml:space="preserve"> for reforms to JobAccess and the EAF, none of those recommendations were reflected in the latest version of the EAF Guidelines, issued in January 2018. Accordingly, the Commission reiterates those recommendations.</w:t>
      </w:r>
    </w:p>
    <w:p w14:paraId="15A29DBC" w14:textId="77777777" w:rsidR="00280AC7" w:rsidRPr="00401DE5" w:rsidRDefault="00280AC7" w:rsidP="00280AC7">
      <w:pPr>
        <w:pStyle w:val="ListNumber"/>
        <w:rPr>
          <w:b/>
          <w:bCs/>
          <w:i/>
          <w:iCs/>
        </w:rPr>
      </w:pPr>
      <w:r w:rsidRPr="00401DE5">
        <w:rPr>
          <w:b/>
          <w:bCs/>
          <w:i/>
          <w:iCs/>
        </w:rPr>
        <w:t xml:space="preserve">Recommendation 13: To improve access to reasonable workplace adjustments for people with disability, the Australian Government: </w:t>
      </w:r>
    </w:p>
    <w:p w14:paraId="1A89E0D5" w14:textId="77777777" w:rsidR="00280AC7" w:rsidRPr="00401DE5" w:rsidRDefault="00280AC7" w:rsidP="00280AC7">
      <w:pPr>
        <w:pStyle w:val="ListNumber"/>
        <w:numPr>
          <w:ilvl w:val="0"/>
          <w:numId w:val="50"/>
        </w:numPr>
        <w:rPr>
          <w:rFonts w:cs="Open Sans"/>
          <w:b/>
          <w:bCs/>
          <w:i/>
          <w:iCs/>
        </w:rPr>
      </w:pPr>
      <w:r w:rsidRPr="00401DE5">
        <w:rPr>
          <w:rFonts w:cs="Open Sans"/>
          <w:b/>
          <w:bCs/>
          <w:i/>
          <w:iCs/>
        </w:rPr>
        <w:t xml:space="preserve">expand the Employment Assistance Fund to support work experience and internships, to enable greater job readiness for people with disability </w:t>
      </w:r>
    </w:p>
    <w:p w14:paraId="36831350" w14:textId="77777777" w:rsidR="00280AC7" w:rsidRPr="00401DE5" w:rsidRDefault="00280AC7" w:rsidP="00280AC7">
      <w:pPr>
        <w:pStyle w:val="ListNumber"/>
        <w:numPr>
          <w:ilvl w:val="0"/>
          <w:numId w:val="50"/>
        </w:numPr>
        <w:rPr>
          <w:rFonts w:cs="Open Sans"/>
          <w:b/>
          <w:bCs/>
          <w:i/>
          <w:iCs/>
        </w:rPr>
      </w:pPr>
      <w:r w:rsidRPr="00401DE5">
        <w:rPr>
          <w:rFonts w:cs="Open Sans"/>
          <w:b/>
          <w:bCs/>
          <w:i/>
          <w:iCs/>
        </w:rPr>
        <w:t xml:space="preserve">increase the funding available through the Employment Assistance Fund for Auslan interpreting and captioning </w:t>
      </w:r>
    </w:p>
    <w:p w14:paraId="79282F11" w14:textId="53D47DB5" w:rsidR="00280AC7" w:rsidRPr="00401DE5" w:rsidRDefault="00280AC7" w:rsidP="00401DE5">
      <w:pPr>
        <w:pStyle w:val="ListNumber"/>
        <w:numPr>
          <w:ilvl w:val="0"/>
          <w:numId w:val="50"/>
        </w:numPr>
        <w:rPr>
          <w:rFonts w:cs="Open Sans"/>
          <w:b/>
          <w:bCs/>
          <w:i/>
          <w:iCs/>
        </w:rPr>
      </w:pPr>
      <w:r w:rsidRPr="00401DE5">
        <w:rPr>
          <w:rFonts w:cs="Open Sans"/>
          <w:b/>
          <w:bCs/>
          <w:i/>
          <w:iCs/>
        </w:rPr>
        <w:t xml:space="preserve">change the process for obtaining funding for reasonable adjustments so that adjustments are paid for directly by JobAccess. </w:t>
      </w:r>
    </w:p>
    <w:p w14:paraId="668DA92F" w14:textId="77777777" w:rsidR="00E84A44" w:rsidRPr="00AF3B66" w:rsidRDefault="00E84A44" w:rsidP="00E84A44">
      <w:pPr>
        <w:pStyle w:val="ListNumber"/>
        <w:rPr>
          <w:b/>
          <w:bCs/>
          <w:i/>
          <w:iCs/>
          <w:lang w:eastAsia="en-GB"/>
        </w:rPr>
      </w:pPr>
      <w:r w:rsidRPr="00AF3B66">
        <w:rPr>
          <w:b/>
          <w:bCs/>
          <w:i/>
          <w:iCs/>
        </w:rPr>
        <w:t>Recommendation 14: The Australian Government develop a campaign to increase employee and employer awareness of government supports available through Disability Employment Services, JobAccess, the Employee Assistance Fund and the National Disability Recruitment Coordinator.</w:t>
      </w:r>
    </w:p>
    <w:p w14:paraId="4C084193" w14:textId="55179A90" w:rsidR="00011227" w:rsidRDefault="00245F33" w:rsidP="00011227">
      <w:pPr>
        <w:pStyle w:val="ListNumber"/>
      </w:pPr>
      <w:r>
        <w:t>Willing to Work</w:t>
      </w:r>
      <w:r w:rsidR="00573BA7">
        <w:t xml:space="preserve"> </w:t>
      </w:r>
      <w:r w:rsidR="004424F6" w:rsidRPr="000C451A">
        <w:t>also</w:t>
      </w:r>
      <w:r w:rsidR="00573BA7">
        <w:t xml:space="preserve"> </w:t>
      </w:r>
      <w:r w:rsidR="004424F6" w:rsidRPr="003F4CE1">
        <w:t>identified</w:t>
      </w:r>
      <w:r w:rsidR="00573BA7">
        <w:t xml:space="preserve"> </w:t>
      </w:r>
      <w:r w:rsidR="004424F6" w:rsidRPr="003F4CE1">
        <w:t>chronic</w:t>
      </w:r>
      <w:r w:rsidR="00573BA7">
        <w:t xml:space="preserve"> </w:t>
      </w:r>
      <w:r w:rsidR="004424F6" w:rsidRPr="003F4CE1">
        <w:t>health</w:t>
      </w:r>
      <w:r w:rsidR="00573BA7">
        <w:t xml:space="preserve"> </w:t>
      </w:r>
      <w:r w:rsidR="004424F6" w:rsidRPr="003F4CE1">
        <w:t>conditions</w:t>
      </w:r>
      <w:r w:rsidR="00573BA7">
        <w:t xml:space="preserve"> </w:t>
      </w:r>
      <w:r w:rsidR="004424F6" w:rsidRPr="003F4CE1">
        <w:t>as</w:t>
      </w:r>
      <w:r w:rsidR="00573BA7">
        <w:t xml:space="preserve"> </w:t>
      </w:r>
      <w:r w:rsidR="001443B9">
        <w:t>a</w:t>
      </w:r>
      <w:r w:rsidR="00573BA7">
        <w:t xml:space="preserve"> </w:t>
      </w:r>
      <w:r w:rsidR="004424F6" w:rsidRPr="003F4CE1">
        <w:t>key</w:t>
      </w:r>
      <w:r w:rsidR="00573BA7">
        <w:t xml:space="preserve"> </w:t>
      </w:r>
      <w:r w:rsidR="004424F6" w:rsidRPr="003F4CE1">
        <w:t>gap</w:t>
      </w:r>
      <w:r w:rsidR="00573BA7">
        <w:t xml:space="preserve"> </w:t>
      </w:r>
      <w:r w:rsidR="004424F6" w:rsidRPr="003F4CE1">
        <w:t>in</w:t>
      </w:r>
      <w:r w:rsidR="00573BA7">
        <w:t xml:space="preserve"> </w:t>
      </w:r>
      <w:r w:rsidR="001443B9">
        <w:t>the</w:t>
      </w:r>
      <w:r w:rsidR="00573BA7">
        <w:t xml:space="preserve"> </w:t>
      </w:r>
      <w:r w:rsidR="001443B9">
        <w:t>advice</w:t>
      </w:r>
      <w:r w:rsidR="00573BA7">
        <w:t xml:space="preserve"> </w:t>
      </w:r>
      <w:r w:rsidR="004424F6">
        <w:t>and</w:t>
      </w:r>
      <w:r w:rsidR="00573BA7">
        <w:t xml:space="preserve"> </w:t>
      </w:r>
      <w:r w:rsidR="001443B9">
        <w:t>funding</w:t>
      </w:r>
      <w:r w:rsidR="00573BA7">
        <w:t xml:space="preserve"> </w:t>
      </w:r>
      <w:r w:rsidR="001443B9">
        <w:t>provided</w:t>
      </w:r>
      <w:r w:rsidR="00573BA7">
        <w:t xml:space="preserve"> </w:t>
      </w:r>
      <w:r w:rsidR="001443B9">
        <w:t>by</w:t>
      </w:r>
      <w:r w:rsidR="00573BA7">
        <w:t xml:space="preserve"> </w:t>
      </w:r>
      <w:r w:rsidR="004424F6" w:rsidRPr="003F4CE1">
        <w:t>EAF</w:t>
      </w:r>
      <w:r w:rsidR="00573BA7">
        <w:t xml:space="preserve"> </w:t>
      </w:r>
      <w:r w:rsidR="004424F6" w:rsidRPr="003F4CE1">
        <w:t>and</w:t>
      </w:r>
      <w:r w:rsidR="00573BA7">
        <w:t xml:space="preserve"> </w:t>
      </w:r>
      <w:r w:rsidR="004424F6" w:rsidRPr="003F4CE1">
        <w:t>JobAccess.</w:t>
      </w:r>
      <w:r w:rsidR="00011227">
        <w:rPr>
          <w:rStyle w:val="EndnoteReference"/>
        </w:rPr>
        <w:endnoteReference w:id="235"/>
      </w:r>
      <w:r w:rsidR="00573BA7">
        <w:t xml:space="preserve"> </w:t>
      </w:r>
      <w:r w:rsidR="004424F6" w:rsidRPr="003F4CE1">
        <w:t>The</w:t>
      </w:r>
      <w:r w:rsidR="00573BA7">
        <w:t xml:space="preserve"> </w:t>
      </w:r>
      <w:r w:rsidR="004424F6" w:rsidRPr="003F4CE1">
        <w:t>Australian</w:t>
      </w:r>
      <w:r w:rsidR="00573BA7">
        <w:t xml:space="preserve"> </w:t>
      </w:r>
      <w:r w:rsidR="004424F6" w:rsidRPr="003F4CE1">
        <w:t>Institute</w:t>
      </w:r>
      <w:r w:rsidR="00573BA7">
        <w:t xml:space="preserve"> </w:t>
      </w:r>
      <w:r w:rsidR="004424F6" w:rsidRPr="003F4CE1">
        <w:t>of</w:t>
      </w:r>
      <w:r w:rsidR="00573BA7">
        <w:t xml:space="preserve"> </w:t>
      </w:r>
      <w:r w:rsidR="004424F6" w:rsidRPr="003F4CE1">
        <w:t>Health</w:t>
      </w:r>
      <w:r w:rsidR="00573BA7">
        <w:t xml:space="preserve"> </w:t>
      </w:r>
      <w:r w:rsidR="004424F6" w:rsidRPr="003F4CE1">
        <w:t>and</w:t>
      </w:r>
      <w:r w:rsidR="00573BA7">
        <w:t xml:space="preserve"> </w:t>
      </w:r>
      <w:r w:rsidR="004424F6" w:rsidRPr="003F4CE1">
        <w:t>Welfare</w:t>
      </w:r>
      <w:r w:rsidR="00573BA7">
        <w:t xml:space="preserve"> </w:t>
      </w:r>
      <w:r w:rsidR="004424F6" w:rsidRPr="003F4CE1">
        <w:t>estimates</w:t>
      </w:r>
      <w:r w:rsidR="00573BA7">
        <w:t xml:space="preserve"> </w:t>
      </w:r>
      <w:r w:rsidR="004424F6" w:rsidRPr="003F4CE1">
        <w:t>that</w:t>
      </w:r>
      <w:r w:rsidR="00573BA7">
        <w:t xml:space="preserve"> </w:t>
      </w:r>
      <w:r w:rsidR="004424F6" w:rsidRPr="003F4CE1">
        <w:t>54%</w:t>
      </w:r>
      <w:r w:rsidR="00573BA7">
        <w:t xml:space="preserve"> </w:t>
      </w:r>
      <w:r w:rsidR="004424F6" w:rsidRPr="003F4CE1">
        <w:t>of</w:t>
      </w:r>
      <w:r w:rsidR="00573BA7">
        <w:t xml:space="preserve"> </w:t>
      </w:r>
      <w:r w:rsidR="00F03E33" w:rsidRPr="003F4CE1">
        <w:t>people</w:t>
      </w:r>
      <w:r w:rsidR="00573BA7">
        <w:t xml:space="preserve"> </w:t>
      </w:r>
      <w:r w:rsidR="00F03E33" w:rsidRPr="003F4CE1">
        <w:t>aged</w:t>
      </w:r>
      <w:r w:rsidR="00573BA7">
        <w:t xml:space="preserve"> </w:t>
      </w:r>
      <w:r w:rsidR="004424F6" w:rsidRPr="003F4CE1">
        <w:t>55–64</w:t>
      </w:r>
      <w:r w:rsidR="00573BA7">
        <w:t xml:space="preserve"> </w:t>
      </w:r>
      <w:r w:rsidR="004424F6" w:rsidRPr="003F4CE1">
        <w:t>year</w:t>
      </w:r>
      <w:r w:rsidR="00F03E33" w:rsidRPr="003F4CE1">
        <w:t>s</w:t>
      </w:r>
      <w:r w:rsidR="00573BA7">
        <w:t xml:space="preserve"> </w:t>
      </w:r>
      <w:r w:rsidR="004424F6" w:rsidRPr="003F4CE1">
        <w:t>old</w:t>
      </w:r>
      <w:r w:rsidR="00573BA7">
        <w:t xml:space="preserve"> </w:t>
      </w:r>
      <w:r w:rsidR="004424F6" w:rsidRPr="003F4CE1">
        <w:t>have</w:t>
      </w:r>
      <w:r w:rsidR="00573BA7">
        <w:t xml:space="preserve"> </w:t>
      </w:r>
      <w:r w:rsidR="004424F6" w:rsidRPr="003F4CE1">
        <w:t>one</w:t>
      </w:r>
      <w:r w:rsidR="00573BA7">
        <w:t xml:space="preserve"> </w:t>
      </w:r>
      <w:r w:rsidR="004424F6" w:rsidRPr="003F4CE1">
        <w:t>or</w:t>
      </w:r>
      <w:r w:rsidR="00573BA7">
        <w:t xml:space="preserve"> </w:t>
      </w:r>
      <w:r w:rsidR="004424F6" w:rsidRPr="003F4CE1">
        <w:t>more</w:t>
      </w:r>
      <w:r w:rsidR="00573BA7">
        <w:t xml:space="preserve"> </w:t>
      </w:r>
      <w:r w:rsidR="004424F6" w:rsidRPr="003F4CE1">
        <w:t>chronic</w:t>
      </w:r>
      <w:r w:rsidR="00573BA7">
        <w:t xml:space="preserve"> </w:t>
      </w:r>
      <w:r w:rsidR="004424F6" w:rsidRPr="003F4CE1">
        <w:t>health</w:t>
      </w:r>
      <w:r w:rsidR="00573BA7">
        <w:t xml:space="preserve"> </w:t>
      </w:r>
      <w:r w:rsidR="004424F6" w:rsidRPr="003F4CE1">
        <w:t>conditions,</w:t>
      </w:r>
      <w:r w:rsidR="00573BA7">
        <w:t xml:space="preserve"> </w:t>
      </w:r>
      <w:r w:rsidR="004424F6" w:rsidRPr="003F4CE1">
        <w:t>compared</w:t>
      </w:r>
      <w:r w:rsidR="00573BA7">
        <w:t xml:space="preserve"> </w:t>
      </w:r>
      <w:r w:rsidR="004424F6" w:rsidRPr="003F4CE1">
        <w:t>with</w:t>
      </w:r>
      <w:r w:rsidR="00573BA7">
        <w:t xml:space="preserve"> </w:t>
      </w:r>
      <w:r w:rsidR="004424F6" w:rsidRPr="003F4CE1">
        <w:t>21%</w:t>
      </w:r>
      <w:r w:rsidR="00573BA7">
        <w:t xml:space="preserve"> </w:t>
      </w:r>
      <w:r w:rsidR="004424F6" w:rsidRPr="003F4CE1">
        <w:t>of</w:t>
      </w:r>
      <w:r w:rsidR="00573BA7">
        <w:t xml:space="preserve"> </w:t>
      </w:r>
      <w:r w:rsidR="004424F6" w:rsidRPr="003F4CE1">
        <w:t>people</w:t>
      </w:r>
      <w:r w:rsidR="00573BA7">
        <w:t xml:space="preserve"> </w:t>
      </w:r>
      <w:r w:rsidR="004424F6" w:rsidRPr="003F4CE1">
        <w:t>aged</w:t>
      </w:r>
      <w:r w:rsidR="00573BA7">
        <w:t xml:space="preserve"> </w:t>
      </w:r>
      <w:r w:rsidR="004424F6" w:rsidRPr="003F4CE1">
        <w:t>25–34</w:t>
      </w:r>
      <w:r w:rsidR="00573BA7">
        <w:t xml:space="preserve"> </w:t>
      </w:r>
      <w:r w:rsidR="004424F6" w:rsidRPr="003F4CE1">
        <w:t>years.</w:t>
      </w:r>
      <w:r w:rsidR="009C7B33" w:rsidRPr="003F4CE1">
        <w:rPr>
          <w:rStyle w:val="EndnoteReference"/>
          <w:rFonts w:cs="Open Sans"/>
        </w:rPr>
        <w:endnoteReference w:id="236"/>
      </w:r>
      <w:r w:rsidR="00573BA7">
        <w:t xml:space="preserve"> </w:t>
      </w:r>
      <w:r w:rsidR="004424F6" w:rsidRPr="003F4CE1">
        <w:t>People</w:t>
      </w:r>
      <w:r w:rsidR="00573BA7">
        <w:t xml:space="preserve"> </w:t>
      </w:r>
      <w:r w:rsidR="004424F6" w:rsidRPr="003F4CE1">
        <w:t>with</w:t>
      </w:r>
      <w:r w:rsidR="00573BA7">
        <w:t xml:space="preserve"> </w:t>
      </w:r>
      <w:r w:rsidR="004424F6" w:rsidRPr="003F4CE1">
        <w:t>chronic</w:t>
      </w:r>
      <w:r w:rsidR="00573BA7">
        <w:t xml:space="preserve"> </w:t>
      </w:r>
      <w:r w:rsidR="004424F6" w:rsidRPr="003F4CE1">
        <w:t>conditions</w:t>
      </w:r>
      <w:r w:rsidR="00573BA7">
        <w:t xml:space="preserve"> </w:t>
      </w:r>
      <w:r w:rsidR="004424F6" w:rsidRPr="003F4CE1">
        <w:t>are</w:t>
      </w:r>
      <w:r w:rsidR="00573BA7">
        <w:t xml:space="preserve"> </w:t>
      </w:r>
      <w:r w:rsidR="00F03E33" w:rsidRPr="003F4CE1">
        <w:t>also</w:t>
      </w:r>
      <w:r w:rsidR="00573BA7">
        <w:t xml:space="preserve"> </w:t>
      </w:r>
      <w:r w:rsidR="004424F6" w:rsidRPr="003F4CE1">
        <w:t>less</w:t>
      </w:r>
      <w:r w:rsidR="00573BA7">
        <w:t xml:space="preserve"> </w:t>
      </w:r>
      <w:r w:rsidR="004424F6" w:rsidRPr="003F4CE1">
        <w:t>likely</w:t>
      </w:r>
      <w:r w:rsidR="00573BA7">
        <w:t xml:space="preserve"> </w:t>
      </w:r>
      <w:r w:rsidR="004424F6" w:rsidRPr="003F4CE1">
        <w:t>to</w:t>
      </w:r>
      <w:r w:rsidR="00573BA7">
        <w:t xml:space="preserve"> </w:t>
      </w:r>
      <w:r w:rsidR="004424F6" w:rsidRPr="003F4CE1">
        <w:t>be</w:t>
      </w:r>
      <w:r w:rsidR="00573BA7">
        <w:t xml:space="preserve"> </w:t>
      </w:r>
      <w:r w:rsidR="004424F6" w:rsidRPr="003F4CE1">
        <w:t>in</w:t>
      </w:r>
      <w:r w:rsidR="00573BA7">
        <w:t xml:space="preserve"> </w:t>
      </w:r>
      <w:r w:rsidR="004424F6" w:rsidRPr="003F4CE1">
        <w:t>employment</w:t>
      </w:r>
      <w:r w:rsidR="00573BA7">
        <w:t xml:space="preserve"> </w:t>
      </w:r>
      <w:r w:rsidR="004424F6" w:rsidRPr="003F4CE1">
        <w:t>than</w:t>
      </w:r>
      <w:r w:rsidR="00573BA7">
        <w:t xml:space="preserve"> </w:t>
      </w:r>
      <w:r w:rsidR="004424F6" w:rsidRPr="003F4CE1">
        <w:t>those</w:t>
      </w:r>
      <w:r w:rsidR="00573BA7">
        <w:t xml:space="preserve"> </w:t>
      </w:r>
      <w:r w:rsidR="004424F6" w:rsidRPr="003F4CE1">
        <w:t>without</w:t>
      </w:r>
      <w:r w:rsidR="00573BA7">
        <w:t xml:space="preserve"> </w:t>
      </w:r>
      <w:r w:rsidR="004424F6" w:rsidRPr="003F4CE1">
        <w:t>a</w:t>
      </w:r>
      <w:r w:rsidR="00573BA7">
        <w:t xml:space="preserve"> </w:t>
      </w:r>
      <w:r w:rsidR="004424F6" w:rsidRPr="003F4CE1">
        <w:t>chronic</w:t>
      </w:r>
      <w:r w:rsidR="00573BA7">
        <w:t xml:space="preserve"> </w:t>
      </w:r>
      <w:r w:rsidR="004424F6" w:rsidRPr="003F4CE1">
        <w:t>condition.</w:t>
      </w:r>
      <w:r w:rsidR="00CA3D53" w:rsidRPr="003F4CE1">
        <w:rPr>
          <w:rStyle w:val="EndnoteReference"/>
          <w:rFonts w:cs="Open Sans"/>
        </w:rPr>
        <w:endnoteReference w:id="237"/>
      </w:r>
      <w:r w:rsidR="00573BA7">
        <w:t xml:space="preserve"> </w:t>
      </w:r>
      <w:r w:rsidR="004424F6" w:rsidRPr="003F4CE1">
        <w:t>The</w:t>
      </w:r>
      <w:r w:rsidR="00573BA7">
        <w:t xml:space="preserve"> </w:t>
      </w:r>
      <w:r w:rsidR="004424F6" w:rsidRPr="003F4CE1">
        <w:t>cost</w:t>
      </w:r>
      <w:r w:rsidR="00573BA7">
        <w:t xml:space="preserve"> </w:t>
      </w:r>
      <w:r w:rsidR="004424F6" w:rsidRPr="003F4CE1">
        <w:t>of</w:t>
      </w:r>
      <w:r w:rsidR="00573BA7">
        <w:t xml:space="preserve"> </w:t>
      </w:r>
      <w:r w:rsidR="004424F6" w:rsidRPr="003F4CE1">
        <w:t>lost</w:t>
      </w:r>
      <w:r w:rsidR="00573BA7">
        <w:t xml:space="preserve"> </w:t>
      </w:r>
      <w:r w:rsidR="004424F6" w:rsidRPr="003F4CE1">
        <w:t>workforce</w:t>
      </w:r>
      <w:r w:rsidR="00573BA7">
        <w:t xml:space="preserve"> </w:t>
      </w:r>
      <w:r w:rsidR="004424F6" w:rsidRPr="003F4CE1">
        <w:t>participation</w:t>
      </w:r>
      <w:r w:rsidR="00573BA7">
        <w:t xml:space="preserve"> </w:t>
      </w:r>
      <w:r w:rsidR="004424F6" w:rsidRPr="003F4CE1">
        <w:t>due</w:t>
      </w:r>
      <w:r w:rsidR="00573BA7">
        <w:t xml:space="preserve"> </w:t>
      </w:r>
      <w:r w:rsidR="004424F6" w:rsidRPr="003F4CE1">
        <w:t>to</w:t>
      </w:r>
      <w:r w:rsidR="00573BA7">
        <w:t xml:space="preserve"> </w:t>
      </w:r>
      <w:r w:rsidR="004424F6" w:rsidRPr="003F4CE1">
        <w:t>chronic</w:t>
      </w:r>
      <w:r w:rsidR="00573BA7">
        <w:t xml:space="preserve"> </w:t>
      </w:r>
      <w:r w:rsidR="004424F6" w:rsidRPr="003F4CE1">
        <w:t>conditions</w:t>
      </w:r>
      <w:r w:rsidR="00573BA7">
        <w:t xml:space="preserve"> </w:t>
      </w:r>
      <w:r w:rsidR="004424F6" w:rsidRPr="003F4CE1">
        <w:t>is</w:t>
      </w:r>
      <w:r w:rsidR="00573BA7">
        <w:t xml:space="preserve"> </w:t>
      </w:r>
      <w:r w:rsidR="004424F6" w:rsidRPr="003F4CE1">
        <w:t>projected</w:t>
      </w:r>
      <w:r w:rsidR="00573BA7">
        <w:t xml:space="preserve"> </w:t>
      </w:r>
      <w:r w:rsidR="004424F6" w:rsidRPr="003F4CE1">
        <w:t>to</w:t>
      </w:r>
      <w:r w:rsidR="00573BA7">
        <w:t xml:space="preserve"> </w:t>
      </w:r>
      <w:r w:rsidR="004424F6" w:rsidRPr="003F4CE1">
        <w:t>exceed</w:t>
      </w:r>
      <w:r w:rsidR="00573BA7">
        <w:t xml:space="preserve"> </w:t>
      </w:r>
      <w:r w:rsidR="004424F6" w:rsidRPr="003F4CE1">
        <w:t>$60</w:t>
      </w:r>
      <w:r w:rsidR="00573BA7">
        <w:t xml:space="preserve"> </w:t>
      </w:r>
      <w:r w:rsidR="004424F6" w:rsidRPr="003F4CE1">
        <w:t>billion</w:t>
      </w:r>
      <w:r w:rsidR="00573BA7">
        <w:t xml:space="preserve"> </w:t>
      </w:r>
      <w:r w:rsidR="004424F6" w:rsidRPr="003F4CE1">
        <w:t>in</w:t>
      </w:r>
      <w:r w:rsidR="00573BA7">
        <w:t xml:space="preserve"> </w:t>
      </w:r>
      <w:r w:rsidR="004424F6" w:rsidRPr="003F4CE1">
        <w:t>foregone</w:t>
      </w:r>
      <w:r w:rsidR="00573BA7">
        <w:t xml:space="preserve"> </w:t>
      </w:r>
      <w:r w:rsidR="004424F6" w:rsidRPr="003F4CE1">
        <w:t>gross</w:t>
      </w:r>
      <w:r w:rsidR="00573BA7">
        <w:t xml:space="preserve"> </w:t>
      </w:r>
      <w:r w:rsidR="004424F6" w:rsidRPr="003F4CE1">
        <w:t>domestic</w:t>
      </w:r>
      <w:r w:rsidR="00573BA7">
        <w:t xml:space="preserve"> </w:t>
      </w:r>
      <w:r w:rsidR="004424F6" w:rsidRPr="003F4CE1">
        <w:t>product</w:t>
      </w:r>
      <w:r w:rsidR="00573BA7">
        <w:t xml:space="preserve"> </w:t>
      </w:r>
      <w:r w:rsidR="004424F6" w:rsidRPr="003F4CE1">
        <w:t>(GDP)</w:t>
      </w:r>
      <w:r w:rsidR="00573BA7">
        <w:t xml:space="preserve"> </w:t>
      </w:r>
      <w:r w:rsidR="004424F6" w:rsidRPr="003F4CE1">
        <w:t>by</w:t>
      </w:r>
      <w:r w:rsidR="00573BA7">
        <w:t xml:space="preserve"> </w:t>
      </w:r>
      <w:r w:rsidR="004424F6" w:rsidRPr="003F4CE1">
        <w:t>2030.</w:t>
      </w:r>
      <w:r w:rsidR="007D49E9" w:rsidRPr="003F4CE1">
        <w:rPr>
          <w:rStyle w:val="EndnoteReference"/>
          <w:rFonts w:cs="Open Sans"/>
        </w:rPr>
        <w:endnoteReference w:id="238"/>
      </w:r>
      <w:r w:rsidR="00573BA7">
        <w:t xml:space="preserve"> </w:t>
      </w:r>
    </w:p>
    <w:p w14:paraId="7E6EB91F" w14:textId="122A888C" w:rsidR="004424F6" w:rsidRPr="003F4CE1" w:rsidRDefault="00107F33">
      <w:pPr>
        <w:pStyle w:val="ListNumber"/>
      </w:pPr>
      <w:r>
        <w:t>Failing to provide reasonable accommodation for and prevent discrimination against people with chronic health conditions may contravene Australia’s obligations under Article 27(1) of the CRPD. Accordingly, t</w:t>
      </w:r>
      <w:r w:rsidR="004424F6">
        <w:t>he</w:t>
      </w:r>
      <w:r w:rsidR="00573BA7">
        <w:t xml:space="preserve"> </w:t>
      </w:r>
      <w:r w:rsidR="004424F6">
        <w:t>Commission</w:t>
      </w:r>
      <w:r w:rsidR="00573BA7">
        <w:t xml:space="preserve"> </w:t>
      </w:r>
      <w:r w:rsidR="004424F6">
        <w:t>encourages</w:t>
      </w:r>
      <w:r w:rsidR="00573BA7">
        <w:t xml:space="preserve"> </w:t>
      </w:r>
      <w:r w:rsidR="004424F6">
        <w:t>the</w:t>
      </w:r>
      <w:r w:rsidR="00573BA7">
        <w:t xml:space="preserve"> </w:t>
      </w:r>
      <w:r w:rsidR="004424F6">
        <w:t>Australian</w:t>
      </w:r>
      <w:r w:rsidR="00573BA7">
        <w:t xml:space="preserve"> </w:t>
      </w:r>
      <w:r w:rsidR="004424F6">
        <w:t>Government</w:t>
      </w:r>
      <w:r w:rsidR="00573BA7">
        <w:t xml:space="preserve"> </w:t>
      </w:r>
      <w:r w:rsidR="004424F6">
        <w:t>to</w:t>
      </w:r>
      <w:r w:rsidR="00573BA7">
        <w:t xml:space="preserve"> </w:t>
      </w:r>
      <w:r w:rsidR="004424F6">
        <w:t>consider</w:t>
      </w:r>
      <w:r w:rsidR="00573BA7">
        <w:t xml:space="preserve"> </w:t>
      </w:r>
      <w:r w:rsidR="004424F6">
        <w:t>how</w:t>
      </w:r>
      <w:r w:rsidR="00573BA7">
        <w:t xml:space="preserve"> </w:t>
      </w:r>
      <w:r w:rsidR="004424F6">
        <w:lastRenderedPageBreak/>
        <w:t>JobAccess</w:t>
      </w:r>
      <w:r w:rsidR="00573BA7">
        <w:t xml:space="preserve"> </w:t>
      </w:r>
      <w:r w:rsidR="004424F6">
        <w:t>and</w:t>
      </w:r>
      <w:r w:rsidR="00573BA7">
        <w:t xml:space="preserve"> </w:t>
      </w:r>
      <w:r w:rsidR="004424F6">
        <w:t>the</w:t>
      </w:r>
      <w:r w:rsidR="00573BA7">
        <w:t xml:space="preserve"> </w:t>
      </w:r>
      <w:r w:rsidR="004424F6">
        <w:t>EAF</w:t>
      </w:r>
      <w:r w:rsidR="00573BA7">
        <w:t xml:space="preserve"> </w:t>
      </w:r>
      <w:r w:rsidR="004424F6">
        <w:t>could</w:t>
      </w:r>
      <w:r w:rsidR="00573BA7">
        <w:t xml:space="preserve"> </w:t>
      </w:r>
      <w:r w:rsidR="004424F6">
        <w:t>better</w:t>
      </w:r>
      <w:r w:rsidR="00573BA7">
        <w:t xml:space="preserve"> </w:t>
      </w:r>
      <w:r w:rsidR="004424F6">
        <w:t>facilitate</w:t>
      </w:r>
      <w:r w:rsidR="00573BA7">
        <w:t xml:space="preserve"> </w:t>
      </w:r>
      <w:r w:rsidR="004424F6">
        <w:t>access</w:t>
      </w:r>
      <w:r w:rsidR="00573BA7">
        <w:t xml:space="preserve"> </w:t>
      </w:r>
      <w:r w:rsidR="004424F6">
        <w:t>to</w:t>
      </w:r>
      <w:r w:rsidR="00573BA7">
        <w:t xml:space="preserve"> </w:t>
      </w:r>
      <w:r w:rsidR="004424F6">
        <w:t>workplace</w:t>
      </w:r>
      <w:r w:rsidR="00573BA7">
        <w:t xml:space="preserve"> </w:t>
      </w:r>
      <w:r w:rsidR="004424F6">
        <w:t>adjustments</w:t>
      </w:r>
      <w:r w:rsidR="00573BA7">
        <w:t xml:space="preserve"> </w:t>
      </w:r>
      <w:r w:rsidR="004424F6">
        <w:t>for</w:t>
      </w:r>
      <w:r w:rsidR="00573BA7">
        <w:t xml:space="preserve"> </w:t>
      </w:r>
      <w:r w:rsidR="004424F6">
        <w:t>people</w:t>
      </w:r>
      <w:r w:rsidR="00573BA7">
        <w:t xml:space="preserve"> </w:t>
      </w:r>
      <w:r w:rsidR="004424F6">
        <w:t>with</w:t>
      </w:r>
      <w:r w:rsidR="00573BA7">
        <w:t xml:space="preserve"> </w:t>
      </w:r>
      <w:r w:rsidR="004424F6">
        <w:t>a</w:t>
      </w:r>
      <w:r w:rsidR="00573BA7">
        <w:t xml:space="preserve"> </w:t>
      </w:r>
      <w:r w:rsidR="004424F6">
        <w:t>chronic</w:t>
      </w:r>
      <w:r w:rsidR="00573BA7">
        <w:t xml:space="preserve"> </w:t>
      </w:r>
      <w:r w:rsidR="004424F6">
        <w:t>health</w:t>
      </w:r>
      <w:r w:rsidR="00573BA7">
        <w:t xml:space="preserve"> </w:t>
      </w:r>
      <w:r w:rsidR="004424F6">
        <w:t>condition.</w:t>
      </w:r>
    </w:p>
    <w:p w14:paraId="000D85B5" w14:textId="77777777" w:rsidR="00B57983" w:rsidRPr="00006C9F" w:rsidRDefault="00B57983" w:rsidP="00B57983">
      <w:pPr>
        <w:pStyle w:val="ListNumber"/>
        <w:rPr>
          <w:b/>
          <w:bCs/>
          <w:i/>
          <w:iCs/>
        </w:rPr>
      </w:pPr>
      <w:r w:rsidRPr="00006C9F">
        <w:rPr>
          <w:b/>
          <w:bCs/>
          <w:i/>
          <w:iCs/>
        </w:rPr>
        <w:t>Recommendation 15: To support continuing workforce participation and to improve access to workplace adjustments for people with chronic health conditions, the Australian Government:</w:t>
      </w:r>
    </w:p>
    <w:p w14:paraId="21CF237C" w14:textId="77777777" w:rsidR="00B57983" w:rsidRPr="00006C9F" w:rsidRDefault="00B57983" w:rsidP="00B57983">
      <w:pPr>
        <w:numPr>
          <w:ilvl w:val="0"/>
          <w:numId w:val="24"/>
        </w:numPr>
        <w:tabs>
          <w:tab w:val="clear" w:pos="720"/>
          <w:tab w:val="num" w:pos="1080"/>
        </w:tabs>
        <w:spacing w:before="0" w:after="0"/>
        <w:ind w:left="1080"/>
        <w:rPr>
          <w:rFonts w:cs="Open Sans"/>
          <w:b/>
          <w:bCs/>
          <w:i/>
          <w:iCs/>
        </w:rPr>
      </w:pPr>
      <w:r w:rsidRPr="00006C9F">
        <w:rPr>
          <w:rFonts w:cs="Open Sans"/>
          <w:b/>
          <w:bCs/>
          <w:i/>
          <w:iCs/>
        </w:rPr>
        <w:t xml:space="preserve">expand the Employment Assistance Fund to include training for managers and co-workers about employees with chronic health conditions </w:t>
      </w:r>
    </w:p>
    <w:p w14:paraId="2290FE67" w14:textId="77777777" w:rsidR="00B57983" w:rsidRPr="00006C9F" w:rsidRDefault="00B57983" w:rsidP="00B57983">
      <w:pPr>
        <w:numPr>
          <w:ilvl w:val="0"/>
          <w:numId w:val="24"/>
        </w:numPr>
        <w:tabs>
          <w:tab w:val="clear" w:pos="720"/>
          <w:tab w:val="num" w:pos="1080"/>
        </w:tabs>
        <w:spacing w:before="0" w:after="0"/>
        <w:ind w:left="1080"/>
        <w:rPr>
          <w:rFonts w:cs="Open Sans"/>
          <w:b/>
          <w:bCs/>
          <w:i/>
          <w:iCs/>
        </w:rPr>
      </w:pPr>
      <w:r w:rsidRPr="00006C9F">
        <w:rPr>
          <w:rFonts w:cs="Open Sans"/>
          <w:b/>
          <w:bCs/>
          <w:i/>
          <w:iCs/>
        </w:rPr>
        <w:t xml:space="preserve">develop information and resources provided by JobAccess that specifically address workplace adjustments for employees with chronic health conditions </w:t>
      </w:r>
    </w:p>
    <w:p w14:paraId="0B776FED" w14:textId="3F96621F" w:rsidR="00B57983" w:rsidRPr="00006C9F" w:rsidRDefault="00B57983" w:rsidP="00006C9F">
      <w:pPr>
        <w:numPr>
          <w:ilvl w:val="0"/>
          <w:numId w:val="25"/>
        </w:numPr>
        <w:tabs>
          <w:tab w:val="clear" w:pos="720"/>
          <w:tab w:val="num" w:pos="1080"/>
        </w:tabs>
        <w:spacing w:before="0" w:after="0"/>
        <w:ind w:left="1080"/>
        <w:rPr>
          <w:rFonts w:cs="Open Sans"/>
          <w:b/>
          <w:bCs/>
          <w:i/>
          <w:iCs/>
        </w:rPr>
      </w:pPr>
      <w:r w:rsidRPr="00006C9F">
        <w:rPr>
          <w:rFonts w:cs="Open Sans"/>
          <w:b/>
          <w:bCs/>
          <w:i/>
          <w:iCs/>
        </w:rPr>
        <w:t xml:space="preserve">review the current EAF guidelines to ensure they do not exclude people with chronic health conditions from accessing workplace adjustments. </w:t>
      </w:r>
    </w:p>
    <w:p w14:paraId="1ABE3C89" w14:textId="491FBBAD" w:rsidR="003355DD" w:rsidRPr="003F4CE1" w:rsidRDefault="00071582" w:rsidP="003355DD">
      <w:pPr>
        <w:pStyle w:val="Heading2"/>
        <w:rPr>
          <w:color w:val="000000" w:themeColor="text1"/>
          <w:lang w:eastAsia="en-GB"/>
        </w:rPr>
      </w:pPr>
      <w:bookmarkStart w:id="119" w:name="_Toc50730956"/>
      <w:bookmarkStart w:id="120" w:name="_Toc50730957"/>
      <w:bookmarkStart w:id="121" w:name="_Toc50730958"/>
      <w:bookmarkStart w:id="122" w:name="_Toc50730959"/>
      <w:bookmarkStart w:id="123" w:name="_Toc50730960"/>
      <w:bookmarkStart w:id="124" w:name="_Toc50730961"/>
      <w:bookmarkStart w:id="125" w:name="_Toc50730962"/>
      <w:bookmarkStart w:id="126" w:name="_Toc50730963"/>
      <w:bookmarkStart w:id="127" w:name="_Toc50730964"/>
      <w:bookmarkStart w:id="128" w:name="_Toc50730965"/>
      <w:bookmarkStart w:id="129" w:name="_Toc50730966"/>
      <w:bookmarkStart w:id="130" w:name="_Toc50730967"/>
      <w:bookmarkStart w:id="131" w:name="_Toc50730968"/>
      <w:bookmarkStart w:id="132" w:name="_Toc50730969"/>
      <w:bookmarkStart w:id="133" w:name="_Toc50730970"/>
      <w:bookmarkStart w:id="134" w:name="_Toc50730971"/>
      <w:bookmarkStart w:id="135" w:name="_Toc50730972"/>
      <w:bookmarkStart w:id="136" w:name="_Toc50730973"/>
      <w:bookmarkStart w:id="137" w:name="_Toc50730974"/>
      <w:bookmarkStart w:id="138" w:name="_Toc50730975"/>
      <w:bookmarkStart w:id="139" w:name="_Toc50730976"/>
      <w:bookmarkStart w:id="140" w:name="_Toc50730977"/>
      <w:bookmarkStart w:id="141" w:name="_Toc5183429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lang w:eastAsia="en-GB"/>
        </w:rPr>
        <w:t xml:space="preserve">Effectiveness of </w:t>
      </w:r>
      <w:r w:rsidR="003355DD" w:rsidRPr="003F4CE1">
        <w:rPr>
          <w:lang w:eastAsia="en-GB"/>
        </w:rPr>
        <w:t>National</w:t>
      </w:r>
      <w:r w:rsidR="00573BA7">
        <w:rPr>
          <w:lang w:eastAsia="en-GB"/>
        </w:rPr>
        <w:t xml:space="preserve"> </w:t>
      </w:r>
      <w:r w:rsidR="003355DD" w:rsidRPr="003F4CE1">
        <w:rPr>
          <w:lang w:eastAsia="en-GB"/>
        </w:rPr>
        <w:t>Disability</w:t>
      </w:r>
      <w:r w:rsidR="00573BA7">
        <w:rPr>
          <w:lang w:eastAsia="en-GB"/>
        </w:rPr>
        <w:t xml:space="preserve"> </w:t>
      </w:r>
      <w:r w:rsidR="003355DD" w:rsidRPr="003F4CE1">
        <w:rPr>
          <w:lang w:eastAsia="en-GB"/>
        </w:rPr>
        <w:t>Insurance</w:t>
      </w:r>
      <w:r w:rsidR="00573BA7">
        <w:rPr>
          <w:lang w:eastAsia="en-GB"/>
        </w:rPr>
        <w:t xml:space="preserve"> </w:t>
      </w:r>
      <w:r w:rsidR="003355DD" w:rsidRPr="003F4CE1">
        <w:rPr>
          <w:lang w:eastAsia="en-GB"/>
        </w:rPr>
        <w:t>Scheme</w:t>
      </w:r>
      <w:r w:rsidR="00573BA7">
        <w:rPr>
          <w:lang w:eastAsia="en-GB"/>
        </w:rPr>
        <w:t xml:space="preserve"> </w:t>
      </w:r>
      <w:r w:rsidR="003355DD" w:rsidRPr="003F4CE1">
        <w:rPr>
          <w:lang w:eastAsia="en-GB"/>
        </w:rPr>
        <w:t>employment</w:t>
      </w:r>
      <w:r w:rsidR="00573BA7">
        <w:rPr>
          <w:lang w:eastAsia="en-GB"/>
        </w:rPr>
        <w:t xml:space="preserve"> </w:t>
      </w:r>
      <w:r w:rsidR="003355DD" w:rsidRPr="003F4CE1">
        <w:rPr>
          <w:lang w:eastAsia="en-GB"/>
        </w:rPr>
        <w:t>supports</w:t>
      </w:r>
      <w:bookmarkEnd w:id="141"/>
    </w:p>
    <w:p w14:paraId="216B2FC0" w14:textId="61CA0157" w:rsidR="00071582" w:rsidRPr="00E9462E" w:rsidRDefault="00071582" w:rsidP="00071582">
      <w:pPr>
        <w:pStyle w:val="ListNumber"/>
        <w:rPr>
          <w:lang w:eastAsia="en-GB"/>
        </w:rPr>
      </w:pPr>
      <w:r w:rsidRPr="07069484">
        <w:rPr>
          <w:lang w:eastAsia="en-GB"/>
        </w:rPr>
        <w:t xml:space="preserve">This section addresses the effectiveness of the Australian Government’s employment supports offered to National Disability Insurance Scheme (NDIS) participants. These include </w:t>
      </w:r>
      <w:r w:rsidR="00EA3ECB" w:rsidRPr="07069484">
        <w:rPr>
          <w:lang w:eastAsia="en-GB"/>
        </w:rPr>
        <w:t>DES</w:t>
      </w:r>
      <w:r w:rsidRPr="07069484">
        <w:rPr>
          <w:lang w:eastAsia="en-GB"/>
        </w:rPr>
        <w:t xml:space="preserve">, JobAccess and the </w:t>
      </w:r>
      <w:r w:rsidR="00EA3ECB" w:rsidRPr="07069484">
        <w:rPr>
          <w:lang w:eastAsia="en-GB"/>
        </w:rPr>
        <w:t>EAF</w:t>
      </w:r>
      <w:r w:rsidRPr="07069484">
        <w:rPr>
          <w:lang w:eastAsia="en-GB"/>
        </w:rPr>
        <w:t xml:space="preserve">. This section responds to questions </w:t>
      </w:r>
      <w:r w:rsidR="000B26E0" w:rsidRPr="07069484">
        <w:rPr>
          <w:lang w:eastAsia="en-GB"/>
        </w:rPr>
        <w:t>two</w:t>
      </w:r>
      <w:r w:rsidRPr="07069484">
        <w:rPr>
          <w:lang w:eastAsia="en-GB"/>
        </w:rPr>
        <w:t xml:space="preserve">, </w:t>
      </w:r>
      <w:r w:rsidR="000B26E0" w:rsidRPr="07069484">
        <w:rPr>
          <w:lang w:eastAsia="en-GB"/>
        </w:rPr>
        <w:t>six</w:t>
      </w:r>
      <w:r w:rsidRPr="07069484">
        <w:rPr>
          <w:lang w:eastAsia="en-GB"/>
        </w:rPr>
        <w:t xml:space="preserve"> and </w:t>
      </w:r>
      <w:r w:rsidR="000B26E0" w:rsidRPr="07069484">
        <w:rPr>
          <w:lang w:eastAsia="en-GB"/>
        </w:rPr>
        <w:t>eight</w:t>
      </w:r>
      <w:r w:rsidRPr="07069484">
        <w:rPr>
          <w:lang w:eastAsia="en-GB"/>
        </w:rPr>
        <w:t xml:space="preserve"> of the Issues Paper.</w:t>
      </w:r>
    </w:p>
    <w:p w14:paraId="344FC8B4" w14:textId="12B545AA" w:rsidR="006638DB" w:rsidRPr="003F4CE1" w:rsidRDefault="003F0614" w:rsidP="00662F4B">
      <w:pPr>
        <w:pStyle w:val="ListNumber"/>
      </w:pPr>
      <w:r w:rsidRPr="003F4CE1">
        <w:t>Australia’s</w:t>
      </w:r>
      <w:r w:rsidR="00573BA7">
        <w:t xml:space="preserve"> </w:t>
      </w:r>
      <w:r w:rsidRPr="003F4CE1">
        <w:t>NDIS</w:t>
      </w:r>
      <w:r w:rsidR="00573BA7">
        <w:t xml:space="preserve"> </w:t>
      </w:r>
      <w:r w:rsidRPr="003F4CE1">
        <w:t>provides</w:t>
      </w:r>
      <w:r w:rsidR="00573BA7">
        <w:t xml:space="preserve"> </w:t>
      </w:r>
      <w:r w:rsidRPr="003F4CE1">
        <w:t>funding</w:t>
      </w:r>
      <w:r w:rsidR="00573BA7">
        <w:t xml:space="preserve"> </w:t>
      </w:r>
      <w:r w:rsidRPr="003F4CE1">
        <w:t>and</w:t>
      </w:r>
      <w:r w:rsidR="00573BA7">
        <w:t xml:space="preserve"> </w:t>
      </w:r>
      <w:r w:rsidRPr="003F4CE1">
        <w:t>supports</w:t>
      </w:r>
      <w:r w:rsidR="00573BA7">
        <w:t xml:space="preserve"> </w:t>
      </w:r>
      <w:r w:rsidRPr="003F4CE1">
        <w:t>to</w:t>
      </w:r>
      <w:r w:rsidR="00573BA7">
        <w:t xml:space="preserve"> </w:t>
      </w:r>
      <w:r w:rsidRPr="003F4CE1">
        <w:t>help</w:t>
      </w:r>
      <w:r w:rsidR="00573BA7">
        <w:t xml:space="preserve"> </w:t>
      </w:r>
      <w:r w:rsidRPr="003F4CE1">
        <w:t>people</w:t>
      </w:r>
      <w:r w:rsidR="00573BA7">
        <w:t xml:space="preserve"> </w:t>
      </w:r>
      <w:r w:rsidRPr="003F4CE1">
        <w:t>with</w:t>
      </w:r>
      <w:r w:rsidR="00573BA7">
        <w:t xml:space="preserve"> </w:t>
      </w:r>
      <w:r w:rsidRPr="003F4CE1">
        <w:t>disability</w:t>
      </w:r>
      <w:r w:rsidR="00573BA7">
        <w:t xml:space="preserve"> </w:t>
      </w:r>
      <w:r w:rsidRPr="003F4CE1">
        <w:t>pursue</w:t>
      </w:r>
      <w:r w:rsidR="00573BA7">
        <w:t xml:space="preserve"> </w:t>
      </w:r>
      <w:r w:rsidRPr="003F4CE1">
        <w:t>their</w:t>
      </w:r>
      <w:r w:rsidR="00573BA7">
        <w:t xml:space="preserve"> </w:t>
      </w:r>
      <w:r w:rsidRPr="003F4CE1">
        <w:t>goals,</w:t>
      </w:r>
      <w:r w:rsidR="00573BA7">
        <w:t xml:space="preserve"> </w:t>
      </w:r>
      <w:r w:rsidRPr="003F4CE1">
        <w:t>increase</w:t>
      </w:r>
      <w:r w:rsidR="00573BA7">
        <w:t xml:space="preserve"> </w:t>
      </w:r>
      <w:r w:rsidRPr="003F4CE1">
        <w:t>their</w:t>
      </w:r>
      <w:r w:rsidR="00573BA7">
        <w:t xml:space="preserve"> </w:t>
      </w:r>
      <w:r w:rsidRPr="003F4CE1">
        <w:t>independence</w:t>
      </w:r>
      <w:r w:rsidR="00573BA7">
        <w:t xml:space="preserve"> </w:t>
      </w:r>
      <w:r w:rsidRPr="003F4CE1">
        <w:t>and</w:t>
      </w:r>
      <w:r w:rsidR="00573BA7">
        <w:t xml:space="preserve"> </w:t>
      </w:r>
      <w:r w:rsidR="000326F9">
        <w:t>improve</w:t>
      </w:r>
      <w:r w:rsidR="00573BA7">
        <w:t xml:space="preserve"> </w:t>
      </w:r>
      <w:r w:rsidRPr="003F4CE1">
        <w:t>social</w:t>
      </w:r>
      <w:r w:rsidR="00573BA7">
        <w:t xml:space="preserve"> </w:t>
      </w:r>
      <w:r w:rsidRPr="003F4CE1">
        <w:t>participation.</w:t>
      </w:r>
      <w:r w:rsidR="00573BA7">
        <w:t xml:space="preserve"> </w:t>
      </w:r>
      <w:r w:rsidRPr="003F4CE1">
        <w:t>Improving</w:t>
      </w:r>
      <w:r w:rsidR="00573BA7">
        <w:t xml:space="preserve"> </w:t>
      </w:r>
      <w:r w:rsidRPr="003F4CE1">
        <w:t>economic</w:t>
      </w:r>
      <w:r w:rsidR="00573BA7">
        <w:t xml:space="preserve"> </w:t>
      </w:r>
      <w:r w:rsidRPr="003F4CE1">
        <w:t>and</w:t>
      </w:r>
      <w:r w:rsidR="00573BA7">
        <w:t xml:space="preserve"> </w:t>
      </w:r>
      <w:r w:rsidRPr="003F4CE1">
        <w:t>employment</w:t>
      </w:r>
      <w:r w:rsidR="00573BA7">
        <w:t xml:space="preserve"> </w:t>
      </w:r>
      <w:r w:rsidRPr="003F4CE1">
        <w:t>outcomes</w:t>
      </w:r>
      <w:r w:rsidR="00573BA7">
        <w:t xml:space="preserve"> </w:t>
      </w:r>
      <w:r w:rsidRPr="003F4CE1">
        <w:t>for</w:t>
      </w:r>
      <w:r w:rsidR="00573BA7">
        <w:t xml:space="preserve"> </w:t>
      </w:r>
      <w:r w:rsidRPr="003F4CE1">
        <w:t>participants</w:t>
      </w:r>
      <w:r w:rsidR="00573BA7">
        <w:t xml:space="preserve"> </w:t>
      </w:r>
      <w:r w:rsidRPr="003F4CE1">
        <w:t>is</w:t>
      </w:r>
      <w:r w:rsidR="00573BA7">
        <w:t xml:space="preserve"> </w:t>
      </w:r>
      <w:r w:rsidRPr="003F4CE1">
        <w:t>a</w:t>
      </w:r>
      <w:r w:rsidR="00573BA7">
        <w:t xml:space="preserve"> </w:t>
      </w:r>
      <w:r w:rsidRPr="003F4CE1">
        <w:t>key</w:t>
      </w:r>
      <w:r w:rsidR="00573BA7">
        <w:t xml:space="preserve"> </w:t>
      </w:r>
      <w:r w:rsidRPr="003F4CE1">
        <w:t>objective</w:t>
      </w:r>
      <w:r w:rsidR="00573BA7">
        <w:t xml:space="preserve"> </w:t>
      </w:r>
      <w:r w:rsidRPr="003F4CE1">
        <w:t>of</w:t>
      </w:r>
      <w:r w:rsidR="00573BA7">
        <w:t xml:space="preserve"> </w:t>
      </w:r>
      <w:r w:rsidRPr="003F4CE1">
        <w:t>the</w:t>
      </w:r>
      <w:r w:rsidR="00573BA7">
        <w:t xml:space="preserve"> </w:t>
      </w:r>
      <w:r w:rsidRPr="003F4CE1">
        <w:t>NDIS.</w:t>
      </w:r>
      <w:r w:rsidR="006638DB" w:rsidRPr="003F4CE1">
        <w:rPr>
          <w:rStyle w:val="EndnoteReference"/>
        </w:rPr>
        <w:endnoteReference w:id="239"/>
      </w:r>
      <w:r w:rsidR="00573BA7">
        <w:t xml:space="preserve"> </w:t>
      </w:r>
      <w:r w:rsidR="00BC4682" w:rsidRPr="003F4CE1">
        <w:t>Approximately</w:t>
      </w:r>
      <w:r w:rsidR="00BC4682">
        <w:t xml:space="preserve"> </w:t>
      </w:r>
      <w:r w:rsidR="00BC4682" w:rsidRPr="003F4CE1">
        <w:t>170,000</w:t>
      </w:r>
      <w:r w:rsidR="00BC4682">
        <w:t xml:space="preserve"> </w:t>
      </w:r>
      <w:r w:rsidR="00BC4682" w:rsidRPr="003F4CE1">
        <w:t>of</w:t>
      </w:r>
      <w:r w:rsidR="00BC4682">
        <w:t xml:space="preserve"> </w:t>
      </w:r>
      <w:r w:rsidR="00BC4682" w:rsidRPr="003F4CE1">
        <w:t>the</w:t>
      </w:r>
      <w:r w:rsidR="00BC4682">
        <w:t xml:space="preserve"> </w:t>
      </w:r>
      <w:r w:rsidR="00BC4682" w:rsidRPr="003F4CE1">
        <w:t>NDIS’s</w:t>
      </w:r>
      <w:r w:rsidR="00BC4682">
        <w:t xml:space="preserve"> </w:t>
      </w:r>
      <w:r w:rsidR="00BC4682" w:rsidRPr="003F4CE1">
        <w:t>300,000</w:t>
      </w:r>
      <w:r w:rsidR="00BC4682">
        <w:t xml:space="preserve"> </w:t>
      </w:r>
      <w:r w:rsidR="00BC4682" w:rsidRPr="003F4CE1">
        <w:t>participants</w:t>
      </w:r>
      <w:r w:rsidR="00BC4682">
        <w:t xml:space="preserve"> </w:t>
      </w:r>
      <w:r w:rsidR="00BC4682" w:rsidRPr="003F4CE1">
        <w:t>are</w:t>
      </w:r>
      <w:r w:rsidR="00BC4682">
        <w:t xml:space="preserve"> </w:t>
      </w:r>
      <w:r w:rsidR="00BC4682" w:rsidRPr="003F4CE1">
        <w:t>of</w:t>
      </w:r>
      <w:r w:rsidR="00BC4682">
        <w:t xml:space="preserve"> </w:t>
      </w:r>
      <w:r w:rsidR="00BC4682" w:rsidRPr="003F4CE1">
        <w:t>working</w:t>
      </w:r>
      <w:r w:rsidR="00BC4682">
        <w:t xml:space="preserve"> </w:t>
      </w:r>
      <w:r w:rsidR="00BC4682" w:rsidRPr="003F4CE1">
        <w:t>age</w:t>
      </w:r>
      <w:r w:rsidR="00BC4682">
        <w:t xml:space="preserve"> </w:t>
      </w:r>
      <w:r w:rsidR="00BC4682" w:rsidRPr="003F4CE1">
        <w:t>(between</w:t>
      </w:r>
      <w:r w:rsidR="00BC4682">
        <w:t xml:space="preserve"> </w:t>
      </w:r>
      <w:r w:rsidR="00BC4682" w:rsidRPr="003F4CE1">
        <w:t>15</w:t>
      </w:r>
      <w:r w:rsidR="00BC4682">
        <w:t xml:space="preserve"> </w:t>
      </w:r>
      <w:r w:rsidR="00BC4682" w:rsidRPr="003F4CE1">
        <w:t>and</w:t>
      </w:r>
      <w:r w:rsidR="00BC4682">
        <w:t xml:space="preserve"> </w:t>
      </w:r>
      <w:r w:rsidR="00BC4682" w:rsidRPr="003F4CE1">
        <w:t>64</w:t>
      </w:r>
      <w:r w:rsidR="00BC4682">
        <w:t xml:space="preserve"> </w:t>
      </w:r>
      <w:r w:rsidR="00BC4682" w:rsidRPr="003F4CE1">
        <w:t>years</w:t>
      </w:r>
      <w:r w:rsidR="00BC4682">
        <w:t xml:space="preserve"> </w:t>
      </w:r>
      <w:r w:rsidR="00BC4682" w:rsidRPr="003F4CE1">
        <w:t>of</w:t>
      </w:r>
      <w:r w:rsidR="00BC4682">
        <w:t xml:space="preserve"> </w:t>
      </w:r>
      <w:r w:rsidR="00BC4682" w:rsidRPr="003F4CE1">
        <w:t>age).</w:t>
      </w:r>
      <w:r w:rsidR="00BC4682" w:rsidRPr="003F4CE1">
        <w:rPr>
          <w:rStyle w:val="EndnoteReference"/>
        </w:rPr>
        <w:endnoteReference w:id="240"/>
      </w:r>
    </w:p>
    <w:p w14:paraId="3D009E79" w14:textId="31463F7C" w:rsidR="006638DB" w:rsidRPr="003F4CE1" w:rsidRDefault="006638DB" w:rsidP="008A7EB0">
      <w:pPr>
        <w:pStyle w:val="ListNumber"/>
      </w:pPr>
      <w:r w:rsidRPr="003F4CE1">
        <w:t>The</w:t>
      </w:r>
      <w:r w:rsidR="00573BA7">
        <w:t xml:space="preserve"> </w:t>
      </w:r>
      <w:r w:rsidRPr="003F4CE1">
        <w:t>NDIS</w:t>
      </w:r>
      <w:r w:rsidR="00573BA7">
        <w:t xml:space="preserve"> </w:t>
      </w:r>
      <w:r w:rsidRPr="003F4CE1">
        <w:t>funds</w:t>
      </w:r>
      <w:r w:rsidR="00573BA7">
        <w:t xml:space="preserve"> </w:t>
      </w:r>
      <w:r w:rsidRPr="003F4CE1">
        <w:t>a</w:t>
      </w:r>
      <w:r w:rsidR="00573BA7">
        <w:t xml:space="preserve"> </w:t>
      </w:r>
      <w:r w:rsidRPr="003F4CE1">
        <w:t>range</w:t>
      </w:r>
      <w:r w:rsidR="00573BA7">
        <w:t xml:space="preserve"> </w:t>
      </w:r>
      <w:r w:rsidRPr="003F4CE1">
        <w:t>of</w:t>
      </w:r>
      <w:r w:rsidR="00573BA7">
        <w:t xml:space="preserve"> </w:t>
      </w:r>
      <w:r w:rsidRPr="003F4CE1">
        <w:t>employment</w:t>
      </w:r>
      <w:r w:rsidR="00573BA7">
        <w:t xml:space="preserve"> </w:t>
      </w:r>
      <w:r w:rsidRPr="003F4CE1">
        <w:t>supports</w:t>
      </w:r>
      <w:r w:rsidR="00573BA7">
        <w:t xml:space="preserve"> </w:t>
      </w:r>
      <w:r w:rsidRPr="003F4CE1">
        <w:t>for</w:t>
      </w:r>
      <w:r w:rsidR="00573BA7">
        <w:t xml:space="preserve"> </w:t>
      </w:r>
      <w:r w:rsidRPr="003F4CE1">
        <w:t>participants</w:t>
      </w:r>
      <w:r w:rsidR="00573BA7">
        <w:t xml:space="preserve"> </w:t>
      </w:r>
      <w:r w:rsidR="000326F9">
        <w:t>who</w:t>
      </w:r>
      <w:r w:rsidR="00573BA7">
        <w:t xml:space="preserve"> </w:t>
      </w:r>
      <w:r w:rsidR="000326F9">
        <w:t>have</w:t>
      </w:r>
      <w:r w:rsidR="00573BA7">
        <w:t xml:space="preserve"> </w:t>
      </w:r>
      <w:r w:rsidRPr="003F4CE1">
        <w:t>employment</w:t>
      </w:r>
      <w:r w:rsidR="00573BA7">
        <w:t xml:space="preserve"> </w:t>
      </w:r>
      <w:r w:rsidRPr="003F4CE1">
        <w:t>goals</w:t>
      </w:r>
      <w:r w:rsidR="00573BA7">
        <w:t xml:space="preserve"> </w:t>
      </w:r>
      <w:r w:rsidRPr="003F4CE1">
        <w:t>in</w:t>
      </w:r>
      <w:r w:rsidR="00573BA7">
        <w:t xml:space="preserve"> </w:t>
      </w:r>
      <w:r w:rsidRPr="003F4CE1">
        <w:t>their</w:t>
      </w:r>
      <w:r w:rsidR="00573BA7">
        <w:t xml:space="preserve"> </w:t>
      </w:r>
      <w:r w:rsidRPr="003F4CE1">
        <w:t>NDIS</w:t>
      </w:r>
      <w:r w:rsidR="00573BA7">
        <w:t xml:space="preserve"> </w:t>
      </w:r>
      <w:r w:rsidRPr="003F4CE1">
        <w:t>plan.</w:t>
      </w:r>
      <w:r w:rsidR="00573BA7">
        <w:t xml:space="preserve"> </w:t>
      </w:r>
      <w:r w:rsidR="00F2482D" w:rsidRPr="003F4CE1">
        <w:t>For</w:t>
      </w:r>
      <w:r w:rsidR="00573BA7">
        <w:t xml:space="preserve"> </w:t>
      </w:r>
      <w:r w:rsidR="00F2482D" w:rsidRPr="003F4CE1">
        <w:t>example,</w:t>
      </w:r>
      <w:r w:rsidR="00573BA7">
        <w:t xml:space="preserve"> </w:t>
      </w:r>
      <w:r w:rsidR="00F2482D" w:rsidRPr="003F4CE1">
        <w:t>this</w:t>
      </w:r>
      <w:r w:rsidR="00573BA7">
        <w:t xml:space="preserve"> </w:t>
      </w:r>
      <w:r w:rsidR="00F2482D" w:rsidRPr="003F4CE1">
        <w:t>can</w:t>
      </w:r>
      <w:r w:rsidR="00573BA7">
        <w:t xml:space="preserve"> </w:t>
      </w:r>
      <w:r w:rsidR="00F2482D" w:rsidRPr="003F4CE1">
        <w:t>include</w:t>
      </w:r>
      <w:r w:rsidR="00573BA7">
        <w:t xml:space="preserve"> </w:t>
      </w:r>
      <w:r w:rsidR="00F2482D" w:rsidRPr="003F4CE1">
        <w:t>training</w:t>
      </w:r>
      <w:r w:rsidR="00573BA7">
        <w:t xml:space="preserve"> </w:t>
      </w:r>
      <w:r w:rsidR="00F2482D" w:rsidRPr="003F4CE1">
        <w:t>to</w:t>
      </w:r>
      <w:r w:rsidR="00573BA7">
        <w:t xml:space="preserve"> </w:t>
      </w:r>
      <w:r w:rsidR="00F2482D" w:rsidRPr="003F4CE1">
        <w:t>learn</w:t>
      </w:r>
      <w:r w:rsidR="00573BA7">
        <w:t xml:space="preserve"> </w:t>
      </w:r>
      <w:r w:rsidR="00F2482D" w:rsidRPr="003F4CE1">
        <w:t>how</w:t>
      </w:r>
      <w:r w:rsidR="00573BA7">
        <w:t xml:space="preserve"> </w:t>
      </w:r>
      <w:r w:rsidR="00F2482D" w:rsidRPr="003F4CE1">
        <w:t>to</w:t>
      </w:r>
      <w:r w:rsidR="00573BA7">
        <w:t xml:space="preserve"> </w:t>
      </w:r>
      <w:r w:rsidR="00F2482D" w:rsidRPr="003F4CE1">
        <w:t>commute</w:t>
      </w:r>
      <w:r w:rsidR="00573BA7">
        <w:t xml:space="preserve"> </w:t>
      </w:r>
      <w:r w:rsidR="00F2482D" w:rsidRPr="003F4CE1">
        <w:t>to</w:t>
      </w:r>
      <w:r w:rsidR="00573BA7">
        <w:t xml:space="preserve"> </w:t>
      </w:r>
      <w:r w:rsidR="00F2482D" w:rsidRPr="003F4CE1">
        <w:t>work</w:t>
      </w:r>
      <w:r w:rsidR="00573BA7">
        <w:t xml:space="preserve"> </w:t>
      </w:r>
      <w:r w:rsidR="00F2482D" w:rsidRPr="003F4CE1">
        <w:t>or</w:t>
      </w:r>
      <w:r w:rsidR="00573BA7">
        <w:t xml:space="preserve"> </w:t>
      </w:r>
      <w:r w:rsidR="00F2482D" w:rsidRPr="003F4CE1">
        <w:t>develop</w:t>
      </w:r>
      <w:r w:rsidR="00573BA7">
        <w:t xml:space="preserve"> </w:t>
      </w:r>
      <w:r w:rsidR="00F2482D" w:rsidRPr="003F4CE1">
        <w:t>basic</w:t>
      </w:r>
      <w:r w:rsidR="00573BA7">
        <w:t xml:space="preserve"> </w:t>
      </w:r>
      <w:r w:rsidR="00F2482D" w:rsidRPr="003F4CE1">
        <w:t>work</w:t>
      </w:r>
      <w:r w:rsidR="00573BA7">
        <w:t xml:space="preserve"> </w:t>
      </w:r>
      <w:r w:rsidR="00F2482D" w:rsidRPr="003F4CE1">
        <w:t>skills,</w:t>
      </w:r>
      <w:r w:rsidR="00573BA7">
        <w:t xml:space="preserve"> </w:t>
      </w:r>
      <w:r w:rsidR="00F2482D" w:rsidRPr="003F4CE1">
        <w:t>personal</w:t>
      </w:r>
      <w:r w:rsidR="00573BA7">
        <w:t xml:space="preserve"> </w:t>
      </w:r>
      <w:r w:rsidR="00F2482D" w:rsidRPr="003F4CE1">
        <w:t>care</w:t>
      </w:r>
      <w:r w:rsidR="00573BA7">
        <w:t xml:space="preserve"> </w:t>
      </w:r>
      <w:r w:rsidR="00F2482D" w:rsidRPr="003F4CE1">
        <w:t>for</w:t>
      </w:r>
      <w:r w:rsidR="00573BA7">
        <w:t xml:space="preserve"> </w:t>
      </w:r>
      <w:r w:rsidR="00F2482D" w:rsidRPr="003F4CE1">
        <w:t>those</w:t>
      </w:r>
      <w:r w:rsidR="00573BA7">
        <w:t xml:space="preserve"> </w:t>
      </w:r>
      <w:r w:rsidR="00F2482D" w:rsidRPr="003F4CE1">
        <w:t>who</w:t>
      </w:r>
      <w:r w:rsidR="00573BA7">
        <w:t xml:space="preserve"> </w:t>
      </w:r>
      <w:r w:rsidR="00F2482D" w:rsidRPr="003F4CE1">
        <w:t>need</w:t>
      </w:r>
      <w:r w:rsidR="00573BA7">
        <w:t xml:space="preserve"> </w:t>
      </w:r>
      <w:r w:rsidR="00F2482D" w:rsidRPr="003F4CE1">
        <w:t>it</w:t>
      </w:r>
      <w:r w:rsidR="00573BA7">
        <w:t xml:space="preserve"> </w:t>
      </w:r>
      <w:r w:rsidR="00F2482D" w:rsidRPr="003F4CE1">
        <w:t>at</w:t>
      </w:r>
      <w:r w:rsidR="00573BA7">
        <w:t xml:space="preserve"> </w:t>
      </w:r>
      <w:r w:rsidR="00F2482D" w:rsidRPr="003F4CE1">
        <w:t>work,</w:t>
      </w:r>
      <w:r w:rsidR="00573BA7">
        <w:t xml:space="preserve"> </w:t>
      </w:r>
      <w:r w:rsidR="00F2482D" w:rsidRPr="003F4CE1">
        <w:t>and</w:t>
      </w:r>
      <w:r w:rsidR="00573BA7">
        <w:t xml:space="preserve"> </w:t>
      </w:r>
      <w:r w:rsidR="00F2482D" w:rsidRPr="003F4CE1">
        <w:t>employment-related</w:t>
      </w:r>
      <w:r w:rsidR="00573BA7">
        <w:t xml:space="preserve"> </w:t>
      </w:r>
      <w:r w:rsidR="00F2482D" w:rsidRPr="003F4CE1">
        <w:t>counselling</w:t>
      </w:r>
      <w:r w:rsidR="00573BA7">
        <w:t xml:space="preserve"> </w:t>
      </w:r>
      <w:r w:rsidR="00F2482D" w:rsidRPr="003F4CE1">
        <w:t>or</w:t>
      </w:r>
      <w:r w:rsidR="00573BA7">
        <w:t xml:space="preserve"> </w:t>
      </w:r>
      <w:r w:rsidR="00F2482D" w:rsidRPr="003F4CE1">
        <w:t>group</w:t>
      </w:r>
      <w:r w:rsidR="00573BA7">
        <w:t xml:space="preserve"> </w:t>
      </w:r>
      <w:r w:rsidR="00F2482D" w:rsidRPr="003F4CE1">
        <w:t>support.</w:t>
      </w:r>
      <w:r w:rsidR="00F2482D" w:rsidRPr="003F4CE1">
        <w:rPr>
          <w:rStyle w:val="EndnoteReference"/>
        </w:rPr>
        <w:endnoteReference w:id="241"/>
      </w:r>
      <w:r w:rsidR="00573BA7">
        <w:t xml:space="preserve"> </w:t>
      </w:r>
      <w:r w:rsidRPr="003F4CE1">
        <w:t>The</w:t>
      </w:r>
      <w:r w:rsidR="00573BA7">
        <w:t xml:space="preserve"> </w:t>
      </w:r>
      <w:r w:rsidRPr="003F4CE1">
        <w:t>NDIS</w:t>
      </w:r>
      <w:r w:rsidR="00573BA7">
        <w:t xml:space="preserve"> </w:t>
      </w:r>
      <w:r w:rsidRPr="003F4CE1">
        <w:t>generally</w:t>
      </w:r>
      <w:r w:rsidR="00573BA7">
        <w:t xml:space="preserve"> </w:t>
      </w:r>
      <w:r w:rsidRPr="003F4CE1">
        <w:t>provides</w:t>
      </w:r>
      <w:r w:rsidR="00573BA7">
        <w:t xml:space="preserve"> </w:t>
      </w:r>
      <w:r w:rsidRPr="003F4CE1">
        <w:t>these</w:t>
      </w:r>
      <w:r w:rsidR="00573BA7">
        <w:t xml:space="preserve"> </w:t>
      </w:r>
      <w:r w:rsidRPr="003F4CE1">
        <w:t>supports</w:t>
      </w:r>
      <w:r w:rsidR="00573BA7">
        <w:t xml:space="preserve"> </w:t>
      </w:r>
      <w:r w:rsidRPr="003F4CE1">
        <w:t>where</w:t>
      </w:r>
      <w:r w:rsidR="00573BA7">
        <w:t xml:space="preserve"> </w:t>
      </w:r>
      <w:r w:rsidRPr="003F4CE1">
        <w:t>a</w:t>
      </w:r>
      <w:r w:rsidR="00573BA7">
        <w:t xml:space="preserve"> </w:t>
      </w:r>
      <w:r w:rsidRPr="003F4CE1">
        <w:t>participant’s</w:t>
      </w:r>
      <w:r w:rsidR="00573BA7">
        <w:t xml:space="preserve"> </w:t>
      </w:r>
      <w:r w:rsidRPr="003F4CE1">
        <w:t>employer</w:t>
      </w:r>
      <w:r w:rsidR="00573BA7">
        <w:t xml:space="preserve"> </w:t>
      </w:r>
      <w:r w:rsidRPr="003F4CE1">
        <w:t>or</w:t>
      </w:r>
      <w:r w:rsidR="00573BA7">
        <w:t xml:space="preserve"> </w:t>
      </w:r>
      <w:r w:rsidRPr="003F4CE1">
        <w:t>other</w:t>
      </w:r>
      <w:r w:rsidR="00573BA7">
        <w:t xml:space="preserve"> </w:t>
      </w:r>
      <w:r w:rsidRPr="003F4CE1">
        <w:t>employment</w:t>
      </w:r>
      <w:r w:rsidR="00573BA7">
        <w:t xml:space="preserve"> </w:t>
      </w:r>
      <w:r w:rsidRPr="003F4CE1">
        <w:t>services</w:t>
      </w:r>
      <w:r w:rsidR="00573BA7">
        <w:t xml:space="preserve"> </w:t>
      </w:r>
      <w:r w:rsidRPr="003F4CE1">
        <w:t>(such</w:t>
      </w:r>
      <w:r w:rsidR="00573BA7">
        <w:t xml:space="preserve"> </w:t>
      </w:r>
      <w:r w:rsidRPr="003F4CE1">
        <w:t>as</w:t>
      </w:r>
      <w:r w:rsidR="00573BA7">
        <w:t xml:space="preserve"> </w:t>
      </w:r>
      <w:r w:rsidRPr="003F4CE1">
        <w:t>DES)</w:t>
      </w:r>
      <w:r w:rsidR="00573BA7">
        <w:t xml:space="preserve"> </w:t>
      </w:r>
      <w:r w:rsidRPr="003F4CE1">
        <w:t>cannot</w:t>
      </w:r>
      <w:r w:rsidR="00573BA7">
        <w:t xml:space="preserve"> </w:t>
      </w:r>
      <w:r w:rsidRPr="003F4CE1">
        <w:t>meet</w:t>
      </w:r>
      <w:r w:rsidR="00573BA7">
        <w:t xml:space="preserve"> </w:t>
      </w:r>
      <w:r w:rsidRPr="003F4CE1">
        <w:t>their</w:t>
      </w:r>
      <w:r w:rsidR="00573BA7">
        <w:t xml:space="preserve"> </w:t>
      </w:r>
      <w:r w:rsidRPr="003F4CE1">
        <w:t>needs,</w:t>
      </w:r>
      <w:r w:rsidR="00573BA7">
        <w:t xml:space="preserve"> </w:t>
      </w:r>
      <w:r w:rsidRPr="003F4CE1">
        <w:t>or</w:t>
      </w:r>
      <w:r w:rsidR="00573BA7">
        <w:t xml:space="preserve"> </w:t>
      </w:r>
      <w:r w:rsidRPr="003F4CE1">
        <w:t>to</w:t>
      </w:r>
      <w:r w:rsidR="00573BA7">
        <w:t xml:space="preserve"> </w:t>
      </w:r>
      <w:r w:rsidRPr="003F4CE1">
        <w:t>complement</w:t>
      </w:r>
      <w:r w:rsidR="00573BA7">
        <w:t xml:space="preserve"> </w:t>
      </w:r>
      <w:r w:rsidRPr="003F4CE1">
        <w:t>or</w:t>
      </w:r>
      <w:r w:rsidR="00573BA7">
        <w:t xml:space="preserve"> </w:t>
      </w:r>
      <w:r w:rsidRPr="003F4CE1">
        <w:t>supplement</w:t>
      </w:r>
      <w:r w:rsidR="00573BA7">
        <w:t xml:space="preserve"> </w:t>
      </w:r>
      <w:r w:rsidRPr="003F4CE1">
        <w:t>existing</w:t>
      </w:r>
      <w:r w:rsidR="00573BA7">
        <w:t xml:space="preserve"> </w:t>
      </w:r>
      <w:r w:rsidRPr="003F4CE1">
        <w:t>employment</w:t>
      </w:r>
      <w:r w:rsidR="00573BA7">
        <w:t xml:space="preserve"> </w:t>
      </w:r>
      <w:r w:rsidRPr="003F4CE1">
        <w:t>supports.</w:t>
      </w:r>
      <w:r w:rsidRPr="003F4CE1">
        <w:rPr>
          <w:rStyle w:val="EndnoteReference"/>
        </w:rPr>
        <w:endnoteReference w:id="242"/>
      </w:r>
      <w:r w:rsidR="00573BA7">
        <w:t xml:space="preserve"> </w:t>
      </w:r>
      <w:r w:rsidRPr="003F4CE1">
        <w:t>Since</w:t>
      </w:r>
      <w:r w:rsidR="00573BA7">
        <w:t xml:space="preserve"> </w:t>
      </w:r>
      <w:r w:rsidRPr="003F4CE1">
        <w:t>2015,</w:t>
      </w:r>
      <w:r w:rsidR="00573BA7">
        <w:t xml:space="preserve"> </w:t>
      </w:r>
      <w:r w:rsidRPr="003F4CE1">
        <w:t>the</w:t>
      </w:r>
      <w:r w:rsidR="00573BA7">
        <w:t xml:space="preserve"> </w:t>
      </w:r>
      <w:r w:rsidRPr="003F4CE1">
        <w:t>rate</w:t>
      </w:r>
      <w:r w:rsidR="00573BA7">
        <w:t xml:space="preserve"> </w:t>
      </w:r>
      <w:r w:rsidRPr="003F4CE1">
        <w:t>of</w:t>
      </w:r>
      <w:r w:rsidR="00573BA7">
        <w:t xml:space="preserve"> </w:t>
      </w:r>
      <w:r w:rsidRPr="003F4CE1">
        <w:t>working</w:t>
      </w:r>
      <w:r w:rsidR="00573BA7">
        <w:t xml:space="preserve"> </w:t>
      </w:r>
      <w:r w:rsidRPr="003F4CE1">
        <w:t>age</w:t>
      </w:r>
      <w:r w:rsidR="00573BA7">
        <w:t xml:space="preserve"> </w:t>
      </w:r>
      <w:r w:rsidRPr="003F4CE1">
        <w:t>participants</w:t>
      </w:r>
      <w:r w:rsidR="00573BA7">
        <w:t xml:space="preserve"> </w:t>
      </w:r>
      <w:r w:rsidRPr="003F4CE1">
        <w:t>with</w:t>
      </w:r>
      <w:r w:rsidR="00573BA7">
        <w:t xml:space="preserve"> </w:t>
      </w:r>
      <w:r w:rsidRPr="003F4CE1">
        <w:t>a</w:t>
      </w:r>
      <w:r w:rsidR="00573BA7">
        <w:t xml:space="preserve"> </w:t>
      </w:r>
      <w:r w:rsidRPr="003F4CE1">
        <w:t>work-related</w:t>
      </w:r>
      <w:r w:rsidR="00573BA7">
        <w:t xml:space="preserve"> </w:t>
      </w:r>
      <w:r w:rsidRPr="003F4CE1">
        <w:t>goal</w:t>
      </w:r>
      <w:r w:rsidR="00573BA7">
        <w:t xml:space="preserve"> </w:t>
      </w:r>
      <w:r w:rsidRPr="003F4CE1">
        <w:t>in</w:t>
      </w:r>
      <w:r w:rsidR="00573BA7">
        <w:t xml:space="preserve"> </w:t>
      </w:r>
      <w:r w:rsidRPr="003F4CE1">
        <w:t>their</w:t>
      </w:r>
      <w:r w:rsidR="00573BA7">
        <w:t xml:space="preserve"> </w:t>
      </w:r>
      <w:r w:rsidRPr="003F4CE1">
        <w:t>NDIS</w:t>
      </w:r>
      <w:r w:rsidR="00573BA7">
        <w:t xml:space="preserve"> </w:t>
      </w:r>
      <w:r w:rsidRPr="003F4CE1">
        <w:t>plan</w:t>
      </w:r>
      <w:r w:rsidR="00573BA7">
        <w:t xml:space="preserve"> </w:t>
      </w:r>
      <w:r w:rsidRPr="003F4CE1">
        <w:t>has</w:t>
      </w:r>
      <w:r w:rsidR="00573BA7">
        <w:t xml:space="preserve"> </w:t>
      </w:r>
      <w:r w:rsidRPr="003F4CE1">
        <w:t>nearly</w:t>
      </w:r>
      <w:r w:rsidR="00573BA7">
        <w:t xml:space="preserve"> </w:t>
      </w:r>
      <w:r w:rsidRPr="003F4CE1">
        <w:t>doubled</w:t>
      </w:r>
      <w:r w:rsidR="00573BA7">
        <w:t xml:space="preserve"> </w:t>
      </w:r>
      <w:r w:rsidRPr="003F4CE1">
        <w:t>to</w:t>
      </w:r>
      <w:r w:rsidR="00573BA7">
        <w:t xml:space="preserve"> </w:t>
      </w:r>
      <w:r w:rsidRPr="003F4CE1">
        <w:t>31%.</w:t>
      </w:r>
      <w:r w:rsidRPr="003F4CE1">
        <w:rPr>
          <w:rStyle w:val="EndnoteReference"/>
        </w:rPr>
        <w:endnoteReference w:id="243"/>
      </w:r>
      <w:r w:rsidR="00573BA7">
        <w:t xml:space="preserve"> </w:t>
      </w:r>
    </w:p>
    <w:p w14:paraId="487ABBAE" w14:textId="55240095" w:rsidR="006638DB" w:rsidRPr="003F4CE1" w:rsidRDefault="006638DB" w:rsidP="00662F4B">
      <w:pPr>
        <w:pStyle w:val="ListNumber"/>
      </w:pPr>
      <w:r w:rsidRPr="003F4CE1">
        <w:lastRenderedPageBreak/>
        <w:t>However,</w:t>
      </w:r>
      <w:r w:rsidR="00573BA7">
        <w:t xml:space="preserve"> </w:t>
      </w:r>
      <w:r w:rsidRPr="003F4CE1">
        <w:t>there</w:t>
      </w:r>
      <w:r w:rsidR="00573BA7">
        <w:t xml:space="preserve"> </w:t>
      </w:r>
      <w:r w:rsidRPr="003F4CE1">
        <w:t>remain</w:t>
      </w:r>
      <w:r w:rsidR="00573BA7">
        <w:t xml:space="preserve"> </w:t>
      </w:r>
      <w:r w:rsidRPr="003F4CE1">
        <w:t>challenges</w:t>
      </w:r>
      <w:r w:rsidR="00573BA7">
        <w:t xml:space="preserve"> </w:t>
      </w:r>
      <w:r w:rsidRPr="003F4CE1">
        <w:t>in</w:t>
      </w:r>
      <w:r w:rsidR="00573BA7">
        <w:t xml:space="preserve"> </w:t>
      </w:r>
      <w:r w:rsidRPr="003F4CE1">
        <w:t>obtaining</w:t>
      </w:r>
      <w:r w:rsidR="00573BA7">
        <w:t xml:space="preserve"> </w:t>
      </w:r>
      <w:r w:rsidRPr="003F4CE1">
        <w:t>quality</w:t>
      </w:r>
      <w:r w:rsidR="00573BA7">
        <w:t xml:space="preserve"> </w:t>
      </w:r>
      <w:r w:rsidRPr="003F4CE1">
        <w:t>employment</w:t>
      </w:r>
      <w:r w:rsidR="00573BA7">
        <w:t xml:space="preserve"> </w:t>
      </w:r>
      <w:r w:rsidRPr="003F4CE1">
        <w:t>outcomes</w:t>
      </w:r>
      <w:r w:rsidR="00573BA7">
        <w:t xml:space="preserve"> </w:t>
      </w:r>
      <w:r w:rsidRPr="003F4CE1">
        <w:t>for</w:t>
      </w:r>
      <w:r w:rsidR="00573BA7">
        <w:t xml:space="preserve"> </w:t>
      </w:r>
      <w:r w:rsidRPr="003F4CE1">
        <w:t>NDIS</w:t>
      </w:r>
      <w:r w:rsidR="00573BA7">
        <w:t xml:space="preserve"> </w:t>
      </w:r>
      <w:r w:rsidRPr="003F4CE1">
        <w:t>participants.</w:t>
      </w:r>
      <w:r w:rsidR="00573BA7">
        <w:t xml:space="preserve"> </w:t>
      </w:r>
      <w:r w:rsidRPr="003F4CE1">
        <w:t>Participants,</w:t>
      </w:r>
      <w:r w:rsidR="00573BA7">
        <w:t xml:space="preserve"> </w:t>
      </w:r>
      <w:r w:rsidRPr="003F4CE1">
        <w:t>their</w:t>
      </w:r>
      <w:r w:rsidR="00573BA7">
        <w:t xml:space="preserve"> </w:t>
      </w:r>
      <w:r w:rsidRPr="003F4CE1">
        <w:t>carers</w:t>
      </w:r>
      <w:r w:rsidR="00573BA7">
        <w:t xml:space="preserve"> </w:t>
      </w:r>
      <w:r w:rsidRPr="003F4CE1">
        <w:t>and</w:t>
      </w:r>
      <w:r w:rsidR="00573BA7">
        <w:t xml:space="preserve"> </w:t>
      </w:r>
      <w:r w:rsidRPr="003F4CE1">
        <w:t>families</w:t>
      </w:r>
      <w:r w:rsidR="00573BA7">
        <w:t xml:space="preserve"> </w:t>
      </w:r>
      <w:r w:rsidRPr="003F4CE1">
        <w:t>have</w:t>
      </w:r>
      <w:r w:rsidR="00573BA7">
        <w:t xml:space="preserve"> </w:t>
      </w:r>
      <w:r w:rsidRPr="003F4CE1">
        <w:t>reported</w:t>
      </w:r>
      <w:r w:rsidR="00573BA7">
        <w:t xml:space="preserve"> </w:t>
      </w:r>
      <w:r w:rsidRPr="003F4CE1">
        <w:t>ongoing</w:t>
      </w:r>
      <w:r w:rsidR="00573BA7">
        <w:t xml:space="preserve"> </w:t>
      </w:r>
      <w:r w:rsidRPr="003F4CE1">
        <w:t>perceptions</w:t>
      </w:r>
      <w:r w:rsidR="00573BA7">
        <w:t xml:space="preserve"> </w:t>
      </w:r>
      <w:r w:rsidRPr="003F4CE1">
        <w:t>from</w:t>
      </w:r>
      <w:r w:rsidR="00573BA7">
        <w:t xml:space="preserve"> </w:t>
      </w:r>
      <w:r w:rsidRPr="003F4CE1">
        <w:t>employers</w:t>
      </w:r>
      <w:r w:rsidR="00573BA7">
        <w:t xml:space="preserve"> </w:t>
      </w:r>
      <w:r w:rsidRPr="003F4CE1">
        <w:t>that</w:t>
      </w:r>
      <w:r w:rsidR="00573BA7">
        <w:t xml:space="preserve"> </w:t>
      </w:r>
      <w:r w:rsidRPr="003F4CE1">
        <w:t>it</w:t>
      </w:r>
      <w:r w:rsidR="00573BA7">
        <w:t xml:space="preserve"> </w:t>
      </w:r>
      <w:r w:rsidRPr="003F4CE1">
        <w:t>is</w:t>
      </w:r>
      <w:r w:rsidR="00573BA7">
        <w:t xml:space="preserve"> </w:t>
      </w:r>
      <w:r w:rsidRPr="003F4CE1">
        <w:t>too</w:t>
      </w:r>
      <w:r w:rsidR="00573BA7">
        <w:t xml:space="preserve"> </w:t>
      </w:r>
      <w:r w:rsidRPr="003F4CE1">
        <w:t>hard</w:t>
      </w:r>
      <w:r w:rsidR="00573BA7">
        <w:t xml:space="preserve"> </w:t>
      </w:r>
      <w:r w:rsidRPr="003F4CE1">
        <w:t>to</w:t>
      </w:r>
      <w:r w:rsidR="00573BA7">
        <w:t xml:space="preserve"> </w:t>
      </w:r>
      <w:r w:rsidRPr="003F4CE1">
        <w:t>employ</w:t>
      </w:r>
      <w:r w:rsidR="00573BA7">
        <w:t xml:space="preserve"> </w:t>
      </w:r>
      <w:r w:rsidRPr="003F4CE1">
        <w:t>NDIS</w:t>
      </w:r>
      <w:r w:rsidR="00573BA7">
        <w:t xml:space="preserve"> </w:t>
      </w:r>
      <w:r w:rsidRPr="003F4CE1">
        <w:t>participants,</w:t>
      </w:r>
      <w:r w:rsidR="00573BA7">
        <w:t xml:space="preserve"> </w:t>
      </w:r>
      <w:r w:rsidRPr="003F4CE1">
        <w:t>that</w:t>
      </w:r>
      <w:r w:rsidR="00573BA7">
        <w:t xml:space="preserve"> </w:t>
      </w:r>
      <w:r w:rsidRPr="003F4CE1">
        <w:t>people</w:t>
      </w:r>
      <w:r w:rsidR="00573BA7">
        <w:t xml:space="preserve"> </w:t>
      </w:r>
      <w:r w:rsidRPr="003F4CE1">
        <w:t>with</w:t>
      </w:r>
      <w:r w:rsidR="00573BA7">
        <w:t xml:space="preserve"> </w:t>
      </w:r>
      <w:r w:rsidRPr="003F4CE1">
        <w:t>disability</w:t>
      </w:r>
      <w:r w:rsidR="00573BA7">
        <w:t xml:space="preserve"> </w:t>
      </w:r>
      <w:r w:rsidRPr="003F4CE1">
        <w:t>can</w:t>
      </w:r>
      <w:r w:rsidR="00573BA7">
        <w:t xml:space="preserve"> </w:t>
      </w:r>
      <w:r w:rsidRPr="003F4CE1">
        <w:t>only</w:t>
      </w:r>
      <w:r w:rsidR="00573BA7">
        <w:t xml:space="preserve"> </w:t>
      </w:r>
      <w:r w:rsidRPr="003F4CE1">
        <w:t>perform</w:t>
      </w:r>
      <w:r w:rsidR="00573BA7">
        <w:t xml:space="preserve"> </w:t>
      </w:r>
      <w:r w:rsidRPr="003F4CE1">
        <w:t>limited</w:t>
      </w:r>
      <w:r w:rsidR="00573BA7">
        <w:t xml:space="preserve"> </w:t>
      </w:r>
      <w:r w:rsidRPr="003F4CE1">
        <w:t>tasks</w:t>
      </w:r>
      <w:r w:rsidR="00573BA7">
        <w:t xml:space="preserve"> </w:t>
      </w:r>
      <w:r w:rsidRPr="003F4CE1">
        <w:t>or</w:t>
      </w:r>
      <w:r w:rsidR="00573BA7">
        <w:t xml:space="preserve"> </w:t>
      </w:r>
      <w:r w:rsidRPr="003F4CE1">
        <w:t>hours,</w:t>
      </w:r>
      <w:r w:rsidR="00573BA7">
        <w:t xml:space="preserve"> </w:t>
      </w:r>
      <w:r w:rsidRPr="003F4CE1">
        <w:t>and</w:t>
      </w:r>
      <w:r w:rsidR="00573BA7">
        <w:t xml:space="preserve"> </w:t>
      </w:r>
      <w:r w:rsidRPr="003F4CE1">
        <w:t>that</w:t>
      </w:r>
      <w:r w:rsidR="00573BA7">
        <w:t xml:space="preserve"> </w:t>
      </w:r>
      <w:r w:rsidRPr="003F4CE1">
        <w:t>the</w:t>
      </w:r>
      <w:r w:rsidR="00573BA7">
        <w:t xml:space="preserve"> </w:t>
      </w:r>
      <w:r w:rsidRPr="003F4CE1">
        <w:t>effect</w:t>
      </w:r>
      <w:r w:rsidR="00573BA7">
        <w:t xml:space="preserve"> </w:t>
      </w:r>
      <w:r w:rsidRPr="003F4CE1">
        <w:t>of</w:t>
      </w:r>
      <w:r w:rsidR="00573BA7">
        <w:t xml:space="preserve"> </w:t>
      </w:r>
      <w:r w:rsidRPr="003F4CE1">
        <w:t>these</w:t>
      </w:r>
      <w:r w:rsidR="00573BA7">
        <w:t xml:space="preserve"> </w:t>
      </w:r>
      <w:r w:rsidRPr="003F4CE1">
        <w:t>perceptions</w:t>
      </w:r>
      <w:r w:rsidR="00573BA7">
        <w:t xml:space="preserve"> </w:t>
      </w:r>
      <w:r w:rsidRPr="003F4CE1">
        <w:t>result</w:t>
      </w:r>
      <w:r w:rsidR="00573BA7">
        <w:t xml:space="preserve"> </w:t>
      </w:r>
      <w:r w:rsidRPr="003F4CE1">
        <w:t>in</w:t>
      </w:r>
      <w:r w:rsidR="00573BA7">
        <w:t xml:space="preserve"> </w:t>
      </w:r>
      <w:r w:rsidRPr="003F4CE1">
        <w:t>stigma</w:t>
      </w:r>
      <w:r w:rsidR="00573BA7">
        <w:t xml:space="preserve"> </w:t>
      </w:r>
      <w:r w:rsidRPr="003F4CE1">
        <w:t>and</w:t>
      </w:r>
      <w:r w:rsidR="00573BA7">
        <w:t xml:space="preserve"> </w:t>
      </w:r>
      <w:r w:rsidRPr="003F4CE1">
        <w:t>under-employment.</w:t>
      </w:r>
      <w:r w:rsidRPr="003F4CE1">
        <w:rPr>
          <w:rStyle w:val="EndnoteReference"/>
        </w:rPr>
        <w:endnoteReference w:id="244"/>
      </w:r>
    </w:p>
    <w:p w14:paraId="4AB55A69" w14:textId="61C97A42" w:rsidR="006638DB" w:rsidRPr="003F4CE1" w:rsidRDefault="006638DB" w:rsidP="00662F4B">
      <w:pPr>
        <w:pStyle w:val="ListNumber"/>
      </w:pPr>
      <w:r w:rsidRPr="003F4CE1">
        <w:t>To</w:t>
      </w:r>
      <w:r w:rsidR="00573BA7">
        <w:t xml:space="preserve"> </w:t>
      </w:r>
      <w:r w:rsidRPr="003F4CE1">
        <w:t>address</w:t>
      </w:r>
      <w:r w:rsidR="00573BA7">
        <w:t xml:space="preserve"> </w:t>
      </w:r>
      <w:r w:rsidRPr="003F4CE1">
        <w:t>these</w:t>
      </w:r>
      <w:r w:rsidR="00573BA7">
        <w:t xml:space="preserve"> </w:t>
      </w:r>
      <w:r w:rsidRPr="003F4CE1">
        <w:t>challenges,</w:t>
      </w:r>
      <w:r w:rsidR="00573BA7">
        <w:t xml:space="preserve"> </w:t>
      </w:r>
      <w:r w:rsidRPr="003F4CE1">
        <w:t>the</w:t>
      </w:r>
      <w:r w:rsidR="00573BA7">
        <w:t xml:space="preserve"> </w:t>
      </w:r>
      <w:r w:rsidRPr="003F4CE1">
        <w:t>NDIS</w:t>
      </w:r>
      <w:r w:rsidR="00573BA7">
        <w:t xml:space="preserve"> </w:t>
      </w:r>
      <w:r w:rsidRPr="003F4CE1">
        <w:t>Participant</w:t>
      </w:r>
      <w:r w:rsidR="00573BA7">
        <w:t xml:space="preserve"> </w:t>
      </w:r>
      <w:r w:rsidRPr="003F4CE1">
        <w:t>Employment</w:t>
      </w:r>
      <w:r w:rsidR="00573BA7">
        <w:t xml:space="preserve"> </w:t>
      </w:r>
      <w:r w:rsidRPr="003F4CE1">
        <w:t>Strategy</w:t>
      </w:r>
      <w:r w:rsidR="00573BA7">
        <w:t xml:space="preserve"> </w:t>
      </w:r>
      <w:r w:rsidRPr="003F4CE1">
        <w:t>2019-2022</w:t>
      </w:r>
      <w:r w:rsidR="00573BA7">
        <w:t xml:space="preserve"> </w:t>
      </w:r>
      <w:r w:rsidR="00142172">
        <w:t xml:space="preserve">(Participant Employment Strategy) </w:t>
      </w:r>
      <w:r w:rsidRPr="003F4CE1">
        <w:t>was</w:t>
      </w:r>
      <w:r w:rsidR="00573BA7">
        <w:t xml:space="preserve"> </w:t>
      </w:r>
      <w:r w:rsidRPr="003F4CE1">
        <w:t>published</w:t>
      </w:r>
      <w:r w:rsidR="00573BA7">
        <w:t xml:space="preserve"> </w:t>
      </w:r>
      <w:r w:rsidRPr="003F4CE1">
        <w:t>in</w:t>
      </w:r>
      <w:r w:rsidR="00573BA7">
        <w:t xml:space="preserve"> </w:t>
      </w:r>
      <w:r w:rsidRPr="003F4CE1">
        <w:t>November</w:t>
      </w:r>
      <w:r w:rsidR="00573BA7">
        <w:t xml:space="preserve"> </w:t>
      </w:r>
      <w:r w:rsidRPr="003F4CE1">
        <w:t>2019.</w:t>
      </w:r>
      <w:r w:rsidRPr="003F4CE1">
        <w:rPr>
          <w:rStyle w:val="EndnoteReference"/>
        </w:rPr>
        <w:endnoteReference w:id="245"/>
      </w:r>
      <w:r w:rsidR="00573BA7">
        <w:t xml:space="preserve"> </w:t>
      </w:r>
      <w:r w:rsidRPr="003F4CE1">
        <w:t>It</w:t>
      </w:r>
      <w:r w:rsidR="00573BA7">
        <w:t xml:space="preserve"> </w:t>
      </w:r>
      <w:r w:rsidRPr="003F4CE1">
        <w:t>sets</w:t>
      </w:r>
      <w:r w:rsidR="00573BA7">
        <w:t xml:space="preserve"> </w:t>
      </w:r>
      <w:r w:rsidRPr="003F4CE1">
        <w:t>out</w:t>
      </w:r>
      <w:r w:rsidR="00573BA7">
        <w:t xml:space="preserve"> </w:t>
      </w:r>
      <w:r w:rsidRPr="003F4CE1">
        <w:t>the</w:t>
      </w:r>
      <w:r w:rsidR="00573BA7">
        <w:t xml:space="preserve"> </w:t>
      </w:r>
      <w:r w:rsidRPr="003F4CE1">
        <w:t>Australian</w:t>
      </w:r>
      <w:r w:rsidR="00573BA7">
        <w:t xml:space="preserve"> </w:t>
      </w:r>
      <w:r w:rsidRPr="003F4CE1">
        <w:t>Government’s</w:t>
      </w:r>
      <w:r w:rsidR="00573BA7">
        <w:t xml:space="preserve"> </w:t>
      </w:r>
      <w:r w:rsidRPr="003F4CE1">
        <w:t>strategy</w:t>
      </w:r>
      <w:r w:rsidR="00573BA7">
        <w:t xml:space="preserve"> </w:t>
      </w:r>
      <w:r w:rsidRPr="003F4CE1">
        <w:t>for</w:t>
      </w:r>
      <w:r w:rsidR="00573BA7">
        <w:t xml:space="preserve"> </w:t>
      </w:r>
      <w:r w:rsidRPr="003F4CE1">
        <w:t>supporting</w:t>
      </w:r>
      <w:r w:rsidR="00573BA7">
        <w:t xml:space="preserve"> </w:t>
      </w:r>
      <w:r w:rsidRPr="003F4CE1">
        <w:t>NDIS</w:t>
      </w:r>
      <w:r w:rsidR="00573BA7">
        <w:t xml:space="preserve"> </w:t>
      </w:r>
      <w:r w:rsidRPr="003F4CE1">
        <w:t>participants</w:t>
      </w:r>
      <w:r w:rsidR="00573BA7">
        <w:t xml:space="preserve"> </w:t>
      </w:r>
      <w:r w:rsidRPr="003F4CE1">
        <w:t>to</w:t>
      </w:r>
      <w:r w:rsidR="00573BA7">
        <w:t xml:space="preserve"> </w:t>
      </w:r>
      <w:r w:rsidRPr="003F4CE1">
        <w:t>find</w:t>
      </w:r>
      <w:r w:rsidR="00573BA7">
        <w:t xml:space="preserve"> </w:t>
      </w:r>
      <w:r w:rsidRPr="003F4CE1">
        <w:t>and</w:t>
      </w:r>
      <w:r w:rsidR="00573BA7">
        <w:t xml:space="preserve"> </w:t>
      </w:r>
      <w:r w:rsidRPr="003F4CE1">
        <w:t>maintain</w:t>
      </w:r>
      <w:r w:rsidR="00573BA7">
        <w:t xml:space="preserve"> </w:t>
      </w:r>
      <w:r w:rsidRPr="003F4CE1">
        <w:t>meaningful</w:t>
      </w:r>
      <w:r w:rsidR="00573BA7">
        <w:t xml:space="preserve"> </w:t>
      </w:r>
      <w:r w:rsidRPr="003F4CE1">
        <w:t>employment.</w:t>
      </w:r>
      <w:r w:rsidR="00573BA7">
        <w:t xml:space="preserve"> </w:t>
      </w:r>
      <w:r w:rsidRPr="003F4CE1">
        <w:t>It</w:t>
      </w:r>
      <w:r w:rsidR="00573BA7">
        <w:t xml:space="preserve"> </w:t>
      </w:r>
      <w:r w:rsidRPr="003F4CE1">
        <w:t>also</w:t>
      </w:r>
      <w:r w:rsidR="00573BA7">
        <w:t xml:space="preserve"> </w:t>
      </w:r>
      <w:r w:rsidRPr="003F4CE1">
        <w:t>presents</w:t>
      </w:r>
      <w:r w:rsidR="00573BA7">
        <w:t xml:space="preserve"> </w:t>
      </w:r>
      <w:r w:rsidRPr="003F4CE1">
        <w:t>a</w:t>
      </w:r>
      <w:r w:rsidR="00573BA7">
        <w:t xml:space="preserve"> </w:t>
      </w:r>
      <w:r w:rsidRPr="003F4CE1">
        <w:t>clear</w:t>
      </w:r>
      <w:r w:rsidR="00573BA7">
        <w:t xml:space="preserve"> </w:t>
      </w:r>
      <w:r w:rsidRPr="003F4CE1">
        <w:t>economic</w:t>
      </w:r>
      <w:r w:rsidR="00573BA7">
        <w:t xml:space="preserve"> </w:t>
      </w:r>
      <w:r w:rsidRPr="003F4CE1">
        <w:t>imperative</w:t>
      </w:r>
      <w:r w:rsidR="00573BA7">
        <w:t xml:space="preserve"> </w:t>
      </w:r>
      <w:r w:rsidRPr="003F4CE1">
        <w:t>for</w:t>
      </w:r>
      <w:r w:rsidR="00573BA7">
        <w:t xml:space="preserve"> </w:t>
      </w:r>
      <w:r w:rsidRPr="003F4CE1">
        <w:t>improving</w:t>
      </w:r>
      <w:r w:rsidR="00573BA7">
        <w:t xml:space="preserve"> </w:t>
      </w:r>
      <w:r w:rsidRPr="003F4CE1">
        <w:t>employment</w:t>
      </w:r>
      <w:r w:rsidR="00573BA7">
        <w:t xml:space="preserve"> </w:t>
      </w:r>
      <w:r w:rsidRPr="003F4CE1">
        <w:t>participation</w:t>
      </w:r>
      <w:r w:rsidR="00573BA7">
        <w:t xml:space="preserve"> </w:t>
      </w:r>
      <w:r w:rsidRPr="003F4CE1">
        <w:t>for</w:t>
      </w:r>
      <w:r w:rsidR="00573BA7">
        <w:t xml:space="preserve"> </w:t>
      </w:r>
      <w:r w:rsidRPr="003F4CE1">
        <w:t>NDIS</w:t>
      </w:r>
      <w:r w:rsidR="00573BA7">
        <w:t xml:space="preserve"> </w:t>
      </w:r>
      <w:r w:rsidRPr="003F4CE1">
        <w:t>participants.</w:t>
      </w:r>
      <w:r w:rsidRPr="003F4CE1">
        <w:rPr>
          <w:rStyle w:val="EndnoteReference"/>
        </w:rPr>
        <w:endnoteReference w:id="246"/>
      </w:r>
      <w:r w:rsidR="00573BA7">
        <w:t xml:space="preserve"> </w:t>
      </w:r>
    </w:p>
    <w:p w14:paraId="5C869EA0" w14:textId="096422DA" w:rsidR="00B54EE8" w:rsidRDefault="006638DB" w:rsidP="00662F4B">
      <w:pPr>
        <w:pStyle w:val="ListNumber"/>
      </w:pPr>
      <w:r w:rsidRPr="003F4CE1">
        <w:t>The</w:t>
      </w:r>
      <w:r w:rsidR="00573BA7">
        <w:t xml:space="preserve"> </w:t>
      </w:r>
      <w:r w:rsidRPr="003F4CE1">
        <w:t>Commission</w:t>
      </w:r>
      <w:r w:rsidR="00573BA7">
        <w:t xml:space="preserve"> </w:t>
      </w:r>
      <w:r w:rsidRPr="003F4CE1">
        <w:t>welcomes</w:t>
      </w:r>
      <w:r w:rsidR="00573BA7">
        <w:t xml:space="preserve"> </w:t>
      </w:r>
      <w:r w:rsidRPr="003F4CE1">
        <w:t>the</w:t>
      </w:r>
      <w:r w:rsidR="00573BA7">
        <w:t xml:space="preserve"> </w:t>
      </w:r>
      <w:r w:rsidR="00D1255F" w:rsidRPr="00D1255F">
        <w:t>Participant</w:t>
      </w:r>
      <w:r w:rsidR="00573BA7">
        <w:t xml:space="preserve"> </w:t>
      </w:r>
      <w:r w:rsidR="00D1255F" w:rsidRPr="00D1255F">
        <w:t>Employment</w:t>
      </w:r>
      <w:r w:rsidR="00573BA7">
        <w:t xml:space="preserve"> </w:t>
      </w:r>
      <w:r w:rsidR="00D1255F" w:rsidRPr="00D1255F">
        <w:t>Strategy</w:t>
      </w:r>
      <w:r w:rsidRPr="003F4CE1">
        <w:t>,</w:t>
      </w:r>
      <w:r w:rsidR="00573BA7">
        <w:t xml:space="preserve"> </w:t>
      </w:r>
      <w:r w:rsidRPr="003F4CE1">
        <w:t>and</w:t>
      </w:r>
      <w:r w:rsidR="00573BA7">
        <w:t xml:space="preserve"> </w:t>
      </w:r>
      <w:r w:rsidRPr="003F4CE1">
        <w:t>its</w:t>
      </w:r>
      <w:r w:rsidR="00573BA7">
        <w:t xml:space="preserve"> </w:t>
      </w:r>
      <w:r w:rsidRPr="003F4CE1">
        <w:t>ultimate</w:t>
      </w:r>
      <w:r w:rsidR="00573BA7">
        <w:t xml:space="preserve"> </w:t>
      </w:r>
      <w:r w:rsidRPr="003F4CE1">
        <w:t>goal</w:t>
      </w:r>
      <w:r w:rsidR="00573BA7">
        <w:t xml:space="preserve"> </w:t>
      </w:r>
      <w:r w:rsidRPr="003F4CE1">
        <w:t>of</w:t>
      </w:r>
      <w:r w:rsidR="00573BA7">
        <w:t xml:space="preserve"> </w:t>
      </w:r>
      <w:r w:rsidRPr="003F4CE1">
        <w:t>increasing</w:t>
      </w:r>
      <w:r w:rsidR="00573BA7">
        <w:t xml:space="preserve"> </w:t>
      </w:r>
      <w:r w:rsidRPr="003F4CE1">
        <w:t>workforce</w:t>
      </w:r>
      <w:r w:rsidR="00573BA7">
        <w:t xml:space="preserve"> </w:t>
      </w:r>
      <w:r w:rsidRPr="003F4CE1">
        <w:t>participation</w:t>
      </w:r>
      <w:r w:rsidR="00573BA7">
        <w:t xml:space="preserve"> </w:t>
      </w:r>
      <w:r w:rsidRPr="003F4CE1">
        <w:t>of</w:t>
      </w:r>
      <w:r w:rsidR="00573BA7">
        <w:t xml:space="preserve"> </w:t>
      </w:r>
      <w:r w:rsidRPr="003F4CE1">
        <w:t>working</w:t>
      </w:r>
      <w:r w:rsidR="00573BA7">
        <w:t xml:space="preserve"> </w:t>
      </w:r>
      <w:r w:rsidRPr="003F4CE1">
        <w:t>age</w:t>
      </w:r>
      <w:r w:rsidR="00573BA7">
        <w:t xml:space="preserve"> </w:t>
      </w:r>
      <w:r w:rsidRPr="003F4CE1">
        <w:t>participants</w:t>
      </w:r>
      <w:r w:rsidR="00573BA7">
        <w:t xml:space="preserve"> </w:t>
      </w:r>
      <w:r w:rsidRPr="003F4CE1">
        <w:t>from</w:t>
      </w:r>
      <w:r w:rsidR="00573BA7">
        <w:t xml:space="preserve"> </w:t>
      </w:r>
      <w:r w:rsidRPr="003F4CE1">
        <w:t>24%</w:t>
      </w:r>
      <w:r w:rsidR="00573BA7">
        <w:t xml:space="preserve"> </w:t>
      </w:r>
      <w:r w:rsidRPr="003F4CE1">
        <w:t>to</w:t>
      </w:r>
      <w:r w:rsidR="00573BA7">
        <w:t xml:space="preserve"> </w:t>
      </w:r>
      <w:r w:rsidRPr="003F4CE1">
        <w:t>30%</w:t>
      </w:r>
      <w:r w:rsidR="00573BA7">
        <w:t xml:space="preserve"> </w:t>
      </w:r>
      <w:r w:rsidRPr="003F4CE1">
        <w:t>by</w:t>
      </w:r>
      <w:r w:rsidR="00573BA7">
        <w:t xml:space="preserve"> </w:t>
      </w:r>
      <w:r w:rsidRPr="003F4CE1">
        <w:t>June</w:t>
      </w:r>
      <w:r w:rsidR="00573BA7">
        <w:t xml:space="preserve"> </w:t>
      </w:r>
      <w:r w:rsidRPr="003F4CE1">
        <w:t>2023.</w:t>
      </w:r>
      <w:r w:rsidRPr="003F4CE1">
        <w:rPr>
          <w:rStyle w:val="EndnoteReference"/>
        </w:rPr>
        <w:endnoteReference w:id="247"/>
      </w:r>
      <w:r w:rsidR="00573BA7">
        <w:t xml:space="preserve"> </w:t>
      </w:r>
      <w:r w:rsidR="00D1255F">
        <w:t>In</w:t>
      </w:r>
      <w:r w:rsidR="00573BA7">
        <w:t xml:space="preserve"> </w:t>
      </w:r>
      <w:r w:rsidRPr="003F4CE1">
        <w:t>particular</w:t>
      </w:r>
      <w:r w:rsidR="00D1255F">
        <w:t>,</w:t>
      </w:r>
      <w:r w:rsidR="00573BA7">
        <w:t xml:space="preserve"> </w:t>
      </w:r>
      <w:r w:rsidR="00D1255F">
        <w:t>the</w:t>
      </w:r>
      <w:r w:rsidR="00573BA7">
        <w:t xml:space="preserve"> </w:t>
      </w:r>
      <w:r w:rsidR="00D1255F">
        <w:t>Commission</w:t>
      </w:r>
      <w:r w:rsidR="00573BA7">
        <w:t xml:space="preserve"> </w:t>
      </w:r>
      <w:r w:rsidR="00D1255F">
        <w:t>welcomes</w:t>
      </w:r>
      <w:r w:rsidR="00573BA7">
        <w:t xml:space="preserve"> </w:t>
      </w:r>
      <w:r w:rsidRPr="003F4CE1">
        <w:t>the</w:t>
      </w:r>
      <w:r w:rsidR="00573BA7">
        <w:t xml:space="preserve"> </w:t>
      </w:r>
      <w:r w:rsidR="00B54EE8" w:rsidRPr="00B54EE8">
        <w:t>Participant</w:t>
      </w:r>
      <w:r w:rsidR="00573BA7">
        <w:t xml:space="preserve"> </w:t>
      </w:r>
      <w:r w:rsidR="00B54EE8" w:rsidRPr="00B54EE8">
        <w:t>Employment</w:t>
      </w:r>
      <w:r w:rsidR="00573BA7">
        <w:t xml:space="preserve"> </w:t>
      </w:r>
      <w:r w:rsidR="00B54EE8" w:rsidRPr="00B54EE8">
        <w:t>Strategy</w:t>
      </w:r>
      <w:r w:rsidR="00B54EE8">
        <w:t>’s</w:t>
      </w:r>
      <w:r w:rsidR="00573BA7">
        <w:t xml:space="preserve"> </w:t>
      </w:r>
      <w:r w:rsidRPr="003F4CE1">
        <w:t>commitment</w:t>
      </w:r>
      <w:r w:rsidR="00573BA7">
        <w:t xml:space="preserve"> </w:t>
      </w:r>
      <w:r w:rsidRPr="003F4CE1">
        <w:t>that</w:t>
      </w:r>
      <w:r w:rsidR="00573BA7">
        <w:t xml:space="preserve"> </w:t>
      </w:r>
      <w:r w:rsidRPr="003F4CE1">
        <w:t>employment</w:t>
      </w:r>
      <w:r w:rsidR="00573BA7">
        <w:t xml:space="preserve"> </w:t>
      </w:r>
      <w:r w:rsidRPr="003F4CE1">
        <w:t>goals</w:t>
      </w:r>
      <w:r w:rsidR="00573BA7">
        <w:t xml:space="preserve"> </w:t>
      </w:r>
      <w:r w:rsidRPr="003F4CE1">
        <w:t>and</w:t>
      </w:r>
      <w:r w:rsidR="00573BA7">
        <w:t xml:space="preserve"> </w:t>
      </w:r>
      <w:r w:rsidRPr="003F4CE1">
        <w:t>supports</w:t>
      </w:r>
      <w:r w:rsidR="00573BA7">
        <w:t xml:space="preserve"> </w:t>
      </w:r>
      <w:r w:rsidR="00B54EE8">
        <w:t>will</w:t>
      </w:r>
      <w:r w:rsidR="00573BA7">
        <w:t xml:space="preserve"> </w:t>
      </w:r>
      <w:r w:rsidR="00B54EE8">
        <w:t>be</w:t>
      </w:r>
      <w:r w:rsidR="00573BA7">
        <w:t xml:space="preserve"> </w:t>
      </w:r>
      <w:r w:rsidR="00B54EE8">
        <w:t>included</w:t>
      </w:r>
      <w:r w:rsidR="00573BA7">
        <w:t xml:space="preserve"> </w:t>
      </w:r>
      <w:r w:rsidRPr="003F4CE1">
        <w:t>in</w:t>
      </w:r>
      <w:r w:rsidR="00573BA7">
        <w:t xml:space="preserve"> </w:t>
      </w:r>
      <w:r w:rsidRPr="003F4CE1">
        <w:t>NDIS</w:t>
      </w:r>
      <w:r w:rsidR="00573BA7">
        <w:t xml:space="preserve"> </w:t>
      </w:r>
      <w:r w:rsidRPr="003F4CE1">
        <w:t>plans</w:t>
      </w:r>
      <w:r w:rsidR="00573BA7">
        <w:t xml:space="preserve"> </w:t>
      </w:r>
      <w:r w:rsidRPr="003F4CE1">
        <w:t>for</w:t>
      </w:r>
      <w:r w:rsidR="00573BA7">
        <w:t xml:space="preserve"> </w:t>
      </w:r>
      <w:r w:rsidRPr="003F4CE1">
        <w:t>all</w:t>
      </w:r>
      <w:r w:rsidR="00573BA7">
        <w:t xml:space="preserve"> </w:t>
      </w:r>
      <w:r w:rsidRPr="003F4CE1">
        <w:t>participants</w:t>
      </w:r>
      <w:r w:rsidR="00573BA7">
        <w:t xml:space="preserve"> </w:t>
      </w:r>
      <w:r w:rsidRPr="003F4CE1">
        <w:t>who</w:t>
      </w:r>
      <w:r w:rsidR="00573BA7">
        <w:t xml:space="preserve"> </w:t>
      </w:r>
      <w:r w:rsidRPr="003F4CE1">
        <w:t>have</w:t>
      </w:r>
      <w:r w:rsidR="00573BA7">
        <w:t xml:space="preserve"> </w:t>
      </w:r>
      <w:r w:rsidRPr="003F4CE1">
        <w:t>an</w:t>
      </w:r>
      <w:r w:rsidR="00573BA7">
        <w:t xml:space="preserve"> </w:t>
      </w:r>
      <w:r w:rsidRPr="003F4CE1">
        <w:t>‘aspiration</w:t>
      </w:r>
      <w:r w:rsidR="00573BA7">
        <w:t xml:space="preserve"> </w:t>
      </w:r>
      <w:r w:rsidRPr="003F4CE1">
        <w:t>to</w:t>
      </w:r>
      <w:r w:rsidR="00573BA7">
        <w:t xml:space="preserve"> </w:t>
      </w:r>
      <w:r w:rsidRPr="003F4CE1">
        <w:t>work’,</w:t>
      </w:r>
      <w:r w:rsidR="00573BA7">
        <w:t xml:space="preserve"> </w:t>
      </w:r>
      <w:r w:rsidRPr="003F4CE1">
        <w:t>with</w:t>
      </w:r>
      <w:r w:rsidR="00573BA7">
        <w:t xml:space="preserve"> </w:t>
      </w:r>
      <w:r w:rsidRPr="003F4CE1">
        <w:t>a</w:t>
      </w:r>
      <w:r w:rsidR="00573BA7">
        <w:t xml:space="preserve"> </w:t>
      </w:r>
      <w:r w:rsidRPr="003F4CE1">
        <w:t>target</w:t>
      </w:r>
      <w:r w:rsidR="00573BA7">
        <w:t xml:space="preserve"> </w:t>
      </w:r>
      <w:r w:rsidRPr="003F4CE1">
        <w:t>of</w:t>
      </w:r>
      <w:r w:rsidR="00573BA7">
        <w:t xml:space="preserve"> </w:t>
      </w:r>
      <w:r w:rsidRPr="003F4CE1">
        <w:t>40%</w:t>
      </w:r>
      <w:r w:rsidR="00573BA7">
        <w:t xml:space="preserve"> </w:t>
      </w:r>
      <w:r w:rsidRPr="003F4CE1">
        <w:t>of</w:t>
      </w:r>
      <w:r w:rsidR="00573BA7">
        <w:t xml:space="preserve"> </w:t>
      </w:r>
      <w:r w:rsidRPr="003F4CE1">
        <w:t>working</w:t>
      </w:r>
      <w:r w:rsidR="00573BA7">
        <w:t xml:space="preserve"> </w:t>
      </w:r>
      <w:r w:rsidRPr="003F4CE1">
        <w:t>age</w:t>
      </w:r>
      <w:r w:rsidR="00573BA7">
        <w:t xml:space="preserve"> </w:t>
      </w:r>
      <w:r w:rsidRPr="003F4CE1">
        <w:t>participants</w:t>
      </w:r>
      <w:r w:rsidR="00573BA7">
        <w:t xml:space="preserve"> </w:t>
      </w:r>
      <w:r w:rsidRPr="003F4CE1">
        <w:t>including</w:t>
      </w:r>
      <w:r w:rsidR="00573BA7">
        <w:t xml:space="preserve"> </w:t>
      </w:r>
      <w:r w:rsidRPr="003F4CE1">
        <w:t>work</w:t>
      </w:r>
      <w:r w:rsidR="00573BA7">
        <w:t xml:space="preserve"> </w:t>
      </w:r>
      <w:r w:rsidRPr="003F4CE1">
        <w:t>goals</w:t>
      </w:r>
      <w:r w:rsidR="00573BA7">
        <w:t xml:space="preserve"> </w:t>
      </w:r>
      <w:r w:rsidRPr="003F4CE1">
        <w:t>in</w:t>
      </w:r>
      <w:r w:rsidR="00573BA7">
        <w:t xml:space="preserve"> </w:t>
      </w:r>
      <w:r w:rsidRPr="003F4CE1">
        <w:t>their</w:t>
      </w:r>
      <w:r w:rsidR="00573BA7">
        <w:t xml:space="preserve"> </w:t>
      </w:r>
      <w:r w:rsidRPr="003F4CE1">
        <w:t>plans</w:t>
      </w:r>
      <w:r w:rsidR="00573BA7">
        <w:t xml:space="preserve"> </w:t>
      </w:r>
      <w:r w:rsidRPr="003F4CE1">
        <w:t>by</w:t>
      </w:r>
      <w:r w:rsidR="00573BA7">
        <w:t xml:space="preserve"> </w:t>
      </w:r>
      <w:r w:rsidRPr="003F4CE1">
        <w:t>2023.</w:t>
      </w:r>
      <w:r w:rsidR="00573BA7">
        <w:t xml:space="preserve"> </w:t>
      </w:r>
    </w:p>
    <w:p w14:paraId="0725C9EC" w14:textId="055C33B1" w:rsidR="00CD4224" w:rsidRDefault="006638DB" w:rsidP="00662F4B">
      <w:pPr>
        <w:pStyle w:val="ListNumber"/>
      </w:pPr>
      <w:r>
        <w:t>The</w:t>
      </w:r>
      <w:r w:rsidR="00573BA7">
        <w:t xml:space="preserve"> </w:t>
      </w:r>
      <w:r>
        <w:t>Commission</w:t>
      </w:r>
      <w:r w:rsidR="00573BA7">
        <w:t xml:space="preserve"> </w:t>
      </w:r>
      <w:r>
        <w:t>encourages</w:t>
      </w:r>
      <w:r w:rsidR="00573BA7">
        <w:t xml:space="preserve"> </w:t>
      </w:r>
      <w:r>
        <w:t>the</w:t>
      </w:r>
      <w:r w:rsidR="00573BA7">
        <w:t xml:space="preserve"> </w:t>
      </w:r>
      <w:r>
        <w:t>Australian</w:t>
      </w:r>
      <w:r w:rsidR="00573BA7">
        <w:t xml:space="preserve"> </w:t>
      </w:r>
      <w:r>
        <w:t>Government</w:t>
      </w:r>
      <w:r w:rsidR="00573BA7">
        <w:t xml:space="preserve"> </w:t>
      </w:r>
      <w:r>
        <w:t>to</w:t>
      </w:r>
      <w:r w:rsidR="00573BA7">
        <w:t xml:space="preserve"> </w:t>
      </w:r>
      <w:r>
        <w:t>ensure</w:t>
      </w:r>
      <w:r w:rsidR="00573BA7">
        <w:t xml:space="preserve"> </w:t>
      </w:r>
      <w:r>
        <w:t>participants</w:t>
      </w:r>
      <w:r w:rsidR="00573BA7">
        <w:t xml:space="preserve"> </w:t>
      </w:r>
      <w:r>
        <w:t>are</w:t>
      </w:r>
      <w:r w:rsidR="00573BA7">
        <w:t xml:space="preserve"> </w:t>
      </w:r>
      <w:r w:rsidR="00EE1FD4">
        <w:t>provided with appropriate supports to develop</w:t>
      </w:r>
      <w:r w:rsidR="00573BA7">
        <w:t xml:space="preserve"> </w:t>
      </w:r>
      <w:r>
        <w:t>an</w:t>
      </w:r>
      <w:r w:rsidR="00573BA7">
        <w:t xml:space="preserve"> </w:t>
      </w:r>
      <w:r>
        <w:t>‘aspiration</w:t>
      </w:r>
      <w:r w:rsidR="00573BA7">
        <w:t xml:space="preserve"> </w:t>
      </w:r>
      <w:r>
        <w:t>to</w:t>
      </w:r>
      <w:r w:rsidR="00573BA7">
        <w:t xml:space="preserve"> </w:t>
      </w:r>
      <w:r>
        <w:t>work’</w:t>
      </w:r>
      <w:r w:rsidR="00600EF8">
        <w:t>.</w:t>
      </w:r>
      <w:r w:rsidR="00573BA7">
        <w:t xml:space="preserve"> </w:t>
      </w:r>
      <w:r w:rsidR="00EE1FD4">
        <w:t>Ensuring NDIS participants</w:t>
      </w:r>
      <w:r w:rsidR="00CD4224">
        <w:t xml:space="preserve"> have effective access to technical and vocational guidance, placement services and vocational and continuing training</w:t>
      </w:r>
      <w:r w:rsidR="00EE1FD4">
        <w:t>, as well as focusing on the ultimate goal of obtaining employment, is consistent with Australia’s obligations under Article 27(1)(d) of the CRPD.</w:t>
      </w:r>
    </w:p>
    <w:p w14:paraId="0489AFC7" w14:textId="0196DBA2" w:rsidR="006638DB" w:rsidRPr="003F4CE1" w:rsidRDefault="006638DB" w:rsidP="00662F4B">
      <w:pPr>
        <w:pStyle w:val="ListNumber"/>
      </w:pPr>
      <w:r>
        <w:t>The</w:t>
      </w:r>
      <w:r w:rsidR="00573BA7">
        <w:t xml:space="preserve"> </w:t>
      </w:r>
      <w:r>
        <w:t>Commission</w:t>
      </w:r>
      <w:r w:rsidR="00573BA7">
        <w:t xml:space="preserve"> </w:t>
      </w:r>
      <w:r w:rsidR="006F30E9">
        <w:t>also</w:t>
      </w:r>
      <w:r w:rsidR="00573BA7">
        <w:t xml:space="preserve"> </w:t>
      </w:r>
      <w:r>
        <w:t>encourages</w:t>
      </w:r>
      <w:r w:rsidR="00573BA7">
        <w:t xml:space="preserve"> </w:t>
      </w:r>
      <w:r>
        <w:t>the</w:t>
      </w:r>
      <w:r w:rsidR="00573BA7">
        <w:t xml:space="preserve"> </w:t>
      </w:r>
      <w:r>
        <w:t>Australian</w:t>
      </w:r>
      <w:r w:rsidR="00573BA7">
        <w:t xml:space="preserve"> </w:t>
      </w:r>
      <w:r>
        <w:t>Government</w:t>
      </w:r>
      <w:r w:rsidR="00573BA7">
        <w:t xml:space="preserve"> </w:t>
      </w:r>
      <w:r>
        <w:t>to</w:t>
      </w:r>
      <w:r w:rsidR="00573BA7">
        <w:t xml:space="preserve"> </w:t>
      </w:r>
      <w:r>
        <w:t>ensure</w:t>
      </w:r>
      <w:r w:rsidR="00573BA7">
        <w:t xml:space="preserve"> </w:t>
      </w:r>
      <w:r>
        <w:t>robust</w:t>
      </w:r>
      <w:r w:rsidR="00573BA7">
        <w:t xml:space="preserve"> </w:t>
      </w:r>
      <w:r>
        <w:t>accountability</w:t>
      </w:r>
      <w:r w:rsidR="00573BA7">
        <w:t xml:space="preserve"> </w:t>
      </w:r>
      <w:r>
        <w:t>measures</w:t>
      </w:r>
      <w:r w:rsidR="00573BA7">
        <w:t xml:space="preserve"> </w:t>
      </w:r>
      <w:r>
        <w:t>are</w:t>
      </w:r>
      <w:r w:rsidR="00573BA7">
        <w:t xml:space="preserve"> </w:t>
      </w:r>
      <w:r>
        <w:t>in</w:t>
      </w:r>
      <w:r w:rsidR="00573BA7">
        <w:t xml:space="preserve"> </w:t>
      </w:r>
      <w:r>
        <w:t>place</w:t>
      </w:r>
      <w:r w:rsidR="00573BA7">
        <w:t xml:space="preserve"> </w:t>
      </w:r>
      <w:r>
        <w:t>to</w:t>
      </w:r>
      <w:r w:rsidR="00573BA7">
        <w:t xml:space="preserve"> </w:t>
      </w:r>
      <w:r>
        <w:t>measure</w:t>
      </w:r>
      <w:r w:rsidR="00573BA7">
        <w:t xml:space="preserve"> </w:t>
      </w:r>
      <w:r>
        <w:t>the</w:t>
      </w:r>
      <w:r w:rsidR="00573BA7">
        <w:t xml:space="preserve"> </w:t>
      </w:r>
      <w:r>
        <w:t>effectiveness</w:t>
      </w:r>
      <w:r w:rsidR="00573BA7">
        <w:t xml:space="preserve"> </w:t>
      </w:r>
      <w:r>
        <w:t>of</w:t>
      </w:r>
      <w:r w:rsidR="00573BA7">
        <w:t xml:space="preserve"> </w:t>
      </w:r>
      <w:r>
        <w:t>the</w:t>
      </w:r>
      <w:r w:rsidR="00573BA7">
        <w:t xml:space="preserve"> </w:t>
      </w:r>
      <w:r w:rsidR="001616A1">
        <w:t xml:space="preserve">Participant Employment </w:t>
      </w:r>
      <w:r>
        <w:t>Strategy,</w:t>
      </w:r>
      <w:r w:rsidR="00573BA7">
        <w:t xml:space="preserve"> </w:t>
      </w:r>
      <w:r>
        <w:t>and</w:t>
      </w:r>
      <w:r w:rsidR="00573BA7">
        <w:t xml:space="preserve"> </w:t>
      </w:r>
      <w:r>
        <w:t>publicly</w:t>
      </w:r>
      <w:r w:rsidR="00573BA7">
        <w:t xml:space="preserve"> </w:t>
      </w:r>
      <w:r>
        <w:t>report</w:t>
      </w:r>
      <w:r w:rsidR="00573BA7">
        <w:t xml:space="preserve"> </w:t>
      </w:r>
      <w:r>
        <w:t>annual</w:t>
      </w:r>
      <w:r w:rsidR="00573BA7">
        <w:t xml:space="preserve"> </w:t>
      </w:r>
      <w:r>
        <w:t>progress</w:t>
      </w:r>
      <w:r w:rsidR="00573BA7">
        <w:t xml:space="preserve"> </w:t>
      </w:r>
      <w:r>
        <w:t>against</w:t>
      </w:r>
      <w:r w:rsidR="00573BA7">
        <w:t xml:space="preserve"> </w:t>
      </w:r>
      <w:r w:rsidR="001616A1">
        <w:t xml:space="preserve">its </w:t>
      </w:r>
      <w:r>
        <w:t>goals</w:t>
      </w:r>
      <w:r w:rsidR="005021D1">
        <w:t>. As part of this process</w:t>
      </w:r>
      <w:r w:rsidR="00F71F45">
        <w:t>,</w:t>
      </w:r>
      <w:r w:rsidR="005021D1">
        <w:t xml:space="preserve"> data in relation to the nature of the work participants are engaged in (for example, full-time or part-time) and the wages they are receiving (for example,</w:t>
      </w:r>
      <w:r w:rsidR="005054DA">
        <w:t xml:space="preserve"> any reduction under the SWS) should be captured.</w:t>
      </w:r>
      <w:r w:rsidR="006A5148">
        <w:t xml:space="preserve"> We note that employment related data is currently reported through the NDIS’ quarterly reports.</w:t>
      </w:r>
      <w:r w:rsidR="006A5148">
        <w:rPr>
          <w:rStyle w:val="EndnoteReference"/>
        </w:rPr>
        <w:endnoteReference w:id="248"/>
      </w:r>
    </w:p>
    <w:p w14:paraId="5E5B3CFD" w14:textId="77777777" w:rsidR="005517EA" w:rsidRPr="001F51EA" w:rsidRDefault="005517EA" w:rsidP="005517EA">
      <w:pPr>
        <w:pStyle w:val="ListNumber"/>
        <w:rPr>
          <w:b/>
          <w:bCs/>
          <w:i/>
          <w:iCs/>
        </w:rPr>
      </w:pPr>
      <w:r w:rsidRPr="001F51EA">
        <w:rPr>
          <w:b/>
          <w:bCs/>
          <w:i/>
          <w:iCs/>
        </w:rPr>
        <w:t xml:space="preserve">Recommendation 16: The Australian Government ensure NDIS participants have effective access to technical and vocational guidance, placement services and vocational and continuing training, consistent with Australia’s obligations under Article 27(1)(d) of the CRPD, to develop and support an ‘aspiration to work’. </w:t>
      </w:r>
    </w:p>
    <w:p w14:paraId="0B91483E" w14:textId="769044F0" w:rsidR="006638DB" w:rsidRPr="003F4CE1" w:rsidRDefault="006638DB" w:rsidP="00662F4B">
      <w:pPr>
        <w:pStyle w:val="ListNumber"/>
        <w:rPr>
          <w:i/>
          <w:iCs/>
        </w:rPr>
      </w:pPr>
      <w:r w:rsidRPr="003F4CE1">
        <w:lastRenderedPageBreak/>
        <w:t>A</w:t>
      </w:r>
      <w:r w:rsidR="00573BA7">
        <w:t xml:space="preserve"> </w:t>
      </w:r>
      <w:r w:rsidRPr="003F4CE1">
        <w:t>suite</w:t>
      </w:r>
      <w:r w:rsidR="00573BA7">
        <w:t xml:space="preserve"> </w:t>
      </w:r>
      <w:r w:rsidRPr="003F4CE1">
        <w:t>of</w:t>
      </w:r>
      <w:r w:rsidR="00573BA7">
        <w:t xml:space="preserve"> </w:t>
      </w:r>
      <w:r w:rsidRPr="003F4CE1">
        <w:t>NDIS</w:t>
      </w:r>
      <w:r w:rsidR="00573BA7">
        <w:t xml:space="preserve"> </w:t>
      </w:r>
      <w:r w:rsidRPr="003F4CE1">
        <w:t>reforms</w:t>
      </w:r>
      <w:r w:rsidR="00573BA7">
        <w:t xml:space="preserve"> </w:t>
      </w:r>
      <w:r w:rsidRPr="003F4CE1">
        <w:t>introduced</w:t>
      </w:r>
      <w:r w:rsidR="00573BA7">
        <w:t xml:space="preserve"> </w:t>
      </w:r>
      <w:r w:rsidRPr="003F4CE1">
        <w:t>by</w:t>
      </w:r>
      <w:r w:rsidR="00573BA7">
        <w:t xml:space="preserve"> </w:t>
      </w:r>
      <w:r w:rsidRPr="003F4CE1">
        <w:t>the</w:t>
      </w:r>
      <w:r w:rsidR="00573BA7">
        <w:t xml:space="preserve"> </w:t>
      </w:r>
      <w:r w:rsidRPr="003F4CE1">
        <w:t>Australian</w:t>
      </w:r>
      <w:r w:rsidR="00573BA7">
        <w:t xml:space="preserve"> </w:t>
      </w:r>
      <w:r w:rsidRPr="003F4CE1">
        <w:t>Government</w:t>
      </w:r>
      <w:r w:rsidR="00573BA7">
        <w:t xml:space="preserve"> </w:t>
      </w:r>
      <w:r w:rsidRPr="003F4CE1">
        <w:t>since</w:t>
      </w:r>
      <w:r w:rsidR="00573BA7">
        <w:t xml:space="preserve"> </w:t>
      </w:r>
      <w:r w:rsidRPr="003F4CE1">
        <w:t>2018</w:t>
      </w:r>
      <w:r w:rsidR="00573BA7">
        <w:t xml:space="preserve"> </w:t>
      </w:r>
      <w:r w:rsidRPr="003F4CE1">
        <w:t>also</w:t>
      </w:r>
      <w:r w:rsidR="00573BA7">
        <w:t xml:space="preserve"> </w:t>
      </w:r>
      <w:r w:rsidRPr="003F4CE1">
        <w:t>aim</w:t>
      </w:r>
      <w:r w:rsidR="00573BA7">
        <w:t xml:space="preserve"> </w:t>
      </w:r>
      <w:r w:rsidRPr="003F4CE1">
        <w:t>to</w:t>
      </w:r>
      <w:r w:rsidR="00573BA7">
        <w:t xml:space="preserve"> </w:t>
      </w:r>
      <w:r w:rsidRPr="003F4CE1">
        <w:t>improve</w:t>
      </w:r>
      <w:r w:rsidR="00573BA7">
        <w:t xml:space="preserve"> </w:t>
      </w:r>
      <w:r w:rsidRPr="003F4CE1">
        <w:t>employment</w:t>
      </w:r>
      <w:r w:rsidR="00573BA7">
        <w:t xml:space="preserve"> </w:t>
      </w:r>
      <w:r w:rsidRPr="003F4CE1">
        <w:t>outcomes</w:t>
      </w:r>
      <w:r w:rsidR="00573BA7">
        <w:t xml:space="preserve"> </w:t>
      </w:r>
      <w:r w:rsidRPr="003F4CE1">
        <w:t>for</w:t>
      </w:r>
      <w:r w:rsidR="00573BA7">
        <w:t xml:space="preserve"> </w:t>
      </w:r>
      <w:r w:rsidRPr="003F4CE1">
        <w:t>NDIS</w:t>
      </w:r>
      <w:r w:rsidR="00573BA7">
        <w:t xml:space="preserve"> </w:t>
      </w:r>
      <w:r w:rsidRPr="003F4CE1">
        <w:t>participants.</w:t>
      </w:r>
      <w:r w:rsidR="00573BA7">
        <w:t xml:space="preserve"> </w:t>
      </w:r>
      <w:r w:rsidRPr="003F4CE1">
        <w:t>Funding</w:t>
      </w:r>
      <w:r w:rsidR="00573BA7">
        <w:t xml:space="preserve"> </w:t>
      </w:r>
      <w:r w:rsidRPr="003F4CE1">
        <w:t>for</w:t>
      </w:r>
      <w:r w:rsidR="00573BA7">
        <w:t xml:space="preserve"> </w:t>
      </w:r>
      <w:r w:rsidRPr="003F4CE1">
        <w:t>employment</w:t>
      </w:r>
      <w:r w:rsidR="00573BA7">
        <w:t xml:space="preserve"> </w:t>
      </w:r>
      <w:r w:rsidRPr="003F4CE1">
        <w:t>supports</w:t>
      </w:r>
      <w:r w:rsidR="00573BA7">
        <w:t xml:space="preserve"> </w:t>
      </w:r>
      <w:r w:rsidRPr="003F4CE1">
        <w:t>has</w:t>
      </w:r>
      <w:r w:rsidR="00573BA7">
        <w:t xml:space="preserve"> </w:t>
      </w:r>
      <w:r w:rsidRPr="003F4CE1">
        <w:t>moved</w:t>
      </w:r>
      <w:r w:rsidR="00573BA7">
        <w:t xml:space="preserve"> </w:t>
      </w:r>
      <w:r w:rsidRPr="003F4CE1">
        <w:t>from</w:t>
      </w:r>
      <w:r w:rsidR="00573BA7">
        <w:t xml:space="preserve"> </w:t>
      </w:r>
      <w:r w:rsidRPr="003F4CE1">
        <w:t>a</w:t>
      </w:r>
      <w:r w:rsidR="00573BA7">
        <w:t xml:space="preserve"> </w:t>
      </w:r>
      <w:r w:rsidRPr="003F4CE1">
        <w:t>participant’s</w:t>
      </w:r>
      <w:r w:rsidR="00573BA7">
        <w:t xml:space="preserve"> </w:t>
      </w:r>
      <w:r w:rsidRPr="003F4CE1">
        <w:t>capacity</w:t>
      </w:r>
      <w:r w:rsidR="00573BA7">
        <w:t xml:space="preserve"> </w:t>
      </w:r>
      <w:r w:rsidRPr="003F4CE1">
        <w:t>building</w:t>
      </w:r>
      <w:r w:rsidR="00573BA7">
        <w:t xml:space="preserve"> </w:t>
      </w:r>
      <w:r w:rsidRPr="003F4CE1">
        <w:t>budget</w:t>
      </w:r>
      <w:r w:rsidR="00573BA7">
        <w:t xml:space="preserve"> </w:t>
      </w:r>
      <w:r w:rsidRPr="003F4CE1">
        <w:t>into</w:t>
      </w:r>
      <w:r w:rsidR="00573BA7">
        <w:t xml:space="preserve"> </w:t>
      </w:r>
      <w:r w:rsidRPr="003F4CE1">
        <w:t>their</w:t>
      </w:r>
      <w:r w:rsidR="00573BA7">
        <w:t xml:space="preserve"> </w:t>
      </w:r>
      <w:r w:rsidRPr="003F4CE1">
        <w:t>core</w:t>
      </w:r>
      <w:r w:rsidR="00573BA7">
        <w:t xml:space="preserve"> </w:t>
      </w:r>
      <w:r w:rsidRPr="003F4CE1">
        <w:t>budget,</w:t>
      </w:r>
      <w:r w:rsidR="00573BA7">
        <w:t xml:space="preserve"> </w:t>
      </w:r>
      <w:r w:rsidRPr="003F4CE1">
        <w:t>with</w:t>
      </w:r>
      <w:r w:rsidR="00573BA7">
        <w:t xml:space="preserve"> </w:t>
      </w:r>
      <w:r w:rsidRPr="003F4CE1">
        <w:t>the</w:t>
      </w:r>
      <w:r w:rsidR="00573BA7">
        <w:t xml:space="preserve"> </w:t>
      </w:r>
      <w:r w:rsidRPr="003F4CE1">
        <w:t>aim</w:t>
      </w:r>
      <w:r w:rsidR="00573BA7">
        <w:t xml:space="preserve"> </w:t>
      </w:r>
      <w:r w:rsidRPr="003F4CE1">
        <w:t>of</w:t>
      </w:r>
      <w:r w:rsidR="00573BA7">
        <w:t xml:space="preserve"> </w:t>
      </w:r>
      <w:r w:rsidRPr="003F4CE1">
        <w:t>increasing</w:t>
      </w:r>
      <w:r w:rsidR="00573BA7">
        <w:t xml:space="preserve"> </w:t>
      </w:r>
      <w:r w:rsidRPr="003F4CE1">
        <w:t>flexibility.</w:t>
      </w:r>
      <w:r w:rsidRPr="003F4CE1">
        <w:rPr>
          <w:rStyle w:val="EndnoteReference"/>
        </w:rPr>
        <w:endnoteReference w:id="249"/>
      </w:r>
      <w:r w:rsidR="00573BA7">
        <w:t xml:space="preserve"> </w:t>
      </w:r>
      <w:r w:rsidRPr="003F4CE1">
        <w:t>Joint</w:t>
      </w:r>
      <w:r w:rsidR="00573BA7">
        <w:t xml:space="preserve"> </w:t>
      </w:r>
      <w:r w:rsidRPr="003F4CE1">
        <w:t>planning</w:t>
      </w:r>
      <w:r w:rsidR="00573BA7">
        <w:t xml:space="preserve"> </w:t>
      </w:r>
      <w:r w:rsidRPr="003F4CE1">
        <w:t>approaches,</w:t>
      </w:r>
      <w:r w:rsidR="00573BA7">
        <w:t xml:space="preserve"> </w:t>
      </w:r>
      <w:r w:rsidRPr="003F4CE1">
        <w:t>longer</w:t>
      </w:r>
      <w:r w:rsidR="00573BA7">
        <w:t xml:space="preserve"> </w:t>
      </w:r>
      <w:r w:rsidRPr="003F4CE1">
        <w:t>plans</w:t>
      </w:r>
      <w:r w:rsidR="00573BA7">
        <w:t xml:space="preserve"> </w:t>
      </w:r>
      <w:r w:rsidRPr="003F4CE1">
        <w:t>if</w:t>
      </w:r>
      <w:r w:rsidR="00573BA7">
        <w:t xml:space="preserve"> </w:t>
      </w:r>
      <w:r w:rsidRPr="003F4CE1">
        <w:t>a</w:t>
      </w:r>
      <w:r w:rsidR="00573BA7">
        <w:t xml:space="preserve"> </w:t>
      </w:r>
      <w:r w:rsidRPr="003F4CE1">
        <w:t>participant’s</w:t>
      </w:r>
      <w:r w:rsidR="00573BA7">
        <w:t xml:space="preserve"> </w:t>
      </w:r>
      <w:r w:rsidRPr="003F4CE1">
        <w:t>needs</w:t>
      </w:r>
      <w:r w:rsidR="00573BA7">
        <w:t xml:space="preserve"> </w:t>
      </w:r>
      <w:r w:rsidRPr="003F4CE1">
        <w:t>are</w:t>
      </w:r>
      <w:r w:rsidR="00573BA7">
        <w:t xml:space="preserve"> </w:t>
      </w:r>
      <w:r w:rsidRPr="003F4CE1">
        <w:t>stable,</w:t>
      </w:r>
      <w:r w:rsidR="00573BA7">
        <w:t xml:space="preserve"> </w:t>
      </w:r>
      <w:r w:rsidRPr="003F4CE1">
        <w:t>and</w:t>
      </w:r>
      <w:r w:rsidR="00573BA7">
        <w:t xml:space="preserve"> </w:t>
      </w:r>
      <w:r w:rsidRPr="003F4CE1">
        <w:t>the</w:t>
      </w:r>
      <w:r w:rsidR="00573BA7">
        <w:t xml:space="preserve"> </w:t>
      </w:r>
      <w:r w:rsidRPr="003F4CE1">
        <w:t>ability</w:t>
      </w:r>
      <w:r w:rsidR="00573BA7">
        <w:t xml:space="preserve"> </w:t>
      </w:r>
      <w:r w:rsidRPr="003F4CE1">
        <w:t>for</w:t>
      </w:r>
      <w:r w:rsidR="00573BA7">
        <w:t xml:space="preserve"> </w:t>
      </w:r>
      <w:r w:rsidRPr="003F4CE1">
        <w:t>participants</w:t>
      </w:r>
      <w:r w:rsidR="00573BA7">
        <w:t xml:space="preserve"> </w:t>
      </w:r>
      <w:r w:rsidRPr="003F4CE1">
        <w:t>to</w:t>
      </w:r>
      <w:r w:rsidR="00573BA7">
        <w:t xml:space="preserve"> </w:t>
      </w:r>
      <w:r w:rsidRPr="003F4CE1">
        <w:t>see</w:t>
      </w:r>
      <w:r w:rsidR="00573BA7">
        <w:t xml:space="preserve"> </w:t>
      </w:r>
      <w:r w:rsidRPr="003F4CE1">
        <w:t>draft</w:t>
      </w:r>
      <w:r w:rsidR="00573BA7">
        <w:t xml:space="preserve"> </w:t>
      </w:r>
      <w:r w:rsidRPr="003F4CE1">
        <w:t>plan</w:t>
      </w:r>
      <w:r w:rsidR="00573BA7">
        <w:t xml:space="preserve"> </w:t>
      </w:r>
      <w:r w:rsidRPr="003F4CE1">
        <w:t>summaries</w:t>
      </w:r>
      <w:r w:rsidR="00573BA7">
        <w:t xml:space="preserve"> </w:t>
      </w:r>
      <w:r w:rsidRPr="003F4CE1">
        <w:t>have</w:t>
      </w:r>
      <w:r w:rsidR="00573BA7">
        <w:t xml:space="preserve"> </w:t>
      </w:r>
      <w:r w:rsidRPr="003F4CE1">
        <w:t>also</w:t>
      </w:r>
      <w:r w:rsidR="00573BA7">
        <w:t xml:space="preserve"> </w:t>
      </w:r>
      <w:r w:rsidRPr="003F4CE1">
        <w:t>been</w:t>
      </w:r>
      <w:r w:rsidR="00573BA7">
        <w:t xml:space="preserve"> </w:t>
      </w:r>
      <w:r w:rsidRPr="003F4CE1">
        <w:t>implemented</w:t>
      </w:r>
      <w:r w:rsidR="00573BA7">
        <w:t xml:space="preserve"> </w:t>
      </w:r>
      <w:r w:rsidRPr="003F4CE1">
        <w:t>to</w:t>
      </w:r>
      <w:r w:rsidR="00573BA7">
        <w:t xml:space="preserve"> </w:t>
      </w:r>
      <w:r w:rsidRPr="003F4CE1">
        <w:t>improve</w:t>
      </w:r>
      <w:r w:rsidR="00573BA7">
        <w:t xml:space="preserve"> </w:t>
      </w:r>
      <w:r w:rsidRPr="003F4CE1">
        <w:t>participant</w:t>
      </w:r>
      <w:r w:rsidR="00573BA7">
        <w:t xml:space="preserve"> </w:t>
      </w:r>
      <w:r w:rsidRPr="003F4CE1">
        <w:t>agency</w:t>
      </w:r>
      <w:r w:rsidR="00573BA7">
        <w:t xml:space="preserve"> </w:t>
      </w:r>
      <w:r w:rsidRPr="003F4CE1">
        <w:t>and</w:t>
      </w:r>
      <w:r w:rsidR="00573BA7">
        <w:t xml:space="preserve"> </w:t>
      </w:r>
      <w:r w:rsidRPr="003F4CE1">
        <w:t>transparency.</w:t>
      </w:r>
      <w:r w:rsidRPr="003F4CE1">
        <w:rPr>
          <w:rStyle w:val="EndnoteReference"/>
        </w:rPr>
        <w:endnoteReference w:id="250"/>
      </w:r>
    </w:p>
    <w:p w14:paraId="47B5001E" w14:textId="45B7E982" w:rsidR="006638DB" w:rsidRPr="003F4CE1" w:rsidRDefault="006638DB" w:rsidP="00662F4B">
      <w:pPr>
        <w:pStyle w:val="ListNumber"/>
      </w:pPr>
      <w:r>
        <w:t>Nevertheless,</w:t>
      </w:r>
      <w:r w:rsidR="00573BA7">
        <w:t xml:space="preserve"> </w:t>
      </w:r>
      <w:r>
        <w:t>the</w:t>
      </w:r>
      <w:r w:rsidR="00573BA7">
        <w:t xml:space="preserve"> </w:t>
      </w:r>
      <w:r>
        <w:t>December</w:t>
      </w:r>
      <w:r w:rsidR="00573BA7">
        <w:t xml:space="preserve"> </w:t>
      </w:r>
      <w:r>
        <w:t>2019</w:t>
      </w:r>
      <w:r w:rsidR="00573BA7">
        <w:t xml:space="preserve"> </w:t>
      </w:r>
      <w:r>
        <w:t>independent</w:t>
      </w:r>
      <w:r w:rsidR="00573BA7">
        <w:t xml:space="preserve"> </w:t>
      </w:r>
      <w:r>
        <w:t>review</w:t>
      </w:r>
      <w:r w:rsidR="00573BA7">
        <w:t xml:space="preserve"> </w:t>
      </w:r>
      <w:r>
        <w:t>of</w:t>
      </w:r>
      <w:r w:rsidR="00573BA7">
        <w:t xml:space="preserve"> </w:t>
      </w:r>
      <w:r>
        <w:t>the</w:t>
      </w:r>
      <w:r w:rsidR="00573BA7">
        <w:t xml:space="preserve"> </w:t>
      </w:r>
      <w:r>
        <w:t>NDIS</w:t>
      </w:r>
      <w:r w:rsidR="00573BA7">
        <w:t xml:space="preserve"> </w:t>
      </w:r>
      <w:r>
        <w:t>by</w:t>
      </w:r>
      <w:r w:rsidR="00573BA7">
        <w:t xml:space="preserve"> </w:t>
      </w:r>
      <w:r>
        <w:t>David</w:t>
      </w:r>
      <w:r w:rsidR="00573BA7">
        <w:t xml:space="preserve"> </w:t>
      </w:r>
      <w:r>
        <w:t>Tune</w:t>
      </w:r>
      <w:r w:rsidR="00573BA7">
        <w:t xml:space="preserve"> </w:t>
      </w:r>
      <w:r>
        <w:t>AO</w:t>
      </w:r>
      <w:r w:rsidR="00573BA7">
        <w:t xml:space="preserve"> </w:t>
      </w:r>
      <w:r>
        <w:t>PSM</w:t>
      </w:r>
      <w:r w:rsidR="00573BA7">
        <w:t xml:space="preserve"> </w:t>
      </w:r>
      <w:r>
        <w:t>found</w:t>
      </w:r>
      <w:r w:rsidR="00573BA7">
        <w:t xml:space="preserve"> </w:t>
      </w:r>
      <w:r>
        <w:t>that:</w:t>
      </w:r>
    </w:p>
    <w:p w14:paraId="05D25033" w14:textId="13748D3A" w:rsidR="006638DB" w:rsidRPr="007B537E" w:rsidRDefault="006638DB" w:rsidP="007B537E">
      <w:pPr>
        <w:pStyle w:val="ListParagraph"/>
      </w:pPr>
      <w:r w:rsidRPr="007B537E">
        <w:rPr>
          <w:sz w:val="22"/>
          <w:szCs w:val="22"/>
        </w:rPr>
        <w:t>the</w:t>
      </w:r>
      <w:r w:rsidR="00573BA7" w:rsidRPr="007B537E">
        <w:rPr>
          <w:sz w:val="22"/>
          <w:szCs w:val="22"/>
        </w:rPr>
        <w:t xml:space="preserve"> </w:t>
      </w:r>
      <w:r w:rsidRPr="007B537E">
        <w:rPr>
          <w:sz w:val="22"/>
          <w:szCs w:val="22"/>
        </w:rPr>
        <w:t>pressure</w:t>
      </w:r>
      <w:r w:rsidR="00573BA7" w:rsidRPr="007B537E">
        <w:rPr>
          <w:sz w:val="22"/>
          <w:szCs w:val="22"/>
        </w:rPr>
        <w:t xml:space="preserve"> </w:t>
      </w:r>
      <w:r w:rsidRPr="007B537E">
        <w:rPr>
          <w:sz w:val="22"/>
          <w:szCs w:val="22"/>
        </w:rPr>
        <w:t>of</w:t>
      </w:r>
      <w:r w:rsidR="00573BA7" w:rsidRPr="007B537E">
        <w:rPr>
          <w:sz w:val="22"/>
          <w:szCs w:val="22"/>
        </w:rPr>
        <w:t xml:space="preserve"> </w:t>
      </w:r>
      <w:r w:rsidRPr="007B537E">
        <w:rPr>
          <w:sz w:val="22"/>
          <w:szCs w:val="22"/>
        </w:rPr>
        <w:t>rolling</w:t>
      </w:r>
      <w:r w:rsidR="00573BA7" w:rsidRPr="007B537E">
        <w:rPr>
          <w:sz w:val="22"/>
          <w:szCs w:val="22"/>
        </w:rPr>
        <w:t xml:space="preserve"> </w:t>
      </w:r>
      <w:r w:rsidRPr="007B537E">
        <w:rPr>
          <w:sz w:val="22"/>
          <w:szCs w:val="22"/>
        </w:rPr>
        <w:t>the</w:t>
      </w:r>
      <w:r w:rsidR="00573BA7" w:rsidRPr="007B537E">
        <w:rPr>
          <w:sz w:val="22"/>
          <w:szCs w:val="22"/>
        </w:rPr>
        <w:t xml:space="preserve"> </w:t>
      </w:r>
      <w:r w:rsidRPr="007B537E">
        <w:rPr>
          <w:sz w:val="22"/>
          <w:szCs w:val="22"/>
        </w:rPr>
        <w:t>scheme</w:t>
      </w:r>
      <w:r w:rsidR="00573BA7" w:rsidRPr="007B537E">
        <w:rPr>
          <w:sz w:val="22"/>
          <w:szCs w:val="22"/>
        </w:rPr>
        <w:t xml:space="preserve"> </w:t>
      </w:r>
      <w:r w:rsidRPr="007B537E">
        <w:rPr>
          <w:sz w:val="22"/>
          <w:szCs w:val="22"/>
        </w:rPr>
        <w:t>out</w:t>
      </w:r>
      <w:r w:rsidR="00573BA7" w:rsidRPr="007B537E">
        <w:rPr>
          <w:sz w:val="22"/>
          <w:szCs w:val="22"/>
        </w:rPr>
        <w:t xml:space="preserve"> </w:t>
      </w:r>
      <w:r w:rsidRPr="007B537E">
        <w:rPr>
          <w:sz w:val="22"/>
          <w:szCs w:val="22"/>
        </w:rPr>
        <w:t>across</w:t>
      </w:r>
      <w:r w:rsidR="00573BA7" w:rsidRPr="007B537E">
        <w:rPr>
          <w:sz w:val="22"/>
          <w:szCs w:val="22"/>
        </w:rPr>
        <w:t xml:space="preserve"> </w:t>
      </w:r>
      <w:r w:rsidRPr="007B537E">
        <w:rPr>
          <w:sz w:val="22"/>
          <w:szCs w:val="22"/>
        </w:rPr>
        <w:t>Australia</w:t>
      </w:r>
      <w:r w:rsidR="00573BA7" w:rsidRPr="007B537E">
        <w:rPr>
          <w:sz w:val="22"/>
          <w:szCs w:val="22"/>
        </w:rPr>
        <w:t xml:space="preserve"> </w:t>
      </w:r>
      <w:r w:rsidRPr="007B537E">
        <w:rPr>
          <w:sz w:val="22"/>
          <w:szCs w:val="22"/>
        </w:rPr>
        <w:t>has</w:t>
      </w:r>
      <w:r w:rsidR="00573BA7" w:rsidRPr="007B537E">
        <w:rPr>
          <w:sz w:val="22"/>
          <w:szCs w:val="22"/>
        </w:rPr>
        <w:t xml:space="preserve"> </w:t>
      </w:r>
      <w:r w:rsidRPr="007B537E">
        <w:rPr>
          <w:sz w:val="22"/>
          <w:szCs w:val="22"/>
        </w:rPr>
        <w:t>directly</w:t>
      </w:r>
      <w:r w:rsidR="00573BA7" w:rsidRPr="007B537E">
        <w:rPr>
          <w:sz w:val="22"/>
          <w:szCs w:val="22"/>
        </w:rPr>
        <w:t xml:space="preserve"> </w:t>
      </w:r>
      <w:r w:rsidRPr="007B537E">
        <w:rPr>
          <w:sz w:val="22"/>
          <w:szCs w:val="22"/>
        </w:rPr>
        <w:t>impacted</w:t>
      </w:r>
      <w:r w:rsidR="00573BA7" w:rsidRPr="007B537E">
        <w:rPr>
          <w:sz w:val="22"/>
          <w:szCs w:val="22"/>
        </w:rPr>
        <w:t xml:space="preserve"> </w:t>
      </w:r>
      <w:r w:rsidRPr="007B537E">
        <w:rPr>
          <w:sz w:val="22"/>
          <w:szCs w:val="22"/>
        </w:rPr>
        <w:t>the</w:t>
      </w:r>
      <w:r w:rsidR="00573BA7" w:rsidRPr="007B537E">
        <w:rPr>
          <w:sz w:val="22"/>
          <w:szCs w:val="22"/>
        </w:rPr>
        <w:t xml:space="preserve"> </w:t>
      </w:r>
      <w:r w:rsidRPr="007B537E">
        <w:rPr>
          <w:sz w:val="22"/>
          <w:szCs w:val="22"/>
        </w:rPr>
        <w:t>NDIA’s</w:t>
      </w:r>
      <w:r w:rsidR="00573BA7" w:rsidRPr="007B537E">
        <w:rPr>
          <w:sz w:val="22"/>
          <w:szCs w:val="22"/>
        </w:rPr>
        <w:t xml:space="preserve"> </w:t>
      </w:r>
      <w:r w:rsidRPr="007B537E">
        <w:rPr>
          <w:sz w:val="22"/>
          <w:szCs w:val="22"/>
        </w:rPr>
        <w:t>ability</w:t>
      </w:r>
      <w:r w:rsidR="00573BA7" w:rsidRPr="007B537E">
        <w:rPr>
          <w:sz w:val="22"/>
          <w:szCs w:val="22"/>
        </w:rPr>
        <w:t xml:space="preserve"> </w:t>
      </w:r>
      <w:r w:rsidRPr="007B537E">
        <w:rPr>
          <w:sz w:val="22"/>
          <w:szCs w:val="22"/>
        </w:rPr>
        <w:t>to</w:t>
      </w:r>
      <w:r w:rsidR="00573BA7" w:rsidRPr="007B537E">
        <w:rPr>
          <w:sz w:val="22"/>
          <w:szCs w:val="22"/>
        </w:rPr>
        <w:t xml:space="preserve"> </w:t>
      </w:r>
      <w:r w:rsidRPr="007B537E">
        <w:rPr>
          <w:sz w:val="22"/>
          <w:szCs w:val="22"/>
        </w:rPr>
        <w:t>provide</w:t>
      </w:r>
      <w:r w:rsidR="00573BA7" w:rsidRPr="007B537E">
        <w:rPr>
          <w:sz w:val="22"/>
          <w:szCs w:val="22"/>
        </w:rPr>
        <w:t xml:space="preserve"> </w:t>
      </w:r>
      <w:r w:rsidRPr="007B537E">
        <w:rPr>
          <w:sz w:val="22"/>
          <w:szCs w:val="22"/>
        </w:rPr>
        <w:t>a</w:t>
      </w:r>
      <w:r w:rsidR="00573BA7" w:rsidRPr="007B537E">
        <w:rPr>
          <w:sz w:val="22"/>
          <w:szCs w:val="22"/>
        </w:rPr>
        <w:t xml:space="preserve"> </w:t>
      </w:r>
      <w:r w:rsidRPr="007B537E">
        <w:rPr>
          <w:sz w:val="22"/>
          <w:szCs w:val="22"/>
        </w:rPr>
        <w:t>consistent,</w:t>
      </w:r>
      <w:r w:rsidR="00573BA7" w:rsidRPr="007B537E">
        <w:rPr>
          <w:sz w:val="22"/>
          <w:szCs w:val="22"/>
        </w:rPr>
        <w:t xml:space="preserve"> </w:t>
      </w:r>
      <w:r w:rsidRPr="007B537E">
        <w:rPr>
          <w:sz w:val="22"/>
          <w:szCs w:val="22"/>
        </w:rPr>
        <w:t>effective</w:t>
      </w:r>
      <w:r w:rsidR="00573BA7" w:rsidRPr="007B537E">
        <w:rPr>
          <w:sz w:val="22"/>
          <w:szCs w:val="22"/>
        </w:rPr>
        <w:t xml:space="preserve"> </w:t>
      </w:r>
      <w:r w:rsidRPr="007B537E">
        <w:rPr>
          <w:sz w:val="22"/>
          <w:szCs w:val="22"/>
        </w:rPr>
        <w:t>and</w:t>
      </w:r>
      <w:r w:rsidR="00573BA7" w:rsidRPr="007B537E">
        <w:rPr>
          <w:sz w:val="22"/>
          <w:szCs w:val="22"/>
        </w:rPr>
        <w:t xml:space="preserve"> </w:t>
      </w:r>
      <w:r w:rsidRPr="007B537E">
        <w:rPr>
          <w:sz w:val="22"/>
          <w:szCs w:val="22"/>
        </w:rPr>
        <w:t>high</w:t>
      </w:r>
      <w:r w:rsidR="00573BA7" w:rsidRPr="007B537E">
        <w:rPr>
          <w:sz w:val="22"/>
          <w:szCs w:val="22"/>
        </w:rPr>
        <w:t xml:space="preserve"> </w:t>
      </w:r>
      <w:r w:rsidRPr="007B537E">
        <w:rPr>
          <w:sz w:val="22"/>
          <w:szCs w:val="22"/>
        </w:rPr>
        <w:t>quality</w:t>
      </w:r>
      <w:r w:rsidR="00573BA7" w:rsidRPr="007B537E">
        <w:rPr>
          <w:sz w:val="22"/>
          <w:szCs w:val="22"/>
        </w:rPr>
        <w:t xml:space="preserve"> </w:t>
      </w:r>
      <w:r w:rsidRPr="007B537E">
        <w:rPr>
          <w:sz w:val="22"/>
          <w:szCs w:val="22"/>
        </w:rPr>
        <w:t>service</w:t>
      </w:r>
      <w:r w:rsidR="00573BA7" w:rsidRPr="007B537E">
        <w:rPr>
          <w:sz w:val="22"/>
          <w:szCs w:val="22"/>
        </w:rPr>
        <w:t xml:space="preserve"> </w:t>
      </w:r>
      <w:r w:rsidRPr="007B537E">
        <w:rPr>
          <w:sz w:val="22"/>
          <w:szCs w:val="22"/>
        </w:rPr>
        <w:t>delivery</w:t>
      </w:r>
      <w:r w:rsidR="00573BA7" w:rsidRPr="007B537E">
        <w:rPr>
          <w:sz w:val="22"/>
          <w:szCs w:val="22"/>
        </w:rPr>
        <w:t xml:space="preserve"> </w:t>
      </w:r>
      <w:r w:rsidRPr="007B537E">
        <w:rPr>
          <w:sz w:val="22"/>
          <w:szCs w:val="22"/>
        </w:rPr>
        <w:t>offering</w:t>
      </w:r>
      <w:r w:rsidR="002A59EB">
        <w:rPr>
          <w:sz w:val="22"/>
          <w:szCs w:val="22"/>
        </w:rPr>
        <w:t xml:space="preserve"> </w:t>
      </w:r>
      <w:r w:rsidRPr="007B537E">
        <w:rPr>
          <w:sz w:val="22"/>
          <w:szCs w:val="22"/>
        </w:rPr>
        <w:t>…</w:t>
      </w:r>
      <w:r w:rsidR="00573BA7" w:rsidRPr="007B537E">
        <w:rPr>
          <w:sz w:val="22"/>
          <w:szCs w:val="22"/>
        </w:rPr>
        <w:t xml:space="preserve"> </w:t>
      </w:r>
      <w:r w:rsidRPr="007B537E">
        <w:rPr>
          <w:sz w:val="22"/>
          <w:szCs w:val="22"/>
        </w:rPr>
        <w:t>it</w:t>
      </w:r>
      <w:r w:rsidR="00573BA7" w:rsidRPr="007B537E">
        <w:rPr>
          <w:sz w:val="22"/>
          <w:szCs w:val="22"/>
        </w:rPr>
        <w:t xml:space="preserve"> </w:t>
      </w:r>
      <w:r w:rsidRPr="007B537E">
        <w:rPr>
          <w:sz w:val="22"/>
          <w:szCs w:val="22"/>
        </w:rPr>
        <w:t>will</w:t>
      </w:r>
      <w:r w:rsidR="00573BA7" w:rsidRPr="007B537E">
        <w:rPr>
          <w:sz w:val="22"/>
          <w:szCs w:val="22"/>
        </w:rPr>
        <w:t xml:space="preserve"> </w:t>
      </w:r>
      <w:r w:rsidRPr="007B537E">
        <w:rPr>
          <w:sz w:val="22"/>
          <w:szCs w:val="22"/>
        </w:rPr>
        <w:t>still</w:t>
      </w:r>
      <w:r w:rsidR="00573BA7" w:rsidRPr="007B537E">
        <w:rPr>
          <w:sz w:val="22"/>
          <w:szCs w:val="22"/>
        </w:rPr>
        <w:t xml:space="preserve"> </w:t>
      </w:r>
      <w:r w:rsidRPr="007B537E">
        <w:rPr>
          <w:sz w:val="22"/>
          <w:szCs w:val="22"/>
        </w:rPr>
        <w:t>take</w:t>
      </w:r>
      <w:r w:rsidR="00573BA7" w:rsidRPr="007B537E">
        <w:rPr>
          <w:sz w:val="22"/>
          <w:szCs w:val="22"/>
        </w:rPr>
        <w:t xml:space="preserve"> </w:t>
      </w:r>
      <w:r w:rsidRPr="007B537E">
        <w:rPr>
          <w:sz w:val="22"/>
          <w:szCs w:val="22"/>
        </w:rPr>
        <w:t>a</w:t>
      </w:r>
      <w:r w:rsidR="00573BA7" w:rsidRPr="007B537E">
        <w:rPr>
          <w:sz w:val="22"/>
          <w:szCs w:val="22"/>
        </w:rPr>
        <w:t xml:space="preserve"> </w:t>
      </w:r>
      <w:r w:rsidRPr="007B537E">
        <w:rPr>
          <w:sz w:val="22"/>
          <w:szCs w:val="22"/>
        </w:rPr>
        <w:t>number</w:t>
      </w:r>
      <w:r w:rsidR="00573BA7" w:rsidRPr="007B537E">
        <w:rPr>
          <w:sz w:val="22"/>
          <w:szCs w:val="22"/>
        </w:rPr>
        <w:t xml:space="preserve"> </w:t>
      </w:r>
      <w:r w:rsidRPr="007B537E">
        <w:rPr>
          <w:sz w:val="22"/>
          <w:szCs w:val="22"/>
        </w:rPr>
        <w:t>of</w:t>
      </w:r>
      <w:r w:rsidR="00573BA7" w:rsidRPr="007B537E">
        <w:rPr>
          <w:sz w:val="22"/>
          <w:szCs w:val="22"/>
        </w:rPr>
        <w:t xml:space="preserve"> </w:t>
      </w:r>
      <w:r w:rsidRPr="007B537E">
        <w:rPr>
          <w:sz w:val="22"/>
          <w:szCs w:val="22"/>
        </w:rPr>
        <w:t>years</w:t>
      </w:r>
      <w:r w:rsidR="00573BA7" w:rsidRPr="007B537E">
        <w:rPr>
          <w:sz w:val="22"/>
          <w:szCs w:val="22"/>
        </w:rPr>
        <w:t xml:space="preserve"> </w:t>
      </w:r>
      <w:r w:rsidRPr="007B537E">
        <w:rPr>
          <w:sz w:val="22"/>
          <w:szCs w:val="22"/>
        </w:rPr>
        <w:t>before</w:t>
      </w:r>
      <w:r w:rsidR="00573BA7" w:rsidRPr="007B537E">
        <w:rPr>
          <w:sz w:val="22"/>
          <w:szCs w:val="22"/>
        </w:rPr>
        <w:t xml:space="preserve"> </w:t>
      </w:r>
      <w:r w:rsidRPr="007B537E">
        <w:rPr>
          <w:sz w:val="22"/>
          <w:szCs w:val="22"/>
        </w:rPr>
        <w:t>the</w:t>
      </w:r>
      <w:r w:rsidR="00573BA7" w:rsidRPr="007B537E">
        <w:rPr>
          <w:sz w:val="22"/>
          <w:szCs w:val="22"/>
        </w:rPr>
        <w:t xml:space="preserve"> </w:t>
      </w:r>
      <w:r w:rsidRPr="007B537E">
        <w:rPr>
          <w:sz w:val="22"/>
          <w:szCs w:val="22"/>
        </w:rPr>
        <w:t>NDIS</w:t>
      </w:r>
      <w:r w:rsidR="00573BA7" w:rsidRPr="007B537E">
        <w:rPr>
          <w:sz w:val="22"/>
          <w:szCs w:val="22"/>
        </w:rPr>
        <w:t xml:space="preserve"> </w:t>
      </w:r>
      <w:r w:rsidRPr="007B537E">
        <w:rPr>
          <w:sz w:val="22"/>
          <w:szCs w:val="22"/>
        </w:rPr>
        <w:t>is</w:t>
      </w:r>
      <w:r w:rsidR="00573BA7" w:rsidRPr="007B537E">
        <w:rPr>
          <w:sz w:val="22"/>
          <w:szCs w:val="22"/>
        </w:rPr>
        <w:t xml:space="preserve"> </w:t>
      </w:r>
      <w:r w:rsidRPr="007B537E">
        <w:rPr>
          <w:sz w:val="22"/>
          <w:szCs w:val="22"/>
        </w:rPr>
        <w:t>delivering</w:t>
      </w:r>
      <w:r w:rsidR="00573BA7" w:rsidRPr="007B537E">
        <w:rPr>
          <w:sz w:val="22"/>
          <w:szCs w:val="22"/>
        </w:rPr>
        <w:t xml:space="preserve"> </w:t>
      </w:r>
      <w:r w:rsidRPr="007B537E">
        <w:rPr>
          <w:sz w:val="22"/>
          <w:szCs w:val="22"/>
        </w:rPr>
        <w:t>consistent</w:t>
      </w:r>
      <w:r w:rsidR="00573BA7" w:rsidRPr="007B537E">
        <w:rPr>
          <w:sz w:val="22"/>
          <w:szCs w:val="22"/>
        </w:rPr>
        <w:t xml:space="preserve"> </w:t>
      </w:r>
      <w:r w:rsidRPr="007B537E">
        <w:rPr>
          <w:sz w:val="22"/>
          <w:szCs w:val="22"/>
        </w:rPr>
        <w:t>positive</w:t>
      </w:r>
      <w:r w:rsidR="00573BA7" w:rsidRPr="007B537E">
        <w:rPr>
          <w:sz w:val="22"/>
          <w:szCs w:val="22"/>
        </w:rPr>
        <w:t xml:space="preserve"> </w:t>
      </w:r>
      <w:r w:rsidRPr="007B537E">
        <w:rPr>
          <w:sz w:val="22"/>
          <w:szCs w:val="22"/>
        </w:rPr>
        <w:t>experiences</w:t>
      </w:r>
      <w:r w:rsidR="00573BA7" w:rsidRPr="007B537E">
        <w:rPr>
          <w:sz w:val="22"/>
          <w:szCs w:val="22"/>
        </w:rPr>
        <w:t xml:space="preserve"> </w:t>
      </w:r>
      <w:r w:rsidRPr="007B537E">
        <w:rPr>
          <w:sz w:val="22"/>
          <w:szCs w:val="22"/>
        </w:rPr>
        <w:t>for</w:t>
      </w:r>
      <w:r w:rsidR="00573BA7" w:rsidRPr="007B537E">
        <w:rPr>
          <w:sz w:val="22"/>
          <w:szCs w:val="22"/>
        </w:rPr>
        <w:t xml:space="preserve"> </w:t>
      </w:r>
      <w:r w:rsidRPr="007B537E">
        <w:rPr>
          <w:sz w:val="22"/>
          <w:szCs w:val="22"/>
        </w:rPr>
        <w:t>people</w:t>
      </w:r>
      <w:r w:rsidR="00573BA7" w:rsidRPr="007B537E">
        <w:rPr>
          <w:sz w:val="22"/>
          <w:szCs w:val="22"/>
        </w:rPr>
        <w:t xml:space="preserve"> </w:t>
      </w:r>
      <w:r w:rsidRPr="007B537E">
        <w:rPr>
          <w:sz w:val="22"/>
          <w:szCs w:val="22"/>
        </w:rPr>
        <w:t>with</w:t>
      </w:r>
      <w:r w:rsidR="00573BA7" w:rsidRPr="007B537E">
        <w:rPr>
          <w:sz w:val="22"/>
          <w:szCs w:val="22"/>
        </w:rPr>
        <w:t xml:space="preserve"> </w:t>
      </w:r>
      <w:r w:rsidRPr="007B537E">
        <w:rPr>
          <w:sz w:val="22"/>
          <w:szCs w:val="22"/>
        </w:rPr>
        <w:t>disability.</w:t>
      </w:r>
      <w:r w:rsidRPr="007B537E">
        <w:rPr>
          <w:rStyle w:val="EndnoteReference"/>
        </w:rPr>
        <w:endnoteReference w:id="251"/>
      </w:r>
    </w:p>
    <w:p w14:paraId="7E279ABB" w14:textId="2C470A1A" w:rsidR="003F0614" w:rsidRPr="003F4CE1" w:rsidRDefault="003F0614" w:rsidP="00196C39">
      <w:pPr>
        <w:pStyle w:val="ListNumber"/>
      </w:pPr>
      <w:r>
        <w:t>The</w:t>
      </w:r>
      <w:r w:rsidR="00573BA7">
        <w:t xml:space="preserve"> </w:t>
      </w:r>
      <w:r>
        <w:t>Commission</w:t>
      </w:r>
      <w:r w:rsidR="00573BA7">
        <w:t xml:space="preserve"> </w:t>
      </w:r>
      <w:r>
        <w:t>encourages</w:t>
      </w:r>
      <w:r w:rsidR="00573BA7">
        <w:t xml:space="preserve"> </w:t>
      </w:r>
      <w:r>
        <w:t>the</w:t>
      </w:r>
      <w:r w:rsidR="00573BA7">
        <w:t xml:space="preserve"> </w:t>
      </w:r>
      <w:r>
        <w:t>Australian</w:t>
      </w:r>
      <w:r w:rsidR="00573BA7">
        <w:t xml:space="preserve"> </w:t>
      </w:r>
      <w:r>
        <w:t>Government</w:t>
      </w:r>
      <w:r w:rsidR="00573BA7">
        <w:t xml:space="preserve"> </w:t>
      </w:r>
      <w:r>
        <w:t>to</w:t>
      </w:r>
      <w:r w:rsidR="00573BA7">
        <w:t xml:space="preserve"> </w:t>
      </w:r>
      <w:r>
        <w:t>assess</w:t>
      </w:r>
      <w:r w:rsidR="00573BA7">
        <w:t xml:space="preserve"> </w:t>
      </w:r>
      <w:r>
        <w:t>the</w:t>
      </w:r>
      <w:r w:rsidR="00573BA7">
        <w:t xml:space="preserve"> </w:t>
      </w:r>
      <w:r>
        <w:t>impact</w:t>
      </w:r>
      <w:r w:rsidR="00573BA7">
        <w:t xml:space="preserve"> </w:t>
      </w:r>
      <w:r>
        <w:t>of</w:t>
      </w:r>
      <w:r w:rsidR="00573BA7">
        <w:t xml:space="preserve"> </w:t>
      </w:r>
      <w:r>
        <w:t>these</w:t>
      </w:r>
      <w:r w:rsidR="00573BA7">
        <w:t xml:space="preserve"> </w:t>
      </w:r>
      <w:r>
        <w:t>reforms</w:t>
      </w:r>
      <w:r w:rsidR="00573BA7">
        <w:t xml:space="preserve"> </w:t>
      </w:r>
      <w:r>
        <w:t>on</w:t>
      </w:r>
      <w:r w:rsidR="00573BA7">
        <w:t xml:space="preserve"> </w:t>
      </w:r>
      <w:r>
        <w:t>participants’</w:t>
      </w:r>
      <w:r w:rsidR="00573BA7">
        <w:t xml:space="preserve"> </w:t>
      </w:r>
      <w:r>
        <w:t>employment</w:t>
      </w:r>
      <w:r w:rsidR="00573BA7">
        <w:t xml:space="preserve"> </w:t>
      </w:r>
      <w:r>
        <w:t>participation,</w:t>
      </w:r>
      <w:r w:rsidR="00573BA7">
        <w:t xml:space="preserve"> </w:t>
      </w:r>
      <w:r>
        <w:t>in</w:t>
      </w:r>
      <w:r w:rsidR="00573BA7">
        <w:t xml:space="preserve"> </w:t>
      </w:r>
      <w:r>
        <w:t>consultation</w:t>
      </w:r>
      <w:r w:rsidR="00573BA7">
        <w:t xml:space="preserve"> </w:t>
      </w:r>
      <w:r>
        <w:t>with</w:t>
      </w:r>
      <w:r w:rsidR="00573BA7">
        <w:t xml:space="preserve"> </w:t>
      </w:r>
      <w:r>
        <w:t>people</w:t>
      </w:r>
      <w:r w:rsidR="00573BA7">
        <w:t xml:space="preserve"> </w:t>
      </w:r>
      <w:r>
        <w:t>with</w:t>
      </w:r>
      <w:r w:rsidR="00573BA7">
        <w:t xml:space="preserve"> </w:t>
      </w:r>
      <w:r>
        <w:t>disability</w:t>
      </w:r>
      <w:r w:rsidR="00573BA7">
        <w:t xml:space="preserve"> </w:t>
      </w:r>
      <w:r>
        <w:t>and</w:t>
      </w:r>
      <w:r w:rsidR="00573BA7">
        <w:t xml:space="preserve"> </w:t>
      </w:r>
      <w:r>
        <w:t>their</w:t>
      </w:r>
      <w:r w:rsidR="00573BA7">
        <w:t xml:space="preserve"> </w:t>
      </w:r>
      <w:r>
        <w:t>carers</w:t>
      </w:r>
      <w:r w:rsidR="00D02F53">
        <w:t xml:space="preserve">, to ensure that the reforms </w:t>
      </w:r>
      <w:r w:rsidR="00E60C3C">
        <w:t>improve Australia’s ability to comply with its obligations under Article 27(1) of the CRPD</w:t>
      </w:r>
      <w:r>
        <w:t>.</w:t>
      </w:r>
    </w:p>
    <w:p w14:paraId="00907B9A" w14:textId="77777777" w:rsidR="002941C2" w:rsidRPr="002941C2" w:rsidRDefault="002941C2" w:rsidP="002941C2">
      <w:pPr>
        <w:pStyle w:val="ListNumber"/>
        <w:rPr>
          <w:b/>
          <w:bCs/>
          <w:i/>
          <w:iCs/>
        </w:rPr>
      </w:pPr>
      <w:bookmarkStart w:id="142" w:name="_Toc45727510"/>
      <w:bookmarkStart w:id="143" w:name="_Toc51834299"/>
      <w:r w:rsidRPr="002941C2">
        <w:rPr>
          <w:b/>
          <w:bCs/>
          <w:i/>
          <w:iCs/>
        </w:rPr>
        <w:t>Recommendation 17: The Australian Government assess the specific impact of NDIS reforms on participants’ employment participation, in consultation with people with disability and their carers, against the obligations contained in Article 27(1) of the CRPD.</w:t>
      </w:r>
    </w:p>
    <w:p w14:paraId="0D0A088C" w14:textId="044C7733" w:rsidR="00470798" w:rsidRPr="00470798" w:rsidRDefault="007045CB" w:rsidP="00BC4DA8">
      <w:pPr>
        <w:pStyle w:val="Heading2"/>
      </w:pPr>
      <w:r w:rsidRPr="003F4CE1">
        <w:t>Young</w:t>
      </w:r>
      <w:r w:rsidR="00573BA7">
        <w:t xml:space="preserve"> </w:t>
      </w:r>
      <w:r w:rsidRPr="003F4CE1">
        <w:t>people</w:t>
      </w:r>
      <w:r w:rsidR="00573BA7">
        <w:t xml:space="preserve"> </w:t>
      </w:r>
      <w:r w:rsidRPr="003F4CE1">
        <w:t>with</w:t>
      </w:r>
      <w:r w:rsidR="00573BA7">
        <w:t xml:space="preserve"> </w:t>
      </w:r>
      <w:r w:rsidRPr="003F4CE1">
        <w:t>disability</w:t>
      </w:r>
      <w:r w:rsidR="00573BA7">
        <w:t xml:space="preserve"> </w:t>
      </w:r>
      <w:r w:rsidRPr="003F4CE1">
        <w:t>and</w:t>
      </w:r>
      <w:r w:rsidR="00573BA7">
        <w:t xml:space="preserve"> </w:t>
      </w:r>
      <w:r w:rsidRPr="003F4CE1">
        <w:t>work</w:t>
      </w:r>
      <w:bookmarkEnd w:id="142"/>
      <w:bookmarkEnd w:id="143"/>
    </w:p>
    <w:p w14:paraId="76637F04" w14:textId="4D1C869E" w:rsidR="00B60A11" w:rsidRPr="00E9462E" w:rsidRDefault="00B60A11" w:rsidP="00B60A11">
      <w:pPr>
        <w:pStyle w:val="ListNumber"/>
        <w:rPr>
          <w:lang w:eastAsia="en-GB"/>
        </w:rPr>
      </w:pPr>
      <w:bookmarkStart w:id="144" w:name="_Toc50559446"/>
      <w:bookmarkStart w:id="145" w:name="_Toc50619716"/>
      <w:bookmarkStart w:id="146" w:name="_Toc50730981"/>
      <w:bookmarkEnd w:id="144"/>
      <w:bookmarkEnd w:id="145"/>
      <w:bookmarkEnd w:id="146"/>
      <w:r w:rsidRPr="07069484">
        <w:rPr>
          <w:lang w:eastAsia="en-GB"/>
        </w:rPr>
        <w:t>This section addresses the importance of educational attainment and transition to work supports as key enablers of sustainable employment outcomes for people with disability.</w:t>
      </w:r>
      <w:r w:rsidR="00E0165A" w:rsidRPr="07069484">
        <w:rPr>
          <w:lang w:eastAsia="en-GB"/>
        </w:rPr>
        <w:t xml:space="preserve"> This section will briefly discuss existing supports, and how they interact with the Australian Government’s human rights obligations</w:t>
      </w:r>
      <w:r w:rsidRPr="07069484">
        <w:rPr>
          <w:lang w:eastAsia="en-GB"/>
        </w:rPr>
        <w:t xml:space="preserve">. This section responds to questions </w:t>
      </w:r>
      <w:r w:rsidR="000B26E0" w:rsidRPr="07069484">
        <w:rPr>
          <w:lang w:eastAsia="en-GB"/>
        </w:rPr>
        <w:t>two</w:t>
      </w:r>
      <w:r w:rsidRPr="07069484">
        <w:rPr>
          <w:lang w:eastAsia="en-GB"/>
        </w:rPr>
        <w:t xml:space="preserve">, </w:t>
      </w:r>
      <w:r w:rsidR="000B26E0" w:rsidRPr="07069484">
        <w:rPr>
          <w:lang w:eastAsia="en-GB"/>
        </w:rPr>
        <w:t>six</w:t>
      </w:r>
      <w:r w:rsidRPr="07069484">
        <w:rPr>
          <w:lang w:eastAsia="en-GB"/>
        </w:rPr>
        <w:t xml:space="preserve"> and </w:t>
      </w:r>
      <w:r w:rsidR="000B26E0" w:rsidRPr="07069484">
        <w:rPr>
          <w:lang w:eastAsia="en-GB"/>
        </w:rPr>
        <w:t>eight</w:t>
      </w:r>
      <w:r w:rsidRPr="07069484">
        <w:rPr>
          <w:lang w:eastAsia="en-GB"/>
        </w:rPr>
        <w:t xml:space="preserve"> of the Issues Paper.</w:t>
      </w:r>
    </w:p>
    <w:p w14:paraId="3CBCEE7A" w14:textId="521F8E1A" w:rsidR="007045CB" w:rsidRPr="00710E6A" w:rsidRDefault="00D43D4A" w:rsidP="00BC4DA8">
      <w:pPr>
        <w:pStyle w:val="Heading3"/>
        <w:rPr>
          <w:b/>
          <w:bCs w:val="0"/>
        </w:rPr>
      </w:pPr>
      <w:bookmarkStart w:id="147" w:name="_Toc45727511"/>
      <w:bookmarkStart w:id="148" w:name="_Toc51834300"/>
      <w:r w:rsidRPr="00710E6A">
        <w:rPr>
          <w:b/>
          <w:bCs w:val="0"/>
        </w:rPr>
        <w:t>Importance of e</w:t>
      </w:r>
      <w:r w:rsidR="007045CB" w:rsidRPr="00710E6A">
        <w:rPr>
          <w:b/>
          <w:bCs w:val="0"/>
        </w:rPr>
        <w:t>ducational</w:t>
      </w:r>
      <w:r w:rsidR="00573BA7" w:rsidRPr="00710E6A">
        <w:rPr>
          <w:b/>
          <w:bCs w:val="0"/>
        </w:rPr>
        <w:t xml:space="preserve"> </w:t>
      </w:r>
      <w:r w:rsidR="007045CB" w:rsidRPr="00710E6A">
        <w:rPr>
          <w:b/>
          <w:bCs w:val="0"/>
        </w:rPr>
        <w:t>attainment</w:t>
      </w:r>
      <w:bookmarkEnd w:id="147"/>
      <w:bookmarkEnd w:id="148"/>
      <w:r w:rsidR="00573BA7" w:rsidRPr="00710E6A">
        <w:rPr>
          <w:b/>
          <w:bCs w:val="0"/>
        </w:rPr>
        <w:t xml:space="preserve">  </w:t>
      </w:r>
    </w:p>
    <w:p w14:paraId="14A0C761" w14:textId="79EF7132" w:rsidR="006D1836" w:rsidRPr="00BC4DA8" w:rsidRDefault="006D1836" w:rsidP="00196C39">
      <w:pPr>
        <w:pStyle w:val="ListNumber"/>
        <w:rPr>
          <w:rStyle w:val="eop"/>
          <w:rFonts w:eastAsiaTheme="majorEastAsia" w:cs="Open Sans"/>
          <w:b/>
          <w:bCs/>
          <w:sz w:val="28"/>
          <w:szCs w:val="28"/>
        </w:rPr>
      </w:pPr>
      <w:r w:rsidRPr="07069484">
        <w:rPr>
          <w:rStyle w:val="eop"/>
          <w:rFonts w:eastAsiaTheme="majorEastAsia" w:cs="Open Sans"/>
        </w:rPr>
        <w:t>There</w:t>
      </w:r>
      <w:r w:rsidR="00573BA7" w:rsidRPr="07069484">
        <w:rPr>
          <w:rStyle w:val="eop"/>
          <w:rFonts w:eastAsiaTheme="majorEastAsia" w:cs="Open Sans"/>
        </w:rPr>
        <w:t xml:space="preserve"> </w:t>
      </w:r>
      <w:r w:rsidRPr="07069484">
        <w:rPr>
          <w:rStyle w:val="eop"/>
          <w:rFonts w:eastAsiaTheme="majorEastAsia" w:cs="Open Sans"/>
        </w:rPr>
        <w:t>are</w:t>
      </w:r>
      <w:r w:rsidR="00573BA7" w:rsidRPr="07069484">
        <w:rPr>
          <w:rStyle w:val="eop"/>
          <w:rFonts w:eastAsiaTheme="majorEastAsia" w:cs="Open Sans"/>
        </w:rPr>
        <w:t xml:space="preserve"> </w:t>
      </w:r>
      <w:r w:rsidRPr="07069484">
        <w:rPr>
          <w:rStyle w:val="eop"/>
          <w:rFonts w:eastAsiaTheme="majorEastAsia" w:cs="Open Sans"/>
        </w:rPr>
        <w:t>many</w:t>
      </w:r>
      <w:r w:rsidR="00573BA7" w:rsidRPr="07069484">
        <w:rPr>
          <w:rStyle w:val="eop"/>
          <w:rFonts w:eastAsiaTheme="majorEastAsia" w:cs="Open Sans"/>
        </w:rPr>
        <w:t xml:space="preserve"> </w:t>
      </w:r>
      <w:r w:rsidRPr="07069484">
        <w:rPr>
          <w:rStyle w:val="eop"/>
          <w:rFonts w:eastAsiaTheme="majorEastAsia" w:cs="Open Sans"/>
        </w:rPr>
        <w:t>factors</w:t>
      </w:r>
      <w:r w:rsidR="00573BA7" w:rsidRPr="07069484">
        <w:rPr>
          <w:rStyle w:val="eop"/>
          <w:rFonts w:eastAsiaTheme="majorEastAsia" w:cs="Open Sans"/>
        </w:rPr>
        <w:t xml:space="preserve"> </w:t>
      </w:r>
      <w:r w:rsidRPr="07069484">
        <w:rPr>
          <w:rStyle w:val="eop"/>
          <w:rFonts w:eastAsiaTheme="majorEastAsia" w:cs="Open Sans"/>
        </w:rPr>
        <w:t>influencing</w:t>
      </w:r>
      <w:r w:rsidR="00573BA7" w:rsidRPr="07069484">
        <w:rPr>
          <w:rStyle w:val="eop"/>
          <w:rFonts w:eastAsiaTheme="majorEastAsia" w:cs="Open Sans"/>
        </w:rPr>
        <w:t xml:space="preserve"> </w:t>
      </w:r>
      <w:r w:rsidRPr="07069484">
        <w:rPr>
          <w:rStyle w:val="eop"/>
          <w:rFonts w:eastAsiaTheme="majorEastAsia" w:cs="Open Sans"/>
        </w:rPr>
        <w:t>how</w:t>
      </w:r>
      <w:r w:rsidR="00573BA7" w:rsidRPr="07069484">
        <w:rPr>
          <w:rStyle w:val="eop"/>
          <w:rFonts w:eastAsiaTheme="majorEastAsia" w:cs="Open Sans"/>
        </w:rPr>
        <w:t xml:space="preserve"> </w:t>
      </w:r>
      <w:r w:rsidRPr="07069484">
        <w:rPr>
          <w:rStyle w:val="eop"/>
          <w:rFonts w:eastAsiaTheme="majorEastAsia" w:cs="Open Sans"/>
        </w:rPr>
        <w:t>a</w:t>
      </w:r>
      <w:r w:rsidR="00573BA7" w:rsidRPr="07069484">
        <w:rPr>
          <w:rStyle w:val="eop"/>
          <w:rFonts w:eastAsiaTheme="majorEastAsia" w:cs="Open Sans"/>
        </w:rPr>
        <w:t xml:space="preserve"> </w:t>
      </w:r>
      <w:r w:rsidRPr="07069484">
        <w:rPr>
          <w:rStyle w:val="eop"/>
          <w:rFonts w:eastAsiaTheme="majorEastAsia" w:cs="Open Sans"/>
        </w:rPr>
        <w:t>person</w:t>
      </w:r>
      <w:r w:rsidR="00573BA7" w:rsidRPr="07069484">
        <w:rPr>
          <w:rStyle w:val="eop"/>
          <w:rFonts w:eastAsiaTheme="majorEastAsia" w:cs="Open Sans"/>
        </w:rPr>
        <w:t xml:space="preserve"> </w:t>
      </w:r>
      <w:r w:rsidRPr="07069484">
        <w:rPr>
          <w:rStyle w:val="eop"/>
          <w:rFonts w:eastAsiaTheme="majorEastAsia" w:cs="Open Sans"/>
        </w:rPr>
        <w:t>with</w:t>
      </w:r>
      <w:r w:rsidR="00573BA7" w:rsidRPr="07069484">
        <w:rPr>
          <w:rStyle w:val="eop"/>
          <w:rFonts w:eastAsiaTheme="majorEastAsia" w:cs="Open Sans"/>
        </w:rPr>
        <w:t xml:space="preserve"> </w:t>
      </w:r>
      <w:r w:rsidRPr="07069484">
        <w:rPr>
          <w:rStyle w:val="eop"/>
          <w:rFonts w:eastAsiaTheme="majorEastAsia" w:cs="Open Sans"/>
        </w:rPr>
        <w:t>disability</w:t>
      </w:r>
      <w:r w:rsidR="00573BA7" w:rsidRPr="07069484">
        <w:rPr>
          <w:rStyle w:val="eop"/>
          <w:rFonts w:eastAsiaTheme="majorEastAsia" w:cs="Open Sans"/>
        </w:rPr>
        <w:t xml:space="preserve"> </w:t>
      </w:r>
      <w:r w:rsidRPr="07069484">
        <w:rPr>
          <w:rStyle w:val="eop"/>
          <w:rFonts w:eastAsiaTheme="majorEastAsia" w:cs="Open Sans"/>
        </w:rPr>
        <w:t>can</w:t>
      </w:r>
      <w:r w:rsidR="00573BA7" w:rsidRPr="07069484">
        <w:rPr>
          <w:rStyle w:val="eop"/>
          <w:rFonts w:eastAsiaTheme="majorEastAsia" w:cs="Open Sans"/>
        </w:rPr>
        <w:t xml:space="preserve"> </w:t>
      </w:r>
      <w:r w:rsidRPr="07069484">
        <w:rPr>
          <w:rStyle w:val="eop"/>
          <w:rFonts w:eastAsiaTheme="majorEastAsia" w:cs="Open Sans"/>
        </w:rPr>
        <w:t>participate</w:t>
      </w:r>
      <w:r w:rsidR="00573BA7" w:rsidRPr="07069484">
        <w:rPr>
          <w:rStyle w:val="eop"/>
          <w:rFonts w:eastAsiaTheme="majorEastAsia" w:cs="Open Sans"/>
        </w:rPr>
        <w:t xml:space="preserve"> </w:t>
      </w:r>
      <w:r w:rsidRPr="07069484">
        <w:rPr>
          <w:rStyle w:val="eop"/>
          <w:rFonts w:eastAsiaTheme="majorEastAsia" w:cs="Open Sans"/>
        </w:rPr>
        <w:t>in</w:t>
      </w:r>
      <w:r w:rsidR="00573BA7" w:rsidRPr="07069484">
        <w:rPr>
          <w:rStyle w:val="eop"/>
          <w:rFonts w:eastAsiaTheme="majorEastAsia" w:cs="Open Sans"/>
        </w:rPr>
        <w:t xml:space="preserve"> </w:t>
      </w:r>
      <w:r w:rsidRPr="07069484">
        <w:rPr>
          <w:rStyle w:val="eop"/>
          <w:rFonts w:eastAsiaTheme="majorEastAsia" w:cs="Open Sans"/>
        </w:rPr>
        <w:t>employment.</w:t>
      </w:r>
      <w:r w:rsidR="00573BA7" w:rsidRPr="07069484">
        <w:rPr>
          <w:rStyle w:val="eop"/>
          <w:rFonts w:eastAsiaTheme="majorEastAsia" w:cs="Open Sans"/>
        </w:rPr>
        <w:t xml:space="preserve"> </w:t>
      </w:r>
      <w:r w:rsidRPr="07069484">
        <w:rPr>
          <w:rStyle w:val="eop"/>
          <w:rFonts w:eastAsiaTheme="majorEastAsia" w:cs="Open Sans"/>
        </w:rPr>
        <w:t>The</w:t>
      </w:r>
      <w:r w:rsidR="00573BA7" w:rsidRPr="07069484">
        <w:rPr>
          <w:rStyle w:val="eop"/>
          <w:rFonts w:eastAsiaTheme="majorEastAsia" w:cs="Open Sans"/>
        </w:rPr>
        <w:t xml:space="preserve"> </w:t>
      </w:r>
      <w:r w:rsidRPr="07069484">
        <w:rPr>
          <w:rStyle w:val="eop"/>
          <w:rFonts w:eastAsiaTheme="majorEastAsia" w:cs="Open Sans"/>
        </w:rPr>
        <w:t>Commission</w:t>
      </w:r>
      <w:r w:rsidR="00573BA7" w:rsidRPr="07069484">
        <w:rPr>
          <w:rStyle w:val="eop"/>
          <w:rFonts w:eastAsiaTheme="majorEastAsia" w:cs="Open Sans"/>
        </w:rPr>
        <w:t xml:space="preserve"> </w:t>
      </w:r>
      <w:r w:rsidRPr="07069484">
        <w:rPr>
          <w:rStyle w:val="eop"/>
          <w:rFonts w:eastAsiaTheme="majorEastAsia" w:cs="Open Sans"/>
        </w:rPr>
        <w:t>wishes</w:t>
      </w:r>
      <w:r w:rsidR="00573BA7" w:rsidRPr="07069484">
        <w:rPr>
          <w:rStyle w:val="eop"/>
          <w:rFonts w:eastAsiaTheme="majorEastAsia" w:cs="Open Sans"/>
        </w:rPr>
        <w:t xml:space="preserve"> </w:t>
      </w:r>
      <w:r w:rsidRPr="07069484">
        <w:rPr>
          <w:rStyle w:val="eop"/>
          <w:rFonts w:eastAsiaTheme="majorEastAsia" w:cs="Open Sans"/>
        </w:rPr>
        <w:t>to</w:t>
      </w:r>
      <w:r w:rsidR="00573BA7" w:rsidRPr="07069484">
        <w:rPr>
          <w:rStyle w:val="eop"/>
          <w:rFonts w:eastAsiaTheme="majorEastAsia" w:cs="Open Sans"/>
        </w:rPr>
        <w:t xml:space="preserve"> </w:t>
      </w:r>
      <w:r w:rsidRPr="07069484">
        <w:rPr>
          <w:rStyle w:val="eop"/>
          <w:rFonts w:eastAsiaTheme="majorEastAsia" w:cs="Open Sans"/>
        </w:rPr>
        <w:t>highlight</w:t>
      </w:r>
      <w:r w:rsidR="00573BA7" w:rsidRPr="07069484">
        <w:rPr>
          <w:rStyle w:val="eop"/>
          <w:rFonts w:eastAsiaTheme="majorEastAsia" w:cs="Open Sans"/>
        </w:rPr>
        <w:t xml:space="preserve"> </w:t>
      </w:r>
      <w:r w:rsidRPr="07069484">
        <w:rPr>
          <w:rStyle w:val="eop"/>
          <w:rFonts w:eastAsiaTheme="majorEastAsia" w:cs="Open Sans"/>
        </w:rPr>
        <w:t>in</w:t>
      </w:r>
      <w:r w:rsidR="00573BA7" w:rsidRPr="07069484">
        <w:rPr>
          <w:rStyle w:val="eop"/>
          <w:rFonts w:eastAsiaTheme="majorEastAsia" w:cs="Open Sans"/>
        </w:rPr>
        <w:t xml:space="preserve"> </w:t>
      </w:r>
      <w:r w:rsidRPr="07069484">
        <w:rPr>
          <w:rStyle w:val="eop"/>
          <w:rFonts w:eastAsiaTheme="majorEastAsia" w:cs="Open Sans"/>
        </w:rPr>
        <w:t>particular</w:t>
      </w:r>
      <w:r w:rsidR="00573BA7" w:rsidRPr="07069484">
        <w:rPr>
          <w:rStyle w:val="eop"/>
          <w:rFonts w:eastAsiaTheme="majorEastAsia" w:cs="Open Sans"/>
        </w:rPr>
        <w:t xml:space="preserve"> </w:t>
      </w:r>
      <w:r w:rsidRPr="07069484">
        <w:rPr>
          <w:rStyle w:val="eop"/>
          <w:rFonts w:eastAsiaTheme="majorEastAsia" w:cs="Open Sans"/>
        </w:rPr>
        <w:t>the</w:t>
      </w:r>
      <w:r w:rsidR="00573BA7" w:rsidRPr="07069484">
        <w:rPr>
          <w:rStyle w:val="eop"/>
          <w:rFonts w:eastAsiaTheme="majorEastAsia" w:cs="Open Sans"/>
        </w:rPr>
        <w:t xml:space="preserve"> </w:t>
      </w:r>
      <w:r w:rsidRPr="07069484">
        <w:rPr>
          <w:rStyle w:val="eop"/>
          <w:rFonts w:eastAsiaTheme="majorEastAsia" w:cs="Open Sans"/>
        </w:rPr>
        <w:t>role</w:t>
      </w:r>
      <w:r w:rsidR="00573BA7" w:rsidRPr="07069484">
        <w:rPr>
          <w:rStyle w:val="eop"/>
          <w:rFonts w:eastAsiaTheme="majorEastAsia" w:cs="Open Sans"/>
        </w:rPr>
        <w:t xml:space="preserve"> </w:t>
      </w:r>
      <w:r w:rsidRPr="07069484">
        <w:rPr>
          <w:rStyle w:val="eop"/>
          <w:rFonts w:eastAsiaTheme="majorEastAsia" w:cs="Open Sans"/>
        </w:rPr>
        <w:t>of</w:t>
      </w:r>
      <w:r w:rsidR="00573BA7" w:rsidRPr="07069484">
        <w:rPr>
          <w:rStyle w:val="eop"/>
          <w:rFonts w:eastAsiaTheme="majorEastAsia" w:cs="Open Sans"/>
        </w:rPr>
        <w:t xml:space="preserve"> </w:t>
      </w:r>
      <w:r w:rsidRPr="07069484">
        <w:rPr>
          <w:rStyle w:val="eop"/>
          <w:rFonts w:eastAsiaTheme="majorEastAsia" w:cs="Open Sans"/>
        </w:rPr>
        <w:t>education</w:t>
      </w:r>
      <w:r w:rsidR="00573BA7" w:rsidRPr="07069484">
        <w:rPr>
          <w:rStyle w:val="eop"/>
          <w:rFonts w:eastAsiaTheme="majorEastAsia" w:cs="Open Sans"/>
        </w:rPr>
        <w:t xml:space="preserve"> </w:t>
      </w:r>
      <w:r w:rsidRPr="07069484">
        <w:rPr>
          <w:rStyle w:val="eop"/>
          <w:rFonts w:eastAsiaTheme="majorEastAsia" w:cs="Open Sans"/>
        </w:rPr>
        <w:t>as</w:t>
      </w:r>
      <w:r w:rsidR="00573BA7" w:rsidRPr="07069484">
        <w:rPr>
          <w:rStyle w:val="eop"/>
          <w:rFonts w:eastAsiaTheme="majorEastAsia" w:cs="Open Sans"/>
        </w:rPr>
        <w:t xml:space="preserve"> </w:t>
      </w:r>
      <w:r w:rsidRPr="07069484">
        <w:rPr>
          <w:rStyle w:val="eop"/>
          <w:rFonts w:eastAsiaTheme="majorEastAsia" w:cs="Open Sans"/>
        </w:rPr>
        <w:t>a</w:t>
      </w:r>
      <w:r w:rsidR="00573BA7" w:rsidRPr="07069484">
        <w:rPr>
          <w:rStyle w:val="eop"/>
          <w:rFonts w:eastAsiaTheme="majorEastAsia" w:cs="Open Sans"/>
        </w:rPr>
        <w:t xml:space="preserve"> </w:t>
      </w:r>
      <w:r w:rsidRPr="07069484">
        <w:rPr>
          <w:rStyle w:val="eop"/>
          <w:rFonts w:eastAsiaTheme="majorEastAsia" w:cs="Open Sans"/>
        </w:rPr>
        <w:t>fundamental</w:t>
      </w:r>
      <w:r w:rsidR="00573BA7" w:rsidRPr="07069484">
        <w:rPr>
          <w:rStyle w:val="eop"/>
          <w:rFonts w:eastAsiaTheme="majorEastAsia" w:cs="Open Sans"/>
        </w:rPr>
        <w:t xml:space="preserve"> </w:t>
      </w:r>
      <w:r w:rsidRPr="07069484">
        <w:rPr>
          <w:rStyle w:val="eop"/>
          <w:rFonts w:eastAsiaTheme="majorEastAsia" w:cs="Open Sans"/>
        </w:rPr>
        <w:t>human</w:t>
      </w:r>
      <w:r w:rsidR="00573BA7" w:rsidRPr="07069484">
        <w:rPr>
          <w:rStyle w:val="eop"/>
          <w:rFonts w:eastAsiaTheme="majorEastAsia" w:cs="Open Sans"/>
        </w:rPr>
        <w:t xml:space="preserve"> </w:t>
      </w:r>
      <w:r w:rsidRPr="07069484">
        <w:rPr>
          <w:rStyle w:val="eop"/>
          <w:rFonts w:eastAsiaTheme="majorEastAsia" w:cs="Open Sans"/>
        </w:rPr>
        <w:t>right,</w:t>
      </w:r>
      <w:r w:rsidR="00573BA7" w:rsidRPr="07069484">
        <w:rPr>
          <w:rStyle w:val="eop"/>
          <w:rFonts w:eastAsiaTheme="majorEastAsia" w:cs="Open Sans"/>
        </w:rPr>
        <w:t xml:space="preserve"> </w:t>
      </w:r>
      <w:r w:rsidRPr="07069484">
        <w:rPr>
          <w:rStyle w:val="eop"/>
          <w:rFonts w:eastAsiaTheme="majorEastAsia" w:cs="Open Sans"/>
        </w:rPr>
        <w:t>which</w:t>
      </w:r>
      <w:r w:rsidR="00573BA7" w:rsidRPr="07069484">
        <w:rPr>
          <w:rStyle w:val="eop"/>
          <w:rFonts w:eastAsiaTheme="majorEastAsia" w:cs="Open Sans"/>
        </w:rPr>
        <w:t xml:space="preserve"> </w:t>
      </w:r>
      <w:r w:rsidRPr="07069484">
        <w:rPr>
          <w:rStyle w:val="eop"/>
          <w:rFonts w:eastAsiaTheme="majorEastAsia" w:cs="Open Sans"/>
        </w:rPr>
        <w:t>must</w:t>
      </w:r>
      <w:r w:rsidR="00573BA7" w:rsidRPr="07069484">
        <w:rPr>
          <w:rStyle w:val="eop"/>
          <w:rFonts w:eastAsiaTheme="majorEastAsia" w:cs="Open Sans"/>
        </w:rPr>
        <w:t xml:space="preserve"> </w:t>
      </w:r>
      <w:r w:rsidRPr="07069484">
        <w:rPr>
          <w:rStyle w:val="eop"/>
          <w:rFonts w:eastAsiaTheme="majorEastAsia" w:cs="Open Sans"/>
        </w:rPr>
        <w:t>be</w:t>
      </w:r>
      <w:r w:rsidR="00573BA7" w:rsidRPr="07069484">
        <w:rPr>
          <w:rStyle w:val="eop"/>
          <w:rFonts w:eastAsiaTheme="majorEastAsia" w:cs="Open Sans"/>
        </w:rPr>
        <w:t xml:space="preserve"> </w:t>
      </w:r>
      <w:r w:rsidRPr="07069484">
        <w:rPr>
          <w:rStyle w:val="eop"/>
          <w:rFonts w:eastAsiaTheme="majorEastAsia" w:cs="Open Sans"/>
        </w:rPr>
        <w:t>realised</w:t>
      </w:r>
      <w:r w:rsidR="00573BA7" w:rsidRPr="07069484">
        <w:rPr>
          <w:rStyle w:val="eop"/>
          <w:rFonts w:eastAsiaTheme="majorEastAsia" w:cs="Open Sans"/>
        </w:rPr>
        <w:t xml:space="preserve"> </w:t>
      </w:r>
      <w:r w:rsidRPr="07069484">
        <w:rPr>
          <w:rStyle w:val="eop"/>
          <w:rFonts w:eastAsiaTheme="majorEastAsia" w:cs="Open Sans"/>
        </w:rPr>
        <w:lastRenderedPageBreak/>
        <w:t>for</w:t>
      </w:r>
      <w:r w:rsidR="00573BA7" w:rsidRPr="07069484">
        <w:rPr>
          <w:rStyle w:val="eop"/>
          <w:rFonts w:eastAsiaTheme="majorEastAsia" w:cs="Open Sans"/>
        </w:rPr>
        <w:t xml:space="preserve"> </w:t>
      </w:r>
      <w:r w:rsidRPr="07069484">
        <w:rPr>
          <w:rStyle w:val="eop"/>
          <w:rFonts w:eastAsiaTheme="majorEastAsia" w:cs="Open Sans"/>
        </w:rPr>
        <w:t>young</w:t>
      </w:r>
      <w:r w:rsidR="00573BA7" w:rsidRPr="07069484">
        <w:rPr>
          <w:rStyle w:val="eop"/>
          <w:rFonts w:eastAsiaTheme="majorEastAsia" w:cs="Open Sans"/>
        </w:rPr>
        <w:t xml:space="preserve"> </w:t>
      </w:r>
      <w:r w:rsidRPr="07069484">
        <w:rPr>
          <w:rStyle w:val="eop"/>
          <w:rFonts w:eastAsiaTheme="majorEastAsia" w:cs="Open Sans"/>
        </w:rPr>
        <w:t>people</w:t>
      </w:r>
      <w:r w:rsidR="00573BA7" w:rsidRPr="07069484">
        <w:rPr>
          <w:rStyle w:val="eop"/>
          <w:rFonts w:eastAsiaTheme="majorEastAsia" w:cs="Open Sans"/>
        </w:rPr>
        <w:t xml:space="preserve"> </w:t>
      </w:r>
      <w:r w:rsidRPr="07069484">
        <w:rPr>
          <w:rStyle w:val="eop"/>
          <w:rFonts w:eastAsiaTheme="majorEastAsia" w:cs="Open Sans"/>
        </w:rPr>
        <w:t>with</w:t>
      </w:r>
      <w:r w:rsidR="00573BA7" w:rsidRPr="07069484">
        <w:rPr>
          <w:rStyle w:val="eop"/>
          <w:rFonts w:eastAsiaTheme="majorEastAsia" w:cs="Open Sans"/>
        </w:rPr>
        <w:t xml:space="preserve"> </w:t>
      </w:r>
      <w:r w:rsidRPr="07069484">
        <w:rPr>
          <w:rStyle w:val="eop"/>
          <w:rFonts w:eastAsiaTheme="majorEastAsia" w:cs="Open Sans"/>
        </w:rPr>
        <w:t>disability</w:t>
      </w:r>
      <w:r w:rsidR="00573BA7" w:rsidRPr="07069484">
        <w:rPr>
          <w:rStyle w:val="eop"/>
          <w:rFonts w:eastAsiaTheme="majorEastAsia" w:cs="Open Sans"/>
        </w:rPr>
        <w:t xml:space="preserve"> </w:t>
      </w:r>
      <w:r w:rsidRPr="07069484">
        <w:rPr>
          <w:rStyle w:val="eop"/>
          <w:rFonts w:eastAsiaTheme="majorEastAsia" w:cs="Open Sans"/>
        </w:rPr>
        <w:t>to</w:t>
      </w:r>
      <w:r w:rsidR="00573BA7" w:rsidRPr="07069484">
        <w:rPr>
          <w:rStyle w:val="eop"/>
          <w:rFonts w:eastAsiaTheme="majorEastAsia" w:cs="Open Sans"/>
        </w:rPr>
        <w:t xml:space="preserve"> </w:t>
      </w:r>
      <w:r w:rsidRPr="07069484">
        <w:rPr>
          <w:rStyle w:val="eop"/>
          <w:rFonts w:eastAsiaTheme="majorEastAsia" w:cs="Open Sans"/>
        </w:rPr>
        <w:t>successfully</w:t>
      </w:r>
      <w:r w:rsidR="00573BA7" w:rsidRPr="07069484">
        <w:rPr>
          <w:rStyle w:val="eop"/>
          <w:rFonts w:eastAsiaTheme="majorEastAsia" w:cs="Open Sans"/>
        </w:rPr>
        <w:t xml:space="preserve"> </w:t>
      </w:r>
      <w:r w:rsidRPr="07069484">
        <w:rPr>
          <w:rStyle w:val="eop"/>
          <w:rFonts w:eastAsiaTheme="majorEastAsia" w:cs="Open Sans"/>
        </w:rPr>
        <w:t>transition</w:t>
      </w:r>
      <w:r w:rsidR="00573BA7" w:rsidRPr="07069484">
        <w:rPr>
          <w:rStyle w:val="eop"/>
          <w:rFonts w:eastAsiaTheme="majorEastAsia" w:cs="Open Sans"/>
        </w:rPr>
        <w:t xml:space="preserve"> </w:t>
      </w:r>
      <w:r w:rsidRPr="07069484">
        <w:rPr>
          <w:rStyle w:val="eop"/>
          <w:rFonts w:eastAsiaTheme="majorEastAsia" w:cs="Open Sans"/>
        </w:rPr>
        <w:t>into</w:t>
      </w:r>
      <w:r w:rsidR="00573BA7" w:rsidRPr="07069484">
        <w:rPr>
          <w:rStyle w:val="eop"/>
          <w:rFonts w:eastAsiaTheme="majorEastAsia" w:cs="Open Sans"/>
        </w:rPr>
        <w:t xml:space="preserve"> </w:t>
      </w:r>
      <w:r w:rsidR="00E211ED" w:rsidRPr="07069484">
        <w:rPr>
          <w:rStyle w:val="eop"/>
          <w:rFonts w:eastAsiaTheme="majorEastAsia" w:cs="Open Sans"/>
        </w:rPr>
        <w:t>open</w:t>
      </w:r>
      <w:r w:rsidR="003A6EC4" w:rsidRPr="07069484">
        <w:rPr>
          <w:rStyle w:val="eop"/>
          <w:rFonts w:eastAsiaTheme="majorEastAsia" w:cs="Open Sans"/>
        </w:rPr>
        <w:t xml:space="preserve"> </w:t>
      </w:r>
      <w:r w:rsidRPr="07069484">
        <w:rPr>
          <w:rStyle w:val="eop"/>
          <w:rFonts w:eastAsiaTheme="majorEastAsia" w:cs="Open Sans"/>
        </w:rPr>
        <w:t>employment</w:t>
      </w:r>
      <w:r w:rsidR="00573BA7" w:rsidRPr="07069484">
        <w:rPr>
          <w:rStyle w:val="eop"/>
          <w:rFonts w:eastAsiaTheme="majorEastAsia" w:cs="Open Sans"/>
        </w:rPr>
        <w:t xml:space="preserve"> </w:t>
      </w:r>
      <w:r w:rsidRPr="07069484">
        <w:rPr>
          <w:rStyle w:val="eop"/>
          <w:rFonts w:eastAsiaTheme="majorEastAsia" w:cs="Open Sans"/>
        </w:rPr>
        <w:t>and</w:t>
      </w:r>
      <w:r w:rsidR="00573BA7" w:rsidRPr="07069484">
        <w:rPr>
          <w:rStyle w:val="eop"/>
          <w:rFonts w:eastAsiaTheme="majorEastAsia" w:cs="Open Sans"/>
        </w:rPr>
        <w:t xml:space="preserve"> </w:t>
      </w:r>
      <w:r w:rsidRPr="07069484">
        <w:rPr>
          <w:rStyle w:val="eop"/>
          <w:rFonts w:eastAsiaTheme="majorEastAsia" w:cs="Open Sans"/>
        </w:rPr>
        <w:t>realise</w:t>
      </w:r>
      <w:r w:rsidR="00573BA7" w:rsidRPr="07069484">
        <w:rPr>
          <w:rStyle w:val="eop"/>
          <w:rFonts w:eastAsiaTheme="majorEastAsia" w:cs="Open Sans"/>
        </w:rPr>
        <w:t xml:space="preserve"> </w:t>
      </w:r>
      <w:r w:rsidRPr="07069484">
        <w:rPr>
          <w:rStyle w:val="eop"/>
          <w:rFonts w:eastAsiaTheme="majorEastAsia" w:cs="Open Sans"/>
        </w:rPr>
        <w:t>their</w:t>
      </w:r>
      <w:r w:rsidR="00573BA7" w:rsidRPr="07069484">
        <w:rPr>
          <w:rStyle w:val="eop"/>
          <w:rFonts w:eastAsiaTheme="majorEastAsia" w:cs="Open Sans"/>
        </w:rPr>
        <w:t xml:space="preserve"> </w:t>
      </w:r>
      <w:r w:rsidRPr="07069484">
        <w:rPr>
          <w:rStyle w:val="eop"/>
          <w:rFonts w:eastAsiaTheme="majorEastAsia" w:cs="Open Sans"/>
        </w:rPr>
        <w:t>potential.</w:t>
      </w:r>
      <w:r w:rsidR="00AB5E4B" w:rsidRPr="07069484">
        <w:rPr>
          <w:rStyle w:val="EndnoteReference"/>
          <w:rFonts w:eastAsiaTheme="majorEastAsia" w:cs="Open Sans"/>
        </w:rPr>
        <w:endnoteReference w:id="252"/>
      </w:r>
      <w:r w:rsidR="00573BA7" w:rsidRPr="07069484">
        <w:rPr>
          <w:rStyle w:val="eop"/>
          <w:rFonts w:eastAsiaTheme="majorEastAsia" w:cs="Open Sans"/>
        </w:rPr>
        <w:t xml:space="preserve"> </w:t>
      </w:r>
    </w:p>
    <w:p w14:paraId="4239689C" w14:textId="655B82AC" w:rsidR="00943365" w:rsidRDefault="00163F89" w:rsidP="00163F89">
      <w:pPr>
        <w:pStyle w:val="ListNumber"/>
        <w:rPr>
          <w:noProof/>
        </w:rPr>
      </w:pPr>
      <w:r w:rsidRPr="07069484">
        <w:rPr>
          <w:noProof/>
        </w:rPr>
        <w:t>The CRPD Committee’s General Comment on the right to inclusive education, explored further in the Commiss</w:t>
      </w:r>
      <w:r w:rsidR="003A6EC4" w:rsidRPr="07069484">
        <w:rPr>
          <w:noProof/>
        </w:rPr>
        <w:t>ion</w:t>
      </w:r>
      <w:r w:rsidRPr="07069484">
        <w:rPr>
          <w:noProof/>
        </w:rPr>
        <w:t xml:space="preserve">’s previous submission on </w:t>
      </w:r>
      <w:r w:rsidR="00943365" w:rsidRPr="07069484">
        <w:rPr>
          <w:noProof/>
        </w:rPr>
        <w:t>the same</w:t>
      </w:r>
      <w:r w:rsidRPr="07069484">
        <w:rPr>
          <w:noProof/>
        </w:rPr>
        <w:t xml:space="preserve"> topic, </w:t>
      </w:r>
      <w:r w:rsidR="00943365" w:rsidRPr="07069484">
        <w:rPr>
          <w:noProof/>
        </w:rPr>
        <w:t>states:</w:t>
      </w:r>
    </w:p>
    <w:p w14:paraId="2BE60195" w14:textId="22FA8D29" w:rsidR="00163F89" w:rsidRPr="007B537E" w:rsidRDefault="00163F89" w:rsidP="00BC4DA8">
      <w:pPr>
        <w:pStyle w:val="ListNumber"/>
        <w:numPr>
          <w:ilvl w:val="0"/>
          <w:numId w:val="0"/>
        </w:numPr>
        <w:ind w:left="720"/>
      </w:pPr>
      <w:r w:rsidRPr="007B537E">
        <w:rPr>
          <w:sz w:val="22"/>
          <w:szCs w:val="22"/>
        </w:rPr>
        <w:t>Quality inclusive education must prepare people with disability for work life through the acquisition of the knowledge, skills and confidence necessary for participation in the open labour market and in an open, inclusive and accessible work environment (art. 27</w:t>
      </w:r>
      <w:r w:rsidR="1851C862" w:rsidRPr="007B537E">
        <w:rPr>
          <w:sz w:val="22"/>
          <w:szCs w:val="22"/>
        </w:rPr>
        <w:t>)</w:t>
      </w:r>
      <w:r w:rsidR="67B984D4" w:rsidRPr="007B537E">
        <w:rPr>
          <w:sz w:val="22"/>
          <w:szCs w:val="22"/>
        </w:rPr>
        <w:t xml:space="preserve"> </w:t>
      </w:r>
      <w:r w:rsidR="21C0A62B" w:rsidRPr="007B537E">
        <w:rPr>
          <w:sz w:val="22"/>
          <w:szCs w:val="22"/>
        </w:rPr>
        <w:t>…</w:t>
      </w:r>
      <w:r w:rsidR="74217681" w:rsidRPr="007B537E">
        <w:rPr>
          <w:sz w:val="22"/>
          <w:szCs w:val="22"/>
        </w:rPr>
        <w:t xml:space="preserve"> </w:t>
      </w:r>
      <w:r w:rsidRPr="007B537E">
        <w:rPr>
          <w:sz w:val="22"/>
          <w:szCs w:val="22"/>
        </w:rPr>
        <w:t>Full participation in political and public life is enhanced through the realization of the right to inclusive education.</w:t>
      </w:r>
      <w:r w:rsidR="00943365" w:rsidRPr="007B537E">
        <w:rPr>
          <w:rStyle w:val="EndnoteReference"/>
        </w:rPr>
        <w:endnoteReference w:id="253"/>
      </w:r>
    </w:p>
    <w:p w14:paraId="770D9DE4" w14:textId="1033110C" w:rsidR="00E35B1F" w:rsidRPr="003F4CE1" w:rsidRDefault="00611610" w:rsidP="00710E6A">
      <w:pPr>
        <w:pStyle w:val="ListNumber"/>
        <w:rPr>
          <w:rStyle w:val="eop"/>
          <w:rFonts w:eastAsiaTheme="majorEastAsia" w:cs="Open Sans"/>
        </w:rPr>
      </w:pPr>
      <w:r>
        <w:t>The Australian Government has acknowledge</w:t>
      </w:r>
      <w:r w:rsidR="00CA1AD9">
        <w:t>d</w:t>
      </w:r>
      <w:r w:rsidR="00CA1AD9" w:rsidRPr="00CA1AD9">
        <w:t xml:space="preserve"> there is considerable work ahead to ensure students with disability are able to achieve optimal educational outcomes</w:t>
      </w:r>
      <w:r w:rsidR="00CA1AD9">
        <w:t>.</w:t>
      </w:r>
      <w:r w:rsidR="00CA1AD9">
        <w:rPr>
          <w:rStyle w:val="EndnoteReference"/>
        </w:rPr>
        <w:endnoteReference w:id="254"/>
      </w:r>
      <w:r w:rsidR="00CA1AD9">
        <w:t xml:space="preserve"> </w:t>
      </w:r>
      <w:r w:rsidR="006D1836" w:rsidRPr="07069484">
        <w:rPr>
          <w:rStyle w:val="eop"/>
          <w:rFonts w:eastAsiaTheme="majorEastAsia" w:cs="Open Sans"/>
        </w:rPr>
        <w:t>People</w:t>
      </w:r>
      <w:r w:rsidR="00573BA7" w:rsidRPr="07069484">
        <w:rPr>
          <w:rStyle w:val="eop"/>
          <w:rFonts w:eastAsiaTheme="majorEastAsia" w:cs="Open Sans"/>
        </w:rPr>
        <w:t xml:space="preserve"> </w:t>
      </w:r>
      <w:r w:rsidR="006D1836" w:rsidRPr="07069484">
        <w:rPr>
          <w:rStyle w:val="eop"/>
          <w:rFonts w:eastAsiaTheme="majorEastAsia" w:cs="Open Sans"/>
        </w:rPr>
        <w:t>with</w:t>
      </w:r>
      <w:r w:rsidR="00573BA7" w:rsidRPr="07069484">
        <w:rPr>
          <w:rStyle w:val="eop"/>
          <w:rFonts w:eastAsiaTheme="majorEastAsia" w:cs="Open Sans"/>
        </w:rPr>
        <w:t xml:space="preserve"> </w:t>
      </w:r>
      <w:r w:rsidR="006D1836" w:rsidRPr="07069484">
        <w:rPr>
          <w:rStyle w:val="eop"/>
          <w:rFonts w:eastAsiaTheme="majorEastAsia" w:cs="Open Sans"/>
        </w:rPr>
        <w:t>disability</w:t>
      </w:r>
      <w:r w:rsidR="00573BA7" w:rsidRPr="07069484">
        <w:rPr>
          <w:rStyle w:val="eop"/>
          <w:rFonts w:eastAsiaTheme="majorEastAsia" w:cs="Open Sans"/>
        </w:rPr>
        <w:t xml:space="preserve"> </w:t>
      </w:r>
      <w:r w:rsidR="000C0CFC" w:rsidRPr="07069484">
        <w:rPr>
          <w:rStyle w:val="eop"/>
          <w:rFonts w:eastAsiaTheme="majorEastAsia" w:cs="Open Sans"/>
        </w:rPr>
        <w:t xml:space="preserve">in Australia </w:t>
      </w:r>
      <w:r w:rsidR="006D1836" w:rsidRPr="07069484">
        <w:rPr>
          <w:rStyle w:val="eop"/>
          <w:rFonts w:eastAsiaTheme="majorEastAsia" w:cs="Open Sans"/>
        </w:rPr>
        <w:t>have</w:t>
      </w:r>
      <w:r w:rsidR="00573BA7" w:rsidRPr="07069484">
        <w:rPr>
          <w:rStyle w:val="eop"/>
          <w:rFonts w:eastAsiaTheme="majorEastAsia" w:cs="Open Sans"/>
        </w:rPr>
        <w:t xml:space="preserve"> </w:t>
      </w:r>
      <w:r w:rsidR="006D1836" w:rsidRPr="07069484">
        <w:rPr>
          <w:rStyle w:val="eop"/>
          <w:rFonts w:eastAsiaTheme="majorEastAsia" w:cs="Open Sans"/>
        </w:rPr>
        <w:t>lower</w:t>
      </w:r>
      <w:r w:rsidR="00573BA7" w:rsidRPr="07069484">
        <w:rPr>
          <w:rStyle w:val="eop"/>
          <w:rFonts w:eastAsiaTheme="majorEastAsia" w:cs="Open Sans"/>
        </w:rPr>
        <w:t xml:space="preserve"> </w:t>
      </w:r>
      <w:r w:rsidR="006D1836" w:rsidRPr="07069484">
        <w:rPr>
          <w:rStyle w:val="eop"/>
          <w:rFonts w:eastAsiaTheme="majorEastAsia" w:cs="Open Sans"/>
        </w:rPr>
        <w:t>rates</w:t>
      </w:r>
      <w:r w:rsidR="00573BA7" w:rsidRPr="07069484">
        <w:rPr>
          <w:rStyle w:val="eop"/>
          <w:rFonts w:eastAsiaTheme="majorEastAsia" w:cs="Open Sans"/>
        </w:rPr>
        <w:t xml:space="preserve"> </w:t>
      </w:r>
      <w:r w:rsidR="006D1836" w:rsidRPr="07069484">
        <w:rPr>
          <w:rStyle w:val="eop"/>
          <w:rFonts w:eastAsiaTheme="majorEastAsia" w:cs="Open Sans"/>
        </w:rPr>
        <w:t>of</w:t>
      </w:r>
      <w:r w:rsidR="00573BA7" w:rsidRPr="07069484">
        <w:rPr>
          <w:rStyle w:val="eop"/>
          <w:rFonts w:eastAsiaTheme="majorEastAsia" w:cs="Open Sans"/>
        </w:rPr>
        <w:t xml:space="preserve"> </w:t>
      </w:r>
      <w:r w:rsidR="006D1836" w:rsidRPr="07069484">
        <w:rPr>
          <w:rStyle w:val="eop"/>
          <w:rFonts w:eastAsiaTheme="majorEastAsia" w:cs="Open Sans"/>
        </w:rPr>
        <w:t>attainment</w:t>
      </w:r>
      <w:r w:rsidR="00573BA7" w:rsidRPr="07069484">
        <w:rPr>
          <w:rStyle w:val="eop"/>
          <w:rFonts w:eastAsiaTheme="majorEastAsia" w:cs="Open Sans"/>
        </w:rPr>
        <w:t xml:space="preserve"> </w:t>
      </w:r>
      <w:r w:rsidR="006D1836" w:rsidRPr="07069484">
        <w:rPr>
          <w:rStyle w:val="eop"/>
          <w:rFonts w:eastAsiaTheme="majorEastAsia" w:cs="Open Sans"/>
        </w:rPr>
        <w:t>of</w:t>
      </w:r>
      <w:r w:rsidR="00573BA7" w:rsidRPr="07069484">
        <w:rPr>
          <w:rStyle w:val="eop"/>
          <w:rFonts w:eastAsiaTheme="majorEastAsia" w:cs="Open Sans"/>
        </w:rPr>
        <w:t xml:space="preserve"> </w:t>
      </w:r>
      <w:r w:rsidR="006D1836" w:rsidRPr="07069484">
        <w:rPr>
          <w:rStyle w:val="eop"/>
          <w:rFonts w:eastAsiaTheme="majorEastAsia" w:cs="Open Sans"/>
        </w:rPr>
        <w:t>both</w:t>
      </w:r>
      <w:r w:rsidR="00573BA7" w:rsidRPr="07069484">
        <w:rPr>
          <w:rStyle w:val="eop"/>
          <w:rFonts w:eastAsiaTheme="majorEastAsia" w:cs="Open Sans"/>
        </w:rPr>
        <w:t xml:space="preserve"> </w:t>
      </w:r>
      <w:r w:rsidR="006D1836" w:rsidRPr="07069484">
        <w:rPr>
          <w:rStyle w:val="eop"/>
          <w:rFonts w:eastAsiaTheme="majorEastAsia" w:cs="Open Sans"/>
        </w:rPr>
        <w:t>secondary</w:t>
      </w:r>
      <w:r w:rsidR="00573BA7" w:rsidRPr="07069484">
        <w:rPr>
          <w:rStyle w:val="eop"/>
          <w:rFonts w:eastAsiaTheme="majorEastAsia" w:cs="Open Sans"/>
        </w:rPr>
        <w:t xml:space="preserve"> </w:t>
      </w:r>
      <w:r w:rsidR="006D1836" w:rsidRPr="07069484">
        <w:rPr>
          <w:rStyle w:val="eop"/>
          <w:rFonts w:eastAsiaTheme="majorEastAsia" w:cs="Open Sans"/>
        </w:rPr>
        <w:t>and</w:t>
      </w:r>
      <w:r w:rsidR="00573BA7" w:rsidRPr="07069484">
        <w:rPr>
          <w:rStyle w:val="eop"/>
          <w:rFonts w:eastAsiaTheme="majorEastAsia" w:cs="Open Sans"/>
        </w:rPr>
        <w:t xml:space="preserve"> </w:t>
      </w:r>
      <w:r w:rsidR="006D1836" w:rsidRPr="07069484">
        <w:rPr>
          <w:rStyle w:val="eop"/>
          <w:rFonts w:eastAsiaTheme="majorEastAsia" w:cs="Open Sans"/>
        </w:rPr>
        <w:t>tertiary</w:t>
      </w:r>
      <w:r w:rsidR="00573BA7" w:rsidRPr="07069484">
        <w:rPr>
          <w:rStyle w:val="eop"/>
          <w:rFonts w:eastAsiaTheme="majorEastAsia" w:cs="Open Sans"/>
        </w:rPr>
        <w:t xml:space="preserve"> </w:t>
      </w:r>
      <w:r w:rsidR="006D1836" w:rsidRPr="07069484">
        <w:rPr>
          <w:rStyle w:val="eop"/>
          <w:rFonts w:eastAsiaTheme="majorEastAsia" w:cs="Open Sans"/>
        </w:rPr>
        <w:t>education.</w:t>
      </w:r>
      <w:r w:rsidR="00573BA7" w:rsidRPr="07069484">
        <w:rPr>
          <w:rStyle w:val="eop"/>
          <w:rFonts w:eastAsiaTheme="majorEastAsia" w:cs="Open Sans"/>
        </w:rPr>
        <w:t xml:space="preserve"> </w:t>
      </w:r>
      <w:r w:rsidR="00AC734F" w:rsidRPr="07069484">
        <w:rPr>
          <w:rStyle w:val="eop"/>
          <w:rFonts w:eastAsiaTheme="majorEastAsia" w:cs="Open Sans"/>
        </w:rPr>
        <w:t>33%</w:t>
      </w:r>
      <w:r w:rsidR="00573BA7" w:rsidRPr="07069484">
        <w:rPr>
          <w:rStyle w:val="eop"/>
          <w:rFonts w:eastAsiaTheme="majorEastAsia" w:cs="Open Sans"/>
        </w:rPr>
        <w:t xml:space="preserve"> </w:t>
      </w:r>
      <w:r w:rsidR="006D1836" w:rsidRPr="07069484">
        <w:rPr>
          <w:rStyle w:val="eop"/>
          <w:rFonts w:eastAsiaTheme="majorEastAsia" w:cs="Open Sans"/>
        </w:rPr>
        <w:t>of</w:t>
      </w:r>
      <w:r w:rsidR="00573BA7" w:rsidRPr="07069484">
        <w:rPr>
          <w:rStyle w:val="eop"/>
          <w:rFonts w:eastAsiaTheme="majorEastAsia" w:cs="Open Sans"/>
        </w:rPr>
        <w:t xml:space="preserve"> </w:t>
      </w:r>
      <w:r w:rsidR="006D1836" w:rsidRPr="07069484">
        <w:rPr>
          <w:rStyle w:val="eop"/>
          <w:rFonts w:eastAsiaTheme="majorEastAsia" w:cs="Open Sans"/>
        </w:rPr>
        <w:t>people</w:t>
      </w:r>
      <w:r w:rsidR="00573BA7" w:rsidRPr="07069484">
        <w:rPr>
          <w:rStyle w:val="eop"/>
          <w:rFonts w:eastAsiaTheme="majorEastAsia" w:cs="Open Sans"/>
        </w:rPr>
        <w:t xml:space="preserve"> </w:t>
      </w:r>
      <w:r w:rsidR="006D1836" w:rsidRPr="07069484">
        <w:rPr>
          <w:rStyle w:val="eop"/>
          <w:rFonts w:eastAsiaTheme="majorEastAsia" w:cs="Open Sans"/>
        </w:rPr>
        <w:t>aged</w:t>
      </w:r>
      <w:r w:rsidR="00573BA7" w:rsidRPr="07069484">
        <w:rPr>
          <w:rStyle w:val="eop"/>
          <w:rFonts w:eastAsiaTheme="majorEastAsia" w:cs="Open Sans"/>
        </w:rPr>
        <w:t xml:space="preserve"> </w:t>
      </w:r>
      <w:r w:rsidR="00395074" w:rsidRPr="07069484">
        <w:rPr>
          <w:rStyle w:val="eop"/>
          <w:rFonts w:eastAsiaTheme="majorEastAsia" w:cs="Open Sans"/>
        </w:rPr>
        <w:t xml:space="preserve">over </w:t>
      </w:r>
      <w:r w:rsidR="006D1836" w:rsidRPr="07069484">
        <w:rPr>
          <w:rStyle w:val="eop"/>
          <w:rFonts w:eastAsiaTheme="majorEastAsia" w:cs="Open Sans"/>
        </w:rPr>
        <w:t>15</w:t>
      </w:r>
      <w:r w:rsidR="00573BA7" w:rsidRPr="07069484">
        <w:rPr>
          <w:rStyle w:val="eop"/>
          <w:rFonts w:eastAsiaTheme="majorEastAsia" w:cs="Open Sans"/>
        </w:rPr>
        <w:t xml:space="preserve"> </w:t>
      </w:r>
      <w:r w:rsidR="006D1836" w:rsidRPr="07069484">
        <w:rPr>
          <w:rStyle w:val="eop"/>
          <w:rFonts w:eastAsiaTheme="majorEastAsia" w:cs="Open Sans"/>
        </w:rPr>
        <w:t>with</w:t>
      </w:r>
      <w:r w:rsidR="00573BA7" w:rsidRPr="07069484">
        <w:rPr>
          <w:rStyle w:val="eop"/>
          <w:rFonts w:eastAsiaTheme="majorEastAsia" w:cs="Open Sans"/>
        </w:rPr>
        <w:t xml:space="preserve"> </w:t>
      </w:r>
      <w:r w:rsidR="006D1836" w:rsidRPr="07069484">
        <w:rPr>
          <w:rStyle w:val="eop"/>
          <w:rFonts w:eastAsiaTheme="majorEastAsia" w:cs="Open Sans"/>
        </w:rPr>
        <w:t>disability</w:t>
      </w:r>
      <w:r w:rsidR="00573BA7" w:rsidRPr="07069484">
        <w:rPr>
          <w:rStyle w:val="eop"/>
          <w:rFonts w:eastAsiaTheme="majorEastAsia" w:cs="Open Sans"/>
        </w:rPr>
        <w:t xml:space="preserve"> </w:t>
      </w:r>
      <w:r w:rsidR="006D1836" w:rsidRPr="07069484">
        <w:rPr>
          <w:rStyle w:val="eop"/>
          <w:rFonts w:eastAsiaTheme="majorEastAsia" w:cs="Open Sans"/>
        </w:rPr>
        <w:t>ha</w:t>
      </w:r>
      <w:r w:rsidR="00D376B7" w:rsidRPr="07069484">
        <w:rPr>
          <w:rStyle w:val="eop"/>
          <w:rFonts w:eastAsiaTheme="majorEastAsia" w:cs="Open Sans"/>
        </w:rPr>
        <w:t>ve</w:t>
      </w:r>
      <w:r w:rsidR="00573BA7" w:rsidRPr="07069484">
        <w:rPr>
          <w:rStyle w:val="eop"/>
          <w:rFonts w:eastAsiaTheme="majorEastAsia" w:cs="Open Sans"/>
        </w:rPr>
        <w:t xml:space="preserve"> </w:t>
      </w:r>
      <w:r w:rsidR="006D1836" w:rsidRPr="07069484">
        <w:rPr>
          <w:rStyle w:val="eop"/>
          <w:rFonts w:eastAsiaTheme="majorEastAsia" w:cs="Open Sans"/>
        </w:rPr>
        <w:t>completed</w:t>
      </w:r>
      <w:r w:rsidR="00573BA7" w:rsidRPr="07069484">
        <w:rPr>
          <w:rStyle w:val="eop"/>
          <w:rFonts w:eastAsiaTheme="majorEastAsia" w:cs="Open Sans"/>
        </w:rPr>
        <w:t xml:space="preserve"> </w:t>
      </w:r>
      <w:r w:rsidR="00395074" w:rsidRPr="07069484">
        <w:rPr>
          <w:rStyle w:val="eop"/>
          <w:rFonts w:eastAsiaTheme="majorEastAsia" w:cs="Open Sans"/>
        </w:rPr>
        <w:t>high school</w:t>
      </w:r>
      <w:r w:rsidR="00D376B7" w:rsidRPr="07069484">
        <w:rPr>
          <w:rStyle w:val="eop"/>
          <w:rFonts w:eastAsiaTheme="majorEastAsia" w:cs="Open Sans"/>
        </w:rPr>
        <w:t>,</w:t>
      </w:r>
      <w:r w:rsidR="00573BA7" w:rsidRPr="07069484">
        <w:rPr>
          <w:rStyle w:val="eop"/>
          <w:rFonts w:eastAsiaTheme="majorEastAsia" w:cs="Open Sans"/>
        </w:rPr>
        <w:t xml:space="preserve"> </w:t>
      </w:r>
      <w:r w:rsidR="006D1836" w:rsidRPr="07069484">
        <w:rPr>
          <w:rStyle w:val="eop"/>
          <w:rFonts w:eastAsiaTheme="majorEastAsia" w:cs="Open Sans"/>
        </w:rPr>
        <w:t>compared</w:t>
      </w:r>
      <w:r w:rsidR="00573BA7" w:rsidRPr="07069484">
        <w:rPr>
          <w:rStyle w:val="eop"/>
          <w:rFonts w:eastAsiaTheme="majorEastAsia" w:cs="Open Sans"/>
        </w:rPr>
        <w:t xml:space="preserve"> </w:t>
      </w:r>
      <w:r w:rsidR="006D1836" w:rsidRPr="07069484">
        <w:rPr>
          <w:rStyle w:val="eop"/>
          <w:rFonts w:eastAsiaTheme="majorEastAsia" w:cs="Open Sans"/>
        </w:rPr>
        <w:t>to</w:t>
      </w:r>
      <w:r w:rsidR="00573BA7" w:rsidRPr="07069484">
        <w:rPr>
          <w:rStyle w:val="eop"/>
          <w:rFonts w:eastAsiaTheme="majorEastAsia" w:cs="Open Sans"/>
        </w:rPr>
        <w:t xml:space="preserve"> </w:t>
      </w:r>
      <w:r w:rsidR="006D1836" w:rsidRPr="07069484">
        <w:rPr>
          <w:rStyle w:val="eop"/>
          <w:rFonts w:eastAsiaTheme="majorEastAsia" w:cs="Open Sans"/>
        </w:rPr>
        <w:t>84%</w:t>
      </w:r>
      <w:r w:rsidR="00573BA7" w:rsidRPr="07069484">
        <w:rPr>
          <w:rStyle w:val="eop"/>
          <w:rFonts w:eastAsiaTheme="majorEastAsia" w:cs="Open Sans"/>
        </w:rPr>
        <w:t xml:space="preserve"> </w:t>
      </w:r>
      <w:r w:rsidR="006D1836" w:rsidRPr="07069484">
        <w:rPr>
          <w:rStyle w:val="eop"/>
          <w:rFonts w:eastAsiaTheme="majorEastAsia" w:cs="Open Sans"/>
        </w:rPr>
        <w:t>of</w:t>
      </w:r>
      <w:r w:rsidR="00573BA7" w:rsidRPr="07069484">
        <w:rPr>
          <w:rStyle w:val="eop"/>
          <w:rFonts w:eastAsiaTheme="majorEastAsia" w:cs="Open Sans"/>
        </w:rPr>
        <w:t xml:space="preserve"> </w:t>
      </w:r>
      <w:r w:rsidR="006D1836" w:rsidRPr="07069484">
        <w:rPr>
          <w:rStyle w:val="eop"/>
          <w:rFonts w:eastAsiaTheme="majorEastAsia" w:cs="Open Sans"/>
        </w:rPr>
        <w:t>people</w:t>
      </w:r>
      <w:r w:rsidR="00573BA7" w:rsidRPr="07069484">
        <w:rPr>
          <w:rStyle w:val="eop"/>
          <w:rFonts w:eastAsiaTheme="majorEastAsia" w:cs="Open Sans"/>
        </w:rPr>
        <w:t xml:space="preserve"> </w:t>
      </w:r>
      <w:r w:rsidR="006D1836" w:rsidRPr="07069484">
        <w:rPr>
          <w:rStyle w:val="eop"/>
          <w:rFonts w:eastAsiaTheme="majorEastAsia" w:cs="Open Sans"/>
        </w:rPr>
        <w:t>without</w:t>
      </w:r>
      <w:r w:rsidR="00573BA7" w:rsidRPr="07069484">
        <w:rPr>
          <w:rStyle w:val="eop"/>
          <w:rFonts w:eastAsiaTheme="majorEastAsia" w:cs="Open Sans"/>
        </w:rPr>
        <w:t xml:space="preserve"> </w:t>
      </w:r>
      <w:r w:rsidR="006D1836" w:rsidRPr="07069484">
        <w:rPr>
          <w:rStyle w:val="eop"/>
          <w:rFonts w:eastAsiaTheme="majorEastAsia" w:cs="Open Sans"/>
        </w:rPr>
        <w:t>disability.</w:t>
      </w:r>
      <w:r w:rsidR="00AB5E4B" w:rsidRPr="07069484">
        <w:rPr>
          <w:rStyle w:val="EndnoteReference"/>
          <w:rFonts w:eastAsiaTheme="majorEastAsia" w:cs="Open Sans"/>
        </w:rPr>
        <w:endnoteReference w:id="255"/>
      </w:r>
      <w:r w:rsidR="00573BA7" w:rsidRPr="07069484">
        <w:rPr>
          <w:rStyle w:val="eop"/>
          <w:rFonts w:eastAsiaTheme="majorEastAsia" w:cs="Open Sans"/>
        </w:rPr>
        <w:t xml:space="preserve"> </w:t>
      </w:r>
      <w:r w:rsidR="006D1836" w:rsidRPr="003F4CE1">
        <w:t>Students</w:t>
      </w:r>
      <w:r w:rsidR="00573BA7">
        <w:t xml:space="preserve"> </w:t>
      </w:r>
      <w:r w:rsidR="006D1836" w:rsidRPr="003F4CE1">
        <w:t>with</w:t>
      </w:r>
      <w:r w:rsidR="00573BA7">
        <w:t xml:space="preserve"> </w:t>
      </w:r>
      <w:r w:rsidR="006D1836" w:rsidRPr="003F4CE1">
        <w:t>disability</w:t>
      </w:r>
      <w:r w:rsidR="00573BA7">
        <w:t xml:space="preserve"> </w:t>
      </w:r>
      <w:r w:rsidR="006D1836" w:rsidRPr="003F4CE1">
        <w:t>report</w:t>
      </w:r>
      <w:r w:rsidR="00573BA7">
        <w:t xml:space="preserve"> </w:t>
      </w:r>
      <w:r w:rsidR="006D1836" w:rsidRPr="003F4CE1">
        <w:t>poor</w:t>
      </w:r>
      <w:r w:rsidR="00573BA7">
        <w:t xml:space="preserve"> </w:t>
      </w:r>
      <w:r w:rsidR="006D1836" w:rsidRPr="003F4CE1">
        <w:t>educational</w:t>
      </w:r>
      <w:r w:rsidR="00573BA7">
        <w:t xml:space="preserve"> </w:t>
      </w:r>
      <w:r w:rsidR="006D1836" w:rsidRPr="003F4CE1">
        <w:t>experiences,</w:t>
      </w:r>
      <w:r w:rsidR="00573BA7">
        <w:t xml:space="preserve"> </w:t>
      </w:r>
      <w:r w:rsidR="006D1836" w:rsidRPr="003F4CE1">
        <w:t>including</w:t>
      </w:r>
      <w:r w:rsidR="00573BA7">
        <w:t xml:space="preserve"> </w:t>
      </w:r>
      <w:r w:rsidR="006D1836" w:rsidRPr="003F4CE1">
        <w:t>limited</w:t>
      </w:r>
      <w:r w:rsidR="00573BA7">
        <w:t xml:space="preserve"> </w:t>
      </w:r>
      <w:r w:rsidR="006D1836" w:rsidRPr="003F4CE1">
        <w:t>choice</w:t>
      </w:r>
      <w:r w:rsidR="00573BA7">
        <w:t xml:space="preserve"> </w:t>
      </w:r>
      <w:r w:rsidR="006D1836" w:rsidRPr="003F4CE1">
        <w:t>of</w:t>
      </w:r>
      <w:r w:rsidR="00573BA7">
        <w:t xml:space="preserve"> </w:t>
      </w:r>
      <w:r w:rsidR="006D1836" w:rsidRPr="003F4CE1">
        <w:t>school,</w:t>
      </w:r>
      <w:r w:rsidR="00573BA7">
        <w:t xml:space="preserve"> </w:t>
      </w:r>
      <w:r w:rsidR="006D1836" w:rsidRPr="003F4CE1">
        <w:t>discrimination,</w:t>
      </w:r>
      <w:r w:rsidR="00573BA7">
        <w:t xml:space="preserve"> </w:t>
      </w:r>
      <w:r w:rsidR="006D1836" w:rsidRPr="003F4CE1">
        <w:t>bullying,</w:t>
      </w:r>
      <w:r w:rsidR="00573BA7">
        <w:t xml:space="preserve"> </w:t>
      </w:r>
      <w:r w:rsidR="006D1836" w:rsidRPr="003F4CE1">
        <w:t>limited</w:t>
      </w:r>
      <w:r w:rsidR="00573BA7">
        <w:t xml:space="preserve"> </w:t>
      </w:r>
      <w:r w:rsidR="006D1836" w:rsidRPr="003F4CE1">
        <w:t>or</w:t>
      </w:r>
      <w:r w:rsidR="00573BA7">
        <w:t xml:space="preserve"> </w:t>
      </w:r>
      <w:r w:rsidR="006D1836" w:rsidRPr="003F4CE1">
        <w:t>no</w:t>
      </w:r>
      <w:r w:rsidR="00573BA7">
        <w:t xml:space="preserve"> </w:t>
      </w:r>
      <w:r w:rsidR="006D1836" w:rsidRPr="003F4CE1">
        <w:t>funding</w:t>
      </w:r>
      <w:r w:rsidR="00573BA7">
        <w:t xml:space="preserve"> </w:t>
      </w:r>
      <w:r w:rsidR="006D1836" w:rsidRPr="003F4CE1">
        <w:t>for</w:t>
      </w:r>
      <w:r w:rsidR="00573BA7">
        <w:t xml:space="preserve"> </w:t>
      </w:r>
      <w:r w:rsidR="006D1836" w:rsidRPr="003F4CE1">
        <w:t>support</w:t>
      </w:r>
      <w:r w:rsidR="00573BA7">
        <w:t xml:space="preserve"> </w:t>
      </w:r>
      <w:r w:rsidR="006D1836" w:rsidRPr="003F4CE1">
        <w:t>and</w:t>
      </w:r>
      <w:r w:rsidR="00573BA7">
        <w:t xml:space="preserve"> </w:t>
      </w:r>
      <w:r w:rsidR="006D1836" w:rsidRPr="003F4CE1">
        <w:t>resources,</w:t>
      </w:r>
      <w:r w:rsidR="00573BA7">
        <w:t xml:space="preserve"> </w:t>
      </w:r>
      <w:r w:rsidR="006D1836" w:rsidRPr="003F4CE1">
        <w:t>inadequately</w:t>
      </w:r>
      <w:r w:rsidR="00573BA7">
        <w:t xml:space="preserve"> </w:t>
      </w:r>
      <w:r w:rsidR="006D1836" w:rsidRPr="003F4CE1">
        <w:t>trained</w:t>
      </w:r>
      <w:r w:rsidR="00573BA7">
        <w:t xml:space="preserve"> </w:t>
      </w:r>
      <w:r w:rsidR="006D1836" w:rsidRPr="003F4CE1">
        <w:t>staff</w:t>
      </w:r>
      <w:r w:rsidR="00573BA7">
        <w:t xml:space="preserve"> </w:t>
      </w:r>
      <w:r w:rsidR="006D1836" w:rsidRPr="003F4CE1">
        <w:t>and</w:t>
      </w:r>
      <w:r w:rsidR="00573BA7">
        <w:t xml:space="preserve"> </w:t>
      </w:r>
      <w:r w:rsidR="006D1836" w:rsidRPr="003F4CE1">
        <w:t>a</w:t>
      </w:r>
      <w:r w:rsidR="00573BA7">
        <w:t xml:space="preserve"> </w:t>
      </w:r>
      <w:r w:rsidR="006D1836" w:rsidRPr="003F4CE1">
        <w:t>culture</w:t>
      </w:r>
      <w:r w:rsidR="00573BA7">
        <w:t xml:space="preserve"> </w:t>
      </w:r>
      <w:r w:rsidR="006D1836" w:rsidRPr="003F4CE1">
        <w:t>of</w:t>
      </w:r>
      <w:r w:rsidR="00573BA7">
        <w:t xml:space="preserve"> </w:t>
      </w:r>
      <w:r w:rsidR="006D1836" w:rsidRPr="003F4CE1">
        <w:t>low</w:t>
      </w:r>
      <w:r w:rsidR="00573BA7">
        <w:t xml:space="preserve"> </w:t>
      </w:r>
      <w:r w:rsidR="006D1836" w:rsidRPr="003F4CE1">
        <w:t>expectations.</w:t>
      </w:r>
      <w:r w:rsidR="00D376B7" w:rsidRPr="007B537E">
        <w:rPr>
          <w:sz w:val="20"/>
          <w:szCs w:val="20"/>
          <w:vertAlign w:val="superscript"/>
        </w:rPr>
        <w:endnoteReference w:id="256"/>
      </w:r>
      <w:r w:rsidR="00573BA7">
        <w:t xml:space="preserve"> </w:t>
      </w:r>
      <w:r w:rsidR="006D1836" w:rsidRPr="003F4CE1">
        <w:t>These</w:t>
      </w:r>
      <w:r w:rsidR="00573BA7">
        <w:t xml:space="preserve"> </w:t>
      </w:r>
      <w:r w:rsidR="006D1836" w:rsidRPr="003F4CE1">
        <w:t>issues</w:t>
      </w:r>
      <w:r w:rsidR="00573BA7">
        <w:t xml:space="preserve"> </w:t>
      </w:r>
      <w:r w:rsidR="006D1836" w:rsidRPr="003F4CE1">
        <w:t>mean</w:t>
      </w:r>
      <w:r w:rsidR="00573BA7">
        <w:t xml:space="preserve"> </w:t>
      </w:r>
      <w:r w:rsidR="006D1836" w:rsidRPr="003F4CE1">
        <w:t>that</w:t>
      </w:r>
      <w:r w:rsidR="00573BA7">
        <w:t xml:space="preserve"> </w:t>
      </w:r>
      <w:r w:rsidR="006D1836" w:rsidRPr="003F4CE1">
        <w:t>students</w:t>
      </w:r>
      <w:r w:rsidR="00573BA7">
        <w:t xml:space="preserve"> </w:t>
      </w:r>
      <w:r w:rsidR="006D1836" w:rsidRPr="003F4CE1">
        <w:t>with</w:t>
      </w:r>
      <w:r w:rsidR="00573BA7">
        <w:t xml:space="preserve"> </w:t>
      </w:r>
      <w:r w:rsidR="006D1836" w:rsidRPr="003F4CE1">
        <w:t>disability</w:t>
      </w:r>
      <w:r w:rsidR="00573BA7">
        <w:t xml:space="preserve"> </w:t>
      </w:r>
      <w:r w:rsidR="006D1836" w:rsidRPr="003F4CE1">
        <w:t>are</w:t>
      </w:r>
      <w:r w:rsidR="00573BA7">
        <w:t xml:space="preserve"> </w:t>
      </w:r>
      <w:r w:rsidR="006D1836" w:rsidRPr="003F4CE1">
        <w:t>more</w:t>
      </w:r>
      <w:r w:rsidR="00573BA7">
        <w:t xml:space="preserve"> </w:t>
      </w:r>
      <w:r w:rsidR="006D1836" w:rsidRPr="003F4CE1">
        <w:t>likely</w:t>
      </w:r>
      <w:r w:rsidR="00573BA7">
        <w:t xml:space="preserve"> </w:t>
      </w:r>
      <w:r w:rsidR="006D1836" w:rsidRPr="003F4CE1">
        <w:t>to</w:t>
      </w:r>
      <w:r w:rsidR="00573BA7">
        <w:t xml:space="preserve"> </w:t>
      </w:r>
      <w:r w:rsidR="006D1836" w:rsidRPr="003F4CE1">
        <w:t>leave</w:t>
      </w:r>
      <w:r w:rsidR="00573BA7">
        <w:t xml:space="preserve"> </w:t>
      </w:r>
      <w:r w:rsidR="006D1836" w:rsidRPr="003F4CE1">
        <w:t>school</w:t>
      </w:r>
      <w:r w:rsidR="00573BA7">
        <w:t xml:space="preserve"> </w:t>
      </w:r>
      <w:r w:rsidR="006D1836" w:rsidRPr="003F4CE1">
        <w:t>without</w:t>
      </w:r>
      <w:r w:rsidR="00573BA7">
        <w:t xml:space="preserve"> </w:t>
      </w:r>
      <w:r w:rsidR="006D1836" w:rsidRPr="003F4CE1">
        <w:t>the</w:t>
      </w:r>
      <w:r w:rsidR="00573BA7">
        <w:t xml:space="preserve"> </w:t>
      </w:r>
      <w:r w:rsidR="006D1836" w:rsidRPr="003F4CE1">
        <w:t>necessary</w:t>
      </w:r>
      <w:r w:rsidR="00573BA7">
        <w:t xml:space="preserve"> </w:t>
      </w:r>
      <w:r w:rsidR="006D1836" w:rsidRPr="003F4CE1">
        <w:t>support,</w:t>
      </w:r>
      <w:r w:rsidR="00573BA7">
        <w:t xml:space="preserve"> </w:t>
      </w:r>
      <w:r w:rsidR="006D1836" w:rsidRPr="003F4CE1">
        <w:t>skills</w:t>
      </w:r>
      <w:r w:rsidR="00573BA7">
        <w:t xml:space="preserve"> </w:t>
      </w:r>
      <w:r w:rsidR="006D1836" w:rsidRPr="003F4CE1">
        <w:t>and</w:t>
      </w:r>
      <w:r w:rsidR="00573BA7">
        <w:t xml:space="preserve"> </w:t>
      </w:r>
      <w:r w:rsidR="006D1836" w:rsidRPr="003F4CE1">
        <w:t>confidence</w:t>
      </w:r>
      <w:r w:rsidR="00573BA7">
        <w:t xml:space="preserve"> </w:t>
      </w:r>
      <w:r w:rsidR="006D1836" w:rsidRPr="003F4CE1">
        <w:t>to</w:t>
      </w:r>
      <w:r w:rsidR="00573BA7">
        <w:t xml:space="preserve"> </w:t>
      </w:r>
      <w:r w:rsidR="006D1836" w:rsidRPr="003F4CE1">
        <w:t>participate</w:t>
      </w:r>
      <w:r w:rsidR="00573BA7">
        <w:t xml:space="preserve"> </w:t>
      </w:r>
      <w:r w:rsidR="006D1836" w:rsidRPr="003F4CE1">
        <w:t>in</w:t>
      </w:r>
      <w:r w:rsidR="00573BA7">
        <w:t xml:space="preserve"> </w:t>
      </w:r>
      <w:r w:rsidR="006D1836" w:rsidRPr="003F4CE1">
        <w:t>further</w:t>
      </w:r>
      <w:r w:rsidR="00573BA7">
        <w:t xml:space="preserve"> </w:t>
      </w:r>
      <w:r w:rsidR="006D1836" w:rsidRPr="003F4CE1">
        <w:t>employment.</w:t>
      </w:r>
      <w:r w:rsidR="00E35B1F" w:rsidRPr="07069484">
        <w:rPr>
          <w:rFonts w:eastAsiaTheme="majorEastAsia" w:cs="Open Sans"/>
          <w:sz w:val="20"/>
          <w:szCs w:val="20"/>
          <w:vertAlign w:val="superscript"/>
        </w:rPr>
        <w:endnoteReference w:id="257"/>
      </w:r>
    </w:p>
    <w:p w14:paraId="606F22DF" w14:textId="30B7ADA5" w:rsidR="002E2F20" w:rsidRPr="003F4CE1" w:rsidRDefault="006D1836" w:rsidP="00196C39">
      <w:pPr>
        <w:pStyle w:val="ListNumber"/>
        <w:rPr>
          <w:rStyle w:val="eop"/>
          <w:rFonts w:eastAsiaTheme="majorEastAsia" w:cs="Open Sans"/>
        </w:rPr>
      </w:pPr>
      <w:r w:rsidRPr="07069484">
        <w:rPr>
          <w:rStyle w:val="eop"/>
          <w:rFonts w:eastAsiaTheme="majorEastAsia" w:cs="Open Sans"/>
        </w:rPr>
        <w:t>Available</w:t>
      </w:r>
      <w:r w:rsidR="00573BA7" w:rsidRPr="07069484">
        <w:rPr>
          <w:rStyle w:val="eop"/>
          <w:rFonts w:eastAsiaTheme="majorEastAsia" w:cs="Open Sans"/>
        </w:rPr>
        <w:t xml:space="preserve"> </w:t>
      </w:r>
      <w:r w:rsidRPr="07069484">
        <w:rPr>
          <w:rStyle w:val="eop"/>
          <w:rFonts w:eastAsiaTheme="majorEastAsia" w:cs="Open Sans"/>
        </w:rPr>
        <w:t>evidence</w:t>
      </w:r>
      <w:r w:rsidR="00573BA7" w:rsidRPr="07069484">
        <w:rPr>
          <w:rStyle w:val="eop"/>
          <w:rFonts w:eastAsiaTheme="majorEastAsia" w:cs="Open Sans"/>
        </w:rPr>
        <w:t xml:space="preserve"> </w:t>
      </w:r>
      <w:r w:rsidRPr="07069484">
        <w:rPr>
          <w:rStyle w:val="eop"/>
          <w:rFonts w:eastAsiaTheme="majorEastAsia" w:cs="Open Sans"/>
        </w:rPr>
        <w:t>clearly</w:t>
      </w:r>
      <w:r w:rsidR="00573BA7" w:rsidRPr="07069484">
        <w:rPr>
          <w:rStyle w:val="eop"/>
          <w:rFonts w:eastAsiaTheme="majorEastAsia" w:cs="Open Sans"/>
        </w:rPr>
        <w:t xml:space="preserve"> </w:t>
      </w:r>
      <w:r w:rsidRPr="07069484">
        <w:rPr>
          <w:rStyle w:val="eop"/>
          <w:rFonts w:eastAsiaTheme="majorEastAsia" w:cs="Open Sans"/>
        </w:rPr>
        <w:t>establishes</w:t>
      </w:r>
      <w:r w:rsidR="00573BA7" w:rsidRPr="07069484">
        <w:rPr>
          <w:rStyle w:val="eop"/>
          <w:rFonts w:eastAsiaTheme="majorEastAsia" w:cs="Open Sans"/>
        </w:rPr>
        <w:t xml:space="preserve"> </w:t>
      </w:r>
      <w:r w:rsidRPr="07069484">
        <w:rPr>
          <w:rStyle w:val="eop"/>
          <w:rFonts w:eastAsiaTheme="majorEastAsia" w:cs="Open Sans"/>
        </w:rPr>
        <w:t>the</w:t>
      </w:r>
      <w:r w:rsidR="00573BA7" w:rsidRPr="07069484">
        <w:rPr>
          <w:rStyle w:val="eop"/>
          <w:rFonts w:eastAsiaTheme="majorEastAsia" w:cs="Open Sans"/>
        </w:rPr>
        <w:t xml:space="preserve"> </w:t>
      </w:r>
      <w:r w:rsidRPr="07069484">
        <w:rPr>
          <w:rStyle w:val="eop"/>
          <w:rFonts w:eastAsiaTheme="majorEastAsia" w:cs="Open Sans"/>
        </w:rPr>
        <w:t>link</w:t>
      </w:r>
      <w:r w:rsidR="00573BA7" w:rsidRPr="07069484">
        <w:rPr>
          <w:rStyle w:val="eop"/>
          <w:rFonts w:eastAsiaTheme="majorEastAsia" w:cs="Open Sans"/>
        </w:rPr>
        <w:t xml:space="preserve"> </w:t>
      </w:r>
      <w:r w:rsidRPr="07069484">
        <w:rPr>
          <w:rStyle w:val="eop"/>
          <w:rFonts w:eastAsiaTheme="majorEastAsia" w:cs="Open Sans"/>
        </w:rPr>
        <w:t>between</w:t>
      </w:r>
      <w:r w:rsidR="00573BA7" w:rsidRPr="07069484">
        <w:rPr>
          <w:rStyle w:val="eop"/>
          <w:rFonts w:eastAsiaTheme="majorEastAsia" w:cs="Open Sans"/>
        </w:rPr>
        <w:t xml:space="preserve"> </w:t>
      </w:r>
      <w:r w:rsidRPr="07069484">
        <w:rPr>
          <w:rStyle w:val="eop"/>
          <w:rFonts w:eastAsiaTheme="majorEastAsia" w:cs="Open Sans"/>
        </w:rPr>
        <w:t>educational</w:t>
      </w:r>
      <w:r w:rsidR="00573BA7" w:rsidRPr="07069484">
        <w:rPr>
          <w:rStyle w:val="eop"/>
          <w:rFonts w:eastAsiaTheme="majorEastAsia" w:cs="Open Sans"/>
        </w:rPr>
        <w:t xml:space="preserve"> </w:t>
      </w:r>
      <w:r w:rsidRPr="07069484">
        <w:rPr>
          <w:rStyle w:val="eop"/>
          <w:rFonts w:eastAsiaTheme="majorEastAsia" w:cs="Open Sans"/>
        </w:rPr>
        <w:t>attainment</w:t>
      </w:r>
      <w:r w:rsidR="00573BA7" w:rsidRPr="07069484">
        <w:rPr>
          <w:rStyle w:val="eop"/>
          <w:rFonts w:eastAsiaTheme="majorEastAsia" w:cs="Open Sans"/>
        </w:rPr>
        <w:t xml:space="preserve"> </w:t>
      </w:r>
      <w:r w:rsidRPr="07069484">
        <w:rPr>
          <w:rStyle w:val="eop"/>
          <w:rFonts w:eastAsiaTheme="majorEastAsia" w:cs="Open Sans"/>
        </w:rPr>
        <w:t>and</w:t>
      </w:r>
      <w:r w:rsidR="00573BA7" w:rsidRPr="07069484">
        <w:rPr>
          <w:rStyle w:val="eop"/>
          <w:rFonts w:eastAsiaTheme="majorEastAsia" w:cs="Open Sans"/>
        </w:rPr>
        <w:t xml:space="preserve"> </w:t>
      </w:r>
      <w:r w:rsidRPr="07069484">
        <w:rPr>
          <w:rStyle w:val="eop"/>
          <w:rFonts w:eastAsiaTheme="majorEastAsia" w:cs="Open Sans"/>
        </w:rPr>
        <w:t>employment</w:t>
      </w:r>
      <w:r w:rsidR="00573BA7" w:rsidRPr="07069484">
        <w:rPr>
          <w:rStyle w:val="eop"/>
          <w:rFonts w:eastAsiaTheme="majorEastAsia" w:cs="Open Sans"/>
        </w:rPr>
        <w:t xml:space="preserve"> </w:t>
      </w:r>
      <w:r w:rsidRPr="07069484">
        <w:rPr>
          <w:rStyle w:val="eop"/>
          <w:rFonts w:eastAsiaTheme="majorEastAsia" w:cs="Open Sans"/>
        </w:rPr>
        <w:t>outcomes.</w:t>
      </w:r>
      <w:r w:rsidR="00BC3459" w:rsidRPr="07069484">
        <w:rPr>
          <w:rStyle w:val="EndnoteReference"/>
          <w:rFonts w:eastAsiaTheme="majorEastAsia" w:cs="Open Sans"/>
        </w:rPr>
        <w:endnoteReference w:id="258"/>
      </w:r>
      <w:r w:rsidR="00573BA7" w:rsidRPr="07069484">
        <w:rPr>
          <w:rStyle w:val="eop"/>
          <w:rFonts w:eastAsiaTheme="majorEastAsia" w:cs="Open Sans"/>
        </w:rPr>
        <w:t xml:space="preserve"> </w:t>
      </w:r>
      <w:r w:rsidRPr="07069484">
        <w:rPr>
          <w:rStyle w:val="eop"/>
          <w:rFonts w:eastAsiaTheme="majorEastAsia" w:cs="Open Sans"/>
        </w:rPr>
        <w:t>Enhanced</w:t>
      </w:r>
      <w:r w:rsidR="00573BA7" w:rsidRPr="07069484">
        <w:rPr>
          <w:rStyle w:val="eop"/>
          <w:rFonts w:eastAsiaTheme="majorEastAsia" w:cs="Open Sans"/>
        </w:rPr>
        <w:t xml:space="preserve"> </w:t>
      </w:r>
      <w:r w:rsidRPr="07069484">
        <w:rPr>
          <w:rStyle w:val="eop"/>
          <w:rFonts w:eastAsiaTheme="majorEastAsia" w:cs="Open Sans"/>
        </w:rPr>
        <w:t>educational</w:t>
      </w:r>
      <w:r w:rsidR="00573BA7" w:rsidRPr="07069484">
        <w:rPr>
          <w:rStyle w:val="eop"/>
          <w:rFonts w:eastAsiaTheme="majorEastAsia" w:cs="Open Sans"/>
        </w:rPr>
        <w:t xml:space="preserve"> </w:t>
      </w:r>
      <w:r w:rsidRPr="07069484">
        <w:rPr>
          <w:rStyle w:val="eop"/>
          <w:rFonts w:eastAsiaTheme="majorEastAsia" w:cs="Open Sans"/>
        </w:rPr>
        <w:t>outcomes</w:t>
      </w:r>
      <w:r w:rsidR="00573BA7" w:rsidRPr="07069484">
        <w:rPr>
          <w:rStyle w:val="eop"/>
          <w:rFonts w:eastAsiaTheme="majorEastAsia" w:cs="Open Sans"/>
        </w:rPr>
        <w:t xml:space="preserve"> </w:t>
      </w:r>
      <w:r w:rsidRPr="07069484">
        <w:rPr>
          <w:rStyle w:val="eop"/>
          <w:rFonts w:eastAsiaTheme="majorEastAsia" w:cs="Open Sans"/>
        </w:rPr>
        <w:t>for</w:t>
      </w:r>
      <w:r w:rsidR="00573BA7" w:rsidRPr="07069484">
        <w:rPr>
          <w:rStyle w:val="eop"/>
          <w:rFonts w:eastAsiaTheme="majorEastAsia" w:cs="Open Sans"/>
        </w:rPr>
        <w:t xml:space="preserve"> </w:t>
      </w:r>
      <w:r w:rsidRPr="07069484">
        <w:rPr>
          <w:rStyle w:val="eop"/>
          <w:rFonts w:eastAsiaTheme="majorEastAsia" w:cs="Open Sans"/>
        </w:rPr>
        <w:t>people</w:t>
      </w:r>
      <w:r w:rsidR="00573BA7" w:rsidRPr="07069484">
        <w:rPr>
          <w:rStyle w:val="eop"/>
          <w:rFonts w:eastAsiaTheme="majorEastAsia" w:cs="Open Sans"/>
        </w:rPr>
        <w:t xml:space="preserve"> </w:t>
      </w:r>
      <w:r w:rsidRPr="07069484">
        <w:rPr>
          <w:rStyle w:val="eop"/>
          <w:rFonts w:eastAsiaTheme="majorEastAsia" w:cs="Open Sans"/>
        </w:rPr>
        <w:t>with</w:t>
      </w:r>
      <w:r w:rsidR="00573BA7" w:rsidRPr="07069484">
        <w:rPr>
          <w:rStyle w:val="eop"/>
          <w:rFonts w:eastAsiaTheme="majorEastAsia" w:cs="Open Sans"/>
        </w:rPr>
        <w:t xml:space="preserve"> </w:t>
      </w:r>
      <w:r w:rsidRPr="07069484">
        <w:rPr>
          <w:rStyle w:val="eop"/>
          <w:rFonts w:eastAsiaTheme="majorEastAsia" w:cs="Open Sans"/>
        </w:rPr>
        <w:t>disability</w:t>
      </w:r>
      <w:r w:rsidR="00573BA7" w:rsidRPr="07069484">
        <w:rPr>
          <w:rStyle w:val="eop"/>
          <w:rFonts w:eastAsiaTheme="majorEastAsia" w:cs="Open Sans"/>
        </w:rPr>
        <w:t xml:space="preserve"> </w:t>
      </w:r>
      <w:r w:rsidRPr="07069484">
        <w:rPr>
          <w:rStyle w:val="eop"/>
          <w:rFonts w:eastAsiaTheme="majorEastAsia" w:cs="Open Sans"/>
        </w:rPr>
        <w:t>also</w:t>
      </w:r>
      <w:r w:rsidR="00573BA7" w:rsidRPr="07069484">
        <w:rPr>
          <w:rStyle w:val="eop"/>
          <w:rFonts w:eastAsiaTheme="majorEastAsia" w:cs="Open Sans"/>
        </w:rPr>
        <w:t xml:space="preserve"> </w:t>
      </w:r>
      <w:r w:rsidRPr="07069484">
        <w:rPr>
          <w:rStyle w:val="eop"/>
          <w:rFonts w:eastAsiaTheme="majorEastAsia" w:cs="Open Sans"/>
        </w:rPr>
        <w:t>increase</w:t>
      </w:r>
      <w:r w:rsidR="00573BA7" w:rsidRPr="07069484">
        <w:rPr>
          <w:rStyle w:val="eop"/>
          <w:rFonts w:eastAsiaTheme="majorEastAsia" w:cs="Open Sans"/>
        </w:rPr>
        <w:t xml:space="preserve"> </w:t>
      </w:r>
      <w:r w:rsidRPr="07069484">
        <w:rPr>
          <w:rStyle w:val="eop"/>
          <w:rFonts w:eastAsiaTheme="majorEastAsia" w:cs="Open Sans"/>
        </w:rPr>
        <w:t>the</w:t>
      </w:r>
      <w:r w:rsidR="00573BA7" w:rsidRPr="07069484">
        <w:rPr>
          <w:rStyle w:val="eop"/>
          <w:rFonts w:eastAsiaTheme="majorEastAsia" w:cs="Open Sans"/>
        </w:rPr>
        <w:t xml:space="preserve"> </w:t>
      </w:r>
      <w:r w:rsidRPr="07069484">
        <w:rPr>
          <w:rStyle w:val="eop"/>
          <w:rFonts w:eastAsiaTheme="majorEastAsia" w:cs="Open Sans"/>
        </w:rPr>
        <w:t>contribution</w:t>
      </w:r>
      <w:r w:rsidR="00573BA7" w:rsidRPr="07069484">
        <w:rPr>
          <w:rStyle w:val="eop"/>
          <w:rFonts w:eastAsiaTheme="majorEastAsia" w:cs="Open Sans"/>
        </w:rPr>
        <w:t xml:space="preserve"> </w:t>
      </w:r>
      <w:r w:rsidRPr="07069484">
        <w:rPr>
          <w:rStyle w:val="eop"/>
          <w:rFonts w:eastAsiaTheme="majorEastAsia" w:cs="Open Sans"/>
        </w:rPr>
        <w:t>of</w:t>
      </w:r>
      <w:r w:rsidR="00573BA7" w:rsidRPr="07069484">
        <w:rPr>
          <w:rStyle w:val="eop"/>
          <w:rFonts w:eastAsiaTheme="majorEastAsia" w:cs="Open Sans"/>
        </w:rPr>
        <w:t xml:space="preserve"> </w:t>
      </w:r>
      <w:r w:rsidRPr="07069484">
        <w:rPr>
          <w:rStyle w:val="eop"/>
          <w:rFonts w:eastAsiaTheme="majorEastAsia" w:cs="Open Sans"/>
        </w:rPr>
        <w:t>people</w:t>
      </w:r>
      <w:r w:rsidR="00573BA7" w:rsidRPr="07069484">
        <w:rPr>
          <w:rStyle w:val="eop"/>
          <w:rFonts w:eastAsiaTheme="majorEastAsia" w:cs="Open Sans"/>
        </w:rPr>
        <w:t xml:space="preserve"> </w:t>
      </w:r>
      <w:r w:rsidRPr="07069484">
        <w:rPr>
          <w:rStyle w:val="eop"/>
          <w:rFonts w:eastAsiaTheme="majorEastAsia" w:cs="Open Sans"/>
        </w:rPr>
        <w:t>with</w:t>
      </w:r>
      <w:r w:rsidR="00573BA7" w:rsidRPr="07069484">
        <w:rPr>
          <w:rStyle w:val="eop"/>
          <w:rFonts w:eastAsiaTheme="majorEastAsia" w:cs="Open Sans"/>
        </w:rPr>
        <w:t xml:space="preserve"> </w:t>
      </w:r>
      <w:r w:rsidRPr="07069484">
        <w:rPr>
          <w:rStyle w:val="eop"/>
          <w:rFonts w:eastAsiaTheme="majorEastAsia" w:cs="Open Sans"/>
        </w:rPr>
        <w:t>disability</w:t>
      </w:r>
      <w:r w:rsidR="00573BA7" w:rsidRPr="07069484">
        <w:rPr>
          <w:rStyle w:val="eop"/>
          <w:rFonts w:eastAsiaTheme="majorEastAsia" w:cs="Open Sans"/>
        </w:rPr>
        <w:t xml:space="preserve"> </w:t>
      </w:r>
      <w:r w:rsidRPr="07069484">
        <w:rPr>
          <w:rStyle w:val="eop"/>
          <w:rFonts w:eastAsiaTheme="majorEastAsia" w:cs="Open Sans"/>
        </w:rPr>
        <w:t>to</w:t>
      </w:r>
      <w:r w:rsidR="00573BA7" w:rsidRPr="07069484">
        <w:rPr>
          <w:rStyle w:val="eop"/>
          <w:rFonts w:eastAsiaTheme="majorEastAsia" w:cs="Open Sans"/>
        </w:rPr>
        <w:t xml:space="preserve"> </w:t>
      </w:r>
      <w:r w:rsidRPr="07069484">
        <w:rPr>
          <w:rStyle w:val="eop"/>
          <w:rFonts w:eastAsiaTheme="majorEastAsia" w:cs="Open Sans"/>
        </w:rPr>
        <w:t>the</w:t>
      </w:r>
      <w:r w:rsidR="00573BA7" w:rsidRPr="07069484">
        <w:rPr>
          <w:rStyle w:val="eop"/>
          <w:rFonts w:eastAsiaTheme="majorEastAsia" w:cs="Open Sans"/>
        </w:rPr>
        <w:t xml:space="preserve"> </w:t>
      </w:r>
      <w:r w:rsidRPr="07069484">
        <w:rPr>
          <w:rStyle w:val="eop"/>
          <w:rFonts w:eastAsiaTheme="majorEastAsia" w:cs="Open Sans"/>
        </w:rPr>
        <w:t>economy.</w:t>
      </w:r>
      <w:r w:rsidR="004B17AE" w:rsidRPr="07069484">
        <w:rPr>
          <w:rStyle w:val="EndnoteReference"/>
          <w:rFonts w:eastAsiaTheme="majorEastAsia" w:cs="Open Sans"/>
        </w:rPr>
        <w:endnoteReference w:id="259"/>
      </w:r>
      <w:r w:rsidR="00573BA7" w:rsidRPr="07069484">
        <w:rPr>
          <w:rStyle w:val="eop"/>
          <w:rFonts w:eastAsiaTheme="majorEastAsia" w:cs="Open Sans"/>
        </w:rPr>
        <w:t xml:space="preserve"> </w:t>
      </w:r>
      <w:r w:rsidR="005E06DC" w:rsidRPr="07069484">
        <w:rPr>
          <w:rStyle w:val="eop"/>
          <w:rFonts w:eastAsiaTheme="majorEastAsia" w:cs="Open Sans"/>
        </w:rPr>
        <w:t>T</w:t>
      </w:r>
      <w:r w:rsidRPr="07069484">
        <w:rPr>
          <w:rStyle w:val="eop"/>
          <w:rFonts w:eastAsiaTheme="majorEastAsia" w:cs="Open Sans"/>
        </w:rPr>
        <w:t>he</w:t>
      </w:r>
      <w:r w:rsidR="00573BA7" w:rsidRPr="07069484">
        <w:rPr>
          <w:rStyle w:val="eop"/>
          <w:rFonts w:eastAsiaTheme="majorEastAsia" w:cs="Open Sans"/>
        </w:rPr>
        <w:t xml:space="preserve"> </w:t>
      </w:r>
      <w:r w:rsidRPr="07069484">
        <w:rPr>
          <w:rStyle w:val="eop"/>
          <w:rFonts w:eastAsiaTheme="majorEastAsia" w:cs="Open Sans"/>
        </w:rPr>
        <w:t>Productivity</w:t>
      </w:r>
      <w:r w:rsidR="00573BA7" w:rsidRPr="07069484">
        <w:rPr>
          <w:rStyle w:val="eop"/>
          <w:rFonts w:eastAsiaTheme="majorEastAsia" w:cs="Open Sans"/>
        </w:rPr>
        <w:t xml:space="preserve"> </w:t>
      </w:r>
      <w:r w:rsidRPr="07069484">
        <w:rPr>
          <w:rStyle w:val="eop"/>
          <w:rFonts w:eastAsiaTheme="majorEastAsia" w:cs="Open Sans"/>
        </w:rPr>
        <w:t>Commission</w:t>
      </w:r>
      <w:r w:rsidR="00573BA7" w:rsidRPr="07069484">
        <w:rPr>
          <w:rStyle w:val="eop"/>
          <w:rFonts w:eastAsiaTheme="majorEastAsia" w:cs="Open Sans"/>
        </w:rPr>
        <w:t xml:space="preserve"> </w:t>
      </w:r>
      <w:r w:rsidRPr="07069484">
        <w:rPr>
          <w:rStyle w:val="eop"/>
          <w:rFonts w:eastAsiaTheme="majorEastAsia" w:cs="Open Sans"/>
        </w:rPr>
        <w:t>has</w:t>
      </w:r>
      <w:r w:rsidR="00573BA7" w:rsidRPr="07069484">
        <w:rPr>
          <w:rStyle w:val="eop"/>
          <w:rFonts w:eastAsiaTheme="majorEastAsia" w:cs="Open Sans"/>
        </w:rPr>
        <w:t xml:space="preserve"> </w:t>
      </w:r>
      <w:r w:rsidRPr="07069484">
        <w:rPr>
          <w:rStyle w:val="eop"/>
          <w:rFonts w:eastAsiaTheme="majorEastAsia" w:cs="Open Sans"/>
        </w:rPr>
        <w:t>found</w:t>
      </w:r>
      <w:r w:rsidR="00573BA7" w:rsidRPr="07069484">
        <w:rPr>
          <w:rStyle w:val="eop"/>
          <w:rFonts w:eastAsiaTheme="majorEastAsia" w:cs="Open Sans"/>
        </w:rPr>
        <w:t xml:space="preserve"> </w:t>
      </w:r>
      <w:r w:rsidRPr="07069484">
        <w:rPr>
          <w:rStyle w:val="eop"/>
          <w:rFonts w:eastAsiaTheme="majorEastAsia" w:cs="Open Sans"/>
        </w:rPr>
        <w:t>that</w:t>
      </w:r>
      <w:r w:rsidR="00573BA7" w:rsidRPr="07069484">
        <w:rPr>
          <w:rStyle w:val="eop"/>
          <w:rFonts w:eastAsiaTheme="majorEastAsia" w:cs="Open Sans"/>
        </w:rPr>
        <w:t xml:space="preserve"> </w:t>
      </w:r>
      <w:r w:rsidRPr="07069484">
        <w:rPr>
          <w:rStyle w:val="eop"/>
          <w:rFonts w:eastAsiaTheme="majorEastAsia" w:cs="Open Sans"/>
        </w:rPr>
        <w:t>‘better</w:t>
      </w:r>
      <w:r w:rsidR="00573BA7" w:rsidRPr="07069484">
        <w:rPr>
          <w:rStyle w:val="eop"/>
          <w:rFonts w:eastAsiaTheme="majorEastAsia" w:cs="Open Sans"/>
        </w:rPr>
        <w:t xml:space="preserve"> </w:t>
      </w:r>
      <w:r w:rsidRPr="07069484">
        <w:rPr>
          <w:rStyle w:val="eop"/>
          <w:rFonts w:eastAsiaTheme="majorEastAsia" w:cs="Open Sans"/>
        </w:rPr>
        <w:t>employment</w:t>
      </w:r>
      <w:r w:rsidR="00573BA7" w:rsidRPr="07069484">
        <w:rPr>
          <w:rStyle w:val="eop"/>
          <w:rFonts w:eastAsiaTheme="majorEastAsia" w:cs="Open Sans"/>
        </w:rPr>
        <w:t xml:space="preserve"> </w:t>
      </w:r>
      <w:r w:rsidRPr="07069484">
        <w:rPr>
          <w:rStyle w:val="eop"/>
          <w:rFonts w:eastAsiaTheme="majorEastAsia" w:cs="Open Sans"/>
        </w:rPr>
        <w:t>prospects</w:t>
      </w:r>
      <w:r w:rsidR="00573BA7" w:rsidRPr="07069484">
        <w:rPr>
          <w:rStyle w:val="eop"/>
          <w:rFonts w:eastAsiaTheme="majorEastAsia" w:cs="Open Sans"/>
        </w:rPr>
        <w:t xml:space="preserve"> </w:t>
      </w:r>
      <w:r w:rsidRPr="07069484">
        <w:rPr>
          <w:rStyle w:val="eop"/>
          <w:rFonts w:eastAsiaTheme="majorEastAsia" w:cs="Open Sans"/>
        </w:rPr>
        <w:t>can</w:t>
      </w:r>
      <w:r w:rsidR="00573BA7" w:rsidRPr="07069484">
        <w:rPr>
          <w:rStyle w:val="eop"/>
          <w:rFonts w:eastAsiaTheme="majorEastAsia" w:cs="Open Sans"/>
        </w:rPr>
        <w:t xml:space="preserve"> </w:t>
      </w:r>
      <w:r w:rsidRPr="07069484">
        <w:rPr>
          <w:rStyle w:val="eop"/>
          <w:rFonts w:eastAsiaTheme="majorEastAsia" w:cs="Open Sans"/>
        </w:rPr>
        <w:t>provide</w:t>
      </w:r>
      <w:r w:rsidR="00573BA7" w:rsidRPr="07069484">
        <w:rPr>
          <w:rStyle w:val="eop"/>
          <w:rFonts w:eastAsiaTheme="majorEastAsia" w:cs="Open Sans"/>
        </w:rPr>
        <w:t xml:space="preserve"> </w:t>
      </w:r>
      <w:r w:rsidRPr="07069484">
        <w:rPr>
          <w:rStyle w:val="eop"/>
          <w:rFonts w:eastAsiaTheme="majorEastAsia" w:cs="Open Sans"/>
        </w:rPr>
        <w:t>incentives</w:t>
      </w:r>
      <w:r w:rsidR="00573BA7" w:rsidRPr="07069484">
        <w:rPr>
          <w:rStyle w:val="eop"/>
          <w:rFonts w:eastAsiaTheme="majorEastAsia" w:cs="Open Sans"/>
        </w:rPr>
        <w:t xml:space="preserve"> </w:t>
      </w:r>
      <w:r w:rsidRPr="07069484">
        <w:rPr>
          <w:rStyle w:val="eop"/>
          <w:rFonts w:eastAsiaTheme="majorEastAsia" w:cs="Open Sans"/>
        </w:rPr>
        <w:t>to</w:t>
      </w:r>
      <w:r w:rsidR="00573BA7" w:rsidRPr="07069484">
        <w:rPr>
          <w:rStyle w:val="eop"/>
          <w:rFonts w:eastAsiaTheme="majorEastAsia" w:cs="Open Sans"/>
        </w:rPr>
        <w:t xml:space="preserve"> </w:t>
      </w:r>
      <w:r w:rsidRPr="07069484">
        <w:rPr>
          <w:rStyle w:val="eop"/>
          <w:rFonts w:eastAsiaTheme="majorEastAsia" w:cs="Open Sans"/>
        </w:rPr>
        <w:t>students</w:t>
      </w:r>
      <w:r w:rsidR="00573BA7" w:rsidRPr="07069484">
        <w:rPr>
          <w:rStyle w:val="eop"/>
          <w:rFonts w:eastAsiaTheme="majorEastAsia" w:cs="Open Sans"/>
        </w:rPr>
        <w:t xml:space="preserve"> </w:t>
      </w:r>
      <w:r w:rsidRPr="07069484">
        <w:rPr>
          <w:rStyle w:val="eop"/>
          <w:rFonts w:eastAsiaTheme="majorEastAsia" w:cs="Open Sans"/>
        </w:rPr>
        <w:t>with</w:t>
      </w:r>
      <w:r w:rsidR="00573BA7" w:rsidRPr="07069484">
        <w:rPr>
          <w:rStyle w:val="eop"/>
          <w:rFonts w:eastAsiaTheme="majorEastAsia" w:cs="Open Sans"/>
        </w:rPr>
        <w:t xml:space="preserve"> </w:t>
      </w:r>
      <w:r w:rsidRPr="07069484">
        <w:rPr>
          <w:rStyle w:val="eop"/>
          <w:rFonts w:eastAsiaTheme="majorEastAsia" w:cs="Open Sans"/>
        </w:rPr>
        <w:t>disabilities</w:t>
      </w:r>
      <w:r w:rsidR="00573BA7" w:rsidRPr="07069484">
        <w:rPr>
          <w:rStyle w:val="eop"/>
          <w:rFonts w:eastAsiaTheme="majorEastAsia" w:cs="Open Sans"/>
        </w:rPr>
        <w:t xml:space="preserve"> </w:t>
      </w:r>
      <w:r w:rsidRPr="07069484">
        <w:rPr>
          <w:rStyle w:val="eop"/>
          <w:rFonts w:eastAsiaTheme="majorEastAsia" w:cs="Open Sans"/>
        </w:rPr>
        <w:t>to</w:t>
      </w:r>
      <w:r w:rsidR="00573BA7" w:rsidRPr="07069484">
        <w:rPr>
          <w:rStyle w:val="eop"/>
          <w:rFonts w:eastAsiaTheme="majorEastAsia" w:cs="Open Sans"/>
        </w:rPr>
        <w:t xml:space="preserve"> </w:t>
      </w:r>
      <w:r w:rsidRPr="07069484">
        <w:rPr>
          <w:rStyle w:val="eop"/>
          <w:rFonts w:eastAsiaTheme="majorEastAsia" w:cs="Open Sans"/>
        </w:rPr>
        <w:t>improve</w:t>
      </w:r>
      <w:r w:rsidR="00573BA7" w:rsidRPr="07069484">
        <w:rPr>
          <w:rStyle w:val="eop"/>
          <w:rFonts w:eastAsiaTheme="majorEastAsia" w:cs="Open Sans"/>
        </w:rPr>
        <w:t xml:space="preserve"> </w:t>
      </w:r>
      <w:r w:rsidRPr="07069484">
        <w:rPr>
          <w:rStyle w:val="eop"/>
          <w:rFonts w:eastAsiaTheme="majorEastAsia" w:cs="Open Sans"/>
        </w:rPr>
        <w:t>their</w:t>
      </w:r>
      <w:r w:rsidR="00573BA7" w:rsidRPr="07069484">
        <w:rPr>
          <w:rStyle w:val="eop"/>
          <w:rFonts w:eastAsiaTheme="majorEastAsia" w:cs="Open Sans"/>
        </w:rPr>
        <w:t xml:space="preserve"> </w:t>
      </w:r>
      <w:r w:rsidRPr="07069484">
        <w:rPr>
          <w:rStyle w:val="eop"/>
          <w:rFonts w:eastAsiaTheme="majorEastAsia" w:cs="Open Sans"/>
        </w:rPr>
        <w:t>educational</w:t>
      </w:r>
      <w:r w:rsidR="00573BA7" w:rsidRPr="07069484">
        <w:rPr>
          <w:rStyle w:val="eop"/>
          <w:rFonts w:eastAsiaTheme="majorEastAsia" w:cs="Open Sans"/>
        </w:rPr>
        <w:t xml:space="preserve"> </w:t>
      </w:r>
      <w:r w:rsidRPr="07069484">
        <w:rPr>
          <w:rStyle w:val="eop"/>
          <w:rFonts w:eastAsiaTheme="majorEastAsia" w:cs="Open Sans"/>
        </w:rPr>
        <w:t>outcomes,</w:t>
      </w:r>
      <w:r w:rsidR="00573BA7" w:rsidRPr="07069484">
        <w:rPr>
          <w:rStyle w:val="eop"/>
          <w:rFonts w:eastAsiaTheme="majorEastAsia" w:cs="Open Sans"/>
        </w:rPr>
        <w:t xml:space="preserve"> </w:t>
      </w:r>
      <w:r w:rsidRPr="07069484">
        <w:rPr>
          <w:rStyle w:val="eop"/>
          <w:rFonts w:eastAsiaTheme="majorEastAsia" w:cs="Open Sans"/>
        </w:rPr>
        <w:t>making</w:t>
      </w:r>
      <w:r w:rsidR="00573BA7" w:rsidRPr="07069484">
        <w:rPr>
          <w:rStyle w:val="eop"/>
          <w:rFonts w:eastAsiaTheme="majorEastAsia" w:cs="Open Sans"/>
        </w:rPr>
        <w:t xml:space="preserve"> </w:t>
      </w:r>
      <w:r w:rsidRPr="07069484">
        <w:rPr>
          <w:rStyle w:val="eop"/>
          <w:rFonts w:eastAsiaTheme="majorEastAsia" w:cs="Open Sans"/>
        </w:rPr>
        <w:t>them</w:t>
      </w:r>
      <w:r w:rsidR="00573BA7" w:rsidRPr="07069484">
        <w:rPr>
          <w:rStyle w:val="eop"/>
          <w:rFonts w:eastAsiaTheme="majorEastAsia" w:cs="Open Sans"/>
        </w:rPr>
        <w:t xml:space="preserve"> </w:t>
      </w:r>
      <w:r w:rsidRPr="07069484">
        <w:rPr>
          <w:rStyle w:val="eop"/>
          <w:rFonts w:eastAsiaTheme="majorEastAsia" w:cs="Open Sans"/>
        </w:rPr>
        <w:t>more</w:t>
      </w:r>
      <w:r w:rsidR="00573BA7" w:rsidRPr="07069484">
        <w:rPr>
          <w:rStyle w:val="eop"/>
          <w:rFonts w:eastAsiaTheme="majorEastAsia" w:cs="Open Sans"/>
        </w:rPr>
        <w:t xml:space="preserve"> </w:t>
      </w:r>
      <w:r w:rsidRPr="07069484">
        <w:rPr>
          <w:rStyle w:val="eop"/>
          <w:rFonts w:eastAsiaTheme="majorEastAsia" w:cs="Open Sans"/>
        </w:rPr>
        <w:t>productive</w:t>
      </w:r>
      <w:r w:rsidR="00573BA7" w:rsidRPr="07069484">
        <w:rPr>
          <w:rStyle w:val="eop"/>
          <w:rFonts w:eastAsiaTheme="majorEastAsia" w:cs="Open Sans"/>
        </w:rPr>
        <w:t xml:space="preserve"> </w:t>
      </w:r>
      <w:r w:rsidRPr="07069484">
        <w:rPr>
          <w:rStyle w:val="eop"/>
          <w:rFonts w:eastAsiaTheme="majorEastAsia" w:cs="Open Sans"/>
        </w:rPr>
        <w:t>members</w:t>
      </w:r>
      <w:r w:rsidR="00573BA7" w:rsidRPr="07069484">
        <w:rPr>
          <w:rStyle w:val="eop"/>
          <w:rFonts w:eastAsiaTheme="majorEastAsia" w:cs="Open Sans"/>
        </w:rPr>
        <w:t xml:space="preserve"> </w:t>
      </w:r>
      <w:r w:rsidRPr="07069484">
        <w:rPr>
          <w:rStyle w:val="eop"/>
          <w:rFonts w:eastAsiaTheme="majorEastAsia" w:cs="Open Sans"/>
        </w:rPr>
        <w:t>of</w:t>
      </w:r>
      <w:r w:rsidR="00573BA7" w:rsidRPr="07069484">
        <w:rPr>
          <w:rStyle w:val="eop"/>
          <w:rFonts w:eastAsiaTheme="majorEastAsia" w:cs="Open Sans"/>
        </w:rPr>
        <w:t xml:space="preserve"> </w:t>
      </w:r>
      <w:r w:rsidRPr="07069484">
        <w:rPr>
          <w:rStyle w:val="eop"/>
          <w:rFonts w:eastAsiaTheme="majorEastAsia" w:cs="Open Sans"/>
        </w:rPr>
        <w:t>the</w:t>
      </w:r>
      <w:r w:rsidR="00573BA7" w:rsidRPr="07069484">
        <w:rPr>
          <w:rStyle w:val="eop"/>
          <w:rFonts w:eastAsiaTheme="majorEastAsia" w:cs="Open Sans"/>
        </w:rPr>
        <w:t xml:space="preserve"> </w:t>
      </w:r>
      <w:r w:rsidRPr="07069484">
        <w:rPr>
          <w:rStyle w:val="eop"/>
          <w:rFonts w:eastAsiaTheme="majorEastAsia" w:cs="Open Sans"/>
        </w:rPr>
        <w:t>community’.</w:t>
      </w:r>
      <w:r w:rsidR="00624BA8" w:rsidRPr="07069484">
        <w:rPr>
          <w:rStyle w:val="EndnoteReference"/>
          <w:rFonts w:eastAsiaTheme="majorEastAsia" w:cs="Open Sans"/>
        </w:rPr>
        <w:endnoteReference w:id="260"/>
      </w:r>
      <w:r w:rsidR="00573BA7" w:rsidRPr="07069484">
        <w:rPr>
          <w:rStyle w:val="eop"/>
          <w:rFonts w:eastAsiaTheme="majorEastAsia" w:cs="Open Sans"/>
        </w:rPr>
        <w:t xml:space="preserve"> </w:t>
      </w:r>
      <w:r w:rsidRPr="07069484">
        <w:rPr>
          <w:rFonts w:eastAsiaTheme="majorEastAsia" w:cs="Open Sans"/>
        </w:rPr>
        <w:t>In</w:t>
      </w:r>
      <w:r w:rsidR="00573BA7" w:rsidRPr="07069484">
        <w:rPr>
          <w:rFonts w:eastAsiaTheme="majorEastAsia" w:cs="Open Sans"/>
        </w:rPr>
        <w:t xml:space="preserve"> </w:t>
      </w:r>
      <w:r w:rsidRPr="07069484">
        <w:rPr>
          <w:rFonts w:eastAsiaTheme="majorEastAsia" w:cs="Open Sans"/>
        </w:rPr>
        <w:t>contrast,</w:t>
      </w:r>
      <w:r w:rsidR="00573BA7" w:rsidRPr="07069484">
        <w:rPr>
          <w:rFonts w:eastAsiaTheme="majorEastAsia" w:cs="Open Sans"/>
        </w:rPr>
        <w:t xml:space="preserve"> </w:t>
      </w:r>
      <w:r w:rsidRPr="07069484">
        <w:rPr>
          <w:rFonts w:eastAsiaTheme="majorEastAsia" w:cs="Open Sans"/>
        </w:rPr>
        <w:t>under-education</w:t>
      </w:r>
      <w:r w:rsidR="00573BA7" w:rsidRPr="07069484">
        <w:rPr>
          <w:rFonts w:eastAsiaTheme="majorEastAsia" w:cs="Open Sans"/>
        </w:rPr>
        <w:t xml:space="preserve"> </w:t>
      </w:r>
      <w:r w:rsidRPr="07069484">
        <w:rPr>
          <w:rFonts w:eastAsiaTheme="majorEastAsia" w:cs="Open Sans"/>
        </w:rPr>
        <w:t>leads</w:t>
      </w:r>
      <w:r w:rsidR="00573BA7" w:rsidRPr="07069484">
        <w:rPr>
          <w:rFonts w:eastAsiaTheme="majorEastAsia" w:cs="Open Sans"/>
        </w:rPr>
        <w:t xml:space="preserve"> </w:t>
      </w:r>
      <w:r w:rsidRPr="07069484">
        <w:rPr>
          <w:rFonts w:eastAsiaTheme="majorEastAsia" w:cs="Open Sans"/>
        </w:rPr>
        <w:t>to</w:t>
      </w:r>
      <w:r w:rsidR="00573BA7" w:rsidRPr="07069484">
        <w:rPr>
          <w:rFonts w:eastAsiaTheme="majorEastAsia" w:cs="Open Sans"/>
        </w:rPr>
        <w:t xml:space="preserve"> </w:t>
      </w:r>
      <w:r w:rsidRPr="07069484">
        <w:rPr>
          <w:rFonts w:eastAsiaTheme="majorEastAsia" w:cs="Open Sans"/>
        </w:rPr>
        <w:t>unemployment,</w:t>
      </w:r>
      <w:r w:rsidR="00573BA7" w:rsidRPr="07069484">
        <w:rPr>
          <w:rFonts w:eastAsiaTheme="majorEastAsia" w:cs="Open Sans"/>
        </w:rPr>
        <w:t xml:space="preserve"> </w:t>
      </w:r>
      <w:r w:rsidRPr="07069484">
        <w:rPr>
          <w:rFonts w:eastAsiaTheme="majorEastAsia" w:cs="Open Sans"/>
        </w:rPr>
        <w:t>lower</w:t>
      </w:r>
      <w:r w:rsidR="00573BA7" w:rsidRPr="07069484">
        <w:rPr>
          <w:rFonts w:eastAsiaTheme="majorEastAsia" w:cs="Open Sans"/>
        </w:rPr>
        <w:t xml:space="preserve"> </w:t>
      </w:r>
      <w:r w:rsidRPr="07069484">
        <w:rPr>
          <w:rFonts w:eastAsiaTheme="majorEastAsia" w:cs="Open Sans"/>
        </w:rPr>
        <w:t>levels</w:t>
      </w:r>
      <w:r w:rsidR="00573BA7" w:rsidRPr="07069484">
        <w:rPr>
          <w:rFonts w:eastAsiaTheme="majorEastAsia" w:cs="Open Sans"/>
        </w:rPr>
        <w:t xml:space="preserve"> </w:t>
      </w:r>
      <w:r w:rsidRPr="07069484">
        <w:rPr>
          <w:rFonts w:eastAsiaTheme="majorEastAsia" w:cs="Open Sans"/>
        </w:rPr>
        <w:t>of</w:t>
      </w:r>
      <w:r w:rsidR="00573BA7" w:rsidRPr="07069484">
        <w:rPr>
          <w:rFonts w:eastAsiaTheme="majorEastAsia" w:cs="Open Sans"/>
        </w:rPr>
        <w:t xml:space="preserve"> </w:t>
      </w:r>
      <w:r w:rsidRPr="07069484">
        <w:rPr>
          <w:rFonts w:eastAsiaTheme="majorEastAsia" w:cs="Open Sans"/>
        </w:rPr>
        <w:t>health,</w:t>
      </w:r>
      <w:r w:rsidR="00573BA7" w:rsidRPr="07069484">
        <w:rPr>
          <w:rFonts w:eastAsiaTheme="majorEastAsia" w:cs="Open Sans"/>
        </w:rPr>
        <w:t xml:space="preserve"> </w:t>
      </w:r>
      <w:r w:rsidRPr="07069484">
        <w:rPr>
          <w:rFonts w:eastAsiaTheme="majorEastAsia" w:cs="Open Sans"/>
        </w:rPr>
        <w:t>social</w:t>
      </w:r>
      <w:r w:rsidR="00573BA7" w:rsidRPr="07069484">
        <w:rPr>
          <w:rFonts w:eastAsiaTheme="majorEastAsia" w:cs="Open Sans"/>
        </w:rPr>
        <w:t xml:space="preserve"> </w:t>
      </w:r>
      <w:r w:rsidRPr="07069484">
        <w:rPr>
          <w:rFonts w:eastAsiaTheme="majorEastAsia" w:cs="Open Sans"/>
        </w:rPr>
        <w:t>isolation</w:t>
      </w:r>
      <w:r w:rsidR="00573BA7" w:rsidRPr="07069484">
        <w:rPr>
          <w:rFonts w:eastAsiaTheme="majorEastAsia" w:cs="Open Sans"/>
        </w:rPr>
        <w:t xml:space="preserve"> </w:t>
      </w:r>
      <w:r w:rsidRPr="07069484">
        <w:rPr>
          <w:rFonts w:eastAsiaTheme="majorEastAsia" w:cs="Open Sans"/>
        </w:rPr>
        <w:t>and</w:t>
      </w:r>
      <w:r w:rsidR="00573BA7" w:rsidRPr="07069484">
        <w:rPr>
          <w:rFonts w:eastAsiaTheme="majorEastAsia" w:cs="Open Sans"/>
        </w:rPr>
        <w:t xml:space="preserve"> </w:t>
      </w:r>
      <w:r w:rsidRPr="07069484">
        <w:rPr>
          <w:rFonts w:eastAsiaTheme="majorEastAsia" w:cs="Open Sans"/>
        </w:rPr>
        <w:t>a</w:t>
      </w:r>
      <w:r w:rsidR="00573BA7" w:rsidRPr="07069484">
        <w:rPr>
          <w:rFonts w:eastAsiaTheme="majorEastAsia" w:cs="Open Sans"/>
        </w:rPr>
        <w:t xml:space="preserve"> </w:t>
      </w:r>
      <w:r w:rsidRPr="07069484">
        <w:rPr>
          <w:rFonts w:eastAsiaTheme="majorEastAsia" w:cs="Open Sans"/>
        </w:rPr>
        <w:t>lifetime</w:t>
      </w:r>
      <w:r w:rsidR="00573BA7" w:rsidRPr="07069484">
        <w:rPr>
          <w:rFonts w:eastAsiaTheme="majorEastAsia" w:cs="Open Sans"/>
        </w:rPr>
        <w:t xml:space="preserve"> </w:t>
      </w:r>
      <w:r w:rsidRPr="07069484">
        <w:rPr>
          <w:rFonts w:eastAsiaTheme="majorEastAsia" w:cs="Open Sans"/>
        </w:rPr>
        <w:t>of</w:t>
      </w:r>
      <w:r w:rsidR="00573BA7" w:rsidRPr="07069484">
        <w:rPr>
          <w:rFonts w:eastAsiaTheme="majorEastAsia" w:cs="Open Sans"/>
        </w:rPr>
        <w:t xml:space="preserve"> </w:t>
      </w:r>
      <w:r w:rsidRPr="07069484">
        <w:rPr>
          <w:rFonts w:eastAsiaTheme="majorEastAsia" w:cs="Open Sans"/>
        </w:rPr>
        <w:t>disadvantage.</w:t>
      </w:r>
      <w:r w:rsidR="002E2F20" w:rsidRPr="07069484">
        <w:rPr>
          <w:rStyle w:val="EndnoteReference"/>
          <w:rFonts w:eastAsiaTheme="majorEastAsia" w:cs="Open Sans"/>
        </w:rPr>
        <w:endnoteReference w:id="261"/>
      </w:r>
    </w:p>
    <w:p w14:paraId="7B8F55EE" w14:textId="128413D2" w:rsidR="006D1836" w:rsidRPr="003F4CE1" w:rsidRDefault="00043139" w:rsidP="00196C39">
      <w:pPr>
        <w:pStyle w:val="ListNumber"/>
        <w:rPr>
          <w:rStyle w:val="eop"/>
          <w:rFonts w:eastAsiaTheme="majorEastAsia" w:cs="Open Sans"/>
        </w:rPr>
      </w:pPr>
      <w:r w:rsidRPr="07069484">
        <w:rPr>
          <w:rStyle w:val="eop"/>
          <w:rFonts w:eastAsiaTheme="majorEastAsia" w:cs="Open Sans"/>
        </w:rPr>
        <w:t xml:space="preserve">Under </w:t>
      </w:r>
      <w:r w:rsidR="006D1836" w:rsidRPr="07069484">
        <w:rPr>
          <w:rStyle w:val="eop"/>
          <w:rFonts w:eastAsiaTheme="majorEastAsia" w:cs="Open Sans"/>
        </w:rPr>
        <w:t>Article</w:t>
      </w:r>
      <w:r w:rsidR="00573BA7" w:rsidRPr="07069484">
        <w:rPr>
          <w:rStyle w:val="eop"/>
          <w:rFonts w:eastAsiaTheme="majorEastAsia" w:cs="Open Sans"/>
        </w:rPr>
        <w:t xml:space="preserve"> </w:t>
      </w:r>
      <w:r w:rsidR="006D1836" w:rsidRPr="07069484">
        <w:rPr>
          <w:rStyle w:val="eop"/>
          <w:rFonts w:eastAsiaTheme="majorEastAsia" w:cs="Open Sans"/>
        </w:rPr>
        <w:t>24</w:t>
      </w:r>
      <w:r w:rsidR="00573BA7" w:rsidRPr="07069484">
        <w:rPr>
          <w:rStyle w:val="eop"/>
          <w:rFonts w:eastAsiaTheme="majorEastAsia" w:cs="Open Sans"/>
        </w:rPr>
        <w:t xml:space="preserve"> </w:t>
      </w:r>
      <w:r w:rsidR="006D1836" w:rsidRPr="07069484">
        <w:rPr>
          <w:rStyle w:val="eop"/>
          <w:rFonts w:eastAsiaTheme="majorEastAsia" w:cs="Open Sans"/>
        </w:rPr>
        <w:t>of</w:t>
      </w:r>
      <w:r w:rsidR="00573BA7" w:rsidRPr="07069484">
        <w:rPr>
          <w:rStyle w:val="eop"/>
          <w:rFonts w:eastAsiaTheme="majorEastAsia" w:cs="Open Sans"/>
        </w:rPr>
        <w:t xml:space="preserve"> </w:t>
      </w:r>
      <w:r w:rsidR="006D1836" w:rsidRPr="07069484">
        <w:rPr>
          <w:rStyle w:val="eop"/>
          <w:rFonts w:eastAsiaTheme="majorEastAsia" w:cs="Open Sans"/>
        </w:rPr>
        <w:t>the</w:t>
      </w:r>
      <w:r w:rsidR="00573BA7" w:rsidRPr="07069484">
        <w:rPr>
          <w:rStyle w:val="eop"/>
          <w:rFonts w:eastAsiaTheme="majorEastAsia" w:cs="Open Sans"/>
        </w:rPr>
        <w:t xml:space="preserve"> </w:t>
      </w:r>
      <w:r w:rsidR="00D56988" w:rsidRPr="07069484">
        <w:rPr>
          <w:rStyle w:val="eop"/>
          <w:rFonts w:eastAsiaTheme="majorEastAsia" w:cs="Open Sans"/>
        </w:rPr>
        <w:t>CRPD</w:t>
      </w:r>
      <w:r w:rsidRPr="07069484">
        <w:rPr>
          <w:rStyle w:val="eop"/>
          <w:rFonts w:eastAsiaTheme="majorEastAsia" w:cs="Open Sans"/>
        </w:rPr>
        <w:t xml:space="preserve">, the Australian Government is obliged </w:t>
      </w:r>
      <w:r w:rsidR="006D1836" w:rsidRPr="07069484">
        <w:rPr>
          <w:rStyle w:val="eop"/>
          <w:rFonts w:eastAsiaTheme="majorEastAsia" w:cs="Open Sans"/>
        </w:rPr>
        <w:t>to</w:t>
      </w:r>
      <w:r w:rsidR="00573BA7" w:rsidRPr="07069484">
        <w:rPr>
          <w:rStyle w:val="eop"/>
          <w:rFonts w:eastAsiaTheme="majorEastAsia" w:cs="Open Sans"/>
        </w:rPr>
        <w:t xml:space="preserve"> </w:t>
      </w:r>
      <w:r w:rsidR="006D1836" w:rsidRPr="07069484">
        <w:rPr>
          <w:rStyle w:val="eop"/>
          <w:rFonts w:eastAsiaTheme="majorEastAsia" w:cs="Open Sans"/>
        </w:rPr>
        <w:t>ensure</w:t>
      </w:r>
      <w:r w:rsidR="00573BA7" w:rsidRPr="07069484">
        <w:rPr>
          <w:rStyle w:val="eop"/>
          <w:rFonts w:eastAsiaTheme="majorEastAsia" w:cs="Open Sans"/>
        </w:rPr>
        <w:t xml:space="preserve"> </w:t>
      </w:r>
      <w:r w:rsidR="006D1836" w:rsidRPr="07069484">
        <w:rPr>
          <w:rStyle w:val="eop"/>
          <w:rFonts w:eastAsiaTheme="majorEastAsia" w:cs="Open Sans"/>
        </w:rPr>
        <w:t>that</w:t>
      </w:r>
      <w:r w:rsidR="00573BA7" w:rsidRPr="07069484">
        <w:rPr>
          <w:rStyle w:val="eop"/>
          <w:rFonts w:eastAsiaTheme="majorEastAsia" w:cs="Open Sans"/>
        </w:rPr>
        <w:t xml:space="preserve"> </w:t>
      </w:r>
      <w:r w:rsidR="007F5BA4" w:rsidRPr="07069484">
        <w:rPr>
          <w:rStyle w:val="eop"/>
          <w:rFonts w:eastAsiaTheme="majorEastAsia" w:cs="Open Sans"/>
        </w:rPr>
        <w:t>people</w:t>
      </w:r>
      <w:r w:rsidR="00573BA7" w:rsidRPr="07069484">
        <w:rPr>
          <w:rStyle w:val="eop"/>
          <w:rFonts w:eastAsiaTheme="majorEastAsia" w:cs="Open Sans"/>
        </w:rPr>
        <w:t xml:space="preserve"> </w:t>
      </w:r>
      <w:r w:rsidR="007F5BA4" w:rsidRPr="07069484">
        <w:rPr>
          <w:rStyle w:val="eop"/>
          <w:rFonts w:eastAsiaTheme="majorEastAsia" w:cs="Open Sans"/>
        </w:rPr>
        <w:t>with</w:t>
      </w:r>
      <w:r w:rsidR="00573BA7" w:rsidRPr="07069484">
        <w:rPr>
          <w:rStyle w:val="eop"/>
          <w:rFonts w:eastAsiaTheme="majorEastAsia" w:cs="Open Sans"/>
        </w:rPr>
        <w:t xml:space="preserve"> </w:t>
      </w:r>
      <w:r w:rsidR="007F5BA4" w:rsidRPr="07069484">
        <w:rPr>
          <w:rStyle w:val="eop"/>
          <w:rFonts w:eastAsiaTheme="majorEastAsia" w:cs="Open Sans"/>
        </w:rPr>
        <w:t>disability</w:t>
      </w:r>
      <w:r w:rsidR="00573BA7" w:rsidRPr="07069484">
        <w:rPr>
          <w:rStyle w:val="eop"/>
          <w:rFonts w:eastAsiaTheme="majorEastAsia" w:cs="Open Sans"/>
        </w:rPr>
        <w:t xml:space="preserve"> </w:t>
      </w:r>
      <w:r w:rsidR="006D1836" w:rsidRPr="07069484">
        <w:rPr>
          <w:rStyle w:val="eop"/>
          <w:rFonts w:eastAsiaTheme="majorEastAsia" w:cs="Open Sans"/>
        </w:rPr>
        <w:t>have</w:t>
      </w:r>
      <w:r w:rsidR="00573BA7" w:rsidRPr="07069484">
        <w:rPr>
          <w:rStyle w:val="eop"/>
          <w:rFonts w:eastAsiaTheme="majorEastAsia" w:cs="Open Sans"/>
        </w:rPr>
        <w:t xml:space="preserve"> </w:t>
      </w:r>
      <w:r w:rsidR="006D1836" w:rsidRPr="07069484">
        <w:rPr>
          <w:rStyle w:val="eop"/>
          <w:rFonts w:eastAsiaTheme="majorEastAsia" w:cs="Open Sans"/>
        </w:rPr>
        <w:t>equal</w:t>
      </w:r>
      <w:r w:rsidR="00573BA7" w:rsidRPr="07069484">
        <w:rPr>
          <w:rStyle w:val="eop"/>
          <w:rFonts w:eastAsiaTheme="majorEastAsia" w:cs="Open Sans"/>
        </w:rPr>
        <w:t xml:space="preserve"> </w:t>
      </w:r>
      <w:r w:rsidR="006D1836" w:rsidRPr="07069484">
        <w:rPr>
          <w:rStyle w:val="eop"/>
          <w:rFonts w:eastAsiaTheme="majorEastAsia" w:cs="Open Sans"/>
        </w:rPr>
        <w:t>access</w:t>
      </w:r>
      <w:r w:rsidR="00573BA7" w:rsidRPr="07069484">
        <w:rPr>
          <w:rStyle w:val="eop"/>
          <w:rFonts w:eastAsiaTheme="majorEastAsia" w:cs="Open Sans"/>
        </w:rPr>
        <w:t xml:space="preserve"> </w:t>
      </w:r>
      <w:r w:rsidR="006D1836" w:rsidRPr="07069484">
        <w:rPr>
          <w:rStyle w:val="eop"/>
          <w:rFonts w:eastAsiaTheme="majorEastAsia" w:cs="Open Sans"/>
        </w:rPr>
        <w:t>to</w:t>
      </w:r>
      <w:r w:rsidR="00573BA7" w:rsidRPr="07069484">
        <w:rPr>
          <w:rStyle w:val="eop"/>
          <w:rFonts w:eastAsiaTheme="majorEastAsia" w:cs="Open Sans"/>
        </w:rPr>
        <w:t xml:space="preserve"> </w:t>
      </w:r>
      <w:r w:rsidR="006D1836" w:rsidRPr="07069484">
        <w:rPr>
          <w:rStyle w:val="eop"/>
          <w:rFonts w:eastAsiaTheme="majorEastAsia" w:cs="Open Sans"/>
        </w:rPr>
        <w:t>education,</w:t>
      </w:r>
      <w:r w:rsidR="00573BA7" w:rsidRPr="07069484">
        <w:rPr>
          <w:rStyle w:val="eop"/>
          <w:rFonts w:eastAsiaTheme="majorEastAsia" w:cs="Open Sans"/>
        </w:rPr>
        <w:t xml:space="preserve"> </w:t>
      </w:r>
      <w:r w:rsidR="006D1836" w:rsidRPr="07069484">
        <w:rPr>
          <w:rStyle w:val="eop"/>
          <w:rFonts w:eastAsiaTheme="majorEastAsia" w:cs="Open Sans"/>
        </w:rPr>
        <w:t>freedom</w:t>
      </w:r>
      <w:r w:rsidR="00573BA7" w:rsidRPr="07069484">
        <w:rPr>
          <w:rStyle w:val="eop"/>
          <w:rFonts w:eastAsiaTheme="majorEastAsia" w:cs="Open Sans"/>
        </w:rPr>
        <w:t xml:space="preserve"> </w:t>
      </w:r>
      <w:r w:rsidR="006D1836" w:rsidRPr="07069484">
        <w:rPr>
          <w:rStyle w:val="eop"/>
          <w:rFonts w:eastAsiaTheme="majorEastAsia" w:cs="Open Sans"/>
        </w:rPr>
        <w:t>from</w:t>
      </w:r>
      <w:r w:rsidR="00573BA7" w:rsidRPr="07069484">
        <w:rPr>
          <w:rStyle w:val="eop"/>
          <w:rFonts w:eastAsiaTheme="majorEastAsia" w:cs="Open Sans"/>
        </w:rPr>
        <w:t xml:space="preserve"> </w:t>
      </w:r>
      <w:r w:rsidR="006D1836" w:rsidRPr="07069484">
        <w:rPr>
          <w:rStyle w:val="eop"/>
          <w:rFonts w:eastAsiaTheme="majorEastAsia" w:cs="Open Sans"/>
        </w:rPr>
        <w:t>discrimination</w:t>
      </w:r>
      <w:r w:rsidR="00573BA7" w:rsidRPr="07069484">
        <w:rPr>
          <w:rStyle w:val="eop"/>
          <w:rFonts w:eastAsiaTheme="majorEastAsia" w:cs="Open Sans"/>
        </w:rPr>
        <w:t xml:space="preserve"> </w:t>
      </w:r>
      <w:r w:rsidR="006D1836" w:rsidRPr="07069484">
        <w:rPr>
          <w:rStyle w:val="eop"/>
          <w:rFonts w:eastAsiaTheme="majorEastAsia" w:cs="Open Sans"/>
        </w:rPr>
        <w:t>in</w:t>
      </w:r>
      <w:r w:rsidR="00573BA7" w:rsidRPr="07069484">
        <w:rPr>
          <w:rStyle w:val="eop"/>
          <w:rFonts w:eastAsiaTheme="majorEastAsia" w:cs="Open Sans"/>
        </w:rPr>
        <w:t xml:space="preserve"> </w:t>
      </w:r>
      <w:r w:rsidR="006D1836" w:rsidRPr="07069484">
        <w:rPr>
          <w:rStyle w:val="eop"/>
          <w:rFonts w:eastAsiaTheme="majorEastAsia" w:cs="Open Sans"/>
        </w:rPr>
        <w:t>education,</w:t>
      </w:r>
      <w:r w:rsidR="00573BA7" w:rsidRPr="07069484">
        <w:rPr>
          <w:rStyle w:val="eop"/>
          <w:rFonts w:eastAsiaTheme="majorEastAsia" w:cs="Open Sans"/>
        </w:rPr>
        <w:t xml:space="preserve"> </w:t>
      </w:r>
      <w:r w:rsidR="006D1836" w:rsidRPr="07069484">
        <w:rPr>
          <w:rStyle w:val="eop"/>
          <w:rFonts w:eastAsiaTheme="majorEastAsia" w:cs="Open Sans"/>
        </w:rPr>
        <w:t>and</w:t>
      </w:r>
      <w:r w:rsidR="00573BA7" w:rsidRPr="07069484">
        <w:rPr>
          <w:rStyle w:val="eop"/>
          <w:rFonts w:eastAsiaTheme="majorEastAsia" w:cs="Open Sans"/>
        </w:rPr>
        <w:t xml:space="preserve"> </w:t>
      </w:r>
      <w:r w:rsidR="006D1836" w:rsidRPr="07069484">
        <w:rPr>
          <w:rStyle w:val="eop"/>
          <w:rFonts w:eastAsiaTheme="majorEastAsia" w:cs="Open Sans"/>
        </w:rPr>
        <w:t>access</w:t>
      </w:r>
      <w:r w:rsidR="00573BA7" w:rsidRPr="07069484">
        <w:rPr>
          <w:rStyle w:val="eop"/>
          <w:rFonts w:eastAsiaTheme="majorEastAsia" w:cs="Open Sans"/>
        </w:rPr>
        <w:t xml:space="preserve"> </w:t>
      </w:r>
      <w:r w:rsidR="006D1836" w:rsidRPr="07069484">
        <w:rPr>
          <w:rStyle w:val="eop"/>
          <w:rFonts w:eastAsiaTheme="majorEastAsia" w:cs="Open Sans"/>
        </w:rPr>
        <w:t>to</w:t>
      </w:r>
      <w:r w:rsidR="00573BA7" w:rsidRPr="07069484">
        <w:rPr>
          <w:rStyle w:val="eop"/>
          <w:rFonts w:eastAsiaTheme="majorEastAsia" w:cs="Open Sans"/>
        </w:rPr>
        <w:t xml:space="preserve"> </w:t>
      </w:r>
      <w:r w:rsidR="006D1836" w:rsidRPr="07069484">
        <w:rPr>
          <w:rStyle w:val="eop"/>
          <w:rFonts w:eastAsiaTheme="majorEastAsia" w:cs="Open Sans"/>
        </w:rPr>
        <w:t>reasonable</w:t>
      </w:r>
      <w:r w:rsidR="00573BA7" w:rsidRPr="07069484">
        <w:rPr>
          <w:rStyle w:val="eop"/>
          <w:rFonts w:eastAsiaTheme="majorEastAsia" w:cs="Open Sans"/>
        </w:rPr>
        <w:t xml:space="preserve"> </w:t>
      </w:r>
      <w:r w:rsidR="006D1836" w:rsidRPr="07069484">
        <w:rPr>
          <w:rStyle w:val="eop"/>
          <w:rFonts w:eastAsiaTheme="majorEastAsia" w:cs="Open Sans"/>
        </w:rPr>
        <w:t>accommodation.</w:t>
      </w:r>
      <w:r w:rsidR="00573BA7" w:rsidRPr="07069484">
        <w:rPr>
          <w:rStyle w:val="eop"/>
          <w:rFonts w:eastAsiaTheme="majorEastAsia" w:cs="Open Sans"/>
        </w:rPr>
        <w:t xml:space="preserve"> </w:t>
      </w:r>
      <w:r w:rsidRPr="07069484">
        <w:rPr>
          <w:rStyle w:val="eop"/>
          <w:rFonts w:eastAsiaTheme="majorEastAsia" w:cs="Open Sans"/>
        </w:rPr>
        <w:t>This includes</w:t>
      </w:r>
      <w:r w:rsidR="00573BA7" w:rsidRPr="07069484">
        <w:rPr>
          <w:rStyle w:val="eop"/>
          <w:rFonts w:eastAsiaTheme="majorEastAsia" w:cs="Open Sans"/>
        </w:rPr>
        <w:t xml:space="preserve"> </w:t>
      </w:r>
      <w:r w:rsidR="006D1836" w:rsidRPr="07069484">
        <w:rPr>
          <w:rStyle w:val="eop"/>
          <w:rFonts w:eastAsiaTheme="majorEastAsia" w:cs="Open Sans"/>
        </w:rPr>
        <w:t>access</w:t>
      </w:r>
      <w:r w:rsidR="00573BA7" w:rsidRPr="07069484">
        <w:rPr>
          <w:rStyle w:val="eop"/>
          <w:rFonts w:eastAsiaTheme="majorEastAsia" w:cs="Open Sans"/>
        </w:rPr>
        <w:t xml:space="preserve"> </w:t>
      </w:r>
      <w:r w:rsidR="006D1836" w:rsidRPr="07069484">
        <w:rPr>
          <w:rStyle w:val="eop"/>
          <w:rFonts w:eastAsiaTheme="majorEastAsia" w:cs="Open Sans"/>
        </w:rPr>
        <w:t>to</w:t>
      </w:r>
      <w:r w:rsidR="00573BA7" w:rsidRPr="07069484">
        <w:rPr>
          <w:rStyle w:val="eop"/>
          <w:rFonts w:eastAsiaTheme="majorEastAsia" w:cs="Open Sans"/>
        </w:rPr>
        <w:t xml:space="preserve"> </w:t>
      </w:r>
      <w:r w:rsidR="006D1836" w:rsidRPr="07069484">
        <w:rPr>
          <w:rStyle w:val="eop"/>
          <w:rFonts w:eastAsiaTheme="majorEastAsia" w:cs="Open Sans"/>
        </w:rPr>
        <w:t>tertiary</w:t>
      </w:r>
      <w:r w:rsidR="00573BA7" w:rsidRPr="07069484">
        <w:rPr>
          <w:rStyle w:val="eop"/>
          <w:rFonts w:eastAsiaTheme="majorEastAsia" w:cs="Open Sans"/>
        </w:rPr>
        <w:t xml:space="preserve"> </w:t>
      </w:r>
      <w:r w:rsidR="006D1836" w:rsidRPr="07069484">
        <w:rPr>
          <w:rStyle w:val="eop"/>
          <w:rFonts w:eastAsiaTheme="majorEastAsia" w:cs="Open Sans"/>
        </w:rPr>
        <w:t>education,</w:t>
      </w:r>
      <w:r w:rsidR="00573BA7" w:rsidRPr="07069484">
        <w:rPr>
          <w:rStyle w:val="eop"/>
          <w:rFonts w:eastAsiaTheme="majorEastAsia" w:cs="Open Sans"/>
        </w:rPr>
        <w:t xml:space="preserve"> </w:t>
      </w:r>
      <w:r w:rsidR="006D1836" w:rsidRPr="07069484">
        <w:rPr>
          <w:rStyle w:val="eop"/>
          <w:rFonts w:eastAsiaTheme="majorEastAsia" w:cs="Open Sans"/>
        </w:rPr>
        <w:t>vocational</w:t>
      </w:r>
      <w:r w:rsidR="00573BA7" w:rsidRPr="07069484">
        <w:rPr>
          <w:rStyle w:val="eop"/>
          <w:rFonts w:eastAsiaTheme="majorEastAsia" w:cs="Open Sans"/>
        </w:rPr>
        <w:t xml:space="preserve"> </w:t>
      </w:r>
      <w:r w:rsidR="006D1836" w:rsidRPr="07069484">
        <w:rPr>
          <w:rStyle w:val="eop"/>
          <w:rFonts w:eastAsiaTheme="majorEastAsia" w:cs="Open Sans"/>
        </w:rPr>
        <w:t>training,</w:t>
      </w:r>
      <w:r w:rsidR="00573BA7" w:rsidRPr="07069484">
        <w:rPr>
          <w:rStyle w:val="eop"/>
          <w:rFonts w:eastAsiaTheme="majorEastAsia" w:cs="Open Sans"/>
        </w:rPr>
        <w:t xml:space="preserve"> </w:t>
      </w:r>
      <w:r w:rsidR="006D1836" w:rsidRPr="07069484">
        <w:rPr>
          <w:rStyle w:val="eop"/>
          <w:rFonts w:eastAsiaTheme="majorEastAsia" w:cs="Open Sans"/>
        </w:rPr>
        <w:t>adult</w:t>
      </w:r>
      <w:r w:rsidR="00573BA7" w:rsidRPr="07069484">
        <w:rPr>
          <w:rStyle w:val="eop"/>
          <w:rFonts w:eastAsiaTheme="majorEastAsia" w:cs="Open Sans"/>
        </w:rPr>
        <w:t xml:space="preserve"> </w:t>
      </w:r>
      <w:r w:rsidR="006D1836" w:rsidRPr="07069484">
        <w:rPr>
          <w:rStyle w:val="eop"/>
          <w:rFonts w:eastAsiaTheme="majorEastAsia" w:cs="Open Sans"/>
        </w:rPr>
        <w:t>education</w:t>
      </w:r>
      <w:r w:rsidR="00573BA7" w:rsidRPr="07069484">
        <w:rPr>
          <w:rStyle w:val="eop"/>
          <w:rFonts w:eastAsiaTheme="majorEastAsia" w:cs="Open Sans"/>
        </w:rPr>
        <w:t xml:space="preserve"> </w:t>
      </w:r>
      <w:r w:rsidR="006D1836" w:rsidRPr="07069484">
        <w:rPr>
          <w:rStyle w:val="eop"/>
          <w:rFonts w:eastAsiaTheme="majorEastAsia" w:cs="Open Sans"/>
        </w:rPr>
        <w:t>and</w:t>
      </w:r>
      <w:r w:rsidR="00573BA7" w:rsidRPr="07069484">
        <w:rPr>
          <w:rStyle w:val="eop"/>
          <w:rFonts w:eastAsiaTheme="majorEastAsia" w:cs="Open Sans"/>
        </w:rPr>
        <w:t xml:space="preserve"> </w:t>
      </w:r>
      <w:r w:rsidR="006D1836" w:rsidRPr="07069484">
        <w:rPr>
          <w:rStyle w:val="eop"/>
          <w:rFonts w:eastAsiaTheme="majorEastAsia" w:cs="Open Sans"/>
        </w:rPr>
        <w:t>lifelong</w:t>
      </w:r>
      <w:r w:rsidR="00573BA7" w:rsidRPr="07069484">
        <w:rPr>
          <w:rStyle w:val="eop"/>
          <w:rFonts w:eastAsiaTheme="majorEastAsia" w:cs="Open Sans"/>
        </w:rPr>
        <w:t xml:space="preserve"> </w:t>
      </w:r>
      <w:r w:rsidR="006D1836" w:rsidRPr="07069484">
        <w:rPr>
          <w:rStyle w:val="eop"/>
          <w:rFonts w:eastAsiaTheme="majorEastAsia" w:cs="Open Sans"/>
        </w:rPr>
        <w:t>learning</w:t>
      </w:r>
      <w:r w:rsidR="00573BA7" w:rsidRPr="07069484">
        <w:rPr>
          <w:rStyle w:val="eop"/>
          <w:rFonts w:eastAsiaTheme="majorEastAsia" w:cs="Open Sans"/>
        </w:rPr>
        <w:t xml:space="preserve"> </w:t>
      </w:r>
      <w:r w:rsidR="006D1836" w:rsidRPr="07069484">
        <w:rPr>
          <w:rStyle w:val="eop"/>
          <w:rFonts w:eastAsiaTheme="majorEastAsia" w:cs="Open Sans"/>
        </w:rPr>
        <w:t>without</w:t>
      </w:r>
      <w:r w:rsidR="00573BA7" w:rsidRPr="07069484">
        <w:rPr>
          <w:rStyle w:val="eop"/>
          <w:rFonts w:eastAsiaTheme="majorEastAsia" w:cs="Open Sans"/>
        </w:rPr>
        <w:t xml:space="preserve"> </w:t>
      </w:r>
      <w:r w:rsidR="006D1836" w:rsidRPr="07069484">
        <w:rPr>
          <w:rStyle w:val="eop"/>
          <w:rFonts w:eastAsiaTheme="majorEastAsia" w:cs="Open Sans"/>
        </w:rPr>
        <w:t>discrimination</w:t>
      </w:r>
      <w:r w:rsidR="00573BA7" w:rsidRPr="07069484">
        <w:rPr>
          <w:rStyle w:val="eop"/>
          <w:rFonts w:eastAsiaTheme="majorEastAsia" w:cs="Open Sans"/>
        </w:rPr>
        <w:t xml:space="preserve"> </w:t>
      </w:r>
      <w:r w:rsidR="006D1836" w:rsidRPr="07069484">
        <w:rPr>
          <w:rStyle w:val="eop"/>
          <w:rFonts w:eastAsiaTheme="majorEastAsia" w:cs="Open Sans"/>
        </w:rPr>
        <w:t>and</w:t>
      </w:r>
      <w:r w:rsidR="00573BA7" w:rsidRPr="07069484">
        <w:rPr>
          <w:rStyle w:val="eop"/>
          <w:rFonts w:eastAsiaTheme="majorEastAsia" w:cs="Open Sans"/>
        </w:rPr>
        <w:t xml:space="preserve"> </w:t>
      </w:r>
      <w:r w:rsidR="006D1836" w:rsidRPr="07069484">
        <w:rPr>
          <w:rStyle w:val="eop"/>
          <w:rFonts w:eastAsiaTheme="majorEastAsia" w:cs="Open Sans"/>
        </w:rPr>
        <w:t>on</w:t>
      </w:r>
      <w:r w:rsidR="00573BA7" w:rsidRPr="07069484">
        <w:rPr>
          <w:rStyle w:val="eop"/>
          <w:rFonts w:eastAsiaTheme="majorEastAsia" w:cs="Open Sans"/>
        </w:rPr>
        <w:t xml:space="preserve"> </w:t>
      </w:r>
      <w:r w:rsidR="006D1836" w:rsidRPr="07069484">
        <w:rPr>
          <w:rStyle w:val="eop"/>
          <w:rFonts w:eastAsiaTheme="majorEastAsia" w:cs="Open Sans"/>
        </w:rPr>
        <w:t>an</w:t>
      </w:r>
      <w:r w:rsidR="00573BA7" w:rsidRPr="07069484">
        <w:rPr>
          <w:rStyle w:val="eop"/>
          <w:rFonts w:eastAsiaTheme="majorEastAsia" w:cs="Open Sans"/>
        </w:rPr>
        <w:t xml:space="preserve"> </w:t>
      </w:r>
      <w:r w:rsidR="006D1836" w:rsidRPr="07069484">
        <w:rPr>
          <w:rStyle w:val="eop"/>
          <w:rFonts w:eastAsiaTheme="majorEastAsia" w:cs="Open Sans"/>
        </w:rPr>
        <w:t>equal</w:t>
      </w:r>
      <w:r w:rsidR="00573BA7" w:rsidRPr="07069484">
        <w:rPr>
          <w:rStyle w:val="eop"/>
          <w:rFonts w:eastAsiaTheme="majorEastAsia" w:cs="Open Sans"/>
        </w:rPr>
        <w:t xml:space="preserve"> </w:t>
      </w:r>
      <w:r w:rsidR="006D1836" w:rsidRPr="07069484">
        <w:rPr>
          <w:rStyle w:val="eop"/>
          <w:rFonts w:eastAsiaTheme="majorEastAsia" w:cs="Open Sans"/>
        </w:rPr>
        <w:t>basis</w:t>
      </w:r>
      <w:r w:rsidR="00573BA7" w:rsidRPr="07069484">
        <w:rPr>
          <w:rStyle w:val="eop"/>
          <w:rFonts w:eastAsiaTheme="majorEastAsia" w:cs="Open Sans"/>
        </w:rPr>
        <w:t xml:space="preserve"> </w:t>
      </w:r>
      <w:r w:rsidR="006D1836" w:rsidRPr="07069484">
        <w:rPr>
          <w:rStyle w:val="eop"/>
          <w:rFonts w:eastAsiaTheme="majorEastAsia" w:cs="Open Sans"/>
        </w:rPr>
        <w:t>with</w:t>
      </w:r>
      <w:r w:rsidR="00573BA7" w:rsidRPr="07069484">
        <w:rPr>
          <w:rStyle w:val="eop"/>
          <w:rFonts w:eastAsiaTheme="majorEastAsia" w:cs="Open Sans"/>
        </w:rPr>
        <w:t xml:space="preserve"> </w:t>
      </w:r>
      <w:r w:rsidR="006D1836" w:rsidRPr="07069484">
        <w:rPr>
          <w:rStyle w:val="eop"/>
          <w:rFonts w:eastAsiaTheme="majorEastAsia" w:cs="Open Sans"/>
        </w:rPr>
        <w:t>others.</w:t>
      </w:r>
      <w:r w:rsidR="00573BA7" w:rsidRPr="07069484">
        <w:rPr>
          <w:rStyle w:val="eop"/>
          <w:rFonts w:eastAsiaTheme="majorEastAsia" w:cs="Open Sans"/>
        </w:rPr>
        <w:t xml:space="preserve"> </w:t>
      </w:r>
    </w:p>
    <w:p w14:paraId="05B7BE1A" w14:textId="3F573BDA" w:rsidR="001224FE" w:rsidRPr="001224FE" w:rsidRDefault="001224FE" w:rsidP="001224FE">
      <w:pPr>
        <w:pStyle w:val="ListNumber"/>
        <w:rPr>
          <w:rFonts w:ascii="Times New Roman" w:eastAsiaTheme="minorEastAsia" w:hAnsi="Times New Roman"/>
          <w:i/>
          <w:iCs/>
        </w:rPr>
      </w:pPr>
      <w:r w:rsidRPr="001224FE">
        <w:rPr>
          <w:rStyle w:val="eop"/>
          <w:rFonts w:eastAsiaTheme="majorEastAsia" w:cs="Open Sans"/>
          <w:b/>
          <w:bCs/>
          <w:i/>
          <w:iCs/>
        </w:rPr>
        <w:t xml:space="preserve">Recommendation 18: The Australian Government continue to prioritise educational attainment in developing and reforming Australian </w:t>
      </w:r>
      <w:r w:rsidRPr="001224FE">
        <w:rPr>
          <w:rStyle w:val="eop"/>
          <w:rFonts w:eastAsiaTheme="majorEastAsia" w:cs="Open Sans"/>
          <w:b/>
          <w:bCs/>
          <w:i/>
          <w:iCs/>
        </w:rPr>
        <w:lastRenderedPageBreak/>
        <w:t>disability policy, and ensure the connection between educational attainment and employment is a key factor in the development of disability policy.</w:t>
      </w:r>
    </w:p>
    <w:p w14:paraId="55CD1F84" w14:textId="49337FAC" w:rsidR="007045CB" w:rsidRPr="00710E6A" w:rsidRDefault="00324325" w:rsidP="00BC4DA8">
      <w:pPr>
        <w:pStyle w:val="Heading3"/>
        <w:rPr>
          <w:b/>
          <w:bCs w:val="0"/>
        </w:rPr>
      </w:pPr>
      <w:bookmarkStart w:id="149" w:name="_Toc51834301"/>
      <w:r w:rsidRPr="00710E6A">
        <w:rPr>
          <w:b/>
          <w:bCs w:val="0"/>
        </w:rPr>
        <w:t>Importance of transition to work</w:t>
      </w:r>
      <w:bookmarkEnd w:id="149"/>
    </w:p>
    <w:p w14:paraId="0C0E0369" w14:textId="68EB04D2" w:rsidR="00F32AE2" w:rsidRDefault="005E4510" w:rsidP="008A7EB0">
      <w:pPr>
        <w:pStyle w:val="ListNumber"/>
      </w:pPr>
      <w:r w:rsidRPr="003F4CE1">
        <w:t>The</w:t>
      </w:r>
      <w:r w:rsidR="00573BA7">
        <w:t xml:space="preserve"> </w:t>
      </w:r>
      <w:r w:rsidRPr="003F4CE1">
        <w:t>transition</w:t>
      </w:r>
      <w:r w:rsidR="00573BA7">
        <w:t xml:space="preserve"> </w:t>
      </w:r>
      <w:r w:rsidRPr="003F4CE1">
        <w:t>from</w:t>
      </w:r>
      <w:r w:rsidR="00573BA7">
        <w:t xml:space="preserve"> </w:t>
      </w:r>
      <w:r w:rsidRPr="003F4CE1">
        <w:t>school</w:t>
      </w:r>
      <w:r w:rsidR="00573BA7">
        <w:t xml:space="preserve"> </w:t>
      </w:r>
      <w:r w:rsidRPr="003F4CE1">
        <w:t>to</w:t>
      </w:r>
      <w:r w:rsidR="00573BA7">
        <w:t xml:space="preserve"> </w:t>
      </w:r>
      <w:r w:rsidRPr="003F4CE1">
        <w:t>employment</w:t>
      </w:r>
      <w:r w:rsidR="00573BA7">
        <w:t xml:space="preserve"> </w:t>
      </w:r>
      <w:r w:rsidRPr="003F4CE1">
        <w:t>is</w:t>
      </w:r>
      <w:r w:rsidR="00573BA7">
        <w:t xml:space="preserve"> </w:t>
      </w:r>
      <w:r w:rsidRPr="003F4CE1">
        <w:t>a</w:t>
      </w:r>
      <w:r w:rsidR="00573BA7">
        <w:t xml:space="preserve"> </w:t>
      </w:r>
      <w:r w:rsidRPr="003F4CE1">
        <w:t>key</w:t>
      </w:r>
      <w:r w:rsidR="00573BA7">
        <w:t xml:space="preserve"> </w:t>
      </w:r>
      <w:r w:rsidRPr="003F4CE1">
        <w:t>factor</w:t>
      </w:r>
      <w:r w:rsidR="00573BA7">
        <w:t xml:space="preserve"> </w:t>
      </w:r>
      <w:r w:rsidRPr="003F4CE1">
        <w:t>determining</w:t>
      </w:r>
      <w:r w:rsidR="00573BA7">
        <w:t xml:space="preserve"> </w:t>
      </w:r>
      <w:r w:rsidRPr="003F4CE1">
        <w:t>the</w:t>
      </w:r>
      <w:r w:rsidR="00573BA7">
        <w:t xml:space="preserve"> </w:t>
      </w:r>
      <w:r w:rsidRPr="003F4CE1">
        <w:t>employment</w:t>
      </w:r>
      <w:r w:rsidR="00573BA7">
        <w:t xml:space="preserve"> </w:t>
      </w:r>
      <w:r w:rsidRPr="003F4CE1">
        <w:t>outcomes</w:t>
      </w:r>
      <w:r w:rsidR="00573BA7">
        <w:t xml:space="preserve"> </w:t>
      </w:r>
      <w:r w:rsidRPr="003F4CE1">
        <w:t>and</w:t>
      </w:r>
      <w:r w:rsidR="00573BA7">
        <w:t xml:space="preserve"> </w:t>
      </w:r>
      <w:r w:rsidRPr="003F4CE1">
        <w:t>participation</w:t>
      </w:r>
      <w:r w:rsidR="00573BA7">
        <w:t xml:space="preserve"> </w:t>
      </w:r>
      <w:r w:rsidRPr="003F4CE1">
        <w:t>of</w:t>
      </w:r>
      <w:r w:rsidR="00573BA7">
        <w:t xml:space="preserve"> </w:t>
      </w:r>
      <w:r w:rsidRPr="003F4CE1">
        <w:t>young</w:t>
      </w:r>
      <w:r w:rsidR="00573BA7">
        <w:t xml:space="preserve"> </w:t>
      </w:r>
      <w:r w:rsidRPr="003F4CE1">
        <w:t>people</w:t>
      </w:r>
      <w:r w:rsidR="00573BA7">
        <w:t xml:space="preserve"> </w:t>
      </w:r>
      <w:r w:rsidRPr="003F4CE1">
        <w:t>with</w:t>
      </w:r>
      <w:r w:rsidR="00573BA7">
        <w:t xml:space="preserve"> </w:t>
      </w:r>
      <w:r w:rsidRPr="003F4CE1">
        <w:t>disability.</w:t>
      </w:r>
      <w:r w:rsidR="003D3CBF" w:rsidRPr="003F4CE1">
        <w:rPr>
          <w:rStyle w:val="EndnoteReference"/>
          <w:rFonts w:cs="Open Sans"/>
        </w:rPr>
        <w:endnoteReference w:id="262"/>
      </w:r>
      <w:r w:rsidR="00573BA7">
        <w:t xml:space="preserve"> </w:t>
      </w:r>
      <w:r w:rsidR="00F32AE2">
        <w:t xml:space="preserve">Article 27(1)(d) of the CRPD requires Australia to enable </w:t>
      </w:r>
      <w:r w:rsidR="00F32AE2" w:rsidRPr="00417BA4">
        <w:t>people</w:t>
      </w:r>
      <w:r w:rsidR="00F32AE2">
        <w:t xml:space="preserve"> </w:t>
      </w:r>
      <w:r w:rsidR="00F32AE2" w:rsidRPr="00417BA4">
        <w:t>with</w:t>
      </w:r>
      <w:r w:rsidR="00F32AE2">
        <w:t xml:space="preserve"> </w:t>
      </w:r>
      <w:r w:rsidR="00F32AE2" w:rsidRPr="00417BA4">
        <w:t>disability</w:t>
      </w:r>
      <w:r w:rsidR="00F32AE2">
        <w:t xml:space="preserve"> – including young people – </w:t>
      </w:r>
      <w:r w:rsidR="00F32AE2" w:rsidRPr="00417BA4">
        <w:t>to</w:t>
      </w:r>
      <w:r w:rsidR="00F32AE2">
        <w:t xml:space="preserve"> </w:t>
      </w:r>
      <w:r w:rsidR="00F32AE2" w:rsidRPr="00417BA4">
        <w:t>have</w:t>
      </w:r>
      <w:r w:rsidR="00F32AE2">
        <w:t xml:space="preserve"> </w:t>
      </w:r>
      <w:r w:rsidR="00F32AE2" w:rsidRPr="00417BA4">
        <w:t>effective</w:t>
      </w:r>
      <w:r w:rsidR="00F32AE2">
        <w:t xml:space="preserve"> </w:t>
      </w:r>
      <w:r w:rsidR="00F32AE2" w:rsidRPr="00417BA4">
        <w:t>access</w:t>
      </w:r>
      <w:r w:rsidR="00F32AE2">
        <w:t xml:space="preserve"> </w:t>
      </w:r>
      <w:r w:rsidR="00F32AE2" w:rsidRPr="00417BA4">
        <w:t>to</w:t>
      </w:r>
      <w:r w:rsidR="00F32AE2">
        <w:t xml:space="preserve"> </w:t>
      </w:r>
      <w:r w:rsidR="00F32AE2" w:rsidRPr="00417BA4">
        <w:t>general</w:t>
      </w:r>
      <w:r w:rsidR="00F32AE2">
        <w:t xml:space="preserve"> </w:t>
      </w:r>
      <w:r w:rsidR="00F32AE2" w:rsidRPr="00417BA4">
        <w:t>technical</w:t>
      </w:r>
      <w:r w:rsidR="00F32AE2">
        <w:t xml:space="preserve"> </w:t>
      </w:r>
      <w:r w:rsidR="00F32AE2" w:rsidRPr="00417BA4">
        <w:t>and</w:t>
      </w:r>
      <w:r w:rsidR="00F32AE2">
        <w:t xml:space="preserve"> </w:t>
      </w:r>
      <w:r w:rsidR="00F32AE2" w:rsidRPr="00417BA4">
        <w:t>vocational</w:t>
      </w:r>
      <w:r w:rsidR="00F32AE2">
        <w:t xml:space="preserve"> </w:t>
      </w:r>
      <w:r w:rsidR="00F32AE2" w:rsidRPr="00417BA4">
        <w:t>guidance</w:t>
      </w:r>
      <w:r w:rsidR="00F32AE2">
        <w:t xml:space="preserve"> </w:t>
      </w:r>
      <w:r w:rsidR="00F32AE2" w:rsidRPr="00417BA4">
        <w:t>programmes</w:t>
      </w:r>
      <w:r w:rsidR="00F32AE2">
        <w:t xml:space="preserve"> and </w:t>
      </w:r>
      <w:r w:rsidR="00F32AE2" w:rsidRPr="00417BA4">
        <w:t>placement</w:t>
      </w:r>
      <w:r w:rsidR="00F32AE2">
        <w:t xml:space="preserve"> </w:t>
      </w:r>
      <w:r w:rsidR="00F32AE2" w:rsidRPr="00417BA4">
        <w:t>services</w:t>
      </w:r>
      <w:r w:rsidR="00F32AE2">
        <w:t xml:space="preserve">. The CRPD Committee </w:t>
      </w:r>
      <w:r w:rsidR="00F32AE2" w:rsidRPr="00223648">
        <w:t>has also acknowledged that services which facilitate the transition of young people to adulthood, including support with starting employment and continuing into higher education, are crucial in supporting independent living</w:t>
      </w:r>
      <w:r w:rsidR="00F32AE2">
        <w:t xml:space="preserve"> as required by Article 9(1) of the CRPD</w:t>
      </w:r>
      <w:r w:rsidR="00F32AE2" w:rsidRPr="00223648">
        <w:t>.</w:t>
      </w:r>
      <w:r w:rsidR="00F32AE2" w:rsidRPr="00223648">
        <w:rPr>
          <w:rStyle w:val="EndnoteReference"/>
        </w:rPr>
        <w:endnoteReference w:id="263"/>
      </w:r>
    </w:p>
    <w:p w14:paraId="04BABA73" w14:textId="331D0E14" w:rsidR="00B9390B" w:rsidRPr="003F4CE1" w:rsidRDefault="00776AE6" w:rsidP="00B9390B">
      <w:pPr>
        <w:pStyle w:val="ListNumber"/>
      </w:pPr>
      <w:r>
        <w:t>This</w:t>
      </w:r>
      <w:r w:rsidR="00573BA7">
        <w:t xml:space="preserve"> </w:t>
      </w:r>
      <w:r>
        <w:t>is</w:t>
      </w:r>
      <w:r w:rsidR="00573BA7">
        <w:t xml:space="preserve"> </w:t>
      </w:r>
      <w:r>
        <w:t>reflected</w:t>
      </w:r>
      <w:r w:rsidR="00573BA7">
        <w:t xml:space="preserve"> </w:t>
      </w:r>
      <w:r>
        <w:t>i</w:t>
      </w:r>
      <w:r w:rsidR="00F547D3" w:rsidRPr="003F4CE1">
        <w:t>n</w:t>
      </w:r>
      <w:r w:rsidR="00573BA7">
        <w:t xml:space="preserve"> </w:t>
      </w:r>
      <w:r w:rsidR="00B9390B">
        <w:t>t</w:t>
      </w:r>
      <w:r w:rsidR="00B9390B" w:rsidRPr="003F4CE1">
        <w:t>he</w:t>
      </w:r>
      <w:r w:rsidR="00573BA7">
        <w:t xml:space="preserve"> </w:t>
      </w:r>
      <w:r w:rsidR="00B60A11">
        <w:t>NDS</w:t>
      </w:r>
      <w:r w:rsidR="00B9390B">
        <w:t>,</w:t>
      </w:r>
      <w:r w:rsidR="00573BA7">
        <w:t xml:space="preserve"> </w:t>
      </w:r>
      <w:r w:rsidR="00B9390B">
        <w:t>which</w:t>
      </w:r>
      <w:r w:rsidR="00573BA7">
        <w:t xml:space="preserve"> </w:t>
      </w:r>
      <w:r w:rsidR="00B9390B" w:rsidRPr="003F4CE1">
        <w:t>identifies</w:t>
      </w:r>
      <w:r w:rsidR="00573BA7">
        <w:t xml:space="preserve"> </w:t>
      </w:r>
      <w:r w:rsidR="00B9390B" w:rsidRPr="003F4CE1">
        <w:t>improved</w:t>
      </w:r>
      <w:r w:rsidR="00573BA7">
        <w:t xml:space="preserve"> </w:t>
      </w:r>
      <w:r w:rsidR="00B9390B" w:rsidRPr="003F4CE1">
        <w:t>pathways</w:t>
      </w:r>
      <w:r w:rsidR="00573BA7">
        <w:t xml:space="preserve"> </w:t>
      </w:r>
      <w:r w:rsidR="00B9390B" w:rsidRPr="003F4CE1">
        <w:t>for</w:t>
      </w:r>
      <w:r w:rsidR="00573BA7">
        <w:t xml:space="preserve"> </w:t>
      </w:r>
      <w:r w:rsidR="00B9390B" w:rsidRPr="003F4CE1">
        <w:t>students</w:t>
      </w:r>
      <w:r w:rsidR="00573BA7">
        <w:t xml:space="preserve"> </w:t>
      </w:r>
      <w:r w:rsidR="00B9390B" w:rsidRPr="003F4CE1">
        <w:t>with</w:t>
      </w:r>
      <w:r w:rsidR="00573BA7">
        <w:t xml:space="preserve"> </w:t>
      </w:r>
      <w:r w:rsidR="00B9390B" w:rsidRPr="003F4CE1">
        <w:t>disability</w:t>
      </w:r>
      <w:r w:rsidR="00573BA7">
        <w:t xml:space="preserve"> </w:t>
      </w:r>
      <w:r w:rsidR="00B9390B" w:rsidRPr="003F4CE1">
        <w:t>from</w:t>
      </w:r>
      <w:r w:rsidR="00573BA7">
        <w:t xml:space="preserve"> </w:t>
      </w:r>
      <w:r w:rsidR="00B9390B" w:rsidRPr="003F4CE1">
        <w:t>school</w:t>
      </w:r>
      <w:r w:rsidR="00573BA7">
        <w:t xml:space="preserve"> </w:t>
      </w:r>
      <w:r w:rsidR="00B9390B" w:rsidRPr="003F4CE1">
        <w:t>to</w:t>
      </w:r>
      <w:r w:rsidR="00573BA7">
        <w:t xml:space="preserve"> </w:t>
      </w:r>
      <w:r w:rsidR="00B9390B" w:rsidRPr="003F4CE1">
        <w:t>further</w:t>
      </w:r>
      <w:r w:rsidR="00573BA7">
        <w:t xml:space="preserve"> </w:t>
      </w:r>
      <w:r w:rsidR="00B9390B" w:rsidRPr="003F4CE1">
        <w:t>education,</w:t>
      </w:r>
      <w:r w:rsidR="00573BA7">
        <w:t xml:space="preserve"> </w:t>
      </w:r>
      <w:r w:rsidR="00B9390B" w:rsidRPr="003F4CE1">
        <w:t>employment</w:t>
      </w:r>
      <w:r w:rsidR="00573BA7">
        <w:t xml:space="preserve"> </w:t>
      </w:r>
      <w:r w:rsidR="00B9390B" w:rsidRPr="003F4CE1">
        <w:t>and</w:t>
      </w:r>
      <w:r w:rsidR="00573BA7">
        <w:t xml:space="preserve"> </w:t>
      </w:r>
      <w:r w:rsidR="00B9390B" w:rsidRPr="003F4CE1">
        <w:t>lifelong</w:t>
      </w:r>
      <w:r w:rsidR="00573BA7">
        <w:t xml:space="preserve"> </w:t>
      </w:r>
      <w:r w:rsidR="00B9390B" w:rsidRPr="003F4CE1">
        <w:t>learning</w:t>
      </w:r>
      <w:r w:rsidR="00573BA7">
        <w:t xml:space="preserve"> </w:t>
      </w:r>
      <w:r w:rsidR="00B9390B" w:rsidRPr="003F4CE1">
        <w:t>as</w:t>
      </w:r>
      <w:r w:rsidR="00573BA7">
        <w:t xml:space="preserve"> </w:t>
      </w:r>
      <w:r w:rsidR="00B9390B" w:rsidRPr="003F4CE1">
        <w:t>a</w:t>
      </w:r>
      <w:r w:rsidR="00573BA7">
        <w:t xml:space="preserve"> </w:t>
      </w:r>
      <w:r w:rsidR="00B9390B" w:rsidRPr="003F4CE1">
        <w:t>policy</w:t>
      </w:r>
      <w:r w:rsidR="00573BA7">
        <w:t xml:space="preserve"> </w:t>
      </w:r>
      <w:r w:rsidR="00B9390B" w:rsidRPr="003F4CE1">
        <w:t>area.</w:t>
      </w:r>
      <w:r w:rsidR="00B9390B" w:rsidRPr="07069484">
        <w:rPr>
          <w:rStyle w:val="EndnoteReference"/>
          <w:rFonts w:eastAsiaTheme="majorEastAsia" w:cs="Open Sans"/>
        </w:rPr>
        <w:endnoteReference w:id="264"/>
      </w:r>
      <w:r w:rsidR="00573BA7">
        <w:t xml:space="preserve"> </w:t>
      </w:r>
      <w:r w:rsidR="00B9390B" w:rsidRPr="003F4CE1">
        <w:t>It</w:t>
      </w:r>
      <w:r w:rsidR="00573BA7">
        <w:t xml:space="preserve"> </w:t>
      </w:r>
      <w:r w:rsidR="00B9390B" w:rsidRPr="003F4CE1">
        <w:t>requires</w:t>
      </w:r>
      <w:r w:rsidR="00573BA7">
        <w:t xml:space="preserve"> </w:t>
      </w:r>
      <w:r w:rsidR="00B9390B" w:rsidRPr="003F4CE1">
        <w:t>the</w:t>
      </w:r>
      <w:r w:rsidR="00573BA7">
        <w:t xml:space="preserve"> </w:t>
      </w:r>
      <w:r w:rsidR="00B9390B" w:rsidRPr="003F4CE1">
        <w:t>government</w:t>
      </w:r>
      <w:r w:rsidR="00573BA7">
        <w:t xml:space="preserve"> </w:t>
      </w:r>
      <w:r w:rsidR="00B9390B" w:rsidRPr="003F4CE1">
        <w:t>to</w:t>
      </w:r>
      <w:r w:rsidR="00573BA7">
        <w:t xml:space="preserve"> </w:t>
      </w:r>
      <w:r w:rsidR="00B9390B" w:rsidRPr="003F4CE1">
        <w:t>identify</w:t>
      </w:r>
      <w:r w:rsidR="00573BA7">
        <w:t xml:space="preserve"> </w:t>
      </w:r>
      <w:r w:rsidR="00B9390B" w:rsidRPr="003F4CE1">
        <w:t>and</w:t>
      </w:r>
      <w:r w:rsidR="00573BA7">
        <w:t xml:space="preserve"> </w:t>
      </w:r>
      <w:r w:rsidR="00B9390B" w:rsidRPr="003F4CE1">
        <w:t>establish</w:t>
      </w:r>
      <w:r w:rsidR="00573BA7">
        <w:t xml:space="preserve"> </w:t>
      </w:r>
      <w:r w:rsidR="00B9390B" w:rsidRPr="003F4CE1">
        <w:t>best</w:t>
      </w:r>
      <w:r w:rsidR="00573BA7">
        <w:t xml:space="preserve"> </w:t>
      </w:r>
      <w:r w:rsidR="00B9390B" w:rsidRPr="003F4CE1">
        <w:t>practice</w:t>
      </w:r>
      <w:r w:rsidR="00573BA7">
        <w:t xml:space="preserve"> </w:t>
      </w:r>
      <w:r w:rsidR="00B9390B" w:rsidRPr="003F4CE1">
        <w:t>for</w:t>
      </w:r>
      <w:r w:rsidR="00573BA7">
        <w:t xml:space="preserve"> </w:t>
      </w:r>
      <w:r w:rsidR="00B9390B" w:rsidRPr="003F4CE1">
        <w:t>transition</w:t>
      </w:r>
      <w:r w:rsidR="00573BA7">
        <w:t xml:space="preserve"> </w:t>
      </w:r>
      <w:r w:rsidR="00B9390B" w:rsidRPr="003F4CE1">
        <w:t>planning</w:t>
      </w:r>
      <w:r w:rsidR="00573BA7">
        <w:t xml:space="preserve"> </w:t>
      </w:r>
      <w:r w:rsidR="00B9390B" w:rsidRPr="003F4CE1">
        <w:t>and</w:t>
      </w:r>
      <w:r w:rsidR="00573BA7">
        <w:t xml:space="preserve"> </w:t>
      </w:r>
      <w:r w:rsidR="00B9390B" w:rsidRPr="003F4CE1">
        <w:t>support</w:t>
      </w:r>
      <w:r w:rsidR="00573BA7">
        <w:t xml:space="preserve"> </w:t>
      </w:r>
      <w:r w:rsidR="00B9390B" w:rsidRPr="003F4CE1">
        <w:t>through</w:t>
      </w:r>
      <w:r w:rsidR="00573BA7">
        <w:t xml:space="preserve"> </w:t>
      </w:r>
      <w:r w:rsidR="00B9390B" w:rsidRPr="003F4CE1">
        <w:t>all</w:t>
      </w:r>
      <w:r w:rsidR="00573BA7">
        <w:t xml:space="preserve"> </w:t>
      </w:r>
      <w:r w:rsidR="00B9390B" w:rsidRPr="003F4CE1">
        <w:t>stages</w:t>
      </w:r>
      <w:r w:rsidR="00573BA7">
        <w:t xml:space="preserve"> </w:t>
      </w:r>
      <w:r w:rsidR="00B9390B" w:rsidRPr="003F4CE1">
        <w:t>of</w:t>
      </w:r>
      <w:r w:rsidR="00573BA7">
        <w:t xml:space="preserve"> </w:t>
      </w:r>
      <w:r w:rsidR="00B9390B" w:rsidRPr="003F4CE1">
        <w:t>learning</w:t>
      </w:r>
      <w:r w:rsidR="00573BA7">
        <w:t xml:space="preserve"> </w:t>
      </w:r>
      <w:r w:rsidR="00B9390B" w:rsidRPr="003F4CE1">
        <w:t>and</w:t>
      </w:r>
      <w:r w:rsidR="00573BA7">
        <w:t xml:space="preserve"> </w:t>
      </w:r>
      <w:r w:rsidR="00B9390B" w:rsidRPr="003F4CE1">
        <w:t>from</w:t>
      </w:r>
      <w:r w:rsidR="00573BA7">
        <w:t xml:space="preserve"> </w:t>
      </w:r>
      <w:r w:rsidR="00B9390B" w:rsidRPr="003F4CE1">
        <w:t>education</w:t>
      </w:r>
      <w:r w:rsidR="00573BA7">
        <w:t xml:space="preserve"> </w:t>
      </w:r>
      <w:r w:rsidR="00B9390B" w:rsidRPr="003F4CE1">
        <w:t>to</w:t>
      </w:r>
      <w:r w:rsidR="00573BA7">
        <w:t xml:space="preserve"> </w:t>
      </w:r>
      <w:r w:rsidR="00B9390B" w:rsidRPr="003F4CE1">
        <w:t>employment.</w:t>
      </w:r>
      <w:r w:rsidR="00B9390B" w:rsidRPr="003F4CE1">
        <w:rPr>
          <w:rStyle w:val="EndnoteReference"/>
          <w:rFonts w:cs="Open Sans"/>
        </w:rPr>
        <w:endnoteReference w:id="265"/>
      </w:r>
      <w:r w:rsidR="00573BA7">
        <w:t xml:space="preserve"> </w:t>
      </w:r>
    </w:p>
    <w:p w14:paraId="74BDA188" w14:textId="3585823B" w:rsidR="009B60DF" w:rsidRPr="003F4CE1" w:rsidRDefault="00B9390B" w:rsidP="008A7EB0">
      <w:pPr>
        <w:pStyle w:val="ListNumber"/>
        <w:rPr>
          <w:rFonts w:eastAsia="Open Sans" w:cs="Open Sans"/>
        </w:rPr>
      </w:pPr>
      <w:r>
        <w:t>The</w:t>
      </w:r>
      <w:r w:rsidR="00573BA7">
        <w:t xml:space="preserve"> </w:t>
      </w:r>
      <w:r>
        <w:t>importance</w:t>
      </w:r>
      <w:r w:rsidR="00573BA7">
        <w:t xml:space="preserve"> </w:t>
      </w:r>
      <w:r>
        <w:t>of</w:t>
      </w:r>
      <w:r w:rsidR="00573BA7">
        <w:t xml:space="preserve"> </w:t>
      </w:r>
      <w:r>
        <w:t>the</w:t>
      </w:r>
      <w:r w:rsidR="00573BA7">
        <w:t xml:space="preserve"> </w:t>
      </w:r>
      <w:r>
        <w:t>school-to-work</w:t>
      </w:r>
      <w:r w:rsidR="00573BA7">
        <w:t xml:space="preserve"> </w:t>
      </w:r>
      <w:r>
        <w:t>transition</w:t>
      </w:r>
      <w:r w:rsidR="00573BA7">
        <w:t xml:space="preserve"> </w:t>
      </w:r>
      <w:r>
        <w:t>is</w:t>
      </w:r>
      <w:r w:rsidR="00573BA7">
        <w:t xml:space="preserve"> </w:t>
      </w:r>
      <w:r>
        <w:t>also</w:t>
      </w:r>
      <w:r w:rsidR="00573BA7">
        <w:t xml:space="preserve"> </w:t>
      </w:r>
      <w:r>
        <w:t>highlighted</w:t>
      </w:r>
      <w:r w:rsidR="00573BA7">
        <w:t xml:space="preserve"> </w:t>
      </w:r>
      <w:r>
        <w:t>in</w:t>
      </w:r>
      <w:r w:rsidR="00573BA7">
        <w:t xml:space="preserve"> </w:t>
      </w:r>
      <w:r w:rsidR="00F547D3" w:rsidRPr="003F4CE1">
        <w:t>t</w:t>
      </w:r>
      <w:r w:rsidR="00684126" w:rsidRPr="003F4CE1">
        <w:t>he</w:t>
      </w:r>
      <w:r w:rsidR="00573BA7">
        <w:t xml:space="preserve"> </w:t>
      </w:r>
      <w:r w:rsidR="000C0C6F" w:rsidRPr="003F4CE1">
        <w:t>NDIS</w:t>
      </w:r>
      <w:r w:rsidR="00573BA7">
        <w:t xml:space="preserve"> </w:t>
      </w:r>
      <w:r w:rsidR="000C0C6F" w:rsidRPr="003F4CE1">
        <w:t>Participant</w:t>
      </w:r>
      <w:r w:rsidR="00573BA7">
        <w:t xml:space="preserve"> </w:t>
      </w:r>
      <w:r w:rsidR="000C0C6F" w:rsidRPr="003F4CE1">
        <w:t>Employment</w:t>
      </w:r>
      <w:r w:rsidR="00573BA7">
        <w:t xml:space="preserve"> </w:t>
      </w:r>
      <w:r w:rsidR="000C0C6F" w:rsidRPr="003F4CE1">
        <w:t>Strategy</w:t>
      </w:r>
      <w:r w:rsidR="00573BA7">
        <w:t xml:space="preserve"> </w:t>
      </w:r>
      <w:r w:rsidR="000C0C6F" w:rsidRPr="003F4CE1">
        <w:t>2019</w:t>
      </w:r>
      <w:r w:rsidR="2D793F9F" w:rsidRPr="6772E214">
        <w:rPr>
          <w:rFonts w:ascii="Calibri" w:eastAsia="Calibri" w:hAnsi="Calibri" w:cs="Calibri"/>
          <w:sz w:val="22"/>
          <w:szCs w:val="22"/>
        </w:rPr>
        <w:t>─</w:t>
      </w:r>
      <w:r w:rsidR="00C360C2">
        <w:t>20</w:t>
      </w:r>
      <w:r w:rsidR="000C0C6F" w:rsidRPr="003F4CE1">
        <w:t>22</w:t>
      </w:r>
      <w:r w:rsidR="00F547D3" w:rsidRPr="003F4CE1">
        <w:t>.</w:t>
      </w:r>
      <w:r w:rsidR="00573BA7">
        <w:t xml:space="preserve"> </w:t>
      </w:r>
      <w:r w:rsidR="00F547D3" w:rsidRPr="003F4CE1">
        <w:t>The</w:t>
      </w:r>
      <w:r w:rsidR="00573BA7">
        <w:t xml:space="preserve"> </w:t>
      </w:r>
      <w:r w:rsidR="00F547D3" w:rsidRPr="003F4CE1">
        <w:t>Strategy</w:t>
      </w:r>
      <w:r w:rsidR="00573BA7">
        <w:t xml:space="preserve"> </w:t>
      </w:r>
      <w:r w:rsidR="00684126" w:rsidRPr="003F4CE1">
        <w:t>requires</w:t>
      </w:r>
      <w:r w:rsidR="00573BA7">
        <w:t xml:space="preserve"> </w:t>
      </w:r>
      <w:r w:rsidR="00684126" w:rsidRPr="003F4CE1">
        <w:t>the</w:t>
      </w:r>
      <w:r w:rsidR="00573BA7">
        <w:t xml:space="preserve"> </w:t>
      </w:r>
      <w:r w:rsidR="00EE4052">
        <w:t>Australian Government</w:t>
      </w:r>
      <w:r w:rsidR="00573BA7">
        <w:t xml:space="preserve"> </w:t>
      </w:r>
      <w:r w:rsidR="00EF6F5A" w:rsidRPr="003F4CE1">
        <w:t>to</w:t>
      </w:r>
      <w:r w:rsidR="00573BA7">
        <w:t xml:space="preserve"> </w:t>
      </w:r>
      <w:r w:rsidR="00EF6F5A" w:rsidRPr="003F4CE1">
        <w:t>focus</w:t>
      </w:r>
      <w:r w:rsidR="00573BA7">
        <w:t xml:space="preserve"> </w:t>
      </w:r>
      <w:r w:rsidR="00EF6F5A" w:rsidRPr="003F4CE1">
        <w:t>on</w:t>
      </w:r>
      <w:r w:rsidR="00573BA7">
        <w:t xml:space="preserve"> </w:t>
      </w:r>
      <w:r w:rsidR="00EF6F5A" w:rsidRPr="003F4CE1">
        <w:t>employment</w:t>
      </w:r>
      <w:r w:rsidR="00C62D20" w:rsidRPr="003F4CE1">
        <w:t>-</w:t>
      </w:r>
      <w:r w:rsidR="00EF6F5A" w:rsidRPr="003F4CE1">
        <w:t>related</w:t>
      </w:r>
      <w:r w:rsidR="00573BA7">
        <w:t xml:space="preserve"> </w:t>
      </w:r>
      <w:r w:rsidR="00EF6F5A" w:rsidRPr="003F4CE1">
        <w:t>supports</w:t>
      </w:r>
      <w:r w:rsidR="00573BA7">
        <w:t xml:space="preserve"> </w:t>
      </w:r>
      <w:r w:rsidR="00EF6F5A" w:rsidRPr="003F4CE1">
        <w:t>for</w:t>
      </w:r>
      <w:r w:rsidR="00573BA7">
        <w:t xml:space="preserve"> </w:t>
      </w:r>
      <w:r w:rsidR="00EF6F5A" w:rsidRPr="003F4CE1">
        <w:t>participants</w:t>
      </w:r>
      <w:r w:rsidR="00573BA7">
        <w:t xml:space="preserve"> </w:t>
      </w:r>
      <w:r w:rsidR="00EF6F5A" w:rsidRPr="003F4CE1">
        <w:t>aged</w:t>
      </w:r>
      <w:r w:rsidR="00573BA7">
        <w:t xml:space="preserve"> </w:t>
      </w:r>
      <w:r w:rsidR="00EF6F5A" w:rsidRPr="003F4CE1">
        <w:t>14</w:t>
      </w:r>
      <w:r w:rsidR="6FFA3106" w:rsidRPr="6772E214">
        <w:rPr>
          <w:rFonts w:ascii="Calibri" w:eastAsia="Calibri" w:hAnsi="Calibri" w:cs="Calibri"/>
          <w:sz w:val="22"/>
          <w:szCs w:val="22"/>
        </w:rPr>
        <w:t>─</w:t>
      </w:r>
      <w:r w:rsidR="00EF6F5A" w:rsidRPr="003F4CE1">
        <w:t>25</w:t>
      </w:r>
      <w:r w:rsidR="00B60A11">
        <w:t>.</w:t>
      </w:r>
      <w:r w:rsidR="00C360C2">
        <w:rPr>
          <w:rStyle w:val="EndnoteReference"/>
        </w:rPr>
        <w:endnoteReference w:id="266"/>
      </w:r>
      <w:r w:rsidR="00B60A11">
        <w:t xml:space="preserve"> These include the development of</w:t>
      </w:r>
      <w:r w:rsidR="00573BA7">
        <w:t xml:space="preserve"> </w:t>
      </w:r>
      <w:r w:rsidR="00CD4953" w:rsidRPr="003F4CE1">
        <w:t>a</w:t>
      </w:r>
      <w:r w:rsidR="00B60A11">
        <w:t xml:space="preserve"> new</w:t>
      </w:r>
      <w:r w:rsidR="00573BA7">
        <w:t xml:space="preserve"> </w:t>
      </w:r>
      <w:r w:rsidR="00CD4953" w:rsidRPr="003F4CE1">
        <w:t>engagement</w:t>
      </w:r>
      <w:r w:rsidR="00573BA7">
        <w:t xml:space="preserve"> </w:t>
      </w:r>
      <w:r w:rsidR="00CD4953" w:rsidRPr="003F4CE1">
        <w:t>initiative</w:t>
      </w:r>
      <w:r w:rsidR="00573BA7">
        <w:t xml:space="preserve"> </w:t>
      </w:r>
      <w:r w:rsidR="00CD4953" w:rsidRPr="003F4CE1">
        <w:t>for</w:t>
      </w:r>
      <w:r w:rsidR="00573BA7">
        <w:t xml:space="preserve"> </w:t>
      </w:r>
      <w:r w:rsidR="00CD4953" w:rsidRPr="003F4CE1">
        <w:t>students</w:t>
      </w:r>
      <w:r w:rsidR="00573BA7">
        <w:t xml:space="preserve"> </w:t>
      </w:r>
      <w:r w:rsidR="00CD4953" w:rsidRPr="003F4CE1">
        <w:t>and</w:t>
      </w:r>
      <w:r w:rsidR="00573BA7">
        <w:t xml:space="preserve"> </w:t>
      </w:r>
      <w:r w:rsidR="00CD4953" w:rsidRPr="003F4CE1">
        <w:t>their</w:t>
      </w:r>
      <w:r w:rsidR="00573BA7">
        <w:t xml:space="preserve"> </w:t>
      </w:r>
      <w:r w:rsidR="00CD4953" w:rsidRPr="003F4CE1">
        <w:t>families</w:t>
      </w:r>
      <w:r w:rsidR="00573BA7">
        <w:t xml:space="preserve"> </w:t>
      </w:r>
      <w:r w:rsidR="00CD4953" w:rsidRPr="003F4CE1">
        <w:t>to</w:t>
      </w:r>
      <w:r w:rsidR="00573BA7">
        <w:t xml:space="preserve"> </w:t>
      </w:r>
      <w:r w:rsidR="00CD4953" w:rsidRPr="003F4CE1">
        <w:t>expand</w:t>
      </w:r>
      <w:r w:rsidR="00573BA7">
        <w:t xml:space="preserve"> </w:t>
      </w:r>
      <w:r w:rsidR="00CD4953" w:rsidRPr="003F4CE1">
        <w:t>their</w:t>
      </w:r>
      <w:r w:rsidR="00573BA7">
        <w:t xml:space="preserve"> </w:t>
      </w:r>
      <w:r w:rsidR="00CD4953" w:rsidRPr="003F4CE1">
        <w:t>understanding</w:t>
      </w:r>
      <w:r w:rsidR="00573BA7">
        <w:t xml:space="preserve"> </w:t>
      </w:r>
      <w:r w:rsidR="00CD4953" w:rsidRPr="003F4CE1">
        <w:t>of</w:t>
      </w:r>
      <w:r w:rsidR="00573BA7">
        <w:t xml:space="preserve"> </w:t>
      </w:r>
      <w:r w:rsidR="00CD4953" w:rsidRPr="003F4CE1">
        <w:t>NDIS</w:t>
      </w:r>
      <w:r w:rsidR="00573BA7">
        <w:t xml:space="preserve"> </w:t>
      </w:r>
      <w:r w:rsidR="00CD4953" w:rsidRPr="003F4CE1">
        <w:t>supports</w:t>
      </w:r>
      <w:r w:rsidR="00573BA7">
        <w:t xml:space="preserve"> </w:t>
      </w:r>
      <w:r w:rsidR="00CD4953" w:rsidRPr="003F4CE1">
        <w:t>as</w:t>
      </w:r>
      <w:r w:rsidR="00573BA7">
        <w:t xml:space="preserve"> </w:t>
      </w:r>
      <w:r w:rsidR="00CD4953" w:rsidRPr="003F4CE1">
        <w:t>a</w:t>
      </w:r>
      <w:r w:rsidR="00573BA7">
        <w:t xml:space="preserve"> </w:t>
      </w:r>
      <w:r w:rsidR="00CD4953" w:rsidRPr="003F4CE1">
        <w:t>pathway</w:t>
      </w:r>
      <w:r w:rsidR="00573BA7">
        <w:t xml:space="preserve"> </w:t>
      </w:r>
      <w:r w:rsidR="00CD4953" w:rsidRPr="003F4CE1">
        <w:t>to</w:t>
      </w:r>
      <w:r w:rsidR="00573BA7">
        <w:t xml:space="preserve"> </w:t>
      </w:r>
      <w:r w:rsidR="00CD4953" w:rsidRPr="003F4CE1">
        <w:t>work.</w:t>
      </w:r>
      <w:r w:rsidR="008C6476" w:rsidRPr="003F4CE1">
        <w:rPr>
          <w:rStyle w:val="EndnoteReference"/>
          <w:rFonts w:cs="Open Sans"/>
        </w:rPr>
        <w:endnoteReference w:id="267"/>
      </w:r>
      <w:r w:rsidR="00573BA7">
        <w:t xml:space="preserve"> </w:t>
      </w:r>
      <w:r w:rsidR="00B60A11">
        <w:t>These also include</w:t>
      </w:r>
      <w:r w:rsidR="00573BA7">
        <w:t xml:space="preserve"> </w:t>
      </w:r>
      <w:r w:rsidR="00B60A11" w:rsidRPr="00B60A11">
        <w:t xml:space="preserve">the development of a new engagement </w:t>
      </w:r>
      <w:r w:rsidR="009B60DF" w:rsidRPr="003F4CE1">
        <w:t>strategy</w:t>
      </w:r>
      <w:r w:rsidR="00573BA7">
        <w:t xml:space="preserve"> </w:t>
      </w:r>
      <w:r w:rsidR="009B60DF" w:rsidRPr="003F4CE1">
        <w:t>to</w:t>
      </w:r>
      <w:r w:rsidR="00573BA7">
        <w:t xml:space="preserve"> </w:t>
      </w:r>
      <w:r w:rsidR="009B60DF" w:rsidRPr="003F4CE1">
        <w:t>build</w:t>
      </w:r>
      <w:r w:rsidR="00573BA7">
        <w:t xml:space="preserve"> </w:t>
      </w:r>
      <w:r w:rsidR="009B60DF" w:rsidRPr="003F4CE1">
        <w:t>the</w:t>
      </w:r>
      <w:r w:rsidR="00573BA7">
        <w:t xml:space="preserve"> </w:t>
      </w:r>
      <w:r w:rsidR="009B60DF" w:rsidRPr="003F4CE1">
        <w:t>confidence</w:t>
      </w:r>
      <w:r w:rsidR="00573BA7">
        <w:t xml:space="preserve"> </w:t>
      </w:r>
      <w:r w:rsidR="009B60DF" w:rsidRPr="003F4CE1">
        <w:t>of</w:t>
      </w:r>
      <w:r w:rsidR="00573BA7">
        <w:t xml:space="preserve"> </w:t>
      </w:r>
      <w:r w:rsidR="009B60DF" w:rsidRPr="003F4CE1">
        <w:t>employers</w:t>
      </w:r>
      <w:r w:rsidR="00573BA7">
        <w:t xml:space="preserve"> </w:t>
      </w:r>
      <w:r w:rsidR="009B60DF" w:rsidRPr="003F4CE1">
        <w:t>to</w:t>
      </w:r>
      <w:r w:rsidR="00573BA7">
        <w:t xml:space="preserve"> </w:t>
      </w:r>
      <w:r w:rsidR="009B60DF" w:rsidRPr="003F4CE1">
        <w:t>employ</w:t>
      </w:r>
      <w:r w:rsidR="00573BA7">
        <w:t xml:space="preserve"> </w:t>
      </w:r>
      <w:r w:rsidR="009B60DF" w:rsidRPr="003F4CE1">
        <w:t>NDIS</w:t>
      </w:r>
      <w:r w:rsidR="00573BA7">
        <w:t xml:space="preserve"> </w:t>
      </w:r>
      <w:r w:rsidR="009B60DF" w:rsidRPr="003F4CE1">
        <w:t>participants,</w:t>
      </w:r>
      <w:r w:rsidR="00573BA7">
        <w:t xml:space="preserve"> </w:t>
      </w:r>
      <w:r w:rsidR="00044366" w:rsidRPr="003F4CE1">
        <w:t>by</w:t>
      </w:r>
      <w:r w:rsidR="00573BA7">
        <w:t xml:space="preserve"> </w:t>
      </w:r>
      <w:r w:rsidR="00044366" w:rsidRPr="003F4CE1">
        <w:t>promoting</w:t>
      </w:r>
      <w:r w:rsidR="00573BA7">
        <w:t xml:space="preserve"> </w:t>
      </w:r>
      <w:r w:rsidR="009B60DF" w:rsidRPr="003F4CE1">
        <w:t>the</w:t>
      </w:r>
      <w:r w:rsidR="00573BA7">
        <w:t xml:space="preserve"> </w:t>
      </w:r>
      <w:r w:rsidR="009B60DF" w:rsidRPr="003F4CE1">
        <w:t>education-to-employment</w:t>
      </w:r>
      <w:r w:rsidR="00573BA7">
        <w:t xml:space="preserve"> </w:t>
      </w:r>
      <w:r w:rsidR="009B60DF" w:rsidRPr="003F4CE1">
        <w:t>pathway</w:t>
      </w:r>
      <w:r w:rsidR="00573BA7">
        <w:t xml:space="preserve"> </w:t>
      </w:r>
      <w:r w:rsidR="009B60DF" w:rsidRPr="003F4CE1">
        <w:t>and</w:t>
      </w:r>
      <w:r w:rsidR="00573BA7">
        <w:t xml:space="preserve"> </w:t>
      </w:r>
      <w:r w:rsidR="009B60DF" w:rsidRPr="003F4CE1">
        <w:t>transition</w:t>
      </w:r>
      <w:r w:rsidR="00573BA7">
        <w:t xml:space="preserve"> </w:t>
      </w:r>
      <w:r w:rsidR="009B60DF" w:rsidRPr="003F4CE1">
        <w:t>supports</w:t>
      </w:r>
      <w:r w:rsidR="00044366" w:rsidRPr="003F4CE1">
        <w:t>.</w:t>
      </w:r>
      <w:r w:rsidR="008C6476" w:rsidRPr="003F4CE1">
        <w:rPr>
          <w:rStyle w:val="EndnoteReference"/>
          <w:rFonts w:cs="Open Sans"/>
        </w:rPr>
        <w:endnoteReference w:id="268"/>
      </w:r>
      <w:r w:rsidR="00573BA7">
        <w:t xml:space="preserve"> </w:t>
      </w:r>
    </w:p>
    <w:p w14:paraId="53738029" w14:textId="78DA97FB" w:rsidR="005E4510" w:rsidRPr="003F4CE1" w:rsidDel="00B9390B" w:rsidRDefault="00F64201" w:rsidP="008A7EB0">
      <w:pPr>
        <w:pStyle w:val="ListNumber"/>
      </w:pPr>
      <w:r>
        <w:t xml:space="preserve">However, the effectiveness of Australia’s vocational transition programs for young people remains unclear. </w:t>
      </w:r>
      <w:r w:rsidRPr="003F4CE1">
        <w:t>Young</w:t>
      </w:r>
      <w:r>
        <w:t xml:space="preserve"> </w:t>
      </w:r>
      <w:r w:rsidRPr="003F4CE1">
        <w:t>people</w:t>
      </w:r>
      <w:r>
        <w:t xml:space="preserve"> </w:t>
      </w:r>
      <w:r w:rsidRPr="003F4CE1">
        <w:t>with</w:t>
      </w:r>
      <w:r>
        <w:t xml:space="preserve"> </w:t>
      </w:r>
      <w:r w:rsidRPr="003F4CE1">
        <w:t>disability</w:t>
      </w:r>
      <w:r>
        <w:t xml:space="preserve"> in Australia </w:t>
      </w:r>
      <w:r w:rsidRPr="003F4CE1">
        <w:t>experience</w:t>
      </w:r>
      <w:r>
        <w:t xml:space="preserve"> </w:t>
      </w:r>
      <w:r w:rsidRPr="003F4CE1">
        <w:t>substantially</w:t>
      </w:r>
      <w:r>
        <w:t xml:space="preserve"> </w:t>
      </w:r>
      <w:r w:rsidRPr="003F4CE1">
        <w:t>greater</w:t>
      </w:r>
      <w:r>
        <w:t xml:space="preserve"> </w:t>
      </w:r>
      <w:r w:rsidRPr="003F4CE1">
        <w:t>difficulties</w:t>
      </w:r>
      <w:r>
        <w:t xml:space="preserve"> </w:t>
      </w:r>
      <w:r w:rsidRPr="003F4CE1">
        <w:t>in</w:t>
      </w:r>
      <w:r>
        <w:t xml:space="preserve"> </w:t>
      </w:r>
      <w:r w:rsidRPr="003F4CE1">
        <w:t>transitioning</w:t>
      </w:r>
      <w:r>
        <w:t xml:space="preserve"> </w:t>
      </w:r>
      <w:r w:rsidRPr="003F4CE1">
        <w:t>from</w:t>
      </w:r>
      <w:r>
        <w:t xml:space="preserve"> </w:t>
      </w:r>
      <w:r w:rsidRPr="003F4CE1">
        <w:t>school</w:t>
      </w:r>
      <w:r>
        <w:t xml:space="preserve"> </w:t>
      </w:r>
      <w:r w:rsidRPr="003F4CE1">
        <w:t>to</w:t>
      </w:r>
      <w:r>
        <w:t xml:space="preserve"> </w:t>
      </w:r>
      <w:r w:rsidRPr="003F4CE1">
        <w:t>work</w:t>
      </w:r>
      <w:r>
        <w:t xml:space="preserve"> </w:t>
      </w:r>
      <w:r w:rsidRPr="003F4CE1">
        <w:t>than</w:t>
      </w:r>
      <w:r>
        <w:t xml:space="preserve"> </w:t>
      </w:r>
      <w:r w:rsidRPr="003F4CE1">
        <w:t>their</w:t>
      </w:r>
      <w:r>
        <w:t xml:space="preserve"> </w:t>
      </w:r>
      <w:r w:rsidRPr="003F4CE1">
        <w:t>peers,</w:t>
      </w:r>
      <w:r>
        <w:t xml:space="preserve"> </w:t>
      </w:r>
      <w:r w:rsidRPr="003F4CE1">
        <w:t>are</w:t>
      </w:r>
      <w:r>
        <w:t xml:space="preserve"> </w:t>
      </w:r>
      <w:r w:rsidRPr="003F4CE1">
        <w:t>more</w:t>
      </w:r>
      <w:r>
        <w:t xml:space="preserve"> </w:t>
      </w:r>
      <w:r w:rsidRPr="003F4CE1">
        <w:t>likely</w:t>
      </w:r>
      <w:r>
        <w:t xml:space="preserve"> </w:t>
      </w:r>
      <w:r w:rsidRPr="003F4CE1">
        <w:t>to</w:t>
      </w:r>
      <w:r>
        <w:t xml:space="preserve"> </w:t>
      </w:r>
      <w:r w:rsidRPr="003F4CE1">
        <w:t>not</w:t>
      </w:r>
      <w:r>
        <w:t xml:space="preserve"> </w:t>
      </w:r>
      <w:r w:rsidRPr="003F4CE1">
        <w:t>enter</w:t>
      </w:r>
      <w:r>
        <w:t xml:space="preserve"> </w:t>
      </w:r>
      <w:r w:rsidRPr="003F4CE1">
        <w:t>the</w:t>
      </w:r>
      <w:r>
        <w:t xml:space="preserve"> </w:t>
      </w:r>
      <w:r w:rsidRPr="003F4CE1">
        <w:t>labour</w:t>
      </w:r>
      <w:r>
        <w:t xml:space="preserve"> </w:t>
      </w:r>
      <w:r w:rsidRPr="003F4CE1">
        <w:t>force</w:t>
      </w:r>
      <w:r>
        <w:t xml:space="preserve"> </w:t>
      </w:r>
      <w:r w:rsidRPr="003F4CE1">
        <w:t>at</w:t>
      </w:r>
      <w:r>
        <w:t xml:space="preserve"> </w:t>
      </w:r>
      <w:r w:rsidRPr="003F4CE1">
        <w:t>all,</w:t>
      </w:r>
      <w:r>
        <w:t xml:space="preserve"> </w:t>
      </w:r>
      <w:r w:rsidRPr="003F4CE1">
        <w:t>and</w:t>
      </w:r>
      <w:r>
        <w:t xml:space="preserve"> </w:t>
      </w:r>
      <w:r w:rsidRPr="003F4CE1">
        <w:t>less</w:t>
      </w:r>
      <w:r>
        <w:t xml:space="preserve"> </w:t>
      </w:r>
      <w:r w:rsidRPr="003F4CE1">
        <w:t>likely</w:t>
      </w:r>
      <w:r>
        <w:t xml:space="preserve"> </w:t>
      </w:r>
      <w:r w:rsidRPr="003F4CE1">
        <w:t>to</w:t>
      </w:r>
      <w:r>
        <w:t xml:space="preserve"> </w:t>
      </w:r>
      <w:r w:rsidRPr="003F4CE1">
        <w:t>make</w:t>
      </w:r>
      <w:r>
        <w:t xml:space="preserve"> </w:t>
      </w:r>
      <w:r w:rsidRPr="003F4CE1">
        <w:t>a</w:t>
      </w:r>
      <w:r>
        <w:t xml:space="preserve"> </w:t>
      </w:r>
      <w:r w:rsidRPr="003F4CE1">
        <w:t>‘successful’</w:t>
      </w:r>
      <w:r>
        <w:t xml:space="preserve"> </w:t>
      </w:r>
      <w:r w:rsidRPr="003F4CE1">
        <w:t>transition</w:t>
      </w:r>
      <w:r>
        <w:t xml:space="preserve"> </w:t>
      </w:r>
      <w:r w:rsidRPr="003F4CE1">
        <w:t>to</w:t>
      </w:r>
      <w:r>
        <w:t xml:space="preserve"> </w:t>
      </w:r>
      <w:r w:rsidRPr="003F4CE1">
        <w:t>employment</w:t>
      </w:r>
      <w:r>
        <w:t xml:space="preserve"> </w:t>
      </w:r>
      <w:r w:rsidRPr="003F4CE1">
        <w:t>after</w:t>
      </w:r>
      <w:r>
        <w:t xml:space="preserve"> </w:t>
      </w:r>
      <w:r w:rsidRPr="003F4CE1">
        <w:t>leaving</w:t>
      </w:r>
      <w:r>
        <w:t xml:space="preserve"> </w:t>
      </w:r>
      <w:r w:rsidRPr="003F4CE1">
        <w:t>school.</w:t>
      </w:r>
      <w:r w:rsidRPr="007B537E">
        <w:rPr>
          <w:sz w:val="20"/>
          <w:szCs w:val="20"/>
          <w:vertAlign w:val="superscript"/>
        </w:rPr>
        <w:endnoteReference w:id="269"/>
      </w:r>
      <w:r>
        <w:t xml:space="preserve"> </w:t>
      </w:r>
    </w:p>
    <w:p w14:paraId="2FED8417" w14:textId="1B383F91" w:rsidR="00CB6DCC" w:rsidRDefault="00CB6DCC" w:rsidP="00196C39">
      <w:pPr>
        <w:pStyle w:val="ListNumber"/>
      </w:pPr>
      <w:r>
        <w:t>The Commission is</w:t>
      </w:r>
      <w:r w:rsidR="00F64201">
        <w:t xml:space="preserve"> also</w:t>
      </w:r>
      <w:r>
        <w:t xml:space="preserve"> concerned that t</w:t>
      </w:r>
      <w:r w:rsidR="005E4510" w:rsidRPr="003F4CE1">
        <w:t>here</w:t>
      </w:r>
      <w:r w:rsidR="00573BA7">
        <w:t xml:space="preserve"> </w:t>
      </w:r>
      <w:r w:rsidR="005E4510" w:rsidRPr="003F4CE1">
        <w:t>is</w:t>
      </w:r>
      <w:r w:rsidR="00573BA7">
        <w:t xml:space="preserve"> </w:t>
      </w:r>
      <w:r w:rsidR="005E4510" w:rsidRPr="003F4CE1">
        <w:t>a</w:t>
      </w:r>
      <w:r w:rsidR="00573BA7">
        <w:t xml:space="preserve"> </w:t>
      </w:r>
      <w:r w:rsidR="005E4510" w:rsidRPr="003F4CE1">
        <w:t>lack</w:t>
      </w:r>
      <w:r w:rsidR="00573BA7">
        <w:t xml:space="preserve"> </w:t>
      </w:r>
      <w:r w:rsidR="005E4510" w:rsidRPr="003F4CE1">
        <w:t>of</w:t>
      </w:r>
      <w:r w:rsidR="00573BA7">
        <w:t xml:space="preserve"> </w:t>
      </w:r>
      <w:r w:rsidR="005E4510" w:rsidRPr="003F4CE1">
        <w:t>recent</w:t>
      </w:r>
      <w:r w:rsidR="00573BA7">
        <w:t xml:space="preserve"> </w:t>
      </w:r>
      <w:r w:rsidR="005E4510" w:rsidRPr="003F4CE1">
        <w:t>data</w:t>
      </w:r>
      <w:r w:rsidR="00573BA7">
        <w:t xml:space="preserve"> </w:t>
      </w:r>
      <w:r w:rsidR="005E4510" w:rsidRPr="003F4CE1">
        <w:t>about</w:t>
      </w:r>
      <w:r w:rsidR="00573BA7">
        <w:t xml:space="preserve"> </w:t>
      </w:r>
      <w:r w:rsidR="005E4510" w:rsidRPr="003F4CE1">
        <w:t>post-secondary</w:t>
      </w:r>
      <w:r w:rsidR="00573BA7">
        <w:t xml:space="preserve"> </w:t>
      </w:r>
      <w:r w:rsidR="005E4510" w:rsidRPr="003F4CE1">
        <w:t>transitions</w:t>
      </w:r>
      <w:r w:rsidR="00573BA7">
        <w:t xml:space="preserve"> </w:t>
      </w:r>
      <w:r w:rsidR="005E4510" w:rsidRPr="003F4CE1">
        <w:t>for</w:t>
      </w:r>
      <w:r w:rsidR="00573BA7">
        <w:t xml:space="preserve"> </w:t>
      </w:r>
      <w:r w:rsidR="005E4510" w:rsidRPr="003F4CE1">
        <w:t>people</w:t>
      </w:r>
      <w:r w:rsidR="00573BA7">
        <w:t xml:space="preserve"> </w:t>
      </w:r>
      <w:r w:rsidR="005E4510" w:rsidRPr="003F4CE1">
        <w:t>with</w:t>
      </w:r>
      <w:r w:rsidR="00573BA7">
        <w:t xml:space="preserve"> </w:t>
      </w:r>
      <w:r w:rsidR="005E4510" w:rsidRPr="003F4CE1">
        <w:t>disability.</w:t>
      </w:r>
      <w:r w:rsidR="00573BA7">
        <w:t xml:space="preserve"> </w:t>
      </w:r>
      <w:r w:rsidR="005E4510" w:rsidRPr="003F4CE1">
        <w:t>The</w:t>
      </w:r>
      <w:r w:rsidR="00573BA7">
        <w:t xml:space="preserve"> </w:t>
      </w:r>
      <w:r w:rsidR="005E4510" w:rsidRPr="003F4CE1">
        <w:t>Nationally</w:t>
      </w:r>
      <w:r w:rsidR="00573BA7">
        <w:t xml:space="preserve"> </w:t>
      </w:r>
      <w:r w:rsidR="005E4510" w:rsidRPr="003F4CE1">
        <w:t>Consistent</w:t>
      </w:r>
      <w:r w:rsidR="00573BA7">
        <w:t xml:space="preserve"> </w:t>
      </w:r>
      <w:r w:rsidR="005E4510" w:rsidRPr="003F4CE1">
        <w:t>Collection</w:t>
      </w:r>
      <w:r w:rsidR="00573BA7">
        <w:t xml:space="preserve"> </w:t>
      </w:r>
      <w:r w:rsidR="005E4510" w:rsidRPr="003F4CE1">
        <w:t>of</w:t>
      </w:r>
      <w:r w:rsidR="00573BA7">
        <w:t xml:space="preserve"> </w:t>
      </w:r>
      <w:r w:rsidR="005E4510" w:rsidRPr="003F4CE1">
        <w:t>Data</w:t>
      </w:r>
      <w:r w:rsidR="00573BA7">
        <w:t xml:space="preserve"> </w:t>
      </w:r>
      <w:r w:rsidR="005E4510" w:rsidRPr="003F4CE1">
        <w:t>on</w:t>
      </w:r>
      <w:r w:rsidR="00573BA7">
        <w:t xml:space="preserve"> </w:t>
      </w:r>
      <w:r w:rsidR="005E4510" w:rsidRPr="003F4CE1">
        <w:t>School</w:t>
      </w:r>
      <w:r w:rsidR="00573BA7">
        <w:t xml:space="preserve"> </w:t>
      </w:r>
      <w:r w:rsidR="005E4510" w:rsidRPr="003F4CE1">
        <w:t>Students</w:t>
      </w:r>
      <w:r w:rsidR="00573BA7">
        <w:t xml:space="preserve"> </w:t>
      </w:r>
      <w:r w:rsidR="005E4510" w:rsidRPr="003F4CE1">
        <w:t>with</w:t>
      </w:r>
      <w:r w:rsidR="00573BA7">
        <w:t xml:space="preserve"> </w:t>
      </w:r>
      <w:r w:rsidR="005E4510" w:rsidRPr="003F4CE1">
        <w:t>Disability</w:t>
      </w:r>
      <w:r w:rsidR="00573BA7">
        <w:t xml:space="preserve"> </w:t>
      </w:r>
      <w:r w:rsidR="005E4510" w:rsidRPr="003F4CE1">
        <w:t>only</w:t>
      </w:r>
      <w:r w:rsidR="00573BA7">
        <w:t xml:space="preserve"> </w:t>
      </w:r>
      <w:r w:rsidR="005E4510" w:rsidRPr="003F4CE1">
        <w:t>collects</w:t>
      </w:r>
      <w:r w:rsidR="00573BA7">
        <w:t xml:space="preserve"> </w:t>
      </w:r>
      <w:r w:rsidR="005E4510" w:rsidRPr="003F4CE1">
        <w:lastRenderedPageBreak/>
        <w:t>data</w:t>
      </w:r>
      <w:r w:rsidR="00573BA7">
        <w:t xml:space="preserve"> </w:t>
      </w:r>
      <w:r w:rsidR="005E4510" w:rsidRPr="003F4CE1">
        <w:t>about</w:t>
      </w:r>
      <w:r w:rsidR="00573BA7">
        <w:t xml:space="preserve"> </w:t>
      </w:r>
      <w:r w:rsidR="005E4510" w:rsidRPr="003F4CE1">
        <w:t>students</w:t>
      </w:r>
      <w:r w:rsidR="00573BA7">
        <w:t xml:space="preserve"> </w:t>
      </w:r>
      <w:r w:rsidR="005E4510" w:rsidRPr="003F4CE1">
        <w:t>while</w:t>
      </w:r>
      <w:r w:rsidR="00573BA7">
        <w:t xml:space="preserve"> </w:t>
      </w:r>
      <w:r w:rsidR="005E4510" w:rsidRPr="003F4CE1">
        <w:t>they</w:t>
      </w:r>
      <w:r w:rsidR="00573BA7">
        <w:t xml:space="preserve"> </w:t>
      </w:r>
      <w:r w:rsidR="005E4510" w:rsidRPr="003F4CE1">
        <w:t>are</w:t>
      </w:r>
      <w:r w:rsidR="00573BA7">
        <w:t xml:space="preserve"> </w:t>
      </w:r>
      <w:r w:rsidR="005E4510" w:rsidRPr="003F4CE1">
        <w:t>in</w:t>
      </w:r>
      <w:r w:rsidR="00573BA7">
        <w:t xml:space="preserve"> </w:t>
      </w:r>
      <w:r w:rsidR="005E4510" w:rsidRPr="003F4CE1">
        <w:t>school</w:t>
      </w:r>
      <w:r>
        <w:t>, rather than their employment outcomes post-school</w:t>
      </w:r>
      <w:r w:rsidR="005E4510" w:rsidRPr="003F4CE1">
        <w:t>.</w:t>
      </w:r>
      <w:r w:rsidR="008C6476" w:rsidRPr="007B537E">
        <w:rPr>
          <w:sz w:val="20"/>
          <w:szCs w:val="20"/>
          <w:vertAlign w:val="superscript"/>
        </w:rPr>
        <w:endnoteReference w:id="270"/>
      </w:r>
      <w:r w:rsidR="00573BA7">
        <w:t xml:space="preserve"> </w:t>
      </w:r>
    </w:p>
    <w:p w14:paraId="3840A72D" w14:textId="0ED1345C" w:rsidR="005E4510" w:rsidRDefault="005E4510" w:rsidP="00196C39">
      <w:pPr>
        <w:pStyle w:val="ListNumber"/>
      </w:pPr>
      <w:r>
        <w:t>As</w:t>
      </w:r>
      <w:r w:rsidR="00573BA7">
        <w:t xml:space="preserve"> </w:t>
      </w:r>
      <w:r>
        <w:t>recommended</w:t>
      </w:r>
      <w:r w:rsidR="00573BA7">
        <w:t xml:space="preserve"> </w:t>
      </w:r>
      <w:r w:rsidR="00486AA9">
        <w:t>by</w:t>
      </w:r>
      <w:r w:rsidR="00573BA7">
        <w:t xml:space="preserve"> </w:t>
      </w:r>
      <w:r w:rsidR="00486AA9">
        <w:t>the</w:t>
      </w:r>
      <w:r w:rsidR="00573BA7">
        <w:t xml:space="preserve"> </w:t>
      </w:r>
      <w:r w:rsidR="00486AA9">
        <w:t>Commission</w:t>
      </w:r>
      <w:r w:rsidR="00573BA7">
        <w:t xml:space="preserve"> </w:t>
      </w:r>
      <w:r>
        <w:t>in</w:t>
      </w:r>
      <w:r w:rsidR="00573BA7">
        <w:t xml:space="preserve"> </w:t>
      </w:r>
      <w:r w:rsidR="00245F33">
        <w:t>Willing to Work</w:t>
      </w:r>
      <w:r>
        <w:t>,</w:t>
      </w:r>
      <w:r w:rsidR="00573BA7">
        <w:t xml:space="preserve"> </w:t>
      </w:r>
      <w:r>
        <w:t>there</w:t>
      </w:r>
      <w:r w:rsidR="00573BA7">
        <w:t xml:space="preserve"> </w:t>
      </w:r>
      <w:r>
        <w:t>is</w:t>
      </w:r>
      <w:r w:rsidR="00573BA7">
        <w:t xml:space="preserve"> </w:t>
      </w:r>
      <w:r>
        <w:t>a</w:t>
      </w:r>
      <w:r w:rsidR="00573BA7">
        <w:t xml:space="preserve"> </w:t>
      </w:r>
      <w:r>
        <w:t>need</w:t>
      </w:r>
      <w:r w:rsidR="00573BA7">
        <w:t xml:space="preserve"> </w:t>
      </w:r>
      <w:r>
        <w:t>for</w:t>
      </w:r>
      <w:r w:rsidR="00573BA7">
        <w:t xml:space="preserve"> </w:t>
      </w:r>
      <w:r>
        <w:t>further</w:t>
      </w:r>
      <w:r w:rsidR="00573BA7">
        <w:t xml:space="preserve"> </w:t>
      </w:r>
      <w:r>
        <w:t>qualitative</w:t>
      </w:r>
      <w:r w:rsidR="00573BA7">
        <w:t xml:space="preserve"> </w:t>
      </w:r>
      <w:r>
        <w:t>and</w:t>
      </w:r>
      <w:r w:rsidR="00573BA7">
        <w:t xml:space="preserve"> </w:t>
      </w:r>
      <w:r>
        <w:t>longitudinal</w:t>
      </w:r>
      <w:r w:rsidR="00573BA7">
        <w:t xml:space="preserve"> </w:t>
      </w:r>
      <w:r>
        <w:t>research</w:t>
      </w:r>
      <w:r w:rsidR="00573BA7">
        <w:t xml:space="preserve"> </w:t>
      </w:r>
      <w:r>
        <w:t>on</w:t>
      </w:r>
      <w:r w:rsidR="00573BA7">
        <w:t xml:space="preserve"> </w:t>
      </w:r>
      <w:r>
        <w:t>post-school</w:t>
      </w:r>
      <w:r w:rsidR="00573BA7">
        <w:t xml:space="preserve"> </w:t>
      </w:r>
      <w:r>
        <w:t>transitions</w:t>
      </w:r>
      <w:r w:rsidR="00573BA7">
        <w:t xml:space="preserve"> </w:t>
      </w:r>
      <w:r>
        <w:t>for</w:t>
      </w:r>
      <w:r w:rsidR="00573BA7">
        <w:t xml:space="preserve"> </w:t>
      </w:r>
      <w:r>
        <w:t>students</w:t>
      </w:r>
      <w:r w:rsidR="00573BA7">
        <w:t xml:space="preserve"> </w:t>
      </w:r>
      <w:r>
        <w:t>with</w:t>
      </w:r>
      <w:r w:rsidR="00573BA7">
        <w:t xml:space="preserve"> </w:t>
      </w:r>
      <w:r>
        <w:t>disability</w:t>
      </w:r>
      <w:r w:rsidR="00573BA7">
        <w:t xml:space="preserve"> </w:t>
      </w:r>
      <w:r>
        <w:t>in</w:t>
      </w:r>
      <w:r w:rsidR="00573BA7">
        <w:t xml:space="preserve"> </w:t>
      </w:r>
      <w:r>
        <w:t>order</w:t>
      </w:r>
      <w:r w:rsidR="00573BA7">
        <w:t xml:space="preserve"> </w:t>
      </w:r>
      <w:r>
        <w:t>to</w:t>
      </w:r>
      <w:r w:rsidR="00573BA7">
        <w:t xml:space="preserve"> </w:t>
      </w:r>
      <w:r>
        <w:t>inform</w:t>
      </w:r>
      <w:r w:rsidR="00573BA7">
        <w:t xml:space="preserve"> </w:t>
      </w:r>
      <w:r>
        <w:t>policy</w:t>
      </w:r>
      <w:r w:rsidR="00573BA7">
        <w:t xml:space="preserve"> </w:t>
      </w:r>
      <w:r>
        <w:t>and</w:t>
      </w:r>
      <w:r w:rsidR="00573BA7">
        <w:t xml:space="preserve"> </w:t>
      </w:r>
      <w:r>
        <w:t>practice</w:t>
      </w:r>
      <w:r w:rsidR="00573BA7">
        <w:t xml:space="preserve"> </w:t>
      </w:r>
      <w:r>
        <w:t>in</w:t>
      </w:r>
      <w:r w:rsidR="00573BA7">
        <w:t xml:space="preserve"> </w:t>
      </w:r>
      <w:r>
        <w:t>this</w:t>
      </w:r>
      <w:r w:rsidR="00573BA7">
        <w:t xml:space="preserve"> </w:t>
      </w:r>
      <w:r>
        <w:t>area.</w:t>
      </w:r>
      <w:r w:rsidR="00573BA7">
        <w:t xml:space="preserve"> </w:t>
      </w:r>
    </w:p>
    <w:p w14:paraId="33370E57" w14:textId="31DC5588" w:rsidR="006A5148" w:rsidRPr="003F4CE1" w:rsidRDefault="006A5148" w:rsidP="00196C39">
      <w:pPr>
        <w:pStyle w:val="ListNumber"/>
      </w:pPr>
      <w:r>
        <w:t>Examining the transition from education to employment is currently the focus of one of the test cases being examined as part of the NDDA pilot</w:t>
      </w:r>
      <w:r w:rsidR="00502911">
        <w:t xml:space="preserve"> (see </w:t>
      </w:r>
      <w:r w:rsidR="0066529E">
        <w:t>part</w:t>
      </w:r>
      <w:r w:rsidR="00502911">
        <w:t xml:space="preserve"> 3.5 above)</w:t>
      </w:r>
      <w:r>
        <w:t>.</w:t>
      </w:r>
      <w:r>
        <w:rPr>
          <w:rStyle w:val="EndnoteReference"/>
        </w:rPr>
        <w:endnoteReference w:id="271"/>
      </w:r>
    </w:p>
    <w:p w14:paraId="360C9D24" w14:textId="77777777" w:rsidR="0024523C" w:rsidRPr="0024523C" w:rsidRDefault="0024523C" w:rsidP="0024523C">
      <w:pPr>
        <w:pStyle w:val="ListNumber"/>
        <w:rPr>
          <w:b/>
          <w:bCs/>
          <w:i/>
          <w:iCs/>
        </w:rPr>
      </w:pPr>
      <w:bookmarkStart w:id="150" w:name="_Toc51834302"/>
      <w:r w:rsidRPr="0024523C">
        <w:rPr>
          <w:b/>
          <w:bCs/>
          <w:i/>
          <w:iCs/>
        </w:rPr>
        <w:t>Recommendation 19: The Australian Government collect and make publicly available national data regarding post-school employment outcomes for students with disability, and measure the effectiveness of its school-to-work transition programs against its obligations under international human rights law.</w:t>
      </w:r>
    </w:p>
    <w:p w14:paraId="2AC54F06" w14:textId="40D060A7" w:rsidR="005E4510" w:rsidRPr="00710E6A" w:rsidRDefault="00324325">
      <w:pPr>
        <w:pStyle w:val="Heading3"/>
        <w:rPr>
          <w:b/>
          <w:bCs w:val="0"/>
        </w:rPr>
      </w:pPr>
      <w:r w:rsidRPr="00710E6A">
        <w:rPr>
          <w:b/>
          <w:bCs w:val="0"/>
        </w:rPr>
        <w:t xml:space="preserve">Effectiveness of </w:t>
      </w:r>
      <w:r w:rsidR="00D43D4A" w:rsidRPr="00710E6A">
        <w:rPr>
          <w:b/>
          <w:bCs w:val="0"/>
        </w:rPr>
        <w:t>DES Eligible School Leavers program</w:t>
      </w:r>
      <w:bookmarkEnd w:id="150"/>
    </w:p>
    <w:p w14:paraId="6E7557D1" w14:textId="15487925" w:rsidR="005E4510" w:rsidRPr="003F4CE1" w:rsidRDefault="005E4510" w:rsidP="00196C39">
      <w:pPr>
        <w:pStyle w:val="ListNumber"/>
      </w:pPr>
      <w:r w:rsidRPr="003F4CE1">
        <w:t>The</w:t>
      </w:r>
      <w:r w:rsidR="00573BA7">
        <w:t xml:space="preserve"> </w:t>
      </w:r>
      <w:r w:rsidRPr="003F4CE1">
        <w:t>DES</w:t>
      </w:r>
      <w:r w:rsidR="00573BA7">
        <w:t xml:space="preserve"> </w:t>
      </w:r>
      <w:r w:rsidRPr="003F4CE1">
        <w:t>Eligible</w:t>
      </w:r>
      <w:r w:rsidR="00573BA7">
        <w:t xml:space="preserve"> </w:t>
      </w:r>
      <w:r w:rsidRPr="003F4CE1">
        <w:t>School</w:t>
      </w:r>
      <w:r w:rsidR="00573BA7">
        <w:t xml:space="preserve"> </w:t>
      </w:r>
      <w:r w:rsidRPr="003F4CE1">
        <w:t>Leavers</w:t>
      </w:r>
      <w:r w:rsidR="00573BA7">
        <w:t xml:space="preserve"> </w:t>
      </w:r>
      <w:r w:rsidRPr="003F4CE1">
        <w:t>program</w:t>
      </w:r>
      <w:r w:rsidR="00573BA7">
        <w:t xml:space="preserve"> </w:t>
      </w:r>
      <w:r w:rsidRPr="003F4CE1">
        <w:t>(</w:t>
      </w:r>
      <w:r w:rsidRPr="009B136D">
        <w:t>DES-ESL</w:t>
      </w:r>
      <w:r w:rsidRPr="003F4CE1">
        <w:t>)</w:t>
      </w:r>
      <w:r w:rsidR="00573BA7">
        <w:t xml:space="preserve"> </w:t>
      </w:r>
      <w:r w:rsidRPr="003F4CE1">
        <w:t>aims</w:t>
      </w:r>
      <w:r w:rsidR="00573BA7">
        <w:t xml:space="preserve"> </w:t>
      </w:r>
      <w:r w:rsidRPr="003F4CE1">
        <w:t>to</w:t>
      </w:r>
      <w:r w:rsidR="00573BA7">
        <w:t xml:space="preserve"> </w:t>
      </w:r>
      <w:r w:rsidRPr="003F4CE1">
        <w:t>assist</w:t>
      </w:r>
      <w:r w:rsidR="00573BA7">
        <w:t xml:space="preserve"> </w:t>
      </w:r>
      <w:r w:rsidRPr="003F4CE1">
        <w:t>students</w:t>
      </w:r>
      <w:r w:rsidR="00573BA7">
        <w:t xml:space="preserve"> </w:t>
      </w:r>
      <w:r w:rsidRPr="003F4CE1">
        <w:t>with</w:t>
      </w:r>
      <w:r w:rsidR="00573BA7">
        <w:t xml:space="preserve"> </w:t>
      </w:r>
      <w:r w:rsidRPr="003F4CE1">
        <w:t>significant</w:t>
      </w:r>
      <w:r w:rsidR="00573BA7">
        <w:t xml:space="preserve"> </w:t>
      </w:r>
      <w:r w:rsidRPr="003F4CE1">
        <w:t>disability</w:t>
      </w:r>
      <w:r w:rsidR="00573BA7">
        <w:t xml:space="preserve"> </w:t>
      </w:r>
      <w:r w:rsidRPr="003F4CE1">
        <w:t>to</w:t>
      </w:r>
      <w:r w:rsidR="00573BA7">
        <w:t xml:space="preserve"> </w:t>
      </w:r>
      <w:r w:rsidRPr="003F4CE1">
        <w:t>transition</w:t>
      </w:r>
      <w:r w:rsidR="00573BA7">
        <w:t xml:space="preserve"> </w:t>
      </w:r>
      <w:r w:rsidRPr="003F4CE1">
        <w:t>from</w:t>
      </w:r>
      <w:r w:rsidR="00573BA7">
        <w:t xml:space="preserve"> </w:t>
      </w:r>
      <w:r w:rsidRPr="003F4CE1">
        <w:t>school</w:t>
      </w:r>
      <w:r w:rsidR="00573BA7">
        <w:t xml:space="preserve"> </w:t>
      </w:r>
      <w:r w:rsidRPr="003F4CE1">
        <w:t>to</w:t>
      </w:r>
      <w:r w:rsidR="00573BA7">
        <w:t xml:space="preserve"> </w:t>
      </w:r>
      <w:r w:rsidRPr="003F4CE1">
        <w:t>post-school</w:t>
      </w:r>
      <w:r w:rsidR="00573BA7">
        <w:t xml:space="preserve"> </w:t>
      </w:r>
      <w:r w:rsidRPr="003F4CE1">
        <w:t>open</w:t>
      </w:r>
      <w:r w:rsidR="00573BA7">
        <w:t xml:space="preserve"> </w:t>
      </w:r>
      <w:r w:rsidRPr="003F4CE1">
        <w:t>employment.</w:t>
      </w:r>
      <w:r w:rsidR="00AC12CB" w:rsidRPr="007B537E">
        <w:rPr>
          <w:sz w:val="20"/>
          <w:szCs w:val="20"/>
          <w:vertAlign w:val="superscript"/>
        </w:rPr>
        <w:endnoteReference w:id="272"/>
      </w:r>
      <w:r w:rsidR="00573BA7">
        <w:t xml:space="preserve"> </w:t>
      </w:r>
      <w:r w:rsidRPr="003F4CE1">
        <w:t>DES-ESL</w:t>
      </w:r>
      <w:r w:rsidR="00573BA7">
        <w:t xml:space="preserve"> </w:t>
      </w:r>
      <w:r w:rsidRPr="003F4CE1">
        <w:t>is</w:t>
      </w:r>
      <w:r w:rsidR="00573BA7">
        <w:t xml:space="preserve"> </w:t>
      </w:r>
      <w:r w:rsidRPr="003F4CE1">
        <w:t>available</w:t>
      </w:r>
      <w:r w:rsidR="00573BA7">
        <w:t xml:space="preserve"> </w:t>
      </w:r>
      <w:r w:rsidRPr="003F4CE1">
        <w:t>in</w:t>
      </w:r>
      <w:r w:rsidR="00573BA7">
        <w:t xml:space="preserve"> </w:t>
      </w:r>
      <w:r w:rsidRPr="003F4CE1">
        <w:t>limited</w:t>
      </w:r>
      <w:r w:rsidR="00573BA7">
        <w:t xml:space="preserve"> </w:t>
      </w:r>
      <w:r w:rsidRPr="003F4CE1">
        <w:t>circumstances</w:t>
      </w:r>
      <w:r w:rsidR="00573BA7">
        <w:t xml:space="preserve"> </w:t>
      </w:r>
      <w:r w:rsidRPr="003F4CE1">
        <w:t>to</w:t>
      </w:r>
      <w:r w:rsidR="00573BA7">
        <w:t xml:space="preserve"> </w:t>
      </w:r>
      <w:r w:rsidRPr="003F4CE1">
        <w:t>certain</w:t>
      </w:r>
      <w:r w:rsidR="00573BA7">
        <w:t xml:space="preserve"> </w:t>
      </w:r>
      <w:r w:rsidRPr="003F4CE1">
        <w:t>students</w:t>
      </w:r>
      <w:r w:rsidR="00573BA7">
        <w:t xml:space="preserve"> </w:t>
      </w:r>
      <w:r w:rsidRPr="003F4CE1">
        <w:t>with</w:t>
      </w:r>
      <w:r w:rsidR="00573BA7">
        <w:t xml:space="preserve"> </w:t>
      </w:r>
      <w:r w:rsidRPr="003F4CE1">
        <w:t>a</w:t>
      </w:r>
      <w:r w:rsidR="00573BA7">
        <w:t xml:space="preserve"> </w:t>
      </w:r>
      <w:r w:rsidRPr="003F4CE1">
        <w:t>‘significant</w:t>
      </w:r>
      <w:r w:rsidR="00573BA7">
        <w:t xml:space="preserve"> </w:t>
      </w:r>
      <w:r w:rsidRPr="003F4CE1">
        <w:t>disability’</w:t>
      </w:r>
      <w:r w:rsidR="00573BA7">
        <w:t xml:space="preserve"> </w:t>
      </w:r>
      <w:r w:rsidRPr="003F4CE1">
        <w:t>who</w:t>
      </w:r>
      <w:r w:rsidR="00573BA7">
        <w:t xml:space="preserve"> </w:t>
      </w:r>
      <w:r w:rsidRPr="003F4CE1">
        <w:t>meet</w:t>
      </w:r>
      <w:r w:rsidR="00573BA7">
        <w:t xml:space="preserve"> </w:t>
      </w:r>
      <w:r w:rsidRPr="003F4CE1">
        <w:t>the</w:t>
      </w:r>
      <w:r w:rsidR="00573BA7">
        <w:t xml:space="preserve"> </w:t>
      </w:r>
      <w:r w:rsidRPr="003F4CE1">
        <w:t>criteria</w:t>
      </w:r>
      <w:r w:rsidR="00573BA7">
        <w:t xml:space="preserve"> </w:t>
      </w:r>
      <w:r w:rsidRPr="003F4CE1">
        <w:t>set</w:t>
      </w:r>
      <w:r w:rsidR="00573BA7">
        <w:t xml:space="preserve"> </w:t>
      </w:r>
      <w:r w:rsidRPr="003F4CE1">
        <w:t>out</w:t>
      </w:r>
      <w:r w:rsidR="00573BA7">
        <w:t xml:space="preserve"> </w:t>
      </w:r>
      <w:r w:rsidRPr="003F4CE1">
        <w:t>in</w:t>
      </w:r>
      <w:r w:rsidR="00573BA7">
        <w:t xml:space="preserve"> </w:t>
      </w:r>
      <w:r w:rsidRPr="003F4CE1">
        <w:t>the</w:t>
      </w:r>
      <w:r w:rsidR="00573BA7">
        <w:t xml:space="preserve"> </w:t>
      </w:r>
      <w:r w:rsidRPr="003F4CE1">
        <w:t>DES</w:t>
      </w:r>
      <w:r w:rsidR="00573BA7">
        <w:t xml:space="preserve"> </w:t>
      </w:r>
      <w:r w:rsidRPr="003F4CE1">
        <w:t>Eligible</w:t>
      </w:r>
      <w:r w:rsidR="00573BA7">
        <w:t xml:space="preserve"> </w:t>
      </w:r>
      <w:r w:rsidRPr="003F4CE1">
        <w:t>School</w:t>
      </w:r>
      <w:r w:rsidR="00573BA7">
        <w:t xml:space="preserve"> </w:t>
      </w:r>
      <w:r w:rsidRPr="003F4CE1">
        <w:t>Leaver</w:t>
      </w:r>
      <w:r w:rsidR="00573BA7">
        <w:t xml:space="preserve"> </w:t>
      </w:r>
      <w:r w:rsidRPr="003F4CE1">
        <w:t>Guidelines.</w:t>
      </w:r>
      <w:r w:rsidR="00BA4035" w:rsidRPr="007B537E">
        <w:rPr>
          <w:sz w:val="20"/>
          <w:szCs w:val="20"/>
          <w:vertAlign w:val="superscript"/>
        </w:rPr>
        <w:endnoteReference w:id="273"/>
      </w:r>
      <w:r w:rsidR="00573BA7">
        <w:t xml:space="preserve"> </w:t>
      </w:r>
    </w:p>
    <w:p w14:paraId="51D96690" w14:textId="0C143538" w:rsidR="005E4510" w:rsidRPr="003F4CE1" w:rsidRDefault="005E4510" w:rsidP="00196C39">
      <w:pPr>
        <w:pStyle w:val="ListNumber"/>
      </w:pPr>
      <w:r w:rsidRPr="003F4CE1">
        <w:t>As</w:t>
      </w:r>
      <w:r w:rsidR="00573BA7">
        <w:t xml:space="preserve"> </w:t>
      </w:r>
      <w:r w:rsidR="00D23CF3">
        <w:t>identified</w:t>
      </w:r>
      <w:r w:rsidR="00573BA7">
        <w:t xml:space="preserve"> </w:t>
      </w:r>
      <w:r w:rsidR="00486AA9">
        <w:t>by</w:t>
      </w:r>
      <w:r w:rsidR="00573BA7">
        <w:t xml:space="preserve"> </w:t>
      </w:r>
      <w:r w:rsidR="00486AA9">
        <w:t>the</w:t>
      </w:r>
      <w:r w:rsidR="00573BA7">
        <w:t xml:space="preserve"> </w:t>
      </w:r>
      <w:r w:rsidR="00486AA9">
        <w:t>Commission</w:t>
      </w:r>
      <w:r w:rsidR="00573BA7">
        <w:t xml:space="preserve"> </w:t>
      </w:r>
      <w:r w:rsidRPr="003F4CE1">
        <w:t>in</w:t>
      </w:r>
      <w:r w:rsidR="00573BA7">
        <w:t xml:space="preserve"> </w:t>
      </w:r>
      <w:r w:rsidR="00245F33">
        <w:t>Willing to Work</w:t>
      </w:r>
      <w:r w:rsidRPr="003F4CE1">
        <w:t>,</w:t>
      </w:r>
      <w:r w:rsidR="00573BA7">
        <w:t xml:space="preserve"> </w:t>
      </w:r>
      <w:r w:rsidRPr="003F4CE1">
        <w:t>stakeholders</w:t>
      </w:r>
      <w:r w:rsidR="00573BA7">
        <w:t xml:space="preserve"> </w:t>
      </w:r>
      <w:r w:rsidRPr="003F4CE1">
        <w:t>have</w:t>
      </w:r>
      <w:r w:rsidR="00573BA7">
        <w:t xml:space="preserve"> </w:t>
      </w:r>
      <w:r w:rsidRPr="003F4CE1">
        <w:t>raised</w:t>
      </w:r>
      <w:r w:rsidR="00573BA7">
        <w:t xml:space="preserve"> </w:t>
      </w:r>
      <w:r w:rsidRPr="003F4CE1">
        <w:t>concerns</w:t>
      </w:r>
      <w:r w:rsidR="00573BA7">
        <w:t xml:space="preserve"> </w:t>
      </w:r>
      <w:r w:rsidRPr="003F4CE1">
        <w:t>that</w:t>
      </w:r>
      <w:r w:rsidR="00573BA7">
        <w:t xml:space="preserve"> </w:t>
      </w:r>
      <w:r w:rsidRPr="003F4CE1">
        <w:t>the</w:t>
      </w:r>
      <w:r w:rsidR="00573BA7">
        <w:t xml:space="preserve"> </w:t>
      </w:r>
      <w:r w:rsidRPr="003F4CE1">
        <w:t>DES-ESL</w:t>
      </w:r>
      <w:r w:rsidR="00573BA7">
        <w:t xml:space="preserve"> </w:t>
      </w:r>
      <w:r w:rsidRPr="003F4CE1">
        <w:t>program</w:t>
      </w:r>
      <w:r w:rsidR="00573BA7">
        <w:t xml:space="preserve"> </w:t>
      </w:r>
      <w:r w:rsidRPr="003F4CE1">
        <w:t>excludes</w:t>
      </w:r>
      <w:r w:rsidR="00573BA7">
        <w:t xml:space="preserve"> </w:t>
      </w:r>
      <w:r w:rsidRPr="003F4CE1">
        <w:t>students</w:t>
      </w:r>
      <w:r w:rsidR="00573BA7">
        <w:t xml:space="preserve"> </w:t>
      </w:r>
      <w:r w:rsidRPr="003F4CE1">
        <w:t>who</w:t>
      </w:r>
      <w:r w:rsidR="00573BA7">
        <w:t xml:space="preserve"> </w:t>
      </w:r>
      <w:r w:rsidRPr="003F4CE1">
        <w:t>do</w:t>
      </w:r>
      <w:r w:rsidR="00573BA7">
        <w:t xml:space="preserve"> </w:t>
      </w:r>
      <w:r w:rsidRPr="003F4CE1">
        <w:t>not</w:t>
      </w:r>
      <w:r w:rsidR="00573BA7">
        <w:t xml:space="preserve"> </w:t>
      </w:r>
      <w:r w:rsidRPr="003F4CE1">
        <w:t>meet</w:t>
      </w:r>
      <w:r w:rsidR="00573BA7">
        <w:t xml:space="preserve"> </w:t>
      </w:r>
      <w:r w:rsidRPr="003F4CE1">
        <w:t>the</w:t>
      </w:r>
      <w:r w:rsidR="00573BA7">
        <w:t xml:space="preserve"> </w:t>
      </w:r>
      <w:r w:rsidRPr="003F4CE1">
        <w:t>definition</w:t>
      </w:r>
      <w:r w:rsidR="00573BA7">
        <w:t xml:space="preserve"> </w:t>
      </w:r>
      <w:r w:rsidR="00E2023A">
        <w:t>of</w:t>
      </w:r>
      <w:r w:rsidR="00573BA7">
        <w:t xml:space="preserve"> </w:t>
      </w:r>
      <w:r w:rsidRPr="003F4CE1">
        <w:t>‘significant</w:t>
      </w:r>
      <w:r w:rsidR="00573BA7">
        <w:t xml:space="preserve"> </w:t>
      </w:r>
      <w:r w:rsidRPr="003F4CE1">
        <w:t>disability’.</w:t>
      </w:r>
      <w:r w:rsidR="00573BA7">
        <w:t xml:space="preserve"> </w:t>
      </w:r>
      <w:r w:rsidRPr="003F4CE1">
        <w:t>The</w:t>
      </w:r>
      <w:r w:rsidR="00573BA7">
        <w:t xml:space="preserve"> </w:t>
      </w:r>
      <w:r w:rsidR="00BA100F">
        <w:t>Commission</w:t>
      </w:r>
      <w:r w:rsidR="00573BA7">
        <w:t xml:space="preserve"> </w:t>
      </w:r>
      <w:r w:rsidR="003B25A3">
        <w:t>is aware</w:t>
      </w:r>
      <w:r w:rsidR="00573BA7">
        <w:t xml:space="preserve"> </w:t>
      </w:r>
      <w:r w:rsidRPr="003F4CE1">
        <w:t>that</w:t>
      </w:r>
      <w:r w:rsidR="00573BA7">
        <w:t xml:space="preserve"> </w:t>
      </w:r>
      <w:r w:rsidRPr="003F4CE1">
        <w:t>a</w:t>
      </w:r>
      <w:r w:rsidR="00573BA7">
        <w:t xml:space="preserve"> </w:t>
      </w:r>
      <w:r w:rsidRPr="003F4CE1">
        <w:t>change</w:t>
      </w:r>
      <w:r w:rsidR="00573BA7">
        <w:t xml:space="preserve"> </w:t>
      </w:r>
      <w:r w:rsidRPr="003F4CE1">
        <w:t>in</w:t>
      </w:r>
      <w:r w:rsidR="00573BA7">
        <w:t xml:space="preserve"> </w:t>
      </w:r>
      <w:r w:rsidRPr="003F4CE1">
        <w:t>DES</w:t>
      </w:r>
      <w:r w:rsidR="00573BA7">
        <w:t xml:space="preserve"> </w:t>
      </w:r>
      <w:r w:rsidRPr="003F4CE1">
        <w:t>contracts</w:t>
      </w:r>
      <w:r w:rsidR="00573BA7">
        <w:t xml:space="preserve"> </w:t>
      </w:r>
      <w:r w:rsidRPr="003F4CE1">
        <w:t>has</w:t>
      </w:r>
      <w:r w:rsidR="00573BA7">
        <w:t xml:space="preserve"> </w:t>
      </w:r>
      <w:r w:rsidRPr="003F4CE1">
        <w:t>limited</w:t>
      </w:r>
      <w:r w:rsidR="00573BA7">
        <w:t xml:space="preserve"> </w:t>
      </w:r>
      <w:r w:rsidR="00B5557B">
        <w:t>the</w:t>
      </w:r>
      <w:r w:rsidR="00573BA7">
        <w:t xml:space="preserve"> </w:t>
      </w:r>
      <w:r w:rsidR="00B5557B">
        <w:t>ability</w:t>
      </w:r>
      <w:r w:rsidR="00573BA7">
        <w:t xml:space="preserve"> </w:t>
      </w:r>
      <w:r w:rsidR="00B5557B">
        <w:t>of</w:t>
      </w:r>
      <w:r w:rsidR="00573BA7">
        <w:t xml:space="preserve"> </w:t>
      </w:r>
      <w:r w:rsidRPr="003F4CE1">
        <w:t>DES</w:t>
      </w:r>
      <w:r w:rsidR="00573BA7">
        <w:t xml:space="preserve"> </w:t>
      </w:r>
      <w:r w:rsidRPr="003F4CE1">
        <w:t>to</w:t>
      </w:r>
      <w:r w:rsidR="00573BA7">
        <w:t xml:space="preserve"> </w:t>
      </w:r>
      <w:r w:rsidRPr="003F4CE1">
        <w:t>offer</w:t>
      </w:r>
      <w:r w:rsidR="00573BA7">
        <w:t xml:space="preserve"> </w:t>
      </w:r>
      <w:r w:rsidRPr="003F4CE1">
        <w:t>effective</w:t>
      </w:r>
      <w:r w:rsidR="00573BA7">
        <w:t xml:space="preserve"> </w:t>
      </w:r>
      <w:r w:rsidRPr="003F4CE1">
        <w:t>school</w:t>
      </w:r>
      <w:r w:rsidR="00573BA7">
        <w:t xml:space="preserve"> </w:t>
      </w:r>
      <w:r w:rsidRPr="003F4CE1">
        <w:t>to</w:t>
      </w:r>
      <w:r w:rsidR="00573BA7">
        <w:t xml:space="preserve"> </w:t>
      </w:r>
      <w:r w:rsidRPr="003F4CE1">
        <w:t>work</w:t>
      </w:r>
      <w:r w:rsidR="00573BA7">
        <w:t xml:space="preserve"> </w:t>
      </w:r>
      <w:r w:rsidRPr="003F4CE1">
        <w:t>transitions</w:t>
      </w:r>
      <w:r w:rsidR="00573BA7">
        <w:t xml:space="preserve"> </w:t>
      </w:r>
      <w:r w:rsidRPr="003F4CE1">
        <w:t>and</w:t>
      </w:r>
      <w:r w:rsidR="00573BA7">
        <w:t xml:space="preserve"> </w:t>
      </w:r>
      <w:r w:rsidRPr="003F4CE1">
        <w:t>young</w:t>
      </w:r>
      <w:r w:rsidR="00573BA7">
        <w:t xml:space="preserve"> </w:t>
      </w:r>
      <w:r w:rsidRPr="003F4CE1">
        <w:t>people</w:t>
      </w:r>
      <w:r w:rsidR="00573BA7">
        <w:t xml:space="preserve"> </w:t>
      </w:r>
      <w:r w:rsidRPr="003F4CE1">
        <w:t>can</w:t>
      </w:r>
      <w:r w:rsidR="00573BA7">
        <w:t xml:space="preserve"> </w:t>
      </w:r>
      <w:r w:rsidRPr="003F4CE1">
        <w:t>‘fall</w:t>
      </w:r>
      <w:r w:rsidR="00573BA7">
        <w:t xml:space="preserve"> </w:t>
      </w:r>
      <w:r w:rsidRPr="003F4CE1">
        <w:t>through</w:t>
      </w:r>
      <w:r w:rsidR="00573BA7">
        <w:t xml:space="preserve"> </w:t>
      </w:r>
      <w:r w:rsidRPr="003F4CE1">
        <w:t>the</w:t>
      </w:r>
      <w:r w:rsidR="00573BA7">
        <w:t xml:space="preserve"> </w:t>
      </w:r>
      <w:r w:rsidRPr="003F4CE1">
        <w:t>cracks’.</w:t>
      </w:r>
      <w:r w:rsidR="00D37FD6" w:rsidRPr="007B537E">
        <w:rPr>
          <w:sz w:val="20"/>
          <w:szCs w:val="20"/>
          <w:vertAlign w:val="superscript"/>
        </w:rPr>
        <w:endnoteReference w:id="274"/>
      </w:r>
    </w:p>
    <w:p w14:paraId="72D33FB9" w14:textId="1221C57D" w:rsidR="005E4510" w:rsidRPr="003F4CE1" w:rsidRDefault="005E4510" w:rsidP="00196C39">
      <w:pPr>
        <w:pStyle w:val="ListNumber"/>
      </w:pPr>
      <w:r w:rsidRPr="003F4CE1">
        <w:t>The</w:t>
      </w:r>
      <w:r w:rsidR="00573BA7">
        <w:t xml:space="preserve"> </w:t>
      </w:r>
      <w:r w:rsidRPr="003F4CE1">
        <w:t>DES-ESL</w:t>
      </w:r>
      <w:r w:rsidR="00573BA7">
        <w:t xml:space="preserve"> </w:t>
      </w:r>
      <w:r w:rsidRPr="003F4CE1">
        <w:t>program</w:t>
      </w:r>
      <w:r w:rsidR="00573BA7">
        <w:t xml:space="preserve"> </w:t>
      </w:r>
      <w:r w:rsidRPr="003F4CE1">
        <w:t>also</w:t>
      </w:r>
      <w:r w:rsidR="00573BA7">
        <w:t xml:space="preserve"> </w:t>
      </w:r>
      <w:r w:rsidRPr="003F4CE1">
        <w:t>excludes</w:t>
      </w:r>
      <w:r w:rsidR="00573BA7">
        <w:t xml:space="preserve"> </w:t>
      </w:r>
      <w:r w:rsidRPr="003F4CE1">
        <w:t>students</w:t>
      </w:r>
      <w:r w:rsidR="00573BA7">
        <w:t xml:space="preserve"> </w:t>
      </w:r>
      <w:r w:rsidRPr="003F4CE1">
        <w:t>who</w:t>
      </w:r>
      <w:r w:rsidR="00573BA7">
        <w:t xml:space="preserve"> </w:t>
      </w:r>
      <w:r w:rsidRPr="003F4CE1">
        <w:t>work</w:t>
      </w:r>
      <w:r w:rsidR="00573BA7">
        <w:t xml:space="preserve"> </w:t>
      </w:r>
      <w:r w:rsidRPr="003F4CE1">
        <w:t>more</w:t>
      </w:r>
      <w:r w:rsidR="00573BA7">
        <w:t xml:space="preserve"> </w:t>
      </w:r>
      <w:r w:rsidRPr="003F4CE1">
        <w:t>than</w:t>
      </w:r>
      <w:r w:rsidR="00573BA7">
        <w:t xml:space="preserve"> </w:t>
      </w:r>
      <w:r w:rsidR="00614596">
        <w:t>eight</w:t>
      </w:r>
      <w:r w:rsidR="00573BA7">
        <w:t xml:space="preserve"> </w:t>
      </w:r>
      <w:r w:rsidRPr="003F4CE1">
        <w:t>hours</w:t>
      </w:r>
      <w:r w:rsidR="00573BA7">
        <w:t xml:space="preserve"> </w:t>
      </w:r>
      <w:r w:rsidRPr="003F4CE1">
        <w:t>per</w:t>
      </w:r>
      <w:r w:rsidR="00573BA7">
        <w:t xml:space="preserve"> </w:t>
      </w:r>
      <w:r w:rsidRPr="003F4CE1">
        <w:t>week</w:t>
      </w:r>
      <w:r w:rsidR="00573BA7">
        <w:t xml:space="preserve"> </w:t>
      </w:r>
      <w:r w:rsidRPr="003F4CE1">
        <w:t>while</w:t>
      </w:r>
      <w:r w:rsidR="00573BA7">
        <w:t xml:space="preserve"> </w:t>
      </w:r>
      <w:r w:rsidRPr="003F4CE1">
        <w:t>they</w:t>
      </w:r>
      <w:r w:rsidR="00573BA7">
        <w:t xml:space="preserve"> </w:t>
      </w:r>
      <w:r w:rsidRPr="003F4CE1">
        <w:t>are</w:t>
      </w:r>
      <w:r w:rsidR="00573BA7">
        <w:t xml:space="preserve"> </w:t>
      </w:r>
      <w:r w:rsidRPr="003F4CE1">
        <w:t>still</w:t>
      </w:r>
      <w:r w:rsidR="00573BA7">
        <w:t xml:space="preserve"> </w:t>
      </w:r>
      <w:r w:rsidRPr="003F4CE1">
        <w:t>at</w:t>
      </w:r>
      <w:r w:rsidR="00573BA7">
        <w:t xml:space="preserve"> </w:t>
      </w:r>
      <w:r w:rsidRPr="003F4CE1">
        <w:t>school.</w:t>
      </w:r>
      <w:r w:rsidR="00FD7798" w:rsidRPr="007B537E">
        <w:rPr>
          <w:sz w:val="20"/>
          <w:szCs w:val="20"/>
          <w:vertAlign w:val="superscript"/>
        </w:rPr>
        <w:endnoteReference w:id="275"/>
      </w:r>
      <w:r w:rsidR="00573BA7">
        <w:t xml:space="preserve"> </w:t>
      </w:r>
      <w:r w:rsidRPr="003F4CE1">
        <w:t>This</w:t>
      </w:r>
      <w:r w:rsidR="00573BA7">
        <w:t xml:space="preserve"> </w:t>
      </w:r>
      <w:r w:rsidRPr="003F4CE1">
        <w:t>effectively</w:t>
      </w:r>
      <w:r w:rsidR="00573BA7">
        <w:t xml:space="preserve"> </w:t>
      </w:r>
      <w:r w:rsidRPr="003F4CE1">
        <w:t>requires</w:t>
      </w:r>
      <w:r w:rsidR="00573BA7">
        <w:t xml:space="preserve"> </w:t>
      </w:r>
      <w:r w:rsidRPr="003F4CE1">
        <w:t>students</w:t>
      </w:r>
      <w:r w:rsidR="00573BA7">
        <w:t xml:space="preserve"> </w:t>
      </w:r>
      <w:r w:rsidRPr="003F4CE1">
        <w:t>to</w:t>
      </w:r>
      <w:r w:rsidR="00573BA7">
        <w:t xml:space="preserve"> </w:t>
      </w:r>
      <w:r w:rsidRPr="003F4CE1">
        <w:t>choose</w:t>
      </w:r>
      <w:r w:rsidR="00573BA7">
        <w:t xml:space="preserve"> </w:t>
      </w:r>
      <w:r w:rsidRPr="003F4CE1">
        <w:t>between</w:t>
      </w:r>
      <w:r w:rsidR="00573BA7">
        <w:t xml:space="preserve"> </w:t>
      </w:r>
      <w:r w:rsidRPr="003F4CE1">
        <w:t>developing</w:t>
      </w:r>
      <w:r w:rsidR="00573BA7">
        <w:t xml:space="preserve"> </w:t>
      </w:r>
      <w:r w:rsidRPr="003F4CE1">
        <w:t>valuable</w:t>
      </w:r>
      <w:r w:rsidR="00573BA7">
        <w:t xml:space="preserve"> </w:t>
      </w:r>
      <w:r w:rsidRPr="003F4CE1">
        <w:t>skills</w:t>
      </w:r>
      <w:r w:rsidR="00573BA7">
        <w:t xml:space="preserve"> </w:t>
      </w:r>
      <w:r w:rsidRPr="003F4CE1">
        <w:t>through</w:t>
      </w:r>
      <w:r w:rsidR="00573BA7">
        <w:t xml:space="preserve"> </w:t>
      </w:r>
      <w:r w:rsidRPr="003F4CE1">
        <w:t>part-time</w:t>
      </w:r>
      <w:r w:rsidR="00573BA7">
        <w:t xml:space="preserve"> </w:t>
      </w:r>
      <w:r w:rsidRPr="003F4CE1">
        <w:t>work,</w:t>
      </w:r>
      <w:r w:rsidR="00573BA7">
        <w:t xml:space="preserve"> </w:t>
      </w:r>
      <w:r w:rsidRPr="003F4CE1">
        <w:t>or</w:t>
      </w:r>
      <w:r w:rsidR="00573BA7">
        <w:t xml:space="preserve"> </w:t>
      </w:r>
      <w:r w:rsidRPr="003F4CE1">
        <w:t>accessing</w:t>
      </w:r>
      <w:r w:rsidR="00573BA7">
        <w:t xml:space="preserve"> </w:t>
      </w:r>
      <w:r w:rsidRPr="003F4CE1">
        <w:t>DES-ESL</w:t>
      </w:r>
      <w:r w:rsidR="00573BA7">
        <w:t xml:space="preserve"> </w:t>
      </w:r>
      <w:r w:rsidRPr="003F4CE1">
        <w:t>support</w:t>
      </w:r>
      <w:r w:rsidR="00573BA7">
        <w:t xml:space="preserve"> </w:t>
      </w:r>
      <w:r w:rsidRPr="003F4CE1">
        <w:t>in</w:t>
      </w:r>
      <w:r w:rsidR="00573BA7">
        <w:t xml:space="preserve"> </w:t>
      </w:r>
      <w:r w:rsidRPr="003F4CE1">
        <w:t>finding</w:t>
      </w:r>
      <w:r w:rsidR="00573BA7">
        <w:t xml:space="preserve"> </w:t>
      </w:r>
      <w:r w:rsidRPr="003F4CE1">
        <w:t>post-secondary</w:t>
      </w:r>
      <w:r w:rsidR="00573BA7">
        <w:t xml:space="preserve"> </w:t>
      </w:r>
      <w:r w:rsidRPr="003F4CE1">
        <w:t>work.</w:t>
      </w:r>
      <w:r w:rsidR="00573BA7">
        <w:t xml:space="preserve"> </w:t>
      </w:r>
      <w:r w:rsidRPr="003F4CE1">
        <w:t>There</w:t>
      </w:r>
      <w:r w:rsidR="00573BA7">
        <w:t xml:space="preserve"> </w:t>
      </w:r>
      <w:r w:rsidRPr="003F4CE1">
        <w:t>is</w:t>
      </w:r>
      <w:r w:rsidR="00573BA7">
        <w:t xml:space="preserve"> </w:t>
      </w:r>
      <w:r w:rsidRPr="003F4CE1">
        <w:t>evidence</w:t>
      </w:r>
      <w:r w:rsidR="00573BA7">
        <w:t xml:space="preserve"> </w:t>
      </w:r>
      <w:r w:rsidRPr="003F4CE1">
        <w:t>that</w:t>
      </w:r>
      <w:r w:rsidR="00573BA7">
        <w:t xml:space="preserve"> </w:t>
      </w:r>
      <w:r w:rsidRPr="003F4CE1">
        <w:t>paid</w:t>
      </w:r>
      <w:r w:rsidR="00573BA7">
        <w:t xml:space="preserve"> </w:t>
      </w:r>
      <w:r w:rsidRPr="003F4CE1">
        <w:t>employment</w:t>
      </w:r>
      <w:r w:rsidR="00573BA7">
        <w:t xml:space="preserve"> </w:t>
      </w:r>
      <w:r w:rsidRPr="003F4CE1">
        <w:t>or</w:t>
      </w:r>
      <w:r w:rsidR="00573BA7">
        <w:t xml:space="preserve"> </w:t>
      </w:r>
      <w:r w:rsidRPr="003F4CE1">
        <w:t>work</w:t>
      </w:r>
      <w:r w:rsidR="00573BA7">
        <w:t xml:space="preserve"> </w:t>
      </w:r>
      <w:r w:rsidRPr="003F4CE1">
        <w:t>experience</w:t>
      </w:r>
      <w:r w:rsidR="00573BA7">
        <w:t xml:space="preserve"> </w:t>
      </w:r>
      <w:r w:rsidRPr="003F4CE1">
        <w:t>in</w:t>
      </w:r>
      <w:r w:rsidR="00573BA7">
        <w:t xml:space="preserve"> </w:t>
      </w:r>
      <w:r w:rsidRPr="003F4CE1">
        <w:t>school</w:t>
      </w:r>
      <w:r w:rsidR="00573BA7">
        <w:t xml:space="preserve"> </w:t>
      </w:r>
      <w:r w:rsidRPr="003F4CE1">
        <w:t>may</w:t>
      </w:r>
      <w:r w:rsidR="00573BA7">
        <w:t xml:space="preserve"> </w:t>
      </w:r>
      <w:r w:rsidRPr="003F4CE1">
        <w:t>improve</w:t>
      </w:r>
      <w:r w:rsidR="00573BA7">
        <w:t xml:space="preserve"> </w:t>
      </w:r>
      <w:r w:rsidRPr="003F4CE1">
        <w:t>post-school</w:t>
      </w:r>
      <w:r w:rsidR="00573BA7">
        <w:t xml:space="preserve"> </w:t>
      </w:r>
      <w:r w:rsidRPr="003F4CE1">
        <w:t>employment</w:t>
      </w:r>
      <w:r w:rsidR="00573BA7">
        <w:t xml:space="preserve"> </w:t>
      </w:r>
      <w:r w:rsidRPr="003F4CE1">
        <w:t>outcomes</w:t>
      </w:r>
      <w:r w:rsidR="00573BA7">
        <w:t xml:space="preserve"> </w:t>
      </w:r>
      <w:r w:rsidRPr="003F4CE1">
        <w:t>for</w:t>
      </w:r>
      <w:r w:rsidR="00573BA7">
        <w:t xml:space="preserve"> </w:t>
      </w:r>
      <w:r w:rsidRPr="003F4CE1">
        <w:t>young</w:t>
      </w:r>
      <w:r w:rsidR="00573BA7">
        <w:t xml:space="preserve"> </w:t>
      </w:r>
      <w:r w:rsidRPr="003F4CE1">
        <w:t>people</w:t>
      </w:r>
      <w:r w:rsidR="00573BA7">
        <w:t xml:space="preserve"> </w:t>
      </w:r>
      <w:r w:rsidRPr="003F4CE1">
        <w:t>with</w:t>
      </w:r>
      <w:r w:rsidR="00573BA7">
        <w:t xml:space="preserve"> </w:t>
      </w:r>
      <w:r w:rsidRPr="003F4CE1">
        <w:t>disability.</w:t>
      </w:r>
      <w:r w:rsidR="003A6D92" w:rsidRPr="007B537E">
        <w:rPr>
          <w:sz w:val="20"/>
          <w:szCs w:val="20"/>
          <w:vertAlign w:val="superscript"/>
        </w:rPr>
        <w:endnoteReference w:id="276"/>
      </w:r>
      <w:r w:rsidR="00573BA7">
        <w:t xml:space="preserve"> </w:t>
      </w:r>
      <w:r w:rsidRPr="003F4CE1">
        <w:t>Accordingly,</w:t>
      </w:r>
      <w:r w:rsidR="00573BA7">
        <w:t xml:space="preserve"> </w:t>
      </w:r>
      <w:r w:rsidRPr="003F4CE1">
        <w:t>measures</w:t>
      </w:r>
      <w:r w:rsidR="00573BA7">
        <w:t xml:space="preserve"> </w:t>
      </w:r>
      <w:r w:rsidRPr="003F4CE1">
        <w:t>to</w:t>
      </w:r>
      <w:r w:rsidR="00573BA7">
        <w:t xml:space="preserve"> </w:t>
      </w:r>
      <w:r w:rsidRPr="003F4CE1">
        <w:t>ensure</w:t>
      </w:r>
      <w:r w:rsidR="00573BA7">
        <w:t xml:space="preserve"> </w:t>
      </w:r>
      <w:r w:rsidRPr="003F4CE1">
        <w:t>that</w:t>
      </w:r>
      <w:r w:rsidR="00573BA7">
        <w:t xml:space="preserve"> </w:t>
      </w:r>
      <w:r w:rsidRPr="003F4CE1">
        <w:t>school</w:t>
      </w:r>
      <w:r w:rsidR="00573BA7">
        <w:t xml:space="preserve"> </w:t>
      </w:r>
      <w:r w:rsidRPr="003F4CE1">
        <w:t>students</w:t>
      </w:r>
      <w:r w:rsidR="00573BA7">
        <w:t xml:space="preserve"> </w:t>
      </w:r>
      <w:r w:rsidRPr="003F4CE1">
        <w:t>with</w:t>
      </w:r>
      <w:r w:rsidR="00573BA7">
        <w:t xml:space="preserve"> </w:t>
      </w:r>
      <w:r w:rsidRPr="003F4CE1">
        <w:t>disability</w:t>
      </w:r>
      <w:r w:rsidR="00573BA7">
        <w:t xml:space="preserve"> </w:t>
      </w:r>
      <w:r w:rsidRPr="003F4CE1">
        <w:t>are</w:t>
      </w:r>
      <w:r w:rsidR="00573BA7">
        <w:t xml:space="preserve"> </w:t>
      </w:r>
      <w:r w:rsidRPr="003F4CE1">
        <w:t>afforded</w:t>
      </w:r>
      <w:r w:rsidR="00573BA7">
        <w:t xml:space="preserve"> </w:t>
      </w:r>
      <w:r w:rsidRPr="003F4CE1">
        <w:t>opportunities</w:t>
      </w:r>
      <w:r w:rsidR="00573BA7">
        <w:t xml:space="preserve"> </w:t>
      </w:r>
      <w:r w:rsidRPr="003F4CE1">
        <w:t>to</w:t>
      </w:r>
      <w:r w:rsidR="00573BA7">
        <w:t xml:space="preserve"> </w:t>
      </w:r>
      <w:r w:rsidRPr="003F4CE1">
        <w:t>participate</w:t>
      </w:r>
      <w:r w:rsidR="00573BA7">
        <w:t xml:space="preserve"> </w:t>
      </w:r>
      <w:r w:rsidRPr="003F4CE1">
        <w:t>in</w:t>
      </w:r>
      <w:r w:rsidR="00573BA7">
        <w:t xml:space="preserve"> </w:t>
      </w:r>
      <w:r w:rsidRPr="003F4CE1">
        <w:t>work</w:t>
      </w:r>
      <w:r w:rsidR="00573BA7">
        <w:t xml:space="preserve"> </w:t>
      </w:r>
      <w:r w:rsidRPr="003F4CE1">
        <w:t>experience</w:t>
      </w:r>
      <w:r w:rsidR="00573BA7">
        <w:t xml:space="preserve"> </w:t>
      </w:r>
      <w:r w:rsidRPr="003F4CE1">
        <w:t>and</w:t>
      </w:r>
      <w:r w:rsidR="00573BA7">
        <w:t xml:space="preserve"> </w:t>
      </w:r>
      <w:r w:rsidRPr="003F4CE1">
        <w:t>paid</w:t>
      </w:r>
      <w:r w:rsidR="00573BA7">
        <w:t xml:space="preserve"> </w:t>
      </w:r>
      <w:r w:rsidRPr="003F4CE1">
        <w:t>work</w:t>
      </w:r>
      <w:r w:rsidR="00573BA7">
        <w:t xml:space="preserve"> </w:t>
      </w:r>
      <w:r w:rsidRPr="003F4CE1">
        <w:t>should</w:t>
      </w:r>
      <w:r w:rsidR="00573BA7">
        <w:t xml:space="preserve"> </w:t>
      </w:r>
      <w:r w:rsidRPr="003F4CE1">
        <w:t>be</w:t>
      </w:r>
      <w:r w:rsidR="00573BA7">
        <w:t xml:space="preserve"> </w:t>
      </w:r>
      <w:r w:rsidRPr="003F4CE1">
        <w:t>created.</w:t>
      </w:r>
    </w:p>
    <w:p w14:paraId="208CB30A" w14:textId="44E41C5A" w:rsidR="005E4510" w:rsidRPr="003F4CE1" w:rsidRDefault="005E4510" w:rsidP="00196C39">
      <w:pPr>
        <w:pStyle w:val="ListNumber"/>
      </w:pPr>
      <w:r w:rsidRPr="003F4CE1">
        <w:t>Finally,</w:t>
      </w:r>
      <w:r w:rsidR="00573BA7">
        <w:t xml:space="preserve"> </w:t>
      </w:r>
      <w:r w:rsidRPr="003F4CE1">
        <w:t>the</w:t>
      </w:r>
      <w:r w:rsidR="00573BA7">
        <w:t xml:space="preserve"> </w:t>
      </w:r>
      <w:r w:rsidRPr="003F4CE1">
        <w:t>DES-ESL</w:t>
      </w:r>
      <w:r w:rsidR="00573BA7">
        <w:t xml:space="preserve"> </w:t>
      </w:r>
      <w:r w:rsidRPr="003F4CE1">
        <w:t>program</w:t>
      </w:r>
      <w:r w:rsidR="00573BA7">
        <w:t xml:space="preserve"> </w:t>
      </w:r>
      <w:r w:rsidRPr="003F4CE1">
        <w:t>does</w:t>
      </w:r>
      <w:r w:rsidR="00573BA7">
        <w:t xml:space="preserve"> </w:t>
      </w:r>
      <w:r w:rsidRPr="003F4CE1">
        <w:t>not</w:t>
      </w:r>
      <w:r w:rsidR="00573BA7">
        <w:t xml:space="preserve"> </w:t>
      </w:r>
      <w:r w:rsidRPr="003F4CE1">
        <w:t>support</w:t>
      </w:r>
      <w:r w:rsidR="00573BA7">
        <w:t xml:space="preserve"> </w:t>
      </w:r>
      <w:r w:rsidRPr="003F4CE1">
        <w:t>students</w:t>
      </w:r>
      <w:r w:rsidR="00573BA7">
        <w:t xml:space="preserve"> </w:t>
      </w:r>
      <w:r w:rsidRPr="003F4CE1">
        <w:t>to</w:t>
      </w:r>
      <w:r w:rsidR="00573BA7">
        <w:t xml:space="preserve"> </w:t>
      </w:r>
      <w:r w:rsidRPr="003F4CE1">
        <w:t>find</w:t>
      </w:r>
      <w:r w:rsidR="00573BA7">
        <w:t xml:space="preserve"> </w:t>
      </w:r>
      <w:r w:rsidRPr="003F4CE1">
        <w:t>part-time</w:t>
      </w:r>
      <w:r w:rsidR="00573BA7">
        <w:t xml:space="preserve"> </w:t>
      </w:r>
      <w:r w:rsidRPr="003F4CE1">
        <w:t>or</w:t>
      </w:r>
      <w:r w:rsidR="00573BA7">
        <w:t xml:space="preserve"> </w:t>
      </w:r>
      <w:r w:rsidRPr="003F4CE1">
        <w:t>casual</w:t>
      </w:r>
      <w:r w:rsidR="00573BA7">
        <w:t xml:space="preserve"> </w:t>
      </w:r>
      <w:r w:rsidRPr="003F4CE1">
        <w:t>employment:</w:t>
      </w:r>
      <w:r w:rsidR="00573BA7">
        <w:t xml:space="preserve"> </w:t>
      </w:r>
      <w:r w:rsidRPr="003F4CE1">
        <w:t>its</w:t>
      </w:r>
      <w:r w:rsidR="00573BA7">
        <w:t xml:space="preserve"> </w:t>
      </w:r>
      <w:r w:rsidRPr="003F4CE1">
        <w:t>only</w:t>
      </w:r>
      <w:r w:rsidR="00573BA7">
        <w:t xml:space="preserve"> </w:t>
      </w:r>
      <w:r w:rsidRPr="003F4CE1">
        <w:t>focus</w:t>
      </w:r>
      <w:r w:rsidR="00573BA7">
        <w:t xml:space="preserve"> </w:t>
      </w:r>
      <w:r w:rsidRPr="003F4CE1">
        <w:t>is</w:t>
      </w:r>
      <w:r w:rsidR="00573BA7">
        <w:t xml:space="preserve"> </w:t>
      </w:r>
      <w:r w:rsidRPr="003F4CE1">
        <w:t>on</w:t>
      </w:r>
      <w:r w:rsidR="00573BA7">
        <w:t xml:space="preserve"> </w:t>
      </w:r>
      <w:r w:rsidRPr="003F4CE1">
        <w:t>full-time</w:t>
      </w:r>
      <w:r w:rsidR="00573BA7">
        <w:t xml:space="preserve"> </w:t>
      </w:r>
      <w:r w:rsidRPr="003F4CE1">
        <w:t>employment.</w:t>
      </w:r>
      <w:r w:rsidR="004816B7" w:rsidRPr="007B537E">
        <w:rPr>
          <w:sz w:val="20"/>
          <w:szCs w:val="20"/>
          <w:vertAlign w:val="superscript"/>
        </w:rPr>
        <w:endnoteReference w:id="277"/>
      </w:r>
      <w:r w:rsidR="00573BA7">
        <w:t xml:space="preserve"> </w:t>
      </w:r>
      <w:r w:rsidRPr="003F4CE1">
        <w:lastRenderedPageBreak/>
        <w:t>Particularly</w:t>
      </w:r>
      <w:r w:rsidR="00573BA7">
        <w:t xml:space="preserve"> </w:t>
      </w:r>
      <w:r w:rsidRPr="003F4CE1">
        <w:t>given</w:t>
      </w:r>
      <w:r w:rsidR="00573BA7">
        <w:t xml:space="preserve"> </w:t>
      </w:r>
      <w:r w:rsidRPr="003F4CE1">
        <w:t>increasing</w:t>
      </w:r>
      <w:r w:rsidR="00573BA7">
        <w:t xml:space="preserve"> </w:t>
      </w:r>
      <w:r w:rsidRPr="003F4CE1">
        <w:t>rates</w:t>
      </w:r>
      <w:r w:rsidR="00573BA7">
        <w:t xml:space="preserve"> </w:t>
      </w:r>
      <w:r w:rsidRPr="003F4CE1">
        <w:t>of</w:t>
      </w:r>
      <w:r w:rsidR="00573BA7">
        <w:t xml:space="preserve"> </w:t>
      </w:r>
      <w:r w:rsidRPr="003F4CE1">
        <w:t>workforce</w:t>
      </w:r>
      <w:r w:rsidR="00573BA7">
        <w:t xml:space="preserve"> </w:t>
      </w:r>
      <w:r w:rsidRPr="003F4CE1">
        <w:t>casualisation,</w:t>
      </w:r>
      <w:r w:rsidR="003C620C" w:rsidRPr="003F4CE1">
        <w:rPr>
          <w:rStyle w:val="EndnoteReference"/>
          <w:rFonts w:cs="Open Sans"/>
        </w:rPr>
        <w:endnoteReference w:id="278"/>
      </w:r>
      <w:r w:rsidR="00573BA7">
        <w:t xml:space="preserve"> </w:t>
      </w:r>
      <w:r w:rsidRPr="003F4CE1">
        <w:t>this</w:t>
      </w:r>
      <w:r w:rsidR="00573BA7">
        <w:t xml:space="preserve"> </w:t>
      </w:r>
      <w:r w:rsidR="00B004CF">
        <w:t>may</w:t>
      </w:r>
      <w:r w:rsidR="00573BA7">
        <w:t xml:space="preserve"> </w:t>
      </w:r>
      <w:r w:rsidRPr="003F4CE1">
        <w:t>unnecessarily</w:t>
      </w:r>
      <w:r w:rsidR="00573BA7">
        <w:t xml:space="preserve"> </w:t>
      </w:r>
      <w:r w:rsidRPr="003F4CE1">
        <w:t>limit</w:t>
      </w:r>
      <w:r w:rsidR="00573BA7">
        <w:t xml:space="preserve"> </w:t>
      </w:r>
      <w:r w:rsidRPr="003F4CE1">
        <w:t>employment</w:t>
      </w:r>
      <w:r w:rsidR="00573BA7">
        <w:t xml:space="preserve"> </w:t>
      </w:r>
      <w:r w:rsidRPr="003F4CE1">
        <w:t>opportunities</w:t>
      </w:r>
      <w:r w:rsidR="00573BA7">
        <w:t xml:space="preserve"> </w:t>
      </w:r>
      <w:r w:rsidRPr="003F4CE1">
        <w:t>for</w:t>
      </w:r>
      <w:r w:rsidR="00573BA7">
        <w:t xml:space="preserve"> </w:t>
      </w:r>
      <w:r w:rsidRPr="003F4CE1">
        <w:t>young</w:t>
      </w:r>
      <w:r w:rsidR="00573BA7">
        <w:t xml:space="preserve"> </w:t>
      </w:r>
      <w:r w:rsidRPr="003F4CE1">
        <w:t>people</w:t>
      </w:r>
      <w:r w:rsidR="00B004CF">
        <w:t>.</w:t>
      </w:r>
      <w:r w:rsidR="00573BA7">
        <w:t xml:space="preserve"> </w:t>
      </w:r>
      <w:r w:rsidR="00B004CF">
        <w:t>This</w:t>
      </w:r>
      <w:r w:rsidR="00573BA7">
        <w:t xml:space="preserve"> </w:t>
      </w:r>
      <w:r w:rsidR="00B004CF">
        <w:t>also</w:t>
      </w:r>
      <w:r w:rsidR="00573BA7">
        <w:t xml:space="preserve"> </w:t>
      </w:r>
      <w:r w:rsidRPr="003F4CE1">
        <w:t>fails</w:t>
      </w:r>
      <w:r w:rsidR="00573BA7">
        <w:t xml:space="preserve"> </w:t>
      </w:r>
      <w:r w:rsidRPr="003F4CE1">
        <w:t>to</w:t>
      </w:r>
      <w:r w:rsidR="00573BA7">
        <w:t xml:space="preserve"> </w:t>
      </w:r>
      <w:r w:rsidRPr="003F4CE1">
        <w:t>acknowledge</w:t>
      </w:r>
      <w:r w:rsidR="00573BA7">
        <w:t xml:space="preserve"> </w:t>
      </w:r>
      <w:r w:rsidRPr="003F4CE1">
        <w:t>that</w:t>
      </w:r>
      <w:r w:rsidR="00573BA7">
        <w:t xml:space="preserve"> </w:t>
      </w:r>
      <w:r w:rsidRPr="003F4CE1">
        <w:t>part-time</w:t>
      </w:r>
      <w:r w:rsidR="00573BA7">
        <w:t xml:space="preserve"> </w:t>
      </w:r>
      <w:r w:rsidRPr="003F4CE1">
        <w:t>or</w:t>
      </w:r>
      <w:r w:rsidR="00573BA7">
        <w:t xml:space="preserve"> </w:t>
      </w:r>
      <w:r w:rsidRPr="003F4CE1">
        <w:t>casual</w:t>
      </w:r>
      <w:r w:rsidR="00573BA7">
        <w:t xml:space="preserve"> </w:t>
      </w:r>
      <w:r w:rsidRPr="003F4CE1">
        <w:t>employment</w:t>
      </w:r>
      <w:r w:rsidR="00573BA7">
        <w:t xml:space="preserve"> </w:t>
      </w:r>
      <w:r w:rsidRPr="003F4CE1">
        <w:t>may</w:t>
      </w:r>
      <w:r w:rsidR="00573BA7">
        <w:t xml:space="preserve"> </w:t>
      </w:r>
      <w:r w:rsidRPr="003F4CE1">
        <w:t>be</w:t>
      </w:r>
      <w:r w:rsidR="00573BA7">
        <w:t xml:space="preserve"> </w:t>
      </w:r>
      <w:r w:rsidRPr="003F4CE1">
        <w:t>the</w:t>
      </w:r>
      <w:r w:rsidR="00573BA7">
        <w:t xml:space="preserve"> </w:t>
      </w:r>
      <w:r w:rsidRPr="003F4CE1">
        <w:t>most</w:t>
      </w:r>
      <w:r w:rsidR="00573BA7">
        <w:t xml:space="preserve"> </w:t>
      </w:r>
      <w:r w:rsidRPr="003F4CE1">
        <w:t>appropriate</w:t>
      </w:r>
      <w:r w:rsidR="00573BA7">
        <w:t xml:space="preserve"> </w:t>
      </w:r>
      <w:r w:rsidRPr="003F4CE1">
        <w:t>starting</w:t>
      </w:r>
      <w:r w:rsidR="00573BA7">
        <w:t xml:space="preserve"> </w:t>
      </w:r>
      <w:r w:rsidRPr="003F4CE1">
        <w:t>point</w:t>
      </w:r>
      <w:r w:rsidR="00573BA7">
        <w:t xml:space="preserve"> </w:t>
      </w:r>
      <w:r w:rsidRPr="003F4CE1">
        <w:t>for</w:t>
      </w:r>
      <w:r w:rsidR="00573BA7">
        <w:t xml:space="preserve"> </w:t>
      </w:r>
      <w:r w:rsidRPr="003F4CE1">
        <w:t>a</w:t>
      </w:r>
      <w:r w:rsidR="00573BA7">
        <w:t xml:space="preserve"> </w:t>
      </w:r>
      <w:r w:rsidRPr="003F4CE1">
        <w:t>young</w:t>
      </w:r>
      <w:r w:rsidR="00573BA7">
        <w:t xml:space="preserve"> </w:t>
      </w:r>
      <w:r w:rsidRPr="003F4CE1">
        <w:t>person</w:t>
      </w:r>
      <w:r w:rsidR="00573BA7">
        <w:t xml:space="preserve"> </w:t>
      </w:r>
      <w:r w:rsidRPr="003F4CE1">
        <w:t>with</w:t>
      </w:r>
      <w:r w:rsidR="00573BA7">
        <w:t xml:space="preserve"> </w:t>
      </w:r>
      <w:r w:rsidRPr="003F4CE1">
        <w:t>disability</w:t>
      </w:r>
      <w:r w:rsidR="00573BA7">
        <w:t xml:space="preserve"> </w:t>
      </w:r>
      <w:r w:rsidRPr="003F4CE1">
        <w:t>to</w:t>
      </w:r>
      <w:r w:rsidR="00573BA7">
        <w:t xml:space="preserve"> </w:t>
      </w:r>
      <w:r w:rsidRPr="003F4CE1">
        <w:t>transition</w:t>
      </w:r>
      <w:r w:rsidR="00573BA7">
        <w:t xml:space="preserve"> </w:t>
      </w:r>
      <w:r w:rsidRPr="003F4CE1">
        <w:t>out</w:t>
      </w:r>
      <w:r w:rsidR="00573BA7">
        <w:t xml:space="preserve"> </w:t>
      </w:r>
      <w:r w:rsidRPr="003F4CE1">
        <w:t>of</w:t>
      </w:r>
      <w:r w:rsidR="00573BA7">
        <w:t xml:space="preserve"> </w:t>
      </w:r>
      <w:r w:rsidRPr="003F4CE1">
        <w:t>school.</w:t>
      </w:r>
      <w:r w:rsidR="00573BA7">
        <w:t xml:space="preserve"> </w:t>
      </w:r>
    </w:p>
    <w:p w14:paraId="7FD90B3C" w14:textId="4A1CEBA1" w:rsidR="00E80BA1" w:rsidRDefault="00E80BA1" w:rsidP="00E80BA1">
      <w:pPr>
        <w:pStyle w:val="ListNumber"/>
      </w:pPr>
      <w:r w:rsidRPr="003F4CE1">
        <w:t>Although</w:t>
      </w:r>
      <w:r>
        <w:t xml:space="preserve"> the Commission </w:t>
      </w:r>
      <w:r w:rsidRPr="003F4CE1">
        <w:t>recommended</w:t>
      </w:r>
      <w:r>
        <w:t xml:space="preserve"> in </w:t>
      </w:r>
      <w:r w:rsidR="00245F33">
        <w:t>Willing to Work</w:t>
      </w:r>
      <w:r>
        <w:t xml:space="preserve"> </w:t>
      </w:r>
      <w:r w:rsidRPr="003F4CE1">
        <w:t>that</w:t>
      </w:r>
      <w:r>
        <w:t xml:space="preserve"> </w:t>
      </w:r>
      <w:r w:rsidRPr="003F4CE1">
        <w:t>these</w:t>
      </w:r>
      <w:r>
        <w:t xml:space="preserve"> limitations </w:t>
      </w:r>
      <w:r w:rsidRPr="003F4CE1">
        <w:t>be</w:t>
      </w:r>
      <w:r>
        <w:t xml:space="preserve"> </w:t>
      </w:r>
      <w:r w:rsidRPr="003F4CE1">
        <w:t>eased</w:t>
      </w:r>
      <w:r>
        <w:t xml:space="preserve"> </w:t>
      </w:r>
      <w:r w:rsidRPr="003F4CE1">
        <w:t>to</w:t>
      </w:r>
      <w:r>
        <w:t xml:space="preserve"> </w:t>
      </w:r>
      <w:r w:rsidRPr="003F4CE1">
        <w:t>improve</w:t>
      </w:r>
      <w:r>
        <w:t xml:space="preserve"> </w:t>
      </w:r>
      <w:r w:rsidRPr="003F4CE1">
        <w:t>access</w:t>
      </w:r>
      <w:r>
        <w:t xml:space="preserve"> </w:t>
      </w:r>
      <w:r w:rsidRPr="003F4CE1">
        <w:t>to</w:t>
      </w:r>
      <w:r>
        <w:t xml:space="preserve"> </w:t>
      </w:r>
      <w:r w:rsidRPr="003F4CE1">
        <w:t>the</w:t>
      </w:r>
      <w:r>
        <w:t xml:space="preserve"> </w:t>
      </w:r>
      <w:r w:rsidRPr="003F4CE1">
        <w:t>program,</w:t>
      </w:r>
      <w:r>
        <w:t xml:space="preserve"> </w:t>
      </w:r>
      <w:r w:rsidRPr="003F4CE1">
        <w:t>updates</w:t>
      </w:r>
      <w:r>
        <w:t xml:space="preserve"> </w:t>
      </w:r>
      <w:r w:rsidRPr="003F4CE1">
        <w:t>to</w:t>
      </w:r>
      <w:r>
        <w:t xml:space="preserve"> </w:t>
      </w:r>
      <w:r w:rsidRPr="003F4CE1">
        <w:t>the</w:t>
      </w:r>
      <w:r>
        <w:t xml:space="preserve"> </w:t>
      </w:r>
      <w:r w:rsidRPr="003F4CE1">
        <w:t>DES-ESL</w:t>
      </w:r>
      <w:r>
        <w:t xml:space="preserve"> </w:t>
      </w:r>
      <w:r w:rsidRPr="003F4CE1">
        <w:t>Guidelines</w:t>
      </w:r>
      <w:r>
        <w:t xml:space="preserve"> </w:t>
      </w:r>
      <w:r w:rsidRPr="003F4CE1">
        <w:t>in</w:t>
      </w:r>
      <w:r>
        <w:t xml:space="preserve"> </w:t>
      </w:r>
      <w:r w:rsidRPr="003F4CE1">
        <w:t>September</w:t>
      </w:r>
      <w:r>
        <w:t xml:space="preserve"> </w:t>
      </w:r>
      <w:r w:rsidRPr="003F4CE1">
        <w:t>2018</w:t>
      </w:r>
      <w:r>
        <w:t xml:space="preserve"> </w:t>
      </w:r>
      <w:r w:rsidRPr="003F4CE1">
        <w:t>did</w:t>
      </w:r>
      <w:r>
        <w:t xml:space="preserve"> </w:t>
      </w:r>
      <w:r w:rsidRPr="003F4CE1">
        <w:t>not</w:t>
      </w:r>
      <w:r>
        <w:t xml:space="preserve"> adopt </w:t>
      </w:r>
      <w:r w:rsidRPr="003F4CE1">
        <w:t>these</w:t>
      </w:r>
      <w:r>
        <w:t xml:space="preserve"> </w:t>
      </w:r>
      <w:r w:rsidRPr="003F4CE1">
        <w:t>recommendations.</w:t>
      </w:r>
      <w:r w:rsidRPr="007B537E">
        <w:rPr>
          <w:sz w:val="20"/>
          <w:szCs w:val="20"/>
          <w:vertAlign w:val="superscript"/>
        </w:rPr>
        <w:endnoteReference w:id="279"/>
      </w:r>
    </w:p>
    <w:p w14:paraId="060C3A1E" w14:textId="04AED159" w:rsidR="00E23BD7" w:rsidRPr="003F4CE1" w:rsidRDefault="005E4510" w:rsidP="00BC4DA8">
      <w:pPr>
        <w:pStyle w:val="ListNumber"/>
      </w:pPr>
      <w:r>
        <w:t>Overall,</w:t>
      </w:r>
      <w:r w:rsidR="00573BA7">
        <w:t xml:space="preserve"> </w:t>
      </w:r>
      <w:r w:rsidR="00E80BA1">
        <w:t xml:space="preserve">the </w:t>
      </w:r>
      <w:r w:rsidR="00D23CF3">
        <w:t xml:space="preserve">Commission is concerned that these limitations on the DES-ESL program may </w:t>
      </w:r>
      <w:r w:rsidR="00AE44F3">
        <w:t xml:space="preserve">have a negative impact on </w:t>
      </w:r>
      <w:r w:rsidR="00D23CF3">
        <w:t xml:space="preserve">the Australian Government’s </w:t>
      </w:r>
      <w:r w:rsidR="009B37AD">
        <w:t xml:space="preserve">ability to promote open employment, provide effective access to </w:t>
      </w:r>
      <w:r w:rsidR="009F033E">
        <w:t>vocational programs, and enable full participation in society for young people with disability</w:t>
      </w:r>
      <w:r w:rsidR="00E80BA1">
        <w:t xml:space="preserve"> as required under Article 27(1) of the CRPD</w:t>
      </w:r>
      <w:r w:rsidR="009F033E">
        <w:t>.</w:t>
      </w:r>
      <w:r w:rsidR="00E80BA1">
        <w:t xml:space="preserve"> </w:t>
      </w:r>
    </w:p>
    <w:p w14:paraId="3A517EC5" w14:textId="69999EB6" w:rsidR="00D13267" w:rsidRPr="00BC72E1" w:rsidRDefault="00D13267" w:rsidP="00BC72E1">
      <w:pPr>
        <w:pStyle w:val="ListNumber"/>
        <w:rPr>
          <w:b/>
          <w:bCs/>
          <w:i/>
          <w:iCs/>
        </w:rPr>
      </w:pPr>
      <w:r w:rsidRPr="00BC72E1">
        <w:rPr>
          <w:b/>
          <w:bCs/>
          <w:i/>
          <w:iCs/>
        </w:rPr>
        <w:t>Recommendation 20: The Australian Government evaluate the effectiveness of the DES Eligible School Leavers program against its international human rights obligations, including whether the eligibility criteria of the DES Eligible School Leavers program should be expanded to allow more students with disability in their final years of high school to access employment transition support.</w:t>
      </w:r>
    </w:p>
    <w:p w14:paraId="08664443" w14:textId="07C77256" w:rsidR="00E23BD7" w:rsidRPr="00710E6A" w:rsidRDefault="009B0F84">
      <w:pPr>
        <w:pStyle w:val="Heading3"/>
        <w:rPr>
          <w:b/>
          <w:bCs w:val="0"/>
        </w:rPr>
      </w:pPr>
      <w:bookmarkStart w:id="151" w:name="_Toc51834303"/>
      <w:r w:rsidRPr="00710E6A">
        <w:rPr>
          <w:b/>
          <w:bCs w:val="0"/>
        </w:rPr>
        <w:t>Effectiveness of i</w:t>
      </w:r>
      <w:r w:rsidR="00E23BD7" w:rsidRPr="00710E6A">
        <w:rPr>
          <w:b/>
          <w:bCs w:val="0"/>
        </w:rPr>
        <w:t>n-school</w:t>
      </w:r>
      <w:r w:rsidR="00573BA7" w:rsidRPr="00710E6A">
        <w:rPr>
          <w:b/>
          <w:bCs w:val="0"/>
        </w:rPr>
        <w:t xml:space="preserve"> </w:t>
      </w:r>
      <w:r w:rsidR="00E23BD7" w:rsidRPr="00710E6A">
        <w:rPr>
          <w:b/>
          <w:bCs w:val="0"/>
        </w:rPr>
        <w:t>programs</w:t>
      </w:r>
      <w:bookmarkEnd w:id="151"/>
    </w:p>
    <w:p w14:paraId="21B0837D" w14:textId="467AF8D4" w:rsidR="004D2E8E" w:rsidRDefault="00E23BD7" w:rsidP="00196C39">
      <w:pPr>
        <w:pStyle w:val="ListNumber"/>
      </w:pPr>
      <w:r w:rsidRPr="003F4CE1">
        <w:t>Most</w:t>
      </w:r>
      <w:r w:rsidR="00573BA7">
        <w:t xml:space="preserve"> </w:t>
      </w:r>
      <w:r w:rsidRPr="003F4CE1">
        <w:t>states</w:t>
      </w:r>
      <w:r w:rsidR="00573BA7">
        <w:t xml:space="preserve"> </w:t>
      </w:r>
      <w:r w:rsidRPr="003F4CE1">
        <w:t>and</w:t>
      </w:r>
      <w:r w:rsidR="00573BA7">
        <w:t xml:space="preserve"> </w:t>
      </w:r>
      <w:r w:rsidRPr="003F4CE1">
        <w:t>territories</w:t>
      </w:r>
      <w:r w:rsidR="00573BA7">
        <w:t xml:space="preserve"> </w:t>
      </w:r>
      <w:r w:rsidRPr="003F4CE1">
        <w:t>also</w:t>
      </w:r>
      <w:r w:rsidR="00573BA7">
        <w:t xml:space="preserve"> </w:t>
      </w:r>
      <w:r w:rsidRPr="003F4CE1">
        <w:t>have</w:t>
      </w:r>
      <w:r w:rsidR="00573BA7">
        <w:t xml:space="preserve"> </w:t>
      </w:r>
      <w:r w:rsidRPr="003F4CE1">
        <w:t>their</w:t>
      </w:r>
      <w:r w:rsidR="00573BA7">
        <w:t xml:space="preserve"> </w:t>
      </w:r>
      <w:r w:rsidRPr="003F4CE1">
        <w:t>own</w:t>
      </w:r>
      <w:r w:rsidR="00573BA7">
        <w:t xml:space="preserve"> </w:t>
      </w:r>
      <w:r w:rsidRPr="003F4CE1">
        <w:t>in-school</w:t>
      </w:r>
      <w:r w:rsidR="00573BA7">
        <w:t xml:space="preserve"> </w:t>
      </w:r>
      <w:r w:rsidRPr="003F4CE1">
        <w:t>and</w:t>
      </w:r>
      <w:r w:rsidR="00573BA7">
        <w:t xml:space="preserve"> </w:t>
      </w:r>
      <w:r w:rsidRPr="003F4CE1">
        <w:t>post-school</w:t>
      </w:r>
      <w:r w:rsidR="00573BA7">
        <w:t xml:space="preserve"> </w:t>
      </w:r>
      <w:r w:rsidRPr="003F4CE1">
        <w:t>programs</w:t>
      </w:r>
      <w:r w:rsidR="00573BA7">
        <w:t xml:space="preserve"> </w:t>
      </w:r>
      <w:r w:rsidRPr="003F4CE1">
        <w:t>aimed</w:t>
      </w:r>
      <w:r w:rsidR="00573BA7">
        <w:t xml:space="preserve"> </w:t>
      </w:r>
      <w:r w:rsidRPr="003F4CE1">
        <w:t>at</w:t>
      </w:r>
      <w:r w:rsidR="00573BA7">
        <w:t xml:space="preserve"> </w:t>
      </w:r>
      <w:r w:rsidRPr="003F4CE1">
        <w:t>assisting</w:t>
      </w:r>
      <w:r w:rsidR="00573BA7">
        <w:t xml:space="preserve"> </w:t>
      </w:r>
      <w:r w:rsidRPr="003F4CE1">
        <w:t>with</w:t>
      </w:r>
      <w:r w:rsidR="00573BA7">
        <w:t xml:space="preserve"> </w:t>
      </w:r>
      <w:r w:rsidRPr="003F4CE1">
        <w:t>post-school</w:t>
      </w:r>
      <w:r w:rsidR="00573BA7">
        <w:t xml:space="preserve"> </w:t>
      </w:r>
      <w:r w:rsidRPr="003F4CE1">
        <w:t>transition.</w:t>
      </w:r>
      <w:r w:rsidR="00573BA7">
        <w:t xml:space="preserve"> </w:t>
      </w:r>
      <w:r w:rsidRPr="003F4CE1">
        <w:t>The</w:t>
      </w:r>
      <w:r w:rsidR="00573BA7">
        <w:t xml:space="preserve"> </w:t>
      </w:r>
      <w:r w:rsidRPr="003F4CE1">
        <w:t>NSW-based</w:t>
      </w:r>
      <w:r w:rsidR="00573BA7">
        <w:t xml:space="preserve"> </w:t>
      </w:r>
      <w:r w:rsidRPr="003F4CE1">
        <w:t>Transition</w:t>
      </w:r>
      <w:r w:rsidR="00573BA7">
        <w:t xml:space="preserve"> </w:t>
      </w:r>
      <w:r w:rsidRPr="003F4CE1">
        <w:t>to</w:t>
      </w:r>
      <w:r w:rsidR="00573BA7">
        <w:t xml:space="preserve"> </w:t>
      </w:r>
      <w:r w:rsidRPr="003F4CE1">
        <w:t>Work</w:t>
      </w:r>
      <w:r w:rsidR="00573BA7">
        <w:t xml:space="preserve"> </w:t>
      </w:r>
      <w:r w:rsidRPr="003F4CE1">
        <w:t>program</w:t>
      </w:r>
      <w:r w:rsidR="00573BA7">
        <w:t xml:space="preserve"> </w:t>
      </w:r>
      <w:r w:rsidRPr="003F4CE1">
        <w:t>has</w:t>
      </w:r>
      <w:r w:rsidR="00573BA7">
        <w:t xml:space="preserve"> </w:t>
      </w:r>
      <w:r w:rsidRPr="003F4CE1">
        <w:t>been</w:t>
      </w:r>
      <w:r w:rsidR="00573BA7">
        <w:t xml:space="preserve"> </w:t>
      </w:r>
      <w:r w:rsidRPr="003F4CE1">
        <w:t>identified</w:t>
      </w:r>
      <w:r w:rsidR="00573BA7">
        <w:t xml:space="preserve"> </w:t>
      </w:r>
      <w:r w:rsidRPr="003F4CE1">
        <w:t>as</w:t>
      </w:r>
      <w:r w:rsidR="00573BA7">
        <w:t xml:space="preserve"> </w:t>
      </w:r>
      <w:r w:rsidRPr="003F4CE1">
        <w:t>the</w:t>
      </w:r>
      <w:r w:rsidR="00573BA7">
        <w:t xml:space="preserve"> </w:t>
      </w:r>
      <w:r w:rsidRPr="003F4CE1">
        <w:t>most</w:t>
      </w:r>
      <w:r w:rsidR="00573BA7">
        <w:t xml:space="preserve"> </w:t>
      </w:r>
      <w:r w:rsidRPr="003F4CE1">
        <w:t>successful</w:t>
      </w:r>
      <w:r w:rsidR="00573BA7">
        <w:t xml:space="preserve"> </w:t>
      </w:r>
      <w:r w:rsidRPr="003F4CE1">
        <w:t>example</w:t>
      </w:r>
      <w:r w:rsidR="00573BA7">
        <w:t xml:space="preserve"> </w:t>
      </w:r>
      <w:r w:rsidRPr="003F4CE1">
        <w:t>of</w:t>
      </w:r>
      <w:r w:rsidR="00573BA7">
        <w:t xml:space="preserve"> </w:t>
      </w:r>
      <w:r w:rsidRPr="003F4CE1">
        <w:t>a</w:t>
      </w:r>
      <w:r w:rsidR="00573BA7">
        <w:t xml:space="preserve"> </w:t>
      </w:r>
      <w:r w:rsidRPr="003F4CE1">
        <w:t>transition</w:t>
      </w:r>
      <w:r w:rsidR="00573BA7">
        <w:t xml:space="preserve"> </w:t>
      </w:r>
      <w:r w:rsidRPr="003F4CE1">
        <w:t>to</w:t>
      </w:r>
      <w:r w:rsidR="00573BA7">
        <w:t xml:space="preserve"> </w:t>
      </w:r>
      <w:r w:rsidRPr="003F4CE1">
        <w:t>work</w:t>
      </w:r>
      <w:r w:rsidR="00573BA7">
        <w:t xml:space="preserve"> </w:t>
      </w:r>
      <w:r w:rsidRPr="003F4CE1">
        <w:t>program.</w:t>
      </w:r>
      <w:r w:rsidR="00573BA7">
        <w:t xml:space="preserve"> </w:t>
      </w:r>
      <w:r w:rsidRPr="003F4CE1">
        <w:t>However,</w:t>
      </w:r>
      <w:r w:rsidR="00573BA7">
        <w:t xml:space="preserve"> </w:t>
      </w:r>
      <w:r w:rsidRPr="003F4CE1">
        <w:t>evaluations</w:t>
      </w:r>
      <w:r w:rsidR="00573BA7">
        <w:t xml:space="preserve"> </w:t>
      </w:r>
      <w:r w:rsidRPr="003F4CE1">
        <w:t>indicate</w:t>
      </w:r>
      <w:r w:rsidR="00573BA7">
        <w:t xml:space="preserve"> </w:t>
      </w:r>
      <w:r w:rsidRPr="003F4CE1">
        <w:t>low</w:t>
      </w:r>
      <w:r w:rsidR="00573BA7">
        <w:t xml:space="preserve"> </w:t>
      </w:r>
      <w:r w:rsidRPr="003F4CE1">
        <w:t>rates</w:t>
      </w:r>
      <w:r w:rsidR="00573BA7">
        <w:t xml:space="preserve"> </w:t>
      </w:r>
      <w:r w:rsidRPr="003F4CE1">
        <w:t>of</w:t>
      </w:r>
      <w:r w:rsidR="00573BA7">
        <w:t xml:space="preserve"> </w:t>
      </w:r>
      <w:r w:rsidRPr="003F4CE1">
        <w:t>take-up</w:t>
      </w:r>
      <w:r w:rsidR="00573BA7">
        <w:t xml:space="preserve"> </w:t>
      </w:r>
      <w:r w:rsidRPr="003F4CE1">
        <w:t>and</w:t>
      </w:r>
      <w:r w:rsidR="00573BA7">
        <w:t xml:space="preserve"> </w:t>
      </w:r>
      <w:r w:rsidRPr="003F4CE1">
        <w:t>low</w:t>
      </w:r>
      <w:r w:rsidR="00573BA7">
        <w:t xml:space="preserve"> </w:t>
      </w:r>
      <w:r w:rsidRPr="003F4CE1">
        <w:t>employment</w:t>
      </w:r>
      <w:r w:rsidR="00573BA7">
        <w:t xml:space="preserve"> </w:t>
      </w:r>
      <w:r w:rsidRPr="003F4CE1">
        <w:t>outcomes.</w:t>
      </w:r>
      <w:r w:rsidRPr="007B537E">
        <w:rPr>
          <w:sz w:val="20"/>
          <w:szCs w:val="20"/>
          <w:vertAlign w:val="superscript"/>
        </w:rPr>
        <w:endnoteReference w:id="280"/>
      </w:r>
      <w:r w:rsidR="004D2E8E">
        <w:t xml:space="preserve"> </w:t>
      </w:r>
    </w:p>
    <w:p w14:paraId="56557230" w14:textId="283EA5C5" w:rsidR="00E23BD7" w:rsidRPr="003F4CE1" w:rsidRDefault="004D2E8E" w:rsidP="00196C39">
      <w:pPr>
        <w:pStyle w:val="ListNumber"/>
      </w:pPr>
      <w:r>
        <w:t xml:space="preserve">The Commission reiterates its recommendations in </w:t>
      </w:r>
      <w:r w:rsidR="00187BE9">
        <w:t>Willing to Work</w:t>
      </w:r>
      <w:r>
        <w:t xml:space="preserve"> that the Australian Government collaborate with </w:t>
      </w:r>
      <w:r w:rsidR="008D5D87">
        <w:t>s</w:t>
      </w:r>
      <w:r>
        <w:t xml:space="preserve">tate and </w:t>
      </w:r>
      <w:r w:rsidR="008D5D87">
        <w:t>t</w:t>
      </w:r>
      <w:r>
        <w:t>erritory governments to ensure all schools and teachers across Australia are empowered to support students with disability.</w:t>
      </w:r>
      <w:r w:rsidR="009C7FB3" w:rsidRPr="007B537E">
        <w:rPr>
          <w:sz w:val="20"/>
          <w:szCs w:val="20"/>
          <w:vertAlign w:val="superscript"/>
        </w:rPr>
        <w:endnoteReference w:id="281"/>
      </w:r>
    </w:p>
    <w:p w14:paraId="22058A56" w14:textId="77777777" w:rsidR="00C07FED" w:rsidRPr="00C07FED" w:rsidRDefault="00C07FED" w:rsidP="00C07FED">
      <w:pPr>
        <w:pStyle w:val="ListNumber"/>
        <w:rPr>
          <w:b/>
          <w:bCs/>
          <w:i/>
          <w:iCs/>
        </w:rPr>
      </w:pPr>
      <w:bookmarkStart w:id="152" w:name="_Toc51834304"/>
      <w:r w:rsidRPr="00C07FED">
        <w:rPr>
          <w:b/>
          <w:bCs/>
          <w:i/>
          <w:iCs/>
        </w:rPr>
        <w:t xml:space="preserve">Recommendation 21: The Australian Government allocate funding to enable a collaboration between state and Commonwealth education authorities and relevant agencies to develop guidance materials for teaching staff about supporting students with disability to transition from school to work. </w:t>
      </w:r>
    </w:p>
    <w:p w14:paraId="5BFF15A2" w14:textId="1B5796FF" w:rsidR="00780A62" w:rsidRPr="00710E6A" w:rsidRDefault="009B0F84">
      <w:pPr>
        <w:pStyle w:val="Heading3"/>
        <w:rPr>
          <w:b/>
          <w:bCs w:val="0"/>
        </w:rPr>
      </w:pPr>
      <w:r w:rsidRPr="00710E6A">
        <w:rPr>
          <w:b/>
          <w:bCs w:val="0"/>
        </w:rPr>
        <w:lastRenderedPageBreak/>
        <w:t xml:space="preserve">Effectiveness of </w:t>
      </w:r>
      <w:r w:rsidR="001801CF" w:rsidRPr="00710E6A">
        <w:rPr>
          <w:b/>
          <w:bCs w:val="0"/>
        </w:rPr>
        <w:t>NDIS</w:t>
      </w:r>
      <w:r w:rsidR="00573BA7" w:rsidRPr="00710E6A">
        <w:rPr>
          <w:b/>
          <w:bCs w:val="0"/>
        </w:rPr>
        <w:t xml:space="preserve"> </w:t>
      </w:r>
      <w:r w:rsidR="001801CF" w:rsidRPr="00710E6A">
        <w:rPr>
          <w:b/>
          <w:bCs w:val="0"/>
        </w:rPr>
        <w:t>supports</w:t>
      </w:r>
      <w:bookmarkEnd w:id="152"/>
    </w:p>
    <w:p w14:paraId="55F62596" w14:textId="281D6A9D" w:rsidR="00A64AE4" w:rsidRPr="003F4CE1" w:rsidRDefault="008A2C90" w:rsidP="00196C39">
      <w:pPr>
        <w:pStyle w:val="ListNumber"/>
      </w:pPr>
      <w:r>
        <w:t xml:space="preserve">In addition to general NDIS supports, </w:t>
      </w:r>
      <w:r w:rsidR="00E517A8" w:rsidRPr="003F4CE1">
        <w:t>NDIS</w:t>
      </w:r>
      <w:r w:rsidR="00573BA7">
        <w:t xml:space="preserve"> </w:t>
      </w:r>
      <w:r w:rsidR="00E517A8" w:rsidRPr="003F4CE1">
        <w:t>participants</w:t>
      </w:r>
      <w:r w:rsidR="00573BA7">
        <w:t xml:space="preserve"> </w:t>
      </w:r>
      <w:r w:rsidR="001801CF" w:rsidRPr="003F4CE1">
        <w:t>who</w:t>
      </w:r>
      <w:r w:rsidR="00573BA7">
        <w:t xml:space="preserve"> </w:t>
      </w:r>
      <w:r w:rsidR="001801CF" w:rsidRPr="003F4CE1">
        <w:t>are</w:t>
      </w:r>
      <w:r w:rsidR="00573BA7">
        <w:t xml:space="preserve"> </w:t>
      </w:r>
      <w:r w:rsidR="00E517A8" w:rsidRPr="003F4CE1">
        <w:t>in</w:t>
      </w:r>
      <w:r w:rsidR="00573BA7">
        <w:t xml:space="preserve"> </w:t>
      </w:r>
      <w:r w:rsidR="00E517A8" w:rsidRPr="003F4CE1">
        <w:t>their</w:t>
      </w:r>
      <w:r w:rsidR="00573BA7">
        <w:t xml:space="preserve"> </w:t>
      </w:r>
      <w:r w:rsidR="00E517A8" w:rsidRPr="003F4CE1">
        <w:t>final</w:t>
      </w:r>
      <w:r w:rsidR="00573BA7">
        <w:t xml:space="preserve"> </w:t>
      </w:r>
      <w:r w:rsidR="00E517A8" w:rsidRPr="003F4CE1">
        <w:t>two</w:t>
      </w:r>
      <w:r w:rsidR="00573BA7">
        <w:t xml:space="preserve"> </w:t>
      </w:r>
      <w:r w:rsidR="00E517A8" w:rsidRPr="003F4CE1">
        <w:t>years</w:t>
      </w:r>
      <w:r w:rsidR="00573BA7">
        <w:t xml:space="preserve"> </w:t>
      </w:r>
      <w:r w:rsidR="00E517A8" w:rsidRPr="003F4CE1">
        <w:t>of</w:t>
      </w:r>
      <w:r w:rsidR="00573BA7">
        <w:t xml:space="preserve"> </w:t>
      </w:r>
      <w:r w:rsidR="001801CF" w:rsidRPr="003F4CE1">
        <w:t>secondary</w:t>
      </w:r>
      <w:r w:rsidR="00573BA7">
        <w:t xml:space="preserve"> </w:t>
      </w:r>
      <w:r w:rsidR="00E517A8" w:rsidRPr="003F4CE1">
        <w:t>school</w:t>
      </w:r>
      <w:r w:rsidR="00573BA7">
        <w:t xml:space="preserve"> </w:t>
      </w:r>
      <w:r w:rsidR="001801CF" w:rsidRPr="003F4CE1">
        <w:t>and</w:t>
      </w:r>
      <w:r w:rsidR="00573BA7">
        <w:t xml:space="preserve"> </w:t>
      </w:r>
      <w:r w:rsidR="00E517A8" w:rsidRPr="003F4CE1">
        <w:t>are</w:t>
      </w:r>
      <w:r w:rsidR="00573BA7">
        <w:t xml:space="preserve"> </w:t>
      </w:r>
      <w:r w:rsidR="00E517A8" w:rsidRPr="003F4CE1">
        <w:t>ineligible</w:t>
      </w:r>
      <w:r w:rsidR="00573BA7">
        <w:t xml:space="preserve"> </w:t>
      </w:r>
      <w:r w:rsidR="00E517A8" w:rsidRPr="003F4CE1">
        <w:t>for</w:t>
      </w:r>
      <w:r w:rsidR="00573BA7">
        <w:t xml:space="preserve"> </w:t>
      </w:r>
      <w:r w:rsidR="00E517A8" w:rsidRPr="003F4CE1">
        <w:t>DES</w:t>
      </w:r>
      <w:r w:rsidR="00573BA7">
        <w:t xml:space="preserve"> </w:t>
      </w:r>
      <w:r w:rsidR="00067ABD" w:rsidRPr="003F4CE1">
        <w:t>programs</w:t>
      </w:r>
      <w:r w:rsidR="00573BA7">
        <w:t xml:space="preserve"> </w:t>
      </w:r>
      <w:r w:rsidR="001801CF" w:rsidRPr="003F4CE1">
        <w:t>can</w:t>
      </w:r>
      <w:r w:rsidR="00573BA7">
        <w:t xml:space="preserve"> </w:t>
      </w:r>
      <w:r w:rsidR="001801CF" w:rsidRPr="003F4CE1">
        <w:t>access</w:t>
      </w:r>
      <w:r w:rsidR="00573BA7">
        <w:t xml:space="preserve"> </w:t>
      </w:r>
      <w:r w:rsidR="001801CF" w:rsidRPr="003F4CE1">
        <w:t>t</w:t>
      </w:r>
      <w:r w:rsidR="00E517A8" w:rsidRPr="003F4CE1">
        <w:t>he</w:t>
      </w:r>
      <w:r w:rsidR="00573BA7">
        <w:t xml:space="preserve"> </w:t>
      </w:r>
      <w:r w:rsidR="00E517A8" w:rsidRPr="003F4CE1">
        <w:t>School</w:t>
      </w:r>
      <w:r w:rsidR="00573BA7">
        <w:t xml:space="preserve"> </w:t>
      </w:r>
      <w:r w:rsidR="00E517A8" w:rsidRPr="003F4CE1">
        <w:t>Leaver</w:t>
      </w:r>
      <w:r w:rsidR="00573BA7">
        <w:t xml:space="preserve"> </w:t>
      </w:r>
      <w:r w:rsidR="00E517A8" w:rsidRPr="003F4CE1">
        <w:t>Employment</w:t>
      </w:r>
      <w:r w:rsidR="00573BA7">
        <w:t xml:space="preserve"> </w:t>
      </w:r>
      <w:r w:rsidR="00E517A8" w:rsidRPr="003F4CE1">
        <w:t>Supports</w:t>
      </w:r>
      <w:r w:rsidR="00573BA7">
        <w:t xml:space="preserve"> </w:t>
      </w:r>
      <w:r w:rsidR="00E517A8" w:rsidRPr="003F4CE1">
        <w:t>program</w:t>
      </w:r>
      <w:r w:rsidR="00573BA7">
        <w:t xml:space="preserve"> </w:t>
      </w:r>
      <w:r w:rsidR="00E517A8" w:rsidRPr="003F4CE1">
        <w:t>(</w:t>
      </w:r>
      <w:r w:rsidR="00E517A8" w:rsidRPr="009B136D">
        <w:t>SLES</w:t>
      </w:r>
      <w:r w:rsidR="00E517A8" w:rsidRPr="003F4CE1">
        <w:t>)</w:t>
      </w:r>
      <w:r w:rsidR="001801CF" w:rsidRPr="003F4CE1">
        <w:t>.</w:t>
      </w:r>
      <w:r w:rsidR="00573BA7">
        <w:t xml:space="preserve"> </w:t>
      </w:r>
      <w:r w:rsidR="00E517A8" w:rsidRPr="003F4CE1">
        <w:t>The</w:t>
      </w:r>
      <w:r w:rsidR="00573BA7">
        <w:t xml:space="preserve"> </w:t>
      </w:r>
      <w:r w:rsidR="00E517A8" w:rsidRPr="003F4CE1">
        <w:t>SLES</w:t>
      </w:r>
      <w:r w:rsidR="00573BA7">
        <w:t xml:space="preserve"> </w:t>
      </w:r>
      <w:r w:rsidR="00E517A8" w:rsidRPr="003F4CE1">
        <w:t>aims</w:t>
      </w:r>
      <w:r w:rsidR="00573BA7">
        <w:t xml:space="preserve"> </w:t>
      </w:r>
      <w:r w:rsidR="00E517A8" w:rsidRPr="003F4CE1">
        <w:t>to</w:t>
      </w:r>
      <w:r w:rsidR="00573BA7">
        <w:t xml:space="preserve"> </w:t>
      </w:r>
      <w:r w:rsidR="00E517A8" w:rsidRPr="003F4CE1">
        <w:t>build</w:t>
      </w:r>
      <w:r w:rsidR="00573BA7">
        <w:t xml:space="preserve"> </w:t>
      </w:r>
      <w:r w:rsidR="00E517A8" w:rsidRPr="003F4CE1">
        <w:t>confidence</w:t>
      </w:r>
      <w:r w:rsidR="00573BA7">
        <w:t xml:space="preserve"> </w:t>
      </w:r>
      <w:r w:rsidR="00E517A8" w:rsidRPr="003F4CE1">
        <w:t>and</w:t>
      </w:r>
      <w:r w:rsidR="00573BA7">
        <w:t xml:space="preserve"> </w:t>
      </w:r>
      <w:r w:rsidR="00E517A8" w:rsidRPr="003F4CE1">
        <w:t>readiness</w:t>
      </w:r>
      <w:r w:rsidR="00573BA7">
        <w:t xml:space="preserve"> </w:t>
      </w:r>
      <w:r w:rsidR="00E517A8" w:rsidRPr="003F4CE1">
        <w:t>to</w:t>
      </w:r>
      <w:r w:rsidR="00573BA7">
        <w:t xml:space="preserve"> </w:t>
      </w:r>
      <w:r w:rsidR="00E517A8" w:rsidRPr="003F4CE1">
        <w:t>transition</w:t>
      </w:r>
      <w:r w:rsidR="00573BA7">
        <w:t xml:space="preserve"> </w:t>
      </w:r>
      <w:r w:rsidR="00E517A8" w:rsidRPr="003F4CE1">
        <w:t>into</w:t>
      </w:r>
      <w:r w:rsidR="00573BA7">
        <w:t xml:space="preserve"> </w:t>
      </w:r>
      <w:r w:rsidR="00E517A8" w:rsidRPr="003F4CE1">
        <w:t>a</w:t>
      </w:r>
      <w:r w:rsidR="00573BA7">
        <w:t xml:space="preserve"> </w:t>
      </w:r>
      <w:r w:rsidR="00E517A8" w:rsidRPr="003F4CE1">
        <w:t>DES</w:t>
      </w:r>
      <w:r w:rsidR="00573BA7">
        <w:t xml:space="preserve"> </w:t>
      </w:r>
      <w:r w:rsidR="00E517A8" w:rsidRPr="003F4CE1">
        <w:t>program,</w:t>
      </w:r>
      <w:r w:rsidR="00573BA7">
        <w:t xml:space="preserve"> </w:t>
      </w:r>
      <w:r w:rsidR="004D2E8E">
        <w:t xml:space="preserve">rather than </w:t>
      </w:r>
      <w:r w:rsidR="00FB6CF2">
        <w:t>to obtain</w:t>
      </w:r>
      <w:r w:rsidR="00573BA7">
        <w:t xml:space="preserve"> </w:t>
      </w:r>
      <w:r w:rsidR="00E517A8" w:rsidRPr="003F4CE1">
        <w:t>paid</w:t>
      </w:r>
      <w:r w:rsidR="00573BA7">
        <w:t xml:space="preserve"> </w:t>
      </w:r>
      <w:r w:rsidR="00E517A8" w:rsidRPr="003F4CE1">
        <w:t>employment.</w:t>
      </w:r>
      <w:r w:rsidR="00754EE5" w:rsidRPr="003F4CE1">
        <w:rPr>
          <w:rStyle w:val="EndnoteReference"/>
        </w:rPr>
        <w:endnoteReference w:id="282"/>
      </w:r>
      <w:r w:rsidR="00573BA7">
        <w:t xml:space="preserve"> </w:t>
      </w:r>
    </w:p>
    <w:p w14:paraId="06449E96" w14:textId="5EC76AAE" w:rsidR="009F5398" w:rsidRPr="003F4CE1" w:rsidRDefault="001801CF" w:rsidP="00196C39">
      <w:pPr>
        <w:pStyle w:val="ListNumber"/>
        <w:rPr>
          <w:rFonts w:eastAsia="Open Sans" w:cs="Open Sans"/>
        </w:rPr>
      </w:pPr>
      <w:r w:rsidRPr="003F4CE1">
        <w:t>The</w:t>
      </w:r>
      <w:r w:rsidR="00573BA7">
        <w:t xml:space="preserve"> </w:t>
      </w:r>
      <w:r w:rsidRPr="003F4CE1">
        <w:t>NDIS</w:t>
      </w:r>
      <w:r w:rsidR="00573BA7">
        <w:t xml:space="preserve"> </w:t>
      </w:r>
      <w:r w:rsidRPr="003F4CE1">
        <w:t>Participant</w:t>
      </w:r>
      <w:r w:rsidR="00573BA7">
        <w:t xml:space="preserve"> </w:t>
      </w:r>
      <w:r w:rsidRPr="003F4CE1">
        <w:t>Employment</w:t>
      </w:r>
      <w:r w:rsidR="00573BA7">
        <w:t xml:space="preserve"> </w:t>
      </w:r>
      <w:r w:rsidRPr="003F4CE1">
        <w:t>Strategy</w:t>
      </w:r>
      <w:r w:rsidR="00022A47">
        <w:t xml:space="preserve"> 2019</w:t>
      </w:r>
      <w:r w:rsidR="20737AD9" w:rsidRPr="6772E214">
        <w:rPr>
          <w:rFonts w:ascii="Calibri" w:eastAsia="Calibri" w:hAnsi="Calibri" w:cs="Calibri"/>
          <w:sz w:val="22"/>
          <w:szCs w:val="22"/>
        </w:rPr>
        <w:t>─</w:t>
      </w:r>
      <w:r w:rsidR="00022A47">
        <w:t>2022</w:t>
      </w:r>
      <w:r w:rsidR="00573BA7">
        <w:t xml:space="preserve"> </w:t>
      </w:r>
      <w:r w:rsidRPr="003F4CE1">
        <w:t>committed</w:t>
      </w:r>
      <w:r w:rsidR="00573BA7">
        <w:t xml:space="preserve"> </w:t>
      </w:r>
      <w:r w:rsidRPr="003F4CE1">
        <w:t>to</w:t>
      </w:r>
      <w:r w:rsidR="00573BA7">
        <w:t xml:space="preserve"> </w:t>
      </w:r>
      <w:r w:rsidR="004973EC" w:rsidRPr="003F4CE1">
        <w:t>achiev</w:t>
      </w:r>
      <w:r w:rsidR="009B0F84">
        <w:t>ing</w:t>
      </w:r>
      <w:r w:rsidR="00573BA7">
        <w:t xml:space="preserve"> </w:t>
      </w:r>
      <w:r w:rsidR="004973EC" w:rsidRPr="003F4CE1">
        <w:t>a</w:t>
      </w:r>
      <w:r w:rsidR="00573BA7">
        <w:t xml:space="preserve"> </w:t>
      </w:r>
      <w:r w:rsidR="004973EC" w:rsidRPr="003F4CE1">
        <w:t>range</w:t>
      </w:r>
      <w:r w:rsidR="00573BA7">
        <w:t xml:space="preserve"> </w:t>
      </w:r>
      <w:r w:rsidR="004973EC" w:rsidRPr="003F4CE1">
        <w:t>of</w:t>
      </w:r>
      <w:r w:rsidR="00573BA7">
        <w:t xml:space="preserve"> </w:t>
      </w:r>
      <w:r w:rsidR="004973EC" w:rsidRPr="003F4CE1">
        <w:t>transition-to-work</w:t>
      </w:r>
      <w:r w:rsidR="00573BA7">
        <w:t xml:space="preserve"> </w:t>
      </w:r>
      <w:r w:rsidR="004973EC" w:rsidRPr="003F4CE1">
        <w:t>goals</w:t>
      </w:r>
      <w:r w:rsidR="00573BA7">
        <w:t xml:space="preserve"> </w:t>
      </w:r>
      <w:r w:rsidR="004973EC" w:rsidRPr="003F4CE1">
        <w:t>for</w:t>
      </w:r>
      <w:r w:rsidR="00573BA7">
        <w:t xml:space="preserve"> </w:t>
      </w:r>
      <w:r w:rsidR="004973EC" w:rsidRPr="003F4CE1">
        <w:t>the</w:t>
      </w:r>
      <w:r w:rsidR="00573BA7">
        <w:t xml:space="preserve"> </w:t>
      </w:r>
      <w:r w:rsidR="004973EC" w:rsidRPr="003F4CE1">
        <w:t>NDIS</w:t>
      </w:r>
      <w:r w:rsidR="00573BA7">
        <w:t xml:space="preserve"> </w:t>
      </w:r>
      <w:r w:rsidR="004973EC" w:rsidRPr="003F4CE1">
        <w:t>program</w:t>
      </w:r>
      <w:r w:rsidR="009B0F84">
        <w:t xml:space="preserve"> </w:t>
      </w:r>
      <w:r w:rsidR="009B0F84" w:rsidRPr="009B0F84">
        <w:t>by the end of 2020</w:t>
      </w:r>
      <w:r w:rsidR="004973EC" w:rsidRPr="003F4CE1">
        <w:t>.</w:t>
      </w:r>
      <w:r w:rsidR="00573BA7">
        <w:t xml:space="preserve"> </w:t>
      </w:r>
      <w:r w:rsidR="004973EC" w:rsidRPr="003F4CE1">
        <w:t>These</w:t>
      </w:r>
      <w:r w:rsidR="00573BA7">
        <w:t xml:space="preserve"> </w:t>
      </w:r>
      <w:r w:rsidR="004973EC" w:rsidRPr="003F4CE1">
        <w:t>include</w:t>
      </w:r>
      <w:r w:rsidR="00573BA7">
        <w:t xml:space="preserve"> </w:t>
      </w:r>
      <w:r w:rsidR="004973EC" w:rsidRPr="003F4CE1">
        <w:t>providing</w:t>
      </w:r>
      <w:r w:rsidR="00573BA7">
        <w:t xml:space="preserve"> </w:t>
      </w:r>
      <w:r w:rsidRPr="003F4CE1">
        <w:t>further</w:t>
      </w:r>
      <w:r w:rsidR="00573BA7">
        <w:t xml:space="preserve"> </w:t>
      </w:r>
      <w:r w:rsidRPr="003F4CE1">
        <w:t>information</w:t>
      </w:r>
      <w:r w:rsidR="00573BA7">
        <w:t xml:space="preserve"> </w:t>
      </w:r>
      <w:r w:rsidRPr="003F4CE1">
        <w:t>to</w:t>
      </w:r>
      <w:r w:rsidR="00573BA7">
        <w:t xml:space="preserve"> </w:t>
      </w:r>
      <w:r w:rsidRPr="003F4CE1">
        <w:t>NDIS</w:t>
      </w:r>
      <w:r w:rsidR="00573BA7">
        <w:t xml:space="preserve"> </w:t>
      </w:r>
      <w:r w:rsidRPr="003F4CE1">
        <w:t>participants</w:t>
      </w:r>
      <w:r w:rsidR="009B0F84">
        <w:t xml:space="preserve"> </w:t>
      </w:r>
      <w:r w:rsidRPr="003F4CE1">
        <w:t>about</w:t>
      </w:r>
      <w:r w:rsidR="00573BA7">
        <w:t xml:space="preserve"> </w:t>
      </w:r>
      <w:r w:rsidRPr="003F4CE1">
        <w:t>school-to-work</w:t>
      </w:r>
      <w:r w:rsidR="00573BA7">
        <w:t xml:space="preserve"> </w:t>
      </w:r>
      <w:r w:rsidR="009B0F84">
        <w:t xml:space="preserve">employment </w:t>
      </w:r>
      <w:r w:rsidRPr="003F4CE1">
        <w:t>transition</w:t>
      </w:r>
      <w:r w:rsidR="009B0F84">
        <w:t xml:space="preserve"> supports</w:t>
      </w:r>
      <w:r w:rsidR="004973EC" w:rsidRPr="003F4CE1">
        <w:t>,</w:t>
      </w:r>
      <w:r w:rsidR="00573BA7">
        <w:t xml:space="preserve"> </w:t>
      </w:r>
      <w:r w:rsidR="009B0F84">
        <w:t>a greater focus</w:t>
      </w:r>
      <w:r w:rsidR="00573BA7">
        <w:t xml:space="preserve"> </w:t>
      </w:r>
      <w:r w:rsidR="00F9515D" w:rsidRPr="003F4CE1">
        <w:t>on</w:t>
      </w:r>
      <w:r w:rsidR="00573BA7">
        <w:t xml:space="preserve"> </w:t>
      </w:r>
      <w:r w:rsidR="00F9515D" w:rsidRPr="003F4CE1">
        <w:t>employment</w:t>
      </w:r>
      <w:r w:rsidR="00573BA7">
        <w:t xml:space="preserve"> </w:t>
      </w:r>
      <w:r w:rsidR="00F9515D" w:rsidRPr="003F4CE1">
        <w:t>related</w:t>
      </w:r>
      <w:r w:rsidR="00573BA7">
        <w:t xml:space="preserve"> </w:t>
      </w:r>
      <w:r w:rsidR="00F9515D" w:rsidRPr="003F4CE1">
        <w:t>supports</w:t>
      </w:r>
      <w:r w:rsidR="00573BA7">
        <w:t xml:space="preserve"> </w:t>
      </w:r>
      <w:r w:rsidR="00F9515D" w:rsidRPr="003F4CE1">
        <w:t>for</w:t>
      </w:r>
      <w:r w:rsidR="00573BA7">
        <w:t xml:space="preserve"> </w:t>
      </w:r>
      <w:r w:rsidR="00F9515D" w:rsidRPr="003F4CE1">
        <w:t>participants</w:t>
      </w:r>
      <w:r w:rsidR="00573BA7">
        <w:t xml:space="preserve"> </w:t>
      </w:r>
      <w:r w:rsidR="00F9515D" w:rsidRPr="003F4CE1">
        <w:t>aged</w:t>
      </w:r>
      <w:r w:rsidR="00573BA7">
        <w:t xml:space="preserve"> </w:t>
      </w:r>
      <w:r w:rsidR="00F9515D" w:rsidRPr="003F4CE1">
        <w:t>14</w:t>
      </w:r>
      <w:r w:rsidR="2C5F5F1E" w:rsidRPr="6772E214">
        <w:rPr>
          <w:rFonts w:ascii="Calibri" w:eastAsia="Calibri" w:hAnsi="Calibri" w:cs="Calibri"/>
          <w:sz w:val="22"/>
          <w:szCs w:val="22"/>
        </w:rPr>
        <w:t>─</w:t>
      </w:r>
      <w:r w:rsidR="00F9515D" w:rsidRPr="003F4CE1">
        <w:t>25</w:t>
      </w:r>
      <w:r w:rsidR="004973EC" w:rsidRPr="003F4CE1">
        <w:t>,</w:t>
      </w:r>
      <w:r w:rsidR="00573BA7">
        <w:t xml:space="preserve"> </w:t>
      </w:r>
      <w:r w:rsidR="004973EC" w:rsidRPr="003F4CE1">
        <w:t>and</w:t>
      </w:r>
      <w:r w:rsidR="00573BA7">
        <w:t xml:space="preserve"> </w:t>
      </w:r>
      <w:r w:rsidR="009B0F84">
        <w:t xml:space="preserve">developing a new </w:t>
      </w:r>
      <w:r w:rsidR="004973EC" w:rsidRPr="003F4CE1">
        <w:t>engagement</w:t>
      </w:r>
      <w:r w:rsidR="00573BA7">
        <w:t xml:space="preserve"> </w:t>
      </w:r>
      <w:r w:rsidR="004973EC" w:rsidRPr="003F4CE1">
        <w:t>strategy</w:t>
      </w:r>
      <w:r w:rsidR="00573BA7">
        <w:t xml:space="preserve"> </w:t>
      </w:r>
      <w:r w:rsidR="009B0F84">
        <w:t xml:space="preserve">and supports </w:t>
      </w:r>
      <w:r w:rsidR="004973EC" w:rsidRPr="003F4CE1">
        <w:t>to</w:t>
      </w:r>
      <w:r w:rsidR="00573BA7">
        <w:t xml:space="preserve"> </w:t>
      </w:r>
      <w:r w:rsidR="004973EC" w:rsidRPr="003F4CE1">
        <w:t>promote</w:t>
      </w:r>
      <w:r w:rsidR="00573BA7">
        <w:t xml:space="preserve"> </w:t>
      </w:r>
      <w:r w:rsidR="004973EC" w:rsidRPr="003F4CE1">
        <w:t>the</w:t>
      </w:r>
      <w:r w:rsidR="00573BA7">
        <w:t xml:space="preserve"> </w:t>
      </w:r>
      <w:r w:rsidR="009B0F84" w:rsidRPr="009B0F84">
        <w:t xml:space="preserve">school-to-work </w:t>
      </w:r>
      <w:r w:rsidR="004973EC" w:rsidRPr="003F4CE1">
        <w:t>pathway</w:t>
      </w:r>
      <w:r w:rsidR="00573BA7">
        <w:t xml:space="preserve"> </w:t>
      </w:r>
      <w:r w:rsidR="009B0F84">
        <w:t>and</w:t>
      </w:r>
      <w:r w:rsidR="00573BA7">
        <w:t xml:space="preserve"> </w:t>
      </w:r>
      <w:r w:rsidR="004973EC" w:rsidRPr="003F4CE1">
        <w:t>build</w:t>
      </w:r>
      <w:r w:rsidR="00573BA7">
        <w:t xml:space="preserve"> </w:t>
      </w:r>
      <w:r w:rsidR="004973EC" w:rsidRPr="003F4CE1">
        <w:t>employer</w:t>
      </w:r>
      <w:r w:rsidR="00573BA7">
        <w:t xml:space="preserve"> </w:t>
      </w:r>
      <w:r w:rsidR="004973EC" w:rsidRPr="003F4CE1">
        <w:t>confidence</w:t>
      </w:r>
      <w:r w:rsidR="00573BA7">
        <w:t xml:space="preserve"> </w:t>
      </w:r>
      <w:r w:rsidR="004973EC" w:rsidRPr="003F4CE1">
        <w:t>to</w:t>
      </w:r>
      <w:r w:rsidR="00573BA7">
        <w:t xml:space="preserve"> </w:t>
      </w:r>
      <w:r w:rsidR="004973EC" w:rsidRPr="003F4CE1">
        <w:t>employ</w:t>
      </w:r>
      <w:r w:rsidR="00573BA7">
        <w:t xml:space="preserve"> </w:t>
      </w:r>
      <w:r w:rsidR="004973EC" w:rsidRPr="003F4CE1">
        <w:t>NDIS</w:t>
      </w:r>
      <w:r w:rsidR="00573BA7">
        <w:t xml:space="preserve"> </w:t>
      </w:r>
      <w:r w:rsidR="004973EC" w:rsidRPr="003F4CE1">
        <w:t>participants</w:t>
      </w:r>
      <w:r w:rsidRPr="003F4CE1">
        <w:t>.</w:t>
      </w:r>
      <w:r w:rsidR="006C091A" w:rsidRPr="003F4CE1">
        <w:rPr>
          <w:rStyle w:val="EndnoteReference"/>
        </w:rPr>
        <w:endnoteReference w:id="283"/>
      </w:r>
      <w:r w:rsidR="00573BA7">
        <w:t xml:space="preserve"> </w:t>
      </w:r>
    </w:p>
    <w:p w14:paraId="2D9E1806" w14:textId="2C972CDD" w:rsidR="00EC59AF" w:rsidRPr="003F4CE1" w:rsidRDefault="009F5398" w:rsidP="00196C39">
      <w:pPr>
        <w:pStyle w:val="ListNumber"/>
      </w:pPr>
      <w:r>
        <w:t>T</w:t>
      </w:r>
      <w:r w:rsidR="00F9515D">
        <w:t>he</w:t>
      </w:r>
      <w:r w:rsidR="00573BA7">
        <w:t xml:space="preserve"> </w:t>
      </w:r>
      <w:r w:rsidR="00F9515D">
        <w:t>Commission</w:t>
      </w:r>
      <w:r w:rsidR="00573BA7">
        <w:t xml:space="preserve"> </w:t>
      </w:r>
      <w:r w:rsidR="00F9515D">
        <w:t>commends</w:t>
      </w:r>
      <w:r w:rsidR="00573BA7">
        <w:t xml:space="preserve"> </w:t>
      </w:r>
      <w:r w:rsidR="00F9515D">
        <w:t>these</w:t>
      </w:r>
      <w:r w:rsidR="00573BA7">
        <w:t xml:space="preserve"> </w:t>
      </w:r>
      <w:r w:rsidR="00F9515D">
        <w:t>goals,</w:t>
      </w:r>
      <w:r w:rsidR="00573BA7">
        <w:t xml:space="preserve"> </w:t>
      </w:r>
      <w:r w:rsidR="00444D38">
        <w:t>but</w:t>
      </w:r>
      <w:r w:rsidR="00573BA7">
        <w:t xml:space="preserve"> </w:t>
      </w:r>
      <w:r w:rsidR="00444D38">
        <w:t>is</w:t>
      </w:r>
      <w:r w:rsidR="00573BA7">
        <w:t xml:space="preserve"> </w:t>
      </w:r>
      <w:r w:rsidR="00444D38">
        <w:t>concerned</w:t>
      </w:r>
      <w:r w:rsidR="00573BA7">
        <w:t xml:space="preserve"> </w:t>
      </w:r>
      <w:r w:rsidR="003A55DF">
        <w:t xml:space="preserve">that the Strategy is </w:t>
      </w:r>
      <w:r w:rsidR="0094207B">
        <w:t xml:space="preserve">generally </w:t>
      </w:r>
      <w:r w:rsidR="003A55DF">
        <w:t xml:space="preserve">silent on </w:t>
      </w:r>
      <w:r w:rsidR="009926A5">
        <w:t>transition</w:t>
      </w:r>
      <w:r w:rsidR="00573BA7">
        <w:t xml:space="preserve"> </w:t>
      </w:r>
      <w:r w:rsidR="009926A5">
        <w:t>to</w:t>
      </w:r>
      <w:r w:rsidR="00573BA7">
        <w:t xml:space="preserve"> </w:t>
      </w:r>
      <w:r w:rsidR="009926A5">
        <w:t>work</w:t>
      </w:r>
      <w:r w:rsidR="00573BA7">
        <w:t xml:space="preserve"> </w:t>
      </w:r>
      <w:r w:rsidR="00EF3412">
        <w:t>supports</w:t>
      </w:r>
      <w:r w:rsidR="00573BA7">
        <w:t xml:space="preserve"> </w:t>
      </w:r>
      <w:r w:rsidR="009926A5">
        <w:t>post-2020.</w:t>
      </w:r>
      <w:r w:rsidR="00573BA7">
        <w:t xml:space="preserve"> </w:t>
      </w:r>
    </w:p>
    <w:p w14:paraId="18F392F3" w14:textId="77777777" w:rsidR="004A1B2C" w:rsidRPr="004A1B2C" w:rsidRDefault="004A1B2C" w:rsidP="004A1B2C">
      <w:pPr>
        <w:pStyle w:val="ListNumber"/>
        <w:rPr>
          <w:rFonts w:eastAsia="Open Sans" w:cs="Open Sans"/>
          <w:b/>
          <w:bCs/>
          <w:i/>
          <w:iCs/>
        </w:rPr>
      </w:pPr>
      <w:bookmarkStart w:id="153" w:name="_Toc525894102"/>
      <w:bookmarkStart w:id="154" w:name="_Toc45727513"/>
      <w:r w:rsidRPr="004A1B2C">
        <w:rPr>
          <w:b/>
          <w:bCs/>
          <w:i/>
          <w:iCs/>
        </w:rPr>
        <w:t>Recommendation 22: That the NDIS Participant Employment Strategy 2019</w:t>
      </w:r>
      <w:r w:rsidRPr="004A1B2C">
        <w:rPr>
          <w:rFonts w:ascii="Calibri" w:eastAsia="Calibri" w:hAnsi="Calibri" w:cs="Calibri"/>
          <w:i/>
          <w:iCs/>
          <w:sz w:val="22"/>
          <w:szCs w:val="22"/>
        </w:rPr>
        <w:t>–</w:t>
      </w:r>
      <w:r w:rsidRPr="004A1B2C">
        <w:rPr>
          <w:b/>
          <w:bCs/>
          <w:i/>
          <w:iCs/>
        </w:rPr>
        <w:t>2022 be amended to include clear goals for transition to work supports for young people with disability in 2021 and 2022.</w:t>
      </w:r>
    </w:p>
    <w:p w14:paraId="3E1680E2" w14:textId="2D09E277" w:rsidR="009E62BA" w:rsidRDefault="009E62BA">
      <w:pPr>
        <w:spacing w:before="0" w:after="0"/>
        <w:rPr>
          <w:b/>
          <w:bCs/>
          <w:sz w:val="36"/>
          <w:szCs w:val="28"/>
        </w:rPr>
      </w:pPr>
    </w:p>
    <w:p w14:paraId="7E438912" w14:textId="77777777" w:rsidR="0066651E" w:rsidRDefault="0066651E">
      <w:pPr>
        <w:spacing w:before="0" w:after="0"/>
        <w:rPr>
          <w:b/>
          <w:bCs/>
          <w:sz w:val="36"/>
          <w:szCs w:val="28"/>
        </w:rPr>
      </w:pPr>
      <w:r>
        <w:br w:type="page"/>
      </w:r>
    </w:p>
    <w:p w14:paraId="4224F1B0" w14:textId="7B476F7E" w:rsidR="00A7615D" w:rsidRPr="001B3BCC" w:rsidRDefault="003423F4" w:rsidP="001B3BCC">
      <w:pPr>
        <w:pStyle w:val="Heading1"/>
        <w:rPr>
          <w:rFonts w:eastAsia="Open Sans" w:cs="Open Sans"/>
          <w:color w:val="000000" w:themeColor="text1"/>
          <w:szCs w:val="36"/>
        </w:rPr>
      </w:pPr>
      <w:bookmarkStart w:id="155" w:name="_Toc51834305"/>
      <w:r w:rsidRPr="003F4CE1">
        <w:lastRenderedPageBreak/>
        <w:t>Appendix</w:t>
      </w:r>
      <w:bookmarkStart w:id="156" w:name="_Toc45727514"/>
      <w:bookmarkEnd w:id="153"/>
      <w:bookmarkEnd w:id="154"/>
      <w:r w:rsidR="00696855">
        <w:t xml:space="preserve"> A:</w:t>
      </w:r>
      <w:r w:rsidR="001B3BCC">
        <w:t xml:space="preserve">  </w:t>
      </w:r>
      <w:r w:rsidR="00F2613A" w:rsidRPr="003F4CE1">
        <w:t>Overview</w:t>
      </w:r>
      <w:r w:rsidR="00573BA7">
        <w:t xml:space="preserve"> </w:t>
      </w:r>
      <w:r w:rsidR="00F2613A" w:rsidRPr="003F4CE1">
        <w:t>of</w:t>
      </w:r>
      <w:r w:rsidR="00573BA7">
        <w:t xml:space="preserve"> </w:t>
      </w:r>
      <w:r w:rsidR="00551DD5" w:rsidRPr="003F4CE1">
        <w:t>Disability</w:t>
      </w:r>
      <w:r w:rsidR="00573BA7">
        <w:t xml:space="preserve"> </w:t>
      </w:r>
      <w:r w:rsidR="00551DD5" w:rsidRPr="003F4CE1">
        <w:t>Discrimination</w:t>
      </w:r>
      <w:r w:rsidR="00573BA7">
        <w:t xml:space="preserve"> </w:t>
      </w:r>
      <w:r w:rsidR="00551DD5" w:rsidRPr="003F4CE1">
        <w:t>Act</w:t>
      </w:r>
      <w:r w:rsidR="00573BA7">
        <w:t xml:space="preserve"> </w:t>
      </w:r>
      <w:r w:rsidR="00F2613A" w:rsidRPr="003F4CE1">
        <w:t>Complaints</w:t>
      </w:r>
      <w:r w:rsidR="00573BA7">
        <w:t xml:space="preserve"> </w:t>
      </w:r>
      <w:r w:rsidR="00F2613A" w:rsidRPr="003F4CE1">
        <w:t>in</w:t>
      </w:r>
      <w:r w:rsidR="00573BA7">
        <w:t xml:space="preserve"> </w:t>
      </w:r>
      <w:r w:rsidR="00F2613A" w:rsidRPr="003F4CE1">
        <w:t>the</w:t>
      </w:r>
      <w:r w:rsidR="00573BA7">
        <w:t xml:space="preserve"> </w:t>
      </w:r>
      <w:r w:rsidR="00F2613A" w:rsidRPr="003F4CE1">
        <w:t>area</w:t>
      </w:r>
      <w:r w:rsidR="00573BA7">
        <w:t xml:space="preserve"> </w:t>
      </w:r>
      <w:r w:rsidR="00F2613A" w:rsidRPr="003F4CE1">
        <w:t>of</w:t>
      </w:r>
      <w:r w:rsidR="00573BA7">
        <w:t xml:space="preserve"> </w:t>
      </w:r>
      <w:r w:rsidR="00F2613A" w:rsidRPr="003F4CE1">
        <w:t>employment</w:t>
      </w:r>
      <w:r w:rsidR="00573BA7">
        <w:t xml:space="preserve"> </w:t>
      </w:r>
      <w:r w:rsidR="00F2613A" w:rsidRPr="003F4CE1">
        <w:t>(</w:t>
      </w:r>
      <w:r w:rsidR="00F55C58" w:rsidRPr="003F4CE1">
        <w:t>2013</w:t>
      </w:r>
      <w:r w:rsidR="100692AB" w:rsidRPr="6772E214">
        <w:rPr>
          <w:rFonts w:ascii="Calibri" w:eastAsia="Calibri" w:hAnsi="Calibri" w:cs="Calibri"/>
          <w:b w:val="0"/>
          <w:bCs w:val="0"/>
          <w:sz w:val="22"/>
          <w:szCs w:val="22"/>
        </w:rPr>
        <w:t>─</w:t>
      </w:r>
      <w:r w:rsidR="00F55C58" w:rsidRPr="003F4CE1">
        <w:t>2019</w:t>
      </w:r>
      <w:r w:rsidR="00F2613A" w:rsidRPr="003F4CE1">
        <w:t>)</w:t>
      </w:r>
      <w:bookmarkEnd w:id="155"/>
      <w:bookmarkEnd w:id="156"/>
      <w:r w:rsidR="00573BA7">
        <w:t xml:space="preserve"> </w:t>
      </w:r>
    </w:p>
    <w:p w14:paraId="487394AB" w14:textId="7E8D37F8" w:rsidR="00703E1F" w:rsidRDefault="00703E1F" w:rsidP="00CC28E6">
      <w:pPr>
        <w:pStyle w:val="ListParagraph"/>
        <w:numPr>
          <w:ilvl w:val="0"/>
          <w:numId w:val="23"/>
        </w:numPr>
        <w:spacing w:before="0" w:line="259" w:lineRule="auto"/>
        <w:rPr>
          <w:rFonts w:eastAsia="Open Sans" w:cs="Open Sans"/>
        </w:rPr>
      </w:pPr>
      <w:r w:rsidRPr="003F4CE1">
        <w:rPr>
          <w:rFonts w:cs="Open Sans"/>
        </w:rPr>
        <w:t>Complaints</w:t>
      </w:r>
      <w:r w:rsidR="00932C56">
        <w:rPr>
          <w:rFonts w:cs="Open Sans"/>
        </w:rPr>
        <w:t xml:space="preserve"> received by the Commission</w:t>
      </w:r>
      <w:r w:rsidR="00573BA7">
        <w:rPr>
          <w:rFonts w:cs="Open Sans"/>
        </w:rPr>
        <w:t xml:space="preserve"> </w:t>
      </w:r>
      <w:r w:rsidRPr="003F4CE1">
        <w:rPr>
          <w:rFonts w:cs="Open Sans"/>
        </w:rPr>
        <w:t>in</w:t>
      </w:r>
      <w:r w:rsidR="00573BA7">
        <w:rPr>
          <w:rFonts w:cs="Open Sans"/>
        </w:rPr>
        <w:t xml:space="preserve"> </w:t>
      </w:r>
      <w:r w:rsidRPr="003F4CE1">
        <w:rPr>
          <w:rFonts w:cs="Open Sans"/>
        </w:rPr>
        <w:t>the</w:t>
      </w:r>
      <w:r w:rsidR="00573BA7">
        <w:rPr>
          <w:rFonts w:cs="Open Sans"/>
        </w:rPr>
        <w:t xml:space="preserve"> </w:t>
      </w:r>
      <w:r w:rsidRPr="003F4CE1">
        <w:rPr>
          <w:rFonts w:cs="Open Sans"/>
        </w:rPr>
        <w:t>area</w:t>
      </w:r>
      <w:r w:rsidR="00573BA7">
        <w:rPr>
          <w:rFonts w:cs="Open Sans"/>
        </w:rPr>
        <w:t xml:space="preserve"> </w:t>
      </w:r>
      <w:r w:rsidRPr="003F4CE1">
        <w:rPr>
          <w:rFonts w:cs="Open Sans"/>
        </w:rPr>
        <w:t>of</w:t>
      </w:r>
      <w:r w:rsidR="00573BA7">
        <w:rPr>
          <w:rFonts w:cs="Open Sans"/>
        </w:rPr>
        <w:t xml:space="preserve"> </w:t>
      </w:r>
      <w:r w:rsidRPr="003F4CE1">
        <w:rPr>
          <w:rFonts w:cs="Open Sans"/>
        </w:rPr>
        <w:t>employment</w:t>
      </w:r>
      <w:r w:rsidR="00573BA7">
        <w:rPr>
          <w:rFonts w:cs="Open Sans"/>
        </w:rPr>
        <w:t xml:space="preserve"> </w:t>
      </w:r>
      <w:r w:rsidRPr="003F4CE1">
        <w:rPr>
          <w:rFonts w:cs="Open Sans"/>
        </w:rPr>
        <w:t>are</w:t>
      </w:r>
      <w:r w:rsidR="00573BA7">
        <w:rPr>
          <w:rFonts w:cs="Open Sans"/>
        </w:rPr>
        <w:t xml:space="preserve"> </w:t>
      </w:r>
      <w:r w:rsidRPr="003F4CE1">
        <w:rPr>
          <w:rFonts w:cs="Open Sans"/>
        </w:rPr>
        <w:t>consistently</w:t>
      </w:r>
      <w:r w:rsidR="00573BA7">
        <w:rPr>
          <w:rFonts w:cs="Open Sans"/>
        </w:rPr>
        <w:t xml:space="preserve"> </w:t>
      </w:r>
      <w:r w:rsidRPr="003F4CE1">
        <w:rPr>
          <w:rFonts w:cs="Open Sans"/>
        </w:rPr>
        <w:t>one</w:t>
      </w:r>
      <w:r w:rsidR="00573BA7">
        <w:rPr>
          <w:rFonts w:cs="Open Sans"/>
        </w:rPr>
        <w:t xml:space="preserve"> </w:t>
      </w:r>
      <w:r w:rsidRPr="003F4CE1">
        <w:rPr>
          <w:rFonts w:cs="Open Sans"/>
        </w:rPr>
        <w:t>of,</w:t>
      </w:r>
      <w:r w:rsidR="00573BA7">
        <w:rPr>
          <w:rFonts w:cs="Open Sans"/>
        </w:rPr>
        <w:t xml:space="preserve"> </w:t>
      </w:r>
      <w:r w:rsidRPr="003F4CE1">
        <w:rPr>
          <w:rFonts w:cs="Open Sans"/>
        </w:rPr>
        <w:t>if</w:t>
      </w:r>
      <w:r w:rsidR="00573BA7">
        <w:rPr>
          <w:rFonts w:cs="Open Sans"/>
        </w:rPr>
        <w:t xml:space="preserve"> </w:t>
      </w:r>
      <w:r w:rsidRPr="003F4CE1">
        <w:rPr>
          <w:rFonts w:cs="Open Sans"/>
        </w:rPr>
        <w:t>not</w:t>
      </w:r>
      <w:r w:rsidR="00573BA7">
        <w:rPr>
          <w:rFonts w:cs="Open Sans"/>
        </w:rPr>
        <w:t xml:space="preserve"> </w:t>
      </w:r>
      <w:r w:rsidRPr="003F4CE1">
        <w:rPr>
          <w:rFonts w:cs="Open Sans"/>
        </w:rPr>
        <w:t>the</w:t>
      </w:r>
      <w:r w:rsidR="00573BA7">
        <w:rPr>
          <w:rFonts w:cs="Open Sans"/>
        </w:rPr>
        <w:t xml:space="preserve"> </w:t>
      </w:r>
      <w:r w:rsidRPr="003F4CE1">
        <w:rPr>
          <w:rFonts w:cs="Open Sans"/>
        </w:rPr>
        <w:t>highest</w:t>
      </w:r>
      <w:r w:rsidR="00573BA7">
        <w:rPr>
          <w:rFonts w:cs="Open Sans"/>
        </w:rPr>
        <w:t xml:space="preserve"> </w:t>
      </w:r>
      <w:r w:rsidRPr="003F4CE1">
        <w:rPr>
          <w:rFonts w:cs="Open Sans"/>
        </w:rPr>
        <w:t>area</w:t>
      </w:r>
      <w:r w:rsidR="00573BA7">
        <w:rPr>
          <w:rFonts w:cs="Open Sans"/>
        </w:rPr>
        <w:t xml:space="preserve"> </w:t>
      </w:r>
      <w:r w:rsidRPr="003F4CE1">
        <w:rPr>
          <w:rFonts w:cs="Open Sans"/>
        </w:rPr>
        <w:t>of</w:t>
      </w:r>
      <w:r w:rsidR="00573BA7">
        <w:rPr>
          <w:rFonts w:cs="Open Sans"/>
        </w:rPr>
        <w:t xml:space="preserve"> </w:t>
      </w:r>
      <w:r w:rsidRPr="003F4CE1">
        <w:rPr>
          <w:rFonts w:cs="Open Sans"/>
        </w:rPr>
        <w:t>complaints</w:t>
      </w:r>
      <w:r w:rsidR="00573BA7">
        <w:rPr>
          <w:rFonts w:cs="Open Sans"/>
        </w:rPr>
        <w:t xml:space="preserve"> </w:t>
      </w:r>
      <w:r w:rsidRPr="003F4CE1">
        <w:rPr>
          <w:rFonts w:cs="Open Sans"/>
        </w:rPr>
        <w:t>received</w:t>
      </w:r>
      <w:r w:rsidR="00573BA7">
        <w:rPr>
          <w:rFonts w:cs="Open Sans"/>
        </w:rPr>
        <w:t xml:space="preserve"> </w:t>
      </w:r>
      <w:r w:rsidRPr="003F4CE1">
        <w:rPr>
          <w:rFonts w:cs="Open Sans"/>
        </w:rPr>
        <w:t>under</w:t>
      </w:r>
      <w:r w:rsidR="00573BA7">
        <w:rPr>
          <w:rFonts w:cs="Open Sans"/>
        </w:rPr>
        <w:t xml:space="preserve"> </w:t>
      </w:r>
      <w:r w:rsidRPr="003F4CE1">
        <w:rPr>
          <w:rFonts w:cs="Open Sans"/>
        </w:rPr>
        <w:t>the</w:t>
      </w:r>
      <w:r w:rsidR="00573BA7">
        <w:rPr>
          <w:rFonts w:cs="Open Sans"/>
        </w:rPr>
        <w:t xml:space="preserve"> </w:t>
      </w:r>
      <w:r w:rsidR="00551DD5" w:rsidRPr="003F4CE1">
        <w:rPr>
          <w:rFonts w:cs="Open Sans"/>
        </w:rPr>
        <w:t>Disability</w:t>
      </w:r>
      <w:r w:rsidR="00573BA7">
        <w:rPr>
          <w:rFonts w:cs="Open Sans"/>
        </w:rPr>
        <w:t xml:space="preserve"> </w:t>
      </w:r>
      <w:r w:rsidR="00551DD5" w:rsidRPr="003F4CE1">
        <w:rPr>
          <w:rFonts w:cs="Open Sans"/>
        </w:rPr>
        <w:t>Discrimination</w:t>
      </w:r>
      <w:r w:rsidR="00573BA7">
        <w:rPr>
          <w:rFonts w:cs="Open Sans"/>
        </w:rPr>
        <w:t xml:space="preserve"> </w:t>
      </w:r>
      <w:r w:rsidR="00551DD5" w:rsidRPr="003F4CE1">
        <w:rPr>
          <w:rFonts w:cs="Open Sans"/>
        </w:rPr>
        <w:t>Act</w:t>
      </w:r>
      <w:r w:rsidRPr="003F4CE1">
        <w:rPr>
          <w:rFonts w:cs="Open Sans"/>
        </w:rPr>
        <w:t>.</w:t>
      </w:r>
      <w:r w:rsidR="00573BA7">
        <w:rPr>
          <w:rFonts w:cs="Open Sans"/>
        </w:rPr>
        <w:t xml:space="preserve"> </w:t>
      </w:r>
      <w:r w:rsidRPr="003F4CE1">
        <w:rPr>
          <w:rFonts w:cs="Open Sans"/>
        </w:rPr>
        <w:t>Furthermore,</w:t>
      </w:r>
      <w:r w:rsidR="00573BA7">
        <w:rPr>
          <w:rFonts w:cs="Open Sans"/>
        </w:rPr>
        <w:t xml:space="preserve"> </w:t>
      </w:r>
      <w:r w:rsidRPr="003F4CE1">
        <w:rPr>
          <w:rFonts w:cs="Open Sans"/>
        </w:rPr>
        <w:t>complaints</w:t>
      </w:r>
      <w:r w:rsidR="00573BA7">
        <w:rPr>
          <w:rFonts w:cs="Open Sans"/>
        </w:rPr>
        <w:t xml:space="preserve"> </w:t>
      </w:r>
      <w:r w:rsidRPr="003F4CE1">
        <w:rPr>
          <w:rFonts w:cs="Open Sans"/>
        </w:rPr>
        <w:t>under</w:t>
      </w:r>
      <w:r w:rsidR="00573BA7">
        <w:rPr>
          <w:rFonts w:cs="Open Sans"/>
        </w:rPr>
        <w:t xml:space="preserve"> </w:t>
      </w:r>
      <w:r w:rsidRPr="003F4CE1">
        <w:rPr>
          <w:rFonts w:cs="Open Sans"/>
        </w:rPr>
        <w:t>the</w:t>
      </w:r>
      <w:r w:rsidR="00573BA7">
        <w:rPr>
          <w:rFonts w:cs="Open Sans"/>
        </w:rPr>
        <w:t xml:space="preserve"> </w:t>
      </w:r>
      <w:r w:rsidR="00551DD5" w:rsidRPr="003F4CE1">
        <w:rPr>
          <w:rFonts w:cs="Open Sans"/>
        </w:rPr>
        <w:t>Disability</w:t>
      </w:r>
      <w:r w:rsidR="00573BA7">
        <w:rPr>
          <w:rFonts w:cs="Open Sans"/>
        </w:rPr>
        <w:t xml:space="preserve"> </w:t>
      </w:r>
      <w:r w:rsidR="00551DD5" w:rsidRPr="003F4CE1">
        <w:rPr>
          <w:rFonts w:cs="Open Sans"/>
        </w:rPr>
        <w:t>Discrimination</w:t>
      </w:r>
      <w:r w:rsidR="00573BA7">
        <w:rPr>
          <w:rFonts w:cs="Open Sans"/>
        </w:rPr>
        <w:t xml:space="preserve"> </w:t>
      </w:r>
      <w:r w:rsidR="00551DD5" w:rsidRPr="003F4CE1">
        <w:rPr>
          <w:rFonts w:cs="Open Sans"/>
        </w:rPr>
        <w:t>Act</w:t>
      </w:r>
      <w:r w:rsidR="00573BA7">
        <w:rPr>
          <w:rFonts w:cs="Open Sans"/>
        </w:rPr>
        <w:t xml:space="preserve"> </w:t>
      </w:r>
      <w:r w:rsidRPr="003F4CE1">
        <w:rPr>
          <w:rFonts w:cs="Open Sans"/>
        </w:rPr>
        <w:t>overwhelmingly</w:t>
      </w:r>
      <w:r w:rsidR="00573BA7">
        <w:rPr>
          <w:rFonts w:cs="Open Sans"/>
        </w:rPr>
        <w:t xml:space="preserve"> </w:t>
      </w:r>
      <w:r w:rsidRPr="003F4CE1">
        <w:rPr>
          <w:rFonts w:cs="Open Sans"/>
        </w:rPr>
        <w:t>constitute</w:t>
      </w:r>
      <w:r w:rsidR="00573BA7">
        <w:rPr>
          <w:rFonts w:cs="Open Sans"/>
        </w:rPr>
        <w:t xml:space="preserve"> </w:t>
      </w:r>
      <w:r w:rsidRPr="003F4CE1">
        <w:rPr>
          <w:rFonts w:cs="Open Sans"/>
        </w:rPr>
        <w:t>the</w:t>
      </w:r>
      <w:r w:rsidR="00573BA7">
        <w:rPr>
          <w:rFonts w:cs="Open Sans"/>
        </w:rPr>
        <w:t xml:space="preserve"> </w:t>
      </w:r>
      <w:r w:rsidRPr="003F4CE1">
        <w:rPr>
          <w:rFonts w:cs="Open Sans"/>
        </w:rPr>
        <w:t>highest</w:t>
      </w:r>
      <w:r w:rsidR="00573BA7">
        <w:rPr>
          <w:rFonts w:cs="Open Sans"/>
        </w:rPr>
        <w:t xml:space="preserve"> </w:t>
      </w:r>
      <w:r w:rsidRPr="003F4CE1">
        <w:rPr>
          <w:rFonts w:cs="Open Sans"/>
        </w:rPr>
        <w:t>percentage</w:t>
      </w:r>
      <w:r w:rsidR="00573BA7">
        <w:rPr>
          <w:rFonts w:cs="Open Sans"/>
        </w:rPr>
        <w:t xml:space="preserve"> </w:t>
      </w:r>
      <w:r w:rsidRPr="003F4CE1">
        <w:rPr>
          <w:rFonts w:cs="Open Sans"/>
        </w:rPr>
        <w:t>of</w:t>
      </w:r>
      <w:r w:rsidR="00573BA7">
        <w:rPr>
          <w:rFonts w:cs="Open Sans"/>
        </w:rPr>
        <w:t xml:space="preserve"> </w:t>
      </w:r>
      <w:r w:rsidRPr="003F4CE1">
        <w:rPr>
          <w:rFonts w:cs="Open Sans"/>
        </w:rPr>
        <w:t>all</w:t>
      </w:r>
      <w:r w:rsidR="00573BA7">
        <w:rPr>
          <w:rFonts w:cs="Open Sans"/>
        </w:rPr>
        <w:t xml:space="preserve"> </w:t>
      </w:r>
      <w:r w:rsidRPr="003F4CE1">
        <w:rPr>
          <w:rFonts w:cs="Open Sans"/>
        </w:rPr>
        <w:t>complaints</w:t>
      </w:r>
      <w:r w:rsidR="00573BA7">
        <w:rPr>
          <w:rFonts w:cs="Open Sans"/>
        </w:rPr>
        <w:t xml:space="preserve"> </w:t>
      </w:r>
      <w:r w:rsidRPr="003F4CE1">
        <w:rPr>
          <w:rFonts w:cs="Open Sans"/>
        </w:rPr>
        <w:t>received</w:t>
      </w:r>
      <w:r w:rsidR="00573BA7">
        <w:rPr>
          <w:rFonts w:cs="Open Sans"/>
        </w:rPr>
        <w:t xml:space="preserve"> </w:t>
      </w:r>
      <w:r w:rsidRPr="003F4CE1">
        <w:rPr>
          <w:rFonts w:cs="Open Sans"/>
        </w:rPr>
        <w:t>by</w:t>
      </w:r>
      <w:r w:rsidR="00573BA7">
        <w:rPr>
          <w:rFonts w:cs="Open Sans"/>
        </w:rPr>
        <w:t xml:space="preserve"> </w:t>
      </w:r>
      <w:r w:rsidRPr="003F4CE1">
        <w:rPr>
          <w:rFonts w:cs="Open Sans"/>
        </w:rPr>
        <w:t>the</w:t>
      </w:r>
      <w:r w:rsidR="00573BA7">
        <w:rPr>
          <w:rFonts w:cs="Open Sans"/>
        </w:rPr>
        <w:t xml:space="preserve"> </w:t>
      </w:r>
      <w:r w:rsidRPr="003F4CE1">
        <w:rPr>
          <w:rFonts w:cs="Open Sans"/>
        </w:rPr>
        <w:t>Commission,</w:t>
      </w:r>
      <w:r w:rsidR="00573BA7">
        <w:rPr>
          <w:rFonts w:cs="Open Sans"/>
        </w:rPr>
        <w:t xml:space="preserve"> </w:t>
      </w:r>
      <w:r w:rsidRPr="003F4CE1">
        <w:rPr>
          <w:rFonts w:cs="Open Sans"/>
        </w:rPr>
        <w:t>making</w:t>
      </w:r>
      <w:r w:rsidR="00573BA7">
        <w:rPr>
          <w:rFonts w:cs="Open Sans"/>
        </w:rPr>
        <w:t xml:space="preserve"> </w:t>
      </w:r>
      <w:r w:rsidRPr="003F4CE1">
        <w:rPr>
          <w:rFonts w:cs="Open Sans"/>
        </w:rPr>
        <w:t>up</w:t>
      </w:r>
      <w:r w:rsidR="00573BA7">
        <w:rPr>
          <w:rFonts w:cs="Open Sans"/>
        </w:rPr>
        <w:t xml:space="preserve"> </w:t>
      </w:r>
      <w:r w:rsidRPr="003F4CE1">
        <w:rPr>
          <w:rFonts w:cs="Open Sans"/>
        </w:rPr>
        <w:t>44%</w:t>
      </w:r>
      <w:r w:rsidR="00573BA7">
        <w:rPr>
          <w:rFonts w:cs="Open Sans"/>
        </w:rPr>
        <w:t xml:space="preserve"> </w:t>
      </w:r>
      <w:r w:rsidRPr="003F4CE1">
        <w:rPr>
          <w:rFonts w:cs="Open Sans"/>
        </w:rPr>
        <w:t>of</w:t>
      </w:r>
      <w:r w:rsidR="00573BA7">
        <w:rPr>
          <w:rFonts w:cs="Open Sans"/>
        </w:rPr>
        <w:t xml:space="preserve"> </w:t>
      </w:r>
      <w:r w:rsidRPr="003F4CE1">
        <w:rPr>
          <w:rFonts w:cs="Open Sans"/>
        </w:rPr>
        <w:t>all</w:t>
      </w:r>
      <w:r w:rsidR="00573BA7">
        <w:rPr>
          <w:rFonts w:cs="Open Sans"/>
        </w:rPr>
        <w:t xml:space="preserve"> </w:t>
      </w:r>
      <w:r w:rsidRPr="003F4CE1">
        <w:rPr>
          <w:rFonts w:cs="Open Sans"/>
        </w:rPr>
        <w:t>complaints</w:t>
      </w:r>
      <w:r w:rsidR="00573BA7">
        <w:rPr>
          <w:rFonts w:cs="Open Sans"/>
        </w:rPr>
        <w:t xml:space="preserve"> </w:t>
      </w:r>
      <w:r w:rsidRPr="003F4CE1">
        <w:rPr>
          <w:rFonts w:cs="Open Sans"/>
        </w:rPr>
        <w:t>in</w:t>
      </w:r>
      <w:r w:rsidR="00573BA7">
        <w:rPr>
          <w:rFonts w:cs="Open Sans"/>
        </w:rPr>
        <w:t xml:space="preserve"> </w:t>
      </w:r>
      <w:r w:rsidRPr="003F4CE1">
        <w:rPr>
          <w:rFonts w:cs="Open Sans"/>
        </w:rPr>
        <w:t>2018</w:t>
      </w:r>
      <w:r w:rsidR="5DBEB7DA" w:rsidRPr="6772E214">
        <w:rPr>
          <w:rFonts w:ascii="Calibri" w:eastAsia="Calibri" w:hAnsi="Calibri" w:cs="Calibri"/>
          <w:sz w:val="22"/>
          <w:szCs w:val="22"/>
        </w:rPr>
        <w:t>─</w:t>
      </w:r>
      <w:r w:rsidR="0045444A" w:rsidRPr="003F4CE1">
        <w:rPr>
          <w:rStyle w:val="EndnoteReference"/>
          <w:rFonts w:cs="Open Sans"/>
        </w:rPr>
        <w:endnoteReference w:id="284"/>
      </w:r>
      <w:r w:rsidR="4137BB08" w:rsidRPr="6772E214">
        <w:t>￼</w:t>
      </w:r>
      <w:r w:rsidR="00573BA7">
        <w:rPr>
          <w:rFonts w:cs="Open Sans"/>
        </w:rPr>
        <w:t xml:space="preserve"> </w:t>
      </w:r>
    </w:p>
    <w:p w14:paraId="7AE1A2DF" w14:textId="69CC6FD3" w:rsidR="00BB3384" w:rsidRPr="00AB74DC" w:rsidRDefault="00AB74DC" w:rsidP="00AB74DC">
      <w:pPr>
        <w:pStyle w:val="ListParagraph"/>
        <w:numPr>
          <w:ilvl w:val="0"/>
          <w:numId w:val="23"/>
        </w:numPr>
        <w:spacing w:before="0" w:line="259" w:lineRule="auto"/>
        <w:rPr>
          <w:rFonts w:cs="Open Sans"/>
        </w:rPr>
      </w:pPr>
      <w:r w:rsidRPr="00C757CE">
        <w:rPr>
          <w:rFonts w:cs="Open Sans"/>
        </w:rPr>
        <w:t xml:space="preserve">Complaints received by the </w:t>
      </w:r>
      <w:r w:rsidR="006A5D47">
        <w:rPr>
          <w:rFonts w:cs="Open Sans"/>
        </w:rPr>
        <w:t>C</w:t>
      </w:r>
      <w:r w:rsidRPr="00C757CE">
        <w:rPr>
          <w:rFonts w:cs="Open Sans"/>
        </w:rPr>
        <w:t>ommission may be resolved by conciliation or court decision. The most recent reported employment complaints resolved via conciliation in 2018 predominantly related to disability discrimination caused by a failure to provide adequate workplace adjustments (i.e. equipment and working hours), allegedly mistaken conclusions or assumptions that the complainant was not able to perform the inherent requirements of the role, and general discrimination and unfavourable treatment by employers and co-workers as a result of the complainant’s disability.</w:t>
      </w:r>
      <w:r w:rsidRPr="00C757CE">
        <w:rPr>
          <w:rStyle w:val="EndnoteReference"/>
          <w:rFonts w:cs="Open Sans"/>
        </w:rPr>
        <w:endnoteReference w:id="285"/>
      </w:r>
    </w:p>
    <w:p w14:paraId="0659DE65" w14:textId="0FEA257A" w:rsidR="00994E75" w:rsidRPr="003F4CE1" w:rsidRDefault="00994E75" w:rsidP="00994E75">
      <w:pPr>
        <w:spacing w:before="0" w:line="259" w:lineRule="auto"/>
        <w:rPr>
          <w:rFonts w:cs="Open Sans"/>
          <w:b/>
          <w:bCs/>
        </w:rPr>
      </w:pPr>
      <w:r w:rsidRPr="003F4CE1">
        <w:rPr>
          <w:rFonts w:cs="Open Sans"/>
          <w:b/>
          <w:bCs/>
        </w:rPr>
        <w:t>Table</w:t>
      </w:r>
      <w:r w:rsidR="00573BA7">
        <w:rPr>
          <w:rFonts w:cs="Open Sans"/>
          <w:b/>
          <w:bCs/>
        </w:rPr>
        <w:t xml:space="preserve"> </w:t>
      </w:r>
      <w:r w:rsidRPr="003F4CE1">
        <w:rPr>
          <w:rFonts w:cs="Open Sans"/>
          <w:b/>
          <w:bCs/>
        </w:rPr>
        <w:t>1:</w:t>
      </w:r>
      <w:r w:rsidR="00573BA7">
        <w:rPr>
          <w:rFonts w:cs="Open Sans"/>
          <w:b/>
          <w:bCs/>
        </w:rPr>
        <w:t xml:space="preserve"> </w:t>
      </w:r>
      <w:r w:rsidR="00551DD5" w:rsidRPr="003F4CE1">
        <w:rPr>
          <w:rFonts w:cs="Open Sans"/>
          <w:b/>
          <w:bCs/>
        </w:rPr>
        <w:t>Disability</w:t>
      </w:r>
      <w:r w:rsidR="00573BA7">
        <w:rPr>
          <w:rFonts w:cs="Open Sans"/>
          <w:b/>
          <w:bCs/>
        </w:rPr>
        <w:t xml:space="preserve"> </w:t>
      </w:r>
      <w:r w:rsidR="00551DD5" w:rsidRPr="003F4CE1">
        <w:rPr>
          <w:rFonts w:cs="Open Sans"/>
          <w:b/>
          <w:bCs/>
        </w:rPr>
        <w:t>Discrimination</w:t>
      </w:r>
      <w:r w:rsidR="00573BA7">
        <w:rPr>
          <w:rFonts w:cs="Open Sans"/>
          <w:b/>
          <w:bCs/>
        </w:rPr>
        <w:t xml:space="preserve"> </w:t>
      </w:r>
      <w:r w:rsidR="00551DD5" w:rsidRPr="003F4CE1">
        <w:rPr>
          <w:rFonts w:cs="Open Sans"/>
          <w:b/>
          <w:bCs/>
        </w:rPr>
        <w:t>Act</w:t>
      </w:r>
      <w:r w:rsidR="00573BA7">
        <w:rPr>
          <w:rFonts w:cs="Open Sans"/>
          <w:b/>
          <w:bCs/>
        </w:rPr>
        <w:t xml:space="preserve"> </w:t>
      </w:r>
      <w:r w:rsidRPr="003F4CE1">
        <w:rPr>
          <w:rFonts w:cs="Open Sans"/>
          <w:b/>
          <w:bCs/>
        </w:rPr>
        <w:t>complaints</w:t>
      </w:r>
      <w:r w:rsidR="00573BA7">
        <w:rPr>
          <w:rFonts w:cs="Open Sans"/>
          <w:b/>
          <w:bCs/>
        </w:rPr>
        <w:t xml:space="preserve"> </w:t>
      </w:r>
      <w:r w:rsidRPr="003F4CE1">
        <w:rPr>
          <w:rFonts w:cs="Open Sans"/>
          <w:b/>
          <w:bCs/>
        </w:rPr>
        <w:t>received</w:t>
      </w:r>
      <w:r w:rsidR="00573BA7">
        <w:rPr>
          <w:rFonts w:cs="Open Sans"/>
          <w:b/>
          <w:bCs/>
        </w:rPr>
        <w:t xml:space="preserve"> </w:t>
      </w:r>
      <w:r w:rsidR="004C4DAD" w:rsidRPr="003F4CE1">
        <w:rPr>
          <w:rFonts w:cs="Open Sans"/>
          <w:b/>
          <w:bCs/>
        </w:rPr>
        <w:t>in</w:t>
      </w:r>
      <w:r w:rsidR="00573BA7">
        <w:rPr>
          <w:rFonts w:cs="Open Sans"/>
          <w:b/>
          <w:bCs/>
        </w:rPr>
        <w:t xml:space="preserve"> </w:t>
      </w:r>
      <w:r w:rsidR="004C4DAD" w:rsidRPr="003F4CE1">
        <w:rPr>
          <w:rFonts w:cs="Open Sans"/>
          <w:b/>
          <w:bCs/>
        </w:rPr>
        <w:t>the</w:t>
      </w:r>
      <w:r w:rsidR="00573BA7">
        <w:rPr>
          <w:rFonts w:cs="Open Sans"/>
          <w:b/>
          <w:bCs/>
        </w:rPr>
        <w:t xml:space="preserve"> </w:t>
      </w:r>
      <w:r w:rsidR="004C4DAD" w:rsidRPr="003F4CE1">
        <w:rPr>
          <w:rFonts w:cs="Open Sans"/>
          <w:b/>
          <w:bCs/>
        </w:rPr>
        <w:t>area</w:t>
      </w:r>
      <w:r w:rsidR="00573BA7">
        <w:rPr>
          <w:rFonts w:cs="Open Sans"/>
          <w:b/>
          <w:bCs/>
        </w:rPr>
        <w:t xml:space="preserve"> </w:t>
      </w:r>
      <w:r w:rsidR="004C4DAD" w:rsidRPr="003F4CE1">
        <w:rPr>
          <w:rFonts w:cs="Open Sans"/>
          <w:b/>
          <w:bCs/>
        </w:rPr>
        <w:t>of</w:t>
      </w:r>
      <w:r w:rsidR="00573BA7">
        <w:rPr>
          <w:rFonts w:cs="Open Sans"/>
          <w:b/>
          <w:bCs/>
        </w:rPr>
        <w:t xml:space="preserve"> </w:t>
      </w:r>
      <w:r w:rsidR="004C4DAD" w:rsidRPr="003F4CE1">
        <w:rPr>
          <w:rFonts w:cs="Open Sans"/>
          <w:b/>
          <w:bCs/>
        </w:rPr>
        <w:t>employment</w:t>
      </w:r>
      <w:r w:rsidR="00573BA7">
        <w:rPr>
          <w:rFonts w:cs="Open Sans"/>
          <w:b/>
          <w:bCs/>
        </w:rPr>
        <w:t xml:space="preserve"> </w:t>
      </w:r>
      <w:r w:rsidR="004C4DAD" w:rsidRPr="003F4CE1">
        <w:rPr>
          <w:rFonts w:cs="Open Sans"/>
          <w:b/>
          <w:bCs/>
        </w:rPr>
        <w:t>(2013-2019)</w:t>
      </w:r>
    </w:p>
    <w:tbl>
      <w:tblPr>
        <w:tblStyle w:val="TableGrid"/>
        <w:tblW w:w="9180" w:type="dxa"/>
        <w:tblInd w:w="-95" w:type="dxa"/>
        <w:tblLook w:val="04A0" w:firstRow="1" w:lastRow="0" w:firstColumn="1" w:lastColumn="0" w:noHBand="0" w:noVBand="1"/>
      </w:tblPr>
      <w:tblGrid>
        <w:gridCol w:w="2160"/>
        <w:gridCol w:w="1170"/>
        <w:gridCol w:w="1170"/>
        <w:gridCol w:w="1170"/>
        <w:gridCol w:w="1170"/>
        <w:gridCol w:w="1170"/>
        <w:gridCol w:w="1170"/>
      </w:tblGrid>
      <w:tr w:rsidR="00A62BFA" w:rsidRPr="003F4CE1" w14:paraId="04CD1452" w14:textId="77777777" w:rsidTr="00710E6A">
        <w:tc>
          <w:tcPr>
            <w:tcW w:w="2160" w:type="dxa"/>
            <w:tcBorders>
              <w:top w:val="nil"/>
              <w:left w:val="nil"/>
            </w:tcBorders>
          </w:tcPr>
          <w:p w14:paraId="4003727A" w14:textId="77777777" w:rsidR="00703E1F" w:rsidRPr="003F4CE1" w:rsidRDefault="00703E1F" w:rsidP="002E001E">
            <w:pPr>
              <w:rPr>
                <w:b/>
                <w:bCs/>
              </w:rPr>
            </w:pPr>
          </w:p>
        </w:tc>
        <w:tc>
          <w:tcPr>
            <w:tcW w:w="1170" w:type="dxa"/>
            <w:shd w:val="clear" w:color="auto" w:fill="D9D9D9" w:themeFill="background1" w:themeFillShade="D9"/>
          </w:tcPr>
          <w:p w14:paraId="5F4B75D4" w14:textId="77777777" w:rsidR="00703E1F" w:rsidRPr="003F4CE1" w:rsidRDefault="00703E1F" w:rsidP="002E001E">
            <w:pPr>
              <w:rPr>
                <w:b/>
                <w:bCs/>
              </w:rPr>
            </w:pPr>
            <w:r w:rsidRPr="003F4CE1">
              <w:rPr>
                <w:b/>
                <w:bCs/>
              </w:rPr>
              <w:t>2013-14</w:t>
            </w:r>
          </w:p>
        </w:tc>
        <w:tc>
          <w:tcPr>
            <w:tcW w:w="1170" w:type="dxa"/>
            <w:shd w:val="clear" w:color="auto" w:fill="D9D9D9" w:themeFill="background1" w:themeFillShade="D9"/>
          </w:tcPr>
          <w:p w14:paraId="6CF4391A" w14:textId="77777777" w:rsidR="00703E1F" w:rsidRPr="003F4CE1" w:rsidRDefault="00703E1F" w:rsidP="002E001E">
            <w:pPr>
              <w:rPr>
                <w:b/>
                <w:bCs/>
              </w:rPr>
            </w:pPr>
            <w:r w:rsidRPr="003F4CE1">
              <w:rPr>
                <w:b/>
                <w:bCs/>
              </w:rPr>
              <w:t>2014-15</w:t>
            </w:r>
          </w:p>
        </w:tc>
        <w:tc>
          <w:tcPr>
            <w:tcW w:w="1170" w:type="dxa"/>
            <w:shd w:val="clear" w:color="auto" w:fill="D9D9D9" w:themeFill="background1" w:themeFillShade="D9"/>
          </w:tcPr>
          <w:p w14:paraId="703F9AA5" w14:textId="77777777" w:rsidR="00703E1F" w:rsidRPr="003F4CE1" w:rsidRDefault="00703E1F" w:rsidP="002E001E">
            <w:pPr>
              <w:rPr>
                <w:b/>
                <w:bCs/>
              </w:rPr>
            </w:pPr>
            <w:r w:rsidRPr="003F4CE1">
              <w:rPr>
                <w:b/>
                <w:bCs/>
              </w:rPr>
              <w:t>2015-16</w:t>
            </w:r>
          </w:p>
        </w:tc>
        <w:tc>
          <w:tcPr>
            <w:tcW w:w="1170" w:type="dxa"/>
            <w:shd w:val="clear" w:color="auto" w:fill="D9D9D9" w:themeFill="background1" w:themeFillShade="D9"/>
          </w:tcPr>
          <w:p w14:paraId="531CA40D" w14:textId="77777777" w:rsidR="00703E1F" w:rsidRPr="003F4CE1" w:rsidRDefault="00703E1F" w:rsidP="002E001E">
            <w:pPr>
              <w:rPr>
                <w:b/>
                <w:bCs/>
              </w:rPr>
            </w:pPr>
            <w:r w:rsidRPr="003F4CE1">
              <w:rPr>
                <w:b/>
                <w:bCs/>
              </w:rPr>
              <w:t>2016-17</w:t>
            </w:r>
          </w:p>
        </w:tc>
        <w:tc>
          <w:tcPr>
            <w:tcW w:w="1170" w:type="dxa"/>
            <w:shd w:val="clear" w:color="auto" w:fill="D9D9D9" w:themeFill="background1" w:themeFillShade="D9"/>
          </w:tcPr>
          <w:p w14:paraId="0CCE6729" w14:textId="77777777" w:rsidR="00703E1F" w:rsidRPr="003F4CE1" w:rsidRDefault="00703E1F" w:rsidP="002E001E">
            <w:pPr>
              <w:rPr>
                <w:b/>
                <w:bCs/>
              </w:rPr>
            </w:pPr>
            <w:r w:rsidRPr="003F4CE1">
              <w:rPr>
                <w:b/>
                <w:bCs/>
              </w:rPr>
              <w:t>2017-18</w:t>
            </w:r>
          </w:p>
        </w:tc>
        <w:tc>
          <w:tcPr>
            <w:tcW w:w="1170" w:type="dxa"/>
            <w:shd w:val="clear" w:color="auto" w:fill="D9D9D9" w:themeFill="background1" w:themeFillShade="D9"/>
          </w:tcPr>
          <w:p w14:paraId="65583A9A" w14:textId="77777777" w:rsidR="00703E1F" w:rsidRPr="003F4CE1" w:rsidRDefault="00703E1F" w:rsidP="002E001E">
            <w:pPr>
              <w:rPr>
                <w:b/>
                <w:bCs/>
              </w:rPr>
            </w:pPr>
            <w:r w:rsidRPr="003F4CE1">
              <w:rPr>
                <w:b/>
                <w:bCs/>
              </w:rPr>
              <w:t>2018-19</w:t>
            </w:r>
          </w:p>
        </w:tc>
      </w:tr>
      <w:tr w:rsidR="00263338" w:rsidRPr="003F4CE1" w14:paraId="42182E97" w14:textId="77777777" w:rsidTr="006A5D47">
        <w:tc>
          <w:tcPr>
            <w:tcW w:w="2160" w:type="dxa"/>
            <w:shd w:val="clear" w:color="auto" w:fill="F2F2F2" w:themeFill="background1" w:themeFillShade="F2"/>
          </w:tcPr>
          <w:p w14:paraId="4A913041" w14:textId="0715B16E" w:rsidR="00703E1F" w:rsidRPr="003F4CE1" w:rsidRDefault="00703E1F" w:rsidP="002E001E">
            <w:pPr>
              <w:rPr>
                <w:b/>
                <w:bCs/>
              </w:rPr>
            </w:pPr>
            <w:r w:rsidRPr="003F4CE1">
              <w:rPr>
                <w:b/>
                <w:bCs/>
              </w:rPr>
              <w:t>Number</w:t>
            </w:r>
            <w:r w:rsidR="00573BA7">
              <w:rPr>
                <w:b/>
                <w:bCs/>
              </w:rPr>
              <w:t xml:space="preserve"> </w:t>
            </w:r>
            <w:r w:rsidRPr="003F4CE1">
              <w:rPr>
                <w:b/>
                <w:bCs/>
              </w:rPr>
              <w:t>of</w:t>
            </w:r>
            <w:r w:rsidR="00573BA7">
              <w:rPr>
                <w:b/>
                <w:bCs/>
              </w:rPr>
              <w:t xml:space="preserve"> </w:t>
            </w:r>
            <w:r w:rsidRPr="003F4CE1">
              <w:rPr>
                <w:b/>
                <w:bCs/>
              </w:rPr>
              <w:t>complaints</w:t>
            </w:r>
          </w:p>
        </w:tc>
        <w:tc>
          <w:tcPr>
            <w:tcW w:w="1170" w:type="dxa"/>
          </w:tcPr>
          <w:p w14:paraId="3EF51CBB" w14:textId="66447EE8" w:rsidR="00703E1F" w:rsidRPr="003F4CE1" w:rsidRDefault="00703E1F" w:rsidP="002E001E">
            <w:r w:rsidRPr="003F4CE1">
              <w:t>337</w:t>
            </w:r>
            <w:r w:rsidR="00573BA7">
              <w:t xml:space="preserve"> </w:t>
            </w:r>
          </w:p>
        </w:tc>
        <w:tc>
          <w:tcPr>
            <w:tcW w:w="1170" w:type="dxa"/>
          </w:tcPr>
          <w:p w14:paraId="5C5C1A15" w14:textId="6CC58217" w:rsidR="00703E1F" w:rsidRPr="003F4CE1" w:rsidRDefault="00703E1F" w:rsidP="002E001E">
            <w:r w:rsidRPr="003F4CE1">
              <w:t>302</w:t>
            </w:r>
            <w:r w:rsidR="00573BA7">
              <w:t xml:space="preserve"> </w:t>
            </w:r>
          </w:p>
        </w:tc>
        <w:tc>
          <w:tcPr>
            <w:tcW w:w="1170" w:type="dxa"/>
          </w:tcPr>
          <w:p w14:paraId="546183E6" w14:textId="701C9733" w:rsidR="00703E1F" w:rsidRPr="003F4CE1" w:rsidRDefault="00703E1F" w:rsidP="002E001E">
            <w:r w:rsidRPr="003F4CE1">
              <w:t>331</w:t>
            </w:r>
            <w:r w:rsidR="00573BA7">
              <w:t xml:space="preserve"> </w:t>
            </w:r>
          </w:p>
        </w:tc>
        <w:tc>
          <w:tcPr>
            <w:tcW w:w="1170" w:type="dxa"/>
          </w:tcPr>
          <w:p w14:paraId="3C0DFA74" w14:textId="13E180A2" w:rsidR="00703E1F" w:rsidRPr="003F4CE1" w:rsidRDefault="00703E1F" w:rsidP="002E001E">
            <w:r w:rsidRPr="003F4CE1">
              <w:t>311</w:t>
            </w:r>
            <w:r w:rsidR="00573BA7">
              <w:t xml:space="preserve"> </w:t>
            </w:r>
          </w:p>
        </w:tc>
        <w:tc>
          <w:tcPr>
            <w:tcW w:w="1170" w:type="dxa"/>
          </w:tcPr>
          <w:p w14:paraId="7F4DFD31" w14:textId="4D107921" w:rsidR="00703E1F" w:rsidRPr="003F4CE1" w:rsidRDefault="00703E1F" w:rsidP="002E001E">
            <w:r w:rsidRPr="003F4CE1">
              <w:t>319</w:t>
            </w:r>
            <w:r w:rsidR="00573BA7">
              <w:t xml:space="preserve"> </w:t>
            </w:r>
          </w:p>
        </w:tc>
        <w:tc>
          <w:tcPr>
            <w:tcW w:w="1170" w:type="dxa"/>
          </w:tcPr>
          <w:p w14:paraId="6DF744D2" w14:textId="0C03BC43" w:rsidR="00703E1F" w:rsidRPr="003F4CE1" w:rsidRDefault="00703E1F" w:rsidP="002E001E">
            <w:r w:rsidRPr="003F4CE1">
              <w:t>317</w:t>
            </w:r>
            <w:r w:rsidR="00573BA7">
              <w:t xml:space="preserve"> </w:t>
            </w:r>
          </w:p>
        </w:tc>
      </w:tr>
      <w:tr w:rsidR="00263338" w:rsidRPr="003F4CE1" w14:paraId="13D59EAC" w14:textId="77777777" w:rsidTr="006A5D47">
        <w:tc>
          <w:tcPr>
            <w:tcW w:w="2160" w:type="dxa"/>
            <w:shd w:val="clear" w:color="auto" w:fill="F2F2F2" w:themeFill="background1" w:themeFillShade="F2"/>
          </w:tcPr>
          <w:p w14:paraId="34C02BE6" w14:textId="2F0F5387" w:rsidR="00703E1F" w:rsidRPr="00696855" w:rsidRDefault="00703E1F" w:rsidP="002E001E">
            <w:pPr>
              <w:rPr>
                <w:b/>
                <w:bCs/>
              </w:rPr>
            </w:pPr>
            <w:r w:rsidRPr="00696855">
              <w:rPr>
                <w:b/>
                <w:bCs/>
              </w:rPr>
              <w:t>Percentage</w:t>
            </w:r>
            <w:r w:rsidR="00573BA7" w:rsidRPr="00696855">
              <w:rPr>
                <w:b/>
                <w:bCs/>
              </w:rPr>
              <w:t xml:space="preserve"> </w:t>
            </w:r>
            <w:r w:rsidRPr="00696855">
              <w:rPr>
                <w:b/>
                <w:bCs/>
              </w:rPr>
              <w:t>of</w:t>
            </w:r>
            <w:r w:rsidR="00573BA7" w:rsidRPr="00696855">
              <w:rPr>
                <w:b/>
                <w:bCs/>
              </w:rPr>
              <w:t xml:space="preserve"> </w:t>
            </w:r>
            <w:r w:rsidRPr="00696855">
              <w:rPr>
                <w:b/>
                <w:bCs/>
              </w:rPr>
              <w:t>all</w:t>
            </w:r>
            <w:r w:rsidR="00573BA7" w:rsidRPr="00696855">
              <w:rPr>
                <w:b/>
                <w:bCs/>
              </w:rPr>
              <w:t xml:space="preserve"> </w:t>
            </w:r>
            <w:r w:rsidR="00551DD5" w:rsidRPr="00696855">
              <w:rPr>
                <w:b/>
                <w:bCs/>
              </w:rPr>
              <w:t>Disability</w:t>
            </w:r>
            <w:r w:rsidR="00573BA7" w:rsidRPr="00696855">
              <w:rPr>
                <w:b/>
                <w:bCs/>
              </w:rPr>
              <w:t xml:space="preserve"> </w:t>
            </w:r>
            <w:r w:rsidR="00551DD5" w:rsidRPr="00696855">
              <w:rPr>
                <w:b/>
                <w:bCs/>
              </w:rPr>
              <w:t>Discrimination</w:t>
            </w:r>
            <w:r w:rsidR="00573BA7" w:rsidRPr="00696855">
              <w:rPr>
                <w:b/>
                <w:bCs/>
              </w:rPr>
              <w:t xml:space="preserve"> </w:t>
            </w:r>
            <w:r w:rsidR="00551DD5" w:rsidRPr="00696855">
              <w:rPr>
                <w:b/>
                <w:bCs/>
              </w:rPr>
              <w:t>Act</w:t>
            </w:r>
            <w:r w:rsidR="00573BA7" w:rsidRPr="00696855">
              <w:rPr>
                <w:b/>
                <w:bCs/>
              </w:rPr>
              <w:t xml:space="preserve"> </w:t>
            </w:r>
            <w:r w:rsidRPr="00696855">
              <w:rPr>
                <w:b/>
                <w:bCs/>
              </w:rPr>
              <w:t>complaints</w:t>
            </w:r>
          </w:p>
        </w:tc>
        <w:tc>
          <w:tcPr>
            <w:tcW w:w="1170" w:type="dxa"/>
          </w:tcPr>
          <w:p w14:paraId="4B60F69D" w14:textId="77777777" w:rsidR="00703E1F" w:rsidRPr="003F4CE1" w:rsidRDefault="00703E1F" w:rsidP="002E001E">
            <w:r w:rsidRPr="003F4CE1">
              <w:t>33%</w:t>
            </w:r>
          </w:p>
        </w:tc>
        <w:tc>
          <w:tcPr>
            <w:tcW w:w="1170" w:type="dxa"/>
          </w:tcPr>
          <w:p w14:paraId="61E1B9A1" w14:textId="77777777" w:rsidR="00703E1F" w:rsidRPr="003F4CE1" w:rsidRDefault="00703E1F" w:rsidP="002E001E">
            <w:r w:rsidRPr="003F4CE1">
              <w:t>34%</w:t>
            </w:r>
          </w:p>
        </w:tc>
        <w:tc>
          <w:tcPr>
            <w:tcW w:w="1170" w:type="dxa"/>
          </w:tcPr>
          <w:p w14:paraId="2B9B321A" w14:textId="77777777" w:rsidR="00703E1F" w:rsidRPr="003F4CE1" w:rsidRDefault="00703E1F" w:rsidP="002E001E">
            <w:r w:rsidRPr="003F4CE1">
              <w:t>35%</w:t>
            </w:r>
          </w:p>
        </w:tc>
        <w:tc>
          <w:tcPr>
            <w:tcW w:w="1170" w:type="dxa"/>
          </w:tcPr>
          <w:p w14:paraId="7BDDD666" w14:textId="77777777" w:rsidR="00703E1F" w:rsidRPr="003F4CE1" w:rsidRDefault="00703E1F" w:rsidP="002E001E">
            <w:r w:rsidRPr="003F4CE1">
              <w:t>33%</w:t>
            </w:r>
          </w:p>
        </w:tc>
        <w:tc>
          <w:tcPr>
            <w:tcW w:w="1170" w:type="dxa"/>
          </w:tcPr>
          <w:p w14:paraId="087707C9" w14:textId="2A428D02" w:rsidR="00703E1F" w:rsidRPr="003F4CE1" w:rsidRDefault="00703E1F" w:rsidP="002E001E">
            <w:r w:rsidRPr="003F4CE1">
              <w:t>37%*</w:t>
            </w:r>
          </w:p>
        </w:tc>
        <w:tc>
          <w:tcPr>
            <w:tcW w:w="1170" w:type="dxa"/>
          </w:tcPr>
          <w:p w14:paraId="59725FE4" w14:textId="2A67C469" w:rsidR="00703E1F" w:rsidRPr="003F4CE1" w:rsidRDefault="00703E1F" w:rsidP="002E001E">
            <w:r w:rsidRPr="003F4CE1">
              <w:t>36%**</w:t>
            </w:r>
          </w:p>
        </w:tc>
      </w:tr>
    </w:tbl>
    <w:p w14:paraId="0534F518" w14:textId="378E7946" w:rsidR="00703E1F" w:rsidRPr="003F4CE1" w:rsidRDefault="00703E1F" w:rsidP="00703E1F">
      <w:r w:rsidRPr="003F4CE1">
        <w:t>*Annual</w:t>
      </w:r>
      <w:r w:rsidR="00573BA7">
        <w:t xml:space="preserve"> </w:t>
      </w:r>
      <w:r w:rsidRPr="003F4CE1">
        <w:t>report</w:t>
      </w:r>
      <w:r w:rsidR="00573BA7">
        <w:t xml:space="preserve"> </w:t>
      </w:r>
      <w:r w:rsidRPr="003F4CE1">
        <w:t>figure</w:t>
      </w:r>
      <w:r w:rsidR="00573BA7">
        <w:t xml:space="preserve"> </w:t>
      </w:r>
      <w:r w:rsidRPr="003F4CE1">
        <w:t>was</w:t>
      </w:r>
      <w:r w:rsidR="00573BA7">
        <w:t xml:space="preserve"> </w:t>
      </w:r>
      <w:r w:rsidRPr="003F4CE1">
        <w:t>30%</w:t>
      </w:r>
      <w:r w:rsidR="00573BA7">
        <w:t xml:space="preserve"> </w:t>
      </w:r>
      <w:r w:rsidRPr="003F4CE1">
        <w:t>(Annual</w:t>
      </w:r>
      <w:r w:rsidR="00573BA7">
        <w:t xml:space="preserve"> </w:t>
      </w:r>
      <w:r w:rsidRPr="003F4CE1">
        <w:t>Report</w:t>
      </w:r>
      <w:r w:rsidR="00573BA7">
        <w:t xml:space="preserve"> </w:t>
      </w:r>
      <w:r w:rsidRPr="003F4CE1">
        <w:t>2017-18,</w:t>
      </w:r>
      <w:r w:rsidR="00573BA7">
        <w:t xml:space="preserve"> </w:t>
      </w:r>
      <w:r w:rsidRPr="003F4CE1">
        <w:t>Table</w:t>
      </w:r>
      <w:r w:rsidR="00573BA7">
        <w:t xml:space="preserve"> </w:t>
      </w:r>
      <w:r w:rsidRPr="003F4CE1">
        <w:t>27:</w:t>
      </w:r>
      <w:r w:rsidR="00573BA7">
        <w:t xml:space="preserve"> </w:t>
      </w:r>
      <w:r w:rsidRPr="003F4CE1">
        <w:t>Disability</w:t>
      </w:r>
      <w:r w:rsidR="00573BA7">
        <w:t xml:space="preserve"> </w:t>
      </w:r>
      <w:r w:rsidRPr="003F4CE1">
        <w:t>Discrimination</w:t>
      </w:r>
      <w:r w:rsidR="00573BA7">
        <w:t xml:space="preserve"> </w:t>
      </w:r>
      <w:r w:rsidRPr="003F4CE1">
        <w:t>Act</w:t>
      </w:r>
      <w:r w:rsidR="00573BA7">
        <w:t xml:space="preserve"> </w:t>
      </w:r>
      <w:r w:rsidRPr="003F4CE1">
        <w:t>–</w:t>
      </w:r>
      <w:r w:rsidR="00573BA7">
        <w:t xml:space="preserve"> </w:t>
      </w:r>
      <w:r w:rsidRPr="003F4CE1">
        <w:t>Complaints</w:t>
      </w:r>
      <w:r w:rsidR="00573BA7">
        <w:t xml:space="preserve"> </w:t>
      </w:r>
      <w:r w:rsidRPr="003F4CE1">
        <w:t>received</w:t>
      </w:r>
      <w:r w:rsidR="00573BA7">
        <w:t xml:space="preserve"> </w:t>
      </w:r>
      <w:r w:rsidRPr="003F4CE1">
        <w:t>by</w:t>
      </w:r>
      <w:r w:rsidR="00573BA7">
        <w:t xml:space="preserve"> </w:t>
      </w:r>
      <w:r w:rsidRPr="003F4CE1">
        <w:t>area).</w:t>
      </w:r>
    </w:p>
    <w:p w14:paraId="5BAB4D91" w14:textId="3BB6509C" w:rsidR="00703E1F" w:rsidRPr="003F4CE1" w:rsidRDefault="00703E1F" w:rsidP="00703E1F">
      <w:r w:rsidRPr="003F4CE1">
        <w:lastRenderedPageBreak/>
        <w:t>**Annual</w:t>
      </w:r>
      <w:r w:rsidR="00573BA7">
        <w:t xml:space="preserve"> </w:t>
      </w:r>
      <w:r w:rsidRPr="003F4CE1">
        <w:t>report</w:t>
      </w:r>
      <w:r w:rsidR="00573BA7">
        <w:t xml:space="preserve"> </w:t>
      </w:r>
      <w:r w:rsidRPr="003F4CE1">
        <w:t>figure</w:t>
      </w:r>
      <w:r w:rsidR="00573BA7">
        <w:t xml:space="preserve"> </w:t>
      </w:r>
      <w:r w:rsidRPr="003F4CE1">
        <w:t>was</w:t>
      </w:r>
      <w:r w:rsidR="00573BA7">
        <w:t xml:space="preserve"> </w:t>
      </w:r>
      <w:r w:rsidRPr="003F4CE1">
        <w:t>27%</w:t>
      </w:r>
      <w:r w:rsidR="00573BA7">
        <w:t xml:space="preserve"> </w:t>
      </w:r>
      <w:r w:rsidRPr="003F4CE1">
        <w:t>(Annual</w:t>
      </w:r>
      <w:r w:rsidR="00573BA7">
        <w:t xml:space="preserve"> </w:t>
      </w:r>
      <w:r w:rsidRPr="003F4CE1">
        <w:t>Report</w:t>
      </w:r>
      <w:r w:rsidR="00573BA7">
        <w:t xml:space="preserve"> </w:t>
      </w:r>
      <w:r w:rsidRPr="003F4CE1">
        <w:t>2018-19,</w:t>
      </w:r>
      <w:r w:rsidR="00573BA7">
        <w:t xml:space="preserve"> </w:t>
      </w:r>
      <w:r w:rsidRPr="003F4CE1">
        <w:t>Table</w:t>
      </w:r>
      <w:r w:rsidR="00573BA7">
        <w:t xml:space="preserve"> </w:t>
      </w:r>
      <w:r w:rsidRPr="003F4CE1">
        <w:t>17:</w:t>
      </w:r>
      <w:r w:rsidR="00573BA7">
        <w:t xml:space="preserve"> </w:t>
      </w:r>
      <w:r w:rsidRPr="003F4CE1">
        <w:t>Disability</w:t>
      </w:r>
      <w:r w:rsidR="00573BA7">
        <w:t xml:space="preserve"> </w:t>
      </w:r>
      <w:r w:rsidRPr="003F4CE1">
        <w:t>Discrimination</w:t>
      </w:r>
      <w:r w:rsidR="00573BA7">
        <w:t xml:space="preserve"> </w:t>
      </w:r>
      <w:r w:rsidRPr="003F4CE1">
        <w:t>Act</w:t>
      </w:r>
      <w:r w:rsidR="00573BA7">
        <w:t xml:space="preserve"> </w:t>
      </w:r>
      <w:r w:rsidRPr="003F4CE1">
        <w:t>–</w:t>
      </w:r>
      <w:r w:rsidR="00573BA7">
        <w:t xml:space="preserve"> </w:t>
      </w:r>
      <w:r w:rsidRPr="003F4CE1">
        <w:t>Complaints</w:t>
      </w:r>
      <w:r w:rsidR="00573BA7">
        <w:t xml:space="preserve"> </w:t>
      </w:r>
      <w:r w:rsidRPr="003F4CE1">
        <w:t>received</w:t>
      </w:r>
      <w:r w:rsidR="00573BA7">
        <w:t xml:space="preserve"> </w:t>
      </w:r>
      <w:r w:rsidRPr="003F4CE1">
        <w:t>by</w:t>
      </w:r>
      <w:r w:rsidR="00573BA7">
        <w:t xml:space="preserve"> </w:t>
      </w:r>
      <w:r w:rsidRPr="003F4CE1">
        <w:t>area).</w:t>
      </w:r>
    </w:p>
    <w:p w14:paraId="55CBA830" w14:textId="57D033F6" w:rsidR="00703E1F" w:rsidRPr="003F4CE1" w:rsidRDefault="00703E1F" w:rsidP="00703E1F">
      <w:r w:rsidRPr="003F4CE1">
        <w:t>The</w:t>
      </w:r>
      <w:r w:rsidR="00573BA7">
        <w:t xml:space="preserve"> </w:t>
      </w:r>
      <w:r w:rsidRPr="003F4CE1">
        <w:t>discrepancy</w:t>
      </w:r>
      <w:r w:rsidR="00573BA7">
        <w:t xml:space="preserve"> </w:t>
      </w:r>
      <w:r w:rsidRPr="003F4CE1">
        <w:t>with</w:t>
      </w:r>
      <w:r w:rsidR="00573BA7">
        <w:t xml:space="preserve"> </w:t>
      </w:r>
      <w:r w:rsidRPr="003F4CE1">
        <w:t>the</w:t>
      </w:r>
      <w:r w:rsidR="00573BA7">
        <w:t xml:space="preserve"> </w:t>
      </w:r>
      <w:r w:rsidRPr="003F4CE1">
        <w:t>Annual</w:t>
      </w:r>
      <w:r w:rsidR="00573BA7">
        <w:t xml:space="preserve"> </w:t>
      </w:r>
      <w:r w:rsidRPr="003F4CE1">
        <w:t>report</w:t>
      </w:r>
      <w:r w:rsidR="00573BA7">
        <w:t xml:space="preserve"> </w:t>
      </w:r>
      <w:r w:rsidRPr="003F4CE1">
        <w:t>figures</w:t>
      </w:r>
      <w:r w:rsidR="00573BA7">
        <w:t xml:space="preserve"> </w:t>
      </w:r>
      <w:r w:rsidRPr="003F4CE1">
        <w:t>is</w:t>
      </w:r>
      <w:r w:rsidR="00573BA7">
        <w:t xml:space="preserve"> </w:t>
      </w:r>
      <w:r w:rsidRPr="003F4CE1">
        <w:t>likely</w:t>
      </w:r>
      <w:r w:rsidR="00573BA7">
        <w:t xml:space="preserve"> </w:t>
      </w:r>
      <w:r w:rsidRPr="003F4CE1">
        <w:t>due</w:t>
      </w:r>
      <w:r w:rsidR="00573BA7">
        <w:t xml:space="preserve"> </w:t>
      </w:r>
      <w:r w:rsidRPr="003F4CE1">
        <w:t>to</w:t>
      </w:r>
      <w:r w:rsidR="00573BA7">
        <w:t xml:space="preserve"> </w:t>
      </w:r>
      <w:r w:rsidRPr="003F4CE1">
        <w:t>one</w:t>
      </w:r>
      <w:r w:rsidR="00573BA7">
        <w:t xml:space="preserve"> </w:t>
      </w:r>
      <w:r w:rsidRPr="003F4CE1">
        <w:t>complaint</w:t>
      </w:r>
      <w:r w:rsidR="00573BA7">
        <w:t xml:space="preserve"> </w:t>
      </w:r>
      <w:r w:rsidRPr="003F4CE1">
        <w:t>occasionally</w:t>
      </w:r>
      <w:r w:rsidR="00573BA7">
        <w:t xml:space="preserve"> </w:t>
      </w:r>
      <w:r w:rsidRPr="003F4CE1">
        <w:t>fitting</w:t>
      </w:r>
      <w:r w:rsidR="00573BA7">
        <w:t xml:space="preserve"> </w:t>
      </w:r>
      <w:r w:rsidRPr="003F4CE1">
        <w:t>under</w:t>
      </w:r>
      <w:r w:rsidR="00573BA7">
        <w:t xml:space="preserve"> </w:t>
      </w:r>
      <w:r w:rsidRPr="003F4CE1">
        <w:t>more</w:t>
      </w:r>
      <w:r w:rsidR="00573BA7">
        <w:t xml:space="preserve"> </w:t>
      </w:r>
      <w:r w:rsidRPr="003F4CE1">
        <w:t>than</w:t>
      </w:r>
      <w:r w:rsidR="00573BA7">
        <w:t xml:space="preserve"> </w:t>
      </w:r>
      <w:r w:rsidRPr="003F4CE1">
        <w:t>one</w:t>
      </w:r>
      <w:r w:rsidR="00573BA7">
        <w:t xml:space="preserve"> </w:t>
      </w:r>
      <w:r w:rsidRPr="003F4CE1">
        <w:t>‘area’.</w:t>
      </w:r>
    </w:p>
    <w:p w14:paraId="0289C8E9" w14:textId="77777777" w:rsidR="00F8394A" w:rsidRPr="003F4CE1" w:rsidRDefault="00F8394A" w:rsidP="00F8394A"/>
    <w:p w14:paraId="206A09AB" w14:textId="1766E5A2" w:rsidR="00A7615D" w:rsidRPr="003F4CE1" w:rsidRDefault="00A7615D" w:rsidP="000705F2">
      <w:pPr>
        <w:pStyle w:val="ListNumber"/>
        <w:numPr>
          <w:ilvl w:val="0"/>
          <w:numId w:val="0"/>
        </w:numPr>
      </w:pPr>
    </w:p>
    <w:p w14:paraId="1F01AF27" w14:textId="77777777" w:rsidR="00A7615D" w:rsidRPr="003F4CE1" w:rsidRDefault="00A7615D" w:rsidP="000705F2">
      <w:pPr>
        <w:pStyle w:val="ListNumber"/>
        <w:numPr>
          <w:ilvl w:val="0"/>
          <w:numId w:val="0"/>
        </w:numPr>
      </w:pPr>
    </w:p>
    <w:p w14:paraId="1EA93054" w14:textId="77777777" w:rsidR="00A7615D" w:rsidRPr="003F4CE1" w:rsidRDefault="00A7615D" w:rsidP="000705F2">
      <w:pPr>
        <w:pStyle w:val="ListNumber"/>
        <w:numPr>
          <w:ilvl w:val="0"/>
          <w:numId w:val="0"/>
        </w:numPr>
      </w:pPr>
    </w:p>
    <w:p w14:paraId="5BAFD317" w14:textId="77777777" w:rsidR="00A7615D" w:rsidRPr="003F4CE1" w:rsidRDefault="00A7615D" w:rsidP="000705F2">
      <w:pPr>
        <w:pStyle w:val="ListNumber"/>
        <w:numPr>
          <w:ilvl w:val="0"/>
          <w:numId w:val="0"/>
        </w:numPr>
      </w:pPr>
    </w:p>
    <w:p w14:paraId="03420BA0" w14:textId="77777777" w:rsidR="00A7615D" w:rsidRPr="003F4CE1" w:rsidRDefault="00A7615D" w:rsidP="000705F2">
      <w:pPr>
        <w:pStyle w:val="ListNumber"/>
        <w:numPr>
          <w:ilvl w:val="0"/>
          <w:numId w:val="0"/>
        </w:numPr>
      </w:pPr>
    </w:p>
    <w:p w14:paraId="17C4ACAE" w14:textId="77777777" w:rsidR="00A7615D" w:rsidRPr="003F4CE1" w:rsidRDefault="00A7615D" w:rsidP="000705F2">
      <w:pPr>
        <w:pStyle w:val="ListNumber"/>
        <w:numPr>
          <w:ilvl w:val="0"/>
          <w:numId w:val="0"/>
        </w:numPr>
      </w:pPr>
    </w:p>
    <w:sectPr w:rsidR="00A7615D" w:rsidRPr="003F4CE1" w:rsidSect="00A7615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4CDB7" w14:textId="77777777" w:rsidR="00B0600E" w:rsidRDefault="00B0600E" w:rsidP="00F14C6D">
      <w:r>
        <w:separator/>
      </w:r>
    </w:p>
  </w:endnote>
  <w:endnote w:type="continuationSeparator" w:id="0">
    <w:p w14:paraId="1F2A1F39" w14:textId="77777777" w:rsidR="00B0600E" w:rsidRDefault="00B0600E" w:rsidP="00F14C6D">
      <w:r>
        <w:continuationSeparator/>
      </w:r>
    </w:p>
  </w:endnote>
  <w:endnote w:type="continuationNotice" w:id="1">
    <w:p w14:paraId="4D983B5B" w14:textId="77777777" w:rsidR="00B0600E" w:rsidRDefault="00B0600E">
      <w:pPr>
        <w:spacing w:before="0" w:after="0"/>
      </w:pPr>
    </w:p>
  </w:endnote>
  <w:endnote w:id="2">
    <w:p w14:paraId="6C247D18" w14:textId="2F8F759E" w:rsidR="007B537E" w:rsidRPr="00AE099E" w:rsidRDefault="007B537E">
      <w:pPr>
        <w:pStyle w:val="EndnoteText"/>
        <w:rPr>
          <w:lang w:val="en-US"/>
        </w:rPr>
      </w:pPr>
      <w:r>
        <w:rPr>
          <w:rStyle w:val="EndnoteReference"/>
        </w:rPr>
        <w:endnoteRef/>
      </w:r>
      <w:r>
        <w:t xml:space="preserve"> </w:t>
      </w:r>
      <w:r w:rsidRPr="007B537E">
        <w:t xml:space="preserve">Australian Human Rights Commission, </w:t>
      </w:r>
      <w:r w:rsidRPr="007B537E">
        <w:rPr>
          <w:i/>
        </w:rPr>
        <w:t xml:space="preserve">Willing to Work: National Inquiry into Employment Discrimination Against Older Australians and Australians with Disability </w:t>
      </w:r>
      <w:r w:rsidRPr="007B537E">
        <w:t>(Report, 2016) &lt;</w:t>
      </w:r>
      <w:hyperlink r:id="rId1" w:history="1">
        <w:r w:rsidRPr="007B537E">
          <w:rPr>
            <w:rStyle w:val="Hyperlink"/>
          </w:rPr>
          <w:t>https://humanrights.gov.au/sites/default/files/document/publication/WTW_2016_Full_Report_AHRC_ac.pdf</w:t>
        </w:r>
      </w:hyperlink>
      <w:r w:rsidRPr="007B537E">
        <w:rPr>
          <w:rStyle w:val="Hyperlink"/>
          <w:color w:val="auto"/>
          <w:u w:val="none"/>
        </w:rPr>
        <w:t>&gt;.</w:t>
      </w:r>
    </w:p>
  </w:endnote>
  <w:endnote w:id="3">
    <w:p w14:paraId="3C546A30" w14:textId="5385E4E9" w:rsidR="007B537E" w:rsidRPr="00AE099E" w:rsidRDefault="007B537E" w:rsidP="004437A6">
      <w:pPr>
        <w:pStyle w:val="EndnoteText"/>
      </w:pPr>
      <w:r w:rsidRPr="00AE099E">
        <w:rPr>
          <w:rStyle w:val="EndnoteReference"/>
        </w:rPr>
        <w:endnoteRef/>
      </w:r>
      <w:r w:rsidRPr="00AE099E">
        <w:t xml:space="preserve"> </w:t>
      </w:r>
      <w:r w:rsidRPr="007B537E">
        <w:t xml:space="preserve">In 2018  only 47.8% of working age people with disability are employed, compared with 80.3% of people without disability, and 53.4 per cent of people with disability ‘participated in the labour force’ (meaning they were employed or seeking employment), compared with 84.1 per cent of people without disability: Australian Bureau of Statistics, </w:t>
      </w:r>
      <w:r w:rsidRPr="007B537E">
        <w:rPr>
          <w:i/>
        </w:rPr>
        <w:t>Survey of Disability, Ageing and Carers, Australia: Summary of Findings 2018</w:t>
      </w:r>
      <w:r w:rsidRPr="007B537E">
        <w:t xml:space="preserve"> (Catalogue No 4430.0, 24 October 2019).</w:t>
      </w:r>
    </w:p>
  </w:endnote>
  <w:endnote w:id="4">
    <w:p w14:paraId="60843375" w14:textId="5B8F4FC7" w:rsidR="007B537E" w:rsidRPr="00AE099E" w:rsidRDefault="007B537E">
      <w:pPr>
        <w:pStyle w:val="EndnoteText"/>
      </w:pPr>
      <w:r w:rsidRPr="00AE099E">
        <w:rPr>
          <w:rStyle w:val="EndnoteReference"/>
        </w:rPr>
        <w:endnoteRef/>
      </w:r>
      <w:r w:rsidRPr="00AE099E">
        <w:t xml:space="preserve"> </w:t>
      </w:r>
      <w:r w:rsidRPr="007B537E">
        <w:t xml:space="preserve">Australian Institute of Health and Welfare, </w:t>
      </w:r>
      <w:r w:rsidRPr="007B537E">
        <w:rPr>
          <w:i/>
        </w:rPr>
        <w:t>People with Disability in Australia</w:t>
      </w:r>
      <w:r w:rsidRPr="007B537E">
        <w:t xml:space="preserve"> (Cat No DIS 72, September 2019) &lt;</w:t>
      </w:r>
      <w:hyperlink r:id="rId2" w:history="1">
        <w:r w:rsidRPr="007B537E">
          <w:rPr>
            <w:rStyle w:val="Hyperlink"/>
          </w:rPr>
          <w:t>https://www.aihw.gov.au/reports/disability/people-with-disability-in-australia/employment/employment-rate-and-type</w:t>
        </w:r>
      </w:hyperlink>
      <w:r w:rsidRPr="007B537E">
        <w:rPr>
          <w:rStyle w:val="Hyperlink"/>
          <w:color w:val="auto"/>
          <w:u w:val="none"/>
        </w:rPr>
        <w:t>&gt;</w:t>
      </w:r>
      <w:r w:rsidRPr="007B537E">
        <w:t>.</w:t>
      </w:r>
      <w:r w:rsidRPr="00AE099E">
        <w:t xml:space="preserve"> </w:t>
      </w:r>
    </w:p>
  </w:endnote>
  <w:endnote w:id="5">
    <w:p w14:paraId="593220BC" w14:textId="47D21F54" w:rsidR="007B537E" w:rsidRPr="007B537E" w:rsidRDefault="007B537E" w:rsidP="00FF7791">
      <w:pPr>
        <w:pStyle w:val="EndnoteText"/>
      </w:pPr>
      <w:r w:rsidRPr="00AE099E">
        <w:rPr>
          <w:rStyle w:val="EndnoteReference"/>
        </w:rPr>
        <w:endnoteRef/>
      </w:r>
      <w:r w:rsidRPr="00AE099E">
        <w:t xml:space="preserve"> </w:t>
      </w:r>
      <w:r w:rsidRPr="007B537E">
        <w:t xml:space="preserve">In Australia, for people with disability of working age (15-64 years), only 28.3% are employed on a full-time basis, compared with 54.8% of people without disability. Nearly half (44%) are employed on a part-time basis, compared with 32% of people without disability: </w:t>
      </w:r>
      <w:r w:rsidRPr="007B537E">
        <w:rPr>
          <w:rFonts w:cs="Open Sans"/>
        </w:rPr>
        <w:t xml:space="preserve">Australian Bureau of Statistics, </w:t>
      </w:r>
      <w:r w:rsidRPr="007B537E">
        <w:rPr>
          <w:rFonts w:cs="Open Sans"/>
          <w:i/>
        </w:rPr>
        <w:t xml:space="preserve">Disability, Ageing and Carers, Australia: Summary of Findings 2018 </w:t>
      </w:r>
      <w:r w:rsidRPr="007B537E">
        <w:rPr>
          <w:rFonts w:cs="Open Sans"/>
        </w:rPr>
        <w:t xml:space="preserve">(Catalogue No. 4430.0, 24 October 2019); Australian Institute of Health and Welfare, </w:t>
      </w:r>
      <w:r w:rsidRPr="007B537E">
        <w:rPr>
          <w:rFonts w:cs="Open Sans"/>
          <w:i/>
        </w:rPr>
        <w:t>People with Disability in Australia</w:t>
      </w:r>
      <w:r w:rsidRPr="007B537E">
        <w:rPr>
          <w:rFonts w:cs="Open Sans"/>
        </w:rPr>
        <w:t xml:space="preserve"> (Cat No DIS 72, September 2019) &lt;</w:t>
      </w:r>
      <w:hyperlink r:id="rId3" w:history="1">
        <w:r w:rsidRPr="007B537E">
          <w:rPr>
            <w:rStyle w:val="Hyperlink"/>
            <w:rFonts w:cs="Open Sans"/>
          </w:rPr>
          <w:t>https://www.aihw.gov.au/reports/disability/people-with-disability-in-australia/employment/employment-rate-and-type</w:t>
        </w:r>
      </w:hyperlink>
      <w:r w:rsidRPr="007B537E">
        <w:rPr>
          <w:rStyle w:val="Hyperlink"/>
          <w:rFonts w:cs="Open Sans"/>
          <w:color w:val="auto"/>
          <w:u w:val="none"/>
        </w:rPr>
        <w:t>&gt;</w:t>
      </w:r>
      <w:r w:rsidRPr="007B537E">
        <w:rPr>
          <w:rFonts w:cs="Open Sans"/>
        </w:rPr>
        <w:t xml:space="preserve">. </w:t>
      </w:r>
    </w:p>
  </w:endnote>
  <w:endnote w:id="6">
    <w:p w14:paraId="3C295614" w14:textId="441082E3" w:rsidR="007B537E" w:rsidRPr="00AE099E" w:rsidRDefault="007B537E" w:rsidP="004437A6">
      <w:pPr>
        <w:pStyle w:val="EndnoteText"/>
        <w:rPr>
          <w:rFonts w:cs="Open Sans"/>
        </w:rPr>
      </w:pPr>
      <w:r w:rsidRPr="007B537E">
        <w:rPr>
          <w:rStyle w:val="EndnoteReference"/>
        </w:rPr>
        <w:endnoteRef/>
      </w:r>
      <w:r w:rsidRPr="007B537E">
        <w:t xml:space="preserve"> </w:t>
      </w:r>
      <w:r w:rsidRPr="007B537E">
        <w:rPr>
          <w:rFonts w:cs="Open Sans"/>
        </w:rPr>
        <w:t>A person is considered ‘underemployed’ if they are employed, work no more than 34 hours per week, would like to work more hours, and could start working more hours if offered a job in the  next 4 weeks. Eleven percent of people with disability are underemployed, compared to 8% of people without disability.</w:t>
      </w:r>
      <w:r w:rsidRPr="007B537E">
        <w:t xml:space="preserve"> </w:t>
      </w:r>
      <w:r w:rsidRPr="007B537E">
        <w:rPr>
          <w:rFonts w:cs="Open Sans"/>
        </w:rPr>
        <w:t xml:space="preserve">Australian Institute of Health and Welfare, </w:t>
      </w:r>
      <w:r w:rsidRPr="007B537E">
        <w:rPr>
          <w:rFonts w:cs="Open Sans"/>
          <w:i/>
        </w:rPr>
        <w:t>People with Disability in Australia</w:t>
      </w:r>
      <w:r w:rsidRPr="007B537E">
        <w:rPr>
          <w:rFonts w:cs="Open Sans"/>
        </w:rPr>
        <w:t xml:space="preserve"> (Cat No DIS 72, September 2019) &lt;</w:t>
      </w:r>
      <w:hyperlink r:id="rId4" w:history="1">
        <w:r w:rsidRPr="007B537E">
          <w:rPr>
            <w:rStyle w:val="Hyperlink"/>
            <w:rFonts w:cs="Open Sans"/>
          </w:rPr>
          <w:t>https://www.aihw.gov.au/reports/disability/people-with-disability-in-australia/employment/underemployment</w:t>
        </w:r>
      </w:hyperlink>
      <w:r w:rsidRPr="007B537E">
        <w:rPr>
          <w:rStyle w:val="Hyperlink"/>
          <w:rFonts w:cs="Open Sans"/>
          <w:color w:val="auto"/>
          <w:u w:val="none"/>
        </w:rPr>
        <w:t>&gt;</w:t>
      </w:r>
      <w:r w:rsidRPr="007B537E">
        <w:rPr>
          <w:rFonts w:cs="Open Sans"/>
        </w:rPr>
        <w:t>.</w:t>
      </w:r>
      <w:r w:rsidRPr="00AE099E">
        <w:rPr>
          <w:rFonts w:cs="Open Sans"/>
        </w:rPr>
        <w:t xml:space="preserve"> </w:t>
      </w:r>
    </w:p>
  </w:endnote>
  <w:endnote w:id="7">
    <w:p w14:paraId="18D81EFA" w14:textId="379BDB63" w:rsidR="007B537E" w:rsidRPr="007B537E" w:rsidRDefault="007B537E" w:rsidP="004437A6">
      <w:pPr>
        <w:pStyle w:val="EndnoteText"/>
      </w:pPr>
      <w:r w:rsidRPr="007B537E">
        <w:rPr>
          <w:rStyle w:val="EndnoteReference"/>
        </w:rPr>
        <w:endnoteRef/>
      </w:r>
      <w:r w:rsidRPr="007B537E">
        <w:t xml:space="preserve">Neary 44% of people with disability report their ‘own ill health or disability’ as the main barrier to employment, compared to 1.7% of people without disability. Australian Institute of Health and Welfare, </w:t>
      </w:r>
      <w:r w:rsidRPr="007B537E">
        <w:rPr>
          <w:i/>
        </w:rPr>
        <w:t>People with Disability in Australia</w:t>
      </w:r>
      <w:r w:rsidRPr="007B537E">
        <w:t xml:space="preserve"> (Cat No DIS 72, September 2019) &lt;</w:t>
      </w:r>
      <w:hyperlink r:id="rId5" w:history="1">
        <w:r w:rsidRPr="007B537E">
          <w:rPr>
            <w:rStyle w:val="Hyperlink"/>
          </w:rPr>
          <w:t>https://www.aihw.gov.au/reports/disability/people-with-disability-in-australia/employment/employment-participation-needs-and-challenges/difficulty-finding-work</w:t>
        </w:r>
      </w:hyperlink>
      <w:r w:rsidRPr="007B537E">
        <w:t>&gt;.</w:t>
      </w:r>
    </w:p>
  </w:endnote>
  <w:endnote w:id="8">
    <w:p w14:paraId="36290AE7" w14:textId="0087A2BE" w:rsidR="007B537E" w:rsidRPr="007B537E" w:rsidRDefault="007B537E" w:rsidP="004437A6">
      <w:pPr>
        <w:pStyle w:val="EndnoteText"/>
      </w:pPr>
      <w:r w:rsidRPr="007B537E">
        <w:rPr>
          <w:rStyle w:val="EndnoteReference"/>
        </w:rPr>
        <w:endnoteRef/>
      </w:r>
      <w:r w:rsidRPr="007B537E">
        <w:t xml:space="preserve"> Australian Institute of Health and Welfare, </w:t>
      </w:r>
      <w:r w:rsidRPr="007B537E">
        <w:rPr>
          <w:i/>
        </w:rPr>
        <w:t>People with Disability in Australia</w:t>
      </w:r>
      <w:r w:rsidRPr="007B537E">
        <w:t xml:space="preserve"> (Cat No DIS 72, September 2019) &lt;</w:t>
      </w:r>
      <w:hyperlink r:id="rId6" w:history="1">
        <w:r w:rsidRPr="007B537E">
          <w:rPr>
            <w:rStyle w:val="Hyperlink"/>
          </w:rPr>
          <w:t>https://www.aihw.gov.au/reports/disability/people-with-disability-in-australia/employment/employment-participation-needs-and-challenges/difficulty-finding-work</w:t>
        </w:r>
      </w:hyperlink>
      <w:r w:rsidRPr="007B537E">
        <w:t>&gt;.</w:t>
      </w:r>
    </w:p>
  </w:endnote>
  <w:endnote w:id="9">
    <w:p w14:paraId="6665CA54" w14:textId="77777777" w:rsidR="007B537E" w:rsidRPr="007B537E" w:rsidRDefault="007B537E" w:rsidP="005B5014">
      <w:pPr>
        <w:pStyle w:val="EndnoteText"/>
      </w:pPr>
      <w:r w:rsidRPr="007B537E">
        <w:rPr>
          <w:rStyle w:val="EndnoteReference"/>
        </w:rPr>
        <w:endnoteRef/>
      </w:r>
      <w:r w:rsidRPr="007B537E">
        <w:t xml:space="preserve"> </w:t>
      </w:r>
      <w:r w:rsidRPr="007B537E">
        <w:rPr>
          <w:rFonts w:cs="Open Sans"/>
        </w:rPr>
        <w:t xml:space="preserve">Australian Bureau of Statistics, </w:t>
      </w:r>
      <w:r w:rsidRPr="007B537E">
        <w:rPr>
          <w:rFonts w:cs="Open Sans"/>
          <w:i/>
        </w:rPr>
        <w:t xml:space="preserve">Disability, Ageing and Carers, Australia: Summary of Findings 2018 </w:t>
      </w:r>
      <w:r w:rsidRPr="007B537E">
        <w:rPr>
          <w:rFonts w:cs="Open Sans"/>
        </w:rPr>
        <w:t>(Catalogue No. 4430.0, 24 October 2019).</w:t>
      </w:r>
    </w:p>
  </w:endnote>
  <w:endnote w:id="10">
    <w:p w14:paraId="6D32A987" w14:textId="77777777" w:rsidR="007B537E" w:rsidRPr="007B537E" w:rsidRDefault="007B537E" w:rsidP="005B5014">
      <w:pPr>
        <w:pStyle w:val="EndnoteText"/>
      </w:pPr>
      <w:r w:rsidRPr="007B537E">
        <w:rPr>
          <w:rStyle w:val="EndnoteReference"/>
        </w:rPr>
        <w:endnoteRef/>
      </w:r>
      <w:r w:rsidRPr="007B537E">
        <w:t xml:space="preserve"> </w:t>
      </w:r>
      <w:r w:rsidRPr="007B537E">
        <w:rPr>
          <w:rFonts w:cs="Open Sans"/>
        </w:rPr>
        <w:t xml:space="preserve">Australian Bureau of Statistics, </w:t>
      </w:r>
      <w:r w:rsidRPr="007B537E">
        <w:rPr>
          <w:rFonts w:cs="Open Sans"/>
          <w:i/>
        </w:rPr>
        <w:t xml:space="preserve">Disability, Ageing and Carers, Australia: Summary of Findings 2018 </w:t>
      </w:r>
      <w:r w:rsidRPr="007B537E">
        <w:rPr>
          <w:rFonts w:cs="Open Sans"/>
        </w:rPr>
        <w:t>(Catalogue No. 4430.0, 24 October 2019).</w:t>
      </w:r>
    </w:p>
  </w:endnote>
  <w:endnote w:id="11">
    <w:p w14:paraId="5C13D4E3" w14:textId="6112690B" w:rsidR="007B537E" w:rsidRPr="007B537E" w:rsidRDefault="007B537E" w:rsidP="008B5876">
      <w:pPr>
        <w:pStyle w:val="EndnoteText"/>
      </w:pPr>
      <w:r w:rsidRPr="007B537E">
        <w:rPr>
          <w:rStyle w:val="EndnoteReference"/>
        </w:rPr>
        <w:endnoteRef/>
      </w:r>
      <w:r w:rsidRPr="007B537E">
        <w:t xml:space="preserve"> Of people with disability, men were more likely to be in the labour force (56.1%) compared to women (50.7%). Men were also more likely to be employed (49.9% of men compared with 45.9% of women). Australian Bureau of Statistics, </w:t>
      </w:r>
      <w:r w:rsidRPr="007B537E">
        <w:rPr>
          <w:i/>
        </w:rPr>
        <w:t>Survey of Disability, Ageing and Carers, Australia: Summary of Findings 2018</w:t>
      </w:r>
      <w:r w:rsidRPr="007B537E">
        <w:t xml:space="preserve"> (Catalogue No 4430.0, 24 October 2019).</w:t>
      </w:r>
    </w:p>
  </w:endnote>
  <w:endnote w:id="12">
    <w:p w14:paraId="78E46C46" w14:textId="1DDE50F8" w:rsidR="007B537E" w:rsidRPr="00AE099E" w:rsidRDefault="007B537E" w:rsidP="00DD6A96">
      <w:pPr>
        <w:pStyle w:val="EndnoteText"/>
      </w:pPr>
      <w:r w:rsidRPr="007B537E">
        <w:rPr>
          <w:rStyle w:val="EndnoteReference"/>
        </w:rPr>
        <w:endnoteRef/>
      </w:r>
      <w:r w:rsidRPr="007B537E">
        <w:t xml:space="preserve"> </w:t>
      </w:r>
      <w:r w:rsidRPr="007B537E">
        <w:rPr>
          <w:rFonts w:cs="Open Sans"/>
        </w:rPr>
        <w:t xml:space="preserve">Australian Institute of Health and Welfare, </w:t>
      </w:r>
      <w:r w:rsidRPr="007B537E">
        <w:rPr>
          <w:rFonts w:cs="Open Sans"/>
          <w:i/>
        </w:rPr>
        <w:t>People with Disability in Australia</w:t>
      </w:r>
      <w:r w:rsidRPr="007B537E">
        <w:rPr>
          <w:rFonts w:cs="Open Sans"/>
        </w:rPr>
        <w:t xml:space="preserve"> (Cat No DIS 72, September 2019) &lt;</w:t>
      </w:r>
      <w:hyperlink r:id="rId7" w:history="1">
        <w:r w:rsidRPr="007B537E">
          <w:rPr>
            <w:rStyle w:val="Hyperlink"/>
            <w:rFonts w:cs="Open Sans"/>
          </w:rPr>
          <w:t>https://www.aihw.gov.au/reports/disability/people-with-disability-in-australia/employment/employment-rate-and-type</w:t>
        </w:r>
      </w:hyperlink>
      <w:r w:rsidRPr="007B537E">
        <w:rPr>
          <w:rFonts w:cs="Open Sans"/>
        </w:rPr>
        <w:t>&gt;.</w:t>
      </w:r>
    </w:p>
  </w:endnote>
  <w:endnote w:id="13">
    <w:p w14:paraId="3A3F4026" w14:textId="2FA56237" w:rsidR="007B537E" w:rsidRPr="007B537E" w:rsidRDefault="007B537E" w:rsidP="00F25E7B">
      <w:pPr>
        <w:pStyle w:val="EndnoteText"/>
      </w:pPr>
      <w:r w:rsidRPr="007B537E">
        <w:rPr>
          <w:rStyle w:val="EndnoteReference"/>
        </w:rPr>
        <w:endnoteRef/>
      </w:r>
      <w:r w:rsidRPr="007B537E">
        <w:t xml:space="preserve"> Australian Human Rights Commission, </w:t>
      </w:r>
      <w:r w:rsidRPr="007B537E">
        <w:rPr>
          <w:i/>
        </w:rPr>
        <w:t xml:space="preserve">Everyone’s business: Fourth national survey on sexual harassment in Australian workplaces </w:t>
      </w:r>
      <w:r w:rsidRPr="007B537E">
        <w:t xml:space="preserve">(2018) </w:t>
      </w:r>
      <w:r w:rsidR="00C96E2D">
        <w:t>1</w:t>
      </w:r>
      <w:r w:rsidR="00565A0D">
        <w:t>80</w:t>
      </w:r>
      <w:r w:rsidRPr="007B537E">
        <w:t xml:space="preserve"> &lt;</w:t>
      </w:r>
      <w:hyperlink r:id="rId8" w:history="1">
        <w:r w:rsidRPr="007B537E">
          <w:rPr>
            <w:rStyle w:val="Hyperlink"/>
          </w:rPr>
          <w:t>https://humanrights.gov.au/our-work/sex-discrimination/publications/everyones-business-fourth-national-survey-sexual</w:t>
        </w:r>
      </w:hyperlink>
      <w:r w:rsidRPr="007B537E">
        <w:t xml:space="preserve"> &gt;. </w:t>
      </w:r>
    </w:p>
  </w:endnote>
  <w:endnote w:id="14">
    <w:p w14:paraId="7A917624" w14:textId="6E1E5D74" w:rsidR="007B537E" w:rsidRPr="007B537E" w:rsidRDefault="007B537E" w:rsidP="008B5876">
      <w:pPr>
        <w:pStyle w:val="EndnoteText"/>
      </w:pPr>
      <w:r w:rsidRPr="007B537E">
        <w:rPr>
          <w:rStyle w:val="EndnoteReference"/>
        </w:rPr>
        <w:endnoteRef/>
      </w:r>
      <w:r w:rsidRPr="007B537E">
        <w:t xml:space="preserve"> </w:t>
      </w:r>
      <w:r w:rsidRPr="007B537E">
        <w:rPr>
          <w:rFonts w:cs="Open Sans"/>
        </w:rPr>
        <w:t xml:space="preserve">Australian Institute of Health and Welfare, </w:t>
      </w:r>
      <w:r w:rsidRPr="007B537E">
        <w:rPr>
          <w:rFonts w:cs="Open Sans"/>
          <w:i/>
        </w:rPr>
        <w:t>People with Disability in Australia</w:t>
      </w:r>
      <w:r w:rsidRPr="007B537E">
        <w:rPr>
          <w:rFonts w:cs="Open Sans"/>
        </w:rPr>
        <w:t xml:space="preserve"> (Cat No DIS 72, September 2019) &lt;</w:t>
      </w:r>
      <w:hyperlink r:id="rId9" w:history="1">
        <w:r w:rsidRPr="007B537E">
          <w:rPr>
            <w:rStyle w:val="Hyperlink"/>
          </w:rPr>
          <w:t>https://www.aihw.gov.au/reports/disability/people-with-disability-in-australia/employment/unemployment/unemployment-rate</w:t>
        </w:r>
      </w:hyperlink>
      <w:r w:rsidRPr="007B537E">
        <w:t>&gt;.</w:t>
      </w:r>
    </w:p>
  </w:endnote>
  <w:endnote w:id="15">
    <w:p w14:paraId="7CB66047" w14:textId="3BF127D1" w:rsidR="007B537E" w:rsidRPr="007B537E" w:rsidRDefault="007B537E" w:rsidP="00CE1978">
      <w:pPr>
        <w:pStyle w:val="EndnoteText"/>
      </w:pPr>
      <w:r w:rsidRPr="007B537E">
        <w:rPr>
          <w:rStyle w:val="EndnoteReference"/>
        </w:rPr>
        <w:endnoteRef/>
      </w:r>
      <w:r w:rsidRPr="007B537E">
        <w:t xml:space="preserve"> Young people with disability aged 15-24 years (29%) are significantly more likely to be underemployed, compared to young people without disability (19%), and other people with disability aged 25-64 years (9%). </w:t>
      </w:r>
      <w:r w:rsidRPr="007B537E">
        <w:rPr>
          <w:rFonts w:cs="Open Sans"/>
        </w:rPr>
        <w:t xml:space="preserve">Australian Institute of Health and Welfare, </w:t>
      </w:r>
      <w:r w:rsidRPr="007B537E">
        <w:rPr>
          <w:rFonts w:cs="Open Sans"/>
          <w:i/>
        </w:rPr>
        <w:t>People with Disability in Australia</w:t>
      </w:r>
      <w:r w:rsidRPr="007B537E">
        <w:rPr>
          <w:rFonts w:cs="Open Sans"/>
        </w:rPr>
        <w:t xml:space="preserve"> (Cat No DIS 72, September 2019) &lt;</w:t>
      </w:r>
      <w:hyperlink r:id="rId10" w:history="1">
        <w:r w:rsidRPr="007B537E">
          <w:rPr>
            <w:rStyle w:val="Hyperlink"/>
            <w:rFonts w:cs="Open Sans"/>
          </w:rPr>
          <w:t>https://www.aihw.gov.au/reports/disability/people-with-disability-in-australia/employment/underemployment</w:t>
        </w:r>
      </w:hyperlink>
      <w:r w:rsidRPr="007B537E">
        <w:rPr>
          <w:rFonts w:cs="Open Sans"/>
        </w:rPr>
        <w:t>&gt;.</w:t>
      </w:r>
    </w:p>
  </w:endnote>
  <w:endnote w:id="16">
    <w:p w14:paraId="75A8C0FD" w14:textId="505A9194" w:rsidR="007B537E" w:rsidRPr="00AE099E" w:rsidRDefault="007B537E" w:rsidP="00335830">
      <w:pPr>
        <w:pStyle w:val="EndnoteText"/>
      </w:pPr>
      <w:r w:rsidRPr="007B537E">
        <w:rPr>
          <w:rStyle w:val="EndnoteReference"/>
        </w:rPr>
        <w:endnoteRef/>
      </w:r>
      <w:r w:rsidRPr="007B537E">
        <w:t xml:space="preserve"> Australian Bureau of Statistics, </w:t>
      </w:r>
      <w:r w:rsidRPr="007B537E">
        <w:rPr>
          <w:i/>
        </w:rPr>
        <w:t xml:space="preserve">Aboriginal and Torres Strait Islander People with a Disability, 2012 </w:t>
      </w:r>
      <w:r w:rsidRPr="007B537E">
        <w:t>(Catalogue No 4433.0.55.055,18 April 2017) &lt;</w:t>
      </w:r>
      <w:hyperlink r:id="rId11" w:history="1">
        <w:r w:rsidRPr="007B537E">
          <w:rPr>
            <w:rStyle w:val="Hyperlink"/>
          </w:rPr>
          <w:t>https://www.abs.gov.au/AUSSTATS/abs@.nsf/Lookup/4433.0.55.005Main+Features12012?OpenDocument</w:t>
        </w:r>
      </w:hyperlink>
      <w:r w:rsidRPr="007B537E">
        <w:t xml:space="preserve"> &gt;.</w:t>
      </w:r>
      <w:r w:rsidRPr="00AE099E">
        <w:t xml:space="preserve"> More recent data is not available because the recent ABS Survey of Disability, Aging and Carers does not disaggregate data for people with disability who identify as Aboriginal and Torres Strait Islander, culturally or linguistically diverse, or as refugees or people seeking asylum. </w:t>
      </w:r>
      <w:r w:rsidRPr="007B537E">
        <w:t xml:space="preserve">See CRPD Committee, </w:t>
      </w:r>
      <w:r w:rsidRPr="007B537E">
        <w:rPr>
          <w:i/>
        </w:rPr>
        <w:t>Concluding Observations on the Combined Second and Third Periodic Reports of Australia</w:t>
      </w:r>
      <w:r w:rsidRPr="007B537E">
        <w:t>, UN Doc CRPD/C/AUS/CO/2-3 (15 October 2019) [49(c)].</w:t>
      </w:r>
      <w:r w:rsidRPr="00AE099E">
        <w:t xml:space="preserve"> </w:t>
      </w:r>
    </w:p>
  </w:endnote>
  <w:endnote w:id="17">
    <w:p w14:paraId="5DFF0599" w14:textId="3DEBACD5" w:rsidR="007B537E" w:rsidRPr="007B537E" w:rsidRDefault="007B537E" w:rsidP="00BA6587">
      <w:pPr>
        <w:pStyle w:val="EndnoteText"/>
      </w:pPr>
      <w:r w:rsidRPr="007B537E">
        <w:rPr>
          <w:rStyle w:val="EndnoteReference"/>
        </w:rPr>
        <w:endnoteRef/>
      </w:r>
      <w:r w:rsidRPr="007B537E">
        <w:t xml:space="preserve"> Australian Bureau of Statistics, </w:t>
      </w:r>
      <w:r w:rsidRPr="007B537E">
        <w:rPr>
          <w:i/>
        </w:rPr>
        <w:t xml:space="preserve">Aboriginal and Torres Strait Islander People with a Disability, 2012 </w:t>
      </w:r>
      <w:r w:rsidRPr="007B537E">
        <w:t>(Catalogue No 4433.0.55.055,18 April 2017) &lt;</w:t>
      </w:r>
      <w:hyperlink r:id="rId12" w:history="1">
        <w:r w:rsidRPr="007B537E">
          <w:rPr>
            <w:rStyle w:val="Hyperlink"/>
          </w:rPr>
          <w:t>https://www.abs.gov.au/AUSSTATS/abs@.nsf/Lookup/4433.0.55.005Main+Features12012?OpenDocument</w:t>
        </w:r>
      </w:hyperlink>
      <w:r w:rsidRPr="007B537E">
        <w:t xml:space="preserve"> &gt;.</w:t>
      </w:r>
    </w:p>
  </w:endnote>
  <w:endnote w:id="18">
    <w:p w14:paraId="04174610" w14:textId="77777777" w:rsidR="007B537E" w:rsidRPr="00AE099E" w:rsidRDefault="007B537E" w:rsidP="001E20B4">
      <w:pPr>
        <w:pStyle w:val="EndnoteText"/>
        <w:rPr>
          <w:rFonts w:cs="Open Sans"/>
        </w:rPr>
      </w:pPr>
      <w:r w:rsidRPr="00AE099E">
        <w:rPr>
          <w:rStyle w:val="EndnoteReference"/>
        </w:rPr>
        <w:endnoteRef/>
      </w:r>
      <w:r w:rsidRPr="00AE099E">
        <w:t xml:space="preserve"> </w:t>
      </w:r>
      <w:r w:rsidRPr="007B537E">
        <w:t>Australian Government, Fair Work Ombudsman, 'Employees with disability pay rates' (Web Page) &lt;https://www.fairwork.gov.au/pay/minimum-wages/employees-with-disability-pay-rates&gt;.</w:t>
      </w:r>
    </w:p>
  </w:endnote>
  <w:endnote w:id="19">
    <w:p w14:paraId="18199E86" w14:textId="77777777" w:rsidR="00B76EF2" w:rsidRPr="007B537E" w:rsidRDefault="00B76EF2" w:rsidP="00B76EF2">
      <w:pPr>
        <w:pStyle w:val="EndnoteText"/>
      </w:pPr>
      <w:r w:rsidRPr="007B537E">
        <w:rPr>
          <w:rStyle w:val="EndnoteReference"/>
        </w:rPr>
        <w:endnoteRef/>
      </w:r>
      <w:r w:rsidRPr="007B537E">
        <w:t xml:space="preserve"> </w:t>
      </w:r>
      <w:r w:rsidRPr="007B537E">
        <w:rPr>
          <w:rFonts w:cs="Open Sans"/>
          <w:color w:val="000000"/>
        </w:rPr>
        <w:t xml:space="preserve">Royal Commission into Violence, Abuse, Neglect and Exploitation of People with Disability, </w:t>
      </w:r>
      <w:r w:rsidRPr="007B537E">
        <w:rPr>
          <w:rFonts w:cs="Open Sans"/>
          <w:i/>
          <w:color w:val="000000"/>
        </w:rPr>
        <w:t xml:space="preserve">Employment Issues Paper </w:t>
      </w:r>
      <w:r w:rsidRPr="007B537E">
        <w:rPr>
          <w:rFonts w:cs="Open Sans"/>
          <w:color w:val="000000"/>
        </w:rPr>
        <w:t>(May 2020)  &lt;</w:t>
      </w:r>
      <w:hyperlink r:id="rId13" w:history="1">
        <w:r w:rsidRPr="007B537E">
          <w:rPr>
            <w:rStyle w:val="Hyperlink"/>
            <w:rFonts w:cs="Open Sans"/>
          </w:rPr>
          <w:t>https://disability.royalcommission.gov.au/system/files/2020-07/Issues%20Paper%20-%20Employment.pdf</w:t>
        </w:r>
      </w:hyperlink>
      <w:r w:rsidRPr="007B537E">
        <w:rPr>
          <w:rFonts w:cs="Open Sans"/>
          <w:color w:val="000000"/>
        </w:rPr>
        <w:t xml:space="preserve"> &gt;.</w:t>
      </w:r>
    </w:p>
  </w:endnote>
  <w:endnote w:id="20">
    <w:p w14:paraId="2EFCCAE4" w14:textId="35427334" w:rsidR="007B537E" w:rsidRPr="007B537E" w:rsidRDefault="007B537E" w:rsidP="00BA0D77">
      <w:pPr>
        <w:pStyle w:val="EndnoteText"/>
      </w:pPr>
      <w:r w:rsidRPr="007B537E">
        <w:rPr>
          <w:rStyle w:val="EndnoteReference"/>
        </w:rPr>
        <w:endnoteRef/>
      </w:r>
      <w:r w:rsidRPr="007B537E">
        <w:t xml:space="preserve"> Australian Human Rights Commission, Submission to Royal Commission into Violence, Abuse,</w:t>
      </w:r>
    </w:p>
    <w:p w14:paraId="7F0CADF4" w14:textId="2FF83C53" w:rsidR="007B537E" w:rsidRPr="00883B28" w:rsidRDefault="007B537E" w:rsidP="0093191D">
      <w:pPr>
        <w:pStyle w:val="EndnoteText"/>
      </w:pPr>
      <w:r w:rsidRPr="007B537E">
        <w:t xml:space="preserve">Neglect and Exploitation of People with Disability, </w:t>
      </w:r>
      <w:r w:rsidRPr="007B537E">
        <w:rPr>
          <w:i/>
        </w:rPr>
        <w:t>People with Disability and the Criminal Justice System</w:t>
      </w:r>
      <w:r w:rsidRPr="007B537E">
        <w:t xml:space="preserve"> (20 March 2020) &lt;</w:t>
      </w:r>
      <w:hyperlink r:id="rId14" w:history="1">
        <w:r w:rsidRPr="007B537E">
          <w:rPr>
            <w:rStyle w:val="Hyperlink"/>
          </w:rPr>
          <w:t>https://humanrights.gov.au/our-work/legal/submission/submission-people-disability-and-criminal-justice-system-2020</w:t>
        </w:r>
      </w:hyperlink>
      <w:r w:rsidRPr="007B537E">
        <w:t xml:space="preserve">&gt;; and Australian Human Rights Commission, Submission to Royal Commission into Violence, Abuse, Neglect and Exploitation of People with Disability, </w:t>
      </w:r>
      <w:r w:rsidRPr="007B537E">
        <w:rPr>
          <w:i/>
        </w:rPr>
        <w:t>Inclusive Education for People with Disability</w:t>
      </w:r>
      <w:r w:rsidRPr="007B537E">
        <w:t xml:space="preserve"> (19 December 2019) &lt;</w:t>
      </w:r>
      <w:hyperlink r:id="rId15" w:history="1">
        <w:r w:rsidRPr="007B537E">
          <w:rPr>
            <w:rStyle w:val="Hyperlink"/>
          </w:rPr>
          <w:t>https://humanrights.gov.au/sites/default/files/ahrc_20191219_submission_disabilityrc_education.pdf</w:t>
        </w:r>
      </w:hyperlink>
      <w:r w:rsidRPr="007B537E">
        <w:t>&gt;.</w:t>
      </w:r>
      <w:r>
        <w:t xml:space="preserve"> </w:t>
      </w:r>
    </w:p>
  </w:endnote>
  <w:endnote w:id="21">
    <w:p w14:paraId="1299B4B2" w14:textId="3D8FB3A2" w:rsidR="007B537E" w:rsidRPr="00AE099E" w:rsidRDefault="007B537E">
      <w:pPr>
        <w:pStyle w:val="EndnoteText"/>
      </w:pPr>
      <w:r>
        <w:rPr>
          <w:rStyle w:val="EndnoteReference"/>
        </w:rPr>
        <w:endnoteRef/>
      </w:r>
      <w:r>
        <w:t xml:space="preserve"> Professor Paula McD</w:t>
      </w:r>
      <w:r w:rsidRPr="002E3998">
        <w:t>onal</w:t>
      </w:r>
      <w:r w:rsidRPr="00372231">
        <w:t>d et al</w:t>
      </w:r>
      <w:r w:rsidRPr="00B662EB">
        <w:t xml:space="preserve"> </w:t>
      </w:r>
      <w:r w:rsidRPr="00A91040">
        <w:rPr>
          <w:i/>
        </w:rPr>
        <w:t>D</w:t>
      </w:r>
      <w:r w:rsidRPr="005108F1">
        <w:rPr>
          <w:i/>
        </w:rPr>
        <w:t>i</w:t>
      </w:r>
      <w:r w:rsidRPr="00376E02">
        <w:rPr>
          <w:i/>
        </w:rPr>
        <w:t xml:space="preserve">gital </w:t>
      </w:r>
      <w:r w:rsidRPr="00E877C1">
        <w:rPr>
          <w:i/>
        </w:rPr>
        <w:t xml:space="preserve">Platform </w:t>
      </w:r>
      <w:r w:rsidRPr="003E1037">
        <w:rPr>
          <w:i/>
        </w:rPr>
        <w:t>W</w:t>
      </w:r>
      <w:r w:rsidRPr="006D79E3">
        <w:rPr>
          <w:i/>
        </w:rPr>
        <w:t xml:space="preserve">ork in Australia – Preliminary findings from a national survey </w:t>
      </w:r>
      <w:r w:rsidRPr="006D79E3">
        <w:t>(</w:t>
      </w:r>
      <w:r w:rsidRPr="00237930">
        <w:t>June 2019) 3, 31&lt;</w:t>
      </w:r>
      <w:hyperlink r:id="rId16" w:history="1">
        <w:r w:rsidRPr="007B537E">
          <w:rPr>
            <w:rStyle w:val="Hyperlink"/>
          </w:rPr>
          <w:t>https://research.qut.edu.au/centre-for-decent-work-and-industry/wp-content/uploads/sites/35/2019/06/Report-of-Survey-Findings_18-June-2019_PUBLISHED.pdf</w:t>
        </w:r>
      </w:hyperlink>
      <w:r w:rsidRPr="007B537E">
        <w:t>&gt;</w:t>
      </w:r>
      <w:r w:rsidRPr="00AE099E">
        <w:t>.</w:t>
      </w:r>
    </w:p>
  </w:endnote>
  <w:endnote w:id="22">
    <w:p w14:paraId="5994BC5C" w14:textId="3892D799" w:rsidR="007B537E" w:rsidRPr="007B537E" w:rsidRDefault="007B537E" w:rsidP="00FF540D">
      <w:pPr>
        <w:pStyle w:val="EndnoteText"/>
      </w:pPr>
      <w:r w:rsidRPr="007B537E">
        <w:rPr>
          <w:rStyle w:val="EndnoteReference"/>
        </w:rPr>
        <w:endnoteRef/>
      </w:r>
      <w:r w:rsidRPr="007B537E">
        <w:t xml:space="preserve"> </w:t>
      </w:r>
      <w:r w:rsidRPr="007B537E">
        <w:rPr>
          <w:i/>
        </w:rPr>
        <w:t>Convention on the Rights of Persons with Disabilities</w:t>
      </w:r>
      <w:r w:rsidRPr="007B537E">
        <w:t>, opened for signature 30 March 2007, 2515 UNTS 3 (entered into force 3 May 2008).</w:t>
      </w:r>
    </w:p>
  </w:endnote>
  <w:endnote w:id="23">
    <w:p w14:paraId="2444DC63" w14:textId="7CCF0C81" w:rsidR="007B537E" w:rsidRPr="007B537E" w:rsidRDefault="007B537E">
      <w:pPr>
        <w:pStyle w:val="EndnoteText"/>
        <w:rPr>
          <w:lang w:val="en-US"/>
        </w:rPr>
      </w:pPr>
      <w:r w:rsidRPr="00AE099E">
        <w:rPr>
          <w:rStyle w:val="EndnoteReference"/>
        </w:rPr>
        <w:endnoteRef/>
      </w:r>
      <w:r w:rsidRPr="00AE099E">
        <w:t xml:space="preserve"> </w:t>
      </w:r>
      <w:r w:rsidRPr="007B537E">
        <w:rPr>
          <w:i/>
          <w:iCs/>
        </w:rPr>
        <w:t>Optional Protocol to the Convention on the Rights of Persons with Disabilities</w:t>
      </w:r>
      <w:r w:rsidRPr="00AE099E">
        <w:t>, opened for signature 30 March 2007, 2518 UNTS 283 (entered into force 3 May 2008).</w:t>
      </w:r>
    </w:p>
  </w:endnote>
  <w:endnote w:id="24">
    <w:p w14:paraId="3A0AF1CF" w14:textId="6EDE2562" w:rsidR="007B537E" w:rsidRPr="007B537E" w:rsidRDefault="007B537E" w:rsidP="00FF540D">
      <w:pPr>
        <w:pStyle w:val="EndnoteText"/>
      </w:pPr>
      <w:r w:rsidRPr="007B537E">
        <w:rPr>
          <w:rStyle w:val="EndnoteReference"/>
        </w:rPr>
        <w:endnoteRef/>
      </w:r>
      <w:r w:rsidRPr="007B537E">
        <w:t xml:space="preserve"> </w:t>
      </w:r>
      <w:r w:rsidRPr="007B537E">
        <w:rPr>
          <w:i/>
        </w:rPr>
        <w:t>Convention on the Rights of Persons with Disabilities</w:t>
      </w:r>
      <w:r w:rsidRPr="007B537E">
        <w:t>, opened for signature 30 March 2007, 2515 UNTS 3 (entered into force 3 May 2008) art 34.</w:t>
      </w:r>
    </w:p>
  </w:endnote>
  <w:endnote w:id="25">
    <w:p w14:paraId="2CDFAC65" w14:textId="6A10835F" w:rsidR="007B537E" w:rsidRPr="00AE099E" w:rsidRDefault="007B537E">
      <w:pPr>
        <w:pStyle w:val="EndnoteText"/>
      </w:pPr>
      <w:r w:rsidRPr="00AE099E">
        <w:rPr>
          <w:rStyle w:val="EndnoteReference"/>
        </w:rPr>
        <w:endnoteRef/>
      </w:r>
      <w:r w:rsidRPr="00AE099E">
        <w:t xml:space="preserve"> United Nations Human Rights Committee, </w:t>
      </w:r>
      <w:r w:rsidRPr="00AE099E">
        <w:rPr>
          <w:i/>
          <w:iCs/>
        </w:rPr>
        <w:t>General Comment No 33, The Obligations of States Parties under the Optional Protocol to the International Covenant on Civil and Political Rights</w:t>
      </w:r>
      <w:r w:rsidRPr="00AE099E">
        <w:t>, UN Doc CCPR/C/GC/33 (5 November 2008) at [13].</w:t>
      </w:r>
    </w:p>
  </w:endnote>
  <w:endnote w:id="26">
    <w:p w14:paraId="50EB7614" w14:textId="711168FE" w:rsidR="007B537E" w:rsidRPr="007B537E" w:rsidRDefault="007B537E" w:rsidP="00FF540D">
      <w:pPr>
        <w:pStyle w:val="EndnoteText"/>
      </w:pPr>
      <w:r w:rsidRPr="007B537E">
        <w:rPr>
          <w:rStyle w:val="EndnoteReference"/>
        </w:rPr>
        <w:endnoteRef/>
      </w:r>
      <w:r w:rsidRPr="007B537E">
        <w:t xml:space="preserve"> </w:t>
      </w:r>
      <w:r w:rsidRPr="007B537E">
        <w:rPr>
          <w:i/>
          <w:iCs/>
        </w:rPr>
        <w:t>Vienna Convention on the Law of Treaties</w:t>
      </w:r>
      <w:r w:rsidRPr="007B537E">
        <w:t>, opened for signature 23 May 1969, 1155 UNTS 331 (entered into force 27 January 1980), article 31.</w:t>
      </w:r>
    </w:p>
  </w:endnote>
  <w:endnote w:id="27">
    <w:p w14:paraId="099E88AB" w14:textId="10F9C179" w:rsidR="007B537E" w:rsidRPr="007B537E" w:rsidRDefault="007B537E" w:rsidP="00AA421C">
      <w:pPr>
        <w:pStyle w:val="EndnoteText"/>
      </w:pPr>
      <w:r w:rsidRPr="007B537E">
        <w:rPr>
          <w:rStyle w:val="EndnoteReference"/>
        </w:rPr>
        <w:endnoteRef/>
      </w:r>
      <w:r w:rsidRPr="007B537E">
        <w:t xml:space="preserve"> </w:t>
      </w:r>
      <w:r w:rsidRPr="007B537E">
        <w:rPr>
          <w:i/>
        </w:rPr>
        <w:t>International Covenant on Economic, Social and Cultural Rights</w:t>
      </w:r>
      <w:r w:rsidRPr="007B537E">
        <w:t>, opened for signature 16 December 1966, 993 UNTS 3 (entered into force 3 January 1976).</w:t>
      </w:r>
    </w:p>
  </w:endnote>
  <w:endnote w:id="28">
    <w:p w14:paraId="21EDCE1B" w14:textId="35BC5667" w:rsidR="007B537E" w:rsidRPr="007B537E" w:rsidRDefault="007B537E" w:rsidP="00AA421C">
      <w:pPr>
        <w:pStyle w:val="EndnoteText"/>
      </w:pPr>
      <w:r w:rsidRPr="007B537E">
        <w:rPr>
          <w:rStyle w:val="EndnoteReference"/>
        </w:rPr>
        <w:endnoteRef/>
      </w:r>
      <w:r w:rsidRPr="007B537E">
        <w:t xml:space="preserve"> </w:t>
      </w:r>
      <w:r w:rsidRPr="007B537E">
        <w:rPr>
          <w:i/>
        </w:rPr>
        <w:t>International Covenant on Civil and Political Rights</w:t>
      </w:r>
      <w:r w:rsidRPr="007B537E">
        <w:t>, opened for signature 16 December 1966, 999 UNTS 171 (entered into force 23 March 1976).</w:t>
      </w:r>
    </w:p>
  </w:endnote>
  <w:endnote w:id="29">
    <w:p w14:paraId="3B08AE50" w14:textId="4A87AE5D" w:rsidR="007B537E" w:rsidRPr="007B537E" w:rsidRDefault="007B537E" w:rsidP="00AA421C">
      <w:pPr>
        <w:pStyle w:val="EndnoteText"/>
      </w:pPr>
      <w:r w:rsidRPr="007B537E">
        <w:rPr>
          <w:rStyle w:val="EndnoteReference"/>
        </w:rPr>
        <w:endnoteRef/>
      </w:r>
      <w:r w:rsidRPr="007B537E">
        <w:t xml:space="preserve"> </w:t>
      </w:r>
      <w:r w:rsidRPr="007B537E">
        <w:rPr>
          <w:i/>
        </w:rPr>
        <w:t>Convention on the Rights of the Child</w:t>
      </w:r>
      <w:r w:rsidRPr="007B537E">
        <w:t>, opened for signature 20 November 1989, 1577 UNTS 3 (entered into force 2 September 1990)</w:t>
      </w:r>
    </w:p>
  </w:endnote>
  <w:endnote w:id="30">
    <w:p w14:paraId="5713F7FF" w14:textId="2F4EFF2E" w:rsidR="007B537E" w:rsidRPr="000B4340" w:rsidRDefault="007B537E" w:rsidP="00AA421C">
      <w:pPr>
        <w:pStyle w:val="EndnoteText"/>
        <w:rPr>
          <w:highlight w:val="green"/>
        </w:rPr>
      </w:pPr>
      <w:r w:rsidRPr="007B537E">
        <w:rPr>
          <w:rStyle w:val="EndnoteReference"/>
        </w:rPr>
        <w:endnoteRef/>
      </w:r>
      <w:r w:rsidRPr="007B537E">
        <w:t xml:space="preserve"> </w:t>
      </w:r>
      <w:r w:rsidRPr="007B537E">
        <w:rPr>
          <w:i/>
        </w:rPr>
        <w:t>Convention on the Elimination of All Forms of Discrimination Against Women</w:t>
      </w:r>
      <w:r w:rsidRPr="007B537E">
        <w:t>, opened for signature 18 December 1979, 1249 UNTS 13 (entered into force 3 September 1981).</w:t>
      </w:r>
    </w:p>
  </w:endnote>
  <w:endnote w:id="31">
    <w:p w14:paraId="341DCFAC" w14:textId="08BBACA7" w:rsidR="007B537E" w:rsidRPr="007B537E" w:rsidRDefault="007B537E" w:rsidP="00AA421C">
      <w:pPr>
        <w:pStyle w:val="EndnoteText"/>
      </w:pPr>
      <w:r w:rsidRPr="007B537E">
        <w:rPr>
          <w:rStyle w:val="EndnoteReference"/>
        </w:rPr>
        <w:endnoteRef/>
      </w:r>
      <w:r w:rsidRPr="007B537E">
        <w:t xml:space="preserve"> </w:t>
      </w:r>
      <w:r w:rsidRPr="007B537E">
        <w:rPr>
          <w:i/>
        </w:rPr>
        <w:t>International Convention on the Elimination of All Forms of Racial Discrimination</w:t>
      </w:r>
      <w:r w:rsidRPr="007B537E">
        <w:t>, opened for signature 21 December 1965, 660 UNTS 195 (entered into force 4 January 1969).</w:t>
      </w:r>
    </w:p>
  </w:endnote>
  <w:endnote w:id="32">
    <w:p w14:paraId="76B4D1BF" w14:textId="18A67C38" w:rsidR="007B537E" w:rsidRPr="007B537E" w:rsidRDefault="007B537E" w:rsidP="00AA421C">
      <w:pPr>
        <w:pStyle w:val="EndnoteText"/>
      </w:pPr>
      <w:r w:rsidRPr="007B537E">
        <w:rPr>
          <w:rStyle w:val="EndnoteReference"/>
        </w:rPr>
        <w:endnoteRef/>
      </w:r>
      <w:r w:rsidRPr="007B537E">
        <w:t xml:space="preserve"> See for example: </w:t>
      </w:r>
      <w:r w:rsidRPr="007B537E">
        <w:rPr>
          <w:i/>
        </w:rPr>
        <w:t xml:space="preserve">Convention (No. 159) Concerning Vocational Rehabilitation and Employment (Disabled Persons), </w:t>
      </w:r>
      <w:r w:rsidRPr="007B537E">
        <w:t>opened for signature 20 June 1983, 1401 UNTS 23439 (entered into force 20 June 1985).</w:t>
      </w:r>
    </w:p>
  </w:endnote>
  <w:endnote w:id="33">
    <w:p w14:paraId="311C9E4B" w14:textId="77777777" w:rsidR="007B537E" w:rsidRPr="007B537E" w:rsidRDefault="007B537E" w:rsidP="00C81DB6">
      <w:pPr>
        <w:pStyle w:val="EndnoteText"/>
      </w:pPr>
      <w:r w:rsidRPr="007B537E">
        <w:rPr>
          <w:rStyle w:val="EndnoteReference"/>
        </w:rPr>
        <w:endnoteRef/>
      </w:r>
      <w:r w:rsidRPr="007B537E">
        <w:t xml:space="preserve"> </w:t>
      </w:r>
      <w:r w:rsidRPr="007B537E">
        <w:rPr>
          <w:i/>
        </w:rPr>
        <w:t xml:space="preserve">Disability Discrimination Act 1992 </w:t>
      </w:r>
      <w:r w:rsidRPr="007B537E">
        <w:t>(Cth) s 6.</w:t>
      </w:r>
    </w:p>
  </w:endnote>
  <w:endnote w:id="34">
    <w:p w14:paraId="1FB8316E" w14:textId="77777777" w:rsidR="007B537E" w:rsidRPr="007B537E" w:rsidRDefault="007B537E" w:rsidP="00FF540D">
      <w:pPr>
        <w:pStyle w:val="EndnoteText"/>
      </w:pPr>
      <w:r w:rsidRPr="007B537E">
        <w:rPr>
          <w:rStyle w:val="EndnoteReference"/>
        </w:rPr>
        <w:endnoteRef/>
      </w:r>
      <w:r w:rsidRPr="007B537E">
        <w:t xml:space="preserve"> </w:t>
      </w:r>
      <w:r w:rsidRPr="007B537E">
        <w:rPr>
          <w:i/>
        </w:rPr>
        <w:t xml:space="preserve">Disability Discrimination Act 1992 </w:t>
      </w:r>
      <w:r w:rsidRPr="007B537E">
        <w:t>(Cth) s 15.</w:t>
      </w:r>
    </w:p>
  </w:endnote>
  <w:endnote w:id="35">
    <w:p w14:paraId="784D0773" w14:textId="00F9C84E" w:rsidR="007B537E" w:rsidRPr="007B537E" w:rsidRDefault="007B537E" w:rsidP="00FF540D">
      <w:pPr>
        <w:pStyle w:val="EndnoteText"/>
        <w:rPr>
          <w:lang w:val="en-US"/>
        </w:rPr>
      </w:pPr>
      <w:r w:rsidRPr="007B537E">
        <w:rPr>
          <w:rStyle w:val="EndnoteReference"/>
        </w:rPr>
        <w:endnoteRef/>
      </w:r>
      <w:r w:rsidRPr="007B537E">
        <w:t xml:space="preserve"> </w:t>
      </w:r>
      <w:r w:rsidRPr="007B537E">
        <w:rPr>
          <w:i/>
        </w:rPr>
        <w:t>Disability Discrimination Act 1992</w:t>
      </w:r>
      <w:r w:rsidRPr="007B537E">
        <w:t xml:space="preserve"> (Cth) s 12(8)(ba).</w:t>
      </w:r>
    </w:p>
  </w:endnote>
  <w:endnote w:id="36">
    <w:p w14:paraId="3E23B359" w14:textId="77777777" w:rsidR="007B537E" w:rsidRPr="007B537E" w:rsidRDefault="007B537E" w:rsidP="00FF540D">
      <w:pPr>
        <w:pStyle w:val="EndnoteText"/>
      </w:pPr>
      <w:r w:rsidRPr="007B537E">
        <w:rPr>
          <w:rStyle w:val="EndnoteReference"/>
        </w:rPr>
        <w:endnoteRef/>
      </w:r>
      <w:r w:rsidRPr="007B537E">
        <w:t xml:space="preserve"> </w:t>
      </w:r>
      <w:r w:rsidRPr="007B537E">
        <w:rPr>
          <w:i/>
        </w:rPr>
        <w:t xml:space="preserve">Disability Discrimination Act 1992 </w:t>
      </w:r>
      <w:r w:rsidRPr="007B537E">
        <w:t>(Cth) s 15.</w:t>
      </w:r>
    </w:p>
  </w:endnote>
  <w:endnote w:id="37">
    <w:p w14:paraId="7AA43ECF" w14:textId="77777777" w:rsidR="007B537E" w:rsidRPr="007B537E" w:rsidRDefault="007B537E" w:rsidP="00FF540D">
      <w:pPr>
        <w:pStyle w:val="EndnoteText"/>
      </w:pPr>
      <w:r w:rsidRPr="007B537E">
        <w:rPr>
          <w:rStyle w:val="EndnoteReference"/>
        </w:rPr>
        <w:endnoteRef/>
      </w:r>
      <w:r w:rsidRPr="007B537E">
        <w:t xml:space="preserve"> </w:t>
      </w:r>
      <w:r w:rsidRPr="007B537E">
        <w:rPr>
          <w:i/>
        </w:rPr>
        <w:t xml:space="preserve">Disability Discrimination Act 1992 </w:t>
      </w:r>
      <w:r w:rsidRPr="007B537E">
        <w:t xml:space="preserve">(Cth) ss 4, 5(2), 6(2), 11. </w:t>
      </w:r>
    </w:p>
  </w:endnote>
  <w:endnote w:id="38">
    <w:p w14:paraId="0A0A9778" w14:textId="023FAF29" w:rsidR="007B537E" w:rsidRPr="007B537E" w:rsidRDefault="007B537E" w:rsidP="00FF540D">
      <w:pPr>
        <w:pStyle w:val="EndnoteText"/>
      </w:pPr>
      <w:r w:rsidRPr="007B537E">
        <w:rPr>
          <w:rStyle w:val="EndnoteReference"/>
        </w:rPr>
        <w:endnoteRef/>
      </w:r>
      <w:r w:rsidRPr="007B537E">
        <w:t xml:space="preserve"> </w:t>
      </w:r>
      <w:r w:rsidRPr="007B537E">
        <w:rPr>
          <w:i/>
        </w:rPr>
        <w:t xml:space="preserve">Disability Discrimination Act 1992 </w:t>
      </w:r>
      <w:r w:rsidRPr="007B537E">
        <w:t>(Cth) ss 11, 21B. Section 11 provides that in determining whether a reasonable adjustment would impose unjustifiable hardship on an employer, all relevant circumstances of the particular case must be taken into account, including the nature of the benefit or detriment likely to accrue to, or to be suffered by, any person concerned; the effect of the disability of any person concerned; the financial circumstances, and the estimated amount of expenditure required to be made, by the employer; the availability of financial and other assistance to the employer; and any relevant action plans given to the Commission under section 64.</w:t>
      </w:r>
    </w:p>
  </w:endnote>
  <w:endnote w:id="39">
    <w:p w14:paraId="2DD422B1" w14:textId="6CC4FF8C" w:rsidR="007B537E" w:rsidRPr="007B537E" w:rsidRDefault="007B537E">
      <w:pPr>
        <w:pStyle w:val="EndnoteText"/>
        <w:rPr>
          <w:lang w:val="en-US"/>
        </w:rPr>
      </w:pPr>
      <w:r w:rsidRPr="007B537E">
        <w:rPr>
          <w:rStyle w:val="EndnoteReference"/>
        </w:rPr>
        <w:endnoteRef/>
      </w:r>
      <w:r w:rsidRPr="007B537E">
        <w:t xml:space="preserve"> </w:t>
      </w:r>
      <w:r w:rsidRPr="007B537E">
        <w:rPr>
          <w:i/>
        </w:rPr>
        <w:t xml:space="preserve">Disability Discrimination Act 1992 </w:t>
      </w:r>
      <w:r w:rsidRPr="007B537E">
        <w:t>(Cth) ss 11, 21B.</w:t>
      </w:r>
    </w:p>
  </w:endnote>
  <w:endnote w:id="40">
    <w:p w14:paraId="53618B44" w14:textId="77777777" w:rsidR="007B537E" w:rsidRPr="007B537E" w:rsidRDefault="007B537E" w:rsidP="00FF540D">
      <w:pPr>
        <w:pStyle w:val="EndnoteText"/>
      </w:pPr>
      <w:r w:rsidRPr="007B537E">
        <w:rPr>
          <w:rStyle w:val="EndnoteReference"/>
        </w:rPr>
        <w:endnoteRef/>
      </w:r>
      <w:r w:rsidRPr="007B537E">
        <w:t xml:space="preserve"> </w:t>
      </w:r>
      <w:r w:rsidRPr="007B537E">
        <w:rPr>
          <w:i/>
        </w:rPr>
        <w:t xml:space="preserve">Disability Discrimination Act 1992 </w:t>
      </w:r>
      <w:r w:rsidRPr="007B537E">
        <w:t>(Cth) s 21A.</w:t>
      </w:r>
    </w:p>
  </w:endnote>
  <w:endnote w:id="41">
    <w:p w14:paraId="71CD0556" w14:textId="66CEF485" w:rsidR="007B537E" w:rsidRPr="007B537E" w:rsidRDefault="007B537E">
      <w:pPr>
        <w:pStyle w:val="EndnoteText"/>
        <w:rPr>
          <w:lang w:val="en-US"/>
        </w:rPr>
      </w:pPr>
      <w:r w:rsidRPr="007B537E">
        <w:rPr>
          <w:rStyle w:val="EndnoteReference"/>
        </w:rPr>
        <w:endnoteRef/>
      </w:r>
      <w:r w:rsidRPr="007B537E">
        <w:t xml:space="preserve"> </w:t>
      </w:r>
      <w:r w:rsidRPr="007B537E">
        <w:rPr>
          <w:i/>
          <w:lang w:val="en-US"/>
        </w:rPr>
        <w:t>Australian Human Rights Act 1986</w:t>
      </w:r>
      <w:r w:rsidRPr="007B537E">
        <w:rPr>
          <w:lang w:val="en-US"/>
        </w:rPr>
        <w:t xml:space="preserve"> (Cth) s 46P.</w:t>
      </w:r>
    </w:p>
  </w:endnote>
  <w:endnote w:id="42">
    <w:p w14:paraId="6028A424" w14:textId="503967A1" w:rsidR="007B537E" w:rsidRPr="007B537E" w:rsidRDefault="007B537E" w:rsidP="00FF540D">
      <w:pPr>
        <w:pStyle w:val="EndnoteText"/>
      </w:pPr>
      <w:r w:rsidRPr="007B537E">
        <w:rPr>
          <w:rStyle w:val="EndnoteReference"/>
        </w:rPr>
        <w:endnoteRef/>
      </w:r>
      <w:r w:rsidRPr="007B537E">
        <w:t xml:space="preserve"> </w:t>
      </w:r>
      <w:r w:rsidRPr="007B537E">
        <w:rPr>
          <w:i/>
        </w:rPr>
        <w:t xml:space="preserve">Disability Discrimination Act 1992 </w:t>
      </w:r>
      <w:r w:rsidRPr="007B537E">
        <w:t xml:space="preserve">(Cth) s 46PO. It is important to note that the Australian Human Rights Commission does not have the power to conduct systemic litigation or bring its own actions. It is up to individual parties to apply to the Federal Court for a remedy in their particular case. </w:t>
      </w:r>
      <w:r w:rsidR="007846CC">
        <w:t>In some cases leave is required.</w:t>
      </w:r>
    </w:p>
  </w:endnote>
  <w:endnote w:id="43">
    <w:p w14:paraId="6975DC34" w14:textId="77777777" w:rsidR="007B537E" w:rsidRPr="007B537E" w:rsidRDefault="007B537E" w:rsidP="001F1232">
      <w:pPr>
        <w:pStyle w:val="EndnoteText"/>
      </w:pPr>
      <w:r w:rsidRPr="007B537E">
        <w:rPr>
          <w:rStyle w:val="EndnoteReference"/>
          <w:color w:val="000000" w:themeColor="text1"/>
        </w:rPr>
        <w:endnoteRef/>
      </w:r>
      <w:r w:rsidRPr="007B537E">
        <w:rPr>
          <w:color w:val="000000" w:themeColor="text1"/>
        </w:rPr>
        <w:t xml:space="preserve"> </w:t>
      </w:r>
      <w:r w:rsidRPr="007B537E">
        <w:rPr>
          <w:i/>
          <w:color w:val="000000" w:themeColor="text1"/>
        </w:rPr>
        <w:t xml:space="preserve">Fair Work Act 2009 </w:t>
      </w:r>
      <w:r w:rsidRPr="007B537E">
        <w:rPr>
          <w:color w:val="000000" w:themeColor="text1"/>
        </w:rPr>
        <w:t>(Cth) s 335.</w:t>
      </w:r>
    </w:p>
  </w:endnote>
  <w:endnote w:id="44">
    <w:p w14:paraId="698DA2EF" w14:textId="77777777" w:rsidR="007B537E" w:rsidRPr="007B537E" w:rsidRDefault="007B537E" w:rsidP="001F1232">
      <w:pPr>
        <w:pStyle w:val="EndnoteText"/>
      </w:pPr>
      <w:r w:rsidRPr="007B537E">
        <w:rPr>
          <w:rStyle w:val="EndnoteReference"/>
        </w:rPr>
        <w:endnoteRef/>
      </w:r>
      <w:r w:rsidRPr="007B537E">
        <w:t xml:space="preserve"> </w:t>
      </w:r>
      <w:r w:rsidRPr="007B537E">
        <w:rPr>
          <w:i/>
        </w:rPr>
        <w:t xml:space="preserve">Fair Work Act 2009 </w:t>
      </w:r>
      <w:r w:rsidRPr="007B537E">
        <w:t>(Cth) s 342.</w:t>
      </w:r>
    </w:p>
  </w:endnote>
  <w:endnote w:id="45">
    <w:p w14:paraId="79B0A82D" w14:textId="26504CEC" w:rsidR="007B537E" w:rsidRPr="007B537E" w:rsidRDefault="007B537E" w:rsidP="001F1232">
      <w:pPr>
        <w:pStyle w:val="EndnoteText"/>
      </w:pPr>
      <w:r w:rsidRPr="007B537E">
        <w:rPr>
          <w:rStyle w:val="EndnoteReference"/>
        </w:rPr>
        <w:endnoteRef/>
      </w:r>
      <w:r w:rsidRPr="007B537E">
        <w:t xml:space="preserve"> </w:t>
      </w:r>
      <w:r w:rsidRPr="007B537E">
        <w:rPr>
          <w:i/>
        </w:rPr>
        <w:t xml:space="preserve">Fair Work Act 2009 </w:t>
      </w:r>
      <w:r w:rsidRPr="007B537E">
        <w:t>(Cth) ss 351(2)(a), 351(3).</w:t>
      </w:r>
    </w:p>
  </w:endnote>
  <w:endnote w:id="46">
    <w:p w14:paraId="0930C222" w14:textId="78594343" w:rsidR="007B537E" w:rsidRPr="007B537E" w:rsidRDefault="007B537E" w:rsidP="001F1232">
      <w:pPr>
        <w:pStyle w:val="EndnoteText"/>
        <w:rPr>
          <w:i/>
        </w:rPr>
      </w:pPr>
      <w:r w:rsidRPr="007B537E">
        <w:rPr>
          <w:rStyle w:val="EndnoteReference"/>
        </w:rPr>
        <w:endnoteRef/>
      </w:r>
      <w:r w:rsidRPr="007B537E">
        <w:t xml:space="preserve"> See, for example, </w:t>
      </w:r>
      <w:r w:rsidRPr="007B537E">
        <w:rPr>
          <w:i/>
        </w:rPr>
        <w:t xml:space="preserve">RailPro Services Pty Ltd v Flavel </w:t>
      </w:r>
      <w:r w:rsidRPr="007B537E">
        <w:rPr>
          <w:iCs/>
        </w:rPr>
        <w:t>(2015) 242 FCR 424</w:t>
      </w:r>
      <w:r w:rsidRPr="007B537E">
        <w:t xml:space="preserve"> at [113]; </w:t>
      </w:r>
      <w:r w:rsidRPr="007B537E">
        <w:rPr>
          <w:i/>
        </w:rPr>
        <w:t xml:space="preserve">Western Union Business Solutions (Australia) Pty Ltd v Robinson </w:t>
      </w:r>
      <w:r w:rsidRPr="007B537E">
        <w:rPr>
          <w:iCs/>
        </w:rPr>
        <w:t>(2019) 272 FCR 547</w:t>
      </w:r>
      <w:r w:rsidRPr="007B537E">
        <w:t xml:space="preserve"> at [118]; </w:t>
      </w:r>
      <w:r w:rsidRPr="007B537E">
        <w:rPr>
          <w:i/>
        </w:rPr>
        <w:t xml:space="preserve">Cheng v Western Pursuits Trust T/A Vauxhall Inn </w:t>
      </w:r>
      <w:r w:rsidRPr="007B537E">
        <w:t xml:space="preserve">[2016] FCCA 3275 at [18] - [19]; </w:t>
      </w:r>
      <w:r w:rsidRPr="007B537E">
        <w:rPr>
          <w:i/>
        </w:rPr>
        <w:t xml:space="preserve">Morton v Commonwealth Scientific and Industrial Research Organisation (no 2) </w:t>
      </w:r>
      <w:r w:rsidRPr="007B537E">
        <w:t>[2019] FCA 1754 at [68] - [69].</w:t>
      </w:r>
    </w:p>
  </w:endnote>
  <w:endnote w:id="47">
    <w:p w14:paraId="693513F2" w14:textId="77777777" w:rsidR="007B537E" w:rsidRPr="007B537E" w:rsidRDefault="007B537E" w:rsidP="001F1232">
      <w:pPr>
        <w:pStyle w:val="EndnoteText"/>
      </w:pPr>
      <w:r w:rsidRPr="007B537E">
        <w:rPr>
          <w:rStyle w:val="EndnoteReference"/>
        </w:rPr>
        <w:endnoteRef/>
      </w:r>
      <w:r w:rsidRPr="007B537E">
        <w:t xml:space="preserve"> </w:t>
      </w:r>
      <w:r w:rsidRPr="007B537E">
        <w:rPr>
          <w:i/>
        </w:rPr>
        <w:t xml:space="preserve">Fair Work Act 2009 </w:t>
      </w:r>
      <w:r w:rsidRPr="007B537E">
        <w:t>(Cth) pt 3-2.</w:t>
      </w:r>
    </w:p>
  </w:endnote>
  <w:endnote w:id="48">
    <w:p w14:paraId="344B11CB" w14:textId="77777777" w:rsidR="007B537E" w:rsidRPr="007B537E" w:rsidRDefault="007B537E" w:rsidP="001F1232">
      <w:pPr>
        <w:pStyle w:val="EndnoteText"/>
      </w:pPr>
      <w:r w:rsidRPr="007B537E">
        <w:rPr>
          <w:rStyle w:val="EndnoteReference"/>
        </w:rPr>
        <w:endnoteRef/>
      </w:r>
      <w:r w:rsidRPr="007B537E">
        <w:t xml:space="preserve"> </w:t>
      </w:r>
      <w:r w:rsidRPr="007B537E">
        <w:rPr>
          <w:i/>
        </w:rPr>
        <w:t xml:space="preserve">Fair Work Act 2009 </w:t>
      </w:r>
      <w:r w:rsidRPr="007B537E">
        <w:t>(Cth) ss 771-783.</w:t>
      </w:r>
    </w:p>
  </w:endnote>
  <w:endnote w:id="49">
    <w:p w14:paraId="06F38F7C" w14:textId="57E15EC7" w:rsidR="007B537E" w:rsidRPr="00AE099E" w:rsidRDefault="007B537E" w:rsidP="00AC7A67">
      <w:pPr>
        <w:pStyle w:val="EndnoteText"/>
      </w:pPr>
      <w:r w:rsidRPr="007B537E">
        <w:rPr>
          <w:rStyle w:val="EndnoteReference"/>
        </w:rPr>
        <w:endnoteRef/>
      </w:r>
      <w:r w:rsidRPr="007B537E">
        <w:t xml:space="preserve"> Council of Australian Governments, </w:t>
      </w:r>
      <w:r w:rsidRPr="007B537E">
        <w:rPr>
          <w:i/>
        </w:rPr>
        <w:t>National Disability Strategy 2010-2020</w:t>
      </w:r>
      <w:r w:rsidRPr="007B537E">
        <w:rPr>
          <w:iCs/>
        </w:rPr>
        <w:t>, 9</w:t>
      </w:r>
      <w:r w:rsidRPr="007B537E">
        <w:t xml:space="preserve"> &lt;</w:t>
      </w:r>
      <w:hyperlink r:id="rId17" w:history="1">
        <w:r w:rsidRPr="007B537E">
          <w:rPr>
            <w:rStyle w:val="Hyperlink"/>
          </w:rPr>
          <w:t>https://www.dss.gov.au/our-responsibilities/disability-and-carers/publications-articles/policy-research/national-disability-strategy-2010-2020</w:t>
        </w:r>
      </w:hyperlink>
      <w:r w:rsidRPr="007B537E">
        <w:t>&gt;.</w:t>
      </w:r>
    </w:p>
  </w:endnote>
  <w:endnote w:id="50">
    <w:p w14:paraId="48D43D65" w14:textId="56E1467A" w:rsidR="007B537E" w:rsidRPr="00AE099E" w:rsidRDefault="007B537E" w:rsidP="00AC7A67">
      <w:pPr>
        <w:pStyle w:val="EndnoteText"/>
      </w:pPr>
      <w:r w:rsidRPr="00AE099E">
        <w:rPr>
          <w:rStyle w:val="EndnoteReference"/>
        </w:rPr>
        <w:endnoteRef/>
      </w:r>
      <w:r w:rsidRPr="00AE099E">
        <w:t xml:space="preserve"> </w:t>
      </w:r>
      <w:r w:rsidRPr="007B537E">
        <w:t xml:space="preserve">Council of Australian Governments, </w:t>
      </w:r>
      <w:r w:rsidRPr="007B537E">
        <w:rPr>
          <w:i/>
          <w:iCs/>
        </w:rPr>
        <w:t>National Disability Strategy 2010-2020</w:t>
      </w:r>
      <w:r w:rsidRPr="007B537E">
        <w:t xml:space="preserve">, 10 </w:t>
      </w:r>
      <w:r w:rsidR="00037014">
        <w:t>&lt;</w:t>
      </w:r>
      <w:hyperlink r:id="rId18" w:history="1">
        <w:r w:rsidR="00037014" w:rsidRPr="001A7DEC">
          <w:rPr>
            <w:rStyle w:val="Hyperlink"/>
          </w:rPr>
          <w:t>https://www.dss.gov.au/our-responsibilities/disability-and-carers/publications-articles/policy-research/national-disability-strategy-2010-2020</w:t>
        </w:r>
      </w:hyperlink>
      <w:r w:rsidR="00037014">
        <w:t>&gt;</w:t>
      </w:r>
      <w:r w:rsidRPr="007B537E">
        <w:t>.</w:t>
      </w:r>
    </w:p>
  </w:endnote>
  <w:endnote w:id="51">
    <w:p w14:paraId="651D4913" w14:textId="11E6A833" w:rsidR="007B537E" w:rsidRPr="00AE099E" w:rsidRDefault="007B537E">
      <w:pPr>
        <w:pStyle w:val="EndnoteText"/>
        <w:rPr>
          <w:lang w:val="en-US"/>
        </w:rPr>
      </w:pPr>
      <w:r w:rsidRPr="00AE099E">
        <w:rPr>
          <w:rStyle w:val="EndnoteReference"/>
        </w:rPr>
        <w:endnoteRef/>
      </w:r>
      <w:r w:rsidRPr="00AE099E">
        <w:t xml:space="preserve"> Australian Government, Department of Social Services ‘ The National Disability Data Asset’ (Web Page, 19 August 2020) &lt;</w:t>
      </w:r>
      <w:hyperlink r:id="rId19" w:history="1">
        <w:r w:rsidR="00037014" w:rsidRPr="001A7DEC">
          <w:rPr>
            <w:rStyle w:val="Hyperlink"/>
          </w:rPr>
          <w:t>https://www.dss.gov.au/disability-and-carers-research-and-data/the-national-disability-data-asset</w:t>
        </w:r>
      </w:hyperlink>
      <w:r w:rsidRPr="00AE099E">
        <w:t xml:space="preserve">&gt; . </w:t>
      </w:r>
    </w:p>
  </w:endnote>
  <w:endnote w:id="52">
    <w:p w14:paraId="5EDFD322" w14:textId="74CD2B36" w:rsidR="007B537E" w:rsidRPr="00AE099E" w:rsidRDefault="007B537E" w:rsidP="00DB2564">
      <w:pPr>
        <w:pStyle w:val="EndnoteText"/>
      </w:pPr>
      <w:r w:rsidRPr="00AE099E">
        <w:rPr>
          <w:rStyle w:val="EndnoteReference"/>
        </w:rPr>
        <w:endnoteRef/>
      </w:r>
      <w:r w:rsidRPr="00AE099E">
        <w:t xml:space="preserve"> </w:t>
      </w:r>
      <w:r w:rsidRPr="007B537E">
        <w:t xml:space="preserve">See, for example, Committee on the Rights of Persons with Disabilities (CRPD Committee), </w:t>
      </w:r>
      <w:r w:rsidRPr="007B537E">
        <w:rPr>
          <w:i/>
          <w:iCs/>
        </w:rPr>
        <w:t>General Comment No. 5 (2017) on living independently and being included in the community</w:t>
      </w:r>
      <w:r w:rsidRPr="007B537E">
        <w:t>, UN Doc CRPD/C/GC/5 (27 October 2017) [47]-[68].</w:t>
      </w:r>
      <w:r w:rsidRPr="00AE099E">
        <w:t xml:space="preserve"> </w:t>
      </w:r>
    </w:p>
  </w:endnote>
  <w:endnote w:id="53">
    <w:p w14:paraId="0D69678B" w14:textId="61086A9B" w:rsidR="007B537E" w:rsidRPr="00AE099E" w:rsidRDefault="007B537E">
      <w:pPr>
        <w:pStyle w:val="EndnoteText"/>
      </w:pPr>
      <w:r w:rsidRPr="00AE099E">
        <w:rPr>
          <w:rStyle w:val="EndnoteReference"/>
        </w:rPr>
        <w:endnoteRef/>
      </w:r>
      <w:r w:rsidRPr="00AE099E">
        <w:t xml:space="preserve"> </w:t>
      </w:r>
      <w:r w:rsidRPr="007B537E">
        <w:t xml:space="preserve">See also UN Office of the High Commissioner, </w:t>
      </w:r>
      <w:r w:rsidRPr="007B537E">
        <w:rPr>
          <w:i/>
          <w:iCs/>
        </w:rPr>
        <w:t xml:space="preserve">Guiding Principles on Business and Human Rights: Implementing the United Nations “Protect, Respect and Remedy” Framework, </w:t>
      </w:r>
      <w:r w:rsidRPr="007B537E">
        <w:t>UN Doc HR/PUB/11/04 (2011).</w:t>
      </w:r>
    </w:p>
  </w:endnote>
  <w:endnote w:id="54">
    <w:p w14:paraId="02969C01" w14:textId="6E940963" w:rsidR="007B537E" w:rsidRPr="00AE099E" w:rsidRDefault="007B537E" w:rsidP="008E6D0D">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4(5).</w:t>
      </w:r>
    </w:p>
  </w:endnote>
  <w:endnote w:id="55">
    <w:p w14:paraId="66EB7E32" w14:textId="20376166" w:rsidR="007B537E" w:rsidRPr="00AE099E" w:rsidRDefault="007B537E" w:rsidP="008E6D0D">
      <w:pPr>
        <w:pStyle w:val="EndnoteText"/>
      </w:pPr>
      <w:r w:rsidRPr="00305BF2">
        <w:rPr>
          <w:rStyle w:val="EndnoteReference"/>
        </w:rPr>
        <w:endnoteRef/>
      </w:r>
      <w:r w:rsidRPr="00305BF2">
        <w:t xml:space="preserve"> See, for example, James Crawford, ‘The conditions for international responsibility’ in Crawford (ed), </w:t>
      </w:r>
      <w:r w:rsidRPr="00305BF2">
        <w:rPr>
          <w:i/>
        </w:rPr>
        <w:t>Brownlie’s Principles of Public International Law</w:t>
      </w:r>
      <w:r w:rsidRPr="00305BF2">
        <w:t xml:space="preserve"> (9</w:t>
      </w:r>
      <w:r w:rsidRPr="00305BF2">
        <w:rPr>
          <w:vertAlign w:val="superscript"/>
        </w:rPr>
        <w:t>th</w:t>
      </w:r>
      <w:r w:rsidRPr="00305BF2">
        <w:t xml:space="preserve"> ed) (Oxford University Press 2019) 531. </w:t>
      </w:r>
    </w:p>
  </w:endnote>
  <w:endnote w:id="56">
    <w:p w14:paraId="61FADBB2" w14:textId="29DBB44D" w:rsidR="007B537E" w:rsidRPr="00AE099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4(1).</w:t>
      </w:r>
    </w:p>
  </w:endnote>
  <w:endnote w:id="57">
    <w:p w14:paraId="02170308" w14:textId="0C1504AD" w:rsidR="007B537E" w:rsidRPr="00AE099E" w:rsidRDefault="007B537E">
      <w:pPr>
        <w:pStyle w:val="EndnoteText"/>
      </w:pPr>
      <w:r w:rsidRPr="00AE099E">
        <w:rPr>
          <w:rStyle w:val="EndnoteReference"/>
        </w:rPr>
        <w:endnoteRef/>
      </w:r>
      <w:r w:rsidRPr="00AE099E">
        <w:t xml:space="preserve"> </w:t>
      </w:r>
      <w:r w:rsidRPr="007B537E">
        <w:t xml:space="preserve">See, for example, UN Human Rights Committee, </w:t>
      </w:r>
      <w:r w:rsidRPr="007B537E">
        <w:rPr>
          <w:i/>
          <w:iCs/>
        </w:rPr>
        <w:t>General Comment 31: The Nature of the General Legal Obligation Imposed on State Parties to the Covenant,</w:t>
      </w:r>
      <w:r w:rsidRPr="007B537E">
        <w:t xml:space="preserve"> UN Doc CCPR/C/21/Rev.1/Add.13 (29 March 2004) [7].</w:t>
      </w:r>
    </w:p>
  </w:endnote>
  <w:endnote w:id="58">
    <w:p w14:paraId="694EEB7C" w14:textId="44CF697E" w:rsidR="007B537E" w:rsidRPr="00AE099E" w:rsidRDefault="007B537E">
      <w:pPr>
        <w:pStyle w:val="EndnoteText"/>
      </w:pPr>
      <w:r w:rsidRPr="00AE099E">
        <w:rPr>
          <w:rStyle w:val="EndnoteReference"/>
        </w:rPr>
        <w:endnoteRef/>
      </w:r>
      <w:r w:rsidRPr="00AE099E">
        <w:t xml:space="preserve"> </w:t>
      </w:r>
      <w:r w:rsidRPr="007B537E">
        <w:rPr>
          <w:i/>
          <w:iCs/>
        </w:rPr>
        <w:t xml:space="preserve">Groninger </w:t>
      </w:r>
      <w:r w:rsidRPr="007B537E">
        <w:rPr>
          <w:i/>
        </w:rPr>
        <w:t xml:space="preserve">et al v Germany, </w:t>
      </w:r>
      <w:r w:rsidRPr="007B537E">
        <w:t>Communication No. 002/2010, UN Doc CRPD/C/D/2/2010</w:t>
      </w:r>
      <w:r w:rsidRPr="007B537E">
        <w:rPr>
          <w:i/>
        </w:rPr>
        <w:t xml:space="preserve"> </w:t>
      </w:r>
      <w:r w:rsidRPr="007B537E">
        <w:t>(7 July 2014) [6.2].</w:t>
      </w:r>
    </w:p>
  </w:endnote>
  <w:endnote w:id="59">
    <w:p w14:paraId="1062F6F3" w14:textId="5B55C7A6" w:rsidR="007B537E" w:rsidRPr="00AE099E" w:rsidRDefault="007B537E">
      <w:pPr>
        <w:pStyle w:val="EndnoteText"/>
      </w:pPr>
      <w:r w:rsidRPr="00AE099E">
        <w:rPr>
          <w:rStyle w:val="EndnoteReference"/>
        </w:rPr>
        <w:endnoteRef/>
      </w:r>
      <w:r w:rsidRPr="00AE099E">
        <w:t xml:space="preserve"> </w:t>
      </w:r>
      <w:r w:rsidRPr="007B537E">
        <w:rPr>
          <w:i/>
          <w:iCs/>
        </w:rPr>
        <w:t xml:space="preserve">V.F.C v Spain, </w:t>
      </w:r>
      <w:r w:rsidRPr="007B537E">
        <w:t>Communication No. 034/2015, UN Doc CRPD/C/21/D/34/2015 (29 April 2019) [8.4].</w:t>
      </w:r>
    </w:p>
  </w:endnote>
  <w:endnote w:id="60">
    <w:p w14:paraId="4815F06E" w14:textId="45E9CBFE" w:rsidR="007B537E" w:rsidRPr="00AE099E" w:rsidRDefault="007B537E" w:rsidP="00EB2F0D">
      <w:pPr>
        <w:pStyle w:val="EndnoteText"/>
        <w:rPr>
          <w:i/>
        </w:rPr>
      </w:pPr>
      <w:r w:rsidRPr="00AE099E">
        <w:rPr>
          <w:rStyle w:val="EndnoteReference"/>
        </w:rPr>
        <w:endnoteRef/>
      </w:r>
      <w:r w:rsidRPr="00AE099E">
        <w:t xml:space="preserve"> </w:t>
      </w:r>
      <w:r w:rsidRPr="007B537E">
        <w:t xml:space="preserve">Committee on Economic, Social and Cultural Rights (CESCR Committee), </w:t>
      </w:r>
      <w:r w:rsidRPr="007B537E">
        <w:rPr>
          <w:i/>
        </w:rPr>
        <w:t>General Comment No. 18 on Article 6 The Right to Work</w:t>
      </w:r>
      <w:r w:rsidRPr="007B537E">
        <w:t xml:space="preserve">, UN Doc E/C.12/GC/18 (6 February 2006) [4]. See also Anthony Hallal and Marilyn Pittard, ‘The rights of delivery workers in Australia’s gig economy: employees, independent contractors and Klooger v Foodora Australia’ (2019) 24(9) </w:t>
      </w:r>
      <w:r w:rsidRPr="007B537E">
        <w:rPr>
          <w:i/>
        </w:rPr>
        <w:t>Employment Law Bulletin</w:t>
      </w:r>
      <w:r w:rsidRPr="007B537E">
        <w:t xml:space="preserve"> 118, 121.</w:t>
      </w:r>
    </w:p>
  </w:endnote>
  <w:endnote w:id="61">
    <w:p w14:paraId="6F86D5D6" w14:textId="6C2912FA" w:rsidR="007B537E" w:rsidRPr="00AE099E" w:rsidRDefault="007B537E">
      <w:pPr>
        <w:pStyle w:val="EndnoteText"/>
      </w:pPr>
      <w:r w:rsidRPr="00AE099E">
        <w:rPr>
          <w:rStyle w:val="EndnoteReference"/>
        </w:rPr>
        <w:endnoteRef/>
      </w:r>
      <w:r w:rsidRPr="00AE099E">
        <w:t xml:space="preserve"> </w:t>
      </w:r>
      <w:r w:rsidRPr="007B537E">
        <w:t xml:space="preserve">See, for example, CRPD Committee, </w:t>
      </w:r>
      <w:r w:rsidRPr="007B537E">
        <w:rPr>
          <w:i/>
          <w:iCs/>
        </w:rPr>
        <w:t>Concluding</w:t>
      </w:r>
      <w:r w:rsidRPr="007B537E">
        <w:t xml:space="preserve"> </w:t>
      </w:r>
      <w:r w:rsidRPr="007B537E">
        <w:rPr>
          <w:i/>
          <w:iCs/>
        </w:rPr>
        <w:t xml:space="preserve">Observations on the initial report of Serbia, </w:t>
      </w:r>
      <w:r w:rsidRPr="007B537E">
        <w:t>UN Doc CRPD/C/SRB/CO/1 (23 May 2016) [55]-[56];</w:t>
      </w:r>
      <w:r w:rsidRPr="00AE099E">
        <w:t xml:space="preserve"> </w:t>
      </w:r>
      <w:r w:rsidRPr="007B537E">
        <w:t xml:space="preserve">CRPD Committee, </w:t>
      </w:r>
      <w:r w:rsidRPr="007B537E">
        <w:rPr>
          <w:i/>
          <w:iCs/>
        </w:rPr>
        <w:t xml:space="preserve">Concluding Observations on the initial report of Slovakia, </w:t>
      </w:r>
      <w:r w:rsidRPr="007B537E">
        <w:t xml:space="preserve">UN Doc CRPD/C/SVK/CO/1 (17 May 2016) [73]-[74]; CRPD Committee, </w:t>
      </w:r>
      <w:r w:rsidRPr="007B537E">
        <w:rPr>
          <w:i/>
          <w:iCs/>
        </w:rPr>
        <w:t>Concluding Observations on the initial report of Germany,</w:t>
      </w:r>
      <w:r w:rsidRPr="007B537E">
        <w:t xml:space="preserve"> UN Doc CRPD/C/DEU/CO/1 (13 May 2015) [49]-[50];</w:t>
      </w:r>
      <w:r w:rsidRPr="00AE099E">
        <w:t xml:space="preserve"> </w:t>
      </w:r>
      <w:r w:rsidRPr="007B537E">
        <w:t xml:space="preserve">CRPD Committee, </w:t>
      </w:r>
      <w:r w:rsidRPr="007B537E">
        <w:rPr>
          <w:i/>
          <w:iCs/>
        </w:rPr>
        <w:t xml:space="preserve">Concluding Observations on the initial report of Mauritius, </w:t>
      </w:r>
      <w:r w:rsidRPr="007B537E">
        <w:t>UN Doc CRPD/C/MUS/CO/1 (30 September 2015) [37]-[38]; CRPD Committee</w:t>
      </w:r>
      <w:r w:rsidRPr="007B537E">
        <w:rPr>
          <w:i/>
          <w:iCs/>
        </w:rPr>
        <w:t xml:space="preserve">, Concluding Observations on the initial report of Bosnia and Herzegovina, </w:t>
      </w:r>
      <w:r w:rsidRPr="007B537E">
        <w:t>UN Doc CRPD/C/BIH/CO/1 (2 May 2017) [48]-[49];</w:t>
      </w:r>
      <w:r w:rsidRPr="00AE099E">
        <w:t xml:space="preserve"> </w:t>
      </w:r>
      <w:r w:rsidRPr="007B537E">
        <w:t xml:space="preserve">CRPD Committee, </w:t>
      </w:r>
      <w:r w:rsidRPr="007B537E">
        <w:rPr>
          <w:i/>
          <w:iCs/>
        </w:rPr>
        <w:t xml:space="preserve">Concluding Observations on the initial report of Canada, </w:t>
      </w:r>
      <w:r w:rsidRPr="007B537E">
        <w:t>UN Doc CRPD/C/CAN/CO/1 (8 May 2017) [47]-[48].</w:t>
      </w:r>
    </w:p>
  </w:endnote>
  <w:endnote w:id="62">
    <w:p w14:paraId="0A091785" w14:textId="74E568C5" w:rsidR="007B537E" w:rsidRPr="00AE099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27(1)(a).</w:t>
      </w:r>
    </w:p>
  </w:endnote>
  <w:endnote w:id="63">
    <w:p w14:paraId="286FEC5A" w14:textId="0E4242AC" w:rsidR="007B537E" w:rsidRPr="00AE099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27(1)(b).</w:t>
      </w:r>
    </w:p>
  </w:endnote>
  <w:endnote w:id="64">
    <w:p w14:paraId="3CEE87E2" w14:textId="0C2B6EDE" w:rsidR="007B537E" w:rsidRPr="00AE099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27(1)(c).</w:t>
      </w:r>
    </w:p>
  </w:endnote>
  <w:endnote w:id="65">
    <w:p w14:paraId="50C20000" w14:textId="77777777" w:rsidR="007B537E" w:rsidRPr="00AE099E" w:rsidRDefault="007B537E" w:rsidP="009547C0">
      <w:pPr>
        <w:pStyle w:val="EndnoteText"/>
      </w:pPr>
      <w:r w:rsidRPr="00AE099E">
        <w:rPr>
          <w:rStyle w:val="EndnoteReference"/>
        </w:rPr>
        <w:endnoteRef/>
      </w:r>
      <w:r w:rsidRPr="00AE099E">
        <w:t xml:space="preserve"> </w:t>
      </w:r>
      <w:r w:rsidRPr="007B537E">
        <w:t>Ilias</w:t>
      </w:r>
      <w:r w:rsidRPr="007B537E">
        <w:rPr>
          <w:b/>
        </w:rPr>
        <w:t xml:space="preserve"> </w:t>
      </w:r>
      <w:r w:rsidRPr="007B537E">
        <w:t xml:space="preserve">Bantekas et al </w:t>
      </w:r>
      <w:r w:rsidRPr="007B537E">
        <w:rPr>
          <w:i/>
        </w:rPr>
        <w:t>The UN Convention on the Rights of Persons with Disabilities: A Commentary</w:t>
      </w:r>
      <w:r w:rsidRPr="007B537E">
        <w:t xml:space="preserve"> (Oxford University Press, 2018) 784.</w:t>
      </w:r>
    </w:p>
  </w:endnote>
  <w:endnote w:id="66">
    <w:p w14:paraId="757140D3" w14:textId="2093344B" w:rsidR="007B537E" w:rsidRPr="00AE099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27(1)(d).</w:t>
      </w:r>
    </w:p>
  </w:endnote>
  <w:endnote w:id="67">
    <w:p w14:paraId="7A374AC7" w14:textId="02079B3F" w:rsidR="007B537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27(1)(e).</w:t>
      </w:r>
    </w:p>
  </w:endnote>
  <w:endnote w:id="68">
    <w:p w14:paraId="75EB0F75" w14:textId="68E8AFAA" w:rsidR="007B537E" w:rsidRPr="00AE099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27(1)(f).</w:t>
      </w:r>
    </w:p>
  </w:endnote>
  <w:endnote w:id="69">
    <w:p w14:paraId="58EFF49B" w14:textId="63E4F03E" w:rsidR="007B537E" w:rsidRPr="00AE099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27(1)(g).</w:t>
      </w:r>
    </w:p>
  </w:endnote>
  <w:endnote w:id="70">
    <w:p w14:paraId="204CAF56" w14:textId="23EB3DE0" w:rsidR="007B537E" w:rsidRPr="00AE099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27(1)(h).</w:t>
      </w:r>
    </w:p>
  </w:endnote>
  <w:endnote w:id="71">
    <w:p w14:paraId="05A2D087" w14:textId="20EBCAC5" w:rsidR="007B537E" w:rsidRPr="007B537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27(1)(i).</w:t>
      </w:r>
    </w:p>
  </w:endnote>
  <w:endnote w:id="72">
    <w:p w14:paraId="51A2B488" w14:textId="2D0B88C3" w:rsidR="007B537E" w:rsidRPr="007B537E" w:rsidRDefault="007B537E">
      <w:pPr>
        <w:pStyle w:val="EndnoteText"/>
      </w:pPr>
      <w:r w:rsidRPr="007B537E">
        <w:rPr>
          <w:rStyle w:val="EndnoteReference"/>
        </w:rPr>
        <w:endnoteRef/>
      </w:r>
      <w:r w:rsidRPr="007B537E">
        <w:t xml:space="preserve"> </w:t>
      </w:r>
      <w:r w:rsidRPr="007B537E">
        <w:rPr>
          <w:i/>
        </w:rPr>
        <w:t>Convention on the Rights of Persons with Disabilities</w:t>
      </w:r>
      <w:r w:rsidRPr="007B537E">
        <w:t>, opened for signature 30 March 2007, 2515 UNTS 3 (entered into force 3 May 2008) art 2.</w:t>
      </w:r>
    </w:p>
  </w:endnote>
  <w:endnote w:id="73">
    <w:p w14:paraId="59980D53" w14:textId="3F9FD0B5" w:rsidR="007B537E" w:rsidRPr="00AE099E" w:rsidRDefault="007B537E">
      <w:pPr>
        <w:pStyle w:val="EndnoteText"/>
      </w:pPr>
      <w:r w:rsidRPr="007B537E">
        <w:rPr>
          <w:rStyle w:val="EndnoteReference"/>
        </w:rPr>
        <w:endnoteRef/>
      </w:r>
      <w:r w:rsidRPr="007B537E">
        <w:t xml:space="preserve"> </w:t>
      </w:r>
      <w:r w:rsidRPr="007B537E">
        <w:rPr>
          <w:i/>
        </w:rPr>
        <w:t>Convention on the Rights of Persons with Disabilities</w:t>
      </w:r>
      <w:r w:rsidRPr="007B537E">
        <w:t>, opened for signature 30 March 2007, 2515 UNTS 3 (entered into force 3 May 2008) art 2 (definition of ‘discrimination on the basis of disability’).</w:t>
      </w:r>
    </w:p>
  </w:endnote>
  <w:endnote w:id="74">
    <w:p w14:paraId="289BD615" w14:textId="5A764B0E" w:rsidR="007B537E" w:rsidRPr="00AE099E" w:rsidRDefault="007B537E">
      <w:pPr>
        <w:pStyle w:val="EndnoteText"/>
      </w:pPr>
      <w:r w:rsidRPr="007B537E">
        <w:rPr>
          <w:rStyle w:val="EndnoteReference"/>
        </w:rPr>
        <w:endnoteRef/>
      </w:r>
      <w:r w:rsidRPr="007B537E">
        <w:t xml:space="preserve"> </w:t>
      </w:r>
      <w:r w:rsidRPr="007B537E">
        <w:rPr>
          <w:i/>
        </w:rPr>
        <w:t>Convention on the Rights of Persons with Disabilities</w:t>
      </w:r>
      <w:r w:rsidRPr="007B537E">
        <w:t>, opened for signature 30 March 2007, 2515 UNTS 3 (entered into force 3 May 2008) art 27(1)(j).</w:t>
      </w:r>
    </w:p>
  </w:endnote>
  <w:endnote w:id="75">
    <w:p w14:paraId="15C17855" w14:textId="69991471" w:rsidR="007B537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27(1)(k).</w:t>
      </w:r>
    </w:p>
  </w:endnote>
  <w:endnote w:id="76">
    <w:p w14:paraId="1C0FBD6A" w14:textId="4DDDB05F" w:rsidR="007B537E" w:rsidRDefault="007B537E">
      <w:pPr>
        <w:pStyle w:val="EndnoteText"/>
      </w:pPr>
      <w:r w:rsidRPr="008E6347">
        <w:rPr>
          <w:rStyle w:val="EndnoteReference"/>
        </w:rPr>
        <w:endnoteRef/>
      </w:r>
      <w:r w:rsidRPr="008E6347">
        <w:t xml:space="preserve"> See also Coomara Pyaneandee, </w:t>
      </w:r>
      <w:r w:rsidRPr="008E6347">
        <w:rPr>
          <w:i/>
          <w:iCs/>
        </w:rPr>
        <w:t xml:space="preserve">International Disability Law: A Practical Approach to the United Nations Convention on the Rights of Persons with Disabilities </w:t>
      </w:r>
      <w:r w:rsidRPr="008E6347">
        <w:t>(Routledge, 2018) 163-164.</w:t>
      </w:r>
    </w:p>
  </w:endnote>
  <w:endnote w:id="77">
    <w:p w14:paraId="46DFB107" w14:textId="4A5B9BC1" w:rsidR="007B537E" w:rsidRPr="00AE099E" w:rsidRDefault="007B537E">
      <w:pPr>
        <w:pStyle w:val="EndnoteText"/>
      </w:pPr>
      <w:r w:rsidRPr="00AE099E">
        <w:rPr>
          <w:rStyle w:val="EndnoteReference"/>
        </w:rPr>
        <w:endnoteRef/>
      </w:r>
      <w:r w:rsidRPr="00AE099E">
        <w:t xml:space="preserve"> </w:t>
      </w:r>
      <w:r w:rsidRPr="007B537E">
        <w:t xml:space="preserve">CRPD Committee, </w:t>
      </w:r>
      <w:r w:rsidRPr="007B537E">
        <w:rPr>
          <w:i/>
          <w:iCs/>
        </w:rPr>
        <w:t xml:space="preserve">Concluding Observations on the combined second and third periodic reports of Australia, </w:t>
      </w:r>
      <w:r w:rsidRPr="007B537E">
        <w:t>UN Doc CRPD/C/AUS/CO/2-3 (15 October 2019) [50(a)].</w:t>
      </w:r>
    </w:p>
  </w:endnote>
  <w:endnote w:id="78">
    <w:p w14:paraId="29923B52" w14:textId="02E6C4E1" w:rsidR="007B537E" w:rsidRPr="00AE099E" w:rsidRDefault="007B537E" w:rsidP="00A61D18">
      <w:pPr>
        <w:pStyle w:val="EndnoteText"/>
      </w:pPr>
      <w:r w:rsidRPr="00AE099E">
        <w:rPr>
          <w:rStyle w:val="EndnoteReference"/>
        </w:rPr>
        <w:endnoteRef/>
      </w:r>
      <w:r w:rsidRPr="00AE099E">
        <w:t xml:space="preserve"> </w:t>
      </w:r>
      <w:r w:rsidRPr="007B537E">
        <w:t xml:space="preserve">CRPD Committee, </w:t>
      </w:r>
      <w:r w:rsidRPr="007B537E">
        <w:rPr>
          <w:i/>
          <w:iCs/>
        </w:rPr>
        <w:t xml:space="preserve">Concluding Observations on the combined second and third periodic reports of Australia, </w:t>
      </w:r>
      <w:r w:rsidRPr="007B537E">
        <w:t>UN Doc CRPD/C/AUS/CO/2-3 (15 October 2019) [50(b)].</w:t>
      </w:r>
    </w:p>
  </w:endnote>
  <w:endnote w:id="79">
    <w:p w14:paraId="5C18DE41" w14:textId="60CDF36F" w:rsidR="007B537E" w:rsidRPr="00AE099E" w:rsidRDefault="007B537E" w:rsidP="00A61D18">
      <w:pPr>
        <w:pStyle w:val="EndnoteText"/>
      </w:pPr>
      <w:r w:rsidRPr="00AE099E">
        <w:rPr>
          <w:rStyle w:val="EndnoteReference"/>
        </w:rPr>
        <w:endnoteRef/>
      </w:r>
      <w:r w:rsidRPr="00AE099E">
        <w:t xml:space="preserve"> </w:t>
      </w:r>
      <w:r w:rsidRPr="007B537E">
        <w:t xml:space="preserve">CRPD Committee, </w:t>
      </w:r>
      <w:r w:rsidRPr="007B537E">
        <w:rPr>
          <w:i/>
          <w:iCs/>
        </w:rPr>
        <w:t>Concluding Observations on the combined second and third periodic reports of Australia</w:t>
      </w:r>
      <w:r w:rsidRPr="007B537E">
        <w:t>, UN Doc CRPD/C/AUS/CO/2-3 (15 October 2019) [50(c)].</w:t>
      </w:r>
    </w:p>
  </w:endnote>
  <w:endnote w:id="80">
    <w:p w14:paraId="6E38397D" w14:textId="35B1DE77" w:rsidR="007B537E" w:rsidRPr="00AE099E" w:rsidRDefault="007B537E">
      <w:pPr>
        <w:pStyle w:val="EndnoteText"/>
      </w:pPr>
      <w:r w:rsidRPr="00AE099E">
        <w:rPr>
          <w:rStyle w:val="EndnoteReference"/>
        </w:rPr>
        <w:endnoteRef/>
      </w:r>
      <w:r w:rsidRPr="00AE099E">
        <w:t xml:space="preserve"> </w:t>
      </w:r>
      <w:r w:rsidRPr="007B537E">
        <w:t xml:space="preserve">CRPD Committee, </w:t>
      </w:r>
      <w:r w:rsidRPr="007B537E">
        <w:rPr>
          <w:i/>
          <w:iCs/>
        </w:rPr>
        <w:t xml:space="preserve">Concluding observations on the initial report of Australia, </w:t>
      </w:r>
      <w:r w:rsidRPr="007B537E">
        <w:t>UN Doc CRPD/C/AUS/CO/1 (21 October 2013) [50(a)].</w:t>
      </w:r>
    </w:p>
  </w:endnote>
  <w:endnote w:id="81">
    <w:p w14:paraId="7CEB7130" w14:textId="74AA87C3" w:rsidR="007B537E" w:rsidRPr="00AE099E" w:rsidRDefault="007B537E">
      <w:pPr>
        <w:pStyle w:val="EndnoteText"/>
      </w:pPr>
      <w:r w:rsidRPr="00AE099E">
        <w:rPr>
          <w:rStyle w:val="EndnoteReference"/>
        </w:rPr>
        <w:endnoteRef/>
      </w:r>
      <w:r w:rsidRPr="00AE099E">
        <w:t xml:space="preserve"> </w:t>
      </w:r>
      <w:r w:rsidRPr="007B537E">
        <w:t xml:space="preserve">CRPD Committee, </w:t>
      </w:r>
      <w:r w:rsidRPr="007B537E">
        <w:rPr>
          <w:i/>
          <w:iCs/>
        </w:rPr>
        <w:t xml:space="preserve">Concluding observations on the initial report of Australia, </w:t>
      </w:r>
      <w:r w:rsidRPr="007B537E">
        <w:t>UN Doc CRPD/C/AUS/CO/1 (21 October 2013) [50(b)].</w:t>
      </w:r>
    </w:p>
  </w:endnote>
  <w:endnote w:id="82">
    <w:p w14:paraId="7C9CD412" w14:textId="36DDA91E" w:rsidR="007B537E" w:rsidRPr="00AE099E" w:rsidRDefault="007B537E">
      <w:pPr>
        <w:pStyle w:val="EndnoteText"/>
      </w:pPr>
      <w:r w:rsidRPr="00AE099E">
        <w:rPr>
          <w:rStyle w:val="EndnoteReference"/>
        </w:rPr>
        <w:endnoteRef/>
      </w:r>
      <w:r w:rsidRPr="00AE099E">
        <w:t xml:space="preserve"> </w:t>
      </w:r>
      <w:r w:rsidRPr="007B537E">
        <w:t>CRPD Committee</w:t>
      </w:r>
      <w:r w:rsidRPr="007B537E">
        <w:rPr>
          <w:i/>
          <w:iCs/>
        </w:rPr>
        <w:t>, Concluding observations on the initial report of Australia</w:t>
      </w:r>
      <w:r w:rsidRPr="007B537E">
        <w:t>, UN Doc CRPD/C/AUS/CO/1 (21 October 2013) [50(c)].</w:t>
      </w:r>
    </w:p>
  </w:endnote>
  <w:endnote w:id="83">
    <w:p w14:paraId="3E23FE16" w14:textId="77777777" w:rsidR="007B537E" w:rsidRPr="00AE099E" w:rsidRDefault="007B537E" w:rsidP="00512B85">
      <w:pPr>
        <w:pStyle w:val="EndnoteText"/>
      </w:pPr>
      <w:r w:rsidRPr="00AE099E">
        <w:rPr>
          <w:rStyle w:val="EndnoteReference"/>
        </w:rPr>
        <w:endnoteRef/>
      </w:r>
      <w:r w:rsidRPr="00AE099E">
        <w:t xml:space="preserve"> </w:t>
      </w:r>
      <w:r w:rsidRPr="007B537E">
        <w:t xml:space="preserve">CRPD Committee, </w:t>
      </w:r>
      <w:r w:rsidRPr="007B537E">
        <w:rPr>
          <w:i/>
          <w:iCs/>
        </w:rPr>
        <w:t xml:space="preserve">General Comment No. 2 (2014) Article 9: Accessibility, </w:t>
      </w:r>
      <w:r w:rsidRPr="007B537E">
        <w:t>UN Doc CRPD/C/GC/2</w:t>
      </w:r>
      <w:r w:rsidRPr="007B537E">
        <w:rPr>
          <w:i/>
          <w:iCs/>
        </w:rPr>
        <w:t xml:space="preserve"> </w:t>
      </w:r>
      <w:r w:rsidRPr="007B537E">
        <w:t>(22 May 2014) [41].</w:t>
      </w:r>
    </w:p>
  </w:endnote>
  <w:endnote w:id="84">
    <w:p w14:paraId="55469497" w14:textId="78F1E96D" w:rsidR="007B537E" w:rsidRPr="00AE099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19(b).</w:t>
      </w:r>
    </w:p>
  </w:endnote>
  <w:endnote w:id="85">
    <w:p w14:paraId="65D56BB7" w14:textId="65E19E41" w:rsidR="007B537E" w:rsidRPr="00AE099E" w:rsidRDefault="007B537E">
      <w:pPr>
        <w:pStyle w:val="EndnoteText"/>
      </w:pPr>
      <w:r w:rsidRPr="00AE099E">
        <w:rPr>
          <w:rStyle w:val="EndnoteReference"/>
        </w:rPr>
        <w:endnoteRef/>
      </w:r>
      <w:r w:rsidRPr="00AE099E">
        <w:t xml:space="preserve"> </w:t>
      </w:r>
      <w:r w:rsidRPr="007B537E">
        <w:t xml:space="preserve">CRPD Committee, </w:t>
      </w:r>
      <w:r w:rsidRPr="007B537E">
        <w:rPr>
          <w:i/>
          <w:iCs/>
        </w:rPr>
        <w:t>General Comment No. 5 (2017) on living independently and being included in the community</w:t>
      </w:r>
      <w:r w:rsidRPr="007B537E">
        <w:t>, UN Doc CRPD/C/GC/5 (27 October 2017) [29].</w:t>
      </w:r>
    </w:p>
  </w:endnote>
  <w:endnote w:id="86">
    <w:p w14:paraId="760EB4F9" w14:textId="7D7A62FC" w:rsidR="007B537E" w:rsidRPr="00AE099E" w:rsidRDefault="007B537E" w:rsidP="0045606C">
      <w:pPr>
        <w:pStyle w:val="EndnoteText"/>
      </w:pPr>
      <w:r w:rsidRPr="00AE099E">
        <w:rPr>
          <w:rStyle w:val="EndnoteReference"/>
        </w:rPr>
        <w:endnoteRef/>
      </w:r>
      <w:r w:rsidRPr="00AE099E">
        <w:t xml:space="preserve"> </w:t>
      </w:r>
      <w:r w:rsidRPr="007B537E">
        <w:t xml:space="preserve">CRPD Committee, </w:t>
      </w:r>
      <w:r w:rsidRPr="007B537E">
        <w:rPr>
          <w:i/>
          <w:iCs/>
        </w:rPr>
        <w:t>General Comment No. 5 (2017) on living independently and being included in the community</w:t>
      </w:r>
      <w:r w:rsidRPr="007B537E">
        <w:t>, UN Doc CRPD/C/GC/5 (27 October 2017) [91].</w:t>
      </w:r>
    </w:p>
  </w:endnote>
  <w:endnote w:id="87">
    <w:p w14:paraId="11B99F7B" w14:textId="7C971D5C" w:rsidR="007B537E" w:rsidRPr="0074469F" w:rsidRDefault="007B537E" w:rsidP="00DC1927">
      <w:pPr>
        <w:pStyle w:val="EndnoteText"/>
      </w:pPr>
      <w:r w:rsidRPr="00AE099E">
        <w:rPr>
          <w:rStyle w:val="EndnoteReference"/>
        </w:rPr>
        <w:endnoteRef/>
      </w:r>
      <w:r w:rsidRPr="00AE099E">
        <w:t xml:space="preserve"> </w:t>
      </w:r>
      <w:r w:rsidRPr="007B537E">
        <w:t xml:space="preserve">CRPD Committee, </w:t>
      </w:r>
      <w:r w:rsidRPr="007B537E">
        <w:rPr>
          <w:i/>
          <w:iCs/>
        </w:rPr>
        <w:t>General Comment No. 5 (2017) on living independently and being included in the communit</w:t>
      </w:r>
      <w:r w:rsidRPr="007B537E">
        <w:t>y, UN Doc CRPD/C/GC/5 (27 October 2017) [91].</w:t>
      </w:r>
    </w:p>
  </w:endnote>
  <w:endnote w:id="88">
    <w:p w14:paraId="75778CDB" w14:textId="40AB6D16" w:rsidR="007B537E" w:rsidRDefault="007B537E" w:rsidP="0003224A">
      <w:pPr>
        <w:pStyle w:val="EndnoteText"/>
      </w:pPr>
      <w:r w:rsidRPr="00AE099E">
        <w:rPr>
          <w:rStyle w:val="EndnoteReference"/>
        </w:rPr>
        <w:endnoteRef/>
      </w:r>
      <w:r w:rsidRPr="00AE099E">
        <w:t xml:space="preserve"> </w:t>
      </w:r>
      <w:r w:rsidRPr="007B537E">
        <w:t>‘Rehabilitation’ refers to an individual’s return to a situation of independence, ability, inclusion and participation (for example, after the onset of a health condition), whereas ‘habilitation’ refers to bringing an individual to maximal independence in the first instance (for example, where a child is born with congenital impairments).</w:t>
      </w:r>
      <w:r w:rsidRPr="00AE099E">
        <w:t xml:space="preserve"> </w:t>
      </w:r>
      <w:r w:rsidRPr="007B537E">
        <w:t>See Ilias</w:t>
      </w:r>
      <w:r w:rsidRPr="007B537E">
        <w:rPr>
          <w:b/>
        </w:rPr>
        <w:t xml:space="preserve"> </w:t>
      </w:r>
      <w:r w:rsidRPr="007B537E">
        <w:t xml:space="preserve">Bantekas et al </w:t>
      </w:r>
      <w:r w:rsidRPr="007B537E">
        <w:rPr>
          <w:i/>
        </w:rPr>
        <w:t>The UN Convention on the Rights of Persons with Disabilities: A Commentary</w:t>
      </w:r>
      <w:r w:rsidRPr="007B537E">
        <w:t xml:space="preserve"> (Oxford University Press, 2018) 735.</w:t>
      </w:r>
      <w:r w:rsidRPr="00AE099E">
        <w:t xml:space="preserve"> </w:t>
      </w:r>
    </w:p>
  </w:endnote>
  <w:endnote w:id="89">
    <w:p w14:paraId="3D8CEF89" w14:textId="472DA612" w:rsidR="007B537E" w:rsidRPr="007B537E" w:rsidRDefault="007B537E">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26(1).</w:t>
      </w:r>
    </w:p>
  </w:endnote>
  <w:endnote w:id="90">
    <w:p w14:paraId="6CFA1AB9" w14:textId="3E34986A" w:rsidR="007B537E" w:rsidRPr="00AE099E" w:rsidRDefault="007B537E">
      <w:pPr>
        <w:pStyle w:val="EndnoteText"/>
      </w:pPr>
      <w:r w:rsidRPr="007B537E">
        <w:rPr>
          <w:rStyle w:val="EndnoteReference"/>
        </w:rPr>
        <w:endnoteRef/>
      </w:r>
      <w:r w:rsidRPr="007B537E">
        <w:t xml:space="preserve"> </w:t>
      </w:r>
      <w:r w:rsidRPr="007B537E">
        <w:rPr>
          <w:i/>
        </w:rPr>
        <w:t>Convention on the Rights of Persons with Disabilities</w:t>
      </w:r>
      <w:r w:rsidRPr="007B537E">
        <w:t>, opened for signature 30 March 2007, 2515 UNTS 3 (entered into force 3 May 2008) art 26(1).</w:t>
      </w:r>
    </w:p>
  </w:endnote>
  <w:endnote w:id="91">
    <w:p w14:paraId="3EF0E8EC" w14:textId="0C0D2770" w:rsidR="007B537E" w:rsidRPr="00AE099E" w:rsidRDefault="007B537E">
      <w:pPr>
        <w:pStyle w:val="EndnoteText"/>
      </w:pPr>
      <w:r w:rsidRPr="00AE099E">
        <w:rPr>
          <w:rStyle w:val="EndnoteReference"/>
        </w:rPr>
        <w:endnoteRef/>
      </w:r>
      <w:r w:rsidRPr="00AE099E">
        <w:t xml:space="preserve"> </w:t>
      </w:r>
      <w:r w:rsidRPr="007B537E">
        <w:t xml:space="preserve">See, for example, CRPD Committee, </w:t>
      </w:r>
      <w:r w:rsidRPr="007B537E">
        <w:rPr>
          <w:i/>
          <w:iCs/>
        </w:rPr>
        <w:t xml:space="preserve">General Comment No. 6 (2018) on equality and non-discrimination, </w:t>
      </w:r>
      <w:r w:rsidRPr="007B537E">
        <w:t>UN Doc CRPD/C/GC/6 (26 April 2018) [4]-[7].</w:t>
      </w:r>
    </w:p>
  </w:endnote>
  <w:endnote w:id="92">
    <w:p w14:paraId="691F5B01" w14:textId="432EB479" w:rsidR="007B537E" w:rsidRPr="00AE099E" w:rsidRDefault="007B537E" w:rsidP="00806290">
      <w:pPr>
        <w:pStyle w:val="EndnoteText"/>
      </w:pPr>
      <w:r w:rsidRPr="00AE099E">
        <w:rPr>
          <w:rStyle w:val="EndnoteReference"/>
        </w:rPr>
        <w:endnoteRef/>
      </w:r>
      <w:r w:rsidRPr="00AE099E">
        <w:t xml:space="preserve"> </w:t>
      </w:r>
      <w:r w:rsidRPr="007B537E">
        <w:t xml:space="preserve">CRPD Committee, </w:t>
      </w:r>
      <w:r w:rsidRPr="007B537E">
        <w:rPr>
          <w:i/>
          <w:iCs/>
        </w:rPr>
        <w:t xml:space="preserve">General Comment No. 6 (2018) on equality and non-discrimination, </w:t>
      </w:r>
      <w:r w:rsidRPr="007B537E">
        <w:t>UN Doc CRPD/C/GC/6 (26 April 2018) [12].</w:t>
      </w:r>
    </w:p>
  </w:endnote>
  <w:endnote w:id="93">
    <w:p w14:paraId="469F4380" w14:textId="2763D58D" w:rsidR="007B537E" w:rsidRPr="00AE099E" w:rsidRDefault="007B537E" w:rsidP="00DC1A48">
      <w:pPr>
        <w:pStyle w:val="EndnoteText"/>
        <w:contextualSpacing/>
        <w:rPr>
          <w:rFonts w:cs="Open Sans"/>
          <w:lang w:val="en-US"/>
        </w:rPr>
      </w:pPr>
      <w:r w:rsidRPr="00AE099E">
        <w:rPr>
          <w:rStyle w:val="EndnoteReference"/>
          <w:rFonts w:cs="Open Sans"/>
        </w:rPr>
        <w:endnoteRef/>
      </w:r>
      <w:r w:rsidRPr="00AE099E">
        <w:rPr>
          <w:rFonts w:cs="Open Sans"/>
        </w:rPr>
        <w:t xml:space="preserve"> </w:t>
      </w:r>
      <w:r w:rsidRPr="007B537E">
        <w:rPr>
          <w:rFonts w:cs="Open Sans"/>
          <w:i/>
          <w:iCs/>
        </w:rPr>
        <w:t>Convention on the Rights of Persons with Disabilities</w:t>
      </w:r>
      <w:r w:rsidRPr="007B537E">
        <w:rPr>
          <w:rFonts w:cs="Open Sans"/>
        </w:rPr>
        <w:t>, opened for signature 30 March 2007, 2515 UNTS 3 (entered into force 3 May 2008) art 2.</w:t>
      </w:r>
    </w:p>
  </w:endnote>
  <w:endnote w:id="94">
    <w:p w14:paraId="7560B28D" w14:textId="60A1D3C3" w:rsidR="007B537E" w:rsidRPr="00AE099E" w:rsidRDefault="007B537E">
      <w:pPr>
        <w:pStyle w:val="EndnoteText"/>
      </w:pPr>
      <w:r w:rsidRPr="00AE099E">
        <w:rPr>
          <w:rStyle w:val="EndnoteReference"/>
        </w:rPr>
        <w:endnoteRef/>
      </w:r>
      <w:r w:rsidRPr="00AE099E">
        <w:t xml:space="preserve"> </w:t>
      </w:r>
      <w:r w:rsidRPr="007B537E">
        <w:t xml:space="preserve">See also CRPD Committee, </w:t>
      </w:r>
      <w:r w:rsidRPr="007B537E">
        <w:rPr>
          <w:i/>
          <w:iCs/>
        </w:rPr>
        <w:t xml:space="preserve">General Comment No. 6 (2018) on equality and non-discrimination, </w:t>
      </w:r>
      <w:r w:rsidRPr="007B537E">
        <w:t xml:space="preserve">UN Doc CRPD/C/GC/6 </w:t>
      </w:r>
      <w:r w:rsidRPr="007B537E">
        <w:rPr>
          <w:i/>
          <w:iCs/>
        </w:rPr>
        <w:t>(</w:t>
      </w:r>
      <w:r w:rsidRPr="007B537E">
        <w:t>26 April 2018) [28]-[29].</w:t>
      </w:r>
    </w:p>
  </w:endnote>
  <w:endnote w:id="95">
    <w:p w14:paraId="03A553E0" w14:textId="5BE2FBAE" w:rsidR="007B537E" w:rsidRPr="00AE099E" w:rsidRDefault="007B537E">
      <w:pPr>
        <w:pStyle w:val="EndnoteText"/>
      </w:pPr>
      <w:r w:rsidRPr="00AE099E">
        <w:rPr>
          <w:rStyle w:val="EndnoteReference"/>
        </w:rPr>
        <w:endnoteRef/>
      </w:r>
      <w:r w:rsidRPr="00AE099E">
        <w:t xml:space="preserve"> </w:t>
      </w:r>
      <w:r w:rsidRPr="007B537E">
        <w:t xml:space="preserve">CRPD Committee, </w:t>
      </w:r>
      <w:r w:rsidRPr="007B537E">
        <w:rPr>
          <w:i/>
          <w:iCs/>
        </w:rPr>
        <w:t xml:space="preserve">General Comment No. 6 (2018) on equality and non-discrimination, </w:t>
      </w:r>
      <w:r w:rsidRPr="007B537E">
        <w:t>UN Doc CRPD/C/GC/6 (26 April 2018) [29].</w:t>
      </w:r>
    </w:p>
  </w:endnote>
  <w:endnote w:id="96">
    <w:p w14:paraId="47CE6645" w14:textId="03AD5149" w:rsidR="007B537E" w:rsidRPr="00AE099E" w:rsidRDefault="007B537E">
      <w:pPr>
        <w:pStyle w:val="EndnoteText"/>
      </w:pPr>
      <w:r w:rsidRPr="00AE099E">
        <w:rPr>
          <w:rStyle w:val="EndnoteReference"/>
        </w:rPr>
        <w:endnoteRef/>
      </w:r>
      <w:r w:rsidRPr="00AE099E">
        <w:t xml:space="preserve"> </w:t>
      </w:r>
      <w:r w:rsidRPr="007B537E">
        <w:t xml:space="preserve">See, for example, </w:t>
      </w:r>
      <w:r w:rsidRPr="007B537E">
        <w:rPr>
          <w:i/>
          <w:iCs/>
        </w:rPr>
        <w:t>International Covenant on Civil and Political Rights</w:t>
      </w:r>
      <w:r w:rsidRPr="007B537E">
        <w:t>, opened for signature 16 December 1966, 999 UNTS 171 (entered into force 23 March 1976) art 26.</w:t>
      </w:r>
    </w:p>
  </w:endnote>
  <w:endnote w:id="97">
    <w:p w14:paraId="5840748F" w14:textId="22FD3924" w:rsidR="007B537E" w:rsidRPr="00AE099E" w:rsidRDefault="007B537E">
      <w:pPr>
        <w:pStyle w:val="EndnoteText"/>
      </w:pPr>
      <w:r w:rsidRPr="00AE099E">
        <w:rPr>
          <w:rStyle w:val="EndnoteReference"/>
        </w:rPr>
        <w:endnoteRef/>
      </w:r>
      <w:r w:rsidRPr="00AE099E">
        <w:t xml:space="preserve"> </w:t>
      </w:r>
      <w:r w:rsidRPr="007B537E">
        <w:t xml:space="preserve">CRPD Committee, </w:t>
      </w:r>
      <w:r w:rsidRPr="007B537E">
        <w:rPr>
          <w:i/>
          <w:iCs/>
        </w:rPr>
        <w:t xml:space="preserve">General Comment No. 6 (2018) on equality and non-discrimination, </w:t>
      </w:r>
      <w:r w:rsidRPr="007B537E">
        <w:t>UN Doc CRPD/C/GC/6 (26 April 2018) [14].</w:t>
      </w:r>
    </w:p>
  </w:endnote>
  <w:endnote w:id="98">
    <w:p w14:paraId="04778A3F" w14:textId="61E404FA" w:rsidR="007B537E" w:rsidRPr="00AE099E" w:rsidRDefault="007B537E">
      <w:pPr>
        <w:pStyle w:val="EndnoteText"/>
      </w:pPr>
      <w:r w:rsidRPr="00AE099E">
        <w:rPr>
          <w:rStyle w:val="EndnoteReference"/>
        </w:rPr>
        <w:endnoteRef/>
      </w:r>
      <w:r w:rsidRPr="00AE099E">
        <w:t xml:space="preserve"> </w:t>
      </w:r>
      <w:r w:rsidRPr="007B537E">
        <w:t xml:space="preserve">CRPD Committee, </w:t>
      </w:r>
      <w:r w:rsidRPr="007B537E">
        <w:rPr>
          <w:i/>
          <w:iCs/>
        </w:rPr>
        <w:t xml:space="preserve">General Comment No. 6 (2018) on equality and non-discrimination, </w:t>
      </w:r>
      <w:r w:rsidRPr="007B537E">
        <w:t>UN Doc CRPD/C/GC/6 (26 April 2018) [16].</w:t>
      </w:r>
    </w:p>
  </w:endnote>
  <w:endnote w:id="99">
    <w:p w14:paraId="2A0431F0" w14:textId="102F29CE" w:rsidR="007B537E" w:rsidRPr="00AE099E" w:rsidRDefault="007B537E">
      <w:pPr>
        <w:pStyle w:val="EndnoteText"/>
      </w:pPr>
      <w:r w:rsidRPr="00AE099E">
        <w:rPr>
          <w:rStyle w:val="EndnoteReference"/>
        </w:rPr>
        <w:endnoteRef/>
      </w:r>
      <w:r w:rsidRPr="00AE099E">
        <w:t xml:space="preserve"> </w:t>
      </w:r>
      <w:r w:rsidRPr="007B537E">
        <w:t xml:space="preserve">CRPD Committee, </w:t>
      </w:r>
      <w:r w:rsidRPr="007B537E">
        <w:rPr>
          <w:i/>
          <w:iCs/>
        </w:rPr>
        <w:t xml:space="preserve">General Comment No. 6 (2018) on equality and non-discrimination, </w:t>
      </w:r>
      <w:r w:rsidRPr="007B537E">
        <w:t>UN Doc CRPD/C/GC/6 (26 April 2018) [18(a)-(d)].</w:t>
      </w:r>
    </w:p>
  </w:endnote>
  <w:endnote w:id="100">
    <w:p w14:paraId="691BB708" w14:textId="0DCA0538" w:rsidR="007B537E" w:rsidRPr="00AE099E" w:rsidRDefault="007B537E">
      <w:pPr>
        <w:pStyle w:val="EndnoteText"/>
      </w:pPr>
      <w:r w:rsidRPr="00AE099E">
        <w:rPr>
          <w:rStyle w:val="EndnoteReference"/>
        </w:rPr>
        <w:endnoteRef/>
      </w:r>
      <w:r w:rsidRPr="00AE099E">
        <w:t xml:space="preserve"> </w:t>
      </w:r>
      <w:r w:rsidRPr="007B537E">
        <w:t xml:space="preserve">CRPD Committee, </w:t>
      </w:r>
      <w:r w:rsidRPr="007B537E">
        <w:rPr>
          <w:i/>
          <w:iCs/>
        </w:rPr>
        <w:t xml:space="preserve">General Comment No. 6 (2018) on equality and non-discrimination, </w:t>
      </w:r>
      <w:r w:rsidRPr="007B537E">
        <w:t>UN Doc CRPD/C/GC/6 (26 April 2018) [22].</w:t>
      </w:r>
    </w:p>
  </w:endnote>
  <w:endnote w:id="101">
    <w:p w14:paraId="2710E098" w14:textId="406B48A5" w:rsidR="007B537E" w:rsidRPr="00AE099E" w:rsidRDefault="007B537E">
      <w:pPr>
        <w:pStyle w:val="EndnoteText"/>
      </w:pPr>
      <w:r w:rsidRPr="00AE099E">
        <w:rPr>
          <w:rStyle w:val="EndnoteReference"/>
        </w:rPr>
        <w:endnoteRef/>
      </w:r>
      <w:r w:rsidRPr="00AE099E">
        <w:t xml:space="preserve"> </w:t>
      </w:r>
      <w:r w:rsidRPr="007B537E">
        <w:t xml:space="preserve">CRPD Committee, </w:t>
      </w:r>
      <w:r w:rsidRPr="007B537E">
        <w:rPr>
          <w:i/>
          <w:iCs/>
        </w:rPr>
        <w:t>General Comment No. 6 (2018) on equality and non-discrimination</w:t>
      </w:r>
      <w:r w:rsidRPr="007B537E">
        <w:t>, UN Doc CRPD/C/GC/6 (26 April 2018) [24(b)].</w:t>
      </w:r>
    </w:p>
  </w:endnote>
  <w:endnote w:id="102">
    <w:p w14:paraId="3ADC189B" w14:textId="7EC4BD97" w:rsidR="007B537E" w:rsidRPr="00AE099E" w:rsidRDefault="007B537E" w:rsidP="00886508">
      <w:pPr>
        <w:pStyle w:val="EndnoteText"/>
      </w:pPr>
      <w:r w:rsidRPr="00AE099E">
        <w:rPr>
          <w:rStyle w:val="EndnoteReference"/>
        </w:rPr>
        <w:endnoteRef/>
      </w:r>
      <w:r w:rsidRPr="00AE099E">
        <w:t xml:space="preserve"> </w:t>
      </w:r>
      <w:r w:rsidRPr="007B537E">
        <w:t xml:space="preserve">See, for example, CESCR Committee, </w:t>
      </w:r>
      <w:r w:rsidRPr="007B537E">
        <w:rPr>
          <w:i/>
          <w:iCs/>
        </w:rPr>
        <w:t>General Comment No. 5: Persons with disabilities</w:t>
      </w:r>
      <w:r w:rsidRPr="007B537E">
        <w:t>, UN Doc E/1995/22 (9 December 1994) [5].</w:t>
      </w:r>
    </w:p>
  </w:endnote>
  <w:endnote w:id="103">
    <w:p w14:paraId="28A8CEEC" w14:textId="40283F25" w:rsidR="007B537E" w:rsidRPr="00AE099E" w:rsidRDefault="007B537E" w:rsidP="00886508">
      <w:pPr>
        <w:pStyle w:val="EndnoteText"/>
      </w:pPr>
      <w:r w:rsidRPr="00AE099E">
        <w:rPr>
          <w:rStyle w:val="EndnoteReference"/>
        </w:rPr>
        <w:endnoteRef/>
      </w:r>
      <w:r w:rsidRPr="00AE099E">
        <w:t xml:space="preserve"> </w:t>
      </w:r>
      <w:r w:rsidRPr="007B537E">
        <w:t xml:space="preserve">See, for example, </w:t>
      </w:r>
      <w:r w:rsidRPr="007B537E">
        <w:rPr>
          <w:i/>
          <w:iCs/>
        </w:rPr>
        <w:t xml:space="preserve">Judge v Canada, </w:t>
      </w:r>
      <w:r w:rsidRPr="007B537E">
        <w:t>Communication No 829/1998, UN Doc CCPR/C/78/D/829/1998 (2003) [10.3].</w:t>
      </w:r>
    </w:p>
  </w:endnote>
  <w:endnote w:id="104">
    <w:p w14:paraId="6F16FAB0" w14:textId="0A1A6B99" w:rsidR="007B537E" w:rsidRPr="00AE099E" w:rsidRDefault="007B537E" w:rsidP="00D2063D">
      <w:pPr>
        <w:pStyle w:val="EndnoteText"/>
      </w:pPr>
      <w:r w:rsidRPr="00AE099E">
        <w:rPr>
          <w:rStyle w:val="EndnoteReference"/>
        </w:rPr>
        <w:endnoteRef/>
      </w:r>
      <w:r w:rsidRPr="00AE099E">
        <w:t xml:space="preserve"> </w:t>
      </w:r>
      <w:r w:rsidRPr="007B537E">
        <w:t xml:space="preserve">See, for example, </w:t>
      </w:r>
      <w:r w:rsidRPr="007B537E">
        <w:rPr>
          <w:i/>
          <w:iCs/>
        </w:rPr>
        <w:t>International Covenant on Civil and Political Rights</w:t>
      </w:r>
      <w:r w:rsidRPr="007B537E">
        <w:t xml:space="preserve">, opened for signature 16 December 1966, 999 UNTS 171 (entered into force 23 March 1976) arts 2(1), 26; </w:t>
      </w:r>
      <w:r w:rsidRPr="007B537E">
        <w:rPr>
          <w:i/>
        </w:rPr>
        <w:t>International Covenant on Economic, Social and Cultural Rights</w:t>
      </w:r>
      <w:r w:rsidRPr="007B537E">
        <w:t>, opened for signature 16 December 1966, 993 UNTS 3 (entered into force 3 January 1976) arts 2(2), 3.</w:t>
      </w:r>
    </w:p>
  </w:endnote>
  <w:endnote w:id="105">
    <w:p w14:paraId="7C32DFA0" w14:textId="73C20746" w:rsidR="007B537E" w:rsidRPr="00AE099E" w:rsidRDefault="007B537E" w:rsidP="0095592C">
      <w:pPr>
        <w:pStyle w:val="EndnoteText"/>
      </w:pPr>
      <w:r w:rsidRPr="00AE099E">
        <w:rPr>
          <w:rStyle w:val="EndnoteReference"/>
        </w:rPr>
        <w:endnoteRef/>
      </w:r>
      <w:r w:rsidRPr="00AE099E">
        <w:t xml:space="preserve"> </w:t>
      </w:r>
      <w:r w:rsidRPr="007B537E">
        <w:t xml:space="preserve">CRPD Committee, </w:t>
      </w:r>
      <w:r w:rsidRPr="007B537E">
        <w:rPr>
          <w:i/>
          <w:iCs/>
        </w:rPr>
        <w:t>General Comment No. 6 (2018) on equality and non-discrimination</w:t>
      </w:r>
      <w:r w:rsidRPr="007B537E">
        <w:t>, UN Doc CRPD/C/GC/6 (26 April 2018) [67].</w:t>
      </w:r>
      <w:r w:rsidRPr="00AE099E">
        <w:t xml:space="preserve"> </w:t>
      </w:r>
      <w:r w:rsidRPr="007B537E">
        <w:t xml:space="preserve">See also </w:t>
      </w:r>
      <w:r w:rsidRPr="007B537E">
        <w:rPr>
          <w:i/>
          <w:iCs/>
        </w:rPr>
        <w:t xml:space="preserve">Convention (No. 111) concerning Discrimination in Respect of Employment and Occupation, </w:t>
      </w:r>
      <w:r w:rsidRPr="007B537E">
        <w:t xml:space="preserve">opened for signature 25 June 1958, 362 UNTS 5181 UNTS  (entered into force 15 June 1960), </w:t>
      </w:r>
      <w:r w:rsidRPr="007B537E">
        <w:rPr>
          <w:i/>
        </w:rPr>
        <w:t xml:space="preserve">Convention (No. 159) concerning Vocational Rehabilitation and Employment (Disabled Persons), </w:t>
      </w:r>
      <w:r w:rsidRPr="007B537E">
        <w:t>opened for signature 20 June 1983, 1401 UNTS 23439 (entered into force 20 June 1985).</w:t>
      </w:r>
    </w:p>
  </w:endnote>
  <w:endnote w:id="106">
    <w:p w14:paraId="49C034B2" w14:textId="21B794BD" w:rsidR="007B537E" w:rsidRPr="00AE099E" w:rsidRDefault="007B537E" w:rsidP="00E67169">
      <w:pPr>
        <w:pStyle w:val="EndnoteText"/>
      </w:pPr>
      <w:r w:rsidRPr="00AE099E">
        <w:rPr>
          <w:rStyle w:val="EndnoteReference"/>
        </w:rPr>
        <w:endnoteRef/>
      </w:r>
      <w:r w:rsidRPr="00AE099E">
        <w:t xml:space="preserve"> </w:t>
      </w:r>
      <w:r w:rsidRPr="007B537E">
        <w:t xml:space="preserve">CRPD Committee, </w:t>
      </w:r>
      <w:r w:rsidRPr="007B537E">
        <w:rPr>
          <w:i/>
          <w:iCs/>
        </w:rPr>
        <w:t>General Comment No. 6 (2018) on equality and non-discrimination,</w:t>
      </w:r>
      <w:r w:rsidRPr="007B537E">
        <w:t xml:space="preserve"> UN Doc CRPD/C/GC/6 (26 April 2018) [31].</w:t>
      </w:r>
    </w:p>
  </w:endnote>
  <w:endnote w:id="107">
    <w:p w14:paraId="6DB26807" w14:textId="20BEE733" w:rsidR="007B537E" w:rsidRPr="00AE099E" w:rsidRDefault="007B537E" w:rsidP="00E67169">
      <w:pPr>
        <w:pStyle w:val="EndnoteText"/>
      </w:pPr>
      <w:r w:rsidRPr="00AE099E">
        <w:rPr>
          <w:rStyle w:val="EndnoteReference"/>
        </w:rPr>
        <w:endnoteRef/>
      </w:r>
      <w:r w:rsidRPr="00AE099E">
        <w:t xml:space="preserve"> </w:t>
      </w:r>
      <w:r w:rsidRPr="007B537E">
        <w:t xml:space="preserve">CRPD Committee, </w:t>
      </w:r>
      <w:r w:rsidRPr="007B537E">
        <w:rPr>
          <w:i/>
          <w:iCs/>
        </w:rPr>
        <w:t>General Comment No. 6 (2018) on equality and non-discrimination</w:t>
      </w:r>
      <w:r w:rsidRPr="007B537E">
        <w:t>, UN Doc CRPD/C/GC/6 (26 April 2018) [31(b)(f)].</w:t>
      </w:r>
    </w:p>
  </w:endnote>
  <w:endnote w:id="108">
    <w:p w14:paraId="704DCCCD" w14:textId="3CCCD5EF" w:rsidR="007B537E" w:rsidRPr="00AE099E" w:rsidRDefault="007B537E" w:rsidP="00E67169">
      <w:pPr>
        <w:pStyle w:val="EndnoteText"/>
      </w:pPr>
      <w:r w:rsidRPr="00AE099E">
        <w:rPr>
          <w:rStyle w:val="EndnoteReference"/>
        </w:rPr>
        <w:endnoteRef/>
      </w:r>
      <w:r w:rsidRPr="00AE099E">
        <w:t xml:space="preserve"> </w:t>
      </w:r>
      <w:r w:rsidRPr="007B537E">
        <w:t xml:space="preserve">CRPD Committee, </w:t>
      </w:r>
      <w:r w:rsidRPr="007B537E">
        <w:rPr>
          <w:i/>
          <w:iCs/>
        </w:rPr>
        <w:t>General Comment No. 6 (2018) on equality and non-discrimination</w:t>
      </w:r>
      <w:r w:rsidRPr="007B537E">
        <w:t xml:space="preserve"> UN Doc CRPD/C/GC/6 (26 April 2018) [31(d)].</w:t>
      </w:r>
    </w:p>
  </w:endnote>
  <w:endnote w:id="109">
    <w:p w14:paraId="04674026" w14:textId="6503EAC6" w:rsidR="007B537E" w:rsidRPr="00AE099E" w:rsidRDefault="007B537E" w:rsidP="007875B9">
      <w:pPr>
        <w:pStyle w:val="EndnoteText"/>
      </w:pPr>
      <w:r w:rsidRPr="00AE099E">
        <w:rPr>
          <w:rStyle w:val="EndnoteReference"/>
        </w:rPr>
        <w:endnoteRef/>
      </w:r>
      <w:r w:rsidRPr="00AE099E">
        <w:t xml:space="preserve"> </w:t>
      </w:r>
      <w:r w:rsidRPr="007B537E">
        <w:t xml:space="preserve">Australian Government, Department of Social Services, ‘About Australian Disability </w:t>
      </w:r>
      <w:r w:rsidRPr="007B537E">
        <w:rPr>
          <w:iCs/>
        </w:rPr>
        <w:t>Enterprises’</w:t>
      </w:r>
      <w:r w:rsidRPr="007B537E">
        <w:rPr>
          <w:i/>
        </w:rPr>
        <w:t xml:space="preserve"> </w:t>
      </w:r>
      <w:r w:rsidRPr="007B537E">
        <w:rPr>
          <w:iCs/>
        </w:rPr>
        <w:t>(Web Page, 3 July 2020)</w:t>
      </w:r>
      <w:r w:rsidRPr="007B537E">
        <w:rPr>
          <w:i/>
        </w:rPr>
        <w:t xml:space="preserve"> </w:t>
      </w:r>
      <w:r w:rsidR="00037014">
        <w:rPr>
          <w:i/>
        </w:rPr>
        <w:t>&lt;</w:t>
      </w:r>
      <w:hyperlink r:id="rId20" w:history="1">
        <w:r w:rsidR="00037014" w:rsidRPr="001A7DEC">
          <w:rPr>
            <w:rStyle w:val="Hyperlink"/>
          </w:rPr>
          <w:t>https://www.dss.gov.au/disability-and-carers-programmes-services-for-people-with-disability/about-australian-disability-enterprises</w:t>
        </w:r>
      </w:hyperlink>
      <w:r w:rsidR="00037014">
        <w:t>&gt;</w:t>
      </w:r>
      <w:r w:rsidRPr="007B537E">
        <w:t>.</w:t>
      </w:r>
    </w:p>
  </w:endnote>
  <w:endnote w:id="110">
    <w:p w14:paraId="1DFBC3F6" w14:textId="5716EEB4" w:rsidR="007B537E" w:rsidRPr="00AE099E" w:rsidRDefault="007B537E" w:rsidP="005521C8">
      <w:pPr>
        <w:pStyle w:val="EndnoteText"/>
      </w:pPr>
      <w:r w:rsidRPr="00AE099E">
        <w:rPr>
          <w:rStyle w:val="EndnoteReference"/>
        </w:rPr>
        <w:endnoteRef/>
      </w:r>
      <w:r w:rsidRPr="00AE099E">
        <w:t xml:space="preserve"> </w:t>
      </w:r>
      <w:r w:rsidRPr="007B537E">
        <w:t xml:space="preserve">See, for example, Australian Human Rights Commission, </w:t>
      </w:r>
      <w:r w:rsidRPr="007B537E">
        <w:rPr>
          <w:i/>
        </w:rPr>
        <w:t xml:space="preserve">Willing to Work: National Inquiry into Employment Discrimination Against Older Australians and Australians with Disability </w:t>
      </w:r>
      <w:r w:rsidRPr="007B537E">
        <w:t xml:space="preserve">(Report, 2016) 242 </w:t>
      </w:r>
      <w:r w:rsidR="00037014">
        <w:t>&lt;</w:t>
      </w:r>
      <w:hyperlink r:id="rId21" w:history="1">
        <w:r w:rsidR="00037014" w:rsidRPr="001A7DEC">
          <w:rPr>
            <w:rStyle w:val="Hyperlink"/>
          </w:rPr>
          <w:t>https://humanrights.gov.au/sites/default/files/document/publication/WTW_2016_Full_Report_AHRC_ac.pdf</w:t>
        </w:r>
      </w:hyperlink>
      <w:r w:rsidR="00037014">
        <w:t>&gt;</w:t>
      </w:r>
      <w:r w:rsidRPr="007B537E">
        <w:t>;</w:t>
      </w:r>
      <w:r w:rsidRPr="00AE099E">
        <w:t xml:space="preserve"> </w:t>
      </w:r>
      <w:r w:rsidRPr="007B537E">
        <w:t xml:space="preserve">Australian Government Department of Social Services, </w:t>
      </w:r>
      <w:r w:rsidRPr="007B537E">
        <w:rPr>
          <w:i/>
        </w:rPr>
        <w:t>National Disability Employment Framework – Discussion Paper</w:t>
      </w:r>
      <w:r w:rsidRPr="007B537E">
        <w:t xml:space="preserve"> (November 2015) 12 </w:t>
      </w:r>
      <w:r w:rsidR="00037014">
        <w:t>&lt;</w:t>
      </w:r>
      <w:hyperlink r:id="rId22" w:history="1">
        <w:r w:rsidR="00037014" w:rsidRPr="001A7DEC">
          <w:rPr>
            <w:rStyle w:val="Hyperlink"/>
          </w:rPr>
          <w:t>https://engage.dss.gov.au/disability-employment-framework-2/disability-employment-framework-discussion-paper</w:t>
        </w:r>
      </w:hyperlink>
      <w:r w:rsidR="00037014">
        <w:t>&gt;</w:t>
      </w:r>
      <w:r w:rsidRPr="007B537E">
        <w:t>.</w:t>
      </w:r>
    </w:p>
  </w:endnote>
  <w:endnote w:id="111">
    <w:p w14:paraId="13A9A710" w14:textId="746B5DD6" w:rsidR="007B537E" w:rsidRPr="00AE099E" w:rsidRDefault="007B537E" w:rsidP="00E84920">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rPr>
        <w:t xml:space="preserve">Australian Government, Fair Work Ombudsman, 'Employees with disability pay rates' (Web Page) </w:t>
      </w:r>
      <w:r w:rsidR="00037014">
        <w:rPr>
          <w:rFonts w:cs="Open Sans"/>
        </w:rPr>
        <w:t>&lt;</w:t>
      </w:r>
      <w:hyperlink r:id="rId23" w:history="1">
        <w:r w:rsidR="00037014" w:rsidRPr="001A7DEC">
          <w:rPr>
            <w:rStyle w:val="Hyperlink"/>
            <w:rFonts w:cs="Open Sans"/>
          </w:rPr>
          <w:t>https://www.fairwork.gov.au/pay/minimum-wages/employees-with-disability-pay-rates</w:t>
        </w:r>
      </w:hyperlink>
      <w:r w:rsidR="00037014">
        <w:rPr>
          <w:rFonts w:cs="Open Sans"/>
        </w:rPr>
        <w:t>&gt;</w:t>
      </w:r>
      <w:r w:rsidRPr="007B537E">
        <w:rPr>
          <w:rFonts w:cs="Open Sans"/>
        </w:rPr>
        <w:t>.</w:t>
      </w:r>
    </w:p>
  </w:endnote>
  <w:endnote w:id="112">
    <w:p w14:paraId="5E9987D6" w14:textId="15C0846E" w:rsidR="007B537E" w:rsidRPr="00AE099E" w:rsidRDefault="007B537E" w:rsidP="005673CE">
      <w:pPr>
        <w:pStyle w:val="EndnoteText"/>
      </w:pPr>
      <w:r w:rsidRPr="00AE099E">
        <w:rPr>
          <w:rStyle w:val="EndnoteReference"/>
        </w:rPr>
        <w:endnoteRef/>
      </w:r>
      <w:r w:rsidRPr="00AE099E">
        <w:t xml:space="preserve"> </w:t>
      </w:r>
      <w:r w:rsidRPr="007B537E">
        <w:t xml:space="preserve">See, for example, CRPD Committee, </w:t>
      </w:r>
      <w:r w:rsidRPr="007B537E">
        <w:rPr>
          <w:i/>
          <w:iCs/>
        </w:rPr>
        <w:t>Concluding</w:t>
      </w:r>
      <w:r w:rsidRPr="007B537E">
        <w:t xml:space="preserve"> </w:t>
      </w:r>
      <w:r w:rsidRPr="007B537E">
        <w:rPr>
          <w:i/>
          <w:iCs/>
        </w:rPr>
        <w:t xml:space="preserve">Observations on the initial report of Serbia, </w:t>
      </w:r>
      <w:r w:rsidRPr="007B537E">
        <w:t>UN Doc CRPD/C/SRB/CO/1 (23 May 2016) [55]-[56];</w:t>
      </w:r>
      <w:r w:rsidRPr="00AE099E">
        <w:t xml:space="preserve"> </w:t>
      </w:r>
      <w:r w:rsidRPr="007B537E">
        <w:t xml:space="preserve">CRPD Committee, </w:t>
      </w:r>
      <w:r w:rsidRPr="007B537E">
        <w:rPr>
          <w:i/>
          <w:iCs/>
        </w:rPr>
        <w:t xml:space="preserve">Concluding Observations on the initial report of Slovakia, </w:t>
      </w:r>
      <w:r w:rsidRPr="007B537E">
        <w:t xml:space="preserve">UN Doc CRPD/C/SVK/CO/1 (17 May 2016) [73]-[74]; CRPD Committee, </w:t>
      </w:r>
      <w:r w:rsidRPr="007B537E">
        <w:rPr>
          <w:i/>
          <w:iCs/>
        </w:rPr>
        <w:t>Concluding Observations on the initial report of Germany,</w:t>
      </w:r>
      <w:r w:rsidRPr="007B537E">
        <w:t xml:space="preserve"> UN Doc CRPD/C/DEU/CO/1 (13 May 2015) [49]-[50];</w:t>
      </w:r>
      <w:r w:rsidRPr="00AE099E">
        <w:t xml:space="preserve"> </w:t>
      </w:r>
      <w:r w:rsidRPr="007B537E">
        <w:t xml:space="preserve">CRPD Committee, </w:t>
      </w:r>
      <w:r w:rsidRPr="007B537E">
        <w:rPr>
          <w:i/>
          <w:iCs/>
        </w:rPr>
        <w:t xml:space="preserve">Concluding Observations on the initial report of Mauritius, </w:t>
      </w:r>
      <w:r w:rsidRPr="007B537E">
        <w:t>UN Doc CRPD/C/MUS/CO/1 (30 September 2015) [37]-[38]; CRPD Committee</w:t>
      </w:r>
      <w:r w:rsidRPr="007B537E">
        <w:rPr>
          <w:i/>
          <w:iCs/>
        </w:rPr>
        <w:t xml:space="preserve">, Concluding Observations on the initial report of Bosnia and Herzegovina, </w:t>
      </w:r>
      <w:r w:rsidRPr="007B537E">
        <w:t>UN Doc CRPD/C/BIH/CO/1 (2 May 2017) [48]-[49];</w:t>
      </w:r>
      <w:r w:rsidRPr="00AE099E">
        <w:t xml:space="preserve"> </w:t>
      </w:r>
      <w:r w:rsidRPr="007B537E">
        <w:t xml:space="preserve">CRPD Committee, </w:t>
      </w:r>
      <w:r w:rsidRPr="007B537E">
        <w:rPr>
          <w:i/>
          <w:iCs/>
        </w:rPr>
        <w:t xml:space="preserve">Concluding Observations on the initial report of Canada, </w:t>
      </w:r>
      <w:r w:rsidRPr="007B537E">
        <w:t>UN Doc CRPD/C/CAN/CO/1 (8 May 2017) [47]-[48].</w:t>
      </w:r>
      <w:r w:rsidRPr="00AE099E">
        <w:t xml:space="preserve"> </w:t>
      </w:r>
      <w:r w:rsidRPr="007B537E">
        <w:t>See also Ilias</w:t>
      </w:r>
      <w:r w:rsidRPr="007B537E">
        <w:rPr>
          <w:b/>
        </w:rPr>
        <w:t xml:space="preserve"> </w:t>
      </w:r>
      <w:r w:rsidRPr="007B537E">
        <w:t xml:space="preserve">Bantekas et al </w:t>
      </w:r>
      <w:r w:rsidRPr="007B537E">
        <w:rPr>
          <w:i/>
        </w:rPr>
        <w:t>The UN Convention on the Rights of Persons with Disabilities: A Commentary</w:t>
      </w:r>
      <w:r w:rsidRPr="007B537E">
        <w:t xml:space="preserve"> (Oxford University Press, 2018) 775.</w:t>
      </w:r>
    </w:p>
  </w:endnote>
  <w:endnote w:id="113">
    <w:p w14:paraId="42FD03EB" w14:textId="510E120E" w:rsidR="007B537E" w:rsidRPr="00AE099E" w:rsidRDefault="007B537E" w:rsidP="005521C8">
      <w:pPr>
        <w:pStyle w:val="EndnoteText"/>
      </w:pPr>
      <w:r w:rsidRPr="00AE099E">
        <w:rPr>
          <w:rStyle w:val="EndnoteReference"/>
        </w:rPr>
        <w:endnoteRef/>
      </w:r>
      <w:r w:rsidRPr="00AE099E">
        <w:t xml:space="preserve"> </w:t>
      </w:r>
      <w:r w:rsidRPr="007B537E">
        <w:t xml:space="preserve">CRPD Committee, </w:t>
      </w:r>
      <w:r w:rsidRPr="007B537E">
        <w:rPr>
          <w:i/>
          <w:iCs/>
        </w:rPr>
        <w:t xml:space="preserve">Concluding Observations on the combined second and third periodic reports of Australia, </w:t>
      </w:r>
      <w:r w:rsidRPr="007B537E">
        <w:t>UN Doc CRPD/C/AUS/CO/2-3 (15 October 2019) [49]-[50].</w:t>
      </w:r>
    </w:p>
  </w:endnote>
  <w:endnote w:id="114">
    <w:p w14:paraId="7F8C2CC7" w14:textId="79FF45DE" w:rsidR="007B537E" w:rsidRPr="00AE099E" w:rsidRDefault="007B537E" w:rsidP="005521C8">
      <w:pPr>
        <w:pStyle w:val="EndnoteText"/>
      </w:pPr>
      <w:r w:rsidRPr="00AE099E">
        <w:rPr>
          <w:rStyle w:val="EndnoteReference"/>
        </w:rPr>
        <w:endnoteRef/>
      </w:r>
      <w:r w:rsidRPr="00AE099E">
        <w:t xml:space="preserve"> </w:t>
      </w:r>
      <w:r w:rsidRPr="007B537E">
        <w:t xml:space="preserve">CRPD Committee, </w:t>
      </w:r>
      <w:r w:rsidRPr="007B537E">
        <w:rPr>
          <w:i/>
          <w:iCs/>
        </w:rPr>
        <w:t xml:space="preserve">Concluding Observations on the combined second and third periodic reports of Australia, </w:t>
      </w:r>
      <w:r w:rsidRPr="007B537E">
        <w:t>UN Doc CRPD/C/AUS/CO/2-3 (15 October 2019) at [49(b)(c)].</w:t>
      </w:r>
    </w:p>
  </w:endnote>
  <w:endnote w:id="115">
    <w:p w14:paraId="4DC51495" w14:textId="13CD414F" w:rsidR="007B537E" w:rsidRPr="00AE099E" w:rsidRDefault="007B537E">
      <w:pPr>
        <w:pStyle w:val="EndnoteText"/>
        <w:rPr>
          <w:lang w:val="en-US"/>
        </w:rPr>
      </w:pPr>
      <w:r w:rsidRPr="00AE099E">
        <w:rPr>
          <w:rStyle w:val="EndnoteReference"/>
        </w:rPr>
        <w:endnoteRef/>
      </w:r>
      <w:r w:rsidRPr="00AE099E">
        <w:t xml:space="preserve"> </w:t>
      </w:r>
      <w:r w:rsidRPr="007B537E">
        <w:t xml:space="preserve">CESCR Committee, </w:t>
      </w:r>
      <w:r w:rsidRPr="007B537E">
        <w:rPr>
          <w:i/>
          <w:iCs/>
        </w:rPr>
        <w:t>General Comment No. 5: Persons with disabilities</w:t>
      </w:r>
      <w:r w:rsidRPr="007B537E">
        <w:t>, UN Doc E/1995/22 (9 December 1994) [21].</w:t>
      </w:r>
      <w:r w:rsidRPr="00AE099E">
        <w:t xml:space="preserve"> </w:t>
      </w:r>
    </w:p>
  </w:endnote>
  <w:endnote w:id="116">
    <w:p w14:paraId="47CF764F" w14:textId="0BF4CCD8" w:rsidR="007B537E" w:rsidRPr="00AE099E" w:rsidRDefault="007B537E" w:rsidP="005214DC">
      <w:pPr>
        <w:pStyle w:val="EndnoteText"/>
      </w:pPr>
      <w:r w:rsidRPr="00AE099E">
        <w:rPr>
          <w:rStyle w:val="EndnoteReference"/>
        </w:rPr>
        <w:endnoteRef/>
      </w:r>
      <w:r w:rsidRPr="00AE099E">
        <w:t xml:space="preserve"> </w:t>
      </w:r>
      <w:r w:rsidRPr="007B537E">
        <w:rPr>
          <w:i/>
        </w:rPr>
        <w:t>Convention on the Rights of Persons with Disabilities</w:t>
      </w:r>
      <w:r w:rsidRPr="007B537E">
        <w:t>, opened for signature 30 March 2007, 2515 UNTS 3 (entered into force 3 May 2008) art 27.</w:t>
      </w:r>
    </w:p>
  </w:endnote>
  <w:endnote w:id="117">
    <w:p w14:paraId="6670CC19" w14:textId="26BE15C3" w:rsidR="007B537E" w:rsidRPr="00AE099E" w:rsidRDefault="007B537E" w:rsidP="0006626B">
      <w:pPr>
        <w:pStyle w:val="EndnoteText"/>
      </w:pPr>
      <w:r w:rsidRPr="00AE099E">
        <w:rPr>
          <w:rStyle w:val="EndnoteReference"/>
        </w:rPr>
        <w:endnoteRef/>
      </w:r>
      <w:r w:rsidRPr="00AE099E">
        <w:t xml:space="preserve"> </w:t>
      </w:r>
      <w:r w:rsidRPr="007B537E">
        <w:t xml:space="preserve">See, for example, CRPD Committee, </w:t>
      </w:r>
      <w:r w:rsidRPr="007B537E">
        <w:rPr>
          <w:i/>
          <w:iCs/>
        </w:rPr>
        <w:t>Concluding Observations on initial report of New Zealand</w:t>
      </w:r>
      <w:r w:rsidRPr="007B537E">
        <w:t>, UN Doc CRPD/C/NZL/CO/1 (31 October 2014) [57]-[58].</w:t>
      </w:r>
      <w:r w:rsidRPr="00AE099E">
        <w:t xml:space="preserve"> </w:t>
      </w:r>
      <w:r w:rsidRPr="007B537E">
        <w:t>See also Ilias</w:t>
      </w:r>
      <w:r w:rsidRPr="007B537E">
        <w:rPr>
          <w:b/>
        </w:rPr>
        <w:t xml:space="preserve"> </w:t>
      </w:r>
      <w:r w:rsidRPr="007B537E">
        <w:t xml:space="preserve">Bantekas et al </w:t>
      </w:r>
      <w:r w:rsidRPr="007B537E">
        <w:rPr>
          <w:i/>
        </w:rPr>
        <w:t>The UN Convention on the Rights of Persons with Disabilities: A Commentary</w:t>
      </w:r>
      <w:r w:rsidRPr="007B537E">
        <w:t xml:space="preserve"> (Oxford University Press, 2018) 778.</w:t>
      </w:r>
    </w:p>
  </w:endnote>
  <w:endnote w:id="118">
    <w:p w14:paraId="1052B7D9" w14:textId="0F2C8288" w:rsidR="007B537E" w:rsidRDefault="007B537E" w:rsidP="0006626B">
      <w:pPr>
        <w:pStyle w:val="EndnoteText"/>
      </w:pPr>
      <w:r w:rsidRPr="00AE099E">
        <w:rPr>
          <w:rStyle w:val="EndnoteReference"/>
        </w:rPr>
        <w:endnoteRef/>
      </w:r>
      <w:r w:rsidRPr="00AE099E">
        <w:t xml:space="preserve"> </w:t>
      </w:r>
      <w:r w:rsidRPr="007B537E">
        <w:rPr>
          <w:i/>
        </w:rPr>
        <w:t>International Covenant on Economic, Social and Cultural Rights</w:t>
      </w:r>
      <w:r w:rsidRPr="007B537E">
        <w:t>, opened for signature 16 December 1966, 993 UNTS 3 (entered into force 3 January 1976) art 7(a)(i).</w:t>
      </w:r>
    </w:p>
  </w:endnote>
  <w:endnote w:id="119">
    <w:p w14:paraId="5063AE5D" w14:textId="0A645222" w:rsidR="007B537E" w:rsidRPr="00AE099E" w:rsidRDefault="007B537E" w:rsidP="0006626B">
      <w:pPr>
        <w:pStyle w:val="EndnoteText"/>
      </w:pPr>
      <w:r w:rsidRPr="00AE099E">
        <w:rPr>
          <w:rStyle w:val="EndnoteReference"/>
        </w:rPr>
        <w:endnoteRef/>
      </w:r>
      <w:r w:rsidRPr="00AE099E">
        <w:t xml:space="preserve"> </w:t>
      </w:r>
      <w:r w:rsidRPr="007B537E">
        <w:t xml:space="preserve">CESCR Committee, </w:t>
      </w:r>
      <w:r w:rsidRPr="007B537E">
        <w:rPr>
          <w:i/>
          <w:iCs/>
        </w:rPr>
        <w:t>General Comment No. 23 (2016) on the right to just and favourable conditions of work</w:t>
      </w:r>
      <w:r w:rsidRPr="007B537E">
        <w:t>, UN Doc E/C.12/GC/23 (27 April 2016) [47(c)].</w:t>
      </w:r>
    </w:p>
  </w:endnote>
  <w:endnote w:id="120">
    <w:p w14:paraId="21A052AA" w14:textId="36E2374E" w:rsidR="007B537E" w:rsidRPr="00AE099E" w:rsidRDefault="007B537E" w:rsidP="002F1964">
      <w:pPr>
        <w:pStyle w:val="EndnoteText"/>
      </w:pPr>
      <w:r w:rsidRPr="00AE099E">
        <w:rPr>
          <w:rStyle w:val="EndnoteReference"/>
        </w:rPr>
        <w:endnoteRef/>
      </w:r>
      <w:r w:rsidRPr="00AE099E">
        <w:t xml:space="preserve"> </w:t>
      </w:r>
      <w:r w:rsidRPr="007B537E">
        <w:t xml:space="preserve">CRPD Committee, </w:t>
      </w:r>
      <w:r w:rsidRPr="007B537E">
        <w:rPr>
          <w:i/>
          <w:iCs/>
        </w:rPr>
        <w:t>Concluding observations on the initial report of Serbia</w:t>
      </w:r>
      <w:r w:rsidRPr="007B537E">
        <w:t>, UN Doc CRPD/C/SRB/CO/1 (23 May 2016) [53].</w:t>
      </w:r>
    </w:p>
  </w:endnote>
  <w:endnote w:id="121">
    <w:p w14:paraId="7CFA9B0C" w14:textId="4C51CCC7" w:rsidR="007B537E" w:rsidRPr="00AE099E" w:rsidRDefault="007B537E" w:rsidP="005521C8">
      <w:pPr>
        <w:pStyle w:val="EndnoteText"/>
      </w:pPr>
      <w:r w:rsidRPr="00AE099E">
        <w:rPr>
          <w:rStyle w:val="EndnoteReference"/>
        </w:rPr>
        <w:endnoteRef/>
      </w:r>
      <w:r w:rsidRPr="00AE099E">
        <w:t xml:space="preserve"> </w:t>
      </w:r>
      <w:r w:rsidRPr="007B537E">
        <w:t xml:space="preserve">See, for example, CRPD Committee, </w:t>
      </w:r>
      <w:r w:rsidRPr="007B537E">
        <w:rPr>
          <w:i/>
          <w:iCs/>
        </w:rPr>
        <w:t xml:space="preserve">Concluding Observations on the initial report of Serbia, </w:t>
      </w:r>
      <w:r w:rsidRPr="007B537E">
        <w:t>UN Doc CRPD/C/SRB/CO/1 (23 May 2016) [56];</w:t>
      </w:r>
      <w:r w:rsidRPr="00AE099E">
        <w:t xml:space="preserve"> </w:t>
      </w:r>
      <w:r w:rsidRPr="007B537E">
        <w:t xml:space="preserve">CRPD Committee, </w:t>
      </w:r>
      <w:r w:rsidRPr="007B537E">
        <w:rPr>
          <w:i/>
          <w:iCs/>
        </w:rPr>
        <w:t>Concluding Observations on the initial report of Slovakia</w:t>
      </w:r>
      <w:r w:rsidRPr="007B537E">
        <w:t>, UN Doc CRPD/C/SVK/CO/1 (17 May 2016) [74];</w:t>
      </w:r>
      <w:r w:rsidRPr="00AE099E">
        <w:t xml:space="preserve"> </w:t>
      </w:r>
      <w:r w:rsidRPr="007B537E">
        <w:t xml:space="preserve">CRPD Committee, </w:t>
      </w:r>
      <w:r w:rsidRPr="007B537E">
        <w:rPr>
          <w:i/>
          <w:iCs/>
        </w:rPr>
        <w:t xml:space="preserve">Concluding Observations on the initial report of Germany, </w:t>
      </w:r>
      <w:r w:rsidRPr="007B537E">
        <w:t>UN Doc CRPD/C/DEU/CO/1 (13 May 2015) [49]-[50].</w:t>
      </w:r>
    </w:p>
  </w:endnote>
  <w:endnote w:id="122">
    <w:p w14:paraId="351B2035" w14:textId="66B1E05A" w:rsidR="007B537E" w:rsidRPr="00AE099E" w:rsidRDefault="007B537E" w:rsidP="005521C8">
      <w:pPr>
        <w:pStyle w:val="EndnoteText"/>
      </w:pPr>
      <w:r w:rsidRPr="00AE099E">
        <w:rPr>
          <w:rStyle w:val="EndnoteReference"/>
        </w:rPr>
        <w:endnoteRef/>
      </w:r>
      <w:r w:rsidRPr="00AE099E">
        <w:t xml:space="preserve"> </w:t>
      </w:r>
      <w:r w:rsidRPr="007B537E">
        <w:t xml:space="preserve">See, for example, CRPD Committee, </w:t>
      </w:r>
      <w:r w:rsidRPr="007B537E">
        <w:rPr>
          <w:i/>
          <w:iCs/>
        </w:rPr>
        <w:t>Concluding Observations on the initial report of Slovakia</w:t>
      </w:r>
      <w:r w:rsidRPr="007B537E">
        <w:t>, UN Doc CRPD/C/SVK/CO/1 (17 May 2016) [74].</w:t>
      </w:r>
    </w:p>
  </w:endnote>
  <w:endnote w:id="123">
    <w:p w14:paraId="6CAF6D0A" w14:textId="5BE70BDE" w:rsidR="007B537E" w:rsidRPr="00AE099E" w:rsidRDefault="007B537E" w:rsidP="005521C8">
      <w:pPr>
        <w:pStyle w:val="EndnoteText"/>
      </w:pPr>
      <w:r w:rsidRPr="00AE099E">
        <w:rPr>
          <w:rStyle w:val="EndnoteReference"/>
        </w:rPr>
        <w:endnoteRef/>
      </w:r>
      <w:r w:rsidRPr="00AE099E">
        <w:t xml:space="preserve"> </w:t>
      </w:r>
      <w:r w:rsidRPr="007B537E">
        <w:t xml:space="preserve">See, for example, CRPD Committee, </w:t>
      </w:r>
      <w:r w:rsidRPr="007B537E">
        <w:rPr>
          <w:i/>
          <w:iCs/>
        </w:rPr>
        <w:t>Concluding Observations on the initial report of Germany</w:t>
      </w:r>
      <w:r w:rsidRPr="007B537E">
        <w:t>, UN Doc CRPD/C/DEU/CO/1 (13 May 2015) [49].</w:t>
      </w:r>
    </w:p>
  </w:endnote>
  <w:endnote w:id="124">
    <w:p w14:paraId="20F70608" w14:textId="4591F051" w:rsidR="007B537E" w:rsidRPr="006A3A85" w:rsidRDefault="007B537E" w:rsidP="005521C8">
      <w:pPr>
        <w:pStyle w:val="EndnoteText"/>
      </w:pPr>
      <w:r w:rsidRPr="00AE099E">
        <w:rPr>
          <w:rStyle w:val="EndnoteReference"/>
        </w:rPr>
        <w:endnoteRef/>
      </w:r>
      <w:r w:rsidRPr="00AE099E">
        <w:t xml:space="preserve"> </w:t>
      </w:r>
      <w:r w:rsidRPr="007B537E">
        <w:t xml:space="preserve">See, for example, CRPD Committee, </w:t>
      </w:r>
      <w:r w:rsidRPr="007B537E">
        <w:rPr>
          <w:i/>
          <w:iCs/>
        </w:rPr>
        <w:t>Concluding Observations on the initial report of Germany</w:t>
      </w:r>
      <w:r w:rsidRPr="007B537E">
        <w:t xml:space="preserve">, UN </w:t>
      </w:r>
      <w:r w:rsidRPr="006A3A85">
        <w:t>Doc CRPD/C/DEU/CO/1 (13 May 2015) [50].</w:t>
      </w:r>
    </w:p>
  </w:endnote>
  <w:endnote w:id="125">
    <w:p w14:paraId="3245E262" w14:textId="545C6EC3" w:rsidR="00166B37" w:rsidRPr="006A3A85" w:rsidRDefault="00166B37">
      <w:pPr>
        <w:pStyle w:val="EndnoteText"/>
        <w:rPr>
          <w:lang w:val="en-US"/>
        </w:rPr>
      </w:pPr>
      <w:r w:rsidRPr="006A3A85">
        <w:rPr>
          <w:rStyle w:val="EndnoteReference"/>
        </w:rPr>
        <w:endnoteRef/>
      </w:r>
      <w:r w:rsidRPr="006A3A85">
        <w:t xml:space="preserve"> CRPD Committee, </w:t>
      </w:r>
      <w:r w:rsidRPr="006A3A85">
        <w:rPr>
          <w:i/>
          <w:iCs/>
        </w:rPr>
        <w:t>General Comment No. 6 (2018) on equality and non-discrimination</w:t>
      </w:r>
      <w:r w:rsidRPr="006A3A85">
        <w:t>, UN Doc CRPD/C/GC/6 (26 April 2018) [67(a)].</w:t>
      </w:r>
    </w:p>
  </w:endnote>
  <w:endnote w:id="126">
    <w:p w14:paraId="3FAF1BE0" w14:textId="6D0B9B58" w:rsidR="007B537E" w:rsidRPr="006A3A85" w:rsidRDefault="007B537E" w:rsidP="005521C8">
      <w:pPr>
        <w:pStyle w:val="EndnoteText"/>
      </w:pPr>
      <w:r w:rsidRPr="006A3A85">
        <w:rPr>
          <w:rStyle w:val="EndnoteReference"/>
        </w:rPr>
        <w:endnoteRef/>
      </w:r>
      <w:r w:rsidRPr="006A3A85">
        <w:t xml:space="preserve"> CRPD Committee, </w:t>
      </w:r>
      <w:r w:rsidRPr="006A3A85">
        <w:rPr>
          <w:i/>
        </w:rPr>
        <w:t xml:space="preserve">Concluding observations on the combined second and third periodic reports of Australia, </w:t>
      </w:r>
      <w:r w:rsidRPr="006A3A85">
        <w:t>UN Doc CRPD/C/AUS/CO/2-3</w:t>
      </w:r>
      <w:r w:rsidRPr="006A3A85">
        <w:rPr>
          <w:i/>
        </w:rPr>
        <w:t xml:space="preserve"> </w:t>
      </w:r>
      <w:r w:rsidRPr="006A3A85">
        <w:t>(15 October 2019) [49(b)].</w:t>
      </w:r>
    </w:p>
  </w:endnote>
  <w:endnote w:id="127">
    <w:p w14:paraId="64508EB3" w14:textId="26E0278B" w:rsidR="00166B37" w:rsidRPr="00166B37" w:rsidRDefault="00166B37">
      <w:pPr>
        <w:pStyle w:val="EndnoteText"/>
        <w:rPr>
          <w:lang w:val="en-US"/>
        </w:rPr>
      </w:pPr>
      <w:r w:rsidRPr="006A3A85">
        <w:rPr>
          <w:rStyle w:val="EndnoteReference"/>
        </w:rPr>
        <w:endnoteRef/>
      </w:r>
      <w:r w:rsidRPr="006A3A85">
        <w:t xml:space="preserve"> CRPD Committee, </w:t>
      </w:r>
      <w:r w:rsidRPr="006A3A85">
        <w:rPr>
          <w:i/>
        </w:rPr>
        <w:t xml:space="preserve">Concluding observations on the combined second and third periodic reports of Australia, </w:t>
      </w:r>
      <w:r w:rsidRPr="006A3A85">
        <w:t>UN Doc CRPD/C/AUS/CO/2-3</w:t>
      </w:r>
      <w:r w:rsidRPr="006A3A85">
        <w:rPr>
          <w:i/>
        </w:rPr>
        <w:t xml:space="preserve"> </w:t>
      </w:r>
      <w:r w:rsidRPr="006A3A85">
        <w:t>(15 October 2019) [50(b)].</w:t>
      </w:r>
    </w:p>
  </w:endnote>
  <w:endnote w:id="128">
    <w:p w14:paraId="63998F7D" w14:textId="1B856B77" w:rsidR="007B537E" w:rsidRPr="00AE099E" w:rsidRDefault="007B537E" w:rsidP="00591CA1">
      <w:pPr>
        <w:pStyle w:val="EndnoteText"/>
      </w:pPr>
      <w:r w:rsidRPr="00AE099E">
        <w:rPr>
          <w:rStyle w:val="EndnoteReference"/>
          <w:rFonts w:cs="Open Sans"/>
        </w:rPr>
        <w:endnoteRef/>
      </w:r>
      <w:r w:rsidRPr="00AE099E">
        <w:t xml:space="preserve"> </w:t>
      </w:r>
      <w:r w:rsidRPr="007B537E">
        <w:t xml:space="preserve">Australian Government, Job Access, </w:t>
      </w:r>
      <w:r w:rsidRPr="007B537E">
        <w:rPr>
          <w:i/>
        </w:rPr>
        <w:t xml:space="preserve">Supported Wage System in Open Employment Handbook </w:t>
      </w:r>
      <w:r w:rsidRPr="007B537E">
        <w:t xml:space="preserve">(1 July 2018) 5 </w:t>
      </w:r>
      <w:r w:rsidR="00166B37">
        <w:t>&lt;</w:t>
      </w:r>
      <w:hyperlink r:id="rId24" w:history="1">
        <w:r w:rsidR="00166B37" w:rsidRPr="001A7DEC">
          <w:rPr>
            <w:rStyle w:val="Hyperlink"/>
            <w:rFonts w:cs="Open Sans"/>
          </w:rPr>
          <w:t>https://www.jobaccess.gov.au/downloads/supported-wage-system-handbook</w:t>
        </w:r>
      </w:hyperlink>
      <w:r w:rsidR="00166B37">
        <w:rPr>
          <w:rFonts w:cs="Open Sans"/>
        </w:rPr>
        <w:t>&gt;</w:t>
      </w:r>
      <w:r w:rsidRPr="007B537E">
        <w:t>.</w:t>
      </w:r>
    </w:p>
  </w:endnote>
  <w:endnote w:id="129">
    <w:p w14:paraId="15229404" w14:textId="2EAB0DA3" w:rsidR="007B537E" w:rsidRPr="00AE099E" w:rsidRDefault="007B537E" w:rsidP="00591CA1">
      <w:pPr>
        <w:pStyle w:val="EndnoteText"/>
        <w:rPr>
          <w:rFonts w:ascii="Arial" w:eastAsia="Times New Roman" w:hAnsi="Arial" w:cs="Arial"/>
        </w:rPr>
      </w:pPr>
      <w:r w:rsidRPr="00AE099E">
        <w:rPr>
          <w:rStyle w:val="EndnoteReference"/>
          <w:rFonts w:cs="Open Sans"/>
        </w:rPr>
        <w:endnoteRef/>
      </w:r>
      <w:r w:rsidRPr="00AE099E">
        <w:t xml:space="preserve"> </w:t>
      </w:r>
      <w:r w:rsidRPr="007B537E">
        <w:t xml:space="preserve">Australian Government, Job Access, </w:t>
      </w:r>
      <w:r w:rsidRPr="007B537E">
        <w:rPr>
          <w:i/>
        </w:rPr>
        <w:t xml:space="preserve">Supported Wage System in Open Employment Handbook </w:t>
      </w:r>
      <w:r w:rsidRPr="007B537E">
        <w:t xml:space="preserve">(1 July 2018) 5 </w:t>
      </w:r>
      <w:r w:rsidR="00166B37">
        <w:t>&lt;</w:t>
      </w:r>
      <w:hyperlink r:id="rId25" w:history="1">
        <w:r w:rsidR="00166B37" w:rsidRPr="001A7DEC">
          <w:rPr>
            <w:rStyle w:val="Hyperlink"/>
            <w:rFonts w:cs="Open Sans"/>
          </w:rPr>
          <w:t>https://www.jobaccess.gov.au/downloads/supported-wage-system-handbook</w:t>
        </w:r>
      </w:hyperlink>
      <w:r w:rsidR="00166B37">
        <w:rPr>
          <w:rFonts w:cs="Open Sans"/>
        </w:rPr>
        <w:t>&gt;</w:t>
      </w:r>
      <w:r w:rsidRPr="007B537E">
        <w:t>;</w:t>
      </w:r>
      <w:r w:rsidRPr="00AE099E">
        <w:t xml:space="preserve"> </w:t>
      </w:r>
      <w:r w:rsidRPr="007B537E">
        <w:rPr>
          <w:i/>
        </w:rPr>
        <w:t>Four yearly review of modern awards – Supported Employment Services Award 2010</w:t>
      </w:r>
      <w:r w:rsidRPr="007B537E">
        <w:rPr>
          <w:b/>
        </w:rPr>
        <w:t xml:space="preserve"> </w:t>
      </w:r>
      <w:r w:rsidRPr="007B537E">
        <w:rPr>
          <w:rFonts w:cs="Open Sans"/>
        </w:rPr>
        <w:t>(AM2014/286)</w:t>
      </w:r>
      <w:r w:rsidRPr="00AE099E">
        <w:rPr>
          <w:rFonts w:cs="Open Sans"/>
        </w:rPr>
        <w:t xml:space="preserve"> </w:t>
      </w:r>
      <w:r w:rsidRPr="007B537E">
        <w:t>[2019] FWCFB 8179 (3 December 2019), [355].</w:t>
      </w:r>
    </w:p>
  </w:endnote>
  <w:endnote w:id="130">
    <w:p w14:paraId="6A951C9E" w14:textId="7E06D6B1" w:rsidR="007B537E" w:rsidRPr="00AE099E" w:rsidRDefault="007B537E" w:rsidP="00591CA1">
      <w:pPr>
        <w:pStyle w:val="EndnoteText"/>
        <w:rPr>
          <w:rFonts w:eastAsia="Times New Roman"/>
        </w:rPr>
      </w:pPr>
      <w:r w:rsidRPr="00AE099E">
        <w:rPr>
          <w:rStyle w:val="EndnoteReference"/>
          <w:rFonts w:cs="Open Sans"/>
        </w:rPr>
        <w:endnoteRef/>
      </w:r>
      <w:r w:rsidRPr="00AE099E">
        <w:t xml:space="preserve"> </w:t>
      </w:r>
      <w:r w:rsidRPr="007B537E">
        <w:t xml:space="preserve">Employees covered by a modern award or industrial instrument that provides for the SWS (which most modern awards do) will be paid a proportion of the applicable minimum wage under that instrument. Otherwise, employees will be paid a proportion of the national minimum wage. Australian Human Rights Commission, </w:t>
      </w:r>
      <w:r w:rsidRPr="007B537E">
        <w:rPr>
          <w:i/>
        </w:rPr>
        <w:t xml:space="preserve">Willing to Work: National Inquiry into Employment Discrimination Against Older Australians and Australians with Disability </w:t>
      </w:r>
      <w:r w:rsidRPr="007B537E">
        <w:t xml:space="preserve">(Report, 2016) 212 </w:t>
      </w:r>
      <w:r w:rsidR="00166B37">
        <w:t>&lt;</w:t>
      </w:r>
      <w:hyperlink r:id="rId26" w:history="1">
        <w:r w:rsidR="00166B37" w:rsidRPr="001A7DEC">
          <w:rPr>
            <w:rStyle w:val="Hyperlink"/>
          </w:rPr>
          <w:t>https://humanrights.gov.au/sites/default/files/document/publication/WTW_2016_Full_Report_AHRC_ac.pdf</w:t>
        </w:r>
      </w:hyperlink>
      <w:r w:rsidR="00166B37">
        <w:t>&gt;</w:t>
      </w:r>
      <w:r w:rsidRPr="00AE099E">
        <w:t>.</w:t>
      </w:r>
    </w:p>
  </w:endnote>
  <w:endnote w:id="131">
    <w:p w14:paraId="780DCD38" w14:textId="64B7F86C" w:rsidR="007B537E" w:rsidRPr="00AE099E" w:rsidRDefault="007B537E" w:rsidP="00B76ACE">
      <w:pPr>
        <w:pStyle w:val="EndnoteText"/>
        <w:rPr>
          <w:rFonts w:eastAsia="Times New Roman"/>
        </w:rPr>
      </w:pPr>
      <w:r w:rsidRPr="00AE099E">
        <w:rPr>
          <w:rStyle w:val="EndnoteReference"/>
        </w:rPr>
        <w:endnoteRef/>
      </w:r>
      <w:r w:rsidRPr="00AE099E">
        <w:t xml:space="preserve"> </w:t>
      </w:r>
      <w:r w:rsidRPr="007B537E">
        <w:t xml:space="preserve">Australian Government, Job Access, </w:t>
      </w:r>
      <w:r w:rsidRPr="007B537E">
        <w:rPr>
          <w:i/>
        </w:rPr>
        <w:t xml:space="preserve">Supported Wage System in Open Employment Handbook </w:t>
      </w:r>
      <w:r w:rsidRPr="007B537E">
        <w:t xml:space="preserve">(1 July 2018) 6 </w:t>
      </w:r>
      <w:r w:rsidR="00FD3B99">
        <w:t>&lt;</w:t>
      </w:r>
      <w:hyperlink r:id="rId27" w:history="1">
        <w:r w:rsidR="00FD3B99" w:rsidRPr="001A7DEC">
          <w:rPr>
            <w:rStyle w:val="Hyperlink"/>
          </w:rPr>
          <w:t>https://www.jobaccess.gov.au/downloads/supported-wage-system-handbook</w:t>
        </w:r>
      </w:hyperlink>
      <w:r w:rsidR="00FD3B99">
        <w:t>&gt;</w:t>
      </w:r>
      <w:r w:rsidRPr="007B537E">
        <w:t>.</w:t>
      </w:r>
    </w:p>
  </w:endnote>
  <w:endnote w:id="132">
    <w:p w14:paraId="7B1EA17E" w14:textId="238A50AD" w:rsidR="007B537E" w:rsidRPr="00AE099E" w:rsidRDefault="007B537E">
      <w:pPr>
        <w:pStyle w:val="EndnoteText"/>
        <w:rPr>
          <w:lang w:val="en-US"/>
        </w:rPr>
      </w:pPr>
      <w:r w:rsidRPr="00AE099E">
        <w:rPr>
          <w:rStyle w:val="EndnoteReference"/>
        </w:rPr>
        <w:endnoteRef/>
      </w:r>
      <w:r w:rsidRPr="00AE099E">
        <w:t xml:space="preserve"> </w:t>
      </w:r>
      <w:r w:rsidRPr="007B537E">
        <w:rPr>
          <w:i/>
          <w:iCs/>
          <w:lang w:val="en-US"/>
        </w:rPr>
        <w:t>Disability Discrimination Act 1992</w:t>
      </w:r>
      <w:r w:rsidRPr="007B537E">
        <w:rPr>
          <w:lang w:val="en-US"/>
        </w:rPr>
        <w:t xml:space="preserve"> (Cth) s 47.</w:t>
      </w:r>
    </w:p>
  </w:endnote>
  <w:endnote w:id="133">
    <w:p w14:paraId="7577B7F4" w14:textId="31957A84" w:rsidR="007B537E" w:rsidRPr="00AE099E" w:rsidRDefault="007B537E" w:rsidP="00591CA1">
      <w:pPr>
        <w:pStyle w:val="EndnoteText"/>
        <w:rPr>
          <w:rFonts w:eastAsia="Times New Roman"/>
        </w:rPr>
      </w:pPr>
      <w:r w:rsidRPr="00AE099E">
        <w:rPr>
          <w:rStyle w:val="EndnoteReference"/>
          <w:rFonts w:cs="Open Sans"/>
        </w:rPr>
        <w:endnoteRef/>
      </w:r>
      <w:r w:rsidRPr="00AE099E">
        <w:t xml:space="preserve"> </w:t>
      </w:r>
      <w:r w:rsidRPr="007B537E">
        <w:t xml:space="preserve">Australian Government, Job Access, </w:t>
      </w:r>
      <w:r w:rsidRPr="007B537E">
        <w:rPr>
          <w:i/>
        </w:rPr>
        <w:t xml:space="preserve">Supported Wage System in Open Employment Handbook </w:t>
      </w:r>
      <w:r w:rsidRPr="007B537E">
        <w:t xml:space="preserve">(1 July 2018) 5 </w:t>
      </w:r>
      <w:r w:rsidR="00FD3B99">
        <w:t>&lt;</w:t>
      </w:r>
      <w:hyperlink r:id="rId28" w:history="1">
        <w:r w:rsidR="00FD3B99" w:rsidRPr="001A7DEC">
          <w:rPr>
            <w:rStyle w:val="Hyperlink"/>
          </w:rPr>
          <w:t>https://www.jobaccess.gov.au/downloads/supported-wage-system-handbook</w:t>
        </w:r>
      </w:hyperlink>
      <w:r w:rsidR="00FD3B99">
        <w:t>&gt;</w:t>
      </w:r>
      <w:r w:rsidRPr="007B537E">
        <w:t>.</w:t>
      </w:r>
    </w:p>
  </w:endnote>
  <w:endnote w:id="134">
    <w:p w14:paraId="0CD914B0" w14:textId="54AEC4F3" w:rsidR="007B537E" w:rsidRPr="00AE099E" w:rsidRDefault="007B537E" w:rsidP="00F71B5B">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i/>
        </w:rPr>
        <w:t xml:space="preserve">Nojin v Commonwealth </w:t>
      </w:r>
      <w:r w:rsidRPr="007B537E">
        <w:rPr>
          <w:rFonts w:cs="Open Sans"/>
        </w:rPr>
        <w:t>[2012] FCAFC 192, [11]-[12]</w:t>
      </w:r>
      <w:r w:rsidRPr="007B537E">
        <w:rPr>
          <w:rFonts w:cs="Open Sans"/>
          <w:b/>
        </w:rPr>
        <w:t>.</w:t>
      </w:r>
    </w:p>
  </w:endnote>
  <w:endnote w:id="135">
    <w:p w14:paraId="7EFB5FF4" w14:textId="55756641" w:rsidR="007B537E" w:rsidRPr="00AE099E" w:rsidRDefault="007B537E" w:rsidP="00F71B5B">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i/>
        </w:rPr>
        <w:t xml:space="preserve">Nojin v Commonwealth </w:t>
      </w:r>
      <w:r w:rsidRPr="007B537E">
        <w:rPr>
          <w:rFonts w:cs="Open Sans"/>
        </w:rPr>
        <w:t>[2012] FCAFC 192.</w:t>
      </w:r>
      <w:r w:rsidRPr="00AE099E">
        <w:rPr>
          <w:rFonts w:cs="Open Sans"/>
        </w:rPr>
        <w:t xml:space="preserve"> </w:t>
      </w:r>
    </w:p>
  </w:endnote>
  <w:endnote w:id="136">
    <w:p w14:paraId="0C9D0071" w14:textId="24435056" w:rsidR="007B537E" w:rsidRPr="00AE099E" w:rsidRDefault="007B537E" w:rsidP="00F71B5B">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rPr>
        <w:t>Australian Government, Department of Social Services, 'The Business Services Wage Assessment Tool (BSWAT) Payment Scheme</w:t>
      </w:r>
      <w:r w:rsidRPr="007B537E">
        <w:rPr>
          <w:rFonts w:cs="Open Sans"/>
          <w:i/>
        </w:rPr>
        <w:t xml:space="preserve">' </w:t>
      </w:r>
      <w:r w:rsidRPr="007B537E">
        <w:rPr>
          <w:rFonts w:cs="Open Sans"/>
        </w:rPr>
        <w:t xml:space="preserve">(Web Page, 23 July 2020) </w:t>
      </w:r>
      <w:r w:rsidR="00FD3B99">
        <w:rPr>
          <w:rFonts w:cs="Open Sans"/>
        </w:rPr>
        <w:t>&lt;</w:t>
      </w:r>
      <w:hyperlink r:id="rId29" w:history="1">
        <w:r w:rsidR="00FD3B99" w:rsidRPr="001A7DEC">
          <w:rPr>
            <w:rStyle w:val="Hyperlink"/>
            <w:rFonts w:cs="Open Sans"/>
          </w:rPr>
          <w:t>https://www.dss.gov.au/disability-and-carers-programs-services-for-people-with-disability-bswat-payment-scheme/the-business-services-wage-assessment-tool-bswat-payment-scheme</w:t>
        </w:r>
      </w:hyperlink>
      <w:r w:rsidR="00FD3B99">
        <w:rPr>
          <w:rFonts w:cs="Open Sans"/>
        </w:rPr>
        <w:t>&gt;</w:t>
      </w:r>
      <w:r w:rsidRPr="007B537E">
        <w:rPr>
          <w:rFonts w:cs="Open Sans"/>
        </w:rPr>
        <w:t>;</w:t>
      </w:r>
      <w:r w:rsidRPr="00AE099E">
        <w:rPr>
          <w:rFonts w:ascii="Arial" w:eastAsia="Times New Roman" w:hAnsi="Arial" w:cs="Arial"/>
        </w:rPr>
        <w:t xml:space="preserve"> </w:t>
      </w:r>
      <w:r w:rsidRPr="007B537E">
        <w:rPr>
          <w:rFonts w:ascii="Arial" w:eastAsia="Times New Roman" w:hAnsi="Arial" w:cs="Arial"/>
        </w:rPr>
        <w:t xml:space="preserve">the </w:t>
      </w:r>
      <w:r w:rsidRPr="007B537E">
        <w:rPr>
          <w:rFonts w:cs="Open Sans"/>
        </w:rPr>
        <w:t xml:space="preserve">BSWAT has been removed as an approved wage assessment tool under the SES Award: </w:t>
      </w:r>
      <w:r w:rsidRPr="007B537E">
        <w:rPr>
          <w:i/>
        </w:rPr>
        <w:t>Four yearly review of modern awards – Supported Employment Services Award 2010</w:t>
      </w:r>
      <w:r w:rsidRPr="007B537E">
        <w:rPr>
          <w:b/>
        </w:rPr>
        <w:t xml:space="preserve"> </w:t>
      </w:r>
      <w:r w:rsidRPr="007B537E">
        <w:rPr>
          <w:rFonts w:cs="Open Sans"/>
        </w:rPr>
        <w:t>(AM2014/286)</w:t>
      </w:r>
      <w:r w:rsidRPr="00AE099E">
        <w:rPr>
          <w:rFonts w:cs="Open Sans"/>
        </w:rPr>
        <w:t xml:space="preserve"> </w:t>
      </w:r>
      <w:r w:rsidRPr="007B537E">
        <w:t>[2019] FWCFB 8179 (3 December 2019), [358].</w:t>
      </w:r>
    </w:p>
  </w:endnote>
  <w:endnote w:id="137">
    <w:p w14:paraId="579FC928" w14:textId="14EE28BC" w:rsidR="007B537E" w:rsidRPr="00AE099E" w:rsidRDefault="007B537E" w:rsidP="0062611D">
      <w:pPr>
        <w:pStyle w:val="EndnoteText"/>
      </w:pPr>
      <w:r w:rsidRPr="00AE099E">
        <w:rPr>
          <w:rStyle w:val="EndnoteReference"/>
        </w:rPr>
        <w:endnoteRef/>
      </w:r>
      <w:r w:rsidRPr="00AE099E">
        <w:t xml:space="preserve"> </w:t>
      </w:r>
      <w:r w:rsidRPr="007B537E">
        <w:t xml:space="preserve">See, for example, Australian Federation of Disability Organisations, National Council on Intellectual Disability, AED Legal Centre, Disability Advocacy Network Australia, People with Disabilities Australia, Down Syndrome Australia, Family Advocacy, Physical Disability Australia, Side by Side Advocacy, </w:t>
      </w:r>
      <w:r w:rsidRPr="007B537E">
        <w:rPr>
          <w:i/>
        </w:rPr>
        <w:t xml:space="preserve">A joint response from national peak consumer and advocacy organisations in response to questions from the Australian Human Rights Commission regarding the application by the Department of Social Services for an exemption from the Disability Discrimination Act 1992 to use the Business Services Wage Assessment Tool </w:t>
      </w:r>
      <w:r w:rsidRPr="007B537E">
        <w:t xml:space="preserve">(31 January 2014) </w:t>
      </w:r>
      <w:r w:rsidR="00FD3B99">
        <w:t>&lt;</w:t>
      </w:r>
      <w:hyperlink r:id="rId30" w:history="1">
        <w:r w:rsidR="00FD3B99" w:rsidRPr="001A7DEC">
          <w:rPr>
            <w:rStyle w:val="Hyperlink"/>
          </w:rPr>
          <w:t>https://humanrights.gov.au/sites/default/files/AHRC%20Reponse%20to%20Issues%20and%20Questions_0.pdf</w:t>
        </w:r>
      </w:hyperlink>
      <w:r w:rsidR="00FD3B99">
        <w:t>&gt;</w:t>
      </w:r>
      <w:r w:rsidRPr="007B537E">
        <w:t>.</w:t>
      </w:r>
      <w:r w:rsidRPr="00AE099E">
        <w:t xml:space="preserve"> </w:t>
      </w:r>
    </w:p>
  </w:endnote>
  <w:endnote w:id="138">
    <w:p w14:paraId="71923A73" w14:textId="313D5C49" w:rsidR="007B537E" w:rsidRPr="00AE099E" w:rsidRDefault="007B537E" w:rsidP="00F71B5B">
      <w:pPr>
        <w:pStyle w:val="EndnoteText"/>
      </w:pPr>
      <w:r w:rsidRPr="00AE099E">
        <w:rPr>
          <w:rStyle w:val="EndnoteReference"/>
        </w:rPr>
        <w:endnoteRef/>
      </w:r>
      <w:r w:rsidRPr="00AE099E">
        <w:t xml:space="preserve"> </w:t>
      </w:r>
      <w:r w:rsidRPr="007B537E">
        <w:t xml:space="preserve">CRPD Committee, </w:t>
      </w:r>
      <w:r w:rsidRPr="007B537E">
        <w:rPr>
          <w:i/>
        </w:rPr>
        <w:t>Concluding Observations on the initial report of Serbia</w:t>
      </w:r>
      <w:r w:rsidRPr="007B537E">
        <w:t>, UN Doc CRPD/C/SRB/CO/1 (23 May 2016) [53]-[54]. See also Ilias</w:t>
      </w:r>
      <w:r w:rsidRPr="007B537E">
        <w:rPr>
          <w:b/>
        </w:rPr>
        <w:t xml:space="preserve"> </w:t>
      </w:r>
      <w:r w:rsidRPr="007B537E">
        <w:t xml:space="preserve">Bantekas et al </w:t>
      </w:r>
      <w:r w:rsidRPr="007B537E">
        <w:rPr>
          <w:i/>
        </w:rPr>
        <w:t>The UN Convention on the Rights of Persons with Disabilities: A Commentary</w:t>
      </w:r>
      <w:r w:rsidRPr="007B537E">
        <w:t xml:space="preserve"> (Oxford University Press, 2018) 774.</w:t>
      </w:r>
    </w:p>
  </w:endnote>
  <w:endnote w:id="139">
    <w:p w14:paraId="568573DE" w14:textId="6EF422FA" w:rsidR="007B537E" w:rsidRPr="00AE099E" w:rsidRDefault="007B537E">
      <w:pPr>
        <w:pStyle w:val="EndnoteText"/>
        <w:rPr>
          <w:lang w:val="en-US"/>
        </w:rPr>
      </w:pPr>
      <w:r w:rsidRPr="00AE099E">
        <w:rPr>
          <w:rStyle w:val="EndnoteReference"/>
        </w:rPr>
        <w:endnoteRef/>
      </w:r>
      <w:r w:rsidRPr="00AE099E">
        <w:t xml:space="preserve"> </w:t>
      </w:r>
      <w:r w:rsidRPr="007B537E">
        <w:rPr>
          <w:rFonts w:cs="Open Sans"/>
        </w:rPr>
        <w:t xml:space="preserve">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 xml:space="preserve">(Report, 2016) 212-213 </w:t>
      </w:r>
      <w:r w:rsidR="00FD3B99">
        <w:rPr>
          <w:rFonts w:cs="Open Sans"/>
        </w:rPr>
        <w:t>&lt;</w:t>
      </w:r>
      <w:hyperlink r:id="rId31" w:history="1">
        <w:r w:rsidR="00FD3B99" w:rsidRPr="001A7DEC">
          <w:rPr>
            <w:rStyle w:val="Hyperlink"/>
            <w:rFonts w:cs="Open Sans"/>
          </w:rPr>
          <w:t>https://humanrights.gov.au/sites/default/files/document/publication/WTW_2016_Full_Report_AHRC_ac.pdf</w:t>
        </w:r>
      </w:hyperlink>
      <w:r w:rsidR="00FD3B99">
        <w:rPr>
          <w:rFonts w:cs="Open Sans"/>
        </w:rPr>
        <w:t>&gt;</w:t>
      </w:r>
      <w:r w:rsidRPr="007B537E">
        <w:rPr>
          <w:rFonts w:cs="Open Sans"/>
        </w:rPr>
        <w:t>.</w:t>
      </w:r>
    </w:p>
  </w:endnote>
  <w:endnote w:id="140">
    <w:p w14:paraId="11D94537" w14:textId="4542E737" w:rsidR="007B537E" w:rsidRPr="00AE099E" w:rsidRDefault="007B537E" w:rsidP="00F71B5B">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rPr>
        <w:t xml:space="preserve">Australian Government, Fair Work Ombudsman, 'Employees with disability pay rates' (Web Page) </w:t>
      </w:r>
      <w:r w:rsidR="00FD3B99">
        <w:rPr>
          <w:rFonts w:cs="Open Sans"/>
        </w:rPr>
        <w:t>&lt;</w:t>
      </w:r>
      <w:hyperlink r:id="rId32" w:history="1">
        <w:r w:rsidR="00FD3B99" w:rsidRPr="001A7DEC">
          <w:rPr>
            <w:rStyle w:val="Hyperlink"/>
            <w:rFonts w:cs="Open Sans"/>
          </w:rPr>
          <w:t>https://www.fairwork.gov.au/pay/minimum-wages/employees-with-disability-pay-rates</w:t>
        </w:r>
      </w:hyperlink>
      <w:r w:rsidR="00FD3B99">
        <w:rPr>
          <w:rFonts w:cs="Open Sans"/>
        </w:rPr>
        <w:t>&gt;</w:t>
      </w:r>
      <w:r w:rsidRPr="007B537E">
        <w:rPr>
          <w:rFonts w:cs="Open Sans"/>
        </w:rPr>
        <w:t>.</w:t>
      </w:r>
    </w:p>
  </w:endnote>
  <w:endnote w:id="141">
    <w:p w14:paraId="57411723" w14:textId="4D03B0D4" w:rsidR="007B537E" w:rsidRPr="00AE099E" w:rsidRDefault="007B537E" w:rsidP="00F71B5B">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rPr>
        <w:t xml:space="preserve">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 xml:space="preserve">(Report, 2016) 213 </w:t>
      </w:r>
      <w:r w:rsidR="00FD3B99">
        <w:rPr>
          <w:rFonts w:cs="Open Sans"/>
        </w:rPr>
        <w:t>&lt;</w:t>
      </w:r>
      <w:hyperlink r:id="rId33" w:history="1">
        <w:r w:rsidR="00FD3B99" w:rsidRPr="001A7DEC">
          <w:rPr>
            <w:rStyle w:val="Hyperlink"/>
            <w:rFonts w:cs="Open Sans"/>
          </w:rPr>
          <w:t>https://humanrights.gov.au/sites/default/files/document/publication/WTW_2016_Full_Report_AHRC_ac.pdf</w:t>
        </w:r>
      </w:hyperlink>
      <w:r w:rsidR="00FD3B99">
        <w:rPr>
          <w:rFonts w:cs="Open Sans"/>
        </w:rPr>
        <w:t>&gt;</w:t>
      </w:r>
      <w:r w:rsidRPr="007B537E">
        <w:rPr>
          <w:rFonts w:cs="Open Sans"/>
        </w:rPr>
        <w:t>.</w:t>
      </w:r>
    </w:p>
  </w:endnote>
  <w:endnote w:id="142">
    <w:p w14:paraId="7721707B" w14:textId="3858ECD3" w:rsidR="007B537E" w:rsidRPr="00AE099E" w:rsidRDefault="007B537E" w:rsidP="00F71B5B">
      <w:pPr>
        <w:pStyle w:val="EndnoteText"/>
      </w:pPr>
      <w:r w:rsidRPr="00AE099E">
        <w:rPr>
          <w:rStyle w:val="EndnoteReference"/>
        </w:rPr>
        <w:endnoteRef/>
      </w:r>
      <w:r w:rsidRPr="00AE099E">
        <w:t xml:space="preserve"> </w:t>
      </w:r>
      <w:r w:rsidRPr="007B537E">
        <w:t xml:space="preserve">CESCR Committee, </w:t>
      </w:r>
      <w:r w:rsidRPr="007B537E">
        <w:rPr>
          <w:i/>
        </w:rPr>
        <w:t xml:space="preserve">General Comment No. 23 (2016) on the right to just and favourable conditions of </w:t>
      </w:r>
      <w:r w:rsidRPr="007B537E">
        <w:rPr>
          <w:i/>
          <w:iCs/>
        </w:rPr>
        <w:t>work</w:t>
      </w:r>
      <w:r w:rsidRPr="007B537E">
        <w:t>, UN Doc E/C.12/GC/23 (27 April 2016) [47(c)].</w:t>
      </w:r>
    </w:p>
  </w:endnote>
  <w:endnote w:id="143">
    <w:p w14:paraId="58E5058F" w14:textId="4C92A2B1" w:rsidR="007B537E" w:rsidRPr="00AE099E" w:rsidRDefault="007B537E" w:rsidP="00F71B5B">
      <w:pPr>
        <w:pStyle w:val="EndnoteText"/>
        <w:rPr>
          <w:rFonts w:cs="Open Sans"/>
        </w:rPr>
      </w:pPr>
      <w:r w:rsidRPr="00AE099E">
        <w:rPr>
          <w:rStyle w:val="EndnoteReference"/>
          <w:rFonts w:cs="Open Sans"/>
        </w:rPr>
        <w:endnoteRef/>
      </w:r>
      <w:r w:rsidRPr="00AE099E">
        <w:rPr>
          <w:rFonts w:cs="Open Sans"/>
        </w:rPr>
        <w:t xml:space="preserve"> </w:t>
      </w:r>
      <w:r w:rsidRPr="007B537E">
        <w:rPr>
          <w:i/>
        </w:rPr>
        <w:t>International Covenant on Economic, Social and Cultural Rights</w:t>
      </w:r>
      <w:r w:rsidRPr="007B537E">
        <w:t>, opened for signature 16 December 1966, 993 UNTS 3 (entered into force 3 January 1976) art 7(a).</w:t>
      </w:r>
    </w:p>
  </w:endnote>
  <w:endnote w:id="144">
    <w:p w14:paraId="651327EC" w14:textId="032E09BF" w:rsidR="007B537E" w:rsidRPr="00AE099E" w:rsidRDefault="007B537E" w:rsidP="00F71B5B">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rPr>
        <w:t xml:space="preserve">CRPD Committee, </w:t>
      </w:r>
      <w:r w:rsidRPr="007B537E">
        <w:rPr>
          <w:rFonts w:cs="Open Sans"/>
          <w:i/>
        </w:rPr>
        <w:t>Concluding Observations on the Combined Second and Third Periodic Reports of Australia</w:t>
      </w:r>
      <w:r w:rsidRPr="007B537E">
        <w:rPr>
          <w:rFonts w:cs="Open Sans"/>
        </w:rPr>
        <w:t>, UN Doc CRPD/C/AUS/CO/2-3 (15 October 2019) [50(b)].</w:t>
      </w:r>
    </w:p>
  </w:endnote>
  <w:endnote w:id="145">
    <w:p w14:paraId="329546BB" w14:textId="11E4CB04" w:rsidR="007B537E" w:rsidRPr="00AE099E" w:rsidRDefault="007B537E">
      <w:pPr>
        <w:pStyle w:val="EndnoteText"/>
      </w:pPr>
      <w:r w:rsidRPr="00AE099E">
        <w:rPr>
          <w:rStyle w:val="EndnoteReference"/>
        </w:rPr>
        <w:endnoteRef/>
      </w:r>
      <w:r w:rsidRPr="00AE099E">
        <w:t xml:space="preserve"> </w:t>
      </w:r>
      <w:r w:rsidRPr="007B537E">
        <w:t xml:space="preserve">See ICESCR article 6, article 7: </w:t>
      </w:r>
      <w:r w:rsidRPr="007B537E">
        <w:rPr>
          <w:i/>
        </w:rPr>
        <w:t>International Covenant on Economic, Social and Cultural Rights</w:t>
      </w:r>
      <w:r w:rsidRPr="007B537E">
        <w:t xml:space="preserve">, opened for signature 16 December 1966, 993 UNTS 3 (entered into force 3 January 1976); CRPD article 9(1), article 19, article 27(1): </w:t>
      </w:r>
      <w:r w:rsidRPr="007B537E">
        <w:rPr>
          <w:i/>
        </w:rPr>
        <w:t>Convention on the Rights of Persons with Disabilities</w:t>
      </w:r>
      <w:r w:rsidRPr="007B537E">
        <w:t xml:space="preserve">, opened for signature 30 March 2007, 2515 UNTS 3 (entered into force 3 May 2008); </w:t>
      </w:r>
      <w:r w:rsidRPr="007B537E">
        <w:rPr>
          <w:i/>
        </w:rPr>
        <w:t xml:space="preserve">Groninger et al v Germany, </w:t>
      </w:r>
      <w:r w:rsidRPr="007B537E">
        <w:t>Communication No. 002/2010, UN Doc CRPD/C/D/2/2010</w:t>
      </w:r>
      <w:r w:rsidRPr="007B537E">
        <w:rPr>
          <w:i/>
        </w:rPr>
        <w:t xml:space="preserve"> </w:t>
      </w:r>
      <w:r w:rsidRPr="007B537E">
        <w:t>(7 July 2014) [6.2].</w:t>
      </w:r>
    </w:p>
  </w:endnote>
  <w:endnote w:id="146">
    <w:p w14:paraId="39ACDD2F" w14:textId="285BD21D" w:rsidR="007B537E" w:rsidRPr="00AE099E" w:rsidRDefault="007B537E" w:rsidP="00D42B2A">
      <w:pPr>
        <w:pStyle w:val="EndnoteText"/>
        <w:rPr>
          <w:rFonts w:eastAsia="Times New Roman"/>
        </w:rPr>
      </w:pPr>
      <w:r w:rsidRPr="00AE099E">
        <w:rPr>
          <w:rStyle w:val="EndnoteReference"/>
          <w:rFonts w:cs="Open Sans"/>
        </w:rPr>
        <w:endnoteRef/>
      </w:r>
      <w:r w:rsidRPr="00AE099E">
        <w:t xml:space="preserve"> </w:t>
      </w:r>
      <w:r w:rsidRPr="007B537E">
        <w:t xml:space="preserve">Australian Human Rights Commission, </w:t>
      </w:r>
      <w:r w:rsidRPr="007B537E">
        <w:rPr>
          <w:i/>
        </w:rPr>
        <w:t xml:space="preserve">Willing to Work: National Inquiry into Employment Discrimination Against Older Australians and Australians with Disability </w:t>
      </w:r>
      <w:r w:rsidRPr="007B537E">
        <w:t xml:space="preserve">(Report, 2016) 242 </w:t>
      </w:r>
      <w:r w:rsidR="00FD3B99">
        <w:t>&lt;</w:t>
      </w:r>
      <w:hyperlink r:id="rId34" w:history="1">
        <w:r w:rsidR="00FD3B99" w:rsidRPr="001A7DEC">
          <w:rPr>
            <w:rStyle w:val="Hyperlink"/>
            <w:rFonts w:cs="Open Sans"/>
          </w:rPr>
          <w:t>https://humanrights.gov.au/sites/default/files/document/publication/WTW_2016_Full_Report_AHRC_ac.pdf</w:t>
        </w:r>
      </w:hyperlink>
      <w:r w:rsidR="00FD3B99">
        <w:t>&gt;</w:t>
      </w:r>
      <w:r w:rsidRPr="007B537E">
        <w:t>.</w:t>
      </w:r>
    </w:p>
  </w:endnote>
  <w:endnote w:id="147">
    <w:p w14:paraId="2AEF74EF" w14:textId="5ED38F47" w:rsidR="007B537E" w:rsidRPr="00AE099E" w:rsidRDefault="007B537E" w:rsidP="00F71B5B">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rPr>
        <w:t xml:space="preserve">The Fair Work Commission’s December 2019 decision reviewed a range of submissions from disability stakeholders and the business sector, and among other things critiqued the appropriateness of using the SWS in ADEs, and the associated increase in wage costs for employers: </w:t>
      </w:r>
      <w:r w:rsidRPr="007B537E">
        <w:rPr>
          <w:i/>
        </w:rPr>
        <w:t>Four yearly review of modern awards – Supported Employment Services Award 2010</w:t>
      </w:r>
      <w:r w:rsidRPr="007B537E">
        <w:rPr>
          <w:b/>
        </w:rPr>
        <w:t xml:space="preserve"> </w:t>
      </w:r>
      <w:r w:rsidRPr="007B537E">
        <w:rPr>
          <w:rFonts w:cs="Open Sans"/>
        </w:rPr>
        <w:t xml:space="preserve">(AM2014/286) </w:t>
      </w:r>
      <w:r w:rsidRPr="007B537E">
        <w:t>[2019] FWCFB 8179 (3 December 2019)</w:t>
      </w:r>
      <w:r w:rsidRPr="00AE099E">
        <w:rPr>
          <w:rFonts w:cs="Open Sans"/>
        </w:rPr>
        <w:t>.</w:t>
      </w:r>
    </w:p>
  </w:endnote>
  <w:endnote w:id="148">
    <w:p w14:paraId="3F65B364" w14:textId="274CE019" w:rsidR="007B537E" w:rsidRPr="00AE099E" w:rsidRDefault="007B537E" w:rsidP="00255A65">
      <w:pPr>
        <w:pStyle w:val="EndnoteText"/>
        <w:rPr>
          <w:rFonts w:ascii="Arial" w:eastAsia="Times New Roman" w:hAnsi="Arial" w:cs="Arial"/>
        </w:rPr>
      </w:pPr>
      <w:r w:rsidRPr="00AE099E">
        <w:rPr>
          <w:rStyle w:val="EndnoteReference"/>
          <w:rFonts w:cs="Open Sans"/>
        </w:rPr>
        <w:endnoteRef/>
      </w:r>
      <w:r w:rsidRPr="00AE099E">
        <w:t xml:space="preserve"> </w:t>
      </w:r>
      <w:r w:rsidRPr="007B537E">
        <w:t xml:space="preserve">See, for example, People With Disability Australia, Submission to the Australian Human Rights Commission, </w:t>
      </w:r>
      <w:r w:rsidRPr="007B537E">
        <w:rPr>
          <w:i/>
        </w:rPr>
        <w:t>Re the application from the Department of Families, Housing, Community Services and Indigenous Affairs (FaHCSIA) for an exemption for all Australian Disability Enterprises (ADEs) from sections 15 and 24 of the Disability Discrimination Act 1992 (Cth) (DDA) and for the Commonwealth from section 29 of the DDA</w:t>
      </w:r>
      <w:r w:rsidRPr="007B537E">
        <w:t xml:space="preserve"> (October 2013) 3 </w:t>
      </w:r>
      <w:r w:rsidR="00FD3B99">
        <w:t>&lt;</w:t>
      </w:r>
      <w:hyperlink r:id="rId35" w:history="1">
        <w:r w:rsidR="00FD3B99" w:rsidRPr="001A7DEC">
          <w:rPr>
            <w:rStyle w:val="Hyperlink"/>
          </w:rPr>
          <w:t>https://humanrights.gov.au/sites/default/files/PWDA.pdf</w:t>
        </w:r>
      </w:hyperlink>
      <w:r w:rsidR="00FD3B99">
        <w:t>&gt;</w:t>
      </w:r>
      <w:r w:rsidRPr="007B537E">
        <w:t>.</w:t>
      </w:r>
      <w:r w:rsidRPr="00AE099E">
        <w:t xml:space="preserve"> </w:t>
      </w:r>
    </w:p>
  </w:endnote>
  <w:endnote w:id="149">
    <w:p w14:paraId="17EC6353" w14:textId="526A1955" w:rsidR="007B537E" w:rsidRPr="00AE099E" w:rsidRDefault="007B537E" w:rsidP="00A67DBD">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i/>
        </w:rPr>
        <w:t xml:space="preserve">Australian Human Rights Commission Act 1986 </w:t>
      </w:r>
      <w:r w:rsidRPr="007B537E">
        <w:rPr>
          <w:rFonts w:cs="Open Sans"/>
        </w:rPr>
        <w:t>(Cth) ss 3, 46P(2), 46PO(1).</w:t>
      </w:r>
    </w:p>
  </w:endnote>
  <w:endnote w:id="150">
    <w:p w14:paraId="46A2A3B5" w14:textId="70722783" w:rsidR="007B537E" w:rsidRPr="00AE099E" w:rsidRDefault="007B537E" w:rsidP="00AB028E">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rPr>
        <w:t xml:space="preserve">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 xml:space="preserve">(Report, 2016) 332 </w:t>
      </w:r>
      <w:r w:rsidR="00FD3B99">
        <w:rPr>
          <w:rFonts w:cs="Open Sans"/>
        </w:rPr>
        <w:t>&lt;</w:t>
      </w:r>
      <w:hyperlink r:id="rId36" w:history="1">
        <w:r w:rsidR="00FD3B99" w:rsidRPr="001A7DEC">
          <w:rPr>
            <w:rStyle w:val="Hyperlink"/>
            <w:rFonts w:cs="Open Sans"/>
          </w:rPr>
          <w:t>https://humanrights.gov.au/sites/default/files/document/publication/WTW_2016_Full_Report_AHRC_ac.pdf</w:t>
        </w:r>
      </w:hyperlink>
      <w:r w:rsidR="00FD3B99">
        <w:rPr>
          <w:rFonts w:cs="Open Sans"/>
        </w:rPr>
        <w:t>&gt;</w:t>
      </w:r>
      <w:r w:rsidRPr="007B537E">
        <w:rPr>
          <w:rFonts w:cs="Open Sans"/>
        </w:rPr>
        <w:t>.</w:t>
      </w:r>
    </w:p>
  </w:endnote>
  <w:endnote w:id="151">
    <w:p w14:paraId="7AB3DF74" w14:textId="3DE446CF" w:rsidR="007B537E" w:rsidRPr="00AE099E" w:rsidRDefault="007B537E" w:rsidP="004B6CDA">
      <w:pPr>
        <w:pStyle w:val="EndnoteText"/>
      </w:pPr>
      <w:r w:rsidRPr="00AE099E">
        <w:rPr>
          <w:rStyle w:val="EndnoteReference"/>
        </w:rPr>
        <w:endnoteRef/>
      </w:r>
      <w:r w:rsidRPr="00AE099E">
        <w:t xml:space="preserve"> </w:t>
      </w:r>
      <w:r w:rsidRPr="007B537E">
        <w:t xml:space="preserve">See also CRPD Committee, </w:t>
      </w:r>
      <w:r w:rsidRPr="007B537E">
        <w:rPr>
          <w:i/>
        </w:rPr>
        <w:t>General Comment No. 6 (2018) on equality and non-discrimination</w:t>
      </w:r>
      <w:r w:rsidRPr="007B537E">
        <w:t>, UN Doc CRPD/C/GC/6 (26 April 2018) [16].</w:t>
      </w:r>
    </w:p>
  </w:endnote>
  <w:endnote w:id="152">
    <w:p w14:paraId="71C6B6A1" w14:textId="653F6150" w:rsidR="007B537E" w:rsidRPr="00AE099E" w:rsidRDefault="007B537E" w:rsidP="0074174A">
      <w:pPr>
        <w:pStyle w:val="EndnoteText"/>
        <w:rPr>
          <w:rFonts w:eastAsia="Times New Roman"/>
        </w:rPr>
      </w:pPr>
      <w:r w:rsidRPr="00AE099E">
        <w:rPr>
          <w:rStyle w:val="EndnoteReference"/>
          <w:rFonts w:cs="Open Sans"/>
        </w:rPr>
        <w:endnoteRef/>
      </w:r>
      <w:r w:rsidRPr="00AE099E">
        <w:t xml:space="preserve"> </w:t>
      </w:r>
      <w:r w:rsidRPr="007B537E">
        <w:t>Australian Government, Productivity Commission,</w:t>
      </w:r>
      <w:r w:rsidRPr="007B537E">
        <w:rPr>
          <w:i/>
        </w:rPr>
        <w:t xml:space="preserve"> Review of the Disability Discrimination Act 1992</w:t>
      </w:r>
      <w:r w:rsidRPr="007B537E">
        <w:t xml:space="preserve"> (Report No 30, 30 April 2004) 400-401 </w:t>
      </w:r>
      <w:r w:rsidR="00FD3B99">
        <w:t>&lt;</w:t>
      </w:r>
      <w:hyperlink r:id="rId37" w:history="1">
        <w:r w:rsidR="00FD3B99" w:rsidRPr="001A7DEC">
          <w:rPr>
            <w:rStyle w:val="Hyperlink"/>
          </w:rPr>
          <w:t>https://www.pc.gov.au/inquiries/completed/disability-discrimination/report/disability-discrimination.pdf</w:t>
        </w:r>
      </w:hyperlink>
      <w:r w:rsidR="00FD3B99">
        <w:t>&gt;</w:t>
      </w:r>
      <w:r w:rsidRPr="007B537E">
        <w:t>.</w:t>
      </w:r>
    </w:p>
  </w:endnote>
  <w:endnote w:id="153">
    <w:p w14:paraId="6F593E04" w14:textId="0917681E" w:rsidR="007B537E" w:rsidRPr="00AE099E" w:rsidRDefault="007B537E" w:rsidP="00AB028E">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rPr>
        <w:t xml:space="preserve">Australian Human Rights Commission, Submission to the Attorney-General's Department, </w:t>
      </w:r>
      <w:r w:rsidRPr="007B537E">
        <w:rPr>
          <w:rFonts w:cs="Open Sans"/>
          <w:i/>
        </w:rPr>
        <w:t>Consolidation of Commonwealth Anti-Discrimination Laws</w:t>
      </w:r>
      <w:r w:rsidRPr="007B537E">
        <w:rPr>
          <w:rFonts w:cs="Open Sans"/>
        </w:rPr>
        <w:t xml:space="preserve"> (6 December 2011) 65 </w:t>
      </w:r>
      <w:r w:rsidR="00FD3B99">
        <w:rPr>
          <w:rFonts w:cs="Open Sans"/>
        </w:rPr>
        <w:t>&lt;</w:t>
      </w:r>
      <w:hyperlink r:id="rId38" w:history="1">
        <w:r w:rsidR="00FD3B99" w:rsidRPr="001A7DEC">
          <w:rPr>
            <w:rStyle w:val="Hyperlink"/>
            <w:rFonts w:cs="Open Sans"/>
          </w:rPr>
          <w:t>https://humanrights.gov.au/our-work/legal/consolidation-commonwealth-discrimination-law</w:t>
        </w:r>
      </w:hyperlink>
      <w:r w:rsidR="00FD3B99">
        <w:rPr>
          <w:rFonts w:cs="Open Sans"/>
        </w:rPr>
        <w:t>&gt;</w:t>
      </w:r>
      <w:r w:rsidRPr="007B537E">
        <w:rPr>
          <w:rFonts w:cs="Open Sans"/>
        </w:rPr>
        <w:t>;</w:t>
      </w:r>
      <w:r w:rsidRPr="00AE099E">
        <w:rPr>
          <w:rFonts w:cs="Open Sans"/>
        </w:rPr>
        <w:t xml:space="preserve"> </w:t>
      </w:r>
      <w:r w:rsidRPr="007B537E">
        <w:rPr>
          <w:rFonts w:cs="Open Sans"/>
        </w:rPr>
        <w:t xml:space="preserve">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 xml:space="preserve">(Report, 2016) 332-333 </w:t>
      </w:r>
      <w:r w:rsidR="00FD3B99">
        <w:rPr>
          <w:rFonts w:cs="Open Sans"/>
        </w:rPr>
        <w:t>&lt;</w:t>
      </w:r>
      <w:hyperlink r:id="rId39" w:history="1">
        <w:r w:rsidR="00FD3B99" w:rsidRPr="001A7DEC">
          <w:rPr>
            <w:rStyle w:val="Hyperlink"/>
            <w:rFonts w:cs="Open Sans"/>
          </w:rPr>
          <w:t>https://humanrights.gov.au/sites/default/files/document/publication/WTW_2016_Full_Report_AHRC_ac.pdf</w:t>
        </w:r>
      </w:hyperlink>
      <w:r w:rsidR="00FD3B99">
        <w:rPr>
          <w:rFonts w:cs="Open Sans"/>
        </w:rPr>
        <w:t>&gt;</w:t>
      </w:r>
      <w:r w:rsidRPr="007B537E">
        <w:rPr>
          <w:rFonts w:cs="Open Sans"/>
        </w:rPr>
        <w:t>.</w:t>
      </w:r>
    </w:p>
  </w:endnote>
  <w:endnote w:id="154">
    <w:p w14:paraId="45C6EE0C" w14:textId="77777777" w:rsidR="00206837" w:rsidRDefault="00206837" w:rsidP="00206837">
      <w:pPr>
        <w:pStyle w:val="EndnoteText"/>
      </w:pPr>
      <w:r>
        <w:rPr>
          <w:rStyle w:val="EndnoteReference"/>
        </w:rPr>
        <w:endnoteRef/>
      </w:r>
      <w:r>
        <w:t xml:space="preserve"> The project has formal terms of reference that are available online at: ’Free and Equal: An Australian Conversation on Human Rights’, </w:t>
      </w:r>
      <w:r w:rsidRPr="00001D77">
        <w:rPr>
          <w:i/>
          <w:iCs/>
        </w:rPr>
        <w:t>Australian Human Rights Commission</w:t>
      </w:r>
      <w:r>
        <w:t xml:space="preserve"> (Web Page, 31 May 2019),&lt;http://www.humanrights.gov.au/free-and-equal&gt;. </w:t>
      </w:r>
    </w:p>
  </w:endnote>
  <w:endnote w:id="155">
    <w:p w14:paraId="4DACFF49" w14:textId="16C2064D" w:rsidR="007B537E" w:rsidRPr="00AE099E" w:rsidRDefault="007B537E" w:rsidP="00AB028E">
      <w:pPr>
        <w:pStyle w:val="EndnoteText"/>
        <w:rPr>
          <w:rFonts w:cs="Open Sans"/>
        </w:rPr>
      </w:pPr>
      <w:r w:rsidRPr="00AE099E">
        <w:rPr>
          <w:rStyle w:val="EndnoteReference"/>
          <w:rFonts w:cs="Open Sans"/>
        </w:rPr>
        <w:endnoteRef/>
      </w:r>
      <w:r w:rsidRPr="00AE099E">
        <w:rPr>
          <w:rFonts w:cs="Open Sans"/>
        </w:rPr>
        <w:t xml:space="preserve"> </w:t>
      </w:r>
      <w:r w:rsidRPr="007B537E">
        <w:rPr>
          <w:rFonts w:cs="Open Sans"/>
        </w:rPr>
        <w:t xml:space="preserve">Australian Human Rights Commission, </w:t>
      </w:r>
      <w:r w:rsidRPr="007B537E">
        <w:rPr>
          <w:rFonts w:cs="Open Sans"/>
          <w:i/>
          <w:iCs/>
        </w:rPr>
        <w:t>Free</w:t>
      </w:r>
      <w:r w:rsidRPr="007B537E">
        <w:rPr>
          <w:rFonts w:cs="Open Sans"/>
          <w:i/>
        </w:rPr>
        <w:t xml:space="preserve"> and Equal: An Australian Conversation on Human Rights - Priorities for federal discrimination law </w:t>
      </w:r>
      <w:r w:rsidRPr="007B537E">
        <w:rPr>
          <w:rFonts w:cs="Open Sans"/>
          <w:i/>
          <w:iCs/>
        </w:rPr>
        <w:t>reform</w:t>
      </w:r>
      <w:r w:rsidRPr="007B537E">
        <w:rPr>
          <w:rFonts w:cs="Open Sans"/>
        </w:rPr>
        <w:t xml:space="preserve"> (Discussion Paper, October 2019) 16 </w:t>
      </w:r>
      <w:r w:rsidR="00FD3B99">
        <w:rPr>
          <w:rFonts w:cs="Open Sans"/>
        </w:rPr>
        <w:t>&lt;</w:t>
      </w:r>
      <w:hyperlink r:id="rId40" w:history="1">
        <w:r w:rsidR="00FD3B99" w:rsidRPr="001A7DEC">
          <w:rPr>
            <w:rStyle w:val="Hyperlink"/>
            <w:rFonts w:cs="Open Sans"/>
          </w:rPr>
          <w:t>https://humanrights.gov.au/sites/default/files/document/publication/ahrc_discrimination_law_reform_2019.pdf</w:t>
        </w:r>
      </w:hyperlink>
      <w:r w:rsidR="00FD3B99">
        <w:rPr>
          <w:rFonts w:cs="Open Sans"/>
        </w:rPr>
        <w:t xml:space="preserve">&gt; </w:t>
      </w:r>
      <w:r w:rsidRPr="007B537E">
        <w:rPr>
          <w:rFonts w:cs="Open Sans"/>
        </w:rPr>
        <w:t>.</w:t>
      </w:r>
    </w:p>
  </w:endnote>
  <w:endnote w:id="156">
    <w:p w14:paraId="41984B83" w14:textId="662D7719" w:rsidR="00EB6372" w:rsidRPr="00EB6372" w:rsidRDefault="00EB6372">
      <w:pPr>
        <w:pStyle w:val="EndnoteText"/>
        <w:rPr>
          <w:lang w:val="en-US"/>
        </w:rPr>
      </w:pPr>
      <w:r w:rsidRPr="006A3A85">
        <w:rPr>
          <w:rStyle w:val="EndnoteReference"/>
        </w:rPr>
        <w:endnoteRef/>
      </w:r>
      <w:r w:rsidRPr="006A3A85">
        <w:t xml:space="preserve"> Public Interest Advocacy Centre, Submission to the Australian Human Rights Commission, </w:t>
      </w:r>
      <w:r w:rsidRPr="006A3A85">
        <w:rPr>
          <w:i/>
        </w:rPr>
        <w:t>Free and Equal: Anti-Discrimination Law Reform Discussion Paper</w:t>
      </w:r>
      <w:r w:rsidRPr="006A3A85">
        <w:t xml:space="preserve"> (8 November 2019) 17 &lt;</w:t>
      </w:r>
      <w:hyperlink r:id="rId41" w:history="1">
        <w:r w:rsidRPr="006A3A85">
          <w:rPr>
            <w:rStyle w:val="Hyperlink"/>
          </w:rPr>
          <w:t>https://piac.asn.au/2019/11/08/australian-human-rights-commission-free-equal-anti-discrimination-law-reform-discussion-paper/</w:t>
        </w:r>
      </w:hyperlink>
      <w:r w:rsidRPr="006A3A85">
        <w:t>&gt;.</w:t>
      </w:r>
    </w:p>
  </w:endnote>
  <w:endnote w:id="157">
    <w:p w14:paraId="729A2523" w14:textId="1BB51882" w:rsidR="00B01636" w:rsidRPr="000949BB" w:rsidRDefault="00B01636">
      <w:pPr>
        <w:pStyle w:val="EndnoteText"/>
        <w:rPr>
          <w:lang w:val="en-US"/>
        </w:rPr>
      </w:pPr>
      <w:r>
        <w:rPr>
          <w:rStyle w:val="EndnoteReference"/>
        </w:rPr>
        <w:endnoteRef/>
      </w:r>
      <w:r>
        <w:t xml:space="preserve"> </w:t>
      </w:r>
      <w:r w:rsidRPr="000B35C9">
        <w:rPr>
          <w:lang w:val="en-US"/>
        </w:rPr>
        <w:t xml:space="preserve">Australian Human Rights Commission, </w:t>
      </w:r>
      <w:r w:rsidRPr="000B35C9">
        <w:rPr>
          <w:i/>
          <w:iCs/>
          <w:lang w:val="en-US"/>
        </w:rPr>
        <w:t>Respect@Work: Sexual Harassment National Inquiry Report</w:t>
      </w:r>
      <w:r w:rsidRPr="000B35C9">
        <w:rPr>
          <w:lang w:val="en-US"/>
        </w:rPr>
        <w:t xml:space="preserve"> (2020) 4</w:t>
      </w:r>
      <w:r w:rsidR="00983BEF">
        <w:rPr>
          <w:lang w:val="en-US"/>
        </w:rPr>
        <w:t>99-501</w:t>
      </w:r>
      <w:r w:rsidRPr="000B35C9">
        <w:rPr>
          <w:lang w:val="en-US"/>
        </w:rPr>
        <w:t xml:space="preserve"> &lt;</w:t>
      </w:r>
      <w:hyperlink r:id="rId42" w:history="1">
        <w:r w:rsidRPr="001A7DEC">
          <w:rPr>
            <w:rStyle w:val="Hyperlink"/>
            <w:lang w:val="en-US"/>
          </w:rPr>
          <w:t>https://humanrights.gov.au/our-work/sex-discrimination/publications/respectwork-sexual-harassment-national-inquiry-report-2020</w:t>
        </w:r>
      </w:hyperlink>
      <w:r>
        <w:rPr>
          <w:lang w:val="en-US"/>
        </w:rPr>
        <w:t>&gt;.</w:t>
      </w:r>
    </w:p>
  </w:endnote>
  <w:endnote w:id="158">
    <w:p w14:paraId="536C8D42" w14:textId="37BD1932" w:rsidR="007B537E" w:rsidRPr="00AE099E" w:rsidRDefault="007B537E">
      <w:pPr>
        <w:pStyle w:val="EndnoteText"/>
        <w:rPr>
          <w:lang w:val="en-US"/>
        </w:rPr>
      </w:pPr>
      <w:r w:rsidRPr="00AE099E">
        <w:rPr>
          <w:rStyle w:val="EndnoteReference"/>
        </w:rPr>
        <w:endnoteRef/>
      </w:r>
      <w:r w:rsidRPr="00AE099E">
        <w:t xml:space="preserve"> </w:t>
      </w:r>
      <w:r w:rsidRPr="007B537E">
        <w:rPr>
          <w:rFonts w:cs="Open Sans"/>
        </w:rPr>
        <w:t xml:space="preserve">Australian Human Rights Commission, Submission to the Attorney-General's Department, </w:t>
      </w:r>
      <w:r w:rsidRPr="007B537E">
        <w:rPr>
          <w:rFonts w:cs="Open Sans"/>
          <w:i/>
        </w:rPr>
        <w:t xml:space="preserve">Consolidation of Commonwealth Anti-Discrimination Laws </w:t>
      </w:r>
      <w:r w:rsidRPr="007B537E">
        <w:rPr>
          <w:rFonts w:cs="Open Sans"/>
        </w:rPr>
        <w:t xml:space="preserve">(6 December 2011) 19-20 [68]-[71], 53-54 [234]-[242] </w:t>
      </w:r>
      <w:r w:rsidR="00EB6372">
        <w:rPr>
          <w:rFonts w:cs="Open Sans"/>
        </w:rPr>
        <w:t>&lt;</w:t>
      </w:r>
      <w:hyperlink r:id="rId43" w:history="1">
        <w:r w:rsidR="00EB6372" w:rsidRPr="001A7DEC">
          <w:rPr>
            <w:rStyle w:val="Hyperlink"/>
            <w:rFonts w:cs="Open Sans"/>
          </w:rPr>
          <w:t>https://humanrights.gov.au/our-work/legal/consolidation-commonwealth-discrimination-law</w:t>
        </w:r>
      </w:hyperlink>
      <w:r w:rsidR="00EB6372">
        <w:rPr>
          <w:rFonts w:cs="Open Sans"/>
        </w:rPr>
        <w:t>&gt;</w:t>
      </w:r>
      <w:r w:rsidRPr="007B537E">
        <w:rPr>
          <w:rFonts w:cs="Open Sans"/>
        </w:rPr>
        <w:t>.</w:t>
      </w:r>
    </w:p>
  </w:endnote>
  <w:endnote w:id="159">
    <w:p w14:paraId="37C777FD" w14:textId="2B11C2E7" w:rsidR="007B537E" w:rsidRPr="0094505D" w:rsidRDefault="007B537E">
      <w:pPr>
        <w:pStyle w:val="EndnoteText"/>
        <w:rPr>
          <w:lang w:val="en-US"/>
        </w:rPr>
      </w:pPr>
      <w:r w:rsidRPr="00AE099E">
        <w:rPr>
          <w:rStyle w:val="EndnoteReference"/>
        </w:rPr>
        <w:endnoteRef/>
      </w:r>
      <w:r w:rsidRPr="00AE099E">
        <w:t xml:space="preserve"> </w:t>
      </w:r>
      <w:r w:rsidRPr="007B537E">
        <w:rPr>
          <w:rFonts w:cs="Open Sans"/>
        </w:rPr>
        <w:t xml:space="preserve">Human Rights and Equal Opportunity Commission, Submission 69 to the Senate Standing Committees on Legal and Constitutional Affairs, Parliament of Australia, </w:t>
      </w:r>
      <w:r w:rsidRPr="007B537E">
        <w:rPr>
          <w:rFonts w:cs="Open Sans"/>
          <w:i/>
        </w:rPr>
        <w:t xml:space="preserve">Inquiry into the Effectiveness of the Sex Discrimination Act 1984 (Cth) in Eliminating Discrimination and Promoting Gender Equality </w:t>
      </w:r>
      <w:r w:rsidRPr="007B537E">
        <w:rPr>
          <w:rFonts w:cs="Open Sans"/>
        </w:rPr>
        <w:t xml:space="preserve">(1 September 2008) 79-82 [190]-[199], 246-47 [735]-[739] </w:t>
      </w:r>
      <w:r w:rsidR="00EB6372">
        <w:rPr>
          <w:rFonts w:cs="Open Sans"/>
        </w:rPr>
        <w:t>&lt;</w:t>
      </w:r>
      <w:hyperlink r:id="rId44" w:history="1">
        <w:r w:rsidR="00EB6372" w:rsidRPr="001A7DEC">
          <w:rPr>
            <w:rStyle w:val="Hyperlink"/>
            <w:rFonts w:cs="Open Sans"/>
          </w:rPr>
          <w:t>https://humanrights.gov.au/our-work/legal/inquiry-effectiveness-sex-discrimination-act-1984-cth-eliminating-discrimination-and</w:t>
        </w:r>
      </w:hyperlink>
      <w:r w:rsidR="00EB6372">
        <w:rPr>
          <w:rFonts w:cs="Open Sans"/>
        </w:rPr>
        <w:t>&gt;</w:t>
      </w:r>
      <w:r w:rsidRPr="007B537E">
        <w:rPr>
          <w:rFonts w:cs="Open Sans"/>
        </w:rPr>
        <w:t>.</w:t>
      </w:r>
    </w:p>
  </w:endnote>
  <w:endnote w:id="160">
    <w:p w14:paraId="27EF4799" w14:textId="649DD13B" w:rsidR="007B537E" w:rsidRPr="000B35C9" w:rsidRDefault="007B537E" w:rsidP="000E46E6">
      <w:pPr>
        <w:pStyle w:val="EndnoteText"/>
        <w:rPr>
          <w:rFonts w:eastAsia="Times New Roman"/>
        </w:rPr>
      </w:pPr>
      <w:r w:rsidRPr="000B35C9">
        <w:rPr>
          <w:rStyle w:val="EndnoteReference"/>
          <w:rFonts w:cs="Open Sans"/>
        </w:rPr>
        <w:endnoteRef/>
      </w:r>
      <w:r w:rsidRPr="000B35C9">
        <w:t xml:space="preserve"> </w:t>
      </w:r>
      <w:r w:rsidRPr="007B537E">
        <w:t xml:space="preserve">Australian Human Rights Commission, </w:t>
      </w:r>
      <w:r w:rsidRPr="007B537E">
        <w:rPr>
          <w:i/>
        </w:rPr>
        <w:t xml:space="preserve">Willing to Work: National Inquiry into Employment Discrimination Against Older Australians and Australians with Disability </w:t>
      </w:r>
      <w:r w:rsidRPr="007B537E">
        <w:t xml:space="preserve">(Report, 2016) 333-334 </w:t>
      </w:r>
      <w:r w:rsidR="00EB6372">
        <w:t>&lt;</w:t>
      </w:r>
      <w:hyperlink r:id="rId45" w:history="1">
        <w:r w:rsidR="00EB6372" w:rsidRPr="001A7DEC">
          <w:rPr>
            <w:rStyle w:val="Hyperlink"/>
          </w:rPr>
          <w:t>https://humanrights.gov.au/sites/default/files/document/publication/WTW_2016_Full_Report_AHRC_ac.pdf</w:t>
        </w:r>
      </w:hyperlink>
      <w:r w:rsidR="00EB6372">
        <w:t>&gt;</w:t>
      </w:r>
      <w:r w:rsidRPr="007B537E">
        <w:t>.</w:t>
      </w:r>
      <w:r w:rsidRPr="000B35C9">
        <w:t xml:space="preserve"> </w:t>
      </w:r>
    </w:p>
  </w:endnote>
  <w:endnote w:id="161">
    <w:p w14:paraId="71DA604C" w14:textId="7C9EC794" w:rsidR="007B537E" w:rsidRPr="000B35C9" w:rsidRDefault="007B537E">
      <w:pPr>
        <w:pStyle w:val="EndnoteText"/>
        <w:rPr>
          <w:lang w:val="en-US"/>
        </w:rPr>
      </w:pPr>
      <w:r w:rsidRPr="000B35C9">
        <w:rPr>
          <w:rStyle w:val="EndnoteReference"/>
        </w:rPr>
        <w:endnoteRef/>
      </w:r>
      <w:r w:rsidRPr="000B35C9">
        <w:t xml:space="preserve"> </w:t>
      </w:r>
      <w:r w:rsidRPr="000B35C9">
        <w:rPr>
          <w:lang w:val="en-US"/>
        </w:rPr>
        <w:t xml:space="preserve">Australian Human Rights Commission, </w:t>
      </w:r>
      <w:r w:rsidRPr="000B35C9">
        <w:rPr>
          <w:i/>
          <w:iCs/>
          <w:lang w:val="en-US"/>
        </w:rPr>
        <w:t>Respect@Work: Sexual Harassment National Inquiry Report</w:t>
      </w:r>
      <w:r w:rsidRPr="000B35C9">
        <w:rPr>
          <w:lang w:val="en-US"/>
        </w:rPr>
        <w:t xml:space="preserve"> (2020) 470 &lt;</w:t>
      </w:r>
      <w:hyperlink r:id="rId46" w:history="1">
        <w:r w:rsidR="00EB6372" w:rsidRPr="001A7DEC">
          <w:rPr>
            <w:rStyle w:val="Hyperlink"/>
            <w:lang w:val="en-US"/>
          </w:rPr>
          <w:t>https://humanrights.gov.au/our-work/sex-discrimination/publications/respectwork-sexual-harassment-national-inquiry-report-2020</w:t>
        </w:r>
      </w:hyperlink>
      <w:r w:rsidR="00EB6372">
        <w:rPr>
          <w:lang w:val="en-US"/>
        </w:rPr>
        <w:t>&gt;.</w:t>
      </w:r>
    </w:p>
  </w:endnote>
  <w:endnote w:id="162">
    <w:p w14:paraId="202C55C5" w14:textId="14293A4A" w:rsidR="007B537E" w:rsidRPr="000B35C9" w:rsidRDefault="007B537E">
      <w:pPr>
        <w:pStyle w:val="EndnoteText"/>
        <w:rPr>
          <w:lang w:val="en-US"/>
        </w:rPr>
      </w:pPr>
      <w:r w:rsidRPr="000B35C9">
        <w:rPr>
          <w:rStyle w:val="EndnoteReference"/>
        </w:rPr>
        <w:endnoteRef/>
      </w:r>
      <w:r w:rsidRPr="000B35C9">
        <w:t xml:space="preserve"> </w:t>
      </w:r>
      <w:r w:rsidRPr="007B537E">
        <w:rPr>
          <w:i/>
          <w:iCs/>
        </w:rPr>
        <w:t>Equality Act 2010</w:t>
      </w:r>
      <w:r w:rsidRPr="007B537E">
        <w:t xml:space="preserve"> (UK), Part 11, Chapter 1, s 149.</w:t>
      </w:r>
    </w:p>
  </w:endnote>
  <w:endnote w:id="163">
    <w:p w14:paraId="2CB2A2FD" w14:textId="38AF8105" w:rsidR="007B537E" w:rsidRPr="000B35C9" w:rsidRDefault="007B537E" w:rsidP="00EF4D7B">
      <w:pPr>
        <w:pStyle w:val="EndnoteText"/>
        <w:rPr>
          <w:rFonts w:eastAsia="Times New Roman"/>
        </w:rPr>
      </w:pPr>
      <w:r w:rsidRPr="000B35C9">
        <w:rPr>
          <w:rStyle w:val="EndnoteReference"/>
          <w:rFonts w:cs="Open Sans"/>
        </w:rPr>
        <w:endnoteRef/>
      </w:r>
      <w:r w:rsidRPr="000B35C9">
        <w:rPr>
          <w:rFonts w:cs="Open Sans"/>
        </w:rPr>
        <w:t xml:space="preserve"> </w:t>
      </w:r>
      <w:r w:rsidRPr="007B537E">
        <w:t>Equality and Human Rights Commission, ‘Inquiries, Investigations and Wider Powers’ (Web Page, 27 January 2020)</w:t>
      </w:r>
      <w:r w:rsidR="00EB6372">
        <w:t xml:space="preserve"> &lt;</w:t>
      </w:r>
      <w:hyperlink r:id="rId47" w:history="1">
        <w:r w:rsidR="00EB6372" w:rsidRPr="001A7DEC">
          <w:rPr>
            <w:rStyle w:val="Hyperlink"/>
          </w:rPr>
          <w:t>https://www.equalityhumanrights.com/en/our-powers/inquiries-investigations-and-wider-powers</w:t>
        </w:r>
      </w:hyperlink>
      <w:r w:rsidR="00EB6372">
        <w:t>&gt;</w:t>
      </w:r>
      <w:r w:rsidRPr="007B537E">
        <w:t>.</w:t>
      </w:r>
    </w:p>
  </w:endnote>
  <w:endnote w:id="164">
    <w:p w14:paraId="7F4C589E" w14:textId="20EBD685" w:rsidR="007B537E" w:rsidRPr="000B35C9" w:rsidRDefault="007B537E" w:rsidP="001F4553">
      <w:pPr>
        <w:pStyle w:val="NormalWeb"/>
        <w:spacing w:before="0" w:after="0"/>
        <w:rPr>
          <w:rStyle w:val="EndnoteTextChar1"/>
          <w:sz w:val="20"/>
          <w:szCs w:val="20"/>
        </w:rPr>
      </w:pPr>
      <w:r w:rsidRPr="000B35C9">
        <w:rPr>
          <w:rStyle w:val="EndnoteReference"/>
          <w:rFonts w:cs="Open Sans"/>
          <w:szCs w:val="20"/>
        </w:rPr>
        <w:endnoteRef/>
      </w:r>
      <w:r w:rsidRPr="000B35C9">
        <w:rPr>
          <w:rFonts w:cs="Open Sans"/>
          <w:sz w:val="20"/>
          <w:szCs w:val="20"/>
        </w:rPr>
        <w:t xml:space="preserve"> </w:t>
      </w:r>
      <w:r w:rsidRPr="007B537E">
        <w:rPr>
          <w:rStyle w:val="EndnoteTextChar1"/>
          <w:sz w:val="20"/>
          <w:szCs w:val="20"/>
        </w:rPr>
        <w:t>Elizabeth Shi and Freeman Zhong, 'Addressing Sexual Harassment Law's Inadequacies in Altering Behaviour and Preventing Harm: A Structural Approach' (2020) 43(1)</w:t>
      </w:r>
      <w:r w:rsidRPr="007B537E">
        <w:rPr>
          <w:rStyle w:val="EndnoteTextChar1"/>
          <w:i/>
          <w:sz w:val="20"/>
          <w:szCs w:val="20"/>
        </w:rPr>
        <w:t xml:space="preserve"> UNSW Law Journal 155</w:t>
      </w:r>
      <w:r w:rsidRPr="007B537E">
        <w:rPr>
          <w:rStyle w:val="EndnoteTextChar1"/>
          <w:sz w:val="20"/>
          <w:szCs w:val="20"/>
        </w:rPr>
        <w:t xml:space="preserve">, 174 </w:t>
      </w:r>
      <w:r w:rsidR="00EB6372">
        <w:rPr>
          <w:rStyle w:val="EndnoteTextChar1"/>
          <w:sz w:val="20"/>
          <w:szCs w:val="20"/>
        </w:rPr>
        <w:t>&lt;</w:t>
      </w:r>
      <w:hyperlink r:id="rId48" w:anchor="disp9" w:history="1">
        <w:r w:rsidR="00EB6372" w:rsidRPr="001A7DEC">
          <w:rPr>
            <w:rStyle w:val="Hyperlink"/>
            <w:sz w:val="20"/>
            <w:szCs w:val="20"/>
          </w:rPr>
          <w:t>http://classic.austlii.edu.au/cgi-bin/sinodisp/au/journals/UNSWLawJl/2020/6.html?stem=0&amp;synonyms=0&amp;query=vic%20consol_act%20eoa2010250%20s15#disp9</w:t>
        </w:r>
      </w:hyperlink>
      <w:r w:rsidR="00EB6372">
        <w:rPr>
          <w:rStyle w:val="EndnoteTextChar1"/>
          <w:sz w:val="20"/>
          <w:szCs w:val="20"/>
        </w:rPr>
        <w:t>&gt;</w:t>
      </w:r>
      <w:r w:rsidRPr="007B537E">
        <w:rPr>
          <w:rStyle w:val="EndnoteTextChar1"/>
          <w:sz w:val="20"/>
          <w:szCs w:val="20"/>
        </w:rPr>
        <w:t>.</w:t>
      </w:r>
    </w:p>
  </w:endnote>
  <w:endnote w:id="165">
    <w:p w14:paraId="5C23A1DE" w14:textId="5847689F" w:rsidR="007B537E" w:rsidRPr="000B35C9" w:rsidRDefault="007B537E" w:rsidP="00F27049">
      <w:pPr>
        <w:pStyle w:val="EndnoteText"/>
        <w:rPr>
          <w:lang w:eastAsia="en-US"/>
        </w:rPr>
      </w:pPr>
      <w:r w:rsidRPr="000B35C9">
        <w:rPr>
          <w:rStyle w:val="EndnoteReference"/>
          <w:rFonts w:cs="Open Sans"/>
        </w:rPr>
        <w:endnoteRef/>
      </w:r>
      <w:r w:rsidRPr="000B35C9">
        <w:rPr>
          <w:rFonts w:eastAsia="Times New Roman" w:cs="Open Sans"/>
          <w:lang w:eastAsia="en-US"/>
        </w:rPr>
        <w:t xml:space="preserve"> </w:t>
      </w:r>
      <w:r w:rsidRPr="007B537E">
        <w:rPr>
          <w:lang w:eastAsia="en-US"/>
        </w:rPr>
        <w:t xml:space="preserve">Elizabeth Shi and Freeman Zhong, 'Addressing Sexual Harassment Law's Inadequacies in Altering Behaviour and Preventing Harm: A Structural Approach' (2020) 43(1) </w:t>
      </w:r>
      <w:r w:rsidRPr="007B537E">
        <w:rPr>
          <w:i/>
          <w:lang w:eastAsia="en-US"/>
        </w:rPr>
        <w:t>UNSW Law Journal</w:t>
      </w:r>
      <w:r w:rsidRPr="007B537E">
        <w:rPr>
          <w:lang w:eastAsia="en-US"/>
        </w:rPr>
        <w:t xml:space="preserve"> 155, 174 </w:t>
      </w:r>
      <w:r w:rsidR="00EB6372">
        <w:rPr>
          <w:lang w:eastAsia="en-US"/>
        </w:rPr>
        <w:t>&lt;</w:t>
      </w:r>
      <w:hyperlink r:id="rId49" w:anchor="disp9" w:history="1">
        <w:r w:rsidR="00EB6372" w:rsidRPr="001A7DEC">
          <w:rPr>
            <w:rStyle w:val="Hyperlink"/>
          </w:rPr>
          <w:t>http://classic.austlii.edu.au/cgi-bin/sinodisp/au/journals/UNSWLawJl/2020/6.html?stem=0&amp;synonyms=0&amp;query=vic%20consol_act%20eoa2010250%20s15#disp9</w:t>
        </w:r>
      </w:hyperlink>
      <w:r w:rsidR="00EB6372">
        <w:t>&gt;</w:t>
      </w:r>
      <w:r w:rsidRPr="007B537E">
        <w:rPr>
          <w:lang w:eastAsia="en-US"/>
        </w:rPr>
        <w:t>.</w:t>
      </w:r>
    </w:p>
  </w:endnote>
  <w:endnote w:id="166">
    <w:p w14:paraId="5E05B94F" w14:textId="07AA86C3" w:rsidR="007B537E" w:rsidRPr="000B35C9" w:rsidRDefault="007B537E" w:rsidP="00275222">
      <w:pPr>
        <w:pStyle w:val="EndnoteText"/>
        <w:rPr>
          <w:rFonts w:eastAsia="Times New Roman"/>
        </w:rPr>
      </w:pPr>
      <w:r w:rsidRPr="000B35C9">
        <w:rPr>
          <w:rStyle w:val="EndnoteReference"/>
          <w:rFonts w:cs="Open Sans"/>
        </w:rPr>
        <w:endnoteRef/>
      </w:r>
      <w:r w:rsidRPr="000B35C9">
        <w:rPr>
          <w:rFonts w:cs="Open Sans"/>
        </w:rPr>
        <w:t xml:space="preserve"> </w:t>
      </w:r>
      <w:r w:rsidRPr="007B537E">
        <w:t xml:space="preserve">Victoria Legal Aid, Submission to the Australian Human Rights Commission, </w:t>
      </w:r>
      <w:r w:rsidRPr="007B537E">
        <w:rPr>
          <w:i/>
        </w:rPr>
        <w:t>National Inquiry into Sexual Harassment in Australian Workplaces</w:t>
      </w:r>
      <w:r w:rsidRPr="007B537E">
        <w:t xml:space="preserve"> (28 February 2019) 25-27 </w:t>
      </w:r>
      <w:r w:rsidR="00EB6372">
        <w:t>&lt;</w:t>
      </w:r>
      <w:hyperlink r:id="rId50" w:history="1">
        <w:r w:rsidR="00EB6372" w:rsidRPr="001A7DEC">
          <w:rPr>
            <w:rStyle w:val="Hyperlink"/>
            <w:rFonts w:cs="Open Sans"/>
          </w:rPr>
          <w:t>https://www.legalaid.vic.gov.au/sites/www.legalaid.vic.gov.au/files/vla-submission-ahrc-national-inquiry-sexual-harassment-at-work.pdf</w:t>
        </w:r>
      </w:hyperlink>
      <w:r w:rsidR="00EB6372">
        <w:rPr>
          <w:rFonts w:cs="Open Sans"/>
        </w:rPr>
        <w:t>&gt;</w:t>
      </w:r>
      <w:r w:rsidRPr="007B537E">
        <w:t>.</w:t>
      </w:r>
    </w:p>
  </w:endnote>
  <w:endnote w:id="167">
    <w:p w14:paraId="76EE537E" w14:textId="6DB95599" w:rsidR="007B537E" w:rsidRPr="006A3A85" w:rsidRDefault="007B537E">
      <w:pPr>
        <w:pStyle w:val="EndnoteText"/>
      </w:pPr>
      <w:r w:rsidRPr="000B35C9">
        <w:rPr>
          <w:rStyle w:val="EndnoteReference"/>
        </w:rPr>
        <w:endnoteRef/>
      </w:r>
      <w:r w:rsidRPr="000B35C9">
        <w:t xml:space="preserve"> </w:t>
      </w:r>
      <w:r w:rsidRPr="007B537E">
        <w:t xml:space="preserve">CRPD Committee, </w:t>
      </w:r>
      <w:r w:rsidRPr="007B537E">
        <w:rPr>
          <w:i/>
        </w:rPr>
        <w:t>General Comment No. 6 (2018) on equality and non-</w:t>
      </w:r>
      <w:r w:rsidRPr="007B537E">
        <w:rPr>
          <w:i/>
          <w:iCs/>
        </w:rPr>
        <w:t xml:space="preserve">discrimination, </w:t>
      </w:r>
      <w:r w:rsidRPr="007B537E">
        <w:t xml:space="preserve">UN Doc </w:t>
      </w:r>
      <w:r w:rsidRPr="006A3A85">
        <w:t>CRPD/C/GC/6 (26 April 2018) [31].</w:t>
      </w:r>
    </w:p>
  </w:endnote>
  <w:endnote w:id="168">
    <w:p w14:paraId="47101930" w14:textId="375D136C" w:rsidR="00E961B9" w:rsidRPr="00E961B9" w:rsidRDefault="00E961B9">
      <w:pPr>
        <w:pStyle w:val="EndnoteText"/>
        <w:rPr>
          <w:lang w:val="en-US"/>
        </w:rPr>
      </w:pPr>
      <w:r>
        <w:rPr>
          <w:rStyle w:val="EndnoteReference"/>
        </w:rPr>
        <w:endnoteRef/>
      </w:r>
      <w:r>
        <w:t xml:space="preserve"> </w:t>
      </w:r>
      <w:r w:rsidRPr="006A3A85">
        <w:t xml:space="preserve">Australian Government, Attorney-General's Department, </w:t>
      </w:r>
      <w:r w:rsidRPr="006A3A85">
        <w:rPr>
          <w:i/>
          <w:iCs/>
        </w:rPr>
        <w:t>Consolidation</w:t>
      </w:r>
      <w:r w:rsidRPr="006A3A85">
        <w:rPr>
          <w:i/>
        </w:rPr>
        <w:t xml:space="preserve"> of Commonwealth Anti-Discrimination </w:t>
      </w:r>
      <w:r w:rsidRPr="006A3A85">
        <w:rPr>
          <w:i/>
          <w:iCs/>
        </w:rPr>
        <w:t>Laws</w:t>
      </w:r>
      <w:r w:rsidRPr="006A3A85">
        <w:t xml:space="preserve"> (Discussion Paper, September 2011) 10 [27] &lt;</w:t>
      </w:r>
      <w:hyperlink r:id="rId51" w:history="1">
        <w:r w:rsidRPr="006A3A85">
          <w:rPr>
            <w:rStyle w:val="Hyperlink"/>
          </w:rPr>
          <w:t>https://www.ag.gov.au/sites/default/files/2020-03/Consolidation%20of%20Commonwealth%20Anti-Discrimination%20Laws.pdf</w:t>
        </w:r>
      </w:hyperlink>
      <w:r w:rsidRPr="006A3A85">
        <w:t>&gt;</w:t>
      </w:r>
      <w:r>
        <w:t>.</w:t>
      </w:r>
    </w:p>
  </w:endnote>
  <w:endnote w:id="169">
    <w:p w14:paraId="4A5B919B" w14:textId="6A6F938A" w:rsidR="007B537E" w:rsidRPr="000B35C9" w:rsidRDefault="007B537E" w:rsidP="00170E8A">
      <w:pPr>
        <w:pStyle w:val="EndnoteText"/>
        <w:rPr>
          <w:lang w:val="en-US"/>
        </w:rPr>
      </w:pPr>
      <w:r w:rsidRPr="000B35C9">
        <w:rPr>
          <w:rStyle w:val="EndnoteReference"/>
        </w:rPr>
        <w:endnoteRef/>
      </w:r>
      <w:r w:rsidRPr="000B35C9">
        <w:t xml:space="preserve"> </w:t>
      </w:r>
      <w:r w:rsidRPr="007B537E">
        <w:t xml:space="preserve">NSW Law Reform Commission, </w:t>
      </w:r>
      <w:r w:rsidRPr="007B537E">
        <w:rPr>
          <w:i/>
          <w:iCs/>
        </w:rPr>
        <w:t xml:space="preserve">Review of the Anti-Discrimination Act 1977 (NSW), </w:t>
      </w:r>
      <w:r w:rsidRPr="007B537E">
        <w:t xml:space="preserve">(Report No 92, November 1999) [3.31]-[3.34], [3.51]-[3.52] </w:t>
      </w:r>
      <w:r w:rsidR="00EB6372">
        <w:t>&lt;</w:t>
      </w:r>
      <w:hyperlink r:id="rId52" w:history="1">
        <w:r w:rsidR="00EB6372" w:rsidRPr="001A7DEC">
          <w:rPr>
            <w:rStyle w:val="Hyperlink"/>
          </w:rPr>
          <w:t>https://www.lawreform.justice.nsw.gov.au/Documents/Publications/Reports/Report-92.pdf</w:t>
        </w:r>
      </w:hyperlink>
      <w:r w:rsidR="00EB6372">
        <w:t>&gt;</w:t>
      </w:r>
      <w:r w:rsidRPr="007B537E">
        <w:t>.</w:t>
      </w:r>
    </w:p>
  </w:endnote>
  <w:endnote w:id="170">
    <w:p w14:paraId="7F5ADF84" w14:textId="2FF9D73D" w:rsidR="007B537E" w:rsidRPr="000B35C9" w:rsidRDefault="007B537E" w:rsidP="007F764E">
      <w:pPr>
        <w:pStyle w:val="EndnoteText"/>
        <w:rPr>
          <w:rFonts w:eastAsia="Times New Roman"/>
        </w:rPr>
      </w:pPr>
      <w:r w:rsidRPr="000B35C9">
        <w:rPr>
          <w:rStyle w:val="EndnoteReference"/>
        </w:rPr>
        <w:endnoteRef/>
      </w:r>
      <w:r w:rsidRPr="000B35C9">
        <w:t xml:space="preserve"> </w:t>
      </w:r>
      <w:r w:rsidRPr="007B537E">
        <w:t xml:space="preserve">Australian Government, Productivity Commission, </w:t>
      </w:r>
      <w:r w:rsidRPr="007B537E">
        <w:rPr>
          <w:i/>
        </w:rPr>
        <w:t>Review of the Disability Discrimination Act 1992</w:t>
      </w:r>
      <w:r w:rsidRPr="007B537E">
        <w:t xml:space="preserve"> (Report No 30, 30 April 2004) 305-312 </w:t>
      </w:r>
      <w:r w:rsidR="00EB6372">
        <w:t>&lt;</w:t>
      </w:r>
      <w:hyperlink r:id="rId53" w:history="1">
        <w:r w:rsidR="00EB6372" w:rsidRPr="001A7DEC">
          <w:rPr>
            <w:rStyle w:val="Hyperlink"/>
          </w:rPr>
          <w:t>https://www.pc.gov.au/inquiries/completed/disability-discrimination/report/disability-discrimination.pdf</w:t>
        </w:r>
      </w:hyperlink>
      <w:r w:rsidR="00EB6372">
        <w:t>&gt;</w:t>
      </w:r>
      <w:r w:rsidRPr="007B537E">
        <w:t>.</w:t>
      </w:r>
    </w:p>
  </w:endnote>
  <w:endnote w:id="171">
    <w:p w14:paraId="070B7F00" w14:textId="72F4249C" w:rsidR="007B537E" w:rsidRPr="0028571A" w:rsidRDefault="007B537E" w:rsidP="0028571A">
      <w:pPr>
        <w:pStyle w:val="EndnoteText"/>
      </w:pPr>
      <w:r w:rsidRPr="000B35C9">
        <w:rPr>
          <w:rStyle w:val="EndnoteReference"/>
        </w:rPr>
        <w:endnoteRef/>
      </w:r>
      <w:r w:rsidRPr="000B35C9">
        <w:t xml:space="preserve"> </w:t>
      </w:r>
      <w:r w:rsidRPr="007B537E">
        <w:rPr>
          <w:rFonts w:cs="Open Sans"/>
        </w:rPr>
        <w:t xml:space="preserve">Human Rights and Equal Opportunity Commission, Submission 69 to the Senate Standing Committees on Legal and Constitutional Affairs, Parliament of Australia, </w:t>
      </w:r>
      <w:r w:rsidRPr="007B537E">
        <w:rPr>
          <w:rFonts w:cs="Open Sans"/>
          <w:i/>
        </w:rPr>
        <w:t xml:space="preserve">Inquiry into the Effectiveness of the Sex Discrimination Act 1984 (Cth) in Eliminating Discrimination and Promoting Gender Equality </w:t>
      </w:r>
      <w:r w:rsidRPr="007B537E">
        <w:rPr>
          <w:rFonts w:cs="Open Sans"/>
        </w:rPr>
        <w:t xml:space="preserve">(1 September 2008) [119-144] </w:t>
      </w:r>
      <w:r w:rsidR="00EB6372">
        <w:rPr>
          <w:rFonts w:cs="Open Sans"/>
        </w:rPr>
        <w:t>&lt;</w:t>
      </w:r>
      <w:hyperlink r:id="rId54" w:history="1">
        <w:r w:rsidR="00EB6372" w:rsidRPr="001A7DEC">
          <w:rPr>
            <w:rStyle w:val="Hyperlink"/>
            <w:rFonts w:cs="Open Sans"/>
          </w:rPr>
          <w:t>https://humanrights.gov.au/our-work/legal/inquiry-effectiveness-sex-discrimination-act-1984-cth-eliminating-discrimination-and</w:t>
        </w:r>
      </w:hyperlink>
      <w:r w:rsidR="00EB6372">
        <w:rPr>
          <w:rFonts w:cs="Open Sans"/>
        </w:rPr>
        <w:t>&gt;</w:t>
      </w:r>
      <w:r w:rsidRPr="007B537E">
        <w:rPr>
          <w:rFonts w:cs="Open Sans"/>
        </w:rPr>
        <w:t>.</w:t>
      </w:r>
    </w:p>
  </w:endnote>
  <w:endnote w:id="172">
    <w:p w14:paraId="69DB4738" w14:textId="58AFF0B8" w:rsidR="007B537E" w:rsidRPr="000B35C9" w:rsidRDefault="007B537E">
      <w:pPr>
        <w:pStyle w:val="EndnoteText"/>
        <w:rPr>
          <w:lang w:val="en-US"/>
        </w:rPr>
      </w:pPr>
      <w:r w:rsidRPr="000B35C9">
        <w:rPr>
          <w:rStyle w:val="EndnoteReference"/>
        </w:rPr>
        <w:endnoteRef/>
      </w:r>
      <w:r w:rsidRPr="000B35C9">
        <w:t xml:space="preserve"> </w:t>
      </w:r>
      <w:r w:rsidRPr="007B537E">
        <w:t xml:space="preserve">Australian Government, Attorney-General's Department, </w:t>
      </w:r>
      <w:r w:rsidRPr="007B537E">
        <w:rPr>
          <w:i/>
          <w:iCs/>
        </w:rPr>
        <w:t>Consolidation of Commonwealth Anti-Discrimination Laws</w:t>
      </w:r>
      <w:r w:rsidRPr="007B537E">
        <w:t xml:space="preserve"> (Discussion Paper, September 2011) 10 [27] </w:t>
      </w:r>
      <w:r w:rsidR="00EB6372">
        <w:t>&lt;</w:t>
      </w:r>
      <w:hyperlink r:id="rId55" w:history="1">
        <w:r w:rsidR="00EB6372" w:rsidRPr="001A7DEC">
          <w:rPr>
            <w:rStyle w:val="Hyperlink"/>
          </w:rPr>
          <w:t>https://www.ag.gov.au/sites/default/files/2020-03/Consolidation%20of%20Commonwealth%20Anti-Discrimination%20Laws.pdf</w:t>
        </w:r>
      </w:hyperlink>
      <w:r w:rsidR="00EB6372">
        <w:t>&gt;</w:t>
      </w:r>
      <w:r w:rsidRPr="007B537E">
        <w:t>.</w:t>
      </w:r>
    </w:p>
  </w:endnote>
  <w:endnote w:id="173">
    <w:p w14:paraId="5DEEFE40" w14:textId="2793FF8E" w:rsidR="007B537E" w:rsidRPr="000B35C9" w:rsidRDefault="007B537E" w:rsidP="00EA2D0D">
      <w:pPr>
        <w:pStyle w:val="EndnoteText"/>
        <w:rPr>
          <w:rFonts w:ascii="Arial" w:eastAsia="Times New Roman" w:hAnsi="Arial" w:cs="Arial"/>
        </w:rPr>
      </w:pPr>
      <w:r w:rsidRPr="000B35C9">
        <w:rPr>
          <w:rStyle w:val="EndnoteReference"/>
          <w:rFonts w:cs="Open Sans"/>
        </w:rPr>
        <w:endnoteRef/>
      </w:r>
      <w:r w:rsidRPr="000B35C9">
        <w:rPr>
          <w:rFonts w:cs="Open Sans"/>
        </w:rPr>
        <w:t xml:space="preserve"> </w:t>
      </w:r>
      <w:r w:rsidRPr="007B537E">
        <w:t xml:space="preserve">See, for example, </w:t>
      </w:r>
      <w:r w:rsidRPr="007B537E">
        <w:rPr>
          <w:i/>
          <w:iCs/>
        </w:rPr>
        <w:t xml:space="preserve">Equal Opportunity Act 2010 </w:t>
      </w:r>
      <w:r w:rsidRPr="007B537E">
        <w:t xml:space="preserve">(Vic) s 8; </w:t>
      </w:r>
      <w:r w:rsidRPr="007B537E">
        <w:rPr>
          <w:i/>
          <w:iCs/>
        </w:rPr>
        <w:t xml:space="preserve">Discrimination Act 1991 </w:t>
      </w:r>
      <w:r w:rsidRPr="007B537E">
        <w:t>(ACT) s 8(2). See also Australian Government, Productivity Commission,</w:t>
      </w:r>
      <w:r w:rsidRPr="007B537E">
        <w:rPr>
          <w:i/>
        </w:rPr>
        <w:t xml:space="preserve"> Review of the Disability Discrimination Act 1992</w:t>
      </w:r>
      <w:r w:rsidRPr="007B537E">
        <w:t xml:space="preserve"> (Report No 30, 30 April 2004), 305-306 </w:t>
      </w:r>
      <w:r w:rsidR="00EB6372">
        <w:t>&lt;</w:t>
      </w:r>
      <w:hyperlink r:id="rId56" w:history="1">
        <w:r w:rsidR="00EB6372" w:rsidRPr="001A7DEC">
          <w:rPr>
            <w:rStyle w:val="Hyperlink"/>
            <w:rFonts w:cs="Open Sans"/>
          </w:rPr>
          <w:t>https://www.pc.gov.au/inquiries/completed/disability-discrimination/report/disability-discrimination.pdf</w:t>
        </w:r>
      </w:hyperlink>
      <w:r w:rsidR="00EB6372">
        <w:rPr>
          <w:rFonts w:cs="Open Sans"/>
        </w:rPr>
        <w:t>&gt;</w:t>
      </w:r>
      <w:r w:rsidR="00EB6372">
        <w:t xml:space="preserve"> </w:t>
      </w:r>
      <w:r w:rsidRPr="007B537E">
        <w:t>.</w:t>
      </w:r>
    </w:p>
  </w:endnote>
  <w:endnote w:id="174">
    <w:p w14:paraId="79206822" w14:textId="27392B1D" w:rsidR="007B537E" w:rsidRPr="000B35C9" w:rsidRDefault="007B537E">
      <w:pPr>
        <w:pStyle w:val="EndnoteText"/>
        <w:rPr>
          <w:lang w:val="en-US"/>
        </w:rPr>
      </w:pPr>
      <w:r w:rsidRPr="000B35C9">
        <w:rPr>
          <w:rStyle w:val="EndnoteReference"/>
        </w:rPr>
        <w:endnoteRef/>
      </w:r>
      <w:r w:rsidRPr="000B35C9">
        <w:t xml:space="preserve"> </w:t>
      </w:r>
      <w:r w:rsidRPr="007B537E">
        <w:t xml:space="preserve">The Senate Legal and Constitutional Affairs Legislation Committee, ‘Exposure Draft of the Human Rights and Anti-Discrimination Bill 2012’ (21 February 2013) </w:t>
      </w:r>
      <w:r w:rsidR="00EB6372">
        <w:t>&lt;</w:t>
      </w:r>
      <w:hyperlink r:id="rId57" w:history="1">
        <w:r w:rsidR="00EB6372" w:rsidRPr="001A7DEC">
          <w:rPr>
            <w:rStyle w:val="Hyperlink"/>
          </w:rPr>
          <w:t>https://www.aph.gov.au/Parliamentary_Business/Committees/Senate/Legal_and_Constitutional_Affairs/Completed_inquiries/2010-13/antidiscrimination2012/report/index</w:t>
        </w:r>
      </w:hyperlink>
      <w:r w:rsidR="00EB6372">
        <w:t>&gt;</w:t>
      </w:r>
      <w:r w:rsidRPr="007B537E">
        <w:t>.</w:t>
      </w:r>
    </w:p>
  </w:endnote>
  <w:endnote w:id="175">
    <w:p w14:paraId="75127484" w14:textId="480515EB" w:rsidR="007B537E" w:rsidRPr="000B35C9" w:rsidRDefault="007B537E" w:rsidP="00471CF0">
      <w:pPr>
        <w:pStyle w:val="EndnoteText"/>
        <w:rPr>
          <w:rFonts w:eastAsia="Times New Roman"/>
        </w:rPr>
      </w:pPr>
      <w:r w:rsidRPr="000B35C9">
        <w:rPr>
          <w:rStyle w:val="EndnoteReference"/>
          <w:rFonts w:cs="Open Sans"/>
        </w:rPr>
        <w:endnoteRef/>
      </w:r>
      <w:r w:rsidRPr="000B35C9">
        <w:t xml:space="preserve"> </w:t>
      </w:r>
      <w:r w:rsidRPr="007B537E">
        <w:t xml:space="preserve">Australian Human Rights Commission, </w:t>
      </w:r>
      <w:r w:rsidRPr="007B537E">
        <w:rPr>
          <w:i/>
        </w:rPr>
        <w:t xml:space="preserve">Willing to Work: National Inquiry into Employment Discrimination Against Older Australians and Australians with Disability </w:t>
      </w:r>
      <w:r w:rsidRPr="007B537E">
        <w:t xml:space="preserve">(Report, 2016) 338 </w:t>
      </w:r>
      <w:r w:rsidR="00EB6372">
        <w:t>&lt;</w:t>
      </w:r>
      <w:hyperlink r:id="rId58" w:history="1">
        <w:r w:rsidR="00EB6372" w:rsidRPr="001A7DEC">
          <w:rPr>
            <w:rStyle w:val="Hyperlink"/>
          </w:rPr>
          <w:t>https://humanrights.gov.au/sites/default/files/document/publication/WTW_2016_Full_Report_AHRC_ac.pdf</w:t>
        </w:r>
      </w:hyperlink>
      <w:r w:rsidR="00EB6372">
        <w:t>&gt;</w:t>
      </w:r>
      <w:r w:rsidRPr="007B537E">
        <w:t>.</w:t>
      </w:r>
    </w:p>
  </w:endnote>
  <w:endnote w:id="176">
    <w:p w14:paraId="600CD154" w14:textId="0F5E32E6" w:rsidR="007B537E" w:rsidRPr="0074469F" w:rsidRDefault="007B537E" w:rsidP="00DF541A">
      <w:pPr>
        <w:pStyle w:val="EndnoteText"/>
        <w:rPr>
          <w:rFonts w:eastAsia="Times New Roman"/>
        </w:rPr>
      </w:pPr>
      <w:r w:rsidRPr="000B35C9">
        <w:rPr>
          <w:rStyle w:val="EndnoteReference"/>
          <w:rFonts w:cs="Open Sans"/>
        </w:rPr>
        <w:endnoteRef/>
      </w:r>
      <w:r w:rsidRPr="000B35C9">
        <w:t xml:space="preserve"> </w:t>
      </w:r>
      <w:r w:rsidRPr="007B537E">
        <w:t xml:space="preserve">Australian Human Rights Commission, 'Free and Equal: An Australian Conversation on Human Rights - Priorities for federal discrimination law reform' (Discussion Paper, October 2019) 6 </w:t>
      </w:r>
      <w:r w:rsidR="00EB6372">
        <w:t>&lt;</w:t>
      </w:r>
      <w:hyperlink r:id="rId59" w:history="1">
        <w:r w:rsidR="00EB6372" w:rsidRPr="001A7DEC">
          <w:rPr>
            <w:rStyle w:val="Hyperlink"/>
          </w:rPr>
          <w:t>https://humanrights.gov.au/sites/default/files/document/publication/ahrc_discrimination_law_reform_2019.pdf</w:t>
        </w:r>
      </w:hyperlink>
      <w:r w:rsidR="00EB6372">
        <w:t>&gt;</w:t>
      </w:r>
      <w:r w:rsidRPr="007B537E">
        <w:t>.</w:t>
      </w:r>
    </w:p>
  </w:endnote>
  <w:endnote w:id="177">
    <w:p w14:paraId="10B58FA8" w14:textId="545DBA3C" w:rsidR="007B537E" w:rsidRPr="000B35C9" w:rsidRDefault="007B537E">
      <w:pPr>
        <w:pStyle w:val="EndnoteText"/>
      </w:pPr>
      <w:r w:rsidRPr="007B537E">
        <w:rPr>
          <w:rStyle w:val="EndnoteReference"/>
        </w:rPr>
        <w:endnoteRef/>
      </w:r>
      <w:r w:rsidRPr="007B537E">
        <w:t xml:space="preserve"> </w:t>
      </w:r>
      <w:r w:rsidRPr="009D0C10">
        <w:rPr>
          <w:lang w:val="en-US"/>
        </w:rPr>
        <w:t>Austr</w:t>
      </w:r>
      <w:r w:rsidRPr="00E877C1">
        <w:rPr>
          <w:lang w:val="en-US"/>
        </w:rPr>
        <w:t>a</w:t>
      </w:r>
      <w:r w:rsidRPr="005F0B0A">
        <w:rPr>
          <w:lang w:val="en-US"/>
        </w:rPr>
        <w:t xml:space="preserve">lian Human Rights Commission, </w:t>
      </w:r>
      <w:r w:rsidRPr="007B537E">
        <w:rPr>
          <w:lang w:val="en-US"/>
        </w:rPr>
        <w:t>Submission</w:t>
      </w:r>
      <w:r w:rsidRPr="007B537E">
        <w:rPr>
          <w:i/>
          <w:lang w:val="en-US"/>
        </w:rPr>
        <w:t xml:space="preserve"> </w:t>
      </w:r>
      <w:r w:rsidRPr="007B537E">
        <w:rPr>
          <w:lang w:val="en-US"/>
        </w:rPr>
        <w:t>to Attorney-General’s Review and Consolidation of Discrimination law  (6 December 2011) 25 &lt;</w:t>
      </w:r>
      <w:hyperlink r:id="rId60" w:anchor="Heading298" w:history="1">
        <w:r w:rsidRPr="000B35C9">
          <w:rPr>
            <w:rStyle w:val="Hyperlink"/>
            <w:lang w:val="en-US"/>
          </w:rPr>
          <w:t>https://humanrights.gov.au/our-work/legal/consolidation-commonwealth-discrimination-law#Heading298</w:t>
        </w:r>
      </w:hyperlink>
      <w:r w:rsidRPr="000B35C9">
        <w:rPr>
          <w:lang w:val="en-US"/>
        </w:rPr>
        <w:t xml:space="preserve">&gt;. </w:t>
      </w:r>
    </w:p>
  </w:endnote>
  <w:endnote w:id="178">
    <w:p w14:paraId="3C2858A2" w14:textId="51D98D25" w:rsidR="006744B1" w:rsidRPr="006744B1" w:rsidRDefault="006744B1">
      <w:pPr>
        <w:pStyle w:val="EndnoteText"/>
        <w:rPr>
          <w:lang w:val="en-US"/>
        </w:rPr>
      </w:pPr>
      <w:r>
        <w:rPr>
          <w:rStyle w:val="EndnoteReference"/>
        </w:rPr>
        <w:endnoteRef/>
      </w:r>
      <w:r>
        <w:t xml:space="preserve"> </w:t>
      </w:r>
      <w:r w:rsidRPr="00436661">
        <w:rPr>
          <w:rFonts w:cs="Open Sans"/>
          <w:i/>
        </w:rPr>
        <w:t>Equality Act 2010</w:t>
      </w:r>
      <w:r w:rsidRPr="00436661">
        <w:rPr>
          <w:rFonts w:cs="Open Sans"/>
        </w:rPr>
        <w:t xml:space="preserve"> (UK) s 14(1).</w:t>
      </w:r>
    </w:p>
  </w:endnote>
  <w:endnote w:id="179">
    <w:p w14:paraId="257359AF" w14:textId="79076C25" w:rsidR="007B537E" w:rsidRPr="000B35C9" w:rsidRDefault="007B537E" w:rsidP="00106D8B">
      <w:pPr>
        <w:pStyle w:val="EndnoteText"/>
        <w:rPr>
          <w:lang w:val="en-US"/>
        </w:rPr>
      </w:pPr>
      <w:r w:rsidRPr="000B35C9">
        <w:rPr>
          <w:rStyle w:val="EndnoteReference"/>
          <w:rFonts w:cs="Open Sans"/>
        </w:rPr>
        <w:endnoteRef/>
      </w:r>
      <w:r w:rsidRPr="000B35C9">
        <w:rPr>
          <w:rFonts w:cs="Open Sans"/>
        </w:rPr>
        <w:t xml:space="preserve"> </w:t>
      </w:r>
      <w:r w:rsidRPr="007B537E">
        <w:t xml:space="preserve">The Senate Legal and Constitutional Affairs Legislation Committee, ‘Exposure Draft of the Human Rights and Anti-Discrimination Bill 2012’ (21 February 2013) 11 [2.12] </w:t>
      </w:r>
      <w:r w:rsidR="006744B1">
        <w:t>&lt;</w:t>
      </w:r>
      <w:hyperlink r:id="rId61" w:history="1">
        <w:r w:rsidR="006744B1" w:rsidRPr="001A7DEC">
          <w:rPr>
            <w:rStyle w:val="Hyperlink"/>
          </w:rPr>
          <w:t>https://www.aph.gov.au/Parliamentary_Business/Committees/Senate/Legal_and_Constitutional_Affairs/Completed_inquiries/2010-13/antidiscrimination2012/report/index</w:t>
        </w:r>
      </w:hyperlink>
      <w:r w:rsidR="006744B1">
        <w:t>&gt;</w:t>
      </w:r>
      <w:r w:rsidRPr="007B537E">
        <w:t>.</w:t>
      </w:r>
    </w:p>
  </w:endnote>
  <w:endnote w:id="180">
    <w:p w14:paraId="0359BF29" w14:textId="4B08D9F8" w:rsidR="007B537E" w:rsidRPr="000B35C9" w:rsidRDefault="007B537E">
      <w:pPr>
        <w:pStyle w:val="EndnoteText"/>
      </w:pPr>
      <w:r w:rsidRPr="000B35C9">
        <w:rPr>
          <w:rStyle w:val="EndnoteReference"/>
        </w:rPr>
        <w:endnoteRef/>
      </w:r>
      <w:r w:rsidRPr="000B35C9">
        <w:t xml:space="preserve"> </w:t>
      </w:r>
      <w:r w:rsidRPr="007B537E">
        <w:rPr>
          <w:i/>
        </w:rPr>
        <w:t>Sklavos v Australasian College of Dermatologists</w:t>
      </w:r>
      <w:r w:rsidRPr="007B537E">
        <w:t xml:space="preserve"> </w:t>
      </w:r>
      <w:r w:rsidRPr="000B35C9">
        <w:rPr>
          <w:rFonts w:eastAsia="Times New Roman" w:cs="Open Sans"/>
        </w:rPr>
        <w:t>(2017) 256 FCR 247</w:t>
      </w:r>
      <w:r w:rsidRPr="007B537E">
        <w:t>.</w:t>
      </w:r>
    </w:p>
  </w:endnote>
  <w:endnote w:id="181">
    <w:p w14:paraId="60395F02" w14:textId="6A900917" w:rsidR="007B537E" w:rsidRPr="000B35C9" w:rsidRDefault="007B537E" w:rsidP="00F014AB">
      <w:pPr>
        <w:pStyle w:val="EndnoteText"/>
        <w:rPr>
          <w:rFonts w:eastAsia="Times New Roman"/>
        </w:rPr>
      </w:pPr>
      <w:r w:rsidRPr="000B35C9">
        <w:rPr>
          <w:rStyle w:val="EndnoteReference"/>
          <w:rFonts w:cs="Open Sans"/>
        </w:rPr>
        <w:endnoteRef/>
      </w:r>
      <w:r w:rsidRPr="000B35C9">
        <w:t xml:space="preserve"> </w:t>
      </w:r>
      <w:r w:rsidRPr="007B537E">
        <w:t xml:space="preserve">Public Interest Advocacy Centre, Submission to the Australian Human Rights Commission, </w:t>
      </w:r>
      <w:r w:rsidRPr="007B537E">
        <w:rPr>
          <w:i/>
        </w:rPr>
        <w:t>Free and Equal: Anti-Discrimination Law Reform Discussion Paper</w:t>
      </w:r>
      <w:r w:rsidRPr="007B537E">
        <w:t xml:space="preserve"> (8 November 2019) 4 </w:t>
      </w:r>
      <w:r w:rsidR="006744B1">
        <w:t>&lt;</w:t>
      </w:r>
      <w:hyperlink r:id="rId62" w:history="1">
        <w:r w:rsidR="006744B1" w:rsidRPr="001A7DEC">
          <w:rPr>
            <w:rStyle w:val="Hyperlink"/>
          </w:rPr>
          <w:t>https://piac.asn.au/2019/11/08/australian-human-rights-commission-free-equal-anti-discrimination-law-reform-discussion-paper/</w:t>
        </w:r>
      </w:hyperlink>
      <w:r w:rsidR="006744B1">
        <w:t xml:space="preserve">&gt; </w:t>
      </w:r>
      <w:r w:rsidRPr="007B537E">
        <w:t xml:space="preserve">; People With Disability Australia, 'Federal Government Must Fix Gaping Hole In The Disability Discrimination Act' (Web Page, 11 February 2019) </w:t>
      </w:r>
      <w:r w:rsidR="006744B1">
        <w:t>&lt;</w:t>
      </w:r>
      <w:hyperlink r:id="rId63" w:history="1">
        <w:r w:rsidR="006744B1" w:rsidRPr="001A7DEC">
          <w:rPr>
            <w:rStyle w:val="Hyperlink"/>
          </w:rPr>
          <w:t>https://pwd.org.au/federal-government-must-fix-gaping-hole-in-the-disability-discrimination-act/</w:t>
        </w:r>
      </w:hyperlink>
      <w:r w:rsidR="006744B1">
        <w:t>&gt;</w:t>
      </w:r>
      <w:r w:rsidRPr="007B537E">
        <w:t>.</w:t>
      </w:r>
    </w:p>
  </w:endnote>
  <w:endnote w:id="182">
    <w:p w14:paraId="13FEA8AB" w14:textId="454F736C" w:rsidR="007B537E" w:rsidRPr="0074469F" w:rsidRDefault="007B537E" w:rsidP="00F014AB">
      <w:pPr>
        <w:pStyle w:val="EndnoteText"/>
        <w:rPr>
          <w:rFonts w:eastAsia="Times New Roman"/>
        </w:rPr>
      </w:pPr>
      <w:r w:rsidRPr="000B35C9">
        <w:rPr>
          <w:rStyle w:val="EndnoteReference"/>
          <w:rFonts w:cs="Open Sans"/>
        </w:rPr>
        <w:endnoteRef/>
      </w:r>
      <w:r w:rsidRPr="000B35C9">
        <w:t xml:space="preserve"> </w:t>
      </w:r>
      <w:r w:rsidRPr="007B537E">
        <w:t xml:space="preserve">Public Interest Advocacy Centre, Submission to the Australian Human Rights Commission, </w:t>
      </w:r>
      <w:r w:rsidRPr="007B537E">
        <w:rPr>
          <w:i/>
        </w:rPr>
        <w:t>Free and Equal: Anti-Discrimination Law Reform Discussion Paper</w:t>
      </w:r>
      <w:r w:rsidRPr="007B537E">
        <w:t xml:space="preserve"> (8 November 2019) 4-5 </w:t>
      </w:r>
      <w:r w:rsidR="006744B1">
        <w:t>&lt;</w:t>
      </w:r>
      <w:hyperlink r:id="rId64" w:history="1">
        <w:r w:rsidR="006744B1" w:rsidRPr="001A7DEC">
          <w:rPr>
            <w:rStyle w:val="Hyperlink"/>
          </w:rPr>
          <w:t>https://piac.asn.au/2019/11/08/australian-human-rights-commission-free-equal-anti-discrimination-law-reform-discussion-paper/</w:t>
        </w:r>
      </w:hyperlink>
      <w:r w:rsidR="006744B1">
        <w:t>&gt;</w:t>
      </w:r>
      <w:r w:rsidRPr="007B537E">
        <w:t>.</w:t>
      </w:r>
    </w:p>
  </w:endnote>
  <w:endnote w:id="183">
    <w:p w14:paraId="6771DF24" w14:textId="2A1C6700" w:rsidR="007B537E" w:rsidRPr="007B537E" w:rsidRDefault="007B537E">
      <w:pPr>
        <w:pStyle w:val="EndnoteText"/>
      </w:pPr>
      <w:r w:rsidRPr="007B537E">
        <w:rPr>
          <w:rStyle w:val="EndnoteReference"/>
        </w:rPr>
        <w:endnoteRef/>
      </w:r>
      <w:r w:rsidRPr="007B537E">
        <w:rPr>
          <w:i/>
          <w:iCs/>
        </w:rPr>
        <w:t xml:space="preserve">Zahra v Pharmacy Management Avoca Beach Pty Ltd </w:t>
      </w:r>
      <w:r w:rsidRPr="007B537E">
        <w:t xml:space="preserve">[2015] FCCA 1511, [8]-[10]. It should be noted that in its subsequent decision as to costs, the Court described the Applicant’s argument under section 351 as being ‘without substance’ and ‘both vexatious and unreasonable’: see </w:t>
      </w:r>
      <w:r w:rsidRPr="007B537E">
        <w:rPr>
          <w:i/>
        </w:rPr>
        <w:t xml:space="preserve">Zahra v Pharmacy Management Avoca Beach Pty Ltd (No. 2) </w:t>
      </w:r>
      <w:r w:rsidRPr="007B537E">
        <w:t xml:space="preserve">[2015] FCCA 1515, [5].  Nevertheless, section 351of the Fair Work Act was interpreted based on the definition of ‘disability’ in the </w:t>
      </w:r>
      <w:r w:rsidRPr="007B537E">
        <w:rPr>
          <w:iCs/>
        </w:rPr>
        <w:t>Disability Discrimination Act</w:t>
      </w:r>
      <w:r w:rsidRPr="007B537E">
        <w:t>.</w:t>
      </w:r>
    </w:p>
  </w:endnote>
  <w:endnote w:id="184">
    <w:p w14:paraId="407C360C" w14:textId="2D9ED6E9" w:rsidR="007B537E" w:rsidRPr="007B537E" w:rsidRDefault="007B537E">
      <w:pPr>
        <w:pStyle w:val="EndnoteText"/>
      </w:pPr>
      <w:r w:rsidRPr="007B537E">
        <w:rPr>
          <w:rStyle w:val="EndnoteReference"/>
        </w:rPr>
        <w:endnoteRef/>
      </w:r>
      <w:r w:rsidRPr="007B537E">
        <w:t xml:space="preserve"> See, eg, </w:t>
      </w:r>
      <w:r w:rsidRPr="007B537E">
        <w:rPr>
          <w:i/>
        </w:rPr>
        <w:t xml:space="preserve">Hodkinson v The Commonwealth </w:t>
      </w:r>
      <w:r w:rsidRPr="007B537E">
        <w:t xml:space="preserve">[2011] FMCA 171, [140]-[146]; </w:t>
      </w:r>
      <w:r w:rsidRPr="007B537E">
        <w:rPr>
          <w:i/>
        </w:rPr>
        <w:t xml:space="preserve">Western Union Business Solutions (Australia) Pty Ltd v Robinson </w:t>
      </w:r>
      <w:r w:rsidRPr="007B537E">
        <w:rPr>
          <w:iCs/>
        </w:rPr>
        <w:t>(2019) 272 FCR 547</w:t>
      </w:r>
      <w:r w:rsidRPr="007B537E">
        <w:t xml:space="preserve">, [112]-[113];  </w:t>
      </w:r>
      <w:r w:rsidRPr="007B537E">
        <w:rPr>
          <w:i/>
        </w:rPr>
        <w:t xml:space="preserve">Stephens v Australian Postal Corporation </w:t>
      </w:r>
      <w:r w:rsidRPr="007B537E">
        <w:t>[2011] FMCA 448, [85]-[90].</w:t>
      </w:r>
    </w:p>
  </w:endnote>
  <w:endnote w:id="185">
    <w:p w14:paraId="1638C633" w14:textId="0AB51FAB" w:rsidR="007B537E" w:rsidRPr="007B537E" w:rsidRDefault="007B537E">
      <w:pPr>
        <w:pStyle w:val="EndnoteText"/>
      </w:pPr>
      <w:r w:rsidRPr="007B537E">
        <w:rPr>
          <w:rStyle w:val="EndnoteReference"/>
        </w:rPr>
        <w:endnoteRef/>
      </w:r>
      <w:r w:rsidRPr="007B537E">
        <w:t xml:space="preserve"> See, eg, </w:t>
      </w:r>
      <w:r w:rsidRPr="007B537E">
        <w:rPr>
          <w:i/>
        </w:rPr>
        <w:t xml:space="preserve">Construction, Forestry, Mining and Electrical Union v Leighton Contractors Pty Ltd </w:t>
      </w:r>
      <w:r w:rsidRPr="007B537E">
        <w:t xml:space="preserve">[2012] FMCA 487, [159]-[162]; </w:t>
      </w:r>
      <w:r w:rsidRPr="007B537E">
        <w:rPr>
          <w:i/>
        </w:rPr>
        <w:t xml:space="preserve">Corke-Cox v Crocker Builders Pty Ltd </w:t>
      </w:r>
      <w:r w:rsidRPr="007B537E">
        <w:t xml:space="preserve">[2012] FMCA 677, [145]–[147].  See also </w:t>
      </w:r>
      <w:r w:rsidRPr="007B537E">
        <w:rPr>
          <w:i/>
        </w:rPr>
        <w:t xml:space="preserve">Crosby v Quebec Nominees Pty Ltd &amp; Others </w:t>
      </w:r>
      <w:r w:rsidRPr="007B537E">
        <w:t xml:space="preserve">[2019] FCCA 2797, [203]; </w:t>
      </w:r>
      <w:r w:rsidRPr="007B537E">
        <w:rPr>
          <w:i/>
        </w:rPr>
        <w:t xml:space="preserve">Reay v Fuel &amp; Gas Haulage Pty Ltd &amp; Anor </w:t>
      </w:r>
      <w:r w:rsidRPr="007B537E">
        <w:t xml:space="preserve">[2019] FCCA 2473, [25]; Dominque Allen, ‘Adverse Effects: Can The Fair Work Act Address Workplace Discrimination For Employees With a Disability?’ (2018) 41(3) </w:t>
      </w:r>
      <w:r w:rsidRPr="007B537E">
        <w:rPr>
          <w:i/>
        </w:rPr>
        <w:t xml:space="preserve">UNSW Law Journal </w:t>
      </w:r>
      <w:r w:rsidRPr="007B537E">
        <w:t>846, 850 &lt;</w:t>
      </w:r>
      <w:hyperlink r:id="rId65" w:history="1">
        <w:r w:rsidRPr="007B537E">
          <w:rPr>
            <w:rStyle w:val="Hyperlink"/>
          </w:rPr>
          <w:t>http://www.unswlawjournal.unsw.edu.au/article/adverse-effects-can-the-fair-work-act-address-workplace-discrimination-for-employees-with-a-disability/</w:t>
        </w:r>
      </w:hyperlink>
      <w:r w:rsidRPr="007B537E">
        <w:t>&gt;.</w:t>
      </w:r>
    </w:p>
  </w:endnote>
  <w:endnote w:id="186">
    <w:p w14:paraId="241E24C7" w14:textId="77777777" w:rsidR="007B537E" w:rsidRPr="007B537E" w:rsidRDefault="007B537E" w:rsidP="004F7D3F">
      <w:pPr>
        <w:pStyle w:val="EndnoteText"/>
      </w:pPr>
      <w:r w:rsidRPr="007B537E">
        <w:rPr>
          <w:rStyle w:val="EndnoteReference"/>
        </w:rPr>
        <w:endnoteRef/>
      </w:r>
      <w:r w:rsidRPr="007B537E">
        <w:t xml:space="preserve"> ICESCR Committee, </w:t>
      </w:r>
      <w:r w:rsidRPr="007B537E">
        <w:rPr>
          <w:i/>
        </w:rPr>
        <w:t>General Comment No. 18 on Article 6 The Right to Work</w:t>
      </w:r>
      <w:r w:rsidRPr="007B537E">
        <w:t>, UN Doc E/C.12/GC/18 (6 February 2006) [35].</w:t>
      </w:r>
    </w:p>
  </w:endnote>
  <w:endnote w:id="187">
    <w:p w14:paraId="4914CAF1" w14:textId="400EA14C" w:rsidR="007B537E" w:rsidRPr="007B537E" w:rsidRDefault="007B537E">
      <w:pPr>
        <w:pStyle w:val="EndnoteText"/>
      </w:pPr>
      <w:r w:rsidRPr="007B537E">
        <w:rPr>
          <w:rStyle w:val="EndnoteReference"/>
        </w:rPr>
        <w:endnoteRef/>
      </w:r>
      <w:r w:rsidRPr="007B537E">
        <w:t xml:space="preserve"> </w:t>
      </w:r>
      <w:r w:rsidRPr="007B537E">
        <w:rPr>
          <w:i/>
        </w:rPr>
        <w:t xml:space="preserve">Fair Work Act 2009 </w:t>
      </w:r>
      <w:r w:rsidRPr="007B537E">
        <w:t>(Cth) ss 366 (general protections), 394 (unfair dismissals), 774 (unlawful terminations).</w:t>
      </w:r>
    </w:p>
  </w:endnote>
  <w:endnote w:id="188">
    <w:p w14:paraId="0B201702" w14:textId="10B4027A" w:rsidR="007B537E" w:rsidRPr="007B537E" w:rsidRDefault="007B537E" w:rsidP="00BB4E47">
      <w:pPr>
        <w:pStyle w:val="EndnoteText"/>
      </w:pPr>
      <w:r w:rsidRPr="007B537E">
        <w:rPr>
          <w:rStyle w:val="EndnoteReference"/>
        </w:rPr>
        <w:endnoteRef/>
      </w:r>
      <w:r w:rsidRPr="007B537E">
        <w:t xml:space="preserve"> Australian Human Rights Commission, </w:t>
      </w:r>
      <w:r w:rsidRPr="007B537E">
        <w:rPr>
          <w:i/>
        </w:rPr>
        <w:t xml:space="preserve">Willing to Work: National Inquiry into Employment Discrimination Against Older Australians and Australians with Disability </w:t>
      </w:r>
      <w:r w:rsidRPr="007B537E">
        <w:t xml:space="preserve">(Report, 2016) 342 </w:t>
      </w:r>
      <w:r w:rsidR="006744B1">
        <w:t>&lt;</w:t>
      </w:r>
      <w:hyperlink r:id="rId66" w:history="1">
        <w:r w:rsidR="006744B1" w:rsidRPr="001A7DEC">
          <w:rPr>
            <w:rStyle w:val="Hyperlink"/>
          </w:rPr>
          <w:t>https://humanrights.gov.au/sites/default/files/document/publication/WTW_2016_Full_Report_AHRC_ac.pdf</w:t>
        </w:r>
      </w:hyperlink>
      <w:r w:rsidR="006744B1">
        <w:t>&gt;</w:t>
      </w:r>
      <w:r w:rsidRPr="007B537E">
        <w:t xml:space="preserve">. </w:t>
      </w:r>
    </w:p>
  </w:endnote>
  <w:endnote w:id="189">
    <w:p w14:paraId="691F501C" w14:textId="76C9386C" w:rsidR="007B537E" w:rsidRPr="000B35C9" w:rsidRDefault="007B537E" w:rsidP="00F52E8C">
      <w:pPr>
        <w:pStyle w:val="EndnoteText"/>
      </w:pPr>
      <w:r w:rsidRPr="007B537E">
        <w:rPr>
          <w:rStyle w:val="EndnoteReference"/>
        </w:rPr>
        <w:endnoteRef/>
      </w:r>
      <w:r w:rsidRPr="007B537E">
        <w:t xml:space="preserve"> See, for example, Dominque Allen, ‘Adverse Effects: Can The Fair Work Act Address Workplace Discrimination For Employees With a Disability?’ (2018) </w:t>
      </w:r>
      <w:r w:rsidRPr="007B537E">
        <w:rPr>
          <w:i/>
        </w:rPr>
        <w:t xml:space="preserve">UNSW Law Journal </w:t>
      </w:r>
      <w:r w:rsidRPr="007B537E">
        <w:t>41(3) 846, 868 &lt;</w:t>
      </w:r>
      <w:hyperlink r:id="rId67" w:history="1">
        <w:r w:rsidRPr="007B537E">
          <w:rPr>
            <w:rStyle w:val="Hyperlink"/>
          </w:rPr>
          <w:t>http://www.unswlawjournal.unsw.edu.au/article/adverse-effects-can-the-fair-work-act-address-workplace-discrimination-for-employees-with-a-disability/</w:t>
        </w:r>
      </w:hyperlink>
      <w:r w:rsidRPr="007B537E">
        <w:t>&gt;.</w:t>
      </w:r>
    </w:p>
  </w:endnote>
  <w:endnote w:id="190">
    <w:p w14:paraId="334B5C6F" w14:textId="7BB2BACA" w:rsidR="007B537E" w:rsidRPr="007B537E" w:rsidRDefault="007B537E" w:rsidP="00044911">
      <w:pPr>
        <w:pStyle w:val="EndnoteText"/>
      </w:pPr>
      <w:r w:rsidRPr="007B537E">
        <w:rPr>
          <w:rStyle w:val="EndnoteReference"/>
        </w:rPr>
        <w:endnoteRef/>
      </w:r>
      <w:r w:rsidRPr="007B537E">
        <w:t xml:space="preserve">  CRPD Committee, </w:t>
      </w:r>
      <w:r w:rsidRPr="007B537E">
        <w:rPr>
          <w:i/>
        </w:rPr>
        <w:t>General Comment No. 6 (2018) on equality and non-discrimination</w:t>
      </w:r>
      <w:r w:rsidRPr="007B537E">
        <w:t xml:space="preserve"> (26 April 2018) UN Doc CRPD/C/GC/6 </w:t>
      </w:r>
      <w:r w:rsidRPr="000B35C9">
        <w:t>[31].</w:t>
      </w:r>
    </w:p>
  </w:endnote>
  <w:endnote w:id="191">
    <w:p w14:paraId="0AA24094" w14:textId="3FF8F62A" w:rsidR="007B537E" w:rsidRPr="007B537E" w:rsidRDefault="007B537E" w:rsidP="0021082D">
      <w:pPr>
        <w:pStyle w:val="EndnoteText"/>
      </w:pPr>
      <w:r w:rsidRPr="007B537E">
        <w:rPr>
          <w:rStyle w:val="EndnoteReference"/>
        </w:rPr>
        <w:endnoteRef/>
      </w:r>
      <w:r w:rsidRPr="007B537E">
        <w:t xml:space="preserve"> </w:t>
      </w:r>
      <w:r w:rsidRPr="007B537E">
        <w:rPr>
          <w:i/>
        </w:rPr>
        <w:t xml:space="preserve">Fair Work Act 2009 </w:t>
      </w:r>
      <w:r w:rsidRPr="007B537E">
        <w:t>(Cth) ss 366 (general protections), 394 (unfair dismissals), 774 (unlawful terminations).</w:t>
      </w:r>
    </w:p>
  </w:endnote>
  <w:endnote w:id="192">
    <w:p w14:paraId="6B142F55" w14:textId="38CD8733" w:rsidR="007B537E" w:rsidRPr="000B35C9" w:rsidRDefault="007B537E">
      <w:pPr>
        <w:pStyle w:val="EndnoteText"/>
      </w:pPr>
      <w:r w:rsidRPr="007B537E">
        <w:rPr>
          <w:rStyle w:val="EndnoteReference"/>
        </w:rPr>
        <w:endnoteRef/>
      </w:r>
      <w:r w:rsidRPr="007B537E">
        <w:t xml:space="preserve"> </w:t>
      </w:r>
      <w:r w:rsidRPr="000B35C9">
        <w:t xml:space="preserve">See, for example, </w:t>
      </w:r>
      <w:r w:rsidRPr="000B35C9">
        <w:rPr>
          <w:i/>
        </w:rPr>
        <w:t xml:space="preserve">Jay Higgins v Coles Supermarkets Australia Pty Ltd T/A Coles </w:t>
      </w:r>
      <w:r w:rsidRPr="000B35C9">
        <w:t xml:space="preserve">[2017] FWC </w:t>
      </w:r>
      <w:r w:rsidRPr="007B537E">
        <w:t>3057</w:t>
      </w:r>
      <w:r w:rsidRPr="000B35C9">
        <w:t>.</w:t>
      </w:r>
      <w:r w:rsidRPr="007B537E">
        <w:t xml:space="preserve"> </w:t>
      </w:r>
    </w:p>
  </w:endnote>
  <w:endnote w:id="193">
    <w:p w14:paraId="0F9A5066" w14:textId="099B8039" w:rsidR="007B537E" w:rsidRPr="007B537E" w:rsidRDefault="007B537E">
      <w:pPr>
        <w:pStyle w:val="EndnoteText"/>
        <w:rPr>
          <w:i/>
        </w:rPr>
      </w:pPr>
      <w:r w:rsidRPr="007B537E">
        <w:rPr>
          <w:rStyle w:val="EndnoteReference"/>
        </w:rPr>
        <w:endnoteRef/>
      </w:r>
      <w:r w:rsidRPr="007B537E">
        <w:t xml:space="preserve"> See, for example, </w:t>
      </w:r>
      <w:r w:rsidRPr="007B537E">
        <w:rPr>
          <w:i/>
        </w:rPr>
        <w:t>Mr John Tabar v Abbott Australasia Pty Ltd T/A Abbott Australasia</w:t>
      </w:r>
      <w:r w:rsidRPr="007B537E">
        <w:t xml:space="preserve"> [2019] FWC 7065</w:t>
      </w:r>
      <w:r w:rsidRPr="000B35C9">
        <w:t>.</w:t>
      </w:r>
      <w:r w:rsidRPr="007B537E">
        <w:rPr>
          <w:i/>
        </w:rPr>
        <w:t xml:space="preserve"> </w:t>
      </w:r>
    </w:p>
  </w:endnote>
  <w:endnote w:id="194">
    <w:p w14:paraId="08AFD339" w14:textId="785361DC" w:rsidR="007B537E" w:rsidRPr="007B537E" w:rsidRDefault="007B537E">
      <w:pPr>
        <w:pStyle w:val="EndnoteText"/>
      </w:pPr>
      <w:r w:rsidRPr="007B537E">
        <w:rPr>
          <w:rStyle w:val="EndnoteReference"/>
        </w:rPr>
        <w:endnoteRef/>
      </w:r>
      <w:r w:rsidRPr="007B537E">
        <w:t xml:space="preserve"> </w:t>
      </w:r>
      <w:r w:rsidRPr="007B537E">
        <w:rPr>
          <w:i/>
        </w:rPr>
        <w:t xml:space="preserve">Fair Work Act 2009 </w:t>
      </w:r>
      <w:r w:rsidRPr="007B537E">
        <w:t>(Cth) s 65.</w:t>
      </w:r>
    </w:p>
  </w:endnote>
  <w:endnote w:id="195">
    <w:p w14:paraId="17AA5137" w14:textId="4EC2F9B4" w:rsidR="007B537E" w:rsidRPr="007B537E" w:rsidRDefault="007B537E" w:rsidP="00D65E71">
      <w:pPr>
        <w:pStyle w:val="EndnoteText"/>
      </w:pPr>
      <w:r w:rsidRPr="007B537E">
        <w:rPr>
          <w:rStyle w:val="EndnoteReference"/>
        </w:rPr>
        <w:endnoteRef/>
      </w:r>
      <w:r w:rsidRPr="007B537E">
        <w:t xml:space="preserve"> </w:t>
      </w:r>
      <w:r w:rsidRPr="007B537E">
        <w:rPr>
          <w:i/>
        </w:rPr>
        <w:t xml:space="preserve">Fair Work Act 2009 </w:t>
      </w:r>
      <w:r w:rsidRPr="007B537E">
        <w:t>(Cth) s 65(2).</w:t>
      </w:r>
    </w:p>
  </w:endnote>
  <w:endnote w:id="196">
    <w:p w14:paraId="6DD76979" w14:textId="353829BA" w:rsidR="007B537E" w:rsidRPr="007B537E" w:rsidRDefault="007B537E">
      <w:pPr>
        <w:pStyle w:val="EndnoteText"/>
      </w:pPr>
      <w:r w:rsidRPr="007B537E">
        <w:rPr>
          <w:rStyle w:val="EndnoteReference"/>
        </w:rPr>
        <w:endnoteRef/>
      </w:r>
      <w:r w:rsidRPr="007B537E">
        <w:t xml:space="preserve"> </w:t>
      </w:r>
      <w:r w:rsidRPr="007B537E">
        <w:rPr>
          <w:i/>
        </w:rPr>
        <w:t xml:space="preserve">Fair Work Act 2009 </w:t>
      </w:r>
      <w:r w:rsidRPr="007B537E">
        <w:t>(Cth) ss 65(5), (5A).</w:t>
      </w:r>
    </w:p>
  </w:endnote>
  <w:endnote w:id="197">
    <w:p w14:paraId="7B847EA4" w14:textId="46A59FE8" w:rsidR="007B537E" w:rsidRPr="007B537E" w:rsidRDefault="007B537E">
      <w:pPr>
        <w:pStyle w:val="EndnoteText"/>
      </w:pPr>
      <w:r w:rsidRPr="007B537E">
        <w:rPr>
          <w:rStyle w:val="EndnoteReference"/>
        </w:rPr>
        <w:endnoteRef/>
      </w:r>
      <w:r w:rsidRPr="007B537E">
        <w:t xml:space="preserve"> </w:t>
      </w:r>
      <w:r w:rsidRPr="007B537E">
        <w:rPr>
          <w:i/>
        </w:rPr>
        <w:t xml:space="preserve">Fair Work Act 2009 </w:t>
      </w:r>
      <w:r w:rsidRPr="007B537E">
        <w:t>(Cth) ss 44(2), 739(2).</w:t>
      </w:r>
    </w:p>
  </w:endnote>
  <w:endnote w:id="198">
    <w:p w14:paraId="231B569D" w14:textId="1F9C2326" w:rsidR="007B537E" w:rsidRPr="007B537E" w:rsidRDefault="007B537E">
      <w:pPr>
        <w:pStyle w:val="EndnoteText"/>
      </w:pPr>
      <w:r w:rsidRPr="007B537E">
        <w:rPr>
          <w:rStyle w:val="EndnoteReference"/>
        </w:rPr>
        <w:endnoteRef/>
      </w:r>
      <w:r w:rsidRPr="007B537E">
        <w:t xml:space="preserve"> Australian Human Rights Commission, </w:t>
      </w:r>
      <w:r w:rsidRPr="007B537E">
        <w:rPr>
          <w:i/>
        </w:rPr>
        <w:t xml:space="preserve">Willing to Work: National Inquiry into Employment Discrimination Against Older Australians and Australians with Disability </w:t>
      </w:r>
      <w:r w:rsidRPr="007B537E">
        <w:t>(Report, 2016) 329, 340-342&lt;</w:t>
      </w:r>
      <w:hyperlink r:id="rId68" w:history="1">
        <w:r w:rsidRPr="007B537E">
          <w:rPr>
            <w:rStyle w:val="Hyperlink"/>
          </w:rPr>
          <w:t>https://humanrights.gov.au/sites/default/files/document/publication/WTW_2016_Full_Report_AHRC_ac.pdf</w:t>
        </w:r>
      </w:hyperlink>
      <w:r w:rsidRPr="007B537E">
        <w:t>&gt;.</w:t>
      </w:r>
    </w:p>
  </w:endnote>
  <w:endnote w:id="199">
    <w:p w14:paraId="134E918E" w14:textId="2E58AAAF" w:rsidR="007B537E" w:rsidRPr="007B537E" w:rsidRDefault="007B537E">
      <w:pPr>
        <w:pStyle w:val="EndnoteText"/>
        <w:rPr>
          <w:i/>
        </w:rPr>
      </w:pPr>
      <w:r w:rsidRPr="007B537E">
        <w:rPr>
          <w:rStyle w:val="EndnoteReference"/>
        </w:rPr>
        <w:endnoteRef/>
      </w:r>
      <w:r w:rsidRPr="007B537E">
        <w:t xml:space="preserve"> Australian Government, Attorney-General’s Department, </w:t>
      </w:r>
      <w:r w:rsidRPr="007B537E">
        <w:rPr>
          <w:i/>
        </w:rPr>
        <w:t xml:space="preserve">Towards more productive and equitable workplaces: An evaluation of the Fair Work legislation </w:t>
      </w:r>
      <w:r w:rsidRPr="000B35C9">
        <w:rPr>
          <w:i/>
        </w:rPr>
        <w:t xml:space="preserve">(Final Report, </w:t>
      </w:r>
      <w:r w:rsidRPr="000B35C9">
        <w:t>18 November 2012) 98-99 &lt;</w:t>
      </w:r>
      <w:hyperlink r:id="rId69" w:history="1">
        <w:r w:rsidR="006744B1" w:rsidRPr="001A7DEC">
          <w:rPr>
            <w:rStyle w:val="Hyperlink"/>
          </w:rPr>
          <w:t>https://www.ag.gov.au/sites/default/files/2020-03/towards_more_productive_and_equitable_workplaces_an_evaluation_of_the_fair_work_legislation.pdf</w:t>
        </w:r>
      </w:hyperlink>
      <w:r w:rsidRPr="007B537E">
        <w:t>&gt;.</w:t>
      </w:r>
    </w:p>
  </w:endnote>
  <w:endnote w:id="200">
    <w:p w14:paraId="0BD8B0F6" w14:textId="63824695" w:rsidR="007B537E" w:rsidRPr="007B537E" w:rsidRDefault="007B537E">
      <w:pPr>
        <w:pStyle w:val="EndnoteText"/>
        <w:rPr>
          <w:lang w:val="en-US"/>
        </w:rPr>
      </w:pPr>
      <w:r w:rsidRPr="007B537E">
        <w:rPr>
          <w:rStyle w:val="EndnoteReference"/>
        </w:rPr>
        <w:endnoteRef/>
      </w:r>
      <w:r w:rsidRPr="007B537E">
        <w:t xml:space="preserve"> </w:t>
      </w:r>
      <w:r w:rsidRPr="007B537E">
        <w:rPr>
          <w:i/>
          <w:iCs/>
          <w:lang w:val="en-US"/>
        </w:rPr>
        <w:t>Fair Work Act 2009</w:t>
      </w:r>
      <w:r w:rsidRPr="007B537E">
        <w:rPr>
          <w:lang w:val="en-US"/>
        </w:rPr>
        <w:t xml:space="preserve"> (Cth) s 76(2).</w:t>
      </w:r>
    </w:p>
  </w:endnote>
  <w:endnote w:id="201">
    <w:p w14:paraId="3A7B754C" w14:textId="252AA1FD" w:rsidR="007B537E" w:rsidRPr="007B537E" w:rsidRDefault="007B537E">
      <w:pPr>
        <w:pStyle w:val="EndnoteText"/>
        <w:rPr>
          <w:lang w:val="en-US"/>
        </w:rPr>
      </w:pPr>
      <w:r w:rsidRPr="007B537E">
        <w:rPr>
          <w:rStyle w:val="EndnoteReference"/>
        </w:rPr>
        <w:endnoteRef/>
      </w:r>
      <w:r w:rsidRPr="007B537E">
        <w:t xml:space="preserve"> </w:t>
      </w:r>
      <w:r w:rsidRPr="007B537E">
        <w:rPr>
          <w:i/>
          <w:iCs/>
          <w:lang w:val="en-US"/>
        </w:rPr>
        <w:t>Fair Work Act 2009</w:t>
      </w:r>
      <w:r w:rsidRPr="007B537E">
        <w:rPr>
          <w:lang w:val="en-US"/>
        </w:rPr>
        <w:t xml:space="preserve"> (Cth) s 76(3).</w:t>
      </w:r>
    </w:p>
  </w:endnote>
  <w:endnote w:id="202">
    <w:p w14:paraId="3881C3F2" w14:textId="0D0F30B6" w:rsidR="007B537E" w:rsidRPr="007B537E" w:rsidRDefault="007B537E">
      <w:pPr>
        <w:pStyle w:val="EndnoteText"/>
        <w:rPr>
          <w:lang w:val="en-US"/>
        </w:rPr>
      </w:pPr>
      <w:r w:rsidRPr="007B537E">
        <w:rPr>
          <w:rStyle w:val="EndnoteReference"/>
        </w:rPr>
        <w:endnoteRef/>
      </w:r>
      <w:r w:rsidRPr="007B537E">
        <w:t xml:space="preserve"> </w:t>
      </w:r>
      <w:r w:rsidRPr="007B537E">
        <w:rPr>
          <w:i/>
          <w:iCs/>
          <w:lang w:val="en-US"/>
        </w:rPr>
        <w:t>Fair Work Act 2009</w:t>
      </w:r>
      <w:r w:rsidRPr="007B537E">
        <w:rPr>
          <w:lang w:val="en-US"/>
        </w:rPr>
        <w:t xml:space="preserve"> (Cth) s 76(4).</w:t>
      </w:r>
    </w:p>
  </w:endnote>
  <w:endnote w:id="203">
    <w:p w14:paraId="2F96F6E9" w14:textId="4B6EFE55" w:rsidR="007B537E" w:rsidRPr="000B35C9" w:rsidRDefault="007B537E">
      <w:pPr>
        <w:pStyle w:val="EndnoteText"/>
        <w:rPr>
          <w:lang w:val="en-US"/>
        </w:rPr>
      </w:pPr>
      <w:r w:rsidRPr="007B537E">
        <w:rPr>
          <w:rStyle w:val="EndnoteReference"/>
        </w:rPr>
        <w:endnoteRef/>
      </w:r>
      <w:r w:rsidRPr="007B537E">
        <w:t xml:space="preserve"> </w:t>
      </w:r>
      <w:r w:rsidRPr="007B537E">
        <w:rPr>
          <w:i/>
          <w:iCs/>
          <w:lang w:val="en-US"/>
        </w:rPr>
        <w:t>Fair Work Act 2009</w:t>
      </w:r>
      <w:r w:rsidRPr="007B537E">
        <w:rPr>
          <w:lang w:val="en-US"/>
        </w:rPr>
        <w:t xml:space="preserve"> (Cth) s 76(5A).</w:t>
      </w:r>
    </w:p>
  </w:endnote>
  <w:endnote w:id="204">
    <w:p w14:paraId="45D6F21F" w14:textId="1DB862A1" w:rsidR="007B537E" w:rsidRPr="000B35C9" w:rsidRDefault="007B537E" w:rsidP="00605225">
      <w:pPr>
        <w:pStyle w:val="EndnoteText"/>
      </w:pPr>
      <w:r w:rsidRPr="000B35C9">
        <w:rPr>
          <w:rStyle w:val="EndnoteReference"/>
        </w:rPr>
        <w:endnoteRef/>
      </w:r>
      <w:r w:rsidRPr="000B35C9">
        <w:t xml:space="preserve">The Senate Community Affairs References Committee, </w:t>
      </w:r>
      <w:r w:rsidRPr="000B35C9">
        <w:rPr>
          <w:i/>
        </w:rPr>
        <w:t>Delivery of Outcomes under the National Disability Strategy 2010-2020 to build inclusive accessible communities</w:t>
      </w:r>
      <w:r w:rsidRPr="000B35C9">
        <w:t xml:space="preserve"> (Report, 29 November 2017) [3.67] </w:t>
      </w:r>
      <w:r w:rsidR="006744B1">
        <w:t>&lt;</w:t>
      </w:r>
      <w:hyperlink r:id="rId70" w:history="1">
        <w:r w:rsidR="006744B1" w:rsidRPr="001A7DEC">
          <w:rPr>
            <w:rStyle w:val="Hyperlink"/>
          </w:rPr>
          <w:t>https://www.aph.gov.au/Parliamentary_Business/Committees/Senate/Community_Affairs/AccessibleCommunities/Report/c03</w:t>
        </w:r>
      </w:hyperlink>
      <w:r w:rsidR="006744B1">
        <w:t>&gt;</w:t>
      </w:r>
      <w:r w:rsidRPr="000B35C9">
        <w:t xml:space="preserve">. </w:t>
      </w:r>
    </w:p>
  </w:endnote>
  <w:endnote w:id="205">
    <w:p w14:paraId="55A0B7A2" w14:textId="5C745F93" w:rsidR="00E34322" w:rsidRPr="00E34322" w:rsidRDefault="00E34322">
      <w:pPr>
        <w:pStyle w:val="EndnoteText"/>
        <w:rPr>
          <w:lang w:val="en-US"/>
        </w:rPr>
      </w:pPr>
      <w:r w:rsidRPr="00436661">
        <w:rPr>
          <w:rStyle w:val="EndnoteReference"/>
        </w:rPr>
        <w:endnoteRef/>
      </w:r>
      <w:r w:rsidRPr="00436661">
        <w:t xml:space="preserve"> The Senate Community Affairs References Committee, </w:t>
      </w:r>
      <w:r w:rsidRPr="00436661">
        <w:rPr>
          <w:i/>
        </w:rPr>
        <w:t>Delivery of Outcomes under the National Disability Strategy 2010-2020 to build inclusive accessible communities</w:t>
      </w:r>
      <w:r w:rsidRPr="00436661">
        <w:t xml:space="preserve"> (Report, 29 November 2017) [3.65]-[3.66] </w:t>
      </w:r>
      <w:r w:rsidR="006744B1" w:rsidRPr="00436661">
        <w:t>&lt;</w:t>
      </w:r>
      <w:hyperlink r:id="rId71" w:history="1">
        <w:r w:rsidR="006744B1" w:rsidRPr="00436661">
          <w:rPr>
            <w:rStyle w:val="Hyperlink"/>
          </w:rPr>
          <w:t>https://www.aph.gov.au/Parliamentary_Business/Committees/Senate/Community_Affairs/AccessibleCommunities/Report/c03</w:t>
        </w:r>
      </w:hyperlink>
      <w:r w:rsidR="006744B1" w:rsidRPr="00436661">
        <w:t>&gt;</w:t>
      </w:r>
      <w:r w:rsidRPr="00436661">
        <w:t>.</w:t>
      </w:r>
      <w:r w:rsidRPr="000B35C9">
        <w:t xml:space="preserve"> </w:t>
      </w:r>
      <w:r w:rsidR="006744B1">
        <w:t>&lt;</w:t>
      </w:r>
      <w:hyperlink r:id="rId72" w:history="1">
        <w:r w:rsidR="006744B1" w:rsidRPr="001A7DEC">
          <w:rPr>
            <w:rStyle w:val="Hyperlink"/>
          </w:rPr>
          <w:t>https://www.aph.gov.au/Parliamentary_Business/Committees/Senate/Community_Affairs/AccessibleCommunities/Report/c03</w:t>
        </w:r>
      </w:hyperlink>
      <w:r w:rsidR="006744B1">
        <w:rPr>
          <w:rStyle w:val="Hyperlink"/>
        </w:rPr>
        <w:t>&gt;</w:t>
      </w:r>
      <w:r w:rsidRPr="000B35C9">
        <w:t xml:space="preserve"> [3.65].</w:t>
      </w:r>
    </w:p>
  </w:endnote>
  <w:endnote w:id="206">
    <w:p w14:paraId="69D7985A" w14:textId="4E7602BA" w:rsidR="007B537E" w:rsidRPr="000B35C9" w:rsidRDefault="007B537E">
      <w:pPr>
        <w:pStyle w:val="EndnoteText"/>
        <w:rPr>
          <w:lang w:val="en-US"/>
        </w:rPr>
      </w:pPr>
      <w:r w:rsidRPr="000B35C9">
        <w:rPr>
          <w:rStyle w:val="EndnoteReference"/>
        </w:rPr>
        <w:endnoteRef/>
      </w:r>
      <w:r w:rsidRPr="000B35C9">
        <w:t xml:space="preserve"> </w:t>
      </w:r>
      <w:r w:rsidRPr="007B537E">
        <w:t xml:space="preserve">University of New South Wales, Social Policy Research Centre, </w:t>
      </w:r>
      <w:r w:rsidRPr="007B537E">
        <w:rPr>
          <w:i/>
        </w:rPr>
        <w:t>Review of Implementation of the National Disability Strategy 2010-2020</w:t>
      </w:r>
      <w:r w:rsidRPr="007B537E">
        <w:t xml:space="preserve"> (Final Report, August 2018) 1 </w:t>
      </w:r>
      <w:r w:rsidR="006744B1">
        <w:t>&lt;</w:t>
      </w:r>
      <w:hyperlink r:id="rId73" w:history="1">
        <w:r w:rsidR="006744B1" w:rsidRPr="001A7DEC">
          <w:rPr>
            <w:rStyle w:val="Hyperlink"/>
          </w:rPr>
          <w:t>https://www.dss.gov.au/sites/default/files/documents/04_2019/review-implementation-national-disability-strategy-2010-2020-final-report.pdf</w:t>
        </w:r>
      </w:hyperlink>
      <w:r w:rsidR="006744B1">
        <w:t>&gt;</w:t>
      </w:r>
      <w:r w:rsidRPr="007B537E">
        <w:t>.</w:t>
      </w:r>
    </w:p>
  </w:endnote>
  <w:endnote w:id="207">
    <w:p w14:paraId="71635424" w14:textId="4636D59B" w:rsidR="007B537E" w:rsidRPr="000B35C9" w:rsidRDefault="007B537E" w:rsidP="005C59C2">
      <w:pPr>
        <w:pStyle w:val="EndnoteText"/>
      </w:pPr>
      <w:r w:rsidRPr="000B35C9">
        <w:rPr>
          <w:rStyle w:val="EndnoteReference"/>
        </w:rPr>
        <w:endnoteRef/>
      </w:r>
      <w:r w:rsidRPr="000B35C9">
        <w:t xml:space="preserve"> </w:t>
      </w:r>
      <w:r w:rsidRPr="007B537E">
        <w:t xml:space="preserve">The review recommended that the next version of the NDS should: build on positive examples of implementation, including the active participation of people with disability and cooperation across governments, local government, community organisations and businesses; complement the role of the NDIS, including through addressing interface issues; address implementation gaps and priorities; enhance government arrangements; facilitate cooperation and collaboration; facilitate flexibility and responsiveness; and promote public awareness and engagement: University of New South Wales, Social Policy Research Centre, </w:t>
      </w:r>
      <w:r w:rsidRPr="007B537E">
        <w:rPr>
          <w:i/>
        </w:rPr>
        <w:t>Review of Implementation of the National Disability Strategy 2010-2020</w:t>
      </w:r>
      <w:r w:rsidRPr="007B537E">
        <w:t xml:space="preserve"> (Final Report, August 2018) 2-4 </w:t>
      </w:r>
      <w:r w:rsidR="00BD59BF">
        <w:t>&lt;</w:t>
      </w:r>
      <w:hyperlink r:id="rId74" w:history="1">
        <w:r w:rsidR="00BD59BF" w:rsidRPr="001A7DEC">
          <w:rPr>
            <w:rStyle w:val="Hyperlink"/>
          </w:rPr>
          <w:t>https://www.dss.gov.au/sites/default/files/documents/04_2019/review-implementation-national-disability-strategy-2010-2020-final-report.pdf</w:t>
        </w:r>
      </w:hyperlink>
      <w:r w:rsidR="00BD59BF">
        <w:t>&gt;</w:t>
      </w:r>
      <w:r w:rsidRPr="007B537E">
        <w:t>.</w:t>
      </w:r>
    </w:p>
  </w:endnote>
  <w:endnote w:id="208">
    <w:p w14:paraId="7E875872" w14:textId="164F482F" w:rsidR="007B537E" w:rsidRPr="000B35C9" w:rsidRDefault="007B537E">
      <w:pPr>
        <w:pStyle w:val="EndnoteText"/>
        <w:rPr>
          <w:lang w:val="en-US"/>
        </w:rPr>
      </w:pPr>
      <w:r w:rsidRPr="000B35C9">
        <w:rPr>
          <w:rStyle w:val="EndnoteReference"/>
        </w:rPr>
        <w:endnoteRef/>
      </w:r>
      <w:r w:rsidRPr="000B35C9">
        <w:t xml:space="preserve"> </w:t>
      </w:r>
      <w:r w:rsidRPr="007B537E">
        <w:t xml:space="preserve">Australian Government, </w:t>
      </w:r>
      <w:r w:rsidRPr="007B537E">
        <w:rPr>
          <w:lang w:val="en-US"/>
        </w:rPr>
        <w:t xml:space="preserve">Productivity Commission, </w:t>
      </w:r>
      <w:r w:rsidRPr="007B537E">
        <w:rPr>
          <w:i/>
          <w:iCs/>
        </w:rPr>
        <w:t>Review of the National Disability Agreement</w:t>
      </w:r>
      <w:r w:rsidRPr="007B537E">
        <w:rPr>
          <w:lang w:val="en-US"/>
        </w:rPr>
        <w:t xml:space="preserve"> (Productivity Commission Study Report, January 2019) 2 </w:t>
      </w:r>
      <w:r w:rsidR="00BD59BF">
        <w:rPr>
          <w:lang w:val="en-US"/>
        </w:rPr>
        <w:t>&lt;</w:t>
      </w:r>
      <w:hyperlink r:id="rId75" w:history="1">
        <w:r w:rsidR="00BD59BF" w:rsidRPr="001A7DEC">
          <w:rPr>
            <w:rStyle w:val="Hyperlink"/>
            <w:lang w:val="en-US"/>
          </w:rPr>
          <w:t>https://www.pc.gov.au/inquiries/completed/disability-agreement/report/disability-agreement-overview.pdf</w:t>
        </w:r>
      </w:hyperlink>
      <w:r w:rsidR="00BD59BF">
        <w:rPr>
          <w:lang w:val="en-US"/>
        </w:rPr>
        <w:t>&gt;</w:t>
      </w:r>
      <w:r w:rsidRPr="007B537E">
        <w:rPr>
          <w:lang w:val="en-US"/>
        </w:rPr>
        <w:t>.</w:t>
      </w:r>
    </w:p>
  </w:endnote>
  <w:endnote w:id="209">
    <w:p w14:paraId="018218A1" w14:textId="0953148F" w:rsidR="007B537E" w:rsidRPr="000B35C9" w:rsidRDefault="007B537E" w:rsidP="00394CD8">
      <w:pPr>
        <w:pStyle w:val="EndnoteText"/>
      </w:pPr>
      <w:r w:rsidRPr="000B35C9">
        <w:rPr>
          <w:rStyle w:val="EndnoteReference"/>
        </w:rPr>
        <w:endnoteRef/>
      </w:r>
      <w:r w:rsidRPr="000B35C9">
        <w:t xml:space="preserve"> </w:t>
      </w:r>
      <w:r w:rsidRPr="007B537E">
        <w:t xml:space="preserve">Australian Human Rights Commission, Submission to the United Nations Committee on the Rights of Persons with Disabilities, </w:t>
      </w:r>
      <w:r w:rsidRPr="007B537E">
        <w:rPr>
          <w:i/>
          <w:iCs/>
        </w:rPr>
        <w:t xml:space="preserve">Information concerning Australia’s compliance with the Convention on the Rights of Persons with Disabilities </w:t>
      </w:r>
      <w:r w:rsidRPr="007B537E">
        <w:t xml:space="preserve">(25 July 2019) [21] </w:t>
      </w:r>
      <w:r w:rsidR="00BD59BF">
        <w:t>&lt;</w:t>
      </w:r>
      <w:hyperlink r:id="rId76" w:history="1">
        <w:r w:rsidR="00BD59BF" w:rsidRPr="001A7DEC">
          <w:rPr>
            <w:rStyle w:val="Hyperlink"/>
          </w:rPr>
          <w:t>https://humanrights.gov.au/sites/default/files/int_crpd_nhs_aus_35594_e.pdf</w:t>
        </w:r>
      </w:hyperlink>
      <w:r w:rsidR="00BD59BF">
        <w:t>&gt;</w:t>
      </w:r>
      <w:r w:rsidRPr="000B35C9">
        <w:t xml:space="preserve">; </w:t>
      </w:r>
      <w:r w:rsidRPr="007B537E">
        <w:t xml:space="preserve">Australian Government, </w:t>
      </w:r>
      <w:r w:rsidRPr="007B537E">
        <w:rPr>
          <w:lang w:val="en-US"/>
        </w:rPr>
        <w:t xml:space="preserve">Productivity Commission, </w:t>
      </w:r>
      <w:r w:rsidRPr="007B537E">
        <w:rPr>
          <w:i/>
          <w:iCs/>
        </w:rPr>
        <w:t>Review of the National Disability Agreement</w:t>
      </w:r>
      <w:r w:rsidRPr="007B537E">
        <w:rPr>
          <w:lang w:val="en-US"/>
        </w:rPr>
        <w:t xml:space="preserve"> (Productivity Commission Study Report, January 2019) 2, 36-37 </w:t>
      </w:r>
      <w:r w:rsidR="00BD59BF">
        <w:rPr>
          <w:lang w:val="en-US"/>
        </w:rPr>
        <w:t>&lt;</w:t>
      </w:r>
      <w:hyperlink r:id="rId77" w:history="1">
        <w:r w:rsidR="00BD59BF" w:rsidRPr="001A7DEC">
          <w:rPr>
            <w:rStyle w:val="Hyperlink"/>
            <w:lang w:val="en-US"/>
          </w:rPr>
          <w:t>https://www.pc.gov.au/inquiries/completed/disability-agreement/report/disability-agreement-overview.pdf</w:t>
        </w:r>
      </w:hyperlink>
      <w:r w:rsidR="00BD59BF">
        <w:rPr>
          <w:lang w:val="en-US"/>
        </w:rPr>
        <w:t>&gt;</w:t>
      </w:r>
      <w:r w:rsidRPr="007B537E">
        <w:rPr>
          <w:lang w:val="en-US"/>
        </w:rPr>
        <w:t>.</w:t>
      </w:r>
    </w:p>
  </w:endnote>
  <w:endnote w:id="210">
    <w:p w14:paraId="55D63DAE" w14:textId="5E5A2480" w:rsidR="007B537E" w:rsidRPr="000B35C9" w:rsidRDefault="007B537E">
      <w:pPr>
        <w:pStyle w:val="EndnoteText"/>
        <w:rPr>
          <w:lang w:val="en-US"/>
        </w:rPr>
      </w:pPr>
      <w:r w:rsidRPr="000B35C9">
        <w:rPr>
          <w:rStyle w:val="EndnoteReference"/>
        </w:rPr>
        <w:endnoteRef/>
      </w:r>
      <w:r w:rsidRPr="000B35C9">
        <w:t xml:space="preserve"> </w:t>
      </w:r>
      <w:r w:rsidRPr="007B537E">
        <w:t xml:space="preserve">Australian Government, </w:t>
      </w:r>
      <w:r w:rsidRPr="007B537E">
        <w:rPr>
          <w:lang w:val="en-US"/>
        </w:rPr>
        <w:t xml:space="preserve">Productivity Commission, </w:t>
      </w:r>
      <w:r w:rsidRPr="007B537E">
        <w:rPr>
          <w:i/>
          <w:iCs/>
        </w:rPr>
        <w:t>Review of the National Disability Agreement</w:t>
      </w:r>
      <w:r w:rsidRPr="007B537E">
        <w:rPr>
          <w:lang w:val="en-US"/>
        </w:rPr>
        <w:t xml:space="preserve"> (Productivity Commission Study Report, January 2019) 4 </w:t>
      </w:r>
      <w:r w:rsidR="00BD59BF">
        <w:rPr>
          <w:lang w:val="en-US"/>
        </w:rPr>
        <w:t>&lt;</w:t>
      </w:r>
      <w:hyperlink r:id="rId78" w:history="1">
        <w:r w:rsidR="00BD59BF" w:rsidRPr="001A7DEC">
          <w:rPr>
            <w:rStyle w:val="Hyperlink"/>
            <w:lang w:val="en-US"/>
          </w:rPr>
          <w:t>https://www.pc.gov.au/inquiries/completed/disability-agreement/report/disability-agreement-overview.pdf</w:t>
        </w:r>
      </w:hyperlink>
      <w:r w:rsidR="00BD59BF">
        <w:rPr>
          <w:lang w:val="en-US"/>
        </w:rPr>
        <w:t>&gt;</w:t>
      </w:r>
      <w:r w:rsidRPr="007B537E">
        <w:rPr>
          <w:lang w:val="en-US"/>
        </w:rPr>
        <w:t>.</w:t>
      </w:r>
    </w:p>
  </w:endnote>
  <w:endnote w:id="211">
    <w:p w14:paraId="10D59F03" w14:textId="15918292" w:rsidR="007B537E" w:rsidRPr="000B35C9" w:rsidRDefault="007B537E" w:rsidP="00394CD8">
      <w:pPr>
        <w:pStyle w:val="EndnoteText"/>
      </w:pPr>
      <w:r w:rsidRPr="000B35C9">
        <w:rPr>
          <w:rStyle w:val="EndnoteReference"/>
        </w:rPr>
        <w:endnoteRef/>
      </w:r>
      <w:r w:rsidRPr="000B35C9">
        <w:t xml:space="preserve"> </w:t>
      </w:r>
      <w:r w:rsidRPr="007B537E">
        <w:t xml:space="preserve">Australian Human Rights Commission, Submission to the United Nations Committee on the Rights of Persons with Disabilities, </w:t>
      </w:r>
      <w:r w:rsidRPr="007B537E">
        <w:rPr>
          <w:i/>
        </w:rPr>
        <w:t xml:space="preserve">Information concerning Australia’s compliance with the Convention on the Rights of Persons with </w:t>
      </w:r>
      <w:r w:rsidRPr="007B537E">
        <w:rPr>
          <w:i/>
          <w:iCs/>
        </w:rPr>
        <w:t xml:space="preserve">Disabilities </w:t>
      </w:r>
      <w:r w:rsidRPr="007B537E">
        <w:t xml:space="preserve">(25 July 2019) [22]-[23] </w:t>
      </w:r>
      <w:r w:rsidR="00BD59BF">
        <w:t>&lt;</w:t>
      </w:r>
      <w:hyperlink r:id="rId79" w:history="1">
        <w:r w:rsidR="00BD59BF" w:rsidRPr="001A7DEC">
          <w:rPr>
            <w:rStyle w:val="Hyperlink"/>
          </w:rPr>
          <w:t>https://humanrights.gov.au/sites/default/files/int_crpd_nhs_aus_35594_e.pdf</w:t>
        </w:r>
      </w:hyperlink>
      <w:r w:rsidR="00BD59BF">
        <w:t>&gt;</w:t>
      </w:r>
      <w:r w:rsidRPr="007B537E">
        <w:t>.</w:t>
      </w:r>
      <w:r w:rsidRPr="000B35C9">
        <w:t xml:space="preserve"> </w:t>
      </w:r>
    </w:p>
  </w:endnote>
  <w:endnote w:id="212">
    <w:p w14:paraId="573E3D2B" w14:textId="1B291525" w:rsidR="007B537E" w:rsidRPr="000B35C9" w:rsidRDefault="007B537E">
      <w:pPr>
        <w:pStyle w:val="EndnoteText"/>
        <w:rPr>
          <w:lang w:val="en-US"/>
        </w:rPr>
      </w:pPr>
      <w:r w:rsidRPr="000B35C9">
        <w:rPr>
          <w:rStyle w:val="EndnoteReference"/>
        </w:rPr>
        <w:endnoteRef/>
      </w:r>
      <w:r w:rsidRPr="000B35C9">
        <w:t xml:space="preserve"> </w:t>
      </w:r>
      <w:r w:rsidRPr="007B537E">
        <w:t xml:space="preserve">Australian Government, Department of Social Services, </w:t>
      </w:r>
      <w:r w:rsidRPr="007B537E">
        <w:rPr>
          <w:i/>
          <w:iCs/>
        </w:rPr>
        <w:t xml:space="preserve">National Disability Strategy </w:t>
      </w:r>
      <w:r w:rsidRPr="007B537E">
        <w:t xml:space="preserve">(Position Paper, July 2020) 8-10 </w:t>
      </w:r>
      <w:r w:rsidR="00BD59BF">
        <w:t>&lt;</w:t>
      </w:r>
      <w:hyperlink r:id="rId80" w:history="1">
        <w:r w:rsidR="00BD59BF" w:rsidRPr="001A7DEC">
          <w:rPr>
            <w:rStyle w:val="Hyperlink"/>
          </w:rPr>
          <w:t>https://engage.dss.gov.au/wp-content/uploads/2020/07/national-disability-strategy-position-paper-accessible-pdf.pdf</w:t>
        </w:r>
      </w:hyperlink>
      <w:r w:rsidR="00BD59BF">
        <w:t>&gt;</w:t>
      </w:r>
      <w:r w:rsidRPr="007B537E">
        <w:t>.</w:t>
      </w:r>
    </w:p>
  </w:endnote>
  <w:endnote w:id="213">
    <w:p w14:paraId="74DF119A" w14:textId="65BEC478" w:rsidR="007B537E" w:rsidRPr="000B35C9" w:rsidRDefault="007B537E" w:rsidP="00A94B1E">
      <w:pPr>
        <w:pStyle w:val="EndnoteText"/>
      </w:pPr>
      <w:r w:rsidRPr="000B35C9">
        <w:rPr>
          <w:rStyle w:val="EndnoteReference"/>
        </w:rPr>
        <w:endnoteRef/>
      </w:r>
      <w:r w:rsidRPr="000B35C9">
        <w:t xml:space="preserve"> </w:t>
      </w:r>
      <w:r w:rsidRPr="007B537E">
        <w:t xml:space="preserve">Australian Government, Department of Social Services, </w:t>
      </w:r>
      <w:r w:rsidRPr="007B537E">
        <w:rPr>
          <w:i/>
          <w:iCs/>
        </w:rPr>
        <w:t>New Disability Employment Services Program from 2018 Regulation Impact Statement</w:t>
      </w:r>
      <w:r w:rsidRPr="007B537E">
        <w:t xml:space="preserve"> (March 2018) 8 </w:t>
      </w:r>
      <w:r w:rsidR="00BD59BF">
        <w:t>&lt;</w:t>
      </w:r>
      <w:hyperlink r:id="rId81" w:history="1">
        <w:r w:rsidR="00BD59BF" w:rsidRPr="001A7DEC">
          <w:rPr>
            <w:rStyle w:val="Hyperlink"/>
          </w:rPr>
          <w:t>https://ris.pmc.gov.au/sites/default/files/posts/2018/03/regulation_impact_statement.pdf</w:t>
        </w:r>
      </w:hyperlink>
      <w:r w:rsidR="00BD59BF">
        <w:t>&gt;</w:t>
      </w:r>
      <w:r w:rsidRPr="007B537E">
        <w:t>.</w:t>
      </w:r>
    </w:p>
  </w:endnote>
  <w:endnote w:id="214">
    <w:p w14:paraId="44613545" w14:textId="64DE0EC8" w:rsidR="007B537E" w:rsidRPr="000B35C9" w:rsidRDefault="007B537E" w:rsidP="000F1193">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Government, Department of Social Services, 'Disability Employment Services' (Web Page, 22 August 2019) </w:t>
      </w:r>
      <w:r w:rsidR="00BD59BF">
        <w:rPr>
          <w:rFonts w:cs="Open Sans"/>
        </w:rPr>
        <w:t>&lt;</w:t>
      </w:r>
      <w:hyperlink r:id="rId82" w:history="1">
        <w:r w:rsidR="00BD59BF" w:rsidRPr="001A7DEC">
          <w:rPr>
            <w:rStyle w:val="Hyperlink"/>
            <w:rFonts w:cs="Open Sans"/>
          </w:rPr>
          <w:t>https://www.dss.gov.au/our-responsibilities/disability-and-carers/programmes-services/disability-employment-services</w:t>
        </w:r>
      </w:hyperlink>
      <w:r w:rsidR="00BD59BF">
        <w:rPr>
          <w:rFonts w:cs="Open Sans"/>
        </w:rPr>
        <w:t>&gt;</w:t>
      </w:r>
      <w:r w:rsidRPr="007B537E">
        <w:rPr>
          <w:rFonts w:cs="Open Sans"/>
        </w:rPr>
        <w:t>.</w:t>
      </w:r>
    </w:p>
  </w:endnote>
  <w:endnote w:id="215">
    <w:p w14:paraId="440ADF48" w14:textId="6C2B1A2C" w:rsidR="007B537E" w:rsidRPr="000B35C9" w:rsidRDefault="007B537E" w:rsidP="00395DE8">
      <w:pPr>
        <w:pStyle w:val="EndnoteText"/>
      </w:pPr>
      <w:r w:rsidRPr="000B35C9">
        <w:rPr>
          <w:rStyle w:val="EndnoteReference"/>
        </w:rPr>
        <w:endnoteRef/>
      </w:r>
      <w:r w:rsidRPr="000B35C9">
        <w:t xml:space="preserve"> </w:t>
      </w:r>
      <w:r w:rsidRPr="007B537E">
        <w:t xml:space="preserve">Australian Network on Disability, Inclusion Australia, and Disabled People’s Organisations Australia, ‘Media Release: Disability employment reforms won't solve employment gap for people with disability’ (Media Release, 19 July 2018) </w:t>
      </w:r>
      <w:r w:rsidR="00BD59BF">
        <w:t>&lt;</w:t>
      </w:r>
      <w:hyperlink r:id="rId83" w:history="1">
        <w:r w:rsidR="00BD59BF" w:rsidRPr="001A7DEC">
          <w:rPr>
            <w:rStyle w:val="Hyperlink"/>
          </w:rPr>
          <w:t>https://www.and.org.au/news.php/356/media-release-disability-employment-reforms-wont-solve-employment-gap-for-people-with-disability</w:t>
        </w:r>
      </w:hyperlink>
      <w:r w:rsidR="00BD59BF">
        <w:t>&gt;</w:t>
      </w:r>
      <w:r w:rsidRPr="007B537E">
        <w:rPr>
          <w:rStyle w:val="Hyperlink"/>
          <w:color w:val="auto"/>
          <w:u w:val="none"/>
        </w:rPr>
        <w:t xml:space="preserve">. </w:t>
      </w:r>
      <w:r w:rsidRPr="007B537E">
        <w:t>Disabled People’s Organisations Australia (DPO Australia) is an alliance of four national DPOs: First People’s Disability Network; People with Disability Australia; National Ethnic Disability Alliance and Women With Disabilities Australia.</w:t>
      </w:r>
      <w:r w:rsidRPr="000B35C9">
        <w:t xml:space="preserve"> </w:t>
      </w:r>
    </w:p>
  </w:endnote>
  <w:endnote w:id="216">
    <w:p w14:paraId="640A191F" w14:textId="1457F6F1" w:rsidR="007B537E" w:rsidRPr="000B35C9" w:rsidRDefault="007B537E" w:rsidP="002B73ED">
      <w:pPr>
        <w:pStyle w:val="EndnoteText"/>
        <w:rPr>
          <w:rFonts w:eastAsia="Times New Roman"/>
        </w:rPr>
      </w:pPr>
      <w:r w:rsidRPr="000B35C9">
        <w:rPr>
          <w:rStyle w:val="EndnoteReference"/>
          <w:rFonts w:cs="Open Sans"/>
        </w:rPr>
        <w:endnoteRef/>
      </w:r>
      <w:r w:rsidRPr="000B35C9">
        <w:t xml:space="preserve"> </w:t>
      </w:r>
      <w:r w:rsidRPr="007B537E">
        <w:t xml:space="preserve">See, for example, Alexandra Devine et al, ‘I don’t think they trust the choices I will make.’ – Narrative analysis of choice and control for people with psychosocial disability within reform of the Australian Disability Employment Services program (2019) </w:t>
      </w:r>
      <w:r w:rsidRPr="007B537E">
        <w:rPr>
          <w:i/>
        </w:rPr>
        <w:t xml:space="preserve">Public Management Review </w:t>
      </w:r>
      <w:r w:rsidRPr="007B537E">
        <w:rPr>
          <w:iCs/>
        </w:rPr>
        <w:t>1</w:t>
      </w:r>
      <w:r w:rsidRPr="007B537E">
        <w:t>.</w:t>
      </w:r>
    </w:p>
  </w:endnote>
  <w:endnote w:id="217">
    <w:p w14:paraId="404665A4" w14:textId="4A0AEFDB" w:rsidR="007B537E" w:rsidRPr="000B35C9" w:rsidRDefault="007B537E" w:rsidP="002B73ED">
      <w:pPr>
        <w:pStyle w:val="EndnoteText"/>
      </w:pPr>
      <w:r w:rsidRPr="000B35C9">
        <w:rPr>
          <w:rStyle w:val="EndnoteReference"/>
        </w:rPr>
        <w:endnoteRef/>
      </w:r>
      <w:r w:rsidRPr="000B35C9">
        <w:t xml:space="preserve"> </w:t>
      </w:r>
      <w:r w:rsidRPr="007B537E">
        <w:t xml:space="preserve">See, for example, Amber Schultz, ‘I just want to find something meaningful, that accepts I’m a bit different’ </w:t>
      </w:r>
      <w:r w:rsidRPr="007B537E">
        <w:rPr>
          <w:i/>
          <w:iCs/>
        </w:rPr>
        <w:t xml:space="preserve">Crikey </w:t>
      </w:r>
      <w:r w:rsidRPr="007B537E">
        <w:t xml:space="preserve">(News Article, 18 December 2019) </w:t>
      </w:r>
      <w:r w:rsidR="00BD59BF">
        <w:t>&lt;</w:t>
      </w:r>
      <w:hyperlink r:id="rId84" w:history="1">
        <w:r w:rsidR="00BD59BF" w:rsidRPr="001A7DEC">
          <w:rPr>
            <w:rStyle w:val="Hyperlink"/>
          </w:rPr>
          <w:t>https://www.crikey.com.au/2019/12/18/inq-disability-job-recruitment/</w:t>
        </w:r>
      </w:hyperlink>
      <w:r w:rsidR="00BD59BF">
        <w:t>&gt;</w:t>
      </w:r>
      <w:r w:rsidRPr="007B537E">
        <w:t>.</w:t>
      </w:r>
      <w:r w:rsidRPr="000B35C9">
        <w:t xml:space="preserve"> </w:t>
      </w:r>
    </w:p>
  </w:endnote>
  <w:endnote w:id="218">
    <w:p w14:paraId="2D9FF079" w14:textId="50E31257" w:rsidR="007B537E" w:rsidRPr="000B35C9" w:rsidRDefault="007B537E" w:rsidP="002B73ED">
      <w:pPr>
        <w:pStyle w:val="EndnoteText"/>
      </w:pPr>
      <w:r w:rsidRPr="000B35C9">
        <w:rPr>
          <w:rStyle w:val="EndnoteReference"/>
        </w:rPr>
        <w:endnoteRef/>
      </w:r>
      <w:r w:rsidRPr="000B35C9">
        <w:t xml:space="preserve"> </w:t>
      </w:r>
      <w:r w:rsidRPr="007B537E">
        <w:t xml:space="preserve">Australian Government, Department of Social Services, </w:t>
      </w:r>
      <w:r w:rsidRPr="007B537E">
        <w:rPr>
          <w:i/>
          <w:iCs/>
        </w:rPr>
        <w:t>New Disability Employment Services Program from 2018 Regulation Impact Statement</w:t>
      </w:r>
      <w:r w:rsidRPr="007B537E">
        <w:t xml:space="preserve"> (March 2018) 3 </w:t>
      </w:r>
      <w:r w:rsidR="00BD59BF">
        <w:t>&lt;</w:t>
      </w:r>
      <w:hyperlink r:id="rId85" w:history="1">
        <w:r w:rsidR="00BD59BF" w:rsidRPr="001A7DEC">
          <w:rPr>
            <w:rStyle w:val="Hyperlink"/>
          </w:rPr>
          <w:t>https://ris.pmc.gov.au/sites/default/files/posts/2018/03/regulation_impact_statement.pdf</w:t>
        </w:r>
      </w:hyperlink>
      <w:r w:rsidR="00BD59BF">
        <w:t>&gt;</w:t>
      </w:r>
      <w:r w:rsidRPr="007B537E">
        <w:t>.</w:t>
      </w:r>
      <w:r w:rsidRPr="000B35C9">
        <w:t xml:space="preserve"> </w:t>
      </w:r>
      <w:r w:rsidRPr="007B537E">
        <w:t xml:space="preserve">See also Australian Government, Department of Social Services, ‘New Disability Employment Services from 2018’ (Discussion Paper, November 2016) 6 </w:t>
      </w:r>
      <w:r w:rsidR="00BD59BF">
        <w:t>&lt;</w:t>
      </w:r>
      <w:hyperlink r:id="rId86" w:history="1">
        <w:r w:rsidR="00BD59BF" w:rsidRPr="001A7DEC">
          <w:rPr>
            <w:rStyle w:val="Hyperlink"/>
          </w:rPr>
          <w:t>https://engage.dss.gov.au/wp-content/uploads/2016/11/DES-Reform-Discussion-Paper-November-2016.docx</w:t>
        </w:r>
      </w:hyperlink>
      <w:r w:rsidR="00BD59BF">
        <w:t>&gt;</w:t>
      </w:r>
      <w:r w:rsidRPr="007B537E">
        <w:t>.</w:t>
      </w:r>
      <w:r w:rsidRPr="000B35C9">
        <w:t xml:space="preserve"> </w:t>
      </w:r>
    </w:p>
  </w:endnote>
  <w:endnote w:id="219">
    <w:p w14:paraId="2319A097" w14:textId="21DF9B64" w:rsidR="007B537E" w:rsidRPr="000B35C9" w:rsidRDefault="007B537E" w:rsidP="002B73ED">
      <w:pPr>
        <w:pStyle w:val="EndnoteText"/>
      </w:pPr>
      <w:r w:rsidRPr="000B35C9">
        <w:rPr>
          <w:rStyle w:val="EndnoteReference"/>
        </w:rPr>
        <w:endnoteRef/>
      </w:r>
      <w:r w:rsidRPr="000B35C9">
        <w:t xml:space="preserve"> </w:t>
      </w:r>
      <w:r w:rsidRPr="007B537E">
        <w:t xml:space="preserve">Australian Government, Department of Social Services, </w:t>
      </w:r>
      <w:r w:rsidRPr="007B537E">
        <w:rPr>
          <w:i/>
          <w:iCs/>
        </w:rPr>
        <w:t>New Disability Employment Services Program from 2018 Regulation Impact Statement</w:t>
      </w:r>
      <w:r w:rsidRPr="007B537E">
        <w:t xml:space="preserve"> (March 2018) 5 </w:t>
      </w:r>
      <w:r w:rsidR="00BD59BF">
        <w:t>&lt;</w:t>
      </w:r>
      <w:hyperlink r:id="rId87" w:history="1">
        <w:r w:rsidR="00BD59BF" w:rsidRPr="001A7DEC">
          <w:rPr>
            <w:rStyle w:val="Hyperlink"/>
          </w:rPr>
          <w:t>https://ris.pmc.gov.au/sites/default/files/posts/2018/03/regulation_impact_statement.pdf</w:t>
        </w:r>
      </w:hyperlink>
      <w:r w:rsidR="00BD59BF">
        <w:t>&gt;</w:t>
      </w:r>
      <w:r w:rsidRPr="000B35C9">
        <w:t>.</w:t>
      </w:r>
    </w:p>
  </w:endnote>
  <w:endnote w:id="220">
    <w:p w14:paraId="1CCFFBCC" w14:textId="1E8E8D83" w:rsidR="007B537E" w:rsidRPr="000B35C9" w:rsidRDefault="007B537E" w:rsidP="002B73ED">
      <w:pPr>
        <w:pStyle w:val="EndnoteText"/>
      </w:pPr>
      <w:r w:rsidRPr="000B35C9">
        <w:rPr>
          <w:rStyle w:val="EndnoteReference"/>
        </w:rPr>
        <w:endnoteRef/>
      </w:r>
      <w:r w:rsidRPr="000B35C9">
        <w:t xml:space="preserve"> </w:t>
      </w:r>
      <w:r w:rsidRPr="007B537E">
        <w:t xml:space="preserve">Australian Government, Department of Social Services, </w:t>
      </w:r>
      <w:r w:rsidRPr="007B537E">
        <w:rPr>
          <w:i/>
          <w:iCs/>
        </w:rPr>
        <w:t xml:space="preserve">Annual Report 2018-19 </w:t>
      </w:r>
      <w:r w:rsidRPr="007B537E">
        <w:t xml:space="preserve">(2019) 74, 83 </w:t>
      </w:r>
      <w:r w:rsidR="00BD59BF">
        <w:t>&lt;</w:t>
      </w:r>
      <w:hyperlink r:id="rId88" w:history="1">
        <w:r w:rsidR="00BD59BF" w:rsidRPr="001A7DEC">
          <w:rPr>
            <w:rStyle w:val="Hyperlink"/>
          </w:rPr>
          <w:t>https://www.dss.gov.au/sites/default/files/documents/10_2019/d19-1139120-dss-annual-report-2018-19.pdf</w:t>
        </w:r>
      </w:hyperlink>
      <w:r w:rsidR="00BD59BF">
        <w:t>&gt;</w:t>
      </w:r>
      <w:r w:rsidRPr="007B537E">
        <w:t>.</w:t>
      </w:r>
      <w:r w:rsidRPr="000B35C9">
        <w:t xml:space="preserve"> </w:t>
      </w:r>
    </w:p>
  </w:endnote>
  <w:endnote w:id="221">
    <w:p w14:paraId="080B072B" w14:textId="7246E628" w:rsidR="007B537E" w:rsidRPr="000B35C9" w:rsidRDefault="007B537E" w:rsidP="000C348B">
      <w:pPr>
        <w:pStyle w:val="EndnoteText"/>
      </w:pPr>
      <w:r w:rsidRPr="000B35C9">
        <w:rPr>
          <w:rStyle w:val="EndnoteReference"/>
        </w:rPr>
        <w:endnoteRef/>
      </w:r>
      <w:r w:rsidRPr="000B35C9">
        <w:t xml:space="preserve"> </w:t>
      </w:r>
      <w:r w:rsidRPr="007B537E">
        <w:t xml:space="preserve">Australian Government, Department of Social Services, </w:t>
      </w:r>
      <w:r w:rsidRPr="007B537E">
        <w:rPr>
          <w:i/>
        </w:rPr>
        <w:t>Annual Report 2018-19</w:t>
      </w:r>
      <w:r w:rsidRPr="007B537E">
        <w:t xml:space="preserve"> (2019) 74, 83 </w:t>
      </w:r>
      <w:r w:rsidR="00BD59BF">
        <w:t>&lt;</w:t>
      </w:r>
      <w:hyperlink r:id="rId89" w:history="1">
        <w:r w:rsidR="00BD59BF" w:rsidRPr="001A7DEC">
          <w:rPr>
            <w:rStyle w:val="Hyperlink"/>
          </w:rPr>
          <w:t>https://www.dss.gov.au/sites/default/files/documents/10_2019/d19-1139120-dss-annual-report-2018-19.pdf</w:t>
        </w:r>
      </w:hyperlink>
      <w:r w:rsidR="00BD59BF">
        <w:t>&gt;</w:t>
      </w:r>
      <w:r w:rsidRPr="007B537E">
        <w:t>.</w:t>
      </w:r>
    </w:p>
  </w:endnote>
  <w:endnote w:id="222">
    <w:p w14:paraId="17C78F34" w14:textId="721D4026" w:rsidR="007B537E" w:rsidRPr="000B35C9" w:rsidRDefault="007B537E" w:rsidP="00DA09A6">
      <w:pPr>
        <w:pStyle w:val="EndnoteText"/>
        <w:rPr>
          <w:rFonts w:eastAsia="Times New Roman"/>
        </w:rPr>
      </w:pPr>
      <w:r w:rsidRPr="000B35C9">
        <w:rPr>
          <w:rStyle w:val="EndnoteReference"/>
          <w:rFonts w:cs="Open Sans"/>
        </w:rPr>
        <w:endnoteRef/>
      </w:r>
      <w:r w:rsidRPr="000B35C9">
        <w:t xml:space="preserve"> </w:t>
      </w:r>
      <w:r w:rsidRPr="007B537E">
        <w:t xml:space="preserve">Australian National Audit Office, </w:t>
      </w:r>
      <w:r w:rsidRPr="007B537E">
        <w:rPr>
          <w:i/>
        </w:rPr>
        <w:t>Management of Agreements for Disability Employment Services</w:t>
      </w:r>
      <w:r w:rsidRPr="007B537E">
        <w:t xml:space="preserve"> (Auditor-General Report No 45 of 2019-20, 24 June 2020) [18]-[20] &lt;</w:t>
      </w:r>
      <w:hyperlink r:id="rId90" w:history="1">
        <w:r w:rsidRPr="007B537E">
          <w:rPr>
            <w:rStyle w:val="Hyperlink"/>
          </w:rPr>
          <w:t>https://www.anao.gov.au/work/performance-audit/management-contracts-disability-employment-services</w:t>
        </w:r>
      </w:hyperlink>
      <w:r w:rsidRPr="007B537E">
        <w:t>&gt;.</w:t>
      </w:r>
    </w:p>
  </w:endnote>
  <w:endnote w:id="223">
    <w:p w14:paraId="73EB50BC" w14:textId="1B3C2A7F" w:rsidR="007B537E" w:rsidRPr="000B35C9" w:rsidRDefault="007B537E" w:rsidP="00B13692">
      <w:pPr>
        <w:pStyle w:val="EndnoteText"/>
      </w:pPr>
      <w:r w:rsidRPr="000B35C9">
        <w:rPr>
          <w:rStyle w:val="EndnoteReference"/>
        </w:rPr>
        <w:endnoteRef/>
      </w:r>
      <w:r w:rsidRPr="000B35C9">
        <w:t xml:space="preserve"> </w:t>
      </w:r>
      <w:r w:rsidRPr="007B537E">
        <w:t xml:space="preserve">CRPD Committee, </w:t>
      </w:r>
      <w:r w:rsidRPr="007B537E">
        <w:rPr>
          <w:i/>
        </w:rPr>
        <w:t>Concluding observations on the combined second and third periodic reports of Australia</w:t>
      </w:r>
      <w:r w:rsidRPr="007B537E">
        <w:t>, UN Doc CRPD/C/AUS/CO/2-3 (15 October 2019) [49(a)], [50(a)].</w:t>
      </w:r>
    </w:p>
  </w:endnote>
  <w:endnote w:id="224">
    <w:p w14:paraId="30B35018" w14:textId="59C4BBDD" w:rsidR="007B537E" w:rsidRPr="0074469F" w:rsidRDefault="007B537E" w:rsidP="00B6659D">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National Audit Office, </w:t>
      </w:r>
      <w:r w:rsidRPr="007B537E">
        <w:rPr>
          <w:rFonts w:cs="Open Sans"/>
          <w:i/>
        </w:rPr>
        <w:t>Management of Agreements for Disability Employment Services</w:t>
      </w:r>
      <w:r w:rsidRPr="007B537E">
        <w:rPr>
          <w:rFonts w:cs="Open Sans"/>
        </w:rPr>
        <w:t xml:space="preserve"> (Auditor-General Report No 45 of 2019-20, 24 June 2020) [2.21] &lt;</w:t>
      </w:r>
      <w:hyperlink r:id="rId91" w:history="1">
        <w:r w:rsidRPr="007B537E">
          <w:rPr>
            <w:rStyle w:val="Hyperlink"/>
            <w:rFonts w:cs="Open Sans"/>
          </w:rPr>
          <w:t>https://www.anao.gov.au/work/performance-audit/management-contracts-disability-employment-services</w:t>
        </w:r>
      </w:hyperlink>
      <w:r w:rsidRPr="007B537E">
        <w:rPr>
          <w:rFonts w:cs="Open Sans"/>
        </w:rPr>
        <w:t>&gt;.</w:t>
      </w:r>
    </w:p>
  </w:endnote>
  <w:endnote w:id="225">
    <w:p w14:paraId="13A6C6A1" w14:textId="71BDF350" w:rsidR="007B537E" w:rsidRPr="000B35C9" w:rsidRDefault="007B537E" w:rsidP="00343B49">
      <w:pPr>
        <w:pStyle w:val="EndnoteText"/>
      </w:pPr>
      <w:r w:rsidRPr="000B35C9">
        <w:rPr>
          <w:rStyle w:val="EndnoteReference"/>
          <w:rFonts w:cs="Open Sans"/>
        </w:rPr>
        <w:endnoteRef/>
      </w:r>
      <w:r w:rsidRPr="000B35C9">
        <w:rPr>
          <w:rFonts w:cs="Open Sans"/>
        </w:rPr>
        <w:t xml:space="preserve"> </w:t>
      </w:r>
      <w:r w:rsidRPr="007B537E">
        <w:rPr>
          <w:rFonts w:cs="Open Sans"/>
        </w:rPr>
        <w:t>Australian Government, Department of Social Services, 'National Disability Employment Framework' (Issues Paper, May 2015) 2 &lt;</w:t>
      </w:r>
      <w:hyperlink r:id="rId92" w:history="1">
        <w:r w:rsidRPr="007B537E">
          <w:rPr>
            <w:rStyle w:val="Hyperlink"/>
            <w:rFonts w:cs="Open Sans"/>
          </w:rPr>
          <w:t>https://engage.dss.gov.au/wp-content/uploads/2015/05/issues_paper.pdf</w:t>
        </w:r>
      </w:hyperlink>
      <w:r w:rsidRPr="007B537E">
        <w:rPr>
          <w:rFonts w:cs="Open Sans"/>
        </w:rPr>
        <w:t>&gt;.</w:t>
      </w:r>
    </w:p>
  </w:endnote>
  <w:endnote w:id="226">
    <w:p w14:paraId="3AA74880" w14:textId="0459659F" w:rsidR="007B537E" w:rsidRPr="000B35C9" w:rsidRDefault="007B537E" w:rsidP="00CC403D">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Government, </w:t>
      </w:r>
      <w:r w:rsidRPr="007B537E">
        <w:rPr>
          <w:rFonts w:cs="Open Sans"/>
          <w:i/>
        </w:rPr>
        <w:t>Combined Second and Third Periodic Reports submitted by Australia under Article 35 of the Convention, due in 2018*</w:t>
      </w:r>
      <w:r w:rsidRPr="007B537E">
        <w:rPr>
          <w:rFonts w:cs="Open Sans"/>
        </w:rPr>
        <w:t>, UN Doc CPRD/C/AUS/2-3 (5 February 2019) 35 [299].</w:t>
      </w:r>
    </w:p>
  </w:endnote>
  <w:endnote w:id="227">
    <w:p w14:paraId="1CE961E1" w14:textId="577E8CD3" w:rsidR="007B537E" w:rsidRPr="000B35C9" w:rsidRDefault="007B537E" w:rsidP="004A56AC">
      <w:pPr>
        <w:pStyle w:val="EndnoteText"/>
      </w:pPr>
      <w:r w:rsidRPr="000B35C9">
        <w:rPr>
          <w:rStyle w:val="EndnoteReference"/>
        </w:rPr>
        <w:endnoteRef/>
      </w:r>
      <w:r w:rsidRPr="000B35C9">
        <w:t xml:space="preserve"> </w:t>
      </w:r>
      <w:r w:rsidRPr="007B537E">
        <w:t xml:space="preserve">CRPD Committee, </w:t>
      </w:r>
      <w:r w:rsidRPr="007B537E">
        <w:rPr>
          <w:i/>
        </w:rPr>
        <w:t>Concluding observations on the combined second and third periodic reports of Australia</w:t>
      </w:r>
      <w:r w:rsidRPr="007B537E">
        <w:t>, UN Doc CRPD/C/AUS/CO/2-3 (15 October 2019) [50(a)].</w:t>
      </w:r>
    </w:p>
  </w:endnote>
  <w:endnote w:id="228">
    <w:p w14:paraId="2EDE8E0B" w14:textId="77EBFD44" w:rsidR="007B537E" w:rsidRPr="000B35C9" w:rsidRDefault="007B537E" w:rsidP="00743177">
      <w:pPr>
        <w:pStyle w:val="EndnoteText"/>
        <w:rPr>
          <w:rFonts w:eastAsia="Times New Roman"/>
        </w:rPr>
      </w:pPr>
      <w:r w:rsidRPr="000B35C9">
        <w:rPr>
          <w:rStyle w:val="EndnoteReference"/>
          <w:rFonts w:cs="Open Sans"/>
        </w:rPr>
        <w:endnoteRef/>
      </w:r>
      <w:r w:rsidRPr="000B35C9">
        <w:t xml:space="preserve"> </w:t>
      </w:r>
      <w:r w:rsidRPr="007B537E">
        <w:t xml:space="preserve">Australian Government, Department of Social Services, </w:t>
      </w:r>
      <w:r w:rsidRPr="007B537E">
        <w:rPr>
          <w:i/>
        </w:rPr>
        <w:t>Employment Assistance Fund Guidelines</w:t>
      </w:r>
      <w:r w:rsidRPr="007B537E">
        <w:t xml:space="preserve"> (Version 3.3, January 2018) &lt;</w:t>
      </w:r>
      <w:hyperlink r:id="rId93" w:history="1">
        <w:r w:rsidRPr="007B537E">
          <w:rPr>
            <w:rStyle w:val="Hyperlink"/>
          </w:rPr>
          <w:t>https://www.jobaccess.gov.au/sites/default/files/documents/06_2018/eaf-guidelines-jan-2018.pdf</w:t>
        </w:r>
      </w:hyperlink>
      <w:r w:rsidRPr="007B537E">
        <w:t>&gt;.</w:t>
      </w:r>
    </w:p>
  </w:endnote>
  <w:endnote w:id="229">
    <w:p w14:paraId="2AFC111E" w14:textId="31E33A8B" w:rsidR="007B537E" w:rsidRPr="000B35C9" w:rsidRDefault="007B537E" w:rsidP="00AC58D2">
      <w:pPr>
        <w:pStyle w:val="EndnoteText"/>
        <w:rPr>
          <w:rFonts w:eastAsia="Times New Roman"/>
        </w:rPr>
      </w:pPr>
      <w:r w:rsidRPr="000B35C9">
        <w:rPr>
          <w:rStyle w:val="EndnoteReference"/>
          <w:rFonts w:cs="Open Sans"/>
        </w:rPr>
        <w:endnoteRef/>
      </w:r>
      <w:r w:rsidRPr="000B35C9">
        <w:t xml:space="preserve"> </w:t>
      </w:r>
      <w:r w:rsidRPr="007B537E">
        <w:t xml:space="preserve">Australian Human Rights Commission, </w:t>
      </w:r>
      <w:r w:rsidRPr="007B537E">
        <w:rPr>
          <w:i/>
        </w:rPr>
        <w:t xml:space="preserve">Willing to Work: National Inquiry into Employment Discrimination Against Older Australians and Australians with Disability </w:t>
      </w:r>
      <w:r w:rsidRPr="007B537E">
        <w:t>(Report, 2016) 214 &lt;</w:t>
      </w:r>
      <w:hyperlink r:id="rId94" w:history="1">
        <w:r w:rsidRPr="007B537E">
          <w:rPr>
            <w:rStyle w:val="Hyperlink"/>
          </w:rPr>
          <w:t>https://humanrights.gov.au/sites/default/files/document/publication/WTW_2016_Full_Report_AHRC_ac.pdf</w:t>
        </w:r>
      </w:hyperlink>
      <w:r w:rsidRPr="007B537E">
        <w:t>&gt;;</w:t>
      </w:r>
      <w:r w:rsidRPr="000B35C9">
        <w:t xml:space="preserve"> </w:t>
      </w:r>
      <w:r w:rsidRPr="007B537E">
        <w:t>Australian Government, Department of Social Services, 'National Disability Employment Framework' (Consultation Report, September 2015) 5 &lt;</w:t>
      </w:r>
      <w:hyperlink r:id="rId95" w:history="1">
        <w:r w:rsidRPr="007B537E">
          <w:rPr>
            <w:rStyle w:val="Hyperlink"/>
          </w:rPr>
          <w:t>https://engage.dss.gov.au/wp-content/uploads/2015/09/DES-Consultation-Report.pdf</w:t>
        </w:r>
      </w:hyperlink>
      <w:r w:rsidRPr="007B537E">
        <w:t>&gt;.</w:t>
      </w:r>
    </w:p>
  </w:endnote>
  <w:endnote w:id="230">
    <w:p w14:paraId="23296C90" w14:textId="549E4671" w:rsidR="007B537E" w:rsidRPr="000B35C9" w:rsidRDefault="007B537E" w:rsidP="00443408">
      <w:pPr>
        <w:pStyle w:val="EndnoteText"/>
        <w:rPr>
          <w:rFonts w:eastAsia="Times New Roman"/>
        </w:rPr>
      </w:pPr>
      <w:r w:rsidRPr="000B35C9">
        <w:rPr>
          <w:rStyle w:val="EndnoteReference"/>
          <w:rFonts w:cs="Open Sans"/>
        </w:rPr>
        <w:endnoteRef/>
      </w:r>
      <w:r w:rsidRPr="000B35C9">
        <w:t xml:space="preserve"> </w:t>
      </w:r>
      <w:r w:rsidRPr="007B537E">
        <w:t xml:space="preserve">Australian Human Rights Commission, </w:t>
      </w:r>
      <w:r w:rsidRPr="007B537E">
        <w:rPr>
          <w:i/>
        </w:rPr>
        <w:t xml:space="preserve">Willing to Work: National Inquiry into Employment Discrimination Against Older Australians and Australians with Disability </w:t>
      </w:r>
      <w:r w:rsidRPr="007B537E">
        <w:t>(Report, 2016) 193, 214-215, 256 &lt;</w:t>
      </w:r>
      <w:hyperlink r:id="rId96" w:history="1">
        <w:r w:rsidRPr="007B537E">
          <w:rPr>
            <w:rStyle w:val="Hyperlink"/>
          </w:rPr>
          <w:t>https://humanrights.gov.au/sites/default/files/document/publication/WTW_2016_Full_Report_AHRC_ac.pdf</w:t>
        </w:r>
      </w:hyperlink>
      <w:r w:rsidRPr="007B537E">
        <w:t>&gt;.</w:t>
      </w:r>
    </w:p>
  </w:endnote>
  <w:endnote w:id="231">
    <w:p w14:paraId="0736A0CA" w14:textId="6CF04EB7" w:rsidR="007B537E" w:rsidRPr="000B35C9" w:rsidRDefault="007B537E" w:rsidP="003744B2">
      <w:pPr>
        <w:pStyle w:val="EndnoteText"/>
        <w:rPr>
          <w:rFonts w:eastAsia="Times New Roman"/>
        </w:rPr>
      </w:pPr>
      <w:r w:rsidRPr="000B35C9">
        <w:rPr>
          <w:rStyle w:val="EndnoteReference"/>
          <w:rFonts w:cs="Open Sans"/>
        </w:rPr>
        <w:endnoteRef/>
      </w:r>
      <w:r w:rsidRPr="000B35C9">
        <w:t xml:space="preserve"> </w:t>
      </w:r>
      <w:r w:rsidRPr="007B537E">
        <w:t>Australian Government, Department of Social Services, 'National Disability Employment Framework' (Consultation Report, September 2015) 5 &lt;</w:t>
      </w:r>
      <w:hyperlink r:id="rId97" w:history="1">
        <w:r w:rsidRPr="007B537E">
          <w:rPr>
            <w:rStyle w:val="Hyperlink"/>
          </w:rPr>
          <w:t>https://engage.dss.gov.au/wp-content/uploads/2015/09/DES-Consultation-Report.pdf</w:t>
        </w:r>
      </w:hyperlink>
      <w:r w:rsidRPr="007B537E">
        <w:t>&gt;.</w:t>
      </w:r>
    </w:p>
  </w:endnote>
  <w:endnote w:id="232">
    <w:p w14:paraId="39163C2A" w14:textId="2C07FA71" w:rsidR="007B537E" w:rsidRPr="000B35C9" w:rsidRDefault="007B537E" w:rsidP="0098437B">
      <w:pPr>
        <w:pStyle w:val="EndnoteText"/>
        <w:rPr>
          <w:rFonts w:eastAsia="Times New Roman"/>
        </w:rPr>
      </w:pPr>
      <w:r w:rsidRPr="000B35C9">
        <w:rPr>
          <w:rStyle w:val="EndnoteReference"/>
          <w:rFonts w:cs="Open Sans"/>
        </w:rPr>
        <w:endnoteRef/>
      </w:r>
      <w:r w:rsidRPr="000B35C9">
        <w:t xml:space="preserve"> </w:t>
      </w:r>
      <w:r w:rsidRPr="007B537E">
        <w:t xml:space="preserve">Australian Human Rights Commission, </w:t>
      </w:r>
      <w:r w:rsidRPr="007B537E">
        <w:rPr>
          <w:i/>
        </w:rPr>
        <w:t xml:space="preserve">Willing to Work: National Inquiry into Employment Discrimination Against Older Australians and Australians with Disability </w:t>
      </w:r>
      <w:r w:rsidRPr="007B537E">
        <w:t>(Report, 2016) 193 &lt;</w:t>
      </w:r>
      <w:hyperlink r:id="rId98" w:history="1">
        <w:r w:rsidRPr="007B537E">
          <w:rPr>
            <w:rStyle w:val="Hyperlink"/>
          </w:rPr>
          <w:t>https://humanrights.gov.au/sites/default/files/document/publication/WTW_2016_Full_Report_AHRC_ac.pdf</w:t>
        </w:r>
      </w:hyperlink>
      <w:r w:rsidRPr="007B537E">
        <w:t>&gt;; Australian Government, Department of Social Services, 'National Disability Employment Framework' (Consultation Report, September 2015) 5 &lt;</w:t>
      </w:r>
      <w:hyperlink r:id="rId99" w:history="1">
        <w:r w:rsidRPr="007B537E">
          <w:rPr>
            <w:rStyle w:val="Hyperlink"/>
          </w:rPr>
          <w:t>https://engage.dss.gov.au/wp-content/uploads/2015/09/DES-Consultation-Report.pdf</w:t>
        </w:r>
      </w:hyperlink>
      <w:r w:rsidRPr="007B537E">
        <w:t>&gt;. Funding for Auslan interpreting services under the EAF is currently capped at a maximum of $6,000 for a 21-month period.</w:t>
      </w:r>
    </w:p>
  </w:endnote>
  <w:endnote w:id="233">
    <w:p w14:paraId="250EDD05" w14:textId="3EF5E167" w:rsidR="007B537E" w:rsidRPr="000B35C9" w:rsidRDefault="007B537E" w:rsidP="00632FA4">
      <w:pPr>
        <w:pStyle w:val="EndnoteText"/>
        <w:rPr>
          <w:rFonts w:ascii="Arial" w:eastAsia="Times New Roman" w:hAnsi="Arial" w:cs="Arial"/>
        </w:rPr>
      </w:pPr>
      <w:r w:rsidRPr="000B35C9">
        <w:rPr>
          <w:rStyle w:val="EndnoteReference"/>
          <w:rFonts w:cs="Open Sans"/>
        </w:rPr>
        <w:endnoteRef/>
      </w:r>
      <w:r w:rsidRPr="000B35C9">
        <w:t xml:space="preserve"> </w:t>
      </w:r>
      <w:r w:rsidRPr="007B537E">
        <w:t xml:space="preserve">Australian Human Rights Commission, </w:t>
      </w:r>
      <w:r w:rsidRPr="007B537E">
        <w:rPr>
          <w:i/>
        </w:rPr>
        <w:t xml:space="preserve">Willing to Work: National Inquiry into Employment Discrimination Against Older Australians and Australians with Disability </w:t>
      </w:r>
      <w:r w:rsidRPr="007B537E">
        <w:t>(Report, 2016) 193, 214-215, 256 &lt;</w:t>
      </w:r>
      <w:hyperlink r:id="rId100" w:history="1">
        <w:r w:rsidRPr="007B537E">
          <w:rPr>
            <w:rStyle w:val="Hyperlink"/>
          </w:rPr>
          <w:t>https://humanrights.gov.au/sites/default/files/document/publication/WTW_2016_Full_Report_AHRC_ac.pdf</w:t>
        </w:r>
      </w:hyperlink>
      <w:r w:rsidRPr="007B537E">
        <w:t>&gt;.</w:t>
      </w:r>
    </w:p>
  </w:endnote>
  <w:endnote w:id="234">
    <w:p w14:paraId="4641C06A" w14:textId="66A8D087" w:rsidR="007B537E" w:rsidRPr="000B35C9" w:rsidRDefault="007B537E" w:rsidP="004424F6">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(Report, 2016) 257 &lt;</w:t>
      </w:r>
      <w:hyperlink r:id="rId101" w:history="1">
        <w:r w:rsidRPr="007B537E">
          <w:rPr>
            <w:rStyle w:val="Hyperlink"/>
            <w:rFonts w:cs="Open Sans"/>
          </w:rPr>
          <w:t>https://humanrights.gov.au/sites/default/files/document/publication/WTW_2016_Full_Report_AHRC_ac.pdf</w:t>
        </w:r>
      </w:hyperlink>
      <w:r w:rsidRPr="007B537E">
        <w:rPr>
          <w:rFonts w:cs="Open Sans"/>
        </w:rPr>
        <w:t>&gt;.</w:t>
      </w:r>
    </w:p>
  </w:endnote>
  <w:endnote w:id="235">
    <w:p w14:paraId="5F85EA0E" w14:textId="1D8805EE" w:rsidR="007B537E" w:rsidRPr="000B35C9" w:rsidRDefault="007B537E">
      <w:pPr>
        <w:pStyle w:val="EndnoteText"/>
      </w:pPr>
      <w:r w:rsidRPr="000B35C9">
        <w:rPr>
          <w:rStyle w:val="EndnoteReference"/>
        </w:rPr>
        <w:endnoteRef/>
      </w:r>
      <w:r w:rsidRPr="000B35C9">
        <w:t xml:space="preserve"> </w:t>
      </w:r>
      <w:r w:rsidRPr="007B537E">
        <w:rPr>
          <w:rFonts w:cs="Open Sans"/>
        </w:rPr>
        <w:t xml:space="preserve">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(Report, 2016) 125 &lt;</w:t>
      </w:r>
      <w:hyperlink r:id="rId102" w:history="1">
        <w:r w:rsidRPr="007B537E">
          <w:rPr>
            <w:rStyle w:val="Hyperlink"/>
            <w:rFonts w:cs="Open Sans"/>
          </w:rPr>
          <w:t>https://humanrights.gov.au/sites/default/files/document/publication/WTW_2016_Full_Report_AHRC_ac.pdf</w:t>
        </w:r>
      </w:hyperlink>
      <w:r w:rsidRPr="007B537E">
        <w:rPr>
          <w:rFonts w:cs="Open Sans"/>
        </w:rPr>
        <w:t>&gt;.</w:t>
      </w:r>
    </w:p>
  </w:endnote>
  <w:endnote w:id="236">
    <w:p w14:paraId="637F73CE" w14:textId="7E7AB763" w:rsidR="007B537E" w:rsidRPr="000B35C9" w:rsidRDefault="007B537E" w:rsidP="004424F6">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Institute of Health and Welfare, </w:t>
      </w:r>
      <w:r w:rsidRPr="007B537E">
        <w:rPr>
          <w:rFonts w:cs="Open Sans"/>
          <w:i/>
        </w:rPr>
        <w:t xml:space="preserve">Chronic Disease and Participation in Work </w:t>
      </w:r>
      <w:r w:rsidRPr="007B537E">
        <w:rPr>
          <w:rFonts w:cs="Open Sans"/>
        </w:rPr>
        <w:t>(Cat No PHE 109, 2009) 7 &lt;</w:t>
      </w:r>
      <w:hyperlink r:id="rId103" w:history="1">
        <w:r w:rsidRPr="007B537E">
          <w:rPr>
            <w:rStyle w:val="Hyperlink"/>
          </w:rPr>
          <w:t>https://www.aihw.gov.au/reports/chronic-disease/chronic-disease-participation-work/contents/table-of-contents</w:t>
        </w:r>
      </w:hyperlink>
      <w:r w:rsidRPr="007B537E">
        <w:t>&gt;.</w:t>
      </w:r>
    </w:p>
  </w:endnote>
  <w:endnote w:id="237">
    <w:p w14:paraId="2B8A82C0" w14:textId="785D9393" w:rsidR="007B537E" w:rsidRPr="000B35C9" w:rsidRDefault="007B537E" w:rsidP="004424F6">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Institute of Health and Welfare, </w:t>
      </w:r>
      <w:r w:rsidRPr="007B537E">
        <w:rPr>
          <w:rFonts w:cs="Open Sans"/>
          <w:i/>
        </w:rPr>
        <w:t xml:space="preserve">Chronic Disease and Participation in Work </w:t>
      </w:r>
      <w:r w:rsidRPr="007B537E">
        <w:rPr>
          <w:rFonts w:cs="Open Sans"/>
        </w:rPr>
        <w:t>(Cat No PHE 109, 2009) 35 &lt;</w:t>
      </w:r>
      <w:hyperlink r:id="rId104" w:history="1">
        <w:r w:rsidRPr="007B537E">
          <w:rPr>
            <w:rStyle w:val="Hyperlink"/>
          </w:rPr>
          <w:t>https://www.aihw.gov.au/reports/chronic-disease/chronic-disease-participation-work/contents/table-of-contents</w:t>
        </w:r>
      </w:hyperlink>
      <w:r w:rsidRPr="007B537E">
        <w:t>&gt;.</w:t>
      </w:r>
    </w:p>
  </w:endnote>
  <w:endnote w:id="238">
    <w:p w14:paraId="7BC6BC37" w14:textId="29666E43" w:rsidR="007B537E" w:rsidRPr="000B35C9" w:rsidRDefault="007B537E" w:rsidP="004424F6">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Deborah J Schofield et al, ‘Lost Productive Life Years Caused by Chronic Conditions in Australians Aged 45-64, 2010-2030’ (2015) 203(6) </w:t>
      </w:r>
      <w:r w:rsidRPr="007B537E">
        <w:rPr>
          <w:rFonts w:cs="Open Sans"/>
          <w:i/>
        </w:rPr>
        <w:t xml:space="preserve">Medical Journal of Australia </w:t>
      </w:r>
      <w:r w:rsidRPr="007B537E">
        <w:rPr>
          <w:rFonts w:cs="Open Sans"/>
        </w:rPr>
        <w:t>206, 209 &lt;</w:t>
      </w:r>
      <w:hyperlink r:id="rId105" w:history="1">
        <w:r w:rsidRPr="007B537E">
          <w:rPr>
            <w:rStyle w:val="Hyperlink"/>
            <w:rFonts w:cs="Open Sans"/>
          </w:rPr>
          <w:t>https://www.mja.com.au/journal/2015/203/6/lost-productive-life-years-caused-chronic-conditions-australians-aged-45-64</w:t>
        </w:r>
      </w:hyperlink>
      <w:r w:rsidRPr="007B537E">
        <w:rPr>
          <w:rFonts w:cs="Open Sans"/>
        </w:rPr>
        <w:t>&gt;.</w:t>
      </w:r>
      <w:r w:rsidRPr="000B35C9">
        <w:rPr>
          <w:rFonts w:cs="Open Sans"/>
        </w:rPr>
        <w:t xml:space="preserve"> </w:t>
      </w:r>
    </w:p>
  </w:endnote>
  <w:endnote w:id="239">
    <w:p w14:paraId="38786668" w14:textId="735E96B7" w:rsidR="007B537E" w:rsidRPr="000B35C9" w:rsidRDefault="007B537E" w:rsidP="003F0614">
      <w:pPr>
        <w:pStyle w:val="EndnoteText"/>
      </w:pPr>
      <w:r w:rsidRPr="000B35C9">
        <w:rPr>
          <w:rStyle w:val="EndnoteReference"/>
        </w:rPr>
        <w:endnoteRef/>
      </w:r>
      <w:r w:rsidRPr="000B35C9">
        <w:t xml:space="preserve"> </w:t>
      </w:r>
      <w:r w:rsidRPr="007B537E">
        <w:t xml:space="preserve">National Disability Insurance Agency, </w:t>
      </w:r>
      <w:r w:rsidRPr="007B537E">
        <w:rPr>
          <w:i/>
        </w:rPr>
        <w:t xml:space="preserve">Corporate Plan 2019-2023 </w:t>
      </w:r>
      <w:r w:rsidRPr="007B537E">
        <w:t>(2019) 19 &lt;</w:t>
      </w:r>
      <w:hyperlink r:id="rId106" w:history="1">
        <w:r w:rsidRPr="007B537E">
          <w:rPr>
            <w:rStyle w:val="Hyperlink"/>
          </w:rPr>
          <w:t>https://www.ndis.gov.au/media/1645/download</w:t>
        </w:r>
      </w:hyperlink>
      <w:r w:rsidRPr="007B537E">
        <w:t>&gt;.</w:t>
      </w:r>
    </w:p>
  </w:endnote>
  <w:endnote w:id="240">
    <w:p w14:paraId="5C76723F" w14:textId="7905A45F" w:rsidR="007B537E" w:rsidRPr="000B35C9" w:rsidRDefault="007B537E" w:rsidP="00BC4682">
      <w:pPr>
        <w:pStyle w:val="EndnoteText"/>
      </w:pPr>
      <w:r w:rsidRPr="000B35C9">
        <w:rPr>
          <w:rStyle w:val="EndnoteReference"/>
        </w:rPr>
        <w:endnoteRef/>
      </w:r>
      <w:r w:rsidRPr="000B35C9">
        <w:t xml:space="preserve"> </w:t>
      </w:r>
      <w:r w:rsidRPr="007B537E">
        <w:t xml:space="preserve">National Disability Insurance Scheme, </w:t>
      </w:r>
      <w:r w:rsidRPr="007B537E">
        <w:rPr>
          <w:i/>
        </w:rPr>
        <w:t xml:space="preserve">NDIS Participant Employment Strategy 2019-2022 </w:t>
      </w:r>
      <w:r w:rsidRPr="007B537E">
        <w:t>(2019) 8 &lt;</w:t>
      </w:r>
      <w:hyperlink r:id="rId107" w:history="1">
        <w:r w:rsidRPr="007B537E">
          <w:rPr>
            <w:rStyle w:val="Hyperlink"/>
          </w:rPr>
          <w:t>https://www.ndis.gov.au/media/1957/download</w:t>
        </w:r>
      </w:hyperlink>
      <w:r w:rsidRPr="007B537E">
        <w:t>&gt;.</w:t>
      </w:r>
      <w:r w:rsidRPr="000B35C9">
        <w:t xml:space="preserve"> </w:t>
      </w:r>
    </w:p>
  </w:endnote>
  <w:endnote w:id="241">
    <w:p w14:paraId="3B4F9440" w14:textId="02AB5977" w:rsidR="007B537E" w:rsidRPr="000B35C9" w:rsidRDefault="007B537E" w:rsidP="00F2482D">
      <w:pPr>
        <w:pStyle w:val="EndnoteText"/>
      </w:pPr>
      <w:r w:rsidRPr="000B35C9">
        <w:rPr>
          <w:rStyle w:val="EndnoteReference"/>
        </w:rPr>
        <w:endnoteRef/>
      </w:r>
      <w:r w:rsidRPr="000B35C9">
        <w:t xml:space="preserve"> </w:t>
      </w:r>
      <w:r w:rsidRPr="007B537E">
        <w:t xml:space="preserve">‘Employment’, </w:t>
      </w:r>
      <w:r w:rsidRPr="007B537E">
        <w:rPr>
          <w:i/>
        </w:rPr>
        <w:t>National Disability Insurance Scheme</w:t>
      </w:r>
      <w:r w:rsidRPr="007B537E">
        <w:t xml:space="preserve"> (Web page) &lt;</w:t>
      </w:r>
      <w:hyperlink r:id="rId108" w:history="1">
        <w:r w:rsidRPr="007B537E">
          <w:rPr>
            <w:rStyle w:val="Hyperlink"/>
          </w:rPr>
          <w:t>https://www.ndis.gov.au/understanding/ndis-and-other-government-services/employment</w:t>
        </w:r>
      </w:hyperlink>
      <w:r w:rsidRPr="007B537E">
        <w:t>&gt;.</w:t>
      </w:r>
      <w:r w:rsidRPr="000B35C9">
        <w:t xml:space="preserve"> </w:t>
      </w:r>
    </w:p>
  </w:endnote>
  <w:endnote w:id="242">
    <w:p w14:paraId="7DFD6B2F" w14:textId="4E59CD4B" w:rsidR="007B537E" w:rsidRPr="000B35C9" w:rsidRDefault="007B537E" w:rsidP="003F0614">
      <w:pPr>
        <w:pStyle w:val="EndnoteText"/>
      </w:pPr>
      <w:r w:rsidRPr="000B35C9">
        <w:rPr>
          <w:rStyle w:val="EndnoteReference"/>
        </w:rPr>
        <w:endnoteRef/>
      </w:r>
      <w:r w:rsidRPr="000B35C9">
        <w:t xml:space="preserve"> </w:t>
      </w:r>
      <w:r w:rsidRPr="007B537E">
        <w:t xml:space="preserve">National Disability Insurance Scheme, </w:t>
      </w:r>
      <w:r w:rsidRPr="007B537E">
        <w:rPr>
          <w:i/>
        </w:rPr>
        <w:t>School Leaver Employment Supports (SLES) Provider Handbook Version 2</w:t>
      </w:r>
      <w:r w:rsidRPr="007B537E">
        <w:t xml:space="preserve"> (December 2019) 14 &lt;</w:t>
      </w:r>
      <w:hyperlink r:id="rId109" w:history="1">
        <w:r w:rsidRPr="007B537E">
          <w:rPr>
            <w:rStyle w:val="Hyperlink"/>
          </w:rPr>
          <w:t>https://www.ndis.gov.au/media/321/download</w:t>
        </w:r>
      </w:hyperlink>
      <w:r w:rsidRPr="007B537E">
        <w:t>&gt;.</w:t>
      </w:r>
      <w:r w:rsidRPr="000B35C9">
        <w:t xml:space="preserve"> </w:t>
      </w:r>
    </w:p>
  </w:endnote>
  <w:endnote w:id="243">
    <w:p w14:paraId="28FCD5E7" w14:textId="584ABD03" w:rsidR="007B537E" w:rsidRPr="000B35C9" w:rsidRDefault="007B537E" w:rsidP="003F0614">
      <w:pPr>
        <w:pStyle w:val="EndnoteText"/>
      </w:pPr>
      <w:r w:rsidRPr="000B35C9">
        <w:rPr>
          <w:rStyle w:val="EndnoteReference"/>
        </w:rPr>
        <w:endnoteRef/>
      </w:r>
      <w:r w:rsidRPr="000B35C9">
        <w:t xml:space="preserve"> </w:t>
      </w:r>
      <w:r w:rsidRPr="007B537E">
        <w:t xml:space="preserve">National Disability Insurance Scheme, </w:t>
      </w:r>
      <w:r w:rsidRPr="007B537E">
        <w:rPr>
          <w:i/>
        </w:rPr>
        <w:t>NDIS Participant Employment Strategy 2019-2022</w:t>
      </w:r>
      <w:r w:rsidRPr="007B537E">
        <w:t xml:space="preserve"> (2019) 7 &lt;</w:t>
      </w:r>
      <w:hyperlink r:id="rId110" w:history="1">
        <w:r w:rsidRPr="007B537E">
          <w:rPr>
            <w:rStyle w:val="Hyperlink"/>
          </w:rPr>
          <w:t>https://www.ndis.gov.au/media/1957/download</w:t>
        </w:r>
      </w:hyperlink>
      <w:r w:rsidRPr="007B537E">
        <w:t xml:space="preserve">&gt;; National Disability Services, </w:t>
      </w:r>
      <w:r w:rsidRPr="007B537E">
        <w:rPr>
          <w:i/>
        </w:rPr>
        <w:t>State of the Disability Sector Report 2015</w:t>
      </w:r>
      <w:r w:rsidRPr="007B537E">
        <w:t xml:space="preserve"> (2015) 23 &lt;</w:t>
      </w:r>
      <w:hyperlink r:id="rId111" w:history="1">
        <w:r w:rsidRPr="007B537E">
          <w:rPr>
            <w:rStyle w:val="Hyperlink"/>
          </w:rPr>
          <w:t>http://disabilitysectorreport.nds.org.au/images/State-of-the-disability-sector-report-2015.pdf</w:t>
        </w:r>
      </w:hyperlink>
      <w:r w:rsidRPr="007B537E">
        <w:rPr>
          <w:rStyle w:val="Hyperlink"/>
        </w:rPr>
        <w:t>&gt;</w:t>
      </w:r>
      <w:r w:rsidRPr="007B537E">
        <w:t>.</w:t>
      </w:r>
    </w:p>
  </w:endnote>
  <w:endnote w:id="244">
    <w:p w14:paraId="06A6C19C" w14:textId="451F0911" w:rsidR="007B537E" w:rsidRPr="000B35C9" w:rsidRDefault="007B537E" w:rsidP="003F0614">
      <w:pPr>
        <w:pStyle w:val="EndnoteText"/>
      </w:pPr>
      <w:r w:rsidRPr="000B35C9">
        <w:rPr>
          <w:rStyle w:val="EndnoteReference"/>
        </w:rPr>
        <w:endnoteRef/>
      </w:r>
      <w:r w:rsidRPr="000B35C9">
        <w:t xml:space="preserve"> </w:t>
      </w:r>
      <w:r w:rsidRPr="007B537E">
        <w:t xml:space="preserve">National Disability Insurance Agency, </w:t>
      </w:r>
      <w:r w:rsidRPr="007B537E">
        <w:rPr>
          <w:i/>
        </w:rPr>
        <w:t>NDIS Participant Employment Strategy 2019-2022</w:t>
      </w:r>
      <w:r w:rsidRPr="007B537E">
        <w:t xml:space="preserve"> (January 2020) 8 &lt;</w:t>
      </w:r>
      <w:hyperlink r:id="rId112" w:history="1">
        <w:r w:rsidRPr="007B537E">
          <w:rPr>
            <w:rStyle w:val="Hyperlink"/>
          </w:rPr>
          <w:t>https://www.ndis.gov.au/media/1957/download</w:t>
        </w:r>
      </w:hyperlink>
      <w:r w:rsidRPr="007B537E">
        <w:t>&gt;</w:t>
      </w:r>
    </w:p>
  </w:endnote>
  <w:endnote w:id="245">
    <w:p w14:paraId="16C06A5D" w14:textId="7384E05A" w:rsidR="007B537E" w:rsidRPr="0074469F" w:rsidRDefault="007B537E" w:rsidP="00F81DD3">
      <w:pPr>
        <w:pStyle w:val="EndnoteText"/>
      </w:pPr>
      <w:r w:rsidRPr="000B35C9">
        <w:rPr>
          <w:rStyle w:val="EndnoteReference"/>
        </w:rPr>
        <w:endnoteRef/>
      </w:r>
      <w:r w:rsidRPr="000B35C9">
        <w:t xml:space="preserve"> </w:t>
      </w:r>
      <w:r w:rsidRPr="007B537E">
        <w:t xml:space="preserve">National Disability Insurance Scheme, </w:t>
      </w:r>
      <w:r w:rsidRPr="007B537E">
        <w:rPr>
          <w:i/>
        </w:rPr>
        <w:t xml:space="preserve">NDIS Participant Employment Strategy 2019-2022 </w:t>
      </w:r>
      <w:r w:rsidRPr="007B537E">
        <w:t>(2019) &lt;</w:t>
      </w:r>
      <w:hyperlink r:id="rId113" w:history="1">
        <w:r w:rsidRPr="007B537E">
          <w:rPr>
            <w:rStyle w:val="Hyperlink"/>
          </w:rPr>
          <w:t>https://www.ndis.gov.au/media/1957/download</w:t>
        </w:r>
      </w:hyperlink>
      <w:r w:rsidRPr="007B537E">
        <w:t>&gt;.</w:t>
      </w:r>
      <w:r>
        <w:t xml:space="preserve"> </w:t>
      </w:r>
    </w:p>
  </w:endnote>
  <w:endnote w:id="246">
    <w:p w14:paraId="249C26FB" w14:textId="1B1D032E" w:rsidR="007B537E" w:rsidRPr="000B35C9" w:rsidRDefault="007B537E" w:rsidP="003F0614">
      <w:pPr>
        <w:pStyle w:val="EndnoteText"/>
      </w:pPr>
      <w:r w:rsidRPr="007B537E">
        <w:rPr>
          <w:rStyle w:val="EndnoteReference"/>
        </w:rPr>
        <w:endnoteRef/>
      </w:r>
      <w:r w:rsidRPr="007B537E">
        <w:t xml:space="preserve"> National Disability Insurance Agency, </w:t>
      </w:r>
      <w:r w:rsidRPr="007B537E">
        <w:rPr>
          <w:i/>
        </w:rPr>
        <w:t>NDIS Participant Employment Strategy 2019</w:t>
      </w:r>
      <w:r w:rsidRPr="007B537E">
        <w:rPr>
          <w:i/>
          <w:iCs/>
        </w:rPr>
        <w:t>-2022</w:t>
      </w:r>
      <w:r w:rsidRPr="007B537E">
        <w:t xml:space="preserve"> (January 2020) 9 &lt;</w:t>
      </w:r>
      <w:hyperlink r:id="rId114" w:history="1">
        <w:r w:rsidRPr="007B537E">
          <w:rPr>
            <w:rStyle w:val="Hyperlink"/>
          </w:rPr>
          <w:t>https://www.ndis.gov.au/media/1957/download</w:t>
        </w:r>
      </w:hyperlink>
      <w:r w:rsidRPr="007B537E">
        <w:t>&gt;.</w:t>
      </w:r>
      <w:r w:rsidRPr="000B35C9">
        <w:t xml:space="preserve"> </w:t>
      </w:r>
    </w:p>
  </w:endnote>
  <w:endnote w:id="247">
    <w:p w14:paraId="159038BD" w14:textId="42C13EBE" w:rsidR="007B537E" w:rsidRPr="000B35C9" w:rsidRDefault="007B537E" w:rsidP="003F0614">
      <w:pPr>
        <w:pStyle w:val="EndnoteText"/>
      </w:pPr>
      <w:r w:rsidRPr="000B35C9">
        <w:rPr>
          <w:rStyle w:val="EndnoteReference"/>
        </w:rPr>
        <w:endnoteRef/>
      </w:r>
      <w:r w:rsidRPr="000B35C9">
        <w:t xml:space="preserve"> </w:t>
      </w:r>
      <w:r w:rsidRPr="007B537E">
        <w:t xml:space="preserve">National Disability Insurance Agency, </w:t>
      </w:r>
      <w:r w:rsidRPr="007B537E">
        <w:rPr>
          <w:i/>
        </w:rPr>
        <w:t>NDIS Participant Employment Strategy 2019-2022</w:t>
      </w:r>
      <w:r w:rsidRPr="007B537E">
        <w:t xml:space="preserve"> (January 2020) 12 &lt;</w:t>
      </w:r>
      <w:hyperlink r:id="rId115" w:history="1">
        <w:r w:rsidRPr="007B537E">
          <w:rPr>
            <w:rStyle w:val="Hyperlink"/>
          </w:rPr>
          <w:t>https://www.ndis.gov.au/media/1957/download</w:t>
        </w:r>
      </w:hyperlink>
      <w:r w:rsidRPr="007B537E">
        <w:t xml:space="preserve">&gt;; see also National Disability Insurance Agency, </w:t>
      </w:r>
      <w:r w:rsidRPr="007B537E">
        <w:rPr>
          <w:i/>
        </w:rPr>
        <w:t xml:space="preserve">Corporate Plan 2019-2023 </w:t>
      </w:r>
      <w:r w:rsidRPr="007B537E">
        <w:t>(2019) 19 &lt;</w:t>
      </w:r>
      <w:hyperlink r:id="rId116" w:history="1">
        <w:r w:rsidRPr="007B537E">
          <w:rPr>
            <w:rStyle w:val="Hyperlink"/>
          </w:rPr>
          <w:t>https://www.ndis.gov.au/media/1645/download</w:t>
        </w:r>
      </w:hyperlink>
      <w:r w:rsidRPr="007B537E">
        <w:t>&gt;.</w:t>
      </w:r>
      <w:r w:rsidRPr="000B35C9">
        <w:t xml:space="preserve">  </w:t>
      </w:r>
    </w:p>
  </w:endnote>
  <w:endnote w:id="248">
    <w:p w14:paraId="6EB9919C" w14:textId="6E19996B" w:rsidR="007B537E" w:rsidRPr="000B35C9" w:rsidRDefault="007B537E">
      <w:pPr>
        <w:pStyle w:val="EndnoteText"/>
        <w:rPr>
          <w:lang w:val="en-US"/>
        </w:rPr>
      </w:pPr>
      <w:r w:rsidRPr="000B35C9">
        <w:rPr>
          <w:rStyle w:val="EndnoteReference"/>
        </w:rPr>
        <w:endnoteRef/>
      </w:r>
      <w:r w:rsidRPr="000B35C9">
        <w:t xml:space="preserve"> </w:t>
      </w:r>
      <w:r w:rsidRPr="000B35C9">
        <w:rPr>
          <w:lang w:val="en-US"/>
        </w:rPr>
        <w:t>’NDIS Quarterly Reports’ (Web page, 9 September) &lt;</w:t>
      </w:r>
      <w:r w:rsidRPr="000B35C9">
        <w:t xml:space="preserve"> </w:t>
      </w:r>
      <w:r w:rsidRPr="000B35C9">
        <w:rPr>
          <w:lang w:val="en-US"/>
        </w:rPr>
        <w:t>https://www.ndis.gov.au/about-us/publications/quarterly-reports&gt;.</w:t>
      </w:r>
    </w:p>
  </w:endnote>
  <w:endnote w:id="249">
    <w:p w14:paraId="58DD5E0F" w14:textId="5EA4CABD" w:rsidR="007B537E" w:rsidRPr="000B35C9" w:rsidRDefault="007B537E" w:rsidP="003F0614">
      <w:pPr>
        <w:pStyle w:val="EndnoteText"/>
      </w:pPr>
      <w:r w:rsidRPr="000B35C9">
        <w:rPr>
          <w:rStyle w:val="EndnoteReference"/>
        </w:rPr>
        <w:endnoteRef/>
      </w:r>
      <w:r w:rsidRPr="000B35C9">
        <w:t xml:space="preserve"> ‘</w:t>
      </w:r>
      <w:r w:rsidRPr="007B537E">
        <w:t>Support budgets in your plan</w:t>
      </w:r>
      <w:r w:rsidRPr="007B537E">
        <w:rPr>
          <w:iCs/>
        </w:rPr>
        <w:t>’</w:t>
      </w:r>
      <w:r w:rsidRPr="007B537E">
        <w:rPr>
          <w:i/>
        </w:rPr>
        <w:t xml:space="preserve">, National Disability Insurance Scheme </w:t>
      </w:r>
      <w:r w:rsidRPr="007B537E">
        <w:t>(Web page) &lt;</w:t>
      </w:r>
      <w:hyperlink r:id="rId117" w:history="1">
        <w:r w:rsidRPr="007B537E">
          <w:rPr>
            <w:rStyle w:val="Hyperlink"/>
          </w:rPr>
          <w:t>https://www.ndis.gov.au/participants/using-your-plan/managing-your-plan/support-budgets-your-plan</w:t>
        </w:r>
      </w:hyperlink>
      <w:r w:rsidRPr="007B537E">
        <w:t>&gt;.</w:t>
      </w:r>
      <w:r w:rsidRPr="000B35C9">
        <w:t xml:space="preserve"> </w:t>
      </w:r>
    </w:p>
  </w:endnote>
  <w:endnote w:id="250">
    <w:p w14:paraId="3F6E5684" w14:textId="01829C30" w:rsidR="007B537E" w:rsidRPr="000B35C9" w:rsidRDefault="007B537E" w:rsidP="003F0614">
      <w:pPr>
        <w:pStyle w:val="EndnoteText"/>
      </w:pPr>
      <w:r w:rsidRPr="000B35C9">
        <w:rPr>
          <w:rStyle w:val="EndnoteReference"/>
        </w:rPr>
        <w:endnoteRef/>
      </w:r>
      <w:r w:rsidRPr="000B35C9">
        <w:t xml:space="preserve"> </w:t>
      </w:r>
      <w:r w:rsidRPr="007B537E">
        <w:t xml:space="preserve">David Tune, </w:t>
      </w:r>
      <w:r w:rsidRPr="007B537E">
        <w:rPr>
          <w:i/>
        </w:rPr>
        <w:t xml:space="preserve">Review of the National Disability Insurance Scheme Act 2013 </w:t>
      </w:r>
      <w:r w:rsidRPr="007B537E">
        <w:t>(Report, December 2019) 8 &lt;</w:t>
      </w:r>
      <w:hyperlink r:id="rId118" w:history="1">
        <w:r w:rsidRPr="007B537E">
          <w:rPr>
            <w:rStyle w:val="Hyperlink"/>
          </w:rPr>
          <w:t>https://www.dss.gov.au/sites/default/files/documents/01_2020/ndis-act-review-final-accessibility-and-prepared-publishing1.pdf</w:t>
        </w:r>
      </w:hyperlink>
      <w:r w:rsidRPr="007B537E">
        <w:t>&gt;.</w:t>
      </w:r>
      <w:r w:rsidRPr="000B35C9">
        <w:t xml:space="preserve">  </w:t>
      </w:r>
    </w:p>
  </w:endnote>
  <w:endnote w:id="251">
    <w:p w14:paraId="06F9E378" w14:textId="09FE2EF3" w:rsidR="007B537E" w:rsidRPr="000B35C9" w:rsidRDefault="007B537E" w:rsidP="003F0614">
      <w:pPr>
        <w:pStyle w:val="EndnoteText"/>
      </w:pPr>
      <w:r w:rsidRPr="007B537E">
        <w:rPr>
          <w:rStyle w:val="EndnoteReference"/>
        </w:rPr>
        <w:endnoteRef/>
      </w:r>
      <w:r w:rsidRPr="007B537E">
        <w:t xml:space="preserve"> David Tune, </w:t>
      </w:r>
      <w:r w:rsidRPr="007B537E">
        <w:rPr>
          <w:i/>
        </w:rPr>
        <w:t xml:space="preserve">Review of the National Disability Insurance Scheme Act 2013 </w:t>
      </w:r>
      <w:r w:rsidRPr="007B537E">
        <w:t>(Report, December 2019) 7 &lt;</w:t>
      </w:r>
      <w:hyperlink r:id="rId119" w:history="1">
        <w:r w:rsidRPr="007B537E">
          <w:rPr>
            <w:rStyle w:val="Hyperlink"/>
          </w:rPr>
          <w:t>https://www.dss.gov.au/sites/default/files/documents/01_2020/ndis-act-review-final-accessibility-and-prepared-publishing1.pdf</w:t>
        </w:r>
      </w:hyperlink>
      <w:r w:rsidRPr="007B537E">
        <w:t>&gt;.</w:t>
      </w:r>
      <w:r w:rsidRPr="000B35C9">
        <w:t xml:space="preserve">  </w:t>
      </w:r>
    </w:p>
  </w:endnote>
  <w:endnote w:id="252">
    <w:p w14:paraId="76C4FA35" w14:textId="671C0A47" w:rsidR="007B537E" w:rsidRPr="000B35C9" w:rsidRDefault="007B537E" w:rsidP="00453630">
      <w:pPr>
        <w:pStyle w:val="NormalWeb"/>
        <w:spacing w:before="0" w:after="0"/>
        <w:rPr>
          <w:rFonts w:eastAsia="Times New Roman" w:cs="Open Sans"/>
          <w:sz w:val="20"/>
          <w:szCs w:val="20"/>
        </w:rPr>
      </w:pPr>
      <w:r w:rsidRPr="000B35C9">
        <w:rPr>
          <w:rStyle w:val="EndnoteReference"/>
          <w:rFonts w:cs="Open Sans"/>
        </w:rPr>
        <w:endnoteRef/>
      </w:r>
      <w:r w:rsidRPr="000B35C9">
        <w:rPr>
          <w:rFonts w:cs="Open Sans"/>
        </w:rPr>
        <w:t xml:space="preserve"> </w:t>
      </w:r>
      <w:r w:rsidRPr="007B537E">
        <w:rPr>
          <w:rFonts w:cs="Open Sans"/>
          <w:sz w:val="20"/>
          <w:szCs w:val="20"/>
        </w:rPr>
        <w:t xml:space="preserve">Australian Human Rights Commission, </w:t>
      </w:r>
      <w:r w:rsidRPr="007B537E">
        <w:rPr>
          <w:rFonts w:cs="Open Sans"/>
          <w:i/>
          <w:sz w:val="20"/>
          <w:szCs w:val="20"/>
        </w:rPr>
        <w:t xml:space="preserve">Willing to Work: National Inquiry into Employment Discrimination Against Older Australians and Australians with Disability </w:t>
      </w:r>
      <w:r w:rsidRPr="007B537E">
        <w:rPr>
          <w:rFonts w:cs="Open Sans"/>
          <w:sz w:val="20"/>
          <w:szCs w:val="20"/>
        </w:rPr>
        <w:t>(Report, 2016) 40</w:t>
      </w:r>
      <w:r w:rsidRPr="007B537E">
        <w:rPr>
          <w:rFonts w:cs="Open Sans"/>
          <w:b/>
          <w:sz w:val="20"/>
          <w:szCs w:val="20"/>
        </w:rPr>
        <w:t xml:space="preserve"> &lt;</w:t>
      </w:r>
      <w:hyperlink r:id="rId120" w:history="1">
        <w:r w:rsidRPr="007B537E">
          <w:rPr>
            <w:rStyle w:val="Hyperlink"/>
            <w:rFonts w:cs="Open Sans"/>
            <w:sz w:val="20"/>
            <w:szCs w:val="20"/>
          </w:rPr>
          <w:t>https://humanrights.gov.au/sites/default/files/document/publication/WTW_2016_Full_Report_AHRC_ac.pdf</w:t>
        </w:r>
      </w:hyperlink>
      <w:r w:rsidRPr="007B537E">
        <w:rPr>
          <w:rFonts w:cs="Open Sans"/>
          <w:sz w:val="20"/>
          <w:szCs w:val="20"/>
        </w:rPr>
        <w:t xml:space="preserve">&gt;; Children With Disability Australia, Submission to the Australian Human Rights Commission, </w:t>
      </w:r>
      <w:r w:rsidRPr="007B537E">
        <w:rPr>
          <w:rFonts w:cs="Open Sans"/>
          <w:i/>
          <w:sz w:val="20"/>
          <w:szCs w:val="20"/>
        </w:rPr>
        <w:t xml:space="preserve">Willing to Work: National Inquiry into Employment Discrimination Against Older Australians and Australians with Disability </w:t>
      </w:r>
      <w:r w:rsidRPr="007B537E">
        <w:rPr>
          <w:rFonts w:cs="Open Sans"/>
          <w:sz w:val="20"/>
          <w:szCs w:val="20"/>
        </w:rPr>
        <w:t>(December 2015) 7 &lt;</w:t>
      </w:r>
      <w:hyperlink r:id="rId121" w:history="1">
        <w:r w:rsidRPr="007B537E">
          <w:rPr>
            <w:rStyle w:val="Hyperlink"/>
            <w:sz w:val="20"/>
            <w:szCs w:val="20"/>
          </w:rPr>
          <w:t>https://www.cyda.org.au/resources/details/136/willing-to-work-national-inquiry-into-employment-discrimination-against-older-australians-and-australians-with-disability</w:t>
        </w:r>
      </w:hyperlink>
      <w:r w:rsidRPr="007B537E">
        <w:rPr>
          <w:sz w:val="20"/>
          <w:szCs w:val="20"/>
        </w:rPr>
        <w:t>&gt;</w:t>
      </w:r>
      <w:r w:rsidRPr="007B537E">
        <w:rPr>
          <w:rFonts w:cs="Open Sans"/>
          <w:sz w:val="20"/>
          <w:szCs w:val="20"/>
        </w:rPr>
        <w:t>.</w:t>
      </w:r>
    </w:p>
  </w:endnote>
  <w:endnote w:id="253">
    <w:p w14:paraId="3F2D2CBF" w14:textId="27E8040A" w:rsidR="007B537E" w:rsidRPr="000B35C9" w:rsidRDefault="007B537E">
      <w:pPr>
        <w:pStyle w:val="EndnoteText"/>
      </w:pPr>
      <w:r w:rsidRPr="000B35C9">
        <w:rPr>
          <w:rStyle w:val="EndnoteReference"/>
        </w:rPr>
        <w:endnoteRef/>
      </w:r>
      <w:r w:rsidRPr="000B35C9">
        <w:t xml:space="preserve"> </w:t>
      </w:r>
      <w:r w:rsidRPr="007B537E">
        <w:t xml:space="preserve">CRPD Committee, </w:t>
      </w:r>
      <w:r w:rsidRPr="007B537E">
        <w:rPr>
          <w:i/>
          <w:iCs/>
        </w:rPr>
        <w:t>General comment No. 4 (2016) on the right to inclusive education</w:t>
      </w:r>
      <w:r w:rsidRPr="007B537E">
        <w:t>, CRPD/C/GC/4 (25 November 2016) [56]-[57] &lt;</w:t>
      </w:r>
      <w:hyperlink r:id="rId122" w:history="1">
        <w:r w:rsidRPr="007B537E">
          <w:rPr>
            <w:rStyle w:val="Hyperlink"/>
          </w:rPr>
          <w:t>https://tbinternet.ohchr.org/_layouts/15/treatybodyexternal/Download.aspx?symbolno=CRPD/C/GC/4&amp;Lang=en</w:t>
        </w:r>
      </w:hyperlink>
      <w:r w:rsidRPr="007B537E">
        <w:t>&gt;.</w:t>
      </w:r>
      <w:r w:rsidRPr="000B35C9">
        <w:t xml:space="preserve"> </w:t>
      </w:r>
    </w:p>
  </w:endnote>
  <w:endnote w:id="254">
    <w:p w14:paraId="0F723ABD" w14:textId="2CED3E04" w:rsidR="007B537E" w:rsidRPr="000B35C9" w:rsidRDefault="007B537E">
      <w:pPr>
        <w:pStyle w:val="EndnoteText"/>
      </w:pPr>
      <w:r w:rsidRPr="007B537E">
        <w:rPr>
          <w:rStyle w:val="EndnoteReference"/>
        </w:rPr>
        <w:endnoteRef/>
      </w:r>
      <w:r w:rsidRPr="007B537E">
        <w:t xml:space="preserve"> Senate Education and Employment References Committee, Parliament of Australia, </w:t>
      </w:r>
      <w:r w:rsidRPr="007B537E">
        <w:rPr>
          <w:i/>
          <w:iCs/>
        </w:rPr>
        <w:t xml:space="preserve">Access to real learning: the impact of policy, funding and culture on students with disability </w:t>
      </w:r>
      <w:r w:rsidRPr="007B537E">
        <w:t>(Report, January 2016) 2–3 &lt;</w:t>
      </w:r>
      <w:hyperlink r:id="rId123" w:history="1">
        <w:r w:rsidRPr="007B537E">
          <w:rPr>
            <w:rStyle w:val="Hyperlink"/>
          </w:rPr>
          <w:t>https://www.aph.gov.au/Parliamentary_Business/Committees/Senate/Education_and_Employment/students_with_disability/~/media/Committees/eet_ctte/students_with_disability/report.pdf</w:t>
        </w:r>
      </w:hyperlink>
      <w:r w:rsidRPr="007B537E">
        <w:t>&gt;.</w:t>
      </w:r>
      <w:r w:rsidRPr="000B35C9">
        <w:t xml:space="preserve"> </w:t>
      </w:r>
    </w:p>
  </w:endnote>
  <w:endnote w:id="255">
    <w:p w14:paraId="7DBFB571" w14:textId="0CC7E6D8" w:rsidR="007B537E" w:rsidRPr="000B35C9" w:rsidRDefault="007B537E" w:rsidP="00C04BE0">
      <w:pPr>
        <w:pStyle w:val="NormalWeb"/>
        <w:spacing w:before="0" w:after="0"/>
        <w:rPr>
          <w:rFonts w:eastAsia="Times New Roman" w:cs="Open Sans"/>
          <w:sz w:val="20"/>
          <w:szCs w:val="20"/>
        </w:rPr>
      </w:pPr>
      <w:r w:rsidRPr="007B537E">
        <w:rPr>
          <w:rStyle w:val="EndnoteReference"/>
          <w:rFonts w:cs="Open Sans"/>
          <w:szCs w:val="20"/>
        </w:rPr>
        <w:endnoteRef/>
      </w:r>
      <w:r w:rsidRPr="007B537E">
        <w:rPr>
          <w:rFonts w:cs="Open Sans"/>
          <w:sz w:val="20"/>
          <w:szCs w:val="20"/>
        </w:rPr>
        <w:t xml:space="preserve"> Australian Bureau of Statistics, </w:t>
      </w:r>
      <w:r w:rsidRPr="007B537E">
        <w:rPr>
          <w:rFonts w:cs="Open Sans"/>
          <w:i/>
          <w:sz w:val="20"/>
          <w:szCs w:val="20"/>
        </w:rPr>
        <w:t>4430.0 - Disability, Ageing and Carers, Australia: Summary of Findings, 2018</w:t>
      </w:r>
      <w:r w:rsidRPr="007B537E">
        <w:rPr>
          <w:rFonts w:cs="Open Sans"/>
          <w:sz w:val="20"/>
          <w:szCs w:val="20"/>
        </w:rPr>
        <w:t xml:space="preserve"> (24 November 2019) &lt;</w:t>
      </w:r>
      <w:hyperlink r:id="rId124" w:history="1">
        <w:r w:rsidRPr="007B537E">
          <w:rPr>
            <w:rStyle w:val="Hyperlink"/>
            <w:rFonts w:cs="Open Sans"/>
            <w:sz w:val="20"/>
            <w:szCs w:val="20"/>
          </w:rPr>
          <w:t>https://www.abs.gov.au/ausstats/abs@.nsf/Latestproducts/4430.0Main%20Features52018?opendocument&amp;tabname=Summary&amp;prodno=4430.0&amp;issue=2018&amp;num=&amp;view=</w:t>
        </w:r>
      </w:hyperlink>
      <w:r w:rsidRPr="007B537E">
        <w:rPr>
          <w:rFonts w:cs="Open Sans"/>
          <w:sz w:val="20"/>
          <w:szCs w:val="20"/>
        </w:rPr>
        <w:t xml:space="preserve">&gt;; Australian Bureau of Statistics, </w:t>
      </w:r>
      <w:r w:rsidRPr="007B537E">
        <w:rPr>
          <w:rFonts w:cs="Open Sans"/>
          <w:i/>
          <w:sz w:val="20"/>
          <w:szCs w:val="20"/>
        </w:rPr>
        <w:t>4221.0 - Schools, Australia, 2019: Retention rates</w:t>
      </w:r>
      <w:r w:rsidRPr="007B537E">
        <w:rPr>
          <w:rFonts w:cs="Open Sans"/>
          <w:b/>
          <w:i/>
          <w:sz w:val="20"/>
          <w:szCs w:val="20"/>
        </w:rPr>
        <w:t xml:space="preserve"> </w:t>
      </w:r>
      <w:r w:rsidRPr="007B537E">
        <w:rPr>
          <w:rFonts w:cs="Open Sans"/>
          <w:sz w:val="20"/>
          <w:szCs w:val="20"/>
        </w:rPr>
        <w:t>(6 February 2020) &lt;</w:t>
      </w:r>
      <w:hyperlink r:id="rId125" w:history="1">
        <w:r w:rsidRPr="007B537E">
          <w:rPr>
            <w:rStyle w:val="Hyperlink"/>
            <w:rFonts w:cs="Open Sans"/>
            <w:sz w:val="20"/>
            <w:szCs w:val="20"/>
          </w:rPr>
          <w:t>https://www.abs.gov.au/ausstats/abs@.nsf/Latestproducts/4221.0Main%20Features32019?opendocument&amp;tabname=Summary&amp;prodno=4221.0&amp;issue=2019&amp;num=&amp;view=</w:t>
        </w:r>
      </w:hyperlink>
      <w:r w:rsidRPr="007B537E">
        <w:rPr>
          <w:rFonts w:cs="Open Sans"/>
          <w:sz w:val="20"/>
          <w:szCs w:val="20"/>
        </w:rPr>
        <w:t>&gt;.</w:t>
      </w:r>
    </w:p>
  </w:endnote>
  <w:endnote w:id="256">
    <w:p w14:paraId="12D1D5CE" w14:textId="59EA0F61" w:rsidR="007B537E" w:rsidRPr="000B35C9" w:rsidRDefault="007B537E" w:rsidP="00D376B7">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Children With Disability Australia, Submission to the 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(December 2015) 7</w:t>
      </w:r>
      <w:r w:rsidRPr="000B35C9">
        <w:rPr>
          <w:rFonts w:cs="Open Sans"/>
          <w:b/>
        </w:rPr>
        <w:t xml:space="preserve"> </w:t>
      </w:r>
      <w:r w:rsidRPr="007B537E">
        <w:rPr>
          <w:rFonts w:cs="Open Sans"/>
        </w:rPr>
        <w:t>&lt;</w:t>
      </w:r>
      <w:hyperlink r:id="rId126" w:history="1">
        <w:r w:rsidRPr="007B537E">
          <w:rPr>
            <w:rStyle w:val="Hyperlink"/>
          </w:rPr>
          <w:t>https://www.cyda.org.au/images/pdf/willing_to_work_national_inquiry_into_employment_discrimination_against_older_australians_and_australians_with_disability.pdf</w:t>
        </w:r>
      </w:hyperlink>
      <w:r w:rsidRPr="007B537E">
        <w:rPr>
          <w:rFonts w:cs="Open Sans"/>
        </w:rPr>
        <w:t>&gt;.</w:t>
      </w:r>
    </w:p>
  </w:endnote>
  <w:endnote w:id="257">
    <w:p w14:paraId="3EA0A95C" w14:textId="720CAF18" w:rsidR="007B537E" w:rsidRPr="000B35C9" w:rsidRDefault="007B537E" w:rsidP="006D1836">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Children With Disability Australia, Submission to the 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(December 2015) 7</w:t>
      </w:r>
      <w:r w:rsidRPr="007B537E">
        <w:rPr>
          <w:rFonts w:cs="Open Sans"/>
          <w:b/>
        </w:rPr>
        <w:t xml:space="preserve"> </w:t>
      </w:r>
      <w:r w:rsidRPr="007B537E">
        <w:rPr>
          <w:rFonts w:cs="Open Sans"/>
        </w:rPr>
        <w:t>&lt;</w:t>
      </w:r>
      <w:hyperlink r:id="rId127" w:history="1">
        <w:r w:rsidRPr="007B537E">
          <w:rPr>
            <w:rStyle w:val="Hyperlink"/>
          </w:rPr>
          <w:t>https://www.cyda.org.au/images/pdf/willing_to_work_national_inquiry_into_employment_discrimination_against_older_australians_and_australians_with_disability.pdf</w:t>
        </w:r>
      </w:hyperlink>
      <w:r w:rsidRPr="007B537E">
        <w:rPr>
          <w:rFonts w:cs="Open Sans"/>
        </w:rPr>
        <w:t>&gt;.</w:t>
      </w:r>
    </w:p>
  </w:endnote>
  <w:endnote w:id="258">
    <w:p w14:paraId="348E0B42" w14:textId="63A98154" w:rsidR="007B537E" w:rsidRPr="000B35C9" w:rsidRDefault="007B537E" w:rsidP="00A92C87">
      <w:pPr>
        <w:pStyle w:val="NormalWeb"/>
        <w:spacing w:before="0" w:after="0"/>
        <w:rPr>
          <w:rFonts w:ascii="Arial" w:eastAsia="Times New Roman" w:hAnsi="Arial" w:cs="Arial"/>
          <w:sz w:val="20"/>
          <w:szCs w:val="20"/>
        </w:rPr>
      </w:pPr>
      <w:r w:rsidRPr="000B35C9">
        <w:rPr>
          <w:rStyle w:val="EndnoteReference"/>
          <w:rFonts w:cs="Open Sans"/>
          <w:szCs w:val="20"/>
        </w:rPr>
        <w:endnoteRef/>
      </w:r>
      <w:r w:rsidRPr="000B35C9">
        <w:rPr>
          <w:rFonts w:cs="Open Sans"/>
          <w:sz w:val="20"/>
          <w:szCs w:val="20"/>
        </w:rPr>
        <w:t xml:space="preserve"> </w:t>
      </w:r>
      <w:r w:rsidRPr="007B537E">
        <w:rPr>
          <w:rFonts w:cs="Open Sans"/>
          <w:sz w:val="20"/>
          <w:szCs w:val="20"/>
        </w:rPr>
        <w:t>See Children With Disability Australia, Submission to the Australian Human Rights Commission,</w:t>
      </w:r>
      <w:r w:rsidRPr="007B537E">
        <w:rPr>
          <w:rFonts w:cs="Open Sans"/>
          <w:i/>
          <w:sz w:val="20"/>
          <w:szCs w:val="20"/>
        </w:rPr>
        <w:t xml:space="preserve"> Willing to Work: National Inquiry into Employment Discrimination Against Older Australians and Australians with Disability </w:t>
      </w:r>
      <w:r w:rsidRPr="007B537E">
        <w:rPr>
          <w:rFonts w:cs="Open Sans"/>
          <w:sz w:val="20"/>
          <w:szCs w:val="20"/>
        </w:rPr>
        <w:t>(December 2015) 7 &lt;</w:t>
      </w:r>
      <w:hyperlink r:id="rId128" w:history="1">
        <w:r w:rsidRPr="007B537E">
          <w:rPr>
            <w:rStyle w:val="Hyperlink"/>
            <w:sz w:val="20"/>
            <w:szCs w:val="20"/>
          </w:rPr>
          <w:t>https://www.cyda.org.au/images/pdf/willing_to_work_national_inquiry_into_employment_discrimination_against_older_australians_and_australians_with_disability.pdf</w:t>
        </w:r>
      </w:hyperlink>
      <w:r w:rsidRPr="007B537E">
        <w:rPr>
          <w:sz w:val="20"/>
          <w:szCs w:val="20"/>
        </w:rPr>
        <w:t>&gt;</w:t>
      </w:r>
      <w:r w:rsidRPr="007B537E">
        <w:rPr>
          <w:rFonts w:cs="Open Sans"/>
          <w:sz w:val="20"/>
          <w:szCs w:val="20"/>
        </w:rPr>
        <w:t xml:space="preserve">; Senate Education and Employment References Committee, Parliament of Australia, </w:t>
      </w:r>
      <w:r w:rsidRPr="007B537E">
        <w:rPr>
          <w:rFonts w:cs="Open Sans"/>
          <w:i/>
          <w:sz w:val="20"/>
          <w:szCs w:val="20"/>
        </w:rPr>
        <w:t xml:space="preserve">Access to real learning: the impacts of policy, funding and culture on students with disability </w:t>
      </w:r>
      <w:r w:rsidRPr="007B537E">
        <w:rPr>
          <w:rFonts w:cs="Open Sans"/>
          <w:sz w:val="20"/>
          <w:szCs w:val="20"/>
        </w:rPr>
        <w:t>(Report, 15 January 2016) [1.17], [3.4]-[3.16], [3.40] &lt;</w:t>
      </w:r>
      <w:hyperlink r:id="rId129" w:history="1">
        <w:r w:rsidRPr="007B537E">
          <w:rPr>
            <w:rStyle w:val="Hyperlink"/>
            <w:rFonts w:cs="Open Sans"/>
            <w:sz w:val="20"/>
            <w:szCs w:val="20"/>
          </w:rPr>
          <w:t>https://www.aph.gov.au/Parliamentary_Business/Committees/Senate/Education_and_Employment/students_with_disability/~/media/Committees/eet_ctte/students_with_disability/report.pdf</w:t>
        </w:r>
      </w:hyperlink>
      <w:r w:rsidRPr="007B537E">
        <w:rPr>
          <w:rFonts w:cs="Open Sans"/>
          <w:sz w:val="20"/>
          <w:szCs w:val="20"/>
        </w:rPr>
        <w:t xml:space="preserve">&gt;; Children and Young People with Disability Australia, </w:t>
      </w:r>
      <w:r w:rsidRPr="007B537E">
        <w:rPr>
          <w:rFonts w:cs="Open Sans"/>
          <w:i/>
          <w:sz w:val="20"/>
          <w:szCs w:val="20"/>
        </w:rPr>
        <w:t>Post School Transition: The Experiences of Students with Disability</w:t>
      </w:r>
      <w:r w:rsidRPr="007B537E">
        <w:rPr>
          <w:rFonts w:cs="Open Sans"/>
          <w:sz w:val="20"/>
          <w:szCs w:val="20"/>
        </w:rPr>
        <w:t xml:space="preserve"> (Report, November 2015) 17-18 &lt;</w:t>
      </w:r>
      <w:hyperlink r:id="rId130" w:history="1">
        <w:r w:rsidRPr="007B537E">
          <w:rPr>
            <w:rStyle w:val="Hyperlink"/>
            <w:rFonts w:cs="Open Sans"/>
            <w:sz w:val="20"/>
            <w:szCs w:val="20"/>
          </w:rPr>
          <w:t>https://www.cyda.org.au/images/docx/post_school_transition.docx</w:t>
        </w:r>
      </w:hyperlink>
      <w:r w:rsidRPr="007B537E">
        <w:rPr>
          <w:rFonts w:cs="Open Sans"/>
          <w:sz w:val="20"/>
          <w:szCs w:val="20"/>
        </w:rPr>
        <w:t>&gt;.</w:t>
      </w:r>
    </w:p>
  </w:endnote>
  <w:endnote w:id="259">
    <w:p w14:paraId="4852BED7" w14:textId="2485F115" w:rsidR="007B537E" w:rsidRPr="000B35C9" w:rsidRDefault="007B537E" w:rsidP="00724E68">
      <w:pPr>
        <w:pStyle w:val="EndnoteText"/>
        <w:rPr>
          <w:rFonts w:cs="Open Sans"/>
        </w:rPr>
      </w:pPr>
      <w:r w:rsidRPr="007B537E">
        <w:rPr>
          <w:rStyle w:val="EndnoteReference"/>
          <w:rFonts w:cs="Open Sans"/>
        </w:rPr>
        <w:endnoteRef/>
      </w:r>
      <w:r w:rsidRPr="007B537E">
        <w:rPr>
          <w:rFonts w:cs="Open Sans"/>
        </w:rPr>
        <w:t xml:space="preserve"> ‘There is an important relationship between educational outcomes for people with disability and their economic contribution as workers and taxpayers. Changing attitudes towards disability — accompanied by improved accessibility of buildings, transport, information and telecommunications — have the potential to increase the contribution of people with disability to the economy.’ Council of Australian Governments, </w:t>
      </w:r>
      <w:r w:rsidRPr="007B537E">
        <w:rPr>
          <w:rFonts w:cs="Open Sans"/>
          <w:i/>
        </w:rPr>
        <w:t>National Disability Strategy 2010-2020</w:t>
      </w:r>
      <w:r w:rsidRPr="007B537E">
        <w:rPr>
          <w:rFonts w:cs="Open Sans"/>
        </w:rPr>
        <w:t>, 20 &lt;</w:t>
      </w:r>
      <w:hyperlink r:id="rId131" w:history="1">
        <w:r w:rsidRPr="007B537E">
          <w:rPr>
            <w:rStyle w:val="Hyperlink"/>
            <w:rFonts w:cs="Open Sans"/>
          </w:rPr>
          <w:t>https://www.dss.gov.au/our-responsibilities/disability-and-carers/publications-articles/policy-research/national-disability-strategy-2010-2020</w:t>
        </w:r>
      </w:hyperlink>
      <w:r w:rsidRPr="007B537E">
        <w:rPr>
          <w:rFonts w:cs="Open Sans"/>
        </w:rPr>
        <w:t>&gt;.</w:t>
      </w:r>
    </w:p>
  </w:endnote>
  <w:endnote w:id="260">
    <w:p w14:paraId="29700C1C" w14:textId="35DDADEC" w:rsidR="007B537E" w:rsidRPr="000B35C9" w:rsidRDefault="007B537E" w:rsidP="006D1836">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Australian Government, Productivity Commission,</w:t>
      </w:r>
      <w:r w:rsidRPr="007B537E">
        <w:rPr>
          <w:rFonts w:cs="Open Sans"/>
          <w:i/>
        </w:rPr>
        <w:t xml:space="preserve"> Review of the Disability Discrimination Act 1992</w:t>
      </w:r>
      <w:r w:rsidRPr="007B537E">
        <w:rPr>
          <w:rFonts w:cs="Open Sans"/>
        </w:rPr>
        <w:t xml:space="preserve"> (Report No 30, 30 April 2004) vol 1, 134 &lt;</w:t>
      </w:r>
      <w:hyperlink r:id="rId132" w:history="1">
        <w:r w:rsidRPr="007B537E">
          <w:rPr>
            <w:rStyle w:val="Hyperlink"/>
            <w:rFonts w:cs="Open Sans"/>
          </w:rPr>
          <w:t>https://www.pc.gov.au/inquiries/completed/disability-discrimination/report/disability-discrimination.pdf</w:t>
        </w:r>
      </w:hyperlink>
      <w:r w:rsidRPr="007B537E">
        <w:rPr>
          <w:rFonts w:cs="Open Sans"/>
        </w:rPr>
        <w:t>&gt;.</w:t>
      </w:r>
    </w:p>
  </w:endnote>
  <w:endnote w:id="261">
    <w:p w14:paraId="4A8D4505" w14:textId="350C279A" w:rsidR="007B537E" w:rsidRPr="000B35C9" w:rsidRDefault="007B537E" w:rsidP="006D1836">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Senate Education and Employment References Committee, Parliament of Australia, </w:t>
      </w:r>
      <w:r w:rsidRPr="007B537E">
        <w:rPr>
          <w:rFonts w:cs="Open Sans"/>
          <w:i/>
        </w:rPr>
        <w:t xml:space="preserve">Access to real learning: the impacts of policy, funding and culture on students with disability </w:t>
      </w:r>
      <w:r w:rsidRPr="007B537E">
        <w:rPr>
          <w:rFonts w:cs="Open Sans"/>
        </w:rPr>
        <w:t>(Report, 15 January 2016) [1.16]-[1.121] &lt;</w:t>
      </w:r>
      <w:hyperlink r:id="rId133" w:history="1">
        <w:r w:rsidRPr="007B537E">
          <w:rPr>
            <w:rStyle w:val="Hyperlink"/>
            <w:rFonts w:cs="Open Sans"/>
          </w:rPr>
          <w:t>https://www.aph.gov.au/Parliamentary_Business/Committees/Senate/Education_and_Employment/students_with_disability/~/media/Committees/eet_ctte/students_with_disability/report.pdf</w:t>
        </w:r>
      </w:hyperlink>
      <w:r w:rsidRPr="007B537E">
        <w:rPr>
          <w:rFonts w:cs="Open Sans"/>
        </w:rPr>
        <w:t>&gt;.</w:t>
      </w:r>
    </w:p>
  </w:endnote>
  <w:endnote w:id="262">
    <w:p w14:paraId="7575CFFD" w14:textId="41BEB50C" w:rsidR="007B537E" w:rsidRPr="0074469F" w:rsidRDefault="007B537E" w:rsidP="004F04CC">
      <w:pPr>
        <w:pStyle w:val="NormalWeb"/>
        <w:spacing w:before="0" w:after="0"/>
        <w:rPr>
          <w:rFonts w:ascii="Arial" w:eastAsia="Times New Roman" w:hAnsi="Arial" w:cs="Arial"/>
        </w:rPr>
      </w:pPr>
      <w:r w:rsidRPr="000B35C9">
        <w:rPr>
          <w:rStyle w:val="EndnoteReference"/>
          <w:rFonts w:cs="Open Sans"/>
          <w:szCs w:val="20"/>
        </w:rPr>
        <w:endnoteRef/>
      </w:r>
      <w:r w:rsidRPr="000B35C9">
        <w:rPr>
          <w:rFonts w:cs="Open Sans"/>
          <w:sz w:val="20"/>
          <w:szCs w:val="20"/>
        </w:rPr>
        <w:t xml:space="preserve"> </w:t>
      </w:r>
      <w:r w:rsidRPr="007B537E">
        <w:rPr>
          <w:rFonts w:cs="Open Sans"/>
          <w:sz w:val="20"/>
          <w:szCs w:val="20"/>
        </w:rPr>
        <w:t xml:space="preserve">Australian Human Rights Commission, </w:t>
      </w:r>
      <w:r w:rsidRPr="007B537E">
        <w:rPr>
          <w:rFonts w:cs="Open Sans"/>
          <w:i/>
          <w:sz w:val="20"/>
          <w:szCs w:val="20"/>
        </w:rPr>
        <w:t xml:space="preserve">Willing to Work: National Inquiry into Employment Discrimination Against Older Australians and Australians with Disability </w:t>
      </w:r>
      <w:r w:rsidRPr="007B537E">
        <w:rPr>
          <w:rFonts w:cs="Open Sans"/>
          <w:sz w:val="20"/>
          <w:szCs w:val="20"/>
        </w:rPr>
        <w:t>(Report, 2016) 40, 240 &lt;</w:t>
      </w:r>
      <w:hyperlink r:id="rId134" w:history="1">
        <w:r w:rsidRPr="007B537E">
          <w:rPr>
            <w:rStyle w:val="Hyperlink"/>
            <w:rFonts w:cs="Open Sans"/>
            <w:sz w:val="20"/>
            <w:szCs w:val="20"/>
          </w:rPr>
          <w:t>https://humanrights.gov.au/sites/default/files/document/publication/WTW_2016_Full_Report_AHRC_ac.pdf</w:t>
        </w:r>
      </w:hyperlink>
      <w:r w:rsidRPr="007B537E">
        <w:rPr>
          <w:rFonts w:cs="Open Sans"/>
          <w:sz w:val="20"/>
          <w:szCs w:val="20"/>
        </w:rPr>
        <w:t xml:space="preserve">&gt;; Urbis, </w:t>
      </w:r>
      <w:r w:rsidRPr="007B537E">
        <w:rPr>
          <w:rFonts w:cs="Open Sans"/>
          <w:i/>
          <w:sz w:val="20"/>
          <w:szCs w:val="20"/>
        </w:rPr>
        <w:t>2015 Review of the Disability Standards for Education 2005</w:t>
      </w:r>
      <w:r w:rsidRPr="007B537E">
        <w:rPr>
          <w:rFonts w:cs="Open Sans"/>
          <w:sz w:val="20"/>
          <w:szCs w:val="20"/>
        </w:rPr>
        <w:t xml:space="preserve"> (Final Report, 17 July 2015) 26 &lt;</w:t>
      </w:r>
      <w:hyperlink r:id="rId135" w:history="1">
        <w:r w:rsidRPr="007B537E">
          <w:rPr>
            <w:rStyle w:val="Hyperlink"/>
            <w:rFonts w:cs="Open Sans"/>
            <w:sz w:val="20"/>
            <w:szCs w:val="20"/>
          </w:rPr>
          <w:t>https://docs.education.gov.au/system/files/doc/other/final-report-2015-dse-review.pdf</w:t>
        </w:r>
      </w:hyperlink>
      <w:r w:rsidRPr="007B537E">
        <w:rPr>
          <w:rFonts w:cs="Open Sans"/>
          <w:sz w:val="20"/>
          <w:szCs w:val="20"/>
        </w:rPr>
        <w:t>&gt;.</w:t>
      </w:r>
    </w:p>
  </w:endnote>
  <w:endnote w:id="263">
    <w:p w14:paraId="62F70DC4" w14:textId="0BC8EB67" w:rsidR="007B537E" w:rsidRPr="000B35C9" w:rsidRDefault="007B537E" w:rsidP="00F32AE2">
      <w:pPr>
        <w:pStyle w:val="EndnoteText"/>
      </w:pPr>
      <w:r w:rsidRPr="000B35C9">
        <w:rPr>
          <w:rStyle w:val="EndnoteReference"/>
        </w:rPr>
        <w:endnoteRef/>
      </w:r>
      <w:r w:rsidRPr="000B35C9">
        <w:t xml:space="preserve"> </w:t>
      </w:r>
      <w:r w:rsidRPr="007B537E">
        <w:t xml:space="preserve">Committee on the Rights of Persons with Disabilities (CRPD Committee), </w:t>
      </w:r>
      <w:r w:rsidRPr="007B537E">
        <w:rPr>
          <w:i/>
          <w:iCs/>
        </w:rPr>
        <w:t>General Comment No. 5 (2017)</w:t>
      </w:r>
      <w:r w:rsidRPr="007B537E">
        <w:rPr>
          <w:i/>
        </w:rPr>
        <w:t xml:space="preserve"> on living independently and being included in the </w:t>
      </w:r>
      <w:r w:rsidRPr="007B537E">
        <w:rPr>
          <w:i/>
          <w:iCs/>
        </w:rPr>
        <w:t>community</w:t>
      </w:r>
      <w:r w:rsidRPr="007B537E">
        <w:t>, UN Doc CRPD/C/GC/5 (27 October 2017) [76].</w:t>
      </w:r>
    </w:p>
  </w:endnote>
  <w:endnote w:id="264">
    <w:p w14:paraId="162D28D2" w14:textId="03B88B8E" w:rsidR="007B537E" w:rsidRPr="000B35C9" w:rsidRDefault="007B537E" w:rsidP="00B9390B">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Council of Australian Governments, </w:t>
      </w:r>
      <w:r w:rsidRPr="007B537E">
        <w:rPr>
          <w:rFonts w:cs="Open Sans"/>
          <w:i/>
        </w:rPr>
        <w:t>National Disability Strategy 2010-2020</w:t>
      </w:r>
      <w:r w:rsidRPr="007B537E">
        <w:rPr>
          <w:rFonts w:cs="Open Sans"/>
        </w:rPr>
        <w:t xml:space="preserve"> (February 2011) 10</w:t>
      </w:r>
      <w:r w:rsidRPr="000B35C9">
        <w:rPr>
          <w:rFonts w:cs="Open Sans"/>
        </w:rPr>
        <w:t xml:space="preserve"> &lt;</w:t>
      </w:r>
      <w:hyperlink r:id="rId136" w:history="1">
        <w:r w:rsidRPr="007B537E">
          <w:rPr>
            <w:rStyle w:val="Hyperlink"/>
            <w:rFonts w:cs="Open Sans"/>
          </w:rPr>
          <w:t>https://www.dss.gov.au/sites/default/files/documents/05_2012/national_disability_strategy_2010_2020.pdf</w:t>
        </w:r>
      </w:hyperlink>
      <w:r w:rsidRPr="000B35C9">
        <w:rPr>
          <w:rFonts w:cs="Open Sans"/>
        </w:rPr>
        <w:t>&gt;.</w:t>
      </w:r>
    </w:p>
  </w:endnote>
  <w:endnote w:id="265">
    <w:p w14:paraId="5D83ABE5" w14:textId="6347E19E" w:rsidR="007B537E" w:rsidRPr="000B35C9" w:rsidRDefault="007B537E" w:rsidP="00B9390B">
      <w:pPr>
        <w:pStyle w:val="EndnoteText"/>
      </w:pPr>
      <w:r w:rsidRPr="000B35C9">
        <w:rPr>
          <w:rStyle w:val="EndnoteReference"/>
        </w:rPr>
        <w:endnoteRef/>
      </w:r>
      <w:r w:rsidRPr="000B35C9">
        <w:t xml:space="preserve"> </w:t>
      </w:r>
      <w:r w:rsidRPr="007B537E">
        <w:rPr>
          <w:rFonts w:cs="Open Sans"/>
        </w:rPr>
        <w:t xml:space="preserve">Council of Australian Governments, </w:t>
      </w:r>
      <w:r w:rsidRPr="007B537E">
        <w:rPr>
          <w:rFonts w:cs="Open Sans"/>
          <w:i/>
        </w:rPr>
        <w:t>National Disability Strategy 2010-2020</w:t>
      </w:r>
      <w:r w:rsidRPr="007B537E">
        <w:rPr>
          <w:rFonts w:cs="Open Sans"/>
        </w:rPr>
        <w:t xml:space="preserve"> (January 2011) 58</w:t>
      </w:r>
      <w:r w:rsidRPr="007B537E">
        <w:rPr>
          <w:rFonts w:cs="Open Sans"/>
          <w:b/>
        </w:rPr>
        <w:t xml:space="preserve"> </w:t>
      </w:r>
      <w:r w:rsidRPr="007B537E">
        <w:rPr>
          <w:rFonts w:cs="Open Sans"/>
        </w:rPr>
        <w:t>&lt;</w:t>
      </w:r>
      <w:hyperlink r:id="rId137" w:history="1">
        <w:r w:rsidRPr="007B537E">
          <w:rPr>
            <w:rStyle w:val="Hyperlink"/>
            <w:rFonts w:cs="Open Sans"/>
          </w:rPr>
          <w:t>https://www.dss.gov.au/sites/default/files/documents/05_2012/national_disability_strategy_2010_2020.pdf</w:t>
        </w:r>
      </w:hyperlink>
      <w:r w:rsidRPr="007B537E">
        <w:rPr>
          <w:rFonts w:cs="Open Sans"/>
        </w:rPr>
        <w:t>&gt;.</w:t>
      </w:r>
    </w:p>
  </w:endnote>
  <w:endnote w:id="266">
    <w:p w14:paraId="1BEE0A6D" w14:textId="7FB16A15" w:rsidR="007B537E" w:rsidRPr="000B35C9" w:rsidRDefault="007B537E">
      <w:pPr>
        <w:pStyle w:val="EndnoteText"/>
        <w:rPr>
          <w:lang w:val="en-US"/>
        </w:rPr>
      </w:pPr>
      <w:r w:rsidRPr="000B35C9">
        <w:rPr>
          <w:rStyle w:val="EndnoteReference"/>
        </w:rPr>
        <w:endnoteRef/>
      </w:r>
      <w:r w:rsidRPr="000B35C9">
        <w:t xml:space="preserve"> </w:t>
      </w:r>
      <w:r w:rsidRPr="007B537E">
        <w:rPr>
          <w:lang w:val="en-US"/>
        </w:rPr>
        <w:t xml:space="preserve">National Disability Insurance Agency, </w:t>
      </w:r>
      <w:r w:rsidRPr="007B537E">
        <w:rPr>
          <w:i/>
          <w:lang w:val="en-US"/>
        </w:rPr>
        <w:t>NDIS Participant Employment Strategy 2019-2022</w:t>
      </w:r>
      <w:r w:rsidRPr="007B537E">
        <w:rPr>
          <w:lang w:val="en-US"/>
        </w:rPr>
        <w:t xml:space="preserve"> (January 2020) 13 &lt;</w:t>
      </w:r>
      <w:hyperlink r:id="rId138" w:history="1">
        <w:r w:rsidRPr="007B537E">
          <w:rPr>
            <w:rStyle w:val="Hyperlink"/>
            <w:lang w:val="en-US"/>
          </w:rPr>
          <w:t>https://www.ndis.gov.au/media/1957/download</w:t>
        </w:r>
      </w:hyperlink>
      <w:r w:rsidRPr="007B537E">
        <w:rPr>
          <w:lang w:val="en-US"/>
        </w:rPr>
        <w:t>&gt;.</w:t>
      </w:r>
    </w:p>
  </w:endnote>
  <w:endnote w:id="267">
    <w:p w14:paraId="69228820" w14:textId="634173EE" w:rsidR="007B537E" w:rsidRPr="000B35C9" w:rsidRDefault="007B537E">
      <w:pPr>
        <w:pStyle w:val="EndnoteText"/>
      </w:pPr>
      <w:r w:rsidRPr="000B35C9">
        <w:rPr>
          <w:rStyle w:val="EndnoteReference"/>
        </w:rPr>
        <w:endnoteRef/>
      </w:r>
      <w:r w:rsidRPr="000B35C9">
        <w:t xml:space="preserve"> </w:t>
      </w:r>
      <w:r w:rsidRPr="007B537E">
        <w:t xml:space="preserve">National Disability Insurance Agency, </w:t>
      </w:r>
      <w:r w:rsidRPr="007B537E">
        <w:rPr>
          <w:i/>
        </w:rPr>
        <w:t>NDIS Participant Employment Strategy 2019-2022</w:t>
      </w:r>
      <w:r w:rsidRPr="007B537E">
        <w:t xml:space="preserve"> (January 2020) 13 &lt;</w:t>
      </w:r>
      <w:hyperlink r:id="rId139" w:history="1">
        <w:r w:rsidRPr="007B537E">
          <w:rPr>
            <w:rStyle w:val="Hyperlink"/>
          </w:rPr>
          <w:t>https://www.ndis.gov.au/media/1957/download</w:t>
        </w:r>
      </w:hyperlink>
      <w:r w:rsidRPr="007B537E">
        <w:t>&gt;.</w:t>
      </w:r>
    </w:p>
  </w:endnote>
  <w:endnote w:id="268">
    <w:p w14:paraId="45DFF0FE" w14:textId="4798CA63" w:rsidR="007B537E" w:rsidRPr="000B35C9" w:rsidRDefault="007B537E" w:rsidP="002D472C">
      <w:pPr>
        <w:pStyle w:val="NormalWeb"/>
        <w:spacing w:before="0" w:after="0"/>
        <w:rPr>
          <w:rFonts w:eastAsia="Times New Roman" w:cs="Open Sans"/>
          <w:sz w:val="20"/>
          <w:szCs w:val="20"/>
        </w:rPr>
      </w:pPr>
      <w:r w:rsidRPr="000B35C9">
        <w:rPr>
          <w:rStyle w:val="EndnoteReference"/>
          <w:szCs w:val="20"/>
        </w:rPr>
        <w:endnoteRef/>
      </w:r>
      <w:r w:rsidRPr="000B35C9">
        <w:rPr>
          <w:sz w:val="20"/>
          <w:szCs w:val="20"/>
        </w:rPr>
        <w:t xml:space="preserve"> </w:t>
      </w:r>
      <w:r w:rsidRPr="007B537E">
        <w:rPr>
          <w:rFonts w:cs="Open Sans"/>
          <w:sz w:val="20"/>
          <w:szCs w:val="20"/>
        </w:rPr>
        <w:t xml:space="preserve">National Disability Insurance Agency, </w:t>
      </w:r>
      <w:r w:rsidRPr="007B537E">
        <w:rPr>
          <w:rFonts w:cs="Open Sans"/>
          <w:i/>
          <w:sz w:val="20"/>
          <w:szCs w:val="20"/>
        </w:rPr>
        <w:t>NDIS Participant Employment Strategy 2019-2022</w:t>
      </w:r>
      <w:r w:rsidRPr="007B537E">
        <w:rPr>
          <w:rFonts w:cs="Open Sans"/>
          <w:sz w:val="20"/>
          <w:szCs w:val="20"/>
        </w:rPr>
        <w:t xml:space="preserve"> (January 2020) 18 &lt;</w:t>
      </w:r>
      <w:hyperlink r:id="rId140" w:history="1">
        <w:r w:rsidRPr="007B537E">
          <w:rPr>
            <w:rStyle w:val="Hyperlink"/>
            <w:rFonts w:cs="Open Sans"/>
            <w:sz w:val="20"/>
            <w:szCs w:val="20"/>
          </w:rPr>
          <w:t>https://www.ndis.gov.au/media/1957/download</w:t>
        </w:r>
      </w:hyperlink>
      <w:r w:rsidRPr="007B537E">
        <w:rPr>
          <w:rFonts w:cs="Open Sans"/>
          <w:sz w:val="20"/>
          <w:szCs w:val="20"/>
        </w:rPr>
        <w:t>&gt;.</w:t>
      </w:r>
    </w:p>
  </w:endnote>
  <w:endnote w:id="269">
    <w:p w14:paraId="6D499184" w14:textId="745E8D84" w:rsidR="007B537E" w:rsidRPr="000B35C9" w:rsidRDefault="007B537E" w:rsidP="00F64201">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(Report, 2016) 240 &lt;</w:t>
      </w:r>
      <w:hyperlink r:id="rId141" w:history="1">
        <w:r w:rsidRPr="007B537E">
          <w:rPr>
            <w:rStyle w:val="Hyperlink"/>
            <w:rFonts w:cs="Open Sans"/>
          </w:rPr>
          <w:t>https://humanrights.gov.au/sites/default/files/document/publication/WTW_2016_Full_Report_AHRC_ac.pdf</w:t>
        </w:r>
      </w:hyperlink>
      <w:r w:rsidRPr="007B537E">
        <w:rPr>
          <w:rFonts w:cs="Open Sans"/>
        </w:rPr>
        <w:t>&gt;; Stephen Lamb and Phillip McKenzie, ‘Patterns of Success and Failure in the Transition from School to Work in Australia’ (Research Report No 18, Australian Council for Educational Research, 6 January 2001) &lt;</w:t>
      </w:r>
      <w:hyperlink r:id="rId142" w:history="1">
        <w:r w:rsidRPr="007B537E">
          <w:rPr>
            <w:rStyle w:val="Hyperlink"/>
          </w:rPr>
          <w:t>https://research.acer.edu.au/cgi/viewcontent.cgi?article=1066&amp;context=lsay_research</w:t>
        </w:r>
      </w:hyperlink>
      <w:r w:rsidRPr="007B537E">
        <w:t>&gt;.</w:t>
      </w:r>
    </w:p>
  </w:endnote>
  <w:endnote w:id="270">
    <w:p w14:paraId="383DD28E" w14:textId="27DAB67C" w:rsidR="007B537E" w:rsidRPr="000B35C9" w:rsidRDefault="007B537E" w:rsidP="00786289">
      <w:pPr>
        <w:pStyle w:val="NormalWeb"/>
        <w:spacing w:before="0" w:after="0"/>
        <w:rPr>
          <w:rFonts w:eastAsia="Times New Roman" w:cs="Open Sans"/>
          <w:sz w:val="20"/>
          <w:szCs w:val="20"/>
        </w:rPr>
      </w:pPr>
      <w:r w:rsidRPr="000B35C9">
        <w:rPr>
          <w:rStyle w:val="EndnoteReference"/>
          <w:rFonts w:cs="Open Sans"/>
          <w:szCs w:val="20"/>
        </w:rPr>
        <w:endnoteRef/>
      </w:r>
      <w:r w:rsidRPr="000B35C9">
        <w:rPr>
          <w:rFonts w:cs="Open Sans"/>
          <w:sz w:val="20"/>
          <w:szCs w:val="20"/>
        </w:rPr>
        <w:t xml:space="preserve"> </w:t>
      </w:r>
      <w:r w:rsidRPr="007B537E">
        <w:rPr>
          <w:rFonts w:cs="Open Sans"/>
          <w:sz w:val="20"/>
          <w:szCs w:val="20"/>
        </w:rPr>
        <w:t xml:space="preserve">Australian Government, 'What is the NCCD model?', </w:t>
      </w:r>
      <w:r w:rsidRPr="007B537E">
        <w:rPr>
          <w:rFonts w:cs="Open Sans"/>
          <w:i/>
          <w:sz w:val="20"/>
          <w:szCs w:val="20"/>
        </w:rPr>
        <w:t xml:space="preserve">Nationally Consistent Collection of Data on School Students With Disability </w:t>
      </w:r>
      <w:r w:rsidRPr="007B537E">
        <w:rPr>
          <w:rFonts w:cs="Open Sans"/>
          <w:sz w:val="20"/>
          <w:szCs w:val="20"/>
        </w:rPr>
        <w:t>(Web Page, 2020) &lt;https://www.nccd.edu.au/wider-support-materials/what-nccd-model-1?parent=/understanding-nccd&amp;activity=/wider-support-materials/what-nccd-model-1&amp;step=-1&gt;.</w:t>
      </w:r>
    </w:p>
  </w:endnote>
  <w:endnote w:id="271">
    <w:p w14:paraId="40FFFB73" w14:textId="40A18BDD" w:rsidR="007B537E" w:rsidRPr="000B35C9" w:rsidRDefault="007B537E">
      <w:pPr>
        <w:pStyle w:val="EndnoteText"/>
        <w:rPr>
          <w:lang w:val="en-US"/>
        </w:rPr>
      </w:pPr>
      <w:r w:rsidRPr="000B35C9">
        <w:rPr>
          <w:rStyle w:val="EndnoteReference"/>
        </w:rPr>
        <w:endnoteRef/>
      </w:r>
      <w:r w:rsidRPr="000B35C9">
        <w:t xml:space="preserve"> Australian Government, Department of Social Services ‘The National Disability Data Asset’ (Web Page, 19 August 2020) &lt; </w:t>
      </w:r>
      <w:hyperlink r:id="rId143" w:history="1">
        <w:r w:rsidRPr="000B35C9">
          <w:rPr>
            <w:rStyle w:val="Hyperlink"/>
          </w:rPr>
          <w:t>https://www.dss.gov.au/disability-and-carers-research-and-data/the-national-disability-data-asset</w:t>
        </w:r>
      </w:hyperlink>
      <w:r w:rsidRPr="000B35C9">
        <w:t>&gt;. .</w:t>
      </w:r>
    </w:p>
  </w:endnote>
  <w:endnote w:id="272">
    <w:p w14:paraId="36C35C5E" w14:textId="4C2EFAEC" w:rsidR="007B537E" w:rsidRPr="000B35C9" w:rsidRDefault="007B537E" w:rsidP="005E4510">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Government, Department of Social Services, </w:t>
      </w:r>
      <w:r w:rsidRPr="007B537E">
        <w:rPr>
          <w:rFonts w:cs="Open Sans"/>
          <w:i/>
        </w:rPr>
        <w:t>Eligible School Leaver Guidelines</w:t>
      </w:r>
      <w:r w:rsidRPr="007B537E">
        <w:rPr>
          <w:rFonts w:cs="Open Sans"/>
        </w:rPr>
        <w:t xml:space="preserve"> (9 March 2020) 4 </w:t>
      </w:r>
      <w:r w:rsidR="00603BC1">
        <w:rPr>
          <w:rFonts w:cs="Open Sans"/>
        </w:rPr>
        <w:t>&lt;</w:t>
      </w:r>
      <w:hyperlink r:id="rId144" w:history="1">
        <w:r w:rsidR="00603BC1" w:rsidRPr="001A7DEC">
          <w:rPr>
            <w:rStyle w:val="Hyperlink"/>
            <w:rFonts w:cs="Open Sans"/>
          </w:rPr>
          <w:t>https://www.dss.gov.au/sites/default/files/documents/03_2020/des-eligible-school-leaver-guideline.pdf</w:t>
        </w:r>
      </w:hyperlink>
      <w:r w:rsidR="00603BC1">
        <w:rPr>
          <w:rFonts w:cs="Open Sans"/>
        </w:rPr>
        <w:t>&gt;</w:t>
      </w:r>
      <w:r w:rsidRPr="007B537E">
        <w:rPr>
          <w:rFonts w:cs="Open Sans"/>
        </w:rPr>
        <w:t>.</w:t>
      </w:r>
    </w:p>
  </w:endnote>
  <w:endnote w:id="273">
    <w:p w14:paraId="7FBB4BB9" w14:textId="5CF74913" w:rsidR="007B537E" w:rsidRPr="000B35C9" w:rsidRDefault="007B537E" w:rsidP="00AA762E">
      <w:pPr>
        <w:pStyle w:val="NormalWeb"/>
        <w:spacing w:before="0" w:after="0"/>
        <w:rPr>
          <w:rFonts w:ascii="Arial" w:eastAsia="Times New Roman" w:hAnsi="Arial" w:cs="Arial"/>
        </w:rPr>
      </w:pPr>
      <w:r w:rsidRPr="000B35C9">
        <w:rPr>
          <w:rStyle w:val="EndnoteReference"/>
          <w:rFonts w:cs="Open Sans"/>
          <w:szCs w:val="20"/>
        </w:rPr>
        <w:endnoteRef/>
      </w:r>
      <w:r w:rsidRPr="000B35C9">
        <w:rPr>
          <w:rFonts w:cs="Open Sans"/>
          <w:sz w:val="20"/>
          <w:szCs w:val="20"/>
        </w:rPr>
        <w:t xml:space="preserve"> </w:t>
      </w:r>
      <w:r w:rsidRPr="007B537E">
        <w:rPr>
          <w:rFonts w:cs="Open Sans"/>
          <w:sz w:val="20"/>
          <w:szCs w:val="20"/>
        </w:rPr>
        <w:t xml:space="preserve">DES-ESL is available to students aged under 22 who are in their final year of secondary school (or in an earlier year of school, for students participating in a school-based apprenticeship or traineeship). The student must either be receiving the Disability Support Pension, attract ‘additional educational funding’ due to their disability, or be in a disability special school or a disability special class in a mainstream school. In addition, they must meet any other requirements set out in any DES guidelines and the Disability Employment Services Grant Agreement. See Australian Government, Department of Social Services, </w:t>
      </w:r>
      <w:r w:rsidRPr="007B537E">
        <w:rPr>
          <w:rFonts w:cs="Open Sans"/>
          <w:i/>
          <w:sz w:val="20"/>
          <w:szCs w:val="20"/>
        </w:rPr>
        <w:t>Eligible School Leaver Guidelines</w:t>
      </w:r>
      <w:r w:rsidRPr="007B537E">
        <w:rPr>
          <w:rFonts w:cs="Open Sans"/>
          <w:sz w:val="20"/>
          <w:szCs w:val="20"/>
        </w:rPr>
        <w:t xml:space="preserve"> (9 March 2020) 7 &lt;</w:t>
      </w:r>
      <w:hyperlink r:id="rId145" w:history="1">
        <w:r w:rsidRPr="007B537E">
          <w:rPr>
            <w:rStyle w:val="Hyperlink"/>
            <w:rFonts w:cs="Open Sans"/>
            <w:sz w:val="20"/>
            <w:szCs w:val="20"/>
          </w:rPr>
          <w:t>https://www.dss.gov.au/sites/default/files/documents/03_2020/des-eligible-school-leaver-guideline.pdf</w:t>
        </w:r>
      </w:hyperlink>
      <w:r w:rsidRPr="007B537E">
        <w:rPr>
          <w:rFonts w:cs="Open Sans"/>
          <w:sz w:val="20"/>
          <w:szCs w:val="20"/>
        </w:rPr>
        <w:t>&gt;.</w:t>
      </w:r>
    </w:p>
  </w:endnote>
  <w:endnote w:id="274">
    <w:p w14:paraId="4F5506A5" w14:textId="7467FA51" w:rsidR="007B537E" w:rsidRPr="000B35C9" w:rsidRDefault="007B537E" w:rsidP="005E4510">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(Report, 2016) 202 &lt;</w:t>
      </w:r>
      <w:hyperlink r:id="rId146" w:history="1">
        <w:r w:rsidRPr="007B537E">
          <w:rPr>
            <w:rStyle w:val="Hyperlink"/>
            <w:rFonts w:cs="Open Sans"/>
          </w:rPr>
          <w:t>https://humanrights.gov.au/sites/default/files/document/publication/WTW_2016_Full_Report_AHRC_ac.pdf</w:t>
        </w:r>
      </w:hyperlink>
      <w:r w:rsidRPr="007B537E">
        <w:rPr>
          <w:rFonts w:cs="Open Sans"/>
        </w:rPr>
        <w:t>&gt;.</w:t>
      </w:r>
    </w:p>
  </w:endnote>
  <w:endnote w:id="275">
    <w:p w14:paraId="0BECCD53" w14:textId="6C25CC22" w:rsidR="007B537E" w:rsidRPr="000B35C9" w:rsidRDefault="007B537E" w:rsidP="005E4510">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Government, Department of Social Services, </w:t>
      </w:r>
      <w:r w:rsidRPr="007B537E">
        <w:rPr>
          <w:rFonts w:cs="Open Sans"/>
          <w:i/>
        </w:rPr>
        <w:t>Eligible School Leaver Guidelines</w:t>
      </w:r>
      <w:r w:rsidRPr="007B537E">
        <w:rPr>
          <w:rFonts w:cs="Open Sans"/>
        </w:rPr>
        <w:t xml:space="preserve"> (9 March 2020) 8 &lt;</w:t>
      </w:r>
      <w:hyperlink r:id="rId147" w:history="1">
        <w:r w:rsidRPr="007B537E">
          <w:rPr>
            <w:rStyle w:val="Hyperlink"/>
            <w:rFonts w:cs="Open Sans"/>
          </w:rPr>
          <w:t>https://www.dss.gov.au/sites/default/files/documents/03_2020/des-eligible-school-leaver-guideline.pdf</w:t>
        </w:r>
      </w:hyperlink>
      <w:r w:rsidRPr="007B537E">
        <w:rPr>
          <w:rFonts w:cs="Open Sans"/>
        </w:rPr>
        <w:t>&gt;.</w:t>
      </w:r>
    </w:p>
  </w:endnote>
  <w:endnote w:id="276">
    <w:p w14:paraId="168D936A" w14:textId="2F23AC09" w:rsidR="007B537E" w:rsidRPr="000B35C9" w:rsidRDefault="007B537E" w:rsidP="005E4510">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David W Test et al, 'Evidence-Based Secondary Transition Predictors for Improving Postschool Outcomes for Students With Disabilities' (2009) 32(3) </w:t>
      </w:r>
      <w:r w:rsidRPr="007B537E">
        <w:rPr>
          <w:rFonts w:cs="Open Sans"/>
          <w:i/>
        </w:rPr>
        <w:t xml:space="preserve">Career Development and Transition for Exceptional Individuals </w:t>
      </w:r>
      <w:r w:rsidRPr="007B537E">
        <w:rPr>
          <w:rFonts w:cs="Open Sans"/>
        </w:rPr>
        <w:t>160 &lt;</w:t>
      </w:r>
      <w:hyperlink r:id="rId148" w:history="1">
        <w:r w:rsidRPr="007B537E">
          <w:rPr>
            <w:rStyle w:val="Hyperlink"/>
          </w:rPr>
          <w:t>https://journals.sagepub.com/doi/10.1177/0885728809346960</w:t>
        </w:r>
      </w:hyperlink>
      <w:r w:rsidRPr="007B537E">
        <w:t xml:space="preserve">&gt;; Karen Rabren et al, ‘Predictors of Post-High School Employment Among Young Adults with Disabilities’ (2002) </w:t>
      </w:r>
      <w:r w:rsidRPr="007B537E">
        <w:rPr>
          <w:i/>
        </w:rPr>
        <w:t>Career Development and Transition for Exceptional Individuals</w:t>
      </w:r>
      <w:r w:rsidRPr="007B537E">
        <w:t xml:space="preserve"> 25 &lt;</w:t>
      </w:r>
      <w:hyperlink r:id="rId149" w:history="1">
        <w:r w:rsidRPr="007B537E">
          <w:rPr>
            <w:rStyle w:val="Hyperlink"/>
          </w:rPr>
          <w:t>https://journals.sagepub.com/doi/10.1177/088572880202500103</w:t>
        </w:r>
      </w:hyperlink>
      <w:r w:rsidRPr="007B537E">
        <w:t>&gt;.</w:t>
      </w:r>
    </w:p>
  </w:endnote>
  <w:endnote w:id="277">
    <w:p w14:paraId="505D0E11" w14:textId="1BA32141" w:rsidR="007B537E" w:rsidRPr="000B35C9" w:rsidRDefault="007B537E" w:rsidP="005E4510">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(Report, 2016) 202–203 &lt;</w:t>
      </w:r>
      <w:hyperlink r:id="rId150" w:history="1">
        <w:r w:rsidRPr="007B537E">
          <w:rPr>
            <w:rStyle w:val="Hyperlink"/>
            <w:rFonts w:cs="Open Sans"/>
          </w:rPr>
          <w:t>https://humanrights.gov.au/sites/default/files/document/publication/WTW_2016_Full_Report_AHRC_ac.pdf</w:t>
        </w:r>
      </w:hyperlink>
      <w:r w:rsidRPr="007B537E">
        <w:rPr>
          <w:rFonts w:cs="Open Sans"/>
        </w:rPr>
        <w:t>&gt;.</w:t>
      </w:r>
    </w:p>
  </w:endnote>
  <w:endnote w:id="278">
    <w:p w14:paraId="1CF183BC" w14:textId="60E89D59" w:rsidR="007B537E" w:rsidRPr="000B35C9" w:rsidRDefault="007B537E" w:rsidP="000566CE">
      <w:pPr>
        <w:pStyle w:val="NormalWeb"/>
        <w:spacing w:before="0" w:after="0"/>
        <w:rPr>
          <w:rFonts w:eastAsia="Times New Roman" w:cs="Open Sans"/>
          <w:sz w:val="20"/>
          <w:szCs w:val="20"/>
        </w:rPr>
      </w:pPr>
      <w:r w:rsidRPr="000B35C9">
        <w:rPr>
          <w:rStyle w:val="EndnoteReference"/>
          <w:rFonts w:cs="Open Sans"/>
          <w:szCs w:val="20"/>
        </w:rPr>
        <w:endnoteRef/>
      </w:r>
      <w:r w:rsidRPr="000B35C9">
        <w:rPr>
          <w:rFonts w:cs="Open Sans"/>
          <w:sz w:val="20"/>
          <w:szCs w:val="20"/>
        </w:rPr>
        <w:t xml:space="preserve"> </w:t>
      </w:r>
      <w:r w:rsidRPr="007B537E">
        <w:rPr>
          <w:rFonts w:cs="Open Sans"/>
          <w:sz w:val="20"/>
          <w:szCs w:val="20"/>
        </w:rPr>
        <w:t xml:space="preserve">The overall proportion of casual employees in Australia increased from 23.5% in August 2012 to 25.1% in August 2017. This represents an increase of 472,000 casual employees from 2007 to 2017. See Australian Bureau of Statistics, </w:t>
      </w:r>
      <w:r w:rsidRPr="007B537E">
        <w:rPr>
          <w:rFonts w:cs="Open Sans"/>
          <w:i/>
          <w:sz w:val="20"/>
          <w:szCs w:val="20"/>
        </w:rPr>
        <w:t>6333.0 - Characteristics of Employment, Australia, August 2017: Recent Trends in Earnings</w:t>
      </w:r>
      <w:r w:rsidRPr="007B537E">
        <w:rPr>
          <w:rFonts w:cs="Open Sans"/>
          <w:sz w:val="20"/>
          <w:szCs w:val="20"/>
        </w:rPr>
        <w:t xml:space="preserve"> (26 February 2018) &lt;</w:t>
      </w:r>
      <w:hyperlink r:id="rId151" w:history="1">
        <w:r w:rsidRPr="007B537E">
          <w:rPr>
            <w:rStyle w:val="Hyperlink"/>
            <w:rFonts w:cs="Open Sans"/>
            <w:sz w:val="20"/>
            <w:szCs w:val="20"/>
          </w:rPr>
          <w:t>https://www.abs.gov.au/ausstats/abs@.nsf/Previousproducts/6333.0Feature%20Article4August%202017?opendocument&amp;tabname=Summary&amp;prodno=6333.0&amp;issue=August%202017&amp;num=&amp;view=</w:t>
        </w:r>
      </w:hyperlink>
      <w:r w:rsidRPr="007B537E">
        <w:rPr>
          <w:rFonts w:cs="Open Sans"/>
          <w:sz w:val="20"/>
          <w:szCs w:val="20"/>
        </w:rPr>
        <w:t>&gt;.</w:t>
      </w:r>
    </w:p>
  </w:endnote>
  <w:endnote w:id="279">
    <w:p w14:paraId="0CE1B70D" w14:textId="12174FFD" w:rsidR="007B537E" w:rsidRPr="000B35C9" w:rsidRDefault="007B537E" w:rsidP="00E80BA1">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(Report, 2016) 241 &lt;</w:t>
      </w:r>
      <w:hyperlink r:id="rId152" w:history="1">
        <w:r w:rsidRPr="007B537E">
          <w:rPr>
            <w:rStyle w:val="Hyperlink"/>
            <w:rFonts w:cs="Open Sans"/>
          </w:rPr>
          <w:t>https://humanrights.gov.au/sites/default/files/document/publication/WTW_2016_Full_Report_AHRC_ac.pdf</w:t>
        </w:r>
      </w:hyperlink>
      <w:r w:rsidRPr="007B537E">
        <w:rPr>
          <w:rFonts w:cs="Open Sans"/>
        </w:rPr>
        <w:t xml:space="preserve">&gt;; Australian Government, Department of Social Services, </w:t>
      </w:r>
      <w:r w:rsidRPr="007B537E">
        <w:rPr>
          <w:rFonts w:cs="Open Sans"/>
          <w:i/>
        </w:rPr>
        <w:t xml:space="preserve">Eligible School Leaver Guidelines </w:t>
      </w:r>
      <w:r w:rsidRPr="007B537E">
        <w:rPr>
          <w:rFonts w:cs="Open Sans"/>
          <w:i/>
          <w:iCs/>
        </w:rPr>
        <w:t xml:space="preserve">v1.2 </w:t>
      </w:r>
      <w:r w:rsidRPr="007B537E">
        <w:rPr>
          <w:rFonts w:cs="Open Sans"/>
        </w:rPr>
        <w:t>(March 2020) &lt;</w:t>
      </w:r>
      <w:hyperlink r:id="rId153" w:history="1">
        <w:r w:rsidRPr="007B537E">
          <w:rPr>
            <w:rStyle w:val="Hyperlink"/>
            <w:rFonts w:cs="Open Sans"/>
          </w:rPr>
          <w:t>https://www.dss.gov.au/sites/default/files/documents/03_2020/des-eligible-school-leaver-guideline.pdf</w:t>
        </w:r>
      </w:hyperlink>
      <w:r w:rsidRPr="007B537E">
        <w:rPr>
          <w:rFonts w:cs="Open Sans"/>
        </w:rPr>
        <w:t>&gt;.</w:t>
      </w:r>
    </w:p>
  </w:endnote>
  <w:endnote w:id="280">
    <w:p w14:paraId="270A8FF4" w14:textId="4B56F37C" w:rsidR="007B537E" w:rsidRPr="000B35C9" w:rsidRDefault="007B537E" w:rsidP="005E4510">
      <w:pPr>
        <w:pStyle w:val="EndnoteText"/>
        <w:rPr>
          <w:rFonts w:cs="Open Sans"/>
        </w:rPr>
      </w:pPr>
      <w:r w:rsidRPr="000B35C9">
        <w:rPr>
          <w:rStyle w:val="EndnoteReference"/>
          <w:rFonts w:cs="Open Sans"/>
        </w:rPr>
        <w:endnoteRef/>
      </w:r>
      <w:r w:rsidRPr="000B35C9">
        <w:rPr>
          <w:rFonts w:cs="Open Sans"/>
        </w:rPr>
        <w:t xml:space="preserve"> </w:t>
      </w:r>
      <w:r w:rsidRPr="007B537E">
        <w:rPr>
          <w:rFonts w:cs="Open Sans"/>
        </w:rPr>
        <w:t xml:space="preserve">Australian Human Rights Commission, </w:t>
      </w:r>
      <w:r w:rsidRPr="007B537E">
        <w:rPr>
          <w:rFonts w:cs="Open Sans"/>
          <w:i/>
        </w:rPr>
        <w:t xml:space="preserve">Willing to Work: National Inquiry into Employment Discrimination Against Older Australians and Australians with Disability </w:t>
      </w:r>
      <w:r w:rsidRPr="007B537E">
        <w:rPr>
          <w:rFonts w:cs="Open Sans"/>
        </w:rPr>
        <w:t>(Report, 2016) 241 &lt;</w:t>
      </w:r>
      <w:hyperlink r:id="rId154" w:history="1">
        <w:r w:rsidRPr="007B537E">
          <w:rPr>
            <w:rStyle w:val="Hyperlink"/>
            <w:rFonts w:cs="Open Sans"/>
          </w:rPr>
          <w:t>https://humanrights.gov.au/sites/default/files/document/publication/WTW_2016_Full_Report_AHRC_ac.pdf</w:t>
        </w:r>
      </w:hyperlink>
      <w:r w:rsidRPr="007B537E">
        <w:rPr>
          <w:rStyle w:val="Hyperlink"/>
          <w:rFonts w:cs="Open Sans"/>
        </w:rPr>
        <w:t xml:space="preserve">&gt;. </w:t>
      </w:r>
    </w:p>
  </w:endnote>
  <w:endnote w:id="281">
    <w:p w14:paraId="185DAE44" w14:textId="77777777" w:rsidR="007B537E" w:rsidRPr="000B35C9" w:rsidRDefault="007B537E" w:rsidP="009C7FB3">
      <w:pPr>
        <w:pStyle w:val="NormalWeb"/>
        <w:spacing w:before="0" w:after="0"/>
        <w:rPr>
          <w:rFonts w:eastAsia="Times New Roman" w:cs="Open Sans"/>
          <w:sz w:val="20"/>
          <w:szCs w:val="20"/>
        </w:rPr>
      </w:pPr>
      <w:r w:rsidRPr="000B35C9">
        <w:rPr>
          <w:rStyle w:val="EndnoteReference"/>
          <w:rFonts w:cs="Open Sans"/>
          <w:szCs w:val="20"/>
        </w:rPr>
        <w:endnoteRef/>
      </w:r>
      <w:r w:rsidRPr="000B35C9">
        <w:rPr>
          <w:rFonts w:cs="Open Sans"/>
          <w:sz w:val="20"/>
          <w:szCs w:val="20"/>
        </w:rPr>
        <w:t xml:space="preserve"> </w:t>
      </w:r>
      <w:r w:rsidRPr="007B537E">
        <w:rPr>
          <w:rFonts w:cs="Open Sans"/>
          <w:sz w:val="20"/>
          <w:szCs w:val="20"/>
        </w:rPr>
        <w:t xml:space="preserve">Australian Human Rights Commission, </w:t>
      </w:r>
      <w:r w:rsidRPr="007B537E">
        <w:rPr>
          <w:rFonts w:cs="Open Sans"/>
          <w:i/>
          <w:sz w:val="20"/>
          <w:szCs w:val="20"/>
        </w:rPr>
        <w:t xml:space="preserve">Willing to Work: National Inquiry into Employment Discrimination Against Older Australians and Australians with Disability </w:t>
      </w:r>
      <w:r w:rsidRPr="007B537E">
        <w:rPr>
          <w:rFonts w:cs="Open Sans"/>
          <w:sz w:val="20"/>
          <w:szCs w:val="20"/>
        </w:rPr>
        <w:t>(Report, 2016) 241 &lt;</w:t>
      </w:r>
      <w:hyperlink r:id="rId155" w:history="1">
        <w:r w:rsidRPr="007B537E">
          <w:rPr>
            <w:rStyle w:val="Hyperlink"/>
            <w:rFonts w:cs="Open Sans"/>
            <w:sz w:val="20"/>
            <w:szCs w:val="20"/>
          </w:rPr>
          <w:t>https://humanrights.gov.au/sites/default/files/document/publication/WTW_2016_Full_Report_AHRC_ac.pdf</w:t>
        </w:r>
      </w:hyperlink>
      <w:r w:rsidRPr="007B537E">
        <w:rPr>
          <w:rFonts w:cs="Open Sans"/>
          <w:sz w:val="20"/>
          <w:szCs w:val="20"/>
        </w:rPr>
        <w:t>&gt;.</w:t>
      </w:r>
    </w:p>
  </w:endnote>
  <w:endnote w:id="282">
    <w:p w14:paraId="7C04AD87" w14:textId="1E05760C" w:rsidR="007B537E" w:rsidRPr="000B35C9" w:rsidRDefault="007B537E" w:rsidP="00E517A8">
      <w:pPr>
        <w:pStyle w:val="EndnoteText"/>
      </w:pPr>
      <w:r w:rsidRPr="000B35C9">
        <w:rPr>
          <w:rStyle w:val="EndnoteReference"/>
        </w:rPr>
        <w:endnoteRef/>
      </w:r>
      <w:r w:rsidRPr="000B35C9">
        <w:t xml:space="preserve"> </w:t>
      </w:r>
      <w:r w:rsidRPr="007B537E">
        <w:t xml:space="preserve">National Disability Insurance Agency, </w:t>
      </w:r>
      <w:r w:rsidRPr="007B537E">
        <w:rPr>
          <w:i/>
        </w:rPr>
        <w:t>School Leaver Employment Supports (SLES): Provider Handbook</w:t>
      </w:r>
      <w:r w:rsidRPr="007B537E">
        <w:t xml:space="preserve"> (December 2019) 5 &lt;</w:t>
      </w:r>
      <w:hyperlink r:id="rId156" w:history="1">
        <w:r w:rsidRPr="007B537E">
          <w:rPr>
            <w:rStyle w:val="Hyperlink"/>
          </w:rPr>
          <w:t>https://www.ndis.gov.au/media/321/download</w:t>
        </w:r>
      </w:hyperlink>
      <w:r w:rsidRPr="007B537E">
        <w:t>&gt;.</w:t>
      </w:r>
      <w:r w:rsidRPr="000B35C9">
        <w:t xml:space="preserve">  </w:t>
      </w:r>
    </w:p>
  </w:endnote>
  <w:endnote w:id="283">
    <w:p w14:paraId="28DA9D0C" w14:textId="115678C6" w:rsidR="007B537E" w:rsidRPr="000B35C9" w:rsidRDefault="007B537E" w:rsidP="00282364">
      <w:pPr>
        <w:pStyle w:val="EndnoteText"/>
      </w:pPr>
      <w:r w:rsidRPr="000B35C9">
        <w:rPr>
          <w:rStyle w:val="EndnoteReference"/>
        </w:rPr>
        <w:endnoteRef/>
      </w:r>
      <w:r w:rsidRPr="000B35C9">
        <w:t xml:space="preserve"> </w:t>
      </w:r>
      <w:r w:rsidRPr="007B537E">
        <w:t xml:space="preserve">National Disability Insurance Agency, </w:t>
      </w:r>
      <w:r w:rsidRPr="007B537E">
        <w:rPr>
          <w:i/>
        </w:rPr>
        <w:t>NDIS Participant Employment Strategy 2019-2022</w:t>
      </w:r>
      <w:r w:rsidRPr="007B537E">
        <w:t xml:space="preserve"> (January 2020) 13</w:t>
      </w:r>
      <w:r w:rsidRPr="007B537E">
        <w:softHyphen/>
        <w:t>–14 &lt;</w:t>
      </w:r>
      <w:hyperlink r:id="rId157" w:history="1">
        <w:r w:rsidRPr="007B537E">
          <w:rPr>
            <w:rStyle w:val="Hyperlink"/>
          </w:rPr>
          <w:t>https://www.ndis.gov.au/media/1957/download</w:t>
        </w:r>
      </w:hyperlink>
      <w:r w:rsidRPr="007B537E">
        <w:t>&gt;.</w:t>
      </w:r>
    </w:p>
  </w:endnote>
  <w:endnote w:id="284">
    <w:p w14:paraId="28372189" w14:textId="48DDFEBA" w:rsidR="007B537E" w:rsidRPr="00BC4DA8" w:rsidRDefault="007B537E" w:rsidP="0041363C">
      <w:pPr>
        <w:pStyle w:val="EndnoteText"/>
      </w:pPr>
      <w:r w:rsidRPr="000B35C9">
        <w:rPr>
          <w:rStyle w:val="EndnoteReference"/>
        </w:rPr>
        <w:endnoteRef/>
      </w:r>
      <w:r w:rsidRPr="000B35C9">
        <w:t xml:space="preserve"> </w:t>
      </w:r>
      <w:r w:rsidRPr="007B537E">
        <w:t xml:space="preserve">Australian Human Rights Commission, </w:t>
      </w:r>
      <w:r w:rsidRPr="007B537E">
        <w:rPr>
          <w:i/>
        </w:rPr>
        <w:t>2018-19 Complaint statistics</w:t>
      </w:r>
      <w:r w:rsidRPr="007B537E">
        <w:t xml:space="preserve"> (2019) 2 &lt;</w:t>
      </w:r>
      <w:hyperlink r:id="rId158" w:history="1">
        <w:r w:rsidRPr="007B537E">
          <w:rPr>
            <w:rStyle w:val="Hyperlink"/>
          </w:rPr>
          <w:t>https://humanrights.gov.au/sites/default/files/2019-10/AHRC_AR_2018-19_Stats_Tables_%28Final%29.pdf?_ga=2.22211707.1503718482.1596427266-453609452.1594602574</w:t>
        </w:r>
      </w:hyperlink>
      <w:r w:rsidRPr="007B537E">
        <w:t>&gt;.</w:t>
      </w:r>
    </w:p>
  </w:endnote>
  <w:endnote w:id="285">
    <w:p w14:paraId="03AC78D8" w14:textId="77777777" w:rsidR="007B537E" w:rsidRDefault="007B5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F3C5" w14:textId="00EB9297" w:rsidR="007B537E" w:rsidRPr="000465F1" w:rsidRDefault="007B537E" w:rsidP="000465F1">
    <w:pPr>
      <w:pStyle w:val="Footer"/>
    </w:pPr>
    <w:r w:rsidRPr="000465F1">
      <w:t>ABN</w:t>
    </w:r>
    <w:r>
      <w:t xml:space="preserve"> </w:t>
    </w:r>
    <w:r w:rsidRPr="000465F1">
      <w:t>47</w:t>
    </w:r>
    <w:r>
      <w:t xml:space="preserve"> </w:t>
    </w:r>
    <w:r w:rsidRPr="000465F1">
      <w:t>996</w:t>
    </w:r>
    <w:r>
      <w:t xml:space="preserve"> </w:t>
    </w:r>
    <w:r w:rsidRPr="000465F1">
      <w:t>232</w:t>
    </w:r>
    <w:r>
      <w:t xml:space="preserve"> </w:t>
    </w:r>
    <w:r w:rsidRPr="000465F1">
      <w:t>602</w:t>
    </w:r>
  </w:p>
  <w:p w14:paraId="5DDD8EE0" w14:textId="4DB569F7" w:rsidR="007B537E" w:rsidRPr="000465F1" w:rsidRDefault="007B537E" w:rsidP="000465F1">
    <w:pPr>
      <w:pStyle w:val="Footer"/>
    </w:pPr>
    <w:r w:rsidRPr="000465F1">
      <w:t>Level</w:t>
    </w:r>
    <w:r>
      <w:t xml:space="preserve"> </w:t>
    </w:r>
    <w:r w:rsidRPr="000465F1">
      <w:t>3,</w:t>
    </w:r>
    <w:r>
      <w:t xml:space="preserve"> </w:t>
    </w:r>
    <w:r w:rsidRPr="000465F1">
      <w:t>175</w:t>
    </w:r>
    <w:r>
      <w:t xml:space="preserve"> </w:t>
    </w:r>
    <w:r w:rsidRPr="000465F1">
      <w:t>Pitt</w:t>
    </w:r>
    <w:r>
      <w:t xml:space="preserve"> </w:t>
    </w:r>
    <w:r w:rsidRPr="000465F1">
      <w:t>Street,</w:t>
    </w:r>
    <w:r>
      <w:t xml:space="preserve"> </w:t>
    </w:r>
    <w:r w:rsidRPr="000465F1">
      <w:t>Sydney</w:t>
    </w:r>
    <w:r>
      <w:t xml:space="preserve"> </w:t>
    </w:r>
    <w:r w:rsidRPr="000465F1">
      <w:t>NSW</w:t>
    </w:r>
    <w:r>
      <w:t xml:space="preserve"> </w:t>
    </w:r>
    <w:r w:rsidRPr="000465F1">
      <w:t>2000</w:t>
    </w:r>
  </w:p>
  <w:p w14:paraId="17BF1E11" w14:textId="664A9C89" w:rsidR="007B537E" w:rsidRPr="000465F1" w:rsidRDefault="007B537E" w:rsidP="000465F1">
    <w:pPr>
      <w:pStyle w:val="Footer"/>
    </w:pPr>
    <w:r w:rsidRPr="000465F1">
      <w:t>GPO</w:t>
    </w:r>
    <w:r>
      <w:t xml:space="preserve"> </w:t>
    </w:r>
    <w:r w:rsidRPr="000465F1">
      <w:t>Box</w:t>
    </w:r>
    <w:r>
      <w:t xml:space="preserve"> </w:t>
    </w:r>
    <w:r w:rsidRPr="000465F1">
      <w:t>5218,</w:t>
    </w:r>
    <w:r>
      <w:t xml:space="preserve"> </w:t>
    </w:r>
    <w:r w:rsidRPr="000465F1">
      <w:t>Sydney</w:t>
    </w:r>
    <w:r>
      <w:t xml:space="preserve"> </w:t>
    </w:r>
    <w:r w:rsidRPr="000465F1">
      <w:t>NSW</w:t>
    </w:r>
    <w:r>
      <w:t xml:space="preserve"> </w:t>
    </w:r>
    <w:r w:rsidRPr="000465F1">
      <w:t>2001</w:t>
    </w:r>
  </w:p>
  <w:p w14:paraId="19F12654" w14:textId="3E6C96CD" w:rsidR="007B537E" w:rsidRPr="000465F1" w:rsidRDefault="007B537E" w:rsidP="000465F1">
    <w:pPr>
      <w:pStyle w:val="Footer"/>
    </w:pPr>
    <w:r w:rsidRPr="000465F1">
      <w:t>General</w:t>
    </w:r>
    <w:r>
      <w:t xml:space="preserve"> </w:t>
    </w:r>
    <w:r w:rsidRPr="000465F1">
      <w:t>enquiries</w:t>
    </w:r>
    <w:r>
      <w:t xml:space="preserve"> </w:t>
    </w:r>
    <w:r w:rsidRPr="000465F1">
      <w:t>1300</w:t>
    </w:r>
    <w:r>
      <w:t xml:space="preserve"> </w:t>
    </w:r>
    <w:r w:rsidRPr="000465F1">
      <w:t>369</w:t>
    </w:r>
    <w:r>
      <w:t xml:space="preserve"> </w:t>
    </w:r>
    <w:r w:rsidRPr="000465F1">
      <w:t>711</w:t>
    </w:r>
  </w:p>
  <w:p w14:paraId="5358282D" w14:textId="51631C8B" w:rsidR="007B537E" w:rsidRPr="000465F1" w:rsidRDefault="007B537E" w:rsidP="000465F1">
    <w:pPr>
      <w:pStyle w:val="Footer"/>
    </w:pPr>
    <w:r>
      <w:t xml:space="preserve">National Information Service </w:t>
    </w:r>
    <w:r w:rsidRPr="000465F1">
      <w:t>1300</w:t>
    </w:r>
    <w:r>
      <w:t xml:space="preserve"> </w:t>
    </w:r>
    <w:r w:rsidRPr="000465F1">
      <w:t>656</w:t>
    </w:r>
    <w:r>
      <w:t xml:space="preserve"> </w:t>
    </w:r>
    <w:r w:rsidRPr="000465F1">
      <w:t>419</w:t>
    </w:r>
  </w:p>
  <w:p w14:paraId="780A2102" w14:textId="05426F17" w:rsidR="007B537E" w:rsidRPr="000465F1" w:rsidRDefault="007B537E" w:rsidP="000465F1">
    <w:pPr>
      <w:pStyle w:val="Footer"/>
    </w:pPr>
    <w:r w:rsidRPr="000465F1">
      <w:t>TTY</w:t>
    </w:r>
    <w:r>
      <w:t xml:space="preserve"> </w:t>
    </w:r>
    <w:r w:rsidRPr="000465F1">
      <w:t>1800</w:t>
    </w:r>
    <w:r>
      <w:t xml:space="preserve"> </w:t>
    </w:r>
    <w:r w:rsidRPr="000465F1">
      <w:t>620</w:t>
    </w:r>
    <w:r>
      <w:t xml:space="preserve"> </w:t>
    </w:r>
    <w:r w:rsidRPr="000465F1">
      <w:t>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228A" w14:textId="77777777" w:rsidR="007B537E" w:rsidRDefault="007B537E">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9C789" w14:textId="77777777" w:rsidR="007B537E" w:rsidRDefault="007B537E" w:rsidP="00E53546">
    <w:pPr>
      <w:pStyle w:val="FooterOddPageNumber"/>
    </w:pPr>
    <w:r w:rsidRPr="00AB7C8F">
      <w:fldChar w:fldCharType="begin"/>
    </w:r>
    <w:r>
      <w:instrText xml:space="preserve"> PAGE   \* MERGEFORMAT </w:instrText>
    </w:r>
    <w:r w:rsidRPr="00AB7C8F">
      <w:fldChar w:fldCharType="separate"/>
    </w:r>
    <w:r>
      <w:rPr>
        <w:noProof/>
      </w:rPr>
      <w:t>4</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171F2" w14:textId="77777777" w:rsidR="007B537E" w:rsidRDefault="007B537E" w:rsidP="00E53546">
    <w:pPr>
      <w:pStyle w:val="FooterEvenPageNumber"/>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65411" w14:textId="77777777" w:rsidR="00B0600E" w:rsidRDefault="00B0600E" w:rsidP="00F14C6D">
      <w:r>
        <w:separator/>
      </w:r>
    </w:p>
  </w:footnote>
  <w:footnote w:type="continuationSeparator" w:id="0">
    <w:p w14:paraId="00D8E015" w14:textId="77777777" w:rsidR="00B0600E" w:rsidRDefault="00B0600E" w:rsidP="00F14C6D">
      <w:r>
        <w:continuationSeparator/>
      </w:r>
    </w:p>
  </w:footnote>
  <w:footnote w:type="continuationNotice" w:id="1">
    <w:p w14:paraId="337C7DCA" w14:textId="77777777" w:rsidR="00B0600E" w:rsidRDefault="00B060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F6886" w14:textId="1A6C6C99" w:rsidR="007B537E" w:rsidRPr="000465F1" w:rsidRDefault="00B0600E" w:rsidP="000465F1">
    <w:pPr>
      <w:pStyle w:val="Header"/>
    </w:pPr>
    <w:r>
      <w:pict w14:anchorId="0F6B3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52" type="#_x0000_t75"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7B537E" w:rsidRPr="000465F1">
      <w:t>Australian</w:t>
    </w:r>
    <w:r w:rsidR="007B537E">
      <w:t xml:space="preserve"> </w:t>
    </w:r>
    <w:r w:rsidR="007B537E" w:rsidRPr="000465F1">
      <w:t>Human</w:t>
    </w:r>
    <w:r w:rsidR="007B537E">
      <w:t xml:space="preserve"> </w:t>
    </w:r>
    <w:r w:rsidR="007B537E" w:rsidRPr="000465F1">
      <w:t>Rights</w:t>
    </w:r>
    <w:r w:rsidR="007B537E">
      <w:t xml:space="preserve"> </w:t>
    </w:r>
    <w:r w:rsidR="007B537E" w:rsidRPr="000465F1">
      <w:t>Commission</w:t>
    </w:r>
  </w:p>
  <w:p w14:paraId="27C9AE48" w14:textId="009C0755" w:rsidR="007B537E" w:rsidRPr="00622508" w:rsidRDefault="007B537E" w:rsidP="00622508">
    <w:pPr>
      <w:pStyle w:val="Footer"/>
    </w:pPr>
    <w:r w:rsidRPr="001F62CC">
      <w:rPr>
        <w:rStyle w:val="HeaderDocumentTitle"/>
      </w:rPr>
      <w:t>Short</w:t>
    </w:r>
    <w:r>
      <w:rPr>
        <w:rStyle w:val="HeaderDocumentTitle"/>
      </w:rPr>
      <w:t xml:space="preserve"> </w:t>
    </w:r>
    <w:r w:rsidRPr="001F62CC">
      <w:rPr>
        <w:rStyle w:val="HeaderDocumentTitle"/>
      </w:rPr>
      <w:t>title</w:t>
    </w:r>
    <w:r w:rsidRPr="00622508">
      <w:rPr>
        <w:rStyle w:val="HeaderDocumentTitle"/>
      </w:rPr>
      <w:t>,</w:t>
    </w:r>
    <w:r>
      <w:rPr>
        <w:rStyle w:val="HeaderDocumentTitle"/>
      </w:rPr>
      <w:t xml:space="preserve"> </w:t>
    </w:r>
    <w:r w:rsidRPr="00622508">
      <w:rPr>
        <w:rStyle w:val="HeaderDocumentTitle"/>
      </w:rPr>
      <w:t>report</w:t>
    </w:r>
    <w:r>
      <w:rPr>
        <w:rStyle w:val="HeaderDocumentTitle"/>
      </w:rPr>
      <w:t xml:space="preserve"> </w:t>
    </w:r>
    <w:r w:rsidRPr="00622508">
      <w:rPr>
        <w:rStyle w:val="HeaderDocumentTitle"/>
      </w:rPr>
      <w:t>name,</w:t>
    </w:r>
    <w:r>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1049F" w14:textId="4B26DC1A" w:rsidR="007B537E" w:rsidRPr="000465F1" w:rsidRDefault="00B0600E" w:rsidP="000465F1">
    <w:r>
      <w:pict w14:anchorId="5DB16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51" type="#_x0000_t75"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7B537E" w:rsidRPr="000465F1">
      <w:t>Australian</w:t>
    </w:r>
    <w:r w:rsidR="007B537E">
      <w:t xml:space="preserve"> </w:t>
    </w:r>
    <w:r w:rsidR="007B537E" w:rsidRPr="000465F1">
      <w:t>Human</w:t>
    </w:r>
    <w:r w:rsidR="007B537E">
      <w:t xml:space="preserve"> </w:t>
    </w:r>
    <w:r w:rsidR="007B537E" w:rsidRPr="000465F1">
      <w:t>Rights</w:t>
    </w:r>
    <w:r w:rsidR="007B537E">
      <w:t xml:space="preserve"> </w:t>
    </w:r>
    <w:r w:rsidR="007B537E" w:rsidRPr="000465F1">
      <w:t>Commission</w:t>
    </w:r>
  </w:p>
  <w:p w14:paraId="32FB3A7A" w14:textId="3535C8F7" w:rsidR="007B537E" w:rsidRPr="000465F1" w:rsidRDefault="007B537E" w:rsidP="000465F1">
    <w:pPr>
      <w:pStyle w:val="Footer"/>
    </w:pPr>
    <w:r w:rsidRPr="000465F1">
      <w:t>Short</w:t>
    </w:r>
    <w:r>
      <w:t xml:space="preserve"> </w:t>
    </w:r>
    <w:r w:rsidRPr="000465F1">
      <w:t>document</w:t>
    </w:r>
    <w:r>
      <w:t xml:space="preserve"> </w:t>
    </w:r>
    <w:r w:rsidRPr="000465F1">
      <w:t>title,</w:t>
    </w:r>
    <w:r>
      <w:t xml:space="preserve"> </w:t>
    </w:r>
    <w:r w:rsidRPr="000465F1">
      <w:t>Short</w:t>
    </w:r>
    <w:r>
      <w:t xml:space="preserve"> </w:t>
    </w:r>
    <w:r w:rsidRPr="000465F1">
      <w:t>description</w:t>
    </w:r>
    <w:r>
      <w:t xml:space="preserve"> </w:t>
    </w:r>
    <w:r w:rsidRPr="000465F1">
      <w:t>–</w:t>
    </w:r>
    <w:r>
      <w:t xml:space="preserve"> </w:t>
    </w:r>
    <w:r w:rsidRPr="000465F1">
      <w:t>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7F47D" w14:textId="77777777" w:rsidR="007B537E" w:rsidRDefault="00B0600E" w:rsidP="002012F7">
    <w:pPr>
      <w:pStyle w:val="Header"/>
    </w:pPr>
    <w:r>
      <w:pict w14:anchorId="3CE5D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0" type="#_x0000_t75"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pict w14:anchorId="476484D8">
        <v:shape id="WordPictureWatermark1034832" o:spid="_x0000_s2049" type="#_x0000_t75"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383B3701" w14:textId="77777777" w:rsidR="007B537E" w:rsidRDefault="007B537E" w:rsidP="002012F7">
    <w:pPr>
      <w:pStyle w:val="Header"/>
    </w:pPr>
  </w:p>
  <w:p w14:paraId="52B9E1CD" w14:textId="77777777" w:rsidR="007B537E" w:rsidRDefault="007B537E"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1CF6F" w14:textId="6484CB63" w:rsidR="007B537E" w:rsidRPr="000465F1" w:rsidRDefault="007B537E" w:rsidP="0015239E">
    <w:pPr>
      <w:pStyle w:val="Header"/>
    </w:pPr>
    <w:r w:rsidRPr="000465F1">
      <w:t>Australian</w:t>
    </w:r>
    <w:r>
      <w:t xml:space="preserve"> </w:t>
    </w:r>
    <w:r w:rsidRPr="000465F1">
      <w:t>Human</w:t>
    </w:r>
    <w:r>
      <w:t xml:space="preserve"> </w:t>
    </w:r>
    <w:r w:rsidRPr="000465F1">
      <w:t>Rights</w:t>
    </w:r>
    <w:r>
      <w:t xml:space="preserve"> </w:t>
    </w:r>
    <w:r w:rsidRPr="000465F1">
      <w:t>Commission</w:t>
    </w:r>
  </w:p>
  <w:p w14:paraId="035FAEA5" w14:textId="0FE25688" w:rsidR="007B537E" w:rsidRPr="000465F1" w:rsidRDefault="007B537E" w:rsidP="0015239E">
    <w:pPr>
      <w:pStyle w:val="HeaderDocumentDate"/>
    </w:pPr>
    <w:r w:rsidRPr="001F62CC">
      <w:rPr>
        <w:rStyle w:val="HeaderDocumentTitle"/>
      </w:rPr>
      <w:t>Short</w:t>
    </w:r>
    <w:r>
      <w:rPr>
        <w:rStyle w:val="HeaderDocumentTitle"/>
      </w:rPr>
      <w:t xml:space="preserve"> </w:t>
    </w:r>
    <w:r w:rsidRPr="001F62CC">
      <w:rPr>
        <w:rStyle w:val="HeaderDocumentTitle"/>
      </w:rPr>
      <w:t>title,</w:t>
    </w:r>
    <w:r>
      <w:rPr>
        <w:rStyle w:val="HeaderDocumentTitle"/>
      </w:rPr>
      <w:t xml:space="preserve"> </w:t>
    </w:r>
    <w:r w:rsidRPr="001F62CC">
      <w:rPr>
        <w:rStyle w:val="HeaderDocumentTitle"/>
      </w:rPr>
      <w:t>report</w:t>
    </w:r>
    <w:r>
      <w:rPr>
        <w:rStyle w:val="HeaderDocumentTitle"/>
      </w:rPr>
      <w:t xml:space="preserve"> </w:t>
    </w:r>
    <w:r w:rsidRPr="001F62CC">
      <w:rPr>
        <w:rStyle w:val="HeaderDocumentTitle"/>
      </w:rPr>
      <w:t>name,</w:t>
    </w:r>
    <w:r>
      <w:t xml:space="preserve"> </w:t>
    </w:r>
    <w:bookmarkStart w:id="157" w:name="_Hlk514672172"/>
    <w:bookmarkStart w:id="158" w:name="_Hlk514672173"/>
    <w:r w:rsidRPr="002850B0">
      <w:t>Date</w:t>
    </w:r>
    <w:bookmarkEnd w:id="157"/>
    <w:bookmarkEnd w:id="158"/>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319E" w14:textId="5D45B811" w:rsidR="007B537E" w:rsidRPr="000465F1" w:rsidRDefault="007B537E" w:rsidP="00CA5D90">
    <w:pPr>
      <w:pStyle w:val="Header"/>
    </w:pPr>
    <w:r w:rsidRPr="000465F1">
      <w:t>Australian</w:t>
    </w:r>
    <w:r>
      <w:t xml:space="preserve"> </w:t>
    </w:r>
    <w:r w:rsidRPr="000465F1">
      <w:t>Human</w:t>
    </w:r>
    <w:r>
      <w:t xml:space="preserve"> </w:t>
    </w:r>
    <w:r w:rsidRPr="000465F1">
      <w:t>Rights</w:t>
    </w:r>
    <w:r>
      <w:t xml:space="preserve"> </w:t>
    </w:r>
    <w:r w:rsidRPr="000465F1">
      <w:t>Commission</w:t>
    </w:r>
  </w:p>
  <w:p w14:paraId="686C4600" w14:textId="00009A0C" w:rsidR="007B537E" w:rsidRPr="000465F1" w:rsidRDefault="007B537E" w:rsidP="002F5E96">
    <w:pPr>
      <w:pStyle w:val="HeaderDocumentDate"/>
    </w:pPr>
    <w:r>
      <w:rPr>
        <w:rStyle w:val="HeaderDocumentTitle"/>
      </w:rPr>
      <w:t xml:space="preserve">People with Disability and Employment </w:t>
    </w:r>
    <w:r w:rsidR="0049615F">
      <w:rPr>
        <w:rStyle w:val="HeaderDocumentTitle"/>
        <w:b w:val="0"/>
        <w:bCs/>
      </w:rPr>
      <w:t xml:space="preserve"> 24 September</w:t>
    </w:r>
    <w:r>
      <w:t xml:space="preserve">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08A3" w14:textId="31B45E55" w:rsidR="007B537E" w:rsidRPr="000465F1" w:rsidRDefault="007B537E" w:rsidP="0063009F">
    <w:pPr>
      <w:pStyle w:val="Header"/>
    </w:pPr>
    <w:r w:rsidRPr="000465F1">
      <w:t>Australian</w:t>
    </w:r>
    <w:r>
      <w:t xml:space="preserve"> </w:t>
    </w:r>
    <w:r w:rsidRPr="000465F1">
      <w:t>Human</w:t>
    </w:r>
    <w:r>
      <w:t xml:space="preserve"> </w:t>
    </w:r>
    <w:r w:rsidRPr="000465F1">
      <w:t>Rights</w:t>
    </w:r>
    <w:r>
      <w:t xml:space="preserve"> </w:t>
    </w:r>
    <w:r w:rsidRPr="000465F1">
      <w:t>Commission</w:t>
    </w:r>
  </w:p>
  <w:p w14:paraId="0D48326E" w14:textId="38426E58" w:rsidR="007B537E" w:rsidRPr="000465F1" w:rsidRDefault="007B537E" w:rsidP="0063009F">
    <w:pPr>
      <w:pStyle w:val="HeaderDocumentDate"/>
    </w:pPr>
    <w:r>
      <w:rPr>
        <w:rStyle w:val="HeaderDocumentTitle"/>
      </w:rPr>
      <w:t xml:space="preserve">People with Disability and Employment </w:t>
    </w:r>
    <w:r w:rsidR="0007428A" w:rsidRPr="0007428A">
      <w:rPr>
        <w:rStyle w:val="HeaderDocumentTitle"/>
        <w:b w:val="0"/>
        <w:bCs/>
      </w:rPr>
      <w:t>24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6F36045A"/>
    <w:lvl w:ilvl="0" w:tplc="94A2AA42">
      <w:start w:val="1"/>
      <w:numFmt w:val="decimal"/>
      <w:pStyle w:val="ListNumber4"/>
      <w:lvlText w:val="%1."/>
      <w:lvlJc w:val="left"/>
      <w:pPr>
        <w:tabs>
          <w:tab w:val="num" w:pos="1209"/>
        </w:tabs>
        <w:ind w:left="1209" w:hanging="360"/>
      </w:pPr>
    </w:lvl>
    <w:lvl w:ilvl="1" w:tplc="3E4436B2">
      <w:numFmt w:val="decimal"/>
      <w:lvlText w:val=""/>
      <w:lvlJc w:val="left"/>
    </w:lvl>
    <w:lvl w:ilvl="2" w:tplc="A8624E34">
      <w:numFmt w:val="decimal"/>
      <w:lvlText w:val=""/>
      <w:lvlJc w:val="left"/>
    </w:lvl>
    <w:lvl w:ilvl="3" w:tplc="80C8F5FE">
      <w:numFmt w:val="decimal"/>
      <w:lvlText w:val=""/>
      <w:lvlJc w:val="left"/>
    </w:lvl>
    <w:lvl w:ilvl="4" w:tplc="96E2C7D2">
      <w:numFmt w:val="decimal"/>
      <w:lvlText w:val=""/>
      <w:lvlJc w:val="left"/>
    </w:lvl>
    <w:lvl w:ilvl="5" w:tplc="4C143104">
      <w:numFmt w:val="decimal"/>
      <w:lvlText w:val=""/>
      <w:lvlJc w:val="left"/>
    </w:lvl>
    <w:lvl w:ilvl="6" w:tplc="F4E8EC38">
      <w:numFmt w:val="decimal"/>
      <w:lvlText w:val=""/>
      <w:lvlJc w:val="left"/>
    </w:lvl>
    <w:lvl w:ilvl="7" w:tplc="9FC4C196">
      <w:numFmt w:val="decimal"/>
      <w:lvlText w:val=""/>
      <w:lvlJc w:val="left"/>
    </w:lvl>
    <w:lvl w:ilvl="8" w:tplc="095671FC">
      <w:numFmt w:val="decimal"/>
      <w:lvlText w:val=""/>
      <w:lvlJc w:val="left"/>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hybridMultilevel"/>
    <w:tmpl w:val="C0146890"/>
    <w:lvl w:ilvl="0" w:tplc="8284725C">
      <w:start w:val="1"/>
      <w:numFmt w:val="decimal"/>
      <w:pStyle w:val="ListNumber2"/>
      <w:lvlText w:val="%1."/>
      <w:lvlJc w:val="left"/>
      <w:pPr>
        <w:tabs>
          <w:tab w:val="num" w:pos="720"/>
        </w:tabs>
        <w:ind w:left="720" w:hanging="360"/>
      </w:pPr>
      <w:rPr>
        <w:b w:val="0"/>
        <w:bCs w:val="0"/>
        <w:i w:val="0"/>
        <w:iCs w:val="0"/>
      </w:rPr>
    </w:lvl>
    <w:lvl w:ilvl="1" w:tplc="9014E698">
      <w:start w:val="1"/>
      <w:numFmt w:val="bullet"/>
      <w:lvlText w:val="o"/>
      <w:lvlJc w:val="left"/>
      <w:pPr>
        <w:ind w:left="-810" w:hanging="360"/>
      </w:pPr>
      <w:rPr>
        <w:rFonts w:ascii="Courier New" w:hAnsi="Courier New" w:cs="Courier New" w:hint="default"/>
      </w:rPr>
    </w:lvl>
    <w:lvl w:ilvl="2" w:tplc="F5DA5B7A">
      <w:start w:val="1"/>
      <w:numFmt w:val="bullet"/>
      <w:lvlText w:val=""/>
      <w:lvlJc w:val="left"/>
      <w:pPr>
        <w:ind w:left="-90" w:hanging="360"/>
      </w:pPr>
      <w:rPr>
        <w:rFonts w:ascii="Wingdings" w:hAnsi="Wingdings" w:cs="Wingdings" w:hint="default"/>
      </w:rPr>
    </w:lvl>
    <w:lvl w:ilvl="3" w:tplc="C4440B46">
      <w:start w:val="1"/>
      <w:numFmt w:val="bullet"/>
      <w:lvlText w:val=""/>
      <w:lvlJc w:val="left"/>
      <w:pPr>
        <w:ind w:left="630" w:hanging="360"/>
      </w:pPr>
      <w:rPr>
        <w:rFonts w:ascii="Symbol" w:hAnsi="Symbol" w:cs="Symbol" w:hint="default"/>
      </w:rPr>
    </w:lvl>
    <w:lvl w:ilvl="4" w:tplc="B9DE0788" w:tentative="1">
      <w:start w:val="1"/>
      <w:numFmt w:val="bullet"/>
      <w:lvlText w:val="o"/>
      <w:lvlJc w:val="left"/>
      <w:pPr>
        <w:ind w:left="1350" w:hanging="360"/>
      </w:pPr>
      <w:rPr>
        <w:rFonts w:ascii="Courier New" w:hAnsi="Courier New" w:cs="Courier New" w:hint="default"/>
      </w:rPr>
    </w:lvl>
    <w:lvl w:ilvl="5" w:tplc="3034B5C0" w:tentative="1">
      <w:start w:val="1"/>
      <w:numFmt w:val="bullet"/>
      <w:lvlText w:val=""/>
      <w:lvlJc w:val="left"/>
      <w:pPr>
        <w:ind w:left="2070" w:hanging="360"/>
      </w:pPr>
      <w:rPr>
        <w:rFonts w:ascii="Wingdings" w:hAnsi="Wingdings" w:cs="Wingdings" w:hint="default"/>
      </w:rPr>
    </w:lvl>
    <w:lvl w:ilvl="6" w:tplc="27F8A58A" w:tentative="1">
      <w:start w:val="1"/>
      <w:numFmt w:val="bullet"/>
      <w:lvlText w:val=""/>
      <w:lvlJc w:val="left"/>
      <w:pPr>
        <w:ind w:left="2790" w:hanging="360"/>
      </w:pPr>
      <w:rPr>
        <w:rFonts w:ascii="Symbol" w:hAnsi="Symbol" w:cs="Symbol" w:hint="default"/>
      </w:rPr>
    </w:lvl>
    <w:lvl w:ilvl="7" w:tplc="06FA1944" w:tentative="1">
      <w:start w:val="1"/>
      <w:numFmt w:val="bullet"/>
      <w:lvlText w:val="o"/>
      <w:lvlJc w:val="left"/>
      <w:pPr>
        <w:ind w:left="3510" w:hanging="360"/>
      </w:pPr>
      <w:rPr>
        <w:rFonts w:ascii="Courier New" w:hAnsi="Courier New" w:cs="Courier New" w:hint="default"/>
      </w:rPr>
    </w:lvl>
    <w:lvl w:ilvl="8" w:tplc="92AE8F32" w:tentative="1">
      <w:start w:val="1"/>
      <w:numFmt w:val="bullet"/>
      <w:lvlText w:val=""/>
      <w:lvlJc w:val="left"/>
      <w:pPr>
        <w:ind w:left="4230" w:hanging="360"/>
      </w:pPr>
      <w:rPr>
        <w:rFonts w:ascii="Wingdings" w:hAnsi="Wingdings" w:cs="Wingdings" w:hint="default"/>
      </w:r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AF9C86F2"/>
    <w:lvl w:ilvl="0" w:tplc="0512F93C">
      <w:start w:val="1"/>
      <w:numFmt w:val="bullet"/>
      <w:pStyle w:val="ListBullet2"/>
      <w:lvlText w:val=""/>
      <w:lvlJc w:val="left"/>
      <w:pPr>
        <w:tabs>
          <w:tab w:val="num" w:pos="643"/>
        </w:tabs>
        <w:ind w:left="643" w:hanging="360"/>
      </w:pPr>
      <w:rPr>
        <w:rFonts w:ascii="Symbol" w:hAnsi="Symbol" w:hint="default"/>
      </w:rPr>
    </w:lvl>
    <w:lvl w:ilvl="1" w:tplc="2F289D3A">
      <w:numFmt w:val="decimal"/>
      <w:lvlText w:val=""/>
      <w:lvlJc w:val="left"/>
    </w:lvl>
    <w:lvl w:ilvl="2" w:tplc="2D5EDD5C">
      <w:numFmt w:val="decimal"/>
      <w:lvlText w:val=""/>
      <w:lvlJc w:val="left"/>
    </w:lvl>
    <w:lvl w:ilvl="3" w:tplc="CF188716">
      <w:numFmt w:val="decimal"/>
      <w:lvlText w:val=""/>
      <w:lvlJc w:val="left"/>
    </w:lvl>
    <w:lvl w:ilvl="4" w:tplc="EABA8916">
      <w:numFmt w:val="decimal"/>
      <w:lvlText w:val=""/>
      <w:lvlJc w:val="left"/>
    </w:lvl>
    <w:lvl w:ilvl="5" w:tplc="77A0B7BC">
      <w:numFmt w:val="decimal"/>
      <w:lvlText w:val=""/>
      <w:lvlJc w:val="left"/>
    </w:lvl>
    <w:lvl w:ilvl="6" w:tplc="3DF8BA8A">
      <w:numFmt w:val="decimal"/>
      <w:lvlText w:val=""/>
      <w:lvlJc w:val="left"/>
    </w:lvl>
    <w:lvl w:ilvl="7" w:tplc="E75C4EC2">
      <w:numFmt w:val="decimal"/>
      <w:lvlText w:val=""/>
      <w:lvlJc w:val="left"/>
    </w:lvl>
    <w:lvl w:ilvl="8" w:tplc="D3F4CEF4">
      <w:numFmt w:val="decimal"/>
      <w:lvlText w:val=""/>
      <w:lvlJc w:val="left"/>
    </w:lvl>
  </w:abstractNum>
  <w:abstractNum w:abstractNumId="8" w15:restartNumberingAfterBreak="0">
    <w:nsid w:val="FFFFFF88"/>
    <w:multiLevelType w:val="hybridMultilevel"/>
    <w:tmpl w:val="335E11C8"/>
    <w:lvl w:ilvl="0" w:tplc="FC3637B2">
      <w:start w:val="1"/>
      <w:numFmt w:val="decimal"/>
      <w:pStyle w:val="ListNumber"/>
      <w:lvlText w:val="%1."/>
      <w:lvlJc w:val="left"/>
      <w:pPr>
        <w:tabs>
          <w:tab w:val="num" w:pos="360"/>
        </w:tabs>
        <w:ind w:left="360" w:hanging="360"/>
      </w:pPr>
      <w:rPr>
        <w:rFonts w:ascii="Open Sans" w:hAnsi="Open Sans" w:cs="Open Sans"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rPr>
        <w:rFonts w:ascii="Symbol" w:hAnsi="Symbol" w:hint="default"/>
      </w:rPr>
    </w:lvl>
    <w:lvl w:ilvl="2" w:tplc="FAB21720">
      <w:numFmt w:val="decimal"/>
      <w:lvlText w:val=""/>
      <w:lvlJc w:val="left"/>
    </w:lvl>
    <w:lvl w:ilvl="3" w:tplc="934C4244">
      <w:numFmt w:val="decimal"/>
      <w:lvlText w:val=""/>
      <w:lvlJc w:val="left"/>
    </w:lvl>
    <w:lvl w:ilvl="4" w:tplc="78A604B0">
      <w:numFmt w:val="decimal"/>
      <w:lvlText w:val=""/>
      <w:lvlJc w:val="left"/>
    </w:lvl>
    <w:lvl w:ilvl="5" w:tplc="51B4D4C0">
      <w:numFmt w:val="decimal"/>
      <w:lvlText w:val=""/>
      <w:lvlJc w:val="left"/>
    </w:lvl>
    <w:lvl w:ilvl="6" w:tplc="762A878C">
      <w:numFmt w:val="decimal"/>
      <w:lvlText w:val=""/>
      <w:lvlJc w:val="left"/>
    </w:lvl>
    <w:lvl w:ilvl="7" w:tplc="A4584662">
      <w:numFmt w:val="decimal"/>
      <w:lvlText w:val=""/>
      <w:lvlJc w:val="left"/>
    </w:lvl>
    <w:lvl w:ilvl="8" w:tplc="8D10124E">
      <w:numFmt w:val="decimal"/>
      <w:lvlText w:val=""/>
      <w:lvlJc w:val="left"/>
    </w:lvl>
  </w:abstractNum>
  <w:abstractNum w:abstractNumId="9" w15:restartNumberingAfterBreak="0">
    <w:nsid w:val="FFFFFF89"/>
    <w:multiLevelType w:val="singleLevel"/>
    <w:tmpl w:val="D4AA19CC"/>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03C3516"/>
    <w:multiLevelType w:val="hybridMultilevel"/>
    <w:tmpl w:val="D65038AC"/>
    <w:lvl w:ilvl="0" w:tplc="A80C3D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D92E5B"/>
    <w:multiLevelType w:val="hybridMultilevel"/>
    <w:tmpl w:val="2BAE3788"/>
    <w:lvl w:ilvl="0" w:tplc="18F28476">
      <w:start w:val="1"/>
      <w:numFmt w:val="decimal"/>
      <w:lvlText w:val="%1."/>
      <w:lvlJc w:val="left"/>
      <w:pPr>
        <w:tabs>
          <w:tab w:val="num" w:pos="360"/>
        </w:tabs>
        <w:ind w:left="360" w:hanging="360"/>
      </w:pPr>
      <w:rPr>
        <w:rFonts w:ascii="Open Sans" w:hAnsi="Open Sans" w:cs="Open San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rPr>
        <w:rFonts w:ascii="Symbol" w:hAnsi="Symbol" w:cs="Symbol" w:hint="default"/>
      </w:rPr>
    </w:lvl>
    <w:lvl w:ilvl="2" w:tplc="FAB21720">
      <w:numFmt w:val="decimal"/>
      <w:lvlText w:val=""/>
      <w:lvlJc w:val="left"/>
    </w:lvl>
    <w:lvl w:ilvl="3" w:tplc="934C4244">
      <w:numFmt w:val="decimal"/>
      <w:lvlText w:val=""/>
      <w:lvlJc w:val="left"/>
    </w:lvl>
    <w:lvl w:ilvl="4" w:tplc="78A604B0">
      <w:numFmt w:val="decimal"/>
      <w:lvlText w:val=""/>
      <w:lvlJc w:val="left"/>
    </w:lvl>
    <w:lvl w:ilvl="5" w:tplc="51B4D4C0">
      <w:numFmt w:val="decimal"/>
      <w:lvlText w:val=""/>
      <w:lvlJc w:val="left"/>
    </w:lvl>
    <w:lvl w:ilvl="6" w:tplc="762A878C">
      <w:numFmt w:val="decimal"/>
      <w:lvlText w:val=""/>
      <w:lvlJc w:val="left"/>
    </w:lvl>
    <w:lvl w:ilvl="7" w:tplc="A4584662">
      <w:numFmt w:val="decimal"/>
      <w:lvlText w:val=""/>
      <w:lvlJc w:val="left"/>
    </w:lvl>
    <w:lvl w:ilvl="8" w:tplc="8D10124E">
      <w:numFmt w:val="decimal"/>
      <w:lvlText w:val=""/>
      <w:lvlJc w:val="left"/>
    </w:lvl>
  </w:abstractNum>
  <w:abstractNum w:abstractNumId="12" w15:restartNumberingAfterBreak="0">
    <w:nsid w:val="01C81402"/>
    <w:multiLevelType w:val="hybridMultilevel"/>
    <w:tmpl w:val="804453EA"/>
    <w:lvl w:ilvl="0" w:tplc="18F28476">
      <w:start w:val="1"/>
      <w:numFmt w:val="decimal"/>
      <w:lvlText w:val="%1."/>
      <w:lvlJc w:val="left"/>
      <w:pPr>
        <w:tabs>
          <w:tab w:val="num" w:pos="360"/>
        </w:tabs>
        <w:ind w:left="360" w:hanging="360"/>
      </w:pPr>
      <w:rPr>
        <w:rFonts w:ascii="Open Sans" w:hAnsi="Open Sans" w:cs="Open San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rPr>
        <w:rFonts w:ascii="Symbol" w:hAnsi="Symbol" w:hint="default"/>
      </w:rPr>
    </w:lvl>
    <w:lvl w:ilvl="2" w:tplc="FAB21720">
      <w:numFmt w:val="decimal"/>
      <w:lvlText w:val=""/>
      <w:lvlJc w:val="left"/>
    </w:lvl>
    <w:lvl w:ilvl="3" w:tplc="934C4244">
      <w:numFmt w:val="decimal"/>
      <w:lvlText w:val=""/>
      <w:lvlJc w:val="left"/>
    </w:lvl>
    <w:lvl w:ilvl="4" w:tplc="78A604B0">
      <w:numFmt w:val="decimal"/>
      <w:lvlText w:val=""/>
      <w:lvlJc w:val="left"/>
    </w:lvl>
    <w:lvl w:ilvl="5" w:tplc="51B4D4C0">
      <w:numFmt w:val="decimal"/>
      <w:lvlText w:val=""/>
      <w:lvlJc w:val="left"/>
    </w:lvl>
    <w:lvl w:ilvl="6" w:tplc="762A878C">
      <w:numFmt w:val="decimal"/>
      <w:lvlText w:val=""/>
      <w:lvlJc w:val="left"/>
    </w:lvl>
    <w:lvl w:ilvl="7" w:tplc="A4584662">
      <w:numFmt w:val="decimal"/>
      <w:lvlText w:val=""/>
      <w:lvlJc w:val="left"/>
    </w:lvl>
    <w:lvl w:ilvl="8" w:tplc="8D10124E">
      <w:numFmt w:val="decimal"/>
      <w:lvlText w:val=""/>
      <w:lvlJc w:val="left"/>
    </w:lvl>
  </w:abstractNum>
  <w:abstractNum w:abstractNumId="13" w15:restartNumberingAfterBreak="0">
    <w:nsid w:val="0576418E"/>
    <w:multiLevelType w:val="hybridMultilevel"/>
    <w:tmpl w:val="11FEB1D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08486034"/>
    <w:multiLevelType w:val="hybridMultilevel"/>
    <w:tmpl w:val="FD48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52C70"/>
    <w:multiLevelType w:val="hybridMultilevel"/>
    <w:tmpl w:val="FFEA4B08"/>
    <w:lvl w:ilvl="0" w:tplc="3D6A9D10">
      <w:start w:val="6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B76B2C"/>
    <w:multiLevelType w:val="hybridMultilevel"/>
    <w:tmpl w:val="9BE2B05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0AB209B5"/>
    <w:multiLevelType w:val="hybridMultilevel"/>
    <w:tmpl w:val="29FAC2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DDA2781"/>
    <w:multiLevelType w:val="hybridMultilevel"/>
    <w:tmpl w:val="7C76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435D"/>
    <w:multiLevelType w:val="hybridMultilevel"/>
    <w:tmpl w:val="043E3112"/>
    <w:lvl w:ilvl="0" w:tplc="DDA6E8D4">
      <w:start w:val="1"/>
      <w:numFmt w:val="bullet"/>
      <w:lvlText w:val=""/>
      <w:lvlJc w:val="left"/>
      <w:pPr>
        <w:tabs>
          <w:tab w:val="num" w:pos="720"/>
        </w:tabs>
        <w:ind w:left="720" w:hanging="360"/>
      </w:pPr>
      <w:rPr>
        <w:rFonts w:ascii="Symbol" w:hAnsi="Symbol" w:hint="default"/>
        <w:sz w:val="20"/>
      </w:rPr>
    </w:lvl>
    <w:lvl w:ilvl="1" w:tplc="985802CC" w:tentative="1">
      <w:start w:val="1"/>
      <w:numFmt w:val="bullet"/>
      <w:lvlText w:val="o"/>
      <w:lvlJc w:val="left"/>
      <w:pPr>
        <w:tabs>
          <w:tab w:val="num" w:pos="1440"/>
        </w:tabs>
        <w:ind w:left="1440" w:hanging="360"/>
      </w:pPr>
      <w:rPr>
        <w:rFonts w:ascii="Courier New" w:hAnsi="Courier New" w:hint="default"/>
        <w:sz w:val="20"/>
      </w:rPr>
    </w:lvl>
    <w:lvl w:ilvl="2" w:tplc="A5D43CF8" w:tentative="1">
      <w:start w:val="1"/>
      <w:numFmt w:val="bullet"/>
      <w:lvlText w:val=""/>
      <w:lvlJc w:val="left"/>
      <w:pPr>
        <w:tabs>
          <w:tab w:val="num" w:pos="2160"/>
        </w:tabs>
        <w:ind w:left="2160" w:hanging="360"/>
      </w:pPr>
      <w:rPr>
        <w:rFonts w:ascii="Wingdings" w:hAnsi="Wingdings" w:hint="default"/>
        <w:sz w:val="20"/>
      </w:rPr>
    </w:lvl>
    <w:lvl w:ilvl="3" w:tplc="8112F940" w:tentative="1">
      <w:start w:val="1"/>
      <w:numFmt w:val="bullet"/>
      <w:lvlText w:val=""/>
      <w:lvlJc w:val="left"/>
      <w:pPr>
        <w:tabs>
          <w:tab w:val="num" w:pos="2880"/>
        </w:tabs>
        <w:ind w:left="2880" w:hanging="360"/>
      </w:pPr>
      <w:rPr>
        <w:rFonts w:ascii="Wingdings" w:hAnsi="Wingdings" w:hint="default"/>
        <w:sz w:val="20"/>
      </w:rPr>
    </w:lvl>
    <w:lvl w:ilvl="4" w:tplc="8E32B256" w:tentative="1">
      <w:start w:val="1"/>
      <w:numFmt w:val="bullet"/>
      <w:lvlText w:val=""/>
      <w:lvlJc w:val="left"/>
      <w:pPr>
        <w:tabs>
          <w:tab w:val="num" w:pos="3600"/>
        </w:tabs>
        <w:ind w:left="3600" w:hanging="360"/>
      </w:pPr>
      <w:rPr>
        <w:rFonts w:ascii="Wingdings" w:hAnsi="Wingdings" w:hint="default"/>
        <w:sz w:val="20"/>
      </w:rPr>
    </w:lvl>
    <w:lvl w:ilvl="5" w:tplc="0172BA54" w:tentative="1">
      <w:start w:val="1"/>
      <w:numFmt w:val="bullet"/>
      <w:lvlText w:val=""/>
      <w:lvlJc w:val="left"/>
      <w:pPr>
        <w:tabs>
          <w:tab w:val="num" w:pos="4320"/>
        </w:tabs>
        <w:ind w:left="4320" w:hanging="360"/>
      </w:pPr>
      <w:rPr>
        <w:rFonts w:ascii="Wingdings" w:hAnsi="Wingdings" w:hint="default"/>
        <w:sz w:val="20"/>
      </w:rPr>
    </w:lvl>
    <w:lvl w:ilvl="6" w:tplc="A3AEF670" w:tentative="1">
      <w:start w:val="1"/>
      <w:numFmt w:val="bullet"/>
      <w:lvlText w:val=""/>
      <w:lvlJc w:val="left"/>
      <w:pPr>
        <w:tabs>
          <w:tab w:val="num" w:pos="5040"/>
        </w:tabs>
        <w:ind w:left="5040" w:hanging="360"/>
      </w:pPr>
      <w:rPr>
        <w:rFonts w:ascii="Wingdings" w:hAnsi="Wingdings" w:hint="default"/>
        <w:sz w:val="20"/>
      </w:rPr>
    </w:lvl>
    <w:lvl w:ilvl="7" w:tplc="D5BE6D8A" w:tentative="1">
      <w:start w:val="1"/>
      <w:numFmt w:val="bullet"/>
      <w:lvlText w:val=""/>
      <w:lvlJc w:val="left"/>
      <w:pPr>
        <w:tabs>
          <w:tab w:val="num" w:pos="5760"/>
        </w:tabs>
        <w:ind w:left="5760" w:hanging="360"/>
      </w:pPr>
      <w:rPr>
        <w:rFonts w:ascii="Wingdings" w:hAnsi="Wingdings" w:hint="default"/>
        <w:sz w:val="20"/>
      </w:rPr>
    </w:lvl>
    <w:lvl w:ilvl="8" w:tplc="D5A0D62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C910EC"/>
    <w:multiLevelType w:val="hybridMultilevel"/>
    <w:tmpl w:val="D0D63B64"/>
    <w:lvl w:ilvl="0" w:tplc="95461C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52E487A"/>
    <w:multiLevelType w:val="hybridMultilevel"/>
    <w:tmpl w:val="78DE793E"/>
    <w:lvl w:ilvl="0" w:tplc="D4AA19CC">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rPr>
        <w:rFonts w:ascii="Symbol" w:hAnsi="Symbol" w:hint="default"/>
      </w:rPr>
    </w:lvl>
    <w:lvl w:ilvl="2" w:tplc="FAB21720">
      <w:numFmt w:val="decimal"/>
      <w:lvlText w:val=""/>
      <w:lvlJc w:val="left"/>
    </w:lvl>
    <w:lvl w:ilvl="3" w:tplc="934C4244">
      <w:numFmt w:val="decimal"/>
      <w:lvlText w:val=""/>
      <w:lvlJc w:val="left"/>
    </w:lvl>
    <w:lvl w:ilvl="4" w:tplc="78A604B0">
      <w:numFmt w:val="decimal"/>
      <w:lvlText w:val=""/>
      <w:lvlJc w:val="left"/>
    </w:lvl>
    <w:lvl w:ilvl="5" w:tplc="51B4D4C0">
      <w:numFmt w:val="decimal"/>
      <w:lvlText w:val=""/>
      <w:lvlJc w:val="left"/>
    </w:lvl>
    <w:lvl w:ilvl="6" w:tplc="762A878C">
      <w:numFmt w:val="decimal"/>
      <w:lvlText w:val=""/>
      <w:lvlJc w:val="left"/>
    </w:lvl>
    <w:lvl w:ilvl="7" w:tplc="A4584662">
      <w:numFmt w:val="decimal"/>
      <w:lvlText w:val=""/>
      <w:lvlJc w:val="left"/>
    </w:lvl>
    <w:lvl w:ilvl="8" w:tplc="8D10124E">
      <w:numFmt w:val="decimal"/>
      <w:lvlText w:val=""/>
      <w:lvlJc w:val="left"/>
    </w:lvl>
  </w:abstractNum>
  <w:abstractNum w:abstractNumId="22" w15:restartNumberingAfterBreak="0">
    <w:nsid w:val="15354F3F"/>
    <w:multiLevelType w:val="hybridMultilevel"/>
    <w:tmpl w:val="D60ABD16"/>
    <w:lvl w:ilvl="0" w:tplc="A566DE48">
      <w:start w:val="3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C04CD8"/>
    <w:multiLevelType w:val="hybridMultilevel"/>
    <w:tmpl w:val="95B4996A"/>
    <w:lvl w:ilvl="0" w:tplc="F2B838A6">
      <w:start w:val="1"/>
      <w:numFmt w:val="bullet"/>
      <w:lvlText w:val=""/>
      <w:lvlJc w:val="left"/>
      <w:pPr>
        <w:ind w:left="502" w:hanging="360"/>
      </w:pPr>
      <w:rPr>
        <w:rFonts w:ascii="Symbol" w:hAnsi="Symbol" w:hint="default"/>
      </w:rPr>
    </w:lvl>
    <w:lvl w:ilvl="1" w:tplc="F198DABE">
      <w:start w:val="1"/>
      <w:numFmt w:val="bullet"/>
      <w:pStyle w:val="RecBullets-Indented"/>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293A17"/>
    <w:multiLevelType w:val="hybridMultilevel"/>
    <w:tmpl w:val="7ADA7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C3E4050"/>
    <w:multiLevelType w:val="hybridMultilevel"/>
    <w:tmpl w:val="19227440"/>
    <w:lvl w:ilvl="0" w:tplc="18F28476">
      <w:start w:val="1"/>
      <w:numFmt w:val="decimal"/>
      <w:lvlText w:val="%1."/>
      <w:lvlJc w:val="left"/>
      <w:pPr>
        <w:tabs>
          <w:tab w:val="num" w:pos="360"/>
        </w:tabs>
        <w:ind w:left="360" w:hanging="360"/>
      </w:pPr>
      <w:rPr>
        <w:rFonts w:ascii="Open Sans" w:hAnsi="Open Sans" w:cs="Open San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rPr>
        <w:rFonts w:ascii="Symbol" w:hAnsi="Symbol" w:hint="default"/>
      </w:rPr>
    </w:lvl>
    <w:lvl w:ilvl="2" w:tplc="FAB21720">
      <w:numFmt w:val="decimal"/>
      <w:lvlText w:val=""/>
      <w:lvlJc w:val="left"/>
    </w:lvl>
    <w:lvl w:ilvl="3" w:tplc="934C4244">
      <w:numFmt w:val="decimal"/>
      <w:lvlText w:val=""/>
      <w:lvlJc w:val="left"/>
    </w:lvl>
    <w:lvl w:ilvl="4" w:tplc="78A604B0">
      <w:numFmt w:val="decimal"/>
      <w:lvlText w:val=""/>
      <w:lvlJc w:val="left"/>
    </w:lvl>
    <w:lvl w:ilvl="5" w:tplc="51B4D4C0">
      <w:numFmt w:val="decimal"/>
      <w:lvlText w:val=""/>
      <w:lvlJc w:val="left"/>
    </w:lvl>
    <w:lvl w:ilvl="6" w:tplc="762A878C">
      <w:numFmt w:val="decimal"/>
      <w:lvlText w:val=""/>
      <w:lvlJc w:val="left"/>
    </w:lvl>
    <w:lvl w:ilvl="7" w:tplc="A4584662">
      <w:numFmt w:val="decimal"/>
      <w:lvlText w:val=""/>
      <w:lvlJc w:val="left"/>
    </w:lvl>
    <w:lvl w:ilvl="8" w:tplc="8D10124E">
      <w:numFmt w:val="decimal"/>
      <w:lvlText w:val=""/>
      <w:lvlJc w:val="left"/>
    </w:lvl>
  </w:abstractNum>
  <w:abstractNum w:abstractNumId="26" w15:restartNumberingAfterBreak="0">
    <w:nsid w:val="1CA47B6E"/>
    <w:multiLevelType w:val="hybridMultilevel"/>
    <w:tmpl w:val="13561D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1B71560"/>
    <w:multiLevelType w:val="hybridMultilevel"/>
    <w:tmpl w:val="0C090023"/>
    <w:styleLink w:val="ArticleSection"/>
    <w:lvl w:ilvl="0" w:tplc="DEA05B02">
      <w:start w:val="1"/>
      <w:numFmt w:val="upperRoman"/>
      <w:lvlText w:val="Article %1."/>
      <w:lvlJc w:val="left"/>
      <w:pPr>
        <w:tabs>
          <w:tab w:val="num" w:pos="1440"/>
        </w:tabs>
        <w:ind w:left="0" w:firstLine="0"/>
      </w:pPr>
    </w:lvl>
    <w:lvl w:ilvl="1" w:tplc="BC848E0E">
      <w:start w:val="1"/>
      <w:numFmt w:val="decimalZero"/>
      <w:isLgl/>
      <w:lvlText w:val="Section %1.%2"/>
      <w:lvlJc w:val="left"/>
      <w:pPr>
        <w:tabs>
          <w:tab w:val="num" w:pos="1440"/>
        </w:tabs>
        <w:ind w:left="0" w:firstLine="0"/>
      </w:pPr>
    </w:lvl>
    <w:lvl w:ilvl="2" w:tplc="3180418C">
      <w:start w:val="1"/>
      <w:numFmt w:val="lowerLetter"/>
      <w:lvlText w:val="(%3)"/>
      <w:lvlJc w:val="left"/>
      <w:pPr>
        <w:tabs>
          <w:tab w:val="num" w:pos="720"/>
        </w:tabs>
        <w:ind w:left="720" w:hanging="432"/>
      </w:pPr>
    </w:lvl>
    <w:lvl w:ilvl="3" w:tplc="2C76229A">
      <w:start w:val="1"/>
      <w:numFmt w:val="lowerRoman"/>
      <w:lvlText w:val="(%4)"/>
      <w:lvlJc w:val="right"/>
      <w:pPr>
        <w:tabs>
          <w:tab w:val="num" w:pos="864"/>
        </w:tabs>
        <w:ind w:left="864" w:hanging="144"/>
      </w:pPr>
    </w:lvl>
    <w:lvl w:ilvl="4" w:tplc="DD5A511C">
      <w:start w:val="1"/>
      <w:numFmt w:val="decimal"/>
      <w:lvlText w:val="%5)"/>
      <w:lvlJc w:val="left"/>
      <w:pPr>
        <w:tabs>
          <w:tab w:val="num" w:pos="1008"/>
        </w:tabs>
        <w:ind w:left="1008" w:hanging="432"/>
      </w:pPr>
    </w:lvl>
    <w:lvl w:ilvl="5" w:tplc="FD02DD08">
      <w:start w:val="1"/>
      <w:numFmt w:val="lowerLetter"/>
      <w:lvlText w:val="%6)"/>
      <w:lvlJc w:val="left"/>
      <w:pPr>
        <w:tabs>
          <w:tab w:val="num" w:pos="1152"/>
        </w:tabs>
        <w:ind w:left="1152" w:hanging="432"/>
      </w:pPr>
    </w:lvl>
    <w:lvl w:ilvl="6" w:tplc="0A8CD8AC">
      <w:start w:val="1"/>
      <w:numFmt w:val="lowerRoman"/>
      <w:lvlText w:val="%7)"/>
      <w:lvlJc w:val="right"/>
      <w:pPr>
        <w:tabs>
          <w:tab w:val="num" w:pos="1296"/>
        </w:tabs>
        <w:ind w:left="1296" w:hanging="288"/>
      </w:pPr>
    </w:lvl>
    <w:lvl w:ilvl="7" w:tplc="FD1CB7FE">
      <w:start w:val="1"/>
      <w:numFmt w:val="lowerLetter"/>
      <w:lvlText w:val="%8."/>
      <w:lvlJc w:val="left"/>
      <w:pPr>
        <w:tabs>
          <w:tab w:val="num" w:pos="1440"/>
        </w:tabs>
        <w:ind w:left="1440" w:hanging="432"/>
      </w:pPr>
    </w:lvl>
    <w:lvl w:ilvl="8" w:tplc="40B0F1DC">
      <w:start w:val="1"/>
      <w:numFmt w:val="lowerRoman"/>
      <w:lvlText w:val="%9."/>
      <w:lvlJc w:val="right"/>
      <w:pPr>
        <w:tabs>
          <w:tab w:val="num" w:pos="1584"/>
        </w:tabs>
        <w:ind w:left="1584" w:hanging="144"/>
      </w:pPr>
    </w:lvl>
  </w:abstractNum>
  <w:abstractNum w:abstractNumId="29" w15:restartNumberingAfterBreak="0">
    <w:nsid w:val="25A14E8B"/>
    <w:multiLevelType w:val="hybridMultilevel"/>
    <w:tmpl w:val="4DF6250A"/>
    <w:lvl w:ilvl="0" w:tplc="D30E7E5E">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6E61BF"/>
    <w:multiLevelType w:val="hybridMultilevel"/>
    <w:tmpl w:val="57302AA4"/>
    <w:lvl w:ilvl="0" w:tplc="FF24C888">
      <w:start w:val="1"/>
      <w:numFmt w:val="bullet"/>
      <w:lvlText w:val=""/>
      <w:lvlJc w:val="left"/>
      <w:pPr>
        <w:tabs>
          <w:tab w:val="num" w:pos="720"/>
        </w:tabs>
        <w:ind w:left="720" w:hanging="360"/>
      </w:pPr>
      <w:rPr>
        <w:rFonts w:ascii="Symbol" w:hAnsi="Symbol" w:hint="default"/>
        <w:sz w:val="20"/>
      </w:rPr>
    </w:lvl>
    <w:lvl w:ilvl="1" w:tplc="8A4E6A96" w:tentative="1">
      <w:start w:val="1"/>
      <w:numFmt w:val="bullet"/>
      <w:lvlText w:val="o"/>
      <w:lvlJc w:val="left"/>
      <w:pPr>
        <w:tabs>
          <w:tab w:val="num" w:pos="1440"/>
        </w:tabs>
        <w:ind w:left="1440" w:hanging="360"/>
      </w:pPr>
      <w:rPr>
        <w:rFonts w:ascii="Courier New" w:hAnsi="Courier New" w:hint="default"/>
        <w:sz w:val="20"/>
      </w:rPr>
    </w:lvl>
    <w:lvl w:ilvl="2" w:tplc="90A0C898" w:tentative="1">
      <w:start w:val="1"/>
      <w:numFmt w:val="bullet"/>
      <w:lvlText w:val=""/>
      <w:lvlJc w:val="left"/>
      <w:pPr>
        <w:tabs>
          <w:tab w:val="num" w:pos="2160"/>
        </w:tabs>
        <w:ind w:left="2160" w:hanging="360"/>
      </w:pPr>
      <w:rPr>
        <w:rFonts w:ascii="Wingdings" w:hAnsi="Wingdings" w:hint="default"/>
        <w:sz w:val="20"/>
      </w:rPr>
    </w:lvl>
    <w:lvl w:ilvl="3" w:tplc="FDF09102" w:tentative="1">
      <w:start w:val="1"/>
      <w:numFmt w:val="bullet"/>
      <w:lvlText w:val=""/>
      <w:lvlJc w:val="left"/>
      <w:pPr>
        <w:tabs>
          <w:tab w:val="num" w:pos="2880"/>
        </w:tabs>
        <w:ind w:left="2880" w:hanging="360"/>
      </w:pPr>
      <w:rPr>
        <w:rFonts w:ascii="Wingdings" w:hAnsi="Wingdings" w:hint="default"/>
        <w:sz w:val="20"/>
      </w:rPr>
    </w:lvl>
    <w:lvl w:ilvl="4" w:tplc="73E6AFEE" w:tentative="1">
      <w:start w:val="1"/>
      <w:numFmt w:val="bullet"/>
      <w:lvlText w:val=""/>
      <w:lvlJc w:val="left"/>
      <w:pPr>
        <w:tabs>
          <w:tab w:val="num" w:pos="3600"/>
        </w:tabs>
        <w:ind w:left="3600" w:hanging="360"/>
      </w:pPr>
      <w:rPr>
        <w:rFonts w:ascii="Wingdings" w:hAnsi="Wingdings" w:hint="default"/>
        <w:sz w:val="20"/>
      </w:rPr>
    </w:lvl>
    <w:lvl w:ilvl="5" w:tplc="CE401BE4" w:tentative="1">
      <w:start w:val="1"/>
      <w:numFmt w:val="bullet"/>
      <w:lvlText w:val=""/>
      <w:lvlJc w:val="left"/>
      <w:pPr>
        <w:tabs>
          <w:tab w:val="num" w:pos="4320"/>
        </w:tabs>
        <w:ind w:left="4320" w:hanging="360"/>
      </w:pPr>
      <w:rPr>
        <w:rFonts w:ascii="Wingdings" w:hAnsi="Wingdings" w:hint="default"/>
        <w:sz w:val="20"/>
      </w:rPr>
    </w:lvl>
    <w:lvl w:ilvl="6" w:tplc="6D1E85F8" w:tentative="1">
      <w:start w:val="1"/>
      <w:numFmt w:val="bullet"/>
      <w:lvlText w:val=""/>
      <w:lvlJc w:val="left"/>
      <w:pPr>
        <w:tabs>
          <w:tab w:val="num" w:pos="5040"/>
        </w:tabs>
        <w:ind w:left="5040" w:hanging="360"/>
      </w:pPr>
      <w:rPr>
        <w:rFonts w:ascii="Wingdings" w:hAnsi="Wingdings" w:hint="default"/>
        <w:sz w:val="20"/>
      </w:rPr>
    </w:lvl>
    <w:lvl w:ilvl="7" w:tplc="19682318" w:tentative="1">
      <w:start w:val="1"/>
      <w:numFmt w:val="bullet"/>
      <w:lvlText w:val=""/>
      <w:lvlJc w:val="left"/>
      <w:pPr>
        <w:tabs>
          <w:tab w:val="num" w:pos="5760"/>
        </w:tabs>
        <w:ind w:left="5760" w:hanging="360"/>
      </w:pPr>
      <w:rPr>
        <w:rFonts w:ascii="Wingdings" w:hAnsi="Wingdings" w:hint="default"/>
        <w:sz w:val="20"/>
      </w:rPr>
    </w:lvl>
    <w:lvl w:ilvl="8" w:tplc="C4DCE8FE"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7B2DDB"/>
    <w:multiLevelType w:val="hybridMultilevel"/>
    <w:tmpl w:val="EB7803C0"/>
    <w:lvl w:ilvl="0" w:tplc="04090001">
      <w:start w:val="1"/>
      <w:numFmt w:val="bullet"/>
      <w:lvlText w:val=""/>
      <w:lvlJc w:val="left"/>
      <w:pPr>
        <w:tabs>
          <w:tab w:val="num" w:pos="360"/>
        </w:tabs>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0DAA8">
      <w:numFmt w:val="decimal"/>
      <w:lvlText w:val=""/>
      <w:lvlJc w:val="left"/>
    </w:lvl>
    <w:lvl w:ilvl="2" w:tplc="FAB21720">
      <w:numFmt w:val="decimal"/>
      <w:lvlText w:val=""/>
      <w:lvlJc w:val="left"/>
    </w:lvl>
    <w:lvl w:ilvl="3" w:tplc="934C4244">
      <w:numFmt w:val="decimal"/>
      <w:lvlText w:val=""/>
      <w:lvlJc w:val="left"/>
    </w:lvl>
    <w:lvl w:ilvl="4" w:tplc="78A604B0">
      <w:numFmt w:val="decimal"/>
      <w:lvlText w:val=""/>
      <w:lvlJc w:val="left"/>
    </w:lvl>
    <w:lvl w:ilvl="5" w:tplc="51B4D4C0">
      <w:numFmt w:val="decimal"/>
      <w:lvlText w:val=""/>
      <w:lvlJc w:val="left"/>
    </w:lvl>
    <w:lvl w:ilvl="6" w:tplc="762A878C">
      <w:numFmt w:val="decimal"/>
      <w:lvlText w:val=""/>
      <w:lvlJc w:val="left"/>
    </w:lvl>
    <w:lvl w:ilvl="7" w:tplc="A4584662">
      <w:numFmt w:val="decimal"/>
      <w:lvlText w:val=""/>
      <w:lvlJc w:val="left"/>
    </w:lvl>
    <w:lvl w:ilvl="8" w:tplc="8D10124E">
      <w:numFmt w:val="decimal"/>
      <w:lvlText w:val=""/>
      <w:lvlJc w:val="left"/>
    </w:lvl>
  </w:abstractNum>
  <w:abstractNum w:abstractNumId="32" w15:restartNumberingAfterBreak="0">
    <w:nsid w:val="2DBA684E"/>
    <w:multiLevelType w:val="hybridMultilevel"/>
    <w:tmpl w:val="2A76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A2126B"/>
    <w:multiLevelType w:val="hybridMultilevel"/>
    <w:tmpl w:val="A00C758A"/>
    <w:lvl w:ilvl="0" w:tplc="18F28476">
      <w:start w:val="1"/>
      <w:numFmt w:val="decimal"/>
      <w:lvlText w:val="%1."/>
      <w:lvlJc w:val="left"/>
      <w:pPr>
        <w:tabs>
          <w:tab w:val="num" w:pos="360"/>
        </w:tabs>
        <w:ind w:left="360" w:hanging="360"/>
      </w:pPr>
      <w:rPr>
        <w:rFonts w:ascii="Open Sans" w:hAnsi="Open Sans" w:cs="Open San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rPr>
        <w:rFonts w:ascii="Symbol" w:hAnsi="Symbol" w:cs="Symbol" w:hint="default"/>
      </w:rPr>
    </w:lvl>
    <w:lvl w:ilvl="2" w:tplc="FAB21720">
      <w:numFmt w:val="decimal"/>
      <w:lvlText w:val=""/>
      <w:lvlJc w:val="left"/>
    </w:lvl>
    <w:lvl w:ilvl="3" w:tplc="934C4244">
      <w:numFmt w:val="decimal"/>
      <w:lvlText w:val=""/>
      <w:lvlJc w:val="left"/>
    </w:lvl>
    <w:lvl w:ilvl="4" w:tplc="78A604B0">
      <w:numFmt w:val="decimal"/>
      <w:lvlText w:val=""/>
      <w:lvlJc w:val="left"/>
    </w:lvl>
    <w:lvl w:ilvl="5" w:tplc="51B4D4C0">
      <w:numFmt w:val="decimal"/>
      <w:lvlText w:val=""/>
      <w:lvlJc w:val="left"/>
    </w:lvl>
    <w:lvl w:ilvl="6" w:tplc="762A878C">
      <w:numFmt w:val="decimal"/>
      <w:lvlText w:val=""/>
      <w:lvlJc w:val="left"/>
    </w:lvl>
    <w:lvl w:ilvl="7" w:tplc="A4584662">
      <w:numFmt w:val="decimal"/>
      <w:lvlText w:val=""/>
      <w:lvlJc w:val="left"/>
    </w:lvl>
    <w:lvl w:ilvl="8" w:tplc="8D10124E">
      <w:numFmt w:val="decimal"/>
      <w:lvlText w:val=""/>
      <w:lvlJc w:val="left"/>
    </w:lvl>
  </w:abstractNum>
  <w:abstractNum w:abstractNumId="34" w15:restartNumberingAfterBreak="0">
    <w:nsid w:val="31246F36"/>
    <w:multiLevelType w:val="hybridMultilevel"/>
    <w:tmpl w:val="2F4CDBB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36094580"/>
    <w:multiLevelType w:val="hybridMultilevel"/>
    <w:tmpl w:val="23DAD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EC42FE8"/>
    <w:multiLevelType w:val="hybridMultilevel"/>
    <w:tmpl w:val="0C09001D"/>
    <w:styleLink w:val="1ai"/>
    <w:lvl w:ilvl="0" w:tplc="CA1E6FDA">
      <w:start w:val="1"/>
      <w:numFmt w:val="decimal"/>
      <w:lvlText w:val="%1)"/>
      <w:lvlJc w:val="left"/>
      <w:pPr>
        <w:tabs>
          <w:tab w:val="num" w:pos="360"/>
        </w:tabs>
        <w:ind w:left="360" w:hanging="360"/>
      </w:pPr>
    </w:lvl>
    <w:lvl w:ilvl="1" w:tplc="68C6CB98">
      <w:start w:val="1"/>
      <w:numFmt w:val="lowerLetter"/>
      <w:lvlText w:val="%2)"/>
      <w:lvlJc w:val="left"/>
      <w:pPr>
        <w:tabs>
          <w:tab w:val="num" w:pos="720"/>
        </w:tabs>
        <w:ind w:left="720" w:hanging="360"/>
      </w:pPr>
    </w:lvl>
    <w:lvl w:ilvl="2" w:tplc="40729FD2">
      <w:start w:val="1"/>
      <w:numFmt w:val="lowerRoman"/>
      <w:lvlText w:val="%3)"/>
      <w:lvlJc w:val="left"/>
      <w:pPr>
        <w:tabs>
          <w:tab w:val="num" w:pos="1080"/>
        </w:tabs>
        <w:ind w:left="1080" w:hanging="360"/>
      </w:pPr>
    </w:lvl>
    <w:lvl w:ilvl="3" w:tplc="D12615E0">
      <w:start w:val="1"/>
      <w:numFmt w:val="decimal"/>
      <w:lvlText w:val="(%4)"/>
      <w:lvlJc w:val="left"/>
      <w:pPr>
        <w:tabs>
          <w:tab w:val="num" w:pos="1440"/>
        </w:tabs>
        <w:ind w:left="1440" w:hanging="360"/>
      </w:pPr>
    </w:lvl>
    <w:lvl w:ilvl="4" w:tplc="8EF61292">
      <w:start w:val="1"/>
      <w:numFmt w:val="lowerLetter"/>
      <w:lvlText w:val="(%5)"/>
      <w:lvlJc w:val="left"/>
      <w:pPr>
        <w:tabs>
          <w:tab w:val="num" w:pos="1800"/>
        </w:tabs>
        <w:ind w:left="1800" w:hanging="360"/>
      </w:pPr>
    </w:lvl>
    <w:lvl w:ilvl="5" w:tplc="D0BEB06E">
      <w:start w:val="1"/>
      <w:numFmt w:val="lowerRoman"/>
      <w:lvlText w:val="(%6)"/>
      <w:lvlJc w:val="left"/>
      <w:pPr>
        <w:tabs>
          <w:tab w:val="num" w:pos="2160"/>
        </w:tabs>
        <w:ind w:left="2160" w:hanging="360"/>
      </w:pPr>
    </w:lvl>
    <w:lvl w:ilvl="6" w:tplc="EAE61850">
      <w:start w:val="1"/>
      <w:numFmt w:val="decimal"/>
      <w:lvlText w:val="%7."/>
      <w:lvlJc w:val="left"/>
      <w:pPr>
        <w:tabs>
          <w:tab w:val="num" w:pos="2520"/>
        </w:tabs>
        <w:ind w:left="2520" w:hanging="360"/>
      </w:pPr>
    </w:lvl>
    <w:lvl w:ilvl="7" w:tplc="3272B4E8">
      <w:start w:val="1"/>
      <w:numFmt w:val="lowerLetter"/>
      <w:lvlText w:val="%8."/>
      <w:lvlJc w:val="left"/>
      <w:pPr>
        <w:tabs>
          <w:tab w:val="num" w:pos="2880"/>
        </w:tabs>
        <w:ind w:left="2880" w:hanging="360"/>
      </w:pPr>
    </w:lvl>
    <w:lvl w:ilvl="8" w:tplc="A7AE700C">
      <w:start w:val="1"/>
      <w:numFmt w:val="lowerRoman"/>
      <w:lvlText w:val="%9."/>
      <w:lvlJc w:val="left"/>
      <w:pPr>
        <w:tabs>
          <w:tab w:val="num" w:pos="3240"/>
        </w:tabs>
        <w:ind w:left="3240" w:hanging="360"/>
      </w:pPr>
    </w:lvl>
  </w:abstractNum>
  <w:abstractNum w:abstractNumId="37" w15:restartNumberingAfterBreak="0">
    <w:nsid w:val="43DF0877"/>
    <w:multiLevelType w:val="hybridMultilevel"/>
    <w:tmpl w:val="DF6CE6E4"/>
    <w:lvl w:ilvl="0" w:tplc="8AC66E14">
      <w:start w:val="1"/>
      <w:numFmt w:val="bullet"/>
      <w:lvlText w:val=""/>
      <w:lvlJc w:val="left"/>
      <w:pPr>
        <w:tabs>
          <w:tab w:val="num" w:pos="720"/>
        </w:tabs>
        <w:ind w:left="720" w:hanging="360"/>
      </w:pPr>
      <w:rPr>
        <w:rFonts w:ascii="Symbol" w:hAnsi="Symbol" w:hint="default"/>
        <w:sz w:val="20"/>
      </w:rPr>
    </w:lvl>
    <w:lvl w:ilvl="1" w:tplc="751EA2CE">
      <w:start w:val="1"/>
      <w:numFmt w:val="bullet"/>
      <w:lvlText w:val=""/>
      <w:lvlJc w:val="left"/>
      <w:pPr>
        <w:tabs>
          <w:tab w:val="num" w:pos="1440"/>
        </w:tabs>
        <w:ind w:left="1440" w:hanging="360"/>
      </w:pPr>
      <w:rPr>
        <w:rFonts w:ascii="Symbol" w:hAnsi="Symbol" w:hint="default"/>
        <w:sz w:val="20"/>
      </w:rPr>
    </w:lvl>
    <w:lvl w:ilvl="2" w:tplc="3D2400EE">
      <w:start w:val="1"/>
      <w:numFmt w:val="bullet"/>
      <w:lvlText w:val=""/>
      <w:lvlJc w:val="left"/>
      <w:pPr>
        <w:tabs>
          <w:tab w:val="num" w:pos="2160"/>
        </w:tabs>
        <w:ind w:left="2160" w:hanging="360"/>
      </w:pPr>
      <w:rPr>
        <w:rFonts w:ascii="Symbol" w:hAnsi="Symbol" w:hint="default"/>
        <w:sz w:val="20"/>
      </w:rPr>
    </w:lvl>
    <w:lvl w:ilvl="3" w:tplc="E318D312">
      <w:start w:val="1"/>
      <w:numFmt w:val="bullet"/>
      <w:lvlText w:val=""/>
      <w:lvlJc w:val="left"/>
      <w:pPr>
        <w:tabs>
          <w:tab w:val="num" w:pos="2880"/>
        </w:tabs>
        <w:ind w:left="2880" w:hanging="360"/>
      </w:pPr>
      <w:rPr>
        <w:rFonts w:ascii="Symbol" w:hAnsi="Symbol" w:hint="default"/>
        <w:sz w:val="20"/>
      </w:rPr>
    </w:lvl>
    <w:lvl w:ilvl="4" w:tplc="D980A32A">
      <w:start w:val="1"/>
      <w:numFmt w:val="bullet"/>
      <w:lvlText w:val=""/>
      <w:lvlJc w:val="left"/>
      <w:pPr>
        <w:tabs>
          <w:tab w:val="num" w:pos="3600"/>
        </w:tabs>
        <w:ind w:left="3600" w:hanging="360"/>
      </w:pPr>
      <w:rPr>
        <w:rFonts w:ascii="Symbol" w:hAnsi="Symbol" w:hint="default"/>
        <w:sz w:val="20"/>
      </w:rPr>
    </w:lvl>
    <w:lvl w:ilvl="5" w:tplc="FF9465C2">
      <w:start w:val="1"/>
      <w:numFmt w:val="bullet"/>
      <w:lvlText w:val=""/>
      <w:lvlJc w:val="left"/>
      <w:pPr>
        <w:tabs>
          <w:tab w:val="num" w:pos="4320"/>
        </w:tabs>
        <w:ind w:left="4320" w:hanging="360"/>
      </w:pPr>
      <w:rPr>
        <w:rFonts w:ascii="Symbol" w:hAnsi="Symbol" w:hint="default"/>
        <w:sz w:val="20"/>
      </w:rPr>
    </w:lvl>
    <w:lvl w:ilvl="6" w:tplc="5DAE62AA">
      <w:start w:val="1"/>
      <w:numFmt w:val="bullet"/>
      <w:lvlText w:val=""/>
      <w:lvlJc w:val="left"/>
      <w:pPr>
        <w:tabs>
          <w:tab w:val="num" w:pos="5040"/>
        </w:tabs>
        <w:ind w:left="5040" w:hanging="360"/>
      </w:pPr>
      <w:rPr>
        <w:rFonts w:ascii="Symbol" w:hAnsi="Symbol" w:hint="default"/>
        <w:sz w:val="20"/>
      </w:rPr>
    </w:lvl>
    <w:lvl w:ilvl="7" w:tplc="A05680BC">
      <w:start w:val="1"/>
      <w:numFmt w:val="bullet"/>
      <w:lvlText w:val=""/>
      <w:lvlJc w:val="left"/>
      <w:pPr>
        <w:tabs>
          <w:tab w:val="num" w:pos="5760"/>
        </w:tabs>
        <w:ind w:left="5760" w:hanging="360"/>
      </w:pPr>
      <w:rPr>
        <w:rFonts w:ascii="Symbol" w:hAnsi="Symbol" w:hint="default"/>
        <w:sz w:val="20"/>
      </w:rPr>
    </w:lvl>
    <w:lvl w:ilvl="8" w:tplc="3F94A67C">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487447B"/>
    <w:multiLevelType w:val="hybridMultilevel"/>
    <w:tmpl w:val="A69C19BC"/>
    <w:lvl w:ilvl="0" w:tplc="18F28476">
      <w:start w:val="1"/>
      <w:numFmt w:val="decimal"/>
      <w:lvlText w:val="%1."/>
      <w:lvlJc w:val="left"/>
      <w:pPr>
        <w:tabs>
          <w:tab w:val="num" w:pos="360"/>
        </w:tabs>
        <w:ind w:left="360" w:hanging="360"/>
      </w:pPr>
      <w:rPr>
        <w:rFonts w:ascii="Open Sans" w:hAnsi="Open Sans" w:cs="Open San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0DAA8">
      <w:numFmt w:val="decimal"/>
      <w:lvlText w:val=""/>
      <w:lvlJc w:val="left"/>
    </w:lvl>
    <w:lvl w:ilvl="2" w:tplc="04090019">
      <w:start w:val="1"/>
      <w:numFmt w:val="lowerLetter"/>
      <w:lvlText w:val="%3."/>
      <w:lvlJc w:val="left"/>
    </w:lvl>
    <w:lvl w:ilvl="3" w:tplc="934C4244">
      <w:numFmt w:val="decimal"/>
      <w:lvlText w:val=""/>
      <w:lvlJc w:val="left"/>
    </w:lvl>
    <w:lvl w:ilvl="4" w:tplc="04090001">
      <w:start w:val="1"/>
      <w:numFmt w:val="bullet"/>
      <w:lvlText w:val=""/>
      <w:lvlJc w:val="left"/>
      <w:rPr>
        <w:rFonts w:ascii="Symbol" w:hAnsi="Symbol" w:hint="default"/>
      </w:rPr>
    </w:lvl>
    <w:lvl w:ilvl="5" w:tplc="51B4D4C0">
      <w:numFmt w:val="decimal"/>
      <w:lvlText w:val=""/>
      <w:lvlJc w:val="left"/>
    </w:lvl>
    <w:lvl w:ilvl="6" w:tplc="04090001">
      <w:start w:val="1"/>
      <w:numFmt w:val="bullet"/>
      <w:lvlText w:val=""/>
      <w:lvlJc w:val="left"/>
      <w:rPr>
        <w:rFonts w:ascii="Symbol" w:hAnsi="Symbol" w:hint="default"/>
      </w:rPr>
    </w:lvl>
    <w:lvl w:ilvl="7" w:tplc="A4584662">
      <w:numFmt w:val="decimal"/>
      <w:lvlText w:val=""/>
      <w:lvlJc w:val="left"/>
    </w:lvl>
    <w:lvl w:ilvl="8" w:tplc="8D10124E">
      <w:numFmt w:val="decimal"/>
      <w:lvlText w:val=""/>
      <w:lvlJc w:val="left"/>
    </w:lvl>
  </w:abstractNum>
  <w:abstractNum w:abstractNumId="39" w15:restartNumberingAfterBreak="0">
    <w:nsid w:val="453014E6"/>
    <w:multiLevelType w:val="hybridMultilevel"/>
    <w:tmpl w:val="BDCA9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9FF7A73"/>
    <w:multiLevelType w:val="hybridMultilevel"/>
    <w:tmpl w:val="EF8EB774"/>
    <w:lvl w:ilvl="0" w:tplc="7E201C96">
      <w:start w:val="1"/>
      <w:numFmt w:val="decimal"/>
      <w:pStyle w:val="Heading1"/>
      <w:lvlText w:val="%1"/>
      <w:lvlJc w:val="left"/>
      <w:pPr>
        <w:tabs>
          <w:tab w:val="num" w:pos="851"/>
        </w:tabs>
        <w:ind w:left="851" w:hanging="851"/>
      </w:pPr>
      <w:rPr>
        <w:rFonts w:hint="default"/>
      </w:rPr>
    </w:lvl>
    <w:lvl w:ilvl="1" w:tplc="2C32BE88">
      <w:start w:val="1"/>
      <w:numFmt w:val="decimal"/>
      <w:pStyle w:val="Heading2"/>
      <w:lvlText w:val="%1.%2"/>
      <w:lvlJc w:val="left"/>
      <w:pPr>
        <w:tabs>
          <w:tab w:val="num" w:pos="851"/>
        </w:tabs>
        <w:ind w:left="851" w:hanging="851"/>
      </w:pPr>
      <w:rPr>
        <w:rFonts w:hint="default"/>
        <w:i w:val="0"/>
        <w:iCs w:val="0"/>
      </w:rPr>
    </w:lvl>
    <w:lvl w:ilvl="2" w:tplc="5AB65F24">
      <w:start w:val="1"/>
      <w:numFmt w:val="lowerLetter"/>
      <w:pStyle w:val="Heading3"/>
      <w:lvlText w:val="(%3)"/>
      <w:lvlJc w:val="left"/>
      <w:pPr>
        <w:tabs>
          <w:tab w:val="num" w:pos="851"/>
        </w:tabs>
        <w:ind w:left="851" w:hanging="851"/>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9B2201A4">
      <w:start w:val="1"/>
      <w:numFmt w:val="lowerRoman"/>
      <w:pStyle w:val="Heading4"/>
      <w:lvlText w:val="(%4)"/>
      <w:lvlJc w:val="left"/>
      <w:pPr>
        <w:tabs>
          <w:tab w:val="num" w:pos="851"/>
        </w:tabs>
        <w:ind w:left="851" w:hanging="851"/>
      </w:pPr>
      <w:rPr>
        <w:rFonts w:hint="default"/>
      </w:rPr>
    </w:lvl>
    <w:lvl w:ilvl="4" w:tplc="55226B34">
      <w:start w:val="1"/>
      <w:numFmt w:val="decimal"/>
      <w:pStyle w:val="Heading5"/>
      <w:lvlText w:val="%1.%2.%3.%4.%5"/>
      <w:lvlJc w:val="left"/>
      <w:pPr>
        <w:tabs>
          <w:tab w:val="num" w:pos="0"/>
        </w:tabs>
        <w:ind w:left="1008" w:hanging="1008"/>
      </w:pPr>
      <w:rPr>
        <w:rFonts w:hint="default"/>
      </w:rPr>
    </w:lvl>
    <w:lvl w:ilvl="5" w:tplc="2CC0293E">
      <w:start w:val="1"/>
      <w:numFmt w:val="decimal"/>
      <w:pStyle w:val="Heading6"/>
      <w:lvlText w:val="%1.%2.%3.%4.%5.%6"/>
      <w:lvlJc w:val="left"/>
      <w:pPr>
        <w:tabs>
          <w:tab w:val="num" w:pos="0"/>
        </w:tabs>
        <w:ind w:left="1152" w:hanging="1152"/>
      </w:pPr>
      <w:rPr>
        <w:rFonts w:hint="default"/>
      </w:rPr>
    </w:lvl>
    <w:lvl w:ilvl="6" w:tplc="BEA42F08">
      <w:start w:val="1"/>
      <w:numFmt w:val="decimal"/>
      <w:pStyle w:val="Heading7"/>
      <w:lvlText w:val="%1.%2.%3.%4.%5.%6.%7"/>
      <w:lvlJc w:val="left"/>
      <w:pPr>
        <w:tabs>
          <w:tab w:val="num" w:pos="0"/>
        </w:tabs>
        <w:ind w:left="1296" w:hanging="1296"/>
      </w:pPr>
      <w:rPr>
        <w:rFonts w:hint="default"/>
      </w:rPr>
    </w:lvl>
    <w:lvl w:ilvl="7" w:tplc="C6F8B04A">
      <w:start w:val="1"/>
      <w:numFmt w:val="decimal"/>
      <w:pStyle w:val="Heading8"/>
      <w:lvlText w:val="%1.%2.%3.%4.%5.%6.%7.%8"/>
      <w:lvlJc w:val="left"/>
      <w:pPr>
        <w:tabs>
          <w:tab w:val="num" w:pos="0"/>
        </w:tabs>
        <w:ind w:left="1440" w:hanging="1440"/>
      </w:pPr>
      <w:rPr>
        <w:rFonts w:hint="default"/>
      </w:rPr>
    </w:lvl>
    <w:lvl w:ilvl="8" w:tplc="751299E4">
      <w:start w:val="1"/>
      <w:numFmt w:val="decimal"/>
      <w:pStyle w:val="Heading9"/>
      <w:lvlText w:val="%1.%2.%3.%4.%5.%6.%7.%8.%9"/>
      <w:lvlJc w:val="left"/>
      <w:pPr>
        <w:tabs>
          <w:tab w:val="num" w:pos="0"/>
        </w:tabs>
        <w:ind w:left="1584" w:hanging="1584"/>
      </w:pPr>
      <w:rPr>
        <w:rFonts w:hint="default"/>
      </w:rPr>
    </w:lvl>
  </w:abstractNum>
  <w:abstractNum w:abstractNumId="41" w15:restartNumberingAfterBreak="0">
    <w:nsid w:val="4E4322A8"/>
    <w:multiLevelType w:val="hybridMultilevel"/>
    <w:tmpl w:val="0C09001F"/>
    <w:styleLink w:val="111111"/>
    <w:lvl w:ilvl="0" w:tplc="7576AF62">
      <w:start w:val="1"/>
      <w:numFmt w:val="decimal"/>
      <w:lvlText w:val="%1."/>
      <w:lvlJc w:val="left"/>
      <w:pPr>
        <w:tabs>
          <w:tab w:val="num" w:pos="360"/>
        </w:tabs>
        <w:ind w:left="360" w:hanging="360"/>
      </w:pPr>
    </w:lvl>
    <w:lvl w:ilvl="1" w:tplc="C186DE6E">
      <w:start w:val="1"/>
      <w:numFmt w:val="decimal"/>
      <w:lvlText w:val="%1.%2."/>
      <w:lvlJc w:val="left"/>
      <w:pPr>
        <w:tabs>
          <w:tab w:val="num" w:pos="792"/>
        </w:tabs>
        <w:ind w:left="792" w:hanging="432"/>
      </w:pPr>
    </w:lvl>
    <w:lvl w:ilvl="2" w:tplc="BD0C03B4">
      <w:start w:val="1"/>
      <w:numFmt w:val="decimal"/>
      <w:lvlText w:val="%1.%2.%3."/>
      <w:lvlJc w:val="left"/>
      <w:pPr>
        <w:tabs>
          <w:tab w:val="num" w:pos="1440"/>
        </w:tabs>
        <w:ind w:left="1224" w:hanging="504"/>
      </w:pPr>
    </w:lvl>
    <w:lvl w:ilvl="3" w:tplc="6FC2C71A">
      <w:start w:val="1"/>
      <w:numFmt w:val="decimal"/>
      <w:lvlText w:val="%1.%2.%3.%4."/>
      <w:lvlJc w:val="left"/>
      <w:pPr>
        <w:tabs>
          <w:tab w:val="num" w:pos="2160"/>
        </w:tabs>
        <w:ind w:left="1728" w:hanging="648"/>
      </w:pPr>
    </w:lvl>
    <w:lvl w:ilvl="4" w:tplc="DD9073BA">
      <w:start w:val="1"/>
      <w:numFmt w:val="decimal"/>
      <w:lvlText w:val="%1.%2.%3.%4.%5."/>
      <w:lvlJc w:val="left"/>
      <w:pPr>
        <w:tabs>
          <w:tab w:val="num" w:pos="2520"/>
        </w:tabs>
        <w:ind w:left="2232" w:hanging="792"/>
      </w:pPr>
    </w:lvl>
    <w:lvl w:ilvl="5" w:tplc="0D48BEFC">
      <w:start w:val="1"/>
      <w:numFmt w:val="decimal"/>
      <w:lvlText w:val="%1.%2.%3.%4.%5.%6."/>
      <w:lvlJc w:val="left"/>
      <w:pPr>
        <w:tabs>
          <w:tab w:val="num" w:pos="3240"/>
        </w:tabs>
        <w:ind w:left="2736" w:hanging="936"/>
      </w:pPr>
    </w:lvl>
    <w:lvl w:ilvl="6" w:tplc="402C64E8">
      <w:start w:val="1"/>
      <w:numFmt w:val="decimal"/>
      <w:lvlText w:val="%1.%2.%3.%4.%5.%6.%7."/>
      <w:lvlJc w:val="left"/>
      <w:pPr>
        <w:tabs>
          <w:tab w:val="num" w:pos="3600"/>
        </w:tabs>
        <w:ind w:left="3240" w:hanging="1080"/>
      </w:pPr>
    </w:lvl>
    <w:lvl w:ilvl="7" w:tplc="9488A260">
      <w:start w:val="1"/>
      <w:numFmt w:val="decimal"/>
      <w:lvlText w:val="%1.%2.%3.%4.%5.%6.%7.%8."/>
      <w:lvlJc w:val="left"/>
      <w:pPr>
        <w:tabs>
          <w:tab w:val="num" w:pos="4320"/>
        </w:tabs>
        <w:ind w:left="3744" w:hanging="1224"/>
      </w:pPr>
    </w:lvl>
    <w:lvl w:ilvl="8" w:tplc="D736DA36">
      <w:start w:val="1"/>
      <w:numFmt w:val="decimal"/>
      <w:lvlText w:val="%1.%2.%3.%4.%5.%6.%7.%8.%9."/>
      <w:lvlJc w:val="left"/>
      <w:pPr>
        <w:tabs>
          <w:tab w:val="num" w:pos="5040"/>
        </w:tabs>
        <w:ind w:left="4320" w:hanging="1440"/>
      </w:pPr>
    </w:lvl>
  </w:abstractNum>
  <w:abstractNum w:abstractNumId="42" w15:restartNumberingAfterBreak="0">
    <w:nsid w:val="530C4869"/>
    <w:multiLevelType w:val="hybridMultilevel"/>
    <w:tmpl w:val="6F3E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3677CC"/>
    <w:multiLevelType w:val="hybridMultilevel"/>
    <w:tmpl w:val="4712F40C"/>
    <w:lvl w:ilvl="0" w:tplc="85408C4C">
      <w:start w:val="1"/>
      <w:numFmt w:val="bullet"/>
      <w:lvlText w:val=""/>
      <w:lvlJc w:val="left"/>
      <w:pPr>
        <w:tabs>
          <w:tab w:val="num" w:pos="720"/>
        </w:tabs>
        <w:ind w:left="720" w:hanging="360"/>
      </w:pPr>
      <w:rPr>
        <w:rFonts w:ascii="Symbol" w:hAnsi="Symbol" w:hint="default"/>
        <w:sz w:val="20"/>
      </w:rPr>
    </w:lvl>
    <w:lvl w:ilvl="1" w:tplc="A5F66216">
      <w:start w:val="1"/>
      <w:numFmt w:val="bullet"/>
      <w:lvlText w:val=""/>
      <w:lvlJc w:val="left"/>
      <w:pPr>
        <w:tabs>
          <w:tab w:val="num" w:pos="1440"/>
        </w:tabs>
        <w:ind w:left="1440" w:hanging="360"/>
      </w:pPr>
      <w:rPr>
        <w:rFonts w:ascii="Symbol" w:hAnsi="Symbol" w:hint="default"/>
        <w:sz w:val="20"/>
      </w:rPr>
    </w:lvl>
    <w:lvl w:ilvl="2" w:tplc="43347ED2">
      <w:start w:val="1"/>
      <w:numFmt w:val="bullet"/>
      <w:lvlText w:val=""/>
      <w:lvlJc w:val="left"/>
      <w:pPr>
        <w:tabs>
          <w:tab w:val="num" w:pos="2160"/>
        </w:tabs>
        <w:ind w:left="2160" w:hanging="360"/>
      </w:pPr>
      <w:rPr>
        <w:rFonts w:ascii="Symbol" w:hAnsi="Symbol" w:hint="default"/>
        <w:sz w:val="20"/>
      </w:rPr>
    </w:lvl>
    <w:lvl w:ilvl="3" w:tplc="B9F446A2">
      <w:start w:val="1"/>
      <w:numFmt w:val="bullet"/>
      <w:lvlText w:val=""/>
      <w:lvlJc w:val="left"/>
      <w:pPr>
        <w:tabs>
          <w:tab w:val="num" w:pos="2880"/>
        </w:tabs>
        <w:ind w:left="2880" w:hanging="360"/>
      </w:pPr>
      <w:rPr>
        <w:rFonts w:ascii="Symbol" w:hAnsi="Symbol" w:hint="default"/>
        <w:sz w:val="20"/>
      </w:rPr>
    </w:lvl>
    <w:lvl w:ilvl="4" w:tplc="31364252">
      <w:start w:val="1"/>
      <w:numFmt w:val="bullet"/>
      <w:lvlText w:val=""/>
      <w:lvlJc w:val="left"/>
      <w:pPr>
        <w:tabs>
          <w:tab w:val="num" w:pos="3600"/>
        </w:tabs>
        <w:ind w:left="3600" w:hanging="360"/>
      </w:pPr>
      <w:rPr>
        <w:rFonts w:ascii="Symbol" w:hAnsi="Symbol" w:hint="default"/>
        <w:sz w:val="20"/>
      </w:rPr>
    </w:lvl>
    <w:lvl w:ilvl="5" w:tplc="BACA907C">
      <w:start w:val="1"/>
      <w:numFmt w:val="bullet"/>
      <w:lvlText w:val=""/>
      <w:lvlJc w:val="left"/>
      <w:pPr>
        <w:tabs>
          <w:tab w:val="num" w:pos="4320"/>
        </w:tabs>
        <w:ind w:left="4320" w:hanging="360"/>
      </w:pPr>
      <w:rPr>
        <w:rFonts w:ascii="Symbol" w:hAnsi="Symbol" w:hint="default"/>
        <w:sz w:val="20"/>
      </w:rPr>
    </w:lvl>
    <w:lvl w:ilvl="6" w:tplc="4718C0EC">
      <w:start w:val="1"/>
      <w:numFmt w:val="bullet"/>
      <w:lvlText w:val=""/>
      <w:lvlJc w:val="left"/>
      <w:pPr>
        <w:tabs>
          <w:tab w:val="num" w:pos="5040"/>
        </w:tabs>
        <w:ind w:left="5040" w:hanging="360"/>
      </w:pPr>
      <w:rPr>
        <w:rFonts w:ascii="Symbol" w:hAnsi="Symbol" w:hint="default"/>
        <w:sz w:val="20"/>
      </w:rPr>
    </w:lvl>
    <w:lvl w:ilvl="7" w:tplc="C7A23D0C">
      <w:start w:val="1"/>
      <w:numFmt w:val="bullet"/>
      <w:lvlText w:val=""/>
      <w:lvlJc w:val="left"/>
      <w:pPr>
        <w:tabs>
          <w:tab w:val="num" w:pos="5760"/>
        </w:tabs>
        <w:ind w:left="5760" w:hanging="360"/>
      </w:pPr>
      <w:rPr>
        <w:rFonts w:ascii="Symbol" w:hAnsi="Symbol" w:hint="default"/>
        <w:sz w:val="20"/>
      </w:rPr>
    </w:lvl>
    <w:lvl w:ilvl="8" w:tplc="53D43DE2">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CF85F92"/>
    <w:multiLevelType w:val="hybridMultilevel"/>
    <w:tmpl w:val="B27CE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4002477"/>
    <w:multiLevelType w:val="hybridMultilevel"/>
    <w:tmpl w:val="2500DD12"/>
    <w:lvl w:ilvl="0" w:tplc="9DAAE95A">
      <w:start w:val="1"/>
      <w:numFmt w:val="bullet"/>
      <w:pStyle w:val="RecBox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4346EBF"/>
    <w:multiLevelType w:val="hybridMultilevel"/>
    <w:tmpl w:val="C97AC6E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7" w15:restartNumberingAfterBreak="0">
    <w:nsid w:val="68C062E5"/>
    <w:multiLevelType w:val="hybridMultilevel"/>
    <w:tmpl w:val="5C08F33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9470D15"/>
    <w:multiLevelType w:val="hybridMultilevel"/>
    <w:tmpl w:val="3CE0B9F2"/>
    <w:lvl w:ilvl="0" w:tplc="18F28476">
      <w:start w:val="1"/>
      <w:numFmt w:val="decimal"/>
      <w:lvlText w:val="%1."/>
      <w:lvlJc w:val="left"/>
      <w:pPr>
        <w:tabs>
          <w:tab w:val="num" w:pos="360"/>
        </w:tabs>
        <w:ind w:left="360" w:hanging="360"/>
      </w:pPr>
      <w:rPr>
        <w:rFonts w:ascii="Open Sans" w:hAnsi="Open Sans" w:cs="Open San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rPr>
        <w:rFonts w:ascii="Symbol" w:hAnsi="Symbol" w:cs="Symbol" w:hint="default"/>
      </w:rPr>
    </w:lvl>
    <w:lvl w:ilvl="2" w:tplc="08090001">
      <w:start w:val="1"/>
      <w:numFmt w:val="bullet"/>
      <w:lvlText w:val=""/>
      <w:lvlJc w:val="left"/>
      <w:rPr>
        <w:rFonts w:ascii="Symbol" w:hAnsi="Symbol" w:cs="Symbol" w:hint="default"/>
      </w:rPr>
    </w:lvl>
    <w:lvl w:ilvl="3" w:tplc="934C4244">
      <w:numFmt w:val="decimal"/>
      <w:lvlText w:val=""/>
      <w:lvlJc w:val="left"/>
    </w:lvl>
    <w:lvl w:ilvl="4" w:tplc="78A604B0">
      <w:numFmt w:val="decimal"/>
      <w:lvlText w:val=""/>
      <w:lvlJc w:val="left"/>
    </w:lvl>
    <w:lvl w:ilvl="5" w:tplc="51B4D4C0">
      <w:numFmt w:val="decimal"/>
      <w:lvlText w:val=""/>
      <w:lvlJc w:val="left"/>
    </w:lvl>
    <w:lvl w:ilvl="6" w:tplc="762A878C">
      <w:numFmt w:val="decimal"/>
      <w:lvlText w:val=""/>
      <w:lvlJc w:val="left"/>
    </w:lvl>
    <w:lvl w:ilvl="7" w:tplc="A4584662">
      <w:numFmt w:val="decimal"/>
      <w:lvlText w:val=""/>
      <w:lvlJc w:val="left"/>
    </w:lvl>
    <w:lvl w:ilvl="8" w:tplc="8D10124E">
      <w:numFmt w:val="decimal"/>
      <w:lvlText w:val=""/>
      <w:lvlJc w:val="left"/>
    </w:lvl>
  </w:abstractNum>
  <w:abstractNum w:abstractNumId="49" w15:restartNumberingAfterBreak="0">
    <w:nsid w:val="6BE510E0"/>
    <w:multiLevelType w:val="hybridMultilevel"/>
    <w:tmpl w:val="2A8A6B7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0" w15:restartNumberingAfterBreak="0">
    <w:nsid w:val="6D5B010A"/>
    <w:multiLevelType w:val="hybridMultilevel"/>
    <w:tmpl w:val="09F6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1E49C0"/>
    <w:multiLevelType w:val="hybridMultilevel"/>
    <w:tmpl w:val="38F0B58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7A4E46A2"/>
    <w:multiLevelType w:val="hybridMultilevel"/>
    <w:tmpl w:val="0BDC466C"/>
    <w:lvl w:ilvl="0" w:tplc="04090001">
      <w:start w:val="1"/>
      <w:numFmt w:val="bullet"/>
      <w:lvlText w:val=""/>
      <w:lvlJc w:val="left"/>
      <w:pPr>
        <w:ind w:left="720" w:hanging="360"/>
      </w:pPr>
      <w:rPr>
        <w:rFonts w:ascii="Symbol" w:hAnsi="Symbol" w:hint="default"/>
      </w:rPr>
    </w:lvl>
    <w:lvl w:ilvl="1" w:tplc="FF46AFCC">
      <w:numFmt w:val="bullet"/>
      <w:lvlText w:val="-"/>
      <w:lvlJc w:val="left"/>
      <w:pPr>
        <w:ind w:left="1440" w:hanging="360"/>
      </w:pPr>
      <w:rPr>
        <w:rFonts w:ascii="Open Sans" w:eastAsia="MS Mincho"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6F3483"/>
    <w:multiLevelType w:val="hybridMultilevel"/>
    <w:tmpl w:val="6CE05B7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40"/>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41"/>
  </w:num>
  <w:num w:numId="13">
    <w:abstractNumId w:val="36"/>
  </w:num>
  <w:num w:numId="14">
    <w:abstractNumId w:val="28"/>
  </w:num>
  <w:num w:numId="15">
    <w:abstractNumId w:val="27"/>
  </w:num>
  <w:num w:numId="16">
    <w:abstractNumId w:val="53"/>
  </w:num>
  <w:num w:numId="17">
    <w:abstractNumId w:val="13"/>
  </w:num>
  <w:num w:numId="18">
    <w:abstractNumId w:val="46"/>
  </w:num>
  <w:num w:numId="19">
    <w:abstractNumId w:val="49"/>
  </w:num>
  <w:num w:numId="20">
    <w:abstractNumId w:val="34"/>
  </w:num>
  <w:num w:numId="21">
    <w:abstractNumId w:val="45"/>
  </w:num>
  <w:num w:numId="22">
    <w:abstractNumId w:val="23"/>
  </w:num>
  <w:num w:numId="23">
    <w:abstractNumId w:val="17"/>
  </w:num>
  <w:num w:numId="24">
    <w:abstractNumId w:val="37"/>
  </w:num>
  <w:num w:numId="25">
    <w:abstractNumId w:val="43"/>
  </w:num>
  <w:num w:numId="26">
    <w:abstractNumId w:val="29"/>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16"/>
  </w:num>
  <w:num w:numId="30">
    <w:abstractNumId w:val="12"/>
  </w:num>
  <w:num w:numId="31">
    <w:abstractNumId w:val="38"/>
  </w:num>
  <w:num w:numId="32">
    <w:abstractNumId w:val="31"/>
  </w:num>
  <w:num w:numId="33">
    <w:abstractNumId w:val="20"/>
  </w:num>
  <w:num w:numId="34">
    <w:abstractNumId w:val="26"/>
  </w:num>
  <w:num w:numId="35">
    <w:abstractNumId w:val="25"/>
  </w:num>
  <w:num w:numId="36">
    <w:abstractNumId w:val="11"/>
  </w:num>
  <w:num w:numId="37">
    <w:abstractNumId w:val="33"/>
  </w:num>
  <w:num w:numId="38">
    <w:abstractNumId w:val="48"/>
  </w:num>
  <w:num w:numId="39">
    <w:abstractNumId w:val="30"/>
  </w:num>
  <w:num w:numId="40">
    <w:abstractNumId w:val="19"/>
  </w:num>
  <w:num w:numId="41">
    <w:abstractNumId w:val="32"/>
  </w:num>
  <w:num w:numId="42">
    <w:abstractNumId w:val="42"/>
  </w:num>
  <w:num w:numId="43">
    <w:abstractNumId w:val="52"/>
  </w:num>
  <w:num w:numId="44">
    <w:abstractNumId w:val="51"/>
  </w:num>
  <w:num w:numId="45">
    <w:abstractNumId w:val="18"/>
  </w:num>
  <w:num w:numId="46">
    <w:abstractNumId w:val="10"/>
  </w:num>
  <w:num w:numId="47">
    <w:abstractNumId w:val="21"/>
  </w:num>
  <w:num w:numId="48">
    <w:abstractNumId w:val="14"/>
  </w:num>
  <w:num w:numId="49">
    <w:abstractNumId w:val="35"/>
  </w:num>
  <w:num w:numId="50">
    <w:abstractNumId w:val="50"/>
  </w:num>
  <w:num w:numId="51">
    <w:abstractNumId w:val="22"/>
  </w:num>
  <w:num w:numId="52">
    <w:abstractNumId w:val="39"/>
  </w:num>
  <w:num w:numId="53">
    <w:abstractNumId w:val="24"/>
  </w:num>
  <w:num w:numId="54">
    <w:abstractNumId w:val="8"/>
  </w:num>
  <w:num w:numId="55">
    <w:abstractNumId w:val="8"/>
  </w:num>
  <w:num w:numId="56">
    <w:abstractNumId w:val="8"/>
  </w:num>
  <w:num w:numId="57">
    <w:abstractNumId w:val="8"/>
  </w:num>
  <w:num w:numId="58">
    <w:abstractNumId w:val="15"/>
  </w:num>
  <w:num w:numId="59">
    <w:abstractNumId w:val="8"/>
    <w:lvlOverride w:ilvl="0">
      <w:startOverride w:val="88"/>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62"/>
    <w:rsid w:val="000003BF"/>
    <w:rsid w:val="00000415"/>
    <w:rsid w:val="000006D9"/>
    <w:rsid w:val="00000738"/>
    <w:rsid w:val="0000076F"/>
    <w:rsid w:val="00000DDE"/>
    <w:rsid w:val="00001266"/>
    <w:rsid w:val="000015EC"/>
    <w:rsid w:val="00001B6B"/>
    <w:rsid w:val="00002404"/>
    <w:rsid w:val="00002895"/>
    <w:rsid w:val="00002B70"/>
    <w:rsid w:val="00002DB7"/>
    <w:rsid w:val="000032C9"/>
    <w:rsid w:val="000034D5"/>
    <w:rsid w:val="00003A60"/>
    <w:rsid w:val="00003EA5"/>
    <w:rsid w:val="00003FB5"/>
    <w:rsid w:val="0000406E"/>
    <w:rsid w:val="00004117"/>
    <w:rsid w:val="00004215"/>
    <w:rsid w:val="0000443B"/>
    <w:rsid w:val="000046A1"/>
    <w:rsid w:val="00004E65"/>
    <w:rsid w:val="00005820"/>
    <w:rsid w:val="000058D6"/>
    <w:rsid w:val="00005BB8"/>
    <w:rsid w:val="00006152"/>
    <w:rsid w:val="0000635F"/>
    <w:rsid w:val="00006A3F"/>
    <w:rsid w:val="00006C9F"/>
    <w:rsid w:val="000071EA"/>
    <w:rsid w:val="000102DE"/>
    <w:rsid w:val="000106FE"/>
    <w:rsid w:val="000109DB"/>
    <w:rsid w:val="0001118B"/>
    <w:rsid w:val="00011227"/>
    <w:rsid w:val="00011314"/>
    <w:rsid w:val="0001168A"/>
    <w:rsid w:val="000116B5"/>
    <w:rsid w:val="000116BB"/>
    <w:rsid w:val="00011873"/>
    <w:rsid w:val="00011980"/>
    <w:rsid w:val="00011C33"/>
    <w:rsid w:val="00011FF5"/>
    <w:rsid w:val="00012055"/>
    <w:rsid w:val="000125B7"/>
    <w:rsid w:val="000128DC"/>
    <w:rsid w:val="00012C15"/>
    <w:rsid w:val="00012CB9"/>
    <w:rsid w:val="000132CD"/>
    <w:rsid w:val="00013B2F"/>
    <w:rsid w:val="00013ECB"/>
    <w:rsid w:val="000141E5"/>
    <w:rsid w:val="0001457C"/>
    <w:rsid w:val="000145D9"/>
    <w:rsid w:val="000145FB"/>
    <w:rsid w:val="0001490D"/>
    <w:rsid w:val="00014A5B"/>
    <w:rsid w:val="00014CAB"/>
    <w:rsid w:val="00014D8A"/>
    <w:rsid w:val="00014F09"/>
    <w:rsid w:val="00014F71"/>
    <w:rsid w:val="0001586F"/>
    <w:rsid w:val="00015962"/>
    <w:rsid w:val="00015B65"/>
    <w:rsid w:val="00015C12"/>
    <w:rsid w:val="000161C2"/>
    <w:rsid w:val="000167CC"/>
    <w:rsid w:val="0001688A"/>
    <w:rsid w:val="00016A96"/>
    <w:rsid w:val="000170FF"/>
    <w:rsid w:val="00017132"/>
    <w:rsid w:val="000171F9"/>
    <w:rsid w:val="0001775F"/>
    <w:rsid w:val="0001779A"/>
    <w:rsid w:val="00017EA5"/>
    <w:rsid w:val="000200EF"/>
    <w:rsid w:val="000204EF"/>
    <w:rsid w:val="00020B5B"/>
    <w:rsid w:val="000211C6"/>
    <w:rsid w:val="000212C8"/>
    <w:rsid w:val="000214E0"/>
    <w:rsid w:val="000215B8"/>
    <w:rsid w:val="0002167A"/>
    <w:rsid w:val="000216B6"/>
    <w:rsid w:val="0002199C"/>
    <w:rsid w:val="000219BB"/>
    <w:rsid w:val="000219E0"/>
    <w:rsid w:val="000220C3"/>
    <w:rsid w:val="00022A47"/>
    <w:rsid w:val="00022AA9"/>
    <w:rsid w:val="000231B2"/>
    <w:rsid w:val="00023486"/>
    <w:rsid w:val="00023FFF"/>
    <w:rsid w:val="000240D9"/>
    <w:rsid w:val="0002476A"/>
    <w:rsid w:val="00024AC5"/>
    <w:rsid w:val="00024B63"/>
    <w:rsid w:val="00024BF3"/>
    <w:rsid w:val="00024D11"/>
    <w:rsid w:val="00025248"/>
    <w:rsid w:val="00025406"/>
    <w:rsid w:val="0002553A"/>
    <w:rsid w:val="00025E4D"/>
    <w:rsid w:val="000263FD"/>
    <w:rsid w:val="00026860"/>
    <w:rsid w:val="00026E0F"/>
    <w:rsid w:val="00026EF8"/>
    <w:rsid w:val="00026FF4"/>
    <w:rsid w:val="00027E68"/>
    <w:rsid w:val="00030023"/>
    <w:rsid w:val="00030267"/>
    <w:rsid w:val="00030392"/>
    <w:rsid w:val="00031265"/>
    <w:rsid w:val="000312D5"/>
    <w:rsid w:val="000312F7"/>
    <w:rsid w:val="000313A9"/>
    <w:rsid w:val="0003177C"/>
    <w:rsid w:val="00031A06"/>
    <w:rsid w:val="00031F84"/>
    <w:rsid w:val="0003223A"/>
    <w:rsid w:val="0003224A"/>
    <w:rsid w:val="000326F9"/>
    <w:rsid w:val="000328F5"/>
    <w:rsid w:val="00032B26"/>
    <w:rsid w:val="00032B40"/>
    <w:rsid w:val="00032D13"/>
    <w:rsid w:val="00032F30"/>
    <w:rsid w:val="0003341B"/>
    <w:rsid w:val="000342C0"/>
    <w:rsid w:val="00034531"/>
    <w:rsid w:val="00034CD1"/>
    <w:rsid w:val="000352CE"/>
    <w:rsid w:val="00035791"/>
    <w:rsid w:val="000359C9"/>
    <w:rsid w:val="00035CBB"/>
    <w:rsid w:val="00035EF2"/>
    <w:rsid w:val="000360FE"/>
    <w:rsid w:val="0003610D"/>
    <w:rsid w:val="00036223"/>
    <w:rsid w:val="000362F4"/>
    <w:rsid w:val="000363DF"/>
    <w:rsid w:val="000367D6"/>
    <w:rsid w:val="00036B79"/>
    <w:rsid w:val="00036BE4"/>
    <w:rsid w:val="00036F9B"/>
    <w:rsid w:val="00037014"/>
    <w:rsid w:val="0003734A"/>
    <w:rsid w:val="000375CD"/>
    <w:rsid w:val="00037674"/>
    <w:rsid w:val="000377CB"/>
    <w:rsid w:val="000378C3"/>
    <w:rsid w:val="00037E68"/>
    <w:rsid w:val="0003B8AC"/>
    <w:rsid w:val="000400B7"/>
    <w:rsid w:val="00040401"/>
    <w:rsid w:val="000404BE"/>
    <w:rsid w:val="00040856"/>
    <w:rsid w:val="0004093B"/>
    <w:rsid w:val="00040A5B"/>
    <w:rsid w:val="00040C4C"/>
    <w:rsid w:val="00040D83"/>
    <w:rsid w:val="0004113C"/>
    <w:rsid w:val="0004136D"/>
    <w:rsid w:val="000414C7"/>
    <w:rsid w:val="000418D0"/>
    <w:rsid w:val="00041C23"/>
    <w:rsid w:val="00041CD0"/>
    <w:rsid w:val="00041F6D"/>
    <w:rsid w:val="0004213C"/>
    <w:rsid w:val="00042143"/>
    <w:rsid w:val="000430B8"/>
    <w:rsid w:val="00043139"/>
    <w:rsid w:val="0004324B"/>
    <w:rsid w:val="000437A0"/>
    <w:rsid w:val="00043A95"/>
    <w:rsid w:val="00043D60"/>
    <w:rsid w:val="00044085"/>
    <w:rsid w:val="00044119"/>
    <w:rsid w:val="000441F7"/>
    <w:rsid w:val="00044366"/>
    <w:rsid w:val="0004442E"/>
    <w:rsid w:val="00044911"/>
    <w:rsid w:val="00044A62"/>
    <w:rsid w:val="00045119"/>
    <w:rsid w:val="00045123"/>
    <w:rsid w:val="00045712"/>
    <w:rsid w:val="00045C4B"/>
    <w:rsid w:val="000462FA"/>
    <w:rsid w:val="000463E1"/>
    <w:rsid w:val="000465F1"/>
    <w:rsid w:val="00046680"/>
    <w:rsid w:val="0004683A"/>
    <w:rsid w:val="00047212"/>
    <w:rsid w:val="0004740E"/>
    <w:rsid w:val="0004750B"/>
    <w:rsid w:val="000500EC"/>
    <w:rsid w:val="0005024C"/>
    <w:rsid w:val="00050543"/>
    <w:rsid w:val="0005081C"/>
    <w:rsid w:val="00050B6F"/>
    <w:rsid w:val="00050BE5"/>
    <w:rsid w:val="000512A6"/>
    <w:rsid w:val="00051500"/>
    <w:rsid w:val="00051913"/>
    <w:rsid w:val="00051AD5"/>
    <w:rsid w:val="00051EE4"/>
    <w:rsid w:val="00051FD3"/>
    <w:rsid w:val="00051FDE"/>
    <w:rsid w:val="0005213F"/>
    <w:rsid w:val="000523B5"/>
    <w:rsid w:val="00052808"/>
    <w:rsid w:val="000532D5"/>
    <w:rsid w:val="00053907"/>
    <w:rsid w:val="00053C54"/>
    <w:rsid w:val="000544E7"/>
    <w:rsid w:val="000553E9"/>
    <w:rsid w:val="00055799"/>
    <w:rsid w:val="00055807"/>
    <w:rsid w:val="00055FF1"/>
    <w:rsid w:val="00056271"/>
    <w:rsid w:val="000566CE"/>
    <w:rsid w:val="000568B8"/>
    <w:rsid w:val="00056CF8"/>
    <w:rsid w:val="00056E02"/>
    <w:rsid w:val="00056EBD"/>
    <w:rsid w:val="00057234"/>
    <w:rsid w:val="000576A4"/>
    <w:rsid w:val="00057721"/>
    <w:rsid w:val="00057960"/>
    <w:rsid w:val="000579B1"/>
    <w:rsid w:val="00057A59"/>
    <w:rsid w:val="0006006C"/>
    <w:rsid w:val="000603DC"/>
    <w:rsid w:val="00060AE0"/>
    <w:rsid w:val="00060DE4"/>
    <w:rsid w:val="00060FEB"/>
    <w:rsid w:val="000619A6"/>
    <w:rsid w:val="00061C6C"/>
    <w:rsid w:val="00061CEE"/>
    <w:rsid w:val="00061D28"/>
    <w:rsid w:val="00061E98"/>
    <w:rsid w:val="000625CB"/>
    <w:rsid w:val="000630CD"/>
    <w:rsid w:val="0006347C"/>
    <w:rsid w:val="00063601"/>
    <w:rsid w:val="00063E3E"/>
    <w:rsid w:val="0006416E"/>
    <w:rsid w:val="00064C6E"/>
    <w:rsid w:val="00065045"/>
    <w:rsid w:val="000650FE"/>
    <w:rsid w:val="000653C5"/>
    <w:rsid w:val="00065CC2"/>
    <w:rsid w:val="0006626B"/>
    <w:rsid w:val="00066350"/>
    <w:rsid w:val="000663A7"/>
    <w:rsid w:val="0006697C"/>
    <w:rsid w:val="00066A15"/>
    <w:rsid w:val="00067187"/>
    <w:rsid w:val="0006793F"/>
    <w:rsid w:val="00067ABD"/>
    <w:rsid w:val="00067B99"/>
    <w:rsid w:val="00067C4D"/>
    <w:rsid w:val="00067FEF"/>
    <w:rsid w:val="00070073"/>
    <w:rsid w:val="000705F2"/>
    <w:rsid w:val="000706A4"/>
    <w:rsid w:val="000708F1"/>
    <w:rsid w:val="00070C86"/>
    <w:rsid w:val="00070EDB"/>
    <w:rsid w:val="00070FA6"/>
    <w:rsid w:val="00071496"/>
    <w:rsid w:val="00071582"/>
    <w:rsid w:val="00072483"/>
    <w:rsid w:val="000724C9"/>
    <w:rsid w:val="000725D1"/>
    <w:rsid w:val="00072660"/>
    <w:rsid w:val="000728D2"/>
    <w:rsid w:val="0007292E"/>
    <w:rsid w:val="00072957"/>
    <w:rsid w:val="00072B21"/>
    <w:rsid w:val="00072EDA"/>
    <w:rsid w:val="00073259"/>
    <w:rsid w:val="00073601"/>
    <w:rsid w:val="00073982"/>
    <w:rsid w:val="00073C34"/>
    <w:rsid w:val="00073F93"/>
    <w:rsid w:val="00074037"/>
    <w:rsid w:val="0007412D"/>
    <w:rsid w:val="000741E4"/>
    <w:rsid w:val="0007428A"/>
    <w:rsid w:val="00074323"/>
    <w:rsid w:val="00074426"/>
    <w:rsid w:val="00074A4B"/>
    <w:rsid w:val="000755BE"/>
    <w:rsid w:val="00075664"/>
    <w:rsid w:val="00075893"/>
    <w:rsid w:val="000759DA"/>
    <w:rsid w:val="00075BF7"/>
    <w:rsid w:val="00075CBB"/>
    <w:rsid w:val="000760DC"/>
    <w:rsid w:val="000760FB"/>
    <w:rsid w:val="0007640B"/>
    <w:rsid w:val="000764E8"/>
    <w:rsid w:val="000769B0"/>
    <w:rsid w:val="00076CD3"/>
    <w:rsid w:val="000773C3"/>
    <w:rsid w:val="00077B57"/>
    <w:rsid w:val="000800B7"/>
    <w:rsid w:val="00080183"/>
    <w:rsid w:val="0008067B"/>
    <w:rsid w:val="000811F1"/>
    <w:rsid w:val="00081350"/>
    <w:rsid w:val="00081479"/>
    <w:rsid w:val="00081501"/>
    <w:rsid w:val="00081F3B"/>
    <w:rsid w:val="00081FE0"/>
    <w:rsid w:val="00082624"/>
    <w:rsid w:val="00082CE4"/>
    <w:rsid w:val="0008321F"/>
    <w:rsid w:val="000833E0"/>
    <w:rsid w:val="00083464"/>
    <w:rsid w:val="00083622"/>
    <w:rsid w:val="00083629"/>
    <w:rsid w:val="000839A0"/>
    <w:rsid w:val="00083A68"/>
    <w:rsid w:val="00083ABB"/>
    <w:rsid w:val="000843B1"/>
    <w:rsid w:val="000843F8"/>
    <w:rsid w:val="000849C1"/>
    <w:rsid w:val="00084A62"/>
    <w:rsid w:val="00084B67"/>
    <w:rsid w:val="00084DE2"/>
    <w:rsid w:val="00084DF1"/>
    <w:rsid w:val="00084EF0"/>
    <w:rsid w:val="0008520E"/>
    <w:rsid w:val="000857DA"/>
    <w:rsid w:val="000858AF"/>
    <w:rsid w:val="00085A18"/>
    <w:rsid w:val="00085AC0"/>
    <w:rsid w:val="00085BD2"/>
    <w:rsid w:val="00085C67"/>
    <w:rsid w:val="00085EC0"/>
    <w:rsid w:val="000862C5"/>
    <w:rsid w:val="000864D5"/>
    <w:rsid w:val="0008656E"/>
    <w:rsid w:val="00086A2C"/>
    <w:rsid w:val="00086B87"/>
    <w:rsid w:val="00087486"/>
    <w:rsid w:val="00087593"/>
    <w:rsid w:val="00087978"/>
    <w:rsid w:val="00087A8F"/>
    <w:rsid w:val="00087B93"/>
    <w:rsid w:val="000901B7"/>
    <w:rsid w:val="000902F4"/>
    <w:rsid w:val="00090BDB"/>
    <w:rsid w:val="00091A5D"/>
    <w:rsid w:val="000928A8"/>
    <w:rsid w:val="00092C4A"/>
    <w:rsid w:val="00093204"/>
    <w:rsid w:val="00093289"/>
    <w:rsid w:val="000935D6"/>
    <w:rsid w:val="00093944"/>
    <w:rsid w:val="00093ADC"/>
    <w:rsid w:val="00093EDE"/>
    <w:rsid w:val="00093FD6"/>
    <w:rsid w:val="00094347"/>
    <w:rsid w:val="000943BF"/>
    <w:rsid w:val="0009441A"/>
    <w:rsid w:val="000949BB"/>
    <w:rsid w:val="00094B3E"/>
    <w:rsid w:val="00094C66"/>
    <w:rsid w:val="00095164"/>
    <w:rsid w:val="00095552"/>
    <w:rsid w:val="00096691"/>
    <w:rsid w:val="00096716"/>
    <w:rsid w:val="00096D1E"/>
    <w:rsid w:val="00096F42"/>
    <w:rsid w:val="00097255"/>
    <w:rsid w:val="000975E4"/>
    <w:rsid w:val="000977F0"/>
    <w:rsid w:val="000978D6"/>
    <w:rsid w:val="0009795C"/>
    <w:rsid w:val="00097DA6"/>
    <w:rsid w:val="00097E1D"/>
    <w:rsid w:val="000A021D"/>
    <w:rsid w:val="000A0651"/>
    <w:rsid w:val="000A06AA"/>
    <w:rsid w:val="000A0BD4"/>
    <w:rsid w:val="000A14C2"/>
    <w:rsid w:val="000A1582"/>
    <w:rsid w:val="000A1B84"/>
    <w:rsid w:val="000A1DB8"/>
    <w:rsid w:val="000A1E66"/>
    <w:rsid w:val="000A220D"/>
    <w:rsid w:val="000A2834"/>
    <w:rsid w:val="000A29D1"/>
    <w:rsid w:val="000A2C10"/>
    <w:rsid w:val="000A33F7"/>
    <w:rsid w:val="000A350E"/>
    <w:rsid w:val="000A3593"/>
    <w:rsid w:val="000A390C"/>
    <w:rsid w:val="000A3A30"/>
    <w:rsid w:val="000A3AEE"/>
    <w:rsid w:val="000A429A"/>
    <w:rsid w:val="000A48AC"/>
    <w:rsid w:val="000A4C9F"/>
    <w:rsid w:val="000A4CD7"/>
    <w:rsid w:val="000A4EC6"/>
    <w:rsid w:val="000A520E"/>
    <w:rsid w:val="000A5360"/>
    <w:rsid w:val="000A544B"/>
    <w:rsid w:val="000A566F"/>
    <w:rsid w:val="000A57E3"/>
    <w:rsid w:val="000A63CF"/>
    <w:rsid w:val="000A6680"/>
    <w:rsid w:val="000A67D3"/>
    <w:rsid w:val="000A6831"/>
    <w:rsid w:val="000A7223"/>
    <w:rsid w:val="000A7BCF"/>
    <w:rsid w:val="000A7D3D"/>
    <w:rsid w:val="000B009D"/>
    <w:rsid w:val="000B0603"/>
    <w:rsid w:val="000B0A5D"/>
    <w:rsid w:val="000B0ABE"/>
    <w:rsid w:val="000B0CB2"/>
    <w:rsid w:val="000B1127"/>
    <w:rsid w:val="000B1769"/>
    <w:rsid w:val="000B2079"/>
    <w:rsid w:val="000B26E0"/>
    <w:rsid w:val="000B27B1"/>
    <w:rsid w:val="000B27C9"/>
    <w:rsid w:val="000B28FE"/>
    <w:rsid w:val="000B297F"/>
    <w:rsid w:val="000B2ABD"/>
    <w:rsid w:val="000B2B22"/>
    <w:rsid w:val="000B2B9E"/>
    <w:rsid w:val="000B2DAC"/>
    <w:rsid w:val="000B2E19"/>
    <w:rsid w:val="000B30AC"/>
    <w:rsid w:val="000B35C9"/>
    <w:rsid w:val="000B4340"/>
    <w:rsid w:val="000B46FB"/>
    <w:rsid w:val="000B4715"/>
    <w:rsid w:val="000B475A"/>
    <w:rsid w:val="000B489F"/>
    <w:rsid w:val="000B48C4"/>
    <w:rsid w:val="000B4E6A"/>
    <w:rsid w:val="000B5B17"/>
    <w:rsid w:val="000B5B68"/>
    <w:rsid w:val="000B5F20"/>
    <w:rsid w:val="000B6457"/>
    <w:rsid w:val="000B6572"/>
    <w:rsid w:val="000B6592"/>
    <w:rsid w:val="000B6964"/>
    <w:rsid w:val="000B6A20"/>
    <w:rsid w:val="000B6A55"/>
    <w:rsid w:val="000B6E7B"/>
    <w:rsid w:val="000B718F"/>
    <w:rsid w:val="000B723B"/>
    <w:rsid w:val="000B7912"/>
    <w:rsid w:val="000B7E55"/>
    <w:rsid w:val="000C0661"/>
    <w:rsid w:val="000C0907"/>
    <w:rsid w:val="000C0C6F"/>
    <w:rsid w:val="000C0CFC"/>
    <w:rsid w:val="000C10A2"/>
    <w:rsid w:val="000C1251"/>
    <w:rsid w:val="000C1421"/>
    <w:rsid w:val="000C17F4"/>
    <w:rsid w:val="000C1CDA"/>
    <w:rsid w:val="000C1DD0"/>
    <w:rsid w:val="000C1F7C"/>
    <w:rsid w:val="000C24EC"/>
    <w:rsid w:val="000C260C"/>
    <w:rsid w:val="000C2C5E"/>
    <w:rsid w:val="000C2EF9"/>
    <w:rsid w:val="000C2FF1"/>
    <w:rsid w:val="000C30BA"/>
    <w:rsid w:val="000C348B"/>
    <w:rsid w:val="000C3910"/>
    <w:rsid w:val="000C3BED"/>
    <w:rsid w:val="000C451A"/>
    <w:rsid w:val="000C453C"/>
    <w:rsid w:val="000C4729"/>
    <w:rsid w:val="000C539D"/>
    <w:rsid w:val="000C5608"/>
    <w:rsid w:val="000C58DC"/>
    <w:rsid w:val="000C5BC8"/>
    <w:rsid w:val="000C5C10"/>
    <w:rsid w:val="000C5DA6"/>
    <w:rsid w:val="000C6037"/>
    <w:rsid w:val="000C6139"/>
    <w:rsid w:val="000C6171"/>
    <w:rsid w:val="000C6600"/>
    <w:rsid w:val="000C69D6"/>
    <w:rsid w:val="000C6A8C"/>
    <w:rsid w:val="000C704F"/>
    <w:rsid w:val="000C7911"/>
    <w:rsid w:val="000C7EEF"/>
    <w:rsid w:val="000D0214"/>
    <w:rsid w:val="000D0522"/>
    <w:rsid w:val="000D0B85"/>
    <w:rsid w:val="000D1257"/>
    <w:rsid w:val="000D1470"/>
    <w:rsid w:val="000D14B2"/>
    <w:rsid w:val="000D15FE"/>
    <w:rsid w:val="000D1B0C"/>
    <w:rsid w:val="000D1C54"/>
    <w:rsid w:val="000D1EE5"/>
    <w:rsid w:val="000D1FB9"/>
    <w:rsid w:val="000D2865"/>
    <w:rsid w:val="000D2A75"/>
    <w:rsid w:val="000D2E9B"/>
    <w:rsid w:val="000D36DD"/>
    <w:rsid w:val="000D3829"/>
    <w:rsid w:val="000D3A4A"/>
    <w:rsid w:val="000D3B53"/>
    <w:rsid w:val="000D40A1"/>
    <w:rsid w:val="000D4718"/>
    <w:rsid w:val="000D4DCF"/>
    <w:rsid w:val="000D56F8"/>
    <w:rsid w:val="000D588D"/>
    <w:rsid w:val="000D61F3"/>
    <w:rsid w:val="000D636F"/>
    <w:rsid w:val="000D66C3"/>
    <w:rsid w:val="000D6900"/>
    <w:rsid w:val="000D69BE"/>
    <w:rsid w:val="000D6A7F"/>
    <w:rsid w:val="000D6C4E"/>
    <w:rsid w:val="000D6C8A"/>
    <w:rsid w:val="000D6CB8"/>
    <w:rsid w:val="000D6CBE"/>
    <w:rsid w:val="000D6CF4"/>
    <w:rsid w:val="000D6D7E"/>
    <w:rsid w:val="000D77AE"/>
    <w:rsid w:val="000D7868"/>
    <w:rsid w:val="000D791C"/>
    <w:rsid w:val="000E0868"/>
    <w:rsid w:val="000E09AC"/>
    <w:rsid w:val="000E0F6C"/>
    <w:rsid w:val="000E130A"/>
    <w:rsid w:val="000E1679"/>
    <w:rsid w:val="000E16F5"/>
    <w:rsid w:val="000E1802"/>
    <w:rsid w:val="000E1C5F"/>
    <w:rsid w:val="000E1DDB"/>
    <w:rsid w:val="000E210C"/>
    <w:rsid w:val="000E220E"/>
    <w:rsid w:val="000E2404"/>
    <w:rsid w:val="000E2705"/>
    <w:rsid w:val="000E2BC0"/>
    <w:rsid w:val="000E2F60"/>
    <w:rsid w:val="000E319B"/>
    <w:rsid w:val="000E3F1F"/>
    <w:rsid w:val="000E46E6"/>
    <w:rsid w:val="000E4837"/>
    <w:rsid w:val="000E4A38"/>
    <w:rsid w:val="000E4E9D"/>
    <w:rsid w:val="000E51CD"/>
    <w:rsid w:val="000E57DA"/>
    <w:rsid w:val="000E5891"/>
    <w:rsid w:val="000E5C34"/>
    <w:rsid w:val="000E5F9B"/>
    <w:rsid w:val="000E6337"/>
    <w:rsid w:val="000E6364"/>
    <w:rsid w:val="000E66E3"/>
    <w:rsid w:val="000E6981"/>
    <w:rsid w:val="000E70B1"/>
    <w:rsid w:val="000E72CD"/>
    <w:rsid w:val="000E740D"/>
    <w:rsid w:val="000E79A2"/>
    <w:rsid w:val="000E7FB0"/>
    <w:rsid w:val="000F018B"/>
    <w:rsid w:val="000F0912"/>
    <w:rsid w:val="000F0926"/>
    <w:rsid w:val="000F0AC2"/>
    <w:rsid w:val="000F0AEE"/>
    <w:rsid w:val="000F0DC0"/>
    <w:rsid w:val="000F0F52"/>
    <w:rsid w:val="000F117F"/>
    <w:rsid w:val="000F1193"/>
    <w:rsid w:val="000F15DA"/>
    <w:rsid w:val="000F1C22"/>
    <w:rsid w:val="000F1C81"/>
    <w:rsid w:val="000F2338"/>
    <w:rsid w:val="000F25FB"/>
    <w:rsid w:val="000F2ABF"/>
    <w:rsid w:val="000F2D17"/>
    <w:rsid w:val="000F30B2"/>
    <w:rsid w:val="000F31AC"/>
    <w:rsid w:val="000F3A0F"/>
    <w:rsid w:val="000F3D35"/>
    <w:rsid w:val="000F3F9B"/>
    <w:rsid w:val="000F3FB4"/>
    <w:rsid w:val="000F4A27"/>
    <w:rsid w:val="000F4CF3"/>
    <w:rsid w:val="000F4D6B"/>
    <w:rsid w:val="000F4DE4"/>
    <w:rsid w:val="000F53DC"/>
    <w:rsid w:val="000F5524"/>
    <w:rsid w:val="000F5B8E"/>
    <w:rsid w:val="000F5BC7"/>
    <w:rsid w:val="000F5C10"/>
    <w:rsid w:val="000F6000"/>
    <w:rsid w:val="000F6576"/>
    <w:rsid w:val="000F68BE"/>
    <w:rsid w:val="000F6BAD"/>
    <w:rsid w:val="000F6C0E"/>
    <w:rsid w:val="000F74B5"/>
    <w:rsid w:val="000F766E"/>
    <w:rsid w:val="000F7787"/>
    <w:rsid w:val="001000CD"/>
    <w:rsid w:val="001007FB"/>
    <w:rsid w:val="00100E1E"/>
    <w:rsid w:val="00100F5C"/>
    <w:rsid w:val="001012C8"/>
    <w:rsid w:val="001018DB"/>
    <w:rsid w:val="00101EE9"/>
    <w:rsid w:val="001030DF"/>
    <w:rsid w:val="0010370F"/>
    <w:rsid w:val="0010385B"/>
    <w:rsid w:val="00103B4F"/>
    <w:rsid w:val="00104938"/>
    <w:rsid w:val="00104AF9"/>
    <w:rsid w:val="00104C18"/>
    <w:rsid w:val="0010505D"/>
    <w:rsid w:val="00105260"/>
    <w:rsid w:val="001054CF"/>
    <w:rsid w:val="00105A96"/>
    <w:rsid w:val="00105FEA"/>
    <w:rsid w:val="0010676C"/>
    <w:rsid w:val="00106D8B"/>
    <w:rsid w:val="00106F6B"/>
    <w:rsid w:val="00106FD6"/>
    <w:rsid w:val="001072E1"/>
    <w:rsid w:val="00107B53"/>
    <w:rsid w:val="00107BD2"/>
    <w:rsid w:val="00107C36"/>
    <w:rsid w:val="00107CD5"/>
    <w:rsid w:val="00107E17"/>
    <w:rsid w:val="00107F33"/>
    <w:rsid w:val="0011084B"/>
    <w:rsid w:val="00111403"/>
    <w:rsid w:val="001114F7"/>
    <w:rsid w:val="00111593"/>
    <w:rsid w:val="00111705"/>
    <w:rsid w:val="00111960"/>
    <w:rsid w:val="00111ACB"/>
    <w:rsid w:val="00111DEB"/>
    <w:rsid w:val="0011276B"/>
    <w:rsid w:val="0011293B"/>
    <w:rsid w:val="00112F69"/>
    <w:rsid w:val="001130DF"/>
    <w:rsid w:val="00113106"/>
    <w:rsid w:val="00113766"/>
    <w:rsid w:val="00113E40"/>
    <w:rsid w:val="001140A4"/>
    <w:rsid w:val="001140F9"/>
    <w:rsid w:val="00114288"/>
    <w:rsid w:val="001145AE"/>
    <w:rsid w:val="001147EE"/>
    <w:rsid w:val="001147F8"/>
    <w:rsid w:val="00115582"/>
    <w:rsid w:val="00115C49"/>
    <w:rsid w:val="00116483"/>
    <w:rsid w:val="001165EE"/>
    <w:rsid w:val="001174CA"/>
    <w:rsid w:val="00117957"/>
    <w:rsid w:val="00117DD4"/>
    <w:rsid w:val="00117E11"/>
    <w:rsid w:val="001200FC"/>
    <w:rsid w:val="001201F5"/>
    <w:rsid w:val="00120386"/>
    <w:rsid w:val="001209DE"/>
    <w:rsid w:val="00120B8A"/>
    <w:rsid w:val="001212F0"/>
    <w:rsid w:val="00121A5D"/>
    <w:rsid w:val="00121C4D"/>
    <w:rsid w:val="00121F05"/>
    <w:rsid w:val="00122293"/>
    <w:rsid w:val="001224FE"/>
    <w:rsid w:val="001226A9"/>
    <w:rsid w:val="00122E71"/>
    <w:rsid w:val="001233FC"/>
    <w:rsid w:val="00123405"/>
    <w:rsid w:val="0012346B"/>
    <w:rsid w:val="0012367B"/>
    <w:rsid w:val="001239EB"/>
    <w:rsid w:val="00123C4B"/>
    <w:rsid w:val="00123E61"/>
    <w:rsid w:val="00124258"/>
    <w:rsid w:val="00124687"/>
    <w:rsid w:val="00124B23"/>
    <w:rsid w:val="00124E7E"/>
    <w:rsid w:val="00125474"/>
    <w:rsid w:val="00126199"/>
    <w:rsid w:val="001263B2"/>
    <w:rsid w:val="001265E6"/>
    <w:rsid w:val="00126837"/>
    <w:rsid w:val="00127958"/>
    <w:rsid w:val="00127D89"/>
    <w:rsid w:val="00127DEE"/>
    <w:rsid w:val="00127E73"/>
    <w:rsid w:val="00130298"/>
    <w:rsid w:val="00130666"/>
    <w:rsid w:val="00130AEA"/>
    <w:rsid w:val="00130B85"/>
    <w:rsid w:val="00130DFC"/>
    <w:rsid w:val="00131369"/>
    <w:rsid w:val="00131A49"/>
    <w:rsid w:val="00131CCB"/>
    <w:rsid w:val="00131EB7"/>
    <w:rsid w:val="00132010"/>
    <w:rsid w:val="00132239"/>
    <w:rsid w:val="00132395"/>
    <w:rsid w:val="00132A58"/>
    <w:rsid w:val="00132EA8"/>
    <w:rsid w:val="0013389C"/>
    <w:rsid w:val="00134774"/>
    <w:rsid w:val="00134D7C"/>
    <w:rsid w:val="00134FB0"/>
    <w:rsid w:val="001350E3"/>
    <w:rsid w:val="001353AB"/>
    <w:rsid w:val="0013582E"/>
    <w:rsid w:val="00135954"/>
    <w:rsid w:val="00135A2B"/>
    <w:rsid w:val="00135A3B"/>
    <w:rsid w:val="00135DE7"/>
    <w:rsid w:val="00135EEC"/>
    <w:rsid w:val="00136166"/>
    <w:rsid w:val="00136E47"/>
    <w:rsid w:val="00136FC5"/>
    <w:rsid w:val="001372CE"/>
    <w:rsid w:val="00137399"/>
    <w:rsid w:val="00137719"/>
    <w:rsid w:val="00137896"/>
    <w:rsid w:val="00137B9B"/>
    <w:rsid w:val="00137C08"/>
    <w:rsid w:val="0014010D"/>
    <w:rsid w:val="00140274"/>
    <w:rsid w:val="001407CE"/>
    <w:rsid w:val="001409C4"/>
    <w:rsid w:val="00140B3D"/>
    <w:rsid w:val="00140B6C"/>
    <w:rsid w:val="00140DB9"/>
    <w:rsid w:val="0014116B"/>
    <w:rsid w:val="001414AF"/>
    <w:rsid w:val="00141CF6"/>
    <w:rsid w:val="00142172"/>
    <w:rsid w:val="001422A5"/>
    <w:rsid w:val="001422DD"/>
    <w:rsid w:val="001424D1"/>
    <w:rsid w:val="0014258E"/>
    <w:rsid w:val="0014295F"/>
    <w:rsid w:val="00142E20"/>
    <w:rsid w:val="00142ECF"/>
    <w:rsid w:val="00142F9C"/>
    <w:rsid w:val="00143E54"/>
    <w:rsid w:val="001443B9"/>
    <w:rsid w:val="001443F2"/>
    <w:rsid w:val="001446D2"/>
    <w:rsid w:val="0014472E"/>
    <w:rsid w:val="00144983"/>
    <w:rsid w:val="001449A5"/>
    <w:rsid w:val="00144A53"/>
    <w:rsid w:val="00144B75"/>
    <w:rsid w:val="00144CB0"/>
    <w:rsid w:val="00144D2D"/>
    <w:rsid w:val="0014555F"/>
    <w:rsid w:val="00145730"/>
    <w:rsid w:val="0014581E"/>
    <w:rsid w:val="00145E39"/>
    <w:rsid w:val="00145EDF"/>
    <w:rsid w:val="00146582"/>
    <w:rsid w:val="00146708"/>
    <w:rsid w:val="00146BF4"/>
    <w:rsid w:val="0014703B"/>
    <w:rsid w:val="00147494"/>
    <w:rsid w:val="0014776F"/>
    <w:rsid w:val="001478F9"/>
    <w:rsid w:val="00147B0B"/>
    <w:rsid w:val="0015009B"/>
    <w:rsid w:val="001500DA"/>
    <w:rsid w:val="00150158"/>
    <w:rsid w:val="00150208"/>
    <w:rsid w:val="001504B9"/>
    <w:rsid w:val="0015058C"/>
    <w:rsid w:val="00151160"/>
    <w:rsid w:val="00151249"/>
    <w:rsid w:val="00151263"/>
    <w:rsid w:val="00151A72"/>
    <w:rsid w:val="00151B10"/>
    <w:rsid w:val="00151CE2"/>
    <w:rsid w:val="00151D63"/>
    <w:rsid w:val="00152190"/>
    <w:rsid w:val="0015239E"/>
    <w:rsid w:val="001528F1"/>
    <w:rsid w:val="00152BCF"/>
    <w:rsid w:val="00153176"/>
    <w:rsid w:val="001534C6"/>
    <w:rsid w:val="001535C8"/>
    <w:rsid w:val="0015380D"/>
    <w:rsid w:val="001539D3"/>
    <w:rsid w:val="00153B74"/>
    <w:rsid w:val="00153EDE"/>
    <w:rsid w:val="001543D3"/>
    <w:rsid w:val="001547A6"/>
    <w:rsid w:val="001547DC"/>
    <w:rsid w:val="00154B29"/>
    <w:rsid w:val="0015501B"/>
    <w:rsid w:val="001550A0"/>
    <w:rsid w:val="001551A3"/>
    <w:rsid w:val="0015547B"/>
    <w:rsid w:val="00155523"/>
    <w:rsid w:val="001557C7"/>
    <w:rsid w:val="001557D5"/>
    <w:rsid w:val="001558A9"/>
    <w:rsid w:val="0015591B"/>
    <w:rsid w:val="00155A44"/>
    <w:rsid w:val="00155BC0"/>
    <w:rsid w:val="00155C49"/>
    <w:rsid w:val="00156053"/>
    <w:rsid w:val="001566AC"/>
    <w:rsid w:val="00156802"/>
    <w:rsid w:val="001568F5"/>
    <w:rsid w:val="00156EFB"/>
    <w:rsid w:val="001575A6"/>
    <w:rsid w:val="001578BB"/>
    <w:rsid w:val="0015798D"/>
    <w:rsid w:val="001579BF"/>
    <w:rsid w:val="00157D59"/>
    <w:rsid w:val="00157DA8"/>
    <w:rsid w:val="00157F7A"/>
    <w:rsid w:val="00160088"/>
    <w:rsid w:val="001600A9"/>
    <w:rsid w:val="001602D7"/>
    <w:rsid w:val="00160759"/>
    <w:rsid w:val="00160A2B"/>
    <w:rsid w:val="00160CC7"/>
    <w:rsid w:val="00161016"/>
    <w:rsid w:val="0016112F"/>
    <w:rsid w:val="00161263"/>
    <w:rsid w:val="0016141B"/>
    <w:rsid w:val="001616A1"/>
    <w:rsid w:val="00161819"/>
    <w:rsid w:val="00161F89"/>
    <w:rsid w:val="0016266F"/>
    <w:rsid w:val="001626E5"/>
    <w:rsid w:val="00162A8D"/>
    <w:rsid w:val="00162B20"/>
    <w:rsid w:val="00162EE9"/>
    <w:rsid w:val="00163104"/>
    <w:rsid w:val="001632A9"/>
    <w:rsid w:val="00163696"/>
    <w:rsid w:val="001638C7"/>
    <w:rsid w:val="00163D34"/>
    <w:rsid w:val="00163F89"/>
    <w:rsid w:val="00164143"/>
    <w:rsid w:val="00164378"/>
    <w:rsid w:val="0016482A"/>
    <w:rsid w:val="0016490B"/>
    <w:rsid w:val="00164B00"/>
    <w:rsid w:val="00164F3D"/>
    <w:rsid w:val="001650BB"/>
    <w:rsid w:val="001651F5"/>
    <w:rsid w:val="001652D7"/>
    <w:rsid w:val="0016531B"/>
    <w:rsid w:val="0016572B"/>
    <w:rsid w:val="00165D21"/>
    <w:rsid w:val="00165D28"/>
    <w:rsid w:val="00165D34"/>
    <w:rsid w:val="00165E3C"/>
    <w:rsid w:val="00165E86"/>
    <w:rsid w:val="001662D7"/>
    <w:rsid w:val="00166B37"/>
    <w:rsid w:val="00166D33"/>
    <w:rsid w:val="0016700F"/>
    <w:rsid w:val="00167128"/>
    <w:rsid w:val="0016743B"/>
    <w:rsid w:val="00167538"/>
    <w:rsid w:val="0016756A"/>
    <w:rsid w:val="001677CC"/>
    <w:rsid w:val="00167A0F"/>
    <w:rsid w:val="00167A81"/>
    <w:rsid w:val="001700FC"/>
    <w:rsid w:val="00170DF7"/>
    <w:rsid w:val="00170E8A"/>
    <w:rsid w:val="00171442"/>
    <w:rsid w:val="0017215F"/>
    <w:rsid w:val="00173470"/>
    <w:rsid w:val="00173ACD"/>
    <w:rsid w:val="00173E8A"/>
    <w:rsid w:val="00173FB5"/>
    <w:rsid w:val="00173FB9"/>
    <w:rsid w:val="00174A83"/>
    <w:rsid w:val="00174BFB"/>
    <w:rsid w:val="00174C3C"/>
    <w:rsid w:val="00174C47"/>
    <w:rsid w:val="00174D9A"/>
    <w:rsid w:val="0017503A"/>
    <w:rsid w:val="001752B8"/>
    <w:rsid w:val="001755F5"/>
    <w:rsid w:val="001756F6"/>
    <w:rsid w:val="0017579A"/>
    <w:rsid w:val="00175E7A"/>
    <w:rsid w:val="00176018"/>
    <w:rsid w:val="00176DC6"/>
    <w:rsid w:val="00176F23"/>
    <w:rsid w:val="00177073"/>
    <w:rsid w:val="001774AE"/>
    <w:rsid w:val="001774CF"/>
    <w:rsid w:val="00177503"/>
    <w:rsid w:val="00177AA6"/>
    <w:rsid w:val="00177B68"/>
    <w:rsid w:val="001801CF"/>
    <w:rsid w:val="00180252"/>
    <w:rsid w:val="00180273"/>
    <w:rsid w:val="001804D6"/>
    <w:rsid w:val="00180601"/>
    <w:rsid w:val="00180E4B"/>
    <w:rsid w:val="0018114C"/>
    <w:rsid w:val="001813CC"/>
    <w:rsid w:val="00181521"/>
    <w:rsid w:val="001816C6"/>
    <w:rsid w:val="00181E8E"/>
    <w:rsid w:val="001824B5"/>
    <w:rsid w:val="00182627"/>
    <w:rsid w:val="001827D2"/>
    <w:rsid w:val="0018289D"/>
    <w:rsid w:val="001828B1"/>
    <w:rsid w:val="00182B3B"/>
    <w:rsid w:val="00182F9E"/>
    <w:rsid w:val="00183139"/>
    <w:rsid w:val="001831D8"/>
    <w:rsid w:val="0018330D"/>
    <w:rsid w:val="00183667"/>
    <w:rsid w:val="00183853"/>
    <w:rsid w:val="00183DBC"/>
    <w:rsid w:val="001843AA"/>
    <w:rsid w:val="00184A19"/>
    <w:rsid w:val="0018524B"/>
    <w:rsid w:val="0018527A"/>
    <w:rsid w:val="001857AF"/>
    <w:rsid w:val="00185B69"/>
    <w:rsid w:val="00186146"/>
    <w:rsid w:val="0018626D"/>
    <w:rsid w:val="00186599"/>
    <w:rsid w:val="001866A6"/>
    <w:rsid w:val="00186C67"/>
    <w:rsid w:val="00187175"/>
    <w:rsid w:val="00187636"/>
    <w:rsid w:val="001878E1"/>
    <w:rsid w:val="00187B0F"/>
    <w:rsid w:val="00187B69"/>
    <w:rsid w:val="00187BE9"/>
    <w:rsid w:val="00190F6C"/>
    <w:rsid w:val="00191549"/>
    <w:rsid w:val="001915AF"/>
    <w:rsid w:val="00191916"/>
    <w:rsid w:val="00191A11"/>
    <w:rsid w:val="00191F09"/>
    <w:rsid w:val="00191F98"/>
    <w:rsid w:val="00191F9C"/>
    <w:rsid w:val="00191FEC"/>
    <w:rsid w:val="00192342"/>
    <w:rsid w:val="00192CA7"/>
    <w:rsid w:val="001939C0"/>
    <w:rsid w:val="00193B08"/>
    <w:rsid w:val="00193BE6"/>
    <w:rsid w:val="00193F6D"/>
    <w:rsid w:val="001943DC"/>
    <w:rsid w:val="001946F6"/>
    <w:rsid w:val="00194F40"/>
    <w:rsid w:val="00195413"/>
    <w:rsid w:val="001956A7"/>
    <w:rsid w:val="001957BF"/>
    <w:rsid w:val="00195868"/>
    <w:rsid w:val="00195921"/>
    <w:rsid w:val="0019599D"/>
    <w:rsid w:val="001959BF"/>
    <w:rsid w:val="00195EDE"/>
    <w:rsid w:val="00195FC4"/>
    <w:rsid w:val="00196001"/>
    <w:rsid w:val="00196726"/>
    <w:rsid w:val="00196AA2"/>
    <w:rsid w:val="00196ADF"/>
    <w:rsid w:val="00196C39"/>
    <w:rsid w:val="00196EDF"/>
    <w:rsid w:val="00196FDD"/>
    <w:rsid w:val="001971E3"/>
    <w:rsid w:val="00197285"/>
    <w:rsid w:val="001A05CE"/>
    <w:rsid w:val="001A0614"/>
    <w:rsid w:val="001A0628"/>
    <w:rsid w:val="001A06B7"/>
    <w:rsid w:val="001A0B5A"/>
    <w:rsid w:val="001A0CA4"/>
    <w:rsid w:val="001A0DCF"/>
    <w:rsid w:val="001A1671"/>
    <w:rsid w:val="001A17B9"/>
    <w:rsid w:val="001A17C3"/>
    <w:rsid w:val="001A1B98"/>
    <w:rsid w:val="001A1FB2"/>
    <w:rsid w:val="001A1FE9"/>
    <w:rsid w:val="001A233C"/>
    <w:rsid w:val="001A2959"/>
    <w:rsid w:val="001A2BE4"/>
    <w:rsid w:val="001A2D67"/>
    <w:rsid w:val="001A32E4"/>
    <w:rsid w:val="001A3461"/>
    <w:rsid w:val="001A3742"/>
    <w:rsid w:val="001A37F8"/>
    <w:rsid w:val="001A3FDE"/>
    <w:rsid w:val="001A4131"/>
    <w:rsid w:val="001A419B"/>
    <w:rsid w:val="001A476F"/>
    <w:rsid w:val="001A47B8"/>
    <w:rsid w:val="001A486F"/>
    <w:rsid w:val="001A49B2"/>
    <w:rsid w:val="001A4B41"/>
    <w:rsid w:val="001A4E65"/>
    <w:rsid w:val="001A52FB"/>
    <w:rsid w:val="001A5350"/>
    <w:rsid w:val="001A55F6"/>
    <w:rsid w:val="001A56D5"/>
    <w:rsid w:val="001A5AF0"/>
    <w:rsid w:val="001A5BDF"/>
    <w:rsid w:val="001A5D9D"/>
    <w:rsid w:val="001A60F2"/>
    <w:rsid w:val="001A640A"/>
    <w:rsid w:val="001A643E"/>
    <w:rsid w:val="001A6631"/>
    <w:rsid w:val="001A683F"/>
    <w:rsid w:val="001A6C89"/>
    <w:rsid w:val="001A72BE"/>
    <w:rsid w:val="001A768A"/>
    <w:rsid w:val="001A7B2C"/>
    <w:rsid w:val="001A7CA9"/>
    <w:rsid w:val="001A7F91"/>
    <w:rsid w:val="001A7FAC"/>
    <w:rsid w:val="001B0353"/>
    <w:rsid w:val="001B060E"/>
    <w:rsid w:val="001B07ED"/>
    <w:rsid w:val="001B086C"/>
    <w:rsid w:val="001B0923"/>
    <w:rsid w:val="001B0B3E"/>
    <w:rsid w:val="001B0DBE"/>
    <w:rsid w:val="001B18E6"/>
    <w:rsid w:val="001B1B14"/>
    <w:rsid w:val="001B1CD9"/>
    <w:rsid w:val="001B1D59"/>
    <w:rsid w:val="001B24D1"/>
    <w:rsid w:val="001B263B"/>
    <w:rsid w:val="001B2EA4"/>
    <w:rsid w:val="001B3544"/>
    <w:rsid w:val="001B3554"/>
    <w:rsid w:val="001B36B7"/>
    <w:rsid w:val="001B393C"/>
    <w:rsid w:val="001B3BCC"/>
    <w:rsid w:val="001B4113"/>
    <w:rsid w:val="001B44AA"/>
    <w:rsid w:val="001B4782"/>
    <w:rsid w:val="001B480E"/>
    <w:rsid w:val="001B4A3E"/>
    <w:rsid w:val="001B5090"/>
    <w:rsid w:val="001B5807"/>
    <w:rsid w:val="001B5A34"/>
    <w:rsid w:val="001B5B8B"/>
    <w:rsid w:val="001B6170"/>
    <w:rsid w:val="001B653E"/>
    <w:rsid w:val="001B6AE3"/>
    <w:rsid w:val="001B6BF9"/>
    <w:rsid w:val="001B6C64"/>
    <w:rsid w:val="001B737D"/>
    <w:rsid w:val="001B75A1"/>
    <w:rsid w:val="001B788D"/>
    <w:rsid w:val="001C0119"/>
    <w:rsid w:val="001C04F6"/>
    <w:rsid w:val="001C0D34"/>
    <w:rsid w:val="001C0FBD"/>
    <w:rsid w:val="001C11FE"/>
    <w:rsid w:val="001C1479"/>
    <w:rsid w:val="001C1675"/>
    <w:rsid w:val="001C195E"/>
    <w:rsid w:val="001C1F07"/>
    <w:rsid w:val="001C1F8B"/>
    <w:rsid w:val="001C250F"/>
    <w:rsid w:val="001C2696"/>
    <w:rsid w:val="001C2BE5"/>
    <w:rsid w:val="001C2E45"/>
    <w:rsid w:val="001C3016"/>
    <w:rsid w:val="001C313E"/>
    <w:rsid w:val="001C327B"/>
    <w:rsid w:val="001C34B4"/>
    <w:rsid w:val="001C38D3"/>
    <w:rsid w:val="001C399B"/>
    <w:rsid w:val="001C3F5A"/>
    <w:rsid w:val="001C418F"/>
    <w:rsid w:val="001C443B"/>
    <w:rsid w:val="001C46D5"/>
    <w:rsid w:val="001C4902"/>
    <w:rsid w:val="001C4A88"/>
    <w:rsid w:val="001C4FAF"/>
    <w:rsid w:val="001C51AB"/>
    <w:rsid w:val="001C5377"/>
    <w:rsid w:val="001C5651"/>
    <w:rsid w:val="001C5858"/>
    <w:rsid w:val="001C587E"/>
    <w:rsid w:val="001C5937"/>
    <w:rsid w:val="001C5A4C"/>
    <w:rsid w:val="001C5CCD"/>
    <w:rsid w:val="001C5E1B"/>
    <w:rsid w:val="001C62C4"/>
    <w:rsid w:val="001C6743"/>
    <w:rsid w:val="001C69D1"/>
    <w:rsid w:val="001C6B01"/>
    <w:rsid w:val="001C748C"/>
    <w:rsid w:val="001C7A64"/>
    <w:rsid w:val="001C7B88"/>
    <w:rsid w:val="001C7C8A"/>
    <w:rsid w:val="001D02A4"/>
    <w:rsid w:val="001D0534"/>
    <w:rsid w:val="001D13EE"/>
    <w:rsid w:val="001D198F"/>
    <w:rsid w:val="001D1B37"/>
    <w:rsid w:val="001D1F12"/>
    <w:rsid w:val="001D20FF"/>
    <w:rsid w:val="001D2382"/>
    <w:rsid w:val="001D251B"/>
    <w:rsid w:val="001D29C2"/>
    <w:rsid w:val="001D2A9E"/>
    <w:rsid w:val="001D2AB1"/>
    <w:rsid w:val="001D2B10"/>
    <w:rsid w:val="001D2E7B"/>
    <w:rsid w:val="001D2F49"/>
    <w:rsid w:val="001D3253"/>
    <w:rsid w:val="001D3494"/>
    <w:rsid w:val="001D3627"/>
    <w:rsid w:val="001D3692"/>
    <w:rsid w:val="001D36FB"/>
    <w:rsid w:val="001D489D"/>
    <w:rsid w:val="001D4963"/>
    <w:rsid w:val="001D4F6E"/>
    <w:rsid w:val="001D5343"/>
    <w:rsid w:val="001D53FF"/>
    <w:rsid w:val="001D5528"/>
    <w:rsid w:val="001D5EAF"/>
    <w:rsid w:val="001D61E9"/>
    <w:rsid w:val="001D6254"/>
    <w:rsid w:val="001D6DCF"/>
    <w:rsid w:val="001D6FA6"/>
    <w:rsid w:val="001D7337"/>
    <w:rsid w:val="001D74A0"/>
    <w:rsid w:val="001D77DE"/>
    <w:rsid w:val="001D787C"/>
    <w:rsid w:val="001D7D9F"/>
    <w:rsid w:val="001E026A"/>
    <w:rsid w:val="001E0376"/>
    <w:rsid w:val="001E0598"/>
    <w:rsid w:val="001E0B5C"/>
    <w:rsid w:val="001E0EC8"/>
    <w:rsid w:val="001E0F1A"/>
    <w:rsid w:val="001E1876"/>
    <w:rsid w:val="001E187A"/>
    <w:rsid w:val="001E1DF4"/>
    <w:rsid w:val="001E1FD3"/>
    <w:rsid w:val="001E20B4"/>
    <w:rsid w:val="001E23B2"/>
    <w:rsid w:val="001E258F"/>
    <w:rsid w:val="001E28BD"/>
    <w:rsid w:val="001E2C32"/>
    <w:rsid w:val="001E32D9"/>
    <w:rsid w:val="001E3361"/>
    <w:rsid w:val="001E34EB"/>
    <w:rsid w:val="001E3740"/>
    <w:rsid w:val="001E396E"/>
    <w:rsid w:val="001E39B8"/>
    <w:rsid w:val="001E3EDD"/>
    <w:rsid w:val="001E451E"/>
    <w:rsid w:val="001E465D"/>
    <w:rsid w:val="001E5336"/>
    <w:rsid w:val="001E5676"/>
    <w:rsid w:val="001E5A45"/>
    <w:rsid w:val="001E5C71"/>
    <w:rsid w:val="001E5D60"/>
    <w:rsid w:val="001E5FBB"/>
    <w:rsid w:val="001E6025"/>
    <w:rsid w:val="001E60E4"/>
    <w:rsid w:val="001E6131"/>
    <w:rsid w:val="001E6402"/>
    <w:rsid w:val="001E6500"/>
    <w:rsid w:val="001E763F"/>
    <w:rsid w:val="001E7A43"/>
    <w:rsid w:val="001E7B72"/>
    <w:rsid w:val="001E7DC7"/>
    <w:rsid w:val="001F0187"/>
    <w:rsid w:val="001F0852"/>
    <w:rsid w:val="001F1232"/>
    <w:rsid w:val="001F149D"/>
    <w:rsid w:val="001F14D3"/>
    <w:rsid w:val="001F1C94"/>
    <w:rsid w:val="001F2373"/>
    <w:rsid w:val="001F2560"/>
    <w:rsid w:val="001F2B4C"/>
    <w:rsid w:val="001F2BBB"/>
    <w:rsid w:val="001F38C4"/>
    <w:rsid w:val="001F4280"/>
    <w:rsid w:val="001F4478"/>
    <w:rsid w:val="001F4553"/>
    <w:rsid w:val="001F462B"/>
    <w:rsid w:val="001F4C6E"/>
    <w:rsid w:val="001F50E4"/>
    <w:rsid w:val="001F51D5"/>
    <w:rsid w:val="001F51EA"/>
    <w:rsid w:val="001F5275"/>
    <w:rsid w:val="001F52FD"/>
    <w:rsid w:val="001F57F0"/>
    <w:rsid w:val="001F58B1"/>
    <w:rsid w:val="001F60CD"/>
    <w:rsid w:val="001F6217"/>
    <w:rsid w:val="001F62CC"/>
    <w:rsid w:val="001F643C"/>
    <w:rsid w:val="001F6F20"/>
    <w:rsid w:val="001F6F83"/>
    <w:rsid w:val="001F72CC"/>
    <w:rsid w:val="001F749D"/>
    <w:rsid w:val="001F74E0"/>
    <w:rsid w:val="001F74EB"/>
    <w:rsid w:val="001F7523"/>
    <w:rsid w:val="001F79AF"/>
    <w:rsid w:val="00200435"/>
    <w:rsid w:val="00200677"/>
    <w:rsid w:val="00200E24"/>
    <w:rsid w:val="00200EFC"/>
    <w:rsid w:val="002012F7"/>
    <w:rsid w:val="002017B8"/>
    <w:rsid w:val="00201D35"/>
    <w:rsid w:val="00201D6A"/>
    <w:rsid w:val="002022D2"/>
    <w:rsid w:val="002023B2"/>
    <w:rsid w:val="002023F0"/>
    <w:rsid w:val="00202608"/>
    <w:rsid w:val="002027F6"/>
    <w:rsid w:val="00202D8B"/>
    <w:rsid w:val="00203659"/>
    <w:rsid w:val="00203AA6"/>
    <w:rsid w:val="00203D7F"/>
    <w:rsid w:val="00203E27"/>
    <w:rsid w:val="0020415F"/>
    <w:rsid w:val="002041A4"/>
    <w:rsid w:val="002042AB"/>
    <w:rsid w:val="00204504"/>
    <w:rsid w:val="0020468F"/>
    <w:rsid w:val="00204721"/>
    <w:rsid w:val="00204948"/>
    <w:rsid w:val="00204CBD"/>
    <w:rsid w:val="00204F2A"/>
    <w:rsid w:val="002051CE"/>
    <w:rsid w:val="002057B8"/>
    <w:rsid w:val="00205AF8"/>
    <w:rsid w:val="002066DA"/>
    <w:rsid w:val="00206837"/>
    <w:rsid w:val="002068EB"/>
    <w:rsid w:val="00206BE9"/>
    <w:rsid w:val="0020720F"/>
    <w:rsid w:val="00207507"/>
    <w:rsid w:val="00207C1E"/>
    <w:rsid w:val="00207E2C"/>
    <w:rsid w:val="0021033B"/>
    <w:rsid w:val="00210480"/>
    <w:rsid w:val="0021082D"/>
    <w:rsid w:val="00210D2F"/>
    <w:rsid w:val="00211033"/>
    <w:rsid w:val="0021127A"/>
    <w:rsid w:val="00211511"/>
    <w:rsid w:val="00211D88"/>
    <w:rsid w:val="002120C5"/>
    <w:rsid w:val="00212654"/>
    <w:rsid w:val="00212CFB"/>
    <w:rsid w:val="002132ED"/>
    <w:rsid w:val="00214752"/>
    <w:rsid w:val="002148E9"/>
    <w:rsid w:val="002150C9"/>
    <w:rsid w:val="00215270"/>
    <w:rsid w:val="002157A6"/>
    <w:rsid w:val="002158E2"/>
    <w:rsid w:val="002159CC"/>
    <w:rsid w:val="00215F0A"/>
    <w:rsid w:val="00215F0D"/>
    <w:rsid w:val="00215F34"/>
    <w:rsid w:val="0021614E"/>
    <w:rsid w:val="002163BF"/>
    <w:rsid w:val="00216FCC"/>
    <w:rsid w:val="0021729C"/>
    <w:rsid w:val="00217560"/>
    <w:rsid w:val="00217876"/>
    <w:rsid w:val="00217B34"/>
    <w:rsid w:val="00217BDF"/>
    <w:rsid w:val="00217C6E"/>
    <w:rsid w:val="00217D09"/>
    <w:rsid w:val="00217D16"/>
    <w:rsid w:val="00217D92"/>
    <w:rsid w:val="00217FDF"/>
    <w:rsid w:val="002204C4"/>
    <w:rsid w:val="0022061C"/>
    <w:rsid w:val="00220BF5"/>
    <w:rsid w:val="00220D77"/>
    <w:rsid w:val="002210F9"/>
    <w:rsid w:val="0022119C"/>
    <w:rsid w:val="00221279"/>
    <w:rsid w:val="00221930"/>
    <w:rsid w:val="00221BEB"/>
    <w:rsid w:val="002228C2"/>
    <w:rsid w:val="00222E6C"/>
    <w:rsid w:val="002231D5"/>
    <w:rsid w:val="0022331C"/>
    <w:rsid w:val="00223648"/>
    <w:rsid w:val="00223660"/>
    <w:rsid w:val="00223CE7"/>
    <w:rsid w:val="00223DA0"/>
    <w:rsid w:val="00223E8E"/>
    <w:rsid w:val="0022412A"/>
    <w:rsid w:val="002247F4"/>
    <w:rsid w:val="00224AD9"/>
    <w:rsid w:val="00225036"/>
    <w:rsid w:val="00225067"/>
    <w:rsid w:val="00225087"/>
    <w:rsid w:val="00225162"/>
    <w:rsid w:val="0022576E"/>
    <w:rsid w:val="002257EB"/>
    <w:rsid w:val="00225824"/>
    <w:rsid w:val="00225A1D"/>
    <w:rsid w:val="00225FCA"/>
    <w:rsid w:val="002267E5"/>
    <w:rsid w:val="00226863"/>
    <w:rsid w:val="0022686D"/>
    <w:rsid w:val="00226A39"/>
    <w:rsid w:val="00226D7F"/>
    <w:rsid w:val="002272F8"/>
    <w:rsid w:val="002276CB"/>
    <w:rsid w:val="00227762"/>
    <w:rsid w:val="0022784C"/>
    <w:rsid w:val="00227C0C"/>
    <w:rsid w:val="00227F0B"/>
    <w:rsid w:val="00230315"/>
    <w:rsid w:val="00230651"/>
    <w:rsid w:val="0023076A"/>
    <w:rsid w:val="00230891"/>
    <w:rsid w:val="00230C3A"/>
    <w:rsid w:val="00230C4B"/>
    <w:rsid w:val="00230F02"/>
    <w:rsid w:val="002312E9"/>
    <w:rsid w:val="0023137A"/>
    <w:rsid w:val="00231664"/>
    <w:rsid w:val="002317CB"/>
    <w:rsid w:val="00231892"/>
    <w:rsid w:val="00231E15"/>
    <w:rsid w:val="00231ED1"/>
    <w:rsid w:val="00231F33"/>
    <w:rsid w:val="00232639"/>
    <w:rsid w:val="00232845"/>
    <w:rsid w:val="002333BE"/>
    <w:rsid w:val="00233587"/>
    <w:rsid w:val="0023369B"/>
    <w:rsid w:val="002343A3"/>
    <w:rsid w:val="002346A9"/>
    <w:rsid w:val="00234769"/>
    <w:rsid w:val="002347AC"/>
    <w:rsid w:val="00234949"/>
    <w:rsid w:val="00234C45"/>
    <w:rsid w:val="00235041"/>
    <w:rsid w:val="0023549A"/>
    <w:rsid w:val="00235B60"/>
    <w:rsid w:val="00235CA3"/>
    <w:rsid w:val="00235F9B"/>
    <w:rsid w:val="0023621C"/>
    <w:rsid w:val="00236556"/>
    <w:rsid w:val="00236681"/>
    <w:rsid w:val="00236706"/>
    <w:rsid w:val="002368C3"/>
    <w:rsid w:val="00236BD7"/>
    <w:rsid w:val="0023781E"/>
    <w:rsid w:val="002378AE"/>
    <w:rsid w:val="00237930"/>
    <w:rsid w:val="00237E1C"/>
    <w:rsid w:val="002400B1"/>
    <w:rsid w:val="002409A2"/>
    <w:rsid w:val="00240AAE"/>
    <w:rsid w:val="00240C4E"/>
    <w:rsid w:val="00240E6F"/>
    <w:rsid w:val="00240FC9"/>
    <w:rsid w:val="002414FC"/>
    <w:rsid w:val="00241523"/>
    <w:rsid w:val="00241AC8"/>
    <w:rsid w:val="00241B3D"/>
    <w:rsid w:val="00241C7B"/>
    <w:rsid w:val="00241E99"/>
    <w:rsid w:val="00241F16"/>
    <w:rsid w:val="00242298"/>
    <w:rsid w:val="00242624"/>
    <w:rsid w:val="00242CF4"/>
    <w:rsid w:val="00242F60"/>
    <w:rsid w:val="00243A2F"/>
    <w:rsid w:val="00243B3C"/>
    <w:rsid w:val="00243CBC"/>
    <w:rsid w:val="00243D17"/>
    <w:rsid w:val="002441D2"/>
    <w:rsid w:val="00244319"/>
    <w:rsid w:val="002443DD"/>
    <w:rsid w:val="002445D5"/>
    <w:rsid w:val="00244AA5"/>
    <w:rsid w:val="00244F65"/>
    <w:rsid w:val="0024523C"/>
    <w:rsid w:val="002452FC"/>
    <w:rsid w:val="0024557E"/>
    <w:rsid w:val="002455E7"/>
    <w:rsid w:val="00245F33"/>
    <w:rsid w:val="002462AC"/>
    <w:rsid w:val="002469E8"/>
    <w:rsid w:val="00246A98"/>
    <w:rsid w:val="00246EC4"/>
    <w:rsid w:val="00246F10"/>
    <w:rsid w:val="002471FD"/>
    <w:rsid w:val="00247207"/>
    <w:rsid w:val="00247350"/>
    <w:rsid w:val="002476E2"/>
    <w:rsid w:val="002476F7"/>
    <w:rsid w:val="00247771"/>
    <w:rsid w:val="00247955"/>
    <w:rsid w:val="00247964"/>
    <w:rsid w:val="00247B8E"/>
    <w:rsid w:val="002503B1"/>
    <w:rsid w:val="002506B2"/>
    <w:rsid w:val="00250711"/>
    <w:rsid w:val="00251128"/>
    <w:rsid w:val="0025119C"/>
    <w:rsid w:val="0025144D"/>
    <w:rsid w:val="00251683"/>
    <w:rsid w:val="002517C2"/>
    <w:rsid w:val="002519BF"/>
    <w:rsid w:val="00251AEC"/>
    <w:rsid w:val="002520FA"/>
    <w:rsid w:val="00252284"/>
    <w:rsid w:val="002522E1"/>
    <w:rsid w:val="00252443"/>
    <w:rsid w:val="002524EA"/>
    <w:rsid w:val="00252516"/>
    <w:rsid w:val="00252A35"/>
    <w:rsid w:val="00252B89"/>
    <w:rsid w:val="002530ED"/>
    <w:rsid w:val="002536BE"/>
    <w:rsid w:val="00253B57"/>
    <w:rsid w:val="00253DC9"/>
    <w:rsid w:val="00253F3D"/>
    <w:rsid w:val="002540E1"/>
    <w:rsid w:val="002542E9"/>
    <w:rsid w:val="002545D6"/>
    <w:rsid w:val="00254955"/>
    <w:rsid w:val="00254E80"/>
    <w:rsid w:val="00254ECD"/>
    <w:rsid w:val="0025580C"/>
    <w:rsid w:val="00255835"/>
    <w:rsid w:val="00255A65"/>
    <w:rsid w:val="00255E90"/>
    <w:rsid w:val="00256804"/>
    <w:rsid w:val="0025697E"/>
    <w:rsid w:val="002569EC"/>
    <w:rsid w:val="00256BDE"/>
    <w:rsid w:val="002570C6"/>
    <w:rsid w:val="002571D4"/>
    <w:rsid w:val="00257201"/>
    <w:rsid w:val="002572B0"/>
    <w:rsid w:val="002574DC"/>
    <w:rsid w:val="002574DD"/>
    <w:rsid w:val="00257E5A"/>
    <w:rsid w:val="00257F3D"/>
    <w:rsid w:val="0026000B"/>
    <w:rsid w:val="00260158"/>
    <w:rsid w:val="00260638"/>
    <w:rsid w:val="00260675"/>
    <w:rsid w:val="00260752"/>
    <w:rsid w:val="0026091A"/>
    <w:rsid w:val="0026096D"/>
    <w:rsid w:val="00260B2D"/>
    <w:rsid w:val="00260DEE"/>
    <w:rsid w:val="002610CF"/>
    <w:rsid w:val="002616A8"/>
    <w:rsid w:val="00261F03"/>
    <w:rsid w:val="002623FA"/>
    <w:rsid w:val="00262CD6"/>
    <w:rsid w:val="00262D42"/>
    <w:rsid w:val="00262DF4"/>
    <w:rsid w:val="00262ED9"/>
    <w:rsid w:val="00263001"/>
    <w:rsid w:val="00263065"/>
    <w:rsid w:val="002632EA"/>
    <w:rsid w:val="00263338"/>
    <w:rsid w:val="002634E2"/>
    <w:rsid w:val="00263565"/>
    <w:rsid w:val="002637B4"/>
    <w:rsid w:val="00263B47"/>
    <w:rsid w:val="00263C34"/>
    <w:rsid w:val="00264AC3"/>
    <w:rsid w:val="00264DF1"/>
    <w:rsid w:val="00264F20"/>
    <w:rsid w:val="00265763"/>
    <w:rsid w:val="00265EA3"/>
    <w:rsid w:val="00265F2B"/>
    <w:rsid w:val="002662D5"/>
    <w:rsid w:val="00266571"/>
    <w:rsid w:val="00266E21"/>
    <w:rsid w:val="002671EE"/>
    <w:rsid w:val="002674B4"/>
    <w:rsid w:val="002675E2"/>
    <w:rsid w:val="002679BE"/>
    <w:rsid w:val="00267D73"/>
    <w:rsid w:val="00267E1B"/>
    <w:rsid w:val="00267ED3"/>
    <w:rsid w:val="00267F15"/>
    <w:rsid w:val="00270349"/>
    <w:rsid w:val="002703A8"/>
    <w:rsid w:val="00270F2E"/>
    <w:rsid w:val="00270F7A"/>
    <w:rsid w:val="00271615"/>
    <w:rsid w:val="00271711"/>
    <w:rsid w:val="00271763"/>
    <w:rsid w:val="00271A76"/>
    <w:rsid w:val="00271C0C"/>
    <w:rsid w:val="00271D2F"/>
    <w:rsid w:val="00271FC3"/>
    <w:rsid w:val="00272287"/>
    <w:rsid w:val="002727B3"/>
    <w:rsid w:val="00272B41"/>
    <w:rsid w:val="00272D69"/>
    <w:rsid w:val="00272FCF"/>
    <w:rsid w:val="00273251"/>
    <w:rsid w:val="002734CA"/>
    <w:rsid w:val="00273550"/>
    <w:rsid w:val="0027356F"/>
    <w:rsid w:val="002737E6"/>
    <w:rsid w:val="00273DD5"/>
    <w:rsid w:val="00273EE4"/>
    <w:rsid w:val="00274691"/>
    <w:rsid w:val="00274BF8"/>
    <w:rsid w:val="00275222"/>
    <w:rsid w:val="0027576B"/>
    <w:rsid w:val="00275776"/>
    <w:rsid w:val="00275A7D"/>
    <w:rsid w:val="0027615D"/>
    <w:rsid w:val="00276749"/>
    <w:rsid w:val="00276B39"/>
    <w:rsid w:val="00277432"/>
    <w:rsid w:val="00277798"/>
    <w:rsid w:val="002778B2"/>
    <w:rsid w:val="00277930"/>
    <w:rsid w:val="002779BA"/>
    <w:rsid w:val="00277E04"/>
    <w:rsid w:val="00280644"/>
    <w:rsid w:val="00280717"/>
    <w:rsid w:val="00280A4E"/>
    <w:rsid w:val="00280AC7"/>
    <w:rsid w:val="00281221"/>
    <w:rsid w:val="00281584"/>
    <w:rsid w:val="00281918"/>
    <w:rsid w:val="0028194B"/>
    <w:rsid w:val="00281E0F"/>
    <w:rsid w:val="00282364"/>
    <w:rsid w:val="0028245A"/>
    <w:rsid w:val="002825AB"/>
    <w:rsid w:val="00282899"/>
    <w:rsid w:val="00282A46"/>
    <w:rsid w:val="00283366"/>
    <w:rsid w:val="002837B3"/>
    <w:rsid w:val="00283805"/>
    <w:rsid w:val="00283ADA"/>
    <w:rsid w:val="00283B19"/>
    <w:rsid w:val="00283E50"/>
    <w:rsid w:val="00283FBD"/>
    <w:rsid w:val="0028480A"/>
    <w:rsid w:val="00284933"/>
    <w:rsid w:val="00284C71"/>
    <w:rsid w:val="00284DA4"/>
    <w:rsid w:val="00284E36"/>
    <w:rsid w:val="0028506A"/>
    <w:rsid w:val="0028506E"/>
    <w:rsid w:val="002850B0"/>
    <w:rsid w:val="002853A6"/>
    <w:rsid w:val="00285710"/>
    <w:rsid w:val="0028571A"/>
    <w:rsid w:val="00285811"/>
    <w:rsid w:val="00285916"/>
    <w:rsid w:val="00285C84"/>
    <w:rsid w:val="00285D7D"/>
    <w:rsid w:val="00286102"/>
    <w:rsid w:val="00286397"/>
    <w:rsid w:val="002863D7"/>
    <w:rsid w:val="00286441"/>
    <w:rsid w:val="00286DE3"/>
    <w:rsid w:val="00287076"/>
    <w:rsid w:val="002873B4"/>
    <w:rsid w:val="00287737"/>
    <w:rsid w:val="00287986"/>
    <w:rsid w:val="00290047"/>
    <w:rsid w:val="0029045B"/>
    <w:rsid w:val="002908C3"/>
    <w:rsid w:val="002909D5"/>
    <w:rsid w:val="00290A80"/>
    <w:rsid w:val="0029211C"/>
    <w:rsid w:val="00292276"/>
    <w:rsid w:val="00292432"/>
    <w:rsid w:val="00292683"/>
    <w:rsid w:val="00292AB5"/>
    <w:rsid w:val="00292BBC"/>
    <w:rsid w:val="00292C48"/>
    <w:rsid w:val="002931F8"/>
    <w:rsid w:val="002936DB"/>
    <w:rsid w:val="002939F7"/>
    <w:rsid w:val="00293BF4"/>
    <w:rsid w:val="00293C75"/>
    <w:rsid w:val="00293D06"/>
    <w:rsid w:val="002941C2"/>
    <w:rsid w:val="00294403"/>
    <w:rsid w:val="00294735"/>
    <w:rsid w:val="00294D51"/>
    <w:rsid w:val="0029517D"/>
    <w:rsid w:val="002953B2"/>
    <w:rsid w:val="002953B8"/>
    <w:rsid w:val="002953E6"/>
    <w:rsid w:val="00295D8E"/>
    <w:rsid w:val="00295DD9"/>
    <w:rsid w:val="00295FE7"/>
    <w:rsid w:val="0029636D"/>
    <w:rsid w:val="002964F1"/>
    <w:rsid w:val="00296C82"/>
    <w:rsid w:val="00297251"/>
    <w:rsid w:val="00297398"/>
    <w:rsid w:val="002979C0"/>
    <w:rsid w:val="002A00E1"/>
    <w:rsid w:val="002A0241"/>
    <w:rsid w:val="002A027F"/>
    <w:rsid w:val="002A1C53"/>
    <w:rsid w:val="002A1F5D"/>
    <w:rsid w:val="002A1FE9"/>
    <w:rsid w:val="002A24DE"/>
    <w:rsid w:val="002A2D9D"/>
    <w:rsid w:val="002A34CB"/>
    <w:rsid w:val="002A36EE"/>
    <w:rsid w:val="002A397B"/>
    <w:rsid w:val="002A3ADA"/>
    <w:rsid w:val="002A43C2"/>
    <w:rsid w:val="002A44B3"/>
    <w:rsid w:val="002A465A"/>
    <w:rsid w:val="002A4B38"/>
    <w:rsid w:val="002A51FD"/>
    <w:rsid w:val="002A540E"/>
    <w:rsid w:val="002A57BE"/>
    <w:rsid w:val="002A59EB"/>
    <w:rsid w:val="002A5FD1"/>
    <w:rsid w:val="002A6121"/>
    <w:rsid w:val="002A683F"/>
    <w:rsid w:val="002A6EE8"/>
    <w:rsid w:val="002A705D"/>
    <w:rsid w:val="002A733B"/>
    <w:rsid w:val="002A783F"/>
    <w:rsid w:val="002A7A33"/>
    <w:rsid w:val="002A7B96"/>
    <w:rsid w:val="002A7E14"/>
    <w:rsid w:val="002B00BE"/>
    <w:rsid w:val="002B0181"/>
    <w:rsid w:val="002B0B34"/>
    <w:rsid w:val="002B0C68"/>
    <w:rsid w:val="002B11B2"/>
    <w:rsid w:val="002B13A2"/>
    <w:rsid w:val="002B1718"/>
    <w:rsid w:val="002B1B65"/>
    <w:rsid w:val="002B20F7"/>
    <w:rsid w:val="002B217A"/>
    <w:rsid w:val="002B22C6"/>
    <w:rsid w:val="002B2327"/>
    <w:rsid w:val="002B272E"/>
    <w:rsid w:val="002B2B6B"/>
    <w:rsid w:val="002B2C20"/>
    <w:rsid w:val="002B2DA3"/>
    <w:rsid w:val="002B2EE6"/>
    <w:rsid w:val="002B3118"/>
    <w:rsid w:val="002B31C7"/>
    <w:rsid w:val="002B3337"/>
    <w:rsid w:val="002B3344"/>
    <w:rsid w:val="002B336D"/>
    <w:rsid w:val="002B3636"/>
    <w:rsid w:val="002B3757"/>
    <w:rsid w:val="002B3A7E"/>
    <w:rsid w:val="002B3B19"/>
    <w:rsid w:val="002B3B8A"/>
    <w:rsid w:val="002B3FD5"/>
    <w:rsid w:val="002B4144"/>
    <w:rsid w:val="002B4909"/>
    <w:rsid w:val="002B491E"/>
    <w:rsid w:val="002B4C27"/>
    <w:rsid w:val="002B4C53"/>
    <w:rsid w:val="002B4DEB"/>
    <w:rsid w:val="002B4E7C"/>
    <w:rsid w:val="002B4FCF"/>
    <w:rsid w:val="002B54FA"/>
    <w:rsid w:val="002B5BDC"/>
    <w:rsid w:val="002B5F75"/>
    <w:rsid w:val="002B6132"/>
    <w:rsid w:val="002B6264"/>
    <w:rsid w:val="002B655D"/>
    <w:rsid w:val="002B66A5"/>
    <w:rsid w:val="002B6BE1"/>
    <w:rsid w:val="002B6F3C"/>
    <w:rsid w:val="002B6F42"/>
    <w:rsid w:val="002B705E"/>
    <w:rsid w:val="002B7196"/>
    <w:rsid w:val="002B73ED"/>
    <w:rsid w:val="002B7511"/>
    <w:rsid w:val="002B79E5"/>
    <w:rsid w:val="002C02CB"/>
    <w:rsid w:val="002C02DB"/>
    <w:rsid w:val="002C06F2"/>
    <w:rsid w:val="002C0713"/>
    <w:rsid w:val="002C09D1"/>
    <w:rsid w:val="002C144E"/>
    <w:rsid w:val="002C1866"/>
    <w:rsid w:val="002C1D40"/>
    <w:rsid w:val="002C1E6B"/>
    <w:rsid w:val="002C22E0"/>
    <w:rsid w:val="002C234B"/>
    <w:rsid w:val="002C2960"/>
    <w:rsid w:val="002C2E05"/>
    <w:rsid w:val="002C3564"/>
    <w:rsid w:val="002C3625"/>
    <w:rsid w:val="002C38E1"/>
    <w:rsid w:val="002C3B08"/>
    <w:rsid w:val="002C3D35"/>
    <w:rsid w:val="002C3E50"/>
    <w:rsid w:val="002C4563"/>
    <w:rsid w:val="002C4672"/>
    <w:rsid w:val="002C4C27"/>
    <w:rsid w:val="002C4C8A"/>
    <w:rsid w:val="002C51D3"/>
    <w:rsid w:val="002C522A"/>
    <w:rsid w:val="002C6007"/>
    <w:rsid w:val="002C645D"/>
    <w:rsid w:val="002C6983"/>
    <w:rsid w:val="002C70C8"/>
    <w:rsid w:val="002C71DE"/>
    <w:rsid w:val="002C7659"/>
    <w:rsid w:val="002C79D2"/>
    <w:rsid w:val="002D016A"/>
    <w:rsid w:val="002D01EB"/>
    <w:rsid w:val="002D09D1"/>
    <w:rsid w:val="002D0A92"/>
    <w:rsid w:val="002D100A"/>
    <w:rsid w:val="002D1122"/>
    <w:rsid w:val="002D15A4"/>
    <w:rsid w:val="002D15C0"/>
    <w:rsid w:val="002D1FC0"/>
    <w:rsid w:val="002D2A6A"/>
    <w:rsid w:val="002D2E36"/>
    <w:rsid w:val="002D316C"/>
    <w:rsid w:val="002D3344"/>
    <w:rsid w:val="002D33BB"/>
    <w:rsid w:val="002D3B36"/>
    <w:rsid w:val="002D3B8D"/>
    <w:rsid w:val="002D3C3F"/>
    <w:rsid w:val="002D472C"/>
    <w:rsid w:val="002D4809"/>
    <w:rsid w:val="002D51EF"/>
    <w:rsid w:val="002D548F"/>
    <w:rsid w:val="002D5520"/>
    <w:rsid w:val="002D568C"/>
    <w:rsid w:val="002D58F1"/>
    <w:rsid w:val="002D5925"/>
    <w:rsid w:val="002D5ECB"/>
    <w:rsid w:val="002D60CD"/>
    <w:rsid w:val="002D619E"/>
    <w:rsid w:val="002D6281"/>
    <w:rsid w:val="002D6404"/>
    <w:rsid w:val="002D6473"/>
    <w:rsid w:val="002D6585"/>
    <w:rsid w:val="002D6A0D"/>
    <w:rsid w:val="002D6BFD"/>
    <w:rsid w:val="002D6CAD"/>
    <w:rsid w:val="002D6D0D"/>
    <w:rsid w:val="002D6F64"/>
    <w:rsid w:val="002D7189"/>
    <w:rsid w:val="002D76F1"/>
    <w:rsid w:val="002DD93F"/>
    <w:rsid w:val="002E001E"/>
    <w:rsid w:val="002E0386"/>
    <w:rsid w:val="002E0A1F"/>
    <w:rsid w:val="002E0B67"/>
    <w:rsid w:val="002E0F9D"/>
    <w:rsid w:val="002E11BC"/>
    <w:rsid w:val="002E1261"/>
    <w:rsid w:val="002E1701"/>
    <w:rsid w:val="002E1BE7"/>
    <w:rsid w:val="002E2151"/>
    <w:rsid w:val="002E223E"/>
    <w:rsid w:val="002E22CD"/>
    <w:rsid w:val="002E2BCE"/>
    <w:rsid w:val="002E2CC2"/>
    <w:rsid w:val="002E2E1C"/>
    <w:rsid w:val="002E2F20"/>
    <w:rsid w:val="002E30CA"/>
    <w:rsid w:val="002E3212"/>
    <w:rsid w:val="002E3998"/>
    <w:rsid w:val="002E3ADD"/>
    <w:rsid w:val="002E3B4A"/>
    <w:rsid w:val="002E3D17"/>
    <w:rsid w:val="002E3EFE"/>
    <w:rsid w:val="002E3F84"/>
    <w:rsid w:val="002E3F8D"/>
    <w:rsid w:val="002E3FFD"/>
    <w:rsid w:val="002E448F"/>
    <w:rsid w:val="002E5820"/>
    <w:rsid w:val="002E5A1B"/>
    <w:rsid w:val="002E5C18"/>
    <w:rsid w:val="002E63E0"/>
    <w:rsid w:val="002E640B"/>
    <w:rsid w:val="002E64A4"/>
    <w:rsid w:val="002E65D2"/>
    <w:rsid w:val="002E6680"/>
    <w:rsid w:val="002E69DB"/>
    <w:rsid w:val="002E6A26"/>
    <w:rsid w:val="002E6B4D"/>
    <w:rsid w:val="002E6C36"/>
    <w:rsid w:val="002E6CDC"/>
    <w:rsid w:val="002E6F72"/>
    <w:rsid w:val="002E752C"/>
    <w:rsid w:val="002E791B"/>
    <w:rsid w:val="002E799A"/>
    <w:rsid w:val="002E7B0B"/>
    <w:rsid w:val="002F0625"/>
    <w:rsid w:val="002F06A7"/>
    <w:rsid w:val="002F13E0"/>
    <w:rsid w:val="002F1964"/>
    <w:rsid w:val="002F1D2C"/>
    <w:rsid w:val="002F1D46"/>
    <w:rsid w:val="002F227B"/>
    <w:rsid w:val="002F23F7"/>
    <w:rsid w:val="002F278A"/>
    <w:rsid w:val="002F2FC7"/>
    <w:rsid w:val="002F31CF"/>
    <w:rsid w:val="002F3225"/>
    <w:rsid w:val="002F3778"/>
    <w:rsid w:val="002F39A0"/>
    <w:rsid w:val="002F3E4D"/>
    <w:rsid w:val="002F3FDE"/>
    <w:rsid w:val="002F42DC"/>
    <w:rsid w:val="002F44B4"/>
    <w:rsid w:val="002F4B33"/>
    <w:rsid w:val="002F4BA7"/>
    <w:rsid w:val="002F4C8E"/>
    <w:rsid w:val="002F4CE1"/>
    <w:rsid w:val="002F537D"/>
    <w:rsid w:val="002F5768"/>
    <w:rsid w:val="002F577C"/>
    <w:rsid w:val="002F58BE"/>
    <w:rsid w:val="002F5E28"/>
    <w:rsid w:val="002F5E96"/>
    <w:rsid w:val="002F5F55"/>
    <w:rsid w:val="002F60CF"/>
    <w:rsid w:val="002F62F5"/>
    <w:rsid w:val="002F66E0"/>
    <w:rsid w:val="002F6D18"/>
    <w:rsid w:val="002F6D91"/>
    <w:rsid w:val="002F6E8F"/>
    <w:rsid w:val="002F710B"/>
    <w:rsid w:val="002F711F"/>
    <w:rsid w:val="002F7579"/>
    <w:rsid w:val="002F79ED"/>
    <w:rsid w:val="002F7AE1"/>
    <w:rsid w:val="002F7B4C"/>
    <w:rsid w:val="002F7B5B"/>
    <w:rsid w:val="00300122"/>
    <w:rsid w:val="0030053D"/>
    <w:rsid w:val="00300F22"/>
    <w:rsid w:val="00300FDC"/>
    <w:rsid w:val="003014B8"/>
    <w:rsid w:val="00301979"/>
    <w:rsid w:val="0030213A"/>
    <w:rsid w:val="00302208"/>
    <w:rsid w:val="00302767"/>
    <w:rsid w:val="003027A2"/>
    <w:rsid w:val="0030296E"/>
    <w:rsid w:val="00302AC8"/>
    <w:rsid w:val="0030332F"/>
    <w:rsid w:val="003039E5"/>
    <w:rsid w:val="00303AA2"/>
    <w:rsid w:val="00303FAF"/>
    <w:rsid w:val="00304A37"/>
    <w:rsid w:val="00304B44"/>
    <w:rsid w:val="00305BF2"/>
    <w:rsid w:val="00305D9E"/>
    <w:rsid w:val="0030636D"/>
    <w:rsid w:val="00306584"/>
    <w:rsid w:val="003071E7"/>
    <w:rsid w:val="00307489"/>
    <w:rsid w:val="00307E94"/>
    <w:rsid w:val="00307F52"/>
    <w:rsid w:val="003102BA"/>
    <w:rsid w:val="0031040E"/>
    <w:rsid w:val="00310578"/>
    <w:rsid w:val="0031066C"/>
    <w:rsid w:val="00310ED4"/>
    <w:rsid w:val="003113FF"/>
    <w:rsid w:val="003115CE"/>
    <w:rsid w:val="00311B6F"/>
    <w:rsid w:val="003122E2"/>
    <w:rsid w:val="00312301"/>
    <w:rsid w:val="00312638"/>
    <w:rsid w:val="003126E1"/>
    <w:rsid w:val="00312965"/>
    <w:rsid w:val="00312CEE"/>
    <w:rsid w:val="00313051"/>
    <w:rsid w:val="00313F41"/>
    <w:rsid w:val="00313FE6"/>
    <w:rsid w:val="0031442F"/>
    <w:rsid w:val="003145C3"/>
    <w:rsid w:val="00314838"/>
    <w:rsid w:val="0031492A"/>
    <w:rsid w:val="00314EA5"/>
    <w:rsid w:val="00315217"/>
    <w:rsid w:val="003157AB"/>
    <w:rsid w:val="00315930"/>
    <w:rsid w:val="00315AE3"/>
    <w:rsid w:val="00315E84"/>
    <w:rsid w:val="0031610B"/>
    <w:rsid w:val="0031648E"/>
    <w:rsid w:val="003166E8"/>
    <w:rsid w:val="00316731"/>
    <w:rsid w:val="00316981"/>
    <w:rsid w:val="00316AD1"/>
    <w:rsid w:val="00316C1A"/>
    <w:rsid w:val="00316E48"/>
    <w:rsid w:val="00316F4A"/>
    <w:rsid w:val="003172DE"/>
    <w:rsid w:val="00317360"/>
    <w:rsid w:val="0031740A"/>
    <w:rsid w:val="00317890"/>
    <w:rsid w:val="00317E28"/>
    <w:rsid w:val="0032018E"/>
    <w:rsid w:val="0032064F"/>
    <w:rsid w:val="00320868"/>
    <w:rsid w:val="00320A7F"/>
    <w:rsid w:val="00320D9C"/>
    <w:rsid w:val="00320F7B"/>
    <w:rsid w:val="0032122E"/>
    <w:rsid w:val="00321815"/>
    <w:rsid w:val="00321D8D"/>
    <w:rsid w:val="00322078"/>
    <w:rsid w:val="003221A9"/>
    <w:rsid w:val="00322B45"/>
    <w:rsid w:val="00322CB8"/>
    <w:rsid w:val="00323C73"/>
    <w:rsid w:val="00323C76"/>
    <w:rsid w:val="00323E1A"/>
    <w:rsid w:val="00324104"/>
    <w:rsid w:val="0032421C"/>
    <w:rsid w:val="0032422A"/>
    <w:rsid w:val="00324325"/>
    <w:rsid w:val="0032433B"/>
    <w:rsid w:val="00324420"/>
    <w:rsid w:val="00324C2D"/>
    <w:rsid w:val="00324D79"/>
    <w:rsid w:val="0032547D"/>
    <w:rsid w:val="0032569B"/>
    <w:rsid w:val="00325C75"/>
    <w:rsid w:val="00325D78"/>
    <w:rsid w:val="00326518"/>
    <w:rsid w:val="00326BD9"/>
    <w:rsid w:val="00326C94"/>
    <w:rsid w:val="00326DA7"/>
    <w:rsid w:val="003279C7"/>
    <w:rsid w:val="00327E97"/>
    <w:rsid w:val="00327F36"/>
    <w:rsid w:val="00330920"/>
    <w:rsid w:val="00330C64"/>
    <w:rsid w:val="0033112A"/>
    <w:rsid w:val="00331141"/>
    <w:rsid w:val="00331692"/>
    <w:rsid w:val="00331AA8"/>
    <w:rsid w:val="00331C7A"/>
    <w:rsid w:val="00331E16"/>
    <w:rsid w:val="003321F4"/>
    <w:rsid w:val="003328B8"/>
    <w:rsid w:val="003328EF"/>
    <w:rsid w:val="00332EAB"/>
    <w:rsid w:val="003330AF"/>
    <w:rsid w:val="003333D6"/>
    <w:rsid w:val="00333461"/>
    <w:rsid w:val="003346CA"/>
    <w:rsid w:val="00334715"/>
    <w:rsid w:val="00334A0A"/>
    <w:rsid w:val="00334A7F"/>
    <w:rsid w:val="00334D03"/>
    <w:rsid w:val="00335050"/>
    <w:rsid w:val="0033517D"/>
    <w:rsid w:val="003352BE"/>
    <w:rsid w:val="003355DD"/>
    <w:rsid w:val="00335830"/>
    <w:rsid w:val="003367F0"/>
    <w:rsid w:val="00336935"/>
    <w:rsid w:val="003369F1"/>
    <w:rsid w:val="00336A24"/>
    <w:rsid w:val="00336DB8"/>
    <w:rsid w:val="00336EBD"/>
    <w:rsid w:val="003371F8"/>
    <w:rsid w:val="003377AA"/>
    <w:rsid w:val="00337A53"/>
    <w:rsid w:val="00337D5E"/>
    <w:rsid w:val="003402EA"/>
    <w:rsid w:val="003403E6"/>
    <w:rsid w:val="003403E7"/>
    <w:rsid w:val="003405A8"/>
    <w:rsid w:val="00340997"/>
    <w:rsid w:val="00340C03"/>
    <w:rsid w:val="003413FA"/>
    <w:rsid w:val="003414C4"/>
    <w:rsid w:val="00341695"/>
    <w:rsid w:val="003418D3"/>
    <w:rsid w:val="00341C45"/>
    <w:rsid w:val="00342267"/>
    <w:rsid w:val="00342334"/>
    <w:rsid w:val="003423B0"/>
    <w:rsid w:val="003423F4"/>
    <w:rsid w:val="00342733"/>
    <w:rsid w:val="00342FA6"/>
    <w:rsid w:val="0034319E"/>
    <w:rsid w:val="00343239"/>
    <w:rsid w:val="00343B3E"/>
    <w:rsid w:val="00343B49"/>
    <w:rsid w:val="00343B69"/>
    <w:rsid w:val="00343FF4"/>
    <w:rsid w:val="003443A6"/>
    <w:rsid w:val="00344758"/>
    <w:rsid w:val="003448BD"/>
    <w:rsid w:val="00344C2E"/>
    <w:rsid w:val="00345231"/>
    <w:rsid w:val="00345BB2"/>
    <w:rsid w:val="00345CD4"/>
    <w:rsid w:val="00345D06"/>
    <w:rsid w:val="003467C2"/>
    <w:rsid w:val="00346C53"/>
    <w:rsid w:val="00346E39"/>
    <w:rsid w:val="00346EE1"/>
    <w:rsid w:val="00346F48"/>
    <w:rsid w:val="00347142"/>
    <w:rsid w:val="00347235"/>
    <w:rsid w:val="0034752D"/>
    <w:rsid w:val="003479A6"/>
    <w:rsid w:val="00347E73"/>
    <w:rsid w:val="0035004D"/>
    <w:rsid w:val="0035019E"/>
    <w:rsid w:val="003505E2"/>
    <w:rsid w:val="003509E8"/>
    <w:rsid w:val="00350BDA"/>
    <w:rsid w:val="00350D1B"/>
    <w:rsid w:val="00350DC0"/>
    <w:rsid w:val="00350EFC"/>
    <w:rsid w:val="00350F38"/>
    <w:rsid w:val="0035114B"/>
    <w:rsid w:val="00351C09"/>
    <w:rsid w:val="00351D63"/>
    <w:rsid w:val="00351EEA"/>
    <w:rsid w:val="00351F86"/>
    <w:rsid w:val="0035219F"/>
    <w:rsid w:val="00352318"/>
    <w:rsid w:val="003526C5"/>
    <w:rsid w:val="003529E2"/>
    <w:rsid w:val="00352B9D"/>
    <w:rsid w:val="00352DA7"/>
    <w:rsid w:val="0035300B"/>
    <w:rsid w:val="00353EEF"/>
    <w:rsid w:val="0035420E"/>
    <w:rsid w:val="00354513"/>
    <w:rsid w:val="00354653"/>
    <w:rsid w:val="00354915"/>
    <w:rsid w:val="00354A59"/>
    <w:rsid w:val="00354DD0"/>
    <w:rsid w:val="003551AE"/>
    <w:rsid w:val="0035575B"/>
    <w:rsid w:val="00355804"/>
    <w:rsid w:val="003559AB"/>
    <w:rsid w:val="00356307"/>
    <w:rsid w:val="003565A8"/>
    <w:rsid w:val="003566EA"/>
    <w:rsid w:val="0035684F"/>
    <w:rsid w:val="00356E59"/>
    <w:rsid w:val="003570C8"/>
    <w:rsid w:val="003570CF"/>
    <w:rsid w:val="003572EC"/>
    <w:rsid w:val="0035734A"/>
    <w:rsid w:val="003574A6"/>
    <w:rsid w:val="003576C7"/>
    <w:rsid w:val="0035782E"/>
    <w:rsid w:val="003578F5"/>
    <w:rsid w:val="00357E8B"/>
    <w:rsid w:val="00360182"/>
    <w:rsid w:val="003604A7"/>
    <w:rsid w:val="0036099A"/>
    <w:rsid w:val="00360C42"/>
    <w:rsid w:val="00360FAF"/>
    <w:rsid w:val="003613D3"/>
    <w:rsid w:val="0036148E"/>
    <w:rsid w:val="00361974"/>
    <w:rsid w:val="00361FCE"/>
    <w:rsid w:val="0036200A"/>
    <w:rsid w:val="003622AF"/>
    <w:rsid w:val="00362CF8"/>
    <w:rsid w:val="00362E37"/>
    <w:rsid w:val="00362EE9"/>
    <w:rsid w:val="00362F99"/>
    <w:rsid w:val="00363001"/>
    <w:rsid w:val="0036308E"/>
    <w:rsid w:val="003631BB"/>
    <w:rsid w:val="00363B64"/>
    <w:rsid w:val="00363EAA"/>
    <w:rsid w:val="003643DA"/>
    <w:rsid w:val="003649E8"/>
    <w:rsid w:val="00364B83"/>
    <w:rsid w:val="00364C15"/>
    <w:rsid w:val="00364CF9"/>
    <w:rsid w:val="003650A1"/>
    <w:rsid w:val="003651A3"/>
    <w:rsid w:val="003653C3"/>
    <w:rsid w:val="003655B9"/>
    <w:rsid w:val="00365C75"/>
    <w:rsid w:val="00365E5D"/>
    <w:rsid w:val="003661B2"/>
    <w:rsid w:val="0036621D"/>
    <w:rsid w:val="00366419"/>
    <w:rsid w:val="00366632"/>
    <w:rsid w:val="00366C9D"/>
    <w:rsid w:val="00366FD2"/>
    <w:rsid w:val="0036728E"/>
    <w:rsid w:val="0036772E"/>
    <w:rsid w:val="00367D18"/>
    <w:rsid w:val="00370789"/>
    <w:rsid w:val="003708C8"/>
    <w:rsid w:val="00370AD8"/>
    <w:rsid w:val="00370BF9"/>
    <w:rsid w:val="00370C2E"/>
    <w:rsid w:val="00370D33"/>
    <w:rsid w:val="00371269"/>
    <w:rsid w:val="003719AC"/>
    <w:rsid w:val="00371C26"/>
    <w:rsid w:val="00371D9D"/>
    <w:rsid w:val="00371E12"/>
    <w:rsid w:val="00372013"/>
    <w:rsid w:val="0037211F"/>
    <w:rsid w:val="00372231"/>
    <w:rsid w:val="00372531"/>
    <w:rsid w:val="00372656"/>
    <w:rsid w:val="00372C79"/>
    <w:rsid w:val="00372DAC"/>
    <w:rsid w:val="00372E24"/>
    <w:rsid w:val="003732BA"/>
    <w:rsid w:val="0037331A"/>
    <w:rsid w:val="003737A9"/>
    <w:rsid w:val="00373BC7"/>
    <w:rsid w:val="003742F0"/>
    <w:rsid w:val="003744B2"/>
    <w:rsid w:val="00374568"/>
    <w:rsid w:val="00374A14"/>
    <w:rsid w:val="00374A6C"/>
    <w:rsid w:val="00374CBB"/>
    <w:rsid w:val="00374F7B"/>
    <w:rsid w:val="00374F9D"/>
    <w:rsid w:val="003752B7"/>
    <w:rsid w:val="0037559B"/>
    <w:rsid w:val="003755FE"/>
    <w:rsid w:val="00375734"/>
    <w:rsid w:val="0037682E"/>
    <w:rsid w:val="003768B3"/>
    <w:rsid w:val="00376960"/>
    <w:rsid w:val="00376A49"/>
    <w:rsid w:val="00376E02"/>
    <w:rsid w:val="00376ED9"/>
    <w:rsid w:val="00377060"/>
    <w:rsid w:val="003773EC"/>
    <w:rsid w:val="003775C7"/>
    <w:rsid w:val="003775CD"/>
    <w:rsid w:val="00377A35"/>
    <w:rsid w:val="00377CF2"/>
    <w:rsid w:val="00377F7B"/>
    <w:rsid w:val="00377FB3"/>
    <w:rsid w:val="0038015C"/>
    <w:rsid w:val="00380809"/>
    <w:rsid w:val="00380E76"/>
    <w:rsid w:val="0038106D"/>
    <w:rsid w:val="00381309"/>
    <w:rsid w:val="00381D32"/>
    <w:rsid w:val="00381F37"/>
    <w:rsid w:val="0038206C"/>
    <w:rsid w:val="003830C5"/>
    <w:rsid w:val="00383B09"/>
    <w:rsid w:val="00383E6A"/>
    <w:rsid w:val="00383FA7"/>
    <w:rsid w:val="003840A5"/>
    <w:rsid w:val="00384119"/>
    <w:rsid w:val="00384A68"/>
    <w:rsid w:val="00384E61"/>
    <w:rsid w:val="00385252"/>
    <w:rsid w:val="003856EB"/>
    <w:rsid w:val="0038572E"/>
    <w:rsid w:val="00385BAE"/>
    <w:rsid w:val="00385DC4"/>
    <w:rsid w:val="00386752"/>
    <w:rsid w:val="00386D63"/>
    <w:rsid w:val="00386DE9"/>
    <w:rsid w:val="00386F56"/>
    <w:rsid w:val="00387647"/>
    <w:rsid w:val="00387799"/>
    <w:rsid w:val="0038798A"/>
    <w:rsid w:val="00387BFF"/>
    <w:rsid w:val="00387C93"/>
    <w:rsid w:val="00387D1B"/>
    <w:rsid w:val="00387FED"/>
    <w:rsid w:val="00390179"/>
    <w:rsid w:val="0039072E"/>
    <w:rsid w:val="003908DD"/>
    <w:rsid w:val="00390AA0"/>
    <w:rsid w:val="00390AAC"/>
    <w:rsid w:val="00390D7B"/>
    <w:rsid w:val="00390D81"/>
    <w:rsid w:val="00390FA0"/>
    <w:rsid w:val="003918F6"/>
    <w:rsid w:val="00391D1B"/>
    <w:rsid w:val="003923E1"/>
    <w:rsid w:val="0039292D"/>
    <w:rsid w:val="00392ADA"/>
    <w:rsid w:val="00392C56"/>
    <w:rsid w:val="00392E5C"/>
    <w:rsid w:val="00392E91"/>
    <w:rsid w:val="0039320B"/>
    <w:rsid w:val="003932FC"/>
    <w:rsid w:val="003934E9"/>
    <w:rsid w:val="00393B48"/>
    <w:rsid w:val="003944B4"/>
    <w:rsid w:val="003944D6"/>
    <w:rsid w:val="00394842"/>
    <w:rsid w:val="00394CD8"/>
    <w:rsid w:val="00394DEA"/>
    <w:rsid w:val="00394E6D"/>
    <w:rsid w:val="00395037"/>
    <w:rsid w:val="00395074"/>
    <w:rsid w:val="003954C0"/>
    <w:rsid w:val="0039589D"/>
    <w:rsid w:val="00395DE8"/>
    <w:rsid w:val="00395FD2"/>
    <w:rsid w:val="003962BA"/>
    <w:rsid w:val="0039632F"/>
    <w:rsid w:val="00397272"/>
    <w:rsid w:val="00397467"/>
    <w:rsid w:val="00397629"/>
    <w:rsid w:val="0039791F"/>
    <w:rsid w:val="00397AE1"/>
    <w:rsid w:val="00397CCC"/>
    <w:rsid w:val="00397CD2"/>
    <w:rsid w:val="00397D1B"/>
    <w:rsid w:val="003A0D69"/>
    <w:rsid w:val="003A11F8"/>
    <w:rsid w:val="003A1643"/>
    <w:rsid w:val="003A168E"/>
    <w:rsid w:val="003A16D5"/>
    <w:rsid w:val="003A1904"/>
    <w:rsid w:val="003A1974"/>
    <w:rsid w:val="003A1EEA"/>
    <w:rsid w:val="003A2614"/>
    <w:rsid w:val="003A2878"/>
    <w:rsid w:val="003A2AA7"/>
    <w:rsid w:val="003A2EAF"/>
    <w:rsid w:val="003A3242"/>
    <w:rsid w:val="003A34C5"/>
    <w:rsid w:val="003A34F4"/>
    <w:rsid w:val="003A359F"/>
    <w:rsid w:val="003A35F8"/>
    <w:rsid w:val="003A375E"/>
    <w:rsid w:val="003A390E"/>
    <w:rsid w:val="003A3B94"/>
    <w:rsid w:val="003A447A"/>
    <w:rsid w:val="003A4639"/>
    <w:rsid w:val="003A46B8"/>
    <w:rsid w:val="003A4776"/>
    <w:rsid w:val="003A4870"/>
    <w:rsid w:val="003A48B7"/>
    <w:rsid w:val="003A4B13"/>
    <w:rsid w:val="003A4EAC"/>
    <w:rsid w:val="003A4F9F"/>
    <w:rsid w:val="003A505A"/>
    <w:rsid w:val="003A5431"/>
    <w:rsid w:val="003A5463"/>
    <w:rsid w:val="003A55DF"/>
    <w:rsid w:val="003A5C6D"/>
    <w:rsid w:val="003A657D"/>
    <w:rsid w:val="003A65CC"/>
    <w:rsid w:val="003A6770"/>
    <w:rsid w:val="003A6D92"/>
    <w:rsid w:val="003A6E5C"/>
    <w:rsid w:val="003A6EC4"/>
    <w:rsid w:val="003A74A4"/>
    <w:rsid w:val="003A7747"/>
    <w:rsid w:val="003A7797"/>
    <w:rsid w:val="003A7D02"/>
    <w:rsid w:val="003A7E75"/>
    <w:rsid w:val="003A7EA9"/>
    <w:rsid w:val="003B0258"/>
    <w:rsid w:val="003B054A"/>
    <w:rsid w:val="003B0610"/>
    <w:rsid w:val="003B0940"/>
    <w:rsid w:val="003B0D2B"/>
    <w:rsid w:val="003B123A"/>
    <w:rsid w:val="003B1586"/>
    <w:rsid w:val="003B1A2C"/>
    <w:rsid w:val="003B1A71"/>
    <w:rsid w:val="003B20C3"/>
    <w:rsid w:val="003B25A3"/>
    <w:rsid w:val="003B2902"/>
    <w:rsid w:val="003B29D5"/>
    <w:rsid w:val="003B2BC9"/>
    <w:rsid w:val="003B2EF3"/>
    <w:rsid w:val="003B2F78"/>
    <w:rsid w:val="003B33E7"/>
    <w:rsid w:val="003B3842"/>
    <w:rsid w:val="003B38DF"/>
    <w:rsid w:val="003B3B22"/>
    <w:rsid w:val="003B3E3D"/>
    <w:rsid w:val="003B405A"/>
    <w:rsid w:val="003B4146"/>
    <w:rsid w:val="003B4640"/>
    <w:rsid w:val="003B480F"/>
    <w:rsid w:val="003B4AE1"/>
    <w:rsid w:val="003B5203"/>
    <w:rsid w:val="003B53EE"/>
    <w:rsid w:val="003B5A03"/>
    <w:rsid w:val="003B5AD1"/>
    <w:rsid w:val="003B5CCD"/>
    <w:rsid w:val="003B5E17"/>
    <w:rsid w:val="003B6055"/>
    <w:rsid w:val="003B64B0"/>
    <w:rsid w:val="003B6A04"/>
    <w:rsid w:val="003B6C32"/>
    <w:rsid w:val="003B6D11"/>
    <w:rsid w:val="003B72D8"/>
    <w:rsid w:val="003B768D"/>
    <w:rsid w:val="003B7E07"/>
    <w:rsid w:val="003C016A"/>
    <w:rsid w:val="003C066A"/>
    <w:rsid w:val="003C0696"/>
    <w:rsid w:val="003C0BBB"/>
    <w:rsid w:val="003C10A5"/>
    <w:rsid w:val="003C11BE"/>
    <w:rsid w:val="003C144E"/>
    <w:rsid w:val="003C14B6"/>
    <w:rsid w:val="003C1629"/>
    <w:rsid w:val="003C19C0"/>
    <w:rsid w:val="003C1B27"/>
    <w:rsid w:val="003C2012"/>
    <w:rsid w:val="003C2084"/>
    <w:rsid w:val="003C273E"/>
    <w:rsid w:val="003C2E1C"/>
    <w:rsid w:val="003C3496"/>
    <w:rsid w:val="003C3B5E"/>
    <w:rsid w:val="003C3DA4"/>
    <w:rsid w:val="003C3EE3"/>
    <w:rsid w:val="003C4AE7"/>
    <w:rsid w:val="003C4F05"/>
    <w:rsid w:val="003C5151"/>
    <w:rsid w:val="003C5621"/>
    <w:rsid w:val="003C5661"/>
    <w:rsid w:val="003C5681"/>
    <w:rsid w:val="003C5728"/>
    <w:rsid w:val="003C588D"/>
    <w:rsid w:val="003C5BDF"/>
    <w:rsid w:val="003C620C"/>
    <w:rsid w:val="003C62DD"/>
    <w:rsid w:val="003C6454"/>
    <w:rsid w:val="003C665C"/>
    <w:rsid w:val="003C669C"/>
    <w:rsid w:val="003C6789"/>
    <w:rsid w:val="003C6D05"/>
    <w:rsid w:val="003C6F02"/>
    <w:rsid w:val="003C74A3"/>
    <w:rsid w:val="003D0FD1"/>
    <w:rsid w:val="003D1090"/>
    <w:rsid w:val="003D1284"/>
    <w:rsid w:val="003D22C6"/>
    <w:rsid w:val="003D2567"/>
    <w:rsid w:val="003D2685"/>
    <w:rsid w:val="003D2BC7"/>
    <w:rsid w:val="003D33F0"/>
    <w:rsid w:val="003D3A3D"/>
    <w:rsid w:val="003D3B00"/>
    <w:rsid w:val="003D3CBF"/>
    <w:rsid w:val="003D4A1C"/>
    <w:rsid w:val="003D4B35"/>
    <w:rsid w:val="003D4BAE"/>
    <w:rsid w:val="003D5037"/>
    <w:rsid w:val="003D51D7"/>
    <w:rsid w:val="003D58F9"/>
    <w:rsid w:val="003D59F8"/>
    <w:rsid w:val="003D5BC0"/>
    <w:rsid w:val="003D60CF"/>
    <w:rsid w:val="003D6364"/>
    <w:rsid w:val="003D6384"/>
    <w:rsid w:val="003D651B"/>
    <w:rsid w:val="003D65EE"/>
    <w:rsid w:val="003D69A3"/>
    <w:rsid w:val="003D7B71"/>
    <w:rsid w:val="003E0371"/>
    <w:rsid w:val="003E0503"/>
    <w:rsid w:val="003E0DDD"/>
    <w:rsid w:val="003E0EBA"/>
    <w:rsid w:val="003E1037"/>
    <w:rsid w:val="003E16CF"/>
    <w:rsid w:val="003E1968"/>
    <w:rsid w:val="003E1D75"/>
    <w:rsid w:val="003E1F42"/>
    <w:rsid w:val="003E22C6"/>
    <w:rsid w:val="003E2691"/>
    <w:rsid w:val="003E2DD3"/>
    <w:rsid w:val="003E2FF4"/>
    <w:rsid w:val="003E30C4"/>
    <w:rsid w:val="003E31A7"/>
    <w:rsid w:val="003E3673"/>
    <w:rsid w:val="003E3D77"/>
    <w:rsid w:val="003E3E39"/>
    <w:rsid w:val="003E406D"/>
    <w:rsid w:val="003E4155"/>
    <w:rsid w:val="003E418F"/>
    <w:rsid w:val="003E4594"/>
    <w:rsid w:val="003E47E1"/>
    <w:rsid w:val="003E4884"/>
    <w:rsid w:val="003E4A5A"/>
    <w:rsid w:val="003E4CB0"/>
    <w:rsid w:val="003E4F67"/>
    <w:rsid w:val="003E511C"/>
    <w:rsid w:val="003E53B1"/>
    <w:rsid w:val="003E54A0"/>
    <w:rsid w:val="003E5521"/>
    <w:rsid w:val="003E56D8"/>
    <w:rsid w:val="003E57CD"/>
    <w:rsid w:val="003E5C69"/>
    <w:rsid w:val="003E5DEF"/>
    <w:rsid w:val="003E66B5"/>
    <w:rsid w:val="003E67FD"/>
    <w:rsid w:val="003E6A82"/>
    <w:rsid w:val="003E6CF7"/>
    <w:rsid w:val="003E6FBB"/>
    <w:rsid w:val="003E7511"/>
    <w:rsid w:val="003E76B6"/>
    <w:rsid w:val="003E7A32"/>
    <w:rsid w:val="003E7ADE"/>
    <w:rsid w:val="003F0424"/>
    <w:rsid w:val="003F0614"/>
    <w:rsid w:val="003F0F76"/>
    <w:rsid w:val="003F1171"/>
    <w:rsid w:val="003F1844"/>
    <w:rsid w:val="003F1AAF"/>
    <w:rsid w:val="003F1B8E"/>
    <w:rsid w:val="003F25A4"/>
    <w:rsid w:val="003F273D"/>
    <w:rsid w:val="003F2B61"/>
    <w:rsid w:val="003F2D66"/>
    <w:rsid w:val="003F2F04"/>
    <w:rsid w:val="003F318E"/>
    <w:rsid w:val="003F32AF"/>
    <w:rsid w:val="003F34F1"/>
    <w:rsid w:val="003F359A"/>
    <w:rsid w:val="003F37D5"/>
    <w:rsid w:val="003F3E7B"/>
    <w:rsid w:val="003F3EE5"/>
    <w:rsid w:val="003F44B6"/>
    <w:rsid w:val="003F4A6B"/>
    <w:rsid w:val="003F4BD4"/>
    <w:rsid w:val="003F4C84"/>
    <w:rsid w:val="003F4CE1"/>
    <w:rsid w:val="003F545C"/>
    <w:rsid w:val="003F5480"/>
    <w:rsid w:val="003F556A"/>
    <w:rsid w:val="003F58B9"/>
    <w:rsid w:val="003F5A49"/>
    <w:rsid w:val="003F6091"/>
    <w:rsid w:val="003F6161"/>
    <w:rsid w:val="003F683E"/>
    <w:rsid w:val="003F6B72"/>
    <w:rsid w:val="003F6D23"/>
    <w:rsid w:val="003F6E7D"/>
    <w:rsid w:val="003F7C26"/>
    <w:rsid w:val="004001B3"/>
    <w:rsid w:val="00400341"/>
    <w:rsid w:val="004004EE"/>
    <w:rsid w:val="00400524"/>
    <w:rsid w:val="0040075C"/>
    <w:rsid w:val="00400C1C"/>
    <w:rsid w:val="004010EC"/>
    <w:rsid w:val="004017C6"/>
    <w:rsid w:val="004019C9"/>
    <w:rsid w:val="00401BD3"/>
    <w:rsid w:val="00401D54"/>
    <w:rsid w:val="00401DE5"/>
    <w:rsid w:val="00401F2C"/>
    <w:rsid w:val="0040200D"/>
    <w:rsid w:val="004022BC"/>
    <w:rsid w:val="004022D6"/>
    <w:rsid w:val="0040257B"/>
    <w:rsid w:val="00402823"/>
    <w:rsid w:val="00402EE2"/>
    <w:rsid w:val="004033A8"/>
    <w:rsid w:val="004034D1"/>
    <w:rsid w:val="00403766"/>
    <w:rsid w:val="00403FAE"/>
    <w:rsid w:val="0040401D"/>
    <w:rsid w:val="004044ED"/>
    <w:rsid w:val="00404845"/>
    <w:rsid w:val="0040497E"/>
    <w:rsid w:val="00404AC5"/>
    <w:rsid w:val="00404DBD"/>
    <w:rsid w:val="0040502C"/>
    <w:rsid w:val="0040515F"/>
    <w:rsid w:val="00405AC2"/>
    <w:rsid w:val="00405DA7"/>
    <w:rsid w:val="00406501"/>
    <w:rsid w:val="00406754"/>
    <w:rsid w:val="00406A80"/>
    <w:rsid w:val="00406C75"/>
    <w:rsid w:val="00406F12"/>
    <w:rsid w:val="004070B3"/>
    <w:rsid w:val="0040710A"/>
    <w:rsid w:val="00407293"/>
    <w:rsid w:val="00407524"/>
    <w:rsid w:val="00410323"/>
    <w:rsid w:val="004105F3"/>
    <w:rsid w:val="004107B7"/>
    <w:rsid w:val="00410922"/>
    <w:rsid w:val="00410FB9"/>
    <w:rsid w:val="00411601"/>
    <w:rsid w:val="00411B7E"/>
    <w:rsid w:val="00411F4C"/>
    <w:rsid w:val="00411F62"/>
    <w:rsid w:val="004121E1"/>
    <w:rsid w:val="00412247"/>
    <w:rsid w:val="004126DA"/>
    <w:rsid w:val="00412FDE"/>
    <w:rsid w:val="0041363C"/>
    <w:rsid w:val="00413A06"/>
    <w:rsid w:val="00413B5B"/>
    <w:rsid w:val="00413E44"/>
    <w:rsid w:val="004140ED"/>
    <w:rsid w:val="00414E97"/>
    <w:rsid w:val="00414EB5"/>
    <w:rsid w:val="00414FAE"/>
    <w:rsid w:val="00415292"/>
    <w:rsid w:val="0041558E"/>
    <w:rsid w:val="004159F1"/>
    <w:rsid w:val="00415E50"/>
    <w:rsid w:val="00415F7F"/>
    <w:rsid w:val="00415FB7"/>
    <w:rsid w:val="004169BD"/>
    <w:rsid w:val="00416A45"/>
    <w:rsid w:val="00416CCB"/>
    <w:rsid w:val="00416FB3"/>
    <w:rsid w:val="004171C6"/>
    <w:rsid w:val="00417450"/>
    <w:rsid w:val="0041747E"/>
    <w:rsid w:val="00417A17"/>
    <w:rsid w:val="00417BA4"/>
    <w:rsid w:val="00417E4C"/>
    <w:rsid w:val="00417FA7"/>
    <w:rsid w:val="00420018"/>
    <w:rsid w:val="00420373"/>
    <w:rsid w:val="0042038D"/>
    <w:rsid w:val="00420432"/>
    <w:rsid w:val="00420DCB"/>
    <w:rsid w:val="00420F7B"/>
    <w:rsid w:val="004212E9"/>
    <w:rsid w:val="00421538"/>
    <w:rsid w:val="00421873"/>
    <w:rsid w:val="004218FD"/>
    <w:rsid w:val="004219A5"/>
    <w:rsid w:val="00422265"/>
    <w:rsid w:val="00422417"/>
    <w:rsid w:val="00422D24"/>
    <w:rsid w:val="00422EAC"/>
    <w:rsid w:val="004233C0"/>
    <w:rsid w:val="004236A6"/>
    <w:rsid w:val="004236E7"/>
    <w:rsid w:val="004237F9"/>
    <w:rsid w:val="00423CD4"/>
    <w:rsid w:val="00423E06"/>
    <w:rsid w:val="00423E8E"/>
    <w:rsid w:val="00424233"/>
    <w:rsid w:val="00424308"/>
    <w:rsid w:val="004246B8"/>
    <w:rsid w:val="00424D6A"/>
    <w:rsid w:val="00424E1E"/>
    <w:rsid w:val="00424F61"/>
    <w:rsid w:val="00425334"/>
    <w:rsid w:val="00425D0D"/>
    <w:rsid w:val="00425E4A"/>
    <w:rsid w:val="0042633B"/>
    <w:rsid w:val="00427093"/>
    <w:rsid w:val="004277D6"/>
    <w:rsid w:val="00427E66"/>
    <w:rsid w:val="00427EEA"/>
    <w:rsid w:val="00427F7A"/>
    <w:rsid w:val="004310CF"/>
    <w:rsid w:val="004315E7"/>
    <w:rsid w:val="004317FB"/>
    <w:rsid w:val="00431959"/>
    <w:rsid w:val="00431D63"/>
    <w:rsid w:val="00431DBE"/>
    <w:rsid w:val="00432021"/>
    <w:rsid w:val="004322E0"/>
    <w:rsid w:val="00432401"/>
    <w:rsid w:val="00432A72"/>
    <w:rsid w:val="0043332A"/>
    <w:rsid w:val="004333E0"/>
    <w:rsid w:val="00433AA5"/>
    <w:rsid w:val="0043414D"/>
    <w:rsid w:val="00434DDD"/>
    <w:rsid w:val="00434F62"/>
    <w:rsid w:val="00435399"/>
    <w:rsid w:val="004355E8"/>
    <w:rsid w:val="00435CB0"/>
    <w:rsid w:val="0043601B"/>
    <w:rsid w:val="0043624D"/>
    <w:rsid w:val="00436661"/>
    <w:rsid w:val="00436B04"/>
    <w:rsid w:val="00437139"/>
    <w:rsid w:val="004371A2"/>
    <w:rsid w:val="00437AE6"/>
    <w:rsid w:val="00437BC4"/>
    <w:rsid w:val="00437C14"/>
    <w:rsid w:val="00437C57"/>
    <w:rsid w:val="004407E6"/>
    <w:rsid w:val="00440AC6"/>
    <w:rsid w:val="00440BA3"/>
    <w:rsid w:val="004410AA"/>
    <w:rsid w:val="004415D6"/>
    <w:rsid w:val="00441640"/>
    <w:rsid w:val="004417D2"/>
    <w:rsid w:val="0044193C"/>
    <w:rsid w:val="00441A8E"/>
    <w:rsid w:val="0044246D"/>
    <w:rsid w:val="00442495"/>
    <w:rsid w:val="004424F6"/>
    <w:rsid w:val="0044262B"/>
    <w:rsid w:val="0044277C"/>
    <w:rsid w:val="00442959"/>
    <w:rsid w:val="00442EE9"/>
    <w:rsid w:val="00442F91"/>
    <w:rsid w:val="004432B0"/>
    <w:rsid w:val="00443355"/>
    <w:rsid w:val="004433A5"/>
    <w:rsid w:val="00443407"/>
    <w:rsid w:val="00443408"/>
    <w:rsid w:val="004437A6"/>
    <w:rsid w:val="00443948"/>
    <w:rsid w:val="0044440E"/>
    <w:rsid w:val="00444971"/>
    <w:rsid w:val="00444D38"/>
    <w:rsid w:val="00445744"/>
    <w:rsid w:val="0044588E"/>
    <w:rsid w:val="00445AAA"/>
    <w:rsid w:val="00445CB5"/>
    <w:rsid w:val="00445F9B"/>
    <w:rsid w:val="00446160"/>
    <w:rsid w:val="0044629E"/>
    <w:rsid w:val="004463C1"/>
    <w:rsid w:val="00446982"/>
    <w:rsid w:val="004471A4"/>
    <w:rsid w:val="004473B7"/>
    <w:rsid w:val="00450586"/>
    <w:rsid w:val="0045080F"/>
    <w:rsid w:val="00450D6D"/>
    <w:rsid w:val="004512AE"/>
    <w:rsid w:val="004514D8"/>
    <w:rsid w:val="0045158D"/>
    <w:rsid w:val="00451717"/>
    <w:rsid w:val="0045189A"/>
    <w:rsid w:val="00451C6D"/>
    <w:rsid w:val="00451DDF"/>
    <w:rsid w:val="00451FE8"/>
    <w:rsid w:val="00452335"/>
    <w:rsid w:val="0045253D"/>
    <w:rsid w:val="00452C06"/>
    <w:rsid w:val="00452DF5"/>
    <w:rsid w:val="00453630"/>
    <w:rsid w:val="00453B72"/>
    <w:rsid w:val="00453F07"/>
    <w:rsid w:val="0045439F"/>
    <w:rsid w:val="0045444A"/>
    <w:rsid w:val="00454967"/>
    <w:rsid w:val="00454A20"/>
    <w:rsid w:val="00454BA5"/>
    <w:rsid w:val="0045598D"/>
    <w:rsid w:val="00455BD3"/>
    <w:rsid w:val="0045606C"/>
    <w:rsid w:val="00456312"/>
    <w:rsid w:val="00456792"/>
    <w:rsid w:val="00456BF5"/>
    <w:rsid w:val="00456F26"/>
    <w:rsid w:val="00457295"/>
    <w:rsid w:val="0045730E"/>
    <w:rsid w:val="0045731F"/>
    <w:rsid w:val="004573DE"/>
    <w:rsid w:val="0045774E"/>
    <w:rsid w:val="00457D30"/>
    <w:rsid w:val="0046008B"/>
    <w:rsid w:val="00460514"/>
    <w:rsid w:val="0046061B"/>
    <w:rsid w:val="004608A0"/>
    <w:rsid w:val="00460941"/>
    <w:rsid w:val="00460ACB"/>
    <w:rsid w:val="00460B27"/>
    <w:rsid w:val="00460C20"/>
    <w:rsid w:val="00460E35"/>
    <w:rsid w:val="00460EE0"/>
    <w:rsid w:val="004611B0"/>
    <w:rsid w:val="00461582"/>
    <w:rsid w:val="00462B48"/>
    <w:rsid w:val="004630B4"/>
    <w:rsid w:val="004634B9"/>
    <w:rsid w:val="004635DF"/>
    <w:rsid w:val="00463644"/>
    <w:rsid w:val="004636C5"/>
    <w:rsid w:val="00463AB1"/>
    <w:rsid w:val="00463BA9"/>
    <w:rsid w:val="00463C96"/>
    <w:rsid w:val="00463E7B"/>
    <w:rsid w:val="00464316"/>
    <w:rsid w:val="0046439E"/>
    <w:rsid w:val="00464517"/>
    <w:rsid w:val="00464C97"/>
    <w:rsid w:val="00465117"/>
    <w:rsid w:val="0046545B"/>
    <w:rsid w:val="00465469"/>
    <w:rsid w:val="004655A2"/>
    <w:rsid w:val="00465D71"/>
    <w:rsid w:val="00465EE1"/>
    <w:rsid w:val="00466AD0"/>
    <w:rsid w:val="00466CF2"/>
    <w:rsid w:val="00466DB8"/>
    <w:rsid w:val="00466E8D"/>
    <w:rsid w:val="004672A3"/>
    <w:rsid w:val="00467731"/>
    <w:rsid w:val="00467744"/>
    <w:rsid w:val="00467FC6"/>
    <w:rsid w:val="0047036F"/>
    <w:rsid w:val="004703F1"/>
    <w:rsid w:val="0047046E"/>
    <w:rsid w:val="00470585"/>
    <w:rsid w:val="004705F6"/>
    <w:rsid w:val="00470798"/>
    <w:rsid w:val="00470D68"/>
    <w:rsid w:val="004710BE"/>
    <w:rsid w:val="004712FB"/>
    <w:rsid w:val="00471BB4"/>
    <w:rsid w:val="00471BB7"/>
    <w:rsid w:val="00471C33"/>
    <w:rsid w:val="00471CF0"/>
    <w:rsid w:val="00471D71"/>
    <w:rsid w:val="004723F2"/>
    <w:rsid w:val="004727C2"/>
    <w:rsid w:val="00472A38"/>
    <w:rsid w:val="00472D27"/>
    <w:rsid w:val="00472D2E"/>
    <w:rsid w:val="00472EFF"/>
    <w:rsid w:val="004730BC"/>
    <w:rsid w:val="004735C8"/>
    <w:rsid w:val="004736D4"/>
    <w:rsid w:val="004738B4"/>
    <w:rsid w:val="00473D34"/>
    <w:rsid w:val="00474063"/>
    <w:rsid w:val="004741ED"/>
    <w:rsid w:val="00474383"/>
    <w:rsid w:val="0047481D"/>
    <w:rsid w:val="004749DB"/>
    <w:rsid w:val="00474CF8"/>
    <w:rsid w:val="0047546E"/>
    <w:rsid w:val="00475621"/>
    <w:rsid w:val="0047580D"/>
    <w:rsid w:val="004759E7"/>
    <w:rsid w:val="00475B88"/>
    <w:rsid w:val="0047619B"/>
    <w:rsid w:val="004763FA"/>
    <w:rsid w:val="00476793"/>
    <w:rsid w:val="004778A0"/>
    <w:rsid w:val="00477B6E"/>
    <w:rsid w:val="00480A78"/>
    <w:rsid w:val="00480CB2"/>
    <w:rsid w:val="004811B5"/>
    <w:rsid w:val="004816B7"/>
    <w:rsid w:val="0048175D"/>
    <w:rsid w:val="00481887"/>
    <w:rsid w:val="00481B2A"/>
    <w:rsid w:val="00481EEC"/>
    <w:rsid w:val="00481F73"/>
    <w:rsid w:val="00482085"/>
    <w:rsid w:val="00482091"/>
    <w:rsid w:val="0048211A"/>
    <w:rsid w:val="0048279F"/>
    <w:rsid w:val="00482CF0"/>
    <w:rsid w:val="00482DC0"/>
    <w:rsid w:val="00483208"/>
    <w:rsid w:val="00483803"/>
    <w:rsid w:val="00484157"/>
    <w:rsid w:val="00485431"/>
    <w:rsid w:val="004854B2"/>
    <w:rsid w:val="00485946"/>
    <w:rsid w:val="00486324"/>
    <w:rsid w:val="00486362"/>
    <w:rsid w:val="0048643A"/>
    <w:rsid w:val="004865C1"/>
    <w:rsid w:val="004865EB"/>
    <w:rsid w:val="004867BD"/>
    <w:rsid w:val="00486A76"/>
    <w:rsid w:val="00486AA9"/>
    <w:rsid w:val="00486AAA"/>
    <w:rsid w:val="00486D51"/>
    <w:rsid w:val="004876CF"/>
    <w:rsid w:val="004876DE"/>
    <w:rsid w:val="00487763"/>
    <w:rsid w:val="00487AC4"/>
    <w:rsid w:val="00490426"/>
    <w:rsid w:val="0049051A"/>
    <w:rsid w:val="0049081C"/>
    <w:rsid w:val="00490A94"/>
    <w:rsid w:val="00490C1D"/>
    <w:rsid w:val="00490CD3"/>
    <w:rsid w:val="00490D5F"/>
    <w:rsid w:val="004914DC"/>
    <w:rsid w:val="00491E3B"/>
    <w:rsid w:val="00491EF0"/>
    <w:rsid w:val="004925D2"/>
    <w:rsid w:val="00492767"/>
    <w:rsid w:val="00492F63"/>
    <w:rsid w:val="00492FE2"/>
    <w:rsid w:val="0049398F"/>
    <w:rsid w:val="00493C98"/>
    <w:rsid w:val="00493D1E"/>
    <w:rsid w:val="004941B6"/>
    <w:rsid w:val="0049424B"/>
    <w:rsid w:val="00494259"/>
    <w:rsid w:val="0049464F"/>
    <w:rsid w:val="004946EC"/>
    <w:rsid w:val="00494988"/>
    <w:rsid w:val="00494A8E"/>
    <w:rsid w:val="00494F93"/>
    <w:rsid w:val="00495293"/>
    <w:rsid w:val="00495C92"/>
    <w:rsid w:val="00495D0B"/>
    <w:rsid w:val="0049615F"/>
    <w:rsid w:val="004961FF"/>
    <w:rsid w:val="004966B6"/>
    <w:rsid w:val="004966BD"/>
    <w:rsid w:val="00496A79"/>
    <w:rsid w:val="00496C4D"/>
    <w:rsid w:val="0049703B"/>
    <w:rsid w:val="004972DA"/>
    <w:rsid w:val="004973EC"/>
    <w:rsid w:val="0049754D"/>
    <w:rsid w:val="00497797"/>
    <w:rsid w:val="00497BAA"/>
    <w:rsid w:val="00497C6D"/>
    <w:rsid w:val="00497E18"/>
    <w:rsid w:val="00497E7B"/>
    <w:rsid w:val="004A080C"/>
    <w:rsid w:val="004A1392"/>
    <w:rsid w:val="004A1398"/>
    <w:rsid w:val="004A187B"/>
    <w:rsid w:val="004A1B2C"/>
    <w:rsid w:val="004A202A"/>
    <w:rsid w:val="004A22D0"/>
    <w:rsid w:val="004A23B6"/>
    <w:rsid w:val="004A2621"/>
    <w:rsid w:val="004A27BD"/>
    <w:rsid w:val="004A2834"/>
    <w:rsid w:val="004A2B78"/>
    <w:rsid w:val="004A2D3C"/>
    <w:rsid w:val="004A32E6"/>
    <w:rsid w:val="004A351F"/>
    <w:rsid w:val="004A3CE8"/>
    <w:rsid w:val="004A41FF"/>
    <w:rsid w:val="004A427A"/>
    <w:rsid w:val="004A4502"/>
    <w:rsid w:val="004A4679"/>
    <w:rsid w:val="004A4C9A"/>
    <w:rsid w:val="004A5316"/>
    <w:rsid w:val="004A554F"/>
    <w:rsid w:val="004A56AC"/>
    <w:rsid w:val="004A5AEF"/>
    <w:rsid w:val="004A5E75"/>
    <w:rsid w:val="004A5ED9"/>
    <w:rsid w:val="004A5F8F"/>
    <w:rsid w:val="004A6EE1"/>
    <w:rsid w:val="004A796D"/>
    <w:rsid w:val="004A79A7"/>
    <w:rsid w:val="004A7BD4"/>
    <w:rsid w:val="004A7CC0"/>
    <w:rsid w:val="004A7DDF"/>
    <w:rsid w:val="004B0565"/>
    <w:rsid w:val="004B0691"/>
    <w:rsid w:val="004B0B23"/>
    <w:rsid w:val="004B10BA"/>
    <w:rsid w:val="004B126F"/>
    <w:rsid w:val="004B13BD"/>
    <w:rsid w:val="004B16DB"/>
    <w:rsid w:val="004B179C"/>
    <w:rsid w:val="004B17AE"/>
    <w:rsid w:val="004B1A4C"/>
    <w:rsid w:val="004B22CF"/>
    <w:rsid w:val="004B28A8"/>
    <w:rsid w:val="004B2930"/>
    <w:rsid w:val="004B2AE8"/>
    <w:rsid w:val="004B307D"/>
    <w:rsid w:val="004B3999"/>
    <w:rsid w:val="004B4229"/>
    <w:rsid w:val="004B43C0"/>
    <w:rsid w:val="004B44A9"/>
    <w:rsid w:val="004B45F2"/>
    <w:rsid w:val="004B49D4"/>
    <w:rsid w:val="004B4BFC"/>
    <w:rsid w:val="004B5050"/>
    <w:rsid w:val="004B529F"/>
    <w:rsid w:val="004B5436"/>
    <w:rsid w:val="004B55BF"/>
    <w:rsid w:val="004B585A"/>
    <w:rsid w:val="004B5B9F"/>
    <w:rsid w:val="004B5CEB"/>
    <w:rsid w:val="004B64B3"/>
    <w:rsid w:val="004B669A"/>
    <w:rsid w:val="004B68B8"/>
    <w:rsid w:val="004B68E4"/>
    <w:rsid w:val="004B6C17"/>
    <w:rsid w:val="004B6CDA"/>
    <w:rsid w:val="004B70D4"/>
    <w:rsid w:val="004B75E1"/>
    <w:rsid w:val="004B78E0"/>
    <w:rsid w:val="004C003A"/>
    <w:rsid w:val="004C0980"/>
    <w:rsid w:val="004C0C4E"/>
    <w:rsid w:val="004C0CB0"/>
    <w:rsid w:val="004C1AF5"/>
    <w:rsid w:val="004C2AE5"/>
    <w:rsid w:val="004C35BD"/>
    <w:rsid w:val="004C3659"/>
    <w:rsid w:val="004C391B"/>
    <w:rsid w:val="004C3C53"/>
    <w:rsid w:val="004C3E8C"/>
    <w:rsid w:val="004C4632"/>
    <w:rsid w:val="004C4A23"/>
    <w:rsid w:val="004C4DAD"/>
    <w:rsid w:val="004C590F"/>
    <w:rsid w:val="004C5E6B"/>
    <w:rsid w:val="004C60FC"/>
    <w:rsid w:val="004C6461"/>
    <w:rsid w:val="004C6494"/>
    <w:rsid w:val="004C663E"/>
    <w:rsid w:val="004C6D83"/>
    <w:rsid w:val="004C706A"/>
    <w:rsid w:val="004C7412"/>
    <w:rsid w:val="004C7541"/>
    <w:rsid w:val="004C7986"/>
    <w:rsid w:val="004C7AA6"/>
    <w:rsid w:val="004C7C8D"/>
    <w:rsid w:val="004D001C"/>
    <w:rsid w:val="004D008B"/>
    <w:rsid w:val="004D0123"/>
    <w:rsid w:val="004D02BE"/>
    <w:rsid w:val="004D04BF"/>
    <w:rsid w:val="004D0647"/>
    <w:rsid w:val="004D0655"/>
    <w:rsid w:val="004D0CC5"/>
    <w:rsid w:val="004D0D50"/>
    <w:rsid w:val="004D1CBF"/>
    <w:rsid w:val="004D1F3E"/>
    <w:rsid w:val="004D2E8E"/>
    <w:rsid w:val="004D3997"/>
    <w:rsid w:val="004D42C4"/>
    <w:rsid w:val="004D4580"/>
    <w:rsid w:val="004D4752"/>
    <w:rsid w:val="004D4814"/>
    <w:rsid w:val="004D500C"/>
    <w:rsid w:val="004D68C3"/>
    <w:rsid w:val="004D6D69"/>
    <w:rsid w:val="004D6DEA"/>
    <w:rsid w:val="004D77E7"/>
    <w:rsid w:val="004D7E1F"/>
    <w:rsid w:val="004E0413"/>
    <w:rsid w:val="004E0D80"/>
    <w:rsid w:val="004E0DFF"/>
    <w:rsid w:val="004E15B9"/>
    <w:rsid w:val="004E1772"/>
    <w:rsid w:val="004E1D1D"/>
    <w:rsid w:val="004E2094"/>
    <w:rsid w:val="004E278C"/>
    <w:rsid w:val="004E29BB"/>
    <w:rsid w:val="004E2BF5"/>
    <w:rsid w:val="004E30DB"/>
    <w:rsid w:val="004E3213"/>
    <w:rsid w:val="004E3CA7"/>
    <w:rsid w:val="004E3CAE"/>
    <w:rsid w:val="004E409F"/>
    <w:rsid w:val="004E4382"/>
    <w:rsid w:val="004E44F2"/>
    <w:rsid w:val="004E46AF"/>
    <w:rsid w:val="004E491E"/>
    <w:rsid w:val="004E4AE8"/>
    <w:rsid w:val="004E4C6B"/>
    <w:rsid w:val="004E4E27"/>
    <w:rsid w:val="004E5526"/>
    <w:rsid w:val="004E573D"/>
    <w:rsid w:val="004E5F57"/>
    <w:rsid w:val="004E6939"/>
    <w:rsid w:val="004E6A15"/>
    <w:rsid w:val="004E6AE6"/>
    <w:rsid w:val="004E6B1F"/>
    <w:rsid w:val="004E6CDC"/>
    <w:rsid w:val="004E6EAF"/>
    <w:rsid w:val="004E70DB"/>
    <w:rsid w:val="004E72CB"/>
    <w:rsid w:val="004E776B"/>
    <w:rsid w:val="004E792C"/>
    <w:rsid w:val="004F0082"/>
    <w:rsid w:val="004F014D"/>
    <w:rsid w:val="004F04CC"/>
    <w:rsid w:val="004F04D3"/>
    <w:rsid w:val="004F0A6C"/>
    <w:rsid w:val="004F0D50"/>
    <w:rsid w:val="004F11D6"/>
    <w:rsid w:val="004F1C7C"/>
    <w:rsid w:val="004F2BDC"/>
    <w:rsid w:val="004F2C28"/>
    <w:rsid w:val="004F2ED3"/>
    <w:rsid w:val="004F2ED4"/>
    <w:rsid w:val="004F3595"/>
    <w:rsid w:val="004F36D7"/>
    <w:rsid w:val="004F384E"/>
    <w:rsid w:val="004F3898"/>
    <w:rsid w:val="004F3B95"/>
    <w:rsid w:val="004F3EEA"/>
    <w:rsid w:val="004F41BC"/>
    <w:rsid w:val="004F484B"/>
    <w:rsid w:val="004F4896"/>
    <w:rsid w:val="004F48BA"/>
    <w:rsid w:val="004F4B12"/>
    <w:rsid w:val="004F511D"/>
    <w:rsid w:val="004F5353"/>
    <w:rsid w:val="004F59E7"/>
    <w:rsid w:val="004F6601"/>
    <w:rsid w:val="004F6633"/>
    <w:rsid w:val="004F6718"/>
    <w:rsid w:val="004F6833"/>
    <w:rsid w:val="004F6946"/>
    <w:rsid w:val="004F70D8"/>
    <w:rsid w:val="004F72D0"/>
    <w:rsid w:val="004F79B4"/>
    <w:rsid w:val="004F7D3F"/>
    <w:rsid w:val="005007D9"/>
    <w:rsid w:val="00500B18"/>
    <w:rsid w:val="00500C10"/>
    <w:rsid w:val="0050123B"/>
    <w:rsid w:val="005016F2"/>
    <w:rsid w:val="0050177E"/>
    <w:rsid w:val="00501927"/>
    <w:rsid w:val="00501DCB"/>
    <w:rsid w:val="00501FF7"/>
    <w:rsid w:val="005021D1"/>
    <w:rsid w:val="00502308"/>
    <w:rsid w:val="0050274D"/>
    <w:rsid w:val="005027B5"/>
    <w:rsid w:val="005028C6"/>
    <w:rsid w:val="00502911"/>
    <w:rsid w:val="00502A4C"/>
    <w:rsid w:val="00502F2C"/>
    <w:rsid w:val="0050334C"/>
    <w:rsid w:val="0050359F"/>
    <w:rsid w:val="00503B2B"/>
    <w:rsid w:val="00503B4D"/>
    <w:rsid w:val="00503D29"/>
    <w:rsid w:val="0050444F"/>
    <w:rsid w:val="0050458A"/>
    <w:rsid w:val="00504954"/>
    <w:rsid w:val="0050522C"/>
    <w:rsid w:val="00505428"/>
    <w:rsid w:val="00505429"/>
    <w:rsid w:val="005054DA"/>
    <w:rsid w:val="005054EC"/>
    <w:rsid w:val="005055BD"/>
    <w:rsid w:val="00505826"/>
    <w:rsid w:val="005059AA"/>
    <w:rsid w:val="005059ED"/>
    <w:rsid w:val="00505D6B"/>
    <w:rsid w:val="00506136"/>
    <w:rsid w:val="00506273"/>
    <w:rsid w:val="0050633A"/>
    <w:rsid w:val="005065A2"/>
    <w:rsid w:val="005069FA"/>
    <w:rsid w:val="00506B82"/>
    <w:rsid w:val="00506BBC"/>
    <w:rsid w:val="0050724B"/>
    <w:rsid w:val="00507ED6"/>
    <w:rsid w:val="0051028C"/>
    <w:rsid w:val="00510390"/>
    <w:rsid w:val="0051047C"/>
    <w:rsid w:val="00510568"/>
    <w:rsid w:val="005108F1"/>
    <w:rsid w:val="00510ED0"/>
    <w:rsid w:val="005113F4"/>
    <w:rsid w:val="00511B10"/>
    <w:rsid w:val="00511B47"/>
    <w:rsid w:val="00511BB8"/>
    <w:rsid w:val="00511C4A"/>
    <w:rsid w:val="00511CF7"/>
    <w:rsid w:val="00512113"/>
    <w:rsid w:val="005123F0"/>
    <w:rsid w:val="005124AE"/>
    <w:rsid w:val="0051280F"/>
    <w:rsid w:val="00512A2A"/>
    <w:rsid w:val="00512B85"/>
    <w:rsid w:val="00512F0D"/>
    <w:rsid w:val="00512FEF"/>
    <w:rsid w:val="005130CD"/>
    <w:rsid w:val="00513540"/>
    <w:rsid w:val="00513541"/>
    <w:rsid w:val="005136CA"/>
    <w:rsid w:val="005138CE"/>
    <w:rsid w:val="00513922"/>
    <w:rsid w:val="00513941"/>
    <w:rsid w:val="00513A09"/>
    <w:rsid w:val="00513C0A"/>
    <w:rsid w:val="0051410B"/>
    <w:rsid w:val="005146EF"/>
    <w:rsid w:val="00515169"/>
    <w:rsid w:val="005151FF"/>
    <w:rsid w:val="00515740"/>
    <w:rsid w:val="00515B23"/>
    <w:rsid w:val="00515BAD"/>
    <w:rsid w:val="005167AA"/>
    <w:rsid w:val="00516ACF"/>
    <w:rsid w:val="0051727F"/>
    <w:rsid w:val="00517ADE"/>
    <w:rsid w:val="00517DD7"/>
    <w:rsid w:val="00517F12"/>
    <w:rsid w:val="00517F6E"/>
    <w:rsid w:val="00517F76"/>
    <w:rsid w:val="005202BF"/>
    <w:rsid w:val="005203B0"/>
    <w:rsid w:val="00520711"/>
    <w:rsid w:val="005207C2"/>
    <w:rsid w:val="00520A3D"/>
    <w:rsid w:val="00521155"/>
    <w:rsid w:val="005214DC"/>
    <w:rsid w:val="00521819"/>
    <w:rsid w:val="00521FC5"/>
    <w:rsid w:val="005220B1"/>
    <w:rsid w:val="005221EF"/>
    <w:rsid w:val="00522255"/>
    <w:rsid w:val="005222FD"/>
    <w:rsid w:val="005223CF"/>
    <w:rsid w:val="00522ADE"/>
    <w:rsid w:val="00522AED"/>
    <w:rsid w:val="00522D6C"/>
    <w:rsid w:val="00523424"/>
    <w:rsid w:val="005234D9"/>
    <w:rsid w:val="005235EE"/>
    <w:rsid w:val="0052390C"/>
    <w:rsid w:val="00523C47"/>
    <w:rsid w:val="00523F76"/>
    <w:rsid w:val="00524980"/>
    <w:rsid w:val="00524990"/>
    <w:rsid w:val="00524FCD"/>
    <w:rsid w:val="0052570D"/>
    <w:rsid w:val="00525D98"/>
    <w:rsid w:val="005262BE"/>
    <w:rsid w:val="005266FC"/>
    <w:rsid w:val="005267ED"/>
    <w:rsid w:val="005268AC"/>
    <w:rsid w:val="00526C90"/>
    <w:rsid w:val="00527346"/>
    <w:rsid w:val="0052784E"/>
    <w:rsid w:val="00527A4D"/>
    <w:rsid w:val="00527E29"/>
    <w:rsid w:val="00527F95"/>
    <w:rsid w:val="0053051D"/>
    <w:rsid w:val="005309D9"/>
    <w:rsid w:val="00530EA1"/>
    <w:rsid w:val="005314B6"/>
    <w:rsid w:val="005315B1"/>
    <w:rsid w:val="005316DF"/>
    <w:rsid w:val="005318C5"/>
    <w:rsid w:val="00531DA3"/>
    <w:rsid w:val="00532295"/>
    <w:rsid w:val="005325CC"/>
    <w:rsid w:val="00532BF1"/>
    <w:rsid w:val="00532C16"/>
    <w:rsid w:val="00532C9F"/>
    <w:rsid w:val="00532E3E"/>
    <w:rsid w:val="00532F4A"/>
    <w:rsid w:val="00533C82"/>
    <w:rsid w:val="005342E0"/>
    <w:rsid w:val="005343B5"/>
    <w:rsid w:val="005343CE"/>
    <w:rsid w:val="00534852"/>
    <w:rsid w:val="00534D70"/>
    <w:rsid w:val="005354B5"/>
    <w:rsid w:val="005356DE"/>
    <w:rsid w:val="005357D3"/>
    <w:rsid w:val="00536600"/>
    <w:rsid w:val="00537B49"/>
    <w:rsid w:val="00537C33"/>
    <w:rsid w:val="005400B4"/>
    <w:rsid w:val="005400B7"/>
    <w:rsid w:val="005406D1"/>
    <w:rsid w:val="00540F3E"/>
    <w:rsid w:val="00541158"/>
    <w:rsid w:val="0054136A"/>
    <w:rsid w:val="0054144C"/>
    <w:rsid w:val="00541699"/>
    <w:rsid w:val="00541953"/>
    <w:rsid w:val="0054210C"/>
    <w:rsid w:val="00542B38"/>
    <w:rsid w:val="00542D70"/>
    <w:rsid w:val="00542F85"/>
    <w:rsid w:val="0054360B"/>
    <w:rsid w:val="005438F7"/>
    <w:rsid w:val="00544157"/>
    <w:rsid w:val="00544251"/>
    <w:rsid w:val="00544651"/>
    <w:rsid w:val="00545222"/>
    <w:rsid w:val="005456AE"/>
    <w:rsid w:val="00545BC6"/>
    <w:rsid w:val="00546D0C"/>
    <w:rsid w:val="00547402"/>
    <w:rsid w:val="00547741"/>
    <w:rsid w:val="0054796B"/>
    <w:rsid w:val="00547988"/>
    <w:rsid w:val="00547A5E"/>
    <w:rsid w:val="00547B45"/>
    <w:rsid w:val="00547F74"/>
    <w:rsid w:val="00550140"/>
    <w:rsid w:val="005507C2"/>
    <w:rsid w:val="005509E4"/>
    <w:rsid w:val="00550A49"/>
    <w:rsid w:val="0055160C"/>
    <w:rsid w:val="005517EA"/>
    <w:rsid w:val="00551DD5"/>
    <w:rsid w:val="00551EDE"/>
    <w:rsid w:val="005521C8"/>
    <w:rsid w:val="00552207"/>
    <w:rsid w:val="00552575"/>
    <w:rsid w:val="00552BD3"/>
    <w:rsid w:val="00552CF2"/>
    <w:rsid w:val="00552DC9"/>
    <w:rsid w:val="00552F92"/>
    <w:rsid w:val="00553027"/>
    <w:rsid w:val="00553491"/>
    <w:rsid w:val="0055354F"/>
    <w:rsid w:val="005535AB"/>
    <w:rsid w:val="005535AC"/>
    <w:rsid w:val="005535E8"/>
    <w:rsid w:val="005536B0"/>
    <w:rsid w:val="00553B60"/>
    <w:rsid w:val="00553D60"/>
    <w:rsid w:val="005546CA"/>
    <w:rsid w:val="00554778"/>
    <w:rsid w:val="00554FF7"/>
    <w:rsid w:val="005552A5"/>
    <w:rsid w:val="00555457"/>
    <w:rsid w:val="005555A1"/>
    <w:rsid w:val="0055617F"/>
    <w:rsid w:val="00556A34"/>
    <w:rsid w:val="00557072"/>
    <w:rsid w:val="0055727D"/>
    <w:rsid w:val="00557692"/>
    <w:rsid w:val="0055797C"/>
    <w:rsid w:val="00557A31"/>
    <w:rsid w:val="00557C09"/>
    <w:rsid w:val="00557D56"/>
    <w:rsid w:val="005603BF"/>
    <w:rsid w:val="00560F3A"/>
    <w:rsid w:val="00561664"/>
    <w:rsid w:val="00561AD1"/>
    <w:rsid w:val="00561F2A"/>
    <w:rsid w:val="00562588"/>
    <w:rsid w:val="00562B99"/>
    <w:rsid w:val="00562EFA"/>
    <w:rsid w:val="005630A2"/>
    <w:rsid w:val="0056327B"/>
    <w:rsid w:val="00563652"/>
    <w:rsid w:val="00563996"/>
    <w:rsid w:val="00563A96"/>
    <w:rsid w:val="00563E14"/>
    <w:rsid w:val="00564208"/>
    <w:rsid w:val="0056454B"/>
    <w:rsid w:val="00564575"/>
    <w:rsid w:val="00564799"/>
    <w:rsid w:val="0056496E"/>
    <w:rsid w:val="00565048"/>
    <w:rsid w:val="0056546C"/>
    <w:rsid w:val="00565A0D"/>
    <w:rsid w:val="00565D74"/>
    <w:rsid w:val="005668B4"/>
    <w:rsid w:val="005669CE"/>
    <w:rsid w:val="00566F8A"/>
    <w:rsid w:val="005672F4"/>
    <w:rsid w:val="005673CE"/>
    <w:rsid w:val="00567C21"/>
    <w:rsid w:val="00567F61"/>
    <w:rsid w:val="0057015F"/>
    <w:rsid w:val="0057075B"/>
    <w:rsid w:val="00570F49"/>
    <w:rsid w:val="00571028"/>
    <w:rsid w:val="005712CD"/>
    <w:rsid w:val="005713DC"/>
    <w:rsid w:val="00571656"/>
    <w:rsid w:val="00571CEB"/>
    <w:rsid w:val="00571EFE"/>
    <w:rsid w:val="005720C5"/>
    <w:rsid w:val="0057269D"/>
    <w:rsid w:val="0057291D"/>
    <w:rsid w:val="00572BE7"/>
    <w:rsid w:val="00572D56"/>
    <w:rsid w:val="0057385F"/>
    <w:rsid w:val="00573BA7"/>
    <w:rsid w:val="00573BAD"/>
    <w:rsid w:val="00573CAF"/>
    <w:rsid w:val="00574528"/>
    <w:rsid w:val="005746D1"/>
    <w:rsid w:val="005757E7"/>
    <w:rsid w:val="00575F2D"/>
    <w:rsid w:val="00576488"/>
    <w:rsid w:val="00576B7F"/>
    <w:rsid w:val="00576CFF"/>
    <w:rsid w:val="00576D2E"/>
    <w:rsid w:val="00576FAB"/>
    <w:rsid w:val="005770F1"/>
    <w:rsid w:val="005771EE"/>
    <w:rsid w:val="00577584"/>
    <w:rsid w:val="00577985"/>
    <w:rsid w:val="00577AC9"/>
    <w:rsid w:val="00580318"/>
    <w:rsid w:val="005807C3"/>
    <w:rsid w:val="005814A2"/>
    <w:rsid w:val="00581608"/>
    <w:rsid w:val="005818B4"/>
    <w:rsid w:val="005819A3"/>
    <w:rsid w:val="00581AF2"/>
    <w:rsid w:val="00581CCF"/>
    <w:rsid w:val="00581EEB"/>
    <w:rsid w:val="005822F7"/>
    <w:rsid w:val="005832BC"/>
    <w:rsid w:val="005835E8"/>
    <w:rsid w:val="00583829"/>
    <w:rsid w:val="00583B6F"/>
    <w:rsid w:val="0058434C"/>
    <w:rsid w:val="00584503"/>
    <w:rsid w:val="005845F0"/>
    <w:rsid w:val="00584669"/>
    <w:rsid w:val="005846EC"/>
    <w:rsid w:val="00584886"/>
    <w:rsid w:val="005849C5"/>
    <w:rsid w:val="00584AB4"/>
    <w:rsid w:val="00585391"/>
    <w:rsid w:val="005854D5"/>
    <w:rsid w:val="0058573C"/>
    <w:rsid w:val="00585779"/>
    <w:rsid w:val="00585A46"/>
    <w:rsid w:val="0058666C"/>
    <w:rsid w:val="00586F78"/>
    <w:rsid w:val="0058700C"/>
    <w:rsid w:val="005872B7"/>
    <w:rsid w:val="00587437"/>
    <w:rsid w:val="005878E5"/>
    <w:rsid w:val="00587EA9"/>
    <w:rsid w:val="005900E7"/>
    <w:rsid w:val="0059015B"/>
    <w:rsid w:val="00590531"/>
    <w:rsid w:val="005905FA"/>
    <w:rsid w:val="00590ABC"/>
    <w:rsid w:val="00590AF1"/>
    <w:rsid w:val="00591032"/>
    <w:rsid w:val="005912B4"/>
    <w:rsid w:val="00591508"/>
    <w:rsid w:val="00591520"/>
    <w:rsid w:val="00591854"/>
    <w:rsid w:val="00591873"/>
    <w:rsid w:val="0059188B"/>
    <w:rsid w:val="00591951"/>
    <w:rsid w:val="00591CA1"/>
    <w:rsid w:val="00591E04"/>
    <w:rsid w:val="005921BC"/>
    <w:rsid w:val="005921E1"/>
    <w:rsid w:val="0059254A"/>
    <w:rsid w:val="005926CC"/>
    <w:rsid w:val="00592EC9"/>
    <w:rsid w:val="005935EB"/>
    <w:rsid w:val="00593817"/>
    <w:rsid w:val="00593C87"/>
    <w:rsid w:val="00593CB4"/>
    <w:rsid w:val="00593CC0"/>
    <w:rsid w:val="0059459A"/>
    <w:rsid w:val="0059469D"/>
    <w:rsid w:val="00594779"/>
    <w:rsid w:val="005948D6"/>
    <w:rsid w:val="00594B4C"/>
    <w:rsid w:val="0059531A"/>
    <w:rsid w:val="00595A3C"/>
    <w:rsid w:val="00595D9F"/>
    <w:rsid w:val="00595F35"/>
    <w:rsid w:val="00596151"/>
    <w:rsid w:val="0059696B"/>
    <w:rsid w:val="00596C0E"/>
    <w:rsid w:val="00596C6E"/>
    <w:rsid w:val="00596ECF"/>
    <w:rsid w:val="00596FDC"/>
    <w:rsid w:val="0059705D"/>
    <w:rsid w:val="00597738"/>
    <w:rsid w:val="005977E9"/>
    <w:rsid w:val="00597AE9"/>
    <w:rsid w:val="005A0964"/>
    <w:rsid w:val="005A0AAA"/>
    <w:rsid w:val="005A0F2C"/>
    <w:rsid w:val="005A1354"/>
    <w:rsid w:val="005A167B"/>
    <w:rsid w:val="005A2160"/>
    <w:rsid w:val="005A28B9"/>
    <w:rsid w:val="005A2ABA"/>
    <w:rsid w:val="005A2D62"/>
    <w:rsid w:val="005A3C93"/>
    <w:rsid w:val="005A3CFF"/>
    <w:rsid w:val="005A3DED"/>
    <w:rsid w:val="005A3F1F"/>
    <w:rsid w:val="005A3F94"/>
    <w:rsid w:val="005A4F31"/>
    <w:rsid w:val="005A54BD"/>
    <w:rsid w:val="005A59C6"/>
    <w:rsid w:val="005A5A58"/>
    <w:rsid w:val="005A5C7E"/>
    <w:rsid w:val="005A6116"/>
    <w:rsid w:val="005A6125"/>
    <w:rsid w:val="005A6305"/>
    <w:rsid w:val="005A6356"/>
    <w:rsid w:val="005A6532"/>
    <w:rsid w:val="005A6B0E"/>
    <w:rsid w:val="005A6C45"/>
    <w:rsid w:val="005A6FDD"/>
    <w:rsid w:val="005A70D0"/>
    <w:rsid w:val="005A7683"/>
    <w:rsid w:val="005A7E8D"/>
    <w:rsid w:val="005A7EA5"/>
    <w:rsid w:val="005A7FDC"/>
    <w:rsid w:val="005B0331"/>
    <w:rsid w:val="005B049D"/>
    <w:rsid w:val="005B0800"/>
    <w:rsid w:val="005B08D6"/>
    <w:rsid w:val="005B0B55"/>
    <w:rsid w:val="005B1C08"/>
    <w:rsid w:val="005B1D07"/>
    <w:rsid w:val="005B1FA8"/>
    <w:rsid w:val="005B2364"/>
    <w:rsid w:val="005B2822"/>
    <w:rsid w:val="005B3609"/>
    <w:rsid w:val="005B36F6"/>
    <w:rsid w:val="005B3717"/>
    <w:rsid w:val="005B3AAB"/>
    <w:rsid w:val="005B3B62"/>
    <w:rsid w:val="005B47CE"/>
    <w:rsid w:val="005B48DD"/>
    <w:rsid w:val="005B4D09"/>
    <w:rsid w:val="005B5014"/>
    <w:rsid w:val="005B5179"/>
    <w:rsid w:val="005B5698"/>
    <w:rsid w:val="005B59A3"/>
    <w:rsid w:val="005B59D0"/>
    <w:rsid w:val="005B60C5"/>
    <w:rsid w:val="005B67B3"/>
    <w:rsid w:val="005B73BD"/>
    <w:rsid w:val="005B74EE"/>
    <w:rsid w:val="005C0104"/>
    <w:rsid w:val="005C1184"/>
    <w:rsid w:val="005C142D"/>
    <w:rsid w:val="005C15B9"/>
    <w:rsid w:val="005C16EB"/>
    <w:rsid w:val="005C1918"/>
    <w:rsid w:val="005C1FAB"/>
    <w:rsid w:val="005C200B"/>
    <w:rsid w:val="005C2472"/>
    <w:rsid w:val="005C28A0"/>
    <w:rsid w:val="005C2B1F"/>
    <w:rsid w:val="005C2C57"/>
    <w:rsid w:val="005C2D2F"/>
    <w:rsid w:val="005C2ECF"/>
    <w:rsid w:val="005C2F8C"/>
    <w:rsid w:val="005C3051"/>
    <w:rsid w:val="005C3122"/>
    <w:rsid w:val="005C3ADB"/>
    <w:rsid w:val="005C3F11"/>
    <w:rsid w:val="005C42F2"/>
    <w:rsid w:val="005C454C"/>
    <w:rsid w:val="005C4580"/>
    <w:rsid w:val="005C4847"/>
    <w:rsid w:val="005C529D"/>
    <w:rsid w:val="005C59C2"/>
    <w:rsid w:val="005C5A3E"/>
    <w:rsid w:val="005C5CC2"/>
    <w:rsid w:val="005C5D41"/>
    <w:rsid w:val="005C624B"/>
    <w:rsid w:val="005C633C"/>
    <w:rsid w:val="005C6385"/>
    <w:rsid w:val="005C647A"/>
    <w:rsid w:val="005C693F"/>
    <w:rsid w:val="005C6B5F"/>
    <w:rsid w:val="005C73B8"/>
    <w:rsid w:val="005C7927"/>
    <w:rsid w:val="005C7DF1"/>
    <w:rsid w:val="005C7F79"/>
    <w:rsid w:val="005D0420"/>
    <w:rsid w:val="005D05FC"/>
    <w:rsid w:val="005D0AAC"/>
    <w:rsid w:val="005D0D77"/>
    <w:rsid w:val="005D0EB0"/>
    <w:rsid w:val="005D0F04"/>
    <w:rsid w:val="005D12FF"/>
    <w:rsid w:val="005D148F"/>
    <w:rsid w:val="005D1498"/>
    <w:rsid w:val="005D18B2"/>
    <w:rsid w:val="005D1980"/>
    <w:rsid w:val="005D1A1F"/>
    <w:rsid w:val="005D1BB9"/>
    <w:rsid w:val="005D1BD2"/>
    <w:rsid w:val="005D1F2A"/>
    <w:rsid w:val="005D1F34"/>
    <w:rsid w:val="005D1F6C"/>
    <w:rsid w:val="005D25E9"/>
    <w:rsid w:val="005D2960"/>
    <w:rsid w:val="005D2E11"/>
    <w:rsid w:val="005D3146"/>
    <w:rsid w:val="005D33CA"/>
    <w:rsid w:val="005D3407"/>
    <w:rsid w:val="005D353E"/>
    <w:rsid w:val="005D383D"/>
    <w:rsid w:val="005D3BF8"/>
    <w:rsid w:val="005D3CCA"/>
    <w:rsid w:val="005D409A"/>
    <w:rsid w:val="005D4126"/>
    <w:rsid w:val="005D4697"/>
    <w:rsid w:val="005D4972"/>
    <w:rsid w:val="005D5060"/>
    <w:rsid w:val="005D5242"/>
    <w:rsid w:val="005D546F"/>
    <w:rsid w:val="005D59F8"/>
    <w:rsid w:val="005D5BE9"/>
    <w:rsid w:val="005D60B6"/>
    <w:rsid w:val="005D6252"/>
    <w:rsid w:val="005D6D25"/>
    <w:rsid w:val="005D6F40"/>
    <w:rsid w:val="005D708D"/>
    <w:rsid w:val="005D72B8"/>
    <w:rsid w:val="005D7999"/>
    <w:rsid w:val="005D7CE5"/>
    <w:rsid w:val="005D7E10"/>
    <w:rsid w:val="005D7E50"/>
    <w:rsid w:val="005D7FA8"/>
    <w:rsid w:val="005E024B"/>
    <w:rsid w:val="005E06DC"/>
    <w:rsid w:val="005E072C"/>
    <w:rsid w:val="005E0991"/>
    <w:rsid w:val="005E0BE3"/>
    <w:rsid w:val="005E14A0"/>
    <w:rsid w:val="005E1A17"/>
    <w:rsid w:val="005E1A43"/>
    <w:rsid w:val="005E1E1A"/>
    <w:rsid w:val="005E2027"/>
    <w:rsid w:val="005E282D"/>
    <w:rsid w:val="005E2B7A"/>
    <w:rsid w:val="005E3BF7"/>
    <w:rsid w:val="005E3D5B"/>
    <w:rsid w:val="005E4306"/>
    <w:rsid w:val="005E4493"/>
    <w:rsid w:val="005E449C"/>
    <w:rsid w:val="005E4510"/>
    <w:rsid w:val="005E456C"/>
    <w:rsid w:val="005E48D5"/>
    <w:rsid w:val="005E4970"/>
    <w:rsid w:val="005E4B3E"/>
    <w:rsid w:val="005E4BC2"/>
    <w:rsid w:val="005E4CE0"/>
    <w:rsid w:val="005E5B2C"/>
    <w:rsid w:val="005E5D0D"/>
    <w:rsid w:val="005E6032"/>
    <w:rsid w:val="005E6147"/>
    <w:rsid w:val="005E6635"/>
    <w:rsid w:val="005E6C17"/>
    <w:rsid w:val="005E6ED8"/>
    <w:rsid w:val="005E6F63"/>
    <w:rsid w:val="005E7801"/>
    <w:rsid w:val="005E7973"/>
    <w:rsid w:val="005E7C29"/>
    <w:rsid w:val="005E7FC8"/>
    <w:rsid w:val="005F0585"/>
    <w:rsid w:val="005F05A7"/>
    <w:rsid w:val="005F0B0A"/>
    <w:rsid w:val="005F0BA5"/>
    <w:rsid w:val="005F0F4D"/>
    <w:rsid w:val="005F0F57"/>
    <w:rsid w:val="005F14C1"/>
    <w:rsid w:val="005F1931"/>
    <w:rsid w:val="005F1E5F"/>
    <w:rsid w:val="005F21E2"/>
    <w:rsid w:val="005F2361"/>
    <w:rsid w:val="005F26C5"/>
    <w:rsid w:val="005F2875"/>
    <w:rsid w:val="005F2A83"/>
    <w:rsid w:val="005F2C00"/>
    <w:rsid w:val="005F2C3F"/>
    <w:rsid w:val="005F2E4E"/>
    <w:rsid w:val="005F2EF3"/>
    <w:rsid w:val="005F2F6E"/>
    <w:rsid w:val="005F3588"/>
    <w:rsid w:val="005F35B2"/>
    <w:rsid w:val="005F38C9"/>
    <w:rsid w:val="005F3A64"/>
    <w:rsid w:val="005F3BEF"/>
    <w:rsid w:val="005F4C2B"/>
    <w:rsid w:val="005F4F14"/>
    <w:rsid w:val="005F5024"/>
    <w:rsid w:val="005F5044"/>
    <w:rsid w:val="005F568F"/>
    <w:rsid w:val="005F5C31"/>
    <w:rsid w:val="005F5E71"/>
    <w:rsid w:val="005F616D"/>
    <w:rsid w:val="005F62BF"/>
    <w:rsid w:val="005F638B"/>
    <w:rsid w:val="005F66F4"/>
    <w:rsid w:val="005F6D1D"/>
    <w:rsid w:val="005F7916"/>
    <w:rsid w:val="005F79A8"/>
    <w:rsid w:val="005F7E87"/>
    <w:rsid w:val="00600260"/>
    <w:rsid w:val="00600C31"/>
    <w:rsid w:val="00600C7A"/>
    <w:rsid w:val="00600DDC"/>
    <w:rsid w:val="00600EBA"/>
    <w:rsid w:val="00600EF8"/>
    <w:rsid w:val="006012ED"/>
    <w:rsid w:val="00601426"/>
    <w:rsid w:val="00601B34"/>
    <w:rsid w:val="00601EC2"/>
    <w:rsid w:val="00601F5F"/>
    <w:rsid w:val="006020D6"/>
    <w:rsid w:val="00602C42"/>
    <w:rsid w:val="00602C49"/>
    <w:rsid w:val="00602EF5"/>
    <w:rsid w:val="006030E7"/>
    <w:rsid w:val="00603538"/>
    <w:rsid w:val="00603580"/>
    <w:rsid w:val="00603858"/>
    <w:rsid w:val="00603BC1"/>
    <w:rsid w:val="00603DE2"/>
    <w:rsid w:val="006042E2"/>
    <w:rsid w:val="006047AB"/>
    <w:rsid w:val="00604CBF"/>
    <w:rsid w:val="00604DC9"/>
    <w:rsid w:val="00605145"/>
    <w:rsid w:val="00605225"/>
    <w:rsid w:val="0060537E"/>
    <w:rsid w:val="006056A1"/>
    <w:rsid w:val="006058BC"/>
    <w:rsid w:val="00605C10"/>
    <w:rsid w:val="00605D72"/>
    <w:rsid w:val="006066C0"/>
    <w:rsid w:val="00606737"/>
    <w:rsid w:val="00606C62"/>
    <w:rsid w:val="00607543"/>
    <w:rsid w:val="00607717"/>
    <w:rsid w:val="006078E1"/>
    <w:rsid w:val="00607A32"/>
    <w:rsid w:val="00607E3B"/>
    <w:rsid w:val="00610692"/>
    <w:rsid w:val="006108E6"/>
    <w:rsid w:val="0061109F"/>
    <w:rsid w:val="0061131F"/>
    <w:rsid w:val="00611610"/>
    <w:rsid w:val="00611AE2"/>
    <w:rsid w:val="00611B20"/>
    <w:rsid w:val="00611DEE"/>
    <w:rsid w:val="0061202F"/>
    <w:rsid w:val="00612080"/>
    <w:rsid w:val="00612484"/>
    <w:rsid w:val="0061298C"/>
    <w:rsid w:val="006133BC"/>
    <w:rsid w:val="006136C8"/>
    <w:rsid w:val="00613A56"/>
    <w:rsid w:val="00613D95"/>
    <w:rsid w:val="00614596"/>
    <w:rsid w:val="00614DCD"/>
    <w:rsid w:val="00614F35"/>
    <w:rsid w:val="006150C3"/>
    <w:rsid w:val="006157C1"/>
    <w:rsid w:val="00616B1D"/>
    <w:rsid w:val="00616F88"/>
    <w:rsid w:val="006170BD"/>
    <w:rsid w:val="006175F2"/>
    <w:rsid w:val="00617705"/>
    <w:rsid w:val="00617ED9"/>
    <w:rsid w:val="00620153"/>
    <w:rsid w:val="00620388"/>
    <w:rsid w:val="006207EE"/>
    <w:rsid w:val="006208D4"/>
    <w:rsid w:val="00620BE3"/>
    <w:rsid w:val="00620CCB"/>
    <w:rsid w:val="00621675"/>
    <w:rsid w:val="006219BC"/>
    <w:rsid w:val="00621CC7"/>
    <w:rsid w:val="00621F7F"/>
    <w:rsid w:val="00621FB4"/>
    <w:rsid w:val="006220B8"/>
    <w:rsid w:val="0062216E"/>
    <w:rsid w:val="00622482"/>
    <w:rsid w:val="006224AB"/>
    <w:rsid w:val="00622508"/>
    <w:rsid w:val="006227F2"/>
    <w:rsid w:val="00622AC5"/>
    <w:rsid w:val="00622AD3"/>
    <w:rsid w:val="006231A4"/>
    <w:rsid w:val="00623321"/>
    <w:rsid w:val="006234E3"/>
    <w:rsid w:val="006236D1"/>
    <w:rsid w:val="006240FC"/>
    <w:rsid w:val="006242BF"/>
    <w:rsid w:val="006244E1"/>
    <w:rsid w:val="00624505"/>
    <w:rsid w:val="006247C0"/>
    <w:rsid w:val="00624945"/>
    <w:rsid w:val="00624BA8"/>
    <w:rsid w:val="00624FAF"/>
    <w:rsid w:val="006250B8"/>
    <w:rsid w:val="006256B2"/>
    <w:rsid w:val="0062590A"/>
    <w:rsid w:val="00625962"/>
    <w:rsid w:val="00625EFC"/>
    <w:rsid w:val="00625FCC"/>
    <w:rsid w:val="0062611D"/>
    <w:rsid w:val="006261EA"/>
    <w:rsid w:val="00626D2E"/>
    <w:rsid w:val="00626DE4"/>
    <w:rsid w:val="006274DF"/>
    <w:rsid w:val="0062753C"/>
    <w:rsid w:val="00627C40"/>
    <w:rsid w:val="00627C59"/>
    <w:rsid w:val="0063009F"/>
    <w:rsid w:val="0063026F"/>
    <w:rsid w:val="006306EA"/>
    <w:rsid w:val="00630B1A"/>
    <w:rsid w:val="00630DEF"/>
    <w:rsid w:val="006315CD"/>
    <w:rsid w:val="0063178E"/>
    <w:rsid w:val="0063188B"/>
    <w:rsid w:val="00631B20"/>
    <w:rsid w:val="00631C30"/>
    <w:rsid w:val="00631C68"/>
    <w:rsid w:val="0063243A"/>
    <w:rsid w:val="00632A43"/>
    <w:rsid w:val="00632D9D"/>
    <w:rsid w:val="00632DA0"/>
    <w:rsid w:val="00632FA4"/>
    <w:rsid w:val="006336B2"/>
    <w:rsid w:val="0063392B"/>
    <w:rsid w:val="00633B05"/>
    <w:rsid w:val="00633B36"/>
    <w:rsid w:val="0063461B"/>
    <w:rsid w:val="0063473F"/>
    <w:rsid w:val="0063490D"/>
    <w:rsid w:val="00634D10"/>
    <w:rsid w:val="006356C5"/>
    <w:rsid w:val="00635B8C"/>
    <w:rsid w:val="00635D72"/>
    <w:rsid w:val="00635E6A"/>
    <w:rsid w:val="00635E9F"/>
    <w:rsid w:val="00635F8B"/>
    <w:rsid w:val="006360C6"/>
    <w:rsid w:val="0063631B"/>
    <w:rsid w:val="0063639E"/>
    <w:rsid w:val="006363BD"/>
    <w:rsid w:val="00636F73"/>
    <w:rsid w:val="0063735F"/>
    <w:rsid w:val="00637392"/>
    <w:rsid w:val="00637434"/>
    <w:rsid w:val="006377BA"/>
    <w:rsid w:val="00637C18"/>
    <w:rsid w:val="006401CF"/>
    <w:rsid w:val="0064036A"/>
    <w:rsid w:val="00640826"/>
    <w:rsid w:val="00640D71"/>
    <w:rsid w:val="00640FC1"/>
    <w:rsid w:val="006414EB"/>
    <w:rsid w:val="006419FD"/>
    <w:rsid w:val="00642580"/>
    <w:rsid w:val="0064263B"/>
    <w:rsid w:val="00642903"/>
    <w:rsid w:val="006429C2"/>
    <w:rsid w:val="006435AA"/>
    <w:rsid w:val="0064375C"/>
    <w:rsid w:val="00643777"/>
    <w:rsid w:val="00643A24"/>
    <w:rsid w:val="00643B47"/>
    <w:rsid w:val="00643D9A"/>
    <w:rsid w:val="0064443F"/>
    <w:rsid w:val="006447BC"/>
    <w:rsid w:val="00644C0A"/>
    <w:rsid w:val="00644CDF"/>
    <w:rsid w:val="00644E83"/>
    <w:rsid w:val="00644FBF"/>
    <w:rsid w:val="006455DE"/>
    <w:rsid w:val="00645628"/>
    <w:rsid w:val="0064598E"/>
    <w:rsid w:val="00645A08"/>
    <w:rsid w:val="00647CD4"/>
    <w:rsid w:val="00647EDE"/>
    <w:rsid w:val="00647F42"/>
    <w:rsid w:val="0065000E"/>
    <w:rsid w:val="006502FC"/>
    <w:rsid w:val="006505BD"/>
    <w:rsid w:val="006508EC"/>
    <w:rsid w:val="00650E26"/>
    <w:rsid w:val="006514A3"/>
    <w:rsid w:val="0065162F"/>
    <w:rsid w:val="00651ABD"/>
    <w:rsid w:val="00651D0A"/>
    <w:rsid w:val="0065218A"/>
    <w:rsid w:val="0065223C"/>
    <w:rsid w:val="006525B1"/>
    <w:rsid w:val="00652BD5"/>
    <w:rsid w:val="00653135"/>
    <w:rsid w:val="0065317F"/>
    <w:rsid w:val="006532D3"/>
    <w:rsid w:val="006532EB"/>
    <w:rsid w:val="006535DB"/>
    <w:rsid w:val="006536BD"/>
    <w:rsid w:val="0065382C"/>
    <w:rsid w:val="00653863"/>
    <w:rsid w:val="00653AB8"/>
    <w:rsid w:val="00653FC6"/>
    <w:rsid w:val="00654063"/>
    <w:rsid w:val="006540DE"/>
    <w:rsid w:val="006540E8"/>
    <w:rsid w:val="0065466A"/>
    <w:rsid w:val="00654793"/>
    <w:rsid w:val="00654D6F"/>
    <w:rsid w:val="00654E64"/>
    <w:rsid w:val="006550C3"/>
    <w:rsid w:val="00655B54"/>
    <w:rsid w:val="00655D78"/>
    <w:rsid w:val="006561B7"/>
    <w:rsid w:val="00656904"/>
    <w:rsid w:val="00656A05"/>
    <w:rsid w:val="00656E81"/>
    <w:rsid w:val="00656F95"/>
    <w:rsid w:val="00660598"/>
    <w:rsid w:val="0066085F"/>
    <w:rsid w:val="00660AE3"/>
    <w:rsid w:val="00660DA5"/>
    <w:rsid w:val="00660ED3"/>
    <w:rsid w:val="00661453"/>
    <w:rsid w:val="00661561"/>
    <w:rsid w:val="006616F9"/>
    <w:rsid w:val="00661710"/>
    <w:rsid w:val="00661836"/>
    <w:rsid w:val="00661ECF"/>
    <w:rsid w:val="00662269"/>
    <w:rsid w:val="00662478"/>
    <w:rsid w:val="006626B5"/>
    <w:rsid w:val="00662F4B"/>
    <w:rsid w:val="0066314D"/>
    <w:rsid w:val="00663669"/>
    <w:rsid w:val="00663712"/>
    <w:rsid w:val="006638DB"/>
    <w:rsid w:val="00663A18"/>
    <w:rsid w:val="00664935"/>
    <w:rsid w:val="00664990"/>
    <w:rsid w:val="00664B7D"/>
    <w:rsid w:val="00664F5E"/>
    <w:rsid w:val="006651E4"/>
    <w:rsid w:val="0066529E"/>
    <w:rsid w:val="00665E05"/>
    <w:rsid w:val="00665EDC"/>
    <w:rsid w:val="006661DB"/>
    <w:rsid w:val="0066651E"/>
    <w:rsid w:val="0066735D"/>
    <w:rsid w:val="006676D5"/>
    <w:rsid w:val="006677AB"/>
    <w:rsid w:val="0066797F"/>
    <w:rsid w:val="00667F76"/>
    <w:rsid w:val="006708C9"/>
    <w:rsid w:val="00670B58"/>
    <w:rsid w:val="00670D4B"/>
    <w:rsid w:val="0067144A"/>
    <w:rsid w:val="00671A0E"/>
    <w:rsid w:val="00671A55"/>
    <w:rsid w:val="00671C8F"/>
    <w:rsid w:val="00671DB4"/>
    <w:rsid w:val="00671FFE"/>
    <w:rsid w:val="00672260"/>
    <w:rsid w:val="00672282"/>
    <w:rsid w:val="00672575"/>
    <w:rsid w:val="00672CF3"/>
    <w:rsid w:val="00672E8D"/>
    <w:rsid w:val="00673935"/>
    <w:rsid w:val="00673A64"/>
    <w:rsid w:val="00673C1A"/>
    <w:rsid w:val="006741C4"/>
    <w:rsid w:val="006743DA"/>
    <w:rsid w:val="006744B1"/>
    <w:rsid w:val="00674845"/>
    <w:rsid w:val="00674FE8"/>
    <w:rsid w:val="0067512E"/>
    <w:rsid w:val="00675477"/>
    <w:rsid w:val="00675DAD"/>
    <w:rsid w:val="00676090"/>
    <w:rsid w:val="00676369"/>
    <w:rsid w:val="00676756"/>
    <w:rsid w:val="0067693B"/>
    <w:rsid w:val="00677200"/>
    <w:rsid w:val="00677568"/>
    <w:rsid w:val="006775C7"/>
    <w:rsid w:val="00677963"/>
    <w:rsid w:val="00677CF5"/>
    <w:rsid w:val="00677E77"/>
    <w:rsid w:val="006806AA"/>
    <w:rsid w:val="0068090F"/>
    <w:rsid w:val="006809AB"/>
    <w:rsid w:val="006810A3"/>
    <w:rsid w:val="0068110F"/>
    <w:rsid w:val="00681589"/>
    <w:rsid w:val="006816DB"/>
    <w:rsid w:val="00681FDF"/>
    <w:rsid w:val="006822F6"/>
    <w:rsid w:val="00682397"/>
    <w:rsid w:val="006826AA"/>
    <w:rsid w:val="00682D3D"/>
    <w:rsid w:val="00682EAD"/>
    <w:rsid w:val="00683074"/>
    <w:rsid w:val="00683482"/>
    <w:rsid w:val="0068356F"/>
    <w:rsid w:val="00683612"/>
    <w:rsid w:val="006837EF"/>
    <w:rsid w:val="0068385F"/>
    <w:rsid w:val="00683BF2"/>
    <w:rsid w:val="006840CF"/>
    <w:rsid w:val="00684126"/>
    <w:rsid w:val="0068413F"/>
    <w:rsid w:val="0068570D"/>
    <w:rsid w:val="0068635F"/>
    <w:rsid w:val="00686460"/>
    <w:rsid w:val="006865BD"/>
    <w:rsid w:val="00686627"/>
    <w:rsid w:val="006867EB"/>
    <w:rsid w:val="0068682B"/>
    <w:rsid w:val="006869EC"/>
    <w:rsid w:val="00686A13"/>
    <w:rsid w:val="00686A1E"/>
    <w:rsid w:val="00686E92"/>
    <w:rsid w:val="00687A83"/>
    <w:rsid w:val="00687EB8"/>
    <w:rsid w:val="00687EFA"/>
    <w:rsid w:val="00687F33"/>
    <w:rsid w:val="0069042C"/>
    <w:rsid w:val="00690441"/>
    <w:rsid w:val="0069064E"/>
    <w:rsid w:val="006907D8"/>
    <w:rsid w:val="006907E3"/>
    <w:rsid w:val="006907FE"/>
    <w:rsid w:val="00690955"/>
    <w:rsid w:val="00690993"/>
    <w:rsid w:val="00690CBE"/>
    <w:rsid w:val="00691C36"/>
    <w:rsid w:val="00691CD6"/>
    <w:rsid w:val="00691E06"/>
    <w:rsid w:val="00691E86"/>
    <w:rsid w:val="00691E92"/>
    <w:rsid w:val="0069265A"/>
    <w:rsid w:val="00692677"/>
    <w:rsid w:val="00693218"/>
    <w:rsid w:val="00693A7E"/>
    <w:rsid w:val="00693E1B"/>
    <w:rsid w:val="0069442C"/>
    <w:rsid w:val="0069460B"/>
    <w:rsid w:val="006948DD"/>
    <w:rsid w:val="006948FB"/>
    <w:rsid w:val="00694B27"/>
    <w:rsid w:val="00695178"/>
    <w:rsid w:val="006953E9"/>
    <w:rsid w:val="00695A08"/>
    <w:rsid w:val="00695AC0"/>
    <w:rsid w:val="00695D3F"/>
    <w:rsid w:val="00695D67"/>
    <w:rsid w:val="00696021"/>
    <w:rsid w:val="0069665E"/>
    <w:rsid w:val="00696855"/>
    <w:rsid w:val="00696B1B"/>
    <w:rsid w:val="00696B41"/>
    <w:rsid w:val="00696C05"/>
    <w:rsid w:val="00697673"/>
    <w:rsid w:val="00697B98"/>
    <w:rsid w:val="00697C2C"/>
    <w:rsid w:val="00697CFB"/>
    <w:rsid w:val="00697D6F"/>
    <w:rsid w:val="006A01A8"/>
    <w:rsid w:val="006A05C5"/>
    <w:rsid w:val="006A0E56"/>
    <w:rsid w:val="006A1127"/>
    <w:rsid w:val="006A128F"/>
    <w:rsid w:val="006A1369"/>
    <w:rsid w:val="006A2010"/>
    <w:rsid w:val="006A20D5"/>
    <w:rsid w:val="006A20E1"/>
    <w:rsid w:val="006A217E"/>
    <w:rsid w:val="006A29CC"/>
    <w:rsid w:val="006A3120"/>
    <w:rsid w:val="006A3A85"/>
    <w:rsid w:val="006A4061"/>
    <w:rsid w:val="006A4203"/>
    <w:rsid w:val="006A4662"/>
    <w:rsid w:val="006A4F55"/>
    <w:rsid w:val="006A5148"/>
    <w:rsid w:val="006A5154"/>
    <w:rsid w:val="006A5210"/>
    <w:rsid w:val="006A58DB"/>
    <w:rsid w:val="006A5A77"/>
    <w:rsid w:val="006A5BB1"/>
    <w:rsid w:val="006A5D47"/>
    <w:rsid w:val="006A5F95"/>
    <w:rsid w:val="006A6500"/>
    <w:rsid w:val="006A6B91"/>
    <w:rsid w:val="006A6BB3"/>
    <w:rsid w:val="006A6E2C"/>
    <w:rsid w:val="006A7B7F"/>
    <w:rsid w:val="006A7C66"/>
    <w:rsid w:val="006B04BE"/>
    <w:rsid w:val="006B1018"/>
    <w:rsid w:val="006B1143"/>
    <w:rsid w:val="006B1372"/>
    <w:rsid w:val="006B160A"/>
    <w:rsid w:val="006B2057"/>
    <w:rsid w:val="006B231B"/>
    <w:rsid w:val="006B28A2"/>
    <w:rsid w:val="006B2D8B"/>
    <w:rsid w:val="006B3741"/>
    <w:rsid w:val="006B3755"/>
    <w:rsid w:val="006B3D38"/>
    <w:rsid w:val="006B3DE1"/>
    <w:rsid w:val="006B3ED8"/>
    <w:rsid w:val="006B3F08"/>
    <w:rsid w:val="006B5539"/>
    <w:rsid w:val="006B57F0"/>
    <w:rsid w:val="006B57FD"/>
    <w:rsid w:val="006B5A02"/>
    <w:rsid w:val="006B5FCA"/>
    <w:rsid w:val="006B6016"/>
    <w:rsid w:val="006B626C"/>
    <w:rsid w:val="006B64BA"/>
    <w:rsid w:val="006B6F35"/>
    <w:rsid w:val="006B7001"/>
    <w:rsid w:val="006B7355"/>
    <w:rsid w:val="006B742D"/>
    <w:rsid w:val="006B774F"/>
    <w:rsid w:val="006B779A"/>
    <w:rsid w:val="006B7B93"/>
    <w:rsid w:val="006B7D63"/>
    <w:rsid w:val="006B7F53"/>
    <w:rsid w:val="006B7F73"/>
    <w:rsid w:val="006C0106"/>
    <w:rsid w:val="006C0642"/>
    <w:rsid w:val="006C07F8"/>
    <w:rsid w:val="006C091A"/>
    <w:rsid w:val="006C0C92"/>
    <w:rsid w:val="006C0D54"/>
    <w:rsid w:val="006C1C5C"/>
    <w:rsid w:val="006C2BC6"/>
    <w:rsid w:val="006C3046"/>
    <w:rsid w:val="006C3107"/>
    <w:rsid w:val="006C3139"/>
    <w:rsid w:val="006C3B28"/>
    <w:rsid w:val="006C3EEC"/>
    <w:rsid w:val="006C40AC"/>
    <w:rsid w:val="006C4100"/>
    <w:rsid w:val="006C410D"/>
    <w:rsid w:val="006C4BEF"/>
    <w:rsid w:val="006C50FC"/>
    <w:rsid w:val="006C522B"/>
    <w:rsid w:val="006C53DF"/>
    <w:rsid w:val="006C592B"/>
    <w:rsid w:val="006C5B57"/>
    <w:rsid w:val="006C5D7A"/>
    <w:rsid w:val="006C658C"/>
    <w:rsid w:val="006C68A1"/>
    <w:rsid w:val="006C69D8"/>
    <w:rsid w:val="006C6AF5"/>
    <w:rsid w:val="006C7238"/>
    <w:rsid w:val="006C7911"/>
    <w:rsid w:val="006C7A80"/>
    <w:rsid w:val="006C7B3D"/>
    <w:rsid w:val="006D02DA"/>
    <w:rsid w:val="006D0407"/>
    <w:rsid w:val="006D05C4"/>
    <w:rsid w:val="006D0608"/>
    <w:rsid w:val="006D064F"/>
    <w:rsid w:val="006D071B"/>
    <w:rsid w:val="006D0B96"/>
    <w:rsid w:val="006D0F6E"/>
    <w:rsid w:val="006D1198"/>
    <w:rsid w:val="006D15B3"/>
    <w:rsid w:val="006D1836"/>
    <w:rsid w:val="006D1C1A"/>
    <w:rsid w:val="006D1C3B"/>
    <w:rsid w:val="006D23FD"/>
    <w:rsid w:val="006D2588"/>
    <w:rsid w:val="006D2943"/>
    <w:rsid w:val="006D2B5E"/>
    <w:rsid w:val="006D316B"/>
    <w:rsid w:val="006D33E5"/>
    <w:rsid w:val="006D3A4A"/>
    <w:rsid w:val="006D4162"/>
    <w:rsid w:val="006D4669"/>
    <w:rsid w:val="006D4F44"/>
    <w:rsid w:val="006D50CF"/>
    <w:rsid w:val="006D539A"/>
    <w:rsid w:val="006D546A"/>
    <w:rsid w:val="006D54C0"/>
    <w:rsid w:val="006D55A7"/>
    <w:rsid w:val="006D590F"/>
    <w:rsid w:val="006D5B4C"/>
    <w:rsid w:val="006D5B9F"/>
    <w:rsid w:val="006D5C21"/>
    <w:rsid w:val="006D5E13"/>
    <w:rsid w:val="006D5EE5"/>
    <w:rsid w:val="006D6ACD"/>
    <w:rsid w:val="006D6EE2"/>
    <w:rsid w:val="006D719F"/>
    <w:rsid w:val="006D75CA"/>
    <w:rsid w:val="006D79E3"/>
    <w:rsid w:val="006D7B94"/>
    <w:rsid w:val="006D7E2F"/>
    <w:rsid w:val="006D7E4A"/>
    <w:rsid w:val="006DEBF9"/>
    <w:rsid w:val="006E02BE"/>
    <w:rsid w:val="006E0426"/>
    <w:rsid w:val="006E08D6"/>
    <w:rsid w:val="006E139F"/>
    <w:rsid w:val="006E165B"/>
    <w:rsid w:val="006E22B8"/>
    <w:rsid w:val="006E29DD"/>
    <w:rsid w:val="006E2B9D"/>
    <w:rsid w:val="006E3986"/>
    <w:rsid w:val="006E4275"/>
    <w:rsid w:val="006E445A"/>
    <w:rsid w:val="006E44A0"/>
    <w:rsid w:val="006E44E7"/>
    <w:rsid w:val="006E4512"/>
    <w:rsid w:val="006E4722"/>
    <w:rsid w:val="006E4A26"/>
    <w:rsid w:val="006E4FDB"/>
    <w:rsid w:val="006E4FF5"/>
    <w:rsid w:val="006E515B"/>
    <w:rsid w:val="006E533D"/>
    <w:rsid w:val="006E56C9"/>
    <w:rsid w:val="006E5987"/>
    <w:rsid w:val="006E618D"/>
    <w:rsid w:val="006E61D0"/>
    <w:rsid w:val="006E6498"/>
    <w:rsid w:val="006E651D"/>
    <w:rsid w:val="006E65AB"/>
    <w:rsid w:val="006E67EE"/>
    <w:rsid w:val="006E6D3B"/>
    <w:rsid w:val="006E72DE"/>
    <w:rsid w:val="006E74ED"/>
    <w:rsid w:val="006E7568"/>
    <w:rsid w:val="006E76BC"/>
    <w:rsid w:val="006E7C3B"/>
    <w:rsid w:val="006F067A"/>
    <w:rsid w:val="006F071E"/>
    <w:rsid w:val="006F1241"/>
    <w:rsid w:val="006F1A79"/>
    <w:rsid w:val="006F202B"/>
    <w:rsid w:val="006F2130"/>
    <w:rsid w:val="006F2834"/>
    <w:rsid w:val="006F29F8"/>
    <w:rsid w:val="006F2BFA"/>
    <w:rsid w:val="006F2D52"/>
    <w:rsid w:val="006F30E9"/>
    <w:rsid w:val="006F3395"/>
    <w:rsid w:val="006F36C9"/>
    <w:rsid w:val="006F3A42"/>
    <w:rsid w:val="006F3F62"/>
    <w:rsid w:val="006F4016"/>
    <w:rsid w:val="006F43CD"/>
    <w:rsid w:val="006F4552"/>
    <w:rsid w:val="006F4841"/>
    <w:rsid w:val="006F4B27"/>
    <w:rsid w:val="006F4F08"/>
    <w:rsid w:val="006F6335"/>
    <w:rsid w:val="006F6676"/>
    <w:rsid w:val="006F6903"/>
    <w:rsid w:val="006F6B17"/>
    <w:rsid w:val="006F6B1D"/>
    <w:rsid w:val="006F6B93"/>
    <w:rsid w:val="006F6CF2"/>
    <w:rsid w:val="006F6E6E"/>
    <w:rsid w:val="006F7096"/>
    <w:rsid w:val="006F724F"/>
    <w:rsid w:val="006F72E1"/>
    <w:rsid w:val="006F74BB"/>
    <w:rsid w:val="006F764D"/>
    <w:rsid w:val="006F7D64"/>
    <w:rsid w:val="00700286"/>
    <w:rsid w:val="00700F6B"/>
    <w:rsid w:val="0070157A"/>
    <w:rsid w:val="00701789"/>
    <w:rsid w:val="007019C2"/>
    <w:rsid w:val="00701C10"/>
    <w:rsid w:val="00702307"/>
    <w:rsid w:val="00702BCF"/>
    <w:rsid w:val="007032DE"/>
    <w:rsid w:val="007037A5"/>
    <w:rsid w:val="00703BC8"/>
    <w:rsid w:val="00703DB1"/>
    <w:rsid w:val="00703E1F"/>
    <w:rsid w:val="00704411"/>
    <w:rsid w:val="007045CB"/>
    <w:rsid w:val="007047F7"/>
    <w:rsid w:val="007048D1"/>
    <w:rsid w:val="00705385"/>
    <w:rsid w:val="00705CE9"/>
    <w:rsid w:val="0070623A"/>
    <w:rsid w:val="0070627C"/>
    <w:rsid w:val="00706746"/>
    <w:rsid w:val="00706CE2"/>
    <w:rsid w:val="00706EAF"/>
    <w:rsid w:val="00707BC0"/>
    <w:rsid w:val="00707BCC"/>
    <w:rsid w:val="00707BCE"/>
    <w:rsid w:val="00707E26"/>
    <w:rsid w:val="007100B2"/>
    <w:rsid w:val="00710E6A"/>
    <w:rsid w:val="00710F15"/>
    <w:rsid w:val="0071184A"/>
    <w:rsid w:val="00711A0D"/>
    <w:rsid w:val="00711C35"/>
    <w:rsid w:val="00712237"/>
    <w:rsid w:val="00712291"/>
    <w:rsid w:val="007126BF"/>
    <w:rsid w:val="007127A8"/>
    <w:rsid w:val="00712A1A"/>
    <w:rsid w:val="00712EFE"/>
    <w:rsid w:val="007133A7"/>
    <w:rsid w:val="0071346A"/>
    <w:rsid w:val="00713650"/>
    <w:rsid w:val="00713B29"/>
    <w:rsid w:val="00713B6F"/>
    <w:rsid w:val="007149AF"/>
    <w:rsid w:val="00714F0D"/>
    <w:rsid w:val="00714FF5"/>
    <w:rsid w:val="00715602"/>
    <w:rsid w:val="007156DA"/>
    <w:rsid w:val="00715B2C"/>
    <w:rsid w:val="00715C36"/>
    <w:rsid w:val="00715CBA"/>
    <w:rsid w:val="00715E21"/>
    <w:rsid w:val="0071666C"/>
    <w:rsid w:val="00716954"/>
    <w:rsid w:val="00716D67"/>
    <w:rsid w:val="0071701A"/>
    <w:rsid w:val="00717A08"/>
    <w:rsid w:val="00717C67"/>
    <w:rsid w:val="00717FD3"/>
    <w:rsid w:val="00720126"/>
    <w:rsid w:val="00720560"/>
    <w:rsid w:val="0072141F"/>
    <w:rsid w:val="007220B2"/>
    <w:rsid w:val="0072210F"/>
    <w:rsid w:val="00722994"/>
    <w:rsid w:val="007241AD"/>
    <w:rsid w:val="0072421E"/>
    <w:rsid w:val="00724CAB"/>
    <w:rsid w:val="00724E68"/>
    <w:rsid w:val="00724EB2"/>
    <w:rsid w:val="0072556D"/>
    <w:rsid w:val="00725B76"/>
    <w:rsid w:val="00726524"/>
    <w:rsid w:val="00726990"/>
    <w:rsid w:val="00726D4A"/>
    <w:rsid w:val="00726D51"/>
    <w:rsid w:val="00726FEC"/>
    <w:rsid w:val="007271C2"/>
    <w:rsid w:val="007275EB"/>
    <w:rsid w:val="0072762C"/>
    <w:rsid w:val="00727A91"/>
    <w:rsid w:val="007301B8"/>
    <w:rsid w:val="00730344"/>
    <w:rsid w:val="00730BD2"/>
    <w:rsid w:val="00730F17"/>
    <w:rsid w:val="00731199"/>
    <w:rsid w:val="00731202"/>
    <w:rsid w:val="00731700"/>
    <w:rsid w:val="007317E7"/>
    <w:rsid w:val="00731880"/>
    <w:rsid w:val="00731A3B"/>
    <w:rsid w:val="00731F11"/>
    <w:rsid w:val="0073245C"/>
    <w:rsid w:val="0073257F"/>
    <w:rsid w:val="00732749"/>
    <w:rsid w:val="00732E50"/>
    <w:rsid w:val="00732EAD"/>
    <w:rsid w:val="007330C6"/>
    <w:rsid w:val="0073334D"/>
    <w:rsid w:val="00733769"/>
    <w:rsid w:val="007338B5"/>
    <w:rsid w:val="00733A16"/>
    <w:rsid w:val="00733CF2"/>
    <w:rsid w:val="00733D5C"/>
    <w:rsid w:val="00733DCA"/>
    <w:rsid w:val="007344C4"/>
    <w:rsid w:val="007346B2"/>
    <w:rsid w:val="007346FE"/>
    <w:rsid w:val="00734850"/>
    <w:rsid w:val="00734AC3"/>
    <w:rsid w:val="00734AD4"/>
    <w:rsid w:val="00734AFC"/>
    <w:rsid w:val="00734EA9"/>
    <w:rsid w:val="00734EB5"/>
    <w:rsid w:val="00735106"/>
    <w:rsid w:val="007351AF"/>
    <w:rsid w:val="007352CC"/>
    <w:rsid w:val="007354F3"/>
    <w:rsid w:val="007355C5"/>
    <w:rsid w:val="00735881"/>
    <w:rsid w:val="00735B9A"/>
    <w:rsid w:val="00736363"/>
    <w:rsid w:val="007363A3"/>
    <w:rsid w:val="0073652A"/>
    <w:rsid w:val="00736808"/>
    <w:rsid w:val="00736BB5"/>
    <w:rsid w:val="00736E96"/>
    <w:rsid w:val="00736EE3"/>
    <w:rsid w:val="00737135"/>
    <w:rsid w:val="00737156"/>
    <w:rsid w:val="007373A1"/>
    <w:rsid w:val="0073775E"/>
    <w:rsid w:val="00737AB4"/>
    <w:rsid w:val="00737DFF"/>
    <w:rsid w:val="00740A2E"/>
    <w:rsid w:val="007411FF"/>
    <w:rsid w:val="00741285"/>
    <w:rsid w:val="007414C4"/>
    <w:rsid w:val="0074174A"/>
    <w:rsid w:val="00741990"/>
    <w:rsid w:val="0074199A"/>
    <w:rsid w:val="007422AD"/>
    <w:rsid w:val="0074234C"/>
    <w:rsid w:val="0074268C"/>
    <w:rsid w:val="00743177"/>
    <w:rsid w:val="0074346B"/>
    <w:rsid w:val="0074348F"/>
    <w:rsid w:val="007435B2"/>
    <w:rsid w:val="0074360F"/>
    <w:rsid w:val="00743682"/>
    <w:rsid w:val="007437AD"/>
    <w:rsid w:val="00743DF9"/>
    <w:rsid w:val="007442BF"/>
    <w:rsid w:val="007443EF"/>
    <w:rsid w:val="00744560"/>
    <w:rsid w:val="0074469F"/>
    <w:rsid w:val="007448B1"/>
    <w:rsid w:val="00744C14"/>
    <w:rsid w:val="00745003"/>
    <w:rsid w:val="0074609F"/>
    <w:rsid w:val="007466AE"/>
    <w:rsid w:val="00746C5F"/>
    <w:rsid w:val="00747698"/>
    <w:rsid w:val="00747C89"/>
    <w:rsid w:val="00750161"/>
    <w:rsid w:val="00750292"/>
    <w:rsid w:val="00750380"/>
    <w:rsid w:val="007506AD"/>
    <w:rsid w:val="007506DE"/>
    <w:rsid w:val="00750759"/>
    <w:rsid w:val="00750A90"/>
    <w:rsid w:val="00750EF2"/>
    <w:rsid w:val="00750F2C"/>
    <w:rsid w:val="0075139D"/>
    <w:rsid w:val="007519FD"/>
    <w:rsid w:val="00751D71"/>
    <w:rsid w:val="007523B8"/>
    <w:rsid w:val="00752534"/>
    <w:rsid w:val="00753F6C"/>
    <w:rsid w:val="007540BF"/>
    <w:rsid w:val="007546DE"/>
    <w:rsid w:val="007547BD"/>
    <w:rsid w:val="00754B56"/>
    <w:rsid w:val="00754EE5"/>
    <w:rsid w:val="00755320"/>
    <w:rsid w:val="00755DDE"/>
    <w:rsid w:val="007561A1"/>
    <w:rsid w:val="00756757"/>
    <w:rsid w:val="007568A7"/>
    <w:rsid w:val="007568FD"/>
    <w:rsid w:val="00756932"/>
    <w:rsid w:val="00756CAB"/>
    <w:rsid w:val="00756DC6"/>
    <w:rsid w:val="00756DE3"/>
    <w:rsid w:val="00756F8D"/>
    <w:rsid w:val="0075775E"/>
    <w:rsid w:val="00757A5F"/>
    <w:rsid w:val="0075985A"/>
    <w:rsid w:val="007605E2"/>
    <w:rsid w:val="00760783"/>
    <w:rsid w:val="00760AAE"/>
    <w:rsid w:val="00760E09"/>
    <w:rsid w:val="00761057"/>
    <w:rsid w:val="007615A9"/>
    <w:rsid w:val="007617C0"/>
    <w:rsid w:val="00761C32"/>
    <w:rsid w:val="0076280C"/>
    <w:rsid w:val="007628DF"/>
    <w:rsid w:val="007629B6"/>
    <w:rsid w:val="00762B6D"/>
    <w:rsid w:val="00762F22"/>
    <w:rsid w:val="00762F7F"/>
    <w:rsid w:val="00763248"/>
    <w:rsid w:val="007634F1"/>
    <w:rsid w:val="0076352D"/>
    <w:rsid w:val="00763570"/>
    <w:rsid w:val="0076362E"/>
    <w:rsid w:val="00763693"/>
    <w:rsid w:val="007637A8"/>
    <w:rsid w:val="00763A89"/>
    <w:rsid w:val="00763D78"/>
    <w:rsid w:val="00763D9D"/>
    <w:rsid w:val="0076405D"/>
    <w:rsid w:val="007640EB"/>
    <w:rsid w:val="007641D3"/>
    <w:rsid w:val="00764694"/>
    <w:rsid w:val="007647C8"/>
    <w:rsid w:val="00764864"/>
    <w:rsid w:val="007648E7"/>
    <w:rsid w:val="00764DBD"/>
    <w:rsid w:val="007650B8"/>
    <w:rsid w:val="0076572C"/>
    <w:rsid w:val="007659C5"/>
    <w:rsid w:val="00765B47"/>
    <w:rsid w:val="00765B58"/>
    <w:rsid w:val="00765C0D"/>
    <w:rsid w:val="00765D38"/>
    <w:rsid w:val="00765ED3"/>
    <w:rsid w:val="00765FE0"/>
    <w:rsid w:val="0076611C"/>
    <w:rsid w:val="007663F1"/>
    <w:rsid w:val="007665C0"/>
    <w:rsid w:val="007670FD"/>
    <w:rsid w:val="00767744"/>
    <w:rsid w:val="0076794F"/>
    <w:rsid w:val="00767AA4"/>
    <w:rsid w:val="00770678"/>
    <w:rsid w:val="00770B15"/>
    <w:rsid w:val="00770C9A"/>
    <w:rsid w:val="00770DCB"/>
    <w:rsid w:val="0077115D"/>
    <w:rsid w:val="0077132B"/>
    <w:rsid w:val="0077135A"/>
    <w:rsid w:val="007717DC"/>
    <w:rsid w:val="00771818"/>
    <w:rsid w:val="00771C87"/>
    <w:rsid w:val="00772662"/>
    <w:rsid w:val="007729E0"/>
    <w:rsid w:val="00772A72"/>
    <w:rsid w:val="00772BE8"/>
    <w:rsid w:val="00772CE9"/>
    <w:rsid w:val="00773003"/>
    <w:rsid w:val="0077352E"/>
    <w:rsid w:val="007739B7"/>
    <w:rsid w:val="00774266"/>
    <w:rsid w:val="00774670"/>
    <w:rsid w:val="00774AF5"/>
    <w:rsid w:val="00775435"/>
    <w:rsid w:val="00775485"/>
    <w:rsid w:val="0077551C"/>
    <w:rsid w:val="00775B3B"/>
    <w:rsid w:val="00775B8C"/>
    <w:rsid w:val="00775CCB"/>
    <w:rsid w:val="00775D1C"/>
    <w:rsid w:val="00776209"/>
    <w:rsid w:val="007763A4"/>
    <w:rsid w:val="007764C9"/>
    <w:rsid w:val="0077651B"/>
    <w:rsid w:val="00776568"/>
    <w:rsid w:val="00776589"/>
    <w:rsid w:val="00776765"/>
    <w:rsid w:val="007767DF"/>
    <w:rsid w:val="00776AE6"/>
    <w:rsid w:val="00776D28"/>
    <w:rsid w:val="0077747E"/>
    <w:rsid w:val="007776B7"/>
    <w:rsid w:val="00777930"/>
    <w:rsid w:val="00777FD6"/>
    <w:rsid w:val="00780427"/>
    <w:rsid w:val="00780A62"/>
    <w:rsid w:val="00780BE5"/>
    <w:rsid w:val="00780C64"/>
    <w:rsid w:val="007810DF"/>
    <w:rsid w:val="00781181"/>
    <w:rsid w:val="007818A4"/>
    <w:rsid w:val="007818B6"/>
    <w:rsid w:val="007818EF"/>
    <w:rsid w:val="007818FB"/>
    <w:rsid w:val="00781D78"/>
    <w:rsid w:val="0078256E"/>
    <w:rsid w:val="007833B8"/>
    <w:rsid w:val="00783532"/>
    <w:rsid w:val="00783A30"/>
    <w:rsid w:val="00783F24"/>
    <w:rsid w:val="0078415E"/>
    <w:rsid w:val="00784351"/>
    <w:rsid w:val="0078462F"/>
    <w:rsid w:val="007846B5"/>
    <w:rsid w:val="007846CC"/>
    <w:rsid w:val="00784A01"/>
    <w:rsid w:val="00785852"/>
    <w:rsid w:val="00786289"/>
    <w:rsid w:val="00786443"/>
    <w:rsid w:val="0078677D"/>
    <w:rsid w:val="00786E72"/>
    <w:rsid w:val="0078715D"/>
    <w:rsid w:val="007875B9"/>
    <w:rsid w:val="007878B2"/>
    <w:rsid w:val="00787CDB"/>
    <w:rsid w:val="00790BE0"/>
    <w:rsid w:val="0079106C"/>
    <w:rsid w:val="00791B06"/>
    <w:rsid w:val="00791DE7"/>
    <w:rsid w:val="00792272"/>
    <w:rsid w:val="007922B8"/>
    <w:rsid w:val="00792865"/>
    <w:rsid w:val="00792C11"/>
    <w:rsid w:val="0079371C"/>
    <w:rsid w:val="0079399A"/>
    <w:rsid w:val="007943D6"/>
    <w:rsid w:val="007944DE"/>
    <w:rsid w:val="00794BF0"/>
    <w:rsid w:val="00795ADC"/>
    <w:rsid w:val="00795EC6"/>
    <w:rsid w:val="00795F14"/>
    <w:rsid w:val="007962B8"/>
    <w:rsid w:val="007962F1"/>
    <w:rsid w:val="0079659F"/>
    <w:rsid w:val="00796620"/>
    <w:rsid w:val="00796ABD"/>
    <w:rsid w:val="00796B15"/>
    <w:rsid w:val="00797A67"/>
    <w:rsid w:val="00797D8A"/>
    <w:rsid w:val="00797FE8"/>
    <w:rsid w:val="007A002E"/>
    <w:rsid w:val="007A0050"/>
    <w:rsid w:val="007A012C"/>
    <w:rsid w:val="007A0471"/>
    <w:rsid w:val="007A082E"/>
    <w:rsid w:val="007A0D96"/>
    <w:rsid w:val="007A1696"/>
    <w:rsid w:val="007A1838"/>
    <w:rsid w:val="007A1A56"/>
    <w:rsid w:val="007A1C99"/>
    <w:rsid w:val="007A23BC"/>
    <w:rsid w:val="007A2BFF"/>
    <w:rsid w:val="007A2E30"/>
    <w:rsid w:val="007A2E46"/>
    <w:rsid w:val="007A2F1F"/>
    <w:rsid w:val="007A3159"/>
    <w:rsid w:val="007A3344"/>
    <w:rsid w:val="007A33EA"/>
    <w:rsid w:val="007A36FD"/>
    <w:rsid w:val="007A3BE4"/>
    <w:rsid w:val="007A43DA"/>
    <w:rsid w:val="007A4F62"/>
    <w:rsid w:val="007A5139"/>
    <w:rsid w:val="007A5712"/>
    <w:rsid w:val="007A5AAD"/>
    <w:rsid w:val="007A6767"/>
    <w:rsid w:val="007A6A6A"/>
    <w:rsid w:val="007A70AC"/>
    <w:rsid w:val="007A7412"/>
    <w:rsid w:val="007A7459"/>
    <w:rsid w:val="007A75DB"/>
    <w:rsid w:val="007A77D7"/>
    <w:rsid w:val="007A7A0F"/>
    <w:rsid w:val="007A7CB3"/>
    <w:rsid w:val="007B0412"/>
    <w:rsid w:val="007B06EA"/>
    <w:rsid w:val="007B09E8"/>
    <w:rsid w:val="007B0D92"/>
    <w:rsid w:val="007B0DB7"/>
    <w:rsid w:val="007B0F59"/>
    <w:rsid w:val="007B10A5"/>
    <w:rsid w:val="007B1314"/>
    <w:rsid w:val="007B14C3"/>
    <w:rsid w:val="007B18FC"/>
    <w:rsid w:val="007B1D0F"/>
    <w:rsid w:val="007B215A"/>
    <w:rsid w:val="007B24A9"/>
    <w:rsid w:val="007B2AAD"/>
    <w:rsid w:val="007B3845"/>
    <w:rsid w:val="007B3F6A"/>
    <w:rsid w:val="007B4398"/>
    <w:rsid w:val="007B4639"/>
    <w:rsid w:val="007B463F"/>
    <w:rsid w:val="007B4D3F"/>
    <w:rsid w:val="007B5231"/>
    <w:rsid w:val="007B537E"/>
    <w:rsid w:val="007B54C4"/>
    <w:rsid w:val="007B58CC"/>
    <w:rsid w:val="007B5941"/>
    <w:rsid w:val="007B59BB"/>
    <w:rsid w:val="007B5C13"/>
    <w:rsid w:val="007B5CD9"/>
    <w:rsid w:val="007B5EA5"/>
    <w:rsid w:val="007B612F"/>
    <w:rsid w:val="007B647E"/>
    <w:rsid w:val="007B6600"/>
    <w:rsid w:val="007B6698"/>
    <w:rsid w:val="007B66EC"/>
    <w:rsid w:val="007B70D8"/>
    <w:rsid w:val="007B75A5"/>
    <w:rsid w:val="007B7A7A"/>
    <w:rsid w:val="007B7EF4"/>
    <w:rsid w:val="007C03D3"/>
    <w:rsid w:val="007C0C60"/>
    <w:rsid w:val="007C168D"/>
    <w:rsid w:val="007C19A8"/>
    <w:rsid w:val="007C1A2C"/>
    <w:rsid w:val="007C277D"/>
    <w:rsid w:val="007C2C24"/>
    <w:rsid w:val="007C2C47"/>
    <w:rsid w:val="007C2EC1"/>
    <w:rsid w:val="007C2EDD"/>
    <w:rsid w:val="007C3D92"/>
    <w:rsid w:val="007C476C"/>
    <w:rsid w:val="007C4CB5"/>
    <w:rsid w:val="007C542D"/>
    <w:rsid w:val="007C6623"/>
    <w:rsid w:val="007C66CA"/>
    <w:rsid w:val="007C67BF"/>
    <w:rsid w:val="007C68C8"/>
    <w:rsid w:val="007C6CA5"/>
    <w:rsid w:val="007C6E6F"/>
    <w:rsid w:val="007C6F74"/>
    <w:rsid w:val="007C706E"/>
    <w:rsid w:val="007C70DE"/>
    <w:rsid w:val="007D04DF"/>
    <w:rsid w:val="007D133F"/>
    <w:rsid w:val="007D169A"/>
    <w:rsid w:val="007D17E9"/>
    <w:rsid w:val="007D1C1E"/>
    <w:rsid w:val="007D1CFB"/>
    <w:rsid w:val="007D22A4"/>
    <w:rsid w:val="007D2581"/>
    <w:rsid w:val="007D2E5E"/>
    <w:rsid w:val="007D2F00"/>
    <w:rsid w:val="007D3238"/>
    <w:rsid w:val="007D39BF"/>
    <w:rsid w:val="007D458D"/>
    <w:rsid w:val="007D47C4"/>
    <w:rsid w:val="007D49E9"/>
    <w:rsid w:val="007D4C65"/>
    <w:rsid w:val="007D4D24"/>
    <w:rsid w:val="007D5031"/>
    <w:rsid w:val="007D512B"/>
    <w:rsid w:val="007D52E5"/>
    <w:rsid w:val="007D58F7"/>
    <w:rsid w:val="007D5A64"/>
    <w:rsid w:val="007D6015"/>
    <w:rsid w:val="007D6290"/>
    <w:rsid w:val="007D696D"/>
    <w:rsid w:val="007D6AAE"/>
    <w:rsid w:val="007D6C43"/>
    <w:rsid w:val="007D74EB"/>
    <w:rsid w:val="007D78F7"/>
    <w:rsid w:val="007E062D"/>
    <w:rsid w:val="007E0834"/>
    <w:rsid w:val="007E09FA"/>
    <w:rsid w:val="007E0A30"/>
    <w:rsid w:val="007E0C06"/>
    <w:rsid w:val="007E0CBD"/>
    <w:rsid w:val="007E102A"/>
    <w:rsid w:val="007E113F"/>
    <w:rsid w:val="007E1155"/>
    <w:rsid w:val="007E12BD"/>
    <w:rsid w:val="007E1366"/>
    <w:rsid w:val="007E1413"/>
    <w:rsid w:val="007E1880"/>
    <w:rsid w:val="007E1F8A"/>
    <w:rsid w:val="007E204D"/>
    <w:rsid w:val="007E27A5"/>
    <w:rsid w:val="007E32F8"/>
    <w:rsid w:val="007E3BBB"/>
    <w:rsid w:val="007E3F53"/>
    <w:rsid w:val="007E4B02"/>
    <w:rsid w:val="007E4B80"/>
    <w:rsid w:val="007E4D0C"/>
    <w:rsid w:val="007E4E6A"/>
    <w:rsid w:val="007E511C"/>
    <w:rsid w:val="007E51BA"/>
    <w:rsid w:val="007E51E7"/>
    <w:rsid w:val="007E54AC"/>
    <w:rsid w:val="007E5997"/>
    <w:rsid w:val="007E5AD4"/>
    <w:rsid w:val="007E5B88"/>
    <w:rsid w:val="007E5E66"/>
    <w:rsid w:val="007E5F23"/>
    <w:rsid w:val="007E60C3"/>
    <w:rsid w:val="007E6254"/>
    <w:rsid w:val="007E6483"/>
    <w:rsid w:val="007E6825"/>
    <w:rsid w:val="007E6D70"/>
    <w:rsid w:val="007E7047"/>
    <w:rsid w:val="007E719A"/>
    <w:rsid w:val="007E7E39"/>
    <w:rsid w:val="007E7E43"/>
    <w:rsid w:val="007F0010"/>
    <w:rsid w:val="007F00D7"/>
    <w:rsid w:val="007F010E"/>
    <w:rsid w:val="007F0129"/>
    <w:rsid w:val="007F07B8"/>
    <w:rsid w:val="007F0D0B"/>
    <w:rsid w:val="007F0E8D"/>
    <w:rsid w:val="007F17DF"/>
    <w:rsid w:val="007F1D46"/>
    <w:rsid w:val="007F1E80"/>
    <w:rsid w:val="007F1EB7"/>
    <w:rsid w:val="007F216A"/>
    <w:rsid w:val="007F289E"/>
    <w:rsid w:val="007F28E7"/>
    <w:rsid w:val="007F291A"/>
    <w:rsid w:val="007F2A0F"/>
    <w:rsid w:val="007F2EB6"/>
    <w:rsid w:val="007F2FB9"/>
    <w:rsid w:val="007F3C1E"/>
    <w:rsid w:val="007F3FAE"/>
    <w:rsid w:val="007F3FF2"/>
    <w:rsid w:val="007F4609"/>
    <w:rsid w:val="007F4643"/>
    <w:rsid w:val="007F4739"/>
    <w:rsid w:val="007F4A73"/>
    <w:rsid w:val="007F4A84"/>
    <w:rsid w:val="007F4FDD"/>
    <w:rsid w:val="007F51C2"/>
    <w:rsid w:val="007F569B"/>
    <w:rsid w:val="007F5BA4"/>
    <w:rsid w:val="007F5E52"/>
    <w:rsid w:val="007F7190"/>
    <w:rsid w:val="007F7272"/>
    <w:rsid w:val="007F74F9"/>
    <w:rsid w:val="007F7559"/>
    <w:rsid w:val="007F764E"/>
    <w:rsid w:val="007F77AC"/>
    <w:rsid w:val="007F78E4"/>
    <w:rsid w:val="007F7F2F"/>
    <w:rsid w:val="007F7F47"/>
    <w:rsid w:val="0080023B"/>
    <w:rsid w:val="008002EB"/>
    <w:rsid w:val="008003D7"/>
    <w:rsid w:val="008007A8"/>
    <w:rsid w:val="008009CB"/>
    <w:rsid w:val="00800A87"/>
    <w:rsid w:val="00800A8C"/>
    <w:rsid w:val="00800C1D"/>
    <w:rsid w:val="00800D80"/>
    <w:rsid w:val="0080156F"/>
    <w:rsid w:val="008028E3"/>
    <w:rsid w:val="008029B7"/>
    <w:rsid w:val="00802C1E"/>
    <w:rsid w:val="00802F83"/>
    <w:rsid w:val="00803072"/>
    <w:rsid w:val="008032B6"/>
    <w:rsid w:val="008033B4"/>
    <w:rsid w:val="00803775"/>
    <w:rsid w:val="008038DD"/>
    <w:rsid w:val="008040C2"/>
    <w:rsid w:val="008041AF"/>
    <w:rsid w:val="008042D9"/>
    <w:rsid w:val="00804EBC"/>
    <w:rsid w:val="00805427"/>
    <w:rsid w:val="00806290"/>
    <w:rsid w:val="008064DD"/>
    <w:rsid w:val="00806544"/>
    <w:rsid w:val="008066DC"/>
    <w:rsid w:val="00807362"/>
    <w:rsid w:val="0080786A"/>
    <w:rsid w:val="00807949"/>
    <w:rsid w:val="00807CB8"/>
    <w:rsid w:val="00807F84"/>
    <w:rsid w:val="008108FD"/>
    <w:rsid w:val="0081097C"/>
    <w:rsid w:val="00810AA8"/>
    <w:rsid w:val="008115CB"/>
    <w:rsid w:val="008118EB"/>
    <w:rsid w:val="00811990"/>
    <w:rsid w:val="00811AA8"/>
    <w:rsid w:val="008121FC"/>
    <w:rsid w:val="0081221B"/>
    <w:rsid w:val="0081221D"/>
    <w:rsid w:val="00812380"/>
    <w:rsid w:val="0081292E"/>
    <w:rsid w:val="00812AAC"/>
    <w:rsid w:val="008134A4"/>
    <w:rsid w:val="008146A7"/>
    <w:rsid w:val="00814E7D"/>
    <w:rsid w:val="00814FC0"/>
    <w:rsid w:val="008158EF"/>
    <w:rsid w:val="00815DFA"/>
    <w:rsid w:val="00815FA6"/>
    <w:rsid w:val="008160C6"/>
    <w:rsid w:val="00816275"/>
    <w:rsid w:val="00816717"/>
    <w:rsid w:val="00816B03"/>
    <w:rsid w:val="00816C3B"/>
    <w:rsid w:val="00816D95"/>
    <w:rsid w:val="00816F96"/>
    <w:rsid w:val="00817C73"/>
    <w:rsid w:val="00817D3D"/>
    <w:rsid w:val="00817FC8"/>
    <w:rsid w:val="00820130"/>
    <w:rsid w:val="00820AAF"/>
    <w:rsid w:val="00820C3C"/>
    <w:rsid w:val="00820C7C"/>
    <w:rsid w:val="00820D12"/>
    <w:rsid w:val="00820D37"/>
    <w:rsid w:val="00821278"/>
    <w:rsid w:val="008220B3"/>
    <w:rsid w:val="008222F1"/>
    <w:rsid w:val="00822905"/>
    <w:rsid w:val="00822A0F"/>
    <w:rsid w:val="00822A63"/>
    <w:rsid w:val="00822DAC"/>
    <w:rsid w:val="00823005"/>
    <w:rsid w:val="00823212"/>
    <w:rsid w:val="008232A0"/>
    <w:rsid w:val="0082391B"/>
    <w:rsid w:val="00823C13"/>
    <w:rsid w:val="00823D1C"/>
    <w:rsid w:val="00823DE9"/>
    <w:rsid w:val="0082478D"/>
    <w:rsid w:val="00824858"/>
    <w:rsid w:val="00825083"/>
    <w:rsid w:val="008253BD"/>
    <w:rsid w:val="00825E5D"/>
    <w:rsid w:val="0082625A"/>
    <w:rsid w:val="008268E7"/>
    <w:rsid w:val="00826AE0"/>
    <w:rsid w:val="008274A5"/>
    <w:rsid w:val="00827AB5"/>
    <w:rsid w:val="00827B97"/>
    <w:rsid w:val="00827C46"/>
    <w:rsid w:val="00827DFF"/>
    <w:rsid w:val="0083007F"/>
    <w:rsid w:val="0083049C"/>
    <w:rsid w:val="008305A0"/>
    <w:rsid w:val="008311D8"/>
    <w:rsid w:val="008312D6"/>
    <w:rsid w:val="008313A3"/>
    <w:rsid w:val="008313AF"/>
    <w:rsid w:val="0083143B"/>
    <w:rsid w:val="00831AC0"/>
    <w:rsid w:val="00831DA8"/>
    <w:rsid w:val="00831F59"/>
    <w:rsid w:val="00832447"/>
    <w:rsid w:val="008324E3"/>
    <w:rsid w:val="0083277A"/>
    <w:rsid w:val="00832BA2"/>
    <w:rsid w:val="00832DC6"/>
    <w:rsid w:val="008330F4"/>
    <w:rsid w:val="00833868"/>
    <w:rsid w:val="0083397E"/>
    <w:rsid w:val="00833DED"/>
    <w:rsid w:val="00833FB3"/>
    <w:rsid w:val="00834034"/>
    <w:rsid w:val="0083485F"/>
    <w:rsid w:val="00834DCC"/>
    <w:rsid w:val="0083527E"/>
    <w:rsid w:val="008352FF"/>
    <w:rsid w:val="0083596B"/>
    <w:rsid w:val="0083666F"/>
    <w:rsid w:val="00836749"/>
    <w:rsid w:val="00836D77"/>
    <w:rsid w:val="00836ED5"/>
    <w:rsid w:val="00836F4E"/>
    <w:rsid w:val="008370CD"/>
    <w:rsid w:val="008370FF"/>
    <w:rsid w:val="008372FF"/>
    <w:rsid w:val="00837A77"/>
    <w:rsid w:val="00837F0C"/>
    <w:rsid w:val="008401C2"/>
    <w:rsid w:val="0084028B"/>
    <w:rsid w:val="008402A6"/>
    <w:rsid w:val="00840593"/>
    <w:rsid w:val="00840673"/>
    <w:rsid w:val="00840A6E"/>
    <w:rsid w:val="00840FBC"/>
    <w:rsid w:val="008410D8"/>
    <w:rsid w:val="0084168A"/>
    <w:rsid w:val="00841A4E"/>
    <w:rsid w:val="00842624"/>
    <w:rsid w:val="008427F2"/>
    <w:rsid w:val="00843011"/>
    <w:rsid w:val="00843026"/>
    <w:rsid w:val="0084316A"/>
    <w:rsid w:val="008434B9"/>
    <w:rsid w:val="00844336"/>
    <w:rsid w:val="008449B9"/>
    <w:rsid w:val="00844CE4"/>
    <w:rsid w:val="0084505D"/>
    <w:rsid w:val="0084553C"/>
    <w:rsid w:val="00845669"/>
    <w:rsid w:val="00845898"/>
    <w:rsid w:val="008459EF"/>
    <w:rsid w:val="00845A1E"/>
    <w:rsid w:val="00845F62"/>
    <w:rsid w:val="0084621C"/>
    <w:rsid w:val="00846448"/>
    <w:rsid w:val="00846673"/>
    <w:rsid w:val="00846798"/>
    <w:rsid w:val="008468C0"/>
    <w:rsid w:val="00846941"/>
    <w:rsid w:val="00846951"/>
    <w:rsid w:val="00846D59"/>
    <w:rsid w:val="00847191"/>
    <w:rsid w:val="008478C8"/>
    <w:rsid w:val="00847D76"/>
    <w:rsid w:val="00847DDF"/>
    <w:rsid w:val="00850120"/>
    <w:rsid w:val="008501F2"/>
    <w:rsid w:val="00850866"/>
    <w:rsid w:val="00850EA3"/>
    <w:rsid w:val="008513DC"/>
    <w:rsid w:val="00851618"/>
    <w:rsid w:val="008517DB"/>
    <w:rsid w:val="0085192C"/>
    <w:rsid w:val="00851D7C"/>
    <w:rsid w:val="00852703"/>
    <w:rsid w:val="00852787"/>
    <w:rsid w:val="00852841"/>
    <w:rsid w:val="00852BBA"/>
    <w:rsid w:val="00853411"/>
    <w:rsid w:val="008536A3"/>
    <w:rsid w:val="008537B7"/>
    <w:rsid w:val="00853B7A"/>
    <w:rsid w:val="0085404C"/>
    <w:rsid w:val="00854419"/>
    <w:rsid w:val="0085464F"/>
    <w:rsid w:val="008546F0"/>
    <w:rsid w:val="00854755"/>
    <w:rsid w:val="008548F6"/>
    <w:rsid w:val="00854D75"/>
    <w:rsid w:val="00854DCE"/>
    <w:rsid w:val="00854E6F"/>
    <w:rsid w:val="00854E7B"/>
    <w:rsid w:val="00855ADB"/>
    <w:rsid w:val="00855E9E"/>
    <w:rsid w:val="00856340"/>
    <w:rsid w:val="00856677"/>
    <w:rsid w:val="008567F0"/>
    <w:rsid w:val="00856AD6"/>
    <w:rsid w:val="00856C6D"/>
    <w:rsid w:val="00856CCC"/>
    <w:rsid w:val="008573EA"/>
    <w:rsid w:val="008574B1"/>
    <w:rsid w:val="0085776B"/>
    <w:rsid w:val="008578C3"/>
    <w:rsid w:val="00857A64"/>
    <w:rsid w:val="00857BFD"/>
    <w:rsid w:val="008602A3"/>
    <w:rsid w:val="00860600"/>
    <w:rsid w:val="008606BC"/>
    <w:rsid w:val="00860814"/>
    <w:rsid w:val="00860B8B"/>
    <w:rsid w:val="00860BDD"/>
    <w:rsid w:val="00860D42"/>
    <w:rsid w:val="00861476"/>
    <w:rsid w:val="008615FE"/>
    <w:rsid w:val="00861A37"/>
    <w:rsid w:val="00861C77"/>
    <w:rsid w:val="00861E14"/>
    <w:rsid w:val="00861EF4"/>
    <w:rsid w:val="00862441"/>
    <w:rsid w:val="0086254F"/>
    <w:rsid w:val="00862624"/>
    <w:rsid w:val="00862846"/>
    <w:rsid w:val="008629B6"/>
    <w:rsid w:val="00862BEC"/>
    <w:rsid w:val="00862CD8"/>
    <w:rsid w:val="0086303C"/>
    <w:rsid w:val="008633FF"/>
    <w:rsid w:val="008637DA"/>
    <w:rsid w:val="00863CDA"/>
    <w:rsid w:val="00863DC4"/>
    <w:rsid w:val="00863F93"/>
    <w:rsid w:val="0086406F"/>
    <w:rsid w:val="0086478F"/>
    <w:rsid w:val="00864ABC"/>
    <w:rsid w:val="00864F4D"/>
    <w:rsid w:val="0086518C"/>
    <w:rsid w:val="00865435"/>
    <w:rsid w:val="0086562D"/>
    <w:rsid w:val="00865788"/>
    <w:rsid w:val="00865B57"/>
    <w:rsid w:val="008668C0"/>
    <w:rsid w:val="00866C72"/>
    <w:rsid w:val="00867368"/>
    <w:rsid w:val="0086778A"/>
    <w:rsid w:val="00867AC7"/>
    <w:rsid w:val="00870413"/>
    <w:rsid w:val="008704FE"/>
    <w:rsid w:val="00870667"/>
    <w:rsid w:val="00870933"/>
    <w:rsid w:val="00870B5B"/>
    <w:rsid w:val="00870C75"/>
    <w:rsid w:val="00870FCC"/>
    <w:rsid w:val="008716A9"/>
    <w:rsid w:val="00871D31"/>
    <w:rsid w:val="008724CC"/>
    <w:rsid w:val="008724DE"/>
    <w:rsid w:val="00872607"/>
    <w:rsid w:val="00872A40"/>
    <w:rsid w:val="00872B7E"/>
    <w:rsid w:val="00873071"/>
    <w:rsid w:val="008733A4"/>
    <w:rsid w:val="008738A7"/>
    <w:rsid w:val="00873DCA"/>
    <w:rsid w:val="008740E1"/>
    <w:rsid w:val="008744C3"/>
    <w:rsid w:val="00874924"/>
    <w:rsid w:val="0087498E"/>
    <w:rsid w:val="00874A40"/>
    <w:rsid w:val="00874CD0"/>
    <w:rsid w:val="00874E91"/>
    <w:rsid w:val="00874F95"/>
    <w:rsid w:val="008758D9"/>
    <w:rsid w:val="00875BBF"/>
    <w:rsid w:val="00877173"/>
    <w:rsid w:val="00877228"/>
    <w:rsid w:val="0087735F"/>
    <w:rsid w:val="00877376"/>
    <w:rsid w:val="00877433"/>
    <w:rsid w:val="00877553"/>
    <w:rsid w:val="0088014E"/>
    <w:rsid w:val="0088038A"/>
    <w:rsid w:val="00880B06"/>
    <w:rsid w:val="00880CDD"/>
    <w:rsid w:val="00880EA6"/>
    <w:rsid w:val="0088126D"/>
    <w:rsid w:val="00881382"/>
    <w:rsid w:val="00881513"/>
    <w:rsid w:val="00881A59"/>
    <w:rsid w:val="00881B60"/>
    <w:rsid w:val="00881C29"/>
    <w:rsid w:val="0088202C"/>
    <w:rsid w:val="00882B0A"/>
    <w:rsid w:val="00882EF9"/>
    <w:rsid w:val="00883259"/>
    <w:rsid w:val="008837EF"/>
    <w:rsid w:val="008839CD"/>
    <w:rsid w:val="00883B28"/>
    <w:rsid w:val="00883D19"/>
    <w:rsid w:val="00883E46"/>
    <w:rsid w:val="00884360"/>
    <w:rsid w:val="00884CB4"/>
    <w:rsid w:val="00885140"/>
    <w:rsid w:val="00885179"/>
    <w:rsid w:val="00885651"/>
    <w:rsid w:val="00885E09"/>
    <w:rsid w:val="00886318"/>
    <w:rsid w:val="00886508"/>
    <w:rsid w:val="008865BC"/>
    <w:rsid w:val="008868AD"/>
    <w:rsid w:val="00886A05"/>
    <w:rsid w:val="00886A57"/>
    <w:rsid w:val="00887359"/>
    <w:rsid w:val="008873B5"/>
    <w:rsid w:val="008879A0"/>
    <w:rsid w:val="00887A03"/>
    <w:rsid w:val="00887B63"/>
    <w:rsid w:val="00887D11"/>
    <w:rsid w:val="00887E31"/>
    <w:rsid w:val="00887FEC"/>
    <w:rsid w:val="00890399"/>
    <w:rsid w:val="00890432"/>
    <w:rsid w:val="008905C4"/>
    <w:rsid w:val="008908CE"/>
    <w:rsid w:val="008909AB"/>
    <w:rsid w:val="00890AB7"/>
    <w:rsid w:val="00890C31"/>
    <w:rsid w:val="0089166C"/>
    <w:rsid w:val="008917CF"/>
    <w:rsid w:val="00891ADE"/>
    <w:rsid w:val="00891E5D"/>
    <w:rsid w:val="00892416"/>
    <w:rsid w:val="00892BAC"/>
    <w:rsid w:val="00892BDA"/>
    <w:rsid w:val="00892FC0"/>
    <w:rsid w:val="00892FD0"/>
    <w:rsid w:val="00893655"/>
    <w:rsid w:val="008938B0"/>
    <w:rsid w:val="008947B8"/>
    <w:rsid w:val="00894A2E"/>
    <w:rsid w:val="00894E38"/>
    <w:rsid w:val="008956F5"/>
    <w:rsid w:val="00895E9A"/>
    <w:rsid w:val="0089605D"/>
    <w:rsid w:val="00896742"/>
    <w:rsid w:val="00896791"/>
    <w:rsid w:val="00896A97"/>
    <w:rsid w:val="00896C5D"/>
    <w:rsid w:val="00896ED6"/>
    <w:rsid w:val="0089715E"/>
    <w:rsid w:val="00897238"/>
    <w:rsid w:val="00897A1A"/>
    <w:rsid w:val="00897CFB"/>
    <w:rsid w:val="008A00E7"/>
    <w:rsid w:val="008A076E"/>
    <w:rsid w:val="008A120F"/>
    <w:rsid w:val="008A134A"/>
    <w:rsid w:val="008A14B9"/>
    <w:rsid w:val="008A166F"/>
    <w:rsid w:val="008A1B72"/>
    <w:rsid w:val="008A1C4C"/>
    <w:rsid w:val="008A21A7"/>
    <w:rsid w:val="008A2463"/>
    <w:rsid w:val="008A27B4"/>
    <w:rsid w:val="008A29FF"/>
    <w:rsid w:val="008A2AA7"/>
    <w:rsid w:val="008A2C90"/>
    <w:rsid w:val="008A31BD"/>
    <w:rsid w:val="008A35A9"/>
    <w:rsid w:val="008A3673"/>
    <w:rsid w:val="008A37BC"/>
    <w:rsid w:val="008A38E0"/>
    <w:rsid w:val="008A3D57"/>
    <w:rsid w:val="008A402A"/>
    <w:rsid w:val="008A4A83"/>
    <w:rsid w:val="008A4BF8"/>
    <w:rsid w:val="008A4CC5"/>
    <w:rsid w:val="008A4D6B"/>
    <w:rsid w:val="008A4E4D"/>
    <w:rsid w:val="008A4E85"/>
    <w:rsid w:val="008A53B9"/>
    <w:rsid w:val="008A5580"/>
    <w:rsid w:val="008A5582"/>
    <w:rsid w:val="008A5616"/>
    <w:rsid w:val="008A5913"/>
    <w:rsid w:val="008A59AA"/>
    <w:rsid w:val="008A5AB4"/>
    <w:rsid w:val="008A5FF4"/>
    <w:rsid w:val="008A614E"/>
    <w:rsid w:val="008A6429"/>
    <w:rsid w:val="008A6A9E"/>
    <w:rsid w:val="008A6C02"/>
    <w:rsid w:val="008A7EB0"/>
    <w:rsid w:val="008B01C6"/>
    <w:rsid w:val="008B0238"/>
    <w:rsid w:val="008B025C"/>
    <w:rsid w:val="008B0294"/>
    <w:rsid w:val="008B04B6"/>
    <w:rsid w:val="008B1145"/>
    <w:rsid w:val="008B115E"/>
    <w:rsid w:val="008B1537"/>
    <w:rsid w:val="008B17FA"/>
    <w:rsid w:val="008B1A89"/>
    <w:rsid w:val="008B20B4"/>
    <w:rsid w:val="008B2340"/>
    <w:rsid w:val="008B23BC"/>
    <w:rsid w:val="008B23FD"/>
    <w:rsid w:val="008B2931"/>
    <w:rsid w:val="008B2E22"/>
    <w:rsid w:val="008B331C"/>
    <w:rsid w:val="008B33F9"/>
    <w:rsid w:val="008B3405"/>
    <w:rsid w:val="008B34EF"/>
    <w:rsid w:val="008B37E1"/>
    <w:rsid w:val="008B3899"/>
    <w:rsid w:val="008B4150"/>
    <w:rsid w:val="008B436D"/>
    <w:rsid w:val="008B46AA"/>
    <w:rsid w:val="008B46E5"/>
    <w:rsid w:val="008B47B1"/>
    <w:rsid w:val="008B484C"/>
    <w:rsid w:val="008B5876"/>
    <w:rsid w:val="008B5A05"/>
    <w:rsid w:val="008B60D4"/>
    <w:rsid w:val="008B72F0"/>
    <w:rsid w:val="008B742E"/>
    <w:rsid w:val="008B7D8E"/>
    <w:rsid w:val="008C05F8"/>
    <w:rsid w:val="008C084F"/>
    <w:rsid w:val="008C0DBF"/>
    <w:rsid w:val="008C0E94"/>
    <w:rsid w:val="008C116A"/>
    <w:rsid w:val="008C11E0"/>
    <w:rsid w:val="008C131C"/>
    <w:rsid w:val="008C18B5"/>
    <w:rsid w:val="008C1ACA"/>
    <w:rsid w:val="008C1B1A"/>
    <w:rsid w:val="008C20B9"/>
    <w:rsid w:val="008C216F"/>
    <w:rsid w:val="008C2547"/>
    <w:rsid w:val="008C352A"/>
    <w:rsid w:val="008C3727"/>
    <w:rsid w:val="008C3771"/>
    <w:rsid w:val="008C3ECE"/>
    <w:rsid w:val="008C43B1"/>
    <w:rsid w:val="008C43FA"/>
    <w:rsid w:val="008C48B3"/>
    <w:rsid w:val="008C4B07"/>
    <w:rsid w:val="008C4E6E"/>
    <w:rsid w:val="008C533A"/>
    <w:rsid w:val="008C5E56"/>
    <w:rsid w:val="008C6476"/>
    <w:rsid w:val="008C6800"/>
    <w:rsid w:val="008C6E24"/>
    <w:rsid w:val="008C71F7"/>
    <w:rsid w:val="008C72CB"/>
    <w:rsid w:val="008C759B"/>
    <w:rsid w:val="008C7ABB"/>
    <w:rsid w:val="008C7BF6"/>
    <w:rsid w:val="008D09ED"/>
    <w:rsid w:val="008D0B0E"/>
    <w:rsid w:val="008D0B0F"/>
    <w:rsid w:val="008D0FE7"/>
    <w:rsid w:val="008D103F"/>
    <w:rsid w:val="008D11DB"/>
    <w:rsid w:val="008D1365"/>
    <w:rsid w:val="008D1EE5"/>
    <w:rsid w:val="008D2039"/>
    <w:rsid w:val="008D220A"/>
    <w:rsid w:val="008D248C"/>
    <w:rsid w:val="008D24A1"/>
    <w:rsid w:val="008D274C"/>
    <w:rsid w:val="008D2A0E"/>
    <w:rsid w:val="008D2A7B"/>
    <w:rsid w:val="008D3537"/>
    <w:rsid w:val="008D399B"/>
    <w:rsid w:val="008D3A1E"/>
    <w:rsid w:val="008D43C6"/>
    <w:rsid w:val="008D44D5"/>
    <w:rsid w:val="008D459F"/>
    <w:rsid w:val="008D493E"/>
    <w:rsid w:val="008D4B3B"/>
    <w:rsid w:val="008D4D39"/>
    <w:rsid w:val="008D5D87"/>
    <w:rsid w:val="008D5EBA"/>
    <w:rsid w:val="008D5F1B"/>
    <w:rsid w:val="008D6171"/>
    <w:rsid w:val="008D6980"/>
    <w:rsid w:val="008D6DD2"/>
    <w:rsid w:val="008D7614"/>
    <w:rsid w:val="008D7888"/>
    <w:rsid w:val="008E02A0"/>
    <w:rsid w:val="008E036E"/>
    <w:rsid w:val="008E08C4"/>
    <w:rsid w:val="008E0D9A"/>
    <w:rsid w:val="008E0DB5"/>
    <w:rsid w:val="008E0DC0"/>
    <w:rsid w:val="008E0DF0"/>
    <w:rsid w:val="008E0E4E"/>
    <w:rsid w:val="008E10A5"/>
    <w:rsid w:val="008E12BF"/>
    <w:rsid w:val="008E13C4"/>
    <w:rsid w:val="008E1706"/>
    <w:rsid w:val="008E1A4C"/>
    <w:rsid w:val="008E1E9C"/>
    <w:rsid w:val="008E1FC8"/>
    <w:rsid w:val="008E2A08"/>
    <w:rsid w:val="008E2C93"/>
    <w:rsid w:val="008E2DBD"/>
    <w:rsid w:val="008E2E50"/>
    <w:rsid w:val="008E2FAF"/>
    <w:rsid w:val="008E30AA"/>
    <w:rsid w:val="008E328C"/>
    <w:rsid w:val="008E33BC"/>
    <w:rsid w:val="008E37EC"/>
    <w:rsid w:val="008E3C56"/>
    <w:rsid w:val="008E3D60"/>
    <w:rsid w:val="008E3E2A"/>
    <w:rsid w:val="008E3F4C"/>
    <w:rsid w:val="008E4297"/>
    <w:rsid w:val="008E435D"/>
    <w:rsid w:val="008E455E"/>
    <w:rsid w:val="008E45D2"/>
    <w:rsid w:val="008E4689"/>
    <w:rsid w:val="008E477D"/>
    <w:rsid w:val="008E477F"/>
    <w:rsid w:val="008E4C85"/>
    <w:rsid w:val="008E50EC"/>
    <w:rsid w:val="008E5492"/>
    <w:rsid w:val="008E5E08"/>
    <w:rsid w:val="008E6217"/>
    <w:rsid w:val="008E6347"/>
    <w:rsid w:val="008E6D0D"/>
    <w:rsid w:val="008E7C34"/>
    <w:rsid w:val="008E7FC9"/>
    <w:rsid w:val="008F0038"/>
    <w:rsid w:val="008F0202"/>
    <w:rsid w:val="008F0324"/>
    <w:rsid w:val="008F062E"/>
    <w:rsid w:val="008F070B"/>
    <w:rsid w:val="008F0833"/>
    <w:rsid w:val="008F090F"/>
    <w:rsid w:val="008F0AC7"/>
    <w:rsid w:val="008F0AC9"/>
    <w:rsid w:val="008F0D3E"/>
    <w:rsid w:val="008F0D78"/>
    <w:rsid w:val="008F1337"/>
    <w:rsid w:val="008F1648"/>
    <w:rsid w:val="008F16FB"/>
    <w:rsid w:val="008F1799"/>
    <w:rsid w:val="008F18C1"/>
    <w:rsid w:val="008F18F1"/>
    <w:rsid w:val="008F2405"/>
    <w:rsid w:val="008F246E"/>
    <w:rsid w:val="008F28BC"/>
    <w:rsid w:val="008F2A5F"/>
    <w:rsid w:val="008F317A"/>
    <w:rsid w:val="008F3DBE"/>
    <w:rsid w:val="008F41B5"/>
    <w:rsid w:val="008F4372"/>
    <w:rsid w:val="008F4637"/>
    <w:rsid w:val="008F4762"/>
    <w:rsid w:val="008F48E1"/>
    <w:rsid w:val="008F4EA7"/>
    <w:rsid w:val="008F50F4"/>
    <w:rsid w:val="008F58E1"/>
    <w:rsid w:val="008F66CC"/>
    <w:rsid w:val="008F6CEB"/>
    <w:rsid w:val="008F7237"/>
    <w:rsid w:val="008F7258"/>
    <w:rsid w:val="008F72D5"/>
    <w:rsid w:val="008F768F"/>
    <w:rsid w:val="008F77B5"/>
    <w:rsid w:val="008F7F4C"/>
    <w:rsid w:val="00900047"/>
    <w:rsid w:val="00900330"/>
    <w:rsid w:val="009006F3"/>
    <w:rsid w:val="00900C7D"/>
    <w:rsid w:val="00901103"/>
    <w:rsid w:val="009013F7"/>
    <w:rsid w:val="0090141A"/>
    <w:rsid w:val="0090165F"/>
    <w:rsid w:val="009017A0"/>
    <w:rsid w:val="009018D7"/>
    <w:rsid w:val="00901955"/>
    <w:rsid w:val="00901A2A"/>
    <w:rsid w:val="00901B82"/>
    <w:rsid w:val="009026D6"/>
    <w:rsid w:val="00902B5C"/>
    <w:rsid w:val="00903221"/>
    <w:rsid w:val="009032E6"/>
    <w:rsid w:val="00903401"/>
    <w:rsid w:val="0090362B"/>
    <w:rsid w:val="00903B4C"/>
    <w:rsid w:val="00903F62"/>
    <w:rsid w:val="00903F66"/>
    <w:rsid w:val="009052BA"/>
    <w:rsid w:val="009052BB"/>
    <w:rsid w:val="009052BE"/>
    <w:rsid w:val="00905F3B"/>
    <w:rsid w:val="009061AE"/>
    <w:rsid w:val="009069FA"/>
    <w:rsid w:val="009069FD"/>
    <w:rsid w:val="00906DA5"/>
    <w:rsid w:val="00906FF0"/>
    <w:rsid w:val="0090709E"/>
    <w:rsid w:val="009071BE"/>
    <w:rsid w:val="00907318"/>
    <w:rsid w:val="009075B5"/>
    <w:rsid w:val="00907917"/>
    <w:rsid w:val="00907AEF"/>
    <w:rsid w:val="00907FE6"/>
    <w:rsid w:val="009108B8"/>
    <w:rsid w:val="00910AB9"/>
    <w:rsid w:val="00910B76"/>
    <w:rsid w:val="00911369"/>
    <w:rsid w:val="009118BC"/>
    <w:rsid w:val="00911B20"/>
    <w:rsid w:val="00912836"/>
    <w:rsid w:val="009129D4"/>
    <w:rsid w:val="00912B09"/>
    <w:rsid w:val="00912DDE"/>
    <w:rsid w:val="00912EA4"/>
    <w:rsid w:val="00912F0D"/>
    <w:rsid w:val="00912F6B"/>
    <w:rsid w:val="009133B8"/>
    <w:rsid w:val="00913686"/>
    <w:rsid w:val="0091390C"/>
    <w:rsid w:val="00913A20"/>
    <w:rsid w:val="00913CF1"/>
    <w:rsid w:val="00914414"/>
    <w:rsid w:val="0091487A"/>
    <w:rsid w:val="00914B8D"/>
    <w:rsid w:val="00914C68"/>
    <w:rsid w:val="00914C7B"/>
    <w:rsid w:val="00914E5D"/>
    <w:rsid w:val="0091505E"/>
    <w:rsid w:val="009151F1"/>
    <w:rsid w:val="009153D4"/>
    <w:rsid w:val="009154A7"/>
    <w:rsid w:val="009155BD"/>
    <w:rsid w:val="00915654"/>
    <w:rsid w:val="00915C31"/>
    <w:rsid w:val="00915DAB"/>
    <w:rsid w:val="00915EBC"/>
    <w:rsid w:val="00916054"/>
    <w:rsid w:val="009162F9"/>
    <w:rsid w:val="0091647F"/>
    <w:rsid w:val="009165AE"/>
    <w:rsid w:val="00916993"/>
    <w:rsid w:val="00916E7B"/>
    <w:rsid w:val="00916E97"/>
    <w:rsid w:val="00917370"/>
    <w:rsid w:val="00917551"/>
    <w:rsid w:val="00917B64"/>
    <w:rsid w:val="00917BAC"/>
    <w:rsid w:val="0092089D"/>
    <w:rsid w:val="009208B8"/>
    <w:rsid w:val="00920C0D"/>
    <w:rsid w:val="00920CC9"/>
    <w:rsid w:val="0092130F"/>
    <w:rsid w:val="00921853"/>
    <w:rsid w:val="00921C93"/>
    <w:rsid w:val="00921D69"/>
    <w:rsid w:val="0092293F"/>
    <w:rsid w:val="00922A8D"/>
    <w:rsid w:val="00922BA7"/>
    <w:rsid w:val="00922C29"/>
    <w:rsid w:val="00922E74"/>
    <w:rsid w:val="00923630"/>
    <w:rsid w:val="009236F8"/>
    <w:rsid w:val="00923A90"/>
    <w:rsid w:val="009242DD"/>
    <w:rsid w:val="00924833"/>
    <w:rsid w:val="00924B00"/>
    <w:rsid w:val="00924BA6"/>
    <w:rsid w:val="009251DF"/>
    <w:rsid w:val="00925E92"/>
    <w:rsid w:val="00926318"/>
    <w:rsid w:val="009263AE"/>
    <w:rsid w:val="009268A5"/>
    <w:rsid w:val="00926DA4"/>
    <w:rsid w:val="00927EE0"/>
    <w:rsid w:val="009306FC"/>
    <w:rsid w:val="00930B23"/>
    <w:rsid w:val="00930B63"/>
    <w:rsid w:val="00930FE8"/>
    <w:rsid w:val="00931189"/>
    <w:rsid w:val="0093191D"/>
    <w:rsid w:val="00931ABF"/>
    <w:rsid w:val="0093207E"/>
    <w:rsid w:val="009326FB"/>
    <w:rsid w:val="00932C56"/>
    <w:rsid w:val="00932D85"/>
    <w:rsid w:val="00933138"/>
    <w:rsid w:val="009332D3"/>
    <w:rsid w:val="009335C3"/>
    <w:rsid w:val="00933A40"/>
    <w:rsid w:val="00933EAD"/>
    <w:rsid w:val="00933F45"/>
    <w:rsid w:val="0093443D"/>
    <w:rsid w:val="00934C66"/>
    <w:rsid w:val="00934EC4"/>
    <w:rsid w:val="00934FF3"/>
    <w:rsid w:val="0093503A"/>
    <w:rsid w:val="00935E8D"/>
    <w:rsid w:val="00935F7B"/>
    <w:rsid w:val="0093615E"/>
    <w:rsid w:val="009362F7"/>
    <w:rsid w:val="009364F4"/>
    <w:rsid w:val="00936571"/>
    <w:rsid w:val="00936684"/>
    <w:rsid w:val="009366B2"/>
    <w:rsid w:val="009370BC"/>
    <w:rsid w:val="00937251"/>
    <w:rsid w:val="00937877"/>
    <w:rsid w:val="00937B7B"/>
    <w:rsid w:val="00937F1E"/>
    <w:rsid w:val="00940206"/>
    <w:rsid w:val="009403B6"/>
    <w:rsid w:val="00940423"/>
    <w:rsid w:val="0094073B"/>
    <w:rsid w:val="0094073C"/>
    <w:rsid w:val="00941375"/>
    <w:rsid w:val="00941A7B"/>
    <w:rsid w:val="00941D91"/>
    <w:rsid w:val="0094207B"/>
    <w:rsid w:val="00942794"/>
    <w:rsid w:val="0094280D"/>
    <w:rsid w:val="00942895"/>
    <w:rsid w:val="009428A8"/>
    <w:rsid w:val="00942B88"/>
    <w:rsid w:val="00942C6B"/>
    <w:rsid w:val="00942D05"/>
    <w:rsid w:val="009432CF"/>
    <w:rsid w:val="00943365"/>
    <w:rsid w:val="0094360A"/>
    <w:rsid w:val="0094373C"/>
    <w:rsid w:val="00943E33"/>
    <w:rsid w:val="0094403D"/>
    <w:rsid w:val="0094477A"/>
    <w:rsid w:val="00944B67"/>
    <w:rsid w:val="0094505D"/>
    <w:rsid w:val="009451D8"/>
    <w:rsid w:val="00945742"/>
    <w:rsid w:val="00945F48"/>
    <w:rsid w:val="00946305"/>
    <w:rsid w:val="00946AD5"/>
    <w:rsid w:val="00946D2C"/>
    <w:rsid w:val="009470C6"/>
    <w:rsid w:val="0094719C"/>
    <w:rsid w:val="00947788"/>
    <w:rsid w:val="009477D3"/>
    <w:rsid w:val="00947809"/>
    <w:rsid w:val="00947BAC"/>
    <w:rsid w:val="0095039E"/>
    <w:rsid w:val="00950840"/>
    <w:rsid w:val="0095134F"/>
    <w:rsid w:val="00951A1E"/>
    <w:rsid w:val="00951DF9"/>
    <w:rsid w:val="00951EF5"/>
    <w:rsid w:val="0095207D"/>
    <w:rsid w:val="0095260A"/>
    <w:rsid w:val="00952E30"/>
    <w:rsid w:val="0095384E"/>
    <w:rsid w:val="00953950"/>
    <w:rsid w:val="00954744"/>
    <w:rsid w:val="009547C0"/>
    <w:rsid w:val="009551DB"/>
    <w:rsid w:val="009551E6"/>
    <w:rsid w:val="0095520F"/>
    <w:rsid w:val="00955519"/>
    <w:rsid w:val="009558D0"/>
    <w:rsid w:val="0095592C"/>
    <w:rsid w:val="00956344"/>
    <w:rsid w:val="00956996"/>
    <w:rsid w:val="00957490"/>
    <w:rsid w:val="009579DC"/>
    <w:rsid w:val="00957BCB"/>
    <w:rsid w:val="00957FA4"/>
    <w:rsid w:val="009600E6"/>
    <w:rsid w:val="00960446"/>
    <w:rsid w:val="00960603"/>
    <w:rsid w:val="0096081F"/>
    <w:rsid w:val="009609CC"/>
    <w:rsid w:val="00960A23"/>
    <w:rsid w:val="00960D15"/>
    <w:rsid w:val="00960EA9"/>
    <w:rsid w:val="0096171D"/>
    <w:rsid w:val="009617D8"/>
    <w:rsid w:val="0096188E"/>
    <w:rsid w:val="009627E1"/>
    <w:rsid w:val="009629DB"/>
    <w:rsid w:val="00962A2E"/>
    <w:rsid w:val="00962F22"/>
    <w:rsid w:val="009638A8"/>
    <w:rsid w:val="009639F2"/>
    <w:rsid w:val="00963E1B"/>
    <w:rsid w:val="00964328"/>
    <w:rsid w:val="00964416"/>
    <w:rsid w:val="0096474E"/>
    <w:rsid w:val="00964768"/>
    <w:rsid w:val="00964AD7"/>
    <w:rsid w:val="009650DD"/>
    <w:rsid w:val="00965169"/>
    <w:rsid w:val="0096516D"/>
    <w:rsid w:val="009652CC"/>
    <w:rsid w:val="00965683"/>
    <w:rsid w:val="00965918"/>
    <w:rsid w:val="009661F6"/>
    <w:rsid w:val="00966387"/>
    <w:rsid w:val="00966689"/>
    <w:rsid w:val="009668CB"/>
    <w:rsid w:val="00966C2F"/>
    <w:rsid w:val="00966C54"/>
    <w:rsid w:val="0096742A"/>
    <w:rsid w:val="00967833"/>
    <w:rsid w:val="00967C55"/>
    <w:rsid w:val="00967DFC"/>
    <w:rsid w:val="00967E32"/>
    <w:rsid w:val="00967FC2"/>
    <w:rsid w:val="00970169"/>
    <w:rsid w:val="009702A1"/>
    <w:rsid w:val="009708E7"/>
    <w:rsid w:val="009709DC"/>
    <w:rsid w:val="00970A43"/>
    <w:rsid w:val="00970B82"/>
    <w:rsid w:val="00970E84"/>
    <w:rsid w:val="00970FC6"/>
    <w:rsid w:val="00971712"/>
    <w:rsid w:val="00971861"/>
    <w:rsid w:val="00971F42"/>
    <w:rsid w:val="00972374"/>
    <w:rsid w:val="00973239"/>
    <w:rsid w:val="009737E5"/>
    <w:rsid w:val="0097385A"/>
    <w:rsid w:val="009738CA"/>
    <w:rsid w:val="00974151"/>
    <w:rsid w:val="00974204"/>
    <w:rsid w:val="00974247"/>
    <w:rsid w:val="00974336"/>
    <w:rsid w:val="0097512B"/>
    <w:rsid w:val="00975186"/>
    <w:rsid w:val="009754FA"/>
    <w:rsid w:val="0097571A"/>
    <w:rsid w:val="00975B9B"/>
    <w:rsid w:val="009763DD"/>
    <w:rsid w:val="00976CE0"/>
    <w:rsid w:val="00977504"/>
    <w:rsid w:val="009775F9"/>
    <w:rsid w:val="00977616"/>
    <w:rsid w:val="0098008D"/>
    <w:rsid w:val="009803B5"/>
    <w:rsid w:val="0098059F"/>
    <w:rsid w:val="00980AC7"/>
    <w:rsid w:val="00980FCF"/>
    <w:rsid w:val="009811BF"/>
    <w:rsid w:val="0098127A"/>
    <w:rsid w:val="00981B74"/>
    <w:rsid w:val="00981E63"/>
    <w:rsid w:val="00981FC6"/>
    <w:rsid w:val="00982404"/>
    <w:rsid w:val="00982525"/>
    <w:rsid w:val="00982AAD"/>
    <w:rsid w:val="00982B2F"/>
    <w:rsid w:val="00983205"/>
    <w:rsid w:val="009837D7"/>
    <w:rsid w:val="00983BEF"/>
    <w:rsid w:val="00983CE7"/>
    <w:rsid w:val="00983F35"/>
    <w:rsid w:val="0098437B"/>
    <w:rsid w:val="009845F6"/>
    <w:rsid w:val="009849DF"/>
    <w:rsid w:val="00984A33"/>
    <w:rsid w:val="00984DD1"/>
    <w:rsid w:val="009853E3"/>
    <w:rsid w:val="0098638C"/>
    <w:rsid w:val="009866BA"/>
    <w:rsid w:val="00986712"/>
    <w:rsid w:val="00986746"/>
    <w:rsid w:val="00986BBF"/>
    <w:rsid w:val="00986DBA"/>
    <w:rsid w:val="00986FC9"/>
    <w:rsid w:val="00987280"/>
    <w:rsid w:val="00987EE3"/>
    <w:rsid w:val="00990118"/>
    <w:rsid w:val="0099042B"/>
    <w:rsid w:val="00990B8E"/>
    <w:rsid w:val="00990BC3"/>
    <w:rsid w:val="00990C5D"/>
    <w:rsid w:val="0099100B"/>
    <w:rsid w:val="0099106F"/>
    <w:rsid w:val="009915FC"/>
    <w:rsid w:val="009917FC"/>
    <w:rsid w:val="00991A25"/>
    <w:rsid w:val="00991E5B"/>
    <w:rsid w:val="0099220B"/>
    <w:rsid w:val="0099229B"/>
    <w:rsid w:val="009926A5"/>
    <w:rsid w:val="009931EC"/>
    <w:rsid w:val="009935F9"/>
    <w:rsid w:val="00993787"/>
    <w:rsid w:val="00993DC2"/>
    <w:rsid w:val="00993EEC"/>
    <w:rsid w:val="009940C0"/>
    <w:rsid w:val="009943B0"/>
    <w:rsid w:val="009945C8"/>
    <w:rsid w:val="00994642"/>
    <w:rsid w:val="00994960"/>
    <w:rsid w:val="009949BB"/>
    <w:rsid w:val="009949DC"/>
    <w:rsid w:val="00994E75"/>
    <w:rsid w:val="00995328"/>
    <w:rsid w:val="00995525"/>
    <w:rsid w:val="0099557E"/>
    <w:rsid w:val="00995E3D"/>
    <w:rsid w:val="00995F43"/>
    <w:rsid w:val="00995F54"/>
    <w:rsid w:val="00996053"/>
    <w:rsid w:val="009965E8"/>
    <w:rsid w:val="00996646"/>
    <w:rsid w:val="00996BE2"/>
    <w:rsid w:val="00996E79"/>
    <w:rsid w:val="00996FE5"/>
    <w:rsid w:val="0099B9DC"/>
    <w:rsid w:val="009A05AA"/>
    <w:rsid w:val="009A0935"/>
    <w:rsid w:val="009A0964"/>
    <w:rsid w:val="009A0A67"/>
    <w:rsid w:val="009A0B57"/>
    <w:rsid w:val="009A102B"/>
    <w:rsid w:val="009A1259"/>
    <w:rsid w:val="009A13DF"/>
    <w:rsid w:val="009A16EF"/>
    <w:rsid w:val="009A1A1F"/>
    <w:rsid w:val="009A20DB"/>
    <w:rsid w:val="009A27A5"/>
    <w:rsid w:val="009A29BC"/>
    <w:rsid w:val="009A2F67"/>
    <w:rsid w:val="009A3C09"/>
    <w:rsid w:val="009A3D4A"/>
    <w:rsid w:val="009A41D2"/>
    <w:rsid w:val="009A423A"/>
    <w:rsid w:val="009A443B"/>
    <w:rsid w:val="009A4952"/>
    <w:rsid w:val="009A4991"/>
    <w:rsid w:val="009A4B3F"/>
    <w:rsid w:val="009A4C54"/>
    <w:rsid w:val="009A4C63"/>
    <w:rsid w:val="009A4C7E"/>
    <w:rsid w:val="009A5188"/>
    <w:rsid w:val="009A5BAA"/>
    <w:rsid w:val="009A5D6E"/>
    <w:rsid w:val="009A5E36"/>
    <w:rsid w:val="009A5EDB"/>
    <w:rsid w:val="009A6075"/>
    <w:rsid w:val="009A648D"/>
    <w:rsid w:val="009A653A"/>
    <w:rsid w:val="009A685A"/>
    <w:rsid w:val="009A6949"/>
    <w:rsid w:val="009A6F3F"/>
    <w:rsid w:val="009A70C3"/>
    <w:rsid w:val="009A7F7D"/>
    <w:rsid w:val="009B010B"/>
    <w:rsid w:val="009B03CE"/>
    <w:rsid w:val="009B0567"/>
    <w:rsid w:val="009B05AB"/>
    <w:rsid w:val="009B0F84"/>
    <w:rsid w:val="009B1044"/>
    <w:rsid w:val="009B136D"/>
    <w:rsid w:val="009B1603"/>
    <w:rsid w:val="009B178F"/>
    <w:rsid w:val="009B17B2"/>
    <w:rsid w:val="009B18DE"/>
    <w:rsid w:val="009B1C77"/>
    <w:rsid w:val="009B1CDA"/>
    <w:rsid w:val="009B2082"/>
    <w:rsid w:val="009B25C5"/>
    <w:rsid w:val="009B2AAB"/>
    <w:rsid w:val="009B3228"/>
    <w:rsid w:val="009B37AD"/>
    <w:rsid w:val="009B3C49"/>
    <w:rsid w:val="009B3C60"/>
    <w:rsid w:val="009B3D90"/>
    <w:rsid w:val="009B4273"/>
    <w:rsid w:val="009B45C8"/>
    <w:rsid w:val="009B48BA"/>
    <w:rsid w:val="009B4C59"/>
    <w:rsid w:val="009B5244"/>
    <w:rsid w:val="009B55BF"/>
    <w:rsid w:val="009B59BD"/>
    <w:rsid w:val="009B60DF"/>
    <w:rsid w:val="009B69FB"/>
    <w:rsid w:val="009B6EF5"/>
    <w:rsid w:val="009B73B5"/>
    <w:rsid w:val="009B7B47"/>
    <w:rsid w:val="009C0792"/>
    <w:rsid w:val="009C08EB"/>
    <w:rsid w:val="009C08F6"/>
    <w:rsid w:val="009C09AA"/>
    <w:rsid w:val="009C0AEB"/>
    <w:rsid w:val="009C126F"/>
    <w:rsid w:val="009C133B"/>
    <w:rsid w:val="009C13DF"/>
    <w:rsid w:val="009C15A5"/>
    <w:rsid w:val="009C1648"/>
    <w:rsid w:val="009C16ED"/>
    <w:rsid w:val="009C24CB"/>
    <w:rsid w:val="009C260C"/>
    <w:rsid w:val="009C2E08"/>
    <w:rsid w:val="009C35AE"/>
    <w:rsid w:val="009C3997"/>
    <w:rsid w:val="009C3A60"/>
    <w:rsid w:val="009C4300"/>
    <w:rsid w:val="009C4352"/>
    <w:rsid w:val="009C4B49"/>
    <w:rsid w:val="009C4E8A"/>
    <w:rsid w:val="009C5100"/>
    <w:rsid w:val="009C593B"/>
    <w:rsid w:val="009C5985"/>
    <w:rsid w:val="009C5ACE"/>
    <w:rsid w:val="009C5C97"/>
    <w:rsid w:val="009C5EAC"/>
    <w:rsid w:val="009C67B3"/>
    <w:rsid w:val="009C69FA"/>
    <w:rsid w:val="009C6BFA"/>
    <w:rsid w:val="009C726F"/>
    <w:rsid w:val="009C72A6"/>
    <w:rsid w:val="009C73FE"/>
    <w:rsid w:val="009C7477"/>
    <w:rsid w:val="009C7B33"/>
    <w:rsid w:val="009C7B78"/>
    <w:rsid w:val="009C7CF7"/>
    <w:rsid w:val="009C7E14"/>
    <w:rsid w:val="009C7E62"/>
    <w:rsid w:val="009C7FB3"/>
    <w:rsid w:val="009D00F7"/>
    <w:rsid w:val="009D0104"/>
    <w:rsid w:val="009D0745"/>
    <w:rsid w:val="009D0BAF"/>
    <w:rsid w:val="009D0C10"/>
    <w:rsid w:val="009D0C4C"/>
    <w:rsid w:val="009D0CFB"/>
    <w:rsid w:val="009D0E9D"/>
    <w:rsid w:val="009D1296"/>
    <w:rsid w:val="009D196F"/>
    <w:rsid w:val="009D1DAB"/>
    <w:rsid w:val="009D26B6"/>
    <w:rsid w:val="009D2970"/>
    <w:rsid w:val="009D29D2"/>
    <w:rsid w:val="009D2BF5"/>
    <w:rsid w:val="009D2E91"/>
    <w:rsid w:val="009D361A"/>
    <w:rsid w:val="009D39BE"/>
    <w:rsid w:val="009D413C"/>
    <w:rsid w:val="009D4143"/>
    <w:rsid w:val="009D4180"/>
    <w:rsid w:val="009D43DD"/>
    <w:rsid w:val="009D4DFC"/>
    <w:rsid w:val="009D4F1D"/>
    <w:rsid w:val="009D557E"/>
    <w:rsid w:val="009D5634"/>
    <w:rsid w:val="009D58F3"/>
    <w:rsid w:val="009D5B29"/>
    <w:rsid w:val="009D5EDF"/>
    <w:rsid w:val="009D613C"/>
    <w:rsid w:val="009D67F6"/>
    <w:rsid w:val="009D67FA"/>
    <w:rsid w:val="009D68E7"/>
    <w:rsid w:val="009D6CCD"/>
    <w:rsid w:val="009D6D8C"/>
    <w:rsid w:val="009D6EED"/>
    <w:rsid w:val="009D7090"/>
    <w:rsid w:val="009D70A7"/>
    <w:rsid w:val="009D70EE"/>
    <w:rsid w:val="009D70FF"/>
    <w:rsid w:val="009D761C"/>
    <w:rsid w:val="009D78E1"/>
    <w:rsid w:val="009D7D14"/>
    <w:rsid w:val="009E0007"/>
    <w:rsid w:val="009E0201"/>
    <w:rsid w:val="009E0302"/>
    <w:rsid w:val="009E038B"/>
    <w:rsid w:val="009E06B8"/>
    <w:rsid w:val="009E08D1"/>
    <w:rsid w:val="009E0C8D"/>
    <w:rsid w:val="009E0FE1"/>
    <w:rsid w:val="009E12BA"/>
    <w:rsid w:val="009E16C1"/>
    <w:rsid w:val="009E1E03"/>
    <w:rsid w:val="009E1EF2"/>
    <w:rsid w:val="009E2A77"/>
    <w:rsid w:val="009E2D4C"/>
    <w:rsid w:val="009E2DE0"/>
    <w:rsid w:val="009E2DF9"/>
    <w:rsid w:val="009E2F45"/>
    <w:rsid w:val="009E2F9E"/>
    <w:rsid w:val="009E38D0"/>
    <w:rsid w:val="009E3D05"/>
    <w:rsid w:val="009E3F08"/>
    <w:rsid w:val="009E42B6"/>
    <w:rsid w:val="009E43CD"/>
    <w:rsid w:val="009E4621"/>
    <w:rsid w:val="009E4BD0"/>
    <w:rsid w:val="009E5AD9"/>
    <w:rsid w:val="009E5B5B"/>
    <w:rsid w:val="009E61F3"/>
    <w:rsid w:val="009E62BA"/>
    <w:rsid w:val="009E6315"/>
    <w:rsid w:val="009E6336"/>
    <w:rsid w:val="009E6725"/>
    <w:rsid w:val="009E697A"/>
    <w:rsid w:val="009E7DDC"/>
    <w:rsid w:val="009E7DFA"/>
    <w:rsid w:val="009E7E48"/>
    <w:rsid w:val="009F033E"/>
    <w:rsid w:val="009F0434"/>
    <w:rsid w:val="009F06FE"/>
    <w:rsid w:val="009F07E4"/>
    <w:rsid w:val="009F0B6C"/>
    <w:rsid w:val="009F1726"/>
    <w:rsid w:val="009F1B81"/>
    <w:rsid w:val="009F2764"/>
    <w:rsid w:val="009F28DE"/>
    <w:rsid w:val="009F3269"/>
    <w:rsid w:val="009F375B"/>
    <w:rsid w:val="009F3A3F"/>
    <w:rsid w:val="009F42F2"/>
    <w:rsid w:val="009F47B4"/>
    <w:rsid w:val="009F495A"/>
    <w:rsid w:val="009F4BD7"/>
    <w:rsid w:val="009F4CFE"/>
    <w:rsid w:val="009F5305"/>
    <w:rsid w:val="009F5398"/>
    <w:rsid w:val="009F542F"/>
    <w:rsid w:val="009F59FE"/>
    <w:rsid w:val="009F5F9B"/>
    <w:rsid w:val="009F6921"/>
    <w:rsid w:val="009F69E3"/>
    <w:rsid w:val="009F6A3E"/>
    <w:rsid w:val="009F6CF9"/>
    <w:rsid w:val="009F6DC2"/>
    <w:rsid w:val="009F6E15"/>
    <w:rsid w:val="009F6F6A"/>
    <w:rsid w:val="009F7ED0"/>
    <w:rsid w:val="00A005E0"/>
    <w:rsid w:val="00A00A46"/>
    <w:rsid w:val="00A00CD9"/>
    <w:rsid w:val="00A016A6"/>
    <w:rsid w:val="00A01742"/>
    <w:rsid w:val="00A018BB"/>
    <w:rsid w:val="00A01F2B"/>
    <w:rsid w:val="00A02004"/>
    <w:rsid w:val="00A02414"/>
    <w:rsid w:val="00A02A1D"/>
    <w:rsid w:val="00A02E47"/>
    <w:rsid w:val="00A02FC1"/>
    <w:rsid w:val="00A03146"/>
    <w:rsid w:val="00A03926"/>
    <w:rsid w:val="00A03FDC"/>
    <w:rsid w:val="00A0405D"/>
    <w:rsid w:val="00A0406E"/>
    <w:rsid w:val="00A043A7"/>
    <w:rsid w:val="00A0495F"/>
    <w:rsid w:val="00A04B40"/>
    <w:rsid w:val="00A04C13"/>
    <w:rsid w:val="00A04CDF"/>
    <w:rsid w:val="00A05856"/>
    <w:rsid w:val="00A05B1F"/>
    <w:rsid w:val="00A060BB"/>
    <w:rsid w:val="00A061E3"/>
    <w:rsid w:val="00A06CB1"/>
    <w:rsid w:val="00A07370"/>
    <w:rsid w:val="00A07555"/>
    <w:rsid w:val="00A076CB"/>
    <w:rsid w:val="00A077F2"/>
    <w:rsid w:val="00A079A8"/>
    <w:rsid w:val="00A07C71"/>
    <w:rsid w:val="00A07DC9"/>
    <w:rsid w:val="00A11307"/>
    <w:rsid w:val="00A1161E"/>
    <w:rsid w:val="00A1191C"/>
    <w:rsid w:val="00A119F6"/>
    <w:rsid w:val="00A11B3B"/>
    <w:rsid w:val="00A11D92"/>
    <w:rsid w:val="00A11F9A"/>
    <w:rsid w:val="00A121D3"/>
    <w:rsid w:val="00A12BCF"/>
    <w:rsid w:val="00A1349C"/>
    <w:rsid w:val="00A13A1E"/>
    <w:rsid w:val="00A13AF3"/>
    <w:rsid w:val="00A13C7B"/>
    <w:rsid w:val="00A144B2"/>
    <w:rsid w:val="00A144F0"/>
    <w:rsid w:val="00A14AF4"/>
    <w:rsid w:val="00A154C7"/>
    <w:rsid w:val="00A15BEC"/>
    <w:rsid w:val="00A15BFB"/>
    <w:rsid w:val="00A16789"/>
    <w:rsid w:val="00A167DB"/>
    <w:rsid w:val="00A168B0"/>
    <w:rsid w:val="00A16B91"/>
    <w:rsid w:val="00A16D2D"/>
    <w:rsid w:val="00A17C02"/>
    <w:rsid w:val="00A17C74"/>
    <w:rsid w:val="00A17D68"/>
    <w:rsid w:val="00A204AD"/>
    <w:rsid w:val="00A20567"/>
    <w:rsid w:val="00A206EE"/>
    <w:rsid w:val="00A20814"/>
    <w:rsid w:val="00A20850"/>
    <w:rsid w:val="00A20A8F"/>
    <w:rsid w:val="00A21388"/>
    <w:rsid w:val="00A216FA"/>
    <w:rsid w:val="00A22AA8"/>
    <w:rsid w:val="00A22AFF"/>
    <w:rsid w:val="00A22C70"/>
    <w:rsid w:val="00A2324B"/>
    <w:rsid w:val="00A238BD"/>
    <w:rsid w:val="00A23A46"/>
    <w:rsid w:val="00A242D5"/>
    <w:rsid w:val="00A243BA"/>
    <w:rsid w:val="00A243EC"/>
    <w:rsid w:val="00A24450"/>
    <w:rsid w:val="00A2447F"/>
    <w:rsid w:val="00A24961"/>
    <w:rsid w:val="00A24A13"/>
    <w:rsid w:val="00A24C26"/>
    <w:rsid w:val="00A24ECD"/>
    <w:rsid w:val="00A25064"/>
    <w:rsid w:val="00A2558E"/>
    <w:rsid w:val="00A256A7"/>
    <w:rsid w:val="00A258B6"/>
    <w:rsid w:val="00A25A0D"/>
    <w:rsid w:val="00A25E14"/>
    <w:rsid w:val="00A265EB"/>
    <w:rsid w:val="00A267E8"/>
    <w:rsid w:val="00A26853"/>
    <w:rsid w:val="00A26A87"/>
    <w:rsid w:val="00A26D30"/>
    <w:rsid w:val="00A26FA8"/>
    <w:rsid w:val="00A27590"/>
    <w:rsid w:val="00A27791"/>
    <w:rsid w:val="00A27A1E"/>
    <w:rsid w:val="00A27ABE"/>
    <w:rsid w:val="00A27EB1"/>
    <w:rsid w:val="00A3002A"/>
    <w:rsid w:val="00A3056F"/>
    <w:rsid w:val="00A30983"/>
    <w:rsid w:val="00A30D8C"/>
    <w:rsid w:val="00A30DD6"/>
    <w:rsid w:val="00A31641"/>
    <w:rsid w:val="00A317F3"/>
    <w:rsid w:val="00A31887"/>
    <w:rsid w:val="00A31CA6"/>
    <w:rsid w:val="00A323F0"/>
    <w:rsid w:val="00A32821"/>
    <w:rsid w:val="00A328E4"/>
    <w:rsid w:val="00A32A3A"/>
    <w:rsid w:val="00A32A58"/>
    <w:rsid w:val="00A331F1"/>
    <w:rsid w:val="00A332E5"/>
    <w:rsid w:val="00A33AC1"/>
    <w:rsid w:val="00A33E0C"/>
    <w:rsid w:val="00A340E8"/>
    <w:rsid w:val="00A3423B"/>
    <w:rsid w:val="00A342FC"/>
    <w:rsid w:val="00A3467F"/>
    <w:rsid w:val="00A34A98"/>
    <w:rsid w:val="00A34B2C"/>
    <w:rsid w:val="00A34B90"/>
    <w:rsid w:val="00A35249"/>
    <w:rsid w:val="00A355F9"/>
    <w:rsid w:val="00A35926"/>
    <w:rsid w:val="00A35A92"/>
    <w:rsid w:val="00A35CA1"/>
    <w:rsid w:val="00A35CB8"/>
    <w:rsid w:val="00A36603"/>
    <w:rsid w:val="00A366EC"/>
    <w:rsid w:val="00A36854"/>
    <w:rsid w:val="00A36877"/>
    <w:rsid w:val="00A36A9C"/>
    <w:rsid w:val="00A36BDC"/>
    <w:rsid w:val="00A36FC3"/>
    <w:rsid w:val="00A3787C"/>
    <w:rsid w:val="00A37CDA"/>
    <w:rsid w:val="00A37E7A"/>
    <w:rsid w:val="00A40359"/>
    <w:rsid w:val="00A4099B"/>
    <w:rsid w:val="00A40ACE"/>
    <w:rsid w:val="00A4133C"/>
    <w:rsid w:val="00A41355"/>
    <w:rsid w:val="00A41508"/>
    <w:rsid w:val="00A41763"/>
    <w:rsid w:val="00A41943"/>
    <w:rsid w:val="00A4194A"/>
    <w:rsid w:val="00A41A9E"/>
    <w:rsid w:val="00A42237"/>
    <w:rsid w:val="00A42ECC"/>
    <w:rsid w:val="00A4314A"/>
    <w:rsid w:val="00A432F2"/>
    <w:rsid w:val="00A43356"/>
    <w:rsid w:val="00A43685"/>
    <w:rsid w:val="00A43708"/>
    <w:rsid w:val="00A437B6"/>
    <w:rsid w:val="00A43AD9"/>
    <w:rsid w:val="00A43B92"/>
    <w:rsid w:val="00A43D02"/>
    <w:rsid w:val="00A43DDD"/>
    <w:rsid w:val="00A445BE"/>
    <w:rsid w:val="00A445E1"/>
    <w:rsid w:val="00A447F6"/>
    <w:rsid w:val="00A45284"/>
    <w:rsid w:val="00A45898"/>
    <w:rsid w:val="00A459ED"/>
    <w:rsid w:val="00A45A0A"/>
    <w:rsid w:val="00A45C98"/>
    <w:rsid w:val="00A46087"/>
    <w:rsid w:val="00A461CD"/>
    <w:rsid w:val="00A465A6"/>
    <w:rsid w:val="00A46726"/>
    <w:rsid w:val="00A4697E"/>
    <w:rsid w:val="00A469D1"/>
    <w:rsid w:val="00A46C85"/>
    <w:rsid w:val="00A474CA"/>
    <w:rsid w:val="00A47940"/>
    <w:rsid w:val="00A5001F"/>
    <w:rsid w:val="00A5041F"/>
    <w:rsid w:val="00A5048F"/>
    <w:rsid w:val="00A505CE"/>
    <w:rsid w:val="00A5098F"/>
    <w:rsid w:val="00A50C54"/>
    <w:rsid w:val="00A50D15"/>
    <w:rsid w:val="00A50D55"/>
    <w:rsid w:val="00A50DF0"/>
    <w:rsid w:val="00A5145B"/>
    <w:rsid w:val="00A51EEB"/>
    <w:rsid w:val="00A522EC"/>
    <w:rsid w:val="00A539AF"/>
    <w:rsid w:val="00A539E6"/>
    <w:rsid w:val="00A53A34"/>
    <w:rsid w:val="00A53AE9"/>
    <w:rsid w:val="00A53E54"/>
    <w:rsid w:val="00A53F5F"/>
    <w:rsid w:val="00A5410D"/>
    <w:rsid w:val="00A54251"/>
    <w:rsid w:val="00A542A4"/>
    <w:rsid w:val="00A542BC"/>
    <w:rsid w:val="00A54909"/>
    <w:rsid w:val="00A54933"/>
    <w:rsid w:val="00A54CD4"/>
    <w:rsid w:val="00A54D4F"/>
    <w:rsid w:val="00A555C4"/>
    <w:rsid w:val="00A55CA6"/>
    <w:rsid w:val="00A55F1A"/>
    <w:rsid w:val="00A566E1"/>
    <w:rsid w:val="00A56D6A"/>
    <w:rsid w:val="00A56E83"/>
    <w:rsid w:val="00A57003"/>
    <w:rsid w:val="00A5719A"/>
    <w:rsid w:val="00A5747C"/>
    <w:rsid w:val="00A574E3"/>
    <w:rsid w:val="00A577CE"/>
    <w:rsid w:val="00A57848"/>
    <w:rsid w:val="00A57E0A"/>
    <w:rsid w:val="00A601D3"/>
    <w:rsid w:val="00A6041E"/>
    <w:rsid w:val="00A60872"/>
    <w:rsid w:val="00A60F7E"/>
    <w:rsid w:val="00A60FD5"/>
    <w:rsid w:val="00A6179E"/>
    <w:rsid w:val="00A6194A"/>
    <w:rsid w:val="00A61D18"/>
    <w:rsid w:val="00A61E73"/>
    <w:rsid w:val="00A6202E"/>
    <w:rsid w:val="00A62102"/>
    <w:rsid w:val="00A621B9"/>
    <w:rsid w:val="00A62255"/>
    <w:rsid w:val="00A623FD"/>
    <w:rsid w:val="00A62556"/>
    <w:rsid w:val="00A629F6"/>
    <w:rsid w:val="00A62BFA"/>
    <w:rsid w:val="00A62D61"/>
    <w:rsid w:val="00A62FD3"/>
    <w:rsid w:val="00A6316A"/>
    <w:rsid w:val="00A633D4"/>
    <w:rsid w:val="00A6371E"/>
    <w:rsid w:val="00A638B1"/>
    <w:rsid w:val="00A63946"/>
    <w:rsid w:val="00A63F87"/>
    <w:rsid w:val="00A63F97"/>
    <w:rsid w:val="00A64316"/>
    <w:rsid w:val="00A64527"/>
    <w:rsid w:val="00A64A3F"/>
    <w:rsid w:val="00A64AE4"/>
    <w:rsid w:val="00A6508B"/>
    <w:rsid w:val="00A653F7"/>
    <w:rsid w:val="00A657E0"/>
    <w:rsid w:val="00A658BA"/>
    <w:rsid w:val="00A658E4"/>
    <w:rsid w:val="00A65925"/>
    <w:rsid w:val="00A661F5"/>
    <w:rsid w:val="00A664DE"/>
    <w:rsid w:val="00A666A2"/>
    <w:rsid w:val="00A6679B"/>
    <w:rsid w:val="00A668E3"/>
    <w:rsid w:val="00A66920"/>
    <w:rsid w:val="00A66DDA"/>
    <w:rsid w:val="00A67307"/>
    <w:rsid w:val="00A67696"/>
    <w:rsid w:val="00A6769B"/>
    <w:rsid w:val="00A67794"/>
    <w:rsid w:val="00A678F8"/>
    <w:rsid w:val="00A67A2E"/>
    <w:rsid w:val="00A67AD8"/>
    <w:rsid w:val="00A67DBD"/>
    <w:rsid w:val="00A70753"/>
    <w:rsid w:val="00A70965"/>
    <w:rsid w:val="00A70AC7"/>
    <w:rsid w:val="00A70B05"/>
    <w:rsid w:val="00A70B10"/>
    <w:rsid w:val="00A70D82"/>
    <w:rsid w:val="00A70D9A"/>
    <w:rsid w:val="00A7139A"/>
    <w:rsid w:val="00A71708"/>
    <w:rsid w:val="00A7229F"/>
    <w:rsid w:val="00A7273F"/>
    <w:rsid w:val="00A7277C"/>
    <w:rsid w:val="00A72C2E"/>
    <w:rsid w:val="00A72DEE"/>
    <w:rsid w:val="00A72E3D"/>
    <w:rsid w:val="00A72F35"/>
    <w:rsid w:val="00A73123"/>
    <w:rsid w:val="00A73189"/>
    <w:rsid w:val="00A737ED"/>
    <w:rsid w:val="00A73DA2"/>
    <w:rsid w:val="00A74162"/>
    <w:rsid w:val="00A74559"/>
    <w:rsid w:val="00A74C46"/>
    <w:rsid w:val="00A74C92"/>
    <w:rsid w:val="00A757AC"/>
    <w:rsid w:val="00A75832"/>
    <w:rsid w:val="00A75B6F"/>
    <w:rsid w:val="00A75E1E"/>
    <w:rsid w:val="00A75F22"/>
    <w:rsid w:val="00A7615D"/>
    <w:rsid w:val="00A76498"/>
    <w:rsid w:val="00A764B3"/>
    <w:rsid w:val="00A76F1D"/>
    <w:rsid w:val="00A771ED"/>
    <w:rsid w:val="00A77255"/>
    <w:rsid w:val="00A77318"/>
    <w:rsid w:val="00A77553"/>
    <w:rsid w:val="00A77E92"/>
    <w:rsid w:val="00A77F8C"/>
    <w:rsid w:val="00A801CC"/>
    <w:rsid w:val="00A804D9"/>
    <w:rsid w:val="00A80510"/>
    <w:rsid w:val="00A80AC4"/>
    <w:rsid w:val="00A80B81"/>
    <w:rsid w:val="00A80C61"/>
    <w:rsid w:val="00A81554"/>
    <w:rsid w:val="00A81680"/>
    <w:rsid w:val="00A8197B"/>
    <w:rsid w:val="00A81A65"/>
    <w:rsid w:val="00A824FD"/>
    <w:rsid w:val="00A82AB0"/>
    <w:rsid w:val="00A82C4D"/>
    <w:rsid w:val="00A82D6E"/>
    <w:rsid w:val="00A83F64"/>
    <w:rsid w:val="00A8401D"/>
    <w:rsid w:val="00A840A2"/>
    <w:rsid w:val="00A8433A"/>
    <w:rsid w:val="00A84BA3"/>
    <w:rsid w:val="00A853E7"/>
    <w:rsid w:val="00A8551C"/>
    <w:rsid w:val="00A8573B"/>
    <w:rsid w:val="00A85C9D"/>
    <w:rsid w:val="00A86377"/>
    <w:rsid w:val="00A867A8"/>
    <w:rsid w:val="00A86D23"/>
    <w:rsid w:val="00A870DE"/>
    <w:rsid w:val="00A8745E"/>
    <w:rsid w:val="00A87B2E"/>
    <w:rsid w:val="00A87C08"/>
    <w:rsid w:val="00A901CC"/>
    <w:rsid w:val="00A90C77"/>
    <w:rsid w:val="00A90E73"/>
    <w:rsid w:val="00A91040"/>
    <w:rsid w:val="00A918A6"/>
    <w:rsid w:val="00A91F2C"/>
    <w:rsid w:val="00A925EB"/>
    <w:rsid w:val="00A928E9"/>
    <w:rsid w:val="00A92915"/>
    <w:rsid w:val="00A92A9D"/>
    <w:rsid w:val="00A92AD4"/>
    <w:rsid w:val="00A92C87"/>
    <w:rsid w:val="00A92D04"/>
    <w:rsid w:val="00A92F92"/>
    <w:rsid w:val="00A93127"/>
    <w:rsid w:val="00A931AA"/>
    <w:rsid w:val="00A937F9"/>
    <w:rsid w:val="00A93978"/>
    <w:rsid w:val="00A93BDF"/>
    <w:rsid w:val="00A93EE8"/>
    <w:rsid w:val="00A94142"/>
    <w:rsid w:val="00A9438D"/>
    <w:rsid w:val="00A944D4"/>
    <w:rsid w:val="00A94748"/>
    <w:rsid w:val="00A94B1E"/>
    <w:rsid w:val="00A94BC1"/>
    <w:rsid w:val="00A9570E"/>
    <w:rsid w:val="00A95A67"/>
    <w:rsid w:val="00A96265"/>
    <w:rsid w:val="00A96466"/>
    <w:rsid w:val="00A96892"/>
    <w:rsid w:val="00A96C59"/>
    <w:rsid w:val="00A97255"/>
    <w:rsid w:val="00A975B0"/>
    <w:rsid w:val="00A978A4"/>
    <w:rsid w:val="00A978CA"/>
    <w:rsid w:val="00A97C49"/>
    <w:rsid w:val="00A97DA6"/>
    <w:rsid w:val="00AA01A2"/>
    <w:rsid w:val="00AA08B6"/>
    <w:rsid w:val="00AA0A60"/>
    <w:rsid w:val="00AA0DC6"/>
    <w:rsid w:val="00AA0FFF"/>
    <w:rsid w:val="00AA1A2E"/>
    <w:rsid w:val="00AA1C67"/>
    <w:rsid w:val="00AA1D61"/>
    <w:rsid w:val="00AA2051"/>
    <w:rsid w:val="00AA2554"/>
    <w:rsid w:val="00AA259D"/>
    <w:rsid w:val="00AA28A2"/>
    <w:rsid w:val="00AA2B92"/>
    <w:rsid w:val="00AA30BE"/>
    <w:rsid w:val="00AA421C"/>
    <w:rsid w:val="00AA498F"/>
    <w:rsid w:val="00AA4AD8"/>
    <w:rsid w:val="00AA4FBD"/>
    <w:rsid w:val="00AA525A"/>
    <w:rsid w:val="00AA533A"/>
    <w:rsid w:val="00AA535F"/>
    <w:rsid w:val="00AA5435"/>
    <w:rsid w:val="00AA54E4"/>
    <w:rsid w:val="00AA54F3"/>
    <w:rsid w:val="00AA5753"/>
    <w:rsid w:val="00AA6419"/>
    <w:rsid w:val="00AA68A8"/>
    <w:rsid w:val="00AA692C"/>
    <w:rsid w:val="00AA6A28"/>
    <w:rsid w:val="00AA6C63"/>
    <w:rsid w:val="00AA6ECA"/>
    <w:rsid w:val="00AA7070"/>
    <w:rsid w:val="00AA70C4"/>
    <w:rsid w:val="00AA724C"/>
    <w:rsid w:val="00AA762E"/>
    <w:rsid w:val="00AA7717"/>
    <w:rsid w:val="00AA77A7"/>
    <w:rsid w:val="00AA7AAC"/>
    <w:rsid w:val="00AA7D12"/>
    <w:rsid w:val="00AA7ED9"/>
    <w:rsid w:val="00AB028E"/>
    <w:rsid w:val="00AB071E"/>
    <w:rsid w:val="00AB0C59"/>
    <w:rsid w:val="00AB1511"/>
    <w:rsid w:val="00AB15F8"/>
    <w:rsid w:val="00AB1737"/>
    <w:rsid w:val="00AB17C4"/>
    <w:rsid w:val="00AB17DC"/>
    <w:rsid w:val="00AB1A4F"/>
    <w:rsid w:val="00AB1F96"/>
    <w:rsid w:val="00AB26A5"/>
    <w:rsid w:val="00AB340E"/>
    <w:rsid w:val="00AB379A"/>
    <w:rsid w:val="00AB391E"/>
    <w:rsid w:val="00AB3D8E"/>
    <w:rsid w:val="00AB3FCE"/>
    <w:rsid w:val="00AB41C5"/>
    <w:rsid w:val="00AB49CA"/>
    <w:rsid w:val="00AB4B2E"/>
    <w:rsid w:val="00AB4C40"/>
    <w:rsid w:val="00AB4E45"/>
    <w:rsid w:val="00AB5391"/>
    <w:rsid w:val="00AB5534"/>
    <w:rsid w:val="00AB5721"/>
    <w:rsid w:val="00AB5A6B"/>
    <w:rsid w:val="00AB5E4B"/>
    <w:rsid w:val="00AB6076"/>
    <w:rsid w:val="00AB627D"/>
    <w:rsid w:val="00AB663D"/>
    <w:rsid w:val="00AB68D6"/>
    <w:rsid w:val="00AB726F"/>
    <w:rsid w:val="00AB74DC"/>
    <w:rsid w:val="00AB7C8F"/>
    <w:rsid w:val="00AB7E5B"/>
    <w:rsid w:val="00AB7FD8"/>
    <w:rsid w:val="00AC0292"/>
    <w:rsid w:val="00AC0B2F"/>
    <w:rsid w:val="00AC12CB"/>
    <w:rsid w:val="00AC1C0B"/>
    <w:rsid w:val="00AC1CF5"/>
    <w:rsid w:val="00AC1EBF"/>
    <w:rsid w:val="00AC2192"/>
    <w:rsid w:val="00AC280F"/>
    <w:rsid w:val="00AC2C2B"/>
    <w:rsid w:val="00AC3135"/>
    <w:rsid w:val="00AC37A5"/>
    <w:rsid w:val="00AC3989"/>
    <w:rsid w:val="00AC39A7"/>
    <w:rsid w:val="00AC3AB3"/>
    <w:rsid w:val="00AC3ADE"/>
    <w:rsid w:val="00AC3B2A"/>
    <w:rsid w:val="00AC4059"/>
    <w:rsid w:val="00AC457E"/>
    <w:rsid w:val="00AC4937"/>
    <w:rsid w:val="00AC541C"/>
    <w:rsid w:val="00AC5550"/>
    <w:rsid w:val="00AC57AA"/>
    <w:rsid w:val="00AC58D2"/>
    <w:rsid w:val="00AC5A82"/>
    <w:rsid w:val="00AC5BF7"/>
    <w:rsid w:val="00AC5F84"/>
    <w:rsid w:val="00AC636D"/>
    <w:rsid w:val="00AC65B5"/>
    <w:rsid w:val="00AC65BA"/>
    <w:rsid w:val="00AC6624"/>
    <w:rsid w:val="00AC6AE7"/>
    <w:rsid w:val="00AC6F57"/>
    <w:rsid w:val="00AC6F6A"/>
    <w:rsid w:val="00AC7099"/>
    <w:rsid w:val="00AC734F"/>
    <w:rsid w:val="00AC7A67"/>
    <w:rsid w:val="00AC7BBC"/>
    <w:rsid w:val="00AC7C90"/>
    <w:rsid w:val="00AD0D2A"/>
    <w:rsid w:val="00AD103D"/>
    <w:rsid w:val="00AD17B6"/>
    <w:rsid w:val="00AD20F5"/>
    <w:rsid w:val="00AD246B"/>
    <w:rsid w:val="00AD2E21"/>
    <w:rsid w:val="00AD3030"/>
    <w:rsid w:val="00AD3083"/>
    <w:rsid w:val="00AD3A27"/>
    <w:rsid w:val="00AD3AB3"/>
    <w:rsid w:val="00AD3EA7"/>
    <w:rsid w:val="00AD3F47"/>
    <w:rsid w:val="00AD4217"/>
    <w:rsid w:val="00AD4CE9"/>
    <w:rsid w:val="00AD5218"/>
    <w:rsid w:val="00AD52D2"/>
    <w:rsid w:val="00AD545A"/>
    <w:rsid w:val="00AD56FA"/>
    <w:rsid w:val="00AD5EE2"/>
    <w:rsid w:val="00AD6938"/>
    <w:rsid w:val="00AD6CEA"/>
    <w:rsid w:val="00AD703F"/>
    <w:rsid w:val="00AD7170"/>
    <w:rsid w:val="00AD7672"/>
    <w:rsid w:val="00AD76DA"/>
    <w:rsid w:val="00AD7F1B"/>
    <w:rsid w:val="00AE0347"/>
    <w:rsid w:val="00AE045A"/>
    <w:rsid w:val="00AE0711"/>
    <w:rsid w:val="00AE07A5"/>
    <w:rsid w:val="00AE0829"/>
    <w:rsid w:val="00AE099E"/>
    <w:rsid w:val="00AE0D57"/>
    <w:rsid w:val="00AE1314"/>
    <w:rsid w:val="00AE1576"/>
    <w:rsid w:val="00AE195A"/>
    <w:rsid w:val="00AE19AA"/>
    <w:rsid w:val="00AE1CFB"/>
    <w:rsid w:val="00AE1F0F"/>
    <w:rsid w:val="00AE2D5E"/>
    <w:rsid w:val="00AE2DA8"/>
    <w:rsid w:val="00AE336B"/>
    <w:rsid w:val="00AE3BE7"/>
    <w:rsid w:val="00AE415D"/>
    <w:rsid w:val="00AE44F3"/>
    <w:rsid w:val="00AE4773"/>
    <w:rsid w:val="00AE56BA"/>
    <w:rsid w:val="00AE58DC"/>
    <w:rsid w:val="00AE59D6"/>
    <w:rsid w:val="00AE5F16"/>
    <w:rsid w:val="00AE61C2"/>
    <w:rsid w:val="00AE6504"/>
    <w:rsid w:val="00AE6C92"/>
    <w:rsid w:val="00AE6DCA"/>
    <w:rsid w:val="00AE73ED"/>
    <w:rsid w:val="00AE7972"/>
    <w:rsid w:val="00AF0026"/>
    <w:rsid w:val="00AF0243"/>
    <w:rsid w:val="00AF03F2"/>
    <w:rsid w:val="00AF0AEC"/>
    <w:rsid w:val="00AF13D8"/>
    <w:rsid w:val="00AF1433"/>
    <w:rsid w:val="00AF1CB1"/>
    <w:rsid w:val="00AF2A03"/>
    <w:rsid w:val="00AF2AC6"/>
    <w:rsid w:val="00AF2F42"/>
    <w:rsid w:val="00AF323F"/>
    <w:rsid w:val="00AF33B7"/>
    <w:rsid w:val="00AF3AFC"/>
    <w:rsid w:val="00AF3B66"/>
    <w:rsid w:val="00AF42D2"/>
    <w:rsid w:val="00AF4765"/>
    <w:rsid w:val="00AF5115"/>
    <w:rsid w:val="00AF53E5"/>
    <w:rsid w:val="00AF5761"/>
    <w:rsid w:val="00AF5A1D"/>
    <w:rsid w:val="00AF5AC3"/>
    <w:rsid w:val="00AF5D8A"/>
    <w:rsid w:val="00AF5FBA"/>
    <w:rsid w:val="00AF60D2"/>
    <w:rsid w:val="00AF613E"/>
    <w:rsid w:val="00AF6312"/>
    <w:rsid w:val="00AF6A28"/>
    <w:rsid w:val="00AF6DD2"/>
    <w:rsid w:val="00AF6E55"/>
    <w:rsid w:val="00AF7211"/>
    <w:rsid w:val="00AF73E3"/>
    <w:rsid w:val="00AF74C6"/>
    <w:rsid w:val="00AF7768"/>
    <w:rsid w:val="00B00499"/>
    <w:rsid w:val="00B004CF"/>
    <w:rsid w:val="00B00D3A"/>
    <w:rsid w:val="00B00F61"/>
    <w:rsid w:val="00B01168"/>
    <w:rsid w:val="00B01636"/>
    <w:rsid w:val="00B016AA"/>
    <w:rsid w:val="00B016BE"/>
    <w:rsid w:val="00B01762"/>
    <w:rsid w:val="00B01F9B"/>
    <w:rsid w:val="00B026D7"/>
    <w:rsid w:val="00B0289A"/>
    <w:rsid w:val="00B02DD3"/>
    <w:rsid w:val="00B02EA8"/>
    <w:rsid w:val="00B030FF"/>
    <w:rsid w:val="00B03192"/>
    <w:rsid w:val="00B03221"/>
    <w:rsid w:val="00B033D0"/>
    <w:rsid w:val="00B04264"/>
    <w:rsid w:val="00B04400"/>
    <w:rsid w:val="00B04656"/>
    <w:rsid w:val="00B047A8"/>
    <w:rsid w:val="00B04D61"/>
    <w:rsid w:val="00B05F47"/>
    <w:rsid w:val="00B0600E"/>
    <w:rsid w:val="00B06073"/>
    <w:rsid w:val="00B063AA"/>
    <w:rsid w:val="00B06740"/>
    <w:rsid w:val="00B067F1"/>
    <w:rsid w:val="00B068B7"/>
    <w:rsid w:val="00B072E0"/>
    <w:rsid w:val="00B07395"/>
    <w:rsid w:val="00B079F2"/>
    <w:rsid w:val="00B07DA2"/>
    <w:rsid w:val="00B07DB1"/>
    <w:rsid w:val="00B10169"/>
    <w:rsid w:val="00B10521"/>
    <w:rsid w:val="00B10D6F"/>
    <w:rsid w:val="00B10F57"/>
    <w:rsid w:val="00B111BE"/>
    <w:rsid w:val="00B115BA"/>
    <w:rsid w:val="00B11928"/>
    <w:rsid w:val="00B1193D"/>
    <w:rsid w:val="00B119CA"/>
    <w:rsid w:val="00B11A9A"/>
    <w:rsid w:val="00B11DDF"/>
    <w:rsid w:val="00B1211F"/>
    <w:rsid w:val="00B1231D"/>
    <w:rsid w:val="00B1239F"/>
    <w:rsid w:val="00B127D8"/>
    <w:rsid w:val="00B12D05"/>
    <w:rsid w:val="00B131DF"/>
    <w:rsid w:val="00B1346C"/>
    <w:rsid w:val="00B13692"/>
    <w:rsid w:val="00B136B8"/>
    <w:rsid w:val="00B13A27"/>
    <w:rsid w:val="00B13C5E"/>
    <w:rsid w:val="00B13F61"/>
    <w:rsid w:val="00B14535"/>
    <w:rsid w:val="00B14924"/>
    <w:rsid w:val="00B14A2E"/>
    <w:rsid w:val="00B150BD"/>
    <w:rsid w:val="00B163DE"/>
    <w:rsid w:val="00B164BD"/>
    <w:rsid w:val="00B167A2"/>
    <w:rsid w:val="00B16C17"/>
    <w:rsid w:val="00B16EBF"/>
    <w:rsid w:val="00B17071"/>
    <w:rsid w:val="00B2027B"/>
    <w:rsid w:val="00B203F3"/>
    <w:rsid w:val="00B206C2"/>
    <w:rsid w:val="00B20A23"/>
    <w:rsid w:val="00B20C8A"/>
    <w:rsid w:val="00B20CB0"/>
    <w:rsid w:val="00B20DA1"/>
    <w:rsid w:val="00B210E1"/>
    <w:rsid w:val="00B211DF"/>
    <w:rsid w:val="00B2134E"/>
    <w:rsid w:val="00B222FA"/>
    <w:rsid w:val="00B224A8"/>
    <w:rsid w:val="00B22637"/>
    <w:rsid w:val="00B228B2"/>
    <w:rsid w:val="00B231FE"/>
    <w:rsid w:val="00B23466"/>
    <w:rsid w:val="00B237FB"/>
    <w:rsid w:val="00B23B04"/>
    <w:rsid w:val="00B23B90"/>
    <w:rsid w:val="00B23D8D"/>
    <w:rsid w:val="00B23F21"/>
    <w:rsid w:val="00B2426E"/>
    <w:rsid w:val="00B24291"/>
    <w:rsid w:val="00B2436C"/>
    <w:rsid w:val="00B247EF"/>
    <w:rsid w:val="00B24B1D"/>
    <w:rsid w:val="00B24C69"/>
    <w:rsid w:val="00B24D2E"/>
    <w:rsid w:val="00B254DC"/>
    <w:rsid w:val="00B25791"/>
    <w:rsid w:val="00B258A5"/>
    <w:rsid w:val="00B25DE7"/>
    <w:rsid w:val="00B2634F"/>
    <w:rsid w:val="00B26808"/>
    <w:rsid w:val="00B2680C"/>
    <w:rsid w:val="00B26857"/>
    <w:rsid w:val="00B26A39"/>
    <w:rsid w:val="00B26C33"/>
    <w:rsid w:val="00B26C87"/>
    <w:rsid w:val="00B26EEB"/>
    <w:rsid w:val="00B27033"/>
    <w:rsid w:val="00B2746A"/>
    <w:rsid w:val="00B274D4"/>
    <w:rsid w:val="00B274FB"/>
    <w:rsid w:val="00B27503"/>
    <w:rsid w:val="00B277E0"/>
    <w:rsid w:val="00B2799D"/>
    <w:rsid w:val="00B27AE5"/>
    <w:rsid w:val="00B27B0D"/>
    <w:rsid w:val="00B27E02"/>
    <w:rsid w:val="00B30201"/>
    <w:rsid w:val="00B30684"/>
    <w:rsid w:val="00B3078D"/>
    <w:rsid w:val="00B30D31"/>
    <w:rsid w:val="00B30DEE"/>
    <w:rsid w:val="00B30EDF"/>
    <w:rsid w:val="00B312C7"/>
    <w:rsid w:val="00B313F0"/>
    <w:rsid w:val="00B3195F"/>
    <w:rsid w:val="00B32162"/>
    <w:rsid w:val="00B32272"/>
    <w:rsid w:val="00B32300"/>
    <w:rsid w:val="00B32446"/>
    <w:rsid w:val="00B32E5A"/>
    <w:rsid w:val="00B3316D"/>
    <w:rsid w:val="00B3365C"/>
    <w:rsid w:val="00B33928"/>
    <w:rsid w:val="00B3396F"/>
    <w:rsid w:val="00B33B66"/>
    <w:rsid w:val="00B33D23"/>
    <w:rsid w:val="00B33F2D"/>
    <w:rsid w:val="00B33FB4"/>
    <w:rsid w:val="00B33FE2"/>
    <w:rsid w:val="00B342F4"/>
    <w:rsid w:val="00B344B4"/>
    <w:rsid w:val="00B3465E"/>
    <w:rsid w:val="00B34946"/>
    <w:rsid w:val="00B34F24"/>
    <w:rsid w:val="00B34F49"/>
    <w:rsid w:val="00B354BB"/>
    <w:rsid w:val="00B358C9"/>
    <w:rsid w:val="00B360E8"/>
    <w:rsid w:val="00B36718"/>
    <w:rsid w:val="00B36EE9"/>
    <w:rsid w:val="00B37186"/>
    <w:rsid w:val="00B3776D"/>
    <w:rsid w:val="00B379DE"/>
    <w:rsid w:val="00B4039B"/>
    <w:rsid w:val="00B40B5F"/>
    <w:rsid w:val="00B40CA0"/>
    <w:rsid w:val="00B40E21"/>
    <w:rsid w:val="00B410B3"/>
    <w:rsid w:val="00B4111A"/>
    <w:rsid w:val="00B4119E"/>
    <w:rsid w:val="00B4163E"/>
    <w:rsid w:val="00B41892"/>
    <w:rsid w:val="00B41FCA"/>
    <w:rsid w:val="00B4209C"/>
    <w:rsid w:val="00B420B5"/>
    <w:rsid w:val="00B42363"/>
    <w:rsid w:val="00B4247A"/>
    <w:rsid w:val="00B42B35"/>
    <w:rsid w:val="00B430C8"/>
    <w:rsid w:val="00B431D6"/>
    <w:rsid w:val="00B43250"/>
    <w:rsid w:val="00B43331"/>
    <w:rsid w:val="00B43A41"/>
    <w:rsid w:val="00B447A5"/>
    <w:rsid w:val="00B448B0"/>
    <w:rsid w:val="00B44911"/>
    <w:rsid w:val="00B44D63"/>
    <w:rsid w:val="00B45296"/>
    <w:rsid w:val="00B45310"/>
    <w:rsid w:val="00B4557C"/>
    <w:rsid w:val="00B45B4B"/>
    <w:rsid w:val="00B45DD1"/>
    <w:rsid w:val="00B45EE6"/>
    <w:rsid w:val="00B4605F"/>
    <w:rsid w:val="00B46375"/>
    <w:rsid w:val="00B46710"/>
    <w:rsid w:val="00B46A6F"/>
    <w:rsid w:val="00B46EA5"/>
    <w:rsid w:val="00B502D2"/>
    <w:rsid w:val="00B5037E"/>
    <w:rsid w:val="00B50441"/>
    <w:rsid w:val="00B506FD"/>
    <w:rsid w:val="00B50932"/>
    <w:rsid w:val="00B50AB2"/>
    <w:rsid w:val="00B50DF9"/>
    <w:rsid w:val="00B519FD"/>
    <w:rsid w:val="00B51F0E"/>
    <w:rsid w:val="00B520BC"/>
    <w:rsid w:val="00B52AE4"/>
    <w:rsid w:val="00B52B8A"/>
    <w:rsid w:val="00B5331D"/>
    <w:rsid w:val="00B539B3"/>
    <w:rsid w:val="00B539CC"/>
    <w:rsid w:val="00B53F63"/>
    <w:rsid w:val="00B540A6"/>
    <w:rsid w:val="00B5424B"/>
    <w:rsid w:val="00B5438C"/>
    <w:rsid w:val="00B54393"/>
    <w:rsid w:val="00B5497B"/>
    <w:rsid w:val="00B54A49"/>
    <w:rsid w:val="00B54B2C"/>
    <w:rsid w:val="00B54E78"/>
    <w:rsid w:val="00B54EE3"/>
    <w:rsid w:val="00B54EE8"/>
    <w:rsid w:val="00B5543F"/>
    <w:rsid w:val="00B554E7"/>
    <w:rsid w:val="00B5557B"/>
    <w:rsid w:val="00B556A1"/>
    <w:rsid w:val="00B557DD"/>
    <w:rsid w:val="00B5580C"/>
    <w:rsid w:val="00B55942"/>
    <w:rsid w:val="00B55A8E"/>
    <w:rsid w:val="00B56115"/>
    <w:rsid w:val="00B5632A"/>
    <w:rsid w:val="00B564D6"/>
    <w:rsid w:val="00B56815"/>
    <w:rsid w:val="00B56C7B"/>
    <w:rsid w:val="00B56F5B"/>
    <w:rsid w:val="00B56FCE"/>
    <w:rsid w:val="00B56FEA"/>
    <w:rsid w:val="00B56FEF"/>
    <w:rsid w:val="00B570BE"/>
    <w:rsid w:val="00B5790F"/>
    <w:rsid w:val="00B57970"/>
    <w:rsid w:val="00B57983"/>
    <w:rsid w:val="00B57A1B"/>
    <w:rsid w:val="00B57E0C"/>
    <w:rsid w:val="00B57F93"/>
    <w:rsid w:val="00B6032C"/>
    <w:rsid w:val="00B60355"/>
    <w:rsid w:val="00B60A11"/>
    <w:rsid w:val="00B60C84"/>
    <w:rsid w:val="00B6114F"/>
    <w:rsid w:val="00B611A8"/>
    <w:rsid w:val="00B61362"/>
    <w:rsid w:val="00B61537"/>
    <w:rsid w:val="00B61C83"/>
    <w:rsid w:val="00B61FF6"/>
    <w:rsid w:val="00B61FFF"/>
    <w:rsid w:val="00B62073"/>
    <w:rsid w:val="00B62671"/>
    <w:rsid w:val="00B628A0"/>
    <w:rsid w:val="00B62977"/>
    <w:rsid w:val="00B62AC3"/>
    <w:rsid w:val="00B62F10"/>
    <w:rsid w:val="00B634C0"/>
    <w:rsid w:val="00B634F5"/>
    <w:rsid w:val="00B635EA"/>
    <w:rsid w:val="00B63758"/>
    <w:rsid w:val="00B63776"/>
    <w:rsid w:val="00B63D24"/>
    <w:rsid w:val="00B6420B"/>
    <w:rsid w:val="00B64593"/>
    <w:rsid w:val="00B64AAE"/>
    <w:rsid w:val="00B652E4"/>
    <w:rsid w:val="00B65822"/>
    <w:rsid w:val="00B65B56"/>
    <w:rsid w:val="00B662EB"/>
    <w:rsid w:val="00B663C1"/>
    <w:rsid w:val="00B6659D"/>
    <w:rsid w:val="00B66C9D"/>
    <w:rsid w:val="00B66EEF"/>
    <w:rsid w:val="00B66F5A"/>
    <w:rsid w:val="00B66F82"/>
    <w:rsid w:val="00B6720E"/>
    <w:rsid w:val="00B673BB"/>
    <w:rsid w:val="00B674C1"/>
    <w:rsid w:val="00B67766"/>
    <w:rsid w:val="00B6776C"/>
    <w:rsid w:val="00B6779B"/>
    <w:rsid w:val="00B67A1E"/>
    <w:rsid w:val="00B67A43"/>
    <w:rsid w:val="00B67AB1"/>
    <w:rsid w:val="00B70145"/>
    <w:rsid w:val="00B708F7"/>
    <w:rsid w:val="00B70C84"/>
    <w:rsid w:val="00B71447"/>
    <w:rsid w:val="00B71449"/>
    <w:rsid w:val="00B71680"/>
    <w:rsid w:val="00B71860"/>
    <w:rsid w:val="00B719F3"/>
    <w:rsid w:val="00B7240D"/>
    <w:rsid w:val="00B72867"/>
    <w:rsid w:val="00B72B84"/>
    <w:rsid w:val="00B72BC7"/>
    <w:rsid w:val="00B7386A"/>
    <w:rsid w:val="00B73B8E"/>
    <w:rsid w:val="00B73C86"/>
    <w:rsid w:val="00B743E2"/>
    <w:rsid w:val="00B747B2"/>
    <w:rsid w:val="00B74C23"/>
    <w:rsid w:val="00B751DA"/>
    <w:rsid w:val="00B752C5"/>
    <w:rsid w:val="00B763C1"/>
    <w:rsid w:val="00B765C2"/>
    <w:rsid w:val="00B76AC5"/>
    <w:rsid w:val="00B76ACE"/>
    <w:rsid w:val="00B76EF2"/>
    <w:rsid w:val="00B77734"/>
    <w:rsid w:val="00B77846"/>
    <w:rsid w:val="00B77BDC"/>
    <w:rsid w:val="00B77F66"/>
    <w:rsid w:val="00B77F6E"/>
    <w:rsid w:val="00B80A7A"/>
    <w:rsid w:val="00B80DA5"/>
    <w:rsid w:val="00B80F64"/>
    <w:rsid w:val="00B8168B"/>
    <w:rsid w:val="00B816A6"/>
    <w:rsid w:val="00B81BCC"/>
    <w:rsid w:val="00B81CBD"/>
    <w:rsid w:val="00B81E55"/>
    <w:rsid w:val="00B8229E"/>
    <w:rsid w:val="00B82792"/>
    <w:rsid w:val="00B82D6A"/>
    <w:rsid w:val="00B82E92"/>
    <w:rsid w:val="00B830A7"/>
    <w:rsid w:val="00B830D8"/>
    <w:rsid w:val="00B83615"/>
    <w:rsid w:val="00B839DD"/>
    <w:rsid w:val="00B83CF3"/>
    <w:rsid w:val="00B83EFF"/>
    <w:rsid w:val="00B84299"/>
    <w:rsid w:val="00B85116"/>
    <w:rsid w:val="00B85189"/>
    <w:rsid w:val="00B85CDE"/>
    <w:rsid w:val="00B85F32"/>
    <w:rsid w:val="00B864EC"/>
    <w:rsid w:val="00B864FD"/>
    <w:rsid w:val="00B869C0"/>
    <w:rsid w:val="00B86AA2"/>
    <w:rsid w:val="00B86B6A"/>
    <w:rsid w:val="00B87197"/>
    <w:rsid w:val="00B878B8"/>
    <w:rsid w:val="00B9057F"/>
    <w:rsid w:val="00B90686"/>
    <w:rsid w:val="00B90D85"/>
    <w:rsid w:val="00B90FD2"/>
    <w:rsid w:val="00B91327"/>
    <w:rsid w:val="00B91698"/>
    <w:rsid w:val="00B9174B"/>
    <w:rsid w:val="00B91796"/>
    <w:rsid w:val="00B917D8"/>
    <w:rsid w:val="00B91DA2"/>
    <w:rsid w:val="00B91F41"/>
    <w:rsid w:val="00B92295"/>
    <w:rsid w:val="00B922BC"/>
    <w:rsid w:val="00B9233D"/>
    <w:rsid w:val="00B92464"/>
    <w:rsid w:val="00B924E6"/>
    <w:rsid w:val="00B92752"/>
    <w:rsid w:val="00B928B2"/>
    <w:rsid w:val="00B92A62"/>
    <w:rsid w:val="00B92C61"/>
    <w:rsid w:val="00B92CDC"/>
    <w:rsid w:val="00B92FB2"/>
    <w:rsid w:val="00B93109"/>
    <w:rsid w:val="00B93503"/>
    <w:rsid w:val="00B9390B"/>
    <w:rsid w:val="00B93B31"/>
    <w:rsid w:val="00B93B86"/>
    <w:rsid w:val="00B94324"/>
    <w:rsid w:val="00B94B3D"/>
    <w:rsid w:val="00B95138"/>
    <w:rsid w:val="00B955C6"/>
    <w:rsid w:val="00B95AA1"/>
    <w:rsid w:val="00B95D8A"/>
    <w:rsid w:val="00B9620A"/>
    <w:rsid w:val="00B9674B"/>
    <w:rsid w:val="00B967BB"/>
    <w:rsid w:val="00B96915"/>
    <w:rsid w:val="00B96A2A"/>
    <w:rsid w:val="00B97223"/>
    <w:rsid w:val="00B972A8"/>
    <w:rsid w:val="00B97641"/>
    <w:rsid w:val="00B9770B"/>
    <w:rsid w:val="00B9779B"/>
    <w:rsid w:val="00B97ACE"/>
    <w:rsid w:val="00B97B48"/>
    <w:rsid w:val="00BA04DF"/>
    <w:rsid w:val="00BA0757"/>
    <w:rsid w:val="00BA07C0"/>
    <w:rsid w:val="00BA081A"/>
    <w:rsid w:val="00BA0897"/>
    <w:rsid w:val="00BA0908"/>
    <w:rsid w:val="00BA0C06"/>
    <w:rsid w:val="00BA0C5C"/>
    <w:rsid w:val="00BA0D77"/>
    <w:rsid w:val="00BA0DEF"/>
    <w:rsid w:val="00BA0E9F"/>
    <w:rsid w:val="00BA100F"/>
    <w:rsid w:val="00BA109E"/>
    <w:rsid w:val="00BA17CB"/>
    <w:rsid w:val="00BA1C96"/>
    <w:rsid w:val="00BA1D46"/>
    <w:rsid w:val="00BA1DFD"/>
    <w:rsid w:val="00BA1FD0"/>
    <w:rsid w:val="00BA21FD"/>
    <w:rsid w:val="00BA2327"/>
    <w:rsid w:val="00BA25B4"/>
    <w:rsid w:val="00BA262D"/>
    <w:rsid w:val="00BA39B0"/>
    <w:rsid w:val="00BA4035"/>
    <w:rsid w:val="00BA424B"/>
    <w:rsid w:val="00BA44CA"/>
    <w:rsid w:val="00BA4877"/>
    <w:rsid w:val="00BA4B76"/>
    <w:rsid w:val="00BA513E"/>
    <w:rsid w:val="00BA526D"/>
    <w:rsid w:val="00BA5698"/>
    <w:rsid w:val="00BA56E4"/>
    <w:rsid w:val="00BA592F"/>
    <w:rsid w:val="00BA5B65"/>
    <w:rsid w:val="00BA6587"/>
    <w:rsid w:val="00BA6761"/>
    <w:rsid w:val="00BA6A90"/>
    <w:rsid w:val="00BA73F0"/>
    <w:rsid w:val="00BA7648"/>
    <w:rsid w:val="00BA7B22"/>
    <w:rsid w:val="00BA7D37"/>
    <w:rsid w:val="00BA7EB3"/>
    <w:rsid w:val="00BB021B"/>
    <w:rsid w:val="00BB03CC"/>
    <w:rsid w:val="00BB03F9"/>
    <w:rsid w:val="00BB03FD"/>
    <w:rsid w:val="00BB099B"/>
    <w:rsid w:val="00BB0B52"/>
    <w:rsid w:val="00BB0D04"/>
    <w:rsid w:val="00BB133E"/>
    <w:rsid w:val="00BB1603"/>
    <w:rsid w:val="00BB1670"/>
    <w:rsid w:val="00BB17A1"/>
    <w:rsid w:val="00BB19B2"/>
    <w:rsid w:val="00BB1EC4"/>
    <w:rsid w:val="00BB2181"/>
    <w:rsid w:val="00BB260A"/>
    <w:rsid w:val="00BB261C"/>
    <w:rsid w:val="00BB272A"/>
    <w:rsid w:val="00BB27A0"/>
    <w:rsid w:val="00BB28D1"/>
    <w:rsid w:val="00BB2E6C"/>
    <w:rsid w:val="00BB30B0"/>
    <w:rsid w:val="00BB30B4"/>
    <w:rsid w:val="00BB30C4"/>
    <w:rsid w:val="00BB3384"/>
    <w:rsid w:val="00BB3428"/>
    <w:rsid w:val="00BB3798"/>
    <w:rsid w:val="00BB3A8E"/>
    <w:rsid w:val="00BB3C2A"/>
    <w:rsid w:val="00BB43DC"/>
    <w:rsid w:val="00BB4658"/>
    <w:rsid w:val="00BB4659"/>
    <w:rsid w:val="00BB4E47"/>
    <w:rsid w:val="00BB5139"/>
    <w:rsid w:val="00BB523F"/>
    <w:rsid w:val="00BB581F"/>
    <w:rsid w:val="00BB5F8C"/>
    <w:rsid w:val="00BB61C3"/>
    <w:rsid w:val="00BB62F7"/>
    <w:rsid w:val="00BB6694"/>
    <w:rsid w:val="00BB66BC"/>
    <w:rsid w:val="00BB684B"/>
    <w:rsid w:val="00BB6C40"/>
    <w:rsid w:val="00BB6F83"/>
    <w:rsid w:val="00BB7011"/>
    <w:rsid w:val="00BB76B5"/>
    <w:rsid w:val="00BB7A12"/>
    <w:rsid w:val="00BB7BEA"/>
    <w:rsid w:val="00BB7D15"/>
    <w:rsid w:val="00BB7D79"/>
    <w:rsid w:val="00BC01FC"/>
    <w:rsid w:val="00BC0205"/>
    <w:rsid w:val="00BC0AF4"/>
    <w:rsid w:val="00BC16BA"/>
    <w:rsid w:val="00BC1792"/>
    <w:rsid w:val="00BC1CB1"/>
    <w:rsid w:val="00BC1D86"/>
    <w:rsid w:val="00BC25C5"/>
    <w:rsid w:val="00BC26C7"/>
    <w:rsid w:val="00BC270D"/>
    <w:rsid w:val="00BC2A42"/>
    <w:rsid w:val="00BC33EE"/>
    <w:rsid w:val="00BC3459"/>
    <w:rsid w:val="00BC3F54"/>
    <w:rsid w:val="00BC415C"/>
    <w:rsid w:val="00BC4459"/>
    <w:rsid w:val="00BC4682"/>
    <w:rsid w:val="00BC49FA"/>
    <w:rsid w:val="00BC4DA8"/>
    <w:rsid w:val="00BC4F4A"/>
    <w:rsid w:val="00BC51CE"/>
    <w:rsid w:val="00BC5498"/>
    <w:rsid w:val="00BC5721"/>
    <w:rsid w:val="00BC5CB4"/>
    <w:rsid w:val="00BC5CE7"/>
    <w:rsid w:val="00BC69B9"/>
    <w:rsid w:val="00BC72E1"/>
    <w:rsid w:val="00BC79EB"/>
    <w:rsid w:val="00BC7A47"/>
    <w:rsid w:val="00BC7BB6"/>
    <w:rsid w:val="00BD0030"/>
    <w:rsid w:val="00BD00E2"/>
    <w:rsid w:val="00BD02CE"/>
    <w:rsid w:val="00BD06B5"/>
    <w:rsid w:val="00BD0D27"/>
    <w:rsid w:val="00BD0F36"/>
    <w:rsid w:val="00BD10EC"/>
    <w:rsid w:val="00BD185B"/>
    <w:rsid w:val="00BD1DAC"/>
    <w:rsid w:val="00BD2100"/>
    <w:rsid w:val="00BD217F"/>
    <w:rsid w:val="00BD2871"/>
    <w:rsid w:val="00BD2C74"/>
    <w:rsid w:val="00BD2C96"/>
    <w:rsid w:val="00BD37E2"/>
    <w:rsid w:val="00BD3B98"/>
    <w:rsid w:val="00BD3C52"/>
    <w:rsid w:val="00BD4192"/>
    <w:rsid w:val="00BD44F1"/>
    <w:rsid w:val="00BD4683"/>
    <w:rsid w:val="00BD46D6"/>
    <w:rsid w:val="00BD4EA0"/>
    <w:rsid w:val="00BD5083"/>
    <w:rsid w:val="00BD55F5"/>
    <w:rsid w:val="00BD59BF"/>
    <w:rsid w:val="00BD5A61"/>
    <w:rsid w:val="00BD6310"/>
    <w:rsid w:val="00BD635D"/>
    <w:rsid w:val="00BD713C"/>
    <w:rsid w:val="00BD737E"/>
    <w:rsid w:val="00BD74AD"/>
    <w:rsid w:val="00BD7525"/>
    <w:rsid w:val="00BD78AB"/>
    <w:rsid w:val="00BD797E"/>
    <w:rsid w:val="00BD79A5"/>
    <w:rsid w:val="00BD7FCF"/>
    <w:rsid w:val="00BE000D"/>
    <w:rsid w:val="00BE0387"/>
    <w:rsid w:val="00BE0694"/>
    <w:rsid w:val="00BE0C2A"/>
    <w:rsid w:val="00BE0D17"/>
    <w:rsid w:val="00BE0D5D"/>
    <w:rsid w:val="00BE10FD"/>
    <w:rsid w:val="00BE1506"/>
    <w:rsid w:val="00BE168F"/>
    <w:rsid w:val="00BE19BA"/>
    <w:rsid w:val="00BE1BDE"/>
    <w:rsid w:val="00BE21D1"/>
    <w:rsid w:val="00BE225C"/>
    <w:rsid w:val="00BE249E"/>
    <w:rsid w:val="00BE25F3"/>
    <w:rsid w:val="00BE2739"/>
    <w:rsid w:val="00BE28E3"/>
    <w:rsid w:val="00BE32B2"/>
    <w:rsid w:val="00BE35CA"/>
    <w:rsid w:val="00BE35D4"/>
    <w:rsid w:val="00BE3E52"/>
    <w:rsid w:val="00BE40A9"/>
    <w:rsid w:val="00BE47A4"/>
    <w:rsid w:val="00BE4B21"/>
    <w:rsid w:val="00BE4C44"/>
    <w:rsid w:val="00BE4DB5"/>
    <w:rsid w:val="00BE5227"/>
    <w:rsid w:val="00BE5426"/>
    <w:rsid w:val="00BE55AA"/>
    <w:rsid w:val="00BE5AA4"/>
    <w:rsid w:val="00BE5D84"/>
    <w:rsid w:val="00BE6807"/>
    <w:rsid w:val="00BE6E0F"/>
    <w:rsid w:val="00BE7745"/>
    <w:rsid w:val="00BE7A90"/>
    <w:rsid w:val="00BE7D1A"/>
    <w:rsid w:val="00BE7FDC"/>
    <w:rsid w:val="00BF0260"/>
    <w:rsid w:val="00BF081B"/>
    <w:rsid w:val="00BF0C1E"/>
    <w:rsid w:val="00BF0D16"/>
    <w:rsid w:val="00BF0DB6"/>
    <w:rsid w:val="00BF1464"/>
    <w:rsid w:val="00BF231D"/>
    <w:rsid w:val="00BF25E9"/>
    <w:rsid w:val="00BF281F"/>
    <w:rsid w:val="00BF317F"/>
    <w:rsid w:val="00BF3196"/>
    <w:rsid w:val="00BF31B9"/>
    <w:rsid w:val="00BF35DF"/>
    <w:rsid w:val="00BF3993"/>
    <w:rsid w:val="00BF3B93"/>
    <w:rsid w:val="00BF3F22"/>
    <w:rsid w:val="00BF43E3"/>
    <w:rsid w:val="00BF4B19"/>
    <w:rsid w:val="00BF5341"/>
    <w:rsid w:val="00BF5545"/>
    <w:rsid w:val="00BF55C9"/>
    <w:rsid w:val="00BF563E"/>
    <w:rsid w:val="00BF56E4"/>
    <w:rsid w:val="00BF5939"/>
    <w:rsid w:val="00BF6146"/>
    <w:rsid w:val="00BF6406"/>
    <w:rsid w:val="00BF7174"/>
    <w:rsid w:val="00C00162"/>
    <w:rsid w:val="00C002C1"/>
    <w:rsid w:val="00C004DF"/>
    <w:rsid w:val="00C01293"/>
    <w:rsid w:val="00C01711"/>
    <w:rsid w:val="00C0198B"/>
    <w:rsid w:val="00C01A1E"/>
    <w:rsid w:val="00C02134"/>
    <w:rsid w:val="00C023E3"/>
    <w:rsid w:val="00C02C5C"/>
    <w:rsid w:val="00C02C7B"/>
    <w:rsid w:val="00C02D42"/>
    <w:rsid w:val="00C032BA"/>
    <w:rsid w:val="00C035DA"/>
    <w:rsid w:val="00C03AE6"/>
    <w:rsid w:val="00C03F88"/>
    <w:rsid w:val="00C04604"/>
    <w:rsid w:val="00C0475C"/>
    <w:rsid w:val="00C04AA2"/>
    <w:rsid w:val="00C04BE0"/>
    <w:rsid w:val="00C04F06"/>
    <w:rsid w:val="00C04F20"/>
    <w:rsid w:val="00C051B4"/>
    <w:rsid w:val="00C0542A"/>
    <w:rsid w:val="00C05D3F"/>
    <w:rsid w:val="00C0615F"/>
    <w:rsid w:val="00C061D9"/>
    <w:rsid w:val="00C06276"/>
    <w:rsid w:val="00C06437"/>
    <w:rsid w:val="00C064DC"/>
    <w:rsid w:val="00C064FB"/>
    <w:rsid w:val="00C0653E"/>
    <w:rsid w:val="00C07127"/>
    <w:rsid w:val="00C0763C"/>
    <w:rsid w:val="00C07B6D"/>
    <w:rsid w:val="00C07F4F"/>
    <w:rsid w:val="00C07FED"/>
    <w:rsid w:val="00C103A7"/>
    <w:rsid w:val="00C1080A"/>
    <w:rsid w:val="00C10E21"/>
    <w:rsid w:val="00C11CD4"/>
    <w:rsid w:val="00C11D23"/>
    <w:rsid w:val="00C120C7"/>
    <w:rsid w:val="00C1214B"/>
    <w:rsid w:val="00C12630"/>
    <w:rsid w:val="00C12695"/>
    <w:rsid w:val="00C12D0A"/>
    <w:rsid w:val="00C13137"/>
    <w:rsid w:val="00C136BC"/>
    <w:rsid w:val="00C136C3"/>
    <w:rsid w:val="00C1448E"/>
    <w:rsid w:val="00C1461C"/>
    <w:rsid w:val="00C14726"/>
    <w:rsid w:val="00C14864"/>
    <w:rsid w:val="00C149BD"/>
    <w:rsid w:val="00C14D71"/>
    <w:rsid w:val="00C14F2D"/>
    <w:rsid w:val="00C155F5"/>
    <w:rsid w:val="00C162C8"/>
    <w:rsid w:val="00C163B4"/>
    <w:rsid w:val="00C16A3D"/>
    <w:rsid w:val="00C16C42"/>
    <w:rsid w:val="00C16CE6"/>
    <w:rsid w:val="00C16E08"/>
    <w:rsid w:val="00C1773E"/>
    <w:rsid w:val="00C17C8A"/>
    <w:rsid w:val="00C20660"/>
    <w:rsid w:val="00C20BB2"/>
    <w:rsid w:val="00C20C84"/>
    <w:rsid w:val="00C21267"/>
    <w:rsid w:val="00C216B6"/>
    <w:rsid w:val="00C21B7D"/>
    <w:rsid w:val="00C21B9F"/>
    <w:rsid w:val="00C21C6B"/>
    <w:rsid w:val="00C21D38"/>
    <w:rsid w:val="00C21E19"/>
    <w:rsid w:val="00C222B0"/>
    <w:rsid w:val="00C22436"/>
    <w:rsid w:val="00C22BC0"/>
    <w:rsid w:val="00C22F69"/>
    <w:rsid w:val="00C22F7D"/>
    <w:rsid w:val="00C2383A"/>
    <w:rsid w:val="00C23C70"/>
    <w:rsid w:val="00C23EE5"/>
    <w:rsid w:val="00C24637"/>
    <w:rsid w:val="00C24711"/>
    <w:rsid w:val="00C24791"/>
    <w:rsid w:val="00C24B6F"/>
    <w:rsid w:val="00C24C33"/>
    <w:rsid w:val="00C24CFA"/>
    <w:rsid w:val="00C25343"/>
    <w:rsid w:val="00C253FD"/>
    <w:rsid w:val="00C256EB"/>
    <w:rsid w:val="00C2583B"/>
    <w:rsid w:val="00C25BD6"/>
    <w:rsid w:val="00C25BDA"/>
    <w:rsid w:val="00C25C1E"/>
    <w:rsid w:val="00C269A7"/>
    <w:rsid w:val="00C26CE0"/>
    <w:rsid w:val="00C270E0"/>
    <w:rsid w:val="00C273F9"/>
    <w:rsid w:val="00C2746C"/>
    <w:rsid w:val="00C27B44"/>
    <w:rsid w:val="00C27EEA"/>
    <w:rsid w:val="00C300EB"/>
    <w:rsid w:val="00C307BD"/>
    <w:rsid w:val="00C309C1"/>
    <w:rsid w:val="00C30BC0"/>
    <w:rsid w:val="00C30D32"/>
    <w:rsid w:val="00C310BA"/>
    <w:rsid w:val="00C314E6"/>
    <w:rsid w:val="00C3151A"/>
    <w:rsid w:val="00C3176C"/>
    <w:rsid w:val="00C31812"/>
    <w:rsid w:val="00C31982"/>
    <w:rsid w:val="00C31E14"/>
    <w:rsid w:val="00C31E95"/>
    <w:rsid w:val="00C31F05"/>
    <w:rsid w:val="00C32352"/>
    <w:rsid w:val="00C33104"/>
    <w:rsid w:val="00C332D4"/>
    <w:rsid w:val="00C337A7"/>
    <w:rsid w:val="00C33995"/>
    <w:rsid w:val="00C33B51"/>
    <w:rsid w:val="00C34278"/>
    <w:rsid w:val="00C342AF"/>
    <w:rsid w:val="00C34415"/>
    <w:rsid w:val="00C344CA"/>
    <w:rsid w:val="00C3484F"/>
    <w:rsid w:val="00C34B6A"/>
    <w:rsid w:val="00C34D6A"/>
    <w:rsid w:val="00C359A8"/>
    <w:rsid w:val="00C35E30"/>
    <w:rsid w:val="00C360C2"/>
    <w:rsid w:val="00C36264"/>
    <w:rsid w:val="00C363F9"/>
    <w:rsid w:val="00C364A4"/>
    <w:rsid w:val="00C368DC"/>
    <w:rsid w:val="00C36AA8"/>
    <w:rsid w:val="00C36BA2"/>
    <w:rsid w:val="00C36C1A"/>
    <w:rsid w:val="00C36CD2"/>
    <w:rsid w:val="00C37C4A"/>
    <w:rsid w:val="00C37DC3"/>
    <w:rsid w:val="00C37EBA"/>
    <w:rsid w:val="00C40136"/>
    <w:rsid w:val="00C403ED"/>
    <w:rsid w:val="00C404AF"/>
    <w:rsid w:val="00C40641"/>
    <w:rsid w:val="00C40728"/>
    <w:rsid w:val="00C40790"/>
    <w:rsid w:val="00C408EB"/>
    <w:rsid w:val="00C40A4F"/>
    <w:rsid w:val="00C40A79"/>
    <w:rsid w:val="00C40D9A"/>
    <w:rsid w:val="00C41269"/>
    <w:rsid w:val="00C4142E"/>
    <w:rsid w:val="00C416C7"/>
    <w:rsid w:val="00C41A96"/>
    <w:rsid w:val="00C41B96"/>
    <w:rsid w:val="00C41E40"/>
    <w:rsid w:val="00C41E60"/>
    <w:rsid w:val="00C41E9C"/>
    <w:rsid w:val="00C41EF8"/>
    <w:rsid w:val="00C4202E"/>
    <w:rsid w:val="00C42497"/>
    <w:rsid w:val="00C42722"/>
    <w:rsid w:val="00C42AB2"/>
    <w:rsid w:val="00C4334B"/>
    <w:rsid w:val="00C434FE"/>
    <w:rsid w:val="00C4356D"/>
    <w:rsid w:val="00C438B1"/>
    <w:rsid w:val="00C439D1"/>
    <w:rsid w:val="00C43DB8"/>
    <w:rsid w:val="00C444C5"/>
    <w:rsid w:val="00C44625"/>
    <w:rsid w:val="00C446E4"/>
    <w:rsid w:val="00C44DFF"/>
    <w:rsid w:val="00C45159"/>
    <w:rsid w:val="00C45266"/>
    <w:rsid w:val="00C458A2"/>
    <w:rsid w:val="00C45BD6"/>
    <w:rsid w:val="00C45D51"/>
    <w:rsid w:val="00C45E2C"/>
    <w:rsid w:val="00C45FA8"/>
    <w:rsid w:val="00C460CE"/>
    <w:rsid w:val="00C461F9"/>
    <w:rsid w:val="00C46292"/>
    <w:rsid w:val="00C462FA"/>
    <w:rsid w:val="00C464CD"/>
    <w:rsid w:val="00C464FE"/>
    <w:rsid w:val="00C47329"/>
    <w:rsid w:val="00C47D7C"/>
    <w:rsid w:val="00C50057"/>
    <w:rsid w:val="00C502F3"/>
    <w:rsid w:val="00C50802"/>
    <w:rsid w:val="00C50D78"/>
    <w:rsid w:val="00C50E16"/>
    <w:rsid w:val="00C51011"/>
    <w:rsid w:val="00C517C7"/>
    <w:rsid w:val="00C517F6"/>
    <w:rsid w:val="00C5180C"/>
    <w:rsid w:val="00C51959"/>
    <w:rsid w:val="00C51ED2"/>
    <w:rsid w:val="00C51F09"/>
    <w:rsid w:val="00C521D9"/>
    <w:rsid w:val="00C524D8"/>
    <w:rsid w:val="00C5261B"/>
    <w:rsid w:val="00C52851"/>
    <w:rsid w:val="00C52909"/>
    <w:rsid w:val="00C52C9F"/>
    <w:rsid w:val="00C52D8B"/>
    <w:rsid w:val="00C531DE"/>
    <w:rsid w:val="00C53277"/>
    <w:rsid w:val="00C534A8"/>
    <w:rsid w:val="00C53627"/>
    <w:rsid w:val="00C541FF"/>
    <w:rsid w:val="00C543BC"/>
    <w:rsid w:val="00C54456"/>
    <w:rsid w:val="00C54627"/>
    <w:rsid w:val="00C54671"/>
    <w:rsid w:val="00C549EE"/>
    <w:rsid w:val="00C55628"/>
    <w:rsid w:val="00C559EF"/>
    <w:rsid w:val="00C55DAB"/>
    <w:rsid w:val="00C55ED0"/>
    <w:rsid w:val="00C56081"/>
    <w:rsid w:val="00C560AC"/>
    <w:rsid w:val="00C5610D"/>
    <w:rsid w:val="00C561E0"/>
    <w:rsid w:val="00C56895"/>
    <w:rsid w:val="00C5777C"/>
    <w:rsid w:val="00C5781C"/>
    <w:rsid w:val="00C57B44"/>
    <w:rsid w:val="00C600B3"/>
    <w:rsid w:val="00C60343"/>
    <w:rsid w:val="00C60B03"/>
    <w:rsid w:val="00C60CEE"/>
    <w:rsid w:val="00C611D0"/>
    <w:rsid w:val="00C61687"/>
    <w:rsid w:val="00C61907"/>
    <w:rsid w:val="00C61EE1"/>
    <w:rsid w:val="00C61F39"/>
    <w:rsid w:val="00C62651"/>
    <w:rsid w:val="00C62680"/>
    <w:rsid w:val="00C62A9E"/>
    <w:rsid w:val="00C62B7D"/>
    <w:rsid w:val="00C62D20"/>
    <w:rsid w:val="00C62FE9"/>
    <w:rsid w:val="00C63CF8"/>
    <w:rsid w:val="00C641D6"/>
    <w:rsid w:val="00C65262"/>
    <w:rsid w:val="00C6590D"/>
    <w:rsid w:val="00C659C5"/>
    <w:rsid w:val="00C65B67"/>
    <w:rsid w:val="00C65BAA"/>
    <w:rsid w:val="00C660BC"/>
    <w:rsid w:val="00C667B1"/>
    <w:rsid w:val="00C6682F"/>
    <w:rsid w:val="00C6700E"/>
    <w:rsid w:val="00C6750C"/>
    <w:rsid w:val="00C6759C"/>
    <w:rsid w:val="00C67ED4"/>
    <w:rsid w:val="00C7023B"/>
    <w:rsid w:val="00C708AE"/>
    <w:rsid w:val="00C70F43"/>
    <w:rsid w:val="00C70FAE"/>
    <w:rsid w:val="00C7105F"/>
    <w:rsid w:val="00C7109D"/>
    <w:rsid w:val="00C71988"/>
    <w:rsid w:val="00C719E6"/>
    <w:rsid w:val="00C71B20"/>
    <w:rsid w:val="00C71CD9"/>
    <w:rsid w:val="00C72306"/>
    <w:rsid w:val="00C725A9"/>
    <w:rsid w:val="00C72DBD"/>
    <w:rsid w:val="00C72F45"/>
    <w:rsid w:val="00C7313B"/>
    <w:rsid w:val="00C73361"/>
    <w:rsid w:val="00C7362E"/>
    <w:rsid w:val="00C73D75"/>
    <w:rsid w:val="00C740DD"/>
    <w:rsid w:val="00C74437"/>
    <w:rsid w:val="00C74839"/>
    <w:rsid w:val="00C74DE2"/>
    <w:rsid w:val="00C74F5A"/>
    <w:rsid w:val="00C74FFF"/>
    <w:rsid w:val="00C750E0"/>
    <w:rsid w:val="00C751A1"/>
    <w:rsid w:val="00C7527E"/>
    <w:rsid w:val="00C757CE"/>
    <w:rsid w:val="00C75992"/>
    <w:rsid w:val="00C75A9C"/>
    <w:rsid w:val="00C765F5"/>
    <w:rsid w:val="00C76D20"/>
    <w:rsid w:val="00C76F9C"/>
    <w:rsid w:val="00C770CA"/>
    <w:rsid w:val="00C77150"/>
    <w:rsid w:val="00C7716E"/>
    <w:rsid w:val="00C77432"/>
    <w:rsid w:val="00C77583"/>
    <w:rsid w:val="00C7772D"/>
    <w:rsid w:val="00C777AA"/>
    <w:rsid w:val="00C77A1F"/>
    <w:rsid w:val="00C77CB6"/>
    <w:rsid w:val="00C80130"/>
    <w:rsid w:val="00C80504"/>
    <w:rsid w:val="00C807C2"/>
    <w:rsid w:val="00C8086E"/>
    <w:rsid w:val="00C810BE"/>
    <w:rsid w:val="00C813D7"/>
    <w:rsid w:val="00C816CD"/>
    <w:rsid w:val="00C8192B"/>
    <w:rsid w:val="00C81C21"/>
    <w:rsid w:val="00C81DB6"/>
    <w:rsid w:val="00C82AF5"/>
    <w:rsid w:val="00C8317C"/>
    <w:rsid w:val="00C8360E"/>
    <w:rsid w:val="00C83718"/>
    <w:rsid w:val="00C837DC"/>
    <w:rsid w:val="00C84681"/>
    <w:rsid w:val="00C846FD"/>
    <w:rsid w:val="00C84A2D"/>
    <w:rsid w:val="00C84BBC"/>
    <w:rsid w:val="00C851A6"/>
    <w:rsid w:val="00C854D4"/>
    <w:rsid w:val="00C8597C"/>
    <w:rsid w:val="00C85AF1"/>
    <w:rsid w:val="00C86324"/>
    <w:rsid w:val="00C863DE"/>
    <w:rsid w:val="00C8688A"/>
    <w:rsid w:val="00C8689D"/>
    <w:rsid w:val="00C86BE0"/>
    <w:rsid w:val="00C877E3"/>
    <w:rsid w:val="00C87AF8"/>
    <w:rsid w:val="00C900FE"/>
    <w:rsid w:val="00C90556"/>
    <w:rsid w:val="00C908C3"/>
    <w:rsid w:val="00C90AEF"/>
    <w:rsid w:val="00C90C41"/>
    <w:rsid w:val="00C90C52"/>
    <w:rsid w:val="00C90D8B"/>
    <w:rsid w:val="00C928D0"/>
    <w:rsid w:val="00C92BAD"/>
    <w:rsid w:val="00C92E68"/>
    <w:rsid w:val="00C92FD8"/>
    <w:rsid w:val="00C93484"/>
    <w:rsid w:val="00C94141"/>
    <w:rsid w:val="00C94176"/>
    <w:rsid w:val="00C943B3"/>
    <w:rsid w:val="00C94768"/>
    <w:rsid w:val="00C94CF3"/>
    <w:rsid w:val="00C94E68"/>
    <w:rsid w:val="00C950D2"/>
    <w:rsid w:val="00C95605"/>
    <w:rsid w:val="00C95B4C"/>
    <w:rsid w:val="00C95B7E"/>
    <w:rsid w:val="00C95E1D"/>
    <w:rsid w:val="00C95E98"/>
    <w:rsid w:val="00C965B1"/>
    <w:rsid w:val="00C96600"/>
    <w:rsid w:val="00C96877"/>
    <w:rsid w:val="00C96AD3"/>
    <w:rsid w:val="00C96CAA"/>
    <w:rsid w:val="00C96E2D"/>
    <w:rsid w:val="00C96F51"/>
    <w:rsid w:val="00C97C72"/>
    <w:rsid w:val="00C97EB7"/>
    <w:rsid w:val="00CA0762"/>
    <w:rsid w:val="00CA0D78"/>
    <w:rsid w:val="00CA0DF3"/>
    <w:rsid w:val="00CA1701"/>
    <w:rsid w:val="00CA1A5D"/>
    <w:rsid w:val="00CA1AD9"/>
    <w:rsid w:val="00CA20BF"/>
    <w:rsid w:val="00CA2F08"/>
    <w:rsid w:val="00CA3BD9"/>
    <w:rsid w:val="00CA3D53"/>
    <w:rsid w:val="00CA440D"/>
    <w:rsid w:val="00CA4855"/>
    <w:rsid w:val="00CA4A0E"/>
    <w:rsid w:val="00CA5BF4"/>
    <w:rsid w:val="00CA5C54"/>
    <w:rsid w:val="00CA5D90"/>
    <w:rsid w:val="00CA6080"/>
    <w:rsid w:val="00CA63BB"/>
    <w:rsid w:val="00CA664F"/>
    <w:rsid w:val="00CA683C"/>
    <w:rsid w:val="00CA69BB"/>
    <w:rsid w:val="00CA6D11"/>
    <w:rsid w:val="00CA6E20"/>
    <w:rsid w:val="00CA7252"/>
    <w:rsid w:val="00CA7389"/>
    <w:rsid w:val="00CA74D1"/>
    <w:rsid w:val="00CA7806"/>
    <w:rsid w:val="00CA7A69"/>
    <w:rsid w:val="00CB0532"/>
    <w:rsid w:val="00CB05AD"/>
    <w:rsid w:val="00CB09BE"/>
    <w:rsid w:val="00CB0B26"/>
    <w:rsid w:val="00CB0DA0"/>
    <w:rsid w:val="00CB0E66"/>
    <w:rsid w:val="00CB124D"/>
    <w:rsid w:val="00CB13ED"/>
    <w:rsid w:val="00CB1992"/>
    <w:rsid w:val="00CB19A1"/>
    <w:rsid w:val="00CB1CA9"/>
    <w:rsid w:val="00CB200D"/>
    <w:rsid w:val="00CB207D"/>
    <w:rsid w:val="00CB21D2"/>
    <w:rsid w:val="00CB246E"/>
    <w:rsid w:val="00CB24FE"/>
    <w:rsid w:val="00CB2988"/>
    <w:rsid w:val="00CB2AD8"/>
    <w:rsid w:val="00CB2B2D"/>
    <w:rsid w:val="00CB3908"/>
    <w:rsid w:val="00CB39DC"/>
    <w:rsid w:val="00CB3ACF"/>
    <w:rsid w:val="00CB3C39"/>
    <w:rsid w:val="00CB3D79"/>
    <w:rsid w:val="00CB4014"/>
    <w:rsid w:val="00CB4560"/>
    <w:rsid w:val="00CB46DE"/>
    <w:rsid w:val="00CB47AF"/>
    <w:rsid w:val="00CB4AFB"/>
    <w:rsid w:val="00CB4BD4"/>
    <w:rsid w:val="00CB4E10"/>
    <w:rsid w:val="00CB51F0"/>
    <w:rsid w:val="00CB5436"/>
    <w:rsid w:val="00CB547D"/>
    <w:rsid w:val="00CB5B37"/>
    <w:rsid w:val="00CB5FA3"/>
    <w:rsid w:val="00CB6743"/>
    <w:rsid w:val="00CB6833"/>
    <w:rsid w:val="00CB6DA9"/>
    <w:rsid w:val="00CB6DCC"/>
    <w:rsid w:val="00CB705D"/>
    <w:rsid w:val="00CB741F"/>
    <w:rsid w:val="00CB74E3"/>
    <w:rsid w:val="00CB75C5"/>
    <w:rsid w:val="00CB7766"/>
    <w:rsid w:val="00CB78E5"/>
    <w:rsid w:val="00CB7C55"/>
    <w:rsid w:val="00CC052E"/>
    <w:rsid w:val="00CC0774"/>
    <w:rsid w:val="00CC0819"/>
    <w:rsid w:val="00CC094F"/>
    <w:rsid w:val="00CC14B1"/>
    <w:rsid w:val="00CC14EC"/>
    <w:rsid w:val="00CC1B8F"/>
    <w:rsid w:val="00CC213A"/>
    <w:rsid w:val="00CC23C0"/>
    <w:rsid w:val="00CC23EC"/>
    <w:rsid w:val="00CC256A"/>
    <w:rsid w:val="00CC287E"/>
    <w:rsid w:val="00CC28E6"/>
    <w:rsid w:val="00CC2A73"/>
    <w:rsid w:val="00CC2AA0"/>
    <w:rsid w:val="00CC2BDA"/>
    <w:rsid w:val="00CC3191"/>
    <w:rsid w:val="00CC348D"/>
    <w:rsid w:val="00CC3744"/>
    <w:rsid w:val="00CC3929"/>
    <w:rsid w:val="00CC39F7"/>
    <w:rsid w:val="00CC3D90"/>
    <w:rsid w:val="00CC403D"/>
    <w:rsid w:val="00CC4430"/>
    <w:rsid w:val="00CC45A3"/>
    <w:rsid w:val="00CC4668"/>
    <w:rsid w:val="00CC4AD0"/>
    <w:rsid w:val="00CC57E9"/>
    <w:rsid w:val="00CC58D2"/>
    <w:rsid w:val="00CC5D12"/>
    <w:rsid w:val="00CC6869"/>
    <w:rsid w:val="00CC6B79"/>
    <w:rsid w:val="00CC6CBB"/>
    <w:rsid w:val="00CC743B"/>
    <w:rsid w:val="00CC7547"/>
    <w:rsid w:val="00CC7D00"/>
    <w:rsid w:val="00CC7D2C"/>
    <w:rsid w:val="00CD0170"/>
    <w:rsid w:val="00CD029F"/>
    <w:rsid w:val="00CD04E6"/>
    <w:rsid w:val="00CD05D6"/>
    <w:rsid w:val="00CD0676"/>
    <w:rsid w:val="00CD0ABF"/>
    <w:rsid w:val="00CD0AC3"/>
    <w:rsid w:val="00CD0AD1"/>
    <w:rsid w:val="00CD0C46"/>
    <w:rsid w:val="00CD0C9F"/>
    <w:rsid w:val="00CD1420"/>
    <w:rsid w:val="00CD14AB"/>
    <w:rsid w:val="00CD154A"/>
    <w:rsid w:val="00CD194A"/>
    <w:rsid w:val="00CD1987"/>
    <w:rsid w:val="00CD1AC1"/>
    <w:rsid w:val="00CD1B7D"/>
    <w:rsid w:val="00CD1E9F"/>
    <w:rsid w:val="00CD2213"/>
    <w:rsid w:val="00CD2366"/>
    <w:rsid w:val="00CD245E"/>
    <w:rsid w:val="00CD2777"/>
    <w:rsid w:val="00CD290D"/>
    <w:rsid w:val="00CD2AF4"/>
    <w:rsid w:val="00CD32D1"/>
    <w:rsid w:val="00CD36D9"/>
    <w:rsid w:val="00CD3751"/>
    <w:rsid w:val="00CD382C"/>
    <w:rsid w:val="00CD3AF7"/>
    <w:rsid w:val="00CD41C9"/>
    <w:rsid w:val="00CD4224"/>
    <w:rsid w:val="00CD47EE"/>
    <w:rsid w:val="00CD4953"/>
    <w:rsid w:val="00CD4955"/>
    <w:rsid w:val="00CD4ED6"/>
    <w:rsid w:val="00CD5824"/>
    <w:rsid w:val="00CD58FD"/>
    <w:rsid w:val="00CD593C"/>
    <w:rsid w:val="00CD5A12"/>
    <w:rsid w:val="00CD5D21"/>
    <w:rsid w:val="00CD6034"/>
    <w:rsid w:val="00CD607C"/>
    <w:rsid w:val="00CD6776"/>
    <w:rsid w:val="00CD7094"/>
    <w:rsid w:val="00CD741D"/>
    <w:rsid w:val="00CD75EE"/>
    <w:rsid w:val="00CD7696"/>
    <w:rsid w:val="00CD777D"/>
    <w:rsid w:val="00CD7811"/>
    <w:rsid w:val="00CD7AF4"/>
    <w:rsid w:val="00CE028E"/>
    <w:rsid w:val="00CE0AC5"/>
    <w:rsid w:val="00CE12A9"/>
    <w:rsid w:val="00CE12CD"/>
    <w:rsid w:val="00CE13F6"/>
    <w:rsid w:val="00CE1978"/>
    <w:rsid w:val="00CE1AC5"/>
    <w:rsid w:val="00CE1C19"/>
    <w:rsid w:val="00CE1CBD"/>
    <w:rsid w:val="00CE1F0A"/>
    <w:rsid w:val="00CE1FED"/>
    <w:rsid w:val="00CE2489"/>
    <w:rsid w:val="00CE24B6"/>
    <w:rsid w:val="00CE24C4"/>
    <w:rsid w:val="00CE2678"/>
    <w:rsid w:val="00CE2D40"/>
    <w:rsid w:val="00CE2EFC"/>
    <w:rsid w:val="00CE2F4F"/>
    <w:rsid w:val="00CE31D9"/>
    <w:rsid w:val="00CE36E7"/>
    <w:rsid w:val="00CE3714"/>
    <w:rsid w:val="00CE39F6"/>
    <w:rsid w:val="00CE3B63"/>
    <w:rsid w:val="00CE3B7E"/>
    <w:rsid w:val="00CE3E72"/>
    <w:rsid w:val="00CE3F8A"/>
    <w:rsid w:val="00CE434D"/>
    <w:rsid w:val="00CE44F3"/>
    <w:rsid w:val="00CE4589"/>
    <w:rsid w:val="00CE4831"/>
    <w:rsid w:val="00CE4A2E"/>
    <w:rsid w:val="00CE4BF0"/>
    <w:rsid w:val="00CE4C6D"/>
    <w:rsid w:val="00CE4CB6"/>
    <w:rsid w:val="00CE4EC9"/>
    <w:rsid w:val="00CE50A4"/>
    <w:rsid w:val="00CE53C3"/>
    <w:rsid w:val="00CE5C9A"/>
    <w:rsid w:val="00CE5D0C"/>
    <w:rsid w:val="00CE75BB"/>
    <w:rsid w:val="00CE79DA"/>
    <w:rsid w:val="00CF03BF"/>
    <w:rsid w:val="00CF04BC"/>
    <w:rsid w:val="00CF0EFB"/>
    <w:rsid w:val="00CF14A1"/>
    <w:rsid w:val="00CF14C6"/>
    <w:rsid w:val="00CF14EE"/>
    <w:rsid w:val="00CF167E"/>
    <w:rsid w:val="00CF1A85"/>
    <w:rsid w:val="00CF1F33"/>
    <w:rsid w:val="00CF234F"/>
    <w:rsid w:val="00CF272F"/>
    <w:rsid w:val="00CF2AEB"/>
    <w:rsid w:val="00CF300F"/>
    <w:rsid w:val="00CF3319"/>
    <w:rsid w:val="00CF3355"/>
    <w:rsid w:val="00CF4158"/>
    <w:rsid w:val="00CF45E7"/>
    <w:rsid w:val="00CF45ED"/>
    <w:rsid w:val="00CF5302"/>
    <w:rsid w:val="00CF537D"/>
    <w:rsid w:val="00CF5773"/>
    <w:rsid w:val="00CF5B8A"/>
    <w:rsid w:val="00CF5CB5"/>
    <w:rsid w:val="00CF6146"/>
    <w:rsid w:val="00CF61A5"/>
    <w:rsid w:val="00CF6516"/>
    <w:rsid w:val="00CF7265"/>
    <w:rsid w:val="00CF7628"/>
    <w:rsid w:val="00CF7EDC"/>
    <w:rsid w:val="00D00109"/>
    <w:rsid w:val="00D0031D"/>
    <w:rsid w:val="00D0033F"/>
    <w:rsid w:val="00D0060D"/>
    <w:rsid w:val="00D00734"/>
    <w:rsid w:val="00D00994"/>
    <w:rsid w:val="00D009B2"/>
    <w:rsid w:val="00D00B17"/>
    <w:rsid w:val="00D00B22"/>
    <w:rsid w:val="00D00DAA"/>
    <w:rsid w:val="00D00E95"/>
    <w:rsid w:val="00D01266"/>
    <w:rsid w:val="00D012E0"/>
    <w:rsid w:val="00D014CD"/>
    <w:rsid w:val="00D0160D"/>
    <w:rsid w:val="00D0191A"/>
    <w:rsid w:val="00D01A6B"/>
    <w:rsid w:val="00D01C2C"/>
    <w:rsid w:val="00D01F49"/>
    <w:rsid w:val="00D01FEB"/>
    <w:rsid w:val="00D02074"/>
    <w:rsid w:val="00D0214F"/>
    <w:rsid w:val="00D02192"/>
    <w:rsid w:val="00D028BE"/>
    <w:rsid w:val="00D02A3A"/>
    <w:rsid w:val="00D02EA5"/>
    <w:rsid w:val="00D02F4C"/>
    <w:rsid w:val="00D02F53"/>
    <w:rsid w:val="00D03307"/>
    <w:rsid w:val="00D035BF"/>
    <w:rsid w:val="00D03BD6"/>
    <w:rsid w:val="00D03CC7"/>
    <w:rsid w:val="00D03CD5"/>
    <w:rsid w:val="00D043A2"/>
    <w:rsid w:val="00D044C2"/>
    <w:rsid w:val="00D05235"/>
    <w:rsid w:val="00D05237"/>
    <w:rsid w:val="00D0591B"/>
    <w:rsid w:val="00D05932"/>
    <w:rsid w:val="00D05EF2"/>
    <w:rsid w:val="00D06456"/>
    <w:rsid w:val="00D06479"/>
    <w:rsid w:val="00D065ED"/>
    <w:rsid w:val="00D0663C"/>
    <w:rsid w:val="00D0672B"/>
    <w:rsid w:val="00D06897"/>
    <w:rsid w:val="00D06BAF"/>
    <w:rsid w:val="00D06BF3"/>
    <w:rsid w:val="00D06D50"/>
    <w:rsid w:val="00D07677"/>
    <w:rsid w:val="00D07831"/>
    <w:rsid w:val="00D078B9"/>
    <w:rsid w:val="00D079FF"/>
    <w:rsid w:val="00D07A7B"/>
    <w:rsid w:val="00D07C1A"/>
    <w:rsid w:val="00D103C1"/>
    <w:rsid w:val="00D10454"/>
    <w:rsid w:val="00D109E1"/>
    <w:rsid w:val="00D10E36"/>
    <w:rsid w:val="00D11B29"/>
    <w:rsid w:val="00D11E5D"/>
    <w:rsid w:val="00D121B5"/>
    <w:rsid w:val="00D1255F"/>
    <w:rsid w:val="00D1294E"/>
    <w:rsid w:val="00D12A65"/>
    <w:rsid w:val="00D12B7B"/>
    <w:rsid w:val="00D12D36"/>
    <w:rsid w:val="00D12F82"/>
    <w:rsid w:val="00D13267"/>
    <w:rsid w:val="00D136CF"/>
    <w:rsid w:val="00D13EB5"/>
    <w:rsid w:val="00D13F2C"/>
    <w:rsid w:val="00D141CC"/>
    <w:rsid w:val="00D144E8"/>
    <w:rsid w:val="00D14803"/>
    <w:rsid w:val="00D14908"/>
    <w:rsid w:val="00D14F18"/>
    <w:rsid w:val="00D155BB"/>
    <w:rsid w:val="00D1568B"/>
    <w:rsid w:val="00D15856"/>
    <w:rsid w:val="00D16399"/>
    <w:rsid w:val="00D167F3"/>
    <w:rsid w:val="00D16E94"/>
    <w:rsid w:val="00D17716"/>
    <w:rsid w:val="00D179F6"/>
    <w:rsid w:val="00D17B77"/>
    <w:rsid w:val="00D17D36"/>
    <w:rsid w:val="00D17D6B"/>
    <w:rsid w:val="00D17D74"/>
    <w:rsid w:val="00D200B2"/>
    <w:rsid w:val="00D20242"/>
    <w:rsid w:val="00D2063D"/>
    <w:rsid w:val="00D20C1F"/>
    <w:rsid w:val="00D20EE8"/>
    <w:rsid w:val="00D20F6F"/>
    <w:rsid w:val="00D21239"/>
    <w:rsid w:val="00D2125B"/>
    <w:rsid w:val="00D212F4"/>
    <w:rsid w:val="00D22113"/>
    <w:rsid w:val="00D224E2"/>
    <w:rsid w:val="00D22621"/>
    <w:rsid w:val="00D227FE"/>
    <w:rsid w:val="00D22D10"/>
    <w:rsid w:val="00D22E25"/>
    <w:rsid w:val="00D233E2"/>
    <w:rsid w:val="00D238ED"/>
    <w:rsid w:val="00D23B28"/>
    <w:rsid w:val="00D23B47"/>
    <w:rsid w:val="00D23CF3"/>
    <w:rsid w:val="00D23DC8"/>
    <w:rsid w:val="00D24047"/>
    <w:rsid w:val="00D24537"/>
    <w:rsid w:val="00D24808"/>
    <w:rsid w:val="00D24A08"/>
    <w:rsid w:val="00D24F1F"/>
    <w:rsid w:val="00D25090"/>
    <w:rsid w:val="00D25920"/>
    <w:rsid w:val="00D25A09"/>
    <w:rsid w:val="00D25C6C"/>
    <w:rsid w:val="00D25F43"/>
    <w:rsid w:val="00D25F90"/>
    <w:rsid w:val="00D260B8"/>
    <w:rsid w:val="00D26383"/>
    <w:rsid w:val="00D26402"/>
    <w:rsid w:val="00D2645B"/>
    <w:rsid w:val="00D26A23"/>
    <w:rsid w:val="00D26CF7"/>
    <w:rsid w:val="00D2708F"/>
    <w:rsid w:val="00D27133"/>
    <w:rsid w:val="00D272DC"/>
    <w:rsid w:val="00D275F1"/>
    <w:rsid w:val="00D27992"/>
    <w:rsid w:val="00D27DE9"/>
    <w:rsid w:val="00D3023E"/>
    <w:rsid w:val="00D30458"/>
    <w:rsid w:val="00D305CC"/>
    <w:rsid w:val="00D30615"/>
    <w:rsid w:val="00D30AD3"/>
    <w:rsid w:val="00D30D5B"/>
    <w:rsid w:val="00D30DB3"/>
    <w:rsid w:val="00D30EA1"/>
    <w:rsid w:val="00D30F8B"/>
    <w:rsid w:val="00D319B4"/>
    <w:rsid w:val="00D31AE5"/>
    <w:rsid w:val="00D333B0"/>
    <w:rsid w:val="00D3361C"/>
    <w:rsid w:val="00D33AA2"/>
    <w:rsid w:val="00D33B1A"/>
    <w:rsid w:val="00D341F4"/>
    <w:rsid w:val="00D343DA"/>
    <w:rsid w:val="00D343FA"/>
    <w:rsid w:val="00D3555F"/>
    <w:rsid w:val="00D357BC"/>
    <w:rsid w:val="00D35808"/>
    <w:rsid w:val="00D3585C"/>
    <w:rsid w:val="00D35F6C"/>
    <w:rsid w:val="00D3601F"/>
    <w:rsid w:val="00D36222"/>
    <w:rsid w:val="00D3672E"/>
    <w:rsid w:val="00D36964"/>
    <w:rsid w:val="00D36A4A"/>
    <w:rsid w:val="00D36EFC"/>
    <w:rsid w:val="00D36FA9"/>
    <w:rsid w:val="00D37408"/>
    <w:rsid w:val="00D37589"/>
    <w:rsid w:val="00D376B7"/>
    <w:rsid w:val="00D37C9A"/>
    <w:rsid w:val="00D37FD6"/>
    <w:rsid w:val="00D400F4"/>
    <w:rsid w:val="00D4059B"/>
    <w:rsid w:val="00D405B4"/>
    <w:rsid w:val="00D40616"/>
    <w:rsid w:val="00D407BC"/>
    <w:rsid w:val="00D40827"/>
    <w:rsid w:val="00D41155"/>
    <w:rsid w:val="00D41540"/>
    <w:rsid w:val="00D415BA"/>
    <w:rsid w:val="00D415ED"/>
    <w:rsid w:val="00D418FF"/>
    <w:rsid w:val="00D41BDF"/>
    <w:rsid w:val="00D41DEB"/>
    <w:rsid w:val="00D420D8"/>
    <w:rsid w:val="00D42747"/>
    <w:rsid w:val="00D42ADF"/>
    <w:rsid w:val="00D42B2A"/>
    <w:rsid w:val="00D430BD"/>
    <w:rsid w:val="00D432C3"/>
    <w:rsid w:val="00D43565"/>
    <w:rsid w:val="00D436A3"/>
    <w:rsid w:val="00D4383C"/>
    <w:rsid w:val="00D43BF5"/>
    <w:rsid w:val="00D43CA3"/>
    <w:rsid w:val="00D43D4A"/>
    <w:rsid w:val="00D43E4D"/>
    <w:rsid w:val="00D43ECD"/>
    <w:rsid w:val="00D43F1E"/>
    <w:rsid w:val="00D44280"/>
    <w:rsid w:val="00D4481E"/>
    <w:rsid w:val="00D44A62"/>
    <w:rsid w:val="00D45061"/>
    <w:rsid w:val="00D45453"/>
    <w:rsid w:val="00D45692"/>
    <w:rsid w:val="00D4575F"/>
    <w:rsid w:val="00D45B2C"/>
    <w:rsid w:val="00D45B70"/>
    <w:rsid w:val="00D461AD"/>
    <w:rsid w:val="00D461B2"/>
    <w:rsid w:val="00D46283"/>
    <w:rsid w:val="00D4739D"/>
    <w:rsid w:val="00D47A21"/>
    <w:rsid w:val="00D47ADE"/>
    <w:rsid w:val="00D47F88"/>
    <w:rsid w:val="00D50137"/>
    <w:rsid w:val="00D509F8"/>
    <w:rsid w:val="00D50A08"/>
    <w:rsid w:val="00D50E89"/>
    <w:rsid w:val="00D50F91"/>
    <w:rsid w:val="00D50FBE"/>
    <w:rsid w:val="00D51377"/>
    <w:rsid w:val="00D52006"/>
    <w:rsid w:val="00D5200F"/>
    <w:rsid w:val="00D52633"/>
    <w:rsid w:val="00D52748"/>
    <w:rsid w:val="00D52754"/>
    <w:rsid w:val="00D52A9D"/>
    <w:rsid w:val="00D532F7"/>
    <w:rsid w:val="00D533C8"/>
    <w:rsid w:val="00D533F6"/>
    <w:rsid w:val="00D538DA"/>
    <w:rsid w:val="00D53BB1"/>
    <w:rsid w:val="00D53D9A"/>
    <w:rsid w:val="00D54BB9"/>
    <w:rsid w:val="00D54BEA"/>
    <w:rsid w:val="00D54FD6"/>
    <w:rsid w:val="00D550B4"/>
    <w:rsid w:val="00D556C0"/>
    <w:rsid w:val="00D5571F"/>
    <w:rsid w:val="00D5580A"/>
    <w:rsid w:val="00D5591F"/>
    <w:rsid w:val="00D5597D"/>
    <w:rsid w:val="00D56988"/>
    <w:rsid w:val="00D5757C"/>
    <w:rsid w:val="00D57A0E"/>
    <w:rsid w:val="00D57A70"/>
    <w:rsid w:val="00D57B95"/>
    <w:rsid w:val="00D6017C"/>
    <w:rsid w:val="00D601DC"/>
    <w:rsid w:val="00D602FC"/>
    <w:rsid w:val="00D60871"/>
    <w:rsid w:val="00D60B3E"/>
    <w:rsid w:val="00D61877"/>
    <w:rsid w:val="00D61A7C"/>
    <w:rsid w:val="00D61B44"/>
    <w:rsid w:val="00D61C70"/>
    <w:rsid w:val="00D622E0"/>
    <w:rsid w:val="00D62397"/>
    <w:rsid w:val="00D6262A"/>
    <w:rsid w:val="00D62A0F"/>
    <w:rsid w:val="00D62D3E"/>
    <w:rsid w:val="00D63301"/>
    <w:rsid w:val="00D63449"/>
    <w:rsid w:val="00D634C1"/>
    <w:rsid w:val="00D64D19"/>
    <w:rsid w:val="00D65C76"/>
    <w:rsid w:val="00D65E71"/>
    <w:rsid w:val="00D66209"/>
    <w:rsid w:val="00D6679E"/>
    <w:rsid w:val="00D667AA"/>
    <w:rsid w:val="00D669CF"/>
    <w:rsid w:val="00D67145"/>
    <w:rsid w:val="00D67451"/>
    <w:rsid w:val="00D677A1"/>
    <w:rsid w:val="00D70015"/>
    <w:rsid w:val="00D7038C"/>
    <w:rsid w:val="00D70B06"/>
    <w:rsid w:val="00D70BFC"/>
    <w:rsid w:val="00D716A3"/>
    <w:rsid w:val="00D71BA1"/>
    <w:rsid w:val="00D71FAF"/>
    <w:rsid w:val="00D72628"/>
    <w:rsid w:val="00D72820"/>
    <w:rsid w:val="00D72955"/>
    <w:rsid w:val="00D72B7D"/>
    <w:rsid w:val="00D72C09"/>
    <w:rsid w:val="00D72E49"/>
    <w:rsid w:val="00D730D0"/>
    <w:rsid w:val="00D7342F"/>
    <w:rsid w:val="00D734C7"/>
    <w:rsid w:val="00D73859"/>
    <w:rsid w:val="00D73906"/>
    <w:rsid w:val="00D73A1A"/>
    <w:rsid w:val="00D73A92"/>
    <w:rsid w:val="00D73FA7"/>
    <w:rsid w:val="00D7404D"/>
    <w:rsid w:val="00D74452"/>
    <w:rsid w:val="00D74541"/>
    <w:rsid w:val="00D7459B"/>
    <w:rsid w:val="00D7466F"/>
    <w:rsid w:val="00D746A7"/>
    <w:rsid w:val="00D74A89"/>
    <w:rsid w:val="00D74AD5"/>
    <w:rsid w:val="00D74C89"/>
    <w:rsid w:val="00D74CF9"/>
    <w:rsid w:val="00D74D65"/>
    <w:rsid w:val="00D74F05"/>
    <w:rsid w:val="00D74FDD"/>
    <w:rsid w:val="00D7523F"/>
    <w:rsid w:val="00D7542B"/>
    <w:rsid w:val="00D75654"/>
    <w:rsid w:val="00D75667"/>
    <w:rsid w:val="00D75A1B"/>
    <w:rsid w:val="00D75BDF"/>
    <w:rsid w:val="00D75C7F"/>
    <w:rsid w:val="00D76069"/>
    <w:rsid w:val="00D76098"/>
    <w:rsid w:val="00D766B4"/>
    <w:rsid w:val="00D770FA"/>
    <w:rsid w:val="00D775C6"/>
    <w:rsid w:val="00D77968"/>
    <w:rsid w:val="00D803C6"/>
    <w:rsid w:val="00D8043B"/>
    <w:rsid w:val="00D805A1"/>
    <w:rsid w:val="00D80D0F"/>
    <w:rsid w:val="00D81254"/>
    <w:rsid w:val="00D8134F"/>
    <w:rsid w:val="00D81707"/>
    <w:rsid w:val="00D81960"/>
    <w:rsid w:val="00D819C4"/>
    <w:rsid w:val="00D81F3D"/>
    <w:rsid w:val="00D8238A"/>
    <w:rsid w:val="00D82557"/>
    <w:rsid w:val="00D829F2"/>
    <w:rsid w:val="00D82BC9"/>
    <w:rsid w:val="00D83277"/>
    <w:rsid w:val="00D8351F"/>
    <w:rsid w:val="00D839AE"/>
    <w:rsid w:val="00D83DC6"/>
    <w:rsid w:val="00D84FCE"/>
    <w:rsid w:val="00D85602"/>
    <w:rsid w:val="00D86070"/>
    <w:rsid w:val="00D864B2"/>
    <w:rsid w:val="00D8694A"/>
    <w:rsid w:val="00D869DC"/>
    <w:rsid w:val="00D86AC1"/>
    <w:rsid w:val="00D86D02"/>
    <w:rsid w:val="00D86EAB"/>
    <w:rsid w:val="00D86F94"/>
    <w:rsid w:val="00D87CE7"/>
    <w:rsid w:val="00D87F82"/>
    <w:rsid w:val="00D9054E"/>
    <w:rsid w:val="00D90AB3"/>
    <w:rsid w:val="00D912C6"/>
    <w:rsid w:val="00D91CAC"/>
    <w:rsid w:val="00D91E48"/>
    <w:rsid w:val="00D91E7B"/>
    <w:rsid w:val="00D91F10"/>
    <w:rsid w:val="00D929B7"/>
    <w:rsid w:val="00D92A6E"/>
    <w:rsid w:val="00D92C70"/>
    <w:rsid w:val="00D92FC3"/>
    <w:rsid w:val="00D93005"/>
    <w:rsid w:val="00D93319"/>
    <w:rsid w:val="00D9351D"/>
    <w:rsid w:val="00D93729"/>
    <w:rsid w:val="00D93D50"/>
    <w:rsid w:val="00D93E3F"/>
    <w:rsid w:val="00D94296"/>
    <w:rsid w:val="00D94481"/>
    <w:rsid w:val="00D945C3"/>
    <w:rsid w:val="00D94884"/>
    <w:rsid w:val="00D94963"/>
    <w:rsid w:val="00D94CE8"/>
    <w:rsid w:val="00D9513F"/>
    <w:rsid w:val="00D951DC"/>
    <w:rsid w:val="00D952B3"/>
    <w:rsid w:val="00D952B5"/>
    <w:rsid w:val="00D954EF"/>
    <w:rsid w:val="00D9609D"/>
    <w:rsid w:val="00D9685C"/>
    <w:rsid w:val="00D9697D"/>
    <w:rsid w:val="00D96A74"/>
    <w:rsid w:val="00D96C2E"/>
    <w:rsid w:val="00D974E2"/>
    <w:rsid w:val="00D974FD"/>
    <w:rsid w:val="00D97586"/>
    <w:rsid w:val="00D978D9"/>
    <w:rsid w:val="00D97A4B"/>
    <w:rsid w:val="00DA0082"/>
    <w:rsid w:val="00DA0117"/>
    <w:rsid w:val="00DA085C"/>
    <w:rsid w:val="00DA09A6"/>
    <w:rsid w:val="00DA0A15"/>
    <w:rsid w:val="00DA0E03"/>
    <w:rsid w:val="00DA10FB"/>
    <w:rsid w:val="00DA14DB"/>
    <w:rsid w:val="00DA19AF"/>
    <w:rsid w:val="00DA1C19"/>
    <w:rsid w:val="00DA1D32"/>
    <w:rsid w:val="00DA21C6"/>
    <w:rsid w:val="00DA243A"/>
    <w:rsid w:val="00DA26F7"/>
    <w:rsid w:val="00DA27EF"/>
    <w:rsid w:val="00DA28F0"/>
    <w:rsid w:val="00DA2A0A"/>
    <w:rsid w:val="00DA2D83"/>
    <w:rsid w:val="00DA2F59"/>
    <w:rsid w:val="00DA2F73"/>
    <w:rsid w:val="00DA31A0"/>
    <w:rsid w:val="00DA322F"/>
    <w:rsid w:val="00DA375D"/>
    <w:rsid w:val="00DA389C"/>
    <w:rsid w:val="00DA38E5"/>
    <w:rsid w:val="00DA398B"/>
    <w:rsid w:val="00DA3DF8"/>
    <w:rsid w:val="00DA3F88"/>
    <w:rsid w:val="00DA4174"/>
    <w:rsid w:val="00DA47E7"/>
    <w:rsid w:val="00DA4819"/>
    <w:rsid w:val="00DA485B"/>
    <w:rsid w:val="00DA4E4F"/>
    <w:rsid w:val="00DA52A2"/>
    <w:rsid w:val="00DA5A3C"/>
    <w:rsid w:val="00DA6021"/>
    <w:rsid w:val="00DA670F"/>
    <w:rsid w:val="00DA6740"/>
    <w:rsid w:val="00DA6A8C"/>
    <w:rsid w:val="00DA7153"/>
    <w:rsid w:val="00DA7363"/>
    <w:rsid w:val="00DA7A55"/>
    <w:rsid w:val="00DA7FA0"/>
    <w:rsid w:val="00DB0792"/>
    <w:rsid w:val="00DB07FA"/>
    <w:rsid w:val="00DB0C39"/>
    <w:rsid w:val="00DB0E16"/>
    <w:rsid w:val="00DB1354"/>
    <w:rsid w:val="00DB144D"/>
    <w:rsid w:val="00DB15C7"/>
    <w:rsid w:val="00DB16DE"/>
    <w:rsid w:val="00DB1BB1"/>
    <w:rsid w:val="00DB20D0"/>
    <w:rsid w:val="00DB2564"/>
    <w:rsid w:val="00DB2A75"/>
    <w:rsid w:val="00DB2CA6"/>
    <w:rsid w:val="00DB2CAF"/>
    <w:rsid w:val="00DB30F5"/>
    <w:rsid w:val="00DB3502"/>
    <w:rsid w:val="00DB3783"/>
    <w:rsid w:val="00DB3C00"/>
    <w:rsid w:val="00DB41A4"/>
    <w:rsid w:val="00DB4396"/>
    <w:rsid w:val="00DB43F9"/>
    <w:rsid w:val="00DB46FE"/>
    <w:rsid w:val="00DB49EF"/>
    <w:rsid w:val="00DB4DA6"/>
    <w:rsid w:val="00DB4EBD"/>
    <w:rsid w:val="00DB4EDE"/>
    <w:rsid w:val="00DB4F03"/>
    <w:rsid w:val="00DB5261"/>
    <w:rsid w:val="00DB55CE"/>
    <w:rsid w:val="00DB5653"/>
    <w:rsid w:val="00DB576A"/>
    <w:rsid w:val="00DB5816"/>
    <w:rsid w:val="00DB59CF"/>
    <w:rsid w:val="00DB5A7F"/>
    <w:rsid w:val="00DB5CCC"/>
    <w:rsid w:val="00DB6333"/>
    <w:rsid w:val="00DB68C7"/>
    <w:rsid w:val="00DB697F"/>
    <w:rsid w:val="00DB6B40"/>
    <w:rsid w:val="00DB6D61"/>
    <w:rsid w:val="00DB7082"/>
    <w:rsid w:val="00DB74A8"/>
    <w:rsid w:val="00DB7979"/>
    <w:rsid w:val="00DB7CF4"/>
    <w:rsid w:val="00DB7E16"/>
    <w:rsid w:val="00DB7FAD"/>
    <w:rsid w:val="00DC0008"/>
    <w:rsid w:val="00DC0396"/>
    <w:rsid w:val="00DC0AAA"/>
    <w:rsid w:val="00DC0AEC"/>
    <w:rsid w:val="00DC0B40"/>
    <w:rsid w:val="00DC12E0"/>
    <w:rsid w:val="00DC138F"/>
    <w:rsid w:val="00DC1427"/>
    <w:rsid w:val="00DC1529"/>
    <w:rsid w:val="00DC1927"/>
    <w:rsid w:val="00DC1A25"/>
    <w:rsid w:val="00DC1A48"/>
    <w:rsid w:val="00DC1C12"/>
    <w:rsid w:val="00DC1C78"/>
    <w:rsid w:val="00DC200A"/>
    <w:rsid w:val="00DC2232"/>
    <w:rsid w:val="00DC235E"/>
    <w:rsid w:val="00DC23F1"/>
    <w:rsid w:val="00DC27C5"/>
    <w:rsid w:val="00DC2B1B"/>
    <w:rsid w:val="00DC307B"/>
    <w:rsid w:val="00DC3249"/>
    <w:rsid w:val="00DC334D"/>
    <w:rsid w:val="00DC33AC"/>
    <w:rsid w:val="00DC343B"/>
    <w:rsid w:val="00DC34D8"/>
    <w:rsid w:val="00DC3547"/>
    <w:rsid w:val="00DC3740"/>
    <w:rsid w:val="00DC3784"/>
    <w:rsid w:val="00DC462F"/>
    <w:rsid w:val="00DC499A"/>
    <w:rsid w:val="00DC4BA9"/>
    <w:rsid w:val="00DC4D25"/>
    <w:rsid w:val="00DC576A"/>
    <w:rsid w:val="00DC57C1"/>
    <w:rsid w:val="00DC5879"/>
    <w:rsid w:val="00DC5ADB"/>
    <w:rsid w:val="00DC646E"/>
    <w:rsid w:val="00DC6560"/>
    <w:rsid w:val="00DC72EF"/>
    <w:rsid w:val="00DC7751"/>
    <w:rsid w:val="00DC7A96"/>
    <w:rsid w:val="00DD0A77"/>
    <w:rsid w:val="00DD0B17"/>
    <w:rsid w:val="00DD1200"/>
    <w:rsid w:val="00DD1238"/>
    <w:rsid w:val="00DD1375"/>
    <w:rsid w:val="00DD1507"/>
    <w:rsid w:val="00DD16C3"/>
    <w:rsid w:val="00DD1B26"/>
    <w:rsid w:val="00DD1D57"/>
    <w:rsid w:val="00DD216B"/>
    <w:rsid w:val="00DD218D"/>
    <w:rsid w:val="00DD2203"/>
    <w:rsid w:val="00DD22E9"/>
    <w:rsid w:val="00DD271F"/>
    <w:rsid w:val="00DD2C35"/>
    <w:rsid w:val="00DD33FB"/>
    <w:rsid w:val="00DD36C0"/>
    <w:rsid w:val="00DD3A8B"/>
    <w:rsid w:val="00DD411C"/>
    <w:rsid w:val="00DD41D1"/>
    <w:rsid w:val="00DD4506"/>
    <w:rsid w:val="00DD45E5"/>
    <w:rsid w:val="00DD4879"/>
    <w:rsid w:val="00DD4C54"/>
    <w:rsid w:val="00DD4C82"/>
    <w:rsid w:val="00DD4C89"/>
    <w:rsid w:val="00DD55E4"/>
    <w:rsid w:val="00DD5BDF"/>
    <w:rsid w:val="00DD5D5D"/>
    <w:rsid w:val="00DD5EED"/>
    <w:rsid w:val="00DD6005"/>
    <w:rsid w:val="00DD62EE"/>
    <w:rsid w:val="00DD6802"/>
    <w:rsid w:val="00DD6A21"/>
    <w:rsid w:val="00DD6A96"/>
    <w:rsid w:val="00DD71DA"/>
    <w:rsid w:val="00DD772A"/>
    <w:rsid w:val="00DD78CA"/>
    <w:rsid w:val="00DE026D"/>
    <w:rsid w:val="00DE050D"/>
    <w:rsid w:val="00DE0AF5"/>
    <w:rsid w:val="00DE1085"/>
    <w:rsid w:val="00DE1627"/>
    <w:rsid w:val="00DE18A7"/>
    <w:rsid w:val="00DE1B71"/>
    <w:rsid w:val="00DE1B9B"/>
    <w:rsid w:val="00DE1D96"/>
    <w:rsid w:val="00DE1EB4"/>
    <w:rsid w:val="00DE241B"/>
    <w:rsid w:val="00DE261E"/>
    <w:rsid w:val="00DE298A"/>
    <w:rsid w:val="00DE2D75"/>
    <w:rsid w:val="00DE2E98"/>
    <w:rsid w:val="00DE2EFB"/>
    <w:rsid w:val="00DE2F1F"/>
    <w:rsid w:val="00DE3265"/>
    <w:rsid w:val="00DE3CA1"/>
    <w:rsid w:val="00DE4285"/>
    <w:rsid w:val="00DE45DC"/>
    <w:rsid w:val="00DE465C"/>
    <w:rsid w:val="00DE4D43"/>
    <w:rsid w:val="00DE4D6B"/>
    <w:rsid w:val="00DE5083"/>
    <w:rsid w:val="00DE5306"/>
    <w:rsid w:val="00DE592D"/>
    <w:rsid w:val="00DE5A52"/>
    <w:rsid w:val="00DE5A61"/>
    <w:rsid w:val="00DE5B1C"/>
    <w:rsid w:val="00DE5FC8"/>
    <w:rsid w:val="00DE60CA"/>
    <w:rsid w:val="00DE6160"/>
    <w:rsid w:val="00DE6677"/>
    <w:rsid w:val="00DE66D9"/>
    <w:rsid w:val="00DE6AB6"/>
    <w:rsid w:val="00DF003F"/>
    <w:rsid w:val="00DF0161"/>
    <w:rsid w:val="00DF084D"/>
    <w:rsid w:val="00DF0942"/>
    <w:rsid w:val="00DF0FD9"/>
    <w:rsid w:val="00DF1251"/>
    <w:rsid w:val="00DF12E4"/>
    <w:rsid w:val="00DF177D"/>
    <w:rsid w:val="00DF23A7"/>
    <w:rsid w:val="00DF255E"/>
    <w:rsid w:val="00DF267A"/>
    <w:rsid w:val="00DF286E"/>
    <w:rsid w:val="00DF2A6E"/>
    <w:rsid w:val="00DF2DF9"/>
    <w:rsid w:val="00DF3264"/>
    <w:rsid w:val="00DF3363"/>
    <w:rsid w:val="00DF3853"/>
    <w:rsid w:val="00DF39B0"/>
    <w:rsid w:val="00DF3D62"/>
    <w:rsid w:val="00DF4B59"/>
    <w:rsid w:val="00DF52F8"/>
    <w:rsid w:val="00DF5352"/>
    <w:rsid w:val="00DF5384"/>
    <w:rsid w:val="00DF541A"/>
    <w:rsid w:val="00DF5920"/>
    <w:rsid w:val="00DF5CEE"/>
    <w:rsid w:val="00DF5E01"/>
    <w:rsid w:val="00DF6703"/>
    <w:rsid w:val="00DF6E76"/>
    <w:rsid w:val="00DF6EA0"/>
    <w:rsid w:val="00DF7202"/>
    <w:rsid w:val="00DF7793"/>
    <w:rsid w:val="00DF7B33"/>
    <w:rsid w:val="00DF7F20"/>
    <w:rsid w:val="00E000B3"/>
    <w:rsid w:val="00E00361"/>
    <w:rsid w:val="00E00941"/>
    <w:rsid w:val="00E00944"/>
    <w:rsid w:val="00E00DD0"/>
    <w:rsid w:val="00E00E65"/>
    <w:rsid w:val="00E0165A"/>
    <w:rsid w:val="00E01721"/>
    <w:rsid w:val="00E01A0E"/>
    <w:rsid w:val="00E023B7"/>
    <w:rsid w:val="00E02517"/>
    <w:rsid w:val="00E02B41"/>
    <w:rsid w:val="00E02F65"/>
    <w:rsid w:val="00E030F4"/>
    <w:rsid w:val="00E039ED"/>
    <w:rsid w:val="00E03A33"/>
    <w:rsid w:val="00E03DF5"/>
    <w:rsid w:val="00E040B5"/>
    <w:rsid w:val="00E04527"/>
    <w:rsid w:val="00E0483A"/>
    <w:rsid w:val="00E04AA1"/>
    <w:rsid w:val="00E04E12"/>
    <w:rsid w:val="00E04EEA"/>
    <w:rsid w:val="00E05152"/>
    <w:rsid w:val="00E0515A"/>
    <w:rsid w:val="00E052D5"/>
    <w:rsid w:val="00E054CD"/>
    <w:rsid w:val="00E05511"/>
    <w:rsid w:val="00E05E3F"/>
    <w:rsid w:val="00E061D3"/>
    <w:rsid w:val="00E06400"/>
    <w:rsid w:val="00E06818"/>
    <w:rsid w:val="00E069AA"/>
    <w:rsid w:val="00E069D9"/>
    <w:rsid w:val="00E06F91"/>
    <w:rsid w:val="00E07202"/>
    <w:rsid w:val="00E0722C"/>
    <w:rsid w:val="00E078AE"/>
    <w:rsid w:val="00E079D8"/>
    <w:rsid w:val="00E101D3"/>
    <w:rsid w:val="00E1033A"/>
    <w:rsid w:val="00E1055F"/>
    <w:rsid w:val="00E10740"/>
    <w:rsid w:val="00E10F99"/>
    <w:rsid w:val="00E11AB7"/>
    <w:rsid w:val="00E11CB7"/>
    <w:rsid w:val="00E11F28"/>
    <w:rsid w:val="00E12282"/>
    <w:rsid w:val="00E1242A"/>
    <w:rsid w:val="00E12821"/>
    <w:rsid w:val="00E129F6"/>
    <w:rsid w:val="00E12C15"/>
    <w:rsid w:val="00E13950"/>
    <w:rsid w:val="00E143EB"/>
    <w:rsid w:val="00E14833"/>
    <w:rsid w:val="00E14845"/>
    <w:rsid w:val="00E14873"/>
    <w:rsid w:val="00E1563A"/>
    <w:rsid w:val="00E16103"/>
    <w:rsid w:val="00E1675F"/>
    <w:rsid w:val="00E16AE4"/>
    <w:rsid w:val="00E1711F"/>
    <w:rsid w:val="00E177F3"/>
    <w:rsid w:val="00E17BA8"/>
    <w:rsid w:val="00E2023A"/>
    <w:rsid w:val="00E206A2"/>
    <w:rsid w:val="00E20908"/>
    <w:rsid w:val="00E20CA9"/>
    <w:rsid w:val="00E20D61"/>
    <w:rsid w:val="00E20D98"/>
    <w:rsid w:val="00E20F9B"/>
    <w:rsid w:val="00E211ED"/>
    <w:rsid w:val="00E21592"/>
    <w:rsid w:val="00E21895"/>
    <w:rsid w:val="00E22239"/>
    <w:rsid w:val="00E22C50"/>
    <w:rsid w:val="00E23624"/>
    <w:rsid w:val="00E23696"/>
    <w:rsid w:val="00E2396F"/>
    <w:rsid w:val="00E239D3"/>
    <w:rsid w:val="00E23BD7"/>
    <w:rsid w:val="00E248B8"/>
    <w:rsid w:val="00E24BDB"/>
    <w:rsid w:val="00E24BED"/>
    <w:rsid w:val="00E24CD5"/>
    <w:rsid w:val="00E24E81"/>
    <w:rsid w:val="00E24ECC"/>
    <w:rsid w:val="00E24FA3"/>
    <w:rsid w:val="00E24FAE"/>
    <w:rsid w:val="00E25007"/>
    <w:rsid w:val="00E2534C"/>
    <w:rsid w:val="00E25A48"/>
    <w:rsid w:val="00E25CD9"/>
    <w:rsid w:val="00E25F6C"/>
    <w:rsid w:val="00E26006"/>
    <w:rsid w:val="00E26415"/>
    <w:rsid w:val="00E26B28"/>
    <w:rsid w:val="00E26BF5"/>
    <w:rsid w:val="00E26EAF"/>
    <w:rsid w:val="00E26F29"/>
    <w:rsid w:val="00E27640"/>
    <w:rsid w:val="00E27E1D"/>
    <w:rsid w:val="00E27E88"/>
    <w:rsid w:val="00E30167"/>
    <w:rsid w:val="00E304D5"/>
    <w:rsid w:val="00E30749"/>
    <w:rsid w:val="00E30943"/>
    <w:rsid w:val="00E30F37"/>
    <w:rsid w:val="00E30F8B"/>
    <w:rsid w:val="00E31093"/>
    <w:rsid w:val="00E310EC"/>
    <w:rsid w:val="00E31465"/>
    <w:rsid w:val="00E31578"/>
    <w:rsid w:val="00E316C1"/>
    <w:rsid w:val="00E318F8"/>
    <w:rsid w:val="00E31CD7"/>
    <w:rsid w:val="00E321B1"/>
    <w:rsid w:val="00E328CD"/>
    <w:rsid w:val="00E3298E"/>
    <w:rsid w:val="00E32D51"/>
    <w:rsid w:val="00E32E62"/>
    <w:rsid w:val="00E330AD"/>
    <w:rsid w:val="00E332A1"/>
    <w:rsid w:val="00E335F0"/>
    <w:rsid w:val="00E3369B"/>
    <w:rsid w:val="00E33C83"/>
    <w:rsid w:val="00E33DE3"/>
    <w:rsid w:val="00E33DFA"/>
    <w:rsid w:val="00E33E1C"/>
    <w:rsid w:val="00E33FA3"/>
    <w:rsid w:val="00E3413E"/>
    <w:rsid w:val="00E34322"/>
    <w:rsid w:val="00E3473E"/>
    <w:rsid w:val="00E347C2"/>
    <w:rsid w:val="00E3489E"/>
    <w:rsid w:val="00E34C71"/>
    <w:rsid w:val="00E34D78"/>
    <w:rsid w:val="00E34FE8"/>
    <w:rsid w:val="00E34FF8"/>
    <w:rsid w:val="00E3502B"/>
    <w:rsid w:val="00E35090"/>
    <w:rsid w:val="00E35146"/>
    <w:rsid w:val="00E3523E"/>
    <w:rsid w:val="00E352BF"/>
    <w:rsid w:val="00E35400"/>
    <w:rsid w:val="00E35B1F"/>
    <w:rsid w:val="00E35C81"/>
    <w:rsid w:val="00E35D6F"/>
    <w:rsid w:val="00E36106"/>
    <w:rsid w:val="00E362F0"/>
    <w:rsid w:val="00E364BA"/>
    <w:rsid w:val="00E36B95"/>
    <w:rsid w:val="00E36CEF"/>
    <w:rsid w:val="00E36D1D"/>
    <w:rsid w:val="00E36E41"/>
    <w:rsid w:val="00E375FD"/>
    <w:rsid w:val="00E37664"/>
    <w:rsid w:val="00E37927"/>
    <w:rsid w:val="00E37BAF"/>
    <w:rsid w:val="00E37C9E"/>
    <w:rsid w:val="00E4003F"/>
    <w:rsid w:val="00E4015B"/>
    <w:rsid w:val="00E4073B"/>
    <w:rsid w:val="00E4093A"/>
    <w:rsid w:val="00E40DE3"/>
    <w:rsid w:val="00E4102B"/>
    <w:rsid w:val="00E41F12"/>
    <w:rsid w:val="00E422BA"/>
    <w:rsid w:val="00E422BE"/>
    <w:rsid w:val="00E42429"/>
    <w:rsid w:val="00E43939"/>
    <w:rsid w:val="00E4420F"/>
    <w:rsid w:val="00E4454F"/>
    <w:rsid w:val="00E44667"/>
    <w:rsid w:val="00E44942"/>
    <w:rsid w:val="00E44B0B"/>
    <w:rsid w:val="00E44EA5"/>
    <w:rsid w:val="00E451D9"/>
    <w:rsid w:val="00E4542D"/>
    <w:rsid w:val="00E45625"/>
    <w:rsid w:val="00E457BD"/>
    <w:rsid w:val="00E458F6"/>
    <w:rsid w:val="00E45954"/>
    <w:rsid w:val="00E45D0A"/>
    <w:rsid w:val="00E45DFA"/>
    <w:rsid w:val="00E46240"/>
    <w:rsid w:val="00E46704"/>
    <w:rsid w:val="00E46E22"/>
    <w:rsid w:val="00E4763D"/>
    <w:rsid w:val="00E476F6"/>
    <w:rsid w:val="00E4779D"/>
    <w:rsid w:val="00E477BC"/>
    <w:rsid w:val="00E47F39"/>
    <w:rsid w:val="00E50788"/>
    <w:rsid w:val="00E50AA4"/>
    <w:rsid w:val="00E50CC9"/>
    <w:rsid w:val="00E50CD7"/>
    <w:rsid w:val="00E50F17"/>
    <w:rsid w:val="00E51272"/>
    <w:rsid w:val="00E51590"/>
    <w:rsid w:val="00E517A8"/>
    <w:rsid w:val="00E51BAA"/>
    <w:rsid w:val="00E51C48"/>
    <w:rsid w:val="00E52ABF"/>
    <w:rsid w:val="00E5349C"/>
    <w:rsid w:val="00E53546"/>
    <w:rsid w:val="00E537E8"/>
    <w:rsid w:val="00E53FB9"/>
    <w:rsid w:val="00E53FCB"/>
    <w:rsid w:val="00E5410D"/>
    <w:rsid w:val="00E54732"/>
    <w:rsid w:val="00E548C5"/>
    <w:rsid w:val="00E54E0E"/>
    <w:rsid w:val="00E54EE3"/>
    <w:rsid w:val="00E55156"/>
    <w:rsid w:val="00E55546"/>
    <w:rsid w:val="00E555AC"/>
    <w:rsid w:val="00E5573D"/>
    <w:rsid w:val="00E55B23"/>
    <w:rsid w:val="00E55C9E"/>
    <w:rsid w:val="00E55D03"/>
    <w:rsid w:val="00E55F24"/>
    <w:rsid w:val="00E55FB3"/>
    <w:rsid w:val="00E55FE3"/>
    <w:rsid w:val="00E5618C"/>
    <w:rsid w:val="00E561AB"/>
    <w:rsid w:val="00E56DE4"/>
    <w:rsid w:val="00E56E1C"/>
    <w:rsid w:val="00E571E5"/>
    <w:rsid w:val="00E574DC"/>
    <w:rsid w:val="00E577AC"/>
    <w:rsid w:val="00E57FAF"/>
    <w:rsid w:val="00E6040E"/>
    <w:rsid w:val="00E60C3C"/>
    <w:rsid w:val="00E610BD"/>
    <w:rsid w:val="00E6123C"/>
    <w:rsid w:val="00E6125E"/>
    <w:rsid w:val="00E6142B"/>
    <w:rsid w:val="00E614FD"/>
    <w:rsid w:val="00E61550"/>
    <w:rsid w:val="00E61936"/>
    <w:rsid w:val="00E61CEE"/>
    <w:rsid w:val="00E61E1B"/>
    <w:rsid w:val="00E61F0E"/>
    <w:rsid w:val="00E6243B"/>
    <w:rsid w:val="00E62636"/>
    <w:rsid w:val="00E626F4"/>
    <w:rsid w:val="00E62A04"/>
    <w:rsid w:val="00E62FC6"/>
    <w:rsid w:val="00E63218"/>
    <w:rsid w:val="00E63438"/>
    <w:rsid w:val="00E63D81"/>
    <w:rsid w:val="00E64054"/>
    <w:rsid w:val="00E647D6"/>
    <w:rsid w:val="00E64A6F"/>
    <w:rsid w:val="00E64B35"/>
    <w:rsid w:val="00E6548E"/>
    <w:rsid w:val="00E656AA"/>
    <w:rsid w:val="00E658B5"/>
    <w:rsid w:val="00E66459"/>
    <w:rsid w:val="00E667FB"/>
    <w:rsid w:val="00E66828"/>
    <w:rsid w:val="00E66C5E"/>
    <w:rsid w:val="00E67169"/>
    <w:rsid w:val="00E67C3B"/>
    <w:rsid w:val="00E67D5F"/>
    <w:rsid w:val="00E67EAE"/>
    <w:rsid w:val="00E702AF"/>
    <w:rsid w:val="00E7055E"/>
    <w:rsid w:val="00E708F9"/>
    <w:rsid w:val="00E70963"/>
    <w:rsid w:val="00E70A42"/>
    <w:rsid w:val="00E70BB9"/>
    <w:rsid w:val="00E70C53"/>
    <w:rsid w:val="00E70C56"/>
    <w:rsid w:val="00E712CB"/>
    <w:rsid w:val="00E71494"/>
    <w:rsid w:val="00E715D9"/>
    <w:rsid w:val="00E71729"/>
    <w:rsid w:val="00E71BA4"/>
    <w:rsid w:val="00E720BA"/>
    <w:rsid w:val="00E7243B"/>
    <w:rsid w:val="00E72862"/>
    <w:rsid w:val="00E72921"/>
    <w:rsid w:val="00E731EC"/>
    <w:rsid w:val="00E733F5"/>
    <w:rsid w:val="00E73B38"/>
    <w:rsid w:val="00E73DD6"/>
    <w:rsid w:val="00E73F2C"/>
    <w:rsid w:val="00E7486F"/>
    <w:rsid w:val="00E74ABF"/>
    <w:rsid w:val="00E74B3E"/>
    <w:rsid w:val="00E74D8E"/>
    <w:rsid w:val="00E74DDF"/>
    <w:rsid w:val="00E7533B"/>
    <w:rsid w:val="00E75E1C"/>
    <w:rsid w:val="00E75F4F"/>
    <w:rsid w:val="00E76391"/>
    <w:rsid w:val="00E76414"/>
    <w:rsid w:val="00E76CDD"/>
    <w:rsid w:val="00E76E12"/>
    <w:rsid w:val="00E776A2"/>
    <w:rsid w:val="00E779F6"/>
    <w:rsid w:val="00E77A79"/>
    <w:rsid w:val="00E7863B"/>
    <w:rsid w:val="00E80422"/>
    <w:rsid w:val="00E8063E"/>
    <w:rsid w:val="00E806EC"/>
    <w:rsid w:val="00E809A9"/>
    <w:rsid w:val="00E80A4E"/>
    <w:rsid w:val="00E80BA1"/>
    <w:rsid w:val="00E80C5D"/>
    <w:rsid w:val="00E80D5C"/>
    <w:rsid w:val="00E816AA"/>
    <w:rsid w:val="00E81C2E"/>
    <w:rsid w:val="00E81DF1"/>
    <w:rsid w:val="00E823DC"/>
    <w:rsid w:val="00E82F6A"/>
    <w:rsid w:val="00E82FCA"/>
    <w:rsid w:val="00E8316F"/>
    <w:rsid w:val="00E83A7A"/>
    <w:rsid w:val="00E8439E"/>
    <w:rsid w:val="00E84920"/>
    <w:rsid w:val="00E84A44"/>
    <w:rsid w:val="00E84B73"/>
    <w:rsid w:val="00E85A69"/>
    <w:rsid w:val="00E85E69"/>
    <w:rsid w:val="00E85EDE"/>
    <w:rsid w:val="00E86D8B"/>
    <w:rsid w:val="00E874E2"/>
    <w:rsid w:val="00E87770"/>
    <w:rsid w:val="00E877C1"/>
    <w:rsid w:val="00E87DC2"/>
    <w:rsid w:val="00E905C3"/>
    <w:rsid w:val="00E9067E"/>
    <w:rsid w:val="00E9100A"/>
    <w:rsid w:val="00E91806"/>
    <w:rsid w:val="00E9194F"/>
    <w:rsid w:val="00E919D0"/>
    <w:rsid w:val="00E91E43"/>
    <w:rsid w:val="00E92758"/>
    <w:rsid w:val="00E929A1"/>
    <w:rsid w:val="00E929E9"/>
    <w:rsid w:val="00E92BB4"/>
    <w:rsid w:val="00E92F3C"/>
    <w:rsid w:val="00E92F4D"/>
    <w:rsid w:val="00E9341A"/>
    <w:rsid w:val="00E93838"/>
    <w:rsid w:val="00E93F2F"/>
    <w:rsid w:val="00E9416B"/>
    <w:rsid w:val="00E9455B"/>
    <w:rsid w:val="00E9462E"/>
    <w:rsid w:val="00E94670"/>
    <w:rsid w:val="00E947A4"/>
    <w:rsid w:val="00E94F4F"/>
    <w:rsid w:val="00E9507B"/>
    <w:rsid w:val="00E9517A"/>
    <w:rsid w:val="00E95804"/>
    <w:rsid w:val="00E95F7F"/>
    <w:rsid w:val="00E9600B"/>
    <w:rsid w:val="00E961B9"/>
    <w:rsid w:val="00E965CC"/>
    <w:rsid w:val="00E96A35"/>
    <w:rsid w:val="00E96FD7"/>
    <w:rsid w:val="00E97ACB"/>
    <w:rsid w:val="00E97B4D"/>
    <w:rsid w:val="00E97C33"/>
    <w:rsid w:val="00EA00B7"/>
    <w:rsid w:val="00EA0388"/>
    <w:rsid w:val="00EA0519"/>
    <w:rsid w:val="00EA0AE1"/>
    <w:rsid w:val="00EA0BFD"/>
    <w:rsid w:val="00EA1B52"/>
    <w:rsid w:val="00EA206A"/>
    <w:rsid w:val="00EA2143"/>
    <w:rsid w:val="00EA254C"/>
    <w:rsid w:val="00EA25B5"/>
    <w:rsid w:val="00EA2D0D"/>
    <w:rsid w:val="00EA2EDF"/>
    <w:rsid w:val="00EA36F9"/>
    <w:rsid w:val="00EA377C"/>
    <w:rsid w:val="00EA3B31"/>
    <w:rsid w:val="00EA3E4E"/>
    <w:rsid w:val="00EA3ECB"/>
    <w:rsid w:val="00EA44D9"/>
    <w:rsid w:val="00EA4736"/>
    <w:rsid w:val="00EA487B"/>
    <w:rsid w:val="00EA4D07"/>
    <w:rsid w:val="00EA529F"/>
    <w:rsid w:val="00EA5D08"/>
    <w:rsid w:val="00EA5E9F"/>
    <w:rsid w:val="00EA6247"/>
    <w:rsid w:val="00EA67B1"/>
    <w:rsid w:val="00EA6B78"/>
    <w:rsid w:val="00EA6C65"/>
    <w:rsid w:val="00EA6CAE"/>
    <w:rsid w:val="00EA701C"/>
    <w:rsid w:val="00EA7101"/>
    <w:rsid w:val="00EA739E"/>
    <w:rsid w:val="00EA76A4"/>
    <w:rsid w:val="00EA79C1"/>
    <w:rsid w:val="00EB024A"/>
    <w:rsid w:val="00EB0252"/>
    <w:rsid w:val="00EB02BE"/>
    <w:rsid w:val="00EB0611"/>
    <w:rsid w:val="00EB0CFD"/>
    <w:rsid w:val="00EB10CD"/>
    <w:rsid w:val="00EB10DF"/>
    <w:rsid w:val="00EB1292"/>
    <w:rsid w:val="00EB1697"/>
    <w:rsid w:val="00EB1C55"/>
    <w:rsid w:val="00EB1E8D"/>
    <w:rsid w:val="00EB1F86"/>
    <w:rsid w:val="00EB25A1"/>
    <w:rsid w:val="00EB2F0D"/>
    <w:rsid w:val="00EB3295"/>
    <w:rsid w:val="00EB36DA"/>
    <w:rsid w:val="00EB391F"/>
    <w:rsid w:val="00EB3961"/>
    <w:rsid w:val="00EB3FF1"/>
    <w:rsid w:val="00EB413B"/>
    <w:rsid w:val="00EB4393"/>
    <w:rsid w:val="00EB45B9"/>
    <w:rsid w:val="00EB4AF6"/>
    <w:rsid w:val="00EB4AF7"/>
    <w:rsid w:val="00EB533E"/>
    <w:rsid w:val="00EB5512"/>
    <w:rsid w:val="00EB583D"/>
    <w:rsid w:val="00EB5899"/>
    <w:rsid w:val="00EB5F93"/>
    <w:rsid w:val="00EB6372"/>
    <w:rsid w:val="00EB648D"/>
    <w:rsid w:val="00EB6520"/>
    <w:rsid w:val="00EB6A76"/>
    <w:rsid w:val="00EB7587"/>
    <w:rsid w:val="00EB76D6"/>
    <w:rsid w:val="00EB7921"/>
    <w:rsid w:val="00EB7B19"/>
    <w:rsid w:val="00EB7C7F"/>
    <w:rsid w:val="00EB7D01"/>
    <w:rsid w:val="00EC0767"/>
    <w:rsid w:val="00EC1B0B"/>
    <w:rsid w:val="00EC1BEF"/>
    <w:rsid w:val="00EC1CE0"/>
    <w:rsid w:val="00EC1F54"/>
    <w:rsid w:val="00EC226B"/>
    <w:rsid w:val="00EC2497"/>
    <w:rsid w:val="00EC249F"/>
    <w:rsid w:val="00EC25A4"/>
    <w:rsid w:val="00EC261E"/>
    <w:rsid w:val="00EC2E30"/>
    <w:rsid w:val="00EC33D3"/>
    <w:rsid w:val="00EC34D6"/>
    <w:rsid w:val="00EC3913"/>
    <w:rsid w:val="00EC3A5E"/>
    <w:rsid w:val="00EC3A5F"/>
    <w:rsid w:val="00EC3B95"/>
    <w:rsid w:val="00EC3C3A"/>
    <w:rsid w:val="00EC464C"/>
    <w:rsid w:val="00EC47C5"/>
    <w:rsid w:val="00EC4904"/>
    <w:rsid w:val="00EC5537"/>
    <w:rsid w:val="00EC593A"/>
    <w:rsid w:val="00EC59AF"/>
    <w:rsid w:val="00EC5A12"/>
    <w:rsid w:val="00EC5B90"/>
    <w:rsid w:val="00EC5E26"/>
    <w:rsid w:val="00EC6AFC"/>
    <w:rsid w:val="00EC77B1"/>
    <w:rsid w:val="00EC7AB9"/>
    <w:rsid w:val="00ED0063"/>
    <w:rsid w:val="00ED0206"/>
    <w:rsid w:val="00ED05F5"/>
    <w:rsid w:val="00ED06FB"/>
    <w:rsid w:val="00ED0895"/>
    <w:rsid w:val="00ED0F1D"/>
    <w:rsid w:val="00ED1722"/>
    <w:rsid w:val="00ED18BD"/>
    <w:rsid w:val="00ED1BA5"/>
    <w:rsid w:val="00ED1C3D"/>
    <w:rsid w:val="00ED2458"/>
    <w:rsid w:val="00ED26C1"/>
    <w:rsid w:val="00ED2F5D"/>
    <w:rsid w:val="00ED356C"/>
    <w:rsid w:val="00ED367C"/>
    <w:rsid w:val="00ED392A"/>
    <w:rsid w:val="00ED3AC6"/>
    <w:rsid w:val="00ED3CA0"/>
    <w:rsid w:val="00ED3E5F"/>
    <w:rsid w:val="00ED4472"/>
    <w:rsid w:val="00ED493C"/>
    <w:rsid w:val="00ED4A01"/>
    <w:rsid w:val="00ED516F"/>
    <w:rsid w:val="00ED5869"/>
    <w:rsid w:val="00ED5EBC"/>
    <w:rsid w:val="00ED6333"/>
    <w:rsid w:val="00ED6BE1"/>
    <w:rsid w:val="00ED6EA4"/>
    <w:rsid w:val="00ED7259"/>
    <w:rsid w:val="00ED7348"/>
    <w:rsid w:val="00ED7352"/>
    <w:rsid w:val="00ED78A7"/>
    <w:rsid w:val="00ED79AE"/>
    <w:rsid w:val="00ED7F18"/>
    <w:rsid w:val="00EE01B1"/>
    <w:rsid w:val="00EE0478"/>
    <w:rsid w:val="00EE0543"/>
    <w:rsid w:val="00EE0AE5"/>
    <w:rsid w:val="00EE0FD8"/>
    <w:rsid w:val="00EE116A"/>
    <w:rsid w:val="00EE1EC9"/>
    <w:rsid w:val="00EE1FD4"/>
    <w:rsid w:val="00EE1FE2"/>
    <w:rsid w:val="00EE20B8"/>
    <w:rsid w:val="00EE23F2"/>
    <w:rsid w:val="00EE23F5"/>
    <w:rsid w:val="00EE257D"/>
    <w:rsid w:val="00EE2ACA"/>
    <w:rsid w:val="00EE2CD9"/>
    <w:rsid w:val="00EE2D8F"/>
    <w:rsid w:val="00EE2F6D"/>
    <w:rsid w:val="00EE3854"/>
    <w:rsid w:val="00EE3BC6"/>
    <w:rsid w:val="00EE3CA0"/>
    <w:rsid w:val="00EE4052"/>
    <w:rsid w:val="00EE4084"/>
    <w:rsid w:val="00EE4344"/>
    <w:rsid w:val="00EE4C8A"/>
    <w:rsid w:val="00EE53FE"/>
    <w:rsid w:val="00EE5C65"/>
    <w:rsid w:val="00EE5FBD"/>
    <w:rsid w:val="00EE6178"/>
    <w:rsid w:val="00EE6270"/>
    <w:rsid w:val="00EE68DC"/>
    <w:rsid w:val="00EE6BBE"/>
    <w:rsid w:val="00EE6EAD"/>
    <w:rsid w:val="00EE702D"/>
    <w:rsid w:val="00EE71A8"/>
    <w:rsid w:val="00EE7686"/>
    <w:rsid w:val="00EE78B5"/>
    <w:rsid w:val="00EE79C3"/>
    <w:rsid w:val="00EE7C72"/>
    <w:rsid w:val="00EF0711"/>
    <w:rsid w:val="00EF0801"/>
    <w:rsid w:val="00EF1155"/>
    <w:rsid w:val="00EF14ED"/>
    <w:rsid w:val="00EF1BD7"/>
    <w:rsid w:val="00EF1CB8"/>
    <w:rsid w:val="00EF1D24"/>
    <w:rsid w:val="00EF1F65"/>
    <w:rsid w:val="00EF2193"/>
    <w:rsid w:val="00EF24F9"/>
    <w:rsid w:val="00EF2808"/>
    <w:rsid w:val="00EF2A9B"/>
    <w:rsid w:val="00EF2C13"/>
    <w:rsid w:val="00EF2D09"/>
    <w:rsid w:val="00EF2E7B"/>
    <w:rsid w:val="00EF2F20"/>
    <w:rsid w:val="00EF3412"/>
    <w:rsid w:val="00EF3B45"/>
    <w:rsid w:val="00EF3C30"/>
    <w:rsid w:val="00EF3EF9"/>
    <w:rsid w:val="00EF3FA4"/>
    <w:rsid w:val="00EF4240"/>
    <w:rsid w:val="00EF4574"/>
    <w:rsid w:val="00EF466D"/>
    <w:rsid w:val="00EF49A4"/>
    <w:rsid w:val="00EF4B0D"/>
    <w:rsid w:val="00EF4CAB"/>
    <w:rsid w:val="00EF4D5D"/>
    <w:rsid w:val="00EF4D7B"/>
    <w:rsid w:val="00EF4D80"/>
    <w:rsid w:val="00EF55AD"/>
    <w:rsid w:val="00EF5CB8"/>
    <w:rsid w:val="00EF6577"/>
    <w:rsid w:val="00EF690E"/>
    <w:rsid w:val="00EF6C66"/>
    <w:rsid w:val="00EF6F5A"/>
    <w:rsid w:val="00EF79A0"/>
    <w:rsid w:val="00EF7A36"/>
    <w:rsid w:val="00EF7AE5"/>
    <w:rsid w:val="00EF7B19"/>
    <w:rsid w:val="00EF7E5A"/>
    <w:rsid w:val="00EF7F2E"/>
    <w:rsid w:val="00EF7F7D"/>
    <w:rsid w:val="00F001F7"/>
    <w:rsid w:val="00F00ABF"/>
    <w:rsid w:val="00F00F65"/>
    <w:rsid w:val="00F0100E"/>
    <w:rsid w:val="00F01326"/>
    <w:rsid w:val="00F014AB"/>
    <w:rsid w:val="00F01932"/>
    <w:rsid w:val="00F021B6"/>
    <w:rsid w:val="00F022E4"/>
    <w:rsid w:val="00F02395"/>
    <w:rsid w:val="00F030D9"/>
    <w:rsid w:val="00F0317F"/>
    <w:rsid w:val="00F038CC"/>
    <w:rsid w:val="00F03B4B"/>
    <w:rsid w:val="00F03E33"/>
    <w:rsid w:val="00F04A10"/>
    <w:rsid w:val="00F04BB0"/>
    <w:rsid w:val="00F04CFA"/>
    <w:rsid w:val="00F05181"/>
    <w:rsid w:val="00F0557B"/>
    <w:rsid w:val="00F05AEB"/>
    <w:rsid w:val="00F05E61"/>
    <w:rsid w:val="00F06128"/>
    <w:rsid w:val="00F06175"/>
    <w:rsid w:val="00F06316"/>
    <w:rsid w:val="00F06719"/>
    <w:rsid w:val="00F06CBC"/>
    <w:rsid w:val="00F06D0F"/>
    <w:rsid w:val="00F06F4E"/>
    <w:rsid w:val="00F0718C"/>
    <w:rsid w:val="00F07213"/>
    <w:rsid w:val="00F07518"/>
    <w:rsid w:val="00F0799D"/>
    <w:rsid w:val="00F07D28"/>
    <w:rsid w:val="00F07E0A"/>
    <w:rsid w:val="00F07E12"/>
    <w:rsid w:val="00F1013F"/>
    <w:rsid w:val="00F1030B"/>
    <w:rsid w:val="00F10630"/>
    <w:rsid w:val="00F107A0"/>
    <w:rsid w:val="00F1105A"/>
    <w:rsid w:val="00F1134F"/>
    <w:rsid w:val="00F11483"/>
    <w:rsid w:val="00F116AD"/>
    <w:rsid w:val="00F11EE3"/>
    <w:rsid w:val="00F12525"/>
    <w:rsid w:val="00F127A8"/>
    <w:rsid w:val="00F128BD"/>
    <w:rsid w:val="00F12A74"/>
    <w:rsid w:val="00F130ED"/>
    <w:rsid w:val="00F134C4"/>
    <w:rsid w:val="00F13C95"/>
    <w:rsid w:val="00F13E32"/>
    <w:rsid w:val="00F1415E"/>
    <w:rsid w:val="00F148CC"/>
    <w:rsid w:val="00F14ABB"/>
    <w:rsid w:val="00F14BD2"/>
    <w:rsid w:val="00F14C6D"/>
    <w:rsid w:val="00F14D03"/>
    <w:rsid w:val="00F14EC9"/>
    <w:rsid w:val="00F153D0"/>
    <w:rsid w:val="00F153E3"/>
    <w:rsid w:val="00F15517"/>
    <w:rsid w:val="00F158EC"/>
    <w:rsid w:val="00F158FA"/>
    <w:rsid w:val="00F15F85"/>
    <w:rsid w:val="00F1642D"/>
    <w:rsid w:val="00F17079"/>
    <w:rsid w:val="00F17BBD"/>
    <w:rsid w:val="00F2007B"/>
    <w:rsid w:val="00F20129"/>
    <w:rsid w:val="00F20253"/>
    <w:rsid w:val="00F20259"/>
    <w:rsid w:val="00F204AC"/>
    <w:rsid w:val="00F20755"/>
    <w:rsid w:val="00F20C4F"/>
    <w:rsid w:val="00F20F39"/>
    <w:rsid w:val="00F21085"/>
    <w:rsid w:val="00F21C7A"/>
    <w:rsid w:val="00F21D96"/>
    <w:rsid w:val="00F21DCD"/>
    <w:rsid w:val="00F220A5"/>
    <w:rsid w:val="00F22268"/>
    <w:rsid w:val="00F2237C"/>
    <w:rsid w:val="00F223C5"/>
    <w:rsid w:val="00F226EE"/>
    <w:rsid w:val="00F2294B"/>
    <w:rsid w:val="00F22F2C"/>
    <w:rsid w:val="00F23551"/>
    <w:rsid w:val="00F236C4"/>
    <w:rsid w:val="00F237C2"/>
    <w:rsid w:val="00F237D3"/>
    <w:rsid w:val="00F23E51"/>
    <w:rsid w:val="00F23E8D"/>
    <w:rsid w:val="00F242C8"/>
    <w:rsid w:val="00F24708"/>
    <w:rsid w:val="00F2482D"/>
    <w:rsid w:val="00F248B1"/>
    <w:rsid w:val="00F248DB"/>
    <w:rsid w:val="00F24BF9"/>
    <w:rsid w:val="00F24E33"/>
    <w:rsid w:val="00F25049"/>
    <w:rsid w:val="00F25469"/>
    <w:rsid w:val="00F25CC0"/>
    <w:rsid w:val="00F25E7B"/>
    <w:rsid w:val="00F2613A"/>
    <w:rsid w:val="00F264CC"/>
    <w:rsid w:val="00F26507"/>
    <w:rsid w:val="00F2660E"/>
    <w:rsid w:val="00F26FB0"/>
    <w:rsid w:val="00F27040"/>
    <w:rsid w:val="00F27049"/>
    <w:rsid w:val="00F2716A"/>
    <w:rsid w:val="00F2734F"/>
    <w:rsid w:val="00F27DB3"/>
    <w:rsid w:val="00F30093"/>
    <w:rsid w:val="00F30763"/>
    <w:rsid w:val="00F30AE6"/>
    <w:rsid w:val="00F30F13"/>
    <w:rsid w:val="00F30F8C"/>
    <w:rsid w:val="00F3102B"/>
    <w:rsid w:val="00F3105E"/>
    <w:rsid w:val="00F3121F"/>
    <w:rsid w:val="00F3137F"/>
    <w:rsid w:val="00F31D8A"/>
    <w:rsid w:val="00F31F64"/>
    <w:rsid w:val="00F32090"/>
    <w:rsid w:val="00F32212"/>
    <w:rsid w:val="00F3247F"/>
    <w:rsid w:val="00F32705"/>
    <w:rsid w:val="00F32AE2"/>
    <w:rsid w:val="00F32BD9"/>
    <w:rsid w:val="00F32D9C"/>
    <w:rsid w:val="00F33186"/>
    <w:rsid w:val="00F333CD"/>
    <w:rsid w:val="00F3377B"/>
    <w:rsid w:val="00F33B21"/>
    <w:rsid w:val="00F34006"/>
    <w:rsid w:val="00F34191"/>
    <w:rsid w:val="00F34362"/>
    <w:rsid w:val="00F3486A"/>
    <w:rsid w:val="00F34BC9"/>
    <w:rsid w:val="00F34C8B"/>
    <w:rsid w:val="00F3517F"/>
    <w:rsid w:val="00F35185"/>
    <w:rsid w:val="00F35628"/>
    <w:rsid w:val="00F35899"/>
    <w:rsid w:val="00F35C6E"/>
    <w:rsid w:val="00F35E6E"/>
    <w:rsid w:val="00F363CA"/>
    <w:rsid w:val="00F364E3"/>
    <w:rsid w:val="00F3650B"/>
    <w:rsid w:val="00F36995"/>
    <w:rsid w:val="00F36FF5"/>
    <w:rsid w:val="00F37143"/>
    <w:rsid w:val="00F37379"/>
    <w:rsid w:val="00F37867"/>
    <w:rsid w:val="00F37947"/>
    <w:rsid w:val="00F37D5A"/>
    <w:rsid w:val="00F401CD"/>
    <w:rsid w:val="00F405CA"/>
    <w:rsid w:val="00F40877"/>
    <w:rsid w:val="00F40E9B"/>
    <w:rsid w:val="00F415AF"/>
    <w:rsid w:val="00F421F4"/>
    <w:rsid w:val="00F426F3"/>
    <w:rsid w:val="00F42725"/>
    <w:rsid w:val="00F42AD7"/>
    <w:rsid w:val="00F4317B"/>
    <w:rsid w:val="00F445D6"/>
    <w:rsid w:val="00F44970"/>
    <w:rsid w:val="00F449E6"/>
    <w:rsid w:val="00F4520B"/>
    <w:rsid w:val="00F45615"/>
    <w:rsid w:val="00F45645"/>
    <w:rsid w:val="00F4567D"/>
    <w:rsid w:val="00F4583C"/>
    <w:rsid w:val="00F45AA3"/>
    <w:rsid w:val="00F45C31"/>
    <w:rsid w:val="00F46162"/>
    <w:rsid w:val="00F4618C"/>
    <w:rsid w:val="00F467AB"/>
    <w:rsid w:val="00F46FA0"/>
    <w:rsid w:val="00F473B3"/>
    <w:rsid w:val="00F47B45"/>
    <w:rsid w:val="00F47C8D"/>
    <w:rsid w:val="00F50199"/>
    <w:rsid w:val="00F50590"/>
    <w:rsid w:val="00F50C2E"/>
    <w:rsid w:val="00F50EAD"/>
    <w:rsid w:val="00F513AE"/>
    <w:rsid w:val="00F51414"/>
    <w:rsid w:val="00F5163A"/>
    <w:rsid w:val="00F517DE"/>
    <w:rsid w:val="00F51AF6"/>
    <w:rsid w:val="00F51D1C"/>
    <w:rsid w:val="00F51D28"/>
    <w:rsid w:val="00F5226C"/>
    <w:rsid w:val="00F52419"/>
    <w:rsid w:val="00F5254B"/>
    <w:rsid w:val="00F5283C"/>
    <w:rsid w:val="00F52AE9"/>
    <w:rsid w:val="00F52E8C"/>
    <w:rsid w:val="00F531F4"/>
    <w:rsid w:val="00F53B4D"/>
    <w:rsid w:val="00F53B98"/>
    <w:rsid w:val="00F53CDB"/>
    <w:rsid w:val="00F541FA"/>
    <w:rsid w:val="00F547D3"/>
    <w:rsid w:val="00F54D22"/>
    <w:rsid w:val="00F55572"/>
    <w:rsid w:val="00F556AB"/>
    <w:rsid w:val="00F55920"/>
    <w:rsid w:val="00F55C58"/>
    <w:rsid w:val="00F55D6F"/>
    <w:rsid w:val="00F5614D"/>
    <w:rsid w:val="00F5678C"/>
    <w:rsid w:val="00F5698C"/>
    <w:rsid w:val="00F5701B"/>
    <w:rsid w:val="00F571F0"/>
    <w:rsid w:val="00F57424"/>
    <w:rsid w:val="00F6057C"/>
    <w:rsid w:val="00F60645"/>
    <w:rsid w:val="00F60666"/>
    <w:rsid w:val="00F61003"/>
    <w:rsid w:val="00F61355"/>
    <w:rsid w:val="00F6172D"/>
    <w:rsid w:val="00F61F7C"/>
    <w:rsid w:val="00F62386"/>
    <w:rsid w:val="00F6279F"/>
    <w:rsid w:val="00F62BC0"/>
    <w:rsid w:val="00F62E11"/>
    <w:rsid w:val="00F63543"/>
    <w:rsid w:val="00F63915"/>
    <w:rsid w:val="00F63C59"/>
    <w:rsid w:val="00F64201"/>
    <w:rsid w:val="00F644B2"/>
    <w:rsid w:val="00F64EB9"/>
    <w:rsid w:val="00F64FBD"/>
    <w:rsid w:val="00F651D6"/>
    <w:rsid w:val="00F651E9"/>
    <w:rsid w:val="00F65354"/>
    <w:rsid w:val="00F65735"/>
    <w:rsid w:val="00F6573E"/>
    <w:rsid w:val="00F658B7"/>
    <w:rsid w:val="00F65903"/>
    <w:rsid w:val="00F65AA5"/>
    <w:rsid w:val="00F65B8F"/>
    <w:rsid w:val="00F66198"/>
    <w:rsid w:val="00F6682B"/>
    <w:rsid w:val="00F66AEC"/>
    <w:rsid w:val="00F66C8B"/>
    <w:rsid w:val="00F66E07"/>
    <w:rsid w:val="00F66ED7"/>
    <w:rsid w:val="00F6715A"/>
    <w:rsid w:val="00F672E5"/>
    <w:rsid w:val="00F677C0"/>
    <w:rsid w:val="00F67CE9"/>
    <w:rsid w:val="00F70347"/>
    <w:rsid w:val="00F70571"/>
    <w:rsid w:val="00F70A17"/>
    <w:rsid w:val="00F70F6B"/>
    <w:rsid w:val="00F7112C"/>
    <w:rsid w:val="00F711FF"/>
    <w:rsid w:val="00F714A4"/>
    <w:rsid w:val="00F71516"/>
    <w:rsid w:val="00F71B5B"/>
    <w:rsid w:val="00F71DFC"/>
    <w:rsid w:val="00F71F45"/>
    <w:rsid w:val="00F71F62"/>
    <w:rsid w:val="00F71FE7"/>
    <w:rsid w:val="00F725E0"/>
    <w:rsid w:val="00F7293C"/>
    <w:rsid w:val="00F72CE0"/>
    <w:rsid w:val="00F72E7B"/>
    <w:rsid w:val="00F7338C"/>
    <w:rsid w:val="00F73A1D"/>
    <w:rsid w:val="00F73A28"/>
    <w:rsid w:val="00F73EFA"/>
    <w:rsid w:val="00F740CA"/>
    <w:rsid w:val="00F7458C"/>
    <w:rsid w:val="00F74618"/>
    <w:rsid w:val="00F74C18"/>
    <w:rsid w:val="00F74D00"/>
    <w:rsid w:val="00F754BF"/>
    <w:rsid w:val="00F7563A"/>
    <w:rsid w:val="00F763EC"/>
    <w:rsid w:val="00F766FB"/>
    <w:rsid w:val="00F7691E"/>
    <w:rsid w:val="00F769AE"/>
    <w:rsid w:val="00F76A65"/>
    <w:rsid w:val="00F772AC"/>
    <w:rsid w:val="00F772C7"/>
    <w:rsid w:val="00F77A5B"/>
    <w:rsid w:val="00F77C2B"/>
    <w:rsid w:val="00F77DCD"/>
    <w:rsid w:val="00F80B9C"/>
    <w:rsid w:val="00F80C5C"/>
    <w:rsid w:val="00F81224"/>
    <w:rsid w:val="00F81DD3"/>
    <w:rsid w:val="00F81FB6"/>
    <w:rsid w:val="00F81FC2"/>
    <w:rsid w:val="00F82B83"/>
    <w:rsid w:val="00F82C7B"/>
    <w:rsid w:val="00F82FC3"/>
    <w:rsid w:val="00F82FD1"/>
    <w:rsid w:val="00F8302E"/>
    <w:rsid w:val="00F831BA"/>
    <w:rsid w:val="00F831EF"/>
    <w:rsid w:val="00F8361F"/>
    <w:rsid w:val="00F837A3"/>
    <w:rsid w:val="00F8394A"/>
    <w:rsid w:val="00F84282"/>
    <w:rsid w:val="00F84296"/>
    <w:rsid w:val="00F8442E"/>
    <w:rsid w:val="00F84A7B"/>
    <w:rsid w:val="00F84B8B"/>
    <w:rsid w:val="00F84EBA"/>
    <w:rsid w:val="00F84EE8"/>
    <w:rsid w:val="00F85102"/>
    <w:rsid w:val="00F8542F"/>
    <w:rsid w:val="00F85720"/>
    <w:rsid w:val="00F860A4"/>
    <w:rsid w:val="00F86915"/>
    <w:rsid w:val="00F869CE"/>
    <w:rsid w:val="00F86D12"/>
    <w:rsid w:val="00F86DAB"/>
    <w:rsid w:val="00F86E23"/>
    <w:rsid w:val="00F873C5"/>
    <w:rsid w:val="00F87581"/>
    <w:rsid w:val="00F8771C"/>
    <w:rsid w:val="00F877F1"/>
    <w:rsid w:val="00F87920"/>
    <w:rsid w:val="00F87A16"/>
    <w:rsid w:val="00F9019C"/>
    <w:rsid w:val="00F90852"/>
    <w:rsid w:val="00F90906"/>
    <w:rsid w:val="00F90CFA"/>
    <w:rsid w:val="00F911D0"/>
    <w:rsid w:val="00F9138A"/>
    <w:rsid w:val="00F91696"/>
    <w:rsid w:val="00F917D4"/>
    <w:rsid w:val="00F92087"/>
    <w:rsid w:val="00F92280"/>
    <w:rsid w:val="00F924EB"/>
    <w:rsid w:val="00F92862"/>
    <w:rsid w:val="00F928F2"/>
    <w:rsid w:val="00F92B84"/>
    <w:rsid w:val="00F9327D"/>
    <w:rsid w:val="00F938FC"/>
    <w:rsid w:val="00F93CB9"/>
    <w:rsid w:val="00F93D3E"/>
    <w:rsid w:val="00F93F72"/>
    <w:rsid w:val="00F947B1"/>
    <w:rsid w:val="00F94809"/>
    <w:rsid w:val="00F94CA6"/>
    <w:rsid w:val="00F9515D"/>
    <w:rsid w:val="00F95311"/>
    <w:rsid w:val="00F9544B"/>
    <w:rsid w:val="00F956BA"/>
    <w:rsid w:val="00F95F3C"/>
    <w:rsid w:val="00F966B2"/>
    <w:rsid w:val="00F967C4"/>
    <w:rsid w:val="00F96857"/>
    <w:rsid w:val="00F968C5"/>
    <w:rsid w:val="00F96988"/>
    <w:rsid w:val="00F96D5C"/>
    <w:rsid w:val="00F96D64"/>
    <w:rsid w:val="00F97233"/>
    <w:rsid w:val="00F97279"/>
    <w:rsid w:val="00F975B5"/>
    <w:rsid w:val="00FA015C"/>
    <w:rsid w:val="00FA07F0"/>
    <w:rsid w:val="00FA09B1"/>
    <w:rsid w:val="00FA09B7"/>
    <w:rsid w:val="00FA0F60"/>
    <w:rsid w:val="00FA0F7A"/>
    <w:rsid w:val="00FA1223"/>
    <w:rsid w:val="00FA1417"/>
    <w:rsid w:val="00FA1445"/>
    <w:rsid w:val="00FA1BA4"/>
    <w:rsid w:val="00FA236B"/>
    <w:rsid w:val="00FA2458"/>
    <w:rsid w:val="00FA32A4"/>
    <w:rsid w:val="00FA3537"/>
    <w:rsid w:val="00FA35BE"/>
    <w:rsid w:val="00FA41C9"/>
    <w:rsid w:val="00FA450F"/>
    <w:rsid w:val="00FA489C"/>
    <w:rsid w:val="00FA4916"/>
    <w:rsid w:val="00FA4B35"/>
    <w:rsid w:val="00FA4BC6"/>
    <w:rsid w:val="00FA51F9"/>
    <w:rsid w:val="00FA52ED"/>
    <w:rsid w:val="00FA5468"/>
    <w:rsid w:val="00FA5B8A"/>
    <w:rsid w:val="00FA5F72"/>
    <w:rsid w:val="00FA60DF"/>
    <w:rsid w:val="00FA63F2"/>
    <w:rsid w:val="00FA6602"/>
    <w:rsid w:val="00FA6AAB"/>
    <w:rsid w:val="00FA6D1D"/>
    <w:rsid w:val="00FA74C8"/>
    <w:rsid w:val="00FA79E7"/>
    <w:rsid w:val="00FA7E5C"/>
    <w:rsid w:val="00FA7E83"/>
    <w:rsid w:val="00FB05D7"/>
    <w:rsid w:val="00FB0735"/>
    <w:rsid w:val="00FB07F8"/>
    <w:rsid w:val="00FB0B11"/>
    <w:rsid w:val="00FB0F75"/>
    <w:rsid w:val="00FB1011"/>
    <w:rsid w:val="00FB1019"/>
    <w:rsid w:val="00FB1727"/>
    <w:rsid w:val="00FB193D"/>
    <w:rsid w:val="00FB1B5C"/>
    <w:rsid w:val="00FB1D47"/>
    <w:rsid w:val="00FB2408"/>
    <w:rsid w:val="00FB2459"/>
    <w:rsid w:val="00FB26F8"/>
    <w:rsid w:val="00FB29A1"/>
    <w:rsid w:val="00FB2A00"/>
    <w:rsid w:val="00FB2D57"/>
    <w:rsid w:val="00FB2FDE"/>
    <w:rsid w:val="00FB3422"/>
    <w:rsid w:val="00FB3513"/>
    <w:rsid w:val="00FB3F54"/>
    <w:rsid w:val="00FB4010"/>
    <w:rsid w:val="00FB4418"/>
    <w:rsid w:val="00FB493D"/>
    <w:rsid w:val="00FB52D2"/>
    <w:rsid w:val="00FB56E8"/>
    <w:rsid w:val="00FB589C"/>
    <w:rsid w:val="00FB5A02"/>
    <w:rsid w:val="00FB5ECB"/>
    <w:rsid w:val="00FB5F41"/>
    <w:rsid w:val="00FB68A3"/>
    <w:rsid w:val="00FB6BBE"/>
    <w:rsid w:val="00FB6CE1"/>
    <w:rsid w:val="00FB6CF2"/>
    <w:rsid w:val="00FB73D8"/>
    <w:rsid w:val="00FB73F9"/>
    <w:rsid w:val="00FB743E"/>
    <w:rsid w:val="00FB78C6"/>
    <w:rsid w:val="00FC01DD"/>
    <w:rsid w:val="00FC04D6"/>
    <w:rsid w:val="00FC0EE4"/>
    <w:rsid w:val="00FC1AB2"/>
    <w:rsid w:val="00FC1EED"/>
    <w:rsid w:val="00FC239A"/>
    <w:rsid w:val="00FC261B"/>
    <w:rsid w:val="00FC2909"/>
    <w:rsid w:val="00FC2A20"/>
    <w:rsid w:val="00FC2DB6"/>
    <w:rsid w:val="00FC30A9"/>
    <w:rsid w:val="00FC3658"/>
    <w:rsid w:val="00FC3703"/>
    <w:rsid w:val="00FC4447"/>
    <w:rsid w:val="00FC48BD"/>
    <w:rsid w:val="00FC4964"/>
    <w:rsid w:val="00FC4A79"/>
    <w:rsid w:val="00FC4CF9"/>
    <w:rsid w:val="00FC5459"/>
    <w:rsid w:val="00FC5475"/>
    <w:rsid w:val="00FC576B"/>
    <w:rsid w:val="00FC6361"/>
    <w:rsid w:val="00FC6D5B"/>
    <w:rsid w:val="00FC70F6"/>
    <w:rsid w:val="00FC7775"/>
    <w:rsid w:val="00FC788D"/>
    <w:rsid w:val="00FD014B"/>
    <w:rsid w:val="00FD01B5"/>
    <w:rsid w:val="00FD02A4"/>
    <w:rsid w:val="00FD0554"/>
    <w:rsid w:val="00FD06F0"/>
    <w:rsid w:val="00FD0BDA"/>
    <w:rsid w:val="00FD1049"/>
    <w:rsid w:val="00FD14E2"/>
    <w:rsid w:val="00FD19D2"/>
    <w:rsid w:val="00FD23C9"/>
    <w:rsid w:val="00FD281C"/>
    <w:rsid w:val="00FD2937"/>
    <w:rsid w:val="00FD349A"/>
    <w:rsid w:val="00FD3872"/>
    <w:rsid w:val="00FD3B99"/>
    <w:rsid w:val="00FD40B4"/>
    <w:rsid w:val="00FD413C"/>
    <w:rsid w:val="00FD4A2A"/>
    <w:rsid w:val="00FD4AD0"/>
    <w:rsid w:val="00FD4E15"/>
    <w:rsid w:val="00FD4E6E"/>
    <w:rsid w:val="00FD4EEE"/>
    <w:rsid w:val="00FD4FFE"/>
    <w:rsid w:val="00FD5BBB"/>
    <w:rsid w:val="00FD5BF0"/>
    <w:rsid w:val="00FD6022"/>
    <w:rsid w:val="00FD6192"/>
    <w:rsid w:val="00FD620C"/>
    <w:rsid w:val="00FD628D"/>
    <w:rsid w:val="00FD6367"/>
    <w:rsid w:val="00FD65CA"/>
    <w:rsid w:val="00FD6683"/>
    <w:rsid w:val="00FD6B86"/>
    <w:rsid w:val="00FD6C33"/>
    <w:rsid w:val="00FD6E91"/>
    <w:rsid w:val="00FD725C"/>
    <w:rsid w:val="00FD7393"/>
    <w:rsid w:val="00FD7798"/>
    <w:rsid w:val="00FE082C"/>
    <w:rsid w:val="00FE0B21"/>
    <w:rsid w:val="00FE0D5C"/>
    <w:rsid w:val="00FE0D9F"/>
    <w:rsid w:val="00FE0E9A"/>
    <w:rsid w:val="00FE0FF9"/>
    <w:rsid w:val="00FE1085"/>
    <w:rsid w:val="00FE10AE"/>
    <w:rsid w:val="00FE145E"/>
    <w:rsid w:val="00FE1787"/>
    <w:rsid w:val="00FE1BCE"/>
    <w:rsid w:val="00FE1CF8"/>
    <w:rsid w:val="00FE1D14"/>
    <w:rsid w:val="00FE2313"/>
    <w:rsid w:val="00FE26D7"/>
    <w:rsid w:val="00FE289C"/>
    <w:rsid w:val="00FE28DE"/>
    <w:rsid w:val="00FE29A6"/>
    <w:rsid w:val="00FE311A"/>
    <w:rsid w:val="00FE3591"/>
    <w:rsid w:val="00FE38B4"/>
    <w:rsid w:val="00FE3BB3"/>
    <w:rsid w:val="00FE3FBA"/>
    <w:rsid w:val="00FE4C22"/>
    <w:rsid w:val="00FE4FD0"/>
    <w:rsid w:val="00FE5095"/>
    <w:rsid w:val="00FE509B"/>
    <w:rsid w:val="00FE51D6"/>
    <w:rsid w:val="00FE58D3"/>
    <w:rsid w:val="00FE5B75"/>
    <w:rsid w:val="00FE5C99"/>
    <w:rsid w:val="00FE61E6"/>
    <w:rsid w:val="00FE7D27"/>
    <w:rsid w:val="00FF0088"/>
    <w:rsid w:val="00FF019B"/>
    <w:rsid w:val="00FF02F3"/>
    <w:rsid w:val="00FF096C"/>
    <w:rsid w:val="00FF0AB6"/>
    <w:rsid w:val="00FF0F3E"/>
    <w:rsid w:val="00FF121A"/>
    <w:rsid w:val="00FF1801"/>
    <w:rsid w:val="00FF2134"/>
    <w:rsid w:val="00FF22E3"/>
    <w:rsid w:val="00FF23DF"/>
    <w:rsid w:val="00FF249C"/>
    <w:rsid w:val="00FF2CE1"/>
    <w:rsid w:val="00FF2D66"/>
    <w:rsid w:val="00FF2F6E"/>
    <w:rsid w:val="00FF327D"/>
    <w:rsid w:val="00FF32A7"/>
    <w:rsid w:val="00FF348A"/>
    <w:rsid w:val="00FF3C29"/>
    <w:rsid w:val="00FF3D37"/>
    <w:rsid w:val="00FF3D9D"/>
    <w:rsid w:val="00FF3E98"/>
    <w:rsid w:val="00FF422A"/>
    <w:rsid w:val="00FF4305"/>
    <w:rsid w:val="00FF481F"/>
    <w:rsid w:val="00FF487F"/>
    <w:rsid w:val="00FF49C7"/>
    <w:rsid w:val="00FF509A"/>
    <w:rsid w:val="00FF5112"/>
    <w:rsid w:val="00FF52B7"/>
    <w:rsid w:val="00FF540D"/>
    <w:rsid w:val="00FF569E"/>
    <w:rsid w:val="00FF5AD4"/>
    <w:rsid w:val="00FF5BFA"/>
    <w:rsid w:val="00FF5CD9"/>
    <w:rsid w:val="00FF6674"/>
    <w:rsid w:val="00FF66B3"/>
    <w:rsid w:val="00FF680D"/>
    <w:rsid w:val="00FF6C5B"/>
    <w:rsid w:val="00FF75F9"/>
    <w:rsid w:val="00FF7791"/>
    <w:rsid w:val="00FF7AB2"/>
    <w:rsid w:val="00FF7EE1"/>
    <w:rsid w:val="010723F4"/>
    <w:rsid w:val="0107994E"/>
    <w:rsid w:val="010D96DC"/>
    <w:rsid w:val="01394619"/>
    <w:rsid w:val="013A8872"/>
    <w:rsid w:val="01615E87"/>
    <w:rsid w:val="0162F583"/>
    <w:rsid w:val="016CFEF9"/>
    <w:rsid w:val="017E81A1"/>
    <w:rsid w:val="0187E73C"/>
    <w:rsid w:val="0196D752"/>
    <w:rsid w:val="01B010B5"/>
    <w:rsid w:val="01B99BD2"/>
    <w:rsid w:val="01CCF1B1"/>
    <w:rsid w:val="01E6B510"/>
    <w:rsid w:val="01EA23F3"/>
    <w:rsid w:val="01F65BEF"/>
    <w:rsid w:val="0211E200"/>
    <w:rsid w:val="02191D8D"/>
    <w:rsid w:val="0227E154"/>
    <w:rsid w:val="0237BD78"/>
    <w:rsid w:val="023B4F5B"/>
    <w:rsid w:val="0242AF43"/>
    <w:rsid w:val="0243B8A6"/>
    <w:rsid w:val="0246F144"/>
    <w:rsid w:val="02541537"/>
    <w:rsid w:val="02618514"/>
    <w:rsid w:val="028B67E9"/>
    <w:rsid w:val="0296CD3B"/>
    <w:rsid w:val="02A20176"/>
    <w:rsid w:val="02B58CB8"/>
    <w:rsid w:val="02BA0C8E"/>
    <w:rsid w:val="02BB8B76"/>
    <w:rsid w:val="02C9AD91"/>
    <w:rsid w:val="02D3F8A1"/>
    <w:rsid w:val="02DA31F8"/>
    <w:rsid w:val="02FE381A"/>
    <w:rsid w:val="030C4A3C"/>
    <w:rsid w:val="03114C83"/>
    <w:rsid w:val="032EA649"/>
    <w:rsid w:val="036B2634"/>
    <w:rsid w:val="03812067"/>
    <w:rsid w:val="03A42E14"/>
    <w:rsid w:val="03D14B82"/>
    <w:rsid w:val="03E1F789"/>
    <w:rsid w:val="04091F3C"/>
    <w:rsid w:val="040B1A1B"/>
    <w:rsid w:val="0418AE51"/>
    <w:rsid w:val="042A20AC"/>
    <w:rsid w:val="0438228B"/>
    <w:rsid w:val="043D02FC"/>
    <w:rsid w:val="043DFDBD"/>
    <w:rsid w:val="044BE540"/>
    <w:rsid w:val="04534B0C"/>
    <w:rsid w:val="049026DF"/>
    <w:rsid w:val="04CEDCF3"/>
    <w:rsid w:val="04E6133A"/>
    <w:rsid w:val="04EF7A4B"/>
    <w:rsid w:val="050B7831"/>
    <w:rsid w:val="051C8999"/>
    <w:rsid w:val="051CC58D"/>
    <w:rsid w:val="053759FA"/>
    <w:rsid w:val="05515ADF"/>
    <w:rsid w:val="055A111D"/>
    <w:rsid w:val="059DECB2"/>
    <w:rsid w:val="05A596F4"/>
    <w:rsid w:val="05B54751"/>
    <w:rsid w:val="05C0267C"/>
    <w:rsid w:val="05D1D401"/>
    <w:rsid w:val="05D83A6E"/>
    <w:rsid w:val="05E537A7"/>
    <w:rsid w:val="05ED93E8"/>
    <w:rsid w:val="05F2E8C8"/>
    <w:rsid w:val="0617485B"/>
    <w:rsid w:val="0628BD76"/>
    <w:rsid w:val="0689E32C"/>
    <w:rsid w:val="069B9282"/>
    <w:rsid w:val="069FFD17"/>
    <w:rsid w:val="06A04B41"/>
    <w:rsid w:val="06A09FE2"/>
    <w:rsid w:val="06A34B5F"/>
    <w:rsid w:val="06B04C4C"/>
    <w:rsid w:val="06B81EFE"/>
    <w:rsid w:val="06BABA68"/>
    <w:rsid w:val="06DB2B78"/>
    <w:rsid w:val="07069484"/>
    <w:rsid w:val="072CEE83"/>
    <w:rsid w:val="072F2DD2"/>
    <w:rsid w:val="07469B5F"/>
    <w:rsid w:val="07493BFA"/>
    <w:rsid w:val="07705EA5"/>
    <w:rsid w:val="07A6DAB6"/>
    <w:rsid w:val="07A9BD1F"/>
    <w:rsid w:val="07C352D6"/>
    <w:rsid w:val="07E42097"/>
    <w:rsid w:val="07F3C6F3"/>
    <w:rsid w:val="07F507C9"/>
    <w:rsid w:val="07F9D94F"/>
    <w:rsid w:val="07FD148C"/>
    <w:rsid w:val="080033B4"/>
    <w:rsid w:val="080F7F48"/>
    <w:rsid w:val="080FCABB"/>
    <w:rsid w:val="08101458"/>
    <w:rsid w:val="082AE902"/>
    <w:rsid w:val="082EB0DB"/>
    <w:rsid w:val="08516E94"/>
    <w:rsid w:val="0856D2D6"/>
    <w:rsid w:val="0858386C"/>
    <w:rsid w:val="086077EC"/>
    <w:rsid w:val="086E211E"/>
    <w:rsid w:val="0891B771"/>
    <w:rsid w:val="08DC3138"/>
    <w:rsid w:val="08E256A9"/>
    <w:rsid w:val="08F78A05"/>
    <w:rsid w:val="0907C0E6"/>
    <w:rsid w:val="098EB6C9"/>
    <w:rsid w:val="09963D21"/>
    <w:rsid w:val="09CA285A"/>
    <w:rsid w:val="09D8B827"/>
    <w:rsid w:val="09F77CCF"/>
    <w:rsid w:val="0A065E87"/>
    <w:rsid w:val="0A0687E0"/>
    <w:rsid w:val="0A0786B1"/>
    <w:rsid w:val="0A0B9797"/>
    <w:rsid w:val="0A18A96E"/>
    <w:rsid w:val="0A55E501"/>
    <w:rsid w:val="0A5B3857"/>
    <w:rsid w:val="0A8E1A9C"/>
    <w:rsid w:val="0AA60730"/>
    <w:rsid w:val="0AA7E01C"/>
    <w:rsid w:val="0AB61F24"/>
    <w:rsid w:val="0ABBC44A"/>
    <w:rsid w:val="0AD3B4D3"/>
    <w:rsid w:val="0ADCCFFF"/>
    <w:rsid w:val="0AEB5060"/>
    <w:rsid w:val="0AEFDEEB"/>
    <w:rsid w:val="0AF84536"/>
    <w:rsid w:val="0AFC3CB2"/>
    <w:rsid w:val="0B1144B3"/>
    <w:rsid w:val="0B189DBE"/>
    <w:rsid w:val="0B324B8B"/>
    <w:rsid w:val="0B410ED5"/>
    <w:rsid w:val="0B65AD6D"/>
    <w:rsid w:val="0B810FC6"/>
    <w:rsid w:val="0B863660"/>
    <w:rsid w:val="0BAD0A6F"/>
    <w:rsid w:val="0BAFAD1C"/>
    <w:rsid w:val="0BBDFBE9"/>
    <w:rsid w:val="0BC15805"/>
    <w:rsid w:val="0BC71898"/>
    <w:rsid w:val="0BCD52A1"/>
    <w:rsid w:val="0BD7374C"/>
    <w:rsid w:val="0C1C48FA"/>
    <w:rsid w:val="0C2AD618"/>
    <w:rsid w:val="0C3DE9C9"/>
    <w:rsid w:val="0C513EFD"/>
    <w:rsid w:val="0C56C961"/>
    <w:rsid w:val="0C5CC6FF"/>
    <w:rsid w:val="0C7ADC64"/>
    <w:rsid w:val="0C823ED5"/>
    <w:rsid w:val="0C9C7800"/>
    <w:rsid w:val="0CA8116E"/>
    <w:rsid w:val="0CBF2AF6"/>
    <w:rsid w:val="0CCC9322"/>
    <w:rsid w:val="0CF81162"/>
    <w:rsid w:val="0D057325"/>
    <w:rsid w:val="0D14C95C"/>
    <w:rsid w:val="0D1ACD1B"/>
    <w:rsid w:val="0D26723B"/>
    <w:rsid w:val="0D393F2F"/>
    <w:rsid w:val="0D3C3264"/>
    <w:rsid w:val="0D507706"/>
    <w:rsid w:val="0D50B1A3"/>
    <w:rsid w:val="0D5B1C9A"/>
    <w:rsid w:val="0D5BAF7F"/>
    <w:rsid w:val="0D7825A8"/>
    <w:rsid w:val="0D892D5F"/>
    <w:rsid w:val="0DA6A413"/>
    <w:rsid w:val="0DB61358"/>
    <w:rsid w:val="0DB7E139"/>
    <w:rsid w:val="0DBAD3B5"/>
    <w:rsid w:val="0DBB9276"/>
    <w:rsid w:val="0DC2F7A0"/>
    <w:rsid w:val="0DCFF88F"/>
    <w:rsid w:val="0E040538"/>
    <w:rsid w:val="0E13DDED"/>
    <w:rsid w:val="0E2296C5"/>
    <w:rsid w:val="0E279568"/>
    <w:rsid w:val="0E40EFB8"/>
    <w:rsid w:val="0E45E0B8"/>
    <w:rsid w:val="0E51AAAA"/>
    <w:rsid w:val="0E5A8C1D"/>
    <w:rsid w:val="0E7D860C"/>
    <w:rsid w:val="0E809F1A"/>
    <w:rsid w:val="0E918363"/>
    <w:rsid w:val="0E963107"/>
    <w:rsid w:val="0E9D5D75"/>
    <w:rsid w:val="0EA126A9"/>
    <w:rsid w:val="0ED3161B"/>
    <w:rsid w:val="0EE15D36"/>
    <w:rsid w:val="0EED2D54"/>
    <w:rsid w:val="0EF0928F"/>
    <w:rsid w:val="0EF1FFAC"/>
    <w:rsid w:val="0F0D686D"/>
    <w:rsid w:val="0F25EE21"/>
    <w:rsid w:val="0F284624"/>
    <w:rsid w:val="0F28F907"/>
    <w:rsid w:val="0F31A083"/>
    <w:rsid w:val="0F475F8F"/>
    <w:rsid w:val="0F63728D"/>
    <w:rsid w:val="0F68CC7C"/>
    <w:rsid w:val="0F96993C"/>
    <w:rsid w:val="0FA08352"/>
    <w:rsid w:val="0FA4479E"/>
    <w:rsid w:val="0FA5D194"/>
    <w:rsid w:val="0FC4C183"/>
    <w:rsid w:val="0FD339DF"/>
    <w:rsid w:val="0FE05E74"/>
    <w:rsid w:val="0FFBC38B"/>
    <w:rsid w:val="1002FE22"/>
    <w:rsid w:val="100692AB"/>
    <w:rsid w:val="10105D3E"/>
    <w:rsid w:val="1012A02D"/>
    <w:rsid w:val="104BAA87"/>
    <w:rsid w:val="1063A453"/>
    <w:rsid w:val="108D50CD"/>
    <w:rsid w:val="109D2912"/>
    <w:rsid w:val="10A0C984"/>
    <w:rsid w:val="10B9E947"/>
    <w:rsid w:val="10D21D5E"/>
    <w:rsid w:val="10DFC0C7"/>
    <w:rsid w:val="10E0477D"/>
    <w:rsid w:val="10E7002A"/>
    <w:rsid w:val="10F8AAB7"/>
    <w:rsid w:val="11014C15"/>
    <w:rsid w:val="1105EA9C"/>
    <w:rsid w:val="1116EF88"/>
    <w:rsid w:val="11510D88"/>
    <w:rsid w:val="1151957B"/>
    <w:rsid w:val="11611872"/>
    <w:rsid w:val="1163A36A"/>
    <w:rsid w:val="116C5156"/>
    <w:rsid w:val="1172B034"/>
    <w:rsid w:val="117B2323"/>
    <w:rsid w:val="1194EF01"/>
    <w:rsid w:val="11999F16"/>
    <w:rsid w:val="11A22685"/>
    <w:rsid w:val="11ACB71C"/>
    <w:rsid w:val="11B22346"/>
    <w:rsid w:val="11DE9E46"/>
    <w:rsid w:val="11EEF0BE"/>
    <w:rsid w:val="11FE0C7C"/>
    <w:rsid w:val="1201383D"/>
    <w:rsid w:val="1224CB2D"/>
    <w:rsid w:val="1253938E"/>
    <w:rsid w:val="1262F8C3"/>
    <w:rsid w:val="1274F4D4"/>
    <w:rsid w:val="12FB4900"/>
    <w:rsid w:val="12FFBC96"/>
    <w:rsid w:val="1337F521"/>
    <w:rsid w:val="1345FF35"/>
    <w:rsid w:val="13533622"/>
    <w:rsid w:val="1360AAD3"/>
    <w:rsid w:val="139B5D90"/>
    <w:rsid w:val="13C11430"/>
    <w:rsid w:val="13D228B0"/>
    <w:rsid w:val="13EE95CE"/>
    <w:rsid w:val="13F97DC4"/>
    <w:rsid w:val="13F98B5C"/>
    <w:rsid w:val="14008025"/>
    <w:rsid w:val="1400C205"/>
    <w:rsid w:val="140AE8B2"/>
    <w:rsid w:val="141527A2"/>
    <w:rsid w:val="14289114"/>
    <w:rsid w:val="142AFB16"/>
    <w:rsid w:val="14663D80"/>
    <w:rsid w:val="14712B7C"/>
    <w:rsid w:val="1471BA02"/>
    <w:rsid w:val="147F78F5"/>
    <w:rsid w:val="147FE441"/>
    <w:rsid w:val="14A5EB2F"/>
    <w:rsid w:val="14D44E3C"/>
    <w:rsid w:val="14D930A4"/>
    <w:rsid w:val="14E98D2C"/>
    <w:rsid w:val="14EE6739"/>
    <w:rsid w:val="1501ED5E"/>
    <w:rsid w:val="150CFA4C"/>
    <w:rsid w:val="150D8279"/>
    <w:rsid w:val="150E258A"/>
    <w:rsid w:val="1532FA99"/>
    <w:rsid w:val="15465BE8"/>
    <w:rsid w:val="154EF71A"/>
    <w:rsid w:val="1558EFD6"/>
    <w:rsid w:val="155F9BB4"/>
    <w:rsid w:val="15834289"/>
    <w:rsid w:val="1587DF35"/>
    <w:rsid w:val="159589AB"/>
    <w:rsid w:val="15B34869"/>
    <w:rsid w:val="15B5BB11"/>
    <w:rsid w:val="15BA1FEB"/>
    <w:rsid w:val="15BD7217"/>
    <w:rsid w:val="15C2345F"/>
    <w:rsid w:val="15C5EE6F"/>
    <w:rsid w:val="15C87943"/>
    <w:rsid w:val="15D39707"/>
    <w:rsid w:val="166D303F"/>
    <w:rsid w:val="1680D427"/>
    <w:rsid w:val="16AF8B26"/>
    <w:rsid w:val="16BF3683"/>
    <w:rsid w:val="16DB1C38"/>
    <w:rsid w:val="16DDBEEA"/>
    <w:rsid w:val="1708693E"/>
    <w:rsid w:val="170B4B8A"/>
    <w:rsid w:val="17141245"/>
    <w:rsid w:val="1717F8D7"/>
    <w:rsid w:val="171F49FE"/>
    <w:rsid w:val="172154C3"/>
    <w:rsid w:val="172F403A"/>
    <w:rsid w:val="174108DE"/>
    <w:rsid w:val="174994AE"/>
    <w:rsid w:val="174AAD75"/>
    <w:rsid w:val="174BD871"/>
    <w:rsid w:val="1754B6D3"/>
    <w:rsid w:val="1761D3C3"/>
    <w:rsid w:val="17733B47"/>
    <w:rsid w:val="179344D4"/>
    <w:rsid w:val="17968F04"/>
    <w:rsid w:val="17AB8A51"/>
    <w:rsid w:val="17C0AD08"/>
    <w:rsid w:val="17CA6006"/>
    <w:rsid w:val="1803F172"/>
    <w:rsid w:val="18199A0E"/>
    <w:rsid w:val="182A2B37"/>
    <w:rsid w:val="1844133F"/>
    <w:rsid w:val="184FDDC4"/>
    <w:rsid w:val="1851C862"/>
    <w:rsid w:val="18574983"/>
    <w:rsid w:val="187A16D8"/>
    <w:rsid w:val="189C6F7E"/>
    <w:rsid w:val="18AABF68"/>
    <w:rsid w:val="18B98E43"/>
    <w:rsid w:val="18C24A14"/>
    <w:rsid w:val="18C7DAE1"/>
    <w:rsid w:val="18D489BD"/>
    <w:rsid w:val="18D585BB"/>
    <w:rsid w:val="18DEA423"/>
    <w:rsid w:val="18F675B4"/>
    <w:rsid w:val="191EAC67"/>
    <w:rsid w:val="191FC2F3"/>
    <w:rsid w:val="1928C266"/>
    <w:rsid w:val="1928DCEF"/>
    <w:rsid w:val="1950781D"/>
    <w:rsid w:val="197D666C"/>
    <w:rsid w:val="198DCA1A"/>
    <w:rsid w:val="19A0A787"/>
    <w:rsid w:val="19ABAA83"/>
    <w:rsid w:val="19AD1FB9"/>
    <w:rsid w:val="19B60A2E"/>
    <w:rsid w:val="19D4608A"/>
    <w:rsid w:val="19D70A26"/>
    <w:rsid w:val="19FBD691"/>
    <w:rsid w:val="19FC34FE"/>
    <w:rsid w:val="1A4EB5F6"/>
    <w:rsid w:val="1A5B4C58"/>
    <w:rsid w:val="1A803A0D"/>
    <w:rsid w:val="1A8AD5FF"/>
    <w:rsid w:val="1A8C3869"/>
    <w:rsid w:val="1A8FF115"/>
    <w:rsid w:val="1A9D25BA"/>
    <w:rsid w:val="1AA48814"/>
    <w:rsid w:val="1AB443AD"/>
    <w:rsid w:val="1AC404EC"/>
    <w:rsid w:val="1AC72FBE"/>
    <w:rsid w:val="1ADC26AF"/>
    <w:rsid w:val="1AE520D5"/>
    <w:rsid w:val="1AEE4E82"/>
    <w:rsid w:val="1AF1D39F"/>
    <w:rsid w:val="1AFC3114"/>
    <w:rsid w:val="1B102516"/>
    <w:rsid w:val="1B140226"/>
    <w:rsid w:val="1B32ACA8"/>
    <w:rsid w:val="1B362DA4"/>
    <w:rsid w:val="1B3AC3B1"/>
    <w:rsid w:val="1B594B06"/>
    <w:rsid w:val="1B61EA97"/>
    <w:rsid w:val="1B7049FF"/>
    <w:rsid w:val="1B8409FA"/>
    <w:rsid w:val="1B95F087"/>
    <w:rsid w:val="1BB911EB"/>
    <w:rsid w:val="1BC71245"/>
    <w:rsid w:val="1BD2FFEB"/>
    <w:rsid w:val="1BF63E3E"/>
    <w:rsid w:val="1BF9BED1"/>
    <w:rsid w:val="1BF9D671"/>
    <w:rsid w:val="1BFAB9B4"/>
    <w:rsid w:val="1C042B8F"/>
    <w:rsid w:val="1C066125"/>
    <w:rsid w:val="1C129308"/>
    <w:rsid w:val="1C216392"/>
    <w:rsid w:val="1C223FC2"/>
    <w:rsid w:val="1C282A76"/>
    <w:rsid w:val="1C35A0F9"/>
    <w:rsid w:val="1C437889"/>
    <w:rsid w:val="1C48B312"/>
    <w:rsid w:val="1C80231E"/>
    <w:rsid w:val="1C8884DA"/>
    <w:rsid w:val="1C99914C"/>
    <w:rsid w:val="1CA1E500"/>
    <w:rsid w:val="1CA45201"/>
    <w:rsid w:val="1CA6EB8D"/>
    <w:rsid w:val="1CA944AC"/>
    <w:rsid w:val="1CDE0212"/>
    <w:rsid w:val="1CE23FEF"/>
    <w:rsid w:val="1CED9A0F"/>
    <w:rsid w:val="1CFBE650"/>
    <w:rsid w:val="1CFF3A0E"/>
    <w:rsid w:val="1D1883DA"/>
    <w:rsid w:val="1D1D1D74"/>
    <w:rsid w:val="1D1EDDEC"/>
    <w:rsid w:val="1D43CED8"/>
    <w:rsid w:val="1D5330B5"/>
    <w:rsid w:val="1D687CC1"/>
    <w:rsid w:val="1D783537"/>
    <w:rsid w:val="1D895691"/>
    <w:rsid w:val="1D8BA44E"/>
    <w:rsid w:val="1D93D301"/>
    <w:rsid w:val="1DB1ACF1"/>
    <w:rsid w:val="1DD4EEE5"/>
    <w:rsid w:val="1DEC4AE2"/>
    <w:rsid w:val="1E3525CC"/>
    <w:rsid w:val="1E394AFF"/>
    <w:rsid w:val="1E418F1D"/>
    <w:rsid w:val="1E4B1BAA"/>
    <w:rsid w:val="1E6B1F97"/>
    <w:rsid w:val="1E7743CA"/>
    <w:rsid w:val="1E7D1F74"/>
    <w:rsid w:val="1E9FB405"/>
    <w:rsid w:val="1ECCD5B1"/>
    <w:rsid w:val="1EE881EF"/>
    <w:rsid w:val="1EEF8EC2"/>
    <w:rsid w:val="1EFF4D67"/>
    <w:rsid w:val="1F051A83"/>
    <w:rsid w:val="1F1AF4C0"/>
    <w:rsid w:val="1F2D4532"/>
    <w:rsid w:val="1F3125F9"/>
    <w:rsid w:val="1F413C92"/>
    <w:rsid w:val="1F636B99"/>
    <w:rsid w:val="1F752231"/>
    <w:rsid w:val="1F876C6E"/>
    <w:rsid w:val="1FA709AC"/>
    <w:rsid w:val="1FBD2B58"/>
    <w:rsid w:val="1FBDF8A6"/>
    <w:rsid w:val="1FDAA680"/>
    <w:rsid w:val="20243DA1"/>
    <w:rsid w:val="202A76CF"/>
    <w:rsid w:val="203FCEA3"/>
    <w:rsid w:val="20422430"/>
    <w:rsid w:val="20519061"/>
    <w:rsid w:val="205CDFDB"/>
    <w:rsid w:val="20667596"/>
    <w:rsid w:val="207060A3"/>
    <w:rsid w:val="20737AD9"/>
    <w:rsid w:val="20762A53"/>
    <w:rsid w:val="207D5864"/>
    <w:rsid w:val="2088A6C4"/>
    <w:rsid w:val="2089B36A"/>
    <w:rsid w:val="2090A150"/>
    <w:rsid w:val="20B1DE9C"/>
    <w:rsid w:val="20C41C84"/>
    <w:rsid w:val="20CB89D7"/>
    <w:rsid w:val="20CE91EC"/>
    <w:rsid w:val="20E403B1"/>
    <w:rsid w:val="211F94DC"/>
    <w:rsid w:val="214A12CD"/>
    <w:rsid w:val="2160F59C"/>
    <w:rsid w:val="21638E2B"/>
    <w:rsid w:val="21836E5F"/>
    <w:rsid w:val="218DA4D0"/>
    <w:rsid w:val="219C06A5"/>
    <w:rsid w:val="21A0608D"/>
    <w:rsid w:val="21AAE915"/>
    <w:rsid w:val="21B19BFC"/>
    <w:rsid w:val="21C0A62B"/>
    <w:rsid w:val="21ECE664"/>
    <w:rsid w:val="220A5146"/>
    <w:rsid w:val="220F15D5"/>
    <w:rsid w:val="22157BD8"/>
    <w:rsid w:val="221A444C"/>
    <w:rsid w:val="2239DB52"/>
    <w:rsid w:val="22507FD2"/>
    <w:rsid w:val="2250957A"/>
    <w:rsid w:val="2263A60B"/>
    <w:rsid w:val="228917DD"/>
    <w:rsid w:val="22B5D9FD"/>
    <w:rsid w:val="22D75B67"/>
    <w:rsid w:val="22DEE80B"/>
    <w:rsid w:val="232936FB"/>
    <w:rsid w:val="234B348E"/>
    <w:rsid w:val="23573A16"/>
    <w:rsid w:val="23806BCD"/>
    <w:rsid w:val="2382C931"/>
    <w:rsid w:val="238B1DEC"/>
    <w:rsid w:val="23946762"/>
    <w:rsid w:val="239A472E"/>
    <w:rsid w:val="23AD86FF"/>
    <w:rsid w:val="23C77E65"/>
    <w:rsid w:val="23CEE3F8"/>
    <w:rsid w:val="23D36852"/>
    <w:rsid w:val="23E57B53"/>
    <w:rsid w:val="23E71EAF"/>
    <w:rsid w:val="23F64A5C"/>
    <w:rsid w:val="24009E9F"/>
    <w:rsid w:val="2422FD8D"/>
    <w:rsid w:val="245ACAC2"/>
    <w:rsid w:val="2460398E"/>
    <w:rsid w:val="24739C14"/>
    <w:rsid w:val="2481CBC4"/>
    <w:rsid w:val="248ABF42"/>
    <w:rsid w:val="24AF9764"/>
    <w:rsid w:val="24B02981"/>
    <w:rsid w:val="24B53F75"/>
    <w:rsid w:val="24D7A191"/>
    <w:rsid w:val="24F32E93"/>
    <w:rsid w:val="24F6A3C0"/>
    <w:rsid w:val="24FB59AA"/>
    <w:rsid w:val="2509FB50"/>
    <w:rsid w:val="250E0DC4"/>
    <w:rsid w:val="2511C16C"/>
    <w:rsid w:val="25174D1C"/>
    <w:rsid w:val="252D504D"/>
    <w:rsid w:val="254AD3D1"/>
    <w:rsid w:val="255FF7EA"/>
    <w:rsid w:val="256E25D0"/>
    <w:rsid w:val="2590B564"/>
    <w:rsid w:val="25A47E59"/>
    <w:rsid w:val="25A62E2C"/>
    <w:rsid w:val="25E935E6"/>
    <w:rsid w:val="25FD1E09"/>
    <w:rsid w:val="2620FFDF"/>
    <w:rsid w:val="26515A09"/>
    <w:rsid w:val="26726B40"/>
    <w:rsid w:val="26733A71"/>
    <w:rsid w:val="26744CA9"/>
    <w:rsid w:val="268D84C1"/>
    <w:rsid w:val="269B79FB"/>
    <w:rsid w:val="26AD073B"/>
    <w:rsid w:val="26B05A17"/>
    <w:rsid w:val="26B8577A"/>
    <w:rsid w:val="26D8B6C2"/>
    <w:rsid w:val="26F45530"/>
    <w:rsid w:val="27040F66"/>
    <w:rsid w:val="270FCFB3"/>
    <w:rsid w:val="271F87B1"/>
    <w:rsid w:val="27366753"/>
    <w:rsid w:val="2739E35D"/>
    <w:rsid w:val="273D7321"/>
    <w:rsid w:val="27436A46"/>
    <w:rsid w:val="2777905D"/>
    <w:rsid w:val="277CA277"/>
    <w:rsid w:val="277E6568"/>
    <w:rsid w:val="27841E7F"/>
    <w:rsid w:val="27A004F9"/>
    <w:rsid w:val="27A2D252"/>
    <w:rsid w:val="27AB2167"/>
    <w:rsid w:val="27B459CF"/>
    <w:rsid w:val="27B5B0AD"/>
    <w:rsid w:val="27C2E03B"/>
    <w:rsid w:val="280D1F8A"/>
    <w:rsid w:val="280D3581"/>
    <w:rsid w:val="283B96C5"/>
    <w:rsid w:val="2854DC90"/>
    <w:rsid w:val="285BBC7E"/>
    <w:rsid w:val="28A59AE9"/>
    <w:rsid w:val="28D05EC2"/>
    <w:rsid w:val="28D67010"/>
    <w:rsid w:val="28FC9C29"/>
    <w:rsid w:val="290B5BBC"/>
    <w:rsid w:val="2913AD4A"/>
    <w:rsid w:val="2974137A"/>
    <w:rsid w:val="29744F37"/>
    <w:rsid w:val="297ADAE3"/>
    <w:rsid w:val="298C2E68"/>
    <w:rsid w:val="29920B35"/>
    <w:rsid w:val="2993CBC2"/>
    <w:rsid w:val="29A7B5A9"/>
    <w:rsid w:val="29D14097"/>
    <w:rsid w:val="29D4AAC0"/>
    <w:rsid w:val="29F365C8"/>
    <w:rsid w:val="2A089198"/>
    <w:rsid w:val="2A0B1CF1"/>
    <w:rsid w:val="2A1A80FA"/>
    <w:rsid w:val="2A206302"/>
    <w:rsid w:val="2A2C80C9"/>
    <w:rsid w:val="2A48028B"/>
    <w:rsid w:val="2A5145D6"/>
    <w:rsid w:val="2A69E178"/>
    <w:rsid w:val="2A76A4A8"/>
    <w:rsid w:val="2A7AE1F1"/>
    <w:rsid w:val="2AA23344"/>
    <w:rsid w:val="2AAF128B"/>
    <w:rsid w:val="2AC1F559"/>
    <w:rsid w:val="2AD78D6D"/>
    <w:rsid w:val="2AE613DF"/>
    <w:rsid w:val="2AFBCD17"/>
    <w:rsid w:val="2B0D69D0"/>
    <w:rsid w:val="2B0F0E86"/>
    <w:rsid w:val="2B10C453"/>
    <w:rsid w:val="2B1EDE45"/>
    <w:rsid w:val="2B29198A"/>
    <w:rsid w:val="2B2ABD6E"/>
    <w:rsid w:val="2B34A3CE"/>
    <w:rsid w:val="2B4D90FA"/>
    <w:rsid w:val="2B5EB527"/>
    <w:rsid w:val="2B843B84"/>
    <w:rsid w:val="2BB40F74"/>
    <w:rsid w:val="2BB80915"/>
    <w:rsid w:val="2BC6612E"/>
    <w:rsid w:val="2BCB7860"/>
    <w:rsid w:val="2BCE96DC"/>
    <w:rsid w:val="2BF6D2D8"/>
    <w:rsid w:val="2C00AA58"/>
    <w:rsid w:val="2C0DCFB4"/>
    <w:rsid w:val="2C18327F"/>
    <w:rsid w:val="2C239009"/>
    <w:rsid w:val="2C2D47B1"/>
    <w:rsid w:val="2C403181"/>
    <w:rsid w:val="2C465ECD"/>
    <w:rsid w:val="2C5AFE76"/>
    <w:rsid w:val="2C5F5F1E"/>
    <w:rsid w:val="2C6200E2"/>
    <w:rsid w:val="2C629B49"/>
    <w:rsid w:val="2C797F69"/>
    <w:rsid w:val="2C80E2DB"/>
    <w:rsid w:val="2C85E6DC"/>
    <w:rsid w:val="2C936750"/>
    <w:rsid w:val="2CAA86D3"/>
    <w:rsid w:val="2CB10153"/>
    <w:rsid w:val="2CC55701"/>
    <w:rsid w:val="2CC7AB00"/>
    <w:rsid w:val="2CD29D45"/>
    <w:rsid w:val="2CF8553E"/>
    <w:rsid w:val="2D21633A"/>
    <w:rsid w:val="2D218E3C"/>
    <w:rsid w:val="2D4E486A"/>
    <w:rsid w:val="2D61BBB7"/>
    <w:rsid w:val="2D62E368"/>
    <w:rsid w:val="2D793F9F"/>
    <w:rsid w:val="2D79693A"/>
    <w:rsid w:val="2D7B34EB"/>
    <w:rsid w:val="2DC7EEB1"/>
    <w:rsid w:val="2DCBBF08"/>
    <w:rsid w:val="2DD39812"/>
    <w:rsid w:val="2DDF7AE0"/>
    <w:rsid w:val="2DF03C5F"/>
    <w:rsid w:val="2DFA80E1"/>
    <w:rsid w:val="2E123A00"/>
    <w:rsid w:val="2E141F44"/>
    <w:rsid w:val="2E1CAFCE"/>
    <w:rsid w:val="2E379DA9"/>
    <w:rsid w:val="2E467677"/>
    <w:rsid w:val="2E4BC5FB"/>
    <w:rsid w:val="2E4ECA8E"/>
    <w:rsid w:val="2E56E4F6"/>
    <w:rsid w:val="2E58C844"/>
    <w:rsid w:val="2E732A21"/>
    <w:rsid w:val="2E805E0D"/>
    <w:rsid w:val="2EA067C6"/>
    <w:rsid w:val="2EB7D035"/>
    <w:rsid w:val="2EC0DC10"/>
    <w:rsid w:val="2F4CF269"/>
    <w:rsid w:val="2F63E3CB"/>
    <w:rsid w:val="2F667B8B"/>
    <w:rsid w:val="2F676D34"/>
    <w:rsid w:val="2F67AF54"/>
    <w:rsid w:val="2F78ED50"/>
    <w:rsid w:val="2F894B9B"/>
    <w:rsid w:val="2F8A656A"/>
    <w:rsid w:val="2FAF2EEF"/>
    <w:rsid w:val="2FB95F45"/>
    <w:rsid w:val="2FC42CE8"/>
    <w:rsid w:val="2FC624AA"/>
    <w:rsid w:val="2FCCF71E"/>
    <w:rsid w:val="2FD14DDD"/>
    <w:rsid w:val="2FDF5E63"/>
    <w:rsid w:val="2FE3AE14"/>
    <w:rsid w:val="2FECC76E"/>
    <w:rsid w:val="30484816"/>
    <w:rsid w:val="304FE299"/>
    <w:rsid w:val="305AAA37"/>
    <w:rsid w:val="306C0372"/>
    <w:rsid w:val="3077892E"/>
    <w:rsid w:val="3081B6CC"/>
    <w:rsid w:val="309B11C3"/>
    <w:rsid w:val="30A6B152"/>
    <w:rsid w:val="30AEE59E"/>
    <w:rsid w:val="30B42D5E"/>
    <w:rsid w:val="30C0418D"/>
    <w:rsid w:val="30D331C0"/>
    <w:rsid w:val="30DEBA36"/>
    <w:rsid w:val="30DF596F"/>
    <w:rsid w:val="30F3EF43"/>
    <w:rsid w:val="31172E0A"/>
    <w:rsid w:val="311D1F5A"/>
    <w:rsid w:val="31299FAA"/>
    <w:rsid w:val="3142F45A"/>
    <w:rsid w:val="314F5CB0"/>
    <w:rsid w:val="316681C1"/>
    <w:rsid w:val="31847526"/>
    <w:rsid w:val="318B32C3"/>
    <w:rsid w:val="31A2407F"/>
    <w:rsid w:val="31A2A4EF"/>
    <w:rsid w:val="31B8F7F2"/>
    <w:rsid w:val="31C8517F"/>
    <w:rsid w:val="31EB86FC"/>
    <w:rsid w:val="320514A4"/>
    <w:rsid w:val="32222637"/>
    <w:rsid w:val="32222900"/>
    <w:rsid w:val="3239053A"/>
    <w:rsid w:val="325BBDF4"/>
    <w:rsid w:val="325CEFEE"/>
    <w:rsid w:val="327898D4"/>
    <w:rsid w:val="3298F4E6"/>
    <w:rsid w:val="32B0AC31"/>
    <w:rsid w:val="32B80031"/>
    <w:rsid w:val="32C970F4"/>
    <w:rsid w:val="32D09EA4"/>
    <w:rsid w:val="32D3BC1E"/>
    <w:rsid w:val="32DC02EE"/>
    <w:rsid w:val="32E79BF2"/>
    <w:rsid w:val="32ED5780"/>
    <w:rsid w:val="32F38D34"/>
    <w:rsid w:val="32F80F50"/>
    <w:rsid w:val="3317F398"/>
    <w:rsid w:val="33221AEA"/>
    <w:rsid w:val="33301C62"/>
    <w:rsid w:val="334D042B"/>
    <w:rsid w:val="33569972"/>
    <w:rsid w:val="335A5719"/>
    <w:rsid w:val="335F3B55"/>
    <w:rsid w:val="336032A8"/>
    <w:rsid w:val="336583B5"/>
    <w:rsid w:val="337C550F"/>
    <w:rsid w:val="339E49AD"/>
    <w:rsid w:val="33B1A294"/>
    <w:rsid w:val="33B4AA6A"/>
    <w:rsid w:val="33C51B48"/>
    <w:rsid w:val="33C7D761"/>
    <w:rsid w:val="33C9782E"/>
    <w:rsid w:val="33DB0E5A"/>
    <w:rsid w:val="33DC0A75"/>
    <w:rsid w:val="34071772"/>
    <w:rsid w:val="34200105"/>
    <w:rsid w:val="34453207"/>
    <w:rsid w:val="344CE8B1"/>
    <w:rsid w:val="344DF287"/>
    <w:rsid w:val="3451E21A"/>
    <w:rsid w:val="345355CE"/>
    <w:rsid w:val="346BE2C5"/>
    <w:rsid w:val="3470AB0C"/>
    <w:rsid w:val="3476EBA3"/>
    <w:rsid w:val="34794C59"/>
    <w:rsid w:val="348005B1"/>
    <w:rsid w:val="34867BA6"/>
    <w:rsid w:val="3497377E"/>
    <w:rsid w:val="349A78D2"/>
    <w:rsid w:val="349EEB9A"/>
    <w:rsid w:val="34CE5326"/>
    <w:rsid w:val="34D11A23"/>
    <w:rsid w:val="34DA6FB0"/>
    <w:rsid w:val="351BF482"/>
    <w:rsid w:val="352860D6"/>
    <w:rsid w:val="3550A768"/>
    <w:rsid w:val="3598F166"/>
    <w:rsid w:val="359AAC94"/>
    <w:rsid w:val="359C3303"/>
    <w:rsid w:val="35BA06AA"/>
    <w:rsid w:val="35BE58A7"/>
    <w:rsid w:val="35C80AE3"/>
    <w:rsid w:val="35CACE48"/>
    <w:rsid w:val="35E045D6"/>
    <w:rsid w:val="35E45571"/>
    <w:rsid w:val="3605D398"/>
    <w:rsid w:val="3622C88A"/>
    <w:rsid w:val="36315E5C"/>
    <w:rsid w:val="364BCDCB"/>
    <w:rsid w:val="36557F57"/>
    <w:rsid w:val="3657B33C"/>
    <w:rsid w:val="3665E11A"/>
    <w:rsid w:val="367CD53B"/>
    <w:rsid w:val="367FF142"/>
    <w:rsid w:val="36BA66DC"/>
    <w:rsid w:val="36BB559C"/>
    <w:rsid w:val="36C2A0EF"/>
    <w:rsid w:val="36C6ADBB"/>
    <w:rsid w:val="36CA0AA3"/>
    <w:rsid w:val="36DDB97F"/>
    <w:rsid w:val="3700D0C1"/>
    <w:rsid w:val="37044326"/>
    <w:rsid w:val="373A3F7F"/>
    <w:rsid w:val="373BF9C4"/>
    <w:rsid w:val="374D6D34"/>
    <w:rsid w:val="3752A09A"/>
    <w:rsid w:val="375E896C"/>
    <w:rsid w:val="3767052C"/>
    <w:rsid w:val="377B8742"/>
    <w:rsid w:val="37CE02C3"/>
    <w:rsid w:val="37E2AA75"/>
    <w:rsid w:val="38006E6C"/>
    <w:rsid w:val="380F3284"/>
    <w:rsid w:val="380F3A77"/>
    <w:rsid w:val="381D03A0"/>
    <w:rsid w:val="382F9016"/>
    <w:rsid w:val="38353A2C"/>
    <w:rsid w:val="383D2BC3"/>
    <w:rsid w:val="38503108"/>
    <w:rsid w:val="386B74B1"/>
    <w:rsid w:val="38858C24"/>
    <w:rsid w:val="389066BC"/>
    <w:rsid w:val="3899305B"/>
    <w:rsid w:val="38C91A88"/>
    <w:rsid w:val="38E17C3B"/>
    <w:rsid w:val="38F6D70C"/>
    <w:rsid w:val="393316F1"/>
    <w:rsid w:val="393F020E"/>
    <w:rsid w:val="394E6C08"/>
    <w:rsid w:val="3974C0B4"/>
    <w:rsid w:val="39788975"/>
    <w:rsid w:val="399B8227"/>
    <w:rsid w:val="39B30AD2"/>
    <w:rsid w:val="39B49327"/>
    <w:rsid w:val="39CFD464"/>
    <w:rsid w:val="39D9142D"/>
    <w:rsid w:val="39E54A76"/>
    <w:rsid w:val="3A1239C7"/>
    <w:rsid w:val="3A1C4EB7"/>
    <w:rsid w:val="3A2ED034"/>
    <w:rsid w:val="3A2EE116"/>
    <w:rsid w:val="3A54FF79"/>
    <w:rsid w:val="3A89CB43"/>
    <w:rsid w:val="3A9D1393"/>
    <w:rsid w:val="3AA316C3"/>
    <w:rsid w:val="3AA6D76B"/>
    <w:rsid w:val="3AAE2C6F"/>
    <w:rsid w:val="3AC45CCF"/>
    <w:rsid w:val="3AC6A51E"/>
    <w:rsid w:val="3AD00C1D"/>
    <w:rsid w:val="3AF1CCE2"/>
    <w:rsid w:val="3AFD4B41"/>
    <w:rsid w:val="3B04979C"/>
    <w:rsid w:val="3B0F7EC1"/>
    <w:rsid w:val="3B16D2E0"/>
    <w:rsid w:val="3B18AF1D"/>
    <w:rsid w:val="3B1C3538"/>
    <w:rsid w:val="3B314B80"/>
    <w:rsid w:val="3B3DA5BA"/>
    <w:rsid w:val="3B652554"/>
    <w:rsid w:val="3B7008E1"/>
    <w:rsid w:val="3B817132"/>
    <w:rsid w:val="3B829EA5"/>
    <w:rsid w:val="3BAE0C10"/>
    <w:rsid w:val="3BAF3EF4"/>
    <w:rsid w:val="3BC4ECD2"/>
    <w:rsid w:val="3BCDA8C9"/>
    <w:rsid w:val="3C114DF5"/>
    <w:rsid w:val="3C19E803"/>
    <w:rsid w:val="3C1F97A1"/>
    <w:rsid w:val="3C2FFD33"/>
    <w:rsid w:val="3C3B12C3"/>
    <w:rsid w:val="3C3D5111"/>
    <w:rsid w:val="3C577362"/>
    <w:rsid w:val="3C5B3B3D"/>
    <w:rsid w:val="3C61935F"/>
    <w:rsid w:val="3C62F877"/>
    <w:rsid w:val="3C87C83B"/>
    <w:rsid w:val="3C9B6FD5"/>
    <w:rsid w:val="3CA0E09B"/>
    <w:rsid w:val="3CA27845"/>
    <w:rsid w:val="3CCD52A2"/>
    <w:rsid w:val="3CD7A66D"/>
    <w:rsid w:val="3CFEBEC9"/>
    <w:rsid w:val="3CFEF7E2"/>
    <w:rsid w:val="3D15CA72"/>
    <w:rsid w:val="3D2513DE"/>
    <w:rsid w:val="3D30BB2D"/>
    <w:rsid w:val="3D31097D"/>
    <w:rsid w:val="3D6358D3"/>
    <w:rsid w:val="3D7C6C45"/>
    <w:rsid w:val="3D8B4F49"/>
    <w:rsid w:val="3D91FAAA"/>
    <w:rsid w:val="3D9F7132"/>
    <w:rsid w:val="3DB578A7"/>
    <w:rsid w:val="3DC0B76D"/>
    <w:rsid w:val="3DCD0B82"/>
    <w:rsid w:val="3DDCE3C2"/>
    <w:rsid w:val="3DE25CAE"/>
    <w:rsid w:val="3DF8BCA1"/>
    <w:rsid w:val="3E0456FC"/>
    <w:rsid w:val="3E07136A"/>
    <w:rsid w:val="3E0A97B3"/>
    <w:rsid w:val="3E0DEC46"/>
    <w:rsid w:val="3E18989E"/>
    <w:rsid w:val="3E1F5C3B"/>
    <w:rsid w:val="3E208AC5"/>
    <w:rsid w:val="3E29CBD7"/>
    <w:rsid w:val="3E2BD38E"/>
    <w:rsid w:val="3E401B8D"/>
    <w:rsid w:val="3E6EF568"/>
    <w:rsid w:val="3E7694B2"/>
    <w:rsid w:val="3E7783A8"/>
    <w:rsid w:val="3E7F45A5"/>
    <w:rsid w:val="3E86B507"/>
    <w:rsid w:val="3EB967FA"/>
    <w:rsid w:val="3EC82639"/>
    <w:rsid w:val="3ECA6B65"/>
    <w:rsid w:val="3ECFD57E"/>
    <w:rsid w:val="3EDB3CC4"/>
    <w:rsid w:val="3EE14EA3"/>
    <w:rsid w:val="3F03AA4F"/>
    <w:rsid w:val="3F056FC5"/>
    <w:rsid w:val="3F10E408"/>
    <w:rsid w:val="3F1AC845"/>
    <w:rsid w:val="3F3B82C7"/>
    <w:rsid w:val="3F4586F6"/>
    <w:rsid w:val="3F4688C3"/>
    <w:rsid w:val="3F637ABE"/>
    <w:rsid w:val="3F6A3DDF"/>
    <w:rsid w:val="3F955DAB"/>
    <w:rsid w:val="3F99C280"/>
    <w:rsid w:val="3F9F9E38"/>
    <w:rsid w:val="3FB1E21F"/>
    <w:rsid w:val="3FBDA696"/>
    <w:rsid w:val="3FDB32E3"/>
    <w:rsid w:val="3FE3BE7E"/>
    <w:rsid w:val="3FF4BBAD"/>
    <w:rsid w:val="3FF9F150"/>
    <w:rsid w:val="4009A8CB"/>
    <w:rsid w:val="400D2E24"/>
    <w:rsid w:val="4025FE6A"/>
    <w:rsid w:val="402F6B9D"/>
    <w:rsid w:val="406DFB85"/>
    <w:rsid w:val="407815BF"/>
    <w:rsid w:val="40882522"/>
    <w:rsid w:val="409244CE"/>
    <w:rsid w:val="4097AB74"/>
    <w:rsid w:val="409BA5C7"/>
    <w:rsid w:val="40A80DE2"/>
    <w:rsid w:val="40BFC7F9"/>
    <w:rsid w:val="40FAF83E"/>
    <w:rsid w:val="4111C3EF"/>
    <w:rsid w:val="41159FD5"/>
    <w:rsid w:val="4125C255"/>
    <w:rsid w:val="412C7798"/>
    <w:rsid w:val="4137BB08"/>
    <w:rsid w:val="414E8C1D"/>
    <w:rsid w:val="4163A85A"/>
    <w:rsid w:val="417016F0"/>
    <w:rsid w:val="4176AD25"/>
    <w:rsid w:val="417E69D0"/>
    <w:rsid w:val="419A01F9"/>
    <w:rsid w:val="41A9B0EB"/>
    <w:rsid w:val="41B6A800"/>
    <w:rsid w:val="41D1C85E"/>
    <w:rsid w:val="41E22F9C"/>
    <w:rsid w:val="41E69D0B"/>
    <w:rsid w:val="41F3A7E1"/>
    <w:rsid w:val="41F7ADF3"/>
    <w:rsid w:val="4209F344"/>
    <w:rsid w:val="4211C5F3"/>
    <w:rsid w:val="4216B935"/>
    <w:rsid w:val="4218B55A"/>
    <w:rsid w:val="42258FDF"/>
    <w:rsid w:val="42288AFA"/>
    <w:rsid w:val="424EE5EE"/>
    <w:rsid w:val="4254A2AC"/>
    <w:rsid w:val="42562CEE"/>
    <w:rsid w:val="42963C75"/>
    <w:rsid w:val="42B00676"/>
    <w:rsid w:val="42DE952C"/>
    <w:rsid w:val="42E9A5DA"/>
    <w:rsid w:val="42F3FBA6"/>
    <w:rsid w:val="42FB4563"/>
    <w:rsid w:val="430D2E59"/>
    <w:rsid w:val="430E28CC"/>
    <w:rsid w:val="4312FEE6"/>
    <w:rsid w:val="4319450E"/>
    <w:rsid w:val="432522DD"/>
    <w:rsid w:val="433BD1EA"/>
    <w:rsid w:val="43734AF6"/>
    <w:rsid w:val="43CB6F49"/>
    <w:rsid w:val="44009ED3"/>
    <w:rsid w:val="440B8061"/>
    <w:rsid w:val="44212105"/>
    <w:rsid w:val="442E7812"/>
    <w:rsid w:val="4435E9C1"/>
    <w:rsid w:val="4459ADC9"/>
    <w:rsid w:val="44707FDA"/>
    <w:rsid w:val="447635E8"/>
    <w:rsid w:val="448315DC"/>
    <w:rsid w:val="449A0F18"/>
    <w:rsid w:val="449DBBC9"/>
    <w:rsid w:val="44A723A1"/>
    <w:rsid w:val="44B1F5F9"/>
    <w:rsid w:val="44B4F3FB"/>
    <w:rsid w:val="44CA2C05"/>
    <w:rsid w:val="44D0C363"/>
    <w:rsid w:val="44DB0BCE"/>
    <w:rsid w:val="44E289FB"/>
    <w:rsid w:val="44E92F86"/>
    <w:rsid w:val="4507B0F5"/>
    <w:rsid w:val="4521A858"/>
    <w:rsid w:val="452A947C"/>
    <w:rsid w:val="45360701"/>
    <w:rsid w:val="454725BE"/>
    <w:rsid w:val="45533473"/>
    <w:rsid w:val="4561C15A"/>
    <w:rsid w:val="45774A4F"/>
    <w:rsid w:val="459D7D65"/>
    <w:rsid w:val="45A0A4B1"/>
    <w:rsid w:val="45AEB61C"/>
    <w:rsid w:val="45B794A3"/>
    <w:rsid w:val="45D59C4A"/>
    <w:rsid w:val="45DB8F0E"/>
    <w:rsid w:val="45E23CD5"/>
    <w:rsid w:val="45E7F05D"/>
    <w:rsid w:val="460FB498"/>
    <w:rsid w:val="462C3767"/>
    <w:rsid w:val="4667F75A"/>
    <w:rsid w:val="466A7A98"/>
    <w:rsid w:val="467AAD40"/>
    <w:rsid w:val="4682F9E5"/>
    <w:rsid w:val="469F41FF"/>
    <w:rsid w:val="46B9E8AA"/>
    <w:rsid w:val="46BB6FB1"/>
    <w:rsid w:val="46E88C6C"/>
    <w:rsid w:val="46F08F8B"/>
    <w:rsid w:val="46F0A3AD"/>
    <w:rsid w:val="46F9F59E"/>
    <w:rsid w:val="4701409C"/>
    <w:rsid w:val="4758CD73"/>
    <w:rsid w:val="4766F16C"/>
    <w:rsid w:val="476B5051"/>
    <w:rsid w:val="47756777"/>
    <w:rsid w:val="478071CB"/>
    <w:rsid w:val="479C06D2"/>
    <w:rsid w:val="47A1B23C"/>
    <w:rsid w:val="47A5120B"/>
    <w:rsid w:val="47B6F225"/>
    <w:rsid w:val="47FA238E"/>
    <w:rsid w:val="47FEBDB3"/>
    <w:rsid w:val="480B727A"/>
    <w:rsid w:val="480C0236"/>
    <w:rsid w:val="481DF629"/>
    <w:rsid w:val="482275CF"/>
    <w:rsid w:val="4836DEB8"/>
    <w:rsid w:val="488F43F7"/>
    <w:rsid w:val="48960176"/>
    <w:rsid w:val="48AB250F"/>
    <w:rsid w:val="48AC06D9"/>
    <w:rsid w:val="48B1F70A"/>
    <w:rsid w:val="48CEDE0E"/>
    <w:rsid w:val="48CF8332"/>
    <w:rsid w:val="48D52102"/>
    <w:rsid w:val="48EB273A"/>
    <w:rsid w:val="49020C56"/>
    <w:rsid w:val="490F14B0"/>
    <w:rsid w:val="492C0B7A"/>
    <w:rsid w:val="49423CD8"/>
    <w:rsid w:val="49470BAB"/>
    <w:rsid w:val="4973871A"/>
    <w:rsid w:val="49EA1823"/>
    <w:rsid w:val="4A079FDE"/>
    <w:rsid w:val="4A20BD20"/>
    <w:rsid w:val="4A5D361F"/>
    <w:rsid w:val="4A795BC2"/>
    <w:rsid w:val="4A7ECA7F"/>
    <w:rsid w:val="4A8115F0"/>
    <w:rsid w:val="4A81F699"/>
    <w:rsid w:val="4AA7E04C"/>
    <w:rsid w:val="4ACA25C4"/>
    <w:rsid w:val="4B0150E6"/>
    <w:rsid w:val="4B27A750"/>
    <w:rsid w:val="4B33810C"/>
    <w:rsid w:val="4B3A4B1D"/>
    <w:rsid w:val="4B45462D"/>
    <w:rsid w:val="4B568906"/>
    <w:rsid w:val="4B612C05"/>
    <w:rsid w:val="4B64FBA2"/>
    <w:rsid w:val="4B9C3B08"/>
    <w:rsid w:val="4B9E1F36"/>
    <w:rsid w:val="4BB1A09C"/>
    <w:rsid w:val="4BB7484F"/>
    <w:rsid w:val="4BCC47DD"/>
    <w:rsid w:val="4BF33A7F"/>
    <w:rsid w:val="4BF7C804"/>
    <w:rsid w:val="4C10D265"/>
    <w:rsid w:val="4C1594C1"/>
    <w:rsid w:val="4C21D59B"/>
    <w:rsid w:val="4C25A92E"/>
    <w:rsid w:val="4C622B44"/>
    <w:rsid w:val="4C77A4F5"/>
    <w:rsid w:val="4C8A9EAB"/>
    <w:rsid w:val="4C936B1F"/>
    <w:rsid w:val="4CBA7010"/>
    <w:rsid w:val="4CC54CAF"/>
    <w:rsid w:val="4CDF4F2D"/>
    <w:rsid w:val="4D0BE8FA"/>
    <w:rsid w:val="4D116701"/>
    <w:rsid w:val="4D16B6EB"/>
    <w:rsid w:val="4D35FC57"/>
    <w:rsid w:val="4D387CC3"/>
    <w:rsid w:val="4D40CEF0"/>
    <w:rsid w:val="4D59E5C1"/>
    <w:rsid w:val="4D631C67"/>
    <w:rsid w:val="4D81AC1A"/>
    <w:rsid w:val="4D92ED20"/>
    <w:rsid w:val="4D9D7123"/>
    <w:rsid w:val="4DAD4B70"/>
    <w:rsid w:val="4DF5DD9B"/>
    <w:rsid w:val="4DFB4C58"/>
    <w:rsid w:val="4E2021BD"/>
    <w:rsid w:val="4E310B41"/>
    <w:rsid w:val="4E4C78C4"/>
    <w:rsid w:val="4E58E2CE"/>
    <w:rsid w:val="4E7131B9"/>
    <w:rsid w:val="4E737CE7"/>
    <w:rsid w:val="4E850437"/>
    <w:rsid w:val="4EA2893C"/>
    <w:rsid w:val="4EBA38C8"/>
    <w:rsid w:val="4EBDF2CC"/>
    <w:rsid w:val="4EDC7CF9"/>
    <w:rsid w:val="4EE3A4B1"/>
    <w:rsid w:val="4EFBCDD6"/>
    <w:rsid w:val="4F00C443"/>
    <w:rsid w:val="4F00FAF4"/>
    <w:rsid w:val="4F2E68F7"/>
    <w:rsid w:val="4F2FBAFC"/>
    <w:rsid w:val="4F31BA3B"/>
    <w:rsid w:val="4F34BFEB"/>
    <w:rsid w:val="4F441EE7"/>
    <w:rsid w:val="4F4E7463"/>
    <w:rsid w:val="4F569860"/>
    <w:rsid w:val="4F755829"/>
    <w:rsid w:val="4F7687E4"/>
    <w:rsid w:val="4F795CD8"/>
    <w:rsid w:val="4F7EB3ED"/>
    <w:rsid w:val="4F991E28"/>
    <w:rsid w:val="4F9F7A78"/>
    <w:rsid w:val="4FB327B1"/>
    <w:rsid w:val="4FC84ECD"/>
    <w:rsid w:val="500AEC79"/>
    <w:rsid w:val="5011AA53"/>
    <w:rsid w:val="504D0585"/>
    <w:rsid w:val="507CF0CC"/>
    <w:rsid w:val="5088E3C0"/>
    <w:rsid w:val="50979DBB"/>
    <w:rsid w:val="5098AA6B"/>
    <w:rsid w:val="50BFE5CD"/>
    <w:rsid w:val="50C933CA"/>
    <w:rsid w:val="50CC75BC"/>
    <w:rsid w:val="50E61ED4"/>
    <w:rsid w:val="50F39383"/>
    <w:rsid w:val="51048A0B"/>
    <w:rsid w:val="51130AB7"/>
    <w:rsid w:val="51487796"/>
    <w:rsid w:val="516C973D"/>
    <w:rsid w:val="518C8366"/>
    <w:rsid w:val="51A6C769"/>
    <w:rsid w:val="51B671A8"/>
    <w:rsid w:val="51BD7355"/>
    <w:rsid w:val="51C98438"/>
    <w:rsid w:val="51E73B6A"/>
    <w:rsid w:val="52046297"/>
    <w:rsid w:val="521E9688"/>
    <w:rsid w:val="522E1C24"/>
    <w:rsid w:val="523B7F36"/>
    <w:rsid w:val="52414F5E"/>
    <w:rsid w:val="524C8D38"/>
    <w:rsid w:val="524EE370"/>
    <w:rsid w:val="52595DB7"/>
    <w:rsid w:val="526FF685"/>
    <w:rsid w:val="5276A326"/>
    <w:rsid w:val="52883E01"/>
    <w:rsid w:val="52B23D63"/>
    <w:rsid w:val="52C272F3"/>
    <w:rsid w:val="531B79C5"/>
    <w:rsid w:val="53247E13"/>
    <w:rsid w:val="5324BF9B"/>
    <w:rsid w:val="53412C21"/>
    <w:rsid w:val="534D2B41"/>
    <w:rsid w:val="5356BE36"/>
    <w:rsid w:val="53819824"/>
    <w:rsid w:val="5397D265"/>
    <w:rsid w:val="53991BDE"/>
    <w:rsid w:val="53A5A0F3"/>
    <w:rsid w:val="53A66641"/>
    <w:rsid w:val="53C5B923"/>
    <w:rsid w:val="53E1E1EC"/>
    <w:rsid w:val="53FC46FF"/>
    <w:rsid w:val="54185316"/>
    <w:rsid w:val="543CAA83"/>
    <w:rsid w:val="543EAF67"/>
    <w:rsid w:val="545F85E0"/>
    <w:rsid w:val="54652B14"/>
    <w:rsid w:val="54699C2D"/>
    <w:rsid w:val="546DB23E"/>
    <w:rsid w:val="54977A49"/>
    <w:rsid w:val="549948CF"/>
    <w:rsid w:val="549D2D80"/>
    <w:rsid w:val="54AA4575"/>
    <w:rsid w:val="54B01C27"/>
    <w:rsid w:val="54B02648"/>
    <w:rsid w:val="54BC16A7"/>
    <w:rsid w:val="54CFE423"/>
    <w:rsid w:val="54E9CDAF"/>
    <w:rsid w:val="54F42805"/>
    <w:rsid w:val="54FF05EA"/>
    <w:rsid w:val="55076BC2"/>
    <w:rsid w:val="55108D7D"/>
    <w:rsid w:val="551B6C8E"/>
    <w:rsid w:val="552A364E"/>
    <w:rsid w:val="552A9086"/>
    <w:rsid w:val="552E50FD"/>
    <w:rsid w:val="55521AEF"/>
    <w:rsid w:val="556B9BDF"/>
    <w:rsid w:val="5583F88B"/>
    <w:rsid w:val="55B91B47"/>
    <w:rsid w:val="55C34E91"/>
    <w:rsid w:val="55D5FD2F"/>
    <w:rsid w:val="55D75DDF"/>
    <w:rsid w:val="56094FA7"/>
    <w:rsid w:val="560F2FCB"/>
    <w:rsid w:val="56130E6B"/>
    <w:rsid w:val="5674B9C4"/>
    <w:rsid w:val="56937D6E"/>
    <w:rsid w:val="56A67EFB"/>
    <w:rsid w:val="56B210C1"/>
    <w:rsid w:val="56BA57CA"/>
    <w:rsid w:val="56BCAB59"/>
    <w:rsid w:val="56C52CE4"/>
    <w:rsid w:val="56DF6F26"/>
    <w:rsid w:val="57128C06"/>
    <w:rsid w:val="571A2B2D"/>
    <w:rsid w:val="573422DA"/>
    <w:rsid w:val="5737D4DB"/>
    <w:rsid w:val="573CA872"/>
    <w:rsid w:val="574A8956"/>
    <w:rsid w:val="574F96AC"/>
    <w:rsid w:val="57890734"/>
    <w:rsid w:val="57D59E42"/>
    <w:rsid w:val="57DDA0D4"/>
    <w:rsid w:val="57E2FACC"/>
    <w:rsid w:val="57E3B71A"/>
    <w:rsid w:val="57F1482B"/>
    <w:rsid w:val="57F1F31C"/>
    <w:rsid w:val="57F5691C"/>
    <w:rsid w:val="582B89D6"/>
    <w:rsid w:val="5833C332"/>
    <w:rsid w:val="58413E3F"/>
    <w:rsid w:val="58471208"/>
    <w:rsid w:val="586CF27E"/>
    <w:rsid w:val="587FA034"/>
    <w:rsid w:val="5885E599"/>
    <w:rsid w:val="58860F4F"/>
    <w:rsid w:val="58B097DA"/>
    <w:rsid w:val="58B24763"/>
    <w:rsid w:val="58B45086"/>
    <w:rsid w:val="58BC43D2"/>
    <w:rsid w:val="58C61576"/>
    <w:rsid w:val="58EB8D8F"/>
    <w:rsid w:val="59073904"/>
    <w:rsid w:val="59075147"/>
    <w:rsid w:val="591B9A85"/>
    <w:rsid w:val="5935F9B5"/>
    <w:rsid w:val="5959BB61"/>
    <w:rsid w:val="596312D5"/>
    <w:rsid w:val="597B3B89"/>
    <w:rsid w:val="597FAA09"/>
    <w:rsid w:val="598AA1B2"/>
    <w:rsid w:val="5997CF8A"/>
    <w:rsid w:val="599DD4BF"/>
    <w:rsid w:val="59A794DE"/>
    <w:rsid w:val="59B9C177"/>
    <w:rsid w:val="59C1AFB9"/>
    <w:rsid w:val="59D8A040"/>
    <w:rsid w:val="59F2EBA8"/>
    <w:rsid w:val="59F30286"/>
    <w:rsid w:val="5A0E753B"/>
    <w:rsid w:val="5A31EA9D"/>
    <w:rsid w:val="5A333128"/>
    <w:rsid w:val="5A408C58"/>
    <w:rsid w:val="5A58E2A0"/>
    <w:rsid w:val="5A5ACB16"/>
    <w:rsid w:val="5A611D0C"/>
    <w:rsid w:val="5A701182"/>
    <w:rsid w:val="5A878789"/>
    <w:rsid w:val="5A95302B"/>
    <w:rsid w:val="5AB75F63"/>
    <w:rsid w:val="5AB7BC2C"/>
    <w:rsid w:val="5ADA5CC8"/>
    <w:rsid w:val="5ADCC18F"/>
    <w:rsid w:val="5AF2FB53"/>
    <w:rsid w:val="5B0D180B"/>
    <w:rsid w:val="5B133D81"/>
    <w:rsid w:val="5B3DE1CC"/>
    <w:rsid w:val="5B470714"/>
    <w:rsid w:val="5B47FDA2"/>
    <w:rsid w:val="5B4A3EB3"/>
    <w:rsid w:val="5B59B039"/>
    <w:rsid w:val="5B5EDB32"/>
    <w:rsid w:val="5B5EEE75"/>
    <w:rsid w:val="5B61C291"/>
    <w:rsid w:val="5B756D67"/>
    <w:rsid w:val="5B7A4061"/>
    <w:rsid w:val="5B7CE40B"/>
    <w:rsid w:val="5B88FD23"/>
    <w:rsid w:val="5B9A66C3"/>
    <w:rsid w:val="5BDADF9C"/>
    <w:rsid w:val="5BE7A9BC"/>
    <w:rsid w:val="5C148FC1"/>
    <w:rsid w:val="5C154D8E"/>
    <w:rsid w:val="5C1FD352"/>
    <w:rsid w:val="5C2C6B0B"/>
    <w:rsid w:val="5C3AAB86"/>
    <w:rsid w:val="5C3C36AC"/>
    <w:rsid w:val="5C450C48"/>
    <w:rsid w:val="5C636146"/>
    <w:rsid w:val="5C6849C0"/>
    <w:rsid w:val="5C712802"/>
    <w:rsid w:val="5C8CCFBB"/>
    <w:rsid w:val="5CCF371F"/>
    <w:rsid w:val="5CE87733"/>
    <w:rsid w:val="5CF13BC6"/>
    <w:rsid w:val="5D13DE61"/>
    <w:rsid w:val="5D1CE7CB"/>
    <w:rsid w:val="5D2DC37D"/>
    <w:rsid w:val="5D446131"/>
    <w:rsid w:val="5D503A11"/>
    <w:rsid w:val="5D5F3715"/>
    <w:rsid w:val="5D75F143"/>
    <w:rsid w:val="5D889E68"/>
    <w:rsid w:val="5D9CDD3E"/>
    <w:rsid w:val="5DB1787E"/>
    <w:rsid w:val="5DBEB7DA"/>
    <w:rsid w:val="5DCA3333"/>
    <w:rsid w:val="5DEEB1D4"/>
    <w:rsid w:val="5DF10D1E"/>
    <w:rsid w:val="5DF68408"/>
    <w:rsid w:val="5E1BF1E0"/>
    <w:rsid w:val="5E7A1B8E"/>
    <w:rsid w:val="5E808166"/>
    <w:rsid w:val="5E9043B9"/>
    <w:rsid w:val="5EB42ABB"/>
    <w:rsid w:val="5EC90C1B"/>
    <w:rsid w:val="5EDE0197"/>
    <w:rsid w:val="5EE19EE4"/>
    <w:rsid w:val="5EE7C37E"/>
    <w:rsid w:val="5EE84B61"/>
    <w:rsid w:val="5EF93EB7"/>
    <w:rsid w:val="5EFF338E"/>
    <w:rsid w:val="5F105B71"/>
    <w:rsid w:val="5F12BD29"/>
    <w:rsid w:val="5F279529"/>
    <w:rsid w:val="5F2B729C"/>
    <w:rsid w:val="5F2E9750"/>
    <w:rsid w:val="5F2FEC80"/>
    <w:rsid w:val="5F38A395"/>
    <w:rsid w:val="5F460F81"/>
    <w:rsid w:val="5F585272"/>
    <w:rsid w:val="5FD574CF"/>
    <w:rsid w:val="6012629F"/>
    <w:rsid w:val="602B067E"/>
    <w:rsid w:val="6030030E"/>
    <w:rsid w:val="6034033F"/>
    <w:rsid w:val="6036B5BC"/>
    <w:rsid w:val="6045DE8A"/>
    <w:rsid w:val="6052C3C6"/>
    <w:rsid w:val="605B8C5B"/>
    <w:rsid w:val="606593B8"/>
    <w:rsid w:val="60760B94"/>
    <w:rsid w:val="60783D7D"/>
    <w:rsid w:val="60823F16"/>
    <w:rsid w:val="60A5510A"/>
    <w:rsid w:val="60B6162E"/>
    <w:rsid w:val="60EEC954"/>
    <w:rsid w:val="60F3C49C"/>
    <w:rsid w:val="6102546C"/>
    <w:rsid w:val="6115CFC3"/>
    <w:rsid w:val="61379EA3"/>
    <w:rsid w:val="6152B3AE"/>
    <w:rsid w:val="6163A097"/>
    <w:rsid w:val="616C3DE7"/>
    <w:rsid w:val="616E4107"/>
    <w:rsid w:val="616F99D3"/>
    <w:rsid w:val="619302BD"/>
    <w:rsid w:val="619F0A23"/>
    <w:rsid w:val="61B3C113"/>
    <w:rsid w:val="61C741D0"/>
    <w:rsid w:val="61EA11DF"/>
    <w:rsid w:val="61F065B2"/>
    <w:rsid w:val="6208F161"/>
    <w:rsid w:val="622888C4"/>
    <w:rsid w:val="624BDC74"/>
    <w:rsid w:val="624EA636"/>
    <w:rsid w:val="6251E6EB"/>
    <w:rsid w:val="6256B29A"/>
    <w:rsid w:val="626E45E4"/>
    <w:rsid w:val="626F2B8F"/>
    <w:rsid w:val="628BA135"/>
    <w:rsid w:val="62948674"/>
    <w:rsid w:val="62B9A2CB"/>
    <w:rsid w:val="62BD963D"/>
    <w:rsid w:val="62C2D4A3"/>
    <w:rsid w:val="62F10BDF"/>
    <w:rsid w:val="62FCB90B"/>
    <w:rsid w:val="6300AE54"/>
    <w:rsid w:val="630EB867"/>
    <w:rsid w:val="6310D1DC"/>
    <w:rsid w:val="63226D01"/>
    <w:rsid w:val="63352AA5"/>
    <w:rsid w:val="634A1178"/>
    <w:rsid w:val="63511717"/>
    <w:rsid w:val="6360B64A"/>
    <w:rsid w:val="63657B09"/>
    <w:rsid w:val="637D75CB"/>
    <w:rsid w:val="63809E4C"/>
    <w:rsid w:val="63846366"/>
    <w:rsid w:val="63A184BB"/>
    <w:rsid w:val="63A58787"/>
    <w:rsid w:val="63BA0A48"/>
    <w:rsid w:val="63C0F946"/>
    <w:rsid w:val="63D06C5E"/>
    <w:rsid w:val="63E2B15F"/>
    <w:rsid w:val="63F86A83"/>
    <w:rsid w:val="63FD4AC4"/>
    <w:rsid w:val="6425F6E2"/>
    <w:rsid w:val="642B5DC6"/>
    <w:rsid w:val="643D5D90"/>
    <w:rsid w:val="6444E2FF"/>
    <w:rsid w:val="644E6007"/>
    <w:rsid w:val="645899DB"/>
    <w:rsid w:val="64777BA9"/>
    <w:rsid w:val="647CA8FC"/>
    <w:rsid w:val="649522D6"/>
    <w:rsid w:val="6496D5CE"/>
    <w:rsid w:val="64BB37F3"/>
    <w:rsid w:val="64EE71FB"/>
    <w:rsid w:val="64F101B5"/>
    <w:rsid w:val="6502E489"/>
    <w:rsid w:val="6542D9D2"/>
    <w:rsid w:val="65605FEB"/>
    <w:rsid w:val="656F0D53"/>
    <w:rsid w:val="6574F7D4"/>
    <w:rsid w:val="657C1F2D"/>
    <w:rsid w:val="6592E9CF"/>
    <w:rsid w:val="659B4CC4"/>
    <w:rsid w:val="65C324EC"/>
    <w:rsid w:val="65C80781"/>
    <w:rsid w:val="65D0D2AA"/>
    <w:rsid w:val="65D3D48E"/>
    <w:rsid w:val="66033B43"/>
    <w:rsid w:val="6604FFAA"/>
    <w:rsid w:val="66250AD0"/>
    <w:rsid w:val="66366B9F"/>
    <w:rsid w:val="66369AFE"/>
    <w:rsid w:val="66642AA9"/>
    <w:rsid w:val="6677CE57"/>
    <w:rsid w:val="667F0FF8"/>
    <w:rsid w:val="667F3EF4"/>
    <w:rsid w:val="66877AE6"/>
    <w:rsid w:val="668D867F"/>
    <w:rsid w:val="669F4539"/>
    <w:rsid w:val="66BCA06D"/>
    <w:rsid w:val="66DDA0EE"/>
    <w:rsid w:val="66E7CE38"/>
    <w:rsid w:val="66F67AC2"/>
    <w:rsid w:val="674C5247"/>
    <w:rsid w:val="675ED463"/>
    <w:rsid w:val="675F4B51"/>
    <w:rsid w:val="67623D63"/>
    <w:rsid w:val="6772E214"/>
    <w:rsid w:val="677C7A52"/>
    <w:rsid w:val="677D36F8"/>
    <w:rsid w:val="679A97BD"/>
    <w:rsid w:val="67B984D4"/>
    <w:rsid w:val="67C84A8F"/>
    <w:rsid w:val="67F01678"/>
    <w:rsid w:val="67FFD5CC"/>
    <w:rsid w:val="6816E271"/>
    <w:rsid w:val="6817A7DF"/>
    <w:rsid w:val="681E3658"/>
    <w:rsid w:val="681FAB59"/>
    <w:rsid w:val="683E0AAB"/>
    <w:rsid w:val="684BA75B"/>
    <w:rsid w:val="685EB427"/>
    <w:rsid w:val="687184F6"/>
    <w:rsid w:val="687AE08C"/>
    <w:rsid w:val="68B065B0"/>
    <w:rsid w:val="68B4DE76"/>
    <w:rsid w:val="68BFB271"/>
    <w:rsid w:val="68CA9791"/>
    <w:rsid w:val="68D344A7"/>
    <w:rsid w:val="68D8D4ED"/>
    <w:rsid w:val="68D98534"/>
    <w:rsid w:val="68FA4039"/>
    <w:rsid w:val="69480776"/>
    <w:rsid w:val="695D9F82"/>
    <w:rsid w:val="69728009"/>
    <w:rsid w:val="6981CDAA"/>
    <w:rsid w:val="698A2E4C"/>
    <w:rsid w:val="698CFB56"/>
    <w:rsid w:val="698FE88C"/>
    <w:rsid w:val="6993F833"/>
    <w:rsid w:val="69A2CD78"/>
    <w:rsid w:val="69BDA0E6"/>
    <w:rsid w:val="69C0D117"/>
    <w:rsid w:val="69C10B6F"/>
    <w:rsid w:val="69C1224B"/>
    <w:rsid w:val="69CFECCB"/>
    <w:rsid w:val="6A018EE6"/>
    <w:rsid w:val="6A062C28"/>
    <w:rsid w:val="6A09D3C7"/>
    <w:rsid w:val="6A21FEBA"/>
    <w:rsid w:val="6A226436"/>
    <w:rsid w:val="6A33A961"/>
    <w:rsid w:val="6A3742CE"/>
    <w:rsid w:val="6A54A764"/>
    <w:rsid w:val="6A5B604D"/>
    <w:rsid w:val="6A8C782C"/>
    <w:rsid w:val="6A8CD0A8"/>
    <w:rsid w:val="6A95CA48"/>
    <w:rsid w:val="6AA1C6D1"/>
    <w:rsid w:val="6AA2C8CD"/>
    <w:rsid w:val="6B14786B"/>
    <w:rsid w:val="6B16D468"/>
    <w:rsid w:val="6B25697F"/>
    <w:rsid w:val="6B31F227"/>
    <w:rsid w:val="6B4A9852"/>
    <w:rsid w:val="6B5A9B76"/>
    <w:rsid w:val="6B5FC66E"/>
    <w:rsid w:val="6B713AE3"/>
    <w:rsid w:val="6B73B066"/>
    <w:rsid w:val="6B921665"/>
    <w:rsid w:val="6B9478C2"/>
    <w:rsid w:val="6BCA6405"/>
    <w:rsid w:val="6BEC6D44"/>
    <w:rsid w:val="6BF111B7"/>
    <w:rsid w:val="6C02DCAE"/>
    <w:rsid w:val="6C14F375"/>
    <w:rsid w:val="6C227D2D"/>
    <w:rsid w:val="6C48E1B4"/>
    <w:rsid w:val="6C4EED06"/>
    <w:rsid w:val="6C525AF0"/>
    <w:rsid w:val="6C548C63"/>
    <w:rsid w:val="6C6FA31C"/>
    <w:rsid w:val="6C78BD6D"/>
    <w:rsid w:val="6C8806FF"/>
    <w:rsid w:val="6CA16A93"/>
    <w:rsid w:val="6CA3F060"/>
    <w:rsid w:val="6CA764D4"/>
    <w:rsid w:val="6CACA70F"/>
    <w:rsid w:val="6CAE2732"/>
    <w:rsid w:val="6CBB6667"/>
    <w:rsid w:val="6CBF6DF6"/>
    <w:rsid w:val="6CC19C15"/>
    <w:rsid w:val="6CE54F2E"/>
    <w:rsid w:val="6D00C392"/>
    <w:rsid w:val="6D016DC6"/>
    <w:rsid w:val="6D187E5D"/>
    <w:rsid w:val="6D2D95BC"/>
    <w:rsid w:val="6D331EAC"/>
    <w:rsid w:val="6D372643"/>
    <w:rsid w:val="6D3E6AEB"/>
    <w:rsid w:val="6D5F2F5B"/>
    <w:rsid w:val="6D6A0E3A"/>
    <w:rsid w:val="6D6DBCFD"/>
    <w:rsid w:val="6D825C18"/>
    <w:rsid w:val="6D8B2E5A"/>
    <w:rsid w:val="6D914FDE"/>
    <w:rsid w:val="6DA4B8EC"/>
    <w:rsid w:val="6DA691DB"/>
    <w:rsid w:val="6DAFC7C6"/>
    <w:rsid w:val="6DB480C8"/>
    <w:rsid w:val="6DBF87E9"/>
    <w:rsid w:val="6DD5357A"/>
    <w:rsid w:val="6DE83F7C"/>
    <w:rsid w:val="6DF01CB3"/>
    <w:rsid w:val="6E07DE2D"/>
    <w:rsid w:val="6E14B6B0"/>
    <w:rsid w:val="6E29EC7E"/>
    <w:rsid w:val="6E4F0B73"/>
    <w:rsid w:val="6E60992A"/>
    <w:rsid w:val="6E863492"/>
    <w:rsid w:val="6E97E0A7"/>
    <w:rsid w:val="6EA97D82"/>
    <w:rsid w:val="6EAEFD3E"/>
    <w:rsid w:val="6EBC74D2"/>
    <w:rsid w:val="6ECA62A8"/>
    <w:rsid w:val="6ED33B3A"/>
    <w:rsid w:val="6EE674A5"/>
    <w:rsid w:val="6EF4B204"/>
    <w:rsid w:val="6F0CB5DB"/>
    <w:rsid w:val="6F1AFDD9"/>
    <w:rsid w:val="6F3A6499"/>
    <w:rsid w:val="6F430672"/>
    <w:rsid w:val="6F57334B"/>
    <w:rsid w:val="6F6101D1"/>
    <w:rsid w:val="6F669889"/>
    <w:rsid w:val="6F691128"/>
    <w:rsid w:val="6F6DBBF0"/>
    <w:rsid w:val="6F84F867"/>
    <w:rsid w:val="6FB522BB"/>
    <w:rsid w:val="6FBE995B"/>
    <w:rsid w:val="6FC7D4D5"/>
    <w:rsid w:val="6FC9D2D4"/>
    <w:rsid w:val="6FD8959C"/>
    <w:rsid w:val="6FE8EC39"/>
    <w:rsid w:val="6FE9C812"/>
    <w:rsid w:val="6FF8241C"/>
    <w:rsid w:val="6FFA3106"/>
    <w:rsid w:val="6FFAA712"/>
    <w:rsid w:val="7005975C"/>
    <w:rsid w:val="7016C387"/>
    <w:rsid w:val="7019CBB8"/>
    <w:rsid w:val="701CD2DC"/>
    <w:rsid w:val="7024AA98"/>
    <w:rsid w:val="7036E1C2"/>
    <w:rsid w:val="70565E68"/>
    <w:rsid w:val="70A66C69"/>
    <w:rsid w:val="70B2651D"/>
    <w:rsid w:val="70CE3087"/>
    <w:rsid w:val="70E241D1"/>
    <w:rsid w:val="70E57656"/>
    <w:rsid w:val="70E9FF43"/>
    <w:rsid w:val="70FB53E3"/>
    <w:rsid w:val="7117246B"/>
    <w:rsid w:val="712B5D95"/>
    <w:rsid w:val="713E0F1E"/>
    <w:rsid w:val="71413A08"/>
    <w:rsid w:val="71454C69"/>
    <w:rsid w:val="7145E12B"/>
    <w:rsid w:val="7149ECA3"/>
    <w:rsid w:val="716386DB"/>
    <w:rsid w:val="717AFE8B"/>
    <w:rsid w:val="717C9007"/>
    <w:rsid w:val="71987711"/>
    <w:rsid w:val="72137B30"/>
    <w:rsid w:val="72194E9F"/>
    <w:rsid w:val="721D89D7"/>
    <w:rsid w:val="721E002F"/>
    <w:rsid w:val="721FCBBF"/>
    <w:rsid w:val="723261A6"/>
    <w:rsid w:val="72704804"/>
    <w:rsid w:val="728277C7"/>
    <w:rsid w:val="728DCC17"/>
    <w:rsid w:val="72985CF4"/>
    <w:rsid w:val="729B7465"/>
    <w:rsid w:val="72C454A3"/>
    <w:rsid w:val="72CE08E6"/>
    <w:rsid w:val="72DB1FEA"/>
    <w:rsid w:val="72EC3A24"/>
    <w:rsid w:val="72FB5EAA"/>
    <w:rsid w:val="730C6A6F"/>
    <w:rsid w:val="731082F0"/>
    <w:rsid w:val="7313DAE0"/>
    <w:rsid w:val="73165B71"/>
    <w:rsid w:val="7331D013"/>
    <w:rsid w:val="7344419B"/>
    <w:rsid w:val="7345F76B"/>
    <w:rsid w:val="7351C710"/>
    <w:rsid w:val="7357CB98"/>
    <w:rsid w:val="735FB298"/>
    <w:rsid w:val="739CC2CA"/>
    <w:rsid w:val="739EF588"/>
    <w:rsid w:val="73A9C570"/>
    <w:rsid w:val="73BD3A86"/>
    <w:rsid w:val="73C151B3"/>
    <w:rsid w:val="73C35594"/>
    <w:rsid w:val="73CBE76E"/>
    <w:rsid w:val="73DDFD85"/>
    <w:rsid w:val="73E53F47"/>
    <w:rsid w:val="73FDA5AE"/>
    <w:rsid w:val="73FED6DE"/>
    <w:rsid w:val="74022F08"/>
    <w:rsid w:val="74080A4B"/>
    <w:rsid w:val="7412BE37"/>
    <w:rsid w:val="741A92C7"/>
    <w:rsid w:val="74217681"/>
    <w:rsid w:val="74229D6A"/>
    <w:rsid w:val="74245C63"/>
    <w:rsid w:val="743AE524"/>
    <w:rsid w:val="7450423F"/>
    <w:rsid w:val="7464F073"/>
    <w:rsid w:val="746880B6"/>
    <w:rsid w:val="747021D6"/>
    <w:rsid w:val="74703F9E"/>
    <w:rsid w:val="7471A7C4"/>
    <w:rsid w:val="747481A6"/>
    <w:rsid w:val="7475A051"/>
    <w:rsid w:val="749581B1"/>
    <w:rsid w:val="74963C25"/>
    <w:rsid w:val="74981392"/>
    <w:rsid w:val="749C828C"/>
    <w:rsid w:val="74AA9741"/>
    <w:rsid w:val="74B738C7"/>
    <w:rsid w:val="74BFA029"/>
    <w:rsid w:val="74C2B8E8"/>
    <w:rsid w:val="74C2CFF5"/>
    <w:rsid w:val="74C7635C"/>
    <w:rsid w:val="74CA2BEA"/>
    <w:rsid w:val="74CC257A"/>
    <w:rsid w:val="74CCD07D"/>
    <w:rsid w:val="7506E693"/>
    <w:rsid w:val="7515FFF6"/>
    <w:rsid w:val="751B9EFB"/>
    <w:rsid w:val="75335296"/>
    <w:rsid w:val="75411E58"/>
    <w:rsid w:val="75677087"/>
    <w:rsid w:val="75752B15"/>
    <w:rsid w:val="7575979D"/>
    <w:rsid w:val="7579AF74"/>
    <w:rsid w:val="758878BA"/>
    <w:rsid w:val="758C31BE"/>
    <w:rsid w:val="75A8DA61"/>
    <w:rsid w:val="75B539E4"/>
    <w:rsid w:val="75C58DF0"/>
    <w:rsid w:val="75D5A8B0"/>
    <w:rsid w:val="75DD6B45"/>
    <w:rsid w:val="75FCF4EA"/>
    <w:rsid w:val="7610DE70"/>
    <w:rsid w:val="761F8F91"/>
    <w:rsid w:val="7632156D"/>
    <w:rsid w:val="763EBB5D"/>
    <w:rsid w:val="7666DA97"/>
    <w:rsid w:val="766EC609"/>
    <w:rsid w:val="766F62BB"/>
    <w:rsid w:val="7678B3E6"/>
    <w:rsid w:val="76A10E4F"/>
    <w:rsid w:val="76C331AC"/>
    <w:rsid w:val="76D86BB9"/>
    <w:rsid w:val="76F3CE5E"/>
    <w:rsid w:val="76F6DD37"/>
    <w:rsid w:val="77191AC3"/>
    <w:rsid w:val="772B7BAD"/>
    <w:rsid w:val="77537630"/>
    <w:rsid w:val="7771DCF2"/>
    <w:rsid w:val="77844A17"/>
    <w:rsid w:val="77AA0ABC"/>
    <w:rsid w:val="77B3C956"/>
    <w:rsid w:val="77D4C7B2"/>
    <w:rsid w:val="77D7DEDA"/>
    <w:rsid w:val="77DF4E7C"/>
    <w:rsid w:val="77F81778"/>
    <w:rsid w:val="77FC4AAA"/>
    <w:rsid w:val="780A1737"/>
    <w:rsid w:val="78137467"/>
    <w:rsid w:val="78194252"/>
    <w:rsid w:val="7861F8DF"/>
    <w:rsid w:val="7871717C"/>
    <w:rsid w:val="78B3BA9E"/>
    <w:rsid w:val="78BF71BC"/>
    <w:rsid w:val="78C86B2B"/>
    <w:rsid w:val="78D42990"/>
    <w:rsid w:val="78D4B7ED"/>
    <w:rsid w:val="78FA6536"/>
    <w:rsid w:val="7906ABA2"/>
    <w:rsid w:val="7922480E"/>
    <w:rsid w:val="793E7458"/>
    <w:rsid w:val="79436EEF"/>
    <w:rsid w:val="798061B1"/>
    <w:rsid w:val="7983A03C"/>
    <w:rsid w:val="79A88D3B"/>
    <w:rsid w:val="79AADF0E"/>
    <w:rsid w:val="79B8A5A0"/>
    <w:rsid w:val="79C4C1B0"/>
    <w:rsid w:val="79EDBB60"/>
    <w:rsid w:val="7A0A618B"/>
    <w:rsid w:val="7A0D13AE"/>
    <w:rsid w:val="7A0FEA4D"/>
    <w:rsid w:val="7A15259C"/>
    <w:rsid w:val="7A17452A"/>
    <w:rsid w:val="7A24598D"/>
    <w:rsid w:val="7A2DC7DE"/>
    <w:rsid w:val="7A2E5A0C"/>
    <w:rsid w:val="7A4E8BEE"/>
    <w:rsid w:val="7A768CE8"/>
    <w:rsid w:val="7A8A991E"/>
    <w:rsid w:val="7AA74E79"/>
    <w:rsid w:val="7AAA9D4B"/>
    <w:rsid w:val="7ADA4793"/>
    <w:rsid w:val="7AE540A2"/>
    <w:rsid w:val="7AEEBCF4"/>
    <w:rsid w:val="7AFA7028"/>
    <w:rsid w:val="7B26AAA7"/>
    <w:rsid w:val="7B26C4C2"/>
    <w:rsid w:val="7B3D7CB8"/>
    <w:rsid w:val="7B476336"/>
    <w:rsid w:val="7B508B43"/>
    <w:rsid w:val="7B625FB2"/>
    <w:rsid w:val="7B93AF24"/>
    <w:rsid w:val="7B9A3878"/>
    <w:rsid w:val="7B9F7394"/>
    <w:rsid w:val="7BB0D1B7"/>
    <w:rsid w:val="7BB2624A"/>
    <w:rsid w:val="7BBF6059"/>
    <w:rsid w:val="7BD63CE1"/>
    <w:rsid w:val="7BF01B96"/>
    <w:rsid w:val="7C13D953"/>
    <w:rsid w:val="7C3FB59A"/>
    <w:rsid w:val="7C50AD96"/>
    <w:rsid w:val="7C7A1144"/>
    <w:rsid w:val="7C87C839"/>
    <w:rsid w:val="7C912CEE"/>
    <w:rsid w:val="7C980101"/>
    <w:rsid w:val="7CA9DD9F"/>
    <w:rsid w:val="7CEAD876"/>
    <w:rsid w:val="7CF04EE6"/>
    <w:rsid w:val="7CF72D04"/>
    <w:rsid w:val="7D03B954"/>
    <w:rsid w:val="7D228847"/>
    <w:rsid w:val="7D24EEC5"/>
    <w:rsid w:val="7D467F33"/>
    <w:rsid w:val="7D5963FA"/>
    <w:rsid w:val="7D785CCE"/>
    <w:rsid w:val="7DB7D515"/>
    <w:rsid w:val="7DB841B3"/>
    <w:rsid w:val="7DBCBF52"/>
    <w:rsid w:val="7DD22544"/>
    <w:rsid w:val="7E0E722D"/>
    <w:rsid w:val="7E1CD16A"/>
    <w:rsid w:val="7E2B905C"/>
    <w:rsid w:val="7E49F753"/>
    <w:rsid w:val="7E5CA707"/>
    <w:rsid w:val="7E6862F6"/>
    <w:rsid w:val="7E72BA62"/>
    <w:rsid w:val="7E7359E3"/>
    <w:rsid w:val="7E7842F6"/>
    <w:rsid w:val="7E79A646"/>
    <w:rsid w:val="7E7CCF60"/>
    <w:rsid w:val="7E839605"/>
    <w:rsid w:val="7EB6C232"/>
    <w:rsid w:val="7ECA397F"/>
    <w:rsid w:val="7ED7C830"/>
    <w:rsid w:val="7EDB9658"/>
    <w:rsid w:val="7EFDE1DF"/>
    <w:rsid w:val="7F146083"/>
    <w:rsid w:val="7F1FDD40"/>
    <w:rsid w:val="7F28B369"/>
    <w:rsid w:val="7F4009FC"/>
    <w:rsid w:val="7F5151A5"/>
    <w:rsid w:val="7F5D551B"/>
    <w:rsid w:val="7F5F5A93"/>
    <w:rsid w:val="7F6F102B"/>
    <w:rsid w:val="7F810D71"/>
    <w:rsid w:val="7F8A7834"/>
    <w:rsid w:val="7F9206FC"/>
    <w:rsid w:val="7FABA6BC"/>
    <w:rsid w:val="7FD91DC4"/>
    <w:rsid w:val="7FDB2960"/>
    <w:rsid w:val="7FE24B33"/>
    <w:rsid w:val="7FEE8B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06E1D57"/>
  <w15:chartTrackingRefBased/>
  <w15:docId w15:val="{93546CEB-851E-4749-BD70-BBA73A7F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8"/>
    <w:lsdException w:name="annotation text" w:uiPriority="99"/>
    <w:lsdException w:name="header" w:locked="0" w:qFormat="1"/>
    <w:lsdException w:name="footer" w:locked="0" w:uiPriority="99"/>
    <w:lsdException w:name="caption" w:semiHidden="1" w:unhideWhenUsed="1" w:qFormat="1"/>
    <w:lsdException w:name="footnote reference" w:uiPriority="99"/>
    <w:lsdException w:name="annotation reference" w:uiPriority="99"/>
    <w:lsdException w:name="endnote reference" w:locked="0" w:uiPriority="99" w:qFormat="1"/>
    <w:lsdException w:name="endnote text" w:locked="0" w:uiPriority="99" w:qFormat="1"/>
    <w:lsdException w:name="List Bullet" w:qFormat="1"/>
    <w:lsdException w:name="List Number" w:qFormat="1"/>
    <w:lsdException w:name="Default Paragraph Font" w:locked="0"/>
    <w:lsdException w:name="List Continue 4" w:locked="0"/>
    <w:lsdException w:name="Hyperlink" w:locked="0" w:uiPriority="99"/>
    <w:lsdException w:name="Strong" w:locked="0" w:uiPriority="22" w:qFormat="1"/>
    <w:lsdException w:name="Emphasis" w:uiPriority="20" w:qFormat="1"/>
    <w:lsdException w:name="Plain Text" w:uiPriority="99"/>
    <w:lsdException w:name="HTML Top of Form" w:locked="0"/>
    <w:lsdException w:name="HTML Bottom of Form" w:locked="0"/>
    <w:lsdException w:name="Normal (Web)" w:uiPriority="99"/>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1F1232"/>
    <w:pPr>
      <w:numPr>
        <w:ilvl w:val="2"/>
      </w:numPr>
      <w:outlineLvl w:val="2"/>
    </w:pPr>
    <w:rPr>
      <w:b w:val="0"/>
      <w:bCs/>
      <w:color w:val="000000" w:themeColor="text1"/>
      <w:sz w:val="24"/>
      <w:lang w:eastAsia="en-GB"/>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1F1232"/>
    <w:rPr>
      <w:rFonts w:ascii="Open Sans" w:eastAsia="MS Mincho" w:hAnsi="Open Sans"/>
      <w:bCs/>
      <w:color w:val="000000" w:themeColor="text1"/>
      <w:sz w:val="24"/>
      <w:szCs w:val="26"/>
      <w:lang w:eastAsia="en-GB"/>
    </w:rPr>
  </w:style>
  <w:style w:type="character" w:customStyle="1" w:styleId="Heading4Char">
    <w:name w:val="Heading 4 Char"/>
    <w:link w:val="Heading4"/>
    <w:rsid w:val="008007A8"/>
    <w:rPr>
      <w:rFonts w:ascii="Open Sans" w:eastAsia="MS Mincho" w:hAnsi="Open Sans"/>
      <w:i/>
      <w:iCs/>
      <w:color w:val="000000" w:themeColor="text1"/>
      <w:sz w:val="24"/>
      <w:szCs w:val="26"/>
      <w:lang w:eastAsia="en-GB"/>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BF317F"/>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qFormat/>
    <w:rsid w:val="00471BB7"/>
    <w:pPr>
      <w:spacing w:before="0" w:after="360"/>
    </w:pPr>
    <w:rPr>
      <w:b/>
      <w:lang w:val="en-US" w:eastAsia="en-US"/>
    </w:rPr>
  </w:style>
  <w:style w:type="paragraph" w:styleId="EndnoteText">
    <w:name w:val="endnote text"/>
    <w:aliases w:val="2_G"/>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aliases w:val="2_G Char1"/>
    <w:link w:val="EndnoteText"/>
    <w:rsid w:val="00E55F24"/>
    <w:rPr>
      <w:rFonts w:ascii="Open Sans" w:eastAsia="MS Mincho" w:hAnsi="Open Sans"/>
    </w:rPr>
  </w:style>
  <w:style w:type="character" w:styleId="EndnoteReference">
    <w:name w:val="endnote referenc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55"/>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link w:val="PlainTextChar"/>
    <w:uiPriority w:val="99"/>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aliases w:val="2_G Char"/>
    <w:uiPriority w:val="99"/>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List Paragraph1,List Paragraph11,Recommendation,EOT List Paragraph,Bullet point,List Paragraph Number,#List Paragraph,Number,List Paragraph111,F5 List Paragraph,Dot pt,CV text,Table text,Medium Grid 1 - Accent 21,Numbered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FootnoteText">
    <w:name w:val="footnote text"/>
    <w:basedOn w:val="Normal"/>
    <w:link w:val="FootnoteTextChar"/>
    <w:uiPriority w:val="98"/>
    <w:locked/>
    <w:rsid w:val="00AF7768"/>
    <w:pPr>
      <w:spacing w:before="0" w:after="0"/>
    </w:pPr>
    <w:rPr>
      <w:sz w:val="20"/>
      <w:szCs w:val="20"/>
    </w:rPr>
  </w:style>
  <w:style w:type="character" w:customStyle="1" w:styleId="FootnoteTextChar">
    <w:name w:val="Footnote Text Char"/>
    <w:basedOn w:val="DefaultParagraphFont"/>
    <w:link w:val="FootnoteText"/>
    <w:uiPriority w:val="98"/>
    <w:rsid w:val="00AF7768"/>
    <w:rPr>
      <w:rFonts w:ascii="Open Sans" w:eastAsia="MS Mincho" w:hAnsi="Open Sans"/>
    </w:rPr>
  </w:style>
  <w:style w:type="character" w:styleId="FootnoteReference">
    <w:name w:val="footnote reference"/>
    <w:basedOn w:val="DefaultParagraphFont"/>
    <w:uiPriority w:val="99"/>
    <w:locked/>
    <w:rsid w:val="00AF7768"/>
    <w:rPr>
      <w:vertAlign w:val="superscript"/>
    </w:rPr>
  </w:style>
  <w:style w:type="character" w:styleId="UnresolvedMention">
    <w:name w:val="Unresolved Mention"/>
    <w:basedOn w:val="DefaultParagraphFont"/>
    <w:uiPriority w:val="99"/>
    <w:unhideWhenUsed/>
    <w:rsid w:val="00BB4E47"/>
    <w:rPr>
      <w:color w:val="605E5C"/>
      <w:shd w:val="clear" w:color="auto" w:fill="E1DFDD"/>
    </w:rPr>
  </w:style>
  <w:style w:type="paragraph" w:styleId="Revision">
    <w:name w:val="Revision"/>
    <w:hidden/>
    <w:uiPriority w:val="99"/>
    <w:semiHidden/>
    <w:rsid w:val="002D6473"/>
    <w:rPr>
      <w:rFonts w:ascii="Open Sans" w:eastAsia="MS Mincho" w:hAnsi="Open Sans"/>
      <w:sz w:val="24"/>
      <w:szCs w:val="24"/>
    </w:rPr>
  </w:style>
  <w:style w:type="paragraph" w:customStyle="1" w:styleId="RecBoxText">
    <w:name w:val="Rec Box Text"/>
    <w:basedOn w:val="Normal"/>
    <w:link w:val="RecBoxTextCarattere"/>
    <w:rsid w:val="001C748C"/>
    <w:pPr>
      <w:keepLines/>
      <w:widowControl w:val="0"/>
      <w:contextualSpacing/>
    </w:pPr>
    <w:rPr>
      <w:rFonts w:ascii="Arial" w:eastAsia="Times New Roman" w:hAnsi="Arial"/>
      <w:b/>
    </w:rPr>
  </w:style>
  <w:style w:type="character" w:customStyle="1" w:styleId="RecBoxTextCarattere">
    <w:name w:val="Rec Box Text Carattere"/>
    <w:basedOn w:val="DefaultParagraphFont"/>
    <w:link w:val="RecBoxText"/>
    <w:rsid w:val="001C748C"/>
    <w:rPr>
      <w:rFonts w:ascii="Arial" w:hAnsi="Arial"/>
      <w:b/>
      <w:sz w:val="24"/>
      <w:szCs w:val="24"/>
    </w:rPr>
  </w:style>
  <w:style w:type="paragraph" w:customStyle="1" w:styleId="RecBoxBullets">
    <w:name w:val="Rec Box Bullets"/>
    <w:basedOn w:val="Normal"/>
    <w:rsid w:val="001C748C"/>
    <w:pPr>
      <w:keepLines/>
      <w:widowControl w:val="0"/>
      <w:numPr>
        <w:numId w:val="21"/>
      </w:numPr>
      <w:spacing w:before="0" w:after="0"/>
      <w:ind w:left="1077" w:hanging="357"/>
      <w:contextualSpacing/>
    </w:pPr>
    <w:rPr>
      <w:rFonts w:ascii="Arial" w:eastAsia="Times New Roman" w:hAnsi="Arial" w:cs="Arial"/>
      <w:b/>
    </w:rPr>
  </w:style>
  <w:style w:type="paragraph" w:customStyle="1" w:styleId="RecBullets-Indented">
    <w:name w:val="Rec Bullets-Indented"/>
    <w:basedOn w:val="Normal"/>
    <w:link w:val="RecBullets-IndentedCarattere"/>
    <w:rsid w:val="001C748C"/>
    <w:pPr>
      <w:keepLines/>
      <w:widowControl w:val="0"/>
      <w:numPr>
        <w:ilvl w:val="1"/>
        <w:numId w:val="22"/>
      </w:numPr>
      <w:spacing w:before="0" w:after="0"/>
      <w:ind w:left="2098" w:hanging="357"/>
      <w:contextualSpacing/>
    </w:pPr>
    <w:rPr>
      <w:rFonts w:ascii="Arial" w:eastAsia="Times New Roman" w:hAnsi="Arial" w:cs="Arial"/>
      <w:b/>
      <w:lang w:val="en"/>
    </w:rPr>
  </w:style>
  <w:style w:type="character" w:customStyle="1" w:styleId="RecBullets-IndentedCarattere">
    <w:name w:val="Rec Bullets-Indented Carattere"/>
    <w:basedOn w:val="DefaultParagraphFont"/>
    <w:link w:val="RecBullets-Indented"/>
    <w:rsid w:val="001C748C"/>
    <w:rPr>
      <w:rFonts w:ascii="Arial" w:hAnsi="Arial" w:cs="Arial"/>
      <w:b/>
      <w:sz w:val="24"/>
      <w:szCs w:val="24"/>
      <w:lang w:val="en"/>
    </w:rPr>
  </w:style>
  <w:style w:type="paragraph" w:customStyle="1" w:styleId="TextBoxHeading">
    <w:name w:val="Text Box Heading"/>
    <w:basedOn w:val="Normal"/>
    <w:link w:val="TextBoxHeadingCarattere"/>
    <w:qFormat/>
    <w:rsid w:val="001C748C"/>
    <w:pPr>
      <w:keepLines/>
      <w:widowControl w:val="0"/>
    </w:pPr>
    <w:rPr>
      <w:rFonts w:ascii="Arial" w:eastAsia="Times New Roman" w:hAnsi="Arial"/>
      <w:b/>
    </w:rPr>
  </w:style>
  <w:style w:type="character" w:customStyle="1" w:styleId="TextBoxHeadingCarattere">
    <w:name w:val="Text Box Heading Carattere"/>
    <w:basedOn w:val="DefaultParagraphFont"/>
    <w:link w:val="TextBoxHeading"/>
    <w:rsid w:val="001C748C"/>
    <w:rPr>
      <w:rFonts w:ascii="Arial" w:hAnsi="Arial"/>
      <w:b/>
      <w:sz w:val="24"/>
      <w:szCs w:val="24"/>
    </w:rPr>
  </w:style>
  <w:style w:type="paragraph" w:customStyle="1" w:styleId="paragraph">
    <w:name w:val="paragraph"/>
    <w:basedOn w:val="Normal"/>
    <w:rsid w:val="006D1836"/>
    <w:pPr>
      <w:spacing w:before="100" w:beforeAutospacing="1" w:after="100" w:afterAutospacing="1"/>
    </w:pPr>
    <w:rPr>
      <w:rFonts w:ascii="Times New Roman" w:eastAsia="Times New Roman" w:hAnsi="Times New Roman"/>
      <w:lang w:val="en-US" w:eastAsia="en-US"/>
    </w:rPr>
  </w:style>
  <w:style w:type="character" w:customStyle="1" w:styleId="eop">
    <w:name w:val="eop"/>
    <w:basedOn w:val="DefaultParagraphFont"/>
    <w:rsid w:val="006D1836"/>
  </w:style>
  <w:style w:type="character" w:customStyle="1" w:styleId="PlainTextChar">
    <w:name w:val="Plain Text Char"/>
    <w:basedOn w:val="DefaultParagraphFont"/>
    <w:link w:val="PlainText"/>
    <w:uiPriority w:val="99"/>
    <w:rsid w:val="0050724B"/>
    <w:rPr>
      <w:rFonts w:ascii="Open Sans" w:eastAsia="MS Mincho" w:hAnsi="Open Sans" w:cs="Courier New"/>
      <w:sz w:val="24"/>
    </w:rPr>
  </w:style>
  <w:style w:type="character" w:styleId="Mention">
    <w:name w:val="Mention"/>
    <w:basedOn w:val="DefaultParagraphFont"/>
    <w:uiPriority w:val="99"/>
    <w:unhideWhenUsed/>
    <w:rsid w:val="004608A0"/>
    <w:rPr>
      <w:color w:val="2B579A"/>
      <w:shd w:val="clear" w:color="auto" w:fill="E1DFDD"/>
    </w:rPr>
  </w:style>
  <w:style w:type="character" w:customStyle="1" w:styleId="ListParagraphChar">
    <w:name w:val="List Paragraph Char"/>
    <w:aliases w:val="L Char,List Paragraph1 Char,List Paragraph11 Char,Recommendation Char,EOT List Paragraph Char,Bullet point Char,List Paragraph Number Char,#List Paragraph Char,Number Char,List Paragraph111 Char,F5 List Paragraph Char,Dot pt Char"/>
    <w:link w:val="ListParagraph"/>
    <w:uiPriority w:val="34"/>
    <w:qFormat/>
    <w:rsid w:val="00C777AA"/>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377">
      <w:bodyDiv w:val="1"/>
      <w:marLeft w:val="0"/>
      <w:marRight w:val="0"/>
      <w:marTop w:val="0"/>
      <w:marBottom w:val="0"/>
      <w:divBdr>
        <w:top w:val="none" w:sz="0" w:space="0" w:color="auto"/>
        <w:left w:val="none" w:sz="0" w:space="0" w:color="auto"/>
        <w:bottom w:val="none" w:sz="0" w:space="0" w:color="auto"/>
        <w:right w:val="none" w:sz="0" w:space="0" w:color="auto"/>
      </w:divBdr>
    </w:div>
    <w:div w:id="39987959">
      <w:bodyDiv w:val="1"/>
      <w:marLeft w:val="0"/>
      <w:marRight w:val="0"/>
      <w:marTop w:val="0"/>
      <w:marBottom w:val="0"/>
      <w:divBdr>
        <w:top w:val="none" w:sz="0" w:space="0" w:color="auto"/>
        <w:left w:val="none" w:sz="0" w:space="0" w:color="auto"/>
        <w:bottom w:val="none" w:sz="0" w:space="0" w:color="auto"/>
        <w:right w:val="none" w:sz="0" w:space="0" w:color="auto"/>
      </w:divBdr>
    </w:div>
    <w:div w:id="48581841">
      <w:bodyDiv w:val="1"/>
      <w:marLeft w:val="0"/>
      <w:marRight w:val="0"/>
      <w:marTop w:val="0"/>
      <w:marBottom w:val="0"/>
      <w:divBdr>
        <w:top w:val="none" w:sz="0" w:space="0" w:color="auto"/>
        <w:left w:val="none" w:sz="0" w:space="0" w:color="auto"/>
        <w:bottom w:val="none" w:sz="0" w:space="0" w:color="auto"/>
        <w:right w:val="none" w:sz="0" w:space="0" w:color="auto"/>
      </w:divBdr>
    </w:div>
    <w:div w:id="51656488">
      <w:bodyDiv w:val="1"/>
      <w:marLeft w:val="0"/>
      <w:marRight w:val="0"/>
      <w:marTop w:val="0"/>
      <w:marBottom w:val="0"/>
      <w:divBdr>
        <w:top w:val="none" w:sz="0" w:space="0" w:color="auto"/>
        <w:left w:val="none" w:sz="0" w:space="0" w:color="auto"/>
        <w:bottom w:val="none" w:sz="0" w:space="0" w:color="auto"/>
        <w:right w:val="none" w:sz="0" w:space="0" w:color="auto"/>
      </w:divBdr>
    </w:div>
    <w:div w:id="52505652">
      <w:bodyDiv w:val="1"/>
      <w:marLeft w:val="0"/>
      <w:marRight w:val="0"/>
      <w:marTop w:val="0"/>
      <w:marBottom w:val="0"/>
      <w:divBdr>
        <w:top w:val="none" w:sz="0" w:space="0" w:color="auto"/>
        <w:left w:val="none" w:sz="0" w:space="0" w:color="auto"/>
        <w:bottom w:val="none" w:sz="0" w:space="0" w:color="auto"/>
        <w:right w:val="none" w:sz="0" w:space="0" w:color="auto"/>
      </w:divBdr>
    </w:div>
    <w:div w:id="96758145">
      <w:bodyDiv w:val="1"/>
      <w:marLeft w:val="0"/>
      <w:marRight w:val="0"/>
      <w:marTop w:val="0"/>
      <w:marBottom w:val="0"/>
      <w:divBdr>
        <w:top w:val="none" w:sz="0" w:space="0" w:color="auto"/>
        <w:left w:val="none" w:sz="0" w:space="0" w:color="auto"/>
        <w:bottom w:val="none" w:sz="0" w:space="0" w:color="auto"/>
        <w:right w:val="none" w:sz="0" w:space="0" w:color="auto"/>
      </w:divBdr>
    </w:div>
    <w:div w:id="102699815">
      <w:bodyDiv w:val="1"/>
      <w:marLeft w:val="0"/>
      <w:marRight w:val="0"/>
      <w:marTop w:val="0"/>
      <w:marBottom w:val="0"/>
      <w:divBdr>
        <w:top w:val="none" w:sz="0" w:space="0" w:color="auto"/>
        <w:left w:val="none" w:sz="0" w:space="0" w:color="auto"/>
        <w:bottom w:val="none" w:sz="0" w:space="0" w:color="auto"/>
        <w:right w:val="none" w:sz="0" w:space="0" w:color="auto"/>
      </w:divBdr>
    </w:div>
    <w:div w:id="133763105">
      <w:bodyDiv w:val="1"/>
      <w:marLeft w:val="0"/>
      <w:marRight w:val="0"/>
      <w:marTop w:val="0"/>
      <w:marBottom w:val="0"/>
      <w:divBdr>
        <w:top w:val="none" w:sz="0" w:space="0" w:color="auto"/>
        <w:left w:val="none" w:sz="0" w:space="0" w:color="auto"/>
        <w:bottom w:val="none" w:sz="0" w:space="0" w:color="auto"/>
        <w:right w:val="none" w:sz="0" w:space="0" w:color="auto"/>
      </w:divBdr>
      <w:divsChild>
        <w:div w:id="1291940976">
          <w:marLeft w:val="0"/>
          <w:marRight w:val="0"/>
          <w:marTop w:val="0"/>
          <w:marBottom w:val="0"/>
          <w:divBdr>
            <w:top w:val="none" w:sz="0" w:space="0" w:color="auto"/>
            <w:left w:val="none" w:sz="0" w:space="0" w:color="auto"/>
            <w:bottom w:val="none" w:sz="0" w:space="0" w:color="auto"/>
            <w:right w:val="none" w:sz="0" w:space="0" w:color="auto"/>
          </w:divBdr>
          <w:divsChild>
            <w:div w:id="51542096">
              <w:marLeft w:val="0"/>
              <w:marRight w:val="0"/>
              <w:marTop w:val="0"/>
              <w:marBottom w:val="0"/>
              <w:divBdr>
                <w:top w:val="none" w:sz="0" w:space="0" w:color="auto"/>
                <w:left w:val="none" w:sz="0" w:space="0" w:color="auto"/>
                <w:bottom w:val="none" w:sz="0" w:space="0" w:color="auto"/>
                <w:right w:val="none" w:sz="0" w:space="0" w:color="auto"/>
              </w:divBdr>
              <w:divsChild>
                <w:div w:id="1127233603">
                  <w:marLeft w:val="0"/>
                  <w:marRight w:val="0"/>
                  <w:marTop w:val="0"/>
                  <w:marBottom w:val="0"/>
                  <w:divBdr>
                    <w:top w:val="none" w:sz="0" w:space="0" w:color="auto"/>
                    <w:left w:val="none" w:sz="0" w:space="0" w:color="auto"/>
                    <w:bottom w:val="none" w:sz="0" w:space="0" w:color="auto"/>
                    <w:right w:val="none" w:sz="0" w:space="0" w:color="auto"/>
                  </w:divBdr>
                  <w:divsChild>
                    <w:div w:id="281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213">
      <w:bodyDiv w:val="1"/>
      <w:marLeft w:val="0"/>
      <w:marRight w:val="0"/>
      <w:marTop w:val="0"/>
      <w:marBottom w:val="0"/>
      <w:divBdr>
        <w:top w:val="none" w:sz="0" w:space="0" w:color="auto"/>
        <w:left w:val="none" w:sz="0" w:space="0" w:color="auto"/>
        <w:bottom w:val="none" w:sz="0" w:space="0" w:color="auto"/>
        <w:right w:val="none" w:sz="0" w:space="0" w:color="auto"/>
      </w:divBdr>
    </w:div>
    <w:div w:id="141390948">
      <w:bodyDiv w:val="1"/>
      <w:marLeft w:val="0"/>
      <w:marRight w:val="0"/>
      <w:marTop w:val="0"/>
      <w:marBottom w:val="0"/>
      <w:divBdr>
        <w:top w:val="none" w:sz="0" w:space="0" w:color="auto"/>
        <w:left w:val="none" w:sz="0" w:space="0" w:color="auto"/>
        <w:bottom w:val="none" w:sz="0" w:space="0" w:color="auto"/>
        <w:right w:val="none" w:sz="0" w:space="0" w:color="auto"/>
      </w:divBdr>
    </w:div>
    <w:div w:id="150366415">
      <w:bodyDiv w:val="1"/>
      <w:marLeft w:val="0"/>
      <w:marRight w:val="0"/>
      <w:marTop w:val="0"/>
      <w:marBottom w:val="0"/>
      <w:divBdr>
        <w:top w:val="none" w:sz="0" w:space="0" w:color="auto"/>
        <w:left w:val="none" w:sz="0" w:space="0" w:color="auto"/>
        <w:bottom w:val="none" w:sz="0" w:space="0" w:color="auto"/>
        <w:right w:val="none" w:sz="0" w:space="0" w:color="auto"/>
      </w:divBdr>
    </w:div>
    <w:div w:id="194078806">
      <w:bodyDiv w:val="1"/>
      <w:marLeft w:val="0"/>
      <w:marRight w:val="0"/>
      <w:marTop w:val="0"/>
      <w:marBottom w:val="0"/>
      <w:divBdr>
        <w:top w:val="none" w:sz="0" w:space="0" w:color="auto"/>
        <w:left w:val="none" w:sz="0" w:space="0" w:color="auto"/>
        <w:bottom w:val="none" w:sz="0" w:space="0" w:color="auto"/>
        <w:right w:val="none" w:sz="0" w:space="0" w:color="auto"/>
      </w:divBdr>
      <w:divsChild>
        <w:div w:id="684215372">
          <w:marLeft w:val="0"/>
          <w:marRight w:val="0"/>
          <w:marTop w:val="0"/>
          <w:marBottom w:val="0"/>
          <w:divBdr>
            <w:top w:val="none" w:sz="0" w:space="0" w:color="auto"/>
            <w:left w:val="none" w:sz="0" w:space="0" w:color="auto"/>
            <w:bottom w:val="none" w:sz="0" w:space="0" w:color="auto"/>
            <w:right w:val="none" w:sz="0" w:space="0" w:color="auto"/>
          </w:divBdr>
          <w:divsChild>
            <w:div w:id="2087533833">
              <w:marLeft w:val="0"/>
              <w:marRight w:val="0"/>
              <w:marTop w:val="0"/>
              <w:marBottom w:val="0"/>
              <w:divBdr>
                <w:top w:val="none" w:sz="0" w:space="0" w:color="auto"/>
                <w:left w:val="none" w:sz="0" w:space="0" w:color="auto"/>
                <w:bottom w:val="none" w:sz="0" w:space="0" w:color="auto"/>
                <w:right w:val="none" w:sz="0" w:space="0" w:color="auto"/>
              </w:divBdr>
              <w:divsChild>
                <w:div w:id="159856790">
                  <w:marLeft w:val="0"/>
                  <w:marRight w:val="0"/>
                  <w:marTop w:val="0"/>
                  <w:marBottom w:val="0"/>
                  <w:divBdr>
                    <w:top w:val="none" w:sz="0" w:space="0" w:color="auto"/>
                    <w:left w:val="none" w:sz="0" w:space="0" w:color="auto"/>
                    <w:bottom w:val="none" w:sz="0" w:space="0" w:color="auto"/>
                    <w:right w:val="none" w:sz="0" w:space="0" w:color="auto"/>
                  </w:divBdr>
                  <w:divsChild>
                    <w:div w:id="620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3059">
      <w:bodyDiv w:val="1"/>
      <w:marLeft w:val="0"/>
      <w:marRight w:val="0"/>
      <w:marTop w:val="0"/>
      <w:marBottom w:val="0"/>
      <w:divBdr>
        <w:top w:val="none" w:sz="0" w:space="0" w:color="auto"/>
        <w:left w:val="none" w:sz="0" w:space="0" w:color="auto"/>
        <w:bottom w:val="none" w:sz="0" w:space="0" w:color="auto"/>
        <w:right w:val="none" w:sz="0" w:space="0" w:color="auto"/>
      </w:divBdr>
    </w:div>
    <w:div w:id="220597038">
      <w:bodyDiv w:val="1"/>
      <w:marLeft w:val="0"/>
      <w:marRight w:val="0"/>
      <w:marTop w:val="0"/>
      <w:marBottom w:val="0"/>
      <w:divBdr>
        <w:top w:val="none" w:sz="0" w:space="0" w:color="auto"/>
        <w:left w:val="none" w:sz="0" w:space="0" w:color="auto"/>
        <w:bottom w:val="none" w:sz="0" w:space="0" w:color="auto"/>
        <w:right w:val="none" w:sz="0" w:space="0" w:color="auto"/>
      </w:divBdr>
      <w:divsChild>
        <w:div w:id="1754357070">
          <w:marLeft w:val="0"/>
          <w:marRight w:val="0"/>
          <w:marTop w:val="0"/>
          <w:marBottom w:val="0"/>
          <w:divBdr>
            <w:top w:val="none" w:sz="0" w:space="0" w:color="auto"/>
            <w:left w:val="none" w:sz="0" w:space="0" w:color="auto"/>
            <w:bottom w:val="none" w:sz="0" w:space="0" w:color="auto"/>
            <w:right w:val="none" w:sz="0" w:space="0" w:color="auto"/>
          </w:divBdr>
          <w:divsChild>
            <w:div w:id="1789422535">
              <w:marLeft w:val="0"/>
              <w:marRight w:val="0"/>
              <w:marTop w:val="0"/>
              <w:marBottom w:val="0"/>
              <w:divBdr>
                <w:top w:val="none" w:sz="0" w:space="0" w:color="auto"/>
                <w:left w:val="none" w:sz="0" w:space="0" w:color="auto"/>
                <w:bottom w:val="none" w:sz="0" w:space="0" w:color="auto"/>
                <w:right w:val="none" w:sz="0" w:space="0" w:color="auto"/>
              </w:divBdr>
              <w:divsChild>
                <w:div w:id="85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2417">
      <w:bodyDiv w:val="1"/>
      <w:marLeft w:val="0"/>
      <w:marRight w:val="0"/>
      <w:marTop w:val="0"/>
      <w:marBottom w:val="0"/>
      <w:divBdr>
        <w:top w:val="none" w:sz="0" w:space="0" w:color="auto"/>
        <w:left w:val="none" w:sz="0" w:space="0" w:color="auto"/>
        <w:bottom w:val="none" w:sz="0" w:space="0" w:color="auto"/>
        <w:right w:val="none" w:sz="0" w:space="0" w:color="auto"/>
      </w:divBdr>
    </w:div>
    <w:div w:id="282424007">
      <w:bodyDiv w:val="1"/>
      <w:marLeft w:val="0"/>
      <w:marRight w:val="0"/>
      <w:marTop w:val="0"/>
      <w:marBottom w:val="0"/>
      <w:divBdr>
        <w:top w:val="none" w:sz="0" w:space="0" w:color="auto"/>
        <w:left w:val="none" w:sz="0" w:space="0" w:color="auto"/>
        <w:bottom w:val="none" w:sz="0" w:space="0" w:color="auto"/>
        <w:right w:val="none" w:sz="0" w:space="0" w:color="auto"/>
      </w:divBdr>
    </w:div>
    <w:div w:id="320086678">
      <w:bodyDiv w:val="1"/>
      <w:marLeft w:val="0"/>
      <w:marRight w:val="0"/>
      <w:marTop w:val="0"/>
      <w:marBottom w:val="0"/>
      <w:divBdr>
        <w:top w:val="none" w:sz="0" w:space="0" w:color="auto"/>
        <w:left w:val="none" w:sz="0" w:space="0" w:color="auto"/>
        <w:bottom w:val="none" w:sz="0" w:space="0" w:color="auto"/>
        <w:right w:val="none" w:sz="0" w:space="0" w:color="auto"/>
      </w:divBdr>
      <w:divsChild>
        <w:div w:id="639192120">
          <w:marLeft w:val="0"/>
          <w:marRight w:val="0"/>
          <w:marTop w:val="0"/>
          <w:marBottom w:val="0"/>
          <w:divBdr>
            <w:top w:val="none" w:sz="0" w:space="0" w:color="auto"/>
            <w:left w:val="none" w:sz="0" w:space="0" w:color="auto"/>
            <w:bottom w:val="none" w:sz="0" w:space="0" w:color="auto"/>
            <w:right w:val="none" w:sz="0" w:space="0" w:color="auto"/>
          </w:divBdr>
          <w:divsChild>
            <w:div w:id="1988702212">
              <w:marLeft w:val="0"/>
              <w:marRight w:val="0"/>
              <w:marTop w:val="0"/>
              <w:marBottom w:val="0"/>
              <w:divBdr>
                <w:top w:val="none" w:sz="0" w:space="0" w:color="auto"/>
                <w:left w:val="none" w:sz="0" w:space="0" w:color="auto"/>
                <w:bottom w:val="none" w:sz="0" w:space="0" w:color="auto"/>
                <w:right w:val="none" w:sz="0" w:space="0" w:color="auto"/>
              </w:divBdr>
              <w:divsChild>
                <w:div w:id="972251216">
                  <w:marLeft w:val="0"/>
                  <w:marRight w:val="0"/>
                  <w:marTop w:val="0"/>
                  <w:marBottom w:val="0"/>
                  <w:divBdr>
                    <w:top w:val="none" w:sz="0" w:space="0" w:color="auto"/>
                    <w:left w:val="none" w:sz="0" w:space="0" w:color="auto"/>
                    <w:bottom w:val="none" w:sz="0" w:space="0" w:color="auto"/>
                    <w:right w:val="none" w:sz="0" w:space="0" w:color="auto"/>
                  </w:divBdr>
                  <w:divsChild>
                    <w:div w:id="8085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436509">
      <w:bodyDiv w:val="1"/>
      <w:marLeft w:val="0"/>
      <w:marRight w:val="0"/>
      <w:marTop w:val="0"/>
      <w:marBottom w:val="0"/>
      <w:divBdr>
        <w:top w:val="none" w:sz="0" w:space="0" w:color="auto"/>
        <w:left w:val="none" w:sz="0" w:space="0" w:color="auto"/>
        <w:bottom w:val="none" w:sz="0" w:space="0" w:color="auto"/>
        <w:right w:val="none" w:sz="0" w:space="0" w:color="auto"/>
      </w:divBdr>
    </w:div>
    <w:div w:id="352537225">
      <w:bodyDiv w:val="1"/>
      <w:marLeft w:val="0"/>
      <w:marRight w:val="0"/>
      <w:marTop w:val="0"/>
      <w:marBottom w:val="0"/>
      <w:divBdr>
        <w:top w:val="none" w:sz="0" w:space="0" w:color="auto"/>
        <w:left w:val="none" w:sz="0" w:space="0" w:color="auto"/>
        <w:bottom w:val="none" w:sz="0" w:space="0" w:color="auto"/>
        <w:right w:val="none" w:sz="0" w:space="0" w:color="auto"/>
      </w:divBdr>
    </w:div>
    <w:div w:id="354499500">
      <w:bodyDiv w:val="1"/>
      <w:marLeft w:val="0"/>
      <w:marRight w:val="0"/>
      <w:marTop w:val="0"/>
      <w:marBottom w:val="0"/>
      <w:divBdr>
        <w:top w:val="none" w:sz="0" w:space="0" w:color="auto"/>
        <w:left w:val="none" w:sz="0" w:space="0" w:color="auto"/>
        <w:bottom w:val="none" w:sz="0" w:space="0" w:color="auto"/>
        <w:right w:val="none" w:sz="0" w:space="0" w:color="auto"/>
      </w:divBdr>
    </w:div>
    <w:div w:id="382995014">
      <w:bodyDiv w:val="1"/>
      <w:marLeft w:val="0"/>
      <w:marRight w:val="0"/>
      <w:marTop w:val="0"/>
      <w:marBottom w:val="0"/>
      <w:divBdr>
        <w:top w:val="none" w:sz="0" w:space="0" w:color="auto"/>
        <w:left w:val="none" w:sz="0" w:space="0" w:color="auto"/>
        <w:bottom w:val="none" w:sz="0" w:space="0" w:color="auto"/>
        <w:right w:val="none" w:sz="0" w:space="0" w:color="auto"/>
      </w:divBdr>
    </w:div>
    <w:div w:id="386488193">
      <w:bodyDiv w:val="1"/>
      <w:marLeft w:val="0"/>
      <w:marRight w:val="0"/>
      <w:marTop w:val="0"/>
      <w:marBottom w:val="0"/>
      <w:divBdr>
        <w:top w:val="none" w:sz="0" w:space="0" w:color="auto"/>
        <w:left w:val="none" w:sz="0" w:space="0" w:color="auto"/>
        <w:bottom w:val="none" w:sz="0" w:space="0" w:color="auto"/>
        <w:right w:val="none" w:sz="0" w:space="0" w:color="auto"/>
      </w:divBdr>
    </w:div>
    <w:div w:id="392697908">
      <w:bodyDiv w:val="1"/>
      <w:marLeft w:val="0"/>
      <w:marRight w:val="0"/>
      <w:marTop w:val="0"/>
      <w:marBottom w:val="0"/>
      <w:divBdr>
        <w:top w:val="none" w:sz="0" w:space="0" w:color="auto"/>
        <w:left w:val="none" w:sz="0" w:space="0" w:color="auto"/>
        <w:bottom w:val="none" w:sz="0" w:space="0" w:color="auto"/>
        <w:right w:val="none" w:sz="0" w:space="0" w:color="auto"/>
      </w:divBdr>
    </w:div>
    <w:div w:id="410473065">
      <w:bodyDiv w:val="1"/>
      <w:marLeft w:val="0"/>
      <w:marRight w:val="0"/>
      <w:marTop w:val="0"/>
      <w:marBottom w:val="0"/>
      <w:divBdr>
        <w:top w:val="none" w:sz="0" w:space="0" w:color="auto"/>
        <w:left w:val="none" w:sz="0" w:space="0" w:color="auto"/>
        <w:bottom w:val="none" w:sz="0" w:space="0" w:color="auto"/>
        <w:right w:val="none" w:sz="0" w:space="0" w:color="auto"/>
      </w:divBdr>
    </w:div>
    <w:div w:id="433937240">
      <w:bodyDiv w:val="1"/>
      <w:marLeft w:val="0"/>
      <w:marRight w:val="0"/>
      <w:marTop w:val="0"/>
      <w:marBottom w:val="0"/>
      <w:divBdr>
        <w:top w:val="none" w:sz="0" w:space="0" w:color="auto"/>
        <w:left w:val="none" w:sz="0" w:space="0" w:color="auto"/>
        <w:bottom w:val="none" w:sz="0" w:space="0" w:color="auto"/>
        <w:right w:val="none" w:sz="0" w:space="0" w:color="auto"/>
      </w:divBdr>
    </w:div>
    <w:div w:id="438070553">
      <w:bodyDiv w:val="1"/>
      <w:marLeft w:val="0"/>
      <w:marRight w:val="0"/>
      <w:marTop w:val="0"/>
      <w:marBottom w:val="0"/>
      <w:divBdr>
        <w:top w:val="none" w:sz="0" w:space="0" w:color="auto"/>
        <w:left w:val="none" w:sz="0" w:space="0" w:color="auto"/>
        <w:bottom w:val="none" w:sz="0" w:space="0" w:color="auto"/>
        <w:right w:val="none" w:sz="0" w:space="0" w:color="auto"/>
      </w:divBdr>
    </w:div>
    <w:div w:id="454909988">
      <w:bodyDiv w:val="1"/>
      <w:marLeft w:val="0"/>
      <w:marRight w:val="0"/>
      <w:marTop w:val="0"/>
      <w:marBottom w:val="0"/>
      <w:divBdr>
        <w:top w:val="none" w:sz="0" w:space="0" w:color="auto"/>
        <w:left w:val="none" w:sz="0" w:space="0" w:color="auto"/>
        <w:bottom w:val="none" w:sz="0" w:space="0" w:color="auto"/>
        <w:right w:val="none" w:sz="0" w:space="0" w:color="auto"/>
      </w:divBdr>
      <w:divsChild>
        <w:div w:id="505217318">
          <w:marLeft w:val="0"/>
          <w:marRight w:val="0"/>
          <w:marTop w:val="0"/>
          <w:marBottom w:val="0"/>
          <w:divBdr>
            <w:top w:val="none" w:sz="0" w:space="0" w:color="auto"/>
            <w:left w:val="none" w:sz="0" w:space="0" w:color="auto"/>
            <w:bottom w:val="none" w:sz="0" w:space="0" w:color="auto"/>
            <w:right w:val="none" w:sz="0" w:space="0" w:color="auto"/>
          </w:divBdr>
          <w:divsChild>
            <w:div w:id="166674958">
              <w:marLeft w:val="0"/>
              <w:marRight w:val="0"/>
              <w:marTop w:val="0"/>
              <w:marBottom w:val="0"/>
              <w:divBdr>
                <w:top w:val="none" w:sz="0" w:space="0" w:color="auto"/>
                <w:left w:val="none" w:sz="0" w:space="0" w:color="auto"/>
                <w:bottom w:val="none" w:sz="0" w:space="0" w:color="auto"/>
                <w:right w:val="none" w:sz="0" w:space="0" w:color="auto"/>
              </w:divBdr>
              <w:divsChild>
                <w:div w:id="1868785872">
                  <w:marLeft w:val="0"/>
                  <w:marRight w:val="0"/>
                  <w:marTop w:val="0"/>
                  <w:marBottom w:val="0"/>
                  <w:divBdr>
                    <w:top w:val="none" w:sz="0" w:space="0" w:color="auto"/>
                    <w:left w:val="none" w:sz="0" w:space="0" w:color="auto"/>
                    <w:bottom w:val="none" w:sz="0" w:space="0" w:color="auto"/>
                    <w:right w:val="none" w:sz="0" w:space="0" w:color="auto"/>
                  </w:divBdr>
                  <w:divsChild>
                    <w:div w:id="12716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152638">
      <w:bodyDiv w:val="1"/>
      <w:marLeft w:val="0"/>
      <w:marRight w:val="0"/>
      <w:marTop w:val="0"/>
      <w:marBottom w:val="0"/>
      <w:divBdr>
        <w:top w:val="none" w:sz="0" w:space="0" w:color="auto"/>
        <w:left w:val="none" w:sz="0" w:space="0" w:color="auto"/>
        <w:bottom w:val="none" w:sz="0" w:space="0" w:color="auto"/>
        <w:right w:val="none" w:sz="0" w:space="0" w:color="auto"/>
      </w:divBdr>
    </w:div>
    <w:div w:id="468937770">
      <w:bodyDiv w:val="1"/>
      <w:marLeft w:val="0"/>
      <w:marRight w:val="0"/>
      <w:marTop w:val="0"/>
      <w:marBottom w:val="0"/>
      <w:divBdr>
        <w:top w:val="none" w:sz="0" w:space="0" w:color="auto"/>
        <w:left w:val="none" w:sz="0" w:space="0" w:color="auto"/>
        <w:bottom w:val="none" w:sz="0" w:space="0" w:color="auto"/>
        <w:right w:val="none" w:sz="0" w:space="0" w:color="auto"/>
      </w:divBdr>
    </w:div>
    <w:div w:id="529420854">
      <w:bodyDiv w:val="1"/>
      <w:marLeft w:val="0"/>
      <w:marRight w:val="0"/>
      <w:marTop w:val="0"/>
      <w:marBottom w:val="0"/>
      <w:divBdr>
        <w:top w:val="none" w:sz="0" w:space="0" w:color="auto"/>
        <w:left w:val="none" w:sz="0" w:space="0" w:color="auto"/>
        <w:bottom w:val="none" w:sz="0" w:space="0" w:color="auto"/>
        <w:right w:val="none" w:sz="0" w:space="0" w:color="auto"/>
      </w:divBdr>
    </w:div>
    <w:div w:id="542595650">
      <w:bodyDiv w:val="1"/>
      <w:marLeft w:val="0"/>
      <w:marRight w:val="0"/>
      <w:marTop w:val="0"/>
      <w:marBottom w:val="0"/>
      <w:divBdr>
        <w:top w:val="none" w:sz="0" w:space="0" w:color="auto"/>
        <w:left w:val="none" w:sz="0" w:space="0" w:color="auto"/>
        <w:bottom w:val="none" w:sz="0" w:space="0" w:color="auto"/>
        <w:right w:val="none" w:sz="0" w:space="0" w:color="auto"/>
      </w:divBdr>
    </w:div>
    <w:div w:id="544877781">
      <w:bodyDiv w:val="1"/>
      <w:marLeft w:val="0"/>
      <w:marRight w:val="0"/>
      <w:marTop w:val="0"/>
      <w:marBottom w:val="0"/>
      <w:divBdr>
        <w:top w:val="none" w:sz="0" w:space="0" w:color="auto"/>
        <w:left w:val="none" w:sz="0" w:space="0" w:color="auto"/>
        <w:bottom w:val="none" w:sz="0" w:space="0" w:color="auto"/>
        <w:right w:val="none" w:sz="0" w:space="0" w:color="auto"/>
      </w:divBdr>
      <w:divsChild>
        <w:div w:id="1946494189">
          <w:marLeft w:val="0"/>
          <w:marRight w:val="0"/>
          <w:marTop w:val="0"/>
          <w:marBottom w:val="0"/>
          <w:divBdr>
            <w:top w:val="none" w:sz="0" w:space="0" w:color="auto"/>
            <w:left w:val="none" w:sz="0" w:space="0" w:color="auto"/>
            <w:bottom w:val="none" w:sz="0" w:space="0" w:color="auto"/>
            <w:right w:val="none" w:sz="0" w:space="0" w:color="auto"/>
          </w:divBdr>
          <w:divsChild>
            <w:div w:id="516702416">
              <w:marLeft w:val="0"/>
              <w:marRight w:val="0"/>
              <w:marTop w:val="0"/>
              <w:marBottom w:val="0"/>
              <w:divBdr>
                <w:top w:val="none" w:sz="0" w:space="0" w:color="auto"/>
                <w:left w:val="none" w:sz="0" w:space="0" w:color="auto"/>
                <w:bottom w:val="none" w:sz="0" w:space="0" w:color="auto"/>
                <w:right w:val="none" w:sz="0" w:space="0" w:color="auto"/>
              </w:divBdr>
              <w:divsChild>
                <w:div w:id="911891053">
                  <w:marLeft w:val="0"/>
                  <w:marRight w:val="0"/>
                  <w:marTop w:val="0"/>
                  <w:marBottom w:val="0"/>
                  <w:divBdr>
                    <w:top w:val="none" w:sz="0" w:space="0" w:color="auto"/>
                    <w:left w:val="none" w:sz="0" w:space="0" w:color="auto"/>
                    <w:bottom w:val="none" w:sz="0" w:space="0" w:color="auto"/>
                    <w:right w:val="none" w:sz="0" w:space="0" w:color="auto"/>
                  </w:divBdr>
                  <w:divsChild>
                    <w:div w:id="12845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92560">
      <w:bodyDiv w:val="1"/>
      <w:marLeft w:val="0"/>
      <w:marRight w:val="0"/>
      <w:marTop w:val="0"/>
      <w:marBottom w:val="0"/>
      <w:divBdr>
        <w:top w:val="none" w:sz="0" w:space="0" w:color="auto"/>
        <w:left w:val="none" w:sz="0" w:space="0" w:color="auto"/>
        <w:bottom w:val="none" w:sz="0" w:space="0" w:color="auto"/>
        <w:right w:val="none" w:sz="0" w:space="0" w:color="auto"/>
      </w:divBdr>
    </w:div>
    <w:div w:id="552811538">
      <w:bodyDiv w:val="1"/>
      <w:marLeft w:val="0"/>
      <w:marRight w:val="0"/>
      <w:marTop w:val="0"/>
      <w:marBottom w:val="0"/>
      <w:divBdr>
        <w:top w:val="none" w:sz="0" w:space="0" w:color="auto"/>
        <w:left w:val="none" w:sz="0" w:space="0" w:color="auto"/>
        <w:bottom w:val="none" w:sz="0" w:space="0" w:color="auto"/>
        <w:right w:val="none" w:sz="0" w:space="0" w:color="auto"/>
      </w:divBdr>
    </w:div>
    <w:div w:id="556088692">
      <w:bodyDiv w:val="1"/>
      <w:marLeft w:val="0"/>
      <w:marRight w:val="0"/>
      <w:marTop w:val="0"/>
      <w:marBottom w:val="0"/>
      <w:divBdr>
        <w:top w:val="none" w:sz="0" w:space="0" w:color="auto"/>
        <w:left w:val="none" w:sz="0" w:space="0" w:color="auto"/>
        <w:bottom w:val="none" w:sz="0" w:space="0" w:color="auto"/>
        <w:right w:val="none" w:sz="0" w:space="0" w:color="auto"/>
      </w:divBdr>
    </w:div>
    <w:div w:id="557478761">
      <w:bodyDiv w:val="1"/>
      <w:marLeft w:val="0"/>
      <w:marRight w:val="0"/>
      <w:marTop w:val="0"/>
      <w:marBottom w:val="0"/>
      <w:divBdr>
        <w:top w:val="none" w:sz="0" w:space="0" w:color="auto"/>
        <w:left w:val="none" w:sz="0" w:space="0" w:color="auto"/>
        <w:bottom w:val="none" w:sz="0" w:space="0" w:color="auto"/>
        <w:right w:val="none" w:sz="0" w:space="0" w:color="auto"/>
      </w:divBdr>
    </w:div>
    <w:div w:id="561913351">
      <w:bodyDiv w:val="1"/>
      <w:marLeft w:val="0"/>
      <w:marRight w:val="0"/>
      <w:marTop w:val="0"/>
      <w:marBottom w:val="0"/>
      <w:divBdr>
        <w:top w:val="none" w:sz="0" w:space="0" w:color="auto"/>
        <w:left w:val="none" w:sz="0" w:space="0" w:color="auto"/>
        <w:bottom w:val="none" w:sz="0" w:space="0" w:color="auto"/>
        <w:right w:val="none" w:sz="0" w:space="0" w:color="auto"/>
      </w:divBdr>
    </w:div>
    <w:div w:id="570849991">
      <w:bodyDiv w:val="1"/>
      <w:marLeft w:val="0"/>
      <w:marRight w:val="0"/>
      <w:marTop w:val="0"/>
      <w:marBottom w:val="0"/>
      <w:divBdr>
        <w:top w:val="none" w:sz="0" w:space="0" w:color="auto"/>
        <w:left w:val="none" w:sz="0" w:space="0" w:color="auto"/>
        <w:bottom w:val="none" w:sz="0" w:space="0" w:color="auto"/>
        <w:right w:val="none" w:sz="0" w:space="0" w:color="auto"/>
      </w:divBdr>
    </w:div>
    <w:div w:id="616526428">
      <w:bodyDiv w:val="1"/>
      <w:marLeft w:val="0"/>
      <w:marRight w:val="0"/>
      <w:marTop w:val="0"/>
      <w:marBottom w:val="0"/>
      <w:divBdr>
        <w:top w:val="none" w:sz="0" w:space="0" w:color="auto"/>
        <w:left w:val="none" w:sz="0" w:space="0" w:color="auto"/>
        <w:bottom w:val="none" w:sz="0" w:space="0" w:color="auto"/>
        <w:right w:val="none" w:sz="0" w:space="0" w:color="auto"/>
      </w:divBdr>
      <w:divsChild>
        <w:div w:id="1464693529">
          <w:marLeft w:val="0"/>
          <w:marRight w:val="0"/>
          <w:marTop w:val="0"/>
          <w:marBottom w:val="0"/>
          <w:divBdr>
            <w:top w:val="none" w:sz="0" w:space="0" w:color="auto"/>
            <w:left w:val="none" w:sz="0" w:space="0" w:color="auto"/>
            <w:bottom w:val="none" w:sz="0" w:space="0" w:color="auto"/>
            <w:right w:val="none" w:sz="0" w:space="0" w:color="auto"/>
          </w:divBdr>
          <w:divsChild>
            <w:div w:id="374744482">
              <w:marLeft w:val="0"/>
              <w:marRight w:val="0"/>
              <w:marTop w:val="0"/>
              <w:marBottom w:val="0"/>
              <w:divBdr>
                <w:top w:val="none" w:sz="0" w:space="0" w:color="auto"/>
                <w:left w:val="none" w:sz="0" w:space="0" w:color="auto"/>
                <w:bottom w:val="none" w:sz="0" w:space="0" w:color="auto"/>
                <w:right w:val="none" w:sz="0" w:space="0" w:color="auto"/>
              </w:divBdr>
              <w:divsChild>
                <w:div w:id="21322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3312">
      <w:bodyDiv w:val="1"/>
      <w:marLeft w:val="0"/>
      <w:marRight w:val="0"/>
      <w:marTop w:val="0"/>
      <w:marBottom w:val="0"/>
      <w:divBdr>
        <w:top w:val="none" w:sz="0" w:space="0" w:color="auto"/>
        <w:left w:val="none" w:sz="0" w:space="0" w:color="auto"/>
        <w:bottom w:val="none" w:sz="0" w:space="0" w:color="auto"/>
        <w:right w:val="none" w:sz="0" w:space="0" w:color="auto"/>
      </w:divBdr>
    </w:div>
    <w:div w:id="637732507">
      <w:bodyDiv w:val="1"/>
      <w:marLeft w:val="0"/>
      <w:marRight w:val="0"/>
      <w:marTop w:val="0"/>
      <w:marBottom w:val="0"/>
      <w:divBdr>
        <w:top w:val="none" w:sz="0" w:space="0" w:color="auto"/>
        <w:left w:val="none" w:sz="0" w:space="0" w:color="auto"/>
        <w:bottom w:val="none" w:sz="0" w:space="0" w:color="auto"/>
        <w:right w:val="none" w:sz="0" w:space="0" w:color="auto"/>
      </w:divBdr>
    </w:div>
    <w:div w:id="673531421">
      <w:bodyDiv w:val="1"/>
      <w:marLeft w:val="0"/>
      <w:marRight w:val="0"/>
      <w:marTop w:val="0"/>
      <w:marBottom w:val="0"/>
      <w:divBdr>
        <w:top w:val="none" w:sz="0" w:space="0" w:color="auto"/>
        <w:left w:val="none" w:sz="0" w:space="0" w:color="auto"/>
        <w:bottom w:val="none" w:sz="0" w:space="0" w:color="auto"/>
        <w:right w:val="none" w:sz="0" w:space="0" w:color="auto"/>
      </w:divBdr>
    </w:div>
    <w:div w:id="678775369">
      <w:bodyDiv w:val="1"/>
      <w:marLeft w:val="0"/>
      <w:marRight w:val="0"/>
      <w:marTop w:val="0"/>
      <w:marBottom w:val="0"/>
      <w:divBdr>
        <w:top w:val="none" w:sz="0" w:space="0" w:color="auto"/>
        <w:left w:val="none" w:sz="0" w:space="0" w:color="auto"/>
        <w:bottom w:val="none" w:sz="0" w:space="0" w:color="auto"/>
        <w:right w:val="none" w:sz="0" w:space="0" w:color="auto"/>
      </w:divBdr>
    </w:div>
    <w:div w:id="690305325">
      <w:bodyDiv w:val="1"/>
      <w:marLeft w:val="0"/>
      <w:marRight w:val="0"/>
      <w:marTop w:val="0"/>
      <w:marBottom w:val="0"/>
      <w:divBdr>
        <w:top w:val="none" w:sz="0" w:space="0" w:color="auto"/>
        <w:left w:val="none" w:sz="0" w:space="0" w:color="auto"/>
        <w:bottom w:val="none" w:sz="0" w:space="0" w:color="auto"/>
        <w:right w:val="none" w:sz="0" w:space="0" w:color="auto"/>
      </w:divBdr>
      <w:divsChild>
        <w:div w:id="763764159">
          <w:marLeft w:val="0"/>
          <w:marRight w:val="0"/>
          <w:marTop w:val="0"/>
          <w:marBottom w:val="0"/>
          <w:divBdr>
            <w:top w:val="none" w:sz="0" w:space="0" w:color="auto"/>
            <w:left w:val="none" w:sz="0" w:space="0" w:color="auto"/>
            <w:bottom w:val="none" w:sz="0" w:space="0" w:color="auto"/>
            <w:right w:val="none" w:sz="0" w:space="0" w:color="auto"/>
          </w:divBdr>
          <w:divsChild>
            <w:div w:id="1343236483">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sChild>
                    <w:div w:id="10305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4019">
      <w:bodyDiv w:val="1"/>
      <w:marLeft w:val="0"/>
      <w:marRight w:val="0"/>
      <w:marTop w:val="0"/>
      <w:marBottom w:val="0"/>
      <w:divBdr>
        <w:top w:val="none" w:sz="0" w:space="0" w:color="auto"/>
        <w:left w:val="none" w:sz="0" w:space="0" w:color="auto"/>
        <w:bottom w:val="none" w:sz="0" w:space="0" w:color="auto"/>
        <w:right w:val="none" w:sz="0" w:space="0" w:color="auto"/>
      </w:divBdr>
      <w:divsChild>
        <w:div w:id="2047287586">
          <w:marLeft w:val="0"/>
          <w:marRight w:val="0"/>
          <w:marTop w:val="0"/>
          <w:marBottom w:val="0"/>
          <w:divBdr>
            <w:top w:val="none" w:sz="0" w:space="0" w:color="auto"/>
            <w:left w:val="none" w:sz="0" w:space="0" w:color="auto"/>
            <w:bottom w:val="none" w:sz="0" w:space="0" w:color="auto"/>
            <w:right w:val="none" w:sz="0" w:space="0" w:color="auto"/>
          </w:divBdr>
          <w:divsChild>
            <w:div w:id="689525515">
              <w:marLeft w:val="0"/>
              <w:marRight w:val="0"/>
              <w:marTop w:val="0"/>
              <w:marBottom w:val="0"/>
              <w:divBdr>
                <w:top w:val="none" w:sz="0" w:space="0" w:color="auto"/>
                <w:left w:val="none" w:sz="0" w:space="0" w:color="auto"/>
                <w:bottom w:val="none" w:sz="0" w:space="0" w:color="auto"/>
                <w:right w:val="none" w:sz="0" w:space="0" w:color="auto"/>
              </w:divBdr>
              <w:divsChild>
                <w:div w:id="1832259526">
                  <w:marLeft w:val="0"/>
                  <w:marRight w:val="0"/>
                  <w:marTop w:val="0"/>
                  <w:marBottom w:val="0"/>
                  <w:divBdr>
                    <w:top w:val="none" w:sz="0" w:space="0" w:color="auto"/>
                    <w:left w:val="none" w:sz="0" w:space="0" w:color="auto"/>
                    <w:bottom w:val="none" w:sz="0" w:space="0" w:color="auto"/>
                    <w:right w:val="none" w:sz="0" w:space="0" w:color="auto"/>
                  </w:divBdr>
                  <w:divsChild>
                    <w:div w:id="3763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86899">
      <w:bodyDiv w:val="1"/>
      <w:marLeft w:val="0"/>
      <w:marRight w:val="0"/>
      <w:marTop w:val="0"/>
      <w:marBottom w:val="0"/>
      <w:divBdr>
        <w:top w:val="none" w:sz="0" w:space="0" w:color="auto"/>
        <w:left w:val="none" w:sz="0" w:space="0" w:color="auto"/>
        <w:bottom w:val="none" w:sz="0" w:space="0" w:color="auto"/>
        <w:right w:val="none" w:sz="0" w:space="0" w:color="auto"/>
      </w:divBdr>
    </w:div>
    <w:div w:id="713850265">
      <w:bodyDiv w:val="1"/>
      <w:marLeft w:val="0"/>
      <w:marRight w:val="0"/>
      <w:marTop w:val="0"/>
      <w:marBottom w:val="0"/>
      <w:divBdr>
        <w:top w:val="none" w:sz="0" w:space="0" w:color="auto"/>
        <w:left w:val="none" w:sz="0" w:space="0" w:color="auto"/>
        <w:bottom w:val="none" w:sz="0" w:space="0" w:color="auto"/>
        <w:right w:val="none" w:sz="0" w:space="0" w:color="auto"/>
      </w:divBdr>
    </w:div>
    <w:div w:id="724838599">
      <w:bodyDiv w:val="1"/>
      <w:marLeft w:val="0"/>
      <w:marRight w:val="0"/>
      <w:marTop w:val="0"/>
      <w:marBottom w:val="0"/>
      <w:divBdr>
        <w:top w:val="none" w:sz="0" w:space="0" w:color="auto"/>
        <w:left w:val="none" w:sz="0" w:space="0" w:color="auto"/>
        <w:bottom w:val="none" w:sz="0" w:space="0" w:color="auto"/>
        <w:right w:val="none" w:sz="0" w:space="0" w:color="auto"/>
      </w:divBdr>
    </w:div>
    <w:div w:id="725757616">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2140442">
      <w:bodyDiv w:val="1"/>
      <w:marLeft w:val="0"/>
      <w:marRight w:val="0"/>
      <w:marTop w:val="0"/>
      <w:marBottom w:val="0"/>
      <w:divBdr>
        <w:top w:val="none" w:sz="0" w:space="0" w:color="auto"/>
        <w:left w:val="none" w:sz="0" w:space="0" w:color="auto"/>
        <w:bottom w:val="none" w:sz="0" w:space="0" w:color="auto"/>
        <w:right w:val="none" w:sz="0" w:space="0" w:color="auto"/>
      </w:divBdr>
    </w:div>
    <w:div w:id="776025885">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2190744">
      <w:bodyDiv w:val="1"/>
      <w:marLeft w:val="0"/>
      <w:marRight w:val="0"/>
      <w:marTop w:val="0"/>
      <w:marBottom w:val="0"/>
      <w:divBdr>
        <w:top w:val="none" w:sz="0" w:space="0" w:color="auto"/>
        <w:left w:val="none" w:sz="0" w:space="0" w:color="auto"/>
        <w:bottom w:val="none" w:sz="0" w:space="0" w:color="auto"/>
        <w:right w:val="none" w:sz="0" w:space="0" w:color="auto"/>
      </w:divBdr>
    </w:div>
    <w:div w:id="789084814">
      <w:bodyDiv w:val="1"/>
      <w:marLeft w:val="0"/>
      <w:marRight w:val="0"/>
      <w:marTop w:val="0"/>
      <w:marBottom w:val="0"/>
      <w:divBdr>
        <w:top w:val="none" w:sz="0" w:space="0" w:color="auto"/>
        <w:left w:val="none" w:sz="0" w:space="0" w:color="auto"/>
        <w:bottom w:val="none" w:sz="0" w:space="0" w:color="auto"/>
        <w:right w:val="none" w:sz="0" w:space="0" w:color="auto"/>
      </w:divBdr>
    </w:div>
    <w:div w:id="797186823">
      <w:bodyDiv w:val="1"/>
      <w:marLeft w:val="0"/>
      <w:marRight w:val="0"/>
      <w:marTop w:val="0"/>
      <w:marBottom w:val="0"/>
      <w:divBdr>
        <w:top w:val="none" w:sz="0" w:space="0" w:color="auto"/>
        <w:left w:val="none" w:sz="0" w:space="0" w:color="auto"/>
        <w:bottom w:val="none" w:sz="0" w:space="0" w:color="auto"/>
        <w:right w:val="none" w:sz="0" w:space="0" w:color="auto"/>
      </w:divBdr>
    </w:div>
    <w:div w:id="809900805">
      <w:bodyDiv w:val="1"/>
      <w:marLeft w:val="0"/>
      <w:marRight w:val="0"/>
      <w:marTop w:val="0"/>
      <w:marBottom w:val="0"/>
      <w:divBdr>
        <w:top w:val="none" w:sz="0" w:space="0" w:color="auto"/>
        <w:left w:val="none" w:sz="0" w:space="0" w:color="auto"/>
        <w:bottom w:val="none" w:sz="0" w:space="0" w:color="auto"/>
        <w:right w:val="none" w:sz="0" w:space="0" w:color="auto"/>
      </w:divBdr>
      <w:divsChild>
        <w:div w:id="1357731597">
          <w:marLeft w:val="0"/>
          <w:marRight w:val="0"/>
          <w:marTop w:val="0"/>
          <w:marBottom w:val="0"/>
          <w:divBdr>
            <w:top w:val="none" w:sz="0" w:space="0" w:color="auto"/>
            <w:left w:val="none" w:sz="0" w:space="0" w:color="auto"/>
            <w:bottom w:val="none" w:sz="0" w:space="0" w:color="auto"/>
            <w:right w:val="none" w:sz="0" w:space="0" w:color="auto"/>
          </w:divBdr>
          <w:divsChild>
            <w:div w:id="397048259">
              <w:marLeft w:val="0"/>
              <w:marRight w:val="0"/>
              <w:marTop w:val="0"/>
              <w:marBottom w:val="0"/>
              <w:divBdr>
                <w:top w:val="none" w:sz="0" w:space="0" w:color="auto"/>
                <w:left w:val="none" w:sz="0" w:space="0" w:color="auto"/>
                <w:bottom w:val="none" w:sz="0" w:space="0" w:color="auto"/>
                <w:right w:val="none" w:sz="0" w:space="0" w:color="auto"/>
              </w:divBdr>
              <w:divsChild>
                <w:div w:id="1975259221">
                  <w:marLeft w:val="0"/>
                  <w:marRight w:val="0"/>
                  <w:marTop w:val="0"/>
                  <w:marBottom w:val="0"/>
                  <w:divBdr>
                    <w:top w:val="none" w:sz="0" w:space="0" w:color="auto"/>
                    <w:left w:val="none" w:sz="0" w:space="0" w:color="auto"/>
                    <w:bottom w:val="none" w:sz="0" w:space="0" w:color="auto"/>
                    <w:right w:val="none" w:sz="0" w:space="0" w:color="auto"/>
                  </w:divBdr>
                  <w:divsChild>
                    <w:div w:id="753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17241">
      <w:bodyDiv w:val="1"/>
      <w:marLeft w:val="0"/>
      <w:marRight w:val="0"/>
      <w:marTop w:val="0"/>
      <w:marBottom w:val="0"/>
      <w:divBdr>
        <w:top w:val="none" w:sz="0" w:space="0" w:color="auto"/>
        <w:left w:val="none" w:sz="0" w:space="0" w:color="auto"/>
        <w:bottom w:val="none" w:sz="0" w:space="0" w:color="auto"/>
        <w:right w:val="none" w:sz="0" w:space="0" w:color="auto"/>
      </w:divBdr>
    </w:div>
    <w:div w:id="827017864">
      <w:bodyDiv w:val="1"/>
      <w:marLeft w:val="0"/>
      <w:marRight w:val="0"/>
      <w:marTop w:val="0"/>
      <w:marBottom w:val="0"/>
      <w:divBdr>
        <w:top w:val="none" w:sz="0" w:space="0" w:color="auto"/>
        <w:left w:val="none" w:sz="0" w:space="0" w:color="auto"/>
        <w:bottom w:val="none" w:sz="0" w:space="0" w:color="auto"/>
        <w:right w:val="none" w:sz="0" w:space="0" w:color="auto"/>
      </w:divBdr>
      <w:divsChild>
        <w:div w:id="718825791">
          <w:marLeft w:val="0"/>
          <w:marRight w:val="0"/>
          <w:marTop w:val="0"/>
          <w:marBottom w:val="0"/>
          <w:divBdr>
            <w:top w:val="none" w:sz="0" w:space="0" w:color="auto"/>
            <w:left w:val="none" w:sz="0" w:space="0" w:color="auto"/>
            <w:bottom w:val="none" w:sz="0" w:space="0" w:color="auto"/>
            <w:right w:val="none" w:sz="0" w:space="0" w:color="auto"/>
          </w:divBdr>
          <w:divsChild>
            <w:div w:id="745225895">
              <w:marLeft w:val="0"/>
              <w:marRight w:val="0"/>
              <w:marTop w:val="0"/>
              <w:marBottom w:val="0"/>
              <w:divBdr>
                <w:top w:val="none" w:sz="0" w:space="0" w:color="auto"/>
                <w:left w:val="none" w:sz="0" w:space="0" w:color="auto"/>
                <w:bottom w:val="none" w:sz="0" w:space="0" w:color="auto"/>
                <w:right w:val="none" w:sz="0" w:space="0" w:color="auto"/>
              </w:divBdr>
              <w:divsChild>
                <w:div w:id="1982883705">
                  <w:marLeft w:val="0"/>
                  <w:marRight w:val="0"/>
                  <w:marTop w:val="0"/>
                  <w:marBottom w:val="0"/>
                  <w:divBdr>
                    <w:top w:val="none" w:sz="0" w:space="0" w:color="auto"/>
                    <w:left w:val="none" w:sz="0" w:space="0" w:color="auto"/>
                    <w:bottom w:val="none" w:sz="0" w:space="0" w:color="auto"/>
                    <w:right w:val="none" w:sz="0" w:space="0" w:color="auto"/>
                  </w:divBdr>
                  <w:divsChild>
                    <w:div w:id="20833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09973">
      <w:bodyDiv w:val="1"/>
      <w:marLeft w:val="0"/>
      <w:marRight w:val="0"/>
      <w:marTop w:val="0"/>
      <w:marBottom w:val="0"/>
      <w:divBdr>
        <w:top w:val="none" w:sz="0" w:space="0" w:color="auto"/>
        <w:left w:val="none" w:sz="0" w:space="0" w:color="auto"/>
        <w:bottom w:val="none" w:sz="0" w:space="0" w:color="auto"/>
        <w:right w:val="none" w:sz="0" w:space="0" w:color="auto"/>
      </w:divBdr>
    </w:div>
    <w:div w:id="861748556">
      <w:bodyDiv w:val="1"/>
      <w:marLeft w:val="0"/>
      <w:marRight w:val="0"/>
      <w:marTop w:val="0"/>
      <w:marBottom w:val="0"/>
      <w:divBdr>
        <w:top w:val="none" w:sz="0" w:space="0" w:color="auto"/>
        <w:left w:val="none" w:sz="0" w:space="0" w:color="auto"/>
        <w:bottom w:val="none" w:sz="0" w:space="0" w:color="auto"/>
        <w:right w:val="none" w:sz="0" w:space="0" w:color="auto"/>
      </w:divBdr>
    </w:div>
    <w:div w:id="883255644">
      <w:bodyDiv w:val="1"/>
      <w:marLeft w:val="0"/>
      <w:marRight w:val="0"/>
      <w:marTop w:val="0"/>
      <w:marBottom w:val="0"/>
      <w:divBdr>
        <w:top w:val="none" w:sz="0" w:space="0" w:color="auto"/>
        <w:left w:val="none" w:sz="0" w:space="0" w:color="auto"/>
        <w:bottom w:val="none" w:sz="0" w:space="0" w:color="auto"/>
        <w:right w:val="none" w:sz="0" w:space="0" w:color="auto"/>
      </w:divBdr>
    </w:div>
    <w:div w:id="890071147">
      <w:bodyDiv w:val="1"/>
      <w:marLeft w:val="0"/>
      <w:marRight w:val="0"/>
      <w:marTop w:val="0"/>
      <w:marBottom w:val="0"/>
      <w:divBdr>
        <w:top w:val="none" w:sz="0" w:space="0" w:color="auto"/>
        <w:left w:val="none" w:sz="0" w:space="0" w:color="auto"/>
        <w:bottom w:val="none" w:sz="0" w:space="0" w:color="auto"/>
        <w:right w:val="none" w:sz="0" w:space="0" w:color="auto"/>
      </w:divBdr>
    </w:div>
    <w:div w:id="901907249">
      <w:bodyDiv w:val="1"/>
      <w:marLeft w:val="0"/>
      <w:marRight w:val="0"/>
      <w:marTop w:val="0"/>
      <w:marBottom w:val="0"/>
      <w:divBdr>
        <w:top w:val="none" w:sz="0" w:space="0" w:color="auto"/>
        <w:left w:val="none" w:sz="0" w:space="0" w:color="auto"/>
        <w:bottom w:val="none" w:sz="0" w:space="0" w:color="auto"/>
        <w:right w:val="none" w:sz="0" w:space="0" w:color="auto"/>
      </w:divBdr>
    </w:div>
    <w:div w:id="909576232">
      <w:bodyDiv w:val="1"/>
      <w:marLeft w:val="0"/>
      <w:marRight w:val="0"/>
      <w:marTop w:val="0"/>
      <w:marBottom w:val="0"/>
      <w:divBdr>
        <w:top w:val="none" w:sz="0" w:space="0" w:color="auto"/>
        <w:left w:val="none" w:sz="0" w:space="0" w:color="auto"/>
        <w:bottom w:val="none" w:sz="0" w:space="0" w:color="auto"/>
        <w:right w:val="none" w:sz="0" w:space="0" w:color="auto"/>
      </w:divBdr>
    </w:div>
    <w:div w:id="914433705">
      <w:bodyDiv w:val="1"/>
      <w:marLeft w:val="0"/>
      <w:marRight w:val="0"/>
      <w:marTop w:val="0"/>
      <w:marBottom w:val="0"/>
      <w:divBdr>
        <w:top w:val="none" w:sz="0" w:space="0" w:color="auto"/>
        <w:left w:val="none" w:sz="0" w:space="0" w:color="auto"/>
        <w:bottom w:val="none" w:sz="0" w:space="0" w:color="auto"/>
        <w:right w:val="none" w:sz="0" w:space="0" w:color="auto"/>
      </w:divBdr>
    </w:div>
    <w:div w:id="930817726">
      <w:bodyDiv w:val="1"/>
      <w:marLeft w:val="0"/>
      <w:marRight w:val="0"/>
      <w:marTop w:val="0"/>
      <w:marBottom w:val="0"/>
      <w:divBdr>
        <w:top w:val="none" w:sz="0" w:space="0" w:color="auto"/>
        <w:left w:val="none" w:sz="0" w:space="0" w:color="auto"/>
        <w:bottom w:val="none" w:sz="0" w:space="0" w:color="auto"/>
        <w:right w:val="none" w:sz="0" w:space="0" w:color="auto"/>
      </w:divBdr>
    </w:div>
    <w:div w:id="953026060">
      <w:bodyDiv w:val="1"/>
      <w:marLeft w:val="0"/>
      <w:marRight w:val="0"/>
      <w:marTop w:val="0"/>
      <w:marBottom w:val="0"/>
      <w:divBdr>
        <w:top w:val="none" w:sz="0" w:space="0" w:color="auto"/>
        <w:left w:val="none" w:sz="0" w:space="0" w:color="auto"/>
        <w:bottom w:val="none" w:sz="0" w:space="0" w:color="auto"/>
        <w:right w:val="none" w:sz="0" w:space="0" w:color="auto"/>
      </w:divBdr>
    </w:div>
    <w:div w:id="96280611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985355658">
      <w:bodyDiv w:val="1"/>
      <w:marLeft w:val="0"/>
      <w:marRight w:val="0"/>
      <w:marTop w:val="0"/>
      <w:marBottom w:val="0"/>
      <w:divBdr>
        <w:top w:val="none" w:sz="0" w:space="0" w:color="auto"/>
        <w:left w:val="none" w:sz="0" w:space="0" w:color="auto"/>
        <w:bottom w:val="none" w:sz="0" w:space="0" w:color="auto"/>
        <w:right w:val="none" w:sz="0" w:space="0" w:color="auto"/>
      </w:divBdr>
    </w:div>
    <w:div w:id="995647655">
      <w:bodyDiv w:val="1"/>
      <w:marLeft w:val="0"/>
      <w:marRight w:val="0"/>
      <w:marTop w:val="0"/>
      <w:marBottom w:val="0"/>
      <w:divBdr>
        <w:top w:val="none" w:sz="0" w:space="0" w:color="auto"/>
        <w:left w:val="none" w:sz="0" w:space="0" w:color="auto"/>
        <w:bottom w:val="none" w:sz="0" w:space="0" w:color="auto"/>
        <w:right w:val="none" w:sz="0" w:space="0" w:color="auto"/>
      </w:divBdr>
    </w:div>
    <w:div w:id="996301902">
      <w:bodyDiv w:val="1"/>
      <w:marLeft w:val="0"/>
      <w:marRight w:val="0"/>
      <w:marTop w:val="0"/>
      <w:marBottom w:val="0"/>
      <w:divBdr>
        <w:top w:val="none" w:sz="0" w:space="0" w:color="auto"/>
        <w:left w:val="none" w:sz="0" w:space="0" w:color="auto"/>
        <w:bottom w:val="none" w:sz="0" w:space="0" w:color="auto"/>
        <w:right w:val="none" w:sz="0" w:space="0" w:color="auto"/>
      </w:divBdr>
    </w:div>
    <w:div w:id="1039010083">
      <w:bodyDiv w:val="1"/>
      <w:marLeft w:val="0"/>
      <w:marRight w:val="0"/>
      <w:marTop w:val="0"/>
      <w:marBottom w:val="0"/>
      <w:divBdr>
        <w:top w:val="none" w:sz="0" w:space="0" w:color="auto"/>
        <w:left w:val="none" w:sz="0" w:space="0" w:color="auto"/>
        <w:bottom w:val="none" w:sz="0" w:space="0" w:color="auto"/>
        <w:right w:val="none" w:sz="0" w:space="0" w:color="auto"/>
      </w:divBdr>
    </w:div>
    <w:div w:id="1049577241">
      <w:bodyDiv w:val="1"/>
      <w:marLeft w:val="0"/>
      <w:marRight w:val="0"/>
      <w:marTop w:val="0"/>
      <w:marBottom w:val="0"/>
      <w:divBdr>
        <w:top w:val="none" w:sz="0" w:space="0" w:color="auto"/>
        <w:left w:val="none" w:sz="0" w:space="0" w:color="auto"/>
        <w:bottom w:val="none" w:sz="0" w:space="0" w:color="auto"/>
        <w:right w:val="none" w:sz="0" w:space="0" w:color="auto"/>
      </w:divBdr>
      <w:divsChild>
        <w:div w:id="1841119131">
          <w:marLeft w:val="0"/>
          <w:marRight w:val="0"/>
          <w:marTop w:val="0"/>
          <w:marBottom w:val="0"/>
          <w:divBdr>
            <w:top w:val="none" w:sz="0" w:space="0" w:color="auto"/>
            <w:left w:val="none" w:sz="0" w:space="0" w:color="auto"/>
            <w:bottom w:val="none" w:sz="0" w:space="0" w:color="auto"/>
            <w:right w:val="none" w:sz="0" w:space="0" w:color="auto"/>
          </w:divBdr>
          <w:divsChild>
            <w:div w:id="36204905">
              <w:marLeft w:val="0"/>
              <w:marRight w:val="0"/>
              <w:marTop w:val="0"/>
              <w:marBottom w:val="0"/>
              <w:divBdr>
                <w:top w:val="none" w:sz="0" w:space="0" w:color="auto"/>
                <w:left w:val="none" w:sz="0" w:space="0" w:color="auto"/>
                <w:bottom w:val="none" w:sz="0" w:space="0" w:color="auto"/>
                <w:right w:val="none" w:sz="0" w:space="0" w:color="auto"/>
              </w:divBdr>
              <w:divsChild>
                <w:div w:id="1371103395">
                  <w:marLeft w:val="0"/>
                  <w:marRight w:val="0"/>
                  <w:marTop w:val="0"/>
                  <w:marBottom w:val="0"/>
                  <w:divBdr>
                    <w:top w:val="none" w:sz="0" w:space="0" w:color="auto"/>
                    <w:left w:val="none" w:sz="0" w:space="0" w:color="auto"/>
                    <w:bottom w:val="none" w:sz="0" w:space="0" w:color="auto"/>
                    <w:right w:val="none" w:sz="0" w:space="0" w:color="auto"/>
                  </w:divBdr>
                  <w:divsChild>
                    <w:div w:id="12872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931666">
      <w:bodyDiv w:val="1"/>
      <w:marLeft w:val="0"/>
      <w:marRight w:val="0"/>
      <w:marTop w:val="0"/>
      <w:marBottom w:val="0"/>
      <w:divBdr>
        <w:top w:val="none" w:sz="0" w:space="0" w:color="auto"/>
        <w:left w:val="none" w:sz="0" w:space="0" w:color="auto"/>
        <w:bottom w:val="none" w:sz="0" w:space="0" w:color="auto"/>
        <w:right w:val="none" w:sz="0" w:space="0" w:color="auto"/>
      </w:divBdr>
    </w:div>
    <w:div w:id="1108820125">
      <w:bodyDiv w:val="1"/>
      <w:marLeft w:val="0"/>
      <w:marRight w:val="0"/>
      <w:marTop w:val="0"/>
      <w:marBottom w:val="0"/>
      <w:divBdr>
        <w:top w:val="none" w:sz="0" w:space="0" w:color="auto"/>
        <w:left w:val="none" w:sz="0" w:space="0" w:color="auto"/>
        <w:bottom w:val="none" w:sz="0" w:space="0" w:color="auto"/>
        <w:right w:val="none" w:sz="0" w:space="0" w:color="auto"/>
      </w:divBdr>
    </w:div>
    <w:div w:id="1124302455">
      <w:bodyDiv w:val="1"/>
      <w:marLeft w:val="0"/>
      <w:marRight w:val="0"/>
      <w:marTop w:val="0"/>
      <w:marBottom w:val="0"/>
      <w:divBdr>
        <w:top w:val="none" w:sz="0" w:space="0" w:color="auto"/>
        <w:left w:val="none" w:sz="0" w:space="0" w:color="auto"/>
        <w:bottom w:val="none" w:sz="0" w:space="0" w:color="auto"/>
        <w:right w:val="none" w:sz="0" w:space="0" w:color="auto"/>
      </w:divBdr>
    </w:div>
    <w:div w:id="1143157176">
      <w:bodyDiv w:val="1"/>
      <w:marLeft w:val="0"/>
      <w:marRight w:val="0"/>
      <w:marTop w:val="0"/>
      <w:marBottom w:val="0"/>
      <w:divBdr>
        <w:top w:val="none" w:sz="0" w:space="0" w:color="auto"/>
        <w:left w:val="none" w:sz="0" w:space="0" w:color="auto"/>
        <w:bottom w:val="none" w:sz="0" w:space="0" w:color="auto"/>
        <w:right w:val="none" w:sz="0" w:space="0" w:color="auto"/>
      </w:divBdr>
    </w:div>
    <w:div w:id="1145395918">
      <w:bodyDiv w:val="1"/>
      <w:marLeft w:val="0"/>
      <w:marRight w:val="0"/>
      <w:marTop w:val="0"/>
      <w:marBottom w:val="0"/>
      <w:divBdr>
        <w:top w:val="none" w:sz="0" w:space="0" w:color="auto"/>
        <w:left w:val="none" w:sz="0" w:space="0" w:color="auto"/>
        <w:bottom w:val="none" w:sz="0" w:space="0" w:color="auto"/>
        <w:right w:val="none" w:sz="0" w:space="0" w:color="auto"/>
      </w:divBdr>
      <w:divsChild>
        <w:div w:id="2135324575">
          <w:marLeft w:val="0"/>
          <w:marRight w:val="0"/>
          <w:marTop w:val="0"/>
          <w:marBottom w:val="0"/>
          <w:divBdr>
            <w:top w:val="none" w:sz="0" w:space="0" w:color="auto"/>
            <w:left w:val="none" w:sz="0" w:space="0" w:color="auto"/>
            <w:bottom w:val="none" w:sz="0" w:space="0" w:color="auto"/>
            <w:right w:val="none" w:sz="0" w:space="0" w:color="auto"/>
          </w:divBdr>
          <w:divsChild>
            <w:div w:id="933972543">
              <w:marLeft w:val="0"/>
              <w:marRight w:val="0"/>
              <w:marTop w:val="0"/>
              <w:marBottom w:val="0"/>
              <w:divBdr>
                <w:top w:val="none" w:sz="0" w:space="0" w:color="auto"/>
                <w:left w:val="none" w:sz="0" w:space="0" w:color="auto"/>
                <w:bottom w:val="none" w:sz="0" w:space="0" w:color="auto"/>
                <w:right w:val="none" w:sz="0" w:space="0" w:color="auto"/>
              </w:divBdr>
              <w:divsChild>
                <w:div w:id="1219970982">
                  <w:marLeft w:val="0"/>
                  <w:marRight w:val="0"/>
                  <w:marTop w:val="0"/>
                  <w:marBottom w:val="0"/>
                  <w:divBdr>
                    <w:top w:val="none" w:sz="0" w:space="0" w:color="auto"/>
                    <w:left w:val="none" w:sz="0" w:space="0" w:color="auto"/>
                    <w:bottom w:val="none" w:sz="0" w:space="0" w:color="auto"/>
                    <w:right w:val="none" w:sz="0" w:space="0" w:color="auto"/>
                  </w:divBdr>
                  <w:divsChild>
                    <w:div w:id="13898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03912">
      <w:bodyDiv w:val="1"/>
      <w:marLeft w:val="0"/>
      <w:marRight w:val="0"/>
      <w:marTop w:val="0"/>
      <w:marBottom w:val="0"/>
      <w:divBdr>
        <w:top w:val="none" w:sz="0" w:space="0" w:color="auto"/>
        <w:left w:val="none" w:sz="0" w:space="0" w:color="auto"/>
        <w:bottom w:val="none" w:sz="0" w:space="0" w:color="auto"/>
        <w:right w:val="none" w:sz="0" w:space="0" w:color="auto"/>
      </w:divBdr>
    </w:div>
    <w:div w:id="1191989372">
      <w:bodyDiv w:val="1"/>
      <w:marLeft w:val="0"/>
      <w:marRight w:val="0"/>
      <w:marTop w:val="0"/>
      <w:marBottom w:val="0"/>
      <w:divBdr>
        <w:top w:val="none" w:sz="0" w:space="0" w:color="auto"/>
        <w:left w:val="none" w:sz="0" w:space="0" w:color="auto"/>
        <w:bottom w:val="none" w:sz="0" w:space="0" w:color="auto"/>
        <w:right w:val="none" w:sz="0" w:space="0" w:color="auto"/>
      </w:divBdr>
      <w:divsChild>
        <w:div w:id="1603797651">
          <w:marLeft w:val="0"/>
          <w:marRight w:val="0"/>
          <w:marTop w:val="0"/>
          <w:marBottom w:val="0"/>
          <w:divBdr>
            <w:top w:val="none" w:sz="0" w:space="0" w:color="auto"/>
            <w:left w:val="none" w:sz="0" w:space="0" w:color="auto"/>
            <w:bottom w:val="none" w:sz="0" w:space="0" w:color="auto"/>
            <w:right w:val="none" w:sz="0" w:space="0" w:color="auto"/>
          </w:divBdr>
          <w:divsChild>
            <w:div w:id="2063674277">
              <w:marLeft w:val="0"/>
              <w:marRight w:val="0"/>
              <w:marTop w:val="0"/>
              <w:marBottom w:val="0"/>
              <w:divBdr>
                <w:top w:val="none" w:sz="0" w:space="0" w:color="auto"/>
                <w:left w:val="none" w:sz="0" w:space="0" w:color="auto"/>
                <w:bottom w:val="none" w:sz="0" w:space="0" w:color="auto"/>
                <w:right w:val="none" w:sz="0" w:space="0" w:color="auto"/>
              </w:divBdr>
              <w:divsChild>
                <w:div w:id="16694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29871">
      <w:bodyDiv w:val="1"/>
      <w:marLeft w:val="0"/>
      <w:marRight w:val="0"/>
      <w:marTop w:val="0"/>
      <w:marBottom w:val="0"/>
      <w:divBdr>
        <w:top w:val="none" w:sz="0" w:space="0" w:color="auto"/>
        <w:left w:val="none" w:sz="0" w:space="0" w:color="auto"/>
        <w:bottom w:val="none" w:sz="0" w:space="0" w:color="auto"/>
        <w:right w:val="none" w:sz="0" w:space="0" w:color="auto"/>
      </w:divBdr>
    </w:div>
    <w:div w:id="1228564818">
      <w:bodyDiv w:val="1"/>
      <w:marLeft w:val="0"/>
      <w:marRight w:val="0"/>
      <w:marTop w:val="0"/>
      <w:marBottom w:val="0"/>
      <w:divBdr>
        <w:top w:val="none" w:sz="0" w:space="0" w:color="auto"/>
        <w:left w:val="none" w:sz="0" w:space="0" w:color="auto"/>
        <w:bottom w:val="none" w:sz="0" w:space="0" w:color="auto"/>
        <w:right w:val="none" w:sz="0" w:space="0" w:color="auto"/>
      </w:divBdr>
    </w:div>
    <w:div w:id="1252353175">
      <w:bodyDiv w:val="1"/>
      <w:marLeft w:val="0"/>
      <w:marRight w:val="0"/>
      <w:marTop w:val="0"/>
      <w:marBottom w:val="0"/>
      <w:divBdr>
        <w:top w:val="none" w:sz="0" w:space="0" w:color="auto"/>
        <w:left w:val="none" w:sz="0" w:space="0" w:color="auto"/>
        <w:bottom w:val="none" w:sz="0" w:space="0" w:color="auto"/>
        <w:right w:val="none" w:sz="0" w:space="0" w:color="auto"/>
      </w:divBdr>
    </w:div>
    <w:div w:id="1295911982">
      <w:bodyDiv w:val="1"/>
      <w:marLeft w:val="0"/>
      <w:marRight w:val="0"/>
      <w:marTop w:val="0"/>
      <w:marBottom w:val="0"/>
      <w:divBdr>
        <w:top w:val="none" w:sz="0" w:space="0" w:color="auto"/>
        <w:left w:val="none" w:sz="0" w:space="0" w:color="auto"/>
        <w:bottom w:val="none" w:sz="0" w:space="0" w:color="auto"/>
        <w:right w:val="none" w:sz="0" w:space="0" w:color="auto"/>
      </w:divBdr>
    </w:div>
    <w:div w:id="1296175214">
      <w:bodyDiv w:val="1"/>
      <w:marLeft w:val="0"/>
      <w:marRight w:val="0"/>
      <w:marTop w:val="0"/>
      <w:marBottom w:val="0"/>
      <w:divBdr>
        <w:top w:val="none" w:sz="0" w:space="0" w:color="auto"/>
        <w:left w:val="none" w:sz="0" w:space="0" w:color="auto"/>
        <w:bottom w:val="none" w:sz="0" w:space="0" w:color="auto"/>
        <w:right w:val="none" w:sz="0" w:space="0" w:color="auto"/>
      </w:divBdr>
    </w:div>
    <w:div w:id="1302468399">
      <w:bodyDiv w:val="1"/>
      <w:marLeft w:val="0"/>
      <w:marRight w:val="0"/>
      <w:marTop w:val="0"/>
      <w:marBottom w:val="0"/>
      <w:divBdr>
        <w:top w:val="none" w:sz="0" w:space="0" w:color="auto"/>
        <w:left w:val="none" w:sz="0" w:space="0" w:color="auto"/>
        <w:bottom w:val="none" w:sz="0" w:space="0" w:color="auto"/>
        <w:right w:val="none" w:sz="0" w:space="0" w:color="auto"/>
      </w:divBdr>
    </w:div>
    <w:div w:id="1306008960">
      <w:bodyDiv w:val="1"/>
      <w:marLeft w:val="0"/>
      <w:marRight w:val="0"/>
      <w:marTop w:val="0"/>
      <w:marBottom w:val="0"/>
      <w:divBdr>
        <w:top w:val="none" w:sz="0" w:space="0" w:color="auto"/>
        <w:left w:val="none" w:sz="0" w:space="0" w:color="auto"/>
        <w:bottom w:val="none" w:sz="0" w:space="0" w:color="auto"/>
        <w:right w:val="none" w:sz="0" w:space="0" w:color="auto"/>
      </w:divBdr>
    </w:div>
    <w:div w:id="1310088512">
      <w:bodyDiv w:val="1"/>
      <w:marLeft w:val="0"/>
      <w:marRight w:val="0"/>
      <w:marTop w:val="0"/>
      <w:marBottom w:val="0"/>
      <w:divBdr>
        <w:top w:val="none" w:sz="0" w:space="0" w:color="auto"/>
        <w:left w:val="none" w:sz="0" w:space="0" w:color="auto"/>
        <w:bottom w:val="none" w:sz="0" w:space="0" w:color="auto"/>
        <w:right w:val="none" w:sz="0" w:space="0" w:color="auto"/>
      </w:divBdr>
    </w:div>
    <w:div w:id="1314917410">
      <w:bodyDiv w:val="1"/>
      <w:marLeft w:val="0"/>
      <w:marRight w:val="0"/>
      <w:marTop w:val="0"/>
      <w:marBottom w:val="0"/>
      <w:divBdr>
        <w:top w:val="none" w:sz="0" w:space="0" w:color="auto"/>
        <w:left w:val="none" w:sz="0" w:space="0" w:color="auto"/>
        <w:bottom w:val="none" w:sz="0" w:space="0" w:color="auto"/>
        <w:right w:val="none" w:sz="0" w:space="0" w:color="auto"/>
      </w:divBdr>
    </w:div>
    <w:div w:id="1362973168">
      <w:bodyDiv w:val="1"/>
      <w:marLeft w:val="0"/>
      <w:marRight w:val="0"/>
      <w:marTop w:val="0"/>
      <w:marBottom w:val="0"/>
      <w:divBdr>
        <w:top w:val="none" w:sz="0" w:space="0" w:color="auto"/>
        <w:left w:val="none" w:sz="0" w:space="0" w:color="auto"/>
        <w:bottom w:val="none" w:sz="0" w:space="0" w:color="auto"/>
        <w:right w:val="none" w:sz="0" w:space="0" w:color="auto"/>
      </w:divBdr>
    </w:div>
    <w:div w:id="1384406148">
      <w:bodyDiv w:val="1"/>
      <w:marLeft w:val="0"/>
      <w:marRight w:val="0"/>
      <w:marTop w:val="0"/>
      <w:marBottom w:val="0"/>
      <w:divBdr>
        <w:top w:val="none" w:sz="0" w:space="0" w:color="auto"/>
        <w:left w:val="none" w:sz="0" w:space="0" w:color="auto"/>
        <w:bottom w:val="none" w:sz="0" w:space="0" w:color="auto"/>
        <w:right w:val="none" w:sz="0" w:space="0" w:color="auto"/>
      </w:divBdr>
    </w:div>
    <w:div w:id="1386830325">
      <w:bodyDiv w:val="1"/>
      <w:marLeft w:val="0"/>
      <w:marRight w:val="0"/>
      <w:marTop w:val="0"/>
      <w:marBottom w:val="0"/>
      <w:divBdr>
        <w:top w:val="none" w:sz="0" w:space="0" w:color="auto"/>
        <w:left w:val="none" w:sz="0" w:space="0" w:color="auto"/>
        <w:bottom w:val="none" w:sz="0" w:space="0" w:color="auto"/>
        <w:right w:val="none" w:sz="0" w:space="0" w:color="auto"/>
      </w:divBdr>
    </w:div>
    <w:div w:id="1401440697">
      <w:bodyDiv w:val="1"/>
      <w:marLeft w:val="0"/>
      <w:marRight w:val="0"/>
      <w:marTop w:val="0"/>
      <w:marBottom w:val="0"/>
      <w:divBdr>
        <w:top w:val="none" w:sz="0" w:space="0" w:color="auto"/>
        <w:left w:val="none" w:sz="0" w:space="0" w:color="auto"/>
        <w:bottom w:val="none" w:sz="0" w:space="0" w:color="auto"/>
        <w:right w:val="none" w:sz="0" w:space="0" w:color="auto"/>
      </w:divBdr>
    </w:div>
    <w:div w:id="1430009061">
      <w:bodyDiv w:val="1"/>
      <w:marLeft w:val="0"/>
      <w:marRight w:val="0"/>
      <w:marTop w:val="0"/>
      <w:marBottom w:val="0"/>
      <w:divBdr>
        <w:top w:val="none" w:sz="0" w:space="0" w:color="auto"/>
        <w:left w:val="none" w:sz="0" w:space="0" w:color="auto"/>
        <w:bottom w:val="none" w:sz="0" w:space="0" w:color="auto"/>
        <w:right w:val="none" w:sz="0" w:space="0" w:color="auto"/>
      </w:divBdr>
    </w:div>
    <w:div w:id="1434282713">
      <w:bodyDiv w:val="1"/>
      <w:marLeft w:val="0"/>
      <w:marRight w:val="0"/>
      <w:marTop w:val="0"/>
      <w:marBottom w:val="0"/>
      <w:divBdr>
        <w:top w:val="none" w:sz="0" w:space="0" w:color="auto"/>
        <w:left w:val="none" w:sz="0" w:space="0" w:color="auto"/>
        <w:bottom w:val="none" w:sz="0" w:space="0" w:color="auto"/>
        <w:right w:val="none" w:sz="0" w:space="0" w:color="auto"/>
      </w:divBdr>
    </w:div>
    <w:div w:id="1434934201">
      <w:bodyDiv w:val="1"/>
      <w:marLeft w:val="0"/>
      <w:marRight w:val="0"/>
      <w:marTop w:val="0"/>
      <w:marBottom w:val="0"/>
      <w:divBdr>
        <w:top w:val="none" w:sz="0" w:space="0" w:color="auto"/>
        <w:left w:val="none" w:sz="0" w:space="0" w:color="auto"/>
        <w:bottom w:val="none" w:sz="0" w:space="0" w:color="auto"/>
        <w:right w:val="none" w:sz="0" w:space="0" w:color="auto"/>
      </w:divBdr>
      <w:divsChild>
        <w:div w:id="1131291392">
          <w:marLeft w:val="0"/>
          <w:marRight w:val="0"/>
          <w:marTop w:val="0"/>
          <w:marBottom w:val="0"/>
          <w:divBdr>
            <w:top w:val="none" w:sz="0" w:space="0" w:color="auto"/>
            <w:left w:val="none" w:sz="0" w:space="0" w:color="auto"/>
            <w:bottom w:val="none" w:sz="0" w:space="0" w:color="auto"/>
            <w:right w:val="none" w:sz="0" w:space="0" w:color="auto"/>
          </w:divBdr>
          <w:divsChild>
            <w:div w:id="2127192059">
              <w:marLeft w:val="0"/>
              <w:marRight w:val="0"/>
              <w:marTop w:val="0"/>
              <w:marBottom w:val="0"/>
              <w:divBdr>
                <w:top w:val="none" w:sz="0" w:space="0" w:color="auto"/>
                <w:left w:val="none" w:sz="0" w:space="0" w:color="auto"/>
                <w:bottom w:val="none" w:sz="0" w:space="0" w:color="auto"/>
                <w:right w:val="none" w:sz="0" w:space="0" w:color="auto"/>
              </w:divBdr>
              <w:divsChild>
                <w:div w:id="885606341">
                  <w:marLeft w:val="0"/>
                  <w:marRight w:val="0"/>
                  <w:marTop w:val="0"/>
                  <w:marBottom w:val="0"/>
                  <w:divBdr>
                    <w:top w:val="none" w:sz="0" w:space="0" w:color="auto"/>
                    <w:left w:val="none" w:sz="0" w:space="0" w:color="auto"/>
                    <w:bottom w:val="none" w:sz="0" w:space="0" w:color="auto"/>
                    <w:right w:val="none" w:sz="0" w:space="0" w:color="auto"/>
                  </w:divBdr>
                  <w:divsChild>
                    <w:div w:id="2183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040">
      <w:bodyDiv w:val="1"/>
      <w:marLeft w:val="0"/>
      <w:marRight w:val="0"/>
      <w:marTop w:val="0"/>
      <w:marBottom w:val="0"/>
      <w:divBdr>
        <w:top w:val="none" w:sz="0" w:space="0" w:color="auto"/>
        <w:left w:val="none" w:sz="0" w:space="0" w:color="auto"/>
        <w:bottom w:val="none" w:sz="0" w:space="0" w:color="auto"/>
        <w:right w:val="none" w:sz="0" w:space="0" w:color="auto"/>
      </w:divBdr>
      <w:divsChild>
        <w:div w:id="1944413704">
          <w:marLeft w:val="0"/>
          <w:marRight w:val="0"/>
          <w:marTop w:val="0"/>
          <w:marBottom w:val="0"/>
          <w:divBdr>
            <w:top w:val="none" w:sz="0" w:space="0" w:color="auto"/>
            <w:left w:val="none" w:sz="0" w:space="0" w:color="auto"/>
            <w:bottom w:val="none" w:sz="0" w:space="0" w:color="auto"/>
            <w:right w:val="none" w:sz="0" w:space="0" w:color="auto"/>
          </w:divBdr>
          <w:divsChild>
            <w:div w:id="216747507">
              <w:marLeft w:val="0"/>
              <w:marRight w:val="0"/>
              <w:marTop w:val="0"/>
              <w:marBottom w:val="0"/>
              <w:divBdr>
                <w:top w:val="none" w:sz="0" w:space="0" w:color="auto"/>
                <w:left w:val="none" w:sz="0" w:space="0" w:color="auto"/>
                <w:bottom w:val="none" w:sz="0" w:space="0" w:color="auto"/>
                <w:right w:val="none" w:sz="0" w:space="0" w:color="auto"/>
              </w:divBdr>
              <w:divsChild>
                <w:div w:id="229315138">
                  <w:marLeft w:val="0"/>
                  <w:marRight w:val="0"/>
                  <w:marTop w:val="0"/>
                  <w:marBottom w:val="0"/>
                  <w:divBdr>
                    <w:top w:val="none" w:sz="0" w:space="0" w:color="auto"/>
                    <w:left w:val="none" w:sz="0" w:space="0" w:color="auto"/>
                    <w:bottom w:val="none" w:sz="0" w:space="0" w:color="auto"/>
                    <w:right w:val="none" w:sz="0" w:space="0" w:color="auto"/>
                  </w:divBdr>
                  <w:divsChild>
                    <w:div w:id="1290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82301">
      <w:bodyDiv w:val="1"/>
      <w:marLeft w:val="0"/>
      <w:marRight w:val="0"/>
      <w:marTop w:val="0"/>
      <w:marBottom w:val="0"/>
      <w:divBdr>
        <w:top w:val="none" w:sz="0" w:space="0" w:color="auto"/>
        <w:left w:val="none" w:sz="0" w:space="0" w:color="auto"/>
        <w:bottom w:val="none" w:sz="0" w:space="0" w:color="auto"/>
        <w:right w:val="none" w:sz="0" w:space="0" w:color="auto"/>
      </w:divBdr>
    </w:div>
    <w:div w:id="1482186268">
      <w:bodyDiv w:val="1"/>
      <w:marLeft w:val="0"/>
      <w:marRight w:val="0"/>
      <w:marTop w:val="0"/>
      <w:marBottom w:val="0"/>
      <w:divBdr>
        <w:top w:val="none" w:sz="0" w:space="0" w:color="auto"/>
        <w:left w:val="none" w:sz="0" w:space="0" w:color="auto"/>
        <w:bottom w:val="none" w:sz="0" w:space="0" w:color="auto"/>
        <w:right w:val="none" w:sz="0" w:space="0" w:color="auto"/>
      </w:divBdr>
      <w:divsChild>
        <w:div w:id="1392271709">
          <w:marLeft w:val="0"/>
          <w:marRight w:val="0"/>
          <w:marTop w:val="0"/>
          <w:marBottom w:val="0"/>
          <w:divBdr>
            <w:top w:val="none" w:sz="0" w:space="0" w:color="auto"/>
            <w:left w:val="none" w:sz="0" w:space="0" w:color="auto"/>
            <w:bottom w:val="none" w:sz="0" w:space="0" w:color="auto"/>
            <w:right w:val="none" w:sz="0" w:space="0" w:color="auto"/>
          </w:divBdr>
          <w:divsChild>
            <w:div w:id="1485780164">
              <w:marLeft w:val="0"/>
              <w:marRight w:val="0"/>
              <w:marTop w:val="0"/>
              <w:marBottom w:val="0"/>
              <w:divBdr>
                <w:top w:val="none" w:sz="0" w:space="0" w:color="auto"/>
                <w:left w:val="none" w:sz="0" w:space="0" w:color="auto"/>
                <w:bottom w:val="none" w:sz="0" w:space="0" w:color="auto"/>
                <w:right w:val="none" w:sz="0" w:space="0" w:color="auto"/>
              </w:divBdr>
              <w:divsChild>
                <w:div w:id="472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0815">
      <w:bodyDiv w:val="1"/>
      <w:marLeft w:val="0"/>
      <w:marRight w:val="0"/>
      <w:marTop w:val="0"/>
      <w:marBottom w:val="0"/>
      <w:divBdr>
        <w:top w:val="none" w:sz="0" w:space="0" w:color="auto"/>
        <w:left w:val="none" w:sz="0" w:space="0" w:color="auto"/>
        <w:bottom w:val="none" w:sz="0" w:space="0" w:color="auto"/>
        <w:right w:val="none" w:sz="0" w:space="0" w:color="auto"/>
      </w:divBdr>
      <w:divsChild>
        <w:div w:id="2043704958">
          <w:marLeft w:val="0"/>
          <w:marRight w:val="0"/>
          <w:marTop w:val="0"/>
          <w:marBottom w:val="0"/>
          <w:divBdr>
            <w:top w:val="none" w:sz="0" w:space="0" w:color="auto"/>
            <w:left w:val="none" w:sz="0" w:space="0" w:color="auto"/>
            <w:bottom w:val="none" w:sz="0" w:space="0" w:color="auto"/>
            <w:right w:val="none" w:sz="0" w:space="0" w:color="auto"/>
          </w:divBdr>
          <w:divsChild>
            <w:div w:id="1943343342">
              <w:marLeft w:val="0"/>
              <w:marRight w:val="0"/>
              <w:marTop w:val="0"/>
              <w:marBottom w:val="0"/>
              <w:divBdr>
                <w:top w:val="none" w:sz="0" w:space="0" w:color="auto"/>
                <w:left w:val="none" w:sz="0" w:space="0" w:color="auto"/>
                <w:bottom w:val="none" w:sz="0" w:space="0" w:color="auto"/>
                <w:right w:val="none" w:sz="0" w:space="0" w:color="auto"/>
              </w:divBdr>
              <w:divsChild>
                <w:div w:id="21310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4405">
      <w:bodyDiv w:val="1"/>
      <w:marLeft w:val="0"/>
      <w:marRight w:val="0"/>
      <w:marTop w:val="0"/>
      <w:marBottom w:val="0"/>
      <w:divBdr>
        <w:top w:val="none" w:sz="0" w:space="0" w:color="auto"/>
        <w:left w:val="none" w:sz="0" w:space="0" w:color="auto"/>
        <w:bottom w:val="none" w:sz="0" w:space="0" w:color="auto"/>
        <w:right w:val="none" w:sz="0" w:space="0" w:color="auto"/>
      </w:divBdr>
      <w:divsChild>
        <w:div w:id="1480490962">
          <w:marLeft w:val="0"/>
          <w:marRight w:val="0"/>
          <w:marTop w:val="0"/>
          <w:marBottom w:val="0"/>
          <w:divBdr>
            <w:top w:val="none" w:sz="0" w:space="0" w:color="auto"/>
            <w:left w:val="none" w:sz="0" w:space="0" w:color="auto"/>
            <w:bottom w:val="none" w:sz="0" w:space="0" w:color="auto"/>
            <w:right w:val="none" w:sz="0" w:space="0" w:color="auto"/>
          </w:divBdr>
          <w:divsChild>
            <w:div w:id="27724553">
              <w:marLeft w:val="0"/>
              <w:marRight w:val="0"/>
              <w:marTop w:val="0"/>
              <w:marBottom w:val="0"/>
              <w:divBdr>
                <w:top w:val="none" w:sz="0" w:space="0" w:color="auto"/>
                <w:left w:val="none" w:sz="0" w:space="0" w:color="auto"/>
                <w:bottom w:val="none" w:sz="0" w:space="0" w:color="auto"/>
                <w:right w:val="none" w:sz="0" w:space="0" w:color="auto"/>
              </w:divBdr>
              <w:divsChild>
                <w:div w:id="2077508913">
                  <w:marLeft w:val="0"/>
                  <w:marRight w:val="0"/>
                  <w:marTop w:val="0"/>
                  <w:marBottom w:val="0"/>
                  <w:divBdr>
                    <w:top w:val="none" w:sz="0" w:space="0" w:color="auto"/>
                    <w:left w:val="none" w:sz="0" w:space="0" w:color="auto"/>
                    <w:bottom w:val="none" w:sz="0" w:space="0" w:color="auto"/>
                    <w:right w:val="none" w:sz="0" w:space="0" w:color="auto"/>
                  </w:divBdr>
                  <w:divsChild>
                    <w:div w:id="15849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58260">
      <w:bodyDiv w:val="1"/>
      <w:marLeft w:val="0"/>
      <w:marRight w:val="0"/>
      <w:marTop w:val="0"/>
      <w:marBottom w:val="0"/>
      <w:divBdr>
        <w:top w:val="none" w:sz="0" w:space="0" w:color="auto"/>
        <w:left w:val="none" w:sz="0" w:space="0" w:color="auto"/>
        <w:bottom w:val="none" w:sz="0" w:space="0" w:color="auto"/>
        <w:right w:val="none" w:sz="0" w:space="0" w:color="auto"/>
      </w:divBdr>
    </w:div>
    <w:div w:id="1536625313">
      <w:bodyDiv w:val="1"/>
      <w:marLeft w:val="0"/>
      <w:marRight w:val="0"/>
      <w:marTop w:val="0"/>
      <w:marBottom w:val="0"/>
      <w:divBdr>
        <w:top w:val="none" w:sz="0" w:space="0" w:color="auto"/>
        <w:left w:val="none" w:sz="0" w:space="0" w:color="auto"/>
        <w:bottom w:val="none" w:sz="0" w:space="0" w:color="auto"/>
        <w:right w:val="none" w:sz="0" w:space="0" w:color="auto"/>
      </w:divBdr>
    </w:div>
    <w:div w:id="1537933618">
      <w:bodyDiv w:val="1"/>
      <w:marLeft w:val="0"/>
      <w:marRight w:val="0"/>
      <w:marTop w:val="0"/>
      <w:marBottom w:val="0"/>
      <w:divBdr>
        <w:top w:val="none" w:sz="0" w:space="0" w:color="auto"/>
        <w:left w:val="none" w:sz="0" w:space="0" w:color="auto"/>
        <w:bottom w:val="none" w:sz="0" w:space="0" w:color="auto"/>
        <w:right w:val="none" w:sz="0" w:space="0" w:color="auto"/>
      </w:divBdr>
    </w:div>
    <w:div w:id="1544169292">
      <w:bodyDiv w:val="1"/>
      <w:marLeft w:val="0"/>
      <w:marRight w:val="0"/>
      <w:marTop w:val="0"/>
      <w:marBottom w:val="0"/>
      <w:divBdr>
        <w:top w:val="none" w:sz="0" w:space="0" w:color="auto"/>
        <w:left w:val="none" w:sz="0" w:space="0" w:color="auto"/>
        <w:bottom w:val="none" w:sz="0" w:space="0" w:color="auto"/>
        <w:right w:val="none" w:sz="0" w:space="0" w:color="auto"/>
      </w:divBdr>
    </w:div>
    <w:div w:id="1618875718">
      <w:bodyDiv w:val="1"/>
      <w:marLeft w:val="0"/>
      <w:marRight w:val="0"/>
      <w:marTop w:val="0"/>
      <w:marBottom w:val="0"/>
      <w:divBdr>
        <w:top w:val="none" w:sz="0" w:space="0" w:color="auto"/>
        <w:left w:val="none" w:sz="0" w:space="0" w:color="auto"/>
        <w:bottom w:val="none" w:sz="0" w:space="0" w:color="auto"/>
        <w:right w:val="none" w:sz="0" w:space="0" w:color="auto"/>
      </w:divBdr>
    </w:div>
    <w:div w:id="1647469797">
      <w:bodyDiv w:val="1"/>
      <w:marLeft w:val="0"/>
      <w:marRight w:val="0"/>
      <w:marTop w:val="0"/>
      <w:marBottom w:val="0"/>
      <w:divBdr>
        <w:top w:val="none" w:sz="0" w:space="0" w:color="auto"/>
        <w:left w:val="none" w:sz="0" w:space="0" w:color="auto"/>
        <w:bottom w:val="none" w:sz="0" w:space="0" w:color="auto"/>
        <w:right w:val="none" w:sz="0" w:space="0" w:color="auto"/>
      </w:divBdr>
    </w:div>
    <w:div w:id="1647969490">
      <w:bodyDiv w:val="1"/>
      <w:marLeft w:val="0"/>
      <w:marRight w:val="0"/>
      <w:marTop w:val="0"/>
      <w:marBottom w:val="0"/>
      <w:divBdr>
        <w:top w:val="none" w:sz="0" w:space="0" w:color="auto"/>
        <w:left w:val="none" w:sz="0" w:space="0" w:color="auto"/>
        <w:bottom w:val="none" w:sz="0" w:space="0" w:color="auto"/>
        <w:right w:val="none" w:sz="0" w:space="0" w:color="auto"/>
      </w:divBdr>
    </w:div>
    <w:div w:id="1658878219">
      <w:bodyDiv w:val="1"/>
      <w:marLeft w:val="0"/>
      <w:marRight w:val="0"/>
      <w:marTop w:val="0"/>
      <w:marBottom w:val="0"/>
      <w:divBdr>
        <w:top w:val="none" w:sz="0" w:space="0" w:color="auto"/>
        <w:left w:val="none" w:sz="0" w:space="0" w:color="auto"/>
        <w:bottom w:val="none" w:sz="0" w:space="0" w:color="auto"/>
        <w:right w:val="none" w:sz="0" w:space="0" w:color="auto"/>
      </w:divBdr>
    </w:div>
    <w:div w:id="1669477429">
      <w:bodyDiv w:val="1"/>
      <w:marLeft w:val="0"/>
      <w:marRight w:val="0"/>
      <w:marTop w:val="0"/>
      <w:marBottom w:val="0"/>
      <w:divBdr>
        <w:top w:val="none" w:sz="0" w:space="0" w:color="auto"/>
        <w:left w:val="none" w:sz="0" w:space="0" w:color="auto"/>
        <w:bottom w:val="none" w:sz="0" w:space="0" w:color="auto"/>
        <w:right w:val="none" w:sz="0" w:space="0" w:color="auto"/>
      </w:divBdr>
    </w:div>
    <w:div w:id="1686514996">
      <w:bodyDiv w:val="1"/>
      <w:marLeft w:val="0"/>
      <w:marRight w:val="0"/>
      <w:marTop w:val="0"/>
      <w:marBottom w:val="0"/>
      <w:divBdr>
        <w:top w:val="none" w:sz="0" w:space="0" w:color="auto"/>
        <w:left w:val="none" w:sz="0" w:space="0" w:color="auto"/>
        <w:bottom w:val="none" w:sz="0" w:space="0" w:color="auto"/>
        <w:right w:val="none" w:sz="0" w:space="0" w:color="auto"/>
      </w:divBdr>
    </w:div>
    <w:div w:id="1690907825">
      <w:bodyDiv w:val="1"/>
      <w:marLeft w:val="0"/>
      <w:marRight w:val="0"/>
      <w:marTop w:val="0"/>
      <w:marBottom w:val="0"/>
      <w:divBdr>
        <w:top w:val="none" w:sz="0" w:space="0" w:color="auto"/>
        <w:left w:val="none" w:sz="0" w:space="0" w:color="auto"/>
        <w:bottom w:val="none" w:sz="0" w:space="0" w:color="auto"/>
        <w:right w:val="none" w:sz="0" w:space="0" w:color="auto"/>
      </w:divBdr>
      <w:divsChild>
        <w:div w:id="1085615550">
          <w:marLeft w:val="0"/>
          <w:marRight w:val="0"/>
          <w:marTop w:val="0"/>
          <w:marBottom w:val="0"/>
          <w:divBdr>
            <w:top w:val="none" w:sz="0" w:space="0" w:color="auto"/>
            <w:left w:val="none" w:sz="0" w:space="0" w:color="auto"/>
            <w:bottom w:val="none" w:sz="0" w:space="0" w:color="auto"/>
            <w:right w:val="none" w:sz="0" w:space="0" w:color="auto"/>
          </w:divBdr>
          <w:divsChild>
            <w:div w:id="1026322408">
              <w:marLeft w:val="0"/>
              <w:marRight w:val="0"/>
              <w:marTop w:val="0"/>
              <w:marBottom w:val="0"/>
              <w:divBdr>
                <w:top w:val="none" w:sz="0" w:space="0" w:color="auto"/>
                <w:left w:val="none" w:sz="0" w:space="0" w:color="auto"/>
                <w:bottom w:val="none" w:sz="0" w:space="0" w:color="auto"/>
                <w:right w:val="none" w:sz="0" w:space="0" w:color="auto"/>
              </w:divBdr>
              <w:divsChild>
                <w:div w:id="1251504818">
                  <w:marLeft w:val="0"/>
                  <w:marRight w:val="0"/>
                  <w:marTop w:val="0"/>
                  <w:marBottom w:val="0"/>
                  <w:divBdr>
                    <w:top w:val="none" w:sz="0" w:space="0" w:color="auto"/>
                    <w:left w:val="none" w:sz="0" w:space="0" w:color="auto"/>
                    <w:bottom w:val="none" w:sz="0" w:space="0" w:color="auto"/>
                    <w:right w:val="none" w:sz="0" w:space="0" w:color="auto"/>
                  </w:divBdr>
                  <w:divsChild>
                    <w:div w:id="8194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7637">
      <w:bodyDiv w:val="1"/>
      <w:marLeft w:val="0"/>
      <w:marRight w:val="0"/>
      <w:marTop w:val="0"/>
      <w:marBottom w:val="0"/>
      <w:divBdr>
        <w:top w:val="none" w:sz="0" w:space="0" w:color="auto"/>
        <w:left w:val="none" w:sz="0" w:space="0" w:color="auto"/>
        <w:bottom w:val="none" w:sz="0" w:space="0" w:color="auto"/>
        <w:right w:val="none" w:sz="0" w:space="0" w:color="auto"/>
      </w:divBdr>
    </w:div>
    <w:div w:id="1713649088">
      <w:bodyDiv w:val="1"/>
      <w:marLeft w:val="0"/>
      <w:marRight w:val="0"/>
      <w:marTop w:val="0"/>
      <w:marBottom w:val="0"/>
      <w:divBdr>
        <w:top w:val="none" w:sz="0" w:space="0" w:color="auto"/>
        <w:left w:val="none" w:sz="0" w:space="0" w:color="auto"/>
        <w:bottom w:val="none" w:sz="0" w:space="0" w:color="auto"/>
        <w:right w:val="none" w:sz="0" w:space="0" w:color="auto"/>
      </w:divBdr>
    </w:div>
    <w:div w:id="1741057841">
      <w:bodyDiv w:val="1"/>
      <w:marLeft w:val="0"/>
      <w:marRight w:val="0"/>
      <w:marTop w:val="0"/>
      <w:marBottom w:val="0"/>
      <w:divBdr>
        <w:top w:val="none" w:sz="0" w:space="0" w:color="auto"/>
        <w:left w:val="none" w:sz="0" w:space="0" w:color="auto"/>
        <w:bottom w:val="none" w:sz="0" w:space="0" w:color="auto"/>
        <w:right w:val="none" w:sz="0" w:space="0" w:color="auto"/>
      </w:divBdr>
    </w:div>
    <w:div w:id="1743598680">
      <w:bodyDiv w:val="1"/>
      <w:marLeft w:val="0"/>
      <w:marRight w:val="0"/>
      <w:marTop w:val="0"/>
      <w:marBottom w:val="0"/>
      <w:divBdr>
        <w:top w:val="none" w:sz="0" w:space="0" w:color="auto"/>
        <w:left w:val="none" w:sz="0" w:space="0" w:color="auto"/>
        <w:bottom w:val="none" w:sz="0" w:space="0" w:color="auto"/>
        <w:right w:val="none" w:sz="0" w:space="0" w:color="auto"/>
      </w:divBdr>
    </w:div>
    <w:div w:id="1743992021">
      <w:bodyDiv w:val="1"/>
      <w:marLeft w:val="0"/>
      <w:marRight w:val="0"/>
      <w:marTop w:val="0"/>
      <w:marBottom w:val="0"/>
      <w:divBdr>
        <w:top w:val="none" w:sz="0" w:space="0" w:color="auto"/>
        <w:left w:val="none" w:sz="0" w:space="0" w:color="auto"/>
        <w:bottom w:val="none" w:sz="0" w:space="0" w:color="auto"/>
        <w:right w:val="none" w:sz="0" w:space="0" w:color="auto"/>
      </w:divBdr>
    </w:div>
    <w:div w:id="1762144714">
      <w:bodyDiv w:val="1"/>
      <w:marLeft w:val="0"/>
      <w:marRight w:val="0"/>
      <w:marTop w:val="0"/>
      <w:marBottom w:val="0"/>
      <w:divBdr>
        <w:top w:val="none" w:sz="0" w:space="0" w:color="auto"/>
        <w:left w:val="none" w:sz="0" w:space="0" w:color="auto"/>
        <w:bottom w:val="none" w:sz="0" w:space="0" w:color="auto"/>
        <w:right w:val="none" w:sz="0" w:space="0" w:color="auto"/>
      </w:divBdr>
    </w:div>
    <w:div w:id="1768186280">
      <w:bodyDiv w:val="1"/>
      <w:marLeft w:val="0"/>
      <w:marRight w:val="0"/>
      <w:marTop w:val="0"/>
      <w:marBottom w:val="0"/>
      <w:divBdr>
        <w:top w:val="none" w:sz="0" w:space="0" w:color="auto"/>
        <w:left w:val="none" w:sz="0" w:space="0" w:color="auto"/>
        <w:bottom w:val="none" w:sz="0" w:space="0" w:color="auto"/>
        <w:right w:val="none" w:sz="0" w:space="0" w:color="auto"/>
      </w:divBdr>
    </w:div>
    <w:div w:id="1781486881">
      <w:bodyDiv w:val="1"/>
      <w:marLeft w:val="0"/>
      <w:marRight w:val="0"/>
      <w:marTop w:val="0"/>
      <w:marBottom w:val="0"/>
      <w:divBdr>
        <w:top w:val="none" w:sz="0" w:space="0" w:color="auto"/>
        <w:left w:val="none" w:sz="0" w:space="0" w:color="auto"/>
        <w:bottom w:val="none" w:sz="0" w:space="0" w:color="auto"/>
        <w:right w:val="none" w:sz="0" w:space="0" w:color="auto"/>
      </w:divBdr>
    </w:div>
    <w:div w:id="1782652909">
      <w:bodyDiv w:val="1"/>
      <w:marLeft w:val="0"/>
      <w:marRight w:val="0"/>
      <w:marTop w:val="0"/>
      <w:marBottom w:val="0"/>
      <w:divBdr>
        <w:top w:val="none" w:sz="0" w:space="0" w:color="auto"/>
        <w:left w:val="none" w:sz="0" w:space="0" w:color="auto"/>
        <w:bottom w:val="none" w:sz="0" w:space="0" w:color="auto"/>
        <w:right w:val="none" w:sz="0" w:space="0" w:color="auto"/>
      </w:divBdr>
    </w:div>
    <w:div w:id="1783381571">
      <w:bodyDiv w:val="1"/>
      <w:marLeft w:val="0"/>
      <w:marRight w:val="0"/>
      <w:marTop w:val="0"/>
      <w:marBottom w:val="0"/>
      <w:divBdr>
        <w:top w:val="none" w:sz="0" w:space="0" w:color="auto"/>
        <w:left w:val="none" w:sz="0" w:space="0" w:color="auto"/>
        <w:bottom w:val="none" w:sz="0" w:space="0" w:color="auto"/>
        <w:right w:val="none" w:sz="0" w:space="0" w:color="auto"/>
      </w:divBdr>
      <w:divsChild>
        <w:div w:id="62266082">
          <w:marLeft w:val="0"/>
          <w:marRight w:val="0"/>
          <w:marTop w:val="0"/>
          <w:marBottom w:val="0"/>
          <w:divBdr>
            <w:top w:val="none" w:sz="0" w:space="0" w:color="auto"/>
            <w:left w:val="none" w:sz="0" w:space="0" w:color="auto"/>
            <w:bottom w:val="none" w:sz="0" w:space="0" w:color="auto"/>
            <w:right w:val="none" w:sz="0" w:space="0" w:color="auto"/>
          </w:divBdr>
          <w:divsChild>
            <w:div w:id="339041980">
              <w:marLeft w:val="0"/>
              <w:marRight w:val="0"/>
              <w:marTop w:val="0"/>
              <w:marBottom w:val="0"/>
              <w:divBdr>
                <w:top w:val="none" w:sz="0" w:space="0" w:color="auto"/>
                <w:left w:val="none" w:sz="0" w:space="0" w:color="auto"/>
                <w:bottom w:val="none" w:sz="0" w:space="0" w:color="auto"/>
                <w:right w:val="none" w:sz="0" w:space="0" w:color="auto"/>
              </w:divBdr>
              <w:divsChild>
                <w:div w:id="1169827716">
                  <w:marLeft w:val="0"/>
                  <w:marRight w:val="0"/>
                  <w:marTop w:val="0"/>
                  <w:marBottom w:val="0"/>
                  <w:divBdr>
                    <w:top w:val="none" w:sz="0" w:space="0" w:color="auto"/>
                    <w:left w:val="none" w:sz="0" w:space="0" w:color="auto"/>
                    <w:bottom w:val="none" w:sz="0" w:space="0" w:color="auto"/>
                    <w:right w:val="none" w:sz="0" w:space="0" w:color="auto"/>
                  </w:divBdr>
                  <w:divsChild>
                    <w:div w:id="1375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900845">
      <w:bodyDiv w:val="1"/>
      <w:marLeft w:val="0"/>
      <w:marRight w:val="0"/>
      <w:marTop w:val="0"/>
      <w:marBottom w:val="0"/>
      <w:divBdr>
        <w:top w:val="none" w:sz="0" w:space="0" w:color="auto"/>
        <w:left w:val="none" w:sz="0" w:space="0" w:color="auto"/>
        <w:bottom w:val="none" w:sz="0" w:space="0" w:color="auto"/>
        <w:right w:val="none" w:sz="0" w:space="0" w:color="auto"/>
      </w:divBdr>
    </w:div>
    <w:div w:id="1798450812">
      <w:bodyDiv w:val="1"/>
      <w:marLeft w:val="0"/>
      <w:marRight w:val="0"/>
      <w:marTop w:val="0"/>
      <w:marBottom w:val="0"/>
      <w:divBdr>
        <w:top w:val="none" w:sz="0" w:space="0" w:color="auto"/>
        <w:left w:val="none" w:sz="0" w:space="0" w:color="auto"/>
        <w:bottom w:val="none" w:sz="0" w:space="0" w:color="auto"/>
        <w:right w:val="none" w:sz="0" w:space="0" w:color="auto"/>
      </w:divBdr>
    </w:div>
    <w:div w:id="1806697294">
      <w:bodyDiv w:val="1"/>
      <w:marLeft w:val="0"/>
      <w:marRight w:val="0"/>
      <w:marTop w:val="0"/>
      <w:marBottom w:val="0"/>
      <w:divBdr>
        <w:top w:val="none" w:sz="0" w:space="0" w:color="auto"/>
        <w:left w:val="none" w:sz="0" w:space="0" w:color="auto"/>
        <w:bottom w:val="none" w:sz="0" w:space="0" w:color="auto"/>
        <w:right w:val="none" w:sz="0" w:space="0" w:color="auto"/>
      </w:divBdr>
      <w:divsChild>
        <w:div w:id="744258508">
          <w:marLeft w:val="0"/>
          <w:marRight w:val="0"/>
          <w:marTop w:val="0"/>
          <w:marBottom w:val="0"/>
          <w:divBdr>
            <w:top w:val="none" w:sz="0" w:space="0" w:color="auto"/>
            <w:left w:val="none" w:sz="0" w:space="0" w:color="auto"/>
            <w:bottom w:val="none" w:sz="0" w:space="0" w:color="auto"/>
            <w:right w:val="none" w:sz="0" w:space="0" w:color="auto"/>
          </w:divBdr>
          <w:divsChild>
            <w:div w:id="1516118940">
              <w:marLeft w:val="0"/>
              <w:marRight w:val="0"/>
              <w:marTop w:val="0"/>
              <w:marBottom w:val="0"/>
              <w:divBdr>
                <w:top w:val="none" w:sz="0" w:space="0" w:color="auto"/>
                <w:left w:val="none" w:sz="0" w:space="0" w:color="auto"/>
                <w:bottom w:val="none" w:sz="0" w:space="0" w:color="auto"/>
                <w:right w:val="none" w:sz="0" w:space="0" w:color="auto"/>
              </w:divBdr>
              <w:divsChild>
                <w:div w:id="1457678242">
                  <w:marLeft w:val="0"/>
                  <w:marRight w:val="0"/>
                  <w:marTop w:val="0"/>
                  <w:marBottom w:val="0"/>
                  <w:divBdr>
                    <w:top w:val="none" w:sz="0" w:space="0" w:color="auto"/>
                    <w:left w:val="none" w:sz="0" w:space="0" w:color="auto"/>
                    <w:bottom w:val="none" w:sz="0" w:space="0" w:color="auto"/>
                    <w:right w:val="none" w:sz="0" w:space="0" w:color="auto"/>
                  </w:divBdr>
                  <w:divsChild>
                    <w:div w:id="14300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18949">
      <w:bodyDiv w:val="1"/>
      <w:marLeft w:val="0"/>
      <w:marRight w:val="0"/>
      <w:marTop w:val="0"/>
      <w:marBottom w:val="0"/>
      <w:divBdr>
        <w:top w:val="none" w:sz="0" w:space="0" w:color="auto"/>
        <w:left w:val="none" w:sz="0" w:space="0" w:color="auto"/>
        <w:bottom w:val="none" w:sz="0" w:space="0" w:color="auto"/>
        <w:right w:val="none" w:sz="0" w:space="0" w:color="auto"/>
      </w:divBdr>
    </w:div>
    <w:div w:id="1861041978">
      <w:bodyDiv w:val="1"/>
      <w:marLeft w:val="0"/>
      <w:marRight w:val="0"/>
      <w:marTop w:val="0"/>
      <w:marBottom w:val="0"/>
      <w:divBdr>
        <w:top w:val="none" w:sz="0" w:space="0" w:color="auto"/>
        <w:left w:val="none" w:sz="0" w:space="0" w:color="auto"/>
        <w:bottom w:val="none" w:sz="0" w:space="0" w:color="auto"/>
        <w:right w:val="none" w:sz="0" w:space="0" w:color="auto"/>
      </w:divBdr>
    </w:div>
    <w:div w:id="1862667011">
      <w:bodyDiv w:val="1"/>
      <w:marLeft w:val="0"/>
      <w:marRight w:val="0"/>
      <w:marTop w:val="0"/>
      <w:marBottom w:val="0"/>
      <w:divBdr>
        <w:top w:val="none" w:sz="0" w:space="0" w:color="auto"/>
        <w:left w:val="none" w:sz="0" w:space="0" w:color="auto"/>
        <w:bottom w:val="none" w:sz="0" w:space="0" w:color="auto"/>
        <w:right w:val="none" w:sz="0" w:space="0" w:color="auto"/>
      </w:divBdr>
    </w:div>
    <w:div w:id="1866744109">
      <w:bodyDiv w:val="1"/>
      <w:marLeft w:val="0"/>
      <w:marRight w:val="0"/>
      <w:marTop w:val="0"/>
      <w:marBottom w:val="0"/>
      <w:divBdr>
        <w:top w:val="none" w:sz="0" w:space="0" w:color="auto"/>
        <w:left w:val="none" w:sz="0" w:space="0" w:color="auto"/>
        <w:bottom w:val="none" w:sz="0" w:space="0" w:color="auto"/>
        <w:right w:val="none" w:sz="0" w:space="0" w:color="auto"/>
      </w:divBdr>
    </w:div>
    <w:div w:id="1876386150">
      <w:bodyDiv w:val="1"/>
      <w:marLeft w:val="0"/>
      <w:marRight w:val="0"/>
      <w:marTop w:val="0"/>
      <w:marBottom w:val="0"/>
      <w:divBdr>
        <w:top w:val="none" w:sz="0" w:space="0" w:color="auto"/>
        <w:left w:val="none" w:sz="0" w:space="0" w:color="auto"/>
        <w:bottom w:val="none" w:sz="0" w:space="0" w:color="auto"/>
        <w:right w:val="none" w:sz="0" w:space="0" w:color="auto"/>
      </w:divBdr>
    </w:div>
    <w:div w:id="1904946471">
      <w:bodyDiv w:val="1"/>
      <w:marLeft w:val="0"/>
      <w:marRight w:val="0"/>
      <w:marTop w:val="0"/>
      <w:marBottom w:val="0"/>
      <w:divBdr>
        <w:top w:val="none" w:sz="0" w:space="0" w:color="auto"/>
        <w:left w:val="none" w:sz="0" w:space="0" w:color="auto"/>
        <w:bottom w:val="none" w:sz="0" w:space="0" w:color="auto"/>
        <w:right w:val="none" w:sz="0" w:space="0" w:color="auto"/>
      </w:divBdr>
      <w:divsChild>
        <w:div w:id="157422916">
          <w:marLeft w:val="0"/>
          <w:marRight w:val="0"/>
          <w:marTop w:val="0"/>
          <w:marBottom w:val="0"/>
          <w:divBdr>
            <w:top w:val="none" w:sz="0" w:space="0" w:color="auto"/>
            <w:left w:val="none" w:sz="0" w:space="0" w:color="auto"/>
            <w:bottom w:val="none" w:sz="0" w:space="0" w:color="auto"/>
            <w:right w:val="none" w:sz="0" w:space="0" w:color="auto"/>
          </w:divBdr>
          <w:divsChild>
            <w:div w:id="1926260540">
              <w:marLeft w:val="0"/>
              <w:marRight w:val="0"/>
              <w:marTop w:val="0"/>
              <w:marBottom w:val="0"/>
              <w:divBdr>
                <w:top w:val="none" w:sz="0" w:space="0" w:color="auto"/>
                <w:left w:val="none" w:sz="0" w:space="0" w:color="auto"/>
                <w:bottom w:val="none" w:sz="0" w:space="0" w:color="auto"/>
                <w:right w:val="none" w:sz="0" w:space="0" w:color="auto"/>
              </w:divBdr>
              <w:divsChild>
                <w:div w:id="314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1888">
      <w:bodyDiv w:val="1"/>
      <w:marLeft w:val="0"/>
      <w:marRight w:val="0"/>
      <w:marTop w:val="0"/>
      <w:marBottom w:val="0"/>
      <w:divBdr>
        <w:top w:val="none" w:sz="0" w:space="0" w:color="auto"/>
        <w:left w:val="none" w:sz="0" w:space="0" w:color="auto"/>
        <w:bottom w:val="none" w:sz="0" w:space="0" w:color="auto"/>
        <w:right w:val="none" w:sz="0" w:space="0" w:color="auto"/>
      </w:divBdr>
      <w:divsChild>
        <w:div w:id="2115517997">
          <w:marLeft w:val="0"/>
          <w:marRight w:val="0"/>
          <w:marTop w:val="0"/>
          <w:marBottom w:val="0"/>
          <w:divBdr>
            <w:top w:val="none" w:sz="0" w:space="0" w:color="auto"/>
            <w:left w:val="none" w:sz="0" w:space="0" w:color="auto"/>
            <w:bottom w:val="none" w:sz="0" w:space="0" w:color="auto"/>
            <w:right w:val="none" w:sz="0" w:space="0" w:color="auto"/>
          </w:divBdr>
          <w:divsChild>
            <w:div w:id="1472602751">
              <w:marLeft w:val="0"/>
              <w:marRight w:val="0"/>
              <w:marTop w:val="0"/>
              <w:marBottom w:val="0"/>
              <w:divBdr>
                <w:top w:val="none" w:sz="0" w:space="0" w:color="auto"/>
                <w:left w:val="none" w:sz="0" w:space="0" w:color="auto"/>
                <w:bottom w:val="none" w:sz="0" w:space="0" w:color="auto"/>
                <w:right w:val="none" w:sz="0" w:space="0" w:color="auto"/>
              </w:divBdr>
              <w:divsChild>
                <w:div w:id="439371663">
                  <w:marLeft w:val="0"/>
                  <w:marRight w:val="0"/>
                  <w:marTop w:val="0"/>
                  <w:marBottom w:val="0"/>
                  <w:divBdr>
                    <w:top w:val="none" w:sz="0" w:space="0" w:color="auto"/>
                    <w:left w:val="none" w:sz="0" w:space="0" w:color="auto"/>
                    <w:bottom w:val="none" w:sz="0" w:space="0" w:color="auto"/>
                    <w:right w:val="none" w:sz="0" w:space="0" w:color="auto"/>
                  </w:divBdr>
                  <w:divsChild>
                    <w:div w:id="17101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9277">
      <w:bodyDiv w:val="1"/>
      <w:marLeft w:val="0"/>
      <w:marRight w:val="0"/>
      <w:marTop w:val="0"/>
      <w:marBottom w:val="0"/>
      <w:divBdr>
        <w:top w:val="none" w:sz="0" w:space="0" w:color="auto"/>
        <w:left w:val="none" w:sz="0" w:space="0" w:color="auto"/>
        <w:bottom w:val="none" w:sz="0" w:space="0" w:color="auto"/>
        <w:right w:val="none" w:sz="0" w:space="0" w:color="auto"/>
      </w:divBdr>
    </w:div>
    <w:div w:id="1918856604">
      <w:bodyDiv w:val="1"/>
      <w:marLeft w:val="0"/>
      <w:marRight w:val="0"/>
      <w:marTop w:val="0"/>
      <w:marBottom w:val="0"/>
      <w:divBdr>
        <w:top w:val="none" w:sz="0" w:space="0" w:color="auto"/>
        <w:left w:val="none" w:sz="0" w:space="0" w:color="auto"/>
        <w:bottom w:val="none" w:sz="0" w:space="0" w:color="auto"/>
        <w:right w:val="none" w:sz="0" w:space="0" w:color="auto"/>
      </w:divBdr>
    </w:div>
    <w:div w:id="1957785629">
      <w:bodyDiv w:val="1"/>
      <w:marLeft w:val="0"/>
      <w:marRight w:val="0"/>
      <w:marTop w:val="0"/>
      <w:marBottom w:val="0"/>
      <w:divBdr>
        <w:top w:val="none" w:sz="0" w:space="0" w:color="auto"/>
        <w:left w:val="none" w:sz="0" w:space="0" w:color="auto"/>
        <w:bottom w:val="none" w:sz="0" w:space="0" w:color="auto"/>
        <w:right w:val="none" w:sz="0" w:space="0" w:color="auto"/>
      </w:divBdr>
    </w:div>
    <w:div w:id="1967394140">
      <w:bodyDiv w:val="1"/>
      <w:marLeft w:val="0"/>
      <w:marRight w:val="0"/>
      <w:marTop w:val="0"/>
      <w:marBottom w:val="0"/>
      <w:divBdr>
        <w:top w:val="none" w:sz="0" w:space="0" w:color="auto"/>
        <w:left w:val="none" w:sz="0" w:space="0" w:color="auto"/>
        <w:bottom w:val="none" w:sz="0" w:space="0" w:color="auto"/>
        <w:right w:val="none" w:sz="0" w:space="0" w:color="auto"/>
      </w:divBdr>
    </w:div>
    <w:div w:id="1978292702">
      <w:bodyDiv w:val="1"/>
      <w:marLeft w:val="0"/>
      <w:marRight w:val="0"/>
      <w:marTop w:val="0"/>
      <w:marBottom w:val="0"/>
      <w:divBdr>
        <w:top w:val="none" w:sz="0" w:space="0" w:color="auto"/>
        <w:left w:val="none" w:sz="0" w:space="0" w:color="auto"/>
        <w:bottom w:val="none" w:sz="0" w:space="0" w:color="auto"/>
        <w:right w:val="none" w:sz="0" w:space="0" w:color="auto"/>
      </w:divBdr>
    </w:div>
    <w:div w:id="1985770521">
      <w:bodyDiv w:val="1"/>
      <w:marLeft w:val="0"/>
      <w:marRight w:val="0"/>
      <w:marTop w:val="0"/>
      <w:marBottom w:val="0"/>
      <w:divBdr>
        <w:top w:val="none" w:sz="0" w:space="0" w:color="auto"/>
        <w:left w:val="none" w:sz="0" w:space="0" w:color="auto"/>
        <w:bottom w:val="none" w:sz="0" w:space="0" w:color="auto"/>
        <w:right w:val="none" w:sz="0" w:space="0" w:color="auto"/>
      </w:divBdr>
    </w:div>
    <w:div w:id="2022774052">
      <w:bodyDiv w:val="1"/>
      <w:marLeft w:val="0"/>
      <w:marRight w:val="0"/>
      <w:marTop w:val="0"/>
      <w:marBottom w:val="0"/>
      <w:divBdr>
        <w:top w:val="none" w:sz="0" w:space="0" w:color="auto"/>
        <w:left w:val="none" w:sz="0" w:space="0" w:color="auto"/>
        <w:bottom w:val="none" w:sz="0" w:space="0" w:color="auto"/>
        <w:right w:val="none" w:sz="0" w:space="0" w:color="auto"/>
      </w:divBdr>
    </w:div>
    <w:div w:id="2040087936">
      <w:bodyDiv w:val="1"/>
      <w:marLeft w:val="0"/>
      <w:marRight w:val="0"/>
      <w:marTop w:val="0"/>
      <w:marBottom w:val="0"/>
      <w:divBdr>
        <w:top w:val="none" w:sz="0" w:space="0" w:color="auto"/>
        <w:left w:val="none" w:sz="0" w:space="0" w:color="auto"/>
        <w:bottom w:val="none" w:sz="0" w:space="0" w:color="auto"/>
        <w:right w:val="none" w:sz="0" w:space="0" w:color="auto"/>
      </w:divBdr>
      <w:divsChild>
        <w:div w:id="364910753">
          <w:marLeft w:val="0"/>
          <w:marRight w:val="0"/>
          <w:marTop w:val="0"/>
          <w:marBottom w:val="0"/>
          <w:divBdr>
            <w:top w:val="none" w:sz="0" w:space="0" w:color="auto"/>
            <w:left w:val="none" w:sz="0" w:space="0" w:color="auto"/>
            <w:bottom w:val="none" w:sz="0" w:space="0" w:color="auto"/>
            <w:right w:val="none" w:sz="0" w:space="0" w:color="auto"/>
          </w:divBdr>
          <w:divsChild>
            <w:div w:id="1411999575">
              <w:marLeft w:val="0"/>
              <w:marRight w:val="0"/>
              <w:marTop w:val="0"/>
              <w:marBottom w:val="0"/>
              <w:divBdr>
                <w:top w:val="none" w:sz="0" w:space="0" w:color="auto"/>
                <w:left w:val="none" w:sz="0" w:space="0" w:color="auto"/>
                <w:bottom w:val="none" w:sz="0" w:space="0" w:color="auto"/>
                <w:right w:val="none" w:sz="0" w:space="0" w:color="auto"/>
              </w:divBdr>
              <w:divsChild>
                <w:div w:id="1713915577">
                  <w:marLeft w:val="0"/>
                  <w:marRight w:val="0"/>
                  <w:marTop w:val="0"/>
                  <w:marBottom w:val="0"/>
                  <w:divBdr>
                    <w:top w:val="none" w:sz="0" w:space="0" w:color="auto"/>
                    <w:left w:val="none" w:sz="0" w:space="0" w:color="auto"/>
                    <w:bottom w:val="none" w:sz="0" w:space="0" w:color="auto"/>
                    <w:right w:val="none" w:sz="0" w:space="0" w:color="auto"/>
                  </w:divBdr>
                  <w:divsChild>
                    <w:div w:id="10337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9119">
      <w:bodyDiv w:val="1"/>
      <w:marLeft w:val="0"/>
      <w:marRight w:val="0"/>
      <w:marTop w:val="0"/>
      <w:marBottom w:val="0"/>
      <w:divBdr>
        <w:top w:val="none" w:sz="0" w:space="0" w:color="auto"/>
        <w:left w:val="none" w:sz="0" w:space="0" w:color="auto"/>
        <w:bottom w:val="none" w:sz="0" w:space="0" w:color="auto"/>
        <w:right w:val="none" w:sz="0" w:space="0" w:color="auto"/>
      </w:divBdr>
      <w:divsChild>
        <w:div w:id="778643912">
          <w:marLeft w:val="0"/>
          <w:marRight w:val="0"/>
          <w:marTop w:val="0"/>
          <w:marBottom w:val="0"/>
          <w:divBdr>
            <w:top w:val="none" w:sz="0" w:space="0" w:color="auto"/>
            <w:left w:val="none" w:sz="0" w:space="0" w:color="auto"/>
            <w:bottom w:val="none" w:sz="0" w:space="0" w:color="auto"/>
            <w:right w:val="none" w:sz="0" w:space="0" w:color="auto"/>
          </w:divBdr>
          <w:divsChild>
            <w:div w:id="838958490">
              <w:marLeft w:val="0"/>
              <w:marRight w:val="0"/>
              <w:marTop w:val="0"/>
              <w:marBottom w:val="0"/>
              <w:divBdr>
                <w:top w:val="none" w:sz="0" w:space="0" w:color="auto"/>
                <w:left w:val="none" w:sz="0" w:space="0" w:color="auto"/>
                <w:bottom w:val="none" w:sz="0" w:space="0" w:color="auto"/>
                <w:right w:val="none" w:sz="0" w:space="0" w:color="auto"/>
              </w:divBdr>
              <w:divsChild>
                <w:div w:id="1122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8425">
          <w:marLeft w:val="0"/>
          <w:marRight w:val="0"/>
          <w:marTop w:val="0"/>
          <w:marBottom w:val="0"/>
          <w:divBdr>
            <w:top w:val="none" w:sz="0" w:space="0" w:color="auto"/>
            <w:left w:val="none" w:sz="0" w:space="0" w:color="auto"/>
            <w:bottom w:val="none" w:sz="0" w:space="0" w:color="auto"/>
            <w:right w:val="none" w:sz="0" w:space="0" w:color="auto"/>
          </w:divBdr>
          <w:divsChild>
            <w:div w:id="2097634382">
              <w:marLeft w:val="0"/>
              <w:marRight w:val="0"/>
              <w:marTop w:val="0"/>
              <w:marBottom w:val="0"/>
              <w:divBdr>
                <w:top w:val="none" w:sz="0" w:space="0" w:color="auto"/>
                <w:left w:val="none" w:sz="0" w:space="0" w:color="auto"/>
                <w:bottom w:val="none" w:sz="0" w:space="0" w:color="auto"/>
                <w:right w:val="none" w:sz="0" w:space="0" w:color="auto"/>
              </w:divBdr>
              <w:divsChild>
                <w:div w:id="87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9963">
      <w:bodyDiv w:val="1"/>
      <w:marLeft w:val="0"/>
      <w:marRight w:val="0"/>
      <w:marTop w:val="0"/>
      <w:marBottom w:val="0"/>
      <w:divBdr>
        <w:top w:val="none" w:sz="0" w:space="0" w:color="auto"/>
        <w:left w:val="none" w:sz="0" w:space="0" w:color="auto"/>
        <w:bottom w:val="none" w:sz="0" w:space="0" w:color="auto"/>
        <w:right w:val="none" w:sz="0" w:space="0" w:color="auto"/>
      </w:divBdr>
    </w:div>
    <w:div w:id="2095129257">
      <w:bodyDiv w:val="1"/>
      <w:marLeft w:val="0"/>
      <w:marRight w:val="0"/>
      <w:marTop w:val="0"/>
      <w:marBottom w:val="0"/>
      <w:divBdr>
        <w:top w:val="none" w:sz="0" w:space="0" w:color="auto"/>
        <w:left w:val="none" w:sz="0" w:space="0" w:color="auto"/>
        <w:bottom w:val="none" w:sz="0" w:space="0" w:color="auto"/>
        <w:right w:val="none" w:sz="0" w:space="0" w:color="auto"/>
      </w:divBdr>
    </w:div>
    <w:div w:id="2109035014">
      <w:bodyDiv w:val="1"/>
      <w:marLeft w:val="0"/>
      <w:marRight w:val="0"/>
      <w:marTop w:val="0"/>
      <w:marBottom w:val="0"/>
      <w:divBdr>
        <w:top w:val="none" w:sz="0" w:space="0" w:color="auto"/>
        <w:left w:val="none" w:sz="0" w:space="0" w:color="auto"/>
        <w:bottom w:val="none" w:sz="0" w:space="0" w:color="auto"/>
        <w:right w:val="none" w:sz="0" w:space="0" w:color="auto"/>
      </w:divBdr>
    </w:div>
    <w:div w:id="21334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117" Type="http://schemas.openxmlformats.org/officeDocument/2006/relationships/hyperlink" Target="https://www.ndis.gov.au/participants/using-your-plan/managing-your-plan/support-budgets-your-plan" TargetMode="External"/><Relationship Id="rId21" Type="http://schemas.openxmlformats.org/officeDocument/2006/relationships/hyperlink" Target="https://humanrights.gov.au/sites/default/files/document/publication/WTW_2016_Full_Report_AHRC_ac.pdf" TargetMode="External"/><Relationship Id="rId42" Type="http://schemas.openxmlformats.org/officeDocument/2006/relationships/hyperlink" Target="https://humanrights.gov.au/our-work/sex-discrimination/publications/respectwork-sexual-harassment-national-inquiry-report-2020" TargetMode="External"/><Relationship Id="rId63" Type="http://schemas.openxmlformats.org/officeDocument/2006/relationships/hyperlink" Target="https://pwd.org.au/federal-government-must-fix-gaping-hole-in-the-disability-discrimination-act/" TargetMode="External"/><Relationship Id="rId84" Type="http://schemas.openxmlformats.org/officeDocument/2006/relationships/hyperlink" Target="https://www.crikey.com.au/2019/12/18/inq-disability-job-recruitment/" TargetMode="External"/><Relationship Id="rId138" Type="http://schemas.openxmlformats.org/officeDocument/2006/relationships/hyperlink" Target="https://www.ndis.gov.au/media/1957/download" TargetMode="External"/><Relationship Id="rId107" Type="http://schemas.openxmlformats.org/officeDocument/2006/relationships/hyperlink" Target="https://www.ndis.gov.au/media/1957/download" TargetMode="External"/><Relationship Id="rId11" Type="http://schemas.openxmlformats.org/officeDocument/2006/relationships/hyperlink" Target="https://www.abs.gov.au/AUSSTATS/abs@.nsf/Lookup/4433.0.55.005Main+Features12012?OpenDocument" TargetMode="External"/><Relationship Id="rId32" Type="http://schemas.openxmlformats.org/officeDocument/2006/relationships/hyperlink" Target="https://www.fairwork.gov.au/pay/minimum-wages/employees-with-disability-pay-rates" TargetMode="External"/><Relationship Id="rId53" Type="http://schemas.openxmlformats.org/officeDocument/2006/relationships/hyperlink" Target="https://www.pc.gov.au/inquiries/completed/disability-discrimination/report/disability-discrimination.pdf" TargetMode="External"/><Relationship Id="rId74" Type="http://schemas.openxmlformats.org/officeDocument/2006/relationships/hyperlink" Target="https://www.dss.gov.au/sites/default/files/documents/04_2019/review-implementation-national-disability-strategy-2010-2020-final-report.pdf" TargetMode="External"/><Relationship Id="rId128" Type="http://schemas.openxmlformats.org/officeDocument/2006/relationships/hyperlink" Target="https://www.cyda.org.au/images/pdf/willing_to_work_national_inquiry_into_employment_discrimination_against_older_australians_and_australians_with_disability.pdf" TargetMode="External"/><Relationship Id="rId149" Type="http://schemas.openxmlformats.org/officeDocument/2006/relationships/hyperlink" Target="https://journals.sagepub.com/doi/10.1177/088572880202500103" TargetMode="External"/><Relationship Id="rId5" Type="http://schemas.openxmlformats.org/officeDocument/2006/relationships/hyperlink" Target="https://www.aihw.gov.au/reports/disability/people-with-disability-in-australia/employment/employment-participation-needs-and-challenges/difficulty-finding-work" TargetMode="External"/><Relationship Id="rId95" Type="http://schemas.openxmlformats.org/officeDocument/2006/relationships/hyperlink" Target="https://engage.dss.gov.au/wp-content/uploads/2015/09/DES-Consultation-Report.pdf" TargetMode="External"/><Relationship Id="rId22" Type="http://schemas.openxmlformats.org/officeDocument/2006/relationships/hyperlink" Target="https://engage.dss.gov.au/disability-employment-framework-2/disability-employment-framework-discussion-paper" TargetMode="External"/><Relationship Id="rId43" Type="http://schemas.openxmlformats.org/officeDocument/2006/relationships/hyperlink" Target="https://humanrights.gov.au/our-work/legal/consolidation-commonwealth-discrimination-law" TargetMode="External"/><Relationship Id="rId64" Type="http://schemas.openxmlformats.org/officeDocument/2006/relationships/hyperlink" Target="https://piac.asn.au/2019/11/08/australian-human-rights-commission-free-equal-anti-discrimination-law-reform-discussion-paper/" TargetMode="External"/><Relationship Id="rId118" Type="http://schemas.openxmlformats.org/officeDocument/2006/relationships/hyperlink" Target="https://www.dss.gov.au/sites/default/files/documents/01_2020/ndis-act-review-final-accessibility-and-prepared-publishing1.pdf" TargetMode="External"/><Relationship Id="rId139" Type="http://schemas.openxmlformats.org/officeDocument/2006/relationships/hyperlink" Target="https://www.ndis.gov.au/media/1957/download" TargetMode="External"/><Relationship Id="rId80" Type="http://schemas.openxmlformats.org/officeDocument/2006/relationships/hyperlink" Target="https://engage.dss.gov.au/wp-content/uploads/2020/07/national-disability-strategy-position-paper-accessible-pdf.pdf" TargetMode="External"/><Relationship Id="rId85" Type="http://schemas.openxmlformats.org/officeDocument/2006/relationships/hyperlink" Target="https://ris.pmc.gov.au/sites/default/files/posts/2018/03/regulation_impact_statement.pdf" TargetMode="External"/><Relationship Id="rId150" Type="http://schemas.openxmlformats.org/officeDocument/2006/relationships/hyperlink" Target="https://humanrights.gov.au/sites/default/files/document/publication/WTW_2016_Full_Report_AHRC_ac.pdf" TargetMode="External"/><Relationship Id="rId155" Type="http://schemas.openxmlformats.org/officeDocument/2006/relationships/hyperlink" Target="https://humanrights.gov.au/sites/default/files/document/publication/WTW_2016_Full_Report_AHRC_ac.pdf" TargetMode="External"/><Relationship Id="rId12" Type="http://schemas.openxmlformats.org/officeDocument/2006/relationships/hyperlink" Target="https://www.abs.gov.au/AUSSTATS/abs@.nsf/Lookup/4433.0.55.005Main+Features12012?OpenDocument" TargetMode="External"/><Relationship Id="rId17" Type="http://schemas.openxmlformats.org/officeDocument/2006/relationships/hyperlink" Target="https://www.dss.gov.au/our-responsibilities/disability-and-carers/publications-articles/policy-research/national-disability-strategy-2010-2020" TargetMode="External"/><Relationship Id="rId33" Type="http://schemas.openxmlformats.org/officeDocument/2006/relationships/hyperlink" Target="https://humanrights.gov.au/sites/default/files/document/publication/WTW_2016_Full_Report_AHRC_ac.pdf" TargetMode="External"/><Relationship Id="rId38" Type="http://schemas.openxmlformats.org/officeDocument/2006/relationships/hyperlink" Target="https://humanrights.gov.au/our-work/legal/consolidation-commonwealth-discrimination-law" TargetMode="External"/><Relationship Id="rId59" Type="http://schemas.openxmlformats.org/officeDocument/2006/relationships/hyperlink" Target="https://humanrights.gov.au/sites/default/files/document/publication/ahrc_discrimination_law_reform_2019.pdf" TargetMode="External"/><Relationship Id="rId103" Type="http://schemas.openxmlformats.org/officeDocument/2006/relationships/hyperlink" Target="https://www.aihw.gov.au/reports/chronic-disease/chronic-disease-participation-work/contents/table-of-contents" TargetMode="External"/><Relationship Id="rId108" Type="http://schemas.openxmlformats.org/officeDocument/2006/relationships/hyperlink" Target="https://www.ndis.gov.au/understanding/ndis-and-other-government-services/employment" TargetMode="External"/><Relationship Id="rId124" Type="http://schemas.openxmlformats.org/officeDocument/2006/relationships/hyperlink" Target="https://www.abs.gov.au/ausstats/abs@.nsf/Latestproducts/4430.0Main%20Features52018?opendocument&amp;tabname=Summary&amp;prodno=4430.0&amp;issue=2018&amp;num=&amp;view=" TargetMode="External"/><Relationship Id="rId129" Type="http://schemas.openxmlformats.org/officeDocument/2006/relationships/hyperlink" Target="https://www.aph.gov.au/Parliamentary_Business/Committees/Senate/Education_and_Employment/students_with_disability/~/media/Committees/eet_ctte/students_with_disability/report.pdf" TargetMode="External"/><Relationship Id="rId54" Type="http://schemas.openxmlformats.org/officeDocument/2006/relationships/hyperlink" Target="https://humanrights.gov.au/our-work/legal/inquiry-effectiveness-sex-discrimination-act-1984-cth-eliminating-discrimination-and" TargetMode="External"/><Relationship Id="rId70" Type="http://schemas.openxmlformats.org/officeDocument/2006/relationships/hyperlink" Target="https://www.aph.gov.au/Parliamentary_Business/Committees/Senate/Community_Affairs/AccessibleCommunities/Report/c03" TargetMode="External"/><Relationship Id="rId75" Type="http://schemas.openxmlformats.org/officeDocument/2006/relationships/hyperlink" Target="https://www.pc.gov.au/inquiries/completed/disability-agreement/report/disability-agreement-overview.pdf" TargetMode="External"/><Relationship Id="rId91" Type="http://schemas.openxmlformats.org/officeDocument/2006/relationships/hyperlink" Target="https://www.anao.gov.au/work/performance-audit/management-contracts-disability-employment-services" TargetMode="External"/><Relationship Id="rId96" Type="http://schemas.openxmlformats.org/officeDocument/2006/relationships/hyperlink" Target="https://humanrights.gov.au/sites/default/files/document/publication/WTW_2016_Full_Report_AHRC_ac.pdf" TargetMode="External"/><Relationship Id="rId140" Type="http://schemas.openxmlformats.org/officeDocument/2006/relationships/hyperlink" Target="https://www.ndis.gov.au/media/1957/download" TargetMode="External"/><Relationship Id="rId145" Type="http://schemas.openxmlformats.org/officeDocument/2006/relationships/hyperlink" Target="https://www.dss.gov.au/sites/default/files/documents/03_2020/des-eligible-school-leaver-guideline.pdf" TargetMode="External"/><Relationship Id="rId1" Type="http://schemas.openxmlformats.org/officeDocument/2006/relationships/hyperlink" Target="https://humanrights.gov.au/our-work/disability-rights/publications/willing-work-national-inquiry-employment-discrimination" TargetMode="External"/><Relationship Id="rId6" Type="http://schemas.openxmlformats.org/officeDocument/2006/relationships/hyperlink" Target="https://www.aihw.gov.au/reports/disability/people-with-disability-in-australia/employment/employment-participation-needs-and-challenges/difficulty-finding-work" TargetMode="External"/><Relationship Id="rId23" Type="http://schemas.openxmlformats.org/officeDocument/2006/relationships/hyperlink" Target="https://www.fairwork.gov.au/pay/minimum-wages/employees-with-disability-pay-rates" TargetMode="External"/><Relationship Id="rId28" Type="http://schemas.openxmlformats.org/officeDocument/2006/relationships/hyperlink" Target="https://www.jobaccess.gov.au/downloads/supported-wage-system-handbook" TargetMode="External"/><Relationship Id="rId49" Type="http://schemas.openxmlformats.org/officeDocument/2006/relationships/hyperlink" Target="http://classic.austlii.edu.au/cgi-bin/sinodisp/au/journals/UNSWLawJl/2020/6.html?stem=0&amp;synonyms=0&amp;query=vic%20consol_act%20eoa2010250%20s15" TargetMode="External"/><Relationship Id="rId114" Type="http://schemas.openxmlformats.org/officeDocument/2006/relationships/hyperlink" Target="https://www.ndis.gov.au/media/1957/download" TargetMode="External"/><Relationship Id="rId119" Type="http://schemas.openxmlformats.org/officeDocument/2006/relationships/hyperlink" Target="https://www.dss.gov.au/sites/default/files/documents/01_2020/ndis-act-review-final-accessibility-and-prepared-publishing1.pdf" TargetMode="External"/><Relationship Id="rId44" Type="http://schemas.openxmlformats.org/officeDocument/2006/relationships/hyperlink" Target="https://humanrights.gov.au/our-work/legal/inquiry-effectiveness-sex-discrimination-act-1984-cth-eliminating-discrimination-and" TargetMode="External"/><Relationship Id="rId60" Type="http://schemas.openxmlformats.org/officeDocument/2006/relationships/hyperlink" Target="https://humanrights.gov.au/our-work/legal/consolidation-commonwealth-discrimination-law" TargetMode="External"/><Relationship Id="rId65" Type="http://schemas.openxmlformats.org/officeDocument/2006/relationships/hyperlink" Target="http://www.unswlawjournal.unsw.edu.au/article/adverse-effects-can-the-fair-work-act-address-workplace-discrimination-for-employees-with-a-disability/" TargetMode="External"/><Relationship Id="rId81" Type="http://schemas.openxmlformats.org/officeDocument/2006/relationships/hyperlink" Target="https://ris.pmc.gov.au/sites/default/files/posts/2018/03/regulation_impact_statement.pdf" TargetMode="External"/><Relationship Id="rId86" Type="http://schemas.openxmlformats.org/officeDocument/2006/relationships/hyperlink" Target="https://engage.dss.gov.au/wp-content/uploads/2016/11/DES-Reform-Discussion-Paper-November-2016.docx" TargetMode="External"/><Relationship Id="rId130" Type="http://schemas.openxmlformats.org/officeDocument/2006/relationships/hyperlink" Target="https://www.cyda.org.au/images/docx/post_school_transition.docx" TargetMode="External"/><Relationship Id="rId135" Type="http://schemas.openxmlformats.org/officeDocument/2006/relationships/hyperlink" Target="https://docs.education.gov.au/system/files/doc/other/final-report-2015-dse-review.pdf" TargetMode="External"/><Relationship Id="rId151" Type="http://schemas.openxmlformats.org/officeDocument/2006/relationships/hyperlink" Target="https://www.abs.gov.au/ausstats/abs@.nsf/Previousproducts/6333.0Feature%20Article4August%202017?opendocument&amp;tabname=Summary&amp;prodno=6333.0&amp;issue=August%202017&amp;num=&amp;view=" TargetMode="External"/><Relationship Id="rId156" Type="http://schemas.openxmlformats.org/officeDocument/2006/relationships/hyperlink" Target="https://www.ndis.gov.au/media/321/download" TargetMode="External"/><Relationship Id="rId13" Type="http://schemas.openxmlformats.org/officeDocument/2006/relationships/hyperlink" Target="https://disability.royalcommission.gov.au/system/files/2020-07/Issues%20Paper%20-%20Employment.pdf" TargetMode="External"/><Relationship Id="rId18" Type="http://schemas.openxmlformats.org/officeDocument/2006/relationships/hyperlink" Target="https://www.dss.gov.au/our-responsibilities/disability-and-carers/publications-articles/policy-research/national-disability-strategy-2010-2020" TargetMode="External"/><Relationship Id="rId39" Type="http://schemas.openxmlformats.org/officeDocument/2006/relationships/hyperlink" Target="https://humanrights.gov.au/sites/default/files/document/publication/WTW_2016_Full_Report_AHRC_ac.pdf" TargetMode="External"/><Relationship Id="rId109" Type="http://schemas.openxmlformats.org/officeDocument/2006/relationships/hyperlink" Target="https://www.ndis.gov.au/media/321/download" TargetMode="External"/><Relationship Id="rId34" Type="http://schemas.openxmlformats.org/officeDocument/2006/relationships/hyperlink" Target="https://humanrights.gov.au/sites/default/files/document/publication/WTW_2016_Full_Report_AHRC_ac.pdf" TargetMode="External"/><Relationship Id="rId50" Type="http://schemas.openxmlformats.org/officeDocument/2006/relationships/hyperlink" Target="https://www.legalaid.vic.gov.au/sites/www.legalaid.vic.gov.au/files/vla-submission-ahrc-national-inquiry-sexual-harassment-at-work.pdf" TargetMode="External"/><Relationship Id="rId55" Type="http://schemas.openxmlformats.org/officeDocument/2006/relationships/hyperlink" Target="https://www.ag.gov.au/sites/default/files/2020-03/Consolidation%20of%20Commonwealth%20Anti-Discrimination%20Laws.pdf" TargetMode="External"/><Relationship Id="rId76" Type="http://schemas.openxmlformats.org/officeDocument/2006/relationships/hyperlink" Target="https://humanrights.gov.au/sites/default/files/int_crpd_nhs_aus_35594_e.pdf" TargetMode="External"/><Relationship Id="rId97" Type="http://schemas.openxmlformats.org/officeDocument/2006/relationships/hyperlink" Target="https://engage.dss.gov.au/wp-content/uploads/2015/09/DES-Consultation-Report.pdf" TargetMode="External"/><Relationship Id="rId104" Type="http://schemas.openxmlformats.org/officeDocument/2006/relationships/hyperlink" Target="https://www.aihw.gov.au/reports/chronic-disease/chronic-disease-participation-work/contents/table-of-contents" TargetMode="External"/><Relationship Id="rId120" Type="http://schemas.openxmlformats.org/officeDocument/2006/relationships/hyperlink" Target="https://humanrights.gov.au/sites/default/files/document/publication/WTW_2016_Full_Report_AHRC_ac.pdf" TargetMode="External"/><Relationship Id="rId125" Type="http://schemas.openxmlformats.org/officeDocument/2006/relationships/hyperlink" Target="https://www.abs.gov.au/ausstats/abs@.nsf/Latestproducts/4221.0Main%20Features32019?opendocument&amp;tabname=Summary&amp;prodno=4221.0&amp;issue=2019&amp;num=&amp;view=" TargetMode="External"/><Relationship Id="rId141" Type="http://schemas.openxmlformats.org/officeDocument/2006/relationships/hyperlink" Target="https://humanrights.gov.au/sites/default/files/document/publication/WTW_2016_Full_Report_AHRC_ac.pdf" TargetMode="External"/><Relationship Id="rId146" Type="http://schemas.openxmlformats.org/officeDocument/2006/relationships/hyperlink" Target="https://humanrights.gov.au/sites/default/files/document/publication/WTW_2016_Full_Report_AHRC_ac.pdf" TargetMode="External"/><Relationship Id="rId7" Type="http://schemas.openxmlformats.org/officeDocument/2006/relationships/hyperlink" Target="https://www.aihw.gov.au/reports/disability/people-with-disability-in-australia/employment/employment-rate-and-type" TargetMode="External"/><Relationship Id="rId71" Type="http://schemas.openxmlformats.org/officeDocument/2006/relationships/hyperlink" Target="https://www.aph.gov.au/Parliamentary_Business/Committees/Senate/Community_Affairs/AccessibleCommunities/Report/c03" TargetMode="External"/><Relationship Id="rId92" Type="http://schemas.openxmlformats.org/officeDocument/2006/relationships/hyperlink" Target="https://engage.dss.gov.au/wp-content/uploads/2015/05/issues_paper.pdf" TargetMode="External"/><Relationship Id="rId2" Type="http://schemas.openxmlformats.org/officeDocument/2006/relationships/hyperlink" Target="https://www.aihw.gov.au/reports/disability/people-with-disability-in-australia/employment/employment-rate-and-type" TargetMode="External"/><Relationship Id="rId29" Type="http://schemas.openxmlformats.org/officeDocument/2006/relationships/hyperlink" Target="https://www.dss.gov.au/disability-and-carers-programs-services-for-people-with-disability-bswat-payment-scheme/the-business-services-wage-assessment-tool-bswat-payment-scheme" TargetMode="External"/><Relationship Id="rId24" Type="http://schemas.openxmlformats.org/officeDocument/2006/relationships/hyperlink" Target="https://www.jobaccess.gov.au/downloads/supported-wage-system-handbook" TargetMode="External"/><Relationship Id="rId40" Type="http://schemas.openxmlformats.org/officeDocument/2006/relationships/hyperlink" Target="https://humanrights.gov.au/sites/default/files/document/publication/ahrc_discrimination_law_reform_2019.pdf" TargetMode="External"/><Relationship Id="rId45" Type="http://schemas.openxmlformats.org/officeDocument/2006/relationships/hyperlink" Target="https://humanrights.gov.au/sites/default/files/document/publication/WTW_2016_Full_Report_AHRC_ac.pdf" TargetMode="External"/><Relationship Id="rId66" Type="http://schemas.openxmlformats.org/officeDocument/2006/relationships/hyperlink" Target="https://humanrights.gov.au/sites/default/files/document/publication/WTW_2016_Full_Report_AHRC_ac.pdf" TargetMode="External"/><Relationship Id="rId87" Type="http://schemas.openxmlformats.org/officeDocument/2006/relationships/hyperlink" Target="https://ris.pmc.gov.au/sites/default/files/posts/2018/03/regulation_impact_statement.pdf" TargetMode="External"/><Relationship Id="rId110" Type="http://schemas.openxmlformats.org/officeDocument/2006/relationships/hyperlink" Target="https://www.ndis.gov.au/media/1957/download" TargetMode="External"/><Relationship Id="rId115" Type="http://schemas.openxmlformats.org/officeDocument/2006/relationships/hyperlink" Target="https://www.ndis.gov.au/media/1957/download" TargetMode="External"/><Relationship Id="rId131" Type="http://schemas.openxmlformats.org/officeDocument/2006/relationships/hyperlink" Target="https://www.dss.gov.au/our-responsibilities/disability-and-carers/publications-articles/policy-research/national-disability-strategy-2010-2020" TargetMode="External"/><Relationship Id="rId136" Type="http://schemas.openxmlformats.org/officeDocument/2006/relationships/hyperlink" Target="https://www.dss.gov.au/sites/default/files/documents/05_2012/national_disability_strategy_2010_2020.pdf" TargetMode="External"/><Relationship Id="rId157" Type="http://schemas.openxmlformats.org/officeDocument/2006/relationships/hyperlink" Target="https://www.ndis.gov.au/media/1957/download" TargetMode="External"/><Relationship Id="rId61" Type="http://schemas.openxmlformats.org/officeDocument/2006/relationships/hyperlink" Target="https://www.aph.gov.au/Parliamentary_Business/Committees/Senate/Legal_and_Constitutional_Affairs/Completed_inquiries/2010-13/antidiscrimination2012/report/index" TargetMode="External"/><Relationship Id="rId82" Type="http://schemas.openxmlformats.org/officeDocument/2006/relationships/hyperlink" Target="https://www.dss.gov.au/our-responsibilities/disability-and-carers/programmes-services/disability-employment-services" TargetMode="External"/><Relationship Id="rId152" Type="http://schemas.openxmlformats.org/officeDocument/2006/relationships/hyperlink" Target="https://humanrights.gov.au/sites/default/files/document/publication/WTW_2016_Full_Report_AHRC_ac.pdf" TargetMode="External"/><Relationship Id="rId19" Type="http://schemas.openxmlformats.org/officeDocument/2006/relationships/hyperlink" Target="https://www.dss.gov.au/disability-and-carers-research-and-data/the-national-disability-data-asset" TargetMode="External"/><Relationship Id="rId14" Type="http://schemas.openxmlformats.org/officeDocument/2006/relationships/hyperlink" Target="https://humanrights.gov.au/our-work/legal/submission/submission-people-disability-and-criminal-justice-system-2020" TargetMode="External"/><Relationship Id="rId30" Type="http://schemas.openxmlformats.org/officeDocument/2006/relationships/hyperlink" Target="https://humanrights.gov.au/sites/default/files/AHRC%20Reponse%20to%20Issues%20and%20Questions_0.pdf" TargetMode="External"/><Relationship Id="rId35" Type="http://schemas.openxmlformats.org/officeDocument/2006/relationships/hyperlink" Target="https://humanrights.gov.au/sites/default/files/PWDA.pdf" TargetMode="External"/><Relationship Id="rId56" Type="http://schemas.openxmlformats.org/officeDocument/2006/relationships/hyperlink" Target="https://www.pc.gov.au/inquiries/completed/disability-discrimination/report/disability-discrimination.pdf" TargetMode="External"/><Relationship Id="rId77" Type="http://schemas.openxmlformats.org/officeDocument/2006/relationships/hyperlink" Target="https://www.pc.gov.au/inquiries/completed/disability-agreement/report/disability-agreement-overview.pdf" TargetMode="External"/><Relationship Id="rId100" Type="http://schemas.openxmlformats.org/officeDocument/2006/relationships/hyperlink" Target="https://humanrights.gov.au/our-work/disability-rights/publications/willing-work-national-inquiry-employment-discrimination" TargetMode="External"/><Relationship Id="rId105" Type="http://schemas.openxmlformats.org/officeDocument/2006/relationships/hyperlink" Target="https://www.mja.com.au/journal/2015/203/6/lost-productive-life-years-caused-chronic-conditions-australians-aged-45-64" TargetMode="External"/><Relationship Id="rId126" Type="http://schemas.openxmlformats.org/officeDocument/2006/relationships/hyperlink" Target="https://www.cyda.org.au/images/pdf/willing_to_work_national_inquiry_into_employment_discrimination_against_older_australians_and_australians_with_disability.pdf" TargetMode="External"/><Relationship Id="rId147" Type="http://schemas.openxmlformats.org/officeDocument/2006/relationships/hyperlink" Target="https://www.dss.gov.au/sites/default/files/documents/03_2020/des-eligible-school-leaver-guideline.pdf" TargetMode="External"/><Relationship Id="rId8" Type="http://schemas.openxmlformats.org/officeDocument/2006/relationships/hyperlink" Target="https://humanrights.gov.au/our-work/sex-discrimination/publications/everyones-business-fourth-national-survey-sexual" TargetMode="External"/><Relationship Id="rId51" Type="http://schemas.openxmlformats.org/officeDocument/2006/relationships/hyperlink" Target="https://www.ag.gov.au/sites/default/files/2020-03/Consolidation%20of%20Commonwealth%20Anti-Discrimination%20Laws.pdf" TargetMode="External"/><Relationship Id="rId72" Type="http://schemas.openxmlformats.org/officeDocument/2006/relationships/hyperlink" Target="https://www.aph.gov.au/Parliamentary_Business/Committees/Senate/Community_Affairs/AccessibleCommunities/Report/c03" TargetMode="External"/><Relationship Id="rId93" Type="http://schemas.openxmlformats.org/officeDocument/2006/relationships/hyperlink" Target="https://www.jobaccess.gov.au/sites/default/files/documents/06_2018/eaf-guidelines-jan-2018.pdf" TargetMode="External"/><Relationship Id="rId98" Type="http://schemas.openxmlformats.org/officeDocument/2006/relationships/hyperlink" Target="https://humanrights.gov.au/sites/default/files/document/publication/WTW_2016_Full_Report_AHRC_ac.pdf" TargetMode="External"/><Relationship Id="rId121" Type="http://schemas.openxmlformats.org/officeDocument/2006/relationships/hyperlink" Target="https://www.cyda.org.au/resources/details/136/willing-to-work-national-inquiry-into-employment-discrimination-against-older-australians-and-australians-with-disability" TargetMode="External"/><Relationship Id="rId142" Type="http://schemas.openxmlformats.org/officeDocument/2006/relationships/hyperlink" Target="https://research.acer.edu.au/cgi/viewcontent.cgi?article=1066&amp;context=lsay_research" TargetMode="External"/><Relationship Id="rId3" Type="http://schemas.openxmlformats.org/officeDocument/2006/relationships/hyperlink" Target="https://www.aihw.gov.au/reports/disability/people-with-disability-in-australia/employment/employment-rate-and-type" TargetMode="External"/><Relationship Id="rId25" Type="http://schemas.openxmlformats.org/officeDocument/2006/relationships/hyperlink" Target="https://www.jobaccess.gov.au/downloads/supported-wage-system-handbook" TargetMode="External"/><Relationship Id="rId46" Type="http://schemas.openxmlformats.org/officeDocument/2006/relationships/hyperlink" Target="https://humanrights.gov.au/our-work/sex-discrimination/publications/respectwork-sexual-harassment-national-inquiry-report-2020" TargetMode="External"/><Relationship Id="rId67" Type="http://schemas.openxmlformats.org/officeDocument/2006/relationships/hyperlink" Target="http://www.unswlawjournal.unsw.edu.au/article/adverse-effects-can-the-fair-work-act-address-workplace-discrimination-for-employees-with-a-disability/" TargetMode="External"/><Relationship Id="rId116" Type="http://schemas.openxmlformats.org/officeDocument/2006/relationships/hyperlink" Target="https://www.ndis.gov.au/media/1645/download" TargetMode="External"/><Relationship Id="rId137" Type="http://schemas.openxmlformats.org/officeDocument/2006/relationships/hyperlink" Target="https://www.dss.gov.au/sites/default/files/documents/05_2012/national_disability_strategy_2010_2020.pdf" TargetMode="External"/><Relationship Id="rId158" Type="http://schemas.openxmlformats.org/officeDocument/2006/relationships/hyperlink" Target="https://humanrights.gov.au/sites/default/files/2019-10/AHRC_AR_2018-19_Stats_Tables_%28Final%29.pdf?_ga=2.22211707.1503718482.1596427266-453609452.1594602574" TargetMode="External"/><Relationship Id="rId20" Type="http://schemas.openxmlformats.org/officeDocument/2006/relationships/hyperlink" Target="https://www.dss.gov.au/disability-and-carers-programmes-services-for-people-with-disability/about-australian-disability-enterprises" TargetMode="External"/><Relationship Id="rId41" Type="http://schemas.openxmlformats.org/officeDocument/2006/relationships/hyperlink" Target="https://piac.asn.au/2019/11/08/australian-human-rights-commission-free-equal-anti-discrimination-law-reform-discussion-paper/" TargetMode="External"/><Relationship Id="rId62" Type="http://schemas.openxmlformats.org/officeDocument/2006/relationships/hyperlink" Target="https://piac.asn.au/2019/11/08/australian-human-rights-commission-free-equal-anti-discrimination-law-reform-discussion-paper/" TargetMode="External"/><Relationship Id="rId83" Type="http://schemas.openxmlformats.org/officeDocument/2006/relationships/hyperlink" Target="https://www.and.org.au/news.php/356/media-release-disability-employment-reforms-wont-solve-employment-gap-for-people-with-disability" TargetMode="External"/><Relationship Id="rId88" Type="http://schemas.openxmlformats.org/officeDocument/2006/relationships/hyperlink" Target="https://www.dss.gov.au/sites/default/files/documents/10_2019/d19-1139120-dss-annual-report-2018-19.pdf" TargetMode="External"/><Relationship Id="rId111" Type="http://schemas.openxmlformats.org/officeDocument/2006/relationships/hyperlink" Target="http://disabilitysectorreport.nds.org.au/images/State-of-the-disability-sector-report-2015.pdf" TargetMode="External"/><Relationship Id="rId132" Type="http://schemas.openxmlformats.org/officeDocument/2006/relationships/hyperlink" Target="https://www.pc.gov.au/inquiries/completed/disability-discrimination/report/disability-discrimination.pdf" TargetMode="External"/><Relationship Id="rId153" Type="http://schemas.openxmlformats.org/officeDocument/2006/relationships/hyperlink" Target="https://www.dss.gov.au/sites/default/files/documents/03_2020/des-eligible-school-leaver-guideline.pdf" TargetMode="External"/><Relationship Id="rId15" Type="http://schemas.openxmlformats.org/officeDocument/2006/relationships/hyperlink" Target="https://humanrights.gov.au/sites/default/files/ahrc_20191219_submission_disabilityrc_education.pdf" TargetMode="External"/><Relationship Id="rId36" Type="http://schemas.openxmlformats.org/officeDocument/2006/relationships/hyperlink" Target="https://humanrights.gov.au/sites/default/files/document/publication/WTW_2016_Full_Report_AHRC_ac.pdf" TargetMode="External"/><Relationship Id="rId57" Type="http://schemas.openxmlformats.org/officeDocument/2006/relationships/hyperlink" Target="https://www.aph.gov.au/Parliamentary_Business/Committees/Senate/Legal_and_Constitutional_Affairs/Completed_inquiries/2010-13/antidiscrimination2012/report/index" TargetMode="External"/><Relationship Id="rId106" Type="http://schemas.openxmlformats.org/officeDocument/2006/relationships/hyperlink" Target="https://www.ndis.gov.au/media/1645/download" TargetMode="External"/><Relationship Id="rId127" Type="http://schemas.openxmlformats.org/officeDocument/2006/relationships/hyperlink" Target="https://www.cyda.org.au/images/pdf/willing_to_work_national_inquiry_into_employment_discrimination_against_older_australians_and_australians_with_disability.pdf" TargetMode="External"/><Relationship Id="rId10" Type="http://schemas.openxmlformats.org/officeDocument/2006/relationships/hyperlink" Target="https://www.aihw.gov.au/reports/disability/people-with-disability-in-australia/employment/underemployment" TargetMode="External"/><Relationship Id="rId31" Type="http://schemas.openxmlformats.org/officeDocument/2006/relationships/hyperlink" Target="https://humanrights.gov.au/sites/default/files/document/publication/WTW_2016_Full_Report_AHRC_ac.pdf" TargetMode="External"/><Relationship Id="rId52" Type="http://schemas.openxmlformats.org/officeDocument/2006/relationships/hyperlink" Target="https://www.lawreform.justice.nsw.gov.au/Documents/Publications/Reports/Report-92.pdf" TargetMode="External"/><Relationship Id="rId73" Type="http://schemas.openxmlformats.org/officeDocument/2006/relationships/hyperlink" Target="https://www.dss.gov.au/sites/default/files/documents/04_2019/review-implementation-national-disability-strategy-2010-2020-final-report.pdf" TargetMode="External"/><Relationship Id="rId78" Type="http://schemas.openxmlformats.org/officeDocument/2006/relationships/hyperlink" Target="https://www.pc.gov.au/inquiries/completed/disability-agreement/report/disability-agreement-overview.pdf" TargetMode="External"/><Relationship Id="rId94" Type="http://schemas.openxmlformats.org/officeDocument/2006/relationships/hyperlink" Target="https://humanrights.gov.au/sites/default/files/document/publication/WTW_2016_Full_Report_AHRC_ac.pdf" TargetMode="External"/><Relationship Id="rId99" Type="http://schemas.openxmlformats.org/officeDocument/2006/relationships/hyperlink" Target="https://engage.dss.gov.au/wp-content/uploads/2015/09/DES-Consultation-Report.pdf" TargetMode="External"/><Relationship Id="rId101" Type="http://schemas.openxmlformats.org/officeDocument/2006/relationships/hyperlink" Target="https://humanrights.gov.au/sites/default/files/document/publication/WTW_2016_Full_Report_AHRC_ac.pdf" TargetMode="External"/><Relationship Id="rId122" Type="http://schemas.openxmlformats.org/officeDocument/2006/relationships/hyperlink" Target="https://tbinternet.ohchr.org/_layouts/15/treatybodyexternal/Download.aspx?symbolno=CRPD/C/GC/4&amp;Lang=en" TargetMode="External"/><Relationship Id="rId143" Type="http://schemas.openxmlformats.org/officeDocument/2006/relationships/hyperlink" Target="https://www.dss.gov.au/disability-and-carers-research-and-data/the-national-disability-data-asset" TargetMode="External"/><Relationship Id="rId148" Type="http://schemas.openxmlformats.org/officeDocument/2006/relationships/hyperlink" Target="https://journals.sagepub.com/doi/10.1177/0885728809346960" TargetMode="External"/><Relationship Id="rId4" Type="http://schemas.openxmlformats.org/officeDocument/2006/relationships/hyperlink" Target="https://www.aihw.gov.au/reports/disability/people-with-disability-in-australia/employment/underemployment" TargetMode="External"/><Relationship Id="rId9" Type="http://schemas.openxmlformats.org/officeDocument/2006/relationships/hyperlink" Target="https://www.aihw.gov.au/reports/disability/people-with-disability-in-australia/employment/unemployment/unemployment-rate" TargetMode="External"/><Relationship Id="rId26" Type="http://schemas.openxmlformats.org/officeDocument/2006/relationships/hyperlink" Target="https://humanrights.gov.au/sites/default/files/document/publication/WTW_2016_Full_Report_AHRC_ac.pdf" TargetMode="External"/><Relationship Id="rId47" Type="http://schemas.openxmlformats.org/officeDocument/2006/relationships/hyperlink" Target="https://www.equalityhumanrights.com/en/our-powers/inquiries-investigations-and-wider-powers" TargetMode="External"/><Relationship Id="rId68" Type="http://schemas.openxmlformats.org/officeDocument/2006/relationships/hyperlink" Target="https://humanrights.gov.au/sites/default/files/document/publication/WTW_2016_Full_Report_AHRC_ac.pdf" TargetMode="External"/><Relationship Id="rId89" Type="http://schemas.openxmlformats.org/officeDocument/2006/relationships/hyperlink" Target="https://www.dss.gov.au/sites/default/files/documents/10_2019/d19-1139120-dss-annual-report-2018-19.pdf" TargetMode="External"/><Relationship Id="rId112" Type="http://schemas.openxmlformats.org/officeDocument/2006/relationships/hyperlink" Target="https://www.ndis.gov.au/media/1957/download" TargetMode="External"/><Relationship Id="rId133" Type="http://schemas.openxmlformats.org/officeDocument/2006/relationships/hyperlink" Target="https://www.aph.gov.au/Parliamentary_Business/Committees/Senate/Education_and_Employment/students_with_disability/~/media/Committees/eet_ctte/students_with_disability/report.pdf" TargetMode="External"/><Relationship Id="rId154" Type="http://schemas.openxmlformats.org/officeDocument/2006/relationships/hyperlink" Target="https://humanrights.gov.au/sites/default/files/document/publication/WTW_2016_Full_Report_AHRC_ac.pdf" TargetMode="External"/><Relationship Id="rId16" Type="http://schemas.openxmlformats.org/officeDocument/2006/relationships/hyperlink" Target="https://research.qut.edu.au/centre-for-decent-work-and-industry/wp-content/uploads/sites/35/2019/06/Report-of-Survey-Findings_18-June-2019_PUBLISHED.pdf" TargetMode="External"/><Relationship Id="rId37" Type="http://schemas.openxmlformats.org/officeDocument/2006/relationships/hyperlink" Target="https://www.pc.gov.au/inquiries/completed/disability-discrimination/report/disability-discrimination.pdf" TargetMode="External"/><Relationship Id="rId58" Type="http://schemas.openxmlformats.org/officeDocument/2006/relationships/hyperlink" Target="https://humanrights.gov.au/sites/default/files/document/publication/WTW_2016_Full_Report_AHRC_ac.pdf" TargetMode="External"/><Relationship Id="rId79" Type="http://schemas.openxmlformats.org/officeDocument/2006/relationships/hyperlink" Target="https://humanrights.gov.au/sites/default/files/int_crpd_nhs_aus_35594_e.pdf" TargetMode="External"/><Relationship Id="rId102" Type="http://schemas.openxmlformats.org/officeDocument/2006/relationships/hyperlink" Target="https://humanrights.gov.au/sites/default/files/document/publication/WTW_2016_Full_Report_AHRC_ac.pdf" TargetMode="External"/><Relationship Id="rId123" Type="http://schemas.openxmlformats.org/officeDocument/2006/relationships/hyperlink" Target="https://www.aph.gov.au/Parliamentary_Business/Committees/Senate/Education_and_Employment/students_with_disability/~/media/Committees/eet_ctte/students_with_disability/report.pdf" TargetMode="External"/><Relationship Id="rId144" Type="http://schemas.openxmlformats.org/officeDocument/2006/relationships/hyperlink" Target="https://www.dss.gov.au/sites/default/files/documents/03_2020/des-eligible-school-leaver-guideline.pdf" TargetMode="External"/><Relationship Id="rId90" Type="http://schemas.openxmlformats.org/officeDocument/2006/relationships/hyperlink" Target="https://www.anao.gov.au/work/performance-audit/management-contracts-disability-employment-services" TargetMode="External"/><Relationship Id="rId27" Type="http://schemas.openxmlformats.org/officeDocument/2006/relationships/hyperlink" Target="https://www.jobaccess.gov.au/downloads/supported-wage-system-handbook" TargetMode="External"/><Relationship Id="rId48" Type="http://schemas.openxmlformats.org/officeDocument/2006/relationships/hyperlink" Target="http://classic.austlii.edu.au/cgi-bin/sinodisp/au/journals/UNSWLawJl/2020/6.html?stem=0&amp;synonyms=0&amp;query=vic%20consol_act%20eoa2010250%20s15" TargetMode="External"/><Relationship Id="rId69" Type="http://schemas.openxmlformats.org/officeDocument/2006/relationships/hyperlink" Target="https://www.ag.gov.au/sites/default/files/2020-03/towards_more_productive_and_equitable_workplaces_an_evaluation_of_the_fair_work_legislation.pdf" TargetMode="External"/><Relationship Id="rId113" Type="http://schemas.openxmlformats.org/officeDocument/2006/relationships/hyperlink" Target="https://www.ndis.gov.au/media/1957/download" TargetMode="External"/><Relationship Id="rId134" Type="http://schemas.openxmlformats.org/officeDocument/2006/relationships/hyperlink" Target="https://humanrights.gov.au/our-work/disability-rights/publications/willing-work-national-inquiry-employment-discrimi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75c5ac6-a0cc-43ed-b850-4a2ae59237b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2118DDF96A4034E89BD1C6F739BFE8E" ma:contentTypeVersion="1720" ma:contentTypeDescription="Create a new document." ma:contentTypeScope="" ma:versionID="398b1067a3d021fe5d81f583180914ef">
  <xsd:schema xmlns:xsd="http://www.w3.org/2001/XMLSchema" xmlns:xs="http://www.w3.org/2001/XMLSchema" xmlns:p="http://schemas.microsoft.com/office/2006/metadata/properties" xmlns:ns2="f38bc97f-71db-45c8-93e4-332747d752e1" xmlns:ns3="6500fe01-343b-4fb9-a1b0-68ac19d62e01" xmlns:ns4="2137e917-941a-45e8-b06b-533c7e656b5c" targetNamespace="http://schemas.microsoft.com/office/2006/metadata/properties" ma:root="true" ma:fieldsID="e7a5a8b213886b884725e517c6b52c07" ns2:_="" ns3:_="" ns4:_="">
    <xsd:import namespace="f38bc97f-71db-45c8-93e4-332747d752e1"/>
    <xsd:import namespace="6500fe01-343b-4fb9-a1b0-68ac19d62e01"/>
    <xsd:import namespace="2137e917-941a-45e8-b06b-533c7e656b5c"/>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default="-" ma:format="Dropdown" ma:indexed="true" ma:internalName="Subdivider">
      <xsd:simpleType>
        <xsd:union memberTypes="dms:Text">
          <xsd:simpleType>
            <xsd:restriction base="dms:Choice">
              <xsd:enumeration value="-"/>
            </xsd:restriction>
          </xsd:simpleType>
        </xsd:un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37e917-941a-45e8-b06b-533c7e656b5c"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fbe8333e833142b1aa4e528d7d71931d xmlns="f38bc97f-71db-45c8-93e4-332747d752e1">
      <Terms xmlns="http://schemas.microsoft.com/office/infopath/2007/PartnerControls"/>
    </fbe8333e833142b1aa4e528d7d71931d>
    <To xmlns="f38bc97f-71db-45c8-93e4-332747d752e1" xsi:nil="true"/>
    <Divider xmlns="6500fe01-343b-4fb9-a1b0-68ac19d62e01" xsi:nil="true"/>
    <TaxCatchAll xmlns="6500fe01-343b-4fb9-a1b0-68ac19d62e01"/>
    <Has_x0020_Attachments xmlns="f38bc97f-71db-45c8-93e4-332747d752e1" xsi:nil="true"/>
    <Subdivider xmlns="f38bc97f-71db-45c8-93e4-332747d752e1">-</Subdivider>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RUUPY3S2X5Q7-472796133-3581</_dlc_DocId>
    <_dlc_DocIdUrl xmlns="6500fe01-343b-4fb9-a1b0-68ac19d62e01">
      <Url>https://australianhrc.sharepoint.com/sites/PolicyExternalProjects/_layouts/15/DocIdRedir.aspx?ID=RUUPY3S2X5Q7-472796133-3581</Url>
      <Description>RUUPY3S2X5Q7-472796133-3581</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EED65-5686-4AC1-AE79-D7F424DE8AAF}">
  <ds:schemaRefs>
    <ds:schemaRef ds:uri="http://schemas.microsoft.com/sharepoint/events"/>
  </ds:schemaRefs>
</ds:datastoreItem>
</file>

<file path=customXml/itemProps2.xml><?xml version="1.0" encoding="utf-8"?>
<ds:datastoreItem xmlns:ds="http://schemas.openxmlformats.org/officeDocument/2006/customXml" ds:itemID="{D969B205-F045-4C77-8EC8-F8223FF30034}">
  <ds:schemaRefs>
    <ds:schemaRef ds:uri="Microsoft.SharePoint.Taxonomy.ContentTypeSync"/>
  </ds:schemaRefs>
</ds:datastoreItem>
</file>

<file path=customXml/itemProps3.xml><?xml version="1.0" encoding="utf-8"?>
<ds:datastoreItem xmlns:ds="http://schemas.openxmlformats.org/officeDocument/2006/customXml" ds:itemID="{7FA3B4A7-D1B4-4F65-A98E-D59ED6028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2137e917-941a-45e8-b06b-533c7e656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5CD75-FD0B-4990-9395-4A802569EE7B}">
  <ds:schemaRefs>
    <ds:schemaRef ds:uri="http://schemas.microsoft.com/sharepoint/v3/contenttype/forms"/>
  </ds:schemaRefs>
</ds:datastoreItem>
</file>

<file path=customXml/itemProps5.xml><?xml version="1.0" encoding="utf-8"?>
<ds:datastoreItem xmlns:ds="http://schemas.openxmlformats.org/officeDocument/2006/customXml" ds:itemID="{F4E85AE3-C40F-4F70-88EE-37CBB0ACE357}">
  <ds:schemaRefs>
    <ds:schemaRef ds:uri="http://schemas.microsoft.com/office/2006/metadata/customXsn"/>
  </ds:schemaRefs>
</ds:datastoreItem>
</file>

<file path=customXml/itemProps6.xml><?xml version="1.0" encoding="utf-8"?>
<ds:datastoreItem xmlns:ds="http://schemas.openxmlformats.org/officeDocument/2006/customXml" ds:itemID="{59677B16-622F-47F0-AE68-6ABA705847C5}">
  <ds:schemaRefs>
    <ds:schemaRef ds:uri="http://schemas.microsoft.com/office/2006/metadata/properties"/>
    <ds:schemaRef ds:uri="http://schemas.microsoft.com/office/infopath/2007/PartnerControls"/>
    <ds:schemaRef ds:uri="f38bc97f-71db-45c8-93e4-332747d752e1"/>
    <ds:schemaRef ds:uri="6500fe01-343b-4fb9-a1b0-68ac19d62e01"/>
  </ds:schemaRefs>
</ds:datastoreItem>
</file>

<file path=customXml/itemProps7.xml><?xml version="1.0" encoding="utf-8"?>
<ds:datastoreItem xmlns:ds="http://schemas.openxmlformats.org/officeDocument/2006/customXml" ds:itemID="{85942C50-0BAE-4CF8-87F5-71EFAB86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Submission_New.dotx</Template>
  <TotalTime>105</TotalTime>
  <Pages>76</Pages>
  <Words>18277</Words>
  <Characters>104184</Characters>
  <Application>Microsoft Office Word</Application>
  <DocSecurity>0</DocSecurity>
  <Lines>868</Lines>
  <Paragraphs>244</Paragraphs>
  <ScaleCrop>false</ScaleCrop>
  <Company>Human Rights and Equal Opportunity Commission</Company>
  <LinksUpToDate>false</LinksUpToDate>
  <CharactersWithSpaces>122217</CharactersWithSpaces>
  <SharedDoc>false</SharedDoc>
  <HLinks>
    <vt:vector size="1200" baseType="variant">
      <vt:variant>
        <vt:i4>1310776</vt:i4>
      </vt:variant>
      <vt:variant>
        <vt:i4>254</vt:i4>
      </vt:variant>
      <vt:variant>
        <vt:i4>0</vt:i4>
      </vt:variant>
      <vt:variant>
        <vt:i4>5</vt:i4>
      </vt:variant>
      <vt:variant>
        <vt:lpwstr/>
      </vt:variant>
      <vt:variant>
        <vt:lpwstr>_Toc51328565</vt:lpwstr>
      </vt:variant>
      <vt:variant>
        <vt:i4>1376312</vt:i4>
      </vt:variant>
      <vt:variant>
        <vt:i4>248</vt:i4>
      </vt:variant>
      <vt:variant>
        <vt:i4>0</vt:i4>
      </vt:variant>
      <vt:variant>
        <vt:i4>5</vt:i4>
      </vt:variant>
      <vt:variant>
        <vt:lpwstr/>
      </vt:variant>
      <vt:variant>
        <vt:lpwstr>_Toc51328564</vt:lpwstr>
      </vt:variant>
      <vt:variant>
        <vt:i4>1179704</vt:i4>
      </vt:variant>
      <vt:variant>
        <vt:i4>242</vt:i4>
      </vt:variant>
      <vt:variant>
        <vt:i4>0</vt:i4>
      </vt:variant>
      <vt:variant>
        <vt:i4>5</vt:i4>
      </vt:variant>
      <vt:variant>
        <vt:lpwstr/>
      </vt:variant>
      <vt:variant>
        <vt:lpwstr>_Toc51328563</vt:lpwstr>
      </vt:variant>
      <vt:variant>
        <vt:i4>1245240</vt:i4>
      </vt:variant>
      <vt:variant>
        <vt:i4>236</vt:i4>
      </vt:variant>
      <vt:variant>
        <vt:i4>0</vt:i4>
      </vt:variant>
      <vt:variant>
        <vt:i4>5</vt:i4>
      </vt:variant>
      <vt:variant>
        <vt:lpwstr/>
      </vt:variant>
      <vt:variant>
        <vt:lpwstr>_Toc51328562</vt:lpwstr>
      </vt:variant>
      <vt:variant>
        <vt:i4>1048632</vt:i4>
      </vt:variant>
      <vt:variant>
        <vt:i4>230</vt:i4>
      </vt:variant>
      <vt:variant>
        <vt:i4>0</vt:i4>
      </vt:variant>
      <vt:variant>
        <vt:i4>5</vt:i4>
      </vt:variant>
      <vt:variant>
        <vt:lpwstr/>
      </vt:variant>
      <vt:variant>
        <vt:lpwstr>_Toc51328561</vt:lpwstr>
      </vt:variant>
      <vt:variant>
        <vt:i4>1114168</vt:i4>
      </vt:variant>
      <vt:variant>
        <vt:i4>224</vt:i4>
      </vt:variant>
      <vt:variant>
        <vt:i4>0</vt:i4>
      </vt:variant>
      <vt:variant>
        <vt:i4>5</vt:i4>
      </vt:variant>
      <vt:variant>
        <vt:lpwstr/>
      </vt:variant>
      <vt:variant>
        <vt:lpwstr>_Toc51328560</vt:lpwstr>
      </vt:variant>
      <vt:variant>
        <vt:i4>1572923</vt:i4>
      </vt:variant>
      <vt:variant>
        <vt:i4>218</vt:i4>
      </vt:variant>
      <vt:variant>
        <vt:i4>0</vt:i4>
      </vt:variant>
      <vt:variant>
        <vt:i4>5</vt:i4>
      </vt:variant>
      <vt:variant>
        <vt:lpwstr/>
      </vt:variant>
      <vt:variant>
        <vt:lpwstr>_Toc51328559</vt:lpwstr>
      </vt:variant>
      <vt:variant>
        <vt:i4>1638459</vt:i4>
      </vt:variant>
      <vt:variant>
        <vt:i4>212</vt:i4>
      </vt:variant>
      <vt:variant>
        <vt:i4>0</vt:i4>
      </vt:variant>
      <vt:variant>
        <vt:i4>5</vt:i4>
      </vt:variant>
      <vt:variant>
        <vt:lpwstr/>
      </vt:variant>
      <vt:variant>
        <vt:lpwstr>_Toc51328558</vt:lpwstr>
      </vt:variant>
      <vt:variant>
        <vt:i4>1441851</vt:i4>
      </vt:variant>
      <vt:variant>
        <vt:i4>206</vt:i4>
      </vt:variant>
      <vt:variant>
        <vt:i4>0</vt:i4>
      </vt:variant>
      <vt:variant>
        <vt:i4>5</vt:i4>
      </vt:variant>
      <vt:variant>
        <vt:lpwstr/>
      </vt:variant>
      <vt:variant>
        <vt:lpwstr>_Toc51328557</vt:lpwstr>
      </vt:variant>
      <vt:variant>
        <vt:i4>1507387</vt:i4>
      </vt:variant>
      <vt:variant>
        <vt:i4>200</vt:i4>
      </vt:variant>
      <vt:variant>
        <vt:i4>0</vt:i4>
      </vt:variant>
      <vt:variant>
        <vt:i4>5</vt:i4>
      </vt:variant>
      <vt:variant>
        <vt:lpwstr/>
      </vt:variant>
      <vt:variant>
        <vt:lpwstr>_Toc51328556</vt:lpwstr>
      </vt:variant>
      <vt:variant>
        <vt:i4>1310779</vt:i4>
      </vt:variant>
      <vt:variant>
        <vt:i4>194</vt:i4>
      </vt:variant>
      <vt:variant>
        <vt:i4>0</vt:i4>
      </vt:variant>
      <vt:variant>
        <vt:i4>5</vt:i4>
      </vt:variant>
      <vt:variant>
        <vt:lpwstr/>
      </vt:variant>
      <vt:variant>
        <vt:lpwstr>_Toc51328555</vt:lpwstr>
      </vt:variant>
      <vt:variant>
        <vt:i4>1376315</vt:i4>
      </vt:variant>
      <vt:variant>
        <vt:i4>188</vt:i4>
      </vt:variant>
      <vt:variant>
        <vt:i4>0</vt:i4>
      </vt:variant>
      <vt:variant>
        <vt:i4>5</vt:i4>
      </vt:variant>
      <vt:variant>
        <vt:lpwstr/>
      </vt:variant>
      <vt:variant>
        <vt:lpwstr>_Toc51328554</vt:lpwstr>
      </vt:variant>
      <vt:variant>
        <vt:i4>1179707</vt:i4>
      </vt:variant>
      <vt:variant>
        <vt:i4>182</vt:i4>
      </vt:variant>
      <vt:variant>
        <vt:i4>0</vt:i4>
      </vt:variant>
      <vt:variant>
        <vt:i4>5</vt:i4>
      </vt:variant>
      <vt:variant>
        <vt:lpwstr/>
      </vt:variant>
      <vt:variant>
        <vt:lpwstr>_Toc51328553</vt:lpwstr>
      </vt:variant>
      <vt:variant>
        <vt:i4>1245243</vt:i4>
      </vt:variant>
      <vt:variant>
        <vt:i4>176</vt:i4>
      </vt:variant>
      <vt:variant>
        <vt:i4>0</vt:i4>
      </vt:variant>
      <vt:variant>
        <vt:i4>5</vt:i4>
      </vt:variant>
      <vt:variant>
        <vt:lpwstr/>
      </vt:variant>
      <vt:variant>
        <vt:lpwstr>_Toc51328552</vt:lpwstr>
      </vt:variant>
      <vt:variant>
        <vt:i4>1048635</vt:i4>
      </vt:variant>
      <vt:variant>
        <vt:i4>170</vt:i4>
      </vt:variant>
      <vt:variant>
        <vt:i4>0</vt:i4>
      </vt:variant>
      <vt:variant>
        <vt:i4>5</vt:i4>
      </vt:variant>
      <vt:variant>
        <vt:lpwstr/>
      </vt:variant>
      <vt:variant>
        <vt:lpwstr>_Toc51328551</vt:lpwstr>
      </vt:variant>
      <vt:variant>
        <vt:i4>1114171</vt:i4>
      </vt:variant>
      <vt:variant>
        <vt:i4>164</vt:i4>
      </vt:variant>
      <vt:variant>
        <vt:i4>0</vt:i4>
      </vt:variant>
      <vt:variant>
        <vt:i4>5</vt:i4>
      </vt:variant>
      <vt:variant>
        <vt:lpwstr/>
      </vt:variant>
      <vt:variant>
        <vt:lpwstr>_Toc51328550</vt:lpwstr>
      </vt:variant>
      <vt:variant>
        <vt:i4>1572922</vt:i4>
      </vt:variant>
      <vt:variant>
        <vt:i4>158</vt:i4>
      </vt:variant>
      <vt:variant>
        <vt:i4>0</vt:i4>
      </vt:variant>
      <vt:variant>
        <vt:i4>5</vt:i4>
      </vt:variant>
      <vt:variant>
        <vt:lpwstr/>
      </vt:variant>
      <vt:variant>
        <vt:lpwstr>_Toc51328549</vt:lpwstr>
      </vt:variant>
      <vt:variant>
        <vt:i4>1638458</vt:i4>
      </vt:variant>
      <vt:variant>
        <vt:i4>152</vt:i4>
      </vt:variant>
      <vt:variant>
        <vt:i4>0</vt:i4>
      </vt:variant>
      <vt:variant>
        <vt:i4>5</vt:i4>
      </vt:variant>
      <vt:variant>
        <vt:lpwstr/>
      </vt:variant>
      <vt:variant>
        <vt:lpwstr>_Toc51328548</vt:lpwstr>
      </vt:variant>
      <vt:variant>
        <vt:i4>1441850</vt:i4>
      </vt:variant>
      <vt:variant>
        <vt:i4>146</vt:i4>
      </vt:variant>
      <vt:variant>
        <vt:i4>0</vt:i4>
      </vt:variant>
      <vt:variant>
        <vt:i4>5</vt:i4>
      </vt:variant>
      <vt:variant>
        <vt:lpwstr/>
      </vt:variant>
      <vt:variant>
        <vt:lpwstr>_Toc51328547</vt:lpwstr>
      </vt:variant>
      <vt:variant>
        <vt:i4>1507386</vt:i4>
      </vt:variant>
      <vt:variant>
        <vt:i4>140</vt:i4>
      </vt:variant>
      <vt:variant>
        <vt:i4>0</vt:i4>
      </vt:variant>
      <vt:variant>
        <vt:i4>5</vt:i4>
      </vt:variant>
      <vt:variant>
        <vt:lpwstr/>
      </vt:variant>
      <vt:variant>
        <vt:lpwstr>_Toc51328546</vt:lpwstr>
      </vt:variant>
      <vt:variant>
        <vt:i4>1310778</vt:i4>
      </vt:variant>
      <vt:variant>
        <vt:i4>134</vt:i4>
      </vt:variant>
      <vt:variant>
        <vt:i4>0</vt:i4>
      </vt:variant>
      <vt:variant>
        <vt:i4>5</vt:i4>
      </vt:variant>
      <vt:variant>
        <vt:lpwstr/>
      </vt:variant>
      <vt:variant>
        <vt:lpwstr>_Toc51328545</vt:lpwstr>
      </vt:variant>
      <vt:variant>
        <vt:i4>1376314</vt:i4>
      </vt:variant>
      <vt:variant>
        <vt:i4>128</vt:i4>
      </vt:variant>
      <vt:variant>
        <vt:i4>0</vt:i4>
      </vt:variant>
      <vt:variant>
        <vt:i4>5</vt:i4>
      </vt:variant>
      <vt:variant>
        <vt:lpwstr/>
      </vt:variant>
      <vt:variant>
        <vt:lpwstr>_Toc51328544</vt:lpwstr>
      </vt:variant>
      <vt:variant>
        <vt:i4>1179706</vt:i4>
      </vt:variant>
      <vt:variant>
        <vt:i4>122</vt:i4>
      </vt:variant>
      <vt:variant>
        <vt:i4>0</vt:i4>
      </vt:variant>
      <vt:variant>
        <vt:i4>5</vt:i4>
      </vt:variant>
      <vt:variant>
        <vt:lpwstr/>
      </vt:variant>
      <vt:variant>
        <vt:lpwstr>_Toc51328543</vt:lpwstr>
      </vt:variant>
      <vt:variant>
        <vt:i4>1245242</vt:i4>
      </vt:variant>
      <vt:variant>
        <vt:i4>116</vt:i4>
      </vt:variant>
      <vt:variant>
        <vt:i4>0</vt:i4>
      </vt:variant>
      <vt:variant>
        <vt:i4>5</vt:i4>
      </vt:variant>
      <vt:variant>
        <vt:lpwstr/>
      </vt:variant>
      <vt:variant>
        <vt:lpwstr>_Toc51328542</vt:lpwstr>
      </vt:variant>
      <vt:variant>
        <vt:i4>1048634</vt:i4>
      </vt:variant>
      <vt:variant>
        <vt:i4>110</vt:i4>
      </vt:variant>
      <vt:variant>
        <vt:i4>0</vt:i4>
      </vt:variant>
      <vt:variant>
        <vt:i4>5</vt:i4>
      </vt:variant>
      <vt:variant>
        <vt:lpwstr/>
      </vt:variant>
      <vt:variant>
        <vt:lpwstr>_Toc51328541</vt:lpwstr>
      </vt:variant>
      <vt:variant>
        <vt:i4>1114170</vt:i4>
      </vt:variant>
      <vt:variant>
        <vt:i4>104</vt:i4>
      </vt:variant>
      <vt:variant>
        <vt:i4>0</vt:i4>
      </vt:variant>
      <vt:variant>
        <vt:i4>5</vt:i4>
      </vt:variant>
      <vt:variant>
        <vt:lpwstr/>
      </vt:variant>
      <vt:variant>
        <vt:lpwstr>_Toc51328540</vt:lpwstr>
      </vt:variant>
      <vt:variant>
        <vt:i4>1572925</vt:i4>
      </vt:variant>
      <vt:variant>
        <vt:i4>98</vt:i4>
      </vt:variant>
      <vt:variant>
        <vt:i4>0</vt:i4>
      </vt:variant>
      <vt:variant>
        <vt:i4>5</vt:i4>
      </vt:variant>
      <vt:variant>
        <vt:lpwstr/>
      </vt:variant>
      <vt:variant>
        <vt:lpwstr>_Toc51328539</vt:lpwstr>
      </vt:variant>
      <vt:variant>
        <vt:i4>1638461</vt:i4>
      </vt:variant>
      <vt:variant>
        <vt:i4>92</vt:i4>
      </vt:variant>
      <vt:variant>
        <vt:i4>0</vt:i4>
      </vt:variant>
      <vt:variant>
        <vt:i4>5</vt:i4>
      </vt:variant>
      <vt:variant>
        <vt:lpwstr/>
      </vt:variant>
      <vt:variant>
        <vt:lpwstr>_Toc51328538</vt:lpwstr>
      </vt:variant>
      <vt:variant>
        <vt:i4>1441853</vt:i4>
      </vt:variant>
      <vt:variant>
        <vt:i4>86</vt:i4>
      </vt:variant>
      <vt:variant>
        <vt:i4>0</vt:i4>
      </vt:variant>
      <vt:variant>
        <vt:i4>5</vt:i4>
      </vt:variant>
      <vt:variant>
        <vt:lpwstr/>
      </vt:variant>
      <vt:variant>
        <vt:lpwstr>_Toc51328537</vt:lpwstr>
      </vt:variant>
      <vt:variant>
        <vt:i4>1507389</vt:i4>
      </vt:variant>
      <vt:variant>
        <vt:i4>80</vt:i4>
      </vt:variant>
      <vt:variant>
        <vt:i4>0</vt:i4>
      </vt:variant>
      <vt:variant>
        <vt:i4>5</vt:i4>
      </vt:variant>
      <vt:variant>
        <vt:lpwstr/>
      </vt:variant>
      <vt:variant>
        <vt:lpwstr>_Toc51328536</vt:lpwstr>
      </vt:variant>
      <vt:variant>
        <vt:i4>1310781</vt:i4>
      </vt:variant>
      <vt:variant>
        <vt:i4>74</vt:i4>
      </vt:variant>
      <vt:variant>
        <vt:i4>0</vt:i4>
      </vt:variant>
      <vt:variant>
        <vt:i4>5</vt:i4>
      </vt:variant>
      <vt:variant>
        <vt:lpwstr/>
      </vt:variant>
      <vt:variant>
        <vt:lpwstr>_Toc51328535</vt:lpwstr>
      </vt:variant>
      <vt:variant>
        <vt:i4>1376317</vt:i4>
      </vt:variant>
      <vt:variant>
        <vt:i4>68</vt:i4>
      </vt:variant>
      <vt:variant>
        <vt:i4>0</vt:i4>
      </vt:variant>
      <vt:variant>
        <vt:i4>5</vt:i4>
      </vt:variant>
      <vt:variant>
        <vt:lpwstr/>
      </vt:variant>
      <vt:variant>
        <vt:lpwstr>_Toc51328534</vt:lpwstr>
      </vt:variant>
      <vt:variant>
        <vt:i4>1179709</vt:i4>
      </vt:variant>
      <vt:variant>
        <vt:i4>62</vt:i4>
      </vt:variant>
      <vt:variant>
        <vt:i4>0</vt:i4>
      </vt:variant>
      <vt:variant>
        <vt:i4>5</vt:i4>
      </vt:variant>
      <vt:variant>
        <vt:lpwstr/>
      </vt:variant>
      <vt:variant>
        <vt:lpwstr>_Toc51328533</vt:lpwstr>
      </vt:variant>
      <vt:variant>
        <vt:i4>1245245</vt:i4>
      </vt:variant>
      <vt:variant>
        <vt:i4>56</vt:i4>
      </vt:variant>
      <vt:variant>
        <vt:i4>0</vt:i4>
      </vt:variant>
      <vt:variant>
        <vt:i4>5</vt:i4>
      </vt:variant>
      <vt:variant>
        <vt:lpwstr/>
      </vt:variant>
      <vt:variant>
        <vt:lpwstr>_Toc51328532</vt:lpwstr>
      </vt:variant>
      <vt:variant>
        <vt:i4>1048637</vt:i4>
      </vt:variant>
      <vt:variant>
        <vt:i4>50</vt:i4>
      </vt:variant>
      <vt:variant>
        <vt:i4>0</vt:i4>
      </vt:variant>
      <vt:variant>
        <vt:i4>5</vt:i4>
      </vt:variant>
      <vt:variant>
        <vt:lpwstr/>
      </vt:variant>
      <vt:variant>
        <vt:lpwstr>_Toc51328531</vt:lpwstr>
      </vt:variant>
      <vt:variant>
        <vt:i4>1114173</vt:i4>
      </vt:variant>
      <vt:variant>
        <vt:i4>44</vt:i4>
      </vt:variant>
      <vt:variant>
        <vt:i4>0</vt:i4>
      </vt:variant>
      <vt:variant>
        <vt:i4>5</vt:i4>
      </vt:variant>
      <vt:variant>
        <vt:lpwstr/>
      </vt:variant>
      <vt:variant>
        <vt:lpwstr>_Toc51328530</vt:lpwstr>
      </vt:variant>
      <vt:variant>
        <vt:i4>1572924</vt:i4>
      </vt:variant>
      <vt:variant>
        <vt:i4>38</vt:i4>
      </vt:variant>
      <vt:variant>
        <vt:i4>0</vt:i4>
      </vt:variant>
      <vt:variant>
        <vt:i4>5</vt:i4>
      </vt:variant>
      <vt:variant>
        <vt:lpwstr/>
      </vt:variant>
      <vt:variant>
        <vt:lpwstr>_Toc51328529</vt:lpwstr>
      </vt:variant>
      <vt:variant>
        <vt:i4>1638460</vt:i4>
      </vt:variant>
      <vt:variant>
        <vt:i4>32</vt:i4>
      </vt:variant>
      <vt:variant>
        <vt:i4>0</vt:i4>
      </vt:variant>
      <vt:variant>
        <vt:i4>5</vt:i4>
      </vt:variant>
      <vt:variant>
        <vt:lpwstr/>
      </vt:variant>
      <vt:variant>
        <vt:lpwstr>_Toc51328528</vt:lpwstr>
      </vt:variant>
      <vt:variant>
        <vt:i4>1441852</vt:i4>
      </vt:variant>
      <vt:variant>
        <vt:i4>26</vt:i4>
      </vt:variant>
      <vt:variant>
        <vt:i4>0</vt:i4>
      </vt:variant>
      <vt:variant>
        <vt:i4>5</vt:i4>
      </vt:variant>
      <vt:variant>
        <vt:lpwstr/>
      </vt:variant>
      <vt:variant>
        <vt:lpwstr>_Toc51328527</vt:lpwstr>
      </vt:variant>
      <vt:variant>
        <vt:i4>1507388</vt:i4>
      </vt:variant>
      <vt:variant>
        <vt:i4>20</vt:i4>
      </vt:variant>
      <vt:variant>
        <vt:i4>0</vt:i4>
      </vt:variant>
      <vt:variant>
        <vt:i4>5</vt:i4>
      </vt:variant>
      <vt:variant>
        <vt:lpwstr/>
      </vt:variant>
      <vt:variant>
        <vt:lpwstr>_Toc51328526</vt:lpwstr>
      </vt:variant>
      <vt:variant>
        <vt:i4>1310780</vt:i4>
      </vt:variant>
      <vt:variant>
        <vt:i4>14</vt:i4>
      </vt:variant>
      <vt:variant>
        <vt:i4>0</vt:i4>
      </vt:variant>
      <vt:variant>
        <vt:i4>5</vt:i4>
      </vt:variant>
      <vt:variant>
        <vt:lpwstr/>
      </vt:variant>
      <vt:variant>
        <vt:lpwstr>_Toc51328525</vt:lpwstr>
      </vt:variant>
      <vt:variant>
        <vt:i4>1376316</vt:i4>
      </vt:variant>
      <vt:variant>
        <vt:i4>8</vt:i4>
      </vt:variant>
      <vt:variant>
        <vt:i4>0</vt:i4>
      </vt:variant>
      <vt:variant>
        <vt:i4>5</vt:i4>
      </vt:variant>
      <vt:variant>
        <vt:lpwstr/>
      </vt:variant>
      <vt:variant>
        <vt:lpwstr>_Toc51328524</vt:lpwstr>
      </vt:variant>
      <vt:variant>
        <vt:i4>1179708</vt:i4>
      </vt:variant>
      <vt:variant>
        <vt:i4>2</vt:i4>
      </vt:variant>
      <vt:variant>
        <vt:i4>0</vt:i4>
      </vt:variant>
      <vt:variant>
        <vt:i4>5</vt:i4>
      </vt:variant>
      <vt:variant>
        <vt:lpwstr/>
      </vt:variant>
      <vt:variant>
        <vt:lpwstr>_Toc51328523</vt:lpwstr>
      </vt:variant>
      <vt:variant>
        <vt:i4>4915228</vt:i4>
      </vt:variant>
      <vt:variant>
        <vt:i4>468</vt:i4>
      </vt:variant>
      <vt:variant>
        <vt:i4>0</vt:i4>
      </vt:variant>
      <vt:variant>
        <vt:i4>5</vt:i4>
      </vt:variant>
      <vt:variant>
        <vt:lpwstr>https://humanrights.gov.au/sites/default/files/2019-10/AHRC_AR_2018-19_Stats_Tables_%28Final%29.pdf?_ga=2.22211707.1503718482.1596427266-453609452.1594602574</vt:lpwstr>
      </vt:variant>
      <vt:variant>
        <vt:lpwstr/>
      </vt:variant>
      <vt:variant>
        <vt:i4>3342448</vt:i4>
      </vt:variant>
      <vt:variant>
        <vt:i4>465</vt:i4>
      </vt:variant>
      <vt:variant>
        <vt:i4>0</vt:i4>
      </vt:variant>
      <vt:variant>
        <vt:i4>5</vt:i4>
      </vt:variant>
      <vt:variant>
        <vt:lpwstr>https://www.ndis.gov.au/media/1957/download</vt:lpwstr>
      </vt:variant>
      <vt:variant>
        <vt:lpwstr/>
      </vt:variant>
      <vt:variant>
        <vt:i4>3407913</vt:i4>
      </vt:variant>
      <vt:variant>
        <vt:i4>462</vt:i4>
      </vt:variant>
      <vt:variant>
        <vt:i4>0</vt:i4>
      </vt:variant>
      <vt:variant>
        <vt:i4>5</vt:i4>
      </vt:variant>
      <vt:variant>
        <vt:lpwstr>https://www.ndis.gov.au/media/321/download</vt:lpwstr>
      </vt:variant>
      <vt:variant>
        <vt:lpwstr/>
      </vt:variant>
      <vt:variant>
        <vt:i4>2752541</vt:i4>
      </vt:variant>
      <vt:variant>
        <vt:i4>459</vt:i4>
      </vt:variant>
      <vt:variant>
        <vt:i4>0</vt:i4>
      </vt:variant>
      <vt:variant>
        <vt:i4>5</vt:i4>
      </vt:variant>
      <vt:variant>
        <vt:lpwstr>https://humanrights.gov.au/sites/default/files/document/publication/WTW_2016_Full_Report_AHRC_ac.pdf</vt:lpwstr>
      </vt:variant>
      <vt:variant>
        <vt:lpwstr/>
      </vt:variant>
      <vt:variant>
        <vt:i4>2752541</vt:i4>
      </vt:variant>
      <vt:variant>
        <vt:i4>456</vt:i4>
      </vt:variant>
      <vt:variant>
        <vt:i4>0</vt:i4>
      </vt:variant>
      <vt:variant>
        <vt:i4>5</vt:i4>
      </vt:variant>
      <vt:variant>
        <vt:lpwstr>https://humanrights.gov.au/sites/default/files/document/publication/WTW_2016_Full_Report_AHRC_ac.pdf</vt:lpwstr>
      </vt:variant>
      <vt:variant>
        <vt:lpwstr/>
      </vt:variant>
      <vt:variant>
        <vt:i4>7864348</vt:i4>
      </vt:variant>
      <vt:variant>
        <vt:i4>453</vt:i4>
      </vt:variant>
      <vt:variant>
        <vt:i4>0</vt:i4>
      </vt:variant>
      <vt:variant>
        <vt:i4>5</vt:i4>
      </vt:variant>
      <vt:variant>
        <vt:lpwstr>https://www.dss.gov.au/sites/default/files/documents/03_2020/des-eligible-school-leaver-guideline.pdf</vt:lpwstr>
      </vt:variant>
      <vt:variant>
        <vt:lpwstr/>
      </vt:variant>
      <vt:variant>
        <vt:i4>2752541</vt:i4>
      </vt:variant>
      <vt:variant>
        <vt:i4>450</vt:i4>
      </vt:variant>
      <vt:variant>
        <vt:i4>0</vt:i4>
      </vt:variant>
      <vt:variant>
        <vt:i4>5</vt:i4>
      </vt:variant>
      <vt:variant>
        <vt:lpwstr>https://humanrights.gov.au/sites/default/files/document/publication/WTW_2016_Full_Report_AHRC_ac.pdf</vt:lpwstr>
      </vt:variant>
      <vt:variant>
        <vt:lpwstr/>
      </vt:variant>
      <vt:variant>
        <vt:i4>3735638</vt:i4>
      </vt:variant>
      <vt:variant>
        <vt:i4>447</vt:i4>
      </vt:variant>
      <vt:variant>
        <vt:i4>0</vt:i4>
      </vt:variant>
      <vt:variant>
        <vt:i4>5</vt:i4>
      </vt:variant>
      <vt:variant>
        <vt:lpwstr>https://www.abs.gov.au/ausstats/abs@.nsf/Previousproducts/6333.0Feature Article4August 2017?opendocument&amp;tabname=Summary&amp;prodno=6333.0&amp;issue=August%202017&amp;num=&amp;view=</vt:lpwstr>
      </vt:variant>
      <vt:variant>
        <vt:lpwstr/>
      </vt:variant>
      <vt:variant>
        <vt:i4>2752541</vt:i4>
      </vt:variant>
      <vt:variant>
        <vt:i4>444</vt:i4>
      </vt:variant>
      <vt:variant>
        <vt:i4>0</vt:i4>
      </vt:variant>
      <vt:variant>
        <vt:i4>5</vt:i4>
      </vt:variant>
      <vt:variant>
        <vt:lpwstr>https://humanrights.gov.au/sites/default/files/document/publication/WTW_2016_Full_Report_AHRC_ac.pdf</vt:lpwstr>
      </vt:variant>
      <vt:variant>
        <vt:lpwstr/>
      </vt:variant>
      <vt:variant>
        <vt:i4>3145779</vt:i4>
      </vt:variant>
      <vt:variant>
        <vt:i4>441</vt:i4>
      </vt:variant>
      <vt:variant>
        <vt:i4>0</vt:i4>
      </vt:variant>
      <vt:variant>
        <vt:i4>5</vt:i4>
      </vt:variant>
      <vt:variant>
        <vt:lpwstr>https://journals.sagepub.com/doi/10.1177/088572880202500103</vt:lpwstr>
      </vt:variant>
      <vt:variant>
        <vt:lpwstr/>
      </vt:variant>
      <vt:variant>
        <vt:i4>393222</vt:i4>
      </vt:variant>
      <vt:variant>
        <vt:i4>438</vt:i4>
      </vt:variant>
      <vt:variant>
        <vt:i4>0</vt:i4>
      </vt:variant>
      <vt:variant>
        <vt:i4>5</vt:i4>
      </vt:variant>
      <vt:variant>
        <vt:lpwstr>https://journals.sagepub.com/doi/10.1177/0885728809346960</vt:lpwstr>
      </vt:variant>
      <vt:variant>
        <vt:lpwstr/>
      </vt:variant>
      <vt:variant>
        <vt:i4>7864348</vt:i4>
      </vt:variant>
      <vt:variant>
        <vt:i4>435</vt:i4>
      </vt:variant>
      <vt:variant>
        <vt:i4>0</vt:i4>
      </vt:variant>
      <vt:variant>
        <vt:i4>5</vt:i4>
      </vt:variant>
      <vt:variant>
        <vt:lpwstr>https://www.dss.gov.au/sites/default/files/documents/03_2020/des-eligible-school-leaver-guideline.pdf</vt:lpwstr>
      </vt:variant>
      <vt:variant>
        <vt:lpwstr/>
      </vt:variant>
      <vt:variant>
        <vt:i4>2752541</vt:i4>
      </vt:variant>
      <vt:variant>
        <vt:i4>432</vt:i4>
      </vt:variant>
      <vt:variant>
        <vt:i4>0</vt:i4>
      </vt:variant>
      <vt:variant>
        <vt:i4>5</vt:i4>
      </vt:variant>
      <vt:variant>
        <vt:lpwstr>https://humanrights.gov.au/sites/default/files/document/publication/WTW_2016_Full_Report_AHRC_ac.pdf</vt:lpwstr>
      </vt:variant>
      <vt:variant>
        <vt:lpwstr/>
      </vt:variant>
      <vt:variant>
        <vt:i4>7864348</vt:i4>
      </vt:variant>
      <vt:variant>
        <vt:i4>429</vt:i4>
      </vt:variant>
      <vt:variant>
        <vt:i4>0</vt:i4>
      </vt:variant>
      <vt:variant>
        <vt:i4>5</vt:i4>
      </vt:variant>
      <vt:variant>
        <vt:lpwstr>https://www.dss.gov.au/sites/default/files/documents/03_2020/des-eligible-school-leaver-guideline.pdf</vt:lpwstr>
      </vt:variant>
      <vt:variant>
        <vt:lpwstr/>
      </vt:variant>
      <vt:variant>
        <vt:i4>7864348</vt:i4>
      </vt:variant>
      <vt:variant>
        <vt:i4>426</vt:i4>
      </vt:variant>
      <vt:variant>
        <vt:i4>0</vt:i4>
      </vt:variant>
      <vt:variant>
        <vt:i4>5</vt:i4>
      </vt:variant>
      <vt:variant>
        <vt:lpwstr>https://www.dss.gov.au/sites/default/files/documents/03_2020/des-eligible-school-leaver-guideline.pdf</vt:lpwstr>
      </vt:variant>
      <vt:variant>
        <vt:lpwstr/>
      </vt:variant>
      <vt:variant>
        <vt:i4>4849679</vt:i4>
      </vt:variant>
      <vt:variant>
        <vt:i4>423</vt:i4>
      </vt:variant>
      <vt:variant>
        <vt:i4>0</vt:i4>
      </vt:variant>
      <vt:variant>
        <vt:i4>5</vt:i4>
      </vt:variant>
      <vt:variant>
        <vt:lpwstr>https://www.dss.gov.au/disability-and-carers-research-and-data/the-national-disability-data-asset</vt:lpwstr>
      </vt:variant>
      <vt:variant>
        <vt:lpwstr/>
      </vt:variant>
      <vt:variant>
        <vt:i4>7602183</vt:i4>
      </vt:variant>
      <vt:variant>
        <vt:i4>420</vt:i4>
      </vt:variant>
      <vt:variant>
        <vt:i4>0</vt:i4>
      </vt:variant>
      <vt:variant>
        <vt:i4>5</vt:i4>
      </vt:variant>
      <vt:variant>
        <vt:lpwstr>https://research.acer.edu.au/cgi/viewcontent.cgi?article=1066&amp;context=lsay_research</vt:lpwstr>
      </vt:variant>
      <vt:variant>
        <vt:lpwstr/>
      </vt:variant>
      <vt:variant>
        <vt:i4>2752541</vt:i4>
      </vt:variant>
      <vt:variant>
        <vt:i4>417</vt:i4>
      </vt:variant>
      <vt:variant>
        <vt:i4>0</vt:i4>
      </vt:variant>
      <vt:variant>
        <vt:i4>5</vt:i4>
      </vt:variant>
      <vt:variant>
        <vt:lpwstr>https://humanrights.gov.au/sites/default/files/document/publication/WTW_2016_Full_Report_AHRC_ac.pdf</vt:lpwstr>
      </vt:variant>
      <vt:variant>
        <vt:lpwstr/>
      </vt:variant>
      <vt:variant>
        <vt:i4>3342448</vt:i4>
      </vt:variant>
      <vt:variant>
        <vt:i4>414</vt:i4>
      </vt:variant>
      <vt:variant>
        <vt:i4>0</vt:i4>
      </vt:variant>
      <vt:variant>
        <vt:i4>5</vt:i4>
      </vt:variant>
      <vt:variant>
        <vt:lpwstr>https://www.ndis.gov.au/media/1957/download</vt:lpwstr>
      </vt:variant>
      <vt:variant>
        <vt:lpwstr/>
      </vt:variant>
      <vt:variant>
        <vt:i4>3342448</vt:i4>
      </vt:variant>
      <vt:variant>
        <vt:i4>411</vt:i4>
      </vt:variant>
      <vt:variant>
        <vt:i4>0</vt:i4>
      </vt:variant>
      <vt:variant>
        <vt:i4>5</vt:i4>
      </vt:variant>
      <vt:variant>
        <vt:lpwstr>https://www.ndis.gov.au/media/1957/download</vt:lpwstr>
      </vt:variant>
      <vt:variant>
        <vt:lpwstr/>
      </vt:variant>
      <vt:variant>
        <vt:i4>3342448</vt:i4>
      </vt:variant>
      <vt:variant>
        <vt:i4>408</vt:i4>
      </vt:variant>
      <vt:variant>
        <vt:i4>0</vt:i4>
      </vt:variant>
      <vt:variant>
        <vt:i4>5</vt:i4>
      </vt:variant>
      <vt:variant>
        <vt:lpwstr>https://www.ndis.gov.au/media/1957/download</vt:lpwstr>
      </vt:variant>
      <vt:variant>
        <vt:lpwstr/>
      </vt:variant>
      <vt:variant>
        <vt:i4>524399</vt:i4>
      </vt:variant>
      <vt:variant>
        <vt:i4>405</vt:i4>
      </vt:variant>
      <vt:variant>
        <vt:i4>0</vt:i4>
      </vt:variant>
      <vt:variant>
        <vt:i4>5</vt:i4>
      </vt:variant>
      <vt:variant>
        <vt:lpwstr>https://www.dss.gov.au/sites/default/files/documents/05_2012/national_disability_strategy_2010_2020.pdf</vt:lpwstr>
      </vt:variant>
      <vt:variant>
        <vt:lpwstr/>
      </vt:variant>
      <vt:variant>
        <vt:i4>524399</vt:i4>
      </vt:variant>
      <vt:variant>
        <vt:i4>402</vt:i4>
      </vt:variant>
      <vt:variant>
        <vt:i4>0</vt:i4>
      </vt:variant>
      <vt:variant>
        <vt:i4>5</vt:i4>
      </vt:variant>
      <vt:variant>
        <vt:lpwstr>https://www.dss.gov.au/sites/default/files/documents/05_2012/national_disability_strategy_2010_2020.pdf</vt:lpwstr>
      </vt:variant>
      <vt:variant>
        <vt:lpwstr/>
      </vt:variant>
      <vt:variant>
        <vt:i4>5832792</vt:i4>
      </vt:variant>
      <vt:variant>
        <vt:i4>399</vt:i4>
      </vt:variant>
      <vt:variant>
        <vt:i4>0</vt:i4>
      </vt:variant>
      <vt:variant>
        <vt:i4>5</vt:i4>
      </vt:variant>
      <vt:variant>
        <vt:lpwstr>https://docs.education.gov.au/system/files/doc/other/final-report-2015-dse-review.pdf</vt:lpwstr>
      </vt:variant>
      <vt:variant>
        <vt:lpwstr/>
      </vt:variant>
      <vt:variant>
        <vt:i4>6488177</vt:i4>
      </vt:variant>
      <vt:variant>
        <vt:i4>396</vt:i4>
      </vt:variant>
      <vt:variant>
        <vt:i4>0</vt:i4>
      </vt:variant>
      <vt:variant>
        <vt:i4>5</vt:i4>
      </vt:variant>
      <vt:variant>
        <vt:lpwstr>https://humanrights.gov.au/our-work/disability-rights/publications/willing-work-national-inquiry-employment-discrimination</vt:lpwstr>
      </vt:variant>
      <vt:variant>
        <vt:lpwstr/>
      </vt:variant>
      <vt:variant>
        <vt:i4>1572880</vt:i4>
      </vt:variant>
      <vt:variant>
        <vt:i4>393</vt:i4>
      </vt:variant>
      <vt:variant>
        <vt:i4>0</vt:i4>
      </vt:variant>
      <vt:variant>
        <vt:i4>5</vt:i4>
      </vt:variant>
      <vt:variant>
        <vt:lpwstr>https://www.aph.gov.au/Parliamentary_Business/Committees/Senate/Education_and_Employment/students_with_disability/~/media/Committees/eet_ctte/students_with_disability/report.pdf</vt:lpwstr>
      </vt:variant>
      <vt:variant>
        <vt:lpwstr/>
      </vt:variant>
      <vt:variant>
        <vt:i4>6</vt:i4>
      </vt:variant>
      <vt:variant>
        <vt:i4>390</vt:i4>
      </vt:variant>
      <vt:variant>
        <vt:i4>0</vt:i4>
      </vt:variant>
      <vt:variant>
        <vt:i4>5</vt:i4>
      </vt:variant>
      <vt:variant>
        <vt:lpwstr>https://www.pc.gov.au/inquiries/completed/disability-discrimination/report/disability-discrimination.pdf</vt:lpwstr>
      </vt:variant>
      <vt:variant>
        <vt:lpwstr/>
      </vt:variant>
      <vt:variant>
        <vt:i4>3735591</vt:i4>
      </vt:variant>
      <vt:variant>
        <vt:i4>387</vt:i4>
      </vt:variant>
      <vt:variant>
        <vt:i4>0</vt:i4>
      </vt:variant>
      <vt:variant>
        <vt:i4>5</vt:i4>
      </vt:variant>
      <vt:variant>
        <vt:lpwstr>https://www.dss.gov.au/our-responsibilities/disability-and-carers/publications-articles/policy-research/national-disability-strategy-2010-2020</vt:lpwstr>
      </vt:variant>
      <vt:variant>
        <vt:lpwstr/>
      </vt:variant>
      <vt:variant>
        <vt:i4>131093</vt:i4>
      </vt:variant>
      <vt:variant>
        <vt:i4>384</vt:i4>
      </vt:variant>
      <vt:variant>
        <vt:i4>0</vt:i4>
      </vt:variant>
      <vt:variant>
        <vt:i4>5</vt:i4>
      </vt:variant>
      <vt:variant>
        <vt:lpwstr>https://www.cyda.org.au/images/docx/post_school_transition.docx</vt:lpwstr>
      </vt:variant>
      <vt:variant>
        <vt:lpwstr/>
      </vt:variant>
      <vt:variant>
        <vt:i4>1572880</vt:i4>
      </vt:variant>
      <vt:variant>
        <vt:i4>381</vt:i4>
      </vt:variant>
      <vt:variant>
        <vt:i4>0</vt:i4>
      </vt:variant>
      <vt:variant>
        <vt:i4>5</vt:i4>
      </vt:variant>
      <vt:variant>
        <vt:lpwstr>https://www.aph.gov.au/Parliamentary_Business/Committees/Senate/Education_and_Employment/students_with_disability/~/media/Committees/eet_ctte/students_with_disability/report.pdf</vt:lpwstr>
      </vt:variant>
      <vt:variant>
        <vt:lpwstr/>
      </vt:variant>
      <vt:variant>
        <vt:i4>2621472</vt:i4>
      </vt:variant>
      <vt:variant>
        <vt:i4>378</vt:i4>
      </vt:variant>
      <vt:variant>
        <vt:i4>0</vt:i4>
      </vt:variant>
      <vt:variant>
        <vt:i4>5</vt:i4>
      </vt:variant>
      <vt:variant>
        <vt:lpwstr>https://www.cyda.org.au/images/pdf/willing_to_work_national_inquiry_into_employment_discrimination_against_older_australians_and_australians_with_disability.pdf</vt:lpwstr>
      </vt:variant>
      <vt:variant>
        <vt:lpwstr/>
      </vt:variant>
      <vt:variant>
        <vt:i4>2621472</vt:i4>
      </vt:variant>
      <vt:variant>
        <vt:i4>375</vt:i4>
      </vt:variant>
      <vt:variant>
        <vt:i4>0</vt:i4>
      </vt:variant>
      <vt:variant>
        <vt:i4>5</vt:i4>
      </vt:variant>
      <vt:variant>
        <vt:lpwstr>https://www.cyda.org.au/images/pdf/willing_to_work_national_inquiry_into_employment_discrimination_against_older_australians_and_australians_with_disability.pdf</vt:lpwstr>
      </vt:variant>
      <vt:variant>
        <vt:lpwstr/>
      </vt:variant>
      <vt:variant>
        <vt:i4>2621472</vt:i4>
      </vt:variant>
      <vt:variant>
        <vt:i4>372</vt:i4>
      </vt:variant>
      <vt:variant>
        <vt:i4>0</vt:i4>
      </vt:variant>
      <vt:variant>
        <vt:i4>5</vt:i4>
      </vt:variant>
      <vt:variant>
        <vt:lpwstr>https://www.cyda.org.au/images/pdf/willing_to_work_national_inquiry_into_employment_discrimination_against_older_australians_and_australians_with_disability.pdf</vt:lpwstr>
      </vt:variant>
      <vt:variant>
        <vt:lpwstr/>
      </vt:variant>
      <vt:variant>
        <vt:i4>2687056</vt:i4>
      </vt:variant>
      <vt:variant>
        <vt:i4>369</vt:i4>
      </vt:variant>
      <vt:variant>
        <vt:i4>0</vt:i4>
      </vt:variant>
      <vt:variant>
        <vt:i4>5</vt:i4>
      </vt:variant>
      <vt:variant>
        <vt:lpwstr>https://www.abs.gov.au/ausstats/abs@.nsf/Latestproducts/4221.0Main Features32019?opendocument&amp;tabname=Summary&amp;prodno=4221.0&amp;issue=2019&amp;num=&amp;view=</vt:lpwstr>
      </vt:variant>
      <vt:variant>
        <vt:lpwstr/>
      </vt:variant>
      <vt:variant>
        <vt:i4>2687062</vt:i4>
      </vt:variant>
      <vt:variant>
        <vt:i4>366</vt:i4>
      </vt:variant>
      <vt:variant>
        <vt:i4>0</vt:i4>
      </vt:variant>
      <vt:variant>
        <vt:i4>5</vt:i4>
      </vt:variant>
      <vt:variant>
        <vt:lpwstr>https://www.abs.gov.au/ausstats/abs@.nsf/Latestproducts/4430.0Main Features52018?opendocument&amp;tabname=Summary&amp;prodno=4430.0&amp;issue=2018&amp;num=&amp;view=</vt:lpwstr>
      </vt:variant>
      <vt:variant>
        <vt:lpwstr/>
      </vt:variant>
      <vt:variant>
        <vt:i4>1572880</vt:i4>
      </vt:variant>
      <vt:variant>
        <vt:i4>363</vt:i4>
      </vt:variant>
      <vt:variant>
        <vt:i4>0</vt:i4>
      </vt:variant>
      <vt:variant>
        <vt:i4>5</vt:i4>
      </vt:variant>
      <vt:variant>
        <vt:lpwstr>https://www.aph.gov.au/Parliamentary_Business/Committees/Senate/Education_and_Employment/students_with_disability/~/media/Committees/eet_ctte/students_with_disability/report.pdf</vt:lpwstr>
      </vt:variant>
      <vt:variant>
        <vt:lpwstr/>
      </vt:variant>
      <vt:variant>
        <vt:i4>4980844</vt:i4>
      </vt:variant>
      <vt:variant>
        <vt:i4>360</vt:i4>
      </vt:variant>
      <vt:variant>
        <vt:i4>0</vt:i4>
      </vt:variant>
      <vt:variant>
        <vt:i4>5</vt:i4>
      </vt:variant>
      <vt:variant>
        <vt:lpwstr>https://tbinternet.ohchr.org/_layouts/15/treatybodyexternal/Download.aspx?symbolno=CRPD/C/GC/4&amp;Lang=en</vt:lpwstr>
      </vt:variant>
      <vt:variant>
        <vt:lpwstr/>
      </vt:variant>
      <vt:variant>
        <vt:i4>3014757</vt:i4>
      </vt:variant>
      <vt:variant>
        <vt:i4>357</vt:i4>
      </vt:variant>
      <vt:variant>
        <vt:i4>0</vt:i4>
      </vt:variant>
      <vt:variant>
        <vt:i4>5</vt:i4>
      </vt:variant>
      <vt:variant>
        <vt:lpwstr>https://www.cyda.org.au/resources/details/136/willing-to-work-national-inquiry-into-employment-discrimination-against-older-australians-and-australians-with-disability</vt:lpwstr>
      </vt:variant>
      <vt:variant>
        <vt:lpwstr/>
      </vt:variant>
      <vt:variant>
        <vt:i4>2752541</vt:i4>
      </vt:variant>
      <vt:variant>
        <vt:i4>354</vt:i4>
      </vt:variant>
      <vt:variant>
        <vt:i4>0</vt:i4>
      </vt:variant>
      <vt:variant>
        <vt:i4>5</vt:i4>
      </vt:variant>
      <vt:variant>
        <vt:lpwstr>https://humanrights.gov.au/sites/default/files/document/publication/WTW_2016_Full_Report_AHRC_ac.pdf</vt:lpwstr>
      </vt:variant>
      <vt:variant>
        <vt:lpwstr/>
      </vt:variant>
      <vt:variant>
        <vt:i4>3801175</vt:i4>
      </vt:variant>
      <vt:variant>
        <vt:i4>351</vt:i4>
      </vt:variant>
      <vt:variant>
        <vt:i4>0</vt:i4>
      </vt:variant>
      <vt:variant>
        <vt:i4>5</vt:i4>
      </vt:variant>
      <vt:variant>
        <vt:lpwstr>https://www.dss.gov.au/sites/default/files/documents/01_2020/ndis-act-review-final-accessibility-and-prepared-publishing1.pdf</vt:lpwstr>
      </vt:variant>
      <vt:variant>
        <vt:lpwstr/>
      </vt:variant>
      <vt:variant>
        <vt:i4>3801175</vt:i4>
      </vt:variant>
      <vt:variant>
        <vt:i4>348</vt:i4>
      </vt:variant>
      <vt:variant>
        <vt:i4>0</vt:i4>
      </vt:variant>
      <vt:variant>
        <vt:i4>5</vt:i4>
      </vt:variant>
      <vt:variant>
        <vt:lpwstr>https://www.dss.gov.au/sites/default/files/documents/01_2020/ndis-act-review-final-accessibility-and-prepared-publishing1.pdf</vt:lpwstr>
      </vt:variant>
      <vt:variant>
        <vt:lpwstr/>
      </vt:variant>
      <vt:variant>
        <vt:i4>5898270</vt:i4>
      </vt:variant>
      <vt:variant>
        <vt:i4>345</vt:i4>
      </vt:variant>
      <vt:variant>
        <vt:i4>0</vt:i4>
      </vt:variant>
      <vt:variant>
        <vt:i4>5</vt:i4>
      </vt:variant>
      <vt:variant>
        <vt:lpwstr>https://www.ndis.gov.au/participants/using-your-plan/managing-your-plan/support-budgets-your-plan</vt:lpwstr>
      </vt:variant>
      <vt:variant>
        <vt:lpwstr/>
      </vt:variant>
      <vt:variant>
        <vt:i4>4063345</vt:i4>
      </vt:variant>
      <vt:variant>
        <vt:i4>342</vt:i4>
      </vt:variant>
      <vt:variant>
        <vt:i4>0</vt:i4>
      </vt:variant>
      <vt:variant>
        <vt:i4>5</vt:i4>
      </vt:variant>
      <vt:variant>
        <vt:lpwstr>https://www.ndis.gov.au/media/1645/download</vt:lpwstr>
      </vt:variant>
      <vt:variant>
        <vt:lpwstr/>
      </vt:variant>
      <vt:variant>
        <vt:i4>3342448</vt:i4>
      </vt:variant>
      <vt:variant>
        <vt:i4>339</vt:i4>
      </vt:variant>
      <vt:variant>
        <vt:i4>0</vt:i4>
      </vt:variant>
      <vt:variant>
        <vt:i4>5</vt:i4>
      </vt:variant>
      <vt:variant>
        <vt:lpwstr>https://www.ndis.gov.au/media/1957/download</vt:lpwstr>
      </vt:variant>
      <vt:variant>
        <vt:lpwstr/>
      </vt:variant>
      <vt:variant>
        <vt:i4>3342448</vt:i4>
      </vt:variant>
      <vt:variant>
        <vt:i4>336</vt:i4>
      </vt:variant>
      <vt:variant>
        <vt:i4>0</vt:i4>
      </vt:variant>
      <vt:variant>
        <vt:i4>5</vt:i4>
      </vt:variant>
      <vt:variant>
        <vt:lpwstr>https://www.ndis.gov.au/media/1957/download</vt:lpwstr>
      </vt:variant>
      <vt:variant>
        <vt:lpwstr/>
      </vt:variant>
      <vt:variant>
        <vt:i4>3342448</vt:i4>
      </vt:variant>
      <vt:variant>
        <vt:i4>333</vt:i4>
      </vt:variant>
      <vt:variant>
        <vt:i4>0</vt:i4>
      </vt:variant>
      <vt:variant>
        <vt:i4>5</vt:i4>
      </vt:variant>
      <vt:variant>
        <vt:lpwstr>https://www.ndis.gov.au/media/1957/download</vt:lpwstr>
      </vt:variant>
      <vt:variant>
        <vt:lpwstr/>
      </vt:variant>
      <vt:variant>
        <vt:i4>3342448</vt:i4>
      </vt:variant>
      <vt:variant>
        <vt:i4>330</vt:i4>
      </vt:variant>
      <vt:variant>
        <vt:i4>0</vt:i4>
      </vt:variant>
      <vt:variant>
        <vt:i4>5</vt:i4>
      </vt:variant>
      <vt:variant>
        <vt:lpwstr>https://www.ndis.gov.au/media/1957/download</vt:lpwstr>
      </vt:variant>
      <vt:variant>
        <vt:lpwstr/>
      </vt:variant>
      <vt:variant>
        <vt:i4>7405603</vt:i4>
      </vt:variant>
      <vt:variant>
        <vt:i4>327</vt:i4>
      </vt:variant>
      <vt:variant>
        <vt:i4>0</vt:i4>
      </vt:variant>
      <vt:variant>
        <vt:i4>5</vt:i4>
      </vt:variant>
      <vt:variant>
        <vt:lpwstr>http://disabilitysectorreport.nds.org.au/images/State-of-the-disability-sector-report-2015.pdf</vt:lpwstr>
      </vt:variant>
      <vt:variant>
        <vt:lpwstr/>
      </vt:variant>
      <vt:variant>
        <vt:i4>3342448</vt:i4>
      </vt:variant>
      <vt:variant>
        <vt:i4>324</vt:i4>
      </vt:variant>
      <vt:variant>
        <vt:i4>0</vt:i4>
      </vt:variant>
      <vt:variant>
        <vt:i4>5</vt:i4>
      </vt:variant>
      <vt:variant>
        <vt:lpwstr>https://www.ndis.gov.au/media/1957/download</vt:lpwstr>
      </vt:variant>
      <vt:variant>
        <vt:lpwstr/>
      </vt:variant>
      <vt:variant>
        <vt:i4>3407913</vt:i4>
      </vt:variant>
      <vt:variant>
        <vt:i4>321</vt:i4>
      </vt:variant>
      <vt:variant>
        <vt:i4>0</vt:i4>
      </vt:variant>
      <vt:variant>
        <vt:i4>5</vt:i4>
      </vt:variant>
      <vt:variant>
        <vt:lpwstr>https://www.ndis.gov.au/media/321/download</vt:lpwstr>
      </vt:variant>
      <vt:variant>
        <vt:lpwstr/>
      </vt:variant>
      <vt:variant>
        <vt:i4>7077941</vt:i4>
      </vt:variant>
      <vt:variant>
        <vt:i4>318</vt:i4>
      </vt:variant>
      <vt:variant>
        <vt:i4>0</vt:i4>
      </vt:variant>
      <vt:variant>
        <vt:i4>5</vt:i4>
      </vt:variant>
      <vt:variant>
        <vt:lpwstr>https://www.ndis.gov.au/understanding/ndis-and-other-government-services/employment</vt:lpwstr>
      </vt:variant>
      <vt:variant>
        <vt:lpwstr/>
      </vt:variant>
      <vt:variant>
        <vt:i4>3342448</vt:i4>
      </vt:variant>
      <vt:variant>
        <vt:i4>315</vt:i4>
      </vt:variant>
      <vt:variant>
        <vt:i4>0</vt:i4>
      </vt:variant>
      <vt:variant>
        <vt:i4>5</vt:i4>
      </vt:variant>
      <vt:variant>
        <vt:lpwstr>https://www.ndis.gov.au/media/1957/download</vt:lpwstr>
      </vt:variant>
      <vt:variant>
        <vt:lpwstr/>
      </vt:variant>
      <vt:variant>
        <vt:i4>4063345</vt:i4>
      </vt:variant>
      <vt:variant>
        <vt:i4>312</vt:i4>
      </vt:variant>
      <vt:variant>
        <vt:i4>0</vt:i4>
      </vt:variant>
      <vt:variant>
        <vt:i4>5</vt:i4>
      </vt:variant>
      <vt:variant>
        <vt:lpwstr>https://www.ndis.gov.au/media/1645/download</vt:lpwstr>
      </vt:variant>
      <vt:variant>
        <vt:lpwstr/>
      </vt:variant>
      <vt:variant>
        <vt:i4>4849743</vt:i4>
      </vt:variant>
      <vt:variant>
        <vt:i4>309</vt:i4>
      </vt:variant>
      <vt:variant>
        <vt:i4>0</vt:i4>
      </vt:variant>
      <vt:variant>
        <vt:i4>5</vt:i4>
      </vt:variant>
      <vt:variant>
        <vt:lpwstr>https://www.mja.com.au/journal/2015/203/6/lost-productive-life-years-caused-chronic-conditions-australians-aged-45-64</vt:lpwstr>
      </vt:variant>
      <vt:variant>
        <vt:lpwstr/>
      </vt:variant>
      <vt:variant>
        <vt:i4>458844</vt:i4>
      </vt:variant>
      <vt:variant>
        <vt:i4>306</vt:i4>
      </vt:variant>
      <vt:variant>
        <vt:i4>0</vt:i4>
      </vt:variant>
      <vt:variant>
        <vt:i4>5</vt:i4>
      </vt:variant>
      <vt:variant>
        <vt:lpwstr>https://www.aihw.gov.au/reports/chronic-disease/chronic-disease-participation-work/contents/table-of-contents</vt:lpwstr>
      </vt:variant>
      <vt:variant>
        <vt:lpwstr/>
      </vt:variant>
      <vt:variant>
        <vt:i4>458844</vt:i4>
      </vt:variant>
      <vt:variant>
        <vt:i4>303</vt:i4>
      </vt:variant>
      <vt:variant>
        <vt:i4>0</vt:i4>
      </vt:variant>
      <vt:variant>
        <vt:i4>5</vt:i4>
      </vt:variant>
      <vt:variant>
        <vt:lpwstr>https://www.aihw.gov.au/reports/chronic-disease/chronic-disease-participation-work/contents/table-of-contents</vt:lpwstr>
      </vt:variant>
      <vt:variant>
        <vt:lpwstr/>
      </vt:variant>
      <vt:variant>
        <vt:i4>2752541</vt:i4>
      </vt:variant>
      <vt:variant>
        <vt:i4>300</vt:i4>
      </vt:variant>
      <vt:variant>
        <vt:i4>0</vt:i4>
      </vt:variant>
      <vt:variant>
        <vt:i4>5</vt:i4>
      </vt:variant>
      <vt:variant>
        <vt:lpwstr>https://humanrights.gov.au/sites/default/files/document/publication/WTW_2016_Full_Report_AHRC_ac.pdf</vt:lpwstr>
      </vt:variant>
      <vt:variant>
        <vt:lpwstr/>
      </vt:variant>
      <vt:variant>
        <vt:i4>2752541</vt:i4>
      </vt:variant>
      <vt:variant>
        <vt:i4>297</vt:i4>
      </vt:variant>
      <vt:variant>
        <vt:i4>0</vt:i4>
      </vt:variant>
      <vt:variant>
        <vt:i4>5</vt:i4>
      </vt:variant>
      <vt:variant>
        <vt:lpwstr>https://humanrights.gov.au/sites/default/files/document/publication/WTW_2016_Full_Report_AHRC_ac.pdf</vt:lpwstr>
      </vt:variant>
      <vt:variant>
        <vt:lpwstr/>
      </vt:variant>
      <vt:variant>
        <vt:i4>6488177</vt:i4>
      </vt:variant>
      <vt:variant>
        <vt:i4>294</vt:i4>
      </vt:variant>
      <vt:variant>
        <vt:i4>0</vt:i4>
      </vt:variant>
      <vt:variant>
        <vt:i4>5</vt:i4>
      </vt:variant>
      <vt:variant>
        <vt:lpwstr>https://humanrights.gov.au/our-work/disability-rights/publications/willing-work-national-inquiry-employment-discrimination</vt:lpwstr>
      </vt:variant>
      <vt:variant>
        <vt:lpwstr/>
      </vt:variant>
      <vt:variant>
        <vt:i4>262216</vt:i4>
      </vt:variant>
      <vt:variant>
        <vt:i4>291</vt:i4>
      </vt:variant>
      <vt:variant>
        <vt:i4>0</vt:i4>
      </vt:variant>
      <vt:variant>
        <vt:i4>5</vt:i4>
      </vt:variant>
      <vt:variant>
        <vt:lpwstr>https://engage.dss.gov.au/wp-content/uploads/2015/09/DES-Consultation-Report.pdf</vt:lpwstr>
      </vt:variant>
      <vt:variant>
        <vt:lpwstr/>
      </vt:variant>
      <vt:variant>
        <vt:i4>2752541</vt:i4>
      </vt:variant>
      <vt:variant>
        <vt:i4>288</vt:i4>
      </vt:variant>
      <vt:variant>
        <vt:i4>0</vt:i4>
      </vt:variant>
      <vt:variant>
        <vt:i4>5</vt:i4>
      </vt:variant>
      <vt:variant>
        <vt:lpwstr>https://humanrights.gov.au/sites/default/files/document/publication/WTW_2016_Full_Report_AHRC_ac.pdf</vt:lpwstr>
      </vt:variant>
      <vt:variant>
        <vt:lpwstr/>
      </vt:variant>
      <vt:variant>
        <vt:i4>262216</vt:i4>
      </vt:variant>
      <vt:variant>
        <vt:i4>285</vt:i4>
      </vt:variant>
      <vt:variant>
        <vt:i4>0</vt:i4>
      </vt:variant>
      <vt:variant>
        <vt:i4>5</vt:i4>
      </vt:variant>
      <vt:variant>
        <vt:lpwstr>https://engage.dss.gov.au/wp-content/uploads/2015/09/DES-Consultation-Report.pdf</vt:lpwstr>
      </vt:variant>
      <vt:variant>
        <vt:lpwstr/>
      </vt:variant>
      <vt:variant>
        <vt:i4>2752541</vt:i4>
      </vt:variant>
      <vt:variant>
        <vt:i4>282</vt:i4>
      </vt:variant>
      <vt:variant>
        <vt:i4>0</vt:i4>
      </vt:variant>
      <vt:variant>
        <vt:i4>5</vt:i4>
      </vt:variant>
      <vt:variant>
        <vt:lpwstr>https://humanrights.gov.au/sites/default/files/document/publication/WTW_2016_Full_Report_AHRC_ac.pdf</vt:lpwstr>
      </vt:variant>
      <vt:variant>
        <vt:lpwstr/>
      </vt:variant>
      <vt:variant>
        <vt:i4>262216</vt:i4>
      </vt:variant>
      <vt:variant>
        <vt:i4>279</vt:i4>
      </vt:variant>
      <vt:variant>
        <vt:i4>0</vt:i4>
      </vt:variant>
      <vt:variant>
        <vt:i4>5</vt:i4>
      </vt:variant>
      <vt:variant>
        <vt:lpwstr>https://engage.dss.gov.au/wp-content/uploads/2015/09/DES-Consultation-Report.pdf</vt:lpwstr>
      </vt:variant>
      <vt:variant>
        <vt:lpwstr/>
      </vt:variant>
      <vt:variant>
        <vt:i4>2752541</vt:i4>
      </vt:variant>
      <vt:variant>
        <vt:i4>276</vt:i4>
      </vt:variant>
      <vt:variant>
        <vt:i4>0</vt:i4>
      </vt:variant>
      <vt:variant>
        <vt:i4>5</vt:i4>
      </vt:variant>
      <vt:variant>
        <vt:lpwstr>https://humanrights.gov.au/sites/default/files/document/publication/WTW_2016_Full_Report_AHRC_ac.pdf</vt:lpwstr>
      </vt:variant>
      <vt:variant>
        <vt:lpwstr/>
      </vt:variant>
      <vt:variant>
        <vt:i4>4784250</vt:i4>
      </vt:variant>
      <vt:variant>
        <vt:i4>273</vt:i4>
      </vt:variant>
      <vt:variant>
        <vt:i4>0</vt:i4>
      </vt:variant>
      <vt:variant>
        <vt:i4>5</vt:i4>
      </vt:variant>
      <vt:variant>
        <vt:lpwstr>https://www.jobaccess.gov.au/sites/default/files/documents/06_2018/eaf-guidelines-jan-2018.pdf</vt:lpwstr>
      </vt:variant>
      <vt:variant>
        <vt:lpwstr/>
      </vt:variant>
      <vt:variant>
        <vt:i4>2293851</vt:i4>
      </vt:variant>
      <vt:variant>
        <vt:i4>270</vt:i4>
      </vt:variant>
      <vt:variant>
        <vt:i4>0</vt:i4>
      </vt:variant>
      <vt:variant>
        <vt:i4>5</vt:i4>
      </vt:variant>
      <vt:variant>
        <vt:lpwstr>https://engage.dss.gov.au/wp-content/uploads/2015/05/issues_paper.pdf</vt:lpwstr>
      </vt:variant>
      <vt:variant>
        <vt:lpwstr/>
      </vt:variant>
      <vt:variant>
        <vt:i4>2555938</vt:i4>
      </vt:variant>
      <vt:variant>
        <vt:i4>267</vt:i4>
      </vt:variant>
      <vt:variant>
        <vt:i4>0</vt:i4>
      </vt:variant>
      <vt:variant>
        <vt:i4>5</vt:i4>
      </vt:variant>
      <vt:variant>
        <vt:lpwstr>https://www.anao.gov.au/work/performance-audit/management-contracts-disability-employment-services</vt:lpwstr>
      </vt:variant>
      <vt:variant>
        <vt:lpwstr/>
      </vt:variant>
      <vt:variant>
        <vt:i4>2555938</vt:i4>
      </vt:variant>
      <vt:variant>
        <vt:i4>264</vt:i4>
      </vt:variant>
      <vt:variant>
        <vt:i4>0</vt:i4>
      </vt:variant>
      <vt:variant>
        <vt:i4>5</vt:i4>
      </vt:variant>
      <vt:variant>
        <vt:lpwstr>https://www.anao.gov.au/work/performance-audit/management-contracts-disability-employment-services</vt:lpwstr>
      </vt:variant>
      <vt:variant>
        <vt:lpwstr/>
      </vt:variant>
      <vt:variant>
        <vt:i4>4849787</vt:i4>
      </vt:variant>
      <vt:variant>
        <vt:i4>261</vt:i4>
      </vt:variant>
      <vt:variant>
        <vt:i4>0</vt:i4>
      </vt:variant>
      <vt:variant>
        <vt:i4>5</vt:i4>
      </vt:variant>
      <vt:variant>
        <vt:lpwstr>https://www.dss.gov.au/sites/default/files/documents/10_2019/d19-1139120-dss-annual-report-2018-19.pdf</vt:lpwstr>
      </vt:variant>
      <vt:variant>
        <vt:lpwstr/>
      </vt:variant>
      <vt:variant>
        <vt:i4>4849787</vt:i4>
      </vt:variant>
      <vt:variant>
        <vt:i4>258</vt:i4>
      </vt:variant>
      <vt:variant>
        <vt:i4>0</vt:i4>
      </vt:variant>
      <vt:variant>
        <vt:i4>5</vt:i4>
      </vt:variant>
      <vt:variant>
        <vt:lpwstr>https://www.dss.gov.au/sites/default/files/documents/10_2019/d19-1139120-dss-annual-report-2018-19.pdf</vt:lpwstr>
      </vt:variant>
      <vt:variant>
        <vt:lpwstr/>
      </vt:variant>
      <vt:variant>
        <vt:i4>7667827</vt:i4>
      </vt:variant>
      <vt:variant>
        <vt:i4>255</vt:i4>
      </vt:variant>
      <vt:variant>
        <vt:i4>0</vt:i4>
      </vt:variant>
      <vt:variant>
        <vt:i4>5</vt:i4>
      </vt:variant>
      <vt:variant>
        <vt:lpwstr>https://ris.pmc.gov.au/sites/default/files/posts/2018/03/regulation_impact_statement.pdf</vt:lpwstr>
      </vt:variant>
      <vt:variant>
        <vt:lpwstr/>
      </vt:variant>
      <vt:variant>
        <vt:i4>2424867</vt:i4>
      </vt:variant>
      <vt:variant>
        <vt:i4>252</vt:i4>
      </vt:variant>
      <vt:variant>
        <vt:i4>0</vt:i4>
      </vt:variant>
      <vt:variant>
        <vt:i4>5</vt:i4>
      </vt:variant>
      <vt:variant>
        <vt:lpwstr>https://engage.dss.gov.au/wp-content/uploads/2016/11/DES-Reform-Discussion-Paper-November-2016.docx</vt:lpwstr>
      </vt:variant>
      <vt:variant>
        <vt:lpwstr/>
      </vt:variant>
      <vt:variant>
        <vt:i4>7667827</vt:i4>
      </vt:variant>
      <vt:variant>
        <vt:i4>249</vt:i4>
      </vt:variant>
      <vt:variant>
        <vt:i4>0</vt:i4>
      </vt:variant>
      <vt:variant>
        <vt:i4>5</vt:i4>
      </vt:variant>
      <vt:variant>
        <vt:lpwstr>https://ris.pmc.gov.au/sites/default/files/posts/2018/03/regulation_impact_statement.pdf</vt:lpwstr>
      </vt:variant>
      <vt:variant>
        <vt:lpwstr/>
      </vt:variant>
      <vt:variant>
        <vt:i4>983054</vt:i4>
      </vt:variant>
      <vt:variant>
        <vt:i4>246</vt:i4>
      </vt:variant>
      <vt:variant>
        <vt:i4>0</vt:i4>
      </vt:variant>
      <vt:variant>
        <vt:i4>5</vt:i4>
      </vt:variant>
      <vt:variant>
        <vt:lpwstr>https://www.crikey.com.au/2019/12/18/inq-disability-job-recruitment/</vt:lpwstr>
      </vt:variant>
      <vt:variant>
        <vt:lpwstr/>
      </vt:variant>
      <vt:variant>
        <vt:i4>5177350</vt:i4>
      </vt:variant>
      <vt:variant>
        <vt:i4>243</vt:i4>
      </vt:variant>
      <vt:variant>
        <vt:i4>0</vt:i4>
      </vt:variant>
      <vt:variant>
        <vt:i4>5</vt:i4>
      </vt:variant>
      <vt:variant>
        <vt:lpwstr>https://www.and.org.au/news.php/356/media-release-disability-employment-reforms-wont-solve-employment-gap-for-people-with-disability</vt:lpwstr>
      </vt:variant>
      <vt:variant>
        <vt:lpwstr/>
      </vt:variant>
      <vt:variant>
        <vt:i4>4653123</vt:i4>
      </vt:variant>
      <vt:variant>
        <vt:i4>240</vt:i4>
      </vt:variant>
      <vt:variant>
        <vt:i4>0</vt:i4>
      </vt:variant>
      <vt:variant>
        <vt:i4>5</vt:i4>
      </vt:variant>
      <vt:variant>
        <vt:lpwstr>https://www.dss.gov.au/our-responsibilities/disability-and-carers/programmes-services/disability-employment-services</vt:lpwstr>
      </vt:variant>
      <vt:variant>
        <vt:lpwstr/>
      </vt:variant>
      <vt:variant>
        <vt:i4>7667827</vt:i4>
      </vt:variant>
      <vt:variant>
        <vt:i4>237</vt:i4>
      </vt:variant>
      <vt:variant>
        <vt:i4>0</vt:i4>
      </vt:variant>
      <vt:variant>
        <vt:i4>5</vt:i4>
      </vt:variant>
      <vt:variant>
        <vt:lpwstr>https://ris.pmc.gov.au/sites/default/files/posts/2018/03/regulation_impact_statement.pdf</vt:lpwstr>
      </vt:variant>
      <vt:variant>
        <vt:lpwstr/>
      </vt:variant>
      <vt:variant>
        <vt:i4>4128866</vt:i4>
      </vt:variant>
      <vt:variant>
        <vt:i4>234</vt:i4>
      </vt:variant>
      <vt:variant>
        <vt:i4>0</vt:i4>
      </vt:variant>
      <vt:variant>
        <vt:i4>5</vt:i4>
      </vt:variant>
      <vt:variant>
        <vt:lpwstr>https://engage.dss.gov.au/wp-content/uploads/2020/07/national-disability-strategy-position-paper-accessible-pdf.pdf</vt:lpwstr>
      </vt:variant>
      <vt:variant>
        <vt:lpwstr/>
      </vt:variant>
      <vt:variant>
        <vt:i4>2424910</vt:i4>
      </vt:variant>
      <vt:variant>
        <vt:i4>231</vt:i4>
      </vt:variant>
      <vt:variant>
        <vt:i4>0</vt:i4>
      </vt:variant>
      <vt:variant>
        <vt:i4>5</vt:i4>
      </vt:variant>
      <vt:variant>
        <vt:lpwstr>https://humanrights.gov.au/sites/default/files/int_crpd_nhs_aus_35594_e.pdf</vt:lpwstr>
      </vt:variant>
      <vt:variant>
        <vt:lpwstr/>
      </vt:variant>
      <vt:variant>
        <vt:i4>7012389</vt:i4>
      </vt:variant>
      <vt:variant>
        <vt:i4>228</vt:i4>
      </vt:variant>
      <vt:variant>
        <vt:i4>0</vt:i4>
      </vt:variant>
      <vt:variant>
        <vt:i4>5</vt:i4>
      </vt:variant>
      <vt:variant>
        <vt:lpwstr>https://www.pc.gov.au/inquiries/completed/disability-agreement/report/disability-agreement-overview.pdf</vt:lpwstr>
      </vt:variant>
      <vt:variant>
        <vt:lpwstr/>
      </vt:variant>
      <vt:variant>
        <vt:i4>7012389</vt:i4>
      </vt:variant>
      <vt:variant>
        <vt:i4>225</vt:i4>
      </vt:variant>
      <vt:variant>
        <vt:i4>0</vt:i4>
      </vt:variant>
      <vt:variant>
        <vt:i4>5</vt:i4>
      </vt:variant>
      <vt:variant>
        <vt:lpwstr>https://www.pc.gov.au/inquiries/completed/disability-agreement/report/disability-agreement-overview.pdf</vt:lpwstr>
      </vt:variant>
      <vt:variant>
        <vt:lpwstr/>
      </vt:variant>
      <vt:variant>
        <vt:i4>2424910</vt:i4>
      </vt:variant>
      <vt:variant>
        <vt:i4>222</vt:i4>
      </vt:variant>
      <vt:variant>
        <vt:i4>0</vt:i4>
      </vt:variant>
      <vt:variant>
        <vt:i4>5</vt:i4>
      </vt:variant>
      <vt:variant>
        <vt:lpwstr>https://humanrights.gov.au/sites/default/files/int_crpd_nhs_aus_35594_e.pdf</vt:lpwstr>
      </vt:variant>
      <vt:variant>
        <vt:lpwstr/>
      </vt:variant>
      <vt:variant>
        <vt:i4>7012389</vt:i4>
      </vt:variant>
      <vt:variant>
        <vt:i4>219</vt:i4>
      </vt:variant>
      <vt:variant>
        <vt:i4>0</vt:i4>
      </vt:variant>
      <vt:variant>
        <vt:i4>5</vt:i4>
      </vt:variant>
      <vt:variant>
        <vt:lpwstr>https://www.pc.gov.au/inquiries/completed/disability-agreement/report/disability-agreement-overview.pdf</vt:lpwstr>
      </vt:variant>
      <vt:variant>
        <vt:lpwstr/>
      </vt:variant>
      <vt:variant>
        <vt:i4>65632</vt:i4>
      </vt:variant>
      <vt:variant>
        <vt:i4>216</vt:i4>
      </vt:variant>
      <vt:variant>
        <vt:i4>0</vt:i4>
      </vt:variant>
      <vt:variant>
        <vt:i4>5</vt:i4>
      </vt:variant>
      <vt:variant>
        <vt:lpwstr>https://www.dss.gov.au/sites/default/files/documents/04_2019/review-implementation-national-disability-strategy-2010-2020-final-report.pdf</vt:lpwstr>
      </vt:variant>
      <vt:variant>
        <vt:lpwstr/>
      </vt:variant>
      <vt:variant>
        <vt:i4>65632</vt:i4>
      </vt:variant>
      <vt:variant>
        <vt:i4>213</vt:i4>
      </vt:variant>
      <vt:variant>
        <vt:i4>0</vt:i4>
      </vt:variant>
      <vt:variant>
        <vt:i4>5</vt:i4>
      </vt:variant>
      <vt:variant>
        <vt:lpwstr>https://www.dss.gov.au/sites/default/files/documents/04_2019/review-implementation-national-disability-strategy-2010-2020-final-report.pdf</vt:lpwstr>
      </vt:variant>
      <vt:variant>
        <vt:lpwstr/>
      </vt:variant>
      <vt:variant>
        <vt:i4>4456465</vt:i4>
      </vt:variant>
      <vt:variant>
        <vt:i4>210</vt:i4>
      </vt:variant>
      <vt:variant>
        <vt:i4>0</vt:i4>
      </vt:variant>
      <vt:variant>
        <vt:i4>5</vt:i4>
      </vt:variant>
      <vt:variant>
        <vt:lpwstr>https://www.aph.gov.au/Parliamentary_Business/Committees/Senate/Community_Affairs/AccessibleCommunities/Report/c03</vt:lpwstr>
      </vt:variant>
      <vt:variant>
        <vt:lpwstr/>
      </vt:variant>
      <vt:variant>
        <vt:i4>4456465</vt:i4>
      </vt:variant>
      <vt:variant>
        <vt:i4>207</vt:i4>
      </vt:variant>
      <vt:variant>
        <vt:i4>0</vt:i4>
      </vt:variant>
      <vt:variant>
        <vt:i4>5</vt:i4>
      </vt:variant>
      <vt:variant>
        <vt:lpwstr>https://www.aph.gov.au/Parliamentary_Business/Committees/Senate/Community_Affairs/AccessibleCommunities/Report/c03</vt:lpwstr>
      </vt:variant>
      <vt:variant>
        <vt:lpwstr/>
      </vt:variant>
      <vt:variant>
        <vt:i4>4456465</vt:i4>
      </vt:variant>
      <vt:variant>
        <vt:i4>204</vt:i4>
      </vt:variant>
      <vt:variant>
        <vt:i4>0</vt:i4>
      </vt:variant>
      <vt:variant>
        <vt:i4>5</vt:i4>
      </vt:variant>
      <vt:variant>
        <vt:lpwstr>https://www.aph.gov.au/Parliamentary_Business/Committees/Senate/Community_Affairs/AccessibleCommunities/Report/c03</vt:lpwstr>
      </vt:variant>
      <vt:variant>
        <vt:lpwstr/>
      </vt:variant>
      <vt:variant>
        <vt:i4>1966158</vt:i4>
      </vt:variant>
      <vt:variant>
        <vt:i4>201</vt:i4>
      </vt:variant>
      <vt:variant>
        <vt:i4>0</vt:i4>
      </vt:variant>
      <vt:variant>
        <vt:i4>5</vt:i4>
      </vt:variant>
      <vt:variant>
        <vt:lpwstr>https://www.ag.gov.au/sites/default/files/2020-03/towards_more_productive_and_equitable_workplaces_an_evaluation_of_the_fair_work_legislation.pdf</vt:lpwstr>
      </vt:variant>
      <vt:variant>
        <vt:lpwstr/>
      </vt:variant>
      <vt:variant>
        <vt:i4>2752541</vt:i4>
      </vt:variant>
      <vt:variant>
        <vt:i4>198</vt:i4>
      </vt:variant>
      <vt:variant>
        <vt:i4>0</vt:i4>
      </vt:variant>
      <vt:variant>
        <vt:i4>5</vt:i4>
      </vt:variant>
      <vt:variant>
        <vt:lpwstr>https://humanrights.gov.au/sites/default/files/document/publication/WTW_2016_Full_Report_AHRC_ac.pdf</vt:lpwstr>
      </vt:variant>
      <vt:variant>
        <vt:lpwstr/>
      </vt:variant>
      <vt:variant>
        <vt:i4>655424</vt:i4>
      </vt:variant>
      <vt:variant>
        <vt:i4>195</vt:i4>
      </vt:variant>
      <vt:variant>
        <vt:i4>0</vt:i4>
      </vt:variant>
      <vt:variant>
        <vt:i4>5</vt:i4>
      </vt:variant>
      <vt:variant>
        <vt:lpwstr>http://www.unswlawjournal.unsw.edu.au/article/adverse-effects-can-the-fair-work-act-address-workplace-discrimination-for-employees-with-a-disability/</vt:lpwstr>
      </vt:variant>
      <vt:variant>
        <vt:lpwstr/>
      </vt:variant>
      <vt:variant>
        <vt:i4>2752541</vt:i4>
      </vt:variant>
      <vt:variant>
        <vt:i4>192</vt:i4>
      </vt:variant>
      <vt:variant>
        <vt:i4>0</vt:i4>
      </vt:variant>
      <vt:variant>
        <vt:i4>5</vt:i4>
      </vt:variant>
      <vt:variant>
        <vt:lpwstr>https://humanrights.gov.au/sites/default/files/document/publication/WTW_2016_Full_Report_AHRC_ac.pdf</vt:lpwstr>
      </vt:variant>
      <vt:variant>
        <vt:lpwstr/>
      </vt:variant>
      <vt:variant>
        <vt:i4>655424</vt:i4>
      </vt:variant>
      <vt:variant>
        <vt:i4>189</vt:i4>
      </vt:variant>
      <vt:variant>
        <vt:i4>0</vt:i4>
      </vt:variant>
      <vt:variant>
        <vt:i4>5</vt:i4>
      </vt:variant>
      <vt:variant>
        <vt:lpwstr>http://www.unswlawjournal.unsw.edu.au/article/adverse-effects-can-the-fair-work-act-address-workplace-discrimination-for-employees-with-a-disability/</vt:lpwstr>
      </vt:variant>
      <vt:variant>
        <vt:lpwstr/>
      </vt:variant>
      <vt:variant>
        <vt:i4>4915291</vt:i4>
      </vt:variant>
      <vt:variant>
        <vt:i4>186</vt:i4>
      </vt:variant>
      <vt:variant>
        <vt:i4>0</vt:i4>
      </vt:variant>
      <vt:variant>
        <vt:i4>5</vt:i4>
      </vt:variant>
      <vt:variant>
        <vt:lpwstr>https://piac.asn.au/2019/11/08/australian-human-rights-commission-free-equal-anti-discrimination-law-reform-discussion-paper/</vt:lpwstr>
      </vt:variant>
      <vt:variant>
        <vt:lpwstr/>
      </vt:variant>
      <vt:variant>
        <vt:i4>1900636</vt:i4>
      </vt:variant>
      <vt:variant>
        <vt:i4>183</vt:i4>
      </vt:variant>
      <vt:variant>
        <vt:i4>0</vt:i4>
      </vt:variant>
      <vt:variant>
        <vt:i4>5</vt:i4>
      </vt:variant>
      <vt:variant>
        <vt:lpwstr>https://pwd.org.au/federal-government-must-fix-gaping-hole-in-the-disability-discrimination-act/</vt:lpwstr>
      </vt:variant>
      <vt:variant>
        <vt:lpwstr/>
      </vt:variant>
      <vt:variant>
        <vt:i4>4915291</vt:i4>
      </vt:variant>
      <vt:variant>
        <vt:i4>180</vt:i4>
      </vt:variant>
      <vt:variant>
        <vt:i4>0</vt:i4>
      </vt:variant>
      <vt:variant>
        <vt:i4>5</vt:i4>
      </vt:variant>
      <vt:variant>
        <vt:lpwstr>https://piac.asn.au/2019/11/08/australian-human-rights-commission-free-equal-anti-discrimination-law-reform-discussion-paper/</vt:lpwstr>
      </vt:variant>
      <vt:variant>
        <vt:lpwstr/>
      </vt:variant>
      <vt:variant>
        <vt:i4>36</vt:i4>
      </vt:variant>
      <vt:variant>
        <vt:i4>177</vt:i4>
      </vt:variant>
      <vt:variant>
        <vt:i4>0</vt:i4>
      </vt:variant>
      <vt:variant>
        <vt:i4>5</vt:i4>
      </vt:variant>
      <vt:variant>
        <vt:lpwstr>https://www.aph.gov.au/Parliamentary_Business/Committees/Senate/Legal_and_Constitutional_Affairs/Completed_inquiries/2010-13/antidiscrimination2012/report/index</vt:lpwstr>
      </vt:variant>
      <vt:variant>
        <vt:lpwstr/>
      </vt:variant>
      <vt:variant>
        <vt:i4>1638464</vt:i4>
      </vt:variant>
      <vt:variant>
        <vt:i4>174</vt:i4>
      </vt:variant>
      <vt:variant>
        <vt:i4>0</vt:i4>
      </vt:variant>
      <vt:variant>
        <vt:i4>5</vt:i4>
      </vt:variant>
      <vt:variant>
        <vt:lpwstr>https://humanrights.gov.au/our-work/legal/consolidation-commonwealth-discrimination-law</vt:lpwstr>
      </vt:variant>
      <vt:variant>
        <vt:lpwstr>Heading298</vt:lpwstr>
      </vt:variant>
      <vt:variant>
        <vt:i4>2883628</vt:i4>
      </vt:variant>
      <vt:variant>
        <vt:i4>171</vt:i4>
      </vt:variant>
      <vt:variant>
        <vt:i4>0</vt:i4>
      </vt:variant>
      <vt:variant>
        <vt:i4>5</vt:i4>
      </vt:variant>
      <vt:variant>
        <vt:lpwstr>https://humanrights.gov.au/sites/default/files/document/publication/ahrc_discrimination_law_reform_2019.pdf</vt:lpwstr>
      </vt:variant>
      <vt:variant>
        <vt:lpwstr/>
      </vt:variant>
      <vt:variant>
        <vt:i4>2752541</vt:i4>
      </vt:variant>
      <vt:variant>
        <vt:i4>168</vt:i4>
      </vt:variant>
      <vt:variant>
        <vt:i4>0</vt:i4>
      </vt:variant>
      <vt:variant>
        <vt:i4>5</vt:i4>
      </vt:variant>
      <vt:variant>
        <vt:lpwstr>https://humanrights.gov.au/sites/default/files/document/publication/WTW_2016_Full_Report_AHRC_ac.pdf</vt:lpwstr>
      </vt:variant>
      <vt:variant>
        <vt:lpwstr/>
      </vt:variant>
      <vt:variant>
        <vt:i4>36</vt:i4>
      </vt:variant>
      <vt:variant>
        <vt:i4>165</vt:i4>
      </vt:variant>
      <vt:variant>
        <vt:i4>0</vt:i4>
      </vt:variant>
      <vt:variant>
        <vt:i4>5</vt:i4>
      </vt:variant>
      <vt:variant>
        <vt:lpwstr>https://www.aph.gov.au/Parliamentary_Business/Committees/Senate/Legal_and_Constitutional_Affairs/Completed_inquiries/2010-13/antidiscrimination2012/report/index</vt:lpwstr>
      </vt:variant>
      <vt:variant>
        <vt:lpwstr/>
      </vt:variant>
      <vt:variant>
        <vt:i4>6</vt:i4>
      </vt:variant>
      <vt:variant>
        <vt:i4>162</vt:i4>
      </vt:variant>
      <vt:variant>
        <vt:i4>0</vt:i4>
      </vt:variant>
      <vt:variant>
        <vt:i4>5</vt:i4>
      </vt:variant>
      <vt:variant>
        <vt:lpwstr>https://www.pc.gov.au/inquiries/completed/disability-discrimination/report/disability-discrimination.pdf</vt:lpwstr>
      </vt:variant>
      <vt:variant>
        <vt:lpwstr/>
      </vt:variant>
      <vt:variant>
        <vt:i4>1835009</vt:i4>
      </vt:variant>
      <vt:variant>
        <vt:i4>159</vt:i4>
      </vt:variant>
      <vt:variant>
        <vt:i4>0</vt:i4>
      </vt:variant>
      <vt:variant>
        <vt:i4>5</vt:i4>
      </vt:variant>
      <vt:variant>
        <vt:lpwstr>https://www.ag.gov.au/sites/default/files/2020-03/Consolidation of Commonwealth Anti-Discrimination Laws.pdf</vt:lpwstr>
      </vt:variant>
      <vt:variant>
        <vt:lpwstr/>
      </vt:variant>
      <vt:variant>
        <vt:i4>6946920</vt:i4>
      </vt:variant>
      <vt:variant>
        <vt:i4>156</vt:i4>
      </vt:variant>
      <vt:variant>
        <vt:i4>0</vt:i4>
      </vt:variant>
      <vt:variant>
        <vt:i4>5</vt:i4>
      </vt:variant>
      <vt:variant>
        <vt:lpwstr>https://humanrights.gov.au/our-work/legal/inquiry-effectiveness-sex-discrimination-act-1984-cth-eliminating-discrimination-and</vt:lpwstr>
      </vt:variant>
      <vt:variant>
        <vt:lpwstr/>
      </vt:variant>
      <vt:variant>
        <vt:i4>6</vt:i4>
      </vt:variant>
      <vt:variant>
        <vt:i4>153</vt:i4>
      </vt:variant>
      <vt:variant>
        <vt:i4>0</vt:i4>
      </vt:variant>
      <vt:variant>
        <vt:i4>5</vt:i4>
      </vt:variant>
      <vt:variant>
        <vt:lpwstr>https://www.pc.gov.au/inquiries/completed/disability-discrimination/report/disability-discrimination.pdf</vt:lpwstr>
      </vt:variant>
      <vt:variant>
        <vt:lpwstr/>
      </vt:variant>
      <vt:variant>
        <vt:i4>6094917</vt:i4>
      </vt:variant>
      <vt:variant>
        <vt:i4>150</vt:i4>
      </vt:variant>
      <vt:variant>
        <vt:i4>0</vt:i4>
      </vt:variant>
      <vt:variant>
        <vt:i4>5</vt:i4>
      </vt:variant>
      <vt:variant>
        <vt:lpwstr>https://www.lawreform.justice.nsw.gov.au/Documents/Publications/Reports/Report-92.pdf</vt:lpwstr>
      </vt:variant>
      <vt:variant>
        <vt:lpwstr/>
      </vt:variant>
      <vt:variant>
        <vt:i4>1835009</vt:i4>
      </vt:variant>
      <vt:variant>
        <vt:i4>147</vt:i4>
      </vt:variant>
      <vt:variant>
        <vt:i4>0</vt:i4>
      </vt:variant>
      <vt:variant>
        <vt:i4>5</vt:i4>
      </vt:variant>
      <vt:variant>
        <vt:lpwstr>https://www.ag.gov.au/sites/default/files/2020-03/Consolidation of Commonwealth Anti-Discrimination Laws.pdf</vt:lpwstr>
      </vt:variant>
      <vt:variant>
        <vt:lpwstr/>
      </vt:variant>
      <vt:variant>
        <vt:i4>8061029</vt:i4>
      </vt:variant>
      <vt:variant>
        <vt:i4>144</vt:i4>
      </vt:variant>
      <vt:variant>
        <vt:i4>0</vt:i4>
      </vt:variant>
      <vt:variant>
        <vt:i4>5</vt:i4>
      </vt:variant>
      <vt:variant>
        <vt:lpwstr>https://www.legalaid.vic.gov.au/sites/www.legalaid.vic.gov.au/files/vla-submission-ahrc-national-inquiry-sexual-harassment-at-work.pdf</vt:lpwstr>
      </vt:variant>
      <vt:variant>
        <vt:lpwstr/>
      </vt:variant>
      <vt:variant>
        <vt:i4>6881346</vt:i4>
      </vt:variant>
      <vt:variant>
        <vt:i4>141</vt:i4>
      </vt:variant>
      <vt:variant>
        <vt:i4>0</vt:i4>
      </vt:variant>
      <vt:variant>
        <vt:i4>5</vt:i4>
      </vt:variant>
      <vt:variant>
        <vt:lpwstr>http://classic.austlii.edu.au/cgi-bin/sinodisp/au/journals/UNSWLawJl/2020/6.html?stem=0&amp;synonyms=0&amp;query=vic%20consol_act%20eoa2010250%20s15</vt:lpwstr>
      </vt:variant>
      <vt:variant>
        <vt:lpwstr>disp9</vt:lpwstr>
      </vt:variant>
      <vt:variant>
        <vt:i4>6881346</vt:i4>
      </vt:variant>
      <vt:variant>
        <vt:i4>138</vt:i4>
      </vt:variant>
      <vt:variant>
        <vt:i4>0</vt:i4>
      </vt:variant>
      <vt:variant>
        <vt:i4>5</vt:i4>
      </vt:variant>
      <vt:variant>
        <vt:lpwstr>http://classic.austlii.edu.au/cgi-bin/sinodisp/au/journals/UNSWLawJl/2020/6.html?stem=0&amp;synonyms=0&amp;query=vic%20consol_act%20eoa2010250%20s15</vt:lpwstr>
      </vt:variant>
      <vt:variant>
        <vt:lpwstr>disp9</vt:lpwstr>
      </vt:variant>
      <vt:variant>
        <vt:i4>3801209</vt:i4>
      </vt:variant>
      <vt:variant>
        <vt:i4>135</vt:i4>
      </vt:variant>
      <vt:variant>
        <vt:i4>0</vt:i4>
      </vt:variant>
      <vt:variant>
        <vt:i4>5</vt:i4>
      </vt:variant>
      <vt:variant>
        <vt:lpwstr>https://www.equalityhumanrights.com/en/our-powers/inquiries-investigations-and-wider-powers</vt:lpwstr>
      </vt:variant>
      <vt:variant>
        <vt:lpwstr/>
      </vt:variant>
      <vt:variant>
        <vt:i4>6619171</vt:i4>
      </vt:variant>
      <vt:variant>
        <vt:i4>132</vt:i4>
      </vt:variant>
      <vt:variant>
        <vt:i4>0</vt:i4>
      </vt:variant>
      <vt:variant>
        <vt:i4>5</vt:i4>
      </vt:variant>
      <vt:variant>
        <vt:lpwstr>https://humanrights.gov.au/our-work/sex-discrimination/publications/respectwork-sexual-harassment-national-inquiry-report-2020</vt:lpwstr>
      </vt:variant>
      <vt:variant>
        <vt:lpwstr/>
      </vt:variant>
      <vt:variant>
        <vt:i4>2752541</vt:i4>
      </vt:variant>
      <vt:variant>
        <vt:i4>129</vt:i4>
      </vt:variant>
      <vt:variant>
        <vt:i4>0</vt:i4>
      </vt:variant>
      <vt:variant>
        <vt:i4>5</vt:i4>
      </vt:variant>
      <vt:variant>
        <vt:lpwstr>https://humanrights.gov.au/sites/default/files/document/publication/WTW_2016_Full_Report_AHRC_ac.pdf</vt:lpwstr>
      </vt:variant>
      <vt:variant>
        <vt:lpwstr/>
      </vt:variant>
      <vt:variant>
        <vt:i4>6946920</vt:i4>
      </vt:variant>
      <vt:variant>
        <vt:i4>126</vt:i4>
      </vt:variant>
      <vt:variant>
        <vt:i4>0</vt:i4>
      </vt:variant>
      <vt:variant>
        <vt:i4>5</vt:i4>
      </vt:variant>
      <vt:variant>
        <vt:lpwstr>https://humanrights.gov.au/our-work/legal/inquiry-effectiveness-sex-discrimination-act-1984-cth-eliminating-discrimination-and</vt:lpwstr>
      </vt:variant>
      <vt:variant>
        <vt:lpwstr/>
      </vt:variant>
      <vt:variant>
        <vt:i4>8126590</vt:i4>
      </vt:variant>
      <vt:variant>
        <vt:i4>123</vt:i4>
      </vt:variant>
      <vt:variant>
        <vt:i4>0</vt:i4>
      </vt:variant>
      <vt:variant>
        <vt:i4>5</vt:i4>
      </vt:variant>
      <vt:variant>
        <vt:lpwstr>https://humanrights.gov.au/our-work/legal/consolidation-commonwealth-discrimination-law</vt:lpwstr>
      </vt:variant>
      <vt:variant>
        <vt:lpwstr/>
      </vt:variant>
      <vt:variant>
        <vt:i4>4915291</vt:i4>
      </vt:variant>
      <vt:variant>
        <vt:i4>120</vt:i4>
      </vt:variant>
      <vt:variant>
        <vt:i4>0</vt:i4>
      </vt:variant>
      <vt:variant>
        <vt:i4>5</vt:i4>
      </vt:variant>
      <vt:variant>
        <vt:lpwstr>https://piac.asn.au/2019/11/08/australian-human-rights-commission-free-equal-anti-discrimination-law-reform-discussion-paper/</vt:lpwstr>
      </vt:variant>
      <vt:variant>
        <vt:lpwstr/>
      </vt:variant>
      <vt:variant>
        <vt:i4>2883628</vt:i4>
      </vt:variant>
      <vt:variant>
        <vt:i4>117</vt:i4>
      </vt:variant>
      <vt:variant>
        <vt:i4>0</vt:i4>
      </vt:variant>
      <vt:variant>
        <vt:i4>5</vt:i4>
      </vt:variant>
      <vt:variant>
        <vt:lpwstr>https://humanrights.gov.au/sites/default/files/document/publication/ahrc_discrimination_law_reform_2019.pdf</vt:lpwstr>
      </vt:variant>
      <vt:variant>
        <vt:lpwstr/>
      </vt:variant>
      <vt:variant>
        <vt:i4>2752541</vt:i4>
      </vt:variant>
      <vt:variant>
        <vt:i4>114</vt:i4>
      </vt:variant>
      <vt:variant>
        <vt:i4>0</vt:i4>
      </vt:variant>
      <vt:variant>
        <vt:i4>5</vt:i4>
      </vt:variant>
      <vt:variant>
        <vt:lpwstr>https://humanrights.gov.au/sites/default/files/document/publication/WTW_2016_Full_Report_AHRC_ac.pdf</vt:lpwstr>
      </vt:variant>
      <vt:variant>
        <vt:lpwstr/>
      </vt:variant>
      <vt:variant>
        <vt:i4>8126590</vt:i4>
      </vt:variant>
      <vt:variant>
        <vt:i4>111</vt:i4>
      </vt:variant>
      <vt:variant>
        <vt:i4>0</vt:i4>
      </vt:variant>
      <vt:variant>
        <vt:i4>5</vt:i4>
      </vt:variant>
      <vt:variant>
        <vt:lpwstr>https://humanrights.gov.au/our-work/legal/consolidation-commonwealth-discrimination-law</vt:lpwstr>
      </vt:variant>
      <vt:variant>
        <vt:lpwstr/>
      </vt:variant>
      <vt:variant>
        <vt:i4>6</vt:i4>
      </vt:variant>
      <vt:variant>
        <vt:i4>108</vt:i4>
      </vt:variant>
      <vt:variant>
        <vt:i4>0</vt:i4>
      </vt:variant>
      <vt:variant>
        <vt:i4>5</vt:i4>
      </vt:variant>
      <vt:variant>
        <vt:lpwstr>https://www.pc.gov.au/inquiries/completed/disability-discrimination/report/disability-discrimination.pdf</vt:lpwstr>
      </vt:variant>
      <vt:variant>
        <vt:lpwstr/>
      </vt:variant>
      <vt:variant>
        <vt:i4>2752541</vt:i4>
      </vt:variant>
      <vt:variant>
        <vt:i4>105</vt:i4>
      </vt:variant>
      <vt:variant>
        <vt:i4>0</vt:i4>
      </vt:variant>
      <vt:variant>
        <vt:i4>5</vt:i4>
      </vt:variant>
      <vt:variant>
        <vt:lpwstr>https://humanrights.gov.au/sites/default/files/document/publication/WTW_2016_Full_Report_AHRC_ac.pdf</vt:lpwstr>
      </vt:variant>
      <vt:variant>
        <vt:lpwstr/>
      </vt:variant>
      <vt:variant>
        <vt:i4>3014695</vt:i4>
      </vt:variant>
      <vt:variant>
        <vt:i4>102</vt:i4>
      </vt:variant>
      <vt:variant>
        <vt:i4>0</vt:i4>
      </vt:variant>
      <vt:variant>
        <vt:i4>5</vt:i4>
      </vt:variant>
      <vt:variant>
        <vt:lpwstr>https://humanrights.gov.au/sites/default/files/PWDA.pdf</vt:lpwstr>
      </vt:variant>
      <vt:variant>
        <vt:lpwstr/>
      </vt:variant>
      <vt:variant>
        <vt:i4>2752541</vt:i4>
      </vt:variant>
      <vt:variant>
        <vt:i4>99</vt:i4>
      </vt:variant>
      <vt:variant>
        <vt:i4>0</vt:i4>
      </vt:variant>
      <vt:variant>
        <vt:i4>5</vt:i4>
      </vt:variant>
      <vt:variant>
        <vt:lpwstr>https://humanrights.gov.au/sites/default/files/document/publication/WTW_2016_Full_Report_AHRC_ac.pdf</vt:lpwstr>
      </vt:variant>
      <vt:variant>
        <vt:lpwstr/>
      </vt:variant>
      <vt:variant>
        <vt:i4>2752541</vt:i4>
      </vt:variant>
      <vt:variant>
        <vt:i4>96</vt:i4>
      </vt:variant>
      <vt:variant>
        <vt:i4>0</vt:i4>
      </vt:variant>
      <vt:variant>
        <vt:i4>5</vt:i4>
      </vt:variant>
      <vt:variant>
        <vt:lpwstr>https://humanrights.gov.au/sites/default/files/document/publication/WTW_2016_Full_Report_AHRC_ac.pdf</vt:lpwstr>
      </vt:variant>
      <vt:variant>
        <vt:lpwstr/>
      </vt:variant>
      <vt:variant>
        <vt:i4>262149</vt:i4>
      </vt:variant>
      <vt:variant>
        <vt:i4>93</vt:i4>
      </vt:variant>
      <vt:variant>
        <vt:i4>0</vt:i4>
      </vt:variant>
      <vt:variant>
        <vt:i4>5</vt:i4>
      </vt:variant>
      <vt:variant>
        <vt:lpwstr>https://www.fairwork.gov.au/pay/minimum-wages/employees-with-disability-pay-rates</vt:lpwstr>
      </vt:variant>
      <vt:variant>
        <vt:lpwstr/>
      </vt:variant>
      <vt:variant>
        <vt:i4>2752541</vt:i4>
      </vt:variant>
      <vt:variant>
        <vt:i4>90</vt:i4>
      </vt:variant>
      <vt:variant>
        <vt:i4>0</vt:i4>
      </vt:variant>
      <vt:variant>
        <vt:i4>5</vt:i4>
      </vt:variant>
      <vt:variant>
        <vt:lpwstr>https://humanrights.gov.au/sites/default/files/document/publication/WTW_2016_Full_Report_AHRC_ac.pdf</vt:lpwstr>
      </vt:variant>
      <vt:variant>
        <vt:lpwstr/>
      </vt:variant>
      <vt:variant>
        <vt:i4>7340123</vt:i4>
      </vt:variant>
      <vt:variant>
        <vt:i4>87</vt:i4>
      </vt:variant>
      <vt:variant>
        <vt:i4>0</vt:i4>
      </vt:variant>
      <vt:variant>
        <vt:i4>5</vt:i4>
      </vt:variant>
      <vt:variant>
        <vt:lpwstr>https://humanrights.gov.au/sites/default/files/AHRC Reponse to Issues and Questions_0.pdf</vt:lpwstr>
      </vt:variant>
      <vt:variant>
        <vt:lpwstr/>
      </vt:variant>
      <vt:variant>
        <vt:i4>3932272</vt:i4>
      </vt:variant>
      <vt:variant>
        <vt:i4>84</vt:i4>
      </vt:variant>
      <vt:variant>
        <vt:i4>0</vt:i4>
      </vt:variant>
      <vt:variant>
        <vt:i4>5</vt:i4>
      </vt:variant>
      <vt:variant>
        <vt:lpwstr>https://www.dss.gov.au/disability-and-carers-programs-services-for-people-with-disability-bswat-payment-scheme/the-business-services-wage-assessment-tool-bswat-payment-scheme</vt:lpwstr>
      </vt:variant>
      <vt:variant>
        <vt:lpwstr/>
      </vt:variant>
      <vt:variant>
        <vt:i4>720990</vt:i4>
      </vt:variant>
      <vt:variant>
        <vt:i4>81</vt:i4>
      </vt:variant>
      <vt:variant>
        <vt:i4>0</vt:i4>
      </vt:variant>
      <vt:variant>
        <vt:i4>5</vt:i4>
      </vt:variant>
      <vt:variant>
        <vt:lpwstr>https://www.jobaccess.gov.au/downloads/supported-wage-system-handbook</vt:lpwstr>
      </vt:variant>
      <vt:variant>
        <vt:lpwstr/>
      </vt:variant>
      <vt:variant>
        <vt:i4>720990</vt:i4>
      </vt:variant>
      <vt:variant>
        <vt:i4>78</vt:i4>
      </vt:variant>
      <vt:variant>
        <vt:i4>0</vt:i4>
      </vt:variant>
      <vt:variant>
        <vt:i4>5</vt:i4>
      </vt:variant>
      <vt:variant>
        <vt:lpwstr>https://www.jobaccess.gov.au/downloads/supported-wage-system-handbook</vt:lpwstr>
      </vt:variant>
      <vt:variant>
        <vt:lpwstr/>
      </vt:variant>
      <vt:variant>
        <vt:i4>2752541</vt:i4>
      </vt:variant>
      <vt:variant>
        <vt:i4>75</vt:i4>
      </vt:variant>
      <vt:variant>
        <vt:i4>0</vt:i4>
      </vt:variant>
      <vt:variant>
        <vt:i4>5</vt:i4>
      </vt:variant>
      <vt:variant>
        <vt:lpwstr>https://humanrights.gov.au/sites/default/files/document/publication/WTW_2016_Full_Report_AHRC_ac.pdf</vt:lpwstr>
      </vt:variant>
      <vt:variant>
        <vt:lpwstr/>
      </vt:variant>
      <vt:variant>
        <vt:i4>720990</vt:i4>
      </vt:variant>
      <vt:variant>
        <vt:i4>72</vt:i4>
      </vt:variant>
      <vt:variant>
        <vt:i4>0</vt:i4>
      </vt:variant>
      <vt:variant>
        <vt:i4>5</vt:i4>
      </vt:variant>
      <vt:variant>
        <vt:lpwstr>https://www.jobaccess.gov.au/downloads/supported-wage-system-handbook</vt:lpwstr>
      </vt:variant>
      <vt:variant>
        <vt:lpwstr/>
      </vt:variant>
      <vt:variant>
        <vt:i4>720990</vt:i4>
      </vt:variant>
      <vt:variant>
        <vt:i4>69</vt:i4>
      </vt:variant>
      <vt:variant>
        <vt:i4>0</vt:i4>
      </vt:variant>
      <vt:variant>
        <vt:i4>5</vt:i4>
      </vt:variant>
      <vt:variant>
        <vt:lpwstr>https://www.jobaccess.gov.au/downloads/supported-wage-system-handbook</vt:lpwstr>
      </vt:variant>
      <vt:variant>
        <vt:lpwstr/>
      </vt:variant>
      <vt:variant>
        <vt:i4>262149</vt:i4>
      </vt:variant>
      <vt:variant>
        <vt:i4>66</vt:i4>
      </vt:variant>
      <vt:variant>
        <vt:i4>0</vt:i4>
      </vt:variant>
      <vt:variant>
        <vt:i4>5</vt:i4>
      </vt:variant>
      <vt:variant>
        <vt:lpwstr>https://www.fairwork.gov.au/pay/minimum-wages/employees-with-disability-pay-rates</vt:lpwstr>
      </vt:variant>
      <vt:variant>
        <vt:lpwstr/>
      </vt:variant>
      <vt:variant>
        <vt:i4>1048583</vt:i4>
      </vt:variant>
      <vt:variant>
        <vt:i4>63</vt:i4>
      </vt:variant>
      <vt:variant>
        <vt:i4>0</vt:i4>
      </vt:variant>
      <vt:variant>
        <vt:i4>5</vt:i4>
      </vt:variant>
      <vt:variant>
        <vt:lpwstr>https://engage.dss.gov.au/disability-employment-framework-2/disability-employment-framework-discussion-paper</vt:lpwstr>
      </vt:variant>
      <vt:variant>
        <vt:lpwstr/>
      </vt:variant>
      <vt:variant>
        <vt:i4>2752541</vt:i4>
      </vt:variant>
      <vt:variant>
        <vt:i4>60</vt:i4>
      </vt:variant>
      <vt:variant>
        <vt:i4>0</vt:i4>
      </vt:variant>
      <vt:variant>
        <vt:i4>5</vt:i4>
      </vt:variant>
      <vt:variant>
        <vt:lpwstr>https://humanrights.gov.au/sites/default/files/document/publication/WTW_2016_Full_Report_AHRC_ac.pdf</vt:lpwstr>
      </vt:variant>
      <vt:variant>
        <vt:lpwstr/>
      </vt:variant>
      <vt:variant>
        <vt:i4>8192060</vt:i4>
      </vt:variant>
      <vt:variant>
        <vt:i4>57</vt:i4>
      </vt:variant>
      <vt:variant>
        <vt:i4>0</vt:i4>
      </vt:variant>
      <vt:variant>
        <vt:i4>5</vt:i4>
      </vt:variant>
      <vt:variant>
        <vt:lpwstr>https://www.dss.gov.au/disability-and-carers-programmes-services-for-people-with-disability/about-australian-disability-enterprises</vt:lpwstr>
      </vt:variant>
      <vt:variant>
        <vt:lpwstr/>
      </vt:variant>
      <vt:variant>
        <vt:i4>4849679</vt:i4>
      </vt:variant>
      <vt:variant>
        <vt:i4>54</vt:i4>
      </vt:variant>
      <vt:variant>
        <vt:i4>0</vt:i4>
      </vt:variant>
      <vt:variant>
        <vt:i4>5</vt:i4>
      </vt:variant>
      <vt:variant>
        <vt:lpwstr>https://www.dss.gov.au/disability-and-carers-research-and-data/the-national-disability-data-asset</vt:lpwstr>
      </vt:variant>
      <vt:variant>
        <vt:lpwstr/>
      </vt:variant>
      <vt:variant>
        <vt:i4>3735591</vt:i4>
      </vt:variant>
      <vt:variant>
        <vt:i4>51</vt:i4>
      </vt:variant>
      <vt:variant>
        <vt:i4>0</vt:i4>
      </vt:variant>
      <vt:variant>
        <vt:i4>5</vt:i4>
      </vt:variant>
      <vt:variant>
        <vt:lpwstr>https://www.dss.gov.au/our-responsibilities/disability-and-carers/publications-articles/policy-research/national-disability-strategy-2010-2020</vt:lpwstr>
      </vt:variant>
      <vt:variant>
        <vt:lpwstr/>
      </vt:variant>
      <vt:variant>
        <vt:i4>3735591</vt:i4>
      </vt:variant>
      <vt:variant>
        <vt:i4>48</vt:i4>
      </vt:variant>
      <vt:variant>
        <vt:i4>0</vt:i4>
      </vt:variant>
      <vt:variant>
        <vt:i4>5</vt:i4>
      </vt:variant>
      <vt:variant>
        <vt:lpwstr>https://www.dss.gov.au/our-responsibilities/disability-and-carers/publications-articles/policy-research/national-disability-strategy-2010-2020</vt:lpwstr>
      </vt:variant>
      <vt:variant>
        <vt:lpwstr/>
      </vt:variant>
      <vt:variant>
        <vt:i4>2687039</vt:i4>
      </vt:variant>
      <vt:variant>
        <vt:i4>45</vt:i4>
      </vt:variant>
      <vt:variant>
        <vt:i4>0</vt:i4>
      </vt:variant>
      <vt:variant>
        <vt:i4>5</vt:i4>
      </vt:variant>
      <vt:variant>
        <vt:lpwstr>https://research.qut.edu.au/centre-for-decent-work-and-industry/wp-content/uploads/sites/35/2019/06/Report-of-Survey-Findings_18-June-2019_PUBLISHED.pdf</vt:lpwstr>
      </vt:variant>
      <vt:variant>
        <vt:lpwstr/>
      </vt:variant>
      <vt:variant>
        <vt:i4>7798892</vt:i4>
      </vt:variant>
      <vt:variant>
        <vt:i4>42</vt:i4>
      </vt:variant>
      <vt:variant>
        <vt:i4>0</vt:i4>
      </vt:variant>
      <vt:variant>
        <vt:i4>5</vt:i4>
      </vt:variant>
      <vt:variant>
        <vt:lpwstr>https://humanrights.gov.au/sites/default/files/ahrc_20191219_submission_disabilityrc_education.pdf</vt:lpwstr>
      </vt:variant>
      <vt:variant>
        <vt:lpwstr/>
      </vt:variant>
      <vt:variant>
        <vt:i4>7602224</vt:i4>
      </vt:variant>
      <vt:variant>
        <vt:i4>39</vt:i4>
      </vt:variant>
      <vt:variant>
        <vt:i4>0</vt:i4>
      </vt:variant>
      <vt:variant>
        <vt:i4>5</vt:i4>
      </vt:variant>
      <vt:variant>
        <vt:lpwstr>https://humanrights.gov.au/our-work/legal/submission/submission-people-disability-and-criminal-justice-system-2020</vt:lpwstr>
      </vt:variant>
      <vt:variant>
        <vt:lpwstr/>
      </vt:variant>
      <vt:variant>
        <vt:i4>589827</vt:i4>
      </vt:variant>
      <vt:variant>
        <vt:i4>36</vt:i4>
      </vt:variant>
      <vt:variant>
        <vt:i4>0</vt:i4>
      </vt:variant>
      <vt:variant>
        <vt:i4>5</vt:i4>
      </vt:variant>
      <vt:variant>
        <vt:lpwstr>https://disability.royalcommission.gov.au/system/files/2020-07/Issues Paper - Employment.pdf</vt:lpwstr>
      </vt:variant>
      <vt:variant>
        <vt:lpwstr/>
      </vt:variant>
      <vt:variant>
        <vt:i4>7602207</vt:i4>
      </vt:variant>
      <vt:variant>
        <vt:i4>33</vt:i4>
      </vt:variant>
      <vt:variant>
        <vt:i4>0</vt:i4>
      </vt:variant>
      <vt:variant>
        <vt:i4>5</vt:i4>
      </vt:variant>
      <vt:variant>
        <vt:lpwstr>https://www.abs.gov.au/AUSSTATS/abs@.nsf/Lookup/4433.0.55.005Main+Features12012?OpenDocument</vt:lpwstr>
      </vt:variant>
      <vt:variant>
        <vt:lpwstr/>
      </vt:variant>
      <vt:variant>
        <vt:i4>7602207</vt:i4>
      </vt:variant>
      <vt:variant>
        <vt:i4>30</vt:i4>
      </vt:variant>
      <vt:variant>
        <vt:i4>0</vt:i4>
      </vt:variant>
      <vt:variant>
        <vt:i4>5</vt:i4>
      </vt:variant>
      <vt:variant>
        <vt:lpwstr>https://www.abs.gov.au/AUSSTATS/abs@.nsf/Lookup/4433.0.55.005Main+Features12012?OpenDocument</vt:lpwstr>
      </vt:variant>
      <vt:variant>
        <vt:lpwstr/>
      </vt:variant>
      <vt:variant>
        <vt:i4>1114184</vt:i4>
      </vt:variant>
      <vt:variant>
        <vt:i4>27</vt:i4>
      </vt:variant>
      <vt:variant>
        <vt:i4>0</vt:i4>
      </vt:variant>
      <vt:variant>
        <vt:i4>5</vt:i4>
      </vt:variant>
      <vt:variant>
        <vt:lpwstr>https://www.aihw.gov.au/reports/disability/people-with-disability-in-australia/employment/underemployment</vt:lpwstr>
      </vt:variant>
      <vt:variant>
        <vt:lpwstr/>
      </vt:variant>
      <vt:variant>
        <vt:i4>4259860</vt:i4>
      </vt:variant>
      <vt:variant>
        <vt:i4>24</vt:i4>
      </vt:variant>
      <vt:variant>
        <vt:i4>0</vt:i4>
      </vt:variant>
      <vt:variant>
        <vt:i4>5</vt:i4>
      </vt:variant>
      <vt:variant>
        <vt:lpwstr>https://www.aihw.gov.au/reports/disability/people-with-disability-in-australia/employment/unemployment/unemployment-rate</vt:lpwstr>
      </vt:variant>
      <vt:variant>
        <vt:lpwstr/>
      </vt:variant>
      <vt:variant>
        <vt:i4>196616</vt:i4>
      </vt:variant>
      <vt:variant>
        <vt:i4>21</vt:i4>
      </vt:variant>
      <vt:variant>
        <vt:i4>0</vt:i4>
      </vt:variant>
      <vt:variant>
        <vt:i4>5</vt:i4>
      </vt:variant>
      <vt:variant>
        <vt:lpwstr>https://humanrights.gov.au/our-work/sex-discrimination/publications/everyones-business-fourth-national-survey-sexual</vt:lpwstr>
      </vt:variant>
      <vt:variant>
        <vt:lpwstr/>
      </vt:variant>
      <vt:variant>
        <vt:i4>8257639</vt:i4>
      </vt:variant>
      <vt:variant>
        <vt:i4>18</vt:i4>
      </vt:variant>
      <vt:variant>
        <vt:i4>0</vt:i4>
      </vt:variant>
      <vt:variant>
        <vt:i4>5</vt:i4>
      </vt:variant>
      <vt:variant>
        <vt:lpwstr>https://www.aihw.gov.au/reports/disability/people-with-disability-in-australia/employment/employment-rate-and-type</vt:lpwstr>
      </vt:variant>
      <vt:variant>
        <vt:lpwstr/>
      </vt:variant>
      <vt:variant>
        <vt:i4>2293806</vt:i4>
      </vt:variant>
      <vt:variant>
        <vt:i4>15</vt:i4>
      </vt:variant>
      <vt:variant>
        <vt:i4>0</vt:i4>
      </vt:variant>
      <vt:variant>
        <vt:i4>5</vt:i4>
      </vt:variant>
      <vt:variant>
        <vt:lpwstr>https://www.aihw.gov.au/reports/disability/people-with-disability-in-australia/employment/employment-participation-needs-and-challenges/difficulty-finding-work</vt:lpwstr>
      </vt:variant>
      <vt:variant>
        <vt:lpwstr/>
      </vt:variant>
      <vt:variant>
        <vt:i4>2293806</vt:i4>
      </vt:variant>
      <vt:variant>
        <vt:i4>12</vt:i4>
      </vt:variant>
      <vt:variant>
        <vt:i4>0</vt:i4>
      </vt:variant>
      <vt:variant>
        <vt:i4>5</vt:i4>
      </vt:variant>
      <vt:variant>
        <vt:lpwstr>https://www.aihw.gov.au/reports/disability/people-with-disability-in-australia/employment/employment-participation-needs-and-challenges/difficulty-finding-work</vt:lpwstr>
      </vt:variant>
      <vt:variant>
        <vt:lpwstr/>
      </vt:variant>
      <vt:variant>
        <vt:i4>1114184</vt:i4>
      </vt:variant>
      <vt:variant>
        <vt:i4>9</vt:i4>
      </vt:variant>
      <vt:variant>
        <vt:i4>0</vt:i4>
      </vt:variant>
      <vt:variant>
        <vt:i4>5</vt:i4>
      </vt:variant>
      <vt:variant>
        <vt:lpwstr>https://www.aihw.gov.au/reports/disability/people-with-disability-in-australia/employment/underemployment</vt:lpwstr>
      </vt:variant>
      <vt:variant>
        <vt:lpwstr/>
      </vt:variant>
      <vt:variant>
        <vt:i4>8257639</vt:i4>
      </vt:variant>
      <vt:variant>
        <vt:i4>6</vt:i4>
      </vt:variant>
      <vt:variant>
        <vt:i4>0</vt:i4>
      </vt:variant>
      <vt:variant>
        <vt:i4>5</vt:i4>
      </vt:variant>
      <vt:variant>
        <vt:lpwstr>https://www.aihw.gov.au/reports/disability/people-with-disability-in-australia/employment/employment-rate-and-type</vt:lpwstr>
      </vt:variant>
      <vt:variant>
        <vt:lpwstr/>
      </vt:variant>
      <vt:variant>
        <vt:i4>8257639</vt:i4>
      </vt:variant>
      <vt:variant>
        <vt:i4>3</vt:i4>
      </vt:variant>
      <vt:variant>
        <vt:i4>0</vt:i4>
      </vt:variant>
      <vt:variant>
        <vt:i4>5</vt:i4>
      </vt:variant>
      <vt:variant>
        <vt:lpwstr>https://www.aihw.gov.au/reports/disability/people-with-disability-in-australia/employment/employment-rate-and-type</vt:lpwstr>
      </vt:variant>
      <vt:variant>
        <vt:lpwstr/>
      </vt:variant>
      <vt:variant>
        <vt:i4>6488177</vt:i4>
      </vt:variant>
      <vt:variant>
        <vt:i4>0</vt:i4>
      </vt:variant>
      <vt:variant>
        <vt:i4>0</vt:i4>
      </vt:variant>
      <vt:variant>
        <vt:i4>5</vt:i4>
      </vt:variant>
      <vt:variant>
        <vt:lpwstr>https://humanrights.gov.au/our-work/disability-rights/publications/willing-work-national-inquiry-employment-discrimination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Afton Fife</dc:creator>
  <cp:keywords/>
  <dc:description/>
  <cp:lastModifiedBy>Afton Fife</cp:lastModifiedBy>
  <cp:revision>101</cp:revision>
  <cp:lastPrinted>2020-09-25T02:48:00Z</cp:lastPrinted>
  <dcterms:created xsi:type="dcterms:W3CDTF">2020-09-23T23:15:00Z</dcterms:created>
  <dcterms:modified xsi:type="dcterms:W3CDTF">2020-09-25T02:48:00Z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0x010100A2118DDF96A4034E89BD1C6F739BFE8E</vt:lpwstr>
  </property>
  <property fmtid="{D5CDD505-2E9C-101B-9397-08002B2CF9AE}" pid="3" name="TaxKeyword">
    <vt:lpwstr/>
  </property>
  <property fmtid="{D5CDD505-2E9C-101B-9397-08002B2CF9AE}" pid="4" name="Document Type">
    <vt:lpwstr/>
  </property>
  <property fmtid="{D5CDD505-2E9C-101B-9397-08002B2CF9AE}" pid="5" name="_dlc_DocIdItemGuid">
    <vt:lpwstr>d1e5031b-875d-4449-aa10-bcaeec8ada5b</vt:lpwstr>
  </property>
</Properties>
</file>