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B6F13" w14:textId="77777777" w:rsidR="00A355F9" w:rsidRPr="00BF2102" w:rsidRDefault="00AB4473" w:rsidP="00A355F9">
      <w:pPr>
        <w:pStyle w:val="MainTitle"/>
        <w:rPr>
          <w:rFonts w:cs="Open Sans"/>
        </w:rPr>
      </w:pPr>
      <w:bookmarkStart w:id="0" w:name="_GoBack"/>
      <w:bookmarkEnd w:id="0"/>
      <w:r w:rsidRPr="00BF2102">
        <w:rPr>
          <w:rFonts w:cs="Open Sans"/>
        </w:rPr>
        <w:t xml:space="preserve">Review of citizenship loss provisions in the </w:t>
      </w:r>
      <w:r w:rsidRPr="00BF2102">
        <w:rPr>
          <w:rFonts w:cs="Open Sans"/>
          <w:i/>
        </w:rPr>
        <w:t>Australian Citizenship Act 2007</w:t>
      </w:r>
      <w:r w:rsidRPr="00BF2102">
        <w:rPr>
          <w:rFonts w:cs="Open Sans"/>
        </w:rPr>
        <w:t xml:space="preserve"> (Cth)</w:t>
      </w:r>
    </w:p>
    <w:p w14:paraId="0F612703" w14:textId="77777777" w:rsidR="00817C73" w:rsidRPr="00BF2102" w:rsidRDefault="00817C73" w:rsidP="00817C73">
      <w:pPr>
        <w:pStyle w:val="Subtitle"/>
        <w:rPr>
          <w:rFonts w:cs="Open Sans"/>
        </w:rPr>
      </w:pPr>
      <w:bookmarkStart w:id="1" w:name="_Toc515873204"/>
      <w:bookmarkStart w:id="2" w:name="_Toc10541337"/>
      <w:bookmarkStart w:id="3" w:name="_Toc10717388"/>
      <w:bookmarkStart w:id="4" w:name="_Toc11055450"/>
      <w:bookmarkStart w:id="5" w:name="_Toc11147185"/>
      <w:bookmarkStart w:id="6" w:name="_Toc11159279"/>
      <w:bookmarkStart w:id="7" w:name="_Toc11166890"/>
      <w:bookmarkStart w:id="8" w:name="_Toc11168841"/>
      <w:bookmarkStart w:id="9" w:name="_Toc11169005"/>
      <w:bookmarkStart w:id="10" w:name="_Toc11335980"/>
      <w:bookmarkStart w:id="11" w:name="_Toc11352378"/>
      <w:bookmarkStart w:id="12" w:name="_Toc11363495"/>
      <w:bookmarkStart w:id="13" w:name="_Toc11399333"/>
      <w:bookmarkStart w:id="14" w:name="_Toc11403989"/>
      <w:bookmarkStart w:id="15" w:name="_Toc11407497"/>
      <w:bookmarkStart w:id="16" w:name="_Toc11407590"/>
      <w:bookmarkStart w:id="17" w:name="_Toc11407951"/>
      <w:r w:rsidRPr="00BF2102">
        <w:rPr>
          <w:rFonts w:cs="Open Sans"/>
        </w:rPr>
        <w:t>Australian Human Rights Commission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D22625A" w14:textId="77777777" w:rsidR="00817C73" w:rsidRPr="00BF2102" w:rsidRDefault="00817C73" w:rsidP="00817C73">
      <w:pPr>
        <w:pStyle w:val="Subtitle"/>
        <w:rPr>
          <w:rFonts w:cs="Open Sans"/>
        </w:rPr>
      </w:pPr>
      <w:bookmarkStart w:id="18" w:name="_Toc515873205"/>
      <w:bookmarkStart w:id="19" w:name="_Toc10541338"/>
      <w:bookmarkStart w:id="20" w:name="_Toc10717389"/>
      <w:bookmarkStart w:id="21" w:name="_Toc11055451"/>
      <w:bookmarkStart w:id="22" w:name="_Toc11147186"/>
      <w:bookmarkStart w:id="23" w:name="_Toc11159280"/>
      <w:bookmarkStart w:id="24" w:name="_Toc11166891"/>
      <w:bookmarkStart w:id="25" w:name="_Toc11168842"/>
      <w:bookmarkStart w:id="26" w:name="_Toc11169006"/>
      <w:bookmarkStart w:id="27" w:name="_Toc11335981"/>
      <w:bookmarkStart w:id="28" w:name="_Toc11352379"/>
      <w:bookmarkStart w:id="29" w:name="_Toc11363496"/>
      <w:bookmarkStart w:id="30" w:name="_Toc11399334"/>
      <w:bookmarkStart w:id="31" w:name="_Toc11403990"/>
      <w:bookmarkStart w:id="32" w:name="_Toc11407498"/>
      <w:bookmarkStart w:id="33" w:name="_Toc11407591"/>
      <w:bookmarkStart w:id="34" w:name="_Toc11407952"/>
      <w:r w:rsidRPr="00BF2102">
        <w:rPr>
          <w:rFonts w:cs="Open Sans"/>
        </w:rPr>
        <w:t xml:space="preserve">Submission to the </w:t>
      </w:r>
      <w:bookmarkEnd w:id="18"/>
      <w:r w:rsidR="00AB4473" w:rsidRPr="00BF2102">
        <w:rPr>
          <w:rFonts w:cs="Open Sans"/>
        </w:rPr>
        <w:t>Independent National Security Legislation Monitor</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B23DC61" w14:textId="77777777" w:rsidR="00F220A5" w:rsidRPr="00BF2102" w:rsidRDefault="00AB4473" w:rsidP="00F220A5">
      <w:pPr>
        <w:pStyle w:val="Date"/>
        <w:rPr>
          <w:rFonts w:cs="Open Sans"/>
        </w:rPr>
      </w:pPr>
      <w:r w:rsidRPr="00BF2102">
        <w:rPr>
          <w:rFonts w:cs="Open Sans"/>
        </w:rPr>
        <w:t>14 June 2019</w:t>
      </w:r>
    </w:p>
    <w:p w14:paraId="39CA4C3B" w14:textId="77777777" w:rsidR="00AC636D" w:rsidRPr="00BF2102" w:rsidRDefault="00AC636D" w:rsidP="00AC636D">
      <w:pPr>
        <w:rPr>
          <w:rFonts w:cs="Open Sans"/>
        </w:rPr>
      </w:pPr>
    </w:p>
    <w:p w14:paraId="20DB48DB" w14:textId="77777777" w:rsidR="009E4BD0" w:rsidRPr="00BF2102" w:rsidRDefault="009E4BD0" w:rsidP="00AC636D">
      <w:pPr>
        <w:rPr>
          <w:rFonts w:cs="Open Sans"/>
        </w:rPr>
        <w:sectPr w:rsidR="009E4BD0" w:rsidRPr="00BF2102" w:rsidSect="00AC636D">
          <w:headerReference w:type="even" r:id="rId8"/>
          <w:headerReference w:type="default" r:id="rId9"/>
          <w:headerReference w:type="first" r:id="rId10"/>
          <w:footerReference w:type="first" r:id="rId11"/>
          <w:type w:val="continuous"/>
          <w:pgSz w:w="11906" w:h="16838" w:code="9"/>
          <w:pgMar w:top="228" w:right="1700" w:bottom="1134" w:left="1418" w:header="277" w:footer="1361" w:gutter="0"/>
          <w:pgNumType w:start="2"/>
          <w:cols w:space="708"/>
          <w:titlePg/>
          <w:docGrid w:linePitch="360"/>
        </w:sectPr>
      </w:pPr>
    </w:p>
    <w:p w14:paraId="3A46DD14" w14:textId="77777777" w:rsidR="00EC5E16" w:rsidRPr="00BF2102" w:rsidRDefault="000B5B68" w:rsidP="00C60343">
      <w:pPr>
        <w:pStyle w:val="TOC1"/>
      </w:pPr>
      <w:bookmarkStart w:id="35" w:name="_Toc209316062"/>
      <w:bookmarkEnd w:id="35"/>
      <w:r w:rsidRPr="00BF2102">
        <w:rPr>
          <w:rFonts w:cs="Open Sans"/>
        </w:rPr>
        <w:lastRenderedPageBreak/>
        <w:t>Contents</w:t>
      </w:r>
      <w:r w:rsidRPr="00BF2102">
        <w:rPr>
          <w:rFonts w:cs="Open Sans"/>
        </w:rPr>
        <w:fldChar w:fldCharType="begin"/>
      </w:r>
      <w:r w:rsidRPr="00BF2102">
        <w:rPr>
          <w:rFonts w:cs="Open Sans"/>
        </w:rPr>
        <w:instrText xml:space="preserve"> TOC \o "1-3" \h \z \u </w:instrText>
      </w:r>
      <w:r w:rsidRPr="00BF2102">
        <w:rPr>
          <w:rFonts w:cs="Open Sans"/>
        </w:rPr>
        <w:fldChar w:fldCharType="separate"/>
      </w:r>
    </w:p>
    <w:p w14:paraId="132B6E20" w14:textId="64AA12FD" w:rsidR="00EC5E16" w:rsidRPr="00BF2102" w:rsidRDefault="000E5D23">
      <w:pPr>
        <w:pStyle w:val="TOC1"/>
        <w:rPr>
          <w:rFonts w:asciiTheme="minorHAnsi" w:eastAsiaTheme="minorEastAsia" w:hAnsiTheme="minorHAnsi" w:cstheme="minorBidi"/>
          <w:b w:val="0"/>
          <w:sz w:val="22"/>
          <w:szCs w:val="22"/>
        </w:rPr>
      </w:pPr>
      <w:hyperlink w:anchor="_Toc11407953" w:history="1">
        <w:r w:rsidR="00EC5E16" w:rsidRPr="00BF2102">
          <w:rPr>
            <w:rStyle w:val="Hyperlink"/>
            <w:rFonts w:cs="Open Sans"/>
          </w:rPr>
          <w:t>1</w:t>
        </w:r>
        <w:r w:rsidR="00EC5E16" w:rsidRPr="00BF2102">
          <w:rPr>
            <w:rFonts w:asciiTheme="minorHAnsi" w:eastAsiaTheme="minorEastAsia" w:hAnsiTheme="minorHAnsi" w:cstheme="minorBidi"/>
            <w:b w:val="0"/>
            <w:sz w:val="22"/>
            <w:szCs w:val="22"/>
          </w:rPr>
          <w:tab/>
        </w:r>
        <w:r w:rsidR="00EC5E16" w:rsidRPr="00BF2102">
          <w:rPr>
            <w:rStyle w:val="Hyperlink"/>
            <w:rFonts w:cs="Open Sans"/>
          </w:rPr>
          <w:t>Introduction</w:t>
        </w:r>
        <w:r w:rsidR="00EC5E16" w:rsidRPr="00BF2102">
          <w:rPr>
            <w:webHidden/>
          </w:rPr>
          <w:tab/>
        </w:r>
        <w:r w:rsidR="00EC5E16" w:rsidRPr="00BF2102">
          <w:rPr>
            <w:webHidden/>
          </w:rPr>
          <w:fldChar w:fldCharType="begin"/>
        </w:r>
        <w:r w:rsidR="00EC5E16" w:rsidRPr="00BF2102">
          <w:rPr>
            <w:webHidden/>
          </w:rPr>
          <w:instrText xml:space="preserve"> PAGEREF _Toc11407953 \h </w:instrText>
        </w:r>
        <w:r w:rsidR="00EC5E16" w:rsidRPr="00BF2102">
          <w:rPr>
            <w:webHidden/>
          </w:rPr>
        </w:r>
        <w:r w:rsidR="00EC5E16" w:rsidRPr="00BF2102">
          <w:rPr>
            <w:webHidden/>
          </w:rPr>
          <w:fldChar w:fldCharType="separate"/>
        </w:r>
        <w:r>
          <w:rPr>
            <w:webHidden/>
          </w:rPr>
          <w:t>3</w:t>
        </w:r>
        <w:r w:rsidR="00EC5E16" w:rsidRPr="00BF2102">
          <w:rPr>
            <w:webHidden/>
          </w:rPr>
          <w:fldChar w:fldCharType="end"/>
        </w:r>
      </w:hyperlink>
    </w:p>
    <w:p w14:paraId="042C739B" w14:textId="4C3A6D02" w:rsidR="00EC5E16" w:rsidRPr="00BF2102" w:rsidRDefault="000E5D23">
      <w:pPr>
        <w:pStyle w:val="TOC1"/>
        <w:rPr>
          <w:rFonts w:asciiTheme="minorHAnsi" w:eastAsiaTheme="minorEastAsia" w:hAnsiTheme="minorHAnsi" w:cstheme="minorBidi"/>
          <w:b w:val="0"/>
          <w:sz w:val="22"/>
          <w:szCs w:val="22"/>
        </w:rPr>
      </w:pPr>
      <w:hyperlink w:anchor="_Toc11407954" w:history="1">
        <w:r w:rsidR="00EC5E16" w:rsidRPr="00BF2102">
          <w:rPr>
            <w:rStyle w:val="Hyperlink"/>
            <w:rFonts w:cs="Open Sans"/>
          </w:rPr>
          <w:t>2</w:t>
        </w:r>
        <w:r w:rsidR="00EC5E16" w:rsidRPr="00BF2102">
          <w:rPr>
            <w:rFonts w:asciiTheme="minorHAnsi" w:eastAsiaTheme="minorEastAsia" w:hAnsiTheme="minorHAnsi" w:cstheme="minorBidi"/>
            <w:b w:val="0"/>
            <w:sz w:val="22"/>
            <w:szCs w:val="22"/>
          </w:rPr>
          <w:tab/>
        </w:r>
        <w:r w:rsidR="00EC5E16" w:rsidRPr="00BF2102">
          <w:rPr>
            <w:rStyle w:val="Hyperlink"/>
            <w:rFonts w:cs="Open Sans"/>
          </w:rPr>
          <w:t>Summary of key concerns</w:t>
        </w:r>
        <w:r w:rsidR="00EC5E16" w:rsidRPr="00BF2102">
          <w:rPr>
            <w:webHidden/>
          </w:rPr>
          <w:tab/>
        </w:r>
        <w:r w:rsidR="00EC5E16" w:rsidRPr="00BF2102">
          <w:rPr>
            <w:webHidden/>
          </w:rPr>
          <w:fldChar w:fldCharType="begin"/>
        </w:r>
        <w:r w:rsidR="00EC5E16" w:rsidRPr="00BF2102">
          <w:rPr>
            <w:webHidden/>
          </w:rPr>
          <w:instrText xml:space="preserve"> PAGEREF _Toc11407954 \h </w:instrText>
        </w:r>
        <w:r w:rsidR="00EC5E16" w:rsidRPr="00BF2102">
          <w:rPr>
            <w:webHidden/>
          </w:rPr>
        </w:r>
        <w:r w:rsidR="00EC5E16" w:rsidRPr="00BF2102">
          <w:rPr>
            <w:webHidden/>
          </w:rPr>
          <w:fldChar w:fldCharType="separate"/>
        </w:r>
        <w:r>
          <w:rPr>
            <w:webHidden/>
          </w:rPr>
          <w:t>7</w:t>
        </w:r>
        <w:r w:rsidR="00EC5E16" w:rsidRPr="00BF2102">
          <w:rPr>
            <w:webHidden/>
          </w:rPr>
          <w:fldChar w:fldCharType="end"/>
        </w:r>
      </w:hyperlink>
    </w:p>
    <w:p w14:paraId="385BBAB4" w14:textId="30E8FABB" w:rsidR="00EC5E16" w:rsidRPr="00BF2102" w:rsidRDefault="000E5D23">
      <w:pPr>
        <w:pStyle w:val="TOC1"/>
        <w:rPr>
          <w:rFonts w:asciiTheme="minorHAnsi" w:eastAsiaTheme="minorEastAsia" w:hAnsiTheme="minorHAnsi" w:cstheme="minorBidi"/>
          <w:b w:val="0"/>
          <w:sz w:val="22"/>
          <w:szCs w:val="22"/>
        </w:rPr>
      </w:pPr>
      <w:hyperlink w:anchor="_Toc11407955" w:history="1">
        <w:r w:rsidR="00EC5E16" w:rsidRPr="00BF2102">
          <w:rPr>
            <w:rStyle w:val="Hyperlink"/>
            <w:rFonts w:cs="Open Sans"/>
          </w:rPr>
          <w:t>3</w:t>
        </w:r>
        <w:r w:rsidR="00EC5E16" w:rsidRPr="00BF2102">
          <w:rPr>
            <w:rFonts w:asciiTheme="minorHAnsi" w:eastAsiaTheme="minorEastAsia" w:hAnsiTheme="minorHAnsi" w:cstheme="minorBidi"/>
            <w:b w:val="0"/>
            <w:sz w:val="22"/>
            <w:szCs w:val="22"/>
          </w:rPr>
          <w:tab/>
        </w:r>
        <w:r w:rsidR="00EC5E16" w:rsidRPr="00BF2102">
          <w:rPr>
            <w:rStyle w:val="Hyperlink"/>
            <w:rFonts w:cs="Open Sans"/>
          </w:rPr>
          <w:t>Recommendations</w:t>
        </w:r>
        <w:r w:rsidR="00EC5E16" w:rsidRPr="00BF2102">
          <w:rPr>
            <w:webHidden/>
          </w:rPr>
          <w:tab/>
        </w:r>
        <w:r w:rsidR="00EC5E16" w:rsidRPr="00BF2102">
          <w:rPr>
            <w:webHidden/>
          </w:rPr>
          <w:fldChar w:fldCharType="begin"/>
        </w:r>
        <w:r w:rsidR="00EC5E16" w:rsidRPr="00BF2102">
          <w:rPr>
            <w:webHidden/>
          </w:rPr>
          <w:instrText xml:space="preserve"> PAGEREF _Toc11407955 \h </w:instrText>
        </w:r>
        <w:r w:rsidR="00EC5E16" w:rsidRPr="00BF2102">
          <w:rPr>
            <w:webHidden/>
          </w:rPr>
        </w:r>
        <w:r w:rsidR="00EC5E16" w:rsidRPr="00BF2102">
          <w:rPr>
            <w:webHidden/>
          </w:rPr>
          <w:fldChar w:fldCharType="separate"/>
        </w:r>
        <w:r>
          <w:rPr>
            <w:webHidden/>
          </w:rPr>
          <w:t>7</w:t>
        </w:r>
        <w:r w:rsidR="00EC5E16" w:rsidRPr="00BF2102">
          <w:rPr>
            <w:webHidden/>
          </w:rPr>
          <w:fldChar w:fldCharType="end"/>
        </w:r>
      </w:hyperlink>
    </w:p>
    <w:p w14:paraId="32166A7A" w14:textId="746B6F54" w:rsidR="00EC5E16" w:rsidRPr="00BF2102" w:rsidRDefault="000E5D23">
      <w:pPr>
        <w:pStyle w:val="TOC1"/>
        <w:rPr>
          <w:rFonts w:asciiTheme="minorHAnsi" w:eastAsiaTheme="minorEastAsia" w:hAnsiTheme="minorHAnsi" w:cstheme="minorBidi"/>
          <w:b w:val="0"/>
          <w:sz w:val="22"/>
          <w:szCs w:val="22"/>
        </w:rPr>
      </w:pPr>
      <w:hyperlink w:anchor="_Toc11407956" w:history="1">
        <w:r w:rsidR="00EC5E16" w:rsidRPr="00BF2102">
          <w:rPr>
            <w:rStyle w:val="Hyperlink"/>
            <w:rFonts w:cs="Open Sans"/>
          </w:rPr>
          <w:t>4</w:t>
        </w:r>
        <w:r w:rsidR="00EC5E16" w:rsidRPr="00BF2102">
          <w:rPr>
            <w:rFonts w:asciiTheme="minorHAnsi" w:eastAsiaTheme="minorEastAsia" w:hAnsiTheme="minorHAnsi" w:cstheme="minorBidi"/>
            <w:b w:val="0"/>
            <w:sz w:val="22"/>
            <w:szCs w:val="22"/>
          </w:rPr>
          <w:tab/>
        </w:r>
        <w:r w:rsidR="00EC5E16" w:rsidRPr="00BF2102">
          <w:rPr>
            <w:rStyle w:val="Hyperlink"/>
            <w:rFonts w:cs="Open Sans"/>
          </w:rPr>
          <w:t>Operation of citizenship loss provisions</w:t>
        </w:r>
        <w:r w:rsidR="00EC5E16" w:rsidRPr="00BF2102">
          <w:rPr>
            <w:webHidden/>
          </w:rPr>
          <w:tab/>
        </w:r>
        <w:r w:rsidR="00EC5E16" w:rsidRPr="00BF2102">
          <w:rPr>
            <w:webHidden/>
          </w:rPr>
          <w:fldChar w:fldCharType="begin"/>
        </w:r>
        <w:r w:rsidR="00EC5E16" w:rsidRPr="00BF2102">
          <w:rPr>
            <w:webHidden/>
          </w:rPr>
          <w:instrText xml:space="preserve"> PAGEREF _Toc11407956 \h </w:instrText>
        </w:r>
        <w:r w:rsidR="00EC5E16" w:rsidRPr="00BF2102">
          <w:rPr>
            <w:webHidden/>
          </w:rPr>
        </w:r>
        <w:r w:rsidR="00EC5E16" w:rsidRPr="00BF2102">
          <w:rPr>
            <w:webHidden/>
          </w:rPr>
          <w:fldChar w:fldCharType="separate"/>
        </w:r>
        <w:r>
          <w:rPr>
            <w:webHidden/>
          </w:rPr>
          <w:t>10</w:t>
        </w:r>
        <w:r w:rsidR="00EC5E16" w:rsidRPr="00BF2102">
          <w:rPr>
            <w:webHidden/>
          </w:rPr>
          <w:fldChar w:fldCharType="end"/>
        </w:r>
      </w:hyperlink>
    </w:p>
    <w:p w14:paraId="20FF910E" w14:textId="47252AB3" w:rsidR="00EC5E16" w:rsidRPr="00BF2102" w:rsidRDefault="000E5D23">
      <w:pPr>
        <w:pStyle w:val="TOC2"/>
        <w:rPr>
          <w:rFonts w:asciiTheme="minorHAnsi" w:eastAsiaTheme="minorEastAsia" w:hAnsiTheme="minorHAnsi" w:cstheme="minorBidi"/>
          <w:b w:val="0"/>
          <w:i w:val="0"/>
          <w:sz w:val="22"/>
          <w:szCs w:val="22"/>
        </w:rPr>
      </w:pPr>
      <w:hyperlink w:anchor="_Toc11407957" w:history="1">
        <w:r w:rsidR="00EC5E16" w:rsidRPr="00BF2102">
          <w:rPr>
            <w:rStyle w:val="Hyperlink"/>
            <w:rFonts w:cs="Open Sans"/>
          </w:rPr>
          <w:t>4.1</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Conviction-based citizenship loss (s 35A)</w:t>
        </w:r>
        <w:r w:rsidR="00EC5E16" w:rsidRPr="00BF2102">
          <w:rPr>
            <w:webHidden/>
          </w:rPr>
          <w:tab/>
        </w:r>
        <w:r w:rsidR="00EC5E16" w:rsidRPr="00BF2102">
          <w:rPr>
            <w:webHidden/>
          </w:rPr>
          <w:fldChar w:fldCharType="begin"/>
        </w:r>
        <w:r w:rsidR="00EC5E16" w:rsidRPr="00BF2102">
          <w:rPr>
            <w:webHidden/>
          </w:rPr>
          <w:instrText xml:space="preserve"> PAGEREF _Toc11407957 \h </w:instrText>
        </w:r>
        <w:r w:rsidR="00EC5E16" w:rsidRPr="00BF2102">
          <w:rPr>
            <w:webHidden/>
          </w:rPr>
        </w:r>
        <w:r w:rsidR="00EC5E16" w:rsidRPr="00BF2102">
          <w:rPr>
            <w:webHidden/>
          </w:rPr>
          <w:fldChar w:fldCharType="separate"/>
        </w:r>
        <w:r>
          <w:rPr>
            <w:webHidden/>
          </w:rPr>
          <w:t>13</w:t>
        </w:r>
        <w:r w:rsidR="00EC5E16" w:rsidRPr="00BF2102">
          <w:rPr>
            <w:webHidden/>
          </w:rPr>
          <w:fldChar w:fldCharType="end"/>
        </w:r>
      </w:hyperlink>
    </w:p>
    <w:p w14:paraId="076C8B8C" w14:textId="7C69C22C" w:rsidR="00EC5E16" w:rsidRPr="00BF2102" w:rsidRDefault="000E5D23">
      <w:pPr>
        <w:pStyle w:val="TOC2"/>
        <w:rPr>
          <w:rFonts w:asciiTheme="minorHAnsi" w:eastAsiaTheme="minorEastAsia" w:hAnsiTheme="minorHAnsi" w:cstheme="minorBidi"/>
          <w:b w:val="0"/>
          <w:i w:val="0"/>
          <w:sz w:val="22"/>
          <w:szCs w:val="22"/>
        </w:rPr>
      </w:pPr>
      <w:hyperlink w:anchor="_Toc11407958" w:history="1">
        <w:r w:rsidR="00EC5E16" w:rsidRPr="00BF2102">
          <w:rPr>
            <w:rStyle w:val="Hyperlink"/>
            <w:rFonts w:cs="Open Sans"/>
          </w:rPr>
          <w:t>4.2</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Conduct-based citizenship loss</w:t>
        </w:r>
        <w:r w:rsidR="00EC5E16" w:rsidRPr="00BF2102">
          <w:rPr>
            <w:webHidden/>
          </w:rPr>
          <w:tab/>
        </w:r>
        <w:r w:rsidR="00EC5E16" w:rsidRPr="00BF2102">
          <w:rPr>
            <w:webHidden/>
          </w:rPr>
          <w:fldChar w:fldCharType="begin"/>
        </w:r>
        <w:r w:rsidR="00EC5E16" w:rsidRPr="00BF2102">
          <w:rPr>
            <w:webHidden/>
          </w:rPr>
          <w:instrText xml:space="preserve"> PAGEREF _Toc11407958 \h </w:instrText>
        </w:r>
        <w:r w:rsidR="00EC5E16" w:rsidRPr="00BF2102">
          <w:rPr>
            <w:webHidden/>
          </w:rPr>
        </w:r>
        <w:r w:rsidR="00EC5E16" w:rsidRPr="00BF2102">
          <w:rPr>
            <w:webHidden/>
          </w:rPr>
          <w:fldChar w:fldCharType="separate"/>
        </w:r>
        <w:r>
          <w:rPr>
            <w:webHidden/>
          </w:rPr>
          <w:t>16</w:t>
        </w:r>
        <w:r w:rsidR="00EC5E16" w:rsidRPr="00BF2102">
          <w:rPr>
            <w:webHidden/>
          </w:rPr>
          <w:fldChar w:fldCharType="end"/>
        </w:r>
      </w:hyperlink>
    </w:p>
    <w:p w14:paraId="6A323BF2" w14:textId="5BDA439D" w:rsidR="00EC5E16" w:rsidRPr="00BF2102" w:rsidRDefault="000E5D23">
      <w:pPr>
        <w:pStyle w:val="TOC3"/>
        <w:rPr>
          <w:rFonts w:asciiTheme="minorHAnsi" w:eastAsiaTheme="minorEastAsia" w:hAnsiTheme="minorHAnsi" w:cstheme="minorBidi"/>
          <w:i w:val="0"/>
          <w:sz w:val="22"/>
          <w:szCs w:val="22"/>
        </w:rPr>
      </w:pPr>
      <w:hyperlink w:anchor="_Toc11407959" w:history="1">
        <w:r w:rsidR="00EC5E16" w:rsidRPr="00BF2102">
          <w:rPr>
            <w:rStyle w:val="Hyperlink"/>
            <w:rFonts w:cs="Open Sans"/>
            <w:iCs/>
          </w:rPr>
          <w:t>(a)</w:t>
        </w:r>
        <w:r w:rsidR="00EC5E16" w:rsidRPr="00BF2102">
          <w:rPr>
            <w:rFonts w:asciiTheme="minorHAnsi" w:eastAsiaTheme="minorEastAsia" w:hAnsiTheme="minorHAnsi" w:cstheme="minorBidi"/>
            <w:i w:val="0"/>
            <w:sz w:val="22"/>
            <w:szCs w:val="22"/>
          </w:rPr>
          <w:tab/>
        </w:r>
        <w:r w:rsidR="00EC5E16" w:rsidRPr="00BF2102">
          <w:rPr>
            <w:rStyle w:val="Hyperlink"/>
            <w:rFonts w:cs="Open Sans"/>
            <w:iCs/>
          </w:rPr>
          <w:t>Conduct inconsistent with allegiance to Australia (s 33AA)</w:t>
        </w:r>
        <w:r w:rsidR="00EC5E16" w:rsidRPr="00BF2102">
          <w:rPr>
            <w:webHidden/>
          </w:rPr>
          <w:tab/>
        </w:r>
        <w:r w:rsidR="00EC5E16" w:rsidRPr="00BF2102">
          <w:rPr>
            <w:webHidden/>
          </w:rPr>
          <w:fldChar w:fldCharType="begin"/>
        </w:r>
        <w:r w:rsidR="00EC5E16" w:rsidRPr="00BF2102">
          <w:rPr>
            <w:webHidden/>
          </w:rPr>
          <w:instrText xml:space="preserve"> PAGEREF _Toc11407959 \h </w:instrText>
        </w:r>
        <w:r w:rsidR="00EC5E16" w:rsidRPr="00BF2102">
          <w:rPr>
            <w:webHidden/>
          </w:rPr>
        </w:r>
        <w:r w:rsidR="00EC5E16" w:rsidRPr="00BF2102">
          <w:rPr>
            <w:webHidden/>
          </w:rPr>
          <w:fldChar w:fldCharType="separate"/>
        </w:r>
        <w:r>
          <w:rPr>
            <w:webHidden/>
          </w:rPr>
          <w:t>16</w:t>
        </w:r>
        <w:r w:rsidR="00EC5E16" w:rsidRPr="00BF2102">
          <w:rPr>
            <w:webHidden/>
          </w:rPr>
          <w:fldChar w:fldCharType="end"/>
        </w:r>
      </w:hyperlink>
    </w:p>
    <w:p w14:paraId="243294B3" w14:textId="1DBFBDD2" w:rsidR="00EC5E16" w:rsidRPr="00BF2102" w:rsidRDefault="000E5D23">
      <w:pPr>
        <w:pStyle w:val="TOC3"/>
        <w:rPr>
          <w:rFonts w:asciiTheme="minorHAnsi" w:eastAsiaTheme="minorEastAsia" w:hAnsiTheme="minorHAnsi" w:cstheme="minorBidi"/>
          <w:i w:val="0"/>
          <w:sz w:val="22"/>
          <w:szCs w:val="22"/>
        </w:rPr>
      </w:pPr>
      <w:hyperlink w:anchor="_Toc11407960" w:history="1">
        <w:r w:rsidR="00EC5E16" w:rsidRPr="00BF2102">
          <w:rPr>
            <w:rStyle w:val="Hyperlink"/>
            <w:rFonts w:cs="Open Sans"/>
            <w:iCs/>
          </w:rPr>
          <w:t>(b)</w:t>
        </w:r>
        <w:r w:rsidR="00EC5E16" w:rsidRPr="00BF2102">
          <w:rPr>
            <w:rFonts w:asciiTheme="minorHAnsi" w:eastAsiaTheme="minorEastAsia" w:hAnsiTheme="minorHAnsi" w:cstheme="minorBidi"/>
            <w:i w:val="0"/>
            <w:sz w:val="22"/>
            <w:szCs w:val="22"/>
          </w:rPr>
          <w:tab/>
        </w:r>
        <w:r w:rsidR="00EC5E16" w:rsidRPr="00BF2102">
          <w:rPr>
            <w:rStyle w:val="Hyperlink"/>
            <w:rFonts w:cs="Open Sans"/>
            <w:iCs/>
          </w:rPr>
          <w:t>Service in foreign armed forces or declared terrorist organisation (s 35)</w:t>
        </w:r>
        <w:r w:rsidR="00EC5E16" w:rsidRPr="00BF2102">
          <w:rPr>
            <w:webHidden/>
          </w:rPr>
          <w:tab/>
        </w:r>
        <w:r w:rsidR="00EC5E16" w:rsidRPr="00BF2102">
          <w:rPr>
            <w:webHidden/>
          </w:rPr>
          <w:fldChar w:fldCharType="begin"/>
        </w:r>
        <w:r w:rsidR="00EC5E16" w:rsidRPr="00BF2102">
          <w:rPr>
            <w:webHidden/>
          </w:rPr>
          <w:instrText xml:space="preserve"> PAGEREF _Toc11407960 \h </w:instrText>
        </w:r>
        <w:r w:rsidR="00EC5E16" w:rsidRPr="00BF2102">
          <w:rPr>
            <w:webHidden/>
          </w:rPr>
        </w:r>
        <w:r w:rsidR="00EC5E16" w:rsidRPr="00BF2102">
          <w:rPr>
            <w:webHidden/>
          </w:rPr>
          <w:fldChar w:fldCharType="separate"/>
        </w:r>
        <w:r>
          <w:rPr>
            <w:webHidden/>
          </w:rPr>
          <w:t>21</w:t>
        </w:r>
        <w:r w:rsidR="00EC5E16" w:rsidRPr="00BF2102">
          <w:rPr>
            <w:webHidden/>
          </w:rPr>
          <w:fldChar w:fldCharType="end"/>
        </w:r>
      </w:hyperlink>
    </w:p>
    <w:p w14:paraId="437F4C14" w14:textId="79D6A4E4" w:rsidR="00EC5E16" w:rsidRPr="00BF2102" w:rsidRDefault="000E5D23">
      <w:pPr>
        <w:pStyle w:val="TOC2"/>
        <w:rPr>
          <w:rFonts w:asciiTheme="minorHAnsi" w:eastAsiaTheme="minorEastAsia" w:hAnsiTheme="minorHAnsi" w:cstheme="minorBidi"/>
          <w:b w:val="0"/>
          <w:i w:val="0"/>
          <w:sz w:val="22"/>
          <w:szCs w:val="22"/>
        </w:rPr>
      </w:pPr>
      <w:hyperlink w:anchor="_Toc11407961" w:history="1">
        <w:r w:rsidR="00EC5E16" w:rsidRPr="00BF2102">
          <w:rPr>
            <w:rStyle w:val="Hyperlink"/>
            <w:rFonts w:cs="Open Sans"/>
          </w:rPr>
          <w:t>4.3</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Reporting and review</w:t>
        </w:r>
        <w:r w:rsidR="00EC5E16" w:rsidRPr="00BF2102">
          <w:rPr>
            <w:webHidden/>
          </w:rPr>
          <w:tab/>
        </w:r>
        <w:r w:rsidR="00EC5E16" w:rsidRPr="00BF2102">
          <w:rPr>
            <w:webHidden/>
          </w:rPr>
          <w:fldChar w:fldCharType="begin"/>
        </w:r>
        <w:r w:rsidR="00EC5E16" w:rsidRPr="00BF2102">
          <w:rPr>
            <w:webHidden/>
          </w:rPr>
          <w:instrText xml:space="preserve"> PAGEREF _Toc11407961 \h </w:instrText>
        </w:r>
        <w:r w:rsidR="00EC5E16" w:rsidRPr="00BF2102">
          <w:rPr>
            <w:webHidden/>
          </w:rPr>
        </w:r>
        <w:r w:rsidR="00EC5E16" w:rsidRPr="00BF2102">
          <w:rPr>
            <w:webHidden/>
          </w:rPr>
          <w:fldChar w:fldCharType="separate"/>
        </w:r>
        <w:r>
          <w:rPr>
            <w:webHidden/>
          </w:rPr>
          <w:t>23</w:t>
        </w:r>
        <w:r w:rsidR="00EC5E16" w:rsidRPr="00BF2102">
          <w:rPr>
            <w:webHidden/>
          </w:rPr>
          <w:fldChar w:fldCharType="end"/>
        </w:r>
      </w:hyperlink>
    </w:p>
    <w:p w14:paraId="059665D3" w14:textId="78F3BEA7" w:rsidR="00EC5E16" w:rsidRPr="00BF2102" w:rsidRDefault="000E5D23">
      <w:pPr>
        <w:pStyle w:val="TOC1"/>
        <w:rPr>
          <w:rFonts w:asciiTheme="minorHAnsi" w:eastAsiaTheme="minorEastAsia" w:hAnsiTheme="minorHAnsi" w:cstheme="minorBidi"/>
          <w:b w:val="0"/>
          <w:sz w:val="22"/>
          <w:szCs w:val="22"/>
        </w:rPr>
      </w:pPr>
      <w:hyperlink w:anchor="_Toc11407962" w:history="1">
        <w:r w:rsidR="00EC5E16" w:rsidRPr="00BF2102">
          <w:rPr>
            <w:rStyle w:val="Hyperlink"/>
            <w:rFonts w:cs="Open Sans"/>
          </w:rPr>
          <w:t>5</w:t>
        </w:r>
        <w:r w:rsidR="00EC5E16" w:rsidRPr="00BF2102">
          <w:rPr>
            <w:rFonts w:asciiTheme="minorHAnsi" w:eastAsiaTheme="minorEastAsia" w:hAnsiTheme="minorHAnsi" w:cstheme="minorBidi"/>
            <w:b w:val="0"/>
            <w:sz w:val="22"/>
            <w:szCs w:val="22"/>
          </w:rPr>
          <w:tab/>
        </w:r>
        <w:r w:rsidR="00EC5E16" w:rsidRPr="00BF2102">
          <w:rPr>
            <w:rStyle w:val="Hyperlink"/>
            <w:rFonts w:cs="Open Sans"/>
          </w:rPr>
          <w:t>Relevant human rights</w:t>
        </w:r>
        <w:r w:rsidR="00EC5E16" w:rsidRPr="00BF2102">
          <w:rPr>
            <w:webHidden/>
          </w:rPr>
          <w:tab/>
        </w:r>
        <w:r w:rsidR="00EC5E16" w:rsidRPr="00BF2102">
          <w:rPr>
            <w:webHidden/>
          </w:rPr>
          <w:fldChar w:fldCharType="begin"/>
        </w:r>
        <w:r w:rsidR="00EC5E16" w:rsidRPr="00BF2102">
          <w:rPr>
            <w:webHidden/>
          </w:rPr>
          <w:instrText xml:space="preserve"> PAGEREF _Toc11407962 \h </w:instrText>
        </w:r>
        <w:r w:rsidR="00EC5E16" w:rsidRPr="00BF2102">
          <w:rPr>
            <w:webHidden/>
          </w:rPr>
        </w:r>
        <w:r w:rsidR="00EC5E16" w:rsidRPr="00BF2102">
          <w:rPr>
            <w:webHidden/>
          </w:rPr>
          <w:fldChar w:fldCharType="separate"/>
        </w:r>
        <w:r>
          <w:rPr>
            <w:webHidden/>
          </w:rPr>
          <w:t>24</w:t>
        </w:r>
        <w:r w:rsidR="00EC5E16" w:rsidRPr="00BF2102">
          <w:rPr>
            <w:webHidden/>
          </w:rPr>
          <w:fldChar w:fldCharType="end"/>
        </w:r>
      </w:hyperlink>
    </w:p>
    <w:p w14:paraId="75CCF8DC" w14:textId="4718D4E6" w:rsidR="00EC5E16" w:rsidRPr="00BF2102" w:rsidRDefault="000E5D23">
      <w:pPr>
        <w:pStyle w:val="TOC2"/>
        <w:rPr>
          <w:rFonts w:asciiTheme="minorHAnsi" w:eastAsiaTheme="minorEastAsia" w:hAnsiTheme="minorHAnsi" w:cstheme="minorBidi"/>
          <w:b w:val="0"/>
          <w:i w:val="0"/>
          <w:sz w:val="22"/>
          <w:szCs w:val="22"/>
        </w:rPr>
      </w:pPr>
      <w:hyperlink w:anchor="_Toc11407963" w:history="1">
        <w:r w:rsidR="00EC5E16" w:rsidRPr="00BF2102">
          <w:rPr>
            <w:rStyle w:val="Hyperlink"/>
            <w:rFonts w:cs="Open Sans"/>
          </w:rPr>
          <w:t>5.1</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The right to enter and remain in one’s own country</w:t>
        </w:r>
        <w:r w:rsidR="00EC5E16" w:rsidRPr="00BF2102">
          <w:rPr>
            <w:webHidden/>
          </w:rPr>
          <w:tab/>
        </w:r>
        <w:r w:rsidR="00EC5E16" w:rsidRPr="00BF2102">
          <w:rPr>
            <w:webHidden/>
          </w:rPr>
          <w:fldChar w:fldCharType="begin"/>
        </w:r>
        <w:r w:rsidR="00EC5E16" w:rsidRPr="00BF2102">
          <w:rPr>
            <w:webHidden/>
          </w:rPr>
          <w:instrText xml:space="preserve"> PAGEREF _Toc11407963 \h </w:instrText>
        </w:r>
        <w:r w:rsidR="00EC5E16" w:rsidRPr="00BF2102">
          <w:rPr>
            <w:webHidden/>
          </w:rPr>
        </w:r>
        <w:r w:rsidR="00EC5E16" w:rsidRPr="00BF2102">
          <w:rPr>
            <w:webHidden/>
          </w:rPr>
          <w:fldChar w:fldCharType="separate"/>
        </w:r>
        <w:r>
          <w:rPr>
            <w:webHidden/>
          </w:rPr>
          <w:t>24</w:t>
        </w:r>
        <w:r w:rsidR="00EC5E16" w:rsidRPr="00BF2102">
          <w:rPr>
            <w:webHidden/>
          </w:rPr>
          <w:fldChar w:fldCharType="end"/>
        </w:r>
      </w:hyperlink>
    </w:p>
    <w:p w14:paraId="53740C60" w14:textId="52638BBC" w:rsidR="00EC5E16" w:rsidRPr="00BF2102" w:rsidRDefault="000E5D23">
      <w:pPr>
        <w:pStyle w:val="TOC2"/>
        <w:rPr>
          <w:rFonts w:asciiTheme="minorHAnsi" w:eastAsiaTheme="minorEastAsia" w:hAnsiTheme="minorHAnsi" w:cstheme="minorBidi"/>
          <w:b w:val="0"/>
          <w:i w:val="0"/>
          <w:sz w:val="22"/>
          <w:szCs w:val="22"/>
        </w:rPr>
      </w:pPr>
      <w:hyperlink w:anchor="_Toc11407964" w:history="1">
        <w:r w:rsidR="00EC5E16" w:rsidRPr="00BF2102">
          <w:rPr>
            <w:rStyle w:val="Hyperlink"/>
            <w:rFonts w:cs="Open Sans"/>
          </w:rPr>
          <w:t>5.2</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Other protections</w:t>
        </w:r>
        <w:r w:rsidR="00EC5E16" w:rsidRPr="00BF2102">
          <w:rPr>
            <w:webHidden/>
          </w:rPr>
          <w:tab/>
        </w:r>
        <w:r w:rsidR="00EC5E16" w:rsidRPr="00BF2102">
          <w:rPr>
            <w:webHidden/>
          </w:rPr>
          <w:fldChar w:fldCharType="begin"/>
        </w:r>
        <w:r w:rsidR="00EC5E16" w:rsidRPr="00BF2102">
          <w:rPr>
            <w:webHidden/>
          </w:rPr>
          <w:instrText xml:space="preserve"> PAGEREF _Toc11407964 \h </w:instrText>
        </w:r>
        <w:r w:rsidR="00EC5E16" w:rsidRPr="00BF2102">
          <w:rPr>
            <w:webHidden/>
          </w:rPr>
        </w:r>
        <w:r w:rsidR="00EC5E16" w:rsidRPr="00BF2102">
          <w:rPr>
            <w:webHidden/>
          </w:rPr>
          <w:fldChar w:fldCharType="separate"/>
        </w:r>
        <w:r>
          <w:rPr>
            <w:webHidden/>
          </w:rPr>
          <w:t>25</w:t>
        </w:r>
        <w:r w:rsidR="00EC5E16" w:rsidRPr="00BF2102">
          <w:rPr>
            <w:webHidden/>
          </w:rPr>
          <w:fldChar w:fldCharType="end"/>
        </w:r>
      </w:hyperlink>
    </w:p>
    <w:p w14:paraId="260BB3D7" w14:textId="75EE9B7E" w:rsidR="00EC5E16" w:rsidRPr="00BF2102" w:rsidRDefault="000E5D23">
      <w:pPr>
        <w:pStyle w:val="TOC1"/>
        <w:rPr>
          <w:rFonts w:asciiTheme="minorHAnsi" w:eastAsiaTheme="minorEastAsia" w:hAnsiTheme="minorHAnsi" w:cstheme="minorBidi"/>
          <w:b w:val="0"/>
          <w:sz w:val="22"/>
          <w:szCs w:val="22"/>
        </w:rPr>
      </w:pPr>
      <w:hyperlink w:anchor="_Toc11407965" w:history="1">
        <w:r w:rsidR="00EC5E16" w:rsidRPr="00BF2102">
          <w:rPr>
            <w:rStyle w:val="Hyperlink"/>
            <w:rFonts w:cs="Open Sans"/>
          </w:rPr>
          <w:t>6</w:t>
        </w:r>
        <w:r w:rsidR="00EC5E16" w:rsidRPr="00BF2102">
          <w:rPr>
            <w:rFonts w:asciiTheme="minorHAnsi" w:eastAsiaTheme="minorEastAsia" w:hAnsiTheme="minorHAnsi" w:cstheme="minorBidi"/>
            <w:b w:val="0"/>
            <w:sz w:val="22"/>
            <w:szCs w:val="22"/>
          </w:rPr>
          <w:tab/>
        </w:r>
        <w:r w:rsidR="00EC5E16" w:rsidRPr="00BF2102">
          <w:rPr>
            <w:rStyle w:val="Hyperlink"/>
            <w:rFonts w:cs="Open Sans"/>
          </w:rPr>
          <w:t>Key human rights issues</w:t>
        </w:r>
        <w:r w:rsidR="00EC5E16" w:rsidRPr="00BF2102">
          <w:rPr>
            <w:webHidden/>
          </w:rPr>
          <w:tab/>
        </w:r>
        <w:r w:rsidR="00EC5E16" w:rsidRPr="00BF2102">
          <w:rPr>
            <w:webHidden/>
          </w:rPr>
          <w:fldChar w:fldCharType="begin"/>
        </w:r>
        <w:r w:rsidR="00EC5E16" w:rsidRPr="00BF2102">
          <w:rPr>
            <w:webHidden/>
          </w:rPr>
          <w:instrText xml:space="preserve"> PAGEREF _Toc11407965 \h </w:instrText>
        </w:r>
        <w:r w:rsidR="00EC5E16" w:rsidRPr="00BF2102">
          <w:rPr>
            <w:webHidden/>
          </w:rPr>
        </w:r>
        <w:r w:rsidR="00EC5E16" w:rsidRPr="00BF2102">
          <w:rPr>
            <w:webHidden/>
          </w:rPr>
          <w:fldChar w:fldCharType="separate"/>
        </w:r>
        <w:r>
          <w:rPr>
            <w:webHidden/>
          </w:rPr>
          <w:t>28</w:t>
        </w:r>
        <w:r w:rsidR="00EC5E16" w:rsidRPr="00BF2102">
          <w:rPr>
            <w:webHidden/>
          </w:rPr>
          <w:fldChar w:fldCharType="end"/>
        </w:r>
      </w:hyperlink>
    </w:p>
    <w:p w14:paraId="29FF0757" w14:textId="1427F8D9" w:rsidR="00EC5E16" w:rsidRPr="00BF2102" w:rsidRDefault="000E5D23">
      <w:pPr>
        <w:pStyle w:val="TOC2"/>
        <w:rPr>
          <w:rFonts w:asciiTheme="minorHAnsi" w:eastAsiaTheme="minorEastAsia" w:hAnsiTheme="minorHAnsi" w:cstheme="minorBidi"/>
          <w:b w:val="0"/>
          <w:i w:val="0"/>
          <w:sz w:val="22"/>
          <w:szCs w:val="22"/>
        </w:rPr>
      </w:pPr>
      <w:hyperlink w:anchor="_Toc11407966" w:history="1">
        <w:r w:rsidR="00EC5E16" w:rsidRPr="00BF2102">
          <w:rPr>
            <w:rStyle w:val="Hyperlink"/>
            <w:rFonts w:cs="Open Sans"/>
          </w:rPr>
          <w:t>6.1</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Automatic loss of citizenship</w:t>
        </w:r>
        <w:r w:rsidR="00EC5E16" w:rsidRPr="00BF2102">
          <w:rPr>
            <w:webHidden/>
          </w:rPr>
          <w:tab/>
        </w:r>
        <w:r w:rsidR="00EC5E16" w:rsidRPr="00BF2102">
          <w:rPr>
            <w:webHidden/>
          </w:rPr>
          <w:fldChar w:fldCharType="begin"/>
        </w:r>
        <w:r w:rsidR="00EC5E16" w:rsidRPr="00BF2102">
          <w:rPr>
            <w:webHidden/>
          </w:rPr>
          <w:instrText xml:space="preserve"> PAGEREF _Toc11407966 \h </w:instrText>
        </w:r>
        <w:r w:rsidR="00EC5E16" w:rsidRPr="00BF2102">
          <w:rPr>
            <w:webHidden/>
          </w:rPr>
        </w:r>
        <w:r w:rsidR="00EC5E16" w:rsidRPr="00BF2102">
          <w:rPr>
            <w:webHidden/>
          </w:rPr>
          <w:fldChar w:fldCharType="separate"/>
        </w:r>
        <w:r>
          <w:rPr>
            <w:webHidden/>
          </w:rPr>
          <w:t>28</w:t>
        </w:r>
        <w:r w:rsidR="00EC5E16" w:rsidRPr="00BF2102">
          <w:rPr>
            <w:webHidden/>
          </w:rPr>
          <w:fldChar w:fldCharType="end"/>
        </w:r>
      </w:hyperlink>
    </w:p>
    <w:p w14:paraId="37C94BFA" w14:textId="0EE251C7" w:rsidR="00EC5E16" w:rsidRPr="00BF2102" w:rsidRDefault="000E5D23">
      <w:pPr>
        <w:pStyle w:val="TOC3"/>
        <w:rPr>
          <w:rFonts w:asciiTheme="minorHAnsi" w:eastAsiaTheme="minorEastAsia" w:hAnsiTheme="minorHAnsi" w:cstheme="minorBidi"/>
          <w:i w:val="0"/>
          <w:sz w:val="22"/>
          <w:szCs w:val="22"/>
        </w:rPr>
      </w:pPr>
      <w:hyperlink w:anchor="_Toc11407967" w:history="1">
        <w:r w:rsidR="00EC5E16" w:rsidRPr="00BF2102">
          <w:rPr>
            <w:rStyle w:val="Hyperlink"/>
            <w:rFonts w:cs="Open Sans"/>
            <w:iCs/>
          </w:rPr>
          <w:t>(a)</w:t>
        </w:r>
        <w:r w:rsidR="00EC5E16" w:rsidRPr="00BF2102">
          <w:rPr>
            <w:rFonts w:asciiTheme="minorHAnsi" w:eastAsiaTheme="minorEastAsia" w:hAnsiTheme="minorHAnsi" w:cstheme="minorBidi"/>
            <w:i w:val="0"/>
            <w:sz w:val="22"/>
            <w:szCs w:val="22"/>
          </w:rPr>
          <w:tab/>
        </w:r>
        <w:r w:rsidR="00EC5E16" w:rsidRPr="00BF2102">
          <w:rPr>
            <w:rStyle w:val="Hyperlink"/>
            <w:rFonts w:cs="Open Sans"/>
            <w:iCs/>
          </w:rPr>
          <w:t>Citizenship loss should only be possible following a relevant criminal conviction and Ministerial determination</w:t>
        </w:r>
        <w:r w:rsidR="00EC5E16" w:rsidRPr="00BF2102">
          <w:rPr>
            <w:webHidden/>
          </w:rPr>
          <w:tab/>
        </w:r>
        <w:r w:rsidR="00EC5E16" w:rsidRPr="00BF2102">
          <w:rPr>
            <w:webHidden/>
          </w:rPr>
          <w:fldChar w:fldCharType="begin"/>
        </w:r>
        <w:r w:rsidR="00EC5E16" w:rsidRPr="00BF2102">
          <w:rPr>
            <w:webHidden/>
          </w:rPr>
          <w:instrText xml:space="preserve"> PAGEREF _Toc11407967 \h </w:instrText>
        </w:r>
        <w:r w:rsidR="00EC5E16" w:rsidRPr="00BF2102">
          <w:rPr>
            <w:webHidden/>
          </w:rPr>
        </w:r>
        <w:r w:rsidR="00EC5E16" w:rsidRPr="00BF2102">
          <w:rPr>
            <w:webHidden/>
          </w:rPr>
          <w:fldChar w:fldCharType="separate"/>
        </w:r>
        <w:r>
          <w:rPr>
            <w:webHidden/>
          </w:rPr>
          <w:t>28</w:t>
        </w:r>
        <w:r w:rsidR="00EC5E16" w:rsidRPr="00BF2102">
          <w:rPr>
            <w:webHidden/>
          </w:rPr>
          <w:fldChar w:fldCharType="end"/>
        </w:r>
      </w:hyperlink>
    </w:p>
    <w:p w14:paraId="40749893" w14:textId="00C77F7D" w:rsidR="00EC5E16" w:rsidRPr="00BF2102" w:rsidRDefault="000E5D23">
      <w:pPr>
        <w:pStyle w:val="TOC3"/>
        <w:rPr>
          <w:rFonts w:asciiTheme="minorHAnsi" w:eastAsiaTheme="minorEastAsia" w:hAnsiTheme="minorHAnsi" w:cstheme="minorBidi"/>
          <w:i w:val="0"/>
          <w:sz w:val="22"/>
          <w:szCs w:val="22"/>
        </w:rPr>
      </w:pPr>
      <w:hyperlink w:anchor="_Toc11407968" w:history="1">
        <w:r w:rsidR="00EC5E16" w:rsidRPr="00BF2102">
          <w:rPr>
            <w:rStyle w:val="Hyperlink"/>
            <w:rFonts w:cs="Open Sans"/>
            <w:iCs/>
          </w:rPr>
          <w:t>(b)</w:t>
        </w:r>
        <w:r w:rsidR="00EC5E16" w:rsidRPr="00BF2102">
          <w:rPr>
            <w:rFonts w:asciiTheme="minorHAnsi" w:eastAsiaTheme="minorEastAsia" w:hAnsiTheme="minorHAnsi" w:cstheme="minorBidi"/>
            <w:i w:val="0"/>
            <w:sz w:val="22"/>
            <w:szCs w:val="22"/>
          </w:rPr>
          <w:tab/>
        </w:r>
        <w:r w:rsidR="00EC5E16" w:rsidRPr="00BF2102">
          <w:rPr>
            <w:rStyle w:val="Hyperlink"/>
            <w:rFonts w:cs="Open Sans"/>
            <w:iCs/>
          </w:rPr>
          <w:t>Problems with certainty and transparency</w:t>
        </w:r>
        <w:r w:rsidR="00EC5E16" w:rsidRPr="00BF2102">
          <w:rPr>
            <w:webHidden/>
          </w:rPr>
          <w:tab/>
        </w:r>
        <w:r w:rsidR="00EC5E16" w:rsidRPr="00BF2102">
          <w:rPr>
            <w:webHidden/>
          </w:rPr>
          <w:fldChar w:fldCharType="begin"/>
        </w:r>
        <w:r w:rsidR="00EC5E16" w:rsidRPr="00BF2102">
          <w:rPr>
            <w:webHidden/>
          </w:rPr>
          <w:instrText xml:space="preserve"> PAGEREF _Toc11407968 \h </w:instrText>
        </w:r>
        <w:r w:rsidR="00EC5E16" w:rsidRPr="00BF2102">
          <w:rPr>
            <w:webHidden/>
          </w:rPr>
        </w:r>
        <w:r w:rsidR="00EC5E16" w:rsidRPr="00BF2102">
          <w:rPr>
            <w:webHidden/>
          </w:rPr>
          <w:fldChar w:fldCharType="separate"/>
        </w:r>
        <w:r>
          <w:rPr>
            <w:webHidden/>
          </w:rPr>
          <w:t>31</w:t>
        </w:r>
        <w:r w:rsidR="00EC5E16" w:rsidRPr="00BF2102">
          <w:rPr>
            <w:webHidden/>
          </w:rPr>
          <w:fldChar w:fldCharType="end"/>
        </w:r>
      </w:hyperlink>
    </w:p>
    <w:p w14:paraId="540E28AD" w14:textId="460BA65F" w:rsidR="00EC5E16" w:rsidRPr="00BF2102" w:rsidRDefault="000E5D23">
      <w:pPr>
        <w:pStyle w:val="TOC3"/>
        <w:rPr>
          <w:rFonts w:asciiTheme="minorHAnsi" w:eastAsiaTheme="minorEastAsia" w:hAnsiTheme="minorHAnsi" w:cstheme="minorBidi"/>
          <w:i w:val="0"/>
          <w:sz w:val="22"/>
          <w:szCs w:val="22"/>
        </w:rPr>
      </w:pPr>
      <w:hyperlink w:anchor="_Toc11407969" w:history="1">
        <w:r w:rsidR="00EC5E16" w:rsidRPr="00BF2102">
          <w:rPr>
            <w:rStyle w:val="Hyperlink"/>
            <w:rFonts w:cs="Open Sans"/>
            <w:iCs/>
          </w:rPr>
          <w:t>(c)</w:t>
        </w:r>
        <w:r w:rsidR="00EC5E16" w:rsidRPr="00BF2102">
          <w:rPr>
            <w:rFonts w:asciiTheme="minorHAnsi" w:eastAsiaTheme="minorEastAsia" w:hAnsiTheme="minorHAnsi" w:cstheme="minorBidi"/>
            <w:i w:val="0"/>
            <w:sz w:val="22"/>
            <w:szCs w:val="22"/>
          </w:rPr>
          <w:tab/>
        </w:r>
        <w:r w:rsidR="00EC5E16" w:rsidRPr="00BF2102">
          <w:rPr>
            <w:rStyle w:val="Hyperlink"/>
            <w:rFonts w:cs="Open Sans"/>
            <w:iCs/>
          </w:rPr>
          <w:t>Automatic loss provisions are inconsistent with Australia’s obligations to prosecute international crimes</w:t>
        </w:r>
        <w:r w:rsidR="00EC5E16" w:rsidRPr="00BF2102">
          <w:rPr>
            <w:webHidden/>
          </w:rPr>
          <w:tab/>
        </w:r>
        <w:r w:rsidR="00EC5E16" w:rsidRPr="00BF2102">
          <w:rPr>
            <w:webHidden/>
          </w:rPr>
          <w:fldChar w:fldCharType="begin"/>
        </w:r>
        <w:r w:rsidR="00EC5E16" w:rsidRPr="00BF2102">
          <w:rPr>
            <w:webHidden/>
          </w:rPr>
          <w:instrText xml:space="preserve"> PAGEREF _Toc11407969 \h </w:instrText>
        </w:r>
        <w:r w:rsidR="00EC5E16" w:rsidRPr="00BF2102">
          <w:rPr>
            <w:webHidden/>
          </w:rPr>
        </w:r>
        <w:r w:rsidR="00EC5E16" w:rsidRPr="00BF2102">
          <w:rPr>
            <w:webHidden/>
          </w:rPr>
          <w:fldChar w:fldCharType="separate"/>
        </w:r>
        <w:r>
          <w:rPr>
            <w:webHidden/>
          </w:rPr>
          <w:t>33</w:t>
        </w:r>
        <w:r w:rsidR="00EC5E16" w:rsidRPr="00BF2102">
          <w:rPr>
            <w:webHidden/>
          </w:rPr>
          <w:fldChar w:fldCharType="end"/>
        </w:r>
      </w:hyperlink>
    </w:p>
    <w:p w14:paraId="3E3B568E" w14:textId="6BC1BD25" w:rsidR="00EC5E16" w:rsidRPr="00BF2102" w:rsidRDefault="000E5D23">
      <w:pPr>
        <w:pStyle w:val="TOC3"/>
        <w:rPr>
          <w:rFonts w:asciiTheme="minorHAnsi" w:eastAsiaTheme="minorEastAsia" w:hAnsiTheme="minorHAnsi" w:cstheme="minorBidi"/>
          <w:i w:val="0"/>
          <w:sz w:val="22"/>
          <w:szCs w:val="22"/>
        </w:rPr>
      </w:pPr>
      <w:hyperlink w:anchor="_Toc11407970" w:history="1">
        <w:r w:rsidR="00EC5E16" w:rsidRPr="00BF2102">
          <w:rPr>
            <w:rStyle w:val="Hyperlink"/>
            <w:rFonts w:cs="Open Sans"/>
            <w:iCs/>
          </w:rPr>
          <w:t>(d)</w:t>
        </w:r>
        <w:r w:rsidR="00EC5E16" w:rsidRPr="00BF2102">
          <w:rPr>
            <w:rFonts w:asciiTheme="minorHAnsi" w:eastAsiaTheme="minorEastAsia" w:hAnsiTheme="minorHAnsi" w:cstheme="minorBidi"/>
            <w:i w:val="0"/>
            <w:sz w:val="22"/>
            <w:szCs w:val="22"/>
          </w:rPr>
          <w:tab/>
        </w:r>
        <w:r w:rsidR="00EC5E16" w:rsidRPr="00BF2102">
          <w:rPr>
            <w:rStyle w:val="Hyperlink"/>
            <w:rFonts w:cs="Open Sans"/>
            <w:iCs/>
          </w:rPr>
          <w:t>Repeal of automatic citizenship loss provisions</w:t>
        </w:r>
        <w:r w:rsidR="00EC5E16" w:rsidRPr="00BF2102">
          <w:rPr>
            <w:webHidden/>
          </w:rPr>
          <w:tab/>
        </w:r>
        <w:r w:rsidR="00EC5E16" w:rsidRPr="00BF2102">
          <w:rPr>
            <w:webHidden/>
          </w:rPr>
          <w:fldChar w:fldCharType="begin"/>
        </w:r>
        <w:r w:rsidR="00EC5E16" w:rsidRPr="00BF2102">
          <w:rPr>
            <w:webHidden/>
          </w:rPr>
          <w:instrText xml:space="preserve"> PAGEREF _Toc11407970 \h </w:instrText>
        </w:r>
        <w:r w:rsidR="00EC5E16" w:rsidRPr="00BF2102">
          <w:rPr>
            <w:webHidden/>
          </w:rPr>
        </w:r>
        <w:r w:rsidR="00EC5E16" w:rsidRPr="00BF2102">
          <w:rPr>
            <w:webHidden/>
          </w:rPr>
          <w:fldChar w:fldCharType="separate"/>
        </w:r>
        <w:r>
          <w:rPr>
            <w:webHidden/>
          </w:rPr>
          <w:t>35</w:t>
        </w:r>
        <w:r w:rsidR="00EC5E16" w:rsidRPr="00BF2102">
          <w:rPr>
            <w:webHidden/>
          </w:rPr>
          <w:fldChar w:fldCharType="end"/>
        </w:r>
      </w:hyperlink>
    </w:p>
    <w:p w14:paraId="05745A09" w14:textId="56D17F35" w:rsidR="00EC5E16" w:rsidRPr="00BF2102" w:rsidRDefault="000E5D23">
      <w:pPr>
        <w:pStyle w:val="TOC2"/>
        <w:rPr>
          <w:rFonts w:asciiTheme="minorHAnsi" w:eastAsiaTheme="minorEastAsia" w:hAnsiTheme="minorHAnsi" w:cstheme="minorBidi"/>
          <w:b w:val="0"/>
          <w:i w:val="0"/>
          <w:sz w:val="22"/>
          <w:szCs w:val="22"/>
        </w:rPr>
      </w:pPr>
      <w:hyperlink w:anchor="_Toc11407971" w:history="1">
        <w:r w:rsidR="00EC5E16" w:rsidRPr="00BF2102">
          <w:rPr>
            <w:rStyle w:val="Hyperlink"/>
            <w:rFonts w:cs="Open Sans"/>
          </w:rPr>
          <w:t>6.2</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Procedural safeguards</w:t>
        </w:r>
        <w:r w:rsidR="00EC5E16" w:rsidRPr="00BF2102">
          <w:rPr>
            <w:webHidden/>
          </w:rPr>
          <w:tab/>
        </w:r>
        <w:r w:rsidR="00EC5E16" w:rsidRPr="00BF2102">
          <w:rPr>
            <w:webHidden/>
          </w:rPr>
          <w:fldChar w:fldCharType="begin"/>
        </w:r>
        <w:r w:rsidR="00EC5E16" w:rsidRPr="00BF2102">
          <w:rPr>
            <w:webHidden/>
          </w:rPr>
          <w:instrText xml:space="preserve"> PAGEREF _Toc11407971 \h </w:instrText>
        </w:r>
        <w:r w:rsidR="00EC5E16" w:rsidRPr="00BF2102">
          <w:rPr>
            <w:webHidden/>
          </w:rPr>
        </w:r>
        <w:r w:rsidR="00EC5E16" w:rsidRPr="00BF2102">
          <w:rPr>
            <w:webHidden/>
          </w:rPr>
          <w:fldChar w:fldCharType="separate"/>
        </w:r>
        <w:r>
          <w:rPr>
            <w:webHidden/>
          </w:rPr>
          <w:t>36</w:t>
        </w:r>
        <w:r w:rsidR="00EC5E16" w:rsidRPr="00BF2102">
          <w:rPr>
            <w:webHidden/>
          </w:rPr>
          <w:fldChar w:fldCharType="end"/>
        </w:r>
      </w:hyperlink>
    </w:p>
    <w:p w14:paraId="5BAEB394" w14:textId="1E591363" w:rsidR="00EC5E16" w:rsidRPr="00BF2102" w:rsidRDefault="000E5D23">
      <w:pPr>
        <w:pStyle w:val="TOC3"/>
        <w:rPr>
          <w:rFonts w:asciiTheme="minorHAnsi" w:eastAsiaTheme="minorEastAsia" w:hAnsiTheme="minorHAnsi" w:cstheme="minorBidi"/>
          <w:i w:val="0"/>
          <w:sz w:val="22"/>
          <w:szCs w:val="22"/>
        </w:rPr>
      </w:pPr>
      <w:hyperlink w:anchor="_Toc11407972" w:history="1">
        <w:r w:rsidR="00EC5E16" w:rsidRPr="00BF2102">
          <w:rPr>
            <w:rStyle w:val="Hyperlink"/>
            <w:rFonts w:cs="Open Sans"/>
            <w:iCs/>
          </w:rPr>
          <w:t>(a)</w:t>
        </w:r>
        <w:r w:rsidR="00EC5E16" w:rsidRPr="00BF2102">
          <w:rPr>
            <w:rFonts w:asciiTheme="minorHAnsi" w:eastAsiaTheme="minorEastAsia" w:hAnsiTheme="minorHAnsi" w:cstheme="minorBidi"/>
            <w:i w:val="0"/>
            <w:sz w:val="22"/>
            <w:szCs w:val="22"/>
          </w:rPr>
          <w:tab/>
        </w:r>
        <w:r w:rsidR="00EC5E16" w:rsidRPr="00BF2102">
          <w:rPr>
            <w:rStyle w:val="Hyperlink"/>
            <w:rFonts w:cs="Open Sans"/>
            <w:iCs/>
          </w:rPr>
          <w:t>Ensuring consistent and robust legislative safeguards</w:t>
        </w:r>
        <w:r w:rsidR="00EC5E16" w:rsidRPr="00BF2102">
          <w:rPr>
            <w:webHidden/>
          </w:rPr>
          <w:tab/>
        </w:r>
        <w:r w:rsidR="00EC5E16" w:rsidRPr="00BF2102">
          <w:rPr>
            <w:webHidden/>
          </w:rPr>
          <w:fldChar w:fldCharType="begin"/>
        </w:r>
        <w:r w:rsidR="00EC5E16" w:rsidRPr="00BF2102">
          <w:rPr>
            <w:webHidden/>
          </w:rPr>
          <w:instrText xml:space="preserve"> PAGEREF _Toc11407972 \h </w:instrText>
        </w:r>
        <w:r w:rsidR="00EC5E16" w:rsidRPr="00BF2102">
          <w:rPr>
            <w:webHidden/>
          </w:rPr>
        </w:r>
        <w:r w:rsidR="00EC5E16" w:rsidRPr="00BF2102">
          <w:rPr>
            <w:webHidden/>
          </w:rPr>
          <w:fldChar w:fldCharType="separate"/>
        </w:r>
        <w:r>
          <w:rPr>
            <w:webHidden/>
          </w:rPr>
          <w:t>36</w:t>
        </w:r>
        <w:r w:rsidR="00EC5E16" w:rsidRPr="00BF2102">
          <w:rPr>
            <w:webHidden/>
          </w:rPr>
          <w:fldChar w:fldCharType="end"/>
        </w:r>
      </w:hyperlink>
    </w:p>
    <w:p w14:paraId="582C2A54" w14:textId="50D854CA" w:rsidR="00EC5E16" w:rsidRPr="00BF2102" w:rsidRDefault="000E5D23">
      <w:pPr>
        <w:pStyle w:val="TOC3"/>
        <w:rPr>
          <w:rFonts w:asciiTheme="minorHAnsi" w:eastAsiaTheme="minorEastAsia" w:hAnsiTheme="minorHAnsi" w:cstheme="minorBidi"/>
          <w:i w:val="0"/>
          <w:sz w:val="22"/>
          <w:szCs w:val="22"/>
        </w:rPr>
      </w:pPr>
      <w:hyperlink w:anchor="_Toc11407973" w:history="1">
        <w:r w:rsidR="00EC5E16" w:rsidRPr="00BF2102">
          <w:rPr>
            <w:rStyle w:val="Hyperlink"/>
            <w:rFonts w:cs="Open Sans"/>
            <w:iCs/>
          </w:rPr>
          <w:t>(b)</w:t>
        </w:r>
        <w:r w:rsidR="00EC5E16" w:rsidRPr="00BF2102">
          <w:rPr>
            <w:rFonts w:asciiTheme="minorHAnsi" w:eastAsiaTheme="minorEastAsia" w:hAnsiTheme="minorHAnsi" w:cstheme="minorBidi"/>
            <w:i w:val="0"/>
            <w:sz w:val="22"/>
            <w:szCs w:val="22"/>
          </w:rPr>
          <w:tab/>
        </w:r>
        <w:r w:rsidR="00EC5E16" w:rsidRPr="00BF2102">
          <w:rPr>
            <w:rStyle w:val="Hyperlink"/>
            <w:rFonts w:cs="Open Sans"/>
            <w:iCs/>
          </w:rPr>
          <w:t>Merits review</w:t>
        </w:r>
        <w:r w:rsidR="00EC5E16" w:rsidRPr="00BF2102">
          <w:rPr>
            <w:webHidden/>
          </w:rPr>
          <w:tab/>
        </w:r>
        <w:r w:rsidR="00EC5E16" w:rsidRPr="00BF2102">
          <w:rPr>
            <w:webHidden/>
          </w:rPr>
          <w:fldChar w:fldCharType="begin"/>
        </w:r>
        <w:r w:rsidR="00EC5E16" w:rsidRPr="00BF2102">
          <w:rPr>
            <w:webHidden/>
          </w:rPr>
          <w:instrText xml:space="preserve"> PAGEREF _Toc11407973 \h </w:instrText>
        </w:r>
        <w:r w:rsidR="00EC5E16" w:rsidRPr="00BF2102">
          <w:rPr>
            <w:webHidden/>
          </w:rPr>
        </w:r>
        <w:r w:rsidR="00EC5E16" w:rsidRPr="00BF2102">
          <w:rPr>
            <w:webHidden/>
          </w:rPr>
          <w:fldChar w:fldCharType="separate"/>
        </w:r>
        <w:r>
          <w:rPr>
            <w:webHidden/>
          </w:rPr>
          <w:t>41</w:t>
        </w:r>
        <w:r w:rsidR="00EC5E16" w:rsidRPr="00BF2102">
          <w:rPr>
            <w:webHidden/>
          </w:rPr>
          <w:fldChar w:fldCharType="end"/>
        </w:r>
      </w:hyperlink>
    </w:p>
    <w:p w14:paraId="3160B222" w14:textId="3AFB619B" w:rsidR="00EC5E16" w:rsidRPr="00BF2102" w:rsidRDefault="000E5D23">
      <w:pPr>
        <w:pStyle w:val="TOC3"/>
        <w:rPr>
          <w:rFonts w:asciiTheme="minorHAnsi" w:eastAsiaTheme="minorEastAsia" w:hAnsiTheme="minorHAnsi" w:cstheme="minorBidi"/>
          <w:i w:val="0"/>
          <w:sz w:val="22"/>
          <w:szCs w:val="22"/>
        </w:rPr>
      </w:pPr>
      <w:hyperlink w:anchor="_Toc11407974" w:history="1">
        <w:r w:rsidR="00EC5E16" w:rsidRPr="00BF2102">
          <w:rPr>
            <w:rStyle w:val="Hyperlink"/>
            <w:rFonts w:cs="Open Sans"/>
            <w:iCs/>
          </w:rPr>
          <w:t>(c)</w:t>
        </w:r>
        <w:r w:rsidR="00EC5E16" w:rsidRPr="00BF2102">
          <w:rPr>
            <w:rFonts w:asciiTheme="minorHAnsi" w:eastAsiaTheme="minorEastAsia" w:hAnsiTheme="minorHAnsi" w:cstheme="minorBidi"/>
            <w:i w:val="0"/>
            <w:sz w:val="22"/>
            <w:szCs w:val="22"/>
          </w:rPr>
          <w:tab/>
        </w:r>
        <w:r w:rsidR="00EC5E16" w:rsidRPr="00BF2102">
          <w:rPr>
            <w:rStyle w:val="Hyperlink"/>
            <w:rFonts w:cs="Open Sans"/>
            <w:iCs/>
          </w:rPr>
          <w:t>Judicial review</w:t>
        </w:r>
        <w:r w:rsidR="00EC5E16" w:rsidRPr="00BF2102">
          <w:rPr>
            <w:webHidden/>
          </w:rPr>
          <w:tab/>
        </w:r>
        <w:r w:rsidR="00EC5E16" w:rsidRPr="00BF2102">
          <w:rPr>
            <w:webHidden/>
          </w:rPr>
          <w:fldChar w:fldCharType="begin"/>
        </w:r>
        <w:r w:rsidR="00EC5E16" w:rsidRPr="00BF2102">
          <w:rPr>
            <w:webHidden/>
          </w:rPr>
          <w:instrText xml:space="preserve"> PAGEREF _Toc11407974 \h </w:instrText>
        </w:r>
        <w:r w:rsidR="00EC5E16" w:rsidRPr="00BF2102">
          <w:rPr>
            <w:webHidden/>
          </w:rPr>
        </w:r>
        <w:r w:rsidR="00EC5E16" w:rsidRPr="00BF2102">
          <w:rPr>
            <w:webHidden/>
          </w:rPr>
          <w:fldChar w:fldCharType="separate"/>
        </w:r>
        <w:r>
          <w:rPr>
            <w:webHidden/>
          </w:rPr>
          <w:t>43</w:t>
        </w:r>
        <w:r w:rsidR="00EC5E16" w:rsidRPr="00BF2102">
          <w:rPr>
            <w:webHidden/>
          </w:rPr>
          <w:fldChar w:fldCharType="end"/>
        </w:r>
      </w:hyperlink>
    </w:p>
    <w:p w14:paraId="659E7F1E" w14:textId="16027D69" w:rsidR="00EC5E16" w:rsidRPr="00BF2102" w:rsidRDefault="000E5D23">
      <w:pPr>
        <w:pStyle w:val="TOC2"/>
        <w:rPr>
          <w:rFonts w:asciiTheme="minorHAnsi" w:eastAsiaTheme="minorEastAsia" w:hAnsiTheme="minorHAnsi" w:cstheme="minorBidi"/>
          <w:b w:val="0"/>
          <w:i w:val="0"/>
          <w:sz w:val="22"/>
          <w:szCs w:val="22"/>
        </w:rPr>
      </w:pPr>
      <w:hyperlink w:anchor="_Toc11407975" w:history="1">
        <w:r w:rsidR="00EC5E16" w:rsidRPr="00BF2102">
          <w:rPr>
            <w:rStyle w:val="Hyperlink"/>
            <w:rFonts w:cs="Open Sans"/>
          </w:rPr>
          <w:t>6.3</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Ambiguity of prohibited conduct—‘in the service of’</w:t>
        </w:r>
        <w:r w:rsidR="00EC5E16" w:rsidRPr="00BF2102">
          <w:rPr>
            <w:webHidden/>
          </w:rPr>
          <w:tab/>
        </w:r>
        <w:r w:rsidR="00EC5E16" w:rsidRPr="00BF2102">
          <w:rPr>
            <w:webHidden/>
          </w:rPr>
          <w:fldChar w:fldCharType="begin"/>
        </w:r>
        <w:r w:rsidR="00EC5E16" w:rsidRPr="00BF2102">
          <w:rPr>
            <w:webHidden/>
          </w:rPr>
          <w:instrText xml:space="preserve"> PAGEREF _Toc11407975 \h </w:instrText>
        </w:r>
        <w:r w:rsidR="00EC5E16" w:rsidRPr="00BF2102">
          <w:rPr>
            <w:webHidden/>
          </w:rPr>
        </w:r>
        <w:r w:rsidR="00EC5E16" w:rsidRPr="00BF2102">
          <w:rPr>
            <w:webHidden/>
          </w:rPr>
          <w:fldChar w:fldCharType="separate"/>
        </w:r>
        <w:r>
          <w:rPr>
            <w:webHidden/>
          </w:rPr>
          <w:t>43</w:t>
        </w:r>
        <w:r w:rsidR="00EC5E16" w:rsidRPr="00BF2102">
          <w:rPr>
            <w:webHidden/>
          </w:rPr>
          <w:fldChar w:fldCharType="end"/>
        </w:r>
      </w:hyperlink>
    </w:p>
    <w:p w14:paraId="0C7F87A8" w14:textId="12632D12" w:rsidR="00EC5E16" w:rsidRPr="00BF2102" w:rsidRDefault="000E5D23">
      <w:pPr>
        <w:pStyle w:val="TOC2"/>
        <w:rPr>
          <w:rFonts w:asciiTheme="minorHAnsi" w:eastAsiaTheme="minorEastAsia" w:hAnsiTheme="minorHAnsi" w:cstheme="minorBidi"/>
          <w:b w:val="0"/>
          <w:i w:val="0"/>
          <w:sz w:val="22"/>
          <w:szCs w:val="22"/>
        </w:rPr>
      </w:pPr>
      <w:hyperlink w:anchor="_Toc11407976" w:history="1">
        <w:r w:rsidR="00EC5E16" w:rsidRPr="00BF2102">
          <w:rPr>
            <w:rStyle w:val="Hyperlink"/>
            <w:rFonts w:cs="Open Sans"/>
          </w:rPr>
          <w:t>6.4</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Impact on children</w:t>
        </w:r>
        <w:r w:rsidR="00EC5E16" w:rsidRPr="00BF2102">
          <w:rPr>
            <w:webHidden/>
          </w:rPr>
          <w:tab/>
        </w:r>
        <w:r w:rsidR="00EC5E16" w:rsidRPr="00BF2102">
          <w:rPr>
            <w:webHidden/>
          </w:rPr>
          <w:fldChar w:fldCharType="begin"/>
        </w:r>
        <w:r w:rsidR="00EC5E16" w:rsidRPr="00BF2102">
          <w:rPr>
            <w:webHidden/>
          </w:rPr>
          <w:instrText xml:space="preserve"> PAGEREF _Toc11407976 \h </w:instrText>
        </w:r>
        <w:r w:rsidR="00EC5E16" w:rsidRPr="00BF2102">
          <w:rPr>
            <w:webHidden/>
          </w:rPr>
        </w:r>
        <w:r w:rsidR="00EC5E16" w:rsidRPr="00BF2102">
          <w:rPr>
            <w:webHidden/>
          </w:rPr>
          <w:fldChar w:fldCharType="separate"/>
        </w:r>
        <w:r>
          <w:rPr>
            <w:webHidden/>
          </w:rPr>
          <w:t>45</w:t>
        </w:r>
        <w:r w:rsidR="00EC5E16" w:rsidRPr="00BF2102">
          <w:rPr>
            <w:webHidden/>
          </w:rPr>
          <w:fldChar w:fldCharType="end"/>
        </w:r>
      </w:hyperlink>
    </w:p>
    <w:p w14:paraId="1383DEC6" w14:textId="72CCDA8A" w:rsidR="00EC5E16" w:rsidRPr="00BF2102" w:rsidRDefault="000E5D23">
      <w:pPr>
        <w:pStyle w:val="TOC2"/>
        <w:rPr>
          <w:rFonts w:asciiTheme="minorHAnsi" w:eastAsiaTheme="minorEastAsia" w:hAnsiTheme="minorHAnsi" w:cstheme="minorBidi"/>
          <w:b w:val="0"/>
          <w:i w:val="0"/>
          <w:sz w:val="22"/>
          <w:szCs w:val="22"/>
        </w:rPr>
      </w:pPr>
      <w:hyperlink w:anchor="_Toc11407977" w:history="1">
        <w:r w:rsidR="00EC5E16" w:rsidRPr="00BF2102">
          <w:rPr>
            <w:rStyle w:val="Hyperlink"/>
            <w:rFonts w:cs="Open Sans"/>
          </w:rPr>
          <w:t>6.5</w:t>
        </w:r>
        <w:r w:rsidR="00EC5E16" w:rsidRPr="00BF2102">
          <w:rPr>
            <w:rFonts w:asciiTheme="minorHAnsi" w:eastAsiaTheme="minorEastAsia" w:hAnsiTheme="minorHAnsi" w:cstheme="minorBidi"/>
            <w:b w:val="0"/>
            <w:i w:val="0"/>
            <w:sz w:val="22"/>
            <w:szCs w:val="22"/>
          </w:rPr>
          <w:tab/>
        </w:r>
        <w:r w:rsidR="00EC5E16" w:rsidRPr="00BF2102">
          <w:rPr>
            <w:rStyle w:val="Hyperlink"/>
            <w:rFonts w:cs="Open Sans"/>
          </w:rPr>
          <w:t>Retrospectivity</w:t>
        </w:r>
        <w:r w:rsidR="00EC5E16" w:rsidRPr="00BF2102">
          <w:rPr>
            <w:webHidden/>
          </w:rPr>
          <w:tab/>
        </w:r>
        <w:r w:rsidR="00EC5E16" w:rsidRPr="00BF2102">
          <w:rPr>
            <w:webHidden/>
          </w:rPr>
          <w:fldChar w:fldCharType="begin"/>
        </w:r>
        <w:r w:rsidR="00EC5E16" w:rsidRPr="00BF2102">
          <w:rPr>
            <w:webHidden/>
          </w:rPr>
          <w:instrText xml:space="preserve"> PAGEREF _Toc11407977 \h </w:instrText>
        </w:r>
        <w:r w:rsidR="00EC5E16" w:rsidRPr="00BF2102">
          <w:rPr>
            <w:webHidden/>
          </w:rPr>
        </w:r>
        <w:r w:rsidR="00EC5E16" w:rsidRPr="00BF2102">
          <w:rPr>
            <w:webHidden/>
          </w:rPr>
          <w:fldChar w:fldCharType="separate"/>
        </w:r>
        <w:r>
          <w:rPr>
            <w:webHidden/>
          </w:rPr>
          <w:t>48</w:t>
        </w:r>
        <w:r w:rsidR="00EC5E16" w:rsidRPr="00BF2102">
          <w:rPr>
            <w:webHidden/>
          </w:rPr>
          <w:fldChar w:fldCharType="end"/>
        </w:r>
      </w:hyperlink>
    </w:p>
    <w:p w14:paraId="3CFC78F0" w14:textId="3D68FD69" w:rsidR="00383A7B" w:rsidRPr="00BF2102" w:rsidRDefault="000B5B68" w:rsidP="00383A7B">
      <w:pPr>
        <w:pStyle w:val="Heading1"/>
        <w:numPr>
          <w:ilvl w:val="0"/>
          <w:numId w:val="0"/>
        </w:numPr>
        <w:ind w:left="851" w:hanging="851"/>
        <w:rPr>
          <w:rFonts w:cs="Open Sans"/>
          <w:b w:val="0"/>
          <w:bCs w:val="0"/>
        </w:rPr>
      </w:pPr>
      <w:r w:rsidRPr="00BF2102">
        <w:rPr>
          <w:rFonts w:cs="Open Sans"/>
        </w:rPr>
        <w:fldChar w:fldCharType="end"/>
      </w:r>
      <w:bookmarkStart w:id="36" w:name="_Toc207761830"/>
      <w:bookmarkStart w:id="37" w:name="_Toc209578266"/>
      <w:bookmarkStart w:id="38" w:name="_Toc209941766"/>
      <w:r w:rsidR="00383A7B" w:rsidRPr="00BF2102">
        <w:rPr>
          <w:rFonts w:cs="Open Sans"/>
        </w:rPr>
        <w:br w:type="page"/>
      </w:r>
    </w:p>
    <w:p w14:paraId="452943D6" w14:textId="7236D7AA" w:rsidR="00510390" w:rsidRPr="00BF2102" w:rsidRDefault="009F2764" w:rsidP="00A27ABE">
      <w:pPr>
        <w:pStyle w:val="Heading1"/>
        <w:rPr>
          <w:rFonts w:cs="Open Sans"/>
        </w:rPr>
      </w:pPr>
      <w:bookmarkStart w:id="39" w:name="_Toc11407953"/>
      <w:r w:rsidRPr="00BF2102">
        <w:rPr>
          <w:rFonts w:cs="Open Sans"/>
        </w:rPr>
        <w:lastRenderedPageBreak/>
        <w:t>Introduction</w:t>
      </w:r>
      <w:bookmarkEnd w:id="36"/>
      <w:bookmarkEnd w:id="37"/>
      <w:bookmarkEnd w:id="38"/>
      <w:bookmarkEnd w:id="39"/>
    </w:p>
    <w:p w14:paraId="5B1C371E" w14:textId="69343C3D" w:rsidR="0076601B" w:rsidRPr="00BF2102" w:rsidRDefault="0076601B" w:rsidP="00310D03">
      <w:pPr>
        <w:pStyle w:val="ListNumber"/>
        <w:numPr>
          <w:ilvl w:val="0"/>
          <w:numId w:val="15"/>
        </w:numPr>
        <w:tabs>
          <w:tab w:val="num" w:pos="993"/>
          <w:tab w:val="left" w:pos="1418"/>
        </w:tabs>
        <w:ind w:left="709" w:hanging="567"/>
        <w:rPr>
          <w:rFonts w:cs="Open Sans"/>
        </w:rPr>
      </w:pPr>
      <w:r w:rsidRPr="00BF2102">
        <w:rPr>
          <w:rFonts w:cs="Open Sans"/>
        </w:rPr>
        <w:t>The Australian Human Rights Commission welcomes the opportunity to make this submission to the Independent National Security Legislation Monitor (INSLM) with respect to its review of the operation, effectiveness and implications of</w:t>
      </w:r>
      <w:r w:rsidR="00496A5A" w:rsidRPr="00BF2102">
        <w:rPr>
          <w:rFonts w:cs="Open Sans"/>
        </w:rPr>
        <w:t xml:space="preserve"> ss 33AA, 35, 35AA and 35A of</w:t>
      </w:r>
      <w:r w:rsidRPr="00BF2102">
        <w:rPr>
          <w:rFonts w:cs="Open Sans"/>
        </w:rPr>
        <w:t xml:space="preserve"> the </w:t>
      </w:r>
      <w:r w:rsidRPr="00BF2102">
        <w:rPr>
          <w:rFonts w:cs="Open Sans"/>
          <w:i/>
        </w:rPr>
        <w:t>Australian Citizenship Act 2007</w:t>
      </w:r>
      <w:r w:rsidRPr="00BF2102">
        <w:rPr>
          <w:rFonts w:cs="Open Sans"/>
        </w:rPr>
        <w:t xml:space="preserve"> (Cth) (</w:t>
      </w:r>
      <w:r w:rsidR="007D6ED5" w:rsidRPr="00BF2102">
        <w:rPr>
          <w:rFonts w:cs="Open Sans"/>
        </w:rPr>
        <w:t xml:space="preserve">the </w:t>
      </w:r>
      <w:r w:rsidRPr="00BF2102">
        <w:rPr>
          <w:rFonts w:cs="Open Sans"/>
        </w:rPr>
        <w:t>Citizenship Act).</w:t>
      </w:r>
    </w:p>
    <w:p w14:paraId="647B5396" w14:textId="6F849674" w:rsidR="00DA3CCA" w:rsidRPr="00BF2102" w:rsidRDefault="00496A5A" w:rsidP="00310D03">
      <w:pPr>
        <w:pStyle w:val="ListNumber"/>
        <w:numPr>
          <w:ilvl w:val="0"/>
          <w:numId w:val="15"/>
        </w:numPr>
        <w:tabs>
          <w:tab w:val="num" w:pos="993"/>
          <w:tab w:val="left" w:pos="1418"/>
        </w:tabs>
        <w:ind w:left="709" w:hanging="567"/>
        <w:rPr>
          <w:rFonts w:cs="Open Sans"/>
        </w:rPr>
      </w:pPr>
      <w:r w:rsidRPr="00BF2102">
        <w:rPr>
          <w:rFonts w:cs="Open Sans"/>
        </w:rPr>
        <w:t xml:space="preserve">These provisions </w:t>
      </w:r>
      <w:r w:rsidR="00EB7847" w:rsidRPr="00BF2102">
        <w:rPr>
          <w:rFonts w:cs="Open Sans"/>
        </w:rPr>
        <w:t xml:space="preserve">govern </w:t>
      </w:r>
      <w:r w:rsidRPr="00BF2102">
        <w:rPr>
          <w:rFonts w:cs="Open Sans"/>
        </w:rPr>
        <w:t>certain</w:t>
      </w:r>
      <w:r w:rsidR="00EB7847" w:rsidRPr="00BF2102">
        <w:rPr>
          <w:rFonts w:cs="Open Sans"/>
        </w:rPr>
        <w:t xml:space="preserve"> circumstances in which dual citizens can </w:t>
      </w:r>
      <w:r w:rsidR="00FE3F8A" w:rsidRPr="00BF2102">
        <w:rPr>
          <w:rFonts w:cs="Open Sans"/>
        </w:rPr>
        <w:t xml:space="preserve">lose </w:t>
      </w:r>
      <w:r w:rsidR="00EB7847" w:rsidRPr="00BF2102">
        <w:rPr>
          <w:rFonts w:cs="Open Sans"/>
        </w:rPr>
        <w:t>their Australian citizenship</w:t>
      </w:r>
      <w:r w:rsidR="00474651" w:rsidRPr="00BF2102">
        <w:rPr>
          <w:rFonts w:cs="Open Sans"/>
        </w:rPr>
        <w:t xml:space="preserve"> for </w:t>
      </w:r>
      <w:r w:rsidR="00253E3F" w:rsidRPr="00BF2102">
        <w:rPr>
          <w:rFonts w:cs="Open Sans"/>
        </w:rPr>
        <w:t xml:space="preserve">particular </w:t>
      </w:r>
      <w:r w:rsidR="00474651" w:rsidRPr="00BF2102">
        <w:rPr>
          <w:rFonts w:cs="Open Sans"/>
        </w:rPr>
        <w:t>terrorism</w:t>
      </w:r>
      <w:r w:rsidRPr="00BF2102">
        <w:rPr>
          <w:rFonts w:cs="Open Sans"/>
        </w:rPr>
        <w:t>-</w:t>
      </w:r>
      <w:r w:rsidR="00474651" w:rsidRPr="00BF2102">
        <w:rPr>
          <w:rFonts w:cs="Open Sans"/>
        </w:rPr>
        <w:t>related</w:t>
      </w:r>
      <w:r w:rsidR="006E4940" w:rsidRPr="00BF2102">
        <w:rPr>
          <w:rFonts w:cs="Open Sans"/>
        </w:rPr>
        <w:t xml:space="preserve"> conduct</w:t>
      </w:r>
      <w:r w:rsidR="00EB7847" w:rsidRPr="00BF2102">
        <w:rPr>
          <w:rFonts w:cs="Open Sans"/>
        </w:rPr>
        <w:t>.</w:t>
      </w:r>
    </w:p>
    <w:p w14:paraId="15F2017D" w14:textId="60D3ABEB" w:rsidR="0076601B" w:rsidRPr="00BF2102" w:rsidRDefault="00EB7847" w:rsidP="00310D03">
      <w:pPr>
        <w:pStyle w:val="ListNumber"/>
        <w:numPr>
          <w:ilvl w:val="0"/>
          <w:numId w:val="15"/>
        </w:numPr>
        <w:tabs>
          <w:tab w:val="num" w:pos="993"/>
          <w:tab w:val="left" w:pos="1418"/>
        </w:tabs>
        <w:ind w:left="709" w:hanging="567"/>
        <w:rPr>
          <w:rFonts w:cs="Open Sans"/>
        </w:rPr>
      </w:pPr>
      <w:r w:rsidRPr="00BF2102">
        <w:rPr>
          <w:rFonts w:cs="Open Sans"/>
        </w:rPr>
        <w:t xml:space="preserve">The provisions were inserted into the Citizenship Act by the </w:t>
      </w:r>
      <w:r w:rsidRPr="00BF2102">
        <w:rPr>
          <w:rFonts w:cs="Open Sans"/>
          <w:i/>
        </w:rPr>
        <w:t xml:space="preserve">Australian Citizenship Amendment (Allegiance to Australia) </w:t>
      </w:r>
      <w:r w:rsidR="00840623" w:rsidRPr="00BF2102">
        <w:rPr>
          <w:rFonts w:cs="Open Sans"/>
          <w:i/>
        </w:rPr>
        <w:t>Act</w:t>
      </w:r>
      <w:r w:rsidRPr="00BF2102">
        <w:rPr>
          <w:rFonts w:cs="Open Sans"/>
          <w:i/>
        </w:rPr>
        <w:t xml:space="preserve"> 2015</w:t>
      </w:r>
      <w:r w:rsidRPr="00BF2102">
        <w:rPr>
          <w:rFonts w:cs="Open Sans"/>
        </w:rPr>
        <w:t xml:space="preserve"> (Cth)</w:t>
      </w:r>
      <w:r w:rsidR="00840623" w:rsidRPr="00BF2102">
        <w:rPr>
          <w:rFonts w:cs="Open Sans"/>
        </w:rPr>
        <w:t xml:space="preserve"> (the Allegiance Act). The stated purpose of the Allegiance Act was to ‘ensure the safety and security of Australia and its people and to ensure the Australian community is limited to those persons who continue to retain an allegiance to Australia’.</w:t>
      </w:r>
      <w:r w:rsidR="00840623" w:rsidRPr="00BF2102">
        <w:rPr>
          <w:rStyle w:val="EndnoteReference"/>
          <w:rFonts w:cs="Open Sans"/>
        </w:rPr>
        <w:endnoteReference w:id="1"/>
      </w:r>
    </w:p>
    <w:p w14:paraId="002FE5E4" w14:textId="125BE1BA" w:rsidR="00DA3CCA" w:rsidRPr="00BF2102" w:rsidRDefault="00DA3CCA" w:rsidP="00310D03">
      <w:pPr>
        <w:pStyle w:val="ListNumber"/>
        <w:numPr>
          <w:ilvl w:val="0"/>
          <w:numId w:val="15"/>
        </w:numPr>
        <w:tabs>
          <w:tab w:val="num" w:pos="993"/>
          <w:tab w:val="left" w:pos="1418"/>
        </w:tabs>
        <w:ind w:left="709" w:hanging="567"/>
        <w:rPr>
          <w:rFonts w:cs="Open Sans"/>
          <w:color w:val="00B0F0"/>
        </w:rPr>
      </w:pPr>
      <w:r w:rsidRPr="00BF2102">
        <w:rPr>
          <w:rFonts w:cs="Open Sans"/>
        </w:rPr>
        <w:t xml:space="preserve">The Commission acknowledges the critical importance of protecting Australia’s national security, and the Australian community from terrorism. Enacting </w:t>
      </w:r>
      <w:r w:rsidR="00253E3F" w:rsidRPr="00BF2102">
        <w:rPr>
          <w:rFonts w:cs="Open Sans"/>
        </w:rPr>
        <w:t xml:space="preserve">appropriate </w:t>
      </w:r>
      <w:r w:rsidRPr="00BF2102">
        <w:rPr>
          <w:rFonts w:cs="Open Sans"/>
        </w:rPr>
        <w:t>measures that achieve these goals can protect human rights, including the right to life,</w:t>
      </w:r>
      <w:r w:rsidRPr="00BF2102">
        <w:rPr>
          <w:rStyle w:val="EndnoteReference"/>
          <w:rFonts w:cs="Open Sans"/>
        </w:rPr>
        <w:endnoteReference w:id="2"/>
      </w:r>
      <w:r w:rsidRPr="00BF2102">
        <w:rPr>
          <w:rFonts w:cs="Open Sans"/>
        </w:rPr>
        <w:t xml:space="preserve"> and help fulfil </w:t>
      </w:r>
      <w:r w:rsidR="003F53C4" w:rsidRPr="00BF2102">
        <w:rPr>
          <w:rFonts w:cs="Open Sans"/>
        </w:rPr>
        <w:t>our</w:t>
      </w:r>
      <w:r w:rsidRPr="00BF2102">
        <w:rPr>
          <w:rFonts w:cs="Open Sans"/>
        </w:rPr>
        <w:t xml:space="preserve"> international law obligations.</w:t>
      </w:r>
      <w:r w:rsidRPr="00BF2102">
        <w:rPr>
          <w:rStyle w:val="EndnoteReference"/>
          <w:rFonts w:cs="Open Sans"/>
        </w:rPr>
        <w:endnoteReference w:id="3"/>
      </w:r>
      <w:r w:rsidRPr="00BF2102">
        <w:rPr>
          <w:rFonts w:cs="Open Sans"/>
        </w:rPr>
        <w:t xml:space="preserve"> </w:t>
      </w:r>
    </w:p>
    <w:p w14:paraId="73C204DC" w14:textId="50FDBC6D" w:rsidR="00496A5A" w:rsidRPr="00BF2102" w:rsidRDefault="00253E3F" w:rsidP="00310D03">
      <w:pPr>
        <w:pStyle w:val="ListNumber"/>
        <w:numPr>
          <w:ilvl w:val="0"/>
          <w:numId w:val="15"/>
        </w:numPr>
        <w:tabs>
          <w:tab w:val="num" w:pos="993"/>
          <w:tab w:val="left" w:pos="1418"/>
        </w:tabs>
        <w:ind w:left="709" w:hanging="567"/>
        <w:rPr>
          <w:rFonts w:cs="Open Sans"/>
          <w:color w:val="00B0F0"/>
        </w:rPr>
      </w:pPr>
      <w:r w:rsidRPr="00BF2102">
        <w:rPr>
          <w:rFonts w:cs="Open Sans"/>
        </w:rPr>
        <w:t xml:space="preserve">Australian’s counter-terrorism framework must address </w:t>
      </w:r>
      <w:r w:rsidR="00630335" w:rsidRPr="00BF2102">
        <w:rPr>
          <w:rFonts w:cs="Open Sans"/>
        </w:rPr>
        <w:t>the real and complex threat of terrorism</w:t>
      </w:r>
      <w:r w:rsidR="005E5944" w:rsidRPr="00BF2102">
        <w:rPr>
          <w:rFonts w:cs="Open Sans"/>
        </w:rPr>
        <w:t xml:space="preserve">, </w:t>
      </w:r>
      <w:r w:rsidRPr="00BF2102">
        <w:rPr>
          <w:rFonts w:cs="Open Sans"/>
        </w:rPr>
        <w:t xml:space="preserve">in a way that </w:t>
      </w:r>
      <w:r w:rsidR="00032709" w:rsidRPr="00BF2102">
        <w:rPr>
          <w:rFonts w:cs="Open Sans"/>
        </w:rPr>
        <w:t>uphold</w:t>
      </w:r>
      <w:r w:rsidRPr="00BF2102">
        <w:rPr>
          <w:rFonts w:cs="Open Sans"/>
        </w:rPr>
        <w:t>s</w:t>
      </w:r>
      <w:r w:rsidR="00032709" w:rsidRPr="00BF2102">
        <w:rPr>
          <w:rFonts w:cs="Open Sans"/>
        </w:rPr>
        <w:t xml:space="preserve"> the</w:t>
      </w:r>
      <w:r w:rsidR="00B73431" w:rsidRPr="00BF2102">
        <w:rPr>
          <w:rFonts w:cs="Open Sans"/>
        </w:rPr>
        <w:t xml:space="preserve"> </w:t>
      </w:r>
      <w:r w:rsidR="00032709" w:rsidRPr="00BF2102">
        <w:rPr>
          <w:rFonts w:cs="Open Sans"/>
        </w:rPr>
        <w:t>fundamental human rights of</w:t>
      </w:r>
      <w:r w:rsidR="00B73431" w:rsidRPr="00BF2102">
        <w:rPr>
          <w:rFonts w:cs="Open Sans"/>
        </w:rPr>
        <w:t xml:space="preserve"> Australian</w:t>
      </w:r>
      <w:r w:rsidR="00032709" w:rsidRPr="00BF2102">
        <w:rPr>
          <w:rFonts w:cs="Open Sans"/>
        </w:rPr>
        <w:t xml:space="preserve">s and </w:t>
      </w:r>
      <w:r w:rsidR="00E56256" w:rsidRPr="00BF2102">
        <w:rPr>
          <w:rFonts w:cs="Open Sans"/>
        </w:rPr>
        <w:t xml:space="preserve">the </w:t>
      </w:r>
      <w:r w:rsidR="00032709" w:rsidRPr="00BF2102">
        <w:rPr>
          <w:rFonts w:cs="Open Sans"/>
        </w:rPr>
        <w:t>rule of law</w:t>
      </w:r>
      <w:r w:rsidR="005D3E98" w:rsidRPr="00BF2102">
        <w:rPr>
          <w:rFonts w:cs="Open Sans"/>
        </w:rPr>
        <w:t>.</w:t>
      </w:r>
      <w:r w:rsidRPr="00BF2102">
        <w:rPr>
          <w:rFonts w:cs="Open Sans"/>
        </w:rPr>
        <w:t xml:space="preserve"> This can be a difficult task, but it is critical to ensuring that our laws achieve their primary aim without unintended consequences. </w:t>
      </w:r>
    </w:p>
    <w:p w14:paraId="16ACD2E7" w14:textId="7CF9D1B4" w:rsidR="00496A5A" w:rsidRPr="00BF2102" w:rsidRDefault="00496A5A" w:rsidP="00310D03">
      <w:pPr>
        <w:pStyle w:val="ListNumber"/>
        <w:numPr>
          <w:ilvl w:val="0"/>
          <w:numId w:val="15"/>
        </w:numPr>
        <w:tabs>
          <w:tab w:val="num" w:pos="993"/>
          <w:tab w:val="left" w:pos="1418"/>
        </w:tabs>
        <w:ind w:left="709" w:hanging="567"/>
        <w:rPr>
          <w:rFonts w:cs="Open Sans"/>
        </w:rPr>
      </w:pPr>
      <w:r w:rsidRPr="00BF2102">
        <w:rPr>
          <w:rFonts w:cs="Open Sans"/>
        </w:rPr>
        <w:t xml:space="preserve">This is especially so when the </w:t>
      </w:r>
      <w:r w:rsidR="0042523F" w:rsidRPr="00BF2102">
        <w:rPr>
          <w:rFonts w:cs="Open Sans"/>
        </w:rPr>
        <w:t xml:space="preserve">provisions </w:t>
      </w:r>
      <w:r w:rsidR="003422C2" w:rsidRPr="00BF2102">
        <w:rPr>
          <w:rFonts w:cs="Open Sans"/>
        </w:rPr>
        <w:t>apply to the conduct of</w:t>
      </w:r>
      <w:r w:rsidR="00445841" w:rsidRPr="00BF2102">
        <w:rPr>
          <w:rFonts w:cs="Open Sans"/>
        </w:rPr>
        <w:t xml:space="preserve"> Australian citizens, including</w:t>
      </w:r>
      <w:r w:rsidRPr="00BF2102">
        <w:rPr>
          <w:rFonts w:cs="Open Sans"/>
        </w:rPr>
        <w:t xml:space="preserve"> persons with very close ties to Australia and limited connections </w:t>
      </w:r>
      <w:r w:rsidR="00445841" w:rsidRPr="00BF2102">
        <w:rPr>
          <w:rFonts w:cs="Open Sans"/>
        </w:rPr>
        <w:t>to</w:t>
      </w:r>
      <w:r w:rsidRPr="00BF2102">
        <w:rPr>
          <w:rFonts w:cs="Open Sans"/>
        </w:rPr>
        <w:t xml:space="preserve"> other countries. These </w:t>
      </w:r>
      <w:r w:rsidR="00FE3F8A" w:rsidRPr="00BF2102">
        <w:rPr>
          <w:rFonts w:cs="Open Sans"/>
        </w:rPr>
        <w:t xml:space="preserve">citizenship loss provisions </w:t>
      </w:r>
      <w:r w:rsidRPr="00BF2102">
        <w:rPr>
          <w:rFonts w:cs="Open Sans"/>
        </w:rPr>
        <w:t>can appl</w:t>
      </w:r>
      <w:r w:rsidR="003422C2" w:rsidRPr="00BF2102">
        <w:rPr>
          <w:rFonts w:cs="Open Sans"/>
        </w:rPr>
        <w:t>y</w:t>
      </w:r>
      <w:r w:rsidRPr="00BF2102">
        <w:rPr>
          <w:rFonts w:cs="Open Sans"/>
        </w:rPr>
        <w:t xml:space="preserve"> to people who are Australian by birth, who have Australian parents, and who have never lived outside Australia. Persons who solely hold Australian citizenship, rather than being dual citizens, can engage in the same conduct but not face the same consequences.</w:t>
      </w:r>
    </w:p>
    <w:p w14:paraId="4BB0C12A" w14:textId="7BC1464F" w:rsidR="00DA3CCA" w:rsidRPr="00BF2102" w:rsidRDefault="005E5944" w:rsidP="00310D03">
      <w:pPr>
        <w:pStyle w:val="ListNumber"/>
        <w:numPr>
          <w:ilvl w:val="0"/>
          <w:numId w:val="15"/>
        </w:numPr>
        <w:tabs>
          <w:tab w:val="num" w:pos="993"/>
          <w:tab w:val="left" w:pos="1418"/>
        </w:tabs>
        <w:ind w:left="709" w:hanging="567"/>
        <w:rPr>
          <w:rFonts w:cs="Open Sans"/>
          <w:color w:val="00B0F0"/>
        </w:rPr>
      </w:pPr>
      <w:r w:rsidRPr="00BF2102">
        <w:rPr>
          <w:rFonts w:cs="Open Sans"/>
        </w:rPr>
        <w:t>I</w:t>
      </w:r>
      <w:r w:rsidR="00DA3CCA" w:rsidRPr="00BF2102">
        <w:rPr>
          <w:rFonts w:cs="Open Sans"/>
        </w:rPr>
        <w:t>nternational human rights law</w:t>
      </w:r>
      <w:r w:rsidRPr="00BF2102">
        <w:rPr>
          <w:rFonts w:cs="Open Sans"/>
        </w:rPr>
        <w:t xml:space="preserve"> </w:t>
      </w:r>
      <w:r w:rsidR="00253E3F" w:rsidRPr="00BF2102">
        <w:rPr>
          <w:rFonts w:cs="Open Sans"/>
        </w:rPr>
        <w:t>requires that</w:t>
      </w:r>
      <w:r w:rsidRPr="00BF2102">
        <w:rPr>
          <w:rFonts w:cs="Open Sans"/>
        </w:rPr>
        <w:t xml:space="preserve"> </w:t>
      </w:r>
      <w:r w:rsidR="00253E3F" w:rsidRPr="00BF2102">
        <w:rPr>
          <w:rFonts w:cs="Open Sans"/>
        </w:rPr>
        <w:t>a</w:t>
      </w:r>
      <w:r w:rsidR="00DA3CCA" w:rsidRPr="00BF2102">
        <w:rPr>
          <w:rFonts w:cs="Open Sans"/>
        </w:rPr>
        <w:t>ny limitation on rights must be reasonable, necessary and proportionate</w:t>
      </w:r>
      <w:r w:rsidR="0042523F" w:rsidRPr="00BF2102">
        <w:rPr>
          <w:rFonts w:cs="Open Sans"/>
        </w:rPr>
        <w:t xml:space="preserve"> to </w:t>
      </w:r>
      <w:r w:rsidR="00253E3F" w:rsidRPr="00BF2102">
        <w:rPr>
          <w:rFonts w:cs="Open Sans"/>
        </w:rPr>
        <w:t xml:space="preserve">the achievement of </w:t>
      </w:r>
      <w:r w:rsidR="0042523F" w:rsidRPr="00BF2102">
        <w:rPr>
          <w:rFonts w:cs="Open Sans"/>
        </w:rPr>
        <w:t>a legitimate objective</w:t>
      </w:r>
      <w:r w:rsidR="00DA3CCA" w:rsidRPr="00BF2102">
        <w:rPr>
          <w:rFonts w:cs="Open Sans"/>
        </w:rPr>
        <w:t xml:space="preserve">. The Commission </w:t>
      </w:r>
      <w:r w:rsidR="00051439" w:rsidRPr="00BF2102">
        <w:rPr>
          <w:rFonts w:cs="Open Sans"/>
        </w:rPr>
        <w:t xml:space="preserve">is concerned </w:t>
      </w:r>
      <w:r w:rsidR="00DA3CCA" w:rsidRPr="00BF2102">
        <w:rPr>
          <w:rFonts w:cs="Open Sans"/>
        </w:rPr>
        <w:t>that</w:t>
      </w:r>
      <w:r w:rsidR="00051439" w:rsidRPr="00BF2102">
        <w:rPr>
          <w:rFonts w:cs="Open Sans"/>
        </w:rPr>
        <w:t xml:space="preserve"> numerous</w:t>
      </w:r>
      <w:r w:rsidR="00DA3CCA" w:rsidRPr="00BF2102">
        <w:rPr>
          <w:rFonts w:cs="Open Sans"/>
        </w:rPr>
        <w:t xml:space="preserve"> aspects of the </w:t>
      </w:r>
      <w:r w:rsidR="00525AF2" w:rsidRPr="00BF2102">
        <w:rPr>
          <w:rFonts w:cs="Open Sans"/>
        </w:rPr>
        <w:t>citizenship loss provisions</w:t>
      </w:r>
      <w:r w:rsidR="00051439" w:rsidRPr="00BF2102">
        <w:rPr>
          <w:rFonts w:cs="Open Sans"/>
        </w:rPr>
        <w:t xml:space="preserve"> </w:t>
      </w:r>
      <w:r w:rsidR="00DA3CCA" w:rsidRPr="00BF2102">
        <w:rPr>
          <w:rFonts w:cs="Open Sans"/>
        </w:rPr>
        <w:t xml:space="preserve">do not satisfy these requirements. </w:t>
      </w:r>
    </w:p>
    <w:p w14:paraId="2F750389" w14:textId="4DC269B7" w:rsidR="00DE03B2" w:rsidRPr="00BF2102" w:rsidRDefault="00EF36A0" w:rsidP="00310D03">
      <w:pPr>
        <w:pStyle w:val="ListNumber"/>
        <w:numPr>
          <w:ilvl w:val="0"/>
          <w:numId w:val="15"/>
        </w:numPr>
        <w:tabs>
          <w:tab w:val="num" w:pos="993"/>
          <w:tab w:val="left" w:pos="1418"/>
        </w:tabs>
        <w:ind w:left="709" w:hanging="567"/>
        <w:rPr>
          <w:rFonts w:cs="Open Sans"/>
        </w:rPr>
      </w:pPr>
      <w:r w:rsidRPr="00BF2102">
        <w:rPr>
          <w:rFonts w:cs="Open Sans"/>
        </w:rPr>
        <w:lastRenderedPageBreak/>
        <w:t xml:space="preserve">Involuntarily removal of citizenship is an extremely serious matter. </w:t>
      </w:r>
      <w:r w:rsidR="00253E3F" w:rsidRPr="00BF2102">
        <w:rPr>
          <w:rFonts w:cs="Open Sans"/>
        </w:rPr>
        <w:t>Our law and its antecedents ha</w:t>
      </w:r>
      <w:r w:rsidR="007F6AAA" w:rsidRPr="00BF2102">
        <w:rPr>
          <w:rFonts w:cs="Open Sans"/>
        </w:rPr>
        <w:t>ve</w:t>
      </w:r>
      <w:r w:rsidR="00253E3F" w:rsidRPr="00BF2102">
        <w:rPr>
          <w:rFonts w:cs="Open Sans"/>
        </w:rPr>
        <w:t xml:space="preserve"> long recognised this as </w:t>
      </w:r>
      <w:r w:rsidR="003422C2" w:rsidRPr="00BF2102">
        <w:rPr>
          <w:rFonts w:cs="Open Sans"/>
        </w:rPr>
        <w:t xml:space="preserve">one of </w:t>
      </w:r>
      <w:r w:rsidRPr="00BF2102">
        <w:rPr>
          <w:rFonts w:cs="Open Sans"/>
        </w:rPr>
        <w:t>the gravest administrative measure</w:t>
      </w:r>
      <w:r w:rsidR="003422C2" w:rsidRPr="00BF2102">
        <w:rPr>
          <w:rFonts w:cs="Open Sans"/>
        </w:rPr>
        <w:t>s</w:t>
      </w:r>
      <w:r w:rsidRPr="00BF2102">
        <w:rPr>
          <w:rFonts w:cs="Open Sans"/>
        </w:rPr>
        <w:t xml:space="preserve"> that a government can take</w:t>
      </w:r>
      <w:r w:rsidR="00253E3F" w:rsidRPr="00BF2102">
        <w:rPr>
          <w:rFonts w:cs="Open Sans"/>
        </w:rPr>
        <w:t xml:space="preserve">. Roman law, for example, referred to this action as </w:t>
      </w:r>
      <w:r w:rsidR="007F6AAA" w:rsidRPr="00BF2102">
        <w:rPr>
          <w:rFonts w:cs="Open Sans"/>
          <w:i/>
          <w:iCs/>
        </w:rPr>
        <w:t xml:space="preserve">civiliter </w:t>
      </w:r>
      <w:proofErr w:type="spellStart"/>
      <w:r w:rsidR="007F6AAA" w:rsidRPr="00BF2102">
        <w:rPr>
          <w:rFonts w:cs="Open Sans"/>
          <w:i/>
          <w:iCs/>
        </w:rPr>
        <w:t>mortuus</w:t>
      </w:r>
      <w:proofErr w:type="spellEnd"/>
      <w:r w:rsidR="007F6AAA" w:rsidRPr="00BF2102">
        <w:rPr>
          <w:rFonts w:cs="Open Sans"/>
          <w:i/>
          <w:iCs/>
        </w:rPr>
        <w:t xml:space="preserve"> </w:t>
      </w:r>
      <w:r w:rsidR="007F6AAA" w:rsidRPr="00BF2102">
        <w:rPr>
          <w:rFonts w:cs="Open Sans"/>
        </w:rPr>
        <w:t xml:space="preserve">or </w:t>
      </w:r>
      <w:r w:rsidRPr="00BF2102">
        <w:rPr>
          <w:rFonts w:cs="Open Sans"/>
        </w:rPr>
        <w:t xml:space="preserve">‘civil death’ for the affected person. </w:t>
      </w:r>
      <w:r w:rsidR="007F6AAA" w:rsidRPr="00BF2102">
        <w:rPr>
          <w:rFonts w:cs="Open Sans"/>
        </w:rPr>
        <w:t xml:space="preserve">Errors in the </w:t>
      </w:r>
      <w:r w:rsidR="007D6ED5" w:rsidRPr="00BF2102">
        <w:rPr>
          <w:rFonts w:cs="Open Sans"/>
        </w:rPr>
        <w:t>application of these provisions</w:t>
      </w:r>
      <w:r w:rsidR="007F6AAA" w:rsidRPr="00BF2102">
        <w:rPr>
          <w:rFonts w:cs="Open Sans"/>
        </w:rPr>
        <w:t xml:space="preserve"> could mean that</w:t>
      </w:r>
      <w:r w:rsidR="003F53C4" w:rsidRPr="00BF2102">
        <w:rPr>
          <w:rFonts w:cs="Open Sans"/>
        </w:rPr>
        <w:t xml:space="preserve"> a</w:t>
      </w:r>
      <w:r w:rsidR="00E172B1" w:rsidRPr="00BF2102">
        <w:rPr>
          <w:rFonts w:cs="Open Sans"/>
        </w:rPr>
        <w:t xml:space="preserve"> person’s right to enter and remain in their own country</w:t>
      </w:r>
      <w:r w:rsidR="00E30C27" w:rsidRPr="00BF2102">
        <w:rPr>
          <w:rFonts w:cs="Open Sans"/>
        </w:rPr>
        <w:t xml:space="preserve">, Australia, </w:t>
      </w:r>
      <w:r w:rsidR="007F6AAA" w:rsidRPr="00BF2102">
        <w:rPr>
          <w:rFonts w:cs="Open Sans"/>
        </w:rPr>
        <w:t>are</w:t>
      </w:r>
      <w:r w:rsidR="00BF2DDE" w:rsidRPr="00BF2102">
        <w:rPr>
          <w:rFonts w:cs="Open Sans"/>
        </w:rPr>
        <w:t xml:space="preserve"> seriously and arbitrarily impaired</w:t>
      </w:r>
      <w:r w:rsidR="00242BE8" w:rsidRPr="00BF2102">
        <w:rPr>
          <w:rFonts w:cs="Open Sans"/>
        </w:rPr>
        <w:t>,</w:t>
      </w:r>
      <w:r w:rsidR="00EB38A8" w:rsidRPr="00BF2102">
        <w:rPr>
          <w:rFonts w:cs="Open Sans"/>
          <w:sz w:val="22"/>
          <w:szCs w:val="22"/>
          <w:vertAlign w:val="superscript"/>
          <w:lang w:val="en"/>
        </w:rPr>
        <w:endnoteReference w:id="4"/>
      </w:r>
      <w:r w:rsidR="00242BE8" w:rsidRPr="00BF2102">
        <w:rPr>
          <w:rFonts w:cs="Open Sans"/>
        </w:rPr>
        <w:t xml:space="preserve"> having adverse consequences for numerous other human rights. Given these grave consequences, strong justification is needed to </w:t>
      </w:r>
      <w:r w:rsidR="00FB3F6C" w:rsidRPr="00BF2102">
        <w:rPr>
          <w:rFonts w:cs="Open Sans"/>
        </w:rPr>
        <w:t>support</w:t>
      </w:r>
      <w:r w:rsidR="00242BE8" w:rsidRPr="00BF2102">
        <w:rPr>
          <w:rFonts w:cs="Open Sans"/>
        </w:rPr>
        <w:t xml:space="preserve"> </w:t>
      </w:r>
      <w:r w:rsidR="00FB3F6C" w:rsidRPr="00BF2102">
        <w:rPr>
          <w:rFonts w:cs="Open Sans"/>
        </w:rPr>
        <w:t>the limitation on human rights.</w:t>
      </w:r>
    </w:p>
    <w:p w14:paraId="6E247FA9" w14:textId="77777777" w:rsidR="0036726B" w:rsidRPr="00BF2102" w:rsidRDefault="00E40308"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is </w:t>
      </w:r>
      <w:r w:rsidR="00B2232D" w:rsidRPr="00BF2102">
        <w:rPr>
          <w:rFonts w:cs="Open Sans"/>
        </w:rPr>
        <w:t xml:space="preserve">particularly </w:t>
      </w:r>
      <w:r w:rsidRPr="00BF2102">
        <w:rPr>
          <w:rFonts w:cs="Open Sans"/>
        </w:rPr>
        <w:t xml:space="preserve">concerned about the </w:t>
      </w:r>
      <w:r w:rsidR="00B2232D" w:rsidRPr="00BF2102">
        <w:rPr>
          <w:rFonts w:cs="Open Sans"/>
        </w:rPr>
        <w:t xml:space="preserve">operation of </w:t>
      </w:r>
      <w:r w:rsidRPr="00BF2102">
        <w:rPr>
          <w:rFonts w:cs="Open Sans"/>
        </w:rPr>
        <w:t>ss 33AA and 35</w:t>
      </w:r>
      <w:r w:rsidR="00EB38A8" w:rsidRPr="00BF2102">
        <w:rPr>
          <w:rFonts w:cs="Open Sans"/>
        </w:rPr>
        <w:t>,</w:t>
      </w:r>
      <w:r w:rsidR="00B2232D" w:rsidRPr="00BF2102">
        <w:rPr>
          <w:rFonts w:cs="Open Sans"/>
        </w:rPr>
        <w:t xml:space="preserve"> which permit the automatic loss of citizenship based on conduct</w:t>
      </w:r>
      <w:r w:rsidR="00462544" w:rsidRPr="00BF2102">
        <w:rPr>
          <w:rFonts w:cs="Open Sans"/>
        </w:rPr>
        <w:t xml:space="preserve"> that has not been the subject of a criminal conviction</w:t>
      </w:r>
      <w:r w:rsidR="00B2232D" w:rsidRPr="00BF2102">
        <w:rPr>
          <w:rFonts w:cs="Open Sans"/>
        </w:rPr>
        <w:t xml:space="preserve">. The threshold for losing citizenship under these provisions is much lower than under s 35A, which requires a conviction for a relevant offence and the imposition of a sentence </w:t>
      </w:r>
      <w:r w:rsidR="00534EE9" w:rsidRPr="00BF2102">
        <w:rPr>
          <w:rFonts w:cs="Open Sans"/>
        </w:rPr>
        <w:t xml:space="preserve">of imprisonment </w:t>
      </w:r>
      <w:r w:rsidR="00B2232D" w:rsidRPr="00BF2102">
        <w:rPr>
          <w:rFonts w:cs="Open Sans"/>
        </w:rPr>
        <w:t xml:space="preserve">of at least </w:t>
      </w:r>
      <w:r w:rsidR="000A784E" w:rsidRPr="00BF2102">
        <w:rPr>
          <w:rFonts w:cs="Open Sans"/>
        </w:rPr>
        <w:t>six</w:t>
      </w:r>
      <w:r w:rsidR="00B2232D" w:rsidRPr="00BF2102">
        <w:rPr>
          <w:rFonts w:cs="Open Sans"/>
        </w:rPr>
        <w:t xml:space="preserve"> years. </w:t>
      </w:r>
    </w:p>
    <w:p w14:paraId="5C9B6BA7" w14:textId="7BD2A1FB" w:rsidR="00E40308" w:rsidRPr="00BF2102" w:rsidRDefault="00B2232D" w:rsidP="00310D03">
      <w:pPr>
        <w:pStyle w:val="ListNumber"/>
        <w:numPr>
          <w:ilvl w:val="0"/>
          <w:numId w:val="15"/>
        </w:numPr>
        <w:tabs>
          <w:tab w:val="num" w:pos="993"/>
          <w:tab w:val="left" w:pos="1418"/>
        </w:tabs>
        <w:ind w:left="709" w:hanging="567"/>
        <w:rPr>
          <w:rFonts w:cs="Open Sans"/>
        </w:rPr>
      </w:pPr>
      <w:r w:rsidRPr="00BF2102">
        <w:rPr>
          <w:rFonts w:cs="Open Sans"/>
        </w:rPr>
        <w:t>By contrast, the conduct-based provisions</w:t>
      </w:r>
      <w:r w:rsidR="00237362" w:rsidRPr="00BF2102">
        <w:rPr>
          <w:rFonts w:cs="Open Sans"/>
        </w:rPr>
        <w:t xml:space="preserve"> do not have any relevant objective measure of gravity attaching to them. Further, the </w:t>
      </w:r>
      <w:r w:rsidR="00534EE9" w:rsidRPr="00BF2102">
        <w:rPr>
          <w:rFonts w:cs="Open Sans"/>
        </w:rPr>
        <w:t xml:space="preserve">conduct-based </w:t>
      </w:r>
      <w:r w:rsidR="00237362" w:rsidRPr="00BF2102">
        <w:rPr>
          <w:rFonts w:cs="Open Sans"/>
        </w:rPr>
        <w:t xml:space="preserve">provisions operate automatically </w:t>
      </w:r>
      <w:r w:rsidRPr="00BF2102">
        <w:rPr>
          <w:rFonts w:cs="Open Sans"/>
        </w:rPr>
        <w:t xml:space="preserve">without any </w:t>
      </w:r>
      <w:r w:rsidR="00237362" w:rsidRPr="00BF2102">
        <w:rPr>
          <w:rFonts w:cs="Open Sans"/>
        </w:rPr>
        <w:t xml:space="preserve">requirement for </w:t>
      </w:r>
      <w:r w:rsidRPr="00BF2102">
        <w:rPr>
          <w:rFonts w:cs="Open Sans"/>
        </w:rPr>
        <w:t xml:space="preserve">an officer of the Commonwealth </w:t>
      </w:r>
      <w:r w:rsidR="00237362" w:rsidRPr="00BF2102">
        <w:rPr>
          <w:rFonts w:cs="Open Sans"/>
        </w:rPr>
        <w:t xml:space="preserve">to consider whether </w:t>
      </w:r>
      <w:r w:rsidRPr="00BF2102">
        <w:rPr>
          <w:rFonts w:cs="Open Sans"/>
        </w:rPr>
        <w:t xml:space="preserve">loss of citizenship is warranted in all </w:t>
      </w:r>
      <w:r w:rsidR="00EB38A8" w:rsidRPr="00BF2102">
        <w:rPr>
          <w:rFonts w:cs="Open Sans"/>
        </w:rPr>
        <w:t xml:space="preserve">of </w:t>
      </w:r>
      <w:r w:rsidRPr="00BF2102">
        <w:rPr>
          <w:rFonts w:cs="Open Sans"/>
        </w:rPr>
        <w:t xml:space="preserve">the circumstances. </w:t>
      </w:r>
      <w:r w:rsidR="002F137C" w:rsidRPr="00BF2102">
        <w:rPr>
          <w:rFonts w:cs="Open Sans"/>
        </w:rPr>
        <w:t>For example, some of the conduct may not necessarily demonstrate a person’s repudiation of allegiance</w:t>
      </w:r>
      <w:r w:rsidR="00B62F64" w:rsidRPr="00BF2102">
        <w:rPr>
          <w:rFonts w:cs="Open Sans"/>
        </w:rPr>
        <w:t xml:space="preserve"> to Australia</w:t>
      </w:r>
      <w:r w:rsidR="002F137C" w:rsidRPr="00BF2102">
        <w:rPr>
          <w:rFonts w:cs="Open Sans"/>
        </w:rPr>
        <w:t>.</w:t>
      </w:r>
    </w:p>
    <w:p w14:paraId="25AD5EE4" w14:textId="6D91811F" w:rsidR="00237362" w:rsidRPr="00BF2102" w:rsidRDefault="00237362" w:rsidP="00310D03">
      <w:pPr>
        <w:pStyle w:val="ListNumber"/>
        <w:numPr>
          <w:ilvl w:val="0"/>
          <w:numId w:val="15"/>
        </w:numPr>
        <w:tabs>
          <w:tab w:val="num" w:pos="993"/>
          <w:tab w:val="left" w:pos="1418"/>
        </w:tabs>
        <w:ind w:left="709" w:hanging="567"/>
        <w:rPr>
          <w:rFonts w:cs="Open Sans"/>
        </w:rPr>
      </w:pPr>
      <w:r w:rsidRPr="00BF2102">
        <w:rPr>
          <w:rFonts w:cs="Open Sans"/>
        </w:rPr>
        <w:t>There are real problems with the certainty and transparency of the</w:t>
      </w:r>
      <w:r w:rsidR="00534EE9" w:rsidRPr="00BF2102">
        <w:rPr>
          <w:rFonts w:cs="Open Sans"/>
        </w:rPr>
        <w:t xml:space="preserve"> conduct-based</w:t>
      </w:r>
      <w:r w:rsidRPr="00BF2102">
        <w:rPr>
          <w:rFonts w:cs="Open Sans"/>
        </w:rPr>
        <w:t xml:space="preserve"> provisions.</w:t>
      </w:r>
      <w:r w:rsidR="004A7305" w:rsidRPr="00BF2102">
        <w:rPr>
          <w:rFonts w:cs="Open Sans"/>
        </w:rPr>
        <w:t xml:space="preserve"> They have the effect of automatically ceasing a person’s citizenship by operation of law.</w:t>
      </w:r>
      <w:r w:rsidRPr="00BF2102">
        <w:rPr>
          <w:rFonts w:cs="Open Sans"/>
        </w:rPr>
        <w:t xml:space="preserve"> Because no</w:t>
      </w:r>
      <w:r w:rsidR="004A7305" w:rsidRPr="00BF2102">
        <w:rPr>
          <w:rFonts w:cs="Open Sans"/>
        </w:rPr>
        <w:t xml:space="preserve"> formal</w:t>
      </w:r>
      <w:r w:rsidRPr="00BF2102">
        <w:rPr>
          <w:rFonts w:cs="Open Sans"/>
        </w:rPr>
        <w:t xml:space="preserve"> decision is ever made that citizenship has been lost, </w:t>
      </w:r>
      <w:r w:rsidR="004A7305" w:rsidRPr="00BF2102">
        <w:rPr>
          <w:rFonts w:cs="Open Sans"/>
        </w:rPr>
        <w:t xml:space="preserve">let alone following a hearing before a court, </w:t>
      </w:r>
      <w:r w:rsidRPr="00BF2102">
        <w:rPr>
          <w:rFonts w:cs="Open Sans"/>
        </w:rPr>
        <w:t xml:space="preserve">there is a lack of certainty about if and when the provisions actually apply. </w:t>
      </w:r>
      <w:r w:rsidR="004A7305" w:rsidRPr="00BF2102">
        <w:rPr>
          <w:rFonts w:cs="Open Sans"/>
        </w:rPr>
        <w:t xml:space="preserve">This means that it may be unclear for some individuals whether they, in fact, are Australian citizens or not. </w:t>
      </w:r>
      <w:r w:rsidRPr="00BF2102">
        <w:rPr>
          <w:rFonts w:cs="Open Sans"/>
        </w:rPr>
        <w:t>This uncertainty is compounded by the fact</w:t>
      </w:r>
      <w:r w:rsidR="007D6ED5" w:rsidRPr="00BF2102">
        <w:rPr>
          <w:rFonts w:cs="Open Sans"/>
        </w:rPr>
        <w:t xml:space="preserve"> that</w:t>
      </w:r>
      <w:r w:rsidRPr="00BF2102">
        <w:rPr>
          <w:rFonts w:cs="Open Sans"/>
        </w:rPr>
        <w:t xml:space="preserve"> </w:t>
      </w:r>
      <w:r w:rsidR="004A7305" w:rsidRPr="00BF2102">
        <w:rPr>
          <w:rFonts w:cs="Open Sans"/>
        </w:rPr>
        <w:t>a</w:t>
      </w:r>
      <w:r w:rsidR="007D6ED5" w:rsidRPr="00BF2102">
        <w:rPr>
          <w:rFonts w:cs="Open Sans"/>
        </w:rPr>
        <w:t>n affected</w:t>
      </w:r>
      <w:r w:rsidR="004A7305" w:rsidRPr="00BF2102">
        <w:rPr>
          <w:rFonts w:cs="Open Sans"/>
        </w:rPr>
        <w:t xml:space="preserve"> person may not be notified. T</w:t>
      </w:r>
      <w:r w:rsidRPr="00BF2102">
        <w:rPr>
          <w:rFonts w:cs="Open Sans"/>
        </w:rPr>
        <w:t>o</w:t>
      </w:r>
      <w:r w:rsidR="004A7305" w:rsidRPr="00BF2102">
        <w:rPr>
          <w:rFonts w:cs="Open Sans"/>
        </w:rPr>
        <w:t xml:space="preserve"> </w:t>
      </w:r>
      <w:r w:rsidRPr="00BF2102">
        <w:rPr>
          <w:rFonts w:cs="Open Sans"/>
        </w:rPr>
        <w:t>date</w:t>
      </w:r>
      <w:r w:rsidR="004A7305" w:rsidRPr="00BF2102">
        <w:rPr>
          <w:rFonts w:cs="Open Sans"/>
        </w:rPr>
        <w:t>,</w:t>
      </w:r>
      <w:r w:rsidRPr="00BF2102">
        <w:rPr>
          <w:rFonts w:cs="Open Sans"/>
        </w:rPr>
        <w:t xml:space="preserve"> no</w:t>
      </w:r>
      <w:r w:rsidR="00B14875" w:rsidRPr="00BF2102">
        <w:rPr>
          <w:rFonts w:cs="Open Sans"/>
        </w:rPr>
        <w:t xml:space="preserve"> person</w:t>
      </w:r>
      <w:r w:rsidRPr="00BF2102">
        <w:rPr>
          <w:rFonts w:cs="Open Sans"/>
        </w:rPr>
        <w:t xml:space="preserve"> affected by these provisions has been successfully</w:t>
      </w:r>
      <w:r w:rsidR="00640FB9" w:rsidRPr="00BF2102">
        <w:rPr>
          <w:rFonts w:cs="Open Sans"/>
        </w:rPr>
        <w:t xml:space="preserve"> given notice</w:t>
      </w:r>
      <w:r w:rsidRPr="00BF2102">
        <w:rPr>
          <w:rFonts w:cs="Open Sans"/>
        </w:rPr>
        <w:t xml:space="preserve"> of the</w:t>
      </w:r>
      <w:r w:rsidR="00B14875" w:rsidRPr="00BF2102">
        <w:rPr>
          <w:rFonts w:cs="Open Sans"/>
        </w:rPr>
        <w:t>ir</w:t>
      </w:r>
      <w:r w:rsidRPr="00BF2102">
        <w:rPr>
          <w:rFonts w:cs="Open Sans"/>
        </w:rPr>
        <w:t xml:space="preserve"> deemed </w:t>
      </w:r>
      <w:r w:rsidR="0036726B" w:rsidRPr="00BF2102">
        <w:rPr>
          <w:rFonts w:cs="Open Sans"/>
        </w:rPr>
        <w:t>loss of citizenship</w:t>
      </w:r>
      <w:r w:rsidRPr="00BF2102">
        <w:rPr>
          <w:rFonts w:cs="Open Sans"/>
        </w:rPr>
        <w:t xml:space="preserve">. </w:t>
      </w:r>
    </w:p>
    <w:p w14:paraId="5D64E9CC" w14:textId="426693DA" w:rsidR="00534EE9" w:rsidRPr="00BF2102" w:rsidRDefault="00534EE9"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is also concerned about the lack of procedural safeguards </w:t>
      </w:r>
      <w:r w:rsidR="007D6ED5" w:rsidRPr="00BF2102">
        <w:rPr>
          <w:rFonts w:cs="Open Sans"/>
        </w:rPr>
        <w:t>in</w:t>
      </w:r>
      <w:r w:rsidRPr="00BF2102">
        <w:rPr>
          <w:rFonts w:cs="Open Sans"/>
        </w:rPr>
        <w:t xml:space="preserve"> the conduct-based provisions. Contrary to </w:t>
      </w:r>
      <w:r w:rsidR="007D6ED5" w:rsidRPr="00BF2102">
        <w:rPr>
          <w:rFonts w:cs="Open Sans"/>
        </w:rPr>
        <w:t>previous</w:t>
      </w:r>
      <w:r w:rsidRPr="00BF2102">
        <w:rPr>
          <w:rFonts w:cs="Open Sans"/>
        </w:rPr>
        <w:t xml:space="preserve"> recommendations of the </w:t>
      </w:r>
      <w:r w:rsidR="007D6ED5" w:rsidRPr="00BF2102">
        <w:rPr>
          <w:rFonts w:cs="Open Sans"/>
        </w:rPr>
        <w:t>Parliamentary Joint Committee on Intelligence and Security (the Committee)</w:t>
      </w:r>
      <w:r w:rsidRPr="00BF2102">
        <w:rPr>
          <w:rFonts w:cs="Open Sans"/>
        </w:rPr>
        <w:t xml:space="preserve">, and apparently contrary to the expressed intention of the Government, there is no requirement </w:t>
      </w:r>
      <w:r w:rsidR="00E2413F" w:rsidRPr="00BF2102">
        <w:rPr>
          <w:rFonts w:cs="Open Sans"/>
        </w:rPr>
        <w:t xml:space="preserve">for </w:t>
      </w:r>
      <w:r w:rsidRPr="00BF2102">
        <w:rPr>
          <w:rFonts w:cs="Open Sans"/>
        </w:rPr>
        <w:t>the Minister to consider exercising the</w:t>
      </w:r>
      <w:r w:rsidR="0036726B" w:rsidRPr="00BF2102">
        <w:rPr>
          <w:rFonts w:cs="Open Sans"/>
        </w:rPr>
        <w:t>ir discretionary</w:t>
      </w:r>
      <w:r w:rsidRPr="00BF2102">
        <w:rPr>
          <w:rFonts w:cs="Open Sans"/>
        </w:rPr>
        <w:t xml:space="preserve"> power to exempt a person from the operation of these provisions.</w:t>
      </w:r>
    </w:p>
    <w:p w14:paraId="6F86088C" w14:textId="03E298D2" w:rsidR="00534EE9" w:rsidRPr="00BF2102" w:rsidRDefault="00790C71" w:rsidP="00310D03">
      <w:pPr>
        <w:pStyle w:val="ListNumber"/>
        <w:numPr>
          <w:ilvl w:val="0"/>
          <w:numId w:val="15"/>
        </w:numPr>
        <w:tabs>
          <w:tab w:val="num" w:pos="993"/>
          <w:tab w:val="left" w:pos="1418"/>
        </w:tabs>
        <w:ind w:left="709" w:hanging="567"/>
        <w:rPr>
          <w:rFonts w:cs="Open Sans"/>
        </w:rPr>
      </w:pPr>
      <w:r w:rsidRPr="00BF2102">
        <w:rPr>
          <w:rFonts w:cs="Open Sans"/>
        </w:rPr>
        <w:lastRenderedPageBreak/>
        <w:t xml:space="preserve">Unlike the conviction-based </w:t>
      </w:r>
      <w:r w:rsidR="00462544" w:rsidRPr="00BF2102">
        <w:rPr>
          <w:rFonts w:cs="Open Sans"/>
        </w:rPr>
        <w:t xml:space="preserve">citizenship </w:t>
      </w:r>
      <w:r w:rsidRPr="00BF2102">
        <w:rPr>
          <w:rFonts w:cs="Open Sans"/>
        </w:rPr>
        <w:t xml:space="preserve">loss regime in s 35A, the conduct-based provisions do not </w:t>
      </w:r>
      <w:r w:rsidR="00B90688" w:rsidRPr="00BF2102">
        <w:rPr>
          <w:rFonts w:cs="Open Sans"/>
        </w:rPr>
        <w:t>require that the Minister</w:t>
      </w:r>
      <w:r w:rsidRPr="00BF2102">
        <w:rPr>
          <w:rFonts w:cs="Open Sans"/>
        </w:rPr>
        <w:t xml:space="preserve"> </w:t>
      </w:r>
      <w:proofErr w:type="gramStart"/>
      <w:r w:rsidRPr="00BF2102">
        <w:rPr>
          <w:rFonts w:cs="Open Sans"/>
        </w:rPr>
        <w:t>mak</w:t>
      </w:r>
      <w:r w:rsidR="00B90688" w:rsidRPr="00BF2102">
        <w:rPr>
          <w:rFonts w:cs="Open Sans"/>
        </w:rPr>
        <w:t>e</w:t>
      </w:r>
      <w:r w:rsidRPr="00BF2102">
        <w:rPr>
          <w:rFonts w:cs="Open Sans"/>
        </w:rPr>
        <w:t xml:space="preserve"> a decision</w:t>
      </w:r>
      <w:proofErr w:type="gramEnd"/>
      <w:r w:rsidR="00B90688" w:rsidRPr="00BF2102">
        <w:rPr>
          <w:rFonts w:cs="Open Sans"/>
        </w:rPr>
        <w:t xml:space="preserve"> or </w:t>
      </w:r>
      <w:r w:rsidR="007F0B57" w:rsidRPr="00BF2102">
        <w:rPr>
          <w:rFonts w:cs="Open Sans"/>
        </w:rPr>
        <w:t>impose</w:t>
      </w:r>
      <w:r w:rsidR="00B90688" w:rsidRPr="00BF2102">
        <w:rPr>
          <w:rFonts w:cs="Open Sans"/>
        </w:rPr>
        <w:t xml:space="preserve"> any obligation to provide procedural fairness or</w:t>
      </w:r>
      <w:r w:rsidRPr="00BF2102">
        <w:rPr>
          <w:rFonts w:cs="Open Sans"/>
        </w:rPr>
        <w:t xml:space="preserve"> reasons</w:t>
      </w:r>
      <w:r w:rsidR="00B90688" w:rsidRPr="00BF2102">
        <w:rPr>
          <w:rFonts w:cs="Open Sans"/>
        </w:rPr>
        <w:t xml:space="preserve"> when a person loses their citizenship. As a result,</w:t>
      </w:r>
      <w:r w:rsidRPr="00BF2102">
        <w:rPr>
          <w:rFonts w:cs="Open Sans"/>
        </w:rPr>
        <w:t xml:space="preserve"> </w:t>
      </w:r>
      <w:r w:rsidR="00B62F64" w:rsidRPr="00BF2102">
        <w:rPr>
          <w:rFonts w:cs="Open Sans"/>
        </w:rPr>
        <w:t xml:space="preserve">it appears on its face that </w:t>
      </w:r>
      <w:r w:rsidRPr="00BF2102">
        <w:rPr>
          <w:rFonts w:cs="Open Sans"/>
        </w:rPr>
        <w:t xml:space="preserve">the </w:t>
      </w:r>
      <w:r w:rsidR="00462544" w:rsidRPr="00BF2102">
        <w:rPr>
          <w:rFonts w:cs="Open Sans"/>
        </w:rPr>
        <w:t xml:space="preserve">lawfulness </w:t>
      </w:r>
      <w:r w:rsidR="00B90688" w:rsidRPr="00BF2102">
        <w:rPr>
          <w:rFonts w:cs="Open Sans"/>
        </w:rPr>
        <w:t>and</w:t>
      </w:r>
      <w:r w:rsidR="00462544" w:rsidRPr="00BF2102">
        <w:rPr>
          <w:rFonts w:cs="Open Sans"/>
        </w:rPr>
        <w:t xml:space="preserve"> merits </w:t>
      </w:r>
      <w:r w:rsidRPr="00BF2102">
        <w:rPr>
          <w:rFonts w:cs="Open Sans"/>
        </w:rPr>
        <w:t xml:space="preserve">of </w:t>
      </w:r>
      <w:r w:rsidR="00B90688" w:rsidRPr="00BF2102">
        <w:rPr>
          <w:rFonts w:cs="Open Sans"/>
        </w:rPr>
        <w:t>the automatic loss of citizenship</w:t>
      </w:r>
      <w:r w:rsidRPr="00BF2102">
        <w:rPr>
          <w:rFonts w:cs="Open Sans"/>
        </w:rPr>
        <w:t xml:space="preserve"> can</w:t>
      </w:r>
      <w:r w:rsidR="00B90688" w:rsidRPr="00BF2102">
        <w:rPr>
          <w:rFonts w:cs="Open Sans"/>
        </w:rPr>
        <w:t>not</w:t>
      </w:r>
      <w:r w:rsidRPr="00BF2102">
        <w:rPr>
          <w:rFonts w:cs="Open Sans"/>
        </w:rPr>
        <w:t xml:space="preserve"> be scrutinised</w:t>
      </w:r>
      <w:r w:rsidR="00B90688" w:rsidRPr="00BF2102">
        <w:rPr>
          <w:rFonts w:cs="Open Sans"/>
        </w:rPr>
        <w:t xml:space="preserve"> as it is not an administrative decision</w:t>
      </w:r>
      <w:r w:rsidRPr="00BF2102">
        <w:rPr>
          <w:rFonts w:cs="Open Sans"/>
        </w:rPr>
        <w:t>.</w:t>
      </w:r>
      <w:r w:rsidR="00DA2762" w:rsidRPr="00BF2102">
        <w:rPr>
          <w:rFonts w:cs="Open Sans"/>
        </w:rPr>
        <w:t xml:space="preserve"> </w:t>
      </w:r>
    </w:p>
    <w:p w14:paraId="274D26BB" w14:textId="05BD7C2D" w:rsidR="00DE12FB" w:rsidRPr="00BF2102" w:rsidRDefault="00E172B1" w:rsidP="00310D03">
      <w:pPr>
        <w:pStyle w:val="ListNumber"/>
        <w:numPr>
          <w:ilvl w:val="0"/>
          <w:numId w:val="15"/>
        </w:numPr>
        <w:tabs>
          <w:tab w:val="num" w:pos="993"/>
          <w:tab w:val="left" w:pos="1418"/>
        </w:tabs>
        <w:ind w:left="709" w:hanging="567"/>
        <w:rPr>
          <w:rFonts w:cs="Open Sans"/>
        </w:rPr>
      </w:pPr>
      <w:r w:rsidRPr="00BF2102">
        <w:rPr>
          <w:rFonts w:cs="Open Sans"/>
        </w:rPr>
        <w:t>The Commission is</w:t>
      </w:r>
      <w:r w:rsidR="007F0B57" w:rsidRPr="00BF2102">
        <w:rPr>
          <w:rFonts w:cs="Open Sans"/>
        </w:rPr>
        <w:t xml:space="preserve"> further</w:t>
      </w:r>
      <w:r w:rsidRPr="00BF2102">
        <w:rPr>
          <w:rFonts w:cs="Open Sans"/>
        </w:rPr>
        <w:t xml:space="preserve"> concerned about the </w:t>
      </w:r>
      <w:r w:rsidR="00BF2DDE" w:rsidRPr="00BF2102">
        <w:rPr>
          <w:rFonts w:cs="Open Sans"/>
        </w:rPr>
        <w:t>application of the</w:t>
      </w:r>
      <w:r w:rsidR="00357121" w:rsidRPr="00BF2102">
        <w:rPr>
          <w:rFonts w:cs="Open Sans"/>
        </w:rPr>
        <w:t xml:space="preserve"> conviction-based provisions to children as young as </w:t>
      </w:r>
      <w:r w:rsidR="000A784E" w:rsidRPr="00BF2102">
        <w:rPr>
          <w:rFonts w:cs="Open Sans"/>
        </w:rPr>
        <w:t>ten</w:t>
      </w:r>
      <w:r w:rsidR="00DE12FB" w:rsidRPr="00BF2102">
        <w:rPr>
          <w:rFonts w:cs="Open Sans"/>
        </w:rPr>
        <w:t xml:space="preserve"> years of age</w:t>
      </w:r>
      <w:r w:rsidR="00357121" w:rsidRPr="00BF2102">
        <w:rPr>
          <w:rFonts w:cs="Open Sans"/>
        </w:rPr>
        <w:t xml:space="preserve"> and the conduct-based provisions to children as young as 14</w:t>
      </w:r>
      <w:r w:rsidR="00DE12FB" w:rsidRPr="00BF2102">
        <w:rPr>
          <w:rFonts w:cs="Open Sans"/>
        </w:rPr>
        <w:t xml:space="preserve"> years of age</w:t>
      </w:r>
      <w:r w:rsidR="00357121" w:rsidRPr="00BF2102">
        <w:rPr>
          <w:rFonts w:cs="Open Sans"/>
        </w:rPr>
        <w:t xml:space="preserve">. </w:t>
      </w:r>
      <w:r w:rsidR="0036726B" w:rsidRPr="00BF2102">
        <w:rPr>
          <w:rFonts w:cs="Open Sans"/>
        </w:rPr>
        <w:t xml:space="preserve">The provisions of the Convention on the Rights of the Child </w:t>
      </w:r>
      <w:r w:rsidR="00B14875" w:rsidRPr="00BF2102">
        <w:rPr>
          <w:rFonts w:cs="Open Sans"/>
        </w:rPr>
        <w:t>(CRC)</w:t>
      </w:r>
      <w:r w:rsidR="00B14875" w:rsidRPr="00BF2102">
        <w:rPr>
          <w:rStyle w:val="EndnoteReference"/>
          <w:rFonts w:cs="Open Sans"/>
        </w:rPr>
        <w:endnoteReference w:id="5"/>
      </w:r>
      <w:r w:rsidR="00B14875" w:rsidRPr="00BF2102">
        <w:rPr>
          <w:rFonts w:cs="Open Sans"/>
        </w:rPr>
        <w:t xml:space="preserve"> </w:t>
      </w:r>
      <w:r w:rsidR="0036726B" w:rsidRPr="00BF2102">
        <w:rPr>
          <w:rFonts w:cs="Open Sans"/>
        </w:rPr>
        <w:t>recognise the developmental needs and vulnerabilities of children, and consequently require that children be treated differently to adults.</w:t>
      </w:r>
    </w:p>
    <w:p w14:paraId="4E752320" w14:textId="123BB660" w:rsidR="001056F2" w:rsidRPr="00BF2102" w:rsidRDefault="0036726B" w:rsidP="00310D03">
      <w:pPr>
        <w:pStyle w:val="ListNumber"/>
        <w:numPr>
          <w:ilvl w:val="0"/>
          <w:numId w:val="15"/>
        </w:numPr>
        <w:tabs>
          <w:tab w:val="num" w:pos="993"/>
          <w:tab w:val="left" w:pos="1418"/>
        </w:tabs>
        <w:ind w:left="709" w:hanging="567"/>
        <w:rPr>
          <w:rFonts w:cs="Open Sans"/>
        </w:rPr>
      </w:pPr>
      <w:r w:rsidRPr="00BF2102">
        <w:rPr>
          <w:rFonts w:cs="Open Sans"/>
        </w:rPr>
        <w:t xml:space="preserve">The conviction-based regime is problematic because of the very young age of the children to which it applies. </w:t>
      </w:r>
      <w:r w:rsidR="00357121" w:rsidRPr="00BF2102">
        <w:rPr>
          <w:rFonts w:cs="Open Sans"/>
        </w:rPr>
        <w:t>The</w:t>
      </w:r>
      <w:r w:rsidR="00B60379" w:rsidRPr="00BF2102">
        <w:rPr>
          <w:rFonts w:cs="Open Sans"/>
        </w:rPr>
        <w:t xml:space="preserve"> automatic</w:t>
      </w:r>
      <w:r w:rsidR="00357121" w:rsidRPr="00BF2102">
        <w:rPr>
          <w:rFonts w:cs="Open Sans"/>
        </w:rPr>
        <w:t xml:space="preserve"> conduct-based regime is particularly problematic because it does not contain any requirement to consider the best interests of the children who are affected prior to their citizenship being lost. The</w:t>
      </w:r>
      <w:r w:rsidR="003A7CD5" w:rsidRPr="00BF2102">
        <w:rPr>
          <w:rFonts w:cs="Open Sans"/>
        </w:rPr>
        <w:t xml:space="preserve"> relevant</w:t>
      </w:r>
      <w:r w:rsidR="00357121" w:rsidRPr="00BF2102">
        <w:rPr>
          <w:rFonts w:cs="Open Sans"/>
        </w:rPr>
        <w:t xml:space="preserve"> provisions have the potential to seriously </w:t>
      </w:r>
      <w:r w:rsidR="00BF2DDE" w:rsidRPr="00BF2102">
        <w:rPr>
          <w:rFonts w:cs="Open Sans"/>
        </w:rPr>
        <w:t xml:space="preserve">impact </w:t>
      </w:r>
      <w:r w:rsidR="00F57C56" w:rsidRPr="00BF2102">
        <w:rPr>
          <w:rFonts w:cs="Open Sans"/>
        </w:rPr>
        <w:t xml:space="preserve">a </w:t>
      </w:r>
      <w:r w:rsidR="00357121" w:rsidRPr="00BF2102">
        <w:rPr>
          <w:rFonts w:cs="Open Sans"/>
        </w:rPr>
        <w:t xml:space="preserve">child’s </w:t>
      </w:r>
      <w:r w:rsidR="00E172B1" w:rsidRPr="00BF2102">
        <w:rPr>
          <w:rFonts w:cs="Open Sans"/>
        </w:rPr>
        <w:t>right to nationality and their best interests</w:t>
      </w:r>
      <w:r w:rsidR="00F57C56" w:rsidRPr="00BF2102">
        <w:rPr>
          <w:rFonts w:cs="Open Sans"/>
        </w:rPr>
        <w:t>,</w:t>
      </w:r>
      <w:r w:rsidR="00357121" w:rsidRPr="00BF2102">
        <w:rPr>
          <w:rFonts w:cs="Open Sans"/>
        </w:rPr>
        <w:t xml:space="preserve"> in a way that is contrary to the</w:t>
      </w:r>
      <w:r w:rsidRPr="00BF2102">
        <w:rPr>
          <w:rFonts w:cs="Open Sans"/>
        </w:rPr>
        <w:t>se</w:t>
      </w:r>
      <w:r w:rsidR="00357121" w:rsidRPr="00BF2102">
        <w:rPr>
          <w:rFonts w:cs="Open Sans"/>
        </w:rPr>
        <w:t xml:space="preserve"> human rights</w:t>
      </w:r>
      <w:r w:rsidRPr="00BF2102">
        <w:rPr>
          <w:rFonts w:cs="Open Sans"/>
        </w:rPr>
        <w:t xml:space="preserve"> among others</w:t>
      </w:r>
      <w:r w:rsidR="00E172B1" w:rsidRPr="00BF2102">
        <w:rPr>
          <w:rFonts w:cs="Open Sans"/>
        </w:rPr>
        <w:t xml:space="preserve">. </w:t>
      </w:r>
    </w:p>
    <w:p w14:paraId="2571FDF1" w14:textId="16F1E2EC" w:rsidR="00FF11F6" w:rsidRPr="00BF2102" w:rsidRDefault="00183442" w:rsidP="00310D03">
      <w:pPr>
        <w:pStyle w:val="ListNumber"/>
        <w:numPr>
          <w:ilvl w:val="0"/>
          <w:numId w:val="15"/>
        </w:numPr>
        <w:tabs>
          <w:tab w:val="num" w:pos="993"/>
          <w:tab w:val="left" w:pos="1418"/>
        </w:tabs>
        <w:ind w:left="709" w:hanging="567"/>
        <w:rPr>
          <w:rFonts w:cs="Open Sans"/>
          <w:iCs/>
        </w:rPr>
      </w:pPr>
      <w:r w:rsidRPr="00BF2102">
        <w:rPr>
          <w:rFonts w:cs="Open Sans"/>
          <w:iCs/>
        </w:rPr>
        <w:t xml:space="preserve">In assessing the proportionality of these provisions, their </w:t>
      </w:r>
      <w:r w:rsidR="00571D03" w:rsidRPr="00BF2102">
        <w:rPr>
          <w:rFonts w:cs="Open Sans"/>
          <w:iCs/>
        </w:rPr>
        <w:t>operation</w:t>
      </w:r>
      <w:r w:rsidR="00453E01" w:rsidRPr="00BF2102">
        <w:rPr>
          <w:rFonts w:cs="Open Sans"/>
          <w:iCs/>
        </w:rPr>
        <w:t xml:space="preserve"> also</w:t>
      </w:r>
      <w:r w:rsidR="00571D03" w:rsidRPr="00BF2102">
        <w:rPr>
          <w:rFonts w:cs="Open Sans"/>
          <w:iCs/>
        </w:rPr>
        <w:t xml:space="preserve"> need</w:t>
      </w:r>
      <w:r w:rsidRPr="00BF2102">
        <w:rPr>
          <w:rFonts w:cs="Open Sans"/>
          <w:iCs/>
        </w:rPr>
        <w:t>s</w:t>
      </w:r>
      <w:r w:rsidR="00571D03" w:rsidRPr="00BF2102">
        <w:rPr>
          <w:rFonts w:cs="Open Sans"/>
          <w:iCs/>
        </w:rPr>
        <w:t xml:space="preserve"> to </w:t>
      </w:r>
      <w:r w:rsidR="00E30C27" w:rsidRPr="00BF2102">
        <w:rPr>
          <w:rFonts w:cs="Open Sans"/>
          <w:iCs/>
        </w:rPr>
        <w:t xml:space="preserve">be considered in the context of Australia’s </w:t>
      </w:r>
      <w:r w:rsidR="009866EA" w:rsidRPr="00BF2102">
        <w:rPr>
          <w:rFonts w:cs="Open Sans"/>
          <w:iCs/>
        </w:rPr>
        <w:t xml:space="preserve">broader </w:t>
      </w:r>
      <w:r w:rsidR="00E30C27" w:rsidRPr="00BF2102">
        <w:rPr>
          <w:rFonts w:cs="Open Sans"/>
          <w:iCs/>
        </w:rPr>
        <w:t xml:space="preserve">counter-terrorism strategy, including the tools </w:t>
      </w:r>
      <w:r w:rsidR="009866EA" w:rsidRPr="00BF2102">
        <w:rPr>
          <w:rFonts w:cs="Open Sans"/>
          <w:iCs/>
        </w:rPr>
        <w:t xml:space="preserve">already </w:t>
      </w:r>
      <w:r w:rsidR="00E30C27" w:rsidRPr="00BF2102">
        <w:rPr>
          <w:rFonts w:cs="Open Sans"/>
          <w:iCs/>
        </w:rPr>
        <w:t>available to law enforcement</w:t>
      </w:r>
      <w:r w:rsidR="009866EA" w:rsidRPr="00BF2102">
        <w:rPr>
          <w:rFonts w:cs="Open Sans"/>
          <w:iCs/>
        </w:rPr>
        <w:t>, intelligence and</w:t>
      </w:r>
      <w:r w:rsidR="00E30C27" w:rsidRPr="00BF2102">
        <w:rPr>
          <w:rFonts w:cs="Open Sans"/>
          <w:iCs/>
        </w:rPr>
        <w:t xml:space="preserve"> security agencies</w:t>
      </w:r>
      <w:r w:rsidR="003F53C4" w:rsidRPr="00BF2102">
        <w:rPr>
          <w:rFonts w:cs="Open Sans"/>
          <w:iCs/>
        </w:rPr>
        <w:t xml:space="preserve"> to investigate, punish and prevent terrorist acts</w:t>
      </w:r>
      <w:r w:rsidR="00E30C27" w:rsidRPr="00BF2102">
        <w:rPr>
          <w:rFonts w:cs="Open Sans"/>
          <w:iCs/>
        </w:rPr>
        <w:t xml:space="preserve">. </w:t>
      </w:r>
    </w:p>
    <w:p w14:paraId="3311706F" w14:textId="54BC2CE7" w:rsidR="00EB38A8" w:rsidRPr="00BF2102" w:rsidRDefault="00D94765" w:rsidP="00310D03">
      <w:pPr>
        <w:pStyle w:val="ListNumber"/>
        <w:numPr>
          <w:ilvl w:val="0"/>
          <w:numId w:val="15"/>
        </w:numPr>
        <w:tabs>
          <w:tab w:val="num" w:pos="993"/>
          <w:tab w:val="left" w:pos="1418"/>
        </w:tabs>
        <w:ind w:left="709" w:hanging="567"/>
        <w:rPr>
          <w:rFonts w:cs="Open Sans"/>
          <w:iCs/>
        </w:rPr>
      </w:pPr>
      <w:r w:rsidRPr="00BF2102">
        <w:rPr>
          <w:rFonts w:cs="Open Sans"/>
          <w:iCs/>
        </w:rPr>
        <w:t xml:space="preserve">The conduct to which </w:t>
      </w:r>
      <w:r w:rsidR="00183442" w:rsidRPr="00BF2102">
        <w:rPr>
          <w:rFonts w:cs="Open Sans"/>
          <w:iCs/>
        </w:rPr>
        <w:t xml:space="preserve">these </w:t>
      </w:r>
      <w:r w:rsidRPr="00BF2102">
        <w:rPr>
          <w:rFonts w:cs="Open Sans"/>
          <w:iCs/>
        </w:rPr>
        <w:t xml:space="preserve">provisions apply is already </w:t>
      </w:r>
      <w:r w:rsidR="00EB38A8" w:rsidRPr="00BF2102">
        <w:rPr>
          <w:rFonts w:cs="Open Sans"/>
          <w:iCs/>
        </w:rPr>
        <w:t xml:space="preserve">largely </w:t>
      </w:r>
      <w:r w:rsidRPr="00BF2102">
        <w:rPr>
          <w:rFonts w:cs="Open Sans"/>
          <w:iCs/>
        </w:rPr>
        <w:t xml:space="preserve">prohibited </w:t>
      </w:r>
      <w:r w:rsidR="00183442" w:rsidRPr="00BF2102">
        <w:rPr>
          <w:rFonts w:cs="Open Sans"/>
          <w:iCs/>
        </w:rPr>
        <w:t xml:space="preserve">by </w:t>
      </w:r>
      <w:r w:rsidR="003F53C4" w:rsidRPr="00BF2102">
        <w:rPr>
          <w:rFonts w:cs="Open Sans"/>
          <w:iCs/>
        </w:rPr>
        <w:t xml:space="preserve">the </w:t>
      </w:r>
      <w:r w:rsidR="003F53C4" w:rsidRPr="00BF2102">
        <w:rPr>
          <w:rFonts w:cs="Open Sans"/>
          <w:i/>
          <w:iCs/>
        </w:rPr>
        <w:t>Criminal Code Act 1995</w:t>
      </w:r>
      <w:r w:rsidR="003F53C4" w:rsidRPr="00BF2102">
        <w:rPr>
          <w:rFonts w:cs="Open Sans"/>
          <w:iCs/>
        </w:rPr>
        <w:t xml:space="preserve"> (Cth)</w:t>
      </w:r>
      <w:r w:rsidR="0019767B" w:rsidRPr="00BF2102">
        <w:rPr>
          <w:rFonts w:cs="Open Sans"/>
          <w:iCs/>
        </w:rPr>
        <w:t xml:space="preserve"> (the Criminal Code)</w:t>
      </w:r>
      <w:r w:rsidR="00462544" w:rsidRPr="00BF2102">
        <w:rPr>
          <w:rFonts w:cs="Open Sans"/>
          <w:iCs/>
        </w:rPr>
        <w:t>, with provision for lengthy prison sentences</w:t>
      </w:r>
      <w:r w:rsidRPr="00BF2102">
        <w:rPr>
          <w:rFonts w:cs="Open Sans"/>
          <w:iCs/>
        </w:rPr>
        <w:t xml:space="preserve">. The Commission considers that prosecution </w:t>
      </w:r>
      <w:r w:rsidR="00EB38A8" w:rsidRPr="00BF2102">
        <w:rPr>
          <w:rFonts w:cs="Open Sans"/>
          <w:iCs/>
        </w:rPr>
        <w:t>of</w:t>
      </w:r>
      <w:r w:rsidRPr="00BF2102">
        <w:rPr>
          <w:rFonts w:cs="Open Sans"/>
          <w:iCs/>
        </w:rPr>
        <w:t xml:space="preserve"> offences is a better way of addressing this conduct than removal of citizenship. </w:t>
      </w:r>
      <w:r w:rsidR="00EB38A8" w:rsidRPr="00BF2102">
        <w:rPr>
          <w:rFonts w:cs="Open Sans"/>
          <w:iCs/>
        </w:rPr>
        <w:t xml:space="preserve">Perversely, removal of citizenship may in some circumstances reduce the ability of Australia to successfully prosecute alleged offenders. </w:t>
      </w:r>
    </w:p>
    <w:p w14:paraId="2127DF31" w14:textId="6E4DDFF3" w:rsidR="003F53C4" w:rsidRPr="00BF2102" w:rsidRDefault="00E51F20" w:rsidP="00310D03">
      <w:pPr>
        <w:pStyle w:val="ListNumber"/>
        <w:numPr>
          <w:ilvl w:val="0"/>
          <w:numId w:val="15"/>
        </w:numPr>
        <w:tabs>
          <w:tab w:val="num" w:pos="993"/>
          <w:tab w:val="left" w:pos="1418"/>
        </w:tabs>
        <w:ind w:left="709" w:hanging="567"/>
        <w:rPr>
          <w:rFonts w:cs="Open Sans"/>
          <w:iCs/>
        </w:rPr>
      </w:pPr>
      <w:r w:rsidRPr="00BF2102">
        <w:rPr>
          <w:rFonts w:cs="Open Sans"/>
          <w:iCs/>
        </w:rPr>
        <w:t>The deterren</w:t>
      </w:r>
      <w:r w:rsidR="00B90688" w:rsidRPr="00BF2102">
        <w:rPr>
          <w:rFonts w:cs="Open Sans"/>
          <w:iCs/>
        </w:rPr>
        <w:t>t</w:t>
      </w:r>
      <w:r w:rsidRPr="00BF2102">
        <w:rPr>
          <w:rFonts w:cs="Open Sans"/>
          <w:iCs/>
        </w:rPr>
        <w:t xml:space="preserve"> effect </w:t>
      </w:r>
      <w:r w:rsidR="00453E01" w:rsidRPr="00BF2102">
        <w:rPr>
          <w:rFonts w:cs="Open Sans"/>
          <w:iCs/>
        </w:rPr>
        <w:t xml:space="preserve">of criminal law </w:t>
      </w:r>
      <w:r w:rsidRPr="00BF2102">
        <w:rPr>
          <w:rFonts w:cs="Open Sans"/>
          <w:iCs/>
        </w:rPr>
        <w:t>relies, at least in part, on a system that a</w:t>
      </w:r>
      <w:r w:rsidR="00B90688" w:rsidRPr="00BF2102">
        <w:rPr>
          <w:rFonts w:cs="Open Sans"/>
          <w:iCs/>
        </w:rPr>
        <w:t>ff</w:t>
      </w:r>
      <w:r w:rsidRPr="00BF2102">
        <w:rPr>
          <w:rFonts w:cs="Open Sans"/>
          <w:iCs/>
        </w:rPr>
        <w:t xml:space="preserve">ords an accused person a fair trial, with prosecution and sentencing conducted in open court. A focus on investigating and prosecuting relevant offences </w:t>
      </w:r>
      <w:r w:rsidR="00D94765" w:rsidRPr="00BF2102">
        <w:rPr>
          <w:rFonts w:cs="Open Sans"/>
          <w:iCs/>
        </w:rPr>
        <w:t xml:space="preserve">is </w:t>
      </w:r>
      <w:r w:rsidR="00E2413F" w:rsidRPr="00BF2102">
        <w:rPr>
          <w:rFonts w:cs="Open Sans"/>
          <w:iCs/>
        </w:rPr>
        <w:t xml:space="preserve">therefore </w:t>
      </w:r>
      <w:r w:rsidR="00D94765" w:rsidRPr="00BF2102">
        <w:rPr>
          <w:rFonts w:cs="Open Sans"/>
          <w:iCs/>
        </w:rPr>
        <w:t xml:space="preserve">more likely </w:t>
      </w:r>
      <w:r w:rsidR="00EF26C6" w:rsidRPr="00BF2102">
        <w:rPr>
          <w:rFonts w:cs="Open Sans"/>
          <w:iCs/>
        </w:rPr>
        <w:t>to deter the commission of crime</w:t>
      </w:r>
      <w:r w:rsidR="00D94765" w:rsidRPr="00BF2102">
        <w:rPr>
          <w:rFonts w:cs="Open Sans"/>
          <w:iCs/>
        </w:rPr>
        <w:t xml:space="preserve"> than removing citizenship from people who have not otherwise been brought to justice</w:t>
      </w:r>
      <w:r w:rsidR="00EF36A0" w:rsidRPr="00BF2102">
        <w:rPr>
          <w:rFonts w:cs="Open Sans"/>
          <w:iCs/>
        </w:rPr>
        <w:t xml:space="preserve">. </w:t>
      </w:r>
      <w:r w:rsidR="00D94765" w:rsidRPr="00BF2102">
        <w:rPr>
          <w:rFonts w:cs="Open Sans"/>
          <w:iCs/>
        </w:rPr>
        <w:t>For those who have been prosecuted, i</w:t>
      </w:r>
      <w:r w:rsidR="00BD6052" w:rsidRPr="00BF2102">
        <w:rPr>
          <w:rFonts w:cs="Open Sans"/>
          <w:iCs/>
        </w:rPr>
        <w:t>f there is a real risk of future terrorism offences being committed, t</w:t>
      </w:r>
      <w:r w:rsidR="003F53C4" w:rsidRPr="00BF2102">
        <w:rPr>
          <w:rFonts w:cs="Open Sans"/>
          <w:iCs/>
        </w:rPr>
        <w:t xml:space="preserve">he control order and </w:t>
      </w:r>
      <w:r w:rsidR="003F53C4" w:rsidRPr="00BF2102">
        <w:rPr>
          <w:rFonts w:cs="Open Sans"/>
          <w:iCs/>
        </w:rPr>
        <w:lastRenderedPageBreak/>
        <w:t>preventative detention regimes</w:t>
      </w:r>
      <w:r w:rsidR="00EF36A0" w:rsidRPr="00BF2102">
        <w:rPr>
          <w:rFonts w:cs="Open Sans"/>
          <w:iCs/>
        </w:rPr>
        <w:t xml:space="preserve"> </w:t>
      </w:r>
      <w:r w:rsidRPr="00BF2102">
        <w:rPr>
          <w:rFonts w:cs="Open Sans"/>
          <w:iCs/>
        </w:rPr>
        <w:t xml:space="preserve">offer tools designed to </w:t>
      </w:r>
      <w:r w:rsidR="00BD6052" w:rsidRPr="00BF2102">
        <w:rPr>
          <w:rFonts w:cs="Open Sans"/>
          <w:iCs/>
        </w:rPr>
        <w:t>protect public safety</w:t>
      </w:r>
      <w:r w:rsidR="003F53C4" w:rsidRPr="00BF2102">
        <w:rPr>
          <w:rFonts w:cs="Open Sans"/>
          <w:iCs/>
        </w:rPr>
        <w:t>.</w:t>
      </w:r>
      <w:r w:rsidR="009866EA" w:rsidRPr="00BF2102">
        <w:rPr>
          <w:rFonts w:cs="Open Sans"/>
          <w:iCs/>
        </w:rPr>
        <w:t xml:space="preserve"> </w:t>
      </w:r>
    </w:p>
    <w:p w14:paraId="3845E775" w14:textId="5FED73DC" w:rsidR="00156BE2" w:rsidRPr="00BF2102" w:rsidRDefault="00E56256" w:rsidP="00310D03">
      <w:pPr>
        <w:pStyle w:val="ListNumber"/>
        <w:numPr>
          <w:ilvl w:val="0"/>
          <w:numId w:val="15"/>
        </w:numPr>
        <w:tabs>
          <w:tab w:val="num" w:pos="993"/>
          <w:tab w:val="left" w:pos="1418"/>
        </w:tabs>
        <w:ind w:left="709" w:hanging="567"/>
        <w:rPr>
          <w:rFonts w:cs="Open Sans"/>
        </w:rPr>
      </w:pPr>
      <w:r w:rsidRPr="00BF2102">
        <w:rPr>
          <w:rFonts w:cs="Open Sans"/>
        </w:rPr>
        <w:t>Violent extremism is a complex and multi-causal phenomenon</w:t>
      </w:r>
      <w:r w:rsidR="00EB38A8" w:rsidRPr="00BF2102">
        <w:rPr>
          <w:rFonts w:cs="Open Sans"/>
        </w:rPr>
        <w:t xml:space="preserve">. </w:t>
      </w:r>
      <w:r w:rsidR="00E51F20" w:rsidRPr="00BF2102">
        <w:rPr>
          <w:rFonts w:cs="Open Sans"/>
        </w:rPr>
        <w:t xml:space="preserve">Addressing this problem effectively means addressing each of the various contributory factors that can cause such behaviour. This, in turn, requires consideration of </w:t>
      </w:r>
      <w:r w:rsidRPr="00BF2102">
        <w:rPr>
          <w:rFonts w:cs="Open Sans"/>
        </w:rPr>
        <w:t>local and national drivers</w:t>
      </w:r>
      <w:r w:rsidR="006541A4" w:rsidRPr="00BF2102">
        <w:rPr>
          <w:rFonts w:cs="Open Sans"/>
        </w:rPr>
        <w:t xml:space="preserve"> of such criminal behaviour. As the UN Secretary-General observed in 2015</w:t>
      </w:r>
      <w:r w:rsidR="00C11518" w:rsidRPr="00BF2102">
        <w:rPr>
          <w:rFonts w:cs="Open Sans"/>
        </w:rPr>
        <w:t>,</w:t>
      </w:r>
      <w:r w:rsidR="006541A4" w:rsidRPr="00BF2102">
        <w:rPr>
          <w:rFonts w:cs="Open Sans"/>
        </w:rPr>
        <w:t xml:space="preserve"> available research suggests </w:t>
      </w:r>
      <w:r w:rsidR="00453E01" w:rsidRPr="00BF2102">
        <w:rPr>
          <w:rFonts w:cs="Open Sans"/>
        </w:rPr>
        <w:t xml:space="preserve">that </w:t>
      </w:r>
      <w:r w:rsidR="006541A4" w:rsidRPr="00BF2102">
        <w:rPr>
          <w:rFonts w:cs="Open Sans"/>
        </w:rPr>
        <w:t>th</w:t>
      </w:r>
      <w:r w:rsidR="00DE0EED" w:rsidRPr="00BF2102">
        <w:rPr>
          <w:rFonts w:cs="Open Sans"/>
        </w:rPr>
        <w:t>ese drivers</w:t>
      </w:r>
      <w:r w:rsidR="006541A4" w:rsidRPr="00BF2102">
        <w:rPr>
          <w:rFonts w:cs="Open Sans"/>
        </w:rPr>
        <w:t xml:space="preserve"> can include:</w:t>
      </w:r>
      <w:r w:rsidR="004C070A" w:rsidRPr="00BF2102">
        <w:rPr>
          <w:rFonts w:cs="Open Sans"/>
        </w:rPr>
        <w:t xml:space="preserve"> </w:t>
      </w:r>
      <w:r w:rsidR="00C11518" w:rsidRPr="00BF2102">
        <w:rPr>
          <w:rFonts w:cs="Open Sans"/>
        </w:rPr>
        <w:t>poor governance</w:t>
      </w:r>
      <w:r w:rsidR="00F57C56" w:rsidRPr="00BF2102">
        <w:rPr>
          <w:rFonts w:cs="Open Sans"/>
        </w:rPr>
        <w:t>;</w:t>
      </w:r>
      <w:r w:rsidR="006541A4" w:rsidRPr="00BF2102">
        <w:rPr>
          <w:rFonts w:cs="Open Sans"/>
        </w:rPr>
        <w:t xml:space="preserve"> violations of human rights and the rule of law;</w:t>
      </w:r>
      <w:r w:rsidR="00C11518" w:rsidRPr="00BF2102">
        <w:rPr>
          <w:rFonts w:cs="Open Sans"/>
        </w:rPr>
        <w:t xml:space="preserve"> </w:t>
      </w:r>
      <w:r w:rsidR="00515E40" w:rsidRPr="00BF2102">
        <w:rPr>
          <w:rFonts w:cs="Open Sans"/>
        </w:rPr>
        <w:t>lack of socioeconomic opportunity</w:t>
      </w:r>
      <w:r w:rsidR="006541A4" w:rsidRPr="00BF2102">
        <w:rPr>
          <w:rFonts w:cs="Open Sans"/>
        </w:rPr>
        <w:t>;</w:t>
      </w:r>
      <w:r w:rsidR="00515E40" w:rsidRPr="00BF2102">
        <w:rPr>
          <w:rFonts w:cs="Open Sans"/>
        </w:rPr>
        <w:t xml:space="preserve"> </w:t>
      </w:r>
      <w:r w:rsidR="006541A4" w:rsidRPr="00BF2102">
        <w:rPr>
          <w:rFonts w:cs="Open Sans"/>
        </w:rPr>
        <w:t>and marginalisation and discrimination affecting certain groups</w:t>
      </w:r>
      <w:r w:rsidRPr="00BF2102">
        <w:rPr>
          <w:rFonts w:cs="Open Sans"/>
        </w:rPr>
        <w:t>.</w:t>
      </w:r>
      <w:r w:rsidRPr="00BF2102">
        <w:rPr>
          <w:rStyle w:val="EndnoteReference"/>
          <w:rFonts w:cs="Open Sans"/>
        </w:rPr>
        <w:endnoteReference w:id="6"/>
      </w:r>
      <w:r w:rsidR="005E093D" w:rsidRPr="00BF2102">
        <w:rPr>
          <w:rFonts w:cs="Open Sans"/>
        </w:rPr>
        <w:t xml:space="preserve"> </w:t>
      </w:r>
    </w:p>
    <w:p w14:paraId="42576F10" w14:textId="77777777" w:rsidR="000909AC" w:rsidRPr="00BF2102" w:rsidRDefault="00121F3E" w:rsidP="000909AC">
      <w:pPr>
        <w:pStyle w:val="ListNumber"/>
        <w:numPr>
          <w:ilvl w:val="0"/>
          <w:numId w:val="15"/>
        </w:numPr>
        <w:tabs>
          <w:tab w:val="num" w:pos="993"/>
          <w:tab w:val="left" w:pos="1418"/>
        </w:tabs>
        <w:ind w:left="709" w:hanging="567"/>
        <w:rPr>
          <w:rFonts w:cs="Open Sans"/>
        </w:rPr>
      </w:pPr>
      <w:r w:rsidRPr="00BF2102">
        <w:rPr>
          <w:rFonts w:cs="Open Sans"/>
        </w:rPr>
        <w:t xml:space="preserve">The Department has suggested that removal of </w:t>
      </w:r>
      <w:r w:rsidR="00AA3D77" w:rsidRPr="00BF2102">
        <w:rPr>
          <w:rFonts w:cs="Open Sans"/>
        </w:rPr>
        <w:t xml:space="preserve">a person’s </w:t>
      </w:r>
      <w:r w:rsidRPr="00BF2102">
        <w:rPr>
          <w:rFonts w:cs="Open Sans"/>
        </w:rPr>
        <w:t>citizenship ‘reduces the risk of a terrorist act being undertaken by that person in Australia’</w:t>
      </w:r>
      <w:r w:rsidR="00AA3D77" w:rsidRPr="00BF2102">
        <w:rPr>
          <w:rFonts w:cs="Open Sans"/>
        </w:rPr>
        <w:t>.</w:t>
      </w:r>
      <w:r w:rsidR="00AA3D77" w:rsidRPr="00BF2102">
        <w:rPr>
          <w:rStyle w:val="EndnoteReference"/>
          <w:rFonts w:cs="Open Sans"/>
        </w:rPr>
        <w:endnoteReference w:id="7"/>
      </w:r>
      <w:r w:rsidR="00AA3D77" w:rsidRPr="00BF2102">
        <w:rPr>
          <w:rFonts w:cs="Open Sans"/>
        </w:rPr>
        <w:t xml:space="preserve"> In particular, it noted that the citizenship loss provisions were introduced in response to an increase in ‘foreign fighters’ in Syria and Iraq. It says that around 80 Australians or former Australians remain in Syria and Iraq, who may seek to return to Australia.</w:t>
      </w:r>
      <w:r w:rsidR="00AA3D77" w:rsidRPr="00BF2102">
        <w:rPr>
          <w:rStyle w:val="EndnoteReference"/>
          <w:rFonts w:cs="Open Sans"/>
        </w:rPr>
        <w:endnoteReference w:id="8"/>
      </w:r>
      <w:r w:rsidR="00AA3D77" w:rsidRPr="00BF2102">
        <w:rPr>
          <w:rFonts w:cs="Open Sans"/>
        </w:rPr>
        <w:t xml:space="preserve"> However</w:t>
      </w:r>
      <w:r w:rsidR="00F57C56" w:rsidRPr="00BF2102">
        <w:rPr>
          <w:rFonts w:cs="Open Sans"/>
        </w:rPr>
        <w:t>, e</w:t>
      </w:r>
      <w:r w:rsidR="005E093D" w:rsidRPr="00BF2102">
        <w:rPr>
          <w:rFonts w:cs="Open Sans"/>
        </w:rPr>
        <w:t xml:space="preserve">xpert commentary has suggested that the </w:t>
      </w:r>
      <w:r w:rsidR="008F5E84" w:rsidRPr="00BF2102">
        <w:rPr>
          <w:rFonts w:cs="Open Sans"/>
        </w:rPr>
        <w:t>loss or removal</w:t>
      </w:r>
      <w:r w:rsidR="005E093D" w:rsidRPr="00BF2102">
        <w:rPr>
          <w:rFonts w:cs="Open Sans"/>
        </w:rPr>
        <w:t xml:space="preserve"> of citizenship serves a largely symbolic function</w:t>
      </w:r>
      <w:r w:rsidR="00021E99" w:rsidRPr="00BF2102">
        <w:rPr>
          <w:rFonts w:cs="Open Sans"/>
        </w:rPr>
        <w:t>,</w:t>
      </w:r>
      <w:r w:rsidR="005E093D" w:rsidRPr="00BF2102">
        <w:rPr>
          <w:rFonts w:cs="Open Sans"/>
        </w:rPr>
        <w:t xml:space="preserve"> rather than </w:t>
      </w:r>
      <w:r w:rsidR="00EA2DA1" w:rsidRPr="00BF2102">
        <w:rPr>
          <w:rFonts w:cs="Open Sans"/>
        </w:rPr>
        <w:t xml:space="preserve">making a significant practical impact in protecting </w:t>
      </w:r>
      <w:r w:rsidR="005E093D" w:rsidRPr="00BF2102">
        <w:rPr>
          <w:rFonts w:cs="Open Sans"/>
        </w:rPr>
        <w:t>national security.</w:t>
      </w:r>
      <w:r w:rsidR="005E093D" w:rsidRPr="00BF2102">
        <w:rPr>
          <w:rStyle w:val="EndnoteReference"/>
          <w:rFonts w:cs="Open Sans"/>
        </w:rPr>
        <w:endnoteReference w:id="9"/>
      </w:r>
      <w:r w:rsidR="00156BE2" w:rsidRPr="00BF2102">
        <w:rPr>
          <w:rFonts w:cs="Open Sans"/>
        </w:rPr>
        <w:t xml:space="preserve"> </w:t>
      </w:r>
    </w:p>
    <w:p w14:paraId="77FF59B4" w14:textId="12EDF96D" w:rsidR="009866EA" w:rsidRPr="00BF2102" w:rsidRDefault="00174ACF" w:rsidP="000909AC">
      <w:pPr>
        <w:pStyle w:val="ListNumber"/>
        <w:numPr>
          <w:ilvl w:val="0"/>
          <w:numId w:val="15"/>
        </w:numPr>
        <w:tabs>
          <w:tab w:val="num" w:pos="993"/>
          <w:tab w:val="left" w:pos="1418"/>
        </w:tabs>
        <w:ind w:left="709" w:hanging="567"/>
        <w:rPr>
          <w:rFonts w:cs="Open Sans"/>
        </w:rPr>
      </w:pPr>
      <w:r w:rsidRPr="00BF2102">
        <w:rPr>
          <w:rFonts w:cs="Open Sans"/>
        </w:rPr>
        <w:t>The Commission also notes that Canad</w:t>
      </w:r>
      <w:r w:rsidR="00883E43" w:rsidRPr="00BF2102">
        <w:rPr>
          <w:rFonts w:cs="Open Sans"/>
        </w:rPr>
        <w:t>ian law</w:t>
      </w:r>
      <w:r w:rsidRPr="00BF2102">
        <w:rPr>
          <w:rFonts w:cs="Open Sans"/>
        </w:rPr>
        <w:t xml:space="preserve"> </w:t>
      </w:r>
      <w:r w:rsidR="00883E43" w:rsidRPr="00BF2102">
        <w:rPr>
          <w:rFonts w:cs="Open Sans"/>
        </w:rPr>
        <w:t>previously</w:t>
      </w:r>
      <w:r w:rsidRPr="00BF2102">
        <w:rPr>
          <w:rFonts w:cs="Open Sans"/>
        </w:rPr>
        <w:t xml:space="preserve"> allow</w:t>
      </w:r>
      <w:r w:rsidR="00883E43" w:rsidRPr="00BF2102">
        <w:rPr>
          <w:rFonts w:cs="Open Sans"/>
        </w:rPr>
        <w:t>ed for</w:t>
      </w:r>
      <w:r w:rsidRPr="00BF2102">
        <w:rPr>
          <w:rFonts w:cs="Open Sans"/>
        </w:rPr>
        <w:t xml:space="preserve"> the revocation of citizenship where </w:t>
      </w:r>
      <w:r w:rsidR="00883E43" w:rsidRPr="00BF2102">
        <w:rPr>
          <w:rFonts w:cs="Open Sans"/>
        </w:rPr>
        <w:t xml:space="preserve">a </w:t>
      </w:r>
      <w:r w:rsidRPr="00BF2102">
        <w:rPr>
          <w:rFonts w:cs="Open Sans"/>
        </w:rPr>
        <w:t xml:space="preserve">dual citizen </w:t>
      </w:r>
      <w:r w:rsidR="00883E43" w:rsidRPr="00BF2102">
        <w:rPr>
          <w:rFonts w:cs="Open Sans"/>
        </w:rPr>
        <w:t>had been</w:t>
      </w:r>
      <w:r w:rsidRPr="00BF2102">
        <w:rPr>
          <w:rFonts w:cs="Open Sans"/>
        </w:rPr>
        <w:t xml:space="preserve"> convicted of treason, spying and terrorism offences</w:t>
      </w:r>
      <w:r w:rsidR="00552731" w:rsidRPr="00BF2102">
        <w:rPr>
          <w:rFonts w:cs="Open Sans"/>
        </w:rPr>
        <w:t xml:space="preserve">, </w:t>
      </w:r>
      <w:r w:rsidRPr="00BF2102">
        <w:rPr>
          <w:rFonts w:cs="Open Sans"/>
        </w:rPr>
        <w:t>depending on the sentence received</w:t>
      </w:r>
      <w:r w:rsidR="00493DEC" w:rsidRPr="00BF2102">
        <w:rPr>
          <w:rFonts w:cs="Open Sans"/>
        </w:rPr>
        <w:t>.</w:t>
      </w:r>
      <w:r w:rsidR="0068310E" w:rsidRPr="00BF2102">
        <w:rPr>
          <w:rFonts w:cs="Open Sans"/>
        </w:rPr>
        <w:t xml:space="preserve"> </w:t>
      </w:r>
      <w:r w:rsidRPr="00BF2102">
        <w:rPr>
          <w:rFonts w:cs="Open Sans"/>
        </w:rPr>
        <w:t xml:space="preserve">However, this </w:t>
      </w:r>
      <w:r w:rsidR="00D73AF9" w:rsidRPr="00BF2102">
        <w:rPr>
          <w:rFonts w:cs="Open Sans"/>
        </w:rPr>
        <w:t xml:space="preserve">conviction-based regime </w:t>
      </w:r>
      <w:r w:rsidRPr="00BF2102">
        <w:rPr>
          <w:rFonts w:cs="Open Sans"/>
        </w:rPr>
        <w:t>was repealed in 2017</w:t>
      </w:r>
      <w:r w:rsidR="0068310E" w:rsidRPr="00BF2102">
        <w:rPr>
          <w:rFonts w:cs="Open Sans"/>
        </w:rPr>
        <w:t>.</w:t>
      </w:r>
      <w:r w:rsidR="00493DEC" w:rsidRPr="00BF2102">
        <w:rPr>
          <w:rStyle w:val="EndnoteReference"/>
          <w:rFonts w:cs="Open Sans"/>
        </w:rPr>
        <w:endnoteReference w:id="10"/>
      </w:r>
      <w:r w:rsidR="0068310E" w:rsidRPr="00BF2102">
        <w:rPr>
          <w:rFonts w:cs="Open Sans"/>
        </w:rPr>
        <w:t xml:space="preserve"> A</w:t>
      </w:r>
      <w:r w:rsidR="00883E43" w:rsidRPr="00BF2102">
        <w:rPr>
          <w:rFonts w:cs="Open Sans"/>
        </w:rPr>
        <w:t xml:space="preserve">s a result, there </w:t>
      </w:r>
      <w:r w:rsidR="001443E5" w:rsidRPr="00BF2102">
        <w:rPr>
          <w:rFonts w:cs="Open Sans"/>
        </w:rPr>
        <w:t>appear to be</w:t>
      </w:r>
      <w:r w:rsidR="00883E43" w:rsidRPr="00BF2102">
        <w:rPr>
          <w:rFonts w:cs="Open Sans"/>
        </w:rPr>
        <w:t xml:space="preserve"> no grounds for</w:t>
      </w:r>
      <w:r w:rsidRPr="00BF2102">
        <w:rPr>
          <w:rFonts w:cs="Open Sans"/>
        </w:rPr>
        <w:t xml:space="preserve"> revocation </w:t>
      </w:r>
      <w:r w:rsidR="00883E43" w:rsidRPr="00BF2102">
        <w:rPr>
          <w:rFonts w:cs="Open Sans"/>
        </w:rPr>
        <w:t xml:space="preserve">of Canadian citizenship </w:t>
      </w:r>
      <w:r w:rsidRPr="00BF2102">
        <w:rPr>
          <w:rFonts w:cs="Open Sans"/>
        </w:rPr>
        <w:t>that relate to national security</w:t>
      </w:r>
      <w:r w:rsidR="0068310E" w:rsidRPr="00BF2102">
        <w:rPr>
          <w:rFonts w:cs="Open Sans"/>
        </w:rPr>
        <w:t>—d</w:t>
      </w:r>
      <w:r w:rsidR="00883E43" w:rsidRPr="00BF2102">
        <w:rPr>
          <w:rFonts w:cs="Open Sans"/>
        </w:rPr>
        <w:t xml:space="preserve">ual citizens who commit relevant offences will be subject to the same criminal justice and other consequences as other Canadian citizens. </w:t>
      </w:r>
      <w:r w:rsidR="0068310E" w:rsidRPr="00BF2102">
        <w:rPr>
          <w:rFonts w:cs="Open Sans"/>
        </w:rPr>
        <w:t xml:space="preserve">The </w:t>
      </w:r>
      <w:r w:rsidR="006D16DB" w:rsidRPr="00BF2102">
        <w:rPr>
          <w:rFonts w:cs="Open Sans"/>
        </w:rPr>
        <w:t xml:space="preserve">Canadian </w:t>
      </w:r>
      <w:r w:rsidR="0068310E" w:rsidRPr="00BF2102">
        <w:rPr>
          <w:rFonts w:cs="Open Sans"/>
        </w:rPr>
        <w:t>Government explained the reasons for the repeal as follows:</w:t>
      </w:r>
    </w:p>
    <w:p w14:paraId="2F93EBF6" w14:textId="0B49987C" w:rsidR="0068310E" w:rsidRPr="00BF2102" w:rsidRDefault="0068310E" w:rsidP="002E73C2">
      <w:pPr>
        <w:pStyle w:val="ListNumber"/>
        <w:tabs>
          <w:tab w:val="left" w:pos="1418"/>
        </w:tabs>
        <w:ind w:left="1134"/>
        <w:rPr>
          <w:rFonts w:cs="Open Sans"/>
          <w:sz w:val="22"/>
          <w:szCs w:val="22"/>
        </w:rPr>
      </w:pPr>
      <w:r w:rsidRPr="00BF2102">
        <w:rPr>
          <w:rFonts w:cs="Open Sans"/>
          <w:sz w:val="22"/>
          <w:szCs w:val="22"/>
        </w:rPr>
        <w:t>This is the nub of the point because once we say we can revoke one type of Canadian citizenship but cannot revoke another, then we have two classes of Canadians. We believe very strongly, and we fought long and hard during the election on this issue, that there is only one class of Canadian, a Canadian is a Canadian is a Canadian. All Canadians are equal and there cannot be two classes of Canadians, which is why we found this law unacceptable and why the new law would revoke that right to revoke citizenship … It is a point of principle. When we say a Canadian is a Canadian is a Canadian, that includes good and bad Canadians.</w:t>
      </w:r>
      <w:r w:rsidR="005E6FDF" w:rsidRPr="00BF2102">
        <w:rPr>
          <w:rStyle w:val="EndnoteReference"/>
          <w:rFonts w:cs="Open Sans"/>
          <w:szCs w:val="22"/>
        </w:rPr>
        <w:endnoteReference w:id="11"/>
      </w:r>
    </w:p>
    <w:p w14:paraId="11AA3013" w14:textId="683D9733" w:rsidR="00E172B1" w:rsidRPr="00BF2102" w:rsidRDefault="003F53C4" w:rsidP="00310D03">
      <w:pPr>
        <w:pStyle w:val="ListNumber"/>
        <w:numPr>
          <w:ilvl w:val="0"/>
          <w:numId w:val="15"/>
        </w:numPr>
        <w:tabs>
          <w:tab w:val="num" w:pos="993"/>
          <w:tab w:val="left" w:pos="1418"/>
        </w:tabs>
        <w:ind w:left="709" w:hanging="567"/>
        <w:rPr>
          <w:rFonts w:cs="Open Sans"/>
          <w:iCs/>
        </w:rPr>
      </w:pPr>
      <w:r w:rsidRPr="00BF2102">
        <w:rPr>
          <w:rFonts w:cs="Open Sans"/>
        </w:rPr>
        <w:t xml:space="preserve">The Commission considers that the current form of </w:t>
      </w:r>
      <w:r w:rsidR="00782A15" w:rsidRPr="00BF2102">
        <w:rPr>
          <w:rFonts w:cs="Open Sans"/>
        </w:rPr>
        <w:t xml:space="preserve">ss 33AA, 35 and 35A </w:t>
      </w:r>
      <w:r w:rsidR="00496A5A" w:rsidRPr="00BF2102">
        <w:rPr>
          <w:rFonts w:cs="Open Sans"/>
        </w:rPr>
        <w:t>ha</w:t>
      </w:r>
      <w:r w:rsidR="00C1753A" w:rsidRPr="00BF2102">
        <w:rPr>
          <w:rFonts w:cs="Open Sans"/>
        </w:rPr>
        <w:t>ve</w:t>
      </w:r>
      <w:r w:rsidR="00357C07" w:rsidRPr="00BF2102">
        <w:rPr>
          <w:rFonts w:cs="Open Sans"/>
        </w:rPr>
        <w:t xml:space="preserve"> not been demonstrated to be a </w:t>
      </w:r>
      <w:r w:rsidR="00E172B1" w:rsidRPr="00BF2102">
        <w:rPr>
          <w:rFonts w:cs="Open Sans"/>
          <w:iCs/>
        </w:rPr>
        <w:t xml:space="preserve">proportionate or necessary response </w:t>
      </w:r>
      <w:r w:rsidR="00E172B1" w:rsidRPr="00BF2102">
        <w:rPr>
          <w:rFonts w:cs="Open Sans"/>
          <w:iCs/>
        </w:rPr>
        <w:lastRenderedPageBreak/>
        <w:t xml:space="preserve">to the goal of reducing threats to national security, in light of the </w:t>
      </w:r>
      <w:r w:rsidR="009866EA" w:rsidRPr="00BF2102">
        <w:rPr>
          <w:rFonts w:cs="Open Sans"/>
          <w:iCs/>
        </w:rPr>
        <w:t xml:space="preserve">severe </w:t>
      </w:r>
      <w:r w:rsidR="00E172B1" w:rsidRPr="00BF2102">
        <w:rPr>
          <w:rFonts w:cs="Open Sans"/>
          <w:iCs/>
        </w:rPr>
        <w:t xml:space="preserve">human rights </w:t>
      </w:r>
      <w:r w:rsidR="009866EA" w:rsidRPr="00BF2102">
        <w:rPr>
          <w:rFonts w:cs="Open Sans"/>
          <w:iCs/>
        </w:rPr>
        <w:t>impacts</w:t>
      </w:r>
      <w:r w:rsidR="009020A7" w:rsidRPr="00BF2102">
        <w:rPr>
          <w:rFonts w:cs="Open Sans"/>
          <w:iCs/>
        </w:rPr>
        <w:t xml:space="preserve"> and the alternative means of addressing security concerns</w:t>
      </w:r>
      <w:r w:rsidR="00E172B1" w:rsidRPr="00BF2102">
        <w:rPr>
          <w:rFonts w:cs="Open Sans"/>
          <w:iCs/>
        </w:rPr>
        <w:t>.</w:t>
      </w:r>
      <w:r w:rsidR="00357C07" w:rsidRPr="00BF2102">
        <w:rPr>
          <w:rFonts w:cs="Open Sans"/>
          <w:iCs/>
        </w:rPr>
        <w:t xml:space="preserve"> Further, they </w:t>
      </w:r>
      <w:r w:rsidR="00357C07" w:rsidRPr="00BF2102">
        <w:rPr>
          <w:rFonts w:cs="Open Sans"/>
        </w:rPr>
        <w:t>do not contain appropriate safeguards to protect the rights of individuals.</w:t>
      </w:r>
    </w:p>
    <w:p w14:paraId="10E9BA50" w14:textId="0FF13DB1" w:rsidR="00DA3CCA" w:rsidRPr="00BF2102" w:rsidRDefault="00DF6D9F" w:rsidP="00310D03">
      <w:pPr>
        <w:pStyle w:val="ListNumber"/>
        <w:numPr>
          <w:ilvl w:val="0"/>
          <w:numId w:val="15"/>
        </w:numPr>
        <w:tabs>
          <w:tab w:val="num" w:pos="993"/>
          <w:tab w:val="left" w:pos="1418"/>
        </w:tabs>
        <w:ind w:left="709" w:hanging="567"/>
        <w:rPr>
          <w:rFonts w:cs="Open Sans"/>
        </w:rPr>
      </w:pPr>
      <w:r w:rsidRPr="00BF2102">
        <w:rPr>
          <w:rFonts w:cs="Open Sans"/>
        </w:rPr>
        <w:t>The Commission</w:t>
      </w:r>
      <w:r w:rsidR="00DD710D" w:rsidRPr="00BF2102">
        <w:rPr>
          <w:rFonts w:cs="Open Sans"/>
        </w:rPr>
        <w:t xml:space="preserve"> urges reform of these citizenship loss provisions,</w:t>
      </w:r>
      <w:r w:rsidRPr="00BF2102">
        <w:rPr>
          <w:rFonts w:cs="Open Sans"/>
        </w:rPr>
        <w:t xml:space="preserve"> </w:t>
      </w:r>
      <w:r w:rsidR="00EA2DA1" w:rsidRPr="00BF2102">
        <w:rPr>
          <w:rFonts w:cs="Open Sans"/>
        </w:rPr>
        <w:t xml:space="preserve">and makes </w:t>
      </w:r>
      <w:r w:rsidR="00987EF3" w:rsidRPr="00BF2102">
        <w:rPr>
          <w:rFonts w:cs="Open Sans"/>
        </w:rPr>
        <w:t>11</w:t>
      </w:r>
      <w:r w:rsidRPr="00BF2102">
        <w:rPr>
          <w:rFonts w:cs="Open Sans"/>
        </w:rPr>
        <w:t xml:space="preserve"> recommendations to ameliorate the </w:t>
      </w:r>
      <w:r w:rsidR="00921F71" w:rsidRPr="00BF2102">
        <w:rPr>
          <w:rFonts w:cs="Open Sans"/>
        </w:rPr>
        <w:t xml:space="preserve">significant </w:t>
      </w:r>
      <w:r w:rsidRPr="00BF2102">
        <w:rPr>
          <w:rFonts w:cs="Open Sans"/>
        </w:rPr>
        <w:t xml:space="preserve">human rights </w:t>
      </w:r>
      <w:r w:rsidR="00D571CC" w:rsidRPr="00BF2102">
        <w:rPr>
          <w:rFonts w:cs="Open Sans"/>
        </w:rPr>
        <w:t>concerns</w:t>
      </w:r>
      <w:r w:rsidRPr="00BF2102">
        <w:rPr>
          <w:rFonts w:cs="Open Sans"/>
        </w:rPr>
        <w:t>.</w:t>
      </w:r>
      <w:r w:rsidR="00E56256" w:rsidRPr="00BF2102">
        <w:rPr>
          <w:rFonts w:cs="Open Sans"/>
        </w:rPr>
        <w:t xml:space="preserve"> </w:t>
      </w:r>
    </w:p>
    <w:p w14:paraId="719D466F" w14:textId="77777777" w:rsidR="002E5725" w:rsidRPr="00BF2102" w:rsidRDefault="002E5725" w:rsidP="002E5725">
      <w:pPr>
        <w:pStyle w:val="Heading1"/>
        <w:rPr>
          <w:rFonts w:cs="Open Sans"/>
        </w:rPr>
      </w:pPr>
      <w:bookmarkStart w:id="40" w:name="_Toc11407954"/>
      <w:r w:rsidRPr="00BF2102">
        <w:rPr>
          <w:rFonts w:cs="Open Sans"/>
        </w:rPr>
        <w:t>Summary of key concerns</w:t>
      </w:r>
      <w:bookmarkEnd w:id="40"/>
    </w:p>
    <w:p w14:paraId="39A3F315" w14:textId="523AB0BD" w:rsidR="002E5725" w:rsidRPr="00BF2102" w:rsidRDefault="002E5725"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is particularly concerned </w:t>
      </w:r>
      <w:r w:rsidR="00496A5A" w:rsidRPr="00BF2102">
        <w:rPr>
          <w:rFonts w:cs="Open Sans"/>
        </w:rPr>
        <w:t>by</w:t>
      </w:r>
      <w:r w:rsidRPr="00BF2102">
        <w:rPr>
          <w:rFonts w:cs="Open Sans"/>
        </w:rPr>
        <w:t xml:space="preserve"> the following features of </w:t>
      </w:r>
      <w:r w:rsidR="00224C03" w:rsidRPr="00BF2102">
        <w:rPr>
          <w:rFonts w:cs="Open Sans"/>
        </w:rPr>
        <w:t>ss</w:t>
      </w:r>
      <w:r w:rsidR="00496A5A" w:rsidRPr="00BF2102">
        <w:rPr>
          <w:rFonts w:cs="Open Sans"/>
        </w:rPr>
        <w:t> </w:t>
      </w:r>
      <w:r w:rsidR="00224C03" w:rsidRPr="00BF2102">
        <w:rPr>
          <w:rFonts w:cs="Open Sans"/>
        </w:rPr>
        <w:t>33AA, 35, 35AA and 35A</w:t>
      </w:r>
      <w:r w:rsidR="00496A5A" w:rsidRPr="00BF2102">
        <w:rPr>
          <w:rFonts w:cs="Open Sans"/>
        </w:rPr>
        <w:t xml:space="preserve"> of the Citizenship Act</w:t>
      </w:r>
      <w:r w:rsidR="00224C03" w:rsidRPr="00BF2102">
        <w:rPr>
          <w:rFonts w:cs="Open Sans"/>
        </w:rPr>
        <w:t>:</w:t>
      </w:r>
    </w:p>
    <w:p w14:paraId="61B12FB0" w14:textId="34D8639A" w:rsidR="002E5725" w:rsidRPr="00BF2102" w:rsidRDefault="00224C03" w:rsidP="00310D03">
      <w:pPr>
        <w:pStyle w:val="ListParagraph"/>
        <w:numPr>
          <w:ilvl w:val="0"/>
          <w:numId w:val="16"/>
        </w:numPr>
        <w:rPr>
          <w:rFonts w:cs="Open Sans"/>
        </w:rPr>
      </w:pPr>
      <w:r w:rsidRPr="00BF2102">
        <w:rPr>
          <w:rFonts w:cs="Open Sans"/>
        </w:rPr>
        <w:t>the</w:t>
      </w:r>
      <w:r w:rsidR="002E5725" w:rsidRPr="00BF2102">
        <w:rPr>
          <w:rFonts w:cs="Open Sans"/>
        </w:rPr>
        <w:t xml:space="preserve"> automatic</w:t>
      </w:r>
      <w:r w:rsidRPr="00BF2102">
        <w:rPr>
          <w:rFonts w:cs="Open Sans"/>
        </w:rPr>
        <w:t xml:space="preserve"> nature of citizenship </w:t>
      </w:r>
      <w:r w:rsidR="00496A5A" w:rsidRPr="00BF2102">
        <w:rPr>
          <w:rFonts w:cs="Open Sans"/>
        </w:rPr>
        <w:t>loss</w:t>
      </w:r>
      <w:r w:rsidRPr="00BF2102">
        <w:rPr>
          <w:rFonts w:cs="Open Sans"/>
        </w:rPr>
        <w:t xml:space="preserve"> when a person engages in certain conduct</w:t>
      </w:r>
    </w:p>
    <w:p w14:paraId="67811A5B" w14:textId="351CB7A6" w:rsidR="0036726B" w:rsidRPr="00BF2102" w:rsidRDefault="0036726B" w:rsidP="00310D03">
      <w:pPr>
        <w:pStyle w:val="ListParagraph"/>
        <w:numPr>
          <w:ilvl w:val="0"/>
          <w:numId w:val="16"/>
        </w:numPr>
        <w:rPr>
          <w:rFonts w:cs="Open Sans"/>
        </w:rPr>
      </w:pPr>
      <w:r w:rsidRPr="00BF2102">
        <w:rPr>
          <w:rFonts w:cs="Open Sans"/>
        </w:rPr>
        <w:t>the impacts on children, including children as young as ten years old under the conviction-based loss regime</w:t>
      </w:r>
      <w:r w:rsidR="00453E01" w:rsidRPr="00BF2102">
        <w:rPr>
          <w:rFonts w:cs="Open Sans"/>
        </w:rPr>
        <w:t>,</w:t>
      </w:r>
      <w:r w:rsidRPr="00BF2102">
        <w:rPr>
          <w:rFonts w:cs="Open Sans"/>
        </w:rPr>
        <w:t xml:space="preserve"> and children as young as 14 years old under the conduct-based loss regime</w:t>
      </w:r>
    </w:p>
    <w:p w14:paraId="755D278B" w14:textId="7054C42B" w:rsidR="00224C03" w:rsidRPr="00BF2102" w:rsidRDefault="00224C03" w:rsidP="00310D03">
      <w:pPr>
        <w:pStyle w:val="ListParagraph"/>
        <w:numPr>
          <w:ilvl w:val="0"/>
          <w:numId w:val="16"/>
        </w:numPr>
        <w:rPr>
          <w:rFonts w:cs="Open Sans"/>
        </w:rPr>
      </w:pPr>
      <w:r w:rsidRPr="00BF2102">
        <w:rPr>
          <w:rFonts w:cs="Open Sans"/>
        </w:rPr>
        <w:t xml:space="preserve">the lack of procedural </w:t>
      </w:r>
      <w:r w:rsidR="001F5C3B" w:rsidRPr="00BF2102">
        <w:rPr>
          <w:rFonts w:cs="Open Sans"/>
        </w:rPr>
        <w:t xml:space="preserve">safeguards </w:t>
      </w:r>
      <w:r w:rsidRPr="00BF2102">
        <w:rPr>
          <w:rFonts w:cs="Open Sans"/>
        </w:rPr>
        <w:t xml:space="preserve">when a person’s citizenship is automatically removed, including no requirement </w:t>
      </w:r>
      <w:proofErr w:type="gramStart"/>
      <w:r w:rsidRPr="00BF2102">
        <w:rPr>
          <w:rFonts w:cs="Open Sans"/>
        </w:rPr>
        <w:t>to:</w:t>
      </w:r>
      <w:proofErr w:type="gramEnd"/>
      <w:r w:rsidRPr="00BF2102">
        <w:rPr>
          <w:rFonts w:cs="Open Sans"/>
        </w:rPr>
        <w:t xml:space="preserve"> </w:t>
      </w:r>
      <w:r w:rsidR="00EA2DA1" w:rsidRPr="00BF2102">
        <w:rPr>
          <w:rFonts w:cs="Open Sans"/>
        </w:rPr>
        <w:t xml:space="preserve">actively </w:t>
      </w:r>
      <w:r w:rsidR="00EB10C7" w:rsidRPr="00BF2102">
        <w:rPr>
          <w:rFonts w:cs="Open Sans"/>
        </w:rPr>
        <w:t>make a</w:t>
      </w:r>
      <w:r w:rsidR="00EA2DA1" w:rsidRPr="00BF2102">
        <w:rPr>
          <w:rFonts w:cs="Open Sans"/>
        </w:rPr>
        <w:t>n</w:t>
      </w:r>
      <w:r w:rsidR="00EB10C7" w:rsidRPr="00BF2102">
        <w:rPr>
          <w:rFonts w:cs="Open Sans"/>
        </w:rPr>
        <w:t xml:space="preserve"> administrative decision</w:t>
      </w:r>
      <w:r w:rsidR="00EA2DA1" w:rsidRPr="00BF2102">
        <w:rPr>
          <w:rFonts w:cs="Open Sans"/>
        </w:rPr>
        <w:t xml:space="preserve"> to remove citizenship;</w:t>
      </w:r>
      <w:r w:rsidR="00EB10C7" w:rsidRPr="00BF2102">
        <w:rPr>
          <w:rFonts w:cs="Open Sans"/>
        </w:rPr>
        <w:t xml:space="preserve"> </w:t>
      </w:r>
      <w:r w:rsidRPr="00BF2102">
        <w:rPr>
          <w:rFonts w:cs="Open Sans"/>
        </w:rPr>
        <w:t xml:space="preserve">take into </w:t>
      </w:r>
      <w:r w:rsidR="007B3962" w:rsidRPr="00BF2102">
        <w:rPr>
          <w:rFonts w:cs="Open Sans"/>
        </w:rPr>
        <w:t xml:space="preserve">account </w:t>
      </w:r>
      <w:r w:rsidRPr="00BF2102">
        <w:rPr>
          <w:rFonts w:cs="Open Sans"/>
        </w:rPr>
        <w:t>the relevant circumstances</w:t>
      </w:r>
      <w:r w:rsidR="00EA2DA1" w:rsidRPr="00BF2102">
        <w:rPr>
          <w:rFonts w:cs="Open Sans"/>
        </w:rPr>
        <w:t>;</w:t>
      </w:r>
      <w:r w:rsidRPr="00BF2102">
        <w:rPr>
          <w:rFonts w:cs="Open Sans"/>
        </w:rPr>
        <w:t xml:space="preserve"> </w:t>
      </w:r>
      <w:r w:rsidR="00EB10C7" w:rsidRPr="00BF2102">
        <w:rPr>
          <w:rFonts w:cs="Open Sans"/>
        </w:rPr>
        <w:t xml:space="preserve">afford </w:t>
      </w:r>
      <w:r w:rsidRPr="00BF2102">
        <w:rPr>
          <w:rFonts w:cs="Open Sans"/>
        </w:rPr>
        <w:t>natural justice</w:t>
      </w:r>
      <w:r w:rsidR="00EB10C7" w:rsidRPr="00BF2102">
        <w:rPr>
          <w:rFonts w:cs="Open Sans"/>
        </w:rPr>
        <w:t xml:space="preserve"> including an opportunity to respond to adverse allegations</w:t>
      </w:r>
      <w:r w:rsidR="00EA2DA1" w:rsidRPr="00BF2102">
        <w:rPr>
          <w:rFonts w:cs="Open Sans"/>
        </w:rPr>
        <w:t>;</w:t>
      </w:r>
      <w:r w:rsidR="00EB10C7" w:rsidRPr="00BF2102">
        <w:rPr>
          <w:rFonts w:cs="Open Sans"/>
        </w:rPr>
        <w:t xml:space="preserve"> or</w:t>
      </w:r>
      <w:r w:rsidRPr="00BF2102">
        <w:rPr>
          <w:rFonts w:cs="Open Sans"/>
        </w:rPr>
        <w:t xml:space="preserve"> provide reasons</w:t>
      </w:r>
      <w:r w:rsidR="00EA2DA1" w:rsidRPr="00BF2102">
        <w:rPr>
          <w:rFonts w:cs="Open Sans"/>
        </w:rPr>
        <w:t xml:space="preserve"> for removing an individual’s citizenship</w:t>
      </w:r>
    </w:p>
    <w:p w14:paraId="4FC3A7EC" w14:textId="7E1D77B5" w:rsidR="00224C03" w:rsidRPr="00BF2102" w:rsidRDefault="00FE200C" w:rsidP="00310D03">
      <w:pPr>
        <w:pStyle w:val="ListParagraph"/>
        <w:numPr>
          <w:ilvl w:val="0"/>
          <w:numId w:val="16"/>
        </w:numPr>
        <w:rPr>
          <w:rFonts w:cs="Open Sans"/>
        </w:rPr>
      </w:pPr>
      <w:r w:rsidRPr="00BF2102">
        <w:rPr>
          <w:rFonts w:cs="Open Sans"/>
        </w:rPr>
        <w:t xml:space="preserve">the lack of merits review or review under the </w:t>
      </w:r>
      <w:r w:rsidR="004A1D5C" w:rsidRPr="00BF2102">
        <w:rPr>
          <w:rFonts w:cs="Open Sans"/>
          <w:i/>
          <w:iCs/>
        </w:rPr>
        <w:t>Administrative Decisions (Judicial Review) Act 1977</w:t>
      </w:r>
      <w:r w:rsidR="004A1D5C" w:rsidRPr="00BF2102">
        <w:rPr>
          <w:rFonts w:cs="Open Sans"/>
        </w:rPr>
        <w:t xml:space="preserve"> (Cth) </w:t>
      </w:r>
      <w:r w:rsidRPr="00BF2102">
        <w:rPr>
          <w:rFonts w:cs="Open Sans"/>
        </w:rPr>
        <w:t xml:space="preserve">of </w:t>
      </w:r>
      <w:r w:rsidR="00EB10C7" w:rsidRPr="00BF2102">
        <w:rPr>
          <w:rFonts w:cs="Open Sans"/>
        </w:rPr>
        <w:t xml:space="preserve">decisions regarding </w:t>
      </w:r>
      <w:r w:rsidRPr="00BF2102">
        <w:rPr>
          <w:rFonts w:cs="Open Sans"/>
        </w:rPr>
        <w:t>citizenship</w:t>
      </w:r>
      <w:r w:rsidR="00EB10C7" w:rsidRPr="00BF2102">
        <w:rPr>
          <w:rFonts w:cs="Open Sans"/>
        </w:rPr>
        <w:t xml:space="preserve"> loss</w:t>
      </w:r>
      <w:r w:rsidRPr="00BF2102">
        <w:rPr>
          <w:rFonts w:cs="Open Sans"/>
        </w:rPr>
        <w:t xml:space="preserve"> </w:t>
      </w:r>
    </w:p>
    <w:p w14:paraId="186BD4CB" w14:textId="6308A9BC" w:rsidR="006E0674" w:rsidRPr="00BF2102" w:rsidRDefault="005A34E2" w:rsidP="00310D03">
      <w:pPr>
        <w:pStyle w:val="ListParagraph"/>
        <w:numPr>
          <w:ilvl w:val="0"/>
          <w:numId w:val="16"/>
        </w:numPr>
        <w:rPr>
          <w:rFonts w:cs="Open Sans"/>
        </w:rPr>
      </w:pPr>
      <w:r w:rsidRPr="00BF2102">
        <w:rPr>
          <w:rFonts w:cs="Open Sans"/>
        </w:rPr>
        <w:t xml:space="preserve">the ambiguity of </w:t>
      </w:r>
      <w:r w:rsidR="001C58E0" w:rsidRPr="00BF2102">
        <w:rPr>
          <w:rFonts w:cs="Open Sans"/>
        </w:rPr>
        <w:t>conduct captured by the phrase</w:t>
      </w:r>
      <w:r w:rsidRPr="00BF2102">
        <w:rPr>
          <w:rFonts w:cs="Open Sans"/>
        </w:rPr>
        <w:t xml:space="preserve"> ‘in the service of’ a declared terrorist organisation under s </w:t>
      </w:r>
      <w:r w:rsidR="006E0674" w:rsidRPr="00BF2102">
        <w:rPr>
          <w:rFonts w:cs="Open Sans"/>
        </w:rPr>
        <w:t>35(b)(ii)</w:t>
      </w:r>
    </w:p>
    <w:p w14:paraId="797B23D4" w14:textId="5EC1B2C8" w:rsidR="005A34E2" w:rsidRPr="00BF2102" w:rsidRDefault="006E0674" w:rsidP="00310D03">
      <w:pPr>
        <w:pStyle w:val="ListParagraph"/>
        <w:numPr>
          <w:ilvl w:val="0"/>
          <w:numId w:val="16"/>
        </w:numPr>
        <w:rPr>
          <w:rFonts w:cs="Open Sans"/>
        </w:rPr>
      </w:pPr>
      <w:r w:rsidRPr="00BF2102">
        <w:rPr>
          <w:rFonts w:cs="Open Sans"/>
        </w:rPr>
        <w:t>the retrospective application of the conviction-based loss regime, to conduct that occurred before the passage of s 35A</w:t>
      </w:r>
      <w:r w:rsidR="00921F71" w:rsidRPr="00BF2102">
        <w:rPr>
          <w:rFonts w:cs="Open Sans"/>
        </w:rPr>
        <w:t>.</w:t>
      </w:r>
    </w:p>
    <w:p w14:paraId="611099FB" w14:textId="77777777" w:rsidR="002E5725" w:rsidRPr="00BF2102" w:rsidRDefault="002E5725" w:rsidP="002E5725">
      <w:pPr>
        <w:pStyle w:val="Heading1"/>
        <w:rPr>
          <w:rFonts w:cs="Open Sans"/>
        </w:rPr>
      </w:pPr>
      <w:bookmarkStart w:id="41" w:name="_Toc11407955"/>
      <w:r w:rsidRPr="00BF2102">
        <w:rPr>
          <w:rFonts w:cs="Open Sans"/>
        </w:rPr>
        <w:t>Recommendations</w:t>
      </w:r>
      <w:bookmarkEnd w:id="41"/>
    </w:p>
    <w:p w14:paraId="54F01709" w14:textId="04AFAB52" w:rsidR="002E5725" w:rsidRPr="00BF2102" w:rsidRDefault="002E5725"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w:t>
      </w:r>
      <w:r w:rsidR="00383A7B" w:rsidRPr="00BF2102">
        <w:rPr>
          <w:rFonts w:cs="Open Sans"/>
        </w:rPr>
        <w:t xml:space="preserve">makes the following </w:t>
      </w:r>
      <w:r w:rsidRPr="00BF2102">
        <w:rPr>
          <w:rFonts w:cs="Open Sans"/>
        </w:rPr>
        <w:t>recommend</w:t>
      </w:r>
      <w:r w:rsidR="00383A7B" w:rsidRPr="00BF2102">
        <w:rPr>
          <w:rFonts w:cs="Open Sans"/>
        </w:rPr>
        <w:t>ations</w:t>
      </w:r>
      <w:r w:rsidR="005F2057" w:rsidRPr="00BF2102">
        <w:rPr>
          <w:rFonts w:cs="Open Sans"/>
        </w:rPr>
        <w:t>:</w:t>
      </w:r>
    </w:p>
    <w:p w14:paraId="67F9300E" w14:textId="77777777" w:rsidR="00B4256F" w:rsidRPr="00BF2102" w:rsidRDefault="00B4256F" w:rsidP="00B4256F">
      <w:pPr>
        <w:pStyle w:val="Subnumbered"/>
        <w:keepNext/>
        <w:numPr>
          <w:ilvl w:val="0"/>
          <w:numId w:val="0"/>
        </w:numPr>
        <w:ind w:left="709"/>
        <w:rPr>
          <w:rFonts w:cs="Open Sans"/>
          <w:b/>
          <w:bCs/>
        </w:rPr>
      </w:pPr>
      <w:r w:rsidRPr="00BF2102">
        <w:rPr>
          <w:rFonts w:cs="Open Sans"/>
          <w:b/>
          <w:bCs/>
        </w:rPr>
        <w:lastRenderedPageBreak/>
        <w:t>Recommendation 1</w:t>
      </w:r>
    </w:p>
    <w:p w14:paraId="5DB58A8F" w14:textId="77777777" w:rsidR="00B4256F" w:rsidRPr="00BF2102" w:rsidRDefault="00B4256F" w:rsidP="00B4256F">
      <w:pPr>
        <w:pStyle w:val="Subnumbered"/>
        <w:numPr>
          <w:ilvl w:val="0"/>
          <w:numId w:val="0"/>
        </w:numPr>
        <w:ind w:left="709"/>
        <w:rPr>
          <w:rFonts w:cs="Open Sans"/>
        </w:rPr>
      </w:pPr>
      <w:r w:rsidRPr="00BF2102">
        <w:rPr>
          <w:rFonts w:cs="Open Sans"/>
        </w:rPr>
        <w:t xml:space="preserve">Section 33AA and 35 of the </w:t>
      </w:r>
      <w:r w:rsidRPr="00BF2102">
        <w:rPr>
          <w:rFonts w:cs="Open Sans"/>
          <w:i/>
          <w:iCs/>
        </w:rPr>
        <w:t>Australian Citizenship Act 2007</w:t>
      </w:r>
      <w:r w:rsidRPr="00BF2102">
        <w:rPr>
          <w:rFonts w:cs="Open Sans"/>
        </w:rPr>
        <w:t xml:space="preserve"> (Cth) should be repealed, with the result that loss of citizenship should be possible only under </w:t>
      </w:r>
      <w:r w:rsidRPr="00BF2102">
        <w:t>s 35A</w:t>
      </w:r>
      <w:r w:rsidRPr="00BF2102">
        <w:rPr>
          <w:rFonts w:cs="Open Sans"/>
        </w:rPr>
        <w:t xml:space="preserve"> following a relevant criminal conviction and Ministerial determination, rather than by automatic operation of the law. </w:t>
      </w:r>
    </w:p>
    <w:p w14:paraId="18918B5C" w14:textId="77777777" w:rsidR="00B4256F" w:rsidRPr="00BF2102" w:rsidRDefault="00B4256F" w:rsidP="00B4256F">
      <w:pPr>
        <w:pStyle w:val="Subnumbered"/>
        <w:keepNext/>
        <w:numPr>
          <w:ilvl w:val="0"/>
          <w:numId w:val="0"/>
        </w:numPr>
        <w:ind w:left="709"/>
        <w:rPr>
          <w:rFonts w:cs="Open Sans"/>
          <w:b/>
          <w:bCs/>
        </w:rPr>
      </w:pPr>
      <w:r w:rsidRPr="00BF2102">
        <w:rPr>
          <w:rFonts w:cs="Open Sans"/>
          <w:b/>
          <w:bCs/>
        </w:rPr>
        <w:t>Recommendation 2</w:t>
      </w:r>
    </w:p>
    <w:p w14:paraId="229C021E" w14:textId="5CB9FA06" w:rsidR="00B4256F" w:rsidRPr="00BF2102" w:rsidRDefault="00B4256F" w:rsidP="00B4256F">
      <w:pPr>
        <w:pStyle w:val="Subnumbered"/>
        <w:numPr>
          <w:ilvl w:val="0"/>
          <w:numId w:val="0"/>
        </w:numPr>
        <w:ind w:left="709"/>
        <w:rPr>
          <w:rFonts w:cs="Open Sans"/>
        </w:rPr>
      </w:pPr>
      <w:r w:rsidRPr="00BF2102">
        <w:rPr>
          <w:rFonts w:cs="Open Sans"/>
        </w:rPr>
        <w:t>If Recommendation 1 is not accepted, ss 33AA and 35 should be amended to provide</w:t>
      </w:r>
      <w:r w:rsidR="00453E01" w:rsidRPr="00BF2102">
        <w:rPr>
          <w:rFonts w:cs="Open Sans"/>
        </w:rPr>
        <w:t xml:space="preserve"> for</w:t>
      </w:r>
      <w:r w:rsidRPr="00BF2102">
        <w:rPr>
          <w:rFonts w:cs="Open Sans"/>
        </w:rPr>
        <w:t xml:space="preserve"> the same procedural safeguards that apply to conviction-based citizenship loss under s 35A. That is, loss of citizenship should not be automatic but rather require: </w:t>
      </w:r>
    </w:p>
    <w:p w14:paraId="560A0D7E" w14:textId="77777777" w:rsidR="00B4256F" w:rsidRPr="00BF2102" w:rsidRDefault="00B4256F" w:rsidP="00B4256F">
      <w:pPr>
        <w:pStyle w:val="ListParagraph"/>
        <w:numPr>
          <w:ilvl w:val="0"/>
          <w:numId w:val="41"/>
        </w:numPr>
        <w:spacing w:before="120" w:after="120"/>
        <w:rPr>
          <w:rFonts w:cs="Open Sans"/>
        </w:rPr>
      </w:pPr>
      <w:r w:rsidRPr="00BF2102">
        <w:rPr>
          <w:rFonts w:cs="Open Sans"/>
        </w:rPr>
        <w:t>a positive decision by an officer of the Commonwealth</w:t>
      </w:r>
    </w:p>
    <w:p w14:paraId="5AB47762" w14:textId="77777777" w:rsidR="00B4256F" w:rsidRPr="00BF2102" w:rsidRDefault="00B4256F" w:rsidP="00B4256F">
      <w:pPr>
        <w:pStyle w:val="ListParagraph"/>
        <w:numPr>
          <w:ilvl w:val="0"/>
          <w:numId w:val="41"/>
        </w:numPr>
        <w:spacing w:before="120" w:after="120"/>
        <w:rPr>
          <w:rFonts w:cs="Open Sans"/>
        </w:rPr>
      </w:pPr>
      <w:r w:rsidRPr="00BF2102">
        <w:rPr>
          <w:rFonts w:cs="Open Sans"/>
        </w:rPr>
        <w:t xml:space="preserve">a requirement that the officer </w:t>
      </w:r>
      <w:proofErr w:type="gramStart"/>
      <w:r w:rsidRPr="00BF2102">
        <w:rPr>
          <w:rFonts w:cs="Open Sans"/>
        </w:rPr>
        <w:t>takes into account</w:t>
      </w:r>
      <w:proofErr w:type="gramEnd"/>
      <w:r w:rsidRPr="00BF2102">
        <w:rPr>
          <w:rFonts w:cs="Open Sans"/>
        </w:rPr>
        <w:t xml:space="preserve"> relevant considerations in determining whether it is in the public interest for the person to lose their Australian citizenship</w:t>
      </w:r>
    </w:p>
    <w:p w14:paraId="5854D7EC" w14:textId="77777777" w:rsidR="00B4256F" w:rsidRPr="00BF2102" w:rsidRDefault="00B4256F" w:rsidP="00B4256F">
      <w:pPr>
        <w:pStyle w:val="ListParagraph"/>
        <w:numPr>
          <w:ilvl w:val="0"/>
          <w:numId w:val="41"/>
        </w:numPr>
        <w:spacing w:before="120" w:after="120"/>
        <w:rPr>
          <w:rFonts w:cs="Open Sans"/>
        </w:rPr>
      </w:pPr>
      <w:r w:rsidRPr="00BF2102">
        <w:rPr>
          <w:rFonts w:cs="Open Sans"/>
        </w:rPr>
        <w:t>procedural fairness in the making of this decision, including the opportunity to make submissions and respond to adverse material</w:t>
      </w:r>
    </w:p>
    <w:p w14:paraId="49EC5319" w14:textId="77777777" w:rsidR="00B4256F" w:rsidRPr="00BF2102" w:rsidRDefault="00B4256F" w:rsidP="00B4256F">
      <w:pPr>
        <w:pStyle w:val="ListParagraph"/>
        <w:numPr>
          <w:ilvl w:val="0"/>
          <w:numId w:val="41"/>
        </w:numPr>
        <w:spacing w:before="120"/>
        <w:rPr>
          <w:rFonts w:cs="Open Sans"/>
        </w:rPr>
      </w:pPr>
      <w:r w:rsidRPr="00BF2102">
        <w:rPr>
          <w:rFonts w:cs="Open Sans"/>
        </w:rPr>
        <w:t>a statement of reasons to be provided to the person affected if an adverse decision is made.</w:t>
      </w:r>
    </w:p>
    <w:p w14:paraId="0A3CC22C" w14:textId="77777777" w:rsidR="00B4256F" w:rsidRPr="00BF2102" w:rsidRDefault="00B4256F" w:rsidP="00B4256F">
      <w:pPr>
        <w:pStyle w:val="Subnumbered"/>
        <w:keepNext/>
        <w:numPr>
          <w:ilvl w:val="0"/>
          <w:numId w:val="0"/>
        </w:numPr>
        <w:ind w:left="709"/>
        <w:rPr>
          <w:rFonts w:cs="Open Sans"/>
          <w:b/>
          <w:bCs/>
        </w:rPr>
      </w:pPr>
      <w:r w:rsidRPr="00BF2102">
        <w:rPr>
          <w:rFonts w:cs="Open Sans"/>
          <w:b/>
          <w:bCs/>
        </w:rPr>
        <w:t>Recommendation 3</w:t>
      </w:r>
    </w:p>
    <w:p w14:paraId="57F1CE86" w14:textId="77777777" w:rsidR="00B4256F" w:rsidRPr="00BF2102" w:rsidRDefault="00B4256F" w:rsidP="00B4256F">
      <w:pPr>
        <w:tabs>
          <w:tab w:val="left" w:pos="1134"/>
          <w:tab w:val="left" w:pos="1418"/>
        </w:tabs>
        <w:spacing w:before="120"/>
        <w:ind w:left="709"/>
        <w:rPr>
          <w:rFonts w:cs="Open Sans"/>
        </w:rPr>
      </w:pPr>
      <w:r w:rsidRPr="00BF2102">
        <w:rPr>
          <w:rFonts w:cs="Open Sans"/>
        </w:rPr>
        <w:t>If Recommendations 1 and 2 are not accepted, ss 33AA and 35 should be amended to ensure that the Minister is required to consider in every case whether or not to make a determination under ss 33AA(14) or 35(9) to exempt the operation of the automatic citizenship loss provisions, rather than these powers being discretionary and non-compellable.</w:t>
      </w:r>
    </w:p>
    <w:p w14:paraId="3C56146A" w14:textId="77777777" w:rsidR="00972197" w:rsidRPr="00BF2102" w:rsidRDefault="00972197" w:rsidP="00972197">
      <w:pPr>
        <w:pStyle w:val="ListNumber"/>
        <w:keepNext/>
        <w:ind w:left="720"/>
        <w:rPr>
          <w:rFonts w:cs="Open Sans"/>
          <w:b/>
        </w:rPr>
      </w:pPr>
      <w:r w:rsidRPr="00BF2102">
        <w:rPr>
          <w:rFonts w:cs="Open Sans"/>
          <w:b/>
        </w:rPr>
        <w:t>Recommendation 4</w:t>
      </w:r>
    </w:p>
    <w:p w14:paraId="4D5A0059" w14:textId="07BCF001" w:rsidR="00972197" w:rsidRPr="00BF2102" w:rsidRDefault="00972197" w:rsidP="00972197">
      <w:pPr>
        <w:pStyle w:val="Subnumbered"/>
        <w:numPr>
          <w:ilvl w:val="0"/>
          <w:numId w:val="0"/>
        </w:numPr>
        <w:ind w:left="709"/>
        <w:rPr>
          <w:rFonts w:cs="Open Sans"/>
        </w:rPr>
      </w:pPr>
      <w:r w:rsidRPr="00BF2102">
        <w:rPr>
          <w:rFonts w:cs="Open Sans"/>
        </w:rPr>
        <w:t>If Recommendation 1 is not accepted, ss 33AA(12) and 35(7) should be amended to require that the Minister must be satisfied that the giving of a notice ‘would be likely to’, rather than ‘could’, prejudice the security, defence or international relations of Australia, or Australian law enforcement operations</w:t>
      </w:r>
      <w:r w:rsidR="004C35FE" w:rsidRPr="00BF2102">
        <w:rPr>
          <w:rFonts w:cs="Open Sans"/>
        </w:rPr>
        <w:t>,</w:t>
      </w:r>
      <w:r w:rsidRPr="00BF2102">
        <w:rPr>
          <w:rFonts w:cs="Open Sans"/>
        </w:rPr>
        <w:t xml:space="preserve"> before the Minister may determine that a notice should not be given to a person. Subsection 35</w:t>
      </w:r>
      <w:proofErr w:type="gramStart"/>
      <w:r w:rsidRPr="00BF2102">
        <w:rPr>
          <w:rFonts w:cs="Open Sans"/>
        </w:rPr>
        <w:t>A(</w:t>
      </w:r>
      <w:proofErr w:type="gramEnd"/>
      <w:r w:rsidRPr="00BF2102">
        <w:rPr>
          <w:rFonts w:cs="Open Sans"/>
        </w:rPr>
        <w:t>7) should be amended to achieve the same effect.</w:t>
      </w:r>
    </w:p>
    <w:p w14:paraId="10CC2802" w14:textId="77777777" w:rsidR="00972197" w:rsidRPr="00BF2102" w:rsidRDefault="00972197" w:rsidP="00972197">
      <w:pPr>
        <w:pStyle w:val="ListNumber"/>
        <w:keepNext/>
        <w:ind w:left="720"/>
        <w:rPr>
          <w:rFonts w:cs="Open Sans"/>
          <w:b/>
        </w:rPr>
      </w:pPr>
      <w:r w:rsidRPr="00BF2102">
        <w:rPr>
          <w:rFonts w:cs="Open Sans"/>
          <w:b/>
        </w:rPr>
        <w:lastRenderedPageBreak/>
        <w:t>Recommendation 5</w:t>
      </w:r>
    </w:p>
    <w:p w14:paraId="032787C2" w14:textId="77777777" w:rsidR="00972197" w:rsidRPr="00BF2102" w:rsidRDefault="00972197" w:rsidP="00972197">
      <w:pPr>
        <w:pStyle w:val="Subnumbered"/>
        <w:numPr>
          <w:ilvl w:val="0"/>
          <w:numId w:val="0"/>
        </w:numPr>
        <w:ind w:left="709"/>
        <w:rPr>
          <w:rFonts w:cs="Open Sans"/>
        </w:rPr>
      </w:pPr>
      <w:r w:rsidRPr="00BF2102">
        <w:rPr>
          <w:rFonts w:cs="Open Sans"/>
        </w:rPr>
        <w:t>Subsection 51</w:t>
      </w:r>
      <w:proofErr w:type="gramStart"/>
      <w:r w:rsidRPr="00BF2102">
        <w:rPr>
          <w:rFonts w:cs="Open Sans"/>
        </w:rPr>
        <w:t>B(</w:t>
      </w:r>
      <w:proofErr w:type="gramEnd"/>
      <w:r w:rsidRPr="00BF2102">
        <w:rPr>
          <w:rFonts w:cs="Open Sans"/>
        </w:rPr>
        <w:t>1) should be amended to require more detailed reporting to Parliament on the operation and application of ss 33AA, 35 and 35A, including in relation to children.</w:t>
      </w:r>
    </w:p>
    <w:p w14:paraId="1648DEB6" w14:textId="77777777" w:rsidR="00B4256F" w:rsidRPr="00BF2102" w:rsidRDefault="00B4256F" w:rsidP="00B4256F">
      <w:pPr>
        <w:keepNext/>
        <w:tabs>
          <w:tab w:val="left" w:pos="1134"/>
          <w:tab w:val="left" w:pos="1418"/>
        </w:tabs>
        <w:spacing w:before="120"/>
        <w:ind w:left="709"/>
        <w:rPr>
          <w:rFonts w:cs="Open Sans"/>
        </w:rPr>
      </w:pPr>
      <w:r w:rsidRPr="00BF2102">
        <w:rPr>
          <w:rFonts w:cs="Open Sans"/>
          <w:b/>
        </w:rPr>
        <w:t>Recommendation 6</w:t>
      </w:r>
    </w:p>
    <w:p w14:paraId="0494A3DE" w14:textId="77777777" w:rsidR="00B4256F" w:rsidRPr="00BF2102" w:rsidRDefault="00B4256F" w:rsidP="00B4256F">
      <w:pPr>
        <w:tabs>
          <w:tab w:val="left" w:pos="1134"/>
          <w:tab w:val="left" w:pos="1418"/>
        </w:tabs>
        <w:spacing w:before="120"/>
        <w:ind w:left="709"/>
        <w:rPr>
          <w:rFonts w:cs="Open Sans"/>
        </w:rPr>
      </w:pPr>
      <w:r w:rsidRPr="00BF2102">
        <w:rPr>
          <w:rFonts w:cs="Open Sans"/>
        </w:rPr>
        <w:t xml:space="preserve">Any decision leading to loss of citizenship should be subject to independent merits review, and to judicial review under the </w:t>
      </w:r>
      <w:r w:rsidRPr="00BF2102">
        <w:rPr>
          <w:rFonts w:cs="Open Sans"/>
          <w:i/>
          <w:iCs/>
        </w:rPr>
        <w:t>Administrative Decisions (Judicial Review) Act 1977</w:t>
      </w:r>
      <w:r w:rsidRPr="00BF2102">
        <w:rPr>
          <w:rFonts w:cs="Open Sans"/>
        </w:rPr>
        <w:t xml:space="preserve"> (Cth). </w:t>
      </w:r>
    </w:p>
    <w:p w14:paraId="555F3485" w14:textId="77777777" w:rsidR="00B4256F" w:rsidRPr="00BF2102" w:rsidRDefault="00B4256F" w:rsidP="00B4256F">
      <w:pPr>
        <w:tabs>
          <w:tab w:val="left" w:pos="1134"/>
          <w:tab w:val="left" w:pos="1418"/>
        </w:tabs>
        <w:spacing w:before="120"/>
        <w:ind w:left="709"/>
        <w:rPr>
          <w:rFonts w:cs="Open Sans"/>
        </w:rPr>
      </w:pPr>
      <w:r w:rsidRPr="00BF2102">
        <w:rPr>
          <w:rFonts w:cs="Open Sans"/>
          <w:b/>
        </w:rPr>
        <w:t>Recommendation 7</w:t>
      </w:r>
    </w:p>
    <w:p w14:paraId="406EA6FC" w14:textId="77777777" w:rsidR="00B4256F" w:rsidRPr="00BF2102" w:rsidRDefault="00B4256F" w:rsidP="00B4256F">
      <w:pPr>
        <w:tabs>
          <w:tab w:val="left" w:pos="1134"/>
          <w:tab w:val="left" w:pos="1418"/>
        </w:tabs>
        <w:spacing w:before="120"/>
        <w:ind w:left="709"/>
        <w:rPr>
          <w:rFonts w:cs="Open Sans"/>
        </w:rPr>
      </w:pPr>
      <w:r w:rsidRPr="00BF2102">
        <w:rPr>
          <w:rFonts w:cs="Open Sans"/>
        </w:rPr>
        <w:t>If s 35 is retained, the phrase ‘in the service of’ a declared terrorist organisation in s 35(1)(b)(ii) should be defined to identify the proscribed conduct, and in a way that more clearly indicates that the person must necessarily have repudiated their allegiance to Australia.</w:t>
      </w:r>
    </w:p>
    <w:p w14:paraId="7008F520" w14:textId="77777777" w:rsidR="00B4256F" w:rsidRPr="00BF2102" w:rsidRDefault="00B4256F" w:rsidP="00B4256F">
      <w:pPr>
        <w:keepNext/>
        <w:tabs>
          <w:tab w:val="left" w:pos="1134"/>
          <w:tab w:val="left" w:pos="1418"/>
        </w:tabs>
        <w:spacing w:before="120"/>
        <w:ind w:left="709"/>
        <w:rPr>
          <w:rFonts w:cs="Open Sans"/>
        </w:rPr>
      </w:pPr>
      <w:r w:rsidRPr="00BF2102">
        <w:rPr>
          <w:rFonts w:cs="Open Sans"/>
          <w:b/>
        </w:rPr>
        <w:t>Recommendation 8</w:t>
      </w:r>
    </w:p>
    <w:p w14:paraId="22B0B5D4" w14:textId="77777777" w:rsidR="00B4256F" w:rsidRPr="00BF2102" w:rsidRDefault="00B4256F" w:rsidP="00B4256F">
      <w:pPr>
        <w:tabs>
          <w:tab w:val="left" w:pos="1134"/>
          <w:tab w:val="left" w:pos="1418"/>
        </w:tabs>
        <w:spacing w:before="120"/>
        <w:ind w:left="709"/>
        <w:rPr>
          <w:rFonts w:cs="Open Sans"/>
          <w:bCs/>
        </w:rPr>
      </w:pPr>
      <w:r w:rsidRPr="00BF2102">
        <w:rPr>
          <w:rFonts w:cs="Open Sans"/>
          <w:bCs/>
        </w:rPr>
        <w:t xml:space="preserve">If retained, the conduct-based citizenship loss provisions in ss 33AA and 35 of the </w:t>
      </w:r>
      <w:r w:rsidRPr="00BF2102">
        <w:rPr>
          <w:rFonts w:cs="Open Sans"/>
          <w:i/>
          <w:iCs/>
        </w:rPr>
        <w:t>Australian Citizenship Act 2007</w:t>
      </w:r>
      <w:r w:rsidRPr="00BF2102">
        <w:rPr>
          <w:rFonts w:cs="Open Sans"/>
        </w:rPr>
        <w:t xml:space="preserve"> (Cth) </w:t>
      </w:r>
      <w:r w:rsidRPr="00BF2102">
        <w:rPr>
          <w:rFonts w:cs="Open Sans"/>
          <w:bCs/>
        </w:rPr>
        <w:t>should not apply to children.</w:t>
      </w:r>
    </w:p>
    <w:p w14:paraId="703C3A63" w14:textId="77777777" w:rsidR="00B4256F" w:rsidRPr="00BF2102" w:rsidRDefault="00B4256F" w:rsidP="00B4256F">
      <w:pPr>
        <w:keepNext/>
        <w:tabs>
          <w:tab w:val="left" w:pos="1134"/>
          <w:tab w:val="left" w:pos="1418"/>
        </w:tabs>
        <w:spacing w:before="120"/>
        <w:ind w:left="709"/>
        <w:rPr>
          <w:rFonts w:cs="Open Sans"/>
        </w:rPr>
      </w:pPr>
      <w:r w:rsidRPr="00BF2102">
        <w:rPr>
          <w:rFonts w:cs="Open Sans"/>
          <w:b/>
        </w:rPr>
        <w:t>Recommendation 9</w:t>
      </w:r>
    </w:p>
    <w:p w14:paraId="5198E6E5" w14:textId="77777777" w:rsidR="00B4256F" w:rsidRPr="00BF2102" w:rsidRDefault="00B4256F" w:rsidP="00B4256F">
      <w:pPr>
        <w:pStyle w:val="ListNumber"/>
        <w:tabs>
          <w:tab w:val="left" w:pos="1418"/>
        </w:tabs>
        <w:ind w:left="709"/>
        <w:rPr>
          <w:rFonts w:cs="Open Sans"/>
        </w:rPr>
      </w:pPr>
      <w:r w:rsidRPr="00BF2102">
        <w:rPr>
          <w:rFonts w:cs="Open Sans"/>
          <w:bCs/>
        </w:rPr>
        <w:t xml:space="preserve">The conviction-based loss provisions in s 35A of the </w:t>
      </w:r>
      <w:r w:rsidRPr="00BF2102">
        <w:rPr>
          <w:rFonts w:cs="Open Sans"/>
          <w:i/>
          <w:iCs/>
        </w:rPr>
        <w:t>Australian Citizenship Act 2007</w:t>
      </w:r>
      <w:r w:rsidRPr="00BF2102">
        <w:rPr>
          <w:rFonts w:cs="Open Sans"/>
        </w:rPr>
        <w:t xml:space="preserve"> (Cth) should only apply to persons aged at least 14 years of age or older.</w:t>
      </w:r>
    </w:p>
    <w:p w14:paraId="71DEADA3" w14:textId="77777777" w:rsidR="00B4256F" w:rsidRPr="00BF2102" w:rsidRDefault="00B4256F" w:rsidP="00B4256F">
      <w:pPr>
        <w:keepNext/>
        <w:tabs>
          <w:tab w:val="left" w:pos="1134"/>
          <w:tab w:val="left" w:pos="1418"/>
        </w:tabs>
        <w:spacing w:before="120"/>
        <w:ind w:left="709"/>
        <w:rPr>
          <w:rFonts w:cs="Open Sans"/>
        </w:rPr>
      </w:pPr>
      <w:r w:rsidRPr="00BF2102">
        <w:rPr>
          <w:rFonts w:cs="Open Sans"/>
          <w:b/>
        </w:rPr>
        <w:t>Recommendation 10</w:t>
      </w:r>
    </w:p>
    <w:p w14:paraId="06B84D3D" w14:textId="77777777" w:rsidR="00B4256F" w:rsidRPr="00BF2102" w:rsidRDefault="00B4256F" w:rsidP="00B4256F">
      <w:pPr>
        <w:tabs>
          <w:tab w:val="left" w:pos="1134"/>
          <w:tab w:val="left" w:pos="1418"/>
        </w:tabs>
        <w:spacing w:before="120"/>
        <w:ind w:left="709"/>
        <w:rPr>
          <w:rFonts w:cs="Open Sans"/>
        </w:rPr>
      </w:pPr>
      <w:r w:rsidRPr="00BF2102">
        <w:rPr>
          <w:rFonts w:cs="Open Sans"/>
        </w:rPr>
        <w:t>Loss of citizenship under s 35A following a relevant criminal conviction should not operate retrospectively.</w:t>
      </w:r>
    </w:p>
    <w:p w14:paraId="6777DCEC" w14:textId="77777777" w:rsidR="00B4256F" w:rsidRPr="00BF2102" w:rsidRDefault="00B4256F" w:rsidP="00B4256F">
      <w:pPr>
        <w:keepNext/>
        <w:tabs>
          <w:tab w:val="left" w:pos="1134"/>
          <w:tab w:val="left" w:pos="1418"/>
        </w:tabs>
        <w:spacing w:before="120"/>
        <w:ind w:left="709"/>
        <w:rPr>
          <w:rFonts w:cs="Open Sans"/>
          <w:b/>
          <w:bCs/>
        </w:rPr>
      </w:pPr>
      <w:r w:rsidRPr="00BF2102">
        <w:rPr>
          <w:rFonts w:cs="Open Sans"/>
          <w:b/>
          <w:bCs/>
        </w:rPr>
        <w:t>Recommendation 11</w:t>
      </w:r>
    </w:p>
    <w:p w14:paraId="59523689" w14:textId="7E610C37" w:rsidR="00B4256F" w:rsidRPr="00BF2102" w:rsidRDefault="00B4256F" w:rsidP="00B4256F">
      <w:pPr>
        <w:tabs>
          <w:tab w:val="left" w:pos="1134"/>
          <w:tab w:val="left" w:pos="1418"/>
        </w:tabs>
        <w:spacing w:before="120"/>
        <w:ind w:left="709"/>
        <w:rPr>
          <w:rFonts w:cs="Open Sans"/>
        </w:rPr>
      </w:pPr>
      <w:r w:rsidRPr="00BF2102">
        <w:rPr>
          <w:rFonts w:cs="Open Sans"/>
        </w:rPr>
        <w:t>The INSLM should seek from the Department of Home Affairs information about the number of cases to which s 35A could apply retrospectively, and the details of those cases.</w:t>
      </w:r>
    </w:p>
    <w:p w14:paraId="6063C0A7" w14:textId="2354A948" w:rsidR="002E5725" w:rsidRPr="00BF2102" w:rsidRDefault="002E5725" w:rsidP="002E5725">
      <w:pPr>
        <w:pStyle w:val="Heading1"/>
        <w:rPr>
          <w:rFonts w:cs="Open Sans"/>
        </w:rPr>
      </w:pPr>
      <w:bookmarkStart w:id="42" w:name="_Toc11363500"/>
      <w:bookmarkStart w:id="43" w:name="_Toc11407956"/>
      <w:bookmarkEnd w:id="42"/>
      <w:r w:rsidRPr="00BF2102">
        <w:rPr>
          <w:rFonts w:cs="Open Sans"/>
        </w:rPr>
        <w:lastRenderedPageBreak/>
        <w:t xml:space="preserve">Operation of citizenship </w:t>
      </w:r>
      <w:r w:rsidR="00720C56" w:rsidRPr="00BF2102">
        <w:rPr>
          <w:rFonts w:cs="Open Sans"/>
        </w:rPr>
        <w:t xml:space="preserve">loss </w:t>
      </w:r>
      <w:r w:rsidRPr="00BF2102">
        <w:rPr>
          <w:rFonts w:cs="Open Sans"/>
        </w:rPr>
        <w:t>provisions</w:t>
      </w:r>
      <w:bookmarkEnd w:id="43"/>
    </w:p>
    <w:p w14:paraId="6DE2AB12" w14:textId="70DB8563" w:rsidR="000B34E7" w:rsidRPr="00BF2102" w:rsidRDefault="000B34E7" w:rsidP="00310D03">
      <w:pPr>
        <w:pStyle w:val="ListNumber"/>
        <w:numPr>
          <w:ilvl w:val="0"/>
          <w:numId w:val="15"/>
        </w:numPr>
        <w:tabs>
          <w:tab w:val="num" w:pos="993"/>
          <w:tab w:val="left" w:pos="1418"/>
        </w:tabs>
        <w:ind w:left="709" w:hanging="567"/>
        <w:rPr>
          <w:rFonts w:cs="Open Sans"/>
        </w:rPr>
      </w:pPr>
      <w:r w:rsidRPr="00BF2102">
        <w:rPr>
          <w:rFonts w:cs="Open Sans"/>
        </w:rPr>
        <w:t xml:space="preserve">Sections 33AA, 35, 35AA and 35A of the Citizenship Act set out </w:t>
      </w:r>
      <w:r w:rsidR="00EE4DDB" w:rsidRPr="00BF2102">
        <w:rPr>
          <w:rFonts w:cs="Open Sans"/>
        </w:rPr>
        <w:t xml:space="preserve">three </w:t>
      </w:r>
      <w:r w:rsidR="00EA2DA1" w:rsidRPr="00BF2102">
        <w:rPr>
          <w:rFonts w:cs="Open Sans"/>
        </w:rPr>
        <w:t xml:space="preserve">alternate </w:t>
      </w:r>
      <w:r w:rsidRPr="00BF2102">
        <w:rPr>
          <w:rFonts w:cs="Open Sans"/>
        </w:rPr>
        <w:t xml:space="preserve">ways in which dual citizens can involuntarily </w:t>
      </w:r>
      <w:r w:rsidR="00720C56" w:rsidRPr="00BF2102">
        <w:rPr>
          <w:rFonts w:cs="Open Sans"/>
        </w:rPr>
        <w:t xml:space="preserve">lose </w:t>
      </w:r>
      <w:r w:rsidRPr="00BF2102">
        <w:rPr>
          <w:rFonts w:cs="Open Sans"/>
        </w:rPr>
        <w:t>their Australian citizenship:</w:t>
      </w:r>
    </w:p>
    <w:p w14:paraId="2469705D" w14:textId="250BAA69" w:rsidR="006E0674" w:rsidRPr="00BF2102" w:rsidRDefault="004B6FDA" w:rsidP="00310D03">
      <w:pPr>
        <w:pStyle w:val="ListParagraph"/>
        <w:numPr>
          <w:ilvl w:val="0"/>
          <w:numId w:val="17"/>
        </w:numPr>
        <w:spacing w:before="120" w:after="120"/>
        <w:ind w:hanging="357"/>
        <w:rPr>
          <w:rFonts w:cs="Open Sans"/>
        </w:rPr>
      </w:pPr>
      <w:r w:rsidRPr="00BF2102">
        <w:rPr>
          <w:rFonts w:cs="Open Sans"/>
        </w:rPr>
        <w:t>if a person engages in specified</w:t>
      </w:r>
      <w:r w:rsidR="000B34E7" w:rsidRPr="00BF2102">
        <w:rPr>
          <w:rFonts w:cs="Open Sans"/>
        </w:rPr>
        <w:t xml:space="preserve"> conduct</w:t>
      </w:r>
      <w:r w:rsidR="00791C2B" w:rsidRPr="00BF2102">
        <w:rPr>
          <w:rFonts w:cs="Open Sans"/>
        </w:rPr>
        <w:t xml:space="preserve"> that is inconsistent with</w:t>
      </w:r>
      <w:r w:rsidRPr="00BF2102">
        <w:rPr>
          <w:rFonts w:cs="Open Sans"/>
        </w:rPr>
        <w:t xml:space="preserve"> their</w:t>
      </w:r>
      <w:r w:rsidR="00791C2B" w:rsidRPr="00BF2102">
        <w:rPr>
          <w:rFonts w:cs="Open Sans"/>
        </w:rPr>
        <w:t xml:space="preserve"> allegiance to Australia</w:t>
      </w:r>
      <w:r w:rsidR="000B34E7" w:rsidRPr="00BF2102">
        <w:rPr>
          <w:rFonts w:cs="Open Sans"/>
        </w:rPr>
        <w:t xml:space="preserve"> </w:t>
      </w:r>
      <w:r w:rsidR="004802BE" w:rsidRPr="00BF2102">
        <w:rPr>
          <w:rFonts w:cs="Open Sans"/>
        </w:rPr>
        <w:t xml:space="preserve">while outside Australia, or a person engages in such conduct while in Australia but leaves Australia before being tried for any </w:t>
      </w:r>
      <w:r w:rsidR="0071497B" w:rsidRPr="00BF2102">
        <w:rPr>
          <w:rFonts w:cs="Open Sans"/>
        </w:rPr>
        <w:t xml:space="preserve">relevant </w:t>
      </w:r>
      <w:r w:rsidR="004802BE" w:rsidRPr="00BF2102">
        <w:rPr>
          <w:rFonts w:cs="Open Sans"/>
        </w:rPr>
        <w:t xml:space="preserve">offence </w:t>
      </w:r>
      <w:r w:rsidR="000B34E7" w:rsidRPr="00BF2102">
        <w:rPr>
          <w:rFonts w:cs="Open Sans"/>
        </w:rPr>
        <w:t>(s</w:t>
      </w:r>
      <w:r w:rsidR="006E0674" w:rsidRPr="00BF2102">
        <w:rPr>
          <w:rFonts w:cs="Open Sans"/>
        </w:rPr>
        <w:t> </w:t>
      </w:r>
      <w:r w:rsidR="000B34E7" w:rsidRPr="00BF2102">
        <w:rPr>
          <w:rFonts w:cs="Open Sans"/>
        </w:rPr>
        <w:t>33AA)</w:t>
      </w:r>
    </w:p>
    <w:p w14:paraId="4FE2FA75" w14:textId="545813D8" w:rsidR="006E0674" w:rsidRPr="00BF2102" w:rsidRDefault="00EE4DDB" w:rsidP="00310D03">
      <w:pPr>
        <w:pStyle w:val="ListParagraph"/>
        <w:numPr>
          <w:ilvl w:val="0"/>
          <w:numId w:val="17"/>
        </w:numPr>
        <w:spacing w:before="120" w:after="120"/>
        <w:ind w:hanging="357"/>
        <w:rPr>
          <w:rFonts w:cs="Open Sans"/>
        </w:rPr>
      </w:pPr>
      <w:r w:rsidRPr="00BF2102">
        <w:rPr>
          <w:rFonts w:cs="Open Sans"/>
        </w:rPr>
        <w:t>if, while outside of Australia, a person (s</w:t>
      </w:r>
      <w:r w:rsidR="00720C56" w:rsidRPr="00BF2102">
        <w:rPr>
          <w:rFonts w:cs="Open Sans"/>
        </w:rPr>
        <w:t> </w:t>
      </w:r>
      <w:r w:rsidRPr="00BF2102">
        <w:rPr>
          <w:rFonts w:cs="Open Sans"/>
        </w:rPr>
        <w:t>35):</w:t>
      </w:r>
    </w:p>
    <w:p w14:paraId="25F14FC1" w14:textId="77777777" w:rsidR="006E0674" w:rsidRPr="00BF2102" w:rsidRDefault="00EE4DDB" w:rsidP="00310D03">
      <w:pPr>
        <w:pStyle w:val="ListParagraph"/>
        <w:numPr>
          <w:ilvl w:val="1"/>
          <w:numId w:val="17"/>
        </w:numPr>
        <w:spacing w:before="120" w:after="120"/>
        <w:ind w:hanging="357"/>
        <w:rPr>
          <w:rFonts w:cs="Open Sans"/>
        </w:rPr>
      </w:pPr>
      <w:r w:rsidRPr="00BF2102">
        <w:rPr>
          <w:rFonts w:cs="Open Sans"/>
        </w:rPr>
        <w:t xml:space="preserve">serves in the </w:t>
      </w:r>
      <w:r w:rsidR="000B34E7" w:rsidRPr="00BF2102">
        <w:rPr>
          <w:rFonts w:cs="Open Sans"/>
        </w:rPr>
        <w:t xml:space="preserve">armed forces of </w:t>
      </w:r>
      <w:r w:rsidRPr="00BF2102">
        <w:rPr>
          <w:rFonts w:cs="Open Sans"/>
        </w:rPr>
        <w:t>a country at war with Australia</w:t>
      </w:r>
    </w:p>
    <w:p w14:paraId="1B0AAFE7" w14:textId="51FE357C" w:rsidR="000B34E7" w:rsidRPr="00BF2102" w:rsidRDefault="00EE4DDB" w:rsidP="00310D03">
      <w:pPr>
        <w:pStyle w:val="ListParagraph"/>
        <w:numPr>
          <w:ilvl w:val="1"/>
          <w:numId w:val="17"/>
        </w:numPr>
        <w:spacing w:before="120" w:after="120"/>
        <w:ind w:hanging="357"/>
        <w:rPr>
          <w:rFonts w:cs="Open Sans"/>
        </w:rPr>
      </w:pPr>
      <w:r w:rsidRPr="00BF2102">
        <w:rPr>
          <w:rFonts w:cs="Open Sans"/>
        </w:rPr>
        <w:t>fights for, or is in the service of, a ‘declared terrorist organisation’</w:t>
      </w:r>
      <w:r w:rsidR="000B34E7" w:rsidRPr="00BF2102">
        <w:rPr>
          <w:rFonts w:cs="Open Sans"/>
        </w:rPr>
        <w:t xml:space="preserve"> </w:t>
      </w:r>
      <w:r w:rsidRPr="00BF2102">
        <w:rPr>
          <w:rFonts w:cs="Open Sans"/>
        </w:rPr>
        <w:t>(</w:t>
      </w:r>
      <w:r w:rsidR="004B6FDA" w:rsidRPr="00BF2102">
        <w:rPr>
          <w:rFonts w:cs="Open Sans"/>
        </w:rPr>
        <w:t xml:space="preserve">pursuant to </w:t>
      </w:r>
      <w:r w:rsidRPr="00BF2102">
        <w:rPr>
          <w:rFonts w:cs="Open Sans"/>
        </w:rPr>
        <w:t>s</w:t>
      </w:r>
      <w:r w:rsidR="00720C56" w:rsidRPr="00BF2102">
        <w:rPr>
          <w:rFonts w:cs="Open Sans"/>
        </w:rPr>
        <w:t> </w:t>
      </w:r>
      <w:r w:rsidRPr="00BF2102">
        <w:rPr>
          <w:rFonts w:cs="Open Sans"/>
        </w:rPr>
        <w:t>35AA)</w:t>
      </w:r>
    </w:p>
    <w:p w14:paraId="040AEF1D" w14:textId="3BD3E48A" w:rsidR="000B34E7" w:rsidRPr="00BF2102" w:rsidRDefault="00382CBB" w:rsidP="00310D03">
      <w:pPr>
        <w:pStyle w:val="ListParagraph"/>
        <w:numPr>
          <w:ilvl w:val="0"/>
          <w:numId w:val="17"/>
        </w:numPr>
        <w:spacing w:before="120" w:after="120"/>
        <w:ind w:hanging="357"/>
        <w:rPr>
          <w:rFonts w:cs="Open Sans"/>
        </w:rPr>
      </w:pPr>
      <w:r w:rsidRPr="00BF2102">
        <w:rPr>
          <w:rFonts w:cs="Open Sans"/>
        </w:rPr>
        <w:t xml:space="preserve">if a person is </w:t>
      </w:r>
      <w:r w:rsidR="000B34E7" w:rsidRPr="00BF2102">
        <w:rPr>
          <w:rFonts w:cs="Open Sans"/>
        </w:rPr>
        <w:t>convict</w:t>
      </w:r>
      <w:r w:rsidRPr="00BF2102">
        <w:rPr>
          <w:rFonts w:cs="Open Sans"/>
        </w:rPr>
        <w:t>ed</w:t>
      </w:r>
      <w:r w:rsidR="000B34E7" w:rsidRPr="00BF2102">
        <w:rPr>
          <w:rFonts w:cs="Open Sans"/>
        </w:rPr>
        <w:t xml:space="preserve"> </w:t>
      </w:r>
      <w:r w:rsidR="00860A47" w:rsidRPr="00BF2102">
        <w:rPr>
          <w:rFonts w:cs="Open Sans"/>
        </w:rPr>
        <w:t>of</w:t>
      </w:r>
      <w:r w:rsidRPr="00BF2102">
        <w:rPr>
          <w:rFonts w:cs="Open Sans"/>
        </w:rPr>
        <w:t xml:space="preserve"> certain</w:t>
      </w:r>
      <w:r w:rsidR="000B34E7" w:rsidRPr="00BF2102">
        <w:rPr>
          <w:rFonts w:cs="Open Sans"/>
        </w:rPr>
        <w:t xml:space="preserve"> terrorism</w:t>
      </w:r>
      <w:r w:rsidRPr="00BF2102">
        <w:rPr>
          <w:rFonts w:cs="Open Sans"/>
        </w:rPr>
        <w:t xml:space="preserve"> or other</w:t>
      </w:r>
      <w:r w:rsidR="000B34E7" w:rsidRPr="00BF2102">
        <w:rPr>
          <w:rFonts w:cs="Open Sans"/>
        </w:rPr>
        <w:t xml:space="preserve"> offences</w:t>
      </w:r>
      <w:r w:rsidRPr="00BF2102">
        <w:rPr>
          <w:rFonts w:cs="Open Sans"/>
        </w:rPr>
        <w:t xml:space="preserve">, and the Minister determines that their citizenship should </w:t>
      </w:r>
      <w:r w:rsidR="00950001" w:rsidRPr="00BF2102">
        <w:rPr>
          <w:rFonts w:cs="Open Sans"/>
        </w:rPr>
        <w:t>cease</w:t>
      </w:r>
      <w:r w:rsidR="00860A47" w:rsidRPr="00BF2102">
        <w:rPr>
          <w:rFonts w:cs="Open Sans"/>
        </w:rPr>
        <w:t xml:space="preserve"> </w:t>
      </w:r>
      <w:r w:rsidR="000B34E7" w:rsidRPr="00BF2102">
        <w:rPr>
          <w:rFonts w:cs="Open Sans"/>
        </w:rPr>
        <w:t>(s</w:t>
      </w:r>
      <w:r w:rsidR="00720C56" w:rsidRPr="00BF2102">
        <w:rPr>
          <w:rFonts w:cs="Open Sans"/>
        </w:rPr>
        <w:t> </w:t>
      </w:r>
      <w:r w:rsidR="000B34E7" w:rsidRPr="00BF2102">
        <w:rPr>
          <w:rFonts w:cs="Open Sans"/>
        </w:rPr>
        <w:t>35A).</w:t>
      </w:r>
    </w:p>
    <w:p w14:paraId="3283D5DF" w14:textId="6B5A7DBD" w:rsidR="00CC53A3" w:rsidRPr="00BF2102" w:rsidRDefault="00EE4DDB" w:rsidP="00310D03">
      <w:pPr>
        <w:pStyle w:val="ListNumber"/>
        <w:numPr>
          <w:ilvl w:val="0"/>
          <w:numId w:val="15"/>
        </w:numPr>
        <w:tabs>
          <w:tab w:val="num" w:pos="993"/>
          <w:tab w:val="left" w:pos="1418"/>
        </w:tabs>
        <w:ind w:left="709" w:hanging="567"/>
        <w:rPr>
          <w:rFonts w:cs="Open Sans"/>
        </w:rPr>
      </w:pPr>
      <w:r w:rsidRPr="00BF2102">
        <w:rPr>
          <w:rFonts w:cs="Open Sans"/>
        </w:rPr>
        <w:t>In summary, ss</w:t>
      </w:r>
      <w:r w:rsidR="00720C56" w:rsidRPr="00BF2102">
        <w:rPr>
          <w:rFonts w:cs="Open Sans"/>
        </w:rPr>
        <w:t> </w:t>
      </w:r>
      <w:r w:rsidRPr="00BF2102">
        <w:rPr>
          <w:rFonts w:cs="Open Sans"/>
        </w:rPr>
        <w:t>33A</w:t>
      </w:r>
      <w:r w:rsidR="00720C56" w:rsidRPr="00BF2102">
        <w:rPr>
          <w:rFonts w:cs="Open Sans"/>
        </w:rPr>
        <w:t>A</w:t>
      </w:r>
      <w:r w:rsidRPr="00BF2102">
        <w:rPr>
          <w:rFonts w:cs="Open Sans"/>
        </w:rPr>
        <w:t xml:space="preserve">, 35 and 35AA deal with </w:t>
      </w:r>
      <w:bookmarkStart w:id="44" w:name="_Hlk9505489"/>
      <w:r w:rsidRPr="00BF2102">
        <w:rPr>
          <w:rFonts w:cs="Open Sans"/>
        </w:rPr>
        <w:t>conduct-based citizenship loss</w:t>
      </w:r>
      <w:bookmarkEnd w:id="44"/>
      <w:r w:rsidR="004B6FDA" w:rsidRPr="00BF2102">
        <w:rPr>
          <w:rFonts w:cs="Open Sans"/>
        </w:rPr>
        <w:t xml:space="preserve"> for</w:t>
      </w:r>
      <w:r w:rsidR="00463141" w:rsidRPr="00BF2102">
        <w:rPr>
          <w:rFonts w:cs="Open Sans"/>
        </w:rPr>
        <w:t xml:space="preserve"> conduct </w:t>
      </w:r>
      <w:r w:rsidR="0000789B" w:rsidRPr="00BF2102">
        <w:rPr>
          <w:rFonts w:cs="Open Sans"/>
        </w:rPr>
        <w:t xml:space="preserve">that has taken place </w:t>
      </w:r>
      <w:r w:rsidR="00463141" w:rsidRPr="00BF2102">
        <w:rPr>
          <w:rFonts w:cs="Open Sans"/>
        </w:rPr>
        <w:t xml:space="preserve">outside Australia or </w:t>
      </w:r>
      <w:r w:rsidR="0000789B" w:rsidRPr="00BF2102">
        <w:rPr>
          <w:rFonts w:cs="Open Sans"/>
        </w:rPr>
        <w:t xml:space="preserve">for </w:t>
      </w:r>
      <w:r w:rsidR="004B6FDA" w:rsidRPr="00BF2102">
        <w:rPr>
          <w:rFonts w:cs="Open Sans"/>
        </w:rPr>
        <w:t xml:space="preserve">persons </w:t>
      </w:r>
      <w:r w:rsidR="00463141" w:rsidRPr="00BF2102">
        <w:rPr>
          <w:rFonts w:cs="Open Sans"/>
        </w:rPr>
        <w:t xml:space="preserve">who may be </w:t>
      </w:r>
      <w:r w:rsidR="004B6FDA" w:rsidRPr="00BF2102">
        <w:rPr>
          <w:rFonts w:cs="Open Sans"/>
        </w:rPr>
        <w:t xml:space="preserve">outside </w:t>
      </w:r>
      <w:r w:rsidR="00463141" w:rsidRPr="00BF2102">
        <w:rPr>
          <w:rFonts w:cs="Open Sans"/>
        </w:rPr>
        <w:t xml:space="preserve">the reach of </w:t>
      </w:r>
      <w:r w:rsidR="004B6FDA" w:rsidRPr="00BF2102">
        <w:rPr>
          <w:rFonts w:cs="Open Sans"/>
        </w:rPr>
        <w:t>Austr</w:t>
      </w:r>
      <w:r w:rsidR="00CC53A3" w:rsidRPr="00BF2102">
        <w:rPr>
          <w:rFonts w:cs="Open Sans"/>
        </w:rPr>
        <w:t>alia</w:t>
      </w:r>
      <w:r w:rsidR="00463141" w:rsidRPr="00BF2102">
        <w:rPr>
          <w:rFonts w:cs="Open Sans"/>
        </w:rPr>
        <w:t>n prosecution</w:t>
      </w:r>
      <w:r w:rsidR="0000789B" w:rsidRPr="00BF2102">
        <w:rPr>
          <w:rFonts w:cs="Open Sans"/>
        </w:rPr>
        <w:t>. These conduct-based provisions do not require that an individual be prosecuted or convicted before the individual’s citizenship is removed. By contrast</w:t>
      </w:r>
      <w:r w:rsidRPr="00BF2102">
        <w:rPr>
          <w:rFonts w:cs="Open Sans"/>
        </w:rPr>
        <w:t>, s</w:t>
      </w:r>
      <w:r w:rsidR="004C070A" w:rsidRPr="00BF2102">
        <w:rPr>
          <w:rFonts w:cs="Open Sans"/>
        </w:rPr>
        <w:t xml:space="preserve"> </w:t>
      </w:r>
      <w:r w:rsidRPr="00BF2102">
        <w:rPr>
          <w:rFonts w:cs="Open Sans"/>
        </w:rPr>
        <w:t>35A deals with conviction-based citizenship loss</w:t>
      </w:r>
      <w:r w:rsidR="00CC53A3" w:rsidRPr="00BF2102">
        <w:rPr>
          <w:rFonts w:cs="Open Sans"/>
        </w:rPr>
        <w:t xml:space="preserve"> for persons sentenced</w:t>
      </w:r>
      <w:r w:rsidR="00617F30" w:rsidRPr="00BF2102">
        <w:rPr>
          <w:rFonts w:cs="Open Sans"/>
        </w:rPr>
        <w:t xml:space="preserve"> </w:t>
      </w:r>
      <w:r w:rsidR="00463141" w:rsidRPr="00BF2102">
        <w:rPr>
          <w:rFonts w:cs="Open Sans"/>
        </w:rPr>
        <w:t xml:space="preserve">in Australia </w:t>
      </w:r>
      <w:r w:rsidR="00617F30" w:rsidRPr="00BF2102">
        <w:rPr>
          <w:rFonts w:cs="Open Sans"/>
        </w:rPr>
        <w:t>for certain offences</w:t>
      </w:r>
      <w:r w:rsidRPr="00BF2102">
        <w:rPr>
          <w:rFonts w:cs="Open Sans"/>
        </w:rPr>
        <w:t xml:space="preserve">. </w:t>
      </w:r>
    </w:p>
    <w:p w14:paraId="06B0978B" w14:textId="30991051" w:rsidR="00F232CC" w:rsidRPr="00BF2102" w:rsidRDefault="004B6FDA" w:rsidP="00310D03">
      <w:pPr>
        <w:pStyle w:val="ListNumber"/>
        <w:numPr>
          <w:ilvl w:val="0"/>
          <w:numId w:val="15"/>
        </w:numPr>
        <w:tabs>
          <w:tab w:val="num" w:pos="993"/>
          <w:tab w:val="left" w:pos="1418"/>
        </w:tabs>
        <w:ind w:left="709" w:hanging="567"/>
        <w:rPr>
          <w:rFonts w:cs="Open Sans"/>
        </w:rPr>
      </w:pPr>
      <w:r w:rsidRPr="00BF2102">
        <w:rPr>
          <w:rFonts w:cs="Open Sans"/>
        </w:rPr>
        <w:t xml:space="preserve">Different criteria, and procedural regimes, apply to these categories. </w:t>
      </w:r>
      <w:r w:rsidR="006C308F" w:rsidRPr="00BF2102">
        <w:rPr>
          <w:rFonts w:cs="Open Sans"/>
        </w:rPr>
        <w:t>C</w:t>
      </w:r>
      <w:r w:rsidRPr="00BF2102">
        <w:rPr>
          <w:rFonts w:cs="Open Sans"/>
        </w:rPr>
        <w:t xml:space="preserve">onduct-based citizenship loss occurs </w:t>
      </w:r>
      <w:r w:rsidRPr="00BF2102">
        <w:rPr>
          <w:rFonts w:cs="Open Sans"/>
          <w:i/>
        </w:rPr>
        <w:t xml:space="preserve">automatically </w:t>
      </w:r>
      <w:r w:rsidRPr="00BF2102">
        <w:rPr>
          <w:rFonts w:cs="Open Sans"/>
        </w:rPr>
        <w:t xml:space="preserve">when a person </w:t>
      </w:r>
      <w:r w:rsidR="00CC53A3" w:rsidRPr="00BF2102">
        <w:rPr>
          <w:rFonts w:cs="Open Sans"/>
        </w:rPr>
        <w:t xml:space="preserve">engages in the prohibited conduct </w:t>
      </w:r>
      <w:r w:rsidR="005848C7" w:rsidRPr="00BF2102">
        <w:rPr>
          <w:rFonts w:cs="Open Sans"/>
        </w:rPr>
        <w:t>outside Australia</w:t>
      </w:r>
      <w:r w:rsidRPr="00BF2102">
        <w:rPr>
          <w:rFonts w:cs="Open Sans"/>
        </w:rPr>
        <w:t>.</w:t>
      </w:r>
      <w:r w:rsidR="00CC53A3" w:rsidRPr="00BF2102">
        <w:rPr>
          <w:rFonts w:cs="Open Sans"/>
        </w:rPr>
        <w:t xml:space="preserve"> Conviction-based citizenship loss </w:t>
      </w:r>
      <w:r w:rsidR="004E6D14" w:rsidRPr="00BF2102">
        <w:rPr>
          <w:rFonts w:cs="Open Sans"/>
        </w:rPr>
        <w:t>occurs by way of a Ministerial determination</w:t>
      </w:r>
      <w:r w:rsidR="000C1D71" w:rsidRPr="00BF2102">
        <w:rPr>
          <w:rFonts w:cs="Open Sans"/>
        </w:rPr>
        <w:t>, which allows a measure of discretion</w:t>
      </w:r>
      <w:r w:rsidR="001B0174" w:rsidRPr="00BF2102">
        <w:rPr>
          <w:rFonts w:cs="Open Sans"/>
        </w:rPr>
        <w:t xml:space="preserve"> and consideration of relevant individual circumstances</w:t>
      </w:r>
      <w:r w:rsidR="004E6D14" w:rsidRPr="00BF2102">
        <w:rPr>
          <w:rFonts w:cs="Open Sans"/>
        </w:rPr>
        <w:t xml:space="preserve">. </w:t>
      </w:r>
    </w:p>
    <w:p w14:paraId="3FB26692" w14:textId="780920EB" w:rsidR="008B48EF" w:rsidRPr="00BF2102" w:rsidRDefault="008B48EF" w:rsidP="00310D03">
      <w:pPr>
        <w:pStyle w:val="ListNumber"/>
        <w:numPr>
          <w:ilvl w:val="0"/>
          <w:numId w:val="15"/>
        </w:numPr>
        <w:tabs>
          <w:tab w:val="num" w:pos="993"/>
          <w:tab w:val="left" w:pos="1418"/>
        </w:tabs>
        <w:ind w:left="709" w:hanging="567"/>
        <w:rPr>
          <w:rFonts w:cs="Open Sans"/>
        </w:rPr>
      </w:pPr>
      <w:r w:rsidRPr="00BF2102">
        <w:rPr>
          <w:rFonts w:cs="Open Sans"/>
        </w:rPr>
        <w:t>Subject to some limited exceptions,</w:t>
      </w:r>
      <w:r w:rsidR="008D23C9" w:rsidRPr="00BF2102">
        <w:rPr>
          <w:rFonts w:cs="Open Sans"/>
        </w:rPr>
        <w:t xml:space="preserve"> the removal of citizenship is permanent.</w:t>
      </w:r>
      <w:r w:rsidRPr="00BF2102">
        <w:rPr>
          <w:rFonts w:cs="Open Sans"/>
        </w:rPr>
        <w:t xml:space="preserve"> </w:t>
      </w:r>
      <w:r w:rsidR="008D23C9" w:rsidRPr="00BF2102">
        <w:rPr>
          <w:rFonts w:cs="Open Sans"/>
        </w:rPr>
        <w:t xml:space="preserve">Under </w:t>
      </w:r>
      <w:r w:rsidRPr="00BF2102">
        <w:rPr>
          <w:rFonts w:cs="Open Sans"/>
        </w:rPr>
        <w:t xml:space="preserve">s 36A of the </w:t>
      </w:r>
      <w:r w:rsidR="008D23C9" w:rsidRPr="00BF2102">
        <w:rPr>
          <w:rFonts w:cs="Open Sans"/>
        </w:rPr>
        <w:t>Citizenship</w:t>
      </w:r>
      <w:r w:rsidRPr="00BF2102">
        <w:rPr>
          <w:rFonts w:cs="Open Sans"/>
        </w:rPr>
        <w:t xml:space="preserve"> Act</w:t>
      </w:r>
      <w:r w:rsidR="008D23C9" w:rsidRPr="00BF2102">
        <w:rPr>
          <w:rFonts w:cs="Open Sans"/>
        </w:rPr>
        <w:t>,</w:t>
      </w:r>
      <w:r w:rsidRPr="00BF2102">
        <w:rPr>
          <w:rFonts w:cs="Open Sans"/>
        </w:rPr>
        <w:t xml:space="preserve"> once a person’s citizenship ceases under ss </w:t>
      </w:r>
      <w:r w:rsidR="008D23C9" w:rsidRPr="00BF2102">
        <w:rPr>
          <w:rFonts w:cs="Open Sans"/>
        </w:rPr>
        <w:t>33AA, 35 or 35A they can never</w:t>
      </w:r>
      <w:r w:rsidR="00860A47" w:rsidRPr="00BF2102">
        <w:rPr>
          <w:rFonts w:cs="Open Sans"/>
        </w:rPr>
        <w:t xml:space="preserve"> again</w:t>
      </w:r>
      <w:r w:rsidR="008D23C9" w:rsidRPr="00BF2102">
        <w:rPr>
          <w:rFonts w:cs="Open Sans"/>
        </w:rPr>
        <w:t xml:space="preserve"> become an Australian citizen</w:t>
      </w:r>
      <w:r w:rsidR="001A1318" w:rsidRPr="00BF2102">
        <w:rPr>
          <w:rFonts w:cs="Open Sans"/>
        </w:rPr>
        <w:t xml:space="preserve"> unless the Minister </w:t>
      </w:r>
      <w:proofErr w:type="gramStart"/>
      <w:r w:rsidR="001A1318" w:rsidRPr="00BF2102">
        <w:rPr>
          <w:rFonts w:cs="Open Sans"/>
        </w:rPr>
        <w:t>makes a decision</w:t>
      </w:r>
      <w:proofErr w:type="gramEnd"/>
      <w:r w:rsidR="001A1318" w:rsidRPr="00BF2102">
        <w:rPr>
          <w:rFonts w:cs="Open Sans"/>
        </w:rPr>
        <w:t xml:space="preserve"> that </w:t>
      </w:r>
      <w:r w:rsidR="00950001" w:rsidRPr="00BF2102">
        <w:rPr>
          <w:rFonts w:cs="Open Sans"/>
        </w:rPr>
        <w:t xml:space="preserve">the person should be exempt from the effect of the </w:t>
      </w:r>
      <w:r w:rsidR="001A1318" w:rsidRPr="00BF2102">
        <w:rPr>
          <w:rFonts w:cs="Open Sans"/>
        </w:rPr>
        <w:t>citizenship loss provision</w:t>
      </w:r>
      <w:r w:rsidR="008D23C9" w:rsidRPr="00BF2102">
        <w:rPr>
          <w:rFonts w:cs="Open Sans"/>
        </w:rPr>
        <w:t>.</w:t>
      </w:r>
    </w:p>
    <w:p w14:paraId="3A15B5EC" w14:textId="5D1B3140" w:rsidR="00E50478" w:rsidRPr="00BF2102" w:rsidRDefault="00E50478" w:rsidP="00310D03">
      <w:pPr>
        <w:pStyle w:val="ListNumber"/>
        <w:numPr>
          <w:ilvl w:val="0"/>
          <w:numId w:val="15"/>
        </w:numPr>
        <w:tabs>
          <w:tab w:val="num" w:pos="993"/>
          <w:tab w:val="left" w:pos="1418"/>
        </w:tabs>
        <w:ind w:left="709" w:hanging="567"/>
        <w:rPr>
          <w:rFonts w:cs="Open Sans"/>
        </w:rPr>
      </w:pPr>
      <w:r w:rsidRPr="00BF2102">
        <w:rPr>
          <w:rFonts w:cs="Open Sans"/>
        </w:rPr>
        <w:t xml:space="preserve">Prior to the passage of the Allegiance Act, the circumstances in which an Australian citizen could involuntarily lose their citizenship were relatively confined. The Allegiance Act significantly expanded </w:t>
      </w:r>
      <w:r w:rsidR="00C11518" w:rsidRPr="00BF2102">
        <w:rPr>
          <w:rFonts w:cs="Open Sans"/>
        </w:rPr>
        <w:t xml:space="preserve">the circumstances under which </w:t>
      </w:r>
      <w:r w:rsidRPr="00BF2102">
        <w:rPr>
          <w:rFonts w:cs="Open Sans"/>
        </w:rPr>
        <w:t>both automatic and discretionary citizenship</w:t>
      </w:r>
      <w:r w:rsidR="002B6BD0" w:rsidRPr="00BF2102">
        <w:rPr>
          <w:rFonts w:cs="Open Sans"/>
        </w:rPr>
        <w:t xml:space="preserve"> loss</w:t>
      </w:r>
      <w:r w:rsidR="00DA2762" w:rsidRPr="00BF2102">
        <w:rPr>
          <w:rFonts w:cs="Open Sans"/>
        </w:rPr>
        <w:t xml:space="preserve"> </w:t>
      </w:r>
      <w:r w:rsidR="00C11518" w:rsidRPr="00BF2102">
        <w:rPr>
          <w:rFonts w:cs="Open Sans"/>
        </w:rPr>
        <w:t>can occur</w:t>
      </w:r>
      <w:r w:rsidRPr="00BF2102">
        <w:rPr>
          <w:rFonts w:cs="Open Sans"/>
        </w:rPr>
        <w:t xml:space="preserve">. </w:t>
      </w:r>
    </w:p>
    <w:p w14:paraId="6DF0F221" w14:textId="20482DED" w:rsidR="00910A40" w:rsidRPr="00BF2102" w:rsidRDefault="00617F30" w:rsidP="00310D03">
      <w:pPr>
        <w:pStyle w:val="ListNumber"/>
        <w:numPr>
          <w:ilvl w:val="0"/>
          <w:numId w:val="15"/>
        </w:numPr>
        <w:tabs>
          <w:tab w:val="num" w:pos="993"/>
          <w:tab w:val="left" w:pos="1418"/>
        </w:tabs>
        <w:ind w:left="709" w:hanging="567"/>
        <w:rPr>
          <w:rFonts w:cs="Open Sans"/>
        </w:rPr>
      </w:pPr>
      <w:r w:rsidRPr="00BF2102">
        <w:rPr>
          <w:rFonts w:cs="Open Sans"/>
        </w:rPr>
        <w:lastRenderedPageBreak/>
        <w:t>Notably</w:t>
      </w:r>
      <w:r w:rsidR="00997C6C" w:rsidRPr="00BF2102">
        <w:rPr>
          <w:rFonts w:cs="Open Sans"/>
        </w:rPr>
        <w:t xml:space="preserve"> however</w:t>
      </w:r>
      <w:r w:rsidRPr="00BF2102">
        <w:rPr>
          <w:rFonts w:cs="Open Sans"/>
        </w:rPr>
        <w:t xml:space="preserve">, the initial </w:t>
      </w:r>
      <w:r w:rsidRPr="00BF2102">
        <w:rPr>
          <w:rFonts w:cs="Open Sans"/>
          <w:i/>
        </w:rPr>
        <w:t>Australian Citizenship Amendment (Allegiance to Australia) Bill 2015</w:t>
      </w:r>
      <w:r w:rsidR="00590CD7" w:rsidRPr="00BF2102">
        <w:rPr>
          <w:rFonts w:cs="Open Sans"/>
          <w:i/>
        </w:rPr>
        <w:t xml:space="preserve"> </w:t>
      </w:r>
      <w:r w:rsidR="00590CD7" w:rsidRPr="00BF2102">
        <w:rPr>
          <w:rFonts w:cs="Open Sans"/>
        </w:rPr>
        <w:t>(Cth)</w:t>
      </w:r>
      <w:r w:rsidRPr="00BF2102">
        <w:rPr>
          <w:rFonts w:cs="Open Sans"/>
          <w:i/>
        </w:rPr>
        <w:t xml:space="preserve"> </w:t>
      </w:r>
      <w:r w:rsidRPr="00BF2102">
        <w:rPr>
          <w:rFonts w:cs="Open Sans"/>
        </w:rPr>
        <w:t xml:space="preserve">(the </w:t>
      </w:r>
      <w:r w:rsidR="000C1D71" w:rsidRPr="00BF2102">
        <w:rPr>
          <w:rFonts w:cs="Open Sans"/>
        </w:rPr>
        <w:t xml:space="preserve">Allegiance </w:t>
      </w:r>
      <w:r w:rsidRPr="00BF2102">
        <w:rPr>
          <w:rFonts w:cs="Open Sans"/>
        </w:rPr>
        <w:t xml:space="preserve">Bill), introduced </w:t>
      </w:r>
      <w:r w:rsidR="00590CD7" w:rsidRPr="00BF2102">
        <w:rPr>
          <w:rFonts w:cs="Open Sans"/>
        </w:rPr>
        <w:t xml:space="preserve">into Parliament </w:t>
      </w:r>
      <w:r w:rsidRPr="00BF2102">
        <w:rPr>
          <w:rFonts w:cs="Open Sans"/>
        </w:rPr>
        <w:t xml:space="preserve">on 24 June 2015, was </w:t>
      </w:r>
      <w:r w:rsidR="000C1D71" w:rsidRPr="00BF2102">
        <w:rPr>
          <w:rFonts w:cs="Open Sans"/>
        </w:rPr>
        <w:t>considerably</w:t>
      </w:r>
      <w:r w:rsidRPr="00BF2102">
        <w:rPr>
          <w:rFonts w:cs="Open Sans"/>
        </w:rPr>
        <w:t xml:space="preserve"> reformed before its final passage. </w:t>
      </w:r>
    </w:p>
    <w:p w14:paraId="0BE0879B" w14:textId="12C839A5" w:rsidR="003909D1" w:rsidRPr="00BF2102" w:rsidRDefault="00617F30" w:rsidP="00310D03">
      <w:pPr>
        <w:pStyle w:val="ListNumber"/>
        <w:numPr>
          <w:ilvl w:val="0"/>
          <w:numId w:val="15"/>
        </w:numPr>
        <w:tabs>
          <w:tab w:val="num" w:pos="993"/>
          <w:tab w:val="left" w:pos="1418"/>
        </w:tabs>
        <w:ind w:left="709" w:hanging="567"/>
        <w:rPr>
          <w:rFonts w:cs="Open Sans"/>
        </w:rPr>
      </w:pPr>
      <w:r w:rsidRPr="00BF2102">
        <w:rPr>
          <w:rFonts w:cs="Open Sans"/>
        </w:rPr>
        <w:t xml:space="preserve">The initial </w:t>
      </w:r>
      <w:r w:rsidR="000C1D71" w:rsidRPr="00BF2102">
        <w:rPr>
          <w:rFonts w:cs="Open Sans"/>
        </w:rPr>
        <w:t xml:space="preserve">Allegiance </w:t>
      </w:r>
      <w:r w:rsidRPr="00BF2102">
        <w:rPr>
          <w:rFonts w:cs="Open Sans"/>
        </w:rPr>
        <w:t xml:space="preserve">Bill was referred to the </w:t>
      </w:r>
      <w:r w:rsidR="005A1AE5" w:rsidRPr="00BF2102">
        <w:rPr>
          <w:rFonts w:cs="Open Sans"/>
        </w:rPr>
        <w:t>Committee</w:t>
      </w:r>
      <w:r w:rsidRPr="00BF2102">
        <w:rPr>
          <w:rFonts w:cs="Open Sans"/>
        </w:rPr>
        <w:t xml:space="preserve"> for inquiry and report. The Commission </w:t>
      </w:r>
      <w:r w:rsidR="000C1D71" w:rsidRPr="00BF2102">
        <w:rPr>
          <w:rFonts w:cs="Open Sans"/>
        </w:rPr>
        <w:t xml:space="preserve">made a submission to the </w:t>
      </w:r>
      <w:r w:rsidR="005A1AE5" w:rsidRPr="00BF2102">
        <w:rPr>
          <w:rFonts w:cs="Open Sans"/>
        </w:rPr>
        <w:t>Committee</w:t>
      </w:r>
      <w:r w:rsidR="00EB272C" w:rsidRPr="00BF2102">
        <w:rPr>
          <w:rFonts w:cs="Open Sans"/>
        </w:rPr>
        <w:t>’s</w:t>
      </w:r>
      <w:r w:rsidR="000C1D71" w:rsidRPr="00BF2102">
        <w:rPr>
          <w:rFonts w:cs="Open Sans"/>
        </w:rPr>
        <w:t xml:space="preserve"> inquiry on 16 July 2015</w:t>
      </w:r>
      <w:r w:rsidR="00910A40" w:rsidRPr="00BF2102">
        <w:rPr>
          <w:rFonts w:cs="Open Sans"/>
        </w:rPr>
        <w:t xml:space="preserve">, </w:t>
      </w:r>
      <w:r w:rsidR="001B0AB4" w:rsidRPr="00BF2102">
        <w:rPr>
          <w:rFonts w:cs="Open Sans"/>
        </w:rPr>
        <w:t>setting out</w:t>
      </w:r>
      <w:r w:rsidR="00910A40" w:rsidRPr="00BF2102">
        <w:rPr>
          <w:rFonts w:cs="Open Sans"/>
        </w:rPr>
        <w:t xml:space="preserve"> significant</w:t>
      </w:r>
      <w:r w:rsidR="007C2897" w:rsidRPr="00BF2102">
        <w:rPr>
          <w:rFonts w:cs="Open Sans"/>
        </w:rPr>
        <w:t xml:space="preserve"> human rights</w:t>
      </w:r>
      <w:r w:rsidR="00910A40" w:rsidRPr="00BF2102">
        <w:rPr>
          <w:rFonts w:cs="Open Sans"/>
        </w:rPr>
        <w:t xml:space="preserve"> concerns</w:t>
      </w:r>
      <w:r w:rsidR="000C1D71" w:rsidRPr="00BF2102">
        <w:rPr>
          <w:rFonts w:cs="Open Sans"/>
        </w:rPr>
        <w:t>.</w:t>
      </w:r>
      <w:r w:rsidR="007C2897" w:rsidRPr="00BF2102">
        <w:rPr>
          <w:rStyle w:val="EndnoteReference"/>
          <w:rFonts w:cs="Open Sans"/>
        </w:rPr>
        <w:endnoteReference w:id="12"/>
      </w:r>
      <w:r w:rsidRPr="00BF2102">
        <w:rPr>
          <w:rFonts w:cs="Open Sans"/>
        </w:rPr>
        <w:t xml:space="preserve"> </w:t>
      </w:r>
    </w:p>
    <w:p w14:paraId="5891ACB2" w14:textId="296B0800" w:rsidR="00617F30" w:rsidRPr="00BF2102" w:rsidRDefault="00617F30" w:rsidP="00310D03">
      <w:pPr>
        <w:pStyle w:val="ListNumber"/>
        <w:numPr>
          <w:ilvl w:val="0"/>
          <w:numId w:val="15"/>
        </w:numPr>
        <w:tabs>
          <w:tab w:val="num" w:pos="993"/>
          <w:tab w:val="left" w:pos="1418"/>
        </w:tabs>
        <w:ind w:left="709" w:hanging="567"/>
        <w:rPr>
          <w:rFonts w:cs="Open Sans"/>
        </w:rPr>
      </w:pPr>
      <w:r w:rsidRPr="00BF2102">
        <w:rPr>
          <w:rFonts w:cs="Open Sans"/>
        </w:rPr>
        <w:t>The Committee tabled its report on 4 September 2015</w:t>
      </w:r>
      <w:r w:rsidR="001B0AB4" w:rsidRPr="00BF2102">
        <w:rPr>
          <w:rFonts w:cs="Open Sans"/>
        </w:rPr>
        <w:t xml:space="preserve"> and</w:t>
      </w:r>
      <w:r w:rsidR="000C1D71" w:rsidRPr="00BF2102">
        <w:rPr>
          <w:rFonts w:cs="Open Sans"/>
        </w:rPr>
        <w:t xml:space="preserve"> ma</w:t>
      </w:r>
      <w:r w:rsidR="001B0AB4" w:rsidRPr="00BF2102">
        <w:rPr>
          <w:rFonts w:cs="Open Sans"/>
        </w:rPr>
        <w:t>de</w:t>
      </w:r>
      <w:r w:rsidR="000C1D71" w:rsidRPr="00BF2102">
        <w:rPr>
          <w:rFonts w:cs="Open Sans"/>
        </w:rPr>
        <w:t xml:space="preserve"> 27</w:t>
      </w:r>
      <w:r w:rsidR="00950001" w:rsidRPr="00BF2102">
        <w:rPr>
          <w:rFonts w:cs="Open Sans"/>
        </w:rPr>
        <w:t xml:space="preserve"> </w:t>
      </w:r>
      <w:r w:rsidR="000C1D71" w:rsidRPr="00BF2102">
        <w:rPr>
          <w:rFonts w:cs="Open Sans"/>
        </w:rPr>
        <w:t>recommendations.</w:t>
      </w:r>
      <w:r w:rsidR="00BC4C26" w:rsidRPr="00BF2102">
        <w:rPr>
          <w:rStyle w:val="EndnoteReference"/>
          <w:rFonts w:cs="Open Sans"/>
        </w:rPr>
        <w:endnoteReference w:id="13"/>
      </w:r>
      <w:r w:rsidR="00BC4C26" w:rsidRPr="00BF2102">
        <w:rPr>
          <w:rFonts w:cs="Open Sans"/>
        </w:rPr>
        <w:t xml:space="preserve"> </w:t>
      </w:r>
      <w:r w:rsidR="001B0AB4" w:rsidRPr="00BF2102">
        <w:rPr>
          <w:rFonts w:cs="Open Sans"/>
        </w:rPr>
        <w:t>In response, t</w:t>
      </w:r>
      <w:r w:rsidR="00910A40" w:rsidRPr="00BF2102">
        <w:rPr>
          <w:rFonts w:cs="Open Sans"/>
        </w:rPr>
        <w:t>he Government made</w:t>
      </w:r>
      <w:r w:rsidR="005A1AE5" w:rsidRPr="00BF2102">
        <w:rPr>
          <w:rFonts w:cs="Open Sans"/>
        </w:rPr>
        <w:t xml:space="preserve"> </w:t>
      </w:r>
      <w:r w:rsidR="00E65272" w:rsidRPr="00BF2102">
        <w:rPr>
          <w:rFonts w:cs="Open Sans"/>
        </w:rPr>
        <w:t xml:space="preserve">numerous </w:t>
      </w:r>
      <w:r w:rsidR="00910A40" w:rsidRPr="00BF2102">
        <w:rPr>
          <w:rFonts w:cs="Open Sans"/>
        </w:rPr>
        <w:t>amendments to the Allegiance Bill</w:t>
      </w:r>
      <w:r w:rsidR="00DA2474" w:rsidRPr="00BF2102">
        <w:rPr>
          <w:rFonts w:cs="Open Sans"/>
        </w:rPr>
        <w:t xml:space="preserve">, stating that </w:t>
      </w:r>
      <w:r w:rsidR="005A1AE5" w:rsidRPr="00BF2102">
        <w:rPr>
          <w:rFonts w:cs="Open Sans"/>
        </w:rPr>
        <w:t>it had implemented the Committee’s</w:t>
      </w:r>
      <w:r w:rsidR="00DA2474" w:rsidRPr="00BF2102">
        <w:rPr>
          <w:rFonts w:cs="Open Sans"/>
        </w:rPr>
        <w:t xml:space="preserve"> recommendations</w:t>
      </w:r>
      <w:r w:rsidR="00950001" w:rsidRPr="00BF2102">
        <w:rPr>
          <w:rFonts w:cs="Open Sans"/>
        </w:rPr>
        <w:t>.</w:t>
      </w:r>
      <w:r w:rsidR="00DA2474" w:rsidRPr="00BF2102">
        <w:rPr>
          <w:rFonts w:cs="Open Sans"/>
        </w:rPr>
        <w:t xml:space="preserve"> </w:t>
      </w:r>
    </w:p>
    <w:p w14:paraId="679AFD08" w14:textId="6B8AF506" w:rsidR="00CE4569" w:rsidRPr="00BF2102" w:rsidRDefault="007C2897" w:rsidP="00310D03">
      <w:pPr>
        <w:pStyle w:val="ListNumber"/>
        <w:numPr>
          <w:ilvl w:val="0"/>
          <w:numId w:val="15"/>
        </w:numPr>
        <w:tabs>
          <w:tab w:val="num" w:pos="993"/>
          <w:tab w:val="left" w:pos="1418"/>
        </w:tabs>
        <w:ind w:left="709" w:hanging="567"/>
        <w:rPr>
          <w:rFonts w:cs="Open Sans"/>
        </w:rPr>
      </w:pPr>
      <w:r w:rsidRPr="00BF2102">
        <w:rPr>
          <w:rFonts w:cs="Open Sans"/>
        </w:rPr>
        <w:t>The Commission welcomes re</w:t>
      </w:r>
      <w:r w:rsidR="003A0B64" w:rsidRPr="00BF2102">
        <w:rPr>
          <w:rFonts w:cs="Open Sans"/>
        </w:rPr>
        <w:t>visions</w:t>
      </w:r>
      <w:r w:rsidRPr="00BF2102">
        <w:rPr>
          <w:rFonts w:cs="Open Sans"/>
        </w:rPr>
        <w:t xml:space="preserve"> made to the Allegiance Bill </w:t>
      </w:r>
      <w:r w:rsidR="001B0AB4" w:rsidRPr="00BF2102">
        <w:rPr>
          <w:rFonts w:cs="Open Sans"/>
        </w:rPr>
        <w:t>as a result of the Committee’s review in 2015.</w:t>
      </w:r>
      <w:r w:rsidR="00B27FF7" w:rsidRPr="00BF2102">
        <w:rPr>
          <w:rFonts w:cs="Open Sans"/>
        </w:rPr>
        <w:t xml:space="preserve"> Many of these changes reflected recommendations that the Commission had made to the Committee. In particular, the Commission had made a range of recommendations aimed at ensuring that there </w:t>
      </w:r>
      <w:r w:rsidR="00F05DC8" w:rsidRPr="00BF2102">
        <w:rPr>
          <w:rFonts w:cs="Open Sans"/>
        </w:rPr>
        <w:t>were</w:t>
      </w:r>
      <w:r w:rsidR="00B27FF7" w:rsidRPr="00BF2102">
        <w:rPr>
          <w:rFonts w:cs="Open Sans"/>
        </w:rPr>
        <w:t xml:space="preserve"> procedural </w:t>
      </w:r>
      <w:r w:rsidR="00F05DC8" w:rsidRPr="00BF2102">
        <w:rPr>
          <w:rFonts w:cs="Open Sans"/>
        </w:rPr>
        <w:t xml:space="preserve">safeguards </w:t>
      </w:r>
      <w:r w:rsidR="00B27FF7" w:rsidRPr="00BF2102">
        <w:rPr>
          <w:rFonts w:cs="Open Sans"/>
        </w:rPr>
        <w:t xml:space="preserve">in the process of </w:t>
      </w:r>
      <w:r w:rsidR="00756675" w:rsidRPr="00BF2102">
        <w:rPr>
          <w:rFonts w:cs="Open Sans"/>
        </w:rPr>
        <w:t xml:space="preserve">assessing whether </w:t>
      </w:r>
      <w:r w:rsidR="00B27FF7" w:rsidRPr="00BF2102">
        <w:rPr>
          <w:rFonts w:cs="Open Sans"/>
        </w:rPr>
        <w:t>a person’s citizenship</w:t>
      </w:r>
      <w:r w:rsidR="00756675" w:rsidRPr="00BF2102">
        <w:rPr>
          <w:rFonts w:cs="Open Sans"/>
        </w:rPr>
        <w:t xml:space="preserve"> should </w:t>
      </w:r>
      <w:r w:rsidR="0071497B" w:rsidRPr="00BF2102">
        <w:rPr>
          <w:rFonts w:cs="Open Sans"/>
        </w:rPr>
        <w:t>cease</w:t>
      </w:r>
      <w:r w:rsidR="00B27FF7" w:rsidRPr="00BF2102">
        <w:rPr>
          <w:rFonts w:cs="Open Sans"/>
        </w:rPr>
        <w:t>. In this regard, the Commission had recommended that:</w:t>
      </w:r>
    </w:p>
    <w:p w14:paraId="7E7C487B" w14:textId="77777777" w:rsidR="00B27FF7" w:rsidRPr="00BF2102" w:rsidRDefault="00B27FF7" w:rsidP="00310D03">
      <w:pPr>
        <w:pStyle w:val="ListParagraph"/>
        <w:numPr>
          <w:ilvl w:val="0"/>
          <w:numId w:val="34"/>
        </w:numPr>
        <w:spacing w:before="120" w:after="120"/>
        <w:rPr>
          <w:rFonts w:cs="Open Sans"/>
        </w:rPr>
      </w:pPr>
      <w:r w:rsidRPr="00BF2102">
        <w:rPr>
          <w:rFonts w:cs="Open Sans"/>
        </w:rPr>
        <w:t>loss of citizenship should not be automatic</w:t>
      </w:r>
    </w:p>
    <w:p w14:paraId="00F5A593" w14:textId="77777777" w:rsidR="00B27FF7" w:rsidRPr="00BF2102" w:rsidRDefault="00B27FF7" w:rsidP="00310D03">
      <w:pPr>
        <w:pStyle w:val="ListParagraph"/>
        <w:numPr>
          <w:ilvl w:val="0"/>
          <w:numId w:val="34"/>
        </w:numPr>
        <w:spacing w:before="120" w:after="120"/>
        <w:ind w:hanging="357"/>
        <w:rPr>
          <w:rFonts w:cs="Open Sans"/>
        </w:rPr>
      </w:pPr>
      <w:r w:rsidRPr="00BF2102">
        <w:rPr>
          <w:rFonts w:cs="Open Sans"/>
        </w:rPr>
        <w:t xml:space="preserve">any decision or mechanism to deprive a person of citizenship should </w:t>
      </w:r>
      <w:proofErr w:type="gramStart"/>
      <w:r w:rsidRPr="00BF2102">
        <w:rPr>
          <w:rFonts w:cs="Open Sans"/>
        </w:rPr>
        <w:t>take into account</w:t>
      </w:r>
      <w:proofErr w:type="gramEnd"/>
      <w:r w:rsidRPr="00BF2102">
        <w:rPr>
          <w:rFonts w:cs="Open Sans"/>
        </w:rPr>
        <w:t xml:space="preserve"> the particular circumstances of the person and their conduct</w:t>
      </w:r>
    </w:p>
    <w:p w14:paraId="6ADDBADD" w14:textId="77777777" w:rsidR="00B27FF7" w:rsidRPr="00BF2102" w:rsidRDefault="00B27FF7" w:rsidP="00310D03">
      <w:pPr>
        <w:pStyle w:val="ListParagraph"/>
        <w:numPr>
          <w:ilvl w:val="0"/>
          <w:numId w:val="34"/>
        </w:numPr>
        <w:spacing w:before="120" w:after="120"/>
        <w:ind w:hanging="357"/>
        <w:rPr>
          <w:rFonts w:cs="Open Sans"/>
        </w:rPr>
      </w:pPr>
      <w:r w:rsidRPr="00BF2102">
        <w:rPr>
          <w:rFonts w:cs="Open Sans"/>
        </w:rPr>
        <w:t>the Minister should be required to notify any person who loses their citizenship of that loss, and the reasons for it</w:t>
      </w:r>
    </w:p>
    <w:p w14:paraId="02FABDD6" w14:textId="77777777" w:rsidR="00CE538D" w:rsidRPr="00BF2102" w:rsidRDefault="00B27FF7" w:rsidP="00310D03">
      <w:pPr>
        <w:pStyle w:val="ListParagraph"/>
        <w:numPr>
          <w:ilvl w:val="0"/>
          <w:numId w:val="34"/>
        </w:numPr>
        <w:spacing w:before="120" w:after="120"/>
        <w:ind w:hanging="357"/>
        <w:rPr>
          <w:rFonts w:cs="Open Sans"/>
        </w:rPr>
      </w:pPr>
      <w:r w:rsidRPr="00BF2102">
        <w:rPr>
          <w:rFonts w:cs="Open Sans"/>
        </w:rPr>
        <w:t>an affected person should be entitled to make submissions to the relevant decision maker</w:t>
      </w:r>
    </w:p>
    <w:p w14:paraId="349C800C" w14:textId="4DAB84E6" w:rsidR="00B27FF7" w:rsidRPr="00BF2102" w:rsidRDefault="00CE538D" w:rsidP="00310D03">
      <w:pPr>
        <w:pStyle w:val="ListParagraph"/>
        <w:numPr>
          <w:ilvl w:val="0"/>
          <w:numId w:val="34"/>
        </w:numPr>
        <w:spacing w:before="120" w:after="120"/>
        <w:ind w:hanging="357"/>
        <w:rPr>
          <w:rFonts w:cs="Open Sans"/>
        </w:rPr>
      </w:pPr>
      <w:r w:rsidRPr="00BF2102">
        <w:rPr>
          <w:rFonts w:cs="Open Sans"/>
        </w:rPr>
        <w:t>any decision leading to loss of citizenship should attract a full right of appeal</w:t>
      </w:r>
      <w:r w:rsidR="00B27FF7" w:rsidRPr="00BF2102">
        <w:rPr>
          <w:rFonts w:cs="Open Sans"/>
        </w:rPr>
        <w:t>.</w:t>
      </w:r>
    </w:p>
    <w:p w14:paraId="3EE4AE42" w14:textId="7BCA011E" w:rsidR="002F60BA" w:rsidRPr="00BF2102" w:rsidRDefault="00CE538D" w:rsidP="00310D03">
      <w:pPr>
        <w:pStyle w:val="ListNumber"/>
        <w:numPr>
          <w:ilvl w:val="0"/>
          <w:numId w:val="15"/>
        </w:numPr>
        <w:tabs>
          <w:tab w:val="num" w:pos="993"/>
          <w:tab w:val="left" w:pos="1418"/>
        </w:tabs>
        <w:ind w:left="709" w:hanging="567"/>
        <w:rPr>
          <w:rFonts w:cs="Open Sans"/>
        </w:rPr>
      </w:pPr>
      <w:r w:rsidRPr="00BF2102">
        <w:rPr>
          <w:rFonts w:cs="Open Sans"/>
        </w:rPr>
        <w:t>C</w:t>
      </w:r>
      <w:r w:rsidR="00743B26" w:rsidRPr="00BF2102">
        <w:rPr>
          <w:rFonts w:cs="Open Sans"/>
        </w:rPr>
        <w:t>hanges were made to the operation of the conviction-based loss regime in s 35</w:t>
      </w:r>
      <w:r w:rsidR="003C6247" w:rsidRPr="00BF2102">
        <w:rPr>
          <w:rFonts w:cs="Open Sans"/>
        </w:rPr>
        <w:t>A</w:t>
      </w:r>
      <w:r w:rsidR="00D600EC" w:rsidRPr="00BF2102">
        <w:rPr>
          <w:rFonts w:cs="Open Sans"/>
        </w:rPr>
        <w:t xml:space="preserve"> </w:t>
      </w:r>
      <w:r w:rsidRPr="00BF2102">
        <w:rPr>
          <w:rFonts w:cs="Open Sans"/>
        </w:rPr>
        <w:t>to include most of the</w:t>
      </w:r>
      <w:r w:rsidR="0071497B" w:rsidRPr="00BF2102">
        <w:rPr>
          <w:rFonts w:cs="Open Sans"/>
        </w:rPr>
        <w:t xml:space="preserve"> recommended</w:t>
      </w:r>
      <w:r w:rsidRPr="00BF2102">
        <w:rPr>
          <w:rFonts w:cs="Open Sans"/>
        </w:rPr>
        <w:t xml:space="preserve"> procedural </w:t>
      </w:r>
      <w:r w:rsidR="00F05DC8" w:rsidRPr="00BF2102">
        <w:rPr>
          <w:rFonts w:cs="Open Sans"/>
        </w:rPr>
        <w:t>safeguards</w:t>
      </w:r>
      <w:r w:rsidR="00743B26" w:rsidRPr="00BF2102">
        <w:rPr>
          <w:rFonts w:cs="Open Sans"/>
        </w:rPr>
        <w:t>.</w:t>
      </w:r>
      <w:r w:rsidR="00CE4569" w:rsidRPr="00BF2102">
        <w:rPr>
          <w:rFonts w:cs="Open Sans"/>
        </w:rPr>
        <w:t xml:space="preserve"> This regime was originally proposed to be </w:t>
      </w:r>
      <w:r w:rsidR="00506565" w:rsidRPr="00BF2102">
        <w:rPr>
          <w:rFonts w:cs="Open Sans"/>
        </w:rPr>
        <w:t>automatic, similar to the operation of the conduct-based loss regime</w:t>
      </w:r>
      <w:r w:rsidRPr="00BF2102">
        <w:rPr>
          <w:rFonts w:cs="Open Sans"/>
        </w:rPr>
        <w:t xml:space="preserve"> introduced at the same time</w:t>
      </w:r>
      <w:r w:rsidR="00506565" w:rsidRPr="00BF2102">
        <w:rPr>
          <w:rFonts w:cs="Open Sans"/>
        </w:rPr>
        <w:t xml:space="preserve">. </w:t>
      </w:r>
      <w:r w:rsidR="00D600EC" w:rsidRPr="00BF2102">
        <w:rPr>
          <w:rFonts w:cs="Open Sans"/>
        </w:rPr>
        <w:t>It was instead revised to require a Ministerial determination</w:t>
      </w:r>
      <w:r w:rsidR="00506565" w:rsidRPr="00BF2102">
        <w:rPr>
          <w:rFonts w:cs="Open Sans"/>
        </w:rPr>
        <w:t xml:space="preserve">, </w:t>
      </w:r>
      <w:r w:rsidR="00D600EC" w:rsidRPr="00BF2102">
        <w:rPr>
          <w:rFonts w:cs="Open Sans"/>
        </w:rPr>
        <w:t>following consideration of particular relevant factors. The</w:t>
      </w:r>
      <w:r w:rsidR="00872BAE" w:rsidRPr="00BF2102">
        <w:rPr>
          <w:rFonts w:cs="Open Sans"/>
        </w:rPr>
        <w:t xml:space="preserve"> Minister is bound by the rules of natural justice in considering whether to </w:t>
      </w:r>
      <w:proofErr w:type="gramStart"/>
      <w:r w:rsidR="00872BAE" w:rsidRPr="00BF2102">
        <w:rPr>
          <w:rFonts w:cs="Open Sans"/>
        </w:rPr>
        <w:t>make a determination</w:t>
      </w:r>
      <w:proofErr w:type="gramEnd"/>
      <w:r w:rsidR="00872BAE" w:rsidRPr="00BF2102">
        <w:rPr>
          <w:rFonts w:cs="Open Sans"/>
        </w:rPr>
        <w:t>.</w:t>
      </w:r>
      <w:r w:rsidR="007C1440" w:rsidRPr="00BF2102">
        <w:rPr>
          <w:rFonts w:cs="Open Sans"/>
        </w:rPr>
        <w:t xml:space="preserve"> There are notice obligations which require that the affected person be notified and provided with reasons for the determination. </w:t>
      </w:r>
      <w:r w:rsidR="00756675" w:rsidRPr="00BF2102">
        <w:rPr>
          <w:rFonts w:cs="Open Sans"/>
        </w:rPr>
        <w:t>T</w:t>
      </w:r>
      <w:r w:rsidR="002F60BA" w:rsidRPr="00BF2102">
        <w:rPr>
          <w:rFonts w:cs="Open Sans"/>
        </w:rPr>
        <w:t xml:space="preserve">he determination by the Minister is subject to judicial review. </w:t>
      </w:r>
    </w:p>
    <w:p w14:paraId="3FEA09FA" w14:textId="03460EF0" w:rsidR="00743B26" w:rsidRPr="00BF2102" w:rsidRDefault="002F60BA" w:rsidP="00310D03">
      <w:pPr>
        <w:pStyle w:val="ListNumber"/>
        <w:numPr>
          <w:ilvl w:val="0"/>
          <w:numId w:val="15"/>
        </w:numPr>
        <w:tabs>
          <w:tab w:val="num" w:pos="993"/>
          <w:tab w:val="left" w:pos="1418"/>
        </w:tabs>
        <w:ind w:left="709" w:hanging="567"/>
        <w:rPr>
          <w:rFonts w:cs="Open Sans"/>
        </w:rPr>
      </w:pPr>
      <w:r w:rsidRPr="00BF2102">
        <w:rPr>
          <w:rFonts w:cs="Open Sans"/>
        </w:rPr>
        <w:lastRenderedPageBreak/>
        <w:t>While the</w:t>
      </w:r>
      <w:r w:rsidR="0071497B" w:rsidRPr="00BF2102">
        <w:rPr>
          <w:rFonts w:cs="Open Sans"/>
        </w:rPr>
        <w:t>se</w:t>
      </w:r>
      <w:r w:rsidRPr="00BF2102">
        <w:rPr>
          <w:rFonts w:cs="Open Sans"/>
        </w:rPr>
        <w:t xml:space="preserve"> changes to the conviction-based loss regime were welcome</w:t>
      </w:r>
      <w:r w:rsidR="00A90E00" w:rsidRPr="00BF2102">
        <w:rPr>
          <w:rFonts w:cs="Open Sans"/>
        </w:rPr>
        <w:t xml:space="preserve">, </w:t>
      </w:r>
      <w:r w:rsidR="00DD0634" w:rsidRPr="00BF2102">
        <w:rPr>
          <w:rFonts w:cs="Open Sans"/>
        </w:rPr>
        <w:t xml:space="preserve">equivalent changes were not made </w:t>
      </w:r>
      <w:r w:rsidR="00F22EB0" w:rsidRPr="00BF2102">
        <w:rPr>
          <w:rFonts w:cs="Open Sans"/>
        </w:rPr>
        <w:t>to</w:t>
      </w:r>
      <w:r w:rsidR="00506565" w:rsidRPr="00BF2102">
        <w:rPr>
          <w:rFonts w:cs="Open Sans"/>
        </w:rPr>
        <w:t xml:space="preserve"> </w:t>
      </w:r>
      <w:r w:rsidR="00F22EB0" w:rsidRPr="00BF2102">
        <w:rPr>
          <w:rFonts w:cs="Open Sans"/>
        </w:rPr>
        <w:t>the conduct-based loss regime.</w:t>
      </w:r>
      <w:r w:rsidR="00CC2B74" w:rsidRPr="00BF2102">
        <w:rPr>
          <w:rFonts w:cs="Open Sans"/>
        </w:rPr>
        <w:t xml:space="preserve"> The differences between these two regimes are considered in more detail in sections </w:t>
      </w:r>
      <w:r w:rsidR="00CC2B74" w:rsidRPr="00BF2102">
        <w:rPr>
          <w:rFonts w:cs="Open Sans"/>
        </w:rPr>
        <w:fldChar w:fldCharType="begin"/>
      </w:r>
      <w:r w:rsidR="00CC2B74" w:rsidRPr="00BF2102">
        <w:rPr>
          <w:rFonts w:cs="Open Sans"/>
        </w:rPr>
        <w:instrText xml:space="preserve"> REF _Ref10729524 \r \h </w:instrText>
      </w:r>
      <w:r w:rsidR="00EB38A8" w:rsidRPr="00BF2102">
        <w:rPr>
          <w:rFonts w:cs="Open Sans"/>
        </w:rPr>
        <w:instrText xml:space="preserve"> \* MERGEFORMAT </w:instrText>
      </w:r>
      <w:r w:rsidR="00CC2B74" w:rsidRPr="00BF2102">
        <w:rPr>
          <w:rFonts w:cs="Open Sans"/>
        </w:rPr>
      </w:r>
      <w:r w:rsidR="00CC2B74" w:rsidRPr="00BF2102">
        <w:rPr>
          <w:rFonts w:cs="Open Sans"/>
        </w:rPr>
        <w:fldChar w:fldCharType="separate"/>
      </w:r>
      <w:r w:rsidR="000E5D23">
        <w:rPr>
          <w:rFonts w:cs="Open Sans"/>
        </w:rPr>
        <w:t>4.1</w:t>
      </w:r>
      <w:r w:rsidR="00CC2B74" w:rsidRPr="00BF2102">
        <w:rPr>
          <w:rFonts w:cs="Open Sans"/>
        </w:rPr>
        <w:fldChar w:fldCharType="end"/>
      </w:r>
      <w:r w:rsidR="00CC2B74" w:rsidRPr="00BF2102">
        <w:rPr>
          <w:rFonts w:cs="Open Sans"/>
        </w:rPr>
        <w:t xml:space="preserve"> and </w:t>
      </w:r>
      <w:r w:rsidR="00CC2B74" w:rsidRPr="00BF2102">
        <w:rPr>
          <w:rFonts w:cs="Open Sans"/>
        </w:rPr>
        <w:fldChar w:fldCharType="begin"/>
      </w:r>
      <w:r w:rsidR="00CC2B74" w:rsidRPr="00BF2102">
        <w:rPr>
          <w:rFonts w:cs="Open Sans"/>
        </w:rPr>
        <w:instrText xml:space="preserve"> REF _Ref10729531 \r \h </w:instrText>
      </w:r>
      <w:r w:rsidR="00EB38A8" w:rsidRPr="00BF2102">
        <w:rPr>
          <w:rFonts w:cs="Open Sans"/>
        </w:rPr>
        <w:instrText xml:space="preserve"> \* MERGEFORMAT </w:instrText>
      </w:r>
      <w:r w:rsidR="00CC2B74" w:rsidRPr="00BF2102">
        <w:rPr>
          <w:rFonts w:cs="Open Sans"/>
        </w:rPr>
      </w:r>
      <w:r w:rsidR="00CC2B74" w:rsidRPr="00BF2102">
        <w:rPr>
          <w:rFonts w:cs="Open Sans"/>
        </w:rPr>
        <w:fldChar w:fldCharType="separate"/>
      </w:r>
      <w:r w:rsidR="000E5D23">
        <w:rPr>
          <w:rFonts w:cs="Open Sans"/>
        </w:rPr>
        <w:t>4.2</w:t>
      </w:r>
      <w:r w:rsidR="00CC2B74" w:rsidRPr="00BF2102">
        <w:rPr>
          <w:rFonts w:cs="Open Sans"/>
        </w:rPr>
        <w:fldChar w:fldCharType="end"/>
      </w:r>
      <w:r w:rsidR="00CC2B74" w:rsidRPr="00BF2102">
        <w:rPr>
          <w:rFonts w:cs="Open Sans"/>
        </w:rPr>
        <w:t xml:space="preserve"> below.</w:t>
      </w:r>
      <w:r w:rsidR="00C6721E" w:rsidRPr="00BF2102">
        <w:rPr>
          <w:rFonts w:cs="Open Sans"/>
        </w:rPr>
        <w:t xml:space="preserve"> In section </w:t>
      </w:r>
      <w:r w:rsidR="00C6721E" w:rsidRPr="00BF2102">
        <w:rPr>
          <w:rFonts w:cs="Open Sans"/>
        </w:rPr>
        <w:fldChar w:fldCharType="begin"/>
      </w:r>
      <w:r w:rsidR="00C6721E" w:rsidRPr="00BF2102">
        <w:rPr>
          <w:rFonts w:cs="Open Sans"/>
        </w:rPr>
        <w:instrText xml:space="preserve"> REF _Ref11056762 \r \h </w:instrText>
      </w:r>
      <w:r w:rsidR="00EB38A8" w:rsidRPr="00BF2102">
        <w:rPr>
          <w:rFonts w:cs="Open Sans"/>
        </w:rPr>
        <w:instrText xml:space="preserve"> \* MERGEFORMAT </w:instrText>
      </w:r>
      <w:r w:rsidR="00C6721E" w:rsidRPr="00BF2102">
        <w:rPr>
          <w:rFonts w:cs="Open Sans"/>
        </w:rPr>
      </w:r>
      <w:r w:rsidR="00C6721E" w:rsidRPr="00BF2102">
        <w:rPr>
          <w:rFonts w:cs="Open Sans"/>
        </w:rPr>
        <w:fldChar w:fldCharType="separate"/>
      </w:r>
      <w:r w:rsidR="000E5D23">
        <w:rPr>
          <w:rFonts w:cs="Open Sans"/>
        </w:rPr>
        <w:t>6.1</w:t>
      </w:r>
      <w:r w:rsidR="00C6721E" w:rsidRPr="00BF2102">
        <w:rPr>
          <w:rFonts w:cs="Open Sans"/>
        </w:rPr>
        <w:fldChar w:fldCharType="end"/>
      </w:r>
      <w:r w:rsidR="00C6721E" w:rsidRPr="00BF2102">
        <w:rPr>
          <w:rFonts w:cs="Open Sans"/>
        </w:rPr>
        <w:t xml:space="preserve"> below, the Commission recommends the repeal of the conduct-based provisions in s</w:t>
      </w:r>
      <w:r w:rsidR="00DE12FB" w:rsidRPr="00BF2102">
        <w:rPr>
          <w:rFonts w:cs="Open Sans"/>
        </w:rPr>
        <w:t>s</w:t>
      </w:r>
      <w:r w:rsidR="00C6721E" w:rsidRPr="00BF2102">
        <w:rPr>
          <w:rFonts w:cs="Open Sans"/>
        </w:rPr>
        <w:t> 33AA</w:t>
      </w:r>
      <w:r w:rsidR="00DE12FB" w:rsidRPr="00BF2102">
        <w:rPr>
          <w:rFonts w:cs="Open Sans"/>
        </w:rPr>
        <w:t xml:space="preserve"> and 35</w:t>
      </w:r>
      <w:r w:rsidR="00C6721E" w:rsidRPr="00BF2102">
        <w:rPr>
          <w:rFonts w:cs="Open Sans"/>
        </w:rPr>
        <w:t xml:space="preserve">. In section </w:t>
      </w:r>
      <w:r w:rsidR="00EC4A94" w:rsidRPr="00BF2102">
        <w:rPr>
          <w:rFonts w:cs="Open Sans"/>
        </w:rPr>
        <w:fldChar w:fldCharType="begin"/>
      </w:r>
      <w:r w:rsidR="00EC4A94" w:rsidRPr="00BF2102">
        <w:rPr>
          <w:rFonts w:cs="Open Sans"/>
        </w:rPr>
        <w:instrText xml:space="preserve"> REF _Ref11338504 \r \h </w:instrText>
      </w:r>
      <w:r w:rsidR="000F268D" w:rsidRPr="00BF2102">
        <w:rPr>
          <w:rFonts w:cs="Open Sans"/>
        </w:rPr>
        <w:instrText xml:space="preserve"> \* MERGEFORMAT </w:instrText>
      </w:r>
      <w:r w:rsidR="00EC4A94" w:rsidRPr="00BF2102">
        <w:rPr>
          <w:rFonts w:cs="Open Sans"/>
        </w:rPr>
      </w:r>
      <w:r w:rsidR="00EC4A94" w:rsidRPr="00BF2102">
        <w:rPr>
          <w:rFonts w:cs="Open Sans"/>
        </w:rPr>
        <w:fldChar w:fldCharType="separate"/>
      </w:r>
      <w:r w:rsidR="000E5D23">
        <w:rPr>
          <w:rFonts w:cs="Open Sans"/>
        </w:rPr>
        <w:t>6.2</w:t>
      </w:r>
      <w:r w:rsidR="00EC4A94" w:rsidRPr="00BF2102">
        <w:rPr>
          <w:rFonts w:cs="Open Sans"/>
        </w:rPr>
        <w:fldChar w:fldCharType="end"/>
      </w:r>
      <w:r w:rsidR="00C6721E" w:rsidRPr="00BF2102">
        <w:rPr>
          <w:rFonts w:cs="Open Sans"/>
        </w:rPr>
        <w:t xml:space="preserve"> below, the Commission recommends that if the conduct-based regime is retained, equivalent procedural safeguards </w:t>
      </w:r>
      <w:r w:rsidR="0000789B" w:rsidRPr="00BF2102">
        <w:rPr>
          <w:rFonts w:cs="Open Sans"/>
        </w:rPr>
        <w:t xml:space="preserve">should be </w:t>
      </w:r>
      <w:r w:rsidR="00C6721E" w:rsidRPr="00BF2102">
        <w:rPr>
          <w:rFonts w:cs="Open Sans"/>
        </w:rPr>
        <w:t>inserted into it.</w:t>
      </w:r>
    </w:p>
    <w:p w14:paraId="7C76CEA8" w14:textId="3A9016F6" w:rsidR="0071497B" w:rsidRPr="00BF2102" w:rsidRDefault="0071497B" w:rsidP="0071497B">
      <w:pPr>
        <w:pStyle w:val="ListNumber"/>
        <w:numPr>
          <w:ilvl w:val="0"/>
          <w:numId w:val="15"/>
        </w:numPr>
        <w:tabs>
          <w:tab w:val="num" w:pos="993"/>
          <w:tab w:val="left" w:pos="1418"/>
        </w:tabs>
        <w:ind w:left="709" w:hanging="567"/>
        <w:rPr>
          <w:rFonts w:cs="Open Sans"/>
        </w:rPr>
      </w:pPr>
      <w:r w:rsidRPr="00BF2102">
        <w:rPr>
          <w:rFonts w:cs="Open Sans"/>
        </w:rPr>
        <w:t>Some</w:t>
      </w:r>
      <w:r w:rsidR="00CC2B74" w:rsidRPr="00BF2102">
        <w:rPr>
          <w:rFonts w:cs="Open Sans"/>
        </w:rPr>
        <w:t xml:space="preserve"> </w:t>
      </w:r>
      <w:r w:rsidR="00EC4A94" w:rsidRPr="00BF2102">
        <w:rPr>
          <w:rFonts w:cs="Open Sans"/>
        </w:rPr>
        <w:t xml:space="preserve">other </w:t>
      </w:r>
      <w:r w:rsidR="00CC2B74" w:rsidRPr="00BF2102">
        <w:rPr>
          <w:rFonts w:cs="Open Sans"/>
        </w:rPr>
        <w:t xml:space="preserve">recommendations </w:t>
      </w:r>
      <w:r w:rsidRPr="00BF2102">
        <w:rPr>
          <w:rFonts w:cs="Open Sans"/>
        </w:rPr>
        <w:t>made by the</w:t>
      </w:r>
      <w:r w:rsidR="00C6721E" w:rsidRPr="00BF2102">
        <w:rPr>
          <w:rFonts w:cs="Open Sans"/>
        </w:rPr>
        <w:t xml:space="preserve"> </w:t>
      </w:r>
      <w:r w:rsidR="00CC2B74" w:rsidRPr="00BF2102">
        <w:rPr>
          <w:rFonts w:cs="Open Sans"/>
        </w:rPr>
        <w:t>Commission</w:t>
      </w:r>
      <w:r w:rsidR="00C6721E" w:rsidRPr="00BF2102">
        <w:rPr>
          <w:rFonts w:cs="Open Sans"/>
        </w:rPr>
        <w:t xml:space="preserve"> in 2015 </w:t>
      </w:r>
      <w:r w:rsidR="00CC2B74" w:rsidRPr="00BF2102">
        <w:rPr>
          <w:rFonts w:cs="Open Sans"/>
        </w:rPr>
        <w:t xml:space="preserve">were </w:t>
      </w:r>
      <w:r w:rsidR="00C96E2D" w:rsidRPr="00BF2102">
        <w:rPr>
          <w:rFonts w:cs="Open Sans"/>
        </w:rPr>
        <w:t xml:space="preserve">wholly or </w:t>
      </w:r>
      <w:r w:rsidR="00CC2B74" w:rsidRPr="00BF2102">
        <w:rPr>
          <w:rFonts w:cs="Open Sans"/>
        </w:rPr>
        <w:t>partially adopted by the Committee and reflected in amendments to the Bill.</w:t>
      </w:r>
      <w:r w:rsidRPr="00BF2102">
        <w:rPr>
          <w:rFonts w:cs="Open Sans"/>
        </w:rPr>
        <w:t xml:space="preserve"> </w:t>
      </w:r>
      <w:r w:rsidR="00CC2B74" w:rsidRPr="00BF2102">
        <w:rPr>
          <w:rFonts w:cs="Open Sans"/>
        </w:rPr>
        <w:t xml:space="preserve">First, </w:t>
      </w:r>
      <w:r w:rsidR="00756675" w:rsidRPr="00BF2102">
        <w:rPr>
          <w:rFonts w:cs="Open Sans"/>
        </w:rPr>
        <w:t xml:space="preserve">the Commission recommended that the </w:t>
      </w:r>
      <w:r w:rsidR="00515E40" w:rsidRPr="00BF2102">
        <w:rPr>
          <w:rFonts w:cs="Open Sans"/>
        </w:rPr>
        <w:t xml:space="preserve">conduct-based </w:t>
      </w:r>
      <w:r w:rsidR="00756675" w:rsidRPr="00BF2102">
        <w:rPr>
          <w:rFonts w:cs="Open Sans"/>
        </w:rPr>
        <w:t xml:space="preserve">citizenship loss provisions not apply to children. </w:t>
      </w:r>
      <w:r w:rsidR="003D59CC" w:rsidRPr="00BF2102">
        <w:rPr>
          <w:rFonts w:cs="Open Sans"/>
        </w:rPr>
        <w:t xml:space="preserve">Following recommendations by the Committee, amendments were made to the Bill to provide that the conduct-based loss regime only applied to children 14 years of age or older. </w:t>
      </w:r>
    </w:p>
    <w:p w14:paraId="67193A70" w14:textId="70D19227" w:rsidR="00CC2B74" w:rsidRPr="00BF2102" w:rsidRDefault="00432C93" w:rsidP="0071497B">
      <w:pPr>
        <w:pStyle w:val="ListNumber"/>
        <w:numPr>
          <w:ilvl w:val="0"/>
          <w:numId w:val="15"/>
        </w:numPr>
        <w:tabs>
          <w:tab w:val="num" w:pos="993"/>
          <w:tab w:val="left" w:pos="1418"/>
        </w:tabs>
        <w:ind w:left="709" w:hanging="567"/>
        <w:rPr>
          <w:rFonts w:cs="Open Sans"/>
        </w:rPr>
      </w:pPr>
      <w:r w:rsidRPr="00BF2102">
        <w:rPr>
          <w:rFonts w:cs="Open Sans"/>
        </w:rPr>
        <w:t>N</w:t>
      </w:r>
      <w:r w:rsidR="00515E40" w:rsidRPr="00BF2102">
        <w:rPr>
          <w:rFonts w:cs="Open Sans"/>
        </w:rPr>
        <w:t xml:space="preserve">o </w:t>
      </w:r>
      <w:r w:rsidR="00EC4A94" w:rsidRPr="00BF2102">
        <w:rPr>
          <w:rFonts w:cs="Open Sans"/>
        </w:rPr>
        <w:t xml:space="preserve">equivalent </w:t>
      </w:r>
      <w:r w:rsidR="00515E40" w:rsidRPr="00BF2102">
        <w:rPr>
          <w:rFonts w:cs="Open Sans"/>
        </w:rPr>
        <w:t>changes were made to t</w:t>
      </w:r>
      <w:r w:rsidR="003D59CC" w:rsidRPr="00BF2102">
        <w:rPr>
          <w:rFonts w:cs="Open Sans"/>
        </w:rPr>
        <w:t>he conviction-based loss regime</w:t>
      </w:r>
      <w:r w:rsidR="00515E40" w:rsidRPr="00BF2102">
        <w:rPr>
          <w:rFonts w:cs="Open Sans"/>
        </w:rPr>
        <w:t>, which</w:t>
      </w:r>
      <w:r w:rsidR="003D59CC" w:rsidRPr="00BF2102">
        <w:rPr>
          <w:rFonts w:cs="Open Sans"/>
        </w:rPr>
        <w:t xml:space="preserve"> appl</w:t>
      </w:r>
      <w:r w:rsidR="00515E40" w:rsidRPr="00BF2102">
        <w:rPr>
          <w:rFonts w:cs="Open Sans"/>
        </w:rPr>
        <w:t>ies</w:t>
      </w:r>
      <w:r w:rsidR="003D59CC" w:rsidRPr="00BF2102">
        <w:rPr>
          <w:rFonts w:cs="Open Sans"/>
        </w:rPr>
        <w:t xml:space="preserve"> to any child </w:t>
      </w:r>
      <w:r w:rsidR="00C96E2D" w:rsidRPr="00BF2102">
        <w:rPr>
          <w:rFonts w:cs="Open Sans"/>
        </w:rPr>
        <w:t xml:space="preserve">above </w:t>
      </w:r>
      <w:r w:rsidR="003D59CC" w:rsidRPr="00BF2102">
        <w:rPr>
          <w:rFonts w:cs="Open Sans"/>
        </w:rPr>
        <w:t>the age of criminal responsibility</w:t>
      </w:r>
      <w:r w:rsidR="00515E40" w:rsidRPr="00BF2102">
        <w:rPr>
          <w:rFonts w:cs="Open Sans"/>
        </w:rPr>
        <w:t>,</w:t>
      </w:r>
      <w:r w:rsidR="00DA2762" w:rsidRPr="00BF2102">
        <w:rPr>
          <w:rFonts w:cs="Open Sans"/>
        </w:rPr>
        <w:t xml:space="preserve"> </w:t>
      </w:r>
      <w:r w:rsidR="003D59CC" w:rsidRPr="00BF2102">
        <w:rPr>
          <w:rFonts w:cs="Open Sans"/>
        </w:rPr>
        <w:t xml:space="preserve">currently </w:t>
      </w:r>
      <w:r w:rsidR="000A784E" w:rsidRPr="00BF2102">
        <w:rPr>
          <w:rFonts w:cs="Open Sans"/>
        </w:rPr>
        <w:t xml:space="preserve">ten </w:t>
      </w:r>
      <w:r w:rsidR="003D59CC" w:rsidRPr="00BF2102">
        <w:rPr>
          <w:rFonts w:cs="Open Sans"/>
        </w:rPr>
        <w:t>years</w:t>
      </w:r>
      <w:r w:rsidR="00515E40" w:rsidRPr="00BF2102">
        <w:rPr>
          <w:rFonts w:cs="Open Sans"/>
        </w:rPr>
        <w:t xml:space="preserve"> of age or older. However,</w:t>
      </w:r>
      <w:r w:rsidR="003D59CC" w:rsidRPr="00BF2102">
        <w:rPr>
          <w:rFonts w:cs="Open Sans"/>
        </w:rPr>
        <w:t xml:space="preserve"> the Minister </w:t>
      </w:r>
      <w:r w:rsidR="0000789B" w:rsidRPr="00BF2102">
        <w:rPr>
          <w:rFonts w:cs="Open Sans"/>
        </w:rPr>
        <w:t>must</w:t>
      </w:r>
      <w:r w:rsidR="003D59CC" w:rsidRPr="00BF2102">
        <w:rPr>
          <w:rFonts w:cs="Open Sans"/>
        </w:rPr>
        <w:t xml:space="preserve"> </w:t>
      </w:r>
      <w:proofErr w:type="gramStart"/>
      <w:r w:rsidR="003D59CC" w:rsidRPr="00BF2102">
        <w:rPr>
          <w:rFonts w:cs="Open Sans"/>
        </w:rPr>
        <w:t>take into account</w:t>
      </w:r>
      <w:proofErr w:type="gramEnd"/>
      <w:r w:rsidR="003D59CC" w:rsidRPr="00BF2102">
        <w:rPr>
          <w:rFonts w:cs="Open Sans"/>
        </w:rPr>
        <w:t xml:space="preserve"> the best interests of the child as a primary consideration when making a determination under s 35A </w:t>
      </w:r>
      <w:r w:rsidR="00515E40" w:rsidRPr="00BF2102">
        <w:rPr>
          <w:rFonts w:cs="Open Sans"/>
        </w:rPr>
        <w:t xml:space="preserve">that citizenship has ceased </w:t>
      </w:r>
      <w:r w:rsidR="0071497B" w:rsidRPr="00BF2102">
        <w:rPr>
          <w:rFonts w:cs="Open Sans"/>
        </w:rPr>
        <w:t xml:space="preserve">for </w:t>
      </w:r>
      <w:r w:rsidR="003D59CC" w:rsidRPr="00BF2102">
        <w:rPr>
          <w:rFonts w:cs="Open Sans"/>
        </w:rPr>
        <w:t>a person aged under 18 years</w:t>
      </w:r>
      <w:r w:rsidR="00D02ED8" w:rsidRPr="00BF2102">
        <w:rPr>
          <w:rFonts w:cs="Open Sans"/>
        </w:rPr>
        <w:t xml:space="preserve"> of age</w:t>
      </w:r>
      <w:r w:rsidR="003D59CC" w:rsidRPr="00BF2102">
        <w:rPr>
          <w:rFonts w:cs="Open Sans"/>
        </w:rPr>
        <w:t>.</w:t>
      </w:r>
      <w:r w:rsidR="00C6721E" w:rsidRPr="00BF2102">
        <w:rPr>
          <w:rFonts w:cs="Open Sans"/>
        </w:rPr>
        <w:t xml:space="preserve"> In section </w:t>
      </w:r>
      <w:r w:rsidRPr="00BF2102">
        <w:rPr>
          <w:rFonts w:cs="Open Sans"/>
        </w:rPr>
        <w:fldChar w:fldCharType="begin"/>
      </w:r>
      <w:r w:rsidRPr="00BF2102">
        <w:rPr>
          <w:rFonts w:cs="Open Sans"/>
        </w:rPr>
        <w:instrText xml:space="preserve"> REF _Ref11338670 \r \h </w:instrText>
      </w:r>
      <w:r w:rsidR="000F268D" w:rsidRPr="00BF2102">
        <w:rPr>
          <w:rFonts w:cs="Open Sans"/>
        </w:rPr>
        <w:instrText xml:space="preserve"> \* MERGEFORMAT </w:instrText>
      </w:r>
      <w:r w:rsidRPr="00BF2102">
        <w:rPr>
          <w:rFonts w:cs="Open Sans"/>
        </w:rPr>
      </w:r>
      <w:r w:rsidRPr="00BF2102">
        <w:rPr>
          <w:rFonts w:cs="Open Sans"/>
        </w:rPr>
        <w:fldChar w:fldCharType="separate"/>
      </w:r>
      <w:r w:rsidR="000E5D23">
        <w:rPr>
          <w:rFonts w:cs="Open Sans"/>
        </w:rPr>
        <w:t>6.4</w:t>
      </w:r>
      <w:r w:rsidRPr="00BF2102">
        <w:rPr>
          <w:rFonts w:cs="Open Sans"/>
        </w:rPr>
        <w:fldChar w:fldCharType="end"/>
      </w:r>
      <w:r w:rsidR="00C6721E" w:rsidRPr="00BF2102">
        <w:rPr>
          <w:rFonts w:cs="Open Sans"/>
        </w:rPr>
        <w:t xml:space="preserve"> below, the Commission recommends that these changes go further</w:t>
      </w:r>
      <w:r w:rsidR="0071497B" w:rsidRPr="00BF2102">
        <w:rPr>
          <w:rFonts w:cs="Open Sans"/>
        </w:rPr>
        <w:t>,</w:t>
      </w:r>
      <w:r w:rsidR="00C6721E" w:rsidRPr="00BF2102">
        <w:rPr>
          <w:rFonts w:cs="Open Sans"/>
        </w:rPr>
        <w:t xml:space="preserve"> </w:t>
      </w:r>
      <w:r w:rsidR="00515E40" w:rsidRPr="00BF2102">
        <w:rPr>
          <w:rFonts w:cs="Open Sans"/>
        </w:rPr>
        <w:t xml:space="preserve">to </w:t>
      </w:r>
      <w:r w:rsidR="00C6721E" w:rsidRPr="00BF2102">
        <w:rPr>
          <w:rFonts w:cs="Open Sans"/>
        </w:rPr>
        <w:t xml:space="preserve">exempt children from the operation of </w:t>
      </w:r>
      <w:r w:rsidR="00515E40" w:rsidRPr="00BF2102">
        <w:rPr>
          <w:rFonts w:cs="Open Sans"/>
        </w:rPr>
        <w:t xml:space="preserve">the conduct-based </w:t>
      </w:r>
      <w:r w:rsidR="00C6721E" w:rsidRPr="00BF2102">
        <w:rPr>
          <w:rFonts w:cs="Open Sans"/>
        </w:rPr>
        <w:t>citizenship loss provisions</w:t>
      </w:r>
      <w:r w:rsidR="00515E40" w:rsidRPr="00BF2102">
        <w:rPr>
          <w:rFonts w:cs="Open Sans"/>
        </w:rPr>
        <w:t>, as it previously recommended</w:t>
      </w:r>
      <w:r w:rsidR="00C6721E" w:rsidRPr="00BF2102">
        <w:rPr>
          <w:rFonts w:cs="Open Sans"/>
        </w:rPr>
        <w:t xml:space="preserve">. </w:t>
      </w:r>
      <w:r w:rsidR="0036726B" w:rsidRPr="00BF2102">
        <w:rPr>
          <w:rFonts w:cs="Open Sans"/>
        </w:rPr>
        <w:t xml:space="preserve">It also recommends that the conviction-based regime </w:t>
      </w:r>
      <w:r w:rsidRPr="00BF2102">
        <w:rPr>
          <w:rFonts w:cs="Open Sans"/>
        </w:rPr>
        <w:t xml:space="preserve">only </w:t>
      </w:r>
      <w:r w:rsidR="0036726B" w:rsidRPr="00BF2102">
        <w:rPr>
          <w:rFonts w:cs="Open Sans"/>
        </w:rPr>
        <w:t>be applied to children aged at least 14 years old.</w:t>
      </w:r>
    </w:p>
    <w:p w14:paraId="1379EC5E" w14:textId="3CAB911A" w:rsidR="00C96E2D" w:rsidRPr="00BF2102" w:rsidRDefault="00C96E2D" w:rsidP="00310D03">
      <w:pPr>
        <w:pStyle w:val="ListNumber"/>
        <w:numPr>
          <w:ilvl w:val="0"/>
          <w:numId w:val="15"/>
        </w:numPr>
        <w:tabs>
          <w:tab w:val="num" w:pos="993"/>
          <w:tab w:val="left" w:pos="1418"/>
        </w:tabs>
        <w:ind w:left="709" w:hanging="567"/>
        <w:rPr>
          <w:rFonts w:cs="Open Sans"/>
        </w:rPr>
      </w:pPr>
      <w:r w:rsidRPr="00BF2102">
        <w:rPr>
          <w:rFonts w:cs="Open Sans"/>
        </w:rPr>
        <w:t xml:space="preserve">Secondly, the Commission recommended that children not lose their citizenship if their parent loses their citizenship under one of these citizenship loss provisions. An amendment was made to the </w:t>
      </w:r>
      <w:r w:rsidR="0071497B" w:rsidRPr="00BF2102">
        <w:rPr>
          <w:rFonts w:cs="Open Sans"/>
        </w:rPr>
        <w:t xml:space="preserve">Allegiance </w:t>
      </w:r>
      <w:r w:rsidRPr="00BF2102">
        <w:rPr>
          <w:rFonts w:cs="Open Sans"/>
        </w:rPr>
        <w:t xml:space="preserve">Bill that </w:t>
      </w:r>
      <w:r w:rsidR="008D7485" w:rsidRPr="00BF2102">
        <w:rPr>
          <w:rFonts w:cs="Open Sans"/>
        </w:rPr>
        <w:t>implemented</w:t>
      </w:r>
      <w:r w:rsidRPr="00BF2102">
        <w:rPr>
          <w:rFonts w:cs="Open Sans"/>
        </w:rPr>
        <w:t xml:space="preserve"> this recommendation.</w:t>
      </w:r>
    </w:p>
    <w:p w14:paraId="514557CB" w14:textId="49BDA31D" w:rsidR="00C96E2D" w:rsidRPr="00BF2102" w:rsidRDefault="00C96E2D" w:rsidP="00310D03">
      <w:pPr>
        <w:pStyle w:val="ListNumber"/>
        <w:numPr>
          <w:ilvl w:val="0"/>
          <w:numId w:val="15"/>
        </w:numPr>
        <w:tabs>
          <w:tab w:val="num" w:pos="993"/>
          <w:tab w:val="left" w:pos="1418"/>
        </w:tabs>
        <w:ind w:left="709" w:hanging="567"/>
        <w:rPr>
          <w:rFonts w:cs="Open Sans"/>
        </w:rPr>
      </w:pPr>
      <w:r w:rsidRPr="00BF2102">
        <w:rPr>
          <w:rFonts w:cs="Open Sans"/>
        </w:rPr>
        <w:t xml:space="preserve">Thirdly, </w:t>
      </w:r>
      <w:r w:rsidR="008D7485" w:rsidRPr="00BF2102">
        <w:rPr>
          <w:rFonts w:cs="Open Sans"/>
        </w:rPr>
        <w:t xml:space="preserve">the Commission recommended that certain offences be removed from the conviction-based loss regime in s 35A, including </w:t>
      </w:r>
      <w:r w:rsidR="0071497B" w:rsidRPr="00BF2102">
        <w:rPr>
          <w:rFonts w:cs="Open Sans"/>
        </w:rPr>
        <w:t xml:space="preserve">the </w:t>
      </w:r>
      <w:r w:rsidR="008D7485" w:rsidRPr="00BF2102">
        <w:rPr>
          <w:rFonts w:cs="Open Sans"/>
        </w:rPr>
        <w:t xml:space="preserve">offence of ‘destroying or damaging Commonwealth property’. Amendments were made to the </w:t>
      </w:r>
      <w:r w:rsidR="0071497B" w:rsidRPr="00BF2102">
        <w:rPr>
          <w:rFonts w:cs="Open Sans"/>
        </w:rPr>
        <w:t xml:space="preserve">Allegiance </w:t>
      </w:r>
      <w:r w:rsidR="008D7485" w:rsidRPr="00BF2102">
        <w:rPr>
          <w:rFonts w:cs="Open Sans"/>
        </w:rPr>
        <w:t>Bill to narrow the range of offences.</w:t>
      </w:r>
    </w:p>
    <w:p w14:paraId="108D8F25" w14:textId="59E34C76" w:rsidR="007C2897" w:rsidRPr="00BF2102" w:rsidRDefault="00CC2B74" w:rsidP="00310D03">
      <w:pPr>
        <w:pStyle w:val="ListNumber"/>
        <w:numPr>
          <w:ilvl w:val="0"/>
          <w:numId w:val="15"/>
        </w:numPr>
        <w:tabs>
          <w:tab w:val="num" w:pos="993"/>
          <w:tab w:val="left" w:pos="1418"/>
        </w:tabs>
        <w:ind w:left="709" w:hanging="567"/>
        <w:rPr>
          <w:rFonts w:cs="Open Sans"/>
        </w:rPr>
      </w:pPr>
      <w:r w:rsidRPr="00BF2102">
        <w:rPr>
          <w:rFonts w:cs="Open Sans"/>
        </w:rPr>
        <w:t>T</w:t>
      </w:r>
      <w:r w:rsidR="00DD0634" w:rsidRPr="00BF2102">
        <w:rPr>
          <w:rFonts w:cs="Open Sans"/>
        </w:rPr>
        <w:t xml:space="preserve">he Government’s response </w:t>
      </w:r>
      <w:r w:rsidR="00F05DC8" w:rsidRPr="00BF2102">
        <w:rPr>
          <w:rFonts w:cs="Open Sans"/>
        </w:rPr>
        <w:t xml:space="preserve">to the Committee’s report </w:t>
      </w:r>
      <w:r w:rsidR="00DD0634" w:rsidRPr="00BF2102">
        <w:rPr>
          <w:rFonts w:cs="Open Sans"/>
        </w:rPr>
        <w:t>said that it had implemented the Committee’s recommendations ‘to the fullest extent possible’</w:t>
      </w:r>
      <w:r w:rsidRPr="00BF2102">
        <w:rPr>
          <w:rFonts w:cs="Open Sans"/>
        </w:rPr>
        <w:t>.</w:t>
      </w:r>
      <w:r w:rsidR="00DD0634" w:rsidRPr="00BF2102">
        <w:rPr>
          <w:rStyle w:val="EndnoteReference"/>
          <w:rFonts w:cs="Open Sans"/>
        </w:rPr>
        <w:endnoteReference w:id="14"/>
      </w:r>
      <w:r w:rsidR="00DD0634" w:rsidRPr="00BF2102">
        <w:rPr>
          <w:rFonts w:cs="Open Sans"/>
        </w:rPr>
        <w:t xml:space="preserve"> </w:t>
      </w:r>
      <w:r w:rsidRPr="00BF2102">
        <w:rPr>
          <w:rFonts w:cs="Open Sans"/>
        </w:rPr>
        <w:t>However,</w:t>
      </w:r>
      <w:r w:rsidR="00F05DC8" w:rsidRPr="00BF2102">
        <w:rPr>
          <w:rFonts w:cs="Open Sans"/>
        </w:rPr>
        <w:t xml:space="preserve"> t</w:t>
      </w:r>
      <w:r w:rsidR="00D600EC" w:rsidRPr="00BF2102">
        <w:rPr>
          <w:rFonts w:cs="Open Sans"/>
        </w:rPr>
        <w:t>he Commission</w:t>
      </w:r>
      <w:r w:rsidR="001B0AB4" w:rsidRPr="00BF2102">
        <w:rPr>
          <w:rFonts w:cs="Open Sans"/>
        </w:rPr>
        <w:t xml:space="preserve"> considers that</w:t>
      </w:r>
      <w:r w:rsidR="003A0B64" w:rsidRPr="00BF2102">
        <w:rPr>
          <w:rFonts w:cs="Open Sans"/>
        </w:rPr>
        <w:t xml:space="preserve"> the </w:t>
      </w:r>
      <w:r w:rsidRPr="00BF2102">
        <w:rPr>
          <w:rFonts w:cs="Open Sans"/>
        </w:rPr>
        <w:t xml:space="preserve">amendments </w:t>
      </w:r>
      <w:r w:rsidR="00D600EC" w:rsidRPr="00BF2102">
        <w:rPr>
          <w:rFonts w:cs="Open Sans"/>
        </w:rPr>
        <w:t>to the Bill</w:t>
      </w:r>
      <w:r w:rsidR="003A0B64" w:rsidRPr="00BF2102">
        <w:rPr>
          <w:rFonts w:cs="Open Sans"/>
        </w:rPr>
        <w:t xml:space="preserve"> did not fully implement all </w:t>
      </w:r>
      <w:r w:rsidR="0071497B" w:rsidRPr="00BF2102">
        <w:rPr>
          <w:rFonts w:cs="Open Sans"/>
        </w:rPr>
        <w:t xml:space="preserve">of </w:t>
      </w:r>
      <w:r w:rsidR="003A0B64" w:rsidRPr="00BF2102">
        <w:rPr>
          <w:rFonts w:cs="Open Sans"/>
        </w:rPr>
        <w:t xml:space="preserve">the Committee’s </w:t>
      </w:r>
      <w:r w:rsidR="00590CD7" w:rsidRPr="00BF2102">
        <w:rPr>
          <w:rFonts w:cs="Open Sans"/>
        </w:rPr>
        <w:t>recommendations.</w:t>
      </w:r>
      <w:r w:rsidRPr="00BF2102">
        <w:rPr>
          <w:rFonts w:cs="Open Sans"/>
        </w:rPr>
        <w:t xml:space="preserve"> In particular</w:t>
      </w:r>
      <w:r w:rsidR="008D7485" w:rsidRPr="00BF2102">
        <w:rPr>
          <w:rFonts w:cs="Open Sans"/>
        </w:rPr>
        <w:t>:</w:t>
      </w:r>
    </w:p>
    <w:p w14:paraId="625B1653" w14:textId="70DA2858" w:rsidR="008D7485" w:rsidRPr="00BF2102" w:rsidRDefault="008D7485" w:rsidP="001324AF">
      <w:pPr>
        <w:pStyle w:val="ListParagraph"/>
        <w:numPr>
          <w:ilvl w:val="0"/>
          <w:numId w:val="39"/>
        </w:numPr>
        <w:spacing w:before="120" w:after="120"/>
        <w:rPr>
          <w:rFonts w:cs="Open Sans"/>
        </w:rPr>
      </w:pPr>
      <w:r w:rsidRPr="00BF2102">
        <w:rPr>
          <w:rFonts w:cs="Open Sans"/>
        </w:rPr>
        <w:lastRenderedPageBreak/>
        <w:t xml:space="preserve">the Committee recommended that the Minister </w:t>
      </w:r>
      <w:r w:rsidRPr="00BF2102">
        <w:rPr>
          <w:rFonts w:cs="Open Sans"/>
          <w:i/>
          <w:iCs/>
        </w:rPr>
        <w:t>be required</w:t>
      </w:r>
      <w:r w:rsidRPr="00BF2102">
        <w:rPr>
          <w:rFonts w:cs="Open Sans"/>
        </w:rPr>
        <w:t xml:space="preserve"> </w:t>
      </w:r>
      <w:r w:rsidR="00AB7EA4" w:rsidRPr="00BF2102">
        <w:rPr>
          <w:rFonts w:cs="Open Sans"/>
        </w:rPr>
        <w:t xml:space="preserve">to </w:t>
      </w:r>
      <w:r w:rsidR="0071497B" w:rsidRPr="00BF2102">
        <w:rPr>
          <w:rFonts w:cs="Open Sans"/>
        </w:rPr>
        <w:t>consider</w:t>
      </w:r>
      <w:r w:rsidRPr="00BF2102">
        <w:rPr>
          <w:rFonts w:cs="Open Sans"/>
        </w:rPr>
        <w:t xml:space="preserve"> exercising the</w:t>
      </w:r>
      <w:r w:rsidR="0071497B" w:rsidRPr="00BF2102">
        <w:rPr>
          <w:rFonts w:cs="Open Sans"/>
        </w:rPr>
        <w:t>ir</w:t>
      </w:r>
      <w:r w:rsidRPr="00BF2102">
        <w:rPr>
          <w:rFonts w:cs="Open Sans"/>
        </w:rPr>
        <w:t xml:space="preserve"> discretion to exempt a person from the effects of the </w:t>
      </w:r>
      <w:r w:rsidR="00760CA1" w:rsidRPr="00BF2102">
        <w:rPr>
          <w:rFonts w:cs="Open Sans"/>
        </w:rPr>
        <w:t>conduct</w:t>
      </w:r>
      <w:r w:rsidRPr="00BF2102">
        <w:rPr>
          <w:rFonts w:cs="Open Sans"/>
        </w:rPr>
        <w:t>-based loss regime</w:t>
      </w:r>
      <w:r w:rsidR="0071497B" w:rsidRPr="00BF2102">
        <w:rPr>
          <w:rFonts w:cs="Open Sans"/>
        </w:rPr>
        <w:t>,</w:t>
      </w:r>
      <w:r w:rsidRPr="00BF2102">
        <w:rPr>
          <w:rFonts w:cs="Open Sans"/>
        </w:rPr>
        <w:t xml:space="preserve"> and that a range of specific factors be </w:t>
      </w:r>
      <w:proofErr w:type="gramStart"/>
      <w:r w:rsidRPr="00BF2102">
        <w:rPr>
          <w:rFonts w:cs="Open Sans"/>
        </w:rPr>
        <w:t>taken into account</w:t>
      </w:r>
      <w:proofErr w:type="gramEnd"/>
      <w:r w:rsidRPr="00BF2102">
        <w:rPr>
          <w:rFonts w:cs="Open Sans"/>
        </w:rPr>
        <w:t xml:space="preserve"> in the course of this consideration</w:t>
      </w:r>
      <w:r w:rsidR="0071497B" w:rsidRPr="00BF2102">
        <w:rPr>
          <w:rFonts w:cs="Open Sans"/>
        </w:rPr>
        <w:t xml:space="preserve"> (Recommendation 15)</w:t>
      </w:r>
      <w:r w:rsidRPr="00BF2102">
        <w:rPr>
          <w:rFonts w:cs="Open Sans"/>
        </w:rPr>
        <w:t xml:space="preserve">. Instead, the Bill as passed gave the Minister a </w:t>
      </w:r>
      <w:r w:rsidR="00760CA1" w:rsidRPr="00BF2102">
        <w:rPr>
          <w:rFonts w:cs="Open Sans"/>
          <w:i/>
          <w:iCs/>
        </w:rPr>
        <w:t>non-compellable</w:t>
      </w:r>
      <w:r w:rsidR="00760CA1" w:rsidRPr="00BF2102">
        <w:rPr>
          <w:rFonts w:cs="Open Sans"/>
        </w:rPr>
        <w:t xml:space="preserve"> power to exempt a person from the effects of the conduct-based loss regime. </w:t>
      </w:r>
      <w:r w:rsidR="00BA58C5" w:rsidRPr="00BF2102">
        <w:rPr>
          <w:rFonts w:cs="Open Sans"/>
        </w:rPr>
        <w:t>Contrary to the Committee’s recommendations, t</w:t>
      </w:r>
      <w:r w:rsidR="00760CA1" w:rsidRPr="00BF2102">
        <w:rPr>
          <w:rFonts w:cs="Open Sans"/>
        </w:rPr>
        <w:t xml:space="preserve">he </w:t>
      </w:r>
      <w:r w:rsidR="00BA58C5" w:rsidRPr="00BF2102">
        <w:rPr>
          <w:rFonts w:cs="Open Sans"/>
        </w:rPr>
        <w:t>Act explicitly provides that</w:t>
      </w:r>
      <w:r w:rsidR="00AB7EA4" w:rsidRPr="00BF2102">
        <w:rPr>
          <w:rFonts w:cs="Open Sans"/>
        </w:rPr>
        <w:t xml:space="preserve"> the</w:t>
      </w:r>
      <w:r w:rsidR="00BA58C5" w:rsidRPr="00BF2102">
        <w:rPr>
          <w:rFonts w:cs="Open Sans"/>
        </w:rPr>
        <w:t xml:space="preserve"> </w:t>
      </w:r>
      <w:r w:rsidR="00760CA1" w:rsidRPr="00BF2102">
        <w:rPr>
          <w:rFonts w:cs="Open Sans"/>
        </w:rPr>
        <w:t xml:space="preserve">Minister does </w:t>
      </w:r>
      <w:r w:rsidR="00760CA1" w:rsidRPr="00BF2102">
        <w:rPr>
          <w:rFonts w:cs="Open Sans"/>
          <w:i/>
          <w:iCs/>
        </w:rPr>
        <w:t>not</w:t>
      </w:r>
      <w:r w:rsidR="00760CA1" w:rsidRPr="00BF2102">
        <w:rPr>
          <w:rFonts w:cs="Open Sans"/>
        </w:rPr>
        <w:t xml:space="preserve"> have a duty to consider the exercise of this power (ss 33</w:t>
      </w:r>
      <w:proofErr w:type="gramStart"/>
      <w:r w:rsidR="00760CA1" w:rsidRPr="00BF2102">
        <w:rPr>
          <w:rFonts w:cs="Open Sans"/>
        </w:rPr>
        <w:t>AA(</w:t>
      </w:r>
      <w:proofErr w:type="gramEnd"/>
      <w:r w:rsidR="00760CA1" w:rsidRPr="00BF2102">
        <w:rPr>
          <w:rFonts w:cs="Open Sans"/>
        </w:rPr>
        <w:t>15) and 35(10)). This is a significant departure from the recommendations of the Committee and removes</w:t>
      </w:r>
      <w:r w:rsidR="00BC44CA" w:rsidRPr="00BF2102">
        <w:rPr>
          <w:rFonts w:cs="Open Sans"/>
        </w:rPr>
        <w:t xml:space="preserve"> a</w:t>
      </w:r>
      <w:r w:rsidR="00760CA1" w:rsidRPr="00BF2102">
        <w:rPr>
          <w:rFonts w:cs="Open Sans"/>
        </w:rPr>
        <w:t xml:space="preserve"> very important safeguard against what is otherwise an automatic loss of citizenship.</w:t>
      </w:r>
    </w:p>
    <w:p w14:paraId="34896BBE" w14:textId="7958FCAC" w:rsidR="00760CA1" w:rsidRPr="00BF2102" w:rsidRDefault="00BA58C5" w:rsidP="001324AF">
      <w:pPr>
        <w:pStyle w:val="ListParagraph"/>
        <w:numPr>
          <w:ilvl w:val="0"/>
          <w:numId w:val="39"/>
        </w:numPr>
        <w:spacing w:before="120" w:after="120"/>
        <w:rPr>
          <w:rFonts w:cs="Open Sans"/>
        </w:rPr>
      </w:pPr>
      <w:r w:rsidRPr="00BF2102">
        <w:rPr>
          <w:rFonts w:cs="Open Sans"/>
        </w:rPr>
        <w:t>the Committee recommended that the Bill clarify the intended scope of the term ‘in the service of’ a declared terrorist organisation for the purposes of s 35</w:t>
      </w:r>
      <w:r w:rsidR="0071497B" w:rsidRPr="00BF2102">
        <w:rPr>
          <w:rFonts w:cs="Open Sans"/>
        </w:rPr>
        <w:t xml:space="preserve"> (Recommendation </w:t>
      </w:r>
      <w:r w:rsidR="00333E1B" w:rsidRPr="00BF2102">
        <w:rPr>
          <w:rFonts w:cs="Open Sans"/>
        </w:rPr>
        <w:t>7</w:t>
      </w:r>
      <w:r w:rsidR="0071497B" w:rsidRPr="00BF2102">
        <w:rPr>
          <w:rFonts w:cs="Open Sans"/>
        </w:rPr>
        <w:t>)</w:t>
      </w:r>
      <w:r w:rsidRPr="00BF2102">
        <w:rPr>
          <w:rFonts w:cs="Open Sans"/>
        </w:rPr>
        <w:t>.</w:t>
      </w:r>
      <w:r w:rsidR="003A03F5" w:rsidRPr="00BF2102">
        <w:rPr>
          <w:rFonts w:cs="Open Sans"/>
        </w:rPr>
        <w:t xml:space="preserve"> This clarification had also been recommended by the Commission. While the Bill was amended to include examples of conduct that </w:t>
      </w:r>
      <w:r w:rsidR="003A03F5" w:rsidRPr="00BF2102">
        <w:rPr>
          <w:rFonts w:cs="Open Sans"/>
          <w:i/>
          <w:iCs/>
        </w:rPr>
        <w:t>would not</w:t>
      </w:r>
      <w:r w:rsidR="003A03F5" w:rsidRPr="00BF2102">
        <w:rPr>
          <w:rFonts w:cs="Open Sans"/>
        </w:rPr>
        <w:t xml:space="preserve"> amount to being in the service of a declared terrorist organisation (s 35(4)), it did not provide any clarification of the scope of conduct that </w:t>
      </w:r>
      <w:r w:rsidR="003A03F5" w:rsidRPr="00BF2102">
        <w:rPr>
          <w:rFonts w:cs="Open Sans"/>
          <w:i/>
          <w:iCs/>
        </w:rPr>
        <w:t>would</w:t>
      </w:r>
      <w:r w:rsidR="003A03F5" w:rsidRPr="00BF2102">
        <w:rPr>
          <w:rFonts w:cs="Open Sans"/>
        </w:rPr>
        <w:t xml:space="preserve"> amount to being in the service of a declared terrorist organisation. This issue is considered in more detail in section </w:t>
      </w:r>
      <w:r w:rsidR="00400015" w:rsidRPr="00BF2102">
        <w:rPr>
          <w:rFonts w:cs="Open Sans"/>
        </w:rPr>
        <w:fldChar w:fldCharType="begin"/>
      </w:r>
      <w:r w:rsidR="00400015" w:rsidRPr="00BF2102">
        <w:rPr>
          <w:rFonts w:cs="Open Sans"/>
        </w:rPr>
        <w:instrText xml:space="preserve"> REF _Ref11339149 \r \h </w:instrText>
      </w:r>
      <w:r w:rsidR="000F268D" w:rsidRPr="00BF2102">
        <w:rPr>
          <w:rFonts w:cs="Open Sans"/>
        </w:rPr>
        <w:instrText xml:space="preserve"> \* MERGEFORMAT </w:instrText>
      </w:r>
      <w:r w:rsidR="00400015" w:rsidRPr="00BF2102">
        <w:rPr>
          <w:rFonts w:cs="Open Sans"/>
        </w:rPr>
      </w:r>
      <w:r w:rsidR="00400015" w:rsidRPr="00BF2102">
        <w:rPr>
          <w:rFonts w:cs="Open Sans"/>
        </w:rPr>
        <w:fldChar w:fldCharType="separate"/>
      </w:r>
      <w:r w:rsidR="000E5D23">
        <w:rPr>
          <w:rFonts w:cs="Open Sans"/>
        </w:rPr>
        <w:t>6.3</w:t>
      </w:r>
      <w:r w:rsidR="00400015" w:rsidRPr="00BF2102">
        <w:rPr>
          <w:rFonts w:cs="Open Sans"/>
        </w:rPr>
        <w:fldChar w:fldCharType="end"/>
      </w:r>
      <w:r w:rsidR="003A03F5" w:rsidRPr="00BF2102">
        <w:rPr>
          <w:rFonts w:cs="Open Sans"/>
        </w:rPr>
        <w:t xml:space="preserve"> below.</w:t>
      </w:r>
    </w:p>
    <w:p w14:paraId="58A5D714" w14:textId="54D751D8" w:rsidR="00E8132A" w:rsidRPr="00BF2102" w:rsidRDefault="00A31D8F"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also notes the recent proposed </w:t>
      </w:r>
      <w:r w:rsidR="00AB7EA4" w:rsidRPr="00BF2102">
        <w:rPr>
          <w:rFonts w:cs="Open Sans"/>
        </w:rPr>
        <w:t xml:space="preserve">amendments </w:t>
      </w:r>
      <w:r w:rsidRPr="00BF2102">
        <w:rPr>
          <w:rFonts w:cs="Open Sans"/>
        </w:rPr>
        <w:t>to s</w:t>
      </w:r>
      <w:r w:rsidR="000A77E7" w:rsidRPr="00BF2102">
        <w:rPr>
          <w:rFonts w:cs="Open Sans"/>
        </w:rPr>
        <w:t> </w:t>
      </w:r>
      <w:r w:rsidRPr="00BF2102">
        <w:rPr>
          <w:rFonts w:cs="Open Sans"/>
        </w:rPr>
        <w:t>35A under the Australian Citizenship Amendment (Strengthening the Citizenship Loss Provisions) Bill 2018 (Cth)</w:t>
      </w:r>
      <w:r w:rsidR="00CE4569" w:rsidRPr="00BF2102">
        <w:rPr>
          <w:rFonts w:cs="Open Sans"/>
        </w:rPr>
        <w:t>, to lower certain thresholds for application of conviction-based loss</w:t>
      </w:r>
      <w:r w:rsidRPr="00BF2102">
        <w:rPr>
          <w:rFonts w:cs="Open Sans"/>
        </w:rPr>
        <w:t xml:space="preserve">. </w:t>
      </w:r>
      <w:r w:rsidR="00E8132A" w:rsidRPr="00BF2102">
        <w:rPr>
          <w:rFonts w:cs="Open Sans"/>
        </w:rPr>
        <w:t>The Commission made a submission in relation to this Bill, recommending that it not be passed.</w:t>
      </w:r>
      <w:r w:rsidR="00E8132A" w:rsidRPr="00BF2102">
        <w:rPr>
          <w:rStyle w:val="EndnoteReference"/>
          <w:rFonts w:cs="Open Sans"/>
        </w:rPr>
        <w:endnoteReference w:id="15"/>
      </w:r>
      <w:r w:rsidR="00CC2B74" w:rsidRPr="00BF2102">
        <w:rPr>
          <w:rFonts w:cs="Open Sans"/>
        </w:rPr>
        <w:t xml:space="preserve"> This Bill was not passed and lapsed with the dissolution of the 45</w:t>
      </w:r>
      <w:r w:rsidR="00CC2B74" w:rsidRPr="00BF2102">
        <w:rPr>
          <w:rFonts w:cs="Open Sans"/>
          <w:vertAlign w:val="superscript"/>
        </w:rPr>
        <w:t>th</w:t>
      </w:r>
      <w:r w:rsidR="00CC2B74" w:rsidRPr="00BF2102">
        <w:rPr>
          <w:rFonts w:cs="Open Sans"/>
        </w:rPr>
        <w:t xml:space="preserve"> Parliament.</w:t>
      </w:r>
    </w:p>
    <w:p w14:paraId="6D38EE42" w14:textId="77777777" w:rsidR="00417904" w:rsidRPr="00BF2102" w:rsidRDefault="00417904" w:rsidP="002E5725">
      <w:pPr>
        <w:pStyle w:val="Heading2"/>
        <w:rPr>
          <w:rFonts w:cs="Open Sans"/>
        </w:rPr>
      </w:pPr>
      <w:bookmarkStart w:id="47" w:name="_Ref10729524"/>
      <w:bookmarkStart w:id="48" w:name="_Toc11407957"/>
      <w:r w:rsidRPr="00BF2102">
        <w:rPr>
          <w:rFonts w:cs="Open Sans"/>
        </w:rPr>
        <w:t>Conviction-based citizenship loss</w:t>
      </w:r>
      <w:r w:rsidR="007A4DAD" w:rsidRPr="00BF2102">
        <w:rPr>
          <w:rFonts w:cs="Open Sans"/>
        </w:rPr>
        <w:t xml:space="preserve"> (s 35A)</w:t>
      </w:r>
      <w:bookmarkEnd w:id="47"/>
      <w:bookmarkEnd w:id="48"/>
    </w:p>
    <w:p w14:paraId="3C194B92" w14:textId="2B385B31" w:rsidR="00BF20FD" w:rsidRPr="00BF2102" w:rsidRDefault="00BF20FD" w:rsidP="00310D03">
      <w:pPr>
        <w:pStyle w:val="ListNumber"/>
        <w:numPr>
          <w:ilvl w:val="0"/>
          <w:numId w:val="15"/>
        </w:numPr>
        <w:tabs>
          <w:tab w:val="num" w:pos="993"/>
          <w:tab w:val="left" w:pos="1418"/>
        </w:tabs>
        <w:ind w:left="709" w:hanging="567"/>
        <w:rPr>
          <w:rFonts w:cs="Open Sans"/>
        </w:rPr>
      </w:pPr>
      <w:r w:rsidRPr="00BF2102">
        <w:rPr>
          <w:rFonts w:cs="Open Sans"/>
        </w:rPr>
        <w:t>Any dual citizen with a relevant conviction can be subject to conviction-based citizenship loss</w:t>
      </w:r>
      <w:r w:rsidR="005638C9" w:rsidRPr="00BF2102">
        <w:rPr>
          <w:rFonts w:cs="Open Sans"/>
        </w:rPr>
        <w:t xml:space="preserve"> by way of a Ministerial determination</w:t>
      </w:r>
      <w:r w:rsidR="007A4DAD" w:rsidRPr="00BF2102">
        <w:rPr>
          <w:rFonts w:cs="Open Sans"/>
        </w:rPr>
        <w:t xml:space="preserve">, regardless of whether their </w:t>
      </w:r>
      <w:r w:rsidR="000B690D" w:rsidRPr="00BF2102">
        <w:rPr>
          <w:rFonts w:cs="Open Sans"/>
        </w:rPr>
        <w:t xml:space="preserve">Australian </w:t>
      </w:r>
      <w:r w:rsidR="007A4DAD" w:rsidRPr="00BF2102">
        <w:rPr>
          <w:rFonts w:cs="Open Sans"/>
        </w:rPr>
        <w:t>citizenship is conferred by birth or naturalisation.</w:t>
      </w:r>
      <w:r w:rsidR="007A4DAD" w:rsidRPr="00BF2102">
        <w:rPr>
          <w:rStyle w:val="EndnoteReference"/>
          <w:rFonts w:cs="Open Sans"/>
        </w:rPr>
        <w:endnoteReference w:id="16"/>
      </w:r>
      <w:r w:rsidRPr="00BF2102">
        <w:rPr>
          <w:rFonts w:cs="Open Sans"/>
        </w:rPr>
        <w:t xml:space="preserve"> This </w:t>
      </w:r>
      <w:r w:rsidR="00573DA9" w:rsidRPr="00BF2102">
        <w:rPr>
          <w:rFonts w:cs="Open Sans"/>
        </w:rPr>
        <w:t xml:space="preserve">power </w:t>
      </w:r>
      <w:r w:rsidRPr="00BF2102">
        <w:rPr>
          <w:rFonts w:cs="Open Sans"/>
        </w:rPr>
        <w:t>could</w:t>
      </w:r>
      <w:r w:rsidR="00573DA9" w:rsidRPr="00BF2102">
        <w:rPr>
          <w:rFonts w:cs="Open Sans"/>
        </w:rPr>
        <w:t xml:space="preserve"> be</w:t>
      </w:r>
      <w:r w:rsidRPr="00BF2102">
        <w:rPr>
          <w:rFonts w:cs="Open Sans"/>
        </w:rPr>
        <w:t xml:space="preserve"> appl</w:t>
      </w:r>
      <w:r w:rsidR="00573DA9" w:rsidRPr="00BF2102">
        <w:rPr>
          <w:rFonts w:cs="Open Sans"/>
        </w:rPr>
        <w:t>ied</w:t>
      </w:r>
      <w:r w:rsidRPr="00BF2102">
        <w:rPr>
          <w:rFonts w:cs="Open Sans"/>
        </w:rPr>
        <w:t xml:space="preserve"> to persons aged </w:t>
      </w:r>
      <w:r w:rsidR="000A784E" w:rsidRPr="00BF2102">
        <w:rPr>
          <w:rFonts w:cs="Open Sans"/>
        </w:rPr>
        <w:t>ten</w:t>
      </w:r>
      <w:r w:rsidRPr="00BF2102">
        <w:rPr>
          <w:rFonts w:cs="Open Sans"/>
        </w:rPr>
        <w:t xml:space="preserve"> years old </w:t>
      </w:r>
      <w:r w:rsidR="008F5E0B" w:rsidRPr="00BF2102">
        <w:rPr>
          <w:rFonts w:cs="Open Sans"/>
        </w:rPr>
        <w:t>or older</w:t>
      </w:r>
      <w:r w:rsidRPr="00BF2102">
        <w:rPr>
          <w:rFonts w:cs="Open Sans"/>
        </w:rPr>
        <w:t xml:space="preserve">, pursuant to the age of criminal responsibility in the </w:t>
      </w:r>
      <w:r w:rsidRPr="00BF2102">
        <w:rPr>
          <w:rFonts w:cs="Open Sans"/>
          <w:iCs/>
        </w:rPr>
        <w:t>Criminal Code</w:t>
      </w:r>
      <w:r w:rsidRPr="00BF2102">
        <w:rPr>
          <w:rFonts w:cs="Open Sans"/>
        </w:rPr>
        <w:t>.</w:t>
      </w:r>
      <w:r w:rsidR="005638C9" w:rsidRPr="00BF2102">
        <w:rPr>
          <w:rFonts w:cs="Open Sans"/>
        </w:rPr>
        <w:t xml:space="preserve"> The person ceases to be an Australian citizen at the time </w:t>
      </w:r>
      <w:r w:rsidR="001341ED" w:rsidRPr="00BF2102">
        <w:rPr>
          <w:rFonts w:cs="Open Sans"/>
        </w:rPr>
        <w:t>the</w:t>
      </w:r>
      <w:r w:rsidR="005638C9" w:rsidRPr="00BF2102">
        <w:rPr>
          <w:rFonts w:cs="Open Sans"/>
        </w:rPr>
        <w:t xml:space="preserve"> relevant Ministerial determination is made.</w:t>
      </w:r>
      <w:r w:rsidR="005638C9" w:rsidRPr="00BF2102">
        <w:rPr>
          <w:rStyle w:val="EndnoteReference"/>
          <w:rFonts w:cs="Open Sans"/>
        </w:rPr>
        <w:endnoteReference w:id="17"/>
      </w:r>
      <w:r w:rsidR="005638C9" w:rsidRPr="00BF2102">
        <w:rPr>
          <w:rFonts w:cs="Open Sans"/>
        </w:rPr>
        <w:t xml:space="preserve"> </w:t>
      </w:r>
    </w:p>
    <w:p w14:paraId="3174E19A" w14:textId="0D42A0FC" w:rsidR="00B8312A" w:rsidRPr="00BF2102" w:rsidRDefault="00B8312A" w:rsidP="00310D03">
      <w:pPr>
        <w:pStyle w:val="ListNumber"/>
        <w:numPr>
          <w:ilvl w:val="0"/>
          <w:numId w:val="15"/>
        </w:numPr>
        <w:tabs>
          <w:tab w:val="num" w:pos="993"/>
          <w:tab w:val="left" w:pos="1418"/>
        </w:tabs>
        <w:ind w:left="709" w:hanging="567"/>
        <w:rPr>
          <w:rFonts w:cs="Open Sans"/>
        </w:rPr>
      </w:pPr>
      <w:r w:rsidRPr="00BF2102">
        <w:rPr>
          <w:rFonts w:cs="Open Sans"/>
        </w:rPr>
        <w:t>S</w:t>
      </w:r>
      <w:r w:rsidR="00053DC2" w:rsidRPr="00BF2102">
        <w:rPr>
          <w:rFonts w:cs="Open Sans"/>
        </w:rPr>
        <w:t>ubs</w:t>
      </w:r>
      <w:r w:rsidRPr="00BF2102">
        <w:rPr>
          <w:rFonts w:cs="Open Sans"/>
        </w:rPr>
        <w:t>ection 35</w:t>
      </w:r>
      <w:proofErr w:type="gramStart"/>
      <w:r w:rsidRPr="00BF2102">
        <w:rPr>
          <w:rFonts w:cs="Open Sans"/>
        </w:rPr>
        <w:t>A(</w:t>
      </w:r>
      <w:proofErr w:type="gramEnd"/>
      <w:r w:rsidRPr="00BF2102">
        <w:rPr>
          <w:rFonts w:cs="Open Sans"/>
        </w:rPr>
        <w:t xml:space="preserve">1) of the Citizenship Act allows the Minister </w:t>
      </w:r>
      <w:r w:rsidR="00AB7EA4" w:rsidRPr="00BF2102">
        <w:rPr>
          <w:rFonts w:cs="Open Sans"/>
        </w:rPr>
        <w:t xml:space="preserve">to </w:t>
      </w:r>
      <w:r w:rsidR="00573DA9" w:rsidRPr="00BF2102">
        <w:rPr>
          <w:rFonts w:cs="Open Sans"/>
        </w:rPr>
        <w:t xml:space="preserve">make a determination </w:t>
      </w:r>
      <w:r w:rsidR="00E360AE" w:rsidRPr="00BF2102">
        <w:rPr>
          <w:rFonts w:cs="Open Sans"/>
        </w:rPr>
        <w:t>that a person ceases to be an Australian citizen</w:t>
      </w:r>
      <w:r w:rsidRPr="00BF2102">
        <w:rPr>
          <w:rFonts w:cs="Open Sans"/>
        </w:rPr>
        <w:t xml:space="preserve">, where </w:t>
      </w:r>
      <w:r w:rsidR="00AB7EA4" w:rsidRPr="00BF2102">
        <w:rPr>
          <w:rFonts w:cs="Open Sans"/>
        </w:rPr>
        <w:t xml:space="preserve">all of </w:t>
      </w:r>
      <w:r w:rsidRPr="00BF2102">
        <w:rPr>
          <w:rFonts w:cs="Open Sans"/>
        </w:rPr>
        <w:t xml:space="preserve">the following criteria are met: </w:t>
      </w:r>
    </w:p>
    <w:p w14:paraId="6CA534BB" w14:textId="6B9E028D" w:rsidR="006E0674" w:rsidRPr="00BF2102" w:rsidRDefault="00B8312A" w:rsidP="00310D03">
      <w:pPr>
        <w:pStyle w:val="ListParagraph"/>
        <w:numPr>
          <w:ilvl w:val="0"/>
          <w:numId w:val="18"/>
        </w:numPr>
        <w:spacing w:before="120" w:after="120"/>
        <w:rPr>
          <w:rFonts w:cs="Open Sans"/>
        </w:rPr>
      </w:pPr>
      <w:r w:rsidRPr="00BF2102">
        <w:rPr>
          <w:rFonts w:cs="Open Sans"/>
        </w:rPr>
        <w:lastRenderedPageBreak/>
        <w:t>the person is convicted of specified offences, being certain terrorism-related, treason, sabotage, espionage and foreign interference offences,</w:t>
      </w:r>
      <w:r w:rsidR="007412BF" w:rsidRPr="00BF2102">
        <w:rPr>
          <w:rStyle w:val="EndnoteReference"/>
          <w:rFonts w:cs="Open Sans"/>
        </w:rPr>
        <w:endnoteReference w:id="18"/>
      </w:r>
      <w:r w:rsidRPr="00BF2102">
        <w:rPr>
          <w:rFonts w:cs="Open Sans"/>
        </w:rPr>
        <w:t xml:space="preserve"> mostly </w:t>
      </w:r>
      <w:r w:rsidR="003850D4" w:rsidRPr="00BF2102">
        <w:rPr>
          <w:rFonts w:cs="Open Sans"/>
        </w:rPr>
        <w:t>set out</w:t>
      </w:r>
      <w:r w:rsidRPr="00BF2102">
        <w:rPr>
          <w:rFonts w:cs="Open Sans"/>
        </w:rPr>
        <w:t xml:space="preserve"> in the </w:t>
      </w:r>
      <w:r w:rsidRPr="00BF2102">
        <w:rPr>
          <w:rFonts w:cs="Open Sans"/>
          <w:iCs/>
        </w:rPr>
        <w:t>Criminal Code</w:t>
      </w:r>
    </w:p>
    <w:p w14:paraId="1BFAC321" w14:textId="77777777" w:rsidR="006E0674" w:rsidRPr="00BF2102" w:rsidRDefault="00B8312A" w:rsidP="00310D03">
      <w:pPr>
        <w:pStyle w:val="ListParagraph"/>
        <w:numPr>
          <w:ilvl w:val="0"/>
          <w:numId w:val="18"/>
        </w:numPr>
        <w:spacing w:before="120" w:after="120"/>
        <w:rPr>
          <w:rFonts w:cs="Open Sans"/>
        </w:rPr>
      </w:pPr>
      <w:r w:rsidRPr="00BF2102">
        <w:rPr>
          <w:rFonts w:cs="Open Sans"/>
        </w:rPr>
        <w:t>the person has been sentenced to a period of imprisonment of at least six years for a single specified offence or six years cumulatively for a number of specified offences</w:t>
      </w:r>
      <w:r w:rsidR="00CA1B3D" w:rsidRPr="00BF2102">
        <w:rPr>
          <w:rFonts w:cs="Open Sans"/>
        </w:rPr>
        <w:t>, not including a suspended sentence</w:t>
      </w:r>
    </w:p>
    <w:p w14:paraId="2627D839" w14:textId="77777777" w:rsidR="006E0674" w:rsidRPr="00BF2102" w:rsidRDefault="00B8312A" w:rsidP="00310D03">
      <w:pPr>
        <w:pStyle w:val="ListParagraph"/>
        <w:numPr>
          <w:ilvl w:val="0"/>
          <w:numId w:val="18"/>
        </w:numPr>
        <w:spacing w:before="120" w:after="120"/>
        <w:rPr>
          <w:rFonts w:cs="Open Sans"/>
        </w:rPr>
      </w:pPr>
      <w:r w:rsidRPr="00BF2102">
        <w:rPr>
          <w:rFonts w:cs="Open Sans"/>
        </w:rPr>
        <w:t>the person is a national or citizen of a country other than Australia at the time when the Minister makes the determination</w:t>
      </w:r>
    </w:p>
    <w:p w14:paraId="4EA3A2BA" w14:textId="77777777" w:rsidR="006E0674" w:rsidRPr="00BF2102" w:rsidRDefault="00B8312A" w:rsidP="00310D03">
      <w:pPr>
        <w:pStyle w:val="ListParagraph"/>
        <w:numPr>
          <w:ilvl w:val="0"/>
          <w:numId w:val="18"/>
        </w:numPr>
        <w:spacing w:before="120" w:after="120"/>
        <w:rPr>
          <w:rFonts w:cs="Open Sans"/>
        </w:rPr>
      </w:pPr>
      <w:r w:rsidRPr="00BF2102">
        <w:rPr>
          <w:rFonts w:cs="Open Sans"/>
        </w:rPr>
        <w:t>the Minister is satisfied that the conduct of the person to which the conviction or convictions relate demonstrates that the person has repudiated their allegiance to Australia</w:t>
      </w:r>
    </w:p>
    <w:p w14:paraId="52F04282" w14:textId="613F260D" w:rsidR="00B8312A" w:rsidRPr="00BF2102" w:rsidRDefault="00B8312A" w:rsidP="00D02ED8">
      <w:pPr>
        <w:pStyle w:val="ListParagraph"/>
        <w:numPr>
          <w:ilvl w:val="0"/>
          <w:numId w:val="18"/>
        </w:numPr>
        <w:spacing w:before="120" w:after="120"/>
        <w:rPr>
          <w:rFonts w:cs="Open Sans"/>
        </w:rPr>
      </w:pPr>
      <w:r w:rsidRPr="00BF2102">
        <w:rPr>
          <w:rFonts w:cs="Open Sans"/>
        </w:rPr>
        <w:t>the Minister is satisfied that it is not in the public interest for the person to remain an Australian citizen having regard to:</w:t>
      </w:r>
    </w:p>
    <w:p w14:paraId="66345D73" w14:textId="77777777" w:rsidR="00B8312A" w:rsidRPr="00BF2102" w:rsidRDefault="00B8312A" w:rsidP="00D02ED8">
      <w:pPr>
        <w:pStyle w:val="ListParagraph"/>
        <w:numPr>
          <w:ilvl w:val="1"/>
          <w:numId w:val="39"/>
        </w:numPr>
        <w:spacing w:before="120" w:after="120"/>
        <w:ind w:hanging="357"/>
        <w:rPr>
          <w:rFonts w:cs="Open Sans"/>
        </w:rPr>
      </w:pPr>
      <w:r w:rsidRPr="00BF2102">
        <w:rPr>
          <w:rFonts w:cs="Open Sans"/>
        </w:rPr>
        <w:t>the severity of the conduct</w:t>
      </w:r>
    </w:p>
    <w:p w14:paraId="01F1F805" w14:textId="77777777" w:rsidR="00B8312A" w:rsidRPr="00BF2102" w:rsidRDefault="00B8312A" w:rsidP="00D02ED8">
      <w:pPr>
        <w:pStyle w:val="ListParagraph"/>
        <w:numPr>
          <w:ilvl w:val="1"/>
          <w:numId w:val="39"/>
        </w:numPr>
        <w:spacing w:before="120" w:after="120"/>
        <w:ind w:hanging="357"/>
        <w:rPr>
          <w:rFonts w:cs="Open Sans"/>
        </w:rPr>
      </w:pPr>
      <w:r w:rsidRPr="00BF2102">
        <w:rPr>
          <w:rFonts w:cs="Open Sans"/>
        </w:rPr>
        <w:t>the degree of threat posed to the Australian community</w:t>
      </w:r>
    </w:p>
    <w:p w14:paraId="3AC4993B" w14:textId="77777777" w:rsidR="00B8312A" w:rsidRPr="00BF2102" w:rsidRDefault="00B8312A" w:rsidP="00D02ED8">
      <w:pPr>
        <w:pStyle w:val="ListParagraph"/>
        <w:numPr>
          <w:ilvl w:val="1"/>
          <w:numId w:val="39"/>
        </w:numPr>
        <w:spacing w:before="120" w:after="120"/>
        <w:ind w:hanging="357"/>
        <w:rPr>
          <w:rFonts w:cs="Open Sans"/>
        </w:rPr>
      </w:pPr>
      <w:r w:rsidRPr="00BF2102">
        <w:rPr>
          <w:rFonts w:cs="Open Sans"/>
        </w:rPr>
        <w:t>the age of the person</w:t>
      </w:r>
    </w:p>
    <w:p w14:paraId="233735DE" w14:textId="77777777" w:rsidR="00B8312A" w:rsidRPr="00BF2102" w:rsidRDefault="00B8312A" w:rsidP="00D02ED8">
      <w:pPr>
        <w:pStyle w:val="ListParagraph"/>
        <w:numPr>
          <w:ilvl w:val="1"/>
          <w:numId w:val="39"/>
        </w:numPr>
        <w:spacing w:before="120" w:after="120"/>
        <w:ind w:hanging="357"/>
        <w:rPr>
          <w:rFonts w:cs="Open Sans"/>
        </w:rPr>
      </w:pPr>
      <w:r w:rsidRPr="00BF2102">
        <w:rPr>
          <w:rFonts w:cs="Open Sans"/>
        </w:rPr>
        <w:t>if the person is aged under 18—the best interests of the child as a primary consideration</w:t>
      </w:r>
    </w:p>
    <w:p w14:paraId="181A506E" w14:textId="77777777" w:rsidR="00B8312A" w:rsidRPr="00BF2102" w:rsidRDefault="00B8312A" w:rsidP="00D02ED8">
      <w:pPr>
        <w:pStyle w:val="ListParagraph"/>
        <w:numPr>
          <w:ilvl w:val="1"/>
          <w:numId w:val="39"/>
        </w:numPr>
        <w:spacing w:before="120" w:after="120"/>
        <w:ind w:hanging="357"/>
        <w:rPr>
          <w:rFonts w:cs="Open Sans"/>
        </w:rPr>
      </w:pPr>
      <w:r w:rsidRPr="00BF2102">
        <w:rPr>
          <w:rFonts w:cs="Open Sans"/>
        </w:rPr>
        <w:t>the person’s connection to the other country of which the person is a national or citizen and the availability of the rights of citizenship of that country to the person</w:t>
      </w:r>
    </w:p>
    <w:p w14:paraId="448C4A14" w14:textId="77777777" w:rsidR="00B8312A" w:rsidRPr="00BF2102" w:rsidRDefault="00B8312A" w:rsidP="00D02ED8">
      <w:pPr>
        <w:pStyle w:val="ListParagraph"/>
        <w:numPr>
          <w:ilvl w:val="1"/>
          <w:numId w:val="39"/>
        </w:numPr>
        <w:spacing w:before="120" w:after="120"/>
        <w:ind w:hanging="357"/>
        <w:rPr>
          <w:rFonts w:cs="Open Sans"/>
        </w:rPr>
      </w:pPr>
      <w:r w:rsidRPr="00BF2102">
        <w:rPr>
          <w:rFonts w:cs="Open Sans"/>
        </w:rPr>
        <w:t>Australia’s international relations</w:t>
      </w:r>
    </w:p>
    <w:p w14:paraId="5502AAFE" w14:textId="77777777" w:rsidR="00B8312A" w:rsidRPr="00BF2102" w:rsidRDefault="00B8312A" w:rsidP="00BC44CA">
      <w:pPr>
        <w:pStyle w:val="ListParagraph"/>
        <w:numPr>
          <w:ilvl w:val="1"/>
          <w:numId w:val="39"/>
        </w:numPr>
        <w:spacing w:before="120"/>
        <w:ind w:hanging="357"/>
        <w:rPr>
          <w:rFonts w:cs="Open Sans"/>
        </w:rPr>
      </w:pPr>
      <w:r w:rsidRPr="00BF2102">
        <w:rPr>
          <w:rFonts w:cs="Open Sans"/>
        </w:rPr>
        <w:t>any other matters of public interest.</w:t>
      </w:r>
    </w:p>
    <w:p w14:paraId="6266C849" w14:textId="06334231" w:rsidR="003A228B" w:rsidRPr="00BF2102" w:rsidRDefault="00CA1B3D" w:rsidP="00310D03">
      <w:pPr>
        <w:pStyle w:val="ListNumber"/>
        <w:numPr>
          <w:ilvl w:val="0"/>
          <w:numId w:val="15"/>
        </w:numPr>
        <w:tabs>
          <w:tab w:val="num" w:pos="993"/>
          <w:tab w:val="left" w:pos="1418"/>
        </w:tabs>
        <w:ind w:left="709" w:hanging="567"/>
        <w:rPr>
          <w:rFonts w:cs="Open Sans"/>
        </w:rPr>
      </w:pPr>
      <w:r w:rsidRPr="00BF2102">
        <w:rPr>
          <w:rFonts w:cs="Open Sans"/>
        </w:rPr>
        <w:t xml:space="preserve">Certain notice requirements attach to the conviction-based loss process. </w:t>
      </w:r>
      <w:r w:rsidR="00053DC2" w:rsidRPr="00BF2102">
        <w:rPr>
          <w:rFonts w:cs="Open Sans"/>
        </w:rPr>
        <w:t>Subsection 35</w:t>
      </w:r>
      <w:proofErr w:type="gramStart"/>
      <w:r w:rsidR="00053DC2" w:rsidRPr="00BF2102">
        <w:rPr>
          <w:rFonts w:cs="Open Sans"/>
        </w:rPr>
        <w:t>A(</w:t>
      </w:r>
      <w:proofErr w:type="gramEnd"/>
      <w:r w:rsidR="00053DC2" w:rsidRPr="00BF2102">
        <w:rPr>
          <w:rFonts w:cs="Open Sans"/>
        </w:rPr>
        <w:t xml:space="preserve">5) of the </w:t>
      </w:r>
      <w:r w:rsidR="003A228B" w:rsidRPr="00BF2102">
        <w:rPr>
          <w:rFonts w:cs="Open Sans"/>
        </w:rPr>
        <w:t xml:space="preserve">Citizenship Act states that if the Minister makes a determination, they must give or make reasonable attempts to give written notice to that effect to the person as soon as practicable. </w:t>
      </w:r>
    </w:p>
    <w:p w14:paraId="1C1E7595" w14:textId="235E050B" w:rsidR="003A228B" w:rsidRPr="00BF2102" w:rsidRDefault="0051098E" w:rsidP="00310D03">
      <w:pPr>
        <w:pStyle w:val="ListNumber"/>
        <w:numPr>
          <w:ilvl w:val="0"/>
          <w:numId w:val="15"/>
        </w:numPr>
        <w:tabs>
          <w:tab w:val="num" w:pos="993"/>
          <w:tab w:val="left" w:pos="1418"/>
        </w:tabs>
        <w:ind w:left="709" w:hanging="567"/>
        <w:rPr>
          <w:rFonts w:cs="Open Sans"/>
        </w:rPr>
      </w:pPr>
      <w:r w:rsidRPr="00BF2102">
        <w:rPr>
          <w:rFonts w:cs="Open Sans"/>
        </w:rPr>
        <w:t>P</w:t>
      </w:r>
      <w:r w:rsidR="003A228B" w:rsidRPr="00BF2102">
        <w:rPr>
          <w:rFonts w:cs="Open Sans"/>
        </w:rPr>
        <w:t>ursuant to s</w:t>
      </w:r>
      <w:r w:rsidR="004D60CE" w:rsidRPr="00BF2102">
        <w:rPr>
          <w:rFonts w:cs="Open Sans"/>
        </w:rPr>
        <w:t>s 35</w:t>
      </w:r>
      <w:proofErr w:type="gramStart"/>
      <w:r w:rsidR="004D60CE" w:rsidRPr="00BF2102">
        <w:rPr>
          <w:rFonts w:cs="Open Sans"/>
        </w:rPr>
        <w:t>A(</w:t>
      </w:r>
      <w:proofErr w:type="gramEnd"/>
      <w:r w:rsidR="004D60CE" w:rsidRPr="00BF2102">
        <w:rPr>
          <w:rFonts w:cs="Open Sans"/>
        </w:rPr>
        <w:t>6) and</w:t>
      </w:r>
      <w:r w:rsidR="003A228B" w:rsidRPr="00BF2102">
        <w:rPr>
          <w:rFonts w:cs="Open Sans"/>
        </w:rPr>
        <w:t xml:space="preserve"> 35B</w:t>
      </w:r>
      <w:r w:rsidR="008E6B04" w:rsidRPr="00BF2102">
        <w:rPr>
          <w:rFonts w:cs="Open Sans"/>
        </w:rPr>
        <w:t>(2)</w:t>
      </w:r>
      <w:r w:rsidR="003A228B" w:rsidRPr="00BF2102">
        <w:rPr>
          <w:rFonts w:cs="Open Sans"/>
        </w:rPr>
        <w:t xml:space="preserve">, </w:t>
      </w:r>
      <w:r w:rsidRPr="00BF2102">
        <w:rPr>
          <w:rFonts w:cs="Open Sans"/>
        </w:rPr>
        <w:t xml:space="preserve">a notice must set out </w:t>
      </w:r>
      <w:r w:rsidR="003A228B" w:rsidRPr="00BF2102">
        <w:rPr>
          <w:rFonts w:cs="Open Sans"/>
        </w:rPr>
        <w:t>the following matters:</w:t>
      </w:r>
    </w:p>
    <w:p w14:paraId="7F79F7CE" w14:textId="7ACBED17" w:rsidR="006E0674" w:rsidRPr="00BF2102" w:rsidRDefault="0051098E" w:rsidP="00310D03">
      <w:pPr>
        <w:pStyle w:val="ListParagraph"/>
        <w:numPr>
          <w:ilvl w:val="0"/>
          <w:numId w:val="19"/>
        </w:numPr>
        <w:spacing w:before="120" w:after="120"/>
        <w:rPr>
          <w:rFonts w:cs="Open Sans"/>
        </w:rPr>
      </w:pPr>
      <w:r w:rsidRPr="00BF2102">
        <w:rPr>
          <w:rFonts w:cs="Open Sans"/>
        </w:rPr>
        <w:t xml:space="preserve">that the Minister </w:t>
      </w:r>
      <w:r w:rsidR="00A018F4" w:rsidRPr="00BF2102">
        <w:rPr>
          <w:rFonts w:cs="Open Sans"/>
        </w:rPr>
        <w:t>has determined under s 35A that the person has ceased to be an Australian citizen</w:t>
      </w:r>
    </w:p>
    <w:p w14:paraId="338E4174" w14:textId="4DC2A633" w:rsidR="006E0674" w:rsidRPr="00BF2102" w:rsidRDefault="008E6B04" w:rsidP="00310D03">
      <w:pPr>
        <w:pStyle w:val="ListParagraph"/>
        <w:numPr>
          <w:ilvl w:val="0"/>
          <w:numId w:val="19"/>
        </w:numPr>
        <w:spacing w:before="120" w:after="120"/>
        <w:rPr>
          <w:rFonts w:cs="Open Sans"/>
        </w:rPr>
      </w:pPr>
      <w:r w:rsidRPr="00BF2102">
        <w:rPr>
          <w:rFonts w:cs="Open Sans"/>
        </w:rPr>
        <w:t xml:space="preserve">the </w:t>
      </w:r>
      <w:r w:rsidR="00A018F4" w:rsidRPr="00BF2102">
        <w:rPr>
          <w:rFonts w:cs="Open Sans"/>
        </w:rPr>
        <w:t>reasons for the decision to make the determination</w:t>
      </w:r>
    </w:p>
    <w:p w14:paraId="4BC2D01E" w14:textId="754357DA" w:rsidR="00A018F4" w:rsidRPr="00BF2102" w:rsidRDefault="004D60CE" w:rsidP="00310D03">
      <w:pPr>
        <w:pStyle w:val="ListParagraph"/>
        <w:numPr>
          <w:ilvl w:val="0"/>
          <w:numId w:val="19"/>
        </w:numPr>
        <w:spacing w:before="120" w:after="120"/>
        <w:rPr>
          <w:rFonts w:cs="Open Sans"/>
        </w:rPr>
      </w:pPr>
      <w:r w:rsidRPr="00BF2102">
        <w:rPr>
          <w:rFonts w:cs="Open Sans"/>
        </w:rPr>
        <w:t>the person’s rights of review</w:t>
      </w:r>
      <w:r w:rsidR="00A018F4" w:rsidRPr="00BF2102">
        <w:rPr>
          <w:rFonts w:cs="Open Sans"/>
        </w:rPr>
        <w:t>.</w:t>
      </w:r>
    </w:p>
    <w:p w14:paraId="0BB6DCAD" w14:textId="652DED87" w:rsidR="00A70A39" w:rsidRPr="00BF2102" w:rsidRDefault="00A70A39" w:rsidP="00310D03">
      <w:pPr>
        <w:pStyle w:val="ListNumber"/>
        <w:numPr>
          <w:ilvl w:val="0"/>
          <w:numId w:val="15"/>
        </w:numPr>
        <w:tabs>
          <w:tab w:val="num" w:pos="993"/>
          <w:tab w:val="left" w:pos="1418"/>
        </w:tabs>
        <w:ind w:left="709" w:hanging="567"/>
        <w:rPr>
          <w:rFonts w:cs="Open Sans"/>
        </w:rPr>
      </w:pPr>
      <w:r w:rsidRPr="00BF2102">
        <w:rPr>
          <w:rFonts w:cs="Open Sans"/>
        </w:rPr>
        <w:lastRenderedPageBreak/>
        <w:t>However under s 35</w:t>
      </w:r>
      <w:proofErr w:type="gramStart"/>
      <w:r w:rsidRPr="00BF2102">
        <w:rPr>
          <w:rFonts w:cs="Open Sans"/>
        </w:rPr>
        <w:t>B(</w:t>
      </w:r>
      <w:proofErr w:type="gramEnd"/>
      <w:r w:rsidRPr="00BF2102">
        <w:rPr>
          <w:rFonts w:cs="Open Sans"/>
        </w:rPr>
        <w:t xml:space="preserve">3), a notice must not contain </w:t>
      </w:r>
      <w:r w:rsidR="004D60CE" w:rsidRPr="00BF2102">
        <w:rPr>
          <w:rFonts w:cs="Open Sans"/>
        </w:rPr>
        <w:t xml:space="preserve">certain sensitive </w:t>
      </w:r>
      <w:r w:rsidRPr="00BF2102">
        <w:rPr>
          <w:rFonts w:cs="Open Sans"/>
        </w:rPr>
        <w:t>information</w:t>
      </w:r>
      <w:r w:rsidR="004D60CE" w:rsidRPr="00BF2102">
        <w:rPr>
          <w:rFonts w:cs="Open Sans"/>
        </w:rPr>
        <w:t>. This includes information that</w:t>
      </w:r>
      <w:r w:rsidR="00AB7EA4" w:rsidRPr="00BF2102">
        <w:rPr>
          <w:rFonts w:cs="Open Sans"/>
        </w:rPr>
        <w:t>:</w:t>
      </w:r>
      <w:r w:rsidR="004D60CE" w:rsidRPr="00BF2102">
        <w:rPr>
          <w:rFonts w:cs="Open Sans"/>
        </w:rPr>
        <w:t xml:space="preserve"> is</w:t>
      </w:r>
      <w:r w:rsidRPr="00BF2102">
        <w:rPr>
          <w:rFonts w:cs="Open Sans"/>
        </w:rPr>
        <w:t xml:space="preserve"> operationally sensitive</w:t>
      </w:r>
      <w:r w:rsidR="004D60CE" w:rsidRPr="00BF2102">
        <w:rPr>
          <w:rFonts w:cs="Open Sans"/>
        </w:rPr>
        <w:t>;</w:t>
      </w:r>
      <w:r w:rsidRPr="00BF2102">
        <w:rPr>
          <w:rFonts w:cs="Open Sans"/>
        </w:rPr>
        <w:t xml:space="preserve"> </w:t>
      </w:r>
      <w:r w:rsidR="004D60CE" w:rsidRPr="00BF2102">
        <w:rPr>
          <w:rFonts w:cs="Open Sans"/>
        </w:rPr>
        <w:t xml:space="preserve">would or might prejudice the performance by a law enforcement or security agency of its functions; </w:t>
      </w:r>
      <w:r w:rsidRPr="00BF2102">
        <w:rPr>
          <w:rFonts w:cs="Open Sans"/>
        </w:rPr>
        <w:t xml:space="preserve">would or might prejudice </w:t>
      </w:r>
      <w:r w:rsidR="004D60CE" w:rsidRPr="00BF2102">
        <w:rPr>
          <w:rFonts w:cs="Open Sans"/>
        </w:rPr>
        <w:t xml:space="preserve">the </w:t>
      </w:r>
      <w:r w:rsidRPr="00BF2102">
        <w:rPr>
          <w:rFonts w:cs="Open Sans"/>
        </w:rPr>
        <w:t>security, defence or international relations</w:t>
      </w:r>
      <w:r w:rsidR="004D60CE" w:rsidRPr="00BF2102">
        <w:rPr>
          <w:rFonts w:cs="Open Sans"/>
        </w:rPr>
        <w:t xml:space="preserve"> of Australia; would or might endanger a person’s safety</w:t>
      </w:r>
      <w:r w:rsidR="00AB7EA4" w:rsidRPr="00BF2102">
        <w:rPr>
          <w:rFonts w:cs="Open Sans"/>
        </w:rPr>
        <w:t>;</w:t>
      </w:r>
      <w:r w:rsidR="004D60CE" w:rsidRPr="00BF2102">
        <w:rPr>
          <w:rFonts w:cs="Open Sans"/>
        </w:rPr>
        <w:t xml:space="preserve"> or would be ‘likely to be contrary to the public interest for any other reason’.</w:t>
      </w:r>
    </w:p>
    <w:p w14:paraId="013CA128" w14:textId="71AC8D1E" w:rsidR="00AD33D7" w:rsidRPr="00BF2102" w:rsidRDefault="00A70A39" w:rsidP="00310D03">
      <w:pPr>
        <w:pStyle w:val="ListNumber"/>
        <w:numPr>
          <w:ilvl w:val="0"/>
          <w:numId w:val="15"/>
        </w:numPr>
        <w:tabs>
          <w:tab w:val="num" w:pos="993"/>
          <w:tab w:val="left" w:pos="1418"/>
        </w:tabs>
        <w:ind w:left="709" w:hanging="567"/>
        <w:rPr>
          <w:rFonts w:cs="Open Sans"/>
        </w:rPr>
      </w:pPr>
      <w:r w:rsidRPr="00BF2102">
        <w:rPr>
          <w:rFonts w:cs="Open Sans"/>
        </w:rPr>
        <w:t>Under s 35</w:t>
      </w:r>
      <w:proofErr w:type="gramStart"/>
      <w:r w:rsidRPr="00BF2102">
        <w:rPr>
          <w:rFonts w:cs="Open Sans"/>
        </w:rPr>
        <w:t>A(</w:t>
      </w:r>
      <w:proofErr w:type="gramEnd"/>
      <w:r w:rsidRPr="00BF2102">
        <w:rPr>
          <w:rFonts w:cs="Open Sans"/>
        </w:rPr>
        <w:t>7), an exception permits the Minister to determin</w:t>
      </w:r>
      <w:r w:rsidR="0031093F" w:rsidRPr="00BF2102">
        <w:rPr>
          <w:rFonts w:cs="Open Sans"/>
        </w:rPr>
        <w:t>e</w:t>
      </w:r>
      <w:r w:rsidRPr="00BF2102">
        <w:rPr>
          <w:rFonts w:cs="Open Sans"/>
        </w:rPr>
        <w:t xml:space="preserve"> that a notice should not be given to the person if the Minister is satisfied that giving the notice </w:t>
      </w:r>
      <w:r w:rsidRPr="00BF2102">
        <w:rPr>
          <w:rFonts w:cs="Open Sans"/>
          <w:i/>
          <w:iCs/>
        </w:rPr>
        <w:t>could</w:t>
      </w:r>
      <w:r w:rsidRPr="00BF2102">
        <w:rPr>
          <w:rFonts w:cs="Open Sans"/>
        </w:rPr>
        <w:t xml:space="preserve"> prejudice the security, defence or international relations of Australia, or Australian law enforcement operations. </w:t>
      </w:r>
    </w:p>
    <w:p w14:paraId="0DFF39E0" w14:textId="1A60F187" w:rsidR="0051098E" w:rsidRPr="00BF2102" w:rsidRDefault="00A70A39" w:rsidP="00310D03">
      <w:pPr>
        <w:pStyle w:val="ListNumber"/>
        <w:numPr>
          <w:ilvl w:val="0"/>
          <w:numId w:val="15"/>
        </w:numPr>
        <w:tabs>
          <w:tab w:val="num" w:pos="993"/>
          <w:tab w:val="left" w:pos="1418"/>
        </w:tabs>
        <w:ind w:left="709" w:hanging="567"/>
        <w:rPr>
          <w:rFonts w:cs="Open Sans"/>
        </w:rPr>
      </w:pPr>
      <w:r w:rsidRPr="00BF2102">
        <w:rPr>
          <w:rFonts w:cs="Open Sans"/>
        </w:rPr>
        <w:t>The Minister is required to consider revoking such a determination periodically</w:t>
      </w:r>
      <w:r w:rsidR="00BC4C26" w:rsidRPr="00BF2102">
        <w:rPr>
          <w:rFonts w:cs="Open Sans"/>
        </w:rPr>
        <w:t>—</w:t>
      </w:r>
      <w:r w:rsidRPr="00BF2102">
        <w:rPr>
          <w:rFonts w:cs="Open Sans"/>
        </w:rPr>
        <w:t>no later than six months after making it and at least every six months thereafter until five years have passed.</w:t>
      </w:r>
      <w:r w:rsidR="003020C7" w:rsidRPr="00BF2102">
        <w:rPr>
          <w:rFonts w:cs="Open Sans"/>
        </w:rPr>
        <w:t xml:space="preserve"> If a determination not to make a notice is revoked, the Minister must give a notice under s 35</w:t>
      </w:r>
      <w:proofErr w:type="gramStart"/>
      <w:r w:rsidR="003020C7" w:rsidRPr="00BF2102">
        <w:rPr>
          <w:rFonts w:cs="Open Sans"/>
        </w:rPr>
        <w:t>A(</w:t>
      </w:r>
      <w:proofErr w:type="gramEnd"/>
      <w:r w:rsidR="003020C7" w:rsidRPr="00BF2102">
        <w:rPr>
          <w:rFonts w:cs="Open Sans"/>
        </w:rPr>
        <w:t xml:space="preserve">5) as soon as practicable. </w:t>
      </w:r>
    </w:p>
    <w:p w14:paraId="135BFEA6" w14:textId="5A338446" w:rsidR="008A1CBD" w:rsidRPr="00BF2102" w:rsidRDefault="008A1CBD" w:rsidP="00310D03">
      <w:pPr>
        <w:pStyle w:val="ListNumber"/>
        <w:numPr>
          <w:ilvl w:val="0"/>
          <w:numId w:val="15"/>
        </w:numPr>
        <w:tabs>
          <w:tab w:val="num" w:pos="993"/>
          <w:tab w:val="left" w:pos="1418"/>
        </w:tabs>
        <w:ind w:left="709" w:hanging="567"/>
        <w:rPr>
          <w:rFonts w:cs="Open Sans"/>
        </w:rPr>
      </w:pPr>
      <w:r w:rsidRPr="00BF2102">
        <w:rPr>
          <w:rFonts w:cs="Open Sans"/>
        </w:rPr>
        <w:t xml:space="preserve">The Explanatory Memorandum to the Allegiance Bill </w:t>
      </w:r>
      <w:r w:rsidR="00BC4C26" w:rsidRPr="00BF2102">
        <w:rPr>
          <w:rFonts w:cs="Open Sans"/>
        </w:rPr>
        <w:t xml:space="preserve">relevantly </w:t>
      </w:r>
      <w:r w:rsidRPr="00BF2102">
        <w:rPr>
          <w:rFonts w:cs="Open Sans"/>
        </w:rPr>
        <w:t>stated:</w:t>
      </w:r>
    </w:p>
    <w:p w14:paraId="01AF4AEC" w14:textId="77777777" w:rsidR="006E0674" w:rsidRPr="00BF2102" w:rsidRDefault="008A1CBD" w:rsidP="006E0674">
      <w:pPr>
        <w:pStyle w:val="Header"/>
      </w:pPr>
      <w:r w:rsidRPr="00BF2102">
        <w:t xml:space="preserve">The purpose of this provision is to recognise that there may be instances where </w:t>
      </w:r>
      <w:r w:rsidRPr="00BF2102">
        <w:rPr>
          <w:rFonts w:eastAsia="Times New Roman"/>
          <w:lang w:eastAsia="en-US"/>
        </w:rPr>
        <w:t>providing</w:t>
      </w:r>
      <w:r w:rsidRPr="00BF2102">
        <w:t xml:space="preserve"> immediate notice to a person regarding the cessation of their Australian citizenship may compromise ongoing operations of national security and thereby prejudice the security, defence or international relations of Australia or Australian law enforcement operations. For example, intelligence operations may be put at risk if a person were to be notified about the cessation of their Australian citizenship. </w:t>
      </w:r>
    </w:p>
    <w:p w14:paraId="2F7B6031" w14:textId="6774AA1F" w:rsidR="00AD33D7" w:rsidRPr="00BF2102" w:rsidRDefault="008A1CBD" w:rsidP="006E0674">
      <w:pPr>
        <w:pStyle w:val="ListNumber"/>
        <w:ind w:left="1134"/>
        <w:rPr>
          <w:rFonts w:cs="Open Sans"/>
          <w:sz w:val="22"/>
          <w:szCs w:val="22"/>
        </w:rPr>
      </w:pPr>
      <w:r w:rsidRPr="00BF2102">
        <w:rPr>
          <w:rFonts w:cs="Open Sans"/>
          <w:sz w:val="22"/>
          <w:szCs w:val="22"/>
        </w:rPr>
        <w:t>However, the Minister must review this decision no later than 6 months after making it, and at least every 6 months thereafter until 5 years has passed. This recognises the reasonable expectation that the person is to be notified as soon as possible, until 5 years has passed. It is expected that any ongoing operation of national security would be resolved within 5 years, or alternatively that the person may make themselves known to the Minister during this period (for example, by attempting to return to Australia).</w:t>
      </w:r>
      <w:r w:rsidR="00AD33D7" w:rsidRPr="00BF2102">
        <w:rPr>
          <w:rStyle w:val="EndnoteReference"/>
          <w:rFonts w:cs="Open Sans"/>
          <w:sz w:val="22"/>
          <w:szCs w:val="22"/>
        </w:rPr>
        <w:endnoteReference w:id="19"/>
      </w:r>
    </w:p>
    <w:p w14:paraId="2B25F817" w14:textId="2DFE3407" w:rsidR="008A1CBD" w:rsidRPr="00BF2102" w:rsidRDefault="008A1CBD" w:rsidP="00310D03">
      <w:pPr>
        <w:pStyle w:val="ListNumber"/>
        <w:numPr>
          <w:ilvl w:val="0"/>
          <w:numId w:val="15"/>
        </w:numPr>
        <w:tabs>
          <w:tab w:val="num" w:pos="993"/>
          <w:tab w:val="left" w:pos="1418"/>
        </w:tabs>
        <w:ind w:left="709" w:hanging="567"/>
        <w:rPr>
          <w:rFonts w:cs="Open Sans"/>
        </w:rPr>
      </w:pPr>
      <w:r w:rsidRPr="00BF2102">
        <w:rPr>
          <w:rFonts w:cs="Open Sans"/>
        </w:rPr>
        <w:t xml:space="preserve">The Department of Immigration and Border Protection </w:t>
      </w:r>
      <w:r w:rsidR="00BC4C26" w:rsidRPr="00BF2102">
        <w:rPr>
          <w:rFonts w:cs="Open Sans"/>
        </w:rPr>
        <w:t xml:space="preserve">(as it was </w:t>
      </w:r>
      <w:r w:rsidR="00AB7EA4" w:rsidRPr="00BF2102">
        <w:rPr>
          <w:rFonts w:cs="Open Sans"/>
        </w:rPr>
        <w:t xml:space="preserve">then </w:t>
      </w:r>
      <w:r w:rsidR="00BC4C26" w:rsidRPr="00BF2102">
        <w:rPr>
          <w:rFonts w:cs="Open Sans"/>
        </w:rPr>
        <w:t xml:space="preserve">known) </w:t>
      </w:r>
      <w:r w:rsidRPr="00BF2102">
        <w:rPr>
          <w:rFonts w:cs="Open Sans"/>
        </w:rPr>
        <w:t>stated in a submission to the</w:t>
      </w:r>
      <w:r w:rsidR="00BC4C26" w:rsidRPr="00BF2102">
        <w:rPr>
          <w:rFonts w:cs="Open Sans"/>
        </w:rPr>
        <w:t xml:space="preserve"> 2015</w:t>
      </w:r>
      <w:r w:rsidRPr="00BF2102">
        <w:rPr>
          <w:rFonts w:cs="Open Sans"/>
        </w:rPr>
        <w:t xml:space="preserve"> inquiry of the </w:t>
      </w:r>
      <w:r w:rsidR="00BC4C26" w:rsidRPr="00BF2102">
        <w:rPr>
          <w:rFonts w:cs="Open Sans"/>
          <w:color w:val="222222"/>
          <w:shd w:val="clear" w:color="auto" w:fill="FFFFFF"/>
        </w:rPr>
        <w:t>Committee</w:t>
      </w:r>
      <w:r w:rsidRPr="00BF2102">
        <w:rPr>
          <w:rFonts w:cs="Open Sans"/>
          <w:color w:val="222222"/>
          <w:shd w:val="clear" w:color="auto" w:fill="FFFFFF"/>
        </w:rPr>
        <w:t xml:space="preserve"> </w:t>
      </w:r>
      <w:r w:rsidRPr="00BF2102">
        <w:rPr>
          <w:rFonts w:cs="Open Sans"/>
          <w:lang w:val="en"/>
        </w:rPr>
        <w:t>that ‘t</w:t>
      </w:r>
      <w:r w:rsidRPr="00BF2102">
        <w:rPr>
          <w:rFonts w:cs="Open Sans"/>
        </w:rPr>
        <w:t>here would be no ministerial discretion not to issue a notice once the Minister has become aware of conduct, merely a discretion to delay the issuing of a notice’.</w:t>
      </w:r>
      <w:r w:rsidR="00AD33D7" w:rsidRPr="00BF2102">
        <w:rPr>
          <w:rStyle w:val="EndnoteReference"/>
          <w:rFonts w:cs="Open Sans"/>
          <w:sz w:val="22"/>
          <w:szCs w:val="20"/>
        </w:rPr>
        <w:endnoteReference w:id="20"/>
      </w:r>
      <w:r w:rsidR="00AD33D7" w:rsidRPr="00BF2102">
        <w:rPr>
          <w:rFonts w:cs="Open Sans"/>
        </w:rPr>
        <w:t xml:space="preserve"> </w:t>
      </w:r>
    </w:p>
    <w:p w14:paraId="6AAB5E59" w14:textId="067CAC9D" w:rsidR="00B67763" w:rsidRPr="00BF2102" w:rsidRDefault="00BC4C26" w:rsidP="00310D03">
      <w:pPr>
        <w:pStyle w:val="ListNumber"/>
        <w:numPr>
          <w:ilvl w:val="0"/>
          <w:numId w:val="15"/>
        </w:numPr>
        <w:tabs>
          <w:tab w:val="num" w:pos="993"/>
          <w:tab w:val="left" w:pos="1418"/>
        </w:tabs>
        <w:ind w:left="709" w:hanging="567"/>
        <w:rPr>
          <w:rFonts w:cs="Open Sans"/>
        </w:rPr>
      </w:pPr>
      <w:r w:rsidRPr="00BF2102">
        <w:rPr>
          <w:rFonts w:cs="Open Sans"/>
        </w:rPr>
        <w:lastRenderedPageBreak/>
        <w:t xml:space="preserve">There are some </w:t>
      </w:r>
      <w:r w:rsidR="004404CF" w:rsidRPr="00BF2102">
        <w:rPr>
          <w:rFonts w:cs="Open Sans"/>
        </w:rPr>
        <w:t>safeguard</w:t>
      </w:r>
      <w:r w:rsidRPr="00BF2102">
        <w:rPr>
          <w:rFonts w:cs="Open Sans"/>
        </w:rPr>
        <w:t>s in s 35A that</w:t>
      </w:r>
      <w:r w:rsidR="004404CF" w:rsidRPr="00BF2102">
        <w:rPr>
          <w:rFonts w:cs="Open Sans"/>
        </w:rPr>
        <w:t xml:space="preserve"> regulate the exercise of</w:t>
      </w:r>
      <w:r w:rsidR="00B67763" w:rsidRPr="00BF2102">
        <w:rPr>
          <w:rFonts w:cs="Open Sans"/>
        </w:rPr>
        <w:t xml:space="preserve"> </w:t>
      </w:r>
      <w:r w:rsidR="004404CF" w:rsidRPr="00BF2102">
        <w:rPr>
          <w:rFonts w:cs="Open Sans"/>
        </w:rPr>
        <w:t>Ministerial discretion</w:t>
      </w:r>
      <w:r w:rsidR="008A1CBD" w:rsidRPr="00BF2102">
        <w:rPr>
          <w:rFonts w:cs="Open Sans"/>
        </w:rPr>
        <w:t xml:space="preserve"> to </w:t>
      </w:r>
      <w:r w:rsidR="00EE29A5" w:rsidRPr="00BF2102">
        <w:rPr>
          <w:rFonts w:cs="Open Sans"/>
        </w:rPr>
        <w:t xml:space="preserve">determine that a person ceases to be an Australian citizen </w:t>
      </w:r>
      <w:r w:rsidR="008A1CBD" w:rsidRPr="00BF2102">
        <w:rPr>
          <w:rFonts w:cs="Open Sans"/>
        </w:rPr>
        <w:t>because of a criminal conviction</w:t>
      </w:r>
      <w:r w:rsidR="00B67763" w:rsidRPr="00BF2102">
        <w:rPr>
          <w:rFonts w:cs="Open Sans"/>
        </w:rPr>
        <w:t>:</w:t>
      </w:r>
    </w:p>
    <w:p w14:paraId="4B4F6DEC" w14:textId="1B25DE42" w:rsidR="004404CF" w:rsidRPr="00BF2102" w:rsidRDefault="00B67763" w:rsidP="00310D03">
      <w:pPr>
        <w:pStyle w:val="ListParagraph"/>
        <w:numPr>
          <w:ilvl w:val="0"/>
          <w:numId w:val="20"/>
        </w:numPr>
        <w:spacing w:before="120" w:after="120"/>
        <w:rPr>
          <w:rFonts w:cs="Open Sans"/>
        </w:rPr>
      </w:pPr>
      <w:r w:rsidRPr="00BF2102">
        <w:rPr>
          <w:rFonts w:cs="Open Sans"/>
        </w:rPr>
        <w:t>a notice must be revoked if the</w:t>
      </w:r>
      <w:r w:rsidR="00814739" w:rsidRPr="00BF2102">
        <w:rPr>
          <w:rFonts w:cs="Open Sans"/>
        </w:rPr>
        <w:t xml:space="preserve"> relevant conviction is later overturned or quashed and no appeal or further appeal can be made to a court</w:t>
      </w:r>
      <w:r w:rsidRPr="00BF2102">
        <w:rPr>
          <w:rFonts w:cs="Open Sans"/>
        </w:rPr>
        <w:t>—</w:t>
      </w:r>
      <w:r w:rsidR="00814739" w:rsidRPr="00BF2102">
        <w:rPr>
          <w:rFonts w:cs="Open Sans"/>
        </w:rPr>
        <w:t>if</w:t>
      </w:r>
      <w:r w:rsidRPr="00BF2102">
        <w:rPr>
          <w:rFonts w:cs="Open Sans"/>
        </w:rPr>
        <w:t xml:space="preserve"> this occurs</w:t>
      </w:r>
      <w:r w:rsidR="00CC31A1" w:rsidRPr="00BF2102">
        <w:rPr>
          <w:rFonts w:cs="Open Sans"/>
        </w:rPr>
        <w:t>,</w:t>
      </w:r>
      <w:r w:rsidR="00814739" w:rsidRPr="00BF2102">
        <w:rPr>
          <w:rFonts w:cs="Open Sans"/>
        </w:rPr>
        <w:t xml:space="preserve"> the person’s citizenship is taken never to have ceased</w:t>
      </w:r>
      <w:r w:rsidRPr="00BF2102">
        <w:rPr>
          <w:rFonts w:cs="Open Sans"/>
        </w:rPr>
        <w:t xml:space="preserve"> (</w:t>
      </w:r>
      <w:r w:rsidR="00EE29A5" w:rsidRPr="00BF2102">
        <w:rPr>
          <w:rFonts w:cs="Open Sans"/>
        </w:rPr>
        <w:t>s</w:t>
      </w:r>
      <w:r w:rsidRPr="00BF2102">
        <w:rPr>
          <w:rFonts w:cs="Open Sans"/>
        </w:rPr>
        <w:t>s 35</w:t>
      </w:r>
      <w:proofErr w:type="gramStart"/>
      <w:r w:rsidRPr="00BF2102">
        <w:rPr>
          <w:rFonts w:cs="Open Sans"/>
        </w:rPr>
        <w:t>A(</w:t>
      </w:r>
      <w:proofErr w:type="gramEnd"/>
      <w:r w:rsidRPr="00BF2102">
        <w:rPr>
          <w:rFonts w:cs="Open Sans"/>
        </w:rPr>
        <w:t>8)</w:t>
      </w:r>
      <w:r w:rsidR="008F5E0B" w:rsidRPr="00BF2102">
        <w:rPr>
          <w:rFonts w:cs="Open Sans"/>
        </w:rPr>
        <w:t>–</w:t>
      </w:r>
      <w:r w:rsidRPr="00BF2102">
        <w:rPr>
          <w:rFonts w:cs="Open Sans"/>
        </w:rPr>
        <w:t>(9))</w:t>
      </w:r>
    </w:p>
    <w:p w14:paraId="4138DEA9" w14:textId="77F6C259" w:rsidR="00B67763" w:rsidRPr="00BF2102" w:rsidRDefault="007357F7" w:rsidP="00310D03">
      <w:pPr>
        <w:pStyle w:val="ListParagraph"/>
        <w:numPr>
          <w:ilvl w:val="0"/>
          <w:numId w:val="20"/>
        </w:numPr>
        <w:spacing w:before="120" w:after="120"/>
        <w:rPr>
          <w:rFonts w:cs="Open Sans"/>
        </w:rPr>
      </w:pPr>
      <w:r w:rsidRPr="00BF2102">
        <w:rPr>
          <w:rFonts w:cs="Open Sans"/>
        </w:rPr>
        <w:t xml:space="preserve">the rules of natural justice apply to </w:t>
      </w:r>
      <w:r w:rsidR="005972E3" w:rsidRPr="00BF2102">
        <w:rPr>
          <w:rFonts w:cs="Open Sans"/>
        </w:rPr>
        <w:t xml:space="preserve">the Minister’s power </w:t>
      </w:r>
      <w:r w:rsidRPr="00BF2102">
        <w:rPr>
          <w:rFonts w:cs="Open Sans"/>
        </w:rPr>
        <w:t xml:space="preserve">to make a determination under s 35A(1), </w:t>
      </w:r>
      <w:r w:rsidR="00E61862" w:rsidRPr="00BF2102">
        <w:rPr>
          <w:rFonts w:cs="Open Sans"/>
        </w:rPr>
        <w:t>meaning that a person must be given an opportunity to be heard</w:t>
      </w:r>
      <w:r w:rsidR="00EE29A5" w:rsidRPr="00BF2102">
        <w:rPr>
          <w:rFonts w:cs="Open Sans"/>
        </w:rPr>
        <w:t xml:space="preserve"> about whether the Minister should make the determination</w:t>
      </w:r>
      <w:r w:rsidR="00E61862" w:rsidRPr="00BF2102">
        <w:rPr>
          <w:rFonts w:cs="Open Sans"/>
        </w:rPr>
        <w:t xml:space="preserve">, </w:t>
      </w:r>
      <w:r w:rsidRPr="00BF2102">
        <w:rPr>
          <w:rFonts w:cs="Open Sans"/>
        </w:rPr>
        <w:t xml:space="preserve">but not to other aspects </w:t>
      </w:r>
      <w:r w:rsidR="005972E3" w:rsidRPr="00BF2102">
        <w:rPr>
          <w:rFonts w:cs="Open Sans"/>
        </w:rPr>
        <w:t xml:space="preserve">of s 35A </w:t>
      </w:r>
      <w:r w:rsidRPr="00BF2102">
        <w:rPr>
          <w:rFonts w:cs="Open Sans"/>
        </w:rPr>
        <w:t>including the notification process</w:t>
      </w:r>
      <w:r w:rsidR="007E5AF0" w:rsidRPr="00BF2102">
        <w:rPr>
          <w:rFonts w:cs="Open Sans"/>
        </w:rPr>
        <w:t xml:space="preserve"> (s 35A(11))</w:t>
      </w:r>
    </w:p>
    <w:p w14:paraId="3DC2D0C3" w14:textId="4552F119" w:rsidR="007357F7" w:rsidRPr="00BF2102" w:rsidRDefault="00E94DCA" w:rsidP="00310D03">
      <w:pPr>
        <w:pStyle w:val="ListParagraph"/>
        <w:numPr>
          <w:ilvl w:val="0"/>
          <w:numId w:val="20"/>
        </w:numPr>
        <w:spacing w:before="120" w:after="120"/>
        <w:rPr>
          <w:rFonts w:cs="Open Sans"/>
        </w:rPr>
      </w:pPr>
      <w:r w:rsidRPr="00BF2102">
        <w:rPr>
          <w:rFonts w:cs="Open Sans"/>
        </w:rPr>
        <w:t xml:space="preserve">the Minister’s </w:t>
      </w:r>
      <w:r w:rsidR="007E5AF0" w:rsidRPr="00BF2102">
        <w:rPr>
          <w:rFonts w:cs="Open Sans"/>
        </w:rPr>
        <w:t xml:space="preserve">powers can only be exercised </w:t>
      </w:r>
      <w:r w:rsidR="004507E5" w:rsidRPr="00BF2102">
        <w:rPr>
          <w:rFonts w:cs="Open Sans"/>
        </w:rPr>
        <w:t xml:space="preserve">by the Minister </w:t>
      </w:r>
      <w:r w:rsidR="007E5AF0" w:rsidRPr="00BF2102">
        <w:rPr>
          <w:rFonts w:cs="Open Sans"/>
        </w:rPr>
        <w:t>personally (s 35</w:t>
      </w:r>
      <w:proofErr w:type="gramStart"/>
      <w:r w:rsidR="007E5AF0" w:rsidRPr="00BF2102">
        <w:rPr>
          <w:rFonts w:cs="Open Sans"/>
        </w:rPr>
        <w:t>A(</w:t>
      </w:r>
      <w:proofErr w:type="gramEnd"/>
      <w:r w:rsidR="007E5AF0" w:rsidRPr="00BF2102">
        <w:rPr>
          <w:rFonts w:cs="Open Sans"/>
        </w:rPr>
        <w:t>10))</w:t>
      </w:r>
      <w:r w:rsidR="00A71C4E" w:rsidRPr="00BF2102">
        <w:rPr>
          <w:rFonts w:cs="Open Sans"/>
        </w:rPr>
        <w:t>.</w:t>
      </w:r>
      <w:r w:rsidR="00ED16DF" w:rsidRPr="00BF2102">
        <w:rPr>
          <w:rFonts w:cs="Open Sans"/>
        </w:rPr>
        <w:t xml:space="preserve"> </w:t>
      </w:r>
    </w:p>
    <w:p w14:paraId="38700C98" w14:textId="19F82B3E" w:rsidR="00417904" w:rsidRPr="00BF2102" w:rsidRDefault="00417904" w:rsidP="002E5725">
      <w:pPr>
        <w:pStyle w:val="Heading2"/>
        <w:rPr>
          <w:rFonts w:cs="Open Sans"/>
        </w:rPr>
      </w:pPr>
      <w:bookmarkStart w:id="49" w:name="_Toc11407958"/>
      <w:bookmarkStart w:id="50" w:name="_Ref10729531"/>
      <w:r w:rsidRPr="00BF2102">
        <w:rPr>
          <w:rFonts w:cs="Open Sans"/>
        </w:rPr>
        <w:t>Conduct-based citizenship loss</w:t>
      </w:r>
      <w:bookmarkEnd w:id="49"/>
      <w:r w:rsidR="00243FEC" w:rsidRPr="00BF2102">
        <w:rPr>
          <w:rFonts w:cs="Open Sans"/>
        </w:rPr>
        <w:t xml:space="preserve"> </w:t>
      </w:r>
      <w:bookmarkEnd w:id="50"/>
    </w:p>
    <w:p w14:paraId="3D9FE515" w14:textId="77777777" w:rsidR="004B1C8B" w:rsidRPr="00BF2102" w:rsidRDefault="00BA2244" w:rsidP="002E5725">
      <w:pPr>
        <w:pStyle w:val="Heading3"/>
        <w:rPr>
          <w:rFonts w:cs="Open Sans"/>
          <w:i/>
          <w:iCs/>
        </w:rPr>
      </w:pPr>
      <w:bookmarkStart w:id="51" w:name="_Toc11407959"/>
      <w:r w:rsidRPr="00BF2102">
        <w:rPr>
          <w:rFonts w:cs="Open Sans"/>
          <w:i/>
          <w:iCs/>
        </w:rPr>
        <w:t>Conduct inconsistent with allegiance to Australia (s 33AA)</w:t>
      </w:r>
      <w:bookmarkEnd w:id="51"/>
    </w:p>
    <w:p w14:paraId="5626A631" w14:textId="2A99C5DD" w:rsidR="00ED1A5C" w:rsidRPr="00BF2102" w:rsidRDefault="00ED1A5C" w:rsidP="00310D03">
      <w:pPr>
        <w:pStyle w:val="ListNumber"/>
        <w:numPr>
          <w:ilvl w:val="0"/>
          <w:numId w:val="15"/>
        </w:numPr>
        <w:tabs>
          <w:tab w:val="num" w:pos="993"/>
          <w:tab w:val="left" w:pos="1418"/>
        </w:tabs>
        <w:ind w:left="709" w:hanging="567"/>
        <w:rPr>
          <w:rFonts w:cs="Open Sans"/>
        </w:rPr>
      </w:pPr>
      <w:r w:rsidRPr="00BF2102">
        <w:rPr>
          <w:rFonts w:cs="Open Sans"/>
        </w:rPr>
        <w:t>Section 33AA provides that a person will be deemed to have renounced their Australian citizenship if they engage in a range of specified conduct</w:t>
      </w:r>
      <w:r w:rsidR="00BF650A" w:rsidRPr="00BF2102">
        <w:rPr>
          <w:rFonts w:cs="Open Sans"/>
        </w:rPr>
        <w:t>, on the basis that the conduct is inconsistent with their allegiance to Australia</w:t>
      </w:r>
      <w:r w:rsidRPr="00BF2102">
        <w:rPr>
          <w:rFonts w:cs="Open Sans"/>
        </w:rPr>
        <w:t xml:space="preserve">. The conduct is described in the same terms as </w:t>
      </w:r>
      <w:r w:rsidR="00BF650A" w:rsidRPr="00BF2102">
        <w:rPr>
          <w:rFonts w:cs="Open Sans"/>
        </w:rPr>
        <w:t xml:space="preserve">certain </w:t>
      </w:r>
      <w:r w:rsidRPr="00BF2102">
        <w:rPr>
          <w:rFonts w:cs="Open Sans"/>
        </w:rPr>
        <w:t xml:space="preserve">offences </w:t>
      </w:r>
      <w:r w:rsidR="005848C7" w:rsidRPr="00BF2102">
        <w:rPr>
          <w:rFonts w:cs="Open Sans"/>
        </w:rPr>
        <w:t xml:space="preserve">set out in </w:t>
      </w:r>
      <w:r w:rsidRPr="00BF2102">
        <w:rPr>
          <w:rFonts w:cs="Open Sans"/>
        </w:rPr>
        <w:t>the Criminal Code. However, it is not necessary for a person to have been convicted of one of these offences in order for the deemed renunciation to apply.</w:t>
      </w:r>
    </w:p>
    <w:p w14:paraId="3A242382" w14:textId="0C1EBE2C" w:rsidR="001C0243" w:rsidRPr="00BF2102" w:rsidRDefault="001C0243" w:rsidP="00310D03">
      <w:pPr>
        <w:pStyle w:val="ListNumber"/>
        <w:numPr>
          <w:ilvl w:val="0"/>
          <w:numId w:val="15"/>
        </w:numPr>
        <w:tabs>
          <w:tab w:val="num" w:pos="993"/>
          <w:tab w:val="left" w:pos="1418"/>
        </w:tabs>
        <w:ind w:left="709" w:hanging="567"/>
        <w:rPr>
          <w:rFonts w:cs="Open Sans"/>
        </w:rPr>
      </w:pPr>
      <w:r w:rsidRPr="00BF2102">
        <w:rPr>
          <w:rFonts w:cs="Open Sans"/>
        </w:rPr>
        <w:t xml:space="preserve">The Explanatory Memorandum to the Allegiance Bill described the purpose of s 33AA as </w:t>
      </w:r>
      <w:r w:rsidR="00CC31A1" w:rsidRPr="00BF2102">
        <w:rPr>
          <w:rFonts w:cs="Open Sans"/>
        </w:rPr>
        <w:t xml:space="preserve">being </w:t>
      </w:r>
      <w:r w:rsidRPr="00BF2102">
        <w:rPr>
          <w:rFonts w:cs="Open Sans"/>
        </w:rPr>
        <w:t xml:space="preserve">to protect the Australian community, </w:t>
      </w:r>
      <w:r w:rsidR="00FA2CEA" w:rsidRPr="00BF2102">
        <w:rPr>
          <w:rFonts w:cs="Open Sans"/>
        </w:rPr>
        <w:t xml:space="preserve">but </w:t>
      </w:r>
      <w:r w:rsidR="00391384" w:rsidRPr="00BF2102">
        <w:rPr>
          <w:rFonts w:cs="Open Sans"/>
        </w:rPr>
        <w:t xml:space="preserve">acknowledged </w:t>
      </w:r>
      <w:r w:rsidRPr="00BF2102">
        <w:rPr>
          <w:rFonts w:cs="Open Sans"/>
        </w:rPr>
        <w:t xml:space="preserve">that </w:t>
      </w:r>
      <w:r w:rsidR="00FA2CEA" w:rsidRPr="00BF2102">
        <w:rPr>
          <w:rFonts w:cs="Open Sans"/>
        </w:rPr>
        <w:t>this mechanism stands outside the criminal justice system</w:t>
      </w:r>
      <w:r w:rsidRPr="00BF2102">
        <w:rPr>
          <w:rFonts w:cs="Open Sans"/>
        </w:rPr>
        <w:t>:</w:t>
      </w:r>
    </w:p>
    <w:p w14:paraId="1772F3A4" w14:textId="24410972" w:rsidR="001C0243" w:rsidRPr="00BF2102" w:rsidRDefault="00FA2CEA" w:rsidP="00FA2CEA">
      <w:pPr>
        <w:ind w:left="1440" w:hanging="720"/>
        <w:rPr>
          <w:rFonts w:cs="Open Sans"/>
          <w:sz w:val="22"/>
          <w:szCs w:val="22"/>
        </w:rPr>
      </w:pPr>
      <w:r w:rsidRPr="00BF2102">
        <w:rPr>
          <w:rFonts w:cs="Open Sans"/>
          <w:sz w:val="22"/>
          <w:szCs w:val="22"/>
        </w:rPr>
        <w:t>38</w:t>
      </w:r>
      <w:r w:rsidR="001C0243" w:rsidRPr="00BF2102">
        <w:rPr>
          <w:rFonts w:cs="Open Sans"/>
          <w:sz w:val="22"/>
          <w:szCs w:val="22"/>
        </w:rPr>
        <w:t>.</w:t>
      </w:r>
      <w:r w:rsidR="001C0243" w:rsidRPr="00BF2102">
        <w:rPr>
          <w:rFonts w:cs="Open Sans"/>
          <w:sz w:val="22"/>
          <w:szCs w:val="22"/>
        </w:rPr>
        <w:tab/>
      </w:r>
      <w:r w:rsidRPr="00BF2102">
        <w:rPr>
          <w:rFonts w:cs="Open Sans"/>
          <w:sz w:val="22"/>
          <w:szCs w:val="22"/>
        </w:rPr>
        <w:t xml:space="preserve">[W]here the person engages in the specified terrorist-related conduct as prescribed in new subsection 33AA(2), and the conduct is engaged </w:t>
      </w:r>
      <w:r w:rsidR="00FD4288" w:rsidRPr="00BF2102">
        <w:rPr>
          <w:rFonts w:cs="Open Sans"/>
          <w:sz w:val="22"/>
          <w:szCs w:val="22"/>
        </w:rPr>
        <w:t xml:space="preserve">[in] </w:t>
      </w:r>
      <w:r w:rsidRPr="00BF2102">
        <w:rPr>
          <w:rFonts w:cs="Open Sans"/>
          <w:sz w:val="22"/>
          <w:szCs w:val="22"/>
        </w:rPr>
        <w:t xml:space="preserve">with the intention as specified in new subsection 33AA(3), the person is taken to </w:t>
      </w:r>
      <w:r w:rsidR="00FD4288" w:rsidRPr="00BF2102">
        <w:rPr>
          <w:rFonts w:cs="Open Sans"/>
          <w:sz w:val="22"/>
          <w:szCs w:val="22"/>
        </w:rPr>
        <w:t xml:space="preserve">[have] </w:t>
      </w:r>
      <w:r w:rsidRPr="00BF2102">
        <w:rPr>
          <w:rFonts w:cs="Open Sans"/>
          <w:sz w:val="22"/>
          <w:szCs w:val="22"/>
        </w:rPr>
        <w:t>repudiated their allegiance to Australia and the person will cease to be an Australian citizen. This occurs by operation of law and does not amount to an assessment of whether the person has committed a criminal offence.</w:t>
      </w:r>
    </w:p>
    <w:p w14:paraId="2FF9A402" w14:textId="77777777" w:rsidR="00FA2CEA" w:rsidRPr="00BF2102" w:rsidRDefault="00FA2CEA" w:rsidP="00FA2CEA">
      <w:pPr>
        <w:ind w:left="1440" w:hanging="720"/>
        <w:rPr>
          <w:rFonts w:cs="Open Sans"/>
          <w:sz w:val="22"/>
          <w:szCs w:val="22"/>
        </w:rPr>
      </w:pPr>
      <w:r w:rsidRPr="00BF2102">
        <w:rPr>
          <w:rFonts w:cs="Open Sans"/>
          <w:sz w:val="22"/>
          <w:szCs w:val="22"/>
        </w:rPr>
        <w:tab/>
        <w:t>…</w:t>
      </w:r>
    </w:p>
    <w:p w14:paraId="1715BADE" w14:textId="77777777" w:rsidR="004B1C8B" w:rsidRPr="00BF2102" w:rsidRDefault="00FA2CEA" w:rsidP="00FA2CEA">
      <w:pPr>
        <w:ind w:left="1440" w:hanging="720"/>
        <w:rPr>
          <w:rFonts w:cs="Open Sans"/>
          <w:sz w:val="22"/>
          <w:szCs w:val="22"/>
        </w:rPr>
      </w:pPr>
      <w:r w:rsidRPr="00BF2102">
        <w:rPr>
          <w:rFonts w:cs="Open Sans"/>
          <w:sz w:val="22"/>
          <w:szCs w:val="22"/>
        </w:rPr>
        <w:lastRenderedPageBreak/>
        <w:t>41.</w:t>
      </w:r>
      <w:r w:rsidRPr="00BF2102">
        <w:rPr>
          <w:rFonts w:cs="Open Sans"/>
          <w:sz w:val="22"/>
          <w:szCs w:val="22"/>
        </w:rPr>
        <w:tab/>
        <w:t>The prospects of bringing a person to trial and successfully convicting that person would be more constrained if that person is outside Australia. In order to protect the Australian community, it is appropriate that there is a process for Australian citizenship to be lost based on the person’s conduct repudiating their allegiance to Australia</w:t>
      </w:r>
      <w:r w:rsidR="001C0243" w:rsidRPr="00BF2102">
        <w:rPr>
          <w:rFonts w:cs="Open Sans"/>
          <w:sz w:val="22"/>
          <w:szCs w:val="22"/>
        </w:rPr>
        <w:t>.</w:t>
      </w:r>
      <w:r w:rsidR="001C0243" w:rsidRPr="00BF2102">
        <w:rPr>
          <w:rStyle w:val="EndnoteReference"/>
          <w:rFonts w:cs="Open Sans"/>
          <w:szCs w:val="22"/>
        </w:rPr>
        <w:endnoteReference w:id="21"/>
      </w:r>
    </w:p>
    <w:p w14:paraId="37AE9DD5" w14:textId="79A684C4" w:rsidR="004B1C8B" w:rsidRPr="00BF2102" w:rsidRDefault="00BF20FD" w:rsidP="00310D03">
      <w:pPr>
        <w:pStyle w:val="ListNumber"/>
        <w:numPr>
          <w:ilvl w:val="0"/>
          <w:numId w:val="15"/>
        </w:numPr>
        <w:tabs>
          <w:tab w:val="num" w:pos="993"/>
          <w:tab w:val="left" w:pos="1418"/>
        </w:tabs>
        <w:ind w:left="709" w:hanging="567"/>
        <w:rPr>
          <w:rFonts w:cs="Open Sans"/>
        </w:rPr>
      </w:pPr>
      <w:r w:rsidRPr="00BF2102">
        <w:rPr>
          <w:rFonts w:cs="Open Sans"/>
        </w:rPr>
        <w:t xml:space="preserve">Any dual citizen </w:t>
      </w:r>
      <w:r w:rsidR="008F5E0B" w:rsidRPr="00BF2102">
        <w:rPr>
          <w:rFonts w:cs="Open Sans"/>
        </w:rPr>
        <w:t>aged 14 or older can be subject to</w:t>
      </w:r>
      <w:r w:rsidR="00870C96" w:rsidRPr="00BF2102">
        <w:rPr>
          <w:rFonts w:cs="Open Sans"/>
        </w:rPr>
        <w:t xml:space="preserve"> conduct-based citizenship loss</w:t>
      </w:r>
      <w:r w:rsidR="002B0A38" w:rsidRPr="00BF2102">
        <w:rPr>
          <w:rFonts w:cs="Open Sans"/>
        </w:rPr>
        <w:t xml:space="preserve">, </w:t>
      </w:r>
      <w:r w:rsidR="00345091" w:rsidRPr="00BF2102">
        <w:rPr>
          <w:rFonts w:cs="Open Sans"/>
        </w:rPr>
        <w:t>if they engage in prohibited conduct that is deemed to be inconsistent with their allegiance to Australia,</w:t>
      </w:r>
      <w:r w:rsidR="00345091" w:rsidRPr="00BF2102">
        <w:rPr>
          <w:rStyle w:val="EndnoteReference"/>
          <w:rFonts w:cs="Open Sans"/>
        </w:rPr>
        <w:endnoteReference w:id="22"/>
      </w:r>
      <w:r w:rsidR="00345091" w:rsidRPr="00BF2102">
        <w:rPr>
          <w:rFonts w:cs="Open Sans"/>
        </w:rPr>
        <w:t xml:space="preserve"> </w:t>
      </w:r>
      <w:r w:rsidR="002B0A38" w:rsidRPr="00BF2102">
        <w:rPr>
          <w:rFonts w:cs="Open Sans"/>
        </w:rPr>
        <w:t>regardless of whether their citizenship is conferred by birth or naturalisation.</w:t>
      </w:r>
      <w:r w:rsidR="002B0A38" w:rsidRPr="00BF2102">
        <w:rPr>
          <w:rStyle w:val="EndnoteReference"/>
          <w:rFonts w:cs="Open Sans"/>
        </w:rPr>
        <w:endnoteReference w:id="23"/>
      </w:r>
      <w:r w:rsidR="002B0A38" w:rsidRPr="00BF2102">
        <w:rPr>
          <w:rFonts w:cs="Open Sans"/>
        </w:rPr>
        <w:t xml:space="preserve"> </w:t>
      </w:r>
      <w:r w:rsidR="00E56256" w:rsidRPr="00BF2102">
        <w:rPr>
          <w:rFonts w:cs="Open Sans"/>
        </w:rPr>
        <w:t>Some affected persons may have always lived in Australia, may have Australian parents or children, and have a limited connection with any other country.</w:t>
      </w:r>
    </w:p>
    <w:p w14:paraId="2BD9FAC9" w14:textId="16926706" w:rsidR="001324AF" w:rsidRPr="00BF2102" w:rsidRDefault="00EB5852" w:rsidP="00310D03">
      <w:pPr>
        <w:pStyle w:val="ListNumber"/>
        <w:numPr>
          <w:ilvl w:val="0"/>
          <w:numId w:val="15"/>
        </w:numPr>
        <w:tabs>
          <w:tab w:val="num" w:pos="993"/>
          <w:tab w:val="left" w:pos="1418"/>
        </w:tabs>
        <w:ind w:left="709" w:hanging="567"/>
        <w:rPr>
          <w:rFonts w:cs="Open Sans"/>
        </w:rPr>
      </w:pPr>
      <w:r w:rsidRPr="00BF2102">
        <w:rPr>
          <w:rFonts w:cs="Open Sans"/>
        </w:rPr>
        <w:t>The person must be outside Australia when they engage in the conduct, or have left Australia after engaging in the conduct and not been tried for any offence relating to the conduct.</w:t>
      </w:r>
      <w:r w:rsidRPr="00BF2102">
        <w:rPr>
          <w:rStyle w:val="EndnoteReference"/>
          <w:rFonts w:cs="Open Sans"/>
        </w:rPr>
        <w:endnoteReference w:id="24"/>
      </w:r>
      <w:r w:rsidRPr="00BF2102">
        <w:rPr>
          <w:rFonts w:cs="Open Sans"/>
        </w:rPr>
        <w:t xml:space="preserve"> </w:t>
      </w:r>
      <w:r w:rsidR="008E73F8" w:rsidRPr="00BF2102">
        <w:rPr>
          <w:rFonts w:cs="Open Sans"/>
        </w:rPr>
        <w:t>S</w:t>
      </w:r>
      <w:r w:rsidR="00391384" w:rsidRPr="00BF2102">
        <w:rPr>
          <w:rFonts w:cs="Open Sans"/>
        </w:rPr>
        <w:t>ubs</w:t>
      </w:r>
      <w:r w:rsidR="008E73F8" w:rsidRPr="00BF2102">
        <w:rPr>
          <w:rFonts w:cs="Open Sans"/>
        </w:rPr>
        <w:t xml:space="preserve">ection 33AA(9) provides that </w:t>
      </w:r>
      <w:r w:rsidR="00FA22A4" w:rsidRPr="00BF2102">
        <w:rPr>
          <w:rFonts w:cs="Open Sans"/>
        </w:rPr>
        <w:t>t</w:t>
      </w:r>
      <w:r w:rsidR="002B0A38" w:rsidRPr="00BF2102">
        <w:rPr>
          <w:rFonts w:cs="Open Sans"/>
        </w:rPr>
        <w:t xml:space="preserve">he person ceases to be an Australian citizen </w:t>
      </w:r>
      <w:r w:rsidR="00ED16DF" w:rsidRPr="00BF2102">
        <w:rPr>
          <w:rFonts w:cs="Open Sans"/>
        </w:rPr>
        <w:t>immediately upon the person engaging</w:t>
      </w:r>
      <w:r w:rsidR="009D2785" w:rsidRPr="00BF2102">
        <w:rPr>
          <w:rFonts w:cs="Open Sans"/>
        </w:rPr>
        <w:t xml:space="preserve"> in the relevant conduct</w:t>
      </w:r>
      <w:r w:rsidR="002B0A38" w:rsidRPr="00BF2102">
        <w:rPr>
          <w:rFonts w:cs="Open Sans"/>
        </w:rPr>
        <w:t>.</w:t>
      </w:r>
      <w:r w:rsidR="002B0A38" w:rsidRPr="00BF2102">
        <w:rPr>
          <w:rStyle w:val="EndnoteReference"/>
          <w:rFonts w:cs="Open Sans"/>
        </w:rPr>
        <w:endnoteReference w:id="25"/>
      </w:r>
      <w:r w:rsidR="002B0A38" w:rsidRPr="00BF2102">
        <w:rPr>
          <w:rFonts w:cs="Open Sans"/>
        </w:rPr>
        <w:t xml:space="preserve"> </w:t>
      </w:r>
    </w:p>
    <w:p w14:paraId="4EC31394" w14:textId="54A5D090" w:rsidR="00FA22A4" w:rsidRPr="00BF2102" w:rsidRDefault="004761BE" w:rsidP="00310D03">
      <w:pPr>
        <w:pStyle w:val="ListNumber"/>
        <w:numPr>
          <w:ilvl w:val="0"/>
          <w:numId w:val="15"/>
        </w:numPr>
        <w:tabs>
          <w:tab w:val="num" w:pos="993"/>
          <w:tab w:val="left" w:pos="1418"/>
        </w:tabs>
        <w:ind w:left="709" w:hanging="567"/>
        <w:rPr>
          <w:rFonts w:cs="Open Sans"/>
        </w:rPr>
      </w:pPr>
      <w:r w:rsidRPr="00BF2102">
        <w:rPr>
          <w:rFonts w:cs="Open Sans"/>
        </w:rPr>
        <w:t>Section 33AA(7)(b) provides, in relation to</w:t>
      </w:r>
      <w:r w:rsidR="00C27FF3" w:rsidRPr="00BF2102">
        <w:rPr>
          <w:rFonts w:cs="Open Sans"/>
        </w:rPr>
        <w:t xml:space="preserve"> conduct that occurs within Australia, th</w:t>
      </w:r>
      <w:r w:rsidR="005E14F8" w:rsidRPr="00BF2102">
        <w:rPr>
          <w:rFonts w:cs="Open Sans"/>
        </w:rPr>
        <w:t>at</w:t>
      </w:r>
      <w:r w:rsidR="00C27FF3" w:rsidRPr="00BF2102">
        <w:rPr>
          <w:rFonts w:cs="Open Sans"/>
        </w:rPr>
        <w:t xml:space="preserve"> </w:t>
      </w:r>
      <w:r w:rsidR="005E14F8" w:rsidRPr="00BF2102">
        <w:rPr>
          <w:rFonts w:cs="Open Sans"/>
        </w:rPr>
        <w:t>loss of citizenship</w:t>
      </w:r>
      <w:r w:rsidR="00C27FF3" w:rsidRPr="00BF2102">
        <w:rPr>
          <w:rFonts w:cs="Open Sans"/>
        </w:rPr>
        <w:t xml:space="preserve"> only </w:t>
      </w:r>
      <w:r w:rsidR="005E14F8" w:rsidRPr="00BF2102">
        <w:rPr>
          <w:rFonts w:cs="Open Sans"/>
        </w:rPr>
        <w:t>occurs</w:t>
      </w:r>
      <w:r w:rsidR="00C27FF3" w:rsidRPr="00BF2102">
        <w:rPr>
          <w:rFonts w:cs="Open Sans"/>
        </w:rPr>
        <w:t xml:space="preserve"> if the person has left Australia </w:t>
      </w:r>
      <w:r w:rsidR="001D4049" w:rsidRPr="00BF2102">
        <w:rPr>
          <w:rFonts w:cs="Open Sans"/>
        </w:rPr>
        <w:t>after engaging in the</w:t>
      </w:r>
      <w:r w:rsidR="005E14F8" w:rsidRPr="00BF2102">
        <w:rPr>
          <w:rFonts w:cs="Open Sans"/>
        </w:rPr>
        <w:t xml:space="preserve"> proscribed</w:t>
      </w:r>
      <w:r w:rsidR="001D4049" w:rsidRPr="00BF2102">
        <w:rPr>
          <w:rFonts w:cs="Open Sans"/>
        </w:rPr>
        <w:t xml:space="preserve"> conduct and </w:t>
      </w:r>
      <w:r w:rsidR="00C27FF3" w:rsidRPr="00BF2102">
        <w:rPr>
          <w:rFonts w:cs="Open Sans"/>
        </w:rPr>
        <w:t>before being tried for any offence in relation to the conduct.</w:t>
      </w:r>
      <w:r w:rsidR="00B65AB3" w:rsidRPr="00BF2102">
        <w:rPr>
          <w:rStyle w:val="EndnoteReference"/>
          <w:rFonts w:cs="Open Sans"/>
        </w:rPr>
        <w:endnoteReference w:id="26"/>
      </w:r>
      <w:r w:rsidR="00C27FF3" w:rsidRPr="00BF2102">
        <w:rPr>
          <w:rFonts w:cs="Open Sans"/>
        </w:rPr>
        <w:t xml:space="preserve"> </w:t>
      </w:r>
      <w:r w:rsidR="00391384" w:rsidRPr="00BF2102">
        <w:rPr>
          <w:rFonts w:cs="Open Sans"/>
        </w:rPr>
        <w:t>It is immediately apparent that s</w:t>
      </w:r>
      <w:r w:rsidR="00CE4EDD" w:rsidRPr="00BF2102">
        <w:rPr>
          <w:rFonts w:cs="Open Sans"/>
        </w:rPr>
        <w:t> </w:t>
      </w:r>
      <w:r w:rsidR="00391384" w:rsidRPr="00BF2102">
        <w:rPr>
          <w:rFonts w:cs="Open Sans"/>
        </w:rPr>
        <w:t xml:space="preserve">33AA(7)(b) cannot be reconciled with the natural and ordinary meaning of </w:t>
      </w:r>
      <w:r w:rsidR="00B65AB3" w:rsidRPr="00BF2102">
        <w:rPr>
          <w:rFonts w:cs="Open Sans"/>
        </w:rPr>
        <w:t>s 33AA(9)</w:t>
      </w:r>
      <w:r w:rsidR="00391384" w:rsidRPr="00BF2102">
        <w:rPr>
          <w:rFonts w:cs="Open Sans"/>
        </w:rPr>
        <w:t>. Nevertheless</w:t>
      </w:r>
      <w:r w:rsidR="00B65AB3" w:rsidRPr="00BF2102">
        <w:rPr>
          <w:rFonts w:cs="Open Sans"/>
        </w:rPr>
        <w:t>,</w:t>
      </w:r>
      <w:r w:rsidR="00391384" w:rsidRPr="00BF2102">
        <w:rPr>
          <w:rFonts w:cs="Open Sans"/>
        </w:rPr>
        <w:t xml:space="preserve"> it seems likely that Parliament’s intention was</w:t>
      </w:r>
      <w:r w:rsidR="004C070A" w:rsidRPr="00BF2102">
        <w:rPr>
          <w:rFonts w:cs="Open Sans"/>
        </w:rPr>
        <w:t xml:space="preserve"> </w:t>
      </w:r>
      <w:r w:rsidR="00B65AB3" w:rsidRPr="00BF2102">
        <w:rPr>
          <w:rFonts w:cs="Open Sans"/>
        </w:rPr>
        <w:t>that</w:t>
      </w:r>
      <w:r w:rsidR="00391384" w:rsidRPr="00BF2102">
        <w:rPr>
          <w:rFonts w:cs="Open Sans"/>
        </w:rPr>
        <w:t>,</w:t>
      </w:r>
      <w:r w:rsidR="00B65AB3" w:rsidRPr="00BF2102">
        <w:rPr>
          <w:rFonts w:cs="Open Sans"/>
        </w:rPr>
        <w:t xml:space="preserve"> </w:t>
      </w:r>
      <w:r w:rsidR="008E73F8" w:rsidRPr="00BF2102">
        <w:rPr>
          <w:rFonts w:cs="Open Sans"/>
        </w:rPr>
        <w:t>for conduct that occurs in Australia</w:t>
      </w:r>
      <w:r w:rsidR="00391384" w:rsidRPr="00BF2102">
        <w:rPr>
          <w:rFonts w:cs="Open Sans"/>
        </w:rPr>
        <w:t>,</w:t>
      </w:r>
      <w:r w:rsidR="008E73F8" w:rsidRPr="00BF2102">
        <w:rPr>
          <w:rFonts w:cs="Open Sans"/>
        </w:rPr>
        <w:t xml:space="preserve"> </w:t>
      </w:r>
      <w:r w:rsidR="00B65AB3" w:rsidRPr="00BF2102">
        <w:rPr>
          <w:rFonts w:cs="Open Sans"/>
        </w:rPr>
        <w:t xml:space="preserve">the person ceases to be an Australian citizen at the point in time when they leave Australia. </w:t>
      </w:r>
      <w:r w:rsidR="00391384" w:rsidRPr="00BF2102">
        <w:rPr>
          <w:rFonts w:cs="Open Sans"/>
        </w:rPr>
        <w:t>At the very least,</w:t>
      </w:r>
      <w:r w:rsidR="00B65AB3" w:rsidRPr="00BF2102">
        <w:rPr>
          <w:rFonts w:cs="Open Sans"/>
        </w:rPr>
        <w:t xml:space="preserve"> s 33AA </w:t>
      </w:r>
      <w:r w:rsidR="00391384" w:rsidRPr="00BF2102">
        <w:rPr>
          <w:rFonts w:cs="Open Sans"/>
        </w:rPr>
        <w:t xml:space="preserve">is contradictory </w:t>
      </w:r>
      <w:r w:rsidR="00B65AB3" w:rsidRPr="00BF2102">
        <w:rPr>
          <w:rFonts w:cs="Open Sans"/>
        </w:rPr>
        <w:t>and</w:t>
      </w:r>
      <w:r w:rsidR="0046478B" w:rsidRPr="00BF2102">
        <w:rPr>
          <w:rFonts w:cs="Open Sans"/>
        </w:rPr>
        <w:t>, if it is retained,</w:t>
      </w:r>
      <w:r w:rsidR="00B65AB3" w:rsidRPr="00BF2102">
        <w:rPr>
          <w:rFonts w:cs="Open Sans"/>
        </w:rPr>
        <w:t xml:space="preserve"> </w:t>
      </w:r>
      <w:r w:rsidR="00391384" w:rsidRPr="00BF2102">
        <w:rPr>
          <w:rFonts w:cs="Open Sans"/>
        </w:rPr>
        <w:t>s</w:t>
      </w:r>
      <w:r w:rsidR="00CE4EDD" w:rsidRPr="00BF2102">
        <w:rPr>
          <w:rFonts w:cs="Open Sans"/>
        </w:rPr>
        <w:t> </w:t>
      </w:r>
      <w:r w:rsidR="00391384" w:rsidRPr="00BF2102">
        <w:rPr>
          <w:rFonts w:cs="Open Sans"/>
        </w:rPr>
        <w:t>33</w:t>
      </w:r>
      <w:proofErr w:type="gramStart"/>
      <w:r w:rsidR="00391384" w:rsidRPr="00BF2102">
        <w:rPr>
          <w:rFonts w:cs="Open Sans"/>
        </w:rPr>
        <w:t>AA(</w:t>
      </w:r>
      <w:proofErr w:type="gramEnd"/>
      <w:r w:rsidR="00391384" w:rsidRPr="00BF2102">
        <w:rPr>
          <w:rFonts w:cs="Open Sans"/>
        </w:rPr>
        <w:t xml:space="preserve">9) </w:t>
      </w:r>
      <w:r w:rsidR="00B65AB3" w:rsidRPr="00BF2102">
        <w:rPr>
          <w:rFonts w:cs="Open Sans"/>
        </w:rPr>
        <w:t>should be amended</w:t>
      </w:r>
      <w:r w:rsidR="00391384" w:rsidRPr="00BF2102">
        <w:rPr>
          <w:rFonts w:cs="Open Sans"/>
        </w:rPr>
        <w:t xml:space="preserve"> to clarify its effect</w:t>
      </w:r>
      <w:r w:rsidR="00B65AB3" w:rsidRPr="00BF2102">
        <w:rPr>
          <w:rFonts w:cs="Open Sans"/>
        </w:rPr>
        <w:t>.</w:t>
      </w:r>
      <w:r w:rsidR="0046478B" w:rsidRPr="00BF2102">
        <w:rPr>
          <w:rFonts w:cs="Open Sans"/>
        </w:rPr>
        <w:t xml:space="preserve"> For </w:t>
      </w:r>
      <w:r w:rsidR="00380387" w:rsidRPr="00BF2102">
        <w:rPr>
          <w:rFonts w:cs="Open Sans"/>
        </w:rPr>
        <w:t xml:space="preserve">the </w:t>
      </w:r>
      <w:r w:rsidR="0046478B" w:rsidRPr="00BF2102">
        <w:rPr>
          <w:rFonts w:cs="Open Sans"/>
        </w:rPr>
        <w:t>reasons explained in more detail below, the Commission’s primary position is that s 33AA should be repealed.</w:t>
      </w:r>
    </w:p>
    <w:p w14:paraId="620F693E" w14:textId="329C5490" w:rsidR="00996BBE" w:rsidRPr="00BF2102" w:rsidRDefault="00345091" w:rsidP="00310D03">
      <w:pPr>
        <w:pStyle w:val="ListNumber"/>
        <w:numPr>
          <w:ilvl w:val="0"/>
          <w:numId w:val="15"/>
        </w:numPr>
        <w:tabs>
          <w:tab w:val="num" w:pos="993"/>
          <w:tab w:val="left" w:pos="1418"/>
        </w:tabs>
        <w:ind w:left="709" w:hanging="567"/>
        <w:rPr>
          <w:rFonts w:cs="Open Sans"/>
        </w:rPr>
      </w:pPr>
      <w:r w:rsidRPr="00BF2102">
        <w:rPr>
          <w:rFonts w:cs="Open Sans"/>
        </w:rPr>
        <w:t>Subsection 33</w:t>
      </w:r>
      <w:proofErr w:type="gramStart"/>
      <w:r w:rsidRPr="00BF2102">
        <w:rPr>
          <w:rFonts w:cs="Open Sans"/>
        </w:rPr>
        <w:t>AA(</w:t>
      </w:r>
      <w:proofErr w:type="gramEnd"/>
      <w:r w:rsidRPr="00BF2102">
        <w:rPr>
          <w:rFonts w:cs="Open Sans"/>
        </w:rPr>
        <w:t>2) sets out the prohibited conduct</w:t>
      </w:r>
      <w:r w:rsidR="00996BBE" w:rsidRPr="00BF2102">
        <w:rPr>
          <w:rFonts w:cs="Open Sans"/>
        </w:rPr>
        <w:t xml:space="preserve"> as follows:</w:t>
      </w:r>
    </w:p>
    <w:p w14:paraId="0445538F" w14:textId="77777777" w:rsidR="00996BBE" w:rsidRPr="00BF2102" w:rsidRDefault="00996BBE" w:rsidP="00310D03">
      <w:pPr>
        <w:pStyle w:val="ListParagraph"/>
        <w:numPr>
          <w:ilvl w:val="0"/>
          <w:numId w:val="21"/>
        </w:numPr>
        <w:spacing w:before="120" w:after="120"/>
        <w:rPr>
          <w:rFonts w:cs="Open Sans"/>
        </w:rPr>
      </w:pPr>
      <w:r w:rsidRPr="00BF2102">
        <w:rPr>
          <w:rFonts w:cs="Open Sans"/>
          <w:color w:val="333333"/>
        </w:rPr>
        <w:t xml:space="preserve">engaging in international terrorist activities using explosive or lethal </w:t>
      </w:r>
      <w:r w:rsidRPr="00BF2102">
        <w:rPr>
          <w:rFonts w:cs="Open Sans"/>
        </w:rPr>
        <w:t>devices</w:t>
      </w:r>
    </w:p>
    <w:p w14:paraId="72A334DE" w14:textId="77777777" w:rsidR="00996BBE" w:rsidRPr="00BF2102" w:rsidRDefault="00996BBE" w:rsidP="00310D03">
      <w:pPr>
        <w:pStyle w:val="ListParagraph"/>
        <w:numPr>
          <w:ilvl w:val="0"/>
          <w:numId w:val="21"/>
        </w:numPr>
        <w:spacing w:before="120" w:after="120"/>
        <w:rPr>
          <w:rFonts w:cs="Open Sans"/>
          <w:color w:val="333333"/>
        </w:rPr>
      </w:pPr>
      <w:bookmarkStart w:id="52" w:name="paragraph"/>
      <w:r w:rsidRPr="00BF2102">
        <w:rPr>
          <w:rFonts w:cs="Open Sans"/>
          <w:color w:val="333333"/>
        </w:rPr>
        <w:t>engaging in a terrorist act</w:t>
      </w:r>
    </w:p>
    <w:p w14:paraId="7A301105" w14:textId="77777777" w:rsidR="00996BBE" w:rsidRPr="00BF2102" w:rsidRDefault="00996BBE" w:rsidP="00310D03">
      <w:pPr>
        <w:pStyle w:val="ListParagraph"/>
        <w:numPr>
          <w:ilvl w:val="0"/>
          <w:numId w:val="21"/>
        </w:numPr>
        <w:spacing w:before="120" w:after="120"/>
        <w:rPr>
          <w:rFonts w:cs="Open Sans"/>
          <w:color w:val="333333"/>
        </w:rPr>
      </w:pPr>
      <w:r w:rsidRPr="00BF2102">
        <w:rPr>
          <w:rFonts w:cs="Open Sans"/>
          <w:color w:val="333333"/>
        </w:rPr>
        <w:t>providing or receiving training connected with preparation for, engagement in, or assistance in a terrorist act</w:t>
      </w:r>
    </w:p>
    <w:p w14:paraId="2109EE12" w14:textId="77777777" w:rsidR="00996BBE" w:rsidRPr="00BF2102" w:rsidRDefault="00996BBE" w:rsidP="00310D03">
      <w:pPr>
        <w:pStyle w:val="ListParagraph"/>
        <w:numPr>
          <w:ilvl w:val="0"/>
          <w:numId w:val="21"/>
        </w:numPr>
        <w:spacing w:before="120" w:after="120"/>
        <w:rPr>
          <w:rFonts w:cs="Open Sans"/>
          <w:color w:val="333333"/>
        </w:rPr>
      </w:pPr>
      <w:r w:rsidRPr="00BF2102">
        <w:rPr>
          <w:rFonts w:cs="Open Sans"/>
          <w:color w:val="333333"/>
        </w:rPr>
        <w:t>directing the activities of a terrorist organisation</w:t>
      </w:r>
    </w:p>
    <w:p w14:paraId="14FEE8C1" w14:textId="77777777" w:rsidR="00996BBE" w:rsidRPr="00BF2102" w:rsidRDefault="00996BBE" w:rsidP="00310D03">
      <w:pPr>
        <w:pStyle w:val="ListParagraph"/>
        <w:numPr>
          <w:ilvl w:val="0"/>
          <w:numId w:val="21"/>
        </w:numPr>
        <w:spacing w:before="120" w:after="120"/>
        <w:rPr>
          <w:rFonts w:cs="Open Sans"/>
          <w:color w:val="333333"/>
        </w:rPr>
      </w:pPr>
      <w:r w:rsidRPr="00BF2102">
        <w:rPr>
          <w:rFonts w:cs="Open Sans"/>
          <w:color w:val="333333"/>
        </w:rPr>
        <w:t>recruiting for a terrorist organisation</w:t>
      </w:r>
    </w:p>
    <w:p w14:paraId="12340125" w14:textId="77777777" w:rsidR="00996BBE" w:rsidRPr="00BF2102" w:rsidRDefault="00996BBE" w:rsidP="00310D03">
      <w:pPr>
        <w:pStyle w:val="ListParagraph"/>
        <w:numPr>
          <w:ilvl w:val="0"/>
          <w:numId w:val="21"/>
        </w:numPr>
        <w:spacing w:before="120" w:after="120"/>
        <w:rPr>
          <w:rFonts w:cs="Open Sans"/>
          <w:color w:val="333333"/>
        </w:rPr>
      </w:pPr>
      <w:r w:rsidRPr="00BF2102">
        <w:rPr>
          <w:rFonts w:cs="Open Sans"/>
          <w:color w:val="333333"/>
        </w:rPr>
        <w:t>financing terrorism</w:t>
      </w:r>
    </w:p>
    <w:p w14:paraId="701C916D" w14:textId="77777777" w:rsidR="00996BBE" w:rsidRPr="00BF2102" w:rsidRDefault="00996BBE" w:rsidP="00310D03">
      <w:pPr>
        <w:pStyle w:val="ListParagraph"/>
        <w:numPr>
          <w:ilvl w:val="0"/>
          <w:numId w:val="21"/>
        </w:numPr>
        <w:spacing w:before="120" w:after="120"/>
        <w:rPr>
          <w:rFonts w:cs="Open Sans"/>
          <w:color w:val="333333"/>
        </w:rPr>
      </w:pPr>
      <w:r w:rsidRPr="00BF2102">
        <w:rPr>
          <w:rFonts w:cs="Open Sans"/>
          <w:color w:val="333333"/>
        </w:rPr>
        <w:lastRenderedPageBreak/>
        <w:t>financing a terrorist</w:t>
      </w:r>
    </w:p>
    <w:bookmarkEnd w:id="52"/>
    <w:p w14:paraId="1303EA27" w14:textId="77777777" w:rsidR="00996BBE" w:rsidRPr="00BF2102" w:rsidRDefault="00996BBE" w:rsidP="00BC44CA">
      <w:pPr>
        <w:pStyle w:val="ListParagraph"/>
        <w:numPr>
          <w:ilvl w:val="0"/>
          <w:numId w:val="21"/>
        </w:numPr>
        <w:spacing w:before="120"/>
        <w:ind w:left="1434" w:hanging="357"/>
        <w:rPr>
          <w:rFonts w:cs="Open Sans"/>
          <w:color w:val="333333"/>
        </w:rPr>
      </w:pPr>
      <w:r w:rsidRPr="00BF2102">
        <w:rPr>
          <w:rFonts w:cs="Open Sans"/>
          <w:color w:val="333333"/>
        </w:rPr>
        <w:t>engaging in foreign incursions and recruitment.</w:t>
      </w:r>
    </w:p>
    <w:p w14:paraId="25882412" w14:textId="6174A456" w:rsidR="00D875C7" w:rsidRPr="00BF2102" w:rsidRDefault="00D875C7" w:rsidP="00310D03">
      <w:pPr>
        <w:pStyle w:val="ListNumber"/>
        <w:numPr>
          <w:ilvl w:val="0"/>
          <w:numId w:val="15"/>
        </w:numPr>
        <w:tabs>
          <w:tab w:val="num" w:pos="993"/>
          <w:tab w:val="left" w:pos="1418"/>
        </w:tabs>
        <w:ind w:left="709" w:hanging="567"/>
        <w:rPr>
          <w:rFonts w:cs="Open Sans"/>
        </w:rPr>
      </w:pPr>
      <w:r w:rsidRPr="00BF2102">
        <w:rPr>
          <w:rFonts w:cs="Open Sans"/>
        </w:rPr>
        <w:t>Pursuant to s 33</w:t>
      </w:r>
      <w:proofErr w:type="gramStart"/>
      <w:r w:rsidRPr="00BF2102">
        <w:rPr>
          <w:rFonts w:cs="Open Sans"/>
        </w:rPr>
        <w:t>AA(</w:t>
      </w:r>
      <w:proofErr w:type="gramEnd"/>
      <w:r w:rsidRPr="00BF2102">
        <w:rPr>
          <w:rFonts w:cs="Open Sans"/>
        </w:rPr>
        <w:t xml:space="preserve">6), words and expressions in s 33AA(2)(a) to (h) have the same meaning as in the Criminal Code, but the fault elements under the Criminal Code do not apply. This means that </w:t>
      </w:r>
      <w:r w:rsidR="006464BC" w:rsidRPr="00BF2102">
        <w:rPr>
          <w:rFonts w:cs="Open Sans"/>
        </w:rPr>
        <w:t xml:space="preserve">the person must have engaged in the physical elements of the offence, but need not have the relevant fault element (intention, knowledge, recklessness or negligence) in relation to each physical element. </w:t>
      </w:r>
    </w:p>
    <w:p w14:paraId="183A8ED8" w14:textId="66243370" w:rsidR="002A1693" w:rsidRPr="00BF2102" w:rsidRDefault="006464BC" w:rsidP="00310D03">
      <w:pPr>
        <w:pStyle w:val="ListNumber"/>
        <w:numPr>
          <w:ilvl w:val="0"/>
          <w:numId w:val="15"/>
        </w:numPr>
        <w:tabs>
          <w:tab w:val="num" w:pos="993"/>
          <w:tab w:val="left" w:pos="1418"/>
        </w:tabs>
        <w:ind w:left="709" w:hanging="567"/>
        <w:rPr>
          <w:rFonts w:cs="Open Sans"/>
        </w:rPr>
      </w:pPr>
      <w:r w:rsidRPr="00BF2102">
        <w:rPr>
          <w:rFonts w:cs="Open Sans"/>
        </w:rPr>
        <w:t>Instead, the relevant intent</w:t>
      </w:r>
      <w:r w:rsidR="00727FD3" w:rsidRPr="00BF2102">
        <w:rPr>
          <w:rFonts w:cs="Open Sans"/>
        </w:rPr>
        <w:t>ion</w:t>
      </w:r>
      <w:r w:rsidRPr="00BF2102">
        <w:rPr>
          <w:rFonts w:cs="Open Sans"/>
        </w:rPr>
        <w:t xml:space="preserve"> is dealt with </w:t>
      </w:r>
      <w:r w:rsidR="00996BBE" w:rsidRPr="00BF2102">
        <w:rPr>
          <w:rFonts w:cs="Open Sans"/>
        </w:rPr>
        <w:t>in s</w:t>
      </w:r>
      <w:r w:rsidRPr="00BF2102">
        <w:rPr>
          <w:rFonts w:cs="Open Sans"/>
        </w:rPr>
        <w:t> </w:t>
      </w:r>
      <w:r w:rsidR="00996BBE" w:rsidRPr="00BF2102">
        <w:rPr>
          <w:rFonts w:cs="Open Sans"/>
        </w:rPr>
        <w:t>33</w:t>
      </w:r>
      <w:proofErr w:type="gramStart"/>
      <w:r w:rsidR="00996BBE" w:rsidRPr="00BF2102">
        <w:rPr>
          <w:rFonts w:cs="Open Sans"/>
        </w:rPr>
        <w:t>AA(</w:t>
      </w:r>
      <w:proofErr w:type="gramEnd"/>
      <w:r w:rsidR="00996BBE" w:rsidRPr="00BF2102">
        <w:rPr>
          <w:rFonts w:cs="Open Sans"/>
        </w:rPr>
        <w:t>3)</w:t>
      </w:r>
      <w:r w:rsidRPr="00BF2102">
        <w:rPr>
          <w:rFonts w:cs="Open Sans"/>
        </w:rPr>
        <w:t>.</w:t>
      </w:r>
      <w:r w:rsidR="00996BBE" w:rsidRPr="00BF2102">
        <w:rPr>
          <w:rFonts w:cs="Open Sans"/>
        </w:rPr>
        <w:t xml:space="preserve"> </w:t>
      </w:r>
      <w:r w:rsidR="002A1693" w:rsidRPr="00BF2102">
        <w:rPr>
          <w:rFonts w:cs="Open Sans"/>
        </w:rPr>
        <w:t>The conduct must be engaged in ‘</w:t>
      </w:r>
      <w:r w:rsidR="002A1693" w:rsidRPr="00BF2102">
        <w:rPr>
          <w:rFonts w:cs="Open Sans"/>
          <w:color w:val="333333"/>
        </w:rPr>
        <w:t>with the intention of advancing a political, religious or ideological cause’ and with the intention of either:</w:t>
      </w:r>
    </w:p>
    <w:p w14:paraId="1986C28C" w14:textId="77777777" w:rsidR="002A1693" w:rsidRPr="00BF2102" w:rsidRDefault="002A1693" w:rsidP="00310D03">
      <w:pPr>
        <w:pStyle w:val="ListParagraph"/>
        <w:numPr>
          <w:ilvl w:val="0"/>
          <w:numId w:val="22"/>
        </w:numPr>
        <w:spacing w:before="120" w:after="120"/>
        <w:rPr>
          <w:rFonts w:cs="Open Sans"/>
          <w:color w:val="333333"/>
        </w:rPr>
      </w:pPr>
      <w:r w:rsidRPr="00BF2102">
        <w:rPr>
          <w:rFonts w:cs="Open Sans"/>
          <w:color w:val="333333"/>
        </w:rPr>
        <w:t>coercing, or influencing by intimidation, the government of the Commonwealth or a State, Territory or foreign country, or of part of a State, Territory or foreign country</w:t>
      </w:r>
    </w:p>
    <w:p w14:paraId="61E232AC" w14:textId="77777777" w:rsidR="002A1693" w:rsidRPr="00BF2102" w:rsidRDefault="002A1693" w:rsidP="00310D03">
      <w:pPr>
        <w:pStyle w:val="ListParagraph"/>
        <w:numPr>
          <w:ilvl w:val="0"/>
          <w:numId w:val="22"/>
        </w:numPr>
        <w:spacing w:before="120" w:after="120"/>
        <w:rPr>
          <w:rFonts w:cs="Open Sans"/>
        </w:rPr>
      </w:pPr>
      <w:r w:rsidRPr="00BF2102">
        <w:rPr>
          <w:rFonts w:cs="Open Sans"/>
          <w:color w:val="333333"/>
        </w:rPr>
        <w:t>intimidating</w:t>
      </w:r>
      <w:r w:rsidRPr="00BF2102">
        <w:rPr>
          <w:rFonts w:cs="Open Sans"/>
        </w:rPr>
        <w:t xml:space="preserve"> the public or a section of the public.</w:t>
      </w:r>
    </w:p>
    <w:p w14:paraId="3DBEEB11" w14:textId="5C2B2D87" w:rsidR="00D54E22" w:rsidRPr="00BF2102" w:rsidRDefault="00D54E22" w:rsidP="00310D03">
      <w:pPr>
        <w:pStyle w:val="ListNumber"/>
        <w:numPr>
          <w:ilvl w:val="0"/>
          <w:numId w:val="15"/>
        </w:numPr>
        <w:tabs>
          <w:tab w:val="num" w:pos="993"/>
          <w:tab w:val="left" w:pos="1418"/>
        </w:tabs>
        <w:ind w:left="709" w:hanging="567"/>
        <w:rPr>
          <w:rFonts w:cs="Open Sans"/>
        </w:rPr>
      </w:pPr>
      <w:r w:rsidRPr="00BF2102">
        <w:rPr>
          <w:rFonts w:cs="Open Sans"/>
        </w:rPr>
        <w:t>A person is automatically taken to have met the s 33</w:t>
      </w:r>
      <w:proofErr w:type="gramStart"/>
      <w:r w:rsidRPr="00BF2102">
        <w:rPr>
          <w:rFonts w:cs="Open Sans"/>
        </w:rPr>
        <w:t>AA(</w:t>
      </w:r>
      <w:proofErr w:type="gramEnd"/>
      <w:r w:rsidRPr="00BF2102">
        <w:rPr>
          <w:rFonts w:cs="Open Sans"/>
        </w:rPr>
        <w:t>3) test if, at the time they engaged in the conduct, the person was</w:t>
      </w:r>
      <w:r w:rsidR="006464BC" w:rsidRPr="00BF2102">
        <w:rPr>
          <w:rFonts w:cs="Open Sans"/>
        </w:rPr>
        <w:t xml:space="preserve"> either</w:t>
      </w:r>
      <w:r w:rsidRPr="00BF2102">
        <w:rPr>
          <w:rFonts w:cs="Open Sans"/>
        </w:rPr>
        <w:t>:</w:t>
      </w:r>
    </w:p>
    <w:p w14:paraId="604CCB4F" w14:textId="77777777" w:rsidR="00D54E22" w:rsidRPr="00BF2102" w:rsidRDefault="00D54E22" w:rsidP="00310D03">
      <w:pPr>
        <w:pStyle w:val="ListParagraph"/>
        <w:numPr>
          <w:ilvl w:val="0"/>
          <w:numId w:val="23"/>
        </w:numPr>
        <w:spacing w:before="120" w:after="120"/>
        <w:rPr>
          <w:rFonts w:cs="Open Sans"/>
          <w:color w:val="333333"/>
        </w:rPr>
      </w:pPr>
      <w:r w:rsidRPr="00BF2102">
        <w:rPr>
          <w:rFonts w:cs="Open Sans"/>
          <w:color w:val="333333"/>
        </w:rPr>
        <w:t>a member of a declared terrorist organisation (pursuant to a declaration made by the Minister under s 35AA</w:t>
      </w:r>
      <w:r w:rsidR="001654C0" w:rsidRPr="00BF2102">
        <w:rPr>
          <w:rFonts w:cs="Open Sans"/>
          <w:color w:val="333333"/>
        </w:rPr>
        <w:t>, see below</w:t>
      </w:r>
      <w:r w:rsidRPr="00BF2102">
        <w:rPr>
          <w:rFonts w:cs="Open Sans"/>
          <w:color w:val="333333"/>
        </w:rPr>
        <w:t>)</w:t>
      </w:r>
    </w:p>
    <w:p w14:paraId="7D207142" w14:textId="77777777" w:rsidR="001654C0" w:rsidRPr="00BF2102" w:rsidRDefault="00D54E22" w:rsidP="00BC44CA">
      <w:pPr>
        <w:pStyle w:val="ListParagraph"/>
        <w:numPr>
          <w:ilvl w:val="0"/>
          <w:numId w:val="23"/>
        </w:numPr>
        <w:spacing w:before="120"/>
        <w:ind w:left="1434" w:hanging="357"/>
        <w:rPr>
          <w:rFonts w:cs="Open Sans"/>
          <w:color w:val="333333"/>
        </w:rPr>
      </w:pPr>
      <w:r w:rsidRPr="00BF2102">
        <w:rPr>
          <w:rFonts w:cs="Open Sans"/>
          <w:color w:val="333333"/>
        </w:rPr>
        <w:t>acting on instruction of, or in cooperation with, a declared terrorist organisation.</w:t>
      </w:r>
    </w:p>
    <w:p w14:paraId="60A5EFD4" w14:textId="70EFEAFA" w:rsidR="00605A4C" w:rsidRPr="00BF2102" w:rsidRDefault="00750831" w:rsidP="00310D03">
      <w:pPr>
        <w:pStyle w:val="ListNumber"/>
        <w:numPr>
          <w:ilvl w:val="0"/>
          <w:numId w:val="15"/>
        </w:numPr>
        <w:tabs>
          <w:tab w:val="num" w:pos="993"/>
          <w:tab w:val="left" w:pos="1418"/>
        </w:tabs>
        <w:ind w:left="709" w:hanging="567"/>
        <w:rPr>
          <w:rFonts w:cs="Open Sans"/>
        </w:rPr>
      </w:pPr>
      <w:r w:rsidRPr="00BF2102">
        <w:rPr>
          <w:rFonts w:cs="Open Sans"/>
        </w:rPr>
        <w:t xml:space="preserve">This </w:t>
      </w:r>
      <w:r w:rsidR="00FD3759" w:rsidRPr="00BF2102">
        <w:rPr>
          <w:rFonts w:cs="Open Sans"/>
        </w:rPr>
        <w:t xml:space="preserve">means that </w:t>
      </w:r>
      <w:r w:rsidRPr="00BF2102">
        <w:rPr>
          <w:rFonts w:cs="Open Sans"/>
        </w:rPr>
        <w:t>if the person is a member of a declared terrorist organisation, or ‘acting on instruction of or in cooperation’ with such a</w:t>
      </w:r>
      <w:r w:rsidR="00157352" w:rsidRPr="00BF2102">
        <w:rPr>
          <w:rFonts w:cs="Open Sans"/>
        </w:rPr>
        <w:t>n</w:t>
      </w:r>
      <w:r w:rsidRPr="00BF2102">
        <w:rPr>
          <w:rFonts w:cs="Open Sans"/>
        </w:rPr>
        <w:t xml:space="preserve"> organisation,</w:t>
      </w:r>
      <w:r w:rsidR="00916E91" w:rsidRPr="00BF2102">
        <w:rPr>
          <w:rFonts w:cs="Open Sans"/>
        </w:rPr>
        <w:t xml:space="preserve"> there is no mental element</w:t>
      </w:r>
      <w:r w:rsidR="00FD3759" w:rsidRPr="00BF2102">
        <w:rPr>
          <w:rFonts w:cs="Open Sans"/>
        </w:rPr>
        <w:t xml:space="preserve"> that needs to be established</w:t>
      </w:r>
      <w:r w:rsidR="00916E91" w:rsidRPr="00BF2102">
        <w:rPr>
          <w:rFonts w:cs="Open Sans"/>
        </w:rPr>
        <w:t>.</w:t>
      </w:r>
      <w:r w:rsidRPr="00BF2102">
        <w:rPr>
          <w:rFonts w:cs="Open Sans"/>
        </w:rPr>
        <w:t xml:space="preserve"> </w:t>
      </w:r>
      <w:r w:rsidR="000275C1" w:rsidRPr="00BF2102">
        <w:rPr>
          <w:rFonts w:cs="Open Sans"/>
        </w:rPr>
        <w:t>In other words, a</w:t>
      </w:r>
      <w:r w:rsidR="00FD3759" w:rsidRPr="00BF2102">
        <w:rPr>
          <w:rFonts w:cs="Open Sans"/>
        </w:rPr>
        <w:t xml:space="preserve"> </w:t>
      </w:r>
      <w:r w:rsidR="00157352" w:rsidRPr="00BF2102">
        <w:rPr>
          <w:rFonts w:cs="Open Sans"/>
        </w:rPr>
        <w:t xml:space="preserve">person </w:t>
      </w:r>
      <w:r w:rsidR="00FD3759" w:rsidRPr="00BF2102">
        <w:rPr>
          <w:rFonts w:cs="Open Sans"/>
        </w:rPr>
        <w:t>c</w:t>
      </w:r>
      <w:r w:rsidR="004079DA" w:rsidRPr="00BF2102">
        <w:rPr>
          <w:rFonts w:cs="Open Sans"/>
        </w:rPr>
        <w:t>ould have their citizenship automatically removed</w:t>
      </w:r>
      <w:r w:rsidR="00916E91" w:rsidRPr="00BF2102">
        <w:rPr>
          <w:rFonts w:cs="Open Sans"/>
        </w:rPr>
        <w:t xml:space="preserve"> despite not </w:t>
      </w:r>
      <w:r w:rsidR="00FD3759" w:rsidRPr="00BF2102">
        <w:rPr>
          <w:rFonts w:cs="Open Sans"/>
        </w:rPr>
        <w:t xml:space="preserve">being prosecuted for a relevant offence or </w:t>
      </w:r>
      <w:r w:rsidR="00916E91" w:rsidRPr="00BF2102">
        <w:rPr>
          <w:rFonts w:cs="Open Sans"/>
        </w:rPr>
        <w:t xml:space="preserve">meeting any criminal standard of </w:t>
      </w:r>
      <w:proofErr w:type="spellStart"/>
      <w:r w:rsidR="00916E91" w:rsidRPr="00BF2102">
        <w:rPr>
          <w:rFonts w:cs="Open Sans"/>
          <w:i/>
          <w:iCs/>
        </w:rPr>
        <w:t>mens</w:t>
      </w:r>
      <w:proofErr w:type="spellEnd"/>
      <w:r w:rsidR="00916E91" w:rsidRPr="00BF2102">
        <w:rPr>
          <w:rFonts w:cs="Open Sans"/>
          <w:i/>
          <w:iCs/>
        </w:rPr>
        <w:t xml:space="preserve"> rea</w:t>
      </w:r>
      <w:r w:rsidR="004079DA" w:rsidRPr="00BF2102">
        <w:rPr>
          <w:rFonts w:cs="Open Sans"/>
        </w:rPr>
        <w:t>.</w:t>
      </w:r>
    </w:p>
    <w:p w14:paraId="58EE85C9" w14:textId="3F166B03" w:rsidR="003020C7" w:rsidRPr="00BF2102" w:rsidRDefault="003020C7" w:rsidP="00310D03">
      <w:pPr>
        <w:pStyle w:val="ListNumber"/>
        <w:numPr>
          <w:ilvl w:val="0"/>
          <w:numId w:val="15"/>
        </w:numPr>
        <w:tabs>
          <w:tab w:val="num" w:pos="993"/>
          <w:tab w:val="left" w:pos="1418"/>
        </w:tabs>
        <w:ind w:left="709" w:hanging="567"/>
        <w:rPr>
          <w:rFonts w:cs="Open Sans"/>
        </w:rPr>
      </w:pPr>
      <w:r w:rsidRPr="00BF2102">
        <w:rPr>
          <w:rFonts w:cs="Open Sans"/>
        </w:rPr>
        <w:t>Subsection 33</w:t>
      </w:r>
      <w:proofErr w:type="gramStart"/>
      <w:r w:rsidRPr="00BF2102">
        <w:rPr>
          <w:rFonts w:cs="Open Sans"/>
        </w:rPr>
        <w:t>AA(</w:t>
      </w:r>
      <w:proofErr w:type="gramEnd"/>
      <w:r w:rsidRPr="00BF2102">
        <w:rPr>
          <w:rFonts w:cs="Open Sans"/>
        </w:rPr>
        <w:t xml:space="preserve">10) of the Citizenship Act states that if the Minister becomes aware of conduct </w:t>
      </w:r>
      <w:r w:rsidR="000275C1" w:rsidRPr="00BF2102">
        <w:rPr>
          <w:rFonts w:cs="Open Sans"/>
        </w:rPr>
        <w:t xml:space="preserve">that </w:t>
      </w:r>
      <w:r w:rsidR="00FD3759" w:rsidRPr="00BF2102">
        <w:rPr>
          <w:rFonts w:cs="Open Sans"/>
        </w:rPr>
        <w:t>results in a cessation of</w:t>
      </w:r>
      <w:r w:rsidRPr="00BF2102">
        <w:rPr>
          <w:rFonts w:cs="Open Sans"/>
        </w:rPr>
        <w:t xml:space="preserve"> citizenship, they must give or make reasonable attempts to give written notice to that effect to the person as soon as practicable. </w:t>
      </w:r>
    </w:p>
    <w:p w14:paraId="518F4DD4" w14:textId="71B066A0" w:rsidR="003020C7" w:rsidRPr="00BF2102" w:rsidRDefault="003020C7" w:rsidP="00310D03">
      <w:pPr>
        <w:pStyle w:val="ListNumber"/>
        <w:numPr>
          <w:ilvl w:val="0"/>
          <w:numId w:val="15"/>
        </w:numPr>
        <w:tabs>
          <w:tab w:val="num" w:pos="993"/>
          <w:tab w:val="left" w:pos="1418"/>
        </w:tabs>
        <w:ind w:left="709" w:hanging="567"/>
        <w:rPr>
          <w:rFonts w:cs="Open Sans"/>
        </w:rPr>
      </w:pPr>
      <w:r w:rsidRPr="00BF2102">
        <w:rPr>
          <w:rFonts w:cs="Open Sans"/>
        </w:rPr>
        <w:t>Pursuant to ss 33</w:t>
      </w:r>
      <w:proofErr w:type="gramStart"/>
      <w:r w:rsidRPr="00BF2102">
        <w:rPr>
          <w:rFonts w:cs="Open Sans"/>
        </w:rPr>
        <w:t>AA(</w:t>
      </w:r>
      <w:proofErr w:type="gramEnd"/>
      <w:r w:rsidRPr="00BF2102">
        <w:rPr>
          <w:rFonts w:cs="Open Sans"/>
        </w:rPr>
        <w:t>11) and 35B</w:t>
      </w:r>
      <w:r w:rsidR="00FD3759" w:rsidRPr="00BF2102">
        <w:rPr>
          <w:rFonts w:cs="Open Sans"/>
        </w:rPr>
        <w:t>(1)</w:t>
      </w:r>
      <w:r w:rsidRPr="00BF2102">
        <w:rPr>
          <w:rFonts w:cs="Open Sans"/>
        </w:rPr>
        <w:t>, a notice must set out certain information. However, that information is more limited than what must be provided for conviction-based citizenship loss</w:t>
      </w:r>
      <w:r w:rsidR="00FD3759" w:rsidRPr="00BF2102">
        <w:rPr>
          <w:rFonts w:cs="Open Sans"/>
        </w:rPr>
        <w:t>. The notice must</w:t>
      </w:r>
      <w:r w:rsidRPr="00BF2102">
        <w:rPr>
          <w:rFonts w:cs="Open Sans"/>
        </w:rPr>
        <w:t>:</w:t>
      </w:r>
    </w:p>
    <w:p w14:paraId="01A9A7BE" w14:textId="055BC31B" w:rsidR="003020C7" w:rsidRPr="00BF2102" w:rsidRDefault="0096743F" w:rsidP="00310D03">
      <w:pPr>
        <w:pStyle w:val="ListParagraph"/>
        <w:numPr>
          <w:ilvl w:val="0"/>
          <w:numId w:val="24"/>
        </w:numPr>
        <w:spacing w:before="120" w:after="120"/>
        <w:rPr>
          <w:rFonts w:cs="Open Sans"/>
        </w:rPr>
      </w:pPr>
      <w:r w:rsidRPr="00BF2102">
        <w:rPr>
          <w:rFonts w:cs="Open Sans"/>
        </w:rPr>
        <w:lastRenderedPageBreak/>
        <w:t xml:space="preserve">state </w:t>
      </w:r>
      <w:r w:rsidR="003020C7" w:rsidRPr="00BF2102">
        <w:rPr>
          <w:rFonts w:cs="Open Sans"/>
        </w:rPr>
        <w:t>that the Minister has become aware of the relevant conduct</w:t>
      </w:r>
      <w:r w:rsidR="00480312" w:rsidRPr="00BF2102">
        <w:rPr>
          <w:rFonts w:cs="Open Sans"/>
        </w:rPr>
        <w:t xml:space="preserve">, because of which the </w:t>
      </w:r>
      <w:r w:rsidR="00480312" w:rsidRPr="00BF2102">
        <w:rPr>
          <w:rFonts w:cs="Open Sans"/>
          <w:color w:val="333333"/>
        </w:rPr>
        <w:t>person</w:t>
      </w:r>
      <w:r w:rsidR="00480312" w:rsidRPr="00BF2102">
        <w:rPr>
          <w:rFonts w:cs="Open Sans"/>
        </w:rPr>
        <w:t xml:space="preserve"> has ceased to be an Australian citizen</w:t>
      </w:r>
    </w:p>
    <w:p w14:paraId="6494E2D0" w14:textId="1F54CA83" w:rsidR="003020C7" w:rsidRPr="00BF2102" w:rsidRDefault="0096743F" w:rsidP="00310D03">
      <w:pPr>
        <w:pStyle w:val="ListParagraph"/>
        <w:numPr>
          <w:ilvl w:val="0"/>
          <w:numId w:val="24"/>
        </w:numPr>
        <w:spacing w:before="120" w:after="120"/>
        <w:rPr>
          <w:rFonts w:cs="Open Sans"/>
        </w:rPr>
      </w:pPr>
      <w:r w:rsidRPr="00BF2102">
        <w:rPr>
          <w:rFonts w:cs="Open Sans"/>
        </w:rPr>
        <w:t xml:space="preserve">contain </w:t>
      </w:r>
      <w:r w:rsidR="003020C7" w:rsidRPr="00BF2102">
        <w:rPr>
          <w:rFonts w:cs="Open Sans"/>
        </w:rPr>
        <w:t>a basic description of the conduct</w:t>
      </w:r>
    </w:p>
    <w:p w14:paraId="3ECE27A5" w14:textId="0CCC42A7" w:rsidR="003020C7" w:rsidRPr="00BF2102" w:rsidRDefault="0096743F" w:rsidP="00BC44CA">
      <w:pPr>
        <w:pStyle w:val="ListParagraph"/>
        <w:numPr>
          <w:ilvl w:val="0"/>
          <w:numId w:val="24"/>
        </w:numPr>
        <w:spacing w:before="120"/>
        <w:ind w:left="1434" w:hanging="357"/>
        <w:rPr>
          <w:rFonts w:cs="Open Sans"/>
        </w:rPr>
      </w:pPr>
      <w:r w:rsidRPr="00BF2102">
        <w:rPr>
          <w:rFonts w:cs="Open Sans"/>
        </w:rPr>
        <w:t xml:space="preserve">set out </w:t>
      </w:r>
      <w:r w:rsidR="003020C7" w:rsidRPr="00BF2102">
        <w:rPr>
          <w:rFonts w:cs="Open Sans"/>
        </w:rPr>
        <w:t>the person’s rights of review.</w:t>
      </w:r>
    </w:p>
    <w:p w14:paraId="05D3C155" w14:textId="71363001" w:rsidR="00C10B76" w:rsidRPr="00BF2102" w:rsidRDefault="00C10B76" w:rsidP="00310D03">
      <w:pPr>
        <w:pStyle w:val="ListNumber"/>
        <w:numPr>
          <w:ilvl w:val="0"/>
          <w:numId w:val="15"/>
        </w:numPr>
        <w:tabs>
          <w:tab w:val="num" w:pos="993"/>
          <w:tab w:val="left" w:pos="1418"/>
        </w:tabs>
        <w:ind w:left="709" w:hanging="567"/>
        <w:rPr>
          <w:rFonts w:cs="Open Sans"/>
        </w:rPr>
      </w:pPr>
      <w:r w:rsidRPr="00BF2102">
        <w:rPr>
          <w:rFonts w:cs="Open Sans"/>
        </w:rPr>
        <w:t xml:space="preserve">Notably, there is no </w:t>
      </w:r>
      <w:r w:rsidR="0096743F" w:rsidRPr="00BF2102">
        <w:rPr>
          <w:rFonts w:cs="Open Sans"/>
        </w:rPr>
        <w:t xml:space="preserve">requirement for a determination by the Minister or anyone else that the person has engaged in the relevant conduct, and therefore no </w:t>
      </w:r>
      <w:r w:rsidRPr="00BF2102">
        <w:rPr>
          <w:rFonts w:cs="Open Sans"/>
        </w:rPr>
        <w:t>requirement to</w:t>
      </w:r>
      <w:r w:rsidR="003B5368" w:rsidRPr="00BF2102">
        <w:rPr>
          <w:rFonts w:cs="Open Sans"/>
        </w:rPr>
        <w:t xml:space="preserve"> provide</w:t>
      </w:r>
      <w:r w:rsidRPr="00BF2102">
        <w:rPr>
          <w:rFonts w:cs="Open Sans"/>
        </w:rPr>
        <w:t xml:space="preserve"> reasons</w:t>
      </w:r>
      <w:r w:rsidR="00987A0B" w:rsidRPr="00BF2102">
        <w:rPr>
          <w:rFonts w:cs="Open Sans"/>
        </w:rPr>
        <w:t>.</w:t>
      </w:r>
      <w:r w:rsidRPr="00BF2102">
        <w:rPr>
          <w:rFonts w:cs="Open Sans"/>
        </w:rPr>
        <w:t xml:space="preserve"> </w:t>
      </w:r>
      <w:r w:rsidR="0096743F" w:rsidRPr="00BF2102">
        <w:rPr>
          <w:rFonts w:cs="Open Sans"/>
        </w:rPr>
        <w:t xml:space="preserve">Loss of citizenship under this section is not the result of a discretionary decision. </w:t>
      </w:r>
      <w:r w:rsidRPr="00BF2102">
        <w:rPr>
          <w:rFonts w:cs="Open Sans"/>
        </w:rPr>
        <w:t>Rather, conduct-based citizenship loss is deemed to occur automatically upon the prohibited conduct and intent provisions being satisfied.</w:t>
      </w:r>
    </w:p>
    <w:p w14:paraId="27AC8BEF" w14:textId="77777777" w:rsidR="003020C7" w:rsidRPr="00BF2102" w:rsidRDefault="00615C84" w:rsidP="00310D03">
      <w:pPr>
        <w:pStyle w:val="ListNumber"/>
        <w:numPr>
          <w:ilvl w:val="0"/>
          <w:numId w:val="15"/>
        </w:numPr>
        <w:tabs>
          <w:tab w:val="num" w:pos="993"/>
          <w:tab w:val="left" w:pos="1418"/>
        </w:tabs>
        <w:ind w:left="709" w:hanging="567"/>
        <w:rPr>
          <w:rFonts w:cs="Open Sans"/>
        </w:rPr>
      </w:pPr>
      <w:r w:rsidRPr="00BF2102">
        <w:rPr>
          <w:rFonts w:cs="Open Sans"/>
        </w:rPr>
        <w:t>U</w:t>
      </w:r>
      <w:r w:rsidR="003020C7" w:rsidRPr="00BF2102">
        <w:rPr>
          <w:rFonts w:cs="Open Sans"/>
        </w:rPr>
        <w:t>nder s 35</w:t>
      </w:r>
      <w:proofErr w:type="gramStart"/>
      <w:r w:rsidR="003020C7" w:rsidRPr="00BF2102">
        <w:rPr>
          <w:rFonts w:cs="Open Sans"/>
        </w:rPr>
        <w:t>B(</w:t>
      </w:r>
      <w:proofErr w:type="gramEnd"/>
      <w:r w:rsidR="003020C7" w:rsidRPr="00BF2102">
        <w:rPr>
          <w:rFonts w:cs="Open Sans"/>
        </w:rPr>
        <w:t>3), a notice must not contain certain sensitive information</w:t>
      </w:r>
      <w:r w:rsidRPr="00BF2102">
        <w:rPr>
          <w:rFonts w:cs="Open Sans"/>
        </w:rPr>
        <w:t>, as set out above</w:t>
      </w:r>
      <w:r w:rsidR="003020C7" w:rsidRPr="00BF2102">
        <w:rPr>
          <w:rFonts w:cs="Open Sans"/>
        </w:rPr>
        <w:t xml:space="preserve">. </w:t>
      </w:r>
    </w:p>
    <w:p w14:paraId="21811031" w14:textId="58A41855" w:rsidR="003020C7" w:rsidRPr="00BF2102" w:rsidRDefault="003020C7" w:rsidP="00310D03">
      <w:pPr>
        <w:pStyle w:val="ListNumber"/>
        <w:numPr>
          <w:ilvl w:val="0"/>
          <w:numId w:val="15"/>
        </w:numPr>
        <w:tabs>
          <w:tab w:val="num" w:pos="993"/>
          <w:tab w:val="left" w:pos="1418"/>
        </w:tabs>
        <w:ind w:left="709" w:hanging="567"/>
        <w:rPr>
          <w:rFonts w:cs="Open Sans"/>
        </w:rPr>
      </w:pPr>
      <w:r w:rsidRPr="00BF2102">
        <w:rPr>
          <w:rFonts w:cs="Open Sans"/>
        </w:rPr>
        <w:t>Under s 3</w:t>
      </w:r>
      <w:r w:rsidR="00615C84" w:rsidRPr="00BF2102">
        <w:rPr>
          <w:rFonts w:cs="Open Sans"/>
        </w:rPr>
        <w:t>3</w:t>
      </w:r>
      <w:proofErr w:type="gramStart"/>
      <w:r w:rsidR="00615C84" w:rsidRPr="00BF2102">
        <w:rPr>
          <w:rFonts w:cs="Open Sans"/>
        </w:rPr>
        <w:t>A</w:t>
      </w:r>
      <w:r w:rsidRPr="00BF2102">
        <w:rPr>
          <w:rFonts w:cs="Open Sans"/>
        </w:rPr>
        <w:t>A(</w:t>
      </w:r>
      <w:proofErr w:type="gramEnd"/>
      <w:r w:rsidR="00953B17" w:rsidRPr="00BF2102">
        <w:rPr>
          <w:rFonts w:cs="Open Sans"/>
        </w:rPr>
        <w:t>12</w:t>
      </w:r>
      <w:r w:rsidRPr="00BF2102">
        <w:rPr>
          <w:rFonts w:cs="Open Sans"/>
        </w:rPr>
        <w:t>),</w:t>
      </w:r>
      <w:r w:rsidR="007D7C08" w:rsidRPr="00BF2102">
        <w:rPr>
          <w:rFonts w:cs="Open Sans"/>
        </w:rPr>
        <w:t xml:space="preserve"> commensurate with s 35A(7),</w:t>
      </w:r>
      <w:r w:rsidRPr="00BF2102">
        <w:rPr>
          <w:rFonts w:cs="Open Sans"/>
        </w:rPr>
        <w:t xml:space="preserve"> </w:t>
      </w:r>
      <w:r w:rsidR="007D7C08" w:rsidRPr="00BF2102">
        <w:rPr>
          <w:rFonts w:cs="Open Sans"/>
        </w:rPr>
        <w:t>the</w:t>
      </w:r>
      <w:r w:rsidRPr="00BF2102">
        <w:rPr>
          <w:rFonts w:cs="Open Sans"/>
        </w:rPr>
        <w:t xml:space="preserve"> Minister </w:t>
      </w:r>
      <w:r w:rsidR="007D7C08" w:rsidRPr="00BF2102">
        <w:rPr>
          <w:rFonts w:cs="Open Sans"/>
        </w:rPr>
        <w:t>can</w:t>
      </w:r>
      <w:r w:rsidRPr="00BF2102">
        <w:rPr>
          <w:rFonts w:cs="Open Sans"/>
        </w:rPr>
        <w:t xml:space="preserve"> determin</w:t>
      </w:r>
      <w:r w:rsidR="007D7C08" w:rsidRPr="00BF2102">
        <w:rPr>
          <w:rFonts w:cs="Open Sans"/>
        </w:rPr>
        <w:t>e</w:t>
      </w:r>
      <w:r w:rsidRPr="00BF2102">
        <w:rPr>
          <w:rFonts w:cs="Open Sans"/>
        </w:rPr>
        <w:t xml:space="preserve"> that a notice should not be given to the person if satisfied that </w:t>
      </w:r>
      <w:r w:rsidR="007D7C08" w:rsidRPr="00BF2102">
        <w:rPr>
          <w:rFonts w:cs="Open Sans"/>
        </w:rPr>
        <w:t>it</w:t>
      </w:r>
      <w:r w:rsidRPr="00BF2102">
        <w:rPr>
          <w:rFonts w:cs="Open Sans"/>
        </w:rPr>
        <w:t xml:space="preserve"> </w:t>
      </w:r>
      <w:r w:rsidRPr="00BF2102">
        <w:rPr>
          <w:rFonts w:cs="Open Sans"/>
          <w:i/>
          <w:iCs/>
        </w:rPr>
        <w:t xml:space="preserve">could </w:t>
      </w:r>
      <w:r w:rsidRPr="00BF2102">
        <w:rPr>
          <w:rFonts w:cs="Open Sans"/>
        </w:rPr>
        <w:t xml:space="preserve">prejudice </w:t>
      </w:r>
      <w:r w:rsidR="007D7C08" w:rsidRPr="00BF2102">
        <w:rPr>
          <w:rFonts w:cs="Open Sans"/>
        </w:rPr>
        <w:t>national security or other interests</w:t>
      </w:r>
      <w:r w:rsidRPr="00BF2102">
        <w:rPr>
          <w:rFonts w:cs="Open Sans"/>
        </w:rPr>
        <w:t xml:space="preserve">. The Minister is required to consider revoking such a determination periodically. If a determination not to </w:t>
      </w:r>
      <w:r w:rsidR="00953B17" w:rsidRPr="00BF2102">
        <w:rPr>
          <w:rFonts w:cs="Open Sans"/>
        </w:rPr>
        <w:t xml:space="preserve">give </w:t>
      </w:r>
      <w:r w:rsidRPr="00BF2102">
        <w:rPr>
          <w:rFonts w:cs="Open Sans"/>
        </w:rPr>
        <w:t>a notice is revoked, the Minister must give a notice under s 3</w:t>
      </w:r>
      <w:r w:rsidR="007D7C08" w:rsidRPr="00BF2102">
        <w:rPr>
          <w:rFonts w:cs="Open Sans"/>
        </w:rPr>
        <w:t>3</w:t>
      </w:r>
      <w:proofErr w:type="gramStart"/>
      <w:r w:rsidR="007D7C08" w:rsidRPr="00BF2102">
        <w:rPr>
          <w:rFonts w:cs="Open Sans"/>
        </w:rPr>
        <w:t>AA</w:t>
      </w:r>
      <w:r w:rsidRPr="00BF2102">
        <w:rPr>
          <w:rFonts w:cs="Open Sans"/>
        </w:rPr>
        <w:t>(</w:t>
      </w:r>
      <w:proofErr w:type="gramEnd"/>
      <w:r w:rsidR="007D7C08" w:rsidRPr="00BF2102">
        <w:rPr>
          <w:rFonts w:cs="Open Sans"/>
        </w:rPr>
        <w:t>10</w:t>
      </w:r>
      <w:r w:rsidRPr="00BF2102">
        <w:rPr>
          <w:rFonts w:cs="Open Sans"/>
        </w:rPr>
        <w:t xml:space="preserve">) as soon as practicable. </w:t>
      </w:r>
    </w:p>
    <w:p w14:paraId="6F56DC66" w14:textId="77777777" w:rsidR="00D90131" w:rsidRPr="00BF2102" w:rsidRDefault="00BC4180" w:rsidP="00310D03">
      <w:pPr>
        <w:pStyle w:val="ListNumber"/>
        <w:numPr>
          <w:ilvl w:val="0"/>
          <w:numId w:val="15"/>
        </w:numPr>
        <w:tabs>
          <w:tab w:val="num" w:pos="993"/>
          <w:tab w:val="left" w:pos="1418"/>
        </w:tabs>
        <w:ind w:left="709" w:hanging="567"/>
        <w:rPr>
          <w:rFonts w:cs="Open Sans"/>
        </w:rPr>
      </w:pPr>
      <w:bookmarkStart w:id="53" w:name="_Ref10993058"/>
      <w:r w:rsidRPr="00BF2102">
        <w:rPr>
          <w:rFonts w:cs="Open Sans"/>
        </w:rPr>
        <w:t>Under s 33</w:t>
      </w:r>
      <w:proofErr w:type="gramStart"/>
      <w:r w:rsidRPr="00BF2102">
        <w:rPr>
          <w:rFonts w:cs="Open Sans"/>
        </w:rPr>
        <w:t>AA(</w:t>
      </w:r>
      <w:proofErr w:type="gramEnd"/>
      <w:r w:rsidRPr="00BF2102">
        <w:rPr>
          <w:rFonts w:cs="Open Sans"/>
        </w:rPr>
        <w:t>14), t</w:t>
      </w:r>
      <w:r w:rsidR="00D90131" w:rsidRPr="00BF2102">
        <w:rPr>
          <w:rFonts w:cs="Open Sans"/>
        </w:rPr>
        <w:t xml:space="preserve">he Minister has </w:t>
      </w:r>
      <w:r w:rsidR="009E3AF6" w:rsidRPr="00BF2102">
        <w:rPr>
          <w:rFonts w:cs="Open Sans"/>
        </w:rPr>
        <w:t>a discretionary, non-compellable</w:t>
      </w:r>
      <w:r w:rsidR="00D90131" w:rsidRPr="00BF2102">
        <w:rPr>
          <w:rFonts w:cs="Open Sans"/>
        </w:rPr>
        <w:t xml:space="preserve"> power to </w:t>
      </w:r>
      <w:r w:rsidR="004F0825" w:rsidRPr="00BF2102">
        <w:rPr>
          <w:rFonts w:cs="Open Sans"/>
        </w:rPr>
        <w:t xml:space="preserve">displace the automatic conduct-based citizenship loss provisions, effectively undoing the removal of a person’s citizenship. </w:t>
      </w:r>
      <w:r w:rsidRPr="00BF2102">
        <w:rPr>
          <w:rFonts w:cs="Open Sans"/>
        </w:rPr>
        <w:t>T</w:t>
      </w:r>
      <w:r w:rsidR="009E3AF6" w:rsidRPr="00BF2102">
        <w:rPr>
          <w:rFonts w:cs="Open Sans"/>
        </w:rPr>
        <w:t xml:space="preserve">he Minister may </w:t>
      </w:r>
      <w:proofErr w:type="gramStart"/>
      <w:r w:rsidR="009E3AF6" w:rsidRPr="00BF2102">
        <w:rPr>
          <w:rFonts w:cs="Open Sans"/>
        </w:rPr>
        <w:t>make a determination</w:t>
      </w:r>
      <w:proofErr w:type="gramEnd"/>
      <w:r w:rsidR="009E3AF6" w:rsidRPr="00BF2102">
        <w:rPr>
          <w:rFonts w:cs="Open Sans"/>
        </w:rPr>
        <w:t xml:space="preserve"> to:</w:t>
      </w:r>
      <w:bookmarkEnd w:id="53"/>
    </w:p>
    <w:p w14:paraId="72522286" w14:textId="34EC98D6" w:rsidR="009E3AF6" w:rsidRPr="00BF2102" w:rsidRDefault="009E3AF6" w:rsidP="00310D03">
      <w:pPr>
        <w:pStyle w:val="ListParagraph"/>
        <w:numPr>
          <w:ilvl w:val="0"/>
          <w:numId w:val="25"/>
        </w:numPr>
        <w:spacing w:before="120" w:after="120"/>
        <w:rPr>
          <w:rFonts w:cs="Open Sans"/>
        </w:rPr>
      </w:pPr>
      <w:r w:rsidRPr="00BF2102">
        <w:rPr>
          <w:rFonts w:cs="Open Sans"/>
        </w:rPr>
        <w:t>rescind any s 33</w:t>
      </w:r>
      <w:proofErr w:type="gramStart"/>
      <w:r w:rsidRPr="00BF2102">
        <w:rPr>
          <w:rFonts w:cs="Open Sans"/>
        </w:rPr>
        <w:t>AA(</w:t>
      </w:r>
      <w:proofErr w:type="gramEnd"/>
      <w:r w:rsidRPr="00BF2102">
        <w:rPr>
          <w:rFonts w:cs="Open Sans"/>
        </w:rPr>
        <w:t>10) notice</w:t>
      </w:r>
      <w:r w:rsidR="00727FD3" w:rsidRPr="00BF2102">
        <w:rPr>
          <w:rFonts w:cs="Open Sans"/>
        </w:rPr>
        <w:t>,</w:t>
      </w:r>
      <w:r w:rsidRPr="00BF2102">
        <w:rPr>
          <w:rFonts w:cs="Open Sans"/>
        </w:rPr>
        <w:t xml:space="preserve"> </w:t>
      </w:r>
      <w:r w:rsidR="00727FD3" w:rsidRPr="00BF2102">
        <w:rPr>
          <w:rFonts w:cs="Open Sans"/>
        </w:rPr>
        <w:t>and</w:t>
      </w:r>
    </w:p>
    <w:p w14:paraId="5403570E" w14:textId="77777777" w:rsidR="009E3AF6" w:rsidRPr="00BF2102" w:rsidRDefault="003B61DB" w:rsidP="00310D03">
      <w:pPr>
        <w:pStyle w:val="ListParagraph"/>
        <w:numPr>
          <w:ilvl w:val="0"/>
          <w:numId w:val="25"/>
        </w:numPr>
        <w:spacing w:before="120" w:after="120"/>
        <w:rPr>
          <w:rFonts w:cs="Open Sans"/>
        </w:rPr>
      </w:pPr>
      <w:r w:rsidRPr="00BF2102">
        <w:rPr>
          <w:rFonts w:cs="Open Sans"/>
        </w:rPr>
        <w:t>exempt the person from the effect of s 33AA in relation to the relevant conduct.</w:t>
      </w:r>
    </w:p>
    <w:p w14:paraId="1F2F8EFA" w14:textId="7485E184" w:rsidR="00087619" w:rsidRPr="00BF2102" w:rsidRDefault="00087619" w:rsidP="00087619">
      <w:pPr>
        <w:pStyle w:val="ListNumber"/>
        <w:tabs>
          <w:tab w:val="left" w:pos="1418"/>
        </w:tabs>
        <w:ind w:left="720"/>
        <w:rPr>
          <w:rFonts w:cs="Open Sans"/>
        </w:rPr>
      </w:pPr>
      <w:r w:rsidRPr="00BF2102">
        <w:rPr>
          <w:rFonts w:cs="Open Sans"/>
        </w:rPr>
        <w:t xml:space="preserve">A determination must be tabled in Parliament within 15 sitting days, accompanied by a statement that sets out the determination as well as </w:t>
      </w:r>
      <w:r w:rsidR="00987A0B" w:rsidRPr="00BF2102">
        <w:rPr>
          <w:rFonts w:cs="Open Sans"/>
        </w:rPr>
        <w:t xml:space="preserve">the </w:t>
      </w:r>
      <w:r w:rsidRPr="00BF2102">
        <w:rPr>
          <w:rFonts w:cs="Open Sans"/>
        </w:rPr>
        <w:t>reasons for making the determination, pursuant to s 33</w:t>
      </w:r>
      <w:proofErr w:type="gramStart"/>
      <w:r w:rsidRPr="00BF2102">
        <w:rPr>
          <w:rFonts w:cs="Open Sans"/>
        </w:rPr>
        <w:t>AA(</w:t>
      </w:r>
      <w:proofErr w:type="gramEnd"/>
      <w:r w:rsidRPr="00BF2102">
        <w:rPr>
          <w:rFonts w:cs="Open Sans"/>
        </w:rPr>
        <w:t xml:space="preserve">18). </w:t>
      </w:r>
    </w:p>
    <w:p w14:paraId="51373853" w14:textId="78D13CD3" w:rsidR="008B117A" w:rsidRPr="00BF2102" w:rsidRDefault="003B61DB" w:rsidP="00310D03">
      <w:pPr>
        <w:pStyle w:val="ListNumber"/>
        <w:numPr>
          <w:ilvl w:val="0"/>
          <w:numId w:val="15"/>
        </w:numPr>
        <w:tabs>
          <w:tab w:val="num" w:pos="993"/>
          <w:tab w:val="left" w:pos="1418"/>
        </w:tabs>
        <w:ind w:left="709" w:hanging="567"/>
        <w:rPr>
          <w:rFonts w:cs="Open Sans"/>
        </w:rPr>
      </w:pPr>
      <w:r w:rsidRPr="00BF2102">
        <w:rPr>
          <w:rFonts w:cs="Open Sans"/>
        </w:rPr>
        <w:t>The power is non-compellable by virtue of s 33</w:t>
      </w:r>
      <w:proofErr w:type="gramStart"/>
      <w:r w:rsidRPr="00BF2102">
        <w:rPr>
          <w:rFonts w:cs="Open Sans"/>
        </w:rPr>
        <w:t>AA(</w:t>
      </w:r>
      <w:proofErr w:type="gramEnd"/>
      <w:r w:rsidRPr="00BF2102">
        <w:rPr>
          <w:rFonts w:cs="Open Sans"/>
        </w:rPr>
        <w:t xml:space="preserve">15), which provides that the Minister is not under any duty to consider whether to exercise the </w:t>
      </w:r>
      <w:r w:rsidR="000F0981" w:rsidRPr="00BF2102">
        <w:rPr>
          <w:rFonts w:cs="Open Sans"/>
        </w:rPr>
        <w:t xml:space="preserve">s 33AA(14) </w:t>
      </w:r>
      <w:r w:rsidR="00727FD3" w:rsidRPr="00BF2102">
        <w:rPr>
          <w:rFonts w:cs="Open Sans"/>
        </w:rPr>
        <w:t xml:space="preserve">exemption </w:t>
      </w:r>
      <w:r w:rsidRPr="00BF2102">
        <w:rPr>
          <w:rFonts w:cs="Open Sans"/>
        </w:rPr>
        <w:t>power</w:t>
      </w:r>
      <w:r w:rsidR="000F0981" w:rsidRPr="00BF2102">
        <w:rPr>
          <w:rFonts w:cs="Open Sans"/>
        </w:rPr>
        <w:t>.</w:t>
      </w:r>
      <w:r w:rsidR="00236A82" w:rsidRPr="00BF2102">
        <w:rPr>
          <w:rFonts w:cs="Open Sans"/>
        </w:rPr>
        <w:t xml:space="preserve"> </w:t>
      </w:r>
      <w:r w:rsidR="008B117A" w:rsidRPr="00BF2102">
        <w:rPr>
          <w:rFonts w:cs="Open Sans"/>
        </w:rPr>
        <w:t>As noted above, this is contrary to Recommendation 15 made by the Committee during the course of its review. The Committee said</w:t>
      </w:r>
      <w:r w:rsidR="00230687" w:rsidRPr="00BF2102">
        <w:rPr>
          <w:rFonts w:cs="Open Sans"/>
        </w:rPr>
        <w:t>, in its unanimous report</w:t>
      </w:r>
      <w:r w:rsidR="008B117A" w:rsidRPr="00BF2102">
        <w:rPr>
          <w:rFonts w:cs="Open Sans"/>
        </w:rPr>
        <w:t>:</w:t>
      </w:r>
    </w:p>
    <w:p w14:paraId="1A59CEF4" w14:textId="0E175248" w:rsidR="008B117A" w:rsidRPr="00BF2102" w:rsidRDefault="00230687" w:rsidP="00230687">
      <w:pPr>
        <w:pStyle w:val="ListNumber"/>
        <w:tabs>
          <w:tab w:val="left" w:pos="1418"/>
        </w:tabs>
        <w:ind w:left="1418"/>
        <w:rPr>
          <w:rFonts w:cs="Open Sans"/>
          <w:sz w:val="22"/>
          <w:szCs w:val="22"/>
        </w:rPr>
      </w:pPr>
      <w:r w:rsidRPr="00BF2102">
        <w:rPr>
          <w:rFonts w:cs="Open Sans"/>
          <w:sz w:val="22"/>
          <w:szCs w:val="22"/>
        </w:rPr>
        <w:t xml:space="preserve">The Committee considers that the Minister’s discretionary power to exempt the loss of citizenship is a vital safeguard in the operation of the Bill. However, the Committee considers that, to strengthen the operation </w:t>
      </w:r>
      <w:r w:rsidRPr="00BF2102">
        <w:rPr>
          <w:rFonts w:cs="Open Sans"/>
          <w:sz w:val="22"/>
          <w:szCs w:val="22"/>
        </w:rPr>
        <w:lastRenderedPageBreak/>
        <w:t>of the Bill and public confiden</w:t>
      </w:r>
      <w:r w:rsidR="00DD2B00" w:rsidRPr="00BF2102">
        <w:rPr>
          <w:rFonts w:cs="Open Sans"/>
          <w:sz w:val="22"/>
          <w:szCs w:val="22"/>
        </w:rPr>
        <w:t>c</w:t>
      </w:r>
      <w:r w:rsidRPr="00BF2102">
        <w:rPr>
          <w:rFonts w:cs="Open Sans"/>
          <w:sz w:val="22"/>
          <w:szCs w:val="22"/>
        </w:rPr>
        <w:t>e in the exercise of its provisions, the range of factors that the Minister is required to consider should be made explicit.</w:t>
      </w:r>
    </w:p>
    <w:p w14:paraId="6D152D46" w14:textId="053175AF" w:rsidR="00230687" w:rsidRPr="00BF2102" w:rsidRDefault="00230687" w:rsidP="00230687">
      <w:pPr>
        <w:pStyle w:val="ListNumber"/>
        <w:tabs>
          <w:tab w:val="left" w:pos="1418"/>
        </w:tabs>
        <w:ind w:left="1418"/>
        <w:rPr>
          <w:rFonts w:cs="Open Sans"/>
          <w:sz w:val="22"/>
          <w:szCs w:val="22"/>
        </w:rPr>
      </w:pPr>
      <w:r w:rsidRPr="00BF2102">
        <w:rPr>
          <w:rFonts w:cs="Open Sans"/>
          <w:sz w:val="22"/>
          <w:szCs w:val="22"/>
        </w:rPr>
        <w:t>…</w:t>
      </w:r>
    </w:p>
    <w:p w14:paraId="557C5BB1" w14:textId="1F64EC51" w:rsidR="00230687" w:rsidRPr="00BF2102" w:rsidRDefault="00230687" w:rsidP="000D7F57">
      <w:pPr>
        <w:pStyle w:val="ListNumber"/>
        <w:tabs>
          <w:tab w:val="left" w:pos="1418"/>
        </w:tabs>
        <w:ind w:left="1418"/>
        <w:rPr>
          <w:rFonts w:cs="Open Sans"/>
          <w:sz w:val="22"/>
          <w:szCs w:val="22"/>
        </w:rPr>
      </w:pPr>
      <w:r w:rsidRPr="00BF2102">
        <w:rPr>
          <w:rFonts w:cs="Open Sans"/>
          <w:sz w:val="22"/>
          <w:szCs w:val="22"/>
        </w:rPr>
        <w:t xml:space="preserve">To ensure the appropriate operation of these safeguards, and given the seriousness of loss of citizenship, the Committee considers that the Minister should be required to consider exercising the discretion to exempt and to </w:t>
      </w:r>
      <w:proofErr w:type="gramStart"/>
      <w:r w:rsidRPr="00BF2102">
        <w:rPr>
          <w:rFonts w:cs="Open Sans"/>
          <w:sz w:val="22"/>
          <w:szCs w:val="22"/>
        </w:rPr>
        <w:t>take into account</w:t>
      </w:r>
      <w:proofErr w:type="gramEnd"/>
      <w:r w:rsidRPr="00BF2102">
        <w:rPr>
          <w:rFonts w:cs="Open Sans"/>
          <w:sz w:val="22"/>
          <w:szCs w:val="22"/>
        </w:rPr>
        <w:t xml:space="preserve"> a specified range of factors.</w:t>
      </w:r>
      <w:r w:rsidRPr="00BF2102">
        <w:rPr>
          <w:rStyle w:val="EndnoteReference"/>
          <w:rFonts w:cs="Open Sans"/>
          <w:szCs w:val="22"/>
        </w:rPr>
        <w:endnoteReference w:id="27"/>
      </w:r>
    </w:p>
    <w:p w14:paraId="487B39C6" w14:textId="51DDA708" w:rsidR="00230687" w:rsidRPr="00BF2102" w:rsidRDefault="001B0D02" w:rsidP="00310D03">
      <w:pPr>
        <w:pStyle w:val="ListNumber"/>
        <w:numPr>
          <w:ilvl w:val="0"/>
          <w:numId w:val="15"/>
        </w:numPr>
        <w:tabs>
          <w:tab w:val="num" w:pos="993"/>
          <w:tab w:val="left" w:pos="1418"/>
        </w:tabs>
        <w:ind w:left="709" w:hanging="567"/>
        <w:rPr>
          <w:rFonts w:cs="Open Sans"/>
        </w:rPr>
      </w:pPr>
      <w:r w:rsidRPr="00BF2102">
        <w:rPr>
          <w:rFonts w:cs="Open Sans"/>
        </w:rPr>
        <w:t>The Government’s response to the Committee’s report claimed that this recommendation had been implemented</w:t>
      </w:r>
      <w:r w:rsidR="008B29A2" w:rsidRPr="00BF2102">
        <w:rPr>
          <w:rFonts w:cs="Open Sans"/>
        </w:rPr>
        <w:t xml:space="preserve"> in the Allegiance Bill</w:t>
      </w:r>
      <w:r w:rsidRPr="00BF2102">
        <w:rPr>
          <w:rFonts w:cs="Open Sans"/>
        </w:rPr>
        <w:t>.</w:t>
      </w:r>
      <w:r w:rsidRPr="00BF2102">
        <w:rPr>
          <w:rStyle w:val="EndnoteReference"/>
          <w:rFonts w:cs="Open Sans"/>
        </w:rPr>
        <w:endnoteReference w:id="28"/>
      </w:r>
      <w:r w:rsidRPr="00BF2102">
        <w:rPr>
          <w:rFonts w:cs="Open Sans"/>
        </w:rPr>
        <w:t xml:space="preserve"> In particular, it said that the Bill provided that ‘the Minister must consider exempting the effect of the legislation in each case where conduct has led to automatic loss of citizenship of a dual citizen, and providing for relevant factors for that consideration’.</w:t>
      </w:r>
      <w:r w:rsidRPr="00BF2102">
        <w:rPr>
          <w:rStyle w:val="EndnoteReference"/>
          <w:rFonts w:cs="Open Sans"/>
        </w:rPr>
        <w:endnoteReference w:id="29"/>
      </w:r>
      <w:r w:rsidRPr="00BF2102">
        <w:rPr>
          <w:rFonts w:cs="Open Sans"/>
        </w:rPr>
        <w:t xml:space="preserve"> However, the effect of </w:t>
      </w:r>
      <w:r w:rsidR="000275C1" w:rsidRPr="00BF2102">
        <w:rPr>
          <w:rFonts w:cs="Open Sans"/>
        </w:rPr>
        <w:t>s</w:t>
      </w:r>
      <w:r w:rsidRPr="00BF2102">
        <w:rPr>
          <w:rFonts w:cs="Open Sans"/>
        </w:rPr>
        <w:t>s </w:t>
      </w:r>
      <w:r w:rsidR="008B29A2" w:rsidRPr="00BF2102">
        <w:rPr>
          <w:rFonts w:cs="Open Sans"/>
        </w:rPr>
        <w:t>33AA(15) and s 35(10)</w:t>
      </w:r>
      <w:r w:rsidR="003D7D8D" w:rsidRPr="00BF2102">
        <w:rPr>
          <w:rFonts w:cs="Open Sans"/>
        </w:rPr>
        <w:t>, which deals with an equivalent discretion to exempt a person from automatic citizenship loss</w:t>
      </w:r>
      <w:r w:rsidR="008B29A2" w:rsidRPr="00BF2102">
        <w:rPr>
          <w:rFonts w:cs="Open Sans"/>
        </w:rPr>
        <w:t xml:space="preserve"> is that the Minister has no duty to consider exempting a person from the effect of the conduct-based citizenship loss provision</w:t>
      </w:r>
      <w:r w:rsidR="00FD66C2" w:rsidRPr="00BF2102">
        <w:rPr>
          <w:rFonts w:cs="Open Sans"/>
        </w:rPr>
        <w:t>s</w:t>
      </w:r>
      <w:r w:rsidR="008B29A2" w:rsidRPr="00BF2102">
        <w:rPr>
          <w:rFonts w:cs="Open Sans"/>
        </w:rPr>
        <w:t>.</w:t>
      </w:r>
    </w:p>
    <w:p w14:paraId="7E8CCCF5" w14:textId="3F5DB2CD" w:rsidR="000F0981" w:rsidRPr="00BF2102" w:rsidRDefault="00236A82" w:rsidP="00310D03">
      <w:pPr>
        <w:pStyle w:val="ListNumber"/>
        <w:numPr>
          <w:ilvl w:val="0"/>
          <w:numId w:val="15"/>
        </w:numPr>
        <w:tabs>
          <w:tab w:val="num" w:pos="993"/>
          <w:tab w:val="left" w:pos="1418"/>
        </w:tabs>
        <w:ind w:left="709" w:hanging="567"/>
        <w:rPr>
          <w:rFonts w:cs="Open Sans"/>
        </w:rPr>
      </w:pPr>
      <w:r w:rsidRPr="00BF2102">
        <w:rPr>
          <w:rFonts w:cs="Open Sans"/>
        </w:rPr>
        <w:t xml:space="preserve">The power may only be exercised </w:t>
      </w:r>
      <w:r w:rsidR="00B2370A" w:rsidRPr="00BF2102">
        <w:rPr>
          <w:rFonts w:cs="Open Sans"/>
        </w:rPr>
        <w:t xml:space="preserve">by </w:t>
      </w:r>
      <w:r w:rsidRPr="00BF2102">
        <w:rPr>
          <w:rFonts w:cs="Open Sans"/>
        </w:rPr>
        <w:t>the Minister personally pursuant to s</w:t>
      </w:r>
      <w:r w:rsidR="00B2370A" w:rsidRPr="00BF2102">
        <w:rPr>
          <w:rFonts w:cs="Open Sans"/>
        </w:rPr>
        <w:t> </w:t>
      </w:r>
      <w:r w:rsidRPr="00BF2102">
        <w:rPr>
          <w:rFonts w:cs="Open Sans"/>
        </w:rPr>
        <w:t>33</w:t>
      </w:r>
      <w:proofErr w:type="gramStart"/>
      <w:r w:rsidRPr="00BF2102">
        <w:rPr>
          <w:rFonts w:cs="Open Sans"/>
        </w:rPr>
        <w:t>AA(</w:t>
      </w:r>
      <w:proofErr w:type="gramEnd"/>
      <w:r w:rsidRPr="00BF2102">
        <w:rPr>
          <w:rFonts w:cs="Open Sans"/>
        </w:rPr>
        <w:t>20).</w:t>
      </w:r>
      <w:r w:rsidR="00F77EE4" w:rsidRPr="00BF2102">
        <w:rPr>
          <w:rFonts w:cs="Open Sans"/>
        </w:rPr>
        <w:t xml:space="preserve"> </w:t>
      </w:r>
      <w:r w:rsidR="00973D11" w:rsidRPr="00BF2102">
        <w:rPr>
          <w:rFonts w:cs="Open Sans"/>
        </w:rPr>
        <w:t>Under s 33</w:t>
      </w:r>
      <w:proofErr w:type="gramStart"/>
      <w:r w:rsidR="00973D11" w:rsidRPr="00BF2102">
        <w:rPr>
          <w:rFonts w:cs="Open Sans"/>
        </w:rPr>
        <w:t>AA(</w:t>
      </w:r>
      <w:proofErr w:type="gramEnd"/>
      <w:r w:rsidR="00973D11" w:rsidRPr="00BF2102">
        <w:rPr>
          <w:rFonts w:cs="Open Sans"/>
        </w:rPr>
        <w:t>22), t</w:t>
      </w:r>
      <w:r w:rsidR="00F77EE4" w:rsidRPr="00BF2102">
        <w:rPr>
          <w:rFonts w:cs="Open Sans"/>
        </w:rPr>
        <w:t xml:space="preserve">he rules of natural justice </w:t>
      </w:r>
      <w:r w:rsidR="001B52D5" w:rsidRPr="00BF2102">
        <w:rPr>
          <w:rFonts w:cs="Open Sans"/>
        </w:rPr>
        <w:t xml:space="preserve">currently only </w:t>
      </w:r>
      <w:r w:rsidR="0002273D" w:rsidRPr="00BF2102">
        <w:rPr>
          <w:rFonts w:cs="Open Sans"/>
        </w:rPr>
        <w:t>apply once the Minister has decided to consider exercising the power to exempt a person from the operation of the section</w:t>
      </w:r>
      <w:r w:rsidR="00F762CE" w:rsidRPr="00BF2102">
        <w:rPr>
          <w:rFonts w:cs="Open Sans"/>
        </w:rPr>
        <w:t xml:space="preserve">. This means that, </w:t>
      </w:r>
      <w:r w:rsidR="00DD2B00" w:rsidRPr="00BF2102">
        <w:rPr>
          <w:rFonts w:cs="Open Sans"/>
        </w:rPr>
        <w:t>if</w:t>
      </w:r>
      <w:r w:rsidR="00F762CE" w:rsidRPr="00BF2102">
        <w:rPr>
          <w:rFonts w:cs="Open Sans"/>
        </w:rPr>
        <w:t xml:space="preserve"> this stage is reached, the Minister is required to provide the person with an opportunity to be heard. However, the rules of natural justice</w:t>
      </w:r>
      <w:r w:rsidR="0002273D" w:rsidRPr="00BF2102">
        <w:rPr>
          <w:rFonts w:cs="Open Sans"/>
        </w:rPr>
        <w:t xml:space="preserve"> </w:t>
      </w:r>
      <w:r w:rsidR="00F77EE4" w:rsidRPr="00BF2102">
        <w:rPr>
          <w:rFonts w:cs="Open Sans"/>
        </w:rPr>
        <w:t xml:space="preserve">do not </w:t>
      </w:r>
      <w:r w:rsidR="0002273D" w:rsidRPr="00BF2102">
        <w:rPr>
          <w:rFonts w:cs="Open Sans"/>
        </w:rPr>
        <w:t xml:space="preserve">otherwise </w:t>
      </w:r>
      <w:r w:rsidR="00F77EE4" w:rsidRPr="00BF2102">
        <w:rPr>
          <w:rFonts w:cs="Open Sans"/>
        </w:rPr>
        <w:t>apply to the Minister</w:t>
      </w:r>
      <w:r w:rsidR="000275C1" w:rsidRPr="00BF2102">
        <w:rPr>
          <w:rFonts w:cs="Open Sans"/>
        </w:rPr>
        <w:t>—</w:t>
      </w:r>
      <w:r w:rsidR="0002273D" w:rsidRPr="00BF2102">
        <w:rPr>
          <w:rFonts w:cs="Open Sans"/>
        </w:rPr>
        <w:t>for example</w:t>
      </w:r>
      <w:r w:rsidR="000275C1" w:rsidRPr="00BF2102">
        <w:rPr>
          <w:rFonts w:cs="Open Sans"/>
        </w:rPr>
        <w:t>,</w:t>
      </w:r>
      <w:r w:rsidR="00F77EE4" w:rsidRPr="00BF2102">
        <w:rPr>
          <w:rFonts w:cs="Open Sans"/>
        </w:rPr>
        <w:t xml:space="preserve"> when deciding whether or not to exercise the power. There is also no need to provide notice and/or reasons</w:t>
      </w:r>
      <w:r w:rsidR="008D7F06" w:rsidRPr="00BF2102">
        <w:rPr>
          <w:rFonts w:cs="Open Sans"/>
        </w:rPr>
        <w:t xml:space="preserve"> when deciding whether to exercise the power</w:t>
      </w:r>
      <w:r w:rsidR="00F77EE4" w:rsidRPr="00BF2102">
        <w:rPr>
          <w:rFonts w:cs="Open Sans"/>
        </w:rPr>
        <w:t>.</w:t>
      </w:r>
    </w:p>
    <w:p w14:paraId="7A9FBF6C" w14:textId="709B5B7F" w:rsidR="00CC1B0B" w:rsidRPr="00BF2102" w:rsidRDefault="00F762CE" w:rsidP="00310D03">
      <w:pPr>
        <w:pStyle w:val="ListNumber"/>
        <w:numPr>
          <w:ilvl w:val="0"/>
          <w:numId w:val="15"/>
        </w:numPr>
        <w:tabs>
          <w:tab w:val="num" w:pos="993"/>
          <w:tab w:val="left" w:pos="1418"/>
        </w:tabs>
        <w:ind w:left="709" w:hanging="567"/>
        <w:rPr>
          <w:rFonts w:cs="Open Sans"/>
        </w:rPr>
      </w:pPr>
      <w:r w:rsidRPr="00BF2102">
        <w:rPr>
          <w:rFonts w:cs="Open Sans"/>
        </w:rPr>
        <w:t>I</w:t>
      </w:r>
      <w:r w:rsidR="000F0981" w:rsidRPr="00BF2102">
        <w:rPr>
          <w:rFonts w:cs="Open Sans"/>
        </w:rPr>
        <w:t>f the Minister</w:t>
      </w:r>
      <w:r w:rsidR="00F72D0F" w:rsidRPr="00BF2102">
        <w:rPr>
          <w:rFonts w:cs="Open Sans"/>
        </w:rPr>
        <w:t xml:space="preserve"> does</w:t>
      </w:r>
      <w:r w:rsidR="000F0981" w:rsidRPr="00BF2102">
        <w:rPr>
          <w:rFonts w:cs="Open Sans"/>
        </w:rPr>
        <w:t xml:space="preserve"> </w:t>
      </w:r>
      <w:r w:rsidR="009C0DF2" w:rsidRPr="00BF2102">
        <w:rPr>
          <w:rFonts w:cs="Open Sans"/>
        </w:rPr>
        <w:t>personally</w:t>
      </w:r>
      <w:r w:rsidR="000F0981" w:rsidRPr="00BF2102">
        <w:rPr>
          <w:rFonts w:cs="Open Sans"/>
        </w:rPr>
        <w:t xml:space="preserve"> decide to consider exercising the </w:t>
      </w:r>
      <w:r w:rsidR="001B52D5" w:rsidRPr="00BF2102">
        <w:rPr>
          <w:rFonts w:cs="Open Sans"/>
        </w:rPr>
        <w:t xml:space="preserve">exemption </w:t>
      </w:r>
      <w:r w:rsidR="000F0981" w:rsidRPr="00BF2102">
        <w:rPr>
          <w:rFonts w:cs="Open Sans"/>
        </w:rPr>
        <w:t xml:space="preserve">power, they must </w:t>
      </w:r>
      <w:r w:rsidR="00087619" w:rsidRPr="00BF2102">
        <w:rPr>
          <w:rFonts w:cs="Open Sans"/>
        </w:rPr>
        <w:t>have regard to the following prescribed factors</w:t>
      </w:r>
      <w:r w:rsidR="00F72D0F" w:rsidRPr="00BF2102">
        <w:rPr>
          <w:rFonts w:cs="Open Sans"/>
        </w:rPr>
        <w:t xml:space="preserve"> pursuant to s 33</w:t>
      </w:r>
      <w:proofErr w:type="gramStart"/>
      <w:r w:rsidR="00F72D0F" w:rsidRPr="00BF2102">
        <w:rPr>
          <w:rFonts w:cs="Open Sans"/>
        </w:rPr>
        <w:t>AA(</w:t>
      </w:r>
      <w:proofErr w:type="gramEnd"/>
      <w:r w:rsidR="00F72D0F" w:rsidRPr="00BF2102">
        <w:rPr>
          <w:rFonts w:cs="Open Sans"/>
        </w:rPr>
        <w:t>17)</w:t>
      </w:r>
      <w:r w:rsidR="00087619" w:rsidRPr="00BF2102">
        <w:rPr>
          <w:rFonts w:cs="Open Sans"/>
        </w:rPr>
        <w:t>:</w:t>
      </w:r>
    </w:p>
    <w:p w14:paraId="5D7F8C24" w14:textId="77777777" w:rsidR="00CC1B0B" w:rsidRPr="00BF2102" w:rsidRDefault="00CC1B0B" w:rsidP="00310D03">
      <w:pPr>
        <w:pStyle w:val="ListParagraph"/>
        <w:numPr>
          <w:ilvl w:val="0"/>
          <w:numId w:val="26"/>
        </w:numPr>
        <w:spacing w:before="120" w:after="120"/>
        <w:rPr>
          <w:rFonts w:cs="Open Sans"/>
        </w:rPr>
      </w:pPr>
      <w:r w:rsidRPr="00BF2102">
        <w:rPr>
          <w:rFonts w:cs="Open Sans"/>
        </w:rPr>
        <w:t>the severity of the matters that were the basis for any notice</w:t>
      </w:r>
    </w:p>
    <w:p w14:paraId="01302F4D" w14:textId="77777777" w:rsidR="00CC1B0B" w:rsidRPr="00BF2102" w:rsidRDefault="00CC1B0B" w:rsidP="00310D03">
      <w:pPr>
        <w:pStyle w:val="ListParagraph"/>
        <w:numPr>
          <w:ilvl w:val="0"/>
          <w:numId w:val="26"/>
        </w:numPr>
        <w:spacing w:before="120" w:after="120"/>
        <w:rPr>
          <w:rFonts w:cs="Open Sans"/>
        </w:rPr>
      </w:pPr>
      <w:r w:rsidRPr="00BF2102">
        <w:rPr>
          <w:rFonts w:cs="Open Sans"/>
        </w:rPr>
        <w:t>the degree of threat posed by the person to the Australian community</w:t>
      </w:r>
    </w:p>
    <w:p w14:paraId="309357DE" w14:textId="77777777" w:rsidR="00CC1B0B" w:rsidRPr="00BF2102" w:rsidRDefault="00CC1B0B" w:rsidP="00310D03">
      <w:pPr>
        <w:pStyle w:val="ListParagraph"/>
        <w:numPr>
          <w:ilvl w:val="0"/>
          <w:numId w:val="26"/>
        </w:numPr>
        <w:spacing w:before="120" w:after="120"/>
        <w:rPr>
          <w:rFonts w:cs="Open Sans"/>
        </w:rPr>
      </w:pPr>
      <w:r w:rsidRPr="00BF2102">
        <w:rPr>
          <w:rFonts w:cs="Open Sans"/>
        </w:rPr>
        <w:t>the age of the person</w:t>
      </w:r>
    </w:p>
    <w:p w14:paraId="1F9EB0A6" w14:textId="77777777" w:rsidR="00CC1B0B" w:rsidRPr="00BF2102" w:rsidRDefault="00CC1B0B" w:rsidP="00310D03">
      <w:pPr>
        <w:pStyle w:val="ListParagraph"/>
        <w:numPr>
          <w:ilvl w:val="0"/>
          <w:numId w:val="26"/>
        </w:numPr>
        <w:spacing w:before="120" w:after="120"/>
        <w:rPr>
          <w:rFonts w:cs="Open Sans"/>
        </w:rPr>
      </w:pPr>
      <w:r w:rsidRPr="00BF2102">
        <w:rPr>
          <w:rFonts w:cs="Open Sans"/>
        </w:rPr>
        <w:t>if the person is aged under 18—the best interests of the child as a primary consideration</w:t>
      </w:r>
    </w:p>
    <w:p w14:paraId="25EB9CD9" w14:textId="77777777" w:rsidR="00CC1B0B" w:rsidRPr="00BF2102" w:rsidRDefault="00CC1B0B" w:rsidP="00310D03">
      <w:pPr>
        <w:pStyle w:val="ListParagraph"/>
        <w:numPr>
          <w:ilvl w:val="0"/>
          <w:numId w:val="26"/>
        </w:numPr>
        <w:spacing w:before="120" w:after="120"/>
        <w:rPr>
          <w:rFonts w:cs="Open Sans"/>
        </w:rPr>
      </w:pPr>
      <w:r w:rsidRPr="00BF2102">
        <w:rPr>
          <w:rFonts w:cs="Open Sans"/>
        </w:rPr>
        <w:lastRenderedPageBreak/>
        <w:t xml:space="preserve">whether the person is being or is likely to be prosecuted in relation to the relevant matters </w:t>
      </w:r>
    </w:p>
    <w:p w14:paraId="5AECE611" w14:textId="131218FE" w:rsidR="00CC1B0B" w:rsidRPr="00BF2102" w:rsidRDefault="00CC1B0B" w:rsidP="00310D03">
      <w:pPr>
        <w:pStyle w:val="ListParagraph"/>
        <w:numPr>
          <w:ilvl w:val="0"/>
          <w:numId w:val="26"/>
        </w:numPr>
        <w:spacing w:before="120" w:after="120"/>
        <w:rPr>
          <w:rFonts w:cs="Open Sans"/>
        </w:rPr>
      </w:pPr>
      <w:r w:rsidRPr="00BF2102">
        <w:rPr>
          <w:rFonts w:cs="Open Sans"/>
        </w:rPr>
        <w:t>the person</w:t>
      </w:r>
      <w:r w:rsidR="00144DAE" w:rsidRPr="00BF2102">
        <w:rPr>
          <w:rFonts w:cs="Open Sans"/>
        </w:rPr>
        <w:t>’</w:t>
      </w:r>
      <w:r w:rsidRPr="00BF2102">
        <w:rPr>
          <w:rFonts w:cs="Open Sans"/>
        </w:rPr>
        <w:t>s connection to the other country of which the person is a national or citizen and the availability of the rights of citizenship of that country to the person</w:t>
      </w:r>
    </w:p>
    <w:p w14:paraId="4D430955" w14:textId="38557382" w:rsidR="00F255B5" w:rsidRPr="00BF2102" w:rsidRDefault="00CC1B0B" w:rsidP="00310D03">
      <w:pPr>
        <w:pStyle w:val="ListParagraph"/>
        <w:numPr>
          <w:ilvl w:val="0"/>
          <w:numId w:val="26"/>
        </w:numPr>
        <w:spacing w:before="120" w:after="120"/>
        <w:rPr>
          <w:rFonts w:cs="Open Sans"/>
        </w:rPr>
      </w:pPr>
      <w:r w:rsidRPr="00BF2102">
        <w:rPr>
          <w:rFonts w:cs="Open Sans"/>
        </w:rPr>
        <w:t>Australia</w:t>
      </w:r>
      <w:r w:rsidR="00144DAE" w:rsidRPr="00BF2102">
        <w:rPr>
          <w:rFonts w:cs="Open Sans"/>
        </w:rPr>
        <w:t>’</w:t>
      </w:r>
      <w:r w:rsidRPr="00BF2102">
        <w:rPr>
          <w:rFonts w:cs="Open Sans"/>
        </w:rPr>
        <w:t>s international relations</w:t>
      </w:r>
    </w:p>
    <w:p w14:paraId="1FC9DA4C" w14:textId="77777777" w:rsidR="00087619" w:rsidRPr="00BF2102" w:rsidRDefault="00CC1B0B" w:rsidP="00BC44CA">
      <w:pPr>
        <w:pStyle w:val="ListParagraph"/>
        <w:numPr>
          <w:ilvl w:val="0"/>
          <w:numId w:val="26"/>
        </w:numPr>
        <w:spacing w:before="120"/>
        <w:ind w:left="1434" w:hanging="357"/>
        <w:rPr>
          <w:rFonts w:cs="Open Sans"/>
        </w:rPr>
      </w:pPr>
      <w:r w:rsidRPr="00BF2102">
        <w:rPr>
          <w:rFonts w:cs="Open Sans"/>
        </w:rPr>
        <w:t>any other matters of public interest.</w:t>
      </w:r>
    </w:p>
    <w:p w14:paraId="1DC855FA" w14:textId="08A13499" w:rsidR="00F255B5" w:rsidRPr="00BF2102" w:rsidRDefault="009C0DF2" w:rsidP="00310D03">
      <w:pPr>
        <w:pStyle w:val="ListNumber"/>
        <w:numPr>
          <w:ilvl w:val="0"/>
          <w:numId w:val="15"/>
        </w:numPr>
        <w:tabs>
          <w:tab w:val="num" w:pos="993"/>
          <w:tab w:val="left" w:pos="1418"/>
        </w:tabs>
        <w:ind w:left="709" w:hanging="567"/>
        <w:rPr>
          <w:rFonts w:cs="Open Sans"/>
        </w:rPr>
      </w:pPr>
      <w:r w:rsidRPr="00BF2102">
        <w:rPr>
          <w:rFonts w:cs="Open Sans"/>
        </w:rPr>
        <w:t xml:space="preserve">Under </w:t>
      </w:r>
      <w:r w:rsidR="008D7F06" w:rsidRPr="00BF2102">
        <w:rPr>
          <w:rFonts w:cs="Open Sans"/>
        </w:rPr>
        <w:t>s</w:t>
      </w:r>
      <w:r w:rsidRPr="00BF2102">
        <w:rPr>
          <w:rFonts w:cs="Open Sans"/>
        </w:rPr>
        <w:t>s 33</w:t>
      </w:r>
      <w:proofErr w:type="gramStart"/>
      <w:r w:rsidRPr="00BF2102">
        <w:rPr>
          <w:rFonts w:cs="Open Sans"/>
        </w:rPr>
        <w:t>AA(</w:t>
      </w:r>
      <w:proofErr w:type="gramEnd"/>
      <w:r w:rsidRPr="00BF2102">
        <w:rPr>
          <w:rFonts w:cs="Open Sans"/>
        </w:rPr>
        <w:t>21)</w:t>
      </w:r>
      <w:r w:rsidR="004C0B84" w:rsidRPr="00BF2102">
        <w:rPr>
          <w:rFonts w:cs="Open Sans"/>
        </w:rPr>
        <w:t xml:space="preserve"> and 47</w:t>
      </w:r>
      <w:r w:rsidRPr="00BF2102">
        <w:rPr>
          <w:rFonts w:cs="Open Sans"/>
        </w:rPr>
        <w:t xml:space="preserve">, if the Minister </w:t>
      </w:r>
      <w:r w:rsidR="003548F2" w:rsidRPr="00BF2102">
        <w:rPr>
          <w:rFonts w:cs="Open Sans"/>
        </w:rPr>
        <w:t xml:space="preserve">embarks on a consideration of whether </w:t>
      </w:r>
      <w:r w:rsidRPr="00BF2102">
        <w:rPr>
          <w:rFonts w:cs="Open Sans"/>
        </w:rPr>
        <w:t xml:space="preserve">to </w:t>
      </w:r>
      <w:r w:rsidR="00482220" w:rsidRPr="00BF2102">
        <w:rPr>
          <w:rFonts w:cs="Open Sans"/>
        </w:rPr>
        <w:t>exempt</w:t>
      </w:r>
      <w:r w:rsidR="004C0B84" w:rsidRPr="00BF2102">
        <w:rPr>
          <w:rFonts w:cs="Open Sans"/>
        </w:rPr>
        <w:t xml:space="preserve"> </w:t>
      </w:r>
      <w:r w:rsidR="00482220" w:rsidRPr="00BF2102">
        <w:rPr>
          <w:rFonts w:cs="Open Sans"/>
        </w:rPr>
        <w:t xml:space="preserve">the operation of the </w:t>
      </w:r>
      <w:r w:rsidR="004C0B84" w:rsidRPr="00BF2102">
        <w:rPr>
          <w:rFonts w:cs="Open Sans"/>
        </w:rPr>
        <w:t xml:space="preserve">citizenship </w:t>
      </w:r>
      <w:r w:rsidR="00482220" w:rsidRPr="00BF2102">
        <w:rPr>
          <w:rFonts w:cs="Open Sans"/>
        </w:rPr>
        <w:t xml:space="preserve">loss provisions, </w:t>
      </w:r>
      <w:r w:rsidR="003548F2" w:rsidRPr="00BF2102">
        <w:rPr>
          <w:rFonts w:cs="Open Sans"/>
        </w:rPr>
        <w:t>but ultimately decides not to make a determination</w:t>
      </w:r>
      <w:r w:rsidR="004C0B84" w:rsidRPr="00BF2102">
        <w:rPr>
          <w:rFonts w:cs="Open Sans"/>
        </w:rPr>
        <w:t xml:space="preserve">, they must give a person notice of the adverse decision and provide reasons. </w:t>
      </w:r>
      <w:r w:rsidR="00F762CE" w:rsidRPr="00BF2102">
        <w:rPr>
          <w:rFonts w:cs="Open Sans"/>
        </w:rPr>
        <w:t>However, if the Minister decides not to consider exercising this power, there is no requirement for a notice or reasons to be given.</w:t>
      </w:r>
    </w:p>
    <w:p w14:paraId="29970C6C" w14:textId="0C1FBF02" w:rsidR="00F255B5" w:rsidRPr="00BF2102" w:rsidRDefault="002726A5" w:rsidP="00310D03">
      <w:pPr>
        <w:pStyle w:val="ListNumber"/>
        <w:numPr>
          <w:ilvl w:val="0"/>
          <w:numId w:val="15"/>
        </w:numPr>
        <w:tabs>
          <w:tab w:val="num" w:pos="993"/>
          <w:tab w:val="left" w:pos="1418"/>
        </w:tabs>
        <w:ind w:left="709" w:hanging="567"/>
        <w:rPr>
          <w:rFonts w:cs="Open Sans"/>
        </w:rPr>
      </w:pPr>
      <w:r w:rsidRPr="00BF2102">
        <w:rPr>
          <w:rFonts w:cs="Open Sans"/>
        </w:rPr>
        <w:t>Subsection 33</w:t>
      </w:r>
      <w:proofErr w:type="gramStart"/>
      <w:r w:rsidRPr="00BF2102">
        <w:rPr>
          <w:rFonts w:cs="Open Sans"/>
        </w:rPr>
        <w:t>A</w:t>
      </w:r>
      <w:r w:rsidR="003548F2" w:rsidRPr="00BF2102">
        <w:rPr>
          <w:rFonts w:cs="Open Sans"/>
        </w:rPr>
        <w:t>A</w:t>
      </w:r>
      <w:r w:rsidRPr="00BF2102">
        <w:rPr>
          <w:rFonts w:cs="Open Sans"/>
        </w:rPr>
        <w:t>(</w:t>
      </w:r>
      <w:proofErr w:type="gramEnd"/>
      <w:r w:rsidRPr="00BF2102">
        <w:rPr>
          <w:rFonts w:cs="Open Sans"/>
        </w:rPr>
        <w:t xml:space="preserve">24) </w:t>
      </w:r>
      <w:r w:rsidR="009567F7" w:rsidRPr="00BF2102">
        <w:rPr>
          <w:rFonts w:cs="Open Sans"/>
        </w:rPr>
        <w:t xml:space="preserve">clarifies that a person’s citizenship is taken never to have ceased </w:t>
      </w:r>
      <w:r w:rsidR="00E61862" w:rsidRPr="00BF2102">
        <w:rPr>
          <w:rFonts w:cs="Open Sans"/>
        </w:rPr>
        <w:t xml:space="preserve">in certain circumstances, including </w:t>
      </w:r>
      <w:r w:rsidR="009567F7" w:rsidRPr="00BF2102">
        <w:rPr>
          <w:rFonts w:cs="Open Sans"/>
        </w:rPr>
        <w:t>if</w:t>
      </w:r>
      <w:r w:rsidR="00BC4180" w:rsidRPr="00BF2102">
        <w:rPr>
          <w:rFonts w:cs="Open Sans"/>
        </w:rPr>
        <w:t xml:space="preserve"> a Minister makes a</w:t>
      </w:r>
      <w:r w:rsidR="001B52D5" w:rsidRPr="00BF2102">
        <w:rPr>
          <w:rFonts w:cs="Open Sans"/>
        </w:rPr>
        <w:t>n</w:t>
      </w:r>
      <w:r w:rsidR="00BC4180" w:rsidRPr="00BF2102">
        <w:rPr>
          <w:rFonts w:cs="Open Sans"/>
        </w:rPr>
        <w:t xml:space="preserve"> </w:t>
      </w:r>
      <w:r w:rsidR="001B52D5" w:rsidRPr="00BF2102">
        <w:rPr>
          <w:rFonts w:cs="Open Sans"/>
        </w:rPr>
        <w:t xml:space="preserve">exemption </w:t>
      </w:r>
      <w:r w:rsidR="00BC4180" w:rsidRPr="00BF2102">
        <w:rPr>
          <w:rFonts w:cs="Open Sans"/>
        </w:rPr>
        <w:t xml:space="preserve">determination under s 33AA(14). Other scenarios include where a person brings a successful court challenge and the court finds that the person did not engage in the relevant conduct or did not have the requisite intention, or that the person was not a national or citizen of a country other than Australia at the time of the conduct. </w:t>
      </w:r>
    </w:p>
    <w:p w14:paraId="1EFF1161" w14:textId="33806B84" w:rsidR="008A370F" w:rsidRPr="00BF2102" w:rsidRDefault="008A370F" w:rsidP="00310D03">
      <w:pPr>
        <w:pStyle w:val="ListNumber"/>
        <w:numPr>
          <w:ilvl w:val="0"/>
          <w:numId w:val="15"/>
        </w:numPr>
        <w:tabs>
          <w:tab w:val="num" w:pos="993"/>
          <w:tab w:val="left" w:pos="1418"/>
        </w:tabs>
        <w:ind w:left="709" w:hanging="567"/>
        <w:rPr>
          <w:rFonts w:cs="Open Sans"/>
        </w:rPr>
      </w:pPr>
      <w:bookmarkStart w:id="55" w:name="_Ref10993064"/>
      <w:r w:rsidRPr="00BF2102">
        <w:rPr>
          <w:rFonts w:cs="Open Sans"/>
        </w:rPr>
        <w:t>For reasons set out in more detail below, the Commission’s primary position is that citizenship loss should not be automatic and s 33AA should be repealed. Rather, a positive decision based on a person’s conviction should be required to effect citizenship loss, with appropriately robust procedural safeguards.</w:t>
      </w:r>
    </w:p>
    <w:p w14:paraId="5458A111" w14:textId="1AADA448" w:rsidR="008A370F" w:rsidRPr="00BF2102" w:rsidRDefault="008A370F" w:rsidP="00310D03">
      <w:pPr>
        <w:pStyle w:val="ListNumber"/>
        <w:numPr>
          <w:ilvl w:val="0"/>
          <w:numId w:val="15"/>
        </w:numPr>
        <w:tabs>
          <w:tab w:val="num" w:pos="993"/>
          <w:tab w:val="left" w:pos="1418"/>
        </w:tabs>
        <w:ind w:left="709" w:hanging="567"/>
        <w:rPr>
          <w:rFonts w:cs="Open Sans"/>
        </w:rPr>
      </w:pPr>
      <w:r w:rsidRPr="00BF2102">
        <w:rPr>
          <w:rFonts w:cs="Open Sans"/>
        </w:rPr>
        <w:t xml:space="preserve">However, if this recommendation is not accepted, in order to </w:t>
      </w:r>
      <w:r w:rsidR="000275C1" w:rsidRPr="00BF2102">
        <w:rPr>
          <w:rFonts w:cs="Open Sans"/>
        </w:rPr>
        <w:t xml:space="preserve">fulfil </w:t>
      </w:r>
      <w:r w:rsidRPr="00BF2102">
        <w:rPr>
          <w:rFonts w:cs="Open Sans"/>
        </w:rPr>
        <w:t xml:space="preserve">the Government’s </w:t>
      </w:r>
      <w:r w:rsidR="000275C1" w:rsidRPr="00BF2102">
        <w:rPr>
          <w:rFonts w:cs="Open Sans"/>
        </w:rPr>
        <w:t xml:space="preserve">stated </w:t>
      </w:r>
      <w:r w:rsidRPr="00BF2102">
        <w:rPr>
          <w:rFonts w:cs="Open Sans"/>
        </w:rPr>
        <w:t>intention with respect to the legislation, and in order to implement the recommendations of the Committee, both of which were aimed at providing appropriate safeguards around what would otherwise be the automatic loss of citizenship, the legislation should be amended to ensure that the Minister has a duty to consider exempting a person from the effect of the conduct-based citizenship loss provision</w:t>
      </w:r>
      <w:r w:rsidR="001B4B95" w:rsidRPr="00BF2102">
        <w:rPr>
          <w:rFonts w:cs="Open Sans"/>
        </w:rPr>
        <w:t>s</w:t>
      </w:r>
      <w:r w:rsidRPr="00BF2102">
        <w:rPr>
          <w:rFonts w:cs="Open Sans"/>
        </w:rPr>
        <w:t>.</w:t>
      </w:r>
      <w:bookmarkEnd w:id="55"/>
    </w:p>
    <w:p w14:paraId="6097BBE7" w14:textId="56DF16AA" w:rsidR="00BA2244" w:rsidRPr="00BF2102" w:rsidRDefault="00BA2244" w:rsidP="002E5725">
      <w:pPr>
        <w:pStyle w:val="Heading3"/>
        <w:rPr>
          <w:rFonts w:cs="Open Sans"/>
          <w:i/>
          <w:iCs/>
        </w:rPr>
      </w:pPr>
      <w:bookmarkStart w:id="56" w:name="_Toc11407960"/>
      <w:r w:rsidRPr="00BF2102">
        <w:rPr>
          <w:rFonts w:cs="Open Sans"/>
          <w:i/>
          <w:iCs/>
        </w:rPr>
        <w:t>Service in foreign armed forces or declared terrorist organisation (s 35)</w:t>
      </w:r>
      <w:bookmarkEnd w:id="56"/>
    </w:p>
    <w:p w14:paraId="38108720" w14:textId="3678098E" w:rsidR="00243FEC" w:rsidRPr="00BF2102" w:rsidRDefault="006F1C4B" w:rsidP="00310D03">
      <w:pPr>
        <w:pStyle w:val="ListNumber"/>
        <w:numPr>
          <w:ilvl w:val="0"/>
          <w:numId w:val="15"/>
        </w:numPr>
        <w:tabs>
          <w:tab w:val="num" w:pos="993"/>
          <w:tab w:val="left" w:pos="1418"/>
        </w:tabs>
        <w:ind w:left="709" w:hanging="567"/>
        <w:rPr>
          <w:rFonts w:cs="Open Sans"/>
        </w:rPr>
      </w:pPr>
      <w:r w:rsidRPr="00BF2102">
        <w:rPr>
          <w:rFonts w:cs="Open Sans"/>
        </w:rPr>
        <w:t xml:space="preserve">A further type of </w:t>
      </w:r>
      <w:r w:rsidR="00380387" w:rsidRPr="00BF2102">
        <w:rPr>
          <w:rFonts w:cs="Open Sans"/>
        </w:rPr>
        <w:t xml:space="preserve">automatic </w:t>
      </w:r>
      <w:r w:rsidRPr="00BF2102">
        <w:rPr>
          <w:rFonts w:cs="Open Sans"/>
        </w:rPr>
        <w:t xml:space="preserve">conduct-based citizenship loss can occur pursuant to s 35, </w:t>
      </w:r>
      <w:r w:rsidR="00243FEC" w:rsidRPr="00BF2102">
        <w:rPr>
          <w:rFonts w:cs="Open Sans"/>
        </w:rPr>
        <w:t xml:space="preserve">if, while outside of Australia, </w:t>
      </w:r>
      <w:r w:rsidR="00A21A7B" w:rsidRPr="00BF2102">
        <w:rPr>
          <w:rFonts w:cs="Open Sans"/>
        </w:rPr>
        <w:t xml:space="preserve">any dual citizen aged 14 </w:t>
      </w:r>
      <w:r w:rsidR="00D02ED8" w:rsidRPr="00BF2102">
        <w:rPr>
          <w:rFonts w:cs="Open Sans"/>
        </w:rPr>
        <w:t xml:space="preserve">years old </w:t>
      </w:r>
      <w:r w:rsidR="00A21A7B" w:rsidRPr="00BF2102">
        <w:rPr>
          <w:rFonts w:cs="Open Sans"/>
        </w:rPr>
        <w:t xml:space="preserve">or </w:t>
      </w:r>
      <w:r w:rsidR="00D02ED8" w:rsidRPr="00BF2102">
        <w:rPr>
          <w:rFonts w:cs="Open Sans"/>
        </w:rPr>
        <w:t>above</w:t>
      </w:r>
      <w:r w:rsidRPr="00BF2102">
        <w:rPr>
          <w:rFonts w:cs="Open Sans"/>
        </w:rPr>
        <w:t>:</w:t>
      </w:r>
    </w:p>
    <w:p w14:paraId="6D1CBA47" w14:textId="77777777" w:rsidR="00243FEC" w:rsidRPr="00BF2102" w:rsidRDefault="00243FEC" w:rsidP="00310D03">
      <w:pPr>
        <w:pStyle w:val="ListParagraph"/>
        <w:numPr>
          <w:ilvl w:val="0"/>
          <w:numId w:val="27"/>
        </w:numPr>
        <w:spacing w:before="120" w:after="120"/>
        <w:rPr>
          <w:rFonts w:cs="Open Sans"/>
        </w:rPr>
      </w:pPr>
      <w:r w:rsidRPr="00BF2102">
        <w:rPr>
          <w:rFonts w:cs="Open Sans"/>
        </w:rPr>
        <w:lastRenderedPageBreak/>
        <w:t>serves in the armed forces of a country at war with Australia</w:t>
      </w:r>
    </w:p>
    <w:p w14:paraId="022325F7" w14:textId="77777777" w:rsidR="00243FEC" w:rsidRPr="00BF2102" w:rsidRDefault="00243FEC" w:rsidP="00D02ED8">
      <w:pPr>
        <w:pStyle w:val="ListParagraph"/>
        <w:numPr>
          <w:ilvl w:val="0"/>
          <w:numId w:val="27"/>
        </w:numPr>
        <w:spacing w:before="120" w:after="120"/>
        <w:ind w:left="1434" w:hanging="357"/>
        <w:rPr>
          <w:rFonts w:cs="Open Sans"/>
        </w:rPr>
      </w:pPr>
      <w:r w:rsidRPr="00BF2102">
        <w:rPr>
          <w:rFonts w:cs="Open Sans"/>
        </w:rPr>
        <w:t>fights for, or is in the service of, a ‘declared terrorist organisation’</w:t>
      </w:r>
      <w:r w:rsidR="006F1C4B" w:rsidRPr="00BF2102">
        <w:rPr>
          <w:rFonts w:cs="Open Sans"/>
        </w:rPr>
        <w:t>.</w:t>
      </w:r>
      <w:r w:rsidRPr="00BF2102">
        <w:rPr>
          <w:rFonts w:cs="Open Sans"/>
        </w:rPr>
        <w:t xml:space="preserve"> </w:t>
      </w:r>
    </w:p>
    <w:p w14:paraId="19742510" w14:textId="77777777" w:rsidR="00CD6CA4" w:rsidRPr="00BF2102" w:rsidRDefault="00A21A7B" w:rsidP="00310D03">
      <w:pPr>
        <w:pStyle w:val="ListNumber"/>
        <w:numPr>
          <w:ilvl w:val="0"/>
          <w:numId w:val="15"/>
        </w:numPr>
        <w:tabs>
          <w:tab w:val="num" w:pos="993"/>
          <w:tab w:val="left" w:pos="1418"/>
        </w:tabs>
        <w:ind w:left="709" w:hanging="567"/>
        <w:rPr>
          <w:rFonts w:cs="Open Sans"/>
        </w:rPr>
      </w:pPr>
      <w:r w:rsidRPr="00BF2102">
        <w:rPr>
          <w:rFonts w:cs="Open Sans"/>
        </w:rPr>
        <w:t>This provision also operates automatically, with the person ceasing to be an Australian citizen at the time they commence to ‘so serve or fight’.</w:t>
      </w:r>
      <w:r w:rsidR="004B7559" w:rsidRPr="00BF2102">
        <w:rPr>
          <w:rStyle w:val="EndnoteReference"/>
          <w:rFonts w:cs="Open Sans"/>
        </w:rPr>
        <w:endnoteReference w:id="30"/>
      </w:r>
      <w:r w:rsidRPr="00BF2102">
        <w:rPr>
          <w:rFonts w:cs="Open Sans"/>
        </w:rPr>
        <w:t xml:space="preserve"> </w:t>
      </w:r>
    </w:p>
    <w:p w14:paraId="17BE905D" w14:textId="6CFCD176" w:rsidR="00BA2244" w:rsidRPr="00BF2102" w:rsidRDefault="00BA2244" w:rsidP="00310D03">
      <w:pPr>
        <w:pStyle w:val="ListNumber"/>
        <w:numPr>
          <w:ilvl w:val="0"/>
          <w:numId w:val="15"/>
        </w:numPr>
        <w:tabs>
          <w:tab w:val="num" w:pos="993"/>
          <w:tab w:val="left" w:pos="1418"/>
        </w:tabs>
        <w:ind w:left="709" w:hanging="567"/>
        <w:rPr>
          <w:rFonts w:cs="Open Sans"/>
        </w:rPr>
      </w:pPr>
      <w:r w:rsidRPr="00BF2102">
        <w:rPr>
          <w:rFonts w:cs="Open Sans"/>
        </w:rPr>
        <w:t>The Explanatory Memorandum to the Allegiance Bill described the purpose of s 35 as</w:t>
      </w:r>
      <w:r w:rsidR="00F14030" w:rsidRPr="00BF2102">
        <w:rPr>
          <w:rFonts w:cs="Open Sans"/>
        </w:rPr>
        <w:t xml:space="preserve"> </w:t>
      </w:r>
      <w:r w:rsidR="00C87C1D" w:rsidRPr="00BF2102">
        <w:rPr>
          <w:rFonts w:cs="Open Sans"/>
        </w:rPr>
        <w:t>to reduce threats to the Australian community</w:t>
      </w:r>
      <w:r w:rsidR="00350BD7" w:rsidRPr="00BF2102">
        <w:rPr>
          <w:rFonts w:cs="Open Sans"/>
        </w:rPr>
        <w:t>,</w:t>
      </w:r>
      <w:r w:rsidR="00C87C1D" w:rsidRPr="00BF2102">
        <w:rPr>
          <w:rFonts w:cs="Open Sans"/>
        </w:rPr>
        <w:t xml:space="preserve"> including through a deterrent effect</w:t>
      </w:r>
      <w:r w:rsidRPr="00BF2102">
        <w:rPr>
          <w:rFonts w:cs="Open Sans"/>
        </w:rPr>
        <w:t>:</w:t>
      </w:r>
    </w:p>
    <w:p w14:paraId="04B4F716" w14:textId="025732A7" w:rsidR="00BA2244" w:rsidRPr="00BF2102" w:rsidRDefault="00BA2244" w:rsidP="003A7CD5">
      <w:pPr>
        <w:ind w:left="1440"/>
        <w:rPr>
          <w:rFonts w:cs="Open Sans"/>
          <w:sz w:val="22"/>
          <w:szCs w:val="22"/>
        </w:rPr>
      </w:pPr>
      <w:r w:rsidRPr="00BF2102">
        <w:rPr>
          <w:rFonts w:cs="Open Sans"/>
          <w:sz w:val="22"/>
          <w:szCs w:val="22"/>
        </w:rPr>
        <w:t xml:space="preserve">The effect of this amendment is that in addition to the current provision which provides that a dual citizen ceases to be an Australian citizen if they serve in the armed forces of a country at war with Australia, a dual citizen’s Australian citizenship will now also cease if the person fights on behalf of, or is in the service of, a terrorist organisation outside Australia. </w:t>
      </w:r>
    </w:p>
    <w:p w14:paraId="2D77BC6B" w14:textId="170522A2" w:rsidR="00BA2244" w:rsidRPr="00BF2102" w:rsidRDefault="00BA2244" w:rsidP="003A7CD5">
      <w:pPr>
        <w:ind w:left="1440"/>
        <w:rPr>
          <w:rFonts w:cs="Open Sans"/>
          <w:sz w:val="22"/>
          <w:szCs w:val="22"/>
        </w:rPr>
      </w:pPr>
      <w:r w:rsidRPr="00BF2102">
        <w:rPr>
          <w:rFonts w:cs="Open Sans"/>
          <w:sz w:val="22"/>
          <w:szCs w:val="22"/>
        </w:rPr>
        <w:t>The purpose of this provision is to deal with the threat caused by those who have acted in a manner contrary to their allegiance to Australia by removing them from formal membership of the Australian community. Cessation of citizenship is a very serious outcome of very serious conduct that demonstrates a person has repudiated their allegiance to Australia. Citizenship is a privilege not a right. The cessation of a person’s formal membership of the Australian community is appropriate to reduce the possibility of a person engaging in acts or further acts that harm Australians or Australian interests. The cessation of a person’s Australian citizenship will also have a deterrent effect by putting radicalised persons on notice that their citizenship is in jeopardy if they engage in terrorist-related conduct contrary to their allegiance to Australia.</w:t>
      </w:r>
      <w:r w:rsidR="00F14030" w:rsidRPr="00BF2102">
        <w:rPr>
          <w:rStyle w:val="EndnoteReference"/>
          <w:rFonts w:cs="Open Sans"/>
          <w:szCs w:val="22"/>
        </w:rPr>
        <w:endnoteReference w:id="31"/>
      </w:r>
    </w:p>
    <w:p w14:paraId="65841BE7" w14:textId="77777777" w:rsidR="00453787" w:rsidRPr="00BF2102" w:rsidRDefault="00EE1C60" w:rsidP="00310D03">
      <w:pPr>
        <w:pStyle w:val="ListNumber"/>
        <w:numPr>
          <w:ilvl w:val="0"/>
          <w:numId w:val="15"/>
        </w:numPr>
        <w:tabs>
          <w:tab w:val="num" w:pos="993"/>
          <w:tab w:val="left" w:pos="1418"/>
        </w:tabs>
        <w:ind w:left="709" w:hanging="567"/>
        <w:rPr>
          <w:rFonts w:cs="Open Sans"/>
        </w:rPr>
      </w:pPr>
      <w:r w:rsidRPr="00BF2102">
        <w:rPr>
          <w:rFonts w:cs="Open Sans"/>
        </w:rPr>
        <w:t xml:space="preserve">Pursuant to s 35AA the Minister can by way of legislative instrument declare any terrorist organisation, within the meaning of s 102.1(1)(b) of </w:t>
      </w:r>
      <w:r w:rsidRPr="00BF2102">
        <w:rPr>
          <w:rFonts w:cs="Open Sans"/>
          <w:iCs/>
        </w:rPr>
        <w:t>Criminal Code</w:t>
      </w:r>
      <w:r w:rsidRPr="00BF2102">
        <w:rPr>
          <w:rFonts w:cs="Open Sans"/>
        </w:rPr>
        <w:t xml:space="preserve">, a ‘declared terrorist organisation’. </w:t>
      </w:r>
    </w:p>
    <w:p w14:paraId="182F4E41" w14:textId="3B0E69AF" w:rsidR="00EE1C60" w:rsidRPr="00BF2102" w:rsidRDefault="00DD6A64" w:rsidP="00310D03">
      <w:pPr>
        <w:pStyle w:val="ListNumber"/>
        <w:numPr>
          <w:ilvl w:val="0"/>
          <w:numId w:val="15"/>
        </w:numPr>
        <w:tabs>
          <w:tab w:val="num" w:pos="993"/>
          <w:tab w:val="left" w:pos="1418"/>
        </w:tabs>
        <w:ind w:left="709" w:hanging="567"/>
        <w:rPr>
          <w:rFonts w:cs="Open Sans"/>
        </w:rPr>
      </w:pPr>
      <w:r w:rsidRPr="00BF2102">
        <w:rPr>
          <w:rFonts w:cs="Open Sans"/>
        </w:rPr>
        <w:t>The Minister must be satisfied on reasonable grounds that</w:t>
      </w:r>
      <w:r w:rsidR="00453787" w:rsidRPr="00BF2102">
        <w:rPr>
          <w:rFonts w:cs="Open Sans"/>
        </w:rPr>
        <w:t xml:space="preserve"> the organisation ‘is opposed to Australia, or to Australia</w:t>
      </w:r>
      <w:r w:rsidR="00BA6001" w:rsidRPr="00BF2102">
        <w:rPr>
          <w:rFonts w:cs="Open Sans"/>
        </w:rPr>
        <w:t>’</w:t>
      </w:r>
      <w:r w:rsidR="00453787" w:rsidRPr="00BF2102">
        <w:rPr>
          <w:rFonts w:cs="Open Sans"/>
        </w:rPr>
        <w:t>s interests, values, democratic beliefs, rights or liberties, so that if a person were to fight for or be in the service of such an organisation the person would be acting inconsistently with their allegiance to Australia’, and that it is either:</w:t>
      </w:r>
    </w:p>
    <w:p w14:paraId="69D9C537" w14:textId="69989323" w:rsidR="00453787" w:rsidRPr="00BF2102" w:rsidRDefault="00453787" w:rsidP="00310D03">
      <w:pPr>
        <w:pStyle w:val="ListParagraph"/>
        <w:numPr>
          <w:ilvl w:val="0"/>
          <w:numId w:val="28"/>
        </w:numPr>
        <w:spacing w:before="120" w:after="120"/>
        <w:rPr>
          <w:rFonts w:cs="Open Sans"/>
        </w:rPr>
      </w:pPr>
      <w:r w:rsidRPr="00BF2102">
        <w:rPr>
          <w:rFonts w:cs="Open Sans"/>
        </w:rPr>
        <w:t>directly or indirectly engaged in, preparing, planning, assisting in or fostering the doing of a terrorist act</w:t>
      </w:r>
      <w:r w:rsidR="00E31115" w:rsidRPr="00BF2102">
        <w:rPr>
          <w:rFonts w:cs="Open Sans"/>
        </w:rPr>
        <w:t>, or</w:t>
      </w:r>
    </w:p>
    <w:p w14:paraId="626FB242" w14:textId="77777777" w:rsidR="00DD6A64" w:rsidRPr="00BF2102" w:rsidRDefault="00453787" w:rsidP="00310D03">
      <w:pPr>
        <w:pStyle w:val="ListParagraph"/>
        <w:numPr>
          <w:ilvl w:val="0"/>
          <w:numId w:val="28"/>
        </w:numPr>
        <w:spacing w:before="120" w:after="120"/>
        <w:rPr>
          <w:rFonts w:cs="Open Sans"/>
        </w:rPr>
      </w:pPr>
      <w:r w:rsidRPr="00BF2102">
        <w:rPr>
          <w:rFonts w:cs="Open Sans"/>
        </w:rPr>
        <w:t>advocates the doing of a terrorist act.</w:t>
      </w:r>
    </w:p>
    <w:p w14:paraId="721681AA" w14:textId="77777777" w:rsidR="00631168" w:rsidRPr="00BF2102" w:rsidRDefault="00631168" w:rsidP="00310D03">
      <w:pPr>
        <w:pStyle w:val="ListNumber"/>
        <w:numPr>
          <w:ilvl w:val="0"/>
          <w:numId w:val="15"/>
        </w:numPr>
        <w:tabs>
          <w:tab w:val="num" w:pos="993"/>
          <w:tab w:val="left" w:pos="1418"/>
        </w:tabs>
        <w:ind w:left="709" w:hanging="567"/>
        <w:rPr>
          <w:rFonts w:cs="Open Sans"/>
        </w:rPr>
      </w:pPr>
      <w:r w:rsidRPr="00BF2102">
        <w:rPr>
          <w:rFonts w:cs="Open Sans"/>
        </w:rPr>
        <w:t>Under s 35(4), a person is not taken to be ‘in the service of’ a declared terrorist organisation to the extent that</w:t>
      </w:r>
      <w:r w:rsidR="004B7559" w:rsidRPr="00BF2102">
        <w:rPr>
          <w:rFonts w:cs="Open Sans"/>
        </w:rPr>
        <w:t>:</w:t>
      </w:r>
    </w:p>
    <w:p w14:paraId="647941FA" w14:textId="522FC5C7" w:rsidR="00EE1C60" w:rsidRPr="00BF2102" w:rsidRDefault="00EE1C60" w:rsidP="00310D03">
      <w:pPr>
        <w:pStyle w:val="ListParagraph"/>
        <w:numPr>
          <w:ilvl w:val="0"/>
          <w:numId w:val="29"/>
        </w:numPr>
        <w:spacing w:before="120" w:after="120"/>
        <w:rPr>
          <w:rFonts w:cs="Open Sans"/>
        </w:rPr>
      </w:pPr>
      <w:r w:rsidRPr="00BF2102">
        <w:rPr>
          <w:rFonts w:cs="Open Sans"/>
        </w:rPr>
        <w:lastRenderedPageBreak/>
        <w:t>the person</w:t>
      </w:r>
      <w:r w:rsidR="001B4B95" w:rsidRPr="00BF2102">
        <w:rPr>
          <w:rFonts w:cs="Open Sans"/>
        </w:rPr>
        <w:t>’</w:t>
      </w:r>
      <w:r w:rsidRPr="00BF2102">
        <w:rPr>
          <w:rFonts w:cs="Open Sans"/>
        </w:rPr>
        <w:t>s actions are unintentional</w:t>
      </w:r>
    </w:p>
    <w:p w14:paraId="1AE51154" w14:textId="2155EBEC" w:rsidR="00EE1C60" w:rsidRPr="00BF2102" w:rsidRDefault="00EE1C60" w:rsidP="00310D03">
      <w:pPr>
        <w:pStyle w:val="ListParagraph"/>
        <w:numPr>
          <w:ilvl w:val="0"/>
          <w:numId w:val="29"/>
        </w:numPr>
        <w:spacing w:before="120" w:after="120"/>
        <w:rPr>
          <w:rFonts w:cs="Open Sans"/>
        </w:rPr>
      </w:pPr>
      <w:r w:rsidRPr="00BF2102">
        <w:rPr>
          <w:rFonts w:cs="Open Sans"/>
        </w:rPr>
        <w:t>the person is acting under duress or force</w:t>
      </w:r>
      <w:r w:rsidR="00E31115" w:rsidRPr="00BF2102">
        <w:rPr>
          <w:rFonts w:cs="Open Sans"/>
        </w:rPr>
        <w:t>, or</w:t>
      </w:r>
    </w:p>
    <w:p w14:paraId="60D68081" w14:textId="77777777" w:rsidR="004B7559" w:rsidRPr="00BF2102" w:rsidRDefault="00EE1C60" w:rsidP="00310D03">
      <w:pPr>
        <w:pStyle w:val="ListParagraph"/>
        <w:numPr>
          <w:ilvl w:val="0"/>
          <w:numId w:val="29"/>
        </w:numPr>
        <w:spacing w:before="120" w:after="120"/>
        <w:rPr>
          <w:rFonts w:cs="Open Sans"/>
        </w:rPr>
      </w:pPr>
      <w:r w:rsidRPr="00BF2102">
        <w:rPr>
          <w:rFonts w:cs="Open Sans"/>
        </w:rPr>
        <w:t>the person is providing neutral and independent humanitarian assistance.</w:t>
      </w:r>
    </w:p>
    <w:p w14:paraId="200CCF86" w14:textId="32F92755" w:rsidR="00DE797C" w:rsidRPr="00BF2102" w:rsidRDefault="008821A1" w:rsidP="00310D03">
      <w:pPr>
        <w:pStyle w:val="ListNumber"/>
        <w:numPr>
          <w:ilvl w:val="0"/>
          <w:numId w:val="15"/>
        </w:numPr>
        <w:tabs>
          <w:tab w:val="num" w:pos="993"/>
          <w:tab w:val="left" w:pos="1418"/>
        </w:tabs>
        <w:ind w:left="709" w:hanging="567"/>
        <w:rPr>
          <w:rFonts w:cs="Open Sans"/>
        </w:rPr>
      </w:pPr>
      <w:r w:rsidRPr="00BF2102">
        <w:rPr>
          <w:rFonts w:cs="Open Sans"/>
        </w:rPr>
        <w:t xml:space="preserve">A declaration made under s 35AA is </w:t>
      </w:r>
      <w:r w:rsidR="00BA6001" w:rsidRPr="00BF2102">
        <w:rPr>
          <w:rFonts w:cs="Open Sans"/>
        </w:rPr>
        <w:t xml:space="preserve">a </w:t>
      </w:r>
      <w:r w:rsidRPr="00BF2102">
        <w:rPr>
          <w:rFonts w:cs="Open Sans"/>
        </w:rPr>
        <w:t>disallowable</w:t>
      </w:r>
      <w:r w:rsidR="00BA6001" w:rsidRPr="00BF2102">
        <w:rPr>
          <w:rFonts w:cs="Open Sans"/>
        </w:rPr>
        <w:t xml:space="preserve"> instrument</w:t>
      </w:r>
      <w:r w:rsidRPr="00BF2102">
        <w:rPr>
          <w:rFonts w:cs="Open Sans"/>
        </w:rPr>
        <w:t xml:space="preserve">. </w:t>
      </w:r>
      <w:r w:rsidR="00DE797C" w:rsidRPr="00BF2102">
        <w:rPr>
          <w:rFonts w:cs="Open Sans"/>
        </w:rPr>
        <w:t>The Committee may review a declaration and</w:t>
      </w:r>
      <w:r w:rsidRPr="00BF2102">
        <w:rPr>
          <w:rFonts w:cs="Open Sans"/>
        </w:rPr>
        <w:t xml:space="preserve"> </w:t>
      </w:r>
      <w:r w:rsidR="00DE797C" w:rsidRPr="00BF2102">
        <w:rPr>
          <w:rFonts w:cs="Open Sans"/>
        </w:rPr>
        <w:t>report the Committee</w:t>
      </w:r>
      <w:r w:rsidR="00BA6001" w:rsidRPr="00BF2102">
        <w:rPr>
          <w:rFonts w:cs="Open Sans"/>
        </w:rPr>
        <w:t>’</w:t>
      </w:r>
      <w:r w:rsidR="00DE797C" w:rsidRPr="00BF2102">
        <w:rPr>
          <w:rFonts w:cs="Open Sans"/>
        </w:rPr>
        <w:t>s comments and recommendations to each House of the Parliament before the end of the period during which the House may disallow the declaration.</w:t>
      </w:r>
      <w:r w:rsidR="00D90553" w:rsidRPr="00BF2102">
        <w:rPr>
          <w:rStyle w:val="EndnoteReference"/>
          <w:rFonts w:cs="Open Sans"/>
        </w:rPr>
        <w:endnoteReference w:id="32"/>
      </w:r>
    </w:p>
    <w:p w14:paraId="2682086B" w14:textId="13ECADE4" w:rsidR="00DE797C" w:rsidRPr="00BF2102" w:rsidRDefault="00DE797C" w:rsidP="00310D03">
      <w:pPr>
        <w:pStyle w:val="ListNumber"/>
        <w:numPr>
          <w:ilvl w:val="0"/>
          <w:numId w:val="15"/>
        </w:numPr>
        <w:tabs>
          <w:tab w:val="num" w:pos="993"/>
          <w:tab w:val="left" w:pos="1418"/>
        </w:tabs>
        <w:ind w:left="709" w:hanging="567"/>
        <w:rPr>
          <w:rFonts w:cs="Open Sans"/>
        </w:rPr>
      </w:pPr>
      <w:r w:rsidRPr="00BF2102">
        <w:rPr>
          <w:rFonts w:cs="Open Sans"/>
        </w:rPr>
        <w:t xml:space="preserve">The same notification obligations, exceptions and discretionary </w:t>
      </w:r>
      <w:r w:rsidR="001B52D5" w:rsidRPr="00BF2102">
        <w:rPr>
          <w:rFonts w:cs="Open Sans"/>
        </w:rPr>
        <w:t xml:space="preserve">exemption </w:t>
      </w:r>
      <w:r w:rsidRPr="00BF2102">
        <w:rPr>
          <w:rFonts w:cs="Open Sans"/>
        </w:rPr>
        <w:t xml:space="preserve">powers and processes that apply to s 33AA </w:t>
      </w:r>
      <w:r w:rsidR="00BA6001" w:rsidRPr="00BF2102">
        <w:rPr>
          <w:rFonts w:cs="Open Sans"/>
        </w:rPr>
        <w:t xml:space="preserve">also </w:t>
      </w:r>
      <w:r w:rsidRPr="00BF2102">
        <w:rPr>
          <w:rFonts w:cs="Open Sans"/>
        </w:rPr>
        <w:t xml:space="preserve">apply to s 35. </w:t>
      </w:r>
      <w:r w:rsidR="009A7100" w:rsidRPr="00BF2102">
        <w:rPr>
          <w:rFonts w:cs="Open Sans"/>
        </w:rPr>
        <w:t xml:space="preserve">That is, the Minister has a </w:t>
      </w:r>
      <w:r w:rsidR="00D15F01" w:rsidRPr="00BF2102">
        <w:rPr>
          <w:rFonts w:cs="Open Sans"/>
        </w:rPr>
        <w:t xml:space="preserve">discretionary, </w:t>
      </w:r>
      <w:r w:rsidR="009A7100" w:rsidRPr="00BF2102">
        <w:rPr>
          <w:rFonts w:cs="Open Sans"/>
        </w:rPr>
        <w:t xml:space="preserve">non-compellable power </w:t>
      </w:r>
      <w:r w:rsidR="00D15F01" w:rsidRPr="00BF2102">
        <w:rPr>
          <w:rFonts w:cs="Open Sans"/>
        </w:rPr>
        <w:t>to exempt a person from the operation of automatic citizenship loss under s 35.</w:t>
      </w:r>
    </w:p>
    <w:p w14:paraId="4E40E8D6" w14:textId="644CFDCA" w:rsidR="00380387" w:rsidRPr="00BF2102" w:rsidRDefault="00380387" w:rsidP="00310D03">
      <w:pPr>
        <w:pStyle w:val="ListNumber"/>
        <w:numPr>
          <w:ilvl w:val="0"/>
          <w:numId w:val="15"/>
        </w:numPr>
        <w:tabs>
          <w:tab w:val="num" w:pos="993"/>
          <w:tab w:val="left" w:pos="1418"/>
        </w:tabs>
        <w:ind w:left="709" w:hanging="567"/>
        <w:rPr>
          <w:rFonts w:cs="Open Sans"/>
        </w:rPr>
      </w:pPr>
      <w:r w:rsidRPr="00BF2102">
        <w:rPr>
          <w:rFonts w:cs="Open Sans"/>
        </w:rPr>
        <w:t>For the reasons explained in more detail below, the Commission similarly considers that citizenship loss should not be automatic and s 35 should be repealed.</w:t>
      </w:r>
      <w:r w:rsidR="008A370F" w:rsidRPr="00BF2102">
        <w:rPr>
          <w:rFonts w:cs="Open Sans"/>
        </w:rPr>
        <w:t xml:space="preserve"> Rather, a positive decision based on a person’s conviction should be required to effect citizenship loss, with appropriately robust procedural safeguards.</w:t>
      </w:r>
      <w:r w:rsidRPr="00BF2102">
        <w:rPr>
          <w:rFonts w:cs="Open Sans"/>
        </w:rPr>
        <w:t xml:space="preserve"> If this recommendation is not accepted, the legislation should be amended to ensure that the Minister has a duty to consider exempting a person from the effect of the conduct-based citizenship loss provision.</w:t>
      </w:r>
    </w:p>
    <w:p w14:paraId="6589C84F" w14:textId="04373BF9" w:rsidR="002E5725" w:rsidRPr="00BF2102" w:rsidRDefault="002E5725" w:rsidP="002E5725">
      <w:pPr>
        <w:pStyle w:val="Heading2"/>
        <w:rPr>
          <w:rFonts w:cs="Open Sans"/>
        </w:rPr>
      </w:pPr>
      <w:bookmarkStart w:id="57" w:name="_Ref11327414"/>
      <w:bookmarkStart w:id="58" w:name="_Toc11407961"/>
      <w:r w:rsidRPr="00BF2102">
        <w:rPr>
          <w:rFonts w:cs="Open Sans"/>
        </w:rPr>
        <w:t>Reporting</w:t>
      </w:r>
      <w:r w:rsidR="00B72719" w:rsidRPr="00BF2102">
        <w:rPr>
          <w:rFonts w:cs="Open Sans"/>
        </w:rPr>
        <w:t xml:space="preserve"> and review</w:t>
      </w:r>
      <w:bookmarkEnd w:id="57"/>
      <w:bookmarkEnd w:id="58"/>
    </w:p>
    <w:p w14:paraId="71D67DED" w14:textId="2455533E" w:rsidR="002E5725" w:rsidRPr="00BF2102" w:rsidRDefault="00FA2289" w:rsidP="00310D03">
      <w:pPr>
        <w:pStyle w:val="ListNumber"/>
        <w:numPr>
          <w:ilvl w:val="0"/>
          <w:numId w:val="15"/>
        </w:numPr>
        <w:tabs>
          <w:tab w:val="num" w:pos="993"/>
          <w:tab w:val="left" w:pos="1418"/>
        </w:tabs>
        <w:ind w:left="709" w:hanging="567"/>
        <w:rPr>
          <w:rFonts w:cs="Open Sans"/>
        </w:rPr>
      </w:pPr>
      <w:r w:rsidRPr="00BF2102">
        <w:rPr>
          <w:rFonts w:cs="Open Sans"/>
        </w:rPr>
        <w:t>Under s 51B, t</w:t>
      </w:r>
      <w:r w:rsidR="002E5725" w:rsidRPr="00BF2102">
        <w:rPr>
          <w:rFonts w:cs="Open Sans"/>
        </w:rPr>
        <w:t xml:space="preserve">he Minister must table a report in both houses of </w:t>
      </w:r>
      <w:r w:rsidR="00496A5A" w:rsidRPr="00BF2102">
        <w:rPr>
          <w:rFonts w:cs="Open Sans"/>
        </w:rPr>
        <w:t>P</w:t>
      </w:r>
      <w:r w:rsidR="002E5725" w:rsidRPr="00BF2102">
        <w:rPr>
          <w:rFonts w:cs="Open Sans"/>
        </w:rPr>
        <w:t xml:space="preserve">arliament </w:t>
      </w:r>
      <w:r w:rsidR="003F58B7" w:rsidRPr="00BF2102">
        <w:rPr>
          <w:rFonts w:cs="Open Sans"/>
        </w:rPr>
        <w:t xml:space="preserve">every </w:t>
      </w:r>
      <w:r w:rsidR="000A784E" w:rsidRPr="00BF2102">
        <w:rPr>
          <w:rFonts w:cs="Open Sans"/>
        </w:rPr>
        <w:t>six</w:t>
      </w:r>
      <w:r w:rsidR="003F58B7" w:rsidRPr="00BF2102">
        <w:rPr>
          <w:rFonts w:cs="Open Sans"/>
        </w:rPr>
        <w:t xml:space="preserve"> months </w:t>
      </w:r>
      <w:r w:rsidR="006006E9" w:rsidRPr="00BF2102">
        <w:rPr>
          <w:rFonts w:cs="Open Sans"/>
        </w:rPr>
        <w:t xml:space="preserve">which </w:t>
      </w:r>
      <w:r w:rsidR="002E5725" w:rsidRPr="00BF2102">
        <w:rPr>
          <w:rFonts w:cs="Open Sans"/>
        </w:rPr>
        <w:t>shows the number of notices given, or attempted to be given, under these provisions. The report must include a brief statement of the matters that are the basis for</w:t>
      </w:r>
      <w:r w:rsidR="003F58B7" w:rsidRPr="00BF2102">
        <w:rPr>
          <w:rFonts w:cs="Open Sans"/>
        </w:rPr>
        <w:t xml:space="preserve"> the notice or</w:t>
      </w:r>
      <w:r w:rsidR="002E5725" w:rsidRPr="00BF2102">
        <w:rPr>
          <w:rFonts w:cs="Open Sans"/>
        </w:rPr>
        <w:t xml:space="preserve"> the determination to which the notice relates. </w:t>
      </w:r>
    </w:p>
    <w:p w14:paraId="577C639A" w14:textId="6F85CACB" w:rsidR="00736BBD" w:rsidRPr="00BF2102" w:rsidRDefault="00DD67A8" w:rsidP="00310D03">
      <w:pPr>
        <w:pStyle w:val="ListNumber"/>
        <w:numPr>
          <w:ilvl w:val="0"/>
          <w:numId w:val="15"/>
        </w:numPr>
        <w:tabs>
          <w:tab w:val="num" w:pos="993"/>
          <w:tab w:val="left" w:pos="1418"/>
        </w:tabs>
        <w:ind w:left="709" w:hanging="567"/>
        <w:rPr>
          <w:rFonts w:cs="Open Sans"/>
        </w:rPr>
      </w:pPr>
      <w:r w:rsidRPr="00BF2102">
        <w:rPr>
          <w:rFonts w:cs="Open Sans"/>
        </w:rPr>
        <w:t xml:space="preserve">According to a statement given </w:t>
      </w:r>
      <w:r w:rsidR="00D02ED8" w:rsidRPr="00BF2102">
        <w:rPr>
          <w:rFonts w:cs="Open Sans"/>
        </w:rPr>
        <w:t xml:space="preserve">on 2 January 2019 </w:t>
      </w:r>
      <w:r w:rsidRPr="00BF2102">
        <w:rPr>
          <w:rFonts w:cs="Open Sans"/>
        </w:rPr>
        <w:t>by</w:t>
      </w:r>
      <w:r w:rsidR="00C104E9" w:rsidRPr="00BF2102">
        <w:rPr>
          <w:rFonts w:cs="Open Sans"/>
        </w:rPr>
        <w:t xml:space="preserve"> </w:t>
      </w:r>
      <w:r w:rsidRPr="00BF2102">
        <w:rPr>
          <w:rFonts w:cs="Open Sans"/>
        </w:rPr>
        <w:t xml:space="preserve">the Hon Peter Dutton MP, Minister for Home Affairs, </w:t>
      </w:r>
      <w:r w:rsidR="00706F6A" w:rsidRPr="00BF2102">
        <w:rPr>
          <w:rFonts w:cs="Open Sans"/>
        </w:rPr>
        <w:t>at least</w:t>
      </w:r>
      <w:r w:rsidRPr="00BF2102">
        <w:rPr>
          <w:rFonts w:cs="Open Sans"/>
        </w:rPr>
        <w:t xml:space="preserve"> 12</w:t>
      </w:r>
      <w:r w:rsidR="00706F6A" w:rsidRPr="00BF2102">
        <w:rPr>
          <w:rFonts w:cs="Open Sans"/>
        </w:rPr>
        <w:t xml:space="preserve"> </w:t>
      </w:r>
      <w:r w:rsidRPr="00BF2102">
        <w:rPr>
          <w:rFonts w:cs="Open Sans"/>
        </w:rPr>
        <w:t>cancellations of citizenship have occurred</w:t>
      </w:r>
      <w:r w:rsidR="00D02ED8" w:rsidRPr="00BF2102">
        <w:rPr>
          <w:rFonts w:cs="Open Sans"/>
        </w:rPr>
        <w:t xml:space="preserve"> to date</w:t>
      </w:r>
      <w:r w:rsidR="00C104E9" w:rsidRPr="00BF2102">
        <w:rPr>
          <w:rFonts w:cs="Open Sans"/>
        </w:rPr>
        <w:t>.</w:t>
      </w:r>
      <w:r w:rsidR="00736BBD" w:rsidRPr="00BF2102">
        <w:rPr>
          <w:rStyle w:val="EndnoteReference"/>
          <w:rFonts w:cs="Open Sans"/>
        </w:rPr>
        <w:endnoteReference w:id="33"/>
      </w:r>
      <w:r w:rsidR="00C104E9" w:rsidRPr="00BF2102">
        <w:rPr>
          <w:rFonts w:cs="Open Sans"/>
        </w:rPr>
        <w:t xml:space="preserve"> Based on the Minister’s comments, </w:t>
      </w:r>
      <w:r w:rsidR="00017067" w:rsidRPr="00BF2102">
        <w:rPr>
          <w:rFonts w:cs="Open Sans"/>
        </w:rPr>
        <w:t>and previous press releases,</w:t>
      </w:r>
      <w:r w:rsidR="00017067" w:rsidRPr="00BF2102">
        <w:rPr>
          <w:rStyle w:val="EndnoteReference"/>
          <w:rFonts w:cs="Open Sans"/>
        </w:rPr>
        <w:endnoteReference w:id="34"/>
      </w:r>
      <w:r w:rsidR="00017067" w:rsidRPr="00BF2102">
        <w:rPr>
          <w:rFonts w:cs="Open Sans"/>
        </w:rPr>
        <w:t xml:space="preserve"> </w:t>
      </w:r>
      <w:r w:rsidR="00C104E9" w:rsidRPr="00BF2102">
        <w:rPr>
          <w:rFonts w:cs="Open Sans"/>
        </w:rPr>
        <w:t>it appears that in each of these cases</w:t>
      </w:r>
      <w:r w:rsidR="005848C7" w:rsidRPr="00BF2102">
        <w:rPr>
          <w:rFonts w:cs="Open Sans"/>
        </w:rPr>
        <w:t>,</w:t>
      </w:r>
      <w:r w:rsidR="00C104E9" w:rsidRPr="00BF2102">
        <w:rPr>
          <w:rFonts w:cs="Open Sans"/>
        </w:rPr>
        <w:t xml:space="preserve"> the</w:t>
      </w:r>
      <w:r w:rsidR="00D02ED8" w:rsidRPr="00BF2102">
        <w:rPr>
          <w:rFonts w:cs="Open Sans"/>
        </w:rPr>
        <w:t xml:space="preserve"> citizenship</w:t>
      </w:r>
      <w:r w:rsidR="00C104E9" w:rsidRPr="00BF2102">
        <w:rPr>
          <w:rFonts w:cs="Open Sans"/>
        </w:rPr>
        <w:t xml:space="preserve"> loss has occurred</w:t>
      </w:r>
      <w:r w:rsidRPr="00BF2102">
        <w:rPr>
          <w:rFonts w:cs="Open Sans"/>
        </w:rPr>
        <w:t xml:space="preserve"> </w:t>
      </w:r>
      <w:r w:rsidR="00706F6A" w:rsidRPr="00BF2102">
        <w:rPr>
          <w:rFonts w:cs="Open Sans"/>
        </w:rPr>
        <w:t xml:space="preserve">automatically </w:t>
      </w:r>
      <w:r w:rsidR="00017067" w:rsidRPr="00BF2102">
        <w:rPr>
          <w:rFonts w:cs="Open Sans"/>
        </w:rPr>
        <w:t>and predominantly</w:t>
      </w:r>
      <w:r w:rsidR="00DA2762" w:rsidRPr="00BF2102">
        <w:rPr>
          <w:rFonts w:cs="Open Sans"/>
        </w:rPr>
        <w:t xml:space="preserve"> </w:t>
      </w:r>
      <w:r w:rsidRPr="00BF2102">
        <w:rPr>
          <w:rFonts w:cs="Open Sans"/>
        </w:rPr>
        <w:t xml:space="preserve">by reason of </w:t>
      </w:r>
      <w:r w:rsidR="00017067" w:rsidRPr="00BF2102">
        <w:rPr>
          <w:rFonts w:cs="Open Sans"/>
        </w:rPr>
        <w:t>s </w:t>
      </w:r>
      <w:r w:rsidRPr="00BF2102">
        <w:rPr>
          <w:rFonts w:cs="Open Sans"/>
        </w:rPr>
        <w:t xml:space="preserve">35. </w:t>
      </w:r>
      <w:r w:rsidR="00736BBD" w:rsidRPr="00BF2102">
        <w:rPr>
          <w:rFonts w:cs="Open Sans"/>
        </w:rPr>
        <w:t xml:space="preserve">The Department of Home Affairs </w:t>
      </w:r>
      <w:r w:rsidR="00B14875" w:rsidRPr="00BF2102">
        <w:rPr>
          <w:rFonts w:cs="Open Sans"/>
        </w:rPr>
        <w:t>(the Department) has</w:t>
      </w:r>
      <w:r w:rsidR="003400B3" w:rsidRPr="00BF2102">
        <w:rPr>
          <w:rFonts w:cs="Open Sans"/>
        </w:rPr>
        <w:t xml:space="preserve"> </w:t>
      </w:r>
      <w:r w:rsidR="00D02ED8" w:rsidRPr="00BF2102">
        <w:rPr>
          <w:rFonts w:cs="Open Sans"/>
        </w:rPr>
        <w:t>stated</w:t>
      </w:r>
      <w:r w:rsidR="00736BBD" w:rsidRPr="00BF2102">
        <w:rPr>
          <w:rFonts w:cs="Open Sans"/>
        </w:rPr>
        <w:t xml:space="preserve"> in </w:t>
      </w:r>
      <w:r w:rsidR="00B14875" w:rsidRPr="00BF2102">
        <w:rPr>
          <w:rFonts w:cs="Open Sans"/>
        </w:rPr>
        <w:t>its</w:t>
      </w:r>
      <w:r w:rsidR="00736BBD" w:rsidRPr="00BF2102">
        <w:rPr>
          <w:rFonts w:cs="Open Sans"/>
        </w:rPr>
        <w:t xml:space="preserve"> submission </w:t>
      </w:r>
      <w:r w:rsidR="00B14875" w:rsidRPr="00BF2102">
        <w:rPr>
          <w:rFonts w:cs="Open Sans"/>
        </w:rPr>
        <w:t>to the INSLM for this inquiry that, to date, no person has lost their citizenship under s 35A</w:t>
      </w:r>
      <w:r w:rsidR="007F3A61" w:rsidRPr="00BF2102">
        <w:rPr>
          <w:rFonts w:cs="Open Sans"/>
        </w:rPr>
        <w:t>.</w:t>
      </w:r>
      <w:r w:rsidR="009012A5" w:rsidRPr="00BF2102">
        <w:rPr>
          <w:rStyle w:val="EndnoteReference"/>
          <w:rFonts w:cs="Open Sans"/>
        </w:rPr>
        <w:endnoteReference w:id="35"/>
      </w:r>
    </w:p>
    <w:p w14:paraId="332AE30B" w14:textId="463CC102" w:rsidR="00C104E9" w:rsidRPr="00BF2102" w:rsidRDefault="00C104E9" w:rsidP="00310D03">
      <w:pPr>
        <w:pStyle w:val="ListNumber"/>
        <w:numPr>
          <w:ilvl w:val="0"/>
          <w:numId w:val="15"/>
        </w:numPr>
        <w:tabs>
          <w:tab w:val="num" w:pos="993"/>
          <w:tab w:val="left" w:pos="1418"/>
        </w:tabs>
        <w:ind w:left="709" w:hanging="567"/>
        <w:rPr>
          <w:rFonts w:cs="Open Sans"/>
        </w:rPr>
      </w:pPr>
      <w:r w:rsidRPr="00BF2102">
        <w:rPr>
          <w:rFonts w:cs="Open Sans"/>
        </w:rPr>
        <w:t>Five r</w:t>
      </w:r>
      <w:r w:rsidR="00DD67A8" w:rsidRPr="00BF2102">
        <w:rPr>
          <w:rFonts w:cs="Open Sans"/>
        </w:rPr>
        <w:t xml:space="preserve">eports </w:t>
      </w:r>
      <w:r w:rsidRPr="00BF2102">
        <w:rPr>
          <w:rFonts w:cs="Open Sans"/>
        </w:rPr>
        <w:t>have been tabled in</w:t>
      </w:r>
      <w:r w:rsidR="00DD67A8" w:rsidRPr="00BF2102">
        <w:rPr>
          <w:rFonts w:cs="Open Sans"/>
        </w:rPr>
        <w:t xml:space="preserve"> Parliament </w:t>
      </w:r>
      <w:r w:rsidR="009610F0" w:rsidRPr="00BF2102">
        <w:rPr>
          <w:rFonts w:cs="Open Sans"/>
        </w:rPr>
        <w:t>under s 51B</w:t>
      </w:r>
      <w:r w:rsidRPr="00BF2102">
        <w:rPr>
          <w:rFonts w:cs="Open Sans"/>
        </w:rPr>
        <w:t>.</w:t>
      </w:r>
      <w:r w:rsidR="009610F0" w:rsidRPr="00BF2102">
        <w:rPr>
          <w:rFonts w:cs="Open Sans"/>
        </w:rPr>
        <w:t xml:space="preserve"> </w:t>
      </w:r>
      <w:r w:rsidRPr="00BF2102">
        <w:rPr>
          <w:rFonts w:cs="Open Sans"/>
        </w:rPr>
        <w:t xml:space="preserve">These reports </w:t>
      </w:r>
      <w:r w:rsidR="006C653F" w:rsidRPr="00BF2102">
        <w:rPr>
          <w:rFonts w:cs="Open Sans"/>
        </w:rPr>
        <w:t>record only one instance</w:t>
      </w:r>
      <w:r w:rsidR="002F09D6" w:rsidRPr="00BF2102">
        <w:rPr>
          <w:rFonts w:cs="Open Sans"/>
        </w:rPr>
        <w:t xml:space="preserve"> of notice</w:t>
      </w:r>
      <w:r w:rsidR="00736BBD" w:rsidRPr="00BF2102">
        <w:rPr>
          <w:rFonts w:cs="Open Sans"/>
        </w:rPr>
        <w:t xml:space="preserve">, during the period from 12 June 2017 to </w:t>
      </w:r>
      <w:r w:rsidR="00736BBD" w:rsidRPr="00BF2102">
        <w:rPr>
          <w:rFonts w:cs="Open Sans"/>
        </w:rPr>
        <w:lastRenderedPageBreak/>
        <w:t>11</w:t>
      </w:r>
      <w:r w:rsidR="00482220" w:rsidRPr="00BF2102">
        <w:rPr>
          <w:rFonts w:cs="Open Sans"/>
        </w:rPr>
        <w:t> </w:t>
      </w:r>
      <w:r w:rsidR="00736BBD" w:rsidRPr="00BF2102">
        <w:rPr>
          <w:rFonts w:cs="Open Sans"/>
        </w:rPr>
        <w:t>December 2017,</w:t>
      </w:r>
      <w:r w:rsidR="006C653F" w:rsidRPr="00BF2102">
        <w:rPr>
          <w:rFonts w:cs="Open Sans"/>
        </w:rPr>
        <w:t xml:space="preserve"> </w:t>
      </w:r>
      <w:r w:rsidR="002F09D6" w:rsidRPr="00BF2102">
        <w:rPr>
          <w:rFonts w:cs="Open Sans"/>
        </w:rPr>
        <w:t>being</w:t>
      </w:r>
      <w:r w:rsidR="006C653F" w:rsidRPr="00BF2102">
        <w:rPr>
          <w:rFonts w:cs="Open Sans"/>
        </w:rPr>
        <w:t xml:space="preserve"> an </w:t>
      </w:r>
      <w:r w:rsidR="00DD67A8" w:rsidRPr="00BF2102">
        <w:rPr>
          <w:rFonts w:cs="Open Sans"/>
        </w:rPr>
        <w:t xml:space="preserve">attempted </w:t>
      </w:r>
      <w:r w:rsidR="00CD4B90" w:rsidRPr="00BF2102">
        <w:rPr>
          <w:rFonts w:cs="Open Sans"/>
        </w:rPr>
        <w:t xml:space="preserve">but unsuccessful </w:t>
      </w:r>
      <w:r w:rsidR="00DD67A8" w:rsidRPr="00BF2102">
        <w:rPr>
          <w:rFonts w:cs="Open Sans"/>
        </w:rPr>
        <w:t>notification to an affected person under s 35(5)(a).</w:t>
      </w:r>
      <w:r w:rsidR="00DD67A8" w:rsidRPr="00BF2102">
        <w:rPr>
          <w:rStyle w:val="EndnoteReference"/>
          <w:rFonts w:cs="Open Sans"/>
        </w:rPr>
        <w:endnoteReference w:id="36"/>
      </w:r>
    </w:p>
    <w:p w14:paraId="4CA9D745" w14:textId="4B113951" w:rsidR="002E5725" w:rsidRPr="00BF2102" w:rsidRDefault="00A43D2A" w:rsidP="00310D03">
      <w:pPr>
        <w:pStyle w:val="ListNumber"/>
        <w:numPr>
          <w:ilvl w:val="0"/>
          <w:numId w:val="15"/>
        </w:numPr>
        <w:tabs>
          <w:tab w:val="num" w:pos="993"/>
          <w:tab w:val="left" w:pos="1418"/>
        </w:tabs>
        <w:ind w:left="709" w:hanging="567"/>
        <w:rPr>
          <w:rFonts w:cs="Open Sans"/>
        </w:rPr>
      </w:pPr>
      <w:r w:rsidRPr="00BF2102">
        <w:rPr>
          <w:rFonts w:cs="Open Sans"/>
        </w:rPr>
        <w:t>Section</w:t>
      </w:r>
      <w:r w:rsidR="00FA2289" w:rsidRPr="00BF2102">
        <w:rPr>
          <w:rFonts w:cs="Open Sans"/>
        </w:rPr>
        <w:t xml:space="preserve"> 51C requires the Minister to brief the Committee within 20</w:t>
      </w:r>
      <w:r w:rsidR="00BA6001" w:rsidRPr="00BF2102">
        <w:rPr>
          <w:rFonts w:cs="Open Sans"/>
        </w:rPr>
        <w:t xml:space="preserve"> </w:t>
      </w:r>
      <w:r w:rsidR="00FA2289" w:rsidRPr="00BF2102">
        <w:rPr>
          <w:rFonts w:cs="Open Sans"/>
        </w:rPr>
        <w:t>sitting days whe</w:t>
      </w:r>
      <w:r w:rsidR="006006E9" w:rsidRPr="00BF2102">
        <w:rPr>
          <w:rFonts w:cs="Open Sans"/>
        </w:rPr>
        <w:t>never</w:t>
      </w:r>
      <w:r w:rsidR="00BA6001" w:rsidRPr="00BF2102">
        <w:rPr>
          <w:rFonts w:cs="Open Sans"/>
        </w:rPr>
        <w:t xml:space="preserve"> a</w:t>
      </w:r>
      <w:r w:rsidR="00FA2289" w:rsidRPr="00BF2102">
        <w:rPr>
          <w:rFonts w:cs="Open Sans"/>
        </w:rPr>
        <w:t xml:space="preserve"> notice has been given or attempted to be given. The Minister must also inform the Committee when a determination is made not </w:t>
      </w:r>
      <w:r w:rsidR="006006E9" w:rsidRPr="00BF2102">
        <w:rPr>
          <w:rFonts w:cs="Open Sans"/>
        </w:rPr>
        <w:t xml:space="preserve">to </w:t>
      </w:r>
      <w:r w:rsidR="00FA2289" w:rsidRPr="00BF2102">
        <w:rPr>
          <w:rFonts w:cs="Open Sans"/>
        </w:rPr>
        <w:t xml:space="preserve">provide </w:t>
      </w:r>
      <w:r w:rsidR="003F58B7" w:rsidRPr="00BF2102">
        <w:rPr>
          <w:rFonts w:cs="Open Sans"/>
        </w:rPr>
        <w:t xml:space="preserve">a </w:t>
      </w:r>
      <w:r w:rsidR="00FA2289" w:rsidRPr="00BF2102">
        <w:rPr>
          <w:rFonts w:cs="Open Sans"/>
        </w:rPr>
        <w:t>notice. These briefings can be provided orally or in writing. Records of these briefings are not publicly available.</w:t>
      </w:r>
    </w:p>
    <w:p w14:paraId="599E1AD9" w14:textId="3340C1A7" w:rsidR="00D610A2" w:rsidRPr="00BF2102" w:rsidRDefault="001C525E" w:rsidP="00310D03">
      <w:pPr>
        <w:pStyle w:val="ListNumber"/>
        <w:numPr>
          <w:ilvl w:val="0"/>
          <w:numId w:val="15"/>
        </w:numPr>
        <w:tabs>
          <w:tab w:val="num" w:pos="993"/>
          <w:tab w:val="left" w:pos="1418"/>
        </w:tabs>
        <w:ind w:left="709" w:hanging="567"/>
        <w:rPr>
          <w:rFonts w:cs="Open Sans"/>
        </w:rPr>
      </w:pPr>
      <w:r w:rsidRPr="00BF2102">
        <w:rPr>
          <w:rFonts w:cs="Open Sans"/>
        </w:rPr>
        <w:t xml:space="preserve">Merits review </w:t>
      </w:r>
      <w:r w:rsidR="00CD3602" w:rsidRPr="00BF2102">
        <w:rPr>
          <w:rFonts w:cs="Open Sans"/>
        </w:rPr>
        <w:t xml:space="preserve">is not available for </w:t>
      </w:r>
      <w:r w:rsidRPr="00BF2102">
        <w:rPr>
          <w:rFonts w:cs="Open Sans"/>
        </w:rPr>
        <w:t xml:space="preserve">any decision under ss 33AA, 35A and 35, nor is judicial review under the </w:t>
      </w:r>
      <w:r w:rsidR="004A1D5C" w:rsidRPr="00BF2102">
        <w:rPr>
          <w:rFonts w:cs="Open Sans"/>
          <w:i/>
          <w:iCs/>
        </w:rPr>
        <w:t>Administrative Decisions (Judicial Review) Act 1977</w:t>
      </w:r>
      <w:r w:rsidR="004A1D5C" w:rsidRPr="00BF2102">
        <w:rPr>
          <w:rFonts w:cs="Open Sans"/>
        </w:rPr>
        <w:t xml:space="preserve"> (Cth) (</w:t>
      </w:r>
      <w:r w:rsidRPr="00BF2102">
        <w:rPr>
          <w:rFonts w:cs="Open Sans"/>
        </w:rPr>
        <w:t>ADJR Act</w:t>
      </w:r>
      <w:r w:rsidR="004A1D5C" w:rsidRPr="00BF2102">
        <w:rPr>
          <w:rFonts w:cs="Open Sans"/>
        </w:rPr>
        <w:t>)</w:t>
      </w:r>
      <w:r w:rsidRPr="00BF2102">
        <w:rPr>
          <w:rFonts w:cs="Open Sans"/>
        </w:rPr>
        <w:t xml:space="preserve">. </w:t>
      </w:r>
      <w:r w:rsidR="00483057" w:rsidRPr="00BF2102">
        <w:rPr>
          <w:rFonts w:cs="Open Sans"/>
        </w:rPr>
        <w:t>A note in s 35A states that a</w:t>
      </w:r>
      <w:r w:rsidR="00B72719" w:rsidRPr="00BF2102">
        <w:rPr>
          <w:rFonts w:cs="Open Sans"/>
        </w:rPr>
        <w:t xml:space="preserve"> person may seek judicial review of a determination</w:t>
      </w:r>
      <w:r w:rsidR="00483057" w:rsidRPr="00BF2102">
        <w:rPr>
          <w:rFonts w:cs="Open Sans"/>
        </w:rPr>
        <w:t xml:space="preserve"> made under that section,</w:t>
      </w:r>
      <w:r w:rsidR="00B72719" w:rsidRPr="00BF2102">
        <w:rPr>
          <w:rFonts w:cs="Open Sans"/>
        </w:rPr>
        <w:t xml:space="preserve"> in the original jurisdiction of the High Court or Federal Court. </w:t>
      </w:r>
      <w:r w:rsidR="00483057" w:rsidRPr="00BF2102">
        <w:rPr>
          <w:rFonts w:cs="Open Sans"/>
        </w:rPr>
        <w:t>A note in ss 33</w:t>
      </w:r>
      <w:proofErr w:type="gramStart"/>
      <w:r w:rsidR="00483057" w:rsidRPr="00BF2102">
        <w:rPr>
          <w:rFonts w:cs="Open Sans"/>
        </w:rPr>
        <w:t>AA(</w:t>
      </w:r>
      <w:proofErr w:type="gramEnd"/>
      <w:r w:rsidR="00483057" w:rsidRPr="00BF2102">
        <w:rPr>
          <w:rFonts w:cs="Open Sans"/>
        </w:rPr>
        <w:t xml:space="preserve">10) and s 35(5) states that a </w:t>
      </w:r>
      <w:r w:rsidR="00D610A2" w:rsidRPr="00BF2102">
        <w:rPr>
          <w:rFonts w:cs="Open Sans"/>
        </w:rPr>
        <w:t xml:space="preserve">person may seek judicial review of </w:t>
      </w:r>
      <w:r w:rsidR="00483057" w:rsidRPr="00BF2102">
        <w:rPr>
          <w:rFonts w:cs="Open Sans"/>
        </w:rPr>
        <w:t xml:space="preserve">the basis on which a notice of citizenship loss is given under those sections, </w:t>
      </w:r>
      <w:r w:rsidR="00D610A2" w:rsidRPr="00BF2102">
        <w:rPr>
          <w:rFonts w:cs="Open Sans"/>
        </w:rPr>
        <w:t>in the original jurisdiction of the High Court or Federal Court.</w:t>
      </w:r>
      <w:r w:rsidR="00483057" w:rsidRPr="00BF2102">
        <w:rPr>
          <w:rFonts w:cs="Open Sans"/>
        </w:rPr>
        <w:t xml:space="preserve"> As discussed below in section </w:t>
      </w:r>
      <w:r w:rsidR="00483057" w:rsidRPr="00BF2102">
        <w:rPr>
          <w:rFonts w:cs="Open Sans"/>
        </w:rPr>
        <w:fldChar w:fldCharType="begin"/>
      </w:r>
      <w:r w:rsidR="00483057" w:rsidRPr="00BF2102">
        <w:rPr>
          <w:rFonts w:cs="Open Sans"/>
        </w:rPr>
        <w:instrText xml:space="preserve"> REF _Ref11403571 \r \h </w:instrText>
      </w:r>
      <w:r w:rsidR="00CF3B5B" w:rsidRPr="00BF2102">
        <w:rPr>
          <w:rFonts w:cs="Open Sans"/>
        </w:rPr>
        <w:instrText xml:space="preserve"> \* MERGEFORMAT </w:instrText>
      </w:r>
      <w:r w:rsidR="00483057" w:rsidRPr="00BF2102">
        <w:rPr>
          <w:rFonts w:cs="Open Sans"/>
        </w:rPr>
      </w:r>
      <w:r w:rsidR="00483057" w:rsidRPr="00BF2102">
        <w:rPr>
          <w:rFonts w:cs="Open Sans"/>
        </w:rPr>
        <w:fldChar w:fldCharType="separate"/>
      </w:r>
      <w:r w:rsidR="000E5D23">
        <w:rPr>
          <w:rFonts w:cs="Open Sans"/>
        </w:rPr>
        <w:t>6.2(c)</w:t>
      </w:r>
      <w:r w:rsidR="00483057" w:rsidRPr="00BF2102">
        <w:rPr>
          <w:rFonts w:cs="Open Sans"/>
        </w:rPr>
        <w:fldChar w:fldCharType="end"/>
      </w:r>
      <w:r w:rsidR="00483057" w:rsidRPr="00BF2102">
        <w:rPr>
          <w:rFonts w:cs="Open Sans"/>
        </w:rPr>
        <w:t>, the Commission is concerned that the automatic revocation of citizenship is only amenable to a very limited form of judicial review.</w:t>
      </w:r>
    </w:p>
    <w:p w14:paraId="2AB45ABE" w14:textId="77777777" w:rsidR="00170DD7" w:rsidRPr="00BF2102" w:rsidRDefault="00170DD7" w:rsidP="003423F4">
      <w:pPr>
        <w:pStyle w:val="Heading1"/>
        <w:rPr>
          <w:rFonts w:cs="Open Sans"/>
        </w:rPr>
      </w:pPr>
      <w:bookmarkStart w:id="60" w:name="_Toc11407962"/>
      <w:r w:rsidRPr="00BF2102">
        <w:rPr>
          <w:rFonts w:cs="Open Sans"/>
        </w:rPr>
        <w:t>Relevant human rights</w:t>
      </w:r>
      <w:bookmarkEnd w:id="60"/>
    </w:p>
    <w:p w14:paraId="6409FB58" w14:textId="77777777" w:rsidR="00BE3F91" w:rsidRPr="00BF2102" w:rsidRDefault="00BE3F91" w:rsidP="00BE3F91">
      <w:pPr>
        <w:pStyle w:val="Heading2"/>
        <w:rPr>
          <w:rFonts w:cs="Open Sans"/>
        </w:rPr>
      </w:pPr>
      <w:bookmarkStart w:id="61" w:name="_Toc534878466"/>
      <w:bookmarkStart w:id="62" w:name="_Toc11407963"/>
      <w:r w:rsidRPr="00BF2102">
        <w:rPr>
          <w:rFonts w:cs="Open Sans"/>
        </w:rPr>
        <w:t>The right to enter and remain in one’s own country</w:t>
      </w:r>
      <w:bookmarkEnd w:id="61"/>
      <w:bookmarkEnd w:id="62"/>
    </w:p>
    <w:p w14:paraId="6DFC5461" w14:textId="1BF37668" w:rsidR="00BE3F91" w:rsidRPr="00BF2102" w:rsidRDefault="00BE3F91" w:rsidP="00310D03">
      <w:pPr>
        <w:pStyle w:val="ListNumber"/>
        <w:numPr>
          <w:ilvl w:val="0"/>
          <w:numId w:val="15"/>
        </w:numPr>
        <w:tabs>
          <w:tab w:val="num" w:pos="993"/>
          <w:tab w:val="left" w:pos="1418"/>
        </w:tabs>
        <w:ind w:left="709" w:hanging="567"/>
        <w:rPr>
          <w:rFonts w:cs="Open Sans"/>
        </w:rPr>
      </w:pPr>
      <w:bookmarkStart w:id="63" w:name="_Hlk10463458"/>
      <w:r w:rsidRPr="00BF2102">
        <w:rPr>
          <w:rFonts w:cs="Open Sans"/>
        </w:rPr>
        <w:t>Article 12(4) of the I</w:t>
      </w:r>
      <w:r w:rsidR="008E6AF8" w:rsidRPr="00BF2102">
        <w:rPr>
          <w:rFonts w:cs="Open Sans"/>
        </w:rPr>
        <w:t xml:space="preserve">nternational </w:t>
      </w:r>
      <w:r w:rsidRPr="00BF2102">
        <w:rPr>
          <w:rFonts w:cs="Open Sans"/>
        </w:rPr>
        <w:t>C</w:t>
      </w:r>
      <w:r w:rsidR="008E6AF8" w:rsidRPr="00BF2102">
        <w:rPr>
          <w:rFonts w:cs="Open Sans"/>
        </w:rPr>
        <w:t xml:space="preserve">ovenant on </w:t>
      </w:r>
      <w:r w:rsidRPr="00BF2102">
        <w:rPr>
          <w:rFonts w:cs="Open Sans"/>
        </w:rPr>
        <w:t>C</w:t>
      </w:r>
      <w:r w:rsidR="008E6AF8" w:rsidRPr="00BF2102">
        <w:rPr>
          <w:rFonts w:cs="Open Sans"/>
        </w:rPr>
        <w:t xml:space="preserve">ivil and </w:t>
      </w:r>
      <w:r w:rsidRPr="00BF2102">
        <w:rPr>
          <w:rFonts w:cs="Open Sans"/>
        </w:rPr>
        <w:t>P</w:t>
      </w:r>
      <w:r w:rsidR="008E6AF8" w:rsidRPr="00BF2102">
        <w:rPr>
          <w:rFonts w:cs="Open Sans"/>
        </w:rPr>
        <w:t xml:space="preserve">olitical </w:t>
      </w:r>
      <w:r w:rsidRPr="00BF2102">
        <w:rPr>
          <w:rFonts w:cs="Open Sans"/>
        </w:rPr>
        <w:t>R</w:t>
      </w:r>
      <w:r w:rsidR="008E6AF8" w:rsidRPr="00BF2102">
        <w:rPr>
          <w:rFonts w:cs="Open Sans"/>
        </w:rPr>
        <w:t>ights (ICCPR)</w:t>
      </w:r>
      <w:r w:rsidRPr="00BF2102">
        <w:rPr>
          <w:rFonts w:cs="Open Sans"/>
        </w:rPr>
        <w:t xml:space="preserve"> </w:t>
      </w:r>
      <w:bookmarkEnd w:id="63"/>
      <w:r w:rsidRPr="00BF2102">
        <w:rPr>
          <w:rFonts w:cs="Open Sans"/>
        </w:rPr>
        <w:t>provides that ‘no one shall be arbitrarily deprived of the right to enter his own country’.</w:t>
      </w:r>
      <w:r w:rsidR="008E6AF8" w:rsidRPr="00BF2102">
        <w:rPr>
          <w:rStyle w:val="EndnoteReference"/>
          <w:rFonts w:cs="Open Sans"/>
        </w:rPr>
        <w:endnoteReference w:id="37"/>
      </w:r>
      <w:r w:rsidRPr="00BF2102">
        <w:rPr>
          <w:rFonts w:cs="Open Sans"/>
          <w:sz w:val="22"/>
        </w:rPr>
        <w:t xml:space="preserve"> </w:t>
      </w:r>
    </w:p>
    <w:p w14:paraId="043DFF48" w14:textId="77777777" w:rsidR="00BE3F91" w:rsidRPr="00BF2102" w:rsidRDefault="00BE3F91" w:rsidP="00310D03">
      <w:pPr>
        <w:pStyle w:val="ListNumber"/>
        <w:numPr>
          <w:ilvl w:val="0"/>
          <w:numId w:val="15"/>
        </w:numPr>
        <w:tabs>
          <w:tab w:val="num" w:pos="993"/>
          <w:tab w:val="left" w:pos="1418"/>
        </w:tabs>
        <w:ind w:left="709" w:hanging="567"/>
        <w:rPr>
          <w:rFonts w:cs="Open Sans"/>
        </w:rPr>
      </w:pPr>
      <w:r w:rsidRPr="00BF2102">
        <w:rPr>
          <w:rFonts w:cs="Open Sans"/>
        </w:rPr>
        <w:t xml:space="preserve">In its General Comment No 27, the United Nations Human Rights Committee (UN HR Committee) has stated that this right implies the right to </w:t>
      </w:r>
      <w:r w:rsidRPr="00BF2102">
        <w:rPr>
          <w:rFonts w:cs="Open Sans"/>
          <w:i/>
        </w:rPr>
        <w:t>remain in</w:t>
      </w:r>
      <w:r w:rsidRPr="00BF2102">
        <w:rPr>
          <w:rFonts w:cs="Open Sans"/>
        </w:rPr>
        <w:t xml:space="preserve"> one’s own country.</w:t>
      </w:r>
      <w:r w:rsidRPr="00BF2102">
        <w:rPr>
          <w:rStyle w:val="EndnoteReference"/>
          <w:rFonts w:cs="Open Sans"/>
        </w:rPr>
        <w:endnoteReference w:id="38"/>
      </w:r>
      <w:r w:rsidRPr="00BF2102">
        <w:rPr>
          <w:rFonts w:cs="Open Sans"/>
        </w:rPr>
        <w:t xml:space="preserve"> </w:t>
      </w:r>
    </w:p>
    <w:p w14:paraId="59773250" w14:textId="77777777" w:rsidR="00AB056E" w:rsidRPr="00BF2102" w:rsidRDefault="00BE3F91" w:rsidP="00310D03">
      <w:pPr>
        <w:pStyle w:val="ListNumber"/>
        <w:numPr>
          <w:ilvl w:val="0"/>
          <w:numId w:val="15"/>
        </w:numPr>
        <w:tabs>
          <w:tab w:val="num" w:pos="993"/>
          <w:tab w:val="left" w:pos="1418"/>
        </w:tabs>
        <w:ind w:left="709" w:hanging="567"/>
        <w:rPr>
          <w:rFonts w:cs="Open Sans"/>
        </w:rPr>
      </w:pPr>
      <w:r w:rsidRPr="00BF2102">
        <w:rPr>
          <w:rFonts w:cs="Open Sans"/>
        </w:rPr>
        <w:t>General Comment No 27 further provides that the concept of one’s ‘own country’ is broader than that of nationality.</w:t>
      </w:r>
      <w:r w:rsidRPr="00BF2102">
        <w:rPr>
          <w:rStyle w:val="EndnoteReference"/>
          <w:rFonts w:cs="Open Sans"/>
        </w:rPr>
        <w:endnoteReference w:id="39"/>
      </w:r>
      <w:r w:rsidRPr="00BF2102">
        <w:rPr>
          <w:rFonts w:cs="Open Sans"/>
        </w:rPr>
        <w:t xml:space="preserve"> The concept includes non-nationals who have special ties or an enduring connection to a particular country. Relevant factors will include a person’s length of residence, personal and family ties, intention to remain, and lack of these ties to other countries.</w:t>
      </w:r>
      <w:r w:rsidRPr="00BF2102">
        <w:rPr>
          <w:rStyle w:val="EndnoteReference"/>
          <w:rFonts w:cs="Open Sans"/>
        </w:rPr>
        <w:endnoteReference w:id="40"/>
      </w:r>
      <w:r w:rsidRPr="00BF2102">
        <w:rPr>
          <w:rFonts w:cs="Open Sans"/>
        </w:rPr>
        <w:t xml:space="preserve"> </w:t>
      </w:r>
    </w:p>
    <w:p w14:paraId="4CD21A01" w14:textId="77777777" w:rsidR="00AB056E" w:rsidRPr="00BF2102" w:rsidRDefault="007E7AE8" w:rsidP="00310D03">
      <w:pPr>
        <w:pStyle w:val="ListNumber"/>
        <w:numPr>
          <w:ilvl w:val="0"/>
          <w:numId w:val="15"/>
        </w:numPr>
        <w:tabs>
          <w:tab w:val="num" w:pos="993"/>
          <w:tab w:val="left" w:pos="1418"/>
        </w:tabs>
        <w:ind w:left="709" w:hanging="567"/>
        <w:rPr>
          <w:rFonts w:cs="Open Sans"/>
        </w:rPr>
      </w:pPr>
      <w:r w:rsidRPr="00BF2102">
        <w:rPr>
          <w:rFonts w:cs="Open Sans"/>
        </w:rPr>
        <w:t>Deprivation of Australian citizenship does not sever a person’s connection with Australia as their ‘own country’, including those who acquired their citizenship by birth.</w:t>
      </w:r>
    </w:p>
    <w:p w14:paraId="333C6444" w14:textId="337B6B3D" w:rsidR="00AB056E" w:rsidRPr="00BF2102" w:rsidRDefault="007643AD" w:rsidP="00310D03">
      <w:pPr>
        <w:pStyle w:val="ListNumber"/>
        <w:numPr>
          <w:ilvl w:val="0"/>
          <w:numId w:val="15"/>
        </w:numPr>
        <w:tabs>
          <w:tab w:val="num" w:pos="993"/>
          <w:tab w:val="left" w:pos="1418"/>
        </w:tabs>
        <w:ind w:left="709" w:hanging="567"/>
        <w:rPr>
          <w:rFonts w:cs="Open Sans"/>
        </w:rPr>
      </w:pPr>
      <w:r w:rsidRPr="00BF2102">
        <w:rPr>
          <w:rFonts w:cs="Open Sans"/>
        </w:rPr>
        <w:lastRenderedPageBreak/>
        <w:t xml:space="preserve">The cessation </w:t>
      </w:r>
      <w:r w:rsidR="007C5C8F" w:rsidRPr="00BF2102">
        <w:rPr>
          <w:rFonts w:cs="Open Sans"/>
        </w:rPr>
        <w:t xml:space="preserve">provisions </w:t>
      </w:r>
      <w:r w:rsidRPr="00BF2102">
        <w:rPr>
          <w:rFonts w:cs="Open Sans"/>
        </w:rPr>
        <w:t xml:space="preserve">can be applied to conduct of Australians that occurs </w:t>
      </w:r>
      <w:r w:rsidR="007C5C8F" w:rsidRPr="00BF2102">
        <w:rPr>
          <w:rFonts w:cs="Open Sans"/>
        </w:rPr>
        <w:t xml:space="preserve">either </w:t>
      </w:r>
      <w:r w:rsidRPr="00BF2102">
        <w:rPr>
          <w:rFonts w:cs="Open Sans"/>
        </w:rPr>
        <w:t>domestically or overseas. A person who loses their Australian citizenship while abroad would lose the right to re-enter Australia. A person who loses their Australian citizenship while in Australia would face immigration consequences</w:t>
      </w:r>
      <w:r w:rsidR="00AB056E" w:rsidRPr="00BF2102">
        <w:rPr>
          <w:rFonts w:cs="Open Sans"/>
        </w:rPr>
        <w:t>,</w:t>
      </w:r>
      <w:r w:rsidRPr="00BF2102">
        <w:rPr>
          <w:rFonts w:cs="Open Sans"/>
        </w:rPr>
        <w:t xml:space="preserve"> including</w:t>
      </w:r>
      <w:r w:rsidR="00735069" w:rsidRPr="00BF2102">
        <w:rPr>
          <w:rFonts w:cs="Open Sans"/>
        </w:rPr>
        <w:t xml:space="preserve"> </w:t>
      </w:r>
      <w:r w:rsidR="00C007F7" w:rsidRPr="00BF2102">
        <w:rPr>
          <w:rFonts w:cs="Open Sans"/>
        </w:rPr>
        <w:t xml:space="preserve">likely </w:t>
      </w:r>
      <w:r w:rsidR="00735069" w:rsidRPr="00BF2102">
        <w:rPr>
          <w:rFonts w:cs="Open Sans"/>
        </w:rPr>
        <w:t>mandatory</w:t>
      </w:r>
      <w:r w:rsidRPr="00BF2102">
        <w:rPr>
          <w:rFonts w:cs="Open Sans"/>
        </w:rPr>
        <w:t xml:space="preserve"> detention </w:t>
      </w:r>
      <w:r w:rsidR="00DB1380" w:rsidRPr="00BF2102">
        <w:rPr>
          <w:rFonts w:cs="Open Sans"/>
        </w:rPr>
        <w:t>until they are removed from Australia</w:t>
      </w:r>
      <w:r w:rsidRPr="00BF2102">
        <w:rPr>
          <w:rFonts w:cs="Open Sans"/>
        </w:rPr>
        <w:t>.</w:t>
      </w:r>
      <w:r w:rsidR="00DB1380" w:rsidRPr="00BF2102">
        <w:rPr>
          <w:rStyle w:val="EndnoteReference"/>
          <w:rFonts w:cs="Open Sans"/>
        </w:rPr>
        <w:endnoteReference w:id="41"/>
      </w:r>
      <w:r w:rsidR="00C007F7" w:rsidRPr="00BF2102">
        <w:rPr>
          <w:rFonts w:cs="Open Sans"/>
        </w:rPr>
        <w:t xml:space="preserve"> This issue is dealt with in more detail below.</w:t>
      </w:r>
    </w:p>
    <w:p w14:paraId="2EDF5E9E" w14:textId="63B25F5A" w:rsidR="00BE3F91" w:rsidRPr="00BF2102" w:rsidRDefault="007643AD" w:rsidP="00310D03">
      <w:pPr>
        <w:pStyle w:val="ListNumber"/>
        <w:numPr>
          <w:ilvl w:val="0"/>
          <w:numId w:val="15"/>
        </w:numPr>
        <w:tabs>
          <w:tab w:val="num" w:pos="993"/>
          <w:tab w:val="left" w:pos="1418"/>
        </w:tabs>
        <w:ind w:left="709" w:hanging="567"/>
        <w:rPr>
          <w:rFonts w:cs="Open Sans"/>
        </w:rPr>
      </w:pPr>
      <w:r w:rsidRPr="00BF2102">
        <w:rPr>
          <w:rFonts w:cs="Open Sans"/>
        </w:rPr>
        <w:t xml:space="preserve">These </w:t>
      </w:r>
      <w:r w:rsidR="00C11518" w:rsidRPr="00BF2102">
        <w:rPr>
          <w:rFonts w:cs="Open Sans"/>
        </w:rPr>
        <w:t xml:space="preserve">provisions </w:t>
      </w:r>
      <w:r w:rsidRPr="00BF2102">
        <w:rPr>
          <w:rFonts w:cs="Open Sans"/>
        </w:rPr>
        <w:t>therefore clearly</w:t>
      </w:r>
      <w:r w:rsidR="00BE3F91" w:rsidRPr="00BF2102">
        <w:rPr>
          <w:rFonts w:cs="Open Sans"/>
        </w:rPr>
        <w:t xml:space="preserve"> </w:t>
      </w:r>
      <w:r w:rsidRPr="00BF2102">
        <w:rPr>
          <w:rFonts w:cs="Open Sans"/>
        </w:rPr>
        <w:t xml:space="preserve">interfere with the right of an affected person to enter and remain in their own country, Australia. </w:t>
      </w:r>
      <w:r w:rsidR="00BE3F91" w:rsidRPr="00BF2102">
        <w:rPr>
          <w:rFonts w:cs="Open Sans"/>
        </w:rPr>
        <w:t>The critical question then becomes whether the limitation is an arbitrary interference.</w:t>
      </w:r>
    </w:p>
    <w:p w14:paraId="4A3DAC0A" w14:textId="6ED0AE71" w:rsidR="00BE3F91" w:rsidRPr="00BF2102" w:rsidRDefault="00BE3F91" w:rsidP="00310D03">
      <w:pPr>
        <w:pStyle w:val="ListNumber"/>
        <w:numPr>
          <w:ilvl w:val="0"/>
          <w:numId w:val="15"/>
        </w:numPr>
        <w:tabs>
          <w:tab w:val="num" w:pos="993"/>
          <w:tab w:val="left" w:pos="1418"/>
        </w:tabs>
        <w:ind w:left="709" w:hanging="567"/>
        <w:rPr>
          <w:rFonts w:cs="Open Sans"/>
        </w:rPr>
      </w:pPr>
      <w:r w:rsidRPr="00BF2102">
        <w:rPr>
          <w:rFonts w:cs="Open Sans"/>
        </w:rPr>
        <w:t>In relation to the concept of arbitrariness under article 12(4), the UN HR Committee has stated:</w:t>
      </w:r>
    </w:p>
    <w:p w14:paraId="3AFDD0E7" w14:textId="77777777" w:rsidR="00BE3F91" w:rsidRPr="00BF2102" w:rsidRDefault="00BE3F91" w:rsidP="00157352">
      <w:pPr>
        <w:pStyle w:val="Quotesub"/>
        <w:rPr>
          <w:rFonts w:cs="Open Sans"/>
        </w:rPr>
      </w:pPr>
      <w:r w:rsidRPr="00BF2102">
        <w:rPr>
          <w:rFonts w:cs="Open Sans"/>
        </w:rPr>
        <w:t>[A]</w:t>
      </w:r>
      <w:proofErr w:type="spellStart"/>
      <w:r w:rsidRPr="00BF2102">
        <w:rPr>
          <w:rFonts w:cs="Open Sans"/>
        </w:rPr>
        <w:t>rbitrariness</w:t>
      </w:r>
      <w:proofErr w:type="spellEnd"/>
      <w:r w:rsidRPr="00BF2102">
        <w:rPr>
          <w:rFonts w:cs="Open Sans"/>
        </w:rPr>
        <w:t xml:space="preserve"> in this context is intended to emphasize that it applies to all State action, legislative, administrative and judicial; it guarantees that even interferences provided for by law should be in accordance with the provisions, aims and objectives of the Covenant and should be, in any event, reasonable in the particular circumstances.</w:t>
      </w:r>
      <w:r w:rsidRPr="00BF2102">
        <w:rPr>
          <w:rStyle w:val="EndnoteReference"/>
          <w:rFonts w:cs="Open Sans"/>
        </w:rPr>
        <w:endnoteReference w:id="42"/>
      </w:r>
    </w:p>
    <w:p w14:paraId="3643FC85" w14:textId="77777777" w:rsidR="00BE3F91" w:rsidRPr="00BF2102" w:rsidRDefault="00BE3F91" w:rsidP="00310D03">
      <w:pPr>
        <w:pStyle w:val="ListNumber"/>
        <w:numPr>
          <w:ilvl w:val="0"/>
          <w:numId w:val="15"/>
        </w:numPr>
        <w:tabs>
          <w:tab w:val="num" w:pos="993"/>
          <w:tab w:val="left" w:pos="1418"/>
        </w:tabs>
        <w:ind w:left="709" w:hanging="567"/>
        <w:rPr>
          <w:rFonts w:cs="Open Sans"/>
        </w:rPr>
      </w:pPr>
      <w:r w:rsidRPr="00BF2102">
        <w:rPr>
          <w:rFonts w:cs="Open Sans"/>
        </w:rPr>
        <w:t>Under international human rights law, any limitation on human rights must also:</w:t>
      </w:r>
    </w:p>
    <w:p w14:paraId="693B428C" w14:textId="77777777" w:rsidR="00BE3F91" w:rsidRPr="00BF2102" w:rsidRDefault="00BE3F91" w:rsidP="00310D03">
      <w:pPr>
        <w:pStyle w:val="ListParagraph"/>
        <w:numPr>
          <w:ilvl w:val="0"/>
          <w:numId w:val="30"/>
        </w:numPr>
        <w:spacing w:before="120" w:after="120"/>
        <w:rPr>
          <w:rFonts w:cs="Open Sans"/>
        </w:rPr>
      </w:pPr>
      <w:r w:rsidRPr="00BF2102">
        <w:rPr>
          <w:rFonts w:cs="Open Sans"/>
        </w:rPr>
        <w:t>be lawful, meaning that any limitations on a human right must be provided for by law—legislation must be sufficiently specific and detail the precise circumstances in which interferences with rights may be permitted; laws must be precise and clear enough to allow individuals to regulate their conduct and should provide effective remedies in the case of abuse</w:t>
      </w:r>
    </w:p>
    <w:p w14:paraId="2174D299" w14:textId="77777777" w:rsidR="00BE3F91" w:rsidRPr="00BF2102" w:rsidRDefault="00BE3F91" w:rsidP="00310D03">
      <w:pPr>
        <w:pStyle w:val="ListParagraph"/>
        <w:numPr>
          <w:ilvl w:val="0"/>
          <w:numId w:val="30"/>
        </w:numPr>
        <w:spacing w:before="120" w:after="120"/>
        <w:rPr>
          <w:rFonts w:cs="Open Sans"/>
        </w:rPr>
      </w:pPr>
      <w:r w:rsidRPr="00BF2102">
        <w:rPr>
          <w:rFonts w:cs="Open Sans"/>
        </w:rPr>
        <w:t>be necessary to achieve a legitimate objective, consistent with the provisions and aims of the ICCPR</w:t>
      </w:r>
    </w:p>
    <w:p w14:paraId="19BFF3FA" w14:textId="77777777" w:rsidR="00BE3F91" w:rsidRPr="00BF2102" w:rsidRDefault="00BE3F91" w:rsidP="00310D03">
      <w:pPr>
        <w:pStyle w:val="ListParagraph"/>
        <w:numPr>
          <w:ilvl w:val="0"/>
          <w:numId w:val="30"/>
        </w:numPr>
        <w:spacing w:before="120" w:after="120"/>
        <w:rPr>
          <w:rFonts w:cs="Open Sans"/>
        </w:rPr>
      </w:pPr>
      <w:r w:rsidRPr="00BF2102">
        <w:rPr>
          <w:rFonts w:cs="Open Sans"/>
        </w:rPr>
        <w:t>be proportionate to achieving the legitimate objective.</w:t>
      </w:r>
      <w:r w:rsidRPr="00BF2102">
        <w:rPr>
          <w:rFonts w:cs="Open Sans"/>
          <w:sz w:val="20"/>
          <w:szCs w:val="20"/>
          <w:vertAlign w:val="superscript"/>
        </w:rPr>
        <w:endnoteReference w:id="43"/>
      </w:r>
      <w:r w:rsidRPr="00BF2102">
        <w:rPr>
          <w:rFonts w:cs="Open Sans"/>
        </w:rPr>
        <w:t xml:space="preserve"> </w:t>
      </w:r>
    </w:p>
    <w:p w14:paraId="73FF80BA" w14:textId="77777777" w:rsidR="00BE3F91" w:rsidRPr="00BF2102" w:rsidRDefault="00BE3F91" w:rsidP="00310D03">
      <w:pPr>
        <w:pStyle w:val="ListNumber"/>
        <w:numPr>
          <w:ilvl w:val="0"/>
          <w:numId w:val="15"/>
        </w:numPr>
        <w:tabs>
          <w:tab w:val="num" w:pos="993"/>
          <w:tab w:val="left" w:pos="1418"/>
        </w:tabs>
        <w:ind w:left="709" w:hanging="567"/>
        <w:rPr>
          <w:rFonts w:cs="Open Sans"/>
        </w:rPr>
      </w:pPr>
      <w:r w:rsidRPr="00BF2102">
        <w:rPr>
          <w:rFonts w:cs="Open Sans"/>
        </w:rPr>
        <w:t>In relation to the concept of reasonableness under article 12(4), the UN HR Committee has stated:</w:t>
      </w:r>
    </w:p>
    <w:p w14:paraId="2BFA67A4" w14:textId="77777777" w:rsidR="00BE3F91" w:rsidRPr="00BF2102" w:rsidRDefault="00BE3F91" w:rsidP="00BE3F91">
      <w:pPr>
        <w:pStyle w:val="Quotesub"/>
        <w:rPr>
          <w:rFonts w:cs="Open Sans"/>
        </w:rPr>
      </w:pPr>
      <w:r w:rsidRPr="00BF2102">
        <w:rPr>
          <w:rFonts w:cs="Open Sans"/>
        </w:rPr>
        <w:t>[T]he Committee considers that there are few, if any, circumstances in which deprivation of the right to enter one’s own country could be reasonable.</w:t>
      </w:r>
      <w:r w:rsidRPr="00BF2102">
        <w:rPr>
          <w:rFonts w:cs="Open Sans"/>
          <w:vertAlign w:val="superscript"/>
        </w:rPr>
        <w:endnoteReference w:id="44"/>
      </w:r>
    </w:p>
    <w:p w14:paraId="4066D306" w14:textId="052F115A" w:rsidR="00BE3F91" w:rsidRPr="00BF2102" w:rsidRDefault="00BE3F91" w:rsidP="00BE3F91">
      <w:pPr>
        <w:pStyle w:val="Heading2"/>
        <w:rPr>
          <w:rFonts w:cs="Open Sans"/>
        </w:rPr>
      </w:pPr>
      <w:bookmarkStart w:id="64" w:name="_Toc534878467"/>
      <w:bookmarkStart w:id="65" w:name="_Toc11407964"/>
      <w:r w:rsidRPr="00BF2102">
        <w:rPr>
          <w:rFonts w:cs="Open Sans"/>
        </w:rPr>
        <w:t>Other protections</w:t>
      </w:r>
      <w:bookmarkEnd w:id="64"/>
      <w:bookmarkEnd w:id="65"/>
    </w:p>
    <w:p w14:paraId="43BA5BDB" w14:textId="7DA24370" w:rsidR="00BE3F91" w:rsidRPr="00BF2102" w:rsidRDefault="00BE3F91" w:rsidP="00310D03">
      <w:pPr>
        <w:pStyle w:val="ListNumber"/>
        <w:numPr>
          <w:ilvl w:val="0"/>
          <w:numId w:val="15"/>
        </w:numPr>
        <w:tabs>
          <w:tab w:val="num" w:pos="993"/>
          <w:tab w:val="left" w:pos="1418"/>
        </w:tabs>
        <w:ind w:left="709" w:hanging="567"/>
        <w:rPr>
          <w:rFonts w:cs="Open Sans"/>
        </w:rPr>
      </w:pPr>
      <w:bookmarkStart w:id="66" w:name="_Hlk10463472"/>
      <w:r w:rsidRPr="00BF2102">
        <w:rPr>
          <w:rFonts w:cs="Open Sans"/>
        </w:rPr>
        <w:t xml:space="preserve">Children enjoy all rights protected by the ICCPR, as well as particular and special protections under the </w:t>
      </w:r>
      <w:r w:rsidR="008E6AF8" w:rsidRPr="00BF2102">
        <w:rPr>
          <w:rFonts w:cs="Open Sans"/>
        </w:rPr>
        <w:t>CRC</w:t>
      </w:r>
      <w:r w:rsidRPr="00BF2102">
        <w:rPr>
          <w:rFonts w:cs="Open Sans"/>
        </w:rPr>
        <w:t>.</w:t>
      </w:r>
      <w:r w:rsidRPr="00BF2102">
        <w:rPr>
          <w:rStyle w:val="EndnoteReference"/>
          <w:rFonts w:cs="Open Sans"/>
        </w:rPr>
        <w:endnoteReference w:id="45"/>
      </w:r>
      <w:r w:rsidRPr="00BF2102">
        <w:rPr>
          <w:rFonts w:cs="Open Sans"/>
        </w:rPr>
        <w:t xml:space="preserve"> </w:t>
      </w:r>
    </w:p>
    <w:p w14:paraId="5F62AFC2" w14:textId="77777777" w:rsidR="00BE3F91" w:rsidRPr="00BF2102" w:rsidRDefault="00BE3F91" w:rsidP="00310D03">
      <w:pPr>
        <w:pStyle w:val="ListNumber"/>
        <w:numPr>
          <w:ilvl w:val="0"/>
          <w:numId w:val="15"/>
        </w:numPr>
        <w:tabs>
          <w:tab w:val="num" w:pos="993"/>
          <w:tab w:val="left" w:pos="1418"/>
        </w:tabs>
        <w:ind w:left="709" w:hanging="567"/>
        <w:rPr>
          <w:rFonts w:cs="Open Sans"/>
        </w:rPr>
      </w:pPr>
      <w:bookmarkStart w:id="67" w:name="_Hlk10538901"/>
      <w:r w:rsidRPr="00BF2102">
        <w:rPr>
          <w:rFonts w:cs="Open Sans"/>
        </w:rPr>
        <w:lastRenderedPageBreak/>
        <w:t>Article 8(1) of the CRC protects the right of children to preserve their identity, which includes their nationality and family relations:</w:t>
      </w:r>
    </w:p>
    <w:p w14:paraId="67FD7F17" w14:textId="77777777" w:rsidR="00BE3F91" w:rsidRPr="00BF2102" w:rsidRDefault="00BE3F91" w:rsidP="00BE3F91">
      <w:pPr>
        <w:pStyle w:val="Quotesub"/>
        <w:rPr>
          <w:rFonts w:cs="Open Sans"/>
        </w:rPr>
      </w:pPr>
      <w:r w:rsidRPr="00BF2102">
        <w:rPr>
          <w:rFonts w:cs="Open Sans"/>
        </w:rPr>
        <w:t xml:space="preserve">States Parties undertake to respect the right of the child to preserve his or her </w:t>
      </w:r>
      <w:r w:rsidRPr="00BF2102">
        <w:rPr>
          <w:rFonts w:eastAsiaTheme="minorHAnsi" w:cs="Open Sans"/>
        </w:rPr>
        <w:t>identity</w:t>
      </w:r>
      <w:r w:rsidRPr="00BF2102">
        <w:rPr>
          <w:rFonts w:cs="Open Sans"/>
        </w:rPr>
        <w:t>, including nationality, name and family relations as recognized by law without unlawful interference.</w:t>
      </w:r>
    </w:p>
    <w:bookmarkEnd w:id="67"/>
    <w:p w14:paraId="0301787D" w14:textId="77777777" w:rsidR="00BE3F91" w:rsidRPr="00BF2102" w:rsidRDefault="00BE3F91" w:rsidP="00310D03">
      <w:pPr>
        <w:pStyle w:val="ListNumber"/>
        <w:numPr>
          <w:ilvl w:val="0"/>
          <w:numId w:val="15"/>
        </w:numPr>
        <w:tabs>
          <w:tab w:val="num" w:pos="993"/>
          <w:tab w:val="left" w:pos="1418"/>
        </w:tabs>
        <w:ind w:left="709" w:hanging="567"/>
        <w:rPr>
          <w:rFonts w:cs="Open Sans"/>
        </w:rPr>
      </w:pPr>
      <w:r w:rsidRPr="00BF2102">
        <w:rPr>
          <w:rFonts w:cs="Open Sans"/>
        </w:rPr>
        <w:t>Article 3 of the CRC also protects the best interests of the child:</w:t>
      </w:r>
    </w:p>
    <w:p w14:paraId="6A7812CC" w14:textId="77777777" w:rsidR="00BE3F91" w:rsidRPr="00BF2102" w:rsidRDefault="00BE3F91" w:rsidP="00BE3F91">
      <w:pPr>
        <w:pStyle w:val="Quotesub"/>
        <w:rPr>
          <w:rFonts w:cs="Open Sans"/>
        </w:rPr>
      </w:pPr>
      <w:r w:rsidRPr="00BF2102">
        <w:rPr>
          <w:rFonts w:cs="Open Sans"/>
        </w:rPr>
        <w:t>In all actions concerning children, whether undertaken by public or private social welfare institutions, courts of law, administrative authorities or legislative bodies, the best interests of the child shall be a primary consideration.</w:t>
      </w:r>
    </w:p>
    <w:bookmarkEnd w:id="66"/>
    <w:p w14:paraId="11D8A489" w14:textId="77777777" w:rsidR="002F6188" w:rsidRPr="00BF2102" w:rsidRDefault="002F6188" w:rsidP="002F6188">
      <w:pPr>
        <w:pStyle w:val="ListNumber"/>
        <w:numPr>
          <w:ilvl w:val="0"/>
          <w:numId w:val="15"/>
        </w:numPr>
        <w:tabs>
          <w:tab w:val="num" w:pos="993"/>
          <w:tab w:val="left" w:pos="1418"/>
        </w:tabs>
        <w:ind w:left="709" w:hanging="567"/>
        <w:rPr>
          <w:rFonts w:cs="Open Sans"/>
        </w:rPr>
      </w:pPr>
      <w:r w:rsidRPr="00BF2102">
        <w:rPr>
          <w:rFonts w:cs="Open Sans"/>
        </w:rPr>
        <w:t xml:space="preserve">Children are also </w:t>
      </w:r>
      <w:bookmarkStart w:id="68" w:name="_Hlk11318486"/>
      <w:r w:rsidRPr="00BF2102">
        <w:rPr>
          <w:rFonts w:cs="Open Sans"/>
        </w:rPr>
        <w:t xml:space="preserve">protected against arbitrary or unlawful interferences with their privacy, family and home under </w:t>
      </w:r>
      <w:bookmarkEnd w:id="68"/>
      <w:r w:rsidRPr="00BF2102">
        <w:rPr>
          <w:rFonts w:cs="Open Sans"/>
        </w:rPr>
        <w:t>article 16(1) of the CRC.</w:t>
      </w:r>
    </w:p>
    <w:p w14:paraId="1B760F94" w14:textId="59A36605" w:rsidR="00B31E80" w:rsidRPr="00BF2102" w:rsidRDefault="009B1489" w:rsidP="00310D03">
      <w:pPr>
        <w:pStyle w:val="ListNumber"/>
        <w:numPr>
          <w:ilvl w:val="0"/>
          <w:numId w:val="15"/>
        </w:numPr>
        <w:tabs>
          <w:tab w:val="num" w:pos="993"/>
          <w:tab w:val="left" w:pos="1418"/>
        </w:tabs>
        <w:ind w:left="709" w:hanging="567"/>
        <w:rPr>
          <w:rFonts w:cs="Open Sans"/>
        </w:rPr>
      </w:pPr>
      <w:r w:rsidRPr="00BF2102">
        <w:rPr>
          <w:rFonts w:cs="Open Sans"/>
        </w:rPr>
        <w:t>Australia has also assumed obligations under the Statelessness Convention. Article 8(1) of the Statelessness Convention provides that a state ‘shall not deprive a person of its nationality if such deprivation would render him stateless’.</w:t>
      </w:r>
      <w:r w:rsidRPr="00BF2102">
        <w:rPr>
          <w:rStyle w:val="EndnoteReference"/>
          <w:rFonts w:cs="Open Sans"/>
        </w:rPr>
        <w:endnoteReference w:id="46"/>
      </w:r>
      <w:r w:rsidRPr="00BF2102">
        <w:rPr>
          <w:rFonts w:cs="Open Sans"/>
        </w:rPr>
        <w:t xml:space="preserve"> </w:t>
      </w:r>
    </w:p>
    <w:p w14:paraId="1B4067BA" w14:textId="326CC0D7" w:rsidR="002F42DE" w:rsidRPr="00BF2102" w:rsidRDefault="002F42DE" w:rsidP="00310D03">
      <w:pPr>
        <w:pStyle w:val="ListNumber"/>
        <w:numPr>
          <w:ilvl w:val="0"/>
          <w:numId w:val="15"/>
        </w:numPr>
        <w:tabs>
          <w:tab w:val="num" w:pos="993"/>
          <w:tab w:val="left" w:pos="1418"/>
        </w:tabs>
        <w:ind w:left="709" w:hanging="567"/>
        <w:rPr>
          <w:rFonts w:cs="Open Sans"/>
        </w:rPr>
      </w:pPr>
      <w:r w:rsidRPr="00BF2102">
        <w:rPr>
          <w:rFonts w:cs="Open Sans"/>
        </w:rPr>
        <w:t xml:space="preserve">Article 15(2) of the </w:t>
      </w:r>
      <w:r w:rsidR="001A596C" w:rsidRPr="00BF2102">
        <w:rPr>
          <w:rFonts w:cs="Open Sans"/>
        </w:rPr>
        <w:t>Universal Declaration of Human Rights (</w:t>
      </w:r>
      <w:r w:rsidRPr="00BF2102">
        <w:rPr>
          <w:rFonts w:cs="Open Sans"/>
          <w:iCs/>
        </w:rPr>
        <w:t>UDHR</w:t>
      </w:r>
      <w:r w:rsidR="001A596C" w:rsidRPr="00BF2102">
        <w:rPr>
          <w:rFonts w:cs="Open Sans"/>
          <w:iCs/>
        </w:rPr>
        <w:t>)</w:t>
      </w:r>
      <w:r w:rsidRPr="00BF2102">
        <w:rPr>
          <w:rFonts w:cs="Open Sans"/>
          <w:iCs/>
        </w:rPr>
        <w:t xml:space="preserve"> further</w:t>
      </w:r>
      <w:r w:rsidRPr="00BF2102">
        <w:rPr>
          <w:rFonts w:cs="Open Sans"/>
          <w:i/>
          <w:iCs/>
        </w:rPr>
        <w:t xml:space="preserve"> </w:t>
      </w:r>
      <w:r w:rsidRPr="00BF2102">
        <w:rPr>
          <w:rFonts w:cs="Open Sans"/>
        </w:rPr>
        <w:t>provides that ‘no one shall be arbitrarily deprived of his nationality’.</w:t>
      </w:r>
      <w:r w:rsidRPr="00BF2102">
        <w:rPr>
          <w:rStyle w:val="EndnoteReference"/>
          <w:rFonts w:cs="Open Sans"/>
          <w:iCs/>
        </w:rPr>
        <w:endnoteReference w:id="47"/>
      </w:r>
      <w:r w:rsidRPr="00BF2102">
        <w:rPr>
          <w:rFonts w:cs="Open Sans"/>
        </w:rPr>
        <w:t xml:space="preserve"> This prohibition is considered to be a rule of general customary international law.</w:t>
      </w:r>
      <w:r w:rsidRPr="00BF2102">
        <w:rPr>
          <w:rStyle w:val="EndnoteReference"/>
          <w:rFonts w:cs="Open Sans"/>
        </w:rPr>
        <w:endnoteReference w:id="48"/>
      </w:r>
    </w:p>
    <w:p w14:paraId="05F3E340" w14:textId="56C112F8" w:rsidR="008E6AF8" w:rsidRPr="00BF2102" w:rsidRDefault="00B31E80" w:rsidP="00310D03">
      <w:pPr>
        <w:pStyle w:val="ListNumber"/>
        <w:numPr>
          <w:ilvl w:val="0"/>
          <w:numId w:val="15"/>
        </w:numPr>
        <w:tabs>
          <w:tab w:val="num" w:pos="993"/>
          <w:tab w:val="left" w:pos="1418"/>
        </w:tabs>
        <w:ind w:left="709" w:hanging="567"/>
        <w:rPr>
          <w:rFonts w:cs="Open Sans"/>
        </w:rPr>
      </w:pPr>
      <w:r w:rsidRPr="00BF2102">
        <w:rPr>
          <w:rFonts w:cs="Open Sans"/>
        </w:rPr>
        <w:t>If a person’s Australian citizenship is removed on the incorrect understanding that they are the citizen of another country, they may be made stateless</w:t>
      </w:r>
      <w:r w:rsidR="007715FE" w:rsidRPr="00BF2102">
        <w:rPr>
          <w:rFonts w:cs="Open Sans"/>
        </w:rPr>
        <w:t xml:space="preserve"> in contravention of these obligations</w:t>
      </w:r>
      <w:r w:rsidRPr="00BF2102">
        <w:rPr>
          <w:rFonts w:cs="Open Sans"/>
        </w:rPr>
        <w:t xml:space="preserve">. </w:t>
      </w:r>
      <w:r w:rsidR="003119FE" w:rsidRPr="00BF2102">
        <w:rPr>
          <w:rFonts w:cs="Open Sans"/>
        </w:rPr>
        <w:t>T</w:t>
      </w:r>
      <w:r w:rsidR="009B1489" w:rsidRPr="00BF2102">
        <w:rPr>
          <w:rFonts w:cs="Open Sans"/>
        </w:rPr>
        <w:t>he current legislative scheme provides a safeguard to statelessness</w:t>
      </w:r>
      <w:r w:rsidR="008E6AF8" w:rsidRPr="00BF2102">
        <w:rPr>
          <w:rFonts w:cs="Open Sans"/>
        </w:rPr>
        <w:t>—</w:t>
      </w:r>
      <w:r w:rsidR="003119FE" w:rsidRPr="00BF2102">
        <w:rPr>
          <w:rFonts w:cs="Open Sans"/>
        </w:rPr>
        <w:t>t</w:t>
      </w:r>
      <w:r w:rsidRPr="00BF2102">
        <w:rPr>
          <w:rFonts w:cs="Open Sans"/>
        </w:rPr>
        <w:t xml:space="preserve">he question whether a person is a national or citizen of another country is a jurisdictional fact. </w:t>
      </w:r>
    </w:p>
    <w:p w14:paraId="10D7FE93" w14:textId="48019FEA" w:rsidR="007E2F74" w:rsidRPr="00BF2102" w:rsidRDefault="00B31E80" w:rsidP="00310D03">
      <w:pPr>
        <w:pStyle w:val="ListNumber"/>
        <w:numPr>
          <w:ilvl w:val="0"/>
          <w:numId w:val="15"/>
        </w:numPr>
        <w:tabs>
          <w:tab w:val="num" w:pos="993"/>
          <w:tab w:val="left" w:pos="1418"/>
        </w:tabs>
        <w:ind w:left="709" w:hanging="567"/>
        <w:rPr>
          <w:rFonts w:cs="Open Sans"/>
        </w:rPr>
      </w:pPr>
      <w:r w:rsidRPr="00BF2102">
        <w:rPr>
          <w:rFonts w:cs="Open Sans"/>
        </w:rPr>
        <w:t xml:space="preserve">This means that a court </w:t>
      </w:r>
      <w:r w:rsidR="001A596C" w:rsidRPr="00BF2102">
        <w:rPr>
          <w:rFonts w:cs="Open Sans"/>
        </w:rPr>
        <w:t xml:space="preserve">exercising </w:t>
      </w:r>
      <w:r w:rsidRPr="00BF2102">
        <w:rPr>
          <w:rFonts w:cs="Open Sans"/>
        </w:rPr>
        <w:t xml:space="preserve">judicial review can receive evidence of whether the individual in question </w:t>
      </w:r>
      <w:proofErr w:type="gramStart"/>
      <w:r w:rsidRPr="00BF2102">
        <w:rPr>
          <w:rFonts w:cs="Open Sans"/>
        </w:rPr>
        <w:t>is indeed a dual citizen</w:t>
      </w:r>
      <w:proofErr w:type="gramEnd"/>
      <w:r w:rsidRPr="00BF2102">
        <w:rPr>
          <w:rFonts w:cs="Open Sans"/>
        </w:rPr>
        <w:t xml:space="preserve">. If the Minister has wrongly </w:t>
      </w:r>
      <w:r w:rsidR="00C007F7" w:rsidRPr="00BF2102">
        <w:rPr>
          <w:rFonts w:cs="Open Sans"/>
        </w:rPr>
        <w:t>made a determination under s 35</w:t>
      </w:r>
      <w:proofErr w:type="gramStart"/>
      <w:r w:rsidR="00C007F7" w:rsidRPr="00BF2102">
        <w:rPr>
          <w:rFonts w:cs="Open Sans"/>
        </w:rPr>
        <w:t>A(</w:t>
      </w:r>
      <w:proofErr w:type="gramEnd"/>
      <w:r w:rsidR="00C007F7" w:rsidRPr="00BF2102">
        <w:rPr>
          <w:rFonts w:cs="Open Sans"/>
        </w:rPr>
        <w:t xml:space="preserve">1) in respect of a person who was not </w:t>
      </w:r>
      <w:r w:rsidRPr="00BF2102">
        <w:rPr>
          <w:rFonts w:cs="Open Sans"/>
        </w:rPr>
        <w:t>a dual citizen, the court can correct this error</w:t>
      </w:r>
      <w:r w:rsidR="001A596C" w:rsidRPr="00BF2102">
        <w:rPr>
          <w:rFonts w:cs="Open Sans"/>
        </w:rPr>
        <w:t xml:space="preserve"> based on the court’s own assessment of the relevant evidence</w:t>
      </w:r>
      <w:r w:rsidRPr="00BF2102">
        <w:rPr>
          <w:rFonts w:cs="Open Sans"/>
        </w:rPr>
        <w:t xml:space="preserve">. </w:t>
      </w:r>
      <w:r w:rsidR="006D40CF" w:rsidRPr="00BF2102">
        <w:rPr>
          <w:rFonts w:cs="Open Sans"/>
        </w:rPr>
        <w:t xml:space="preserve">In the case of the conduct-based automatic loss provisions, if </w:t>
      </w:r>
      <w:r w:rsidR="00DD770C" w:rsidRPr="00BF2102">
        <w:rPr>
          <w:rFonts w:cs="Open Sans"/>
        </w:rPr>
        <w:t xml:space="preserve">a </w:t>
      </w:r>
      <w:r w:rsidR="006D40CF" w:rsidRPr="00BF2102">
        <w:rPr>
          <w:rFonts w:cs="Open Sans"/>
        </w:rPr>
        <w:t>c</w:t>
      </w:r>
      <w:r w:rsidR="00DD770C" w:rsidRPr="00BF2102">
        <w:rPr>
          <w:rFonts w:cs="Open Sans"/>
        </w:rPr>
        <w:t xml:space="preserve">ourt </w:t>
      </w:r>
      <w:r w:rsidR="006D40CF" w:rsidRPr="00BF2102">
        <w:rPr>
          <w:rFonts w:cs="Open Sans"/>
        </w:rPr>
        <w:t>finds that the person was not a national or citizen of a country other than Australia at the time of the relevant conduct, the person’s Australian citizenship is taken never to have ceased.</w:t>
      </w:r>
      <w:r w:rsidR="006D40CF" w:rsidRPr="00BF2102">
        <w:rPr>
          <w:rStyle w:val="EndnoteReference"/>
          <w:rFonts w:cs="Open Sans"/>
        </w:rPr>
        <w:endnoteReference w:id="49"/>
      </w:r>
    </w:p>
    <w:p w14:paraId="494E0320" w14:textId="34F4F33E" w:rsidR="00B31E80" w:rsidRPr="00BF2102" w:rsidRDefault="00AE4990"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reiterates its </w:t>
      </w:r>
      <w:r w:rsidR="007715FE" w:rsidRPr="00BF2102">
        <w:rPr>
          <w:rFonts w:cs="Open Sans"/>
        </w:rPr>
        <w:t xml:space="preserve">previously articulated </w:t>
      </w:r>
      <w:r w:rsidRPr="00BF2102">
        <w:rPr>
          <w:rFonts w:cs="Open Sans"/>
        </w:rPr>
        <w:t>concern that any lowering of this threshold</w:t>
      </w:r>
      <w:r w:rsidR="007715FE" w:rsidRPr="00BF2102">
        <w:rPr>
          <w:rFonts w:cs="Open Sans"/>
        </w:rPr>
        <w:t xml:space="preserve">, as proposed in the Australian Citizenship </w:t>
      </w:r>
      <w:r w:rsidR="007715FE" w:rsidRPr="00BF2102">
        <w:rPr>
          <w:rFonts w:cs="Open Sans"/>
        </w:rPr>
        <w:lastRenderedPageBreak/>
        <w:t>Amendment (Strengthening the Citizenship Loss Provisions) Bill 2018 (Cth)</w:t>
      </w:r>
      <w:r w:rsidR="007879CB" w:rsidRPr="00BF2102">
        <w:rPr>
          <w:rFonts w:cs="Open Sans"/>
        </w:rPr>
        <w:t xml:space="preserve"> with respect to s 35A</w:t>
      </w:r>
      <w:r w:rsidR="007715FE" w:rsidRPr="00BF2102">
        <w:rPr>
          <w:rFonts w:cs="Open Sans"/>
        </w:rPr>
        <w:t>,</w:t>
      </w:r>
      <w:r w:rsidRPr="00BF2102">
        <w:rPr>
          <w:rFonts w:cs="Open Sans"/>
        </w:rPr>
        <w:t xml:space="preserve"> would impermissibly increase </w:t>
      </w:r>
      <w:r w:rsidR="007879CB" w:rsidRPr="00BF2102">
        <w:rPr>
          <w:rFonts w:cs="Open Sans"/>
        </w:rPr>
        <w:t xml:space="preserve">a person’s </w:t>
      </w:r>
      <w:r w:rsidRPr="00BF2102">
        <w:rPr>
          <w:rFonts w:cs="Open Sans"/>
        </w:rPr>
        <w:t>risk of statelessness</w:t>
      </w:r>
      <w:r w:rsidR="007715FE" w:rsidRPr="00BF2102">
        <w:rPr>
          <w:rFonts w:cs="Open Sans"/>
        </w:rPr>
        <w:t>.</w:t>
      </w:r>
      <w:r w:rsidR="007879CB" w:rsidRPr="00BF2102">
        <w:rPr>
          <w:rStyle w:val="EndnoteReference"/>
          <w:rFonts w:cs="Open Sans"/>
        </w:rPr>
        <w:endnoteReference w:id="50"/>
      </w:r>
      <w:r w:rsidR="00D42EBC" w:rsidRPr="00BF2102">
        <w:rPr>
          <w:rFonts w:cs="Open Sans"/>
        </w:rPr>
        <w:t xml:space="preserve"> </w:t>
      </w:r>
    </w:p>
    <w:p w14:paraId="73B08688" w14:textId="77648896" w:rsidR="007B1E39" w:rsidRPr="00BF2102" w:rsidRDefault="007B1E39" w:rsidP="00310D03">
      <w:pPr>
        <w:pStyle w:val="ListNumber"/>
        <w:numPr>
          <w:ilvl w:val="0"/>
          <w:numId w:val="15"/>
        </w:numPr>
        <w:tabs>
          <w:tab w:val="num" w:pos="993"/>
          <w:tab w:val="left" w:pos="1418"/>
        </w:tabs>
        <w:ind w:left="709" w:hanging="567"/>
        <w:rPr>
          <w:rFonts w:cs="Open Sans"/>
        </w:rPr>
      </w:pPr>
      <w:r w:rsidRPr="00BF2102">
        <w:rPr>
          <w:rFonts w:cs="Open Sans"/>
        </w:rPr>
        <w:t>Removal of citizenship is likely to significantly limit numerous other human rights protected in the ICCPR and other</w:t>
      </w:r>
      <w:r w:rsidR="00E61862" w:rsidRPr="00BF2102">
        <w:rPr>
          <w:rFonts w:cs="Open Sans"/>
        </w:rPr>
        <w:t xml:space="preserve"> human rights</w:t>
      </w:r>
      <w:r w:rsidRPr="00BF2102">
        <w:rPr>
          <w:rFonts w:cs="Open Sans"/>
        </w:rPr>
        <w:t xml:space="preserve"> conventions to which Australia is a signatory. </w:t>
      </w:r>
    </w:p>
    <w:p w14:paraId="56261108" w14:textId="341344E6" w:rsidR="007B1E39" w:rsidRPr="00BF2102" w:rsidRDefault="00EC207A" w:rsidP="00310D03">
      <w:pPr>
        <w:pStyle w:val="ListNumber"/>
        <w:numPr>
          <w:ilvl w:val="0"/>
          <w:numId w:val="15"/>
        </w:numPr>
        <w:tabs>
          <w:tab w:val="num" w:pos="993"/>
          <w:tab w:val="left" w:pos="1418"/>
        </w:tabs>
        <w:ind w:left="709" w:hanging="567"/>
        <w:rPr>
          <w:rFonts w:cs="Open Sans"/>
        </w:rPr>
      </w:pPr>
      <w:r w:rsidRPr="00BF2102">
        <w:rPr>
          <w:rFonts w:cs="Open Sans"/>
        </w:rPr>
        <w:t>Without undertaking a</w:t>
      </w:r>
      <w:r w:rsidR="007B1E39" w:rsidRPr="00BF2102">
        <w:rPr>
          <w:rFonts w:cs="Open Sans"/>
        </w:rPr>
        <w:t xml:space="preserve"> comprehensive analys</w:t>
      </w:r>
      <w:r w:rsidRPr="00BF2102">
        <w:rPr>
          <w:rFonts w:cs="Open Sans"/>
        </w:rPr>
        <w:t>is of</w:t>
      </w:r>
      <w:r w:rsidR="007B1E39" w:rsidRPr="00BF2102">
        <w:rPr>
          <w:rFonts w:cs="Open Sans"/>
        </w:rPr>
        <w:t xml:space="preserve"> the consequences of removal of citizenship</w:t>
      </w:r>
      <w:r w:rsidRPr="00BF2102">
        <w:rPr>
          <w:rFonts w:cs="Open Sans"/>
        </w:rPr>
        <w:t>, it suffices for present purposes to observe that</w:t>
      </w:r>
      <w:r w:rsidR="004C070A" w:rsidRPr="00BF2102">
        <w:rPr>
          <w:rFonts w:cs="Open Sans"/>
        </w:rPr>
        <w:t xml:space="preserve"> </w:t>
      </w:r>
      <w:r w:rsidRPr="00BF2102">
        <w:rPr>
          <w:rFonts w:cs="Open Sans"/>
        </w:rPr>
        <w:t xml:space="preserve">the </w:t>
      </w:r>
      <w:r w:rsidR="007B1E39" w:rsidRPr="00BF2102">
        <w:rPr>
          <w:rFonts w:cs="Open Sans"/>
        </w:rPr>
        <w:t>resulting human rights implications</w:t>
      </w:r>
      <w:r w:rsidR="004C070A" w:rsidRPr="00BF2102">
        <w:rPr>
          <w:rFonts w:cs="Open Sans"/>
        </w:rPr>
        <w:t xml:space="preserve"> </w:t>
      </w:r>
      <w:r w:rsidR="007B1E39" w:rsidRPr="00BF2102">
        <w:rPr>
          <w:rFonts w:cs="Open Sans"/>
        </w:rPr>
        <w:t xml:space="preserve">may be extensive and not immediately apparent. </w:t>
      </w:r>
    </w:p>
    <w:p w14:paraId="0D68430A" w14:textId="6246ECD1" w:rsidR="007B1E39" w:rsidRPr="00BF2102" w:rsidRDefault="00EC207A" w:rsidP="00310D03">
      <w:pPr>
        <w:pStyle w:val="ListNumber"/>
        <w:numPr>
          <w:ilvl w:val="0"/>
          <w:numId w:val="15"/>
        </w:numPr>
        <w:tabs>
          <w:tab w:val="num" w:pos="993"/>
          <w:tab w:val="left" w:pos="1418"/>
        </w:tabs>
        <w:ind w:left="709" w:hanging="567"/>
        <w:rPr>
          <w:rFonts w:cs="Open Sans"/>
        </w:rPr>
      </w:pPr>
      <w:r w:rsidRPr="00BF2102">
        <w:rPr>
          <w:rFonts w:cs="Open Sans"/>
        </w:rPr>
        <w:t xml:space="preserve">For </w:t>
      </w:r>
      <w:r w:rsidR="007B1E39" w:rsidRPr="00BF2102">
        <w:rPr>
          <w:rFonts w:cs="Open Sans"/>
        </w:rPr>
        <w:t>example, removal of citizenship may lead to loss of a passport,</w:t>
      </w:r>
      <w:r w:rsidR="007B1E39" w:rsidRPr="00BF2102">
        <w:rPr>
          <w:rStyle w:val="EndnoteReference"/>
          <w:rFonts w:cs="Open Sans"/>
        </w:rPr>
        <w:endnoteReference w:id="51"/>
      </w:r>
      <w:r w:rsidR="007B1E39" w:rsidRPr="00BF2102">
        <w:rPr>
          <w:rFonts w:cs="Open Sans"/>
        </w:rPr>
        <w:t xml:space="preserve"> removal from the electoral roll,</w:t>
      </w:r>
      <w:r w:rsidR="007B1E39" w:rsidRPr="00BF2102">
        <w:rPr>
          <w:rStyle w:val="EndnoteReference"/>
          <w:rFonts w:cs="Open Sans"/>
        </w:rPr>
        <w:endnoteReference w:id="52"/>
      </w:r>
      <w:r w:rsidR="007B1E39" w:rsidRPr="00BF2102">
        <w:rPr>
          <w:rFonts w:cs="Open Sans"/>
        </w:rPr>
        <w:t xml:space="preserve"> and loss of entitlement to social security benefits.</w:t>
      </w:r>
      <w:r w:rsidR="007B1E39" w:rsidRPr="00BF2102">
        <w:rPr>
          <w:rStyle w:val="EndnoteReference"/>
          <w:rFonts w:cs="Open Sans"/>
        </w:rPr>
        <w:endnoteReference w:id="53"/>
      </w:r>
      <w:r w:rsidR="007B1E39" w:rsidRPr="00BF2102">
        <w:rPr>
          <w:rFonts w:cs="Open Sans"/>
        </w:rPr>
        <w:t xml:space="preserve"> It would change the activities that intelligence organisations such as the Australian Secret Intelligence Service and the Australian Signals Directorate can undertake with respect to a person.</w:t>
      </w:r>
      <w:r w:rsidR="007B1E39" w:rsidRPr="00BF2102">
        <w:rPr>
          <w:rStyle w:val="EndnoteReference"/>
          <w:rFonts w:cs="Open Sans"/>
        </w:rPr>
        <w:endnoteReference w:id="54"/>
      </w:r>
      <w:r w:rsidR="007B1E39" w:rsidRPr="00BF2102">
        <w:rPr>
          <w:rFonts w:cs="Open Sans"/>
        </w:rPr>
        <w:t xml:space="preserve"> </w:t>
      </w:r>
    </w:p>
    <w:p w14:paraId="09E83149" w14:textId="13456A74" w:rsidR="007B1E39" w:rsidRPr="00BF2102" w:rsidRDefault="007B1E39" w:rsidP="00310D03">
      <w:pPr>
        <w:pStyle w:val="ListNumber"/>
        <w:numPr>
          <w:ilvl w:val="0"/>
          <w:numId w:val="15"/>
        </w:numPr>
        <w:tabs>
          <w:tab w:val="num" w:pos="993"/>
          <w:tab w:val="left" w:pos="1418"/>
        </w:tabs>
        <w:ind w:left="709" w:hanging="567"/>
        <w:rPr>
          <w:rFonts w:cs="Open Sans"/>
        </w:rPr>
      </w:pPr>
      <w:r w:rsidRPr="00BF2102">
        <w:rPr>
          <w:rFonts w:cs="Open Sans"/>
        </w:rPr>
        <w:t xml:space="preserve">Further, </w:t>
      </w:r>
      <w:r w:rsidR="00DB1380" w:rsidRPr="00BF2102">
        <w:rPr>
          <w:rFonts w:cs="Open Sans"/>
        </w:rPr>
        <w:t>a</w:t>
      </w:r>
      <w:r w:rsidRPr="00BF2102">
        <w:rPr>
          <w:rFonts w:cs="Open Sans"/>
        </w:rPr>
        <w:t xml:space="preserve"> person who has their Australian citizenship removed while in Australia would automatically be granted an ex-citizen visa.</w:t>
      </w:r>
      <w:r w:rsidRPr="00BF2102">
        <w:rPr>
          <w:rStyle w:val="EndnoteReference"/>
          <w:rFonts w:cs="Open Sans"/>
        </w:rPr>
        <w:endnoteReference w:id="55"/>
      </w:r>
      <w:r w:rsidRPr="00BF2102">
        <w:rPr>
          <w:rFonts w:cs="Open Sans"/>
        </w:rPr>
        <w:t xml:space="preserve"> However, that visa could be revoked at the discretion of the Minister. The circumstances which led to the loss of citizenship would almost certainly mean that the person fails the ‘character test’, enlivening the Minister’s powers of visa cancellation. In the case of loss of citizenship on the basis of a conviction, the conviction would enliven the automatic visa cancellation provision in s 501(3A) of the </w:t>
      </w:r>
      <w:r w:rsidRPr="00BF2102">
        <w:rPr>
          <w:rFonts w:cs="Open Sans"/>
          <w:i/>
        </w:rPr>
        <w:t>Migration Act</w:t>
      </w:r>
      <w:r w:rsidRPr="00BF2102">
        <w:rPr>
          <w:rFonts w:cs="Open Sans"/>
        </w:rPr>
        <w:t xml:space="preserve"> </w:t>
      </w:r>
      <w:r w:rsidRPr="00BF2102">
        <w:rPr>
          <w:rFonts w:cs="Open Sans"/>
          <w:i/>
        </w:rPr>
        <w:t xml:space="preserve">1958 </w:t>
      </w:r>
      <w:r w:rsidRPr="00BF2102">
        <w:rPr>
          <w:rFonts w:cs="Open Sans"/>
        </w:rPr>
        <w:t>(Cth)</w:t>
      </w:r>
      <w:r w:rsidR="00207D49" w:rsidRPr="00BF2102">
        <w:rPr>
          <w:rFonts w:cs="Open Sans"/>
        </w:rPr>
        <w:t xml:space="preserve"> because the person would have a ‘substantial criminal record’</w:t>
      </w:r>
      <w:r w:rsidRPr="00BF2102">
        <w:rPr>
          <w:rFonts w:cs="Open Sans"/>
        </w:rPr>
        <w:t xml:space="preserve">. </w:t>
      </w:r>
    </w:p>
    <w:p w14:paraId="41347CF8" w14:textId="4D00E06D" w:rsidR="00DB1380" w:rsidRPr="00BF2102" w:rsidRDefault="00DB1380" w:rsidP="00310D03">
      <w:pPr>
        <w:pStyle w:val="ListNumber"/>
        <w:numPr>
          <w:ilvl w:val="0"/>
          <w:numId w:val="15"/>
        </w:numPr>
        <w:tabs>
          <w:tab w:val="num" w:pos="993"/>
          <w:tab w:val="left" w:pos="1418"/>
        </w:tabs>
        <w:ind w:left="709" w:hanging="567"/>
        <w:rPr>
          <w:rFonts w:cs="Open Sans"/>
        </w:rPr>
      </w:pPr>
      <w:r w:rsidRPr="00BF2102">
        <w:rPr>
          <w:rFonts w:cs="Open Sans"/>
        </w:rPr>
        <w:t>The result would be that</w:t>
      </w:r>
      <w:r w:rsidR="00207D49" w:rsidRPr="00BF2102">
        <w:rPr>
          <w:rFonts w:cs="Open Sans"/>
        </w:rPr>
        <w:t>, unless the Minister decided to revoke the mandatory visa cancellation,</w:t>
      </w:r>
      <w:r w:rsidRPr="00BF2102">
        <w:rPr>
          <w:rFonts w:cs="Open Sans"/>
        </w:rPr>
        <w:t xml:space="preserve"> a person who lost their citizenship while in Australia would </w:t>
      </w:r>
      <w:r w:rsidR="005E3E30" w:rsidRPr="00BF2102">
        <w:rPr>
          <w:rFonts w:cs="Open Sans"/>
        </w:rPr>
        <w:t xml:space="preserve">likely </w:t>
      </w:r>
      <w:r w:rsidRPr="00BF2102">
        <w:rPr>
          <w:rFonts w:cs="Open Sans"/>
        </w:rPr>
        <w:t>be subject to immigration detention until such time as they were removed from Australia.</w:t>
      </w:r>
      <w:r w:rsidR="00DA2762" w:rsidRPr="00BF2102">
        <w:rPr>
          <w:rFonts w:cs="Open Sans"/>
        </w:rPr>
        <w:t xml:space="preserve"> </w:t>
      </w:r>
    </w:p>
    <w:p w14:paraId="2BB76D8D" w14:textId="55F7EFC8" w:rsidR="007B1E39" w:rsidRPr="00BF2102" w:rsidRDefault="007B1E39" w:rsidP="00310D03">
      <w:pPr>
        <w:pStyle w:val="ListNumber"/>
        <w:numPr>
          <w:ilvl w:val="0"/>
          <w:numId w:val="15"/>
        </w:numPr>
        <w:tabs>
          <w:tab w:val="num" w:pos="993"/>
          <w:tab w:val="left" w:pos="1418"/>
        </w:tabs>
        <w:ind w:left="709" w:hanging="567"/>
        <w:rPr>
          <w:rFonts w:cs="Open Sans"/>
        </w:rPr>
      </w:pPr>
      <w:r w:rsidRPr="00BF2102">
        <w:rPr>
          <w:rFonts w:cs="Open Sans"/>
        </w:rPr>
        <w:t xml:space="preserve">Australia’s mandatory immigration detention policy has been found by the UN HR Committee to </w:t>
      </w:r>
      <w:r w:rsidR="00EC207A" w:rsidRPr="00BF2102">
        <w:rPr>
          <w:rFonts w:cs="Open Sans"/>
        </w:rPr>
        <w:t xml:space="preserve">give rise to </w:t>
      </w:r>
      <w:r w:rsidRPr="00BF2102">
        <w:rPr>
          <w:rFonts w:cs="Open Sans"/>
        </w:rPr>
        <w:t>arbitrary detention, contrary to articles 9(1) and 9(4) of the ICCPR.</w:t>
      </w:r>
      <w:r w:rsidRPr="00BF2102">
        <w:rPr>
          <w:rFonts w:cs="Open Sans"/>
          <w:sz w:val="20"/>
          <w:szCs w:val="20"/>
          <w:vertAlign w:val="superscript"/>
        </w:rPr>
        <w:endnoteReference w:id="56"/>
      </w:r>
      <w:r w:rsidRPr="00BF2102">
        <w:rPr>
          <w:rFonts w:cs="Open Sans"/>
        </w:rPr>
        <w:t xml:space="preserve"> Under article 9 of the ICCPR, detention will become arbitrary when it is not necessary and proportionate to achieving a legitimate objective, and is not subject to periodic review.</w:t>
      </w:r>
    </w:p>
    <w:p w14:paraId="5ACE3FE0" w14:textId="4C9A0A67" w:rsidR="00BE597E" w:rsidRPr="00BF2102" w:rsidRDefault="00DB1380" w:rsidP="00310D03">
      <w:pPr>
        <w:pStyle w:val="ListNumber"/>
        <w:numPr>
          <w:ilvl w:val="0"/>
          <w:numId w:val="15"/>
        </w:numPr>
        <w:tabs>
          <w:tab w:val="num" w:pos="993"/>
          <w:tab w:val="left" w:pos="1418"/>
        </w:tabs>
        <w:ind w:left="709" w:hanging="567"/>
        <w:rPr>
          <w:rFonts w:cs="Open Sans"/>
        </w:rPr>
      </w:pPr>
      <w:r w:rsidRPr="00BF2102">
        <w:rPr>
          <w:rFonts w:cs="Open Sans"/>
        </w:rPr>
        <w:t xml:space="preserve">There is also the prospect </w:t>
      </w:r>
      <w:r w:rsidR="008E6AF8" w:rsidRPr="00BF2102">
        <w:rPr>
          <w:rFonts w:cs="Open Sans"/>
        </w:rPr>
        <w:t>of</w:t>
      </w:r>
      <w:r w:rsidRPr="00BF2102">
        <w:rPr>
          <w:rFonts w:cs="Open Sans"/>
        </w:rPr>
        <w:t xml:space="preserve"> lengthy or even i</w:t>
      </w:r>
      <w:r w:rsidR="007B1E39" w:rsidRPr="00BF2102">
        <w:rPr>
          <w:rFonts w:cs="Open Sans"/>
        </w:rPr>
        <w:t xml:space="preserve">ndefinite </w:t>
      </w:r>
      <w:r w:rsidRPr="00BF2102">
        <w:rPr>
          <w:rFonts w:cs="Open Sans"/>
        </w:rPr>
        <w:t xml:space="preserve">immigration </w:t>
      </w:r>
      <w:r w:rsidR="007B1E39" w:rsidRPr="00BF2102">
        <w:rPr>
          <w:rFonts w:cs="Open Sans"/>
        </w:rPr>
        <w:t>detention</w:t>
      </w:r>
      <w:r w:rsidRPr="00BF2102">
        <w:rPr>
          <w:rFonts w:cs="Open Sans"/>
        </w:rPr>
        <w:t>.</w:t>
      </w:r>
      <w:r w:rsidR="007B1E39" w:rsidRPr="00BF2102">
        <w:rPr>
          <w:rFonts w:cs="Open Sans"/>
        </w:rPr>
        <w:t xml:space="preserve"> For example, </w:t>
      </w:r>
      <w:r w:rsidRPr="00BF2102">
        <w:rPr>
          <w:rFonts w:cs="Open Sans"/>
        </w:rPr>
        <w:t>a</w:t>
      </w:r>
      <w:r w:rsidR="007B1E39" w:rsidRPr="00BF2102">
        <w:rPr>
          <w:rFonts w:cs="Open Sans"/>
        </w:rPr>
        <w:t xml:space="preserve"> person </w:t>
      </w:r>
      <w:r w:rsidRPr="00BF2102">
        <w:rPr>
          <w:rFonts w:cs="Open Sans"/>
        </w:rPr>
        <w:t xml:space="preserve">whose citizenship is removed </w:t>
      </w:r>
      <w:r w:rsidR="007B1E39" w:rsidRPr="00BF2102">
        <w:rPr>
          <w:rFonts w:cs="Open Sans"/>
        </w:rPr>
        <w:t>could be</w:t>
      </w:r>
      <w:r w:rsidRPr="00BF2102">
        <w:rPr>
          <w:rFonts w:cs="Open Sans"/>
        </w:rPr>
        <w:t xml:space="preserve"> a refugee</w:t>
      </w:r>
      <w:r w:rsidR="00843873" w:rsidRPr="00BF2102">
        <w:rPr>
          <w:rFonts w:cs="Open Sans"/>
        </w:rPr>
        <w:t>, and would be unable to</w:t>
      </w:r>
      <w:r w:rsidR="008E6AF8" w:rsidRPr="00BF2102">
        <w:rPr>
          <w:rFonts w:cs="Open Sans"/>
        </w:rPr>
        <w:t xml:space="preserve"> be</w:t>
      </w:r>
      <w:r w:rsidR="00843873" w:rsidRPr="00BF2102">
        <w:rPr>
          <w:rFonts w:cs="Open Sans"/>
        </w:rPr>
        <w:t xml:space="preserve"> return</w:t>
      </w:r>
      <w:r w:rsidR="008E6AF8" w:rsidRPr="00BF2102">
        <w:rPr>
          <w:rFonts w:cs="Open Sans"/>
        </w:rPr>
        <w:t>ed</w:t>
      </w:r>
      <w:r w:rsidR="00843873" w:rsidRPr="00BF2102">
        <w:rPr>
          <w:rFonts w:cs="Open Sans"/>
        </w:rPr>
        <w:t xml:space="preserve"> to </w:t>
      </w:r>
      <w:r w:rsidR="00691DD6" w:rsidRPr="00BF2102">
        <w:rPr>
          <w:rFonts w:cs="Open Sans"/>
        </w:rPr>
        <w:t xml:space="preserve">their </w:t>
      </w:r>
      <w:r w:rsidR="00843873" w:rsidRPr="00BF2102">
        <w:rPr>
          <w:rFonts w:cs="Open Sans"/>
        </w:rPr>
        <w:t xml:space="preserve">country </w:t>
      </w:r>
      <w:r w:rsidR="00691DD6" w:rsidRPr="00BF2102">
        <w:rPr>
          <w:rFonts w:cs="Open Sans"/>
        </w:rPr>
        <w:t xml:space="preserve">of origin </w:t>
      </w:r>
      <w:r w:rsidR="00691DD6" w:rsidRPr="00BF2102">
        <w:rPr>
          <w:rFonts w:cs="Open Sans"/>
        </w:rPr>
        <w:lastRenderedPageBreak/>
        <w:t xml:space="preserve">consistently with </w:t>
      </w:r>
      <w:r w:rsidR="00843873" w:rsidRPr="00BF2102">
        <w:rPr>
          <w:rFonts w:cs="Open Sans"/>
        </w:rPr>
        <w:t>Australia’s</w:t>
      </w:r>
      <w:r w:rsidRPr="00BF2102">
        <w:rPr>
          <w:rFonts w:cs="Open Sans"/>
        </w:rPr>
        <w:t xml:space="preserve"> </w:t>
      </w:r>
      <w:r w:rsidRPr="00BF2102">
        <w:rPr>
          <w:rFonts w:cs="Open Sans"/>
          <w:i/>
          <w:iCs/>
        </w:rPr>
        <w:t>non-refoulement</w:t>
      </w:r>
      <w:r w:rsidRPr="00BF2102">
        <w:rPr>
          <w:rFonts w:cs="Open Sans"/>
        </w:rPr>
        <w:t xml:space="preserve"> obligations.</w:t>
      </w:r>
      <w:r w:rsidR="008E6AF8" w:rsidRPr="00BF2102">
        <w:rPr>
          <w:rFonts w:cs="Open Sans"/>
        </w:rPr>
        <w:t xml:space="preserve"> As a result, they could be detained for a very long or indefinite period.</w:t>
      </w:r>
    </w:p>
    <w:p w14:paraId="36F27E42" w14:textId="23B6AE0A" w:rsidR="007B1E39" w:rsidRPr="00BF2102" w:rsidRDefault="00DB1380" w:rsidP="00310D03">
      <w:pPr>
        <w:pStyle w:val="ListNumber"/>
        <w:numPr>
          <w:ilvl w:val="0"/>
          <w:numId w:val="15"/>
        </w:numPr>
        <w:tabs>
          <w:tab w:val="num" w:pos="993"/>
          <w:tab w:val="left" w:pos="1418"/>
        </w:tabs>
        <w:ind w:left="709" w:hanging="567"/>
        <w:rPr>
          <w:rFonts w:cs="Open Sans"/>
        </w:rPr>
      </w:pPr>
      <w:r w:rsidRPr="00BF2102">
        <w:rPr>
          <w:rFonts w:cs="Open Sans"/>
        </w:rPr>
        <w:t>In another scenario, a person’s ability to leave Australia may depend on a</w:t>
      </w:r>
      <w:r w:rsidR="007B1E39" w:rsidRPr="00BF2102">
        <w:rPr>
          <w:rFonts w:cs="Open Sans"/>
        </w:rPr>
        <w:t xml:space="preserve"> foreign government agreeing to admit them or </w:t>
      </w:r>
      <w:r w:rsidRPr="00BF2102">
        <w:rPr>
          <w:rFonts w:cs="Open Sans"/>
        </w:rPr>
        <w:t xml:space="preserve">to </w:t>
      </w:r>
      <w:r w:rsidR="007B1E39" w:rsidRPr="00BF2102">
        <w:rPr>
          <w:rFonts w:cs="Open Sans"/>
        </w:rPr>
        <w:t>issu</w:t>
      </w:r>
      <w:r w:rsidRPr="00BF2102">
        <w:rPr>
          <w:rFonts w:cs="Open Sans"/>
        </w:rPr>
        <w:t>e</w:t>
      </w:r>
      <w:r w:rsidR="007B1E39" w:rsidRPr="00BF2102">
        <w:rPr>
          <w:rFonts w:cs="Open Sans"/>
        </w:rPr>
        <w:t xml:space="preserve"> relevant documents such as a passport. If these steps </w:t>
      </w:r>
      <w:r w:rsidR="00EC207A" w:rsidRPr="00BF2102">
        <w:rPr>
          <w:rFonts w:cs="Open Sans"/>
        </w:rPr>
        <w:t>do not eventuate</w:t>
      </w:r>
      <w:r w:rsidR="007B1E39" w:rsidRPr="00BF2102">
        <w:rPr>
          <w:rFonts w:cs="Open Sans"/>
        </w:rPr>
        <w:t>, or are subject to lengthy delays, the person could be</w:t>
      </w:r>
      <w:r w:rsidR="00843873" w:rsidRPr="00BF2102">
        <w:rPr>
          <w:rFonts w:cs="Open Sans"/>
        </w:rPr>
        <w:t xml:space="preserve"> </w:t>
      </w:r>
      <w:r w:rsidR="008E6AF8" w:rsidRPr="00BF2102">
        <w:rPr>
          <w:rFonts w:cs="Open Sans"/>
        </w:rPr>
        <w:t>unable to be removed</w:t>
      </w:r>
      <w:r w:rsidR="007B1E39" w:rsidRPr="00BF2102">
        <w:rPr>
          <w:rFonts w:cs="Open Sans"/>
        </w:rPr>
        <w:t>.</w:t>
      </w:r>
      <w:r w:rsidRPr="00BF2102">
        <w:rPr>
          <w:rFonts w:cs="Open Sans"/>
        </w:rPr>
        <w:t xml:space="preserve"> </w:t>
      </w:r>
      <w:r w:rsidR="008E6AF8" w:rsidRPr="00BF2102">
        <w:rPr>
          <w:rFonts w:cs="Open Sans"/>
        </w:rPr>
        <w:t>Indefinite detention is</w:t>
      </w:r>
      <w:r w:rsidRPr="00BF2102">
        <w:rPr>
          <w:rFonts w:cs="Open Sans"/>
        </w:rPr>
        <w:t xml:space="preserve"> inconsistent </w:t>
      </w:r>
      <w:r w:rsidR="00EC207A" w:rsidRPr="00BF2102">
        <w:rPr>
          <w:rFonts w:cs="Open Sans"/>
        </w:rPr>
        <w:t xml:space="preserve">with </w:t>
      </w:r>
      <w:r w:rsidR="008E6AF8" w:rsidRPr="00BF2102">
        <w:rPr>
          <w:rFonts w:cs="Open Sans"/>
        </w:rPr>
        <w:t>a person’s</w:t>
      </w:r>
      <w:r w:rsidRPr="00BF2102">
        <w:rPr>
          <w:rFonts w:cs="Open Sans"/>
        </w:rPr>
        <w:t xml:space="preserve"> </w:t>
      </w:r>
      <w:r w:rsidR="008E6AF8" w:rsidRPr="00BF2102">
        <w:rPr>
          <w:rFonts w:cs="Open Sans"/>
        </w:rPr>
        <w:t>r</w:t>
      </w:r>
      <w:r w:rsidRPr="00BF2102">
        <w:rPr>
          <w:rFonts w:cs="Open Sans"/>
        </w:rPr>
        <w:t>ight to protection against cruel, inhuman and degrading treatment in article 7 of the ICCPR.</w:t>
      </w:r>
      <w:r w:rsidRPr="00BF2102">
        <w:rPr>
          <w:rStyle w:val="EndnoteReference"/>
          <w:rFonts w:cs="Open Sans"/>
        </w:rPr>
        <w:endnoteReference w:id="57"/>
      </w:r>
    </w:p>
    <w:p w14:paraId="342467D8" w14:textId="78496599" w:rsidR="007B1E39" w:rsidRPr="00BF2102" w:rsidRDefault="007B1E39" w:rsidP="00310D03">
      <w:pPr>
        <w:pStyle w:val="ListNumber"/>
        <w:numPr>
          <w:ilvl w:val="0"/>
          <w:numId w:val="15"/>
        </w:numPr>
        <w:tabs>
          <w:tab w:val="num" w:pos="993"/>
          <w:tab w:val="left" w:pos="1418"/>
        </w:tabs>
        <w:ind w:left="709" w:hanging="567"/>
        <w:rPr>
          <w:rFonts w:cs="Open Sans"/>
        </w:rPr>
      </w:pPr>
      <w:r w:rsidRPr="00BF2102">
        <w:rPr>
          <w:rFonts w:cs="Open Sans"/>
        </w:rPr>
        <w:t>Immigration detention, or an inability to re-enter Australia, may in turn interfere with a person’s family life contrary to articles 17 and 23 of the ICCPR. Removal of a person who was born, raised, or who has spent a long period of their life in Australia could result in forced relocation to a country where they have no family or social connections and that is entirely culturally or otherwise unfamiliar. </w:t>
      </w:r>
    </w:p>
    <w:p w14:paraId="50DAC588" w14:textId="77777777" w:rsidR="00170DD7" w:rsidRPr="00BF2102" w:rsidRDefault="00170DD7" w:rsidP="003423F4">
      <w:pPr>
        <w:pStyle w:val="Heading1"/>
        <w:rPr>
          <w:rFonts w:cs="Open Sans"/>
        </w:rPr>
      </w:pPr>
      <w:bookmarkStart w:id="70" w:name="_Toc11407965"/>
      <w:r w:rsidRPr="00BF2102">
        <w:rPr>
          <w:rFonts w:cs="Open Sans"/>
        </w:rPr>
        <w:t>Key human rights i</w:t>
      </w:r>
      <w:r w:rsidR="006349EC" w:rsidRPr="00BF2102">
        <w:rPr>
          <w:rFonts w:cs="Open Sans"/>
        </w:rPr>
        <w:t>ssues</w:t>
      </w:r>
      <w:bookmarkEnd w:id="70"/>
    </w:p>
    <w:p w14:paraId="73D8C340" w14:textId="77777777" w:rsidR="006349EC" w:rsidRPr="00BF2102" w:rsidRDefault="006349EC" w:rsidP="006349EC">
      <w:pPr>
        <w:pStyle w:val="Heading2"/>
        <w:rPr>
          <w:rFonts w:cs="Open Sans"/>
        </w:rPr>
      </w:pPr>
      <w:bookmarkStart w:id="71" w:name="_Ref11056762"/>
      <w:bookmarkStart w:id="72" w:name="_Toc11407966"/>
      <w:r w:rsidRPr="00BF2102">
        <w:rPr>
          <w:rFonts w:cs="Open Sans"/>
        </w:rPr>
        <w:t>Automatic loss of citizenship</w:t>
      </w:r>
      <w:bookmarkEnd w:id="71"/>
      <w:bookmarkEnd w:id="72"/>
      <w:r w:rsidRPr="00BF2102">
        <w:rPr>
          <w:rFonts w:cs="Open Sans"/>
        </w:rPr>
        <w:t xml:space="preserve"> </w:t>
      </w:r>
    </w:p>
    <w:p w14:paraId="4F783245" w14:textId="14005988" w:rsidR="005B7DCB" w:rsidRPr="00BF2102" w:rsidRDefault="001324AF" w:rsidP="000D7F57">
      <w:pPr>
        <w:pStyle w:val="Heading3"/>
        <w:rPr>
          <w:rFonts w:cs="Open Sans"/>
          <w:i/>
          <w:iCs/>
        </w:rPr>
      </w:pPr>
      <w:bookmarkStart w:id="73" w:name="_Toc11407967"/>
      <w:r w:rsidRPr="00BF2102">
        <w:rPr>
          <w:rFonts w:cs="Open Sans"/>
          <w:i/>
          <w:iCs/>
        </w:rPr>
        <w:t>C</w:t>
      </w:r>
      <w:r w:rsidR="005B7DCB" w:rsidRPr="00BF2102">
        <w:rPr>
          <w:rFonts w:cs="Open Sans"/>
          <w:i/>
          <w:iCs/>
        </w:rPr>
        <w:t>itizenship loss</w:t>
      </w:r>
      <w:r w:rsidRPr="00BF2102">
        <w:rPr>
          <w:rFonts w:cs="Open Sans"/>
          <w:i/>
          <w:iCs/>
        </w:rPr>
        <w:t xml:space="preserve"> </w:t>
      </w:r>
      <w:r w:rsidR="006E4729" w:rsidRPr="00BF2102">
        <w:rPr>
          <w:rFonts w:cs="Open Sans"/>
          <w:i/>
          <w:iCs/>
        </w:rPr>
        <w:t xml:space="preserve">should only </w:t>
      </w:r>
      <w:r w:rsidR="00650FC1" w:rsidRPr="00BF2102">
        <w:rPr>
          <w:rFonts w:cs="Open Sans"/>
          <w:i/>
          <w:iCs/>
        </w:rPr>
        <w:t>be possible following a</w:t>
      </w:r>
      <w:r w:rsidR="006E4729" w:rsidRPr="00BF2102">
        <w:rPr>
          <w:rFonts w:cs="Open Sans"/>
          <w:i/>
          <w:iCs/>
        </w:rPr>
        <w:t xml:space="preserve"> relevant criminal conviction and Ministerial determination</w:t>
      </w:r>
      <w:bookmarkEnd w:id="73"/>
    </w:p>
    <w:p w14:paraId="0ECD16A8" w14:textId="323F7C11" w:rsidR="003B0E28" w:rsidRPr="00BF2102" w:rsidRDefault="00435F02" w:rsidP="00310D03">
      <w:pPr>
        <w:pStyle w:val="ListNumber"/>
        <w:numPr>
          <w:ilvl w:val="0"/>
          <w:numId w:val="15"/>
        </w:numPr>
        <w:tabs>
          <w:tab w:val="num" w:pos="993"/>
          <w:tab w:val="left" w:pos="1418"/>
        </w:tabs>
        <w:ind w:left="709" w:hanging="567"/>
        <w:rPr>
          <w:rFonts w:cs="Open Sans"/>
        </w:rPr>
      </w:pPr>
      <w:r w:rsidRPr="00BF2102">
        <w:rPr>
          <w:rFonts w:cs="Open Sans"/>
        </w:rPr>
        <w:t>The automatic nature of the conduct-based provisions in ss</w:t>
      </w:r>
      <w:r w:rsidR="00520E3E" w:rsidRPr="00BF2102">
        <w:rPr>
          <w:rFonts w:cs="Open Sans"/>
        </w:rPr>
        <w:t> </w:t>
      </w:r>
      <w:r w:rsidRPr="00BF2102">
        <w:rPr>
          <w:rFonts w:cs="Open Sans"/>
        </w:rPr>
        <w:t>33AA and 35</w:t>
      </w:r>
      <w:r w:rsidR="00520E3E" w:rsidRPr="00BF2102">
        <w:rPr>
          <w:rFonts w:cs="Open Sans"/>
        </w:rPr>
        <w:t xml:space="preserve"> </w:t>
      </w:r>
      <w:r w:rsidR="00E61862" w:rsidRPr="00BF2102">
        <w:rPr>
          <w:rFonts w:cs="Open Sans"/>
        </w:rPr>
        <w:t xml:space="preserve">risk </w:t>
      </w:r>
      <w:r w:rsidR="00846D9E" w:rsidRPr="00BF2102">
        <w:rPr>
          <w:rFonts w:cs="Open Sans"/>
        </w:rPr>
        <w:t>seriously</w:t>
      </w:r>
      <w:r w:rsidR="00520E3E" w:rsidRPr="00BF2102">
        <w:rPr>
          <w:rFonts w:cs="Open Sans"/>
        </w:rPr>
        <w:t xml:space="preserve"> breaching</w:t>
      </w:r>
      <w:r w:rsidR="008E6AF8" w:rsidRPr="00BF2102">
        <w:rPr>
          <w:rFonts w:cs="Open Sans"/>
        </w:rPr>
        <w:t xml:space="preserve"> a person’s</w:t>
      </w:r>
      <w:r w:rsidR="00520E3E" w:rsidRPr="00BF2102">
        <w:rPr>
          <w:rFonts w:cs="Open Sans"/>
        </w:rPr>
        <w:t xml:space="preserve"> human rights</w:t>
      </w:r>
      <w:r w:rsidRPr="00BF2102">
        <w:rPr>
          <w:rFonts w:cs="Open Sans"/>
        </w:rPr>
        <w:t xml:space="preserve">. </w:t>
      </w:r>
      <w:r w:rsidR="006B0B1A" w:rsidRPr="00BF2102">
        <w:rPr>
          <w:rFonts w:cs="Open Sans"/>
        </w:rPr>
        <w:t xml:space="preserve">Two of the key reasons for this are: first, the threshold for triggering the loss of citizenship is much lower than for the conviction-based loss provisions; and secondly, there is no requirement to </w:t>
      </w:r>
      <w:proofErr w:type="gramStart"/>
      <w:r w:rsidR="006B0B1A" w:rsidRPr="00BF2102">
        <w:rPr>
          <w:rFonts w:cs="Open Sans"/>
        </w:rPr>
        <w:t>take into account</w:t>
      </w:r>
      <w:proofErr w:type="gramEnd"/>
      <w:r w:rsidR="006B0B1A" w:rsidRPr="00BF2102">
        <w:rPr>
          <w:rFonts w:cs="Open Sans"/>
        </w:rPr>
        <w:t xml:space="preserve"> a person’s individual circumstances prior to citizenship being lost.</w:t>
      </w:r>
    </w:p>
    <w:p w14:paraId="7B224845" w14:textId="4D641A74" w:rsidR="005B7DCB" w:rsidRPr="00BF2102" w:rsidRDefault="005C0DB1"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considers that loss of citizenship should never be automatic. These </w:t>
      </w:r>
      <w:r w:rsidR="00C11518" w:rsidRPr="00BF2102">
        <w:rPr>
          <w:rFonts w:cs="Open Sans"/>
        </w:rPr>
        <w:t xml:space="preserve">provisions </w:t>
      </w:r>
      <w:r w:rsidRPr="00BF2102">
        <w:rPr>
          <w:rFonts w:cs="Open Sans"/>
        </w:rPr>
        <w:t xml:space="preserve">should be strictly delimited to ensure use </w:t>
      </w:r>
      <w:r w:rsidR="008E6AF8" w:rsidRPr="00BF2102">
        <w:rPr>
          <w:rFonts w:cs="Open Sans"/>
        </w:rPr>
        <w:t xml:space="preserve">in </w:t>
      </w:r>
      <w:r w:rsidRPr="00BF2102">
        <w:rPr>
          <w:rFonts w:cs="Open Sans"/>
        </w:rPr>
        <w:t xml:space="preserve">only the most exceptional circumstances—and as a last resort where the gravest criminal </w:t>
      </w:r>
      <w:r w:rsidRPr="00BF2102">
        <w:rPr>
          <w:rFonts w:eastAsiaTheme="minorHAnsi" w:cs="Open Sans"/>
        </w:rPr>
        <w:t>conduct</w:t>
      </w:r>
      <w:r w:rsidRPr="00BF2102">
        <w:rPr>
          <w:rFonts w:cs="Open Sans"/>
        </w:rPr>
        <w:t xml:space="preserve"> also repudiates one’s allegiance to Australia—after careful consideration, reasonable justification and due process. They should </w:t>
      </w:r>
      <w:r w:rsidR="002F6188" w:rsidRPr="00BF2102">
        <w:rPr>
          <w:rFonts w:cs="Open Sans"/>
        </w:rPr>
        <w:t xml:space="preserve">also </w:t>
      </w:r>
      <w:r w:rsidRPr="00BF2102">
        <w:rPr>
          <w:rFonts w:cs="Open Sans"/>
        </w:rPr>
        <w:t xml:space="preserve">be subject to robust review and oversight mechanisms. </w:t>
      </w:r>
    </w:p>
    <w:p w14:paraId="61502B2C" w14:textId="14BDF0B3" w:rsidR="006B0B1A" w:rsidRPr="00BF2102" w:rsidRDefault="006B0B1A" w:rsidP="00310D03">
      <w:pPr>
        <w:pStyle w:val="ListNumber"/>
        <w:numPr>
          <w:ilvl w:val="0"/>
          <w:numId w:val="15"/>
        </w:numPr>
        <w:tabs>
          <w:tab w:val="num" w:pos="993"/>
          <w:tab w:val="left" w:pos="1418"/>
        </w:tabs>
        <w:ind w:left="709" w:hanging="567"/>
        <w:rPr>
          <w:rFonts w:cs="Open Sans"/>
        </w:rPr>
      </w:pPr>
      <w:r w:rsidRPr="00BF2102">
        <w:rPr>
          <w:rFonts w:cs="Open Sans"/>
        </w:rPr>
        <w:t xml:space="preserve">Section 33AA provides that a person will be deemed to have renounced their Australian citizenship if they engage in a range of specified conduct, on the basis that the conduct is inconsistent with their allegiance to Australia. The conduct is described in the same terms as certain offences </w:t>
      </w:r>
      <w:r w:rsidR="005848C7" w:rsidRPr="00BF2102">
        <w:rPr>
          <w:rFonts w:cs="Open Sans"/>
        </w:rPr>
        <w:lastRenderedPageBreak/>
        <w:t>contained in</w:t>
      </w:r>
      <w:r w:rsidRPr="00BF2102">
        <w:rPr>
          <w:rFonts w:cs="Open Sans"/>
        </w:rPr>
        <w:t xml:space="preserve"> the Criminal Code. However, it is not necessary for a person to have been convicted of one of these offences in order for the deemed renunciation to apply.</w:t>
      </w:r>
      <w:r w:rsidR="003B0E28" w:rsidRPr="00BF2102">
        <w:rPr>
          <w:rFonts w:cs="Open Sans"/>
        </w:rPr>
        <w:t xml:space="preserve"> </w:t>
      </w:r>
      <w:r w:rsidR="00E40DD4" w:rsidRPr="00BF2102">
        <w:rPr>
          <w:rFonts w:cs="Open Sans"/>
        </w:rPr>
        <w:t>In addition to the fact that the conduct in question need not necessarily be criminal</w:t>
      </w:r>
      <w:r w:rsidR="003B0E28" w:rsidRPr="00BF2102">
        <w:rPr>
          <w:rFonts w:cs="Open Sans"/>
        </w:rPr>
        <w:t xml:space="preserve">, </w:t>
      </w:r>
      <w:r w:rsidR="008B6780" w:rsidRPr="00BF2102">
        <w:rPr>
          <w:rFonts w:cs="Open Sans"/>
        </w:rPr>
        <w:t>there is no assessment of the degree of seriousness of the conduct.</w:t>
      </w:r>
    </w:p>
    <w:p w14:paraId="6738FBAE" w14:textId="77777777" w:rsidR="00D02ED8" w:rsidRPr="00BF2102" w:rsidRDefault="00B60379" w:rsidP="00B60379">
      <w:pPr>
        <w:pStyle w:val="ListNumber"/>
        <w:numPr>
          <w:ilvl w:val="0"/>
          <w:numId w:val="15"/>
        </w:numPr>
        <w:tabs>
          <w:tab w:val="num" w:pos="993"/>
          <w:tab w:val="left" w:pos="1418"/>
        </w:tabs>
        <w:ind w:left="709" w:hanging="567"/>
        <w:rPr>
          <w:rFonts w:cs="Open Sans"/>
        </w:rPr>
      </w:pPr>
      <w:r w:rsidRPr="00BF2102">
        <w:rPr>
          <w:rFonts w:cs="Open Sans"/>
        </w:rPr>
        <w:t>Section 35 provides that a person loses their Australian citizenship if, while outside Australia, they serve in the armed forces of a country at war with Australia, or fight for or are ‘in the service’ of a declared terrorist organisation. While this proscribed conduct does not exactly mirror the wording of particular offences in the Criminal Code, the Commission understands that various provisions of the Criminal Code, including those under the headings of ‘terrorism’, ‘terrorist organisation’, ‘foreign incursions and recruitment’ and ‘treason’, would make levying war against Australia or fighting for a terrorist organisation a criminal act.</w:t>
      </w:r>
      <w:r w:rsidRPr="00BF2102">
        <w:rPr>
          <w:rStyle w:val="EndnoteReference"/>
          <w:rFonts w:cs="Open Sans"/>
        </w:rPr>
        <w:endnoteReference w:id="58"/>
      </w:r>
      <w:r w:rsidRPr="00BF2102">
        <w:rPr>
          <w:rFonts w:cs="Open Sans"/>
        </w:rPr>
        <w:t xml:space="preserve"> </w:t>
      </w:r>
    </w:p>
    <w:p w14:paraId="3A8A6093" w14:textId="21776169" w:rsidR="00B60379" w:rsidRPr="00BF2102" w:rsidRDefault="00B60379" w:rsidP="00B60379">
      <w:pPr>
        <w:pStyle w:val="ListNumber"/>
        <w:numPr>
          <w:ilvl w:val="0"/>
          <w:numId w:val="15"/>
        </w:numPr>
        <w:tabs>
          <w:tab w:val="num" w:pos="993"/>
          <w:tab w:val="left" w:pos="1418"/>
        </w:tabs>
        <w:ind w:left="709" w:hanging="567"/>
        <w:rPr>
          <w:rFonts w:cs="Open Sans"/>
        </w:rPr>
      </w:pPr>
      <w:r w:rsidRPr="00BF2102">
        <w:rPr>
          <w:rFonts w:cs="Open Sans"/>
        </w:rPr>
        <w:t xml:space="preserve">Conduct that meets the definition of being ‘in the service’ of a declared terrorist organisation may not rise to the level of any offence in the Criminal Code. The vagueness of this phrase is discussed further below in </w:t>
      </w:r>
      <w:r w:rsidR="00181E41" w:rsidRPr="00BF2102">
        <w:rPr>
          <w:rFonts w:cs="Open Sans"/>
        </w:rPr>
        <w:t>section</w:t>
      </w:r>
      <w:r w:rsidR="00C03062" w:rsidRPr="00BF2102">
        <w:rPr>
          <w:rFonts w:cs="Open Sans"/>
        </w:rPr>
        <w:t xml:space="preserve"> </w:t>
      </w:r>
      <w:r w:rsidR="00C03062" w:rsidRPr="00BF2102">
        <w:rPr>
          <w:rFonts w:cs="Open Sans"/>
        </w:rPr>
        <w:fldChar w:fldCharType="begin"/>
      </w:r>
      <w:r w:rsidR="00C03062" w:rsidRPr="00BF2102">
        <w:rPr>
          <w:rFonts w:cs="Open Sans"/>
        </w:rPr>
        <w:instrText xml:space="preserve"> REF _Ref11341814 \r \h </w:instrText>
      </w:r>
      <w:r w:rsidR="000F268D" w:rsidRPr="00BF2102">
        <w:rPr>
          <w:rFonts w:cs="Open Sans"/>
        </w:rPr>
        <w:instrText xml:space="preserve"> \* MERGEFORMAT </w:instrText>
      </w:r>
      <w:r w:rsidR="00C03062" w:rsidRPr="00BF2102">
        <w:rPr>
          <w:rFonts w:cs="Open Sans"/>
        </w:rPr>
      </w:r>
      <w:r w:rsidR="00C03062" w:rsidRPr="00BF2102">
        <w:rPr>
          <w:rFonts w:cs="Open Sans"/>
        </w:rPr>
        <w:fldChar w:fldCharType="separate"/>
      </w:r>
      <w:r w:rsidR="000E5D23">
        <w:rPr>
          <w:rFonts w:cs="Open Sans"/>
        </w:rPr>
        <w:t>6.3</w:t>
      </w:r>
      <w:r w:rsidR="00C03062" w:rsidRPr="00BF2102">
        <w:rPr>
          <w:rFonts w:cs="Open Sans"/>
        </w:rPr>
        <w:fldChar w:fldCharType="end"/>
      </w:r>
      <w:r w:rsidRPr="00BF2102">
        <w:rPr>
          <w:rFonts w:cs="Open Sans"/>
        </w:rPr>
        <w:t xml:space="preserve">. In the Commission’s view, conduct </w:t>
      </w:r>
      <w:r w:rsidR="000B5E0A" w:rsidRPr="00BF2102">
        <w:rPr>
          <w:rFonts w:cs="Open Sans"/>
        </w:rPr>
        <w:t xml:space="preserve">that </w:t>
      </w:r>
      <w:r w:rsidRPr="00BF2102">
        <w:rPr>
          <w:rFonts w:cs="Open Sans"/>
        </w:rPr>
        <w:t>is not an offence</w:t>
      </w:r>
      <w:r w:rsidR="004C070A" w:rsidRPr="00BF2102">
        <w:rPr>
          <w:rFonts w:cs="Open Sans"/>
        </w:rPr>
        <w:t xml:space="preserve"> </w:t>
      </w:r>
      <w:r w:rsidRPr="00BF2102">
        <w:rPr>
          <w:rFonts w:cs="Open Sans"/>
        </w:rPr>
        <w:t>should not be a basis for the loss of citizenship.</w:t>
      </w:r>
    </w:p>
    <w:p w14:paraId="1784BCDE" w14:textId="6E1C7E20" w:rsidR="00EF1889" w:rsidRPr="00BF2102" w:rsidRDefault="00045000" w:rsidP="00310D03">
      <w:pPr>
        <w:pStyle w:val="ListNumber"/>
        <w:numPr>
          <w:ilvl w:val="0"/>
          <w:numId w:val="15"/>
        </w:numPr>
        <w:tabs>
          <w:tab w:val="num" w:pos="993"/>
          <w:tab w:val="left" w:pos="1418"/>
        </w:tabs>
        <w:ind w:left="709" w:hanging="567"/>
        <w:rPr>
          <w:rFonts w:cs="Open Sans"/>
        </w:rPr>
      </w:pPr>
      <w:r w:rsidRPr="00BF2102">
        <w:rPr>
          <w:rFonts w:cs="Open Sans"/>
        </w:rPr>
        <w:t>Currently</w:t>
      </w:r>
      <w:r w:rsidR="008C4369" w:rsidRPr="00BF2102">
        <w:rPr>
          <w:rFonts w:cs="Open Sans"/>
        </w:rPr>
        <w:t>, no criminal conviction is required to enliven citizenship loss</w:t>
      </w:r>
      <w:r w:rsidR="007A4F84" w:rsidRPr="00BF2102">
        <w:rPr>
          <w:rFonts w:cs="Open Sans"/>
        </w:rPr>
        <w:t xml:space="preserve"> under the</w:t>
      </w:r>
      <w:r w:rsidR="009F7F18" w:rsidRPr="00BF2102">
        <w:rPr>
          <w:rFonts w:cs="Open Sans"/>
        </w:rPr>
        <w:t>se</w:t>
      </w:r>
      <w:r w:rsidR="007A4F84" w:rsidRPr="00BF2102">
        <w:rPr>
          <w:rFonts w:cs="Open Sans"/>
        </w:rPr>
        <w:t xml:space="preserve"> conduct-based cessation provisions</w:t>
      </w:r>
      <w:r w:rsidR="008C4369" w:rsidRPr="00BF2102">
        <w:rPr>
          <w:rFonts w:cs="Open Sans"/>
        </w:rPr>
        <w:t>.</w:t>
      </w:r>
      <w:r w:rsidR="00DE29AF" w:rsidRPr="00BF2102">
        <w:rPr>
          <w:rFonts w:cs="Open Sans"/>
        </w:rPr>
        <w:t xml:space="preserve"> </w:t>
      </w:r>
      <w:r w:rsidR="00520E3E" w:rsidRPr="00BF2102">
        <w:rPr>
          <w:rFonts w:cs="Open Sans"/>
        </w:rPr>
        <w:t>Rather, upon the relevant conduct occurring with the requisite intention</w:t>
      </w:r>
      <w:r w:rsidR="009F10F2" w:rsidRPr="00BF2102">
        <w:rPr>
          <w:rFonts w:cs="Open Sans"/>
        </w:rPr>
        <w:t>,</w:t>
      </w:r>
      <w:r w:rsidR="00520E3E" w:rsidRPr="00BF2102">
        <w:rPr>
          <w:rFonts w:cs="Open Sans"/>
        </w:rPr>
        <w:t xml:space="preserve"> the deeming provisions </w:t>
      </w:r>
      <w:r w:rsidR="009F10F2" w:rsidRPr="00BF2102">
        <w:rPr>
          <w:rFonts w:cs="Open Sans"/>
        </w:rPr>
        <w:t xml:space="preserve">work </w:t>
      </w:r>
      <w:r w:rsidR="00520E3E" w:rsidRPr="00BF2102">
        <w:rPr>
          <w:rFonts w:cs="Open Sans"/>
        </w:rPr>
        <w:t xml:space="preserve">immediately </w:t>
      </w:r>
      <w:r w:rsidR="009F10F2" w:rsidRPr="00BF2102">
        <w:rPr>
          <w:rFonts w:cs="Open Sans"/>
        </w:rPr>
        <w:t>and automatically</w:t>
      </w:r>
      <w:r w:rsidR="00846D9E" w:rsidRPr="00BF2102">
        <w:rPr>
          <w:rFonts w:cs="Open Sans"/>
        </w:rPr>
        <w:t>.</w:t>
      </w:r>
      <w:r w:rsidR="008C4369" w:rsidRPr="00BF2102">
        <w:rPr>
          <w:rFonts w:cs="Open Sans"/>
        </w:rPr>
        <w:t xml:space="preserve"> No positive decision needs to be made to ‘cancel’ or ‘revoke’ a person’s Australian citizenship.</w:t>
      </w:r>
      <w:r w:rsidR="0027268D" w:rsidRPr="00BF2102">
        <w:rPr>
          <w:rFonts w:cs="Open Sans"/>
        </w:rPr>
        <w:t xml:space="preserve"> </w:t>
      </w:r>
    </w:p>
    <w:p w14:paraId="0169E75F" w14:textId="0D58F342" w:rsidR="00C222A4" w:rsidRPr="00BF2102" w:rsidRDefault="00846D9E" w:rsidP="00310D03">
      <w:pPr>
        <w:pStyle w:val="ListNumber"/>
        <w:numPr>
          <w:ilvl w:val="0"/>
          <w:numId w:val="15"/>
        </w:numPr>
        <w:tabs>
          <w:tab w:val="num" w:pos="993"/>
          <w:tab w:val="left" w:pos="1418"/>
        </w:tabs>
        <w:ind w:left="709" w:hanging="567"/>
        <w:rPr>
          <w:rFonts w:cs="Open Sans"/>
        </w:rPr>
      </w:pPr>
      <w:r w:rsidRPr="00BF2102">
        <w:rPr>
          <w:rFonts w:cs="Open Sans"/>
        </w:rPr>
        <w:t xml:space="preserve">The individual circumstances of the affected person </w:t>
      </w:r>
      <w:r w:rsidR="000B5E0A" w:rsidRPr="00BF2102">
        <w:rPr>
          <w:rFonts w:cs="Open Sans"/>
        </w:rPr>
        <w:t>cannot</w:t>
      </w:r>
      <w:r w:rsidRPr="00BF2102">
        <w:rPr>
          <w:rFonts w:cs="Open Sans"/>
        </w:rPr>
        <w:t xml:space="preserve"> </w:t>
      </w:r>
      <w:r w:rsidR="007A4F84" w:rsidRPr="00BF2102">
        <w:rPr>
          <w:rFonts w:cs="Open Sans"/>
        </w:rPr>
        <w:t xml:space="preserve">be </w:t>
      </w:r>
      <w:proofErr w:type="gramStart"/>
      <w:r w:rsidRPr="00BF2102">
        <w:rPr>
          <w:rFonts w:cs="Open Sans"/>
        </w:rPr>
        <w:t>taken into account</w:t>
      </w:r>
      <w:proofErr w:type="gramEnd"/>
      <w:r w:rsidRPr="00BF2102">
        <w:rPr>
          <w:rFonts w:cs="Open Sans"/>
        </w:rPr>
        <w:t xml:space="preserve"> prior to </w:t>
      </w:r>
      <w:r w:rsidR="00466913" w:rsidRPr="00BF2102">
        <w:rPr>
          <w:rFonts w:cs="Open Sans"/>
        </w:rPr>
        <w:t>citizenship being lost</w:t>
      </w:r>
      <w:r w:rsidRPr="00BF2102">
        <w:rPr>
          <w:rFonts w:cs="Open Sans"/>
        </w:rPr>
        <w:t>.</w:t>
      </w:r>
      <w:r w:rsidR="00C222A4" w:rsidRPr="00BF2102">
        <w:rPr>
          <w:rFonts w:cs="Open Sans"/>
        </w:rPr>
        <w:t xml:space="preserve"> There is no opportunity for a person to be given a hearing, to be informed of the evidence against them, or to respond to adverse allegations. </w:t>
      </w:r>
      <w:r w:rsidR="00B72546" w:rsidRPr="00BF2102">
        <w:rPr>
          <w:rFonts w:cs="Open Sans"/>
        </w:rPr>
        <w:t xml:space="preserve">There is no </w:t>
      </w:r>
      <w:r w:rsidR="00466913" w:rsidRPr="00BF2102">
        <w:rPr>
          <w:rFonts w:cs="Open Sans"/>
        </w:rPr>
        <w:t xml:space="preserve">requirement </w:t>
      </w:r>
      <w:r w:rsidR="00B72546" w:rsidRPr="00BF2102">
        <w:rPr>
          <w:rFonts w:cs="Open Sans"/>
        </w:rPr>
        <w:t>for a decision-maker, let alone a court, to consider all the relevant circumstances and exercise discretion in the application of the</w:t>
      </w:r>
      <w:r w:rsidR="00D15F01" w:rsidRPr="00BF2102">
        <w:rPr>
          <w:rFonts w:cs="Open Sans"/>
        </w:rPr>
        <w:t xml:space="preserve"> automatic</w:t>
      </w:r>
      <w:r w:rsidR="00B72546" w:rsidRPr="00BF2102">
        <w:rPr>
          <w:rFonts w:cs="Open Sans"/>
        </w:rPr>
        <w:t xml:space="preserve"> </w:t>
      </w:r>
      <w:r w:rsidR="007A4F84" w:rsidRPr="00BF2102">
        <w:rPr>
          <w:rFonts w:cs="Open Sans"/>
        </w:rPr>
        <w:t>provisions</w:t>
      </w:r>
      <w:r w:rsidR="00B72546" w:rsidRPr="00BF2102">
        <w:rPr>
          <w:rFonts w:cs="Open Sans"/>
        </w:rPr>
        <w:t>.</w:t>
      </w:r>
      <w:r w:rsidR="009B5192" w:rsidRPr="00BF2102">
        <w:rPr>
          <w:rFonts w:cs="Open Sans"/>
        </w:rPr>
        <w:t xml:space="preserve"> There is only a non-compellable Ministerial discretion, once citizenship has </w:t>
      </w:r>
      <w:r w:rsidR="00BC5860" w:rsidRPr="00BF2102">
        <w:rPr>
          <w:rFonts w:cs="Open Sans"/>
        </w:rPr>
        <w:t xml:space="preserve">already </w:t>
      </w:r>
      <w:r w:rsidR="009B5192" w:rsidRPr="00BF2102">
        <w:rPr>
          <w:rFonts w:cs="Open Sans"/>
        </w:rPr>
        <w:t xml:space="preserve">been lost, to consider exempting a person from the effect of the provisions. </w:t>
      </w:r>
    </w:p>
    <w:p w14:paraId="6E94BD87" w14:textId="2878F30F" w:rsidR="00846D9E" w:rsidRPr="00BF2102" w:rsidRDefault="006A7B8C" w:rsidP="00310D03">
      <w:pPr>
        <w:pStyle w:val="ListNumber"/>
        <w:numPr>
          <w:ilvl w:val="0"/>
          <w:numId w:val="15"/>
        </w:numPr>
        <w:tabs>
          <w:tab w:val="num" w:pos="993"/>
          <w:tab w:val="left" w:pos="1418"/>
        </w:tabs>
        <w:ind w:left="709" w:hanging="567"/>
        <w:rPr>
          <w:rFonts w:cs="Open Sans"/>
        </w:rPr>
      </w:pPr>
      <w:r w:rsidRPr="00BF2102">
        <w:rPr>
          <w:rFonts w:cs="Open Sans"/>
        </w:rPr>
        <w:t>The</w:t>
      </w:r>
      <w:r w:rsidR="00846D9E" w:rsidRPr="00BF2102">
        <w:rPr>
          <w:rFonts w:cs="Open Sans"/>
        </w:rPr>
        <w:t xml:space="preserve"> </w:t>
      </w:r>
      <w:r w:rsidR="00D057E0" w:rsidRPr="00BF2102">
        <w:rPr>
          <w:rFonts w:cs="Open Sans"/>
        </w:rPr>
        <w:t xml:space="preserve">conduct-based </w:t>
      </w:r>
      <w:r w:rsidR="00846D9E" w:rsidRPr="00BF2102">
        <w:rPr>
          <w:rFonts w:cs="Open Sans"/>
        </w:rPr>
        <w:t xml:space="preserve">provisions operate regardless of the relative seriousness of the relevant conduct. </w:t>
      </w:r>
      <w:r w:rsidR="00B36D06" w:rsidRPr="00BF2102">
        <w:rPr>
          <w:rFonts w:cs="Open Sans"/>
        </w:rPr>
        <w:t>For example, a</w:t>
      </w:r>
      <w:r w:rsidR="00846D9E" w:rsidRPr="00BF2102">
        <w:rPr>
          <w:rFonts w:cs="Open Sans"/>
        </w:rPr>
        <w:t xml:space="preserve"> </w:t>
      </w:r>
      <w:r w:rsidR="00F2559F" w:rsidRPr="00BF2102">
        <w:rPr>
          <w:rFonts w:cs="Open Sans"/>
        </w:rPr>
        <w:t>minor</w:t>
      </w:r>
      <w:r w:rsidR="00846D9E" w:rsidRPr="00BF2102">
        <w:rPr>
          <w:rFonts w:cs="Open Sans"/>
        </w:rPr>
        <w:t xml:space="preserve"> who </w:t>
      </w:r>
      <w:r w:rsidR="004C5214" w:rsidRPr="00BF2102">
        <w:rPr>
          <w:rFonts w:cs="Open Sans"/>
        </w:rPr>
        <w:t>‘finance</w:t>
      </w:r>
      <w:r w:rsidR="00F2559F" w:rsidRPr="00BF2102">
        <w:rPr>
          <w:rFonts w:cs="Open Sans"/>
        </w:rPr>
        <w:t>s</w:t>
      </w:r>
      <w:r w:rsidR="004C5214" w:rsidRPr="00BF2102">
        <w:rPr>
          <w:rFonts w:cs="Open Sans"/>
        </w:rPr>
        <w:t xml:space="preserve"> terrorism’ by </w:t>
      </w:r>
      <w:r w:rsidR="00846D9E" w:rsidRPr="00BF2102">
        <w:rPr>
          <w:rFonts w:cs="Open Sans"/>
        </w:rPr>
        <w:t>donat</w:t>
      </w:r>
      <w:r w:rsidR="004C5214" w:rsidRPr="00BF2102">
        <w:rPr>
          <w:rFonts w:cs="Open Sans"/>
        </w:rPr>
        <w:t>ing</w:t>
      </w:r>
      <w:r w:rsidR="00846D9E" w:rsidRPr="00BF2102">
        <w:rPr>
          <w:rFonts w:cs="Open Sans"/>
        </w:rPr>
        <w:t xml:space="preserve"> a single dollar to a terrorist cause</w:t>
      </w:r>
      <w:r w:rsidR="004C5214" w:rsidRPr="00BF2102">
        <w:rPr>
          <w:rFonts w:cs="Open Sans"/>
        </w:rPr>
        <w:t xml:space="preserve">—even if the money is not used for a terrorist </w:t>
      </w:r>
      <w:r w:rsidR="002033C1" w:rsidRPr="00BF2102">
        <w:rPr>
          <w:rFonts w:cs="Open Sans"/>
        </w:rPr>
        <w:t>act</w:t>
      </w:r>
      <w:r w:rsidR="002033C1" w:rsidRPr="00BF2102">
        <w:rPr>
          <w:rStyle w:val="EndnoteReference"/>
          <w:rFonts w:cs="Open Sans"/>
        </w:rPr>
        <w:endnoteReference w:id="59"/>
      </w:r>
      <w:r w:rsidR="004C5214" w:rsidRPr="00BF2102">
        <w:rPr>
          <w:rFonts w:cs="Open Sans"/>
        </w:rPr>
        <w:t>—</w:t>
      </w:r>
      <w:r w:rsidR="00F2559F" w:rsidRPr="00BF2102">
        <w:rPr>
          <w:rFonts w:cs="Open Sans"/>
        </w:rPr>
        <w:t xml:space="preserve">is </w:t>
      </w:r>
      <w:r w:rsidR="00846D9E" w:rsidRPr="00BF2102">
        <w:rPr>
          <w:rFonts w:cs="Open Sans"/>
        </w:rPr>
        <w:t xml:space="preserve">affected in exactly the same way as an adult who </w:t>
      </w:r>
      <w:r w:rsidR="00F2559F" w:rsidRPr="00BF2102">
        <w:rPr>
          <w:rFonts w:cs="Open Sans"/>
        </w:rPr>
        <w:t xml:space="preserve">travels overseas to fight </w:t>
      </w:r>
      <w:r w:rsidR="00067220" w:rsidRPr="00BF2102">
        <w:rPr>
          <w:rFonts w:cs="Open Sans"/>
        </w:rPr>
        <w:t xml:space="preserve">for a declared terrorist </w:t>
      </w:r>
      <w:r w:rsidR="00067220" w:rsidRPr="00BF2102">
        <w:rPr>
          <w:rFonts w:cs="Open Sans"/>
        </w:rPr>
        <w:lastRenderedPageBreak/>
        <w:t xml:space="preserve">organisation. </w:t>
      </w:r>
      <w:r w:rsidR="00E36303" w:rsidRPr="00BF2102">
        <w:rPr>
          <w:rFonts w:cs="Open Sans"/>
        </w:rPr>
        <w:t xml:space="preserve">Both </w:t>
      </w:r>
      <w:r w:rsidR="00477818" w:rsidRPr="00BF2102">
        <w:rPr>
          <w:rFonts w:cs="Open Sans"/>
        </w:rPr>
        <w:t xml:space="preserve">are at risk of </w:t>
      </w:r>
      <w:r w:rsidR="00E36303" w:rsidRPr="00BF2102">
        <w:rPr>
          <w:rFonts w:cs="Open Sans"/>
        </w:rPr>
        <w:t>automatic</w:t>
      </w:r>
      <w:r w:rsidR="000B5E0A" w:rsidRPr="00BF2102">
        <w:rPr>
          <w:rFonts w:cs="Open Sans"/>
        </w:rPr>
        <w:t>ally</w:t>
      </w:r>
      <w:r w:rsidR="00E36303" w:rsidRPr="00BF2102">
        <w:rPr>
          <w:rFonts w:cs="Open Sans"/>
        </w:rPr>
        <w:t xml:space="preserve"> los</w:t>
      </w:r>
      <w:r w:rsidR="000B5E0A" w:rsidRPr="00BF2102">
        <w:rPr>
          <w:rFonts w:cs="Open Sans"/>
        </w:rPr>
        <w:t>ing</w:t>
      </w:r>
      <w:r w:rsidR="00E36303" w:rsidRPr="00BF2102">
        <w:rPr>
          <w:rFonts w:cs="Open Sans"/>
        </w:rPr>
        <w:t xml:space="preserve"> their Australian citizenship.</w:t>
      </w:r>
    </w:p>
    <w:p w14:paraId="308CA888" w14:textId="6BDD5A30" w:rsidR="00D057E0" w:rsidRPr="00BF2102" w:rsidRDefault="00D057E0" w:rsidP="00310D03">
      <w:pPr>
        <w:pStyle w:val="ListNumber"/>
        <w:numPr>
          <w:ilvl w:val="0"/>
          <w:numId w:val="15"/>
        </w:numPr>
        <w:tabs>
          <w:tab w:val="num" w:pos="993"/>
          <w:tab w:val="left" w:pos="1418"/>
        </w:tabs>
        <w:ind w:left="709" w:hanging="567"/>
        <w:rPr>
          <w:rFonts w:cs="Open Sans"/>
        </w:rPr>
      </w:pPr>
      <w:r w:rsidRPr="00BF2102">
        <w:rPr>
          <w:rFonts w:cs="Open Sans"/>
        </w:rPr>
        <w:t>By contrast, the conviction-based provisions</w:t>
      </w:r>
      <w:r w:rsidR="00225604" w:rsidRPr="00BF2102">
        <w:rPr>
          <w:rFonts w:cs="Open Sans"/>
        </w:rPr>
        <w:t xml:space="preserve"> in s 35A</w:t>
      </w:r>
      <w:r w:rsidRPr="00BF2102">
        <w:rPr>
          <w:rFonts w:cs="Open Sans"/>
        </w:rPr>
        <w:t xml:space="preserve"> require not only an assessment to a criminal standard that a person has committed a crime, but also that a sentence of at least </w:t>
      </w:r>
      <w:r w:rsidR="000A784E" w:rsidRPr="00BF2102">
        <w:rPr>
          <w:rFonts w:cs="Open Sans"/>
        </w:rPr>
        <w:t>six</w:t>
      </w:r>
      <w:r w:rsidRPr="00BF2102">
        <w:rPr>
          <w:rFonts w:cs="Open Sans"/>
        </w:rPr>
        <w:t xml:space="preserve"> years has been imposed by a judge. This immediately imports a degree of seriousness</w:t>
      </w:r>
      <w:r w:rsidR="00E36303" w:rsidRPr="00BF2102">
        <w:rPr>
          <w:rFonts w:cs="Open Sans"/>
        </w:rPr>
        <w:t xml:space="preserve"> to the conduct commensurate with the potential impact to the individual of the loss of citizenship</w:t>
      </w:r>
      <w:r w:rsidRPr="00BF2102">
        <w:rPr>
          <w:rFonts w:cs="Open Sans"/>
        </w:rPr>
        <w:t>.</w:t>
      </w:r>
    </w:p>
    <w:p w14:paraId="7895062F" w14:textId="55C7CD0E" w:rsidR="003E2216" w:rsidRPr="00BF2102" w:rsidRDefault="00D057E0" w:rsidP="00310D03">
      <w:pPr>
        <w:pStyle w:val="ListNumber"/>
        <w:numPr>
          <w:ilvl w:val="0"/>
          <w:numId w:val="15"/>
        </w:numPr>
        <w:tabs>
          <w:tab w:val="num" w:pos="993"/>
          <w:tab w:val="left" w:pos="1418"/>
        </w:tabs>
        <w:ind w:left="709" w:hanging="567"/>
        <w:rPr>
          <w:rFonts w:cs="Open Sans"/>
        </w:rPr>
      </w:pPr>
      <w:r w:rsidRPr="00BF2102">
        <w:rPr>
          <w:rFonts w:cs="Open Sans"/>
        </w:rPr>
        <w:t>O</w:t>
      </w:r>
      <w:r w:rsidR="003E2216" w:rsidRPr="00BF2102">
        <w:rPr>
          <w:rFonts w:cs="Open Sans"/>
        </w:rPr>
        <w:t xml:space="preserve">ur laws generally operate to ensure that any consequences of offending are proportionate to the seriousness of the relevant conduct. </w:t>
      </w:r>
      <w:r w:rsidR="000B5E0A" w:rsidRPr="00BF2102">
        <w:rPr>
          <w:rFonts w:cs="Open Sans"/>
        </w:rPr>
        <w:t xml:space="preserve">For every criminal offence, Parliament sets a penalty range that </w:t>
      </w:r>
      <w:proofErr w:type="gramStart"/>
      <w:r w:rsidR="000B5E0A" w:rsidRPr="00BF2102">
        <w:rPr>
          <w:rFonts w:cs="Open Sans"/>
        </w:rPr>
        <w:t>takes into account</w:t>
      </w:r>
      <w:proofErr w:type="gramEnd"/>
      <w:r w:rsidR="000B5E0A" w:rsidRPr="00BF2102">
        <w:rPr>
          <w:rFonts w:cs="Open Sans"/>
        </w:rPr>
        <w:t xml:space="preserve"> the relative seriousness of the offence in question. When an individual is convicted of </w:t>
      </w:r>
      <w:r w:rsidR="00917AA6" w:rsidRPr="00BF2102">
        <w:rPr>
          <w:rFonts w:cs="Open Sans"/>
        </w:rPr>
        <w:t xml:space="preserve">an </w:t>
      </w:r>
      <w:r w:rsidR="000B5E0A" w:rsidRPr="00BF2102">
        <w:rPr>
          <w:rFonts w:cs="Open Sans"/>
        </w:rPr>
        <w:t xml:space="preserve">offence, the </w:t>
      </w:r>
      <w:r w:rsidR="00917AA6" w:rsidRPr="00BF2102">
        <w:rPr>
          <w:rFonts w:cs="Open Sans"/>
        </w:rPr>
        <w:t xml:space="preserve">penalty imposed will be determined by reference to the legislated penalty range and, almost always, with provision to </w:t>
      </w:r>
      <w:r w:rsidR="000479E1" w:rsidRPr="00BF2102">
        <w:rPr>
          <w:rFonts w:cs="Open Sans"/>
        </w:rPr>
        <w:t>consider</w:t>
      </w:r>
      <w:r w:rsidR="00917AA6" w:rsidRPr="00BF2102">
        <w:rPr>
          <w:rFonts w:cs="Open Sans"/>
        </w:rPr>
        <w:t xml:space="preserve"> the </w:t>
      </w:r>
      <w:r w:rsidR="000B5E0A" w:rsidRPr="00BF2102">
        <w:rPr>
          <w:rFonts w:cs="Open Sans"/>
        </w:rPr>
        <w:t>particular circumstances of the individual’s offending.</w:t>
      </w:r>
      <w:r w:rsidR="004C070A" w:rsidRPr="00BF2102">
        <w:rPr>
          <w:rFonts w:cs="Open Sans"/>
        </w:rPr>
        <w:t xml:space="preserve"> </w:t>
      </w:r>
      <w:r w:rsidR="000B5E0A" w:rsidRPr="00BF2102">
        <w:rPr>
          <w:rFonts w:cs="Open Sans"/>
        </w:rPr>
        <w:t xml:space="preserve">In this way, our criminal law system aims to adhere to </w:t>
      </w:r>
      <w:r w:rsidR="004D1BE2" w:rsidRPr="00BF2102">
        <w:rPr>
          <w:rFonts w:cs="Open Sans"/>
        </w:rPr>
        <w:t>the fundamental legal principle of proportionality between severity of outcome and the seriousness of a crime.</w:t>
      </w:r>
    </w:p>
    <w:p w14:paraId="765D45C0" w14:textId="7969963F" w:rsidR="00A40DEC" w:rsidRPr="00BF2102" w:rsidRDefault="00477818" w:rsidP="00310D03">
      <w:pPr>
        <w:pStyle w:val="ListNumber"/>
        <w:numPr>
          <w:ilvl w:val="0"/>
          <w:numId w:val="15"/>
        </w:numPr>
        <w:tabs>
          <w:tab w:val="num" w:pos="993"/>
          <w:tab w:val="left" w:pos="1418"/>
        </w:tabs>
        <w:ind w:left="709" w:hanging="567"/>
        <w:rPr>
          <w:rFonts w:cs="Open Sans"/>
        </w:rPr>
      </w:pPr>
      <w:r w:rsidRPr="00BF2102">
        <w:rPr>
          <w:rFonts w:cs="Open Sans"/>
        </w:rPr>
        <w:t>Under the conduct-based</w:t>
      </w:r>
      <w:r w:rsidR="00ED1FFF" w:rsidRPr="00BF2102">
        <w:rPr>
          <w:rFonts w:cs="Open Sans"/>
        </w:rPr>
        <w:t xml:space="preserve"> cessation provisions</w:t>
      </w:r>
      <w:r w:rsidR="0097361C" w:rsidRPr="00BF2102">
        <w:rPr>
          <w:rFonts w:cs="Open Sans"/>
        </w:rPr>
        <w:t xml:space="preserve"> in ss 33AA and 35</w:t>
      </w:r>
      <w:r w:rsidR="00ED1FFF" w:rsidRPr="00BF2102">
        <w:rPr>
          <w:rFonts w:cs="Open Sans"/>
        </w:rPr>
        <w:t>,</w:t>
      </w:r>
      <w:r w:rsidRPr="00BF2102">
        <w:rPr>
          <w:rFonts w:cs="Open Sans"/>
        </w:rPr>
        <w:t xml:space="preserve"> </w:t>
      </w:r>
      <w:r w:rsidR="00ED1FFF" w:rsidRPr="00BF2102">
        <w:rPr>
          <w:rFonts w:cs="Open Sans"/>
        </w:rPr>
        <w:t>t</w:t>
      </w:r>
      <w:r w:rsidR="00C66415" w:rsidRPr="00BF2102">
        <w:rPr>
          <w:rFonts w:cs="Open Sans"/>
        </w:rPr>
        <w:t>here is</w:t>
      </w:r>
      <w:r w:rsidR="008C4369" w:rsidRPr="00BF2102">
        <w:rPr>
          <w:rFonts w:cs="Open Sans"/>
        </w:rPr>
        <w:t xml:space="preserve"> </w:t>
      </w:r>
      <w:r w:rsidR="00C66415" w:rsidRPr="00BF2102">
        <w:rPr>
          <w:rFonts w:cs="Open Sans"/>
        </w:rPr>
        <w:t xml:space="preserve">no </w:t>
      </w:r>
      <w:r w:rsidR="00ED1FFF" w:rsidRPr="00BF2102">
        <w:rPr>
          <w:rFonts w:cs="Open Sans"/>
        </w:rPr>
        <w:t xml:space="preserve">requirement </w:t>
      </w:r>
      <w:r w:rsidR="00C66415" w:rsidRPr="00BF2102">
        <w:rPr>
          <w:rFonts w:cs="Open Sans"/>
        </w:rPr>
        <w:t xml:space="preserve">to consider factors </w:t>
      </w:r>
      <w:r w:rsidR="009C343C" w:rsidRPr="00BF2102">
        <w:rPr>
          <w:rFonts w:cs="Open Sans"/>
        </w:rPr>
        <w:t xml:space="preserve">that bear on the seriousness of the proscribed behaviour or the impact on the individual, before </w:t>
      </w:r>
      <w:r w:rsidR="000479E1" w:rsidRPr="00BF2102">
        <w:rPr>
          <w:rFonts w:cs="Open Sans"/>
        </w:rPr>
        <w:t>an</w:t>
      </w:r>
      <w:r w:rsidR="009C343C" w:rsidRPr="00BF2102">
        <w:rPr>
          <w:rFonts w:cs="Open Sans"/>
        </w:rPr>
        <w:t xml:space="preserve"> individual’s citizenship is removed. S</w:t>
      </w:r>
      <w:r w:rsidR="00C66415" w:rsidRPr="00BF2102">
        <w:rPr>
          <w:rFonts w:cs="Open Sans"/>
        </w:rPr>
        <w:t>uch</w:t>
      </w:r>
      <w:r w:rsidR="009C343C" w:rsidRPr="00BF2102">
        <w:rPr>
          <w:rFonts w:cs="Open Sans"/>
        </w:rPr>
        <w:t xml:space="preserve"> factors would include</w:t>
      </w:r>
      <w:r w:rsidR="00A40DEC" w:rsidRPr="00BF2102">
        <w:rPr>
          <w:rFonts w:cs="Open Sans"/>
        </w:rPr>
        <w:t>, as prescribed by s 35A(1)(e) for the conviction-based loss regime,</w:t>
      </w:r>
      <w:r w:rsidR="00C66415" w:rsidRPr="00BF2102">
        <w:rPr>
          <w:rFonts w:cs="Open Sans"/>
        </w:rPr>
        <w:t xml:space="preserve"> </w:t>
      </w:r>
      <w:r w:rsidR="009C343C" w:rsidRPr="00BF2102">
        <w:rPr>
          <w:rFonts w:cs="Open Sans"/>
        </w:rPr>
        <w:t>the degree of threat posed</w:t>
      </w:r>
      <w:r w:rsidR="009C343C" w:rsidRPr="00BF2102" w:rsidDel="009C343C">
        <w:rPr>
          <w:rFonts w:cs="Open Sans"/>
        </w:rPr>
        <w:t xml:space="preserve"> </w:t>
      </w:r>
      <w:r w:rsidR="009C343C" w:rsidRPr="00BF2102">
        <w:rPr>
          <w:rFonts w:cs="Open Sans"/>
        </w:rPr>
        <w:t xml:space="preserve">to Australia; the impact </w:t>
      </w:r>
      <w:r w:rsidR="003E61EC" w:rsidRPr="00BF2102">
        <w:rPr>
          <w:rFonts w:cs="Open Sans"/>
        </w:rPr>
        <w:t xml:space="preserve">of the behaviour </w:t>
      </w:r>
      <w:r w:rsidR="009C343C" w:rsidRPr="00BF2102">
        <w:rPr>
          <w:rFonts w:cs="Open Sans"/>
        </w:rPr>
        <w:t xml:space="preserve">on Australia’s international relations; </w:t>
      </w:r>
      <w:r w:rsidR="00C66415" w:rsidRPr="00BF2102">
        <w:rPr>
          <w:rFonts w:cs="Open Sans"/>
        </w:rPr>
        <w:t xml:space="preserve">the age of the </w:t>
      </w:r>
      <w:r w:rsidR="009C343C" w:rsidRPr="00BF2102">
        <w:rPr>
          <w:rFonts w:cs="Open Sans"/>
        </w:rPr>
        <w:t>individual or</w:t>
      </w:r>
      <w:r w:rsidR="00C66415" w:rsidRPr="00BF2102">
        <w:rPr>
          <w:rFonts w:cs="Open Sans"/>
        </w:rPr>
        <w:t xml:space="preserve"> the</w:t>
      </w:r>
      <w:r w:rsidR="009C343C" w:rsidRPr="00BF2102">
        <w:rPr>
          <w:rFonts w:cs="Open Sans"/>
        </w:rPr>
        <w:t xml:space="preserve">ir </w:t>
      </w:r>
      <w:r w:rsidR="00C66415" w:rsidRPr="00BF2102">
        <w:rPr>
          <w:rFonts w:cs="Open Sans"/>
        </w:rPr>
        <w:t>connection to Australia or another country.</w:t>
      </w:r>
      <w:r w:rsidR="006A7B8C" w:rsidRPr="00BF2102">
        <w:rPr>
          <w:rFonts w:cs="Open Sans"/>
        </w:rPr>
        <w:t xml:space="preserve"> </w:t>
      </w:r>
    </w:p>
    <w:p w14:paraId="2B190A70" w14:textId="0D693976" w:rsidR="00B050AC" w:rsidRPr="00BF2102" w:rsidRDefault="00C0499E" w:rsidP="002F6188">
      <w:pPr>
        <w:pStyle w:val="ListNumber"/>
        <w:numPr>
          <w:ilvl w:val="0"/>
          <w:numId w:val="15"/>
        </w:numPr>
        <w:tabs>
          <w:tab w:val="num" w:pos="993"/>
          <w:tab w:val="left" w:pos="1418"/>
        </w:tabs>
        <w:ind w:left="709" w:hanging="567"/>
        <w:rPr>
          <w:rFonts w:cs="Open Sans"/>
        </w:rPr>
      </w:pPr>
      <w:r w:rsidRPr="00BF2102">
        <w:rPr>
          <w:rFonts w:cs="Open Sans"/>
        </w:rPr>
        <w:t>A person could pose no ongoing</w:t>
      </w:r>
      <w:r w:rsidR="004C0399" w:rsidRPr="00BF2102">
        <w:rPr>
          <w:rFonts w:cs="Open Sans"/>
        </w:rPr>
        <w:t xml:space="preserve"> </w:t>
      </w:r>
      <w:r w:rsidRPr="00BF2102">
        <w:rPr>
          <w:rFonts w:cs="Open Sans"/>
        </w:rPr>
        <w:t>threat,</w:t>
      </w:r>
      <w:r w:rsidR="004C0399" w:rsidRPr="00BF2102">
        <w:rPr>
          <w:rFonts w:cs="Open Sans"/>
        </w:rPr>
        <w:t xml:space="preserve"> but still </w:t>
      </w:r>
      <w:r w:rsidR="003618C8" w:rsidRPr="00BF2102">
        <w:rPr>
          <w:rFonts w:cs="Open Sans"/>
        </w:rPr>
        <w:t>lose their citizenship</w:t>
      </w:r>
      <w:r w:rsidR="004C0399" w:rsidRPr="00BF2102">
        <w:rPr>
          <w:rFonts w:cs="Open Sans"/>
        </w:rPr>
        <w:t>.</w:t>
      </w:r>
      <w:r w:rsidR="004C070A" w:rsidRPr="00BF2102">
        <w:rPr>
          <w:rFonts w:cs="Open Sans"/>
        </w:rPr>
        <w:t xml:space="preserve"> </w:t>
      </w:r>
      <w:r w:rsidR="005C0DB1" w:rsidRPr="00BF2102">
        <w:rPr>
          <w:rFonts w:cs="Open Sans"/>
        </w:rPr>
        <w:t xml:space="preserve">This raises </w:t>
      </w:r>
      <w:r w:rsidR="00CD0560" w:rsidRPr="00BF2102">
        <w:rPr>
          <w:rFonts w:cs="Open Sans"/>
        </w:rPr>
        <w:t xml:space="preserve">serious </w:t>
      </w:r>
      <w:r w:rsidR="005C0DB1" w:rsidRPr="00BF2102">
        <w:rPr>
          <w:rFonts w:cs="Open Sans"/>
        </w:rPr>
        <w:t xml:space="preserve">questions about the necessity and proportionality of </w:t>
      </w:r>
      <w:r w:rsidR="001D55AA" w:rsidRPr="00BF2102">
        <w:rPr>
          <w:rFonts w:cs="Open Sans"/>
        </w:rPr>
        <w:t xml:space="preserve">automatic </w:t>
      </w:r>
      <w:r w:rsidR="00821BF7" w:rsidRPr="00BF2102">
        <w:rPr>
          <w:rFonts w:cs="Open Sans"/>
        </w:rPr>
        <w:t xml:space="preserve">citizenship </w:t>
      </w:r>
      <w:r w:rsidR="003618C8" w:rsidRPr="00BF2102">
        <w:rPr>
          <w:rFonts w:cs="Open Sans"/>
        </w:rPr>
        <w:t xml:space="preserve">loss </w:t>
      </w:r>
      <w:r w:rsidR="005C0DB1" w:rsidRPr="00BF2102">
        <w:rPr>
          <w:rFonts w:cs="Open Sans"/>
        </w:rPr>
        <w:t xml:space="preserve">to address </w:t>
      </w:r>
      <w:r w:rsidR="00157352" w:rsidRPr="00BF2102">
        <w:rPr>
          <w:rFonts w:cs="Open Sans"/>
        </w:rPr>
        <w:t>the</w:t>
      </w:r>
      <w:r w:rsidR="005C0DB1" w:rsidRPr="00BF2102">
        <w:rPr>
          <w:rFonts w:cs="Open Sans"/>
        </w:rPr>
        <w:t xml:space="preserve"> stated goals of public safety and national security.</w:t>
      </w:r>
      <w:r w:rsidR="00EA21D9" w:rsidRPr="00BF2102">
        <w:rPr>
          <w:rFonts w:cs="Open Sans"/>
        </w:rPr>
        <w:t xml:space="preserve"> </w:t>
      </w:r>
      <w:r w:rsidR="00D80549" w:rsidRPr="00BF2102">
        <w:rPr>
          <w:rFonts w:cs="Open Sans"/>
        </w:rPr>
        <w:t xml:space="preserve">Without a requirement to </w:t>
      </w:r>
      <w:proofErr w:type="gramStart"/>
      <w:r w:rsidR="00D80549" w:rsidRPr="00BF2102">
        <w:rPr>
          <w:rFonts w:cs="Open Sans"/>
        </w:rPr>
        <w:t>take into account</w:t>
      </w:r>
      <w:proofErr w:type="gramEnd"/>
      <w:r w:rsidR="00D80549" w:rsidRPr="00BF2102">
        <w:rPr>
          <w:rFonts w:cs="Open Sans"/>
        </w:rPr>
        <w:t xml:space="preserve"> relevant circumstances </w:t>
      </w:r>
      <w:r w:rsidR="00D02ED8" w:rsidRPr="00BF2102">
        <w:rPr>
          <w:rFonts w:cs="Open Sans"/>
        </w:rPr>
        <w:t>to</w:t>
      </w:r>
      <w:r w:rsidR="00D80549" w:rsidRPr="00BF2102">
        <w:rPr>
          <w:rFonts w:cs="Open Sans"/>
        </w:rPr>
        <w:t xml:space="preserve"> assess whether citizenship loss is warranted in any particular case, there is a real risk </w:t>
      </w:r>
      <w:r w:rsidR="001D55AA" w:rsidRPr="00BF2102">
        <w:rPr>
          <w:rFonts w:cs="Open Sans"/>
        </w:rPr>
        <w:t xml:space="preserve">that the </w:t>
      </w:r>
      <w:r w:rsidR="00D80549" w:rsidRPr="00BF2102">
        <w:rPr>
          <w:rFonts w:cs="Open Sans"/>
        </w:rPr>
        <w:t xml:space="preserve">grave consequences of citizenship loss </w:t>
      </w:r>
      <w:r w:rsidR="001D55AA" w:rsidRPr="00BF2102">
        <w:rPr>
          <w:rFonts w:cs="Open Sans"/>
        </w:rPr>
        <w:t xml:space="preserve">will not be proportionate to </w:t>
      </w:r>
      <w:r w:rsidR="00D80549" w:rsidRPr="00BF2102">
        <w:rPr>
          <w:rFonts w:cs="Open Sans"/>
        </w:rPr>
        <w:t>any safety or security risk faced</w:t>
      </w:r>
      <w:r w:rsidR="001D55AA" w:rsidRPr="00BF2102">
        <w:rPr>
          <w:rFonts w:cs="Open Sans"/>
        </w:rPr>
        <w:t xml:space="preserve">. </w:t>
      </w:r>
    </w:p>
    <w:p w14:paraId="1D6F17E7" w14:textId="77777777" w:rsidR="0097361C" w:rsidRPr="00BF2102" w:rsidRDefault="00157352" w:rsidP="009F7F18">
      <w:pPr>
        <w:pStyle w:val="Subnumbered"/>
        <w:ind w:left="709" w:hanging="709"/>
        <w:rPr>
          <w:rFonts w:cs="Open Sans"/>
        </w:rPr>
      </w:pPr>
      <w:r w:rsidRPr="00BF2102">
        <w:rPr>
          <w:rFonts w:cs="Open Sans"/>
        </w:rPr>
        <w:t>Further, a</w:t>
      </w:r>
      <w:r w:rsidR="00B050AC" w:rsidRPr="00BF2102">
        <w:rPr>
          <w:rFonts w:cs="Open Sans"/>
        </w:rPr>
        <w:t xml:space="preserve"> </w:t>
      </w:r>
      <w:r w:rsidR="00EA21D9" w:rsidRPr="00BF2102">
        <w:rPr>
          <w:rFonts w:cs="Open Sans"/>
        </w:rPr>
        <w:t xml:space="preserve">range of other </w:t>
      </w:r>
      <w:r w:rsidR="00B050AC" w:rsidRPr="00BF2102">
        <w:rPr>
          <w:rFonts w:cs="Open Sans"/>
        </w:rPr>
        <w:t xml:space="preserve">legal and operational </w:t>
      </w:r>
      <w:r w:rsidR="00EA21D9" w:rsidRPr="00BF2102">
        <w:rPr>
          <w:rFonts w:cs="Open Sans"/>
        </w:rPr>
        <w:t xml:space="preserve">measures </w:t>
      </w:r>
      <w:r w:rsidR="00B050AC" w:rsidRPr="00BF2102">
        <w:rPr>
          <w:rFonts w:cs="Open Sans"/>
        </w:rPr>
        <w:t xml:space="preserve">are </w:t>
      </w:r>
      <w:r w:rsidR="00EA21D9" w:rsidRPr="00BF2102">
        <w:rPr>
          <w:rFonts w:cs="Open Sans"/>
        </w:rPr>
        <w:t xml:space="preserve">available to combat </w:t>
      </w:r>
      <w:r w:rsidR="00B050AC" w:rsidRPr="00BF2102">
        <w:rPr>
          <w:rFonts w:cs="Open Sans"/>
        </w:rPr>
        <w:t xml:space="preserve">real </w:t>
      </w:r>
      <w:r w:rsidR="00EA21D9" w:rsidRPr="00BF2102">
        <w:rPr>
          <w:rFonts w:cs="Open Sans"/>
        </w:rPr>
        <w:t xml:space="preserve">risks to the community posed by terrorists, including cancellation of passports, control orders, and imprisonment following conviction. </w:t>
      </w:r>
    </w:p>
    <w:p w14:paraId="4A0AD5ED" w14:textId="0BBB7C12" w:rsidR="0097361C" w:rsidRPr="00BF2102" w:rsidRDefault="001A6503" w:rsidP="002F6188">
      <w:pPr>
        <w:pStyle w:val="ListNumber"/>
        <w:numPr>
          <w:ilvl w:val="0"/>
          <w:numId w:val="15"/>
        </w:numPr>
        <w:tabs>
          <w:tab w:val="num" w:pos="993"/>
          <w:tab w:val="left" w:pos="1418"/>
        </w:tabs>
        <w:ind w:left="709" w:hanging="567"/>
        <w:rPr>
          <w:rFonts w:cs="Open Sans"/>
        </w:rPr>
      </w:pPr>
      <w:r w:rsidRPr="00BF2102">
        <w:rPr>
          <w:rFonts w:cs="Open Sans"/>
        </w:rPr>
        <w:lastRenderedPageBreak/>
        <w:t xml:space="preserve">The Commission considers that our criminal justice system is best placed to establish that criminal conduct has occurred, and to assess its seriousness. Loss of citizenship, being one of the most severe possible civil consequences, is also best justified by reference to the findings of a court. </w:t>
      </w:r>
    </w:p>
    <w:p w14:paraId="72F73E6D" w14:textId="76912EE5" w:rsidR="002F6188" w:rsidRPr="00BF2102" w:rsidRDefault="002F6188" w:rsidP="002F6188">
      <w:pPr>
        <w:pStyle w:val="ListNumber"/>
        <w:numPr>
          <w:ilvl w:val="0"/>
          <w:numId w:val="15"/>
        </w:numPr>
        <w:tabs>
          <w:tab w:val="num" w:pos="993"/>
          <w:tab w:val="left" w:pos="1418"/>
        </w:tabs>
        <w:ind w:left="709" w:hanging="567"/>
        <w:rPr>
          <w:rFonts w:cs="Open Sans"/>
        </w:rPr>
      </w:pPr>
      <w:r w:rsidRPr="00BF2102">
        <w:rPr>
          <w:rFonts w:cs="Open Sans"/>
        </w:rPr>
        <w:t>There are particular additional concerns whe</w:t>
      </w:r>
      <w:r w:rsidR="004D151D" w:rsidRPr="00BF2102">
        <w:rPr>
          <w:rFonts w:cs="Open Sans"/>
        </w:rPr>
        <w:t>n</w:t>
      </w:r>
      <w:r w:rsidRPr="00BF2102">
        <w:rPr>
          <w:rFonts w:cs="Open Sans"/>
        </w:rPr>
        <w:t xml:space="preserve"> the affected person is a child. For example, criminal standards of intent are particularly important in relation to children, whose understanding and knowledge are necessarily limited. Despite engaging in the relevant conduct, there are risks that a child </w:t>
      </w:r>
      <w:r w:rsidR="00F57C56" w:rsidRPr="00BF2102">
        <w:rPr>
          <w:rFonts w:cs="Open Sans"/>
        </w:rPr>
        <w:t xml:space="preserve">who engages in proscribed conduct </w:t>
      </w:r>
      <w:r w:rsidR="00E40DD4" w:rsidRPr="00BF2102">
        <w:rPr>
          <w:rFonts w:cs="Open Sans"/>
        </w:rPr>
        <w:t>could be in reality</w:t>
      </w:r>
      <w:r w:rsidRPr="00BF2102">
        <w:rPr>
          <w:rFonts w:cs="Open Sans"/>
        </w:rPr>
        <w:t xml:space="preserve"> a victim who has been manipulated or exploited by an adult.</w:t>
      </w:r>
    </w:p>
    <w:p w14:paraId="32938426" w14:textId="26AC4CB0" w:rsidR="002F6188" w:rsidRPr="00BF2102" w:rsidRDefault="002F6188" w:rsidP="002F6188">
      <w:pPr>
        <w:pStyle w:val="ListNumber"/>
        <w:numPr>
          <w:ilvl w:val="0"/>
          <w:numId w:val="15"/>
        </w:numPr>
        <w:tabs>
          <w:tab w:val="num" w:pos="993"/>
          <w:tab w:val="left" w:pos="1418"/>
        </w:tabs>
        <w:ind w:left="709" w:hanging="567"/>
        <w:rPr>
          <w:rFonts w:cs="Open Sans"/>
        </w:rPr>
      </w:pPr>
      <w:r w:rsidRPr="00BF2102">
        <w:rPr>
          <w:rFonts w:cs="Open Sans"/>
        </w:rPr>
        <w:t xml:space="preserve">Further, the criminal justice system has many safeguards relating to children at all stages of the process. For example, the common law protective presumption of </w:t>
      </w:r>
      <w:proofErr w:type="spellStart"/>
      <w:r w:rsidRPr="00BF2102">
        <w:rPr>
          <w:rFonts w:cs="Open Sans"/>
          <w:i/>
          <w:iCs/>
        </w:rPr>
        <w:t>doli</w:t>
      </w:r>
      <w:proofErr w:type="spellEnd"/>
      <w:r w:rsidRPr="00BF2102">
        <w:rPr>
          <w:rFonts w:cs="Open Sans"/>
          <w:i/>
          <w:iCs/>
        </w:rPr>
        <w:t xml:space="preserve"> incapax </w:t>
      </w:r>
      <w:r w:rsidRPr="00BF2102">
        <w:t xml:space="preserve">assumes that children aged 10 to 14 </w:t>
      </w:r>
      <w:r w:rsidRPr="00BF2102">
        <w:rPr>
          <w:rFonts w:cs="Open Sans"/>
        </w:rPr>
        <w:t>years</w:t>
      </w:r>
      <w:r w:rsidRPr="00BF2102">
        <w:t xml:space="preserve"> are ‘criminally incapable’ unless proven otherwise. By way of further example, some</w:t>
      </w:r>
      <w:r w:rsidRPr="00BF2102">
        <w:rPr>
          <w:rFonts w:cs="Open Sans"/>
        </w:rPr>
        <w:t xml:space="preserve"> diversion programs are only available to children, and are premised on rehabilitation rather than punishment. Such programs mean that, despite committing a relevant crime, a child may never end up with a conviction. For the automatic conduct regime, such standards and safeguards are evidently not available.</w:t>
      </w:r>
    </w:p>
    <w:p w14:paraId="630AF552" w14:textId="0C02CDEA" w:rsidR="00C00E46" w:rsidRPr="00BF2102" w:rsidRDefault="00C00E46" w:rsidP="00C00E46">
      <w:pPr>
        <w:pStyle w:val="Heading3"/>
        <w:rPr>
          <w:rFonts w:cs="Open Sans"/>
          <w:i/>
          <w:iCs/>
        </w:rPr>
      </w:pPr>
      <w:bookmarkStart w:id="74" w:name="_Toc11407968"/>
      <w:r w:rsidRPr="00BF2102">
        <w:rPr>
          <w:rFonts w:cs="Open Sans"/>
          <w:i/>
          <w:iCs/>
        </w:rPr>
        <w:t>Problems with certainty and transparency</w:t>
      </w:r>
      <w:bookmarkEnd w:id="74"/>
    </w:p>
    <w:p w14:paraId="7F89DB62" w14:textId="7B7D9023" w:rsidR="004F0279" w:rsidRPr="00BF2102" w:rsidRDefault="004D1BE2" w:rsidP="00310D03">
      <w:pPr>
        <w:pStyle w:val="ListNumber"/>
        <w:numPr>
          <w:ilvl w:val="0"/>
          <w:numId w:val="15"/>
        </w:numPr>
        <w:tabs>
          <w:tab w:val="num" w:pos="993"/>
          <w:tab w:val="left" w:pos="1418"/>
        </w:tabs>
        <w:ind w:left="709" w:hanging="567"/>
        <w:rPr>
          <w:rFonts w:cs="Open Sans"/>
        </w:rPr>
      </w:pPr>
      <w:r w:rsidRPr="00BF2102">
        <w:rPr>
          <w:rFonts w:cs="Open Sans"/>
        </w:rPr>
        <w:t>From a rule of law perspective, the use of an automatic regime is also problematic</w:t>
      </w:r>
      <w:r w:rsidR="00395BEF" w:rsidRPr="00BF2102">
        <w:rPr>
          <w:rFonts w:cs="Open Sans"/>
        </w:rPr>
        <w:t xml:space="preserve"> for legal certainty</w:t>
      </w:r>
      <w:r w:rsidRPr="00BF2102">
        <w:rPr>
          <w:rFonts w:cs="Open Sans"/>
        </w:rPr>
        <w:t xml:space="preserve">. </w:t>
      </w:r>
      <w:r w:rsidR="00395BEF" w:rsidRPr="00BF2102">
        <w:rPr>
          <w:rFonts w:cs="Open Sans"/>
        </w:rPr>
        <w:t>The operation of a</w:t>
      </w:r>
      <w:r w:rsidRPr="00BF2102">
        <w:rPr>
          <w:rFonts w:cs="Open Sans"/>
        </w:rPr>
        <w:t xml:space="preserve">nti-terror laws can be complex. </w:t>
      </w:r>
      <w:r w:rsidR="00395BEF" w:rsidRPr="00BF2102">
        <w:rPr>
          <w:rFonts w:cs="Open Sans"/>
        </w:rPr>
        <w:t xml:space="preserve">A person may not be certain whether or not their conduct is captured by the </w:t>
      </w:r>
      <w:r w:rsidR="004A669F" w:rsidRPr="00BF2102">
        <w:rPr>
          <w:rFonts w:cs="Open Sans"/>
        </w:rPr>
        <w:t xml:space="preserve">relevant </w:t>
      </w:r>
      <w:r w:rsidR="00395BEF" w:rsidRPr="00BF2102">
        <w:rPr>
          <w:rFonts w:cs="Open Sans"/>
        </w:rPr>
        <w:t xml:space="preserve">provisions. </w:t>
      </w:r>
    </w:p>
    <w:p w14:paraId="2309A2AE" w14:textId="1C049DB5" w:rsidR="00387080" w:rsidRPr="00BF2102" w:rsidRDefault="00EA2767" w:rsidP="00310D03">
      <w:pPr>
        <w:pStyle w:val="ListNumber"/>
        <w:numPr>
          <w:ilvl w:val="0"/>
          <w:numId w:val="15"/>
        </w:numPr>
        <w:tabs>
          <w:tab w:val="num" w:pos="993"/>
          <w:tab w:val="left" w:pos="1418"/>
        </w:tabs>
        <w:ind w:left="709" w:hanging="567"/>
        <w:rPr>
          <w:rFonts w:cs="Open Sans"/>
        </w:rPr>
      </w:pPr>
      <w:r w:rsidRPr="00BF2102">
        <w:rPr>
          <w:rFonts w:cs="Open Sans"/>
        </w:rPr>
        <w:t xml:space="preserve">There could be scope for disagreement about whether or not the particular facts have occurred to trigger the automatic revocation, including the question of </w:t>
      </w:r>
      <w:r w:rsidR="00750831" w:rsidRPr="00BF2102">
        <w:rPr>
          <w:rFonts w:cs="Open Sans"/>
        </w:rPr>
        <w:t xml:space="preserve">a person’s </w:t>
      </w:r>
      <w:r w:rsidRPr="00BF2102">
        <w:rPr>
          <w:rFonts w:cs="Open Sans"/>
        </w:rPr>
        <w:t>intention.</w:t>
      </w:r>
      <w:r w:rsidR="004F0279" w:rsidRPr="00BF2102">
        <w:rPr>
          <w:rFonts w:cs="Open Sans"/>
        </w:rPr>
        <w:t xml:space="preserve"> </w:t>
      </w:r>
      <w:r w:rsidR="00395BEF" w:rsidRPr="00BF2102">
        <w:rPr>
          <w:rFonts w:cs="Open Sans"/>
        </w:rPr>
        <w:t>This is especially so given that</w:t>
      </w:r>
      <w:r w:rsidR="00360639" w:rsidRPr="00BF2102">
        <w:rPr>
          <w:rFonts w:cs="Open Sans"/>
        </w:rPr>
        <w:t xml:space="preserve"> </w:t>
      </w:r>
      <w:r w:rsidR="009F17E7" w:rsidRPr="00BF2102">
        <w:rPr>
          <w:rFonts w:cs="Open Sans"/>
        </w:rPr>
        <w:t xml:space="preserve">no decision is made, whether by a departmental officer, the Minister or a </w:t>
      </w:r>
      <w:r w:rsidR="00360639" w:rsidRPr="00BF2102">
        <w:rPr>
          <w:rFonts w:cs="Open Sans"/>
        </w:rPr>
        <w:t>court</w:t>
      </w:r>
      <w:r w:rsidR="009F17E7" w:rsidRPr="00BF2102">
        <w:rPr>
          <w:rFonts w:cs="Open Sans"/>
        </w:rPr>
        <w:t>,</w:t>
      </w:r>
      <w:r w:rsidR="00360639" w:rsidRPr="00BF2102">
        <w:rPr>
          <w:rFonts w:cs="Open Sans"/>
        </w:rPr>
        <w:t xml:space="preserve"> </w:t>
      </w:r>
      <w:r w:rsidR="0017217C" w:rsidRPr="00BF2102">
        <w:rPr>
          <w:rFonts w:cs="Open Sans"/>
        </w:rPr>
        <w:t xml:space="preserve">so there is </w:t>
      </w:r>
      <w:r w:rsidR="009F17E7" w:rsidRPr="00BF2102">
        <w:rPr>
          <w:rFonts w:cs="Open Sans"/>
        </w:rPr>
        <w:t xml:space="preserve">never any </w:t>
      </w:r>
      <w:r w:rsidR="0017217C" w:rsidRPr="00BF2102">
        <w:rPr>
          <w:rFonts w:cs="Open Sans"/>
        </w:rPr>
        <w:t>authoritative determination of the facts</w:t>
      </w:r>
      <w:r w:rsidR="00A32B29" w:rsidRPr="00BF2102">
        <w:rPr>
          <w:rFonts w:cs="Open Sans"/>
        </w:rPr>
        <w:t>.</w:t>
      </w:r>
      <w:r w:rsidR="004079DA" w:rsidRPr="00BF2102">
        <w:rPr>
          <w:rFonts w:cs="Open Sans"/>
        </w:rPr>
        <w:t xml:space="preserve"> </w:t>
      </w:r>
      <w:r w:rsidR="00546310" w:rsidRPr="00BF2102">
        <w:rPr>
          <w:rFonts w:cs="Open Sans"/>
        </w:rPr>
        <w:t xml:space="preserve">This uncertainty is compounded by inadequate procedural safeguards as discussed below, including exceptions to the notice provisions which mean that a person may never be made aware that </w:t>
      </w:r>
      <w:r w:rsidR="009F17E7" w:rsidRPr="00BF2102">
        <w:rPr>
          <w:rFonts w:cs="Open Sans"/>
        </w:rPr>
        <w:t xml:space="preserve">the Government considers that </w:t>
      </w:r>
      <w:r w:rsidR="00546310" w:rsidRPr="00BF2102">
        <w:rPr>
          <w:rFonts w:cs="Open Sans"/>
        </w:rPr>
        <w:t>their citizenship has ceased.</w:t>
      </w:r>
      <w:r w:rsidR="004F0279" w:rsidRPr="00BF2102">
        <w:rPr>
          <w:rFonts w:cs="Open Sans"/>
        </w:rPr>
        <w:t xml:space="preserve"> </w:t>
      </w:r>
    </w:p>
    <w:p w14:paraId="0DC9A150" w14:textId="7BACEC38" w:rsidR="005B713E" w:rsidRPr="00BF2102" w:rsidRDefault="00085E44" w:rsidP="00310D03">
      <w:pPr>
        <w:pStyle w:val="ListNumber"/>
        <w:numPr>
          <w:ilvl w:val="0"/>
          <w:numId w:val="15"/>
        </w:numPr>
        <w:tabs>
          <w:tab w:val="num" w:pos="993"/>
          <w:tab w:val="left" w:pos="1418"/>
        </w:tabs>
        <w:ind w:left="709" w:hanging="567"/>
        <w:rPr>
          <w:rFonts w:cs="Open Sans"/>
        </w:rPr>
      </w:pPr>
      <w:r w:rsidRPr="00BF2102">
        <w:rPr>
          <w:rFonts w:cs="Open Sans"/>
        </w:rPr>
        <w:t>The Commission understands that</w:t>
      </w:r>
      <w:r w:rsidR="0017217C" w:rsidRPr="00BF2102">
        <w:rPr>
          <w:rFonts w:cs="Open Sans"/>
        </w:rPr>
        <w:t xml:space="preserve">, in practice, </w:t>
      </w:r>
      <w:r w:rsidRPr="00BF2102">
        <w:rPr>
          <w:rFonts w:cs="Open Sans"/>
        </w:rPr>
        <w:t xml:space="preserve">the Citizenship Loss Board reviews individual cases and advises the Minister </w:t>
      </w:r>
      <w:r w:rsidR="009F17E7" w:rsidRPr="00BF2102">
        <w:rPr>
          <w:rFonts w:cs="Open Sans"/>
        </w:rPr>
        <w:t xml:space="preserve">about </w:t>
      </w:r>
      <w:r w:rsidRPr="00BF2102">
        <w:rPr>
          <w:rFonts w:cs="Open Sans"/>
        </w:rPr>
        <w:t xml:space="preserve">whether the conditions giving rise to </w:t>
      </w:r>
      <w:r w:rsidR="00035413" w:rsidRPr="00BF2102">
        <w:rPr>
          <w:rFonts w:cs="Open Sans"/>
        </w:rPr>
        <w:t>citizenship loss</w:t>
      </w:r>
      <w:r w:rsidRPr="00BF2102">
        <w:rPr>
          <w:rFonts w:cs="Open Sans"/>
        </w:rPr>
        <w:t xml:space="preserve"> </w:t>
      </w:r>
      <w:r w:rsidR="009F17E7" w:rsidRPr="00BF2102">
        <w:rPr>
          <w:rFonts w:cs="Open Sans"/>
        </w:rPr>
        <w:t xml:space="preserve">may be </w:t>
      </w:r>
      <w:r w:rsidRPr="00BF2102">
        <w:rPr>
          <w:rFonts w:cs="Open Sans"/>
        </w:rPr>
        <w:t xml:space="preserve">established. </w:t>
      </w:r>
      <w:r w:rsidR="00B318BA" w:rsidRPr="00BF2102">
        <w:rPr>
          <w:rFonts w:cs="Open Sans"/>
        </w:rPr>
        <w:t>There is little publicly available information about the operation of this Board</w:t>
      </w:r>
      <w:r w:rsidR="005B713E" w:rsidRPr="00BF2102">
        <w:rPr>
          <w:rFonts w:cs="Open Sans"/>
        </w:rPr>
        <w:t xml:space="preserve">. </w:t>
      </w:r>
      <w:r w:rsidR="009F17E7" w:rsidRPr="00BF2102">
        <w:rPr>
          <w:rFonts w:cs="Open Sans"/>
        </w:rPr>
        <w:t xml:space="preserve">Advice </w:t>
      </w:r>
      <w:r w:rsidR="009F17E7" w:rsidRPr="00BF2102">
        <w:rPr>
          <w:rFonts w:cs="Open Sans"/>
        </w:rPr>
        <w:lastRenderedPageBreak/>
        <w:t xml:space="preserve">provided by </w:t>
      </w:r>
      <w:r w:rsidR="005B713E" w:rsidRPr="00BF2102">
        <w:rPr>
          <w:rFonts w:cs="Open Sans"/>
        </w:rPr>
        <w:t xml:space="preserve">the </w:t>
      </w:r>
      <w:r w:rsidR="000C53FA" w:rsidRPr="00BF2102">
        <w:rPr>
          <w:rFonts w:cs="Open Sans"/>
        </w:rPr>
        <w:t>B</w:t>
      </w:r>
      <w:r w:rsidR="005B713E" w:rsidRPr="00BF2102">
        <w:rPr>
          <w:rFonts w:cs="Open Sans"/>
        </w:rPr>
        <w:t xml:space="preserve">oard </w:t>
      </w:r>
      <w:r w:rsidR="009F17E7" w:rsidRPr="00BF2102">
        <w:rPr>
          <w:rFonts w:cs="Open Sans"/>
        </w:rPr>
        <w:t xml:space="preserve">is </w:t>
      </w:r>
      <w:r w:rsidR="005B713E" w:rsidRPr="00BF2102">
        <w:rPr>
          <w:rFonts w:cs="Open Sans"/>
        </w:rPr>
        <w:t xml:space="preserve">not made public and what is known about its operations arises </w:t>
      </w:r>
      <w:r w:rsidR="000513BB" w:rsidRPr="00BF2102">
        <w:rPr>
          <w:rFonts w:cs="Open Sans"/>
        </w:rPr>
        <w:t xml:space="preserve">largely </w:t>
      </w:r>
      <w:r w:rsidR="005B713E" w:rsidRPr="00BF2102">
        <w:rPr>
          <w:rFonts w:cs="Open Sans"/>
        </w:rPr>
        <w:t>from responses to freedom of information requests</w:t>
      </w:r>
      <w:r w:rsidR="00E10BE7" w:rsidRPr="00BF2102">
        <w:rPr>
          <w:rFonts w:cs="Open Sans"/>
        </w:rPr>
        <w:t>, noting that in a submission made by the Department to this INSLM review there is some detail about the Board’s processes</w:t>
      </w:r>
      <w:r w:rsidR="005B713E" w:rsidRPr="00BF2102">
        <w:rPr>
          <w:rFonts w:cs="Open Sans"/>
        </w:rPr>
        <w:t>.</w:t>
      </w:r>
      <w:r w:rsidR="009012A5" w:rsidRPr="00BF2102">
        <w:rPr>
          <w:rStyle w:val="EndnoteReference"/>
          <w:rFonts w:cs="Open Sans"/>
        </w:rPr>
        <w:endnoteReference w:id="60"/>
      </w:r>
    </w:p>
    <w:p w14:paraId="3B800B73" w14:textId="19E6A3C9" w:rsidR="000513BB" w:rsidRPr="00BF2102" w:rsidRDefault="005B713E" w:rsidP="00310D03">
      <w:pPr>
        <w:pStyle w:val="ListNumber"/>
        <w:numPr>
          <w:ilvl w:val="0"/>
          <w:numId w:val="15"/>
        </w:numPr>
        <w:tabs>
          <w:tab w:val="num" w:pos="993"/>
          <w:tab w:val="left" w:pos="1418"/>
        </w:tabs>
        <w:ind w:left="709" w:hanging="567"/>
        <w:rPr>
          <w:rFonts w:cs="Open Sans"/>
        </w:rPr>
      </w:pPr>
      <w:r w:rsidRPr="00BF2102">
        <w:rPr>
          <w:rFonts w:cs="Open Sans"/>
        </w:rPr>
        <w:t xml:space="preserve">Terms of </w:t>
      </w:r>
      <w:r w:rsidR="005848C7" w:rsidRPr="00BF2102">
        <w:rPr>
          <w:rFonts w:cs="Open Sans"/>
        </w:rPr>
        <w:t>R</w:t>
      </w:r>
      <w:r w:rsidRPr="00BF2102">
        <w:rPr>
          <w:rFonts w:cs="Open Sans"/>
        </w:rPr>
        <w:t xml:space="preserve">eference for the Board note that it </w:t>
      </w:r>
      <w:r w:rsidR="004A669F" w:rsidRPr="00BF2102">
        <w:rPr>
          <w:rFonts w:cs="Open Sans"/>
        </w:rPr>
        <w:t xml:space="preserve">is </w:t>
      </w:r>
      <w:r w:rsidRPr="00BF2102">
        <w:rPr>
          <w:rFonts w:cs="Open Sans"/>
        </w:rPr>
        <w:t>responsible for supporting the Secretary of the Department and the Minister in ‘administering the new citizenship loss provisions’.</w:t>
      </w:r>
      <w:r w:rsidR="000513BB" w:rsidRPr="00BF2102">
        <w:rPr>
          <w:rStyle w:val="EndnoteReference"/>
          <w:rFonts w:cs="Open Sans"/>
        </w:rPr>
        <w:endnoteReference w:id="61"/>
      </w:r>
      <w:r w:rsidRPr="00BF2102">
        <w:rPr>
          <w:rFonts w:cs="Open Sans"/>
        </w:rPr>
        <w:t xml:space="preserve"> This includes ‘review[</w:t>
      </w:r>
      <w:proofErr w:type="spellStart"/>
      <w:r w:rsidRPr="00BF2102">
        <w:rPr>
          <w:rFonts w:cs="Open Sans"/>
        </w:rPr>
        <w:t>ing</w:t>
      </w:r>
      <w:proofErr w:type="spellEnd"/>
      <w:r w:rsidRPr="00BF2102">
        <w:rPr>
          <w:rFonts w:cs="Open Sans"/>
        </w:rPr>
        <w:t>] the supporting information for citizenship loss cases that will be provided to the Minister’ and ‘</w:t>
      </w:r>
      <w:proofErr w:type="spellStart"/>
      <w:r w:rsidRPr="00BF2102">
        <w:rPr>
          <w:rFonts w:cs="Open Sans"/>
        </w:rPr>
        <w:t>provid</w:t>
      </w:r>
      <w:proofErr w:type="spellEnd"/>
      <w:r w:rsidRPr="00BF2102">
        <w:rPr>
          <w:rFonts w:cs="Open Sans"/>
        </w:rPr>
        <w:t>[</w:t>
      </w:r>
      <w:proofErr w:type="spellStart"/>
      <w:r w:rsidRPr="00BF2102">
        <w:rPr>
          <w:rFonts w:cs="Open Sans"/>
        </w:rPr>
        <w:t>ing</w:t>
      </w:r>
      <w:proofErr w:type="spellEnd"/>
      <w:r w:rsidRPr="00BF2102">
        <w:rPr>
          <w:rFonts w:cs="Open Sans"/>
        </w:rPr>
        <w:t>] general advice to the Sec</w:t>
      </w:r>
      <w:r w:rsidR="000513BB" w:rsidRPr="00BF2102">
        <w:rPr>
          <w:rFonts w:cs="Open Sans"/>
        </w:rPr>
        <w:t xml:space="preserve">retary … on the implementation of the citizenship loss provisions’. </w:t>
      </w:r>
      <w:r w:rsidR="007408B8" w:rsidRPr="00BF2102">
        <w:rPr>
          <w:rFonts w:cs="Open Sans"/>
        </w:rPr>
        <w:t>Minutes</w:t>
      </w:r>
      <w:r w:rsidR="000513BB" w:rsidRPr="00BF2102">
        <w:rPr>
          <w:rFonts w:cs="Open Sans"/>
        </w:rPr>
        <w:t xml:space="preserve"> created by the Board </w:t>
      </w:r>
      <w:r w:rsidR="007408B8" w:rsidRPr="00BF2102">
        <w:rPr>
          <w:rFonts w:cs="Open Sans"/>
        </w:rPr>
        <w:t xml:space="preserve">also </w:t>
      </w:r>
      <w:r w:rsidR="000513BB" w:rsidRPr="00BF2102">
        <w:rPr>
          <w:rFonts w:cs="Open Sans"/>
        </w:rPr>
        <w:t>emphasise that it is ‘an inter</w:t>
      </w:r>
      <w:r w:rsidR="001D1F1D" w:rsidRPr="00BF2102">
        <w:rPr>
          <w:rFonts w:cs="Open Sans"/>
        </w:rPr>
        <w:t>-</w:t>
      </w:r>
      <w:r w:rsidR="000513BB" w:rsidRPr="00BF2102">
        <w:rPr>
          <w:rFonts w:cs="Open Sans"/>
        </w:rPr>
        <w:t>departmental committee providing advice, not a decision</w:t>
      </w:r>
      <w:r w:rsidR="009F17E7" w:rsidRPr="00BF2102">
        <w:rPr>
          <w:rFonts w:cs="Open Sans"/>
        </w:rPr>
        <w:t>-</w:t>
      </w:r>
      <w:r w:rsidR="000513BB" w:rsidRPr="00BF2102">
        <w:rPr>
          <w:rFonts w:cs="Open Sans"/>
        </w:rPr>
        <w:t>making body’.</w:t>
      </w:r>
      <w:r w:rsidR="007408B8" w:rsidRPr="00BF2102">
        <w:rPr>
          <w:rStyle w:val="EndnoteReference"/>
          <w:rFonts w:cs="Open Sans"/>
        </w:rPr>
        <w:endnoteReference w:id="62"/>
      </w:r>
    </w:p>
    <w:p w14:paraId="183D4C00" w14:textId="1970BBBD" w:rsidR="00085E44" w:rsidRPr="00BF2102" w:rsidRDefault="001D1F1D" w:rsidP="00310D03">
      <w:pPr>
        <w:pStyle w:val="ListNumber"/>
        <w:numPr>
          <w:ilvl w:val="0"/>
          <w:numId w:val="15"/>
        </w:numPr>
        <w:tabs>
          <w:tab w:val="num" w:pos="993"/>
          <w:tab w:val="left" w:pos="1418"/>
        </w:tabs>
        <w:ind w:left="709" w:hanging="567"/>
        <w:rPr>
          <w:rFonts w:cs="Open Sans"/>
        </w:rPr>
      </w:pPr>
      <w:r w:rsidRPr="00BF2102">
        <w:rPr>
          <w:rFonts w:cs="Open Sans"/>
        </w:rPr>
        <w:t xml:space="preserve">It appears that the Board is the mechanism by which the Minister ‘becomes aware’ of conduct that </w:t>
      </w:r>
      <w:r w:rsidR="009F17E7" w:rsidRPr="00BF2102">
        <w:rPr>
          <w:rFonts w:cs="Open Sans"/>
        </w:rPr>
        <w:t xml:space="preserve">may </w:t>
      </w:r>
      <w:r w:rsidRPr="00BF2102">
        <w:rPr>
          <w:rFonts w:cs="Open Sans"/>
        </w:rPr>
        <w:t xml:space="preserve">fall within the terms of </w:t>
      </w:r>
      <w:r w:rsidR="00F64FE9" w:rsidRPr="00BF2102">
        <w:rPr>
          <w:rFonts w:cs="Open Sans"/>
        </w:rPr>
        <w:t>the conduct-based citizenship loss provisions.</w:t>
      </w:r>
      <w:r w:rsidR="00035413" w:rsidRPr="00BF2102">
        <w:rPr>
          <w:rStyle w:val="EndnoteReference"/>
          <w:rFonts w:cs="Open Sans"/>
        </w:rPr>
        <w:endnoteReference w:id="63"/>
      </w:r>
      <w:r w:rsidR="00F64FE9" w:rsidRPr="00BF2102">
        <w:rPr>
          <w:rFonts w:cs="Open Sans"/>
        </w:rPr>
        <w:t xml:space="preserve"> </w:t>
      </w:r>
      <w:r w:rsidR="00E10BE7" w:rsidRPr="00BF2102">
        <w:rPr>
          <w:rFonts w:cs="Open Sans"/>
        </w:rPr>
        <w:t xml:space="preserve">The assessment of whether the conduct triggers citizenship loss appears to be based on information from different Commonwealth agencies, including a security assessment from </w:t>
      </w:r>
      <w:r w:rsidR="00B14875" w:rsidRPr="00BF2102">
        <w:rPr>
          <w:rFonts w:cs="Open Sans"/>
        </w:rPr>
        <w:t xml:space="preserve">the </w:t>
      </w:r>
      <w:r w:rsidR="00E10BE7" w:rsidRPr="00BF2102">
        <w:rPr>
          <w:rFonts w:cs="Open Sans"/>
        </w:rPr>
        <w:t>A</w:t>
      </w:r>
      <w:r w:rsidR="00B14875" w:rsidRPr="00BF2102">
        <w:rPr>
          <w:rFonts w:cs="Open Sans"/>
        </w:rPr>
        <w:t xml:space="preserve">ustralian </w:t>
      </w:r>
      <w:r w:rsidR="00E10BE7" w:rsidRPr="00BF2102">
        <w:rPr>
          <w:rFonts w:cs="Open Sans"/>
        </w:rPr>
        <w:t>S</w:t>
      </w:r>
      <w:r w:rsidR="00B14875" w:rsidRPr="00BF2102">
        <w:rPr>
          <w:rFonts w:cs="Open Sans"/>
        </w:rPr>
        <w:t xml:space="preserve">ecurity Intelligence </w:t>
      </w:r>
      <w:r w:rsidR="00E10BE7" w:rsidRPr="00BF2102">
        <w:rPr>
          <w:rFonts w:cs="Open Sans"/>
        </w:rPr>
        <w:t>O</w:t>
      </w:r>
      <w:r w:rsidR="00B14875" w:rsidRPr="00BF2102">
        <w:rPr>
          <w:rFonts w:cs="Open Sans"/>
        </w:rPr>
        <w:t>rganisation</w:t>
      </w:r>
      <w:r w:rsidR="00E10BE7" w:rsidRPr="00BF2102">
        <w:rPr>
          <w:rFonts w:cs="Open Sans"/>
        </w:rPr>
        <w:t xml:space="preserve">. </w:t>
      </w:r>
      <w:r w:rsidR="00F64FE9" w:rsidRPr="00BF2102">
        <w:rPr>
          <w:rFonts w:cs="Open Sans"/>
        </w:rPr>
        <w:t xml:space="preserve">The effect of this is that the Minister must then give notice to the person </w:t>
      </w:r>
      <w:r w:rsidR="009F17E7" w:rsidRPr="00BF2102">
        <w:rPr>
          <w:rFonts w:cs="Open Sans"/>
        </w:rPr>
        <w:t>that their citizenship ‘has ceased’</w:t>
      </w:r>
      <w:r w:rsidR="0054711F" w:rsidRPr="00BF2102">
        <w:rPr>
          <w:rFonts w:cs="Open Sans"/>
        </w:rPr>
        <w:t xml:space="preserve">, </w:t>
      </w:r>
      <w:r w:rsidR="000C53FA" w:rsidRPr="00BF2102">
        <w:rPr>
          <w:rFonts w:cs="Open Sans"/>
        </w:rPr>
        <w:t>unless an exemption applies</w:t>
      </w:r>
      <w:r w:rsidR="0054711F" w:rsidRPr="00BF2102">
        <w:rPr>
          <w:rFonts w:cs="Open Sans"/>
        </w:rPr>
        <w:t>,</w:t>
      </w:r>
      <w:r w:rsidR="000C53FA" w:rsidRPr="00BF2102">
        <w:rPr>
          <w:rFonts w:cs="Open Sans"/>
        </w:rPr>
        <w:t xml:space="preserve"> </w:t>
      </w:r>
      <w:r w:rsidR="009F17E7" w:rsidRPr="00BF2102">
        <w:rPr>
          <w:rFonts w:cs="Open Sans"/>
        </w:rPr>
        <w:t>and may consider exempting the person from the operation of the provisions.</w:t>
      </w:r>
    </w:p>
    <w:p w14:paraId="0EE16589" w14:textId="77777777" w:rsidR="00B63D9C" w:rsidRPr="00BF2102" w:rsidRDefault="00F64FE9" w:rsidP="00310D03">
      <w:pPr>
        <w:pStyle w:val="ListNumber"/>
        <w:numPr>
          <w:ilvl w:val="0"/>
          <w:numId w:val="15"/>
        </w:numPr>
        <w:tabs>
          <w:tab w:val="num" w:pos="993"/>
          <w:tab w:val="left" w:pos="1418"/>
        </w:tabs>
        <w:ind w:left="709" w:hanging="567"/>
        <w:rPr>
          <w:rFonts w:cs="Open Sans"/>
        </w:rPr>
      </w:pPr>
      <w:r w:rsidRPr="00BF2102">
        <w:rPr>
          <w:rFonts w:cs="Open Sans"/>
        </w:rPr>
        <w:t xml:space="preserve">However, although the Minister may be provided with advice by the Citizenship Loss Board, neither the Board nor the Minister makes any authoritative decision that citizenship has been lost. The Minister may therefore be acting on a misapprehension of the facts when deciding whether or not to give a notice to the affected person, or </w:t>
      </w:r>
      <w:r w:rsidR="000C53FA" w:rsidRPr="00BF2102">
        <w:rPr>
          <w:rFonts w:cs="Open Sans"/>
        </w:rPr>
        <w:t xml:space="preserve">to </w:t>
      </w:r>
      <w:r w:rsidRPr="00BF2102">
        <w:rPr>
          <w:rFonts w:cs="Open Sans"/>
        </w:rPr>
        <w:t>consider exempting them from the operation of the</w:t>
      </w:r>
      <w:r w:rsidR="0054711F" w:rsidRPr="00BF2102">
        <w:rPr>
          <w:rFonts w:cs="Open Sans"/>
        </w:rPr>
        <w:t xml:space="preserve"> automatic</w:t>
      </w:r>
      <w:r w:rsidRPr="00BF2102">
        <w:rPr>
          <w:rFonts w:cs="Open Sans"/>
        </w:rPr>
        <w:t xml:space="preserve"> provisions.</w:t>
      </w:r>
    </w:p>
    <w:p w14:paraId="6EC8F71E" w14:textId="67370855" w:rsidR="00F64FE9" w:rsidRPr="00BF2102" w:rsidRDefault="001D44F3" w:rsidP="00310D03">
      <w:pPr>
        <w:pStyle w:val="ListNumber"/>
        <w:numPr>
          <w:ilvl w:val="0"/>
          <w:numId w:val="15"/>
        </w:numPr>
        <w:tabs>
          <w:tab w:val="num" w:pos="993"/>
          <w:tab w:val="left" w:pos="1418"/>
        </w:tabs>
        <w:ind w:left="709" w:hanging="567"/>
        <w:rPr>
          <w:rFonts w:cs="Open Sans"/>
        </w:rPr>
      </w:pPr>
      <w:r w:rsidRPr="00BF2102">
        <w:rPr>
          <w:rFonts w:cs="Open Sans"/>
        </w:rPr>
        <w:t xml:space="preserve">This lack of certainty is compounded by at least three different fact-finding thresholds which appear to </w:t>
      </w:r>
      <w:r w:rsidR="00F4716B" w:rsidRPr="00BF2102">
        <w:rPr>
          <w:rFonts w:cs="Open Sans"/>
        </w:rPr>
        <w:t>be used</w:t>
      </w:r>
      <w:r w:rsidRPr="00BF2102">
        <w:rPr>
          <w:rFonts w:cs="Open Sans"/>
        </w:rPr>
        <w:t xml:space="preserve"> </w:t>
      </w:r>
      <w:r w:rsidR="00F4716B" w:rsidRPr="00BF2102">
        <w:rPr>
          <w:rFonts w:cs="Open Sans"/>
        </w:rPr>
        <w:t xml:space="preserve">in </w:t>
      </w:r>
      <w:r w:rsidRPr="00BF2102">
        <w:rPr>
          <w:rFonts w:cs="Open Sans"/>
        </w:rPr>
        <w:t xml:space="preserve">the administrative processes </w:t>
      </w:r>
      <w:r w:rsidR="009072C6" w:rsidRPr="00BF2102">
        <w:rPr>
          <w:rFonts w:cs="Open Sans"/>
        </w:rPr>
        <w:t>in relation to the conduct-based citizenship loss provisions</w:t>
      </w:r>
      <w:r w:rsidRPr="00BF2102">
        <w:rPr>
          <w:rFonts w:cs="Open Sans"/>
        </w:rPr>
        <w:t>.</w:t>
      </w:r>
      <w:r w:rsidR="00B63D9C" w:rsidRPr="00BF2102">
        <w:rPr>
          <w:rFonts w:cs="Open Sans"/>
        </w:rPr>
        <w:t xml:space="preserve"> According to information provided by the Department,</w:t>
      </w:r>
      <w:r w:rsidR="00B63D9C" w:rsidRPr="00BF2102">
        <w:rPr>
          <w:rStyle w:val="EndnoteReference"/>
          <w:rFonts w:cs="Open Sans"/>
        </w:rPr>
        <w:endnoteReference w:id="64"/>
      </w:r>
      <w:r w:rsidR="00B63D9C" w:rsidRPr="00BF2102">
        <w:rPr>
          <w:rFonts w:cs="Open Sans"/>
        </w:rPr>
        <w:t xml:space="preserve"> an early step is for the Board to endorse an issues paper to the effect that it has</w:t>
      </w:r>
      <w:r w:rsidR="009072C6" w:rsidRPr="00BF2102">
        <w:rPr>
          <w:rFonts w:cs="Open Sans"/>
        </w:rPr>
        <w:t xml:space="preserve"> reached an</w:t>
      </w:r>
      <w:r w:rsidR="00B63D9C" w:rsidRPr="00BF2102">
        <w:rPr>
          <w:rFonts w:cs="Open Sans"/>
        </w:rPr>
        <w:t xml:space="preserve"> </w:t>
      </w:r>
      <w:r w:rsidR="00203CBE" w:rsidRPr="00BF2102">
        <w:rPr>
          <w:rFonts w:cs="Open Sans"/>
        </w:rPr>
        <w:t>‘</w:t>
      </w:r>
      <w:r w:rsidR="00B63D9C" w:rsidRPr="00BF2102">
        <w:rPr>
          <w:rFonts w:cs="Open Sans"/>
        </w:rPr>
        <w:t>aware</w:t>
      </w:r>
      <w:r w:rsidR="009072C6" w:rsidRPr="00BF2102">
        <w:rPr>
          <w:rFonts w:cs="Open Sans"/>
        </w:rPr>
        <w:t>ness</w:t>
      </w:r>
      <w:r w:rsidR="00B63D9C" w:rsidRPr="00BF2102">
        <w:rPr>
          <w:rFonts w:cs="Open Sans"/>
        </w:rPr>
        <w:t xml:space="preserve"> of likely citizenship loss</w:t>
      </w:r>
      <w:r w:rsidR="009072C6" w:rsidRPr="00BF2102">
        <w:rPr>
          <w:rFonts w:cs="Open Sans"/>
        </w:rPr>
        <w:t>’ (a question of probability)</w:t>
      </w:r>
      <w:r w:rsidR="00B63D9C" w:rsidRPr="00BF2102">
        <w:rPr>
          <w:rFonts w:cs="Open Sans"/>
        </w:rPr>
        <w:t>. The issues paper is then used as a basis for pr</w:t>
      </w:r>
      <w:r w:rsidR="00203CBE" w:rsidRPr="00BF2102">
        <w:rPr>
          <w:rFonts w:cs="Open Sans"/>
        </w:rPr>
        <w:t>eparing</w:t>
      </w:r>
      <w:r w:rsidR="00B63D9C" w:rsidRPr="00BF2102">
        <w:rPr>
          <w:rFonts w:cs="Open Sans"/>
        </w:rPr>
        <w:t xml:space="preserve"> a Ministerial submission. Upon consideration of the submission, the Minister appears to decide whether they are ‘not satisfied’ that a person’s citizenship has ceased (a question of satisfaction), or </w:t>
      </w:r>
      <w:r w:rsidR="009072C6" w:rsidRPr="00BF2102">
        <w:rPr>
          <w:rFonts w:cs="Open Sans"/>
        </w:rPr>
        <w:t>whether they have</w:t>
      </w:r>
      <w:r w:rsidR="00B63D9C" w:rsidRPr="00BF2102">
        <w:rPr>
          <w:rFonts w:cs="Open Sans"/>
        </w:rPr>
        <w:t xml:space="preserve"> ‘become aware’ that citizenship has ceased (a question of fact). These differing thresholds suggest</w:t>
      </w:r>
      <w:r w:rsidR="00203CBE" w:rsidRPr="00BF2102">
        <w:rPr>
          <w:rFonts w:cs="Open Sans"/>
        </w:rPr>
        <w:t xml:space="preserve"> </w:t>
      </w:r>
      <w:r w:rsidR="00B63D9C" w:rsidRPr="00BF2102">
        <w:rPr>
          <w:rFonts w:cs="Open Sans"/>
        </w:rPr>
        <w:t>inconsistent</w:t>
      </w:r>
      <w:r w:rsidR="00203CBE" w:rsidRPr="00BF2102">
        <w:rPr>
          <w:rFonts w:cs="Open Sans"/>
        </w:rPr>
        <w:t xml:space="preserve"> and uncertain</w:t>
      </w:r>
      <w:r w:rsidR="00B63D9C" w:rsidRPr="00BF2102">
        <w:rPr>
          <w:rFonts w:cs="Open Sans"/>
        </w:rPr>
        <w:t xml:space="preserve"> policy processes</w:t>
      </w:r>
      <w:r w:rsidR="00203CBE" w:rsidRPr="00BF2102">
        <w:rPr>
          <w:rFonts w:cs="Open Sans"/>
        </w:rPr>
        <w:t xml:space="preserve">. </w:t>
      </w:r>
    </w:p>
    <w:p w14:paraId="66487BF9" w14:textId="73D9A69D" w:rsidR="008201CA" w:rsidRPr="00BF2102" w:rsidRDefault="008201CA" w:rsidP="00310D03">
      <w:pPr>
        <w:pStyle w:val="ListNumber"/>
        <w:numPr>
          <w:ilvl w:val="0"/>
          <w:numId w:val="15"/>
        </w:numPr>
        <w:tabs>
          <w:tab w:val="num" w:pos="993"/>
          <w:tab w:val="left" w:pos="1418"/>
        </w:tabs>
        <w:ind w:left="709" w:hanging="567"/>
        <w:rPr>
          <w:rFonts w:cs="Open Sans"/>
        </w:rPr>
      </w:pPr>
      <w:r w:rsidRPr="00BF2102">
        <w:rPr>
          <w:rFonts w:cs="Open Sans"/>
        </w:rPr>
        <w:lastRenderedPageBreak/>
        <w:t>The lack of certainty then flows through to any other administrative actions that may be taken as a consequence, for example, the cancellation of a passport.</w:t>
      </w:r>
    </w:p>
    <w:p w14:paraId="7FD9C98C" w14:textId="3D01F51B" w:rsidR="000C53FA" w:rsidRPr="00BF2102" w:rsidRDefault="000C53FA" w:rsidP="00310D03">
      <w:pPr>
        <w:pStyle w:val="ListNumber"/>
        <w:numPr>
          <w:ilvl w:val="0"/>
          <w:numId w:val="15"/>
        </w:numPr>
        <w:tabs>
          <w:tab w:val="num" w:pos="993"/>
          <w:tab w:val="left" w:pos="1418"/>
        </w:tabs>
        <w:ind w:left="709" w:hanging="567"/>
        <w:rPr>
          <w:rFonts w:cs="Open Sans"/>
        </w:rPr>
      </w:pPr>
      <w:r w:rsidRPr="00BF2102">
        <w:rPr>
          <w:rFonts w:cs="Open Sans"/>
        </w:rPr>
        <w:t xml:space="preserve">It appears that the onus is put on the person considered to have </w:t>
      </w:r>
      <w:r w:rsidR="006E4729" w:rsidRPr="00BF2102">
        <w:rPr>
          <w:rFonts w:cs="Open Sans"/>
        </w:rPr>
        <w:t xml:space="preserve">automatically </w:t>
      </w:r>
      <w:r w:rsidRPr="00BF2102">
        <w:rPr>
          <w:rFonts w:cs="Open Sans"/>
        </w:rPr>
        <w:t xml:space="preserve">lost their citizenship to demonstrate that this is not the case, for example, by seeking a declaration to that effect from a court. </w:t>
      </w:r>
      <w:r w:rsidR="00176013" w:rsidRPr="00BF2102">
        <w:rPr>
          <w:rFonts w:cs="Open Sans"/>
        </w:rPr>
        <w:t xml:space="preserve">Again, this raises real rule of law issues because it allows for a presumption that a person has lost vital civil rights without any legal determination to that effect. </w:t>
      </w:r>
    </w:p>
    <w:p w14:paraId="09F3CEC0" w14:textId="3515DF3F" w:rsidR="009B73B2" w:rsidRPr="00BF2102" w:rsidRDefault="00B36F68" w:rsidP="000D7F57">
      <w:pPr>
        <w:pStyle w:val="Heading3"/>
        <w:rPr>
          <w:rFonts w:cs="Open Sans"/>
          <w:i/>
          <w:iCs/>
        </w:rPr>
      </w:pPr>
      <w:bookmarkStart w:id="75" w:name="_Toc11407969"/>
      <w:r w:rsidRPr="00BF2102">
        <w:rPr>
          <w:rFonts w:cs="Open Sans"/>
          <w:i/>
          <w:iCs/>
        </w:rPr>
        <w:t>Automatic loss provisions are inconsistent with Australia’s obligations to prosecute international crimes</w:t>
      </w:r>
      <w:bookmarkEnd w:id="75"/>
      <w:r w:rsidRPr="00BF2102">
        <w:rPr>
          <w:rFonts w:cs="Open Sans"/>
          <w:i/>
          <w:iCs/>
        </w:rPr>
        <w:t xml:space="preserve"> </w:t>
      </w:r>
    </w:p>
    <w:p w14:paraId="4915552E" w14:textId="4FA97BE6" w:rsidR="00B36F68" w:rsidRPr="00BF2102" w:rsidRDefault="00B36F68" w:rsidP="00310D03">
      <w:pPr>
        <w:pStyle w:val="ListNumber"/>
        <w:numPr>
          <w:ilvl w:val="0"/>
          <w:numId w:val="15"/>
        </w:numPr>
        <w:tabs>
          <w:tab w:val="num" w:pos="993"/>
          <w:tab w:val="left" w:pos="1418"/>
        </w:tabs>
        <w:ind w:left="709" w:hanging="567"/>
        <w:rPr>
          <w:rFonts w:cs="Open Sans"/>
        </w:rPr>
      </w:pPr>
      <w:r w:rsidRPr="00BF2102">
        <w:rPr>
          <w:rFonts w:cs="Open Sans"/>
        </w:rPr>
        <w:t>The conduct-based loss provisions apply to conduct that occurred outside Australia, or to conduct that occurred within Australia by a person who left Australia before they had been tried for any offence. The effect of these provisions is that a person will be outside Australia at the time that they lose their Australian citizenship and will not yet have been tried for any relevant offence.</w:t>
      </w:r>
    </w:p>
    <w:p w14:paraId="7C64A2D7" w14:textId="0F24D0D9" w:rsidR="00DF34FD" w:rsidRPr="00BF2102" w:rsidRDefault="00DF34FD" w:rsidP="00310D03">
      <w:pPr>
        <w:pStyle w:val="ListNumber"/>
        <w:numPr>
          <w:ilvl w:val="0"/>
          <w:numId w:val="15"/>
        </w:numPr>
        <w:tabs>
          <w:tab w:val="num" w:pos="993"/>
          <w:tab w:val="left" w:pos="1418"/>
        </w:tabs>
        <w:ind w:left="709" w:hanging="567"/>
        <w:rPr>
          <w:rFonts w:cs="Open Sans"/>
        </w:rPr>
      </w:pPr>
      <w:r w:rsidRPr="00BF2102">
        <w:rPr>
          <w:rFonts w:cs="Open Sans"/>
        </w:rPr>
        <w:t>Under international law, Australia has an obligation to prosecute gross violations of international human rights law and serious violations of international humanitarian law that constitute crimes under international law,</w:t>
      </w:r>
      <w:r w:rsidRPr="00BF2102">
        <w:rPr>
          <w:rFonts w:cs="Open Sans"/>
          <w:sz w:val="20"/>
          <w:szCs w:val="20"/>
          <w:vertAlign w:val="superscript"/>
        </w:rPr>
        <w:endnoteReference w:id="65"/>
      </w:r>
      <w:r w:rsidRPr="00BF2102">
        <w:rPr>
          <w:rFonts w:cs="Open Sans"/>
        </w:rPr>
        <w:t xml:space="preserve"> which can include terrorism</w:t>
      </w:r>
      <w:r w:rsidR="004A669F" w:rsidRPr="00BF2102">
        <w:rPr>
          <w:rFonts w:cs="Open Sans"/>
        </w:rPr>
        <w:t>-</w:t>
      </w:r>
      <w:r w:rsidRPr="00BF2102">
        <w:rPr>
          <w:rFonts w:cs="Open Sans"/>
        </w:rPr>
        <w:t>related acts, or to extradite alleged offenders to jurisdictions where prosecution can occur. The UN General Assembly has also recognised a further obligation on states to ensure full and effective redress for victims of such violations and non-recurrence.</w:t>
      </w:r>
      <w:r w:rsidRPr="00BF2102">
        <w:rPr>
          <w:rFonts w:cs="Open Sans"/>
          <w:sz w:val="20"/>
          <w:szCs w:val="20"/>
          <w:vertAlign w:val="superscript"/>
        </w:rPr>
        <w:endnoteReference w:id="66"/>
      </w:r>
    </w:p>
    <w:p w14:paraId="3BC81D19" w14:textId="1A8036C9" w:rsidR="00DF34FD" w:rsidRPr="00BF2102" w:rsidRDefault="00DF34FD" w:rsidP="00310D03">
      <w:pPr>
        <w:pStyle w:val="ListNumber"/>
        <w:numPr>
          <w:ilvl w:val="0"/>
          <w:numId w:val="15"/>
        </w:numPr>
        <w:tabs>
          <w:tab w:val="num" w:pos="993"/>
          <w:tab w:val="left" w:pos="1418"/>
        </w:tabs>
        <w:ind w:left="709" w:hanging="567"/>
        <w:rPr>
          <w:rFonts w:cs="Open Sans"/>
        </w:rPr>
      </w:pPr>
      <w:r w:rsidRPr="00BF2102">
        <w:rPr>
          <w:rFonts w:cs="Open Sans"/>
        </w:rPr>
        <w:t xml:space="preserve">By removing a person’s citizenship in these circumstances, Australia is acting inconsistently with these </w:t>
      </w:r>
      <w:r w:rsidR="00E506CC" w:rsidRPr="00BF2102">
        <w:rPr>
          <w:rFonts w:cs="Open Sans"/>
        </w:rPr>
        <w:t xml:space="preserve">international law requirements and its </w:t>
      </w:r>
      <w:r w:rsidRPr="00BF2102">
        <w:rPr>
          <w:rFonts w:cs="Open Sans"/>
        </w:rPr>
        <w:t xml:space="preserve">obligation to be a responsible and cooperative member of the international community in the fight against terrorism and in the prosecution of certain international crimes. It is effectively </w:t>
      </w:r>
      <w:r w:rsidR="004A669F" w:rsidRPr="00BF2102">
        <w:rPr>
          <w:rFonts w:cs="Open Sans"/>
        </w:rPr>
        <w:t>declining to fulfil this</w:t>
      </w:r>
      <w:r w:rsidRPr="00BF2102">
        <w:rPr>
          <w:rFonts w:cs="Open Sans"/>
        </w:rPr>
        <w:t xml:space="preserve"> responsibility and passing on risk to other </w:t>
      </w:r>
      <w:r w:rsidR="004A669F" w:rsidRPr="00BF2102">
        <w:rPr>
          <w:rFonts w:cs="Open Sans"/>
        </w:rPr>
        <w:t>nation states</w:t>
      </w:r>
      <w:r w:rsidRPr="00BF2102">
        <w:rPr>
          <w:rFonts w:cs="Open Sans"/>
        </w:rPr>
        <w:t xml:space="preserve">, including for alleged offenders who may have been born, raised and radicalised in Australia. </w:t>
      </w:r>
      <w:r w:rsidR="004A669F" w:rsidRPr="00BF2102">
        <w:rPr>
          <w:rFonts w:cs="Open Sans"/>
        </w:rPr>
        <w:t>Some of t</w:t>
      </w:r>
      <w:r w:rsidRPr="00BF2102">
        <w:rPr>
          <w:rFonts w:cs="Open Sans"/>
        </w:rPr>
        <w:t xml:space="preserve">hese other </w:t>
      </w:r>
      <w:r w:rsidR="004A669F" w:rsidRPr="00BF2102">
        <w:rPr>
          <w:rFonts w:cs="Open Sans"/>
        </w:rPr>
        <w:t xml:space="preserve">states are </w:t>
      </w:r>
      <w:r w:rsidRPr="00BF2102">
        <w:rPr>
          <w:rFonts w:cs="Open Sans"/>
        </w:rPr>
        <w:t xml:space="preserve">less equipped to carry out effective investigations and prosecutions. </w:t>
      </w:r>
    </w:p>
    <w:p w14:paraId="387C9842" w14:textId="7D4DECAF" w:rsidR="005720EC" w:rsidRPr="00BF2102" w:rsidRDefault="00E506CC" w:rsidP="00310D03">
      <w:pPr>
        <w:pStyle w:val="ListNumber"/>
        <w:numPr>
          <w:ilvl w:val="0"/>
          <w:numId w:val="15"/>
        </w:numPr>
        <w:tabs>
          <w:tab w:val="num" w:pos="993"/>
          <w:tab w:val="left" w:pos="1418"/>
        </w:tabs>
        <w:ind w:left="709" w:hanging="567"/>
        <w:rPr>
          <w:rFonts w:cs="Open Sans"/>
        </w:rPr>
      </w:pPr>
      <w:r w:rsidRPr="00BF2102">
        <w:rPr>
          <w:rFonts w:cs="Open Sans"/>
        </w:rPr>
        <w:t>There are t</w:t>
      </w:r>
      <w:r w:rsidR="00B60379" w:rsidRPr="00BF2102">
        <w:rPr>
          <w:rFonts w:cs="Open Sans"/>
        </w:rPr>
        <w:t>wo</w:t>
      </w:r>
      <w:r w:rsidRPr="00BF2102">
        <w:rPr>
          <w:rFonts w:cs="Open Sans"/>
        </w:rPr>
        <w:t xml:space="preserve"> ways in which the conduct-based citizenship loss provisions make it more difficult for Australia to </w:t>
      </w:r>
      <w:r w:rsidR="00292FCC" w:rsidRPr="00BF2102">
        <w:rPr>
          <w:rFonts w:cs="Open Sans"/>
        </w:rPr>
        <w:t xml:space="preserve">adhere to its international law responsibilities. First, at a </w:t>
      </w:r>
      <w:r w:rsidR="005720EC" w:rsidRPr="00BF2102">
        <w:rPr>
          <w:rFonts w:cs="Open Sans"/>
        </w:rPr>
        <w:t>practical level</w:t>
      </w:r>
      <w:r w:rsidR="00292FCC" w:rsidRPr="00BF2102">
        <w:rPr>
          <w:rFonts w:cs="Open Sans"/>
        </w:rPr>
        <w:t xml:space="preserve">, the loss of citizenship makes it less likely that the alleged offender will return to Australia voluntarily and </w:t>
      </w:r>
      <w:r w:rsidR="00292FCC" w:rsidRPr="00BF2102">
        <w:rPr>
          <w:rFonts w:cs="Open Sans"/>
        </w:rPr>
        <w:lastRenderedPageBreak/>
        <w:t>be available for prosecution. An ex-citizen will lose the</w:t>
      </w:r>
      <w:r w:rsidR="00D81175" w:rsidRPr="00BF2102">
        <w:rPr>
          <w:rFonts w:cs="Open Sans"/>
        </w:rPr>
        <w:t>ir</w:t>
      </w:r>
      <w:r w:rsidR="00292FCC" w:rsidRPr="00BF2102">
        <w:rPr>
          <w:rFonts w:cs="Open Sans"/>
        </w:rPr>
        <w:t xml:space="preserve"> entitlement to a passport</w:t>
      </w:r>
      <w:r w:rsidR="00D81175" w:rsidRPr="00BF2102">
        <w:rPr>
          <w:rFonts w:cs="Open Sans"/>
        </w:rPr>
        <w:t>,</w:t>
      </w:r>
      <w:r w:rsidR="00292FCC" w:rsidRPr="00BF2102">
        <w:rPr>
          <w:rFonts w:cs="Open Sans"/>
        </w:rPr>
        <w:t xml:space="preserve"> and it is unlikely that they will qualify for a visa because they will not satisfy the character requirements of the Migration Act. </w:t>
      </w:r>
    </w:p>
    <w:p w14:paraId="7E7E144D" w14:textId="34D1F5B5" w:rsidR="00375D9E" w:rsidRPr="00BF2102" w:rsidRDefault="00B60379" w:rsidP="00375D9E">
      <w:pPr>
        <w:pStyle w:val="ListNumber"/>
        <w:numPr>
          <w:ilvl w:val="0"/>
          <w:numId w:val="15"/>
        </w:numPr>
        <w:tabs>
          <w:tab w:val="num" w:pos="993"/>
          <w:tab w:val="left" w:pos="1418"/>
        </w:tabs>
        <w:ind w:left="709" w:hanging="567"/>
        <w:rPr>
          <w:rFonts w:cs="Open Sans"/>
        </w:rPr>
      </w:pPr>
      <w:r w:rsidRPr="00BF2102">
        <w:rPr>
          <w:rFonts w:cs="Open Sans"/>
        </w:rPr>
        <w:t>Secondly, removing Australian citizenship may remove legal liability under Australian law for future conduct by the same person, including for some future terrorism</w:t>
      </w:r>
      <w:r w:rsidR="004A669F" w:rsidRPr="00BF2102">
        <w:rPr>
          <w:rFonts w:cs="Open Sans"/>
        </w:rPr>
        <w:t>-</w:t>
      </w:r>
      <w:r w:rsidRPr="00BF2102">
        <w:rPr>
          <w:rFonts w:cs="Open Sans"/>
        </w:rPr>
        <w:t xml:space="preserve">related offences. </w:t>
      </w:r>
      <w:r w:rsidR="00375D9E" w:rsidRPr="00BF2102">
        <w:rPr>
          <w:rFonts w:cs="Open Sans"/>
        </w:rPr>
        <w:t>Many offences in the Criminal Code extend to certain conduct outside Australia only if engaged in by an Australian citizen.</w:t>
      </w:r>
      <w:r w:rsidR="00375D9E" w:rsidRPr="00BF2102">
        <w:rPr>
          <w:rFonts w:cs="Open Sans"/>
          <w:sz w:val="20"/>
          <w:szCs w:val="20"/>
          <w:vertAlign w:val="superscript"/>
        </w:rPr>
        <w:endnoteReference w:id="67"/>
      </w:r>
      <w:r w:rsidR="00375D9E" w:rsidRPr="00BF2102">
        <w:rPr>
          <w:rFonts w:cs="Open Sans"/>
        </w:rPr>
        <w:t xml:space="preserve"> When a person’s Australian citizenship is lost, Australia also loses the ability to prosecute certain </w:t>
      </w:r>
      <w:r w:rsidR="00771A2B" w:rsidRPr="00BF2102">
        <w:rPr>
          <w:rFonts w:cs="Open Sans"/>
        </w:rPr>
        <w:t xml:space="preserve">subsequent </w:t>
      </w:r>
      <w:r w:rsidR="00375D9E" w:rsidRPr="00BF2102">
        <w:rPr>
          <w:rFonts w:cs="Open Sans"/>
        </w:rPr>
        <w:t xml:space="preserve">offences committed overseas. If an Australian citizen has engaged in a course of criminal conduct overseas, including some terrorist conduct, they may effectively obtain an immunity from prosecution by Australian authorities for certain offences after their Australian citizenship is lost. </w:t>
      </w:r>
    </w:p>
    <w:p w14:paraId="44A17398" w14:textId="291D70E3" w:rsidR="0009311C" w:rsidRPr="00BF2102" w:rsidRDefault="0009311C" w:rsidP="00375D9E">
      <w:pPr>
        <w:pStyle w:val="ListNumber"/>
        <w:numPr>
          <w:ilvl w:val="0"/>
          <w:numId w:val="15"/>
        </w:numPr>
        <w:tabs>
          <w:tab w:val="num" w:pos="993"/>
          <w:tab w:val="left" w:pos="1418"/>
        </w:tabs>
        <w:ind w:left="709" w:hanging="567"/>
        <w:rPr>
          <w:rFonts w:cs="Open Sans"/>
        </w:rPr>
      </w:pPr>
      <w:r w:rsidRPr="00BF2102">
        <w:rPr>
          <w:rFonts w:cs="Open Sans"/>
        </w:rPr>
        <w:t xml:space="preserve">Indeed, the Department has acknowledged this risk of impunity and potential loss of ability to </w:t>
      </w:r>
      <w:r w:rsidR="00D033B3" w:rsidRPr="00BF2102">
        <w:rPr>
          <w:rFonts w:cs="Open Sans"/>
        </w:rPr>
        <w:t xml:space="preserve">use </w:t>
      </w:r>
      <w:r w:rsidR="00AB2077" w:rsidRPr="00BF2102">
        <w:rPr>
          <w:rFonts w:cs="Open Sans"/>
        </w:rPr>
        <w:t>domestic</w:t>
      </w:r>
      <w:r w:rsidRPr="00BF2102">
        <w:rPr>
          <w:rFonts w:cs="Open Sans"/>
        </w:rPr>
        <w:t xml:space="preserve"> criminal processes</w:t>
      </w:r>
      <w:r w:rsidR="00D033B3" w:rsidRPr="00BF2102">
        <w:rPr>
          <w:rFonts w:cs="Open Sans"/>
        </w:rPr>
        <w:t xml:space="preserve"> to protect the safety of Australians</w:t>
      </w:r>
      <w:r w:rsidRPr="00BF2102">
        <w:rPr>
          <w:rFonts w:cs="Open Sans"/>
        </w:rPr>
        <w:t xml:space="preserve">. In its submission to this INLSM review, the Department </w:t>
      </w:r>
      <w:r w:rsidR="00D033B3" w:rsidRPr="00BF2102">
        <w:rPr>
          <w:rFonts w:cs="Open Sans"/>
        </w:rPr>
        <w:t>identified one of the ‘challenges’ of an automatic ‘operation of law’ model as follows</w:t>
      </w:r>
      <w:r w:rsidRPr="00BF2102">
        <w:rPr>
          <w:rFonts w:cs="Open Sans"/>
        </w:rPr>
        <w:t>:</w:t>
      </w:r>
    </w:p>
    <w:p w14:paraId="53202E74" w14:textId="6C0A8496" w:rsidR="0009311C" w:rsidRPr="00BF2102" w:rsidRDefault="00AB2077" w:rsidP="004C070A">
      <w:pPr>
        <w:pStyle w:val="ListNumber"/>
        <w:tabs>
          <w:tab w:val="left" w:pos="1418"/>
        </w:tabs>
        <w:ind w:left="1134"/>
        <w:rPr>
          <w:rFonts w:cs="Open Sans"/>
          <w:sz w:val="22"/>
          <w:szCs w:val="22"/>
        </w:rPr>
      </w:pPr>
      <w:r w:rsidRPr="00BF2102">
        <w:rPr>
          <w:rFonts w:cs="Open Sans"/>
          <w:sz w:val="22"/>
          <w:szCs w:val="22"/>
        </w:rPr>
        <w:t>Citizenship</w:t>
      </w:r>
      <w:r w:rsidR="0009311C" w:rsidRPr="00BF2102">
        <w:rPr>
          <w:rFonts w:cs="Open Sans"/>
          <w:sz w:val="22"/>
          <w:szCs w:val="22"/>
        </w:rPr>
        <w:t xml:space="preserve"> cessation applies automatically and may impact other </w:t>
      </w:r>
      <w:r w:rsidRPr="00BF2102">
        <w:rPr>
          <w:rFonts w:cs="Open Sans"/>
          <w:sz w:val="22"/>
          <w:szCs w:val="22"/>
        </w:rPr>
        <w:t>mechanisms</w:t>
      </w:r>
      <w:r w:rsidR="0009311C" w:rsidRPr="00BF2102">
        <w:rPr>
          <w:rFonts w:cs="Open Sans"/>
          <w:sz w:val="22"/>
          <w:szCs w:val="22"/>
        </w:rPr>
        <w:t xml:space="preserve">, such as criminal justice processes, that can be used to manage the level of risk an </w:t>
      </w:r>
      <w:proofErr w:type="gramStart"/>
      <w:r w:rsidR="0009311C" w:rsidRPr="00BF2102">
        <w:rPr>
          <w:rFonts w:cs="Open Sans"/>
          <w:sz w:val="22"/>
          <w:szCs w:val="22"/>
        </w:rPr>
        <w:t>individual poses</w:t>
      </w:r>
      <w:proofErr w:type="gramEnd"/>
      <w:r w:rsidR="0009311C" w:rsidRPr="00BF2102">
        <w:rPr>
          <w:rFonts w:cs="Open Sans"/>
          <w:sz w:val="22"/>
          <w:szCs w:val="22"/>
        </w:rPr>
        <w:t xml:space="preserve"> to the </w:t>
      </w:r>
      <w:r w:rsidRPr="00BF2102">
        <w:rPr>
          <w:rFonts w:cs="Open Sans"/>
          <w:sz w:val="22"/>
          <w:szCs w:val="22"/>
        </w:rPr>
        <w:t>Australian</w:t>
      </w:r>
      <w:r w:rsidR="0009311C" w:rsidRPr="00BF2102">
        <w:rPr>
          <w:rFonts w:cs="Open Sans"/>
          <w:sz w:val="22"/>
          <w:szCs w:val="22"/>
        </w:rPr>
        <w:t xml:space="preserve"> community</w:t>
      </w:r>
      <w:r w:rsidRPr="00BF2102">
        <w:rPr>
          <w:rFonts w:cs="Open Sans"/>
          <w:sz w:val="22"/>
          <w:szCs w:val="22"/>
        </w:rPr>
        <w:t>.</w:t>
      </w:r>
      <w:r w:rsidR="009012A5" w:rsidRPr="00BF2102">
        <w:rPr>
          <w:rStyle w:val="EndnoteReference"/>
          <w:rFonts w:cs="Open Sans"/>
          <w:szCs w:val="22"/>
        </w:rPr>
        <w:endnoteReference w:id="68"/>
      </w:r>
    </w:p>
    <w:p w14:paraId="332EA72D" w14:textId="75CBFFE9" w:rsidR="00B60379" w:rsidRPr="00BF2102" w:rsidRDefault="00771A2B" w:rsidP="00427ABF">
      <w:pPr>
        <w:pStyle w:val="ListNumber"/>
        <w:numPr>
          <w:ilvl w:val="0"/>
          <w:numId w:val="15"/>
        </w:numPr>
        <w:tabs>
          <w:tab w:val="num" w:pos="993"/>
          <w:tab w:val="left" w:pos="1418"/>
        </w:tabs>
        <w:ind w:left="709" w:hanging="567"/>
        <w:rPr>
          <w:rFonts w:cs="Open Sans"/>
        </w:rPr>
      </w:pPr>
      <w:r w:rsidRPr="00BF2102">
        <w:rPr>
          <w:rFonts w:cs="Open Sans"/>
        </w:rPr>
        <w:t xml:space="preserve">Most of </w:t>
      </w:r>
      <w:r w:rsidR="00B60379" w:rsidRPr="00BF2102">
        <w:rPr>
          <w:rFonts w:cs="Open Sans"/>
        </w:rPr>
        <w:t>the offences in the Criminal Code which form the basis for the conduct described in s 33</w:t>
      </w:r>
      <w:proofErr w:type="gramStart"/>
      <w:r w:rsidR="00B60379" w:rsidRPr="00BF2102">
        <w:rPr>
          <w:rFonts w:cs="Open Sans"/>
        </w:rPr>
        <w:t>AA(</w:t>
      </w:r>
      <w:proofErr w:type="gramEnd"/>
      <w:r w:rsidR="00B60379" w:rsidRPr="00BF2102">
        <w:rPr>
          <w:rFonts w:cs="Open Sans"/>
        </w:rPr>
        <w:t>2)</w:t>
      </w:r>
      <w:r w:rsidRPr="00BF2102">
        <w:rPr>
          <w:rFonts w:cs="Open Sans"/>
        </w:rPr>
        <w:t xml:space="preserve"> are an exception to </w:t>
      </w:r>
      <w:r w:rsidR="0069421E" w:rsidRPr="00BF2102">
        <w:rPr>
          <w:rFonts w:cs="Open Sans"/>
        </w:rPr>
        <w:t>this issue</w:t>
      </w:r>
      <w:r w:rsidR="00427ABF" w:rsidRPr="00BF2102">
        <w:rPr>
          <w:rFonts w:cs="Open Sans"/>
        </w:rPr>
        <w:t>. All but one of these offences</w:t>
      </w:r>
      <w:r w:rsidR="00B60379" w:rsidRPr="00BF2102">
        <w:rPr>
          <w:rFonts w:cs="Open Sans"/>
        </w:rPr>
        <w:t xml:space="preserve"> have extra-territorial application regardless of whether or not the person engaging in the conduct was an Australian citizen.</w:t>
      </w:r>
      <w:r w:rsidR="00B60379" w:rsidRPr="00BF2102">
        <w:rPr>
          <w:rFonts w:cs="Open Sans"/>
          <w:sz w:val="20"/>
          <w:szCs w:val="20"/>
          <w:vertAlign w:val="superscript"/>
        </w:rPr>
        <w:endnoteReference w:id="69"/>
      </w:r>
      <w:r w:rsidR="00B60379" w:rsidRPr="00BF2102">
        <w:rPr>
          <w:rFonts w:cs="Open Sans"/>
        </w:rPr>
        <w:t xml:space="preserve"> Similarly, conduct proscribed under s 35 that also repudiates allegiance to Australia is </w:t>
      </w:r>
      <w:r w:rsidR="00427ABF" w:rsidRPr="00BF2102">
        <w:rPr>
          <w:rFonts w:cs="Open Sans"/>
        </w:rPr>
        <w:t xml:space="preserve">also </w:t>
      </w:r>
      <w:r w:rsidR="00B60379" w:rsidRPr="00BF2102">
        <w:rPr>
          <w:rFonts w:cs="Open Sans"/>
        </w:rPr>
        <w:t xml:space="preserve">likely captured by </w:t>
      </w:r>
      <w:r w:rsidR="006E4729" w:rsidRPr="00BF2102">
        <w:rPr>
          <w:rFonts w:cs="Open Sans"/>
        </w:rPr>
        <w:t xml:space="preserve">criminal </w:t>
      </w:r>
      <w:r w:rsidR="00B60379" w:rsidRPr="00BF2102">
        <w:rPr>
          <w:rFonts w:cs="Open Sans"/>
        </w:rPr>
        <w:t>offences that have extra-territorial application.</w:t>
      </w:r>
      <w:r w:rsidR="00B60379" w:rsidRPr="00BF2102">
        <w:rPr>
          <w:rStyle w:val="EndnoteReference"/>
          <w:rFonts w:cs="Open Sans"/>
        </w:rPr>
        <w:endnoteReference w:id="70"/>
      </w:r>
      <w:r w:rsidR="00B60379" w:rsidRPr="00BF2102">
        <w:rPr>
          <w:rFonts w:cs="Open Sans"/>
        </w:rPr>
        <w:t xml:space="preserve"> </w:t>
      </w:r>
      <w:r w:rsidR="00427ABF" w:rsidRPr="00BF2102">
        <w:rPr>
          <w:rFonts w:cs="Open Sans"/>
        </w:rPr>
        <w:t xml:space="preserve">Accordingly, </w:t>
      </w:r>
      <w:r w:rsidR="0069421E" w:rsidRPr="00BF2102">
        <w:rPr>
          <w:rFonts w:cs="Open Sans"/>
        </w:rPr>
        <w:t xml:space="preserve">for these offences </w:t>
      </w:r>
      <w:r w:rsidR="00427ABF" w:rsidRPr="00BF2102">
        <w:rPr>
          <w:rFonts w:cs="Open Sans"/>
        </w:rPr>
        <w:t>it does</w:t>
      </w:r>
      <w:r w:rsidR="0069421E" w:rsidRPr="00BF2102">
        <w:rPr>
          <w:rFonts w:cs="Open Sans"/>
        </w:rPr>
        <w:t xml:space="preserve"> </w:t>
      </w:r>
      <w:r w:rsidR="00427ABF" w:rsidRPr="00BF2102">
        <w:rPr>
          <w:rFonts w:cs="Open Sans"/>
        </w:rPr>
        <w:t>n</w:t>
      </w:r>
      <w:r w:rsidR="0069421E" w:rsidRPr="00BF2102">
        <w:rPr>
          <w:rFonts w:cs="Open Sans"/>
        </w:rPr>
        <w:t>o</w:t>
      </w:r>
      <w:r w:rsidR="00427ABF" w:rsidRPr="00BF2102">
        <w:rPr>
          <w:rFonts w:cs="Open Sans"/>
        </w:rPr>
        <w:t xml:space="preserve">t matter whether </w:t>
      </w:r>
      <w:r w:rsidR="0069421E" w:rsidRPr="00BF2102">
        <w:rPr>
          <w:rFonts w:cs="Open Sans"/>
        </w:rPr>
        <w:t xml:space="preserve">or not </w:t>
      </w:r>
      <w:r w:rsidR="00427ABF" w:rsidRPr="00BF2102">
        <w:rPr>
          <w:rFonts w:cs="Open Sans"/>
        </w:rPr>
        <w:t xml:space="preserve">a person is an Australian citizen—they can still be prosecuted </w:t>
      </w:r>
      <w:r w:rsidR="0069421E" w:rsidRPr="00BF2102">
        <w:rPr>
          <w:rFonts w:cs="Open Sans"/>
        </w:rPr>
        <w:t xml:space="preserve">in Australia </w:t>
      </w:r>
      <w:r w:rsidR="00427ABF" w:rsidRPr="00BF2102">
        <w:rPr>
          <w:rFonts w:cs="Open Sans"/>
        </w:rPr>
        <w:t xml:space="preserve">for </w:t>
      </w:r>
      <w:r w:rsidR="00306CCD" w:rsidRPr="00BF2102">
        <w:rPr>
          <w:rFonts w:cs="Open Sans"/>
        </w:rPr>
        <w:t>conduct such as engaging in a terrorist act, receiving training connected with preparation for a terrorist act, and financing terrorism.</w:t>
      </w:r>
    </w:p>
    <w:p w14:paraId="7804220B" w14:textId="6FEDE487" w:rsidR="005720EC" w:rsidRPr="00BF2102" w:rsidRDefault="001A7902" w:rsidP="00310D03">
      <w:pPr>
        <w:pStyle w:val="ListNumber"/>
        <w:numPr>
          <w:ilvl w:val="0"/>
          <w:numId w:val="15"/>
        </w:numPr>
        <w:tabs>
          <w:tab w:val="num" w:pos="993"/>
          <w:tab w:val="left" w:pos="1418"/>
        </w:tabs>
        <w:ind w:left="709" w:hanging="567"/>
        <w:rPr>
          <w:rFonts w:cs="Open Sans"/>
        </w:rPr>
      </w:pPr>
      <w:r w:rsidRPr="00BF2102">
        <w:rPr>
          <w:rFonts w:cs="Open Sans"/>
        </w:rPr>
        <w:t xml:space="preserve">The </w:t>
      </w:r>
      <w:r w:rsidR="00427ABF" w:rsidRPr="00BF2102">
        <w:rPr>
          <w:rFonts w:cs="Open Sans"/>
        </w:rPr>
        <w:t>one</w:t>
      </w:r>
      <w:r w:rsidR="00306CCD" w:rsidRPr="00BF2102">
        <w:rPr>
          <w:rFonts w:cs="Open Sans"/>
        </w:rPr>
        <w:t xml:space="preserve"> </w:t>
      </w:r>
      <w:r w:rsidR="00CB711F" w:rsidRPr="00BF2102">
        <w:rPr>
          <w:rFonts w:cs="Open Sans"/>
        </w:rPr>
        <w:t xml:space="preserve">offence </w:t>
      </w:r>
      <w:r w:rsidR="00306CCD" w:rsidRPr="00BF2102">
        <w:rPr>
          <w:rFonts w:cs="Open Sans"/>
        </w:rPr>
        <w:t>relevant</w:t>
      </w:r>
      <w:r w:rsidR="00427ABF" w:rsidRPr="00BF2102">
        <w:rPr>
          <w:rFonts w:cs="Open Sans"/>
        </w:rPr>
        <w:t xml:space="preserve"> </w:t>
      </w:r>
      <w:r w:rsidR="00CB711F" w:rsidRPr="00BF2102">
        <w:rPr>
          <w:rFonts w:cs="Open Sans"/>
        </w:rPr>
        <w:t>to s 33</w:t>
      </w:r>
      <w:proofErr w:type="gramStart"/>
      <w:r w:rsidR="00CB711F" w:rsidRPr="00BF2102">
        <w:rPr>
          <w:rFonts w:cs="Open Sans"/>
        </w:rPr>
        <w:t>AA(</w:t>
      </w:r>
      <w:proofErr w:type="gramEnd"/>
      <w:r w:rsidR="00CB711F" w:rsidRPr="00BF2102">
        <w:rPr>
          <w:rFonts w:cs="Open Sans"/>
        </w:rPr>
        <w:t xml:space="preserve">2) with a different </w:t>
      </w:r>
      <w:r w:rsidR="00427ABF" w:rsidRPr="00BF2102">
        <w:rPr>
          <w:rFonts w:cs="Open Sans"/>
        </w:rPr>
        <w:t>extra-territorial</w:t>
      </w:r>
      <w:r w:rsidR="00404B4A" w:rsidRPr="00BF2102">
        <w:rPr>
          <w:rFonts w:cs="Open Sans"/>
        </w:rPr>
        <w:t xml:space="preserve"> </w:t>
      </w:r>
      <w:r w:rsidR="00CB711F" w:rsidRPr="00BF2102">
        <w:rPr>
          <w:rFonts w:cs="Open Sans"/>
        </w:rPr>
        <w:t>application</w:t>
      </w:r>
      <w:r w:rsidR="00404B4A" w:rsidRPr="00BF2102">
        <w:rPr>
          <w:rFonts w:cs="Open Sans"/>
        </w:rPr>
        <w:t xml:space="preserve"> </w:t>
      </w:r>
      <w:r w:rsidR="00306CCD" w:rsidRPr="00BF2102">
        <w:rPr>
          <w:rFonts w:cs="Open Sans"/>
        </w:rPr>
        <w:t xml:space="preserve">is </w:t>
      </w:r>
      <w:r w:rsidR="00D36F50" w:rsidRPr="00BF2102">
        <w:rPr>
          <w:rFonts w:cs="Open Sans"/>
        </w:rPr>
        <w:t>‘engaging in international terrorist activities using explosive or lethal devices’. The offence in the Criminal Code has more limited extra-territorial application, which can depend on whether a person is an Australian citizen.</w:t>
      </w:r>
      <w:r w:rsidR="00B20CF1" w:rsidRPr="00BF2102">
        <w:rPr>
          <w:rFonts w:cs="Open Sans"/>
          <w:sz w:val="20"/>
          <w:szCs w:val="20"/>
          <w:vertAlign w:val="superscript"/>
        </w:rPr>
        <w:endnoteReference w:id="71"/>
      </w:r>
      <w:r w:rsidR="00D36F50" w:rsidRPr="00BF2102">
        <w:rPr>
          <w:rFonts w:cs="Open Sans"/>
        </w:rPr>
        <w:t xml:space="preserve"> This means that a person could lose their citizenship automatically</w:t>
      </w:r>
      <w:r w:rsidR="00B20CF1" w:rsidRPr="00BF2102">
        <w:rPr>
          <w:rFonts w:cs="Open Sans"/>
        </w:rPr>
        <w:t xml:space="preserve"> for engaging in some other conduct</w:t>
      </w:r>
      <w:r w:rsidR="004A669F" w:rsidRPr="00BF2102">
        <w:rPr>
          <w:rFonts w:cs="Open Sans"/>
        </w:rPr>
        <w:t>—</w:t>
      </w:r>
      <w:r w:rsidR="00B20CF1" w:rsidRPr="00BF2102">
        <w:rPr>
          <w:rFonts w:cs="Open Sans"/>
        </w:rPr>
        <w:t>for example</w:t>
      </w:r>
      <w:r w:rsidR="004A669F" w:rsidRPr="00BF2102">
        <w:rPr>
          <w:rFonts w:cs="Open Sans"/>
        </w:rPr>
        <w:t>,</w:t>
      </w:r>
      <w:r w:rsidR="00B20CF1" w:rsidRPr="00BF2102">
        <w:rPr>
          <w:rFonts w:cs="Open Sans"/>
        </w:rPr>
        <w:t xml:space="preserve"> receiving training </w:t>
      </w:r>
      <w:r w:rsidR="006A5B28" w:rsidRPr="00BF2102">
        <w:rPr>
          <w:rFonts w:cs="Open Sans"/>
        </w:rPr>
        <w:t xml:space="preserve">connected with </w:t>
      </w:r>
      <w:r w:rsidR="00B20CF1" w:rsidRPr="00BF2102">
        <w:rPr>
          <w:rFonts w:cs="Open Sans"/>
        </w:rPr>
        <w:t>preparation for a terrorist act</w:t>
      </w:r>
      <w:r w:rsidR="004A669F" w:rsidRPr="00BF2102">
        <w:rPr>
          <w:rFonts w:cs="Open Sans"/>
        </w:rPr>
        <w:t>—</w:t>
      </w:r>
      <w:r w:rsidR="00B20CF1" w:rsidRPr="00BF2102">
        <w:rPr>
          <w:rFonts w:cs="Open Sans"/>
        </w:rPr>
        <w:t xml:space="preserve">and then not be </w:t>
      </w:r>
      <w:r w:rsidR="00B20CF1" w:rsidRPr="00BF2102">
        <w:rPr>
          <w:rFonts w:cs="Open Sans"/>
        </w:rPr>
        <w:lastRenderedPageBreak/>
        <w:t>liable under Australian law for subsequent conduct of engaging in international terrorist activities using explosive or lethal devices.</w:t>
      </w:r>
    </w:p>
    <w:p w14:paraId="1D32F7BA" w14:textId="6D6E7704" w:rsidR="004E1ACF" w:rsidRPr="00BF2102" w:rsidRDefault="00C304AB" w:rsidP="009A5419">
      <w:pPr>
        <w:pStyle w:val="Heading3"/>
        <w:rPr>
          <w:rFonts w:cs="Open Sans"/>
          <w:i/>
          <w:iCs/>
        </w:rPr>
      </w:pPr>
      <w:bookmarkStart w:id="77" w:name="_Toc11159298"/>
      <w:bookmarkStart w:id="78" w:name="_Toc11407970"/>
      <w:bookmarkEnd w:id="77"/>
      <w:r w:rsidRPr="00BF2102">
        <w:rPr>
          <w:rFonts w:cs="Open Sans"/>
          <w:i/>
          <w:iCs/>
        </w:rPr>
        <w:t xml:space="preserve">Repeal </w:t>
      </w:r>
      <w:r w:rsidR="009434CE" w:rsidRPr="00BF2102">
        <w:rPr>
          <w:rFonts w:cs="Open Sans"/>
          <w:i/>
          <w:iCs/>
        </w:rPr>
        <w:t>of automatic citizenship loss</w:t>
      </w:r>
      <w:r w:rsidRPr="00BF2102">
        <w:rPr>
          <w:rFonts w:cs="Open Sans"/>
          <w:i/>
          <w:iCs/>
        </w:rPr>
        <w:t xml:space="preserve"> provisions</w:t>
      </w:r>
      <w:bookmarkEnd w:id="78"/>
    </w:p>
    <w:p w14:paraId="5797F59C" w14:textId="632D97C0" w:rsidR="006340EF" w:rsidRPr="00BF2102" w:rsidRDefault="006340EF" w:rsidP="006340EF">
      <w:pPr>
        <w:pStyle w:val="Subnumbered"/>
        <w:ind w:left="709" w:hanging="709"/>
        <w:rPr>
          <w:rFonts w:cs="Open Sans"/>
        </w:rPr>
      </w:pPr>
      <w:r w:rsidRPr="00BF2102">
        <w:rPr>
          <w:rFonts w:cs="Open Sans"/>
        </w:rPr>
        <w:t xml:space="preserve">For the reasons above, the Commission recommends that citizenship loss not operate automatically, but rather </w:t>
      </w:r>
      <w:r w:rsidR="002F5623" w:rsidRPr="00BF2102">
        <w:rPr>
          <w:rFonts w:cs="Open Sans"/>
        </w:rPr>
        <w:t xml:space="preserve">it should </w:t>
      </w:r>
      <w:r w:rsidRPr="00BF2102">
        <w:rPr>
          <w:rFonts w:cs="Open Sans"/>
        </w:rPr>
        <w:t xml:space="preserve">be possible </w:t>
      </w:r>
      <w:r w:rsidR="002F5623" w:rsidRPr="00BF2102">
        <w:rPr>
          <w:rFonts w:cs="Open Sans"/>
        </w:rPr>
        <w:t xml:space="preserve">only </w:t>
      </w:r>
      <w:r w:rsidRPr="00BF2102">
        <w:rPr>
          <w:rFonts w:cs="Open Sans"/>
        </w:rPr>
        <w:t>following a positive decision by reference to a serious criminal conviction that also repudiates a person’s allegiance to Australia, and ensuring that appropriate procedural safeguards are in place to protect a person’s human rights.</w:t>
      </w:r>
    </w:p>
    <w:p w14:paraId="69DF8A45" w14:textId="77777777" w:rsidR="002A17BD" w:rsidRPr="00BF2102" w:rsidRDefault="002A17BD" w:rsidP="00310D03">
      <w:pPr>
        <w:pStyle w:val="ListNumber"/>
        <w:numPr>
          <w:ilvl w:val="0"/>
          <w:numId w:val="15"/>
        </w:numPr>
        <w:tabs>
          <w:tab w:val="num" w:pos="993"/>
          <w:tab w:val="left" w:pos="1418"/>
        </w:tabs>
        <w:ind w:left="709" w:hanging="567"/>
        <w:rPr>
          <w:rFonts w:cs="Open Sans"/>
        </w:rPr>
      </w:pPr>
      <w:r w:rsidRPr="00BF2102">
        <w:rPr>
          <w:rFonts w:cs="Open Sans"/>
        </w:rPr>
        <w:t>The Commission appreciates that there may be practical difficulties in establishing that the prohibited conduct has occurred overseas, prosecuting a person for a criminal offence that occurred abroad, and in effecting notification to persons who are overseas. This includes the difficulties faced in gathering foreign evidence, sometimes in fragile states or war zones.</w:t>
      </w:r>
    </w:p>
    <w:p w14:paraId="3FC85B39" w14:textId="77777777" w:rsidR="002A17BD" w:rsidRPr="00BF2102" w:rsidRDefault="002A17BD" w:rsidP="00310D03">
      <w:pPr>
        <w:pStyle w:val="ListNumber"/>
        <w:numPr>
          <w:ilvl w:val="0"/>
          <w:numId w:val="15"/>
        </w:numPr>
        <w:tabs>
          <w:tab w:val="num" w:pos="993"/>
          <w:tab w:val="left" w:pos="1418"/>
        </w:tabs>
        <w:ind w:left="709" w:hanging="567"/>
        <w:rPr>
          <w:rFonts w:cs="Open Sans"/>
        </w:rPr>
      </w:pPr>
      <w:r w:rsidRPr="00BF2102">
        <w:rPr>
          <w:rFonts w:cs="Open Sans"/>
        </w:rPr>
        <w:t>However, given the severe human rights and other impacts on the affected person of citizenship loss, the indeterminate national security benefits, and traditional standards of criminal justice, it considers that these provisions should not operate automatically and that procedures should be in place to ensure that this power is used only in the most exceptional circumstances, observing human rights and the rule of law.</w:t>
      </w:r>
    </w:p>
    <w:p w14:paraId="6AB21098" w14:textId="545C5BFD" w:rsidR="009434CE" w:rsidRPr="00BF2102" w:rsidRDefault="009434CE" w:rsidP="00310D03">
      <w:pPr>
        <w:pStyle w:val="ListNumber"/>
        <w:numPr>
          <w:ilvl w:val="0"/>
          <w:numId w:val="15"/>
        </w:numPr>
        <w:tabs>
          <w:tab w:val="num" w:pos="993"/>
          <w:tab w:val="left" w:pos="1418"/>
        </w:tabs>
        <w:ind w:left="709" w:hanging="567"/>
        <w:rPr>
          <w:rFonts w:cs="Open Sans"/>
        </w:rPr>
      </w:pPr>
      <w:r w:rsidRPr="00BF2102">
        <w:rPr>
          <w:rFonts w:cs="Open Sans"/>
        </w:rPr>
        <w:t xml:space="preserve">For those outside Australia, </w:t>
      </w:r>
      <w:r w:rsidR="0040046C" w:rsidRPr="00BF2102">
        <w:rPr>
          <w:rFonts w:cs="Open Sans"/>
        </w:rPr>
        <w:t xml:space="preserve">a person suspected of committing a relevant crime could be apprehended on their return to Australia, </w:t>
      </w:r>
      <w:r w:rsidRPr="00BF2102">
        <w:rPr>
          <w:rFonts w:cs="Open Sans"/>
        </w:rPr>
        <w:t xml:space="preserve">or could be extradited, </w:t>
      </w:r>
      <w:r w:rsidR="0040046C" w:rsidRPr="00BF2102">
        <w:rPr>
          <w:rFonts w:cs="Open Sans"/>
        </w:rPr>
        <w:t>and face the criminal justice system to establish their guilt before a court. Upon relevant conviction, their citizenship status could then be considered</w:t>
      </w:r>
      <w:r w:rsidRPr="00BF2102">
        <w:rPr>
          <w:rFonts w:cs="Open Sans"/>
        </w:rPr>
        <w:t xml:space="preserve"> in light of all of the relevant circumstances</w:t>
      </w:r>
      <w:r w:rsidR="0040046C" w:rsidRPr="00BF2102">
        <w:rPr>
          <w:rFonts w:cs="Open Sans"/>
        </w:rPr>
        <w:t xml:space="preserve">. </w:t>
      </w:r>
    </w:p>
    <w:p w14:paraId="72976C15" w14:textId="672389DF" w:rsidR="0040046C" w:rsidRPr="00BF2102" w:rsidRDefault="00C304AB" w:rsidP="00310D03">
      <w:pPr>
        <w:pStyle w:val="ListNumber"/>
        <w:numPr>
          <w:ilvl w:val="0"/>
          <w:numId w:val="15"/>
        </w:numPr>
        <w:tabs>
          <w:tab w:val="num" w:pos="993"/>
          <w:tab w:val="left" w:pos="1418"/>
        </w:tabs>
        <w:ind w:left="709" w:hanging="567"/>
        <w:rPr>
          <w:rFonts w:cs="Open Sans"/>
        </w:rPr>
      </w:pPr>
      <w:r w:rsidRPr="00BF2102">
        <w:rPr>
          <w:rFonts w:cs="Open Sans"/>
        </w:rPr>
        <w:t xml:space="preserve">Any </w:t>
      </w:r>
      <w:r w:rsidR="00611900" w:rsidRPr="00BF2102">
        <w:rPr>
          <w:rFonts w:cs="Open Sans"/>
        </w:rPr>
        <w:t xml:space="preserve">risk to public safety </w:t>
      </w:r>
      <w:r w:rsidRPr="00BF2102">
        <w:rPr>
          <w:rFonts w:cs="Open Sans"/>
        </w:rPr>
        <w:t xml:space="preserve">involved in prosecuting alleged offenders in Australia </w:t>
      </w:r>
      <w:r w:rsidR="00611900" w:rsidRPr="00BF2102">
        <w:rPr>
          <w:rFonts w:cs="Open Sans"/>
        </w:rPr>
        <w:t xml:space="preserve">could be managed through usual criminal justice and law enforcement processes, as </w:t>
      </w:r>
      <w:r w:rsidRPr="00BF2102">
        <w:rPr>
          <w:rFonts w:cs="Open Sans"/>
        </w:rPr>
        <w:t xml:space="preserve">it is </w:t>
      </w:r>
      <w:r w:rsidR="00611900" w:rsidRPr="00BF2102">
        <w:rPr>
          <w:rFonts w:cs="Open Sans"/>
        </w:rPr>
        <w:t xml:space="preserve">with </w:t>
      </w:r>
      <w:r w:rsidRPr="00BF2102">
        <w:rPr>
          <w:rFonts w:cs="Open Sans"/>
        </w:rPr>
        <w:t xml:space="preserve">people who hold only </w:t>
      </w:r>
      <w:r w:rsidR="00611900" w:rsidRPr="00BF2102">
        <w:rPr>
          <w:rFonts w:cs="Open Sans"/>
        </w:rPr>
        <w:t>Australian citizens</w:t>
      </w:r>
      <w:r w:rsidRPr="00BF2102">
        <w:rPr>
          <w:rFonts w:cs="Open Sans"/>
        </w:rPr>
        <w:t>hip</w:t>
      </w:r>
      <w:r w:rsidR="00611900" w:rsidRPr="00BF2102">
        <w:rPr>
          <w:rFonts w:cs="Open Sans"/>
        </w:rPr>
        <w:t xml:space="preserve"> </w:t>
      </w:r>
      <w:r w:rsidR="002F5623" w:rsidRPr="00BF2102">
        <w:rPr>
          <w:rFonts w:cs="Open Sans"/>
        </w:rPr>
        <w:t xml:space="preserve">and </w:t>
      </w:r>
      <w:r w:rsidRPr="00BF2102">
        <w:rPr>
          <w:rFonts w:cs="Open Sans"/>
        </w:rPr>
        <w:t xml:space="preserve">are alleged to </w:t>
      </w:r>
      <w:r w:rsidR="00611900" w:rsidRPr="00BF2102">
        <w:rPr>
          <w:rFonts w:cs="Open Sans"/>
        </w:rPr>
        <w:t xml:space="preserve">have </w:t>
      </w:r>
      <w:r w:rsidRPr="00BF2102">
        <w:rPr>
          <w:rFonts w:cs="Open Sans"/>
        </w:rPr>
        <w:t xml:space="preserve">committed </w:t>
      </w:r>
      <w:r w:rsidR="00611900" w:rsidRPr="00BF2102">
        <w:rPr>
          <w:rFonts w:cs="Open Sans"/>
        </w:rPr>
        <w:t>terrorism offences.</w:t>
      </w:r>
      <w:r w:rsidR="00DD710D" w:rsidRPr="00BF2102">
        <w:rPr>
          <w:rFonts w:cs="Open Sans"/>
        </w:rPr>
        <w:t xml:space="preserve"> </w:t>
      </w:r>
    </w:p>
    <w:p w14:paraId="38F48BB7" w14:textId="596D2A25" w:rsidR="001D55AA" w:rsidRPr="00BF2102" w:rsidRDefault="0040046C" w:rsidP="00310D03">
      <w:pPr>
        <w:pStyle w:val="ListNumber"/>
        <w:numPr>
          <w:ilvl w:val="0"/>
          <w:numId w:val="15"/>
        </w:numPr>
        <w:tabs>
          <w:tab w:val="num" w:pos="993"/>
          <w:tab w:val="left" w:pos="1418"/>
        </w:tabs>
        <w:ind w:left="709" w:hanging="567"/>
        <w:rPr>
          <w:rFonts w:cs="Open Sans"/>
        </w:rPr>
      </w:pPr>
      <w:r w:rsidRPr="00BF2102">
        <w:rPr>
          <w:rFonts w:cs="Open Sans"/>
        </w:rPr>
        <w:t>This approach would be</w:t>
      </w:r>
      <w:r w:rsidR="002F5623" w:rsidRPr="00BF2102">
        <w:rPr>
          <w:rFonts w:cs="Open Sans"/>
        </w:rPr>
        <w:t>tter uphold</w:t>
      </w:r>
      <w:r w:rsidRPr="00BF2102">
        <w:rPr>
          <w:rFonts w:cs="Open Sans"/>
        </w:rPr>
        <w:t xml:space="preserve"> the separation of powers, presumption of innocence, procedural fairness, usual standards of criminal justice and Australia’s international law obligations. </w:t>
      </w:r>
    </w:p>
    <w:p w14:paraId="4D3D41D3" w14:textId="77777777" w:rsidR="0042792F" w:rsidRPr="00BF2102" w:rsidRDefault="0042792F" w:rsidP="0042792F">
      <w:pPr>
        <w:pStyle w:val="Subnumbered"/>
        <w:keepNext/>
        <w:numPr>
          <w:ilvl w:val="0"/>
          <w:numId w:val="0"/>
        </w:numPr>
        <w:ind w:left="709"/>
        <w:rPr>
          <w:rFonts w:cs="Open Sans"/>
          <w:b/>
          <w:bCs/>
        </w:rPr>
      </w:pPr>
      <w:bookmarkStart w:id="79" w:name="_Toc11159300"/>
      <w:bookmarkStart w:id="80" w:name="_Ref11056683"/>
      <w:bookmarkEnd w:id="79"/>
      <w:r w:rsidRPr="00BF2102">
        <w:rPr>
          <w:rFonts w:cs="Open Sans"/>
          <w:b/>
          <w:bCs/>
        </w:rPr>
        <w:lastRenderedPageBreak/>
        <w:t>Recommendation 1</w:t>
      </w:r>
    </w:p>
    <w:p w14:paraId="42131FC2" w14:textId="4BF6AA21" w:rsidR="0042792F" w:rsidRPr="00BF2102" w:rsidRDefault="0042792F" w:rsidP="0042792F">
      <w:pPr>
        <w:pStyle w:val="Subnumbered"/>
        <w:numPr>
          <w:ilvl w:val="0"/>
          <w:numId w:val="0"/>
        </w:numPr>
        <w:ind w:left="709"/>
        <w:rPr>
          <w:rFonts w:cs="Open Sans"/>
        </w:rPr>
      </w:pPr>
      <w:r w:rsidRPr="00BF2102">
        <w:rPr>
          <w:rFonts w:cs="Open Sans"/>
        </w:rPr>
        <w:t xml:space="preserve">Section 33AA and 35 of the </w:t>
      </w:r>
      <w:r w:rsidRPr="00BF2102">
        <w:rPr>
          <w:rFonts w:cs="Open Sans"/>
          <w:i/>
          <w:iCs/>
        </w:rPr>
        <w:t>Australian Citizenship Act 2007</w:t>
      </w:r>
      <w:r w:rsidRPr="00BF2102">
        <w:rPr>
          <w:rFonts w:cs="Open Sans"/>
        </w:rPr>
        <w:t xml:space="preserve"> (Cth) should be repealed, with the result that loss of citizenship should be possible </w:t>
      </w:r>
      <w:r w:rsidR="002F5623" w:rsidRPr="00BF2102">
        <w:rPr>
          <w:rFonts w:cs="Open Sans"/>
        </w:rPr>
        <w:t xml:space="preserve">only </w:t>
      </w:r>
      <w:r w:rsidRPr="00BF2102">
        <w:rPr>
          <w:rFonts w:cs="Open Sans"/>
        </w:rPr>
        <w:t xml:space="preserve">under s 35A following a relevant criminal conviction and Ministerial determination, rather than by automatic operation of the law. </w:t>
      </w:r>
    </w:p>
    <w:p w14:paraId="69054113" w14:textId="71D53AFE" w:rsidR="006349EC" w:rsidRPr="00BF2102" w:rsidRDefault="00B41EA1" w:rsidP="006349EC">
      <w:pPr>
        <w:pStyle w:val="Heading2"/>
        <w:rPr>
          <w:rFonts w:cs="Open Sans"/>
        </w:rPr>
      </w:pPr>
      <w:bookmarkStart w:id="81" w:name="_Ref11338504"/>
      <w:bookmarkStart w:id="82" w:name="_Toc11407971"/>
      <w:r w:rsidRPr="00BF2102">
        <w:rPr>
          <w:rFonts w:cs="Open Sans"/>
        </w:rPr>
        <w:t xml:space="preserve">Procedural </w:t>
      </w:r>
      <w:r w:rsidR="005A1851" w:rsidRPr="00BF2102">
        <w:rPr>
          <w:rFonts w:cs="Open Sans"/>
        </w:rPr>
        <w:t>safeguards</w:t>
      </w:r>
      <w:bookmarkEnd w:id="80"/>
      <w:bookmarkEnd w:id="81"/>
      <w:bookmarkEnd w:id="82"/>
    </w:p>
    <w:p w14:paraId="5E4A38C0" w14:textId="7BC4FEA4" w:rsidR="00E30632" w:rsidRPr="00BF2102" w:rsidRDefault="00E30632" w:rsidP="009327E1">
      <w:pPr>
        <w:pStyle w:val="Heading3"/>
        <w:rPr>
          <w:rFonts w:cs="Open Sans"/>
          <w:i/>
          <w:iCs/>
        </w:rPr>
      </w:pPr>
      <w:bookmarkStart w:id="83" w:name="_Toc11407972"/>
      <w:r w:rsidRPr="00BF2102">
        <w:rPr>
          <w:rFonts w:cs="Open Sans"/>
          <w:i/>
          <w:iCs/>
        </w:rPr>
        <w:t>Ensuring consist</w:t>
      </w:r>
      <w:r w:rsidR="005278A4" w:rsidRPr="00BF2102">
        <w:rPr>
          <w:rFonts w:cs="Open Sans"/>
          <w:i/>
          <w:iCs/>
        </w:rPr>
        <w:t>ent</w:t>
      </w:r>
      <w:r w:rsidR="000D2FE3" w:rsidRPr="00BF2102">
        <w:rPr>
          <w:rFonts w:cs="Open Sans"/>
          <w:i/>
          <w:iCs/>
        </w:rPr>
        <w:t xml:space="preserve"> and robust</w:t>
      </w:r>
      <w:r w:rsidRPr="00BF2102">
        <w:rPr>
          <w:rFonts w:cs="Open Sans"/>
          <w:i/>
          <w:iCs/>
        </w:rPr>
        <w:t xml:space="preserve"> legislative safeguards</w:t>
      </w:r>
      <w:bookmarkEnd w:id="83"/>
    </w:p>
    <w:p w14:paraId="5539F7F7" w14:textId="5280A7A1" w:rsidR="000A784E" w:rsidRPr="00BF2102" w:rsidRDefault="00C304AB" w:rsidP="00310D03">
      <w:pPr>
        <w:pStyle w:val="ListNumber"/>
        <w:numPr>
          <w:ilvl w:val="0"/>
          <w:numId w:val="15"/>
        </w:numPr>
        <w:tabs>
          <w:tab w:val="num" w:pos="993"/>
          <w:tab w:val="left" w:pos="1418"/>
        </w:tabs>
        <w:ind w:left="709" w:hanging="567"/>
        <w:rPr>
          <w:rFonts w:cs="Open Sans"/>
        </w:rPr>
      </w:pPr>
      <w:r w:rsidRPr="00BF2102">
        <w:rPr>
          <w:rFonts w:cs="Open Sans"/>
        </w:rPr>
        <w:t xml:space="preserve">If the Commission’s </w:t>
      </w:r>
      <w:r w:rsidR="001821E1" w:rsidRPr="00BF2102">
        <w:rPr>
          <w:rFonts w:cs="Open Sans"/>
        </w:rPr>
        <w:t>R</w:t>
      </w:r>
      <w:r w:rsidRPr="00BF2102">
        <w:rPr>
          <w:rFonts w:cs="Open Sans"/>
        </w:rPr>
        <w:t xml:space="preserve">ecommendation </w:t>
      </w:r>
      <w:r w:rsidR="000A784E" w:rsidRPr="00BF2102">
        <w:rPr>
          <w:rFonts w:cs="Open Sans"/>
        </w:rPr>
        <w:t xml:space="preserve">1 </w:t>
      </w:r>
      <w:r w:rsidR="00386690" w:rsidRPr="00BF2102">
        <w:rPr>
          <w:rFonts w:cs="Open Sans"/>
        </w:rPr>
        <w:t xml:space="preserve">is </w:t>
      </w:r>
      <w:r w:rsidRPr="00BF2102">
        <w:rPr>
          <w:rFonts w:cs="Open Sans"/>
        </w:rPr>
        <w:t xml:space="preserve">not accepted, the Commission </w:t>
      </w:r>
      <w:r w:rsidR="000A784E" w:rsidRPr="00BF2102">
        <w:rPr>
          <w:rFonts w:cs="Open Sans"/>
        </w:rPr>
        <w:t xml:space="preserve">considers </w:t>
      </w:r>
      <w:r w:rsidRPr="00BF2102">
        <w:rPr>
          <w:rFonts w:cs="Open Sans"/>
        </w:rPr>
        <w:t xml:space="preserve">that </w:t>
      </w:r>
      <w:r w:rsidR="00386690" w:rsidRPr="00BF2102">
        <w:rPr>
          <w:rFonts w:cs="Open Sans"/>
        </w:rPr>
        <w:t>s 3</w:t>
      </w:r>
      <w:r w:rsidR="009327E1" w:rsidRPr="00BF2102">
        <w:rPr>
          <w:rFonts w:cs="Open Sans"/>
        </w:rPr>
        <w:t>3</w:t>
      </w:r>
      <w:r w:rsidR="00386690" w:rsidRPr="00BF2102">
        <w:rPr>
          <w:rFonts w:cs="Open Sans"/>
        </w:rPr>
        <w:t xml:space="preserve">AA </w:t>
      </w:r>
      <w:r w:rsidR="004E1125" w:rsidRPr="00BF2102">
        <w:rPr>
          <w:rFonts w:cs="Open Sans"/>
        </w:rPr>
        <w:t xml:space="preserve">and 35 </w:t>
      </w:r>
      <w:r w:rsidR="00386690" w:rsidRPr="00BF2102">
        <w:rPr>
          <w:rFonts w:cs="Open Sans"/>
        </w:rPr>
        <w:t xml:space="preserve">should be amended to ensure that a person who is at risk of losing their citizenship as a result of engaging in the proscribed conduct is </w:t>
      </w:r>
      <w:r w:rsidR="005A1851" w:rsidRPr="00BF2102">
        <w:rPr>
          <w:rFonts w:cs="Open Sans"/>
        </w:rPr>
        <w:t xml:space="preserve">provided with the same </w:t>
      </w:r>
      <w:r w:rsidR="009A74B4" w:rsidRPr="00BF2102">
        <w:rPr>
          <w:rFonts w:cs="Open Sans"/>
        </w:rPr>
        <w:t xml:space="preserve">or strengthened </w:t>
      </w:r>
      <w:r w:rsidR="005A1851" w:rsidRPr="00BF2102">
        <w:rPr>
          <w:rFonts w:cs="Open Sans"/>
        </w:rPr>
        <w:t>procedural safeguards that apply to the conviction</w:t>
      </w:r>
      <w:r w:rsidR="00C82F18" w:rsidRPr="00BF2102">
        <w:rPr>
          <w:rFonts w:cs="Open Sans"/>
        </w:rPr>
        <w:t>-</w:t>
      </w:r>
      <w:r w:rsidR="005A1851" w:rsidRPr="00BF2102">
        <w:rPr>
          <w:rFonts w:cs="Open Sans"/>
        </w:rPr>
        <w:t>based citizenship loss provisions.</w:t>
      </w:r>
      <w:r w:rsidR="00DA2762" w:rsidRPr="00BF2102">
        <w:rPr>
          <w:rFonts w:cs="Open Sans"/>
        </w:rPr>
        <w:t xml:space="preserve"> </w:t>
      </w:r>
    </w:p>
    <w:p w14:paraId="439CBC8C" w14:textId="48A8A0E8" w:rsidR="00C304AB" w:rsidRPr="00BF2102" w:rsidRDefault="005A1851" w:rsidP="00310D03">
      <w:pPr>
        <w:pStyle w:val="ListNumber"/>
        <w:numPr>
          <w:ilvl w:val="0"/>
          <w:numId w:val="15"/>
        </w:numPr>
        <w:tabs>
          <w:tab w:val="num" w:pos="993"/>
          <w:tab w:val="left" w:pos="1418"/>
        </w:tabs>
        <w:ind w:left="709" w:hanging="567"/>
        <w:rPr>
          <w:rFonts w:cs="Open Sans"/>
        </w:rPr>
      </w:pPr>
      <w:r w:rsidRPr="00BF2102">
        <w:rPr>
          <w:rFonts w:cs="Open Sans"/>
        </w:rPr>
        <w:t xml:space="preserve">This includes a positive decision by a decision maker that </w:t>
      </w:r>
      <w:proofErr w:type="gramStart"/>
      <w:r w:rsidRPr="00BF2102">
        <w:rPr>
          <w:rFonts w:cs="Open Sans"/>
        </w:rPr>
        <w:t>takes into account</w:t>
      </w:r>
      <w:proofErr w:type="gramEnd"/>
      <w:r w:rsidRPr="00BF2102">
        <w:rPr>
          <w:rFonts w:cs="Open Sans"/>
        </w:rPr>
        <w:t xml:space="preserve"> relevant considerations, requirements on the decision maker to </w:t>
      </w:r>
      <w:r w:rsidR="00386690" w:rsidRPr="00BF2102">
        <w:rPr>
          <w:rFonts w:cs="Open Sans"/>
        </w:rPr>
        <w:t>afford procedural fairness</w:t>
      </w:r>
      <w:r w:rsidRPr="00BF2102">
        <w:rPr>
          <w:rFonts w:cs="Open Sans"/>
        </w:rPr>
        <w:t xml:space="preserve"> and provide reasons for decisions, </w:t>
      </w:r>
      <w:r w:rsidR="009A74B4" w:rsidRPr="00BF2102">
        <w:rPr>
          <w:rFonts w:cs="Open Sans"/>
        </w:rPr>
        <w:t xml:space="preserve">a higher threshold to displace the giving of a notice, </w:t>
      </w:r>
      <w:r w:rsidRPr="00BF2102">
        <w:rPr>
          <w:rFonts w:cs="Open Sans"/>
        </w:rPr>
        <w:t>and avenues to have those decisions subject to appropriate review</w:t>
      </w:r>
      <w:r w:rsidR="00386690" w:rsidRPr="00BF2102">
        <w:rPr>
          <w:rFonts w:cs="Open Sans"/>
        </w:rPr>
        <w:t xml:space="preserve">. </w:t>
      </w:r>
    </w:p>
    <w:p w14:paraId="5E42A338" w14:textId="00277B92" w:rsidR="00546310" w:rsidRPr="00BF2102" w:rsidRDefault="00A84AE3"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considers that the </w:t>
      </w:r>
      <w:r w:rsidR="00386690" w:rsidRPr="00BF2102">
        <w:rPr>
          <w:rFonts w:cs="Open Sans"/>
        </w:rPr>
        <w:t xml:space="preserve">current </w:t>
      </w:r>
      <w:r w:rsidRPr="00BF2102">
        <w:rPr>
          <w:rFonts w:cs="Open Sans"/>
        </w:rPr>
        <w:t xml:space="preserve">legislative safeguards </w:t>
      </w:r>
      <w:r w:rsidR="00386690" w:rsidRPr="00BF2102">
        <w:rPr>
          <w:rFonts w:cs="Open Sans"/>
        </w:rPr>
        <w:t xml:space="preserve">in the conduct-based </w:t>
      </w:r>
      <w:r w:rsidRPr="00BF2102">
        <w:rPr>
          <w:rFonts w:cs="Open Sans"/>
        </w:rPr>
        <w:t xml:space="preserve">citizenship </w:t>
      </w:r>
      <w:r w:rsidR="00386690" w:rsidRPr="00BF2102">
        <w:rPr>
          <w:rFonts w:cs="Open Sans"/>
        </w:rPr>
        <w:t xml:space="preserve">loss provisions </w:t>
      </w:r>
      <w:r w:rsidRPr="00BF2102">
        <w:rPr>
          <w:rFonts w:cs="Open Sans"/>
        </w:rPr>
        <w:t>are i</w:t>
      </w:r>
      <w:r w:rsidR="00F2380D" w:rsidRPr="00BF2102">
        <w:rPr>
          <w:rFonts w:cs="Open Sans"/>
        </w:rPr>
        <w:t>nadequate to protect individual rights and ensure</w:t>
      </w:r>
      <w:r w:rsidR="00505D9F" w:rsidRPr="00BF2102">
        <w:rPr>
          <w:rFonts w:cs="Open Sans"/>
        </w:rPr>
        <w:t xml:space="preserve"> that</w:t>
      </w:r>
      <w:r w:rsidR="00F2380D" w:rsidRPr="00BF2102">
        <w:rPr>
          <w:rFonts w:cs="Open Sans"/>
        </w:rPr>
        <w:t xml:space="preserve"> correct, fair and just </w:t>
      </w:r>
      <w:r w:rsidRPr="00BF2102">
        <w:rPr>
          <w:rFonts w:cs="Open Sans"/>
        </w:rPr>
        <w:t>outcomes</w:t>
      </w:r>
      <w:r w:rsidR="00505D9F" w:rsidRPr="00BF2102">
        <w:rPr>
          <w:rFonts w:cs="Open Sans"/>
        </w:rPr>
        <w:t xml:space="preserve"> are reached</w:t>
      </w:r>
      <w:r w:rsidR="00F2380D" w:rsidRPr="00BF2102">
        <w:rPr>
          <w:rFonts w:cs="Open Sans"/>
        </w:rPr>
        <w:t xml:space="preserve">, especially in light of the harsh consequences. </w:t>
      </w:r>
    </w:p>
    <w:p w14:paraId="3ADE4C6C" w14:textId="5F59F499" w:rsidR="00A84AE3" w:rsidRPr="00BF2102" w:rsidRDefault="00C82F18" w:rsidP="00310D03">
      <w:pPr>
        <w:pStyle w:val="ListNumber"/>
        <w:numPr>
          <w:ilvl w:val="0"/>
          <w:numId w:val="15"/>
        </w:numPr>
        <w:tabs>
          <w:tab w:val="num" w:pos="993"/>
          <w:tab w:val="left" w:pos="1418"/>
        </w:tabs>
        <w:ind w:left="709" w:hanging="567"/>
        <w:rPr>
          <w:rFonts w:cs="Open Sans"/>
        </w:rPr>
      </w:pPr>
      <w:r w:rsidRPr="00BF2102">
        <w:rPr>
          <w:rFonts w:cs="Open Sans"/>
        </w:rPr>
        <w:t>The most significant of the</w:t>
      </w:r>
      <w:r w:rsidR="009327E1" w:rsidRPr="00BF2102">
        <w:rPr>
          <w:rFonts w:cs="Open Sans"/>
        </w:rPr>
        <w:t xml:space="preserve"> current</w:t>
      </w:r>
      <w:r w:rsidRPr="00BF2102">
        <w:rPr>
          <w:rFonts w:cs="Open Sans"/>
        </w:rPr>
        <w:t xml:space="preserve"> safeguards is t</w:t>
      </w:r>
      <w:r w:rsidR="00A84AE3" w:rsidRPr="00BF2102">
        <w:rPr>
          <w:rFonts w:cs="Open Sans"/>
        </w:rPr>
        <w:t>he Minister’s personal, non-compellable</w:t>
      </w:r>
      <w:r w:rsidR="00B11F59" w:rsidRPr="00BF2102">
        <w:rPr>
          <w:rFonts w:cs="Open Sans"/>
        </w:rPr>
        <w:t>,</w:t>
      </w:r>
      <w:r w:rsidR="00A84AE3" w:rsidRPr="00BF2102">
        <w:rPr>
          <w:rFonts w:cs="Open Sans"/>
        </w:rPr>
        <w:t xml:space="preserve"> discretionary power to exempt individuals from the operation of automatic cessation</w:t>
      </w:r>
      <w:r w:rsidR="000A5B2A" w:rsidRPr="00BF2102">
        <w:rPr>
          <w:rFonts w:cs="Open Sans"/>
        </w:rPr>
        <w:t xml:space="preserve"> of citizenship,</w:t>
      </w:r>
      <w:r w:rsidR="00546310" w:rsidRPr="00BF2102">
        <w:rPr>
          <w:rFonts w:cs="Open Sans"/>
        </w:rPr>
        <w:t xml:space="preserve"> </w:t>
      </w:r>
      <w:r w:rsidR="00157352" w:rsidRPr="00BF2102">
        <w:rPr>
          <w:rFonts w:cs="Open Sans"/>
        </w:rPr>
        <w:t xml:space="preserve">by determination made </w:t>
      </w:r>
      <w:r w:rsidR="00546310" w:rsidRPr="00BF2102">
        <w:rPr>
          <w:rFonts w:cs="Open Sans"/>
        </w:rPr>
        <w:t xml:space="preserve">under </w:t>
      </w:r>
      <w:r w:rsidR="00157352" w:rsidRPr="00BF2102">
        <w:rPr>
          <w:rFonts w:cs="Open Sans"/>
        </w:rPr>
        <w:t>ss 33</w:t>
      </w:r>
      <w:proofErr w:type="gramStart"/>
      <w:r w:rsidR="00157352" w:rsidRPr="00BF2102">
        <w:rPr>
          <w:rFonts w:cs="Open Sans"/>
        </w:rPr>
        <w:t>AA(</w:t>
      </w:r>
      <w:proofErr w:type="gramEnd"/>
      <w:r w:rsidR="00157352" w:rsidRPr="00BF2102">
        <w:rPr>
          <w:rFonts w:cs="Open Sans"/>
        </w:rPr>
        <w:t xml:space="preserve">14) </w:t>
      </w:r>
      <w:r w:rsidR="000A5B2A" w:rsidRPr="00BF2102">
        <w:rPr>
          <w:rFonts w:cs="Open Sans"/>
        </w:rPr>
        <w:t xml:space="preserve">or </w:t>
      </w:r>
      <w:r w:rsidR="00157352" w:rsidRPr="00BF2102">
        <w:rPr>
          <w:rFonts w:cs="Open Sans"/>
        </w:rPr>
        <w:t>35(9)</w:t>
      </w:r>
      <w:r w:rsidRPr="00BF2102">
        <w:rPr>
          <w:rFonts w:cs="Open Sans"/>
        </w:rPr>
        <w:t>. However, the current protections are inadequate</w:t>
      </w:r>
      <w:r w:rsidR="00A84AE3" w:rsidRPr="00BF2102">
        <w:rPr>
          <w:rFonts w:cs="Open Sans"/>
        </w:rPr>
        <w:t xml:space="preserve"> for a number of reasons:</w:t>
      </w:r>
    </w:p>
    <w:p w14:paraId="3542B431" w14:textId="793D3A03" w:rsidR="00F45448" w:rsidRPr="00BF2102" w:rsidRDefault="00F45448" w:rsidP="00310D03">
      <w:pPr>
        <w:pStyle w:val="ListParagraph"/>
        <w:numPr>
          <w:ilvl w:val="0"/>
          <w:numId w:val="31"/>
        </w:numPr>
        <w:spacing w:before="120" w:after="120"/>
        <w:rPr>
          <w:rFonts w:cs="Open Sans"/>
        </w:rPr>
      </w:pPr>
      <w:r w:rsidRPr="00BF2102">
        <w:rPr>
          <w:rFonts w:cs="Open Sans"/>
        </w:rPr>
        <w:t xml:space="preserve">there is no decision by </w:t>
      </w:r>
      <w:r w:rsidR="009327E1" w:rsidRPr="00BF2102">
        <w:rPr>
          <w:rFonts w:cs="Open Sans"/>
        </w:rPr>
        <w:t>an officer of the Commonwealth</w:t>
      </w:r>
      <w:r w:rsidRPr="00BF2102">
        <w:rPr>
          <w:rFonts w:cs="Open Sans"/>
        </w:rPr>
        <w:t xml:space="preserve"> that the person’s citizenship should cease, and there is therefore no requirement for reasons or the possibility of merits review of a ‘decision’ to remove citizenship</w:t>
      </w:r>
    </w:p>
    <w:p w14:paraId="5844FA7B" w14:textId="71CE394A" w:rsidR="009A74B4" w:rsidRPr="00BF2102" w:rsidRDefault="004437DD" w:rsidP="00310D03">
      <w:pPr>
        <w:pStyle w:val="ListParagraph"/>
        <w:numPr>
          <w:ilvl w:val="0"/>
          <w:numId w:val="31"/>
        </w:numPr>
        <w:spacing w:before="120" w:after="120"/>
        <w:rPr>
          <w:rFonts w:cs="Open Sans"/>
        </w:rPr>
      </w:pPr>
      <w:r w:rsidRPr="00BF2102">
        <w:rPr>
          <w:rFonts w:cs="Open Sans"/>
        </w:rPr>
        <w:t xml:space="preserve">there is a requirement to notify a person that </w:t>
      </w:r>
      <w:r w:rsidR="00E65FFC" w:rsidRPr="00BF2102">
        <w:rPr>
          <w:rFonts w:cs="Open Sans"/>
        </w:rPr>
        <w:t xml:space="preserve">a </w:t>
      </w:r>
      <w:r w:rsidRPr="00BF2102">
        <w:rPr>
          <w:rFonts w:cs="Open Sans"/>
        </w:rPr>
        <w:t xml:space="preserve">relevant section applies to them </w:t>
      </w:r>
      <w:r w:rsidR="009A74B4" w:rsidRPr="00BF2102">
        <w:rPr>
          <w:rFonts w:cs="Open Sans"/>
        </w:rPr>
        <w:t>and the</w:t>
      </w:r>
      <w:r w:rsidR="00821B90" w:rsidRPr="00BF2102">
        <w:rPr>
          <w:rFonts w:cs="Open Sans"/>
        </w:rPr>
        <w:t xml:space="preserve">refore that their </w:t>
      </w:r>
      <w:r w:rsidR="009A74B4" w:rsidRPr="00BF2102">
        <w:rPr>
          <w:rFonts w:cs="Open Sans"/>
        </w:rPr>
        <w:t xml:space="preserve">citizenship has </w:t>
      </w:r>
      <w:r w:rsidR="00821B90" w:rsidRPr="00BF2102">
        <w:rPr>
          <w:rFonts w:cs="Open Sans"/>
        </w:rPr>
        <w:t>been lost</w:t>
      </w:r>
      <w:r w:rsidR="009A74B4" w:rsidRPr="00BF2102">
        <w:rPr>
          <w:rFonts w:cs="Open Sans"/>
        </w:rPr>
        <w:t xml:space="preserve">, </w:t>
      </w:r>
      <w:r w:rsidR="00E65FFC" w:rsidRPr="00BF2102">
        <w:rPr>
          <w:rFonts w:cs="Open Sans"/>
        </w:rPr>
        <w:t xml:space="preserve">but </w:t>
      </w:r>
      <w:r w:rsidR="009A74B4" w:rsidRPr="00BF2102">
        <w:rPr>
          <w:rFonts w:cs="Open Sans"/>
        </w:rPr>
        <w:t xml:space="preserve">no notice has to be given if the Minister is satisfied that giving the notice </w:t>
      </w:r>
      <w:r w:rsidR="002F5623" w:rsidRPr="00BF2102">
        <w:rPr>
          <w:rFonts w:cs="Open Sans"/>
          <w:i/>
          <w:iCs/>
        </w:rPr>
        <w:t>c</w:t>
      </w:r>
      <w:r w:rsidRPr="00BF2102">
        <w:rPr>
          <w:rFonts w:cs="Open Sans"/>
          <w:i/>
          <w:iCs/>
        </w:rPr>
        <w:t>ould</w:t>
      </w:r>
      <w:r w:rsidRPr="00BF2102">
        <w:rPr>
          <w:rFonts w:cs="Open Sans"/>
        </w:rPr>
        <w:t xml:space="preserve"> prejudice national security</w:t>
      </w:r>
      <w:r w:rsidR="004C070A" w:rsidRPr="00BF2102">
        <w:rPr>
          <w:rFonts w:cs="Open Sans"/>
        </w:rPr>
        <w:t xml:space="preserve"> </w:t>
      </w:r>
      <w:r w:rsidR="00CD4B90" w:rsidRPr="00BF2102">
        <w:rPr>
          <w:rFonts w:cs="Open Sans"/>
        </w:rPr>
        <w:t>or other interests</w:t>
      </w:r>
    </w:p>
    <w:p w14:paraId="177F8295" w14:textId="0F78AD98" w:rsidR="004437DD" w:rsidRPr="00BF2102" w:rsidRDefault="004437DD" w:rsidP="00310D03">
      <w:pPr>
        <w:pStyle w:val="ListParagraph"/>
        <w:numPr>
          <w:ilvl w:val="0"/>
          <w:numId w:val="31"/>
        </w:numPr>
        <w:spacing w:before="120" w:after="120"/>
        <w:rPr>
          <w:rFonts w:cs="Open Sans"/>
        </w:rPr>
      </w:pPr>
      <w:r w:rsidRPr="00BF2102">
        <w:rPr>
          <w:rFonts w:cs="Open Sans"/>
        </w:rPr>
        <w:lastRenderedPageBreak/>
        <w:t>there is</w:t>
      </w:r>
      <w:r w:rsidR="009A74B4" w:rsidRPr="00BF2102">
        <w:rPr>
          <w:rFonts w:cs="Open Sans"/>
        </w:rPr>
        <w:t xml:space="preserve"> also</w:t>
      </w:r>
      <w:r w:rsidRPr="00BF2102">
        <w:rPr>
          <w:rFonts w:cs="Open Sans"/>
        </w:rPr>
        <w:t xml:space="preserve"> no requirement for </w:t>
      </w:r>
      <w:r w:rsidR="009A74B4" w:rsidRPr="00BF2102">
        <w:rPr>
          <w:rFonts w:cs="Open Sans"/>
        </w:rPr>
        <w:t xml:space="preserve">any </w:t>
      </w:r>
      <w:r w:rsidRPr="00BF2102">
        <w:rPr>
          <w:rFonts w:cs="Open Sans"/>
        </w:rPr>
        <w:t xml:space="preserve">notice to set out </w:t>
      </w:r>
      <w:r w:rsidR="00F45448" w:rsidRPr="00BF2102">
        <w:rPr>
          <w:rFonts w:cs="Open Sans"/>
        </w:rPr>
        <w:t>any</w:t>
      </w:r>
      <w:r w:rsidR="009A74B4" w:rsidRPr="00BF2102">
        <w:rPr>
          <w:rFonts w:cs="Open Sans"/>
        </w:rPr>
        <w:t>thing</w:t>
      </w:r>
      <w:r w:rsidR="00F45448" w:rsidRPr="00BF2102">
        <w:rPr>
          <w:rFonts w:cs="Open Sans"/>
        </w:rPr>
        <w:t xml:space="preserve"> more than a ‘basic description’ of the relevant conduct</w:t>
      </w:r>
    </w:p>
    <w:p w14:paraId="7DCB5535" w14:textId="41D9D8C6" w:rsidR="00F45448" w:rsidRPr="00BF2102" w:rsidRDefault="00F45448" w:rsidP="00310D03">
      <w:pPr>
        <w:pStyle w:val="ListParagraph"/>
        <w:numPr>
          <w:ilvl w:val="0"/>
          <w:numId w:val="31"/>
        </w:numPr>
        <w:spacing w:before="120" w:after="120"/>
        <w:rPr>
          <w:rFonts w:cs="Open Sans"/>
        </w:rPr>
      </w:pPr>
      <w:r w:rsidRPr="00BF2102">
        <w:rPr>
          <w:rFonts w:cs="Open Sans"/>
        </w:rPr>
        <w:t>there is no opportunity for a person affected to make submissions to the Minister in favour of the exercise of the Minister’s discretionary power to rescind the notice and exempt the person from the operation of the relevant section</w:t>
      </w:r>
      <w:r w:rsidR="004F3F20" w:rsidRPr="00BF2102">
        <w:rPr>
          <w:rFonts w:cs="Open Sans"/>
        </w:rPr>
        <w:t xml:space="preserve"> unless the Minister decides to consider exercising this power</w:t>
      </w:r>
    </w:p>
    <w:p w14:paraId="7D268C45" w14:textId="6062E621" w:rsidR="00A84AE3" w:rsidRPr="00BF2102" w:rsidRDefault="00A84AE3" w:rsidP="00310D03">
      <w:pPr>
        <w:pStyle w:val="ListParagraph"/>
        <w:numPr>
          <w:ilvl w:val="0"/>
          <w:numId w:val="31"/>
        </w:numPr>
        <w:spacing w:before="120" w:after="120"/>
        <w:rPr>
          <w:rFonts w:cs="Open Sans"/>
        </w:rPr>
      </w:pPr>
      <w:r w:rsidRPr="00BF2102">
        <w:rPr>
          <w:rFonts w:cs="Open Sans"/>
        </w:rPr>
        <w:t xml:space="preserve">the Minister is not required to consider exercising </w:t>
      </w:r>
      <w:r w:rsidR="00F45448" w:rsidRPr="00BF2102">
        <w:rPr>
          <w:rFonts w:cs="Open Sans"/>
        </w:rPr>
        <w:t xml:space="preserve">this </w:t>
      </w:r>
      <w:r w:rsidR="00973D11" w:rsidRPr="00BF2102">
        <w:rPr>
          <w:rFonts w:cs="Open Sans"/>
        </w:rPr>
        <w:t>discretionary power</w:t>
      </w:r>
      <w:r w:rsidRPr="00BF2102">
        <w:rPr>
          <w:rFonts w:cs="Open Sans"/>
        </w:rPr>
        <w:t>, regardless of the merits of a particular case</w:t>
      </w:r>
    </w:p>
    <w:p w14:paraId="76201E23" w14:textId="468BAA58" w:rsidR="00741446" w:rsidRPr="00BF2102" w:rsidRDefault="00741446" w:rsidP="00310D03">
      <w:pPr>
        <w:pStyle w:val="ListParagraph"/>
        <w:numPr>
          <w:ilvl w:val="0"/>
          <w:numId w:val="31"/>
        </w:numPr>
        <w:spacing w:before="120" w:after="120"/>
        <w:rPr>
          <w:rFonts w:cs="Open Sans"/>
        </w:rPr>
      </w:pPr>
      <w:r w:rsidRPr="00BF2102">
        <w:rPr>
          <w:rFonts w:cs="Open Sans"/>
        </w:rPr>
        <w:t xml:space="preserve">there is no possibility of judicial review of a decision of the Minister not to consider exercising </w:t>
      </w:r>
      <w:r w:rsidR="00B823BE" w:rsidRPr="00BF2102">
        <w:rPr>
          <w:rFonts w:cs="Open Sans"/>
        </w:rPr>
        <w:t>this discretionary</w:t>
      </w:r>
      <w:r w:rsidRPr="00BF2102">
        <w:rPr>
          <w:rFonts w:cs="Open Sans"/>
        </w:rPr>
        <w:t xml:space="preserve"> power, because there is no duty that can be enforced</w:t>
      </w:r>
    </w:p>
    <w:p w14:paraId="7DA83FE1" w14:textId="1D90924A" w:rsidR="00546310" w:rsidRPr="00BF2102" w:rsidRDefault="00546310" w:rsidP="00310D03">
      <w:pPr>
        <w:pStyle w:val="ListParagraph"/>
        <w:numPr>
          <w:ilvl w:val="0"/>
          <w:numId w:val="31"/>
        </w:numPr>
        <w:spacing w:before="120" w:after="120"/>
        <w:rPr>
          <w:rFonts w:cs="Open Sans"/>
        </w:rPr>
      </w:pPr>
      <w:r w:rsidRPr="00BF2102">
        <w:rPr>
          <w:rFonts w:cs="Open Sans"/>
        </w:rPr>
        <w:t xml:space="preserve">natural justice only applies </w:t>
      </w:r>
      <w:r w:rsidR="002177DC" w:rsidRPr="00BF2102">
        <w:rPr>
          <w:rFonts w:cs="Open Sans"/>
        </w:rPr>
        <w:t xml:space="preserve">if the Minister decides to consider exercising the </w:t>
      </w:r>
      <w:r w:rsidR="00B823BE" w:rsidRPr="00BF2102">
        <w:rPr>
          <w:rFonts w:cs="Open Sans"/>
        </w:rPr>
        <w:t xml:space="preserve">discretionary </w:t>
      </w:r>
      <w:r w:rsidR="002177DC" w:rsidRPr="00BF2102">
        <w:rPr>
          <w:rFonts w:cs="Open Sans"/>
        </w:rPr>
        <w:t xml:space="preserve">power </w:t>
      </w:r>
    </w:p>
    <w:p w14:paraId="1DA8A0D5" w14:textId="500A66C7" w:rsidR="00973D11" w:rsidRPr="00BF2102" w:rsidRDefault="003F4DE3" w:rsidP="00310D03">
      <w:pPr>
        <w:pStyle w:val="ListParagraph"/>
        <w:numPr>
          <w:ilvl w:val="0"/>
          <w:numId w:val="31"/>
        </w:numPr>
        <w:spacing w:before="120" w:after="120"/>
        <w:rPr>
          <w:rFonts w:cs="Open Sans"/>
        </w:rPr>
      </w:pPr>
      <w:r w:rsidRPr="00BF2102">
        <w:rPr>
          <w:rFonts w:cs="Open Sans"/>
        </w:rPr>
        <w:t xml:space="preserve">if the Minister decides to consider exercising the </w:t>
      </w:r>
      <w:r w:rsidR="00B823BE" w:rsidRPr="00BF2102">
        <w:rPr>
          <w:rFonts w:cs="Open Sans"/>
        </w:rPr>
        <w:t xml:space="preserve">discretionary </w:t>
      </w:r>
      <w:r w:rsidRPr="00BF2102">
        <w:rPr>
          <w:rFonts w:cs="Open Sans"/>
        </w:rPr>
        <w:t xml:space="preserve">power </w:t>
      </w:r>
      <w:r w:rsidR="00A84AE3" w:rsidRPr="00BF2102">
        <w:rPr>
          <w:rFonts w:cs="Open Sans"/>
        </w:rPr>
        <w:t xml:space="preserve">any determination </w:t>
      </w:r>
      <w:r w:rsidR="004501CD" w:rsidRPr="00BF2102">
        <w:rPr>
          <w:rFonts w:cs="Open Sans"/>
        </w:rPr>
        <w:t xml:space="preserve">by </w:t>
      </w:r>
      <w:r w:rsidR="00A84AE3" w:rsidRPr="00BF2102">
        <w:rPr>
          <w:rFonts w:cs="Open Sans"/>
        </w:rPr>
        <w:t xml:space="preserve">the Minister </w:t>
      </w:r>
      <w:r w:rsidR="004501CD" w:rsidRPr="00BF2102">
        <w:rPr>
          <w:rFonts w:cs="Open Sans"/>
        </w:rPr>
        <w:t xml:space="preserve">not to exercise that power </w:t>
      </w:r>
      <w:r w:rsidR="00A84AE3" w:rsidRPr="00BF2102">
        <w:rPr>
          <w:rFonts w:cs="Open Sans"/>
        </w:rPr>
        <w:t xml:space="preserve">is not amenable to merits review </w:t>
      </w:r>
    </w:p>
    <w:p w14:paraId="27E579BA" w14:textId="311452DA" w:rsidR="00A84AE3" w:rsidRPr="00BF2102" w:rsidRDefault="00973D11" w:rsidP="00310D03">
      <w:pPr>
        <w:pStyle w:val="ListParagraph"/>
        <w:numPr>
          <w:ilvl w:val="0"/>
          <w:numId w:val="31"/>
        </w:numPr>
        <w:spacing w:before="120" w:after="120"/>
        <w:rPr>
          <w:rFonts w:cs="Open Sans"/>
        </w:rPr>
      </w:pPr>
      <w:r w:rsidRPr="00BF2102">
        <w:rPr>
          <w:rFonts w:cs="Open Sans"/>
        </w:rPr>
        <w:t>any opportunity for judicial review</w:t>
      </w:r>
      <w:r w:rsidR="00505D9F" w:rsidRPr="00BF2102">
        <w:rPr>
          <w:rFonts w:cs="Open Sans"/>
        </w:rPr>
        <w:t xml:space="preserve"> of a determination </w:t>
      </w:r>
      <w:r w:rsidR="00A56D37" w:rsidRPr="00BF2102">
        <w:rPr>
          <w:rFonts w:cs="Open Sans"/>
        </w:rPr>
        <w:t xml:space="preserve">not to exercise the relevant power (following a decision to consider exercising the power) </w:t>
      </w:r>
      <w:r w:rsidRPr="00BF2102">
        <w:rPr>
          <w:rFonts w:cs="Open Sans"/>
        </w:rPr>
        <w:t>will be extremely limited</w:t>
      </w:r>
      <w:r w:rsidR="00A84AE3" w:rsidRPr="00BF2102">
        <w:rPr>
          <w:rFonts w:cs="Open Sans"/>
        </w:rPr>
        <w:t>.</w:t>
      </w:r>
      <w:r w:rsidR="00DA2762" w:rsidRPr="00BF2102">
        <w:rPr>
          <w:rFonts w:cs="Open Sans"/>
        </w:rPr>
        <w:t xml:space="preserve"> </w:t>
      </w:r>
    </w:p>
    <w:p w14:paraId="69CA0A87" w14:textId="23016BDA" w:rsidR="00505D9F" w:rsidRPr="00BF2102" w:rsidRDefault="002309AB" w:rsidP="00310D03">
      <w:pPr>
        <w:pStyle w:val="ListNumber"/>
        <w:numPr>
          <w:ilvl w:val="0"/>
          <w:numId w:val="15"/>
        </w:numPr>
        <w:tabs>
          <w:tab w:val="num" w:pos="993"/>
          <w:tab w:val="left" w:pos="1418"/>
        </w:tabs>
        <w:ind w:left="709" w:hanging="567"/>
        <w:rPr>
          <w:rFonts w:cs="Open Sans"/>
        </w:rPr>
      </w:pPr>
      <w:r w:rsidRPr="00BF2102">
        <w:rPr>
          <w:rFonts w:cs="Open Sans"/>
        </w:rPr>
        <w:t>The combined effect of this process is that</w:t>
      </w:r>
      <w:r w:rsidR="00F40A3A" w:rsidRPr="00BF2102">
        <w:rPr>
          <w:rFonts w:cs="Open Sans"/>
        </w:rPr>
        <w:t>:</w:t>
      </w:r>
      <w:r w:rsidR="00505D9F" w:rsidRPr="00BF2102">
        <w:rPr>
          <w:rFonts w:cs="Open Sans"/>
        </w:rPr>
        <w:t xml:space="preserve"> a </w:t>
      </w:r>
      <w:r w:rsidR="001B43AF" w:rsidRPr="00BF2102">
        <w:rPr>
          <w:rFonts w:cs="Open Sans"/>
        </w:rPr>
        <w:t xml:space="preserve">person could lose their citizenship </w:t>
      </w:r>
      <w:r w:rsidR="00505D9F" w:rsidRPr="00BF2102">
        <w:rPr>
          <w:rFonts w:cs="Open Sans"/>
        </w:rPr>
        <w:t>automatic</w:t>
      </w:r>
      <w:r w:rsidR="001B43AF" w:rsidRPr="00BF2102">
        <w:rPr>
          <w:rFonts w:cs="Open Sans"/>
        </w:rPr>
        <w:t>ally</w:t>
      </w:r>
      <w:r w:rsidR="00505D9F" w:rsidRPr="00BF2102">
        <w:rPr>
          <w:rFonts w:cs="Open Sans"/>
        </w:rPr>
        <w:t>, the</w:t>
      </w:r>
      <w:r w:rsidR="001B43AF" w:rsidRPr="00BF2102">
        <w:rPr>
          <w:rFonts w:cs="Open Sans"/>
        </w:rPr>
        <w:t>y may</w:t>
      </w:r>
      <w:r w:rsidR="00505D9F" w:rsidRPr="00BF2102">
        <w:rPr>
          <w:rFonts w:cs="Open Sans"/>
        </w:rPr>
        <w:t xml:space="preserve"> </w:t>
      </w:r>
      <w:r w:rsidR="0007444D" w:rsidRPr="00BF2102">
        <w:rPr>
          <w:rFonts w:cs="Open Sans"/>
        </w:rPr>
        <w:t xml:space="preserve">not </w:t>
      </w:r>
      <w:r w:rsidR="00505D9F" w:rsidRPr="00BF2102">
        <w:rPr>
          <w:rFonts w:cs="Open Sans"/>
        </w:rPr>
        <w:t xml:space="preserve">be notified because of an exemption to notification, even if </w:t>
      </w:r>
      <w:r w:rsidR="001B43AF" w:rsidRPr="00BF2102">
        <w:rPr>
          <w:rFonts w:cs="Open Sans"/>
        </w:rPr>
        <w:t xml:space="preserve">they are </w:t>
      </w:r>
      <w:r w:rsidR="00505D9F" w:rsidRPr="00BF2102">
        <w:rPr>
          <w:rFonts w:cs="Open Sans"/>
        </w:rPr>
        <w:t xml:space="preserve">notified they </w:t>
      </w:r>
      <w:r w:rsidR="001B43AF" w:rsidRPr="00BF2102">
        <w:rPr>
          <w:rFonts w:cs="Open Sans"/>
        </w:rPr>
        <w:t xml:space="preserve">may </w:t>
      </w:r>
      <w:r w:rsidR="00505D9F" w:rsidRPr="00BF2102">
        <w:rPr>
          <w:rFonts w:cs="Open Sans"/>
        </w:rPr>
        <w:t xml:space="preserve">not be provided with </w:t>
      </w:r>
      <w:r w:rsidR="001B43AF" w:rsidRPr="00BF2102">
        <w:rPr>
          <w:rFonts w:cs="Open Sans"/>
        </w:rPr>
        <w:t xml:space="preserve">more than ‘a basic description’ of the relevant conduct, </w:t>
      </w:r>
      <w:r w:rsidR="0007444D" w:rsidRPr="00BF2102">
        <w:rPr>
          <w:rFonts w:cs="Open Sans"/>
        </w:rPr>
        <w:t xml:space="preserve">and </w:t>
      </w:r>
      <w:r w:rsidR="001B43AF" w:rsidRPr="00BF2102">
        <w:rPr>
          <w:rFonts w:cs="Open Sans"/>
        </w:rPr>
        <w:t xml:space="preserve">they would not be given </w:t>
      </w:r>
      <w:r w:rsidR="00505D9F" w:rsidRPr="00BF2102">
        <w:rPr>
          <w:rFonts w:cs="Open Sans"/>
        </w:rPr>
        <w:t xml:space="preserve">the opportunity </w:t>
      </w:r>
      <w:r w:rsidR="00CF2EC7" w:rsidRPr="00BF2102">
        <w:rPr>
          <w:rFonts w:cs="Open Sans"/>
        </w:rPr>
        <w:t xml:space="preserve">to </w:t>
      </w:r>
      <w:r w:rsidR="00505D9F" w:rsidRPr="00BF2102">
        <w:rPr>
          <w:rFonts w:cs="Open Sans"/>
        </w:rPr>
        <w:t>make submissions o</w:t>
      </w:r>
      <w:r w:rsidR="0007444D" w:rsidRPr="00BF2102">
        <w:rPr>
          <w:rFonts w:cs="Open Sans"/>
        </w:rPr>
        <w:t>r</w:t>
      </w:r>
      <w:r w:rsidR="00505D9F" w:rsidRPr="00BF2102">
        <w:rPr>
          <w:rFonts w:cs="Open Sans"/>
        </w:rPr>
        <w:t xml:space="preserve"> respond to adverse allegations</w:t>
      </w:r>
      <w:r w:rsidR="001B43AF" w:rsidRPr="00BF2102">
        <w:rPr>
          <w:rFonts w:cs="Open Sans"/>
        </w:rPr>
        <w:t xml:space="preserve"> prior to their citizenship being lost</w:t>
      </w:r>
      <w:r w:rsidR="00505D9F" w:rsidRPr="00BF2102">
        <w:rPr>
          <w:rFonts w:cs="Open Sans"/>
        </w:rPr>
        <w:t xml:space="preserve">. </w:t>
      </w:r>
    </w:p>
    <w:p w14:paraId="036FF745" w14:textId="1F6931F6" w:rsidR="004849AD" w:rsidRPr="00BF2102" w:rsidRDefault="00505D9F" w:rsidP="00310D03">
      <w:pPr>
        <w:pStyle w:val="ListNumber"/>
        <w:numPr>
          <w:ilvl w:val="0"/>
          <w:numId w:val="15"/>
        </w:numPr>
        <w:tabs>
          <w:tab w:val="num" w:pos="993"/>
          <w:tab w:val="left" w:pos="1418"/>
        </w:tabs>
        <w:ind w:left="709" w:hanging="567"/>
        <w:rPr>
          <w:rFonts w:cs="Open Sans"/>
        </w:rPr>
      </w:pPr>
      <w:r w:rsidRPr="00BF2102">
        <w:rPr>
          <w:rFonts w:cs="Open Sans"/>
        </w:rPr>
        <w:t xml:space="preserve">Even if there are disputed facts and a lack of clarity about </w:t>
      </w:r>
      <w:r w:rsidR="009D622B" w:rsidRPr="00BF2102">
        <w:rPr>
          <w:rFonts w:cs="Open Sans"/>
        </w:rPr>
        <w:t>whether in fact the prohibited conduct has occurred</w:t>
      </w:r>
      <w:r w:rsidRPr="00BF2102">
        <w:rPr>
          <w:rFonts w:cs="Open Sans"/>
        </w:rPr>
        <w:t xml:space="preserve">, which is likely if the </w:t>
      </w:r>
      <w:r w:rsidR="009D622B" w:rsidRPr="00BF2102">
        <w:rPr>
          <w:rFonts w:cs="Open Sans"/>
        </w:rPr>
        <w:t xml:space="preserve">acts </w:t>
      </w:r>
      <w:r w:rsidRPr="00BF2102">
        <w:rPr>
          <w:rFonts w:cs="Open Sans"/>
        </w:rPr>
        <w:t xml:space="preserve">occurred outside Australia, </w:t>
      </w:r>
      <w:r w:rsidR="002372ED" w:rsidRPr="00BF2102">
        <w:rPr>
          <w:rFonts w:cs="Open Sans"/>
        </w:rPr>
        <w:t xml:space="preserve">in practical terms once citizenship is lost and the Minister has decided </w:t>
      </w:r>
      <w:r w:rsidR="006B107F" w:rsidRPr="00BF2102">
        <w:rPr>
          <w:rFonts w:cs="Open Sans"/>
        </w:rPr>
        <w:t xml:space="preserve">not to consider exercising </w:t>
      </w:r>
      <w:r w:rsidR="002372ED" w:rsidRPr="00BF2102">
        <w:rPr>
          <w:rFonts w:cs="Open Sans"/>
        </w:rPr>
        <w:t xml:space="preserve">the discretion to exempt the person from the operation of the section, </w:t>
      </w:r>
      <w:r w:rsidRPr="00BF2102">
        <w:rPr>
          <w:rFonts w:cs="Open Sans"/>
        </w:rPr>
        <w:t xml:space="preserve">this would </w:t>
      </w:r>
      <w:r w:rsidR="002372ED" w:rsidRPr="00BF2102">
        <w:rPr>
          <w:rFonts w:cs="Open Sans"/>
        </w:rPr>
        <w:t xml:space="preserve">likely </w:t>
      </w:r>
      <w:r w:rsidRPr="00BF2102">
        <w:rPr>
          <w:rFonts w:cs="Open Sans"/>
        </w:rPr>
        <w:t>be the end point of the process</w:t>
      </w:r>
      <w:r w:rsidR="002372ED" w:rsidRPr="00BF2102">
        <w:rPr>
          <w:rFonts w:cs="Open Sans"/>
        </w:rPr>
        <w:t xml:space="preserve">. </w:t>
      </w:r>
    </w:p>
    <w:p w14:paraId="5E909AA0" w14:textId="77777777" w:rsidR="002E6925" w:rsidRPr="00BF2102" w:rsidRDefault="00821B90" w:rsidP="00310D03">
      <w:pPr>
        <w:pStyle w:val="ListNumber"/>
        <w:numPr>
          <w:ilvl w:val="0"/>
          <w:numId w:val="15"/>
        </w:numPr>
        <w:tabs>
          <w:tab w:val="num" w:pos="993"/>
          <w:tab w:val="left" w:pos="1418"/>
        </w:tabs>
        <w:ind w:left="709" w:hanging="567"/>
        <w:rPr>
          <w:rFonts w:cs="Open Sans"/>
        </w:rPr>
      </w:pPr>
      <w:r w:rsidRPr="00BF2102">
        <w:rPr>
          <w:rFonts w:cs="Open Sans"/>
        </w:rPr>
        <w:t>A person may also never be notified that their citizenship has been lost. S</w:t>
      </w:r>
      <w:r w:rsidR="005278A4" w:rsidRPr="00BF2102">
        <w:rPr>
          <w:rFonts w:cs="Open Sans"/>
        </w:rPr>
        <w:t>ubs</w:t>
      </w:r>
      <w:r w:rsidRPr="00BF2102">
        <w:rPr>
          <w:rFonts w:cs="Open Sans"/>
        </w:rPr>
        <w:t>ections 35(7) and 33</w:t>
      </w:r>
      <w:proofErr w:type="gramStart"/>
      <w:r w:rsidRPr="00BF2102">
        <w:rPr>
          <w:rFonts w:cs="Open Sans"/>
        </w:rPr>
        <w:t>AA(</w:t>
      </w:r>
      <w:proofErr w:type="gramEnd"/>
      <w:r w:rsidRPr="00BF2102">
        <w:rPr>
          <w:rFonts w:cs="Open Sans"/>
        </w:rPr>
        <w:t>12) provide that a Minister may determine in writing that notice should not be given, if satisfied that giving notice</w:t>
      </w:r>
      <w:r w:rsidR="00CD4B90" w:rsidRPr="00BF2102">
        <w:rPr>
          <w:rFonts w:cs="Open Sans"/>
        </w:rPr>
        <w:t xml:space="preserve"> to a person</w:t>
      </w:r>
      <w:r w:rsidRPr="00BF2102">
        <w:rPr>
          <w:rFonts w:cs="Open Sans"/>
        </w:rPr>
        <w:t xml:space="preserve"> </w:t>
      </w:r>
      <w:r w:rsidRPr="00BF2102">
        <w:rPr>
          <w:rFonts w:cs="Open Sans"/>
          <w:i/>
          <w:iCs/>
        </w:rPr>
        <w:t>could</w:t>
      </w:r>
      <w:r w:rsidRPr="00BF2102">
        <w:rPr>
          <w:rFonts w:cs="Open Sans"/>
        </w:rPr>
        <w:t xml:space="preserve"> prejudice national security, defence or the international relations of Australia or Australian law enforcement operations. The threshold of ‘could’ is a very low bar</w:t>
      </w:r>
      <w:r w:rsidR="005278A4" w:rsidRPr="00BF2102">
        <w:rPr>
          <w:rFonts w:cs="Open Sans"/>
        </w:rPr>
        <w:t xml:space="preserve">. </w:t>
      </w:r>
    </w:p>
    <w:p w14:paraId="2F1A5FA2" w14:textId="14553D29" w:rsidR="00CD4B90" w:rsidRPr="00BF2102" w:rsidRDefault="005278A4" w:rsidP="00310D03">
      <w:pPr>
        <w:pStyle w:val="ListNumber"/>
        <w:numPr>
          <w:ilvl w:val="0"/>
          <w:numId w:val="15"/>
        </w:numPr>
        <w:tabs>
          <w:tab w:val="num" w:pos="993"/>
          <w:tab w:val="left" w:pos="1418"/>
        </w:tabs>
        <w:ind w:left="709" w:hanging="567"/>
        <w:rPr>
          <w:rFonts w:cs="Open Sans"/>
        </w:rPr>
      </w:pPr>
      <w:r w:rsidRPr="00BF2102">
        <w:rPr>
          <w:rFonts w:cs="Open Sans"/>
        </w:rPr>
        <w:lastRenderedPageBreak/>
        <w:t xml:space="preserve">In practice, this means that a trivial or purely hypothetical risk to national security or Australia’s international relations could be sufficient to deny an individual notice of the fact that their citizenship has been </w:t>
      </w:r>
      <w:r w:rsidR="00EC5E16" w:rsidRPr="00BF2102">
        <w:rPr>
          <w:rFonts w:cs="Open Sans"/>
        </w:rPr>
        <w:t>lost</w:t>
      </w:r>
      <w:r w:rsidRPr="00BF2102">
        <w:rPr>
          <w:rFonts w:cs="Open Sans"/>
        </w:rPr>
        <w:t xml:space="preserve">. This threshold makes it more likely that a disproportionate weight will be placed on the low risk to national security (or the other named factors) to the detriment of an individual whose rights will be seriously diminished by their citizenship being </w:t>
      </w:r>
      <w:r w:rsidR="00EC5E16" w:rsidRPr="00BF2102">
        <w:rPr>
          <w:rFonts w:cs="Open Sans"/>
        </w:rPr>
        <w:t>lost</w:t>
      </w:r>
      <w:r w:rsidRPr="00BF2102">
        <w:rPr>
          <w:rFonts w:cs="Open Sans"/>
        </w:rPr>
        <w:t xml:space="preserve"> without notice</w:t>
      </w:r>
      <w:r w:rsidR="00CD4B90" w:rsidRPr="00BF2102">
        <w:rPr>
          <w:rFonts w:cs="Open Sans"/>
        </w:rPr>
        <w:t xml:space="preserve">. </w:t>
      </w:r>
    </w:p>
    <w:p w14:paraId="2091DFBE" w14:textId="7862665F" w:rsidR="00972197" w:rsidRPr="00BF2102" w:rsidRDefault="002E6925" w:rsidP="00CD4B90">
      <w:pPr>
        <w:pStyle w:val="ListNumber"/>
        <w:numPr>
          <w:ilvl w:val="0"/>
          <w:numId w:val="15"/>
        </w:numPr>
        <w:tabs>
          <w:tab w:val="num" w:pos="993"/>
          <w:tab w:val="left" w:pos="1418"/>
        </w:tabs>
        <w:ind w:left="709" w:hanging="567"/>
        <w:rPr>
          <w:rFonts w:cs="Open Sans"/>
        </w:rPr>
      </w:pPr>
      <w:r w:rsidRPr="00BF2102">
        <w:rPr>
          <w:rFonts w:cs="Open Sans"/>
        </w:rPr>
        <w:t xml:space="preserve">The Commission is not aware of any publicly-available material that explains how the weighing process </w:t>
      </w:r>
      <w:r w:rsidR="00EC5E16" w:rsidRPr="00BF2102">
        <w:rPr>
          <w:rFonts w:cs="Open Sans"/>
        </w:rPr>
        <w:t>has been carried out</w:t>
      </w:r>
      <w:r w:rsidRPr="00BF2102">
        <w:rPr>
          <w:rFonts w:cs="Open Sans"/>
        </w:rPr>
        <w:t xml:space="preserve"> in determining whether to issue a notice in individual cases to date. However, it is clear that </w:t>
      </w:r>
      <w:r w:rsidR="00EC5E16" w:rsidRPr="00BF2102">
        <w:rPr>
          <w:rFonts w:cs="Open Sans"/>
        </w:rPr>
        <w:t xml:space="preserve">the </w:t>
      </w:r>
      <w:r w:rsidRPr="00BF2102">
        <w:rPr>
          <w:rFonts w:cs="Open Sans"/>
        </w:rPr>
        <w:t>exemption</w:t>
      </w:r>
      <w:r w:rsidR="00EC5E16" w:rsidRPr="00BF2102">
        <w:rPr>
          <w:rFonts w:cs="Open Sans"/>
        </w:rPr>
        <w:t>s</w:t>
      </w:r>
      <w:r w:rsidRPr="00BF2102">
        <w:rPr>
          <w:rFonts w:cs="Open Sans"/>
        </w:rPr>
        <w:t xml:space="preserve"> from the notice requirement</w:t>
      </w:r>
      <w:r w:rsidR="00EC5E16" w:rsidRPr="00BF2102">
        <w:rPr>
          <w:rFonts w:cs="Open Sans"/>
        </w:rPr>
        <w:t>s</w:t>
      </w:r>
      <w:r w:rsidRPr="00BF2102">
        <w:rPr>
          <w:rFonts w:cs="Open Sans"/>
        </w:rPr>
        <w:t xml:space="preserve"> ha</w:t>
      </w:r>
      <w:r w:rsidR="00EC5E16" w:rsidRPr="00BF2102">
        <w:rPr>
          <w:rFonts w:cs="Open Sans"/>
        </w:rPr>
        <w:t>ve</w:t>
      </w:r>
      <w:r w:rsidRPr="00BF2102">
        <w:rPr>
          <w:rFonts w:cs="Open Sans"/>
        </w:rPr>
        <w:t xml:space="preserve"> been frequently relied upon to prevent the giving of notices. </w:t>
      </w:r>
    </w:p>
    <w:p w14:paraId="404C2545" w14:textId="7872DD17" w:rsidR="00EC5E16" w:rsidRPr="00BF2102" w:rsidRDefault="00CD4B90" w:rsidP="00CD4B90">
      <w:pPr>
        <w:pStyle w:val="ListNumber"/>
        <w:numPr>
          <w:ilvl w:val="0"/>
          <w:numId w:val="15"/>
        </w:numPr>
        <w:tabs>
          <w:tab w:val="num" w:pos="993"/>
          <w:tab w:val="left" w:pos="1418"/>
        </w:tabs>
        <w:ind w:left="709" w:hanging="567"/>
        <w:rPr>
          <w:rFonts w:cs="Open Sans"/>
        </w:rPr>
      </w:pPr>
      <w:r w:rsidRPr="00BF2102">
        <w:rPr>
          <w:rFonts w:cs="Open Sans"/>
        </w:rPr>
        <w:t xml:space="preserve">The parliamentary reports and Ministerial statements discussed in </w:t>
      </w:r>
      <w:r w:rsidR="00181E41" w:rsidRPr="00BF2102">
        <w:rPr>
          <w:rFonts w:cs="Open Sans"/>
        </w:rPr>
        <w:t xml:space="preserve">section </w:t>
      </w:r>
      <w:r w:rsidR="00E22584" w:rsidRPr="00BF2102">
        <w:rPr>
          <w:rFonts w:cs="Open Sans"/>
        </w:rPr>
        <w:fldChar w:fldCharType="begin"/>
      </w:r>
      <w:r w:rsidR="00E22584" w:rsidRPr="00BF2102">
        <w:rPr>
          <w:rFonts w:cs="Open Sans"/>
        </w:rPr>
        <w:instrText xml:space="preserve"> REF _Ref11327414 \r \h </w:instrText>
      </w:r>
      <w:r w:rsidR="000F268D" w:rsidRPr="00BF2102">
        <w:rPr>
          <w:rFonts w:cs="Open Sans"/>
        </w:rPr>
        <w:instrText xml:space="preserve"> \* MERGEFORMAT </w:instrText>
      </w:r>
      <w:r w:rsidR="00E22584" w:rsidRPr="00BF2102">
        <w:rPr>
          <w:rFonts w:cs="Open Sans"/>
        </w:rPr>
      </w:r>
      <w:r w:rsidR="00E22584" w:rsidRPr="00BF2102">
        <w:rPr>
          <w:rFonts w:cs="Open Sans"/>
        </w:rPr>
        <w:fldChar w:fldCharType="separate"/>
      </w:r>
      <w:r w:rsidR="000E5D23">
        <w:rPr>
          <w:rFonts w:cs="Open Sans"/>
        </w:rPr>
        <w:t>4.3</w:t>
      </w:r>
      <w:r w:rsidR="00E22584" w:rsidRPr="00BF2102">
        <w:rPr>
          <w:rFonts w:cs="Open Sans"/>
        </w:rPr>
        <w:fldChar w:fldCharType="end"/>
      </w:r>
      <w:r w:rsidR="00E22584" w:rsidRPr="00BF2102">
        <w:rPr>
          <w:rFonts w:cs="Open Sans"/>
        </w:rPr>
        <w:t xml:space="preserve"> above </w:t>
      </w:r>
      <w:r w:rsidRPr="00BF2102">
        <w:rPr>
          <w:rFonts w:cs="Open Sans"/>
        </w:rPr>
        <w:t>suggest that in 11 out of 12 instances of citizenship loss, the Minister has determined that a notice should not be given to the affected person</w:t>
      </w:r>
      <w:r w:rsidR="002B77AD" w:rsidRPr="00BF2102">
        <w:rPr>
          <w:rFonts w:cs="Open Sans"/>
        </w:rPr>
        <w:t>, and that in the remaining instance the attempted notification was unsuccessful</w:t>
      </w:r>
      <w:r w:rsidRPr="00BF2102">
        <w:rPr>
          <w:rFonts w:cs="Open Sans"/>
        </w:rPr>
        <w:t>.</w:t>
      </w:r>
      <w:r w:rsidRPr="00BF2102">
        <w:rPr>
          <w:rStyle w:val="EndnoteReference"/>
          <w:rFonts w:cs="Open Sans"/>
        </w:rPr>
        <w:endnoteReference w:id="72"/>
      </w:r>
      <w:r w:rsidRPr="00BF2102">
        <w:rPr>
          <w:rFonts w:cs="Open Sans"/>
        </w:rPr>
        <w:t xml:space="preserve"> </w:t>
      </w:r>
    </w:p>
    <w:p w14:paraId="0C699292" w14:textId="71FE3535" w:rsidR="00CD4B90" w:rsidRPr="00BF2102" w:rsidRDefault="00CD4B90" w:rsidP="00CD4B90">
      <w:pPr>
        <w:pStyle w:val="ListNumber"/>
        <w:numPr>
          <w:ilvl w:val="0"/>
          <w:numId w:val="15"/>
        </w:numPr>
        <w:tabs>
          <w:tab w:val="num" w:pos="993"/>
          <w:tab w:val="left" w:pos="1418"/>
        </w:tabs>
        <w:ind w:left="709" w:hanging="567"/>
        <w:rPr>
          <w:rFonts w:cs="Open Sans"/>
        </w:rPr>
      </w:pPr>
      <w:r w:rsidRPr="00BF2102">
        <w:rPr>
          <w:rFonts w:cs="Open Sans"/>
        </w:rPr>
        <w:t>Presumably, the exemption in s 51</w:t>
      </w:r>
      <w:proofErr w:type="gramStart"/>
      <w:r w:rsidRPr="00BF2102">
        <w:rPr>
          <w:rFonts w:cs="Open Sans"/>
        </w:rPr>
        <w:t>B(</w:t>
      </w:r>
      <w:proofErr w:type="gramEnd"/>
      <w:r w:rsidRPr="00BF2102">
        <w:rPr>
          <w:rFonts w:cs="Open Sans"/>
        </w:rPr>
        <w:t>2)</w:t>
      </w:r>
      <w:r w:rsidR="002E6925" w:rsidRPr="00BF2102">
        <w:rPr>
          <w:rFonts w:cs="Open Sans"/>
        </w:rPr>
        <w:t>, which</w:t>
      </w:r>
      <w:r w:rsidRPr="00BF2102">
        <w:rPr>
          <w:rFonts w:cs="Open Sans"/>
        </w:rPr>
        <w:t xml:space="preserve"> allows the Minister to exclude certain operationally sensitive or national security information from periodic reports to Parliament</w:t>
      </w:r>
      <w:r w:rsidR="002E6925" w:rsidRPr="00BF2102">
        <w:rPr>
          <w:rFonts w:cs="Open Sans"/>
        </w:rPr>
        <w:t>,</w:t>
      </w:r>
      <w:r w:rsidRPr="00BF2102">
        <w:rPr>
          <w:rFonts w:cs="Open Sans"/>
        </w:rPr>
        <w:t xml:space="preserve"> would not prevent the reports disclosing the number of notifications sought to be given as required by ss 51B(1)(a) and (b). If this is correct, there are two conclusions that can be drawn. </w:t>
      </w:r>
    </w:p>
    <w:p w14:paraId="4AA3E3DE" w14:textId="13CD54D1" w:rsidR="00CD4B90" w:rsidRPr="00BF2102" w:rsidRDefault="00CD4B90" w:rsidP="00CD4B90">
      <w:pPr>
        <w:pStyle w:val="ListNumber"/>
        <w:numPr>
          <w:ilvl w:val="0"/>
          <w:numId w:val="15"/>
        </w:numPr>
        <w:tabs>
          <w:tab w:val="num" w:pos="993"/>
          <w:tab w:val="left" w:pos="1418"/>
        </w:tabs>
        <w:ind w:left="709" w:hanging="567"/>
        <w:rPr>
          <w:rFonts w:cs="Open Sans"/>
        </w:rPr>
      </w:pPr>
      <w:r w:rsidRPr="00BF2102">
        <w:rPr>
          <w:rFonts w:cs="Open Sans"/>
        </w:rPr>
        <w:t>First, despite the Government stating that 12 people have lost their citizenship under these provisions, none of the affected persons has been successfully notified of that fact. On this basis, the notification regime has not been shown to be an effective safeguard. Secondly, the regime of notification to Parliament is a weak accountability mechanism, because it has failed to provide the public with a realistic picture of the application of the citizenship loss provisions in a manner that promotes oversight.</w:t>
      </w:r>
    </w:p>
    <w:p w14:paraId="21AE7B11" w14:textId="2E7B2E92" w:rsidR="00821B90" w:rsidRPr="00BF2102" w:rsidRDefault="002813D3" w:rsidP="00544019">
      <w:pPr>
        <w:pStyle w:val="ListNumber"/>
        <w:numPr>
          <w:ilvl w:val="0"/>
          <w:numId w:val="15"/>
        </w:numPr>
        <w:tabs>
          <w:tab w:val="num" w:pos="993"/>
          <w:tab w:val="left" w:pos="1418"/>
        </w:tabs>
        <w:ind w:left="709" w:hanging="567"/>
        <w:rPr>
          <w:rFonts w:cs="Open Sans"/>
        </w:rPr>
      </w:pPr>
      <w:r w:rsidRPr="00BF2102">
        <w:rPr>
          <w:rFonts w:cs="Open Sans"/>
        </w:rPr>
        <w:t xml:space="preserve">While the requirements </w:t>
      </w:r>
      <w:r w:rsidR="002B77AD" w:rsidRPr="00BF2102">
        <w:rPr>
          <w:rFonts w:cs="Open Sans"/>
        </w:rPr>
        <w:t xml:space="preserve">on the Minister </w:t>
      </w:r>
      <w:r w:rsidRPr="00BF2102">
        <w:rPr>
          <w:rFonts w:cs="Open Sans"/>
        </w:rPr>
        <w:t xml:space="preserve">to </w:t>
      </w:r>
      <w:r w:rsidR="002B77AD" w:rsidRPr="00BF2102">
        <w:rPr>
          <w:rFonts w:cs="Open Sans"/>
        </w:rPr>
        <w:t xml:space="preserve">periodically </w:t>
      </w:r>
      <w:r w:rsidRPr="00BF2102">
        <w:rPr>
          <w:rFonts w:cs="Open Sans"/>
        </w:rPr>
        <w:t xml:space="preserve">review a determination not to give a notice provide some protection, the Commission considers that a higher bar should apply </w:t>
      </w:r>
      <w:r w:rsidR="00BA1487" w:rsidRPr="00BF2102">
        <w:rPr>
          <w:rFonts w:cs="Open Sans"/>
        </w:rPr>
        <w:t>before the Minister may decide not to give notice to an affected individual</w:t>
      </w:r>
      <w:r w:rsidRPr="00BF2102">
        <w:rPr>
          <w:rFonts w:cs="Open Sans"/>
        </w:rPr>
        <w:t xml:space="preserve">. </w:t>
      </w:r>
      <w:r w:rsidR="00E65FFC" w:rsidRPr="00BF2102">
        <w:rPr>
          <w:rFonts w:cs="Open Sans"/>
        </w:rPr>
        <w:t>If the automatic loss regime is not repealed</w:t>
      </w:r>
      <w:r w:rsidRPr="00BF2102">
        <w:rPr>
          <w:rFonts w:cs="Open Sans"/>
        </w:rPr>
        <w:t>, the Minister should need to be satisfied that giving of a notice ‘would</w:t>
      </w:r>
      <w:r w:rsidR="00E65FFC" w:rsidRPr="00BF2102">
        <w:rPr>
          <w:rFonts w:cs="Open Sans"/>
        </w:rPr>
        <w:t xml:space="preserve"> </w:t>
      </w:r>
      <w:r w:rsidR="00746FDC" w:rsidRPr="00BF2102">
        <w:rPr>
          <w:rFonts w:cs="Open Sans"/>
        </w:rPr>
        <w:t xml:space="preserve">be </w:t>
      </w:r>
      <w:r w:rsidR="00E65FFC" w:rsidRPr="00BF2102">
        <w:rPr>
          <w:rFonts w:cs="Open Sans"/>
        </w:rPr>
        <w:t>likely</w:t>
      </w:r>
      <w:r w:rsidRPr="00BF2102">
        <w:rPr>
          <w:rFonts w:cs="Open Sans"/>
        </w:rPr>
        <w:t xml:space="preserve">’ </w:t>
      </w:r>
      <w:r w:rsidR="00746FDC" w:rsidRPr="00BF2102">
        <w:rPr>
          <w:rFonts w:cs="Open Sans"/>
        </w:rPr>
        <w:t xml:space="preserve">to </w:t>
      </w:r>
      <w:r w:rsidRPr="00BF2102">
        <w:rPr>
          <w:rFonts w:cs="Open Sans"/>
        </w:rPr>
        <w:t>prejudice national security, defence or the international relations of Australia or Australian law enforcement operations</w:t>
      </w:r>
      <w:r w:rsidR="00746FDC" w:rsidRPr="00BF2102">
        <w:rPr>
          <w:rFonts w:cs="Open Sans"/>
        </w:rPr>
        <w:t xml:space="preserve"> before determining not to give </w:t>
      </w:r>
      <w:r w:rsidR="0051415D" w:rsidRPr="00BF2102">
        <w:rPr>
          <w:rFonts w:cs="Open Sans"/>
        </w:rPr>
        <w:t>a notice</w:t>
      </w:r>
      <w:r w:rsidRPr="00BF2102">
        <w:rPr>
          <w:rFonts w:cs="Open Sans"/>
        </w:rPr>
        <w:t>.</w:t>
      </w:r>
      <w:r w:rsidR="00F371E0" w:rsidRPr="00BF2102">
        <w:rPr>
          <w:rFonts w:cs="Open Sans"/>
        </w:rPr>
        <w:t xml:space="preserve"> </w:t>
      </w:r>
      <w:r w:rsidR="00E65FFC" w:rsidRPr="00BF2102">
        <w:rPr>
          <w:rFonts w:cs="Open Sans"/>
        </w:rPr>
        <w:t xml:space="preserve">This provides a </w:t>
      </w:r>
      <w:r w:rsidR="00746FDC" w:rsidRPr="00BF2102">
        <w:rPr>
          <w:rFonts w:cs="Open Sans"/>
        </w:rPr>
        <w:t xml:space="preserve">more </w:t>
      </w:r>
      <w:r w:rsidR="00746FDC" w:rsidRPr="00BF2102">
        <w:rPr>
          <w:rFonts w:cs="Open Sans"/>
        </w:rPr>
        <w:lastRenderedPageBreak/>
        <w:t xml:space="preserve">robust, </w:t>
      </w:r>
      <w:r w:rsidR="00E65FFC" w:rsidRPr="00BF2102">
        <w:rPr>
          <w:rFonts w:cs="Open Sans"/>
        </w:rPr>
        <w:t xml:space="preserve">objective </w:t>
      </w:r>
      <w:r w:rsidR="00746FDC" w:rsidRPr="00BF2102">
        <w:rPr>
          <w:rFonts w:cs="Open Sans"/>
        </w:rPr>
        <w:t xml:space="preserve">standard </w:t>
      </w:r>
      <w:r w:rsidR="00E65FFC" w:rsidRPr="00BF2102">
        <w:rPr>
          <w:rFonts w:cs="Open Sans"/>
        </w:rPr>
        <w:t xml:space="preserve">that is familiar to administrative decision-making. </w:t>
      </w:r>
      <w:r w:rsidR="0068771E" w:rsidRPr="00BF2102">
        <w:rPr>
          <w:rFonts w:cs="Open Sans"/>
        </w:rPr>
        <w:t xml:space="preserve">The same requirement should apply to </w:t>
      </w:r>
      <w:r w:rsidR="00BA1487" w:rsidRPr="00BF2102">
        <w:rPr>
          <w:rFonts w:cs="Open Sans"/>
        </w:rPr>
        <w:t xml:space="preserve">the </w:t>
      </w:r>
      <w:r w:rsidR="0068771E" w:rsidRPr="00BF2102">
        <w:rPr>
          <w:rFonts w:cs="Open Sans"/>
        </w:rPr>
        <w:t>conviction-based loss notification in s 35</w:t>
      </w:r>
      <w:proofErr w:type="gramStart"/>
      <w:r w:rsidR="0068771E" w:rsidRPr="00BF2102">
        <w:rPr>
          <w:rFonts w:cs="Open Sans"/>
        </w:rPr>
        <w:t>A(</w:t>
      </w:r>
      <w:proofErr w:type="gramEnd"/>
      <w:r w:rsidR="0068771E" w:rsidRPr="00BF2102">
        <w:rPr>
          <w:rFonts w:cs="Open Sans"/>
        </w:rPr>
        <w:t>7).</w:t>
      </w:r>
      <w:bookmarkStart w:id="84" w:name="_Hlk11328351"/>
    </w:p>
    <w:bookmarkEnd w:id="84"/>
    <w:p w14:paraId="42F02131" w14:textId="5C9FC98A" w:rsidR="00505D9F" w:rsidRPr="00BF2102" w:rsidRDefault="006B107F" w:rsidP="00544019">
      <w:pPr>
        <w:pStyle w:val="ListNumber"/>
        <w:numPr>
          <w:ilvl w:val="0"/>
          <w:numId w:val="15"/>
        </w:numPr>
        <w:tabs>
          <w:tab w:val="num" w:pos="993"/>
          <w:tab w:val="left" w:pos="1418"/>
        </w:tabs>
        <w:ind w:left="709" w:hanging="567"/>
        <w:rPr>
          <w:rFonts w:cs="Open Sans"/>
        </w:rPr>
      </w:pPr>
      <w:r w:rsidRPr="00BF2102">
        <w:rPr>
          <w:rFonts w:cs="Open Sans"/>
        </w:rPr>
        <w:t xml:space="preserve">There is a very limited prospect of judicial review in the unusual case where the Minister decides to consider exercising the power to exempt the person from the operation of the section but then decides not to do so. Similarly, </w:t>
      </w:r>
      <w:r w:rsidR="00F371E0" w:rsidRPr="00BF2102">
        <w:rPr>
          <w:rFonts w:cs="Open Sans"/>
        </w:rPr>
        <w:t xml:space="preserve">with respect to the automatic loss provisions, </w:t>
      </w:r>
      <w:r w:rsidRPr="00BF2102">
        <w:rPr>
          <w:rFonts w:cs="Open Sans"/>
        </w:rPr>
        <w:t xml:space="preserve">there may be </w:t>
      </w:r>
      <w:r w:rsidR="00F371E0" w:rsidRPr="00BF2102">
        <w:rPr>
          <w:rFonts w:cs="Open Sans"/>
        </w:rPr>
        <w:t xml:space="preserve">a limited </w:t>
      </w:r>
      <w:r w:rsidRPr="00BF2102">
        <w:rPr>
          <w:rFonts w:cs="Open Sans"/>
        </w:rPr>
        <w:t xml:space="preserve">prospect of a person obtaining declaratory relief from </w:t>
      </w:r>
      <w:r w:rsidR="00F371E0" w:rsidRPr="00BF2102">
        <w:rPr>
          <w:rFonts w:cs="Open Sans"/>
        </w:rPr>
        <w:t>a court</w:t>
      </w:r>
      <w:r w:rsidRPr="00BF2102">
        <w:rPr>
          <w:rFonts w:cs="Open Sans"/>
        </w:rPr>
        <w:t xml:space="preserve"> that the relevant section does not apply to them. However, in practice such an action is likely to be </w:t>
      </w:r>
      <w:r w:rsidR="004F3F20" w:rsidRPr="00BF2102">
        <w:rPr>
          <w:rFonts w:cs="Open Sans"/>
        </w:rPr>
        <w:t xml:space="preserve">extremely </w:t>
      </w:r>
      <w:r w:rsidRPr="00BF2102">
        <w:rPr>
          <w:rFonts w:cs="Open Sans"/>
        </w:rPr>
        <w:t xml:space="preserve">difficult for a non-citizen outside of Australia to bring. </w:t>
      </w:r>
    </w:p>
    <w:p w14:paraId="553EE00F" w14:textId="6F846AD8" w:rsidR="009D622B" w:rsidRPr="00BF2102" w:rsidRDefault="0057077C" w:rsidP="00310D03">
      <w:pPr>
        <w:pStyle w:val="ListNumber"/>
        <w:numPr>
          <w:ilvl w:val="0"/>
          <w:numId w:val="15"/>
        </w:numPr>
        <w:tabs>
          <w:tab w:val="num" w:pos="993"/>
          <w:tab w:val="left" w:pos="1418"/>
        </w:tabs>
        <w:ind w:left="709" w:hanging="567"/>
        <w:rPr>
          <w:rFonts w:cs="Open Sans"/>
        </w:rPr>
      </w:pPr>
      <w:r w:rsidRPr="00BF2102">
        <w:rPr>
          <w:rFonts w:cs="Open Sans"/>
        </w:rPr>
        <w:t xml:space="preserve">Overall, these safeguards </w:t>
      </w:r>
      <w:r w:rsidR="00CF2EC7" w:rsidRPr="00BF2102">
        <w:rPr>
          <w:rFonts w:cs="Open Sans"/>
        </w:rPr>
        <w:t>are wholly inadequate</w:t>
      </w:r>
      <w:r w:rsidRPr="00BF2102">
        <w:rPr>
          <w:rFonts w:cs="Open Sans"/>
        </w:rPr>
        <w:t xml:space="preserve">. </w:t>
      </w:r>
      <w:r w:rsidR="009D622B" w:rsidRPr="00BF2102">
        <w:rPr>
          <w:rFonts w:cs="Open Sans"/>
        </w:rPr>
        <w:t xml:space="preserve">In addition to failing to protect against arbitrary violations of article 12(4), these factors may well also </w:t>
      </w:r>
      <w:r w:rsidR="00876DDA" w:rsidRPr="00BF2102">
        <w:rPr>
          <w:rFonts w:cs="Open Sans"/>
        </w:rPr>
        <w:t>be inconsistent with an individual’s rights to a fair hearing and an effective remedy under articles 14(1) and 2(3) of the ICCPR respectively</w:t>
      </w:r>
      <w:r w:rsidR="009D622B" w:rsidRPr="00BF2102">
        <w:rPr>
          <w:rFonts w:cs="Open Sans"/>
        </w:rPr>
        <w:t xml:space="preserve">. </w:t>
      </w:r>
    </w:p>
    <w:p w14:paraId="28B825CD" w14:textId="2F0FB245" w:rsidR="00446D0B" w:rsidRPr="00BF2102" w:rsidRDefault="00446D0B" w:rsidP="00310D03">
      <w:pPr>
        <w:pStyle w:val="ListNumber"/>
        <w:numPr>
          <w:ilvl w:val="0"/>
          <w:numId w:val="15"/>
        </w:numPr>
        <w:tabs>
          <w:tab w:val="num" w:pos="993"/>
          <w:tab w:val="left" w:pos="1418"/>
        </w:tabs>
        <w:ind w:left="709" w:hanging="567"/>
        <w:rPr>
          <w:rFonts w:cs="Open Sans"/>
        </w:rPr>
      </w:pPr>
      <w:r w:rsidRPr="00BF2102">
        <w:rPr>
          <w:rFonts w:cs="Open Sans"/>
        </w:rPr>
        <w:t xml:space="preserve">In the alternative to the conviction-only based model discussed above, the Commission considers that removal of citizenship under ss 33AA or 35 should only occur through a similar Ministerial determination process that exists for s 35A. </w:t>
      </w:r>
    </w:p>
    <w:p w14:paraId="63D667BD" w14:textId="64C0FC6E" w:rsidR="00446D0B" w:rsidRPr="00BF2102" w:rsidRDefault="00446D0B" w:rsidP="00310D03">
      <w:pPr>
        <w:pStyle w:val="ListNumber"/>
        <w:numPr>
          <w:ilvl w:val="0"/>
          <w:numId w:val="15"/>
        </w:numPr>
        <w:tabs>
          <w:tab w:val="num" w:pos="993"/>
          <w:tab w:val="left" w:pos="1418"/>
        </w:tabs>
        <w:ind w:left="709" w:hanging="567"/>
        <w:rPr>
          <w:rFonts w:cs="Open Sans"/>
        </w:rPr>
      </w:pPr>
      <w:r w:rsidRPr="00BF2102">
        <w:rPr>
          <w:rFonts w:cs="Open Sans"/>
        </w:rPr>
        <w:t xml:space="preserve">That is, an active decision </w:t>
      </w:r>
      <w:r w:rsidR="004F3F20" w:rsidRPr="00BF2102">
        <w:rPr>
          <w:rFonts w:cs="Open Sans"/>
        </w:rPr>
        <w:t xml:space="preserve">by an officer of the Commonwealth </w:t>
      </w:r>
      <w:r w:rsidRPr="00BF2102">
        <w:rPr>
          <w:rFonts w:cs="Open Sans"/>
        </w:rPr>
        <w:t xml:space="preserve">should be required by reference to prescribed public interest factors and all the relevant circumstances, before a revocation occurs. This should be accompanied by a requirement to take into </w:t>
      </w:r>
      <w:bookmarkStart w:id="85" w:name="_Hlk10709661"/>
      <w:r w:rsidRPr="00BF2102">
        <w:rPr>
          <w:rFonts w:cs="Open Sans"/>
        </w:rPr>
        <w:t>account particular circumstances prior to citizenship being lost, to notify a person of proposed citizenship removal and provide reasons, to apply natural justice including the ability of the affected person to make submissions, and to provide a structured process to appeal against or review decisions made to remove citizenship.</w:t>
      </w:r>
    </w:p>
    <w:p w14:paraId="01EB4F3B" w14:textId="77777777" w:rsidR="0042792F" w:rsidRPr="00BF2102" w:rsidRDefault="0042792F" w:rsidP="0042792F">
      <w:pPr>
        <w:pStyle w:val="ListNumber"/>
        <w:keepNext/>
        <w:ind w:left="720"/>
        <w:rPr>
          <w:rFonts w:cs="Open Sans"/>
          <w:b/>
        </w:rPr>
      </w:pPr>
      <w:bookmarkStart w:id="86" w:name="_Hlk11159023"/>
      <w:bookmarkEnd w:id="85"/>
      <w:r w:rsidRPr="00BF2102">
        <w:rPr>
          <w:rFonts w:cs="Open Sans"/>
          <w:b/>
        </w:rPr>
        <w:t>Recommendation 2</w:t>
      </w:r>
    </w:p>
    <w:p w14:paraId="3B4B404F" w14:textId="584FF406" w:rsidR="0042792F" w:rsidRPr="00BF2102" w:rsidRDefault="0042792F" w:rsidP="0042792F">
      <w:pPr>
        <w:pStyle w:val="Subnumbered"/>
        <w:numPr>
          <w:ilvl w:val="0"/>
          <w:numId w:val="0"/>
        </w:numPr>
        <w:ind w:left="709"/>
        <w:rPr>
          <w:rFonts w:cs="Open Sans"/>
        </w:rPr>
      </w:pPr>
      <w:r w:rsidRPr="00BF2102">
        <w:rPr>
          <w:rFonts w:cs="Open Sans"/>
        </w:rPr>
        <w:t xml:space="preserve">If Recommendation 1 is not accepted, ss 33AA and 35 should be amended to provide </w:t>
      </w:r>
      <w:r w:rsidR="004C35FE" w:rsidRPr="00BF2102">
        <w:rPr>
          <w:rFonts w:cs="Open Sans"/>
        </w:rPr>
        <w:t xml:space="preserve">for </w:t>
      </w:r>
      <w:r w:rsidRPr="00BF2102">
        <w:rPr>
          <w:rFonts w:cs="Open Sans"/>
        </w:rPr>
        <w:t xml:space="preserve">the same procedural safeguards that apply to conviction-based citizenship loss under s 35A. That is, loss of citizenship should not be automatic but rather require: </w:t>
      </w:r>
    </w:p>
    <w:p w14:paraId="50EEE12E" w14:textId="77777777" w:rsidR="0042792F" w:rsidRPr="00BF2102" w:rsidRDefault="0042792F" w:rsidP="00331C1E">
      <w:pPr>
        <w:pStyle w:val="ListParagraph"/>
        <w:numPr>
          <w:ilvl w:val="0"/>
          <w:numId w:val="46"/>
        </w:numPr>
        <w:spacing w:before="120" w:after="120"/>
        <w:rPr>
          <w:rFonts w:cs="Open Sans"/>
        </w:rPr>
      </w:pPr>
      <w:r w:rsidRPr="00BF2102">
        <w:rPr>
          <w:rFonts w:cs="Open Sans"/>
        </w:rPr>
        <w:t>a positive decision by an officer of the Commonwealth</w:t>
      </w:r>
    </w:p>
    <w:p w14:paraId="77418151" w14:textId="77777777" w:rsidR="0042792F" w:rsidRPr="00BF2102" w:rsidRDefault="0042792F" w:rsidP="00331C1E">
      <w:pPr>
        <w:pStyle w:val="ListParagraph"/>
        <w:numPr>
          <w:ilvl w:val="0"/>
          <w:numId w:val="46"/>
        </w:numPr>
        <w:spacing w:before="120" w:after="120"/>
        <w:rPr>
          <w:rFonts w:cs="Open Sans"/>
        </w:rPr>
      </w:pPr>
      <w:r w:rsidRPr="00BF2102">
        <w:rPr>
          <w:rFonts w:cs="Open Sans"/>
        </w:rPr>
        <w:lastRenderedPageBreak/>
        <w:t xml:space="preserve">a requirement that the officer </w:t>
      </w:r>
      <w:proofErr w:type="gramStart"/>
      <w:r w:rsidRPr="00BF2102">
        <w:rPr>
          <w:rFonts w:cs="Open Sans"/>
        </w:rPr>
        <w:t>takes into account</w:t>
      </w:r>
      <w:proofErr w:type="gramEnd"/>
      <w:r w:rsidRPr="00BF2102">
        <w:rPr>
          <w:rFonts w:cs="Open Sans"/>
        </w:rPr>
        <w:t xml:space="preserve"> relevant considerations in determining whether it is in the public interest for the person to lose their Australian citizenship</w:t>
      </w:r>
    </w:p>
    <w:p w14:paraId="270AF7F0" w14:textId="77777777" w:rsidR="0042792F" w:rsidRPr="00BF2102" w:rsidRDefault="0042792F" w:rsidP="00331C1E">
      <w:pPr>
        <w:pStyle w:val="ListParagraph"/>
        <w:numPr>
          <w:ilvl w:val="0"/>
          <w:numId w:val="46"/>
        </w:numPr>
        <w:spacing w:before="120" w:after="120"/>
        <w:rPr>
          <w:rFonts w:cs="Open Sans"/>
        </w:rPr>
      </w:pPr>
      <w:r w:rsidRPr="00BF2102">
        <w:rPr>
          <w:rFonts w:cs="Open Sans"/>
        </w:rPr>
        <w:t>procedural fairness in the making of this decision, including the opportunity to make submissions and respond to adverse material</w:t>
      </w:r>
    </w:p>
    <w:p w14:paraId="6AD6813C" w14:textId="77777777" w:rsidR="0042792F" w:rsidRPr="00BF2102" w:rsidRDefault="0042792F" w:rsidP="00331C1E">
      <w:pPr>
        <w:pStyle w:val="ListParagraph"/>
        <w:numPr>
          <w:ilvl w:val="0"/>
          <w:numId w:val="46"/>
        </w:numPr>
        <w:spacing w:before="120" w:after="120"/>
        <w:rPr>
          <w:rFonts w:cs="Open Sans"/>
        </w:rPr>
      </w:pPr>
      <w:r w:rsidRPr="00BF2102">
        <w:rPr>
          <w:rFonts w:cs="Open Sans"/>
        </w:rPr>
        <w:t>a statement of reasons to be provided to the person affected if an adverse decision is made.</w:t>
      </w:r>
    </w:p>
    <w:bookmarkEnd w:id="86"/>
    <w:p w14:paraId="72CA213C" w14:textId="3AAE5D05" w:rsidR="00446D0B" w:rsidRPr="00BF2102" w:rsidRDefault="00446D0B" w:rsidP="00310D03">
      <w:pPr>
        <w:pStyle w:val="ListNumber"/>
        <w:numPr>
          <w:ilvl w:val="0"/>
          <w:numId w:val="15"/>
        </w:numPr>
        <w:tabs>
          <w:tab w:val="num" w:pos="993"/>
          <w:tab w:val="left" w:pos="1418"/>
        </w:tabs>
        <w:ind w:left="709" w:hanging="567"/>
        <w:rPr>
          <w:rFonts w:cs="Open Sans"/>
        </w:rPr>
      </w:pPr>
      <w:r w:rsidRPr="00BF2102">
        <w:rPr>
          <w:rFonts w:cs="Open Sans"/>
        </w:rPr>
        <w:t>In the further alternative, if the automatic nature of cessation is not reformed, it would be more consistent with human rights for the Minister to be required to consider in every case whether or not to make a determination under ss 33AA(14) or 35(9)</w:t>
      </w:r>
      <w:r w:rsidR="00391CB0" w:rsidRPr="00BF2102">
        <w:rPr>
          <w:rFonts w:cs="Open Sans"/>
        </w:rPr>
        <w:t xml:space="preserve"> that the person be exempt from the effect of the relevant section,</w:t>
      </w:r>
      <w:r w:rsidRPr="00BF2102">
        <w:rPr>
          <w:rFonts w:cs="Open Sans"/>
        </w:rPr>
        <w:t xml:space="preserve"> rather than </w:t>
      </w:r>
      <w:r w:rsidR="003D69FC" w:rsidRPr="00BF2102">
        <w:rPr>
          <w:rFonts w:cs="Open Sans"/>
        </w:rPr>
        <w:t xml:space="preserve">these </w:t>
      </w:r>
      <w:r w:rsidRPr="00BF2102">
        <w:rPr>
          <w:rFonts w:cs="Open Sans"/>
        </w:rPr>
        <w:t>power</w:t>
      </w:r>
      <w:r w:rsidR="003D69FC" w:rsidRPr="00BF2102">
        <w:rPr>
          <w:rFonts w:cs="Open Sans"/>
        </w:rPr>
        <w:t>s</w:t>
      </w:r>
      <w:r w:rsidRPr="00BF2102">
        <w:rPr>
          <w:rFonts w:cs="Open Sans"/>
        </w:rPr>
        <w:t xml:space="preserve"> being discretionary and non-compellable. This consideration and decision-making should be subject to similar notification requirements, to procedural fairness obligations, and review processes.</w:t>
      </w:r>
    </w:p>
    <w:p w14:paraId="4F69ED10" w14:textId="2804B302" w:rsidR="00446D0B" w:rsidRPr="00BF2102" w:rsidRDefault="00446D0B" w:rsidP="00310D03">
      <w:pPr>
        <w:pStyle w:val="ListNumber"/>
        <w:numPr>
          <w:ilvl w:val="0"/>
          <w:numId w:val="15"/>
        </w:numPr>
        <w:tabs>
          <w:tab w:val="num" w:pos="993"/>
          <w:tab w:val="left" w:pos="1418"/>
        </w:tabs>
        <w:ind w:left="709" w:hanging="567"/>
        <w:rPr>
          <w:rFonts w:cs="Open Sans"/>
        </w:rPr>
      </w:pPr>
      <w:r w:rsidRPr="00BF2102">
        <w:rPr>
          <w:rFonts w:cs="Open Sans"/>
        </w:rPr>
        <w:t xml:space="preserve">This approach would be consistent with Recommendation 15 made by the </w:t>
      </w:r>
      <w:r w:rsidR="00BC4C26" w:rsidRPr="00BF2102">
        <w:rPr>
          <w:rFonts w:cs="Open Sans"/>
        </w:rPr>
        <w:t>Committee</w:t>
      </w:r>
      <w:r w:rsidRPr="00BF2102">
        <w:rPr>
          <w:rFonts w:cs="Open Sans"/>
        </w:rPr>
        <w:t xml:space="preserve"> with respect to the initial Allegiance Bill</w:t>
      </w:r>
      <w:r w:rsidR="00391CB0" w:rsidRPr="00BF2102">
        <w:rPr>
          <w:rFonts w:cs="Open Sans"/>
        </w:rPr>
        <w:t>, and with the approach that the Government said that it was taking in response to that recommendation</w:t>
      </w:r>
      <w:r w:rsidRPr="00BF2102">
        <w:rPr>
          <w:rFonts w:cs="Open Sans"/>
        </w:rPr>
        <w:t xml:space="preserve">. </w:t>
      </w:r>
      <w:r w:rsidR="00685C4C" w:rsidRPr="00BF2102">
        <w:rPr>
          <w:rFonts w:cs="Open Sans"/>
        </w:rPr>
        <w:t xml:space="preserve">As discussed </w:t>
      </w:r>
      <w:r w:rsidR="000A784E" w:rsidRPr="00BF2102">
        <w:rPr>
          <w:rFonts w:cs="Open Sans"/>
        </w:rPr>
        <w:t>at</w:t>
      </w:r>
      <w:r w:rsidR="00685C4C" w:rsidRPr="00BF2102">
        <w:rPr>
          <w:rFonts w:cs="Open Sans"/>
        </w:rPr>
        <w:t xml:space="preserve"> [</w:t>
      </w:r>
      <w:r w:rsidR="00685C4C" w:rsidRPr="00BF2102">
        <w:rPr>
          <w:rFonts w:cs="Open Sans"/>
        </w:rPr>
        <w:fldChar w:fldCharType="begin"/>
      </w:r>
      <w:r w:rsidR="00685C4C" w:rsidRPr="00BF2102">
        <w:rPr>
          <w:rFonts w:cs="Open Sans"/>
        </w:rPr>
        <w:instrText xml:space="preserve"> REF _Ref10993058 \r \h </w:instrText>
      </w:r>
      <w:r w:rsidR="00EB38A8" w:rsidRPr="00BF2102">
        <w:rPr>
          <w:rFonts w:cs="Open Sans"/>
        </w:rPr>
        <w:instrText xml:space="preserve"> \* MERGEFORMAT </w:instrText>
      </w:r>
      <w:r w:rsidR="00685C4C" w:rsidRPr="00BF2102">
        <w:rPr>
          <w:rFonts w:cs="Open Sans"/>
        </w:rPr>
      </w:r>
      <w:r w:rsidR="00685C4C" w:rsidRPr="00BF2102">
        <w:rPr>
          <w:rFonts w:cs="Open Sans"/>
        </w:rPr>
        <w:fldChar w:fldCharType="separate"/>
      </w:r>
      <w:r w:rsidR="000E5D23">
        <w:rPr>
          <w:rFonts w:cs="Open Sans"/>
        </w:rPr>
        <w:t>68</w:t>
      </w:r>
      <w:r w:rsidR="00685C4C" w:rsidRPr="00BF2102">
        <w:rPr>
          <w:rFonts w:cs="Open Sans"/>
        </w:rPr>
        <w:fldChar w:fldCharType="end"/>
      </w:r>
      <w:r w:rsidR="00685C4C" w:rsidRPr="00BF2102">
        <w:rPr>
          <w:rFonts w:cs="Open Sans"/>
        </w:rPr>
        <w:t>]</w:t>
      </w:r>
      <w:r w:rsidR="00A04F2B" w:rsidRPr="00BF2102">
        <w:rPr>
          <w:rFonts w:cs="Open Sans"/>
        </w:rPr>
        <w:t>–</w:t>
      </w:r>
      <w:r w:rsidR="00685C4C" w:rsidRPr="00BF2102">
        <w:rPr>
          <w:rFonts w:cs="Open Sans"/>
        </w:rPr>
        <w:t>[</w:t>
      </w:r>
      <w:r w:rsidR="00685C4C" w:rsidRPr="00BF2102">
        <w:rPr>
          <w:rFonts w:cs="Open Sans"/>
        </w:rPr>
        <w:fldChar w:fldCharType="begin"/>
      </w:r>
      <w:r w:rsidR="00685C4C" w:rsidRPr="00BF2102">
        <w:rPr>
          <w:rFonts w:cs="Open Sans"/>
        </w:rPr>
        <w:instrText xml:space="preserve"> REF _Ref10993064 \r \h </w:instrText>
      </w:r>
      <w:r w:rsidR="00EB38A8" w:rsidRPr="00BF2102">
        <w:rPr>
          <w:rFonts w:cs="Open Sans"/>
        </w:rPr>
        <w:instrText xml:space="preserve"> \* MERGEFORMAT </w:instrText>
      </w:r>
      <w:r w:rsidR="00685C4C" w:rsidRPr="00BF2102">
        <w:rPr>
          <w:rFonts w:cs="Open Sans"/>
        </w:rPr>
      </w:r>
      <w:r w:rsidR="00685C4C" w:rsidRPr="00BF2102">
        <w:rPr>
          <w:rFonts w:cs="Open Sans"/>
        </w:rPr>
        <w:fldChar w:fldCharType="separate"/>
      </w:r>
      <w:r w:rsidR="000E5D23">
        <w:rPr>
          <w:rFonts w:cs="Open Sans"/>
        </w:rPr>
        <w:t>75</w:t>
      </w:r>
      <w:r w:rsidR="00685C4C" w:rsidRPr="00BF2102">
        <w:rPr>
          <w:rFonts w:cs="Open Sans"/>
        </w:rPr>
        <w:fldChar w:fldCharType="end"/>
      </w:r>
      <w:r w:rsidR="00685C4C" w:rsidRPr="00BF2102">
        <w:rPr>
          <w:rFonts w:cs="Open Sans"/>
        </w:rPr>
        <w:t>] above, t</w:t>
      </w:r>
      <w:r w:rsidRPr="00BF2102">
        <w:rPr>
          <w:rFonts w:cs="Open Sans"/>
        </w:rPr>
        <w:t xml:space="preserve">he Committee recommended that the Minister be </w:t>
      </w:r>
      <w:r w:rsidRPr="00BF2102">
        <w:rPr>
          <w:rFonts w:cs="Open Sans"/>
          <w:i/>
          <w:iCs/>
        </w:rPr>
        <w:t xml:space="preserve">required </w:t>
      </w:r>
      <w:r w:rsidRPr="00BF2102">
        <w:rPr>
          <w:rFonts w:cs="Open Sans"/>
        </w:rPr>
        <w:t>to consider whether to exempt a person from the otherwise automatic cessation of citizenship by reference to public interest factors, ‘to ensure the appropriate operation of these safeguards, and given the seriousness of lo</w:t>
      </w:r>
      <w:r w:rsidR="008E6AF8" w:rsidRPr="00BF2102">
        <w:rPr>
          <w:rFonts w:cs="Open Sans"/>
        </w:rPr>
        <w:t>s</w:t>
      </w:r>
      <w:r w:rsidRPr="00BF2102">
        <w:rPr>
          <w:rFonts w:cs="Open Sans"/>
        </w:rPr>
        <w:t>s of citizenship’.</w:t>
      </w:r>
      <w:r w:rsidR="008E6AF8" w:rsidRPr="00BF2102">
        <w:rPr>
          <w:rStyle w:val="EndnoteReference"/>
          <w:rFonts w:cs="Open Sans"/>
        </w:rPr>
        <w:endnoteReference w:id="73"/>
      </w:r>
      <w:r w:rsidRPr="00BF2102">
        <w:rPr>
          <w:rFonts w:cs="Open Sans"/>
        </w:rPr>
        <w:t xml:space="preserve"> </w:t>
      </w:r>
    </w:p>
    <w:p w14:paraId="64D92D2D" w14:textId="7962B333" w:rsidR="00446D0B" w:rsidRPr="00BF2102" w:rsidRDefault="00446D0B" w:rsidP="00310D03">
      <w:pPr>
        <w:pStyle w:val="ListNumber"/>
        <w:numPr>
          <w:ilvl w:val="0"/>
          <w:numId w:val="15"/>
        </w:numPr>
        <w:tabs>
          <w:tab w:val="num" w:pos="993"/>
          <w:tab w:val="left" w:pos="1418"/>
        </w:tabs>
        <w:ind w:left="709" w:hanging="567"/>
        <w:rPr>
          <w:rFonts w:cs="Open Sans"/>
        </w:rPr>
      </w:pPr>
      <w:r w:rsidRPr="00BF2102">
        <w:rPr>
          <w:rFonts w:cs="Open Sans"/>
        </w:rPr>
        <w:t xml:space="preserve">The Government, in its response to the Committee’s report, stated that this recommendation had been ‘implemented’. However, to the contrary, </w:t>
      </w:r>
      <w:r w:rsidR="00391CB0" w:rsidRPr="00BF2102">
        <w:rPr>
          <w:rFonts w:cs="Open Sans"/>
        </w:rPr>
        <w:t xml:space="preserve">the amendments made to these sections explicitly provided that the Minister had no duty to consider whether to exercise these powers. </w:t>
      </w:r>
    </w:p>
    <w:p w14:paraId="31DC64D7" w14:textId="79039D87" w:rsidR="00581628" w:rsidRPr="00BF2102" w:rsidRDefault="00E65FFC" w:rsidP="00BC4F60">
      <w:pPr>
        <w:pStyle w:val="ListNumber"/>
        <w:numPr>
          <w:ilvl w:val="0"/>
          <w:numId w:val="15"/>
        </w:numPr>
        <w:tabs>
          <w:tab w:val="num" w:pos="993"/>
          <w:tab w:val="left" w:pos="1418"/>
        </w:tabs>
        <w:ind w:left="709" w:hanging="567"/>
        <w:rPr>
          <w:rFonts w:cs="Open Sans"/>
        </w:rPr>
      </w:pPr>
      <w:r w:rsidRPr="00BF2102">
        <w:rPr>
          <w:rFonts w:cs="Open Sans"/>
        </w:rPr>
        <w:t>The Commission also considers that more detailed reporting to Parliament should be required</w:t>
      </w:r>
      <w:r w:rsidR="00581628" w:rsidRPr="00BF2102">
        <w:rPr>
          <w:rFonts w:cs="Open Sans"/>
        </w:rPr>
        <w:t xml:space="preserve"> on the operation and application of ss 33AA, 35 and 35A</w:t>
      </w:r>
      <w:r w:rsidRPr="00BF2102">
        <w:rPr>
          <w:rFonts w:cs="Open Sans"/>
        </w:rPr>
        <w:t>. The current requirement</w:t>
      </w:r>
      <w:r w:rsidR="00267286" w:rsidRPr="00BF2102">
        <w:rPr>
          <w:rFonts w:cs="Open Sans"/>
        </w:rPr>
        <w:t>s</w:t>
      </w:r>
      <w:r w:rsidRPr="00BF2102">
        <w:rPr>
          <w:rFonts w:cs="Open Sans"/>
        </w:rPr>
        <w:t xml:space="preserve"> to report only on the giving or attempted giving of notices do not meaningfully promote public or other oversight of the application of the provisions. </w:t>
      </w:r>
    </w:p>
    <w:p w14:paraId="5A81946D" w14:textId="67339B3A" w:rsidR="00E65FFC" w:rsidRPr="00BF2102" w:rsidRDefault="00DC400B" w:rsidP="009A0519">
      <w:pPr>
        <w:pStyle w:val="ListNumber"/>
        <w:numPr>
          <w:ilvl w:val="0"/>
          <w:numId w:val="15"/>
        </w:numPr>
        <w:tabs>
          <w:tab w:val="num" w:pos="993"/>
          <w:tab w:val="left" w:pos="1418"/>
        </w:tabs>
        <w:ind w:left="709" w:hanging="567"/>
        <w:rPr>
          <w:rFonts w:cs="Open Sans"/>
        </w:rPr>
      </w:pPr>
      <w:r w:rsidRPr="00BF2102">
        <w:rPr>
          <w:rFonts w:cs="Open Sans"/>
        </w:rPr>
        <w:t>The flow chart attached to the Department’s submission</w:t>
      </w:r>
      <w:r w:rsidR="00BA1487" w:rsidRPr="00BF2102">
        <w:rPr>
          <w:rFonts w:cs="Open Sans"/>
        </w:rPr>
        <w:t>,</w:t>
      </w:r>
      <w:r w:rsidRPr="00BF2102">
        <w:rPr>
          <w:rFonts w:cs="Open Sans"/>
        </w:rPr>
        <w:t xml:space="preserve"> setting out relevant administrative steps under the conduct-based provisions</w:t>
      </w:r>
      <w:r w:rsidR="00BA1487" w:rsidRPr="00BF2102">
        <w:rPr>
          <w:rFonts w:cs="Open Sans"/>
        </w:rPr>
        <w:t>,</w:t>
      </w:r>
      <w:r w:rsidRPr="00BF2102">
        <w:rPr>
          <w:rFonts w:cs="Open Sans"/>
        </w:rPr>
        <w:t xml:space="preserve"> provides a useful basis for identifying the kinds of information that should be reported on. </w:t>
      </w:r>
      <w:r w:rsidR="00581628" w:rsidRPr="00BF2102">
        <w:rPr>
          <w:rFonts w:cs="Open Sans"/>
        </w:rPr>
        <w:t>R</w:t>
      </w:r>
      <w:r w:rsidR="00E65FFC" w:rsidRPr="00BF2102">
        <w:rPr>
          <w:rFonts w:cs="Open Sans"/>
        </w:rPr>
        <w:t>eport</w:t>
      </w:r>
      <w:r w:rsidR="00581628" w:rsidRPr="00BF2102">
        <w:rPr>
          <w:rFonts w:cs="Open Sans"/>
        </w:rPr>
        <w:t>ing</w:t>
      </w:r>
      <w:r w:rsidR="00E65FFC" w:rsidRPr="00BF2102">
        <w:rPr>
          <w:rFonts w:cs="Open Sans"/>
        </w:rPr>
        <w:t xml:space="preserve"> could </w:t>
      </w:r>
      <w:r w:rsidRPr="00BF2102">
        <w:rPr>
          <w:rFonts w:cs="Open Sans"/>
        </w:rPr>
        <w:t xml:space="preserve">include </w:t>
      </w:r>
      <w:r w:rsidR="00267286" w:rsidRPr="00BF2102">
        <w:rPr>
          <w:rFonts w:cs="Open Sans"/>
        </w:rPr>
        <w:t xml:space="preserve">information such as: the number of issues papers considered for endorsement by the Citizenship Loss Board; the number of issues papers endorsed; the number of Ministerial </w:t>
      </w:r>
      <w:r w:rsidR="00267286" w:rsidRPr="00BF2102">
        <w:rPr>
          <w:rFonts w:cs="Open Sans"/>
        </w:rPr>
        <w:lastRenderedPageBreak/>
        <w:t xml:space="preserve">submissions developed and provided to the Minister; the number of </w:t>
      </w:r>
      <w:r w:rsidR="001E50CF" w:rsidRPr="00BF2102">
        <w:rPr>
          <w:rFonts w:cs="Open Sans"/>
        </w:rPr>
        <w:t xml:space="preserve">cases in which </w:t>
      </w:r>
      <w:r w:rsidR="00267286" w:rsidRPr="00BF2102">
        <w:rPr>
          <w:rFonts w:cs="Open Sans"/>
        </w:rPr>
        <w:t xml:space="preserve">the Minister has become aware </w:t>
      </w:r>
      <w:r w:rsidR="001E50CF" w:rsidRPr="00BF2102">
        <w:rPr>
          <w:rFonts w:cs="Open Sans"/>
        </w:rPr>
        <w:t xml:space="preserve">that a person’s citizenship </w:t>
      </w:r>
      <w:r w:rsidR="00331C1E" w:rsidRPr="00BF2102">
        <w:rPr>
          <w:rFonts w:cs="Open Sans"/>
        </w:rPr>
        <w:t>‘</w:t>
      </w:r>
      <w:r w:rsidR="001E50CF" w:rsidRPr="00BF2102">
        <w:rPr>
          <w:rFonts w:cs="Open Sans"/>
        </w:rPr>
        <w:t>has ceased</w:t>
      </w:r>
      <w:r w:rsidR="00331C1E" w:rsidRPr="00BF2102">
        <w:rPr>
          <w:rFonts w:cs="Open Sans"/>
        </w:rPr>
        <w:t>’</w:t>
      </w:r>
      <w:r w:rsidR="00267286" w:rsidRPr="00BF2102">
        <w:rPr>
          <w:rFonts w:cs="Open Sans"/>
        </w:rPr>
        <w:t>; and the number of cases in which the Minister has considered rescinding a person’s cessation of citizenship.</w:t>
      </w:r>
      <w:r w:rsidR="00BC4F60" w:rsidRPr="00BF2102">
        <w:rPr>
          <w:rStyle w:val="EndnoteReference"/>
          <w:rFonts w:cs="Open Sans"/>
        </w:rPr>
        <w:endnoteReference w:id="74"/>
      </w:r>
      <w:r w:rsidR="004C070A" w:rsidRPr="00BF2102">
        <w:rPr>
          <w:rFonts w:cs="Open Sans"/>
        </w:rPr>
        <w:t xml:space="preserve"> </w:t>
      </w:r>
      <w:r w:rsidR="00E65FFC" w:rsidRPr="00BF2102">
        <w:rPr>
          <w:rFonts w:cs="Open Sans"/>
        </w:rPr>
        <w:t>Reporting</w:t>
      </w:r>
      <w:r w:rsidR="00BC4F60" w:rsidRPr="00BF2102">
        <w:rPr>
          <w:rFonts w:cs="Open Sans"/>
        </w:rPr>
        <w:t xml:space="preserve"> should also specifically be required</w:t>
      </w:r>
      <w:r w:rsidR="00E65FFC" w:rsidRPr="00BF2102">
        <w:rPr>
          <w:rFonts w:cs="Open Sans"/>
        </w:rPr>
        <w:t xml:space="preserve"> on the number of </w:t>
      </w:r>
      <w:r w:rsidR="00BC4F60" w:rsidRPr="00BF2102">
        <w:rPr>
          <w:rFonts w:cs="Open Sans"/>
        </w:rPr>
        <w:t xml:space="preserve">affected </w:t>
      </w:r>
      <w:r w:rsidR="00E65FFC" w:rsidRPr="00BF2102">
        <w:rPr>
          <w:rFonts w:cs="Open Sans"/>
        </w:rPr>
        <w:t>children</w:t>
      </w:r>
      <w:r w:rsidR="001E50CF" w:rsidRPr="00BF2102">
        <w:rPr>
          <w:rFonts w:cs="Open Sans"/>
        </w:rPr>
        <w:t xml:space="preserve"> in each category</w:t>
      </w:r>
      <w:r w:rsidR="00E65FFC" w:rsidRPr="00BF2102">
        <w:rPr>
          <w:rFonts w:cs="Open Sans"/>
        </w:rPr>
        <w:t>.</w:t>
      </w:r>
      <w:r w:rsidR="004C070A" w:rsidRPr="00BF2102">
        <w:rPr>
          <w:rFonts w:cs="Open Sans"/>
        </w:rPr>
        <w:t xml:space="preserve"> </w:t>
      </w:r>
    </w:p>
    <w:p w14:paraId="43FCF4B0" w14:textId="77777777" w:rsidR="0042792F" w:rsidRPr="00BF2102" w:rsidRDefault="0042792F" w:rsidP="0042792F">
      <w:pPr>
        <w:keepNext/>
        <w:tabs>
          <w:tab w:val="left" w:pos="1134"/>
          <w:tab w:val="left" w:pos="1418"/>
        </w:tabs>
        <w:spacing w:before="120"/>
        <w:ind w:left="709"/>
        <w:rPr>
          <w:rFonts w:cs="Open Sans"/>
          <w:b/>
          <w:bCs/>
        </w:rPr>
      </w:pPr>
      <w:r w:rsidRPr="00BF2102">
        <w:rPr>
          <w:rFonts w:cs="Open Sans"/>
          <w:b/>
        </w:rPr>
        <w:t>Recommendation</w:t>
      </w:r>
      <w:r w:rsidRPr="00BF2102">
        <w:rPr>
          <w:rFonts w:cs="Open Sans"/>
          <w:b/>
          <w:bCs/>
        </w:rPr>
        <w:t xml:space="preserve"> 3</w:t>
      </w:r>
    </w:p>
    <w:p w14:paraId="5A43D59C" w14:textId="551B3EF8" w:rsidR="0042792F" w:rsidRPr="00BF2102" w:rsidRDefault="0042792F" w:rsidP="0042792F">
      <w:pPr>
        <w:pStyle w:val="Subnumbered"/>
        <w:numPr>
          <w:ilvl w:val="0"/>
          <w:numId w:val="0"/>
        </w:numPr>
        <w:ind w:left="709"/>
        <w:rPr>
          <w:rFonts w:cs="Open Sans"/>
        </w:rPr>
      </w:pPr>
      <w:r w:rsidRPr="00BF2102">
        <w:rPr>
          <w:rFonts w:cs="Open Sans"/>
        </w:rPr>
        <w:t>If Recommendations 1 and 2 are not accepted, ss 33AA and 35 should be amended to ensure that the Minister is required to consider in every case whether or not to make a determination under ss 33AA(14) or 35(9) to exempt the operation of the automatic citizenship loss provisions, rather than these powers being discretionary and non-compellable.</w:t>
      </w:r>
    </w:p>
    <w:p w14:paraId="0DE85CDC" w14:textId="450A57B3" w:rsidR="0068771E" w:rsidRPr="00BF2102" w:rsidRDefault="0068771E" w:rsidP="0068771E">
      <w:pPr>
        <w:pStyle w:val="ListNumber"/>
        <w:keepNext/>
        <w:ind w:left="720"/>
        <w:rPr>
          <w:rFonts w:cs="Open Sans"/>
          <w:b/>
        </w:rPr>
      </w:pPr>
      <w:r w:rsidRPr="00BF2102">
        <w:rPr>
          <w:rFonts w:cs="Open Sans"/>
          <w:b/>
        </w:rPr>
        <w:t>Recommendation 4</w:t>
      </w:r>
    </w:p>
    <w:p w14:paraId="114B87EA" w14:textId="0E517BED" w:rsidR="0068771E" w:rsidRPr="00BF2102" w:rsidRDefault="001E50CF" w:rsidP="0068771E">
      <w:pPr>
        <w:pStyle w:val="Subnumbered"/>
        <w:numPr>
          <w:ilvl w:val="0"/>
          <w:numId w:val="0"/>
        </w:numPr>
        <w:ind w:left="709"/>
        <w:rPr>
          <w:rFonts w:cs="Open Sans"/>
        </w:rPr>
      </w:pPr>
      <w:r w:rsidRPr="00BF2102">
        <w:rPr>
          <w:rFonts w:cs="Open Sans"/>
        </w:rPr>
        <w:t xml:space="preserve">If </w:t>
      </w:r>
      <w:r w:rsidR="00BC4F60" w:rsidRPr="00BF2102">
        <w:rPr>
          <w:rFonts w:cs="Open Sans"/>
        </w:rPr>
        <w:t xml:space="preserve">Recommendation 1 </w:t>
      </w:r>
      <w:r w:rsidRPr="00BF2102">
        <w:rPr>
          <w:rFonts w:cs="Open Sans"/>
        </w:rPr>
        <w:t xml:space="preserve">is </w:t>
      </w:r>
      <w:r w:rsidR="00BC4F60" w:rsidRPr="00BF2102">
        <w:rPr>
          <w:rFonts w:cs="Open Sans"/>
        </w:rPr>
        <w:t xml:space="preserve">not accepted, </w:t>
      </w:r>
      <w:r w:rsidR="00325E42" w:rsidRPr="00BF2102">
        <w:rPr>
          <w:rFonts w:cs="Open Sans"/>
        </w:rPr>
        <w:t>s</w:t>
      </w:r>
      <w:r w:rsidR="00E65FFC" w:rsidRPr="00BF2102">
        <w:rPr>
          <w:rFonts w:cs="Open Sans"/>
        </w:rPr>
        <w:t>s</w:t>
      </w:r>
      <w:r w:rsidR="0068771E" w:rsidRPr="00BF2102">
        <w:rPr>
          <w:rFonts w:cs="Open Sans"/>
        </w:rPr>
        <w:t> </w:t>
      </w:r>
      <w:r w:rsidR="005704D3" w:rsidRPr="00BF2102">
        <w:rPr>
          <w:rFonts w:cs="Open Sans"/>
        </w:rPr>
        <w:t>33AA(12)</w:t>
      </w:r>
      <w:r w:rsidR="00BC4F60" w:rsidRPr="00BF2102">
        <w:rPr>
          <w:rFonts w:cs="Open Sans"/>
        </w:rPr>
        <w:t xml:space="preserve"> and</w:t>
      </w:r>
      <w:r w:rsidR="005704D3" w:rsidRPr="00BF2102">
        <w:rPr>
          <w:rFonts w:cs="Open Sans"/>
        </w:rPr>
        <w:t xml:space="preserve"> 35(7) should be amended to require that the Minister must be satisfied that the giving of a notice ‘would</w:t>
      </w:r>
      <w:r w:rsidR="00267286" w:rsidRPr="00BF2102">
        <w:rPr>
          <w:rFonts w:cs="Open Sans"/>
        </w:rPr>
        <w:t xml:space="preserve"> </w:t>
      </w:r>
      <w:r w:rsidR="00162206" w:rsidRPr="00BF2102">
        <w:rPr>
          <w:rFonts w:cs="Open Sans"/>
        </w:rPr>
        <w:t xml:space="preserve">be </w:t>
      </w:r>
      <w:r w:rsidR="00267286" w:rsidRPr="00BF2102">
        <w:rPr>
          <w:rFonts w:cs="Open Sans"/>
        </w:rPr>
        <w:t>likely</w:t>
      </w:r>
      <w:r w:rsidR="00162206" w:rsidRPr="00BF2102">
        <w:rPr>
          <w:rFonts w:cs="Open Sans"/>
        </w:rPr>
        <w:t xml:space="preserve"> to</w:t>
      </w:r>
      <w:r w:rsidR="005704D3" w:rsidRPr="00BF2102">
        <w:rPr>
          <w:rFonts w:cs="Open Sans"/>
        </w:rPr>
        <w:t>’, rather than ‘could’, prejudice the security, defence or international relations of Australia, or Australian law enforcement operations</w:t>
      </w:r>
      <w:r w:rsidR="004C35FE" w:rsidRPr="00BF2102">
        <w:rPr>
          <w:rFonts w:cs="Open Sans"/>
        </w:rPr>
        <w:t>,</w:t>
      </w:r>
      <w:r w:rsidR="00162206" w:rsidRPr="00BF2102">
        <w:rPr>
          <w:rFonts w:cs="Open Sans"/>
        </w:rPr>
        <w:t xml:space="preserve"> before the Minister may determine that a notice should not be given to a person</w:t>
      </w:r>
      <w:r w:rsidR="005704D3" w:rsidRPr="00BF2102">
        <w:rPr>
          <w:rFonts w:cs="Open Sans"/>
        </w:rPr>
        <w:t>.</w:t>
      </w:r>
      <w:r w:rsidR="00BC4F60" w:rsidRPr="00BF2102">
        <w:rPr>
          <w:rFonts w:cs="Open Sans"/>
        </w:rPr>
        <w:t xml:space="preserve"> S</w:t>
      </w:r>
      <w:r w:rsidR="00BA1487" w:rsidRPr="00BF2102">
        <w:rPr>
          <w:rFonts w:cs="Open Sans"/>
        </w:rPr>
        <w:t>ubs</w:t>
      </w:r>
      <w:r w:rsidR="00BC4F60" w:rsidRPr="00BF2102">
        <w:rPr>
          <w:rFonts w:cs="Open Sans"/>
        </w:rPr>
        <w:t>ection 35</w:t>
      </w:r>
      <w:proofErr w:type="gramStart"/>
      <w:r w:rsidR="00BC4F60" w:rsidRPr="00BF2102">
        <w:rPr>
          <w:rFonts w:cs="Open Sans"/>
        </w:rPr>
        <w:t>A(</w:t>
      </w:r>
      <w:proofErr w:type="gramEnd"/>
      <w:r w:rsidR="00BC4F60" w:rsidRPr="00BF2102">
        <w:rPr>
          <w:rFonts w:cs="Open Sans"/>
        </w:rPr>
        <w:t>7) should be amended</w:t>
      </w:r>
      <w:r w:rsidR="00BA1487" w:rsidRPr="00BF2102">
        <w:rPr>
          <w:rFonts w:cs="Open Sans"/>
        </w:rPr>
        <w:t xml:space="preserve"> to achieve the same effect</w:t>
      </w:r>
      <w:r w:rsidR="00BC4F60" w:rsidRPr="00BF2102">
        <w:rPr>
          <w:rFonts w:cs="Open Sans"/>
        </w:rPr>
        <w:t>.</w:t>
      </w:r>
    </w:p>
    <w:p w14:paraId="4CDEE1D3" w14:textId="612CE5D1" w:rsidR="0086481B" w:rsidRPr="00BF2102" w:rsidRDefault="0086481B" w:rsidP="0086481B">
      <w:pPr>
        <w:pStyle w:val="ListNumber"/>
        <w:keepNext/>
        <w:ind w:left="720"/>
        <w:rPr>
          <w:rFonts w:cs="Open Sans"/>
          <w:b/>
        </w:rPr>
      </w:pPr>
      <w:r w:rsidRPr="00BF2102">
        <w:rPr>
          <w:rFonts w:cs="Open Sans"/>
          <w:b/>
        </w:rPr>
        <w:t xml:space="preserve">Recommendation </w:t>
      </w:r>
      <w:r w:rsidR="000D2FE3" w:rsidRPr="00BF2102">
        <w:rPr>
          <w:rFonts w:cs="Open Sans"/>
          <w:b/>
        </w:rPr>
        <w:t>5</w:t>
      </w:r>
    </w:p>
    <w:p w14:paraId="46182743" w14:textId="2F80A126" w:rsidR="0086481B" w:rsidRPr="00BF2102" w:rsidRDefault="0086481B" w:rsidP="0068771E">
      <w:pPr>
        <w:pStyle w:val="Subnumbered"/>
        <w:numPr>
          <w:ilvl w:val="0"/>
          <w:numId w:val="0"/>
        </w:numPr>
        <w:ind w:left="709"/>
        <w:rPr>
          <w:rFonts w:cs="Open Sans"/>
        </w:rPr>
      </w:pPr>
      <w:r w:rsidRPr="00BF2102">
        <w:rPr>
          <w:rFonts w:cs="Open Sans"/>
        </w:rPr>
        <w:t>S</w:t>
      </w:r>
      <w:r w:rsidR="00BA1487" w:rsidRPr="00BF2102">
        <w:rPr>
          <w:rFonts w:cs="Open Sans"/>
        </w:rPr>
        <w:t>ubs</w:t>
      </w:r>
      <w:r w:rsidRPr="00BF2102">
        <w:rPr>
          <w:rFonts w:cs="Open Sans"/>
        </w:rPr>
        <w:t>ection 51</w:t>
      </w:r>
      <w:proofErr w:type="gramStart"/>
      <w:r w:rsidRPr="00BF2102">
        <w:rPr>
          <w:rFonts w:cs="Open Sans"/>
        </w:rPr>
        <w:t>B</w:t>
      </w:r>
      <w:r w:rsidR="000D2FE3" w:rsidRPr="00BF2102">
        <w:rPr>
          <w:rFonts w:cs="Open Sans"/>
        </w:rPr>
        <w:t>(</w:t>
      </w:r>
      <w:proofErr w:type="gramEnd"/>
      <w:r w:rsidR="000D2FE3" w:rsidRPr="00BF2102">
        <w:rPr>
          <w:rFonts w:cs="Open Sans"/>
        </w:rPr>
        <w:t>1)</w:t>
      </w:r>
      <w:r w:rsidRPr="00BF2102">
        <w:rPr>
          <w:rFonts w:cs="Open Sans"/>
        </w:rPr>
        <w:t xml:space="preserve"> should be amended to </w:t>
      </w:r>
      <w:r w:rsidR="000D2FE3" w:rsidRPr="00BF2102">
        <w:rPr>
          <w:rFonts w:cs="Open Sans"/>
        </w:rPr>
        <w:t xml:space="preserve">require more detailed reporting to Parliament on the </w:t>
      </w:r>
      <w:r w:rsidR="00BC4F60" w:rsidRPr="00BF2102">
        <w:rPr>
          <w:rFonts w:cs="Open Sans"/>
        </w:rPr>
        <w:t>operation and application of</w:t>
      </w:r>
      <w:r w:rsidR="000D2FE3" w:rsidRPr="00BF2102">
        <w:rPr>
          <w:rFonts w:cs="Open Sans"/>
        </w:rPr>
        <w:t xml:space="preserve"> ss 33AA, 35 and 35A</w:t>
      </w:r>
      <w:r w:rsidR="00BC4F60" w:rsidRPr="00BF2102">
        <w:rPr>
          <w:rFonts w:cs="Open Sans"/>
        </w:rPr>
        <w:t xml:space="preserve">, including </w:t>
      </w:r>
      <w:r w:rsidR="001E50CF" w:rsidRPr="00BF2102">
        <w:rPr>
          <w:rFonts w:cs="Open Sans"/>
        </w:rPr>
        <w:t xml:space="preserve">in relation </w:t>
      </w:r>
      <w:r w:rsidR="00BC4F60" w:rsidRPr="00BF2102">
        <w:rPr>
          <w:rFonts w:cs="Open Sans"/>
        </w:rPr>
        <w:t>to children</w:t>
      </w:r>
      <w:r w:rsidR="000D2FE3" w:rsidRPr="00BF2102">
        <w:rPr>
          <w:rFonts w:cs="Open Sans"/>
        </w:rPr>
        <w:t>.</w:t>
      </w:r>
    </w:p>
    <w:p w14:paraId="5A1D6A11" w14:textId="385B2660" w:rsidR="00BF56D1" w:rsidRPr="00BF2102" w:rsidRDefault="00BF56D1" w:rsidP="003E0703">
      <w:pPr>
        <w:pStyle w:val="Heading3"/>
        <w:rPr>
          <w:rFonts w:cs="Open Sans"/>
          <w:i/>
          <w:iCs/>
        </w:rPr>
      </w:pPr>
      <w:bookmarkStart w:id="87" w:name="_Toc11407973"/>
      <w:r w:rsidRPr="00BF2102">
        <w:rPr>
          <w:rFonts w:cs="Open Sans"/>
          <w:i/>
          <w:iCs/>
        </w:rPr>
        <w:t>Merits review</w:t>
      </w:r>
      <w:bookmarkEnd w:id="87"/>
      <w:r w:rsidR="007D301C" w:rsidRPr="00BF2102">
        <w:rPr>
          <w:rFonts w:cs="Open Sans"/>
          <w:i/>
          <w:iCs/>
        </w:rPr>
        <w:t xml:space="preserve"> </w:t>
      </w:r>
    </w:p>
    <w:p w14:paraId="5AAE4253" w14:textId="7496531D" w:rsidR="00A84AE3" w:rsidRPr="00BF2102" w:rsidRDefault="00A84AE3" w:rsidP="00310D03">
      <w:pPr>
        <w:pStyle w:val="ListNumber"/>
        <w:numPr>
          <w:ilvl w:val="0"/>
          <w:numId w:val="15"/>
        </w:numPr>
        <w:tabs>
          <w:tab w:val="num" w:pos="993"/>
          <w:tab w:val="left" w:pos="1418"/>
        </w:tabs>
        <w:ind w:left="709" w:hanging="567"/>
        <w:rPr>
          <w:rFonts w:cs="Open Sans"/>
        </w:rPr>
      </w:pPr>
      <w:r w:rsidRPr="00BF2102">
        <w:rPr>
          <w:rFonts w:cs="Open Sans"/>
        </w:rPr>
        <w:t xml:space="preserve">Given the evident importance of making fair, principled, lawful and correct decisions on a matter as serious as citizenship removal, the Commission considers that merits review of all decisions made under </w:t>
      </w:r>
      <w:r w:rsidR="001B3AA2" w:rsidRPr="00BF2102">
        <w:rPr>
          <w:rFonts w:cs="Open Sans"/>
        </w:rPr>
        <w:t>ss </w:t>
      </w:r>
      <w:r w:rsidRPr="00BF2102">
        <w:rPr>
          <w:rFonts w:cs="Open Sans"/>
        </w:rPr>
        <w:t xml:space="preserve">33AA, 35 and 35A should be available. </w:t>
      </w:r>
    </w:p>
    <w:p w14:paraId="6A333E72" w14:textId="45FF7E9D" w:rsidR="00A84AE3" w:rsidRPr="00BF2102" w:rsidRDefault="00A84AE3" w:rsidP="00310D03">
      <w:pPr>
        <w:pStyle w:val="ListNumber"/>
        <w:numPr>
          <w:ilvl w:val="0"/>
          <w:numId w:val="15"/>
        </w:numPr>
        <w:tabs>
          <w:tab w:val="num" w:pos="993"/>
          <w:tab w:val="left" w:pos="1418"/>
        </w:tabs>
        <w:ind w:left="709" w:hanging="567"/>
        <w:rPr>
          <w:rFonts w:cs="Open Sans"/>
        </w:rPr>
      </w:pPr>
      <w:r w:rsidRPr="00BF2102">
        <w:rPr>
          <w:rFonts w:cs="Open Sans"/>
        </w:rPr>
        <w:t>The following relevant principles have been identified by the Administrative Review Council (ARC), to guide what decisions should be subject to merits review:</w:t>
      </w:r>
      <w:r w:rsidRPr="00BF2102">
        <w:rPr>
          <w:rStyle w:val="EndnoteReference"/>
          <w:rFonts w:cs="Open Sans"/>
        </w:rPr>
        <w:endnoteReference w:id="75"/>
      </w:r>
    </w:p>
    <w:p w14:paraId="4AEF8284" w14:textId="74B2EB6B" w:rsidR="00A84AE3" w:rsidRPr="00BF2102" w:rsidRDefault="00A84AE3" w:rsidP="00310D03">
      <w:pPr>
        <w:pStyle w:val="ListParagraph"/>
        <w:numPr>
          <w:ilvl w:val="0"/>
          <w:numId w:val="32"/>
        </w:numPr>
        <w:spacing w:before="120" w:after="120"/>
        <w:rPr>
          <w:rFonts w:cs="Open Sans"/>
        </w:rPr>
      </w:pPr>
      <w:r w:rsidRPr="00BF2102">
        <w:rPr>
          <w:rFonts w:cs="Open Sans"/>
        </w:rPr>
        <w:t>as a matter of principle an administrative decision that will ‘affect the interests of a person</w:t>
      </w:r>
      <w:r w:rsidR="00162206" w:rsidRPr="00BF2102">
        <w:rPr>
          <w:rFonts w:cs="Open Sans"/>
        </w:rPr>
        <w:t>’</w:t>
      </w:r>
      <w:r w:rsidRPr="00BF2102">
        <w:rPr>
          <w:rFonts w:cs="Open Sans"/>
        </w:rPr>
        <w:t xml:space="preserve"> should be subject to merits review</w:t>
      </w:r>
    </w:p>
    <w:p w14:paraId="616ED965" w14:textId="77777777" w:rsidR="00A84AE3" w:rsidRPr="00BF2102" w:rsidRDefault="00A84AE3" w:rsidP="00310D03">
      <w:pPr>
        <w:pStyle w:val="ListParagraph"/>
        <w:numPr>
          <w:ilvl w:val="0"/>
          <w:numId w:val="32"/>
        </w:numPr>
        <w:spacing w:before="120" w:after="120"/>
        <w:rPr>
          <w:rFonts w:cs="Open Sans"/>
        </w:rPr>
      </w:pPr>
      <w:r w:rsidRPr="00BF2102">
        <w:rPr>
          <w:rFonts w:cs="Open Sans"/>
        </w:rPr>
        <w:lastRenderedPageBreak/>
        <w:t xml:space="preserve">the fact that a decision-making power involves matters of national sovereignty, such as the question of who is admitted </w:t>
      </w:r>
      <w:proofErr w:type="gramStart"/>
      <w:r w:rsidRPr="00BF2102">
        <w:rPr>
          <w:rFonts w:cs="Open Sans"/>
        </w:rPr>
        <w:t>to enter</w:t>
      </w:r>
      <w:proofErr w:type="gramEnd"/>
      <w:r w:rsidRPr="00BF2102">
        <w:rPr>
          <w:rFonts w:cs="Open Sans"/>
        </w:rPr>
        <w:t xml:space="preserve"> the country, does not, alone, mean that decisions made under the power should be excluded from review</w:t>
      </w:r>
    </w:p>
    <w:p w14:paraId="7496D08E" w14:textId="77777777" w:rsidR="00A84AE3" w:rsidRPr="00BF2102" w:rsidRDefault="00A84AE3" w:rsidP="00310D03">
      <w:pPr>
        <w:pStyle w:val="ListParagraph"/>
        <w:numPr>
          <w:ilvl w:val="0"/>
          <w:numId w:val="32"/>
        </w:numPr>
        <w:spacing w:before="120" w:after="120"/>
        <w:rPr>
          <w:rFonts w:cs="Open Sans"/>
        </w:rPr>
      </w:pPr>
      <w:r w:rsidRPr="00BF2102">
        <w:rPr>
          <w:rFonts w:cs="Open Sans"/>
        </w:rPr>
        <w:t>a decision is not inappropriate for merits review merely because that decision may also be the subject of judicial review.</w:t>
      </w:r>
    </w:p>
    <w:p w14:paraId="712CB5A0" w14:textId="4603C9E5" w:rsidR="007341BC" w:rsidRPr="00BF2102" w:rsidRDefault="00F11FFD" w:rsidP="00310D03">
      <w:pPr>
        <w:pStyle w:val="ListNumber"/>
        <w:numPr>
          <w:ilvl w:val="0"/>
          <w:numId w:val="15"/>
        </w:numPr>
        <w:tabs>
          <w:tab w:val="num" w:pos="993"/>
          <w:tab w:val="left" w:pos="1418"/>
        </w:tabs>
        <w:ind w:left="709" w:hanging="567"/>
        <w:rPr>
          <w:rFonts w:cs="Open Sans"/>
        </w:rPr>
      </w:pPr>
      <w:r w:rsidRPr="00BF2102">
        <w:rPr>
          <w:rFonts w:cs="Open Sans"/>
        </w:rPr>
        <w:t xml:space="preserve">Balanced </w:t>
      </w:r>
      <w:r w:rsidR="00A84AE3" w:rsidRPr="00BF2102">
        <w:rPr>
          <w:rFonts w:cs="Open Sans"/>
        </w:rPr>
        <w:t>against these factors are the arguments that decisions of high political content</w:t>
      </w:r>
      <w:r w:rsidR="007D301C" w:rsidRPr="00BF2102">
        <w:rPr>
          <w:rFonts w:cs="Open Sans"/>
        </w:rPr>
        <w:t xml:space="preserve"> including those relating to national security</w:t>
      </w:r>
      <w:r w:rsidR="00A84AE3" w:rsidRPr="00BF2102">
        <w:rPr>
          <w:rFonts w:cs="Open Sans"/>
        </w:rPr>
        <w:t xml:space="preserve">, and </w:t>
      </w:r>
      <w:r w:rsidR="007341BC" w:rsidRPr="00BF2102">
        <w:rPr>
          <w:rFonts w:cs="Open Sans"/>
        </w:rPr>
        <w:t>particularly decision</w:t>
      </w:r>
      <w:r w:rsidR="00B839B5" w:rsidRPr="00BF2102">
        <w:rPr>
          <w:rFonts w:cs="Open Sans"/>
        </w:rPr>
        <w:t>s</w:t>
      </w:r>
      <w:r w:rsidR="007341BC" w:rsidRPr="00BF2102">
        <w:rPr>
          <w:rFonts w:cs="Open Sans"/>
        </w:rPr>
        <w:t xml:space="preserve"> of this kind made personally by a Minister, </w:t>
      </w:r>
      <w:r w:rsidR="0008058B" w:rsidRPr="00BF2102">
        <w:rPr>
          <w:rFonts w:cs="Open Sans"/>
        </w:rPr>
        <w:t xml:space="preserve">may justify excluding </w:t>
      </w:r>
      <w:r w:rsidR="00A84AE3" w:rsidRPr="00BF2102">
        <w:rPr>
          <w:rFonts w:cs="Open Sans"/>
        </w:rPr>
        <w:t xml:space="preserve">merits review. </w:t>
      </w:r>
    </w:p>
    <w:p w14:paraId="01CCC0AA" w14:textId="34781108" w:rsidR="00392793" w:rsidRPr="00BF2102" w:rsidRDefault="007341BC" w:rsidP="00310D03">
      <w:pPr>
        <w:pStyle w:val="ListNumber"/>
        <w:numPr>
          <w:ilvl w:val="0"/>
          <w:numId w:val="15"/>
        </w:numPr>
        <w:tabs>
          <w:tab w:val="num" w:pos="993"/>
          <w:tab w:val="left" w:pos="1418"/>
        </w:tabs>
        <w:ind w:left="709" w:hanging="567"/>
        <w:rPr>
          <w:rFonts w:cs="Open Sans"/>
        </w:rPr>
      </w:pPr>
      <w:r w:rsidRPr="00BF2102">
        <w:rPr>
          <w:rFonts w:cs="Open Sans"/>
        </w:rPr>
        <w:t>In seeking to evaluate these</w:t>
      </w:r>
      <w:r w:rsidR="0008058B" w:rsidRPr="00BF2102">
        <w:rPr>
          <w:rFonts w:cs="Open Sans"/>
        </w:rPr>
        <w:t xml:space="preserve"> conflicting positions, the Commission’s view is influenced by the fact that these decisions have the potential to gravely affect a </w:t>
      </w:r>
      <w:r w:rsidR="00A84AE3" w:rsidRPr="00BF2102">
        <w:rPr>
          <w:rFonts w:cs="Open Sans"/>
        </w:rPr>
        <w:t xml:space="preserve">person’s interests and </w:t>
      </w:r>
      <w:r w:rsidR="00F11FFD" w:rsidRPr="00BF2102">
        <w:rPr>
          <w:rFonts w:cs="Open Sans"/>
        </w:rPr>
        <w:t xml:space="preserve">basic human </w:t>
      </w:r>
      <w:r w:rsidR="00A84AE3" w:rsidRPr="00BF2102">
        <w:rPr>
          <w:rFonts w:cs="Open Sans"/>
        </w:rPr>
        <w:t>rights</w:t>
      </w:r>
      <w:r w:rsidR="0008058B" w:rsidRPr="00BF2102">
        <w:rPr>
          <w:rFonts w:cs="Open Sans"/>
        </w:rPr>
        <w:t xml:space="preserve">. </w:t>
      </w:r>
    </w:p>
    <w:p w14:paraId="5BC343B1" w14:textId="77777777" w:rsidR="00F614F9" w:rsidRPr="00BF2102" w:rsidRDefault="0008058B" w:rsidP="00310D03">
      <w:pPr>
        <w:pStyle w:val="ListNumber"/>
        <w:numPr>
          <w:ilvl w:val="0"/>
          <w:numId w:val="15"/>
        </w:numPr>
        <w:tabs>
          <w:tab w:val="num" w:pos="993"/>
          <w:tab w:val="left" w:pos="1418"/>
        </w:tabs>
        <w:ind w:left="709" w:hanging="567"/>
        <w:rPr>
          <w:rFonts w:cs="Open Sans"/>
        </w:rPr>
      </w:pPr>
      <w:r w:rsidRPr="00BF2102">
        <w:rPr>
          <w:rFonts w:cs="Open Sans"/>
        </w:rPr>
        <w:t xml:space="preserve">While the decisions also raise national security issues, there are other mechanisms available through the criminal justice system and </w:t>
      </w:r>
      <w:r w:rsidR="00B839B5" w:rsidRPr="00BF2102">
        <w:rPr>
          <w:rFonts w:cs="Open Sans"/>
        </w:rPr>
        <w:t xml:space="preserve">the control order regime </w:t>
      </w:r>
      <w:r w:rsidRPr="00BF2102">
        <w:rPr>
          <w:rFonts w:cs="Open Sans"/>
        </w:rPr>
        <w:t>to ensure that the public is kept safe from people who are at risk of losing their citizenship</w:t>
      </w:r>
      <w:r w:rsidR="00B839B5" w:rsidRPr="00BF2102">
        <w:rPr>
          <w:rFonts w:cs="Open Sans"/>
        </w:rPr>
        <w:t>. Where the citizenship loss provisions are applied to people who are already outside Australia</w:t>
      </w:r>
      <w:r w:rsidR="00392793" w:rsidRPr="00BF2102">
        <w:rPr>
          <w:rFonts w:cs="Open Sans"/>
        </w:rPr>
        <w:t>—</w:t>
      </w:r>
      <w:r w:rsidR="00B839B5" w:rsidRPr="00BF2102">
        <w:rPr>
          <w:rFonts w:cs="Open Sans"/>
        </w:rPr>
        <w:t>which</w:t>
      </w:r>
      <w:r w:rsidR="001B3AA2" w:rsidRPr="00BF2102">
        <w:rPr>
          <w:rFonts w:cs="Open Sans"/>
        </w:rPr>
        <w:t xml:space="preserve"> the Commission understands</w:t>
      </w:r>
      <w:r w:rsidR="00B839B5" w:rsidRPr="00BF2102">
        <w:rPr>
          <w:rFonts w:cs="Open Sans"/>
        </w:rPr>
        <w:t xml:space="preserve"> has been universally the case to date</w:t>
      </w:r>
      <w:r w:rsidR="00392793" w:rsidRPr="00BF2102">
        <w:rPr>
          <w:rFonts w:cs="Open Sans"/>
        </w:rPr>
        <w:t>—</w:t>
      </w:r>
      <w:r w:rsidR="00B839B5" w:rsidRPr="00BF2102">
        <w:rPr>
          <w:rFonts w:cs="Open Sans"/>
        </w:rPr>
        <w:t xml:space="preserve">the arguments that this provides some additional benefit in terms of increased safety to the Australian community are less persuasive. </w:t>
      </w:r>
    </w:p>
    <w:p w14:paraId="58CBC1C2" w14:textId="38DB9A82" w:rsidR="00A84AE3" w:rsidRPr="00BF2102" w:rsidRDefault="00B839B5" w:rsidP="00310D03">
      <w:pPr>
        <w:pStyle w:val="ListNumber"/>
        <w:numPr>
          <w:ilvl w:val="0"/>
          <w:numId w:val="15"/>
        </w:numPr>
        <w:tabs>
          <w:tab w:val="num" w:pos="993"/>
          <w:tab w:val="left" w:pos="1418"/>
        </w:tabs>
        <w:ind w:left="709" w:hanging="567"/>
        <w:rPr>
          <w:rFonts w:cs="Open Sans"/>
        </w:rPr>
      </w:pPr>
      <w:r w:rsidRPr="00BF2102">
        <w:rPr>
          <w:rFonts w:cs="Open Sans"/>
        </w:rPr>
        <w:t>On balance</w:t>
      </w:r>
      <w:r w:rsidR="00A84AE3" w:rsidRPr="00BF2102">
        <w:rPr>
          <w:rFonts w:cs="Open Sans"/>
        </w:rPr>
        <w:t xml:space="preserve">, </w:t>
      </w:r>
      <w:r w:rsidRPr="00BF2102">
        <w:rPr>
          <w:rFonts w:cs="Open Sans"/>
        </w:rPr>
        <w:t xml:space="preserve">this </w:t>
      </w:r>
      <w:r w:rsidR="00A84AE3" w:rsidRPr="00BF2102">
        <w:rPr>
          <w:rFonts w:cs="Open Sans"/>
        </w:rPr>
        <w:t>suggests that a broader approach should be applied</w:t>
      </w:r>
      <w:r w:rsidRPr="00BF2102">
        <w:rPr>
          <w:rFonts w:cs="Open Sans"/>
        </w:rPr>
        <w:t xml:space="preserve"> and that these decisions should be subject to merits review</w:t>
      </w:r>
      <w:r w:rsidR="00A84AE3" w:rsidRPr="00BF2102">
        <w:rPr>
          <w:rFonts w:cs="Open Sans"/>
        </w:rPr>
        <w:t>. As stated by the ARC:</w:t>
      </w:r>
    </w:p>
    <w:p w14:paraId="1BD51827" w14:textId="2CC93DF3" w:rsidR="00A84AE3" w:rsidRPr="00BF2102" w:rsidRDefault="00A84AE3" w:rsidP="00A84AE3">
      <w:pPr>
        <w:pStyle w:val="ListNumber"/>
        <w:tabs>
          <w:tab w:val="left" w:pos="1418"/>
        </w:tabs>
        <w:ind w:left="1134"/>
        <w:rPr>
          <w:rFonts w:cs="Open Sans"/>
          <w:sz w:val="22"/>
          <w:szCs w:val="22"/>
        </w:rPr>
      </w:pPr>
      <w:r w:rsidRPr="00BF2102">
        <w:rPr>
          <w:rFonts w:cs="Open Sans"/>
          <w:sz w:val="22"/>
          <w:szCs w:val="22"/>
        </w:rPr>
        <w:t>If a more restrictive approach is adopted, there is a risk of denying an opportunity for review to someone whose interests have been adversely affected by a decision. Further, there is a risk of losing the broader and beneficial effects that merits review is intended to have on the overall quality of government decision-making.</w:t>
      </w:r>
      <w:r w:rsidRPr="00BF2102">
        <w:rPr>
          <w:rStyle w:val="EndnoteReference"/>
          <w:rFonts w:cs="Open Sans"/>
        </w:rPr>
        <w:endnoteReference w:id="76"/>
      </w:r>
    </w:p>
    <w:p w14:paraId="3F5A6EFD" w14:textId="0C92665D" w:rsidR="00D21447" w:rsidRPr="00BF2102" w:rsidRDefault="00D21447" w:rsidP="004C070A">
      <w:pPr>
        <w:pStyle w:val="ListNumber"/>
        <w:numPr>
          <w:ilvl w:val="0"/>
          <w:numId w:val="15"/>
        </w:numPr>
        <w:tabs>
          <w:tab w:val="num" w:pos="993"/>
          <w:tab w:val="left" w:pos="1418"/>
        </w:tabs>
        <w:ind w:left="709" w:hanging="567"/>
        <w:rPr>
          <w:rFonts w:cs="Open Sans"/>
        </w:rPr>
      </w:pPr>
      <w:r w:rsidRPr="00BF2102">
        <w:rPr>
          <w:rFonts w:cs="Open Sans"/>
        </w:rPr>
        <w:t xml:space="preserve">One possibility is for merits review to be available through the Security Appeals Division of the Administrative Appeals Tribunal, which is </w:t>
      </w:r>
      <w:r w:rsidR="00E16E4B" w:rsidRPr="00BF2102">
        <w:rPr>
          <w:rFonts w:cs="Open Sans"/>
        </w:rPr>
        <w:t xml:space="preserve">already uniquely placed to </w:t>
      </w:r>
      <w:r w:rsidR="00811C91" w:rsidRPr="00BF2102">
        <w:rPr>
          <w:rFonts w:cs="Open Sans"/>
        </w:rPr>
        <w:t xml:space="preserve">independently </w:t>
      </w:r>
      <w:r w:rsidR="00E16E4B" w:rsidRPr="00BF2102">
        <w:rPr>
          <w:rFonts w:cs="Open Sans"/>
        </w:rPr>
        <w:t xml:space="preserve">consider afresh administrative decisions that relate to potentially sensitive national security matters. </w:t>
      </w:r>
      <w:r w:rsidR="00BA1487" w:rsidRPr="00BF2102">
        <w:rPr>
          <w:rFonts w:cs="Open Sans"/>
        </w:rPr>
        <w:t xml:space="preserve">In addition, it could assist in </w:t>
      </w:r>
      <w:r w:rsidR="00933B96" w:rsidRPr="00BF2102">
        <w:rPr>
          <w:rFonts w:cs="Open Sans"/>
        </w:rPr>
        <w:t>balanc</w:t>
      </w:r>
      <w:r w:rsidR="00BA1487" w:rsidRPr="00BF2102">
        <w:rPr>
          <w:rFonts w:cs="Open Sans"/>
        </w:rPr>
        <w:t>ing</w:t>
      </w:r>
      <w:r w:rsidR="00933B96" w:rsidRPr="00BF2102">
        <w:rPr>
          <w:rFonts w:cs="Open Sans"/>
        </w:rPr>
        <w:t xml:space="preserve"> the rights of an affected person and the public interest in the non-disclosure of classified information </w:t>
      </w:r>
      <w:r w:rsidR="00BA1487" w:rsidRPr="00BF2102">
        <w:rPr>
          <w:rFonts w:cs="Open Sans"/>
        </w:rPr>
        <w:t xml:space="preserve">to </w:t>
      </w:r>
      <w:r w:rsidR="00933B96" w:rsidRPr="00BF2102">
        <w:rPr>
          <w:rFonts w:cs="Open Sans"/>
        </w:rPr>
        <w:t>use special advocates</w:t>
      </w:r>
      <w:r w:rsidR="00BA1487" w:rsidRPr="00BF2102">
        <w:rPr>
          <w:rFonts w:cs="Open Sans"/>
        </w:rPr>
        <w:t xml:space="preserve"> for such an appeals process. A special advocate is </w:t>
      </w:r>
      <w:r w:rsidR="0063006E" w:rsidRPr="00BF2102">
        <w:rPr>
          <w:rFonts w:cs="Open Sans"/>
        </w:rPr>
        <w:t xml:space="preserve">a lawyer who </w:t>
      </w:r>
      <w:r w:rsidR="00365BE4" w:rsidRPr="00BF2102">
        <w:rPr>
          <w:rFonts w:cs="Open Sans"/>
        </w:rPr>
        <w:t xml:space="preserve">has been security cleared. They </w:t>
      </w:r>
      <w:r w:rsidR="0063006E" w:rsidRPr="00BF2102">
        <w:rPr>
          <w:rFonts w:cs="Open Sans"/>
        </w:rPr>
        <w:t xml:space="preserve">represent an affected person and </w:t>
      </w:r>
      <w:r w:rsidR="00365BE4" w:rsidRPr="00BF2102">
        <w:rPr>
          <w:rFonts w:cs="Open Sans"/>
        </w:rPr>
        <w:t xml:space="preserve">are </w:t>
      </w:r>
      <w:r w:rsidR="0063006E" w:rsidRPr="00BF2102">
        <w:rPr>
          <w:rFonts w:cs="Open Sans"/>
        </w:rPr>
        <w:t>privy to confidential information that cannot be disclosed to their client</w:t>
      </w:r>
      <w:r w:rsidR="00933B96" w:rsidRPr="00BF2102">
        <w:rPr>
          <w:rFonts w:cs="Open Sans"/>
        </w:rPr>
        <w:t>.</w:t>
      </w:r>
    </w:p>
    <w:p w14:paraId="7EE7D006" w14:textId="7749028B" w:rsidR="006E4729" w:rsidRPr="00BF2102" w:rsidRDefault="006E4729" w:rsidP="006E4729">
      <w:pPr>
        <w:pStyle w:val="Heading3"/>
        <w:rPr>
          <w:rFonts w:cs="Open Sans"/>
          <w:i/>
          <w:iCs/>
          <w:sz w:val="22"/>
          <w:szCs w:val="22"/>
        </w:rPr>
      </w:pPr>
      <w:bookmarkStart w:id="88" w:name="_Ref11403571"/>
      <w:bookmarkStart w:id="89" w:name="_Toc11407974"/>
      <w:r w:rsidRPr="00BF2102">
        <w:rPr>
          <w:rFonts w:cs="Open Sans"/>
          <w:i/>
          <w:iCs/>
          <w:sz w:val="22"/>
          <w:szCs w:val="22"/>
        </w:rPr>
        <w:lastRenderedPageBreak/>
        <w:t>Judicial review</w:t>
      </w:r>
      <w:bookmarkEnd w:id="88"/>
      <w:bookmarkEnd w:id="89"/>
    </w:p>
    <w:p w14:paraId="49BB6896" w14:textId="69F7E9B1" w:rsidR="00F86FF1" w:rsidRPr="00BF2102" w:rsidRDefault="00F86FF1"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is also concerned that the automatic revocation of citizenship is </w:t>
      </w:r>
      <w:r w:rsidR="00DD710D" w:rsidRPr="00BF2102">
        <w:rPr>
          <w:rFonts w:cs="Open Sans"/>
        </w:rPr>
        <w:t xml:space="preserve">only </w:t>
      </w:r>
      <w:r w:rsidRPr="00BF2102">
        <w:rPr>
          <w:rFonts w:cs="Open Sans"/>
        </w:rPr>
        <w:t xml:space="preserve">amenable to a very limited form of judicial review. This is because the revocation occurs by operation of the law, without a ‘decision’ being made, and without any positive duty on the Minister to consider </w:t>
      </w:r>
      <w:r w:rsidR="00ED16DF" w:rsidRPr="00BF2102">
        <w:rPr>
          <w:rFonts w:cs="Open Sans"/>
        </w:rPr>
        <w:t xml:space="preserve">exercising the </w:t>
      </w:r>
      <w:r w:rsidR="001B52D5" w:rsidRPr="00BF2102">
        <w:rPr>
          <w:rFonts w:cs="Open Sans"/>
        </w:rPr>
        <w:t xml:space="preserve">exemption </w:t>
      </w:r>
      <w:r w:rsidR="00ED16DF" w:rsidRPr="00BF2102">
        <w:rPr>
          <w:rFonts w:cs="Open Sans"/>
        </w:rPr>
        <w:t>power</w:t>
      </w:r>
      <w:r w:rsidRPr="00BF2102">
        <w:rPr>
          <w:rFonts w:cs="Open Sans"/>
        </w:rPr>
        <w:t>. It is therefore unlikely that this outcome could be challenged through a writ of mandamus.</w:t>
      </w:r>
      <w:r w:rsidRPr="00BF2102">
        <w:rPr>
          <w:rStyle w:val="EndnoteReference"/>
          <w:rFonts w:cs="Open Sans"/>
        </w:rPr>
        <w:endnoteReference w:id="77"/>
      </w:r>
      <w:r w:rsidRPr="00BF2102">
        <w:rPr>
          <w:rFonts w:cs="Open Sans"/>
        </w:rPr>
        <w:t xml:space="preserve"> It </w:t>
      </w:r>
      <w:r w:rsidR="002813D3" w:rsidRPr="00BF2102">
        <w:rPr>
          <w:rFonts w:cs="Open Sans"/>
        </w:rPr>
        <w:t>appears that one potential narrow avenue is</w:t>
      </w:r>
      <w:r w:rsidRPr="00BF2102">
        <w:rPr>
          <w:rFonts w:cs="Open Sans"/>
        </w:rPr>
        <w:t xml:space="preserve"> seek</w:t>
      </w:r>
      <w:r w:rsidR="002813D3" w:rsidRPr="00BF2102">
        <w:rPr>
          <w:rFonts w:cs="Open Sans"/>
        </w:rPr>
        <w:t>ing</w:t>
      </w:r>
      <w:r w:rsidRPr="00BF2102">
        <w:rPr>
          <w:rFonts w:cs="Open Sans"/>
        </w:rPr>
        <w:t xml:space="preserve"> declaratory relief from the court, to the effect that the automatic provisions do not apply </w:t>
      </w:r>
      <w:r w:rsidR="00F52756" w:rsidRPr="00BF2102">
        <w:rPr>
          <w:rFonts w:cs="Open Sans"/>
        </w:rPr>
        <w:t xml:space="preserve">to </w:t>
      </w:r>
      <w:r w:rsidRPr="00BF2102">
        <w:rPr>
          <w:rFonts w:cs="Open Sans"/>
        </w:rPr>
        <w:t>their circumstances.</w:t>
      </w:r>
    </w:p>
    <w:p w14:paraId="1B05E6A6" w14:textId="400A0BB4" w:rsidR="004A1D5C" w:rsidRPr="00BF2102" w:rsidRDefault="00F86FF1" w:rsidP="00310D03">
      <w:pPr>
        <w:pStyle w:val="ListNumber"/>
        <w:numPr>
          <w:ilvl w:val="0"/>
          <w:numId w:val="15"/>
        </w:numPr>
        <w:tabs>
          <w:tab w:val="num" w:pos="993"/>
          <w:tab w:val="left" w:pos="1418"/>
        </w:tabs>
        <w:ind w:left="709" w:hanging="567"/>
        <w:rPr>
          <w:rFonts w:cs="Open Sans"/>
        </w:rPr>
      </w:pPr>
      <w:r w:rsidRPr="00BF2102">
        <w:rPr>
          <w:rFonts w:cs="Open Sans"/>
        </w:rPr>
        <w:t>Making judicial review available under the ADJR Act would provide a clearer, more straightforward and accessible means of review when compared with the original jurisdiction of the High Court or Federal Court.</w:t>
      </w:r>
      <w:r w:rsidRPr="00BF2102">
        <w:rPr>
          <w:rStyle w:val="EndnoteReference"/>
          <w:rFonts w:cs="Open Sans"/>
        </w:rPr>
        <w:endnoteReference w:id="78"/>
      </w:r>
      <w:r w:rsidR="000A5AE1" w:rsidRPr="00BF2102">
        <w:rPr>
          <w:rFonts w:cs="Open Sans"/>
        </w:rPr>
        <w:t xml:space="preserve"> This would require </w:t>
      </w:r>
      <w:r w:rsidR="00F52756" w:rsidRPr="00BF2102">
        <w:rPr>
          <w:rFonts w:cs="Open Sans"/>
        </w:rPr>
        <w:t xml:space="preserve">the legislation to be amended such that there is always </w:t>
      </w:r>
      <w:r w:rsidR="000A5AE1" w:rsidRPr="00BF2102">
        <w:rPr>
          <w:rFonts w:cs="Open Sans"/>
        </w:rPr>
        <w:t>a positive ‘decision’</w:t>
      </w:r>
      <w:r w:rsidR="00F52756" w:rsidRPr="00BF2102">
        <w:rPr>
          <w:rFonts w:cs="Open Sans"/>
        </w:rPr>
        <w:t xml:space="preserve">, within the meaning of the </w:t>
      </w:r>
      <w:r w:rsidR="00306CCD" w:rsidRPr="00BF2102">
        <w:rPr>
          <w:rFonts w:cs="Open Sans"/>
        </w:rPr>
        <w:t>ADJR Act</w:t>
      </w:r>
      <w:r w:rsidR="00F52756" w:rsidRPr="00BF2102">
        <w:rPr>
          <w:rFonts w:cs="Open Sans"/>
        </w:rPr>
        <w:t xml:space="preserve">, which </w:t>
      </w:r>
      <w:r w:rsidR="005E1FD0" w:rsidRPr="00BF2102">
        <w:rPr>
          <w:rFonts w:cs="Open Sans"/>
        </w:rPr>
        <w:t>could be reviewed</w:t>
      </w:r>
      <w:r w:rsidR="000A5AE1" w:rsidRPr="00BF2102">
        <w:rPr>
          <w:rFonts w:cs="Open Sans"/>
        </w:rPr>
        <w:t>.</w:t>
      </w:r>
    </w:p>
    <w:p w14:paraId="7FC5271C" w14:textId="5C6FDCB8" w:rsidR="0042792F" w:rsidRPr="00BF2102" w:rsidRDefault="0042792F" w:rsidP="0042792F">
      <w:pPr>
        <w:keepNext/>
        <w:tabs>
          <w:tab w:val="left" w:pos="1134"/>
          <w:tab w:val="left" w:pos="1418"/>
        </w:tabs>
        <w:spacing w:before="120"/>
        <w:ind w:left="709"/>
        <w:rPr>
          <w:rFonts w:cs="Open Sans"/>
        </w:rPr>
      </w:pPr>
      <w:bookmarkStart w:id="90" w:name="_Ref10731882"/>
      <w:r w:rsidRPr="00BF2102">
        <w:rPr>
          <w:rFonts w:cs="Open Sans"/>
          <w:b/>
        </w:rPr>
        <w:t xml:space="preserve">Recommendation </w:t>
      </w:r>
      <w:r w:rsidR="00333E1B" w:rsidRPr="00BF2102">
        <w:rPr>
          <w:rFonts w:cs="Open Sans"/>
          <w:b/>
        </w:rPr>
        <w:t>6</w:t>
      </w:r>
    </w:p>
    <w:p w14:paraId="497A4E9D" w14:textId="77777777" w:rsidR="0042792F" w:rsidRPr="00BF2102" w:rsidRDefault="0042792F" w:rsidP="0042792F">
      <w:pPr>
        <w:tabs>
          <w:tab w:val="left" w:pos="1134"/>
          <w:tab w:val="left" w:pos="1418"/>
        </w:tabs>
        <w:spacing w:before="120"/>
        <w:ind w:left="709"/>
        <w:rPr>
          <w:rFonts w:cs="Open Sans"/>
        </w:rPr>
      </w:pPr>
      <w:r w:rsidRPr="00BF2102">
        <w:rPr>
          <w:rFonts w:cs="Open Sans"/>
        </w:rPr>
        <w:t xml:space="preserve">Any decision leading to loss of citizenship should be subject to independent merits review, and to judicial review under the </w:t>
      </w:r>
      <w:r w:rsidRPr="00BF2102">
        <w:rPr>
          <w:rFonts w:cs="Open Sans"/>
          <w:i/>
          <w:iCs/>
        </w:rPr>
        <w:t>Administrative Decisions (Judicial Review) Act 1977</w:t>
      </w:r>
      <w:r w:rsidRPr="00BF2102">
        <w:rPr>
          <w:rFonts w:cs="Open Sans"/>
        </w:rPr>
        <w:t xml:space="preserve"> (Cth). </w:t>
      </w:r>
    </w:p>
    <w:p w14:paraId="3432701F" w14:textId="77777777" w:rsidR="00B41EA1" w:rsidRPr="00BF2102" w:rsidRDefault="00B41EA1" w:rsidP="00B41EA1">
      <w:pPr>
        <w:pStyle w:val="Heading2"/>
        <w:rPr>
          <w:rFonts w:cs="Open Sans"/>
        </w:rPr>
      </w:pPr>
      <w:bookmarkStart w:id="91" w:name="_Ref11339149"/>
      <w:bookmarkStart w:id="92" w:name="_Ref11341814"/>
      <w:bookmarkStart w:id="93" w:name="_Toc11407975"/>
      <w:r w:rsidRPr="00BF2102">
        <w:rPr>
          <w:rFonts w:cs="Open Sans"/>
        </w:rPr>
        <w:t>Ambiguity of prohibited conduct</w:t>
      </w:r>
      <w:proofErr w:type="gramStart"/>
      <w:r w:rsidRPr="00BF2102">
        <w:rPr>
          <w:rFonts w:cs="Open Sans"/>
        </w:rPr>
        <w:t>—‘</w:t>
      </w:r>
      <w:proofErr w:type="gramEnd"/>
      <w:r w:rsidRPr="00BF2102">
        <w:rPr>
          <w:rFonts w:cs="Open Sans"/>
        </w:rPr>
        <w:t>in the service of’</w:t>
      </w:r>
      <w:bookmarkEnd w:id="90"/>
      <w:bookmarkEnd w:id="91"/>
      <w:bookmarkEnd w:id="92"/>
      <w:bookmarkEnd w:id="93"/>
    </w:p>
    <w:p w14:paraId="3187747A" w14:textId="5D374F2D" w:rsidR="00350BD7" w:rsidRPr="00BF2102" w:rsidRDefault="005E1FD0" w:rsidP="00310D03">
      <w:pPr>
        <w:pStyle w:val="ListNumber"/>
        <w:numPr>
          <w:ilvl w:val="0"/>
          <w:numId w:val="15"/>
        </w:numPr>
        <w:tabs>
          <w:tab w:val="num" w:pos="993"/>
          <w:tab w:val="left" w:pos="1418"/>
        </w:tabs>
        <w:ind w:left="709" w:hanging="567"/>
        <w:rPr>
          <w:rFonts w:cs="Open Sans"/>
        </w:rPr>
      </w:pPr>
      <w:r w:rsidRPr="00BF2102">
        <w:rPr>
          <w:rFonts w:cs="Open Sans"/>
        </w:rPr>
        <w:t>Section 35</w:t>
      </w:r>
      <w:r w:rsidR="00350BD7" w:rsidRPr="00BF2102">
        <w:rPr>
          <w:rFonts w:cs="Open Sans"/>
        </w:rPr>
        <w:t xml:space="preserve">(b)(ii) </w:t>
      </w:r>
      <w:r w:rsidR="008E6AF8" w:rsidRPr="00BF2102">
        <w:rPr>
          <w:rFonts w:cs="Open Sans"/>
        </w:rPr>
        <w:t xml:space="preserve">of the Citizenship Act </w:t>
      </w:r>
      <w:r w:rsidR="00350BD7" w:rsidRPr="00BF2102">
        <w:rPr>
          <w:rFonts w:cs="Open Sans"/>
        </w:rPr>
        <w:t xml:space="preserve">provides that a person automatically loses their Australian citizenship if </w:t>
      </w:r>
      <w:r w:rsidR="008E6AF8" w:rsidRPr="00BF2102">
        <w:rPr>
          <w:rFonts w:cs="Open Sans"/>
        </w:rPr>
        <w:t>they are a</w:t>
      </w:r>
      <w:r w:rsidR="00350BD7" w:rsidRPr="00BF2102">
        <w:rPr>
          <w:rFonts w:cs="Open Sans"/>
        </w:rPr>
        <w:t xml:space="preserve"> national or citizen of another country and </w:t>
      </w:r>
      <w:r w:rsidR="008E6AF8" w:rsidRPr="00BF2102">
        <w:rPr>
          <w:rFonts w:cs="Open Sans"/>
        </w:rPr>
        <w:t xml:space="preserve">they </w:t>
      </w:r>
      <w:r w:rsidR="00350BD7" w:rsidRPr="00BF2102">
        <w:rPr>
          <w:rFonts w:cs="Open Sans"/>
        </w:rPr>
        <w:t xml:space="preserve">fight for, or </w:t>
      </w:r>
      <w:r w:rsidR="008E6AF8" w:rsidRPr="00BF2102">
        <w:rPr>
          <w:rFonts w:cs="Open Sans"/>
        </w:rPr>
        <w:t xml:space="preserve">are </w:t>
      </w:r>
      <w:r w:rsidR="00350BD7" w:rsidRPr="00BF2102">
        <w:rPr>
          <w:rFonts w:cs="Open Sans"/>
        </w:rPr>
        <w:t>in the service of, a ‘declared terrorist organisation’.</w:t>
      </w:r>
    </w:p>
    <w:p w14:paraId="78D37870" w14:textId="08B07F27" w:rsidR="007B0D9E" w:rsidRPr="00BF2102" w:rsidRDefault="00350BD7" w:rsidP="00310D03">
      <w:pPr>
        <w:pStyle w:val="ListNumber"/>
        <w:numPr>
          <w:ilvl w:val="0"/>
          <w:numId w:val="15"/>
        </w:numPr>
        <w:tabs>
          <w:tab w:val="num" w:pos="993"/>
          <w:tab w:val="left" w:pos="1418"/>
        </w:tabs>
        <w:ind w:left="709" w:hanging="567"/>
        <w:rPr>
          <w:rFonts w:cs="Open Sans"/>
        </w:rPr>
      </w:pPr>
      <w:r w:rsidRPr="00BF2102">
        <w:rPr>
          <w:rFonts w:cs="Open Sans"/>
        </w:rPr>
        <w:t>The phrase ‘in the service of’ is not defined in the Act.</w:t>
      </w:r>
      <w:r w:rsidR="007B0D9E" w:rsidRPr="00BF2102">
        <w:rPr>
          <w:rFonts w:cs="Open Sans"/>
        </w:rPr>
        <w:t xml:space="preserve"> When the Allegiance Bill was first introduced, the Commission recommended that this phrase be defined. </w:t>
      </w:r>
      <w:r w:rsidR="00997F20" w:rsidRPr="00BF2102">
        <w:rPr>
          <w:rFonts w:cs="Open Sans"/>
        </w:rPr>
        <w:t>Following its inquiry, the Committee recommended that the intended scope of the phrase be clarified. In particular, it recommended that the Bill make explicit that the provision of neutral and independent humanitarian assistance, and acts done unintentionally or under duress, are not considered to be ‘in the service of’ a declared terrorist organisation for the purposes of s</w:t>
      </w:r>
      <w:r w:rsidR="00A04F2B" w:rsidRPr="00BF2102">
        <w:rPr>
          <w:rFonts w:cs="Open Sans"/>
        </w:rPr>
        <w:t> </w:t>
      </w:r>
      <w:r w:rsidR="00997F20" w:rsidRPr="00BF2102">
        <w:rPr>
          <w:rFonts w:cs="Open Sans"/>
        </w:rPr>
        <w:t>35.</w:t>
      </w:r>
      <w:r w:rsidR="00997F20" w:rsidRPr="00BF2102">
        <w:rPr>
          <w:rStyle w:val="EndnoteReference"/>
          <w:rFonts w:cs="Open Sans"/>
        </w:rPr>
        <w:endnoteReference w:id="79"/>
      </w:r>
    </w:p>
    <w:p w14:paraId="46DD79D1" w14:textId="1E1EBA80" w:rsidR="008C176D" w:rsidRPr="00BF2102" w:rsidRDefault="00997F20" w:rsidP="00310D03">
      <w:pPr>
        <w:pStyle w:val="ListNumber"/>
        <w:numPr>
          <w:ilvl w:val="0"/>
          <w:numId w:val="15"/>
        </w:numPr>
        <w:tabs>
          <w:tab w:val="num" w:pos="993"/>
          <w:tab w:val="left" w:pos="1418"/>
        </w:tabs>
        <w:ind w:left="709" w:hanging="567"/>
        <w:rPr>
          <w:rFonts w:cs="Open Sans"/>
        </w:rPr>
      </w:pPr>
      <w:r w:rsidRPr="00BF2102">
        <w:rPr>
          <w:rFonts w:cs="Open Sans"/>
        </w:rPr>
        <w:t>Section</w:t>
      </w:r>
      <w:r w:rsidR="007B0D9E" w:rsidRPr="00BF2102">
        <w:rPr>
          <w:rFonts w:cs="Open Sans"/>
        </w:rPr>
        <w:t> </w:t>
      </w:r>
      <w:r w:rsidR="00350BD7" w:rsidRPr="00BF2102">
        <w:rPr>
          <w:rFonts w:cs="Open Sans"/>
        </w:rPr>
        <w:t>35(4)</w:t>
      </w:r>
      <w:r w:rsidR="007B0D9E" w:rsidRPr="00BF2102">
        <w:rPr>
          <w:rFonts w:cs="Open Sans"/>
        </w:rPr>
        <w:t xml:space="preserve"> </w:t>
      </w:r>
      <w:r w:rsidRPr="00BF2102">
        <w:rPr>
          <w:rFonts w:cs="Open Sans"/>
        </w:rPr>
        <w:t xml:space="preserve">was amended to include the specific exceptions recommended by the Committee. However, the phrase itself remains undefined. </w:t>
      </w:r>
      <w:r w:rsidR="00161795" w:rsidRPr="00BF2102">
        <w:rPr>
          <w:rFonts w:cs="Open Sans"/>
        </w:rPr>
        <w:t xml:space="preserve">That is, while there is some increased certainty about what is </w:t>
      </w:r>
      <w:r w:rsidR="00161795" w:rsidRPr="00BF2102">
        <w:rPr>
          <w:rFonts w:cs="Open Sans"/>
        </w:rPr>
        <w:lastRenderedPageBreak/>
        <w:t>excluded from the scope of the phrase, there is no greater certainty about what is included.</w:t>
      </w:r>
    </w:p>
    <w:p w14:paraId="2CFF433E" w14:textId="7033EBF4" w:rsidR="007531B1" w:rsidRPr="00BF2102" w:rsidRDefault="007531B1" w:rsidP="00310D03">
      <w:pPr>
        <w:pStyle w:val="ListNumber"/>
        <w:numPr>
          <w:ilvl w:val="0"/>
          <w:numId w:val="15"/>
        </w:numPr>
        <w:tabs>
          <w:tab w:val="num" w:pos="993"/>
          <w:tab w:val="left" w:pos="1418"/>
        </w:tabs>
        <w:ind w:left="709" w:hanging="567"/>
        <w:rPr>
          <w:rFonts w:cs="Open Sans"/>
        </w:rPr>
      </w:pPr>
      <w:r w:rsidRPr="00BF2102">
        <w:rPr>
          <w:rFonts w:cs="Open Sans"/>
        </w:rPr>
        <w:t>T</w:t>
      </w:r>
      <w:r w:rsidR="004E68E9" w:rsidRPr="00BF2102">
        <w:rPr>
          <w:rFonts w:cs="Open Sans"/>
        </w:rPr>
        <w:t>he</w:t>
      </w:r>
      <w:r w:rsidRPr="00BF2102">
        <w:rPr>
          <w:rFonts w:cs="Open Sans"/>
        </w:rPr>
        <w:t xml:space="preserve"> Explanatory Memorandum to the</w:t>
      </w:r>
      <w:r w:rsidR="004E68E9" w:rsidRPr="00BF2102">
        <w:rPr>
          <w:rFonts w:cs="Open Sans"/>
        </w:rPr>
        <w:t xml:space="preserve"> </w:t>
      </w:r>
      <w:r w:rsidR="00997F20" w:rsidRPr="00BF2102">
        <w:rPr>
          <w:rFonts w:cs="Open Sans"/>
        </w:rPr>
        <w:t xml:space="preserve">amended </w:t>
      </w:r>
      <w:r w:rsidR="004E68E9" w:rsidRPr="00BF2102">
        <w:rPr>
          <w:rFonts w:cs="Open Sans"/>
        </w:rPr>
        <w:t>Allegiance Bill</w:t>
      </w:r>
      <w:r w:rsidRPr="00BF2102">
        <w:rPr>
          <w:rFonts w:cs="Open Sans"/>
        </w:rPr>
        <w:t xml:space="preserve"> relevantly provide</w:t>
      </w:r>
      <w:r w:rsidR="00615B31" w:rsidRPr="00BF2102">
        <w:rPr>
          <w:rFonts w:cs="Open Sans"/>
        </w:rPr>
        <w:t>d</w:t>
      </w:r>
      <w:r w:rsidRPr="00BF2102">
        <w:rPr>
          <w:rFonts w:cs="Open Sans"/>
        </w:rPr>
        <w:t>:</w:t>
      </w:r>
    </w:p>
    <w:p w14:paraId="0C5155FC" w14:textId="7601F713" w:rsidR="00615B31" w:rsidRPr="00BF2102" w:rsidRDefault="00615B31" w:rsidP="00615B31">
      <w:pPr>
        <w:pStyle w:val="Subnumbered"/>
        <w:numPr>
          <w:ilvl w:val="0"/>
          <w:numId w:val="0"/>
        </w:numPr>
        <w:ind w:left="1134" w:hanging="360"/>
        <w:rPr>
          <w:rFonts w:cs="Open Sans"/>
          <w:sz w:val="22"/>
          <w:szCs w:val="22"/>
          <w:lang w:eastAsia="en-US"/>
        </w:rPr>
      </w:pPr>
      <w:r w:rsidRPr="00BF2102">
        <w:rPr>
          <w:rFonts w:cs="Open Sans"/>
          <w:sz w:val="22"/>
          <w:szCs w:val="22"/>
          <w:lang w:eastAsia="en-US"/>
        </w:rPr>
        <w:tab/>
        <w:t>The provision does not define ‘is in the service of’. As the phrase is not defined it should be given its ordinary meaning. In the Macquarie Dictionary “service” is an act of helpful activity or the supplying of any articles, commodities, activities etc., required or demanded. In this context the term, “in the service of” is intended to cover acts done by persons willingly and is not meant to cover acts done by a person against their will (for example, an innocent kidnapped person) or the unwitting supply of goods (for example, the provision of goods by innocent persons following online orders). This is further clarified in new subsection 35(4).</w:t>
      </w:r>
    </w:p>
    <w:p w14:paraId="44707F46" w14:textId="56E65159" w:rsidR="00D269BE" w:rsidRPr="00BF2102" w:rsidRDefault="00D269BE" w:rsidP="00615B31">
      <w:pPr>
        <w:pStyle w:val="Subnumbered"/>
        <w:numPr>
          <w:ilvl w:val="0"/>
          <w:numId w:val="0"/>
        </w:numPr>
        <w:ind w:left="1134" w:hanging="360"/>
        <w:rPr>
          <w:rFonts w:cs="Open Sans"/>
          <w:sz w:val="22"/>
          <w:szCs w:val="22"/>
          <w:lang w:eastAsia="en-US"/>
        </w:rPr>
      </w:pPr>
      <w:r w:rsidRPr="00BF2102">
        <w:rPr>
          <w:rFonts w:cs="Open Sans"/>
          <w:sz w:val="22"/>
          <w:szCs w:val="22"/>
          <w:lang w:eastAsia="en-US"/>
        </w:rPr>
        <w:tab/>
        <w:t>…</w:t>
      </w:r>
    </w:p>
    <w:p w14:paraId="7E63D2DB" w14:textId="2895B06A" w:rsidR="007531B1" w:rsidRPr="00BF2102" w:rsidRDefault="00D269BE" w:rsidP="00D269BE">
      <w:pPr>
        <w:pStyle w:val="Subnumbered"/>
        <w:numPr>
          <w:ilvl w:val="0"/>
          <w:numId w:val="0"/>
        </w:numPr>
        <w:ind w:left="1134"/>
        <w:rPr>
          <w:rFonts w:cs="Open Sans"/>
          <w:sz w:val="22"/>
          <w:szCs w:val="22"/>
          <w:lang w:eastAsia="en-US"/>
        </w:rPr>
      </w:pPr>
      <w:r w:rsidRPr="00BF2102">
        <w:rPr>
          <w:rFonts w:cs="Open Sans"/>
          <w:sz w:val="22"/>
          <w:szCs w:val="22"/>
          <w:lang w:eastAsia="en-US"/>
        </w:rPr>
        <w:t xml:space="preserve">The purpose of this provision is to clarify the circumstances in which a person would not be ‘in the service of’ a declared terrorist organisation, including where the person’s conduct takes place unwittingly or against the person’s will. The provision also clarifies that section 35 would not apply to the type of impartial, independent humanitarian assistance provided by organisations such as International Red Cross and Red Crescent Movement, UNICEF or Médecins Sans </w:t>
      </w:r>
      <w:proofErr w:type="spellStart"/>
      <w:r w:rsidRPr="00BF2102">
        <w:rPr>
          <w:rFonts w:cs="Open Sans"/>
          <w:sz w:val="22"/>
          <w:szCs w:val="22"/>
          <w:lang w:eastAsia="en-US"/>
        </w:rPr>
        <w:t>Frontières</w:t>
      </w:r>
      <w:proofErr w:type="spellEnd"/>
      <w:r w:rsidRPr="00BF2102">
        <w:rPr>
          <w:rFonts w:cs="Open Sans"/>
          <w:sz w:val="22"/>
          <w:szCs w:val="22"/>
          <w:lang w:eastAsia="en-US"/>
        </w:rPr>
        <w:t>. However, the provision of medical services in a hospital run by a declared terrorist organisation would be conduct in the service of a declared terrorist organisation.</w:t>
      </w:r>
      <w:r w:rsidRPr="00BF2102">
        <w:rPr>
          <w:rStyle w:val="EndnoteReference"/>
          <w:rFonts w:cs="Open Sans"/>
        </w:rPr>
        <w:endnoteReference w:id="80"/>
      </w:r>
    </w:p>
    <w:p w14:paraId="28D49CE7" w14:textId="4ECF9646" w:rsidR="007531B1" w:rsidRPr="00BF2102" w:rsidRDefault="007C40DB" w:rsidP="00310D03">
      <w:pPr>
        <w:pStyle w:val="ListNumber"/>
        <w:numPr>
          <w:ilvl w:val="0"/>
          <w:numId w:val="15"/>
        </w:numPr>
        <w:tabs>
          <w:tab w:val="num" w:pos="993"/>
          <w:tab w:val="left" w:pos="1418"/>
        </w:tabs>
        <w:ind w:left="709" w:hanging="567"/>
        <w:rPr>
          <w:rFonts w:cs="Open Sans"/>
        </w:rPr>
      </w:pPr>
      <w:r w:rsidRPr="00BF2102">
        <w:rPr>
          <w:rFonts w:cs="Open Sans"/>
        </w:rPr>
        <w:t>T</w:t>
      </w:r>
      <w:r w:rsidR="007531B1" w:rsidRPr="00BF2102">
        <w:rPr>
          <w:rFonts w:cs="Open Sans"/>
        </w:rPr>
        <w:t>he Commission considers that the precise scope of conduct capture</w:t>
      </w:r>
      <w:r w:rsidR="008E6AF8" w:rsidRPr="00BF2102">
        <w:rPr>
          <w:rFonts w:cs="Open Sans"/>
        </w:rPr>
        <w:t>d</w:t>
      </w:r>
      <w:r w:rsidR="007531B1" w:rsidRPr="00BF2102">
        <w:rPr>
          <w:rFonts w:cs="Open Sans"/>
        </w:rPr>
        <w:t xml:space="preserve"> by being ‘in the service of’ a declared terrorist organisation is still </w:t>
      </w:r>
      <w:r w:rsidR="00AB39C7" w:rsidRPr="00BF2102">
        <w:rPr>
          <w:rFonts w:cs="Open Sans"/>
        </w:rPr>
        <w:t>ambiguous</w:t>
      </w:r>
      <w:r w:rsidR="007531B1" w:rsidRPr="00BF2102">
        <w:rPr>
          <w:rFonts w:cs="Open Sans"/>
        </w:rPr>
        <w:t xml:space="preserve">. </w:t>
      </w:r>
    </w:p>
    <w:p w14:paraId="6EA78F4B" w14:textId="7EBE9EB1" w:rsidR="00F35E17" w:rsidRPr="00BF2102" w:rsidRDefault="005E21DF" w:rsidP="00310D03">
      <w:pPr>
        <w:pStyle w:val="ListNumber"/>
        <w:numPr>
          <w:ilvl w:val="0"/>
          <w:numId w:val="15"/>
        </w:numPr>
        <w:tabs>
          <w:tab w:val="num" w:pos="993"/>
          <w:tab w:val="left" w:pos="1418"/>
        </w:tabs>
        <w:ind w:left="709" w:hanging="567"/>
        <w:rPr>
          <w:rFonts w:cs="Open Sans"/>
        </w:rPr>
      </w:pPr>
      <w:r w:rsidRPr="00BF2102">
        <w:rPr>
          <w:rFonts w:cs="Open Sans"/>
        </w:rPr>
        <w:t xml:space="preserve">The consequences of this </w:t>
      </w:r>
      <w:r w:rsidR="00AB39C7" w:rsidRPr="00BF2102">
        <w:rPr>
          <w:rFonts w:cs="Open Sans"/>
        </w:rPr>
        <w:t>ambiguity</w:t>
      </w:r>
      <w:r w:rsidRPr="00BF2102">
        <w:rPr>
          <w:rFonts w:cs="Open Sans"/>
        </w:rPr>
        <w:t xml:space="preserve"> are severe. </w:t>
      </w:r>
      <w:r w:rsidR="004424B0" w:rsidRPr="00BF2102">
        <w:rPr>
          <w:rFonts w:cs="Open Sans"/>
        </w:rPr>
        <w:t>This</w:t>
      </w:r>
      <w:r w:rsidR="008E6AF8" w:rsidRPr="00BF2102">
        <w:rPr>
          <w:rFonts w:cs="Open Sans"/>
        </w:rPr>
        <w:t xml:space="preserve"> term</w:t>
      </w:r>
      <w:r w:rsidR="004424B0" w:rsidRPr="00BF2102">
        <w:rPr>
          <w:rFonts w:cs="Open Sans"/>
        </w:rPr>
        <w:t xml:space="preserve"> could </w:t>
      </w:r>
      <w:r w:rsidR="008E6AF8" w:rsidRPr="00BF2102">
        <w:rPr>
          <w:rFonts w:cs="Open Sans"/>
        </w:rPr>
        <w:t>apply to a wide</w:t>
      </w:r>
      <w:r w:rsidR="004424B0" w:rsidRPr="00BF2102">
        <w:rPr>
          <w:rFonts w:cs="Open Sans"/>
        </w:rPr>
        <w:t xml:space="preserve"> range of conduct</w:t>
      </w:r>
      <w:r w:rsidR="008E6AF8" w:rsidRPr="00BF2102">
        <w:rPr>
          <w:rFonts w:cs="Open Sans"/>
        </w:rPr>
        <w:t>,</w:t>
      </w:r>
      <w:r w:rsidR="004424B0" w:rsidRPr="00BF2102">
        <w:rPr>
          <w:rFonts w:cs="Open Sans"/>
        </w:rPr>
        <w:t xml:space="preserve"> to highly differing degrees of association</w:t>
      </w:r>
      <w:r w:rsidRPr="00BF2102">
        <w:rPr>
          <w:rFonts w:cs="Open Sans"/>
        </w:rPr>
        <w:t xml:space="preserve"> with </w:t>
      </w:r>
      <w:r w:rsidR="008E6AF8" w:rsidRPr="00BF2102">
        <w:rPr>
          <w:rFonts w:cs="Open Sans"/>
        </w:rPr>
        <w:t xml:space="preserve">a </w:t>
      </w:r>
      <w:r w:rsidRPr="00BF2102">
        <w:rPr>
          <w:rFonts w:cs="Open Sans"/>
        </w:rPr>
        <w:t>terrorist organisation</w:t>
      </w:r>
      <w:r w:rsidR="004424B0" w:rsidRPr="00BF2102">
        <w:rPr>
          <w:rFonts w:cs="Open Sans"/>
        </w:rPr>
        <w:t>,</w:t>
      </w:r>
      <w:r w:rsidRPr="00BF2102">
        <w:rPr>
          <w:rFonts w:cs="Open Sans"/>
        </w:rPr>
        <w:t xml:space="preserve"> that do not amount to repudiation of allegiance</w:t>
      </w:r>
      <w:r w:rsidR="008E6AF8" w:rsidRPr="00BF2102">
        <w:rPr>
          <w:rFonts w:cs="Open Sans"/>
        </w:rPr>
        <w:t>.</w:t>
      </w:r>
    </w:p>
    <w:p w14:paraId="10E8EB56" w14:textId="0CC4D6D8" w:rsidR="005E21DF" w:rsidRPr="00BF2102" w:rsidRDefault="00FD7CF8" w:rsidP="00310D03">
      <w:pPr>
        <w:pStyle w:val="ListNumber"/>
        <w:numPr>
          <w:ilvl w:val="0"/>
          <w:numId w:val="15"/>
        </w:numPr>
        <w:tabs>
          <w:tab w:val="num" w:pos="993"/>
          <w:tab w:val="left" w:pos="1418"/>
        </w:tabs>
        <w:ind w:left="709" w:hanging="567"/>
        <w:rPr>
          <w:rFonts w:cs="Open Sans"/>
        </w:rPr>
      </w:pPr>
      <w:r w:rsidRPr="00BF2102">
        <w:rPr>
          <w:rFonts w:cs="Open Sans"/>
        </w:rPr>
        <w:t xml:space="preserve">For example, a civilian who cooks or cleans </w:t>
      </w:r>
      <w:r w:rsidR="007B7478" w:rsidRPr="00BF2102">
        <w:rPr>
          <w:rFonts w:cs="Open Sans"/>
        </w:rPr>
        <w:t>for th</w:t>
      </w:r>
      <w:r w:rsidR="008E6AF8" w:rsidRPr="00BF2102">
        <w:rPr>
          <w:rFonts w:cs="Open Sans"/>
        </w:rPr>
        <w:t>e</w:t>
      </w:r>
      <w:r w:rsidR="007B7478" w:rsidRPr="00BF2102">
        <w:rPr>
          <w:rFonts w:cs="Open Sans"/>
        </w:rPr>
        <w:t xml:space="preserve"> organisation </w:t>
      </w:r>
      <w:r w:rsidRPr="00BF2102">
        <w:rPr>
          <w:rFonts w:cs="Open Sans"/>
        </w:rPr>
        <w:t xml:space="preserve">may meet this definition. </w:t>
      </w:r>
      <w:r w:rsidR="005E21DF" w:rsidRPr="00BF2102">
        <w:rPr>
          <w:rFonts w:cs="Open Sans"/>
        </w:rPr>
        <w:t xml:space="preserve">They are not fighting for or members of a declared terrorist organisation. They may pose no security threat to Australia. </w:t>
      </w:r>
      <w:r w:rsidRPr="00BF2102">
        <w:rPr>
          <w:rFonts w:cs="Open Sans"/>
        </w:rPr>
        <w:t xml:space="preserve">Under the ordinary meaning of ‘service’, </w:t>
      </w:r>
      <w:r w:rsidR="007C40DB" w:rsidRPr="00BF2102">
        <w:rPr>
          <w:rFonts w:cs="Open Sans"/>
        </w:rPr>
        <w:t xml:space="preserve">a </w:t>
      </w:r>
      <w:r w:rsidRPr="00BF2102">
        <w:rPr>
          <w:rFonts w:cs="Open Sans"/>
        </w:rPr>
        <w:t>one</w:t>
      </w:r>
      <w:r w:rsidR="007C40DB" w:rsidRPr="00BF2102">
        <w:rPr>
          <w:rFonts w:cs="Open Sans"/>
        </w:rPr>
        <w:t>-</w:t>
      </w:r>
      <w:r w:rsidRPr="00BF2102">
        <w:rPr>
          <w:rFonts w:cs="Open Sans"/>
        </w:rPr>
        <w:t>off contact might also be captured</w:t>
      </w:r>
      <w:r w:rsidR="008E6AF8" w:rsidRPr="00BF2102">
        <w:rPr>
          <w:rFonts w:cs="Open Sans"/>
        </w:rPr>
        <w:t>,</w:t>
      </w:r>
      <w:r w:rsidR="009A620B" w:rsidRPr="00BF2102">
        <w:rPr>
          <w:rFonts w:cs="Open Sans"/>
        </w:rPr>
        <w:t xml:space="preserve"> </w:t>
      </w:r>
      <w:r w:rsidR="007C40DB" w:rsidRPr="00BF2102">
        <w:rPr>
          <w:rFonts w:cs="Open Sans"/>
        </w:rPr>
        <w:t xml:space="preserve">as </w:t>
      </w:r>
      <w:r w:rsidR="009A620B" w:rsidRPr="00BF2102">
        <w:rPr>
          <w:rFonts w:cs="Open Sans"/>
        </w:rPr>
        <w:t>opposed to a relationship in any ongoing capacity</w:t>
      </w:r>
      <w:r w:rsidRPr="00BF2102">
        <w:rPr>
          <w:rFonts w:cs="Open Sans"/>
        </w:rPr>
        <w:t>.</w:t>
      </w:r>
      <w:r w:rsidR="003E1E5B" w:rsidRPr="00BF2102">
        <w:rPr>
          <w:rFonts w:cs="Open Sans"/>
        </w:rPr>
        <w:t xml:space="preserve"> </w:t>
      </w:r>
    </w:p>
    <w:p w14:paraId="7893783D" w14:textId="7A9EDA0B" w:rsidR="00FD7CF8" w:rsidRPr="00BF2102" w:rsidRDefault="00FD7CF8" w:rsidP="00310D03">
      <w:pPr>
        <w:pStyle w:val="ListNumber"/>
        <w:numPr>
          <w:ilvl w:val="0"/>
          <w:numId w:val="15"/>
        </w:numPr>
        <w:tabs>
          <w:tab w:val="num" w:pos="993"/>
          <w:tab w:val="left" w:pos="1418"/>
        </w:tabs>
        <w:ind w:left="709" w:hanging="567"/>
        <w:rPr>
          <w:rFonts w:cs="Open Sans"/>
        </w:rPr>
      </w:pPr>
      <w:r w:rsidRPr="00BF2102">
        <w:rPr>
          <w:rFonts w:cs="Open Sans"/>
        </w:rPr>
        <w:t xml:space="preserve">Further, </w:t>
      </w:r>
      <w:r w:rsidR="003E1E5B" w:rsidRPr="00BF2102">
        <w:rPr>
          <w:rFonts w:cs="Open Sans"/>
        </w:rPr>
        <w:t>the exceptions could be interpreted as not applying to humanitarian assistance</w:t>
      </w:r>
      <w:r w:rsidR="008E6AF8" w:rsidRPr="00BF2102">
        <w:rPr>
          <w:rFonts w:cs="Open Sans"/>
        </w:rPr>
        <w:t xml:space="preserve"> that is</w:t>
      </w:r>
      <w:r w:rsidR="003E1E5B" w:rsidRPr="00BF2102">
        <w:rPr>
          <w:rFonts w:cs="Open Sans"/>
        </w:rPr>
        <w:t xml:space="preserve"> supplied </w:t>
      </w:r>
      <w:r w:rsidR="00D36606" w:rsidRPr="00BF2102">
        <w:rPr>
          <w:rFonts w:cs="Open Sans"/>
        </w:rPr>
        <w:t xml:space="preserve">to </w:t>
      </w:r>
      <w:r w:rsidR="003E1E5B" w:rsidRPr="00BF2102">
        <w:rPr>
          <w:rFonts w:cs="Open Sans"/>
        </w:rPr>
        <w:t xml:space="preserve">persons who are not acting for an independent humanitarian organisation. </w:t>
      </w:r>
      <w:r w:rsidR="006528AC" w:rsidRPr="00BF2102">
        <w:rPr>
          <w:rFonts w:cs="Open Sans"/>
        </w:rPr>
        <w:t>A</w:t>
      </w:r>
      <w:r w:rsidR="003E1E5B" w:rsidRPr="00BF2102">
        <w:rPr>
          <w:rFonts w:cs="Open Sans"/>
        </w:rPr>
        <w:t xml:space="preserve"> </w:t>
      </w:r>
      <w:r w:rsidR="00F56093" w:rsidRPr="00BF2102">
        <w:rPr>
          <w:rFonts w:cs="Open Sans"/>
        </w:rPr>
        <w:t xml:space="preserve">doctor who provides medical assistance </w:t>
      </w:r>
      <w:r w:rsidR="006528AC" w:rsidRPr="00BF2102">
        <w:rPr>
          <w:rFonts w:cs="Open Sans"/>
        </w:rPr>
        <w:t xml:space="preserve">to an injured person who is a member of a declared </w:t>
      </w:r>
      <w:r w:rsidR="006528AC" w:rsidRPr="00BF2102">
        <w:rPr>
          <w:rFonts w:cs="Open Sans"/>
        </w:rPr>
        <w:lastRenderedPageBreak/>
        <w:t>terrorist organisation is not necessarily repudiating their allegiance to Australia.</w:t>
      </w:r>
    </w:p>
    <w:p w14:paraId="36A9EE97" w14:textId="728CD273" w:rsidR="009A620B" w:rsidRPr="00BF2102" w:rsidRDefault="009A620B" w:rsidP="00310D03">
      <w:pPr>
        <w:pStyle w:val="ListNumber"/>
        <w:numPr>
          <w:ilvl w:val="0"/>
          <w:numId w:val="15"/>
        </w:numPr>
        <w:tabs>
          <w:tab w:val="num" w:pos="993"/>
          <w:tab w:val="left" w:pos="1418"/>
        </w:tabs>
        <w:ind w:left="709" w:hanging="567"/>
        <w:rPr>
          <w:rFonts w:cs="Open Sans"/>
        </w:rPr>
      </w:pPr>
      <w:r w:rsidRPr="00BF2102">
        <w:rPr>
          <w:rFonts w:cs="Open Sans"/>
        </w:rPr>
        <w:t xml:space="preserve">In such cases, it is not clear that the association necessarily reveals a person’s alignment with the goals of the terrorist organisation, or that it rises to a level of repudiating their allegiance to Australia. </w:t>
      </w:r>
      <w:r w:rsidR="008E6AF8" w:rsidRPr="00BF2102">
        <w:rPr>
          <w:rFonts w:cs="Open Sans"/>
        </w:rPr>
        <w:t>However, it will result in automatic loss of citizenship. This blanket outcome raises concerns about proportionality.</w:t>
      </w:r>
    </w:p>
    <w:p w14:paraId="56951D07" w14:textId="6167B0A8" w:rsidR="00350BD7" w:rsidRPr="00BF2102" w:rsidRDefault="00AB39C7" w:rsidP="00310D03">
      <w:pPr>
        <w:pStyle w:val="ListNumber"/>
        <w:numPr>
          <w:ilvl w:val="0"/>
          <w:numId w:val="15"/>
        </w:numPr>
        <w:tabs>
          <w:tab w:val="num" w:pos="993"/>
          <w:tab w:val="left" w:pos="1418"/>
        </w:tabs>
        <w:ind w:left="709" w:hanging="567"/>
        <w:rPr>
          <w:rFonts w:cs="Open Sans"/>
        </w:rPr>
      </w:pPr>
      <w:r w:rsidRPr="00BF2102">
        <w:rPr>
          <w:rFonts w:cs="Open Sans"/>
        </w:rPr>
        <w:t xml:space="preserve">The phrase ‘in the service of’ should be </w:t>
      </w:r>
      <w:r w:rsidR="005E21DF" w:rsidRPr="00BF2102">
        <w:rPr>
          <w:rFonts w:cs="Open Sans"/>
        </w:rPr>
        <w:t>defined</w:t>
      </w:r>
      <w:r w:rsidR="00960953" w:rsidRPr="00BF2102">
        <w:rPr>
          <w:rFonts w:cs="Open Sans"/>
        </w:rPr>
        <w:t xml:space="preserve"> to identify the proscribed conduct, and </w:t>
      </w:r>
      <w:r w:rsidR="000B619B" w:rsidRPr="00BF2102">
        <w:rPr>
          <w:rFonts w:cs="Open Sans"/>
        </w:rPr>
        <w:t xml:space="preserve">in a way that more clearly indicates that </w:t>
      </w:r>
      <w:r w:rsidR="00960953" w:rsidRPr="00BF2102">
        <w:rPr>
          <w:rFonts w:cs="Open Sans"/>
        </w:rPr>
        <w:t xml:space="preserve">the person </w:t>
      </w:r>
      <w:r w:rsidR="000B619B" w:rsidRPr="00BF2102">
        <w:rPr>
          <w:rFonts w:cs="Open Sans"/>
        </w:rPr>
        <w:t xml:space="preserve">must necessarily have </w:t>
      </w:r>
      <w:r w:rsidR="00960953" w:rsidRPr="00BF2102">
        <w:rPr>
          <w:rFonts w:cs="Open Sans"/>
        </w:rPr>
        <w:t>repudiated their allegiance to Australia.</w:t>
      </w:r>
      <w:r w:rsidR="00F71B76" w:rsidRPr="00BF2102">
        <w:rPr>
          <w:rFonts w:cs="Open Sans"/>
        </w:rPr>
        <w:t xml:space="preserve"> In line with Recommendation </w:t>
      </w:r>
      <w:r w:rsidR="000A784E" w:rsidRPr="00BF2102">
        <w:rPr>
          <w:rFonts w:cs="Open Sans"/>
        </w:rPr>
        <w:t>1</w:t>
      </w:r>
      <w:r w:rsidR="00F71B76" w:rsidRPr="00BF2102">
        <w:rPr>
          <w:rFonts w:cs="Open Sans"/>
        </w:rPr>
        <w:t xml:space="preserve">, the conduct should </w:t>
      </w:r>
      <w:r w:rsidR="001324AF" w:rsidRPr="00BF2102">
        <w:rPr>
          <w:rFonts w:cs="Open Sans"/>
        </w:rPr>
        <w:t xml:space="preserve">only be able to result in citizenship loss when it also </w:t>
      </w:r>
      <w:r w:rsidR="00F71B76" w:rsidRPr="00BF2102">
        <w:rPr>
          <w:rFonts w:cs="Open Sans"/>
        </w:rPr>
        <w:t>amount</w:t>
      </w:r>
      <w:r w:rsidR="001324AF" w:rsidRPr="00BF2102">
        <w:rPr>
          <w:rFonts w:cs="Open Sans"/>
        </w:rPr>
        <w:t>s</w:t>
      </w:r>
      <w:r w:rsidR="00F71B76" w:rsidRPr="00BF2102">
        <w:rPr>
          <w:rFonts w:cs="Open Sans"/>
        </w:rPr>
        <w:t xml:space="preserve"> to a criminal offence under Australian law. </w:t>
      </w:r>
    </w:p>
    <w:p w14:paraId="74259379" w14:textId="54A3D338" w:rsidR="0042792F" w:rsidRPr="00BF2102" w:rsidRDefault="0042792F" w:rsidP="0042792F">
      <w:pPr>
        <w:tabs>
          <w:tab w:val="left" w:pos="1134"/>
          <w:tab w:val="left" w:pos="1418"/>
        </w:tabs>
        <w:spacing w:before="120"/>
        <w:ind w:left="709"/>
        <w:rPr>
          <w:rFonts w:cs="Open Sans"/>
        </w:rPr>
      </w:pPr>
      <w:bookmarkStart w:id="94" w:name="_Hlk10710334"/>
      <w:bookmarkStart w:id="95" w:name="_Hlk11159112"/>
      <w:bookmarkStart w:id="96" w:name="_Ref11056884"/>
      <w:r w:rsidRPr="00BF2102">
        <w:rPr>
          <w:rFonts w:cs="Open Sans"/>
          <w:b/>
        </w:rPr>
        <w:t xml:space="preserve">Recommendation </w:t>
      </w:r>
      <w:r w:rsidR="00333E1B" w:rsidRPr="00BF2102">
        <w:rPr>
          <w:rFonts w:cs="Open Sans"/>
          <w:b/>
        </w:rPr>
        <w:t>7</w:t>
      </w:r>
    </w:p>
    <w:p w14:paraId="60978749" w14:textId="77777777" w:rsidR="0042792F" w:rsidRPr="00BF2102" w:rsidRDefault="0042792F" w:rsidP="0042792F">
      <w:pPr>
        <w:tabs>
          <w:tab w:val="left" w:pos="1134"/>
          <w:tab w:val="left" w:pos="1418"/>
        </w:tabs>
        <w:spacing w:before="120"/>
        <w:ind w:left="709"/>
        <w:rPr>
          <w:rFonts w:cs="Open Sans"/>
        </w:rPr>
      </w:pPr>
      <w:r w:rsidRPr="00BF2102">
        <w:rPr>
          <w:rFonts w:cs="Open Sans"/>
        </w:rPr>
        <w:t>If s 35 is retained,</w:t>
      </w:r>
      <w:bookmarkEnd w:id="94"/>
      <w:r w:rsidRPr="00BF2102">
        <w:rPr>
          <w:rFonts w:cs="Open Sans"/>
        </w:rPr>
        <w:t xml:space="preserve"> the phrase ‘in the service of’ a declared terrorist organisation in s 35(1)(b)(ii) should be defined to identify the proscribed conduct, and in a way that more clearly indicates that the person must necessarily have repudiated their allegiance to Australia.</w:t>
      </w:r>
    </w:p>
    <w:p w14:paraId="08CBB5D3" w14:textId="5F38783A" w:rsidR="00B41EA1" w:rsidRPr="00BF2102" w:rsidRDefault="00B41EA1" w:rsidP="00B41EA1">
      <w:pPr>
        <w:pStyle w:val="Heading2"/>
        <w:rPr>
          <w:rFonts w:cs="Open Sans"/>
        </w:rPr>
      </w:pPr>
      <w:bookmarkStart w:id="97" w:name="_Ref11338670"/>
      <w:bookmarkStart w:id="98" w:name="_Toc11407976"/>
      <w:bookmarkEnd w:id="95"/>
      <w:r w:rsidRPr="00BF2102">
        <w:rPr>
          <w:rFonts w:cs="Open Sans"/>
        </w:rPr>
        <w:t>Impact on children</w:t>
      </w:r>
      <w:bookmarkEnd w:id="96"/>
      <w:bookmarkEnd w:id="97"/>
      <w:bookmarkEnd w:id="98"/>
    </w:p>
    <w:p w14:paraId="34275DD7" w14:textId="6E9C8D9B" w:rsidR="00770CA6" w:rsidRPr="00BF2102" w:rsidRDefault="00770CA6" w:rsidP="00310D03">
      <w:pPr>
        <w:pStyle w:val="ListNumber"/>
        <w:numPr>
          <w:ilvl w:val="0"/>
          <w:numId w:val="15"/>
        </w:numPr>
        <w:tabs>
          <w:tab w:val="num" w:pos="993"/>
          <w:tab w:val="left" w:pos="1418"/>
        </w:tabs>
        <w:ind w:left="709" w:hanging="567"/>
        <w:rPr>
          <w:rFonts w:cs="Open Sans"/>
        </w:rPr>
      </w:pPr>
      <w:r w:rsidRPr="00BF2102">
        <w:rPr>
          <w:rFonts w:cs="Open Sans"/>
        </w:rPr>
        <w:t xml:space="preserve">The Commission is particularly concerned about the potential </w:t>
      </w:r>
      <w:r w:rsidR="00717DEA" w:rsidRPr="00BF2102">
        <w:rPr>
          <w:rFonts w:cs="Open Sans"/>
        </w:rPr>
        <w:t>human rights impacts of</w:t>
      </w:r>
      <w:r w:rsidRPr="00BF2102">
        <w:rPr>
          <w:rFonts w:cs="Open Sans"/>
        </w:rPr>
        <w:t xml:space="preserve"> </w:t>
      </w:r>
      <w:r w:rsidR="008E6AF8" w:rsidRPr="00BF2102">
        <w:rPr>
          <w:rFonts w:cs="Open Sans"/>
        </w:rPr>
        <w:t>citizenship loss</w:t>
      </w:r>
      <w:r w:rsidRPr="00BF2102">
        <w:rPr>
          <w:rFonts w:cs="Open Sans"/>
        </w:rPr>
        <w:t xml:space="preserve"> on children.</w:t>
      </w:r>
    </w:p>
    <w:p w14:paraId="735FEE95" w14:textId="25D44070" w:rsidR="00DE0C3F" w:rsidRPr="00BF2102" w:rsidRDefault="00DE0C3F" w:rsidP="00310D03">
      <w:pPr>
        <w:pStyle w:val="ListNumber"/>
        <w:numPr>
          <w:ilvl w:val="0"/>
          <w:numId w:val="15"/>
        </w:numPr>
        <w:tabs>
          <w:tab w:val="num" w:pos="993"/>
          <w:tab w:val="left" w:pos="1418"/>
        </w:tabs>
        <w:ind w:left="709" w:hanging="567"/>
        <w:rPr>
          <w:rFonts w:cs="Open Sans"/>
        </w:rPr>
      </w:pPr>
      <w:r w:rsidRPr="00BF2102">
        <w:rPr>
          <w:rFonts w:cs="Open Sans"/>
        </w:rPr>
        <w:t>The citizenship loss provisions apply to children in two ways:</w:t>
      </w:r>
    </w:p>
    <w:p w14:paraId="4250B9C6" w14:textId="77777777" w:rsidR="00DE0C3F" w:rsidRPr="00BF2102" w:rsidRDefault="00DE0C3F" w:rsidP="00310D03">
      <w:pPr>
        <w:pStyle w:val="ListParagraph"/>
        <w:numPr>
          <w:ilvl w:val="0"/>
          <w:numId w:val="33"/>
        </w:numPr>
        <w:spacing w:before="120" w:after="120"/>
        <w:rPr>
          <w:rFonts w:cs="Open Sans"/>
        </w:rPr>
      </w:pPr>
      <w:r w:rsidRPr="00BF2102">
        <w:rPr>
          <w:rFonts w:cs="Open Sans"/>
        </w:rPr>
        <w:t>children as young as ten years of age who have relevant criminal convictions could lose their citizenship by way of Ministerial determination in the same way as adults</w:t>
      </w:r>
      <w:r w:rsidRPr="00BF2102">
        <w:rPr>
          <w:rStyle w:val="EndnoteReference"/>
          <w:rFonts w:cs="Open Sans"/>
        </w:rPr>
        <w:endnoteReference w:id="81"/>
      </w:r>
      <w:r w:rsidRPr="00BF2102">
        <w:rPr>
          <w:rFonts w:cs="Open Sans"/>
        </w:rPr>
        <w:t xml:space="preserve"> </w:t>
      </w:r>
    </w:p>
    <w:p w14:paraId="2DF3AD48" w14:textId="77777777" w:rsidR="00DE0C3F" w:rsidRPr="00BF2102" w:rsidRDefault="00DE0C3F" w:rsidP="00310D03">
      <w:pPr>
        <w:pStyle w:val="ListParagraph"/>
        <w:numPr>
          <w:ilvl w:val="0"/>
          <w:numId w:val="33"/>
        </w:numPr>
        <w:spacing w:before="120" w:after="120"/>
        <w:rPr>
          <w:rFonts w:cs="Open Sans"/>
        </w:rPr>
      </w:pPr>
      <w:r w:rsidRPr="00BF2102">
        <w:rPr>
          <w:rFonts w:cs="Open Sans"/>
        </w:rPr>
        <w:t>children as young as fourteen who engage in relevant conduct could automatically lose their citizenship in the same way as adults.</w:t>
      </w:r>
      <w:r w:rsidRPr="00BF2102">
        <w:rPr>
          <w:rStyle w:val="EndnoteReference"/>
          <w:rFonts w:cs="Open Sans"/>
        </w:rPr>
        <w:endnoteReference w:id="82"/>
      </w:r>
    </w:p>
    <w:p w14:paraId="63B4713D" w14:textId="1C831967" w:rsidR="00871836" w:rsidRPr="00BF2102" w:rsidRDefault="00770CA6" w:rsidP="00310D03">
      <w:pPr>
        <w:pStyle w:val="ListNumber"/>
        <w:numPr>
          <w:ilvl w:val="0"/>
          <w:numId w:val="15"/>
        </w:numPr>
        <w:tabs>
          <w:tab w:val="num" w:pos="993"/>
          <w:tab w:val="left" w:pos="1418"/>
        </w:tabs>
        <w:ind w:left="709" w:hanging="567"/>
        <w:rPr>
          <w:rFonts w:cs="Open Sans"/>
        </w:rPr>
      </w:pPr>
      <w:r w:rsidRPr="00BF2102">
        <w:rPr>
          <w:rFonts w:cs="Open Sans"/>
        </w:rPr>
        <w:t xml:space="preserve">International human rights law recognises that, in light of their physical and mental immaturity, </w:t>
      </w:r>
      <w:r w:rsidR="00FD0FF6" w:rsidRPr="00BF2102">
        <w:rPr>
          <w:rFonts w:cs="Open Sans"/>
        </w:rPr>
        <w:t xml:space="preserve">and </w:t>
      </w:r>
      <w:r w:rsidR="00E10BE7" w:rsidRPr="00BF2102">
        <w:rPr>
          <w:rFonts w:cs="Open Sans"/>
        </w:rPr>
        <w:t xml:space="preserve">developing neurological makeup, </w:t>
      </w:r>
      <w:r w:rsidRPr="00BF2102">
        <w:rPr>
          <w:rFonts w:cs="Open Sans"/>
        </w:rPr>
        <w:t>children have special need of safeguards, care and protection</w:t>
      </w:r>
      <w:r w:rsidR="00E10BE7" w:rsidRPr="00BF2102">
        <w:rPr>
          <w:rFonts w:cs="Open Sans"/>
        </w:rPr>
        <w:t xml:space="preserve"> and should therefore be treated differently to adults</w:t>
      </w:r>
      <w:r w:rsidRPr="00BF2102">
        <w:rPr>
          <w:rFonts w:cs="Open Sans"/>
        </w:rPr>
        <w:t>.</w:t>
      </w:r>
      <w:r w:rsidRPr="00BF2102">
        <w:rPr>
          <w:rStyle w:val="EndnoteReference"/>
          <w:rFonts w:cs="Open Sans"/>
        </w:rPr>
        <w:endnoteReference w:id="83"/>
      </w:r>
      <w:r w:rsidRPr="00BF2102">
        <w:rPr>
          <w:rFonts w:cs="Open Sans"/>
        </w:rPr>
        <w:t xml:space="preserve"> </w:t>
      </w:r>
    </w:p>
    <w:p w14:paraId="00473D10" w14:textId="0E3BDA8E" w:rsidR="00717DEA" w:rsidRPr="00BF2102" w:rsidRDefault="00770CA6" w:rsidP="00310D03">
      <w:pPr>
        <w:pStyle w:val="ListNumber"/>
        <w:numPr>
          <w:ilvl w:val="0"/>
          <w:numId w:val="15"/>
        </w:numPr>
        <w:tabs>
          <w:tab w:val="num" w:pos="993"/>
          <w:tab w:val="left" w:pos="1418"/>
        </w:tabs>
        <w:ind w:left="709" w:hanging="567"/>
        <w:rPr>
          <w:rFonts w:cs="Open Sans"/>
        </w:rPr>
      </w:pPr>
      <w:r w:rsidRPr="00BF2102">
        <w:rPr>
          <w:rFonts w:cs="Open Sans"/>
        </w:rPr>
        <w:t>In recognition of that fact, Australia has ratified the CRC, which protects the best interests of the child (article 3) and the right of children to preserve their identity including their nationality (article 8(1)).</w:t>
      </w:r>
      <w:r w:rsidR="00871836" w:rsidRPr="00BF2102">
        <w:rPr>
          <w:rFonts w:cs="Open Sans"/>
        </w:rPr>
        <w:t xml:space="preserve"> </w:t>
      </w:r>
    </w:p>
    <w:p w14:paraId="739D9E2A" w14:textId="760AA80C" w:rsidR="00326048" w:rsidRPr="00BF2102" w:rsidRDefault="00326048" w:rsidP="00310D03">
      <w:pPr>
        <w:pStyle w:val="ListNumber"/>
        <w:numPr>
          <w:ilvl w:val="0"/>
          <w:numId w:val="15"/>
        </w:numPr>
        <w:tabs>
          <w:tab w:val="num" w:pos="993"/>
          <w:tab w:val="left" w:pos="1418"/>
        </w:tabs>
        <w:ind w:left="709" w:hanging="567"/>
        <w:rPr>
          <w:rFonts w:cs="Open Sans"/>
        </w:rPr>
      </w:pPr>
      <w:r w:rsidRPr="00BF2102">
        <w:rPr>
          <w:rFonts w:cs="Open Sans"/>
        </w:rPr>
        <w:lastRenderedPageBreak/>
        <w:t>Overall, removal of a child’s citizenship is extremely difficult to justify under international law. The Committee on the Rights of the Child, in concluding observations</w:t>
      </w:r>
      <w:r w:rsidR="008E6AF8" w:rsidRPr="00BF2102">
        <w:rPr>
          <w:rFonts w:cs="Open Sans"/>
        </w:rPr>
        <w:t xml:space="preserve"> made</w:t>
      </w:r>
      <w:r w:rsidRPr="00BF2102">
        <w:rPr>
          <w:rFonts w:cs="Open Sans"/>
        </w:rPr>
        <w:t xml:space="preserve"> with respect to Australia, stated:</w:t>
      </w:r>
    </w:p>
    <w:p w14:paraId="293C2FFC" w14:textId="07DCAE73" w:rsidR="00326048" w:rsidRPr="00BF2102" w:rsidRDefault="00326048" w:rsidP="00326048">
      <w:pPr>
        <w:pStyle w:val="ListNumber"/>
        <w:tabs>
          <w:tab w:val="left" w:pos="1418"/>
        </w:tabs>
        <w:ind w:left="1134"/>
        <w:rPr>
          <w:rFonts w:cs="Open Sans"/>
          <w:sz w:val="22"/>
          <w:szCs w:val="22"/>
        </w:rPr>
      </w:pPr>
      <w:r w:rsidRPr="00BF2102">
        <w:rPr>
          <w:rFonts w:cs="Open Sans"/>
          <w:sz w:val="22"/>
          <w:szCs w:val="22"/>
        </w:rPr>
        <w:t xml:space="preserve">With reference to article 8 of the Convention, the Committee further recommends that the State party undertake measures to ensure that no child is deprived of citizenship </w:t>
      </w:r>
      <w:r w:rsidRPr="00BF2102">
        <w:rPr>
          <w:rFonts w:cs="Open Sans"/>
          <w:i/>
          <w:iCs/>
          <w:sz w:val="22"/>
          <w:szCs w:val="22"/>
        </w:rPr>
        <w:t>on any ground</w:t>
      </w:r>
      <w:r w:rsidRPr="00BF2102">
        <w:rPr>
          <w:rFonts w:cs="Open Sans"/>
          <w:sz w:val="22"/>
          <w:szCs w:val="22"/>
        </w:rPr>
        <w:t xml:space="preserve"> regardless of the status of his/her parents</w:t>
      </w:r>
      <w:r w:rsidR="00FD0FF6" w:rsidRPr="00BF2102">
        <w:rPr>
          <w:rFonts w:cs="Open Sans"/>
          <w:sz w:val="22"/>
          <w:szCs w:val="22"/>
        </w:rPr>
        <w:t>.</w:t>
      </w:r>
      <w:r w:rsidR="00F141E3" w:rsidRPr="00BF2102">
        <w:rPr>
          <w:rFonts w:cs="Open Sans"/>
          <w:sz w:val="22"/>
          <w:szCs w:val="22"/>
        </w:rPr>
        <w:t xml:space="preserve"> [emphasis added]</w:t>
      </w:r>
    </w:p>
    <w:p w14:paraId="3CC78BF4" w14:textId="7BBB4EE2" w:rsidR="00E65D9B" w:rsidRPr="00BF2102" w:rsidRDefault="00ED5313" w:rsidP="00310D03">
      <w:pPr>
        <w:pStyle w:val="ListNumber"/>
        <w:numPr>
          <w:ilvl w:val="0"/>
          <w:numId w:val="15"/>
        </w:numPr>
        <w:tabs>
          <w:tab w:val="num" w:pos="993"/>
          <w:tab w:val="left" w:pos="1418"/>
        </w:tabs>
        <w:ind w:left="709" w:hanging="567"/>
        <w:rPr>
          <w:rFonts w:cs="Open Sans"/>
        </w:rPr>
      </w:pPr>
      <w:r w:rsidRPr="00BF2102">
        <w:rPr>
          <w:rFonts w:cs="Open Sans"/>
        </w:rPr>
        <w:t>The Commission notes that amendments</w:t>
      </w:r>
      <w:r w:rsidR="00E65D9B" w:rsidRPr="00BF2102">
        <w:rPr>
          <w:rFonts w:cs="Open Sans"/>
        </w:rPr>
        <w:t xml:space="preserve"> made</w:t>
      </w:r>
      <w:r w:rsidRPr="00BF2102">
        <w:rPr>
          <w:rFonts w:cs="Open Sans"/>
        </w:rPr>
        <w:t xml:space="preserve"> to the Allegiance Bill </w:t>
      </w:r>
      <w:r w:rsidR="00AA3848" w:rsidRPr="00BF2102">
        <w:rPr>
          <w:rFonts w:cs="Open Sans"/>
        </w:rPr>
        <w:t xml:space="preserve">prior to its passage </w:t>
      </w:r>
      <w:r w:rsidRPr="00BF2102">
        <w:rPr>
          <w:rFonts w:cs="Open Sans"/>
        </w:rPr>
        <w:t xml:space="preserve">enhanced the protection of children to some extent. </w:t>
      </w:r>
      <w:r w:rsidR="00E65D9B" w:rsidRPr="00BF2102">
        <w:rPr>
          <w:rFonts w:cs="Open Sans"/>
        </w:rPr>
        <w:t xml:space="preserve">The </w:t>
      </w:r>
      <w:r w:rsidRPr="00BF2102">
        <w:rPr>
          <w:rFonts w:cs="Open Sans"/>
        </w:rPr>
        <w:t xml:space="preserve">automatic conduct-based provisions were </w:t>
      </w:r>
      <w:r w:rsidR="00DE0C3F" w:rsidRPr="00BF2102">
        <w:rPr>
          <w:rFonts w:cs="Open Sans"/>
        </w:rPr>
        <w:t xml:space="preserve">limited </w:t>
      </w:r>
      <w:r w:rsidRPr="00BF2102">
        <w:rPr>
          <w:rFonts w:cs="Open Sans"/>
        </w:rPr>
        <w:t>to persons aged 14 or older</w:t>
      </w:r>
      <w:r w:rsidR="00E65D9B" w:rsidRPr="00BF2102">
        <w:rPr>
          <w:rFonts w:cs="Open Sans"/>
        </w:rPr>
        <w:t>.</w:t>
      </w:r>
      <w:r w:rsidRPr="00BF2102">
        <w:rPr>
          <w:rFonts w:cs="Open Sans"/>
        </w:rPr>
        <w:t xml:space="preserve"> </w:t>
      </w:r>
      <w:r w:rsidR="00E65D9B" w:rsidRPr="00BF2102">
        <w:rPr>
          <w:rFonts w:cs="Open Sans"/>
        </w:rPr>
        <w:t>F</w:t>
      </w:r>
      <w:r w:rsidRPr="00BF2102">
        <w:rPr>
          <w:rFonts w:cs="Open Sans"/>
        </w:rPr>
        <w:t>or conviction-based loss</w:t>
      </w:r>
      <w:r w:rsidR="00E65D9B" w:rsidRPr="00BF2102">
        <w:rPr>
          <w:rFonts w:cs="Open Sans"/>
        </w:rPr>
        <w:t>,</w:t>
      </w:r>
      <w:r w:rsidRPr="00BF2102">
        <w:rPr>
          <w:rFonts w:cs="Open Sans"/>
        </w:rPr>
        <w:t xml:space="preserve"> </w:t>
      </w:r>
      <w:r w:rsidR="00E10BE7" w:rsidRPr="00BF2102">
        <w:rPr>
          <w:rFonts w:cs="Open Sans"/>
        </w:rPr>
        <w:t xml:space="preserve">a child as young as 10 years old might have their citizenship removed, but </w:t>
      </w:r>
      <w:r w:rsidRPr="00BF2102">
        <w:rPr>
          <w:rFonts w:cs="Open Sans"/>
        </w:rPr>
        <w:t xml:space="preserve">the Minister is required to </w:t>
      </w:r>
      <w:proofErr w:type="gramStart"/>
      <w:r w:rsidRPr="00BF2102">
        <w:rPr>
          <w:rFonts w:cs="Open Sans"/>
        </w:rPr>
        <w:t>take into account</w:t>
      </w:r>
      <w:proofErr w:type="gramEnd"/>
      <w:r w:rsidRPr="00BF2102">
        <w:rPr>
          <w:rFonts w:cs="Open Sans"/>
        </w:rPr>
        <w:t xml:space="preserve"> the best interests of the child as a primary consideration </w:t>
      </w:r>
      <w:r w:rsidR="0068014F" w:rsidRPr="00BF2102">
        <w:rPr>
          <w:rFonts w:cs="Open Sans"/>
        </w:rPr>
        <w:t>before determining to remove their citizenship</w:t>
      </w:r>
      <w:r w:rsidR="00E65D9B" w:rsidRPr="00BF2102">
        <w:rPr>
          <w:rFonts w:cs="Open Sans"/>
        </w:rPr>
        <w:t xml:space="preserve"> if the affected person is aged under 18</w:t>
      </w:r>
      <w:r w:rsidRPr="00BF2102">
        <w:rPr>
          <w:rFonts w:cs="Open Sans"/>
        </w:rPr>
        <w:t>.</w:t>
      </w:r>
      <w:r w:rsidR="0068014F" w:rsidRPr="00BF2102">
        <w:rPr>
          <w:rStyle w:val="EndnoteReference"/>
          <w:rFonts w:cs="Open Sans"/>
        </w:rPr>
        <w:endnoteReference w:id="84"/>
      </w:r>
    </w:p>
    <w:p w14:paraId="4B1927DB" w14:textId="6D588CA3" w:rsidR="00E65D9B" w:rsidRPr="00BF2102" w:rsidRDefault="00E65D9B" w:rsidP="00310D03">
      <w:pPr>
        <w:pStyle w:val="ListNumber"/>
        <w:numPr>
          <w:ilvl w:val="0"/>
          <w:numId w:val="15"/>
        </w:numPr>
        <w:tabs>
          <w:tab w:val="num" w:pos="993"/>
          <w:tab w:val="left" w:pos="1418"/>
        </w:tabs>
        <w:ind w:left="709" w:hanging="567"/>
        <w:rPr>
          <w:rFonts w:cs="Open Sans"/>
        </w:rPr>
      </w:pPr>
      <w:r w:rsidRPr="00BF2102">
        <w:rPr>
          <w:rFonts w:cs="Open Sans"/>
        </w:rPr>
        <w:t xml:space="preserve">A proposed amendment to s 36 was also abandoned, in accordance with a recommendation made by the </w:t>
      </w:r>
      <w:r w:rsidR="00BC4C26" w:rsidRPr="00BF2102">
        <w:rPr>
          <w:rFonts w:cs="Open Sans"/>
        </w:rPr>
        <w:t>Committee</w:t>
      </w:r>
      <w:r w:rsidRPr="00BF2102">
        <w:rPr>
          <w:rFonts w:cs="Open Sans"/>
        </w:rPr>
        <w:t>,</w:t>
      </w:r>
      <w:r w:rsidRPr="00BF2102">
        <w:rPr>
          <w:rStyle w:val="EndnoteReference"/>
          <w:rFonts w:cs="Open Sans"/>
        </w:rPr>
        <w:endnoteReference w:id="85"/>
      </w:r>
      <w:r w:rsidRPr="00BF2102">
        <w:rPr>
          <w:rFonts w:cs="Open Sans"/>
        </w:rPr>
        <w:t xml:space="preserve"> with the result that a child’s citizenship cannot be removed by way of Ministerial determination </w:t>
      </w:r>
      <w:r w:rsidR="00F6574C" w:rsidRPr="00BF2102">
        <w:rPr>
          <w:rFonts w:cs="Open Sans"/>
        </w:rPr>
        <w:t>only on account of their</w:t>
      </w:r>
      <w:r w:rsidRPr="00BF2102">
        <w:rPr>
          <w:rFonts w:cs="Open Sans"/>
        </w:rPr>
        <w:t xml:space="preserve"> responsible parent’s citizenship ceas</w:t>
      </w:r>
      <w:r w:rsidR="00F6574C" w:rsidRPr="00BF2102">
        <w:rPr>
          <w:rFonts w:cs="Open Sans"/>
        </w:rPr>
        <w:t>ing</w:t>
      </w:r>
      <w:r w:rsidRPr="00BF2102">
        <w:rPr>
          <w:rFonts w:cs="Open Sans"/>
        </w:rPr>
        <w:t xml:space="preserve"> by </w:t>
      </w:r>
      <w:r w:rsidR="00F6574C" w:rsidRPr="00BF2102">
        <w:rPr>
          <w:rFonts w:cs="Open Sans"/>
        </w:rPr>
        <w:t>operation</w:t>
      </w:r>
      <w:r w:rsidRPr="00BF2102">
        <w:rPr>
          <w:rFonts w:cs="Open Sans"/>
        </w:rPr>
        <w:t xml:space="preserve"> of ss 33AA, 35 or 35A.</w:t>
      </w:r>
      <w:r w:rsidR="00A1317B" w:rsidRPr="00BF2102">
        <w:rPr>
          <w:rFonts w:cs="Open Sans"/>
        </w:rPr>
        <w:t xml:space="preserve"> </w:t>
      </w:r>
    </w:p>
    <w:p w14:paraId="05B28720" w14:textId="6A8F66CE" w:rsidR="00CC7611" w:rsidRPr="00BF2102" w:rsidRDefault="00CC7611" w:rsidP="00310D03">
      <w:pPr>
        <w:pStyle w:val="ListNumber"/>
        <w:numPr>
          <w:ilvl w:val="0"/>
          <w:numId w:val="15"/>
        </w:numPr>
        <w:tabs>
          <w:tab w:val="num" w:pos="993"/>
          <w:tab w:val="left" w:pos="1418"/>
        </w:tabs>
        <w:ind w:left="709" w:hanging="567"/>
        <w:rPr>
          <w:rFonts w:cs="Open Sans"/>
        </w:rPr>
      </w:pPr>
      <w:r w:rsidRPr="00BF2102">
        <w:rPr>
          <w:rFonts w:cs="Open Sans"/>
        </w:rPr>
        <w:t xml:space="preserve">However, loss of a parent’s </w:t>
      </w:r>
      <w:r w:rsidR="00D36606" w:rsidRPr="00BF2102">
        <w:rPr>
          <w:rFonts w:cs="Open Sans"/>
        </w:rPr>
        <w:t xml:space="preserve">Australian </w:t>
      </w:r>
      <w:r w:rsidRPr="00BF2102">
        <w:rPr>
          <w:rFonts w:cs="Open Sans"/>
        </w:rPr>
        <w:t xml:space="preserve">citizenship will evidently have adverse impacts </w:t>
      </w:r>
      <w:r w:rsidR="00326048" w:rsidRPr="00BF2102">
        <w:rPr>
          <w:rFonts w:cs="Open Sans"/>
        </w:rPr>
        <w:t xml:space="preserve">even if the child retains their </w:t>
      </w:r>
      <w:r w:rsidR="00D36606" w:rsidRPr="00BF2102">
        <w:rPr>
          <w:rFonts w:cs="Open Sans"/>
        </w:rPr>
        <w:t xml:space="preserve">own Australian </w:t>
      </w:r>
      <w:r w:rsidR="00326048" w:rsidRPr="00BF2102">
        <w:rPr>
          <w:rFonts w:cs="Open Sans"/>
        </w:rPr>
        <w:t>citizenship</w:t>
      </w:r>
      <w:r w:rsidRPr="00BF2102">
        <w:rPr>
          <w:rFonts w:cs="Open Sans"/>
        </w:rPr>
        <w:t xml:space="preserve">. </w:t>
      </w:r>
      <w:r w:rsidR="00F14480" w:rsidRPr="00BF2102">
        <w:rPr>
          <w:rFonts w:cs="Open Sans"/>
        </w:rPr>
        <w:t>A p</w:t>
      </w:r>
      <w:r w:rsidR="00326048" w:rsidRPr="00BF2102">
        <w:rPr>
          <w:rFonts w:cs="Open Sans"/>
        </w:rPr>
        <w:t>arent</w:t>
      </w:r>
      <w:r w:rsidR="00F14480" w:rsidRPr="00BF2102">
        <w:rPr>
          <w:rFonts w:cs="Open Sans"/>
        </w:rPr>
        <w:t xml:space="preserve"> who is denied entry into Australia, taken into immigration detention or deported, may be separated from their child or in effect be forced to remove their child from Australia</w:t>
      </w:r>
      <w:r w:rsidR="007C5866" w:rsidRPr="00BF2102">
        <w:rPr>
          <w:rFonts w:cs="Open Sans"/>
        </w:rPr>
        <w:t xml:space="preserve"> to stay together or </w:t>
      </w:r>
      <w:r w:rsidR="00DE12FB" w:rsidRPr="00BF2102">
        <w:rPr>
          <w:rFonts w:cs="Open Sans"/>
        </w:rPr>
        <w:t xml:space="preserve">to </w:t>
      </w:r>
      <w:r w:rsidR="007C5866" w:rsidRPr="00BF2102">
        <w:rPr>
          <w:rFonts w:cs="Open Sans"/>
        </w:rPr>
        <w:t>organise alternat</w:t>
      </w:r>
      <w:r w:rsidR="00D36606" w:rsidRPr="00BF2102">
        <w:rPr>
          <w:rFonts w:cs="Open Sans"/>
        </w:rPr>
        <w:t>iv</w:t>
      </w:r>
      <w:r w:rsidR="007C5866" w:rsidRPr="00BF2102">
        <w:rPr>
          <w:rFonts w:cs="Open Sans"/>
        </w:rPr>
        <w:t>e care</w:t>
      </w:r>
      <w:r w:rsidR="00F14480" w:rsidRPr="00BF2102">
        <w:rPr>
          <w:rFonts w:cs="Open Sans"/>
        </w:rPr>
        <w:t>.</w:t>
      </w:r>
      <w:r w:rsidR="00607761" w:rsidRPr="00BF2102">
        <w:rPr>
          <w:rFonts w:cs="Open Sans"/>
        </w:rPr>
        <w:t xml:space="preserve"> </w:t>
      </w:r>
    </w:p>
    <w:p w14:paraId="12A3931A" w14:textId="43523D20" w:rsidR="00ED5313" w:rsidRPr="00BF2102" w:rsidRDefault="00F14480" w:rsidP="00310D03">
      <w:pPr>
        <w:pStyle w:val="ListNumber"/>
        <w:numPr>
          <w:ilvl w:val="0"/>
          <w:numId w:val="15"/>
        </w:numPr>
        <w:tabs>
          <w:tab w:val="num" w:pos="993"/>
          <w:tab w:val="left" w:pos="1418"/>
        </w:tabs>
        <w:ind w:left="709" w:hanging="567"/>
        <w:rPr>
          <w:rFonts w:cs="Open Sans"/>
        </w:rPr>
      </w:pPr>
      <w:r w:rsidRPr="00BF2102">
        <w:rPr>
          <w:rFonts w:cs="Open Sans"/>
        </w:rPr>
        <w:t>The Commission considers that</w:t>
      </w:r>
      <w:r w:rsidR="00326048" w:rsidRPr="00BF2102">
        <w:rPr>
          <w:rFonts w:cs="Open Sans"/>
        </w:rPr>
        <w:t xml:space="preserve"> </w:t>
      </w:r>
      <w:r w:rsidR="00A81642" w:rsidRPr="00BF2102">
        <w:rPr>
          <w:rFonts w:cs="Open Sans"/>
        </w:rPr>
        <w:t>the</w:t>
      </w:r>
      <w:r w:rsidR="00326048" w:rsidRPr="00BF2102">
        <w:rPr>
          <w:rFonts w:cs="Open Sans"/>
        </w:rPr>
        <w:t xml:space="preserve"> citizenship</w:t>
      </w:r>
      <w:r w:rsidR="00A81642" w:rsidRPr="00BF2102">
        <w:rPr>
          <w:rFonts w:cs="Open Sans"/>
        </w:rPr>
        <w:t xml:space="preserve"> loss provisions</w:t>
      </w:r>
      <w:r w:rsidRPr="00BF2102">
        <w:rPr>
          <w:rFonts w:cs="Open Sans"/>
        </w:rPr>
        <w:t xml:space="preserve"> do not </w:t>
      </w:r>
      <w:r w:rsidR="00BF63D9" w:rsidRPr="00BF2102">
        <w:rPr>
          <w:rFonts w:cs="Open Sans"/>
        </w:rPr>
        <w:t>adequately</w:t>
      </w:r>
      <w:r w:rsidR="00DF42CC" w:rsidRPr="00BF2102">
        <w:rPr>
          <w:rFonts w:cs="Open Sans"/>
        </w:rPr>
        <w:t xml:space="preserve"> p</w:t>
      </w:r>
      <w:r w:rsidR="00755C97" w:rsidRPr="00BF2102">
        <w:rPr>
          <w:rFonts w:cs="Open Sans"/>
        </w:rPr>
        <w:t xml:space="preserve">rotect the </w:t>
      </w:r>
      <w:r w:rsidR="00C450C9" w:rsidRPr="00BF2102">
        <w:rPr>
          <w:rFonts w:cs="Open Sans"/>
        </w:rPr>
        <w:t>best interests and right to nationality of</w:t>
      </w:r>
      <w:r w:rsidR="00755C97" w:rsidRPr="00BF2102">
        <w:rPr>
          <w:rFonts w:cs="Open Sans"/>
        </w:rPr>
        <w:t xml:space="preserve"> Australian children</w:t>
      </w:r>
      <w:r w:rsidR="00414443" w:rsidRPr="00BF2102">
        <w:rPr>
          <w:rFonts w:cs="Open Sans"/>
        </w:rPr>
        <w:t>.</w:t>
      </w:r>
    </w:p>
    <w:p w14:paraId="56C8639F" w14:textId="4E98C8C7" w:rsidR="00ED5313" w:rsidRPr="00BF2102" w:rsidRDefault="00C450C9" w:rsidP="00310D03">
      <w:pPr>
        <w:pStyle w:val="ListNumber"/>
        <w:numPr>
          <w:ilvl w:val="0"/>
          <w:numId w:val="15"/>
        </w:numPr>
        <w:tabs>
          <w:tab w:val="num" w:pos="993"/>
          <w:tab w:val="left" w:pos="1418"/>
        </w:tabs>
        <w:ind w:left="709" w:hanging="567"/>
        <w:rPr>
          <w:rFonts w:cs="Open Sans"/>
        </w:rPr>
      </w:pPr>
      <w:r w:rsidRPr="00BF2102">
        <w:rPr>
          <w:rFonts w:cs="Open Sans"/>
        </w:rPr>
        <w:t>R</w:t>
      </w:r>
      <w:r w:rsidR="00ED5313" w:rsidRPr="00BF2102">
        <w:rPr>
          <w:rFonts w:cs="Open Sans"/>
        </w:rPr>
        <w:t xml:space="preserve">emoval of a child’s citizenship, and consequent loss of their right to enter or remain in Australia, is even more likely to be arbitrary </w:t>
      </w:r>
      <w:r w:rsidR="00A81642" w:rsidRPr="00BF2102">
        <w:rPr>
          <w:rFonts w:cs="Open Sans"/>
        </w:rPr>
        <w:t xml:space="preserve">in contravention of article 12(4) of the ICCPR </w:t>
      </w:r>
      <w:r w:rsidR="00ED5313" w:rsidRPr="00BF2102">
        <w:rPr>
          <w:rFonts w:cs="Open Sans"/>
        </w:rPr>
        <w:t>than in the case of an adult. That is so for a range of reasons, including that a child is less culpable for wrongdoing</w:t>
      </w:r>
      <w:r w:rsidR="00BF63D9" w:rsidRPr="00BF2102">
        <w:rPr>
          <w:rFonts w:cs="Open Sans"/>
        </w:rPr>
        <w:t xml:space="preserve"> and</w:t>
      </w:r>
      <w:r w:rsidR="00ED5313" w:rsidRPr="00BF2102">
        <w:rPr>
          <w:rFonts w:cs="Open Sans"/>
        </w:rPr>
        <w:t xml:space="preserve"> is more vulnerable to any adverse consequences. </w:t>
      </w:r>
      <w:r w:rsidR="00F141E3" w:rsidRPr="00BF2102">
        <w:rPr>
          <w:rFonts w:cs="Open Sans"/>
        </w:rPr>
        <w:t>While already an acute risk for adults, the risk of breaching a child’s human rights by automatic cessation of their citizenship is even more likely.</w:t>
      </w:r>
      <w:r w:rsidR="00E10BE7" w:rsidRPr="00BF2102">
        <w:rPr>
          <w:rFonts w:cs="Open Sans"/>
        </w:rPr>
        <w:t xml:space="preserve"> Again, a child is also at risk of exploitation or manipulation by adults.</w:t>
      </w:r>
    </w:p>
    <w:p w14:paraId="08D36455" w14:textId="540815E0" w:rsidR="00E44664" w:rsidRPr="00BF2102" w:rsidRDefault="00770CA6" w:rsidP="00310D03">
      <w:pPr>
        <w:pStyle w:val="ListNumber"/>
        <w:numPr>
          <w:ilvl w:val="0"/>
          <w:numId w:val="15"/>
        </w:numPr>
        <w:tabs>
          <w:tab w:val="num" w:pos="993"/>
          <w:tab w:val="left" w:pos="1418"/>
        </w:tabs>
        <w:ind w:left="709" w:hanging="567"/>
        <w:rPr>
          <w:rFonts w:cs="Open Sans"/>
        </w:rPr>
      </w:pPr>
      <w:r w:rsidRPr="00BF2102">
        <w:rPr>
          <w:rFonts w:cs="Open Sans"/>
        </w:rPr>
        <w:lastRenderedPageBreak/>
        <w:t>In assessing the best interests of a child</w:t>
      </w:r>
      <w:r w:rsidR="00A81642" w:rsidRPr="00BF2102">
        <w:rPr>
          <w:rFonts w:cs="Open Sans"/>
        </w:rPr>
        <w:t xml:space="preserve"> under article 3 of the CRC</w:t>
      </w:r>
      <w:r w:rsidRPr="00BF2102">
        <w:rPr>
          <w:rFonts w:cs="Open Sans"/>
        </w:rPr>
        <w:t>, it is</w:t>
      </w:r>
      <w:r w:rsidR="00A81642" w:rsidRPr="00BF2102">
        <w:rPr>
          <w:rFonts w:cs="Open Sans"/>
        </w:rPr>
        <w:t xml:space="preserve"> also</w:t>
      </w:r>
      <w:r w:rsidRPr="00BF2102">
        <w:rPr>
          <w:rFonts w:cs="Open Sans"/>
        </w:rPr>
        <w:t xml:space="preserve"> necessary to take into account all the circumstances of the particular child and the particular action.</w:t>
      </w:r>
      <w:r w:rsidRPr="00BF2102">
        <w:rPr>
          <w:rStyle w:val="EndnoteReference"/>
          <w:rFonts w:cs="Open Sans"/>
        </w:rPr>
        <w:endnoteReference w:id="86"/>
      </w:r>
      <w:r w:rsidRPr="00BF2102">
        <w:rPr>
          <w:rFonts w:cs="Open Sans"/>
        </w:rPr>
        <w:t xml:space="preserve"> </w:t>
      </w:r>
      <w:r w:rsidR="00E44664" w:rsidRPr="00BF2102">
        <w:rPr>
          <w:rFonts w:cs="Open Sans"/>
        </w:rPr>
        <w:t>This right also requires that procedural safeguards are implemented, to allow children to express their views,</w:t>
      </w:r>
      <w:r w:rsidR="00E44664" w:rsidRPr="00BF2102">
        <w:rPr>
          <w:rStyle w:val="EndnoteReference"/>
          <w:rFonts w:cs="Open Sans"/>
        </w:rPr>
        <w:endnoteReference w:id="87"/>
      </w:r>
      <w:r w:rsidR="00E44664" w:rsidRPr="00BF2102">
        <w:rPr>
          <w:rFonts w:cs="Open Sans"/>
        </w:rPr>
        <w:t xml:space="preserve"> to ensure that decisions and decision-making processes are transparent,</w:t>
      </w:r>
      <w:r w:rsidR="00E44664" w:rsidRPr="00BF2102">
        <w:rPr>
          <w:rStyle w:val="EndnoteReference"/>
          <w:rFonts w:cs="Open Sans"/>
        </w:rPr>
        <w:endnoteReference w:id="88"/>
      </w:r>
      <w:r w:rsidR="00E44664" w:rsidRPr="00BF2102">
        <w:rPr>
          <w:rFonts w:cs="Open Sans"/>
        </w:rPr>
        <w:t xml:space="preserve"> and that there are mechanisms to review decisions.</w:t>
      </w:r>
      <w:r w:rsidR="00E44664" w:rsidRPr="00BF2102">
        <w:rPr>
          <w:rStyle w:val="EndnoteReference"/>
          <w:rFonts w:cs="Open Sans"/>
        </w:rPr>
        <w:endnoteReference w:id="89"/>
      </w:r>
      <w:r w:rsidR="00E44664" w:rsidRPr="00BF2102">
        <w:rPr>
          <w:rFonts w:cs="Open Sans"/>
        </w:rPr>
        <w:t xml:space="preserve"> </w:t>
      </w:r>
    </w:p>
    <w:p w14:paraId="6E88E172" w14:textId="11DDCCFF" w:rsidR="00BF63D9" w:rsidRPr="00BF2102" w:rsidRDefault="00A81642" w:rsidP="00310D03">
      <w:pPr>
        <w:pStyle w:val="ListNumber"/>
        <w:numPr>
          <w:ilvl w:val="0"/>
          <w:numId w:val="15"/>
        </w:numPr>
        <w:tabs>
          <w:tab w:val="num" w:pos="993"/>
          <w:tab w:val="left" w:pos="1418"/>
        </w:tabs>
        <w:ind w:left="709" w:hanging="567"/>
        <w:rPr>
          <w:rFonts w:cs="Open Sans"/>
        </w:rPr>
      </w:pPr>
      <w:r w:rsidRPr="00BF2102">
        <w:rPr>
          <w:rFonts w:cs="Open Sans"/>
        </w:rPr>
        <w:t>The automatic nature of the conduct-based regime manifestly fails to meet th</w:t>
      </w:r>
      <w:r w:rsidR="00D36606" w:rsidRPr="00BF2102">
        <w:rPr>
          <w:rFonts w:cs="Open Sans"/>
        </w:rPr>
        <w:t>ese</w:t>
      </w:r>
      <w:r w:rsidRPr="00BF2102">
        <w:rPr>
          <w:rFonts w:cs="Open Sans"/>
        </w:rPr>
        <w:t xml:space="preserve"> criteria</w:t>
      </w:r>
      <w:r w:rsidR="00E44664" w:rsidRPr="00BF2102">
        <w:rPr>
          <w:rFonts w:cs="Open Sans"/>
        </w:rPr>
        <w:t>.</w:t>
      </w:r>
      <w:r w:rsidR="00BF63D9" w:rsidRPr="00BF2102">
        <w:rPr>
          <w:rFonts w:cs="Open Sans"/>
        </w:rPr>
        <w:t xml:space="preserve"> </w:t>
      </w:r>
      <w:r w:rsidR="00FE299B" w:rsidRPr="00BF2102">
        <w:rPr>
          <w:rFonts w:cs="Open Sans"/>
        </w:rPr>
        <w:t xml:space="preserve">In particular, because the Allegiance Bill did not implement Recommendation 15 of the Committee </w:t>
      </w:r>
      <w:r w:rsidR="00F141E3" w:rsidRPr="00BF2102">
        <w:rPr>
          <w:rFonts w:cs="Open Sans"/>
        </w:rPr>
        <w:t xml:space="preserve">by </w:t>
      </w:r>
      <w:r w:rsidR="00FE299B" w:rsidRPr="00BF2102">
        <w:rPr>
          <w:rFonts w:cs="Open Sans"/>
        </w:rPr>
        <w:t>requir</w:t>
      </w:r>
      <w:r w:rsidR="00F141E3" w:rsidRPr="00BF2102">
        <w:rPr>
          <w:rFonts w:cs="Open Sans"/>
        </w:rPr>
        <w:t>ing</w:t>
      </w:r>
      <w:r w:rsidR="00FE299B" w:rsidRPr="00BF2102">
        <w:rPr>
          <w:rFonts w:cs="Open Sans"/>
        </w:rPr>
        <w:t xml:space="preserve"> the Minister to consider exempting a person from the effect of the conduct-based citizenship loss provisions, there is currently no requirement to take the best interests of children into account in the application of these provisions. </w:t>
      </w:r>
      <w:r w:rsidR="00BF63D9" w:rsidRPr="00BF2102">
        <w:rPr>
          <w:rFonts w:cs="Open Sans"/>
        </w:rPr>
        <w:t xml:space="preserve">The Commission recommends that </w:t>
      </w:r>
      <w:r w:rsidR="00414443" w:rsidRPr="00BF2102">
        <w:rPr>
          <w:rFonts w:cs="Open Sans"/>
        </w:rPr>
        <w:t xml:space="preserve">automatic </w:t>
      </w:r>
      <w:r w:rsidR="00BF63D9" w:rsidRPr="00BF2102">
        <w:rPr>
          <w:rFonts w:cs="Open Sans"/>
        </w:rPr>
        <w:t>loss of citizenship by conduct should not be possible in the case of children.</w:t>
      </w:r>
      <w:r w:rsidR="00DA2762" w:rsidRPr="00BF2102">
        <w:rPr>
          <w:rFonts w:cs="Open Sans"/>
        </w:rPr>
        <w:t xml:space="preserve"> </w:t>
      </w:r>
    </w:p>
    <w:p w14:paraId="299A504E" w14:textId="381D360A" w:rsidR="0042792F" w:rsidRPr="00BF2102" w:rsidRDefault="0042792F" w:rsidP="0042792F">
      <w:pPr>
        <w:keepNext/>
        <w:tabs>
          <w:tab w:val="left" w:pos="1134"/>
          <w:tab w:val="left" w:pos="1418"/>
        </w:tabs>
        <w:spacing w:before="120"/>
        <w:ind w:left="709"/>
        <w:rPr>
          <w:rFonts w:cs="Open Sans"/>
        </w:rPr>
      </w:pPr>
      <w:bookmarkStart w:id="99" w:name="_Hlk10710371"/>
      <w:bookmarkStart w:id="100" w:name="_Hlk11159118"/>
      <w:r w:rsidRPr="00BF2102">
        <w:rPr>
          <w:rFonts w:cs="Open Sans"/>
          <w:b/>
        </w:rPr>
        <w:t xml:space="preserve">Recommendation </w:t>
      </w:r>
      <w:r w:rsidR="00333E1B" w:rsidRPr="00BF2102">
        <w:rPr>
          <w:rFonts w:cs="Open Sans"/>
          <w:b/>
        </w:rPr>
        <w:t>8</w:t>
      </w:r>
    </w:p>
    <w:bookmarkEnd w:id="99"/>
    <w:p w14:paraId="20079528" w14:textId="5E7139EF" w:rsidR="0042792F" w:rsidRPr="00BF2102" w:rsidRDefault="0042792F" w:rsidP="0042792F">
      <w:pPr>
        <w:tabs>
          <w:tab w:val="left" w:pos="1134"/>
          <w:tab w:val="left" w:pos="1418"/>
        </w:tabs>
        <w:spacing w:before="120"/>
        <w:ind w:left="709"/>
        <w:rPr>
          <w:rFonts w:cs="Open Sans"/>
          <w:bCs/>
        </w:rPr>
      </w:pPr>
      <w:r w:rsidRPr="00BF2102">
        <w:rPr>
          <w:rFonts w:cs="Open Sans"/>
          <w:bCs/>
        </w:rPr>
        <w:t xml:space="preserve">If retained, the conduct-based citizenship loss provisions in ss 33AA and 35 of the </w:t>
      </w:r>
      <w:r w:rsidRPr="00BF2102">
        <w:rPr>
          <w:rFonts w:cs="Open Sans"/>
          <w:i/>
          <w:iCs/>
        </w:rPr>
        <w:t>Australian Citizenship Act 2007</w:t>
      </w:r>
      <w:r w:rsidRPr="00BF2102">
        <w:rPr>
          <w:rFonts w:cs="Open Sans"/>
        </w:rPr>
        <w:t xml:space="preserve"> (Cth) </w:t>
      </w:r>
      <w:r w:rsidRPr="00BF2102">
        <w:rPr>
          <w:rFonts w:cs="Open Sans"/>
          <w:bCs/>
        </w:rPr>
        <w:t>should not apply to children.</w:t>
      </w:r>
    </w:p>
    <w:bookmarkEnd w:id="100"/>
    <w:p w14:paraId="564A6808" w14:textId="45C6200A" w:rsidR="00B41EA1" w:rsidRPr="00BF2102" w:rsidRDefault="00F141E3" w:rsidP="00310D03">
      <w:pPr>
        <w:pStyle w:val="ListNumber"/>
        <w:numPr>
          <w:ilvl w:val="0"/>
          <w:numId w:val="15"/>
        </w:numPr>
        <w:tabs>
          <w:tab w:val="num" w:pos="993"/>
          <w:tab w:val="left" w:pos="1418"/>
        </w:tabs>
        <w:ind w:left="709" w:hanging="567"/>
        <w:rPr>
          <w:rFonts w:cs="Open Sans"/>
        </w:rPr>
      </w:pPr>
      <w:r w:rsidRPr="00BF2102">
        <w:rPr>
          <w:rFonts w:cs="Open Sans"/>
        </w:rPr>
        <w:t xml:space="preserve">Should Recommendation </w:t>
      </w:r>
      <w:r w:rsidR="009A0519" w:rsidRPr="00BF2102">
        <w:rPr>
          <w:rFonts w:cs="Open Sans"/>
        </w:rPr>
        <w:t>8</w:t>
      </w:r>
      <w:r w:rsidRPr="00BF2102">
        <w:rPr>
          <w:rFonts w:cs="Open Sans"/>
        </w:rPr>
        <w:t xml:space="preserve"> not be accepted</w:t>
      </w:r>
      <w:r w:rsidR="00E278C1" w:rsidRPr="00BF2102">
        <w:rPr>
          <w:rFonts w:cs="Open Sans"/>
        </w:rPr>
        <w:t xml:space="preserve">, </w:t>
      </w:r>
      <w:r w:rsidRPr="00BF2102">
        <w:rPr>
          <w:rFonts w:cs="Open Sans"/>
        </w:rPr>
        <w:t xml:space="preserve">in the alternative </w:t>
      </w:r>
      <w:r w:rsidR="000A784E" w:rsidRPr="00BF2102">
        <w:rPr>
          <w:rFonts w:cs="Open Sans"/>
        </w:rPr>
        <w:t xml:space="preserve">and </w:t>
      </w:r>
      <w:r w:rsidR="00C015EC" w:rsidRPr="00BF2102">
        <w:rPr>
          <w:rFonts w:cs="Open Sans"/>
        </w:rPr>
        <w:t xml:space="preserve">as recommended above, </w:t>
      </w:r>
      <w:r w:rsidR="00E278C1" w:rsidRPr="00BF2102">
        <w:rPr>
          <w:rFonts w:cs="Open Sans"/>
        </w:rPr>
        <w:t xml:space="preserve">removal of </w:t>
      </w:r>
      <w:r w:rsidR="00DF6F1F" w:rsidRPr="00BF2102">
        <w:rPr>
          <w:rFonts w:cs="Open Sans"/>
        </w:rPr>
        <w:t xml:space="preserve">a child’s </w:t>
      </w:r>
      <w:r w:rsidR="00E278C1" w:rsidRPr="00BF2102">
        <w:rPr>
          <w:rFonts w:cs="Open Sans"/>
        </w:rPr>
        <w:t>citizenship under ss</w:t>
      </w:r>
      <w:r w:rsidR="00C015EC" w:rsidRPr="00BF2102">
        <w:rPr>
          <w:rFonts w:cs="Open Sans"/>
        </w:rPr>
        <w:t> </w:t>
      </w:r>
      <w:r w:rsidR="00E278C1" w:rsidRPr="00BF2102">
        <w:rPr>
          <w:rFonts w:cs="Open Sans"/>
        </w:rPr>
        <w:t xml:space="preserve">33AA or 35 should only occur </w:t>
      </w:r>
      <w:r w:rsidR="00DF6F1F" w:rsidRPr="00BF2102">
        <w:rPr>
          <w:rFonts w:cs="Open Sans"/>
        </w:rPr>
        <w:t>following a process in which the same procedural safeguards that apply to conviction-based citizenship loss under s 35A are applied</w:t>
      </w:r>
      <w:r w:rsidRPr="00BF2102">
        <w:rPr>
          <w:rFonts w:cs="Open Sans"/>
        </w:rPr>
        <w:t>.</w:t>
      </w:r>
      <w:r w:rsidR="00C015EC" w:rsidRPr="00BF2102">
        <w:rPr>
          <w:rFonts w:cs="Open Sans"/>
        </w:rPr>
        <w:t xml:space="preserve"> </w:t>
      </w:r>
      <w:r w:rsidRPr="00BF2102">
        <w:rPr>
          <w:rFonts w:cs="Open Sans"/>
        </w:rPr>
        <w:t>I</w:t>
      </w:r>
      <w:r w:rsidR="00C015EC" w:rsidRPr="00BF2102">
        <w:rPr>
          <w:rFonts w:cs="Open Sans"/>
        </w:rPr>
        <w:t>n the further alternative</w:t>
      </w:r>
      <w:r w:rsidRPr="00BF2102">
        <w:rPr>
          <w:rFonts w:cs="Open Sans"/>
        </w:rPr>
        <w:t>,</w:t>
      </w:r>
      <w:r w:rsidR="00C015EC" w:rsidRPr="00BF2102">
        <w:rPr>
          <w:rFonts w:cs="Open Sans"/>
        </w:rPr>
        <w:t xml:space="preserve"> the</w:t>
      </w:r>
      <w:r w:rsidR="00E278C1" w:rsidRPr="00BF2102">
        <w:rPr>
          <w:rFonts w:cs="Open Sans"/>
        </w:rPr>
        <w:t xml:space="preserve"> Minister </w:t>
      </w:r>
      <w:r w:rsidR="00C015EC" w:rsidRPr="00BF2102">
        <w:rPr>
          <w:rFonts w:cs="Open Sans"/>
        </w:rPr>
        <w:t>should be required to consider exercising their</w:t>
      </w:r>
      <w:r w:rsidR="00E278C1" w:rsidRPr="00BF2102">
        <w:rPr>
          <w:rFonts w:cs="Open Sans"/>
        </w:rPr>
        <w:t xml:space="preserve"> </w:t>
      </w:r>
      <w:r w:rsidR="00C015EC" w:rsidRPr="00BF2102">
        <w:rPr>
          <w:rFonts w:cs="Open Sans"/>
        </w:rPr>
        <w:t>powers</w:t>
      </w:r>
      <w:r w:rsidR="00934636" w:rsidRPr="00BF2102">
        <w:rPr>
          <w:rFonts w:cs="Open Sans"/>
        </w:rPr>
        <w:t xml:space="preserve"> </w:t>
      </w:r>
      <w:r w:rsidR="00FA7BBD" w:rsidRPr="00BF2102">
        <w:rPr>
          <w:rFonts w:cs="Open Sans"/>
        </w:rPr>
        <w:t xml:space="preserve">to exempt a child from the operation of the relevant section </w:t>
      </w:r>
      <w:r w:rsidR="00934636" w:rsidRPr="00BF2102">
        <w:rPr>
          <w:rFonts w:cs="Open Sans"/>
        </w:rPr>
        <w:t>in every instance</w:t>
      </w:r>
      <w:r w:rsidR="00E278C1" w:rsidRPr="00BF2102">
        <w:rPr>
          <w:rFonts w:cs="Open Sans"/>
        </w:rPr>
        <w:t>.</w:t>
      </w:r>
    </w:p>
    <w:p w14:paraId="2C714AE9" w14:textId="77777777" w:rsidR="00447BF1" w:rsidRPr="00BF2102" w:rsidRDefault="00447BF1" w:rsidP="00447BF1">
      <w:pPr>
        <w:pStyle w:val="ListNumber"/>
        <w:numPr>
          <w:ilvl w:val="0"/>
          <w:numId w:val="15"/>
        </w:numPr>
        <w:tabs>
          <w:tab w:val="num" w:pos="993"/>
          <w:tab w:val="left" w:pos="1418"/>
        </w:tabs>
        <w:ind w:left="709" w:hanging="567"/>
        <w:rPr>
          <w:rFonts w:cs="Open Sans"/>
        </w:rPr>
      </w:pPr>
      <w:r w:rsidRPr="00BF2102">
        <w:rPr>
          <w:rFonts w:cs="Open Sans"/>
        </w:rPr>
        <w:t xml:space="preserve">With respect to s 35A, the Commission considers that it is inappropriate for younger children to be subject to citizenship loss under the conviction-based regime. This accords with previous calls made by the Commission to raise the age of criminal responsibility to at least 14 years of age. </w:t>
      </w:r>
    </w:p>
    <w:p w14:paraId="1153AA29" w14:textId="77777777" w:rsidR="00447BF1" w:rsidRPr="00BF2102" w:rsidRDefault="00447BF1" w:rsidP="00447BF1">
      <w:pPr>
        <w:pStyle w:val="ListNumber"/>
        <w:numPr>
          <w:ilvl w:val="0"/>
          <w:numId w:val="15"/>
        </w:numPr>
        <w:tabs>
          <w:tab w:val="num" w:pos="993"/>
          <w:tab w:val="left" w:pos="1418"/>
        </w:tabs>
        <w:ind w:left="709" w:hanging="567"/>
      </w:pPr>
      <w:r w:rsidRPr="00BF2102">
        <w:t xml:space="preserve">Currently, the minimum age of responsibility in all states and territories in Australia is 10 years of age, mitigated by the principle of </w:t>
      </w:r>
      <w:proofErr w:type="spellStart"/>
      <w:r w:rsidRPr="00BF2102">
        <w:rPr>
          <w:i/>
          <w:iCs/>
        </w:rPr>
        <w:t>doli</w:t>
      </w:r>
      <w:proofErr w:type="spellEnd"/>
      <w:r w:rsidRPr="00BF2102">
        <w:rPr>
          <w:i/>
          <w:iCs/>
        </w:rPr>
        <w:t xml:space="preserve"> incapax</w:t>
      </w:r>
      <w:r w:rsidRPr="00BF2102">
        <w:t xml:space="preserve">. </w:t>
      </w:r>
    </w:p>
    <w:p w14:paraId="51B38E62" w14:textId="77777777" w:rsidR="00447BF1" w:rsidRPr="00BF2102" w:rsidRDefault="00447BF1" w:rsidP="00447BF1">
      <w:pPr>
        <w:pStyle w:val="ListNumber"/>
        <w:numPr>
          <w:ilvl w:val="0"/>
          <w:numId w:val="15"/>
        </w:numPr>
        <w:tabs>
          <w:tab w:val="num" w:pos="993"/>
          <w:tab w:val="left" w:pos="1418"/>
        </w:tabs>
        <w:ind w:left="709" w:hanging="567"/>
      </w:pPr>
      <w:r w:rsidRPr="00BF2102">
        <w:t>The minimum age of criminal responsibility in Australia is comparatively low compared with many other countries.</w:t>
      </w:r>
      <w:r w:rsidRPr="00BF2102">
        <w:rPr>
          <w:rStyle w:val="EndnoteReference"/>
        </w:rPr>
        <w:endnoteReference w:id="90"/>
      </w:r>
      <w:r w:rsidRPr="00BF2102">
        <w:t xml:space="preserve"> There have been increasing and repeated calls for raising this age, including by expert bodies. </w:t>
      </w:r>
    </w:p>
    <w:p w14:paraId="706A14E0" w14:textId="77777777" w:rsidR="00447BF1" w:rsidRPr="00BF2102" w:rsidRDefault="00447BF1" w:rsidP="00447BF1">
      <w:pPr>
        <w:pStyle w:val="ListNumber"/>
        <w:numPr>
          <w:ilvl w:val="0"/>
          <w:numId w:val="15"/>
        </w:numPr>
        <w:tabs>
          <w:tab w:val="num" w:pos="993"/>
          <w:tab w:val="left" w:pos="1418"/>
        </w:tabs>
        <w:ind w:left="709" w:hanging="567"/>
      </w:pPr>
      <w:r w:rsidRPr="00BF2102">
        <w:t xml:space="preserve">The United Nations Committee on the Rights of the Child, in its Draft General Comment No 24, has stated that the desirable minimum age of criminal responsibility is at least 14 years old. However, it has commended </w:t>
      </w:r>
      <w:r w:rsidRPr="00BF2102">
        <w:lastRenderedPageBreak/>
        <w:t>states to adopt a higher minimum age, for instance at least 15 or 16 years old. The Commission has expressed its support for this position,</w:t>
      </w:r>
      <w:r w:rsidRPr="00BF2102">
        <w:rPr>
          <w:rStyle w:val="EndnoteReference"/>
        </w:rPr>
        <w:endnoteReference w:id="91"/>
      </w:r>
      <w:r w:rsidRPr="00BF2102">
        <w:t xml:space="preserve"> along with the preservation of </w:t>
      </w:r>
      <w:proofErr w:type="spellStart"/>
      <w:r w:rsidRPr="00BF2102">
        <w:rPr>
          <w:i/>
          <w:iCs/>
        </w:rPr>
        <w:t>doli</w:t>
      </w:r>
      <w:proofErr w:type="spellEnd"/>
      <w:r w:rsidRPr="00BF2102">
        <w:rPr>
          <w:i/>
          <w:iCs/>
        </w:rPr>
        <w:t xml:space="preserve"> incapax</w:t>
      </w:r>
      <w:r w:rsidRPr="00BF2102">
        <w:t>, and the availability of appropriate diversionary programs for children.</w:t>
      </w:r>
    </w:p>
    <w:p w14:paraId="30AFB5F5" w14:textId="77777777" w:rsidR="00447BF1" w:rsidRPr="00BF2102" w:rsidRDefault="00447BF1" w:rsidP="00447BF1">
      <w:pPr>
        <w:pStyle w:val="ListNumber"/>
        <w:numPr>
          <w:ilvl w:val="0"/>
          <w:numId w:val="15"/>
        </w:numPr>
        <w:tabs>
          <w:tab w:val="num" w:pos="993"/>
          <w:tab w:val="left" w:pos="1418"/>
        </w:tabs>
        <w:ind w:left="709" w:hanging="567"/>
      </w:pPr>
      <w:r w:rsidRPr="00BF2102">
        <w:t>Reasons for raising the age of criminal responsibility, and the application of s 35A to persons aged at least 14 years or older, include that:</w:t>
      </w:r>
    </w:p>
    <w:p w14:paraId="5FE45716" w14:textId="77777777" w:rsidR="00447BF1" w:rsidRPr="00BF2102" w:rsidRDefault="00447BF1" w:rsidP="00447BF1">
      <w:pPr>
        <w:pStyle w:val="ListParagraph"/>
        <w:numPr>
          <w:ilvl w:val="0"/>
          <w:numId w:val="45"/>
        </w:numPr>
        <w:spacing w:before="120" w:after="120"/>
      </w:pPr>
      <w:r w:rsidRPr="00BF2102">
        <w:t xml:space="preserve">many children involved in the criminal justice system come from disadvantaged </w:t>
      </w:r>
      <w:r w:rsidRPr="00BF2102">
        <w:rPr>
          <w:rFonts w:cs="Open Sans"/>
        </w:rPr>
        <w:t>backgrounds</w:t>
      </w:r>
      <w:r w:rsidRPr="00BF2102">
        <w:t xml:space="preserve"> and have complex needs better addressed outside the criminal justice system</w:t>
      </w:r>
      <w:r w:rsidRPr="00BF2102">
        <w:rPr>
          <w:rStyle w:val="EndnoteReference"/>
        </w:rPr>
        <w:endnoteReference w:id="92"/>
      </w:r>
    </w:p>
    <w:p w14:paraId="55EDD416" w14:textId="77777777" w:rsidR="00447BF1" w:rsidRPr="00BF2102" w:rsidRDefault="00447BF1" w:rsidP="00447BF1">
      <w:pPr>
        <w:pStyle w:val="ListParagraph"/>
        <w:numPr>
          <w:ilvl w:val="0"/>
          <w:numId w:val="45"/>
        </w:numPr>
        <w:spacing w:before="120" w:after="120"/>
      </w:pPr>
      <w:r w:rsidRPr="00BF2102">
        <w:t xml:space="preserve">research on brain development shows that 10 and 11 year </w:t>
      </w:r>
      <w:proofErr w:type="spellStart"/>
      <w:r w:rsidRPr="00BF2102">
        <w:t>olds</w:t>
      </w:r>
      <w:proofErr w:type="spellEnd"/>
      <w:r w:rsidRPr="00BF2102">
        <w:t xml:space="preserve"> have not developed the requisite level of maturity to form the necessary intent for full criminal responsibility</w:t>
      </w:r>
      <w:r w:rsidRPr="00BF2102">
        <w:rPr>
          <w:rStyle w:val="EndnoteReference"/>
        </w:rPr>
        <w:endnoteReference w:id="93"/>
      </w:r>
    </w:p>
    <w:p w14:paraId="1FEE3BD1" w14:textId="77777777" w:rsidR="00447BF1" w:rsidRPr="00BF2102" w:rsidRDefault="00447BF1" w:rsidP="00447BF1">
      <w:pPr>
        <w:pStyle w:val="ListParagraph"/>
        <w:numPr>
          <w:ilvl w:val="0"/>
          <w:numId w:val="45"/>
        </w:numPr>
        <w:spacing w:before="120" w:after="120"/>
      </w:pPr>
      <w:r w:rsidRPr="00BF2102">
        <w:t>younger children, particularly under the age of 12 years, lack the capacity to properly engage in the criminal justice system, resulting in a propensity to accept a plea bargain, give false confessions or fail to keep track of court proceedings</w:t>
      </w:r>
      <w:r w:rsidRPr="00BF2102">
        <w:rPr>
          <w:rStyle w:val="EndnoteReference"/>
        </w:rPr>
        <w:endnoteReference w:id="94"/>
      </w:r>
    </w:p>
    <w:p w14:paraId="11798304" w14:textId="77777777" w:rsidR="00447BF1" w:rsidRPr="00BF2102" w:rsidRDefault="00447BF1" w:rsidP="00447BF1">
      <w:pPr>
        <w:pStyle w:val="ListParagraph"/>
        <w:numPr>
          <w:ilvl w:val="0"/>
          <w:numId w:val="45"/>
        </w:numPr>
        <w:spacing w:before="120" w:after="120"/>
      </w:pPr>
      <w:r w:rsidRPr="00BF2102">
        <w:t>studies have shown that the younger the child is when encountering the justice system, the more likely they are to reoffend</w:t>
      </w:r>
      <w:r w:rsidRPr="00BF2102">
        <w:rPr>
          <w:rStyle w:val="EndnoteReference"/>
        </w:rPr>
        <w:endnoteReference w:id="95"/>
      </w:r>
    </w:p>
    <w:p w14:paraId="7DA3EBDE" w14:textId="77777777" w:rsidR="00447BF1" w:rsidRPr="00BF2102" w:rsidRDefault="00447BF1" w:rsidP="00447BF1">
      <w:pPr>
        <w:pStyle w:val="ListParagraph"/>
        <w:numPr>
          <w:ilvl w:val="0"/>
          <w:numId w:val="45"/>
        </w:numPr>
        <w:spacing w:before="120" w:after="120"/>
      </w:pPr>
      <w:r w:rsidRPr="00BF2102">
        <w:t>it would bring Australia into line with its obligations under the CRC.</w:t>
      </w:r>
      <w:r w:rsidRPr="00BF2102">
        <w:rPr>
          <w:sz w:val="20"/>
          <w:szCs w:val="20"/>
          <w:vertAlign w:val="superscript"/>
        </w:rPr>
        <w:endnoteReference w:id="96"/>
      </w:r>
    </w:p>
    <w:p w14:paraId="0FDECBDC" w14:textId="66CD0BCE" w:rsidR="00A908E4" w:rsidRPr="00BF2102" w:rsidRDefault="00447BF1" w:rsidP="004C070A">
      <w:pPr>
        <w:keepNext/>
        <w:tabs>
          <w:tab w:val="left" w:pos="1134"/>
          <w:tab w:val="left" w:pos="1418"/>
        </w:tabs>
        <w:spacing w:before="120"/>
        <w:ind w:left="709"/>
      </w:pPr>
      <w:r w:rsidRPr="00BF2102">
        <w:t xml:space="preserve">The Commission considers that young children, aged below 14 years old if not older, should not be subject to criminal responsibility or the related result and adverse impacts of citizenship removal. The other safeguards currently in place to protect children should also continue to apply. </w:t>
      </w:r>
    </w:p>
    <w:p w14:paraId="38E07277" w14:textId="1B23D745" w:rsidR="00B92A26" w:rsidRPr="00BF2102" w:rsidRDefault="00B92A26" w:rsidP="00B92A26">
      <w:pPr>
        <w:keepNext/>
        <w:tabs>
          <w:tab w:val="left" w:pos="1134"/>
          <w:tab w:val="left" w:pos="1418"/>
        </w:tabs>
        <w:spacing w:before="120"/>
        <w:ind w:left="709"/>
      </w:pPr>
      <w:r w:rsidRPr="00BF2102">
        <w:rPr>
          <w:rFonts w:cs="Open Sans"/>
          <w:b/>
        </w:rPr>
        <w:t xml:space="preserve">Recommendation </w:t>
      </w:r>
      <w:r w:rsidR="00333E1B" w:rsidRPr="00BF2102">
        <w:rPr>
          <w:rFonts w:cs="Open Sans"/>
          <w:b/>
        </w:rPr>
        <w:t>9</w:t>
      </w:r>
    </w:p>
    <w:p w14:paraId="0C21DC88" w14:textId="15940DFC" w:rsidR="00B92A26" w:rsidRPr="00BF2102" w:rsidRDefault="00B92A26" w:rsidP="00B92A26">
      <w:pPr>
        <w:pStyle w:val="ListNumber"/>
        <w:tabs>
          <w:tab w:val="left" w:pos="1418"/>
        </w:tabs>
        <w:ind w:left="709"/>
      </w:pPr>
      <w:r w:rsidRPr="00BF2102">
        <w:rPr>
          <w:bCs/>
        </w:rPr>
        <w:t xml:space="preserve">The conviction-based loss provisions in s 35A of the </w:t>
      </w:r>
      <w:r w:rsidRPr="00BF2102">
        <w:rPr>
          <w:rFonts w:cs="Open Sans"/>
          <w:i/>
          <w:iCs/>
        </w:rPr>
        <w:t>Australian Citizenship Act 2007</w:t>
      </w:r>
      <w:r w:rsidRPr="00BF2102">
        <w:rPr>
          <w:rFonts w:cs="Open Sans"/>
        </w:rPr>
        <w:t xml:space="preserve"> (Cth) should only apply to persons aged at least 14 years of age or older.</w:t>
      </w:r>
    </w:p>
    <w:p w14:paraId="504A4680" w14:textId="46A4B9EB" w:rsidR="00953551" w:rsidRPr="00BF2102" w:rsidRDefault="00953551" w:rsidP="00B64E32">
      <w:pPr>
        <w:pStyle w:val="Heading2"/>
        <w:rPr>
          <w:rFonts w:cs="Open Sans"/>
        </w:rPr>
      </w:pPr>
      <w:bookmarkStart w:id="101" w:name="_Toc11407977"/>
      <w:r w:rsidRPr="00BF2102">
        <w:rPr>
          <w:rFonts w:cs="Open Sans"/>
        </w:rPr>
        <w:t>Retrospectivity</w:t>
      </w:r>
      <w:bookmarkEnd w:id="101"/>
    </w:p>
    <w:p w14:paraId="701979D7" w14:textId="4E50B87F" w:rsidR="00D44524" w:rsidRPr="00BF2102" w:rsidRDefault="00D44524" w:rsidP="00310D03">
      <w:pPr>
        <w:pStyle w:val="ListNumber"/>
        <w:numPr>
          <w:ilvl w:val="0"/>
          <w:numId w:val="15"/>
        </w:numPr>
        <w:tabs>
          <w:tab w:val="num" w:pos="993"/>
          <w:tab w:val="left" w:pos="1418"/>
        </w:tabs>
        <w:ind w:left="709" w:hanging="567"/>
        <w:rPr>
          <w:rFonts w:cs="Open Sans"/>
        </w:rPr>
      </w:pPr>
      <w:r w:rsidRPr="00BF2102">
        <w:rPr>
          <w:rFonts w:cs="Open Sans"/>
        </w:rPr>
        <w:t>Section 35A applie</w:t>
      </w:r>
      <w:r w:rsidR="00CC6E58" w:rsidRPr="00BF2102">
        <w:rPr>
          <w:rFonts w:cs="Open Sans"/>
        </w:rPr>
        <w:t>s</w:t>
      </w:r>
      <w:r w:rsidRPr="00BF2102">
        <w:rPr>
          <w:rFonts w:cs="Open Sans"/>
        </w:rPr>
        <w:t xml:space="preserve"> to convictions that occurred no more than ten years before the commencement of that section, and where the person </w:t>
      </w:r>
      <w:r w:rsidR="003400B3" w:rsidRPr="00BF2102">
        <w:rPr>
          <w:rFonts w:cs="Open Sans"/>
        </w:rPr>
        <w:t xml:space="preserve">is </w:t>
      </w:r>
      <w:r w:rsidRPr="00BF2102">
        <w:rPr>
          <w:rFonts w:cs="Open Sans"/>
        </w:rPr>
        <w:t>sentenced to a period of imprisonment of at least ten years in respect of the conviction.</w:t>
      </w:r>
      <w:r w:rsidRPr="00BF2102">
        <w:rPr>
          <w:rStyle w:val="EndnoteReference"/>
          <w:rFonts w:cs="Open Sans"/>
        </w:rPr>
        <w:endnoteReference w:id="97"/>
      </w:r>
      <w:r w:rsidRPr="00BF2102">
        <w:rPr>
          <w:rFonts w:cs="Open Sans"/>
        </w:rPr>
        <w:t xml:space="preserve"> </w:t>
      </w:r>
      <w:r w:rsidR="007563E3" w:rsidRPr="00BF2102">
        <w:rPr>
          <w:rFonts w:cs="Open Sans"/>
        </w:rPr>
        <w:t>In effect, this means that an offence that was committed prior to the passage of s 35A may nonetheless result in loss of citizenship.</w:t>
      </w:r>
    </w:p>
    <w:p w14:paraId="65478743" w14:textId="33C83442" w:rsidR="00214EB2" w:rsidRPr="00BF2102" w:rsidRDefault="00214EB2" w:rsidP="00310D03">
      <w:pPr>
        <w:pStyle w:val="ListNumber"/>
        <w:numPr>
          <w:ilvl w:val="0"/>
          <w:numId w:val="15"/>
        </w:numPr>
        <w:tabs>
          <w:tab w:val="num" w:pos="993"/>
          <w:tab w:val="left" w:pos="1418"/>
        </w:tabs>
        <w:ind w:left="709" w:hanging="567"/>
        <w:rPr>
          <w:rFonts w:cs="Open Sans"/>
        </w:rPr>
      </w:pPr>
      <w:r w:rsidRPr="00BF2102">
        <w:rPr>
          <w:rFonts w:cs="Open Sans"/>
        </w:rPr>
        <w:lastRenderedPageBreak/>
        <w:t xml:space="preserve">While some time has passed since the passage of </w:t>
      </w:r>
      <w:r w:rsidR="008E6AF8" w:rsidRPr="00BF2102">
        <w:rPr>
          <w:rFonts w:cs="Open Sans"/>
        </w:rPr>
        <w:t>s 35A</w:t>
      </w:r>
      <w:r w:rsidRPr="00BF2102">
        <w:rPr>
          <w:rFonts w:cs="Open Sans"/>
        </w:rPr>
        <w:t xml:space="preserve"> in 2015, the Commission continues to hold concerns that </w:t>
      </w:r>
      <w:r w:rsidR="008E6AF8" w:rsidRPr="00BF2102">
        <w:rPr>
          <w:rFonts w:cs="Open Sans"/>
        </w:rPr>
        <w:t>its</w:t>
      </w:r>
      <w:r w:rsidRPr="00BF2102">
        <w:rPr>
          <w:rFonts w:cs="Open Sans"/>
        </w:rPr>
        <w:t xml:space="preserve"> retrospective application has not been adequately justified.</w:t>
      </w:r>
    </w:p>
    <w:p w14:paraId="25EF700E" w14:textId="03D79FE3" w:rsidR="00CC6E58" w:rsidRPr="00BF2102" w:rsidRDefault="00CC6E58" w:rsidP="00310D03">
      <w:pPr>
        <w:pStyle w:val="ListNumber"/>
        <w:numPr>
          <w:ilvl w:val="0"/>
          <w:numId w:val="15"/>
        </w:numPr>
        <w:tabs>
          <w:tab w:val="num" w:pos="993"/>
          <w:tab w:val="left" w:pos="1418"/>
        </w:tabs>
        <w:ind w:left="709" w:hanging="567"/>
        <w:rPr>
          <w:rFonts w:eastAsia="Times New Roman" w:cs="Open Sans"/>
          <w:sz w:val="22"/>
        </w:rPr>
      </w:pPr>
      <w:r w:rsidRPr="00BF2102">
        <w:rPr>
          <w:rFonts w:cs="Open Sans"/>
        </w:rPr>
        <w:t>Retrospective laws</w:t>
      </w:r>
      <w:r w:rsidR="007563E3" w:rsidRPr="00BF2102">
        <w:rPr>
          <w:rFonts w:cs="Open Sans"/>
        </w:rPr>
        <w:t xml:space="preserve"> </w:t>
      </w:r>
      <w:r w:rsidRPr="00BF2102">
        <w:rPr>
          <w:rFonts w:cs="Open Sans"/>
        </w:rPr>
        <w:t xml:space="preserve">are generally contrary to the rule of law. </w:t>
      </w:r>
      <w:r w:rsidRPr="00BF2102">
        <w:rPr>
          <w:rFonts w:eastAsiaTheme="minorHAnsi" w:cs="Open Sans"/>
        </w:rPr>
        <w:t>It is a fundamental principle that the existence of an offence and penalty be established prospectively, as</w:t>
      </w:r>
      <w:r w:rsidRPr="00BF2102">
        <w:rPr>
          <w:rFonts w:cs="Open Sans"/>
        </w:rPr>
        <w:t xml:space="preserve"> reflected in the common law presumption against retrospectivity.</w:t>
      </w:r>
      <w:r w:rsidRPr="00BF2102">
        <w:rPr>
          <w:rStyle w:val="EndnoteReference"/>
          <w:rFonts w:cs="Open Sans"/>
        </w:rPr>
        <w:endnoteReference w:id="98"/>
      </w:r>
      <w:r w:rsidRPr="00BF2102">
        <w:rPr>
          <w:rFonts w:cs="Open Sans"/>
        </w:rPr>
        <w:t xml:space="preserve"> </w:t>
      </w:r>
    </w:p>
    <w:p w14:paraId="05690D4B" w14:textId="7BA1D20C" w:rsidR="00D44524" w:rsidRPr="00BF2102" w:rsidRDefault="00CC6E58" w:rsidP="00310D03">
      <w:pPr>
        <w:pStyle w:val="ListNumber"/>
        <w:numPr>
          <w:ilvl w:val="0"/>
          <w:numId w:val="15"/>
        </w:numPr>
        <w:tabs>
          <w:tab w:val="num" w:pos="993"/>
          <w:tab w:val="left" w:pos="1418"/>
        </w:tabs>
        <w:ind w:left="709" w:hanging="567"/>
        <w:rPr>
          <w:rFonts w:cs="Open Sans"/>
        </w:rPr>
      </w:pPr>
      <w:r w:rsidRPr="00BF2102">
        <w:rPr>
          <w:rFonts w:cs="Open Sans"/>
        </w:rPr>
        <w:t>A</w:t>
      </w:r>
      <w:r w:rsidR="00D44524" w:rsidRPr="00BF2102">
        <w:rPr>
          <w:rFonts w:cs="Open Sans"/>
        </w:rPr>
        <w:t xml:space="preserve">rticle 15(1) of the ICCPR </w:t>
      </w:r>
      <w:r w:rsidRPr="00BF2102">
        <w:rPr>
          <w:rFonts w:cs="Open Sans"/>
        </w:rPr>
        <w:t xml:space="preserve">also </w:t>
      </w:r>
      <w:r w:rsidR="00D44524" w:rsidRPr="00BF2102">
        <w:rPr>
          <w:rFonts w:cs="Open Sans"/>
        </w:rPr>
        <w:t xml:space="preserve">prohibits retrospective criminal laws, including the imposition of heavier penalties than the one applicable at the time the offence was committed. </w:t>
      </w:r>
    </w:p>
    <w:p w14:paraId="306A0D64" w14:textId="77777777" w:rsidR="00214EB2" w:rsidRPr="00BF2102" w:rsidRDefault="007563E3" w:rsidP="00310D03">
      <w:pPr>
        <w:pStyle w:val="ListNumber"/>
        <w:numPr>
          <w:ilvl w:val="0"/>
          <w:numId w:val="15"/>
        </w:numPr>
        <w:tabs>
          <w:tab w:val="num" w:pos="993"/>
          <w:tab w:val="left" w:pos="1418"/>
        </w:tabs>
        <w:ind w:left="709" w:hanging="567"/>
        <w:rPr>
          <w:rFonts w:cs="Open Sans"/>
        </w:rPr>
      </w:pPr>
      <w:r w:rsidRPr="00BF2102">
        <w:rPr>
          <w:rFonts w:cs="Open Sans"/>
        </w:rPr>
        <w:t>The Commission notes its previously expressed view that the removal of citizenship can be characterised as a penalty, and is therefore inconsistent with article 15(1)</w:t>
      </w:r>
      <w:r w:rsidR="00957BF5" w:rsidRPr="00BF2102">
        <w:rPr>
          <w:rFonts w:cs="Open Sans"/>
        </w:rPr>
        <w:t xml:space="preserve"> if retrospectively applied</w:t>
      </w:r>
      <w:r w:rsidRPr="00BF2102">
        <w:rPr>
          <w:rFonts w:cs="Open Sans"/>
        </w:rPr>
        <w:t>.</w:t>
      </w:r>
      <w:r w:rsidRPr="00BF2102">
        <w:rPr>
          <w:rStyle w:val="EndnoteReference"/>
          <w:rFonts w:cs="Open Sans"/>
        </w:rPr>
        <w:endnoteReference w:id="99"/>
      </w:r>
      <w:r w:rsidRPr="00BF2102">
        <w:rPr>
          <w:rFonts w:cs="Open Sans"/>
        </w:rPr>
        <w:t xml:space="preserve"> </w:t>
      </w:r>
    </w:p>
    <w:p w14:paraId="34DD1F3C" w14:textId="3FF489DF" w:rsidR="000A42E5" w:rsidRPr="00BF2102" w:rsidRDefault="007563E3" w:rsidP="00310D03">
      <w:pPr>
        <w:pStyle w:val="ListNumber"/>
        <w:numPr>
          <w:ilvl w:val="0"/>
          <w:numId w:val="15"/>
        </w:numPr>
        <w:tabs>
          <w:tab w:val="num" w:pos="993"/>
          <w:tab w:val="left" w:pos="1418"/>
        </w:tabs>
        <w:ind w:left="709" w:hanging="567"/>
        <w:rPr>
          <w:rFonts w:cs="Open Sans"/>
        </w:rPr>
      </w:pPr>
      <w:r w:rsidRPr="00BF2102">
        <w:rPr>
          <w:rFonts w:cs="Open Sans"/>
        </w:rPr>
        <w:t xml:space="preserve">It further notes potential </w:t>
      </w:r>
      <w:r w:rsidR="00957BF5" w:rsidRPr="00BF2102">
        <w:rPr>
          <w:rFonts w:cs="Open Sans"/>
        </w:rPr>
        <w:t xml:space="preserve">Ch III </w:t>
      </w:r>
      <w:r w:rsidR="000A42E5" w:rsidRPr="00BF2102">
        <w:rPr>
          <w:rFonts w:cs="Open Sans"/>
        </w:rPr>
        <w:t>constitutional</w:t>
      </w:r>
      <w:r w:rsidR="00957BF5" w:rsidRPr="00BF2102">
        <w:rPr>
          <w:rFonts w:cs="Open Sans"/>
        </w:rPr>
        <w:t xml:space="preserve"> concerns</w:t>
      </w:r>
      <w:r w:rsidRPr="00BF2102">
        <w:rPr>
          <w:rFonts w:cs="Open Sans"/>
        </w:rPr>
        <w:t>, given that</w:t>
      </w:r>
      <w:r w:rsidR="000A42E5" w:rsidRPr="00BF2102">
        <w:rPr>
          <w:rFonts w:cs="Open Sans"/>
        </w:rPr>
        <w:t xml:space="preserve"> this </w:t>
      </w:r>
      <w:r w:rsidR="00817221" w:rsidRPr="00BF2102">
        <w:rPr>
          <w:rFonts w:cs="Open Sans"/>
        </w:rPr>
        <w:t>power is exercis</w:t>
      </w:r>
      <w:r w:rsidR="00A93994" w:rsidRPr="00BF2102">
        <w:rPr>
          <w:rFonts w:cs="Open Sans"/>
        </w:rPr>
        <w:t>able</w:t>
      </w:r>
      <w:r w:rsidR="000A42E5" w:rsidRPr="00BF2102">
        <w:rPr>
          <w:rFonts w:cs="Open Sans"/>
        </w:rPr>
        <w:t xml:space="preserve"> by the Minister </w:t>
      </w:r>
      <w:r w:rsidR="00B6456E" w:rsidRPr="00BF2102">
        <w:rPr>
          <w:rFonts w:cs="Open Sans"/>
        </w:rPr>
        <w:t>(</w:t>
      </w:r>
      <w:r w:rsidR="000A42E5" w:rsidRPr="00BF2102">
        <w:rPr>
          <w:rFonts w:cs="Open Sans"/>
        </w:rPr>
        <w:t xml:space="preserve">or </w:t>
      </w:r>
      <w:r w:rsidR="00B6456E" w:rsidRPr="00BF2102">
        <w:rPr>
          <w:rFonts w:cs="Open Sans"/>
        </w:rPr>
        <w:t xml:space="preserve">automatically </w:t>
      </w:r>
      <w:r w:rsidR="00957BF5" w:rsidRPr="00BF2102">
        <w:rPr>
          <w:rFonts w:cs="Open Sans"/>
        </w:rPr>
        <w:t xml:space="preserve">effected </w:t>
      </w:r>
      <w:r w:rsidR="000A42E5" w:rsidRPr="00BF2102">
        <w:rPr>
          <w:rFonts w:cs="Open Sans"/>
        </w:rPr>
        <w:t>by operation of law</w:t>
      </w:r>
      <w:r w:rsidR="00556442" w:rsidRPr="00BF2102">
        <w:rPr>
          <w:rFonts w:cs="Open Sans"/>
        </w:rPr>
        <w:t>)</w:t>
      </w:r>
      <w:r w:rsidR="000A42E5" w:rsidRPr="00BF2102">
        <w:rPr>
          <w:rFonts w:cs="Open Sans"/>
        </w:rPr>
        <w:t>, rather than by a judge.</w:t>
      </w:r>
    </w:p>
    <w:p w14:paraId="448BF970" w14:textId="29992BA9" w:rsidR="0042792F" w:rsidRPr="00BF2102" w:rsidRDefault="0042792F" w:rsidP="0042792F">
      <w:pPr>
        <w:keepNext/>
        <w:tabs>
          <w:tab w:val="left" w:pos="1134"/>
          <w:tab w:val="left" w:pos="1418"/>
        </w:tabs>
        <w:spacing w:before="120"/>
        <w:ind w:left="709"/>
        <w:rPr>
          <w:rFonts w:cs="Open Sans"/>
        </w:rPr>
      </w:pPr>
      <w:bookmarkStart w:id="102" w:name="_Hlk11159125"/>
      <w:r w:rsidRPr="00BF2102">
        <w:rPr>
          <w:rFonts w:cs="Open Sans"/>
          <w:b/>
        </w:rPr>
        <w:t xml:space="preserve">Recommendation </w:t>
      </w:r>
      <w:r w:rsidR="00333E1B" w:rsidRPr="00BF2102">
        <w:rPr>
          <w:rFonts w:cs="Open Sans"/>
          <w:b/>
        </w:rPr>
        <w:t>10</w:t>
      </w:r>
    </w:p>
    <w:p w14:paraId="48ED094A" w14:textId="77777777" w:rsidR="0042792F" w:rsidRPr="00BF2102" w:rsidRDefault="0042792F" w:rsidP="0042792F">
      <w:pPr>
        <w:tabs>
          <w:tab w:val="left" w:pos="1134"/>
          <w:tab w:val="left" w:pos="1418"/>
        </w:tabs>
        <w:spacing w:before="120"/>
        <w:ind w:left="709"/>
        <w:rPr>
          <w:rFonts w:cs="Open Sans"/>
        </w:rPr>
      </w:pPr>
      <w:r w:rsidRPr="00BF2102">
        <w:rPr>
          <w:rFonts w:cs="Open Sans"/>
        </w:rPr>
        <w:t>Loss of citizenship under s 35A following a relevant criminal conviction should not operate retrospectively.</w:t>
      </w:r>
    </w:p>
    <w:bookmarkEnd w:id="102"/>
    <w:p w14:paraId="235A0249" w14:textId="4C83FBBA" w:rsidR="00316FEA" w:rsidRPr="00BF2102" w:rsidRDefault="00FE299B" w:rsidP="00310D03">
      <w:pPr>
        <w:pStyle w:val="ListNumber"/>
        <w:numPr>
          <w:ilvl w:val="0"/>
          <w:numId w:val="15"/>
        </w:numPr>
        <w:tabs>
          <w:tab w:val="num" w:pos="993"/>
          <w:tab w:val="left" w:pos="1418"/>
        </w:tabs>
        <w:ind w:left="709" w:hanging="567"/>
        <w:rPr>
          <w:rFonts w:cs="Open Sans"/>
        </w:rPr>
      </w:pPr>
      <w:r w:rsidRPr="00BF2102">
        <w:rPr>
          <w:rFonts w:cs="Open Sans"/>
        </w:rPr>
        <w:t xml:space="preserve">As noted earlier, it appears that </w:t>
      </w:r>
      <w:r w:rsidR="003400B3" w:rsidRPr="00BF2102">
        <w:rPr>
          <w:rFonts w:cs="Open Sans"/>
        </w:rPr>
        <w:t>the conviction-based regime in</w:t>
      </w:r>
      <w:r w:rsidR="00DF4076" w:rsidRPr="00BF2102">
        <w:rPr>
          <w:rFonts w:cs="Open Sans"/>
        </w:rPr>
        <w:t xml:space="preserve"> </w:t>
      </w:r>
      <w:r w:rsidRPr="00BF2102">
        <w:rPr>
          <w:rFonts w:cs="Open Sans"/>
        </w:rPr>
        <w:t>s 35A</w:t>
      </w:r>
      <w:r w:rsidR="003400B3" w:rsidRPr="00BF2102">
        <w:rPr>
          <w:rFonts w:cs="Open Sans"/>
        </w:rPr>
        <w:t xml:space="preserve"> ha</w:t>
      </w:r>
      <w:r w:rsidR="00B60379" w:rsidRPr="00BF2102">
        <w:rPr>
          <w:rFonts w:cs="Open Sans"/>
        </w:rPr>
        <w:t>d</w:t>
      </w:r>
      <w:r w:rsidR="003400B3" w:rsidRPr="00BF2102">
        <w:rPr>
          <w:rFonts w:cs="Open Sans"/>
        </w:rPr>
        <w:t xml:space="preserve"> not as yet been used to remove the Australian citizenship of any person</w:t>
      </w:r>
      <w:r w:rsidRPr="00BF2102">
        <w:rPr>
          <w:rFonts w:cs="Open Sans"/>
        </w:rPr>
        <w:t xml:space="preserve">. </w:t>
      </w:r>
      <w:r w:rsidR="00C665CA" w:rsidRPr="00BF2102">
        <w:rPr>
          <w:rFonts w:cs="Open Sans"/>
        </w:rPr>
        <w:t xml:space="preserve">The Commission is not aware of whether there are any people with prior relevant offences to whom the section could be </w:t>
      </w:r>
      <w:r w:rsidR="00402188" w:rsidRPr="00BF2102">
        <w:rPr>
          <w:rFonts w:cs="Open Sans"/>
        </w:rPr>
        <w:t xml:space="preserve">retrospectively </w:t>
      </w:r>
      <w:r w:rsidR="00C665CA" w:rsidRPr="00BF2102">
        <w:rPr>
          <w:rFonts w:cs="Open Sans"/>
        </w:rPr>
        <w:t>applied. The Commission recommends that the INSLM seek this information from the Department.</w:t>
      </w:r>
    </w:p>
    <w:p w14:paraId="44D8132B" w14:textId="7E5CE6E8" w:rsidR="0042792F" w:rsidRPr="00BF2102" w:rsidRDefault="0042792F" w:rsidP="00464395">
      <w:pPr>
        <w:keepNext/>
        <w:tabs>
          <w:tab w:val="left" w:pos="1134"/>
          <w:tab w:val="left" w:pos="1418"/>
        </w:tabs>
        <w:spacing w:before="120"/>
        <w:ind w:left="709"/>
        <w:rPr>
          <w:rFonts w:cs="Open Sans"/>
          <w:b/>
          <w:bCs/>
        </w:rPr>
      </w:pPr>
      <w:bookmarkStart w:id="103" w:name="_Hlk11159130"/>
      <w:r w:rsidRPr="00BF2102">
        <w:rPr>
          <w:rFonts w:cs="Open Sans"/>
          <w:b/>
          <w:bCs/>
        </w:rPr>
        <w:t xml:space="preserve">Recommendation </w:t>
      </w:r>
      <w:r w:rsidR="00405414" w:rsidRPr="00BF2102">
        <w:rPr>
          <w:rFonts w:cs="Open Sans"/>
          <w:b/>
          <w:bCs/>
        </w:rPr>
        <w:t>11</w:t>
      </w:r>
    </w:p>
    <w:p w14:paraId="1B1E6811" w14:textId="46F588F2" w:rsidR="008C1E89" w:rsidRPr="00EB38A8" w:rsidRDefault="0042792F" w:rsidP="005F2057">
      <w:pPr>
        <w:tabs>
          <w:tab w:val="left" w:pos="1134"/>
          <w:tab w:val="left" w:pos="1418"/>
        </w:tabs>
        <w:spacing w:before="120"/>
        <w:ind w:left="709"/>
        <w:rPr>
          <w:rFonts w:cs="Open Sans"/>
        </w:rPr>
      </w:pPr>
      <w:r w:rsidRPr="00BF2102">
        <w:rPr>
          <w:rFonts w:cs="Open Sans"/>
        </w:rPr>
        <w:t xml:space="preserve">The INSLM should seek from the Department of Home Affairs information about the number of cases </w:t>
      </w:r>
      <w:r w:rsidR="00987EF3" w:rsidRPr="00BF2102">
        <w:rPr>
          <w:rFonts w:cs="Open Sans"/>
        </w:rPr>
        <w:t>to which s 35A could apply retrospectively</w:t>
      </w:r>
      <w:r w:rsidRPr="00BF2102">
        <w:rPr>
          <w:rFonts w:cs="Open Sans"/>
        </w:rPr>
        <w:t>, and the details of those cases.</w:t>
      </w:r>
      <w:bookmarkEnd w:id="103"/>
    </w:p>
    <w:sectPr w:rsidR="008C1E89" w:rsidRPr="00EB38A8" w:rsidSect="00460EE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B58CB" w14:textId="77777777" w:rsidR="004761BE" w:rsidRDefault="004761BE" w:rsidP="00F14C6D">
      <w:r>
        <w:separator/>
      </w:r>
    </w:p>
  </w:endnote>
  <w:endnote w:type="continuationSeparator" w:id="0">
    <w:p w14:paraId="2C5F201A" w14:textId="77777777" w:rsidR="004761BE" w:rsidRDefault="004761BE" w:rsidP="00F14C6D">
      <w:r>
        <w:continuationSeparator/>
      </w:r>
    </w:p>
  </w:endnote>
  <w:endnote w:id="1">
    <w:p w14:paraId="323302D0" w14:textId="54937FAF"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t>Revised Explanatory Memorandum, Australian Citizenship Amendment (Allegiance to Australia) Bill 2015 (Cth) 2</w:t>
      </w:r>
      <w:r>
        <w:rPr>
          <w:rFonts w:cs="Open Sans"/>
        </w:rPr>
        <w:t>.</w:t>
      </w:r>
    </w:p>
  </w:endnote>
  <w:endnote w:id="2">
    <w:p w14:paraId="69FFC000" w14:textId="232168F3"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rPr>
        <w:t>International Covenant on Civil and Political Rights</w:t>
      </w:r>
      <w:r w:rsidRPr="00AD0B6F">
        <w:rPr>
          <w:rFonts w:cs="Open Sans"/>
        </w:rPr>
        <w:t>, opened for signature 16 December 1966, 999 UNTS 171 (entered into force 23 March 1976) art 6.</w:t>
      </w:r>
    </w:p>
  </w:endnote>
  <w:endnote w:id="3">
    <w:p w14:paraId="1375A30F" w14:textId="5D40B757" w:rsidR="004761BE" w:rsidRPr="00AD0B6F" w:rsidRDefault="004761BE" w:rsidP="00C04030">
      <w:pPr>
        <w:pStyle w:val="EndnoteText"/>
        <w:widowControl w:val="0"/>
        <w:tabs>
          <w:tab w:val="left" w:pos="426"/>
        </w:tabs>
        <w:ind w:left="426" w:right="57" w:hanging="426"/>
        <w:contextualSpacing/>
        <w:rPr>
          <w:rFonts w:cs="Open Sans"/>
        </w:rPr>
      </w:pPr>
      <w:r w:rsidRPr="00AD0B6F">
        <w:rPr>
          <w:rStyle w:val="EndnoteReference"/>
          <w:rFonts w:cs="Open Sans"/>
        </w:rPr>
        <w:endnoteRef/>
      </w:r>
      <w:r w:rsidRPr="00AD0B6F">
        <w:rPr>
          <w:rFonts w:cs="Open Sans"/>
        </w:rPr>
        <w:tab/>
        <w:t xml:space="preserve">See, eg, </w:t>
      </w:r>
      <w:r w:rsidRPr="00AD0B6F">
        <w:rPr>
          <w:rFonts w:cs="Open Sans"/>
          <w:i/>
        </w:rPr>
        <w:t>Threats to international peace and security caused by terrorist acts</w:t>
      </w:r>
      <w:r w:rsidRPr="00AD0B6F">
        <w:rPr>
          <w:rFonts w:cs="Open Sans"/>
        </w:rPr>
        <w:t>, SC Res 1373, UN SCOR, 4385</w:t>
      </w:r>
      <w:r w:rsidRPr="00AD0B6F">
        <w:rPr>
          <w:rFonts w:cs="Open Sans"/>
          <w:vertAlign w:val="superscript"/>
        </w:rPr>
        <w:t>th</w:t>
      </w:r>
      <w:r w:rsidRPr="00AD0B6F">
        <w:rPr>
          <w:rFonts w:cs="Open Sans"/>
        </w:rPr>
        <w:t xml:space="preserve"> mtg, UN Doc S/RES/1373 (28 September 2001). </w:t>
      </w:r>
    </w:p>
  </w:endnote>
  <w:endnote w:id="4">
    <w:p w14:paraId="5142BAD6" w14:textId="77777777" w:rsidR="004761BE" w:rsidRPr="00AD0B6F" w:rsidRDefault="004761BE" w:rsidP="00EB38A8">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rPr>
        <w:t>International Covenant on Civil and Political Rights</w:t>
      </w:r>
      <w:r w:rsidRPr="00AD0B6F">
        <w:rPr>
          <w:rFonts w:cs="Open Sans"/>
        </w:rPr>
        <w:t>, opened for signature 19 December 1966, 999 UNTS 171 (entered into force 23 March 1976) art 12(4).</w:t>
      </w:r>
    </w:p>
  </w:endnote>
  <w:endnote w:id="5">
    <w:p w14:paraId="5C3F1685" w14:textId="4E2728EA" w:rsidR="004761BE" w:rsidRDefault="004761BE" w:rsidP="004C070A">
      <w:pPr>
        <w:pStyle w:val="EndnoteText"/>
        <w:tabs>
          <w:tab w:val="left" w:pos="426"/>
        </w:tabs>
        <w:ind w:left="426" w:right="57" w:hanging="426"/>
      </w:pPr>
      <w:r>
        <w:rPr>
          <w:rStyle w:val="EndnoteReference"/>
        </w:rPr>
        <w:endnoteRef/>
      </w:r>
      <w:r>
        <w:t xml:space="preserve"> </w:t>
      </w:r>
      <w:r>
        <w:tab/>
      </w:r>
      <w:r w:rsidRPr="00AD0B6F">
        <w:rPr>
          <w:rFonts w:cs="Open Sans"/>
          <w:i/>
          <w:iCs/>
        </w:rPr>
        <w:t>Convention on the Rights of the Child</w:t>
      </w:r>
      <w:r w:rsidRPr="00AD0B6F">
        <w:rPr>
          <w:rFonts w:cs="Open Sans"/>
          <w:iCs/>
        </w:rPr>
        <w:t>, opened for signature 20 November 1989,</w:t>
      </w:r>
      <w:r w:rsidRPr="00AD0B6F">
        <w:rPr>
          <w:rFonts w:cs="Open Sans"/>
        </w:rPr>
        <w:t xml:space="preserve"> [1991] ATS 4 (entered into force 2 September 1990).</w:t>
      </w:r>
    </w:p>
  </w:endnote>
  <w:endnote w:id="6">
    <w:p w14:paraId="06F0E90E" w14:textId="57338DB1"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See</w:t>
      </w:r>
      <w:r>
        <w:rPr>
          <w:rFonts w:cs="Open Sans"/>
        </w:rPr>
        <w:t xml:space="preserve"> for example</w:t>
      </w:r>
      <w:r w:rsidRPr="00AD0B6F">
        <w:rPr>
          <w:rFonts w:cs="Open Sans"/>
        </w:rPr>
        <w:t xml:space="preserve"> UN Secretary-General, </w:t>
      </w:r>
      <w:r w:rsidRPr="00AD0B6F">
        <w:rPr>
          <w:rFonts w:cs="Open Sans"/>
          <w:i/>
        </w:rPr>
        <w:t>Plan of Action to Prevent Violent Extremism</w:t>
      </w:r>
      <w:r w:rsidRPr="00AD0B6F">
        <w:rPr>
          <w:rFonts w:cs="Open Sans"/>
        </w:rPr>
        <w:t>, UN Doc A/70/674 (24 December 2015) 7.</w:t>
      </w:r>
    </w:p>
  </w:endnote>
  <w:endnote w:id="7">
    <w:p w14:paraId="2939DFB5" w14:textId="77777777" w:rsidR="004761BE" w:rsidRDefault="004761BE" w:rsidP="00AA3D77">
      <w:pPr>
        <w:pStyle w:val="EndnoteText"/>
        <w:widowControl w:val="0"/>
        <w:tabs>
          <w:tab w:val="left" w:pos="426"/>
        </w:tabs>
        <w:ind w:left="426" w:right="57" w:hanging="426"/>
        <w:contextualSpacing/>
      </w:pPr>
      <w:r>
        <w:rPr>
          <w:rStyle w:val="EndnoteReference"/>
        </w:rPr>
        <w:endnoteRef/>
      </w:r>
      <w:r>
        <w:t xml:space="preserve"> </w:t>
      </w:r>
      <w:r>
        <w:tab/>
      </w:r>
      <w:r>
        <w:rPr>
          <w:rFonts w:cs="Open Sans"/>
        </w:rPr>
        <w:t>Department of Home Affairs</w:t>
      </w:r>
      <w:r w:rsidRPr="00AD0B6F">
        <w:rPr>
          <w:rFonts w:cs="Open Sans"/>
        </w:rPr>
        <w:t xml:space="preserve">, Submission to </w:t>
      </w:r>
      <w:r>
        <w:rPr>
          <w:rFonts w:cs="Open Sans"/>
        </w:rPr>
        <w:t>the Independent National Security Legislation Monitor</w:t>
      </w:r>
      <w:r w:rsidRPr="00AD0B6F">
        <w:rPr>
          <w:rFonts w:cs="Open Sans"/>
        </w:rPr>
        <w:t xml:space="preserve">, </w:t>
      </w:r>
      <w:r w:rsidRPr="00AD0B6F">
        <w:rPr>
          <w:rFonts w:cs="Open Sans"/>
          <w:i/>
        </w:rPr>
        <w:t xml:space="preserve">Inquiry into </w:t>
      </w:r>
      <w:r>
        <w:rPr>
          <w:rFonts w:cs="Open Sans"/>
          <w:i/>
        </w:rPr>
        <w:t>Terrorism-Related Citizenship Loss Provisions in the Australian Citizenship Act 2007 (Cth)</w:t>
      </w:r>
      <w:r w:rsidRPr="00AD0B6F">
        <w:rPr>
          <w:rFonts w:cs="Open Sans"/>
        </w:rPr>
        <w:t xml:space="preserve"> (</w:t>
      </w:r>
      <w:r>
        <w:rPr>
          <w:rFonts w:cs="Open Sans"/>
        </w:rPr>
        <w:t>7 June</w:t>
      </w:r>
      <w:r w:rsidRPr="00AD0B6F">
        <w:rPr>
          <w:rFonts w:cs="Open Sans"/>
        </w:rPr>
        <w:t xml:space="preserve"> 2019) </w:t>
      </w:r>
      <w:r>
        <w:rPr>
          <w:rFonts w:cs="Open Sans"/>
        </w:rPr>
        <w:t>5</w:t>
      </w:r>
      <w:r w:rsidRPr="00AD0B6F">
        <w:rPr>
          <w:rFonts w:cs="Open Sans"/>
        </w:rPr>
        <w:t>.</w:t>
      </w:r>
    </w:p>
  </w:endnote>
  <w:endnote w:id="8">
    <w:p w14:paraId="44329A0D" w14:textId="77777777" w:rsidR="004761BE" w:rsidRDefault="004761BE" w:rsidP="00AA3D77">
      <w:pPr>
        <w:pStyle w:val="EndnoteText"/>
        <w:tabs>
          <w:tab w:val="left" w:pos="426"/>
        </w:tabs>
        <w:ind w:left="426" w:right="57" w:hanging="426"/>
      </w:pPr>
      <w:r>
        <w:rPr>
          <w:rStyle w:val="EndnoteReference"/>
        </w:rPr>
        <w:endnoteRef/>
      </w:r>
      <w:r>
        <w:t xml:space="preserve"> </w:t>
      </w:r>
      <w:r>
        <w:tab/>
      </w:r>
      <w:r w:rsidRPr="009A0519">
        <w:rPr>
          <w:rFonts w:cs="Open Sans"/>
        </w:rPr>
        <w:t>Department</w:t>
      </w:r>
      <w:r w:rsidRPr="0066705A">
        <w:t xml:space="preserve"> of Home Affairs, Submission to the Independent National Security Legislation Monitor, </w:t>
      </w:r>
      <w:r w:rsidRPr="00CF7713">
        <w:rPr>
          <w:i/>
          <w:iCs/>
        </w:rPr>
        <w:t>Inquiry into Terrorism-Related Citizenship Loss Provisions in the Australian Citizenship Act 2007</w:t>
      </w:r>
      <w:r w:rsidRPr="0066705A">
        <w:t xml:space="preserve"> (Cth) (7 June 2019) </w:t>
      </w:r>
      <w:r>
        <w:t>9</w:t>
      </w:r>
      <w:r w:rsidRPr="0066705A">
        <w:t>.</w:t>
      </w:r>
    </w:p>
  </w:endnote>
  <w:endnote w:id="9">
    <w:p w14:paraId="6A309179" w14:textId="18434B1F"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Sangeetha Pillai and George Williams, ‘The Utility of Citizenship Stripping Laws in the UK, Canada and Australia’ (2017) 41(2) </w:t>
      </w:r>
      <w:r w:rsidRPr="00AD0B6F">
        <w:rPr>
          <w:rFonts w:cs="Open Sans"/>
          <w:i/>
        </w:rPr>
        <w:t>Melbourne University Law Review</w:t>
      </w:r>
      <w:r w:rsidRPr="00AD0B6F">
        <w:rPr>
          <w:rFonts w:cs="Open Sans"/>
        </w:rPr>
        <w:t xml:space="preserve"> 845, 881, 885.</w:t>
      </w:r>
    </w:p>
  </w:endnote>
  <w:endnote w:id="10">
    <w:p w14:paraId="71290F4B" w14:textId="08FE99C4" w:rsidR="00493DEC" w:rsidRDefault="00493DEC" w:rsidP="002E73C2">
      <w:pPr>
        <w:pStyle w:val="EndnoteText"/>
        <w:tabs>
          <w:tab w:val="left" w:pos="426"/>
        </w:tabs>
        <w:ind w:left="426" w:right="57" w:hanging="426"/>
      </w:pPr>
      <w:r>
        <w:rPr>
          <w:rStyle w:val="EndnoteReference"/>
        </w:rPr>
        <w:endnoteRef/>
      </w:r>
      <w:r>
        <w:t xml:space="preserve"> </w:t>
      </w:r>
      <w:r>
        <w:tab/>
      </w:r>
      <w:r w:rsidRPr="002E73C2">
        <w:rPr>
          <w:i/>
          <w:iCs/>
        </w:rPr>
        <w:t>Act to amend the Citizenship Act and make consequential amendments to another Act</w:t>
      </w:r>
      <w:r>
        <w:t>,</w:t>
      </w:r>
      <w:r w:rsidRPr="00493DEC">
        <w:t xml:space="preserve"> S.C. 2017</w:t>
      </w:r>
      <w:r>
        <w:t>,</w:t>
      </w:r>
      <w:r w:rsidRPr="00493DEC">
        <w:t xml:space="preserve"> c 14</w:t>
      </w:r>
      <w:r>
        <w:t>.</w:t>
      </w:r>
    </w:p>
  </w:endnote>
  <w:endnote w:id="11">
    <w:p w14:paraId="216B96B4" w14:textId="6FD1F344" w:rsidR="005E6FDF" w:rsidRDefault="005E6FDF" w:rsidP="002E73C2">
      <w:pPr>
        <w:pStyle w:val="EndnoteText"/>
        <w:tabs>
          <w:tab w:val="left" w:pos="426"/>
        </w:tabs>
        <w:ind w:left="426" w:right="57" w:hanging="426"/>
      </w:pPr>
      <w:r>
        <w:rPr>
          <w:rStyle w:val="EndnoteReference"/>
        </w:rPr>
        <w:endnoteRef/>
      </w:r>
      <w:r>
        <w:t xml:space="preserve"> </w:t>
      </w:r>
      <w:r>
        <w:tab/>
      </w:r>
      <w:r w:rsidRPr="000909AC">
        <w:rPr>
          <w:rFonts w:cs="Open Sans"/>
        </w:rPr>
        <w:t>Canada</w:t>
      </w:r>
      <w:r w:rsidRPr="005E6FDF">
        <w:t xml:space="preserve">, </w:t>
      </w:r>
      <w:r w:rsidRPr="002E73C2">
        <w:rPr>
          <w:i/>
          <w:iCs/>
        </w:rPr>
        <w:t>Parliamentary Debates</w:t>
      </w:r>
      <w:r w:rsidRPr="005E6FDF">
        <w:t>, House of Commons, 9 March 2016, 16</w:t>
      </w:r>
      <w:r>
        <w:t>04</w:t>
      </w:r>
      <w:r w:rsidR="006C060E">
        <w:t xml:space="preserve"> (John McCallum, Minister of Immigration, Refugees and Citizenship)</w:t>
      </w:r>
      <w:r>
        <w:t>.</w:t>
      </w:r>
    </w:p>
  </w:endnote>
  <w:endnote w:id="12">
    <w:p w14:paraId="51E3E29C" w14:textId="4CA5AC70" w:rsidR="004761BE" w:rsidRPr="00AD0B6F" w:rsidRDefault="004761BE" w:rsidP="00C04030">
      <w:pPr>
        <w:pStyle w:val="EndnoteText"/>
        <w:widowControl w:val="0"/>
        <w:tabs>
          <w:tab w:val="left" w:pos="426"/>
        </w:tabs>
        <w:ind w:left="426" w:right="57" w:hanging="426"/>
        <w:contextualSpacing/>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Australian Human Rights Commission, Submission No 13 to Parliamentary Joint Committee on Intelligence and Security, </w:t>
      </w:r>
      <w:r w:rsidRPr="00AD0B6F">
        <w:rPr>
          <w:rFonts w:cs="Open Sans"/>
          <w:i/>
        </w:rPr>
        <w:t xml:space="preserve">Inquiry into the Australian Citizenship Amendment (Allegiance to Australia) Bill 2015 </w:t>
      </w:r>
      <w:r w:rsidRPr="00AD0B6F">
        <w:rPr>
          <w:rFonts w:cs="Open Sans"/>
        </w:rPr>
        <w:t>(Cth),16 July 2015.</w:t>
      </w:r>
    </w:p>
  </w:endnote>
  <w:endnote w:id="13">
    <w:p w14:paraId="7AF81F44" w14:textId="61F898FB"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Parliamentary Joint Committee on Intelligence and Security, </w:t>
      </w:r>
      <w:r w:rsidRPr="00AD0B6F">
        <w:rPr>
          <w:rFonts w:cs="Open Sans"/>
          <w:i/>
        </w:rPr>
        <w:t>Advisory Report on the Australian Citizenship Amendment (Allegiance to Australia) Bill 2015</w:t>
      </w:r>
      <w:r w:rsidRPr="00AD0B6F">
        <w:rPr>
          <w:rFonts w:cs="Open Sans"/>
        </w:rPr>
        <w:t xml:space="preserve"> (2015).</w:t>
      </w:r>
    </w:p>
  </w:endnote>
  <w:endnote w:id="14">
    <w:p w14:paraId="31FF220C" w14:textId="77777777" w:rsidR="004761BE" w:rsidRPr="007412B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7412BF">
        <w:rPr>
          <w:rFonts w:cs="Open Sans"/>
        </w:rPr>
        <w:t>Revised Explanatory Memorandum, Australian Citizenship Amendment (Allegiance to Australia) Bill 2015 (Cth) 1.</w:t>
      </w:r>
    </w:p>
  </w:endnote>
  <w:endnote w:id="15">
    <w:p w14:paraId="28173A96" w14:textId="4FE06FCF" w:rsidR="004761BE" w:rsidRPr="007412BF" w:rsidRDefault="004761BE" w:rsidP="00C04030">
      <w:pPr>
        <w:pStyle w:val="EndnoteText"/>
        <w:widowControl w:val="0"/>
        <w:tabs>
          <w:tab w:val="left" w:pos="426"/>
        </w:tabs>
        <w:ind w:left="426" w:right="57" w:hanging="426"/>
        <w:contextualSpacing/>
        <w:rPr>
          <w:rFonts w:cs="Open Sans"/>
        </w:rPr>
      </w:pPr>
      <w:r w:rsidRPr="007412BF">
        <w:rPr>
          <w:rStyle w:val="EndnoteReference"/>
          <w:rFonts w:cs="Open Sans"/>
        </w:rPr>
        <w:endnoteRef/>
      </w:r>
      <w:r w:rsidRPr="007412BF">
        <w:rPr>
          <w:rFonts w:cs="Open Sans"/>
        </w:rPr>
        <w:t xml:space="preserve"> </w:t>
      </w:r>
      <w:r w:rsidRPr="007412BF">
        <w:rPr>
          <w:rFonts w:cs="Open Sans"/>
        </w:rPr>
        <w:tab/>
      </w:r>
      <w:bookmarkStart w:id="45" w:name="_Hlk11162735"/>
      <w:bookmarkStart w:id="46" w:name="_Hlk11162079"/>
      <w:r w:rsidRPr="007412BF">
        <w:rPr>
          <w:rFonts w:cs="Open Sans"/>
        </w:rPr>
        <w:t xml:space="preserve">Australian Human Rights Commission, Submission No 4 to Parliamentary Joint Committee on Intelligence and Security, </w:t>
      </w:r>
      <w:r w:rsidRPr="007412BF">
        <w:rPr>
          <w:rFonts w:cs="Open Sans"/>
          <w:i/>
        </w:rPr>
        <w:t>Inquiry into the Australian Citizenship Amendment (Strengthening the Citizenship Loss Provisions) Bill 2018</w:t>
      </w:r>
      <w:r w:rsidRPr="007412BF">
        <w:rPr>
          <w:rFonts w:cs="Open Sans"/>
        </w:rPr>
        <w:t xml:space="preserve"> (Cth), 10 January 2019</w:t>
      </w:r>
      <w:bookmarkEnd w:id="45"/>
      <w:r w:rsidRPr="007412BF">
        <w:rPr>
          <w:rFonts w:cs="Open Sans"/>
        </w:rPr>
        <w:t>.</w:t>
      </w:r>
      <w:bookmarkEnd w:id="46"/>
    </w:p>
  </w:endnote>
  <w:endnote w:id="16">
    <w:p w14:paraId="1E2F55C7" w14:textId="77777777" w:rsidR="004761BE" w:rsidRPr="00AD0B6F" w:rsidRDefault="004761BE" w:rsidP="00C04030">
      <w:pPr>
        <w:pStyle w:val="EndnoteText"/>
        <w:tabs>
          <w:tab w:val="left" w:pos="426"/>
        </w:tabs>
        <w:ind w:left="426" w:right="57" w:hanging="426"/>
        <w:rPr>
          <w:rFonts w:cs="Open Sans"/>
        </w:rPr>
      </w:pPr>
      <w:r w:rsidRPr="007412BF">
        <w:rPr>
          <w:rStyle w:val="EndnoteReference"/>
          <w:rFonts w:cs="Open Sans"/>
        </w:rPr>
        <w:endnoteRef/>
      </w:r>
      <w:r w:rsidRPr="007412BF">
        <w:rPr>
          <w:rFonts w:cs="Open Sans"/>
        </w:rPr>
        <w:tab/>
      </w:r>
      <w:r w:rsidRPr="007412BF">
        <w:rPr>
          <w:rFonts w:cs="Open Sans"/>
          <w:i/>
        </w:rPr>
        <w:t>Australian</w:t>
      </w:r>
      <w:r w:rsidRPr="00AD0B6F">
        <w:rPr>
          <w:rFonts w:cs="Open Sans"/>
          <w:i/>
        </w:rPr>
        <w:t xml:space="preserve"> Citizenship Act 2007</w:t>
      </w:r>
      <w:r w:rsidRPr="00AD0B6F">
        <w:rPr>
          <w:rFonts w:cs="Open Sans"/>
        </w:rPr>
        <w:t xml:space="preserve"> (Cth) s 35A(3).</w:t>
      </w:r>
    </w:p>
  </w:endnote>
  <w:endnote w:id="17">
    <w:p w14:paraId="18FA7023"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rPr>
        <w:t>Australian Citizenship Act 2007</w:t>
      </w:r>
      <w:r w:rsidRPr="00AD0B6F">
        <w:rPr>
          <w:rFonts w:cs="Open Sans"/>
        </w:rPr>
        <w:t xml:space="preserve"> (Cth) s 35A(2).</w:t>
      </w:r>
    </w:p>
  </w:endnote>
  <w:endnote w:id="18">
    <w:p w14:paraId="4946141F" w14:textId="7761DEF3" w:rsidR="004761BE" w:rsidRPr="007412BF" w:rsidRDefault="004761BE" w:rsidP="007412BF">
      <w:pPr>
        <w:pStyle w:val="EndnoteText"/>
        <w:widowControl w:val="0"/>
        <w:tabs>
          <w:tab w:val="left" w:pos="426"/>
        </w:tabs>
        <w:ind w:left="425" w:right="57" w:hanging="425"/>
        <w:contextualSpacing/>
        <w:rPr>
          <w:rFonts w:cs="Open Sans"/>
        </w:rPr>
      </w:pPr>
      <w:r>
        <w:rPr>
          <w:rStyle w:val="EndnoteReference"/>
        </w:rPr>
        <w:endnoteRef/>
      </w:r>
      <w:r>
        <w:t xml:space="preserve"> </w:t>
      </w:r>
      <w:r>
        <w:tab/>
      </w:r>
      <w:r w:rsidRPr="007412BF">
        <w:rPr>
          <w:rFonts w:cs="Open Sans"/>
        </w:rPr>
        <w:t xml:space="preserve">In 2018, amendments were made to s 35A by the </w:t>
      </w:r>
      <w:r w:rsidRPr="007412BF">
        <w:rPr>
          <w:rFonts w:cs="Open Sans"/>
          <w:i/>
          <w:iCs/>
        </w:rPr>
        <w:t xml:space="preserve">National Security Legislation Amendment (Espionage and Foreign Interference) Act 2018 </w:t>
      </w:r>
      <w:r w:rsidRPr="007412BF">
        <w:rPr>
          <w:rFonts w:cs="Open Sans"/>
        </w:rPr>
        <w:t xml:space="preserve">(Cth) to expand the types of offences for which conviction-based citizenship loss could occur. The Commission made a short submission to the Committee in relation to this Bill, but did not deal with </w:t>
      </w:r>
      <w:r>
        <w:rPr>
          <w:rFonts w:cs="Open Sans"/>
        </w:rPr>
        <w:t xml:space="preserve">the human rights impacts of citizenship loss: </w:t>
      </w:r>
      <w:r w:rsidRPr="007412BF">
        <w:rPr>
          <w:rFonts w:cs="Open Sans"/>
        </w:rPr>
        <w:t xml:space="preserve">Australian Human Rights Commission, Submission </w:t>
      </w:r>
      <w:r>
        <w:rPr>
          <w:rFonts w:cs="Open Sans"/>
        </w:rPr>
        <w:t>to</w:t>
      </w:r>
      <w:r w:rsidRPr="007412BF">
        <w:rPr>
          <w:rFonts w:cs="Open Sans"/>
        </w:rPr>
        <w:t xml:space="preserve"> Parliamentary Joint Committee on Intelligence and Security, </w:t>
      </w:r>
      <w:r w:rsidRPr="007412BF">
        <w:rPr>
          <w:rFonts w:cs="Open Sans"/>
          <w:i/>
        </w:rPr>
        <w:t xml:space="preserve">Inquiry into the </w:t>
      </w:r>
      <w:r w:rsidRPr="007412BF">
        <w:rPr>
          <w:rFonts w:cs="Open Sans"/>
          <w:i/>
          <w:iCs/>
        </w:rPr>
        <w:t xml:space="preserve">National Security Legislation Amendment (Espionage and Foreign Interference) </w:t>
      </w:r>
      <w:r>
        <w:rPr>
          <w:rFonts w:cs="Open Sans"/>
          <w:i/>
          <w:iCs/>
        </w:rPr>
        <w:t xml:space="preserve">Bill 2017 </w:t>
      </w:r>
      <w:r>
        <w:rPr>
          <w:rFonts w:cs="Open Sans"/>
        </w:rPr>
        <w:t>(Cth)</w:t>
      </w:r>
      <w:r w:rsidRPr="007412BF">
        <w:rPr>
          <w:rFonts w:cs="Open Sans"/>
        </w:rPr>
        <w:t xml:space="preserve">, </w:t>
      </w:r>
      <w:r>
        <w:rPr>
          <w:rFonts w:cs="Open Sans"/>
        </w:rPr>
        <w:t>24</w:t>
      </w:r>
      <w:r w:rsidRPr="007412BF">
        <w:rPr>
          <w:rFonts w:cs="Open Sans"/>
        </w:rPr>
        <w:t xml:space="preserve"> January 201</w:t>
      </w:r>
      <w:r>
        <w:rPr>
          <w:rFonts w:cs="Open Sans"/>
        </w:rPr>
        <w:t>8</w:t>
      </w:r>
      <w:r w:rsidRPr="007412BF">
        <w:rPr>
          <w:rFonts w:cs="Open Sans"/>
        </w:rPr>
        <w:t>.</w:t>
      </w:r>
    </w:p>
  </w:endnote>
  <w:endnote w:id="19">
    <w:p w14:paraId="5AACB512" w14:textId="160F0048" w:rsidR="004761BE" w:rsidRPr="00AD0B6F" w:rsidRDefault="004761BE" w:rsidP="007412BF">
      <w:pPr>
        <w:pStyle w:val="EndnoteText"/>
        <w:widowControl w:val="0"/>
        <w:tabs>
          <w:tab w:val="left" w:pos="426"/>
        </w:tabs>
        <w:ind w:left="425" w:right="57" w:hanging="425"/>
        <w:contextualSpacing/>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Revised Explanatory Memorandum, </w:t>
      </w:r>
      <w:r w:rsidRPr="00AD0B6F">
        <w:rPr>
          <w:rFonts w:cs="Open Sans"/>
          <w:lang w:val="en"/>
        </w:rPr>
        <w:t>Australian Citizenship Amendment (Allegiance to Australia) Bill 2015.</w:t>
      </w:r>
    </w:p>
  </w:endnote>
  <w:endnote w:id="20">
    <w:p w14:paraId="2EAB62E2" w14:textId="3082BE2E" w:rsidR="004761BE" w:rsidRPr="00AD0B6F" w:rsidRDefault="004761BE" w:rsidP="00C04030">
      <w:pPr>
        <w:pStyle w:val="EndnoteText"/>
        <w:widowControl w:val="0"/>
        <w:tabs>
          <w:tab w:val="left" w:pos="426"/>
        </w:tabs>
        <w:ind w:left="426" w:right="57" w:hanging="426"/>
        <w:contextualSpacing/>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Parliamentary Joint Committee on Intelligence and Security, </w:t>
      </w:r>
      <w:r w:rsidRPr="00AD0B6F">
        <w:rPr>
          <w:rFonts w:cs="Open Sans"/>
          <w:i/>
        </w:rPr>
        <w:t>Committee Hansard</w:t>
      </w:r>
      <w:r w:rsidRPr="00AD0B6F">
        <w:rPr>
          <w:rFonts w:cs="Open Sans"/>
        </w:rPr>
        <w:t>, 10 August 2015, 14 (Philippa De Veau, General Counsel/First Assistant Secretary Legal Division, Department of Immigration and Border Protection).</w:t>
      </w:r>
    </w:p>
  </w:endnote>
  <w:endnote w:id="21">
    <w:p w14:paraId="7FFD4ECA" w14:textId="18B5702F" w:rsidR="004761BE" w:rsidRPr="00AD0B6F" w:rsidRDefault="004761BE" w:rsidP="00C04030">
      <w:pPr>
        <w:pStyle w:val="EndnoteText"/>
        <w:widowControl w:val="0"/>
        <w:tabs>
          <w:tab w:val="left" w:pos="426"/>
        </w:tabs>
        <w:ind w:left="426" w:right="57" w:hanging="426"/>
        <w:contextualSpacing/>
        <w:rPr>
          <w:rFonts w:cs="Open Sans"/>
        </w:rPr>
      </w:pPr>
      <w:r w:rsidRPr="00AD0B6F">
        <w:rPr>
          <w:rStyle w:val="EndnoteReference"/>
          <w:rFonts w:cs="Open Sans"/>
        </w:rPr>
        <w:endnoteRef/>
      </w:r>
      <w:r w:rsidRPr="00AD0B6F">
        <w:rPr>
          <w:rFonts w:cs="Open Sans"/>
        </w:rPr>
        <w:t xml:space="preserve"> </w:t>
      </w:r>
      <w:r w:rsidRPr="00AD0B6F">
        <w:rPr>
          <w:rFonts w:cs="Open Sans"/>
        </w:rPr>
        <w:tab/>
        <w:t>Revised Explanatory Memorandum, Australian Citizenship Amendment (Allegiance to Australia) Bill 2015 (Cth) 14.</w:t>
      </w:r>
    </w:p>
  </w:endnote>
  <w:endnote w:id="22">
    <w:p w14:paraId="33C4A1A8"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i/>
        </w:rPr>
        <w:t xml:space="preserve"> </w:t>
      </w:r>
      <w:r w:rsidRPr="00AD0B6F">
        <w:rPr>
          <w:rFonts w:cs="Open Sans"/>
          <w:i/>
        </w:rPr>
        <w:tab/>
        <w:t>Australian Citizenship Act 2007</w:t>
      </w:r>
      <w:r w:rsidRPr="00AD0B6F">
        <w:rPr>
          <w:rFonts w:cs="Open Sans"/>
        </w:rPr>
        <w:t xml:space="preserve"> (Cth) s 33AA(1).</w:t>
      </w:r>
    </w:p>
  </w:endnote>
  <w:endnote w:id="23">
    <w:p w14:paraId="197A70B1"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rPr>
        <w:t>Australian Citizenship Act 2007</w:t>
      </w:r>
      <w:r w:rsidRPr="00AD0B6F">
        <w:rPr>
          <w:rFonts w:cs="Open Sans"/>
        </w:rPr>
        <w:t xml:space="preserve"> (Cth) s 33AA(8).</w:t>
      </w:r>
    </w:p>
  </w:endnote>
  <w:endnote w:id="24">
    <w:p w14:paraId="0941F4CB"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Australian Citizenship Act 2007</w:t>
      </w:r>
      <w:r w:rsidRPr="00AD0B6F">
        <w:rPr>
          <w:rFonts w:cs="Open Sans"/>
        </w:rPr>
        <w:t xml:space="preserve"> (Cth) s 33AA(7).</w:t>
      </w:r>
    </w:p>
  </w:endnote>
  <w:endnote w:id="25">
    <w:p w14:paraId="4258D5F4"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rPr>
        <w:t>Australian Citizenship Act 2007</w:t>
      </w:r>
      <w:r w:rsidRPr="00AD0B6F">
        <w:rPr>
          <w:rFonts w:cs="Open Sans"/>
        </w:rPr>
        <w:t xml:space="preserve"> (Cth) s 33AA(9).</w:t>
      </w:r>
    </w:p>
  </w:endnote>
  <w:endnote w:id="26">
    <w:p w14:paraId="5A993EC7" w14:textId="1BE0B438"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Australian Citizenship Act 2007</w:t>
      </w:r>
      <w:r w:rsidRPr="00AD0B6F">
        <w:rPr>
          <w:rFonts w:cs="Open Sans"/>
        </w:rPr>
        <w:t xml:space="preserve"> (Cth) s 33AA(7)(b).</w:t>
      </w:r>
    </w:p>
  </w:endnote>
  <w:endnote w:id="27">
    <w:p w14:paraId="7DCA9525" w14:textId="239223B5"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bookmarkStart w:id="54" w:name="_Hlk11160860"/>
      <w:r w:rsidRPr="00AD0B6F">
        <w:rPr>
          <w:rFonts w:cs="Open Sans"/>
        </w:rPr>
        <w:t xml:space="preserve">Parliamentary Joint Committee on Intelligence and Security, </w:t>
      </w:r>
      <w:r w:rsidRPr="00AD0B6F">
        <w:rPr>
          <w:rFonts w:cs="Open Sans"/>
          <w:i/>
        </w:rPr>
        <w:t>Advisory Report on the Australian Citizenship Amendment (Allegiance to Australia) Bill 2015</w:t>
      </w:r>
      <w:r w:rsidRPr="00AD0B6F">
        <w:rPr>
          <w:rFonts w:cs="Open Sans"/>
        </w:rPr>
        <w:t xml:space="preserve"> (2015)</w:t>
      </w:r>
      <w:bookmarkEnd w:id="54"/>
      <w:r w:rsidRPr="00AD0B6F">
        <w:rPr>
          <w:rFonts w:cs="Open Sans"/>
        </w:rPr>
        <w:t xml:space="preserve"> 153 [7.100]-[7.102].</w:t>
      </w:r>
    </w:p>
  </w:endnote>
  <w:endnote w:id="28">
    <w:p w14:paraId="18C5C486" w14:textId="186D4115"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The Hon Peter Dutton MP, Minister for Immigration and Border Protection, and the Hon George Brandis QC, Attorney-General, ‘Government responds to report on the Australian Citizenship Amendment (Allegiance to Australia) Bill 2015’ (Joint Media Release, 10 November 2015), </w:t>
      </w:r>
      <w:r>
        <w:rPr>
          <w:rFonts w:cs="Open Sans"/>
        </w:rPr>
        <w:t>R</w:t>
      </w:r>
      <w:r w:rsidRPr="00AD0B6F">
        <w:rPr>
          <w:rFonts w:cs="Open Sans"/>
        </w:rPr>
        <w:t>esponse to Recommendation 15.</w:t>
      </w:r>
    </w:p>
  </w:endnote>
  <w:endnote w:id="29">
    <w:p w14:paraId="18781DAC" w14:textId="7D961DFC"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The Hon Peter Dutton MP, Minister for Immigration and Border Protection, and the Hon George Brandis QC, Attorney-General, ‘Government responds to report on the Australian Citizenship Amendment (Allegiance to Australia) Bill 2015’ (Joint Media Release, 10 November 2015) 2.</w:t>
      </w:r>
    </w:p>
  </w:endnote>
  <w:endnote w:id="30">
    <w:p w14:paraId="6AF1524B" w14:textId="4F45136F"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Australian Citizenship Act 2007</w:t>
      </w:r>
      <w:r w:rsidRPr="00AD0B6F">
        <w:rPr>
          <w:rFonts w:cs="Open Sans"/>
        </w:rPr>
        <w:t xml:space="preserve"> (Cth) s 35(2).</w:t>
      </w:r>
    </w:p>
  </w:endnote>
  <w:endnote w:id="31">
    <w:p w14:paraId="46EEE668" w14:textId="528A3544" w:rsidR="004761BE" w:rsidRPr="00AD0B6F" w:rsidRDefault="004761BE" w:rsidP="00C04030">
      <w:pPr>
        <w:pStyle w:val="EndnoteText"/>
        <w:widowControl w:val="0"/>
        <w:tabs>
          <w:tab w:val="left" w:pos="426"/>
        </w:tabs>
        <w:ind w:left="426" w:right="57" w:hanging="426"/>
        <w:contextualSpacing/>
        <w:rPr>
          <w:rFonts w:cs="Open Sans"/>
        </w:rPr>
      </w:pPr>
      <w:r w:rsidRPr="00AD0B6F">
        <w:rPr>
          <w:rStyle w:val="EndnoteReference"/>
          <w:rFonts w:cs="Open Sans"/>
        </w:rPr>
        <w:endnoteRef/>
      </w:r>
      <w:r w:rsidRPr="00AD0B6F">
        <w:rPr>
          <w:rFonts w:cs="Open Sans"/>
        </w:rPr>
        <w:t xml:space="preserve"> </w:t>
      </w:r>
      <w:r w:rsidRPr="00AD0B6F">
        <w:rPr>
          <w:rFonts w:cs="Open Sans"/>
        </w:rPr>
        <w:tab/>
        <w:t>Revised Explanatory Memorandum, Australian Citizenship Amendment (Allegiance to Australia) Bill 2015 (Cth) 21.</w:t>
      </w:r>
    </w:p>
  </w:endnote>
  <w:endnote w:id="32">
    <w:p w14:paraId="5609F1A1" w14:textId="170AC2FF"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Australian Citizenship Act 2007</w:t>
      </w:r>
      <w:r w:rsidRPr="00AD0B6F">
        <w:rPr>
          <w:rFonts w:cs="Open Sans"/>
        </w:rPr>
        <w:t xml:space="preserve"> (Cth) s 35AA(4).</w:t>
      </w:r>
    </w:p>
  </w:endnote>
  <w:endnote w:id="33">
    <w:p w14:paraId="04590D57" w14:textId="7459636C"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The Hon Peter Dutton MP, ‘Prakash citizenship’ (Media Release, 2 January 2019).</w:t>
      </w:r>
    </w:p>
  </w:endnote>
  <w:endnote w:id="34">
    <w:p w14:paraId="48152E57" w14:textId="6D0DD6AC"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The Hon Peter Dutton MP, ‘Five foreign fighters lose Australian citizenship’ (Media Release, 9 August 2018); The Hon Peter Dutton MP and the Hon Scott Morrison MP, Prime Minister, ‘Combatting Australian terrorists’ (Joint Media Release, 22 November 2018); The Hon Peter Dutton MP, ‘Neil Prakash stripped of Australian citizenship’ (Media Release, 29 December 2018).</w:t>
      </w:r>
    </w:p>
  </w:endnote>
  <w:endnote w:id="35">
    <w:p w14:paraId="2595D14E" w14:textId="6BCEE826" w:rsidR="004761BE" w:rsidRDefault="004761BE" w:rsidP="004C070A">
      <w:pPr>
        <w:pStyle w:val="EndnoteText"/>
        <w:tabs>
          <w:tab w:val="left" w:pos="426"/>
        </w:tabs>
        <w:ind w:left="426" w:hanging="426"/>
      </w:pPr>
      <w:r>
        <w:rPr>
          <w:rStyle w:val="EndnoteReference"/>
        </w:rPr>
        <w:endnoteRef/>
      </w:r>
      <w:r>
        <w:t xml:space="preserve"> </w:t>
      </w:r>
      <w:r>
        <w:tab/>
      </w:r>
      <w:bookmarkStart w:id="59" w:name="_Hlk11335231"/>
      <w:r>
        <w:rPr>
          <w:rFonts w:cs="Open Sans"/>
        </w:rPr>
        <w:t>Department of Home Affairs</w:t>
      </w:r>
      <w:r w:rsidRPr="00AD0B6F">
        <w:rPr>
          <w:rFonts w:cs="Open Sans"/>
        </w:rPr>
        <w:t xml:space="preserve">, Submission to </w:t>
      </w:r>
      <w:r>
        <w:rPr>
          <w:rFonts w:cs="Open Sans"/>
        </w:rPr>
        <w:t>the Independent National Security Legislation Monitor</w:t>
      </w:r>
      <w:r w:rsidRPr="00AD0B6F">
        <w:rPr>
          <w:rFonts w:cs="Open Sans"/>
        </w:rPr>
        <w:t xml:space="preserve">, </w:t>
      </w:r>
      <w:r w:rsidRPr="00AD0B6F">
        <w:rPr>
          <w:rFonts w:cs="Open Sans"/>
          <w:i/>
        </w:rPr>
        <w:t xml:space="preserve">Inquiry into </w:t>
      </w:r>
      <w:r>
        <w:rPr>
          <w:rFonts w:cs="Open Sans"/>
          <w:i/>
        </w:rPr>
        <w:t>Terrorism-Related Citizenship Loss Provisions in the Australian Citizenship Act 2007 (Cth)</w:t>
      </w:r>
      <w:r w:rsidRPr="00AD0B6F">
        <w:rPr>
          <w:rFonts w:cs="Open Sans"/>
        </w:rPr>
        <w:t xml:space="preserve"> (</w:t>
      </w:r>
      <w:r>
        <w:rPr>
          <w:rFonts w:cs="Open Sans"/>
        </w:rPr>
        <w:t>7 June</w:t>
      </w:r>
      <w:r w:rsidRPr="00AD0B6F">
        <w:rPr>
          <w:rFonts w:cs="Open Sans"/>
        </w:rPr>
        <w:t xml:space="preserve"> 2019) </w:t>
      </w:r>
      <w:r>
        <w:rPr>
          <w:rFonts w:cs="Open Sans"/>
        </w:rPr>
        <w:t>7</w:t>
      </w:r>
      <w:r w:rsidRPr="00AD0B6F">
        <w:rPr>
          <w:rFonts w:cs="Open Sans"/>
        </w:rPr>
        <w:t>.</w:t>
      </w:r>
      <w:bookmarkEnd w:id="59"/>
    </w:p>
  </w:endnote>
  <w:endnote w:id="36">
    <w:p w14:paraId="7D49AD04" w14:textId="7C372831"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Department of Home Affairs, </w:t>
      </w:r>
      <w:r w:rsidRPr="00AD0B6F">
        <w:rPr>
          <w:rFonts w:cs="Open Sans"/>
          <w:i/>
        </w:rPr>
        <w:t>Report to Parliament for tabling under s 51B of the Australian Citizenship Act 2007, Reporting period: 12 June 2017 – 11 December 2017</w:t>
      </w:r>
      <w:r w:rsidRPr="00AD0B6F">
        <w:rPr>
          <w:rFonts w:cs="Open Sans"/>
        </w:rPr>
        <w:t xml:space="preserve"> [tabled in House of Representatives 26 March 2018, tabled in Senate 26 March 2018].</w:t>
      </w:r>
    </w:p>
  </w:endnote>
  <w:endnote w:id="37">
    <w:p w14:paraId="66122CF3" w14:textId="48BC541D" w:rsidR="004761BE" w:rsidRPr="00AD0B6F" w:rsidRDefault="004761BE" w:rsidP="00C04030">
      <w:pPr>
        <w:pStyle w:val="EndnoteText"/>
        <w:widowControl w:val="0"/>
        <w:tabs>
          <w:tab w:val="left" w:pos="426"/>
        </w:tabs>
        <w:ind w:left="426" w:right="57" w:hanging="426"/>
        <w:contextualSpacing/>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International Covenant on Civil and Political Rights</w:t>
      </w:r>
      <w:r w:rsidRPr="00AD0B6F">
        <w:rPr>
          <w:rFonts w:cs="Open Sans"/>
        </w:rPr>
        <w:t>, opened for signature 16 December 1966, 999 UNTS 171 (entered into force 23 March 1976).</w:t>
      </w:r>
    </w:p>
  </w:endnote>
  <w:endnote w:id="38">
    <w:p w14:paraId="5687A320" w14:textId="6E3D1242"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United Nations Human Rights Committee, </w:t>
      </w:r>
      <w:r w:rsidRPr="00AD0B6F">
        <w:rPr>
          <w:rFonts w:cs="Open Sans"/>
          <w:i/>
        </w:rPr>
        <w:t xml:space="preserve">General Comment No 27: Article 12 (Freedom of Movement) </w:t>
      </w:r>
      <w:r w:rsidRPr="00AD0B6F">
        <w:rPr>
          <w:rFonts w:cs="Open Sans"/>
        </w:rPr>
        <w:t>67</w:t>
      </w:r>
      <w:r w:rsidRPr="00AD0B6F">
        <w:rPr>
          <w:rFonts w:cs="Open Sans"/>
          <w:vertAlign w:val="superscript"/>
        </w:rPr>
        <w:t>th</w:t>
      </w:r>
      <w:r w:rsidRPr="00AD0B6F">
        <w:rPr>
          <w:rFonts w:cs="Open Sans"/>
        </w:rPr>
        <w:t xml:space="preserve"> sess, UN Doc CCPR/C/21/Rev.1/Add.9 (2 November 1999) 5 [19]. </w:t>
      </w:r>
    </w:p>
  </w:endnote>
  <w:endnote w:id="39">
    <w:p w14:paraId="2C89E336"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United Nations Human Rights Committee, </w:t>
      </w:r>
      <w:r w:rsidRPr="00AD0B6F">
        <w:rPr>
          <w:rFonts w:cs="Open Sans"/>
          <w:i/>
        </w:rPr>
        <w:t xml:space="preserve">General Comment No 27: Article 12 (Freedom of Movement) </w:t>
      </w:r>
      <w:r w:rsidRPr="00AD0B6F">
        <w:rPr>
          <w:rFonts w:cs="Open Sans"/>
        </w:rPr>
        <w:t>67</w:t>
      </w:r>
      <w:r w:rsidRPr="00AD0B6F">
        <w:rPr>
          <w:rFonts w:cs="Open Sans"/>
          <w:vertAlign w:val="superscript"/>
        </w:rPr>
        <w:t>th</w:t>
      </w:r>
      <w:r w:rsidRPr="00AD0B6F">
        <w:rPr>
          <w:rFonts w:cs="Open Sans"/>
        </w:rPr>
        <w:t xml:space="preserve"> sess, UN Doc CCPR/C/21/Rev.1/Add.9 (2 November 1999) 5 [20].</w:t>
      </w:r>
    </w:p>
  </w:endnote>
  <w:endnote w:id="40">
    <w:p w14:paraId="40DE4743" w14:textId="42CE59A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See for example United Nations Human Rights Committee, </w:t>
      </w:r>
      <w:r w:rsidRPr="00AD0B6F">
        <w:rPr>
          <w:rFonts w:cs="Open Sans"/>
          <w:i/>
        </w:rPr>
        <w:t>Views: Communication No. 1557/2007</w:t>
      </w:r>
      <w:r w:rsidRPr="00AD0B6F">
        <w:rPr>
          <w:rFonts w:cs="Open Sans"/>
        </w:rPr>
        <w:t>, 102</w:t>
      </w:r>
      <w:r w:rsidRPr="00AD0B6F">
        <w:rPr>
          <w:rFonts w:cs="Open Sans"/>
          <w:vertAlign w:val="superscript"/>
        </w:rPr>
        <w:t>nd</w:t>
      </w:r>
      <w:r w:rsidRPr="00AD0B6F">
        <w:rPr>
          <w:rFonts w:cs="Open Sans"/>
        </w:rPr>
        <w:t xml:space="preserve"> sess, </w:t>
      </w:r>
      <w:r w:rsidRPr="00AD0B6F">
        <w:rPr>
          <w:rFonts w:cs="Open Sans"/>
          <w:lang w:val="en"/>
        </w:rPr>
        <w:t xml:space="preserve">UN Doc CCPR/C/102/D/1557/2007 (1 September 2011) 18 </w:t>
      </w:r>
      <w:r w:rsidRPr="00AD0B6F">
        <w:rPr>
          <w:rFonts w:cs="Open Sans"/>
        </w:rPr>
        <w:t>[7.4] (‘Nystrom v Australia’).</w:t>
      </w:r>
    </w:p>
  </w:endnote>
  <w:endnote w:id="41">
    <w:p w14:paraId="0C964D7F" w14:textId="70DAD841"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Migration Act</w:t>
      </w:r>
      <w:r w:rsidRPr="00AD0B6F">
        <w:rPr>
          <w:rFonts w:cs="Open Sans"/>
        </w:rPr>
        <w:t xml:space="preserve"> </w:t>
      </w:r>
      <w:r w:rsidRPr="00AD0B6F">
        <w:rPr>
          <w:rFonts w:cs="Open Sans"/>
          <w:i/>
        </w:rPr>
        <w:t>1958</w:t>
      </w:r>
      <w:r w:rsidRPr="00AD0B6F">
        <w:rPr>
          <w:rFonts w:cs="Open Sans"/>
        </w:rPr>
        <w:t xml:space="preserve"> (Cth) ss 189, 198. </w:t>
      </w:r>
    </w:p>
  </w:endnote>
  <w:endnote w:id="42">
    <w:p w14:paraId="2A60BB78"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United Nations Human Rights Committee, </w:t>
      </w:r>
      <w:r w:rsidRPr="00AD0B6F">
        <w:rPr>
          <w:rFonts w:cs="Open Sans"/>
          <w:i/>
        </w:rPr>
        <w:t xml:space="preserve">General Comment No 27: Article 12 (Freedom of Movement) </w:t>
      </w:r>
      <w:r w:rsidRPr="00AD0B6F">
        <w:rPr>
          <w:rFonts w:cs="Open Sans"/>
        </w:rPr>
        <w:t>67</w:t>
      </w:r>
      <w:r w:rsidRPr="00AD0B6F">
        <w:rPr>
          <w:rFonts w:cs="Open Sans"/>
          <w:vertAlign w:val="superscript"/>
        </w:rPr>
        <w:t>th</w:t>
      </w:r>
      <w:r w:rsidRPr="00AD0B6F">
        <w:rPr>
          <w:rFonts w:cs="Open Sans"/>
        </w:rPr>
        <w:t xml:space="preserve"> sess, UN Doc CCPR/C/21/Rev.1/Add.9 (2 November 1999) 5 [21].</w:t>
      </w:r>
    </w:p>
  </w:endnote>
  <w:endnote w:id="43">
    <w:p w14:paraId="5C04B42C" w14:textId="704FD0C8"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See for example United Nations Economic and Social Council, </w:t>
      </w:r>
      <w:r w:rsidRPr="00AD0B6F">
        <w:rPr>
          <w:rFonts w:cs="Open Sans"/>
          <w:i/>
        </w:rPr>
        <w:t>Siracusa Principles on the Limitation and Derogation Provisions in the International Covenant on Civil and Political Rights</w:t>
      </w:r>
      <w:r w:rsidRPr="00AD0B6F">
        <w:rPr>
          <w:rFonts w:cs="Open Sans"/>
        </w:rPr>
        <w:t xml:space="preserve">, UN Doc E/CN.4/1985/4, Annex (1985) 3 [10]. </w:t>
      </w:r>
    </w:p>
  </w:endnote>
  <w:endnote w:id="44">
    <w:p w14:paraId="3B80E40F"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United Nations Human Rights Committee, </w:t>
      </w:r>
      <w:r w:rsidRPr="00AD0B6F">
        <w:rPr>
          <w:rFonts w:cs="Open Sans"/>
          <w:i/>
        </w:rPr>
        <w:t xml:space="preserve">General Comment No 27: Article 12 (Freedom of Movement) </w:t>
      </w:r>
      <w:r w:rsidRPr="00AD0B6F">
        <w:rPr>
          <w:rFonts w:cs="Open Sans"/>
        </w:rPr>
        <w:t>67</w:t>
      </w:r>
      <w:r w:rsidRPr="00AD0B6F">
        <w:rPr>
          <w:rFonts w:cs="Open Sans"/>
          <w:vertAlign w:val="superscript"/>
        </w:rPr>
        <w:t>th</w:t>
      </w:r>
      <w:r w:rsidRPr="00AD0B6F">
        <w:rPr>
          <w:rFonts w:cs="Open Sans"/>
        </w:rPr>
        <w:t xml:space="preserve"> sess, UN Doc CCPR/C/21/Rev.1/Add.9 (2 November 1999) 5 [21].</w:t>
      </w:r>
    </w:p>
  </w:endnote>
  <w:endnote w:id="45">
    <w:p w14:paraId="5AB9F8C0" w14:textId="4919739A"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iCs/>
        </w:rPr>
        <w:t>Convention on the Rights of the Child</w:t>
      </w:r>
      <w:r w:rsidRPr="00AD0B6F">
        <w:rPr>
          <w:rFonts w:cs="Open Sans"/>
          <w:iCs/>
        </w:rPr>
        <w:t>, opened for signature 20 November 1989,</w:t>
      </w:r>
      <w:r w:rsidRPr="00AD0B6F">
        <w:rPr>
          <w:rFonts w:cs="Open Sans"/>
        </w:rPr>
        <w:t xml:space="preserve"> [1991] ATS 4 (entered into force 2 September 1990) arts 3, 8(1). </w:t>
      </w:r>
    </w:p>
  </w:endnote>
  <w:endnote w:id="46">
    <w:p w14:paraId="2B88CDC5"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Relevant exceptions to article 8(1) of the </w:t>
      </w:r>
      <w:r w:rsidRPr="00AD0B6F">
        <w:rPr>
          <w:rFonts w:cs="Open Sans"/>
          <w:i/>
        </w:rPr>
        <w:t>Convention on the Reduction of Statelessness</w:t>
      </w:r>
      <w:r w:rsidRPr="00AD0B6F">
        <w:rPr>
          <w:rFonts w:cs="Open Sans"/>
        </w:rPr>
        <w:t>, opened for signature 30 August 1961, 989 UNTS 175 (entered into force 13 December 1975) include where a person has conducted himself in a manner seriously prejudicial to the vital interests of the State, or where the person has given definite evidence of his determination to repudiate his allegiance. However, for a state to rely on these exceptions, article 8(3) provides that the State must specify that it retains the right to deprive a person of his nationality on those grounds, as at the time of signature, ratification or accession of the Convention, and that the grounds need to exist in domestic law at the relevant time. Australia has made no such declaration.</w:t>
      </w:r>
    </w:p>
  </w:endnote>
  <w:endnote w:id="47">
    <w:p w14:paraId="3A4AC73F" w14:textId="0F9D74D2"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rPr>
        <w:t>Universal Declaration of Human Right</w:t>
      </w:r>
      <w:r w:rsidRPr="00AD0B6F">
        <w:rPr>
          <w:rFonts w:cs="Open Sans"/>
        </w:rPr>
        <w:t>s, GA Res 217A (III), UN GAOR, 3rd sess, 183rd plen mtg UN Doc A/810 (10 December 1948) art 15.</w:t>
      </w:r>
    </w:p>
  </w:endnote>
  <w:endnote w:id="48">
    <w:p w14:paraId="61CA9D11" w14:textId="28D8DF58"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See for example Michelle Foster and Hélène Lambert, ‘Statelessness as a human rights issue: a concept whose time has come‘ (2016) 28(4) </w:t>
      </w:r>
      <w:r w:rsidRPr="00AD0B6F">
        <w:rPr>
          <w:rFonts w:cs="Open Sans"/>
          <w:i/>
        </w:rPr>
        <w:t>International Journal of Refugee Law</w:t>
      </w:r>
      <w:r w:rsidRPr="00AD0B6F">
        <w:rPr>
          <w:rFonts w:cs="Open Sans"/>
        </w:rPr>
        <w:t xml:space="preserve"> 564, 578; United Nations Human Rights Council, Human Rights and Arbitrary Deprivation of Nationality: Report of the Secretary-General, 13th sess, Agenda item 3, UN Doc A/HRC/13/34, (14 December 2009) 5–6 [19–22].</w:t>
      </w:r>
    </w:p>
  </w:endnote>
  <w:endnote w:id="49">
    <w:p w14:paraId="2851F5E4" w14:textId="7C25398F"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Australian Citizenship Act 2007</w:t>
      </w:r>
      <w:r w:rsidRPr="00AD0B6F">
        <w:rPr>
          <w:rFonts w:cs="Open Sans"/>
        </w:rPr>
        <w:t xml:space="preserve"> (Cth) ss 33AA(24)(b), 35(19)(b).</w:t>
      </w:r>
    </w:p>
  </w:endnote>
  <w:endnote w:id="50">
    <w:p w14:paraId="34F88592" w14:textId="2A01B492"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Australian Human Rights Commission, </w:t>
      </w:r>
      <w:bookmarkStart w:id="69" w:name="_Hlk11161590"/>
      <w:r w:rsidRPr="00AD0B6F">
        <w:rPr>
          <w:rFonts w:cs="Open Sans"/>
        </w:rPr>
        <w:t xml:space="preserve">Submission No 4 to Parliamentary Joint Committee on Intelligence and Security, </w:t>
      </w:r>
      <w:r w:rsidRPr="00AD0B6F">
        <w:rPr>
          <w:rFonts w:cs="Open Sans"/>
          <w:i/>
        </w:rPr>
        <w:t>Inquiry into the Australian Citizenship Amendment (Strengthening the Citizenship Loss Provisions) Bill 2018</w:t>
      </w:r>
      <w:r w:rsidRPr="00AD0B6F">
        <w:rPr>
          <w:rFonts w:cs="Open Sans"/>
        </w:rPr>
        <w:t xml:space="preserve"> (Cth) (10 January 2019</w:t>
      </w:r>
      <w:bookmarkEnd w:id="69"/>
      <w:r w:rsidRPr="00AD0B6F">
        <w:rPr>
          <w:rFonts w:cs="Open Sans"/>
        </w:rPr>
        <w:t>) 10–13.</w:t>
      </w:r>
    </w:p>
  </w:endnote>
  <w:endnote w:id="51">
    <w:p w14:paraId="7F803F40"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rPr>
        <w:t xml:space="preserve">Australian Passports Act 2005 </w:t>
      </w:r>
      <w:r w:rsidRPr="00AD0B6F">
        <w:rPr>
          <w:rFonts w:cs="Open Sans"/>
        </w:rPr>
        <w:t xml:space="preserve">(Cth) ss 8, 22. </w:t>
      </w:r>
    </w:p>
  </w:endnote>
  <w:endnote w:id="52">
    <w:p w14:paraId="760774E8"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rPr>
        <w:t xml:space="preserve">Commonwealth Electoral Act 1918 </w:t>
      </w:r>
      <w:r w:rsidRPr="00AD0B6F">
        <w:rPr>
          <w:rFonts w:cs="Open Sans"/>
        </w:rPr>
        <w:t xml:space="preserve">(Cth) ss 93, Parts VI-X. </w:t>
      </w:r>
    </w:p>
  </w:endnote>
  <w:endnote w:id="53">
    <w:p w14:paraId="171CCF76" w14:textId="43854B7E"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rPr>
        <w:t xml:space="preserve">Social Security Act 1991 </w:t>
      </w:r>
      <w:r w:rsidRPr="00AD0B6F">
        <w:rPr>
          <w:rFonts w:cs="Open Sans"/>
        </w:rPr>
        <w:t xml:space="preserve">(Cth) s 7 and various other provisions. Australian residence is generally </w:t>
      </w:r>
      <w:r w:rsidR="00442CC8">
        <w:rPr>
          <w:rFonts w:cs="Open Sans"/>
        </w:rPr>
        <w:t>a</w:t>
      </w:r>
      <w:r w:rsidRPr="00AD0B6F">
        <w:rPr>
          <w:rFonts w:cs="Open Sans"/>
        </w:rPr>
        <w:t xml:space="preserve"> precondition of receipt of social security payments. </w:t>
      </w:r>
    </w:p>
  </w:endnote>
  <w:endnote w:id="54">
    <w:p w14:paraId="474F99FD" w14:textId="698908C3"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See for example </w:t>
      </w:r>
      <w:r w:rsidRPr="00AD0B6F">
        <w:rPr>
          <w:rFonts w:cs="Open Sans"/>
          <w:i/>
        </w:rPr>
        <w:t xml:space="preserve">Intelligence Services Act 2001 </w:t>
      </w:r>
      <w:r w:rsidRPr="00AD0B6F">
        <w:rPr>
          <w:rFonts w:cs="Open Sans"/>
        </w:rPr>
        <w:t xml:space="preserve">(Cth) s 15. </w:t>
      </w:r>
    </w:p>
  </w:endnote>
  <w:endnote w:id="55">
    <w:p w14:paraId="6E486C30" w14:textId="630137DB"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Migration Act 1958</w:t>
      </w:r>
      <w:r w:rsidRPr="00AD0B6F">
        <w:rPr>
          <w:rFonts w:cs="Open Sans"/>
        </w:rPr>
        <w:t xml:space="preserve"> (Cth) s 35.</w:t>
      </w:r>
      <w:r>
        <w:rPr>
          <w:rFonts w:cs="Open Sans"/>
        </w:rPr>
        <w:t xml:space="preserve"> </w:t>
      </w:r>
    </w:p>
  </w:endnote>
  <w:endnote w:id="56">
    <w:p w14:paraId="6B6B52E3" w14:textId="2F624F1C"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See for example United Nations Human Rights Committee, </w:t>
      </w:r>
      <w:r w:rsidRPr="00AD0B6F">
        <w:rPr>
          <w:rFonts w:cs="Open Sans"/>
          <w:i/>
        </w:rPr>
        <w:t>Views: Communication No. 560/1993</w:t>
      </w:r>
      <w:r w:rsidRPr="00AD0B6F">
        <w:rPr>
          <w:rFonts w:cs="Open Sans"/>
        </w:rPr>
        <w:t>, U.N. Doc. CCPR/C/59/D/560/1993 (30 April 1997) (‘</w:t>
      </w:r>
      <w:r w:rsidRPr="00AD0B6F">
        <w:rPr>
          <w:rFonts w:cs="Open Sans"/>
          <w:i/>
        </w:rPr>
        <w:t>A v Australia</w:t>
      </w:r>
      <w:r w:rsidRPr="00AD0B6F">
        <w:rPr>
          <w:rFonts w:cs="Open Sans"/>
        </w:rPr>
        <w:t>’);</w:t>
      </w:r>
      <w:r w:rsidRPr="00AD0B6F">
        <w:rPr>
          <w:rFonts w:cs="Open Sans"/>
          <w:i/>
        </w:rPr>
        <w:t xml:space="preserve"> </w:t>
      </w:r>
      <w:r w:rsidRPr="00AD0B6F">
        <w:rPr>
          <w:rFonts w:cs="Open Sans"/>
        </w:rPr>
        <w:t xml:space="preserve">United Nations Human Rights Committee, </w:t>
      </w:r>
      <w:r w:rsidRPr="00AD0B6F">
        <w:rPr>
          <w:rFonts w:cs="Open Sans"/>
          <w:i/>
        </w:rPr>
        <w:t>Views: Communication No. 2094/2011</w:t>
      </w:r>
      <w:r w:rsidRPr="00AD0B6F">
        <w:rPr>
          <w:rFonts w:cs="Open Sans"/>
        </w:rPr>
        <w:t>, UN Doc CCPR/C/108/D/2094/2011 (20 August 2013) (‘</w:t>
      </w:r>
      <w:r w:rsidRPr="00AD0B6F">
        <w:rPr>
          <w:rFonts w:cs="Open Sans"/>
          <w:i/>
        </w:rPr>
        <w:t>F.K.A.G. et al v Australia</w:t>
      </w:r>
      <w:r w:rsidRPr="00AD0B6F">
        <w:rPr>
          <w:rFonts w:cs="Open Sans"/>
        </w:rPr>
        <w:t xml:space="preserve">’); United Nations Human Rights Committee, </w:t>
      </w:r>
      <w:r w:rsidRPr="00AD0B6F">
        <w:rPr>
          <w:rFonts w:cs="Open Sans"/>
          <w:i/>
        </w:rPr>
        <w:t>Views: Communication No. 2136/2012</w:t>
      </w:r>
      <w:r w:rsidRPr="00AD0B6F">
        <w:rPr>
          <w:rFonts w:cs="Open Sans"/>
        </w:rPr>
        <w:t>, UN Doc CCPR/C/108/D/2136/2012 (20 August 2013) (‘</w:t>
      </w:r>
      <w:r w:rsidRPr="00AD0B6F">
        <w:rPr>
          <w:rFonts w:cs="Open Sans"/>
          <w:i/>
        </w:rPr>
        <w:t>M.M.M. et al v Australia</w:t>
      </w:r>
      <w:r w:rsidRPr="00AD0B6F">
        <w:rPr>
          <w:rFonts w:cs="Open Sans"/>
        </w:rPr>
        <w:t>’).</w:t>
      </w:r>
    </w:p>
  </w:endnote>
  <w:endnote w:id="57">
    <w:p w14:paraId="26A0982D" w14:textId="1C42D319"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See for example, United Nations Human Rights Committee, </w:t>
      </w:r>
      <w:r w:rsidRPr="00AD0B6F">
        <w:rPr>
          <w:rFonts w:cs="Open Sans"/>
          <w:i/>
        </w:rPr>
        <w:t>Views: Communication No. 2094/2011</w:t>
      </w:r>
      <w:r w:rsidRPr="00AD0B6F">
        <w:rPr>
          <w:rFonts w:cs="Open Sans"/>
        </w:rPr>
        <w:t>, UN Doc CCPR/C/108/D/2094/2011 (20 August 2013) (‘</w:t>
      </w:r>
      <w:r w:rsidRPr="00AD0B6F">
        <w:rPr>
          <w:rFonts w:cs="Open Sans"/>
          <w:i/>
        </w:rPr>
        <w:t>F.K.A.G. et al v Australia</w:t>
      </w:r>
      <w:r w:rsidRPr="00AD0B6F">
        <w:rPr>
          <w:rFonts w:cs="Open Sans"/>
        </w:rPr>
        <w:t xml:space="preserve">’); United Nations Human Rights Committee, </w:t>
      </w:r>
      <w:r w:rsidRPr="00AD0B6F">
        <w:rPr>
          <w:rFonts w:cs="Open Sans"/>
          <w:i/>
        </w:rPr>
        <w:t>Views: Communication No. 2136/2012</w:t>
      </w:r>
      <w:r w:rsidRPr="00AD0B6F">
        <w:rPr>
          <w:rFonts w:cs="Open Sans"/>
        </w:rPr>
        <w:t>, UN Doc CCPR/C/108/D/2136/2012 (20 August 2013) (‘</w:t>
      </w:r>
      <w:r w:rsidRPr="00AD0B6F">
        <w:rPr>
          <w:rFonts w:cs="Open Sans"/>
          <w:i/>
        </w:rPr>
        <w:t>M.M.M. et al v Australia</w:t>
      </w:r>
      <w:r w:rsidRPr="00AD0B6F">
        <w:rPr>
          <w:rFonts w:cs="Open Sans"/>
        </w:rPr>
        <w:t>’).</w:t>
      </w:r>
    </w:p>
  </w:endnote>
  <w:endnote w:id="58">
    <w:p w14:paraId="69A7A823" w14:textId="77AF261B" w:rsidR="004761BE" w:rsidRPr="00AD0B6F" w:rsidRDefault="004761BE" w:rsidP="00CA04A7">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See </w:t>
      </w:r>
      <w:r w:rsidRPr="00AD0B6F">
        <w:rPr>
          <w:rFonts w:cs="Open Sans"/>
          <w:i/>
          <w:iCs/>
        </w:rPr>
        <w:t>Criminal Code</w:t>
      </w:r>
      <w:r>
        <w:rPr>
          <w:rFonts w:cs="Open Sans"/>
        </w:rPr>
        <w:t xml:space="preserve"> (Cth)</w:t>
      </w:r>
      <w:r w:rsidRPr="00AD0B6F">
        <w:rPr>
          <w:rFonts w:cs="Open Sans"/>
        </w:rPr>
        <w:t xml:space="preserve"> Pts 5.1. 5.3 and 5.5.</w:t>
      </w:r>
    </w:p>
  </w:endnote>
  <w:endnote w:id="59">
    <w:p w14:paraId="7FF2AE19" w14:textId="230BFC64"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Criminal</w:t>
      </w:r>
      <w:r w:rsidRPr="00AD0B6F">
        <w:rPr>
          <w:rFonts w:cs="Open Sans"/>
          <w:i/>
          <w:iCs/>
        </w:rPr>
        <w:t xml:space="preserve"> Code</w:t>
      </w:r>
      <w:r>
        <w:rPr>
          <w:rFonts w:cs="Open Sans"/>
        </w:rPr>
        <w:t xml:space="preserve"> (Cth)</w:t>
      </w:r>
      <w:r w:rsidRPr="00AD0B6F">
        <w:rPr>
          <w:rFonts w:cs="Open Sans"/>
        </w:rPr>
        <w:t xml:space="preserve"> s 103.1(2).</w:t>
      </w:r>
    </w:p>
  </w:endnote>
  <w:endnote w:id="60">
    <w:p w14:paraId="33EF0845" w14:textId="61917DA1" w:rsidR="004761BE" w:rsidRDefault="004761BE" w:rsidP="004C070A">
      <w:pPr>
        <w:pStyle w:val="EndnoteText"/>
        <w:tabs>
          <w:tab w:val="left" w:pos="426"/>
        </w:tabs>
        <w:ind w:left="426" w:right="57" w:hanging="426"/>
      </w:pPr>
      <w:r>
        <w:rPr>
          <w:rStyle w:val="EndnoteReference"/>
        </w:rPr>
        <w:endnoteRef/>
      </w:r>
      <w:r>
        <w:t xml:space="preserve"> </w:t>
      </w:r>
      <w:r>
        <w:tab/>
      </w:r>
      <w:r>
        <w:rPr>
          <w:rFonts w:cs="Open Sans"/>
        </w:rPr>
        <w:t>Department of Home Affairs</w:t>
      </w:r>
      <w:r w:rsidRPr="00AD0B6F">
        <w:rPr>
          <w:rFonts w:cs="Open Sans"/>
        </w:rPr>
        <w:t xml:space="preserve">, Submission to </w:t>
      </w:r>
      <w:r>
        <w:rPr>
          <w:rFonts w:cs="Open Sans"/>
        </w:rPr>
        <w:t>the Independent National Security Legislation Monitor</w:t>
      </w:r>
      <w:r w:rsidRPr="00AD0B6F">
        <w:rPr>
          <w:rFonts w:cs="Open Sans"/>
        </w:rPr>
        <w:t xml:space="preserve">, </w:t>
      </w:r>
      <w:r w:rsidRPr="00AD0B6F">
        <w:rPr>
          <w:rFonts w:cs="Open Sans"/>
          <w:i/>
        </w:rPr>
        <w:t xml:space="preserve">Inquiry into </w:t>
      </w:r>
      <w:r>
        <w:rPr>
          <w:rFonts w:cs="Open Sans"/>
          <w:i/>
        </w:rPr>
        <w:t>Terrorism-Related Citizenship Loss Provisions in the Australian Citizenship Act 2007 (Cth)</w:t>
      </w:r>
      <w:r w:rsidRPr="00AD0B6F">
        <w:rPr>
          <w:rFonts w:cs="Open Sans"/>
        </w:rPr>
        <w:t xml:space="preserve"> (</w:t>
      </w:r>
      <w:r>
        <w:rPr>
          <w:rFonts w:cs="Open Sans"/>
        </w:rPr>
        <w:t>7 June</w:t>
      </w:r>
      <w:r w:rsidRPr="00AD0B6F">
        <w:rPr>
          <w:rFonts w:cs="Open Sans"/>
        </w:rPr>
        <w:t xml:space="preserve"> 2019) </w:t>
      </w:r>
      <w:r>
        <w:rPr>
          <w:rFonts w:cs="Open Sans"/>
        </w:rPr>
        <w:t>Attachment B</w:t>
      </w:r>
      <w:r w:rsidRPr="00AD0B6F">
        <w:rPr>
          <w:rFonts w:cs="Open Sans"/>
        </w:rPr>
        <w:t>.</w:t>
      </w:r>
    </w:p>
  </w:endnote>
  <w:endnote w:id="61">
    <w:p w14:paraId="36CEE5E4" w14:textId="185CF324"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Citizenship Loss Board (2016), draft minutes of the Citizenship Loss Board meeting 23 February 2016, Canberra (released under the </w:t>
      </w:r>
      <w:r w:rsidRPr="00AD0B6F">
        <w:rPr>
          <w:rFonts w:cs="Open Sans"/>
          <w:i/>
          <w:iCs/>
        </w:rPr>
        <w:t>Freedom of Information Act 1982</w:t>
      </w:r>
      <w:r w:rsidRPr="00AD0B6F">
        <w:rPr>
          <w:rFonts w:cs="Open Sans"/>
        </w:rPr>
        <w:t xml:space="preserve"> (Cth).</w:t>
      </w:r>
    </w:p>
  </w:endnote>
  <w:endnote w:id="62">
    <w:p w14:paraId="0813A8D7" w14:textId="77777777" w:rsidR="004761BE" w:rsidRPr="00AD0B6F" w:rsidRDefault="004761BE" w:rsidP="007408B8">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Citizenship Loss Board (2016), draft minutes of the Citizenship Loss Board meeting 23 February 2016, Canberra (released under the </w:t>
      </w:r>
      <w:r w:rsidRPr="00AD0B6F">
        <w:rPr>
          <w:rFonts w:cs="Open Sans"/>
          <w:i/>
          <w:iCs/>
        </w:rPr>
        <w:t>Freedom of Information Act 1982</w:t>
      </w:r>
      <w:r w:rsidRPr="00AD0B6F">
        <w:rPr>
          <w:rFonts w:cs="Open Sans"/>
        </w:rPr>
        <w:t xml:space="preserve"> (Cth).</w:t>
      </w:r>
    </w:p>
  </w:endnote>
  <w:endnote w:id="63">
    <w:p w14:paraId="0C0496E8" w14:textId="77777777" w:rsidR="004761BE" w:rsidRPr="00AD0B6F" w:rsidRDefault="004761BE" w:rsidP="00035413">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Australian Citizenship Act 2007</w:t>
      </w:r>
      <w:r w:rsidRPr="00AD0B6F">
        <w:rPr>
          <w:rFonts w:cs="Open Sans"/>
        </w:rPr>
        <w:t xml:space="preserve"> (Cth) ss 33AA(10) and 35(5)</w:t>
      </w:r>
      <w:r>
        <w:rPr>
          <w:rFonts w:cs="Open Sans"/>
        </w:rPr>
        <w:t xml:space="preserve">; </w:t>
      </w:r>
      <w:r w:rsidRPr="00AD0B6F">
        <w:rPr>
          <w:rFonts w:cs="Open Sans"/>
        </w:rPr>
        <w:t xml:space="preserve">Citizenship Loss Board (2016), draft minutes of the Citizenship Loss Board meeting </w:t>
      </w:r>
      <w:r>
        <w:rPr>
          <w:rFonts w:cs="Open Sans"/>
        </w:rPr>
        <w:t>9 September</w:t>
      </w:r>
      <w:r w:rsidRPr="00AD0B6F">
        <w:rPr>
          <w:rFonts w:cs="Open Sans"/>
        </w:rPr>
        <w:t xml:space="preserve"> 2016, Canberra (released under the </w:t>
      </w:r>
      <w:r w:rsidRPr="00AD0B6F">
        <w:rPr>
          <w:rFonts w:cs="Open Sans"/>
          <w:i/>
          <w:iCs/>
        </w:rPr>
        <w:t>Freedom of Information Act 1982</w:t>
      </w:r>
      <w:r w:rsidRPr="00AD0B6F">
        <w:rPr>
          <w:rFonts w:cs="Open Sans"/>
        </w:rPr>
        <w:t xml:space="preserve"> (Cth).</w:t>
      </w:r>
    </w:p>
    <w:p w14:paraId="271DF469" w14:textId="77777777" w:rsidR="004761BE" w:rsidRPr="00AD0B6F" w:rsidRDefault="004761BE" w:rsidP="00035413">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Australian Citizenship Act 2007</w:t>
      </w:r>
      <w:r w:rsidRPr="00AD0B6F">
        <w:rPr>
          <w:rFonts w:cs="Open Sans"/>
        </w:rPr>
        <w:t xml:space="preserve"> (Cth) ss 33AA(10) and 35(5).</w:t>
      </w:r>
    </w:p>
  </w:endnote>
  <w:endnote w:id="64">
    <w:p w14:paraId="5FFCAADD" w14:textId="7DAC376B" w:rsidR="004761BE" w:rsidRDefault="004761BE" w:rsidP="004C070A">
      <w:pPr>
        <w:pStyle w:val="EndnoteText"/>
        <w:tabs>
          <w:tab w:val="left" w:pos="426"/>
        </w:tabs>
        <w:ind w:left="426" w:hanging="426"/>
      </w:pPr>
      <w:r>
        <w:rPr>
          <w:rStyle w:val="EndnoteReference"/>
        </w:rPr>
        <w:endnoteRef/>
      </w:r>
      <w:r>
        <w:t xml:space="preserve"> </w:t>
      </w:r>
      <w:r>
        <w:tab/>
      </w:r>
      <w:r w:rsidRPr="009A0519">
        <w:rPr>
          <w:rFonts w:cs="Open Sans"/>
        </w:rPr>
        <w:t>Department</w:t>
      </w:r>
      <w:r w:rsidRPr="00B63D9C">
        <w:t xml:space="preserve"> of Home Affairs, Submission to the Independent National Security Legislation Monitor, </w:t>
      </w:r>
      <w:r w:rsidRPr="004C070A">
        <w:rPr>
          <w:i/>
          <w:iCs/>
        </w:rPr>
        <w:t>Inquiry into Terrorism-Related Citizenship Loss Provisions in the Australian Citizenship Act 2007</w:t>
      </w:r>
      <w:r w:rsidRPr="00B63D9C">
        <w:t xml:space="preserve"> (Cth) (7 June 2019) </w:t>
      </w:r>
      <w:r>
        <w:t>Attachment B</w:t>
      </w:r>
      <w:r w:rsidRPr="00B63D9C">
        <w:t>.</w:t>
      </w:r>
    </w:p>
  </w:endnote>
  <w:endnote w:id="65">
    <w:p w14:paraId="016613F9" w14:textId="4451FECA"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The duty to extradite or prosecute is established by numerous international treaties to which Australia is a signatory, including the </w:t>
      </w:r>
      <w:r w:rsidRPr="00442CC8">
        <w:rPr>
          <w:rFonts w:cs="Open Sans"/>
          <w:i/>
          <w:iCs/>
        </w:rPr>
        <w:t>Geneva Convention for the Amelioration of the Condition of the Wounded and Sick in Armed Forces in the Field</w:t>
      </w:r>
      <w:r w:rsidRPr="00AD0B6F">
        <w:rPr>
          <w:rFonts w:cs="Open Sans"/>
        </w:rPr>
        <w:t xml:space="preserve">, opened for signature 12 August 1949, 75 UNTS 31 (entered into force 21 October 1950) (and other Geneva Conventions), the </w:t>
      </w:r>
      <w:r w:rsidRPr="00AD0B6F">
        <w:rPr>
          <w:rFonts w:cs="Open Sans"/>
          <w:i/>
        </w:rPr>
        <w:t>Convention against Torture and Other Cruel, Inhuman or Degrading Treatment or Punishment</w:t>
      </w:r>
      <w:r w:rsidRPr="00AD0B6F">
        <w:rPr>
          <w:rFonts w:cs="Open Sans"/>
        </w:rPr>
        <w:t xml:space="preserve">, opened for signature 10 December 1984, 1465 UNTS 85 (entered into force 26 June 1987) and the </w:t>
      </w:r>
      <w:r w:rsidRPr="00AD0B6F">
        <w:rPr>
          <w:rFonts w:cs="Open Sans"/>
          <w:i/>
        </w:rPr>
        <w:t>International Convention for the Suppression of Terrorist Bombings</w:t>
      </w:r>
      <w:r w:rsidRPr="00AD0B6F">
        <w:rPr>
          <w:rFonts w:cs="Open Sans"/>
        </w:rPr>
        <w:t xml:space="preserve">, opened for signature 15 December 1997, 2149 UNTS 256 (entered into force 23 May 2001). With respect to genocide, grave breaches of the Geneva Conventions, war crimes and crimes against humanity, the </w:t>
      </w:r>
      <w:r w:rsidRPr="00AD0B6F">
        <w:rPr>
          <w:rFonts w:cs="Open Sans"/>
          <w:i/>
          <w:iCs/>
        </w:rPr>
        <w:t>Rome Statute of the International Criminal Court</w:t>
      </w:r>
      <w:r w:rsidRPr="00AD0B6F">
        <w:rPr>
          <w:rFonts w:cs="Open Sans"/>
        </w:rPr>
        <w:t xml:space="preserve">, opened for signature 17 July 1998, 2187 UNTS 3 (entered into force 1 July 2002) further obliges Australia to either to prosecute or surrender persons to the International Criminal Court. Some commentators consider that the duty to extradite or prosecute can also be established by customary international law, see: </w:t>
      </w:r>
      <w:bookmarkStart w:id="76" w:name="_Hlk11165906"/>
      <w:r w:rsidRPr="00AD0B6F">
        <w:rPr>
          <w:rFonts w:cs="Open Sans"/>
        </w:rPr>
        <w:t xml:space="preserve">Michael P Scharf, Oxford University Press, </w:t>
      </w:r>
      <w:r w:rsidRPr="00AD0B6F">
        <w:rPr>
          <w:rFonts w:cs="Open Sans"/>
          <w:i/>
        </w:rPr>
        <w:t>Max Planck Encyclopedia of Public International Law</w:t>
      </w:r>
      <w:r w:rsidRPr="00AD0B6F">
        <w:rPr>
          <w:rFonts w:cs="Open Sans"/>
        </w:rPr>
        <w:t xml:space="preserve"> (at June 2018) ‘</w:t>
      </w:r>
      <w:r w:rsidRPr="00AD0B6F">
        <w:rPr>
          <w:rFonts w:cs="Open Sans"/>
          <w:iCs/>
        </w:rPr>
        <w:t>Aut dedere aut iudicare’</w:t>
      </w:r>
      <w:r w:rsidRPr="00AD0B6F">
        <w:rPr>
          <w:rFonts w:cs="Open Sans"/>
        </w:rPr>
        <w:t>.</w:t>
      </w:r>
    </w:p>
    <w:bookmarkEnd w:id="76"/>
  </w:endnote>
  <w:endnote w:id="66">
    <w:p w14:paraId="4418DFEB" w14:textId="18A8569D"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Basic Principles and Guidelines on the Right to a Remedy and Reparation for Victims of Gross Violations of International Human Rights Law and Serious Violations of International Humanitarian Law</w:t>
      </w:r>
      <w:r w:rsidRPr="00AD0B6F">
        <w:rPr>
          <w:rFonts w:cs="Open Sans"/>
        </w:rPr>
        <w:t>, GA Res 60/147, 60</w:t>
      </w:r>
      <w:r w:rsidRPr="00AD0B6F">
        <w:rPr>
          <w:rFonts w:cs="Open Sans"/>
          <w:vertAlign w:val="superscript"/>
        </w:rPr>
        <w:t>th</w:t>
      </w:r>
      <w:r w:rsidRPr="00AD0B6F">
        <w:rPr>
          <w:rFonts w:cs="Open Sans"/>
        </w:rPr>
        <w:t xml:space="preserve"> sess, UN Doc A/RES/60/147 (16 December 2005). </w:t>
      </w:r>
    </w:p>
  </w:endnote>
  <w:endnote w:id="67">
    <w:p w14:paraId="45DDD884" w14:textId="77777777" w:rsidR="004761BE" w:rsidRPr="00AD0B6F" w:rsidRDefault="004761BE" w:rsidP="00375D9E">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See for example </w:t>
      </w:r>
      <w:r w:rsidRPr="00AD0B6F">
        <w:rPr>
          <w:rFonts w:cs="Open Sans"/>
          <w:i/>
          <w:iCs/>
        </w:rPr>
        <w:t>Criminal Code</w:t>
      </w:r>
      <w:r w:rsidRPr="00AD0B6F">
        <w:rPr>
          <w:rFonts w:cs="Open Sans"/>
        </w:rPr>
        <w:t xml:space="preserve"> (Cth) s 15.1(1)(c) ‘extended geographical jurisdiction—category A’; s 15.2(1)(c) ‘extended geographical jurisdiction—category B’ and ss 15.3(2) and (4) defences to ‘extended geographical jurisdiction—category C’ of the </w:t>
      </w:r>
      <w:r w:rsidRPr="00AD0B6F">
        <w:rPr>
          <w:rFonts w:cs="Open Sans"/>
          <w:i/>
          <w:iCs/>
        </w:rPr>
        <w:t>Criminal Code</w:t>
      </w:r>
      <w:r w:rsidRPr="00AD0B6F">
        <w:rPr>
          <w:rFonts w:cs="Open Sans"/>
        </w:rPr>
        <w:t xml:space="preserve"> (Cth).</w:t>
      </w:r>
    </w:p>
  </w:endnote>
  <w:endnote w:id="68">
    <w:p w14:paraId="6A8D6507" w14:textId="3E8DA085" w:rsidR="004761BE" w:rsidRDefault="004761BE" w:rsidP="004C070A">
      <w:pPr>
        <w:pStyle w:val="EndnoteText"/>
        <w:tabs>
          <w:tab w:val="left" w:pos="426"/>
        </w:tabs>
        <w:ind w:left="426" w:hanging="426"/>
      </w:pPr>
      <w:r>
        <w:rPr>
          <w:rStyle w:val="EndnoteReference"/>
        </w:rPr>
        <w:endnoteRef/>
      </w:r>
      <w:r>
        <w:t xml:space="preserve"> </w:t>
      </w:r>
      <w:r>
        <w:tab/>
      </w:r>
      <w:r>
        <w:rPr>
          <w:rFonts w:cs="Open Sans"/>
        </w:rPr>
        <w:t>Department of Home Affairs</w:t>
      </w:r>
      <w:r w:rsidRPr="00AD0B6F">
        <w:rPr>
          <w:rFonts w:cs="Open Sans"/>
        </w:rPr>
        <w:t xml:space="preserve">, Submission to </w:t>
      </w:r>
      <w:r>
        <w:rPr>
          <w:rFonts w:cs="Open Sans"/>
        </w:rPr>
        <w:t>the Independent National Security Legislation Monitor</w:t>
      </w:r>
      <w:r w:rsidRPr="00AD0B6F">
        <w:rPr>
          <w:rFonts w:cs="Open Sans"/>
        </w:rPr>
        <w:t xml:space="preserve">, </w:t>
      </w:r>
      <w:r w:rsidRPr="00AD0B6F">
        <w:rPr>
          <w:rFonts w:cs="Open Sans"/>
          <w:i/>
        </w:rPr>
        <w:t xml:space="preserve">Inquiry into </w:t>
      </w:r>
      <w:r>
        <w:rPr>
          <w:rFonts w:cs="Open Sans"/>
          <w:i/>
        </w:rPr>
        <w:t>Terrorism-Related Citizenship Loss Provisions in the Australian Citizenship Act 2007 (Cth)</w:t>
      </w:r>
      <w:r w:rsidRPr="00AD0B6F">
        <w:rPr>
          <w:rFonts w:cs="Open Sans"/>
        </w:rPr>
        <w:t xml:space="preserve"> (</w:t>
      </w:r>
      <w:r>
        <w:rPr>
          <w:rFonts w:cs="Open Sans"/>
        </w:rPr>
        <w:t>7 June</w:t>
      </w:r>
      <w:r w:rsidRPr="00AD0B6F">
        <w:rPr>
          <w:rFonts w:cs="Open Sans"/>
        </w:rPr>
        <w:t xml:space="preserve"> 2019) </w:t>
      </w:r>
      <w:r>
        <w:rPr>
          <w:rFonts w:cs="Open Sans"/>
        </w:rPr>
        <w:t>9</w:t>
      </w:r>
      <w:r w:rsidRPr="00AD0B6F">
        <w:rPr>
          <w:rFonts w:cs="Open Sans"/>
        </w:rPr>
        <w:t>.</w:t>
      </w:r>
    </w:p>
  </w:endnote>
  <w:endnote w:id="69">
    <w:p w14:paraId="1FD028E4" w14:textId="45CB3D66" w:rsidR="004761BE" w:rsidRPr="00AD0B6F" w:rsidRDefault="004761BE" w:rsidP="00AD0B6F">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The conduct described in s 33AA(2)(b)–(h) is based on offences in respect of which the ‘extended geographical jurisdiction—category D’ described in s 15.4 of the </w:t>
      </w:r>
      <w:r w:rsidRPr="00AD0B6F">
        <w:rPr>
          <w:rFonts w:cs="Open Sans"/>
          <w:i/>
        </w:rPr>
        <w:t>Criminal</w:t>
      </w:r>
      <w:r w:rsidRPr="00AD0B6F">
        <w:rPr>
          <w:rFonts w:cs="Open Sans"/>
          <w:i/>
          <w:iCs/>
        </w:rPr>
        <w:t xml:space="preserve"> Code</w:t>
      </w:r>
      <w:r w:rsidRPr="00AD0B6F">
        <w:rPr>
          <w:rFonts w:cs="Open Sans"/>
        </w:rPr>
        <w:t xml:space="preserve"> (Cth) applies.</w:t>
      </w:r>
    </w:p>
  </w:endnote>
  <w:endnote w:id="70">
    <w:p w14:paraId="0FBD6782" w14:textId="3F2939B4" w:rsidR="004761BE" w:rsidRPr="00AD0B6F" w:rsidRDefault="004761BE" w:rsidP="00AD0B6F">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See for example </w:t>
      </w:r>
      <w:r w:rsidRPr="00AD0B6F">
        <w:rPr>
          <w:rFonts w:cs="Open Sans"/>
          <w:i/>
          <w:iCs/>
        </w:rPr>
        <w:t>Criminal Code</w:t>
      </w:r>
      <w:r w:rsidRPr="00AD0B6F">
        <w:rPr>
          <w:rFonts w:cs="Open Sans"/>
        </w:rPr>
        <w:t xml:space="preserve"> (Cth) ss 80.1 and 80.1AA (treason and related offences) have ‘extended geographical jurisdiction—category D’ pursuant to s 80.4.</w:t>
      </w:r>
    </w:p>
  </w:endnote>
  <w:endnote w:id="71">
    <w:p w14:paraId="2CB0D343" w14:textId="4E800323"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iCs/>
        </w:rPr>
        <w:t>Criminal Code</w:t>
      </w:r>
      <w:r w:rsidRPr="00AD0B6F">
        <w:rPr>
          <w:rFonts w:cs="Open Sans"/>
        </w:rPr>
        <w:t xml:space="preserve"> (Cth) s 72.4.</w:t>
      </w:r>
    </w:p>
  </w:endnote>
  <w:endnote w:id="72">
    <w:p w14:paraId="34A11349" w14:textId="77777777" w:rsidR="004761BE" w:rsidRPr="00AD0B6F" w:rsidRDefault="004761BE" w:rsidP="00CD4B9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Australian Citizenship Act 2007</w:t>
      </w:r>
      <w:r w:rsidRPr="00AD0B6F">
        <w:rPr>
          <w:rFonts w:cs="Open Sans"/>
        </w:rPr>
        <w:t xml:space="preserve"> (Cth) ss 33</w:t>
      </w:r>
      <w:r w:rsidRPr="00AD0B6F">
        <w:rPr>
          <w:rFonts w:cs="Open Sans"/>
        </w:rPr>
        <w:t>AA(12) or 35(7).</w:t>
      </w:r>
    </w:p>
  </w:endnote>
  <w:endnote w:id="73">
    <w:p w14:paraId="6D11BA6D" w14:textId="535C288E"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Parliamentary Joint Committee on Intelligence and Security, </w:t>
      </w:r>
      <w:r w:rsidRPr="00AD0B6F">
        <w:rPr>
          <w:rFonts w:cs="Open Sans"/>
          <w:i/>
        </w:rPr>
        <w:t>Advisory Report on the Australian Citizenship Amendment (Allegiance to Australia) Bill 2015</w:t>
      </w:r>
      <w:r w:rsidRPr="00AD0B6F">
        <w:rPr>
          <w:rFonts w:cs="Open Sans"/>
        </w:rPr>
        <w:t xml:space="preserve"> (2015), </w:t>
      </w:r>
      <w:r w:rsidR="003D1C3A">
        <w:rPr>
          <w:rFonts w:cs="Open Sans"/>
        </w:rPr>
        <w:t>R</w:t>
      </w:r>
      <w:r w:rsidRPr="00AD0B6F">
        <w:rPr>
          <w:rFonts w:cs="Open Sans"/>
        </w:rPr>
        <w:t>ecommendation 15.</w:t>
      </w:r>
    </w:p>
  </w:endnote>
  <w:endnote w:id="74">
    <w:p w14:paraId="378FF584" w14:textId="64025F4C" w:rsidR="004761BE" w:rsidRDefault="004761BE" w:rsidP="004C070A">
      <w:pPr>
        <w:pStyle w:val="EndnoteText"/>
        <w:tabs>
          <w:tab w:val="left" w:pos="426"/>
        </w:tabs>
        <w:ind w:left="426" w:hanging="426"/>
      </w:pPr>
      <w:r>
        <w:rPr>
          <w:rStyle w:val="EndnoteReference"/>
        </w:rPr>
        <w:endnoteRef/>
      </w:r>
      <w:r>
        <w:t xml:space="preserve"> </w:t>
      </w:r>
      <w:r>
        <w:tab/>
        <w:t xml:space="preserve">By reference to </w:t>
      </w:r>
      <w:r>
        <w:rPr>
          <w:rFonts w:cs="Open Sans"/>
        </w:rPr>
        <w:t>Attachment B</w:t>
      </w:r>
      <w:r>
        <w:t xml:space="preserve">: Citizenship Loss Board flowchart in </w:t>
      </w:r>
      <w:r>
        <w:rPr>
          <w:rFonts w:cs="Open Sans"/>
        </w:rPr>
        <w:t>Department of Home Affairs</w:t>
      </w:r>
      <w:r w:rsidRPr="00AD0B6F">
        <w:rPr>
          <w:rFonts w:cs="Open Sans"/>
        </w:rPr>
        <w:t xml:space="preserve">, Submission to </w:t>
      </w:r>
      <w:r>
        <w:rPr>
          <w:rFonts w:cs="Open Sans"/>
        </w:rPr>
        <w:t>the Independent National Security Legislation Monitor</w:t>
      </w:r>
      <w:r w:rsidRPr="00AD0B6F">
        <w:rPr>
          <w:rFonts w:cs="Open Sans"/>
        </w:rPr>
        <w:t xml:space="preserve">, </w:t>
      </w:r>
      <w:r w:rsidRPr="00AD0B6F">
        <w:rPr>
          <w:rFonts w:cs="Open Sans"/>
          <w:i/>
        </w:rPr>
        <w:t xml:space="preserve">Inquiry into </w:t>
      </w:r>
      <w:r>
        <w:rPr>
          <w:rFonts w:cs="Open Sans"/>
          <w:i/>
        </w:rPr>
        <w:t>Terrorism-Related Citizenship Loss Provisions in the Australian Citizenship Act 2007 (Cth)</w:t>
      </w:r>
      <w:r w:rsidRPr="00AD0B6F">
        <w:rPr>
          <w:rFonts w:cs="Open Sans"/>
        </w:rPr>
        <w:t xml:space="preserve"> (</w:t>
      </w:r>
      <w:r>
        <w:rPr>
          <w:rFonts w:cs="Open Sans"/>
        </w:rPr>
        <w:t>7 June</w:t>
      </w:r>
      <w:r w:rsidRPr="00AD0B6F">
        <w:rPr>
          <w:rFonts w:cs="Open Sans"/>
        </w:rPr>
        <w:t xml:space="preserve"> 2019).</w:t>
      </w:r>
    </w:p>
  </w:endnote>
  <w:endnote w:id="75">
    <w:p w14:paraId="5766BA54" w14:textId="200547FC"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Administrative Review Council, </w:t>
      </w:r>
      <w:r w:rsidRPr="00AD0B6F">
        <w:rPr>
          <w:rFonts w:cs="Open Sans"/>
          <w:i/>
        </w:rPr>
        <w:t>What decisions should be subject to merit review?</w:t>
      </w:r>
      <w:r w:rsidRPr="00AD0B6F">
        <w:rPr>
          <w:rFonts w:cs="Open Sans"/>
        </w:rPr>
        <w:t xml:space="preserve"> (Report, 1999) [2.1].</w:t>
      </w:r>
    </w:p>
  </w:endnote>
  <w:endnote w:id="76">
    <w:p w14:paraId="1B0713E4" w14:textId="05A7421A"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Administrative Review Council, </w:t>
      </w:r>
      <w:r w:rsidRPr="00AD0B6F">
        <w:rPr>
          <w:rFonts w:cs="Open Sans"/>
          <w:i/>
        </w:rPr>
        <w:t>What decisions should be subject to merit review?</w:t>
      </w:r>
      <w:r w:rsidRPr="00AD0B6F">
        <w:rPr>
          <w:rFonts w:cs="Open Sans"/>
        </w:rPr>
        <w:t xml:space="preserve"> (Report, 1999) [2.5].</w:t>
      </w:r>
    </w:p>
  </w:endnote>
  <w:endnote w:id="77">
    <w:p w14:paraId="0E0E9226" w14:textId="2851DCB2"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iCs/>
        </w:rPr>
        <w:t>Plaintiff M61/2010E v Commonwealth of Australia</w:t>
      </w:r>
      <w:r w:rsidRPr="00AD0B6F">
        <w:rPr>
          <w:rFonts w:cs="Open Sans"/>
        </w:rPr>
        <w:t xml:space="preserve"> (2010) 243 CLR 319 [9(d)].</w:t>
      </w:r>
    </w:p>
  </w:endnote>
  <w:endnote w:id="78">
    <w:p w14:paraId="60096F81" w14:textId="678C5A39"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Administrative Review Council, </w:t>
      </w:r>
      <w:r w:rsidRPr="00AD0B6F">
        <w:rPr>
          <w:rFonts w:cs="Open Sans"/>
          <w:i/>
          <w:iCs/>
        </w:rPr>
        <w:t>Federal Judicial Review in Australia</w:t>
      </w:r>
      <w:r w:rsidRPr="00AD0B6F">
        <w:rPr>
          <w:rFonts w:cs="Open Sans"/>
        </w:rPr>
        <w:t xml:space="preserve"> (Report No 50, September 2012) 72–73 [4.4].</w:t>
      </w:r>
    </w:p>
  </w:endnote>
  <w:endnote w:id="79">
    <w:p w14:paraId="166A0A54" w14:textId="4B71FF55"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Parliamentary Joint Committee on Intelligence and Security, </w:t>
      </w:r>
      <w:r w:rsidRPr="00AD0B6F">
        <w:rPr>
          <w:rFonts w:cs="Open Sans"/>
          <w:i/>
        </w:rPr>
        <w:t>Advisory Report on the Australian Citizenship Amendment (Allegiance to Australia) Bill 2015</w:t>
      </w:r>
      <w:r w:rsidRPr="00AD0B6F">
        <w:rPr>
          <w:rFonts w:cs="Open Sans"/>
        </w:rPr>
        <w:t xml:space="preserve"> (2015) 105-106.</w:t>
      </w:r>
    </w:p>
  </w:endnote>
  <w:endnote w:id="80">
    <w:p w14:paraId="6E757FE2" w14:textId="0527AB95"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t>Revised Explanatory Memorandum, Australian Citizenship Amendment (Allegiance to Australia) Bill 2015 (Cth) 20 [85], 22 [95].</w:t>
      </w:r>
    </w:p>
  </w:endnote>
  <w:endnote w:id="81">
    <w:p w14:paraId="784B8084" w14:textId="77777777" w:rsidR="004761BE" w:rsidRPr="00AD0B6F" w:rsidRDefault="004761BE" w:rsidP="00C04030">
      <w:pPr>
        <w:pStyle w:val="EndnoteText"/>
        <w:tabs>
          <w:tab w:val="left" w:pos="426"/>
        </w:tabs>
        <w:ind w:left="426" w:right="57" w:hanging="426"/>
        <w:rPr>
          <w:rFonts w:cs="Open Sans"/>
          <w:b/>
          <w:bCs/>
        </w:rPr>
      </w:pPr>
      <w:r w:rsidRPr="00AD0B6F">
        <w:rPr>
          <w:rStyle w:val="EndnoteReference"/>
          <w:rFonts w:cs="Open Sans"/>
        </w:rPr>
        <w:endnoteRef/>
      </w:r>
      <w:r w:rsidRPr="00AD0B6F">
        <w:rPr>
          <w:rFonts w:cs="Open Sans"/>
        </w:rPr>
        <w:tab/>
      </w:r>
      <w:r w:rsidRPr="00AD0B6F">
        <w:rPr>
          <w:rFonts w:cs="Open Sans"/>
          <w:i/>
        </w:rPr>
        <w:t>Criminal Code</w:t>
      </w:r>
      <w:r w:rsidRPr="00AD0B6F">
        <w:rPr>
          <w:rFonts w:cs="Open Sans"/>
        </w:rPr>
        <w:t xml:space="preserve"> (Cth) Division 7; </w:t>
      </w:r>
      <w:r w:rsidRPr="00AD0B6F">
        <w:rPr>
          <w:rFonts w:cs="Open Sans"/>
          <w:i/>
        </w:rPr>
        <w:t xml:space="preserve">Australian Citizenship Act 2007 </w:t>
      </w:r>
      <w:r w:rsidRPr="00AD0B6F">
        <w:rPr>
          <w:rFonts w:cs="Open Sans"/>
        </w:rPr>
        <w:t>(Cth) s 35A.</w:t>
      </w:r>
    </w:p>
  </w:endnote>
  <w:endnote w:id="82">
    <w:p w14:paraId="038E2E3C"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 xml:space="preserve">Australian Citizenship Act 2007 </w:t>
      </w:r>
      <w:r w:rsidRPr="00AD0B6F">
        <w:rPr>
          <w:rFonts w:cs="Open Sans"/>
        </w:rPr>
        <w:t>(Cth) ss 33A, 35.</w:t>
      </w:r>
    </w:p>
  </w:endnote>
  <w:endnote w:id="83">
    <w:p w14:paraId="64E74A2C" w14:textId="63D836B4"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r>
      <w:r w:rsidRPr="00AD0B6F">
        <w:rPr>
          <w:rFonts w:cs="Open Sans"/>
          <w:i/>
          <w:iCs/>
        </w:rPr>
        <w:t>Convention on the Rights of the Child</w:t>
      </w:r>
      <w:r w:rsidRPr="00AD0B6F">
        <w:rPr>
          <w:rFonts w:cs="Open Sans"/>
          <w:iCs/>
        </w:rPr>
        <w:t>, opened for signature 20 November 1989,</w:t>
      </w:r>
      <w:r w:rsidRPr="00AD0B6F">
        <w:rPr>
          <w:rFonts w:cs="Open Sans"/>
        </w:rPr>
        <w:t xml:space="preserve"> [1991] ATS 4 (entered into force 2 September 1990) preamble; </w:t>
      </w:r>
      <w:r w:rsidRPr="00AD0B6F">
        <w:rPr>
          <w:rFonts w:cs="Open Sans"/>
          <w:i/>
        </w:rPr>
        <w:t>Universal Declaration of Human Right</w:t>
      </w:r>
      <w:r w:rsidRPr="00AD0B6F">
        <w:rPr>
          <w:rFonts w:cs="Open Sans"/>
        </w:rPr>
        <w:t xml:space="preserve">s, GA Res 217A (III), UN GAOR, 3rd sess, 183rd plen mtg UN Doc A/810 (10 December 1948) article 25(2). </w:t>
      </w:r>
    </w:p>
  </w:endnote>
  <w:endnote w:id="84">
    <w:p w14:paraId="5BD88655" w14:textId="49BBAB72"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r>
      <w:r w:rsidRPr="00AD0B6F">
        <w:rPr>
          <w:rFonts w:cs="Open Sans"/>
          <w:i/>
        </w:rPr>
        <w:t xml:space="preserve">Australian Citizenship Act 2007 </w:t>
      </w:r>
      <w:r w:rsidRPr="00AD0B6F">
        <w:rPr>
          <w:rFonts w:cs="Open Sans"/>
        </w:rPr>
        <w:t>(Cth) s 35A(1)(e)(iv).</w:t>
      </w:r>
    </w:p>
  </w:endnote>
  <w:endnote w:id="85">
    <w:p w14:paraId="3EA3F9D4" w14:textId="22B6D126" w:rsidR="004761BE" w:rsidRPr="00AD0B6F" w:rsidRDefault="004761BE" w:rsidP="00C04030">
      <w:pPr>
        <w:pStyle w:val="EndnoteText"/>
        <w:tabs>
          <w:tab w:val="left" w:pos="426"/>
        </w:tabs>
        <w:ind w:left="426"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Parliamentary Joint Committee on Intelligence and Security, </w:t>
      </w:r>
      <w:r w:rsidRPr="00AD0B6F">
        <w:rPr>
          <w:rFonts w:cs="Open Sans"/>
          <w:i/>
        </w:rPr>
        <w:t>Advisory Report on the Australian Citizenship Amendment (Allegiance to Australia) Bill 2015</w:t>
      </w:r>
      <w:r w:rsidRPr="00AD0B6F">
        <w:rPr>
          <w:rFonts w:cs="Open Sans"/>
        </w:rPr>
        <w:t xml:space="preserve"> (2015) </w:t>
      </w:r>
      <w:r>
        <w:rPr>
          <w:rFonts w:cs="Open Sans"/>
        </w:rPr>
        <w:t>R</w:t>
      </w:r>
      <w:r w:rsidRPr="00AD0B6F">
        <w:rPr>
          <w:rFonts w:cs="Open Sans"/>
        </w:rPr>
        <w:t>ecommendation 21.</w:t>
      </w:r>
    </w:p>
  </w:endnote>
  <w:endnote w:id="86">
    <w:p w14:paraId="0CF26CA5" w14:textId="150FA1E3"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United Nations Committee on the Rights of the Child, </w:t>
      </w:r>
      <w:r w:rsidRPr="00AD0B6F">
        <w:rPr>
          <w:rFonts w:cs="Open Sans"/>
          <w:i/>
        </w:rPr>
        <w:t>General Comment No 14 on the right of the child to have his or her best interests taken as a primary consideration (art 3, para 1)</w:t>
      </w:r>
      <w:r w:rsidRPr="00AD0B6F">
        <w:rPr>
          <w:rFonts w:cs="Open Sans"/>
        </w:rPr>
        <w:t>, 62</w:t>
      </w:r>
      <w:r w:rsidRPr="00AD0B6F">
        <w:rPr>
          <w:rFonts w:cs="Open Sans"/>
          <w:vertAlign w:val="superscript"/>
        </w:rPr>
        <w:t>nd</w:t>
      </w:r>
      <w:r w:rsidRPr="00AD0B6F">
        <w:rPr>
          <w:rFonts w:cs="Open Sans"/>
        </w:rPr>
        <w:t xml:space="preserve"> sess, UN Doc. CRC/C/GC/14 (29 May 2013) 12 [46]–[51]. </w:t>
      </w:r>
    </w:p>
  </w:endnote>
  <w:endnote w:id="87">
    <w:p w14:paraId="30BCCF4C" w14:textId="626847B4"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United Nations Committee on the Rights of the Child, </w:t>
      </w:r>
      <w:r w:rsidRPr="00AD0B6F">
        <w:rPr>
          <w:rFonts w:cs="Open Sans"/>
          <w:i/>
        </w:rPr>
        <w:t>General Comment No 14 on the right of the child to have his or her best interests taken as a primary consideration (art 3, para 1)</w:t>
      </w:r>
      <w:r w:rsidRPr="00AD0B6F">
        <w:rPr>
          <w:rFonts w:cs="Open Sans"/>
        </w:rPr>
        <w:t>, 62</w:t>
      </w:r>
      <w:r w:rsidRPr="00AD0B6F">
        <w:rPr>
          <w:rFonts w:cs="Open Sans"/>
          <w:vertAlign w:val="superscript"/>
        </w:rPr>
        <w:t>nd</w:t>
      </w:r>
      <w:r w:rsidRPr="00AD0B6F">
        <w:rPr>
          <w:rFonts w:cs="Open Sans"/>
        </w:rPr>
        <w:t xml:space="preserve"> sess, UN Doc. CRC/C/GC/14 (29 May 2013) 18–19 [89]–[91]. </w:t>
      </w:r>
    </w:p>
  </w:endnote>
  <w:endnote w:id="88">
    <w:p w14:paraId="566955D9" w14:textId="2B16BC9E"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United Nations Committee on the Rights of the Child, </w:t>
      </w:r>
      <w:r w:rsidRPr="00AD0B6F">
        <w:rPr>
          <w:rFonts w:cs="Open Sans"/>
          <w:i/>
        </w:rPr>
        <w:t>General Comment No 14 on the right of the child to have his or her best interests taken as a primary consideration (art 3, para 1)</w:t>
      </w:r>
      <w:r w:rsidRPr="00AD0B6F">
        <w:rPr>
          <w:rFonts w:cs="Open Sans"/>
        </w:rPr>
        <w:t>, 62</w:t>
      </w:r>
      <w:r w:rsidRPr="00AD0B6F">
        <w:rPr>
          <w:rFonts w:cs="Open Sans"/>
          <w:vertAlign w:val="superscript"/>
        </w:rPr>
        <w:t>nd</w:t>
      </w:r>
      <w:r w:rsidRPr="00AD0B6F">
        <w:rPr>
          <w:rFonts w:cs="Open Sans"/>
        </w:rPr>
        <w:t xml:space="preserve"> sess, UN Doc. CRC/C/GC/14 (29 May 2013)</w:t>
      </w:r>
      <w:r w:rsidRPr="00AD0B6F" w:rsidDel="005A5021">
        <w:rPr>
          <w:rFonts w:cs="Open Sans"/>
        </w:rPr>
        <w:t xml:space="preserve"> </w:t>
      </w:r>
      <w:r w:rsidRPr="00AD0B6F">
        <w:rPr>
          <w:rFonts w:cs="Open Sans"/>
        </w:rPr>
        <w:t>18 [87].</w:t>
      </w:r>
    </w:p>
  </w:endnote>
  <w:endnote w:id="89">
    <w:p w14:paraId="220F4B5D" w14:textId="41086B00"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 xml:space="preserve">United Nations Committee on the Rights of the Child, </w:t>
      </w:r>
      <w:r w:rsidRPr="00AD0B6F">
        <w:rPr>
          <w:rFonts w:cs="Open Sans"/>
          <w:i/>
        </w:rPr>
        <w:t>General Comment No 14 on the right of the child to have his or her best interests taken as a primary consideration (art 3, para 1)</w:t>
      </w:r>
      <w:r w:rsidRPr="00AD0B6F">
        <w:rPr>
          <w:rFonts w:cs="Open Sans"/>
        </w:rPr>
        <w:t>, 62</w:t>
      </w:r>
      <w:r w:rsidRPr="00AD0B6F">
        <w:rPr>
          <w:rFonts w:cs="Open Sans"/>
          <w:vertAlign w:val="superscript"/>
        </w:rPr>
        <w:t>nd</w:t>
      </w:r>
      <w:r w:rsidRPr="00AD0B6F">
        <w:rPr>
          <w:rFonts w:cs="Open Sans"/>
        </w:rPr>
        <w:t xml:space="preserve"> sess, UN Doc. CRC/C/GC/14 (29 May 2013)</w:t>
      </w:r>
      <w:r w:rsidRPr="00AD0B6F" w:rsidDel="002717AD">
        <w:rPr>
          <w:rFonts w:cs="Open Sans"/>
        </w:rPr>
        <w:t xml:space="preserve"> </w:t>
      </w:r>
      <w:r w:rsidRPr="00AD0B6F">
        <w:rPr>
          <w:rFonts w:cs="Open Sans"/>
        </w:rPr>
        <w:t xml:space="preserve">20 [98]. </w:t>
      </w:r>
    </w:p>
  </w:endnote>
  <w:endnote w:id="90">
    <w:p w14:paraId="58831126" w14:textId="6B2D656A" w:rsidR="004761BE" w:rsidRPr="00A8550C" w:rsidRDefault="004761BE" w:rsidP="00447BF1">
      <w:pPr>
        <w:pStyle w:val="EndnoteText"/>
        <w:tabs>
          <w:tab w:val="left" w:pos="426"/>
        </w:tabs>
        <w:ind w:left="426" w:right="57" w:hanging="426"/>
        <w:rPr>
          <w:rFonts w:cs="Open Sans"/>
        </w:rPr>
      </w:pPr>
      <w:r w:rsidRPr="00A8550C">
        <w:rPr>
          <w:rStyle w:val="EndnoteReference"/>
          <w:rFonts w:cs="Open Sans"/>
        </w:rPr>
        <w:endnoteRef/>
      </w:r>
      <w:r w:rsidRPr="00A8550C">
        <w:rPr>
          <w:rFonts w:cs="Open Sans"/>
        </w:rPr>
        <w:t xml:space="preserve"> </w:t>
      </w:r>
      <w:r w:rsidRPr="00A8550C">
        <w:rPr>
          <w:rFonts w:cs="Open Sans"/>
        </w:rPr>
        <w:tab/>
        <w:t xml:space="preserve">Australian Human Rights Commission, </w:t>
      </w:r>
      <w:r w:rsidRPr="00A8550C">
        <w:rPr>
          <w:rFonts w:cs="Open Sans"/>
          <w:i/>
        </w:rPr>
        <w:t>Children’s Rights Report 2016</w:t>
      </w:r>
      <w:r w:rsidRPr="00A8550C">
        <w:rPr>
          <w:rFonts w:cs="Open Sans"/>
        </w:rPr>
        <w:t xml:space="preserve"> (2016) 189 &lt;</w:t>
      </w:r>
      <w:r w:rsidRPr="00642858">
        <w:rPr>
          <w:rFonts w:cs="Open Sans"/>
        </w:rPr>
        <w:t>https://www.humanrights.gov.au/our-work/childrens-rights/projects/childrens-rights-reports</w:t>
      </w:r>
      <w:r w:rsidRPr="00A8550C">
        <w:rPr>
          <w:rFonts w:cs="Open Sans"/>
        </w:rPr>
        <w:t>&gt;.</w:t>
      </w:r>
    </w:p>
  </w:endnote>
  <w:endnote w:id="91">
    <w:p w14:paraId="3735D4BE" w14:textId="77777777" w:rsidR="004761BE" w:rsidRPr="00A8550C" w:rsidRDefault="004761BE" w:rsidP="00447BF1">
      <w:pPr>
        <w:pStyle w:val="EndnoteText"/>
        <w:tabs>
          <w:tab w:val="left" w:pos="426"/>
        </w:tabs>
        <w:ind w:left="426" w:right="57" w:hanging="426"/>
        <w:rPr>
          <w:rFonts w:cs="Open Sans"/>
        </w:rPr>
      </w:pPr>
      <w:r w:rsidRPr="00A8550C">
        <w:rPr>
          <w:rStyle w:val="EndnoteReference"/>
          <w:rFonts w:cs="Open Sans"/>
        </w:rPr>
        <w:endnoteRef/>
      </w:r>
      <w:r w:rsidRPr="00A8550C">
        <w:rPr>
          <w:rFonts w:cs="Open Sans"/>
        </w:rPr>
        <w:t xml:space="preserve"> </w:t>
      </w:r>
      <w:r w:rsidRPr="00A8550C">
        <w:rPr>
          <w:rFonts w:cs="Open Sans"/>
        </w:rPr>
        <w:tab/>
      </w:r>
      <w:r>
        <w:rPr>
          <w:rFonts w:cs="Open Sans"/>
        </w:rPr>
        <w:t>Australian Human Rights Commission (</w:t>
      </w:r>
      <w:r w:rsidRPr="00A8550C">
        <w:rPr>
          <w:rFonts w:cs="Open Sans"/>
        </w:rPr>
        <w:t>National Children’s Commissioner</w:t>
      </w:r>
      <w:r>
        <w:rPr>
          <w:rFonts w:cs="Open Sans"/>
        </w:rPr>
        <w:t>)</w:t>
      </w:r>
      <w:r w:rsidRPr="00A8550C">
        <w:rPr>
          <w:rFonts w:cs="Open Sans"/>
        </w:rPr>
        <w:t xml:space="preserve">, Letter to the United Nations Committee on the Rights of the Child, </w:t>
      </w:r>
      <w:r w:rsidRPr="006C56EB">
        <w:rPr>
          <w:rFonts w:cs="Open Sans"/>
          <w:i/>
          <w:iCs/>
        </w:rPr>
        <w:t>Call for comments on Draft Revised General Comment No 10 (2007)</w:t>
      </w:r>
      <w:r w:rsidRPr="00A8550C">
        <w:rPr>
          <w:rFonts w:cs="Open Sans"/>
        </w:rPr>
        <w:t xml:space="preserve"> (7 January 2019) 3.</w:t>
      </w:r>
    </w:p>
  </w:endnote>
  <w:endnote w:id="92">
    <w:p w14:paraId="272F531E" w14:textId="77777777" w:rsidR="004761BE" w:rsidRDefault="004761BE" w:rsidP="00447BF1">
      <w:pPr>
        <w:pStyle w:val="EndnoteText"/>
        <w:tabs>
          <w:tab w:val="left" w:pos="426"/>
        </w:tabs>
        <w:ind w:left="426" w:right="57" w:hanging="426"/>
      </w:pPr>
      <w:r>
        <w:rPr>
          <w:rStyle w:val="EndnoteReference"/>
        </w:rPr>
        <w:endnoteRef/>
      </w:r>
      <w:r>
        <w:t xml:space="preserve"> </w:t>
      </w:r>
      <w:r>
        <w:tab/>
      </w:r>
      <w:r w:rsidRPr="0083412D">
        <w:t xml:space="preserve">Sally Parnell, Jesuit Social Services, Too Much Too Young: Raise The Age of Criminal </w:t>
      </w:r>
      <w:r w:rsidRPr="0083412D">
        <w:rPr>
          <w:rFonts w:cs="Open Sans"/>
        </w:rPr>
        <w:t>Responsibility</w:t>
      </w:r>
      <w:r w:rsidRPr="0083412D">
        <w:t>, Letter to Attorneys– General (2015) &lt;http://jss.org.au/wp-content/uploads/2016/01/Letter_to_AGs_Age_of_Criminal_responsibility.pdf&gt;.</w:t>
      </w:r>
    </w:p>
  </w:endnote>
  <w:endnote w:id="93">
    <w:p w14:paraId="5D94746C" w14:textId="77777777" w:rsidR="004761BE" w:rsidRDefault="004761BE" w:rsidP="00447BF1">
      <w:pPr>
        <w:pStyle w:val="EndnoteText"/>
        <w:tabs>
          <w:tab w:val="left" w:pos="426"/>
        </w:tabs>
        <w:ind w:left="426" w:right="57" w:hanging="426"/>
      </w:pPr>
      <w:r>
        <w:rPr>
          <w:rStyle w:val="EndnoteReference"/>
        </w:rPr>
        <w:endnoteRef/>
      </w:r>
      <w:r>
        <w:t xml:space="preserve"> </w:t>
      </w:r>
      <w:r>
        <w:tab/>
      </w:r>
      <w:r w:rsidRPr="0083412D">
        <w:t xml:space="preserve">Elly Farmer, ‘The age of criminal responsibility: developmental science and human rights perspectives’ (2011) 6(2) </w:t>
      </w:r>
      <w:r w:rsidRPr="006C56EB">
        <w:rPr>
          <w:i/>
          <w:iCs/>
        </w:rPr>
        <w:t>Journal of Children’s Services</w:t>
      </w:r>
      <w:r w:rsidRPr="0083412D">
        <w:t>, 86, 87.</w:t>
      </w:r>
    </w:p>
  </w:endnote>
  <w:endnote w:id="94">
    <w:p w14:paraId="23433ADD" w14:textId="77777777" w:rsidR="004761BE" w:rsidRDefault="004761BE" w:rsidP="00447BF1">
      <w:pPr>
        <w:pStyle w:val="EndnoteText"/>
        <w:tabs>
          <w:tab w:val="left" w:pos="426"/>
        </w:tabs>
        <w:ind w:left="426" w:right="57" w:hanging="426"/>
      </w:pPr>
      <w:r>
        <w:rPr>
          <w:rStyle w:val="EndnoteReference"/>
        </w:rPr>
        <w:endnoteRef/>
      </w:r>
      <w:r>
        <w:t xml:space="preserve"> </w:t>
      </w:r>
      <w:r>
        <w:tab/>
      </w:r>
      <w:r w:rsidRPr="00F00B77">
        <w:t xml:space="preserve">Elly Farmer, ‘The age of criminal responsibility: developmental science and human rights perspectives’ (2011) 6(2) </w:t>
      </w:r>
      <w:r w:rsidRPr="006C56EB">
        <w:rPr>
          <w:i/>
          <w:iCs/>
        </w:rPr>
        <w:t>Journal of Children’s Services</w:t>
      </w:r>
      <w:r w:rsidRPr="00F00B77">
        <w:t xml:space="preserve"> 86, 86-95</w:t>
      </w:r>
      <w:r>
        <w:t>.</w:t>
      </w:r>
    </w:p>
  </w:endnote>
  <w:endnote w:id="95">
    <w:p w14:paraId="6535EBC7" w14:textId="77777777" w:rsidR="004761BE" w:rsidRDefault="004761BE" w:rsidP="00447BF1">
      <w:pPr>
        <w:pStyle w:val="EndnoteText"/>
        <w:tabs>
          <w:tab w:val="left" w:pos="426"/>
        </w:tabs>
        <w:ind w:left="426" w:right="57" w:hanging="426"/>
      </w:pPr>
      <w:r>
        <w:rPr>
          <w:rStyle w:val="EndnoteReference"/>
        </w:rPr>
        <w:endnoteRef/>
      </w:r>
      <w:r>
        <w:t xml:space="preserve"> </w:t>
      </w:r>
      <w:r>
        <w:tab/>
      </w:r>
      <w:r w:rsidRPr="0083412D">
        <w:t>Australian Institute of Health and Welfare, Young people aged 10–14 in the youth justice system 2011–2012 (2013) vi &lt;http:// www.aihw.gov.au/publication-detail/?id=60129543944&gt;.</w:t>
      </w:r>
    </w:p>
  </w:endnote>
  <w:endnote w:id="96">
    <w:p w14:paraId="60A313AC" w14:textId="41E09074" w:rsidR="004761BE" w:rsidRPr="00A8550C" w:rsidRDefault="004761BE" w:rsidP="00447BF1">
      <w:pPr>
        <w:pStyle w:val="EndnoteText"/>
        <w:tabs>
          <w:tab w:val="left" w:pos="426"/>
        </w:tabs>
        <w:ind w:left="426" w:right="57" w:hanging="426"/>
        <w:rPr>
          <w:rFonts w:cs="Open Sans"/>
        </w:rPr>
      </w:pPr>
      <w:r w:rsidRPr="00A8550C">
        <w:rPr>
          <w:rStyle w:val="EndnoteReference"/>
          <w:rFonts w:cs="Open Sans"/>
        </w:rPr>
        <w:endnoteRef/>
      </w:r>
      <w:r w:rsidRPr="00A8550C">
        <w:rPr>
          <w:rFonts w:cs="Open Sans"/>
        </w:rPr>
        <w:t xml:space="preserve"> </w:t>
      </w:r>
      <w:r>
        <w:rPr>
          <w:rFonts w:cs="Open Sans"/>
        </w:rPr>
        <w:tab/>
        <w:t xml:space="preserve">See generally, </w:t>
      </w:r>
      <w:r w:rsidRPr="00A8550C">
        <w:rPr>
          <w:rFonts w:cs="Open Sans"/>
        </w:rPr>
        <w:t xml:space="preserve">Australian Human Rights Commission, </w:t>
      </w:r>
      <w:r w:rsidRPr="00A8550C">
        <w:rPr>
          <w:rFonts w:cs="Open Sans"/>
          <w:i/>
        </w:rPr>
        <w:t>Children’s Rights Report 2016</w:t>
      </w:r>
      <w:r w:rsidRPr="00A8550C">
        <w:rPr>
          <w:rFonts w:cs="Open Sans"/>
        </w:rPr>
        <w:t xml:space="preserve"> (2016) </w:t>
      </w:r>
      <w:r>
        <w:rPr>
          <w:rFonts w:cs="Open Sans"/>
        </w:rPr>
        <w:t xml:space="preserve">Part 4.3.2 </w:t>
      </w:r>
      <w:r w:rsidRPr="00A8550C">
        <w:rPr>
          <w:rFonts w:cs="Open Sans"/>
        </w:rPr>
        <w:t>&lt;</w:t>
      </w:r>
      <w:r w:rsidRPr="00642858">
        <w:rPr>
          <w:rFonts w:cs="Open Sans"/>
        </w:rPr>
        <w:t>https://www.humanrights.gov.au/our-work/childrens-rights/projects/childrens-rights-reports</w:t>
      </w:r>
      <w:r w:rsidRPr="00A8550C">
        <w:rPr>
          <w:rFonts w:cs="Open Sans"/>
        </w:rPr>
        <w:t>&gt;.</w:t>
      </w:r>
    </w:p>
  </w:endnote>
  <w:endnote w:id="97">
    <w:p w14:paraId="1C640DFE" w14:textId="77777777"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ab/>
        <w:t>Introduced through the passage of the Australian Citizenship Amendment (Allegiance to Australia) Bill 2015 (Cth) Item 8(4).</w:t>
      </w:r>
    </w:p>
  </w:endnote>
  <w:endnote w:id="98">
    <w:p w14:paraId="6DAA8E78" w14:textId="1FE9A604"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Australian Law Reform Commission, </w:t>
      </w:r>
      <w:r w:rsidRPr="00AD0B6F">
        <w:rPr>
          <w:rFonts w:cs="Open Sans"/>
          <w:i/>
        </w:rPr>
        <w:t>Traditional Rights and Freedoms—Encroachments by Commonwealth Laws</w:t>
      </w:r>
      <w:r w:rsidRPr="00AD0B6F">
        <w:rPr>
          <w:rFonts w:cs="Open Sans"/>
        </w:rPr>
        <w:t xml:space="preserve"> (Report No 129, 2016) 362.</w:t>
      </w:r>
    </w:p>
  </w:endnote>
  <w:endnote w:id="99">
    <w:p w14:paraId="6D777A26" w14:textId="7EEA4910" w:rsidR="004761BE" w:rsidRPr="00AD0B6F" w:rsidRDefault="004761BE" w:rsidP="00C04030">
      <w:pPr>
        <w:pStyle w:val="EndnoteText"/>
        <w:tabs>
          <w:tab w:val="left" w:pos="426"/>
        </w:tabs>
        <w:ind w:left="426" w:right="57" w:hanging="426"/>
        <w:rPr>
          <w:rFonts w:cs="Open Sans"/>
        </w:rPr>
      </w:pPr>
      <w:r w:rsidRPr="00AD0B6F">
        <w:rPr>
          <w:rStyle w:val="EndnoteReference"/>
          <w:rFonts w:cs="Open Sans"/>
        </w:rPr>
        <w:endnoteRef/>
      </w:r>
      <w:r w:rsidRPr="00AD0B6F">
        <w:rPr>
          <w:rFonts w:cs="Open Sans"/>
        </w:rPr>
        <w:t xml:space="preserve"> </w:t>
      </w:r>
      <w:r w:rsidRPr="00AD0B6F">
        <w:rPr>
          <w:rFonts w:cs="Open Sans"/>
        </w:rPr>
        <w:tab/>
        <w:t xml:space="preserve">Australian Human Rights Commission, Submission No 4 to Parliamentary Joint Committee on Intelligence and Security, </w:t>
      </w:r>
      <w:r w:rsidRPr="00AD0B6F">
        <w:rPr>
          <w:rFonts w:cs="Open Sans"/>
          <w:i/>
        </w:rPr>
        <w:t>Inquiry into the Australian Citizenship Amendment (Strengthening the Citizenship Loss Provisions) Bill 2018 (Cth)</w:t>
      </w:r>
      <w:r w:rsidRPr="00AD0B6F">
        <w:rPr>
          <w:rFonts w:cs="Open Sans"/>
        </w:rPr>
        <w:t xml:space="preserve"> (10 January 2019) 19–22.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E7E0" w14:textId="77777777" w:rsidR="004761BE" w:rsidRPr="000465F1" w:rsidRDefault="004761BE" w:rsidP="000465F1">
    <w:pPr>
      <w:pStyle w:val="Footer"/>
    </w:pPr>
    <w:r w:rsidRPr="000465F1">
      <w:t>ABN 47 996 232 602</w:t>
    </w:r>
  </w:p>
  <w:p w14:paraId="23393A7E" w14:textId="77777777" w:rsidR="004761BE" w:rsidRPr="000465F1" w:rsidRDefault="004761BE" w:rsidP="000465F1">
    <w:pPr>
      <w:pStyle w:val="Footer"/>
    </w:pPr>
    <w:r w:rsidRPr="000465F1">
      <w:t>Level 3, 175 Pitt Street, Sydney NSW 2000</w:t>
    </w:r>
  </w:p>
  <w:p w14:paraId="6585BD80" w14:textId="77777777" w:rsidR="004761BE" w:rsidRPr="000465F1" w:rsidRDefault="004761BE" w:rsidP="000465F1">
    <w:pPr>
      <w:pStyle w:val="Footer"/>
    </w:pPr>
    <w:r w:rsidRPr="000465F1">
      <w:t>GPO Box 5218, Sydney NSW 2001</w:t>
    </w:r>
  </w:p>
  <w:p w14:paraId="56C3CD83" w14:textId="77777777" w:rsidR="004761BE" w:rsidRPr="000465F1" w:rsidRDefault="004761BE" w:rsidP="000465F1">
    <w:pPr>
      <w:pStyle w:val="Footer"/>
    </w:pPr>
    <w:r w:rsidRPr="000465F1">
      <w:t>General enquiries 1300 369 711</w:t>
    </w:r>
  </w:p>
  <w:p w14:paraId="30AFF7A7" w14:textId="77777777" w:rsidR="004761BE" w:rsidRPr="000465F1" w:rsidRDefault="004761BE" w:rsidP="000465F1">
    <w:pPr>
      <w:pStyle w:val="Footer"/>
    </w:pPr>
    <w:r w:rsidRPr="000465F1">
      <w:t>Complaints info line 1300 656 419</w:t>
    </w:r>
  </w:p>
  <w:p w14:paraId="69BC8C12" w14:textId="77777777" w:rsidR="004761BE" w:rsidRPr="000465F1" w:rsidRDefault="004761BE"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71AF" w14:textId="77777777" w:rsidR="004761BE" w:rsidRDefault="004761BE" w:rsidP="0042700C">
    <w:pPr>
      <w:pStyle w:val="Footer"/>
      <w:jc w:val="right"/>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99234" w14:textId="77777777" w:rsidR="004761BE" w:rsidRDefault="004761BE" w:rsidP="00E53546">
    <w:pPr>
      <w:pStyle w:val="FooterOddPageNumber"/>
    </w:pPr>
    <w:r w:rsidRPr="00AB7C8F">
      <w:fldChar w:fldCharType="begin"/>
    </w:r>
    <w:r>
      <w:instrText xml:space="preserve"> PAGE   \* MERGEFORMAT </w:instrText>
    </w:r>
    <w:r w:rsidRPr="00AB7C8F">
      <w:fldChar w:fldCharType="separate"/>
    </w:r>
    <w:r>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A24F" w14:textId="77777777" w:rsidR="004761BE" w:rsidRDefault="004761BE" w:rsidP="00650FC1">
    <w:pPr>
      <w:pStyle w:val="FooterEvenPageNumber"/>
      <w:jc w:val="right"/>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0C45" w14:textId="77777777" w:rsidR="004761BE" w:rsidRDefault="004761BE" w:rsidP="00F14C6D">
      <w:r>
        <w:separator/>
      </w:r>
    </w:p>
  </w:footnote>
  <w:footnote w:type="continuationSeparator" w:id="0">
    <w:p w14:paraId="0D0C3754" w14:textId="77777777" w:rsidR="004761BE" w:rsidRDefault="004761BE"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E6077" w14:textId="77777777" w:rsidR="004761BE" w:rsidRPr="000465F1" w:rsidRDefault="000E5D23" w:rsidP="006E0674">
    <w:pPr>
      <w:pStyle w:val="Header"/>
    </w:pPr>
    <w:r>
      <w:pict w14:anchorId="5526E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52" type="#_x0000_t75" alt="report watermark" style="position:absolute;left:0;text-align:left;margin-left:0;margin-top:0;width:930.9pt;height:1359.95pt;z-index:-251658752;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4761BE" w:rsidRPr="000465F1">
      <w:t>Australian Human Rights Commission</w:t>
    </w:r>
  </w:p>
  <w:p w14:paraId="4BF79357" w14:textId="77777777" w:rsidR="004761BE" w:rsidRPr="00622508" w:rsidRDefault="004761BE"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FBFC6" w14:textId="77777777" w:rsidR="004761BE" w:rsidRPr="000465F1" w:rsidRDefault="000E5D23" w:rsidP="000465F1">
    <w:r>
      <w:pict w14:anchorId="3F819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51" type="#_x0000_t75" alt="report watermark" style="position:absolute;margin-left:0;margin-top:0;width:930.9pt;height:1359.95pt;z-index:-25165772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4761BE" w:rsidRPr="000465F1">
      <w:t>Australian Human Rights Commission</w:t>
    </w:r>
  </w:p>
  <w:p w14:paraId="399CF2A9" w14:textId="77777777" w:rsidR="004761BE" w:rsidRPr="000465F1" w:rsidRDefault="004761BE"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A5A1E" w14:textId="77777777" w:rsidR="004761BE" w:rsidRDefault="000E5D23" w:rsidP="006E0674">
    <w:pPr>
      <w:pStyle w:val="Header"/>
    </w:pPr>
    <w:r>
      <w:pict w14:anchorId="0C48E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0" type="#_x0000_t75" alt="MS word cover1" style="position:absolute;left:0;text-align:left;margin-left:-71.05pt;margin-top:-108.5pt;width:595.65pt;height:870.15pt;z-index:-251656704;mso-wrap-edited:f;mso-width-percent:0;mso-height-percent:0;mso-position-horizontal-relative:margin;mso-position-vertical-relative:margin;mso-width-percent:0;mso-height-percent:0" o:allowincell="f">
          <v:imagedata r:id="rId1" o:title="MS word cover1"/>
          <w10:wrap anchorx="margin" anchory="margin"/>
        </v:shape>
      </w:pict>
    </w:r>
    <w:r>
      <w:pict w14:anchorId="10707629">
        <v:shape id="WordPictureWatermark1034832" o:spid="_x0000_s2049" type="#_x0000_t75" alt="report watermark" style="position:absolute;left:0;text-align:left;margin-left:-70.9pt;margin-top:-109.05pt;width:595.1pt;height:869.4pt;z-index:-251659776;mso-wrap-edited:f;mso-width-percent:0;mso-height-percent:0;mso-position-horizontal-relative:margin;mso-position-vertical-relative:margin;mso-width-percent:0;mso-height-percent:0" o:allowincell="f">
          <v:imagedata r:id="rId2" o:title="report watermark"/>
          <w10:wrap anchorx="margin" anchory="margin"/>
        </v:shape>
      </w:pict>
    </w:r>
  </w:p>
  <w:p w14:paraId="55D00A36" w14:textId="77777777" w:rsidR="004761BE" w:rsidRDefault="004761BE" w:rsidP="006E0674">
    <w:pPr>
      <w:pStyle w:val="Header"/>
    </w:pPr>
  </w:p>
  <w:p w14:paraId="2924A73D" w14:textId="77777777" w:rsidR="004761BE" w:rsidRDefault="004761BE" w:rsidP="006E06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6A77" w14:textId="77777777" w:rsidR="004761BE" w:rsidRPr="000465F1" w:rsidRDefault="004761BE" w:rsidP="006A5178">
    <w:pPr>
      <w:pStyle w:val="Header"/>
      <w:spacing w:after="0"/>
      <w:jc w:val="right"/>
    </w:pPr>
    <w:r w:rsidRPr="000465F1">
      <w:t>Australian Human Rights Commission</w:t>
    </w:r>
  </w:p>
  <w:p w14:paraId="5D174B5E" w14:textId="4EF33D0D" w:rsidR="004761BE" w:rsidRDefault="004761BE" w:rsidP="001126DC">
    <w:pPr>
      <w:pStyle w:val="HeaderDocumentDate"/>
    </w:pPr>
    <w:r>
      <w:rPr>
        <w:rStyle w:val="HeaderDocumentTitle"/>
      </w:rPr>
      <w:t>INSLM review of citizenship loss provisions</w:t>
    </w:r>
    <w:r w:rsidRPr="001F62CC">
      <w:rPr>
        <w:rStyle w:val="HeaderDocumentTitle"/>
      </w:rPr>
      <w:t>,</w:t>
    </w:r>
    <w:r>
      <w:t xml:space="preserve"> 14 June 2019</w:t>
    </w:r>
  </w:p>
  <w:p w14:paraId="61B34F5B" w14:textId="77777777" w:rsidR="004761BE" w:rsidRPr="000465F1" w:rsidRDefault="004761BE" w:rsidP="001126DC">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EB48" w14:textId="13012771" w:rsidR="004761BE" w:rsidRPr="000465F1" w:rsidRDefault="004761BE" w:rsidP="006A5178">
    <w:pPr>
      <w:pStyle w:val="Header"/>
      <w:spacing w:after="0"/>
      <w:jc w:val="right"/>
    </w:pPr>
    <w:bookmarkStart w:id="104" w:name="_Hlk514672172"/>
    <w:bookmarkStart w:id="105" w:name="_Hlk514672173"/>
    <w:r w:rsidRPr="000465F1">
      <w:t>Australian Human Rights Commission</w:t>
    </w:r>
  </w:p>
  <w:bookmarkEnd w:id="104"/>
  <w:bookmarkEnd w:id="105"/>
  <w:p w14:paraId="62B12623" w14:textId="7322EB1E" w:rsidR="004761BE" w:rsidRDefault="004761BE" w:rsidP="00AB4473">
    <w:pPr>
      <w:pStyle w:val="HeaderDocumentDate"/>
    </w:pPr>
    <w:r>
      <w:rPr>
        <w:rStyle w:val="HeaderDocumentTitle"/>
      </w:rPr>
      <w:t>INSLM review of citizenship loss provisions</w:t>
    </w:r>
    <w:r w:rsidRPr="001F62CC">
      <w:rPr>
        <w:rStyle w:val="HeaderDocumentTitle"/>
      </w:rPr>
      <w:t>,</w:t>
    </w:r>
    <w:r>
      <w:t xml:space="preserve"> 14 June 2019</w:t>
    </w:r>
  </w:p>
  <w:p w14:paraId="4110E5A8" w14:textId="77777777" w:rsidR="004761BE" w:rsidRPr="000465F1" w:rsidRDefault="004761BE" w:rsidP="00AB4473">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9EA42" w14:textId="20286F1C" w:rsidR="004761BE" w:rsidRPr="000465F1" w:rsidRDefault="004761BE" w:rsidP="006A5178">
    <w:pPr>
      <w:pStyle w:val="Header"/>
      <w:spacing w:after="0"/>
      <w:jc w:val="right"/>
    </w:pPr>
    <w:r w:rsidRPr="000465F1">
      <w:t>Australian Human Rights Commission</w:t>
    </w:r>
  </w:p>
  <w:p w14:paraId="67BCCDFA" w14:textId="59A42140" w:rsidR="004761BE" w:rsidRPr="000465F1" w:rsidRDefault="004761BE" w:rsidP="0063009F">
    <w:pPr>
      <w:pStyle w:val="HeaderDocumentDate"/>
    </w:pPr>
    <w:r>
      <w:rPr>
        <w:rStyle w:val="HeaderDocumentTitle"/>
      </w:rPr>
      <w:t>INSLM review of citizenship loss provisions</w:t>
    </w:r>
    <w:r w:rsidRPr="001F62CC">
      <w:rPr>
        <w:rStyle w:val="HeaderDocumentTitle"/>
      </w:rPr>
      <w:t>,</w:t>
    </w:r>
    <w:r>
      <w:t xml:space="preserve"> 14 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8EAC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008658F"/>
    <w:multiLevelType w:val="hybridMultilevel"/>
    <w:tmpl w:val="C2140BEC"/>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0D2F7E1C"/>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E0D0E9D"/>
    <w:multiLevelType w:val="hybridMultilevel"/>
    <w:tmpl w:val="C2140BEC"/>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212C4DE2"/>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2542395"/>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F51A8C"/>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481063"/>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93396D"/>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627BC1"/>
    <w:multiLevelType w:val="hybridMultilevel"/>
    <w:tmpl w:val="BE425DE4"/>
    <w:lvl w:ilvl="0" w:tplc="2E4C80B8">
      <w:start w:val="1"/>
      <w:numFmt w:val="decimal"/>
      <w:pStyle w:val="Subnumbered"/>
      <w:lvlText w:val="%1."/>
      <w:lvlJc w:val="left"/>
      <w:pPr>
        <w:ind w:left="360" w:hanging="360"/>
      </w:pPr>
      <w:rPr>
        <w:rFonts w:hint="default"/>
        <w:color w:val="auto"/>
      </w:rPr>
    </w:lvl>
    <w:lvl w:ilvl="1" w:tplc="0C090019">
      <w:start w:val="1"/>
      <w:numFmt w:val="lowerLetter"/>
      <w:lvlText w:val="%2."/>
      <w:lvlJc w:val="left"/>
      <w:pPr>
        <w:ind w:left="-4307" w:hanging="360"/>
      </w:pPr>
    </w:lvl>
    <w:lvl w:ilvl="2" w:tplc="0C090019">
      <w:start w:val="1"/>
      <w:numFmt w:val="lowerLetter"/>
      <w:lvlText w:val="%3."/>
      <w:lvlJc w:val="left"/>
      <w:pPr>
        <w:ind w:left="-3587" w:hanging="180"/>
      </w:pPr>
    </w:lvl>
    <w:lvl w:ilvl="3" w:tplc="0C09001B">
      <w:start w:val="1"/>
      <w:numFmt w:val="lowerRoman"/>
      <w:lvlText w:val="%4."/>
      <w:lvlJc w:val="right"/>
      <w:pPr>
        <w:ind w:left="-2867" w:hanging="360"/>
      </w:pPr>
    </w:lvl>
    <w:lvl w:ilvl="4" w:tplc="0C09001B">
      <w:start w:val="1"/>
      <w:numFmt w:val="lowerRoman"/>
      <w:lvlText w:val="%5."/>
      <w:lvlJc w:val="right"/>
      <w:pPr>
        <w:ind w:left="-2147" w:hanging="360"/>
      </w:pPr>
    </w:lvl>
    <w:lvl w:ilvl="5" w:tplc="0C09001B" w:tentative="1">
      <w:start w:val="1"/>
      <w:numFmt w:val="lowerRoman"/>
      <w:lvlText w:val="%6."/>
      <w:lvlJc w:val="right"/>
      <w:pPr>
        <w:ind w:left="-1427" w:hanging="180"/>
      </w:pPr>
    </w:lvl>
    <w:lvl w:ilvl="6" w:tplc="0C09000F" w:tentative="1">
      <w:start w:val="1"/>
      <w:numFmt w:val="decimal"/>
      <w:lvlText w:val="%7."/>
      <w:lvlJc w:val="left"/>
      <w:pPr>
        <w:ind w:left="-707" w:hanging="360"/>
      </w:pPr>
    </w:lvl>
    <w:lvl w:ilvl="7" w:tplc="0C090019" w:tentative="1">
      <w:start w:val="1"/>
      <w:numFmt w:val="lowerLetter"/>
      <w:lvlText w:val="%8."/>
      <w:lvlJc w:val="left"/>
      <w:pPr>
        <w:ind w:left="13" w:hanging="360"/>
      </w:pPr>
    </w:lvl>
    <w:lvl w:ilvl="8" w:tplc="0C09001B" w:tentative="1">
      <w:start w:val="1"/>
      <w:numFmt w:val="lowerRoman"/>
      <w:lvlText w:val="%9."/>
      <w:lvlJc w:val="right"/>
      <w:pPr>
        <w:ind w:left="733" w:hanging="180"/>
      </w:pPr>
    </w:lvl>
  </w:abstractNum>
  <w:abstractNum w:abstractNumId="21" w15:restartNumberingAfterBreak="0">
    <w:nsid w:val="38444DC4"/>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E77D36"/>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4DB3579"/>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3F4CD3"/>
    <w:multiLevelType w:val="hybridMultilevel"/>
    <w:tmpl w:val="C2140BEC"/>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6" w15:restartNumberingAfterBreak="0">
    <w:nsid w:val="4643372D"/>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15:restartNumberingAfterBreak="0">
    <w:nsid w:val="4B7D4989"/>
    <w:multiLevelType w:val="hybridMultilevel"/>
    <w:tmpl w:val="334A1DFC"/>
    <w:lvl w:ilvl="0" w:tplc="3F0E750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38A2C13"/>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6308CC"/>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8264BF"/>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C06D73"/>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3B5284"/>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9D3B41"/>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D405B5"/>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B66F1C"/>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6643F2"/>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3C77EE"/>
    <w:multiLevelType w:val="hybridMultilevel"/>
    <w:tmpl w:val="844E41FE"/>
    <w:lvl w:ilvl="0" w:tplc="0C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A07A46"/>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DC516B"/>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8C2EF9"/>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A77744"/>
    <w:multiLevelType w:val="hybridMultilevel"/>
    <w:tmpl w:val="119A8D42"/>
    <w:lvl w:ilvl="0" w:tplc="0C090019">
      <w:start w:val="1"/>
      <w:numFmt w:val="lowerLetter"/>
      <w:lvlText w:val="%1."/>
      <w:lvlJc w:val="left"/>
      <w:pPr>
        <w:ind w:left="1440" w:hanging="360"/>
      </w:pPr>
      <w:rPr>
        <w:rFonts w:hint="default"/>
      </w:rPr>
    </w:lvl>
    <w:lvl w:ilvl="1" w:tplc="0C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1"/>
  </w:num>
  <w:num w:numId="8">
    <w:abstractNumId w:val="0"/>
  </w:num>
  <w:num w:numId="9">
    <w:abstractNumId w:val="3"/>
  </w:num>
  <w:num w:numId="10">
    <w:abstractNumId w:val="2"/>
  </w:num>
  <w:num w:numId="11">
    <w:abstractNumId w:val="29"/>
  </w:num>
  <w:num w:numId="12">
    <w:abstractNumId w:val="23"/>
  </w:num>
  <w:num w:numId="13">
    <w:abstractNumId w:val="15"/>
  </w:num>
  <w:num w:numId="14">
    <w:abstractNumId w:val="12"/>
  </w:num>
  <w:num w:numId="15">
    <w:abstractNumId w:val="20"/>
  </w:num>
  <w:num w:numId="16">
    <w:abstractNumId w:val="39"/>
  </w:num>
  <w:num w:numId="17">
    <w:abstractNumId w:val="11"/>
  </w:num>
  <w:num w:numId="18">
    <w:abstractNumId w:val="43"/>
  </w:num>
  <w:num w:numId="19">
    <w:abstractNumId w:val="18"/>
  </w:num>
  <w:num w:numId="20">
    <w:abstractNumId w:val="24"/>
  </w:num>
  <w:num w:numId="21">
    <w:abstractNumId w:val="34"/>
  </w:num>
  <w:num w:numId="22">
    <w:abstractNumId w:val="32"/>
  </w:num>
  <w:num w:numId="23">
    <w:abstractNumId w:val="17"/>
  </w:num>
  <w:num w:numId="24">
    <w:abstractNumId w:val="37"/>
  </w:num>
  <w:num w:numId="25">
    <w:abstractNumId w:val="30"/>
  </w:num>
  <w:num w:numId="26">
    <w:abstractNumId w:val="36"/>
  </w:num>
  <w:num w:numId="27">
    <w:abstractNumId w:val="16"/>
  </w:num>
  <w:num w:numId="28">
    <w:abstractNumId w:val="26"/>
  </w:num>
  <w:num w:numId="29">
    <w:abstractNumId w:val="35"/>
  </w:num>
  <w:num w:numId="30">
    <w:abstractNumId w:val="33"/>
  </w:num>
  <w:num w:numId="31">
    <w:abstractNumId w:val="41"/>
  </w:num>
  <w:num w:numId="32">
    <w:abstractNumId w:val="22"/>
  </w:num>
  <w:num w:numId="33">
    <w:abstractNumId w:val="38"/>
  </w:num>
  <w:num w:numId="34">
    <w:abstractNumId w:val="31"/>
  </w:num>
  <w:num w:numId="35">
    <w:abstractNumId w:val="8"/>
  </w:num>
  <w:num w:numId="36">
    <w:abstractNumId w:val="19"/>
  </w:num>
  <w:num w:numId="37">
    <w:abstractNumId w:val="13"/>
  </w:num>
  <w:num w:numId="38">
    <w:abstractNumId w:val="28"/>
  </w:num>
  <w:num w:numId="39">
    <w:abstractNumId w:val="14"/>
  </w:num>
  <w:num w:numId="40">
    <w:abstractNumId w:val="25"/>
  </w:num>
  <w:num w:numId="41">
    <w:abstractNumId w:val="40"/>
  </w:num>
  <w:num w:numId="42">
    <w:abstractNumId w:val="10"/>
  </w:num>
  <w:num w:numId="43">
    <w:abstractNumId w:val="27"/>
  </w:num>
  <w:num w:numId="44">
    <w:abstractNumId w:val="20"/>
  </w:num>
  <w:num w:numId="45">
    <w:abstractNumId w:val="21"/>
  </w:num>
  <w:num w:numId="46">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73"/>
    <w:rsid w:val="000015EC"/>
    <w:rsid w:val="00003EA5"/>
    <w:rsid w:val="00004BFC"/>
    <w:rsid w:val="0000789B"/>
    <w:rsid w:val="00013E7C"/>
    <w:rsid w:val="00014BBF"/>
    <w:rsid w:val="00014C5B"/>
    <w:rsid w:val="000161C2"/>
    <w:rsid w:val="00017067"/>
    <w:rsid w:val="00021E99"/>
    <w:rsid w:val="00022203"/>
    <w:rsid w:val="0002229E"/>
    <w:rsid w:val="0002273D"/>
    <w:rsid w:val="0002439F"/>
    <w:rsid w:val="0002476A"/>
    <w:rsid w:val="00026A2F"/>
    <w:rsid w:val="000275C1"/>
    <w:rsid w:val="000278DD"/>
    <w:rsid w:val="000314A4"/>
    <w:rsid w:val="00032709"/>
    <w:rsid w:val="00035413"/>
    <w:rsid w:val="00036BE4"/>
    <w:rsid w:val="0004167B"/>
    <w:rsid w:val="000430B8"/>
    <w:rsid w:val="00045000"/>
    <w:rsid w:val="00045712"/>
    <w:rsid w:val="00045C4B"/>
    <w:rsid w:val="000463C0"/>
    <w:rsid w:val="000465F1"/>
    <w:rsid w:val="000479E1"/>
    <w:rsid w:val="0005037A"/>
    <w:rsid w:val="000513BB"/>
    <w:rsid w:val="00051439"/>
    <w:rsid w:val="00051C07"/>
    <w:rsid w:val="00053DC2"/>
    <w:rsid w:val="000579B1"/>
    <w:rsid w:val="00061C6C"/>
    <w:rsid w:val="00062EC1"/>
    <w:rsid w:val="00067220"/>
    <w:rsid w:val="00070B70"/>
    <w:rsid w:val="00071CB6"/>
    <w:rsid w:val="00072EDA"/>
    <w:rsid w:val="000743DE"/>
    <w:rsid w:val="0007444D"/>
    <w:rsid w:val="00074B47"/>
    <w:rsid w:val="00074F88"/>
    <w:rsid w:val="0008058B"/>
    <w:rsid w:val="00085E44"/>
    <w:rsid w:val="00087619"/>
    <w:rsid w:val="000909AC"/>
    <w:rsid w:val="0009311C"/>
    <w:rsid w:val="00095ECA"/>
    <w:rsid w:val="00097FED"/>
    <w:rsid w:val="000A191E"/>
    <w:rsid w:val="000A1DB8"/>
    <w:rsid w:val="000A24B7"/>
    <w:rsid w:val="000A42E5"/>
    <w:rsid w:val="000A48AC"/>
    <w:rsid w:val="000A4E54"/>
    <w:rsid w:val="000A520E"/>
    <w:rsid w:val="000A5AE1"/>
    <w:rsid w:val="000A5B2A"/>
    <w:rsid w:val="000A629E"/>
    <w:rsid w:val="000A77E7"/>
    <w:rsid w:val="000A784E"/>
    <w:rsid w:val="000B0603"/>
    <w:rsid w:val="000B0A5D"/>
    <w:rsid w:val="000B34E7"/>
    <w:rsid w:val="000B5B68"/>
    <w:rsid w:val="000B5E0A"/>
    <w:rsid w:val="000B619B"/>
    <w:rsid w:val="000B690D"/>
    <w:rsid w:val="000C1D71"/>
    <w:rsid w:val="000C3E9F"/>
    <w:rsid w:val="000C4DE3"/>
    <w:rsid w:val="000C53FA"/>
    <w:rsid w:val="000C5608"/>
    <w:rsid w:val="000C5DA6"/>
    <w:rsid w:val="000D05C8"/>
    <w:rsid w:val="000D0C69"/>
    <w:rsid w:val="000D2E78"/>
    <w:rsid w:val="000D2FE3"/>
    <w:rsid w:val="000D763B"/>
    <w:rsid w:val="000D7F57"/>
    <w:rsid w:val="000E130A"/>
    <w:rsid w:val="000E3075"/>
    <w:rsid w:val="000E5D23"/>
    <w:rsid w:val="000E7FA2"/>
    <w:rsid w:val="000F0981"/>
    <w:rsid w:val="000F268D"/>
    <w:rsid w:val="000F37D6"/>
    <w:rsid w:val="000F6564"/>
    <w:rsid w:val="001056F2"/>
    <w:rsid w:val="00110E1F"/>
    <w:rsid w:val="001126DC"/>
    <w:rsid w:val="00113D61"/>
    <w:rsid w:val="00114ACE"/>
    <w:rsid w:val="00120F87"/>
    <w:rsid w:val="00121422"/>
    <w:rsid w:val="00121F3E"/>
    <w:rsid w:val="001324AF"/>
    <w:rsid w:val="001341ED"/>
    <w:rsid w:val="00134522"/>
    <w:rsid w:val="00134774"/>
    <w:rsid w:val="0014013B"/>
    <w:rsid w:val="00140274"/>
    <w:rsid w:val="001443E5"/>
    <w:rsid w:val="001446E2"/>
    <w:rsid w:val="00144A6D"/>
    <w:rsid w:val="00144DAE"/>
    <w:rsid w:val="00151263"/>
    <w:rsid w:val="0015239E"/>
    <w:rsid w:val="00154A72"/>
    <w:rsid w:val="00156BE2"/>
    <w:rsid w:val="00157352"/>
    <w:rsid w:val="00161795"/>
    <w:rsid w:val="00162206"/>
    <w:rsid w:val="0016266F"/>
    <w:rsid w:val="00162A8D"/>
    <w:rsid w:val="00164CA2"/>
    <w:rsid w:val="001654C0"/>
    <w:rsid w:val="00165E3C"/>
    <w:rsid w:val="00170DD7"/>
    <w:rsid w:val="0017217C"/>
    <w:rsid w:val="00173FB5"/>
    <w:rsid w:val="00174ACF"/>
    <w:rsid w:val="00174D9A"/>
    <w:rsid w:val="00176013"/>
    <w:rsid w:val="00181E41"/>
    <w:rsid w:val="001821E1"/>
    <w:rsid w:val="001824E8"/>
    <w:rsid w:val="00183442"/>
    <w:rsid w:val="00195EDE"/>
    <w:rsid w:val="0019767B"/>
    <w:rsid w:val="001A1318"/>
    <w:rsid w:val="001A596C"/>
    <w:rsid w:val="001A6503"/>
    <w:rsid w:val="001A7902"/>
    <w:rsid w:val="001B0174"/>
    <w:rsid w:val="001B0353"/>
    <w:rsid w:val="001B0AB4"/>
    <w:rsid w:val="001B0D02"/>
    <w:rsid w:val="001B3AA2"/>
    <w:rsid w:val="001B43AF"/>
    <w:rsid w:val="001B4B95"/>
    <w:rsid w:val="001B52D5"/>
    <w:rsid w:val="001C0243"/>
    <w:rsid w:val="001C1F8B"/>
    <w:rsid w:val="001C525E"/>
    <w:rsid w:val="001C58E0"/>
    <w:rsid w:val="001D1F1D"/>
    <w:rsid w:val="001D4049"/>
    <w:rsid w:val="001D428D"/>
    <w:rsid w:val="001D44F3"/>
    <w:rsid w:val="001D55AA"/>
    <w:rsid w:val="001E50CF"/>
    <w:rsid w:val="001E5676"/>
    <w:rsid w:val="001F1EA4"/>
    <w:rsid w:val="001F2BBB"/>
    <w:rsid w:val="001F52FD"/>
    <w:rsid w:val="001F5C3B"/>
    <w:rsid w:val="001F62CC"/>
    <w:rsid w:val="00200677"/>
    <w:rsid w:val="0020097F"/>
    <w:rsid w:val="002012F7"/>
    <w:rsid w:val="002027F6"/>
    <w:rsid w:val="002033C1"/>
    <w:rsid w:val="00203CBE"/>
    <w:rsid w:val="00204CC8"/>
    <w:rsid w:val="002068EB"/>
    <w:rsid w:val="00207D49"/>
    <w:rsid w:val="00212124"/>
    <w:rsid w:val="00214EB2"/>
    <w:rsid w:val="002177DC"/>
    <w:rsid w:val="00217BB9"/>
    <w:rsid w:val="00224C03"/>
    <w:rsid w:val="00225604"/>
    <w:rsid w:val="00230687"/>
    <w:rsid w:val="002309AB"/>
    <w:rsid w:val="00230C5C"/>
    <w:rsid w:val="00231CF6"/>
    <w:rsid w:val="00231ED1"/>
    <w:rsid w:val="0023412B"/>
    <w:rsid w:val="00236A82"/>
    <w:rsid w:val="002372ED"/>
    <w:rsid w:val="00237362"/>
    <w:rsid w:val="00237418"/>
    <w:rsid w:val="00240C8A"/>
    <w:rsid w:val="00241523"/>
    <w:rsid w:val="00242624"/>
    <w:rsid w:val="00242BE8"/>
    <w:rsid w:val="00243FEC"/>
    <w:rsid w:val="0024557E"/>
    <w:rsid w:val="00245750"/>
    <w:rsid w:val="002471FD"/>
    <w:rsid w:val="0025146F"/>
    <w:rsid w:val="00253E3F"/>
    <w:rsid w:val="00257A82"/>
    <w:rsid w:val="00257E8A"/>
    <w:rsid w:val="002601E6"/>
    <w:rsid w:val="002632EA"/>
    <w:rsid w:val="00267286"/>
    <w:rsid w:val="0027268D"/>
    <w:rsid w:val="002726A5"/>
    <w:rsid w:val="002813D3"/>
    <w:rsid w:val="0028261B"/>
    <w:rsid w:val="0028503B"/>
    <w:rsid w:val="0028506A"/>
    <w:rsid w:val="002850B0"/>
    <w:rsid w:val="002863D7"/>
    <w:rsid w:val="002873B4"/>
    <w:rsid w:val="00292AB5"/>
    <w:rsid w:val="00292FCC"/>
    <w:rsid w:val="002A1693"/>
    <w:rsid w:val="002A17BD"/>
    <w:rsid w:val="002A1EE9"/>
    <w:rsid w:val="002A2504"/>
    <w:rsid w:val="002A43C2"/>
    <w:rsid w:val="002B0A38"/>
    <w:rsid w:val="002B1B65"/>
    <w:rsid w:val="002B1E45"/>
    <w:rsid w:val="002B6BD0"/>
    <w:rsid w:val="002B77AD"/>
    <w:rsid w:val="002B77AE"/>
    <w:rsid w:val="002B796E"/>
    <w:rsid w:val="002C02DB"/>
    <w:rsid w:val="002C0B2E"/>
    <w:rsid w:val="002C14F3"/>
    <w:rsid w:val="002C1866"/>
    <w:rsid w:val="002C1C09"/>
    <w:rsid w:val="002C335A"/>
    <w:rsid w:val="002C35C8"/>
    <w:rsid w:val="002C371C"/>
    <w:rsid w:val="002C5FBB"/>
    <w:rsid w:val="002D0576"/>
    <w:rsid w:val="002D167B"/>
    <w:rsid w:val="002D3273"/>
    <w:rsid w:val="002D78C0"/>
    <w:rsid w:val="002E2FCB"/>
    <w:rsid w:val="002E34A7"/>
    <w:rsid w:val="002E5725"/>
    <w:rsid w:val="002E5A1B"/>
    <w:rsid w:val="002E6925"/>
    <w:rsid w:val="002E6AE0"/>
    <w:rsid w:val="002E73C2"/>
    <w:rsid w:val="002F09D6"/>
    <w:rsid w:val="002F137C"/>
    <w:rsid w:val="002F42DE"/>
    <w:rsid w:val="002F4CE1"/>
    <w:rsid w:val="002F5623"/>
    <w:rsid w:val="002F5E96"/>
    <w:rsid w:val="002F60BA"/>
    <w:rsid w:val="002F6188"/>
    <w:rsid w:val="0030053D"/>
    <w:rsid w:val="00300F22"/>
    <w:rsid w:val="003020C7"/>
    <w:rsid w:val="0030358F"/>
    <w:rsid w:val="003037A6"/>
    <w:rsid w:val="00304A37"/>
    <w:rsid w:val="00306CCD"/>
    <w:rsid w:val="0031040E"/>
    <w:rsid w:val="0031093F"/>
    <w:rsid w:val="00310D03"/>
    <w:rsid w:val="00310ED4"/>
    <w:rsid w:val="003119D0"/>
    <w:rsid w:val="003119FE"/>
    <w:rsid w:val="003122AF"/>
    <w:rsid w:val="00312301"/>
    <w:rsid w:val="00313BBC"/>
    <w:rsid w:val="0031492A"/>
    <w:rsid w:val="00316C1A"/>
    <w:rsid w:val="00316FEA"/>
    <w:rsid w:val="00323C73"/>
    <w:rsid w:val="00325E42"/>
    <w:rsid w:val="00326048"/>
    <w:rsid w:val="003270B0"/>
    <w:rsid w:val="00327BEF"/>
    <w:rsid w:val="00330DCC"/>
    <w:rsid w:val="00331141"/>
    <w:rsid w:val="00331C1E"/>
    <w:rsid w:val="00333E1B"/>
    <w:rsid w:val="00335782"/>
    <w:rsid w:val="003372E5"/>
    <w:rsid w:val="003400B3"/>
    <w:rsid w:val="00340566"/>
    <w:rsid w:val="003422C2"/>
    <w:rsid w:val="003423F4"/>
    <w:rsid w:val="00344758"/>
    <w:rsid w:val="00345091"/>
    <w:rsid w:val="00347142"/>
    <w:rsid w:val="00350974"/>
    <w:rsid w:val="00350BD7"/>
    <w:rsid w:val="00350D1B"/>
    <w:rsid w:val="00351BE3"/>
    <w:rsid w:val="003548F2"/>
    <w:rsid w:val="00355276"/>
    <w:rsid w:val="003565A8"/>
    <w:rsid w:val="003566EA"/>
    <w:rsid w:val="00357121"/>
    <w:rsid w:val="00357C07"/>
    <w:rsid w:val="00360639"/>
    <w:rsid w:val="003618C8"/>
    <w:rsid w:val="00365BE4"/>
    <w:rsid w:val="0036726B"/>
    <w:rsid w:val="00367308"/>
    <w:rsid w:val="00367CE6"/>
    <w:rsid w:val="00372C79"/>
    <w:rsid w:val="00375ADC"/>
    <w:rsid w:val="00375D9E"/>
    <w:rsid w:val="003772DB"/>
    <w:rsid w:val="00380387"/>
    <w:rsid w:val="00381F78"/>
    <w:rsid w:val="00382CBB"/>
    <w:rsid w:val="00383A7B"/>
    <w:rsid w:val="003850D4"/>
    <w:rsid w:val="00386648"/>
    <w:rsid w:val="00386690"/>
    <w:rsid w:val="00387080"/>
    <w:rsid w:val="003909D1"/>
    <w:rsid w:val="00391384"/>
    <w:rsid w:val="00391CB0"/>
    <w:rsid w:val="00391D46"/>
    <w:rsid w:val="00392793"/>
    <w:rsid w:val="00394315"/>
    <w:rsid w:val="00395BEF"/>
    <w:rsid w:val="00395F2A"/>
    <w:rsid w:val="003968CF"/>
    <w:rsid w:val="003A03F5"/>
    <w:rsid w:val="003A0B64"/>
    <w:rsid w:val="003A168E"/>
    <w:rsid w:val="003A228B"/>
    <w:rsid w:val="003A48B7"/>
    <w:rsid w:val="003A7CD5"/>
    <w:rsid w:val="003B0E28"/>
    <w:rsid w:val="003B5368"/>
    <w:rsid w:val="003B5969"/>
    <w:rsid w:val="003B5ED4"/>
    <w:rsid w:val="003B61DB"/>
    <w:rsid w:val="003B7CE4"/>
    <w:rsid w:val="003C6247"/>
    <w:rsid w:val="003D1C3A"/>
    <w:rsid w:val="003D59CC"/>
    <w:rsid w:val="003D5F84"/>
    <w:rsid w:val="003D69FC"/>
    <w:rsid w:val="003D7D8D"/>
    <w:rsid w:val="003E0703"/>
    <w:rsid w:val="003E1E5B"/>
    <w:rsid w:val="003E2216"/>
    <w:rsid w:val="003E2C90"/>
    <w:rsid w:val="003E573D"/>
    <w:rsid w:val="003E5DEF"/>
    <w:rsid w:val="003E61EC"/>
    <w:rsid w:val="003F4CF6"/>
    <w:rsid w:val="003F4DE3"/>
    <w:rsid w:val="003F53C4"/>
    <w:rsid w:val="003F58B7"/>
    <w:rsid w:val="00400015"/>
    <w:rsid w:val="0040046C"/>
    <w:rsid w:val="00402188"/>
    <w:rsid w:val="0040497E"/>
    <w:rsid w:val="00404B4A"/>
    <w:rsid w:val="00405414"/>
    <w:rsid w:val="004075AD"/>
    <w:rsid w:val="004079DA"/>
    <w:rsid w:val="0041106F"/>
    <w:rsid w:val="00414443"/>
    <w:rsid w:val="00417904"/>
    <w:rsid w:val="00417DEB"/>
    <w:rsid w:val="00422417"/>
    <w:rsid w:val="004236FA"/>
    <w:rsid w:val="00424233"/>
    <w:rsid w:val="00424C4E"/>
    <w:rsid w:val="0042523F"/>
    <w:rsid w:val="0042700C"/>
    <w:rsid w:val="0042792F"/>
    <w:rsid w:val="00427ABF"/>
    <w:rsid w:val="00431143"/>
    <w:rsid w:val="00432C93"/>
    <w:rsid w:val="00434EBC"/>
    <w:rsid w:val="00435F02"/>
    <w:rsid w:val="004404CF"/>
    <w:rsid w:val="004424B0"/>
    <w:rsid w:val="00442CC8"/>
    <w:rsid w:val="004437DD"/>
    <w:rsid w:val="00445841"/>
    <w:rsid w:val="00445CB5"/>
    <w:rsid w:val="00446D0B"/>
    <w:rsid w:val="00447593"/>
    <w:rsid w:val="00447BF1"/>
    <w:rsid w:val="00447EC7"/>
    <w:rsid w:val="004501CD"/>
    <w:rsid w:val="004507E5"/>
    <w:rsid w:val="00451A64"/>
    <w:rsid w:val="00453787"/>
    <w:rsid w:val="00453E01"/>
    <w:rsid w:val="00456208"/>
    <w:rsid w:val="004608BA"/>
    <w:rsid w:val="00460ACF"/>
    <w:rsid w:val="00460EE0"/>
    <w:rsid w:val="00462544"/>
    <w:rsid w:val="00463141"/>
    <w:rsid w:val="00464333"/>
    <w:rsid w:val="00464395"/>
    <w:rsid w:val="0046478B"/>
    <w:rsid w:val="00464AC7"/>
    <w:rsid w:val="00466913"/>
    <w:rsid w:val="004712FB"/>
    <w:rsid w:val="00471BB7"/>
    <w:rsid w:val="00471E86"/>
    <w:rsid w:val="00472EFF"/>
    <w:rsid w:val="00474063"/>
    <w:rsid w:val="00474651"/>
    <w:rsid w:val="004761BE"/>
    <w:rsid w:val="00476793"/>
    <w:rsid w:val="00477755"/>
    <w:rsid w:val="00477818"/>
    <w:rsid w:val="004802BE"/>
    <w:rsid w:val="00480312"/>
    <w:rsid w:val="00481B2A"/>
    <w:rsid w:val="00482091"/>
    <w:rsid w:val="00482220"/>
    <w:rsid w:val="00483057"/>
    <w:rsid w:val="00484354"/>
    <w:rsid w:val="004849AD"/>
    <w:rsid w:val="00492CFE"/>
    <w:rsid w:val="00493DEC"/>
    <w:rsid w:val="004941E1"/>
    <w:rsid w:val="00496A5A"/>
    <w:rsid w:val="004A187B"/>
    <w:rsid w:val="004A1D5C"/>
    <w:rsid w:val="004A2D3C"/>
    <w:rsid w:val="004A669F"/>
    <w:rsid w:val="004A6E32"/>
    <w:rsid w:val="004A7305"/>
    <w:rsid w:val="004B1C8B"/>
    <w:rsid w:val="004B39DF"/>
    <w:rsid w:val="004B623C"/>
    <w:rsid w:val="004B6FDA"/>
    <w:rsid w:val="004B7559"/>
    <w:rsid w:val="004C0399"/>
    <w:rsid w:val="004C070A"/>
    <w:rsid w:val="004C0B84"/>
    <w:rsid w:val="004C1797"/>
    <w:rsid w:val="004C35FE"/>
    <w:rsid w:val="004C5214"/>
    <w:rsid w:val="004C7412"/>
    <w:rsid w:val="004D04BF"/>
    <w:rsid w:val="004D11C6"/>
    <w:rsid w:val="004D151D"/>
    <w:rsid w:val="004D1BE2"/>
    <w:rsid w:val="004D33C6"/>
    <w:rsid w:val="004D60CE"/>
    <w:rsid w:val="004E0DFF"/>
    <w:rsid w:val="004E1125"/>
    <w:rsid w:val="004E1ACF"/>
    <w:rsid w:val="004E2B90"/>
    <w:rsid w:val="004E6048"/>
    <w:rsid w:val="004E68E9"/>
    <w:rsid w:val="004E6D14"/>
    <w:rsid w:val="004F0279"/>
    <w:rsid w:val="004F0825"/>
    <w:rsid w:val="004F1C7C"/>
    <w:rsid w:val="004F3F20"/>
    <w:rsid w:val="004F4956"/>
    <w:rsid w:val="00505D9F"/>
    <w:rsid w:val="00506565"/>
    <w:rsid w:val="00510390"/>
    <w:rsid w:val="0051098E"/>
    <w:rsid w:val="005123F0"/>
    <w:rsid w:val="00513540"/>
    <w:rsid w:val="00513941"/>
    <w:rsid w:val="0051415D"/>
    <w:rsid w:val="00514617"/>
    <w:rsid w:val="00515E40"/>
    <w:rsid w:val="00520E3E"/>
    <w:rsid w:val="0052158C"/>
    <w:rsid w:val="00525AF2"/>
    <w:rsid w:val="00526E6C"/>
    <w:rsid w:val="005278A4"/>
    <w:rsid w:val="0053051D"/>
    <w:rsid w:val="00534EE9"/>
    <w:rsid w:val="00540949"/>
    <w:rsid w:val="00544019"/>
    <w:rsid w:val="00546310"/>
    <w:rsid w:val="0054711F"/>
    <w:rsid w:val="00552731"/>
    <w:rsid w:val="00556442"/>
    <w:rsid w:val="00563711"/>
    <w:rsid w:val="005638C9"/>
    <w:rsid w:val="00564208"/>
    <w:rsid w:val="00570171"/>
    <w:rsid w:val="005704D3"/>
    <w:rsid w:val="0057077C"/>
    <w:rsid w:val="00571977"/>
    <w:rsid w:val="00571CEB"/>
    <w:rsid w:val="00571D03"/>
    <w:rsid w:val="005720EC"/>
    <w:rsid w:val="00573DA9"/>
    <w:rsid w:val="00574887"/>
    <w:rsid w:val="00581628"/>
    <w:rsid w:val="005848C7"/>
    <w:rsid w:val="005863D7"/>
    <w:rsid w:val="00590CD7"/>
    <w:rsid w:val="00591951"/>
    <w:rsid w:val="0059358D"/>
    <w:rsid w:val="005972E3"/>
    <w:rsid w:val="005A0964"/>
    <w:rsid w:val="005A1851"/>
    <w:rsid w:val="005A1AE5"/>
    <w:rsid w:val="005A34E2"/>
    <w:rsid w:val="005B00F2"/>
    <w:rsid w:val="005B36F6"/>
    <w:rsid w:val="005B470A"/>
    <w:rsid w:val="005B713E"/>
    <w:rsid w:val="005B7DCB"/>
    <w:rsid w:val="005C0DB1"/>
    <w:rsid w:val="005C2ECF"/>
    <w:rsid w:val="005C3C9D"/>
    <w:rsid w:val="005C4511"/>
    <w:rsid w:val="005C5D41"/>
    <w:rsid w:val="005C6EBB"/>
    <w:rsid w:val="005D1F34"/>
    <w:rsid w:val="005D383D"/>
    <w:rsid w:val="005D3E98"/>
    <w:rsid w:val="005E093D"/>
    <w:rsid w:val="005E14F8"/>
    <w:rsid w:val="005E1FD0"/>
    <w:rsid w:val="005E21DF"/>
    <w:rsid w:val="005E266D"/>
    <w:rsid w:val="005E3E30"/>
    <w:rsid w:val="005E5944"/>
    <w:rsid w:val="005E6FDF"/>
    <w:rsid w:val="005F2057"/>
    <w:rsid w:val="005F2139"/>
    <w:rsid w:val="005F29A9"/>
    <w:rsid w:val="005F76F8"/>
    <w:rsid w:val="006006E9"/>
    <w:rsid w:val="00601A12"/>
    <w:rsid w:val="00605A4C"/>
    <w:rsid w:val="00607761"/>
    <w:rsid w:val="006079E0"/>
    <w:rsid w:val="00611900"/>
    <w:rsid w:val="00613401"/>
    <w:rsid w:val="0061387E"/>
    <w:rsid w:val="00614288"/>
    <w:rsid w:val="00615B31"/>
    <w:rsid w:val="00615C84"/>
    <w:rsid w:val="00616F88"/>
    <w:rsid w:val="00617F30"/>
    <w:rsid w:val="00622508"/>
    <w:rsid w:val="00623CA7"/>
    <w:rsid w:val="0062742D"/>
    <w:rsid w:val="0063006E"/>
    <w:rsid w:val="0063009F"/>
    <w:rsid w:val="00630335"/>
    <w:rsid w:val="00630D3B"/>
    <w:rsid w:val="00631168"/>
    <w:rsid w:val="006340EF"/>
    <w:rsid w:val="006349EC"/>
    <w:rsid w:val="006356C5"/>
    <w:rsid w:val="006362AD"/>
    <w:rsid w:val="006374F9"/>
    <w:rsid w:val="00640FB9"/>
    <w:rsid w:val="00642858"/>
    <w:rsid w:val="006441BC"/>
    <w:rsid w:val="006464BC"/>
    <w:rsid w:val="006479C0"/>
    <w:rsid w:val="00650D82"/>
    <w:rsid w:val="00650E26"/>
    <w:rsid w:val="00650FC1"/>
    <w:rsid w:val="00651F32"/>
    <w:rsid w:val="006528AC"/>
    <w:rsid w:val="006541A4"/>
    <w:rsid w:val="00654793"/>
    <w:rsid w:val="00660BF4"/>
    <w:rsid w:val="0066705A"/>
    <w:rsid w:val="00670D06"/>
    <w:rsid w:val="00672B6C"/>
    <w:rsid w:val="00674E2B"/>
    <w:rsid w:val="00677B86"/>
    <w:rsid w:val="0068014F"/>
    <w:rsid w:val="006805C3"/>
    <w:rsid w:val="00680C9E"/>
    <w:rsid w:val="0068310E"/>
    <w:rsid w:val="00683E42"/>
    <w:rsid w:val="00685C4C"/>
    <w:rsid w:val="0068685A"/>
    <w:rsid w:val="0068771E"/>
    <w:rsid w:val="00691DD6"/>
    <w:rsid w:val="0069421E"/>
    <w:rsid w:val="006950C3"/>
    <w:rsid w:val="006A15E3"/>
    <w:rsid w:val="006A3752"/>
    <w:rsid w:val="006A5178"/>
    <w:rsid w:val="006A5248"/>
    <w:rsid w:val="006A5B28"/>
    <w:rsid w:val="006A6BB3"/>
    <w:rsid w:val="006A7B8C"/>
    <w:rsid w:val="006B0B1A"/>
    <w:rsid w:val="006B107F"/>
    <w:rsid w:val="006B3DE1"/>
    <w:rsid w:val="006C060E"/>
    <w:rsid w:val="006C0642"/>
    <w:rsid w:val="006C0C1B"/>
    <w:rsid w:val="006C308F"/>
    <w:rsid w:val="006C5F2F"/>
    <w:rsid w:val="006C653F"/>
    <w:rsid w:val="006D0407"/>
    <w:rsid w:val="006D0901"/>
    <w:rsid w:val="006D16DB"/>
    <w:rsid w:val="006D40CF"/>
    <w:rsid w:val="006D5EE5"/>
    <w:rsid w:val="006E0674"/>
    <w:rsid w:val="006E4729"/>
    <w:rsid w:val="006E4940"/>
    <w:rsid w:val="006E5ED1"/>
    <w:rsid w:val="006E6C24"/>
    <w:rsid w:val="006E6D3B"/>
    <w:rsid w:val="006E70C4"/>
    <w:rsid w:val="006F1C4B"/>
    <w:rsid w:val="006F4A52"/>
    <w:rsid w:val="006F5248"/>
    <w:rsid w:val="006F587E"/>
    <w:rsid w:val="00706E10"/>
    <w:rsid w:val="00706F6A"/>
    <w:rsid w:val="007126B2"/>
    <w:rsid w:val="0071497B"/>
    <w:rsid w:val="00714FF5"/>
    <w:rsid w:val="00716089"/>
    <w:rsid w:val="00717DEA"/>
    <w:rsid w:val="00720C56"/>
    <w:rsid w:val="00723E13"/>
    <w:rsid w:val="00726D34"/>
    <w:rsid w:val="00727FD3"/>
    <w:rsid w:val="00730BD2"/>
    <w:rsid w:val="007341BC"/>
    <w:rsid w:val="0073491B"/>
    <w:rsid w:val="00735069"/>
    <w:rsid w:val="007357F7"/>
    <w:rsid w:val="007361F9"/>
    <w:rsid w:val="00736BBD"/>
    <w:rsid w:val="007400F0"/>
    <w:rsid w:val="007408B8"/>
    <w:rsid w:val="007412BF"/>
    <w:rsid w:val="00741446"/>
    <w:rsid w:val="00742676"/>
    <w:rsid w:val="00743B26"/>
    <w:rsid w:val="00746FDC"/>
    <w:rsid w:val="007472EC"/>
    <w:rsid w:val="00750831"/>
    <w:rsid w:val="007531B1"/>
    <w:rsid w:val="00753676"/>
    <w:rsid w:val="007540BF"/>
    <w:rsid w:val="00755C97"/>
    <w:rsid w:val="007563E3"/>
    <w:rsid w:val="00756675"/>
    <w:rsid w:val="00760CA1"/>
    <w:rsid w:val="007623EB"/>
    <w:rsid w:val="007637A8"/>
    <w:rsid w:val="007643AD"/>
    <w:rsid w:val="00765B58"/>
    <w:rsid w:val="0076601B"/>
    <w:rsid w:val="007665B4"/>
    <w:rsid w:val="0077075D"/>
    <w:rsid w:val="00770CA6"/>
    <w:rsid w:val="00770DCB"/>
    <w:rsid w:val="007715FE"/>
    <w:rsid w:val="007717E3"/>
    <w:rsid w:val="00771A2B"/>
    <w:rsid w:val="00771FD0"/>
    <w:rsid w:val="007747CD"/>
    <w:rsid w:val="00775485"/>
    <w:rsid w:val="00782A15"/>
    <w:rsid w:val="00783532"/>
    <w:rsid w:val="007846B5"/>
    <w:rsid w:val="007878CF"/>
    <w:rsid w:val="007879CB"/>
    <w:rsid w:val="00787C6F"/>
    <w:rsid w:val="00790370"/>
    <w:rsid w:val="00790C71"/>
    <w:rsid w:val="00791C2B"/>
    <w:rsid w:val="007A0509"/>
    <w:rsid w:val="007A238B"/>
    <w:rsid w:val="007A4979"/>
    <w:rsid w:val="007A4DAD"/>
    <w:rsid w:val="007A4F84"/>
    <w:rsid w:val="007B06EA"/>
    <w:rsid w:val="007B0CBD"/>
    <w:rsid w:val="007B0D9E"/>
    <w:rsid w:val="007B1E39"/>
    <w:rsid w:val="007B3962"/>
    <w:rsid w:val="007B4B1B"/>
    <w:rsid w:val="007B54BF"/>
    <w:rsid w:val="007B7478"/>
    <w:rsid w:val="007C0267"/>
    <w:rsid w:val="007C1440"/>
    <w:rsid w:val="007C2897"/>
    <w:rsid w:val="007C3129"/>
    <w:rsid w:val="007C40DB"/>
    <w:rsid w:val="007C52BF"/>
    <w:rsid w:val="007C53B8"/>
    <w:rsid w:val="007C5866"/>
    <w:rsid w:val="007C5C8F"/>
    <w:rsid w:val="007D1C67"/>
    <w:rsid w:val="007D2F00"/>
    <w:rsid w:val="007D301C"/>
    <w:rsid w:val="007D34D0"/>
    <w:rsid w:val="007D6ED5"/>
    <w:rsid w:val="007D7C08"/>
    <w:rsid w:val="007E2F74"/>
    <w:rsid w:val="007E54D2"/>
    <w:rsid w:val="007E5AF0"/>
    <w:rsid w:val="007E5B88"/>
    <w:rsid w:val="007E5BF1"/>
    <w:rsid w:val="007E6D0B"/>
    <w:rsid w:val="007E7AE8"/>
    <w:rsid w:val="007F0B57"/>
    <w:rsid w:val="007F0D0B"/>
    <w:rsid w:val="007F34CC"/>
    <w:rsid w:val="007F3A61"/>
    <w:rsid w:val="007F5A5C"/>
    <w:rsid w:val="007F6AAA"/>
    <w:rsid w:val="007F7AC1"/>
    <w:rsid w:val="0080053F"/>
    <w:rsid w:val="008007A8"/>
    <w:rsid w:val="0080332F"/>
    <w:rsid w:val="008042D9"/>
    <w:rsid w:val="008054DC"/>
    <w:rsid w:val="00810EF8"/>
    <w:rsid w:val="00811C91"/>
    <w:rsid w:val="00814739"/>
    <w:rsid w:val="00814FC0"/>
    <w:rsid w:val="00817221"/>
    <w:rsid w:val="00817C73"/>
    <w:rsid w:val="008201CA"/>
    <w:rsid w:val="00821B90"/>
    <w:rsid w:val="00821BF7"/>
    <w:rsid w:val="00823005"/>
    <w:rsid w:val="00824F7B"/>
    <w:rsid w:val="00827F7C"/>
    <w:rsid w:val="00840623"/>
    <w:rsid w:val="008415CC"/>
    <w:rsid w:val="0084286B"/>
    <w:rsid w:val="00843873"/>
    <w:rsid w:val="00843B26"/>
    <w:rsid w:val="00844735"/>
    <w:rsid w:val="008449B9"/>
    <w:rsid w:val="00846D9E"/>
    <w:rsid w:val="00847191"/>
    <w:rsid w:val="00853849"/>
    <w:rsid w:val="0086043C"/>
    <w:rsid w:val="00860A47"/>
    <w:rsid w:val="0086254F"/>
    <w:rsid w:val="0086481B"/>
    <w:rsid w:val="00870C96"/>
    <w:rsid w:val="00871836"/>
    <w:rsid w:val="00871869"/>
    <w:rsid w:val="008724DE"/>
    <w:rsid w:val="0087258B"/>
    <w:rsid w:val="00872BAE"/>
    <w:rsid w:val="008758D9"/>
    <w:rsid w:val="00876DDA"/>
    <w:rsid w:val="00877152"/>
    <w:rsid w:val="00877A98"/>
    <w:rsid w:val="008821A1"/>
    <w:rsid w:val="00882B0A"/>
    <w:rsid w:val="00883E43"/>
    <w:rsid w:val="00885B9F"/>
    <w:rsid w:val="0089220C"/>
    <w:rsid w:val="00893127"/>
    <w:rsid w:val="0089538A"/>
    <w:rsid w:val="008A1CBD"/>
    <w:rsid w:val="008A370F"/>
    <w:rsid w:val="008A3D57"/>
    <w:rsid w:val="008A545C"/>
    <w:rsid w:val="008B117A"/>
    <w:rsid w:val="008B127C"/>
    <w:rsid w:val="008B23BC"/>
    <w:rsid w:val="008B29A2"/>
    <w:rsid w:val="008B3899"/>
    <w:rsid w:val="008B48EF"/>
    <w:rsid w:val="008B59C1"/>
    <w:rsid w:val="008B6780"/>
    <w:rsid w:val="008C0A4F"/>
    <w:rsid w:val="008C176D"/>
    <w:rsid w:val="008C1E89"/>
    <w:rsid w:val="008C36EC"/>
    <w:rsid w:val="008C4369"/>
    <w:rsid w:val="008D23C9"/>
    <w:rsid w:val="008D4591"/>
    <w:rsid w:val="008D7485"/>
    <w:rsid w:val="008D7F06"/>
    <w:rsid w:val="008E0AE0"/>
    <w:rsid w:val="008E15BE"/>
    <w:rsid w:val="008E2616"/>
    <w:rsid w:val="008E328C"/>
    <w:rsid w:val="008E369B"/>
    <w:rsid w:val="008E3D60"/>
    <w:rsid w:val="008E3F4C"/>
    <w:rsid w:val="008E6AF8"/>
    <w:rsid w:val="008E6B04"/>
    <w:rsid w:val="008E73F8"/>
    <w:rsid w:val="008F062E"/>
    <w:rsid w:val="008F5E0B"/>
    <w:rsid w:val="008F5E84"/>
    <w:rsid w:val="008F6381"/>
    <w:rsid w:val="008F6D40"/>
    <w:rsid w:val="009012A5"/>
    <w:rsid w:val="0090165F"/>
    <w:rsid w:val="00901B82"/>
    <w:rsid w:val="009020A7"/>
    <w:rsid w:val="00904ACA"/>
    <w:rsid w:val="009055BD"/>
    <w:rsid w:val="009072C6"/>
    <w:rsid w:val="00910A40"/>
    <w:rsid w:val="00912B09"/>
    <w:rsid w:val="00915175"/>
    <w:rsid w:val="00916E91"/>
    <w:rsid w:val="00917AA6"/>
    <w:rsid w:val="00920006"/>
    <w:rsid w:val="00921F71"/>
    <w:rsid w:val="0092621E"/>
    <w:rsid w:val="00926BD1"/>
    <w:rsid w:val="009321E5"/>
    <w:rsid w:val="009327E1"/>
    <w:rsid w:val="00933B96"/>
    <w:rsid w:val="00934636"/>
    <w:rsid w:val="009432CF"/>
    <w:rsid w:val="009434CE"/>
    <w:rsid w:val="00950001"/>
    <w:rsid w:val="00950930"/>
    <w:rsid w:val="00953551"/>
    <w:rsid w:val="00953B17"/>
    <w:rsid w:val="009554F6"/>
    <w:rsid w:val="009567F7"/>
    <w:rsid w:val="00957BF5"/>
    <w:rsid w:val="00960953"/>
    <w:rsid w:val="009610F0"/>
    <w:rsid w:val="00966C2F"/>
    <w:rsid w:val="0096742A"/>
    <w:rsid w:val="0096743F"/>
    <w:rsid w:val="00967552"/>
    <w:rsid w:val="00972197"/>
    <w:rsid w:val="00972933"/>
    <w:rsid w:val="0097361C"/>
    <w:rsid w:val="00973D11"/>
    <w:rsid w:val="0097512B"/>
    <w:rsid w:val="00975C66"/>
    <w:rsid w:val="009814A1"/>
    <w:rsid w:val="00982404"/>
    <w:rsid w:val="009866EA"/>
    <w:rsid w:val="00987A0B"/>
    <w:rsid w:val="00987EF3"/>
    <w:rsid w:val="00993F4C"/>
    <w:rsid w:val="00994A8E"/>
    <w:rsid w:val="00996BBE"/>
    <w:rsid w:val="00997C6C"/>
    <w:rsid w:val="00997F20"/>
    <w:rsid w:val="009A0519"/>
    <w:rsid w:val="009A1259"/>
    <w:rsid w:val="009A3A67"/>
    <w:rsid w:val="009A5419"/>
    <w:rsid w:val="009A6058"/>
    <w:rsid w:val="009A620B"/>
    <w:rsid w:val="009A7100"/>
    <w:rsid w:val="009A74B4"/>
    <w:rsid w:val="009A7FD9"/>
    <w:rsid w:val="009B1489"/>
    <w:rsid w:val="009B5192"/>
    <w:rsid w:val="009B73B2"/>
    <w:rsid w:val="009C0DF2"/>
    <w:rsid w:val="009C343C"/>
    <w:rsid w:val="009D2785"/>
    <w:rsid w:val="009D463C"/>
    <w:rsid w:val="009D622B"/>
    <w:rsid w:val="009D67F6"/>
    <w:rsid w:val="009E08D1"/>
    <w:rsid w:val="009E0AE7"/>
    <w:rsid w:val="009E0FE1"/>
    <w:rsid w:val="009E3AF6"/>
    <w:rsid w:val="009E4BD0"/>
    <w:rsid w:val="009F10F2"/>
    <w:rsid w:val="009F17E7"/>
    <w:rsid w:val="009F2764"/>
    <w:rsid w:val="009F528C"/>
    <w:rsid w:val="009F794F"/>
    <w:rsid w:val="009F7F18"/>
    <w:rsid w:val="00A000D2"/>
    <w:rsid w:val="00A018F4"/>
    <w:rsid w:val="00A01C41"/>
    <w:rsid w:val="00A0406E"/>
    <w:rsid w:val="00A04F2B"/>
    <w:rsid w:val="00A11307"/>
    <w:rsid w:val="00A1317B"/>
    <w:rsid w:val="00A13AF3"/>
    <w:rsid w:val="00A21388"/>
    <w:rsid w:val="00A21A7B"/>
    <w:rsid w:val="00A27582"/>
    <w:rsid w:val="00A27791"/>
    <w:rsid w:val="00A27ABE"/>
    <w:rsid w:val="00A31C26"/>
    <w:rsid w:val="00A31D8F"/>
    <w:rsid w:val="00A32B29"/>
    <w:rsid w:val="00A34BE3"/>
    <w:rsid w:val="00A355F9"/>
    <w:rsid w:val="00A40DEC"/>
    <w:rsid w:val="00A41068"/>
    <w:rsid w:val="00A41355"/>
    <w:rsid w:val="00A437B6"/>
    <w:rsid w:val="00A43B92"/>
    <w:rsid w:val="00A43D2A"/>
    <w:rsid w:val="00A539F8"/>
    <w:rsid w:val="00A54251"/>
    <w:rsid w:val="00A56D37"/>
    <w:rsid w:val="00A6179E"/>
    <w:rsid w:val="00A62CF9"/>
    <w:rsid w:val="00A64316"/>
    <w:rsid w:val="00A70A39"/>
    <w:rsid w:val="00A71C4E"/>
    <w:rsid w:val="00A804D9"/>
    <w:rsid w:val="00A81642"/>
    <w:rsid w:val="00A84AE3"/>
    <w:rsid w:val="00A8573B"/>
    <w:rsid w:val="00A86238"/>
    <w:rsid w:val="00A908E4"/>
    <w:rsid w:val="00A90E00"/>
    <w:rsid w:val="00A92915"/>
    <w:rsid w:val="00A92F92"/>
    <w:rsid w:val="00A93994"/>
    <w:rsid w:val="00A95D2D"/>
    <w:rsid w:val="00A96167"/>
    <w:rsid w:val="00A96892"/>
    <w:rsid w:val="00AA2051"/>
    <w:rsid w:val="00AA3848"/>
    <w:rsid w:val="00AA3D77"/>
    <w:rsid w:val="00AA52F7"/>
    <w:rsid w:val="00AA70C4"/>
    <w:rsid w:val="00AB03C3"/>
    <w:rsid w:val="00AB056E"/>
    <w:rsid w:val="00AB1125"/>
    <w:rsid w:val="00AB2077"/>
    <w:rsid w:val="00AB39C7"/>
    <w:rsid w:val="00AB4473"/>
    <w:rsid w:val="00AB61A1"/>
    <w:rsid w:val="00AB75CD"/>
    <w:rsid w:val="00AB7AE9"/>
    <w:rsid w:val="00AB7C8F"/>
    <w:rsid w:val="00AB7EA4"/>
    <w:rsid w:val="00AC00D5"/>
    <w:rsid w:val="00AC2192"/>
    <w:rsid w:val="00AC636D"/>
    <w:rsid w:val="00AC7BC7"/>
    <w:rsid w:val="00AD0B6F"/>
    <w:rsid w:val="00AD3026"/>
    <w:rsid w:val="00AD33D7"/>
    <w:rsid w:val="00AD3864"/>
    <w:rsid w:val="00AD4F0B"/>
    <w:rsid w:val="00AD5980"/>
    <w:rsid w:val="00AD5EDC"/>
    <w:rsid w:val="00AD6321"/>
    <w:rsid w:val="00AE1B33"/>
    <w:rsid w:val="00AE4643"/>
    <w:rsid w:val="00AE4990"/>
    <w:rsid w:val="00AE6402"/>
    <w:rsid w:val="00AE6EE2"/>
    <w:rsid w:val="00AF2347"/>
    <w:rsid w:val="00AF2A16"/>
    <w:rsid w:val="00AF63BF"/>
    <w:rsid w:val="00B00F61"/>
    <w:rsid w:val="00B034DF"/>
    <w:rsid w:val="00B04BB1"/>
    <w:rsid w:val="00B050AC"/>
    <w:rsid w:val="00B063B0"/>
    <w:rsid w:val="00B11F59"/>
    <w:rsid w:val="00B14875"/>
    <w:rsid w:val="00B15999"/>
    <w:rsid w:val="00B16132"/>
    <w:rsid w:val="00B20CF1"/>
    <w:rsid w:val="00B2213C"/>
    <w:rsid w:val="00B2232D"/>
    <w:rsid w:val="00B231FA"/>
    <w:rsid w:val="00B2370A"/>
    <w:rsid w:val="00B237FB"/>
    <w:rsid w:val="00B24B1D"/>
    <w:rsid w:val="00B26C33"/>
    <w:rsid w:val="00B26D48"/>
    <w:rsid w:val="00B277E0"/>
    <w:rsid w:val="00B27FF7"/>
    <w:rsid w:val="00B318BA"/>
    <w:rsid w:val="00B31E80"/>
    <w:rsid w:val="00B32110"/>
    <w:rsid w:val="00B33A17"/>
    <w:rsid w:val="00B34946"/>
    <w:rsid w:val="00B36D06"/>
    <w:rsid w:val="00B36F68"/>
    <w:rsid w:val="00B41EA1"/>
    <w:rsid w:val="00B4256F"/>
    <w:rsid w:val="00B519FD"/>
    <w:rsid w:val="00B520BC"/>
    <w:rsid w:val="00B5365E"/>
    <w:rsid w:val="00B539CC"/>
    <w:rsid w:val="00B60379"/>
    <w:rsid w:val="00B62F64"/>
    <w:rsid w:val="00B63D24"/>
    <w:rsid w:val="00B63D9C"/>
    <w:rsid w:val="00B63F1B"/>
    <w:rsid w:val="00B6456E"/>
    <w:rsid w:val="00B64E32"/>
    <w:rsid w:val="00B65AB3"/>
    <w:rsid w:val="00B65D3F"/>
    <w:rsid w:val="00B67763"/>
    <w:rsid w:val="00B72546"/>
    <w:rsid w:val="00B72719"/>
    <w:rsid w:val="00B73431"/>
    <w:rsid w:val="00B817B3"/>
    <w:rsid w:val="00B823BE"/>
    <w:rsid w:val="00B8312A"/>
    <w:rsid w:val="00B839B5"/>
    <w:rsid w:val="00B852AD"/>
    <w:rsid w:val="00B90688"/>
    <w:rsid w:val="00B924E6"/>
    <w:rsid w:val="00B92A26"/>
    <w:rsid w:val="00B92DC8"/>
    <w:rsid w:val="00BA1487"/>
    <w:rsid w:val="00BA2244"/>
    <w:rsid w:val="00BA262D"/>
    <w:rsid w:val="00BA3A29"/>
    <w:rsid w:val="00BA5698"/>
    <w:rsid w:val="00BA58C5"/>
    <w:rsid w:val="00BA6001"/>
    <w:rsid w:val="00BA6B2E"/>
    <w:rsid w:val="00BB1097"/>
    <w:rsid w:val="00BB3A8E"/>
    <w:rsid w:val="00BB48DC"/>
    <w:rsid w:val="00BB5656"/>
    <w:rsid w:val="00BB6C37"/>
    <w:rsid w:val="00BC1317"/>
    <w:rsid w:val="00BC4180"/>
    <w:rsid w:val="00BC44CA"/>
    <w:rsid w:val="00BC4C26"/>
    <w:rsid w:val="00BC4F60"/>
    <w:rsid w:val="00BC5860"/>
    <w:rsid w:val="00BC79EB"/>
    <w:rsid w:val="00BC7D90"/>
    <w:rsid w:val="00BD6052"/>
    <w:rsid w:val="00BD6158"/>
    <w:rsid w:val="00BD7FCF"/>
    <w:rsid w:val="00BE3F91"/>
    <w:rsid w:val="00BE597E"/>
    <w:rsid w:val="00BF20FD"/>
    <w:rsid w:val="00BF2102"/>
    <w:rsid w:val="00BF2DDE"/>
    <w:rsid w:val="00BF3FAD"/>
    <w:rsid w:val="00BF56D1"/>
    <w:rsid w:val="00BF63D1"/>
    <w:rsid w:val="00BF63D9"/>
    <w:rsid w:val="00BF6406"/>
    <w:rsid w:val="00BF650A"/>
    <w:rsid w:val="00C007F7"/>
    <w:rsid w:val="00C00E46"/>
    <w:rsid w:val="00C015EC"/>
    <w:rsid w:val="00C01F28"/>
    <w:rsid w:val="00C03062"/>
    <w:rsid w:val="00C04030"/>
    <w:rsid w:val="00C043C2"/>
    <w:rsid w:val="00C0499E"/>
    <w:rsid w:val="00C064DC"/>
    <w:rsid w:val="00C10252"/>
    <w:rsid w:val="00C104E9"/>
    <w:rsid w:val="00C10B76"/>
    <w:rsid w:val="00C11518"/>
    <w:rsid w:val="00C149BD"/>
    <w:rsid w:val="00C15BCF"/>
    <w:rsid w:val="00C1753A"/>
    <w:rsid w:val="00C222A4"/>
    <w:rsid w:val="00C22A3A"/>
    <w:rsid w:val="00C259BD"/>
    <w:rsid w:val="00C25A23"/>
    <w:rsid w:val="00C25BDA"/>
    <w:rsid w:val="00C27FF3"/>
    <w:rsid w:val="00C304AB"/>
    <w:rsid w:val="00C31CA3"/>
    <w:rsid w:val="00C33104"/>
    <w:rsid w:val="00C332D4"/>
    <w:rsid w:val="00C41D04"/>
    <w:rsid w:val="00C450C9"/>
    <w:rsid w:val="00C51011"/>
    <w:rsid w:val="00C556FD"/>
    <w:rsid w:val="00C560AC"/>
    <w:rsid w:val="00C5781C"/>
    <w:rsid w:val="00C60343"/>
    <w:rsid w:val="00C612FB"/>
    <w:rsid w:val="00C64FE0"/>
    <w:rsid w:val="00C65D61"/>
    <w:rsid w:val="00C66415"/>
    <w:rsid w:val="00C665CA"/>
    <w:rsid w:val="00C6721E"/>
    <w:rsid w:val="00C700F2"/>
    <w:rsid w:val="00C73848"/>
    <w:rsid w:val="00C75A9E"/>
    <w:rsid w:val="00C82BF2"/>
    <w:rsid w:val="00C82F18"/>
    <w:rsid w:val="00C84042"/>
    <w:rsid w:val="00C854D4"/>
    <w:rsid w:val="00C87C1D"/>
    <w:rsid w:val="00C90556"/>
    <w:rsid w:val="00C96E2D"/>
    <w:rsid w:val="00C97589"/>
    <w:rsid w:val="00CA04A7"/>
    <w:rsid w:val="00CA0D78"/>
    <w:rsid w:val="00CA1B3D"/>
    <w:rsid w:val="00CA464D"/>
    <w:rsid w:val="00CA4855"/>
    <w:rsid w:val="00CA4E90"/>
    <w:rsid w:val="00CA5567"/>
    <w:rsid w:val="00CA5D90"/>
    <w:rsid w:val="00CA637C"/>
    <w:rsid w:val="00CB24FE"/>
    <w:rsid w:val="00CB711F"/>
    <w:rsid w:val="00CC1B0B"/>
    <w:rsid w:val="00CC2AA0"/>
    <w:rsid w:val="00CC2B74"/>
    <w:rsid w:val="00CC31A1"/>
    <w:rsid w:val="00CC53A3"/>
    <w:rsid w:val="00CC6B0D"/>
    <w:rsid w:val="00CC6E58"/>
    <w:rsid w:val="00CC7611"/>
    <w:rsid w:val="00CD0560"/>
    <w:rsid w:val="00CD3602"/>
    <w:rsid w:val="00CD4B90"/>
    <w:rsid w:val="00CD58FD"/>
    <w:rsid w:val="00CD6CA4"/>
    <w:rsid w:val="00CE4569"/>
    <w:rsid w:val="00CE4B63"/>
    <w:rsid w:val="00CE4EDD"/>
    <w:rsid w:val="00CE538D"/>
    <w:rsid w:val="00CF26C7"/>
    <w:rsid w:val="00CF2EC7"/>
    <w:rsid w:val="00CF3B5B"/>
    <w:rsid w:val="00D02ED8"/>
    <w:rsid w:val="00D03307"/>
    <w:rsid w:val="00D033B3"/>
    <w:rsid w:val="00D053C2"/>
    <w:rsid w:val="00D057E0"/>
    <w:rsid w:val="00D0681B"/>
    <w:rsid w:val="00D15F01"/>
    <w:rsid w:val="00D21447"/>
    <w:rsid w:val="00D269BE"/>
    <w:rsid w:val="00D27D8C"/>
    <w:rsid w:val="00D33001"/>
    <w:rsid w:val="00D33C41"/>
    <w:rsid w:val="00D343FA"/>
    <w:rsid w:val="00D36606"/>
    <w:rsid w:val="00D36F50"/>
    <w:rsid w:val="00D418FF"/>
    <w:rsid w:val="00D42EBC"/>
    <w:rsid w:val="00D44524"/>
    <w:rsid w:val="00D54E22"/>
    <w:rsid w:val="00D571CC"/>
    <w:rsid w:val="00D600EC"/>
    <w:rsid w:val="00D610A2"/>
    <w:rsid w:val="00D64C32"/>
    <w:rsid w:val="00D65C76"/>
    <w:rsid w:val="00D734C7"/>
    <w:rsid w:val="00D73AF9"/>
    <w:rsid w:val="00D7542B"/>
    <w:rsid w:val="00D775D5"/>
    <w:rsid w:val="00D80549"/>
    <w:rsid w:val="00D81175"/>
    <w:rsid w:val="00D82D71"/>
    <w:rsid w:val="00D83226"/>
    <w:rsid w:val="00D8351F"/>
    <w:rsid w:val="00D83A3D"/>
    <w:rsid w:val="00D865EF"/>
    <w:rsid w:val="00D875C7"/>
    <w:rsid w:val="00D87F76"/>
    <w:rsid w:val="00D90131"/>
    <w:rsid w:val="00D90553"/>
    <w:rsid w:val="00D909F1"/>
    <w:rsid w:val="00D94765"/>
    <w:rsid w:val="00DA058B"/>
    <w:rsid w:val="00DA1D32"/>
    <w:rsid w:val="00DA2474"/>
    <w:rsid w:val="00DA2762"/>
    <w:rsid w:val="00DA2F73"/>
    <w:rsid w:val="00DA39AF"/>
    <w:rsid w:val="00DA3CCA"/>
    <w:rsid w:val="00DA5B50"/>
    <w:rsid w:val="00DA7A55"/>
    <w:rsid w:val="00DB1380"/>
    <w:rsid w:val="00DB4541"/>
    <w:rsid w:val="00DC307B"/>
    <w:rsid w:val="00DC343B"/>
    <w:rsid w:val="00DC400B"/>
    <w:rsid w:val="00DC462F"/>
    <w:rsid w:val="00DC499A"/>
    <w:rsid w:val="00DD0634"/>
    <w:rsid w:val="00DD27F6"/>
    <w:rsid w:val="00DD2B00"/>
    <w:rsid w:val="00DD67A8"/>
    <w:rsid w:val="00DD6A21"/>
    <w:rsid w:val="00DD6A64"/>
    <w:rsid w:val="00DD6CE9"/>
    <w:rsid w:val="00DD710D"/>
    <w:rsid w:val="00DD770C"/>
    <w:rsid w:val="00DD7F8C"/>
    <w:rsid w:val="00DE03B2"/>
    <w:rsid w:val="00DE0C3F"/>
    <w:rsid w:val="00DE0EED"/>
    <w:rsid w:val="00DE12FB"/>
    <w:rsid w:val="00DE18A7"/>
    <w:rsid w:val="00DE29AF"/>
    <w:rsid w:val="00DE2EFB"/>
    <w:rsid w:val="00DE4538"/>
    <w:rsid w:val="00DE60CA"/>
    <w:rsid w:val="00DE797C"/>
    <w:rsid w:val="00DF34FD"/>
    <w:rsid w:val="00DF4076"/>
    <w:rsid w:val="00DF42CC"/>
    <w:rsid w:val="00DF50EB"/>
    <w:rsid w:val="00DF58A6"/>
    <w:rsid w:val="00DF6B37"/>
    <w:rsid w:val="00DF6D9F"/>
    <w:rsid w:val="00DF6F1F"/>
    <w:rsid w:val="00E02517"/>
    <w:rsid w:val="00E065D7"/>
    <w:rsid w:val="00E10BE7"/>
    <w:rsid w:val="00E110DE"/>
    <w:rsid w:val="00E13E46"/>
    <w:rsid w:val="00E146E6"/>
    <w:rsid w:val="00E14833"/>
    <w:rsid w:val="00E1675F"/>
    <w:rsid w:val="00E16E4B"/>
    <w:rsid w:val="00E172B1"/>
    <w:rsid w:val="00E20657"/>
    <w:rsid w:val="00E22584"/>
    <w:rsid w:val="00E2277F"/>
    <w:rsid w:val="00E2413F"/>
    <w:rsid w:val="00E24FA3"/>
    <w:rsid w:val="00E267DB"/>
    <w:rsid w:val="00E26B28"/>
    <w:rsid w:val="00E278C1"/>
    <w:rsid w:val="00E30632"/>
    <w:rsid w:val="00E30C27"/>
    <w:rsid w:val="00E31115"/>
    <w:rsid w:val="00E31465"/>
    <w:rsid w:val="00E31CDD"/>
    <w:rsid w:val="00E328CD"/>
    <w:rsid w:val="00E3489E"/>
    <w:rsid w:val="00E360AE"/>
    <w:rsid w:val="00E362F0"/>
    <w:rsid w:val="00E36303"/>
    <w:rsid w:val="00E36B95"/>
    <w:rsid w:val="00E4003F"/>
    <w:rsid w:val="00E40308"/>
    <w:rsid w:val="00E40909"/>
    <w:rsid w:val="00E40DD4"/>
    <w:rsid w:val="00E44664"/>
    <w:rsid w:val="00E458F6"/>
    <w:rsid w:val="00E45954"/>
    <w:rsid w:val="00E46704"/>
    <w:rsid w:val="00E50478"/>
    <w:rsid w:val="00E506CC"/>
    <w:rsid w:val="00E51B6F"/>
    <w:rsid w:val="00E51F20"/>
    <w:rsid w:val="00E52B94"/>
    <w:rsid w:val="00E53546"/>
    <w:rsid w:val="00E55F24"/>
    <w:rsid w:val="00E56256"/>
    <w:rsid w:val="00E56993"/>
    <w:rsid w:val="00E60318"/>
    <w:rsid w:val="00E61862"/>
    <w:rsid w:val="00E63D34"/>
    <w:rsid w:val="00E65272"/>
    <w:rsid w:val="00E65D9B"/>
    <w:rsid w:val="00E65FFC"/>
    <w:rsid w:val="00E75331"/>
    <w:rsid w:val="00E8132A"/>
    <w:rsid w:val="00E82707"/>
    <w:rsid w:val="00E901D6"/>
    <w:rsid w:val="00E92302"/>
    <w:rsid w:val="00E94DCA"/>
    <w:rsid w:val="00E94DF6"/>
    <w:rsid w:val="00E953C4"/>
    <w:rsid w:val="00EA060D"/>
    <w:rsid w:val="00EA1103"/>
    <w:rsid w:val="00EA21D9"/>
    <w:rsid w:val="00EA2767"/>
    <w:rsid w:val="00EA2DA1"/>
    <w:rsid w:val="00EA3E95"/>
    <w:rsid w:val="00EA44D9"/>
    <w:rsid w:val="00EA5E69"/>
    <w:rsid w:val="00EA70DD"/>
    <w:rsid w:val="00EB10C7"/>
    <w:rsid w:val="00EB17FE"/>
    <w:rsid w:val="00EB272C"/>
    <w:rsid w:val="00EB38A8"/>
    <w:rsid w:val="00EB5537"/>
    <w:rsid w:val="00EB5852"/>
    <w:rsid w:val="00EB6A76"/>
    <w:rsid w:val="00EB7847"/>
    <w:rsid w:val="00EC1D03"/>
    <w:rsid w:val="00EC207A"/>
    <w:rsid w:val="00EC4A94"/>
    <w:rsid w:val="00EC5E16"/>
    <w:rsid w:val="00ED16DF"/>
    <w:rsid w:val="00ED1A5C"/>
    <w:rsid w:val="00ED1FFF"/>
    <w:rsid w:val="00ED5313"/>
    <w:rsid w:val="00ED6AC1"/>
    <w:rsid w:val="00EE0245"/>
    <w:rsid w:val="00EE1C60"/>
    <w:rsid w:val="00EE29A5"/>
    <w:rsid w:val="00EE4DDB"/>
    <w:rsid w:val="00EE6CFA"/>
    <w:rsid w:val="00EF1889"/>
    <w:rsid w:val="00EF26C6"/>
    <w:rsid w:val="00EF36A0"/>
    <w:rsid w:val="00F030C6"/>
    <w:rsid w:val="00F033D3"/>
    <w:rsid w:val="00F0487F"/>
    <w:rsid w:val="00F05DC8"/>
    <w:rsid w:val="00F06C03"/>
    <w:rsid w:val="00F0799D"/>
    <w:rsid w:val="00F07EF4"/>
    <w:rsid w:val="00F107A0"/>
    <w:rsid w:val="00F11FFD"/>
    <w:rsid w:val="00F127A8"/>
    <w:rsid w:val="00F1362A"/>
    <w:rsid w:val="00F14030"/>
    <w:rsid w:val="00F141E3"/>
    <w:rsid w:val="00F14480"/>
    <w:rsid w:val="00F1464D"/>
    <w:rsid w:val="00F14C6D"/>
    <w:rsid w:val="00F220A5"/>
    <w:rsid w:val="00F22EB0"/>
    <w:rsid w:val="00F232CC"/>
    <w:rsid w:val="00F2380D"/>
    <w:rsid w:val="00F25466"/>
    <w:rsid w:val="00F2559F"/>
    <w:rsid w:val="00F255B5"/>
    <w:rsid w:val="00F3428E"/>
    <w:rsid w:val="00F34362"/>
    <w:rsid w:val="00F34BC9"/>
    <w:rsid w:val="00F35E17"/>
    <w:rsid w:val="00F371E0"/>
    <w:rsid w:val="00F40A3A"/>
    <w:rsid w:val="00F40E03"/>
    <w:rsid w:val="00F43DBE"/>
    <w:rsid w:val="00F45337"/>
    <w:rsid w:val="00F45448"/>
    <w:rsid w:val="00F4716B"/>
    <w:rsid w:val="00F513AE"/>
    <w:rsid w:val="00F52756"/>
    <w:rsid w:val="00F56093"/>
    <w:rsid w:val="00F57C56"/>
    <w:rsid w:val="00F614F9"/>
    <w:rsid w:val="00F62CF4"/>
    <w:rsid w:val="00F64FE9"/>
    <w:rsid w:val="00F6574C"/>
    <w:rsid w:val="00F673F1"/>
    <w:rsid w:val="00F67CAB"/>
    <w:rsid w:val="00F71B76"/>
    <w:rsid w:val="00F72D0F"/>
    <w:rsid w:val="00F743C2"/>
    <w:rsid w:val="00F762CE"/>
    <w:rsid w:val="00F77EE4"/>
    <w:rsid w:val="00F8302E"/>
    <w:rsid w:val="00F85C72"/>
    <w:rsid w:val="00F86DAB"/>
    <w:rsid w:val="00F86FF1"/>
    <w:rsid w:val="00F941A4"/>
    <w:rsid w:val="00F9648E"/>
    <w:rsid w:val="00FA2289"/>
    <w:rsid w:val="00FA22A4"/>
    <w:rsid w:val="00FA2CEA"/>
    <w:rsid w:val="00FA4916"/>
    <w:rsid w:val="00FA7BBD"/>
    <w:rsid w:val="00FA7DA3"/>
    <w:rsid w:val="00FA7E5C"/>
    <w:rsid w:val="00FB193D"/>
    <w:rsid w:val="00FB3422"/>
    <w:rsid w:val="00FB3F6C"/>
    <w:rsid w:val="00FC568D"/>
    <w:rsid w:val="00FD01B5"/>
    <w:rsid w:val="00FD02CC"/>
    <w:rsid w:val="00FD0FF6"/>
    <w:rsid w:val="00FD3759"/>
    <w:rsid w:val="00FD4288"/>
    <w:rsid w:val="00FD5BF0"/>
    <w:rsid w:val="00FD66C2"/>
    <w:rsid w:val="00FD7CF8"/>
    <w:rsid w:val="00FE0E5B"/>
    <w:rsid w:val="00FE1CF7"/>
    <w:rsid w:val="00FE200C"/>
    <w:rsid w:val="00FE299B"/>
    <w:rsid w:val="00FE3F8A"/>
    <w:rsid w:val="00FF1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012B783"/>
  <w15:chartTrackingRefBased/>
  <w15:docId w15:val="{9D8B7402-4305-4E00-95C8-C57B5ADC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uiPriority="99" w:qFormat="1"/>
    <w:lsdException w:name="Default Paragraph Font" w:locked="0"/>
    <w:lsdException w:name="List Continue 4" w:locked="0"/>
    <w:lsdException w:name="Subtitle" w:qFormat="1"/>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aliases w:val="QUOTE sub"/>
    <w:basedOn w:val="ListNumber"/>
    <w:link w:val="HeaderChar"/>
    <w:qFormat/>
    <w:rsid w:val="006E0674"/>
    <w:pPr>
      <w:ind w:left="1134"/>
    </w:pPr>
    <w:rPr>
      <w:rFonts w:cs="Open Sans"/>
      <w:sz w:val="22"/>
      <w:szCs w:val="22"/>
    </w:rPr>
  </w:style>
  <w:style w:type="character" w:customStyle="1" w:styleId="HeaderChar">
    <w:name w:val="Header Char"/>
    <w:aliases w:val="QUOTE sub Char"/>
    <w:link w:val="Header"/>
    <w:rsid w:val="006E0674"/>
    <w:rPr>
      <w:rFonts w:ascii="Open Sans" w:eastAsia="MS Mincho" w:hAnsi="Open Sans" w:cs="Open Sans"/>
      <w:sz w:val="22"/>
      <w:szCs w:val="22"/>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uiPriority w:val="99"/>
    <w:qFormat/>
    <w:rsid w:val="007B06EA"/>
    <w:pPr>
      <w:tabs>
        <w:tab w:val="left" w:pos="1134"/>
      </w:tabs>
      <w:spacing w:before="120"/>
    </w:pPr>
  </w:style>
  <w:style w:type="paragraph" w:styleId="ListNumber2">
    <w:name w:val="List Number 2"/>
    <w:basedOn w:val="Normal"/>
    <w:semiHidden/>
    <w:locked/>
    <w:rsid w:val="005C2ECF"/>
    <w:pPr>
      <w:numPr>
        <w:numId w:val="9"/>
      </w:numPr>
    </w:pPr>
  </w:style>
  <w:style w:type="paragraph" w:styleId="ListNumber3">
    <w:name w:val="List Number 3"/>
    <w:basedOn w:val="Normal"/>
    <w:semiHidden/>
    <w:locked/>
    <w:rsid w:val="005C2ECF"/>
    <w:pPr>
      <w:numPr>
        <w:numId w:val="10"/>
      </w:numPr>
    </w:pPr>
  </w:style>
  <w:style w:type="paragraph" w:styleId="ListNumber4">
    <w:name w:val="List Number 4"/>
    <w:basedOn w:val="Normal"/>
    <w:semiHidden/>
    <w:locked/>
    <w:rsid w:val="005C2ECF"/>
    <w:pPr>
      <w:numPr>
        <w:numId w:val="7"/>
      </w:numPr>
    </w:pPr>
  </w:style>
  <w:style w:type="paragraph" w:styleId="ListNumber5">
    <w:name w:val="List Number 5"/>
    <w:basedOn w:val="Normal"/>
    <w:semiHidden/>
    <w:locked/>
    <w:rsid w:val="005C2ECF"/>
    <w:pPr>
      <w:numPr>
        <w:numId w:val="8"/>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4"/>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Subnumbered">
    <w:name w:val="Sub numbered"/>
    <w:basedOn w:val="ListNumber"/>
    <w:qFormat/>
    <w:rsid w:val="0076601B"/>
    <w:pPr>
      <w:numPr>
        <w:numId w:val="15"/>
      </w:numPr>
      <w:tabs>
        <w:tab w:val="left" w:pos="1418"/>
      </w:tabs>
    </w:pPr>
  </w:style>
  <w:style w:type="paragraph" w:customStyle="1" w:styleId="Quotesub">
    <w:name w:val="Quote sub"/>
    <w:basedOn w:val="EndnoteText"/>
    <w:link w:val="QuotesubChar"/>
    <w:qFormat/>
    <w:rsid w:val="00BE3F91"/>
    <w:pPr>
      <w:spacing w:before="120" w:after="120"/>
      <w:ind w:left="1134" w:firstLine="0"/>
    </w:pPr>
    <w:rPr>
      <w:sz w:val="22"/>
      <w:szCs w:val="22"/>
    </w:rPr>
  </w:style>
  <w:style w:type="character" w:customStyle="1" w:styleId="QuotesubChar">
    <w:name w:val="Quote sub Char"/>
    <w:basedOn w:val="SubmissionNormalChar"/>
    <w:link w:val="Quotesub"/>
    <w:rsid w:val="00BE3F91"/>
    <w:rPr>
      <w:rFonts w:ascii="Open Sans" w:eastAsia="MS Mincho" w:hAnsi="Open Sans"/>
      <w:sz w:val="22"/>
      <w:szCs w:val="22"/>
    </w:rPr>
  </w:style>
  <w:style w:type="paragraph" w:customStyle="1" w:styleId="paragraph">
    <w:name w:val="paragraph"/>
    <w:basedOn w:val="Normal"/>
    <w:rsid w:val="00996BBE"/>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DE797C"/>
    <w:rPr>
      <w:color w:val="605E5C"/>
      <w:shd w:val="clear" w:color="auto" w:fill="E1DFDD"/>
    </w:rPr>
  </w:style>
  <w:style w:type="paragraph" w:styleId="FootnoteText">
    <w:name w:val="footnote text"/>
    <w:basedOn w:val="Normal"/>
    <w:link w:val="FootnoteTextChar"/>
    <w:locked/>
    <w:rsid w:val="00D90553"/>
    <w:pPr>
      <w:spacing w:before="0" w:after="0"/>
    </w:pPr>
    <w:rPr>
      <w:sz w:val="20"/>
      <w:szCs w:val="20"/>
    </w:rPr>
  </w:style>
  <w:style w:type="character" w:customStyle="1" w:styleId="FootnoteTextChar">
    <w:name w:val="Footnote Text Char"/>
    <w:basedOn w:val="DefaultParagraphFont"/>
    <w:link w:val="FootnoteText"/>
    <w:rsid w:val="00D90553"/>
    <w:rPr>
      <w:rFonts w:ascii="Open Sans" w:eastAsia="MS Mincho" w:hAnsi="Open Sans"/>
    </w:rPr>
  </w:style>
  <w:style w:type="character" w:styleId="FootnoteReference">
    <w:name w:val="footnote reference"/>
    <w:basedOn w:val="DefaultParagraphFont"/>
    <w:locked/>
    <w:rsid w:val="00D90553"/>
    <w:rPr>
      <w:vertAlign w:val="superscript"/>
    </w:rPr>
  </w:style>
  <w:style w:type="paragraph" w:customStyle="1" w:styleId="subsection">
    <w:name w:val="subsection"/>
    <w:basedOn w:val="Normal"/>
    <w:rsid w:val="008A1CB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66249">
      <w:bodyDiv w:val="1"/>
      <w:marLeft w:val="0"/>
      <w:marRight w:val="0"/>
      <w:marTop w:val="0"/>
      <w:marBottom w:val="0"/>
      <w:divBdr>
        <w:top w:val="none" w:sz="0" w:space="0" w:color="auto"/>
        <w:left w:val="none" w:sz="0" w:space="0" w:color="auto"/>
        <w:bottom w:val="none" w:sz="0" w:space="0" w:color="auto"/>
        <w:right w:val="none" w:sz="0" w:space="0" w:color="auto"/>
      </w:divBdr>
    </w:div>
    <w:div w:id="174349603">
      <w:bodyDiv w:val="1"/>
      <w:marLeft w:val="0"/>
      <w:marRight w:val="0"/>
      <w:marTop w:val="0"/>
      <w:marBottom w:val="0"/>
      <w:divBdr>
        <w:top w:val="none" w:sz="0" w:space="0" w:color="auto"/>
        <w:left w:val="none" w:sz="0" w:space="0" w:color="auto"/>
        <w:bottom w:val="none" w:sz="0" w:space="0" w:color="auto"/>
        <w:right w:val="none" w:sz="0" w:space="0" w:color="auto"/>
      </w:divBdr>
    </w:div>
    <w:div w:id="362482666">
      <w:bodyDiv w:val="1"/>
      <w:marLeft w:val="0"/>
      <w:marRight w:val="0"/>
      <w:marTop w:val="0"/>
      <w:marBottom w:val="0"/>
      <w:divBdr>
        <w:top w:val="none" w:sz="0" w:space="0" w:color="auto"/>
        <w:left w:val="none" w:sz="0" w:space="0" w:color="auto"/>
        <w:bottom w:val="none" w:sz="0" w:space="0" w:color="auto"/>
        <w:right w:val="none" w:sz="0" w:space="0" w:color="auto"/>
      </w:divBdr>
    </w:div>
    <w:div w:id="444229045">
      <w:bodyDiv w:val="1"/>
      <w:marLeft w:val="0"/>
      <w:marRight w:val="0"/>
      <w:marTop w:val="0"/>
      <w:marBottom w:val="0"/>
      <w:divBdr>
        <w:top w:val="none" w:sz="0" w:space="0" w:color="auto"/>
        <w:left w:val="none" w:sz="0" w:space="0" w:color="auto"/>
        <w:bottom w:val="none" w:sz="0" w:space="0" w:color="auto"/>
        <w:right w:val="none" w:sz="0" w:space="0" w:color="auto"/>
      </w:divBdr>
    </w:div>
    <w:div w:id="462649841">
      <w:bodyDiv w:val="1"/>
      <w:marLeft w:val="0"/>
      <w:marRight w:val="0"/>
      <w:marTop w:val="0"/>
      <w:marBottom w:val="0"/>
      <w:divBdr>
        <w:top w:val="none" w:sz="0" w:space="0" w:color="auto"/>
        <w:left w:val="none" w:sz="0" w:space="0" w:color="auto"/>
        <w:bottom w:val="none" w:sz="0" w:space="0" w:color="auto"/>
        <w:right w:val="none" w:sz="0" w:space="0" w:color="auto"/>
      </w:divBdr>
    </w:div>
    <w:div w:id="597640994">
      <w:bodyDiv w:val="1"/>
      <w:marLeft w:val="0"/>
      <w:marRight w:val="0"/>
      <w:marTop w:val="0"/>
      <w:marBottom w:val="0"/>
      <w:divBdr>
        <w:top w:val="none" w:sz="0" w:space="0" w:color="auto"/>
        <w:left w:val="none" w:sz="0" w:space="0" w:color="auto"/>
        <w:bottom w:val="none" w:sz="0" w:space="0" w:color="auto"/>
        <w:right w:val="none" w:sz="0" w:space="0" w:color="auto"/>
      </w:divBdr>
    </w:div>
    <w:div w:id="698816073">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41449211">
      <w:bodyDiv w:val="1"/>
      <w:marLeft w:val="0"/>
      <w:marRight w:val="0"/>
      <w:marTop w:val="0"/>
      <w:marBottom w:val="0"/>
      <w:divBdr>
        <w:top w:val="none" w:sz="0" w:space="0" w:color="auto"/>
        <w:left w:val="none" w:sz="0" w:space="0" w:color="auto"/>
        <w:bottom w:val="none" w:sz="0" w:space="0" w:color="auto"/>
        <w:right w:val="none" w:sz="0" w:space="0" w:color="auto"/>
      </w:divBdr>
    </w:div>
    <w:div w:id="946814569">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303971379">
      <w:bodyDiv w:val="1"/>
      <w:marLeft w:val="0"/>
      <w:marRight w:val="0"/>
      <w:marTop w:val="0"/>
      <w:marBottom w:val="0"/>
      <w:divBdr>
        <w:top w:val="none" w:sz="0" w:space="0" w:color="auto"/>
        <w:left w:val="none" w:sz="0" w:space="0" w:color="auto"/>
        <w:bottom w:val="none" w:sz="0" w:space="0" w:color="auto"/>
        <w:right w:val="none" w:sz="0" w:space="0" w:color="auto"/>
      </w:divBdr>
    </w:div>
    <w:div w:id="1337803577">
      <w:bodyDiv w:val="1"/>
      <w:marLeft w:val="0"/>
      <w:marRight w:val="0"/>
      <w:marTop w:val="0"/>
      <w:marBottom w:val="0"/>
      <w:divBdr>
        <w:top w:val="none" w:sz="0" w:space="0" w:color="auto"/>
        <w:left w:val="none" w:sz="0" w:space="0" w:color="auto"/>
        <w:bottom w:val="none" w:sz="0" w:space="0" w:color="auto"/>
        <w:right w:val="none" w:sz="0" w:space="0" w:color="auto"/>
      </w:divBdr>
    </w:div>
    <w:div w:id="1377001590">
      <w:bodyDiv w:val="1"/>
      <w:marLeft w:val="0"/>
      <w:marRight w:val="0"/>
      <w:marTop w:val="0"/>
      <w:marBottom w:val="0"/>
      <w:divBdr>
        <w:top w:val="none" w:sz="0" w:space="0" w:color="auto"/>
        <w:left w:val="none" w:sz="0" w:space="0" w:color="auto"/>
        <w:bottom w:val="none" w:sz="0" w:space="0" w:color="auto"/>
        <w:right w:val="none" w:sz="0" w:space="0" w:color="auto"/>
      </w:divBdr>
    </w:div>
    <w:div w:id="1461344629">
      <w:bodyDiv w:val="1"/>
      <w:marLeft w:val="0"/>
      <w:marRight w:val="0"/>
      <w:marTop w:val="0"/>
      <w:marBottom w:val="0"/>
      <w:divBdr>
        <w:top w:val="none" w:sz="0" w:space="0" w:color="auto"/>
        <w:left w:val="none" w:sz="0" w:space="0" w:color="auto"/>
        <w:bottom w:val="none" w:sz="0" w:space="0" w:color="auto"/>
        <w:right w:val="none" w:sz="0" w:space="0" w:color="auto"/>
      </w:divBdr>
    </w:div>
    <w:div w:id="1577088353">
      <w:bodyDiv w:val="1"/>
      <w:marLeft w:val="0"/>
      <w:marRight w:val="0"/>
      <w:marTop w:val="0"/>
      <w:marBottom w:val="0"/>
      <w:divBdr>
        <w:top w:val="none" w:sz="0" w:space="0" w:color="auto"/>
        <w:left w:val="none" w:sz="0" w:space="0" w:color="auto"/>
        <w:bottom w:val="none" w:sz="0" w:space="0" w:color="auto"/>
        <w:right w:val="none" w:sz="0" w:space="0" w:color="auto"/>
      </w:divBdr>
    </w:div>
    <w:div w:id="1624145887">
      <w:bodyDiv w:val="1"/>
      <w:marLeft w:val="0"/>
      <w:marRight w:val="0"/>
      <w:marTop w:val="0"/>
      <w:marBottom w:val="0"/>
      <w:divBdr>
        <w:top w:val="none" w:sz="0" w:space="0" w:color="auto"/>
        <w:left w:val="none" w:sz="0" w:space="0" w:color="auto"/>
        <w:bottom w:val="none" w:sz="0" w:space="0" w:color="auto"/>
        <w:right w:val="none" w:sz="0" w:space="0" w:color="auto"/>
      </w:divBdr>
    </w:div>
    <w:div w:id="1945305527">
      <w:bodyDiv w:val="1"/>
      <w:marLeft w:val="0"/>
      <w:marRight w:val="0"/>
      <w:marTop w:val="0"/>
      <w:marBottom w:val="0"/>
      <w:divBdr>
        <w:top w:val="none" w:sz="0" w:space="0" w:color="auto"/>
        <w:left w:val="none" w:sz="0" w:space="0" w:color="auto"/>
        <w:bottom w:val="none" w:sz="0" w:space="0" w:color="auto"/>
        <w:right w:val="none" w:sz="0" w:space="0" w:color="auto"/>
      </w:divBdr>
    </w:div>
    <w:div w:id="21390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F86E-57BE-494C-A3EA-6B038196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209</TotalTime>
  <Pages>55</Pages>
  <Words>17238</Words>
  <Characters>93042</Characters>
  <Application>Microsoft Office Word</Application>
  <DocSecurity>0</DocSecurity>
  <Lines>775</Lines>
  <Paragraphs>220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110060</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Jennifer Lim</dc:creator>
  <cp:keywords/>
  <cp:lastModifiedBy>Jennifer Lim</cp:lastModifiedBy>
  <cp:revision>22</cp:revision>
  <cp:lastPrinted>2019-06-14T02:36:00Z</cp:lastPrinted>
  <dcterms:created xsi:type="dcterms:W3CDTF">2019-06-13T22:34:00Z</dcterms:created>
  <dcterms:modified xsi:type="dcterms:W3CDTF">2019-06-14T02:39:00Z</dcterms:modified>
</cp:coreProperties>
</file>