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EA6" w:rsidRDefault="004E6EA6" w:rsidP="004E6EA6">
      <w:pPr>
        <w:tabs>
          <w:tab w:val="left" w:pos="-720"/>
        </w:tabs>
        <w:suppressAutoHyphens/>
        <w:rPr>
          <w:spacing w:val="-3"/>
        </w:rPr>
      </w:pPr>
      <w:r>
        <w:rPr>
          <w:spacing w:val="-3"/>
        </w:rPr>
        <w:t>Our Ref:</w:t>
      </w:r>
      <w:r w:rsidR="00D80195">
        <w:rPr>
          <w:b/>
          <w:spacing w:val="-3"/>
        </w:rPr>
        <w:t xml:space="preserve"> </w:t>
      </w:r>
      <w:r w:rsidR="00D80195">
        <w:rPr>
          <w:spacing w:val="-3"/>
        </w:rPr>
        <w:t>02/88/0167</w:t>
      </w:r>
    </w:p>
    <w:p w:rsidR="00D80195" w:rsidRDefault="00D80195" w:rsidP="004E6EA6">
      <w:pPr>
        <w:tabs>
          <w:tab w:val="left" w:pos="-720"/>
        </w:tabs>
        <w:suppressAutoHyphens/>
        <w:rPr>
          <w:spacing w:val="-3"/>
        </w:rPr>
      </w:pPr>
      <w:r>
        <w:rPr>
          <w:spacing w:val="-3"/>
        </w:rPr>
        <w:t>Your Ref: 2009/107-1</w:t>
      </w:r>
    </w:p>
    <w:p w:rsidR="004E6EA6" w:rsidRDefault="004E6EA6" w:rsidP="004E6EA6">
      <w:pPr>
        <w:tabs>
          <w:tab w:val="left" w:pos="-720"/>
        </w:tabs>
        <w:suppressAutoHyphens/>
        <w:rPr>
          <w:spacing w:val="-3"/>
        </w:rPr>
      </w:pPr>
      <w:r>
        <w:rPr>
          <w:spacing w:val="-3"/>
        </w:rPr>
        <w:t>Enquiries:</w:t>
      </w:r>
      <w:r w:rsidR="00D80195">
        <w:rPr>
          <w:b/>
          <w:spacing w:val="-3"/>
        </w:rPr>
        <w:t xml:space="preserve"> </w:t>
      </w:r>
      <w:r w:rsidR="00734A00">
        <w:rPr>
          <w:spacing w:val="-3"/>
        </w:rPr>
        <w:t>Allan Macdonald</w:t>
      </w:r>
      <w:r w:rsidR="00D80195">
        <w:rPr>
          <w:spacing w:val="-3"/>
        </w:rPr>
        <w:t xml:space="preserve"> </w:t>
      </w:r>
    </w:p>
    <w:p w:rsidR="004E6EA6" w:rsidRDefault="004E6EA6" w:rsidP="004E6EA6">
      <w:pPr>
        <w:tabs>
          <w:tab w:val="left" w:pos="-720"/>
        </w:tabs>
        <w:suppressAutoHyphens/>
        <w:rPr>
          <w:spacing w:val="-3"/>
        </w:rPr>
      </w:pPr>
    </w:p>
    <w:p w:rsidR="004E6EA6" w:rsidRDefault="004E6EA6" w:rsidP="004E6EA6">
      <w:pPr>
        <w:tabs>
          <w:tab w:val="left" w:pos="-720"/>
        </w:tabs>
        <w:suppressAutoHyphens/>
        <w:rPr>
          <w:spacing w:val="-3"/>
        </w:rPr>
      </w:pPr>
    </w:p>
    <w:p w:rsidR="00734A00" w:rsidRDefault="00734A00" w:rsidP="004E6EA6">
      <w:pPr>
        <w:tabs>
          <w:tab w:val="left" w:pos="-720"/>
        </w:tabs>
        <w:suppressAutoHyphens/>
        <w:rPr>
          <w:spacing w:val="-3"/>
        </w:rPr>
      </w:pPr>
    </w:p>
    <w:p w:rsidR="004E6EA6" w:rsidRDefault="00D80195" w:rsidP="004E6EA6">
      <w:pPr>
        <w:tabs>
          <w:tab w:val="left" w:pos="-720"/>
        </w:tabs>
        <w:suppressAutoHyphens/>
        <w:rPr>
          <w:spacing w:val="-3"/>
        </w:rPr>
      </w:pPr>
      <w:r>
        <w:rPr>
          <w:spacing w:val="-3"/>
        </w:rPr>
        <w:t>Ms Sophie Redmond</w:t>
      </w:r>
    </w:p>
    <w:p w:rsidR="00D80195" w:rsidRDefault="00D80195" w:rsidP="004E6EA6">
      <w:pPr>
        <w:tabs>
          <w:tab w:val="left" w:pos="-720"/>
        </w:tabs>
        <w:suppressAutoHyphens/>
        <w:rPr>
          <w:spacing w:val="-3"/>
        </w:rPr>
      </w:pPr>
      <w:r>
        <w:rPr>
          <w:spacing w:val="-3"/>
        </w:rPr>
        <w:t>Lawyer</w:t>
      </w:r>
    </w:p>
    <w:p w:rsidR="00734A00" w:rsidRDefault="00D80195" w:rsidP="004E6EA6">
      <w:pPr>
        <w:tabs>
          <w:tab w:val="left" w:pos="-720"/>
        </w:tabs>
        <w:suppressAutoHyphens/>
        <w:rPr>
          <w:spacing w:val="-3"/>
        </w:rPr>
      </w:pPr>
      <w:r>
        <w:rPr>
          <w:spacing w:val="-3"/>
        </w:rPr>
        <w:t>Legal Section</w:t>
      </w:r>
    </w:p>
    <w:p w:rsidR="00734A00" w:rsidRDefault="00D80195" w:rsidP="004E6EA6">
      <w:pPr>
        <w:tabs>
          <w:tab w:val="left" w:pos="-720"/>
        </w:tabs>
        <w:suppressAutoHyphens/>
        <w:rPr>
          <w:spacing w:val="-3"/>
        </w:rPr>
      </w:pPr>
      <w:r>
        <w:rPr>
          <w:spacing w:val="-3"/>
        </w:rPr>
        <w:t>Australian Human Rights Commission</w:t>
      </w:r>
    </w:p>
    <w:p w:rsidR="00D80195" w:rsidRDefault="00D80195" w:rsidP="004E6EA6">
      <w:pPr>
        <w:tabs>
          <w:tab w:val="left" w:pos="-720"/>
        </w:tabs>
        <w:suppressAutoHyphens/>
        <w:rPr>
          <w:spacing w:val="-3"/>
        </w:rPr>
      </w:pPr>
      <w:r>
        <w:rPr>
          <w:spacing w:val="-3"/>
        </w:rPr>
        <w:t>GPO Box 5218</w:t>
      </w:r>
    </w:p>
    <w:p w:rsidR="00D80195" w:rsidRDefault="00D80195" w:rsidP="004E6EA6">
      <w:pPr>
        <w:tabs>
          <w:tab w:val="left" w:pos="-720"/>
        </w:tabs>
        <w:suppressAutoHyphens/>
        <w:rPr>
          <w:spacing w:val="-3"/>
        </w:rPr>
      </w:pPr>
      <w:r>
        <w:rPr>
          <w:spacing w:val="-3"/>
        </w:rPr>
        <w:t xml:space="preserve">SYDNEY NSW 2001 </w:t>
      </w:r>
    </w:p>
    <w:p w:rsidR="004E6EA6" w:rsidRDefault="004E6EA6" w:rsidP="004E6EA6">
      <w:pPr>
        <w:tabs>
          <w:tab w:val="left" w:pos="-720"/>
        </w:tabs>
        <w:suppressAutoHyphens/>
        <w:rPr>
          <w:spacing w:val="-3"/>
        </w:rPr>
      </w:pPr>
    </w:p>
    <w:p w:rsidR="004E6EA6" w:rsidRDefault="004E6EA6" w:rsidP="004E6EA6">
      <w:pPr>
        <w:tabs>
          <w:tab w:val="left" w:pos="-720"/>
        </w:tabs>
        <w:suppressAutoHyphens/>
        <w:rPr>
          <w:spacing w:val="-3"/>
        </w:rPr>
      </w:pPr>
    </w:p>
    <w:p w:rsidR="004E6EA6" w:rsidRDefault="004E6EA6" w:rsidP="004E6EA6">
      <w:pPr>
        <w:tabs>
          <w:tab w:val="left" w:pos="-720"/>
        </w:tabs>
        <w:suppressAutoHyphens/>
        <w:rPr>
          <w:spacing w:val="-3"/>
        </w:rPr>
      </w:pPr>
      <w:r>
        <w:rPr>
          <w:spacing w:val="-3"/>
        </w:rPr>
        <w:t xml:space="preserve">Dear </w:t>
      </w:r>
      <w:r w:rsidR="00734A00">
        <w:rPr>
          <w:spacing w:val="-3"/>
        </w:rPr>
        <w:t xml:space="preserve">Ms </w:t>
      </w:r>
      <w:r w:rsidR="00D80195">
        <w:rPr>
          <w:spacing w:val="-3"/>
        </w:rPr>
        <w:t>Redmond</w:t>
      </w:r>
    </w:p>
    <w:p w:rsidR="004E6EA6" w:rsidRDefault="004E6EA6" w:rsidP="00D80195">
      <w:pPr>
        <w:tabs>
          <w:tab w:val="left" w:pos="-720"/>
        </w:tabs>
        <w:suppressAutoHyphens/>
        <w:jc w:val="both"/>
        <w:rPr>
          <w:spacing w:val="-3"/>
        </w:rPr>
      </w:pPr>
    </w:p>
    <w:p w:rsidR="00734A00" w:rsidRPr="00D80195" w:rsidRDefault="00D80195" w:rsidP="00D80195">
      <w:pPr>
        <w:pStyle w:val="Heading1"/>
        <w:rPr>
          <w:rFonts w:ascii="Arial" w:hAnsi="Arial" w:cs="Arial"/>
          <w:sz w:val="22"/>
          <w:szCs w:val="22"/>
        </w:rPr>
      </w:pPr>
      <w:r w:rsidRPr="00D80195">
        <w:rPr>
          <w:rFonts w:ascii="Arial" w:hAnsi="Arial" w:cs="Arial"/>
          <w:sz w:val="22"/>
          <w:szCs w:val="22"/>
        </w:rPr>
        <w:t>EXEMPTION APPLICATION UNDER THE ‘ADA’ – CARNIVAL CRUISES</w:t>
      </w:r>
    </w:p>
    <w:p w:rsidR="00734A00" w:rsidRDefault="00734A00" w:rsidP="00D80195">
      <w:pPr>
        <w:tabs>
          <w:tab w:val="left" w:pos="-720"/>
        </w:tabs>
        <w:suppressAutoHyphens/>
        <w:jc w:val="both"/>
        <w:rPr>
          <w:spacing w:val="-3"/>
          <w:lang w:val="en-AU"/>
        </w:rPr>
      </w:pPr>
    </w:p>
    <w:p w:rsidR="00D80195" w:rsidRDefault="00D80195" w:rsidP="00D80195">
      <w:pPr>
        <w:jc w:val="both"/>
      </w:pPr>
      <w:r>
        <w:t xml:space="preserve">Thank you for your letter </w:t>
      </w:r>
      <w:r w:rsidR="00BD5D3E">
        <w:t>dated 29 May 2009, inviting the</w:t>
      </w:r>
      <w:r>
        <w:t xml:space="preserve"> Commission to make a submission in respect to an application by Carnival Cruises (‘Carnival’) for a temporary exemption under the </w:t>
      </w:r>
      <w:r w:rsidRPr="00BD5D3E">
        <w:rPr>
          <w:i/>
        </w:rPr>
        <w:t>Age Discrimination Act 2004</w:t>
      </w:r>
      <w:r>
        <w:t xml:space="preserve"> (‘ADA’).</w:t>
      </w:r>
    </w:p>
    <w:p w:rsidR="00D80195" w:rsidRDefault="00D80195" w:rsidP="00D80195">
      <w:pPr>
        <w:jc w:val="both"/>
      </w:pPr>
    </w:p>
    <w:p w:rsidR="002A5EDA" w:rsidRDefault="00D80195" w:rsidP="00D80195">
      <w:pPr>
        <w:jc w:val="both"/>
      </w:pPr>
      <w:r>
        <w:t>I have read the attached copy of Carnival’s application, together with the 2009 AHRC Guidelines.</w:t>
      </w:r>
      <w:r w:rsidR="00B36D25">
        <w:t xml:space="preserve"> I note the observation in the Guidelines that the ADA does not state how the </w:t>
      </w:r>
      <w:r w:rsidR="002E11B4">
        <w:t xml:space="preserve">AHRC </w:t>
      </w:r>
      <w:r w:rsidR="00B36D25">
        <w:t xml:space="preserve">should exercise its power to grant exemptions. This is also the case in Western Australia under the </w:t>
      </w:r>
      <w:r w:rsidR="00B36D25" w:rsidRPr="00B36D25">
        <w:rPr>
          <w:i/>
        </w:rPr>
        <w:t>Equal Opportunity Act 1984</w:t>
      </w:r>
      <w:r w:rsidR="002E11B4">
        <w:t xml:space="preserve"> (‘EOA’). Under the EOA, applications for exemptions are made to the State Administrative Tribunal (‘SAT’).  The SAT does not issue guidelines like the AHRC, but publishes decisions after considering evidence and submissions from the applicant and any interested parties. Under the SAT Regulations, </w:t>
      </w:r>
      <w:r w:rsidR="002A5EDA">
        <w:t xml:space="preserve">I am automatically joined as </w:t>
      </w:r>
      <w:r w:rsidR="00B40C81">
        <w:t>a</w:t>
      </w:r>
      <w:r w:rsidR="002A5EDA">
        <w:t xml:space="preserve"> party to every exemption application, unless I advise the SAT that I do not wish to remain a party. </w:t>
      </w:r>
    </w:p>
    <w:p w:rsidR="002A5EDA" w:rsidRDefault="002A5EDA" w:rsidP="00D80195">
      <w:pPr>
        <w:jc w:val="both"/>
      </w:pPr>
    </w:p>
    <w:p w:rsidR="00E51E59" w:rsidRDefault="00B36D25" w:rsidP="002A5EDA">
      <w:pPr>
        <w:jc w:val="both"/>
      </w:pPr>
      <w:r>
        <w:t xml:space="preserve">Recently, the </w:t>
      </w:r>
      <w:r w:rsidR="00D172CD">
        <w:t xml:space="preserve">matters to be </w:t>
      </w:r>
      <w:r>
        <w:t xml:space="preserve">taken into account when </w:t>
      </w:r>
      <w:r w:rsidR="00FA4EA8">
        <w:t>deciding upon</w:t>
      </w:r>
      <w:r w:rsidR="003B0158">
        <w:t xml:space="preserve"> an application for an</w:t>
      </w:r>
      <w:r w:rsidR="00B86363">
        <w:t xml:space="preserve"> exemption under the EOA w</w:t>
      </w:r>
      <w:r w:rsidR="00D172CD">
        <w:t>ere</w:t>
      </w:r>
      <w:r w:rsidR="00B86363">
        <w:t xml:space="preserve"> considered by the WA Court of Appeal, in </w:t>
      </w:r>
      <w:r w:rsidR="00B86363" w:rsidRPr="00B86363">
        <w:rPr>
          <w:b/>
          <w:i/>
        </w:rPr>
        <w:t>Commissioner for Equal Opportunity &amp; Ors v ADI Ltd &amp; Ors</w:t>
      </w:r>
      <w:r w:rsidR="00B86363" w:rsidRPr="00B86363">
        <w:rPr>
          <w:b/>
        </w:rPr>
        <w:t xml:space="preserve"> [207] WASCA 261</w:t>
      </w:r>
      <w:r w:rsidR="00B86363">
        <w:t xml:space="preserve">. </w:t>
      </w:r>
      <w:r w:rsidR="0053004E">
        <w:t xml:space="preserve">In 2005, the SAT </w:t>
      </w:r>
      <w:r w:rsidR="002A5EDA">
        <w:t xml:space="preserve">received an application from </w:t>
      </w:r>
      <w:r w:rsidR="00B40C81">
        <w:t>defence contractor, ADI Ltd</w:t>
      </w:r>
      <w:r w:rsidR="002A5EDA">
        <w:t xml:space="preserve"> </w:t>
      </w:r>
      <w:r w:rsidR="00B40C81">
        <w:t xml:space="preserve">(‘ADI’) </w:t>
      </w:r>
      <w:r w:rsidR="002A5EDA">
        <w:t>and its related entities, seeking an</w:t>
      </w:r>
      <w:r w:rsidR="0053004E">
        <w:t xml:space="preserve"> exemption </w:t>
      </w:r>
      <w:r w:rsidR="00FA4EA8">
        <w:t>from the race discrimination provisions of the EOA</w:t>
      </w:r>
      <w:r w:rsidR="0053004E">
        <w:t xml:space="preserve">, </w:t>
      </w:r>
      <w:r w:rsidR="002A5EDA">
        <w:t>so as to permit the</w:t>
      </w:r>
      <w:r w:rsidR="00FA4EA8">
        <w:t xml:space="preserve"> company</w:t>
      </w:r>
      <w:r w:rsidR="0053004E">
        <w:t xml:space="preserve"> to </w:t>
      </w:r>
      <w:r w:rsidR="002A5EDA">
        <w:t xml:space="preserve">lawfully </w:t>
      </w:r>
      <w:r w:rsidR="0053004E">
        <w:t xml:space="preserve">discriminate against employees, job applicants, and contract workers, </w:t>
      </w:r>
      <w:r w:rsidR="00FA4EA8">
        <w:t>on the ground of their nationality</w:t>
      </w:r>
      <w:r w:rsidR="0053004E">
        <w:t xml:space="preserve">, where </w:t>
      </w:r>
      <w:r w:rsidR="00FA4EA8">
        <w:t xml:space="preserve">it was considered necessary </w:t>
      </w:r>
      <w:r w:rsidR="003929A6">
        <w:t>in order for</w:t>
      </w:r>
      <w:r w:rsidR="0053004E">
        <w:t xml:space="preserve"> ADI to undertake </w:t>
      </w:r>
      <w:r w:rsidR="00020810">
        <w:t>defence projects in compliance with the laws of the United States</w:t>
      </w:r>
      <w:r w:rsidR="00FA4EA8">
        <w:t>.</w:t>
      </w:r>
      <w:r w:rsidR="00B40C81">
        <w:t xml:space="preserve"> In my view, the conduct proposed by ADI was clearly discriminatory on its face and would be unlawful under the EOA, as no relevant exceptions applied. Accordingly, I opposed the granting of an exemption in any form.</w:t>
      </w:r>
      <w:r w:rsidR="003929A6">
        <w:t xml:space="preserve"> </w:t>
      </w:r>
    </w:p>
    <w:p w:rsidR="00E51E59" w:rsidRDefault="00E51E59" w:rsidP="002A5EDA">
      <w:pPr>
        <w:jc w:val="both"/>
      </w:pPr>
    </w:p>
    <w:p w:rsidR="00B40C81" w:rsidRDefault="003929A6" w:rsidP="002A5EDA">
      <w:pPr>
        <w:jc w:val="both"/>
      </w:pPr>
      <w:r>
        <w:t xml:space="preserve">The SAT granted the exemption, subject to conditions. </w:t>
      </w:r>
      <w:r w:rsidR="00C00A72">
        <w:t>In its decision, the SAT</w:t>
      </w:r>
      <w:r w:rsidR="00E51E59">
        <w:t xml:space="preserve"> summarised its role in the following way:</w:t>
      </w:r>
    </w:p>
    <w:p w:rsidR="00E51E59" w:rsidRDefault="00E51E59" w:rsidP="002A5EDA">
      <w:pPr>
        <w:jc w:val="both"/>
      </w:pPr>
    </w:p>
    <w:p w:rsidR="00E51E59" w:rsidRPr="00E51E59" w:rsidRDefault="00E51E59" w:rsidP="00BD5D3E">
      <w:pPr>
        <w:autoSpaceDE w:val="0"/>
        <w:autoSpaceDN w:val="0"/>
        <w:adjustRightInd w:val="0"/>
        <w:ind w:left="360" w:right="353"/>
        <w:jc w:val="both"/>
        <w:rPr>
          <w:rFonts w:ascii="Times New Roman" w:hAnsi="Times New Roman"/>
          <w:szCs w:val="24"/>
          <w:lang w:val="en-AU" w:eastAsia="en-AU"/>
        </w:rPr>
      </w:pPr>
      <w:r>
        <w:rPr>
          <w:rFonts w:ascii="Times New Roman" w:hAnsi="Times New Roman"/>
          <w:szCs w:val="24"/>
          <w:lang w:val="en-AU" w:eastAsia="en-AU"/>
        </w:rPr>
        <w:lastRenderedPageBreak/>
        <w:t>“The discretion vested in us is very broad and flexible although not entirely unfettered; this application for exemption does not fit squarely within the objects of the EO Act. But Parliament cannot have intended us to look at these applications completely in isolation with only the scope and purpose of the EO Act to guide us and to qualify an application. To be able to deal sensibly and realistically with this application, we must consider it in its broader context, looking at the ramifications not just on anti-discriminatory or discriminatory conduct, if it is granted. This is not to say that economic considerations should or could be paramount; they are not. Rather, we need to look to the total combined effect of the consequences if the exemption is or is not granted. We must consider all of the interests that can be pointed to that would justify the granting of the application, against a f</w:t>
      </w:r>
      <w:r w:rsidR="00BD5D3E">
        <w:rPr>
          <w:rFonts w:ascii="Times New Roman" w:hAnsi="Times New Roman"/>
          <w:szCs w:val="24"/>
          <w:lang w:val="en-AU" w:eastAsia="en-AU"/>
        </w:rPr>
        <w:t xml:space="preserve">ramework of the public interest </w:t>
      </w:r>
      <w:r>
        <w:rPr>
          <w:rFonts w:ascii="Times New Roman" w:hAnsi="Times New Roman"/>
          <w:szCs w:val="24"/>
          <w:lang w:val="en-AU" w:eastAsia="en-AU"/>
        </w:rPr>
        <w:t xml:space="preserve">– </w:t>
      </w:r>
      <w:r w:rsidRPr="00E51E59">
        <w:rPr>
          <w:rFonts w:ascii="Times New Roman" w:hAnsi="Times New Roman"/>
          <w:b/>
          <w:i/>
          <w:szCs w:val="24"/>
          <w:lang w:val="en-AU" w:eastAsia="en-AU"/>
        </w:rPr>
        <w:t>ADI Ltd v Commissioner for Equal Opportunity</w:t>
      </w:r>
      <w:r w:rsidRPr="00E51E59">
        <w:rPr>
          <w:rFonts w:ascii="Times New Roman" w:hAnsi="Times New Roman"/>
          <w:b/>
          <w:szCs w:val="24"/>
          <w:lang w:val="en-AU" w:eastAsia="en-AU"/>
        </w:rPr>
        <w:t xml:space="preserve"> [2005] WASAT 259</w:t>
      </w:r>
      <w:r>
        <w:rPr>
          <w:rFonts w:ascii="Times New Roman" w:hAnsi="Times New Roman"/>
          <w:szCs w:val="24"/>
          <w:lang w:val="en-AU" w:eastAsia="en-AU"/>
        </w:rPr>
        <w:t>, at [131] – [132].</w:t>
      </w:r>
    </w:p>
    <w:p w:rsidR="00B40C81" w:rsidRDefault="00B40C81" w:rsidP="002A5EDA">
      <w:pPr>
        <w:jc w:val="both"/>
      </w:pPr>
    </w:p>
    <w:p w:rsidR="00ED3EA3" w:rsidRDefault="00F71BA5" w:rsidP="00373E5F">
      <w:pPr>
        <w:jc w:val="both"/>
      </w:pPr>
      <w:r>
        <w:t xml:space="preserve">As a result of this decision, I lodged an appeal in the Court of Appeal. </w:t>
      </w:r>
      <w:r w:rsidR="00555BE3">
        <w:t xml:space="preserve">The main issue before the Court was whether or not the </w:t>
      </w:r>
      <w:r w:rsidR="00642A7A">
        <w:t>SAT</w:t>
      </w:r>
      <w:r w:rsidR="00555BE3">
        <w:t xml:space="preserve"> </w:t>
      </w:r>
      <w:r w:rsidR="00642A7A">
        <w:t>erred by taking</w:t>
      </w:r>
      <w:r w:rsidR="00555BE3">
        <w:t xml:space="preserve"> into account the public interest when </w:t>
      </w:r>
      <w:r w:rsidR="00642A7A">
        <w:t>it</w:t>
      </w:r>
      <w:r w:rsidR="00555BE3">
        <w:t xml:space="preserve"> grant</w:t>
      </w:r>
      <w:r w:rsidR="00642A7A">
        <w:t>ed</w:t>
      </w:r>
      <w:r w:rsidR="00555BE3">
        <w:t xml:space="preserve"> </w:t>
      </w:r>
      <w:r w:rsidR="00642A7A">
        <w:t>the</w:t>
      </w:r>
      <w:r w:rsidR="00555BE3">
        <w:t xml:space="preserve"> exemption</w:t>
      </w:r>
      <w:r w:rsidR="00642A7A">
        <w:t xml:space="preserve"> to ADI</w:t>
      </w:r>
      <w:r w:rsidR="00555BE3">
        <w:t xml:space="preserve">. </w:t>
      </w:r>
      <w:r w:rsidR="00837FAB">
        <w:t xml:space="preserve">My view is that the SAT should only grant exemptions in circumstances where there is uncertainty as to whether or not the applicant’s proposed conduct is covered by one of the specific or general exceptions under the EOA, and it is </w:t>
      </w:r>
      <w:r w:rsidR="0067741A">
        <w:t xml:space="preserve">reasonably </w:t>
      </w:r>
      <w:r w:rsidR="00837FAB">
        <w:t>clear that the conduct is consistent with objects of the EOA, irrespective of public interes</w:t>
      </w:r>
      <w:r w:rsidR="0067741A">
        <w:t>t considerations.</w:t>
      </w:r>
      <w:r w:rsidR="00BD5D3E">
        <w:t xml:space="preserve"> The public interest in exemption applications is, in my view, a matter for the Parliament to address through legislation or specific regulations.</w:t>
      </w:r>
      <w:r w:rsidR="00837FAB">
        <w:t xml:space="preserve"> </w:t>
      </w:r>
      <w:r w:rsidR="00BD5D3E">
        <w:t>In any event, t</w:t>
      </w:r>
      <w:r w:rsidR="00642A7A">
        <w:t>he Court dismissed the appeal</w:t>
      </w:r>
      <w:r w:rsidR="00373E5F">
        <w:t xml:space="preserve"> and made the following observations</w:t>
      </w:r>
      <w:r w:rsidR="00AF0224">
        <w:t>, at [70] and [72], per Martin CJ</w:t>
      </w:r>
      <w:r w:rsidR="00373E5F">
        <w:t>:</w:t>
      </w:r>
    </w:p>
    <w:p w:rsidR="00020810" w:rsidRDefault="00020810" w:rsidP="003B0158">
      <w:pPr>
        <w:autoSpaceDE w:val="0"/>
        <w:autoSpaceDN w:val="0"/>
        <w:adjustRightInd w:val="0"/>
        <w:jc w:val="both"/>
        <w:rPr>
          <w:rFonts w:ascii="Times New Roman" w:hAnsi="Times New Roman"/>
          <w:sz w:val="28"/>
          <w:szCs w:val="28"/>
          <w:lang w:val="en-AU" w:eastAsia="en-AU"/>
        </w:rPr>
      </w:pPr>
    </w:p>
    <w:p w:rsidR="003B0158" w:rsidRPr="00AF0224" w:rsidRDefault="00ED3EA3" w:rsidP="00373E5F">
      <w:pPr>
        <w:autoSpaceDE w:val="0"/>
        <w:autoSpaceDN w:val="0"/>
        <w:adjustRightInd w:val="0"/>
        <w:ind w:left="360" w:right="353"/>
        <w:jc w:val="both"/>
        <w:rPr>
          <w:rFonts w:ascii="Times New Roman" w:hAnsi="Times New Roman"/>
          <w:szCs w:val="24"/>
          <w:lang w:val="en-AU" w:eastAsia="en-AU"/>
        </w:rPr>
      </w:pPr>
      <w:r>
        <w:rPr>
          <w:rFonts w:ascii="Times New Roman" w:hAnsi="Times New Roman"/>
          <w:szCs w:val="24"/>
          <w:lang w:val="en-AU" w:eastAsia="en-AU"/>
        </w:rPr>
        <w:t>“</w:t>
      </w:r>
      <w:r w:rsidR="005A4BBA">
        <w:rPr>
          <w:rFonts w:ascii="Times New Roman" w:hAnsi="Times New Roman"/>
          <w:szCs w:val="24"/>
          <w:lang w:val="en-AU" w:eastAsia="en-AU"/>
        </w:rPr>
        <w:t>When</w:t>
      </w:r>
      <w:r w:rsidRPr="00ED3EA3">
        <w:rPr>
          <w:rFonts w:ascii="Times New Roman" w:hAnsi="Times New Roman"/>
          <w:szCs w:val="24"/>
          <w:lang w:val="en-AU" w:eastAsia="en-AU"/>
        </w:rPr>
        <w:t xml:space="preserve"> regard is had to the specific exceptions to Pt III of the Act</w:t>
      </w:r>
      <w:r w:rsidR="00373E5F">
        <w:rPr>
          <w:rFonts w:ascii="Times New Roman" w:hAnsi="Times New Roman"/>
          <w:szCs w:val="24"/>
          <w:lang w:val="en-AU" w:eastAsia="en-AU"/>
        </w:rPr>
        <w:t xml:space="preserve"> (Discrimination on the ground of Race)</w:t>
      </w:r>
      <w:r w:rsidRPr="00ED3EA3">
        <w:rPr>
          <w:rFonts w:ascii="Times New Roman" w:hAnsi="Times New Roman"/>
          <w:szCs w:val="24"/>
          <w:lang w:val="en-AU" w:eastAsia="en-AU"/>
        </w:rPr>
        <w:t xml:space="preserve">, and the general exceptions to the Act in Pt VI, it is clear that the legislature has taken the view that conduct which would otherwise be prohibited because it is discriminatory should nevertheless be permitted because it can be justified by reference to a variety of considerations which are extraneous to the anti-discriminatory objects of the Act, and in particular the objects specified in s 3 of the Act. It follows that when the Tribunal comes to consider an application for exemption from the operation of the Act, it can and should take into account the fact that </w:t>
      </w:r>
      <w:r w:rsidRPr="00AF0224">
        <w:rPr>
          <w:rFonts w:ascii="Times New Roman" w:hAnsi="Times New Roman"/>
          <w:szCs w:val="24"/>
          <w:lang w:val="en-AU" w:eastAsia="en-AU"/>
        </w:rPr>
        <w:t>the legislature has recognised that there are some circumstances in which discriminatory conduct can be justified by reference to considerations which are extraneous to the anti-discriminatory objects of the Act, and that it has conferred upon the Tribunal the power to identify circumstances beyond those specified in the Act, in which conduct which is otherwise discriminatory should nevertheless be lawful.</w:t>
      </w:r>
    </w:p>
    <w:p w:rsidR="00ED3EA3" w:rsidRPr="00ED3EA3" w:rsidRDefault="00ED3EA3" w:rsidP="00ED3EA3">
      <w:pPr>
        <w:autoSpaceDE w:val="0"/>
        <w:autoSpaceDN w:val="0"/>
        <w:adjustRightInd w:val="0"/>
        <w:jc w:val="both"/>
        <w:rPr>
          <w:rFonts w:ascii="Times New Roman" w:hAnsi="Times New Roman"/>
          <w:szCs w:val="24"/>
          <w:lang w:val="en-AU" w:eastAsia="en-AU"/>
        </w:rPr>
      </w:pPr>
    </w:p>
    <w:p w:rsidR="00D80195" w:rsidRDefault="003B0158" w:rsidP="00373E5F">
      <w:pPr>
        <w:autoSpaceDE w:val="0"/>
        <w:autoSpaceDN w:val="0"/>
        <w:adjustRightInd w:val="0"/>
        <w:ind w:left="360" w:right="353"/>
        <w:jc w:val="both"/>
        <w:rPr>
          <w:rFonts w:ascii="Times New Roman" w:hAnsi="Times New Roman"/>
          <w:szCs w:val="24"/>
          <w:lang w:val="en-AU" w:eastAsia="en-AU"/>
        </w:rPr>
      </w:pPr>
      <w:r w:rsidRPr="003B0158">
        <w:rPr>
          <w:rFonts w:ascii="Times New Roman" w:hAnsi="Times New Roman"/>
          <w:szCs w:val="24"/>
          <w:lang w:val="en-AU" w:eastAsia="en-AU"/>
        </w:rPr>
        <w:t>In summary, in my opinion when exercising the discretion conferre</w:t>
      </w:r>
      <w:r>
        <w:rPr>
          <w:rFonts w:ascii="Times New Roman" w:hAnsi="Times New Roman"/>
          <w:szCs w:val="24"/>
          <w:lang w:val="en-AU" w:eastAsia="en-AU"/>
        </w:rPr>
        <w:t xml:space="preserve">d </w:t>
      </w:r>
      <w:r w:rsidRPr="003B0158">
        <w:rPr>
          <w:rFonts w:ascii="Times New Roman" w:hAnsi="Times New Roman"/>
          <w:szCs w:val="24"/>
          <w:lang w:val="en-AU" w:eastAsia="en-AU"/>
        </w:rPr>
        <w:t>upon it by s 135 of the Act, it is consistent with the objects, scope and</w:t>
      </w:r>
      <w:r>
        <w:rPr>
          <w:rFonts w:ascii="Times New Roman" w:hAnsi="Times New Roman"/>
          <w:szCs w:val="24"/>
          <w:lang w:val="en-AU" w:eastAsia="en-AU"/>
        </w:rPr>
        <w:t xml:space="preserve"> </w:t>
      </w:r>
      <w:r w:rsidRPr="003B0158">
        <w:rPr>
          <w:rFonts w:ascii="Times New Roman" w:hAnsi="Times New Roman"/>
          <w:szCs w:val="24"/>
          <w:lang w:val="en-AU" w:eastAsia="en-AU"/>
        </w:rPr>
        <w:t>purpose of the Act, for the Tribunal to take into account any</w:t>
      </w:r>
      <w:r>
        <w:rPr>
          <w:rFonts w:ascii="Times New Roman" w:hAnsi="Times New Roman"/>
          <w:szCs w:val="24"/>
          <w:lang w:val="en-AU" w:eastAsia="en-AU"/>
        </w:rPr>
        <w:t xml:space="preserve"> </w:t>
      </w:r>
      <w:r w:rsidRPr="003B0158">
        <w:rPr>
          <w:rFonts w:ascii="Times New Roman" w:hAnsi="Times New Roman"/>
          <w:szCs w:val="24"/>
          <w:lang w:val="en-AU" w:eastAsia="en-AU"/>
        </w:rPr>
        <w:t>considerations which it considers would justify the commission of</w:t>
      </w:r>
      <w:r>
        <w:rPr>
          <w:rFonts w:ascii="Times New Roman" w:hAnsi="Times New Roman"/>
          <w:szCs w:val="24"/>
          <w:lang w:val="en-AU" w:eastAsia="en-AU"/>
        </w:rPr>
        <w:t xml:space="preserve"> </w:t>
      </w:r>
      <w:r w:rsidRPr="003B0158">
        <w:rPr>
          <w:rFonts w:ascii="Times New Roman" w:hAnsi="Times New Roman"/>
          <w:szCs w:val="24"/>
          <w:lang w:val="en-AU" w:eastAsia="en-AU"/>
        </w:rPr>
        <w:t>conduct which would otherwise be unlawful under the Act. So, provided</w:t>
      </w:r>
      <w:r>
        <w:rPr>
          <w:rFonts w:ascii="Times New Roman" w:hAnsi="Times New Roman"/>
          <w:szCs w:val="24"/>
          <w:lang w:val="en-AU" w:eastAsia="en-AU"/>
        </w:rPr>
        <w:t xml:space="preserve"> </w:t>
      </w:r>
      <w:r w:rsidRPr="003B0158">
        <w:rPr>
          <w:rFonts w:ascii="Times New Roman" w:hAnsi="Times New Roman"/>
          <w:szCs w:val="24"/>
          <w:lang w:val="en-AU" w:eastAsia="en-AU"/>
        </w:rPr>
        <w:t>there is a rational basis for the discriminatory conduct, it will fall to the</w:t>
      </w:r>
      <w:r>
        <w:rPr>
          <w:rFonts w:ascii="Times New Roman" w:hAnsi="Times New Roman"/>
          <w:szCs w:val="24"/>
          <w:lang w:val="en-AU" w:eastAsia="en-AU"/>
        </w:rPr>
        <w:t xml:space="preserve"> </w:t>
      </w:r>
      <w:r w:rsidRPr="003B0158">
        <w:rPr>
          <w:rFonts w:ascii="Times New Roman" w:hAnsi="Times New Roman"/>
          <w:szCs w:val="24"/>
          <w:lang w:val="en-AU" w:eastAsia="en-AU"/>
        </w:rPr>
        <w:t>Tribunal to determine whether the interests to be served by permitting that</w:t>
      </w:r>
      <w:r>
        <w:rPr>
          <w:rFonts w:ascii="Times New Roman" w:hAnsi="Times New Roman"/>
          <w:szCs w:val="24"/>
          <w:lang w:val="en-AU" w:eastAsia="en-AU"/>
        </w:rPr>
        <w:t xml:space="preserve"> </w:t>
      </w:r>
      <w:r w:rsidRPr="003B0158">
        <w:rPr>
          <w:rFonts w:ascii="Times New Roman" w:hAnsi="Times New Roman"/>
          <w:szCs w:val="24"/>
          <w:lang w:val="en-AU" w:eastAsia="en-AU"/>
        </w:rPr>
        <w:t>conduct outweigh the detriment which flows from discriminatory conduct.</w:t>
      </w:r>
      <w:r>
        <w:rPr>
          <w:rFonts w:ascii="Times New Roman" w:hAnsi="Times New Roman"/>
          <w:szCs w:val="24"/>
          <w:lang w:val="en-AU" w:eastAsia="en-AU"/>
        </w:rPr>
        <w:t xml:space="preserve"> </w:t>
      </w:r>
      <w:r w:rsidRPr="003B0158">
        <w:rPr>
          <w:rFonts w:ascii="Times New Roman" w:hAnsi="Times New Roman"/>
          <w:szCs w:val="24"/>
          <w:lang w:val="en-AU" w:eastAsia="en-AU"/>
        </w:rPr>
        <w:t xml:space="preserve">Often the interests properly considered by the Tribunal </w:t>
      </w:r>
      <w:r w:rsidRPr="003B0158">
        <w:rPr>
          <w:rFonts w:ascii="Times New Roman" w:hAnsi="Times New Roman"/>
          <w:szCs w:val="24"/>
          <w:lang w:val="en-AU" w:eastAsia="en-AU"/>
        </w:rPr>
        <w:lastRenderedPageBreak/>
        <w:t>in that context will</w:t>
      </w:r>
      <w:r>
        <w:rPr>
          <w:rFonts w:ascii="Times New Roman" w:hAnsi="Times New Roman"/>
          <w:szCs w:val="24"/>
          <w:lang w:val="en-AU" w:eastAsia="en-AU"/>
        </w:rPr>
        <w:t xml:space="preserve"> </w:t>
      </w:r>
      <w:r w:rsidRPr="003B0158">
        <w:rPr>
          <w:rFonts w:ascii="Times New Roman" w:hAnsi="Times New Roman"/>
          <w:szCs w:val="24"/>
          <w:lang w:val="en-AU" w:eastAsia="en-AU"/>
        </w:rPr>
        <w:t>be public interests, but they need not be so. As can be seen, for example,</w:t>
      </w:r>
      <w:r>
        <w:rPr>
          <w:rFonts w:ascii="Times New Roman" w:hAnsi="Times New Roman"/>
          <w:szCs w:val="24"/>
          <w:lang w:val="en-AU" w:eastAsia="en-AU"/>
        </w:rPr>
        <w:t xml:space="preserve"> </w:t>
      </w:r>
      <w:r w:rsidRPr="003B0158">
        <w:rPr>
          <w:rFonts w:ascii="Times New Roman" w:hAnsi="Times New Roman"/>
          <w:szCs w:val="24"/>
          <w:lang w:val="en-AU" w:eastAsia="en-AU"/>
        </w:rPr>
        <w:t>from s 50 of the Act</w:t>
      </w:r>
      <w:r w:rsidR="00AF0224">
        <w:rPr>
          <w:rFonts w:ascii="Times New Roman" w:hAnsi="Times New Roman"/>
          <w:szCs w:val="24"/>
          <w:lang w:val="en-AU" w:eastAsia="en-AU"/>
        </w:rPr>
        <w:t xml:space="preserve"> (Genuine Occupational Qualification)</w:t>
      </w:r>
      <w:r w:rsidRPr="003B0158">
        <w:rPr>
          <w:rFonts w:ascii="Times New Roman" w:hAnsi="Times New Roman"/>
          <w:szCs w:val="24"/>
          <w:lang w:val="en-AU" w:eastAsia="en-AU"/>
        </w:rPr>
        <w:t>, private interests have</w:t>
      </w:r>
      <w:r>
        <w:rPr>
          <w:rFonts w:ascii="Times New Roman" w:hAnsi="Times New Roman"/>
          <w:szCs w:val="24"/>
          <w:lang w:val="en-AU" w:eastAsia="en-AU"/>
        </w:rPr>
        <w:t xml:space="preserve"> </w:t>
      </w:r>
      <w:r w:rsidRPr="003B0158">
        <w:rPr>
          <w:rFonts w:ascii="Times New Roman" w:hAnsi="Times New Roman"/>
          <w:szCs w:val="24"/>
          <w:lang w:val="en-AU" w:eastAsia="en-AU"/>
        </w:rPr>
        <w:t xml:space="preserve">been recognised by the legislature as providing a sufficient </w:t>
      </w:r>
      <w:r>
        <w:rPr>
          <w:rFonts w:ascii="Times New Roman" w:hAnsi="Times New Roman"/>
          <w:szCs w:val="24"/>
          <w:lang w:val="en-AU" w:eastAsia="en-AU"/>
        </w:rPr>
        <w:t xml:space="preserve">justification </w:t>
      </w:r>
      <w:r w:rsidRPr="003B0158">
        <w:rPr>
          <w:rFonts w:ascii="Times New Roman" w:hAnsi="Times New Roman"/>
          <w:szCs w:val="24"/>
          <w:lang w:val="en-AU" w:eastAsia="en-AU"/>
        </w:rPr>
        <w:t>or the permission of conduct which would otherwise be unlawful.</w:t>
      </w:r>
      <w:r w:rsidR="00ED3EA3">
        <w:rPr>
          <w:rFonts w:ascii="Times New Roman" w:hAnsi="Times New Roman"/>
          <w:szCs w:val="24"/>
          <w:lang w:val="en-AU" w:eastAsia="en-AU"/>
        </w:rPr>
        <w:t>”</w:t>
      </w:r>
    </w:p>
    <w:p w:rsidR="00AF0224" w:rsidRDefault="00AF0224" w:rsidP="00373E5F">
      <w:pPr>
        <w:autoSpaceDE w:val="0"/>
        <w:autoSpaceDN w:val="0"/>
        <w:adjustRightInd w:val="0"/>
        <w:ind w:left="360" w:right="353"/>
        <w:jc w:val="both"/>
        <w:rPr>
          <w:rFonts w:ascii="Times New Roman" w:hAnsi="Times New Roman"/>
          <w:szCs w:val="24"/>
          <w:lang w:val="en-AU" w:eastAsia="en-AU"/>
        </w:rPr>
      </w:pPr>
    </w:p>
    <w:p w:rsidR="00AF0224" w:rsidRDefault="00AF0224" w:rsidP="00AF0224">
      <w:pPr>
        <w:autoSpaceDE w:val="0"/>
        <w:autoSpaceDN w:val="0"/>
        <w:adjustRightInd w:val="0"/>
        <w:ind w:right="-7"/>
        <w:jc w:val="both"/>
        <w:rPr>
          <w:rFonts w:ascii="Times New Roman" w:hAnsi="Times New Roman"/>
          <w:szCs w:val="24"/>
          <w:lang w:val="en-AU" w:eastAsia="en-AU"/>
        </w:rPr>
      </w:pPr>
      <w:r>
        <w:rPr>
          <w:rFonts w:ascii="Times New Roman" w:hAnsi="Times New Roman"/>
          <w:szCs w:val="24"/>
          <w:lang w:val="en-AU" w:eastAsia="en-AU"/>
        </w:rPr>
        <w:t>Obviously, the Court’s decision is binding on the SAT, but not on the AHRC</w:t>
      </w:r>
      <w:r w:rsidR="00AD00E6">
        <w:rPr>
          <w:rFonts w:ascii="Times New Roman" w:hAnsi="Times New Roman"/>
          <w:szCs w:val="24"/>
          <w:lang w:val="en-AU" w:eastAsia="en-AU"/>
        </w:rPr>
        <w:t>, or the AAT, which can review a decision made under s 44 of the ADA.</w:t>
      </w:r>
      <w:r w:rsidR="005A4BBA">
        <w:rPr>
          <w:rFonts w:ascii="Times New Roman" w:hAnsi="Times New Roman"/>
          <w:szCs w:val="24"/>
          <w:lang w:val="en-AU" w:eastAsia="en-AU"/>
        </w:rPr>
        <w:t xml:space="preserve"> </w:t>
      </w:r>
      <w:r w:rsidR="00E03E09">
        <w:rPr>
          <w:rFonts w:ascii="Times New Roman" w:hAnsi="Times New Roman"/>
          <w:szCs w:val="24"/>
          <w:lang w:val="en-AU" w:eastAsia="en-AU"/>
        </w:rPr>
        <w:t>I note also that the objects of the ADA are in many respects similar to those of the EOA</w:t>
      </w:r>
      <w:r w:rsidR="0067741A">
        <w:rPr>
          <w:rFonts w:ascii="Times New Roman" w:hAnsi="Times New Roman"/>
          <w:szCs w:val="24"/>
          <w:lang w:val="en-AU" w:eastAsia="en-AU"/>
        </w:rPr>
        <w:t xml:space="preserve">, and the Guidelines </w:t>
      </w:r>
      <w:r w:rsidR="001D41E2">
        <w:rPr>
          <w:rFonts w:ascii="Times New Roman" w:hAnsi="Times New Roman"/>
          <w:szCs w:val="24"/>
          <w:lang w:val="en-AU" w:eastAsia="en-AU"/>
        </w:rPr>
        <w:t>accord with</w:t>
      </w:r>
      <w:r w:rsidR="0067741A">
        <w:rPr>
          <w:rFonts w:ascii="Times New Roman" w:hAnsi="Times New Roman"/>
          <w:szCs w:val="24"/>
          <w:lang w:val="en-AU" w:eastAsia="en-AU"/>
        </w:rPr>
        <w:t xml:space="preserve"> my own view </w:t>
      </w:r>
      <w:r w:rsidR="001D41E2">
        <w:rPr>
          <w:rFonts w:ascii="Times New Roman" w:hAnsi="Times New Roman"/>
          <w:szCs w:val="24"/>
          <w:lang w:val="en-AU" w:eastAsia="en-AU"/>
        </w:rPr>
        <w:t>regarding the</w:t>
      </w:r>
      <w:r w:rsidR="0067741A">
        <w:rPr>
          <w:rFonts w:ascii="Times New Roman" w:hAnsi="Times New Roman"/>
          <w:szCs w:val="24"/>
          <w:lang w:val="en-AU" w:eastAsia="en-AU"/>
        </w:rPr>
        <w:t xml:space="preserve"> </w:t>
      </w:r>
      <w:r w:rsidR="00705E2A">
        <w:rPr>
          <w:rFonts w:ascii="Times New Roman" w:hAnsi="Times New Roman"/>
          <w:szCs w:val="24"/>
          <w:lang w:val="en-AU" w:eastAsia="en-AU"/>
        </w:rPr>
        <w:t xml:space="preserve">principles that </w:t>
      </w:r>
      <w:r w:rsidR="00515BED">
        <w:rPr>
          <w:rFonts w:ascii="Times New Roman" w:hAnsi="Times New Roman"/>
          <w:szCs w:val="24"/>
          <w:lang w:val="en-AU" w:eastAsia="en-AU"/>
        </w:rPr>
        <w:t>should be followed</w:t>
      </w:r>
      <w:r w:rsidR="00705E2A">
        <w:rPr>
          <w:rFonts w:ascii="Times New Roman" w:hAnsi="Times New Roman"/>
          <w:szCs w:val="24"/>
          <w:lang w:val="en-AU" w:eastAsia="en-AU"/>
        </w:rPr>
        <w:t xml:space="preserve"> </w:t>
      </w:r>
      <w:r w:rsidR="00515BED">
        <w:rPr>
          <w:rFonts w:ascii="Times New Roman" w:hAnsi="Times New Roman"/>
          <w:szCs w:val="24"/>
          <w:lang w:val="en-AU" w:eastAsia="en-AU"/>
        </w:rPr>
        <w:t>when</w:t>
      </w:r>
      <w:r w:rsidR="00705E2A">
        <w:rPr>
          <w:rFonts w:ascii="Times New Roman" w:hAnsi="Times New Roman"/>
          <w:szCs w:val="24"/>
          <w:lang w:val="en-AU" w:eastAsia="en-AU"/>
        </w:rPr>
        <w:t xml:space="preserve"> </w:t>
      </w:r>
      <w:r w:rsidR="00515BED">
        <w:rPr>
          <w:rFonts w:ascii="Times New Roman" w:hAnsi="Times New Roman"/>
          <w:szCs w:val="24"/>
          <w:lang w:val="en-AU" w:eastAsia="en-AU"/>
        </w:rPr>
        <w:t xml:space="preserve">deciding whether or not to grant an exemption. </w:t>
      </w:r>
      <w:r w:rsidR="001D41E2">
        <w:rPr>
          <w:rFonts w:ascii="Times New Roman" w:hAnsi="Times New Roman"/>
          <w:szCs w:val="24"/>
          <w:lang w:val="en-AU" w:eastAsia="en-AU"/>
        </w:rPr>
        <w:t>Putting aside the Court</w:t>
      </w:r>
      <w:r w:rsidR="00705E2A">
        <w:rPr>
          <w:rFonts w:ascii="Times New Roman" w:hAnsi="Times New Roman"/>
          <w:szCs w:val="24"/>
          <w:lang w:val="en-AU" w:eastAsia="en-AU"/>
        </w:rPr>
        <w:t>’s</w:t>
      </w:r>
      <w:r w:rsidR="001D41E2">
        <w:rPr>
          <w:rFonts w:ascii="Times New Roman" w:hAnsi="Times New Roman"/>
          <w:szCs w:val="24"/>
          <w:lang w:val="en-AU" w:eastAsia="en-AU"/>
        </w:rPr>
        <w:t xml:space="preserve"> decision for the time being, </w:t>
      </w:r>
      <w:r w:rsidR="0067741A">
        <w:rPr>
          <w:rFonts w:ascii="Times New Roman" w:hAnsi="Times New Roman"/>
          <w:szCs w:val="24"/>
          <w:lang w:val="en-AU" w:eastAsia="en-AU"/>
        </w:rPr>
        <w:t xml:space="preserve">I believe that </w:t>
      </w:r>
      <w:r w:rsidR="00F348E6">
        <w:rPr>
          <w:rFonts w:ascii="Times New Roman" w:hAnsi="Times New Roman"/>
          <w:szCs w:val="24"/>
          <w:lang w:val="en-AU" w:eastAsia="en-AU"/>
        </w:rPr>
        <w:t xml:space="preserve">if one follows the Guidelines, </w:t>
      </w:r>
      <w:r w:rsidR="0067741A">
        <w:rPr>
          <w:rFonts w:ascii="Times New Roman" w:hAnsi="Times New Roman"/>
          <w:szCs w:val="24"/>
          <w:lang w:val="en-AU" w:eastAsia="en-AU"/>
        </w:rPr>
        <w:t>an exemption should not be granted to Carnival, for the following reasons.</w:t>
      </w:r>
    </w:p>
    <w:p w:rsidR="001D41E2" w:rsidRDefault="001D41E2" w:rsidP="00AF0224">
      <w:pPr>
        <w:autoSpaceDE w:val="0"/>
        <w:autoSpaceDN w:val="0"/>
        <w:adjustRightInd w:val="0"/>
        <w:ind w:right="-7"/>
        <w:jc w:val="both"/>
        <w:rPr>
          <w:rFonts w:ascii="Times New Roman" w:hAnsi="Times New Roman"/>
          <w:szCs w:val="24"/>
          <w:lang w:val="en-AU" w:eastAsia="en-AU"/>
        </w:rPr>
      </w:pPr>
    </w:p>
    <w:p w:rsidR="009D149A" w:rsidRDefault="001D41E2" w:rsidP="00AF0224">
      <w:pPr>
        <w:autoSpaceDE w:val="0"/>
        <w:autoSpaceDN w:val="0"/>
        <w:adjustRightInd w:val="0"/>
        <w:ind w:right="-7"/>
        <w:jc w:val="both"/>
        <w:rPr>
          <w:rFonts w:ascii="Times New Roman" w:hAnsi="Times New Roman"/>
          <w:szCs w:val="24"/>
          <w:lang w:val="en-AU" w:eastAsia="en-AU"/>
        </w:rPr>
      </w:pPr>
      <w:r>
        <w:rPr>
          <w:rFonts w:ascii="Times New Roman" w:hAnsi="Times New Roman"/>
          <w:szCs w:val="24"/>
          <w:lang w:val="en-AU" w:eastAsia="en-AU"/>
        </w:rPr>
        <w:t xml:space="preserve">Firstly, </w:t>
      </w:r>
      <w:r w:rsidR="00705E2A">
        <w:rPr>
          <w:rFonts w:ascii="Times New Roman" w:hAnsi="Times New Roman"/>
          <w:szCs w:val="24"/>
          <w:lang w:val="en-AU" w:eastAsia="en-AU"/>
        </w:rPr>
        <w:t xml:space="preserve">the exemption would permit conduct that would </w:t>
      </w:r>
      <w:r w:rsidR="00994372">
        <w:rPr>
          <w:rFonts w:ascii="Times New Roman" w:hAnsi="Times New Roman"/>
          <w:szCs w:val="24"/>
          <w:lang w:val="en-AU" w:eastAsia="en-AU"/>
        </w:rPr>
        <w:t xml:space="preserve">otherwise be </w:t>
      </w:r>
      <w:r w:rsidR="00705E2A">
        <w:rPr>
          <w:rFonts w:ascii="Times New Roman" w:hAnsi="Times New Roman"/>
          <w:szCs w:val="24"/>
          <w:lang w:val="en-AU" w:eastAsia="en-AU"/>
        </w:rPr>
        <w:t>unlawful under the ADA</w:t>
      </w:r>
      <w:r w:rsidR="00994372">
        <w:rPr>
          <w:rFonts w:ascii="Times New Roman" w:hAnsi="Times New Roman"/>
          <w:szCs w:val="24"/>
          <w:lang w:val="en-AU" w:eastAsia="en-AU"/>
        </w:rPr>
        <w:t>, and clearly so. As Carnival point out, none of the exceptions under the ADA appear to apply</w:t>
      </w:r>
      <w:r w:rsidR="00044406">
        <w:rPr>
          <w:rFonts w:ascii="Times New Roman" w:hAnsi="Times New Roman"/>
          <w:szCs w:val="24"/>
          <w:lang w:val="en-AU" w:eastAsia="en-AU"/>
        </w:rPr>
        <w:t xml:space="preserve"> in this instance</w:t>
      </w:r>
      <w:r w:rsidR="00994372">
        <w:rPr>
          <w:rFonts w:ascii="Times New Roman" w:hAnsi="Times New Roman"/>
          <w:szCs w:val="24"/>
          <w:lang w:val="en-AU" w:eastAsia="en-AU"/>
        </w:rPr>
        <w:t xml:space="preserve">. Further, Carnival’s claim that the granting of the exemption is consistent with the objects of the ADA is unconvincing. Carnival’s desire to reduce the likelihood </w:t>
      </w:r>
      <w:r w:rsidR="00044406">
        <w:rPr>
          <w:rFonts w:ascii="Times New Roman" w:hAnsi="Times New Roman"/>
          <w:szCs w:val="24"/>
          <w:lang w:val="en-AU" w:eastAsia="en-AU"/>
        </w:rPr>
        <w:t xml:space="preserve">of excessive alcohol consumption and unacceptable behaviour amongst young people </w:t>
      </w:r>
      <w:r w:rsidR="00515BED">
        <w:rPr>
          <w:rFonts w:ascii="Times New Roman" w:hAnsi="Times New Roman"/>
          <w:szCs w:val="24"/>
          <w:lang w:val="en-AU" w:eastAsia="en-AU"/>
        </w:rPr>
        <w:t xml:space="preserve">may be </w:t>
      </w:r>
      <w:r w:rsidR="00044406">
        <w:rPr>
          <w:rFonts w:ascii="Times New Roman" w:hAnsi="Times New Roman"/>
          <w:szCs w:val="24"/>
          <w:lang w:val="en-AU" w:eastAsia="en-AU"/>
        </w:rPr>
        <w:t xml:space="preserve">valid from a public policy point of view, but that does not mean that measures put in place to achieve such an outcome are consistent with the objects of the ADA. </w:t>
      </w:r>
    </w:p>
    <w:p w:rsidR="009D149A" w:rsidRDefault="009D149A" w:rsidP="00AF0224">
      <w:pPr>
        <w:autoSpaceDE w:val="0"/>
        <w:autoSpaceDN w:val="0"/>
        <w:adjustRightInd w:val="0"/>
        <w:ind w:right="-7"/>
        <w:jc w:val="both"/>
        <w:rPr>
          <w:rFonts w:ascii="Times New Roman" w:hAnsi="Times New Roman"/>
          <w:szCs w:val="24"/>
          <w:lang w:val="en-AU" w:eastAsia="en-AU"/>
        </w:rPr>
      </w:pPr>
    </w:p>
    <w:p w:rsidR="00044406" w:rsidRDefault="009D149A" w:rsidP="00AF0224">
      <w:pPr>
        <w:autoSpaceDE w:val="0"/>
        <w:autoSpaceDN w:val="0"/>
        <w:adjustRightInd w:val="0"/>
        <w:ind w:right="-7"/>
        <w:jc w:val="both"/>
        <w:rPr>
          <w:rFonts w:ascii="Times New Roman" w:hAnsi="Times New Roman"/>
          <w:szCs w:val="24"/>
          <w:lang w:val="en-AU" w:eastAsia="en-AU"/>
        </w:rPr>
      </w:pPr>
      <w:r>
        <w:rPr>
          <w:rFonts w:ascii="Times New Roman" w:hAnsi="Times New Roman"/>
          <w:szCs w:val="24"/>
          <w:lang w:val="en-AU" w:eastAsia="en-AU"/>
        </w:rPr>
        <w:t xml:space="preserve">Secondly, </w:t>
      </w:r>
      <w:r w:rsidR="00044406">
        <w:rPr>
          <w:rFonts w:ascii="Times New Roman" w:hAnsi="Times New Roman"/>
          <w:szCs w:val="24"/>
          <w:lang w:val="en-AU" w:eastAsia="en-AU"/>
        </w:rPr>
        <w:t xml:space="preserve">despite its claim to the contrary, Carnival, in seeking this exemption, </w:t>
      </w:r>
      <w:r w:rsidR="00044406" w:rsidRPr="00044406">
        <w:rPr>
          <w:rFonts w:ascii="Times New Roman" w:hAnsi="Times New Roman"/>
          <w:i/>
          <w:szCs w:val="24"/>
          <w:lang w:val="en-AU" w:eastAsia="en-AU"/>
        </w:rPr>
        <w:t>is</w:t>
      </w:r>
      <w:r w:rsidR="00044406">
        <w:rPr>
          <w:rFonts w:ascii="Times New Roman" w:hAnsi="Times New Roman"/>
          <w:szCs w:val="24"/>
          <w:lang w:val="en-AU" w:eastAsia="en-AU"/>
        </w:rPr>
        <w:t xml:space="preserve"> stereotyping all school leavers</w:t>
      </w:r>
      <w:r>
        <w:rPr>
          <w:rFonts w:ascii="Times New Roman" w:hAnsi="Times New Roman"/>
          <w:szCs w:val="24"/>
          <w:lang w:val="en-AU" w:eastAsia="en-AU"/>
        </w:rPr>
        <w:t>, indeed all young people under the age of 21,</w:t>
      </w:r>
      <w:r w:rsidR="00044406">
        <w:rPr>
          <w:rFonts w:ascii="Times New Roman" w:hAnsi="Times New Roman"/>
          <w:szCs w:val="24"/>
          <w:lang w:val="en-AU" w:eastAsia="en-AU"/>
        </w:rPr>
        <w:t xml:space="preserve"> as persons who require parental or guardian supervision</w:t>
      </w:r>
      <w:r>
        <w:rPr>
          <w:rFonts w:ascii="Times New Roman" w:hAnsi="Times New Roman"/>
          <w:szCs w:val="24"/>
          <w:lang w:val="en-AU" w:eastAsia="en-AU"/>
        </w:rPr>
        <w:t xml:space="preserve">, regardless of their individual circumstances. This is so even where statistics and social research </w:t>
      </w:r>
      <w:r w:rsidR="00F8700E">
        <w:rPr>
          <w:rFonts w:ascii="Times New Roman" w:hAnsi="Times New Roman"/>
          <w:szCs w:val="24"/>
          <w:lang w:val="en-AU" w:eastAsia="en-AU"/>
        </w:rPr>
        <w:t xml:space="preserve">examine </w:t>
      </w:r>
      <w:r>
        <w:rPr>
          <w:rFonts w:ascii="Times New Roman" w:hAnsi="Times New Roman"/>
          <w:szCs w:val="24"/>
          <w:lang w:val="en-AU" w:eastAsia="en-AU"/>
        </w:rPr>
        <w:t>the link between excessive alcohol consumption and the behaviour of young people.</w:t>
      </w:r>
    </w:p>
    <w:p w:rsidR="00044406" w:rsidRDefault="00044406" w:rsidP="00AF0224">
      <w:pPr>
        <w:autoSpaceDE w:val="0"/>
        <w:autoSpaceDN w:val="0"/>
        <w:adjustRightInd w:val="0"/>
        <w:ind w:right="-7"/>
        <w:jc w:val="both"/>
        <w:rPr>
          <w:rFonts w:ascii="Times New Roman" w:hAnsi="Times New Roman"/>
          <w:szCs w:val="24"/>
          <w:lang w:val="en-AU" w:eastAsia="en-AU"/>
        </w:rPr>
      </w:pPr>
    </w:p>
    <w:p w:rsidR="001D41E2" w:rsidRDefault="00F348E6" w:rsidP="00AF0224">
      <w:pPr>
        <w:autoSpaceDE w:val="0"/>
        <w:autoSpaceDN w:val="0"/>
        <w:adjustRightInd w:val="0"/>
        <w:ind w:right="-7"/>
        <w:jc w:val="both"/>
        <w:rPr>
          <w:rFonts w:ascii="Times New Roman" w:hAnsi="Times New Roman"/>
          <w:szCs w:val="24"/>
          <w:lang w:val="en-AU" w:eastAsia="en-AU"/>
        </w:rPr>
      </w:pPr>
      <w:r>
        <w:rPr>
          <w:rFonts w:ascii="Times New Roman" w:hAnsi="Times New Roman"/>
          <w:szCs w:val="24"/>
          <w:lang w:val="en-AU" w:eastAsia="en-AU"/>
        </w:rPr>
        <w:t>And t</w:t>
      </w:r>
      <w:r w:rsidR="009D149A">
        <w:rPr>
          <w:rFonts w:ascii="Times New Roman" w:hAnsi="Times New Roman"/>
          <w:szCs w:val="24"/>
          <w:lang w:val="en-AU" w:eastAsia="en-AU"/>
        </w:rPr>
        <w:t>hirdly</w:t>
      </w:r>
      <w:r w:rsidR="00044406">
        <w:rPr>
          <w:rFonts w:ascii="Times New Roman" w:hAnsi="Times New Roman"/>
          <w:szCs w:val="24"/>
          <w:lang w:val="en-AU" w:eastAsia="en-AU"/>
        </w:rPr>
        <w:t xml:space="preserve">, </w:t>
      </w:r>
      <w:r w:rsidR="00705E2A">
        <w:rPr>
          <w:rFonts w:ascii="Times New Roman" w:hAnsi="Times New Roman"/>
          <w:szCs w:val="24"/>
          <w:lang w:val="en-AU" w:eastAsia="en-AU"/>
        </w:rPr>
        <w:t>Carnival do</w:t>
      </w:r>
      <w:r w:rsidR="00515BED">
        <w:rPr>
          <w:rFonts w:ascii="Times New Roman" w:hAnsi="Times New Roman"/>
          <w:szCs w:val="24"/>
          <w:lang w:val="en-AU" w:eastAsia="en-AU"/>
        </w:rPr>
        <w:t>es not explain why it believes</w:t>
      </w:r>
      <w:r w:rsidR="00705E2A">
        <w:rPr>
          <w:rFonts w:ascii="Times New Roman" w:hAnsi="Times New Roman"/>
          <w:szCs w:val="24"/>
          <w:lang w:val="en-AU" w:eastAsia="en-AU"/>
        </w:rPr>
        <w:t xml:space="preserve"> it necessary to impose the guardian condition on persons up t</w:t>
      </w:r>
      <w:r w:rsidR="00515BED">
        <w:rPr>
          <w:rFonts w:ascii="Times New Roman" w:hAnsi="Times New Roman"/>
          <w:szCs w:val="24"/>
          <w:lang w:val="en-AU" w:eastAsia="en-AU"/>
        </w:rPr>
        <w:t xml:space="preserve">o the age of 21 years, when the application </w:t>
      </w:r>
      <w:r w:rsidR="00705E2A">
        <w:rPr>
          <w:rFonts w:ascii="Times New Roman" w:hAnsi="Times New Roman"/>
          <w:szCs w:val="24"/>
          <w:lang w:val="en-AU" w:eastAsia="en-AU"/>
        </w:rPr>
        <w:t xml:space="preserve">concerns </w:t>
      </w:r>
      <w:r w:rsidR="00515BED">
        <w:rPr>
          <w:rFonts w:ascii="Times New Roman" w:hAnsi="Times New Roman"/>
          <w:szCs w:val="24"/>
          <w:lang w:val="en-AU" w:eastAsia="en-AU"/>
        </w:rPr>
        <w:t xml:space="preserve">the behaviour of </w:t>
      </w:r>
      <w:r w:rsidR="00705E2A">
        <w:rPr>
          <w:rFonts w:ascii="Times New Roman" w:hAnsi="Times New Roman"/>
          <w:szCs w:val="24"/>
          <w:lang w:val="en-AU" w:eastAsia="en-AU"/>
        </w:rPr>
        <w:t>school leavers, the great majority of w</w:t>
      </w:r>
      <w:r w:rsidR="00515BED">
        <w:rPr>
          <w:rFonts w:ascii="Times New Roman" w:hAnsi="Times New Roman"/>
          <w:szCs w:val="24"/>
          <w:lang w:val="en-AU" w:eastAsia="en-AU"/>
        </w:rPr>
        <w:t>hom</w:t>
      </w:r>
      <w:r w:rsidR="00705E2A">
        <w:rPr>
          <w:rFonts w:ascii="Times New Roman" w:hAnsi="Times New Roman"/>
          <w:szCs w:val="24"/>
          <w:lang w:val="en-AU" w:eastAsia="en-AU"/>
        </w:rPr>
        <w:t xml:space="preserve"> will be </w:t>
      </w:r>
      <w:r w:rsidR="00F8700E">
        <w:rPr>
          <w:rFonts w:ascii="Times New Roman" w:hAnsi="Times New Roman"/>
          <w:szCs w:val="24"/>
          <w:lang w:val="en-AU" w:eastAsia="en-AU"/>
        </w:rPr>
        <w:t xml:space="preserve">no older than </w:t>
      </w:r>
      <w:r w:rsidR="00705E2A">
        <w:rPr>
          <w:rFonts w:ascii="Times New Roman" w:hAnsi="Times New Roman"/>
          <w:szCs w:val="24"/>
          <w:lang w:val="en-AU" w:eastAsia="en-AU"/>
        </w:rPr>
        <w:t>17 or 18 years of age</w:t>
      </w:r>
      <w:r w:rsidR="00515BED">
        <w:rPr>
          <w:rFonts w:ascii="Times New Roman" w:hAnsi="Times New Roman"/>
          <w:szCs w:val="24"/>
          <w:lang w:val="en-AU" w:eastAsia="en-AU"/>
        </w:rPr>
        <w:t xml:space="preserve"> when they are on a cruise.</w:t>
      </w:r>
      <w:r w:rsidR="00BD5D3E">
        <w:rPr>
          <w:rFonts w:ascii="Times New Roman" w:hAnsi="Times New Roman"/>
          <w:szCs w:val="24"/>
          <w:lang w:val="en-AU" w:eastAsia="en-AU"/>
        </w:rPr>
        <w:t xml:space="preserve"> The condition appears to exceed the purpose for which it is proposed.</w:t>
      </w:r>
    </w:p>
    <w:p w:rsidR="00F348E6" w:rsidRDefault="00F348E6" w:rsidP="00AF0224">
      <w:pPr>
        <w:autoSpaceDE w:val="0"/>
        <w:autoSpaceDN w:val="0"/>
        <w:adjustRightInd w:val="0"/>
        <w:ind w:right="-7"/>
        <w:jc w:val="both"/>
        <w:rPr>
          <w:rFonts w:ascii="Times New Roman" w:hAnsi="Times New Roman"/>
          <w:szCs w:val="24"/>
          <w:lang w:val="en-AU" w:eastAsia="en-AU"/>
        </w:rPr>
      </w:pPr>
    </w:p>
    <w:p w:rsidR="00837FAB" w:rsidRDefault="00F348E6" w:rsidP="00AF0224">
      <w:pPr>
        <w:autoSpaceDE w:val="0"/>
        <w:autoSpaceDN w:val="0"/>
        <w:adjustRightInd w:val="0"/>
        <w:ind w:right="-7"/>
        <w:jc w:val="both"/>
        <w:rPr>
          <w:rFonts w:ascii="Times New Roman" w:hAnsi="Times New Roman"/>
          <w:szCs w:val="24"/>
          <w:lang w:val="en-AU" w:eastAsia="en-AU"/>
        </w:rPr>
      </w:pPr>
      <w:r>
        <w:rPr>
          <w:rFonts w:ascii="Times New Roman" w:hAnsi="Times New Roman"/>
          <w:szCs w:val="24"/>
          <w:lang w:val="en-AU" w:eastAsia="en-AU"/>
        </w:rPr>
        <w:t>Carnival submits that  it is appropriate to grant an exemption on public policy grounds, to ensure the security and safety of its passengers and because “it does not wish to provide a forum for a rite of passage that is endemically associated with alcohol a</w:t>
      </w:r>
      <w:r w:rsidR="00FC4A96">
        <w:rPr>
          <w:rFonts w:ascii="Times New Roman" w:hAnsi="Times New Roman"/>
          <w:szCs w:val="24"/>
          <w:lang w:val="en-AU" w:eastAsia="en-AU"/>
        </w:rPr>
        <w:t xml:space="preserve">nd substance abuse”. </w:t>
      </w:r>
      <w:r>
        <w:rPr>
          <w:rFonts w:ascii="Times New Roman" w:hAnsi="Times New Roman"/>
          <w:szCs w:val="24"/>
          <w:lang w:val="en-AU" w:eastAsia="en-AU"/>
        </w:rPr>
        <w:t xml:space="preserve">This brings me back to </w:t>
      </w:r>
      <w:r w:rsidR="001F01C2">
        <w:rPr>
          <w:rFonts w:ascii="Times New Roman" w:hAnsi="Times New Roman"/>
          <w:szCs w:val="24"/>
          <w:lang w:val="en-AU" w:eastAsia="en-AU"/>
        </w:rPr>
        <w:t>the ADI decision.</w:t>
      </w:r>
      <w:r>
        <w:rPr>
          <w:rFonts w:ascii="Times New Roman" w:hAnsi="Times New Roman"/>
          <w:szCs w:val="24"/>
          <w:lang w:val="en-AU" w:eastAsia="en-AU"/>
        </w:rPr>
        <w:t xml:space="preserve"> </w:t>
      </w:r>
      <w:r w:rsidR="00154080">
        <w:rPr>
          <w:rFonts w:ascii="Times New Roman" w:hAnsi="Times New Roman"/>
          <w:szCs w:val="24"/>
          <w:lang w:val="en-AU" w:eastAsia="en-AU"/>
        </w:rPr>
        <w:t xml:space="preserve">The reasoning of the Court of Appeal is, arguably, just as applicable to Commonwealth discrimination legislation as it is to the EOA. </w:t>
      </w:r>
      <w:r>
        <w:rPr>
          <w:rFonts w:ascii="Times New Roman" w:hAnsi="Times New Roman"/>
          <w:szCs w:val="24"/>
          <w:lang w:val="en-AU" w:eastAsia="en-AU"/>
        </w:rPr>
        <w:t xml:space="preserve">Should the AAT or Federal Court </w:t>
      </w:r>
      <w:r w:rsidR="007A296E">
        <w:rPr>
          <w:rFonts w:ascii="Times New Roman" w:hAnsi="Times New Roman"/>
          <w:szCs w:val="24"/>
          <w:lang w:val="en-AU" w:eastAsia="en-AU"/>
        </w:rPr>
        <w:t xml:space="preserve">in future </w:t>
      </w:r>
      <w:r w:rsidR="00154080">
        <w:rPr>
          <w:rFonts w:ascii="Times New Roman" w:hAnsi="Times New Roman"/>
          <w:szCs w:val="24"/>
          <w:lang w:val="en-AU" w:eastAsia="en-AU"/>
        </w:rPr>
        <w:t xml:space="preserve">be called upon to </w:t>
      </w:r>
      <w:r w:rsidR="00FC4A96">
        <w:rPr>
          <w:rFonts w:ascii="Times New Roman" w:hAnsi="Times New Roman"/>
          <w:szCs w:val="24"/>
          <w:lang w:val="en-AU" w:eastAsia="en-AU"/>
        </w:rPr>
        <w:t>review the</w:t>
      </w:r>
      <w:r w:rsidR="003576AA">
        <w:rPr>
          <w:rFonts w:ascii="Times New Roman" w:hAnsi="Times New Roman"/>
          <w:szCs w:val="24"/>
          <w:lang w:val="en-AU" w:eastAsia="en-AU"/>
        </w:rPr>
        <w:t xml:space="preserve"> factors </w:t>
      </w:r>
      <w:r w:rsidR="00FC4A96">
        <w:rPr>
          <w:rFonts w:ascii="Times New Roman" w:hAnsi="Times New Roman"/>
          <w:szCs w:val="24"/>
          <w:lang w:val="en-AU" w:eastAsia="en-AU"/>
        </w:rPr>
        <w:t>to be</w:t>
      </w:r>
      <w:r w:rsidR="007A296E">
        <w:rPr>
          <w:rFonts w:ascii="Times New Roman" w:hAnsi="Times New Roman"/>
          <w:szCs w:val="24"/>
          <w:lang w:val="en-AU" w:eastAsia="en-AU"/>
        </w:rPr>
        <w:t xml:space="preserve"> taken into account when deciding whether or not to grant an</w:t>
      </w:r>
      <w:r w:rsidR="003576AA">
        <w:rPr>
          <w:rFonts w:ascii="Times New Roman" w:hAnsi="Times New Roman"/>
          <w:szCs w:val="24"/>
          <w:lang w:val="en-AU" w:eastAsia="en-AU"/>
        </w:rPr>
        <w:t xml:space="preserve"> </w:t>
      </w:r>
      <w:r w:rsidR="001F01C2">
        <w:rPr>
          <w:rFonts w:ascii="Times New Roman" w:hAnsi="Times New Roman"/>
          <w:szCs w:val="24"/>
          <w:lang w:val="en-AU" w:eastAsia="en-AU"/>
        </w:rPr>
        <w:t xml:space="preserve">exemption, </w:t>
      </w:r>
      <w:r w:rsidR="003576AA">
        <w:rPr>
          <w:rFonts w:ascii="Times New Roman" w:hAnsi="Times New Roman"/>
          <w:szCs w:val="24"/>
          <w:lang w:val="en-AU" w:eastAsia="en-AU"/>
        </w:rPr>
        <w:t xml:space="preserve">matters of </w:t>
      </w:r>
      <w:r w:rsidR="007A296E">
        <w:rPr>
          <w:rFonts w:ascii="Times New Roman" w:hAnsi="Times New Roman"/>
          <w:szCs w:val="24"/>
          <w:lang w:val="en-AU" w:eastAsia="en-AU"/>
        </w:rPr>
        <w:t>broad public inter</w:t>
      </w:r>
      <w:r w:rsidR="00FC4A96">
        <w:rPr>
          <w:rFonts w:ascii="Times New Roman" w:hAnsi="Times New Roman"/>
          <w:szCs w:val="24"/>
          <w:lang w:val="en-AU" w:eastAsia="en-AU"/>
        </w:rPr>
        <w:t xml:space="preserve">est, and even private interests, are likely to be </w:t>
      </w:r>
      <w:r w:rsidR="007A296E">
        <w:rPr>
          <w:rFonts w:ascii="Times New Roman" w:hAnsi="Times New Roman"/>
          <w:szCs w:val="24"/>
          <w:lang w:val="en-AU" w:eastAsia="en-AU"/>
        </w:rPr>
        <w:t xml:space="preserve">regarded </w:t>
      </w:r>
      <w:r w:rsidR="00FC4A96">
        <w:rPr>
          <w:rFonts w:ascii="Times New Roman" w:hAnsi="Times New Roman"/>
          <w:szCs w:val="24"/>
          <w:lang w:val="en-AU" w:eastAsia="en-AU"/>
        </w:rPr>
        <w:t xml:space="preserve">as </w:t>
      </w:r>
      <w:r w:rsidR="00BD5D3E">
        <w:rPr>
          <w:rFonts w:ascii="Times New Roman" w:hAnsi="Times New Roman"/>
          <w:szCs w:val="24"/>
          <w:lang w:val="en-AU" w:eastAsia="en-AU"/>
        </w:rPr>
        <w:t>significant</w:t>
      </w:r>
      <w:r w:rsidR="00F8700E">
        <w:rPr>
          <w:rFonts w:ascii="Times New Roman" w:hAnsi="Times New Roman"/>
          <w:szCs w:val="24"/>
          <w:lang w:val="en-AU" w:eastAsia="en-AU"/>
        </w:rPr>
        <w:t xml:space="preserve"> </w:t>
      </w:r>
      <w:r w:rsidR="00154080">
        <w:rPr>
          <w:rFonts w:ascii="Times New Roman" w:hAnsi="Times New Roman"/>
          <w:szCs w:val="24"/>
          <w:lang w:val="en-AU" w:eastAsia="en-AU"/>
        </w:rPr>
        <w:t>as</w:t>
      </w:r>
      <w:r w:rsidR="00FC4A96">
        <w:rPr>
          <w:rFonts w:ascii="Times New Roman" w:hAnsi="Times New Roman"/>
          <w:szCs w:val="24"/>
          <w:lang w:val="en-AU" w:eastAsia="en-AU"/>
        </w:rPr>
        <w:t xml:space="preserve"> </w:t>
      </w:r>
      <w:r w:rsidR="00154080">
        <w:rPr>
          <w:rFonts w:ascii="Times New Roman" w:hAnsi="Times New Roman"/>
          <w:szCs w:val="24"/>
          <w:lang w:val="en-AU" w:eastAsia="en-AU"/>
        </w:rPr>
        <w:t xml:space="preserve">the </w:t>
      </w:r>
      <w:r w:rsidR="007A296E">
        <w:rPr>
          <w:rFonts w:ascii="Times New Roman" w:hAnsi="Times New Roman"/>
          <w:szCs w:val="24"/>
          <w:lang w:val="en-AU" w:eastAsia="en-AU"/>
        </w:rPr>
        <w:t xml:space="preserve">objects and purpose of the </w:t>
      </w:r>
      <w:r w:rsidR="00FC4A96">
        <w:rPr>
          <w:rFonts w:ascii="Times New Roman" w:hAnsi="Times New Roman"/>
          <w:szCs w:val="24"/>
          <w:lang w:val="en-AU" w:eastAsia="en-AU"/>
        </w:rPr>
        <w:t>legislation</w:t>
      </w:r>
      <w:r w:rsidR="00F8700E">
        <w:rPr>
          <w:rFonts w:ascii="Times New Roman" w:hAnsi="Times New Roman"/>
          <w:szCs w:val="24"/>
          <w:lang w:val="en-AU" w:eastAsia="en-AU"/>
        </w:rPr>
        <w:t>,</w:t>
      </w:r>
      <w:r w:rsidR="00154080">
        <w:rPr>
          <w:rFonts w:ascii="Times New Roman" w:hAnsi="Times New Roman"/>
          <w:szCs w:val="24"/>
          <w:lang w:val="en-AU" w:eastAsia="en-AU"/>
        </w:rPr>
        <w:t xml:space="preserve"> </w:t>
      </w:r>
      <w:r w:rsidR="007A296E">
        <w:rPr>
          <w:rFonts w:ascii="Times New Roman" w:hAnsi="Times New Roman"/>
          <w:szCs w:val="24"/>
          <w:lang w:val="en-AU" w:eastAsia="en-AU"/>
        </w:rPr>
        <w:t>and</w:t>
      </w:r>
      <w:r w:rsidR="00F8700E">
        <w:rPr>
          <w:rFonts w:ascii="Times New Roman" w:hAnsi="Times New Roman"/>
          <w:szCs w:val="24"/>
          <w:lang w:val="en-AU" w:eastAsia="en-AU"/>
        </w:rPr>
        <w:t xml:space="preserve"> </w:t>
      </w:r>
      <w:r w:rsidR="00BD5D3E">
        <w:rPr>
          <w:rFonts w:ascii="Times New Roman" w:hAnsi="Times New Roman"/>
          <w:szCs w:val="24"/>
          <w:lang w:val="en-AU" w:eastAsia="en-AU"/>
        </w:rPr>
        <w:t xml:space="preserve">will be </w:t>
      </w:r>
      <w:r w:rsidR="00FC4A96">
        <w:rPr>
          <w:rFonts w:ascii="Times New Roman" w:hAnsi="Times New Roman"/>
          <w:szCs w:val="24"/>
          <w:lang w:val="en-AU" w:eastAsia="en-AU"/>
        </w:rPr>
        <w:t>weighed accordingly</w:t>
      </w:r>
      <w:r w:rsidR="00F8700E">
        <w:rPr>
          <w:rFonts w:ascii="Times New Roman" w:hAnsi="Times New Roman"/>
          <w:szCs w:val="24"/>
          <w:lang w:val="en-AU" w:eastAsia="en-AU"/>
        </w:rPr>
        <w:t>, as the case requires</w:t>
      </w:r>
      <w:r w:rsidR="00FC4A96">
        <w:rPr>
          <w:rFonts w:ascii="Times New Roman" w:hAnsi="Times New Roman"/>
          <w:szCs w:val="24"/>
          <w:lang w:val="en-AU" w:eastAsia="en-AU"/>
        </w:rPr>
        <w:t xml:space="preserve">. </w:t>
      </w:r>
      <w:r w:rsidR="00154080">
        <w:rPr>
          <w:rFonts w:ascii="Times New Roman" w:hAnsi="Times New Roman"/>
          <w:szCs w:val="24"/>
          <w:lang w:val="en-AU" w:eastAsia="en-AU"/>
        </w:rPr>
        <w:t>And to use</w:t>
      </w:r>
      <w:r w:rsidR="00FC4A96">
        <w:rPr>
          <w:rFonts w:ascii="Times New Roman" w:hAnsi="Times New Roman"/>
          <w:szCs w:val="24"/>
          <w:lang w:val="en-AU" w:eastAsia="en-AU"/>
        </w:rPr>
        <w:t xml:space="preserve"> the Court</w:t>
      </w:r>
      <w:r w:rsidR="00154080">
        <w:rPr>
          <w:rFonts w:ascii="Times New Roman" w:hAnsi="Times New Roman"/>
          <w:szCs w:val="24"/>
          <w:lang w:val="en-AU" w:eastAsia="en-AU"/>
        </w:rPr>
        <w:t xml:space="preserve">’s </w:t>
      </w:r>
      <w:r w:rsidR="00FC4A96">
        <w:rPr>
          <w:rFonts w:ascii="Times New Roman" w:hAnsi="Times New Roman"/>
          <w:szCs w:val="24"/>
          <w:lang w:val="en-AU" w:eastAsia="en-AU"/>
        </w:rPr>
        <w:t>words, provided there is a “rational basis” for the discriminatory conduct, the AHRC will need to determine whether the interests to be served by permitting th</w:t>
      </w:r>
      <w:r w:rsidR="00154080">
        <w:rPr>
          <w:rFonts w:ascii="Times New Roman" w:hAnsi="Times New Roman"/>
          <w:szCs w:val="24"/>
          <w:lang w:val="en-AU" w:eastAsia="en-AU"/>
        </w:rPr>
        <w:t>at</w:t>
      </w:r>
      <w:r w:rsidR="00FC4A96">
        <w:rPr>
          <w:rFonts w:ascii="Times New Roman" w:hAnsi="Times New Roman"/>
          <w:szCs w:val="24"/>
          <w:lang w:val="en-AU" w:eastAsia="en-AU"/>
        </w:rPr>
        <w:t xml:space="preserve"> conduct, even </w:t>
      </w:r>
      <w:r w:rsidR="00154080">
        <w:rPr>
          <w:rFonts w:ascii="Times New Roman" w:hAnsi="Times New Roman"/>
          <w:szCs w:val="24"/>
          <w:lang w:val="en-AU" w:eastAsia="en-AU"/>
        </w:rPr>
        <w:t>when it would otherwise be unlawful under the ADA,</w:t>
      </w:r>
      <w:r w:rsidR="00FC4A96">
        <w:rPr>
          <w:rFonts w:ascii="Times New Roman" w:hAnsi="Times New Roman"/>
          <w:szCs w:val="24"/>
          <w:lang w:val="en-AU" w:eastAsia="en-AU"/>
        </w:rPr>
        <w:t xml:space="preserve"> outweighs the detriment that flows </w:t>
      </w:r>
      <w:r w:rsidR="00154080">
        <w:rPr>
          <w:rFonts w:ascii="Times New Roman" w:hAnsi="Times New Roman"/>
          <w:szCs w:val="24"/>
          <w:lang w:val="en-AU" w:eastAsia="en-AU"/>
        </w:rPr>
        <w:t xml:space="preserve">from </w:t>
      </w:r>
      <w:r w:rsidR="00EA6735">
        <w:rPr>
          <w:rFonts w:ascii="Times New Roman" w:hAnsi="Times New Roman"/>
          <w:szCs w:val="24"/>
          <w:lang w:val="en-AU" w:eastAsia="en-AU"/>
        </w:rPr>
        <w:t>it.</w:t>
      </w:r>
    </w:p>
    <w:p w:rsidR="00F8700E" w:rsidRDefault="00F8700E" w:rsidP="00AF0224">
      <w:pPr>
        <w:autoSpaceDE w:val="0"/>
        <w:autoSpaceDN w:val="0"/>
        <w:adjustRightInd w:val="0"/>
        <w:ind w:right="-7"/>
        <w:jc w:val="both"/>
        <w:rPr>
          <w:rFonts w:ascii="Times New Roman" w:hAnsi="Times New Roman"/>
          <w:szCs w:val="24"/>
          <w:lang w:val="en-AU" w:eastAsia="en-AU"/>
        </w:rPr>
      </w:pPr>
    </w:p>
    <w:p w:rsidR="00F8700E" w:rsidRDefault="00F8700E" w:rsidP="00AF0224">
      <w:pPr>
        <w:autoSpaceDE w:val="0"/>
        <w:autoSpaceDN w:val="0"/>
        <w:adjustRightInd w:val="0"/>
        <w:ind w:right="-7"/>
        <w:jc w:val="both"/>
        <w:rPr>
          <w:rFonts w:ascii="Times New Roman" w:hAnsi="Times New Roman"/>
          <w:szCs w:val="24"/>
          <w:lang w:val="en-AU" w:eastAsia="en-AU"/>
        </w:rPr>
      </w:pPr>
      <w:r>
        <w:rPr>
          <w:rFonts w:ascii="Times New Roman" w:hAnsi="Times New Roman"/>
          <w:szCs w:val="24"/>
          <w:lang w:val="en-AU" w:eastAsia="en-AU"/>
        </w:rPr>
        <w:lastRenderedPageBreak/>
        <w:t xml:space="preserve">Thank you again for inviting me to make a submission. Should you wish to discuss my submission in more detail, please telephone Pauline Grimley or Debra Balasubramaniam on </w:t>
      </w:r>
      <w:r w:rsidRPr="00F8700E">
        <w:rPr>
          <w:rFonts w:ascii="Times New Roman" w:hAnsi="Times New Roman"/>
          <w:b/>
          <w:szCs w:val="24"/>
          <w:lang w:val="en-AU" w:eastAsia="en-AU"/>
        </w:rPr>
        <w:t>(08) 9216 3955</w:t>
      </w:r>
      <w:r>
        <w:rPr>
          <w:rFonts w:ascii="Times New Roman" w:hAnsi="Times New Roman"/>
          <w:szCs w:val="24"/>
          <w:lang w:val="en-AU" w:eastAsia="en-AU"/>
        </w:rPr>
        <w:t xml:space="preserve"> or email yvonne.henderson@eoc.wa.gov.au.</w:t>
      </w:r>
    </w:p>
    <w:p w:rsidR="009C77EA" w:rsidRPr="003B0158" w:rsidRDefault="009C77EA" w:rsidP="003B0158">
      <w:pPr>
        <w:autoSpaceDE w:val="0"/>
        <w:autoSpaceDN w:val="0"/>
        <w:adjustRightInd w:val="0"/>
        <w:jc w:val="both"/>
        <w:rPr>
          <w:rFonts w:ascii="Times New Roman" w:hAnsi="Times New Roman"/>
          <w:szCs w:val="24"/>
          <w:lang w:val="en-AU" w:eastAsia="en-AU"/>
        </w:rPr>
      </w:pPr>
    </w:p>
    <w:p w:rsidR="00734A00" w:rsidRDefault="00734A00" w:rsidP="00734A00">
      <w:r>
        <w:t>Yours sincerely</w:t>
      </w:r>
    </w:p>
    <w:p w:rsidR="00734A00" w:rsidRDefault="00734A00" w:rsidP="00734A00"/>
    <w:p w:rsidR="00734A00" w:rsidRDefault="00734A00" w:rsidP="00734A00"/>
    <w:p w:rsidR="00734A00" w:rsidRDefault="00734A00" w:rsidP="00734A00"/>
    <w:p w:rsidR="00734A00" w:rsidRDefault="00734A00" w:rsidP="00734A00"/>
    <w:p w:rsidR="00734A00" w:rsidRDefault="00734A00" w:rsidP="00734A00"/>
    <w:p w:rsidR="00734A00" w:rsidRDefault="00734A00" w:rsidP="00734A00"/>
    <w:p w:rsidR="00734A00" w:rsidRDefault="00BD5D3E" w:rsidP="00734A00">
      <w:r>
        <w:t>Yvonne Henderson</w:t>
      </w:r>
    </w:p>
    <w:p w:rsidR="00734A00" w:rsidRDefault="00BD5D3E" w:rsidP="00734A00">
      <w:pPr>
        <w:rPr>
          <w:b/>
        </w:rPr>
      </w:pPr>
      <w:r>
        <w:rPr>
          <w:b/>
        </w:rPr>
        <w:t>COMMISSIONER FOR EQUAL OPPORTUNITY</w:t>
      </w:r>
    </w:p>
    <w:p w:rsidR="00734A00" w:rsidRDefault="00734A00" w:rsidP="00734A00"/>
    <w:p w:rsidR="00734A00" w:rsidRDefault="00734A00" w:rsidP="00734A00"/>
    <w:p w:rsidR="00734A00" w:rsidRDefault="00734A00" w:rsidP="00734A00">
      <w:r>
        <w:t xml:space="preserve">26 </w:t>
      </w:r>
      <w:r w:rsidR="00BD5D3E">
        <w:t>June</w:t>
      </w:r>
      <w:r>
        <w:t xml:space="preserve"> 2009 </w:t>
      </w:r>
    </w:p>
    <w:p w:rsidR="00734A00" w:rsidRDefault="00734A00" w:rsidP="00734A00"/>
    <w:p w:rsidR="00734A00" w:rsidRDefault="00734A00" w:rsidP="00734A00"/>
    <w:sectPr w:rsidR="00734A00" w:rsidSect="00542A1C">
      <w:headerReference w:type="default" r:id="rId6"/>
      <w:footerReference w:type="default" r:id="rId7"/>
      <w:headerReference w:type="first" r:id="rId8"/>
      <w:footerReference w:type="first" r:id="rId9"/>
      <w:pgSz w:w="11909" w:h="16834" w:code="9"/>
      <w:pgMar w:top="2160" w:right="1728" w:bottom="1152" w:left="1728" w:header="720" w:footer="288" w:gutter="0"/>
      <w:paperSrc w:first="262" w:other="26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D3E" w:rsidRDefault="00BD5D3E">
      <w:r>
        <w:separator/>
      </w:r>
    </w:p>
  </w:endnote>
  <w:endnote w:type="continuationSeparator" w:id="0">
    <w:p w:rsidR="00BD5D3E" w:rsidRDefault="00BD5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D3E" w:rsidRPr="00F65425" w:rsidRDefault="00BD5D3E" w:rsidP="00E57E19">
    <w:pPr>
      <w:pStyle w:val="Footer"/>
      <w:tabs>
        <w:tab w:val="clear" w:pos="4153"/>
        <w:tab w:val="clear" w:pos="8306"/>
        <w:tab w:val="center" w:pos="8222"/>
      </w:tabs>
      <w:ind w:right="-907"/>
      <w:rPr>
        <w:rFonts w:ascii="Trebuchet MS" w:hAnsi="Trebuchet MS" w:cs="Arial"/>
        <w:color w:val="FF6600"/>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D3E" w:rsidRPr="0076190E" w:rsidRDefault="00BD5D3E" w:rsidP="00542A1C">
    <w:pPr>
      <w:pStyle w:val="Footer"/>
      <w:tabs>
        <w:tab w:val="clear" w:pos="8306"/>
      </w:tabs>
      <w:spacing w:after="40"/>
      <w:ind w:right="-907"/>
      <w:jc w:val="right"/>
      <w:rPr>
        <w:rFonts w:ascii="Trebuchet MS" w:hAnsi="Trebuchet MS" w:cs="Arial"/>
        <w:color w:val="077FA5"/>
        <w:sz w:val="16"/>
        <w:szCs w:val="16"/>
      </w:rPr>
    </w:pPr>
    <w:r w:rsidRPr="0076190E">
      <w:rPr>
        <w:rFonts w:ascii="Trebuchet MS" w:hAnsi="Trebuchet MS" w:cs="Arial"/>
        <w:color w:val="077FA5"/>
        <w:sz w:val="16"/>
        <w:szCs w:val="16"/>
      </w:rPr>
      <w:t xml:space="preserve">Level 2 141 St Georges Terrace </w:t>
    </w:r>
    <w:smartTag w:uri="urn:schemas-microsoft-com:office:smarttags" w:element="City">
      <w:r w:rsidRPr="0076190E">
        <w:rPr>
          <w:rFonts w:ascii="Trebuchet MS" w:hAnsi="Trebuchet MS" w:cs="Arial"/>
          <w:color w:val="077FA5"/>
          <w:sz w:val="16"/>
          <w:szCs w:val="16"/>
        </w:rPr>
        <w:t>Perth</w:t>
      </w:r>
    </w:smartTag>
    <w:r w:rsidRPr="0076190E">
      <w:rPr>
        <w:rFonts w:ascii="Trebuchet MS" w:hAnsi="Trebuchet MS" w:cs="Arial"/>
        <w:color w:val="077FA5"/>
        <w:sz w:val="16"/>
        <w:szCs w:val="16"/>
      </w:rPr>
      <w:t xml:space="preserve"> </w:t>
    </w:r>
    <w:smartTag w:uri="urn:schemas-microsoft-com:office:smarttags" w:element="place">
      <w:smartTag w:uri="urn:schemas-microsoft-com:office:smarttags" w:element="State">
        <w:r w:rsidRPr="0076190E">
          <w:rPr>
            <w:rFonts w:ascii="Trebuchet MS" w:hAnsi="Trebuchet MS" w:cs="Arial"/>
            <w:color w:val="077FA5"/>
            <w:sz w:val="16"/>
            <w:szCs w:val="16"/>
          </w:rPr>
          <w:t>Western Australia</w:t>
        </w:r>
      </w:smartTag>
    </w:smartTag>
    <w:r w:rsidRPr="0076190E">
      <w:rPr>
        <w:rFonts w:ascii="Trebuchet MS" w:hAnsi="Trebuchet MS" w:cs="Arial"/>
        <w:color w:val="077FA5"/>
        <w:sz w:val="16"/>
        <w:szCs w:val="16"/>
      </w:rPr>
      <w:t xml:space="preserve"> 6000</w:t>
    </w:r>
  </w:p>
  <w:p w:rsidR="00BD5D3E" w:rsidRPr="0076190E" w:rsidRDefault="00BD5D3E" w:rsidP="00542A1C">
    <w:pPr>
      <w:pStyle w:val="Footer"/>
      <w:tabs>
        <w:tab w:val="clear" w:pos="8306"/>
      </w:tabs>
      <w:spacing w:after="40"/>
      <w:ind w:right="-907"/>
      <w:jc w:val="right"/>
      <w:rPr>
        <w:rFonts w:ascii="Trebuchet MS" w:hAnsi="Trebuchet MS" w:cs="Arial"/>
        <w:color w:val="077FA5"/>
        <w:sz w:val="16"/>
        <w:szCs w:val="16"/>
      </w:rPr>
    </w:pPr>
    <w:r w:rsidRPr="0076190E">
      <w:rPr>
        <w:rFonts w:ascii="Trebuchet MS" w:hAnsi="Trebuchet MS" w:cs="Arial"/>
        <w:color w:val="077FA5"/>
        <w:sz w:val="16"/>
        <w:szCs w:val="16"/>
      </w:rPr>
      <w:t xml:space="preserve">PO Box </w:t>
    </w:r>
    <w:smartTag w:uri="urn:schemas-microsoft-com:office:smarttags" w:element="address">
      <w:smartTag w:uri="urn:schemas-microsoft-com:office:smarttags" w:element="Street">
        <w:r w:rsidRPr="0076190E">
          <w:rPr>
            <w:rFonts w:ascii="Trebuchet MS" w:hAnsi="Trebuchet MS" w:cs="Arial"/>
            <w:color w:val="077FA5"/>
            <w:sz w:val="16"/>
            <w:szCs w:val="16"/>
          </w:rPr>
          <w:t>7370 Cloisters Square</w:t>
        </w:r>
      </w:smartTag>
      <w:r w:rsidRPr="0076190E">
        <w:rPr>
          <w:rFonts w:ascii="Trebuchet MS" w:hAnsi="Trebuchet MS" w:cs="Arial"/>
          <w:color w:val="077FA5"/>
          <w:sz w:val="16"/>
          <w:szCs w:val="16"/>
        </w:rPr>
        <w:t xml:space="preserve"> </w:t>
      </w:r>
      <w:smartTag w:uri="urn:schemas-microsoft-com:office:smarttags" w:element="City">
        <w:r w:rsidRPr="0076190E">
          <w:rPr>
            <w:rFonts w:ascii="Trebuchet MS" w:hAnsi="Trebuchet MS" w:cs="Arial"/>
            <w:color w:val="077FA5"/>
            <w:sz w:val="16"/>
            <w:szCs w:val="16"/>
          </w:rPr>
          <w:t>Perth</w:t>
        </w:r>
      </w:smartTag>
      <w:r w:rsidRPr="0076190E">
        <w:rPr>
          <w:rFonts w:ascii="Trebuchet MS" w:hAnsi="Trebuchet MS" w:cs="Arial"/>
          <w:color w:val="077FA5"/>
          <w:sz w:val="16"/>
          <w:szCs w:val="16"/>
        </w:rPr>
        <w:t xml:space="preserve"> </w:t>
      </w:r>
      <w:smartTag w:uri="urn:schemas-microsoft-com:office:smarttags" w:element="State">
        <w:r w:rsidRPr="0076190E">
          <w:rPr>
            <w:rFonts w:ascii="Trebuchet MS" w:hAnsi="Trebuchet MS" w:cs="Arial"/>
            <w:color w:val="077FA5"/>
            <w:sz w:val="16"/>
            <w:szCs w:val="16"/>
          </w:rPr>
          <w:t>Western Australia</w:t>
        </w:r>
      </w:smartTag>
    </w:smartTag>
    <w:r w:rsidRPr="0076190E">
      <w:rPr>
        <w:rFonts w:ascii="Trebuchet MS" w:hAnsi="Trebuchet MS" w:cs="Arial"/>
        <w:color w:val="077FA5"/>
        <w:sz w:val="16"/>
        <w:szCs w:val="16"/>
      </w:rPr>
      <w:t xml:space="preserve"> 6850</w:t>
    </w:r>
  </w:p>
  <w:p w:rsidR="00BD5D3E" w:rsidRPr="0076190E" w:rsidRDefault="00BD5D3E" w:rsidP="00542A1C">
    <w:pPr>
      <w:pStyle w:val="Footer"/>
      <w:tabs>
        <w:tab w:val="clear" w:pos="8306"/>
      </w:tabs>
      <w:spacing w:after="40"/>
      <w:ind w:right="-907"/>
      <w:jc w:val="right"/>
      <w:rPr>
        <w:rFonts w:ascii="Trebuchet MS" w:hAnsi="Trebuchet MS" w:cs="Arial"/>
        <w:color w:val="077FA5"/>
        <w:sz w:val="16"/>
        <w:szCs w:val="16"/>
      </w:rPr>
    </w:pPr>
    <w:r w:rsidRPr="0076190E">
      <w:rPr>
        <w:rFonts w:ascii="Trebuchet MS" w:hAnsi="Trebuchet MS" w:cs="Arial"/>
        <w:color w:val="077FA5"/>
        <w:sz w:val="16"/>
        <w:szCs w:val="16"/>
      </w:rPr>
      <w:t>Telephone: (0</w:t>
    </w:r>
    <w:r>
      <w:rPr>
        <w:rFonts w:ascii="Trebuchet MS" w:hAnsi="Trebuchet MS" w:cs="Arial"/>
        <w:color w:val="077FA5"/>
        <w:sz w:val="16"/>
        <w:szCs w:val="16"/>
      </w:rPr>
      <w:t>8</w:t>
    </w:r>
    <w:r w:rsidRPr="0076190E">
      <w:rPr>
        <w:rFonts w:ascii="Trebuchet MS" w:hAnsi="Trebuchet MS" w:cs="Arial"/>
        <w:color w:val="077FA5"/>
        <w:sz w:val="16"/>
        <w:szCs w:val="16"/>
      </w:rPr>
      <w:t>) 9216 3900  Country callers: 1800 198 149 (Free call) TTY No: (08) 9216 3936</w:t>
    </w:r>
  </w:p>
  <w:p w:rsidR="00BD5D3E" w:rsidRPr="0076190E" w:rsidRDefault="00BD5D3E" w:rsidP="00542A1C">
    <w:pPr>
      <w:pStyle w:val="Footer"/>
      <w:tabs>
        <w:tab w:val="clear" w:pos="8306"/>
      </w:tabs>
      <w:spacing w:after="40"/>
      <w:ind w:right="-907"/>
      <w:jc w:val="right"/>
      <w:rPr>
        <w:rFonts w:ascii="Trebuchet MS" w:hAnsi="Trebuchet MS" w:cs="Arial"/>
        <w:color w:val="077FA5"/>
        <w:sz w:val="16"/>
        <w:szCs w:val="16"/>
      </w:rPr>
    </w:pPr>
    <w:r w:rsidRPr="0076190E">
      <w:rPr>
        <w:rFonts w:ascii="Trebuchet MS" w:hAnsi="Trebuchet MS" w:cs="Arial"/>
        <w:color w:val="077FA5"/>
        <w:sz w:val="16"/>
        <w:szCs w:val="16"/>
      </w:rPr>
      <w:t xml:space="preserve">Facsimile: (08) 9216 3960  Email: </w:t>
    </w:r>
    <w:hyperlink r:id="rId1" w:history="1">
      <w:r w:rsidRPr="0076190E">
        <w:rPr>
          <w:rStyle w:val="Hyperlink"/>
          <w:rFonts w:ascii="Trebuchet MS" w:hAnsi="Trebuchet MS" w:cs="Arial"/>
          <w:color w:val="077FA5"/>
          <w:sz w:val="16"/>
          <w:szCs w:val="16"/>
        </w:rPr>
        <w:t>eoc@eoc.wa.gov.au</w:t>
      </w:r>
    </w:hyperlink>
  </w:p>
  <w:p w:rsidR="00BD5D3E" w:rsidRPr="00F65425" w:rsidRDefault="00BD5D3E" w:rsidP="00542A1C">
    <w:pPr>
      <w:pStyle w:val="Footer"/>
      <w:tabs>
        <w:tab w:val="clear" w:pos="4153"/>
        <w:tab w:val="clear" w:pos="8306"/>
        <w:tab w:val="center" w:pos="8222"/>
      </w:tabs>
      <w:ind w:right="-907"/>
      <w:rPr>
        <w:rFonts w:ascii="Trebuchet MS" w:hAnsi="Trebuchet MS" w:cs="Arial"/>
        <w:color w:val="FF6600"/>
        <w:sz w:val="16"/>
        <w:szCs w:val="16"/>
      </w:rPr>
    </w:pPr>
    <w:fldSimple w:instr=" USERINITIALS \* Lower \* MERGEFORMAT ">
      <w:r>
        <w:rPr>
          <w:rFonts w:ascii="Times New Roman" w:hAnsi="Times New Roman"/>
          <w:noProof/>
          <w:sz w:val="14"/>
        </w:rPr>
        <w:t>a</w:t>
      </w:r>
    </w:fldSimple>
    <w:r w:rsidRPr="00EB65BD">
      <w:rPr>
        <w:rFonts w:ascii="Times New Roman" w:hAnsi="Times New Roman"/>
        <w:sz w:val="14"/>
      </w:rPr>
      <w:t>/</w:t>
    </w:r>
    <w:fldSimple w:instr=" FILENAME  \* Lower \* MERGEFORMAT ">
      <w:r>
        <w:rPr>
          <w:rFonts w:ascii="Times New Roman" w:hAnsi="Times New Roman"/>
          <w:noProof/>
          <w:sz w:val="14"/>
        </w:rPr>
        <w:t>reale first letter</w:t>
      </w:r>
    </w:fldSimple>
    <w:r w:rsidRPr="00271745">
      <w:rPr>
        <w:rFonts w:ascii="Trebuchet MS" w:hAnsi="Trebuchet MS" w:cs="Arial"/>
        <w:sz w:val="14"/>
      </w:rPr>
      <w:tab/>
    </w:r>
    <w:r w:rsidRPr="00F65425">
      <w:rPr>
        <w:rFonts w:ascii="Trebuchet MS" w:hAnsi="Trebuchet MS" w:cs="Arial"/>
        <w:color w:val="FF6600"/>
        <w:sz w:val="16"/>
        <w:szCs w:val="16"/>
      </w:rPr>
      <w:t>Web address: www.eoc.wa.gov.au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D3E" w:rsidRDefault="00BD5D3E">
      <w:r>
        <w:separator/>
      </w:r>
    </w:p>
  </w:footnote>
  <w:footnote w:type="continuationSeparator" w:id="0">
    <w:p w:rsidR="00BD5D3E" w:rsidRDefault="00BD5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D3E" w:rsidRDefault="00BD5D3E" w:rsidP="002A21A7">
    <w:pPr>
      <w:pStyle w:val="Header"/>
      <w:jc w:val="center"/>
    </w:pPr>
    <w:r w:rsidRPr="00E114BC">
      <w:rPr>
        <w:noProof/>
        <w:lang w:val="en-US"/>
      </w:rPr>
      <w:pict>
        <v:shapetype id="_x0000_t32" coordsize="21600,21600" o:spt="32" o:oned="t" path="m,l21600,21600e" filled="f">
          <v:path arrowok="t" fillok="f" o:connecttype="none"/>
          <o:lock v:ext="edit" shapetype="t"/>
        </v:shapetype>
        <v:shape id="_x0000_s2053" type="#_x0000_t32" style="position:absolute;left:0;text-align:left;margin-left:493.8pt;margin-top:533pt;width:11.25pt;height:0;z-index:251657216" o:connectortype="straight" strokecolor="#03a0b5"/>
      </w:pict>
    </w:r>
    <w:r w:rsidRPr="00E114BC">
      <w:rPr>
        <w:noProof/>
        <w:lang w:val="en-US"/>
      </w:rPr>
      <w:pict>
        <v:shape id="_x0000_s2052" type="#_x0000_t32" style="position:absolute;left:0;text-align:left;margin-left:493.8pt;margin-top:247.4pt;width:11.25pt;height:0;z-index:251656192" o:connectortype="straight" strokecolor="#03a0b5"/>
      </w:pict>
    </w:r>
    <w:r>
      <w:t>- 2 -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D3E" w:rsidRDefault="00BD5D3E">
    <w:pPr>
      <w:pStyle w:val="Header"/>
    </w:pPr>
    <w:r w:rsidRPr="00E114BC">
      <w:rPr>
        <w:noProof/>
        <w:lang w:val="en-US"/>
      </w:rPr>
      <w:pict>
        <v:rect id="_x0000_s2058" style="position:absolute;margin-left:-16.35pt;margin-top:3.2pt;width:60.55pt;height:62.95pt;z-index:251659264;mso-wrap-distance-left:2.88pt;mso-wrap-distance-top:2.88pt;mso-wrap-distance-right:2.88pt;mso-wrap-distance-bottom:2.88pt" o:preferrelative="t" filled="f" stroked="f" insetpen="t" o:cliptowrap="t">
          <v:stroke>
            <o:left v:ext="view" joinstyle="miter" insetpen="t"/>
            <o:top v:ext="view" joinstyle="miter" insetpen="t"/>
            <o:right v:ext="view" joinstyle="miter" insetpen="t"/>
            <o:bottom v:ext="view" joinstyle="miter" insetpen="t"/>
          </v:stroke>
          <v:imagedata r:id="rId1" o:title="badge_black_text" recolortarget="#077fa5"/>
          <v:shadow color="#ccc"/>
          <v:path o:extrusionok="f"/>
          <o:lock v:ext="edit" aspectratio="t"/>
        </v:rect>
      </w:pict>
    </w:r>
    <w:r w:rsidRPr="00E114BC">
      <w:rPr>
        <w:noProof/>
        <w:lang w:val="en-US"/>
      </w:rPr>
      <w:pict>
        <v:rect id="_x0000_s2057" style="position:absolute;margin-left:226.65pt;margin-top:-5.8pt;width:269.25pt;height:64.5pt;z-index:251658240;mso-wrap-distance-left:2.88pt;mso-wrap-distance-top:2.88pt;mso-wrap-distance-right:2.88pt;mso-wrap-distance-bottom:2.88pt" o:preferrelative="t" filled="f" stroked="f" insetpen="t" o:cliptowrap="t">
          <v:imagedata r:id="rId2" o:title="EOC Logo RGB"/>
          <v:shadow color="#ccc"/>
          <v:path o:extrusionok="f"/>
          <o:lock v:ext="edit" aspectratio="t"/>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rules v:ext="edit">
        <o:r id="V:Rule3" type="connector" idref="#_x0000_s2052"/>
        <o:r id="V:Rule4" type="connector" idref="#_x0000_s2053"/>
      </o:rules>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54DF"/>
    <w:rsid w:val="00005DAD"/>
    <w:rsid w:val="00020810"/>
    <w:rsid w:val="00044406"/>
    <w:rsid w:val="00047FEA"/>
    <w:rsid w:val="00075194"/>
    <w:rsid w:val="000837DD"/>
    <w:rsid w:val="00087CF2"/>
    <w:rsid w:val="000E225F"/>
    <w:rsid w:val="00134B05"/>
    <w:rsid w:val="00154080"/>
    <w:rsid w:val="001606E7"/>
    <w:rsid w:val="00182899"/>
    <w:rsid w:val="001C3AE0"/>
    <w:rsid w:val="001D371A"/>
    <w:rsid w:val="001D41E2"/>
    <w:rsid w:val="001E0BEF"/>
    <w:rsid w:val="001F01C2"/>
    <w:rsid w:val="00271745"/>
    <w:rsid w:val="00287D77"/>
    <w:rsid w:val="002916D0"/>
    <w:rsid w:val="002A21A7"/>
    <w:rsid w:val="002A5EDA"/>
    <w:rsid w:val="002D3332"/>
    <w:rsid w:val="002E11B4"/>
    <w:rsid w:val="00305743"/>
    <w:rsid w:val="003141FF"/>
    <w:rsid w:val="00317277"/>
    <w:rsid w:val="003576AA"/>
    <w:rsid w:val="0036202A"/>
    <w:rsid w:val="00373E5F"/>
    <w:rsid w:val="00375181"/>
    <w:rsid w:val="003929A6"/>
    <w:rsid w:val="003B0158"/>
    <w:rsid w:val="004254DF"/>
    <w:rsid w:val="00463985"/>
    <w:rsid w:val="004E6EA6"/>
    <w:rsid w:val="00515BED"/>
    <w:rsid w:val="0053004E"/>
    <w:rsid w:val="00542A1C"/>
    <w:rsid w:val="005441B4"/>
    <w:rsid w:val="00555BE3"/>
    <w:rsid w:val="0056469D"/>
    <w:rsid w:val="005A2D44"/>
    <w:rsid w:val="005A4BBA"/>
    <w:rsid w:val="005C20E6"/>
    <w:rsid w:val="006350BA"/>
    <w:rsid w:val="00642A7A"/>
    <w:rsid w:val="0067741A"/>
    <w:rsid w:val="006F2763"/>
    <w:rsid w:val="00705E2A"/>
    <w:rsid w:val="00717080"/>
    <w:rsid w:val="00734A00"/>
    <w:rsid w:val="00736B0B"/>
    <w:rsid w:val="007472C9"/>
    <w:rsid w:val="0076190E"/>
    <w:rsid w:val="007A296E"/>
    <w:rsid w:val="007B348F"/>
    <w:rsid w:val="0080279E"/>
    <w:rsid w:val="00837FAB"/>
    <w:rsid w:val="00864522"/>
    <w:rsid w:val="008A7CCF"/>
    <w:rsid w:val="00925788"/>
    <w:rsid w:val="00984245"/>
    <w:rsid w:val="00994372"/>
    <w:rsid w:val="009B49FF"/>
    <w:rsid w:val="009C77EA"/>
    <w:rsid w:val="009D149A"/>
    <w:rsid w:val="00AA1509"/>
    <w:rsid w:val="00AD00E6"/>
    <w:rsid w:val="00AF0224"/>
    <w:rsid w:val="00B21BF4"/>
    <w:rsid w:val="00B31090"/>
    <w:rsid w:val="00B36D25"/>
    <w:rsid w:val="00B40C81"/>
    <w:rsid w:val="00B82551"/>
    <w:rsid w:val="00B86363"/>
    <w:rsid w:val="00B92904"/>
    <w:rsid w:val="00B96CDC"/>
    <w:rsid w:val="00BC0FDD"/>
    <w:rsid w:val="00BD5D3E"/>
    <w:rsid w:val="00C00A72"/>
    <w:rsid w:val="00C20EDD"/>
    <w:rsid w:val="00C44D86"/>
    <w:rsid w:val="00CB561C"/>
    <w:rsid w:val="00D172CD"/>
    <w:rsid w:val="00D20CE2"/>
    <w:rsid w:val="00D45334"/>
    <w:rsid w:val="00D51FDD"/>
    <w:rsid w:val="00D80195"/>
    <w:rsid w:val="00D85FCE"/>
    <w:rsid w:val="00D9049B"/>
    <w:rsid w:val="00DF7E33"/>
    <w:rsid w:val="00E03E09"/>
    <w:rsid w:val="00E10C4C"/>
    <w:rsid w:val="00E114BC"/>
    <w:rsid w:val="00E31DD2"/>
    <w:rsid w:val="00E51E59"/>
    <w:rsid w:val="00E57E19"/>
    <w:rsid w:val="00E82BC5"/>
    <w:rsid w:val="00EA6735"/>
    <w:rsid w:val="00EB65BD"/>
    <w:rsid w:val="00ED3EA3"/>
    <w:rsid w:val="00F24911"/>
    <w:rsid w:val="00F348E6"/>
    <w:rsid w:val="00F65425"/>
    <w:rsid w:val="00F71BA5"/>
    <w:rsid w:val="00F8700E"/>
    <w:rsid w:val="00FA4EA8"/>
    <w:rsid w:val="00FC4A96"/>
    <w:rsid w:val="00FC5AA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4DF"/>
    <w:rPr>
      <w:rFonts w:ascii="CG Times (W1)" w:hAnsi="CG Times (W1)"/>
      <w:sz w:val="24"/>
      <w:lang w:val="en-GB" w:eastAsia="en-US"/>
    </w:rPr>
  </w:style>
  <w:style w:type="paragraph" w:styleId="Heading1">
    <w:name w:val="heading 1"/>
    <w:basedOn w:val="Normal"/>
    <w:next w:val="Normal"/>
    <w:link w:val="Heading1Char"/>
    <w:qFormat/>
    <w:rsid w:val="00734A00"/>
    <w:pPr>
      <w:keepNext/>
      <w:tabs>
        <w:tab w:val="left" w:pos="-720"/>
      </w:tabs>
      <w:suppressAutoHyphens/>
      <w:jc w:val="both"/>
      <w:outlineLvl w:val="0"/>
    </w:pPr>
    <w:rPr>
      <w:rFonts w:ascii="CG Times" w:hAnsi="CG Times"/>
      <w:b/>
      <w:spacing w:val="-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4DF"/>
    <w:pPr>
      <w:tabs>
        <w:tab w:val="center" w:pos="4153"/>
        <w:tab w:val="right" w:pos="8306"/>
      </w:tabs>
    </w:pPr>
  </w:style>
  <w:style w:type="paragraph" w:styleId="Footer">
    <w:name w:val="footer"/>
    <w:basedOn w:val="Normal"/>
    <w:rsid w:val="004254DF"/>
    <w:pPr>
      <w:tabs>
        <w:tab w:val="center" w:pos="4153"/>
        <w:tab w:val="right" w:pos="8306"/>
      </w:tabs>
    </w:pPr>
  </w:style>
  <w:style w:type="paragraph" w:styleId="BodyText">
    <w:name w:val="Body Text"/>
    <w:basedOn w:val="Normal"/>
    <w:rsid w:val="004254DF"/>
    <w:pPr>
      <w:tabs>
        <w:tab w:val="left" w:pos="-720"/>
      </w:tabs>
      <w:suppressAutoHyphens/>
      <w:jc w:val="both"/>
    </w:pPr>
    <w:rPr>
      <w:spacing w:val="-3"/>
      <w:lang w:val="en-AU"/>
    </w:rPr>
  </w:style>
  <w:style w:type="paragraph" w:styleId="BalloonText">
    <w:name w:val="Balloon Text"/>
    <w:basedOn w:val="Normal"/>
    <w:semiHidden/>
    <w:rsid w:val="00E10C4C"/>
    <w:rPr>
      <w:rFonts w:ascii="Tahoma" w:hAnsi="Tahoma" w:cs="Tahoma"/>
      <w:sz w:val="16"/>
      <w:szCs w:val="16"/>
    </w:rPr>
  </w:style>
  <w:style w:type="character" w:styleId="Hyperlink">
    <w:name w:val="Hyperlink"/>
    <w:basedOn w:val="DefaultParagraphFont"/>
    <w:rsid w:val="00E57E19"/>
    <w:rPr>
      <w:color w:val="0000FF"/>
      <w:u w:val="single"/>
    </w:rPr>
  </w:style>
  <w:style w:type="character" w:customStyle="1" w:styleId="Heading1Char">
    <w:name w:val="Heading 1 Char"/>
    <w:basedOn w:val="DefaultParagraphFont"/>
    <w:link w:val="Heading1"/>
    <w:rsid w:val="00734A00"/>
    <w:rPr>
      <w:rFonts w:ascii="CG Times" w:hAnsi="CG Times"/>
      <w:b/>
      <w:spacing w:val="-3"/>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eoc@eoc.w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All_Templates\ADMINISTRATION\A001%20Setup%20for%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A001 Setup for Letter</Template>
  <TotalTime>797</TotalTime>
  <Pages>4</Pages>
  <Words>1571</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Registrar - Complainant referred S.90(2)</vt:lpstr>
    </vt:vector>
  </TitlesOfParts>
  <Company>Equal Opportunity Commission</Company>
  <LinksUpToDate>false</LinksUpToDate>
  <CharactersWithSpaces>9499</CharactersWithSpaces>
  <SharedDoc>false</SharedDoc>
  <HLinks>
    <vt:vector size="6" baseType="variant">
      <vt:variant>
        <vt:i4>983093</vt:i4>
      </vt:variant>
      <vt:variant>
        <vt:i4>0</vt:i4>
      </vt:variant>
      <vt:variant>
        <vt:i4>0</vt:i4>
      </vt:variant>
      <vt:variant>
        <vt:i4>5</vt:i4>
      </vt:variant>
      <vt:variant>
        <vt:lpwstr>mailto:eoc@eoc.wa.gov.au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Registrar - Complainant referred S.90(2)</dc:title>
  <dc:subject/>
  <dc:creator>allan</dc:creator>
  <cp:keywords/>
  <cp:lastModifiedBy>allan</cp:lastModifiedBy>
  <cp:revision>15</cp:revision>
  <cp:lastPrinted>2009-05-26T02:02:00Z</cp:lastPrinted>
  <dcterms:created xsi:type="dcterms:W3CDTF">2009-06-23T05:21:00Z</dcterms:created>
  <dcterms:modified xsi:type="dcterms:W3CDTF">2009-06-26T08:40:00Z</dcterms:modified>
</cp:coreProperties>
</file>