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FA7F7" w14:textId="77777777" w:rsidR="00B42834" w:rsidRPr="00D714A2" w:rsidRDefault="00B42834" w:rsidP="00645318">
      <w:pPr>
        <w:pStyle w:val="NoSpacing"/>
        <w:rPr>
          <w:rFonts w:cs="Open Sans"/>
        </w:rPr>
      </w:pPr>
    </w:p>
    <w:p w14:paraId="052FE42E" w14:textId="08DF07C7" w:rsidR="00133F91" w:rsidRPr="00F305E1" w:rsidRDefault="00CC49AB" w:rsidP="00645318">
      <w:pPr>
        <w:pStyle w:val="NoSpacing"/>
        <w:rPr>
          <w:rFonts w:cs="Open Sans"/>
        </w:rPr>
      </w:pPr>
      <w:r>
        <w:rPr>
          <w:rFonts w:cs="Open Sans"/>
        </w:rPr>
        <w:t>22</w:t>
      </w:r>
      <w:r w:rsidR="00B42834" w:rsidRPr="00D714A2">
        <w:rPr>
          <w:rFonts w:cs="Open Sans"/>
        </w:rPr>
        <w:t xml:space="preserve"> February 2019</w:t>
      </w:r>
    </w:p>
    <w:p w14:paraId="334D4D50" w14:textId="77777777" w:rsidR="00B42834" w:rsidRPr="00F305E1" w:rsidRDefault="00B42834" w:rsidP="00645318">
      <w:pPr>
        <w:pStyle w:val="NoSpacing"/>
        <w:rPr>
          <w:rFonts w:cs="Open Sans"/>
        </w:rPr>
      </w:pPr>
    </w:p>
    <w:p w14:paraId="6BD1D0A2" w14:textId="77777777" w:rsidR="00645318" w:rsidRPr="00F305E1" w:rsidRDefault="00645318" w:rsidP="00645318">
      <w:pPr>
        <w:pStyle w:val="NoSpacing"/>
        <w:rPr>
          <w:rFonts w:cs="Open Sans"/>
        </w:rPr>
      </w:pPr>
      <w:r w:rsidRPr="00F305E1">
        <w:rPr>
          <w:rFonts w:cs="Open Sans"/>
        </w:rPr>
        <w:t>Parliamentary Joint Committee on Intelligence and Security</w:t>
      </w:r>
    </w:p>
    <w:p w14:paraId="6B3DC5BE" w14:textId="77777777" w:rsidR="00645318" w:rsidRPr="00F305E1" w:rsidRDefault="00645318" w:rsidP="00645318">
      <w:pPr>
        <w:pStyle w:val="NoSpacing"/>
        <w:rPr>
          <w:rFonts w:cs="Open Sans"/>
        </w:rPr>
      </w:pPr>
      <w:r w:rsidRPr="00F305E1">
        <w:rPr>
          <w:rFonts w:cs="Open Sans"/>
        </w:rPr>
        <w:t>PO Box 6021</w:t>
      </w:r>
    </w:p>
    <w:p w14:paraId="3BD803A2" w14:textId="77777777" w:rsidR="00645318" w:rsidRPr="00F305E1" w:rsidRDefault="00645318" w:rsidP="00645318">
      <w:pPr>
        <w:pStyle w:val="NoSpacing"/>
        <w:rPr>
          <w:rFonts w:cs="Open Sans"/>
        </w:rPr>
      </w:pPr>
      <w:r w:rsidRPr="00F305E1">
        <w:rPr>
          <w:rFonts w:cs="Open Sans"/>
        </w:rPr>
        <w:t>Parliament House</w:t>
      </w:r>
    </w:p>
    <w:p w14:paraId="486BF01A" w14:textId="00442964" w:rsidR="00645318" w:rsidRDefault="00645318" w:rsidP="00645318">
      <w:pPr>
        <w:pStyle w:val="NoSpacing"/>
        <w:rPr>
          <w:rFonts w:cs="Open Sans"/>
        </w:rPr>
      </w:pPr>
      <w:r w:rsidRPr="00F305E1">
        <w:rPr>
          <w:rFonts w:cs="Open Sans"/>
        </w:rPr>
        <w:t>Canberra ACT 2600</w:t>
      </w:r>
    </w:p>
    <w:p w14:paraId="51F4A07E" w14:textId="30BDE056" w:rsidR="00085AFA" w:rsidRDefault="00085AFA" w:rsidP="00645318">
      <w:pPr>
        <w:pStyle w:val="NoSpacing"/>
        <w:rPr>
          <w:rFonts w:cs="Open Sans"/>
        </w:rPr>
      </w:pPr>
    </w:p>
    <w:p w14:paraId="7F540DF1" w14:textId="48A6AB79" w:rsidR="00085AFA" w:rsidRPr="00085AFA" w:rsidRDefault="00085AFA" w:rsidP="00645318">
      <w:pPr>
        <w:pStyle w:val="NoSpacing"/>
        <w:rPr>
          <w:rFonts w:cs="Open Sans"/>
          <w:i/>
        </w:rPr>
      </w:pPr>
      <w:r w:rsidRPr="00085AFA">
        <w:rPr>
          <w:rFonts w:cs="Open Sans"/>
          <w:i/>
        </w:rPr>
        <w:t>By electronic submission</w:t>
      </w:r>
    </w:p>
    <w:p w14:paraId="7E24123C" w14:textId="067AA6B0" w:rsidR="00645318" w:rsidRPr="00F305E1" w:rsidRDefault="00645318" w:rsidP="005C50FC">
      <w:pPr>
        <w:pStyle w:val="NoSpacing"/>
        <w:rPr>
          <w:rFonts w:cs="Open Sans"/>
        </w:rPr>
      </w:pPr>
    </w:p>
    <w:p w14:paraId="1D65C751" w14:textId="6DF57F5D" w:rsidR="000F179B" w:rsidRPr="00F305E1" w:rsidRDefault="000F179B" w:rsidP="005C50FC">
      <w:pPr>
        <w:pStyle w:val="NoSpacing"/>
        <w:rPr>
          <w:rFonts w:cs="Open Sans"/>
        </w:rPr>
      </w:pPr>
      <w:r w:rsidRPr="00F305E1">
        <w:rPr>
          <w:rFonts w:cs="Open Sans"/>
        </w:rPr>
        <w:t xml:space="preserve">Dear </w:t>
      </w:r>
      <w:r w:rsidR="004528E5" w:rsidRPr="00F305E1">
        <w:rPr>
          <w:rFonts w:cs="Open Sans"/>
        </w:rPr>
        <w:t>Committee</w:t>
      </w:r>
      <w:r w:rsidR="005C72C7" w:rsidRPr="00F305E1">
        <w:rPr>
          <w:rFonts w:cs="Open Sans"/>
        </w:rPr>
        <w:t>,</w:t>
      </w:r>
    </w:p>
    <w:p w14:paraId="58AD1FF9" w14:textId="37D95E26" w:rsidR="005C50FC" w:rsidRPr="00F305E1" w:rsidRDefault="004528E5" w:rsidP="00FC198F">
      <w:pPr>
        <w:pStyle w:val="Heading1"/>
        <w:tabs>
          <w:tab w:val="left" w:pos="0"/>
        </w:tabs>
        <w:spacing w:before="360" w:after="0"/>
        <w:rPr>
          <w:rFonts w:eastAsia="MS Mincho" w:cs="Open Sans"/>
          <w:sz w:val="28"/>
        </w:rPr>
      </w:pPr>
      <w:r w:rsidRPr="00F305E1">
        <w:rPr>
          <w:rFonts w:eastAsia="MS Mincho" w:cs="Open Sans"/>
          <w:sz w:val="28"/>
        </w:rPr>
        <w:t>Review of the Telecommunications and Other Legislation Amendment (Assistance and Access) Act 2018</w:t>
      </w:r>
    </w:p>
    <w:p w14:paraId="04B06A87" w14:textId="77777777" w:rsidR="001A24E6" w:rsidRPr="00F305E1" w:rsidRDefault="001A24E6" w:rsidP="005C50FC">
      <w:pPr>
        <w:pStyle w:val="NoSpacing"/>
        <w:rPr>
          <w:rFonts w:cs="Open Sans"/>
        </w:rPr>
      </w:pPr>
    </w:p>
    <w:p w14:paraId="2FCBC08A" w14:textId="3F41C157" w:rsidR="001B281E" w:rsidRPr="00F305E1" w:rsidRDefault="00D976E0" w:rsidP="00105848">
      <w:pPr>
        <w:pStyle w:val="NoSpacing"/>
        <w:rPr>
          <w:rFonts w:cs="Open Sans"/>
        </w:rPr>
      </w:pPr>
      <w:r w:rsidRPr="00F305E1">
        <w:rPr>
          <w:rFonts w:cs="Open Sans"/>
        </w:rPr>
        <w:t xml:space="preserve">The Australian Human Rights Commission (the Commission) </w:t>
      </w:r>
      <w:r w:rsidR="00A35F12" w:rsidRPr="00F305E1">
        <w:rPr>
          <w:rFonts w:cs="Open Sans"/>
        </w:rPr>
        <w:t>welcome</w:t>
      </w:r>
      <w:r w:rsidRPr="00F305E1">
        <w:rPr>
          <w:rFonts w:cs="Open Sans"/>
        </w:rPr>
        <w:t>s</w:t>
      </w:r>
      <w:r w:rsidR="00A35F12" w:rsidRPr="00F305E1">
        <w:rPr>
          <w:rFonts w:cs="Open Sans"/>
        </w:rPr>
        <w:t xml:space="preserve"> the opportunity to </w:t>
      </w:r>
      <w:r w:rsidR="00024D9D" w:rsidRPr="00F305E1">
        <w:rPr>
          <w:rFonts w:cs="Open Sans"/>
        </w:rPr>
        <w:t>comment on the</w:t>
      </w:r>
      <w:r w:rsidR="001A24E6" w:rsidRPr="00F305E1">
        <w:rPr>
          <w:rFonts w:cs="Open Sans"/>
        </w:rPr>
        <w:t xml:space="preserve"> Parliamentary Joint Committ</w:t>
      </w:r>
      <w:r w:rsidR="00FA4FEE" w:rsidRPr="00F305E1">
        <w:rPr>
          <w:rFonts w:cs="Open Sans"/>
        </w:rPr>
        <w:t>ee on Intelligence and Security</w:t>
      </w:r>
      <w:r w:rsidR="00E71E02" w:rsidRPr="00F305E1">
        <w:rPr>
          <w:rFonts w:cs="Open Sans"/>
        </w:rPr>
        <w:t xml:space="preserve"> (the Committee)</w:t>
      </w:r>
      <w:r w:rsidR="001A24E6" w:rsidRPr="00F305E1">
        <w:rPr>
          <w:rFonts w:cs="Open Sans"/>
        </w:rPr>
        <w:t xml:space="preserve"> inquiry into the </w:t>
      </w:r>
      <w:r w:rsidR="001A24E6" w:rsidRPr="00F305E1">
        <w:rPr>
          <w:rFonts w:cs="Open Sans"/>
          <w:i/>
        </w:rPr>
        <w:t>Telecommunications and Other Legislation Amendment (Assistance and Access) Act</w:t>
      </w:r>
      <w:r w:rsidR="0009413E" w:rsidRPr="00F305E1">
        <w:rPr>
          <w:rFonts w:cs="Open Sans"/>
          <w:i/>
        </w:rPr>
        <w:t xml:space="preserve"> 2018</w:t>
      </w:r>
      <w:r w:rsidR="0009413E" w:rsidRPr="00F305E1">
        <w:rPr>
          <w:rFonts w:cs="Open Sans"/>
        </w:rPr>
        <w:t xml:space="preserve"> (Cth)</w:t>
      </w:r>
      <w:r w:rsidR="005C72C7" w:rsidRPr="00F305E1">
        <w:rPr>
          <w:rFonts w:cs="Open Sans"/>
        </w:rPr>
        <w:t xml:space="preserve"> (the TOLA Act)</w:t>
      </w:r>
      <w:r w:rsidR="00024D9D" w:rsidRPr="00F305E1">
        <w:rPr>
          <w:rFonts w:cs="Open Sans"/>
        </w:rPr>
        <w:t>.</w:t>
      </w:r>
    </w:p>
    <w:p w14:paraId="5C922B97" w14:textId="77777777" w:rsidR="00FD505A" w:rsidRPr="00F305E1" w:rsidRDefault="00FD505A" w:rsidP="00105848">
      <w:pPr>
        <w:pStyle w:val="NoSpacing"/>
        <w:rPr>
          <w:rFonts w:cs="Open Sans"/>
        </w:rPr>
      </w:pPr>
    </w:p>
    <w:p w14:paraId="6E9F2694" w14:textId="07D2AF7A" w:rsidR="00D461DA" w:rsidRPr="00F305E1" w:rsidRDefault="00FD505A" w:rsidP="00105848">
      <w:pPr>
        <w:pStyle w:val="NoSpacing"/>
        <w:rPr>
          <w:rFonts w:cs="Open Sans"/>
        </w:rPr>
      </w:pPr>
      <w:r w:rsidRPr="00F305E1">
        <w:rPr>
          <w:rFonts w:cs="Open Sans"/>
        </w:rPr>
        <w:t>The</w:t>
      </w:r>
      <w:r w:rsidR="00D976E0" w:rsidRPr="00F305E1">
        <w:rPr>
          <w:rFonts w:cs="Open Sans"/>
        </w:rPr>
        <w:t xml:space="preserve"> Commission </w:t>
      </w:r>
      <w:r w:rsidR="002F3EAD" w:rsidRPr="00F305E1">
        <w:rPr>
          <w:rFonts w:cs="Open Sans"/>
        </w:rPr>
        <w:t xml:space="preserve">considers that the </w:t>
      </w:r>
      <w:r w:rsidR="005A0578">
        <w:rPr>
          <w:rFonts w:cs="Open Sans"/>
        </w:rPr>
        <w:t>effect of</w:t>
      </w:r>
      <w:r w:rsidR="00EB215E" w:rsidRPr="00F305E1">
        <w:rPr>
          <w:rFonts w:cs="Open Sans"/>
        </w:rPr>
        <w:t xml:space="preserve"> the </w:t>
      </w:r>
      <w:r w:rsidR="00F85C9B" w:rsidRPr="00F305E1">
        <w:rPr>
          <w:rFonts w:cs="Open Sans"/>
        </w:rPr>
        <w:t>TOLA Act</w:t>
      </w:r>
      <w:r w:rsidR="00D5283F" w:rsidRPr="00F305E1">
        <w:rPr>
          <w:rFonts w:cs="Open Sans"/>
        </w:rPr>
        <w:t xml:space="preserve"> </w:t>
      </w:r>
      <w:r w:rsidR="005A0578">
        <w:rPr>
          <w:rFonts w:cs="Open Sans"/>
        </w:rPr>
        <w:t xml:space="preserve">is to </w:t>
      </w:r>
      <w:r w:rsidR="00D5283F" w:rsidRPr="00F305E1">
        <w:rPr>
          <w:rFonts w:cs="Open Sans"/>
        </w:rPr>
        <w:t>permit inappropriately intrusive</w:t>
      </w:r>
      <w:r w:rsidR="00F85C9B" w:rsidRPr="00F305E1">
        <w:rPr>
          <w:rFonts w:cs="Open Sans"/>
        </w:rPr>
        <w:t>,</w:t>
      </w:r>
      <w:r w:rsidR="00D5283F" w:rsidRPr="00F305E1">
        <w:rPr>
          <w:rFonts w:cs="Open Sans"/>
        </w:rPr>
        <w:t xml:space="preserve"> covert</w:t>
      </w:r>
      <w:r w:rsidR="00F85C9B" w:rsidRPr="00F305E1">
        <w:rPr>
          <w:rFonts w:cs="Open Sans"/>
        </w:rPr>
        <w:t xml:space="preserve"> and coercive powers</w:t>
      </w:r>
      <w:r w:rsidR="00D5283F" w:rsidRPr="00F305E1">
        <w:rPr>
          <w:rFonts w:cs="Open Sans"/>
        </w:rPr>
        <w:t xml:space="preserve">, </w:t>
      </w:r>
      <w:r w:rsidR="002F3EAD" w:rsidRPr="00F305E1">
        <w:rPr>
          <w:rFonts w:cs="Open Sans"/>
        </w:rPr>
        <w:t>without</w:t>
      </w:r>
      <w:r w:rsidR="00D5283F" w:rsidRPr="00F305E1">
        <w:rPr>
          <w:rFonts w:cs="Open Sans"/>
        </w:rPr>
        <w:t xml:space="preserve"> effective safeguards</w:t>
      </w:r>
      <w:r w:rsidR="00240EFA" w:rsidRPr="00F305E1">
        <w:rPr>
          <w:rFonts w:cs="Open Sans"/>
        </w:rPr>
        <w:t xml:space="preserve"> to </w:t>
      </w:r>
      <w:r w:rsidR="00037F66" w:rsidRPr="00F305E1">
        <w:rPr>
          <w:rFonts w:cs="Open Sans"/>
        </w:rPr>
        <w:t xml:space="preserve">adequately </w:t>
      </w:r>
      <w:r w:rsidR="00240EFA" w:rsidRPr="00F305E1">
        <w:rPr>
          <w:rFonts w:cs="Open Sans"/>
        </w:rPr>
        <w:t xml:space="preserve">protect </w:t>
      </w:r>
      <w:r w:rsidR="00037F66" w:rsidRPr="00F305E1">
        <w:rPr>
          <w:rFonts w:cs="Open Sans"/>
        </w:rPr>
        <w:t xml:space="preserve">the </w:t>
      </w:r>
      <w:r w:rsidR="00240EFA" w:rsidRPr="00F305E1">
        <w:rPr>
          <w:rFonts w:cs="Open Sans"/>
        </w:rPr>
        <w:t>human rights</w:t>
      </w:r>
      <w:r w:rsidR="00037F66" w:rsidRPr="00F305E1">
        <w:rPr>
          <w:rFonts w:cs="Open Sans"/>
        </w:rPr>
        <w:t xml:space="preserve"> of </w:t>
      </w:r>
      <w:r w:rsidR="002F3EAD" w:rsidRPr="00F305E1">
        <w:rPr>
          <w:rFonts w:cs="Open Sans"/>
        </w:rPr>
        <w:t>law enforcement</w:t>
      </w:r>
      <w:r w:rsidR="00037F66" w:rsidRPr="00F305E1">
        <w:rPr>
          <w:rFonts w:cs="Open Sans"/>
        </w:rPr>
        <w:t xml:space="preserve"> targets and innocent third parties</w:t>
      </w:r>
      <w:r w:rsidR="00D5283F" w:rsidRPr="00F305E1">
        <w:rPr>
          <w:rFonts w:cs="Open Sans"/>
        </w:rPr>
        <w:t xml:space="preserve">. </w:t>
      </w:r>
    </w:p>
    <w:p w14:paraId="35A6C5D1" w14:textId="473AD29E" w:rsidR="00D976E0" w:rsidRPr="00F305E1" w:rsidRDefault="00D461DA" w:rsidP="00416307">
      <w:pPr>
        <w:pStyle w:val="ListParagraph"/>
        <w:ind w:left="0"/>
        <w:rPr>
          <w:rFonts w:cs="Open Sans"/>
        </w:rPr>
      </w:pPr>
      <w:r w:rsidRPr="00F305E1">
        <w:rPr>
          <w:rFonts w:cs="Open Sans"/>
        </w:rPr>
        <w:t xml:space="preserve">The Commission has made two </w:t>
      </w:r>
      <w:r w:rsidR="002F3EAD" w:rsidRPr="00F305E1">
        <w:rPr>
          <w:rFonts w:cs="Open Sans"/>
        </w:rPr>
        <w:t xml:space="preserve">comprehensive </w:t>
      </w:r>
      <w:r w:rsidRPr="00F305E1">
        <w:rPr>
          <w:rFonts w:cs="Open Sans"/>
        </w:rPr>
        <w:t xml:space="preserve">submissions </w:t>
      </w:r>
      <w:r w:rsidR="00EB215E" w:rsidRPr="00F305E1">
        <w:rPr>
          <w:rFonts w:cs="Open Sans"/>
        </w:rPr>
        <w:t>about previo</w:t>
      </w:r>
      <w:r w:rsidR="00F305E1" w:rsidRPr="00F305E1">
        <w:rPr>
          <w:rFonts w:cs="Open Sans"/>
        </w:rPr>
        <w:t xml:space="preserve">us iterations of the TOLA Act. On 12 October 2018, </w:t>
      </w:r>
      <w:r w:rsidR="00416307">
        <w:rPr>
          <w:rFonts w:cs="Open Sans"/>
        </w:rPr>
        <w:t>the Commission</w:t>
      </w:r>
      <w:r w:rsidR="00F305E1" w:rsidRPr="00F305E1">
        <w:rPr>
          <w:rFonts w:cs="Open Sans"/>
        </w:rPr>
        <w:t xml:space="preserve"> made a submission</w:t>
      </w:r>
      <w:r w:rsidR="00E25386" w:rsidRPr="00F305E1">
        <w:rPr>
          <w:rFonts w:cs="Open Sans"/>
        </w:rPr>
        <w:t xml:space="preserve"> to the Committee </w:t>
      </w:r>
      <w:r w:rsidR="00F305E1" w:rsidRPr="00F305E1">
        <w:rPr>
          <w:rFonts w:cs="Open Sans"/>
        </w:rPr>
        <w:t>on</w:t>
      </w:r>
      <w:r w:rsidR="00E25386" w:rsidRPr="00F305E1">
        <w:rPr>
          <w:rFonts w:cs="Open Sans"/>
        </w:rPr>
        <w:t xml:space="preserve"> the </w:t>
      </w:r>
      <w:r w:rsidR="00416307" w:rsidRPr="00F305E1">
        <w:rPr>
          <w:rFonts w:cs="Open Sans"/>
        </w:rPr>
        <w:t>Telecommunications and Other Legislation Amendment (Assistance and Access) Bill 2018 (the TOLA Bill)</w:t>
      </w:r>
      <w:r w:rsidR="00CC49AB">
        <w:rPr>
          <w:rFonts w:cs="Open Sans"/>
        </w:rPr>
        <w:t>,</w:t>
      </w:r>
      <w:r w:rsidR="00F305E1" w:rsidRPr="00F305E1">
        <w:rPr>
          <w:rFonts w:cs="Open Sans"/>
        </w:rPr>
        <w:t xml:space="preserve"> </w:t>
      </w:r>
      <w:r w:rsidR="00CC49AB">
        <w:rPr>
          <w:rFonts w:cs="Open Sans"/>
        </w:rPr>
        <w:t>and set</w:t>
      </w:r>
      <w:r w:rsidR="00F305E1" w:rsidRPr="00F305E1">
        <w:rPr>
          <w:rFonts w:cs="Open Sans"/>
        </w:rPr>
        <w:t xml:space="preserve"> out</w:t>
      </w:r>
      <w:r w:rsidR="00210038" w:rsidRPr="00F305E1">
        <w:rPr>
          <w:rFonts w:cs="Open Sans"/>
        </w:rPr>
        <w:t xml:space="preserve"> </w:t>
      </w:r>
      <w:r w:rsidR="003A585B" w:rsidRPr="00F305E1">
        <w:rPr>
          <w:rFonts w:cs="Open Sans"/>
        </w:rPr>
        <w:t>54 recommendations</w:t>
      </w:r>
      <w:r w:rsidR="00F305E1" w:rsidRPr="00F305E1">
        <w:rPr>
          <w:rFonts w:cs="Open Sans"/>
        </w:rPr>
        <w:t xml:space="preserve"> to improve the Bill’s human rights impacts</w:t>
      </w:r>
      <w:r w:rsidR="003A585B" w:rsidRPr="00F305E1">
        <w:rPr>
          <w:rFonts w:cs="Open Sans"/>
        </w:rPr>
        <w:t xml:space="preserve">. </w:t>
      </w:r>
      <w:r w:rsidR="00416307">
        <w:rPr>
          <w:rFonts w:cs="Open Sans"/>
        </w:rPr>
        <w:t>Earlier, o</w:t>
      </w:r>
      <w:r w:rsidR="00416307" w:rsidRPr="00F305E1">
        <w:rPr>
          <w:rFonts w:cs="Open Sans"/>
        </w:rPr>
        <w:t>n 10</w:t>
      </w:r>
      <w:r w:rsidR="00416307">
        <w:rPr>
          <w:rFonts w:cs="Open Sans"/>
        </w:rPr>
        <w:t> </w:t>
      </w:r>
      <w:r w:rsidR="00416307" w:rsidRPr="00F305E1">
        <w:rPr>
          <w:rFonts w:cs="Open Sans"/>
        </w:rPr>
        <w:t xml:space="preserve">September 2018, </w:t>
      </w:r>
      <w:r w:rsidR="00416307">
        <w:rPr>
          <w:rFonts w:cs="Open Sans"/>
        </w:rPr>
        <w:t>the Commission</w:t>
      </w:r>
      <w:r w:rsidR="00416307" w:rsidRPr="00F305E1">
        <w:rPr>
          <w:rFonts w:cs="Open Sans"/>
        </w:rPr>
        <w:t xml:space="preserve"> made a submission to the Department of Home Affairs on </w:t>
      </w:r>
      <w:r w:rsidR="00416307">
        <w:rPr>
          <w:rFonts w:cs="Open Sans"/>
        </w:rPr>
        <w:t xml:space="preserve">an </w:t>
      </w:r>
      <w:r w:rsidR="00416307" w:rsidRPr="00F305E1">
        <w:rPr>
          <w:rFonts w:cs="Open Sans"/>
        </w:rPr>
        <w:t>exposure draft of the TOLA Bill</w:t>
      </w:r>
      <w:r w:rsidR="00416307">
        <w:rPr>
          <w:rFonts w:cs="Open Sans"/>
        </w:rPr>
        <w:t xml:space="preserve"> (the draft TOLA Bill)</w:t>
      </w:r>
      <w:r w:rsidR="00416307" w:rsidRPr="00F305E1">
        <w:rPr>
          <w:rFonts w:cs="Open Sans"/>
        </w:rPr>
        <w:t>.</w:t>
      </w:r>
    </w:p>
    <w:p w14:paraId="278B57BF" w14:textId="54095787" w:rsidR="00750BB8" w:rsidRPr="00F305E1" w:rsidRDefault="00750BB8" w:rsidP="00105848">
      <w:pPr>
        <w:pStyle w:val="ListParagraph"/>
        <w:ind w:left="0"/>
        <w:rPr>
          <w:rFonts w:cs="Open Sans"/>
        </w:rPr>
      </w:pPr>
    </w:p>
    <w:p w14:paraId="4CF1C7C7" w14:textId="6230EEB4" w:rsidR="00F305E1" w:rsidRPr="00F305E1" w:rsidRDefault="00866E02" w:rsidP="00105848">
      <w:pPr>
        <w:pStyle w:val="ListParagraph"/>
        <w:ind w:left="0"/>
        <w:rPr>
          <w:rFonts w:cs="Open Sans"/>
        </w:rPr>
      </w:pPr>
      <w:r w:rsidRPr="00F305E1">
        <w:rPr>
          <w:rFonts w:cs="Open Sans"/>
        </w:rPr>
        <w:t>The TOLA Act as passed is, in many respects</w:t>
      </w:r>
      <w:r>
        <w:rPr>
          <w:rFonts w:cs="Open Sans"/>
        </w:rPr>
        <w:t>,</w:t>
      </w:r>
      <w:r w:rsidRPr="00F305E1">
        <w:rPr>
          <w:rFonts w:cs="Open Sans"/>
        </w:rPr>
        <w:t xml:space="preserve"> substantially similar to the TOLA Bill.</w:t>
      </w:r>
      <w:r w:rsidR="003C527F">
        <w:rPr>
          <w:rFonts w:cs="Open Sans"/>
        </w:rPr>
        <w:t xml:space="preserve"> </w:t>
      </w:r>
      <w:r w:rsidR="00024D9D" w:rsidRPr="00F305E1">
        <w:rPr>
          <w:rFonts w:cs="Open Sans"/>
        </w:rPr>
        <w:t>A relatively small number of changes were made to the</w:t>
      </w:r>
      <w:r w:rsidR="003A585B" w:rsidRPr="00F305E1">
        <w:rPr>
          <w:rFonts w:cs="Open Sans"/>
        </w:rPr>
        <w:t xml:space="preserve"> TOLA Bill </w:t>
      </w:r>
      <w:r w:rsidR="00024D9D" w:rsidRPr="00F305E1">
        <w:rPr>
          <w:rFonts w:cs="Open Sans"/>
        </w:rPr>
        <w:t>by way of Government amendments introduced and passed on 6 December 2018 (the Government amendments)</w:t>
      </w:r>
      <w:r w:rsidR="003A585B" w:rsidRPr="00F305E1">
        <w:rPr>
          <w:rFonts w:cs="Open Sans"/>
        </w:rPr>
        <w:t xml:space="preserve">. </w:t>
      </w:r>
      <w:r w:rsidR="00E0764B" w:rsidRPr="00F305E1">
        <w:rPr>
          <w:rFonts w:cs="Open Sans"/>
        </w:rPr>
        <w:t>Some of the</w:t>
      </w:r>
      <w:r w:rsidR="00373FC4" w:rsidRPr="00F305E1">
        <w:rPr>
          <w:rFonts w:cs="Open Sans"/>
        </w:rPr>
        <w:t xml:space="preserve"> amendments implemented</w:t>
      </w:r>
      <w:r w:rsidR="00D416FD">
        <w:rPr>
          <w:rFonts w:cs="Open Sans"/>
        </w:rPr>
        <w:t xml:space="preserve"> </w:t>
      </w:r>
      <w:r w:rsidR="00F81C73">
        <w:rPr>
          <w:rFonts w:cs="Open Sans"/>
        </w:rPr>
        <w:t>some</w:t>
      </w:r>
      <w:r w:rsidR="00D416FD">
        <w:rPr>
          <w:rFonts w:cs="Open Sans"/>
        </w:rPr>
        <w:t xml:space="preserve"> of</w:t>
      </w:r>
      <w:r w:rsidR="00373FC4" w:rsidRPr="00F305E1">
        <w:rPr>
          <w:rFonts w:cs="Open Sans"/>
        </w:rPr>
        <w:t xml:space="preserve"> the Commission’s previous recommendations</w:t>
      </w:r>
      <w:r w:rsidR="00E0764B" w:rsidRPr="00F305E1">
        <w:rPr>
          <w:rFonts w:cs="Open Sans"/>
        </w:rPr>
        <w:t xml:space="preserve">, but </w:t>
      </w:r>
      <w:r w:rsidR="00F305E1" w:rsidRPr="00F305E1">
        <w:rPr>
          <w:rFonts w:cs="Open Sans"/>
        </w:rPr>
        <w:t xml:space="preserve">they </w:t>
      </w:r>
      <w:r w:rsidR="00E0764B" w:rsidRPr="00F305E1">
        <w:rPr>
          <w:rFonts w:cs="Open Sans"/>
        </w:rPr>
        <w:t xml:space="preserve">did not </w:t>
      </w:r>
      <w:r w:rsidR="00CC49AB">
        <w:rPr>
          <w:rFonts w:cs="Open Sans"/>
        </w:rPr>
        <w:t>adequately address</w:t>
      </w:r>
      <w:r>
        <w:rPr>
          <w:rFonts w:cs="Open Sans"/>
        </w:rPr>
        <w:t xml:space="preserve"> </w:t>
      </w:r>
      <w:r w:rsidRPr="00F305E1">
        <w:rPr>
          <w:rFonts w:cs="Open Sans"/>
        </w:rPr>
        <w:t>the Commission’s previously articulated human rights concerns.</w:t>
      </w:r>
    </w:p>
    <w:p w14:paraId="4E35061E" w14:textId="77777777" w:rsidR="00F305E1" w:rsidRPr="00F305E1" w:rsidRDefault="00F305E1" w:rsidP="00105848">
      <w:pPr>
        <w:pStyle w:val="ListParagraph"/>
        <w:ind w:left="0"/>
        <w:rPr>
          <w:rFonts w:cs="Open Sans"/>
        </w:rPr>
      </w:pPr>
    </w:p>
    <w:p w14:paraId="3A100975" w14:textId="2F9DE758" w:rsidR="003F5C6C" w:rsidRPr="00F305E1" w:rsidRDefault="003A585B" w:rsidP="00105848">
      <w:pPr>
        <w:pStyle w:val="ListParagraph"/>
        <w:ind w:left="0"/>
        <w:rPr>
          <w:rFonts w:cs="Open Sans"/>
        </w:rPr>
      </w:pPr>
      <w:r w:rsidRPr="00F305E1">
        <w:rPr>
          <w:rFonts w:cs="Open Sans"/>
        </w:rPr>
        <w:t xml:space="preserve">The Commission </w:t>
      </w:r>
      <w:r w:rsidR="00683E78" w:rsidRPr="00F305E1">
        <w:rPr>
          <w:rFonts w:cs="Open Sans"/>
        </w:rPr>
        <w:t>urges</w:t>
      </w:r>
      <w:r w:rsidRPr="00F305E1">
        <w:rPr>
          <w:rFonts w:cs="Open Sans"/>
        </w:rPr>
        <w:t xml:space="preserve"> the Committee </w:t>
      </w:r>
      <w:r w:rsidR="00683E78" w:rsidRPr="00F305E1">
        <w:rPr>
          <w:rFonts w:cs="Open Sans"/>
        </w:rPr>
        <w:t xml:space="preserve">to </w:t>
      </w:r>
      <w:r w:rsidRPr="00F305E1">
        <w:rPr>
          <w:rFonts w:cs="Open Sans"/>
        </w:rPr>
        <w:t xml:space="preserve">consider </w:t>
      </w:r>
      <w:r w:rsidR="00F305E1" w:rsidRPr="00F305E1">
        <w:rPr>
          <w:rFonts w:cs="Open Sans"/>
        </w:rPr>
        <w:t>its previous submission on</w:t>
      </w:r>
      <w:r w:rsidRPr="00F305E1">
        <w:rPr>
          <w:rFonts w:cs="Open Sans"/>
        </w:rPr>
        <w:t xml:space="preserve"> the TOLA Bill </w:t>
      </w:r>
      <w:r w:rsidR="00272CA7" w:rsidRPr="00F305E1">
        <w:rPr>
          <w:rFonts w:cs="Open Sans"/>
        </w:rPr>
        <w:t xml:space="preserve">dated 12 October 2018 </w:t>
      </w:r>
      <w:r w:rsidRPr="00F305E1">
        <w:rPr>
          <w:rFonts w:cs="Open Sans"/>
        </w:rPr>
        <w:t>in the course of the present inquiry</w:t>
      </w:r>
      <w:r w:rsidR="003F5C6C" w:rsidRPr="00F305E1">
        <w:rPr>
          <w:rFonts w:cs="Open Sans"/>
        </w:rPr>
        <w:t xml:space="preserve">. </w:t>
      </w:r>
      <w:r w:rsidR="00F305E1" w:rsidRPr="00F305E1">
        <w:rPr>
          <w:rFonts w:cs="Open Sans"/>
        </w:rPr>
        <w:t>It</w:t>
      </w:r>
      <w:r w:rsidR="003F5C6C" w:rsidRPr="00F305E1">
        <w:rPr>
          <w:rFonts w:cs="Open Sans"/>
        </w:rPr>
        <w:t xml:space="preserve"> does not repeat the substance of </w:t>
      </w:r>
      <w:r w:rsidR="00E25386" w:rsidRPr="00F305E1">
        <w:rPr>
          <w:rFonts w:cs="Open Sans"/>
        </w:rPr>
        <w:t>that</w:t>
      </w:r>
      <w:r w:rsidR="00850EC3" w:rsidRPr="00F305E1">
        <w:rPr>
          <w:rFonts w:cs="Open Sans"/>
        </w:rPr>
        <w:t xml:space="preserve"> submission here. </w:t>
      </w:r>
    </w:p>
    <w:p w14:paraId="3770B039" w14:textId="2D4D7660" w:rsidR="00416307" w:rsidRPr="00F305E1" w:rsidRDefault="005C72C7" w:rsidP="00416307">
      <w:pPr>
        <w:pStyle w:val="NoSpacing"/>
        <w:rPr>
          <w:rFonts w:cs="Open Sans"/>
        </w:rPr>
      </w:pPr>
      <w:r w:rsidRPr="00F305E1">
        <w:rPr>
          <w:rFonts w:cs="Open Sans"/>
        </w:rPr>
        <w:t xml:space="preserve">The </w:t>
      </w:r>
      <w:r w:rsidR="001D305E" w:rsidRPr="00F305E1">
        <w:rPr>
          <w:rFonts w:cs="Open Sans"/>
        </w:rPr>
        <w:t>TOLA Act</w:t>
      </w:r>
      <w:r w:rsidR="00CA29D6" w:rsidRPr="00F305E1">
        <w:rPr>
          <w:rFonts w:cs="Open Sans"/>
        </w:rPr>
        <w:t>—or more accurately, the changes to other stat</w:t>
      </w:r>
      <w:r w:rsidR="00F96AAE" w:rsidRPr="00F305E1">
        <w:rPr>
          <w:rFonts w:cs="Open Sans"/>
        </w:rPr>
        <w:t>utes effected by the TOLA Act—</w:t>
      </w:r>
      <w:r w:rsidR="001D305E" w:rsidRPr="00F305E1">
        <w:rPr>
          <w:rFonts w:cs="Open Sans"/>
        </w:rPr>
        <w:t>permit</w:t>
      </w:r>
      <w:r w:rsidR="00F305E1" w:rsidRPr="00F305E1">
        <w:rPr>
          <w:rFonts w:cs="Open Sans"/>
        </w:rPr>
        <w:t>s</w:t>
      </w:r>
      <w:r w:rsidR="001D305E" w:rsidRPr="00F305E1">
        <w:rPr>
          <w:rFonts w:cs="Open Sans"/>
        </w:rPr>
        <w:t xml:space="preserve"> </w:t>
      </w:r>
      <w:r w:rsidR="003C527F">
        <w:rPr>
          <w:rFonts w:cs="Open Sans"/>
        </w:rPr>
        <w:t>significant</w:t>
      </w:r>
      <w:r w:rsidRPr="00F305E1">
        <w:rPr>
          <w:rFonts w:cs="Open Sans"/>
        </w:rPr>
        <w:t xml:space="preserve"> interferences with </w:t>
      </w:r>
      <w:r w:rsidR="00F75104" w:rsidRPr="00F305E1">
        <w:rPr>
          <w:rFonts w:cs="Open Sans"/>
        </w:rPr>
        <w:t>the right</w:t>
      </w:r>
      <w:r w:rsidRPr="00F305E1">
        <w:rPr>
          <w:rFonts w:cs="Open Sans"/>
        </w:rPr>
        <w:t>s</w:t>
      </w:r>
      <w:r w:rsidR="00F75104" w:rsidRPr="00F305E1">
        <w:rPr>
          <w:rFonts w:cs="Open Sans"/>
        </w:rPr>
        <w:t xml:space="preserve"> to privacy,</w:t>
      </w:r>
      <w:r w:rsidR="002F3EAD" w:rsidRPr="00F305E1">
        <w:rPr>
          <w:rFonts w:cs="Open Sans"/>
        </w:rPr>
        <w:t xml:space="preserve"> freedom of expression</w:t>
      </w:r>
      <w:r w:rsidR="00F85C9B" w:rsidRPr="00F305E1">
        <w:rPr>
          <w:rFonts w:cs="Open Sans"/>
        </w:rPr>
        <w:t>,</w:t>
      </w:r>
      <w:r w:rsidR="00F75104" w:rsidRPr="00F305E1">
        <w:rPr>
          <w:rFonts w:cs="Open Sans"/>
        </w:rPr>
        <w:t xml:space="preserve"> due process</w:t>
      </w:r>
      <w:r w:rsidR="00F85C9B" w:rsidRPr="00F305E1">
        <w:rPr>
          <w:rFonts w:cs="Open Sans"/>
        </w:rPr>
        <w:t xml:space="preserve"> and freedom</w:t>
      </w:r>
      <w:r w:rsidR="00F305E1" w:rsidRPr="00F305E1">
        <w:rPr>
          <w:rFonts w:cs="Open Sans"/>
        </w:rPr>
        <w:t xml:space="preserve"> from arbitrary detention. </w:t>
      </w:r>
      <w:r w:rsidR="006231E5">
        <w:rPr>
          <w:rFonts w:cs="Open Sans"/>
        </w:rPr>
        <w:t>At no stage, have the</w:t>
      </w:r>
      <w:r w:rsidR="00F85C9B" w:rsidRPr="00F305E1">
        <w:rPr>
          <w:rFonts w:cs="Open Sans"/>
        </w:rPr>
        <w:t xml:space="preserve"> limitations</w:t>
      </w:r>
      <w:r w:rsidR="002F3EAD" w:rsidRPr="00F305E1">
        <w:rPr>
          <w:rFonts w:cs="Open Sans"/>
        </w:rPr>
        <w:t xml:space="preserve"> </w:t>
      </w:r>
      <w:r w:rsidR="00F85C9B" w:rsidRPr="00F305E1">
        <w:rPr>
          <w:rFonts w:cs="Open Sans"/>
        </w:rPr>
        <w:t xml:space="preserve">on human rights </w:t>
      </w:r>
      <w:r w:rsidR="002F3EAD" w:rsidRPr="00F305E1">
        <w:rPr>
          <w:rFonts w:cs="Open Sans"/>
        </w:rPr>
        <w:t xml:space="preserve">been </w:t>
      </w:r>
      <w:r w:rsidR="00CA29D6" w:rsidRPr="00F305E1">
        <w:rPr>
          <w:rFonts w:cs="Open Sans"/>
        </w:rPr>
        <w:t xml:space="preserve">demonstrated </w:t>
      </w:r>
      <w:r w:rsidR="00272CA7" w:rsidRPr="00F305E1">
        <w:rPr>
          <w:rFonts w:cs="Open Sans"/>
        </w:rPr>
        <w:t xml:space="preserve">by the Government </w:t>
      </w:r>
      <w:r w:rsidR="00CA29D6" w:rsidRPr="00F305E1">
        <w:rPr>
          <w:rFonts w:cs="Open Sans"/>
        </w:rPr>
        <w:t>to be</w:t>
      </w:r>
      <w:r w:rsidR="002F3EAD" w:rsidRPr="00F305E1">
        <w:rPr>
          <w:rFonts w:cs="Open Sans"/>
        </w:rPr>
        <w:t xml:space="preserve"> reasonable, necessary and </w:t>
      </w:r>
      <w:r w:rsidR="002F3EAD" w:rsidRPr="00416307">
        <w:rPr>
          <w:rFonts w:cs="Open Sans"/>
        </w:rPr>
        <w:t>proportionate</w:t>
      </w:r>
      <w:r w:rsidR="000F603C" w:rsidRPr="00416307">
        <w:rPr>
          <w:rFonts w:cs="Open Sans"/>
        </w:rPr>
        <w:t xml:space="preserve"> to the </w:t>
      </w:r>
      <w:r w:rsidR="00A82A12">
        <w:rPr>
          <w:rFonts w:cs="Open Sans"/>
        </w:rPr>
        <w:t xml:space="preserve">stated </w:t>
      </w:r>
      <w:r w:rsidR="000F603C" w:rsidRPr="00416307">
        <w:rPr>
          <w:rFonts w:cs="Open Sans"/>
        </w:rPr>
        <w:t>aim of</w:t>
      </w:r>
      <w:r w:rsidR="00416307" w:rsidRPr="00416307">
        <w:t xml:space="preserve"> </w:t>
      </w:r>
      <w:r w:rsidR="00416307">
        <w:rPr>
          <w:rFonts w:cs="Open Sans"/>
        </w:rPr>
        <w:t>‘</w:t>
      </w:r>
      <w:r w:rsidR="00416307" w:rsidRPr="00416307">
        <w:rPr>
          <w:rFonts w:cs="Open Sans"/>
        </w:rPr>
        <w:t>better deal</w:t>
      </w:r>
      <w:r w:rsidR="00416307">
        <w:rPr>
          <w:rFonts w:cs="Open Sans"/>
        </w:rPr>
        <w:t>[ing]</w:t>
      </w:r>
      <w:r w:rsidR="00416307" w:rsidRPr="00416307">
        <w:rPr>
          <w:rFonts w:cs="Open Sans"/>
        </w:rPr>
        <w:t xml:space="preserve"> with the challenges</w:t>
      </w:r>
      <w:r w:rsidR="00416307">
        <w:rPr>
          <w:rFonts w:cs="Open Sans"/>
        </w:rPr>
        <w:t xml:space="preserve"> posed by ubiquitous </w:t>
      </w:r>
      <w:r w:rsidR="00416307" w:rsidRPr="00416307">
        <w:rPr>
          <w:rFonts w:cs="Open Sans"/>
        </w:rPr>
        <w:t>encryption’.</w:t>
      </w:r>
      <w:r w:rsidR="00416307" w:rsidRPr="00F305E1">
        <w:rPr>
          <w:rFonts w:cs="Open Sans"/>
        </w:rPr>
        <w:t xml:space="preserve"> </w:t>
      </w:r>
    </w:p>
    <w:p w14:paraId="63D548F9" w14:textId="7E78B29B" w:rsidR="002F3EAD" w:rsidRPr="00F305E1" w:rsidRDefault="002F3EAD" w:rsidP="00105848">
      <w:pPr>
        <w:pStyle w:val="NoSpacing"/>
        <w:rPr>
          <w:rFonts w:cs="Open Sans"/>
        </w:rPr>
      </w:pPr>
    </w:p>
    <w:p w14:paraId="215FFBB6" w14:textId="4B23F9B4" w:rsidR="00F96AAE" w:rsidRPr="00F305E1" w:rsidRDefault="00FD505A" w:rsidP="00105848">
      <w:pPr>
        <w:pStyle w:val="NoSpacing"/>
        <w:rPr>
          <w:rFonts w:cs="Open Sans"/>
        </w:rPr>
      </w:pPr>
      <w:r w:rsidRPr="00F305E1">
        <w:rPr>
          <w:rFonts w:cs="Open Sans"/>
        </w:rPr>
        <w:t>The Commission</w:t>
      </w:r>
      <w:r w:rsidR="00037F66" w:rsidRPr="00F305E1">
        <w:rPr>
          <w:rFonts w:cs="Open Sans"/>
        </w:rPr>
        <w:t xml:space="preserve"> also notes the </w:t>
      </w:r>
      <w:r w:rsidR="000F603C">
        <w:rPr>
          <w:rFonts w:cs="Open Sans"/>
        </w:rPr>
        <w:t>very</w:t>
      </w:r>
      <w:r w:rsidR="000F603C" w:rsidRPr="00F305E1">
        <w:rPr>
          <w:rFonts w:cs="Open Sans"/>
        </w:rPr>
        <w:t xml:space="preserve"> </w:t>
      </w:r>
      <w:r w:rsidR="00037F66" w:rsidRPr="00F305E1">
        <w:rPr>
          <w:rFonts w:cs="Open Sans"/>
        </w:rPr>
        <w:t>short</w:t>
      </w:r>
      <w:r w:rsidRPr="00F305E1">
        <w:rPr>
          <w:rFonts w:cs="Open Sans"/>
        </w:rPr>
        <w:t xml:space="preserve"> timeframe</w:t>
      </w:r>
      <w:r w:rsidR="00037F66" w:rsidRPr="00F305E1">
        <w:rPr>
          <w:rFonts w:cs="Open Sans"/>
        </w:rPr>
        <w:t xml:space="preserve"> in which the Government amendments were introduced and passed</w:t>
      </w:r>
      <w:r w:rsidR="000F603C">
        <w:rPr>
          <w:rFonts w:cs="Open Sans"/>
        </w:rPr>
        <w:t>—</w:t>
      </w:r>
      <w:r w:rsidRPr="00F305E1">
        <w:rPr>
          <w:rFonts w:cs="Open Sans"/>
        </w:rPr>
        <w:t>over the course of one day. This</w:t>
      </w:r>
      <w:r w:rsidR="00650310" w:rsidRPr="00F305E1">
        <w:rPr>
          <w:rFonts w:cs="Open Sans"/>
        </w:rPr>
        <w:t xml:space="preserve"> </w:t>
      </w:r>
      <w:r w:rsidR="009C6E61" w:rsidRPr="00F305E1">
        <w:rPr>
          <w:rFonts w:cs="Open Sans"/>
        </w:rPr>
        <w:t xml:space="preserve">did not allow for </w:t>
      </w:r>
      <w:r w:rsidR="00CA29D6" w:rsidRPr="00F305E1">
        <w:rPr>
          <w:rFonts w:cs="Open Sans"/>
        </w:rPr>
        <w:t xml:space="preserve">meaningful </w:t>
      </w:r>
      <w:r w:rsidR="009C6E61" w:rsidRPr="00F305E1">
        <w:rPr>
          <w:rFonts w:cs="Open Sans"/>
        </w:rPr>
        <w:t>parliamentary or public scrutiny</w:t>
      </w:r>
      <w:r w:rsidR="00272CA7" w:rsidRPr="00F305E1">
        <w:rPr>
          <w:rFonts w:cs="Open Sans"/>
        </w:rPr>
        <w:t xml:space="preserve"> of the proposed </w:t>
      </w:r>
      <w:r w:rsidR="00866E02">
        <w:rPr>
          <w:rFonts w:cs="Open Sans"/>
        </w:rPr>
        <w:t>amendments</w:t>
      </w:r>
      <w:r w:rsidR="009C6E61" w:rsidRPr="00F305E1">
        <w:rPr>
          <w:rFonts w:cs="Open Sans"/>
        </w:rPr>
        <w:t xml:space="preserve">. </w:t>
      </w:r>
    </w:p>
    <w:p w14:paraId="080DAC1D" w14:textId="77777777" w:rsidR="00F96AAE" w:rsidRPr="00F305E1" w:rsidRDefault="00F96AAE" w:rsidP="00105848">
      <w:pPr>
        <w:pStyle w:val="NoSpacing"/>
        <w:rPr>
          <w:rFonts w:cs="Open Sans"/>
        </w:rPr>
      </w:pPr>
    </w:p>
    <w:p w14:paraId="71CF0B1B" w14:textId="4A5FAF40" w:rsidR="004A1097" w:rsidRPr="00F305E1" w:rsidRDefault="009C6E61" w:rsidP="00105848">
      <w:pPr>
        <w:pStyle w:val="NoSpacing"/>
        <w:rPr>
          <w:rFonts w:cs="Open Sans"/>
        </w:rPr>
      </w:pPr>
      <w:r w:rsidRPr="00F305E1">
        <w:rPr>
          <w:rFonts w:cs="Open Sans"/>
        </w:rPr>
        <w:t xml:space="preserve">The </w:t>
      </w:r>
      <w:r w:rsidR="005C72C7" w:rsidRPr="00F305E1">
        <w:rPr>
          <w:rFonts w:cs="Open Sans"/>
        </w:rPr>
        <w:t xml:space="preserve">TOLA </w:t>
      </w:r>
      <w:r w:rsidRPr="00F305E1">
        <w:rPr>
          <w:rFonts w:cs="Open Sans"/>
        </w:rPr>
        <w:t>Act</w:t>
      </w:r>
      <w:r w:rsidR="00FD505A" w:rsidRPr="00F305E1">
        <w:rPr>
          <w:rFonts w:cs="Open Sans"/>
        </w:rPr>
        <w:t xml:space="preserve"> was also passed</w:t>
      </w:r>
      <w:r w:rsidRPr="00F305E1">
        <w:rPr>
          <w:rFonts w:cs="Open Sans"/>
        </w:rPr>
        <w:t xml:space="preserve"> </w:t>
      </w:r>
      <w:r w:rsidR="000F603C">
        <w:rPr>
          <w:rFonts w:cs="Open Sans"/>
        </w:rPr>
        <w:t>one</w:t>
      </w:r>
      <w:r w:rsidR="000F603C" w:rsidRPr="00F305E1">
        <w:rPr>
          <w:rFonts w:cs="Open Sans"/>
        </w:rPr>
        <w:t xml:space="preserve"> </w:t>
      </w:r>
      <w:r w:rsidR="000636A0" w:rsidRPr="00F305E1">
        <w:rPr>
          <w:rFonts w:cs="Open Sans"/>
        </w:rPr>
        <w:t>day</w:t>
      </w:r>
      <w:r w:rsidRPr="00F305E1">
        <w:rPr>
          <w:rFonts w:cs="Open Sans"/>
        </w:rPr>
        <w:t xml:space="preserve"> after the </w:t>
      </w:r>
      <w:r w:rsidR="00037F66" w:rsidRPr="00F305E1">
        <w:rPr>
          <w:rFonts w:cs="Open Sans"/>
        </w:rPr>
        <w:t>Committee</w:t>
      </w:r>
      <w:r w:rsidRPr="00F305E1">
        <w:rPr>
          <w:rFonts w:cs="Open Sans"/>
        </w:rPr>
        <w:t xml:space="preserve"> released </w:t>
      </w:r>
      <w:r w:rsidR="00D734D0" w:rsidRPr="00F305E1">
        <w:rPr>
          <w:rFonts w:cs="Open Sans"/>
        </w:rPr>
        <w:t>its</w:t>
      </w:r>
      <w:r w:rsidRPr="00F305E1">
        <w:rPr>
          <w:rFonts w:cs="Open Sans"/>
        </w:rPr>
        <w:t xml:space="preserve"> report on the </w:t>
      </w:r>
      <w:r w:rsidR="00CA29D6" w:rsidRPr="00F305E1">
        <w:rPr>
          <w:rFonts w:cs="Open Sans"/>
        </w:rPr>
        <w:t xml:space="preserve">TOLA </w:t>
      </w:r>
      <w:r w:rsidR="00650310" w:rsidRPr="00F305E1">
        <w:rPr>
          <w:rFonts w:cs="Open Sans"/>
        </w:rPr>
        <w:t>Bill</w:t>
      </w:r>
      <w:r w:rsidR="00AC08FD">
        <w:rPr>
          <w:rFonts w:cs="Open Sans"/>
        </w:rPr>
        <w:t>, effectively</w:t>
      </w:r>
      <w:r w:rsidR="00CA29D6" w:rsidRPr="00F305E1">
        <w:rPr>
          <w:rFonts w:cs="Open Sans"/>
        </w:rPr>
        <w:t xml:space="preserve"> preventing</w:t>
      </w:r>
      <w:r w:rsidR="00683E78" w:rsidRPr="00F305E1">
        <w:rPr>
          <w:rFonts w:cs="Open Sans"/>
        </w:rPr>
        <w:t xml:space="preserve"> proper </w:t>
      </w:r>
      <w:r w:rsidR="006231E5">
        <w:rPr>
          <w:rFonts w:cs="Open Sans"/>
        </w:rPr>
        <w:t xml:space="preserve">public </w:t>
      </w:r>
      <w:r w:rsidR="00683E78" w:rsidRPr="00F305E1">
        <w:rPr>
          <w:rFonts w:cs="Open Sans"/>
        </w:rPr>
        <w:t>consideration of the Committee</w:t>
      </w:r>
      <w:r w:rsidR="00CA29D6" w:rsidRPr="00F305E1">
        <w:rPr>
          <w:rFonts w:cs="Open Sans"/>
        </w:rPr>
        <w:t xml:space="preserve"> report, and full </w:t>
      </w:r>
      <w:r w:rsidR="00221967">
        <w:rPr>
          <w:rFonts w:cs="Open Sans"/>
        </w:rPr>
        <w:t xml:space="preserve">public </w:t>
      </w:r>
      <w:r w:rsidR="00CA29D6" w:rsidRPr="00F305E1">
        <w:rPr>
          <w:rFonts w:cs="Open Sans"/>
        </w:rPr>
        <w:t>scrutiny of the Government amendments</w:t>
      </w:r>
      <w:r w:rsidR="00FD505A" w:rsidRPr="00F305E1">
        <w:rPr>
          <w:rFonts w:cs="Open Sans"/>
        </w:rPr>
        <w:t>,</w:t>
      </w:r>
      <w:r w:rsidR="00A25DB5" w:rsidRPr="00F305E1">
        <w:rPr>
          <w:rFonts w:cs="Open Sans"/>
        </w:rPr>
        <w:t xml:space="preserve"> prior to the passage of the Act. Such scrutiny is vital in the case of legislation </w:t>
      </w:r>
      <w:r w:rsidR="00221967">
        <w:rPr>
          <w:rFonts w:cs="Open Sans"/>
        </w:rPr>
        <w:t>that</w:t>
      </w:r>
      <w:r w:rsidR="00A25DB5" w:rsidRPr="00F305E1">
        <w:rPr>
          <w:rFonts w:cs="Open Sans"/>
        </w:rPr>
        <w:t xml:space="preserve"> seriously curtails </w:t>
      </w:r>
      <w:r w:rsidR="00221967">
        <w:rPr>
          <w:rFonts w:cs="Open Sans"/>
        </w:rPr>
        <w:t xml:space="preserve">human </w:t>
      </w:r>
      <w:r w:rsidR="00C13B3E">
        <w:rPr>
          <w:rFonts w:cs="Open Sans"/>
        </w:rPr>
        <w:t>rights</w:t>
      </w:r>
      <w:r w:rsidR="00A25DB5" w:rsidRPr="00F305E1">
        <w:rPr>
          <w:rFonts w:cs="Open Sans"/>
        </w:rPr>
        <w:t xml:space="preserve">, to ensure that such laws are passed only where they are </w:t>
      </w:r>
      <w:r w:rsidR="00AC08FD">
        <w:rPr>
          <w:rFonts w:cs="Open Sans"/>
        </w:rPr>
        <w:t>clearly</w:t>
      </w:r>
      <w:r w:rsidR="00AC08FD" w:rsidRPr="00F305E1">
        <w:rPr>
          <w:rFonts w:cs="Open Sans"/>
        </w:rPr>
        <w:t xml:space="preserve"> </w:t>
      </w:r>
      <w:r w:rsidR="00A25DB5" w:rsidRPr="00F305E1">
        <w:rPr>
          <w:rFonts w:cs="Open Sans"/>
        </w:rPr>
        <w:t xml:space="preserve">needed, and </w:t>
      </w:r>
      <w:r w:rsidR="00221967">
        <w:rPr>
          <w:rFonts w:cs="Open Sans"/>
        </w:rPr>
        <w:t xml:space="preserve">that they </w:t>
      </w:r>
      <w:r w:rsidR="00A25DB5" w:rsidRPr="00F305E1">
        <w:rPr>
          <w:rFonts w:cs="Open Sans"/>
        </w:rPr>
        <w:t xml:space="preserve">are carefully tailored to ensure they do not encroach on human rights any more than is necessary. </w:t>
      </w:r>
    </w:p>
    <w:p w14:paraId="3527DDE4" w14:textId="5C2C9CF3" w:rsidR="008D4B42" w:rsidRPr="00F305E1" w:rsidRDefault="008D4B42" w:rsidP="00EB215E">
      <w:pPr>
        <w:pStyle w:val="NoSpacing"/>
        <w:rPr>
          <w:rFonts w:cs="Open Sans"/>
        </w:rPr>
      </w:pPr>
    </w:p>
    <w:p w14:paraId="32F7925B" w14:textId="1C470FEE" w:rsidR="00F305E1" w:rsidRPr="00F305E1" w:rsidRDefault="00A25DB5" w:rsidP="00105848">
      <w:pPr>
        <w:pStyle w:val="NoSpacing"/>
        <w:rPr>
          <w:rFonts w:cs="Open Sans"/>
        </w:rPr>
      </w:pPr>
      <w:r w:rsidRPr="00F305E1">
        <w:rPr>
          <w:rFonts w:cs="Open Sans"/>
        </w:rPr>
        <w:t xml:space="preserve">The Commission’s primary </w:t>
      </w:r>
      <w:r w:rsidR="005A29A5">
        <w:rPr>
          <w:rFonts w:cs="Open Sans"/>
        </w:rPr>
        <w:t>recommendation</w:t>
      </w:r>
      <w:r w:rsidR="00E25386" w:rsidRPr="00F305E1">
        <w:rPr>
          <w:rFonts w:cs="Open Sans"/>
        </w:rPr>
        <w:t xml:space="preserve"> </w:t>
      </w:r>
      <w:r w:rsidRPr="00F305E1">
        <w:rPr>
          <w:rFonts w:cs="Open Sans"/>
        </w:rPr>
        <w:t>is that the</w:t>
      </w:r>
      <w:r w:rsidR="00E25386" w:rsidRPr="00F305E1">
        <w:rPr>
          <w:rFonts w:cs="Open Sans"/>
        </w:rPr>
        <w:t xml:space="preserve"> 54</w:t>
      </w:r>
      <w:r w:rsidRPr="00F305E1">
        <w:rPr>
          <w:rFonts w:cs="Open Sans"/>
        </w:rPr>
        <w:t xml:space="preserve"> recommendation</w:t>
      </w:r>
      <w:r w:rsidR="00F96AAE" w:rsidRPr="00F305E1">
        <w:rPr>
          <w:rFonts w:cs="Open Sans"/>
        </w:rPr>
        <w:t>s</w:t>
      </w:r>
      <w:r w:rsidRPr="00F305E1">
        <w:rPr>
          <w:rFonts w:cs="Open Sans"/>
        </w:rPr>
        <w:t xml:space="preserve"> made in its submission</w:t>
      </w:r>
      <w:r w:rsidR="00F305E1" w:rsidRPr="00F305E1">
        <w:rPr>
          <w:rFonts w:cs="Open Sans"/>
        </w:rPr>
        <w:t xml:space="preserve"> on the TOLA Bill</w:t>
      </w:r>
      <w:r w:rsidRPr="00F305E1">
        <w:rPr>
          <w:rFonts w:cs="Open Sans"/>
        </w:rPr>
        <w:t xml:space="preserve"> be implemented in full. </w:t>
      </w:r>
    </w:p>
    <w:p w14:paraId="3E86309F" w14:textId="77777777" w:rsidR="00F305E1" w:rsidRPr="00F305E1" w:rsidRDefault="00F305E1" w:rsidP="00105848">
      <w:pPr>
        <w:pStyle w:val="NoSpacing"/>
        <w:rPr>
          <w:rFonts w:cs="Open Sans"/>
        </w:rPr>
      </w:pPr>
    </w:p>
    <w:p w14:paraId="2EE9F3EF" w14:textId="183293CB" w:rsidR="00B571BB" w:rsidRPr="00F305E1" w:rsidRDefault="001C5F11" w:rsidP="00105848">
      <w:pPr>
        <w:pStyle w:val="NoSpacing"/>
        <w:rPr>
          <w:rFonts w:cs="Open Sans"/>
        </w:rPr>
      </w:pPr>
      <w:r w:rsidRPr="00F305E1">
        <w:rPr>
          <w:rFonts w:cs="Open Sans"/>
        </w:rPr>
        <w:t xml:space="preserve">In the </w:t>
      </w:r>
      <w:r w:rsidR="00CC49AB">
        <w:rPr>
          <w:rFonts w:cs="Open Sans"/>
        </w:rPr>
        <w:t>event that this primary recommendation</w:t>
      </w:r>
      <w:r w:rsidR="003C527F">
        <w:rPr>
          <w:rFonts w:cs="Open Sans"/>
        </w:rPr>
        <w:t xml:space="preserve"> is not accepted</w:t>
      </w:r>
      <w:r w:rsidR="00B571BB" w:rsidRPr="00F305E1">
        <w:rPr>
          <w:rFonts w:cs="Open Sans"/>
        </w:rPr>
        <w:t xml:space="preserve">, </w:t>
      </w:r>
      <w:r w:rsidR="00683E78" w:rsidRPr="00F305E1">
        <w:rPr>
          <w:rFonts w:cs="Open Sans"/>
        </w:rPr>
        <w:t>the attachment to this letter</w:t>
      </w:r>
      <w:r w:rsidR="00B571BB" w:rsidRPr="00F305E1">
        <w:rPr>
          <w:rFonts w:cs="Open Sans"/>
        </w:rPr>
        <w:t xml:space="preserve"> </w:t>
      </w:r>
      <w:r w:rsidR="0020588F">
        <w:rPr>
          <w:rFonts w:cs="Open Sans"/>
        </w:rPr>
        <w:t xml:space="preserve">sets out a mitigation strategy in respect of </w:t>
      </w:r>
      <w:r w:rsidR="00272CA7" w:rsidRPr="00F305E1">
        <w:rPr>
          <w:rFonts w:cs="Open Sans"/>
        </w:rPr>
        <w:t xml:space="preserve">five </w:t>
      </w:r>
      <w:r w:rsidR="00B571BB" w:rsidRPr="00F305E1">
        <w:rPr>
          <w:rFonts w:cs="Open Sans"/>
        </w:rPr>
        <w:t xml:space="preserve">particularly significant </w:t>
      </w:r>
      <w:r w:rsidR="00683E78" w:rsidRPr="00F305E1">
        <w:rPr>
          <w:rFonts w:cs="Open Sans"/>
        </w:rPr>
        <w:t xml:space="preserve">ongoing </w:t>
      </w:r>
      <w:r w:rsidR="00B571BB" w:rsidRPr="00F305E1">
        <w:rPr>
          <w:rFonts w:cs="Open Sans"/>
        </w:rPr>
        <w:t>concern</w:t>
      </w:r>
      <w:r w:rsidR="00C667AF" w:rsidRPr="00F305E1">
        <w:rPr>
          <w:rFonts w:cs="Open Sans"/>
        </w:rPr>
        <w:t>s</w:t>
      </w:r>
      <w:r w:rsidR="00EA611A" w:rsidRPr="00F305E1">
        <w:rPr>
          <w:rFonts w:cs="Open Sans"/>
        </w:rPr>
        <w:t xml:space="preserve"> about the </w:t>
      </w:r>
      <w:r w:rsidR="002762F6" w:rsidRPr="00F305E1">
        <w:rPr>
          <w:rFonts w:cs="Open Sans"/>
        </w:rPr>
        <w:t xml:space="preserve">operation of the </w:t>
      </w:r>
      <w:r w:rsidR="00EA611A" w:rsidRPr="00F305E1">
        <w:rPr>
          <w:rFonts w:cs="Open Sans"/>
        </w:rPr>
        <w:t>TOLA Act</w:t>
      </w:r>
      <w:r w:rsidR="0020588F">
        <w:rPr>
          <w:rFonts w:cs="Open Sans"/>
        </w:rPr>
        <w:t>. This strategy would not fully address the human rights concerns identified by the Commission, but would reduce the negative impact. In summary, the five key concerns highlighted in the attachment to this letter are</w:t>
      </w:r>
      <w:r w:rsidR="00B571BB" w:rsidRPr="00F305E1">
        <w:rPr>
          <w:rFonts w:cs="Open Sans"/>
        </w:rPr>
        <w:t xml:space="preserve">: </w:t>
      </w:r>
    </w:p>
    <w:p w14:paraId="603FEBAB" w14:textId="530A1C46" w:rsidR="004A1097" w:rsidRPr="00F305E1" w:rsidRDefault="00B571BB" w:rsidP="004B4303">
      <w:pPr>
        <w:pStyle w:val="NoSpacing"/>
        <w:numPr>
          <w:ilvl w:val="1"/>
          <w:numId w:val="43"/>
        </w:numPr>
        <w:spacing w:before="120" w:after="120"/>
        <w:ind w:left="1077" w:hanging="357"/>
        <w:rPr>
          <w:rFonts w:cs="Open Sans"/>
        </w:rPr>
      </w:pPr>
      <w:r w:rsidRPr="00F305E1">
        <w:rPr>
          <w:rFonts w:cs="Open Sans"/>
        </w:rPr>
        <w:t xml:space="preserve">the lack of </w:t>
      </w:r>
      <w:r w:rsidR="00EA611A" w:rsidRPr="00F305E1">
        <w:rPr>
          <w:rFonts w:cs="Open Sans"/>
        </w:rPr>
        <w:t xml:space="preserve">a requirement for </w:t>
      </w:r>
      <w:r w:rsidR="004A1097" w:rsidRPr="00F305E1">
        <w:rPr>
          <w:rFonts w:cs="Open Sans"/>
        </w:rPr>
        <w:t xml:space="preserve">judicial </w:t>
      </w:r>
      <w:r w:rsidR="00765708" w:rsidRPr="00F305E1">
        <w:rPr>
          <w:rFonts w:cs="Open Sans"/>
        </w:rPr>
        <w:t>authorisation</w:t>
      </w:r>
      <w:r w:rsidR="00EA611A" w:rsidRPr="00F305E1">
        <w:rPr>
          <w:rFonts w:cs="Open Sans"/>
        </w:rPr>
        <w:t xml:space="preserve"> for </w:t>
      </w:r>
      <w:r w:rsidR="00E741C2" w:rsidRPr="00F305E1">
        <w:rPr>
          <w:rFonts w:cs="Open Sans"/>
        </w:rPr>
        <w:t xml:space="preserve">the </w:t>
      </w:r>
      <w:r w:rsidR="004B1A81">
        <w:rPr>
          <w:rFonts w:cs="Open Sans"/>
        </w:rPr>
        <w:t>giving</w:t>
      </w:r>
      <w:r w:rsidR="004B1A81" w:rsidRPr="00F305E1">
        <w:rPr>
          <w:rFonts w:cs="Open Sans"/>
        </w:rPr>
        <w:t xml:space="preserve"> </w:t>
      </w:r>
      <w:r w:rsidR="00E741C2" w:rsidRPr="00F305E1">
        <w:rPr>
          <w:rFonts w:cs="Open Sans"/>
        </w:rPr>
        <w:t>of T</w:t>
      </w:r>
      <w:r w:rsidR="008E4A88" w:rsidRPr="00F305E1">
        <w:rPr>
          <w:rFonts w:cs="Open Sans"/>
        </w:rPr>
        <w:t xml:space="preserve">echnical </w:t>
      </w:r>
      <w:r w:rsidR="00E741C2" w:rsidRPr="00F305E1">
        <w:rPr>
          <w:rFonts w:cs="Open Sans"/>
        </w:rPr>
        <w:t>A</w:t>
      </w:r>
      <w:r w:rsidR="008E4A88" w:rsidRPr="00F305E1">
        <w:rPr>
          <w:rFonts w:cs="Open Sans"/>
        </w:rPr>
        <w:t xml:space="preserve">ssistance </w:t>
      </w:r>
      <w:r w:rsidR="00E741C2" w:rsidRPr="00F305E1">
        <w:rPr>
          <w:rFonts w:cs="Open Sans"/>
        </w:rPr>
        <w:t>N</w:t>
      </w:r>
      <w:r w:rsidR="008E4A88" w:rsidRPr="00F305E1">
        <w:rPr>
          <w:rFonts w:cs="Open Sans"/>
        </w:rPr>
        <w:t>otice</w:t>
      </w:r>
      <w:r w:rsidR="00E741C2" w:rsidRPr="00F305E1">
        <w:rPr>
          <w:rFonts w:cs="Open Sans"/>
        </w:rPr>
        <w:t>s and T</w:t>
      </w:r>
      <w:r w:rsidR="008E4A88" w:rsidRPr="00F305E1">
        <w:rPr>
          <w:rFonts w:cs="Open Sans"/>
        </w:rPr>
        <w:t xml:space="preserve">echnical </w:t>
      </w:r>
      <w:r w:rsidR="00E741C2" w:rsidRPr="00F305E1">
        <w:rPr>
          <w:rFonts w:cs="Open Sans"/>
        </w:rPr>
        <w:t>C</w:t>
      </w:r>
      <w:r w:rsidR="008E4A88" w:rsidRPr="00F305E1">
        <w:rPr>
          <w:rFonts w:cs="Open Sans"/>
        </w:rPr>
        <w:t xml:space="preserve">apability </w:t>
      </w:r>
      <w:r w:rsidR="00E741C2" w:rsidRPr="00F305E1">
        <w:rPr>
          <w:rFonts w:cs="Open Sans"/>
        </w:rPr>
        <w:t>N</w:t>
      </w:r>
      <w:r w:rsidR="008E4A88" w:rsidRPr="00F305E1">
        <w:rPr>
          <w:rFonts w:cs="Open Sans"/>
        </w:rPr>
        <w:t>otice</w:t>
      </w:r>
      <w:r w:rsidR="00E741C2" w:rsidRPr="00F305E1">
        <w:rPr>
          <w:rFonts w:cs="Open Sans"/>
        </w:rPr>
        <w:t>s</w:t>
      </w:r>
    </w:p>
    <w:p w14:paraId="0F40E2C7" w14:textId="675C8B04" w:rsidR="004A1097" w:rsidRPr="00F305E1" w:rsidRDefault="00F96AAE" w:rsidP="004B4303">
      <w:pPr>
        <w:pStyle w:val="NoSpacing"/>
        <w:numPr>
          <w:ilvl w:val="1"/>
          <w:numId w:val="43"/>
        </w:numPr>
        <w:spacing w:before="120" w:after="120"/>
        <w:ind w:left="1077" w:hanging="357"/>
        <w:rPr>
          <w:rFonts w:cs="Open Sans"/>
        </w:rPr>
      </w:pPr>
      <w:r w:rsidRPr="00F305E1">
        <w:rPr>
          <w:rFonts w:cs="Open Sans"/>
        </w:rPr>
        <w:t>the ambiguity of the</w:t>
      </w:r>
      <w:r w:rsidR="00B571BB" w:rsidRPr="00F305E1">
        <w:rPr>
          <w:rFonts w:cs="Open Sans"/>
        </w:rPr>
        <w:t xml:space="preserve"> </w:t>
      </w:r>
      <w:r w:rsidR="00E741C2" w:rsidRPr="00F305E1">
        <w:rPr>
          <w:rFonts w:cs="Open Sans"/>
        </w:rPr>
        <w:t>‘</w:t>
      </w:r>
      <w:r w:rsidR="004A1097" w:rsidRPr="00F305E1">
        <w:rPr>
          <w:rFonts w:cs="Open Sans"/>
        </w:rPr>
        <w:t>systemic weakness</w:t>
      </w:r>
      <w:r w:rsidR="00E741C2" w:rsidRPr="00F305E1">
        <w:rPr>
          <w:rFonts w:cs="Open Sans"/>
        </w:rPr>
        <w:t>’</w:t>
      </w:r>
      <w:r w:rsidR="00C667AF" w:rsidRPr="00F305E1">
        <w:rPr>
          <w:rFonts w:cs="Open Sans"/>
        </w:rPr>
        <w:t xml:space="preserve"> </w:t>
      </w:r>
      <w:r w:rsidR="001C0633">
        <w:rPr>
          <w:rFonts w:cs="Open Sans"/>
        </w:rPr>
        <w:t xml:space="preserve">and ‘systemic vulnerability’ </w:t>
      </w:r>
      <w:r w:rsidR="00C667AF" w:rsidRPr="00F305E1">
        <w:rPr>
          <w:rFonts w:cs="Open Sans"/>
        </w:rPr>
        <w:t>limitation</w:t>
      </w:r>
      <w:r w:rsidR="001C0633">
        <w:rPr>
          <w:rFonts w:cs="Open Sans"/>
        </w:rPr>
        <w:t>s</w:t>
      </w:r>
      <w:r w:rsidR="004B1A81">
        <w:rPr>
          <w:rFonts w:cs="Open Sans"/>
        </w:rPr>
        <w:t xml:space="preserve">, which seek to prohibit some of the ‘acts or things’ that can be requested or compelled under the assistance scheme </w:t>
      </w:r>
      <w:r w:rsidR="00E741C2" w:rsidRPr="00F305E1">
        <w:rPr>
          <w:rFonts w:cs="Open Sans"/>
        </w:rPr>
        <w:t xml:space="preserve"> </w:t>
      </w:r>
    </w:p>
    <w:p w14:paraId="4748B619" w14:textId="41775974" w:rsidR="004A1097" w:rsidRPr="00F305E1" w:rsidRDefault="00B571BB" w:rsidP="004B4303">
      <w:pPr>
        <w:pStyle w:val="NoSpacing"/>
        <w:numPr>
          <w:ilvl w:val="1"/>
          <w:numId w:val="43"/>
        </w:numPr>
        <w:spacing w:before="120" w:after="120"/>
        <w:ind w:left="1077" w:hanging="357"/>
        <w:rPr>
          <w:rFonts w:cs="Open Sans"/>
        </w:rPr>
      </w:pPr>
      <w:r w:rsidRPr="00F305E1">
        <w:rPr>
          <w:rFonts w:cs="Open Sans"/>
        </w:rPr>
        <w:t xml:space="preserve">the breadth of </w:t>
      </w:r>
      <w:r w:rsidR="00E741C2" w:rsidRPr="00F305E1">
        <w:rPr>
          <w:rFonts w:cs="Open Sans"/>
        </w:rPr>
        <w:t>‘</w:t>
      </w:r>
      <w:r w:rsidRPr="00F305E1">
        <w:rPr>
          <w:rFonts w:cs="Open Sans"/>
        </w:rPr>
        <w:t>relevant objectives</w:t>
      </w:r>
      <w:r w:rsidR="00E741C2" w:rsidRPr="00F305E1">
        <w:rPr>
          <w:rFonts w:cs="Open Sans"/>
        </w:rPr>
        <w:t xml:space="preserve">’ for which </w:t>
      </w:r>
      <w:r w:rsidR="008E4A88" w:rsidRPr="00F305E1">
        <w:rPr>
          <w:rFonts w:cs="Open Sans"/>
        </w:rPr>
        <w:t>the assistance scheme may</w:t>
      </w:r>
      <w:r w:rsidR="00E741C2" w:rsidRPr="00F305E1">
        <w:rPr>
          <w:rFonts w:cs="Open Sans"/>
        </w:rPr>
        <w:t xml:space="preserve"> be </w:t>
      </w:r>
      <w:r w:rsidR="008E4A88" w:rsidRPr="00F305E1">
        <w:rPr>
          <w:rFonts w:cs="Open Sans"/>
        </w:rPr>
        <w:t>used</w:t>
      </w:r>
    </w:p>
    <w:p w14:paraId="4B7EB3B3" w14:textId="2ACDBBDF" w:rsidR="00B571BB" w:rsidRPr="00F305E1" w:rsidRDefault="00EA0E2C" w:rsidP="004B4303">
      <w:pPr>
        <w:pStyle w:val="NoSpacing"/>
        <w:numPr>
          <w:ilvl w:val="1"/>
          <w:numId w:val="43"/>
        </w:numPr>
        <w:spacing w:before="120" w:after="120"/>
        <w:ind w:left="1077" w:hanging="357"/>
        <w:rPr>
          <w:rFonts w:cs="Open Sans"/>
        </w:rPr>
      </w:pPr>
      <w:r w:rsidRPr="00F305E1">
        <w:rPr>
          <w:rFonts w:cs="Open Sans"/>
        </w:rPr>
        <w:lastRenderedPageBreak/>
        <w:t xml:space="preserve">the breadth of </w:t>
      </w:r>
      <w:r w:rsidR="00272CA7" w:rsidRPr="00F305E1">
        <w:rPr>
          <w:rFonts w:cs="Open Sans"/>
        </w:rPr>
        <w:t xml:space="preserve">the Australian Security Intelligence Organisation’s </w:t>
      </w:r>
      <w:r w:rsidR="00A35F12" w:rsidRPr="00F305E1">
        <w:rPr>
          <w:rFonts w:cs="Open Sans"/>
        </w:rPr>
        <w:t xml:space="preserve">mandatory assistance </w:t>
      </w:r>
      <w:r w:rsidR="00B571BB" w:rsidRPr="00F305E1">
        <w:rPr>
          <w:rFonts w:cs="Open Sans"/>
        </w:rPr>
        <w:t>powers</w:t>
      </w:r>
      <w:r w:rsidR="007745ED" w:rsidRPr="00F305E1">
        <w:rPr>
          <w:rFonts w:cs="Open Sans"/>
        </w:rPr>
        <w:t xml:space="preserve"> introduced by Schedule 5 of the TOLA Act</w:t>
      </w:r>
    </w:p>
    <w:p w14:paraId="32D90690" w14:textId="21797190" w:rsidR="00EA0E2C" w:rsidRPr="00F305E1" w:rsidRDefault="00EA0E2C" w:rsidP="004B4303">
      <w:pPr>
        <w:pStyle w:val="NoSpacing"/>
        <w:numPr>
          <w:ilvl w:val="1"/>
          <w:numId w:val="43"/>
        </w:numPr>
        <w:spacing w:before="120" w:after="120"/>
        <w:ind w:left="1077" w:hanging="357"/>
        <w:rPr>
          <w:rFonts w:cs="Open Sans"/>
        </w:rPr>
      </w:pPr>
      <w:r w:rsidRPr="00F305E1">
        <w:rPr>
          <w:rFonts w:cs="Open Sans"/>
        </w:rPr>
        <w:t xml:space="preserve">the breadth of the </w:t>
      </w:r>
      <w:r w:rsidR="00EC194E" w:rsidRPr="00F305E1">
        <w:rPr>
          <w:rFonts w:cs="Open Sans"/>
        </w:rPr>
        <w:t>‘</w:t>
      </w:r>
      <w:r w:rsidRPr="00F305E1">
        <w:rPr>
          <w:rFonts w:cs="Open Sans"/>
        </w:rPr>
        <w:t>concealment of access</w:t>
      </w:r>
      <w:r w:rsidR="00EC194E" w:rsidRPr="00F305E1">
        <w:rPr>
          <w:rFonts w:cs="Open Sans"/>
        </w:rPr>
        <w:t>’</w:t>
      </w:r>
      <w:r w:rsidRPr="00F305E1">
        <w:rPr>
          <w:rFonts w:cs="Open Sans"/>
        </w:rPr>
        <w:t xml:space="preserve"> powers</w:t>
      </w:r>
      <w:r w:rsidR="00EC194E" w:rsidRPr="00F305E1">
        <w:rPr>
          <w:rFonts w:cs="Open Sans"/>
        </w:rPr>
        <w:t xml:space="preserve"> introduced by Schedules 2 and 5 of the TOLA Act</w:t>
      </w:r>
      <w:r w:rsidR="00F85C9B" w:rsidRPr="00F305E1">
        <w:rPr>
          <w:rFonts w:cs="Open Sans"/>
        </w:rPr>
        <w:t>.</w:t>
      </w:r>
    </w:p>
    <w:p w14:paraId="775E67BD" w14:textId="31AD20AC" w:rsidR="00F305E1" w:rsidRPr="00F305E1" w:rsidRDefault="007745ED" w:rsidP="00105848">
      <w:pPr>
        <w:pStyle w:val="NoSpacing"/>
        <w:rPr>
          <w:rFonts w:cs="Open Sans"/>
        </w:rPr>
      </w:pPr>
      <w:r w:rsidRPr="00F305E1">
        <w:rPr>
          <w:rFonts w:cs="Open Sans"/>
        </w:rPr>
        <w:t xml:space="preserve">The </w:t>
      </w:r>
      <w:r w:rsidR="007410EC" w:rsidRPr="00F305E1">
        <w:rPr>
          <w:rFonts w:cs="Open Sans"/>
        </w:rPr>
        <w:t>attachment</w:t>
      </w:r>
      <w:r w:rsidR="005C72C7" w:rsidRPr="00F305E1">
        <w:rPr>
          <w:rFonts w:cs="Open Sans"/>
        </w:rPr>
        <w:t xml:space="preserve"> does not exhaustively address </w:t>
      </w:r>
      <w:r w:rsidR="00CA7838" w:rsidRPr="00F305E1">
        <w:rPr>
          <w:rFonts w:cs="Open Sans"/>
        </w:rPr>
        <w:t xml:space="preserve">all </w:t>
      </w:r>
      <w:r w:rsidR="008D4B42" w:rsidRPr="00F305E1">
        <w:rPr>
          <w:rFonts w:cs="Open Sans"/>
        </w:rPr>
        <w:t xml:space="preserve">of </w:t>
      </w:r>
      <w:r w:rsidR="00CA7838" w:rsidRPr="00F305E1">
        <w:rPr>
          <w:rFonts w:cs="Open Sans"/>
        </w:rPr>
        <w:t>the</w:t>
      </w:r>
      <w:r w:rsidR="008D4B42" w:rsidRPr="00F305E1">
        <w:rPr>
          <w:rFonts w:cs="Open Sans"/>
        </w:rPr>
        <w:t xml:space="preserve"> remaining</w:t>
      </w:r>
      <w:r w:rsidR="00CA7838" w:rsidRPr="00F305E1">
        <w:rPr>
          <w:rFonts w:cs="Open Sans"/>
        </w:rPr>
        <w:t xml:space="preserve"> </w:t>
      </w:r>
      <w:r w:rsidR="00C667AF" w:rsidRPr="00F305E1">
        <w:rPr>
          <w:rFonts w:cs="Open Sans"/>
        </w:rPr>
        <w:t>human rights</w:t>
      </w:r>
      <w:r w:rsidR="005C72C7" w:rsidRPr="00F305E1">
        <w:rPr>
          <w:rFonts w:cs="Open Sans"/>
        </w:rPr>
        <w:t xml:space="preserve"> issues </w:t>
      </w:r>
      <w:r w:rsidR="00E55276" w:rsidRPr="00F305E1">
        <w:rPr>
          <w:rFonts w:cs="Open Sans"/>
        </w:rPr>
        <w:t xml:space="preserve">presented by </w:t>
      </w:r>
      <w:r w:rsidR="005C72C7" w:rsidRPr="00F305E1">
        <w:rPr>
          <w:rFonts w:cs="Open Sans"/>
        </w:rPr>
        <w:t>the TOLA Act</w:t>
      </w:r>
      <w:r w:rsidR="00E55276" w:rsidRPr="00F305E1">
        <w:rPr>
          <w:rFonts w:cs="Open Sans"/>
        </w:rPr>
        <w:t>.</w:t>
      </w:r>
      <w:r w:rsidR="005C72C7" w:rsidRPr="00F305E1">
        <w:rPr>
          <w:rFonts w:cs="Open Sans"/>
        </w:rPr>
        <w:t xml:space="preserve"> </w:t>
      </w:r>
      <w:r w:rsidR="00E55276" w:rsidRPr="00F305E1">
        <w:rPr>
          <w:rFonts w:cs="Open Sans"/>
        </w:rPr>
        <w:t xml:space="preserve">Nor does </w:t>
      </w:r>
      <w:r w:rsidR="00C51A07" w:rsidRPr="00F305E1">
        <w:rPr>
          <w:rFonts w:cs="Open Sans"/>
        </w:rPr>
        <w:t xml:space="preserve">it address </w:t>
      </w:r>
      <w:r w:rsidR="00F305E1" w:rsidRPr="00F305E1">
        <w:rPr>
          <w:rFonts w:cs="Open Sans"/>
        </w:rPr>
        <w:t xml:space="preserve">the human rights compatibility </w:t>
      </w:r>
      <w:r w:rsidR="00C51A07" w:rsidRPr="00F305E1">
        <w:rPr>
          <w:rFonts w:cs="Open Sans"/>
        </w:rPr>
        <w:t xml:space="preserve">of </w:t>
      </w:r>
      <w:r w:rsidR="006F570A">
        <w:rPr>
          <w:rFonts w:cs="Open Sans"/>
        </w:rPr>
        <w:t xml:space="preserve">all </w:t>
      </w:r>
      <w:r w:rsidR="00C51A07" w:rsidRPr="00F305E1">
        <w:rPr>
          <w:rFonts w:cs="Open Sans"/>
        </w:rPr>
        <w:t>the</w:t>
      </w:r>
      <w:r w:rsidR="005C72C7" w:rsidRPr="00F305E1">
        <w:rPr>
          <w:rFonts w:cs="Open Sans"/>
        </w:rPr>
        <w:t xml:space="preserve"> Government amendments. </w:t>
      </w:r>
    </w:p>
    <w:p w14:paraId="24CC9E3B" w14:textId="77777777" w:rsidR="00F305E1" w:rsidRPr="00F305E1" w:rsidRDefault="00F305E1" w:rsidP="00105848">
      <w:pPr>
        <w:pStyle w:val="NoSpacing"/>
        <w:rPr>
          <w:rFonts w:cs="Open Sans"/>
        </w:rPr>
      </w:pPr>
    </w:p>
    <w:p w14:paraId="0A4D15E9" w14:textId="1FB37DA2" w:rsidR="00CF17A2" w:rsidRPr="00F305E1" w:rsidRDefault="0077355C" w:rsidP="00105848">
      <w:pPr>
        <w:pStyle w:val="NoSpacing"/>
        <w:rPr>
          <w:rFonts w:cs="Open Sans"/>
        </w:rPr>
      </w:pPr>
      <w:r>
        <w:rPr>
          <w:rFonts w:cs="Open Sans"/>
        </w:rPr>
        <w:t>I</w:t>
      </w:r>
      <w:r w:rsidR="0017062B" w:rsidRPr="0017062B">
        <w:rPr>
          <w:rFonts w:cs="Open Sans"/>
        </w:rPr>
        <w:t xml:space="preserve">mplementing </w:t>
      </w:r>
      <w:r w:rsidR="00F305E1" w:rsidRPr="0017062B">
        <w:rPr>
          <w:rFonts w:cs="Open Sans"/>
        </w:rPr>
        <w:t>R</w:t>
      </w:r>
      <w:r w:rsidR="00E55276" w:rsidRPr="0017062B">
        <w:rPr>
          <w:rFonts w:cs="Open Sans"/>
        </w:rPr>
        <w:t xml:space="preserve">ecommendations </w:t>
      </w:r>
      <w:r w:rsidR="0017062B" w:rsidRPr="0017062B">
        <w:rPr>
          <w:rFonts w:cs="Open Sans"/>
        </w:rPr>
        <w:t>B–J</w:t>
      </w:r>
      <w:r w:rsidR="00C51A07" w:rsidRPr="0017062B">
        <w:rPr>
          <w:rFonts w:cs="Open Sans"/>
        </w:rPr>
        <w:t xml:space="preserve"> </w:t>
      </w:r>
      <w:r w:rsidR="00E55276" w:rsidRPr="0017062B">
        <w:rPr>
          <w:rFonts w:cs="Open Sans"/>
        </w:rPr>
        <w:t>contained in this letter</w:t>
      </w:r>
      <w:r w:rsidR="00C51A07" w:rsidRPr="0017062B">
        <w:rPr>
          <w:rFonts w:cs="Open Sans"/>
        </w:rPr>
        <w:t xml:space="preserve"> would</w:t>
      </w:r>
      <w:r w:rsidR="0017062B" w:rsidRPr="0017062B">
        <w:rPr>
          <w:rFonts w:cs="Open Sans"/>
        </w:rPr>
        <w:t xml:space="preserve"> </w:t>
      </w:r>
      <w:r w:rsidR="00722144" w:rsidRPr="0017062B">
        <w:rPr>
          <w:rFonts w:cs="Open Sans"/>
        </w:rPr>
        <w:t>enhance the human rights compatibility of some of the more</w:t>
      </w:r>
      <w:r w:rsidR="00C51A07" w:rsidRPr="0017062B">
        <w:rPr>
          <w:rFonts w:cs="Open Sans"/>
        </w:rPr>
        <w:t xml:space="preserve"> serious </w:t>
      </w:r>
      <w:r w:rsidR="00243EB4" w:rsidRPr="0017062B">
        <w:rPr>
          <w:rFonts w:cs="Open Sans"/>
        </w:rPr>
        <w:t xml:space="preserve">rights </w:t>
      </w:r>
      <w:r w:rsidR="00C51A07" w:rsidRPr="0017062B">
        <w:rPr>
          <w:rFonts w:cs="Open Sans"/>
        </w:rPr>
        <w:t>interferences permitted by the TOLA Act</w:t>
      </w:r>
      <w:r>
        <w:rPr>
          <w:rFonts w:cs="Open Sans"/>
        </w:rPr>
        <w:t>.</w:t>
      </w:r>
    </w:p>
    <w:p w14:paraId="56C0B2F7" w14:textId="1C7E88B7" w:rsidR="004477AA" w:rsidRPr="00F305E1" w:rsidRDefault="004477AA" w:rsidP="00EB215E">
      <w:pPr>
        <w:pStyle w:val="NoSpacing"/>
        <w:rPr>
          <w:rFonts w:cs="Open Sans"/>
        </w:rPr>
      </w:pPr>
    </w:p>
    <w:p w14:paraId="3D4F9AB0" w14:textId="43A4513F" w:rsidR="00E55276" w:rsidRPr="00F305E1" w:rsidRDefault="00E55276" w:rsidP="00EB215E">
      <w:pPr>
        <w:pStyle w:val="NoSpacing"/>
        <w:rPr>
          <w:rFonts w:cs="Open Sans"/>
        </w:rPr>
      </w:pPr>
      <w:r w:rsidRPr="00F305E1">
        <w:rPr>
          <w:rFonts w:cs="Open Sans"/>
        </w:rPr>
        <w:t>The Commission makes the following recommendations:</w:t>
      </w:r>
    </w:p>
    <w:p w14:paraId="2B70FAAD" w14:textId="77777777" w:rsidR="00E55276" w:rsidRPr="00F305E1" w:rsidRDefault="00E55276" w:rsidP="00EB215E">
      <w:pPr>
        <w:pStyle w:val="NoSpacing"/>
        <w:rPr>
          <w:rFonts w:cs="Open Sans"/>
        </w:rPr>
      </w:pPr>
    </w:p>
    <w:p w14:paraId="52C80ABA" w14:textId="77777777" w:rsidR="00764A10" w:rsidRPr="00F305E1" w:rsidRDefault="00D3029D" w:rsidP="00B975FF">
      <w:pPr>
        <w:pStyle w:val="NoSpacing"/>
        <w:spacing w:after="120"/>
        <w:ind w:left="567" w:firstLine="153"/>
        <w:rPr>
          <w:rFonts w:cs="Open Sans"/>
          <w:b/>
        </w:rPr>
      </w:pPr>
      <w:r w:rsidRPr="00F305E1">
        <w:rPr>
          <w:rFonts w:cs="Open Sans"/>
          <w:b/>
        </w:rPr>
        <w:t xml:space="preserve">Recommendation </w:t>
      </w:r>
      <w:r w:rsidR="00133F91" w:rsidRPr="00F305E1">
        <w:rPr>
          <w:rFonts w:cs="Open Sans"/>
          <w:b/>
        </w:rPr>
        <w:t>A</w:t>
      </w:r>
    </w:p>
    <w:p w14:paraId="34434CEC" w14:textId="43E76FB1" w:rsidR="00CF17A2" w:rsidRPr="00F305E1" w:rsidRDefault="00CF17A2" w:rsidP="00B975FF">
      <w:pPr>
        <w:pStyle w:val="NoSpacing"/>
        <w:spacing w:after="120"/>
        <w:ind w:left="720"/>
        <w:rPr>
          <w:rFonts w:cs="Open Sans"/>
        </w:rPr>
      </w:pPr>
      <w:r w:rsidRPr="00F305E1">
        <w:rPr>
          <w:rFonts w:cs="Open Sans"/>
        </w:rPr>
        <w:t>T</w:t>
      </w:r>
      <w:r w:rsidR="00C51A07" w:rsidRPr="00F305E1">
        <w:rPr>
          <w:rFonts w:cs="Open Sans"/>
        </w:rPr>
        <w:t xml:space="preserve">he 54 Recommendations made in the Commission’s </w:t>
      </w:r>
      <w:r w:rsidRPr="00F305E1">
        <w:rPr>
          <w:rFonts w:cs="Open Sans"/>
        </w:rPr>
        <w:t xml:space="preserve">previous </w:t>
      </w:r>
      <w:r w:rsidR="00C51A07" w:rsidRPr="00F305E1">
        <w:rPr>
          <w:rFonts w:cs="Open Sans"/>
        </w:rPr>
        <w:t xml:space="preserve">submission to the </w:t>
      </w:r>
      <w:r w:rsidRPr="00F305E1">
        <w:rPr>
          <w:rFonts w:cs="Open Sans"/>
        </w:rPr>
        <w:t xml:space="preserve">Parliamentary Joint Committee on Intelligence and Security </w:t>
      </w:r>
      <w:r w:rsidR="00860455">
        <w:rPr>
          <w:rFonts w:cs="Open Sans"/>
        </w:rPr>
        <w:t>dated 12 </w:t>
      </w:r>
      <w:r w:rsidR="00C51A07" w:rsidRPr="00F305E1">
        <w:rPr>
          <w:rFonts w:cs="Open Sans"/>
        </w:rPr>
        <w:t xml:space="preserve">October 2018 </w:t>
      </w:r>
      <w:r w:rsidRPr="00F305E1">
        <w:rPr>
          <w:rFonts w:cs="Open Sans"/>
        </w:rPr>
        <w:t>should be implemented in full</w:t>
      </w:r>
      <w:r w:rsidR="00C51A07" w:rsidRPr="00F305E1">
        <w:rPr>
          <w:rFonts w:cs="Open Sans"/>
        </w:rPr>
        <w:t>.</w:t>
      </w:r>
      <w:r w:rsidR="000A7B7E">
        <w:rPr>
          <w:rFonts w:cs="Open Sans"/>
        </w:rPr>
        <w:t xml:space="preserve"> </w:t>
      </w:r>
    </w:p>
    <w:p w14:paraId="56F2EC5B" w14:textId="6CCF98EB" w:rsidR="00B42834" w:rsidRDefault="00C51A07" w:rsidP="00D31BD1">
      <w:pPr>
        <w:pStyle w:val="NoSpacing"/>
        <w:rPr>
          <w:rFonts w:cs="Open Sans"/>
        </w:rPr>
      </w:pPr>
      <w:r w:rsidRPr="00F305E1">
        <w:rPr>
          <w:rFonts w:cs="Open Sans"/>
        </w:rPr>
        <w:t xml:space="preserve">In the event that Recommendation A is not </w:t>
      </w:r>
      <w:r w:rsidR="001B20CD" w:rsidRPr="00F305E1">
        <w:rPr>
          <w:rFonts w:cs="Open Sans"/>
        </w:rPr>
        <w:t>adopted, the Commission make</w:t>
      </w:r>
      <w:r w:rsidR="00C5688B" w:rsidRPr="00F305E1">
        <w:rPr>
          <w:rFonts w:cs="Open Sans"/>
        </w:rPr>
        <w:t>s the following recommendations</w:t>
      </w:r>
      <w:r w:rsidR="00287997">
        <w:rPr>
          <w:rFonts w:cs="Open Sans"/>
        </w:rPr>
        <w:t xml:space="preserve"> for the reasons</w:t>
      </w:r>
      <w:r w:rsidR="001B20CD" w:rsidRPr="00F305E1">
        <w:rPr>
          <w:rFonts w:cs="Open Sans"/>
        </w:rPr>
        <w:t xml:space="preserve"> in the </w:t>
      </w:r>
      <w:r w:rsidR="007410EC" w:rsidRPr="00F305E1">
        <w:rPr>
          <w:rFonts w:cs="Open Sans"/>
        </w:rPr>
        <w:t>attachment</w:t>
      </w:r>
      <w:r w:rsidR="00D31BD1" w:rsidRPr="00F305E1">
        <w:rPr>
          <w:rFonts w:cs="Open Sans"/>
        </w:rPr>
        <w:t xml:space="preserve"> to this letter:</w:t>
      </w:r>
    </w:p>
    <w:p w14:paraId="36BDD5C9" w14:textId="77777777" w:rsidR="00287997" w:rsidRPr="00F305E1" w:rsidRDefault="00287997" w:rsidP="00D31BD1">
      <w:pPr>
        <w:pStyle w:val="NoSpacing"/>
        <w:rPr>
          <w:rFonts w:cs="Open Sans"/>
        </w:rPr>
      </w:pPr>
    </w:p>
    <w:p w14:paraId="43E9F410" w14:textId="77777777" w:rsidR="004665F6" w:rsidRPr="007A71E1" w:rsidRDefault="004665F6" w:rsidP="004665F6">
      <w:pPr>
        <w:pStyle w:val="NoSpacing"/>
        <w:keepNext/>
        <w:spacing w:after="120"/>
        <w:ind w:left="720"/>
        <w:rPr>
          <w:rFonts w:cs="Open Sans"/>
          <w:b/>
        </w:rPr>
      </w:pPr>
      <w:r w:rsidRPr="007A71E1">
        <w:rPr>
          <w:rFonts w:cs="Open Sans"/>
          <w:b/>
        </w:rPr>
        <w:t>Recommendation B</w:t>
      </w:r>
    </w:p>
    <w:p w14:paraId="0144F171" w14:textId="77777777" w:rsidR="004665F6" w:rsidRPr="007A71E1" w:rsidRDefault="004665F6" w:rsidP="004665F6">
      <w:pPr>
        <w:pStyle w:val="NoSpacing"/>
        <w:keepNext/>
        <w:spacing w:after="120"/>
        <w:ind w:left="720"/>
        <w:rPr>
          <w:rFonts w:cs="Open Sans"/>
        </w:rPr>
      </w:pPr>
      <w:r w:rsidRPr="007A71E1">
        <w:rPr>
          <w:rFonts w:cs="Open Sans"/>
        </w:rPr>
        <w:t>The Commission’s previous recommendations 14, 28, 30 and 31 should be implemented in full, in particular that judicial authorisation be required for the giving or varying of notices</w:t>
      </w:r>
      <w:r>
        <w:rPr>
          <w:rFonts w:cs="Open Sans"/>
        </w:rPr>
        <w:t xml:space="preserve"> under the assistance scheme</w:t>
      </w:r>
      <w:r w:rsidRPr="007A71E1">
        <w:rPr>
          <w:rFonts w:cs="Open Sans"/>
        </w:rPr>
        <w:t>.</w:t>
      </w:r>
    </w:p>
    <w:p w14:paraId="4CEF378B" w14:textId="77777777" w:rsidR="004665F6" w:rsidRPr="007A71E1" w:rsidRDefault="004665F6" w:rsidP="004665F6">
      <w:pPr>
        <w:pStyle w:val="NoSpacing"/>
        <w:spacing w:after="120"/>
        <w:ind w:left="567" w:firstLine="153"/>
        <w:rPr>
          <w:rFonts w:cs="Open Sans"/>
          <w:b/>
        </w:rPr>
      </w:pPr>
      <w:r w:rsidRPr="007A71E1">
        <w:rPr>
          <w:rFonts w:cs="Open Sans"/>
          <w:b/>
        </w:rPr>
        <w:t>Recommendation C</w:t>
      </w:r>
    </w:p>
    <w:p w14:paraId="1032B1E2" w14:textId="77777777" w:rsidR="004665F6" w:rsidRPr="00F305E1" w:rsidRDefault="004665F6" w:rsidP="004665F6">
      <w:pPr>
        <w:pStyle w:val="NoSpacing"/>
        <w:spacing w:after="120"/>
        <w:ind w:left="720"/>
        <w:rPr>
          <w:rFonts w:cs="Open Sans"/>
          <w:b/>
        </w:rPr>
      </w:pPr>
      <w:r w:rsidRPr="007A71E1">
        <w:rPr>
          <w:rFonts w:cs="Open Sans"/>
        </w:rPr>
        <w:t xml:space="preserve">In the event that Recommendation B is not implemented, s 317WA of the </w:t>
      </w:r>
      <w:r w:rsidRPr="00D714A2">
        <w:rPr>
          <w:rFonts w:cs="Open Sans"/>
          <w:i/>
        </w:rPr>
        <w:t>Telecommunications Act 1997</w:t>
      </w:r>
      <w:r>
        <w:rPr>
          <w:rFonts w:cs="Open Sans"/>
        </w:rPr>
        <w:t xml:space="preserve"> (Cth) </w:t>
      </w:r>
      <w:r w:rsidRPr="007A71E1">
        <w:rPr>
          <w:rFonts w:cs="Open Sans"/>
        </w:rPr>
        <w:t xml:space="preserve">should be amended to make the report of assessors regarding </w:t>
      </w:r>
      <w:r>
        <w:rPr>
          <w:rFonts w:cs="Open Sans"/>
        </w:rPr>
        <w:t>a</w:t>
      </w:r>
      <w:r w:rsidRPr="007A71E1">
        <w:rPr>
          <w:rFonts w:cs="Open Sans"/>
        </w:rPr>
        <w:t xml:space="preserve"> proposed</w:t>
      </w:r>
      <w:r w:rsidRPr="00F305E1">
        <w:rPr>
          <w:rFonts w:cs="Open Sans"/>
        </w:rPr>
        <w:t xml:space="preserve"> </w:t>
      </w:r>
      <w:r>
        <w:rPr>
          <w:rFonts w:cs="Open Sans"/>
        </w:rPr>
        <w:t xml:space="preserve">Technical Capability Notice </w:t>
      </w:r>
      <w:r w:rsidRPr="00F305E1">
        <w:rPr>
          <w:rFonts w:cs="Open Sans"/>
        </w:rPr>
        <w:t>binding on the Attorney-General.</w:t>
      </w:r>
    </w:p>
    <w:p w14:paraId="03DED6A4" w14:textId="77777777" w:rsidR="004665F6" w:rsidRPr="00F305E1" w:rsidRDefault="004665F6" w:rsidP="004665F6">
      <w:pPr>
        <w:pStyle w:val="NoSpacing"/>
        <w:keepNext/>
        <w:spacing w:after="120"/>
        <w:ind w:left="567" w:firstLine="153"/>
        <w:rPr>
          <w:rFonts w:cs="Open Sans"/>
          <w:b/>
        </w:rPr>
      </w:pPr>
      <w:r w:rsidRPr="00F305E1">
        <w:rPr>
          <w:rFonts w:cs="Open Sans"/>
          <w:b/>
        </w:rPr>
        <w:t xml:space="preserve">Recommendation </w:t>
      </w:r>
      <w:r>
        <w:rPr>
          <w:rFonts w:cs="Open Sans"/>
          <w:b/>
        </w:rPr>
        <w:t>D</w:t>
      </w:r>
    </w:p>
    <w:p w14:paraId="16DCF326" w14:textId="77777777" w:rsidR="004665F6" w:rsidRDefault="004665F6" w:rsidP="004665F6">
      <w:pPr>
        <w:pStyle w:val="NoSpacing"/>
        <w:keepNext/>
        <w:spacing w:after="120"/>
        <w:ind w:left="720"/>
        <w:rPr>
          <w:rFonts w:cs="Open Sans"/>
        </w:rPr>
      </w:pPr>
      <w:r w:rsidRPr="00F305E1">
        <w:rPr>
          <w:rFonts w:cs="Open Sans"/>
        </w:rPr>
        <w:t>An independent assessment process commensurate to that contained in s 317WA</w:t>
      </w:r>
      <w:r>
        <w:rPr>
          <w:rFonts w:cs="Open Sans"/>
        </w:rPr>
        <w:t xml:space="preserve"> of the </w:t>
      </w:r>
      <w:r w:rsidRPr="009A7EBB">
        <w:rPr>
          <w:rFonts w:cs="Open Sans"/>
          <w:i/>
        </w:rPr>
        <w:t>Telecommunications Act 1997</w:t>
      </w:r>
      <w:r>
        <w:rPr>
          <w:rFonts w:cs="Open Sans"/>
        </w:rPr>
        <w:t xml:space="preserve"> (Cth),</w:t>
      </w:r>
      <w:r w:rsidRPr="00F305E1">
        <w:rPr>
          <w:rFonts w:cs="Open Sans"/>
        </w:rPr>
        <w:t xml:space="preserve"> </w:t>
      </w:r>
      <w:r>
        <w:rPr>
          <w:rFonts w:cs="Open Sans"/>
        </w:rPr>
        <w:t xml:space="preserve">or some other appropriate and similar form of independent review, </w:t>
      </w:r>
      <w:r w:rsidRPr="00F305E1">
        <w:rPr>
          <w:rFonts w:cs="Open Sans"/>
        </w:rPr>
        <w:t xml:space="preserve">should be </w:t>
      </w:r>
      <w:r>
        <w:rPr>
          <w:rFonts w:cs="Open Sans"/>
        </w:rPr>
        <w:t xml:space="preserve">made </w:t>
      </w:r>
      <w:r w:rsidRPr="00F305E1">
        <w:rPr>
          <w:rFonts w:cs="Open Sans"/>
        </w:rPr>
        <w:lastRenderedPageBreak/>
        <w:t xml:space="preserve">available with respect to </w:t>
      </w:r>
      <w:r>
        <w:rPr>
          <w:rFonts w:cs="Open Sans"/>
        </w:rPr>
        <w:t xml:space="preserve">Technical Assistance Requests </w:t>
      </w:r>
      <w:r w:rsidRPr="00F305E1">
        <w:rPr>
          <w:rFonts w:cs="Open Sans"/>
        </w:rPr>
        <w:t xml:space="preserve">and </w:t>
      </w:r>
      <w:r>
        <w:rPr>
          <w:rFonts w:cs="Open Sans"/>
        </w:rPr>
        <w:t>Technical Assistance Notices</w:t>
      </w:r>
      <w:r w:rsidRPr="00F305E1">
        <w:rPr>
          <w:rFonts w:cs="Open Sans"/>
        </w:rPr>
        <w:t>, not just T</w:t>
      </w:r>
      <w:r>
        <w:rPr>
          <w:rFonts w:cs="Open Sans"/>
        </w:rPr>
        <w:t xml:space="preserve">echnical </w:t>
      </w:r>
      <w:r w:rsidRPr="00F305E1">
        <w:rPr>
          <w:rFonts w:cs="Open Sans"/>
        </w:rPr>
        <w:t>C</w:t>
      </w:r>
      <w:r>
        <w:rPr>
          <w:rFonts w:cs="Open Sans"/>
        </w:rPr>
        <w:t xml:space="preserve">apability </w:t>
      </w:r>
      <w:r w:rsidRPr="00F305E1">
        <w:rPr>
          <w:rFonts w:cs="Open Sans"/>
        </w:rPr>
        <w:t>N</w:t>
      </w:r>
      <w:r>
        <w:rPr>
          <w:rFonts w:cs="Open Sans"/>
        </w:rPr>
        <w:t>otice</w:t>
      </w:r>
      <w:r w:rsidRPr="00F305E1">
        <w:rPr>
          <w:rFonts w:cs="Open Sans"/>
        </w:rPr>
        <w:t>s.</w:t>
      </w:r>
    </w:p>
    <w:p w14:paraId="3568BAAB" w14:textId="77777777" w:rsidR="004665F6" w:rsidRPr="00F305E1" w:rsidRDefault="004665F6" w:rsidP="004665F6">
      <w:pPr>
        <w:pStyle w:val="NoSpacing"/>
        <w:keepNext/>
        <w:spacing w:after="120"/>
        <w:ind w:left="720"/>
        <w:rPr>
          <w:rFonts w:cs="Open Sans"/>
        </w:rPr>
      </w:pPr>
      <w:r w:rsidRPr="00F305E1">
        <w:rPr>
          <w:rFonts w:cs="Open Sans"/>
          <w:b/>
        </w:rPr>
        <w:t xml:space="preserve">Recommendation </w:t>
      </w:r>
      <w:r>
        <w:rPr>
          <w:rFonts w:cs="Open Sans"/>
          <w:b/>
        </w:rPr>
        <w:t>E</w:t>
      </w:r>
    </w:p>
    <w:p w14:paraId="0DCDFF00" w14:textId="77777777" w:rsidR="004665F6" w:rsidRPr="00F305E1" w:rsidRDefault="004665F6" w:rsidP="004665F6">
      <w:pPr>
        <w:pStyle w:val="NoSpacing"/>
        <w:spacing w:after="120"/>
        <w:ind w:left="720"/>
        <w:rPr>
          <w:rFonts w:cs="Open Sans"/>
        </w:rPr>
      </w:pPr>
      <w:r w:rsidRPr="00F305E1">
        <w:rPr>
          <w:rFonts w:cs="Open Sans"/>
        </w:rPr>
        <w:t xml:space="preserve">The Government consult widely with industry and technical experts, as well as bodies with human rights expertise, to formulate and implement a revised ‘systemic weakness’ </w:t>
      </w:r>
      <w:r>
        <w:rPr>
          <w:rFonts w:cs="Open Sans"/>
        </w:rPr>
        <w:t xml:space="preserve">limitation in s 317ZG of the </w:t>
      </w:r>
      <w:r w:rsidRPr="009A7EBB">
        <w:rPr>
          <w:rFonts w:cs="Open Sans"/>
          <w:i/>
        </w:rPr>
        <w:t>Telecommunications Act 1997</w:t>
      </w:r>
      <w:r>
        <w:rPr>
          <w:rFonts w:cs="Open Sans"/>
        </w:rPr>
        <w:t xml:space="preserve"> (Cth)</w:t>
      </w:r>
      <w:r w:rsidRPr="00F305E1">
        <w:rPr>
          <w:rFonts w:cs="Open Sans"/>
        </w:rPr>
        <w:t xml:space="preserve"> that is clear, precise, and prohibits action that would detrimentally </w:t>
      </w:r>
      <w:r>
        <w:rPr>
          <w:rFonts w:cs="Open Sans"/>
        </w:rPr>
        <w:t>affect</w:t>
      </w:r>
      <w:r w:rsidRPr="00F305E1">
        <w:rPr>
          <w:rFonts w:cs="Open Sans"/>
        </w:rPr>
        <w:t xml:space="preserve"> the cybersecurity and privacy of a significant </w:t>
      </w:r>
      <w:r>
        <w:rPr>
          <w:rFonts w:cs="Open Sans"/>
        </w:rPr>
        <w:t>proportion</w:t>
      </w:r>
      <w:r w:rsidRPr="00F305E1">
        <w:rPr>
          <w:rFonts w:cs="Open Sans"/>
        </w:rPr>
        <w:t xml:space="preserve"> </w:t>
      </w:r>
      <w:r>
        <w:rPr>
          <w:rFonts w:cs="Open Sans"/>
        </w:rPr>
        <w:t xml:space="preserve">or number </w:t>
      </w:r>
      <w:r w:rsidRPr="00F305E1">
        <w:rPr>
          <w:rFonts w:cs="Open Sans"/>
        </w:rPr>
        <w:t xml:space="preserve">of </w:t>
      </w:r>
      <w:r>
        <w:rPr>
          <w:rFonts w:cs="Open Sans"/>
        </w:rPr>
        <w:t>innocent third parties</w:t>
      </w:r>
      <w:r w:rsidRPr="00F305E1">
        <w:rPr>
          <w:rFonts w:cs="Open Sans"/>
        </w:rPr>
        <w:t>, or that would weaken a significant part or whole of a relevant system.</w:t>
      </w:r>
    </w:p>
    <w:p w14:paraId="32BC646A" w14:textId="77777777" w:rsidR="004665F6" w:rsidRPr="000A5FED" w:rsidRDefault="004665F6" w:rsidP="004665F6">
      <w:pPr>
        <w:pStyle w:val="NoSpacing"/>
        <w:keepNext/>
        <w:spacing w:after="120"/>
        <w:ind w:left="720"/>
        <w:rPr>
          <w:rFonts w:cs="Open Sans"/>
          <w:b/>
        </w:rPr>
      </w:pPr>
      <w:r w:rsidRPr="000A5FED">
        <w:rPr>
          <w:rFonts w:cs="Open Sans"/>
          <w:b/>
        </w:rPr>
        <w:t>Recommendation F</w:t>
      </w:r>
    </w:p>
    <w:p w14:paraId="0064FFF1" w14:textId="77777777" w:rsidR="004665F6" w:rsidRDefault="004665F6" w:rsidP="004665F6">
      <w:pPr>
        <w:pStyle w:val="NoSpacing"/>
        <w:keepNext/>
        <w:spacing w:after="120"/>
        <w:ind w:left="720"/>
        <w:rPr>
          <w:rFonts w:cs="Open Sans"/>
        </w:rPr>
      </w:pPr>
      <w:r w:rsidRPr="00F305E1">
        <w:rPr>
          <w:rFonts w:cs="Open Sans"/>
        </w:rPr>
        <w:t xml:space="preserve">If Recommendation </w:t>
      </w:r>
      <w:r>
        <w:rPr>
          <w:rFonts w:cs="Open Sans"/>
        </w:rPr>
        <w:t>E</w:t>
      </w:r>
      <w:r w:rsidRPr="00F305E1">
        <w:rPr>
          <w:rFonts w:cs="Open Sans"/>
        </w:rPr>
        <w:t xml:space="preserve"> is not accepted, the Government seek</w:t>
      </w:r>
      <w:r>
        <w:rPr>
          <w:rFonts w:cs="Open Sans"/>
        </w:rPr>
        <w:t xml:space="preserve"> and publish</w:t>
      </w:r>
      <w:r w:rsidRPr="00F305E1">
        <w:rPr>
          <w:rFonts w:cs="Open Sans"/>
        </w:rPr>
        <w:t xml:space="preserve"> legal advice as to the interaction between ss 317B and 317ZG</w:t>
      </w:r>
      <w:r>
        <w:rPr>
          <w:rFonts w:cs="Open Sans"/>
        </w:rPr>
        <w:t xml:space="preserve"> of the </w:t>
      </w:r>
      <w:r w:rsidRPr="008E1605">
        <w:rPr>
          <w:rFonts w:cs="Open Sans"/>
          <w:i/>
        </w:rPr>
        <w:t>Telecommunications Act 1997</w:t>
      </w:r>
      <w:r>
        <w:rPr>
          <w:rFonts w:cs="Open Sans"/>
        </w:rPr>
        <w:t xml:space="preserve"> (Cth)</w:t>
      </w:r>
      <w:r w:rsidRPr="00F305E1">
        <w:rPr>
          <w:rFonts w:cs="Open Sans"/>
        </w:rPr>
        <w:t xml:space="preserve">, and implement reforms to ensure that an ‘act or thing’ cannot be </w:t>
      </w:r>
      <w:r>
        <w:rPr>
          <w:rFonts w:cs="Open Sans"/>
        </w:rPr>
        <w:t>requested or compelled under the assistance scheme</w:t>
      </w:r>
      <w:r w:rsidRPr="00F305E1">
        <w:rPr>
          <w:rFonts w:cs="Open Sans"/>
        </w:rPr>
        <w:t xml:space="preserve"> if it would jeopardise or be likely to jeopardise the information security of innocent third parties.</w:t>
      </w:r>
    </w:p>
    <w:p w14:paraId="3DBB7454" w14:textId="77777777" w:rsidR="004665F6" w:rsidRPr="00F305E1" w:rsidRDefault="004665F6" w:rsidP="004665F6">
      <w:pPr>
        <w:pStyle w:val="NoSpacing"/>
        <w:keepNext/>
        <w:spacing w:after="120"/>
        <w:ind w:left="720"/>
        <w:rPr>
          <w:rFonts w:cs="Open Sans"/>
          <w:b/>
        </w:rPr>
      </w:pPr>
      <w:r w:rsidRPr="00F305E1">
        <w:rPr>
          <w:rFonts w:cs="Open Sans"/>
          <w:b/>
        </w:rPr>
        <w:t xml:space="preserve">Recommendation </w:t>
      </w:r>
      <w:r>
        <w:rPr>
          <w:rFonts w:cs="Open Sans"/>
          <w:b/>
        </w:rPr>
        <w:t>G</w:t>
      </w:r>
    </w:p>
    <w:p w14:paraId="5B6A81B3" w14:textId="77777777" w:rsidR="004665F6" w:rsidRPr="0017062B" w:rsidRDefault="004665F6" w:rsidP="004665F6">
      <w:pPr>
        <w:pStyle w:val="NoSpacing"/>
        <w:keepNext/>
        <w:spacing w:after="120"/>
        <w:ind w:left="720"/>
        <w:rPr>
          <w:rFonts w:cs="Open Sans"/>
        </w:rPr>
      </w:pPr>
      <w:r w:rsidRPr="00F305E1">
        <w:rPr>
          <w:rFonts w:cs="Open Sans"/>
        </w:rPr>
        <w:t>The ‘relevant objectives’ for which T</w:t>
      </w:r>
      <w:r>
        <w:rPr>
          <w:rFonts w:cs="Open Sans"/>
        </w:rPr>
        <w:t xml:space="preserve">echnical </w:t>
      </w:r>
      <w:r w:rsidRPr="00F305E1">
        <w:rPr>
          <w:rFonts w:cs="Open Sans"/>
        </w:rPr>
        <w:t>A</w:t>
      </w:r>
      <w:r>
        <w:rPr>
          <w:rFonts w:cs="Open Sans"/>
        </w:rPr>
        <w:t xml:space="preserve">ssistance </w:t>
      </w:r>
      <w:r w:rsidRPr="00F305E1">
        <w:rPr>
          <w:rFonts w:cs="Open Sans"/>
        </w:rPr>
        <w:t>R</w:t>
      </w:r>
      <w:r>
        <w:rPr>
          <w:rFonts w:cs="Open Sans"/>
        </w:rPr>
        <w:t>equest</w:t>
      </w:r>
      <w:r w:rsidRPr="00F305E1">
        <w:rPr>
          <w:rFonts w:cs="Open Sans"/>
        </w:rPr>
        <w:t>s may be issued should be further amended so that it is not possible to use the assistance scheme for purposes related to ‘the interests of Australia’s national economic well-being’, and so that the meaning of ‘matters relating to the security and integrity of information that is processed, stored or communicated by electronic or similar means’ is more clearly and precisely defined.</w:t>
      </w:r>
    </w:p>
    <w:p w14:paraId="1FFE8752" w14:textId="77777777" w:rsidR="004665F6" w:rsidRPr="00F305E1" w:rsidRDefault="004665F6" w:rsidP="004665F6">
      <w:pPr>
        <w:pStyle w:val="NoSpacing"/>
        <w:keepNext/>
        <w:spacing w:after="120"/>
        <w:ind w:left="720"/>
        <w:rPr>
          <w:rFonts w:cs="Open Sans"/>
          <w:b/>
        </w:rPr>
      </w:pPr>
      <w:r w:rsidRPr="00F305E1">
        <w:rPr>
          <w:rFonts w:cs="Open Sans"/>
          <w:b/>
        </w:rPr>
        <w:t xml:space="preserve">Recommendation </w:t>
      </w:r>
      <w:r>
        <w:rPr>
          <w:rFonts w:cs="Open Sans"/>
          <w:b/>
        </w:rPr>
        <w:t>H</w:t>
      </w:r>
    </w:p>
    <w:p w14:paraId="029A1FB9" w14:textId="77777777" w:rsidR="004665F6" w:rsidRPr="00F305E1" w:rsidRDefault="004665F6" w:rsidP="004665F6">
      <w:pPr>
        <w:pStyle w:val="NoSpacing"/>
        <w:keepNext/>
        <w:spacing w:after="120"/>
        <w:ind w:left="720"/>
        <w:rPr>
          <w:rFonts w:cs="Open Sans"/>
        </w:rPr>
      </w:pPr>
      <w:r w:rsidRPr="00F305E1">
        <w:rPr>
          <w:rFonts w:cs="Open Sans"/>
        </w:rPr>
        <w:t xml:space="preserve">The definition of ‘serious offence’ in s 317B of the </w:t>
      </w:r>
      <w:r w:rsidRPr="00FD6B6E">
        <w:rPr>
          <w:rFonts w:cs="Open Sans"/>
          <w:i/>
        </w:rPr>
        <w:t>Telecommunications Act 1997</w:t>
      </w:r>
      <w:r>
        <w:rPr>
          <w:rFonts w:cs="Open Sans"/>
        </w:rPr>
        <w:t xml:space="preserve"> (Cth) </w:t>
      </w:r>
      <w:r w:rsidRPr="00F305E1">
        <w:rPr>
          <w:rFonts w:cs="Open Sans"/>
        </w:rPr>
        <w:t xml:space="preserve">should be amended so that it is consistent with the definition in s 5D of the </w:t>
      </w:r>
      <w:r w:rsidRPr="00F305E1">
        <w:rPr>
          <w:rFonts w:cs="Open Sans"/>
          <w:i/>
        </w:rPr>
        <w:t>Telecommunications (Interception and Access) Act 1979</w:t>
      </w:r>
      <w:r w:rsidRPr="00F305E1">
        <w:rPr>
          <w:rFonts w:cs="Open Sans"/>
        </w:rPr>
        <w:t xml:space="preserve"> (Cth).</w:t>
      </w:r>
    </w:p>
    <w:p w14:paraId="6DBFA1E5" w14:textId="77777777" w:rsidR="004665F6" w:rsidRPr="00F305E1" w:rsidRDefault="004665F6" w:rsidP="004665F6">
      <w:pPr>
        <w:pStyle w:val="NoSpacing"/>
        <w:keepNext/>
        <w:spacing w:after="120"/>
        <w:ind w:left="720"/>
        <w:rPr>
          <w:rFonts w:cs="Open Sans"/>
          <w:b/>
        </w:rPr>
      </w:pPr>
      <w:r w:rsidRPr="00F305E1">
        <w:rPr>
          <w:rFonts w:cs="Open Sans"/>
          <w:b/>
        </w:rPr>
        <w:t xml:space="preserve">Recommendation </w:t>
      </w:r>
      <w:r>
        <w:rPr>
          <w:rFonts w:cs="Open Sans"/>
          <w:b/>
        </w:rPr>
        <w:t>I</w:t>
      </w:r>
    </w:p>
    <w:p w14:paraId="6BB2B60B" w14:textId="77777777" w:rsidR="004665F6" w:rsidRPr="00F305E1" w:rsidRDefault="004665F6" w:rsidP="004665F6">
      <w:pPr>
        <w:pStyle w:val="NoSpacing"/>
        <w:keepNext/>
        <w:spacing w:after="120"/>
        <w:ind w:left="720"/>
        <w:rPr>
          <w:rFonts w:cs="Open Sans"/>
        </w:rPr>
      </w:pPr>
      <w:r w:rsidRPr="00F305E1">
        <w:rPr>
          <w:rFonts w:cs="Open Sans"/>
        </w:rPr>
        <w:t xml:space="preserve">Section 34AAA of the </w:t>
      </w:r>
      <w:r w:rsidRPr="000A7B7E">
        <w:rPr>
          <w:rFonts w:cs="Open Sans"/>
          <w:i/>
        </w:rPr>
        <w:t>Australian Security Intelligence Organisation Act 1979</w:t>
      </w:r>
      <w:r w:rsidRPr="000A7B7E">
        <w:rPr>
          <w:rFonts w:cs="Open Sans"/>
        </w:rPr>
        <w:t xml:space="preserve"> </w:t>
      </w:r>
      <w:r w:rsidRPr="00F305E1">
        <w:rPr>
          <w:rFonts w:cs="Open Sans"/>
        </w:rPr>
        <w:t xml:space="preserve">(Cth) be amended to include protections for persons compelled to attend or remain in a specified place under an assistance order, in line with the Commission’s previous Recommendation 48. </w:t>
      </w:r>
    </w:p>
    <w:p w14:paraId="41FEAB79" w14:textId="77777777" w:rsidR="004665F6" w:rsidRPr="00F305E1" w:rsidRDefault="004665F6" w:rsidP="004665F6">
      <w:pPr>
        <w:pStyle w:val="NoSpacing"/>
        <w:spacing w:after="120"/>
        <w:ind w:left="720"/>
        <w:rPr>
          <w:rFonts w:cs="Open Sans"/>
          <w:b/>
        </w:rPr>
      </w:pPr>
      <w:r w:rsidRPr="00F305E1">
        <w:rPr>
          <w:rFonts w:cs="Open Sans"/>
          <w:b/>
        </w:rPr>
        <w:t xml:space="preserve">Recommendation </w:t>
      </w:r>
      <w:r>
        <w:rPr>
          <w:rFonts w:cs="Open Sans"/>
          <w:b/>
        </w:rPr>
        <w:t>J</w:t>
      </w:r>
    </w:p>
    <w:p w14:paraId="620514F3" w14:textId="77777777" w:rsidR="004665F6" w:rsidRPr="000A5FED" w:rsidRDefault="004665F6" w:rsidP="004665F6">
      <w:pPr>
        <w:pStyle w:val="NoSpacing"/>
        <w:spacing w:after="120"/>
        <w:ind w:left="720"/>
        <w:rPr>
          <w:rFonts w:cs="Open Sans"/>
          <w:b/>
        </w:rPr>
      </w:pPr>
      <w:r w:rsidRPr="00F305E1">
        <w:rPr>
          <w:rFonts w:cs="Open Sans"/>
        </w:rPr>
        <w:t xml:space="preserve">The </w:t>
      </w:r>
      <w:r w:rsidRPr="000A7B7E">
        <w:rPr>
          <w:rFonts w:cs="Open Sans"/>
          <w:i/>
        </w:rPr>
        <w:t>Australian Security Intelligence Organisation Act 1979</w:t>
      </w:r>
      <w:r w:rsidRPr="000A7B7E">
        <w:rPr>
          <w:rFonts w:cs="Open Sans"/>
        </w:rPr>
        <w:t xml:space="preserve"> </w:t>
      </w:r>
      <w:r w:rsidRPr="00F305E1">
        <w:rPr>
          <w:rFonts w:cs="Open Sans"/>
        </w:rPr>
        <w:t xml:space="preserve">(Cth) and the </w:t>
      </w:r>
      <w:r w:rsidRPr="000A7B7E">
        <w:rPr>
          <w:rFonts w:cs="Open Sans"/>
          <w:i/>
        </w:rPr>
        <w:t>Surveillance Devices Act 2004</w:t>
      </w:r>
      <w:r w:rsidRPr="000A7B7E">
        <w:rPr>
          <w:rFonts w:cs="Open Sans"/>
        </w:rPr>
        <w:t xml:space="preserve"> (Cth) </w:t>
      </w:r>
      <w:r w:rsidRPr="00F305E1">
        <w:rPr>
          <w:rFonts w:cs="Open Sans"/>
        </w:rPr>
        <w:t xml:space="preserve">be amended so that, if it is not </w:t>
      </w:r>
      <w:r w:rsidRPr="00F305E1">
        <w:rPr>
          <w:rFonts w:cs="Open Sans"/>
        </w:rPr>
        <w:lastRenderedPageBreak/>
        <w:t xml:space="preserve">reasonably practicable for ‘concealment of access’ to occur while a warrant is in effect, or within 28 days of its expiry, law enforcement authorities are required to return to an eligible Judge or nominated </w:t>
      </w:r>
      <w:r>
        <w:rPr>
          <w:rFonts w:cs="Open Sans"/>
        </w:rPr>
        <w:t xml:space="preserve">Administrative Appeals Tribunal </w:t>
      </w:r>
      <w:r w:rsidRPr="00F305E1">
        <w:rPr>
          <w:rFonts w:cs="Open Sans"/>
        </w:rPr>
        <w:t xml:space="preserve">member or, in the case of </w:t>
      </w:r>
      <w:r w:rsidRPr="008E1605">
        <w:rPr>
          <w:rFonts w:cs="Open Sans"/>
        </w:rPr>
        <w:t>Australian Security Intelligence Organisation</w:t>
      </w:r>
      <w:r w:rsidRPr="0022202B">
        <w:rPr>
          <w:rFonts w:cs="Open Sans"/>
        </w:rPr>
        <w:t xml:space="preserve"> </w:t>
      </w:r>
      <w:r w:rsidRPr="00F305E1">
        <w:rPr>
          <w:rFonts w:cs="Open Sans"/>
        </w:rPr>
        <w:t xml:space="preserve">warrants, the Attorney-General for further authorisation before any of the concealment of access powers introduced by the </w:t>
      </w:r>
      <w:r w:rsidRPr="00F305E1">
        <w:rPr>
          <w:rFonts w:cs="Open Sans"/>
          <w:i/>
        </w:rPr>
        <w:t>Telecommunications and Other Legislation Amendment (Assistance and Access) Act 2018</w:t>
      </w:r>
      <w:r w:rsidRPr="00F305E1">
        <w:rPr>
          <w:rFonts w:cs="Open Sans"/>
        </w:rPr>
        <w:t xml:space="preserve"> (Cth) can be exercised. </w:t>
      </w:r>
    </w:p>
    <w:p w14:paraId="5DD05DA3" w14:textId="77777777" w:rsidR="00A51988" w:rsidRDefault="00A51988" w:rsidP="00B42834">
      <w:pPr>
        <w:pStyle w:val="NoSpacing"/>
        <w:rPr>
          <w:rFonts w:cs="Open Sans"/>
        </w:rPr>
      </w:pPr>
    </w:p>
    <w:p w14:paraId="7083774A" w14:textId="2885B956" w:rsidR="001B20CD" w:rsidRDefault="0077355C" w:rsidP="00B42834">
      <w:pPr>
        <w:pStyle w:val="NoSpacing"/>
        <w:rPr>
          <w:rFonts w:cs="Open Sans"/>
        </w:rPr>
      </w:pPr>
      <w:r>
        <w:rPr>
          <w:rFonts w:cs="Open Sans"/>
        </w:rPr>
        <w:t xml:space="preserve">The Commission would be happy to answer any queries. </w:t>
      </w:r>
    </w:p>
    <w:p w14:paraId="4EF670BD" w14:textId="77777777" w:rsidR="0077355C" w:rsidRPr="00F305E1" w:rsidRDefault="0077355C" w:rsidP="00B42834">
      <w:pPr>
        <w:pStyle w:val="NoSpacing"/>
        <w:rPr>
          <w:rFonts w:cs="Open Sans"/>
        </w:rPr>
      </w:pPr>
    </w:p>
    <w:p w14:paraId="3492F9CD" w14:textId="2D23D4F0" w:rsidR="00B42834" w:rsidRPr="00F305E1" w:rsidRDefault="00B42834" w:rsidP="00B42834">
      <w:pPr>
        <w:pStyle w:val="NoSpacing"/>
        <w:rPr>
          <w:rFonts w:cs="Open Sans"/>
        </w:rPr>
      </w:pPr>
      <w:r w:rsidRPr="00F305E1">
        <w:rPr>
          <w:rFonts w:cs="Open Sans"/>
        </w:rPr>
        <w:t xml:space="preserve">Yours </w:t>
      </w:r>
      <w:r w:rsidR="00EB747A">
        <w:rPr>
          <w:rFonts w:cs="Open Sans"/>
        </w:rPr>
        <w:t>faithfully</w:t>
      </w:r>
    </w:p>
    <w:p w14:paraId="05860345" w14:textId="77777777" w:rsidR="00B42834" w:rsidRPr="00F305E1" w:rsidRDefault="00B42834" w:rsidP="00B42834">
      <w:pPr>
        <w:pStyle w:val="NoSpacing"/>
        <w:spacing w:before="240" w:after="240"/>
        <w:rPr>
          <w:rFonts w:cs="Open Sans"/>
        </w:rPr>
      </w:pPr>
    </w:p>
    <w:p w14:paraId="7F7D0EA0" w14:textId="77777777" w:rsidR="00EB215E" w:rsidRPr="00F305E1" w:rsidRDefault="00EB215E" w:rsidP="00EB215E">
      <w:pPr>
        <w:pStyle w:val="AddressBlock"/>
        <w:spacing w:before="0"/>
        <w:rPr>
          <w:rFonts w:cs="Open Sans"/>
        </w:rPr>
      </w:pPr>
      <w:r w:rsidRPr="00F305E1">
        <w:rPr>
          <w:rFonts w:cs="Open Sans"/>
        </w:rPr>
        <w:t>Edward Santow</w:t>
      </w:r>
    </w:p>
    <w:p w14:paraId="7BA70C6D" w14:textId="77777777" w:rsidR="00EB215E" w:rsidRPr="00F305E1" w:rsidRDefault="00EB215E" w:rsidP="00EB215E">
      <w:pPr>
        <w:pStyle w:val="AddressBlock"/>
        <w:spacing w:before="0"/>
        <w:rPr>
          <w:rFonts w:cs="Open Sans"/>
          <w:b/>
        </w:rPr>
      </w:pPr>
      <w:r w:rsidRPr="00F305E1">
        <w:rPr>
          <w:rFonts w:cs="Open Sans"/>
          <w:b/>
        </w:rPr>
        <w:t xml:space="preserve">Human Rights Commissioner </w:t>
      </w:r>
    </w:p>
    <w:p w14:paraId="5294BEFD" w14:textId="77777777" w:rsidR="00EB215E" w:rsidRPr="00F305E1" w:rsidRDefault="00EB215E" w:rsidP="00EB215E">
      <w:pPr>
        <w:spacing w:before="0" w:after="0"/>
        <w:rPr>
          <w:rFonts w:cs="Open Sans"/>
        </w:rPr>
      </w:pPr>
    </w:p>
    <w:p w14:paraId="487287DE" w14:textId="77777777" w:rsidR="00B42834" w:rsidRPr="00F305E1" w:rsidRDefault="00B42834" w:rsidP="00764A10">
      <w:pPr>
        <w:pStyle w:val="NoSpacing"/>
        <w:spacing w:after="120"/>
        <w:ind w:left="720"/>
        <w:rPr>
          <w:rFonts w:cs="Open Sans"/>
          <w:b/>
        </w:rPr>
      </w:pPr>
    </w:p>
    <w:p w14:paraId="1B005649" w14:textId="77777777" w:rsidR="001B20CD" w:rsidRPr="00F305E1" w:rsidRDefault="001B20CD">
      <w:pPr>
        <w:spacing w:before="0" w:after="0"/>
        <w:rPr>
          <w:rFonts w:cs="Open Sans"/>
          <w:b/>
          <w:color w:val="000000"/>
          <w:sz w:val="28"/>
          <w:szCs w:val="26"/>
        </w:rPr>
      </w:pPr>
      <w:r w:rsidRPr="00F305E1">
        <w:rPr>
          <w:rFonts w:cs="Open Sans"/>
        </w:rPr>
        <w:br w:type="page"/>
      </w:r>
      <w:bookmarkStart w:id="0" w:name="_GoBack"/>
      <w:bookmarkEnd w:id="0"/>
    </w:p>
    <w:p w14:paraId="23EE953C" w14:textId="52ACB39C" w:rsidR="004A40DA" w:rsidRPr="00D714A2" w:rsidRDefault="007410EC" w:rsidP="00CF17A2">
      <w:pPr>
        <w:pStyle w:val="Heading2"/>
        <w:spacing w:before="360" w:after="0"/>
        <w:jc w:val="center"/>
        <w:rPr>
          <w:rFonts w:cs="Open Sans"/>
          <w:sz w:val="30"/>
          <w:szCs w:val="30"/>
        </w:rPr>
      </w:pPr>
      <w:r w:rsidRPr="00D714A2">
        <w:rPr>
          <w:rFonts w:cs="Open Sans"/>
          <w:sz w:val="30"/>
          <w:szCs w:val="30"/>
        </w:rPr>
        <w:lastRenderedPageBreak/>
        <w:t>Attachment</w:t>
      </w:r>
      <w:r w:rsidR="00CF17A2" w:rsidRPr="00D714A2">
        <w:rPr>
          <w:rFonts w:cs="Open Sans"/>
          <w:sz w:val="30"/>
          <w:szCs w:val="30"/>
        </w:rPr>
        <w:t>—</w:t>
      </w:r>
      <w:r w:rsidR="00EB747A">
        <w:rPr>
          <w:rFonts w:cs="Open Sans"/>
          <w:sz w:val="30"/>
          <w:szCs w:val="30"/>
        </w:rPr>
        <w:t>mitigating</w:t>
      </w:r>
      <w:r w:rsidR="00053619" w:rsidRPr="00D714A2">
        <w:rPr>
          <w:rFonts w:cs="Open Sans"/>
          <w:sz w:val="30"/>
          <w:szCs w:val="30"/>
        </w:rPr>
        <w:t xml:space="preserve"> </w:t>
      </w:r>
      <w:r w:rsidR="00860455" w:rsidRPr="00D714A2">
        <w:rPr>
          <w:rFonts w:cs="Open Sans"/>
          <w:sz w:val="30"/>
          <w:szCs w:val="30"/>
        </w:rPr>
        <w:t xml:space="preserve">five </w:t>
      </w:r>
      <w:r w:rsidR="00CF17A2" w:rsidRPr="00D714A2">
        <w:rPr>
          <w:rFonts w:cs="Open Sans"/>
          <w:sz w:val="30"/>
          <w:szCs w:val="30"/>
        </w:rPr>
        <w:t xml:space="preserve">significant human rights concerns about the </w:t>
      </w:r>
      <w:r w:rsidR="00B86982" w:rsidRPr="00D714A2">
        <w:rPr>
          <w:rFonts w:cs="Open Sans"/>
          <w:i/>
          <w:sz w:val="30"/>
          <w:szCs w:val="30"/>
        </w:rPr>
        <w:t>Telecommunications and Other Legislation Amendment (Assistance and Access) Act 2018</w:t>
      </w:r>
      <w:r w:rsidR="00B86982" w:rsidRPr="00D714A2">
        <w:rPr>
          <w:rFonts w:cs="Open Sans"/>
          <w:sz w:val="30"/>
          <w:szCs w:val="30"/>
        </w:rPr>
        <w:t xml:space="preserve"> (Cth)</w:t>
      </w:r>
    </w:p>
    <w:p w14:paraId="24310950" w14:textId="4EF2CC8B" w:rsidR="004A40DA" w:rsidRPr="00F305E1" w:rsidRDefault="004A40DA" w:rsidP="00105848">
      <w:pPr>
        <w:rPr>
          <w:rFonts w:cs="Open Sans"/>
          <w:i/>
        </w:rPr>
      </w:pPr>
      <w:r w:rsidRPr="00F305E1">
        <w:rPr>
          <w:rFonts w:cs="Open Sans"/>
          <w:b/>
          <w:i/>
          <w:sz w:val="28"/>
        </w:rPr>
        <w:t>Schedule 1 of the TOLA Act</w:t>
      </w:r>
    </w:p>
    <w:p w14:paraId="14DC6C81" w14:textId="5B8EF999" w:rsidR="004A40DA" w:rsidRPr="00F305E1" w:rsidRDefault="004A40DA" w:rsidP="00ED1AC1">
      <w:pPr>
        <w:pStyle w:val="Heading2"/>
        <w:numPr>
          <w:ilvl w:val="0"/>
          <w:numId w:val="39"/>
        </w:numPr>
        <w:spacing w:before="360" w:after="0"/>
        <w:rPr>
          <w:rFonts w:eastAsia="MS Mincho" w:cs="Open Sans"/>
          <w:color w:val="auto"/>
          <w:sz w:val="24"/>
          <w:szCs w:val="24"/>
          <w:u w:val="single"/>
        </w:rPr>
      </w:pPr>
      <w:r w:rsidRPr="00F305E1">
        <w:rPr>
          <w:rFonts w:eastAsia="MS Mincho" w:cs="Open Sans"/>
          <w:color w:val="auto"/>
          <w:sz w:val="24"/>
          <w:szCs w:val="24"/>
          <w:u w:val="single"/>
        </w:rPr>
        <w:t>Lack of a requirement for judicial authorisation for assistance notices</w:t>
      </w:r>
    </w:p>
    <w:p w14:paraId="673B6083" w14:textId="77777777" w:rsidR="004A40DA" w:rsidRPr="00F305E1" w:rsidRDefault="004A40DA" w:rsidP="00ED1AC1">
      <w:pPr>
        <w:pStyle w:val="NoSpacing"/>
        <w:rPr>
          <w:rFonts w:cs="Open Sans"/>
          <w:b/>
        </w:rPr>
      </w:pPr>
    </w:p>
    <w:p w14:paraId="0A8F424E" w14:textId="398A5576" w:rsidR="004A40DA" w:rsidRPr="00F305E1" w:rsidRDefault="004A40DA" w:rsidP="004F4432">
      <w:pPr>
        <w:pStyle w:val="NoSpacing"/>
        <w:numPr>
          <w:ilvl w:val="0"/>
          <w:numId w:val="42"/>
        </w:numPr>
        <w:rPr>
          <w:rFonts w:cs="Open Sans"/>
        </w:rPr>
      </w:pPr>
      <w:r w:rsidRPr="00F305E1">
        <w:rPr>
          <w:rFonts w:cs="Open Sans"/>
        </w:rPr>
        <w:t xml:space="preserve">The </w:t>
      </w:r>
      <w:r w:rsidRPr="00F305E1">
        <w:rPr>
          <w:rFonts w:cs="Open Sans"/>
          <w:i/>
        </w:rPr>
        <w:t>Telecommunications and Other Legislation Amendment (Assistance and Access) Act 2018</w:t>
      </w:r>
      <w:r w:rsidRPr="00F305E1">
        <w:rPr>
          <w:rFonts w:cs="Open Sans"/>
        </w:rPr>
        <w:t xml:space="preserve"> (Cth) (the TOLA Act)</w:t>
      </w:r>
      <w:r>
        <w:rPr>
          <w:rFonts w:cs="Open Sans"/>
        </w:rPr>
        <w:t xml:space="preserve"> </w:t>
      </w:r>
      <w:r w:rsidRPr="00F305E1">
        <w:rPr>
          <w:rFonts w:cs="Open Sans"/>
        </w:rPr>
        <w:t xml:space="preserve">introduced new powers under which </w:t>
      </w:r>
      <w:r>
        <w:rPr>
          <w:rFonts w:cs="Open Sans"/>
        </w:rPr>
        <w:t xml:space="preserve">designated </w:t>
      </w:r>
      <w:r w:rsidRPr="00F305E1">
        <w:rPr>
          <w:rFonts w:cs="Open Sans"/>
        </w:rPr>
        <w:t xml:space="preserve">communications providers </w:t>
      </w:r>
      <w:r>
        <w:rPr>
          <w:rFonts w:cs="Open Sans"/>
        </w:rPr>
        <w:t xml:space="preserve">(providers) </w:t>
      </w:r>
      <w:r w:rsidRPr="00F305E1">
        <w:rPr>
          <w:rFonts w:cs="Open Sans"/>
        </w:rPr>
        <w:t xml:space="preserve">can be compelled to provide certain government agencies with various forms of technical assistance. </w:t>
      </w:r>
    </w:p>
    <w:p w14:paraId="3F64E592" w14:textId="77777777" w:rsidR="004A40DA" w:rsidRPr="00F305E1" w:rsidRDefault="004A40DA" w:rsidP="008E4A88">
      <w:pPr>
        <w:pStyle w:val="NoSpacing"/>
        <w:ind w:left="567"/>
        <w:rPr>
          <w:rFonts w:cs="Open Sans"/>
        </w:rPr>
      </w:pPr>
    </w:p>
    <w:p w14:paraId="02EDB9C2" w14:textId="67084044" w:rsidR="004A40DA" w:rsidRPr="00F305E1" w:rsidRDefault="004A40DA" w:rsidP="00D900D0">
      <w:pPr>
        <w:pStyle w:val="NoSpacing"/>
        <w:numPr>
          <w:ilvl w:val="0"/>
          <w:numId w:val="42"/>
        </w:numPr>
        <w:rPr>
          <w:rFonts w:cs="Open Sans"/>
        </w:rPr>
      </w:pPr>
      <w:r w:rsidRPr="00F305E1">
        <w:rPr>
          <w:rFonts w:cs="Open Sans"/>
        </w:rPr>
        <w:t xml:space="preserve">As explained </w:t>
      </w:r>
      <w:r w:rsidR="00D900D0">
        <w:rPr>
          <w:rFonts w:cs="Open Sans"/>
        </w:rPr>
        <w:t>in the Commission’s</w:t>
      </w:r>
      <w:r w:rsidRPr="00F305E1">
        <w:rPr>
          <w:rFonts w:cs="Open Sans"/>
        </w:rPr>
        <w:t xml:space="preserve"> </w:t>
      </w:r>
      <w:r w:rsidR="00D900D0" w:rsidRPr="00D900D0">
        <w:rPr>
          <w:rFonts w:cs="Open Sans"/>
        </w:rPr>
        <w:t>submi</w:t>
      </w:r>
      <w:r w:rsidR="00D900D0">
        <w:rPr>
          <w:rFonts w:cs="Open Sans"/>
        </w:rPr>
        <w:t>ssion on the TOLA Bill dated 12 </w:t>
      </w:r>
      <w:r w:rsidR="00D900D0" w:rsidRPr="00D900D0">
        <w:rPr>
          <w:rFonts w:cs="Open Sans"/>
        </w:rPr>
        <w:t>Oct</w:t>
      </w:r>
      <w:r w:rsidR="00D900D0">
        <w:rPr>
          <w:rFonts w:cs="Open Sans"/>
        </w:rPr>
        <w:t>ober 2018 (the previous submission)</w:t>
      </w:r>
      <w:r w:rsidRPr="00D900D0">
        <w:rPr>
          <w:rFonts w:cs="Open Sans"/>
        </w:rPr>
        <w:t>,</w:t>
      </w:r>
      <w:r w:rsidRPr="00F305E1">
        <w:rPr>
          <w:rFonts w:cs="Open Sans"/>
        </w:rPr>
        <w:t xml:space="preserve"> the Commission considers that: </w:t>
      </w:r>
    </w:p>
    <w:p w14:paraId="6D413AEE" w14:textId="77777777" w:rsidR="004A40DA" w:rsidRPr="00F305E1" w:rsidRDefault="004A40DA" w:rsidP="00D42019">
      <w:pPr>
        <w:pStyle w:val="NoSpacing"/>
        <w:ind w:left="567"/>
        <w:rPr>
          <w:rFonts w:cs="Open Sans"/>
        </w:rPr>
      </w:pPr>
    </w:p>
    <w:p w14:paraId="4F7966D5" w14:textId="23CC224E" w:rsidR="004A40DA" w:rsidRPr="00F305E1" w:rsidRDefault="004A40DA" w:rsidP="00D900D0">
      <w:pPr>
        <w:pStyle w:val="NoSpacing"/>
        <w:numPr>
          <w:ilvl w:val="1"/>
          <w:numId w:val="42"/>
        </w:numPr>
        <w:rPr>
          <w:rFonts w:cs="Open Sans"/>
        </w:rPr>
      </w:pPr>
      <w:r w:rsidRPr="00F305E1">
        <w:rPr>
          <w:rFonts w:cs="Open Sans"/>
        </w:rPr>
        <w:t>agencies should not be able to compel technical assistance without first obtaining independent judicial authorisation (see Recommendation 28</w:t>
      </w:r>
      <w:r w:rsidR="00D900D0">
        <w:rPr>
          <w:rFonts w:cs="Open Sans"/>
        </w:rPr>
        <w:t xml:space="preserve"> in the previous submission</w:t>
      </w:r>
      <w:r w:rsidRPr="00F305E1">
        <w:rPr>
          <w:rFonts w:cs="Open Sans"/>
        </w:rPr>
        <w:t>)</w:t>
      </w:r>
    </w:p>
    <w:p w14:paraId="70F0B8E7" w14:textId="15312342" w:rsidR="004A40DA" w:rsidRPr="00F305E1" w:rsidRDefault="004A40DA" w:rsidP="0050138D">
      <w:pPr>
        <w:pStyle w:val="NoSpacing"/>
        <w:numPr>
          <w:ilvl w:val="1"/>
          <w:numId w:val="42"/>
        </w:numPr>
        <w:rPr>
          <w:rFonts w:cs="Open Sans"/>
        </w:rPr>
      </w:pPr>
      <w:r w:rsidRPr="00F305E1">
        <w:rPr>
          <w:rFonts w:cs="Open Sans"/>
        </w:rPr>
        <w:t xml:space="preserve">providers </w:t>
      </w:r>
      <w:r w:rsidRPr="0050138D">
        <w:rPr>
          <w:rFonts w:cs="Open Sans"/>
        </w:rPr>
        <w:t xml:space="preserve">who receive notices compelling them to provide technical assistance </w:t>
      </w:r>
      <w:r w:rsidRPr="00F305E1">
        <w:rPr>
          <w:rFonts w:cs="Open Sans"/>
        </w:rPr>
        <w:t xml:space="preserve">should have access to independent merits review of decisions made under Pt 15 of the </w:t>
      </w:r>
      <w:r w:rsidRPr="00F305E1">
        <w:rPr>
          <w:rFonts w:cs="Open Sans"/>
          <w:i/>
        </w:rPr>
        <w:t>Telecommunications Act 1997</w:t>
      </w:r>
      <w:r w:rsidRPr="00F305E1">
        <w:rPr>
          <w:rFonts w:cs="Open Sans"/>
        </w:rPr>
        <w:t xml:space="preserve"> (Cth) (</w:t>
      </w:r>
      <w:r>
        <w:rPr>
          <w:rFonts w:cs="Open Sans"/>
        </w:rPr>
        <w:t xml:space="preserve">the </w:t>
      </w:r>
      <w:r w:rsidRPr="00F305E1">
        <w:rPr>
          <w:rFonts w:cs="Open Sans"/>
        </w:rPr>
        <w:t xml:space="preserve">Telecommunications Act), including of a decision to </w:t>
      </w:r>
      <w:r>
        <w:rPr>
          <w:rFonts w:cs="Open Sans"/>
        </w:rPr>
        <w:t>give</w:t>
      </w:r>
      <w:r w:rsidRPr="00F305E1">
        <w:rPr>
          <w:rFonts w:cs="Open Sans"/>
        </w:rPr>
        <w:t xml:space="preserve"> a notice (see previous Recommendations 14 and 31) </w:t>
      </w:r>
    </w:p>
    <w:p w14:paraId="5550F86D" w14:textId="52E2E5A1" w:rsidR="004A40DA" w:rsidRPr="00F305E1" w:rsidRDefault="004A40DA" w:rsidP="00D42019">
      <w:pPr>
        <w:pStyle w:val="NoSpacing"/>
        <w:numPr>
          <w:ilvl w:val="1"/>
          <w:numId w:val="42"/>
        </w:numPr>
        <w:rPr>
          <w:rFonts w:cs="Open Sans"/>
        </w:rPr>
      </w:pPr>
      <w:r w:rsidRPr="00F305E1">
        <w:rPr>
          <w:rFonts w:cs="Open Sans"/>
        </w:rPr>
        <w:t xml:space="preserve">providers should have access to judicial review under the </w:t>
      </w:r>
      <w:r w:rsidRPr="00F305E1">
        <w:rPr>
          <w:rFonts w:cs="Open Sans"/>
          <w:i/>
        </w:rPr>
        <w:t>Administrative Decisions (Judicial Review) Act 1977</w:t>
      </w:r>
      <w:r w:rsidRPr="00F305E1">
        <w:rPr>
          <w:rFonts w:cs="Open Sans"/>
        </w:rPr>
        <w:t xml:space="preserve"> (Cth) (see previous Recommendation 30). </w:t>
      </w:r>
    </w:p>
    <w:p w14:paraId="321D7CE4" w14:textId="77777777" w:rsidR="004A40DA" w:rsidRPr="00F305E1" w:rsidRDefault="004A40DA" w:rsidP="00D42019">
      <w:pPr>
        <w:pStyle w:val="NoSpacing"/>
        <w:ind w:left="720"/>
        <w:rPr>
          <w:rFonts w:cs="Open Sans"/>
        </w:rPr>
      </w:pPr>
    </w:p>
    <w:p w14:paraId="5BFC50E3" w14:textId="1F86D123" w:rsidR="004A40DA" w:rsidRPr="00F305E1" w:rsidRDefault="004A40DA" w:rsidP="00237106">
      <w:pPr>
        <w:pStyle w:val="NoSpacing"/>
        <w:ind w:left="567"/>
        <w:rPr>
          <w:rFonts w:cs="Open Sans"/>
        </w:rPr>
      </w:pPr>
      <w:r w:rsidRPr="00F305E1">
        <w:rPr>
          <w:rFonts w:cs="Open Sans"/>
        </w:rPr>
        <w:t>The Government amendments do not give effect to these</w:t>
      </w:r>
      <w:r>
        <w:rPr>
          <w:rFonts w:cs="Open Sans"/>
        </w:rPr>
        <w:t xml:space="preserve"> </w:t>
      </w:r>
      <w:r w:rsidRPr="00F305E1">
        <w:rPr>
          <w:rFonts w:cs="Open Sans"/>
        </w:rPr>
        <w:t>recommendations.</w:t>
      </w:r>
    </w:p>
    <w:p w14:paraId="7393E5DC" w14:textId="77777777" w:rsidR="004A40DA" w:rsidRPr="00F305E1" w:rsidRDefault="004A40DA" w:rsidP="00ED1AC1">
      <w:pPr>
        <w:pStyle w:val="NoSpacing"/>
        <w:ind w:left="360"/>
        <w:rPr>
          <w:rFonts w:cs="Open Sans"/>
        </w:rPr>
      </w:pPr>
    </w:p>
    <w:p w14:paraId="4F2DE971" w14:textId="6F01372B" w:rsidR="004A40DA" w:rsidRPr="00F305E1" w:rsidRDefault="004A40DA" w:rsidP="004F4432">
      <w:pPr>
        <w:pStyle w:val="NoSpacing"/>
        <w:numPr>
          <w:ilvl w:val="0"/>
          <w:numId w:val="42"/>
        </w:numPr>
        <w:rPr>
          <w:rFonts w:cs="Open Sans"/>
        </w:rPr>
      </w:pPr>
      <w:r w:rsidRPr="00F305E1">
        <w:rPr>
          <w:rFonts w:cs="Open Sans"/>
        </w:rPr>
        <w:t>The Commission welcomes the amendment to the Telecommunications and Other Legislation Amendment (Assistance and Access) Bill 2018 (the TOLA Bill)</w:t>
      </w:r>
      <w:r>
        <w:rPr>
          <w:rFonts w:cs="Open Sans"/>
        </w:rPr>
        <w:t xml:space="preserve">, </w:t>
      </w:r>
      <w:r w:rsidRPr="00F305E1">
        <w:rPr>
          <w:rFonts w:cs="Open Sans"/>
        </w:rPr>
        <w:t xml:space="preserve">introducing the assessment process set out in what is now s 317WA of the Telecommunications Act. This process allows </w:t>
      </w:r>
      <w:r>
        <w:rPr>
          <w:rFonts w:cs="Open Sans"/>
        </w:rPr>
        <w:t xml:space="preserve">affected </w:t>
      </w:r>
      <w:r w:rsidRPr="00F305E1">
        <w:rPr>
          <w:rFonts w:cs="Open Sans"/>
        </w:rPr>
        <w:t>providers to request an assessment</w:t>
      </w:r>
      <w:r>
        <w:rPr>
          <w:rFonts w:cs="Open Sans"/>
        </w:rPr>
        <w:t xml:space="preserve"> of whether a </w:t>
      </w:r>
      <w:r w:rsidRPr="00F305E1">
        <w:rPr>
          <w:rFonts w:cs="Open Sans"/>
        </w:rPr>
        <w:t>proposed Technical Capability Notice (TCN)</w:t>
      </w:r>
      <w:r>
        <w:rPr>
          <w:rFonts w:cs="Open Sans"/>
        </w:rPr>
        <w:t xml:space="preserve"> should be given</w:t>
      </w:r>
      <w:r w:rsidRPr="00F305E1">
        <w:rPr>
          <w:rFonts w:cs="Open Sans"/>
        </w:rPr>
        <w:t xml:space="preserve">. </w:t>
      </w:r>
    </w:p>
    <w:p w14:paraId="11867343" w14:textId="77777777" w:rsidR="004A40DA" w:rsidRPr="00F305E1" w:rsidRDefault="004A40DA" w:rsidP="00D42019">
      <w:pPr>
        <w:pStyle w:val="NoSpacing"/>
        <w:ind w:left="567"/>
        <w:rPr>
          <w:rFonts w:cs="Open Sans"/>
        </w:rPr>
      </w:pPr>
    </w:p>
    <w:p w14:paraId="661518E8" w14:textId="694CD3D7" w:rsidR="004A40DA" w:rsidRPr="00F305E1" w:rsidRDefault="004A40DA" w:rsidP="004F4432">
      <w:pPr>
        <w:pStyle w:val="NoSpacing"/>
        <w:numPr>
          <w:ilvl w:val="0"/>
          <w:numId w:val="42"/>
        </w:numPr>
        <w:rPr>
          <w:rFonts w:cs="Open Sans"/>
        </w:rPr>
      </w:pPr>
      <w:r w:rsidRPr="00F305E1">
        <w:rPr>
          <w:rFonts w:cs="Open Sans"/>
        </w:rPr>
        <w:t xml:space="preserve">However, there is still no requirement that judicial authorisation be obtained before a TCN or a Technical Assistance Notice (TAN) is given. This </w:t>
      </w:r>
      <w:r w:rsidRPr="00F305E1">
        <w:rPr>
          <w:rFonts w:cs="Open Sans"/>
        </w:rPr>
        <w:lastRenderedPageBreak/>
        <w:t xml:space="preserve">process </w:t>
      </w:r>
      <w:r w:rsidR="00493FF4">
        <w:rPr>
          <w:rFonts w:cs="Open Sans"/>
        </w:rPr>
        <w:t>does not ensure</w:t>
      </w:r>
      <w:r w:rsidRPr="00F305E1">
        <w:rPr>
          <w:rFonts w:cs="Open Sans"/>
        </w:rPr>
        <w:t xml:space="preserve"> robust, independent and transparent decision</w:t>
      </w:r>
      <w:r>
        <w:rPr>
          <w:rFonts w:cs="Open Sans"/>
        </w:rPr>
        <w:t xml:space="preserve"> </w:t>
      </w:r>
      <w:r w:rsidRPr="00F305E1">
        <w:rPr>
          <w:rFonts w:cs="Open Sans"/>
        </w:rPr>
        <w:t xml:space="preserve">making in relation to the giving of notices. The Commission repeats its previous recommendations 14, 28, 30 and 31, for the reasons given in its previous submission. </w:t>
      </w:r>
    </w:p>
    <w:p w14:paraId="34B23FC4" w14:textId="76B241A6" w:rsidR="004A40DA" w:rsidRPr="00F305E1" w:rsidRDefault="004A40DA" w:rsidP="00ED1AC1">
      <w:pPr>
        <w:pStyle w:val="NoSpacing"/>
        <w:rPr>
          <w:rFonts w:cs="Open Sans"/>
        </w:rPr>
      </w:pPr>
      <w:r w:rsidRPr="00F305E1">
        <w:rPr>
          <w:rFonts w:cs="Open Sans"/>
        </w:rPr>
        <w:t xml:space="preserve"> </w:t>
      </w:r>
    </w:p>
    <w:p w14:paraId="57DAF077" w14:textId="6D102A25" w:rsidR="004A40DA" w:rsidRPr="00F305E1" w:rsidRDefault="004A40DA" w:rsidP="004F4432">
      <w:pPr>
        <w:pStyle w:val="NoSpacing"/>
        <w:numPr>
          <w:ilvl w:val="0"/>
          <w:numId w:val="42"/>
        </w:numPr>
        <w:rPr>
          <w:rFonts w:cs="Open Sans"/>
        </w:rPr>
      </w:pPr>
      <w:r w:rsidRPr="00F305E1">
        <w:rPr>
          <w:rFonts w:cs="Open Sans"/>
        </w:rPr>
        <w:t xml:space="preserve">If, contrary to </w:t>
      </w:r>
      <w:r>
        <w:rPr>
          <w:rFonts w:cs="Open Sans"/>
        </w:rPr>
        <w:t>its previous</w:t>
      </w:r>
      <w:r w:rsidRPr="00F305E1">
        <w:rPr>
          <w:rFonts w:cs="Open Sans"/>
        </w:rPr>
        <w:t xml:space="preserve"> recommendation, a requirement for judicial authorisation is not introduced, the effectiveness of s 317WA could be enhanced by making the outcome of the assessment process </w:t>
      </w:r>
      <w:r>
        <w:rPr>
          <w:rFonts w:cs="Open Sans"/>
        </w:rPr>
        <w:t>binding</w:t>
      </w:r>
      <w:r w:rsidRPr="00F305E1">
        <w:rPr>
          <w:rFonts w:cs="Open Sans"/>
        </w:rPr>
        <w:t xml:space="preserve">. A commensurate assessment process should also apply </w:t>
      </w:r>
      <w:r>
        <w:rPr>
          <w:rFonts w:cs="Open Sans"/>
        </w:rPr>
        <w:t xml:space="preserve">to </w:t>
      </w:r>
      <w:r w:rsidRPr="00F305E1">
        <w:rPr>
          <w:rFonts w:cs="Open Sans"/>
        </w:rPr>
        <w:t>TANs</w:t>
      </w:r>
      <w:r w:rsidR="00317AC6">
        <w:rPr>
          <w:rFonts w:cs="Open Sans"/>
        </w:rPr>
        <w:t xml:space="preserve"> and TARs</w:t>
      </w:r>
      <w:r w:rsidRPr="00F305E1">
        <w:rPr>
          <w:rFonts w:cs="Open Sans"/>
        </w:rPr>
        <w:t xml:space="preserve">, as well as TCNs. </w:t>
      </w:r>
    </w:p>
    <w:p w14:paraId="4C25F712" w14:textId="77777777" w:rsidR="004A40DA" w:rsidRPr="00F305E1" w:rsidRDefault="004A40DA" w:rsidP="00ED1AC1">
      <w:pPr>
        <w:pStyle w:val="NoSpacing"/>
        <w:ind w:left="360"/>
        <w:rPr>
          <w:rFonts w:cs="Open Sans"/>
        </w:rPr>
      </w:pPr>
    </w:p>
    <w:p w14:paraId="601504CF" w14:textId="0FF4867F" w:rsidR="004A40DA" w:rsidRPr="00F305E1" w:rsidRDefault="004A40DA" w:rsidP="004F4432">
      <w:pPr>
        <w:pStyle w:val="NoSpacing"/>
        <w:numPr>
          <w:ilvl w:val="0"/>
          <w:numId w:val="42"/>
        </w:numPr>
        <w:rPr>
          <w:rFonts w:cs="Open Sans"/>
        </w:rPr>
      </w:pPr>
      <w:r>
        <w:rPr>
          <w:rFonts w:cs="Open Sans"/>
        </w:rPr>
        <w:t>As noted above, s</w:t>
      </w:r>
      <w:r w:rsidRPr="00F305E1">
        <w:rPr>
          <w:rFonts w:cs="Open Sans"/>
        </w:rPr>
        <w:t xml:space="preserve"> 317WA allows the recipient of a</w:t>
      </w:r>
      <w:r>
        <w:rPr>
          <w:rFonts w:cs="Open Sans"/>
        </w:rPr>
        <w:t xml:space="preserve"> proposed</w:t>
      </w:r>
      <w:r w:rsidRPr="00F305E1">
        <w:rPr>
          <w:rFonts w:cs="Open Sans"/>
        </w:rPr>
        <w:t xml:space="preserve"> TCN to request an assessment of whether the notice should be given. Following such a request, the provision currently allows for two assessors, being a person with relevant technical expertise and a former judge, to consider whether the building of the new capability would contravene the ‘systemic weakness’ limitation </w:t>
      </w:r>
      <w:r w:rsidR="001C0633">
        <w:rPr>
          <w:rFonts w:cs="Open Sans"/>
        </w:rPr>
        <w:t xml:space="preserve">and/or the ‘systemic vulnerability’ limitation </w:t>
      </w:r>
      <w:r w:rsidRPr="00F305E1">
        <w:rPr>
          <w:rFonts w:cs="Open Sans"/>
        </w:rPr>
        <w:t>in s 317ZG</w:t>
      </w:r>
      <w:r w:rsidR="001C0633">
        <w:rPr>
          <w:rFonts w:cs="Open Sans"/>
        </w:rPr>
        <w:t xml:space="preserve"> (hereafter referred to as the ‘systemic weakness’ limitation)</w:t>
      </w:r>
      <w:r w:rsidRPr="00F305E1">
        <w:rPr>
          <w:rFonts w:cs="Open Sans"/>
        </w:rPr>
        <w:t>.</w:t>
      </w:r>
      <w:r w:rsidRPr="00F305E1">
        <w:rPr>
          <w:rStyle w:val="EndnoteReference"/>
          <w:rFonts w:cs="Open Sans"/>
        </w:rPr>
        <w:endnoteReference w:id="1"/>
      </w:r>
      <w:r w:rsidRPr="00F305E1">
        <w:rPr>
          <w:rFonts w:cs="Open Sans"/>
        </w:rPr>
        <w:t xml:space="preserve"> </w:t>
      </w:r>
    </w:p>
    <w:p w14:paraId="0F51EEFE" w14:textId="77777777" w:rsidR="004A40DA" w:rsidRPr="00F305E1" w:rsidRDefault="004A40DA" w:rsidP="005837B5">
      <w:pPr>
        <w:pStyle w:val="NoSpacing"/>
        <w:ind w:left="567"/>
        <w:rPr>
          <w:rFonts w:cs="Open Sans"/>
        </w:rPr>
      </w:pPr>
    </w:p>
    <w:p w14:paraId="374C243A" w14:textId="1AA2AB52" w:rsidR="004A40DA" w:rsidRDefault="004A40DA" w:rsidP="000E2CE3">
      <w:pPr>
        <w:pStyle w:val="NoSpacing"/>
        <w:numPr>
          <w:ilvl w:val="0"/>
          <w:numId w:val="42"/>
        </w:numPr>
        <w:rPr>
          <w:rFonts w:cs="Open Sans"/>
        </w:rPr>
      </w:pPr>
      <w:r w:rsidRPr="00F305E1">
        <w:rPr>
          <w:rFonts w:cs="Open Sans"/>
        </w:rPr>
        <w:t xml:space="preserve">Under s 317W(7), the assessors must also consider whether the requirements imposed by the proposed TCN are reasonable and proportionate, whether compliance is practicable and technically feasible, and whether it is the least intrusive measure that would be effective in achieving the legitimate objective of the proposed notice. </w:t>
      </w:r>
      <w:r>
        <w:rPr>
          <w:rFonts w:cs="Open Sans"/>
        </w:rPr>
        <w:t>Under s </w:t>
      </w:r>
      <w:r w:rsidRPr="000E2CE3">
        <w:rPr>
          <w:rFonts w:cs="Open Sans"/>
        </w:rPr>
        <w:t xml:space="preserve">317WA(11), the Attorney-General must ‘have regard’ to the resulting report of the assessors. That is, the decision of the assessors is </w:t>
      </w:r>
      <w:r w:rsidRPr="000E2CE3">
        <w:rPr>
          <w:rFonts w:cs="Open Sans"/>
          <w:i/>
        </w:rPr>
        <w:t>not binding</w:t>
      </w:r>
      <w:r w:rsidRPr="000E2CE3">
        <w:rPr>
          <w:rFonts w:cs="Open Sans"/>
        </w:rPr>
        <w:t xml:space="preserve"> and could ultimately be ignored. </w:t>
      </w:r>
    </w:p>
    <w:p w14:paraId="6D933583" w14:textId="77777777" w:rsidR="004A40DA" w:rsidRPr="000E2CE3" w:rsidRDefault="004A40DA" w:rsidP="000E2CE3">
      <w:pPr>
        <w:pStyle w:val="NoSpacing"/>
        <w:ind w:left="567"/>
        <w:rPr>
          <w:rFonts w:cs="Open Sans"/>
        </w:rPr>
      </w:pPr>
    </w:p>
    <w:p w14:paraId="60AAE092" w14:textId="6B5243CF" w:rsidR="004A40DA" w:rsidRDefault="004A40DA" w:rsidP="000E2CE3">
      <w:pPr>
        <w:pStyle w:val="NoSpacing"/>
        <w:numPr>
          <w:ilvl w:val="0"/>
          <w:numId w:val="42"/>
        </w:numPr>
        <w:rPr>
          <w:rFonts w:cs="Open Sans"/>
        </w:rPr>
      </w:pPr>
      <w:r w:rsidRPr="000E2CE3">
        <w:rPr>
          <w:rFonts w:cs="Open Sans"/>
        </w:rPr>
        <w:t>The</w:t>
      </w:r>
      <w:r>
        <w:rPr>
          <w:rFonts w:cs="Open Sans"/>
        </w:rPr>
        <w:t xml:space="preserve"> Commission considers that a non-binding form of assessment severely diminishes the integrity of the process and the</w:t>
      </w:r>
      <w:r w:rsidRPr="000E2CE3">
        <w:rPr>
          <w:rFonts w:cs="Open Sans"/>
        </w:rPr>
        <w:t xml:space="preserve"> utility of engaging experts</w:t>
      </w:r>
      <w:r>
        <w:rPr>
          <w:rFonts w:cs="Open Sans"/>
        </w:rPr>
        <w:t xml:space="preserve"> with technical knowledge and a degree of independence to review proposed TCNs.</w:t>
      </w:r>
      <w:r>
        <w:rPr>
          <w:rStyle w:val="EndnoteReference"/>
          <w:rFonts w:cs="Open Sans"/>
        </w:rPr>
        <w:endnoteReference w:id="2"/>
      </w:r>
      <w:r>
        <w:rPr>
          <w:rFonts w:cs="Open Sans"/>
        </w:rPr>
        <w:t xml:space="preserve"> </w:t>
      </w:r>
    </w:p>
    <w:p w14:paraId="3514E3FD" w14:textId="77777777" w:rsidR="004A40DA" w:rsidRDefault="004A40DA" w:rsidP="003B50D3">
      <w:pPr>
        <w:pStyle w:val="NoSpacing"/>
        <w:ind w:left="567"/>
        <w:rPr>
          <w:rFonts w:cs="Open Sans"/>
        </w:rPr>
      </w:pPr>
    </w:p>
    <w:p w14:paraId="086F325D" w14:textId="77777777" w:rsidR="00F334EB" w:rsidRDefault="004A40DA" w:rsidP="000E2CE3">
      <w:pPr>
        <w:pStyle w:val="NoSpacing"/>
        <w:numPr>
          <w:ilvl w:val="0"/>
          <w:numId w:val="42"/>
        </w:numPr>
        <w:rPr>
          <w:rFonts w:cs="Open Sans"/>
        </w:rPr>
      </w:pPr>
      <w:r w:rsidRPr="000E2CE3">
        <w:rPr>
          <w:rFonts w:cs="Open Sans"/>
        </w:rPr>
        <w:t xml:space="preserve">Further, the assessment process currently only applies to TCNs and not to other forms of technical assistance. TANs and </w:t>
      </w:r>
      <w:r>
        <w:rPr>
          <w:rFonts w:cs="Open Sans"/>
        </w:rPr>
        <w:t>Technical Assistance Requests (</w:t>
      </w:r>
      <w:r w:rsidRPr="000E2CE3">
        <w:rPr>
          <w:rFonts w:cs="Open Sans"/>
        </w:rPr>
        <w:t>TAR</w:t>
      </w:r>
      <w:r>
        <w:rPr>
          <w:rFonts w:cs="Open Sans"/>
        </w:rPr>
        <w:t>s)</w:t>
      </w:r>
      <w:r w:rsidRPr="000E2CE3">
        <w:rPr>
          <w:rFonts w:cs="Open Sans"/>
        </w:rPr>
        <w:t xml:space="preserve"> are also potentially onerous on those who receive them</w:t>
      </w:r>
      <w:r>
        <w:rPr>
          <w:rFonts w:cs="Open Sans"/>
        </w:rPr>
        <w:t>,</w:t>
      </w:r>
      <w:r w:rsidRPr="000E2CE3">
        <w:rPr>
          <w:rFonts w:cs="Open Sans"/>
        </w:rPr>
        <w:t xml:space="preserve"> and rights-intrusive for third parties. They could also potentially be </w:t>
      </w:r>
      <w:r>
        <w:rPr>
          <w:rFonts w:cs="Open Sans"/>
        </w:rPr>
        <w:t>given</w:t>
      </w:r>
      <w:r w:rsidRPr="000E2CE3">
        <w:rPr>
          <w:rFonts w:cs="Open Sans"/>
        </w:rPr>
        <w:t xml:space="preserve"> </w:t>
      </w:r>
      <w:r>
        <w:rPr>
          <w:rFonts w:cs="Open Sans"/>
        </w:rPr>
        <w:t xml:space="preserve">(or purportedly given) </w:t>
      </w:r>
      <w:r w:rsidR="00493FF4">
        <w:rPr>
          <w:rFonts w:cs="Open Sans"/>
        </w:rPr>
        <w:t>in any or all of the following circumstances:</w:t>
      </w:r>
    </w:p>
    <w:p w14:paraId="3712736B" w14:textId="77777777" w:rsidR="00F334EB" w:rsidRDefault="00F334EB" w:rsidP="00926437">
      <w:pPr>
        <w:pStyle w:val="NoSpacing"/>
        <w:ind w:left="720"/>
        <w:rPr>
          <w:rFonts w:cs="Open Sans"/>
        </w:rPr>
      </w:pPr>
    </w:p>
    <w:p w14:paraId="010CF90F" w14:textId="6D76C672" w:rsidR="00DB5C96" w:rsidRDefault="004A40DA" w:rsidP="00F334EB">
      <w:pPr>
        <w:pStyle w:val="NoSpacing"/>
        <w:numPr>
          <w:ilvl w:val="0"/>
          <w:numId w:val="44"/>
        </w:numPr>
        <w:rPr>
          <w:rFonts w:cs="Open Sans"/>
        </w:rPr>
      </w:pPr>
      <w:r w:rsidRPr="000E2CE3">
        <w:rPr>
          <w:rFonts w:cs="Open Sans"/>
        </w:rPr>
        <w:t xml:space="preserve">where </w:t>
      </w:r>
      <w:r w:rsidR="00FD547B">
        <w:rPr>
          <w:rFonts w:cs="Open Sans"/>
        </w:rPr>
        <w:t>the request is</w:t>
      </w:r>
      <w:r>
        <w:rPr>
          <w:rFonts w:cs="Open Sans"/>
        </w:rPr>
        <w:t xml:space="preserve"> not reasonable and proportionate</w:t>
      </w:r>
    </w:p>
    <w:p w14:paraId="5E97740C" w14:textId="3A1E3B32" w:rsidR="0088710D" w:rsidRDefault="004A40DA" w:rsidP="00F334EB">
      <w:pPr>
        <w:pStyle w:val="NoSpacing"/>
        <w:numPr>
          <w:ilvl w:val="0"/>
          <w:numId w:val="44"/>
        </w:numPr>
        <w:rPr>
          <w:rFonts w:cs="Open Sans"/>
        </w:rPr>
      </w:pPr>
      <w:r>
        <w:rPr>
          <w:rFonts w:cs="Open Sans"/>
        </w:rPr>
        <w:t xml:space="preserve">where compliance </w:t>
      </w:r>
      <w:r w:rsidR="00FD547B">
        <w:rPr>
          <w:rFonts w:cs="Open Sans"/>
        </w:rPr>
        <w:t xml:space="preserve">with the request </w:t>
      </w:r>
      <w:r>
        <w:rPr>
          <w:rFonts w:cs="Open Sans"/>
        </w:rPr>
        <w:t>is</w:t>
      </w:r>
      <w:r w:rsidRPr="000E2CE3">
        <w:rPr>
          <w:rFonts w:cs="Open Sans"/>
        </w:rPr>
        <w:t xml:space="preserve"> not </w:t>
      </w:r>
      <w:r>
        <w:rPr>
          <w:rFonts w:cs="Open Sans"/>
        </w:rPr>
        <w:t xml:space="preserve">practicable and </w:t>
      </w:r>
      <w:r w:rsidRPr="000E2CE3">
        <w:rPr>
          <w:rFonts w:cs="Open Sans"/>
        </w:rPr>
        <w:t xml:space="preserve">technically feasible </w:t>
      </w:r>
    </w:p>
    <w:p w14:paraId="4B91B960" w14:textId="77777777" w:rsidR="00FD547B" w:rsidRDefault="004A40DA" w:rsidP="00926437">
      <w:pPr>
        <w:pStyle w:val="NoSpacing"/>
        <w:numPr>
          <w:ilvl w:val="0"/>
          <w:numId w:val="44"/>
        </w:numPr>
        <w:rPr>
          <w:rFonts w:cs="Open Sans"/>
        </w:rPr>
      </w:pPr>
      <w:r>
        <w:rPr>
          <w:rFonts w:cs="Open Sans"/>
        </w:rPr>
        <w:lastRenderedPageBreak/>
        <w:t xml:space="preserve">where they </w:t>
      </w:r>
      <w:r w:rsidRPr="000E2CE3">
        <w:rPr>
          <w:rFonts w:cs="Open Sans"/>
        </w:rPr>
        <w:t xml:space="preserve">would not be the least intrusive </w:t>
      </w:r>
      <w:r>
        <w:rPr>
          <w:rFonts w:cs="Open Sans"/>
        </w:rPr>
        <w:t>form of assistance</w:t>
      </w:r>
    </w:p>
    <w:p w14:paraId="33443536" w14:textId="43F6ABBE" w:rsidR="004A40DA" w:rsidRPr="00FD547B" w:rsidRDefault="00FD547B" w:rsidP="00FD547B">
      <w:pPr>
        <w:pStyle w:val="NoSpacing"/>
        <w:numPr>
          <w:ilvl w:val="0"/>
          <w:numId w:val="44"/>
        </w:numPr>
        <w:rPr>
          <w:rFonts w:cs="Open Sans"/>
        </w:rPr>
      </w:pPr>
      <w:r w:rsidRPr="000E2CE3">
        <w:rPr>
          <w:rFonts w:cs="Open Sans"/>
        </w:rPr>
        <w:t>whe</w:t>
      </w:r>
      <w:r>
        <w:rPr>
          <w:rFonts w:cs="Open Sans"/>
        </w:rPr>
        <w:t>re other</w:t>
      </w:r>
      <w:r w:rsidRPr="000E2CE3">
        <w:rPr>
          <w:rFonts w:cs="Open Sans"/>
        </w:rPr>
        <w:t xml:space="preserve"> relevant requirements of the </w:t>
      </w:r>
      <w:r>
        <w:rPr>
          <w:rFonts w:cs="Open Sans"/>
        </w:rPr>
        <w:t xml:space="preserve">Telecommunications </w:t>
      </w:r>
      <w:r w:rsidRPr="000E2CE3">
        <w:rPr>
          <w:rFonts w:cs="Open Sans"/>
        </w:rPr>
        <w:t>Act are not met</w:t>
      </w:r>
      <w:r w:rsidR="004A40DA" w:rsidRPr="00FD547B">
        <w:rPr>
          <w:rFonts w:cs="Open Sans"/>
        </w:rPr>
        <w:t>.</w:t>
      </w:r>
    </w:p>
    <w:p w14:paraId="5D9A6C54" w14:textId="77777777" w:rsidR="004A40DA" w:rsidRDefault="004A40DA" w:rsidP="000E2CE3">
      <w:pPr>
        <w:pStyle w:val="NoSpacing"/>
        <w:ind w:left="567"/>
        <w:rPr>
          <w:rFonts w:cs="Open Sans"/>
        </w:rPr>
      </w:pPr>
    </w:p>
    <w:p w14:paraId="49210E2A" w14:textId="32BD660E" w:rsidR="004A40DA" w:rsidRPr="000E2CE3" w:rsidRDefault="004A40DA" w:rsidP="000E2CE3">
      <w:pPr>
        <w:pStyle w:val="NoSpacing"/>
        <w:numPr>
          <w:ilvl w:val="0"/>
          <w:numId w:val="42"/>
        </w:numPr>
        <w:rPr>
          <w:rFonts w:cs="Open Sans"/>
        </w:rPr>
      </w:pPr>
      <w:r w:rsidRPr="000E2CE3">
        <w:rPr>
          <w:rFonts w:cs="Open Sans"/>
        </w:rPr>
        <w:t>The Commission considers that TARs and TANs should be subject to either a similar assessment process to that established in s 317WA</w:t>
      </w:r>
      <w:r>
        <w:rPr>
          <w:rFonts w:cs="Open Sans"/>
        </w:rPr>
        <w:t xml:space="preserve"> or some other appropriate </w:t>
      </w:r>
      <w:r w:rsidRPr="000E2CE3">
        <w:rPr>
          <w:rFonts w:cs="Open Sans"/>
        </w:rPr>
        <w:t xml:space="preserve">form of independent review. </w:t>
      </w:r>
    </w:p>
    <w:p w14:paraId="1429491D" w14:textId="77777777" w:rsidR="004A40DA" w:rsidRPr="00F305E1" w:rsidRDefault="004A40DA" w:rsidP="00ED1AC1">
      <w:pPr>
        <w:pStyle w:val="NoSpacing"/>
        <w:ind w:left="360"/>
        <w:rPr>
          <w:rFonts w:cs="Open Sans"/>
        </w:rPr>
      </w:pPr>
    </w:p>
    <w:p w14:paraId="0EE68793" w14:textId="5DC89141" w:rsidR="004A40DA" w:rsidRPr="00F305E1" w:rsidRDefault="004A40DA" w:rsidP="004F4432">
      <w:pPr>
        <w:pStyle w:val="NoSpacing"/>
        <w:numPr>
          <w:ilvl w:val="0"/>
          <w:numId w:val="42"/>
        </w:numPr>
        <w:rPr>
          <w:rFonts w:cs="Open Sans"/>
        </w:rPr>
      </w:pPr>
      <w:r>
        <w:rPr>
          <w:rFonts w:cs="Open Sans"/>
        </w:rPr>
        <w:t>The Commission notes a further</w:t>
      </w:r>
      <w:r w:rsidRPr="00F305E1">
        <w:rPr>
          <w:rFonts w:cs="Open Sans"/>
        </w:rPr>
        <w:t xml:space="preserve"> </w:t>
      </w:r>
      <w:r>
        <w:rPr>
          <w:rFonts w:cs="Open Sans"/>
        </w:rPr>
        <w:t>change made to the</w:t>
      </w:r>
      <w:r w:rsidRPr="00F305E1">
        <w:rPr>
          <w:rFonts w:cs="Open Sans"/>
        </w:rPr>
        <w:t xml:space="preserve"> TOLA Bill </w:t>
      </w:r>
      <w:r>
        <w:rPr>
          <w:rFonts w:cs="Open Sans"/>
        </w:rPr>
        <w:t>that altered the oversight of the</w:t>
      </w:r>
      <w:r w:rsidRPr="00F305E1">
        <w:rPr>
          <w:rFonts w:cs="Open Sans"/>
        </w:rPr>
        <w:t xml:space="preserve"> TCN regime. </w:t>
      </w:r>
      <w:r>
        <w:rPr>
          <w:rFonts w:cs="Open Sans"/>
        </w:rPr>
        <w:t>Section</w:t>
      </w:r>
      <w:r w:rsidRPr="00F305E1">
        <w:rPr>
          <w:rFonts w:cs="Open Sans"/>
        </w:rPr>
        <w:t xml:space="preserve"> 317TAAA(1) </w:t>
      </w:r>
      <w:r>
        <w:rPr>
          <w:rFonts w:cs="Open Sans"/>
        </w:rPr>
        <w:t xml:space="preserve">of </w:t>
      </w:r>
      <w:r w:rsidRPr="00F305E1">
        <w:rPr>
          <w:rFonts w:cs="Open Sans"/>
        </w:rPr>
        <w:t>the Telecommunications Act</w:t>
      </w:r>
      <w:r>
        <w:rPr>
          <w:rFonts w:cs="Open Sans"/>
        </w:rPr>
        <w:t xml:space="preserve"> now</w:t>
      </w:r>
      <w:r w:rsidRPr="00F305E1">
        <w:rPr>
          <w:rFonts w:cs="Open Sans"/>
        </w:rPr>
        <w:t xml:space="preserve"> requires the Minister for Communications and the Arts to approve the giving of a TCN, in addition to the Attorney-General. </w:t>
      </w:r>
      <w:r>
        <w:rPr>
          <w:rFonts w:cs="Open Sans"/>
        </w:rPr>
        <w:t xml:space="preserve">However, </w:t>
      </w:r>
      <w:r w:rsidR="0077302C">
        <w:rPr>
          <w:rFonts w:cs="Open Sans"/>
        </w:rPr>
        <w:t xml:space="preserve">as these are both ministerial approvals, the Commission considers that </w:t>
      </w:r>
      <w:r w:rsidRPr="00F305E1">
        <w:rPr>
          <w:rFonts w:cs="Open Sans"/>
        </w:rPr>
        <w:t>this additional approval does little to enhance the independence of decision</w:t>
      </w:r>
      <w:r>
        <w:rPr>
          <w:rFonts w:cs="Open Sans"/>
        </w:rPr>
        <w:t xml:space="preserve"> </w:t>
      </w:r>
      <w:r w:rsidRPr="00F305E1">
        <w:rPr>
          <w:rFonts w:cs="Open Sans"/>
        </w:rPr>
        <w:t xml:space="preserve">making, especially </w:t>
      </w:r>
      <w:r w:rsidR="00CC139F">
        <w:rPr>
          <w:rFonts w:cs="Open Sans"/>
        </w:rPr>
        <w:t xml:space="preserve">as compared with the preferred scenario of </w:t>
      </w:r>
      <w:r w:rsidRPr="00F305E1">
        <w:rPr>
          <w:rFonts w:cs="Open Sans"/>
        </w:rPr>
        <w:t>independent judicial authorisation.</w:t>
      </w:r>
    </w:p>
    <w:p w14:paraId="596063E0" w14:textId="77777777" w:rsidR="004A40DA" w:rsidRPr="00F305E1" w:rsidRDefault="004A40DA" w:rsidP="00EF529B">
      <w:pPr>
        <w:pStyle w:val="NoSpacing"/>
        <w:ind w:left="360"/>
        <w:rPr>
          <w:rFonts w:cs="Open Sans"/>
        </w:rPr>
      </w:pPr>
    </w:p>
    <w:p w14:paraId="1A9FCB28" w14:textId="13BEE1A5" w:rsidR="004A40DA" w:rsidRPr="00F305E1" w:rsidRDefault="004A40DA" w:rsidP="004F4432">
      <w:pPr>
        <w:pStyle w:val="NoSpacing"/>
        <w:numPr>
          <w:ilvl w:val="0"/>
          <w:numId w:val="42"/>
        </w:numPr>
        <w:rPr>
          <w:rFonts w:cs="Open Sans"/>
        </w:rPr>
      </w:pPr>
      <w:r w:rsidRPr="00F305E1">
        <w:rPr>
          <w:rFonts w:cs="Open Sans"/>
        </w:rPr>
        <w:t xml:space="preserve">The Commission notes the amendments proposed in Sheet 8627 </w:t>
      </w:r>
      <w:r>
        <w:rPr>
          <w:rFonts w:cs="Open Sans"/>
        </w:rPr>
        <w:t>to the TOLA Bill</w:t>
      </w:r>
      <w:r w:rsidRPr="00F305E1">
        <w:rPr>
          <w:rFonts w:cs="Open Sans"/>
        </w:rPr>
        <w:t xml:space="preserve"> by Senator </w:t>
      </w:r>
      <w:r>
        <w:rPr>
          <w:rFonts w:cs="Open Sans"/>
        </w:rPr>
        <w:t>the Hon</w:t>
      </w:r>
      <w:r w:rsidRPr="00F305E1">
        <w:rPr>
          <w:rFonts w:cs="Open Sans"/>
        </w:rPr>
        <w:t xml:space="preserve"> Penny Wong on 6 December 2018, providing that an eligible judge must approve the giving or variation of a TAN or TCN, after being satisfied of certain matters on the basis of evidence. </w:t>
      </w:r>
      <w:r>
        <w:rPr>
          <w:rFonts w:cs="Open Sans"/>
        </w:rPr>
        <w:t>The Senate did not agree to that proposed amendment. It does not form part of the TOLA Act. However, t</w:t>
      </w:r>
      <w:r w:rsidRPr="00F305E1">
        <w:rPr>
          <w:rFonts w:cs="Open Sans"/>
        </w:rPr>
        <w:t>he Commission considers that th</w:t>
      </w:r>
      <w:r>
        <w:rPr>
          <w:rFonts w:cs="Open Sans"/>
        </w:rPr>
        <w:t>e</w:t>
      </w:r>
      <w:r w:rsidRPr="00F305E1">
        <w:rPr>
          <w:rFonts w:cs="Open Sans"/>
        </w:rPr>
        <w:t xml:space="preserve"> proposal</w:t>
      </w:r>
      <w:r>
        <w:rPr>
          <w:rFonts w:cs="Open Sans"/>
        </w:rPr>
        <w:t xml:space="preserve"> would</w:t>
      </w:r>
      <w:r w:rsidRPr="00F305E1">
        <w:rPr>
          <w:rFonts w:cs="Open Sans"/>
        </w:rPr>
        <w:t xml:space="preserve"> better address its human rights concerns, as compared to the current </w:t>
      </w:r>
      <w:r>
        <w:rPr>
          <w:rFonts w:cs="Open Sans"/>
        </w:rPr>
        <w:t>oversight</w:t>
      </w:r>
      <w:r w:rsidRPr="00F305E1">
        <w:rPr>
          <w:rFonts w:cs="Open Sans"/>
        </w:rPr>
        <w:t xml:space="preserve"> of the assistance scheme. </w:t>
      </w:r>
    </w:p>
    <w:p w14:paraId="4462E357" w14:textId="77777777" w:rsidR="004A40DA" w:rsidRPr="00F305E1" w:rsidRDefault="004A40DA" w:rsidP="00ED1AC1">
      <w:pPr>
        <w:pStyle w:val="NoSpacing"/>
        <w:rPr>
          <w:rFonts w:cs="Open Sans"/>
        </w:rPr>
      </w:pPr>
    </w:p>
    <w:p w14:paraId="7C4CFFC8" w14:textId="4D003008" w:rsidR="004A40DA" w:rsidRPr="007A71E1" w:rsidRDefault="004A40DA" w:rsidP="001A27F4">
      <w:pPr>
        <w:pStyle w:val="NoSpacing"/>
        <w:keepNext/>
        <w:spacing w:after="120"/>
        <w:ind w:left="720"/>
        <w:rPr>
          <w:rFonts w:cs="Open Sans"/>
          <w:b/>
        </w:rPr>
      </w:pPr>
      <w:r w:rsidRPr="007A71E1">
        <w:rPr>
          <w:rFonts w:cs="Open Sans"/>
          <w:b/>
        </w:rPr>
        <w:t>Recommendation B</w:t>
      </w:r>
    </w:p>
    <w:p w14:paraId="6B6346D3" w14:textId="648862BE" w:rsidR="004A40DA" w:rsidRPr="007A71E1" w:rsidRDefault="004A40DA" w:rsidP="001A27F4">
      <w:pPr>
        <w:pStyle w:val="NoSpacing"/>
        <w:keepNext/>
        <w:spacing w:after="120"/>
        <w:ind w:left="720"/>
        <w:rPr>
          <w:rFonts w:cs="Open Sans"/>
        </w:rPr>
      </w:pPr>
      <w:r w:rsidRPr="007A71E1">
        <w:rPr>
          <w:rFonts w:cs="Open Sans"/>
        </w:rPr>
        <w:t>The Commission’s previous recommendations 14, 28, 30 and 31 should be implemented in full, in particular that judicial authorisation be required for the giving or varying of notices</w:t>
      </w:r>
      <w:r>
        <w:rPr>
          <w:rFonts w:cs="Open Sans"/>
        </w:rPr>
        <w:t xml:space="preserve"> under the assistance scheme</w:t>
      </w:r>
      <w:r w:rsidRPr="007A71E1">
        <w:rPr>
          <w:rFonts w:cs="Open Sans"/>
        </w:rPr>
        <w:t>.</w:t>
      </w:r>
    </w:p>
    <w:p w14:paraId="0DAE63BE" w14:textId="055855D4" w:rsidR="004A40DA" w:rsidRPr="007A71E1" w:rsidRDefault="004A40DA" w:rsidP="00764A10">
      <w:pPr>
        <w:pStyle w:val="NoSpacing"/>
        <w:spacing w:after="120"/>
        <w:ind w:left="567" w:firstLine="153"/>
        <w:rPr>
          <w:rFonts w:cs="Open Sans"/>
          <w:b/>
        </w:rPr>
      </w:pPr>
      <w:r w:rsidRPr="007A71E1">
        <w:rPr>
          <w:rFonts w:cs="Open Sans"/>
          <w:b/>
        </w:rPr>
        <w:t>Recommendation C</w:t>
      </w:r>
    </w:p>
    <w:p w14:paraId="38183E3E" w14:textId="350F7C1A" w:rsidR="004A40DA" w:rsidRPr="00F305E1" w:rsidRDefault="004A40DA" w:rsidP="00870991">
      <w:pPr>
        <w:pStyle w:val="NoSpacing"/>
        <w:spacing w:after="120"/>
        <w:ind w:left="720"/>
        <w:rPr>
          <w:rFonts w:cs="Open Sans"/>
          <w:b/>
        </w:rPr>
      </w:pPr>
      <w:r w:rsidRPr="007A71E1">
        <w:rPr>
          <w:rFonts w:cs="Open Sans"/>
        </w:rPr>
        <w:t xml:space="preserve">In the event that Recommendation B is not implemented, s 317WA of the </w:t>
      </w:r>
      <w:r w:rsidRPr="00D714A2">
        <w:rPr>
          <w:rFonts w:cs="Open Sans"/>
          <w:i/>
        </w:rPr>
        <w:t>Telecommunications Act 1997</w:t>
      </w:r>
      <w:r>
        <w:rPr>
          <w:rFonts w:cs="Open Sans"/>
        </w:rPr>
        <w:t xml:space="preserve"> (Cth) </w:t>
      </w:r>
      <w:r w:rsidRPr="007A71E1">
        <w:rPr>
          <w:rFonts w:cs="Open Sans"/>
        </w:rPr>
        <w:t xml:space="preserve">should be amended to make the report of assessors regarding </w:t>
      </w:r>
      <w:r>
        <w:rPr>
          <w:rFonts w:cs="Open Sans"/>
        </w:rPr>
        <w:t>a</w:t>
      </w:r>
      <w:r w:rsidRPr="007A71E1">
        <w:rPr>
          <w:rFonts w:cs="Open Sans"/>
        </w:rPr>
        <w:t xml:space="preserve"> proposed</w:t>
      </w:r>
      <w:r w:rsidRPr="00F305E1">
        <w:rPr>
          <w:rFonts w:cs="Open Sans"/>
        </w:rPr>
        <w:t xml:space="preserve"> </w:t>
      </w:r>
      <w:r>
        <w:rPr>
          <w:rFonts w:cs="Open Sans"/>
        </w:rPr>
        <w:t xml:space="preserve">Technical Capability Notice </w:t>
      </w:r>
      <w:r w:rsidRPr="00F305E1">
        <w:rPr>
          <w:rFonts w:cs="Open Sans"/>
        </w:rPr>
        <w:t>binding on the Attorney-General.</w:t>
      </w:r>
    </w:p>
    <w:p w14:paraId="1D73CEC1" w14:textId="164A5A28" w:rsidR="004A40DA" w:rsidRPr="00F305E1" w:rsidRDefault="004A40DA" w:rsidP="00F61B14">
      <w:pPr>
        <w:pStyle w:val="NoSpacing"/>
        <w:keepNext/>
        <w:spacing w:after="120"/>
        <w:ind w:left="567" w:firstLine="153"/>
        <w:rPr>
          <w:rFonts w:cs="Open Sans"/>
          <w:b/>
        </w:rPr>
      </w:pPr>
      <w:r w:rsidRPr="00F305E1">
        <w:rPr>
          <w:rFonts w:cs="Open Sans"/>
          <w:b/>
        </w:rPr>
        <w:t xml:space="preserve">Recommendation </w:t>
      </w:r>
      <w:r>
        <w:rPr>
          <w:rFonts w:cs="Open Sans"/>
          <w:b/>
        </w:rPr>
        <w:t>D</w:t>
      </w:r>
    </w:p>
    <w:p w14:paraId="5C88DCA8" w14:textId="784D1907" w:rsidR="004A40DA" w:rsidRDefault="004A40DA" w:rsidP="00F61B14">
      <w:pPr>
        <w:pStyle w:val="NoSpacing"/>
        <w:keepNext/>
        <w:spacing w:after="120"/>
        <w:ind w:left="720"/>
        <w:rPr>
          <w:rFonts w:cs="Open Sans"/>
        </w:rPr>
      </w:pPr>
      <w:r w:rsidRPr="00F305E1">
        <w:rPr>
          <w:rFonts w:cs="Open Sans"/>
        </w:rPr>
        <w:t>An independent assessment process commensurate to that contained in s 317WA</w:t>
      </w:r>
      <w:r>
        <w:rPr>
          <w:rFonts w:cs="Open Sans"/>
        </w:rPr>
        <w:t xml:space="preserve"> of the </w:t>
      </w:r>
      <w:r w:rsidRPr="009A7EBB">
        <w:rPr>
          <w:rFonts w:cs="Open Sans"/>
          <w:i/>
        </w:rPr>
        <w:t>Telecommunications Act 1997</w:t>
      </w:r>
      <w:r>
        <w:rPr>
          <w:rFonts w:cs="Open Sans"/>
        </w:rPr>
        <w:t xml:space="preserve"> (Cth),</w:t>
      </w:r>
      <w:r w:rsidRPr="00F305E1">
        <w:rPr>
          <w:rFonts w:cs="Open Sans"/>
        </w:rPr>
        <w:t xml:space="preserve"> </w:t>
      </w:r>
      <w:r>
        <w:rPr>
          <w:rFonts w:cs="Open Sans"/>
        </w:rPr>
        <w:t xml:space="preserve">or some other appropriate </w:t>
      </w:r>
      <w:r w:rsidR="00BA7AF8">
        <w:rPr>
          <w:rFonts w:cs="Open Sans"/>
        </w:rPr>
        <w:t xml:space="preserve">and </w:t>
      </w:r>
      <w:r w:rsidR="00D174C2">
        <w:rPr>
          <w:rFonts w:cs="Open Sans"/>
        </w:rPr>
        <w:t xml:space="preserve">similar </w:t>
      </w:r>
      <w:r>
        <w:rPr>
          <w:rFonts w:cs="Open Sans"/>
        </w:rPr>
        <w:t xml:space="preserve">form of independent review, </w:t>
      </w:r>
      <w:r w:rsidRPr="00F305E1">
        <w:rPr>
          <w:rFonts w:cs="Open Sans"/>
        </w:rPr>
        <w:t xml:space="preserve">should be </w:t>
      </w:r>
      <w:r>
        <w:rPr>
          <w:rFonts w:cs="Open Sans"/>
        </w:rPr>
        <w:t xml:space="preserve">made </w:t>
      </w:r>
      <w:r w:rsidRPr="00F305E1">
        <w:rPr>
          <w:rFonts w:cs="Open Sans"/>
        </w:rPr>
        <w:lastRenderedPageBreak/>
        <w:t xml:space="preserve">available with respect to </w:t>
      </w:r>
      <w:r>
        <w:rPr>
          <w:rFonts w:cs="Open Sans"/>
        </w:rPr>
        <w:t xml:space="preserve">Technical Assistance Requests </w:t>
      </w:r>
      <w:r w:rsidRPr="00F305E1">
        <w:rPr>
          <w:rFonts w:cs="Open Sans"/>
        </w:rPr>
        <w:t xml:space="preserve">and </w:t>
      </w:r>
      <w:r>
        <w:rPr>
          <w:rFonts w:cs="Open Sans"/>
        </w:rPr>
        <w:t>Technical Assistance Notices</w:t>
      </w:r>
      <w:r w:rsidRPr="00F305E1">
        <w:rPr>
          <w:rFonts w:cs="Open Sans"/>
        </w:rPr>
        <w:t>, not just T</w:t>
      </w:r>
      <w:r>
        <w:rPr>
          <w:rFonts w:cs="Open Sans"/>
        </w:rPr>
        <w:t xml:space="preserve">echnical </w:t>
      </w:r>
      <w:r w:rsidRPr="00F305E1">
        <w:rPr>
          <w:rFonts w:cs="Open Sans"/>
        </w:rPr>
        <w:t>C</w:t>
      </w:r>
      <w:r>
        <w:rPr>
          <w:rFonts w:cs="Open Sans"/>
        </w:rPr>
        <w:t xml:space="preserve">apability </w:t>
      </w:r>
      <w:r w:rsidRPr="00F305E1">
        <w:rPr>
          <w:rFonts w:cs="Open Sans"/>
        </w:rPr>
        <w:t>N</w:t>
      </w:r>
      <w:r>
        <w:rPr>
          <w:rFonts w:cs="Open Sans"/>
        </w:rPr>
        <w:t>otice</w:t>
      </w:r>
      <w:r w:rsidRPr="00F305E1">
        <w:rPr>
          <w:rFonts w:cs="Open Sans"/>
        </w:rPr>
        <w:t>s.</w:t>
      </w:r>
    </w:p>
    <w:p w14:paraId="4D2E1CB0" w14:textId="5A8F3F6F" w:rsidR="004A40DA" w:rsidRPr="00F305E1" w:rsidRDefault="004A40DA" w:rsidP="00564A32">
      <w:pPr>
        <w:pStyle w:val="Heading2"/>
        <w:spacing w:before="360" w:after="0"/>
        <w:rPr>
          <w:rFonts w:cs="Open Sans"/>
          <w:u w:val="single"/>
        </w:rPr>
      </w:pPr>
      <w:r w:rsidRPr="00F305E1">
        <w:rPr>
          <w:rFonts w:eastAsia="MS Mincho" w:cs="Open Sans"/>
          <w:color w:val="auto"/>
          <w:sz w:val="24"/>
          <w:szCs w:val="24"/>
          <w:u w:val="single"/>
        </w:rPr>
        <w:t>ii) ‘Systemic weakness’ limitation remains ambiguous</w:t>
      </w:r>
    </w:p>
    <w:p w14:paraId="6CCA0D38" w14:textId="77777777" w:rsidR="004A40DA" w:rsidRPr="00F305E1" w:rsidRDefault="004A40DA" w:rsidP="00564A32">
      <w:pPr>
        <w:pStyle w:val="NoSpacing"/>
        <w:keepNext/>
        <w:rPr>
          <w:rFonts w:cs="Open Sans"/>
          <w:b/>
        </w:rPr>
      </w:pPr>
    </w:p>
    <w:p w14:paraId="4470B5D3" w14:textId="0531CA4C" w:rsidR="004A40DA" w:rsidRPr="00F305E1" w:rsidRDefault="004A40DA" w:rsidP="00564A32">
      <w:pPr>
        <w:pStyle w:val="NoSpacing"/>
        <w:keepNext/>
        <w:numPr>
          <w:ilvl w:val="0"/>
          <w:numId w:val="42"/>
        </w:numPr>
        <w:rPr>
          <w:rFonts w:cs="Open Sans"/>
        </w:rPr>
      </w:pPr>
      <w:r w:rsidRPr="00F305E1">
        <w:rPr>
          <w:rFonts w:cs="Open Sans"/>
        </w:rPr>
        <w:t xml:space="preserve">A TAR, TAN or TCN must not require a provider to do something that would introduce a ‘systemic vulnerability’ or ‘systemic weakness’ into a form of electronic protection. Those terms were not fully defined in the TOLA Bill as first introduced. The Commission recommended that these terms be </w:t>
      </w:r>
      <w:r>
        <w:rPr>
          <w:rFonts w:cs="Open Sans"/>
        </w:rPr>
        <w:t xml:space="preserve">precisely and clearly </w:t>
      </w:r>
      <w:r w:rsidRPr="00F305E1">
        <w:rPr>
          <w:rFonts w:cs="Open Sans"/>
        </w:rPr>
        <w:t xml:space="preserve">defined (see previous Recommendation 15). </w:t>
      </w:r>
    </w:p>
    <w:p w14:paraId="62B51E65" w14:textId="77777777" w:rsidR="004A40DA" w:rsidRPr="00F305E1" w:rsidRDefault="004A40DA" w:rsidP="00105848">
      <w:pPr>
        <w:pStyle w:val="NoSpacing"/>
        <w:ind w:left="567"/>
        <w:rPr>
          <w:rFonts w:cs="Open Sans"/>
        </w:rPr>
      </w:pPr>
    </w:p>
    <w:p w14:paraId="3B25283A" w14:textId="559B7106" w:rsidR="004A40DA" w:rsidRPr="00F305E1" w:rsidRDefault="004A40DA" w:rsidP="004F4432">
      <w:pPr>
        <w:pStyle w:val="NoSpacing"/>
        <w:numPr>
          <w:ilvl w:val="0"/>
          <w:numId w:val="42"/>
        </w:numPr>
        <w:rPr>
          <w:rFonts w:cs="Open Sans"/>
        </w:rPr>
      </w:pPr>
      <w:r w:rsidRPr="00F305E1">
        <w:rPr>
          <w:rFonts w:cs="Open Sans"/>
        </w:rPr>
        <w:t xml:space="preserve">The Government amendments made to the TOLA Bill before its passage introduced </w:t>
      </w:r>
      <w:r>
        <w:rPr>
          <w:rFonts w:cs="Open Sans"/>
        </w:rPr>
        <w:t xml:space="preserve">relevant </w:t>
      </w:r>
      <w:r w:rsidRPr="00F305E1">
        <w:rPr>
          <w:rFonts w:cs="Open Sans"/>
        </w:rPr>
        <w:t>definitions. Section 317B of the Telecommunications Act currently provides:</w:t>
      </w:r>
    </w:p>
    <w:p w14:paraId="64A253E0" w14:textId="65455616" w:rsidR="004A40DA" w:rsidRPr="00F305E1" w:rsidRDefault="004A40DA" w:rsidP="00ED1AC1">
      <w:pPr>
        <w:pStyle w:val="NoSpacing"/>
        <w:ind w:left="360"/>
        <w:rPr>
          <w:rFonts w:cs="Open Sans"/>
        </w:rPr>
      </w:pPr>
    </w:p>
    <w:p w14:paraId="0E987BBB" w14:textId="486D95BA" w:rsidR="004A40DA" w:rsidRPr="00F305E1" w:rsidRDefault="004A40DA" w:rsidP="00105848">
      <w:pPr>
        <w:pStyle w:val="NoSpacing"/>
        <w:ind w:left="1440"/>
        <w:rPr>
          <w:rFonts w:cs="Open Sans"/>
          <w:sz w:val="22"/>
          <w:szCs w:val="22"/>
        </w:rPr>
      </w:pPr>
      <w:r w:rsidRPr="00F305E1">
        <w:rPr>
          <w:rFonts w:cs="Open Sans"/>
          <w:b/>
          <w:i/>
          <w:sz w:val="22"/>
          <w:szCs w:val="22"/>
        </w:rPr>
        <w:t>systemic vulnerability</w:t>
      </w:r>
      <w:r w:rsidRPr="00F305E1">
        <w:rPr>
          <w:rFonts w:cs="Open Sans"/>
          <w:sz w:val="22"/>
          <w:szCs w:val="22"/>
        </w:rPr>
        <w:t xml:space="preserve"> means a vulnerability that affects a whole class of technology, but does not include a vulnerability that is selectively introduced to one or more target technologies that are connected with a particular person. For this purpose, it is immaterial whether the person can be identified. </w:t>
      </w:r>
    </w:p>
    <w:p w14:paraId="2F15EBDE" w14:textId="77777777" w:rsidR="004A40DA" w:rsidRPr="00F305E1" w:rsidRDefault="004A40DA" w:rsidP="00105848">
      <w:pPr>
        <w:pStyle w:val="NoSpacing"/>
        <w:ind w:left="1080"/>
        <w:rPr>
          <w:rFonts w:cs="Open Sans"/>
          <w:sz w:val="22"/>
          <w:szCs w:val="22"/>
        </w:rPr>
      </w:pPr>
    </w:p>
    <w:p w14:paraId="47680B32" w14:textId="6E447D05" w:rsidR="004A40DA" w:rsidRPr="00F305E1" w:rsidRDefault="004A40DA" w:rsidP="00105848">
      <w:pPr>
        <w:pStyle w:val="NoSpacing"/>
        <w:ind w:left="1440"/>
        <w:rPr>
          <w:rFonts w:cs="Open Sans"/>
          <w:sz w:val="22"/>
          <w:szCs w:val="22"/>
        </w:rPr>
      </w:pPr>
      <w:r w:rsidRPr="00F305E1">
        <w:rPr>
          <w:rFonts w:cs="Open Sans"/>
          <w:b/>
          <w:i/>
          <w:sz w:val="22"/>
          <w:szCs w:val="22"/>
        </w:rPr>
        <w:t>systemic weakness</w:t>
      </w:r>
      <w:r w:rsidRPr="00F305E1">
        <w:rPr>
          <w:rFonts w:cs="Open Sans"/>
          <w:sz w:val="22"/>
          <w:szCs w:val="22"/>
        </w:rPr>
        <w:t xml:space="preserve"> means a weakness that affects a whole class of technology, but does not include a weakness that is selectively introduced to one or more target technologies that are connected with a particular person. For this purpose, it is immaterial whether the person can be identified. </w:t>
      </w:r>
    </w:p>
    <w:p w14:paraId="11CEEB94" w14:textId="77777777" w:rsidR="004A40DA" w:rsidRPr="00F305E1" w:rsidRDefault="004A40DA" w:rsidP="00ED1AC1">
      <w:pPr>
        <w:pStyle w:val="NoSpacing"/>
        <w:rPr>
          <w:rFonts w:cs="Open Sans"/>
        </w:rPr>
      </w:pPr>
    </w:p>
    <w:p w14:paraId="4FA9EED7" w14:textId="56575F5F" w:rsidR="004A40DA" w:rsidRPr="00F305E1" w:rsidRDefault="004A40DA" w:rsidP="004F4432">
      <w:pPr>
        <w:pStyle w:val="NoSpacing"/>
        <w:numPr>
          <w:ilvl w:val="0"/>
          <w:numId w:val="42"/>
        </w:numPr>
        <w:rPr>
          <w:rFonts w:cs="Open Sans"/>
        </w:rPr>
      </w:pPr>
      <w:r w:rsidRPr="00F305E1">
        <w:rPr>
          <w:rFonts w:cs="Open Sans"/>
        </w:rPr>
        <w:t xml:space="preserve">Section 317B of the Telecommunications Act also defines ‘target technology’. Under that definition, a particular carriage service, electronic service, software or software update on a computer or item of equipment, an item of customer equipment or a data processing device that is used or likely to be used by a particular person is ‘target technology’ connected with a person. It is immaterial whether the person can be identified. ‘Electronic protection’ is </w:t>
      </w:r>
      <w:r>
        <w:rPr>
          <w:rFonts w:cs="Open Sans"/>
        </w:rPr>
        <w:t xml:space="preserve">also </w:t>
      </w:r>
      <w:r w:rsidRPr="00F305E1">
        <w:rPr>
          <w:rFonts w:cs="Open Sans"/>
        </w:rPr>
        <w:t>defined</w:t>
      </w:r>
      <w:r>
        <w:rPr>
          <w:rFonts w:cs="Open Sans"/>
        </w:rPr>
        <w:t>,</w:t>
      </w:r>
      <w:r w:rsidRPr="00F305E1">
        <w:rPr>
          <w:rFonts w:cs="Open Sans"/>
        </w:rPr>
        <w:t xml:space="preserve"> to include authentication and encryption. </w:t>
      </w:r>
    </w:p>
    <w:p w14:paraId="0F346255" w14:textId="77777777" w:rsidR="004A40DA" w:rsidRPr="00F305E1" w:rsidRDefault="004A40DA" w:rsidP="00ED1AC1">
      <w:pPr>
        <w:pStyle w:val="NoSpacing"/>
        <w:ind w:left="360"/>
        <w:rPr>
          <w:rFonts w:cs="Open Sans"/>
        </w:rPr>
      </w:pPr>
    </w:p>
    <w:p w14:paraId="06CC1314" w14:textId="3AE7E849" w:rsidR="005D1029" w:rsidRPr="00F305E1" w:rsidRDefault="004A40DA" w:rsidP="004F4432">
      <w:pPr>
        <w:pStyle w:val="NoSpacing"/>
        <w:numPr>
          <w:ilvl w:val="0"/>
          <w:numId w:val="42"/>
        </w:numPr>
        <w:rPr>
          <w:rFonts w:cs="Open Sans"/>
        </w:rPr>
      </w:pPr>
      <w:r w:rsidRPr="00F305E1">
        <w:rPr>
          <w:rFonts w:cs="Open Sans"/>
        </w:rPr>
        <w:t>Section 317ZG(1) of the Telecommunications Act sets out the prohibition on a TAR, TAN or TCN requiring a provider to implement or build a systemic weakness or vulnerability into a form of electronic protection, or from rectifying a systemic weakness or vulnerability.</w:t>
      </w:r>
      <w:r w:rsidRPr="00F305E1">
        <w:rPr>
          <w:rStyle w:val="EndnoteReference"/>
          <w:rFonts w:cs="Open Sans"/>
        </w:rPr>
        <w:endnoteReference w:id="3"/>
      </w:r>
      <w:r w:rsidRPr="00F305E1">
        <w:rPr>
          <w:rFonts w:cs="Open Sans"/>
        </w:rPr>
        <w:t xml:space="preserve"> </w:t>
      </w:r>
      <w:r w:rsidR="005D1029" w:rsidRPr="00F305E1">
        <w:rPr>
          <w:rFonts w:cs="Open Sans"/>
        </w:rPr>
        <w:t xml:space="preserve">A request or notice will have no effect to the extent that it contravenes s 317ZG(1). </w:t>
      </w:r>
    </w:p>
    <w:p w14:paraId="5E456B22" w14:textId="77777777" w:rsidR="001454BD" w:rsidRPr="00F305E1" w:rsidRDefault="001454BD" w:rsidP="00ED1AC1">
      <w:pPr>
        <w:pStyle w:val="NoSpacing"/>
        <w:rPr>
          <w:rFonts w:cs="Open Sans"/>
        </w:rPr>
      </w:pPr>
    </w:p>
    <w:p w14:paraId="23C990FE" w14:textId="03517957" w:rsidR="005D1029" w:rsidRPr="00F305E1" w:rsidRDefault="00967F81" w:rsidP="004F4432">
      <w:pPr>
        <w:pStyle w:val="NoSpacing"/>
        <w:numPr>
          <w:ilvl w:val="0"/>
          <w:numId w:val="42"/>
        </w:numPr>
        <w:rPr>
          <w:rFonts w:cs="Open Sans"/>
        </w:rPr>
      </w:pPr>
      <w:r w:rsidRPr="00F305E1">
        <w:rPr>
          <w:rFonts w:cs="Open Sans"/>
        </w:rPr>
        <w:t>Subsection</w:t>
      </w:r>
      <w:r w:rsidR="001454BD" w:rsidRPr="00F305E1">
        <w:rPr>
          <w:rFonts w:cs="Open Sans"/>
        </w:rPr>
        <w:t>s</w:t>
      </w:r>
      <w:r w:rsidRPr="00F305E1">
        <w:rPr>
          <w:rFonts w:cs="Open Sans"/>
        </w:rPr>
        <w:t xml:space="preserve"> 317ZG(4A)–(4C) </w:t>
      </w:r>
      <w:r w:rsidR="005E7A62" w:rsidRPr="00F305E1">
        <w:rPr>
          <w:rFonts w:cs="Open Sans"/>
        </w:rPr>
        <w:t xml:space="preserve">were introduced by </w:t>
      </w:r>
      <w:r w:rsidR="00F00204">
        <w:rPr>
          <w:rFonts w:cs="Open Sans"/>
        </w:rPr>
        <w:t xml:space="preserve">the Government </w:t>
      </w:r>
      <w:r w:rsidR="005E7A62" w:rsidRPr="00F305E1">
        <w:rPr>
          <w:rFonts w:cs="Open Sans"/>
        </w:rPr>
        <w:t>amendments to the TOLA Bill prior to its passage</w:t>
      </w:r>
      <w:r w:rsidR="00F00204">
        <w:rPr>
          <w:rFonts w:cs="Open Sans"/>
        </w:rPr>
        <w:t>, and provide</w:t>
      </w:r>
      <w:r w:rsidR="00DD7D3E" w:rsidRPr="00F305E1">
        <w:rPr>
          <w:rFonts w:cs="Open Sans"/>
        </w:rPr>
        <w:t>:</w:t>
      </w:r>
    </w:p>
    <w:p w14:paraId="6B114E20" w14:textId="672451A9" w:rsidR="005D1029" w:rsidRPr="00F305E1" w:rsidRDefault="005D1029" w:rsidP="00ED1AC1">
      <w:pPr>
        <w:pStyle w:val="NoSpacing"/>
        <w:ind w:left="360"/>
        <w:rPr>
          <w:rFonts w:cs="Open Sans"/>
        </w:rPr>
      </w:pPr>
      <w:r w:rsidRPr="00F305E1">
        <w:rPr>
          <w:rFonts w:cs="Open Sans"/>
        </w:rPr>
        <w:lastRenderedPageBreak/>
        <w:t> </w:t>
      </w:r>
    </w:p>
    <w:p w14:paraId="25D57899" w14:textId="5A1CC5A9" w:rsidR="005D1029" w:rsidRPr="00F305E1" w:rsidRDefault="00133F91" w:rsidP="00133F91">
      <w:pPr>
        <w:pStyle w:val="NoSpacing"/>
        <w:ind w:left="1440" w:hanging="720"/>
        <w:rPr>
          <w:rFonts w:cs="Open Sans"/>
          <w:sz w:val="22"/>
          <w:szCs w:val="22"/>
        </w:rPr>
      </w:pPr>
      <w:r w:rsidRPr="00F305E1">
        <w:rPr>
          <w:rFonts w:cs="Open Sans"/>
          <w:sz w:val="22"/>
          <w:szCs w:val="22"/>
        </w:rPr>
        <w:t>(4A)</w:t>
      </w:r>
      <w:r w:rsidRPr="00F305E1">
        <w:rPr>
          <w:rFonts w:cs="Open Sans"/>
          <w:sz w:val="22"/>
          <w:szCs w:val="22"/>
        </w:rPr>
        <w:tab/>
      </w:r>
      <w:r w:rsidR="005D1029" w:rsidRPr="00F305E1">
        <w:rPr>
          <w:rFonts w:cs="Open Sans"/>
          <w:sz w:val="22"/>
          <w:szCs w:val="22"/>
        </w:rPr>
        <w:t>In a case where a weakness is selectively introduced to one or more target technologies that are connected with a particular person, the reference in paragraph (1)(a) to implement or build a systemic weakness into a form of electronic protection includes a reference to any act or thing that will, or is likely to, jeopardise the security of any information held by any other person.</w:t>
      </w:r>
    </w:p>
    <w:p w14:paraId="743EA659" w14:textId="77777777" w:rsidR="00DD7D3E" w:rsidRPr="00F305E1" w:rsidRDefault="00DD7D3E" w:rsidP="00ED1AC1">
      <w:pPr>
        <w:pStyle w:val="NoSpacing"/>
        <w:ind w:left="720"/>
        <w:rPr>
          <w:rFonts w:cs="Open Sans"/>
          <w:sz w:val="22"/>
          <w:szCs w:val="22"/>
        </w:rPr>
      </w:pPr>
    </w:p>
    <w:p w14:paraId="09805BFA" w14:textId="652C65A2" w:rsidR="005D1029" w:rsidRPr="00F305E1" w:rsidRDefault="00133F91" w:rsidP="00133F91">
      <w:pPr>
        <w:pStyle w:val="NoSpacing"/>
        <w:ind w:left="1440" w:hanging="720"/>
        <w:rPr>
          <w:rFonts w:cs="Open Sans"/>
          <w:sz w:val="22"/>
          <w:szCs w:val="22"/>
        </w:rPr>
      </w:pPr>
      <w:r w:rsidRPr="00F305E1">
        <w:rPr>
          <w:rFonts w:cs="Open Sans"/>
          <w:sz w:val="22"/>
          <w:szCs w:val="22"/>
        </w:rPr>
        <w:t>(4B)</w:t>
      </w:r>
      <w:r w:rsidRPr="00F305E1">
        <w:rPr>
          <w:rFonts w:cs="Open Sans"/>
          <w:sz w:val="22"/>
          <w:szCs w:val="22"/>
        </w:rPr>
        <w:tab/>
      </w:r>
      <w:r w:rsidR="005D1029" w:rsidRPr="00F305E1">
        <w:rPr>
          <w:rFonts w:cs="Open Sans"/>
          <w:sz w:val="22"/>
          <w:szCs w:val="22"/>
        </w:rPr>
        <w:t>In a case where a vulnerability is selectively introduced to one or more target technologies that are connected with a particular person, the reference in paragraph (1)(a) to implement or build a systemic vulnerability into a form of electronic protection includes a reference to any act or thing that will, or is likely to, jeopardise the security of any information held by any other person.</w:t>
      </w:r>
    </w:p>
    <w:p w14:paraId="4D68D81A" w14:textId="77777777" w:rsidR="00DD7D3E" w:rsidRPr="00F305E1" w:rsidRDefault="00DD7D3E" w:rsidP="00ED1AC1">
      <w:pPr>
        <w:pStyle w:val="NoSpacing"/>
        <w:ind w:left="720"/>
        <w:rPr>
          <w:rFonts w:cs="Open Sans"/>
          <w:sz w:val="22"/>
          <w:szCs w:val="22"/>
        </w:rPr>
      </w:pPr>
    </w:p>
    <w:p w14:paraId="1C5549DC" w14:textId="66A0DCAE" w:rsidR="005D1029" w:rsidRPr="00F305E1" w:rsidRDefault="00133F91" w:rsidP="00133F91">
      <w:pPr>
        <w:pStyle w:val="NoSpacing"/>
        <w:ind w:left="1440" w:hanging="720"/>
        <w:rPr>
          <w:rFonts w:cs="Open Sans"/>
          <w:sz w:val="22"/>
          <w:szCs w:val="22"/>
        </w:rPr>
      </w:pPr>
      <w:r w:rsidRPr="00F305E1">
        <w:rPr>
          <w:rFonts w:cs="Open Sans"/>
          <w:sz w:val="22"/>
          <w:szCs w:val="22"/>
        </w:rPr>
        <w:t>(4C)</w:t>
      </w:r>
      <w:r w:rsidRPr="00F305E1">
        <w:rPr>
          <w:rFonts w:cs="Open Sans"/>
          <w:sz w:val="22"/>
          <w:szCs w:val="22"/>
        </w:rPr>
        <w:tab/>
      </w:r>
      <w:r w:rsidR="005D1029" w:rsidRPr="00F305E1">
        <w:rPr>
          <w:rFonts w:cs="Open Sans"/>
          <w:sz w:val="22"/>
          <w:szCs w:val="22"/>
        </w:rPr>
        <w:t>For the purposes of subsections (4A) and (4B), an act or thing will, or is likely to, jeopardise the security of information if the act or thing creates a material risk that otherwise secure information can be accessed by an unauthorised third party.</w:t>
      </w:r>
    </w:p>
    <w:p w14:paraId="6912B0DD" w14:textId="77777777" w:rsidR="00DD7D3E" w:rsidRPr="00F305E1" w:rsidRDefault="00DD7D3E" w:rsidP="00ED1AC1">
      <w:pPr>
        <w:pStyle w:val="NoSpacing"/>
        <w:rPr>
          <w:rFonts w:cs="Open Sans"/>
          <w:sz w:val="22"/>
          <w:szCs w:val="22"/>
        </w:rPr>
      </w:pPr>
    </w:p>
    <w:p w14:paraId="13ADE47E" w14:textId="2FF40D06" w:rsidR="00F00204" w:rsidRDefault="00F00204" w:rsidP="004F4432">
      <w:pPr>
        <w:pStyle w:val="NoSpacing"/>
        <w:numPr>
          <w:ilvl w:val="0"/>
          <w:numId w:val="42"/>
        </w:numPr>
        <w:rPr>
          <w:rFonts w:cs="Open Sans"/>
        </w:rPr>
      </w:pPr>
      <w:r>
        <w:rPr>
          <w:rFonts w:cs="Open Sans"/>
        </w:rPr>
        <w:t>The</w:t>
      </w:r>
      <w:r w:rsidRPr="00F305E1">
        <w:rPr>
          <w:rFonts w:cs="Open Sans"/>
        </w:rPr>
        <w:t xml:space="preserve">se provisions purport to govern situations where a weakness </w:t>
      </w:r>
      <w:r w:rsidR="003A4FBD">
        <w:rPr>
          <w:rFonts w:cs="Open Sans"/>
        </w:rPr>
        <w:t xml:space="preserve">or vulnerability </w:t>
      </w:r>
      <w:r w:rsidRPr="00F305E1">
        <w:rPr>
          <w:rFonts w:cs="Open Sans"/>
        </w:rPr>
        <w:t>is selectively introduced in</w:t>
      </w:r>
      <w:r>
        <w:rPr>
          <w:rFonts w:cs="Open Sans"/>
        </w:rPr>
        <w:t xml:space="preserve">to a target technology. It appears </w:t>
      </w:r>
      <w:r w:rsidR="00EE5B94">
        <w:rPr>
          <w:rFonts w:cs="Open Sans"/>
        </w:rPr>
        <w:t xml:space="preserve">that </w:t>
      </w:r>
      <w:r w:rsidR="003A4FBD">
        <w:rPr>
          <w:rFonts w:cs="Open Sans"/>
        </w:rPr>
        <w:t xml:space="preserve">they were intended </w:t>
      </w:r>
      <w:r>
        <w:rPr>
          <w:rFonts w:cs="Open Sans"/>
        </w:rPr>
        <w:t xml:space="preserve">to introduce a </w:t>
      </w:r>
      <w:r w:rsidRPr="00F305E1">
        <w:rPr>
          <w:rFonts w:cs="Open Sans"/>
        </w:rPr>
        <w:t>safeguard</w:t>
      </w:r>
      <w:r w:rsidR="00EE5B94">
        <w:rPr>
          <w:rFonts w:cs="Open Sans"/>
        </w:rPr>
        <w:t>,</w:t>
      </w:r>
      <w:r w:rsidRPr="00F305E1">
        <w:rPr>
          <w:rFonts w:cs="Open Sans"/>
        </w:rPr>
        <w:t xml:space="preserve"> to prevent action that would ‘jeopardise’ the security of information of </w:t>
      </w:r>
      <w:r w:rsidR="003A4FBD">
        <w:rPr>
          <w:rFonts w:cs="Open Sans"/>
        </w:rPr>
        <w:t xml:space="preserve">people who are not the direct targets of </w:t>
      </w:r>
      <w:r w:rsidR="00017622">
        <w:rPr>
          <w:rFonts w:cs="Open Sans"/>
        </w:rPr>
        <w:t>a</w:t>
      </w:r>
      <w:r w:rsidR="003A4FBD">
        <w:rPr>
          <w:rFonts w:cs="Open Sans"/>
        </w:rPr>
        <w:t xml:space="preserve"> request or notice</w:t>
      </w:r>
      <w:r>
        <w:rPr>
          <w:rFonts w:cs="Open Sans"/>
        </w:rPr>
        <w:t xml:space="preserve">. </w:t>
      </w:r>
    </w:p>
    <w:p w14:paraId="6719E329" w14:textId="77777777" w:rsidR="00F00204" w:rsidRDefault="00F00204" w:rsidP="00F00204">
      <w:pPr>
        <w:pStyle w:val="NoSpacing"/>
        <w:ind w:left="567"/>
        <w:rPr>
          <w:rFonts w:cs="Open Sans"/>
        </w:rPr>
      </w:pPr>
    </w:p>
    <w:p w14:paraId="58570B46" w14:textId="40ABF64B" w:rsidR="00277468" w:rsidRPr="00F305E1" w:rsidRDefault="00DD7D3E" w:rsidP="004F4432">
      <w:pPr>
        <w:pStyle w:val="NoSpacing"/>
        <w:numPr>
          <w:ilvl w:val="0"/>
          <w:numId w:val="42"/>
        </w:numPr>
        <w:rPr>
          <w:rFonts w:cs="Open Sans"/>
        </w:rPr>
      </w:pPr>
      <w:r w:rsidRPr="00F305E1">
        <w:rPr>
          <w:rFonts w:cs="Open Sans"/>
        </w:rPr>
        <w:t xml:space="preserve">The </w:t>
      </w:r>
      <w:r w:rsidR="003909AA" w:rsidRPr="00F305E1">
        <w:rPr>
          <w:rFonts w:cs="Open Sans"/>
        </w:rPr>
        <w:t xml:space="preserve">Supplementary </w:t>
      </w:r>
      <w:r w:rsidRPr="00F305E1">
        <w:rPr>
          <w:rFonts w:cs="Open Sans"/>
        </w:rPr>
        <w:t xml:space="preserve">Explanatory Memorandum </w:t>
      </w:r>
      <w:r w:rsidR="003909AA" w:rsidRPr="00F305E1">
        <w:rPr>
          <w:rFonts w:cs="Open Sans"/>
        </w:rPr>
        <w:t>to the Bill</w:t>
      </w:r>
      <w:r w:rsidR="00F00204">
        <w:rPr>
          <w:rFonts w:cs="Open Sans"/>
        </w:rPr>
        <w:t xml:space="preserve"> </w:t>
      </w:r>
      <w:r w:rsidR="003909AA" w:rsidRPr="00F305E1">
        <w:rPr>
          <w:rFonts w:cs="Open Sans"/>
        </w:rPr>
        <w:t>describes</w:t>
      </w:r>
      <w:r w:rsidR="00801C90" w:rsidRPr="00F305E1">
        <w:rPr>
          <w:rFonts w:cs="Open Sans"/>
        </w:rPr>
        <w:t xml:space="preserve"> the purpose and operation of the </w:t>
      </w:r>
      <w:r w:rsidR="00F00204">
        <w:rPr>
          <w:rFonts w:cs="Open Sans"/>
        </w:rPr>
        <w:t>safeguard</w:t>
      </w:r>
      <w:r w:rsidR="00801C90" w:rsidRPr="00F305E1">
        <w:rPr>
          <w:rFonts w:cs="Open Sans"/>
        </w:rPr>
        <w:t xml:space="preserve"> as follows:</w:t>
      </w:r>
    </w:p>
    <w:p w14:paraId="6443C3E4" w14:textId="77777777" w:rsidR="00967F81" w:rsidRPr="00F305E1" w:rsidRDefault="00C7043E" w:rsidP="00ED1AC1">
      <w:pPr>
        <w:pStyle w:val="Default"/>
        <w:rPr>
          <w:lang w:val="en-US"/>
        </w:rPr>
      </w:pPr>
      <w:r w:rsidRPr="00F305E1">
        <w:t xml:space="preserve"> </w:t>
      </w:r>
    </w:p>
    <w:p w14:paraId="721784A3" w14:textId="6F899D2D" w:rsidR="00D85D75" w:rsidRPr="00F305E1" w:rsidRDefault="00D85D75" w:rsidP="00105848">
      <w:pPr>
        <w:pStyle w:val="NoSpacing"/>
        <w:ind w:left="1440"/>
        <w:rPr>
          <w:rFonts w:cs="Open Sans"/>
          <w:sz w:val="22"/>
          <w:szCs w:val="22"/>
        </w:rPr>
      </w:pPr>
      <w:r w:rsidRPr="00F305E1">
        <w:rPr>
          <w:rFonts w:cs="Open Sans"/>
          <w:sz w:val="22"/>
          <w:szCs w:val="22"/>
        </w:rPr>
        <w:t>This definition makes clear that a systemic weakness is something that makes general items of technology less secure. Technological classes include particular mobile device models carriage services, electronic services or software. The term is intended to encompass both old and new technology or a subclass within a broader class of technology; for example an iOS mobile operating system within a particular class, or classes, of mobile devices. Where requirements in a notice make the whole set of these items more vulnerable, it will be prohibited. This ensures that the powers do not jeopardise the general use of technology by persons who are not of interest to law enforcement and security agencies. The intent of the prohibition as expressed in the definition is to rule out requirements that would create a material risk of otherwise secure information being accessed by unauthorised third parties.</w:t>
      </w:r>
    </w:p>
    <w:p w14:paraId="281CBA0A" w14:textId="77777777" w:rsidR="00B82826" w:rsidRPr="00F305E1" w:rsidRDefault="00B82826" w:rsidP="00ED1AC1">
      <w:pPr>
        <w:pStyle w:val="NoSpacing"/>
        <w:rPr>
          <w:rFonts w:cs="Open Sans"/>
        </w:rPr>
      </w:pPr>
    </w:p>
    <w:p w14:paraId="477D4E92" w14:textId="2E18BEFF" w:rsidR="00B65B15" w:rsidRDefault="00EE5B94" w:rsidP="004F4432">
      <w:pPr>
        <w:pStyle w:val="NoSpacing"/>
        <w:numPr>
          <w:ilvl w:val="0"/>
          <w:numId w:val="42"/>
        </w:numPr>
        <w:rPr>
          <w:rFonts w:cs="Open Sans"/>
        </w:rPr>
      </w:pPr>
      <w:r w:rsidRPr="00EE5B94">
        <w:rPr>
          <w:rFonts w:cs="Open Sans"/>
        </w:rPr>
        <w:lastRenderedPageBreak/>
        <w:t>The Commission supports the aim of restricting the scope of the industry assistance provisions</w:t>
      </w:r>
      <w:r w:rsidR="00DE549A">
        <w:rPr>
          <w:rFonts w:cs="Open Sans"/>
        </w:rPr>
        <w:t>,</w:t>
      </w:r>
      <w:r w:rsidRPr="00EE5B94">
        <w:rPr>
          <w:rFonts w:cs="Open Sans"/>
        </w:rPr>
        <w:t xml:space="preserve"> to ensure they cannot be used in ways </w:t>
      </w:r>
      <w:r w:rsidR="00A95778">
        <w:rPr>
          <w:rFonts w:cs="Open Sans"/>
        </w:rPr>
        <w:t>that</w:t>
      </w:r>
      <w:r w:rsidRPr="00EE5B94">
        <w:rPr>
          <w:rFonts w:cs="Open Sans"/>
        </w:rPr>
        <w:t xml:space="preserve"> make the information of people who are not of interest to </w:t>
      </w:r>
      <w:r w:rsidR="00DE549A">
        <w:rPr>
          <w:rFonts w:cs="Open Sans"/>
        </w:rPr>
        <w:t xml:space="preserve">relevant </w:t>
      </w:r>
      <w:r w:rsidRPr="00EE5B94">
        <w:rPr>
          <w:rFonts w:cs="Open Sans"/>
        </w:rPr>
        <w:t xml:space="preserve">agencies </w:t>
      </w:r>
      <w:r w:rsidR="00672ADB">
        <w:rPr>
          <w:rFonts w:cs="Open Sans"/>
        </w:rPr>
        <w:t>less secure. F</w:t>
      </w:r>
      <w:r w:rsidRPr="00EE5B94">
        <w:rPr>
          <w:rFonts w:cs="Open Sans"/>
        </w:rPr>
        <w:t xml:space="preserve">or instance, </w:t>
      </w:r>
      <w:r w:rsidR="00672ADB">
        <w:rPr>
          <w:rFonts w:cs="Open Sans"/>
        </w:rPr>
        <w:t>the powers should not permit the introduction of a weakness</w:t>
      </w:r>
      <w:r w:rsidRPr="00EE5B94">
        <w:rPr>
          <w:rFonts w:cs="Open Sans"/>
        </w:rPr>
        <w:t xml:space="preserve"> into all devices of a particular kind, which could</w:t>
      </w:r>
      <w:r w:rsidR="00672ADB">
        <w:rPr>
          <w:rFonts w:cs="Open Sans"/>
        </w:rPr>
        <w:t xml:space="preserve"> be exploited by unauthorised third parties. </w:t>
      </w:r>
    </w:p>
    <w:p w14:paraId="49D03C3C" w14:textId="77777777" w:rsidR="00B65B15" w:rsidRDefault="00B65B15" w:rsidP="00B65B15">
      <w:pPr>
        <w:pStyle w:val="NoSpacing"/>
        <w:ind w:left="567"/>
        <w:rPr>
          <w:rFonts w:cs="Open Sans"/>
        </w:rPr>
      </w:pPr>
    </w:p>
    <w:p w14:paraId="51DE1101" w14:textId="4A44C0CA" w:rsidR="00EE5B94" w:rsidRDefault="00EE5B94" w:rsidP="004F4432">
      <w:pPr>
        <w:pStyle w:val="NoSpacing"/>
        <w:numPr>
          <w:ilvl w:val="0"/>
          <w:numId w:val="42"/>
        </w:numPr>
        <w:rPr>
          <w:rFonts w:cs="Open Sans"/>
        </w:rPr>
      </w:pPr>
      <w:r w:rsidRPr="00EE5B94">
        <w:rPr>
          <w:rFonts w:cs="Open Sans"/>
        </w:rPr>
        <w:t xml:space="preserve">The Commission also supports restricting the use of the industry assistance provisions to ensure that </w:t>
      </w:r>
      <w:r w:rsidR="00DE549A">
        <w:rPr>
          <w:rFonts w:cs="Open Sans"/>
        </w:rPr>
        <w:t>relevant agencies</w:t>
      </w:r>
      <w:r w:rsidRPr="00EE5B94">
        <w:rPr>
          <w:rFonts w:cs="Open Sans"/>
        </w:rPr>
        <w:t xml:space="preserve"> can </w:t>
      </w:r>
      <w:r w:rsidR="009A03B5">
        <w:rPr>
          <w:rFonts w:cs="Open Sans"/>
        </w:rPr>
        <w:t xml:space="preserve">only </w:t>
      </w:r>
      <w:r w:rsidRPr="00EE5B94">
        <w:rPr>
          <w:rFonts w:cs="Open Sans"/>
        </w:rPr>
        <w:t xml:space="preserve">use </w:t>
      </w:r>
      <w:r w:rsidR="00672ADB">
        <w:rPr>
          <w:rFonts w:cs="Open Sans"/>
        </w:rPr>
        <w:t xml:space="preserve">the scheme </w:t>
      </w:r>
      <w:r w:rsidRPr="00EE5B94">
        <w:rPr>
          <w:rFonts w:cs="Open Sans"/>
        </w:rPr>
        <w:t>in relation to individuals who are le</w:t>
      </w:r>
      <w:r w:rsidR="00DE549A">
        <w:rPr>
          <w:rFonts w:cs="Open Sans"/>
        </w:rPr>
        <w:t>gitimately of interest to them</w:t>
      </w:r>
      <w:r w:rsidR="009A03B5">
        <w:rPr>
          <w:rFonts w:cs="Open Sans"/>
        </w:rPr>
        <w:t>, and in a proportionate manner</w:t>
      </w:r>
      <w:r w:rsidR="00DE549A">
        <w:rPr>
          <w:rFonts w:cs="Open Sans"/>
        </w:rPr>
        <w:t>. T</w:t>
      </w:r>
      <w:r w:rsidRPr="00EE5B94">
        <w:rPr>
          <w:rFonts w:cs="Open Sans"/>
        </w:rPr>
        <w:t>hat is, the provisi</w:t>
      </w:r>
      <w:r w:rsidR="00DE549A">
        <w:rPr>
          <w:rFonts w:cs="Open Sans"/>
        </w:rPr>
        <w:t xml:space="preserve">ons should not </w:t>
      </w:r>
      <w:r w:rsidR="00672ADB">
        <w:rPr>
          <w:rFonts w:cs="Open Sans"/>
        </w:rPr>
        <w:t>allow</w:t>
      </w:r>
      <w:r w:rsidR="00DE549A">
        <w:rPr>
          <w:rFonts w:cs="Open Sans"/>
        </w:rPr>
        <w:t xml:space="preserve"> agencies to</w:t>
      </w:r>
      <w:r w:rsidRPr="00EE5B94">
        <w:rPr>
          <w:rFonts w:cs="Open Sans"/>
        </w:rPr>
        <w:t xml:space="preserve"> require </w:t>
      </w:r>
      <w:r w:rsidR="00DE549A">
        <w:rPr>
          <w:rFonts w:cs="Open Sans"/>
        </w:rPr>
        <w:t>providers to develop</w:t>
      </w:r>
      <w:r w:rsidRPr="00EE5B94">
        <w:rPr>
          <w:rFonts w:cs="Open Sans"/>
        </w:rPr>
        <w:t xml:space="preserve"> tool</w:t>
      </w:r>
      <w:r w:rsidR="00DE549A">
        <w:rPr>
          <w:rFonts w:cs="Open Sans"/>
        </w:rPr>
        <w:t>s</w:t>
      </w:r>
      <w:r w:rsidRPr="00EE5B94">
        <w:rPr>
          <w:rFonts w:cs="Open Sans"/>
        </w:rPr>
        <w:t xml:space="preserve"> that </w:t>
      </w:r>
      <w:r w:rsidR="00DE549A">
        <w:rPr>
          <w:rFonts w:cs="Open Sans"/>
        </w:rPr>
        <w:t>give</w:t>
      </w:r>
      <w:r w:rsidRPr="00EE5B94">
        <w:rPr>
          <w:rFonts w:cs="Open Sans"/>
        </w:rPr>
        <w:t xml:space="preserve"> them the ability to access all encrypted communications of a particular kind, including those passing between people not suspected of wrongdoing</w:t>
      </w:r>
      <w:r w:rsidR="009A03B5">
        <w:rPr>
          <w:rFonts w:cs="Open Sans"/>
        </w:rPr>
        <w:t>,</w:t>
      </w:r>
      <w:r w:rsidRPr="00EE5B94">
        <w:rPr>
          <w:rFonts w:cs="Open Sans"/>
        </w:rPr>
        <w:t xml:space="preserve"> or</w:t>
      </w:r>
      <w:r w:rsidR="009A03B5">
        <w:rPr>
          <w:rFonts w:cs="Open Sans"/>
        </w:rPr>
        <w:t xml:space="preserve"> </w:t>
      </w:r>
      <w:r w:rsidR="00B65B15">
        <w:rPr>
          <w:rFonts w:cs="Open Sans"/>
        </w:rPr>
        <w:t xml:space="preserve">where communications are </w:t>
      </w:r>
      <w:r w:rsidR="009A03B5">
        <w:rPr>
          <w:rFonts w:cs="Open Sans"/>
        </w:rPr>
        <w:t>not</w:t>
      </w:r>
      <w:r w:rsidRPr="00EE5B94">
        <w:rPr>
          <w:rFonts w:cs="Open Sans"/>
        </w:rPr>
        <w:t xml:space="preserve"> reasonably connected to a particular </w:t>
      </w:r>
      <w:r w:rsidR="00672ADB">
        <w:rPr>
          <w:rFonts w:cs="Open Sans"/>
        </w:rPr>
        <w:t xml:space="preserve">and legitimate </w:t>
      </w:r>
      <w:r w:rsidRPr="00EE5B94">
        <w:rPr>
          <w:rFonts w:cs="Open Sans"/>
        </w:rPr>
        <w:t>matte</w:t>
      </w:r>
      <w:r w:rsidR="00DE549A">
        <w:rPr>
          <w:rFonts w:cs="Open Sans"/>
        </w:rPr>
        <w:t>r</w:t>
      </w:r>
      <w:r>
        <w:rPr>
          <w:rFonts w:cs="Open Sans"/>
        </w:rPr>
        <w:t>.</w:t>
      </w:r>
    </w:p>
    <w:p w14:paraId="153F61B7" w14:textId="7C991677" w:rsidR="00EE5B94" w:rsidRDefault="00EE5B94" w:rsidP="00F61B14">
      <w:pPr>
        <w:pStyle w:val="NoSpacing"/>
        <w:ind w:left="567"/>
        <w:rPr>
          <w:rFonts w:cs="Open Sans"/>
        </w:rPr>
      </w:pPr>
    </w:p>
    <w:p w14:paraId="45878DD1" w14:textId="06881D92" w:rsidR="00600670" w:rsidRPr="00F305E1" w:rsidRDefault="00CE52C1" w:rsidP="004F4432">
      <w:pPr>
        <w:pStyle w:val="NoSpacing"/>
        <w:numPr>
          <w:ilvl w:val="0"/>
          <w:numId w:val="42"/>
        </w:numPr>
        <w:rPr>
          <w:rFonts w:cs="Open Sans"/>
        </w:rPr>
      </w:pPr>
      <w:r w:rsidRPr="00F305E1">
        <w:rPr>
          <w:rFonts w:cs="Open Sans"/>
        </w:rPr>
        <w:t>However,</w:t>
      </w:r>
      <w:r w:rsidR="003909AA" w:rsidRPr="00F305E1">
        <w:rPr>
          <w:rFonts w:cs="Open Sans"/>
        </w:rPr>
        <w:t xml:space="preserve"> </w:t>
      </w:r>
      <w:r w:rsidR="00672ADB">
        <w:rPr>
          <w:rFonts w:cs="Open Sans"/>
        </w:rPr>
        <w:t>the Commission</w:t>
      </w:r>
      <w:r w:rsidR="00672ADB" w:rsidRPr="00F305E1">
        <w:rPr>
          <w:rFonts w:cs="Open Sans"/>
        </w:rPr>
        <w:t xml:space="preserve"> </w:t>
      </w:r>
      <w:r w:rsidR="00600670" w:rsidRPr="00F305E1">
        <w:rPr>
          <w:rFonts w:cs="Open Sans"/>
        </w:rPr>
        <w:t>considers that the</w:t>
      </w:r>
      <w:r w:rsidR="003909AA" w:rsidRPr="00F305E1">
        <w:rPr>
          <w:rFonts w:cs="Open Sans"/>
        </w:rPr>
        <w:t xml:space="preserve"> current form of the</w:t>
      </w:r>
      <w:r w:rsidR="00600670" w:rsidRPr="00F305E1">
        <w:rPr>
          <w:rFonts w:cs="Open Sans"/>
        </w:rPr>
        <w:t xml:space="preserve"> </w:t>
      </w:r>
      <w:r w:rsidR="001C0633">
        <w:rPr>
          <w:rFonts w:cs="Open Sans"/>
        </w:rPr>
        <w:t>‘</w:t>
      </w:r>
      <w:r w:rsidR="00600670" w:rsidRPr="00F305E1">
        <w:rPr>
          <w:rFonts w:cs="Open Sans"/>
        </w:rPr>
        <w:t>systemic weakness</w:t>
      </w:r>
      <w:r w:rsidR="001C0633">
        <w:rPr>
          <w:rFonts w:cs="Open Sans"/>
        </w:rPr>
        <w:t>’</w:t>
      </w:r>
      <w:r w:rsidR="00600670" w:rsidRPr="00F305E1">
        <w:rPr>
          <w:rFonts w:cs="Open Sans"/>
        </w:rPr>
        <w:t xml:space="preserve"> limitation</w:t>
      </w:r>
      <w:r w:rsidR="00017622">
        <w:rPr>
          <w:rFonts w:cs="Open Sans"/>
        </w:rPr>
        <w:t>:</w:t>
      </w:r>
      <w:r w:rsidR="00600670" w:rsidRPr="00F305E1">
        <w:rPr>
          <w:rFonts w:cs="Open Sans"/>
        </w:rPr>
        <w:t xml:space="preserve"> </w:t>
      </w:r>
      <w:r w:rsidR="00017622">
        <w:rPr>
          <w:rFonts w:cs="Open Sans"/>
        </w:rPr>
        <w:t xml:space="preserve">is </w:t>
      </w:r>
      <w:r w:rsidR="003909AA" w:rsidRPr="00F305E1">
        <w:rPr>
          <w:rFonts w:cs="Open Sans"/>
        </w:rPr>
        <w:t>ambiguous</w:t>
      </w:r>
      <w:r w:rsidR="00ED534E">
        <w:rPr>
          <w:rFonts w:cs="Open Sans"/>
        </w:rPr>
        <w:t>;</w:t>
      </w:r>
      <w:r w:rsidR="003909AA" w:rsidRPr="00F305E1">
        <w:rPr>
          <w:rFonts w:cs="Open Sans"/>
        </w:rPr>
        <w:t xml:space="preserve"> </w:t>
      </w:r>
      <w:r w:rsidR="00017622">
        <w:rPr>
          <w:rFonts w:cs="Open Sans"/>
        </w:rPr>
        <w:t xml:space="preserve">is </w:t>
      </w:r>
      <w:r w:rsidR="003909AA" w:rsidRPr="00F305E1">
        <w:rPr>
          <w:rFonts w:cs="Open Sans"/>
        </w:rPr>
        <w:t>potentially</w:t>
      </w:r>
      <w:r w:rsidR="001323E0" w:rsidRPr="00F305E1">
        <w:rPr>
          <w:rFonts w:cs="Open Sans"/>
        </w:rPr>
        <w:t xml:space="preserve"> internally</w:t>
      </w:r>
      <w:r w:rsidR="00600670" w:rsidRPr="00F305E1">
        <w:rPr>
          <w:rFonts w:cs="Open Sans"/>
        </w:rPr>
        <w:t xml:space="preserve"> incoherent</w:t>
      </w:r>
      <w:r w:rsidR="00ED534E">
        <w:rPr>
          <w:rFonts w:cs="Open Sans"/>
        </w:rPr>
        <w:t>;</w:t>
      </w:r>
      <w:r w:rsidR="00600670" w:rsidRPr="00F305E1">
        <w:rPr>
          <w:rFonts w:cs="Open Sans"/>
        </w:rPr>
        <w:t xml:space="preserve"> </w:t>
      </w:r>
      <w:r w:rsidR="003909AA" w:rsidRPr="00F305E1">
        <w:rPr>
          <w:rFonts w:cs="Open Sans"/>
        </w:rPr>
        <w:t>permits extensive access to information beyond what is necessary in a particular instance</w:t>
      </w:r>
      <w:r w:rsidR="00ED534E">
        <w:rPr>
          <w:rFonts w:cs="Open Sans"/>
        </w:rPr>
        <w:t>;</w:t>
      </w:r>
      <w:r w:rsidR="00CC1B4F" w:rsidRPr="00F305E1">
        <w:rPr>
          <w:rFonts w:cs="Open Sans"/>
        </w:rPr>
        <w:t xml:space="preserve"> and could result in </w:t>
      </w:r>
      <w:r w:rsidR="00600670" w:rsidRPr="00F305E1">
        <w:rPr>
          <w:rFonts w:cs="Open Sans"/>
        </w:rPr>
        <w:t>the harm</w:t>
      </w:r>
      <w:r w:rsidR="00CC1B4F" w:rsidRPr="00F305E1">
        <w:rPr>
          <w:rFonts w:cs="Open Sans"/>
        </w:rPr>
        <w:t>s that</w:t>
      </w:r>
      <w:r w:rsidR="00600670" w:rsidRPr="00F305E1">
        <w:rPr>
          <w:rFonts w:cs="Open Sans"/>
        </w:rPr>
        <w:t xml:space="preserve"> it intends to protect against. </w:t>
      </w:r>
    </w:p>
    <w:p w14:paraId="672F9896" w14:textId="77777777" w:rsidR="00600670" w:rsidRPr="00F305E1" w:rsidRDefault="00600670" w:rsidP="00ED1AC1">
      <w:pPr>
        <w:pStyle w:val="NoSpacing"/>
        <w:ind w:left="360"/>
        <w:rPr>
          <w:rFonts w:cs="Open Sans"/>
        </w:rPr>
      </w:pPr>
    </w:p>
    <w:p w14:paraId="3A13244B" w14:textId="6E4A6E96" w:rsidR="001323E0" w:rsidRPr="00F305E1" w:rsidRDefault="00996405" w:rsidP="004F4432">
      <w:pPr>
        <w:pStyle w:val="NoSpacing"/>
        <w:numPr>
          <w:ilvl w:val="0"/>
          <w:numId w:val="42"/>
        </w:numPr>
        <w:rPr>
          <w:rFonts w:cs="Open Sans"/>
        </w:rPr>
      </w:pPr>
      <w:r w:rsidRPr="00F305E1">
        <w:rPr>
          <w:rFonts w:cs="Open Sans"/>
        </w:rPr>
        <w:t xml:space="preserve">First, the meaning of a ‘class of technology’ </w:t>
      </w:r>
      <w:r w:rsidR="00FB635F" w:rsidRPr="00F305E1">
        <w:rPr>
          <w:rFonts w:cs="Open Sans"/>
        </w:rPr>
        <w:t xml:space="preserve">in the definitions of systemic weakness and systemic vulnerability </w:t>
      </w:r>
      <w:r w:rsidRPr="00F305E1">
        <w:rPr>
          <w:rFonts w:cs="Open Sans"/>
        </w:rPr>
        <w:t xml:space="preserve">is not clear. This term is not legislatively defined. </w:t>
      </w:r>
      <w:r w:rsidR="00D85D75" w:rsidRPr="00F305E1">
        <w:rPr>
          <w:rFonts w:cs="Open Sans"/>
        </w:rPr>
        <w:t>The</w:t>
      </w:r>
      <w:r w:rsidR="00B868CD" w:rsidRPr="00F305E1">
        <w:rPr>
          <w:rFonts w:cs="Open Sans"/>
        </w:rPr>
        <w:t xml:space="preserve"> Supplementary</w:t>
      </w:r>
      <w:r w:rsidR="00D85D75" w:rsidRPr="00F305E1">
        <w:rPr>
          <w:rFonts w:cs="Open Sans"/>
        </w:rPr>
        <w:t xml:space="preserve"> Explanatory Memorandum </w:t>
      </w:r>
      <w:r w:rsidR="0079109C">
        <w:rPr>
          <w:rFonts w:cs="Open Sans"/>
        </w:rPr>
        <w:t>states that</w:t>
      </w:r>
      <w:r w:rsidR="0079109C" w:rsidRPr="00F305E1">
        <w:rPr>
          <w:rFonts w:cs="Open Sans"/>
        </w:rPr>
        <w:t xml:space="preserve"> </w:t>
      </w:r>
      <w:r w:rsidR="00CE52C1" w:rsidRPr="00F305E1">
        <w:rPr>
          <w:rFonts w:cs="Open Sans"/>
        </w:rPr>
        <w:t xml:space="preserve">a </w:t>
      </w:r>
      <w:r w:rsidR="00D85D75" w:rsidRPr="00F305E1">
        <w:rPr>
          <w:rFonts w:cs="Open Sans"/>
        </w:rPr>
        <w:t>‘class’</w:t>
      </w:r>
      <w:r w:rsidR="0079109C">
        <w:rPr>
          <w:rFonts w:cs="Open Sans"/>
        </w:rPr>
        <w:t xml:space="preserve"> includes ‘particular mobile device models, carriage services, electronic services or software’. It further states that the term is intended to encompass both old and new technology or a</w:t>
      </w:r>
      <w:r w:rsidR="00CD2C3D" w:rsidRPr="00F305E1">
        <w:rPr>
          <w:rFonts w:cs="Open Sans"/>
        </w:rPr>
        <w:t xml:space="preserve"> ‘subclass’</w:t>
      </w:r>
      <w:r w:rsidR="0079109C">
        <w:rPr>
          <w:rFonts w:cs="Open Sans"/>
        </w:rPr>
        <w:t xml:space="preserve"> within a broader class of technology, for example ‘an iOS mobile operating system within a particular class, or classes, of mobile devices</w:t>
      </w:r>
      <w:r w:rsidR="00094A0C">
        <w:rPr>
          <w:rFonts w:cs="Open Sans"/>
        </w:rPr>
        <w:t>’</w:t>
      </w:r>
      <w:r w:rsidR="00CD2C3D" w:rsidRPr="00F305E1">
        <w:rPr>
          <w:rFonts w:cs="Open Sans"/>
        </w:rPr>
        <w:t xml:space="preserve">. </w:t>
      </w:r>
      <w:r w:rsidR="0079109C">
        <w:rPr>
          <w:rFonts w:cs="Open Sans"/>
        </w:rPr>
        <w:t>The Commission considers that it</w:t>
      </w:r>
      <w:r w:rsidR="0079109C" w:rsidRPr="00F305E1">
        <w:rPr>
          <w:rFonts w:cs="Open Sans"/>
        </w:rPr>
        <w:t xml:space="preserve"> </w:t>
      </w:r>
      <w:r w:rsidR="00CD2C3D" w:rsidRPr="00F305E1">
        <w:rPr>
          <w:rFonts w:cs="Open Sans"/>
        </w:rPr>
        <w:t>is not</w:t>
      </w:r>
      <w:r w:rsidR="00CE52C1" w:rsidRPr="00F305E1">
        <w:rPr>
          <w:rFonts w:cs="Open Sans"/>
        </w:rPr>
        <w:t xml:space="preserve"> clear how</w:t>
      </w:r>
      <w:r w:rsidR="0019642C" w:rsidRPr="00F305E1">
        <w:rPr>
          <w:rFonts w:cs="Open Sans"/>
        </w:rPr>
        <w:t xml:space="preserve"> the boundaries of a </w:t>
      </w:r>
      <w:r w:rsidR="00CD2C3D" w:rsidRPr="00F305E1">
        <w:rPr>
          <w:rFonts w:cs="Open Sans"/>
        </w:rPr>
        <w:t>class can be d</w:t>
      </w:r>
      <w:r w:rsidR="00CE52C1" w:rsidRPr="00F305E1">
        <w:rPr>
          <w:rFonts w:cs="Open Sans"/>
        </w:rPr>
        <w:t>rawn, including</w:t>
      </w:r>
      <w:r w:rsidR="00CD2C3D" w:rsidRPr="00F305E1">
        <w:rPr>
          <w:rFonts w:cs="Open Sans"/>
        </w:rPr>
        <w:t xml:space="preserve"> </w:t>
      </w:r>
      <w:r w:rsidR="00CE52C1" w:rsidRPr="00F305E1">
        <w:rPr>
          <w:rFonts w:cs="Open Sans"/>
        </w:rPr>
        <w:t xml:space="preserve">how </w:t>
      </w:r>
      <w:r w:rsidR="001C0633">
        <w:rPr>
          <w:rFonts w:cs="Open Sans"/>
        </w:rPr>
        <w:t xml:space="preserve">small or </w:t>
      </w:r>
      <w:r w:rsidR="00CE52C1" w:rsidRPr="00F305E1">
        <w:rPr>
          <w:rFonts w:cs="Open Sans"/>
        </w:rPr>
        <w:t xml:space="preserve">large </w:t>
      </w:r>
      <w:r w:rsidR="00ED534E">
        <w:rPr>
          <w:rFonts w:cs="Open Sans"/>
        </w:rPr>
        <w:t xml:space="preserve">a class </w:t>
      </w:r>
      <w:r w:rsidR="0019642C" w:rsidRPr="00F305E1">
        <w:rPr>
          <w:rFonts w:cs="Open Sans"/>
        </w:rPr>
        <w:t>might</w:t>
      </w:r>
      <w:r w:rsidR="00CD2C3D" w:rsidRPr="00F305E1">
        <w:rPr>
          <w:rFonts w:cs="Open Sans"/>
        </w:rPr>
        <w:t xml:space="preserve"> be. </w:t>
      </w:r>
    </w:p>
    <w:p w14:paraId="521FCB43" w14:textId="77777777" w:rsidR="001323E0" w:rsidRPr="00F305E1" w:rsidRDefault="001323E0" w:rsidP="00ED1AC1">
      <w:pPr>
        <w:pStyle w:val="NoSpacing"/>
        <w:rPr>
          <w:rFonts w:cs="Open Sans"/>
        </w:rPr>
      </w:pPr>
    </w:p>
    <w:p w14:paraId="4BC2A29D" w14:textId="425A4A25" w:rsidR="00996405" w:rsidRPr="00F305E1" w:rsidRDefault="003D3316" w:rsidP="004F4432">
      <w:pPr>
        <w:pStyle w:val="NoSpacing"/>
        <w:numPr>
          <w:ilvl w:val="0"/>
          <w:numId w:val="42"/>
        </w:numPr>
        <w:rPr>
          <w:rFonts w:cs="Open Sans"/>
        </w:rPr>
      </w:pPr>
      <w:r>
        <w:rPr>
          <w:rFonts w:cs="Open Sans"/>
        </w:rPr>
        <w:t>I</w:t>
      </w:r>
      <w:r w:rsidR="00CD2C3D" w:rsidRPr="00F305E1">
        <w:rPr>
          <w:rFonts w:cs="Open Sans"/>
        </w:rPr>
        <w:t>t appears that</w:t>
      </w:r>
      <w:r w:rsidR="0019642C" w:rsidRPr="00F305E1">
        <w:rPr>
          <w:rFonts w:cs="Open Sans"/>
        </w:rPr>
        <w:t xml:space="preserve"> a</w:t>
      </w:r>
      <w:r w:rsidR="00CD2C3D" w:rsidRPr="00F305E1">
        <w:rPr>
          <w:rFonts w:cs="Open Sans"/>
        </w:rPr>
        <w:t xml:space="preserve"> </w:t>
      </w:r>
      <w:r w:rsidR="0019642C" w:rsidRPr="00F305E1">
        <w:rPr>
          <w:rFonts w:cs="Open Sans"/>
        </w:rPr>
        <w:t>very wide category</w:t>
      </w:r>
      <w:r w:rsidR="00B868CD" w:rsidRPr="00F305E1">
        <w:rPr>
          <w:rFonts w:cs="Open Sans"/>
        </w:rPr>
        <w:t xml:space="preserve"> of </w:t>
      </w:r>
      <w:r w:rsidR="00CD2C3D" w:rsidRPr="00F305E1">
        <w:rPr>
          <w:rFonts w:cs="Open Sans"/>
        </w:rPr>
        <w:t>technological device</w:t>
      </w:r>
      <w:r w:rsidR="00B868CD" w:rsidRPr="00F305E1">
        <w:rPr>
          <w:rFonts w:cs="Open Sans"/>
        </w:rPr>
        <w:t>s</w:t>
      </w:r>
      <w:r w:rsidR="00CD2C3D" w:rsidRPr="00F305E1">
        <w:rPr>
          <w:rFonts w:cs="Open Sans"/>
        </w:rPr>
        <w:t>, service</w:t>
      </w:r>
      <w:r w:rsidR="00B868CD" w:rsidRPr="00F305E1">
        <w:rPr>
          <w:rFonts w:cs="Open Sans"/>
        </w:rPr>
        <w:t>s</w:t>
      </w:r>
      <w:r w:rsidR="00CD2C3D" w:rsidRPr="00F305E1">
        <w:rPr>
          <w:rFonts w:cs="Open Sans"/>
        </w:rPr>
        <w:t xml:space="preserve"> or software c</w:t>
      </w:r>
      <w:r w:rsidR="0038116B" w:rsidRPr="00F305E1">
        <w:rPr>
          <w:rFonts w:cs="Open Sans"/>
        </w:rPr>
        <w:t>ould</w:t>
      </w:r>
      <w:r w:rsidR="00CD2C3D" w:rsidRPr="00F305E1">
        <w:rPr>
          <w:rFonts w:cs="Open Sans"/>
        </w:rPr>
        <w:t xml:space="preserve"> </w:t>
      </w:r>
      <w:r w:rsidR="00B868CD" w:rsidRPr="00F305E1">
        <w:rPr>
          <w:rFonts w:cs="Open Sans"/>
        </w:rPr>
        <w:t xml:space="preserve">be said to </w:t>
      </w:r>
      <w:r w:rsidR="00CE52C1" w:rsidRPr="00F305E1">
        <w:rPr>
          <w:rFonts w:cs="Open Sans"/>
        </w:rPr>
        <w:t>constitute</w:t>
      </w:r>
      <w:r w:rsidR="0038116B" w:rsidRPr="00F305E1">
        <w:rPr>
          <w:rFonts w:cs="Open Sans"/>
        </w:rPr>
        <w:t xml:space="preserve"> a</w:t>
      </w:r>
      <w:r w:rsidR="00CC1B4F" w:rsidRPr="00F305E1">
        <w:rPr>
          <w:rFonts w:cs="Open Sans"/>
        </w:rPr>
        <w:t xml:space="preserve"> </w:t>
      </w:r>
      <w:r w:rsidR="00DC6719">
        <w:rPr>
          <w:rFonts w:cs="Open Sans"/>
        </w:rPr>
        <w:t>‘</w:t>
      </w:r>
      <w:r w:rsidR="00CC1B4F" w:rsidRPr="00F305E1">
        <w:rPr>
          <w:rFonts w:cs="Open Sans"/>
        </w:rPr>
        <w:t>class</w:t>
      </w:r>
      <w:r w:rsidR="00DC6719">
        <w:rPr>
          <w:rFonts w:cs="Open Sans"/>
        </w:rPr>
        <w:t>’</w:t>
      </w:r>
      <w:r w:rsidR="00CD2C3D" w:rsidRPr="00F305E1">
        <w:rPr>
          <w:rFonts w:cs="Open Sans"/>
        </w:rPr>
        <w:t xml:space="preserve">. </w:t>
      </w:r>
      <w:r w:rsidR="0019642C" w:rsidRPr="00F305E1">
        <w:rPr>
          <w:rFonts w:cs="Open Sans"/>
        </w:rPr>
        <w:t xml:space="preserve">For example, </w:t>
      </w:r>
      <w:r w:rsidR="00B868CD" w:rsidRPr="00F305E1">
        <w:rPr>
          <w:rFonts w:cs="Open Sans"/>
        </w:rPr>
        <w:t>‘</w:t>
      </w:r>
      <w:r w:rsidR="0019642C" w:rsidRPr="00F305E1">
        <w:rPr>
          <w:rFonts w:cs="Open Sans"/>
        </w:rPr>
        <w:t>devices allowing electronic communication</w:t>
      </w:r>
      <w:r w:rsidR="00B868CD" w:rsidRPr="00F305E1">
        <w:rPr>
          <w:rFonts w:cs="Open Sans"/>
        </w:rPr>
        <w:t>’</w:t>
      </w:r>
      <w:r w:rsidR="0019642C" w:rsidRPr="00F305E1">
        <w:rPr>
          <w:rFonts w:cs="Open Sans"/>
        </w:rPr>
        <w:t xml:space="preserve"> could meet the definition of a ‘class’</w:t>
      </w:r>
      <w:r w:rsidR="00DC6719">
        <w:rPr>
          <w:rFonts w:cs="Open Sans"/>
        </w:rPr>
        <w:t xml:space="preserve">, and is evidently extremely broad so as to </w:t>
      </w:r>
      <w:r w:rsidR="00672ADB">
        <w:rPr>
          <w:rFonts w:cs="Open Sans"/>
        </w:rPr>
        <w:t>serve no protective function</w:t>
      </w:r>
      <w:r w:rsidR="0019642C" w:rsidRPr="00F305E1">
        <w:rPr>
          <w:rFonts w:cs="Open Sans"/>
        </w:rPr>
        <w:t xml:space="preserve">. </w:t>
      </w:r>
      <w:r w:rsidR="005A3855" w:rsidRPr="00F305E1">
        <w:rPr>
          <w:rFonts w:cs="Open Sans"/>
        </w:rPr>
        <w:t xml:space="preserve">The Commission </w:t>
      </w:r>
      <w:r w:rsidR="00884BDD" w:rsidRPr="00F305E1">
        <w:rPr>
          <w:rFonts w:cs="Open Sans"/>
        </w:rPr>
        <w:t xml:space="preserve">queries how useful the concept of a </w:t>
      </w:r>
      <w:r w:rsidR="005A3855" w:rsidRPr="00F305E1">
        <w:rPr>
          <w:rFonts w:cs="Open Sans"/>
        </w:rPr>
        <w:t>‘</w:t>
      </w:r>
      <w:r w:rsidR="00884BDD" w:rsidRPr="00F305E1">
        <w:rPr>
          <w:rFonts w:cs="Open Sans"/>
        </w:rPr>
        <w:t>class</w:t>
      </w:r>
      <w:r w:rsidR="005A3855" w:rsidRPr="00F305E1">
        <w:rPr>
          <w:rFonts w:cs="Open Sans"/>
        </w:rPr>
        <w:t>’</w:t>
      </w:r>
      <w:r w:rsidR="00884BDD" w:rsidRPr="00F305E1">
        <w:rPr>
          <w:rFonts w:cs="Open Sans"/>
        </w:rPr>
        <w:t xml:space="preserve"> is</w:t>
      </w:r>
      <w:r w:rsidR="00B868CD" w:rsidRPr="00F305E1">
        <w:rPr>
          <w:rFonts w:cs="Open Sans"/>
        </w:rPr>
        <w:t xml:space="preserve">. If this concept is maintained, </w:t>
      </w:r>
      <w:r w:rsidR="00DC6719">
        <w:rPr>
          <w:rFonts w:cs="Open Sans"/>
        </w:rPr>
        <w:t xml:space="preserve">it </w:t>
      </w:r>
      <w:r w:rsidR="00E042D4" w:rsidRPr="00F305E1">
        <w:rPr>
          <w:rFonts w:cs="Open Sans"/>
        </w:rPr>
        <w:t>should be clearly and precisely defined</w:t>
      </w:r>
      <w:r w:rsidR="002C15A5">
        <w:rPr>
          <w:rFonts w:cs="Open Sans"/>
        </w:rPr>
        <w:t xml:space="preserve"> to protec</w:t>
      </w:r>
      <w:r w:rsidR="00850FC7">
        <w:rPr>
          <w:rFonts w:cs="Open Sans"/>
        </w:rPr>
        <w:t>t</w:t>
      </w:r>
      <w:r w:rsidR="002C15A5">
        <w:rPr>
          <w:rFonts w:cs="Open Sans"/>
        </w:rPr>
        <w:t xml:space="preserve"> the privacy and cybersecurity of innocent third parties</w:t>
      </w:r>
      <w:r w:rsidR="00E042D4" w:rsidRPr="00F305E1">
        <w:rPr>
          <w:rFonts w:cs="Open Sans"/>
        </w:rPr>
        <w:t>.</w:t>
      </w:r>
    </w:p>
    <w:p w14:paraId="02B65130" w14:textId="77777777" w:rsidR="00C63742" w:rsidRPr="00F305E1" w:rsidRDefault="00C63742" w:rsidP="00ED1AC1">
      <w:pPr>
        <w:pStyle w:val="NoSpacing"/>
        <w:ind w:left="360"/>
        <w:rPr>
          <w:rFonts w:cs="Open Sans"/>
        </w:rPr>
      </w:pPr>
    </w:p>
    <w:p w14:paraId="3DB7565D" w14:textId="5D1CAD4E" w:rsidR="005D1029" w:rsidRPr="00F305E1" w:rsidRDefault="00147180" w:rsidP="00B35227">
      <w:pPr>
        <w:pStyle w:val="NoSpacing"/>
        <w:numPr>
          <w:ilvl w:val="0"/>
          <w:numId w:val="42"/>
        </w:numPr>
        <w:rPr>
          <w:rFonts w:cs="Open Sans"/>
          <w:lang w:val="en-US"/>
        </w:rPr>
      </w:pPr>
      <w:r w:rsidRPr="00F305E1">
        <w:rPr>
          <w:rFonts w:cs="Open Sans"/>
        </w:rPr>
        <w:lastRenderedPageBreak/>
        <w:t>Second</w:t>
      </w:r>
      <w:r w:rsidR="00510A3E" w:rsidRPr="00F305E1">
        <w:rPr>
          <w:rFonts w:cs="Open Sans"/>
        </w:rPr>
        <w:t>, the requirement that a systemic weakness or vulnerability affect a ‘</w:t>
      </w:r>
      <w:r w:rsidR="00510A3E" w:rsidRPr="00F305E1">
        <w:rPr>
          <w:rFonts w:cs="Open Sans"/>
          <w:i/>
        </w:rPr>
        <w:t>whole</w:t>
      </w:r>
      <w:r w:rsidR="0019642C" w:rsidRPr="00F305E1">
        <w:rPr>
          <w:rFonts w:cs="Open Sans"/>
        </w:rPr>
        <w:t xml:space="preserve"> </w:t>
      </w:r>
      <w:r w:rsidR="00510A3E" w:rsidRPr="00F305E1">
        <w:rPr>
          <w:rFonts w:cs="Open Sans"/>
        </w:rPr>
        <w:t xml:space="preserve">class of technology’ is an </w:t>
      </w:r>
      <w:r w:rsidR="00B30DC2" w:rsidRPr="00F305E1">
        <w:rPr>
          <w:rFonts w:cs="Open Sans"/>
        </w:rPr>
        <w:t>overly</w:t>
      </w:r>
      <w:r w:rsidR="00510A3E" w:rsidRPr="00F305E1">
        <w:rPr>
          <w:rFonts w:cs="Open Sans"/>
        </w:rPr>
        <w:t xml:space="preserve"> high bar.</w:t>
      </w:r>
      <w:r w:rsidR="005D1029" w:rsidRPr="00F305E1">
        <w:rPr>
          <w:rFonts w:cs="Open Sans"/>
        </w:rPr>
        <w:t xml:space="preserve"> </w:t>
      </w:r>
      <w:r w:rsidR="00510A3E" w:rsidRPr="00F305E1">
        <w:rPr>
          <w:rFonts w:cs="Open Sans"/>
        </w:rPr>
        <w:t>The</w:t>
      </w:r>
      <w:r w:rsidR="00D93E6A" w:rsidRPr="00F305E1">
        <w:rPr>
          <w:rFonts w:cs="Open Sans"/>
        </w:rPr>
        <w:t xml:space="preserve"> word ‘whole’ implies that </w:t>
      </w:r>
      <w:r w:rsidR="005D1029" w:rsidRPr="00F305E1">
        <w:rPr>
          <w:rFonts w:cs="Open Sans"/>
        </w:rPr>
        <w:t>the</w:t>
      </w:r>
      <w:r w:rsidR="00D93E6A" w:rsidRPr="00F305E1">
        <w:rPr>
          <w:rFonts w:cs="Open Sans"/>
        </w:rPr>
        <w:t xml:space="preserve"> </w:t>
      </w:r>
      <w:r w:rsidR="00D93E6A" w:rsidRPr="00F305E1">
        <w:rPr>
          <w:rFonts w:cs="Open Sans"/>
          <w:i/>
        </w:rPr>
        <w:t xml:space="preserve">entire </w:t>
      </w:r>
      <w:r w:rsidR="005D1029" w:rsidRPr="00F305E1">
        <w:rPr>
          <w:rFonts w:cs="Open Sans"/>
        </w:rPr>
        <w:t xml:space="preserve">relevant </w:t>
      </w:r>
      <w:r w:rsidR="00D93E6A" w:rsidRPr="00F305E1">
        <w:rPr>
          <w:rFonts w:cs="Open Sans"/>
        </w:rPr>
        <w:t>category of dev</w:t>
      </w:r>
      <w:r w:rsidR="005A3855" w:rsidRPr="00F305E1">
        <w:rPr>
          <w:rFonts w:cs="Open Sans"/>
        </w:rPr>
        <w:t>ice or service</w:t>
      </w:r>
      <w:r w:rsidR="00B36FDC">
        <w:rPr>
          <w:rFonts w:cs="Open Sans"/>
        </w:rPr>
        <w:t xml:space="preserve"> or software</w:t>
      </w:r>
      <w:r w:rsidR="005A3855" w:rsidRPr="00F305E1">
        <w:rPr>
          <w:rFonts w:cs="Open Sans"/>
        </w:rPr>
        <w:t xml:space="preserve"> </w:t>
      </w:r>
      <w:r w:rsidR="00D93E6A" w:rsidRPr="00F305E1">
        <w:rPr>
          <w:rFonts w:cs="Open Sans"/>
        </w:rPr>
        <w:t xml:space="preserve">must be affected before a systemic weakness is established. </w:t>
      </w:r>
      <w:r w:rsidR="00B35227">
        <w:rPr>
          <w:rFonts w:cs="Open Sans"/>
        </w:rPr>
        <w:t xml:space="preserve">The </w:t>
      </w:r>
      <w:r w:rsidR="00B35227" w:rsidRPr="00F305E1">
        <w:rPr>
          <w:rFonts w:cs="Open Sans"/>
        </w:rPr>
        <w:t>Supplementary Explanatory Memorandum</w:t>
      </w:r>
      <w:r w:rsidR="00B35227">
        <w:rPr>
          <w:rFonts w:cs="Open Sans"/>
        </w:rPr>
        <w:t xml:space="preserve"> states that ‘w</w:t>
      </w:r>
      <w:r w:rsidR="00B35227" w:rsidRPr="00B35227">
        <w:rPr>
          <w:rFonts w:cs="Open Sans"/>
        </w:rPr>
        <w:t>here requirements in a notice make the whole set of these items more vulnerable, it will be prohibited</w:t>
      </w:r>
      <w:r w:rsidR="00B35227">
        <w:rPr>
          <w:rFonts w:cs="Open Sans"/>
        </w:rPr>
        <w:t>’.</w:t>
      </w:r>
    </w:p>
    <w:p w14:paraId="64073ABF" w14:textId="77777777" w:rsidR="005D1029" w:rsidRPr="00F305E1" w:rsidRDefault="005D1029" w:rsidP="00ED1AC1">
      <w:pPr>
        <w:pStyle w:val="NoSpacing"/>
        <w:ind w:left="360"/>
        <w:rPr>
          <w:rFonts w:cs="Open Sans"/>
        </w:rPr>
      </w:pPr>
    </w:p>
    <w:p w14:paraId="07F3DB35" w14:textId="7AE80D78" w:rsidR="007000F9" w:rsidRPr="00F305E1" w:rsidRDefault="00D93E6A" w:rsidP="00CB357D">
      <w:pPr>
        <w:pStyle w:val="NoSpacing"/>
        <w:numPr>
          <w:ilvl w:val="0"/>
          <w:numId w:val="42"/>
        </w:numPr>
        <w:rPr>
          <w:rFonts w:cs="Open Sans"/>
        </w:rPr>
      </w:pPr>
      <w:r w:rsidRPr="00F305E1">
        <w:rPr>
          <w:rFonts w:cs="Open Sans"/>
        </w:rPr>
        <w:t>The Commission is concerned that there may be circumstances where</w:t>
      </w:r>
      <w:r w:rsidR="008B72B5" w:rsidRPr="00F305E1">
        <w:rPr>
          <w:rFonts w:cs="Open Sans"/>
        </w:rPr>
        <w:t>,</w:t>
      </w:r>
      <w:r w:rsidRPr="00F305E1">
        <w:rPr>
          <w:rFonts w:cs="Open Sans"/>
        </w:rPr>
        <w:t xml:space="preserve"> </w:t>
      </w:r>
      <w:r w:rsidR="00C5654B" w:rsidRPr="00F305E1">
        <w:rPr>
          <w:rFonts w:cs="Open Sans"/>
        </w:rPr>
        <w:t>for example</w:t>
      </w:r>
      <w:r w:rsidR="008B72B5" w:rsidRPr="00F305E1">
        <w:rPr>
          <w:rFonts w:cs="Open Sans"/>
        </w:rPr>
        <w:t>,</w:t>
      </w:r>
      <w:r w:rsidR="00C5654B" w:rsidRPr="00F305E1">
        <w:rPr>
          <w:rFonts w:cs="Open Sans"/>
        </w:rPr>
        <w:t xml:space="preserve"> </w:t>
      </w:r>
      <w:r w:rsidRPr="00F305E1">
        <w:rPr>
          <w:rFonts w:cs="Open Sans"/>
        </w:rPr>
        <w:t>a</w:t>
      </w:r>
      <w:r w:rsidR="00886298" w:rsidRPr="00F305E1">
        <w:rPr>
          <w:rFonts w:cs="Open Sans"/>
        </w:rPr>
        <w:t xml:space="preserve"> measure has detrimental impacts on a</w:t>
      </w:r>
      <w:r w:rsidRPr="00F305E1">
        <w:rPr>
          <w:rFonts w:cs="Open Sans"/>
        </w:rPr>
        <w:t xml:space="preserve"> significant proportion of users</w:t>
      </w:r>
      <w:r w:rsidR="003314FF">
        <w:rPr>
          <w:rFonts w:cs="Open Sans"/>
        </w:rPr>
        <w:t>,</w:t>
      </w:r>
      <w:r w:rsidR="008B72B5" w:rsidRPr="00F305E1">
        <w:rPr>
          <w:rFonts w:cs="Open Sans"/>
        </w:rPr>
        <w:t xml:space="preserve"> </w:t>
      </w:r>
      <w:r w:rsidR="001C0633">
        <w:rPr>
          <w:rFonts w:cs="Open Sans"/>
        </w:rPr>
        <w:t xml:space="preserve">or a significant number of users, </w:t>
      </w:r>
      <w:r w:rsidRPr="00F305E1">
        <w:rPr>
          <w:rFonts w:cs="Open Sans"/>
        </w:rPr>
        <w:t xml:space="preserve">but not </w:t>
      </w:r>
      <w:r w:rsidR="00886298" w:rsidRPr="00F305E1">
        <w:rPr>
          <w:rFonts w:cs="Open Sans"/>
        </w:rPr>
        <w:t xml:space="preserve">all users, </w:t>
      </w:r>
      <w:r w:rsidRPr="00F305E1">
        <w:rPr>
          <w:rFonts w:cs="Open Sans"/>
        </w:rPr>
        <w:t>a</w:t>
      </w:r>
      <w:r w:rsidR="00886298" w:rsidRPr="00F305E1">
        <w:rPr>
          <w:rFonts w:cs="Open Sans"/>
        </w:rPr>
        <w:t xml:space="preserve">nd therefore </w:t>
      </w:r>
      <w:r w:rsidR="00C5654B" w:rsidRPr="00F305E1">
        <w:rPr>
          <w:rFonts w:cs="Open Sans"/>
        </w:rPr>
        <w:t>cannot be said to affect a</w:t>
      </w:r>
      <w:r w:rsidRPr="00F305E1">
        <w:rPr>
          <w:rFonts w:cs="Open Sans"/>
        </w:rPr>
        <w:t xml:space="preserve"> </w:t>
      </w:r>
      <w:r w:rsidR="00886298" w:rsidRPr="00F305E1">
        <w:rPr>
          <w:rFonts w:cs="Open Sans"/>
        </w:rPr>
        <w:t>‘whole</w:t>
      </w:r>
      <w:r w:rsidR="008B72B5" w:rsidRPr="00F305E1">
        <w:rPr>
          <w:rFonts w:cs="Open Sans"/>
        </w:rPr>
        <w:t>’</w:t>
      </w:r>
      <w:r w:rsidR="00886298" w:rsidRPr="00F305E1">
        <w:rPr>
          <w:rFonts w:cs="Open Sans"/>
        </w:rPr>
        <w:t xml:space="preserve"> class. </w:t>
      </w:r>
      <w:r w:rsidR="00B35227" w:rsidRPr="00CB357D">
        <w:rPr>
          <w:rFonts w:cs="Open Sans"/>
        </w:rPr>
        <w:t xml:space="preserve">It is also unclear, on the natural and ordinary meaning of ‘whole’ and ‘class’, how an individual software application could be said to constitute a whole class of technology. For example, the Facebook Messenger phone application is ‘software’, </w:t>
      </w:r>
      <w:r w:rsidR="00B36FDC" w:rsidRPr="00CB357D">
        <w:rPr>
          <w:rFonts w:cs="Open Sans"/>
        </w:rPr>
        <w:t xml:space="preserve">but it is not evident how it could form a ‘class’ let alone a ‘whole set’ of ‘items’. The Commission considers that </w:t>
      </w:r>
      <w:r w:rsidR="00CB357D" w:rsidRPr="00CB357D">
        <w:rPr>
          <w:rFonts w:cs="Open Sans"/>
        </w:rPr>
        <w:t>meaning of ‘affects a whole class of technology’ should be clarified to ensure that the systemic weakness limitation is applied to i</w:t>
      </w:r>
      <w:r w:rsidR="00CB357D">
        <w:rPr>
          <w:rFonts w:cs="Open Sans"/>
        </w:rPr>
        <w:t>ndividual software applications</w:t>
      </w:r>
      <w:r w:rsidR="00CB357D" w:rsidRPr="00CB357D">
        <w:rPr>
          <w:rFonts w:cs="Open Sans"/>
        </w:rPr>
        <w:t>.</w:t>
      </w:r>
    </w:p>
    <w:p w14:paraId="5922388B" w14:textId="77777777" w:rsidR="002B5243" w:rsidRPr="00F305E1" w:rsidRDefault="002B5243" w:rsidP="00ED1AC1">
      <w:pPr>
        <w:pStyle w:val="NoSpacing"/>
        <w:ind w:left="360"/>
        <w:rPr>
          <w:rFonts w:cs="Open Sans"/>
        </w:rPr>
      </w:pPr>
    </w:p>
    <w:p w14:paraId="0D1E1847" w14:textId="25467274" w:rsidR="00D93E6A" w:rsidRPr="00F305E1" w:rsidRDefault="00886298" w:rsidP="004F4432">
      <w:pPr>
        <w:pStyle w:val="NoSpacing"/>
        <w:numPr>
          <w:ilvl w:val="0"/>
          <w:numId w:val="42"/>
        </w:numPr>
        <w:rPr>
          <w:rFonts w:cs="Open Sans"/>
        </w:rPr>
      </w:pPr>
      <w:r w:rsidRPr="00F305E1">
        <w:rPr>
          <w:rFonts w:cs="Open Sans"/>
        </w:rPr>
        <w:t>T</w:t>
      </w:r>
      <w:r w:rsidR="00D93E6A" w:rsidRPr="00F305E1">
        <w:rPr>
          <w:rFonts w:cs="Open Sans"/>
        </w:rPr>
        <w:t>he Commission co</w:t>
      </w:r>
      <w:r w:rsidRPr="00F305E1">
        <w:rPr>
          <w:rFonts w:cs="Open Sans"/>
        </w:rPr>
        <w:t xml:space="preserve">nsiders that </w:t>
      </w:r>
      <w:r w:rsidR="007000F9" w:rsidRPr="00F305E1">
        <w:rPr>
          <w:rFonts w:cs="Open Sans"/>
        </w:rPr>
        <w:t>s 317G</w:t>
      </w:r>
      <w:r w:rsidRPr="00F305E1">
        <w:rPr>
          <w:rFonts w:cs="Open Sans"/>
        </w:rPr>
        <w:t xml:space="preserve"> should</w:t>
      </w:r>
      <w:r w:rsidR="007000F9" w:rsidRPr="00F305E1">
        <w:rPr>
          <w:rFonts w:cs="Open Sans"/>
        </w:rPr>
        <w:t xml:space="preserve"> be </w:t>
      </w:r>
      <w:r w:rsidR="002E78A7" w:rsidRPr="00F305E1">
        <w:rPr>
          <w:rFonts w:cs="Open Sans"/>
        </w:rPr>
        <w:t>amended</w:t>
      </w:r>
      <w:r w:rsidR="007000F9" w:rsidRPr="00F305E1">
        <w:rPr>
          <w:rFonts w:cs="Open Sans"/>
        </w:rPr>
        <w:t xml:space="preserve"> to</w:t>
      </w:r>
      <w:r w:rsidRPr="00F305E1">
        <w:rPr>
          <w:rFonts w:cs="Open Sans"/>
        </w:rPr>
        <w:t xml:space="preserve"> </w:t>
      </w:r>
      <w:r w:rsidR="008B72B5" w:rsidRPr="00F305E1">
        <w:rPr>
          <w:rFonts w:cs="Open Sans"/>
        </w:rPr>
        <w:t xml:space="preserve">prevent assistance measures that negatively impact </w:t>
      </w:r>
      <w:r w:rsidR="001323E0" w:rsidRPr="00F305E1">
        <w:rPr>
          <w:rFonts w:cs="Open Sans"/>
        </w:rPr>
        <w:t xml:space="preserve">on </w:t>
      </w:r>
      <w:r w:rsidR="008B72B5" w:rsidRPr="00F305E1">
        <w:rPr>
          <w:rFonts w:cs="Open Sans"/>
        </w:rPr>
        <w:t>the privacy or cybersecurity of a</w:t>
      </w:r>
      <w:r w:rsidR="007000F9" w:rsidRPr="00F305E1">
        <w:rPr>
          <w:rFonts w:cs="Open Sans"/>
        </w:rPr>
        <w:t xml:space="preserve"> </w:t>
      </w:r>
      <w:r w:rsidR="001323E0" w:rsidRPr="00F305E1">
        <w:rPr>
          <w:rFonts w:cs="Open Sans"/>
        </w:rPr>
        <w:t>significant proportion</w:t>
      </w:r>
      <w:r w:rsidR="001C0633">
        <w:rPr>
          <w:rFonts w:cs="Open Sans"/>
        </w:rPr>
        <w:t xml:space="preserve"> or number</w:t>
      </w:r>
      <w:r w:rsidR="001323E0" w:rsidRPr="00F305E1">
        <w:rPr>
          <w:rFonts w:cs="Open Sans"/>
        </w:rPr>
        <w:t xml:space="preserve"> </w:t>
      </w:r>
      <w:r w:rsidR="002F5A38">
        <w:rPr>
          <w:rFonts w:cs="Open Sans"/>
        </w:rPr>
        <w:t>of innocent third parties</w:t>
      </w:r>
      <w:r w:rsidR="001323E0" w:rsidRPr="00F305E1">
        <w:rPr>
          <w:rFonts w:cs="Open Sans"/>
        </w:rPr>
        <w:t xml:space="preserve">. </w:t>
      </w:r>
      <w:r w:rsidR="003314FF">
        <w:rPr>
          <w:rFonts w:cs="Open Sans"/>
        </w:rPr>
        <w:t>This should be in addition to prohibiting</w:t>
      </w:r>
      <w:r w:rsidR="007000F9" w:rsidRPr="00F305E1">
        <w:rPr>
          <w:rFonts w:cs="Open Sans"/>
        </w:rPr>
        <w:t xml:space="preserve"> the weakening of a </w:t>
      </w:r>
      <w:r w:rsidR="00C64A1D" w:rsidRPr="00F305E1">
        <w:rPr>
          <w:rFonts w:cs="Open Sans"/>
        </w:rPr>
        <w:t xml:space="preserve">significant part of </w:t>
      </w:r>
      <w:r w:rsidR="007000F9" w:rsidRPr="00F305E1">
        <w:rPr>
          <w:rFonts w:cs="Open Sans"/>
        </w:rPr>
        <w:t>a</w:t>
      </w:r>
      <w:r w:rsidR="00C64A1D" w:rsidRPr="00F305E1">
        <w:rPr>
          <w:rFonts w:cs="Open Sans"/>
        </w:rPr>
        <w:t xml:space="preserve"> relevant system</w:t>
      </w:r>
      <w:r w:rsidR="00E042D4" w:rsidRPr="00F305E1">
        <w:rPr>
          <w:rFonts w:cs="Open Sans"/>
        </w:rPr>
        <w:t>,</w:t>
      </w:r>
      <w:r w:rsidR="008B72B5" w:rsidRPr="00F305E1">
        <w:rPr>
          <w:rFonts w:cs="Open Sans"/>
        </w:rPr>
        <w:t xml:space="preserve"> as well as </w:t>
      </w:r>
      <w:r w:rsidR="001323E0" w:rsidRPr="00F305E1">
        <w:rPr>
          <w:rFonts w:cs="Open Sans"/>
        </w:rPr>
        <w:t>the</w:t>
      </w:r>
      <w:r w:rsidR="008B72B5" w:rsidRPr="00F305E1">
        <w:rPr>
          <w:rFonts w:cs="Open Sans"/>
        </w:rPr>
        <w:t xml:space="preserve"> whole system</w:t>
      </w:r>
      <w:r w:rsidR="00C64A1D" w:rsidRPr="00F305E1">
        <w:rPr>
          <w:rFonts w:cs="Open Sans"/>
        </w:rPr>
        <w:t>.</w:t>
      </w:r>
    </w:p>
    <w:p w14:paraId="05E92DFF" w14:textId="77777777" w:rsidR="00D93E6A" w:rsidRPr="00F305E1" w:rsidRDefault="00D93E6A" w:rsidP="00ED1AC1">
      <w:pPr>
        <w:pStyle w:val="NoSpacing"/>
        <w:rPr>
          <w:rFonts w:cs="Open Sans"/>
        </w:rPr>
      </w:pPr>
    </w:p>
    <w:p w14:paraId="66F59341" w14:textId="486B9DCB" w:rsidR="00B868CD" w:rsidRDefault="00CE4903" w:rsidP="00A044E9">
      <w:pPr>
        <w:pStyle w:val="NoSpacing"/>
        <w:numPr>
          <w:ilvl w:val="0"/>
          <w:numId w:val="42"/>
        </w:numPr>
        <w:rPr>
          <w:rFonts w:cs="Open Sans"/>
        </w:rPr>
      </w:pPr>
      <w:r w:rsidRPr="00F305E1">
        <w:rPr>
          <w:rFonts w:cs="Open Sans"/>
        </w:rPr>
        <w:t>Th</w:t>
      </w:r>
      <w:r w:rsidR="00996405" w:rsidRPr="00F305E1">
        <w:rPr>
          <w:rFonts w:cs="Open Sans"/>
        </w:rPr>
        <w:t>ird, the</w:t>
      </w:r>
      <w:r w:rsidRPr="00F305E1">
        <w:rPr>
          <w:rFonts w:cs="Open Sans"/>
        </w:rPr>
        <w:t xml:space="preserve"> Commission is concerned that </w:t>
      </w:r>
      <w:r w:rsidR="006A25B1" w:rsidRPr="00F305E1">
        <w:rPr>
          <w:rFonts w:cs="Open Sans"/>
        </w:rPr>
        <w:t>the interaction between</w:t>
      </w:r>
      <w:r w:rsidR="003E14C2" w:rsidRPr="00F305E1">
        <w:rPr>
          <w:rFonts w:cs="Open Sans"/>
        </w:rPr>
        <w:t xml:space="preserve"> the relevant definitions in</w:t>
      </w:r>
      <w:r w:rsidRPr="00F305E1">
        <w:rPr>
          <w:rFonts w:cs="Open Sans"/>
        </w:rPr>
        <w:t xml:space="preserve"> </w:t>
      </w:r>
      <w:r w:rsidR="006A25B1" w:rsidRPr="00F305E1">
        <w:rPr>
          <w:rFonts w:cs="Open Sans"/>
        </w:rPr>
        <w:t>s</w:t>
      </w:r>
      <w:r w:rsidRPr="00F305E1">
        <w:rPr>
          <w:rFonts w:cs="Open Sans"/>
        </w:rPr>
        <w:t xml:space="preserve"> 317B</w:t>
      </w:r>
      <w:r w:rsidR="006A25B1" w:rsidRPr="00F305E1">
        <w:rPr>
          <w:rFonts w:cs="Open Sans"/>
        </w:rPr>
        <w:t xml:space="preserve"> and </w:t>
      </w:r>
      <w:r w:rsidR="003E14C2" w:rsidRPr="00F305E1">
        <w:rPr>
          <w:rFonts w:cs="Open Sans"/>
        </w:rPr>
        <w:t xml:space="preserve">the limitation in </w:t>
      </w:r>
      <w:r w:rsidR="00B868CD" w:rsidRPr="00F305E1">
        <w:rPr>
          <w:rFonts w:cs="Open Sans"/>
        </w:rPr>
        <w:t xml:space="preserve">ss </w:t>
      </w:r>
      <w:r w:rsidR="006A25B1" w:rsidRPr="00F305E1">
        <w:rPr>
          <w:rFonts w:cs="Open Sans"/>
        </w:rPr>
        <w:t>317ZG</w:t>
      </w:r>
      <w:r w:rsidR="0082392A" w:rsidRPr="00F305E1">
        <w:rPr>
          <w:rFonts w:cs="Open Sans"/>
        </w:rPr>
        <w:t>(4A)–(4C)</w:t>
      </w:r>
      <w:r w:rsidR="006A25B1" w:rsidRPr="00F305E1">
        <w:rPr>
          <w:rFonts w:cs="Open Sans"/>
        </w:rPr>
        <w:t xml:space="preserve"> is not c</w:t>
      </w:r>
      <w:r w:rsidR="008D0271" w:rsidRPr="00F305E1">
        <w:rPr>
          <w:rFonts w:cs="Open Sans"/>
        </w:rPr>
        <w:t>lear</w:t>
      </w:r>
      <w:r w:rsidR="006A25B1" w:rsidRPr="00F305E1">
        <w:rPr>
          <w:rFonts w:cs="Open Sans"/>
        </w:rPr>
        <w:t>, undermining the safeguard that prevents the information security of third parties being jeopardised</w:t>
      </w:r>
      <w:r w:rsidRPr="00F305E1">
        <w:rPr>
          <w:rFonts w:cs="Open Sans"/>
        </w:rPr>
        <w:t xml:space="preserve">. </w:t>
      </w:r>
    </w:p>
    <w:p w14:paraId="3718361B" w14:textId="77777777" w:rsidR="00A044E9" w:rsidRPr="00A044E9" w:rsidRDefault="00A044E9" w:rsidP="00A044E9">
      <w:pPr>
        <w:pStyle w:val="NoSpacing"/>
        <w:ind w:left="567"/>
        <w:rPr>
          <w:rFonts w:cs="Open Sans"/>
        </w:rPr>
      </w:pPr>
    </w:p>
    <w:p w14:paraId="1D42836C" w14:textId="4054CFFD" w:rsidR="005B611E" w:rsidRDefault="00B868CD" w:rsidP="00631E72">
      <w:pPr>
        <w:pStyle w:val="NoSpacing"/>
        <w:numPr>
          <w:ilvl w:val="0"/>
          <w:numId w:val="42"/>
        </w:numPr>
        <w:rPr>
          <w:rFonts w:cs="Open Sans"/>
        </w:rPr>
      </w:pPr>
      <w:r w:rsidRPr="00F305E1">
        <w:rPr>
          <w:rFonts w:cs="Open Sans"/>
        </w:rPr>
        <w:t>On one reading, ss 317ZG(4A)</w:t>
      </w:r>
      <w:r w:rsidR="00A044E9" w:rsidRPr="00F305E1">
        <w:rPr>
          <w:rFonts w:cs="Open Sans"/>
        </w:rPr>
        <w:t>–</w:t>
      </w:r>
      <w:r w:rsidRPr="00F305E1">
        <w:rPr>
          <w:rFonts w:cs="Open Sans"/>
        </w:rPr>
        <w:t xml:space="preserve">(4C) could overcome the problems </w:t>
      </w:r>
      <w:r w:rsidR="005B611E">
        <w:rPr>
          <w:rFonts w:cs="Open Sans"/>
        </w:rPr>
        <w:t xml:space="preserve">identified above, </w:t>
      </w:r>
      <w:r w:rsidR="000A0152" w:rsidRPr="00F305E1">
        <w:rPr>
          <w:rFonts w:cs="Open Sans"/>
        </w:rPr>
        <w:t xml:space="preserve">to prevent a weakness being introduced into a target device where it jeopardises the information held by any other person. </w:t>
      </w:r>
    </w:p>
    <w:p w14:paraId="5EEDE281" w14:textId="77777777" w:rsidR="005B611E" w:rsidRDefault="005B611E" w:rsidP="005B611E">
      <w:pPr>
        <w:pStyle w:val="NoSpacing"/>
        <w:ind w:left="567"/>
        <w:rPr>
          <w:rFonts w:cs="Open Sans"/>
        </w:rPr>
      </w:pPr>
    </w:p>
    <w:p w14:paraId="6510BC0C" w14:textId="59BBD2A1" w:rsidR="000A0152" w:rsidRPr="00F305E1" w:rsidRDefault="00B868CD" w:rsidP="00631E72">
      <w:pPr>
        <w:pStyle w:val="NoSpacing"/>
        <w:numPr>
          <w:ilvl w:val="0"/>
          <w:numId w:val="42"/>
        </w:numPr>
        <w:rPr>
          <w:rFonts w:cs="Open Sans"/>
        </w:rPr>
      </w:pPr>
      <w:r w:rsidRPr="00F305E1">
        <w:rPr>
          <w:rFonts w:cs="Open Sans"/>
        </w:rPr>
        <w:t xml:space="preserve">However, </w:t>
      </w:r>
      <w:r w:rsidR="000A0152" w:rsidRPr="00F305E1">
        <w:rPr>
          <w:rFonts w:cs="Open Sans"/>
        </w:rPr>
        <w:t xml:space="preserve">a possible alternative reading of ss </w:t>
      </w:r>
      <w:r w:rsidR="00A044E9">
        <w:rPr>
          <w:rFonts w:cs="Open Sans"/>
        </w:rPr>
        <w:t>317ZG(4A)</w:t>
      </w:r>
      <w:r w:rsidR="00A044E9" w:rsidRPr="00F305E1">
        <w:rPr>
          <w:rFonts w:cs="Open Sans"/>
        </w:rPr>
        <w:t>–</w:t>
      </w:r>
      <w:r w:rsidR="000A0152" w:rsidRPr="00F305E1">
        <w:rPr>
          <w:rFonts w:cs="Open Sans"/>
        </w:rPr>
        <w:t>(4C</w:t>
      </w:r>
      <w:r w:rsidR="00631E72" w:rsidRPr="00F305E1">
        <w:rPr>
          <w:rFonts w:cs="Open Sans"/>
        </w:rPr>
        <w:t>) would give those provision</w:t>
      </w:r>
      <w:r w:rsidR="00323F2D">
        <w:rPr>
          <w:rFonts w:cs="Open Sans"/>
        </w:rPr>
        <w:t>s</w:t>
      </w:r>
      <w:r w:rsidR="00631E72" w:rsidRPr="00F305E1">
        <w:rPr>
          <w:rFonts w:cs="Open Sans"/>
        </w:rPr>
        <w:t xml:space="preserve"> no effect, as explained below</w:t>
      </w:r>
      <w:r w:rsidR="000A0152" w:rsidRPr="00F305E1">
        <w:rPr>
          <w:rFonts w:cs="Open Sans"/>
        </w:rPr>
        <w:t>.</w:t>
      </w:r>
    </w:p>
    <w:p w14:paraId="59E00D43" w14:textId="77777777" w:rsidR="006A25B1" w:rsidRPr="00F305E1" w:rsidRDefault="006A25B1" w:rsidP="00ED1AC1">
      <w:pPr>
        <w:pStyle w:val="NoSpacing"/>
        <w:ind w:left="360"/>
        <w:rPr>
          <w:rFonts w:cs="Open Sans"/>
        </w:rPr>
      </w:pPr>
    </w:p>
    <w:p w14:paraId="2340DE48" w14:textId="62026F94" w:rsidR="005A3855" w:rsidRPr="00F305E1" w:rsidRDefault="00CE4903" w:rsidP="004F4432">
      <w:pPr>
        <w:pStyle w:val="NoSpacing"/>
        <w:numPr>
          <w:ilvl w:val="0"/>
          <w:numId w:val="42"/>
        </w:numPr>
        <w:rPr>
          <w:rFonts w:cs="Open Sans"/>
        </w:rPr>
      </w:pPr>
      <w:r w:rsidRPr="00F305E1">
        <w:rPr>
          <w:rFonts w:cs="Open Sans"/>
        </w:rPr>
        <w:t>Section 317B</w:t>
      </w:r>
      <w:r w:rsidR="00EC64F2" w:rsidRPr="00F305E1">
        <w:rPr>
          <w:rFonts w:cs="Open Sans"/>
        </w:rPr>
        <w:t xml:space="preserve"> defines ‘systemic weakness’ to </w:t>
      </w:r>
      <w:r w:rsidR="00EC64F2" w:rsidRPr="00F305E1">
        <w:rPr>
          <w:rFonts w:cs="Open Sans"/>
          <w:i/>
        </w:rPr>
        <w:t>exclude</w:t>
      </w:r>
      <w:r w:rsidRPr="00F305E1">
        <w:rPr>
          <w:rFonts w:cs="Open Sans"/>
        </w:rPr>
        <w:t xml:space="preserve"> ‘a weakness that is selectively introduced to one or more target technologies that are connected with a particular person’ from the definition of ‘systemic weakness’. </w:t>
      </w:r>
    </w:p>
    <w:p w14:paraId="5770DEAE" w14:textId="77777777" w:rsidR="005A3855" w:rsidRPr="00F305E1" w:rsidRDefault="005A3855" w:rsidP="00ED1AC1">
      <w:pPr>
        <w:pStyle w:val="NoSpacing"/>
        <w:ind w:left="360"/>
        <w:rPr>
          <w:rFonts w:cs="Open Sans"/>
        </w:rPr>
      </w:pPr>
    </w:p>
    <w:p w14:paraId="115AEAFE" w14:textId="1BFA2758" w:rsidR="00566AEC" w:rsidRPr="00F305E1" w:rsidRDefault="00CE4903" w:rsidP="004F4432">
      <w:pPr>
        <w:pStyle w:val="NoSpacing"/>
        <w:numPr>
          <w:ilvl w:val="0"/>
          <w:numId w:val="42"/>
        </w:numPr>
        <w:rPr>
          <w:rFonts w:cs="Open Sans"/>
        </w:rPr>
      </w:pPr>
      <w:r w:rsidRPr="00F305E1">
        <w:rPr>
          <w:rFonts w:cs="Open Sans"/>
        </w:rPr>
        <w:lastRenderedPageBreak/>
        <w:t>Subsection 317ZG(4A)</w:t>
      </w:r>
      <w:r w:rsidR="006A25B1" w:rsidRPr="00F305E1">
        <w:rPr>
          <w:rFonts w:cs="Open Sans"/>
        </w:rPr>
        <w:t xml:space="preserve"> then</w:t>
      </w:r>
      <w:r w:rsidRPr="00F305E1">
        <w:rPr>
          <w:rFonts w:cs="Open Sans"/>
        </w:rPr>
        <w:t xml:space="preserve"> seeks to rein</w:t>
      </w:r>
      <w:r w:rsidR="00EC64F2" w:rsidRPr="00F305E1">
        <w:rPr>
          <w:rFonts w:cs="Open Sans"/>
        </w:rPr>
        <w:t>troduce</w:t>
      </w:r>
      <w:r w:rsidRPr="00F305E1">
        <w:rPr>
          <w:rFonts w:cs="Open Sans"/>
        </w:rPr>
        <w:t xml:space="preserve"> </w:t>
      </w:r>
      <w:r w:rsidR="00EC64F2" w:rsidRPr="00F305E1">
        <w:rPr>
          <w:rFonts w:cs="Open Sans"/>
        </w:rPr>
        <w:t>such a selective</w:t>
      </w:r>
      <w:r w:rsidR="00094D3E" w:rsidRPr="00F305E1">
        <w:rPr>
          <w:rFonts w:cs="Open Sans"/>
        </w:rPr>
        <w:t>ly introduced</w:t>
      </w:r>
      <w:r w:rsidR="00EC64F2" w:rsidRPr="00F305E1">
        <w:rPr>
          <w:rFonts w:cs="Open Sans"/>
        </w:rPr>
        <w:t xml:space="preserve"> weakness into the definition of ‘systemic weakness’</w:t>
      </w:r>
      <w:r w:rsidR="006A25B1" w:rsidRPr="00F305E1">
        <w:rPr>
          <w:rFonts w:cs="Open Sans"/>
        </w:rPr>
        <w:t xml:space="preserve"> in s</w:t>
      </w:r>
      <w:r w:rsidR="00434037">
        <w:rPr>
          <w:rFonts w:cs="Open Sans"/>
        </w:rPr>
        <w:t>s</w:t>
      </w:r>
      <w:r w:rsidR="00094D3E" w:rsidRPr="00F305E1">
        <w:rPr>
          <w:rFonts w:cs="Open Sans"/>
        </w:rPr>
        <w:t> </w:t>
      </w:r>
      <w:r w:rsidR="006A25B1" w:rsidRPr="00F305E1">
        <w:rPr>
          <w:rFonts w:cs="Open Sans"/>
        </w:rPr>
        <w:t>317ZG(1)(a)</w:t>
      </w:r>
      <w:r w:rsidR="00E40EFF" w:rsidRPr="00F305E1">
        <w:rPr>
          <w:rFonts w:cs="Open Sans"/>
        </w:rPr>
        <w:t>–(b)</w:t>
      </w:r>
      <w:r w:rsidR="005B611E">
        <w:rPr>
          <w:rFonts w:cs="Open Sans"/>
        </w:rPr>
        <w:t>. It</w:t>
      </w:r>
      <w:r w:rsidR="00EC64F2" w:rsidRPr="00F305E1">
        <w:rPr>
          <w:rFonts w:cs="Open Sans"/>
        </w:rPr>
        <w:t xml:space="preserve"> provides that </w:t>
      </w:r>
      <w:r w:rsidR="00094D3E" w:rsidRPr="00F305E1">
        <w:rPr>
          <w:rFonts w:cs="Open Sans"/>
        </w:rPr>
        <w:t xml:space="preserve">a ‘systemic weakness’ </w:t>
      </w:r>
      <w:r w:rsidR="00EC64F2" w:rsidRPr="00F305E1">
        <w:rPr>
          <w:rFonts w:cs="Open Sans"/>
        </w:rPr>
        <w:t xml:space="preserve">includes ‘any act or thing that will, or is likely to, jeopardise the security of any information held by any other person’. Subsection 317ZG(4B) introduces a similar </w:t>
      </w:r>
      <w:r w:rsidR="005B611E">
        <w:rPr>
          <w:rFonts w:cs="Open Sans"/>
        </w:rPr>
        <w:t>reintroduction</w:t>
      </w:r>
      <w:r w:rsidR="006E0692" w:rsidRPr="00F305E1">
        <w:rPr>
          <w:rFonts w:cs="Open Sans"/>
        </w:rPr>
        <w:t xml:space="preserve"> for the definition of ‘systemic vulnerability’</w:t>
      </w:r>
      <w:r w:rsidR="00E40EFF" w:rsidRPr="00F305E1">
        <w:rPr>
          <w:rFonts w:cs="Open Sans"/>
        </w:rPr>
        <w:t>, with respect to s</w:t>
      </w:r>
      <w:r w:rsidR="0065199B">
        <w:rPr>
          <w:rFonts w:cs="Open Sans"/>
        </w:rPr>
        <w:t>s</w:t>
      </w:r>
      <w:r w:rsidR="00E40EFF" w:rsidRPr="00F305E1">
        <w:rPr>
          <w:rFonts w:cs="Open Sans"/>
        </w:rPr>
        <w:t> 317ZG(1)(a)–(b)</w:t>
      </w:r>
      <w:r w:rsidR="006E0692" w:rsidRPr="00F305E1">
        <w:rPr>
          <w:rFonts w:cs="Open Sans"/>
        </w:rPr>
        <w:t>.</w:t>
      </w:r>
      <w:r w:rsidR="00EC64F2" w:rsidRPr="00F305E1">
        <w:rPr>
          <w:rFonts w:cs="Open Sans"/>
        </w:rPr>
        <w:t xml:space="preserve"> </w:t>
      </w:r>
    </w:p>
    <w:p w14:paraId="57E92C7A" w14:textId="77777777" w:rsidR="00566AEC" w:rsidRPr="00F305E1" w:rsidRDefault="00566AEC" w:rsidP="00ED1AC1">
      <w:pPr>
        <w:pStyle w:val="NoSpacing"/>
        <w:ind w:left="360"/>
        <w:rPr>
          <w:rFonts w:cs="Open Sans"/>
        </w:rPr>
      </w:pPr>
    </w:p>
    <w:p w14:paraId="2C6D71C9" w14:textId="67A8A498" w:rsidR="00E6127C" w:rsidRPr="00F305E1" w:rsidRDefault="00140D18" w:rsidP="004F4432">
      <w:pPr>
        <w:pStyle w:val="NoSpacing"/>
        <w:numPr>
          <w:ilvl w:val="0"/>
          <w:numId w:val="42"/>
        </w:numPr>
        <w:rPr>
          <w:rFonts w:cs="Open Sans"/>
        </w:rPr>
      </w:pPr>
      <w:r w:rsidRPr="00F305E1">
        <w:rPr>
          <w:rFonts w:cs="Open Sans"/>
        </w:rPr>
        <w:t xml:space="preserve">Subsection </w:t>
      </w:r>
      <w:r w:rsidR="00BA5F65" w:rsidRPr="00F305E1">
        <w:rPr>
          <w:rFonts w:cs="Open Sans"/>
        </w:rPr>
        <w:t>317ZG</w:t>
      </w:r>
      <w:r w:rsidRPr="00F305E1">
        <w:rPr>
          <w:rFonts w:cs="Open Sans"/>
        </w:rPr>
        <w:t xml:space="preserve">(4C) </w:t>
      </w:r>
      <w:r w:rsidR="00E6127C" w:rsidRPr="00F305E1">
        <w:rPr>
          <w:rFonts w:cs="Open Sans"/>
        </w:rPr>
        <w:t xml:space="preserve">provides that an </w:t>
      </w:r>
      <w:r w:rsidR="005B611E">
        <w:rPr>
          <w:rFonts w:cs="Open Sans"/>
        </w:rPr>
        <w:t>‘</w:t>
      </w:r>
      <w:r w:rsidR="00E6127C" w:rsidRPr="00F305E1">
        <w:rPr>
          <w:rFonts w:cs="Open Sans"/>
        </w:rPr>
        <w:t>act or thing</w:t>
      </w:r>
      <w:r w:rsidR="005B611E">
        <w:rPr>
          <w:rFonts w:cs="Open Sans"/>
        </w:rPr>
        <w:t>’</w:t>
      </w:r>
      <w:r w:rsidR="00E6127C" w:rsidRPr="00F305E1">
        <w:rPr>
          <w:rFonts w:cs="Open Sans"/>
        </w:rPr>
        <w:t xml:space="preserve"> will, or is likely to, </w:t>
      </w:r>
      <w:r w:rsidR="005B611E">
        <w:rPr>
          <w:rFonts w:cs="Open Sans"/>
        </w:rPr>
        <w:t>‘</w:t>
      </w:r>
      <w:r w:rsidR="00E6127C" w:rsidRPr="00F305E1">
        <w:rPr>
          <w:rFonts w:cs="Open Sans"/>
        </w:rPr>
        <w:t>jeopardise</w:t>
      </w:r>
      <w:r w:rsidR="005B611E">
        <w:rPr>
          <w:rFonts w:cs="Open Sans"/>
        </w:rPr>
        <w:t>’</w:t>
      </w:r>
      <w:r w:rsidR="00E6127C" w:rsidRPr="00F305E1">
        <w:rPr>
          <w:rFonts w:cs="Open Sans"/>
        </w:rPr>
        <w:t xml:space="preserve"> security of information if it creates a material risk that otherwise secure information can be accessed by an unauthorised third party. </w:t>
      </w:r>
      <w:r w:rsidR="005B611E">
        <w:rPr>
          <w:rFonts w:cs="Open Sans"/>
        </w:rPr>
        <w:t xml:space="preserve">The meaning of </w:t>
      </w:r>
      <w:r w:rsidR="005B611E" w:rsidRPr="00F305E1">
        <w:rPr>
          <w:rFonts w:cs="Open Sans"/>
        </w:rPr>
        <w:t>unauthorised third party</w:t>
      </w:r>
      <w:r w:rsidR="005B611E">
        <w:rPr>
          <w:rFonts w:cs="Open Sans"/>
        </w:rPr>
        <w:t xml:space="preserve"> is not defined.</w:t>
      </w:r>
    </w:p>
    <w:p w14:paraId="145E8AAC" w14:textId="77777777" w:rsidR="00631E72" w:rsidRPr="00F305E1" w:rsidRDefault="00631E72" w:rsidP="00631E72">
      <w:pPr>
        <w:pStyle w:val="NoSpacing"/>
        <w:ind w:left="567"/>
        <w:rPr>
          <w:rFonts w:cs="Open Sans"/>
        </w:rPr>
      </w:pPr>
    </w:p>
    <w:p w14:paraId="3019B226" w14:textId="33ABC933" w:rsidR="00631E72" w:rsidRPr="00C37139" w:rsidRDefault="00631E72" w:rsidP="00C37139">
      <w:pPr>
        <w:pStyle w:val="NoSpacing"/>
        <w:numPr>
          <w:ilvl w:val="0"/>
          <w:numId w:val="42"/>
        </w:numPr>
        <w:rPr>
          <w:rFonts w:cs="Open Sans"/>
        </w:rPr>
      </w:pPr>
      <w:r w:rsidRPr="00F305E1">
        <w:rPr>
          <w:rFonts w:cs="Open Sans"/>
        </w:rPr>
        <w:t>The</w:t>
      </w:r>
      <w:r w:rsidR="003B27C0">
        <w:rPr>
          <w:rFonts w:cs="Open Sans"/>
        </w:rPr>
        <w:t xml:space="preserve"> Commission </w:t>
      </w:r>
      <w:r w:rsidR="00D85D54">
        <w:rPr>
          <w:rFonts w:cs="Open Sans"/>
        </w:rPr>
        <w:t>considers</w:t>
      </w:r>
      <w:r w:rsidR="003B27C0">
        <w:rPr>
          <w:rFonts w:cs="Open Sans"/>
        </w:rPr>
        <w:t xml:space="preserve"> that</w:t>
      </w:r>
      <w:r w:rsidR="00663FE3">
        <w:rPr>
          <w:rFonts w:cs="Open Sans"/>
        </w:rPr>
        <w:t>,</w:t>
      </w:r>
      <w:r w:rsidR="003B27C0">
        <w:rPr>
          <w:rFonts w:cs="Open Sans"/>
        </w:rPr>
        <w:t xml:space="preserve"> </w:t>
      </w:r>
      <w:r w:rsidR="00663FE3">
        <w:rPr>
          <w:rFonts w:cs="Open Sans"/>
        </w:rPr>
        <w:t xml:space="preserve">on one reading, </w:t>
      </w:r>
      <w:r w:rsidR="003B27C0">
        <w:rPr>
          <w:rFonts w:cs="Open Sans"/>
        </w:rPr>
        <w:t>the</w:t>
      </w:r>
      <w:r w:rsidRPr="00F305E1">
        <w:rPr>
          <w:rFonts w:cs="Open Sans"/>
        </w:rPr>
        <w:t xml:space="preserve">se provisions could </w:t>
      </w:r>
      <w:r w:rsidR="00663FE3">
        <w:rPr>
          <w:rFonts w:cs="Open Sans"/>
        </w:rPr>
        <w:t>operate so</w:t>
      </w:r>
      <w:r w:rsidRPr="00F305E1">
        <w:rPr>
          <w:rFonts w:cs="Open Sans"/>
        </w:rPr>
        <w:t xml:space="preserve"> that s 317B excludes the selective weakness </w:t>
      </w:r>
      <w:r w:rsidR="00C37139">
        <w:rPr>
          <w:rFonts w:cs="Open Sans"/>
        </w:rPr>
        <w:t xml:space="preserve">and vulnerability </w:t>
      </w:r>
      <w:r w:rsidRPr="00F305E1">
        <w:rPr>
          <w:rFonts w:cs="Open Sans"/>
        </w:rPr>
        <w:t>scenario</w:t>
      </w:r>
      <w:r w:rsidR="00C37139">
        <w:rPr>
          <w:rFonts w:cs="Open Sans"/>
        </w:rPr>
        <w:t>s</w:t>
      </w:r>
      <w:r w:rsidRPr="00F305E1">
        <w:rPr>
          <w:rFonts w:cs="Open Sans"/>
        </w:rPr>
        <w:t xml:space="preserve"> </w:t>
      </w:r>
      <w:r w:rsidR="003B27C0">
        <w:rPr>
          <w:rFonts w:cs="Open Sans"/>
        </w:rPr>
        <w:t>in ss </w:t>
      </w:r>
      <w:r w:rsidRPr="00F305E1">
        <w:rPr>
          <w:rFonts w:cs="Open Sans"/>
        </w:rPr>
        <w:t>317ZG(4A)</w:t>
      </w:r>
      <w:r w:rsidR="00084F51" w:rsidRPr="00F305E1">
        <w:rPr>
          <w:rFonts w:cs="Open Sans"/>
        </w:rPr>
        <w:t>–</w:t>
      </w:r>
      <w:r w:rsidRPr="00F305E1">
        <w:rPr>
          <w:rFonts w:cs="Open Sans"/>
        </w:rPr>
        <w:t xml:space="preserve">(4C) from the definition of ‘systemic weakness’ and ‘systemic vulnerability’ </w:t>
      </w:r>
      <w:r w:rsidR="00E40EFF" w:rsidRPr="00F305E1">
        <w:rPr>
          <w:rFonts w:cs="Open Sans"/>
        </w:rPr>
        <w:t>that is picked up in ss </w:t>
      </w:r>
      <w:r w:rsidRPr="00F305E1">
        <w:rPr>
          <w:rFonts w:cs="Open Sans"/>
        </w:rPr>
        <w:t>317ZG(1)(a)</w:t>
      </w:r>
      <w:r w:rsidR="00E40EFF" w:rsidRPr="00F305E1">
        <w:rPr>
          <w:rFonts w:cs="Open Sans"/>
        </w:rPr>
        <w:t>–(b)</w:t>
      </w:r>
      <w:r w:rsidRPr="00F305E1">
        <w:rPr>
          <w:rFonts w:cs="Open Sans"/>
        </w:rPr>
        <w:t>.</w:t>
      </w:r>
      <w:r w:rsidR="00663FE3">
        <w:rPr>
          <w:rFonts w:cs="Open Sans"/>
        </w:rPr>
        <w:t xml:space="preserve"> That would result in </w:t>
      </w:r>
      <w:r w:rsidR="00C37139" w:rsidRPr="00C37139">
        <w:rPr>
          <w:rFonts w:cs="Open Sans"/>
        </w:rPr>
        <w:t>ss 317ZG(4A)–(4C)</w:t>
      </w:r>
      <w:r w:rsidR="00C37139">
        <w:rPr>
          <w:rFonts w:cs="Open Sans"/>
        </w:rPr>
        <w:t xml:space="preserve"> having no effect.  </w:t>
      </w:r>
    </w:p>
    <w:p w14:paraId="68C7FE76" w14:textId="77777777" w:rsidR="00E042D4" w:rsidRPr="00F305E1" w:rsidRDefault="00E042D4" w:rsidP="00ED1AC1">
      <w:pPr>
        <w:pStyle w:val="NoSpacing"/>
        <w:ind w:left="360"/>
        <w:rPr>
          <w:rFonts w:cs="Open Sans"/>
        </w:rPr>
      </w:pPr>
    </w:p>
    <w:p w14:paraId="5BE728F4" w14:textId="0A2C0A5D" w:rsidR="006A25B1" w:rsidRPr="00F305E1" w:rsidRDefault="001D5AED" w:rsidP="004F4432">
      <w:pPr>
        <w:pStyle w:val="NoSpacing"/>
        <w:numPr>
          <w:ilvl w:val="0"/>
          <w:numId w:val="42"/>
        </w:numPr>
        <w:rPr>
          <w:rFonts w:cs="Open Sans"/>
        </w:rPr>
      </w:pPr>
      <w:r w:rsidRPr="00F305E1">
        <w:rPr>
          <w:rFonts w:cs="Open Sans"/>
        </w:rPr>
        <w:t xml:space="preserve">The Commission </w:t>
      </w:r>
      <w:r w:rsidR="00E042D4" w:rsidRPr="00F305E1">
        <w:rPr>
          <w:rFonts w:cs="Open Sans"/>
        </w:rPr>
        <w:t>considers that the interaction between ss 317B and 317ZG should be clarifi</w:t>
      </w:r>
      <w:r w:rsidR="0082392A" w:rsidRPr="00F305E1">
        <w:rPr>
          <w:rFonts w:cs="Open Sans"/>
        </w:rPr>
        <w:t xml:space="preserve">ed, to </w:t>
      </w:r>
      <w:r w:rsidR="00440D9F" w:rsidRPr="00F305E1">
        <w:rPr>
          <w:rFonts w:cs="Open Sans"/>
        </w:rPr>
        <w:t xml:space="preserve">avoid any doubt and </w:t>
      </w:r>
      <w:r w:rsidR="0082392A" w:rsidRPr="00F305E1">
        <w:rPr>
          <w:rFonts w:cs="Open Sans"/>
        </w:rPr>
        <w:t>ensure that ss 317ZG(4A)</w:t>
      </w:r>
      <w:r w:rsidR="00E042D4" w:rsidRPr="00F305E1">
        <w:rPr>
          <w:rFonts w:cs="Open Sans"/>
        </w:rPr>
        <w:t>–(4C) operate effectively</w:t>
      </w:r>
      <w:r w:rsidR="0078008A" w:rsidRPr="00F305E1">
        <w:rPr>
          <w:rFonts w:cs="Open Sans"/>
        </w:rPr>
        <w:t>.</w:t>
      </w:r>
    </w:p>
    <w:p w14:paraId="69DC152F" w14:textId="77777777" w:rsidR="001323E0" w:rsidRPr="00F305E1" w:rsidRDefault="001323E0" w:rsidP="00ED1AC1">
      <w:pPr>
        <w:pStyle w:val="NoSpacing"/>
        <w:ind w:left="360"/>
        <w:rPr>
          <w:rFonts w:cs="Open Sans"/>
        </w:rPr>
      </w:pPr>
    </w:p>
    <w:p w14:paraId="7561263D" w14:textId="6A5CD521" w:rsidR="00A04D82" w:rsidRPr="00F305E1" w:rsidRDefault="00A04D82" w:rsidP="00863A8F">
      <w:pPr>
        <w:pStyle w:val="NoSpacing"/>
        <w:numPr>
          <w:ilvl w:val="0"/>
          <w:numId w:val="42"/>
        </w:numPr>
        <w:rPr>
          <w:rFonts w:cs="Open Sans"/>
        </w:rPr>
      </w:pPr>
      <w:r w:rsidRPr="00F305E1">
        <w:rPr>
          <w:rFonts w:cs="Open Sans"/>
        </w:rPr>
        <w:t xml:space="preserve">The Commission notes the amendments </w:t>
      </w:r>
      <w:r w:rsidR="00F5468B">
        <w:rPr>
          <w:rFonts w:cs="Open Sans"/>
        </w:rPr>
        <w:t>to the</w:t>
      </w:r>
      <w:r w:rsidR="00F5468B" w:rsidRPr="00F5468B">
        <w:t xml:space="preserve"> </w:t>
      </w:r>
      <w:r w:rsidR="00F5468B" w:rsidRPr="00F5468B">
        <w:rPr>
          <w:rFonts w:cs="Open Sans"/>
        </w:rPr>
        <w:t>Telecommunications and Other Legislation Amendment (Miscellaneous Amendments) Bill 2019</w:t>
      </w:r>
      <w:r w:rsidR="00672ADB">
        <w:rPr>
          <w:rFonts w:cs="Open Sans"/>
        </w:rPr>
        <w:t xml:space="preserve"> (Cth)</w:t>
      </w:r>
      <w:r w:rsidR="00F5468B">
        <w:rPr>
          <w:rFonts w:cs="Open Sans"/>
        </w:rPr>
        <w:t xml:space="preserve"> </w:t>
      </w:r>
      <w:r w:rsidR="002B6385">
        <w:rPr>
          <w:rFonts w:cs="Open Sans"/>
        </w:rPr>
        <w:t>moved by</w:t>
      </w:r>
      <w:r w:rsidR="00AB1BC0">
        <w:rPr>
          <w:rFonts w:cs="Open Sans"/>
        </w:rPr>
        <w:t xml:space="preserve"> Senator</w:t>
      </w:r>
      <w:r w:rsidRPr="00F305E1">
        <w:rPr>
          <w:rFonts w:cs="Open Sans"/>
        </w:rPr>
        <w:t xml:space="preserve"> </w:t>
      </w:r>
      <w:r w:rsidR="002B6385">
        <w:rPr>
          <w:rFonts w:cs="Open Sans"/>
        </w:rPr>
        <w:t>the Hon</w:t>
      </w:r>
      <w:r w:rsidR="002B6385" w:rsidRPr="00F305E1">
        <w:rPr>
          <w:rFonts w:cs="Open Sans"/>
        </w:rPr>
        <w:t xml:space="preserve"> </w:t>
      </w:r>
      <w:r w:rsidR="002B6385">
        <w:rPr>
          <w:rFonts w:cs="Open Sans"/>
        </w:rPr>
        <w:t xml:space="preserve">Jenny McAllister </w:t>
      </w:r>
      <w:r w:rsidR="00765E4E">
        <w:rPr>
          <w:rFonts w:cs="Open Sans"/>
        </w:rPr>
        <w:t xml:space="preserve">in </w:t>
      </w:r>
      <w:r w:rsidR="00765E4E" w:rsidRPr="00F305E1">
        <w:rPr>
          <w:rFonts w:cs="Open Sans"/>
        </w:rPr>
        <w:t>Sheet</w:t>
      </w:r>
      <w:r w:rsidR="00765E4E">
        <w:rPr>
          <w:rFonts w:cs="Open Sans"/>
        </w:rPr>
        <w:t xml:space="preserve"> 8642 </w:t>
      </w:r>
      <w:r w:rsidR="002B6385" w:rsidRPr="00F305E1">
        <w:rPr>
          <w:rFonts w:cs="Open Sans"/>
        </w:rPr>
        <w:t xml:space="preserve">on </w:t>
      </w:r>
      <w:r w:rsidR="002B6385">
        <w:rPr>
          <w:rFonts w:cs="Open Sans"/>
        </w:rPr>
        <w:t>14 February 2019</w:t>
      </w:r>
      <w:r w:rsidRPr="00F305E1">
        <w:rPr>
          <w:rFonts w:cs="Open Sans"/>
        </w:rPr>
        <w:t xml:space="preserve">, setting out an alternate form of the </w:t>
      </w:r>
      <w:r w:rsidR="002F5A38">
        <w:rPr>
          <w:rFonts w:cs="Open Sans"/>
        </w:rPr>
        <w:t>‘</w:t>
      </w:r>
      <w:r w:rsidRPr="00F305E1">
        <w:rPr>
          <w:rFonts w:cs="Open Sans"/>
        </w:rPr>
        <w:t>systemic weakness</w:t>
      </w:r>
      <w:r w:rsidR="002F5A38">
        <w:rPr>
          <w:rFonts w:cs="Open Sans"/>
        </w:rPr>
        <w:t>’</w:t>
      </w:r>
      <w:r w:rsidRPr="00F305E1">
        <w:rPr>
          <w:rFonts w:cs="Open Sans"/>
        </w:rPr>
        <w:t xml:space="preserve"> limitation in s 317ZG. </w:t>
      </w:r>
      <w:r w:rsidR="00863A8F">
        <w:rPr>
          <w:rFonts w:cs="Open Sans"/>
        </w:rPr>
        <w:t>The Senate</w:t>
      </w:r>
      <w:r w:rsidR="006B2A42">
        <w:rPr>
          <w:rFonts w:cs="Open Sans"/>
        </w:rPr>
        <w:t xml:space="preserve"> has</w:t>
      </w:r>
      <w:r w:rsidR="00863A8F">
        <w:rPr>
          <w:rFonts w:cs="Open Sans"/>
        </w:rPr>
        <w:t xml:space="preserve"> agreed to this amendment. </w:t>
      </w:r>
      <w:r w:rsidR="0020519C" w:rsidRPr="00F305E1">
        <w:rPr>
          <w:rFonts w:cs="Open Sans"/>
        </w:rPr>
        <w:t>T</w:t>
      </w:r>
      <w:r w:rsidR="00863A8F" w:rsidRPr="00863A8F">
        <w:rPr>
          <w:rFonts w:cs="Open Sans"/>
        </w:rPr>
        <w:t xml:space="preserve">his amendment would remove the </w:t>
      </w:r>
      <w:r w:rsidR="00BF2FFF">
        <w:rPr>
          <w:rFonts w:cs="Open Sans"/>
        </w:rPr>
        <w:t>ambiguity</w:t>
      </w:r>
      <w:r w:rsidR="00863A8F" w:rsidRPr="00863A8F">
        <w:rPr>
          <w:rFonts w:cs="Open Sans"/>
        </w:rPr>
        <w:t xml:space="preserve"> about the interaction between </w:t>
      </w:r>
      <w:r w:rsidR="00863A8F">
        <w:rPr>
          <w:rFonts w:cs="Open Sans"/>
        </w:rPr>
        <w:t>s</w:t>
      </w:r>
      <w:r w:rsidR="00863A8F" w:rsidRPr="00863A8F">
        <w:rPr>
          <w:rFonts w:cs="Open Sans"/>
        </w:rPr>
        <w:t>s 317B and 317ZG(4A)</w:t>
      </w:r>
      <w:r w:rsidR="00863A8F" w:rsidRPr="00F305E1">
        <w:rPr>
          <w:rFonts w:cs="Open Sans"/>
        </w:rPr>
        <w:t>–</w:t>
      </w:r>
      <w:r w:rsidR="00863A8F" w:rsidRPr="00863A8F">
        <w:rPr>
          <w:rFonts w:cs="Open Sans"/>
        </w:rPr>
        <w:t>(4C), and appears to address several</w:t>
      </w:r>
      <w:r w:rsidR="00EA0019">
        <w:rPr>
          <w:rFonts w:cs="Open Sans"/>
        </w:rPr>
        <w:t xml:space="preserve"> of the Commission’s concerns. </w:t>
      </w:r>
      <w:r w:rsidR="00863A8F" w:rsidRPr="00863A8F">
        <w:rPr>
          <w:rFonts w:cs="Open Sans"/>
        </w:rPr>
        <w:t>However, th</w:t>
      </w:r>
      <w:r w:rsidR="006B2A42">
        <w:rPr>
          <w:rFonts w:cs="Open Sans"/>
        </w:rPr>
        <w:t>is amendment</w:t>
      </w:r>
      <w:r w:rsidR="00863A8F" w:rsidRPr="00863A8F">
        <w:rPr>
          <w:rFonts w:cs="Open Sans"/>
        </w:rPr>
        <w:t xml:space="preserve"> </w:t>
      </w:r>
      <w:r w:rsidR="006B2A42">
        <w:rPr>
          <w:rFonts w:cs="Open Sans"/>
        </w:rPr>
        <w:t xml:space="preserve">is </w:t>
      </w:r>
      <w:r w:rsidR="00863A8F" w:rsidRPr="00863A8F">
        <w:rPr>
          <w:rFonts w:cs="Open Sans"/>
        </w:rPr>
        <w:t>not</w:t>
      </w:r>
      <w:r w:rsidR="006B2A42">
        <w:rPr>
          <w:rFonts w:cs="Open Sans"/>
        </w:rPr>
        <w:t xml:space="preserve"> currently</w:t>
      </w:r>
      <w:r w:rsidR="00863A8F" w:rsidRPr="00863A8F">
        <w:rPr>
          <w:rFonts w:cs="Open Sans"/>
        </w:rPr>
        <w:t xml:space="preserve"> before the Committee, and, in the absence of further information, the Commission is not in a position to say whether </w:t>
      </w:r>
      <w:r w:rsidR="006B2A42">
        <w:rPr>
          <w:rFonts w:cs="Open Sans"/>
        </w:rPr>
        <w:t>it</w:t>
      </w:r>
      <w:r w:rsidR="00863A8F" w:rsidRPr="00863A8F">
        <w:rPr>
          <w:rFonts w:cs="Open Sans"/>
        </w:rPr>
        <w:t xml:space="preserve"> would address all of its concerns about the </w:t>
      </w:r>
      <w:r w:rsidR="00EA0019">
        <w:rPr>
          <w:rFonts w:cs="Open Sans"/>
        </w:rPr>
        <w:t>operation of the</w:t>
      </w:r>
      <w:r w:rsidR="00863A8F" w:rsidRPr="00863A8F">
        <w:rPr>
          <w:rFonts w:cs="Open Sans"/>
        </w:rPr>
        <w:t xml:space="preserve"> </w:t>
      </w:r>
      <w:r w:rsidR="002F5A38">
        <w:rPr>
          <w:rFonts w:cs="Open Sans"/>
        </w:rPr>
        <w:t>‘</w:t>
      </w:r>
      <w:r w:rsidR="00863A8F" w:rsidRPr="00863A8F">
        <w:rPr>
          <w:rFonts w:cs="Open Sans"/>
        </w:rPr>
        <w:t>systemic weak</w:t>
      </w:r>
      <w:r w:rsidR="00EA0019">
        <w:rPr>
          <w:rFonts w:cs="Open Sans"/>
        </w:rPr>
        <w:t>ness</w:t>
      </w:r>
      <w:r w:rsidR="002F5A38">
        <w:rPr>
          <w:rFonts w:cs="Open Sans"/>
        </w:rPr>
        <w:t>’</w:t>
      </w:r>
      <w:r w:rsidR="00EA0019">
        <w:rPr>
          <w:rFonts w:cs="Open Sans"/>
        </w:rPr>
        <w:t xml:space="preserve"> limitation</w:t>
      </w:r>
      <w:r w:rsidRPr="00F305E1">
        <w:rPr>
          <w:rFonts w:cs="Open Sans"/>
        </w:rPr>
        <w:t xml:space="preserve">. </w:t>
      </w:r>
    </w:p>
    <w:p w14:paraId="70049617" w14:textId="42907736" w:rsidR="00834B03" w:rsidRPr="00F305E1" w:rsidRDefault="00834B03" w:rsidP="00ED1AC1">
      <w:pPr>
        <w:pStyle w:val="NoSpacing"/>
        <w:rPr>
          <w:rFonts w:cs="Open Sans"/>
        </w:rPr>
      </w:pPr>
    </w:p>
    <w:p w14:paraId="0BE22143" w14:textId="77876E6B" w:rsidR="00764A10" w:rsidRPr="00F305E1" w:rsidRDefault="00133F91" w:rsidP="001E276C">
      <w:pPr>
        <w:pStyle w:val="NoSpacing"/>
        <w:keepNext/>
        <w:spacing w:after="120"/>
        <w:ind w:left="720"/>
        <w:rPr>
          <w:rFonts w:cs="Open Sans"/>
        </w:rPr>
      </w:pPr>
      <w:r w:rsidRPr="00F305E1">
        <w:rPr>
          <w:rFonts w:cs="Open Sans"/>
          <w:b/>
        </w:rPr>
        <w:t xml:space="preserve">Recommendation </w:t>
      </w:r>
      <w:r w:rsidR="0017062B">
        <w:rPr>
          <w:rFonts w:cs="Open Sans"/>
          <w:b/>
        </w:rPr>
        <w:t>E</w:t>
      </w:r>
    </w:p>
    <w:p w14:paraId="1D5E9EB1" w14:textId="38817052" w:rsidR="0024238F" w:rsidRPr="00F305E1" w:rsidRDefault="005035E7" w:rsidP="005035E7">
      <w:pPr>
        <w:pStyle w:val="NoSpacing"/>
        <w:spacing w:after="120"/>
        <w:ind w:left="720"/>
        <w:rPr>
          <w:rFonts w:cs="Open Sans"/>
        </w:rPr>
      </w:pPr>
      <w:r w:rsidRPr="00F305E1">
        <w:rPr>
          <w:rFonts w:cs="Open Sans"/>
        </w:rPr>
        <w:t xml:space="preserve">The Government consult widely with industry and technical experts, as well as bodies with human rights expertise, to formulate and implement a revised ‘systemic weakness’ </w:t>
      </w:r>
      <w:r>
        <w:rPr>
          <w:rFonts w:cs="Open Sans"/>
        </w:rPr>
        <w:t xml:space="preserve">limitation in s 317ZG of the </w:t>
      </w:r>
      <w:r w:rsidRPr="009A7EBB">
        <w:rPr>
          <w:rFonts w:cs="Open Sans"/>
          <w:i/>
        </w:rPr>
        <w:t>Telecommunications Act 1997</w:t>
      </w:r>
      <w:r>
        <w:rPr>
          <w:rFonts w:cs="Open Sans"/>
        </w:rPr>
        <w:t xml:space="preserve"> (Cth)</w:t>
      </w:r>
      <w:r w:rsidRPr="00F305E1">
        <w:rPr>
          <w:rFonts w:cs="Open Sans"/>
        </w:rPr>
        <w:t xml:space="preserve"> that is clear, precise, and prohibits action that would detrimentally </w:t>
      </w:r>
      <w:r w:rsidR="00416307">
        <w:rPr>
          <w:rFonts w:cs="Open Sans"/>
        </w:rPr>
        <w:t>affect</w:t>
      </w:r>
      <w:r w:rsidR="00416307" w:rsidRPr="00F305E1">
        <w:rPr>
          <w:rFonts w:cs="Open Sans"/>
        </w:rPr>
        <w:t xml:space="preserve"> </w:t>
      </w:r>
      <w:r w:rsidRPr="00F305E1">
        <w:rPr>
          <w:rFonts w:cs="Open Sans"/>
        </w:rPr>
        <w:t xml:space="preserve">the cybersecurity and privacy of a </w:t>
      </w:r>
      <w:r w:rsidRPr="00F305E1">
        <w:rPr>
          <w:rFonts w:cs="Open Sans"/>
        </w:rPr>
        <w:lastRenderedPageBreak/>
        <w:t xml:space="preserve">significant </w:t>
      </w:r>
      <w:r>
        <w:rPr>
          <w:rFonts w:cs="Open Sans"/>
        </w:rPr>
        <w:t>proportion</w:t>
      </w:r>
      <w:r w:rsidRPr="00F305E1">
        <w:rPr>
          <w:rFonts w:cs="Open Sans"/>
        </w:rPr>
        <w:t xml:space="preserve"> </w:t>
      </w:r>
      <w:r w:rsidR="001C0633">
        <w:rPr>
          <w:rFonts w:cs="Open Sans"/>
        </w:rPr>
        <w:t xml:space="preserve">or number </w:t>
      </w:r>
      <w:r w:rsidRPr="00F305E1">
        <w:rPr>
          <w:rFonts w:cs="Open Sans"/>
        </w:rPr>
        <w:t xml:space="preserve">of </w:t>
      </w:r>
      <w:r>
        <w:rPr>
          <w:rFonts w:cs="Open Sans"/>
        </w:rPr>
        <w:t>innocent third parties</w:t>
      </w:r>
      <w:r w:rsidRPr="00F305E1">
        <w:rPr>
          <w:rFonts w:cs="Open Sans"/>
        </w:rPr>
        <w:t>, or that would weaken a significant part or whole of a relevant system.</w:t>
      </w:r>
    </w:p>
    <w:p w14:paraId="7C806A02" w14:textId="77777777" w:rsidR="00344FD8" w:rsidRPr="000A5FED" w:rsidRDefault="00344FD8" w:rsidP="00F61B14">
      <w:pPr>
        <w:pStyle w:val="NoSpacing"/>
        <w:keepNext/>
        <w:spacing w:after="120"/>
        <w:ind w:left="720"/>
        <w:rPr>
          <w:rFonts w:cs="Open Sans"/>
          <w:b/>
        </w:rPr>
      </w:pPr>
      <w:r w:rsidRPr="000A5FED">
        <w:rPr>
          <w:rFonts w:cs="Open Sans"/>
          <w:b/>
        </w:rPr>
        <w:t>Recommendation F</w:t>
      </w:r>
    </w:p>
    <w:p w14:paraId="656FD36C" w14:textId="4D236ED0" w:rsidR="00344FD8" w:rsidRDefault="00344FD8" w:rsidP="00F61B14">
      <w:pPr>
        <w:pStyle w:val="NoSpacing"/>
        <w:keepNext/>
        <w:spacing w:after="120"/>
        <w:ind w:left="720"/>
        <w:rPr>
          <w:rFonts w:cs="Open Sans"/>
        </w:rPr>
      </w:pPr>
      <w:r w:rsidRPr="00F305E1">
        <w:rPr>
          <w:rFonts w:cs="Open Sans"/>
        </w:rPr>
        <w:t xml:space="preserve">If Recommendation </w:t>
      </w:r>
      <w:r>
        <w:rPr>
          <w:rFonts w:cs="Open Sans"/>
        </w:rPr>
        <w:t>E</w:t>
      </w:r>
      <w:r w:rsidRPr="00F305E1">
        <w:rPr>
          <w:rFonts w:cs="Open Sans"/>
        </w:rPr>
        <w:t xml:space="preserve"> is not accepted, the Government seek</w:t>
      </w:r>
      <w:r w:rsidR="0013775F">
        <w:rPr>
          <w:rFonts w:cs="Open Sans"/>
        </w:rPr>
        <w:t xml:space="preserve"> and publish</w:t>
      </w:r>
      <w:r w:rsidRPr="00F305E1">
        <w:rPr>
          <w:rFonts w:cs="Open Sans"/>
        </w:rPr>
        <w:t xml:space="preserve"> legal advice as to the interaction between ss 317B and 317ZG</w:t>
      </w:r>
      <w:r>
        <w:rPr>
          <w:rFonts w:cs="Open Sans"/>
        </w:rPr>
        <w:t xml:space="preserve"> of the </w:t>
      </w:r>
      <w:r w:rsidRPr="008E1605">
        <w:rPr>
          <w:rFonts w:cs="Open Sans"/>
          <w:i/>
        </w:rPr>
        <w:t>Telecommunications Act 1997</w:t>
      </w:r>
      <w:r>
        <w:rPr>
          <w:rFonts w:cs="Open Sans"/>
        </w:rPr>
        <w:t xml:space="preserve"> (Cth)</w:t>
      </w:r>
      <w:r w:rsidRPr="00F305E1">
        <w:rPr>
          <w:rFonts w:cs="Open Sans"/>
        </w:rPr>
        <w:t xml:space="preserve">, and implement reforms to ensure that an ‘act or thing’ cannot be </w:t>
      </w:r>
      <w:r w:rsidR="00F61B14">
        <w:rPr>
          <w:rFonts w:cs="Open Sans"/>
        </w:rPr>
        <w:t>requested or compelled under the assistance scheme</w:t>
      </w:r>
      <w:r w:rsidRPr="00F305E1">
        <w:rPr>
          <w:rFonts w:cs="Open Sans"/>
        </w:rPr>
        <w:t xml:space="preserve"> if it would jeopardise or be likely to jeopardise the information security of innocent third parties.</w:t>
      </w:r>
    </w:p>
    <w:p w14:paraId="1CC4E4B9" w14:textId="5559FD2D" w:rsidR="00AA79EC" w:rsidRPr="00F305E1" w:rsidRDefault="0077297D" w:rsidP="00A51988">
      <w:pPr>
        <w:pStyle w:val="Heading2"/>
        <w:spacing w:before="360" w:after="0"/>
        <w:rPr>
          <w:rFonts w:eastAsia="MS Mincho" w:cs="Open Sans"/>
          <w:color w:val="auto"/>
          <w:sz w:val="24"/>
          <w:szCs w:val="24"/>
          <w:u w:val="single"/>
        </w:rPr>
      </w:pPr>
      <w:r w:rsidRPr="00F305E1">
        <w:rPr>
          <w:rFonts w:eastAsia="MS Mincho" w:cs="Open Sans"/>
          <w:color w:val="auto"/>
          <w:sz w:val="24"/>
          <w:szCs w:val="24"/>
          <w:u w:val="single"/>
        </w:rPr>
        <w:t xml:space="preserve">iii) </w:t>
      </w:r>
      <w:r w:rsidR="007410EC" w:rsidRPr="00F305E1">
        <w:rPr>
          <w:rFonts w:eastAsia="MS Mincho" w:cs="Open Sans"/>
          <w:color w:val="auto"/>
          <w:sz w:val="24"/>
          <w:szCs w:val="24"/>
          <w:u w:val="single"/>
        </w:rPr>
        <w:t>‘</w:t>
      </w:r>
      <w:r w:rsidR="00AA79EC" w:rsidRPr="00F305E1">
        <w:rPr>
          <w:rFonts w:eastAsia="MS Mincho" w:cs="Open Sans"/>
          <w:color w:val="auto"/>
          <w:sz w:val="24"/>
          <w:szCs w:val="24"/>
          <w:u w:val="single"/>
        </w:rPr>
        <w:t>Relevant objectives</w:t>
      </w:r>
      <w:r w:rsidR="007410EC" w:rsidRPr="00F305E1">
        <w:rPr>
          <w:rFonts w:eastAsia="MS Mincho" w:cs="Open Sans"/>
          <w:color w:val="auto"/>
          <w:sz w:val="24"/>
          <w:szCs w:val="24"/>
          <w:u w:val="single"/>
        </w:rPr>
        <w:t>’</w:t>
      </w:r>
      <w:r w:rsidR="00F04776" w:rsidRPr="00F305E1">
        <w:rPr>
          <w:rFonts w:eastAsia="MS Mincho" w:cs="Open Sans"/>
          <w:color w:val="auto"/>
          <w:sz w:val="24"/>
          <w:szCs w:val="24"/>
          <w:u w:val="single"/>
        </w:rPr>
        <w:t xml:space="preserve"> too broad</w:t>
      </w:r>
    </w:p>
    <w:p w14:paraId="488748ED" w14:textId="77777777" w:rsidR="00AA79EC" w:rsidRPr="00F305E1" w:rsidRDefault="00AA79EC" w:rsidP="00A51988">
      <w:pPr>
        <w:pStyle w:val="NoSpacing"/>
        <w:keepNext/>
        <w:rPr>
          <w:rFonts w:cs="Open Sans"/>
        </w:rPr>
      </w:pPr>
    </w:p>
    <w:p w14:paraId="57F61AB9" w14:textId="614ABC66" w:rsidR="00D12C57" w:rsidRPr="00F305E1" w:rsidRDefault="00AA0D35" w:rsidP="00A51988">
      <w:pPr>
        <w:pStyle w:val="NoSpacing"/>
        <w:keepNext/>
        <w:numPr>
          <w:ilvl w:val="0"/>
          <w:numId w:val="42"/>
        </w:numPr>
        <w:rPr>
          <w:rFonts w:cs="Open Sans"/>
        </w:rPr>
      </w:pPr>
      <w:r w:rsidRPr="00F305E1">
        <w:rPr>
          <w:rFonts w:cs="Open Sans"/>
        </w:rPr>
        <w:t xml:space="preserve">Amendments to the TOLA Bill before its passage </w:t>
      </w:r>
      <w:r w:rsidR="004734DF" w:rsidRPr="00F305E1">
        <w:rPr>
          <w:rFonts w:cs="Open Sans"/>
        </w:rPr>
        <w:t>narrowe</w:t>
      </w:r>
      <w:r w:rsidRPr="00F305E1">
        <w:rPr>
          <w:rFonts w:cs="Open Sans"/>
        </w:rPr>
        <w:t>d the ‘relevant objectives’ for which TARs, TANs and TCNs may be issued. Despite those changes, t</w:t>
      </w:r>
      <w:r w:rsidR="00300DE1" w:rsidRPr="00F305E1">
        <w:rPr>
          <w:rFonts w:cs="Open Sans"/>
        </w:rPr>
        <w:t xml:space="preserve">he Commission </w:t>
      </w:r>
      <w:r w:rsidR="001C1B64" w:rsidRPr="00F305E1">
        <w:rPr>
          <w:rFonts w:cs="Open Sans"/>
        </w:rPr>
        <w:t xml:space="preserve">considers that problems remain with the unjustifiably wide breadth of the </w:t>
      </w:r>
      <w:r w:rsidRPr="00F305E1">
        <w:rPr>
          <w:rFonts w:cs="Open Sans"/>
        </w:rPr>
        <w:t xml:space="preserve">permitted </w:t>
      </w:r>
      <w:r w:rsidR="001C1B64" w:rsidRPr="00F305E1">
        <w:rPr>
          <w:rFonts w:cs="Open Sans"/>
        </w:rPr>
        <w:t>‘relevant objectives’, especially for TARs.</w:t>
      </w:r>
    </w:p>
    <w:p w14:paraId="176C1A54" w14:textId="05B06B41" w:rsidR="00D12C57" w:rsidRPr="00F305E1" w:rsidRDefault="00D12C57" w:rsidP="00ED1AC1">
      <w:pPr>
        <w:pStyle w:val="NoSpacing"/>
        <w:ind w:left="360"/>
        <w:rPr>
          <w:rFonts w:cs="Open Sans"/>
        </w:rPr>
      </w:pPr>
    </w:p>
    <w:p w14:paraId="290B4D44" w14:textId="56C685B0" w:rsidR="004B53F2" w:rsidRPr="00F305E1" w:rsidRDefault="001C1B64" w:rsidP="004F4432">
      <w:pPr>
        <w:pStyle w:val="NoSpacing"/>
        <w:numPr>
          <w:ilvl w:val="0"/>
          <w:numId w:val="42"/>
        </w:numPr>
        <w:rPr>
          <w:rFonts w:cs="Open Sans"/>
        </w:rPr>
      </w:pPr>
      <w:r w:rsidRPr="00F305E1">
        <w:rPr>
          <w:rFonts w:cs="Open Sans"/>
        </w:rPr>
        <w:t xml:space="preserve">The ‘relevant objectives’ set out in s 317G(5) </w:t>
      </w:r>
      <w:r w:rsidR="00163CEE" w:rsidRPr="00F305E1">
        <w:rPr>
          <w:rFonts w:cs="Open Sans"/>
        </w:rPr>
        <w:t xml:space="preserve">of the Telecommunications Act </w:t>
      </w:r>
      <w:r w:rsidRPr="00F305E1">
        <w:rPr>
          <w:rFonts w:cs="Open Sans"/>
        </w:rPr>
        <w:t>permit the giving of a TAR to assist</w:t>
      </w:r>
      <w:r w:rsidR="00086E3B">
        <w:rPr>
          <w:rFonts w:cs="Open Sans"/>
        </w:rPr>
        <w:t xml:space="preserve"> the</w:t>
      </w:r>
      <w:r w:rsidRPr="00F305E1">
        <w:rPr>
          <w:rFonts w:cs="Open Sans"/>
        </w:rPr>
        <w:t xml:space="preserve"> </w:t>
      </w:r>
      <w:r w:rsidR="00086E3B">
        <w:rPr>
          <w:rFonts w:cs="Open Sans"/>
        </w:rPr>
        <w:t xml:space="preserve">Australian Secret Intelligence Service </w:t>
      </w:r>
      <w:r w:rsidRPr="00F305E1">
        <w:rPr>
          <w:rFonts w:cs="Open Sans"/>
        </w:rPr>
        <w:t xml:space="preserve">in relation to ‘the interests of Australia’s national economic well-being’. TARs can also be given to assist the </w:t>
      </w:r>
      <w:r w:rsidR="00FB0955">
        <w:rPr>
          <w:rFonts w:cs="Open Sans"/>
        </w:rPr>
        <w:t xml:space="preserve">Australian Signals Directorate </w:t>
      </w:r>
      <w:r w:rsidRPr="00F305E1">
        <w:rPr>
          <w:rFonts w:cs="Open Sans"/>
        </w:rPr>
        <w:t xml:space="preserve">‘on matters relating to the security and integrity of information that is processed, stored or communicated by electronic or similar means’. </w:t>
      </w:r>
      <w:r w:rsidR="00006190" w:rsidRPr="00F305E1">
        <w:rPr>
          <w:rFonts w:cs="Open Sans"/>
        </w:rPr>
        <w:t xml:space="preserve">The </w:t>
      </w:r>
      <w:r w:rsidR="009C7C9D" w:rsidRPr="00F305E1">
        <w:rPr>
          <w:rFonts w:cs="Open Sans"/>
        </w:rPr>
        <w:t xml:space="preserve">Supplementary </w:t>
      </w:r>
      <w:r w:rsidR="00006190" w:rsidRPr="00F305E1">
        <w:rPr>
          <w:rFonts w:cs="Open Sans"/>
        </w:rPr>
        <w:t>Explanatory Memorandum does not address the meaning of th</w:t>
      </w:r>
      <w:r w:rsidR="00046755">
        <w:rPr>
          <w:rFonts w:cs="Open Sans"/>
        </w:rPr>
        <w:t>e latter</w:t>
      </w:r>
      <w:r w:rsidR="00006190" w:rsidRPr="00F305E1">
        <w:rPr>
          <w:rFonts w:cs="Open Sans"/>
        </w:rPr>
        <w:t xml:space="preserve"> phrase.</w:t>
      </w:r>
    </w:p>
    <w:p w14:paraId="77CCA43F" w14:textId="77777777" w:rsidR="004B53F2" w:rsidRPr="00F305E1" w:rsidRDefault="004B53F2" w:rsidP="00ED1AC1">
      <w:pPr>
        <w:pStyle w:val="NoSpacing"/>
        <w:ind w:left="360"/>
        <w:rPr>
          <w:rFonts w:cs="Open Sans"/>
        </w:rPr>
      </w:pPr>
    </w:p>
    <w:p w14:paraId="34841F40" w14:textId="2CF21452" w:rsidR="001C1B64" w:rsidRPr="00F305E1" w:rsidRDefault="001C1B64" w:rsidP="004F4432">
      <w:pPr>
        <w:pStyle w:val="NoSpacing"/>
        <w:numPr>
          <w:ilvl w:val="0"/>
          <w:numId w:val="42"/>
        </w:numPr>
        <w:rPr>
          <w:rFonts w:cs="Open Sans"/>
        </w:rPr>
      </w:pPr>
      <w:r w:rsidRPr="00F305E1">
        <w:rPr>
          <w:rFonts w:cs="Open Sans"/>
        </w:rPr>
        <w:t xml:space="preserve">The </w:t>
      </w:r>
      <w:r w:rsidR="00006190" w:rsidRPr="00F305E1">
        <w:rPr>
          <w:rFonts w:cs="Open Sans"/>
        </w:rPr>
        <w:t xml:space="preserve">Commission considers that the </w:t>
      </w:r>
      <w:r w:rsidRPr="00F305E1">
        <w:rPr>
          <w:rFonts w:cs="Open Sans"/>
        </w:rPr>
        <w:t>scope of these objectives is not clear</w:t>
      </w:r>
      <w:r w:rsidR="00006190" w:rsidRPr="00F305E1">
        <w:rPr>
          <w:rFonts w:cs="Open Sans"/>
        </w:rPr>
        <w:t xml:space="preserve">. </w:t>
      </w:r>
      <w:r w:rsidR="00011376" w:rsidRPr="00F305E1">
        <w:rPr>
          <w:rFonts w:cs="Open Sans"/>
        </w:rPr>
        <w:t>W</w:t>
      </w:r>
      <w:r w:rsidRPr="00F305E1">
        <w:rPr>
          <w:rFonts w:cs="Open Sans"/>
        </w:rPr>
        <w:t>hile measures that significantly limit human rights may</w:t>
      </w:r>
      <w:r w:rsidR="00AA0D35" w:rsidRPr="00F305E1">
        <w:rPr>
          <w:rFonts w:cs="Open Sans"/>
        </w:rPr>
        <w:t>, in some circumstances,</w:t>
      </w:r>
      <w:r w:rsidRPr="00F305E1">
        <w:rPr>
          <w:rFonts w:cs="Open Sans"/>
        </w:rPr>
        <w:t xml:space="preserve"> be permissible to protect national security, it is more difficult to establish </w:t>
      </w:r>
      <w:r w:rsidR="004B53F2" w:rsidRPr="00F305E1">
        <w:rPr>
          <w:rFonts w:cs="Open Sans"/>
        </w:rPr>
        <w:t>proportionality</w:t>
      </w:r>
      <w:r w:rsidRPr="00F305E1">
        <w:rPr>
          <w:rFonts w:cs="Open Sans"/>
        </w:rPr>
        <w:t xml:space="preserve"> </w:t>
      </w:r>
      <w:r w:rsidR="001323E0" w:rsidRPr="00F305E1">
        <w:rPr>
          <w:rFonts w:cs="Open Sans"/>
        </w:rPr>
        <w:t xml:space="preserve">with respect </w:t>
      </w:r>
      <w:r w:rsidRPr="00F305E1">
        <w:rPr>
          <w:rFonts w:cs="Open Sans"/>
        </w:rPr>
        <w:t>to achieving comparatively less important and pressing objectives.</w:t>
      </w:r>
      <w:r w:rsidR="00006190" w:rsidRPr="00F305E1">
        <w:rPr>
          <w:rFonts w:cs="Open Sans"/>
        </w:rPr>
        <w:t xml:space="preserve"> In particular, the concept of ‘national economic well-being’ could permit use of the assistance scheme for tax and superannuation law compliance.</w:t>
      </w:r>
    </w:p>
    <w:p w14:paraId="09F204E9" w14:textId="77777777" w:rsidR="001C1B64" w:rsidRPr="00F305E1" w:rsidRDefault="001C1B64" w:rsidP="00ED1AC1">
      <w:pPr>
        <w:pStyle w:val="NoSpacing"/>
        <w:ind w:left="360"/>
        <w:rPr>
          <w:rFonts w:cs="Open Sans"/>
        </w:rPr>
      </w:pPr>
    </w:p>
    <w:p w14:paraId="293ACA4E" w14:textId="075E4D4D" w:rsidR="00D12C57" w:rsidRPr="00F305E1" w:rsidRDefault="005A3855" w:rsidP="00681786">
      <w:pPr>
        <w:pStyle w:val="NoSpacing"/>
        <w:numPr>
          <w:ilvl w:val="0"/>
          <w:numId w:val="42"/>
        </w:numPr>
        <w:rPr>
          <w:rFonts w:cs="Open Sans"/>
        </w:rPr>
      </w:pPr>
      <w:r w:rsidRPr="00F305E1">
        <w:rPr>
          <w:rFonts w:cs="Open Sans"/>
        </w:rPr>
        <w:t>In</w:t>
      </w:r>
      <w:r w:rsidR="00181FFD" w:rsidRPr="00F305E1">
        <w:rPr>
          <w:rFonts w:cs="Open Sans"/>
        </w:rPr>
        <w:t xml:space="preserve"> certain cases, the</w:t>
      </w:r>
      <w:r w:rsidR="00D12C57" w:rsidRPr="00F305E1">
        <w:rPr>
          <w:rFonts w:cs="Open Sans"/>
        </w:rPr>
        <w:t xml:space="preserve"> </w:t>
      </w:r>
      <w:r w:rsidR="00163CEE" w:rsidRPr="00F305E1">
        <w:rPr>
          <w:rFonts w:cs="Open Sans"/>
        </w:rPr>
        <w:t xml:space="preserve">powers introduced by Schedule 1 of the TOLA </w:t>
      </w:r>
      <w:r w:rsidR="001C1B64" w:rsidRPr="00F305E1">
        <w:rPr>
          <w:rFonts w:cs="Open Sans"/>
        </w:rPr>
        <w:t>Act</w:t>
      </w:r>
      <w:r w:rsidR="00D12C57" w:rsidRPr="00F305E1">
        <w:rPr>
          <w:rFonts w:cs="Open Sans"/>
        </w:rPr>
        <w:t xml:space="preserve"> limit the objectives for which assistance can be compelled or requested to enforcing the criminal law ‘so far as it relates to serious Australian offences’</w:t>
      </w:r>
      <w:r w:rsidR="004B53F2" w:rsidRPr="00F305E1">
        <w:rPr>
          <w:rFonts w:cs="Open Sans"/>
        </w:rPr>
        <w:t>.</w:t>
      </w:r>
      <w:r w:rsidR="00681786" w:rsidRPr="00681786">
        <w:rPr>
          <w:rFonts w:cs="Open Sans"/>
        </w:rPr>
        <w:t xml:space="preserve"> </w:t>
      </w:r>
      <w:r w:rsidR="00681786">
        <w:rPr>
          <w:rFonts w:cs="Open Sans"/>
        </w:rPr>
        <w:t>This is a new reform introduced by the Government amendments, that partially implements</w:t>
      </w:r>
      <w:r w:rsidR="00681786" w:rsidRPr="00F305E1">
        <w:rPr>
          <w:rFonts w:cs="Open Sans"/>
        </w:rPr>
        <w:t xml:space="preserve"> previous Recommendation 6 </w:t>
      </w:r>
      <w:r w:rsidR="00681786">
        <w:rPr>
          <w:rFonts w:cs="Open Sans"/>
        </w:rPr>
        <w:t>made by the Commission</w:t>
      </w:r>
      <w:r w:rsidR="00681786" w:rsidRPr="00F305E1">
        <w:rPr>
          <w:rFonts w:cs="Open Sans"/>
        </w:rPr>
        <w:t xml:space="preserve"> to confine the scheme to</w:t>
      </w:r>
      <w:r w:rsidR="00681786">
        <w:rPr>
          <w:rFonts w:cs="Open Sans"/>
        </w:rPr>
        <w:t xml:space="preserve"> the enforcement of serious offences</w:t>
      </w:r>
      <w:r w:rsidR="00681786" w:rsidRPr="00F305E1">
        <w:rPr>
          <w:rFonts w:cs="Open Sans"/>
        </w:rPr>
        <w:t xml:space="preserve">. </w:t>
      </w:r>
      <w:r w:rsidR="00681786">
        <w:rPr>
          <w:rFonts w:cs="Open Sans"/>
        </w:rPr>
        <w:t xml:space="preserve">However, the </w:t>
      </w:r>
      <w:r w:rsidR="00681786">
        <w:rPr>
          <w:rFonts w:cs="Open Sans"/>
        </w:rPr>
        <w:lastRenderedPageBreak/>
        <w:t xml:space="preserve">Commission considers that this reform does not provide for a high enough bar </w:t>
      </w:r>
      <w:r w:rsidR="00F61E4C">
        <w:rPr>
          <w:rFonts w:cs="Open Sans"/>
        </w:rPr>
        <w:t xml:space="preserve">in respect </w:t>
      </w:r>
      <w:r w:rsidR="00681786">
        <w:rPr>
          <w:rFonts w:cs="Open Sans"/>
        </w:rPr>
        <w:t>of criminal conduct.</w:t>
      </w:r>
    </w:p>
    <w:p w14:paraId="73BA7248" w14:textId="77777777" w:rsidR="00D12C57" w:rsidRPr="00F305E1" w:rsidRDefault="00D12C57" w:rsidP="00ED1AC1">
      <w:pPr>
        <w:pStyle w:val="NoSpacing"/>
        <w:rPr>
          <w:rFonts w:cs="Open Sans"/>
        </w:rPr>
      </w:pPr>
    </w:p>
    <w:p w14:paraId="52BF218D" w14:textId="2A89DB63" w:rsidR="00D12C57" w:rsidRPr="00F305E1" w:rsidRDefault="00D12C57" w:rsidP="004F4432">
      <w:pPr>
        <w:pStyle w:val="NoSpacing"/>
        <w:numPr>
          <w:ilvl w:val="0"/>
          <w:numId w:val="42"/>
        </w:numPr>
        <w:rPr>
          <w:rFonts w:cs="Open Sans"/>
        </w:rPr>
      </w:pPr>
      <w:r w:rsidRPr="00F305E1">
        <w:rPr>
          <w:rFonts w:cs="Open Sans"/>
        </w:rPr>
        <w:t>‘Serious Australian offence’ is defined in s 317B</w:t>
      </w:r>
      <w:r w:rsidR="00163CEE" w:rsidRPr="00F305E1">
        <w:rPr>
          <w:rFonts w:cs="Open Sans"/>
        </w:rPr>
        <w:t xml:space="preserve"> of the Telecommunications Act</w:t>
      </w:r>
      <w:r w:rsidRPr="00F305E1">
        <w:rPr>
          <w:rFonts w:cs="Open Sans"/>
        </w:rPr>
        <w:t xml:space="preserve"> to mean an offence against a law of the Commonwealth, a State or a Territory that is punishable by a maximum term of imprisonment of 3 years or more, or life. </w:t>
      </w:r>
    </w:p>
    <w:p w14:paraId="0976FF8F" w14:textId="77777777" w:rsidR="00D12C57" w:rsidRPr="00F305E1" w:rsidRDefault="00D12C57" w:rsidP="00ED1AC1">
      <w:pPr>
        <w:pStyle w:val="NoSpacing"/>
        <w:ind w:left="360"/>
        <w:rPr>
          <w:rFonts w:cs="Open Sans"/>
        </w:rPr>
      </w:pPr>
    </w:p>
    <w:p w14:paraId="3536C28E" w14:textId="06693812" w:rsidR="007B5F58" w:rsidRPr="00F305E1" w:rsidRDefault="00D12C57" w:rsidP="004F4432">
      <w:pPr>
        <w:pStyle w:val="NoSpacing"/>
        <w:numPr>
          <w:ilvl w:val="0"/>
          <w:numId w:val="42"/>
        </w:numPr>
        <w:rPr>
          <w:rFonts w:cs="Open Sans"/>
        </w:rPr>
      </w:pPr>
      <w:r w:rsidRPr="00F305E1">
        <w:rPr>
          <w:rFonts w:cs="Open Sans"/>
        </w:rPr>
        <w:t xml:space="preserve">The Commission </w:t>
      </w:r>
      <w:r w:rsidR="00181FFD" w:rsidRPr="00F305E1">
        <w:rPr>
          <w:rFonts w:cs="Open Sans"/>
        </w:rPr>
        <w:t xml:space="preserve">previously recommended </w:t>
      </w:r>
      <w:r w:rsidRPr="00F305E1">
        <w:rPr>
          <w:rFonts w:cs="Open Sans"/>
        </w:rPr>
        <w:t xml:space="preserve">a higher threshold for </w:t>
      </w:r>
      <w:r w:rsidR="004B53F2" w:rsidRPr="00F305E1">
        <w:rPr>
          <w:rFonts w:cs="Open Sans"/>
        </w:rPr>
        <w:t>a serious offence,</w:t>
      </w:r>
      <w:r w:rsidRPr="00F305E1">
        <w:rPr>
          <w:rFonts w:cs="Open Sans"/>
        </w:rPr>
        <w:t xml:space="preserve"> by reference to s 5D of the </w:t>
      </w:r>
      <w:r w:rsidRPr="00F305E1">
        <w:rPr>
          <w:rFonts w:cs="Open Sans"/>
          <w:i/>
        </w:rPr>
        <w:t>Telecommunications (Interception and Access) Act 1979</w:t>
      </w:r>
      <w:r w:rsidRPr="00F305E1">
        <w:rPr>
          <w:rFonts w:cs="Open Sans"/>
        </w:rPr>
        <w:t xml:space="preserve"> (Cth)</w:t>
      </w:r>
      <w:r w:rsidR="00181FFD" w:rsidRPr="00F305E1">
        <w:rPr>
          <w:rFonts w:cs="Open Sans"/>
        </w:rPr>
        <w:t xml:space="preserve"> </w:t>
      </w:r>
      <w:r w:rsidR="009C7C9D" w:rsidRPr="00F305E1">
        <w:rPr>
          <w:rFonts w:cs="Open Sans"/>
        </w:rPr>
        <w:t xml:space="preserve">(TIA Act) </w:t>
      </w:r>
      <w:r w:rsidR="00181FFD" w:rsidRPr="00F305E1">
        <w:rPr>
          <w:rFonts w:cs="Open Sans"/>
        </w:rPr>
        <w:t>(</w:t>
      </w:r>
      <w:r w:rsidR="009C7C9D" w:rsidRPr="00F305E1">
        <w:rPr>
          <w:rFonts w:cs="Open Sans"/>
        </w:rPr>
        <w:t xml:space="preserve">see </w:t>
      </w:r>
      <w:r w:rsidR="00181FFD" w:rsidRPr="00F305E1">
        <w:rPr>
          <w:rFonts w:cs="Open Sans"/>
        </w:rPr>
        <w:t>previous Recommendation 6)</w:t>
      </w:r>
      <w:r w:rsidRPr="00F305E1">
        <w:rPr>
          <w:rFonts w:cs="Open Sans"/>
        </w:rPr>
        <w:t xml:space="preserve">. That provision includes offences punishable by imprisonment for life, or a period of at least </w:t>
      </w:r>
      <w:r w:rsidR="007D1ED4">
        <w:rPr>
          <w:rFonts w:cs="Open Sans"/>
        </w:rPr>
        <w:t>seven</w:t>
      </w:r>
      <w:r w:rsidR="007D1ED4" w:rsidRPr="00F305E1">
        <w:rPr>
          <w:rFonts w:cs="Open Sans"/>
        </w:rPr>
        <w:t xml:space="preserve"> </w:t>
      </w:r>
      <w:r w:rsidRPr="00F305E1">
        <w:rPr>
          <w:rFonts w:cs="Open Sans"/>
        </w:rPr>
        <w:t xml:space="preserve">years. </w:t>
      </w:r>
    </w:p>
    <w:p w14:paraId="10D27E81" w14:textId="77777777" w:rsidR="007B5F58" w:rsidRPr="00F305E1" w:rsidRDefault="007B5F58" w:rsidP="00ED1AC1">
      <w:pPr>
        <w:pStyle w:val="NoSpacing"/>
        <w:ind w:left="360"/>
        <w:rPr>
          <w:rFonts w:cs="Open Sans"/>
        </w:rPr>
      </w:pPr>
    </w:p>
    <w:p w14:paraId="764BE830" w14:textId="08ECBAE3" w:rsidR="00D12C57" w:rsidRPr="00F305E1" w:rsidRDefault="00D12C57" w:rsidP="004F4432">
      <w:pPr>
        <w:pStyle w:val="NoSpacing"/>
        <w:numPr>
          <w:ilvl w:val="0"/>
          <w:numId w:val="42"/>
        </w:numPr>
        <w:rPr>
          <w:rFonts w:cs="Open Sans"/>
        </w:rPr>
      </w:pPr>
      <w:r w:rsidRPr="00F305E1">
        <w:rPr>
          <w:rFonts w:cs="Open Sans"/>
        </w:rPr>
        <w:t xml:space="preserve">The Commission </w:t>
      </w:r>
      <w:r w:rsidR="00F94442" w:rsidRPr="00F305E1">
        <w:rPr>
          <w:rFonts w:cs="Open Sans"/>
        </w:rPr>
        <w:t xml:space="preserve">considers that, </w:t>
      </w:r>
      <w:r w:rsidR="00181FFD" w:rsidRPr="00F305E1">
        <w:rPr>
          <w:rFonts w:cs="Open Sans"/>
        </w:rPr>
        <w:t>to</w:t>
      </w:r>
      <w:r w:rsidR="00F94442" w:rsidRPr="00F305E1">
        <w:rPr>
          <w:rFonts w:cs="Open Sans"/>
        </w:rPr>
        <w:t xml:space="preserve"> </w:t>
      </w:r>
      <w:r w:rsidR="00181FFD" w:rsidRPr="00F305E1">
        <w:rPr>
          <w:rFonts w:cs="Open Sans"/>
        </w:rPr>
        <w:t xml:space="preserve">establish an appropriately serious threshold </w:t>
      </w:r>
      <w:r w:rsidR="00F94442" w:rsidRPr="00F305E1">
        <w:rPr>
          <w:rFonts w:cs="Open Sans"/>
        </w:rPr>
        <w:t>of conduct and</w:t>
      </w:r>
      <w:r w:rsidR="00181FFD" w:rsidRPr="00F305E1">
        <w:rPr>
          <w:rFonts w:cs="Open Sans"/>
        </w:rPr>
        <w:t xml:space="preserve"> to ensure</w:t>
      </w:r>
      <w:r w:rsidR="00F94442" w:rsidRPr="00F305E1">
        <w:rPr>
          <w:rFonts w:cs="Open Sans"/>
        </w:rPr>
        <w:t xml:space="preserve"> legislative consistency, the threshold </w:t>
      </w:r>
      <w:r w:rsidR="00181FFD" w:rsidRPr="00F305E1">
        <w:rPr>
          <w:rFonts w:cs="Open Sans"/>
        </w:rPr>
        <w:t xml:space="preserve">in </w:t>
      </w:r>
      <w:r w:rsidR="00163CEE" w:rsidRPr="00F305E1">
        <w:rPr>
          <w:rFonts w:cs="Open Sans"/>
        </w:rPr>
        <w:t xml:space="preserve">s 5D of </w:t>
      </w:r>
      <w:r w:rsidR="00181FFD" w:rsidRPr="00F305E1">
        <w:rPr>
          <w:rFonts w:cs="Open Sans"/>
        </w:rPr>
        <w:t xml:space="preserve">the TIA Act </w:t>
      </w:r>
      <w:r w:rsidR="0070288B">
        <w:rPr>
          <w:rFonts w:cs="Open Sans"/>
        </w:rPr>
        <w:t xml:space="preserve">for a ‘serious offence’ </w:t>
      </w:r>
      <w:r w:rsidR="00F94442" w:rsidRPr="00F305E1">
        <w:rPr>
          <w:rFonts w:cs="Open Sans"/>
        </w:rPr>
        <w:t xml:space="preserve">is a more appropriate minimum bar. </w:t>
      </w:r>
    </w:p>
    <w:p w14:paraId="1EF87CDE" w14:textId="77777777" w:rsidR="005A3855" w:rsidRPr="00F305E1" w:rsidRDefault="005A3855" w:rsidP="00ED1AC1">
      <w:pPr>
        <w:pStyle w:val="NoSpacing"/>
        <w:ind w:left="360"/>
        <w:rPr>
          <w:rFonts w:cs="Open Sans"/>
        </w:rPr>
      </w:pPr>
    </w:p>
    <w:p w14:paraId="03AE50F9" w14:textId="0F9D160B" w:rsidR="005A3855" w:rsidRPr="00F305E1" w:rsidRDefault="005A3855" w:rsidP="004F4432">
      <w:pPr>
        <w:pStyle w:val="NoSpacing"/>
        <w:numPr>
          <w:ilvl w:val="0"/>
          <w:numId w:val="42"/>
        </w:numPr>
        <w:rPr>
          <w:rFonts w:cs="Open Sans"/>
        </w:rPr>
      </w:pPr>
      <w:r w:rsidRPr="00F305E1">
        <w:rPr>
          <w:rFonts w:cs="Open Sans"/>
        </w:rPr>
        <w:t xml:space="preserve">The Commission otherwise welcomes the narrowing of ‘relevant objectives’ that authorise the giving of a request or notice. In particular, </w:t>
      </w:r>
      <w:r w:rsidR="00681786">
        <w:rPr>
          <w:rFonts w:cs="Open Sans"/>
        </w:rPr>
        <w:t xml:space="preserve">it supports </w:t>
      </w:r>
      <w:r w:rsidRPr="00F305E1">
        <w:rPr>
          <w:rFonts w:cs="Open Sans"/>
        </w:rPr>
        <w:t xml:space="preserve">the removal of the enforcement of pecuniary penalties as a relevant objective, which enhances the proportionality of the scheme overall. </w:t>
      </w:r>
    </w:p>
    <w:p w14:paraId="591764A9" w14:textId="77777777" w:rsidR="00D12C57" w:rsidRPr="00F305E1" w:rsidRDefault="00D12C57" w:rsidP="00ED1AC1">
      <w:pPr>
        <w:pStyle w:val="NoSpacing"/>
        <w:rPr>
          <w:rFonts w:cs="Open Sans"/>
        </w:rPr>
      </w:pPr>
    </w:p>
    <w:p w14:paraId="046B40EB" w14:textId="193025E9" w:rsidR="00764A10" w:rsidRPr="00F305E1" w:rsidRDefault="00C04B76" w:rsidP="001A27F4">
      <w:pPr>
        <w:pStyle w:val="NoSpacing"/>
        <w:keepNext/>
        <w:spacing w:after="120"/>
        <w:ind w:left="720"/>
        <w:rPr>
          <w:rFonts w:cs="Open Sans"/>
          <w:b/>
        </w:rPr>
      </w:pPr>
      <w:r w:rsidRPr="00F305E1">
        <w:rPr>
          <w:rFonts w:cs="Open Sans"/>
          <w:b/>
        </w:rPr>
        <w:t xml:space="preserve">Recommendation </w:t>
      </w:r>
      <w:r w:rsidR="0017062B">
        <w:rPr>
          <w:rFonts w:cs="Open Sans"/>
          <w:b/>
        </w:rPr>
        <w:t>G</w:t>
      </w:r>
    </w:p>
    <w:p w14:paraId="3C9C09C0" w14:textId="673247A6" w:rsidR="0017062B" w:rsidRPr="0017062B" w:rsidRDefault="004B53F2" w:rsidP="001A27F4">
      <w:pPr>
        <w:pStyle w:val="NoSpacing"/>
        <w:keepNext/>
        <w:spacing w:after="120"/>
        <w:ind w:left="720"/>
        <w:rPr>
          <w:rFonts w:cs="Open Sans"/>
        </w:rPr>
      </w:pPr>
      <w:r w:rsidRPr="00F305E1">
        <w:rPr>
          <w:rFonts w:cs="Open Sans"/>
        </w:rPr>
        <w:t>T</w:t>
      </w:r>
      <w:r w:rsidR="007B5F58" w:rsidRPr="00F305E1">
        <w:rPr>
          <w:rFonts w:cs="Open Sans"/>
        </w:rPr>
        <w:t xml:space="preserve">he </w:t>
      </w:r>
      <w:r w:rsidR="0061502D" w:rsidRPr="00F305E1">
        <w:rPr>
          <w:rFonts w:cs="Open Sans"/>
        </w:rPr>
        <w:t>‘</w:t>
      </w:r>
      <w:r w:rsidR="007B5F58" w:rsidRPr="00F305E1">
        <w:rPr>
          <w:rFonts w:cs="Open Sans"/>
        </w:rPr>
        <w:t>relevant objectives</w:t>
      </w:r>
      <w:r w:rsidR="0061502D" w:rsidRPr="00F305E1">
        <w:rPr>
          <w:rFonts w:cs="Open Sans"/>
        </w:rPr>
        <w:t>’ for which T</w:t>
      </w:r>
      <w:r w:rsidR="00344FD8">
        <w:rPr>
          <w:rFonts w:cs="Open Sans"/>
        </w:rPr>
        <w:t xml:space="preserve">echnical </w:t>
      </w:r>
      <w:r w:rsidR="0061502D" w:rsidRPr="00F305E1">
        <w:rPr>
          <w:rFonts w:cs="Open Sans"/>
        </w:rPr>
        <w:t>A</w:t>
      </w:r>
      <w:r w:rsidR="00344FD8">
        <w:rPr>
          <w:rFonts w:cs="Open Sans"/>
        </w:rPr>
        <w:t xml:space="preserve">ssistance </w:t>
      </w:r>
      <w:r w:rsidR="0061502D" w:rsidRPr="00F305E1">
        <w:rPr>
          <w:rFonts w:cs="Open Sans"/>
        </w:rPr>
        <w:t>R</w:t>
      </w:r>
      <w:r w:rsidR="00344FD8">
        <w:rPr>
          <w:rFonts w:cs="Open Sans"/>
        </w:rPr>
        <w:t>equest</w:t>
      </w:r>
      <w:r w:rsidR="0061502D" w:rsidRPr="00F305E1">
        <w:rPr>
          <w:rFonts w:cs="Open Sans"/>
        </w:rPr>
        <w:t xml:space="preserve">s may be issued should be further </w:t>
      </w:r>
      <w:r w:rsidR="00437423" w:rsidRPr="00F305E1">
        <w:rPr>
          <w:rFonts w:cs="Open Sans"/>
        </w:rPr>
        <w:t>amended</w:t>
      </w:r>
      <w:r w:rsidR="0061502D" w:rsidRPr="00F305E1">
        <w:rPr>
          <w:rFonts w:cs="Open Sans"/>
        </w:rPr>
        <w:t xml:space="preserve"> so that </w:t>
      </w:r>
      <w:r w:rsidR="00437423" w:rsidRPr="00F305E1">
        <w:rPr>
          <w:rFonts w:cs="Open Sans"/>
        </w:rPr>
        <w:t xml:space="preserve">it is not possible to </w:t>
      </w:r>
      <w:r w:rsidR="00006190" w:rsidRPr="00F305E1">
        <w:rPr>
          <w:rFonts w:cs="Open Sans"/>
        </w:rPr>
        <w:t xml:space="preserve">use the assistance scheme for purposes related to ‘the interests of Australia’s national economic well-being’, and </w:t>
      </w:r>
      <w:r w:rsidR="00437423" w:rsidRPr="00F305E1">
        <w:rPr>
          <w:rFonts w:cs="Open Sans"/>
        </w:rPr>
        <w:t xml:space="preserve">so that </w:t>
      </w:r>
      <w:r w:rsidR="00006190" w:rsidRPr="00F305E1">
        <w:rPr>
          <w:rFonts w:cs="Open Sans"/>
        </w:rPr>
        <w:t xml:space="preserve">the meaning of </w:t>
      </w:r>
      <w:r w:rsidR="00011376" w:rsidRPr="00F305E1">
        <w:rPr>
          <w:rFonts w:cs="Open Sans"/>
        </w:rPr>
        <w:t>‘</w:t>
      </w:r>
      <w:r w:rsidR="00006190" w:rsidRPr="00F305E1">
        <w:rPr>
          <w:rFonts w:cs="Open Sans"/>
        </w:rPr>
        <w:t>matters relating to the security and integrity of information that is processed, stored or communicated by electronic or similar means</w:t>
      </w:r>
      <w:r w:rsidR="00011376" w:rsidRPr="00F305E1">
        <w:rPr>
          <w:rFonts w:cs="Open Sans"/>
        </w:rPr>
        <w:t>’</w:t>
      </w:r>
      <w:r w:rsidR="00437423" w:rsidRPr="00F305E1">
        <w:rPr>
          <w:rFonts w:cs="Open Sans"/>
        </w:rPr>
        <w:t xml:space="preserve"> is more clearly and precisely defined</w:t>
      </w:r>
      <w:r w:rsidR="00006190" w:rsidRPr="00F305E1">
        <w:rPr>
          <w:rFonts w:cs="Open Sans"/>
        </w:rPr>
        <w:t>.</w:t>
      </w:r>
    </w:p>
    <w:p w14:paraId="60DAED33" w14:textId="00B4DD50" w:rsidR="00764A10" w:rsidRPr="00F305E1" w:rsidRDefault="00133F91" w:rsidP="00344FD8">
      <w:pPr>
        <w:pStyle w:val="NoSpacing"/>
        <w:keepNext/>
        <w:spacing w:after="120"/>
        <w:ind w:left="720"/>
        <w:rPr>
          <w:rFonts w:cs="Open Sans"/>
          <w:b/>
        </w:rPr>
      </w:pPr>
      <w:r w:rsidRPr="00F305E1">
        <w:rPr>
          <w:rFonts w:cs="Open Sans"/>
          <w:b/>
        </w:rPr>
        <w:t xml:space="preserve">Recommendation </w:t>
      </w:r>
      <w:r w:rsidR="0017062B">
        <w:rPr>
          <w:rFonts w:cs="Open Sans"/>
          <w:b/>
        </w:rPr>
        <w:t>H</w:t>
      </w:r>
    </w:p>
    <w:p w14:paraId="2FA56D12" w14:textId="41DCEF43" w:rsidR="00C04B76" w:rsidRPr="00F305E1" w:rsidRDefault="00A63C77" w:rsidP="00344FD8">
      <w:pPr>
        <w:pStyle w:val="NoSpacing"/>
        <w:keepNext/>
        <w:ind w:left="720"/>
        <w:rPr>
          <w:rFonts w:cs="Open Sans"/>
        </w:rPr>
      </w:pPr>
      <w:r w:rsidRPr="00F305E1">
        <w:rPr>
          <w:rFonts w:cs="Open Sans"/>
        </w:rPr>
        <w:t xml:space="preserve">The definition of </w:t>
      </w:r>
      <w:r w:rsidR="00253BEA" w:rsidRPr="00F305E1">
        <w:rPr>
          <w:rFonts w:cs="Open Sans"/>
        </w:rPr>
        <w:t>‘</w:t>
      </w:r>
      <w:r w:rsidRPr="00F305E1">
        <w:rPr>
          <w:rFonts w:cs="Open Sans"/>
        </w:rPr>
        <w:t>serious offence</w:t>
      </w:r>
      <w:r w:rsidR="00253BEA" w:rsidRPr="00F305E1">
        <w:rPr>
          <w:rFonts w:cs="Open Sans"/>
        </w:rPr>
        <w:t>’</w:t>
      </w:r>
      <w:r w:rsidRPr="00F305E1">
        <w:rPr>
          <w:rFonts w:cs="Open Sans"/>
        </w:rPr>
        <w:t xml:space="preserve"> in s 317B</w:t>
      </w:r>
      <w:r w:rsidR="00163CEE" w:rsidRPr="00F305E1">
        <w:rPr>
          <w:rFonts w:cs="Open Sans"/>
        </w:rPr>
        <w:t xml:space="preserve"> of the </w:t>
      </w:r>
      <w:r w:rsidR="00163CEE" w:rsidRPr="00FD6B6E">
        <w:rPr>
          <w:rFonts w:cs="Open Sans"/>
          <w:i/>
        </w:rPr>
        <w:t>Telecommunications Act</w:t>
      </w:r>
      <w:r w:rsidR="00253BEA" w:rsidRPr="00FD6B6E">
        <w:rPr>
          <w:rFonts w:cs="Open Sans"/>
          <w:i/>
        </w:rPr>
        <w:t xml:space="preserve"> </w:t>
      </w:r>
      <w:r w:rsidR="00FD6B6E" w:rsidRPr="00FD6B6E">
        <w:rPr>
          <w:rFonts w:cs="Open Sans"/>
          <w:i/>
        </w:rPr>
        <w:t>1997</w:t>
      </w:r>
      <w:r w:rsidR="00FD6B6E">
        <w:rPr>
          <w:rFonts w:cs="Open Sans"/>
        </w:rPr>
        <w:t xml:space="preserve"> (Cth) </w:t>
      </w:r>
      <w:r w:rsidR="00006190" w:rsidRPr="00F305E1">
        <w:rPr>
          <w:rFonts w:cs="Open Sans"/>
        </w:rPr>
        <w:t xml:space="preserve">should </w:t>
      </w:r>
      <w:r w:rsidR="00253BEA" w:rsidRPr="00F305E1">
        <w:rPr>
          <w:rFonts w:cs="Open Sans"/>
        </w:rPr>
        <w:t xml:space="preserve">be </w:t>
      </w:r>
      <w:r w:rsidR="00163CEE" w:rsidRPr="00F305E1">
        <w:rPr>
          <w:rFonts w:cs="Open Sans"/>
        </w:rPr>
        <w:t>amended so that it is consistent with the definition in</w:t>
      </w:r>
      <w:r w:rsidR="00253BEA" w:rsidRPr="00F305E1">
        <w:rPr>
          <w:rFonts w:cs="Open Sans"/>
        </w:rPr>
        <w:t xml:space="preserve"> s 5D of the </w:t>
      </w:r>
      <w:r w:rsidR="00253BEA" w:rsidRPr="00F305E1">
        <w:rPr>
          <w:rFonts w:cs="Open Sans"/>
          <w:i/>
        </w:rPr>
        <w:t>Telecommunications (Interception and Access) Act 1979</w:t>
      </w:r>
      <w:r w:rsidR="00006190" w:rsidRPr="00F305E1">
        <w:rPr>
          <w:rFonts w:cs="Open Sans"/>
        </w:rPr>
        <w:t xml:space="preserve"> (Cth)</w:t>
      </w:r>
      <w:r w:rsidR="00253BEA" w:rsidRPr="00F305E1">
        <w:rPr>
          <w:rFonts w:cs="Open Sans"/>
        </w:rPr>
        <w:t>.</w:t>
      </w:r>
    </w:p>
    <w:p w14:paraId="5C93713A" w14:textId="77777777" w:rsidR="00A82A12" w:rsidRDefault="00A82A12">
      <w:pPr>
        <w:spacing w:before="0" w:after="0"/>
        <w:rPr>
          <w:rFonts w:cs="Open Sans"/>
          <w:b/>
          <w:i/>
          <w:sz w:val="28"/>
        </w:rPr>
      </w:pPr>
      <w:r>
        <w:rPr>
          <w:rFonts w:cs="Open Sans"/>
          <w:b/>
          <w:i/>
          <w:sz w:val="28"/>
        </w:rPr>
        <w:br w:type="page"/>
      </w:r>
    </w:p>
    <w:p w14:paraId="28F37FCB" w14:textId="0D3C4799" w:rsidR="004E2643" w:rsidRPr="00A82A12" w:rsidRDefault="004E2643" w:rsidP="00A82A12">
      <w:pPr>
        <w:keepNext/>
        <w:rPr>
          <w:rFonts w:cs="Open Sans"/>
          <w:b/>
          <w:i/>
          <w:sz w:val="28"/>
        </w:rPr>
      </w:pPr>
      <w:r w:rsidRPr="00A82A12">
        <w:rPr>
          <w:rFonts w:cs="Open Sans"/>
          <w:b/>
          <w:i/>
          <w:sz w:val="28"/>
        </w:rPr>
        <w:lastRenderedPageBreak/>
        <w:t>Schedule</w:t>
      </w:r>
      <w:r w:rsidR="00E7332F" w:rsidRPr="00A82A12">
        <w:rPr>
          <w:rFonts w:cs="Open Sans"/>
          <w:b/>
          <w:i/>
          <w:sz w:val="28"/>
        </w:rPr>
        <w:t>s</w:t>
      </w:r>
      <w:r w:rsidRPr="00A82A12">
        <w:rPr>
          <w:rFonts w:cs="Open Sans"/>
          <w:b/>
          <w:i/>
          <w:sz w:val="28"/>
        </w:rPr>
        <w:t xml:space="preserve"> </w:t>
      </w:r>
      <w:r w:rsidR="00C13CAD" w:rsidRPr="00A82A12">
        <w:rPr>
          <w:rFonts w:cs="Open Sans"/>
          <w:b/>
          <w:i/>
          <w:sz w:val="28"/>
        </w:rPr>
        <w:t>2</w:t>
      </w:r>
      <w:r w:rsidR="00ED1AC1" w:rsidRPr="00A82A12">
        <w:rPr>
          <w:rFonts w:cs="Open Sans"/>
          <w:b/>
          <w:i/>
          <w:sz w:val="28"/>
        </w:rPr>
        <w:t>–</w:t>
      </w:r>
      <w:r w:rsidR="001323E0" w:rsidRPr="00A82A12">
        <w:rPr>
          <w:rFonts w:cs="Open Sans"/>
          <w:b/>
          <w:i/>
          <w:sz w:val="28"/>
        </w:rPr>
        <w:t xml:space="preserve">5 </w:t>
      </w:r>
      <w:r w:rsidR="007410EC" w:rsidRPr="00A82A12">
        <w:rPr>
          <w:rFonts w:cs="Open Sans"/>
          <w:b/>
          <w:i/>
          <w:sz w:val="28"/>
        </w:rPr>
        <w:t>of the TOLA Act</w:t>
      </w:r>
    </w:p>
    <w:p w14:paraId="72591A7D" w14:textId="64A99D71" w:rsidR="004E2643" w:rsidRPr="00F305E1" w:rsidRDefault="004E2643" w:rsidP="00A82A12">
      <w:pPr>
        <w:pStyle w:val="ListParagraph"/>
        <w:keepNext/>
        <w:numPr>
          <w:ilvl w:val="0"/>
          <w:numId w:val="42"/>
        </w:numPr>
        <w:spacing w:before="0" w:after="0"/>
        <w:contextualSpacing w:val="0"/>
        <w:jc w:val="both"/>
        <w:rPr>
          <w:rFonts w:cs="Open Sans"/>
        </w:rPr>
      </w:pPr>
      <w:r w:rsidRPr="000A7B7E">
        <w:rPr>
          <w:rFonts w:cs="Open Sans"/>
        </w:rPr>
        <w:t>In its submission to this Committee dated 12 October 2018, the Commission raised serious concerns about the human rights implications of Schedules 2</w:t>
      </w:r>
      <w:r w:rsidR="00AC1BD3">
        <w:rPr>
          <w:rFonts w:cs="Open Sans"/>
        </w:rPr>
        <w:t>–</w:t>
      </w:r>
      <w:r w:rsidRPr="000A7B7E">
        <w:rPr>
          <w:rFonts w:cs="Open Sans"/>
        </w:rPr>
        <w:t xml:space="preserve">5 of the </w:t>
      </w:r>
      <w:r w:rsidR="00ED1AC1" w:rsidRPr="000A7B7E">
        <w:rPr>
          <w:rFonts w:cs="Open Sans"/>
        </w:rPr>
        <w:t xml:space="preserve">TOLA </w:t>
      </w:r>
      <w:r w:rsidRPr="000A7B7E">
        <w:rPr>
          <w:rFonts w:cs="Open Sans"/>
        </w:rPr>
        <w:t>Bill. Schedules 2</w:t>
      </w:r>
      <w:r w:rsidR="00AC1BD3">
        <w:rPr>
          <w:rFonts w:cs="Open Sans"/>
        </w:rPr>
        <w:t>–</w:t>
      </w:r>
      <w:r w:rsidRPr="000A7B7E">
        <w:rPr>
          <w:rFonts w:cs="Open Sans"/>
        </w:rPr>
        <w:t xml:space="preserve">5 proposed to significantly broaden the intrusive and coercive powers available to law enforcement and security agencies, for example, by way of a new ‘computer access warrant’ regime in the </w:t>
      </w:r>
      <w:r w:rsidRPr="000A7B7E">
        <w:rPr>
          <w:rFonts w:cs="Open Sans"/>
          <w:i/>
        </w:rPr>
        <w:t>S</w:t>
      </w:r>
      <w:r w:rsidR="00272CA7" w:rsidRPr="000A7B7E">
        <w:rPr>
          <w:rFonts w:cs="Open Sans"/>
          <w:i/>
        </w:rPr>
        <w:t xml:space="preserve">urveillance </w:t>
      </w:r>
      <w:r w:rsidRPr="000A7B7E">
        <w:rPr>
          <w:rFonts w:cs="Open Sans"/>
          <w:i/>
        </w:rPr>
        <w:t>D</w:t>
      </w:r>
      <w:r w:rsidR="00272CA7" w:rsidRPr="000A7B7E">
        <w:rPr>
          <w:rFonts w:cs="Open Sans"/>
          <w:i/>
        </w:rPr>
        <w:t>evices</w:t>
      </w:r>
      <w:r w:rsidRPr="000A7B7E">
        <w:rPr>
          <w:rFonts w:cs="Open Sans"/>
          <w:i/>
        </w:rPr>
        <w:t xml:space="preserve"> Act</w:t>
      </w:r>
      <w:r w:rsidR="00272CA7" w:rsidRPr="000A7B7E">
        <w:rPr>
          <w:rFonts w:cs="Open Sans"/>
          <w:i/>
        </w:rPr>
        <w:t xml:space="preserve"> 2004</w:t>
      </w:r>
      <w:r w:rsidR="00272CA7" w:rsidRPr="000A7B7E">
        <w:rPr>
          <w:rFonts w:cs="Open Sans"/>
        </w:rPr>
        <w:t xml:space="preserve"> (Cth) (SD Act)</w:t>
      </w:r>
      <w:r w:rsidRPr="000A7B7E">
        <w:rPr>
          <w:rFonts w:cs="Open Sans"/>
        </w:rPr>
        <w:t>. Schedules 2</w:t>
      </w:r>
      <w:r w:rsidR="000808C0">
        <w:rPr>
          <w:rFonts w:cs="Open Sans"/>
        </w:rPr>
        <w:t>–</w:t>
      </w:r>
      <w:r w:rsidRPr="000A7B7E">
        <w:rPr>
          <w:rFonts w:cs="Open Sans"/>
        </w:rPr>
        <w:t xml:space="preserve">5 also sought to amend nine pieces of existing Commonwealth legislation, including the </w:t>
      </w:r>
      <w:r w:rsidRPr="000A7B7E">
        <w:rPr>
          <w:rFonts w:cs="Open Sans"/>
          <w:i/>
        </w:rPr>
        <w:t>A</w:t>
      </w:r>
      <w:r w:rsidR="00272CA7" w:rsidRPr="000A7B7E">
        <w:rPr>
          <w:rFonts w:cs="Open Sans"/>
          <w:i/>
        </w:rPr>
        <w:t xml:space="preserve">ustralian </w:t>
      </w:r>
      <w:r w:rsidRPr="000A7B7E">
        <w:rPr>
          <w:rFonts w:cs="Open Sans"/>
          <w:i/>
        </w:rPr>
        <w:t>S</w:t>
      </w:r>
      <w:r w:rsidR="00272CA7" w:rsidRPr="000A7B7E">
        <w:rPr>
          <w:rFonts w:cs="Open Sans"/>
          <w:i/>
        </w:rPr>
        <w:t>ecurity Intelligence Organisation Act 1979</w:t>
      </w:r>
      <w:r w:rsidR="00272CA7" w:rsidRPr="000A7B7E">
        <w:rPr>
          <w:rFonts w:cs="Open Sans"/>
        </w:rPr>
        <w:t xml:space="preserve"> </w:t>
      </w:r>
      <w:r w:rsidR="00272CA7" w:rsidRPr="00F305E1">
        <w:rPr>
          <w:rFonts w:cs="Open Sans"/>
        </w:rPr>
        <w:t>(Cth) (ASIO Act)</w:t>
      </w:r>
      <w:r w:rsidRPr="00F305E1">
        <w:rPr>
          <w:rFonts w:cs="Open Sans"/>
        </w:rPr>
        <w:t xml:space="preserve">, to enhance warrant and evidence-gathering powers. </w:t>
      </w:r>
    </w:p>
    <w:p w14:paraId="5F5A1D47" w14:textId="77777777" w:rsidR="004E2643" w:rsidRPr="00F305E1" w:rsidRDefault="004E2643" w:rsidP="00ED1AC1">
      <w:pPr>
        <w:pStyle w:val="ListParagraph"/>
        <w:spacing w:before="0" w:after="0"/>
        <w:ind w:left="360"/>
        <w:contextualSpacing w:val="0"/>
        <w:jc w:val="both"/>
        <w:rPr>
          <w:rFonts w:cs="Open Sans"/>
        </w:rPr>
      </w:pPr>
    </w:p>
    <w:p w14:paraId="1F220DFA" w14:textId="28F9BF79" w:rsidR="004E2643" w:rsidRPr="00F305E1" w:rsidRDefault="00B82B34" w:rsidP="004F4432">
      <w:pPr>
        <w:pStyle w:val="ListParagraph"/>
        <w:numPr>
          <w:ilvl w:val="0"/>
          <w:numId w:val="42"/>
        </w:numPr>
        <w:spacing w:before="0" w:after="0"/>
        <w:contextualSpacing w:val="0"/>
        <w:jc w:val="both"/>
        <w:rPr>
          <w:rFonts w:cs="Open Sans"/>
        </w:rPr>
      </w:pPr>
      <w:r w:rsidRPr="00F305E1">
        <w:rPr>
          <w:rFonts w:cs="Open Sans"/>
        </w:rPr>
        <w:t>While some amendments to the TOLA Bill were made prior to its passage, f</w:t>
      </w:r>
      <w:r w:rsidR="004E2643" w:rsidRPr="00F305E1">
        <w:rPr>
          <w:rFonts w:cs="Open Sans"/>
        </w:rPr>
        <w:t xml:space="preserve">rom a human rights perspective, the Commission considers that significant problems remain with the amendments to federal law implemented by Schedules 2–5 of the </w:t>
      </w:r>
      <w:r w:rsidR="00537DEB" w:rsidRPr="00F305E1">
        <w:rPr>
          <w:rFonts w:cs="Open Sans"/>
        </w:rPr>
        <w:t xml:space="preserve">TOLA </w:t>
      </w:r>
      <w:r w:rsidR="004E2643" w:rsidRPr="00F305E1">
        <w:rPr>
          <w:rFonts w:cs="Open Sans"/>
        </w:rPr>
        <w:t xml:space="preserve">Act. These issues have received comparatively less </w:t>
      </w:r>
      <w:r w:rsidR="0026436C">
        <w:rPr>
          <w:rFonts w:cs="Open Sans"/>
        </w:rPr>
        <w:t xml:space="preserve">public </w:t>
      </w:r>
      <w:r w:rsidR="00D976E0" w:rsidRPr="00F305E1">
        <w:rPr>
          <w:rFonts w:cs="Open Sans"/>
        </w:rPr>
        <w:t xml:space="preserve">attention </w:t>
      </w:r>
      <w:r w:rsidRPr="00F305E1">
        <w:rPr>
          <w:rFonts w:cs="Open Sans"/>
        </w:rPr>
        <w:t xml:space="preserve">than those arising from Schedule 1 of that Act, but are of comparable importance. </w:t>
      </w:r>
    </w:p>
    <w:p w14:paraId="787EF9D9" w14:textId="77777777" w:rsidR="004E2643" w:rsidRPr="00F305E1" w:rsidRDefault="004E2643" w:rsidP="00ED1AC1">
      <w:pPr>
        <w:pStyle w:val="ListParagraph"/>
        <w:spacing w:before="0" w:after="0"/>
        <w:ind w:left="360"/>
        <w:contextualSpacing w:val="0"/>
        <w:jc w:val="both"/>
        <w:rPr>
          <w:rFonts w:cs="Open Sans"/>
        </w:rPr>
      </w:pPr>
    </w:p>
    <w:p w14:paraId="3A43E55B" w14:textId="03EBE7EE" w:rsidR="004E2643" w:rsidRPr="00F305E1" w:rsidRDefault="004E2643" w:rsidP="004F4432">
      <w:pPr>
        <w:pStyle w:val="ListParagraph"/>
        <w:numPr>
          <w:ilvl w:val="0"/>
          <w:numId w:val="42"/>
        </w:numPr>
        <w:spacing w:before="0" w:after="0"/>
        <w:contextualSpacing w:val="0"/>
        <w:jc w:val="both"/>
        <w:rPr>
          <w:rFonts w:cs="Open Sans"/>
        </w:rPr>
      </w:pPr>
      <w:r w:rsidRPr="00F305E1">
        <w:rPr>
          <w:rFonts w:cs="Open Sans"/>
        </w:rPr>
        <w:t xml:space="preserve">The Commission made </w:t>
      </w:r>
      <w:r w:rsidR="003A6FE4">
        <w:rPr>
          <w:rFonts w:cs="Open Sans"/>
        </w:rPr>
        <w:t xml:space="preserve">20 </w:t>
      </w:r>
      <w:r w:rsidRPr="00F305E1">
        <w:rPr>
          <w:rFonts w:cs="Open Sans"/>
        </w:rPr>
        <w:t xml:space="preserve">recommendations relating to Schedules 2–5 </w:t>
      </w:r>
      <w:r w:rsidR="00871177" w:rsidRPr="00F305E1">
        <w:rPr>
          <w:rFonts w:cs="Open Sans"/>
        </w:rPr>
        <w:t xml:space="preserve">of the TOLA Bill </w:t>
      </w:r>
      <w:r w:rsidRPr="00F305E1">
        <w:rPr>
          <w:rFonts w:cs="Open Sans"/>
        </w:rPr>
        <w:t>(</w:t>
      </w:r>
      <w:r w:rsidR="001C356B" w:rsidRPr="00F305E1">
        <w:rPr>
          <w:rFonts w:cs="Open Sans"/>
        </w:rPr>
        <w:t xml:space="preserve">see </w:t>
      </w:r>
      <w:r w:rsidR="00871177" w:rsidRPr="00F305E1">
        <w:rPr>
          <w:rFonts w:cs="Open Sans"/>
        </w:rPr>
        <w:t xml:space="preserve">previous </w:t>
      </w:r>
      <w:r w:rsidRPr="00F305E1">
        <w:rPr>
          <w:rFonts w:cs="Open Sans"/>
        </w:rPr>
        <w:t xml:space="preserve">Recommendations 34–53) that aimed to </w:t>
      </w:r>
      <w:r w:rsidR="003D4258">
        <w:rPr>
          <w:rFonts w:cs="Open Sans"/>
        </w:rPr>
        <w:t>address</w:t>
      </w:r>
      <w:r w:rsidRPr="00F305E1">
        <w:rPr>
          <w:rFonts w:cs="Open Sans"/>
        </w:rPr>
        <w:t xml:space="preserve"> the substantial human rights concerns that the Commission had identified. The Government amendments that form the subject of this inquiry can be said to implement only two of those </w:t>
      </w:r>
      <w:r w:rsidR="0056504A">
        <w:rPr>
          <w:rFonts w:cs="Open Sans"/>
        </w:rPr>
        <w:t>20</w:t>
      </w:r>
      <w:r w:rsidR="00200363" w:rsidRPr="00F305E1">
        <w:rPr>
          <w:rFonts w:cs="Open Sans"/>
        </w:rPr>
        <w:t xml:space="preserve"> </w:t>
      </w:r>
      <w:r w:rsidRPr="00F305E1">
        <w:rPr>
          <w:rFonts w:cs="Open Sans"/>
        </w:rPr>
        <w:t xml:space="preserve">recommendations. </w:t>
      </w:r>
    </w:p>
    <w:p w14:paraId="2D2305C4" w14:textId="20FBC587" w:rsidR="004E2643" w:rsidRPr="00F305E1" w:rsidRDefault="004E2643" w:rsidP="00ED1AC1">
      <w:pPr>
        <w:pStyle w:val="Heading2"/>
        <w:spacing w:before="360" w:after="0"/>
        <w:rPr>
          <w:rFonts w:eastAsia="MS Mincho" w:cs="Open Sans"/>
          <w:color w:val="auto"/>
          <w:sz w:val="24"/>
          <w:szCs w:val="24"/>
          <w:u w:val="single"/>
        </w:rPr>
      </w:pPr>
      <w:r w:rsidRPr="00F305E1">
        <w:rPr>
          <w:rFonts w:eastAsia="MS Mincho" w:cs="Open Sans"/>
          <w:color w:val="auto"/>
          <w:sz w:val="24"/>
          <w:szCs w:val="24"/>
          <w:u w:val="single"/>
        </w:rPr>
        <w:t>iv) Breadth of ASIO’s mandatory assistance powers</w:t>
      </w:r>
    </w:p>
    <w:p w14:paraId="20AA4021" w14:textId="07306DF1" w:rsidR="004E2643" w:rsidRPr="00F305E1" w:rsidRDefault="004E2643" w:rsidP="00ED1AC1">
      <w:pPr>
        <w:pStyle w:val="NoSpacing"/>
        <w:ind w:left="360"/>
        <w:rPr>
          <w:rFonts w:cs="Open Sans"/>
        </w:rPr>
      </w:pPr>
    </w:p>
    <w:p w14:paraId="7E28CAD5" w14:textId="200D2E1C"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The Commission is concerned that </w:t>
      </w:r>
      <w:r w:rsidR="00871177" w:rsidRPr="00F305E1">
        <w:rPr>
          <w:rFonts w:cs="Open Sans"/>
        </w:rPr>
        <w:t xml:space="preserve">legislative changes made by the </w:t>
      </w:r>
      <w:r w:rsidR="00D976E0" w:rsidRPr="00F305E1">
        <w:rPr>
          <w:rFonts w:cs="Open Sans"/>
        </w:rPr>
        <w:t>TOLA Act may presently allow ASIO</w:t>
      </w:r>
      <w:r w:rsidRPr="00F305E1">
        <w:rPr>
          <w:rFonts w:cs="Open Sans"/>
        </w:rPr>
        <w:t xml:space="preserve"> to detain people without effective safeguards such as judicial authorisation. </w:t>
      </w:r>
    </w:p>
    <w:p w14:paraId="5C64F2FB"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46B5BE90" w14:textId="23566CAE"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The TOLA Act inserted s 34AAA into the ASIO Act</w:t>
      </w:r>
      <w:r w:rsidR="00951F17" w:rsidRPr="00F305E1">
        <w:rPr>
          <w:rFonts w:cs="Open Sans"/>
        </w:rPr>
        <w:t>,</w:t>
      </w:r>
      <w:r w:rsidRPr="00F305E1">
        <w:rPr>
          <w:rFonts w:cs="Open Sans"/>
        </w:rPr>
        <w:t xml:space="preserve"> </w:t>
      </w:r>
      <w:r w:rsidR="00951F17" w:rsidRPr="00F305E1">
        <w:rPr>
          <w:rFonts w:cs="Open Sans"/>
        </w:rPr>
        <w:t xml:space="preserve">which </w:t>
      </w:r>
      <w:r w:rsidRPr="00F305E1">
        <w:rPr>
          <w:rFonts w:cs="Open Sans"/>
        </w:rPr>
        <w:t xml:space="preserve">allows </w:t>
      </w:r>
      <w:r w:rsidR="00871177" w:rsidRPr="00F305E1">
        <w:rPr>
          <w:rFonts w:cs="Open Sans"/>
        </w:rPr>
        <w:t xml:space="preserve">ASIO </w:t>
      </w:r>
      <w:r w:rsidRPr="00F305E1">
        <w:rPr>
          <w:rFonts w:cs="Open Sans"/>
        </w:rPr>
        <w:t xml:space="preserve">to apply for ‘assistance orders’ relating to computer access. Similar assistance order provisions already exist in the </w:t>
      </w:r>
      <w:r w:rsidRPr="00F305E1">
        <w:rPr>
          <w:rFonts w:cs="Open Sans"/>
          <w:i/>
        </w:rPr>
        <w:t>Crimes Act</w:t>
      </w:r>
      <w:r w:rsidR="00272CA7" w:rsidRPr="00F305E1">
        <w:rPr>
          <w:rFonts w:cs="Open Sans"/>
          <w:i/>
        </w:rPr>
        <w:t xml:space="preserve"> 1914</w:t>
      </w:r>
      <w:r w:rsidR="00272CA7" w:rsidRPr="00F305E1">
        <w:rPr>
          <w:rFonts w:cs="Open Sans"/>
        </w:rPr>
        <w:t xml:space="preserve"> (Cth)</w:t>
      </w:r>
      <w:r w:rsidRPr="00F305E1">
        <w:rPr>
          <w:rFonts w:cs="Open Sans"/>
        </w:rPr>
        <w:t xml:space="preserve"> </w:t>
      </w:r>
      <w:r w:rsidR="001E3F4A" w:rsidRPr="00F305E1">
        <w:rPr>
          <w:rFonts w:cs="Open Sans"/>
        </w:rPr>
        <w:t xml:space="preserve">(Crimes Act) </w:t>
      </w:r>
      <w:r w:rsidRPr="00F305E1">
        <w:rPr>
          <w:rFonts w:cs="Open Sans"/>
        </w:rPr>
        <w:t xml:space="preserve">and the </w:t>
      </w:r>
      <w:r w:rsidRPr="00F305E1">
        <w:rPr>
          <w:rFonts w:cs="Open Sans"/>
          <w:i/>
        </w:rPr>
        <w:t>Customs Act</w:t>
      </w:r>
      <w:r w:rsidR="00272CA7" w:rsidRPr="00F305E1">
        <w:rPr>
          <w:rFonts w:cs="Open Sans"/>
          <w:i/>
        </w:rPr>
        <w:t xml:space="preserve"> 1901</w:t>
      </w:r>
      <w:r w:rsidR="00272CA7" w:rsidRPr="00F305E1">
        <w:rPr>
          <w:rFonts w:cs="Open Sans"/>
        </w:rPr>
        <w:t xml:space="preserve"> (Cth)</w:t>
      </w:r>
      <w:r w:rsidR="001E3F4A" w:rsidRPr="00F305E1">
        <w:rPr>
          <w:rFonts w:cs="Open Sans"/>
        </w:rPr>
        <w:t xml:space="preserve"> (Customs Act)</w:t>
      </w:r>
      <w:r w:rsidRPr="00F305E1">
        <w:rPr>
          <w:rFonts w:cs="Open Sans"/>
        </w:rPr>
        <w:t xml:space="preserve">. </w:t>
      </w:r>
    </w:p>
    <w:p w14:paraId="14B542FC"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455C7C2B" w14:textId="3D448A66"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The new s 34AAA of the ASIO Act provides that the Director-General </w:t>
      </w:r>
      <w:r w:rsidR="005414CD" w:rsidRPr="00F305E1">
        <w:rPr>
          <w:rFonts w:cs="Open Sans"/>
        </w:rPr>
        <w:t xml:space="preserve">of ASIO </w:t>
      </w:r>
      <w:r w:rsidRPr="00F305E1">
        <w:rPr>
          <w:rFonts w:cs="Open Sans"/>
        </w:rPr>
        <w:t>may request the Attorney-General to make an order requiring a specified person to do anything that is reasonable and necessary to allow ASIO to access, copy, convert or make intelligible, data</w:t>
      </w:r>
      <w:r w:rsidR="003D4258">
        <w:rPr>
          <w:rFonts w:cs="Open Sans"/>
        </w:rPr>
        <w:t>,</w:t>
      </w:r>
      <w:r w:rsidRPr="00F305E1">
        <w:rPr>
          <w:rFonts w:cs="Open Sans"/>
        </w:rPr>
        <w:t xml:space="preserve"> subject to warrants under the ASIO Act. This enables ASIO to compel those who are able to provide it with knowledge or assistance on how to access data on computer networks and </w:t>
      </w:r>
      <w:r w:rsidRPr="00F305E1">
        <w:rPr>
          <w:rFonts w:cs="Open Sans"/>
        </w:rPr>
        <w:lastRenderedPageBreak/>
        <w:t xml:space="preserve">devices subject to warrants to do so. Punishment for failure to comply with an assistance order is imprisonment for a maximum of five years or a fine of $63,000, or both. </w:t>
      </w:r>
    </w:p>
    <w:p w14:paraId="1E97ABFE" w14:textId="77777777" w:rsidR="00272CA7" w:rsidRPr="00F305E1" w:rsidRDefault="00272CA7" w:rsidP="000A7B7E">
      <w:pPr>
        <w:pStyle w:val="ListParagraph"/>
        <w:rPr>
          <w:rFonts w:cs="Open Sans"/>
        </w:rPr>
      </w:pPr>
    </w:p>
    <w:p w14:paraId="07D9ED60" w14:textId="7138B0C8" w:rsidR="00272CA7" w:rsidRPr="00F305E1" w:rsidRDefault="001E3F4A" w:rsidP="004F4432">
      <w:pPr>
        <w:pStyle w:val="ListParagraph"/>
        <w:numPr>
          <w:ilvl w:val="0"/>
          <w:numId w:val="42"/>
        </w:numPr>
        <w:spacing w:before="0" w:after="0"/>
        <w:contextualSpacing w:val="0"/>
        <w:jc w:val="both"/>
        <w:rPr>
          <w:rFonts w:cs="Open Sans"/>
        </w:rPr>
      </w:pPr>
      <w:r w:rsidRPr="00F305E1">
        <w:rPr>
          <w:rFonts w:cs="Open Sans"/>
        </w:rPr>
        <w:t xml:space="preserve">Assistance orders </w:t>
      </w:r>
      <w:r w:rsidR="00272CA7" w:rsidRPr="00F305E1">
        <w:rPr>
          <w:rFonts w:cs="Open Sans"/>
        </w:rPr>
        <w:t>can only</w:t>
      </w:r>
      <w:r w:rsidR="003A6FE4">
        <w:rPr>
          <w:rFonts w:cs="Open Sans"/>
        </w:rPr>
        <w:t xml:space="preserve"> be directed at </w:t>
      </w:r>
      <w:r w:rsidR="00272CA7" w:rsidRPr="00F305E1">
        <w:rPr>
          <w:rFonts w:cs="Open Sans"/>
        </w:rPr>
        <w:t>people who have relevant know</w:t>
      </w:r>
      <w:r w:rsidR="003A6FE4">
        <w:rPr>
          <w:rFonts w:cs="Open Sans"/>
        </w:rPr>
        <w:t xml:space="preserve">ledge of a computer or device, </w:t>
      </w:r>
      <w:r w:rsidR="00272CA7" w:rsidRPr="00F305E1">
        <w:rPr>
          <w:rFonts w:cs="Open Sans"/>
        </w:rPr>
        <w:t xml:space="preserve">or the measures applied to protect the data. </w:t>
      </w:r>
      <w:r w:rsidRPr="00F305E1">
        <w:rPr>
          <w:rFonts w:cs="Open Sans"/>
        </w:rPr>
        <w:t>However, they can be made in relation to</w:t>
      </w:r>
      <w:r w:rsidR="00272CA7" w:rsidRPr="00F305E1">
        <w:rPr>
          <w:rFonts w:cs="Open Sans"/>
        </w:rPr>
        <w:t xml:space="preserve"> people who are not suspected of committing any offences, such as </w:t>
      </w:r>
      <w:r w:rsidRPr="00F305E1">
        <w:rPr>
          <w:rFonts w:cs="Open Sans"/>
        </w:rPr>
        <w:t xml:space="preserve">the </w:t>
      </w:r>
      <w:r w:rsidR="00272CA7" w:rsidRPr="00F305E1">
        <w:rPr>
          <w:rFonts w:cs="Open Sans"/>
        </w:rPr>
        <w:t>owners and lessees of the relevant devices, employees, system administrators or people who have used the relevant devices.</w:t>
      </w:r>
      <w:r w:rsidR="000A7B7E">
        <w:rPr>
          <w:rFonts w:cs="Open Sans"/>
        </w:rPr>
        <w:t xml:space="preserve"> </w:t>
      </w:r>
    </w:p>
    <w:p w14:paraId="0E4620FF"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08146001" w14:textId="29691FED"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Significantly, unlike the assistance orders</w:t>
      </w:r>
      <w:r w:rsidR="00DE3995" w:rsidRPr="00F305E1">
        <w:rPr>
          <w:rFonts w:cs="Open Sans"/>
        </w:rPr>
        <w:t xml:space="preserve"> that may be</w:t>
      </w:r>
      <w:r w:rsidRPr="00F305E1">
        <w:rPr>
          <w:rFonts w:cs="Open Sans"/>
        </w:rPr>
        <w:t xml:space="preserve"> made under the SD Act, the Crimes Act and the Customs Act (which are issued by eligible Judges or nominated A</w:t>
      </w:r>
      <w:r w:rsidR="00D278D5">
        <w:rPr>
          <w:rFonts w:cs="Open Sans"/>
        </w:rPr>
        <w:t xml:space="preserve">dministrative </w:t>
      </w:r>
      <w:r w:rsidRPr="00F305E1">
        <w:rPr>
          <w:rFonts w:cs="Open Sans"/>
        </w:rPr>
        <w:t>A</w:t>
      </w:r>
      <w:r w:rsidR="00D278D5">
        <w:rPr>
          <w:rFonts w:cs="Open Sans"/>
        </w:rPr>
        <w:t xml:space="preserve">ppeals </w:t>
      </w:r>
      <w:r w:rsidRPr="00F305E1">
        <w:rPr>
          <w:rFonts w:cs="Open Sans"/>
        </w:rPr>
        <w:t>T</w:t>
      </w:r>
      <w:r w:rsidR="00D278D5">
        <w:rPr>
          <w:rFonts w:cs="Open Sans"/>
        </w:rPr>
        <w:t>ribunal</w:t>
      </w:r>
      <w:r w:rsidRPr="00F305E1">
        <w:rPr>
          <w:rFonts w:cs="Open Sans"/>
        </w:rPr>
        <w:t xml:space="preserve"> members)</w:t>
      </w:r>
      <w:r w:rsidR="00DE3995" w:rsidRPr="00F305E1">
        <w:rPr>
          <w:rFonts w:cs="Open Sans"/>
        </w:rPr>
        <w:t>,</w:t>
      </w:r>
      <w:r w:rsidRPr="00F305E1">
        <w:rPr>
          <w:rFonts w:cs="Open Sans"/>
        </w:rPr>
        <w:t xml:space="preserve"> the assistance orders issued under the ASIO Act are issued by the Attorney-General.</w:t>
      </w:r>
    </w:p>
    <w:p w14:paraId="2270F9DC" w14:textId="77777777" w:rsidR="00DD2B3D" w:rsidRPr="00F305E1" w:rsidRDefault="00DD2B3D" w:rsidP="00DD2B3D">
      <w:pPr>
        <w:pStyle w:val="ListParagraph"/>
        <w:rPr>
          <w:rFonts w:cs="Open Sans"/>
        </w:rPr>
      </w:pPr>
    </w:p>
    <w:p w14:paraId="10B3CCCD" w14:textId="2715A334"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Under the new s</w:t>
      </w:r>
      <w:r w:rsidRPr="00F305E1">
        <w:rPr>
          <w:rFonts w:cs="Open Sans"/>
          <w:i/>
        </w:rPr>
        <w:t xml:space="preserve"> </w:t>
      </w:r>
      <w:r w:rsidRPr="00F305E1">
        <w:rPr>
          <w:rFonts w:cs="Open Sans"/>
        </w:rPr>
        <w:t>34ZH(2) of the ASIO Act, the Government amendments introduced an obligation on the Director-General of ASIO to report to the Attorney-General the extent to which compliance with a compulsory assistance order has assisted ASIO in carrying out its function. The new s</w:t>
      </w:r>
      <w:r w:rsidR="00DE3995" w:rsidRPr="00F305E1">
        <w:rPr>
          <w:rFonts w:cs="Open Sans"/>
        </w:rPr>
        <w:t> </w:t>
      </w:r>
      <w:r w:rsidRPr="00F305E1">
        <w:rPr>
          <w:rFonts w:cs="Open Sans"/>
        </w:rPr>
        <w:t>94(2</w:t>
      </w:r>
      <w:r w:rsidR="00515E2D">
        <w:rPr>
          <w:rFonts w:cs="Open Sans"/>
        </w:rPr>
        <w:t>B</w:t>
      </w:r>
      <w:r w:rsidRPr="00F305E1">
        <w:rPr>
          <w:rFonts w:cs="Open Sans"/>
        </w:rPr>
        <w:t xml:space="preserve">C) also requires ASIO to list the total number of compulsory assistance orders that the Attorney General has made under s 34AAA(2) within a particular period in its annual report to the Minister, which is tabled in Parliament. </w:t>
      </w:r>
    </w:p>
    <w:p w14:paraId="1AFCF23D"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5CC47E0E" w14:textId="48F644C5"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New s 34AAA(3C) of the ASIO Act now requires that a request for compulsory assistance be accompanied by a statement setting out the particulars and outcomes of all previous requests (if any) for the making of an order relating to the person specified in the current request. Section</w:t>
      </w:r>
      <w:r w:rsidR="00890C69">
        <w:rPr>
          <w:rFonts w:cs="Open Sans"/>
        </w:rPr>
        <w:t>s</w:t>
      </w:r>
      <w:r w:rsidRPr="00F305E1">
        <w:rPr>
          <w:rFonts w:cs="Open Sans"/>
        </w:rPr>
        <w:t xml:space="preserve"> 34AAA(3D) and (3E) of the ASIO Act require that, if the grounds on which an order under </w:t>
      </w:r>
      <w:r w:rsidR="00EB00AC">
        <w:rPr>
          <w:rFonts w:cs="Open Sans"/>
        </w:rPr>
        <w:t>s</w:t>
      </w:r>
      <w:r w:rsidR="00EB00AC" w:rsidRPr="00F305E1">
        <w:rPr>
          <w:rFonts w:cs="Open Sans"/>
        </w:rPr>
        <w:t xml:space="preserve"> </w:t>
      </w:r>
      <w:r w:rsidRPr="00F305E1">
        <w:rPr>
          <w:rFonts w:cs="Open Sans"/>
        </w:rPr>
        <w:t>34AAA was made have ceased to exist, the Director-General must inform the Attorney-General and, if the Attorney-General is also satisfied that the grounds have ceased to exist, the Attorney-General must revoke the order.</w:t>
      </w:r>
    </w:p>
    <w:p w14:paraId="05E38E67" w14:textId="77777777" w:rsidR="00DD2B3D" w:rsidRPr="00F305E1" w:rsidRDefault="00DD2B3D" w:rsidP="00DD2B3D">
      <w:pPr>
        <w:pStyle w:val="ListParagraph"/>
        <w:rPr>
          <w:rFonts w:cs="Open Sans"/>
        </w:rPr>
      </w:pPr>
    </w:p>
    <w:p w14:paraId="7F49FD56" w14:textId="211FD388" w:rsidR="00DD2B3D" w:rsidRPr="00F305E1" w:rsidRDefault="00DD2B3D" w:rsidP="004F4432">
      <w:pPr>
        <w:pStyle w:val="ListParagraph"/>
        <w:numPr>
          <w:ilvl w:val="0"/>
          <w:numId w:val="42"/>
        </w:numPr>
        <w:spacing w:before="0" w:after="0"/>
        <w:contextualSpacing w:val="0"/>
        <w:jc w:val="both"/>
        <w:rPr>
          <w:rFonts w:cs="Open Sans"/>
        </w:rPr>
      </w:pPr>
      <w:r w:rsidRPr="00F305E1">
        <w:rPr>
          <w:rFonts w:cs="Open Sans"/>
        </w:rPr>
        <w:t xml:space="preserve">These reporting and revocation provisions discussed above were inserted into the TOLA Bill by amendments made immediately prior to the passage of the Bill. </w:t>
      </w:r>
    </w:p>
    <w:p w14:paraId="7DE930E6"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7924D804" w14:textId="37EF4EED"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While the Commission supports the additional reporting, record</w:t>
      </w:r>
      <w:r w:rsidR="008C4C65">
        <w:rPr>
          <w:rFonts w:cs="Open Sans"/>
        </w:rPr>
        <w:t xml:space="preserve"> </w:t>
      </w:r>
      <w:r w:rsidRPr="00F305E1">
        <w:rPr>
          <w:rFonts w:cs="Open Sans"/>
        </w:rPr>
        <w:t>keeping and procedural changes</w:t>
      </w:r>
      <w:r w:rsidR="00DE3995" w:rsidRPr="00F305E1">
        <w:rPr>
          <w:rFonts w:cs="Open Sans"/>
        </w:rPr>
        <w:t xml:space="preserve"> introduced </w:t>
      </w:r>
      <w:r w:rsidR="005A5E39" w:rsidRPr="00F305E1">
        <w:rPr>
          <w:rFonts w:cs="Open Sans"/>
        </w:rPr>
        <w:t>by</w:t>
      </w:r>
      <w:r w:rsidRPr="00F305E1">
        <w:rPr>
          <w:rFonts w:cs="Open Sans"/>
        </w:rPr>
        <w:t xml:space="preserve"> the Government amendments</w:t>
      </w:r>
      <w:r w:rsidR="005A5E39" w:rsidRPr="00F305E1">
        <w:rPr>
          <w:rFonts w:cs="Open Sans"/>
        </w:rPr>
        <w:t>, those amendments</w:t>
      </w:r>
      <w:r w:rsidRPr="00F305E1">
        <w:rPr>
          <w:rFonts w:cs="Open Sans"/>
        </w:rPr>
        <w:t xml:space="preserve"> d</w:t>
      </w:r>
      <w:r w:rsidR="005A5E39" w:rsidRPr="00F305E1">
        <w:rPr>
          <w:rFonts w:cs="Open Sans"/>
        </w:rPr>
        <w:t>id</w:t>
      </w:r>
      <w:r w:rsidRPr="00F305E1">
        <w:rPr>
          <w:rFonts w:cs="Open Sans"/>
        </w:rPr>
        <w:t xml:space="preserve"> not address the significant concerns raised by the Commission, the Inspector-General of Intelligence and Security</w:t>
      </w:r>
      <w:r w:rsidR="0081732D">
        <w:rPr>
          <w:rFonts w:cs="Open Sans"/>
        </w:rPr>
        <w:t xml:space="preserve"> (IGIS)</w:t>
      </w:r>
      <w:r w:rsidRPr="00F305E1">
        <w:rPr>
          <w:rFonts w:cs="Open Sans"/>
        </w:rPr>
        <w:t xml:space="preserve"> and the </w:t>
      </w:r>
      <w:r w:rsidRPr="00F305E1">
        <w:rPr>
          <w:rFonts w:cs="Open Sans"/>
        </w:rPr>
        <w:lastRenderedPageBreak/>
        <w:t>Law Council of Australia about the potential for assistance orders under s</w:t>
      </w:r>
      <w:r w:rsidR="00DD2B3D" w:rsidRPr="00F305E1">
        <w:rPr>
          <w:rFonts w:cs="Open Sans"/>
        </w:rPr>
        <w:t> </w:t>
      </w:r>
      <w:r w:rsidRPr="00F305E1">
        <w:rPr>
          <w:rFonts w:cs="Open Sans"/>
        </w:rPr>
        <w:t xml:space="preserve">34AAA(2) to authorise detention by non-judicial officers. </w:t>
      </w:r>
    </w:p>
    <w:p w14:paraId="41429F74" w14:textId="77777777" w:rsidR="00645318" w:rsidRPr="00F305E1" w:rsidRDefault="00645318" w:rsidP="00ED1AC1">
      <w:pPr>
        <w:pStyle w:val="ListParagraph"/>
        <w:spacing w:before="0" w:after="0"/>
        <w:contextualSpacing w:val="0"/>
        <w:rPr>
          <w:rFonts w:cs="Open Sans"/>
        </w:rPr>
      </w:pPr>
    </w:p>
    <w:p w14:paraId="1580181A" w14:textId="5E9674FF"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Section 34AAA(3) </w:t>
      </w:r>
      <w:r w:rsidR="00F54009" w:rsidRPr="00F305E1">
        <w:rPr>
          <w:rFonts w:cs="Open Sans"/>
        </w:rPr>
        <w:t xml:space="preserve">contemplates </w:t>
      </w:r>
      <w:r w:rsidRPr="00F305E1">
        <w:rPr>
          <w:rFonts w:cs="Open Sans"/>
        </w:rPr>
        <w:t>that a person subject to an assistance order c</w:t>
      </w:r>
      <w:r w:rsidR="00F54009" w:rsidRPr="00F305E1">
        <w:rPr>
          <w:rFonts w:cs="Open Sans"/>
        </w:rPr>
        <w:t xml:space="preserve">an </w:t>
      </w:r>
      <w:r w:rsidR="001E3F4A" w:rsidRPr="00F305E1">
        <w:rPr>
          <w:rFonts w:cs="Open Sans"/>
        </w:rPr>
        <w:t>be required to attend</w:t>
      </w:r>
      <w:r w:rsidR="00DD2B3D" w:rsidRPr="00F305E1">
        <w:rPr>
          <w:rFonts w:cs="Open Sans"/>
        </w:rPr>
        <w:t xml:space="preserve"> a specified place</w:t>
      </w:r>
      <w:r w:rsidRPr="00F305E1">
        <w:rPr>
          <w:rFonts w:cs="Open Sans"/>
        </w:rPr>
        <w:t xml:space="preserve"> to provide assistance. In such circumstances, the assistance order must specify the period within which the person must provide the assistance, but no maximum period is set.</w:t>
      </w:r>
    </w:p>
    <w:p w14:paraId="63B088D1"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6E2960A7" w14:textId="72B3BA27"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As discussed in the Commission’s submission dated 12 October 2018, there is a real question whether a person subject to an assistance order is effectively being detained during the period in which they are required to provide the assistance. While they may not be physically restrained, they are effectively prevented from leaving </w:t>
      </w:r>
      <w:r w:rsidR="0005111A" w:rsidRPr="00F305E1">
        <w:rPr>
          <w:rFonts w:cs="Open Sans"/>
        </w:rPr>
        <w:t xml:space="preserve">a specified place </w:t>
      </w:r>
      <w:r w:rsidRPr="00F305E1">
        <w:rPr>
          <w:rFonts w:cs="Open Sans"/>
        </w:rPr>
        <w:t xml:space="preserve">prior to the completion of the designated assistance task, under pain of criminal penalties. This might engage the prohibition on arbitrary detention in article 9 of the </w:t>
      </w:r>
      <w:r w:rsidR="000249E2" w:rsidRPr="00D714A2">
        <w:rPr>
          <w:rFonts w:cs="Open Sans"/>
          <w:i/>
        </w:rPr>
        <w:t>International Covenant on Civil and Political Rights</w:t>
      </w:r>
      <w:r w:rsidRPr="00F305E1">
        <w:rPr>
          <w:rFonts w:cs="Open Sans"/>
        </w:rPr>
        <w:t xml:space="preserve">. </w:t>
      </w:r>
    </w:p>
    <w:p w14:paraId="4CF32702"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446DE43F" w14:textId="3C58F4BF"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The assistance order</w:t>
      </w:r>
      <w:r w:rsidR="00BA13A0" w:rsidRPr="00F305E1">
        <w:rPr>
          <w:rFonts w:cs="Open Sans"/>
        </w:rPr>
        <w:t xml:space="preserve"> provisions introduced by the TOLA Act</w:t>
      </w:r>
      <w:r w:rsidRPr="00F305E1">
        <w:rPr>
          <w:rFonts w:cs="Open Sans"/>
        </w:rPr>
        <w:t xml:space="preserve"> do not make provision for the kinds of protections available to people who are subject to questioning warrants or questioning and deten</w:t>
      </w:r>
      <w:r w:rsidR="000D0229">
        <w:rPr>
          <w:rFonts w:cs="Open Sans"/>
        </w:rPr>
        <w:t>tion warrants under Pt III, Div </w:t>
      </w:r>
      <w:r w:rsidRPr="00F305E1">
        <w:rPr>
          <w:rFonts w:cs="Open Sans"/>
        </w:rPr>
        <w:t>3 of the ASIO Act. For example, the new assistance order regime under proposed s 34AAA of the ASIO Act does not make provision for a person to contact a lawyer or family member; there is no maximum period prescribed for the giving of assistance; there is no obligation on officers to explain the nature of the assistance order and what it requires; there is no obligation on officers to explain how to make a complaint to the IGIS or to challenge the making of the assistance order in court; there is no obligation to make an interpreter available if necessary; and there is no statutory obligation to treat the person humanely and with respect for their human dignity.</w:t>
      </w:r>
    </w:p>
    <w:p w14:paraId="0AC092F0" w14:textId="326D7AC6" w:rsidR="00FD5473" w:rsidRPr="00F305E1" w:rsidRDefault="00FD5473" w:rsidP="00ED1AC1">
      <w:pPr>
        <w:pStyle w:val="ListNumber"/>
        <w:numPr>
          <w:ilvl w:val="0"/>
          <w:numId w:val="0"/>
        </w:numPr>
        <w:tabs>
          <w:tab w:val="left" w:pos="1418"/>
        </w:tabs>
        <w:spacing w:before="0" w:after="0"/>
        <w:contextualSpacing w:val="0"/>
        <w:jc w:val="both"/>
        <w:rPr>
          <w:rFonts w:cs="Open Sans"/>
        </w:rPr>
      </w:pPr>
    </w:p>
    <w:p w14:paraId="60CFA11B" w14:textId="7DB6F0CE" w:rsidR="00764A10" w:rsidRPr="00F305E1" w:rsidRDefault="00133F91" w:rsidP="001A27F4">
      <w:pPr>
        <w:pStyle w:val="NoSpacing"/>
        <w:keepNext/>
        <w:spacing w:after="120"/>
        <w:ind w:left="720"/>
        <w:rPr>
          <w:rFonts w:cs="Open Sans"/>
          <w:b/>
        </w:rPr>
      </w:pPr>
      <w:r w:rsidRPr="00F305E1">
        <w:rPr>
          <w:rFonts w:cs="Open Sans"/>
          <w:b/>
        </w:rPr>
        <w:t xml:space="preserve">Recommendation </w:t>
      </w:r>
      <w:r w:rsidR="0017062B">
        <w:rPr>
          <w:rFonts w:cs="Open Sans"/>
          <w:b/>
        </w:rPr>
        <w:t>I</w:t>
      </w:r>
    </w:p>
    <w:p w14:paraId="6109AB69" w14:textId="73A41B90" w:rsidR="00FD5473" w:rsidRPr="00F305E1" w:rsidRDefault="00FD5473" w:rsidP="001A27F4">
      <w:pPr>
        <w:pStyle w:val="NoSpacing"/>
        <w:keepNext/>
        <w:spacing w:after="120"/>
        <w:ind w:left="720"/>
        <w:rPr>
          <w:rFonts w:cs="Open Sans"/>
        </w:rPr>
      </w:pPr>
      <w:r w:rsidRPr="00F305E1">
        <w:rPr>
          <w:rFonts w:cs="Open Sans"/>
        </w:rPr>
        <w:t xml:space="preserve">Section 34AAA of the </w:t>
      </w:r>
      <w:r w:rsidR="00344FD8" w:rsidRPr="000A7B7E">
        <w:rPr>
          <w:rFonts w:cs="Open Sans"/>
          <w:i/>
        </w:rPr>
        <w:t>Australian Security Intelligence Organisation Act 1979</w:t>
      </w:r>
      <w:r w:rsidR="00344FD8" w:rsidRPr="000A7B7E">
        <w:rPr>
          <w:rFonts w:cs="Open Sans"/>
        </w:rPr>
        <w:t xml:space="preserve"> </w:t>
      </w:r>
      <w:r w:rsidR="00344FD8" w:rsidRPr="00F305E1">
        <w:rPr>
          <w:rFonts w:cs="Open Sans"/>
        </w:rPr>
        <w:t xml:space="preserve">(Cth) </w:t>
      </w:r>
      <w:r w:rsidRPr="00F305E1">
        <w:rPr>
          <w:rFonts w:cs="Open Sans"/>
        </w:rPr>
        <w:t xml:space="preserve">be amended to include protections for persons </w:t>
      </w:r>
      <w:r w:rsidR="00176E07" w:rsidRPr="00F305E1">
        <w:rPr>
          <w:rFonts w:cs="Open Sans"/>
        </w:rPr>
        <w:t xml:space="preserve">compelled to attend or remain in a </w:t>
      </w:r>
      <w:r w:rsidR="00F54009" w:rsidRPr="00F305E1">
        <w:rPr>
          <w:rFonts w:cs="Open Sans"/>
        </w:rPr>
        <w:t xml:space="preserve">specified </w:t>
      </w:r>
      <w:r w:rsidR="00176E07" w:rsidRPr="00F305E1">
        <w:rPr>
          <w:rFonts w:cs="Open Sans"/>
        </w:rPr>
        <w:t xml:space="preserve">place under an assistance order, </w:t>
      </w:r>
      <w:r w:rsidRPr="00F305E1">
        <w:rPr>
          <w:rFonts w:cs="Open Sans"/>
        </w:rPr>
        <w:t>in line with the Commi</w:t>
      </w:r>
      <w:r w:rsidR="00764A10" w:rsidRPr="00F305E1">
        <w:rPr>
          <w:rFonts w:cs="Open Sans"/>
        </w:rPr>
        <w:t>ssion’s previous Recommendation </w:t>
      </w:r>
      <w:r w:rsidRPr="00F305E1">
        <w:rPr>
          <w:rFonts w:cs="Open Sans"/>
        </w:rPr>
        <w:t xml:space="preserve">48. </w:t>
      </w:r>
    </w:p>
    <w:p w14:paraId="2B26AFC7" w14:textId="7FEC3ED6" w:rsidR="004E2643" w:rsidRPr="00F305E1" w:rsidRDefault="004E2643" w:rsidP="00D278D5">
      <w:pPr>
        <w:pStyle w:val="Heading2"/>
        <w:spacing w:before="360" w:after="0"/>
        <w:rPr>
          <w:rFonts w:eastAsia="MS Mincho" w:cs="Open Sans"/>
          <w:color w:val="auto"/>
          <w:sz w:val="24"/>
          <w:szCs w:val="24"/>
          <w:u w:val="single"/>
        </w:rPr>
      </w:pPr>
      <w:r w:rsidRPr="00F305E1">
        <w:rPr>
          <w:rFonts w:eastAsia="MS Mincho" w:cs="Open Sans"/>
          <w:color w:val="auto"/>
          <w:sz w:val="24"/>
          <w:szCs w:val="24"/>
          <w:u w:val="single"/>
        </w:rPr>
        <w:t>v) Breadth of the concealment of access powers</w:t>
      </w:r>
    </w:p>
    <w:p w14:paraId="5F6DCA0E" w14:textId="77777777" w:rsidR="00645318" w:rsidRPr="00F305E1" w:rsidRDefault="00645318" w:rsidP="00D714A2">
      <w:pPr>
        <w:pStyle w:val="ListParagraph"/>
        <w:keepNext/>
        <w:spacing w:before="0" w:after="0"/>
        <w:ind w:left="360"/>
        <w:contextualSpacing w:val="0"/>
        <w:jc w:val="both"/>
        <w:rPr>
          <w:rFonts w:cs="Open Sans"/>
        </w:rPr>
      </w:pPr>
    </w:p>
    <w:p w14:paraId="50FFCD47" w14:textId="77777777" w:rsidR="00B27B3D" w:rsidRPr="00F305E1" w:rsidRDefault="00537DEB" w:rsidP="00D714A2">
      <w:pPr>
        <w:pStyle w:val="ListParagraph"/>
        <w:keepNext/>
        <w:numPr>
          <w:ilvl w:val="0"/>
          <w:numId w:val="42"/>
        </w:numPr>
        <w:spacing w:before="0" w:after="0"/>
        <w:contextualSpacing w:val="0"/>
        <w:jc w:val="both"/>
        <w:rPr>
          <w:rFonts w:cs="Open Sans"/>
        </w:rPr>
      </w:pPr>
      <w:r w:rsidRPr="00F305E1">
        <w:rPr>
          <w:rFonts w:cs="Open Sans"/>
        </w:rPr>
        <w:t xml:space="preserve">The Commission is concerned that the new </w:t>
      </w:r>
      <w:r w:rsidR="00F54009" w:rsidRPr="00F305E1">
        <w:rPr>
          <w:rFonts w:cs="Open Sans"/>
        </w:rPr>
        <w:t>‘</w:t>
      </w:r>
      <w:r w:rsidRPr="00F305E1">
        <w:rPr>
          <w:rFonts w:cs="Open Sans"/>
        </w:rPr>
        <w:t>concealment of acce</w:t>
      </w:r>
      <w:r w:rsidR="00133F91" w:rsidRPr="00F305E1">
        <w:rPr>
          <w:rFonts w:cs="Open Sans"/>
        </w:rPr>
        <w:t>ss</w:t>
      </w:r>
      <w:r w:rsidR="00F54009" w:rsidRPr="00F305E1">
        <w:rPr>
          <w:rFonts w:cs="Open Sans"/>
        </w:rPr>
        <w:t>’</w:t>
      </w:r>
      <w:r w:rsidR="00133F91" w:rsidRPr="00F305E1">
        <w:rPr>
          <w:rFonts w:cs="Open Sans"/>
        </w:rPr>
        <w:t xml:space="preserve"> powers </w:t>
      </w:r>
      <w:r w:rsidR="005A5E39" w:rsidRPr="00F305E1">
        <w:rPr>
          <w:rFonts w:cs="Open Sans"/>
        </w:rPr>
        <w:t xml:space="preserve">introduced by the TOLA Act </w:t>
      </w:r>
      <w:r w:rsidR="00133F91" w:rsidRPr="00F305E1">
        <w:rPr>
          <w:rFonts w:cs="Open Sans"/>
        </w:rPr>
        <w:t>remain overly broad.</w:t>
      </w:r>
      <w:r w:rsidR="00797C9E" w:rsidRPr="00F305E1">
        <w:rPr>
          <w:rFonts w:cs="Open Sans"/>
        </w:rPr>
        <w:t xml:space="preserve"> </w:t>
      </w:r>
    </w:p>
    <w:p w14:paraId="141FB39D" w14:textId="77777777" w:rsidR="00B27B3D" w:rsidRPr="00F305E1" w:rsidRDefault="00B27B3D" w:rsidP="00B27B3D">
      <w:pPr>
        <w:pStyle w:val="ListParagraph"/>
        <w:spacing w:before="0" w:after="0"/>
        <w:ind w:left="567"/>
        <w:contextualSpacing w:val="0"/>
        <w:jc w:val="both"/>
        <w:rPr>
          <w:rFonts w:cs="Open Sans"/>
        </w:rPr>
      </w:pPr>
    </w:p>
    <w:p w14:paraId="2533A476" w14:textId="3A1DB429" w:rsidR="00537DEB" w:rsidRPr="00F305E1" w:rsidRDefault="00F54009" w:rsidP="004F4432">
      <w:pPr>
        <w:pStyle w:val="ListParagraph"/>
        <w:numPr>
          <w:ilvl w:val="0"/>
          <w:numId w:val="42"/>
        </w:numPr>
        <w:spacing w:before="0" w:after="0"/>
        <w:contextualSpacing w:val="0"/>
        <w:jc w:val="both"/>
        <w:rPr>
          <w:rFonts w:cs="Open Sans"/>
        </w:rPr>
      </w:pPr>
      <w:r w:rsidRPr="00F305E1">
        <w:rPr>
          <w:rFonts w:cs="Open Sans"/>
        </w:rPr>
        <w:lastRenderedPageBreak/>
        <w:t xml:space="preserve">These powers </w:t>
      </w:r>
      <w:r w:rsidR="00B27B3D" w:rsidRPr="00F305E1">
        <w:rPr>
          <w:rFonts w:cs="Open Sans"/>
        </w:rPr>
        <w:t xml:space="preserve">automatically </w:t>
      </w:r>
      <w:r w:rsidRPr="00F305E1">
        <w:rPr>
          <w:rFonts w:cs="Open Sans"/>
        </w:rPr>
        <w:t xml:space="preserve">attach to </w:t>
      </w:r>
      <w:r w:rsidR="00B27B3D" w:rsidRPr="00F305E1">
        <w:rPr>
          <w:rFonts w:cs="Open Sans"/>
        </w:rPr>
        <w:t xml:space="preserve">the new </w:t>
      </w:r>
      <w:r w:rsidRPr="00F305E1">
        <w:rPr>
          <w:rFonts w:cs="Open Sans"/>
        </w:rPr>
        <w:t>computer access warrants issued under the SD Act, as well as warrants issued under the ASIO Act</w:t>
      </w:r>
      <w:r w:rsidR="00B27B3D" w:rsidRPr="00F305E1">
        <w:rPr>
          <w:rFonts w:cs="Open Sans"/>
        </w:rPr>
        <w:t xml:space="preserve">, and permit relevant agencies </w:t>
      </w:r>
      <w:r w:rsidR="001D5B9D" w:rsidRPr="00F305E1">
        <w:rPr>
          <w:rFonts w:cs="Open Sans"/>
        </w:rPr>
        <w:t xml:space="preserve">and ASIO </w:t>
      </w:r>
      <w:r w:rsidR="00B27B3D" w:rsidRPr="00F305E1">
        <w:rPr>
          <w:rFonts w:cs="Open Sans"/>
        </w:rPr>
        <w:t>to do ‘anything reasonably necessary to conceal the fact that any thing has been done under the warrant’.</w:t>
      </w:r>
      <w:r w:rsidR="000A7B7E">
        <w:rPr>
          <w:rFonts w:cs="Open Sans"/>
        </w:rPr>
        <w:t xml:space="preserve"> </w:t>
      </w:r>
    </w:p>
    <w:p w14:paraId="7279CDBC" w14:textId="77777777" w:rsidR="00272CA7" w:rsidRPr="00F305E1" w:rsidRDefault="00272CA7" w:rsidP="00272CA7">
      <w:pPr>
        <w:pStyle w:val="ListParagraph"/>
        <w:rPr>
          <w:rFonts w:cs="Open Sans"/>
        </w:rPr>
      </w:pPr>
    </w:p>
    <w:p w14:paraId="645964ED" w14:textId="77777777" w:rsidR="00272CA7" w:rsidRPr="00F305E1" w:rsidRDefault="00272CA7" w:rsidP="00272CA7">
      <w:pPr>
        <w:pStyle w:val="ListParagraph"/>
        <w:numPr>
          <w:ilvl w:val="0"/>
          <w:numId w:val="42"/>
        </w:numPr>
        <w:spacing w:before="0" w:after="0"/>
        <w:contextualSpacing w:val="0"/>
        <w:jc w:val="both"/>
        <w:rPr>
          <w:rFonts w:cs="Open Sans"/>
        </w:rPr>
      </w:pPr>
      <w:r w:rsidRPr="00F305E1">
        <w:rPr>
          <w:rFonts w:cs="Open Sans"/>
        </w:rPr>
        <w:t xml:space="preserve">The timeframes provided for these concealment activities include any time while the warrant is in force, within 28 days after it ceases to be in force or ‘at the earliest time after that 28 day period at which it is reasonably practicable’. This has the potential to apply very broadly. </w:t>
      </w:r>
    </w:p>
    <w:p w14:paraId="7F541C4E" w14:textId="77777777" w:rsidR="00645318" w:rsidRPr="00F305E1" w:rsidRDefault="00645318" w:rsidP="00ED1AC1">
      <w:pPr>
        <w:pStyle w:val="ListParagraph"/>
        <w:spacing w:before="0" w:after="0"/>
        <w:ind w:left="360"/>
        <w:contextualSpacing w:val="0"/>
        <w:jc w:val="both"/>
        <w:rPr>
          <w:rFonts w:cs="Open Sans"/>
        </w:rPr>
      </w:pPr>
    </w:p>
    <w:p w14:paraId="12E12F38" w14:textId="1E4E8B4F"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The Government amendments imposed additional obligations on ASIO and </w:t>
      </w:r>
      <w:r w:rsidR="00B27B3D" w:rsidRPr="00F305E1">
        <w:rPr>
          <w:rFonts w:cs="Open Sans"/>
        </w:rPr>
        <w:t xml:space="preserve">relevant agencies </w:t>
      </w:r>
      <w:r w:rsidRPr="00F305E1">
        <w:rPr>
          <w:rFonts w:cs="Open Sans"/>
        </w:rPr>
        <w:t>to report activities undertaken under the concealment of access provisions relating to expired warrants to the Attorney-General and the Commonwealth Ombudsman respectively.</w:t>
      </w:r>
    </w:p>
    <w:p w14:paraId="63DD2DD1" w14:textId="77777777" w:rsidR="00537DEB" w:rsidRPr="00F305E1" w:rsidRDefault="00537DEB" w:rsidP="00ED1AC1">
      <w:pPr>
        <w:spacing w:before="0" w:after="0"/>
        <w:jc w:val="both"/>
        <w:rPr>
          <w:rFonts w:cs="Open Sans"/>
        </w:rPr>
      </w:pPr>
    </w:p>
    <w:p w14:paraId="373386CA" w14:textId="41A95950"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 xml:space="preserve">The Commission welcomes these additional reporting obligations from </w:t>
      </w:r>
      <w:r w:rsidR="007D1ED4">
        <w:rPr>
          <w:rFonts w:cs="Open Sans"/>
        </w:rPr>
        <w:t xml:space="preserve">the perspective of </w:t>
      </w:r>
      <w:r w:rsidRPr="00F305E1">
        <w:rPr>
          <w:rFonts w:cs="Open Sans"/>
        </w:rPr>
        <w:t>transparency, accountability and oversight. However, these amendments are insufficient and do not address the Commission’s underlying concern that the new powers allow for highly privacy</w:t>
      </w:r>
      <w:r w:rsidR="00797C9E" w:rsidRPr="00F305E1">
        <w:rPr>
          <w:rFonts w:cs="Open Sans"/>
        </w:rPr>
        <w:t>-</w:t>
      </w:r>
      <w:r w:rsidRPr="00F305E1">
        <w:rPr>
          <w:rFonts w:cs="Open Sans"/>
        </w:rPr>
        <w:t xml:space="preserve">intrusive activities to occur long after a warrant has expired. </w:t>
      </w:r>
    </w:p>
    <w:p w14:paraId="5D2678F9"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794545AC" w14:textId="0644D2D8" w:rsidR="00537DEB" w:rsidRPr="00F305E1" w:rsidRDefault="00537DEB" w:rsidP="004F4432">
      <w:pPr>
        <w:pStyle w:val="ListParagraph"/>
        <w:numPr>
          <w:ilvl w:val="0"/>
          <w:numId w:val="42"/>
        </w:numPr>
        <w:spacing w:before="0" w:after="0"/>
        <w:contextualSpacing w:val="0"/>
        <w:jc w:val="both"/>
        <w:rPr>
          <w:rFonts w:cs="Open Sans"/>
        </w:rPr>
      </w:pPr>
      <w:r w:rsidRPr="00F305E1">
        <w:rPr>
          <w:rFonts w:cs="Open Sans"/>
        </w:rPr>
        <w:t>By way of example, it is not difficult to conceive of a situation where the subject of a covert computer access warrant leaves Australia before a security or law enforcement agency takes action to conceal the fact that access to a computer has occurred. If not considered ‘reasonably practicable’ for the suspect to be pursued into a foreign jurisdiction, the ‘concealment of access’ powers would arguably empower law enforcement authorities or ASIO to covertly access the subject’s computer (to do anything reasonably necessary to conceal the fact that access had previously been obtained) when they return to Australia. This could be after a significant amount of time has passed (possibly years) and could occur without any further authorisation from an eligible Judge or nominated A</w:t>
      </w:r>
      <w:r w:rsidR="00D278D5">
        <w:rPr>
          <w:rFonts w:cs="Open Sans"/>
        </w:rPr>
        <w:t xml:space="preserve">dministrative </w:t>
      </w:r>
      <w:r w:rsidRPr="00F305E1">
        <w:rPr>
          <w:rFonts w:cs="Open Sans"/>
        </w:rPr>
        <w:t>A</w:t>
      </w:r>
      <w:r w:rsidR="00D278D5">
        <w:rPr>
          <w:rFonts w:cs="Open Sans"/>
        </w:rPr>
        <w:t xml:space="preserve">ppeals </w:t>
      </w:r>
      <w:r w:rsidRPr="00F305E1">
        <w:rPr>
          <w:rFonts w:cs="Open Sans"/>
        </w:rPr>
        <w:t>T</w:t>
      </w:r>
      <w:r w:rsidR="00D278D5">
        <w:rPr>
          <w:rFonts w:cs="Open Sans"/>
        </w:rPr>
        <w:t>ribunal (AAT)</w:t>
      </w:r>
      <w:r w:rsidRPr="00F305E1">
        <w:rPr>
          <w:rFonts w:cs="Open Sans"/>
        </w:rPr>
        <w:t xml:space="preserve"> member or, in the case of ASIO warrants, the Attorney-General. </w:t>
      </w:r>
    </w:p>
    <w:p w14:paraId="3E799E1C" w14:textId="77777777" w:rsidR="00537DEB" w:rsidRPr="00F305E1" w:rsidRDefault="00537DEB" w:rsidP="00ED1AC1">
      <w:pPr>
        <w:pStyle w:val="ListNumber"/>
        <w:numPr>
          <w:ilvl w:val="0"/>
          <w:numId w:val="0"/>
        </w:numPr>
        <w:tabs>
          <w:tab w:val="left" w:pos="1418"/>
        </w:tabs>
        <w:spacing w:before="0" w:after="0"/>
        <w:contextualSpacing w:val="0"/>
        <w:jc w:val="both"/>
        <w:rPr>
          <w:rFonts w:cs="Open Sans"/>
        </w:rPr>
      </w:pPr>
    </w:p>
    <w:p w14:paraId="17D17556" w14:textId="77777777" w:rsidR="00CA10D6" w:rsidRPr="00F305E1" w:rsidRDefault="0026360C" w:rsidP="004F4432">
      <w:pPr>
        <w:pStyle w:val="ListParagraph"/>
        <w:numPr>
          <w:ilvl w:val="0"/>
          <w:numId w:val="42"/>
        </w:numPr>
        <w:spacing w:before="0" w:after="0"/>
        <w:contextualSpacing w:val="0"/>
        <w:jc w:val="both"/>
        <w:rPr>
          <w:rFonts w:cs="Open Sans"/>
        </w:rPr>
      </w:pPr>
      <w:r w:rsidRPr="00F305E1">
        <w:rPr>
          <w:rFonts w:cs="Open Sans"/>
        </w:rPr>
        <w:t>In most cases, c</w:t>
      </w:r>
      <w:r w:rsidR="001D5B9D" w:rsidRPr="00F305E1">
        <w:rPr>
          <w:rFonts w:cs="Open Sans"/>
        </w:rPr>
        <w:t xml:space="preserve">omputer access warrants under the SD Act can only be </w:t>
      </w:r>
      <w:r w:rsidRPr="00F305E1">
        <w:rPr>
          <w:rFonts w:cs="Open Sans"/>
        </w:rPr>
        <w:t xml:space="preserve">made </w:t>
      </w:r>
      <w:r w:rsidR="001D5B9D" w:rsidRPr="00F305E1">
        <w:rPr>
          <w:rFonts w:cs="Open Sans"/>
        </w:rPr>
        <w:t xml:space="preserve">after an eligible Judge or nominated AAT member is satisfied that there are reasonable grounds </w:t>
      </w:r>
      <w:r w:rsidRPr="00F305E1">
        <w:rPr>
          <w:rFonts w:cs="Open Sans"/>
        </w:rPr>
        <w:t xml:space="preserve">for issuing the warrant. In deciding this, the issuing authority must have regard to certain factors such as the nature and gravity of the alleged offence, the extent to which the privacy of any person is likely to be affected and the existence of any alternative means of obtaining the evidence or information. </w:t>
      </w:r>
    </w:p>
    <w:p w14:paraId="66823C66" w14:textId="77777777" w:rsidR="00CA10D6" w:rsidRPr="00F305E1" w:rsidRDefault="00CA10D6" w:rsidP="00CA10D6">
      <w:pPr>
        <w:pStyle w:val="ListParagraph"/>
        <w:rPr>
          <w:rFonts w:cs="Open Sans"/>
        </w:rPr>
      </w:pPr>
    </w:p>
    <w:p w14:paraId="1983FC7F" w14:textId="5E6FD67C" w:rsidR="001D5B9D" w:rsidRPr="00F305E1" w:rsidRDefault="0026360C" w:rsidP="004F4432">
      <w:pPr>
        <w:pStyle w:val="ListParagraph"/>
        <w:numPr>
          <w:ilvl w:val="0"/>
          <w:numId w:val="42"/>
        </w:numPr>
        <w:spacing w:before="0" w:after="0"/>
        <w:contextualSpacing w:val="0"/>
        <w:jc w:val="both"/>
        <w:rPr>
          <w:rFonts w:cs="Open Sans"/>
        </w:rPr>
      </w:pPr>
      <w:r w:rsidRPr="00F305E1">
        <w:rPr>
          <w:rFonts w:cs="Open Sans"/>
        </w:rPr>
        <w:lastRenderedPageBreak/>
        <w:t xml:space="preserve">In the case of </w:t>
      </w:r>
      <w:r w:rsidR="00414203" w:rsidRPr="00F305E1">
        <w:rPr>
          <w:rFonts w:cs="Open Sans"/>
        </w:rPr>
        <w:t xml:space="preserve">computer access warrants issued under the </w:t>
      </w:r>
      <w:r w:rsidRPr="00F305E1">
        <w:rPr>
          <w:rFonts w:cs="Open Sans"/>
        </w:rPr>
        <w:t xml:space="preserve">ASIO </w:t>
      </w:r>
      <w:r w:rsidR="00414203" w:rsidRPr="00F305E1">
        <w:rPr>
          <w:rFonts w:cs="Open Sans"/>
        </w:rPr>
        <w:t xml:space="preserve">Act, the Attorney-General can only issue a warrant if he or she is satisfied that there are reasonable grounds for believing that access by ASIO to data held in a computer will substantially assist the collection of intelligence in respect of a matter that is important to security. </w:t>
      </w:r>
    </w:p>
    <w:p w14:paraId="3EDF7C31" w14:textId="77777777" w:rsidR="00414203" w:rsidRPr="00F305E1" w:rsidRDefault="00414203" w:rsidP="00414203">
      <w:pPr>
        <w:pStyle w:val="ListParagraph"/>
        <w:rPr>
          <w:rFonts w:cs="Open Sans"/>
        </w:rPr>
      </w:pPr>
    </w:p>
    <w:p w14:paraId="03844877" w14:textId="0EF39914" w:rsidR="00414203" w:rsidRPr="00F305E1" w:rsidRDefault="00414203" w:rsidP="004F4432">
      <w:pPr>
        <w:pStyle w:val="ListParagraph"/>
        <w:numPr>
          <w:ilvl w:val="0"/>
          <w:numId w:val="42"/>
        </w:numPr>
        <w:spacing w:before="0" w:after="0"/>
        <w:contextualSpacing w:val="0"/>
        <w:jc w:val="both"/>
        <w:rPr>
          <w:rFonts w:cs="Open Sans"/>
        </w:rPr>
      </w:pPr>
      <w:r w:rsidRPr="00F305E1">
        <w:rPr>
          <w:rFonts w:cs="Open Sans"/>
        </w:rPr>
        <w:t xml:space="preserve">These thresholds recognise that </w:t>
      </w:r>
      <w:r w:rsidR="00074D1A" w:rsidRPr="00F305E1">
        <w:rPr>
          <w:rFonts w:cs="Open Sans"/>
        </w:rPr>
        <w:t>activities authorised by computer access warrants, and now the ancillary concealment of access powers, are highly privacy</w:t>
      </w:r>
      <w:r w:rsidR="003449CA">
        <w:rPr>
          <w:rFonts w:cs="Open Sans"/>
        </w:rPr>
        <w:t>-</w:t>
      </w:r>
      <w:r w:rsidR="00074D1A" w:rsidRPr="00F305E1">
        <w:rPr>
          <w:rFonts w:cs="Open Sans"/>
        </w:rPr>
        <w:t xml:space="preserve">intrusive and should only be permitted when it has been established that there are reasonable grounds for allowing such </w:t>
      </w:r>
      <w:r w:rsidR="00B47D2E" w:rsidRPr="00F305E1">
        <w:rPr>
          <w:rFonts w:cs="Open Sans"/>
        </w:rPr>
        <w:t xml:space="preserve">interference </w:t>
      </w:r>
      <w:r w:rsidR="00074D1A" w:rsidRPr="00F305E1">
        <w:rPr>
          <w:rFonts w:cs="Open Sans"/>
        </w:rPr>
        <w:t xml:space="preserve">by the state. </w:t>
      </w:r>
    </w:p>
    <w:p w14:paraId="2B1E5B82" w14:textId="77777777" w:rsidR="001D5B9D" w:rsidRPr="00F305E1" w:rsidRDefault="001D5B9D" w:rsidP="001D5B9D">
      <w:pPr>
        <w:pStyle w:val="ListParagraph"/>
        <w:rPr>
          <w:rFonts w:cs="Open Sans"/>
        </w:rPr>
      </w:pPr>
    </w:p>
    <w:p w14:paraId="0CE3AE57" w14:textId="57E8D387" w:rsidR="00B47D2E" w:rsidRPr="00F305E1" w:rsidRDefault="00272CA7" w:rsidP="004F4432">
      <w:pPr>
        <w:pStyle w:val="ListParagraph"/>
        <w:numPr>
          <w:ilvl w:val="0"/>
          <w:numId w:val="42"/>
        </w:numPr>
        <w:spacing w:before="0" w:after="0"/>
        <w:contextualSpacing w:val="0"/>
        <w:jc w:val="both"/>
        <w:rPr>
          <w:rFonts w:cs="Open Sans"/>
        </w:rPr>
      </w:pPr>
      <w:r w:rsidRPr="00F305E1">
        <w:rPr>
          <w:rFonts w:cs="Open Sans"/>
        </w:rPr>
        <w:t>Given this, t</w:t>
      </w:r>
      <w:r w:rsidR="00537DEB" w:rsidRPr="00F305E1">
        <w:rPr>
          <w:rFonts w:cs="Open Sans"/>
        </w:rPr>
        <w:t>he Commission considers that</w:t>
      </w:r>
      <w:r w:rsidRPr="00F305E1">
        <w:rPr>
          <w:rFonts w:cs="Open Sans"/>
        </w:rPr>
        <w:t xml:space="preserve"> </w:t>
      </w:r>
      <w:r w:rsidR="00537DEB" w:rsidRPr="00F305E1">
        <w:rPr>
          <w:rFonts w:cs="Open Sans"/>
        </w:rPr>
        <w:t xml:space="preserve">it is not reasonable to continue to place reliance upon the original ‘reasonable suspicion/reasonable grounds’ threshold that underpinned the initial warrant if significant time has passed. </w:t>
      </w:r>
      <w:r w:rsidR="00E31C9B" w:rsidRPr="00F305E1">
        <w:rPr>
          <w:rFonts w:cs="Open Sans"/>
        </w:rPr>
        <w:t xml:space="preserve">The facts and circumstances of an investigation may have changed considerably in the intervening period. </w:t>
      </w:r>
    </w:p>
    <w:p w14:paraId="499C246C" w14:textId="77777777" w:rsidR="00B47D2E" w:rsidRPr="00F305E1" w:rsidRDefault="00B47D2E" w:rsidP="00B47D2E">
      <w:pPr>
        <w:pStyle w:val="ListParagraph"/>
        <w:rPr>
          <w:rFonts w:cs="Open Sans"/>
        </w:rPr>
      </w:pPr>
    </w:p>
    <w:p w14:paraId="652DC20B" w14:textId="1D641EB2" w:rsidR="00B47D2E" w:rsidRPr="00F305E1" w:rsidRDefault="00B47D2E" w:rsidP="004F4432">
      <w:pPr>
        <w:pStyle w:val="ListParagraph"/>
        <w:numPr>
          <w:ilvl w:val="0"/>
          <w:numId w:val="42"/>
        </w:numPr>
        <w:spacing w:before="0" w:after="0"/>
        <w:contextualSpacing w:val="0"/>
        <w:jc w:val="both"/>
        <w:rPr>
          <w:rFonts w:cs="Open Sans"/>
        </w:rPr>
      </w:pPr>
      <w:r w:rsidRPr="00F305E1">
        <w:rPr>
          <w:rFonts w:cs="Open Sans"/>
        </w:rPr>
        <w:t xml:space="preserve">In these circumstances, the Commission recommends that relevant authorities be required to return to an issuing authority to </w:t>
      </w:r>
      <w:r w:rsidR="00272CA7" w:rsidRPr="00F305E1">
        <w:rPr>
          <w:rFonts w:cs="Open Sans"/>
        </w:rPr>
        <w:t xml:space="preserve">show </w:t>
      </w:r>
      <w:r w:rsidRPr="00F305E1">
        <w:rPr>
          <w:rFonts w:cs="Open Sans"/>
        </w:rPr>
        <w:t xml:space="preserve">that privacy intrusive activities are still </w:t>
      </w:r>
      <w:r w:rsidR="00272CA7" w:rsidRPr="00F305E1">
        <w:rPr>
          <w:rFonts w:cs="Open Sans"/>
        </w:rPr>
        <w:t xml:space="preserve">justifiable </w:t>
      </w:r>
      <w:r w:rsidRPr="00F305E1">
        <w:rPr>
          <w:rFonts w:cs="Open Sans"/>
        </w:rPr>
        <w:t xml:space="preserve">with </w:t>
      </w:r>
      <w:r w:rsidR="00F356AF" w:rsidRPr="00F305E1">
        <w:rPr>
          <w:rFonts w:cs="Open Sans"/>
        </w:rPr>
        <w:t>reference</w:t>
      </w:r>
      <w:r w:rsidRPr="00F305E1">
        <w:rPr>
          <w:rFonts w:cs="Open Sans"/>
        </w:rPr>
        <w:t xml:space="preserve"> </w:t>
      </w:r>
      <w:r w:rsidR="00F356AF" w:rsidRPr="00F305E1">
        <w:rPr>
          <w:rFonts w:cs="Open Sans"/>
        </w:rPr>
        <w:t>to</w:t>
      </w:r>
      <w:r w:rsidRPr="00F305E1">
        <w:rPr>
          <w:rFonts w:cs="Open Sans"/>
        </w:rPr>
        <w:t xml:space="preserve"> contemporary facts.</w:t>
      </w:r>
      <w:r w:rsidR="000A7B7E">
        <w:rPr>
          <w:rFonts w:cs="Open Sans"/>
        </w:rPr>
        <w:t xml:space="preserve"> </w:t>
      </w:r>
      <w:r w:rsidRPr="00F305E1">
        <w:rPr>
          <w:rFonts w:cs="Open Sans"/>
        </w:rPr>
        <w:t xml:space="preserve"> </w:t>
      </w:r>
    </w:p>
    <w:p w14:paraId="6C8CD18D" w14:textId="52BE2352" w:rsidR="00FD5473" w:rsidRPr="00F305E1" w:rsidRDefault="00FD5473" w:rsidP="00ED1AC1">
      <w:pPr>
        <w:pStyle w:val="ListNumber"/>
        <w:numPr>
          <w:ilvl w:val="0"/>
          <w:numId w:val="0"/>
        </w:numPr>
        <w:tabs>
          <w:tab w:val="left" w:pos="1418"/>
        </w:tabs>
        <w:spacing w:before="0" w:after="0"/>
        <w:contextualSpacing w:val="0"/>
        <w:jc w:val="both"/>
        <w:rPr>
          <w:rFonts w:cs="Open Sans"/>
        </w:rPr>
      </w:pPr>
    </w:p>
    <w:p w14:paraId="4D5DB24D" w14:textId="77777777" w:rsidR="00344FD8" w:rsidRPr="00F305E1" w:rsidRDefault="00344FD8" w:rsidP="00344FD8">
      <w:pPr>
        <w:pStyle w:val="NoSpacing"/>
        <w:spacing w:after="120"/>
        <w:ind w:left="720"/>
        <w:rPr>
          <w:rFonts w:cs="Open Sans"/>
          <w:b/>
        </w:rPr>
      </w:pPr>
      <w:r w:rsidRPr="00F305E1">
        <w:rPr>
          <w:rFonts w:cs="Open Sans"/>
          <w:b/>
        </w:rPr>
        <w:t xml:space="preserve">Recommendation </w:t>
      </w:r>
      <w:r>
        <w:rPr>
          <w:rFonts w:cs="Open Sans"/>
          <w:b/>
        </w:rPr>
        <w:t>J</w:t>
      </w:r>
    </w:p>
    <w:p w14:paraId="1E8E0187" w14:textId="77777777" w:rsidR="00344FD8" w:rsidRPr="000A5FED" w:rsidRDefault="00344FD8" w:rsidP="00344FD8">
      <w:pPr>
        <w:pStyle w:val="NoSpacing"/>
        <w:spacing w:after="120"/>
        <w:ind w:left="720"/>
        <w:rPr>
          <w:rFonts w:cs="Open Sans"/>
          <w:b/>
        </w:rPr>
      </w:pPr>
      <w:r w:rsidRPr="00F305E1">
        <w:rPr>
          <w:rFonts w:cs="Open Sans"/>
        </w:rPr>
        <w:t xml:space="preserve">The </w:t>
      </w:r>
      <w:r w:rsidRPr="000A7B7E">
        <w:rPr>
          <w:rFonts w:cs="Open Sans"/>
          <w:i/>
        </w:rPr>
        <w:t>Australian Security Intelligence Organisation Act 1979</w:t>
      </w:r>
      <w:r w:rsidRPr="000A7B7E">
        <w:rPr>
          <w:rFonts w:cs="Open Sans"/>
        </w:rPr>
        <w:t xml:space="preserve"> </w:t>
      </w:r>
      <w:r w:rsidRPr="00F305E1">
        <w:rPr>
          <w:rFonts w:cs="Open Sans"/>
        </w:rPr>
        <w:t xml:space="preserve">(Cth) and the </w:t>
      </w:r>
      <w:r w:rsidRPr="000A7B7E">
        <w:rPr>
          <w:rFonts w:cs="Open Sans"/>
          <w:i/>
        </w:rPr>
        <w:t>Surveillance Devices Act 2004</w:t>
      </w:r>
      <w:r w:rsidRPr="000A7B7E">
        <w:rPr>
          <w:rFonts w:cs="Open Sans"/>
        </w:rPr>
        <w:t xml:space="preserve"> (Cth) </w:t>
      </w:r>
      <w:r w:rsidRPr="00F305E1">
        <w:rPr>
          <w:rFonts w:cs="Open Sans"/>
        </w:rPr>
        <w:t xml:space="preserve">be amended so that, if it is not reasonably practicable for ‘concealment of access’ to occur while a warrant is in effect, or within 28 days of its expiry, law enforcement authorities are required to return to an eligible Judge or nominated </w:t>
      </w:r>
      <w:r>
        <w:rPr>
          <w:rFonts w:cs="Open Sans"/>
        </w:rPr>
        <w:t xml:space="preserve">Administrative Appeals Tribunal </w:t>
      </w:r>
      <w:r w:rsidRPr="00F305E1">
        <w:rPr>
          <w:rFonts w:cs="Open Sans"/>
        </w:rPr>
        <w:t xml:space="preserve">member or, in the case of </w:t>
      </w:r>
      <w:r w:rsidRPr="008E1605">
        <w:rPr>
          <w:rFonts w:cs="Open Sans"/>
        </w:rPr>
        <w:t>Australian Security Intelligence Organisation</w:t>
      </w:r>
      <w:r w:rsidRPr="0022202B">
        <w:rPr>
          <w:rFonts w:cs="Open Sans"/>
        </w:rPr>
        <w:t xml:space="preserve"> </w:t>
      </w:r>
      <w:r w:rsidRPr="00F305E1">
        <w:rPr>
          <w:rFonts w:cs="Open Sans"/>
        </w:rPr>
        <w:t xml:space="preserve">warrants, the Attorney-General for further authorisation before any of the concealment of access powers introduced by the </w:t>
      </w:r>
      <w:r w:rsidRPr="00F305E1">
        <w:rPr>
          <w:rFonts w:cs="Open Sans"/>
          <w:i/>
        </w:rPr>
        <w:t>Telecommunications and Other Legislation Amendment (Assistance and Access) Act 2018</w:t>
      </w:r>
      <w:r w:rsidRPr="00F305E1">
        <w:rPr>
          <w:rFonts w:cs="Open Sans"/>
        </w:rPr>
        <w:t xml:space="preserve"> (Cth) can be exercised. </w:t>
      </w:r>
    </w:p>
    <w:p w14:paraId="1A3B5F0E" w14:textId="237437C2" w:rsidR="00AA79EC" w:rsidRPr="00F305E1" w:rsidRDefault="00AA79EC" w:rsidP="001A27F4">
      <w:pPr>
        <w:pStyle w:val="Heading2"/>
        <w:spacing w:before="360" w:after="0"/>
        <w:rPr>
          <w:rFonts w:cs="Open Sans"/>
        </w:rPr>
      </w:pPr>
      <w:r w:rsidRPr="00F305E1">
        <w:rPr>
          <w:rFonts w:cs="Open Sans"/>
        </w:rPr>
        <w:lastRenderedPageBreak/>
        <w:t>Improvements to the Bill</w:t>
      </w:r>
    </w:p>
    <w:p w14:paraId="72BA4B5D" w14:textId="77777777" w:rsidR="006B27F4" w:rsidRPr="00F305E1" w:rsidRDefault="006B27F4" w:rsidP="001A27F4">
      <w:pPr>
        <w:pStyle w:val="NoSpacing"/>
        <w:keepNext/>
        <w:ind w:left="360"/>
        <w:rPr>
          <w:rFonts w:cs="Open Sans"/>
        </w:rPr>
      </w:pPr>
    </w:p>
    <w:p w14:paraId="6FEA2039" w14:textId="1CDEE307" w:rsidR="004A2177" w:rsidRPr="0016582F" w:rsidRDefault="004A2177" w:rsidP="001A27F4">
      <w:pPr>
        <w:pStyle w:val="NoSpacing"/>
        <w:keepNext/>
        <w:numPr>
          <w:ilvl w:val="0"/>
          <w:numId w:val="42"/>
        </w:numPr>
        <w:spacing w:after="120"/>
        <w:rPr>
          <w:rFonts w:cs="Open Sans"/>
        </w:rPr>
      </w:pPr>
      <w:r w:rsidRPr="00F305E1">
        <w:rPr>
          <w:rFonts w:cs="Open Sans"/>
        </w:rPr>
        <w:t xml:space="preserve">The Commission welcomes </w:t>
      </w:r>
      <w:r w:rsidR="003E6F0B" w:rsidRPr="00F305E1">
        <w:rPr>
          <w:rFonts w:cs="Open Sans"/>
        </w:rPr>
        <w:t xml:space="preserve">the following </w:t>
      </w:r>
      <w:r w:rsidR="00CC60D4" w:rsidRPr="00F305E1">
        <w:rPr>
          <w:rFonts w:cs="Open Sans"/>
        </w:rPr>
        <w:t xml:space="preserve">changes made by the </w:t>
      </w:r>
      <w:r w:rsidR="00891F6F" w:rsidRPr="0016582F">
        <w:rPr>
          <w:rFonts w:cs="Open Sans"/>
        </w:rPr>
        <w:t>Government amendments</w:t>
      </w:r>
      <w:r w:rsidR="0049732C" w:rsidRPr="0016582F">
        <w:rPr>
          <w:rFonts w:cs="Open Sans"/>
        </w:rPr>
        <w:t>,</w:t>
      </w:r>
      <w:r w:rsidR="00891F6F" w:rsidRPr="0016582F">
        <w:rPr>
          <w:rFonts w:cs="Open Sans"/>
        </w:rPr>
        <w:t xml:space="preserve"> which go some way to enhancing the human rights safeguards in the </w:t>
      </w:r>
      <w:r w:rsidR="00CC60D4" w:rsidRPr="0016582F">
        <w:rPr>
          <w:rFonts w:cs="Open Sans"/>
        </w:rPr>
        <w:t xml:space="preserve">TOLA </w:t>
      </w:r>
      <w:r w:rsidR="00891F6F" w:rsidRPr="0016582F">
        <w:rPr>
          <w:rFonts w:cs="Open Sans"/>
        </w:rPr>
        <w:t>Act:</w:t>
      </w:r>
    </w:p>
    <w:p w14:paraId="03E32B37" w14:textId="1D16018F" w:rsidR="00E03BAA" w:rsidRPr="0016582F" w:rsidRDefault="00E01ACF" w:rsidP="001C356B">
      <w:pPr>
        <w:pStyle w:val="NoSpacing"/>
        <w:numPr>
          <w:ilvl w:val="0"/>
          <w:numId w:val="38"/>
        </w:numPr>
        <w:spacing w:after="120"/>
        <w:ind w:left="1077" w:hanging="357"/>
        <w:rPr>
          <w:rFonts w:cs="Open Sans"/>
        </w:rPr>
      </w:pPr>
      <w:r w:rsidRPr="0016582F">
        <w:rPr>
          <w:rFonts w:cs="Open Sans"/>
        </w:rPr>
        <w:t>t</w:t>
      </w:r>
      <w:r w:rsidR="00AB4694" w:rsidRPr="0016582F">
        <w:rPr>
          <w:rFonts w:cs="Open Sans"/>
        </w:rPr>
        <w:t xml:space="preserve">he requirement for </w:t>
      </w:r>
      <w:r w:rsidR="00E03BAA" w:rsidRPr="0016582F">
        <w:rPr>
          <w:rFonts w:cs="Open Sans"/>
        </w:rPr>
        <w:t>statutory</w:t>
      </w:r>
      <w:r w:rsidR="0049732C" w:rsidRPr="0016582F">
        <w:rPr>
          <w:rFonts w:cs="Open Sans"/>
        </w:rPr>
        <w:t xml:space="preserve"> </w:t>
      </w:r>
      <w:r w:rsidR="00E03BAA" w:rsidRPr="0016582F">
        <w:rPr>
          <w:rFonts w:cs="Open Sans"/>
        </w:rPr>
        <w:t>review</w:t>
      </w:r>
      <w:r w:rsidR="0049732C" w:rsidRPr="0016582F">
        <w:rPr>
          <w:rFonts w:cs="Open Sans"/>
        </w:rPr>
        <w:t xml:space="preserve"> by the Independent National Security Legislation Monitor</w:t>
      </w:r>
      <w:r w:rsidR="00E9357E" w:rsidRPr="0016582F">
        <w:rPr>
          <w:rFonts w:cs="Open Sans"/>
        </w:rPr>
        <w:t>—this implements previous Recommendation 54</w:t>
      </w:r>
    </w:p>
    <w:p w14:paraId="3CFD7DE0" w14:textId="595C8EB8" w:rsidR="00E03BAA" w:rsidRPr="00F305E1" w:rsidRDefault="0049732C" w:rsidP="001C356B">
      <w:pPr>
        <w:pStyle w:val="NoSpacing"/>
        <w:numPr>
          <w:ilvl w:val="0"/>
          <w:numId w:val="38"/>
        </w:numPr>
        <w:spacing w:after="120"/>
        <w:ind w:left="1077" w:hanging="357"/>
        <w:rPr>
          <w:rFonts w:cs="Open Sans"/>
        </w:rPr>
      </w:pPr>
      <w:r w:rsidRPr="00F305E1">
        <w:rPr>
          <w:rFonts w:cs="Open Sans"/>
        </w:rPr>
        <w:t>the n</w:t>
      </w:r>
      <w:r w:rsidR="00E03BAA" w:rsidRPr="00F305E1">
        <w:rPr>
          <w:rFonts w:cs="Open Sans"/>
        </w:rPr>
        <w:t>arrowed definition</w:t>
      </w:r>
      <w:r w:rsidR="00AB4694" w:rsidRPr="00F305E1">
        <w:rPr>
          <w:rFonts w:cs="Open Sans"/>
        </w:rPr>
        <w:t>s</w:t>
      </w:r>
      <w:r w:rsidR="00E03BAA" w:rsidRPr="00F305E1">
        <w:rPr>
          <w:rFonts w:cs="Open Sans"/>
        </w:rPr>
        <w:t xml:space="preserve"> of </w:t>
      </w:r>
      <w:r w:rsidRPr="00F305E1">
        <w:rPr>
          <w:rFonts w:cs="Open Sans"/>
        </w:rPr>
        <w:t>‘acts or thing</w:t>
      </w:r>
      <w:r w:rsidR="004D4DEE" w:rsidRPr="00F305E1">
        <w:rPr>
          <w:rFonts w:cs="Open Sans"/>
        </w:rPr>
        <w:t>s</w:t>
      </w:r>
      <w:r w:rsidRPr="00F305E1">
        <w:rPr>
          <w:rFonts w:cs="Open Sans"/>
        </w:rPr>
        <w:t>’</w:t>
      </w:r>
      <w:r w:rsidR="00E03BAA" w:rsidRPr="00F305E1">
        <w:rPr>
          <w:rFonts w:cs="Open Sans"/>
        </w:rPr>
        <w:t xml:space="preserve"> and </w:t>
      </w:r>
      <w:r w:rsidRPr="00F305E1">
        <w:rPr>
          <w:rFonts w:cs="Open Sans"/>
        </w:rPr>
        <w:t>‘</w:t>
      </w:r>
      <w:r w:rsidR="00E03BAA" w:rsidRPr="00F305E1">
        <w:rPr>
          <w:rFonts w:cs="Open Sans"/>
        </w:rPr>
        <w:t>listed help</w:t>
      </w:r>
      <w:r w:rsidRPr="00F305E1">
        <w:rPr>
          <w:rFonts w:cs="Open Sans"/>
        </w:rPr>
        <w:t xml:space="preserve">’, </w:t>
      </w:r>
      <w:r w:rsidR="00AB4694" w:rsidRPr="00F305E1">
        <w:rPr>
          <w:rFonts w:cs="Open Sans"/>
        </w:rPr>
        <w:t>so that they are</w:t>
      </w:r>
      <w:r w:rsidRPr="00F305E1">
        <w:rPr>
          <w:rFonts w:cs="Open Sans"/>
        </w:rPr>
        <w:t xml:space="preserve"> exhaustive </w:t>
      </w:r>
      <w:r w:rsidR="00CA7BC5" w:rsidRPr="00F305E1">
        <w:rPr>
          <w:rFonts w:cs="Open Sans"/>
        </w:rPr>
        <w:t xml:space="preserve">with respect to </w:t>
      </w:r>
      <w:r w:rsidR="00AB4694" w:rsidRPr="00F305E1">
        <w:rPr>
          <w:rFonts w:cs="Open Sans"/>
        </w:rPr>
        <w:t>TANs and TCNs</w:t>
      </w:r>
      <w:r w:rsidRPr="00F305E1">
        <w:rPr>
          <w:rFonts w:cs="Open Sans"/>
        </w:rPr>
        <w:t xml:space="preserve">—this </w:t>
      </w:r>
      <w:r w:rsidR="004D4DEE" w:rsidRPr="00F305E1">
        <w:rPr>
          <w:rFonts w:cs="Open Sans"/>
        </w:rPr>
        <w:t xml:space="preserve">partially </w:t>
      </w:r>
      <w:r w:rsidRPr="00F305E1">
        <w:rPr>
          <w:rFonts w:cs="Open Sans"/>
        </w:rPr>
        <w:t xml:space="preserve">implements </w:t>
      </w:r>
      <w:r w:rsidR="007D36B6" w:rsidRPr="00F305E1">
        <w:rPr>
          <w:rFonts w:cs="Open Sans"/>
        </w:rPr>
        <w:t xml:space="preserve">previous </w:t>
      </w:r>
      <w:r w:rsidRPr="00F305E1">
        <w:rPr>
          <w:rFonts w:cs="Open Sans"/>
        </w:rPr>
        <w:t>Recommendation 3</w:t>
      </w:r>
      <w:r w:rsidR="004D4DEE" w:rsidRPr="00F305E1">
        <w:rPr>
          <w:rFonts w:cs="Open Sans"/>
        </w:rPr>
        <w:t xml:space="preserve">, noting that </w:t>
      </w:r>
      <w:r w:rsidR="00AB4694" w:rsidRPr="00F305E1">
        <w:rPr>
          <w:rFonts w:cs="Open Sans"/>
        </w:rPr>
        <w:t xml:space="preserve">the ‘listed acts or things’ that a </w:t>
      </w:r>
      <w:r w:rsidR="00160927" w:rsidRPr="00F305E1">
        <w:rPr>
          <w:rFonts w:cs="Open Sans"/>
        </w:rPr>
        <w:t>provider</w:t>
      </w:r>
      <w:r w:rsidR="00AB4694" w:rsidRPr="00F305E1">
        <w:rPr>
          <w:rFonts w:cs="Open Sans"/>
        </w:rPr>
        <w:t xml:space="preserve"> may be asked to do under a TAR still do not appear to be exhaustively defined </w:t>
      </w:r>
      <w:r w:rsidR="00160927" w:rsidRPr="00F305E1">
        <w:rPr>
          <w:rFonts w:cs="Open Sans"/>
        </w:rPr>
        <w:t>given</w:t>
      </w:r>
      <w:r w:rsidR="00AB4694" w:rsidRPr="00F305E1">
        <w:rPr>
          <w:rFonts w:cs="Open Sans"/>
        </w:rPr>
        <w:t xml:space="preserve"> </w:t>
      </w:r>
      <w:r w:rsidR="00160927" w:rsidRPr="00F305E1">
        <w:rPr>
          <w:rFonts w:cs="Open Sans"/>
        </w:rPr>
        <w:t xml:space="preserve">the operation of </w:t>
      </w:r>
      <w:r w:rsidR="004D4DEE" w:rsidRPr="00F305E1">
        <w:rPr>
          <w:rFonts w:cs="Open Sans"/>
        </w:rPr>
        <w:t xml:space="preserve">s 317G(6) </w:t>
      </w:r>
      <w:r w:rsidR="00AB4694" w:rsidRPr="00F305E1">
        <w:rPr>
          <w:rFonts w:cs="Open Sans"/>
        </w:rPr>
        <w:t>of the Telecommunications Act</w:t>
      </w:r>
    </w:p>
    <w:p w14:paraId="4200A17E" w14:textId="7EBA52A1" w:rsidR="0084473F" w:rsidRPr="00F305E1" w:rsidRDefault="005833FA" w:rsidP="001C356B">
      <w:pPr>
        <w:pStyle w:val="NoSpacing"/>
        <w:numPr>
          <w:ilvl w:val="0"/>
          <w:numId w:val="38"/>
        </w:numPr>
        <w:spacing w:after="120"/>
        <w:ind w:left="1077" w:hanging="357"/>
        <w:rPr>
          <w:rFonts w:cs="Open Sans"/>
        </w:rPr>
      </w:pPr>
      <w:r w:rsidRPr="00F305E1">
        <w:rPr>
          <w:rFonts w:cs="Open Sans"/>
        </w:rPr>
        <w:t>the r</w:t>
      </w:r>
      <w:r w:rsidR="00834B03" w:rsidRPr="00F305E1">
        <w:rPr>
          <w:rFonts w:cs="Open Sans"/>
        </w:rPr>
        <w:t xml:space="preserve">evised decision-making criteria for </w:t>
      </w:r>
      <w:r w:rsidR="0016582F">
        <w:rPr>
          <w:rFonts w:cs="Open Sans"/>
        </w:rPr>
        <w:t>giving</w:t>
      </w:r>
      <w:r w:rsidR="009809F6" w:rsidRPr="00F305E1">
        <w:rPr>
          <w:rFonts w:cs="Open Sans"/>
        </w:rPr>
        <w:t xml:space="preserve"> </w:t>
      </w:r>
      <w:r w:rsidR="00C67CF6" w:rsidRPr="00F305E1">
        <w:rPr>
          <w:rFonts w:cs="Open Sans"/>
        </w:rPr>
        <w:t>TARs, TANs and TCNs</w:t>
      </w:r>
      <w:r w:rsidR="004A2177" w:rsidRPr="00F305E1">
        <w:rPr>
          <w:rFonts w:cs="Open Sans"/>
        </w:rPr>
        <w:t>, includi</w:t>
      </w:r>
      <w:r w:rsidR="007D36B6" w:rsidRPr="00F305E1">
        <w:rPr>
          <w:rFonts w:cs="Open Sans"/>
        </w:rPr>
        <w:t>ng</w:t>
      </w:r>
      <w:r w:rsidR="000B6F51" w:rsidRPr="00F305E1">
        <w:rPr>
          <w:rFonts w:cs="Open Sans"/>
        </w:rPr>
        <w:t xml:space="preserve"> making it mandatory for the decision</w:t>
      </w:r>
      <w:r w:rsidR="00B355D1">
        <w:rPr>
          <w:rFonts w:cs="Open Sans"/>
        </w:rPr>
        <w:t xml:space="preserve"> </w:t>
      </w:r>
      <w:r w:rsidR="000B6F51" w:rsidRPr="00F305E1">
        <w:rPr>
          <w:rFonts w:cs="Open Sans"/>
        </w:rPr>
        <w:t>maker to consider whether a request or notice is necessary</w:t>
      </w:r>
      <w:r w:rsidR="007D36B6" w:rsidRPr="00F305E1">
        <w:rPr>
          <w:rFonts w:cs="Open Sans"/>
        </w:rPr>
        <w:t xml:space="preserve"> </w:t>
      </w:r>
      <w:r w:rsidR="000B6F51" w:rsidRPr="00F305E1">
        <w:rPr>
          <w:rFonts w:cs="Open Sans"/>
        </w:rPr>
        <w:t xml:space="preserve">as well as whether it is the least intrusive </w:t>
      </w:r>
      <w:r w:rsidR="00C67CF6" w:rsidRPr="00F305E1">
        <w:rPr>
          <w:rFonts w:cs="Open Sans"/>
        </w:rPr>
        <w:t>form of industry assistance</w:t>
      </w:r>
      <w:r w:rsidR="000B6F51" w:rsidRPr="00F305E1">
        <w:rPr>
          <w:rFonts w:cs="Open Sans"/>
        </w:rPr>
        <w:t xml:space="preserve"> as far as any impacts on third parties are concerned</w:t>
      </w:r>
      <w:r w:rsidRPr="00F305E1">
        <w:rPr>
          <w:rFonts w:cs="Open Sans"/>
        </w:rPr>
        <w:t xml:space="preserve">—this implements </w:t>
      </w:r>
      <w:r w:rsidR="007D36B6" w:rsidRPr="00F305E1">
        <w:rPr>
          <w:rFonts w:cs="Open Sans"/>
        </w:rPr>
        <w:t xml:space="preserve">previous </w:t>
      </w:r>
      <w:r w:rsidRPr="00F305E1">
        <w:rPr>
          <w:rFonts w:cs="Open Sans"/>
        </w:rPr>
        <w:t xml:space="preserve">Recommendation 8 and partially implements </w:t>
      </w:r>
      <w:r w:rsidR="007D36B6" w:rsidRPr="00F305E1">
        <w:rPr>
          <w:rFonts w:cs="Open Sans"/>
        </w:rPr>
        <w:t xml:space="preserve">previous </w:t>
      </w:r>
      <w:r w:rsidRPr="00F305E1">
        <w:rPr>
          <w:rFonts w:cs="Open Sans"/>
        </w:rPr>
        <w:t>Recommendation 10</w:t>
      </w:r>
      <w:r w:rsidR="00B24680" w:rsidRPr="00F305E1">
        <w:rPr>
          <w:rFonts w:cs="Open Sans"/>
        </w:rPr>
        <w:t>,</w:t>
      </w:r>
      <w:r w:rsidR="00C67CF6" w:rsidRPr="00F305E1">
        <w:rPr>
          <w:rFonts w:cs="Open Sans"/>
        </w:rPr>
        <w:t xml:space="preserve"> </w:t>
      </w:r>
      <w:r w:rsidR="006C0E27" w:rsidRPr="00F305E1">
        <w:rPr>
          <w:rFonts w:cs="Open Sans"/>
        </w:rPr>
        <w:t xml:space="preserve">though </w:t>
      </w:r>
      <w:r w:rsidR="0016582F">
        <w:rPr>
          <w:rFonts w:cs="Open Sans"/>
        </w:rPr>
        <w:t xml:space="preserve">it </w:t>
      </w:r>
      <w:r w:rsidR="006C0E27" w:rsidRPr="00F305E1">
        <w:rPr>
          <w:rFonts w:cs="Open Sans"/>
        </w:rPr>
        <w:t>does not address all of the Commission’s concerns, because:</w:t>
      </w:r>
    </w:p>
    <w:p w14:paraId="0434D4A3" w14:textId="4D00EE83" w:rsidR="0084473F" w:rsidRPr="00F305E1" w:rsidRDefault="006C0E27" w:rsidP="00ED1AC1">
      <w:pPr>
        <w:pStyle w:val="NoSpacing"/>
        <w:numPr>
          <w:ilvl w:val="1"/>
          <w:numId w:val="38"/>
        </w:numPr>
        <w:spacing w:after="120"/>
        <w:rPr>
          <w:rFonts w:cs="Open Sans"/>
        </w:rPr>
      </w:pPr>
      <w:r w:rsidRPr="00F305E1">
        <w:rPr>
          <w:rFonts w:cs="Open Sans"/>
        </w:rPr>
        <w:t xml:space="preserve">these changes do </w:t>
      </w:r>
      <w:r w:rsidR="005833FA" w:rsidRPr="00F305E1">
        <w:rPr>
          <w:rFonts w:cs="Open Sans"/>
        </w:rPr>
        <w:t xml:space="preserve">not go so far as to </w:t>
      </w:r>
      <w:r w:rsidR="005833FA" w:rsidRPr="00F305E1">
        <w:rPr>
          <w:rFonts w:cs="Open Sans"/>
          <w:i/>
        </w:rPr>
        <w:t>require</w:t>
      </w:r>
      <w:r w:rsidR="005833FA" w:rsidRPr="00F305E1">
        <w:rPr>
          <w:rFonts w:cs="Open Sans"/>
        </w:rPr>
        <w:t xml:space="preserve"> that the decision</w:t>
      </w:r>
      <w:r w:rsidR="0057014C">
        <w:rPr>
          <w:rFonts w:cs="Open Sans"/>
        </w:rPr>
        <w:t xml:space="preserve"> </w:t>
      </w:r>
      <w:r w:rsidR="005833FA" w:rsidRPr="00F305E1">
        <w:rPr>
          <w:rFonts w:cs="Open Sans"/>
        </w:rPr>
        <w:t xml:space="preserve">maker be satisfied on reasonable grounds that the human rights impacts </w:t>
      </w:r>
      <w:r w:rsidR="00C66701" w:rsidRPr="00F305E1">
        <w:rPr>
          <w:rFonts w:cs="Open Sans"/>
        </w:rPr>
        <w:t xml:space="preserve">including interferences with privacy </w:t>
      </w:r>
      <w:r w:rsidR="005833FA" w:rsidRPr="00F305E1">
        <w:rPr>
          <w:rFonts w:cs="Open Sans"/>
        </w:rPr>
        <w:t>are reasonable, necessary and proportionate</w:t>
      </w:r>
    </w:p>
    <w:p w14:paraId="63D2CA3F" w14:textId="00D7FDC2" w:rsidR="00E03BAA" w:rsidRPr="00F305E1" w:rsidRDefault="006C0E27" w:rsidP="00ED1AC1">
      <w:pPr>
        <w:pStyle w:val="NoSpacing"/>
        <w:numPr>
          <w:ilvl w:val="1"/>
          <w:numId w:val="38"/>
        </w:numPr>
        <w:spacing w:after="120"/>
        <w:rPr>
          <w:rFonts w:cs="Open Sans"/>
        </w:rPr>
      </w:pPr>
      <w:r w:rsidRPr="00F305E1">
        <w:rPr>
          <w:rFonts w:cs="Open Sans"/>
        </w:rPr>
        <w:t>a decision maker is required to consider only whether a particular request or notice is the</w:t>
      </w:r>
      <w:r w:rsidR="00B53FDD" w:rsidRPr="00F305E1">
        <w:rPr>
          <w:rFonts w:cs="Open Sans"/>
        </w:rPr>
        <w:t xml:space="preserve"> ‘least intrusive’</w:t>
      </w:r>
      <w:r w:rsidR="0084473F" w:rsidRPr="00F305E1">
        <w:rPr>
          <w:rFonts w:cs="Open Sans"/>
        </w:rPr>
        <w:t xml:space="preserve"> </w:t>
      </w:r>
      <w:r w:rsidR="00B53FDD" w:rsidRPr="00F305E1">
        <w:rPr>
          <w:rFonts w:cs="Open Sans"/>
        </w:rPr>
        <w:t>form of industry assistance</w:t>
      </w:r>
      <w:r w:rsidR="0084473F" w:rsidRPr="00F305E1">
        <w:rPr>
          <w:rFonts w:cs="Open Sans"/>
        </w:rPr>
        <w:t>,</w:t>
      </w:r>
      <w:r w:rsidR="00B53FDD" w:rsidRPr="00F305E1">
        <w:rPr>
          <w:rFonts w:cs="Open Sans"/>
        </w:rPr>
        <w:t xml:space="preserve"> rather than </w:t>
      </w:r>
      <w:r w:rsidRPr="00F305E1">
        <w:rPr>
          <w:rFonts w:cs="Open Sans"/>
        </w:rPr>
        <w:t xml:space="preserve">the least intrusive measure available having regard </w:t>
      </w:r>
      <w:r w:rsidR="00B53FDD" w:rsidRPr="00F305E1">
        <w:rPr>
          <w:rFonts w:cs="Open Sans"/>
        </w:rPr>
        <w:t>to other law enforcement capabilities as a whole</w:t>
      </w:r>
      <w:r w:rsidR="005833FA" w:rsidRPr="00F305E1">
        <w:rPr>
          <w:rFonts w:cs="Open Sans"/>
        </w:rPr>
        <w:t xml:space="preserve"> </w:t>
      </w:r>
    </w:p>
    <w:p w14:paraId="19864E24" w14:textId="42F73A65" w:rsidR="00E9690A" w:rsidRPr="00F305E1" w:rsidRDefault="005833FA" w:rsidP="00940E3A">
      <w:pPr>
        <w:pStyle w:val="NoSpacing"/>
        <w:numPr>
          <w:ilvl w:val="0"/>
          <w:numId w:val="38"/>
        </w:numPr>
        <w:spacing w:after="120"/>
        <w:ind w:left="1077" w:hanging="357"/>
        <w:rPr>
          <w:rFonts w:cs="Open Sans"/>
        </w:rPr>
      </w:pPr>
      <w:r w:rsidRPr="00F305E1">
        <w:rPr>
          <w:rFonts w:cs="Open Sans"/>
        </w:rPr>
        <w:t>the</w:t>
      </w:r>
      <w:r w:rsidR="00FA61AF" w:rsidRPr="00F305E1">
        <w:rPr>
          <w:rFonts w:cs="Open Sans"/>
        </w:rPr>
        <w:t xml:space="preserve"> additional safeguards </w:t>
      </w:r>
      <w:r w:rsidR="00CC60D4" w:rsidRPr="00F305E1">
        <w:rPr>
          <w:rFonts w:cs="Open Sans"/>
        </w:rPr>
        <w:t xml:space="preserve">relating to </w:t>
      </w:r>
      <w:r w:rsidR="00E9690A" w:rsidRPr="00F305E1">
        <w:rPr>
          <w:rFonts w:cs="Open Sans"/>
        </w:rPr>
        <w:t>TARs as follow</w:t>
      </w:r>
      <w:r w:rsidR="00566887" w:rsidRPr="00F305E1">
        <w:rPr>
          <w:rFonts w:cs="Open Sans"/>
        </w:rPr>
        <w:t>s</w:t>
      </w:r>
      <w:r w:rsidR="00E9690A" w:rsidRPr="00F305E1">
        <w:rPr>
          <w:rFonts w:cs="Open Sans"/>
        </w:rPr>
        <w:t>, which implement</w:t>
      </w:r>
      <w:r w:rsidR="00C205A7">
        <w:rPr>
          <w:rFonts w:cs="Open Sans"/>
        </w:rPr>
        <w:t xml:space="preserve"> the Commission’s</w:t>
      </w:r>
      <w:r w:rsidR="00E9690A" w:rsidRPr="00F305E1">
        <w:rPr>
          <w:rFonts w:cs="Open Sans"/>
        </w:rPr>
        <w:t xml:space="preserve"> previous Recommendations 11, 16 and 18</w:t>
      </w:r>
      <w:r w:rsidR="008C6B60" w:rsidRPr="00F305E1">
        <w:rPr>
          <w:rFonts w:cs="Open Sans"/>
        </w:rPr>
        <w:t>:</w:t>
      </w:r>
      <w:r w:rsidR="00CC60D4" w:rsidRPr="00F305E1">
        <w:rPr>
          <w:rFonts w:cs="Open Sans"/>
        </w:rPr>
        <w:t xml:space="preserve"> </w:t>
      </w:r>
    </w:p>
    <w:p w14:paraId="470B8CFB" w14:textId="607726B1" w:rsidR="00E9690A" w:rsidRPr="00F305E1" w:rsidRDefault="00FA61AF" w:rsidP="00E9690A">
      <w:pPr>
        <w:pStyle w:val="NoSpacing"/>
        <w:numPr>
          <w:ilvl w:val="1"/>
          <w:numId w:val="38"/>
        </w:numPr>
        <w:spacing w:after="120"/>
        <w:rPr>
          <w:rFonts w:cs="Open Sans"/>
        </w:rPr>
      </w:pPr>
      <w:r w:rsidRPr="00F305E1">
        <w:rPr>
          <w:rFonts w:cs="Open Sans"/>
        </w:rPr>
        <w:t>the</w:t>
      </w:r>
      <w:r w:rsidR="005833FA" w:rsidRPr="00F305E1">
        <w:rPr>
          <w:rFonts w:cs="Open Sans"/>
        </w:rPr>
        <w:t xml:space="preserve"> a</w:t>
      </w:r>
      <w:r w:rsidR="00834B03" w:rsidRPr="00F305E1">
        <w:rPr>
          <w:rFonts w:cs="Open Sans"/>
        </w:rPr>
        <w:t xml:space="preserve">pplication of </w:t>
      </w:r>
      <w:r w:rsidR="006B27F4" w:rsidRPr="00F305E1">
        <w:rPr>
          <w:rFonts w:cs="Open Sans"/>
        </w:rPr>
        <w:t xml:space="preserve">the </w:t>
      </w:r>
      <w:r w:rsidR="002F5A38">
        <w:rPr>
          <w:rFonts w:cs="Open Sans"/>
        </w:rPr>
        <w:t>‘</w:t>
      </w:r>
      <w:r w:rsidR="006B27F4" w:rsidRPr="00F305E1">
        <w:rPr>
          <w:rFonts w:cs="Open Sans"/>
        </w:rPr>
        <w:t>systemic weakness</w:t>
      </w:r>
      <w:r w:rsidR="002F5A38">
        <w:rPr>
          <w:rFonts w:cs="Open Sans"/>
        </w:rPr>
        <w:t>’</w:t>
      </w:r>
      <w:r w:rsidR="006B27F4" w:rsidRPr="00F305E1">
        <w:rPr>
          <w:rFonts w:cs="Open Sans"/>
        </w:rPr>
        <w:t xml:space="preserve"> limitation in s 317ZG</w:t>
      </w:r>
      <w:r w:rsidR="006C0E27" w:rsidRPr="00F305E1">
        <w:rPr>
          <w:rFonts w:cs="Open Sans"/>
        </w:rPr>
        <w:t xml:space="preserve"> of the Telecommunications Act</w:t>
      </w:r>
      <w:r w:rsidR="00F661BC" w:rsidRPr="00F305E1">
        <w:rPr>
          <w:rFonts w:cs="Open Sans"/>
        </w:rPr>
        <w:t xml:space="preserve"> to TARs, </w:t>
      </w:r>
      <w:r w:rsidR="00CC60D4" w:rsidRPr="00F305E1">
        <w:rPr>
          <w:rFonts w:cs="Open Sans"/>
        </w:rPr>
        <w:t>which previousl</w:t>
      </w:r>
      <w:r w:rsidR="00F661BC" w:rsidRPr="00F305E1">
        <w:rPr>
          <w:rFonts w:cs="Open Sans"/>
        </w:rPr>
        <w:t>y applied only to TANs and TCNs</w:t>
      </w:r>
    </w:p>
    <w:p w14:paraId="64DB4E83" w14:textId="2DB83586" w:rsidR="00E9690A" w:rsidRPr="00F305E1" w:rsidRDefault="008C6B60" w:rsidP="00E9690A">
      <w:pPr>
        <w:pStyle w:val="NoSpacing"/>
        <w:numPr>
          <w:ilvl w:val="1"/>
          <w:numId w:val="38"/>
        </w:numPr>
        <w:spacing w:after="120"/>
        <w:rPr>
          <w:rFonts w:cs="Open Sans"/>
        </w:rPr>
      </w:pPr>
      <w:r w:rsidRPr="00F305E1">
        <w:rPr>
          <w:rFonts w:cs="Open Sans"/>
        </w:rPr>
        <w:t>the introduction</w:t>
      </w:r>
      <w:r w:rsidR="006B27F4" w:rsidRPr="00F305E1">
        <w:rPr>
          <w:rFonts w:cs="Open Sans"/>
        </w:rPr>
        <w:t xml:space="preserve"> of </w:t>
      </w:r>
      <w:r w:rsidR="007D36B6" w:rsidRPr="00F305E1">
        <w:rPr>
          <w:rFonts w:cs="Open Sans"/>
        </w:rPr>
        <w:t xml:space="preserve">the </w:t>
      </w:r>
      <w:r w:rsidR="006B27F4" w:rsidRPr="00F305E1">
        <w:rPr>
          <w:rFonts w:cs="Open Sans"/>
        </w:rPr>
        <w:t>decision-making criteria</w:t>
      </w:r>
      <w:r w:rsidR="007D36B6" w:rsidRPr="00F305E1">
        <w:rPr>
          <w:rFonts w:cs="Open Sans"/>
        </w:rPr>
        <w:t xml:space="preserve"> in ss </w:t>
      </w:r>
      <w:r w:rsidR="00B24680" w:rsidRPr="00F305E1">
        <w:rPr>
          <w:rFonts w:cs="Open Sans"/>
        </w:rPr>
        <w:t>317JAA and 317JC</w:t>
      </w:r>
      <w:r w:rsidR="00F661BC" w:rsidRPr="00F305E1">
        <w:rPr>
          <w:rFonts w:cs="Open Sans"/>
        </w:rPr>
        <w:t xml:space="preserve">, </w:t>
      </w:r>
      <w:r w:rsidRPr="00F305E1">
        <w:rPr>
          <w:rFonts w:cs="Open Sans"/>
        </w:rPr>
        <w:t xml:space="preserve">which prevent a TAR being issued unless the </w:t>
      </w:r>
      <w:r w:rsidR="00F661BC" w:rsidRPr="00F305E1">
        <w:rPr>
          <w:rFonts w:cs="Open Sans"/>
        </w:rPr>
        <w:t>decision</w:t>
      </w:r>
      <w:r w:rsidR="008C3E32">
        <w:rPr>
          <w:rFonts w:cs="Open Sans"/>
        </w:rPr>
        <w:t xml:space="preserve"> </w:t>
      </w:r>
      <w:r w:rsidR="00F661BC" w:rsidRPr="00F305E1">
        <w:rPr>
          <w:rFonts w:cs="Open Sans"/>
        </w:rPr>
        <w:t>maker is satisfied that the request is</w:t>
      </w:r>
      <w:r w:rsidRPr="00F305E1">
        <w:rPr>
          <w:rFonts w:cs="Open Sans"/>
        </w:rPr>
        <w:t xml:space="preserve"> </w:t>
      </w:r>
      <w:r w:rsidR="00F661BC" w:rsidRPr="00F305E1">
        <w:rPr>
          <w:rFonts w:cs="Open Sans"/>
        </w:rPr>
        <w:t xml:space="preserve">reasonable and </w:t>
      </w:r>
      <w:r w:rsidR="00F661BC" w:rsidRPr="00F305E1">
        <w:rPr>
          <w:rFonts w:cs="Open Sans"/>
        </w:rPr>
        <w:lastRenderedPageBreak/>
        <w:t>proportionate, and that compliance is practicable and technically feasible</w:t>
      </w:r>
    </w:p>
    <w:p w14:paraId="7A7DC399" w14:textId="0007CE73" w:rsidR="00C62057" w:rsidRPr="00F305E1" w:rsidRDefault="006B27F4" w:rsidP="00E9690A">
      <w:pPr>
        <w:pStyle w:val="NoSpacing"/>
        <w:numPr>
          <w:ilvl w:val="1"/>
          <w:numId w:val="38"/>
        </w:numPr>
        <w:spacing w:after="120"/>
        <w:rPr>
          <w:rFonts w:cs="Open Sans"/>
        </w:rPr>
      </w:pPr>
      <w:r w:rsidRPr="00F305E1">
        <w:rPr>
          <w:rFonts w:cs="Open Sans"/>
        </w:rPr>
        <w:t xml:space="preserve">the </w:t>
      </w:r>
      <w:r w:rsidR="008C6B60" w:rsidRPr="00F305E1">
        <w:rPr>
          <w:rFonts w:cs="Open Sans"/>
        </w:rPr>
        <w:t xml:space="preserve">application of the </w:t>
      </w:r>
      <w:r w:rsidRPr="00F305E1">
        <w:rPr>
          <w:rFonts w:cs="Open Sans"/>
        </w:rPr>
        <w:t>general limits in s</w:t>
      </w:r>
      <w:r w:rsidR="006C0E27" w:rsidRPr="00F305E1">
        <w:rPr>
          <w:rFonts w:cs="Open Sans"/>
        </w:rPr>
        <w:t> </w:t>
      </w:r>
      <w:r w:rsidRPr="00F305E1">
        <w:rPr>
          <w:rFonts w:cs="Open Sans"/>
        </w:rPr>
        <w:t>317ZH</w:t>
      </w:r>
      <w:r w:rsidR="00F661BC" w:rsidRPr="00F305E1">
        <w:rPr>
          <w:rFonts w:cs="Open Sans"/>
        </w:rPr>
        <w:t xml:space="preserve"> to TARs, </w:t>
      </w:r>
      <w:r w:rsidR="008C6B60" w:rsidRPr="00F305E1">
        <w:rPr>
          <w:rFonts w:cs="Open Sans"/>
        </w:rPr>
        <w:t>which previousl</w:t>
      </w:r>
      <w:r w:rsidR="00F661BC" w:rsidRPr="00F305E1">
        <w:rPr>
          <w:rFonts w:cs="Open Sans"/>
        </w:rPr>
        <w:t>y applied only to TANs and TCNs</w:t>
      </w:r>
    </w:p>
    <w:p w14:paraId="45C5ADB5" w14:textId="75291D65" w:rsidR="00834B03" w:rsidRPr="00F305E1" w:rsidRDefault="004561F7" w:rsidP="00940E3A">
      <w:pPr>
        <w:pStyle w:val="NoSpacing"/>
        <w:numPr>
          <w:ilvl w:val="0"/>
          <w:numId w:val="38"/>
        </w:numPr>
        <w:spacing w:after="120"/>
        <w:ind w:left="1077" w:hanging="357"/>
        <w:rPr>
          <w:rFonts w:cs="Open Sans"/>
        </w:rPr>
      </w:pPr>
      <w:r w:rsidRPr="00F305E1">
        <w:rPr>
          <w:rFonts w:cs="Open Sans"/>
        </w:rPr>
        <w:t>m</w:t>
      </w:r>
      <w:r w:rsidR="00834B03" w:rsidRPr="00F305E1">
        <w:rPr>
          <w:rFonts w:cs="Open Sans"/>
        </w:rPr>
        <w:t xml:space="preserve">inor </w:t>
      </w:r>
      <w:r w:rsidRPr="00F305E1">
        <w:rPr>
          <w:rFonts w:cs="Open Sans"/>
        </w:rPr>
        <w:t>revised</w:t>
      </w:r>
      <w:r w:rsidR="00834B03" w:rsidRPr="00F305E1">
        <w:rPr>
          <w:rFonts w:cs="Open Sans"/>
        </w:rPr>
        <w:t xml:space="preserve"> public reporting</w:t>
      </w:r>
      <w:r w:rsidRPr="00F305E1">
        <w:rPr>
          <w:rFonts w:cs="Open Sans"/>
        </w:rPr>
        <w:t xml:space="preserve"> requirements</w:t>
      </w:r>
      <w:r w:rsidR="009809F6" w:rsidRPr="00F305E1">
        <w:rPr>
          <w:rFonts w:cs="Open Sans"/>
        </w:rPr>
        <w:t>, including</w:t>
      </w:r>
      <w:r w:rsidRPr="00F305E1">
        <w:rPr>
          <w:rFonts w:cs="Open Sans"/>
        </w:rPr>
        <w:t xml:space="preserve"> </w:t>
      </w:r>
      <w:r w:rsidR="00D677D5" w:rsidRPr="00F305E1">
        <w:rPr>
          <w:rFonts w:cs="Open Sans"/>
        </w:rPr>
        <w:t xml:space="preserve">the introduction of a requirement for annual reports </w:t>
      </w:r>
      <w:r w:rsidRPr="00F305E1">
        <w:rPr>
          <w:rFonts w:cs="Open Sans"/>
        </w:rPr>
        <w:t xml:space="preserve">under s 317ZS </w:t>
      </w:r>
      <w:r w:rsidR="00D677D5" w:rsidRPr="00F305E1">
        <w:rPr>
          <w:rFonts w:cs="Open Sans"/>
        </w:rPr>
        <w:t xml:space="preserve">of the Telecommunications Act </w:t>
      </w:r>
      <w:r w:rsidRPr="00F305E1">
        <w:rPr>
          <w:rFonts w:cs="Open Sans"/>
        </w:rPr>
        <w:t xml:space="preserve">to state the kinds of serious Australian offences for which assistance powers </w:t>
      </w:r>
      <w:r w:rsidR="00D677D5" w:rsidRPr="00F305E1">
        <w:rPr>
          <w:rFonts w:cs="Open Sans"/>
        </w:rPr>
        <w:t xml:space="preserve">have been </w:t>
      </w:r>
      <w:r w:rsidRPr="00F305E1">
        <w:rPr>
          <w:rFonts w:cs="Open Sans"/>
        </w:rPr>
        <w:t xml:space="preserve">used—this </w:t>
      </w:r>
      <w:r w:rsidR="00534273" w:rsidRPr="00F305E1">
        <w:rPr>
          <w:rFonts w:cs="Open Sans"/>
        </w:rPr>
        <w:t xml:space="preserve">is a small improvement, but does not implement previous Recommendation 32 </w:t>
      </w:r>
      <w:r w:rsidR="0016582F">
        <w:rPr>
          <w:rFonts w:cs="Open Sans"/>
        </w:rPr>
        <w:t>which recommended</w:t>
      </w:r>
      <w:r w:rsidR="00534273" w:rsidRPr="00F305E1">
        <w:rPr>
          <w:rFonts w:cs="Open Sans"/>
        </w:rPr>
        <w:t xml:space="preserve"> detailed public reporting of statistical and other information</w:t>
      </w:r>
      <w:r w:rsidR="00D677D5" w:rsidRPr="00F305E1">
        <w:rPr>
          <w:rFonts w:cs="Open Sans"/>
        </w:rPr>
        <w:t xml:space="preserve"> about the use of TARs, TANs and TCNs</w:t>
      </w:r>
    </w:p>
    <w:p w14:paraId="4BA5CC99" w14:textId="1137DA4D" w:rsidR="00834B03" w:rsidRPr="00F305E1" w:rsidRDefault="00534273" w:rsidP="00940E3A">
      <w:pPr>
        <w:pStyle w:val="NoSpacing"/>
        <w:numPr>
          <w:ilvl w:val="0"/>
          <w:numId w:val="38"/>
        </w:numPr>
        <w:spacing w:after="120"/>
        <w:ind w:left="1077" w:hanging="357"/>
        <w:rPr>
          <w:rFonts w:cs="Open Sans"/>
        </w:rPr>
      </w:pPr>
      <w:r w:rsidRPr="00F305E1">
        <w:rPr>
          <w:rFonts w:cs="Open Sans"/>
        </w:rPr>
        <w:t>i</w:t>
      </w:r>
      <w:r w:rsidR="00834B03" w:rsidRPr="00F305E1">
        <w:rPr>
          <w:rFonts w:cs="Open Sans"/>
        </w:rPr>
        <w:t>mproved oversight powers for the Commonwealth Ombudsman and IGIS</w:t>
      </w:r>
      <w:r w:rsidR="00953A0D" w:rsidRPr="00F305E1">
        <w:rPr>
          <w:rFonts w:cs="Open Sans"/>
        </w:rPr>
        <w:t>, including through additional notification obligations</w:t>
      </w:r>
      <w:r w:rsidR="00D677D5" w:rsidRPr="00F305E1">
        <w:rPr>
          <w:rFonts w:cs="Open Sans"/>
        </w:rPr>
        <w:t xml:space="preserve"> placed on agencies when they utilise certain powers</w:t>
      </w:r>
      <w:r w:rsidR="00AB06F3" w:rsidRPr="00F305E1">
        <w:rPr>
          <w:rFonts w:cs="Open Sans"/>
        </w:rPr>
        <w:t>—</w:t>
      </w:r>
      <w:r w:rsidR="002359DF" w:rsidRPr="00F305E1">
        <w:rPr>
          <w:rFonts w:cs="Open Sans"/>
        </w:rPr>
        <w:t>this partially implements previous Recommendation</w:t>
      </w:r>
      <w:r w:rsidR="00AB06F3" w:rsidRPr="00F305E1">
        <w:rPr>
          <w:rFonts w:cs="Open Sans"/>
        </w:rPr>
        <w:t xml:space="preserve"> 27</w:t>
      </w:r>
    </w:p>
    <w:p w14:paraId="32A6ED3D" w14:textId="57A92952" w:rsidR="00834B03" w:rsidRPr="00F305E1" w:rsidRDefault="00AB06F3" w:rsidP="00940E3A">
      <w:pPr>
        <w:pStyle w:val="NoSpacing"/>
        <w:numPr>
          <w:ilvl w:val="0"/>
          <w:numId w:val="38"/>
        </w:numPr>
        <w:spacing w:after="120"/>
        <w:ind w:left="1077" w:hanging="357"/>
        <w:rPr>
          <w:rFonts w:cs="Open Sans"/>
        </w:rPr>
      </w:pPr>
      <w:r w:rsidRPr="00F305E1">
        <w:rPr>
          <w:rFonts w:cs="Open Sans"/>
        </w:rPr>
        <w:t xml:space="preserve">the </w:t>
      </w:r>
      <w:r w:rsidR="0083077D" w:rsidRPr="00F305E1">
        <w:rPr>
          <w:rFonts w:cs="Open Sans"/>
        </w:rPr>
        <w:t xml:space="preserve">introduction of the </w:t>
      </w:r>
      <w:r w:rsidRPr="00F305E1">
        <w:rPr>
          <w:rFonts w:cs="Open Sans"/>
        </w:rPr>
        <w:t xml:space="preserve">requirement </w:t>
      </w:r>
      <w:r w:rsidR="00215DEB" w:rsidRPr="00F305E1">
        <w:rPr>
          <w:rFonts w:cs="Open Sans"/>
        </w:rPr>
        <w:t xml:space="preserve">in s 317MAA </w:t>
      </w:r>
      <w:r w:rsidR="0083077D" w:rsidRPr="00F305E1">
        <w:rPr>
          <w:rFonts w:cs="Open Sans"/>
        </w:rPr>
        <w:t xml:space="preserve">of the Telecommunications Act </w:t>
      </w:r>
      <w:r w:rsidRPr="00F305E1">
        <w:rPr>
          <w:rFonts w:cs="Open Sans"/>
        </w:rPr>
        <w:t xml:space="preserve">to </w:t>
      </w:r>
      <w:r w:rsidR="00215DEB" w:rsidRPr="00F305E1">
        <w:rPr>
          <w:rFonts w:cs="Open Sans"/>
        </w:rPr>
        <w:t>advise a</w:t>
      </w:r>
      <w:r w:rsidR="00834B03" w:rsidRPr="00F305E1">
        <w:rPr>
          <w:rFonts w:cs="Open Sans"/>
        </w:rPr>
        <w:t xml:space="preserve"> provider of </w:t>
      </w:r>
      <w:r w:rsidRPr="00F305E1">
        <w:rPr>
          <w:rFonts w:cs="Open Sans"/>
        </w:rPr>
        <w:t xml:space="preserve">their </w:t>
      </w:r>
      <w:r w:rsidR="00834B03" w:rsidRPr="00F305E1">
        <w:rPr>
          <w:rFonts w:cs="Open Sans"/>
        </w:rPr>
        <w:t xml:space="preserve">right to make </w:t>
      </w:r>
      <w:r w:rsidR="005979DC">
        <w:rPr>
          <w:rFonts w:cs="Open Sans"/>
        </w:rPr>
        <w:t xml:space="preserve">a </w:t>
      </w:r>
      <w:r w:rsidR="00834B03" w:rsidRPr="00F305E1">
        <w:rPr>
          <w:rFonts w:cs="Open Sans"/>
        </w:rPr>
        <w:t>complaint</w:t>
      </w:r>
      <w:r w:rsidR="00215DEB" w:rsidRPr="00F305E1">
        <w:rPr>
          <w:rFonts w:cs="Open Sans"/>
        </w:rPr>
        <w:t xml:space="preserve"> with respect to a TAN</w:t>
      </w:r>
      <w:r w:rsidRPr="00F305E1">
        <w:rPr>
          <w:rFonts w:cs="Open Sans"/>
        </w:rPr>
        <w:t>—this partially implements previous</w:t>
      </w:r>
      <w:r w:rsidR="00215DEB" w:rsidRPr="00F305E1">
        <w:rPr>
          <w:rFonts w:cs="Open Sans"/>
        </w:rPr>
        <w:t xml:space="preserve"> Recommendation 19</w:t>
      </w:r>
      <w:r w:rsidRPr="00F305E1">
        <w:rPr>
          <w:rFonts w:cs="Open Sans"/>
        </w:rPr>
        <w:t xml:space="preserve"> but does not go so far as to require detailed written notification </w:t>
      </w:r>
      <w:r w:rsidR="00215DEB" w:rsidRPr="00F305E1">
        <w:rPr>
          <w:rFonts w:cs="Open Sans"/>
        </w:rPr>
        <w:t xml:space="preserve">to providers of </w:t>
      </w:r>
      <w:r w:rsidR="00C66701" w:rsidRPr="00F305E1">
        <w:rPr>
          <w:rFonts w:cs="Open Sans"/>
        </w:rPr>
        <w:t>relevant</w:t>
      </w:r>
      <w:r w:rsidRPr="00F305E1">
        <w:rPr>
          <w:rFonts w:cs="Open Sans"/>
        </w:rPr>
        <w:t xml:space="preserve"> information</w:t>
      </w:r>
      <w:r w:rsidR="00AE4AE2" w:rsidRPr="00F305E1">
        <w:rPr>
          <w:rFonts w:cs="Open Sans"/>
        </w:rPr>
        <w:t>;</w:t>
      </w:r>
      <w:r w:rsidR="00215DEB" w:rsidRPr="00F305E1">
        <w:rPr>
          <w:rFonts w:cs="Open Sans"/>
        </w:rPr>
        <w:t xml:space="preserve"> </w:t>
      </w:r>
      <w:r w:rsidR="00AE4AE2" w:rsidRPr="00F305E1">
        <w:rPr>
          <w:rFonts w:cs="Open Sans"/>
        </w:rPr>
        <w:t xml:space="preserve">the requirement </w:t>
      </w:r>
      <w:r w:rsidR="00215DEB" w:rsidRPr="00F305E1">
        <w:rPr>
          <w:rFonts w:cs="Open Sans"/>
        </w:rPr>
        <w:t>also d</w:t>
      </w:r>
      <w:r w:rsidR="00AA2C29" w:rsidRPr="00F305E1">
        <w:rPr>
          <w:rFonts w:cs="Open Sans"/>
        </w:rPr>
        <w:t>oes not apply to TARs</w:t>
      </w:r>
      <w:r w:rsidR="00C66701" w:rsidRPr="00F305E1">
        <w:rPr>
          <w:rFonts w:cs="Open Sans"/>
        </w:rPr>
        <w:t xml:space="preserve"> or TCNs</w:t>
      </w:r>
    </w:p>
    <w:p w14:paraId="1E6BD562" w14:textId="4F2FE72E" w:rsidR="00AA3256" w:rsidRPr="00F305E1" w:rsidRDefault="00AE4AE2" w:rsidP="00940E3A">
      <w:pPr>
        <w:pStyle w:val="NoSpacing"/>
        <w:numPr>
          <w:ilvl w:val="0"/>
          <w:numId w:val="38"/>
        </w:numPr>
        <w:spacing w:after="120"/>
        <w:ind w:left="1077" w:hanging="357"/>
        <w:rPr>
          <w:rFonts w:cs="Open Sans"/>
        </w:rPr>
      </w:pPr>
      <w:r w:rsidRPr="00F305E1">
        <w:rPr>
          <w:rFonts w:cs="Open Sans"/>
        </w:rPr>
        <w:t xml:space="preserve">the introduction of </w:t>
      </w:r>
      <w:r w:rsidR="00AB06F3" w:rsidRPr="00F305E1">
        <w:rPr>
          <w:rFonts w:cs="Open Sans"/>
        </w:rPr>
        <w:t>a</w:t>
      </w:r>
      <w:r w:rsidR="00C62057" w:rsidRPr="00F305E1">
        <w:rPr>
          <w:rFonts w:cs="Open Sans"/>
        </w:rPr>
        <w:t xml:space="preserve"> 12 month maximum</w:t>
      </w:r>
      <w:r w:rsidR="00AB06F3" w:rsidRPr="00F305E1">
        <w:rPr>
          <w:rFonts w:cs="Open Sans"/>
        </w:rPr>
        <w:t xml:space="preserve"> </w:t>
      </w:r>
      <w:r w:rsidR="006E46B8" w:rsidRPr="00F305E1">
        <w:rPr>
          <w:rFonts w:cs="Open Sans"/>
        </w:rPr>
        <w:t>time</w:t>
      </w:r>
      <w:r w:rsidR="00F838BB">
        <w:rPr>
          <w:rFonts w:cs="Open Sans"/>
        </w:rPr>
        <w:t xml:space="preserve"> </w:t>
      </w:r>
      <w:r w:rsidR="006E46B8" w:rsidRPr="00F305E1">
        <w:rPr>
          <w:rFonts w:cs="Open Sans"/>
        </w:rPr>
        <w:t xml:space="preserve">limit for the </w:t>
      </w:r>
      <w:r w:rsidR="00AB06F3" w:rsidRPr="00F305E1">
        <w:rPr>
          <w:rFonts w:cs="Open Sans"/>
        </w:rPr>
        <w:t xml:space="preserve">duration of </w:t>
      </w:r>
      <w:r w:rsidRPr="00F305E1">
        <w:rPr>
          <w:rFonts w:cs="Open Sans"/>
        </w:rPr>
        <w:t>TANs and TCNs</w:t>
      </w:r>
      <w:r w:rsidR="00CF7CFF" w:rsidRPr="00F305E1">
        <w:rPr>
          <w:rFonts w:cs="Open Sans"/>
        </w:rPr>
        <w:t xml:space="preserve">—this </w:t>
      </w:r>
      <w:r w:rsidR="00315DD3" w:rsidRPr="00F305E1">
        <w:rPr>
          <w:rFonts w:cs="Open Sans"/>
        </w:rPr>
        <w:t>partially</w:t>
      </w:r>
      <w:r w:rsidR="00CF7CFF" w:rsidRPr="00F305E1">
        <w:rPr>
          <w:rFonts w:cs="Open Sans"/>
        </w:rPr>
        <w:t xml:space="preserve"> implements previous Recommendations 12 and 13</w:t>
      </w:r>
      <w:r w:rsidR="00315DD3" w:rsidRPr="00F305E1">
        <w:rPr>
          <w:rFonts w:cs="Open Sans"/>
        </w:rPr>
        <w:t>, noti</w:t>
      </w:r>
      <w:r w:rsidR="00C62057" w:rsidRPr="00F305E1">
        <w:rPr>
          <w:rFonts w:cs="Open Sans"/>
        </w:rPr>
        <w:t>ng that there is no time</w:t>
      </w:r>
      <w:r w:rsidR="00B846B5">
        <w:rPr>
          <w:rFonts w:cs="Open Sans"/>
        </w:rPr>
        <w:t xml:space="preserve"> </w:t>
      </w:r>
      <w:r w:rsidR="00C62057" w:rsidRPr="00F305E1">
        <w:rPr>
          <w:rFonts w:cs="Open Sans"/>
        </w:rPr>
        <w:t>limit applicable to</w:t>
      </w:r>
      <w:r w:rsidR="00315DD3" w:rsidRPr="00F305E1">
        <w:rPr>
          <w:rFonts w:cs="Open Sans"/>
        </w:rPr>
        <w:t xml:space="preserve"> TARs</w:t>
      </w:r>
      <w:r w:rsidR="0008121D" w:rsidRPr="00F305E1">
        <w:rPr>
          <w:rFonts w:cs="Open Sans"/>
        </w:rPr>
        <w:t xml:space="preserve"> and no limit on the number of notices that can be issued as a whole</w:t>
      </w:r>
    </w:p>
    <w:p w14:paraId="3C6099AC" w14:textId="0B9697B1" w:rsidR="00F44415" w:rsidRPr="00F305E1" w:rsidRDefault="00F44415" w:rsidP="00940E3A">
      <w:pPr>
        <w:pStyle w:val="NoSpacing"/>
        <w:numPr>
          <w:ilvl w:val="0"/>
          <w:numId w:val="38"/>
        </w:numPr>
        <w:spacing w:after="120"/>
        <w:ind w:left="1077" w:hanging="357"/>
        <w:rPr>
          <w:rFonts w:cs="Open Sans"/>
        </w:rPr>
      </w:pPr>
      <w:r w:rsidRPr="00F305E1">
        <w:rPr>
          <w:rFonts w:cs="Open Sans"/>
        </w:rPr>
        <w:t xml:space="preserve">increased reporting and record-keeping obligations by ASIO and law enforcement agencies regarding the exercise of powers </w:t>
      </w:r>
      <w:r w:rsidR="00AE4AE2" w:rsidRPr="00F305E1">
        <w:rPr>
          <w:rFonts w:cs="Open Sans"/>
        </w:rPr>
        <w:t xml:space="preserve">introduced by </w:t>
      </w:r>
      <w:r w:rsidRPr="00F305E1">
        <w:rPr>
          <w:rFonts w:cs="Open Sans"/>
        </w:rPr>
        <w:t>Schedules 2–5 of the TOLA Act</w:t>
      </w:r>
    </w:p>
    <w:p w14:paraId="0D5FF4B8" w14:textId="479C9A69" w:rsidR="00AA3256" w:rsidRPr="00F305E1" w:rsidRDefault="00AE4AE2" w:rsidP="00940E3A">
      <w:pPr>
        <w:pStyle w:val="NoSpacing"/>
        <w:numPr>
          <w:ilvl w:val="0"/>
          <w:numId w:val="38"/>
        </w:numPr>
        <w:spacing w:after="120"/>
        <w:ind w:left="1077" w:hanging="357"/>
        <w:rPr>
          <w:rFonts w:cs="Open Sans"/>
        </w:rPr>
      </w:pPr>
      <w:r w:rsidRPr="00F305E1">
        <w:rPr>
          <w:rFonts w:cs="Open Sans"/>
        </w:rPr>
        <w:t xml:space="preserve">the extension of </w:t>
      </w:r>
      <w:r w:rsidR="00AA3256" w:rsidRPr="00F305E1">
        <w:rPr>
          <w:rFonts w:cs="Open Sans"/>
        </w:rPr>
        <w:t xml:space="preserve">limitation provisions </w:t>
      </w:r>
      <w:r w:rsidR="000B72B7" w:rsidRPr="00F305E1">
        <w:rPr>
          <w:rFonts w:cs="Open Sans"/>
        </w:rPr>
        <w:t xml:space="preserve">relating to </w:t>
      </w:r>
      <w:r w:rsidR="0065461D" w:rsidRPr="00F305E1">
        <w:rPr>
          <w:rFonts w:cs="Open Sans"/>
        </w:rPr>
        <w:t xml:space="preserve">material loss and material interference with the lawful use of a computer in ASIO and SD warrants </w:t>
      </w:r>
      <w:r w:rsidR="00AA3256" w:rsidRPr="00F305E1">
        <w:rPr>
          <w:rFonts w:cs="Open Sans"/>
        </w:rPr>
        <w:t xml:space="preserve">to concealment activities—this implements previous Recommendations 40 and 41. </w:t>
      </w:r>
    </w:p>
    <w:p w14:paraId="791F0722" w14:textId="52C33478" w:rsidR="000636A0" w:rsidRPr="00F305E1" w:rsidRDefault="0050324C" w:rsidP="004F4432">
      <w:pPr>
        <w:pStyle w:val="NoSpacing"/>
        <w:numPr>
          <w:ilvl w:val="0"/>
          <w:numId w:val="42"/>
        </w:numPr>
        <w:rPr>
          <w:rFonts w:cs="Open Sans"/>
        </w:rPr>
      </w:pPr>
      <w:r w:rsidRPr="00F305E1">
        <w:rPr>
          <w:rFonts w:cs="Open Sans"/>
        </w:rPr>
        <w:t xml:space="preserve">Notably, there have been no amendments to address the Commission’s concerns regarding the provision of broad civil and criminal immunities to providers </w:t>
      </w:r>
      <w:r w:rsidR="00085C9D" w:rsidRPr="00F305E1">
        <w:rPr>
          <w:rFonts w:cs="Open Sans"/>
        </w:rPr>
        <w:t xml:space="preserve">who </w:t>
      </w:r>
      <w:r w:rsidR="005B126C">
        <w:rPr>
          <w:rFonts w:cs="Open Sans"/>
        </w:rPr>
        <w:t xml:space="preserve">comply or </w:t>
      </w:r>
      <w:r w:rsidR="00085C9D" w:rsidRPr="00F305E1">
        <w:rPr>
          <w:rFonts w:cs="Open Sans"/>
        </w:rPr>
        <w:t xml:space="preserve">purportedly comply with TARs, TANs and TCNs </w:t>
      </w:r>
      <w:r w:rsidRPr="00F305E1">
        <w:rPr>
          <w:rFonts w:cs="Open Sans"/>
        </w:rPr>
        <w:t>(see previous Recommendations 21–24.</w:t>
      </w:r>
      <w:r w:rsidR="00191D3F" w:rsidRPr="00F305E1">
        <w:rPr>
          <w:rFonts w:cs="Open Sans"/>
        </w:rPr>
        <w:t>)</w:t>
      </w:r>
      <w:r w:rsidRPr="00F305E1">
        <w:rPr>
          <w:rFonts w:cs="Open Sans"/>
        </w:rPr>
        <w:t xml:space="preserve"> </w:t>
      </w:r>
      <w:r w:rsidR="004D4DEE" w:rsidRPr="00F305E1">
        <w:rPr>
          <w:rFonts w:cs="Open Sans"/>
        </w:rPr>
        <w:t xml:space="preserve">The </w:t>
      </w:r>
      <w:r w:rsidR="00085C9D" w:rsidRPr="00F305E1">
        <w:rPr>
          <w:rFonts w:cs="Open Sans"/>
        </w:rPr>
        <w:t xml:space="preserve">Commission’s previous </w:t>
      </w:r>
      <w:r w:rsidR="004D4DEE" w:rsidRPr="00F305E1">
        <w:rPr>
          <w:rFonts w:cs="Open Sans"/>
        </w:rPr>
        <w:t xml:space="preserve">recommendation </w:t>
      </w:r>
      <w:r w:rsidR="00085C9D" w:rsidRPr="00F305E1">
        <w:rPr>
          <w:rFonts w:cs="Open Sans"/>
        </w:rPr>
        <w:t xml:space="preserve">that the TOLA Bill </w:t>
      </w:r>
      <w:r w:rsidR="004D4DEE" w:rsidRPr="00F305E1">
        <w:rPr>
          <w:rFonts w:cs="Open Sans"/>
        </w:rPr>
        <w:t xml:space="preserve">adopt a harms-based approach to secrecy, and to expressly permit disclosure for certain public interest or </w:t>
      </w:r>
      <w:r w:rsidR="004D4DEE" w:rsidRPr="00F305E1">
        <w:rPr>
          <w:rFonts w:cs="Open Sans"/>
        </w:rPr>
        <w:lastRenderedPageBreak/>
        <w:t>integrity purposes, has also not been addressed (see previous Recommendations 25–27).</w:t>
      </w:r>
    </w:p>
    <w:p w14:paraId="672D1745" w14:textId="77777777" w:rsidR="0050324C" w:rsidRPr="00F305E1" w:rsidRDefault="0050324C" w:rsidP="00ED1AC1">
      <w:pPr>
        <w:pStyle w:val="NoSpacing"/>
        <w:ind w:left="360"/>
        <w:rPr>
          <w:rFonts w:cs="Open Sans"/>
        </w:rPr>
      </w:pPr>
    </w:p>
    <w:p w14:paraId="600D28DD" w14:textId="0EEA0F14" w:rsidR="00B539A5" w:rsidRPr="003B50D3" w:rsidRDefault="0050324C" w:rsidP="004F4432">
      <w:pPr>
        <w:pStyle w:val="NoSpacing"/>
        <w:numPr>
          <w:ilvl w:val="0"/>
          <w:numId w:val="42"/>
        </w:numPr>
        <w:rPr>
          <w:rFonts w:cs="Open Sans"/>
        </w:rPr>
      </w:pPr>
      <w:r w:rsidRPr="00F305E1">
        <w:rPr>
          <w:rFonts w:cs="Open Sans"/>
        </w:rPr>
        <w:t>Despite the above improvements</w:t>
      </w:r>
      <w:r w:rsidR="00891F6F" w:rsidRPr="00F305E1">
        <w:rPr>
          <w:rFonts w:cs="Open Sans"/>
        </w:rPr>
        <w:t>, t</w:t>
      </w:r>
      <w:r w:rsidR="004477AA" w:rsidRPr="00F305E1">
        <w:rPr>
          <w:rFonts w:cs="Open Sans"/>
        </w:rPr>
        <w:t xml:space="preserve">he </w:t>
      </w:r>
      <w:r w:rsidR="004477AA" w:rsidRPr="003B50D3">
        <w:rPr>
          <w:rFonts w:cs="Open Sans"/>
        </w:rPr>
        <w:t xml:space="preserve">Commission continues to </w:t>
      </w:r>
      <w:r w:rsidR="00891F6F" w:rsidRPr="003B50D3">
        <w:rPr>
          <w:rFonts w:cs="Open Sans"/>
        </w:rPr>
        <w:t xml:space="preserve">hold </w:t>
      </w:r>
      <w:r w:rsidR="003F596F">
        <w:rPr>
          <w:rFonts w:cs="Open Sans"/>
        </w:rPr>
        <w:t xml:space="preserve">serious </w:t>
      </w:r>
      <w:r w:rsidR="00891F6F" w:rsidRPr="003B50D3">
        <w:rPr>
          <w:rFonts w:cs="Open Sans"/>
        </w:rPr>
        <w:t>concerns</w:t>
      </w:r>
      <w:r w:rsidR="00333CF8" w:rsidRPr="003B50D3">
        <w:rPr>
          <w:rFonts w:cs="Open Sans"/>
        </w:rPr>
        <w:t xml:space="preserve"> </w:t>
      </w:r>
      <w:r w:rsidR="00B24680" w:rsidRPr="003B50D3">
        <w:rPr>
          <w:rFonts w:cs="Open Sans"/>
        </w:rPr>
        <w:t xml:space="preserve">that the </w:t>
      </w:r>
      <w:r w:rsidR="0082065D" w:rsidRPr="003B50D3">
        <w:rPr>
          <w:rFonts w:cs="Open Sans"/>
        </w:rPr>
        <w:t xml:space="preserve">legislative changes enacted by the TOLA Act are </w:t>
      </w:r>
      <w:r w:rsidR="00B24680" w:rsidRPr="003B50D3">
        <w:rPr>
          <w:rFonts w:cs="Open Sans"/>
        </w:rPr>
        <w:t xml:space="preserve">not sufficiently </w:t>
      </w:r>
      <w:r w:rsidR="00FA2B88" w:rsidRPr="003B50D3">
        <w:rPr>
          <w:rFonts w:cs="Open Sans"/>
        </w:rPr>
        <w:t>targeted and delimited</w:t>
      </w:r>
      <w:r w:rsidR="00B24680" w:rsidRPr="003B50D3">
        <w:rPr>
          <w:rFonts w:cs="Open Sans"/>
        </w:rPr>
        <w:t xml:space="preserve"> to be compatible with international human rights law. </w:t>
      </w:r>
    </w:p>
    <w:p w14:paraId="291ABC5F" w14:textId="77777777" w:rsidR="00B539A5" w:rsidRPr="003B50D3" w:rsidRDefault="00B539A5" w:rsidP="00B539A5">
      <w:pPr>
        <w:pStyle w:val="NoSpacing"/>
        <w:ind w:left="567"/>
        <w:rPr>
          <w:rFonts w:cs="Open Sans"/>
        </w:rPr>
      </w:pPr>
    </w:p>
    <w:p w14:paraId="0981CDDE" w14:textId="4A876856" w:rsidR="00EF7A8F" w:rsidRPr="00F305E1" w:rsidRDefault="00B539A5" w:rsidP="00616783">
      <w:pPr>
        <w:pStyle w:val="NoSpacing"/>
        <w:numPr>
          <w:ilvl w:val="0"/>
          <w:numId w:val="42"/>
        </w:numPr>
        <w:rPr>
          <w:rStyle w:val="Hyperlink"/>
          <w:rFonts w:cs="Open Sans"/>
          <w:sz w:val="22"/>
          <w:szCs w:val="22"/>
        </w:rPr>
      </w:pPr>
      <w:r w:rsidRPr="003B50D3">
        <w:rPr>
          <w:rFonts w:cs="Open Sans"/>
        </w:rPr>
        <w:t>The Commission</w:t>
      </w:r>
      <w:r w:rsidR="00474B70" w:rsidRPr="003B50D3">
        <w:rPr>
          <w:rFonts w:cs="Open Sans"/>
        </w:rPr>
        <w:t xml:space="preserve"> supports further review and reform of the </w:t>
      </w:r>
      <w:r w:rsidR="008A3640" w:rsidRPr="003B50D3">
        <w:rPr>
          <w:rFonts w:cs="Open Sans"/>
        </w:rPr>
        <w:t>TOLA</w:t>
      </w:r>
      <w:r w:rsidR="00474B70" w:rsidRPr="003B50D3">
        <w:rPr>
          <w:rFonts w:cs="Open Sans"/>
        </w:rPr>
        <w:t xml:space="preserve"> Act</w:t>
      </w:r>
      <w:r w:rsidRPr="003B50D3">
        <w:rPr>
          <w:rFonts w:cs="Open Sans"/>
        </w:rPr>
        <w:t>, consistent</w:t>
      </w:r>
      <w:r w:rsidR="00085C9D" w:rsidRPr="003B50D3">
        <w:rPr>
          <w:rFonts w:cs="Open Sans"/>
        </w:rPr>
        <w:t xml:space="preserve"> with </w:t>
      </w:r>
      <w:r w:rsidR="00D010DA" w:rsidRPr="003B50D3">
        <w:rPr>
          <w:rFonts w:cs="Open Sans"/>
        </w:rPr>
        <w:t xml:space="preserve">its </w:t>
      </w:r>
      <w:r w:rsidR="00085C9D" w:rsidRPr="003B50D3">
        <w:rPr>
          <w:rFonts w:cs="Open Sans"/>
        </w:rPr>
        <w:t xml:space="preserve">previous submission </w:t>
      </w:r>
      <w:r w:rsidR="0016582F" w:rsidRPr="003B50D3">
        <w:rPr>
          <w:rFonts w:cs="Open Sans"/>
        </w:rPr>
        <w:t>on the TOLA</w:t>
      </w:r>
      <w:r w:rsidR="0016582F">
        <w:rPr>
          <w:rFonts w:cs="Open Sans"/>
        </w:rPr>
        <w:t xml:space="preserve"> Bill </w:t>
      </w:r>
      <w:r w:rsidR="00085C9D" w:rsidRPr="00F305E1">
        <w:rPr>
          <w:rFonts w:cs="Open Sans"/>
        </w:rPr>
        <w:t>and all 54 of its previous recommendations.</w:t>
      </w:r>
    </w:p>
    <w:sectPr w:rsidR="00EF7A8F" w:rsidRPr="00F305E1" w:rsidSect="00211A47">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1134" w:right="1418" w:bottom="1531" w:left="1418" w:header="907" w:footer="28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25659" w16cid:durableId="2016BE53"/>
  <w16cid:commentId w16cid:paraId="6AE7AC02" w16cid:durableId="2016C98E"/>
  <w16cid:commentId w16cid:paraId="0A9BD652" w16cid:durableId="2016B786"/>
  <w16cid:commentId w16cid:paraId="38A56193" w16cid:durableId="2016B787"/>
  <w16cid:commentId w16cid:paraId="166E4581" w16cid:durableId="2016B788"/>
  <w16cid:commentId w16cid:paraId="6E67B8F9" w16cid:durableId="2016C3D2"/>
  <w16cid:commentId w16cid:paraId="3605F72A" w16cid:durableId="2016C5CE"/>
  <w16cid:commentId w16cid:paraId="3740130B" w16cid:durableId="2016B789"/>
  <w16cid:commentId w16cid:paraId="30276D48" w16cid:durableId="2016B78A"/>
  <w16cid:commentId w16cid:paraId="6FCB328E" w16cid:durableId="2016B78B"/>
  <w16cid:commentId w16cid:paraId="2A93160D" w16cid:durableId="2016B78C"/>
  <w16cid:commentId w16cid:paraId="4762620C" w16cid:durableId="2016C6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AAD4F" w14:textId="77777777" w:rsidR="000C120D" w:rsidRDefault="000C120D" w:rsidP="00F14C6D">
      <w:r>
        <w:separator/>
      </w:r>
    </w:p>
  </w:endnote>
  <w:endnote w:type="continuationSeparator" w:id="0">
    <w:p w14:paraId="0324194C" w14:textId="77777777" w:rsidR="000C120D" w:rsidRDefault="000C120D" w:rsidP="00F14C6D">
      <w:r>
        <w:continuationSeparator/>
      </w:r>
    </w:p>
  </w:endnote>
  <w:endnote w:id="1">
    <w:p w14:paraId="089522EB" w14:textId="3BB866F8" w:rsidR="004A40DA" w:rsidRPr="003B50D3" w:rsidRDefault="004A40DA" w:rsidP="004A40DA">
      <w:pPr>
        <w:pStyle w:val="EndnoteText"/>
        <w:spacing w:before="0" w:after="0"/>
        <w:rPr>
          <w:rFonts w:cs="Open Sans"/>
        </w:rPr>
      </w:pPr>
      <w:r w:rsidRPr="003B50D3">
        <w:rPr>
          <w:rStyle w:val="EndnoteReference"/>
          <w:rFonts w:cs="Open Sans"/>
        </w:rPr>
        <w:endnoteRef/>
      </w:r>
      <w:r w:rsidRPr="003B50D3">
        <w:rPr>
          <w:rFonts w:cs="Open Sans"/>
        </w:rPr>
        <w:t xml:space="preserve"> This limitation is discussed in detail in the Commission’s previous submission at Part 5.2.</w:t>
      </w:r>
    </w:p>
  </w:endnote>
  <w:endnote w:id="2">
    <w:p w14:paraId="784CFD9E" w14:textId="4D72433C" w:rsidR="004A40DA" w:rsidRPr="003B50D3" w:rsidRDefault="004A40DA" w:rsidP="004A40DA">
      <w:pPr>
        <w:pStyle w:val="EndnoteText"/>
        <w:spacing w:before="0" w:after="0"/>
        <w:rPr>
          <w:rFonts w:cs="Open Sans"/>
        </w:rPr>
      </w:pPr>
      <w:r w:rsidRPr="003B50D3">
        <w:rPr>
          <w:rStyle w:val="EndnoteReference"/>
          <w:rFonts w:cs="Open Sans"/>
        </w:rPr>
        <w:endnoteRef/>
      </w:r>
      <w:r w:rsidRPr="003B50D3">
        <w:rPr>
          <w:rFonts w:cs="Open Sans"/>
        </w:rPr>
        <w:t xml:space="preserve"> The need for a binding independent assessment was also recognised by the Committee in Recommendation 11 of its report on the TOLA Bill.</w:t>
      </w:r>
    </w:p>
  </w:endnote>
  <w:endnote w:id="3">
    <w:p w14:paraId="17DAAC4A" w14:textId="6E043D36" w:rsidR="004A40DA" w:rsidRPr="003B50D3" w:rsidRDefault="004A40DA" w:rsidP="004A40DA">
      <w:pPr>
        <w:pStyle w:val="EndnoteText"/>
        <w:spacing w:before="0" w:after="0"/>
        <w:rPr>
          <w:rFonts w:cs="Open Sans"/>
        </w:rPr>
      </w:pPr>
      <w:r w:rsidRPr="003B50D3">
        <w:rPr>
          <w:rStyle w:val="EndnoteReference"/>
          <w:rFonts w:cs="Open Sans"/>
        </w:rPr>
        <w:endnoteRef/>
      </w:r>
      <w:r w:rsidRPr="003B50D3">
        <w:rPr>
          <w:rFonts w:cs="Open Sans"/>
        </w:rPr>
        <w:t xml:space="preserve"> Under the TOLA Bill, this prohibition applied only to TANs and TCNs, while under the TOLA Act it has been expanded to also include TARs. Pursuant to s 317ZG(2)–(3), building or implementing a relevant weakness includes building a decryption capability, or taking action that would render systemic methods of authentication or encryption less effective.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HelveticaNeue-Light">
    <w:altName w:val="Helvetica 45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3EDC0" w14:textId="2DF5A8F3" w:rsidR="00616783" w:rsidRDefault="00616783" w:rsidP="0094169C">
    <w:pPr>
      <w:pStyle w:val="Footer"/>
      <w:jc w:val="right"/>
    </w:pPr>
    <w:r w:rsidRPr="00E94C73">
      <w:fldChar w:fldCharType="begin"/>
    </w:r>
    <w:r>
      <w:instrText xml:space="preserve"> PAGE   \* MERGEFORMAT </w:instrText>
    </w:r>
    <w:r w:rsidRPr="00E94C73">
      <w:fldChar w:fldCharType="separate"/>
    </w:r>
    <w:r w:rsidR="007A14E4">
      <w:rPr>
        <w:noProof/>
      </w:rPr>
      <w:t>8</w:t>
    </w:r>
    <w:r w:rsidRPr="00E94C7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F374" w14:textId="428AF79B" w:rsidR="00616783" w:rsidRDefault="00616783">
    <w:pPr>
      <w:pStyle w:val="Footer"/>
      <w:jc w:val="right"/>
    </w:pPr>
    <w:r>
      <w:fldChar w:fldCharType="begin"/>
    </w:r>
    <w:r>
      <w:instrText xml:space="preserve"> PAGE   \* MERGEFORMAT </w:instrText>
    </w:r>
    <w:r>
      <w:fldChar w:fldCharType="separate"/>
    </w:r>
    <w:r w:rsidR="007A14E4">
      <w:rPr>
        <w:noProof/>
      </w:rPr>
      <w:t>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Borders>
        <w:top w:val="single" w:sz="4" w:space="0" w:color="646464"/>
        <w:insideH w:val="single" w:sz="4" w:space="0" w:color="646464"/>
      </w:tblBorders>
      <w:tblLook w:val="00A0" w:firstRow="1" w:lastRow="0" w:firstColumn="1" w:lastColumn="0" w:noHBand="0" w:noVBand="0"/>
    </w:tblPr>
    <w:tblGrid>
      <w:gridCol w:w="2109"/>
      <w:gridCol w:w="1706"/>
      <w:gridCol w:w="2126"/>
      <w:gridCol w:w="1818"/>
      <w:gridCol w:w="1313"/>
    </w:tblGrid>
    <w:tr w:rsidR="00616783" w:rsidRPr="00CD0701" w14:paraId="3200F948" w14:textId="77777777" w:rsidTr="007410EC">
      <w:trPr>
        <w:jc w:val="center"/>
      </w:trPr>
      <w:tc>
        <w:tcPr>
          <w:tcW w:w="2109" w:type="dxa"/>
        </w:tcPr>
        <w:p w14:paraId="75AFCBB3" w14:textId="77777777" w:rsidR="00616783" w:rsidRPr="00CD0701" w:rsidRDefault="00616783" w:rsidP="003037FA">
          <w:pPr>
            <w:widowControl w:val="0"/>
            <w:tabs>
              <w:tab w:val="left" w:pos="5830"/>
            </w:tabs>
            <w:autoSpaceDE w:val="0"/>
            <w:autoSpaceDN w:val="0"/>
            <w:adjustRightInd w:val="0"/>
            <w:spacing w:before="0" w:after="0"/>
            <w:ind w:left="306"/>
            <w:textAlignment w:val="center"/>
            <w:rPr>
              <w:rFonts w:cs="HelveticaNeue-Light"/>
              <w:color w:val="646464"/>
              <w:sz w:val="10"/>
              <w:szCs w:val="10"/>
              <w:lang w:val="en-US" w:bidi="en-US"/>
            </w:rPr>
          </w:pPr>
        </w:p>
        <w:p w14:paraId="74269201"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Australian Human Rights</w:t>
          </w:r>
        </w:p>
        <w:p w14:paraId="06BC137F"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Commission</w:t>
          </w:r>
        </w:p>
        <w:p w14:paraId="7844AE99"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ABN 47 996 232 602</w:t>
          </w:r>
        </w:p>
      </w:tc>
      <w:tc>
        <w:tcPr>
          <w:tcW w:w="1706" w:type="dxa"/>
        </w:tcPr>
        <w:p w14:paraId="7DEB1E03"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3FEB51CD"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 xml:space="preserve">Level </w:t>
          </w:r>
          <w:r w:rsidRPr="00CD0701">
            <w:rPr>
              <w:rFonts w:cs="HelveticaNeue-Light" w:hint="eastAsia"/>
              <w:color w:val="646464"/>
              <w:sz w:val="16"/>
              <w:szCs w:val="16"/>
              <w:lang w:val="en-US" w:eastAsia="zh-CN" w:bidi="en-US"/>
            </w:rPr>
            <w:t>3</w:t>
          </w:r>
          <w:r w:rsidRPr="00CD0701">
            <w:rPr>
              <w:rFonts w:cs="HelveticaNeue-Light"/>
              <w:color w:val="646464"/>
              <w:sz w:val="16"/>
              <w:szCs w:val="16"/>
              <w:lang w:val="en-US" w:bidi="en-US"/>
            </w:rPr>
            <w:t xml:space="preserve"> </w:t>
          </w:r>
        </w:p>
        <w:p w14:paraId="41ADF0ED"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w:t>
          </w:r>
          <w:r w:rsidRPr="00CD0701">
            <w:rPr>
              <w:rFonts w:cs="HelveticaNeue-Light" w:hint="eastAsia"/>
              <w:color w:val="646464"/>
              <w:sz w:val="16"/>
              <w:szCs w:val="16"/>
              <w:lang w:val="en-US" w:eastAsia="zh-CN" w:bidi="en-US"/>
            </w:rPr>
            <w:t>75</w:t>
          </w:r>
          <w:r w:rsidRPr="00CD0701">
            <w:rPr>
              <w:rFonts w:cs="HelveticaNeue-Light"/>
              <w:color w:val="646464"/>
              <w:sz w:val="16"/>
              <w:szCs w:val="16"/>
              <w:lang w:val="en-US" w:bidi="en-US"/>
            </w:rPr>
            <w:t xml:space="preserve"> </w:t>
          </w:r>
          <w:r w:rsidRPr="00CD0701">
            <w:rPr>
              <w:rFonts w:cs="HelveticaNeue-Light" w:hint="eastAsia"/>
              <w:color w:val="646464"/>
              <w:sz w:val="16"/>
              <w:szCs w:val="16"/>
              <w:lang w:val="en-US" w:eastAsia="zh-CN" w:bidi="en-US"/>
            </w:rPr>
            <w:t>Pitt</w:t>
          </w:r>
          <w:r w:rsidRPr="00CD0701">
            <w:rPr>
              <w:rFonts w:cs="HelveticaNeue-Light"/>
              <w:color w:val="646464"/>
              <w:sz w:val="16"/>
              <w:szCs w:val="16"/>
              <w:lang w:val="en-US" w:bidi="en-US"/>
            </w:rPr>
            <w:t xml:space="preserve"> Street</w:t>
          </w:r>
        </w:p>
        <w:p w14:paraId="49008A91"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w:t>
          </w:r>
          <w:r w:rsidRPr="00CD0701">
            <w:rPr>
              <w:rFonts w:cs="HelveticaNeue-Light" w:hint="eastAsia"/>
              <w:color w:val="646464"/>
              <w:sz w:val="16"/>
              <w:szCs w:val="16"/>
              <w:lang w:val="en-US" w:eastAsia="zh-CN" w:bidi="en-US"/>
            </w:rPr>
            <w:t>0</w:t>
          </w:r>
        </w:p>
      </w:tc>
      <w:tc>
        <w:tcPr>
          <w:tcW w:w="2126" w:type="dxa"/>
        </w:tcPr>
        <w:p w14:paraId="34D0A7AE"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3BD913B"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GPO Box 5218</w:t>
          </w:r>
        </w:p>
        <w:p w14:paraId="5A796829"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Sydney NSW 2001</w:t>
          </w:r>
        </w:p>
        <w:p w14:paraId="7E9DE407"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www.humanrights.gov.au</w:t>
          </w:r>
        </w:p>
      </w:tc>
      <w:tc>
        <w:tcPr>
          <w:tcW w:w="1818" w:type="dxa"/>
        </w:tcPr>
        <w:p w14:paraId="0A41D968"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1B3E1DCF" w14:textId="77777777" w:rsidR="00616783" w:rsidRPr="00CD0701" w:rsidRDefault="00616783"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General enquiries</w:t>
          </w:r>
        </w:p>
        <w:p w14:paraId="390A5C6D" w14:textId="77777777" w:rsidR="00616783" w:rsidRPr="00CD0701" w:rsidRDefault="00616783"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Pr>
              <w:rFonts w:cs="HelveticaNeue-Light"/>
              <w:color w:val="646464"/>
              <w:sz w:val="16"/>
              <w:szCs w:val="16"/>
              <w:lang w:val="en-US" w:bidi="en-US"/>
            </w:rPr>
            <w:t>National Info Service</w:t>
          </w:r>
        </w:p>
        <w:p w14:paraId="5D888D59" w14:textId="77777777" w:rsidR="00616783" w:rsidRPr="00CD0701" w:rsidRDefault="00616783" w:rsidP="003037FA">
          <w:pPr>
            <w:widowControl w:val="0"/>
            <w:tabs>
              <w:tab w:val="left" w:pos="5830"/>
            </w:tabs>
            <w:autoSpaceDE w:val="0"/>
            <w:autoSpaceDN w:val="0"/>
            <w:adjustRightInd w:val="0"/>
            <w:spacing w:before="0" w:after="0"/>
            <w:ind w:left="52"/>
            <w:textAlignment w:val="center"/>
            <w:rPr>
              <w:rFonts w:cs="HelveticaNeue-Light"/>
              <w:color w:val="646464"/>
              <w:sz w:val="16"/>
              <w:szCs w:val="16"/>
              <w:lang w:val="en-US" w:bidi="en-US"/>
            </w:rPr>
          </w:pPr>
          <w:r w:rsidRPr="00CD0701">
            <w:rPr>
              <w:rFonts w:cs="HelveticaNeue-Light"/>
              <w:color w:val="646464"/>
              <w:sz w:val="16"/>
              <w:szCs w:val="16"/>
              <w:lang w:val="en-US" w:bidi="en-US"/>
            </w:rPr>
            <w:t>TTY</w:t>
          </w:r>
        </w:p>
      </w:tc>
      <w:tc>
        <w:tcPr>
          <w:tcW w:w="1313" w:type="dxa"/>
        </w:tcPr>
        <w:p w14:paraId="5AA381AC"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0"/>
              <w:szCs w:val="10"/>
              <w:lang w:val="en-US" w:bidi="en-US"/>
            </w:rPr>
          </w:pPr>
        </w:p>
        <w:p w14:paraId="4DB2845E"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1300 369 711</w:t>
          </w:r>
        </w:p>
        <w:p w14:paraId="548CDEAB"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1300 656 419</w:t>
          </w:r>
        </w:p>
        <w:p w14:paraId="3B471BC4" w14:textId="77777777" w:rsidR="00616783" w:rsidRPr="00CD0701" w:rsidRDefault="00616783" w:rsidP="003037FA">
          <w:pPr>
            <w:widowControl w:val="0"/>
            <w:tabs>
              <w:tab w:val="left" w:pos="5830"/>
            </w:tabs>
            <w:autoSpaceDE w:val="0"/>
            <w:autoSpaceDN w:val="0"/>
            <w:adjustRightInd w:val="0"/>
            <w:spacing w:before="0" w:after="0"/>
            <w:textAlignment w:val="center"/>
            <w:rPr>
              <w:rFonts w:cs="HelveticaNeue-Light"/>
              <w:color w:val="646464"/>
              <w:sz w:val="16"/>
              <w:szCs w:val="16"/>
              <w:lang w:val="en-US" w:bidi="en-US"/>
            </w:rPr>
          </w:pPr>
          <w:r w:rsidRPr="00CD0701">
            <w:rPr>
              <w:rFonts w:cs="HelveticaNeue-Light"/>
              <w:color w:val="646464"/>
              <w:sz w:val="16"/>
              <w:szCs w:val="16"/>
              <w:lang w:val="en-US" w:bidi="en-US"/>
            </w:rPr>
            <w:t>1800 620 241</w:t>
          </w:r>
        </w:p>
      </w:tc>
    </w:tr>
  </w:tbl>
  <w:p w14:paraId="6A681925" w14:textId="77777777" w:rsidR="00616783" w:rsidRPr="003037FA" w:rsidRDefault="00616783" w:rsidP="00303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3E4F" w14:textId="77777777" w:rsidR="000C120D" w:rsidRDefault="000C120D" w:rsidP="00F14C6D">
      <w:r>
        <w:separator/>
      </w:r>
    </w:p>
  </w:footnote>
  <w:footnote w:type="continuationSeparator" w:id="0">
    <w:p w14:paraId="5B747D28" w14:textId="77777777" w:rsidR="000C120D" w:rsidRDefault="000C120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29F40" w14:textId="77777777" w:rsidR="00616783" w:rsidRDefault="00616783">
    <w:pPr>
      <w:pStyle w:val="Header"/>
    </w:pPr>
    <w:r>
      <w:t>Australian Human Rights Commission</w:t>
    </w:r>
  </w:p>
  <w:p w14:paraId="6D741404" w14:textId="77777777" w:rsidR="00616783" w:rsidRDefault="00616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64E2" w14:textId="77777777" w:rsidR="00616783" w:rsidRDefault="00616783" w:rsidP="00C71D32">
    <w:pPr>
      <w:pStyle w:val="Header"/>
    </w:pPr>
    <w:r>
      <w:t>Australian Human Rights Commission</w:t>
    </w:r>
  </w:p>
  <w:p w14:paraId="4188E102" w14:textId="77777777" w:rsidR="00616783" w:rsidRDefault="00616783" w:rsidP="00C71D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106E" w14:textId="77777777" w:rsidR="00616783" w:rsidRDefault="00616783" w:rsidP="00E94C73">
    <w:pPr>
      <w:pStyle w:val="Header"/>
      <w:jc w:val="left"/>
    </w:pPr>
    <w:r w:rsidRPr="00E94C73">
      <w:rPr>
        <w:noProof/>
      </w:rPr>
      <w:drawing>
        <wp:inline distT="0" distB="0" distL="0" distR="0" wp14:anchorId="528290FC" wp14:editId="7600FE9E">
          <wp:extent cx="2180717" cy="742950"/>
          <wp:effectExtent l="0" t="0" r="0" b="0"/>
          <wp:docPr id="1" name="Picture 3" descr="Australian Human Rights Commission logo" title="AH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Human Rights Commission logo" title="AHRC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0590" cy="742950"/>
                  </a:xfrm>
                  <a:prstGeom prst="rect">
                    <a:avLst/>
                  </a:prstGeom>
                </pic:spPr>
              </pic:pic>
            </a:graphicData>
          </a:graphic>
        </wp:inline>
      </w:drawing>
    </w:r>
  </w:p>
  <w:p w14:paraId="55302067" w14:textId="77777777" w:rsidR="00616783" w:rsidRPr="00E94C73" w:rsidRDefault="00616783" w:rsidP="00E94C7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F081F10"/>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6C009348"/>
    <w:lvl w:ilvl="0">
      <w:numFmt w:val="decimal"/>
      <w:pStyle w:val="Dash"/>
      <w:lvlText w:val="*"/>
      <w:lvlJc w:val="left"/>
    </w:lvl>
  </w:abstractNum>
  <w:abstractNum w:abstractNumId="12" w15:restartNumberingAfterBreak="0">
    <w:nsid w:val="0989011E"/>
    <w:multiLevelType w:val="hybridMultilevel"/>
    <w:tmpl w:val="2A127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8B5152"/>
    <w:multiLevelType w:val="hybridMultilevel"/>
    <w:tmpl w:val="52AC1F44"/>
    <w:lvl w:ilvl="0" w:tplc="C6624C4E">
      <w:start w:val="1"/>
      <w:numFmt w:val="decimal"/>
      <w:lvlText w:val="%1."/>
      <w:lvlJc w:val="left"/>
      <w:pPr>
        <w:ind w:left="567" w:hanging="567"/>
      </w:pPr>
      <w:rPr>
        <w:rFonts w:hint="default"/>
        <w:b w:val="0"/>
        <w:color w:val="auto"/>
      </w:rPr>
    </w:lvl>
    <w:lvl w:ilvl="1" w:tplc="5DA8498C">
      <w:start w:val="1"/>
      <w:numFmt w:val="low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9222973"/>
    <w:multiLevelType w:val="hybridMultilevel"/>
    <w:tmpl w:val="E8E413CC"/>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045EB6"/>
    <w:multiLevelType w:val="hybridMultilevel"/>
    <w:tmpl w:val="54E2ECDE"/>
    <w:lvl w:ilvl="0" w:tplc="A24499D0">
      <w:start w:val="1"/>
      <w:numFmt w:val="decimal"/>
      <w:lvlText w:val="%1."/>
      <w:lvlJc w:val="left"/>
      <w:pPr>
        <w:ind w:left="567" w:hanging="567"/>
      </w:pPr>
      <w:rPr>
        <w:rFonts w:hint="default"/>
        <w:b w:val="0"/>
      </w:rPr>
    </w:lvl>
    <w:lvl w:ilvl="1" w:tplc="5DA8498C">
      <w:start w:val="1"/>
      <w:numFmt w:val="lowerRoman"/>
      <w:lvlText w:val="%2)"/>
      <w:lvlJc w:val="righ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35705520"/>
    <w:multiLevelType w:val="hybridMultilevel"/>
    <w:tmpl w:val="EC40E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7E0AD1"/>
    <w:multiLevelType w:val="hybridMultilevel"/>
    <w:tmpl w:val="472CC75E"/>
    <w:lvl w:ilvl="0" w:tplc="A24499D0">
      <w:start w:val="1"/>
      <w:numFmt w:val="decimal"/>
      <w:lvlText w:val="%1."/>
      <w:lvlJc w:val="left"/>
      <w:pPr>
        <w:ind w:left="567" w:hanging="567"/>
      </w:pPr>
      <w:rPr>
        <w:rFonts w:hint="default"/>
        <w:b w:val="0"/>
      </w:rPr>
    </w:lvl>
    <w:lvl w:ilvl="1" w:tplc="0C09000F">
      <w:start w:val="1"/>
      <w:numFmt w:val="decimal"/>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F8643A0"/>
    <w:multiLevelType w:val="hybridMultilevel"/>
    <w:tmpl w:val="07384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26A82"/>
    <w:multiLevelType w:val="hybridMultilevel"/>
    <w:tmpl w:val="72EAEE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FF7A73"/>
    <w:multiLevelType w:val="multilevel"/>
    <w:tmpl w:val="75C8E29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9"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A715A0F"/>
    <w:multiLevelType w:val="hybridMultilevel"/>
    <w:tmpl w:val="A7B8C0FA"/>
    <w:lvl w:ilvl="0" w:tplc="0C090017">
      <w:start w:val="9"/>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1042DB9"/>
    <w:multiLevelType w:val="hybridMultilevel"/>
    <w:tmpl w:val="8850CF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4" w15:restartNumberingAfterBreak="0">
    <w:nsid w:val="657452CF"/>
    <w:multiLevelType w:val="hybridMultilevel"/>
    <w:tmpl w:val="0A362D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99717AD"/>
    <w:multiLevelType w:val="hybridMultilevel"/>
    <w:tmpl w:val="E8E413CC"/>
    <w:lvl w:ilvl="0" w:tplc="0C090017">
      <w:start w:val="1"/>
      <w:numFmt w:val="lowerLetter"/>
      <w:lvlText w:val="%1)"/>
      <w:lvlJc w:val="left"/>
      <w:pPr>
        <w:ind w:left="993" w:hanging="360"/>
      </w:pPr>
      <w:rPr>
        <w:rFonts w:hint="default"/>
      </w:rPr>
    </w:lvl>
    <w:lvl w:ilvl="1" w:tplc="0C090003">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36" w15:restartNumberingAfterBreak="0">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0E556FE"/>
    <w:multiLevelType w:val="hybridMultilevel"/>
    <w:tmpl w:val="0A0E22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7"/>
  </w:num>
  <w:num w:numId="2">
    <w:abstractNumId w:val="26"/>
  </w:num>
  <w:num w:numId="3">
    <w:abstractNumId w:val="29"/>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27"/>
  </w:num>
  <w:num w:numId="18">
    <w:abstractNumId w:val="23"/>
  </w:num>
  <w:num w:numId="19">
    <w:abstractNumId w:val="15"/>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36"/>
  </w:num>
  <w:num w:numId="23">
    <w:abstractNumId w:val="38"/>
  </w:num>
  <w:num w:numId="24">
    <w:abstractNumId w:val="39"/>
  </w:num>
  <w:num w:numId="25">
    <w:abstractNumId w:val="1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3"/>
  </w:num>
  <w:num w:numId="31">
    <w:abstractNumId w:val="32"/>
  </w:num>
  <w:num w:numId="32">
    <w:abstractNumId w:val="19"/>
  </w:num>
  <w:num w:numId="33">
    <w:abstractNumId w:val="34"/>
  </w:num>
  <w:num w:numId="34">
    <w:abstractNumId w:val="25"/>
  </w:num>
  <w:num w:numId="35">
    <w:abstractNumId w:val="12"/>
  </w:num>
  <w:num w:numId="36">
    <w:abstractNumId w:val="21"/>
  </w:num>
  <w:num w:numId="37">
    <w:abstractNumId w:val="37"/>
  </w:num>
  <w:num w:numId="38">
    <w:abstractNumId w:val="35"/>
  </w:num>
  <w:num w:numId="39">
    <w:abstractNumId w:val="31"/>
  </w:num>
  <w:num w:numId="40">
    <w:abstractNumId w:val="18"/>
  </w:num>
  <w:num w:numId="41">
    <w:abstractNumId w:val="9"/>
  </w:num>
  <w:num w:numId="42">
    <w:abstractNumId w:val="13"/>
  </w:num>
  <w:num w:numId="43">
    <w:abstractNumId w:val="22"/>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cumentProtection w:edit="trackedChanges" w:formatting="1" w:enforcement="0"/>
  <w:defaultTabStop w:val="720"/>
  <w:evenAndOddHeaders/>
  <w:drawingGridHorizontalSpacing w:val="120"/>
  <w:displayHorizontalDrawingGridEvery w:val="2"/>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8E5"/>
    <w:rsid w:val="000002B8"/>
    <w:rsid w:val="00000871"/>
    <w:rsid w:val="000008A8"/>
    <w:rsid w:val="00006190"/>
    <w:rsid w:val="00011376"/>
    <w:rsid w:val="000155B1"/>
    <w:rsid w:val="00015759"/>
    <w:rsid w:val="00016045"/>
    <w:rsid w:val="00017622"/>
    <w:rsid w:val="00020CB1"/>
    <w:rsid w:val="00023244"/>
    <w:rsid w:val="000249E2"/>
    <w:rsid w:val="00024D9D"/>
    <w:rsid w:val="00031A24"/>
    <w:rsid w:val="00036CD6"/>
    <w:rsid w:val="00037F66"/>
    <w:rsid w:val="000402ED"/>
    <w:rsid w:val="00041650"/>
    <w:rsid w:val="00046755"/>
    <w:rsid w:val="00047979"/>
    <w:rsid w:val="0005111A"/>
    <w:rsid w:val="00051940"/>
    <w:rsid w:val="00051F4D"/>
    <w:rsid w:val="00053619"/>
    <w:rsid w:val="00056B62"/>
    <w:rsid w:val="000579B1"/>
    <w:rsid w:val="00061863"/>
    <w:rsid w:val="00061C63"/>
    <w:rsid w:val="000636A0"/>
    <w:rsid w:val="000642C5"/>
    <w:rsid w:val="0006516D"/>
    <w:rsid w:val="00066163"/>
    <w:rsid w:val="00067149"/>
    <w:rsid w:val="0007087A"/>
    <w:rsid w:val="00074B3E"/>
    <w:rsid w:val="00074D1A"/>
    <w:rsid w:val="00075A4D"/>
    <w:rsid w:val="000808C0"/>
    <w:rsid w:val="000809DD"/>
    <w:rsid w:val="0008121D"/>
    <w:rsid w:val="00084F51"/>
    <w:rsid w:val="00085AFA"/>
    <w:rsid w:val="00085C9D"/>
    <w:rsid w:val="00086E3B"/>
    <w:rsid w:val="00092239"/>
    <w:rsid w:val="00093A6D"/>
    <w:rsid w:val="0009413E"/>
    <w:rsid w:val="00094A0C"/>
    <w:rsid w:val="00094D3E"/>
    <w:rsid w:val="00097204"/>
    <w:rsid w:val="000A0152"/>
    <w:rsid w:val="000A137A"/>
    <w:rsid w:val="000A528D"/>
    <w:rsid w:val="000A7B7E"/>
    <w:rsid w:val="000B0A5D"/>
    <w:rsid w:val="000B34A4"/>
    <w:rsid w:val="000B38AF"/>
    <w:rsid w:val="000B53EE"/>
    <w:rsid w:val="000B6F51"/>
    <w:rsid w:val="000B72B7"/>
    <w:rsid w:val="000C120D"/>
    <w:rsid w:val="000C56FE"/>
    <w:rsid w:val="000C5ACF"/>
    <w:rsid w:val="000C69F4"/>
    <w:rsid w:val="000D0229"/>
    <w:rsid w:val="000D2F70"/>
    <w:rsid w:val="000D35DA"/>
    <w:rsid w:val="000D68E1"/>
    <w:rsid w:val="000D7C24"/>
    <w:rsid w:val="000E2CE3"/>
    <w:rsid w:val="000E38FA"/>
    <w:rsid w:val="000E4345"/>
    <w:rsid w:val="000F04D8"/>
    <w:rsid w:val="000F179B"/>
    <w:rsid w:val="000F603C"/>
    <w:rsid w:val="000F74E3"/>
    <w:rsid w:val="00105848"/>
    <w:rsid w:val="00117F80"/>
    <w:rsid w:val="00123209"/>
    <w:rsid w:val="001239A8"/>
    <w:rsid w:val="0012668C"/>
    <w:rsid w:val="001323E0"/>
    <w:rsid w:val="00132FFF"/>
    <w:rsid w:val="001334CB"/>
    <w:rsid w:val="00133F91"/>
    <w:rsid w:val="001373D3"/>
    <w:rsid w:val="0013775F"/>
    <w:rsid w:val="00140D18"/>
    <w:rsid w:val="00144F9E"/>
    <w:rsid w:val="001454BD"/>
    <w:rsid w:val="00147180"/>
    <w:rsid w:val="00150724"/>
    <w:rsid w:val="00153698"/>
    <w:rsid w:val="0015402D"/>
    <w:rsid w:val="00155354"/>
    <w:rsid w:val="00160927"/>
    <w:rsid w:val="00162A8D"/>
    <w:rsid w:val="00163CEE"/>
    <w:rsid w:val="0016582F"/>
    <w:rsid w:val="001662B6"/>
    <w:rsid w:val="00166C44"/>
    <w:rsid w:val="0017062B"/>
    <w:rsid w:val="00176220"/>
    <w:rsid w:val="00176E07"/>
    <w:rsid w:val="001806D7"/>
    <w:rsid w:val="00181378"/>
    <w:rsid w:val="00181FFD"/>
    <w:rsid w:val="00191D3F"/>
    <w:rsid w:val="00193FC2"/>
    <w:rsid w:val="0019642C"/>
    <w:rsid w:val="001A1041"/>
    <w:rsid w:val="001A24E6"/>
    <w:rsid w:val="001A27F4"/>
    <w:rsid w:val="001A335E"/>
    <w:rsid w:val="001A541E"/>
    <w:rsid w:val="001A6241"/>
    <w:rsid w:val="001A7724"/>
    <w:rsid w:val="001B0353"/>
    <w:rsid w:val="001B20CD"/>
    <w:rsid w:val="001B25B3"/>
    <w:rsid w:val="001B281E"/>
    <w:rsid w:val="001C0633"/>
    <w:rsid w:val="001C06C2"/>
    <w:rsid w:val="001C1B64"/>
    <w:rsid w:val="001C356B"/>
    <w:rsid w:val="001C555D"/>
    <w:rsid w:val="001C5C1A"/>
    <w:rsid w:val="001C5F11"/>
    <w:rsid w:val="001C7AA6"/>
    <w:rsid w:val="001D15D4"/>
    <w:rsid w:val="001D305E"/>
    <w:rsid w:val="001D3C44"/>
    <w:rsid w:val="001D5314"/>
    <w:rsid w:val="001D5AED"/>
    <w:rsid w:val="001D5B9D"/>
    <w:rsid w:val="001E195B"/>
    <w:rsid w:val="001E276C"/>
    <w:rsid w:val="001E3F4A"/>
    <w:rsid w:val="001E464F"/>
    <w:rsid w:val="001E5FAF"/>
    <w:rsid w:val="001F110E"/>
    <w:rsid w:val="001F2BBB"/>
    <w:rsid w:val="001F2C25"/>
    <w:rsid w:val="00200363"/>
    <w:rsid w:val="00201544"/>
    <w:rsid w:val="00201EFE"/>
    <w:rsid w:val="0020519C"/>
    <w:rsid w:val="0020588F"/>
    <w:rsid w:val="00207164"/>
    <w:rsid w:val="00210038"/>
    <w:rsid w:val="00211A47"/>
    <w:rsid w:val="00214DBF"/>
    <w:rsid w:val="00215015"/>
    <w:rsid w:val="00215DEB"/>
    <w:rsid w:val="00216A71"/>
    <w:rsid w:val="00220573"/>
    <w:rsid w:val="00221967"/>
    <w:rsid w:val="0022202B"/>
    <w:rsid w:val="00225B5A"/>
    <w:rsid w:val="0023487E"/>
    <w:rsid w:val="002359DF"/>
    <w:rsid w:val="00237106"/>
    <w:rsid w:val="00240EFA"/>
    <w:rsid w:val="0024238F"/>
    <w:rsid w:val="00242459"/>
    <w:rsid w:val="00243EB4"/>
    <w:rsid w:val="0024557E"/>
    <w:rsid w:val="002515B6"/>
    <w:rsid w:val="002530A4"/>
    <w:rsid w:val="00253BEA"/>
    <w:rsid w:val="00262BB3"/>
    <w:rsid w:val="0026360C"/>
    <w:rsid w:val="0026436C"/>
    <w:rsid w:val="00272CA7"/>
    <w:rsid w:val="00273A74"/>
    <w:rsid w:val="002762F6"/>
    <w:rsid w:val="00276BD6"/>
    <w:rsid w:val="00277468"/>
    <w:rsid w:val="002822A0"/>
    <w:rsid w:val="00283514"/>
    <w:rsid w:val="002866BE"/>
    <w:rsid w:val="00287997"/>
    <w:rsid w:val="002932DC"/>
    <w:rsid w:val="00296473"/>
    <w:rsid w:val="00296804"/>
    <w:rsid w:val="002A6632"/>
    <w:rsid w:val="002A6B8D"/>
    <w:rsid w:val="002B2E00"/>
    <w:rsid w:val="002B5243"/>
    <w:rsid w:val="002B6385"/>
    <w:rsid w:val="002B78AC"/>
    <w:rsid w:val="002C0C11"/>
    <w:rsid w:val="002C15A5"/>
    <w:rsid w:val="002C1C74"/>
    <w:rsid w:val="002C3CFE"/>
    <w:rsid w:val="002C537D"/>
    <w:rsid w:val="002D01AD"/>
    <w:rsid w:val="002D0C4F"/>
    <w:rsid w:val="002D5042"/>
    <w:rsid w:val="002D54E2"/>
    <w:rsid w:val="002E1678"/>
    <w:rsid w:val="002E78A7"/>
    <w:rsid w:val="002F1B08"/>
    <w:rsid w:val="002F3EAD"/>
    <w:rsid w:val="002F5A38"/>
    <w:rsid w:val="00300DE1"/>
    <w:rsid w:val="003037FA"/>
    <w:rsid w:val="0030525D"/>
    <w:rsid w:val="0030648F"/>
    <w:rsid w:val="00310ED4"/>
    <w:rsid w:val="0031492A"/>
    <w:rsid w:val="003151C3"/>
    <w:rsid w:val="00315484"/>
    <w:rsid w:val="00315DD3"/>
    <w:rsid w:val="00316C1A"/>
    <w:rsid w:val="00317AC6"/>
    <w:rsid w:val="00322EBB"/>
    <w:rsid w:val="00323BE9"/>
    <w:rsid w:val="00323F2D"/>
    <w:rsid w:val="00324372"/>
    <w:rsid w:val="00325FD6"/>
    <w:rsid w:val="003300EF"/>
    <w:rsid w:val="00331013"/>
    <w:rsid w:val="003311A7"/>
    <w:rsid w:val="003314FF"/>
    <w:rsid w:val="00333CF8"/>
    <w:rsid w:val="003341CA"/>
    <w:rsid w:val="00337D18"/>
    <w:rsid w:val="00340B0E"/>
    <w:rsid w:val="00343D91"/>
    <w:rsid w:val="003449CA"/>
    <w:rsid w:val="00344FD8"/>
    <w:rsid w:val="003506B1"/>
    <w:rsid w:val="00351F2F"/>
    <w:rsid w:val="003528A6"/>
    <w:rsid w:val="003551F0"/>
    <w:rsid w:val="003560A6"/>
    <w:rsid w:val="00360550"/>
    <w:rsid w:val="00366F42"/>
    <w:rsid w:val="00367046"/>
    <w:rsid w:val="0037168B"/>
    <w:rsid w:val="003731B3"/>
    <w:rsid w:val="00373EDC"/>
    <w:rsid w:val="00373FC4"/>
    <w:rsid w:val="00377CB6"/>
    <w:rsid w:val="0038116B"/>
    <w:rsid w:val="00382163"/>
    <w:rsid w:val="0038455C"/>
    <w:rsid w:val="00386706"/>
    <w:rsid w:val="003909AA"/>
    <w:rsid w:val="003913AF"/>
    <w:rsid w:val="0039235C"/>
    <w:rsid w:val="00396B37"/>
    <w:rsid w:val="003A08FE"/>
    <w:rsid w:val="003A1930"/>
    <w:rsid w:val="003A245D"/>
    <w:rsid w:val="003A4FBD"/>
    <w:rsid w:val="003A585B"/>
    <w:rsid w:val="003A6426"/>
    <w:rsid w:val="003A6FE4"/>
    <w:rsid w:val="003B27C0"/>
    <w:rsid w:val="003B50D3"/>
    <w:rsid w:val="003B5F2A"/>
    <w:rsid w:val="003C0F42"/>
    <w:rsid w:val="003C12AD"/>
    <w:rsid w:val="003C3D19"/>
    <w:rsid w:val="003C527F"/>
    <w:rsid w:val="003C5EEB"/>
    <w:rsid w:val="003D3316"/>
    <w:rsid w:val="003D4258"/>
    <w:rsid w:val="003D5FA0"/>
    <w:rsid w:val="003E14C2"/>
    <w:rsid w:val="003E6F0B"/>
    <w:rsid w:val="003E72D8"/>
    <w:rsid w:val="003E7C58"/>
    <w:rsid w:val="003F1A84"/>
    <w:rsid w:val="003F3D4D"/>
    <w:rsid w:val="003F596F"/>
    <w:rsid w:val="003F5C6C"/>
    <w:rsid w:val="003F6ECC"/>
    <w:rsid w:val="004060CB"/>
    <w:rsid w:val="00410758"/>
    <w:rsid w:val="00414203"/>
    <w:rsid w:val="00416307"/>
    <w:rsid w:val="004171DC"/>
    <w:rsid w:val="00431B46"/>
    <w:rsid w:val="00432BD3"/>
    <w:rsid w:val="00434037"/>
    <w:rsid w:val="00435C6A"/>
    <w:rsid w:val="00436164"/>
    <w:rsid w:val="00436828"/>
    <w:rsid w:val="00437423"/>
    <w:rsid w:val="00440D9F"/>
    <w:rsid w:val="00442461"/>
    <w:rsid w:val="00443D22"/>
    <w:rsid w:val="00444713"/>
    <w:rsid w:val="00444DAE"/>
    <w:rsid w:val="0044690C"/>
    <w:rsid w:val="004477AA"/>
    <w:rsid w:val="004510B9"/>
    <w:rsid w:val="00452182"/>
    <w:rsid w:val="004523B1"/>
    <w:rsid w:val="004528E5"/>
    <w:rsid w:val="004561F7"/>
    <w:rsid w:val="00457A1B"/>
    <w:rsid w:val="0046491B"/>
    <w:rsid w:val="004665F6"/>
    <w:rsid w:val="0047319A"/>
    <w:rsid w:val="004734DF"/>
    <w:rsid w:val="00474063"/>
    <w:rsid w:val="00474B70"/>
    <w:rsid w:val="00477917"/>
    <w:rsid w:val="00483B45"/>
    <w:rsid w:val="00484F87"/>
    <w:rsid w:val="0048614E"/>
    <w:rsid w:val="0048762B"/>
    <w:rsid w:val="00491C14"/>
    <w:rsid w:val="00493FF4"/>
    <w:rsid w:val="004940B8"/>
    <w:rsid w:val="004952DC"/>
    <w:rsid w:val="004963DC"/>
    <w:rsid w:val="0049732C"/>
    <w:rsid w:val="004A1097"/>
    <w:rsid w:val="004A1965"/>
    <w:rsid w:val="004A2177"/>
    <w:rsid w:val="004A3719"/>
    <w:rsid w:val="004A40DA"/>
    <w:rsid w:val="004B1A81"/>
    <w:rsid w:val="004B1EA1"/>
    <w:rsid w:val="004B3F64"/>
    <w:rsid w:val="004B4303"/>
    <w:rsid w:val="004B53F2"/>
    <w:rsid w:val="004D473B"/>
    <w:rsid w:val="004D4DEE"/>
    <w:rsid w:val="004D6BC5"/>
    <w:rsid w:val="004E1FA8"/>
    <w:rsid w:val="004E2643"/>
    <w:rsid w:val="004E4F81"/>
    <w:rsid w:val="004F26CF"/>
    <w:rsid w:val="004F409D"/>
    <w:rsid w:val="004F4432"/>
    <w:rsid w:val="004F5DAE"/>
    <w:rsid w:val="0050138D"/>
    <w:rsid w:val="00502D75"/>
    <w:rsid w:val="0050324C"/>
    <w:rsid w:val="005035E7"/>
    <w:rsid w:val="00506CCA"/>
    <w:rsid w:val="00510A3E"/>
    <w:rsid w:val="00511977"/>
    <w:rsid w:val="00513540"/>
    <w:rsid w:val="00515E2D"/>
    <w:rsid w:val="005224C8"/>
    <w:rsid w:val="00523EF3"/>
    <w:rsid w:val="005260C4"/>
    <w:rsid w:val="00533C30"/>
    <w:rsid w:val="00534273"/>
    <w:rsid w:val="00537DEB"/>
    <w:rsid w:val="00540297"/>
    <w:rsid w:val="005414CD"/>
    <w:rsid w:val="00541631"/>
    <w:rsid w:val="0055246D"/>
    <w:rsid w:val="005558C7"/>
    <w:rsid w:val="00564A32"/>
    <w:rsid w:val="0056504A"/>
    <w:rsid w:val="00566887"/>
    <w:rsid w:val="00566AEC"/>
    <w:rsid w:val="0057014C"/>
    <w:rsid w:val="0057396F"/>
    <w:rsid w:val="005747B5"/>
    <w:rsid w:val="00576BC6"/>
    <w:rsid w:val="00577ECA"/>
    <w:rsid w:val="00581C45"/>
    <w:rsid w:val="005833FA"/>
    <w:rsid w:val="005837B5"/>
    <w:rsid w:val="005852A5"/>
    <w:rsid w:val="00586C96"/>
    <w:rsid w:val="00587233"/>
    <w:rsid w:val="00591008"/>
    <w:rsid w:val="00594FC3"/>
    <w:rsid w:val="005979DC"/>
    <w:rsid w:val="005A0578"/>
    <w:rsid w:val="005A08D0"/>
    <w:rsid w:val="005A240C"/>
    <w:rsid w:val="005A29A5"/>
    <w:rsid w:val="005A3855"/>
    <w:rsid w:val="005A4906"/>
    <w:rsid w:val="005A5E39"/>
    <w:rsid w:val="005A6C80"/>
    <w:rsid w:val="005B0189"/>
    <w:rsid w:val="005B126C"/>
    <w:rsid w:val="005B1F4A"/>
    <w:rsid w:val="005B4AFA"/>
    <w:rsid w:val="005B50D7"/>
    <w:rsid w:val="005B611E"/>
    <w:rsid w:val="005B6732"/>
    <w:rsid w:val="005B6840"/>
    <w:rsid w:val="005C0C4C"/>
    <w:rsid w:val="005C401B"/>
    <w:rsid w:val="005C50FC"/>
    <w:rsid w:val="005C72C7"/>
    <w:rsid w:val="005C7806"/>
    <w:rsid w:val="005D1029"/>
    <w:rsid w:val="005D1F34"/>
    <w:rsid w:val="005E5A5B"/>
    <w:rsid w:val="005E659C"/>
    <w:rsid w:val="005E6F83"/>
    <w:rsid w:val="005E7A62"/>
    <w:rsid w:val="005E7D9D"/>
    <w:rsid w:val="005F36BE"/>
    <w:rsid w:val="005F7015"/>
    <w:rsid w:val="00600670"/>
    <w:rsid w:val="00604642"/>
    <w:rsid w:val="0060489B"/>
    <w:rsid w:val="00610DB1"/>
    <w:rsid w:val="00611AC8"/>
    <w:rsid w:val="0061324D"/>
    <w:rsid w:val="0061502D"/>
    <w:rsid w:val="00616783"/>
    <w:rsid w:val="006231E5"/>
    <w:rsid w:val="00625082"/>
    <w:rsid w:val="00626FC8"/>
    <w:rsid w:val="00631E72"/>
    <w:rsid w:val="00632C89"/>
    <w:rsid w:val="006330AC"/>
    <w:rsid w:val="0063356C"/>
    <w:rsid w:val="006353F9"/>
    <w:rsid w:val="00637DB4"/>
    <w:rsid w:val="006409C7"/>
    <w:rsid w:val="00645318"/>
    <w:rsid w:val="00650310"/>
    <w:rsid w:val="0065199B"/>
    <w:rsid w:val="006520BF"/>
    <w:rsid w:val="0065461D"/>
    <w:rsid w:val="006546CD"/>
    <w:rsid w:val="006553EF"/>
    <w:rsid w:val="00660D7C"/>
    <w:rsid w:val="00662108"/>
    <w:rsid w:val="00662246"/>
    <w:rsid w:val="00663FE3"/>
    <w:rsid w:val="00666CB6"/>
    <w:rsid w:val="006701D6"/>
    <w:rsid w:val="00672ADB"/>
    <w:rsid w:val="00672D8C"/>
    <w:rsid w:val="006743CB"/>
    <w:rsid w:val="00674827"/>
    <w:rsid w:val="00677233"/>
    <w:rsid w:val="00677645"/>
    <w:rsid w:val="00680B00"/>
    <w:rsid w:val="00681242"/>
    <w:rsid w:val="00681786"/>
    <w:rsid w:val="00683698"/>
    <w:rsid w:val="00683E78"/>
    <w:rsid w:val="00690436"/>
    <w:rsid w:val="0069088E"/>
    <w:rsid w:val="00693CFE"/>
    <w:rsid w:val="006A25B1"/>
    <w:rsid w:val="006A4178"/>
    <w:rsid w:val="006A5AD2"/>
    <w:rsid w:val="006A6BB3"/>
    <w:rsid w:val="006B19DF"/>
    <w:rsid w:val="006B2544"/>
    <w:rsid w:val="006B27F4"/>
    <w:rsid w:val="006B2A42"/>
    <w:rsid w:val="006B5ABB"/>
    <w:rsid w:val="006B5CD9"/>
    <w:rsid w:val="006B7B32"/>
    <w:rsid w:val="006C0E27"/>
    <w:rsid w:val="006C6741"/>
    <w:rsid w:val="006C70B4"/>
    <w:rsid w:val="006D5EE5"/>
    <w:rsid w:val="006E02E6"/>
    <w:rsid w:val="006E05C3"/>
    <w:rsid w:val="006E0692"/>
    <w:rsid w:val="006E2FE7"/>
    <w:rsid w:val="006E46B8"/>
    <w:rsid w:val="006F1E65"/>
    <w:rsid w:val="006F570A"/>
    <w:rsid w:val="006F5C10"/>
    <w:rsid w:val="007000F9"/>
    <w:rsid w:val="0070288B"/>
    <w:rsid w:val="00722144"/>
    <w:rsid w:val="00727AC4"/>
    <w:rsid w:val="00727DE5"/>
    <w:rsid w:val="00732664"/>
    <w:rsid w:val="00740E26"/>
    <w:rsid w:val="007410EC"/>
    <w:rsid w:val="007448CB"/>
    <w:rsid w:val="00747676"/>
    <w:rsid w:val="00750BB8"/>
    <w:rsid w:val="00753062"/>
    <w:rsid w:val="00755170"/>
    <w:rsid w:val="007606CC"/>
    <w:rsid w:val="00764A10"/>
    <w:rsid w:val="00765708"/>
    <w:rsid w:val="00765E4E"/>
    <w:rsid w:val="00770DCB"/>
    <w:rsid w:val="0077297D"/>
    <w:rsid w:val="0077302C"/>
    <w:rsid w:val="0077355C"/>
    <w:rsid w:val="007745ED"/>
    <w:rsid w:val="00775485"/>
    <w:rsid w:val="0078008A"/>
    <w:rsid w:val="007859B7"/>
    <w:rsid w:val="0079109C"/>
    <w:rsid w:val="00795E24"/>
    <w:rsid w:val="00797C9E"/>
    <w:rsid w:val="007A14E4"/>
    <w:rsid w:val="007A35D7"/>
    <w:rsid w:val="007A48E5"/>
    <w:rsid w:val="007A4AF6"/>
    <w:rsid w:val="007A4BDF"/>
    <w:rsid w:val="007A59EB"/>
    <w:rsid w:val="007A71E1"/>
    <w:rsid w:val="007B201B"/>
    <w:rsid w:val="007B446A"/>
    <w:rsid w:val="007B5F58"/>
    <w:rsid w:val="007C1D8B"/>
    <w:rsid w:val="007C3E58"/>
    <w:rsid w:val="007C598F"/>
    <w:rsid w:val="007C7056"/>
    <w:rsid w:val="007C7DF2"/>
    <w:rsid w:val="007D1ED4"/>
    <w:rsid w:val="007D28DD"/>
    <w:rsid w:val="007D36B6"/>
    <w:rsid w:val="007D54C0"/>
    <w:rsid w:val="007E129A"/>
    <w:rsid w:val="007E26BF"/>
    <w:rsid w:val="007E495E"/>
    <w:rsid w:val="007E7A99"/>
    <w:rsid w:val="007F4811"/>
    <w:rsid w:val="007F6BA7"/>
    <w:rsid w:val="00801C90"/>
    <w:rsid w:val="00802B0B"/>
    <w:rsid w:val="00815463"/>
    <w:rsid w:val="0081732D"/>
    <w:rsid w:val="0082065D"/>
    <w:rsid w:val="00821520"/>
    <w:rsid w:val="00821A8D"/>
    <w:rsid w:val="0082392A"/>
    <w:rsid w:val="00826C28"/>
    <w:rsid w:val="008276A7"/>
    <w:rsid w:val="0083077D"/>
    <w:rsid w:val="00834B03"/>
    <w:rsid w:val="00836A71"/>
    <w:rsid w:val="00843DA5"/>
    <w:rsid w:val="0084473F"/>
    <w:rsid w:val="0084631C"/>
    <w:rsid w:val="00850EC3"/>
    <w:rsid w:val="00850FC7"/>
    <w:rsid w:val="008511E3"/>
    <w:rsid w:val="0085469D"/>
    <w:rsid w:val="00860455"/>
    <w:rsid w:val="00860C16"/>
    <w:rsid w:val="0086149F"/>
    <w:rsid w:val="008614DB"/>
    <w:rsid w:val="00863A8F"/>
    <w:rsid w:val="00866E02"/>
    <w:rsid w:val="00867612"/>
    <w:rsid w:val="00870991"/>
    <w:rsid w:val="00870D4C"/>
    <w:rsid w:val="00871177"/>
    <w:rsid w:val="0087151D"/>
    <w:rsid w:val="008724DE"/>
    <w:rsid w:val="008736DB"/>
    <w:rsid w:val="00874DE2"/>
    <w:rsid w:val="008800B0"/>
    <w:rsid w:val="00884412"/>
    <w:rsid w:val="00884BDD"/>
    <w:rsid w:val="00886298"/>
    <w:rsid w:val="0088710D"/>
    <w:rsid w:val="00890C69"/>
    <w:rsid w:val="008913C2"/>
    <w:rsid w:val="00891F6F"/>
    <w:rsid w:val="0089214A"/>
    <w:rsid w:val="00896576"/>
    <w:rsid w:val="00896C13"/>
    <w:rsid w:val="008A3640"/>
    <w:rsid w:val="008A41A3"/>
    <w:rsid w:val="008A66C0"/>
    <w:rsid w:val="008A7DB4"/>
    <w:rsid w:val="008B3662"/>
    <w:rsid w:val="008B4C13"/>
    <w:rsid w:val="008B72B5"/>
    <w:rsid w:val="008C0F56"/>
    <w:rsid w:val="008C3002"/>
    <w:rsid w:val="008C3E32"/>
    <w:rsid w:val="008C4C65"/>
    <w:rsid w:val="008C6B60"/>
    <w:rsid w:val="008D0271"/>
    <w:rsid w:val="008D0E84"/>
    <w:rsid w:val="008D4B42"/>
    <w:rsid w:val="008D6140"/>
    <w:rsid w:val="008E050C"/>
    <w:rsid w:val="008E3D60"/>
    <w:rsid w:val="008E4A88"/>
    <w:rsid w:val="008E4F2E"/>
    <w:rsid w:val="008E675D"/>
    <w:rsid w:val="008F1101"/>
    <w:rsid w:val="008F7F98"/>
    <w:rsid w:val="0090165F"/>
    <w:rsid w:val="00907011"/>
    <w:rsid w:val="00907E82"/>
    <w:rsid w:val="00911686"/>
    <w:rsid w:val="00923520"/>
    <w:rsid w:val="009241C0"/>
    <w:rsid w:val="00926437"/>
    <w:rsid w:val="009323BF"/>
    <w:rsid w:val="0093538D"/>
    <w:rsid w:val="00940E3A"/>
    <w:rsid w:val="0094169C"/>
    <w:rsid w:val="009416B0"/>
    <w:rsid w:val="00945C1B"/>
    <w:rsid w:val="00951F17"/>
    <w:rsid w:val="00953633"/>
    <w:rsid w:val="00953A0D"/>
    <w:rsid w:val="00955ECB"/>
    <w:rsid w:val="00966C2F"/>
    <w:rsid w:val="00967D93"/>
    <w:rsid w:val="00967F81"/>
    <w:rsid w:val="009709E5"/>
    <w:rsid w:val="00971E76"/>
    <w:rsid w:val="00974980"/>
    <w:rsid w:val="009752FE"/>
    <w:rsid w:val="009809F6"/>
    <w:rsid w:val="00980EFC"/>
    <w:rsid w:val="00984A35"/>
    <w:rsid w:val="009876FA"/>
    <w:rsid w:val="0099011D"/>
    <w:rsid w:val="00993D45"/>
    <w:rsid w:val="00993ED5"/>
    <w:rsid w:val="009945B1"/>
    <w:rsid w:val="0099512E"/>
    <w:rsid w:val="00996273"/>
    <w:rsid w:val="00996405"/>
    <w:rsid w:val="009A03B5"/>
    <w:rsid w:val="009A0CF9"/>
    <w:rsid w:val="009A4B8C"/>
    <w:rsid w:val="009A5BCE"/>
    <w:rsid w:val="009A7EBB"/>
    <w:rsid w:val="009B03DA"/>
    <w:rsid w:val="009B58B1"/>
    <w:rsid w:val="009B7831"/>
    <w:rsid w:val="009C34FB"/>
    <w:rsid w:val="009C3FFD"/>
    <w:rsid w:val="009C55F5"/>
    <w:rsid w:val="009C6E61"/>
    <w:rsid w:val="009C7C9D"/>
    <w:rsid w:val="009D0908"/>
    <w:rsid w:val="009D5465"/>
    <w:rsid w:val="009E2AF1"/>
    <w:rsid w:val="009E4399"/>
    <w:rsid w:val="009E4A55"/>
    <w:rsid w:val="009F7A2B"/>
    <w:rsid w:val="00A00115"/>
    <w:rsid w:val="00A016FB"/>
    <w:rsid w:val="00A01B11"/>
    <w:rsid w:val="00A0406E"/>
    <w:rsid w:val="00A044E9"/>
    <w:rsid w:val="00A04D82"/>
    <w:rsid w:val="00A071EE"/>
    <w:rsid w:val="00A15361"/>
    <w:rsid w:val="00A1791F"/>
    <w:rsid w:val="00A218B4"/>
    <w:rsid w:val="00A2500B"/>
    <w:rsid w:val="00A25DB5"/>
    <w:rsid w:val="00A312FF"/>
    <w:rsid w:val="00A32F15"/>
    <w:rsid w:val="00A34440"/>
    <w:rsid w:val="00A35F12"/>
    <w:rsid w:val="00A41145"/>
    <w:rsid w:val="00A41355"/>
    <w:rsid w:val="00A4341A"/>
    <w:rsid w:val="00A43A9B"/>
    <w:rsid w:val="00A43B92"/>
    <w:rsid w:val="00A4438B"/>
    <w:rsid w:val="00A45E82"/>
    <w:rsid w:val="00A51988"/>
    <w:rsid w:val="00A5443C"/>
    <w:rsid w:val="00A55F14"/>
    <w:rsid w:val="00A6179E"/>
    <w:rsid w:val="00A63C77"/>
    <w:rsid w:val="00A65D6C"/>
    <w:rsid w:val="00A82155"/>
    <w:rsid w:val="00A82A12"/>
    <w:rsid w:val="00A91554"/>
    <w:rsid w:val="00A9225B"/>
    <w:rsid w:val="00A923A8"/>
    <w:rsid w:val="00A92CDB"/>
    <w:rsid w:val="00A95335"/>
    <w:rsid w:val="00A95778"/>
    <w:rsid w:val="00AA0D35"/>
    <w:rsid w:val="00AA2C29"/>
    <w:rsid w:val="00AA3256"/>
    <w:rsid w:val="00AA79EC"/>
    <w:rsid w:val="00AB06F3"/>
    <w:rsid w:val="00AB0BB1"/>
    <w:rsid w:val="00AB1BC0"/>
    <w:rsid w:val="00AB2969"/>
    <w:rsid w:val="00AB4694"/>
    <w:rsid w:val="00AC08FD"/>
    <w:rsid w:val="00AC1BD3"/>
    <w:rsid w:val="00AC2D8D"/>
    <w:rsid w:val="00AD481F"/>
    <w:rsid w:val="00AD6367"/>
    <w:rsid w:val="00AE0A15"/>
    <w:rsid w:val="00AE11BD"/>
    <w:rsid w:val="00AE404E"/>
    <w:rsid w:val="00AE47CC"/>
    <w:rsid w:val="00AE48F9"/>
    <w:rsid w:val="00AE4AE2"/>
    <w:rsid w:val="00AF2A3C"/>
    <w:rsid w:val="00AF60E4"/>
    <w:rsid w:val="00B02D74"/>
    <w:rsid w:val="00B06479"/>
    <w:rsid w:val="00B0666A"/>
    <w:rsid w:val="00B07284"/>
    <w:rsid w:val="00B10447"/>
    <w:rsid w:val="00B14726"/>
    <w:rsid w:val="00B15F40"/>
    <w:rsid w:val="00B20E75"/>
    <w:rsid w:val="00B24680"/>
    <w:rsid w:val="00B277E0"/>
    <w:rsid w:val="00B27B3D"/>
    <w:rsid w:val="00B30DC2"/>
    <w:rsid w:val="00B32BCA"/>
    <w:rsid w:val="00B350EB"/>
    <w:rsid w:val="00B35227"/>
    <w:rsid w:val="00B355D1"/>
    <w:rsid w:val="00B36AEC"/>
    <w:rsid w:val="00B36FDC"/>
    <w:rsid w:val="00B42577"/>
    <w:rsid w:val="00B42834"/>
    <w:rsid w:val="00B47D2E"/>
    <w:rsid w:val="00B539A5"/>
    <w:rsid w:val="00B53A65"/>
    <w:rsid w:val="00B53FDD"/>
    <w:rsid w:val="00B571BB"/>
    <w:rsid w:val="00B61070"/>
    <w:rsid w:val="00B65B15"/>
    <w:rsid w:val="00B81C4F"/>
    <w:rsid w:val="00B82826"/>
    <w:rsid w:val="00B82B34"/>
    <w:rsid w:val="00B846B5"/>
    <w:rsid w:val="00B868CD"/>
    <w:rsid w:val="00B86982"/>
    <w:rsid w:val="00B87B82"/>
    <w:rsid w:val="00B975FF"/>
    <w:rsid w:val="00BA06F3"/>
    <w:rsid w:val="00BA13A0"/>
    <w:rsid w:val="00BA262D"/>
    <w:rsid w:val="00BA5D48"/>
    <w:rsid w:val="00BA5F65"/>
    <w:rsid w:val="00BA7AF8"/>
    <w:rsid w:val="00BA7F8C"/>
    <w:rsid w:val="00BB31E9"/>
    <w:rsid w:val="00BB33BC"/>
    <w:rsid w:val="00BB354A"/>
    <w:rsid w:val="00BB42D9"/>
    <w:rsid w:val="00BB4AA7"/>
    <w:rsid w:val="00BC00F3"/>
    <w:rsid w:val="00BD077B"/>
    <w:rsid w:val="00BD400C"/>
    <w:rsid w:val="00BD5CE8"/>
    <w:rsid w:val="00BF141B"/>
    <w:rsid w:val="00BF1AB5"/>
    <w:rsid w:val="00BF1C1B"/>
    <w:rsid w:val="00BF2A00"/>
    <w:rsid w:val="00BF2FFF"/>
    <w:rsid w:val="00C04B76"/>
    <w:rsid w:val="00C1300E"/>
    <w:rsid w:val="00C13B3E"/>
    <w:rsid w:val="00C13CAD"/>
    <w:rsid w:val="00C14914"/>
    <w:rsid w:val="00C205A7"/>
    <w:rsid w:val="00C22557"/>
    <w:rsid w:val="00C22712"/>
    <w:rsid w:val="00C23F40"/>
    <w:rsid w:val="00C25BDA"/>
    <w:rsid w:val="00C27AEC"/>
    <w:rsid w:val="00C31BEF"/>
    <w:rsid w:val="00C34843"/>
    <w:rsid w:val="00C35883"/>
    <w:rsid w:val="00C37139"/>
    <w:rsid w:val="00C43F2E"/>
    <w:rsid w:val="00C44D10"/>
    <w:rsid w:val="00C51A07"/>
    <w:rsid w:val="00C52035"/>
    <w:rsid w:val="00C55102"/>
    <w:rsid w:val="00C5654B"/>
    <w:rsid w:val="00C5688B"/>
    <w:rsid w:val="00C5708D"/>
    <w:rsid w:val="00C612A4"/>
    <w:rsid w:val="00C61601"/>
    <w:rsid w:val="00C62057"/>
    <w:rsid w:val="00C63742"/>
    <w:rsid w:val="00C64A1D"/>
    <w:rsid w:val="00C66701"/>
    <w:rsid w:val="00C667AF"/>
    <w:rsid w:val="00C67CF6"/>
    <w:rsid w:val="00C7043E"/>
    <w:rsid w:val="00C71D32"/>
    <w:rsid w:val="00C73CA0"/>
    <w:rsid w:val="00C80517"/>
    <w:rsid w:val="00C82B14"/>
    <w:rsid w:val="00C87F1C"/>
    <w:rsid w:val="00CA0D78"/>
    <w:rsid w:val="00CA10D6"/>
    <w:rsid w:val="00CA29D6"/>
    <w:rsid w:val="00CA737C"/>
    <w:rsid w:val="00CA7838"/>
    <w:rsid w:val="00CA7BC5"/>
    <w:rsid w:val="00CB23FC"/>
    <w:rsid w:val="00CB357D"/>
    <w:rsid w:val="00CB518B"/>
    <w:rsid w:val="00CB57E4"/>
    <w:rsid w:val="00CC01D8"/>
    <w:rsid w:val="00CC139F"/>
    <w:rsid w:val="00CC1B4F"/>
    <w:rsid w:val="00CC49AB"/>
    <w:rsid w:val="00CC51A2"/>
    <w:rsid w:val="00CC60D4"/>
    <w:rsid w:val="00CD2C3D"/>
    <w:rsid w:val="00CD5202"/>
    <w:rsid w:val="00CE4903"/>
    <w:rsid w:val="00CE52C1"/>
    <w:rsid w:val="00CE6E53"/>
    <w:rsid w:val="00CF17A2"/>
    <w:rsid w:val="00CF3642"/>
    <w:rsid w:val="00CF7CFF"/>
    <w:rsid w:val="00D010DA"/>
    <w:rsid w:val="00D04AE0"/>
    <w:rsid w:val="00D0574B"/>
    <w:rsid w:val="00D06D9A"/>
    <w:rsid w:val="00D12C57"/>
    <w:rsid w:val="00D1390E"/>
    <w:rsid w:val="00D171D4"/>
    <w:rsid w:val="00D174C2"/>
    <w:rsid w:val="00D178DE"/>
    <w:rsid w:val="00D25C37"/>
    <w:rsid w:val="00D264D3"/>
    <w:rsid w:val="00D274E6"/>
    <w:rsid w:val="00D278D5"/>
    <w:rsid w:val="00D3029D"/>
    <w:rsid w:val="00D31BD1"/>
    <w:rsid w:val="00D32F6D"/>
    <w:rsid w:val="00D34CD1"/>
    <w:rsid w:val="00D36754"/>
    <w:rsid w:val="00D416FD"/>
    <w:rsid w:val="00D41C6C"/>
    <w:rsid w:val="00D42019"/>
    <w:rsid w:val="00D4218D"/>
    <w:rsid w:val="00D435ED"/>
    <w:rsid w:val="00D461DA"/>
    <w:rsid w:val="00D52509"/>
    <w:rsid w:val="00D5283F"/>
    <w:rsid w:val="00D55F9C"/>
    <w:rsid w:val="00D56329"/>
    <w:rsid w:val="00D5682C"/>
    <w:rsid w:val="00D57831"/>
    <w:rsid w:val="00D6068A"/>
    <w:rsid w:val="00D60E80"/>
    <w:rsid w:val="00D65207"/>
    <w:rsid w:val="00D65C76"/>
    <w:rsid w:val="00D677D5"/>
    <w:rsid w:val="00D7119B"/>
    <w:rsid w:val="00D714A2"/>
    <w:rsid w:val="00D71BAE"/>
    <w:rsid w:val="00D727B7"/>
    <w:rsid w:val="00D73375"/>
    <w:rsid w:val="00D734D0"/>
    <w:rsid w:val="00D7778A"/>
    <w:rsid w:val="00D842E3"/>
    <w:rsid w:val="00D84E82"/>
    <w:rsid w:val="00D85D54"/>
    <w:rsid w:val="00D85D75"/>
    <w:rsid w:val="00D8660A"/>
    <w:rsid w:val="00D86B49"/>
    <w:rsid w:val="00D87907"/>
    <w:rsid w:val="00D900D0"/>
    <w:rsid w:val="00D92652"/>
    <w:rsid w:val="00D93E6A"/>
    <w:rsid w:val="00D958A3"/>
    <w:rsid w:val="00D95AB7"/>
    <w:rsid w:val="00D976E0"/>
    <w:rsid w:val="00D97E39"/>
    <w:rsid w:val="00DA2F73"/>
    <w:rsid w:val="00DA4ABF"/>
    <w:rsid w:val="00DB5C96"/>
    <w:rsid w:val="00DC1629"/>
    <w:rsid w:val="00DC28DC"/>
    <w:rsid w:val="00DC2F7B"/>
    <w:rsid w:val="00DC462F"/>
    <w:rsid w:val="00DC6108"/>
    <w:rsid w:val="00DC6719"/>
    <w:rsid w:val="00DC7280"/>
    <w:rsid w:val="00DD1226"/>
    <w:rsid w:val="00DD1B99"/>
    <w:rsid w:val="00DD1EB5"/>
    <w:rsid w:val="00DD2B3D"/>
    <w:rsid w:val="00DD7D3E"/>
    <w:rsid w:val="00DE047A"/>
    <w:rsid w:val="00DE35B5"/>
    <w:rsid w:val="00DE3995"/>
    <w:rsid w:val="00DE4A25"/>
    <w:rsid w:val="00DE51A2"/>
    <w:rsid w:val="00DE549A"/>
    <w:rsid w:val="00E01ACF"/>
    <w:rsid w:val="00E03BAA"/>
    <w:rsid w:val="00E042D4"/>
    <w:rsid w:val="00E043B9"/>
    <w:rsid w:val="00E05AE7"/>
    <w:rsid w:val="00E06B41"/>
    <w:rsid w:val="00E0764B"/>
    <w:rsid w:val="00E07E59"/>
    <w:rsid w:val="00E10C46"/>
    <w:rsid w:val="00E131AD"/>
    <w:rsid w:val="00E14A38"/>
    <w:rsid w:val="00E16F40"/>
    <w:rsid w:val="00E24FA3"/>
    <w:rsid w:val="00E250A8"/>
    <w:rsid w:val="00E25386"/>
    <w:rsid w:val="00E26888"/>
    <w:rsid w:val="00E27CA9"/>
    <w:rsid w:val="00E31C9B"/>
    <w:rsid w:val="00E36B41"/>
    <w:rsid w:val="00E40EFF"/>
    <w:rsid w:val="00E43BDD"/>
    <w:rsid w:val="00E45954"/>
    <w:rsid w:val="00E461D5"/>
    <w:rsid w:val="00E46BB2"/>
    <w:rsid w:val="00E50E67"/>
    <w:rsid w:val="00E55276"/>
    <w:rsid w:val="00E57F61"/>
    <w:rsid w:val="00E6127C"/>
    <w:rsid w:val="00E6493E"/>
    <w:rsid w:val="00E66355"/>
    <w:rsid w:val="00E66EBB"/>
    <w:rsid w:val="00E71E02"/>
    <w:rsid w:val="00E7332F"/>
    <w:rsid w:val="00E741C2"/>
    <w:rsid w:val="00E90E9A"/>
    <w:rsid w:val="00E919CB"/>
    <w:rsid w:val="00E9357E"/>
    <w:rsid w:val="00E93ACA"/>
    <w:rsid w:val="00E94C73"/>
    <w:rsid w:val="00E9690A"/>
    <w:rsid w:val="00E96F93"/>
    <w:rsid w:val="00E973C1"/>
    <w:rsid w:val="00EA0019"/>
    <w:rsid w:val="00EA0E2C"/>
    <w:rsid w:val="00EA2513"/>
    <w:rsid w:val="00EA4374"/>
    <w:rsid w:val="00EA611A"/>
    <w:rsid w:val="00EA7DEA"/>
    <w:rsid w:val="00EB00AC"/>
    <w:rsid w:val="00EB215E"/>
    <w:rsid w:val="00EB5ED8"/>
    <w:rsid w:val="00EB747A"/>
    <w:rsid w:val="00EC098C"/>
    <w:rsid w:val="00EC194E"/>
    <w:rsid w:val="00EC425C"/>
    <w:rsid w:val="00EC64F2"/>
    <w:rsid w:val="00ED089D"/>
    <w:rsid w:val="00ED1AC1"/>
    <w:rsid w:val="00ED534E"/>
    <w:rsid w:val="00ED7C47"/>
    <w:rsid w:val="00ED7C9F"/>
    <w:rsid w:val="00EE240D"/>
    <w:rsid w:val="00EE34C4"/>
    <w:rsid w:val="00EE50BC"/>
    <w:rsid w:val="00EE5551"/>
    <w:rsid w:val="00EE5B94"/>
    <w:rsid w:val="00EE7B19"/>
    <w:rsid w:val="00EF1261"/>
    <w:rsid w:val="00EF1991"/>
    <w:rsid w:val="00EF2838"/>
    <w:rsid w:val="00EF529B"/>
    <w:rsid w:val="00EF7A8F"/>
    <w:rsid w:val="00F00204"/>
    <w:rsid w:val="00F04776"/>
    <w:rsid w:val="00F14C6D"/>
    <w:rsid w:val="00F238D4"/>
    <w:rsid w:val="00F305E1"/>
    <w:rsid w:val="00F3078B"/>
    <w:rsid w:val="00F334EB"/>
    <w:rsid w:val="00F356AF"/>
    <w:rsid w:val="00F35D12"/>
    <w:rsid w:val="00F36CD1"/>
    <w:rsid w:val="00F44415"/>
    <w:rsid w:val="00F444A8"/>
    <w:rsid w:val="00F44EAC"/>
    <w:rsid w:val="00F46DB0"/>
    <w:rsid w:val="00F53464"/>
    <w:rsid w:val="00F54009"/>
    <w:rsid w:val="00F5468B"/>
    <w:rsid w:val="00F56BBB"/>
    <w:rsid w:val="00F57036"/>
    <w:rsid w:val="00F61B14"/>
    <w:rsid w:val="00F61E4C"/>
    <w:rsid w:val="00F631E7"/>
    <w:rsid w:val="00F63678"/>
    <w:rsid w:val="00F64523"/>
    <w:rsid w:val="00F661BC"/>
    <w:rsid w:val="00F67D3F"/>
    <w:rsid w:val="00F744BA"/>
    <w:rsid w:val="00F75104"/>
    <w:rsid w:val="00F81C73"/>
    <w:rsid w:val="00F838BB"/>
    <w:rsid w:val="00F85C9B"/>
    <w:rsid w:val="00F937C2"/>
    <w:rsid w:val="00F94442"/>
    <w:rsid w:val="00F96AAE"/>
    <w:rsid w:val="00FA17D3"/>
    <w:rsid w:val="00FA2409"/>
    <w:rsid w:val="00FA2437"/>
    <w:rsid w:val="00FA2B88"/>
    <w:rsid w:val="00FA4E23"/>
    <w:rsid w:val="00FA4FEE"/>
    <w:rsid w:val="00FA6159"/>
    <w:rsid w:val="00FA61AF"/>
    <w:rsid w:val="00FB0955"/>
    <w:rsid w:val="00FB625D"/>
    <w:rsid w:val="00FB635F"/>
    <w:rsid w:val="00FC198F"/>
    <w:rsid w:val="00FC3F0C"/>
    <w:rsid w:val="00FD505A"/>
    <w:rsid w:val="00FD5473"/>
    <w:rsid w:val="00FD547B"/>
    <w:rsid w:val="00FD5D16"/>
    <w:rsid w:val="00FD6B6E"/>
    <w:rsid w:val="00FD6EF7"/>
    <w:rsid w:val="00FE2D1B"/>
    <w:rsid w:val="00FE750E"/>
    <w:rsid w:val="00FF2A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AF12975"/>
  <w15:docId w15:val="{D6FF28B5-BA0F-4965-A4A1-C34398D5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locked="0"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Strong" w:locked="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11"/>
    <w:pPr>
      <w:spacing w:before="240" w:after="240"/>
    </w:pPr>
    <w:rPr>
      <w:rFonts w:ascii="Open Sans" w:hAnsi="Open Sans"/>
      <w:sz w:val="24"/>
      <w:szCs w:val="24"/>
    </w:rPr>
  </w:style>
  <w:style w:type="paragraph" w:styleId="Heading1">
    <w:name w:val="heading 1"/>
    <w:basedOn w:val="Normal"/>
    <w:next w:val="Normal"/>
    <w:link w:val="Heading1Char"/>
    <w:qFormat/>
    <w:rsid w:val="007B201B"/>
    <w:pPr>
      <w:keepNext/>
      <w:keepLines/>
      <w:outlineLvl w:val="0"/>
    </w:pPr>
    <w:rPr>
      <w:b/>
      <w:bCs/>
      <w:sz w:val="36"/>
      <w:szCs w:val="28"/>
    </w:rPr>
  </w:style>
  <w:style w:type="paragraph" w:styleId="Heading2">
    <w:name w:val="heading 2"/>
    <w:basedOn w:val="Heading1"/>
    <w:next w:val="Normal"/>
    <w:link w:val="Heading2Char"/>
    <w:qFormat/>
    <w:rsid w:val="004940B8"/>
    <w:pPr>
      <w:outlineLvl w:val="1"/>
    </w:pPr>
    <w:rPr>
      <w:bCs w:val="0"/>
      <w:color w:val="000000"/>
      <w:sz w:val="28"/>
      <w:szCs w:val="26"/>
    </w:rPr>
  </w:style>
  <w:style w:type="paragraph" w:styleId="Heading3">
    <w:name w:val="heading 3"/>
    <w:basedOn w:val="Heading2"/>
    <w:next w:val="Normal"/>
    <w:link w:val="Heading3Char"/>
    <w:qFormat/>
    <w:rsid w:val="00884412"/>
    <w:pPr>
      <w:numPr>
        <w:ilvl w:val="2"/>
      </w:numPr>
      <w:outlineLvl w:val="2"/>
    </w:pPr>
    <w:rPr>
      <w:b w:val="0"/>
      <w:bCs/>
      <w:color w:val="auto"/>
      <w:sz w:val="24"/>
    </w:rPr>
  </w:style>
  <w:style w:type="paragraph" w:styleId="Heading4">
    <w:name w:val="heading 4"/>
    <w:basedOn w:val="Heading3"/>
    <w:next w:val="Normal"/>
    <w:link w:val="Heading4Char"/>
    <w:locked/>
    <w:rsid w:val="00D65207"/>
    <w:pPr>
      <w:numPr>
        <w:ilvl w:val="3"/>
      </w:numPr>
      <w:outlineLvl w:val="3"/>
    </w:pPr>
    <w:rPr>
      <w:bCs w:val="0"/>
      <w:i/>
      <w:iCs/>
    </w:rPr>
  </w:style>
  <w:style w:type="paragraph" w:styleId="Heading5">
    <w:name w:val="heading 5"/>
    <w:basedOn w:val="Normal"/>
    <w:next w:val="Normal"/>
    <w:link w:val="Heading5Char"/>
    <w:locked/>
    <w:rsid w:val="00D65207"/>
    <w:pPr>
      <w:keepNext/>
      <w:keepLines/>
      <w:spacing w:before="200"/>
      <w:outlineLvl w:val="4"/>
    </w:pPr>
    <w:rPr>
      <w:rFonts w:ascii="Cambria" w:hAnsi="Cambria"/>
      <w:color w:val="243F60"/>
    </w:rPr>
  </w:style>
  <w:style w:type="paragraph" w:styleId="Heading6">
    <w:name w:val="heading 6"/>
    <w:basedOn w:val="Normal"/>
    <w:next w:val="Normal"/>
    <w:link w:val="Heading6Char"/>
    <w:locked/>
    <w:rsid w:val="00D65207"/>
    <w:pPr>
      <w:keepNext/>
      <w:keepLines/>
      <w:spacing w:before="200"/>
      <w:outlineLvl w:val="5"/>
    </w:pPr>
    <w:rPr>
      <w:rFonts w:ascii="Cambria" w:hAnsi="Cambria"/>
      <w:i/>
      <w:iCs/>
      <w:color w:val="243F60"/>
    </w:rPr>
  </w:style>
  <w:style w:type="paragraph" w:styleId="Heading7">
    <w:name w:val="heading 7"/>
    <w:basedOn w:val="Normal"/>
    <w:next w:val="Normal"/>
    <w:link w:val="Heading7Char"/>
    <w:locked/>
    <w:rsid w:val="00D65207"/>
    <w:pPr>
      <w:keepNext/>
      <w:keepLines/>
      <w:spacing w:before="200"/>
      <w:outlineLvl w:val="6"/>
    </w:pPr>
    <w:rPr>
      <w:rFonts w:ascii="Cambria" w:hAnsi="Cambria"/>
      <w:i/>
      <w:iCs/>
      <w:color w:val="404040"/>
    </w:rPr>
  </w:style>
  <w:style w:type="paragraph" w:styleId="Heading8">
    <w:name w:val="heading 8"/>
    <w:basedOn w:val="Normal"/>
    <w:next w:val="Normal"/>
    <w:link w:val="Heading8Char"/>
    <w:locked/>
    <w:rsid w:val="00D65207"/>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locked/>
    <w:rsid w:val="00D65207"/>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40B8"/>
    <w:rPr>
      <w:rFonts w:ascii="Open Sans" w:hAnsi="Open Sans"/>
      <w:b/>
      <w:bCs/>
      <w:sz w:val="36"/>
      <w:szCs w:val="28"/>
    </w:rPr>
  </w:style>
  <w:style w:type="character" w:customStyle="1" w:styleId="Heading2Char">
    <w:name w:val="Heading 2 Char"/>
    <w:link w:val="Heading2"/>
    <w:rsid w:val="004940B8"/>
    <w:rPr>
      <w:rFonts w:ascii="Open Sans" w:hAnsi="Open Sans"/>
      <w:b/>
      <w:color w:val="000000"/>
      <w:sz w:val="28"/>
      <w:szCs w:val="26"/>
    </w:rPr>
  </w:style>
  <w:style w:type="character" w:customStyle="1" w:styleId="Heading3Char">
    <w:name w:val="Heading 3 Char"/>
    <w:link w:val="Heading3"/>
    <w:rsid w:val="00884412"/>
    <w:rPr>
      <w:rFonts w:ascii="Open Sans" w:hAnsi="Open Sans"/>
      <w:bCs/>
      <w:sz w:val="24"/>
      <w:szCs w:val="26"/>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locked/>
    <w:rsid w:val="007D54C0"/>
    <w:rPr>
      <w:rFonts w:ascii="Open Sans" w:hAnsi="Open Sans"/>
      <w:b w:val="0"/>
      <w:bCs/>
      <w:sz w:val="24"/>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EE7B19"/>
    <w:pPr>
      <w:tabs>
        <w:tab w:val="center" w:pos="4513"/>
        <w:tab w:val="right" w:pos="9026"/>
      </w:tabs>
      <w:spacing w:before="0" w:after="0"/>
      <w:jc w:val="right"/>
    </w:pPr>
    <w:rPr>
      <w:sz w:val="22"/>
    </w:rPr>
  </w:style>
  <w:style w:type="character" w:customStyle="1" w:styleId="HeaderChar">
    <w:name w:val="Header Char"/>
    <w:link w:val="Header"/>
    <w:semiHidden/>
    <w:rsid w:val="00EE7B19"/>
    <w:rPr>
      <w:rFonts w:ascii="Open Sans" w:hAnsi="Open Sans"/>
      <w:sz w:val="22"/>
      <w:szCs w:val="24"/>
    </w:rPr>
  </w:style>
  <w:style w:type="paragraph" w:styleId="Footer">
    <w:name w:val="footer"/>
    <w:basedOn w:val="Normal"/>
    <w:link w:val="FooterChar"/>
    <w:uiPriority w:val="99"/>
    <w:rsid w:val="000155B1"/>
    <w:pPr>
      <w:tabs>
        <w:tab w:val="center" w:pos="4513"/>
        <w:tab w:val="right" w:pos="9026"/>
      </w:tabs>
      <w:spacing w:before="0" w:after="0"/>
      <w:ind w:left="-868"/>
    </w:pPr>
    <w:rPr>
      <w:sz w:val="18"/>
    </w:rPr>
  </w:style>
  <w:style w:type="character" w:customStyle="1" w:styleId="FooterChar">
    <w:name w:val="Footer Char"/>
    <w:link w:val="Footer"/>
    <w:uiPriority w:val="99"/>
    <w:rsid w:val="000155B1"/>
    <w:rPr>
      <w:rFonts w:ascii="Open Sans" w:hAnsi="Open Sans"/>
      <w:sz w:val="18"/>
      <w:szCs w:val="24"/>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uiPriority w:val="39"/>
    <w:semiHidden/>
    <w:qFormat/>
    <w:rsid w:val="00911686"/>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unhideWhenUsed/>
    <w:rsid w:val="0046491B"/>
    <w:rPr>
      <w:rFonts w:ascii="Open Sans" w:hAnsi="Open Sans"/>
      <w:color w:val="0000FF"/>
      <w:sz w:val="24"/>
      <w:u w:val="single"/>
    </w:rPr>
  </w:style>
  <w:style w:type="paragraph" w:styleId="TOCHeading">
    <w:name w:val="TOC Heading"/>
    <w:basedOn w:val="Normal"/>
    <w:next w:val="Normal"/>
    <w:uiPriority w:val="39"/>
    <w:qFormat/>
    <w:rsid w:val="009E2AF1"/>
    <w:pPr>
      <w:spacing w:before="480" w:after="0" w:line="276" w:lineRule="auto"/>
    </w:pPr>
    <w:rPr>
      <w:b/>
      <w:color w:val="000000"/>
      <w:lang w:val="en-US" w:eastAsia="en-US"/>
    </w:rPr>
  </w:style>
  <w:style w:type="paragraph" w:styleId="EndnoteText">
    <w:name w:val="endnote text"/>
    <w:basedOn w:val="Normal"/>
    <w:link w:val="EndnoteTextChar1"/>
    <w:semiHidden/>
    <w:rsid w:val="001334CB"/>
    <w:rPr>
      <w:sz w:val="20"/>
      <w:szCs w:val="20"/>
    </w:rPr>
  </w:style>
  <w:style w:type="character" w:customStyle="1" w:styleId="EndnoteTextChar1">
    <w:name w:val="Endnote Text Char1"/>
    <w:link w:val="EndnoteText"/>
    <w:semiHidden/>
    <w:rsid w:val="001334CB"/>
    <w:rPr>
      <w:rFonts w:ascii="Open Sans" w:hAnsi="Open Sans"/>
    </w:rPr>
  </w:style>
  <w:style w:type="character" w:styleId="EndnoteReference">
    <w:name w:val="endnote reference"/>
    <w:semiHidden/>
    <w:rsid w:val="001334CB"/>
    <w:rPr>
      <w:rFonts w:ascii="Open Sans" w:hAnsi="Open Sans"/>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rsid w:val="00E45954"/>
    <w:pPr>
      <w:spacing w:after="120"/>
      <w:ind w:left="1440" w:right="1440"/>
    </w:pPr>
  </w:style>
  <w:style w:type="paragraph" w:styleId="BodyText">
    <w:name w:val="Body Text"/>
    <w:basedOn w:val="Normal"/>
    <w:semiHidden/>
    <w:rsid w:val="00E45954"/>
    <w:pPr>
      <w:spacing w:after="120"/>
    </w:pPr>
  </w:style>
  <w:style w:type="paragraph" w:styleId="BodyText2">
    <w:name w:val="Body Text 2"/>
    <w:basedOn w:val="Normal"/>
    <w:semiHidden/>
    <w:rsid w:val="00E45954"/>
    <w:pPr>
      <w:spacing w:after="120" w:line="480" w:lineRule="auto"/>
    </w:pPr>
  </w:style>
  <w:style w:type="paragraph" w:styleId="BodyText3">
    <w:name w:val="Body Text 3"/>
    <w:basedOn w:val="Normal"/>
    <w:semiHidden/>
    <w:rsid w:val="00AE47CC"/>
    <w:pPr>
      <w:spacing w:after="120"/>
    </w:pPr>
    <w:rPr>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AE47CC"/>
    <w:pPr>
      <w:spacing w:after="120"/>
      <w:ind w:left="283"/>
    </w:pPr>
    <w:rPr>
      <w:szCs w:val="16"/>
    </w:rPr>
  </w:style>
  <w:style w:type="paragraph" w:styleId="Closing">
    <w:name w:val="Closing"/>
    <w:basedOn w:val="Normal"/>
    <w:semiHidden/>
    <w:rsid w:val="00E45954"/>
    <w:pPr>
      <w:ind w:left="4252"/>
    </w:pPr>
  </w:style>
  <w:style w:type="paragraph" w:styleId="Date">
    <w:name w:val="Date"/>
    <w:basedOn w:val="Normal"/>
    <w:next w:val="Normal"/>
    <w:semiHidden/>
    <w:rsid w:val="00E45954"/>
  </w:style>
  <w:style w:type="paragraph" w:styleId="E-mailSignature">
    <w:name w:val="E-mail Signature"/>
    <w:basedOn w:val="Normal"/>
    <w:semiHidden/>
    <w:rsid w:val="00E45954"/>
  </w:style>
  <w:style w:type="character" w:styleId="Emphasis">
    <w:name w:val="Emphasis"/>
    <w:locked/>
    <w:rsid w:val="00AE47CC"/>
    <w:rPr>
      <w:rFonts w:ascii="Open Sans" w:hAnsi="Open Sans"/>
      <w:i w:val="0"/>
      <w:iCs/>
      <w:sz w:val="24"/>
    </w:rPr>
  </w:style>
  <w:style w:type="paragraph" w:styleId="EnvelopeAddress">
    <w:name w:val="envelope address"/>
    <w:basedOn w:val="Normal"/>
    <w:semiHidden/>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rsid w:val="001334CB"/>
    <w:rPr>
      <w:rFonts w:cs="Arial"/>
      <w:szCs w:val="20"/>
    </w:rPr>
  </w:style>
  <w:style w:type="character" w:styleId="FootnoteReference">
    <w:name w:val="footnote reference"/>
    <w:semiHidden/>
    <w:locked/>
    <w:rsid w:val="004510B9"/>
    <w:rPr>
      <w:rFonts w:ascii="Arial" w:hAnsi="Arial"/>
      <w:sz w:val="20"/>
      <w:vertAlign w:val="superscript"/>
    </w:rPr>
  </w:style>
  <w:style w:type="paragraph" w:styleId="FootnoteText">
    <w:name w:val="footnote text"/>
    <w:basedOn w:val="Normal"/>
    <w:semiHidden/>
    <w:locked/>
    <w:rsid w:val="004B3F64"/>
    <w:pPr>
      <w:spacing w:before="0" w:after="0"/>
    </w:pPr>
    <w:rPr>
      <w:sz w:val="20"/>
      <w:szCs w:val="20"/>
    </w:rPr>
  </w:style>
  <w:style w:type="character" w:styleId="HTMLAcronym">
    <w:name w:val="HTML Acronym"/>
    <w:semiHidden/>
    <w:rsid w:val="0046491B"/>
    <w:rPr>
      <w:rFonts w:ascii="Open Sans" w:hAnsi="Open Sans"/>
      <w:sz w:val="24"/>
    </w:rPr>
  </w:style>
  <w:style w:type="paragraph" w:styleId="HTMLAddress">
    <w:name w:val="HTML Address"/>
    <w:basedOn w:val="Normal"/>
    <w:semiHidden/>
    <w:rsid w:val="0046491B"/>
    <w:rPr>
      <w:iCs/>
    </w:rPr>
  </w:style>
  <w:style w:type="character" w:styleId="HTMLCite">
    <w:name w:val="HTML Cite"/>
    <w:semiHidden/>
    <w:rsid w:val="0046491B"/>
    <w:rPr>
      <w:rFonts w:ascii="Open Sans" w:hAnsi="Open Sans"/>
      <w:i w:val="0"/>
      <w:iCs/>
      <w:sz w:val="24"/>
    </w:rPr>
  </w:style>
  <w:style w:type="character" w:styleId="HTMLCode">
    <w:name w:val="HTML Code"/>
    <w:semiHidden/>
    <w:rsid w:val="0046491B"/>
    <w:rPr>
      <w:rFonts w:ascii="Open Sans" w:hAnsi="Open Sans" w:cs="Courier New"/>
      <w:sz w:val="24"/>
      <w:szCs w:val="20"/>
    </w:rPr>
  </w:style>
  <w:style w:type="character" w:styleId="HTMLDefinition">
    <w:name w:val="HTML Definition"/>
    <w:semiHidden/>
    <w:rsid w:val="0046491B"/>
    <w:rPr>
      <w:rFonts w:ascii="Open Sans" w:hAnsi="Open Sans"/>
      <w:i w:val="0"/>
      <w:iCs/>
      <w:sz w:val="24"/>
    </w:rPr>
  </w:style>
  <w:style w:type="character" w:styleId="HTMLKeyboard">
    <w:name w:val="HTML Keyboard"/>
    <w:semiHidden/>
    <w:rsid w:val="0046491B"/>
    <w:rPr>
      <w:rFonts w:ascii="Open Sans" w:hAnsi="Open Sans" w:cs="Courier New"/>
      <w:sz w:val="24"/>
      <w:szCs w:val="20"/>
    </w:rPr>
  </w:style>
  <w:style w:type="paragraph" w:styleId="HTMLPreformatted">
    <w:name w:val="HTML Preformatted"/>
    <w:basedOn w:val="Normal"/>
    <w:semiHidden/>
    <w:rsid w:val="0046491B"/>
    <w:rPr>
      <w:rFonts w:cs="Courier New"/>
      <w:szCs w:val="20"/>
    </w:rPr>
  </w:style>
  <w:style w:type="character" w:styleId="HTMLSample">
    <w:name w:val="HTML Sample"/>
    <w:semiHidden/>
    <w:rsid w:val="0046491B"/>
    <w:rPr>
      <w:rFonts w:ascii="Open Sans" w:hAnsi="Open Sans" w:cs="Courier New"/>
      <w:sz w:val="24"/>
    </w:rPr>
  </w:style>
  <w:style w:type="character" w:styleId="HTMLTypewriter">
    <w:name w:val="HTML Typewriter"/>
    <w:semiHidden/>
    <w:rsid w:val="0046491B"/>
    <w:rPr>
      <w:rFonts w:ascii="Open Sans" w:hAnsi="Open Sans" w:cs="Courier New"/>
      <w:sz w:val="24"/>
      <w:szCs w:val="20"/>
    </w:rPr>
  </w:style>
  <w:style w:type="character" w:styleId="HTMLVariable">
    <w:name w:val="HTML Variable"/>
    <w:semiHidden/>
    <w:rsid w:val="0046491B"/>
    <w:rPr>
      <w:rFonts w:ascii="Open Sans" w:hAnsi="Open Sans"/>
      <w:i w:val="0"/>
      <w:iCs/>
      <w:sz w:val="24"/>
    </w:rPr>
  </w:style>
  <w:style w:type="character" w:styleId="LineNumber">
    <w:name w:val="line number"/>
    <w:semiHidden/>
    <w:unhideWhenUsed/>
    <w:locked/>
    <w:rsid w:val="00C43F2E"/>
    <w:rPr>
      <w:rFonts w:ascii="Open Sans" w:hAnsi="Open Sans"/>
      <w:sz w:val="24"/>
    </w:rPr>
  </w:style>
  <w:style w:type="paragraph" w:styleId="List">
    <w:name w:val="List"/>
    <w:basedOn w:val="Normal"/>
    <w:semiHidden/>
    <w:unhideWhenUsed/>
    <w:locked/>
    <w:rsid w:val="00C43F2E"/>
    <w:pPr>
      <w:ind w:left="283" w:hanging="283"/>
      <w:contextualSpacing/>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qFormat/>
    <w:rsid w:val="006520BF"/>
    <w:pPr>
      <w:numPr>
        <w:numId w:val="7"/>
      </w:numPr>
      <w:spacing w:before="120" w:after="120"/>
      <w:ind w:left="1094" w:hanging="737"/>
      <w:contextualSpacing/>
    </w:pPr>
  </w:style>
  <w:style w:type="paragraph" w:styleId="ListBullet2">
    <w:name w:val="List Bullet 2"/>
    <w:basedOn w:val="Normal"/>
    <w:semiHidden/>
    <w:unhideWhenUsed/>
    <w:locked/>
    <w:rsid w:val="007F4811"/>
    <w:pPr>
      <w:numPr>
        <w:numId w:val="8"/>
      </w:numPr>
      <w:contextualSpacing/>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link w:val="ListNumberChar"/>
    <w:qFormat/>
    <w:rsid w:val="006520BF"/>
    <w:pPr>
      <w:numPr>
        <w:numId w:val="12"/>
      </w:numPr>
      <w:spacing w:before="120" w:after="120"/>
      <w:contextualSpacing/>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7F4811"/>
  </w:style>
  <w:style w:type="paragraph" w:styleId="NormalIndent">
    <w:name w:val="Normal Indent"/>
    <w:basedOn w:val="Normal"/>
    <w:semiHidden/>
    <w:rsid w:val="00E45954"/>
    <w:pPr>
      <w:ind w:left="720"/>
    </w:pPr>
  </w:style>
  <w:style w:type="paragraph" w:styleId="NoteHeading">
    <w:name w:val="Note Heading"/>
    <w:basedOn w:val="Normal"/>
    <w:next w:val="Normal"/>
    <w:semiHidden/>
    <w:rsid w:val="00E45954"/>
  </w:style>
  <w:style w:type="character" w:styleId="PageNumber">
    <w:name w:val="page number"/>
    <w:semiHidden/>
    <w:rsid w:val="007D54C0"/>
    <w:rPr>
      <w:rFonts w:ascii="Open Sans" w:hAnsi="Open Sans"/>
      <w:sz w:val="18"/>
    </w:rPr>
  </w:style>
  <w:style w:type="paragraph" w:styleId="PlainText">
    <w:name w:val="Plain Text"/>
    <w:basedOn w:val="Normal"/>
    <w:semiHidden/>
    <w:rsid w:val="007D54C0"/>
    <w:rPr>
      <w:rFonts w:cs="Courier New"/>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45954"/>
    <w:pPr>
      <w:spacing w:after="60"/>
      <w:jc w:val="center"/>
      <w:outlineLvl w:val="0"/>
    </w:pPr>
    <w:rPr>
      <w:rFonts w:cs="Arial"/>
      <w:b/>
      <w:bCs/>
      <w:kern w:val="28"/>
      <w:sz w:val="32"/>
      <w:szCs w:val="32"/>
    </w:rPr>
  </w:style>
  <w:style w:type="character" w:styleId="FollowedHyperlink">
    <w:name w:val="FollowedHyperlink"/>
    <w:semiHidden/>
    <w:rsid w:val="001334CB"/>
    <w:rPr>
      <w:rFonts w:ascii="Open Sans" w:hAnsi="Open Sans"/>
      <w:color w:val="800080"/>
      <w:sz w:val="24"/>
      <w:u w:val="single"/>
    </w:rPr>
  </w:style>
  <w:style w:type="paragraph" w:customStyle="1" w:styleId="AddressBlock">
    <w:name w:val="Address Block"/>
    <w:basedOn w:val="BodyText"/>
    <w:semiHidden/>
    <w:locked/>
    <w:rsid w:val="00000871"/>
    <w:pPr>
      <w:keepNext/>
      <w:keepLines/>
      <w:spacing w:after="0"/>
    </w:pPr>
    <w:rPr>
      <w:rFonts w:cs="ArialMT"/>
      <w:lang w:val="en-US" w:bidi="en-US"/>
    </w:rPr>
  </w:style>
  <w:style w:type="paragraph" w:customStyle="1" w:styleId="Contactdetails">
    <w:name w:val="Contact details"/>
    <w:basedOn w:val="Normal"/>
    <w:semiHidden/>
    <w:locked/>
    <w:rsid w:val="00AE47CC"/>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cs="ArialMT"/>
      <w:lang w:val="en-US" w:bidi="en-US"/>
    </w:rPr>
  </w:style>
  <w:style w:type="paragraph" w:customStyle="1" w:styleId="OurRef">
    <w:name w:val="Our Ref:"/>
    <w:basedOn w:val="BodyText"/>
    <w:semiHidden/>
    <w:locked/>
    <w:rsid w:val="00000871"/>
    <w:pPr>
      <w:spacing w:after="193"/>
    </w:pPr>
    <w:rPr>
      <w:rFonts w:cs="ArialMT"/>
      <w:lang w:val="en-US" w:bidi="en-US"/>
    </w:rPr>
  </w:style>
  <w:style w:type="paragraph" w:customStyle="1" w:styleId="NameInsert">
    <w:name w:val="Name Insert"/>
    <w:basedOn w:val="BodyText"/>
    <w:semiHidden/>
    <w:locked/>
    <w:rsid w:val="00000871"/>
    <w:rPr>
      <w:lang w:val="en-US" w:bidi="en-US"/>
    </w:rPr>
  </w:style>
  <w:style w:type="paragraph" w:customStyle="1" w:styleId="Dash">
    <w:name w:val="Dash"/>
    <w:basedOn w:val="Normal"/>
    <w:semiHidden/>
    <w:locked/>
    <w:rsid w:val="00000871"/>
    <w:pPr>
      <w:numPr>
        <w:numId w:val="21"/>
      </w:numPr>
      <w:tabs>
        <w:tab w:val="num" w:pos="360"/>
      </w:tabs>
      <w:spacing w:before="20" w:after="20"/>
      <w:ind w:left="0" w:firstLine="0"/>
    </w:pPr>
  </w:style>
  <w:style w:type="paragraph" w:styleId="Index1">
    <w:name w:val="index 1"/>
    <w:basedOn w:val="Normal"/>
    <w:next w:val="Normal"/>
    <w:semiHidden/>
    <w:unhideWhenUsed/>
    <w:locked/>
    <w:rsid w:val="00016045"/>
    <w:pPr>
      <w:spacing w:before="0" w:after="0"/>
      <w:ind w:left="240" w:hanging="240"/>
    </w:pPr>
  </w:style>
  <w:style w:type="paragraph" w:customStyle="1" w:styleId="LogoType">
    <w:name w:val="Logo Type"/>
    <w:basedOn w:val="Header"/>
    <w:semiHidden/>
    <w:locked/>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AE47CC"/>
    <w:rPr>
      <w:rFonts w:ascii="Open Sans" w:hAnsi="Open Sans" w:cs="Arial"/>
      <w:sz w:val="24"/>
      <w:lang w:val="en-AU" w:eastAsia="en-AU" w:bidi="ar-SA"/>
    </w:rPr>
  </w:style>
  <w:style w:type="character" w:customStyle="1" w:styleId="EndnoteTextChar">
    <w:name w:val="Endnote Text Char"/>
    <w:semiHidden/>
    <w:rsid w:val="00296804"/>
    <w:rPr>
      <w:rFonts w:ascii="Open Sans" w:hAnsi="Open Sans"/>
      <w:sz w:val="20"/>
      <w:lang w:bidi="ar-SA"/>
    </w:rPr>
  </w:style>
  <w:style w:type="paragraph" w:styleId="BalloonText">
    <w:name w:val="Balloon Text"/>
    <w:basedOn w:val="Normal"/>
    <w:semiHidden/>
    <w:rsid w:val="00AE47CC"/>
    <w:rPr>
      <w:rFonts w:cs="Tahoma"/>
      <w:szCs w:val="16"/>
    </w:rPr>
  </w:style>
  <w:style w:type="character" w:customStyle="1" w:styleId="description">
    <w:name w:val="description"/>
    <w:locked/>
    <w:rsid w:val="00AE47CC"/>
    <w:rPr>
      <w:rFonts w:ascii="Open Sans" w:hAnsi="Open Sans"/>
      <w:sz w:val="24"/>
    </w:rPr>
  </w:style>
  <w:style w:type="paragraph" w:styleId="Quote">
    <w:name w:val="Quote"/>
    <w:basedOn w:val="Normal"/>
    <w:next w:val="Normal"/>
    <w:link w:val="QuoteChar"/>
    <w:uiPriority w:val="29"/>
    <w:qFormat/>
    <w:rsid w:val="007D54C0"/>
    <w:pPr>
      <w:spacing w:before="200" w:after="160"/>
      <w:ind w:left="864" w:right="864"/>
    </w:pPr>
    <w:rPr>
      <w:iCs/>
      <w:sz w:val="22"/>
    </w:rPr>
  </w:style>
  <w:style w:type="character" w:customStyle="1" w:styleId="QuoteChar">
    <w:name w:val="Quote Char"/>
    <w:link w:val="Quote"/>
    <w:uiPriority w:val="29"/>
    <w:rsid w:val="007D54C0"/>
    <w:rPr>
      <w:rFonts w:ascii="Open Sans" w:hAnsi="Open Sans"/>
      <w:iCs/>
      <w:sz w:val="22"/>
      <w:szCs w:val="24"/>
    </w:rPr>
  </w:style>
  <w:style w:type="character" w:styleId="BookTitle">
    <w:name w:val="Book Title"/>
    <w:uiPriority w:val="33"/>
    <w:qFormat/>
    <w:rsid w:val="00907E82"/>
    <w:rPr>
      <w:rFonts w:ascii="Open Sans" w:hAnsi="Open Sans"/>
      <w:b w:val="0"/>
      <w:bCs/>
      <w:i/>
      <w:iCs/>
      <w:spacing w:val="5"/>
      <w:sz w:val="24"/>
    </w:rPr>
  </w:style>
  <w:style w:type="paragraph" w:styleId="Bibliography">
    <w:name w:val="Bibliography"/>
    <w:basedOn w:val="Normal"/>
    <w:next w:val="Normal"/>
    <w:uiPriority w:val="37"/>
    <w:semiHidden/>
    <w:unhideWhenUsed/>
    <w:rsid w:val="00AE47CC"/>
  </w:style>
  <w:style w:type="paragraph" w:styleId="Caption">
    <w:name w:val="caption"/>
    <w:basedOn w:val="Normal"/>
    <w:next w:val="Normal"/>
    <w:semiHidden/>
    <w:unhideWhenUsed/>
    <w:rsid w:val="00AE47CC"/>
    <w:pPr>
      <w:spacing w:before="0" w:after="200"/>
    </w:pPr>
    <w:rPr>
      <w:iCs/>
      <w:szCs w:val="18"/>
    </w:rPr>
  </w:style>
  <w:style w:type="character" w:styleId="CommentReference">
    <w:name w:val="annotation reference"/>
    <w:semiHidden/>
    <w:unhideWhenUsed/>
    <w:rsid w:val="00AE47CC"/>
    <w:rPr>
      <w:rFonts w:ascii="Open Sans" w:hAnsi="Open Sans"/>
      <w:sz w:val="24"/>
      <w:szCs w:val="16"/>
    </w:rPr>
  </w:style>
  <w:style w:type="paragraph" w:styleId="CommentText">
    <w:name w:val="annotation text"/>
    <w:basedOn w:val="Normal"/>
    <w:link w:val="CommentTextChar"/>
    <w:semiHidden/>
    <w:unhideWhenUsed/>
    <w:rsid w:val="00AE47CC"/>
    <w:rPr>
      <w:szCs w:val="20"/>
    </w:rPr>
  </w:style>
  <w:style w:type="character" w:customStyle="1" w:styleId="CommentTextChar">
    <w:name w:val="Comment Text Char"/>
    <w:link w:val="CommentText"/>
    <w:semiHidden/>
    <w:rsid w:val="00AE47CC"/>
    <w:rPr>
      <w:rFonts w:ascii="Open Sans" w:hAnsi="Open Sans"/>
      <w:sz w:val="24"/>
    </w:rPr>
  </w:style>
  <w:style w:type="paragraph" w:styleId="CommentSubject">
    <w:name w:val="annotation subject"/>
    <w:basedOn w:val="CommentText"/>
    <w:next w:val="CommentText"/>
    <w:link w:val="CommentSubjectChar"/>
    <w:semiHidden/>
    <w:unhideWhenUsed/>
    <w:rsid w:val="00AE47CC"/>
    <w:rPr>
      <w:bCs/>
    </w:rPr>
  </w:style>
  <w:style w:type="character" w:customStyle="1" w:styleId="CommentSubjectChar">
    <w:name w:val="Comment Subject Char"/>
    <w:link w:val="CommentSubject"/>
    <w:semiHidden/>
    <w:rsid w:val="00AE47CC"/>
    <w:rPr>
      <w:rFonts w:ascii="Open Sans" w:hAnsi="Open Sans"/>
      <w:bCs/>
      <w:sz w:val="24"/>
    </w:rPr>
  </w:style>
  <w:style w:type="paragraph" w:styleId="DocumentMap">
    <w:name w:val="Document Map"/>
    <w:basedOn w:val="Normal"/>
    <w:link w:val="DocumentMapChar"/>
    <w:semiHidden/>
    <w:unhideWhenUsed/>
    <w:rsid w:val="00AE47CC"/>
    <w:pPr>
      <w:spacing w:before="0" w:after="0"/>
    </w:pPr>
    <w:rPr>
      <w:rFonts w:cs="Segoe UI"/>
      <w:szCs w:val="16"/>
    </w:rPr>
  </w:style>
  <w:style w:type="character" w:customStyle="1" w:styleId="DocumentMapChar">
    <w:name w:val="Document Map Char"/>
    <w:link w:val="DocumentMap"/>
    <w:semiHidden/>
    <w:rsid w:val="00AE47CC"/>
    <w:rPr>
      <w:rFonts w:ascii="Open Sans" w:hAnsi="Open Sans" w:cs="Segoe UI"/>
      <w:sz w:val="24"/>
      <w:szCs w:val="16"/>
    </w:rPr>
  </w:style>
  <w:style w:type="character" w:customStyle="1" w:styleId="HeaderTitle">
    <w:name w:val="Header Title"/>
    <w:uiPriority w:val="1"/>
    <w:qFormat/>
    <w:rsid w:val="001334CB"/>
    <w:rPr>
      <w:rFonts w:ascii="Open Sans" w:hAnsi="Open Sans"/>
      <w:b/>
      <w:sz w:val="18"/>
    </w:rPr>
  </w:style>
  <w:style w:type="paragraph" w:styleId="Index2">
    <w:name w:val="index 2"/>
    <w:basedOn w:val="Normal"/>
    <w:next w:val="Normal"/>
    <w:semiHidden/>
    <w:unhideWhenUsed/>
    <w:locked/>
    <w:rsid w:val="00016045"/>
    <w:pPr>
      <w:spacing w:before="0" w:after="0"/>
      <w:ind w:left="480" w:hanging="240"/>
    </w:pPr>
  </w:style>
  <w:style w:type="paragraph" w:styleId="Index3">
    <w:name w:val="index 3"/>
    <w:basedOn w:val="Normal"/>
    <w:next w:val="Normal"/>
    <w:semiHidden/>
    <w:unhideWhenUsed/>
    <w:locked/>
    <w:rsid w:val="00016045"/>
    <w:pPr>
      <w:spacing w:before="0" w:after="0"/>
      <w:ind w:left="720" w:hanging="240"/>
    </w:pPr>
  </w:style>
  <w:style w:type="paragraph" w:styleId="Index4">
    <w:name w:val="index 4"/>
    <w:basedOn w:val="Normal"/>
    <w:next w:val="Normal"/>
    <w:semiHidden/>
    <w:unhideWhenUsed/>
    <w:locked/>
    <w:rsid w:val="00016045"/>
    <w:pPr>
      <w:spacing w:before="0" w:after="0"/>
      <w:ind w:left="960" w:hanging="240"/>
    </w:pPr>
  </w:style>
  <w:style w:type="paragraph" w:styleId="Index5">
    <w:name w:val="index 5"/>
    <w:basedOn w:val="Normal"/>
    <w:next w:val="Normal"/>
    <w:semiHidden/>
    <w:unhideWhenUsed/>
    <w:locked/>
    <w:rsid w:val="00016045"/>
    <w:pPr>
      <w:spacing w:before="0" w:after="0"/>
      <w:ind w:left="1200" w:hanging="240"/>
    </w:pPr>
  </w:style>
  <w:style w:type="paragraph" w:styleId="Index6">
    <w:name w:val="index 6"/>
    <w:basedOn w:val="Normal"/>
    <w:next w:val="Normal"/>
    <w:semiHidden/>
    <w:unhideWhenUsed/>
    <w:locked/>
    <w:rsid w:val="00016045"/>
    <w:pPr>
      <w:spacing w:before="0" w:after="0"/>
      <w:ind w:left="1440" w:hanging="240"/>
    </w:pPr>
  </w:style>
  <w:style w:type="paragraph" w:styleId="Index7">
    <w:name w:val="index 7"/>
    <w:basedOn w:val="Normal"/>
    <w:next w:val="Normal"/>
    <w:semiHidden/>
    <w:unhideWhenUsed/>
    <w:locked/>
    <w:rsid w:val="00016045"/>
    <w:pPr>
      <w:spacing w:before="0" w:after="0"/>
      <w:ind w:left="1680" w:hanging="240"/>
    </w:pPr>
  </w:style>
  <w:style w:type="paragraph" w:styleId="Index8">
    <w:name w:val="index 8"/>
    <w:basedOn w:val="Normal"/>
    <w:next w:val="Normal"/>
    <w:semiHidden/>
    <w:unhideWhenUsed/>
    <w:locked/>
    <w:rsid w:val="00016045"/>
    <w:pPr>
      <w:spacing w:before="0" w:after="0"/>
      <w:ind w:left="1920" w:hanging="240"/>
    </w:pPr>
  </w:style>
  <w:style w:type="paragraph" w:styleId="Index9">
    <w:name w:val="index 9"/>
    <w:basedOn w:val="Normal"/>
    <w:next w:val="Normal"/>
    <w:semiHidden/>
    <w:unhideWhenUsed/>
    <w:locked/>
    <w:rsid w:val="00016045"/>
    <w:pPr>
      <w:spacing w:before="0" w:after="0"/>
      <w:ind w:left="2160" w:hanging="240"/>
    </w:pPr>
  </w:style>
  <w:style w:type="paragraph" w:styleId="IndexHeading">
    <w:name w:val="index heading"/>
    <w:basedOn w:val="Normal"/>
    <w:next w:val="Index1"/>
    <w:semiHidden/>
    <w:unhideWhenUsed/>
    <w:locked/>
    <w:rsid w:val="00016045"/>
    <w:rPr>
      <w:rFonts w:eastAsia="SimSun"/>
      <w:bCs/>
    </w:rPr>
  </w:style>
  <w:style w:type="character" w:styleId="IntenseEmphasis">
    <w:name w:val="Intense Emphasis"/>
    <w:uiPriority w:val="21"/>
    <w:locked/>
    <w:rsid w:val="00016045"/>
    <w:rPr>
      <w:rFonts w:ascii="Open Sans" w:hAnsi="Open Sans"/>
      <w:i w:val="0"/>
      <w:iCs/>
      <w:color w:val="auto"/>
      <w:sz w:val="24"/>
    </w:rPr>
  </w:style>
  <w:style w:type="paragraph" w:styleId="IntenseQuote">
    <w:name w:val="Intense Quote"/>
    <w:basedOn w:val="Normal"/>
    <w:next w:val="Normal"/>
    <w:link w:val="IntenseQuoteChar"/>
    <w:uiPriority w:val="30"/>
    <w:locked/>
    <w:rsid w:val="00016045"/>
    <w:pPr>
      <w:spacing w:before="360" w:after="360"/>
      <w:ind w:left="864" w:right="864"/>
    </w:pPr>
    <w:rPr>
      <w:iCs/>
    </w:rPr>
  </w:style>
  <w:style w:type="character" w:customStyle="1" w:styleId="IntenseQuoteChar">
    <w:name w:val="Intense Quote Char"/>
    <w:link w:val="IntenseQuote"/>
    <w:uiPriority w:val="30"/>
    <w:rsid w:val="00016045"/>
    <w:rPr>
      <w:rFonts w:ascii="Open Sans" w:hAnsi="Open Sans"/>
      <w:iCs/>
      <w:sz w:val="24"/>
      <w:szCs w:val="24"/>
    </w:rPr>
  </w:style>
  <w:style w:type="character" w:styleId="IntenseReference">
    <w:name w:val="Intense Reference"/>
    <w:uiPriority w:val="32"/>
    <w:locked/>
    <w:rsid w:val="00C43F2E"/>
    <w:rPr>
      <w:rFonts w:ascii="Open Sans" w:hAnsi="Open Sans"/>
      <w:b w:val="0"/>
      <w:bCs/>
      <w:caps w:val="0"/>
      <w:smallCaps w:val="0"/>
      <w:color w:val="auto"/>
      <w:spacing w:val="5"/>
      <w:sz w:val="24"/>
    </w:rPr>
  </w:style>
  <w:style w:type="paragraph" w:styleId="MacroText">
    <w:name w:val="macro"/>
    <w:link w:val="MacroTextChar"/>
    <w:semiHidden/>
    <w:unhideWhenUsed/>
    <w:rsid w:val="007F4811"/>
    <w:pPr>
      <w:tabs>
        <w:tab w:val="left" w:pos="480"/>
        <w:tab w:val="left" w:pos="960"/>
        <w:tab w:val="left" w:pos="1440"/>
        <w:tab w:val="left" w:pos="1920"/>
        <w:tab w:val="left" w:pos="2400"/>
        <w:tab w:val="left" w:pos="2880"/>
        <w:tab w:val="left" w:pos="3360"/>
        <w:tab w:val="left" w:pos="3840"/>
        <w:tab w:val="left" w:pos="4320"/>
      </w:tabs>
      <w:spacing w:before="240" w:after="240"/>
    </w:pPr>
    <w:rPr>
      <w:rFonts w:ascii="Open Sans" w:hAnsi="Open Sans" w:cs="Consolas"/>
      <w:sz w:val="24"/>
    </w:rPr>
  </w:style>
  <w:style w:type="character" w:customStyle="1" w:styleId="MacroTextChar">
    <w:name w:val="Macro Text Char"/>
    <w:link w:val="MacroText"/>
    <w:semiHidden/>
    <w:rsid w:val="007F4811"/>
    <w:rPr>
      <w:rFonts w:ascii="Open Sans" w:hAnsi="Open Sans" w:cs="Consolas"/>
      <w:sz w:val="24"/>
    </w:rPr>
  </w:style>
  <w:style w:type="paragraph" w:styleId="NoSpacing">
    <w:name w:val="No Spacing"/>
    <w:uiPriority w:val="1"/>
    <w:qFormat/>
    <w:rsid w:val="00E131AD"/>
    <w:rPr>
      <w:rFonts w:ascii="Open Sans" w:hAnsi="Open Sans"/>
      <w:sz w:val="24"/>
      <w:szCs w:val="24"/>
    </w:rPr>
  </w:style>
  <w:style w:type="paragraph" w:styleId="ListParagraph">
    <w:name w:val="List Paragraph"/>
    <w:basedOn w:val="Normal"/>
    <w:uiPriority w:val="34"/>
    <w:locked/>
    <w:rsid w:val="00610DB1"/>
    <w:pPr>
      <w:ind w:left="720"/>
      <w:contextualSpacing/>
    </w:pPr>
  </w:style>
  <w:style w:type="paragraph" w:customStyle="1" w:styleId="Default">
    <w:name w:val="Default"/>
    <w:rsid w:val="00D5283F"/>
    <w:pPr>
      <w:autoSpaceDE w:val="0"/>
      <w:autoSpaceDN w:val="0"/>
      <w:adjustRightInd w:val="0"/>
    </w:pPr>
    <w:rPr>
      <w:rFonts w:ascii="Open Sans" w:hAnsi="Open Sans" w:cs="Open Sans"/>
      <w:color w:val="000000"/>
      <w:sz w:val="24"/>
      <w:szCs w:val="24"/>
    </w:rPr>
  </w:style>
  <w:style w:type="table" w:customStyle="1" w:styleId="TableGrid10">
    <w:name w:val="Table Grid1"/>
    <w:basedOn w:val="TableNormal"/>
    <w:next w:val="TableGrid"/>
    <w:uiPriority w:val="39"/>
    <w:rsid w:val="00E03B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39"/>
    <w:rsid w:val="00E03BA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834B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NumberChar">
    <w:name w:val="List Number Char"/>
    <w:basedOn w:val="DefaultParagraphFont"/>
    <w:link w:val="ListNumber"/>
    <w:rsid w:val="00537DEB"/>
    <w:rPr>
      <w:rFonts w:ascii="Open Sans" w:hAnsi="Open Sans"/>
      <w:sz w:val="24"/>
      <w:szCs w:val="24"/>
    </w:rPr>
  </w:style>
  <w:style w:type="paragraph" w:styleId="Revision">
    <w:name w:val="Revision"/>
    <w:hidden/>
    <w:uiPriority w:val="99"/>
    <w:semiHidden/>
    <w:rsid w:val="00863A8F"/>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72087">
      <w:bodyDiv w:val="1"/>
      <w:marLeft w:val="0"/>
      <w:marRight w:val="0"/>
      <w:marTop w:val="0"/>
      <w:marBottom w:val="0"/>
      <w:divBdr>
        <w:top w:val="none" w:sz="0" w:space="0" w:color="auto"/>
        <w:left w:val="none" w:sz="0" w:space="0" w:color="auto"/>
        <w:bottom w:val="none" w:sz="0" w:space="0" w:color="auto"/>
        <w:right w:val="none" w:sz="0" w:space="0" w:color="auto"/>
      </w:divBdr>
    </w:div>
    <w:div w:id="260261542">
      <w:bodyDiv w:val="1"/>
      <w:marLeft w:val="0"/>
      <w:marRight w:val="0"/>
      <w:marTop w:val="0"/>
      <w:marBottom w:val="0"/>
      <w:divBdr>
        <w:top w:val="none" w:sz="0" w:space="0" w:color="auto"/>
        <w:left w:val="none" w:sz="0" w:space="0" w:color="auto"/>
        <w:bottom w:val="none" w:sz="0" w:space="0" w:color="auto"/>
        <w:right w:val="none" w:sz="0" w:space="0" w:color="auto"/>
      </w:divBdr>
    </w:div>
    <w:div w:id="357437210">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859973909">
      <w:bodyDiv w:val="1"/>
      <w:marLeft w:val="0"/>
      <w:marRight w:val="0"/>
      <w:marTop w:val="0"/>
      <w:marBottom w:val="0"/>
      <w:divBdr>
        <w:top w:val="none" w:sz="0" w:space="0" w:color="auto"/>
        <w:left w:val="none" w:sz="0" w:space="0" w:color="auto"/>
        <w:bottom w:val="none" w:sz="0" w:space="0" w:color="auto"/>
        <w:right w:val="none" w:sz="0" w:space="0" w:color="auto"/>
      </w:divBdr>
    </w:div>
    <w:div w:id="874124085">
      <w:bodyDiv w:val="1"/>
      <w:marLeft w:val="0"/>
      <w:marRight w:val="0"/>
      <w:marTop w:val="0"/>
      <w:marBottom w:val="0"/>
      <w:divBdr>
        <w:top w:val="none" w:sz="0" w:space="0" w:color="auto"/>
        <w:left w:val="none" w:sz="0" w:space="0" w:color="auto"/>
        <w:bottom w:val="none" w:sz="0" w:space="0" w:color="auto"/>
        <w:right w:val="none" w:sz="0" w:space="0" w:color="auto"/>
      </w:divBdr>
    </w:div>
    <w:div w:id="898713740">
      <w:bodyDiv w:val="1"/>
      <w:marLeft w:val="0"/>
      <w:marRight w:val="0"/>
      <w:marTop w:val="0"/>
      <w:marBottom w:val="0"/>
      <w:divBdr>
        <w:top w:val="none" w:sz="0" w:space="0" w:color="auto"/>
        <w:left w:val="none" w:sz="0" w:space="0" w:color="auto"/>
        <w:bottom w:val="none" w:sz="0" w:space="0" w:color="auto"/>
        <w:right w:val="none" w:sz="0" w:space="0" w:color="auto"/>
      </w:divBdr>
    </w:div>
    <w:div w:id="1157497970">
      <w:bodyDiv w:val="1"/>
      <w:marLeft w:val="0"/>
      <w:marRight w:val="0"/>
      <w:marTop w:val="0"/>
      <w:marBottom w:val="0"/>
      <w:divBdr>
        <w:top w:val="none" w:sz="0" w:space="0" w:color="auto"/>
        <w:left w:val="none" w:sz="0" w:space="0" w:color="auto"/>
        <w:bottom w:val="none" w:sz="0" w:space="0" w:color="auto"/>
        <w:right w:val="none" w:sz="0" w:space="0" w:color="auto"/>
      </w:divBdr>
    </w:div>
    <w:div w:id="1257597341">
      <w:bodyDiv w:val="1"/>
      <w:marLeft w:val="0"/>
      <w:marRight w:val="0"/>
      <w:marTop w:val="0"/>
      <w:marBottom w:val="0"/>
      <w:divBdr>
        <w:top w:val="none" w:sz="0" w:space="0" w:color="auto"/>
        <w:left w:val="none" w:sz="0" w:space="0" w:color="auto"/>
        <w:bottom w:val="none" w:sz="0" w:space="0" w:color="auto"/>
        <w:right w:val="none" w:sz="0" w:space="0" w:color="auto"/>
      </w:divBdr>
    </w:div>
    <w:div w:id="1350258711">
      <w:bodyDiv w:val="1"/>
      <w:marLeft w:val="0"/>
      <w:marRight w:val="0"/>
      <w:marTop w:val="0"/>
      <w:marBottom w:val="0"/>
      <w:divBdr>
        <w:top w:val="none" w:sz="0" w:space="0" w:color="auto"/>
        <w:left w:val="none" w:sz="0" w:space="0" w:color="auto"/>
        <w:bottom w:val="none" w:sz="0" w:space="0" w:color="auto"/>
        <w:right w:val="none" w:sz="0" w:space="0" w:color="auto"/>
      </w:divBdr>
    </w:div>
    <w:div w:id="1645235443">
      <w:bodyDiv w:val="1"/>
      <w:marLeft w:val="0"/>
      <w:marRight w:val="0"/>
      <w:marTop w:val="0"/>
      <w:marBottom w:val="0"/>
      <w:divBdr>
        <w:top w:val="none" w:sz="0" w:space="0" w:color="auto"/>
        <w:left w:val="none" w:sz="0" w:space="0" w:color="auto"/>
        <w:bottom w:val="none" w:sz="0" w:space="0" w:color="auto"/>
        <w:right w:val="none" w:sz="0" w:space="0" w:color="auto"/>
      </w:divBdr>
    </w:div>
    <w:div w:id="1810972262">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mmission\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5515-191B-4BD1-9762-54CD303A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Electronic letterhead.dotx</Template>
  <TotalTime>115</TotalTime>
  <Pages>23</Pages>
  <Words>7112</Words>
  <Characters>40544</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47561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subject/>
  <dc:creator>Edward Santow</dc:creator>
  <cp:keywords/>
  <cp:lastModifiedBy>Jennifer Lim</cp:lastModifiedBy>
  <cp:revision>16</cp:revision>
  <cp:lastPrinted>2019-02-13T05:51:00Z</cp:lastPrinted>
  <dcterms:created xsi:type="dcterms:W3CDTF">2019-02-21T05:13:00Z</dcterms:created>
  <dcterms:modified xsi:type="dcterms:W3CDTF">2019-03-05T23:37:00Z</dcterms:modified>
</cp:coreProperties>
</file>