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F" w:rsidRPr="0059478A" w:rsidRDefault="00C06FEF" w:rsidP="00683985">
      <w:pPr>
        <w:pStyle w:val="Address"/>
        <w:spacing w:before="120"/>
        <w:rPr>
          <w:b/>
        </w:rPr>
      </w:pPr>
      <w:bookmarkStart w:id="0" w:name="_GoBack"/>
      <w:bookmarkEnd w:id="0"/>
      <w:r w:rsidRPr="0059478A">
        <w:rPr>
          <w:b/>
        </w:rPr>
        <w:t>All enquiries</w:t>
      </w:r>
    </w:p>
    <w:p w:rsidR="00C06FEF" w:rsidRPr="0059478A" w:rsidRDefault="00C06FEF" w:rsidP="004653B7">
      <w:pPr>
        <w:pStyle w:val="Address"/>
        <w:tabs>
          <w:tab w:val="clear" w:pos="1160"/>
          <w:tab w:val="left" w:pos="1428"/>
        </w:tabs>
      </w:pPr>
      <w:r w:rsidRPr="0059478A">
        <w:t xml:space="preserve">Telephone: </w:t>
      </w:r>
      <w:r w:rsidR="004653B7" w:rsidRPr="0059478A">
        <w:tab/>
      </w:r>
      <w:r w:rsidRPr="0059478A">
        <w:t xml:space="preserve">(08) 6213 </w:t>
      </w:r>
      <w:r w:rsidR="00E83621" w:rsidRPr="0059478A">
        <w:t>2210</w:t>
      </w:r>
    </w:p>
    <w:p w:rsidR="00C06FEF" w:rsidRPr="0059478A" w:rsidRDefault="00C06FEF" w:rsidP="004653B7">
      <w:pPr>
        <w:pStyle w:val="Address"/>
        <w:tabs>
          <w:tab w:val="clear" w:pos="1160"/>
          <w:tab w:val="left" w:pos="1428"/>
        </w:tabs>
      </w:pPr>
      <w:r w:rsidRPr="0059478A">
        <w:t>Email:</w:t>
      </w:r>
      <w:r w:rsidR="004653B7" w:rsidRPr="0059478A">
        <w:tab/>
      </w:r>
      <w:r w:rsidRPr="0059478A">
        <w:t xml:space="preserve"> </w:t>
      </w:r>
      <w:r w:rsidR="00E83621" w:rsidRPr="0059478A">
        <w:t>leanne</w:t>
      </w:r>
      <w:r w:rsidRPr="0059478A">
        <w:t>.</w:t>
      </w:r>
      <w:r w:rsidR="00E83621" w:rsidRPr="0059478A">
        <w:t>pech</w:t>
      </w:r>
      <w:r w:rsidRPr="0059478A">
        <w:t>@ccyp.wa.gov.au</w:t>
      </w:r>
    </w:p>
    <w:p w:rsidR="00C06FEF" w:rsidRPr="0059478A" w:rsidRDefault="00C06FEF" w:rsidP="004653B7">
      <w:pPr>
        <w:pStyle w:val="Address"/>
        <w:tabs>
          <w:tab w:val="clear" w:pos="1160"/>
          <w:tab w:val="left" w:pos="1428"/>
        </w:tabs>
      </w:pPr>
      <w:r w:rsidRPr="0059478A">
        <w:t xml:space="preserve">Our </w:t>
      </w:r>
      <w:r w:rsidR="005902E0" w:rsidRPr="0059478A">
        <w:t>reference</w:t>
      </w:r>
      <w:r w:rsidRPr="0059478A">
        <w:t>:</w:t>
      </w:r>
      <w:r w:rsidR="004653B7" w:rsidRPr="0059478A">
        <w:tab/>
      </w:r>
      <w:r w:rsidRPr="0059478A">
        <w:t xml:space="preserve"> </w:t>
      </w:r>
      <w:r w:rsidR="00B14AF7" w:rsidRPr="0059478A">
        <w:t>13/5658</w:t>
      </w:r>
    </w:p>
    <w:p w:rsidR="00C06FEF" w:rsidRPr="0059478A" w:rsidRDefault="00C06FEF" w:rsidP="004653B7">
      <w:pPr>
        <w:pStyle w:val="Normalnospaceafter"/>
        <w:rPr>
          <w:rFonts w:cs="Tahoma"/>
        </w:rPr>
      </w:pPr>
    </w:p>
    <w:p w:rsidR="00C06FEF" w:rsidRPr="0059478A" w:rsidRDefault="00C06FEF" w:rsidP="004653B7">
      <w:pPr>
        <w:pStyle w:val="Normalnospaceafter"/>
        <w:rPr>
          <w:rFonts w:cs="Tahoma"/>
        </w:rPr>
      </w:pPr>
    </w:p>
    <w:p w:rsidR="00C06FEF" w:rsidRPr="0059478A" w:rsidRDefault="00C06FEF" w:rsidP="004653B7">
      <w:pPr>
        <w:pStyle w:val="Normalnospaceafter"/>
        <w:rPr>
          <w:rFonts w:cs="Tahoma"/>
        </w:rPr>
      </w:pPr>
    </w:p>
    <w:p w:rsidR="00C06FEF" w:rsidRPr="0059478A" w:rsidRDefault="00E83621" w:rsidP="004653B7">
      <w:pPr>
        <w:pStyle w:val="Normalnospaceafter"/>
        <w:rPr>
          <w:rFonts w:cs="Tahoma"/>
        </w:rPr>
      </w:pPr>
      <w:r w:rsidRPr="0059478A">
        <w:rPr>
          <w:rFonts w:cs="Tahoma"/>
        </w:rPr>
        <w:t>Mr</w:t>
      </w:r>
      <w:r w:rsidR="003D32CF" w:rsidRPr="0059478A">
        <w:rPr>
          <w:rFonts w:cs="Tahoma"/>
        </w:rPr>
        <w:t xml:space="preserve"> </w:t>
      </w:r>
      <w:r w:rsidRPr="0059478A">
        <w:rPr>
          <w:rFonts w:cs="Tahoma"/>
        </w:rPr>
        <w:t>Graeme</w:t>
      </w:r>
      <w:r w:rsidR="003D32CF" w:rsidRPr="0059478A">
        <w:rPr>
          <w:rFonts w:cs="Tahoma"/>
        </w:rPr>
        <w:t xml:space="preserve"> </w:t>
      </w:r>
      <w:r w:rsidRPr="0059478A">
        <w:rPr>
          <w:rFonts w:cs="Tahoma"/>
        </w:rPr>
        <w:t>Innes AM</w:t>
      </w:r>
    </w:p>
    <w:p w:rsidR="00B63790" w:rsidRPr="0059478A" w:rsidRDefault="00E83621" w:rsidP="004653B7">
      <w:pPr>
        <w:pStyle w:val="Normalnospaceafter"/>
        <w:rPr>
          <w:rFonts w:cs="Tahoma"/>
        </w:rPr>
      </w:pPr>
      <w:r w:rsidRPr="0059478A">
        <w:rPr>
          <w:rFonts w:cs="Tahoma"/>
        </w:rPr>
        <w:t>Disability Discrimination Commissioner</w:t>
      </w:r>
    </w:p>
    <w:p w:rsidR="00C06FEF" w:rsidRPr="0059478A" w:rsidRDefault="00E83621" w:rsidP="004653B7">
      <w:pPr>
        <w:pStyle w:val="Normalnospaceafter"/>
        <w:rPr>
          <w:rFonts w:cs="Tahoma"/>
        </w:rPr>
      </w:pPr>
      <w:r w:rsidRPr="0059478A">
        <w:rPr>
          <w:rFonts w:cs="Tahoma"/>
        </w:rPr>
        <w:t>Australian Human Rights Commission</w:t>
      </w:r>
    </w:p>
    <w:p w:rsidR="00C06FEF" w:rsidRPr="0059478A" w:rsidRDefault="00E83621" w:rsidP="004653B7">
      <w:pPr>
        <w:pStyle w:val="Normalnospaceafter"/>
        <w:rPr>
          <w:rFonts w:cs="Tahoma"/>
        </w:rPr>
      </w:pPr>
      <w:r w:rsidRPr="0059478A">
        <w:rPr>
          <w:rFonts w:cs="Tahoma"/>
        </w:rPr>
        <w:t>GPO Box 5218</w:t>
      </w:r>
    </w:p>
    <w:p w:rsidR="00C06FEF" w:rsidRPr="0059478A" w:rsidRDefault="00E83621" w:rsidP="004653B7">
      <w:pPr>
        <w:pStyle w:val="Normalnospaceafter"/>
        <w:rPr>
          <w:rFonts w:cs="Tahoma"/>
          <w:caps/>
        </w:rPr>
      </w:pPr>
      <w:r w:rsidRPr="0059478A">
        <w:rPr>
          <w:rFonts w:cs="Tahoma"/>
          <w:caps/>
          <w:szCs w:val="22"/>
        </w:rPr>
        <w:t>sydney</w:t>
      </w:r>
      <w:r w:rsidR="004653B7" w:rsidRPr="0059478A">
        <w:rPr>
          <w:rFonts w:cs="Tahoma"/>
          <w:caps/>
        </w:rPr>
        <w:t xml:space="preserve"> </w:t>
      </w:r>
      <w:r w:rsidRPr="0059478A">
        <w:rPr>
          <w:rFonts w:cs="Tahoma"/>
          <w:caps/>
          <w:szCs w:val="22"/>
        </w:rPr>
        <w:t>nsw</w:t>
      </w:r>
      <w:r w:rsidR="004653B7" w:rsidRPr="0059478A">
        <w:rPr>
          <w:rFonts w:cs="Tahoma"/>
          <w:caps/>
        </w:rPr>
        <w:t xml:space="preserve"> </w:t>
      </w:r>
      <w:r w:rsidRPr="0059478A">
        <w:rPr>
          <w:rFonts w:cs="Tahoma"/>
          <w:caps/>
        </w:rPr>
        <w:t>2001</w:t>
      </w:r>
    </w:p>
    <w:p w:rsidR="003F71A2" w:rsidRPr="0059478A" w:rsidRDefault="003F71A2" w:rsidP="004653B7">
      <w:pPr>
        <w:pStyle w:val="Normalnospaceafter"/>
        <w:rPr>
          <w:rFonts w:cs="Tahoma"/>
        </w:rPr>
      </w:pPr>
    </w:p>
    <w:p w:rsidR="003F71A2" w:rsidRPr="0059478A" w:rsidRDefault="003F71A2" w:rsidP="004653B7">
      <w:pPr>
        <w:pStyle w:val="Normalnospaceafter"/>
        <w:rPr>
          <w:rFonts w:cs="Tahoma"/>
        </w:rPr>
      </w:pPr>
    </w:p>
    <w:p w:rsidR="003F71A2" w:rsidRPr="0059478A" w:rsidRDefault="003F71A2" w:rsidP="004653B7">
      <w:pPr>
        <w:pStyle w:val="Normalnospaceafter"/>
        <w:rPr>
          <w:rFonts w:cs="Tahoma"/>
        </w:rPr>
      </w:pPr>
    </w:p>
    <w:p w:rsidR="00C06FEF" w:rsidRPr="0059478A" w:rsidRDefault="00C06FEF" w:rsidP="004653B7">
      <w:pPr>
        <w:rPr>
          <w:rFonts w:cs="Tahoma"/>
        </w:rPr>
      </w:pPr>
      <w:r w:rsidRPr="0059478A">
        <w:rPr>
          <w:rFonts w:cs="Tahoma"/>
        </w:rPr>
        <w:t xml:space="preserve">Dear </w:t>
      </w:r>
      <w:r w:rsidR="00E83621" w:rsidRPr="0059478A">
        <w:rPr>
          <w:rFonts w:cs="Tahoma"/>
        </w:rPr>
        <w:t>Mr</w:t>
      </w:r>
      <w:r w:rsidR="003D32CF" w:rsidRPr="0059478A">
        <w:rPr>
          <w:rFonts w:cs="Tahoma"/>
        </w:rPr>
        <w:t xml:space="preserve"> </w:t>
      </w:r>
      <w:r w:rsidR="00E83621" w:rsidRPr="0059478A">
        <w:rPr>
          <w:rFonts w:cs="Tahoma"/>
        </w:rPr>
        <w:t>Innes</w:t>
      </w:r>
    </w:p>
    <w:p w:rsidR="00C06FEF" w:rsidRPr="0059478A" w:rsidRDefault="00E83621" w:rsidP="004653B7">
      <w:pPr>
        <w:pStyle w:val="Subject"/>
        <w:rPr>
          <w:rFonts w:cs="Tahoma"/>
        </w:rPr>
      </w:pPr>
      <w:r w:rsidRPr="0059478A">
        <w:rPr>
          <w:rFonts w:cs="Tahoma"/>
        </w:rPr>
        <w:t>Access to justice in the criminal justice system for people with disability</w:t>
      </w:r>
    </w:p>
    <w:p w:rsidR="00D516BE" w:rsidRPr="0059478A" w:rsidRDefault="008E23E0" w:rsidP="00A66B11">
      <w:pPr>
        <w:rPr>
          <w:rFonts w:cs="Tahoma"/>
        </w:rPr>
      </w:pPr>
      <w:r w:rsidRPr="0059478A">
        <w:rPr>
          <w:rFonts w:cs="Tahoma"/>
        </w:rPr>
        <w:t>Thank you for the invitation to meet with yo</w:t>
      </w:r>
      <w:r w:rsidR="0090253D" w:rsidRPr="0059478A">
        <w:rPr>
          <w:rFonts w:cs="Tahoma"/>
        </w:rPr>
        <w:t xml:space="preserve">u on your recent visit to Perth </w:t>
      </w:r>
      <w:r w:rsidR="00A66B11" w:rsidRPr="0059478A">
        <w:rPr>
          <w:rFonts w:cs="Tahoma"/>
        </w:rPr>
        <w:t xml:space="preserve">to </w:t>
      </w:r>
      <w:r w:rsidR="00D516BE" w:rsidRPr="0059478A">
        <w:rPr>
          <w:rFonts w:cs="Tahoma"/>
        </w:rPr>
        <w:t xml:space="preserve">discuss the issue of access to justice for </w:t>
      </w:r>
      <w:r w:rsidR="0059478A">
        <w:rPr>
          <w:rFonts w:cs="Tahoma"/>
        </w:rPr>
        <w:t>people with disability</w:t>
      </w:r>
      <w:r w:rsidR="00CB40FD" w:rsidRPr="0059478A">
        <w:rPr>
          <w:rFonts w:cs="Tahoma"/>
        </w:rPr>
        <w:t xml:space="preserve"> in the criminal justice system. </w:t>
      </w:r>
    </w:p>
    <w:p w:rsidR="00A66B11" w:rsidRPr="0059478A" w:rsidRDefault="00A66B11" w:rsidP="00A66B11">
      <w:pPr>
        <w:rPr>
          <w:rFonts w:cs="Tahoma"/>
        </w:rPr>
      </w:pPr>
      <w:r w:rsidRPr="0059478A">
        <w:rPr>
          <w:rFonts w:cs="Tahoma"/>
        </w:rPr>
        <w:t xml:space="preserve">I welcome the focus by the </w:t>
      </w:r>
      <w:r w:rsidR="00D516BE" w:rsidRPr="0059478A">
        <w:rPr>
          <w:rFonts w:cs="Tahoma"/>
        </w:rPr>
        <w:t>Australian Human Rights Commission</w:t>
      </w:r>
      <w:r w:rsidR="00E85977" w:rsidRPr="0059478A">
        <w:rPr>
          <w:rFonts w:cs="Tahoma"/>
        </w:rPr>
        <w:t xml:space="preserve"> (AHRC)</w:t>
      </w:r>
      <w:r w:rsidR="00D516BE" w:rsidRPr="0059478A">
        <w:rPr>
          <w:rFonts w:cs="Tahoma"/>
        </w:rPr>
        <w:t xml:space="preserve"> </w:t>
      </w:r>
      <w:r w:rsidRPr="0059478A">
        <w:rPr>
          <w:rFonts w:cs="Tahoma"/>
        </w:rPr>
        <w:t xml:space="preserve">on this important </w:t>
      </w:r>
      <w:r w:rsidR="00100BC9" w:rsidRPr="0059478A">
        <w:rPr>
          <w:rFonts w:cs="Tahoma"/>
        </w:rPr>
        <w:t>issue and the wide</w:t>
      </w:r>
      <w:r w:rsidR="005640C9" w:rsidRPr="0059478A">
        <w:rPr>
          <w:rFonts w:cs="Tahoma"/>
        </w:rPr>
        <w:t xml:space="preserve"> consultation.</w:t>
      </w:r>
      <w:r w:rsidR="003C6D40" w:rsidRPr="0059478A">
        <w:rPr>
          <w:rFonts w:cs="Tahoma"/>
        </w:rPr>
        <w:t xml:space="preserve"> </w:t>
      </w:r>
    </w:p>
    <w:p w:rsidR="00EB4289" w:rsidRPr="0059478A" w:rsidRDefault="00EB4289" w:rsidP="00EB4289">
      <w:pPr>
        <w:rPr>
          <w:rFonts w:cs="Tahoma"/>
        </w:rPr>
      </w:pPr>
      <w:r w:rsidRPr="0059478A">
        <w:rPr>
          <w:rFonts w:cs="Tahoma"/>
        </w:rPr>
        <w:t xml:space="preserve">I </w:t>
      </w:r>
      <w:r w:rsidR="00DC448B" w:rsidRPr="0059478A">
        <w:rPr>
          <w:rFonts w:cs="Tahoma"/>
        </w:rPr>
        <w:t>note that the AHRC</w:t>
      </w:r>
      <w:r w:rsidRPr="0059478A">
        <w:rPr>
          <w:rFonts w:cs="Tahoma"/>
        </w:rPr>
        <w:t xml:space="preserve"> is including in the scope of its work people with disability who are victims of crime, accused of crimes, witn</w:t>
      </w:r>
      <w:r w:rsidR="00DC448B" w:rsidRPr="0059478A">
        <w:rPr>
          <w:rFonts w:cs="Tahoma"/>
        </w:rPr>
        <w:t>esses, defendants and offenders and that five key barriers that limit or prevent access to justice have been identified.</w:t>
      </w:r>
    </w:p>
    <w:p w:rsidR="009D0D33" w:rsidRPr="0059478A" w:rsidRDefault="009D0D33" w:rsidP="00EB4289">
      <w:pPr>
        <w:rPr>
          <w:rFonts w:cs="Tahoma"/>
        </w:rPr>
      </w:pPr>
      <w:r w:rsidRPr="0059478A">
        <w:rPr>
          <w:rFonts w:cs="Tahoma"/>
        </w:rPr>
        <w:t>Due to the profound impact the justice system can have on young people and the vulnerability of those children and young people who are coming into contact with the criminal justice system, youth justice has been a priority area for me since my appointment in 2007.</w:t>
      </w:r>
    </w:p>
    <w:p w:rsidR="00EB4289" w:rsidRPr="0059478A" w:rsidRDefault="008C6462" w:rsidP="00DA0899">
      <w:pPr>
        <w:rPr>
          <w:rFonts w:cs="Tahoma"/>
        </w:rPr>
      </w:pPr>
      <w:r w:rsidRPr="0059478A">
        <w:rPr>
          <w:rFonts w:cs="Tahoma"/>
        </w:rPr>
        <w:t>My response will</w:t>
      </w:r>
      <w:r w:rsidR="009D0D33" w:rsidRPr="0059478A">
        <w:rPr>
          <w:rFonts w:cs="Tahoma"/>
        </w:rPr>
        <w:t xml:space="preserve"> therefore </w:t>
      </w:r>
      <w:r w:rsidRPr="0059478A">
        <w:rPr>
          <w:rFonts w:cs="Tahoma"/>
        </w:rPr>
        <w:t xml:space="preserve">primarily </w:t>
      </w:r>
      <w:r w:rsidR="009D0D33" w:rsidRPr="0059478A">
        <w:rPr>
          <w:rFonts w:cs="Tahoma"/>
        </w:rPr>
        <w:t xml:space="preserve">focus on </w:t>
      </w:r>
      <w:r w:rsidR="005028B9" w:rsidRPr="0059478A">
        <w:rPr>
          <w:rFonts w:cs="Tahoma"/>
          <w:lang w:eastAsia="en-AU"/>
        </w:rPr>
        <w:t xml:space="preserve">Barrier 1, </w:t>
      </w:r>
      <w:r w:rsidRPr="0059478A">
        <w:rPr>
          <w:rFonts w:cs="Tahoma"/>
          <w:lang w:eastAsia="en-AU"/>
        </w:rPr>
        <w:t xml:space="preserve">Barrier 4 </w:t>
      </w:r>
      <w:r w:rsidR="005028B9" w:rsidRPr="0059478A">
        <w:rPr>
          <w:rFonts w:cs="Tahoma"/>
          <w:lang w:eastAsia="en-AU"/>
        </w:rPr>
        <w:t xml:space="preserve">and Barrier 5 </w:t>
      </w:r>
      <w:r w:rsidRPr="0059478A">
        <w:rPr>
          <w:rFonts w:cs="Tahoma"/>
          <w:lang w:eastAsia="en-AU"/>
        </w:rPr>
        <w:t xml:space="preserve">in relation to </w:t>
      </w:r>
      <w:r w:rsidR="00EB4289" w:rsidRPr="0059478A">
        <w:rPr>
          <w:rFonts w:cs="Tahoma"/>
          <w:lang w:eastAsia="en-AU"/>
        </w:rPr>
        <w:t>children and young people</w:t>
      </w:r>
      <w:r w:rsidRPr="0059478A">
        <w:rPr>
          <w:rFonts w:cs="Tahoma"/>
        </w:rPr>
        <w:t>.</w:t>
      </w:r>
    </w:p>
    <w:p w:rsidR="00A66B11" w:rsidRPr="0059478A" w:rsidRDefault="00DA0899" w:rsidP="00DA0899">
      <w:pPr>
        <w:rPr>
          <w:rFonts w:cs="Tahoma"/>
          <w:highlight w:val="yellow"/>
        </w:rPr>
      </w:pPr>
      <w:r w:rsidRPr="0059478A">
        <w:rPr>
          <w:rFonts w:cs="Tahoma"/>
          <w:b/>
          <w:bCs/>
          <w:szCs w:val="22"/>
        </w:rPr>
        <w:t>Introduction</w:t>
      </w:r>
    </w:p>
    <w:p w:rsidR="00DA0899" w:rsidRPr="0059478A" w:rsidRDefault="00DA0899" w:rsidP="00DA0899">
      <w:pPr>
        <w:autoSpaceDE w:val="0"/>
        <w:autoSpaceDN w:val="0"/>
        <w:adjustRightInd w:val="0"/>
        <w:spacing w:after="0"/>
        <w:rPr>
          <w:rFonts w:cs="Tahoma"/>
          <w:lang w:eastAsia="en-AU"/>
        </w:rPr>
      </w:pPr>
      <w:r w:rsidRPr="0059478A">
        <w:rPr>
          <w:rFonts w:cs="Tahoma"/>
          <w:lang w:eastAsia="en-AU"/>
        </w:rPr>
        <w:t xml:space="preserve">As Western Australia’s inaugural Commissioner for Children and Young People my role is one of broad advocacy. Under the </w:t>
      </w:r>
      <w:r w:rsidRPr="0059478A">
        <w:rPr>
          <w:rFonts w:cs="Tahoma"/>
          <w:i/>
          <w:lang w:eastAsia="en-AU"/>
        </w:rPr>
        <w:t>Commissioner for Children and Young People Act 2006</w:t>
      </w:r>
      <w:r w:rsidRPr="0059478A">
        <w:rPr>
          <w:rFonts w:cs="Tahoma"/>
          <w:lang w:eastAsia="en-AU"/>
        </w:rPr>
        <w:t xml:space="preserve"> (WA)</w:t>
      </w:r>
      <w:r w:rsidRPr="0059478A">
        <w:rPr>
          <w:rFonts w:cs="Tahoma"/>
          <w:i/>
          <w:lang w:eastAsia="en-AU"/>
        </w:rPr>
        <w:t xml:space="preserve"> </w:t>
      </w:r>
      <w:r w:rsidRPr="0059478A">
        <w:rPr>
          <w:rFonts w:cs="Tahoma"/>
          <w:lang w:eastAsia="en-AU"/>
        </w:rPr>
        <w:t xml:space="preserve">(the Act) I have responsibility for advocating for over half a million Western Australian citizens under the age of 18 and for promoting and monitoring their wellbeing.  </w:t>
      </w:r>
    </w:p>
    <w:p w:rsidR="00DA0899" w:rsidRPr="0059478A" w:rsidRDefault="00DA0899" w:rsidP="00DA0899">
      <w:pPr>
        <w:autoSpaceDE w:val="0"/>
        <w:autoSpaceDN w:val="0"/>
        <w:adjustRightInd w:val="0"/>
        <w:spacing w:after="0"/>
        <w:rPr>
          <w:rFonts w:cs="Tahoma"/>
          <w:lang w:eastAsia="en-AU"/>
        </w:rPr>
      </w:pPr>
    </w:p>
    <w:p w:rsidR="00CF4A77" w:rsidRPr="0059478A" w:rsidRDefault="00DA0899" w:rsidP="00DA0899">
      <w:pPr>
        <w:autoSpaceDE w:val="0"/>
        <w:autoSpaceDN w:val="0"/>
        <w:adjustRightInd w:val="0"/>
        <w:spacing w:after="0"/>
        <w:rPr>
          <w:rFonts w:cs="Tahoma"/>
          <w:lang w:eastAsia="en-AU"/>
        </w:rPr>
      </w:pPr>
      <w:r w:rsidRPr="0059478A">
        <w:rPr>
          <w:rFonts w:cs="Tahoma"/>
          <w:lang w:eastAsia="en-AU"/>
        </w:rPr>
        <w:t xml:space="preserve">In performing all functions under the Act the best interests of children and young people must be my paramount consideration and I must have regard to the United </w:t>
      </w:r>
      <w:r w:rsidRPr="0059478A">
        <w:rPr>
          <w:rFonts w:cs="Tahoma"/>
          <w:lang w:eastAsia="en-AU"/>
        </w:rPr>
        <w:lastRenderedPageBreak/>
        <w:t xml:space="preserve">Nations Convention on the Rights of the Child.  I must also give priority, and have special regard to, the interests and needs of Aboriginal and Torres Strait Islander children and young people, and to children and young people who are vulnerable or disadvantaged for any reason. </w:t>
      </w:r>
    </w:p>
    <w:p w:rsidR="00A44427" w:rsidRPr="0059478A" w:rsidRDefault="00A44427" w:rsidP="00DA0899">
      <w:pPr>
        <w:autoSpaceDE w:val="0"/>
        <w:autoSpaceDN w:val="0"/>
        <w:adjustRightInd w:val="0"/>
        <w:spacing w:after="0"/>
        <w:rPr>
          <w:rFonts w:cs="Tahoma"/>
          <w:lang w:eastAsia="en-AU"/>
        </w:rPr>
      </w:pPr>
    </w:p>
    <w:p w:rsidR="00DA0899" w:rsidRPr="0059478A" w:rsidRDefault="00DA0899" w:rsidP="00DA0899">
      <w:pPr>
        <w:autoSpaceDE w:val="0"/>
        <w:autoSpaceDN w:val="0"/>
        <w:adjustRightInd w:val="0"/>
        <w:spacing w:after="0"/>
        <w:rPr>
          <w:rFonts w:cs="Tahoma"/>
          <w:lang w:eastAsia="en-AU"/>
        </w:rPr>
      </w:pPr>
      <w:r w:rsidRPr="0059478A">
        <w:rPr>
          <w:rFonts w:cs="Tahoma"/>
          <w:lang w:eastAsia="en-AU"/>
        </w:rPr>
        <w:t xml:space="preserve">Under the Act I have a number </w:t>
      </w:r>
      <w:r w:rsidR="00CB40FD" w:rsidRPr="0059478A">
        <w:rPr>
          <w:rFonts w:cs="Tahoma"/>
          <w:lang w:eastAsia="en-AU"/>
        </w:rPr>
        <w:t xml:space="preserve">of </w:t>
      </w:r>
      <w:r w:rsidRPr="0059478A">
        <w:rPr>
          <w:rFonts w:cs="Tahoma"/>
          <w:lang w:eastAsia="en-AU"/>
        </w:rPr>
        <w:t xml:space="preserve">specific functions including </w:t>
      </w:r>
      <w:r w:rsidR="00CB40FD" w:rsidRPr="0059478A">
        <w:rPr>
          <w:rFonts w:cs="Tahoma"/>
          <w:lang w:eastAsia="en-AU"/>
        </w:rPr>
        <w:t>monitoring and reviewing</w:t>
      </w:r>
      <w:r w:rsidRPr="0059478A">
        <w:rPr>
          <w:rFonts w:cs="Tahoma"/>
          <w:lang w:eastAsia="en-AU"/>
        </w:rPr>
        <w:t xml:space="preserve"> laws, policies, practices and services that affect the wellbeing of children and young people.</w:t>
      </w:r>
      <w:r w:rsidRPr="0059478A">
        <w:rPr>
          <w:rStyle w:val="FootnoteReference"/>
          <w:rFonts w:cs="Tahoma"/>
          <w:lang w:eastAsia="en-AU"/>
        </w:rPr>
        <w:footnoteReference w:id="1"/>
      </w:r>
    </w:p>
    <w:p w:rsidR="00DA0899" w:rsidRPr="0059478A" w:rsidRDefault="00DA0899" w:rsidP="00DA0899">
      <w:pPr>
        <w:autoSpaceDE w:val="0"/>
        <w:autoSpaceDN w:val="0"/>
        <w:adjustRightInd w:val="0"/>
        <w:spacing w:after="0"/>
        <w:rPr>
          <w:rFonts w:cs="Tahoma"/>
          <w:lang w:eastAsia="en-AU"/>
        </w:rPr>
      </w:pPr>
    </w:p>
    <w:p w:rsidR="00DA0899" w:rsidRPr="0059478A" w:rsidRDefault="00DA0899" w:rsidP="00DA0899">
      <w:pPr>
        <w:autoSpaceDE w:val="0"/>
        <w:autoSpaceDN w:val="0"/>
        <w:adjustRightInd w:val="0"/>
        <w:spacing w:after="0"/>
        <w:rPr>
          <w:rFonts w:cs="Tahoma"/>
          <w:lang w:eastAsia="en-AU"/>
        </w:rPr>
      </w:pPr>
      <w:r w:rsidRPr="0059478A">
        <w:rPr>
          <w:rFonts w:cs="Tahoma"/>
          <w:lang w:eastAsia="en-AU"/>
        </w:rPr>
        <w:t xml:space="preserve">It is with these responsibilities in mind that I </w:t>
      </w:r>
      <w:r w:rsidR="008C6462" w:rsidRPr="0059478A">
        <w:rPr>
          <w:rFonts w:cs="Tahoma"/>
          <w:lang w:eastAsia="en-AU"/>
        </w:rPr>
        <w:t>provide my response</w:t>
      </w:r>
      <w:r w:rsidR="00EB4289" w:rsidRPr="0059478A">
        <w:rPr>
          <w:rFonts w:cs="Tahoma"/>
          <w:lang w:eastAsia="en-AU"/>
        </w:rPr>
        <w:t>.</w:t>
      </w:r>
    </w:p>
    <w:p w:rsidR="00E85977" w:rsidRPr="0059478A" w:rsidRDefault="00E85977" w:rsidP="00DA0899">
      <w:pPr>
        <w:autoSpaceDE w:val="0"/>
        <w:autoSpaceDN w:val="0"/>
        <w:adjustRightInd w:val="0"/>
        <w:spacing w:after="0"/>
        <w:rPr>
          <w:rFonts w:cs="Tahoma"/>
          <w:lang w:eastAsia="en-AU"/>
        </w:rPr>
      </w:pPr>
    </w:p>
    <w:p w:rsidR="00E85977" w:rsidRPr="0059478A" w:rsidRDefault="003C6D40" w:rsidP="00E85977">
      <w:pPr>
        <w:pStyle w:val="Default"/>
        <w:rPr>
          <w:b/>
          <w:sz w:val="22"/>
          <w:szCs w:val="22"/>
        </w:rPr>
      </w:pPr>
      <w:r w:rsidRPr="0059478A">
        <w:rPr>
          <w:b/>
          <w:sz w:val="22"/>
          <w:szCs w:val="22"/>
        </w:rPr>
        <w:t>Western Australia’s children and young people</w:t>
      </w:r>
    </w:p>
    <w:p w:rsidR="00CF4A77" w:rsidRPr="0059478A" w:rsidRDefault="00CF4A77" w:rsidP="00E85977">
      <w:pPr>
        <w:pStyle w:val="Default"/>
      </w:pPr>
    </w:p>
    <w:p w:rsidR="00723291" w:rsidRPr="0059478A" w:rsidRDefault="003C6D40" w:rsidP="003C6D40">
      <w:pPr>
        <w:rPr>
          <w:rFonts w:cs="Tahoma"/>
        </w:rPr>
      </w:pPr>
      <w:r w:rsidRPr="0059478A">
        <w:rPr>
          <w:rFonts w:cs="Tahoma"/>
        </w:rPr>
        <w:t xml:space="preserve">Western Australia’s population includes around 540,000 children and young people, around one quarter of the total population. Of these, </w:t>
      </w:r>
      <w:r w:rsidR="00D61585" w:rsidRPr="0059478A">
        <w:rPr>
          <w:rFonts w:cs="Tahoma"/>
        </w:rPr>
        <w:t>approximately</w:t>
      </w:r>
      <w:r w:rsidRPr="0059478A">
        <w:rPr>
          <w:rFonts w:cs="Tahoma"/>
        </w:rPr>
        <w:t xml:space="preserve"> 31,000 (nearly 6 per cent) </w:t>
      </w:r>
      <w:r w:rsidR="0025628F" w:rsidRPr="0059478A">
        <w:rPr>
          <w:rFonts w:cs="Tahoma"/>
        </w:rPr>
        <w:t>are Aboriginal.</w:t>
      </w:r>
      <w:r w:rsidRPr="0059478A">
        <w:rPr>
          <w:rFonts w:cs="Tahoma"/>
          <w:vertAlign w:val="superscript"/>
        </w:rPr>
        <w:footnoteReference w:id="2"/>
      </w:r>
      <w:r w:rsidRPr="0059478A">
        <w:rPr>
          <w:rFonts w:cs="Tahoma"/>
        </w:rPr>
        <w:t xml:space="preserve"> The non-Aboriginal population of young people is concentrated in the metropolitan area (around 71 per cent), while nearly two-thirds of Aboriginal young people live outside the metropolitan area.</w:t>
      </w:r>
      <w:r w:rsidR="0059478A">
        <w:rPr>
          <w:rStyle w:val="FootnoteReference"/>
          <w:rFonts w:cs="Tahoma"/>
        </w:rPr>
        <w:footnoteReference w:id="3"/>
      </w:r>
      <w:r w:rsidR="00A67440" w:rsidRPr="0059478A">
        <w:rPr>
          <w:rFonts w:cs="Tahoma"/>
        </w:rPr>
        <w:t xml:space="preserve"> </w:t>
      </w:r>
    </w:p>
    <w:p w:rsidR="003C6D40" w:rsidRPr="0059478A" w:rsidRDefault="00A67440" w:rsidP="003C6D40">
      <w:pPr>
        <w:rPr>
          <w:rFonts w:cs="Tahoma"/>
        </w:rPr>
      </w:pPr>
      <w:r w:rsidRPr="0059478A">
        <w:rPr>
          <w:rFonts w:cs="Tahoma"/>
        </w:rPr>
        <w:t>It is estimated that 8.3 per cent of 0 to 14 year-olds in WA are living with disability.</w:t>
      </w:r>
      <w:r w:rsidR="0025628F" w:rsidRPr="0059478A">
        <w:rPr>
          <w:rStyle w:val="FootnoteReference"/>
          <w:rFonts w:cs="Tahoma"/>
        </w:rPr>
        <w:footnoteReference w:id="4"/>
      </w:r>
      <w:r w:rsidR="00723291" w:rsidRPr="0059478A">
        <w:rPr>
          <w:rFonts w:cs="Tahoma"/>
        </w:rPr>
        <w:t xml:space="preserve"> </w:t>
      </w:r>
      <w:r w:rsidR="00447C28" w:rsidRPr="0059478A">
        <w:rPr>
          <w:rFonts w:cs="Tahoma"/>
        </w:rPr>
        <w:t>Data from the WA Disability Services Commission shows that i</w:t>
      </w:r>
      <w:r w:rsidR="0072005D" w:rsidRPr="0059478A">
        <w:rPr>
          <w:rFonts w:cs="Tahoma"/>
        </w:rPr>
        <w:t>n 2011</w:t>
      </w:r>
      <w:r w:rsidRPr="0059478A">
        <w:rPr>
          <w:rFonts w:cs="Tahoma"/>
        </w:rPr>
        <w:t xml:space="preserve"> 6,667 children and young people in WA had accessed a disa</w:t>
      </w:r>
      <w:r w:rsidR="0072005D" w:rsidRPr="0059478A">
        <w:rPr>
          <w:rFonts w:cs="Tahoma"/>
        </w:rPr>
        <w:t>bility services provider</w:t>
      </w:r>
      <w:r w:rsidR="00886101" w:rsidRPr="0059478A">
        <w:rPr>
          <w:rFonts w:cs="Tahoma"/>
        </w:rPr>
        <w:t xml:space="preserve">, representing </w:t>
      </w:r>
      <w:r w:rsidRPr="0059478A">
        <w:rPr>
          <w:rFonts w:cs="Tahoma"/>
        </w:rPr>
        <w:t>1.2 per cent of the overall population of 0 to 17 years-olds in WA. Aboriginal children and young people represented 6.3 per cent of clients and male children were more than twice as likely to access a disability services provider as their female counterparts</w:t>
      </w:r>
      <w:r w:rsidRPr="0059478A">
        <w:rPr>
          <w:rFonts w:cs="Tahoma"/>
          <w:szCs w:val="22"/>
        </w:rPr>
        <w:t>.</w:t>
      </w:r>
      <w:r w:rsidR="00B20AEE" w:rsidRPr="00B20AEE">
        <w:rPr>
          <w:rStyle w:val="FootnoteReference"/>
          <w:rFonts w:cs="Tahoma"/>
          <w:szCs w:val="22"/>
        </w:rPr>
        <w:t xml:space="preserve"> </w:t>
      </w:r>
      <w:r w:rsidR="00B20AEE" w:rsidRPr="0059478A">
        <w:rPr>
          <w:rStyle w:val="FootnoteReference"/>
          <w:rFonts w:cs="Tahoma"/>
          <w:szCs w:val="22"/>
        </w:rPr>
        <w:footnoteReference w:id="5"/>
      </w:r>
      <w:r w:rsidR="00B20AEE">
        <w:rPr>
          <w:rFonts w:cs="Tahoma"/>
          <w:szCs w:val="22"/>
        </w:rPr>
        <w:t xml:space="preserve"> </w:t>
      </w:r>
      <w:r w:rsidR="00F528F7" w:rsidRPr="0059478A">
        <w:rPr>
          <w:rStyle w:val="FootnoteReference"/>
          <w:rFonts w:cs="Tahoma"/>
          <w:szCs w:val="22"/>
        </w:rPr>
        <w:footnoteReference w:id="6"/>
      </w:r>
      <w:r w:rsidR="00755A5D" w:rsidRPr="0059478A">
        <w:rPr>
          <w:rFonts w:cs="Tahoma"/>
          <w:szCs w:val="22"/>
        </w:rPr>
        <w:t xml:space="preserve"> </w:t>
      </w:r>
    </w:p>
    <w:p w:rsidR="00F6030C" w:rsidRPr="0059478A" w:rsidRDefault="00F6030C" w:rsidP="003C6D40">
      <w:pPr>
        <w:rPr>
          <w:rFonts w:cs="Tahoma"/>
        </w:rPr>
      </w:pPr>
      <w:r w:rsidRPr="0059478A">
        <w:rPr>
          <w:rFonts w:cs="Tahoma"/>
          <w:b/>
        </w:rPr>
        <w:t>The demographics of youth justice in Western Australia</w:t>
      </w:r>
    </w:p>
    <w:p w:rsidR="003C6D40" w:rsidRPr="0059478A" w:rsidRDefault="00774A32" w:rsidP="003C6D40">
      <w:pPr>
        <w:rPr>
          <w:rFonts w:cs="Tahoma"/>
        </w:rPr>
      </w:pPr>
      <w:r w:rsidRPr="0059478A">
        <w:rPr>
          <w:rFonts w:cs="Tahoma"/>
        </w:rPr>
        <w:t>V</w:t>
      </w:r>
      <w:r w:rsidR="003C6D40" w:rsidRPr="0059478A">
        <w:rPr>
          <w:rFonts w:cs="Tahoma"/>
        </w:rPr>
        <w:t xml:space="preserve">ery few children and young people </w:t>
      </w:r>
      <w:r w:rsidRPr="0059478A">
        <w:rPr>
          <w:rFonts w:cs="Tahoma"/>
        </w:rPr>
        <w:t xml:space="preserve">in WA </w:t>
      </w:r>
      <w:r w:rsidR="003C6D40" w:rsidRPr="0059478A">
        <w:rPr>
          <w:rFonts w:cs="Tahoma"/>
        </w:rPr>
        <w:t>have any sustained contact with the justice system. In 2008 the WA Auditor General found that only around four per cent of children and young people have more than one contact with the justice system.</w:t>
      </w:r>
      <w:r w:rsidR="003C6D40" w:rsidRPr="0059478A">
        <w:rPr>
          <w:rStyle w:val="FootnoteReference"/>
          <w:rFonts w:cs="Tahoma"/>
        </w:rPr>
        <w:footnoteReference w:id="7"/>
      </w:r>
      <w:r w:rsidR="003C6D40" w:rsidRPr="0059478A">
        <w:rPr>
          <w:rFonts w:cs="Tahoma"/>
        </w:rPr>
        <w:t xml:space="preserve"> Overa</w:t>
      </w:r>
      <w:r w:rsidR="004E362D" w:rsidRPr="0059478A">
        <w:rPr>
          <w:rFonts w:cs="Tahoma"/>
        </w:rPr>
        <w:t>ll, the Auditor General</w:t>
      </w:r>
      <w:r w:rsidR="003C6D40" w:rsidRPr="0059478A">
        <w:rPr>
          <w:rFonts w:cs="Tahoma"/>
        </w:rPr>
        <w:t xml:space="preserve"> identified that the majority of offending is concentrated in </w:t>
      </w:r>
      <w:r w:rsidR="003C6D40" w:rsidRPr="0059478A">
        <w:rPr>
          <w:rFonts w:cs="Tahoma"/>
        </w:rPr>
        <w:lastRenderedPageBreak/>
        <w:t>a core of around 1,00</w:t>
      </w:r>
      <w:r w:rsidR="004E362D" w:rsidRPr="0059478A">
        <w:rPr>
          <w:rFonts w:cs="Tahoma"/>
        </w:rPr>
        <w:t>0 children and young people (</w:t>
      </w:r>
      <w:r w:rsidR="003C6D40" w:rsidRPr="0059478A">
        <w:rPr>
          <w:rFonts w:cs="Tahoma"/>
        </w:rPr>
        <w:t>one half of one per cent of the WA population of 10 to 17 year olds</w:t>
      </w:r>
      <w:r w:rsidR="004E362D" w:rsidRPr="0059478A">
        <w:rPr>
          <w:rFonts w:cs="Tahoma"/>
        </w:rPr>
        <w:t>)</w:t>
      </w:r>
      <w:r w:rsidR="003C6D40" w:rsidRPr="0059478A">
        <w:rPr>
          <w:rFonts w:cs="Tahoma"/>
        </w:rPr>
        <w:t>.</w:t>
      </w:r>
      <w:r w:rsidR="003C6D40" w:rsidRPr="0059478A">
        <w:rPr>
          <w:rStyle w:val="FootnoteReference"/>
          <w:rFonts w:cs="Tahoma"/>
        </w:rPr>
        <w:footnoteReference w:id="8"/>
      </w:r>
    </w:p>
    <w:p w:rsidR="003C6D40" w:rsidRPr="0059478A" w:rsidRDefault="0026267F" w:rsidP="003C6D40">
      <w:pPr>
        <w:rPr>
          <w:rFonts w:cs="Tahoma"/>
        </w:rPr>
      </w:pPr>
      <w:r w:rsidRPr="0059478A">
        <w:rPr>
          <w:rFonts w:cs="Tahoma"/>
        </w:rPr>
        <w:t>In the financial year 2010–</w:t>
      </w:r>
      <w:r w:rsidR="003C6D40" w:rsidRPr="0059478A">
        <w:rPr>
          <w:rFonts w:cs="Tahoma"/>
        </w:rPr>
        <w:t>11, the Australian Bureau of Statistics (ABS) reported that the number of young people in WA ‘proceeded against by police’ decreased to 8,196, around 20 per cent less than the previous year. This category includes any type of police intervention, including formal and informal cautions, referrals to juvenile justice teams, arrests and charges.</w:t>
      </w:r>
      <w:r w:rsidR="003C6D40" w:rsidRPr="0059478A">
        <w:rPr>
          <w:rStyle w:val="FootnoteReference"/>
          <w:rFonts w:cs="Tahoma"/>
        </w:rPr>
        <w:footnoteReference w:id="9"/>
      </w:r>
      <w:r w:rsidR="003C6D40" w:rsidRPr="0059478A">
        <w:rPr>
          <w:rFonts w:cs="Tahoma"/>
        </w:rPr>
        <w:t xml:space="preserve"> This number represents around three and a half per cent of the whole 10 to 17 year old population, and for many it is their only contact with the justice system.</w:t>
      </w:r>
    </w:p>
    <w:p w:rsidR="003C6D40" w:rsidRPr="0059478A" w:rsidRDefault="003C6D40" w:rsidP="003C6D40">
      <w:pPr>
        <w:rPr>
          <w:rFonts w:cs="Tahoma"/>
        </w:rPr>
      </w:pPr>
      <w:r w:rsidRPr="0059478A">
        <w:rPr>
          <w:rFonts w:cs="Tahoma"/>
        </w:rPr>
        <w:t>In the most recent financial year, 2011–12, the ABS reported that this number had nearly halved, to 4,448.</w:t>
      </w:r>
      <w:r w:rsidRPr="0059478A">
        <w:rPr>
          <w:rStyle w:val="FootnoteReference"/>
          <w:rFonts w:cs="Tahoma"/>
        </w:rPr>
        <w:footnoteReference w:id="10"/>
      </w:r>
      <w:r w:rsidRPr="0059478A">
        <w:rPr>
          <w:rFonts w:cs="Tahoma"/>
        </w:rPr>
        <w:t xml:space="preserve"> This represents 1.85 per cent of the whole 10 to 17 year old population in WA.</w:t>
      </w:r>
    </w:p>
    <w:p w:rsidR="003C6D40" w:rsidRPr="0059478A" w:rsidRDefault="003C6D40" w:rsidP="003C6D40">
      <w:pPr>
        <w:rPr>
          <w:rFonts w:cs="Tahoma"/>
        </w:rPr>
      </w:pPr>
      <w:r w:rsidRPr="0059478A">
        <w:rPr>
          <w:rFonts w:cs="Tahoma"/>
        </w:rPr>
        <w:t>Despite this, the numbers in juvenile detention in WA continue to grow. While there was a 20 per cent decrease in proceedings in 2010–11, the average daily population of 10 to 17 year olds in WA juvenile detention grew by 2.1 per cent.</w:t>
      </w:r>
      <w:r w:rsidRPr="0059478A">
        <w:rPr>
          <w:rStyle w:val="FootnoteReference"/>
          <w:rFonts w:cs="Tahoma"/>
        </w:rPr>
        <w:footnoteReference w:id="11"/>
      </w:r>
      <w:r w:rsidRPr="0059478A">
        <w:rPr>
          <w:rFonts w:cs="Tahoma"/>
        </w:rPr>
        <w:t xml:space="preserve"> In the five years from 2005 to 2010, the average daily population grew from 125.8 people to 176.2 people, a 40 per cent increase.</w:t>
      </w:r>
      <w:r w:rsidRPr="0059478A">
        <w:rPr>
          <w:rStyle w:val="FootnoteReference"/>
          <w:rFonts w:cs="Tahoma"/>
        </w:rPr>
        <w:footnoteReference w:id="12"/>
      </w:r>
    </w:p>
    <w:p w:rsidR="003C6D40" w:rsidRPr="0059478A" w:rsidRDefault="003C6D40" w:rsidP="003C6D40">
      <w:pPr>
        <w:rPr>
          <w:rFonts w:cs="Tahoma"/>
        </w:rPr>
      </w:pPr>
      <w:r w:rsidRPr="0059478A">
        <w:rPr>
          <w:rFonts w:cs="Tahoma"/>
        </w:rPr>
        <w:t>Western Australia has one of the highest rates of juvenile detention in Australia. In the last quarter of 2011–12 (the most recent comparable figures) WA had 0.69 young persons per 1,000 in detention, second only to the Northern Territory at 1.55 per 1,000. This compares to states like Victoria, where the rate is 0.12 per 1,000, and an overall Australian rate of 0.35 per 1,000.</w:t>
      </w:r>
      <w:r w:rsidRPr="0059478A">
        <w:rPr>
          <w:rStyle w:val="FootnoteReference"/>
          <w:rFonts w:cs="Tahoma"/>
        </w:rPr>
        <w:footnoteReference w:id="13"/>
      </w:r>
      <w:r w:rsidRPr="0059478A">
        <w:rPr>
          <w:rFonts w:cs="Tahoma"/>
        </w:rPr>
        <w:t xml:space="preserve"> </w:t>
      </w:r>
    </w:p>
    <w:p w:rsidR="00BE0ADD" w:rsidRPr="0059478A" w:rsidRDefault="00BE0ADD" w:rsidP="00BE0ADD">
      <w:pPr>
        <w:rPr>
          <w:rFonts w:cs="Tahoma"/>
          <w:i/>
        </w:rPr>
      </w:pPr>
      <w:r w:rsidRPr="0059478A">
        <w:rPr>
          <w:rFonts w:cs="Tahoma"/>
          <w:i/>
        </w:rPr>
        <w:t>Remand detainees</w:t>
      </w:r>
    </w:p>
    <w:p w:rsidR="00BE0ADD" w:rsidRDefault="00BE0ADD" w:rsidP="003C6D40">
      <w:pPr>
        <w:rPr>
          <w:rFonts w:cs="Tahoma"/>
        </w:rPr>
      </w:pPr>
      <w:r w:rsidRPr="0059478A">
        <w:rPr>
          <w:rFonts w:cs="Tahoma"/>
        </w:rPr>
        <w:t xml:space="preserve">It is of particular concern that around half of the WA youth detention population is there on remand. A proportion of these are unable to obtain bail as they cannot be released to the care of a ‘responsible adult’ as specified in the </w:t>
      </w:r>
      <w:r w:rsidRPr="0059478A">
        <w:rPr>
          <w:rFonts w:cs="Tahoma"/>
          <w:i/>
        </w:rPr>
        <w:t>Bail Act 1982</w:t>
      </w:r>
      <w:r w:rsidRPr="0059478A">
        <w:rPr>
          <w:rFonts w:cs="Tahoma"/>
        </w:rPr>
        <w:t xml:space="preserve"> (WA)</w:t>
      </w:r>
      <w:r w:rsidRPr="0059478A">
        <w:rPr>
          <w:rFonts w:cs="Tahoma"/>
          <w:i/>
        </w:rPr>
        <w:t>.</w:t>
      </w:r>
      <w:r w:rsidRPr="0059478A">
        <w:rPr>
          <w:rFonts w:cs="Tahoma"/>
        </w:rPr>
        <w:t xml:space="preserve"> Few of those remanded go on t</w:t>
      </w:r>
      <w:r w:rsidR="00E822CA" w:rsidRPr="0059478A">
        <w:rPr>
          <w:rFonts w:cs="Tahoma"/>
        </w:rPr>
        <w:t>o sentenced detention</w:t>
      </w:r>
      <w:r w:rsidR="00622783" w:rsidRPr="0059478A">
        <w:rPr>
          <w:rFonts w:cs="Tahoma"/>
        </w:rPr>
        <w:t>, for example i</w:t>
      </w:r>
      <w:r w:rsidRPr="0059478A">
        <w:rPr>
          <w:rFonts w:cs="Tahoma"/>
        </w:rPr>
        <w:t>n 2010–11 less than 15 per cent of young people on remand were subsequently sentenced to custody.</w:t>
      </w:r>
      <w:r w:rsidRPr="0059478A">
        <w:rPr>
          <w:rStyle w:val="FootnoteReference"/>
          <w:rFonts w:cs="Tahoma"/>
        </w:rPr>
        <w:footnoteReference w:id="14"/>
      </w:r>
      <w:r w:rsidRPr="0059478A">
        <w:rPr>
          <w:rFonts w:cs="Tahoma"/>
        </w:rPr>
        <w:t xml:space="preserve"> </w:t>
      </w:r>
    </w:p>
    <w:p w:rsidR="00714586" w:rsidRDefault="00714586" w:rsidP="003C6D40">
      <w:pPr>
        <w:rPr>
          <w:rFonts w:cs="Tahoma"/>
        </w:rPr>
      </w:pPr>
    </w:p>
    <w:p w:rsidR="00714586" w:rsidRPr="0059478A" w:rsidRDefault="00714586" w:rsidP="003C6D40">
      <w:pPr>
        <w:rPr>
          <w:rFonts w:cs="Tahoma"/>
        </w:rPr>
      </w:pPr>
    </w:p>
    <w:p w:rsidR="003C6D40" w:rsidRPr="0059478A" w:rsidRDefault="003C6D40" w:rsidP="003C6D40">
      <w:pPr>
        <w:rPr>
          <w:rFonts w:cs="Tahoma"/>
          <w:i/>
        </w:rPr>
      </w:pPr>
      <w:r w:rsidRPr="0059478A">
        <w:rPr>
          <w:rFonts w:cs="Tahoma"/>
          <w:i/>
        </w:rPr>
        <w:lastRenderedPageBreak/>
        <w:t>Aboriginal children and young people</w:t>
      </w:r>
    </w:p>
    <w:p w:rsidR="003C6D40" w:rsidRPr="0059478A" w:rsidRDefault="003C6D40" w:rsidP="003C6D40">
      <w:pPr>
        <w:rPr>
          <w:rFonts w:cs="Tahoma"/>
        </w:rPr>
      </w:pPr>
      <w:r w:rsidRPr="0059478A">
        <w:rPr>
          <w:rFonts w:cs="Tahoma"/>
        </w:rPr>
        <w:t>The situation for Aboriginal children and young people is particularly concerning. WA has the highest rate of detention of Aboriginal young people; from 2006 to 2010 Aboriginal young people 10 to 17 years old were between 39 and 53 times more likely to be in detention than non-Aboriginal people of the same age.</w:t>
      </w:r>
      <w:r w:rsidRPr="0059478A">
        <w:rPr>
          <w:rStyle w:val="FootnoteReference"/>
          <w:rFonts w:cs="Tahoma"/>
        </w:rPr>
        <w:footnoteReference w:id="15"/>
      </w:r>
      <w:r w:rsidRPr="0059478A">
        <w:rPr>
          <w:rFonts w:cs="Tahoma"/>
        </w:rPr>
        <w:t xml:space="preserve"> At any given time in the last year, between 60 and 80 per cent of young people in detention </w:t>
      </w:r>
      <w:r w:rsidR="00EF60D0" w:rsidRPr="0059478A">
        <w:rPr>
          <w:rFonts w:cs="Tahoma"/>
        </w:rPr>
        <w:t>was</w:t>
      </w:r>
      <w:r w:rsidRPr="0059478A">
        <w:rPr>
          <w:rFonts w:cs="Tahoma"/>
        </w:rPr>
        <w:t xml:space="preserve"> Aboriginal. This is despite Aboriginal young people being between five and six per cent of the overall population of young people in WA. The highest rate of detention is among young Aboriginal males. At any given time in 2010, around 1.5 per cent of the overall WA population of Aboriginal males 10 to 17 years were in detention, compared to 0.03 per cent of non-Aboriginal males in that age group.</w:t>
      </w:r>
      <w:r w:rsidRPr="0059478A">
        <w:rPr>
          <w:rStyle w:val="FootnoteReference"/>
          <w:rFonts w:cs="Tahoma"/>
        </w:rPr>
        <w:footnoteReference w:id="16"/>
      </w:r>
    </w:p>
    <w:p w:rsidR="003D0960" w:rsidRPr="0059478A" w:rsidRDefault="003D0960" w:rsidP="003D0960">
      <w:pPr>
        <w:rPr>
          <w:rFonts w:cs="Tahoma"/>
          <w:i/>
        </w:rPr>
      </w:pPr>
      <w:r w:rsidRPr="0059478A">
        <w:rPr>
          <w:rFonts w:cs="Tahoma"/>
          <w:i/>
        </w:rPr>
        <w:t>Children and young people with disability</w:t>
      </w:r>
    </w:p>
    <w:p w:rsidR="001D6664" w:rsidRPr="0059478A" w:rsidRDefault="00992731" w:rsidP="003C6D40">
      <w:pPr>
        <w:rPr>
          <w:rFonts w:cs="Tahoma"/>
        </w:rPr>
      </w:pPr>
      <w:r w:rsidRPr="0059478A">
        <w:rPr>
          <w:rFonts w:cs="Tahoma"/>
        </w:rPr>
        <w:t>To my knowledge information on whether or not a young person in contact with</w:t>
      </w:r>
      <w:r w:rsidR="002858DF" w:rsidRPr="0059478A">
        <w:rPr>
          <w:rFonts w:cs="Tahoma"/>
        </w:rPr>
        <w:t xml:space="preserve"> the WA youth justice system </w:t>
      </w:r>
      <w:r w:rsidRPr="0059478A">
        <w:rPr>
          <w:rFonts w:cs="Tahoma"/>
        </w:rPr>
        <w:t xml:space="preserve">has a disability is not </w:t>
      </w:r>
      <w:r w:rsidR="002858DF" w:rsidRPr="0059478A">
        <w:rPr>
          <w:rFonts w:cs="Tahoma"/>
        </w:rPr>
        <w:t xml:space="preserve">routinely </w:t>
      </w:r>
      <w:r w:rsidRPr="0059478A">
        <w:rPr>
          <w:rFonts w:cs="Tahoma"/>
        </w:rPr>
        <w:t xml:space="preserve">collected. </w:t>
      </w:r>
    </w:p>
    <w:p w:rsidR="00E106B0" w:rsidRPr="0059478A" w:rsidRDefault="00E106B0" w:rsidP="00614606">
      <w:pPr>
        <w:rPr>
          <w:rFonts w:cs="Tahoma"/>
          <w:i/>
          <w:szCs w:val="22"/>
        </w:rPr>
      </w:pPr>
      <w:r w:rsidRPr="0059478A">
        <w:rPr>
          <w:rFonts w:cs="Tahoma"/>
          <w:i/>
          <w:szCs w:val="22"/>
        </w:rPr>
        <w:t>Complex problems</w:t>
      </w:r>
    </w:p>
    <w:p w:rsidR="00221AB7" w:rsidRPr="0059478A" w:rsidRDefault="00E106B0" w:rsidP="00614606">
      <w:pPr>
        <w:rPr>
          <w:rFonts w:cs="Tahoma"/>
        </w:rPr>
      </w:pPr>
      <w:r w:rsidRPr="0059478A">
        <w:rPr>
          <w:rFonts w:cs="Tahoma"/>
          <w:szCs w:val="22"/>
        </w:rPr>
        <w:t>Where children and young people do have persistent and ongoing contact with the justice system, it is rarely in isolation from other factors. The same factors that can lead a child or young person into the justice system are largely the same as those that can lead them into state care – that is, dysfunction at home and in the community, alcohol and drugs, violence, disadvantage and poverty. These issues are covered in detail in the Joint Australian Commissio</w:t>
      </w:r>
      <w:r w:rsidR="002F4C7D">
        <w:rPr>
          <w:rFonts w:cs="Tahoma"/>
          <w:szCs w:val="22"/>
        </w:rPr>
        <w:t xml:space="preserve">ners and Child Guardians </w:t>
      </w:r>
      <w:r w:rsidRPr="0059478A">
        <w:rPr>
          <w:rFonts w:cs="Tahoma"/>
          <w:szCs w:val="22"/>
        </w:rPr>
        <w:t>submission to the Inquiry into the over representation of Aboriginal you</w:t>
      </w:r>
      <w:r w:rsidR="00841290" w:rsidRPr="0059478A">
        <w:rPr>
          <w:rFonts w:cs="Tahoma"/>
          <w:szCs w:val="22"/>
        </w:rPr>
        <w:t xml:space="preserve">ng people in the justice system (Available: </w:t>
      </w:r>
      <w:r w:rsidR="00841290" w:rsidRPr="009D0098">
        <w:rPr>
          <w:rFonts w:cs="Tahoma"/>
          <w:szCs w:val="22"/>
        </w:rPr>
        <w:t>http://www.aph.gov.au/parliamentary_business/committees/house_of_representatives_committees?url=atsia/sentencing/subs.htm</w:t>
      </w:r>
      <w:r w:rsidR="00841290" w:rsidRPr="0059478A">
        <w:rPr>
          <w:rFonts w:cs="Tahoma"/>
          <w:szCs w:val="22"/>
        </w:rPr>
        <w:t>)</w:t>
      </w:r>
    </w:p>
    <w:p w:rsidR="00CB7ED0" w:rsidRPr="0059478A" w:rsidRDefault="00CB7ED0" w:rsidP="00CB7ED0">
      <w:pPr>
        <w:rPr>
          <w:rFonts w:cs="Tahoma"/>
          <w:i/>
        </w:rPr>
      </w:pPr>
      <w:r w:rsidRPr="0059478A">
        <w:rPr>
          <w:rFonts w:cs="Tahoma"/>
          <w:i/>
        </w:rPr>
        <w:t>Mental Health</w:t>
      </w:r>
    </w:p>
    <w:p w:rsidR="00221AB7" w:rsidRPr="0059478A" w:rsidRDefault="00CB7ED0" w:rsidP="00614606">
      <w:pPr>
        <w:rPr>
          <w:rFonts w:cs="Tahoma"/>
        </w:rPr>
      </w:pPr>
      <w:r w:rsidRPr="0059478A">
        <w:rPr>
          <w:rFonts w:cs="Tahoma"/>
        </w:rPr>
        <w:t>The mental health and wellbeing of children and young people in contact with the justice system is also of great concern. Figures in WA estimate that around half of children and young people in juvenile detention experience mental health issues.</w:t>
      </w:r>
      <w:r w:rsidRPr="0059478A">
        <w:rPr>
          <w:rStyle w:val="FootnoteReference"/>
          <w:rFonts w:cs="Tahoma"/>
        </w:rPr>
        <w:footnoteReference w:id="17"/>
      </w:r>
      <w:r w:rsidRPr="0059478A">
        <w:rPr>
          <w:rFonts w:cs="Tahoma"/>
        </w:rPr>
        <w:t xml:space="preserve"> A paper on the differences between young offenders and adult offenders cited a 2005 study from New South Wales, which found that 88 per cent of young people in custody reported symptoms consistent with a mild, moderate or severe psychiatric disorder.</w:t>
      </w:r>
      <w:r w:rsidRPr="0059478A">
        <w:rPr>
          <w:rStyle w:val="FootnoteReference"/>
          <w:rFonts w:cs="Tahoma"/>
        </w:rPr>
        <w:footnoteReference w:id="18"/>
      </w:r>
      <w:r w:rsidRPr="0059478A">
        <w:rPr>
          <w:rFonts w:cs="Tahoma"/>
        </w:rPr>
        <w:t xml:space="preserve"> </w:t>
      </w:r>
    </w:p>
    <w:p w:rsidR="00614606" w:rsidRPr="0059478A" w:rsidRDefault="00113FAD" w:rsidP="00614606">
      <w:pPr>
        <w:rPr>
          <w:rFonts w:cs="Tahoma"/>
          <w:sz w:val="14"/>
          <w:szCs w:val="14"/>
        </w:rPr>
      </w:pPr>
      <w:r w:rsidRPr="0059478A">
        <w:rPr>
          <w:rFonts w:cs="Tahoma"/>
        </w:rPr>
        <w:lastRenderedPageBreak/>
        <w:t>My 2011</w:t>
      </w:r>
      <w:r w:rsidR="008B0CC9" w:rsidRPr="0059478A">
        <w:rPr>
          <w:rFonts w:cs="Tahoma"/>
        </w:rPr>
        <w:t xml:space="preserve"> I</w:t>
      </w:r>
      <w:r w:rsidR="003C6D40" w:rsidRPr="0059478A">
        <w:rPr>
          <w:rFonts w:cs="Tahoma"/>
        </w:rPr>
        <w:t>nquiry into the mental health and wellbeing of children and young people in Western Australia</w:t>
      </w:r>
      <w:r w:rsidR="00936851" w:rsidRPr="0059478A">
        <w:rPr>
          <w:rFonts w:cs="Tahoma"/>
        </w:rPr>
        <w:t xml:space="preserve"> </w:t>
      </w:r>
      <w:r w:rsidR="003C6D40" w:rsidRPr="0059478A">
        <w:rPr>
          <w:rFonts w:cs="Tahoma"/>
        </w:rPr>
        <w:t xml:space="preserve">found that as a state WA focusses primarily on crisis responses for mental health, </w:t>
      </w:r>
      <w:r w:rsidR="00FD0A23" w:rsidRPr="0059478A">
        <w:rPr>
          <w:rFonts w:cs="Tahoma"/>
        </w:rPr>
        <w:t>particularly for vulnerable children and young people</w:t>
      </w:r>
      <w:r w:rsidR="00614606" w:rsidRPr="0059478A">
        <w:rPr>
          <w:rFonts w:cs="Tahoma"/>
          <w:szCs w:val="22"/>
        </w:rPr>
        <w:t>.</w:t>
      </w:r>
      <w:r w:rsidR="00614606" w:rsidRPr="0059478A">
        <w:rPr>
          <w:rFonts w:cs="Tahoma"/>
          <w:sz w:val="14"/>
          <w:szCs w:val="14"/>
        </w:rPr>
        <w:t xml:space="preserve"> </w:t>
      </w:r>
    </w:p>
    <w:p w:rsidR="00FB5FF1" w:rsidRPr="0059478A" w:rsidRDefault="00CD410B" w:rsidP="00936851">
      <w:pPr>
        <w:rPr>
          <w:rFonts w:cs="Tahoma"/>
          <w:szCs w:val="22"/>
        </w:rPr>
      </w:pPr>
      <w:r w:rsidRPr="0059478A">
        <w:rPr>
          <w:rFonts w:cs="Tahoma"/>
          <w:szCs w:val="22"/>
        </w:rPr>
        <w:t>My</w:t>
      </w:r>
      <w:r w:rsidR="00B8537C" w:rsidRPr="0059478A">
        <w:rPr>
          <w:rFonts w:cs="Tahoma"/>
          <w:szCs w:val="22"/>
        </w:rPr>
        <w:t xml:space="preserve"> </w:t>
      </w:r>
      <w:r w:rsidR="00936851" w:rsidRPr="0059478A">
        <w:rPr>
          <w:rFonts w:cs="Tahoma"/>
          <w:i/>
          <w:szCs w:val="22"/>
        </w:rPr>
        <w:t xml:space="preserve">Report of the Inquiry into the mental health and wellbeing of children and young people in Western </w:t>
      </w:r>
      <w:r w:rsidRPr="0059478A">
        <w:rPr>
          <w:rFonts w:cs="Tahoma"/>
          <w:i/>
          <w:szCs w:val="22"/>
        </w:rPr>
        <w:t xml:space="preserve">Australia </w:t>
      </w:r>
      <w:r w:rsidRPr="0059478A">
        <w:rPr>
          <w:rFonts w:cs="Tahoma"/>
          <w:szCs w:val="22"/>
        </w:rPr>
        <w:t xml:space="preserve">(the </w:t>
      </w:r>
      <w:r w:rsidR="00177E3D" w:rsidRPr="0059478A">
        <w:rPr>
          <w:rFonts w:cs="Tahoma"/>
          <w:szCs w:val="22"/>
        </w:rPr>
        <w:t xml:space="preserve">Inquiry </w:t>
      </w:r>
      <w:r w:rsidRPr="0059478A">
        <w:rPr>
          <w:rFonts w:cs="Tahoma"/>
          <w:szCs w:val="22"/>
        </w:rPr>
        <w:t>Report)</w:t>
      </w:r>
      <w:r w:rsidR="00936851" w:rsidRPr="0059478A">
        <w:rPr>
          <w:rStyle w:val="FootnoteReference"/>
          <w:rFonts w:cs="Tahoma"/>
        </w:rPr>
        <w:footnoteReference w:id="19"/>
      </w:r>
      <w:r w:rsidR="00936851" w:rsidRPr="0059478A">
        <w:rPr>
          <w:rFonts w:cs="Tahoma"/>
        </w:rPr>
        <w:t xml:space="preserve"> </w:t>
      </w:r>
      <w:r w:rsidR="00B8537C" w:rsidRPr="0059478A">
        <w:rPr>
          <w:rFonts w:cs="Tahoma"/>
          <w:szCs w:val="22"/>
        </w:rPr>
        <w:t xml:space="preserve">made </w:t>
      </w:r>
      <w:r w:rsidR="00FB5FF1" w:rsidRPr="0059478A">
        <w:rPr>
          <w:rFonts w:cs="Tahoma"/>
          <w:szCs w:val="22"/>
        </w:rPr>
        <w:t xml:space="preserve">four </w:t>
      </w:r>
      <w:r w:rsidR="00614606" w:rsidRPr="0059478A">
        <w:rPr>
          <w:rFonts w:cs="Tahoma"/>
          <w:szCs w:val="22"/>
        </w:rPr>
        <w:t xml:space="preserve">recommendations </w:t>
      </w:r>
      <w:r w:rsidR="00C22372" w:rsidRPr="0059478A">
        <w:rPr>
          <w:rFonts w:cs="Tahoma"/>
          <w:szCs w:val="22"/>
        </w:rPr>
        <w:t>related</w:t>
      </w:r>
      <w:r w:rsidR="00FD0A23" w:rsidRPr="0059478A">
        <w:rPr>
          <w:rFonts w:cs="Tahoma"/>
          <w:szCs w:val="22"/>
        </w:rPr>
        <w:t xml:space="preserve"> to children and young people with disability and the justice system</w:t>
      </w:r>
      <w:r w:rsidR="00FB5FF1" w:rsidRPr="0059478A">
        <w:rPr>
          <w:rFonts w:cs="Tahoma"/>
          <w:szCs w:val="22"/>
        </w:rPr>
        <w:t xml:space="preserve">. </w:t>
      </w:r>
    </w:p>
    <w:p w:rsidR="00FB5FF1" w:rsidRPr="0059478A" w:rsidRDefault="004F74D6" w:rsidP="00FB5FF1">
      <w:pPr>
        <w:numPr>
          <w:ilvl w:val="0"/>
          <w:numId w:val="10"/>
        </w:numPr>
        <w:autoSpaceDE w:val="0"/>
        <w:autoSpaceDN w:val="0"/>
        <w:adjustRightInd w:val="0"/>
        <w:spacing w:after="0"/>
        <w:rPr>
          <w:rFonts w:cs="Tahoma"/>
          <w:szCs w:val="22"/>
          <w:lang w:eastAsia="en-AU"/>
        </w:rPr>
      </w:pPr>
      <w:r w:rsidRPr="0059478A">
        <w:rPr>
          <w:rFonts w:cs="Tahoma"/>
          <w:szCs w:val="22"/>
          <w:lang w:eastAsia="en-AU"/>
        </w:rPr>
        <w:t>Recommendation 3: A new collaborative service to address the needs of children and young people who have complex needs be established as a demonstration project. The development of this service should consider the models of Wraparound Milwaukee and the People with Exceptionally Complex Needs.</w:t>
      </w:r>
      <w:r w:rsidR="005B2304" w:rsidRPr="0059478A">
        <w:rPr>
          <w:rFonts w:cs="Tahoma"/>
          <w:szCs w:val="22"/>
          <w:lang w:eastAsia="en-AU"/>
        </w:rPr>
        <w:t xml:space="preserve"> (p. 56)</w:t>
      </w:r>
    </w:p>
    <w:p w:rsidR="00B8537C" w:rsidRPr="0059478A" w:rsidRDefault="00B8537C" w:rsidP="00B8537C">
      <w:pPr>
        <w:numPr>
          <w:ilvl w:val="0"/>
          <w:numId w:val="8"/>
        </w:numPr>
        <w:autoSpaceDE w:val="0"/>
        <w:autoSpaceDN w:val="0"/>
        <w:adjustRightInd w:val="0"/>
        <w:spacing w:after="0"/>
        <w:rPr>
          <w:rFonts w:cs="Tahoma"/>
          <w:i/>
          <w:iCs/>
          <w:szCs w:val="22"/>
          <w:lang w:eastAsia="en-AU"/>
        </w:rPr>
      </w:pPr>
      <w:r w:rsidRPr="0059478A">
        <w:rPr>
          <w:rFonts w:cs="Tahoma"/>
          <w:szCs w:val="22"/>
          <w:lang w:eastAsia="en-AU"/>
        </w:rPr>
        <w:t xml:space="preserve">Recommendation 15: The </w:t>
      </w:r>
      <w:r w:rsidRPr="0059478A">
        <w:rPr>
          <w:rFonts w:cs="Tahoma"/>
          <w:i/>
          <w:iCs/>
          <w:szCs w:val="22"/>
          <w:lang w:eastAsia="en-AU"/>
        </w:rPr>
        <w:t xml:space="preserve">Mental Health Act 1996 </w:t>
      </w:r>
      <w:r w:rsidRPr="0059478A">
        <w:rPr>
          <w:rFonts w:cs="Tahoma"/>
          <w:szCs w:val="22"/>
          <w:lang w:eastAsia="en-AU"/>
        </w:rPr>
        <w:t xml:space="preserve">(WA) and the </w:t>
      </w:r>
      <w:r w:rsidRPr="0059478A">
        <w:rPr>
          <w:rFonts w:cs="Tahoma"/>
          <w:i/>
          <w:iCs/>
          <w:szCs w:val="22"/>
          <w:lang w:eastAsia="en-AU"/>
        </w:rPr>
        <w:t xml:space="preserve">Criminal Law (Mentally Impaired Accused) Act 1996 </w:t>
      </w:r>
      <w:r w:rsidRPr="0059478A">
        <w:rPr>
          <w:rFonts w:cs="Tahoma"/>
          <w:szCs w:val="22"/>
          <w:lang w:eastAsia="en-AU"/>
        </w:rPr>
        <w:t>(WA) be reviewed to ensure the rights and needs of children and young people are adequately recognised.</w:t>
      </w:r>
      <w:r w:rsidR="00921EF0" w:rsidRPr="0059478A">
        <w:rPr>
          <w:rFonts w:cs="Tahoma"/>
          <w:szCs w:val="22"/>
          <w:lang w:eastAsia="en-AU"/>
        </w:rPr>
        <w:t xml:space="preserve"> (p. 69)</w:t>
      </w:r>
    </w:p>
    <w:p w:rsidR="00614606" w:rsidRPr="0059478A" w:rsidRDefault="00614606" w:rsidP="009F5102">
      <w:pPr>
        <w:pStyle w:val="Default"/>
        <w:numPr>
          <w:ilvl w:val="0"/>
          <w:numId w:val="7"/>
        </w:numPr>
        <w:rPr>
          <w:sz w:val="22"/>
          <w:szCs w:val="22"/>
          <w:vertAlign w:val="superscript"/>
        </w:rPr>
      </w:pPr>
      <w:r w:rsidRPr="0059478A">
        <w:rPr>
          <w:sz w:val="22"/>
          <w:szCs w:val="22"/>
        </w:rPr>
        <w:t>Recommendation 19: Children and young people appearing before the Children’s Court of Western Australia have access to appropriate, comprehensive mental health assessment, referral and treatment services.</w:t>
      </w:r>
      <w:r w:rsidR="00921EF0" w:rsidRPr="0059478A">
        <w:rPr>
          <w:sz w:val="22"/>
          <w:szCs w:val="22"/>
        </w:rPr>
        <w:t xml:space="preserve"> (p. 80)</w:t>
      </w:r>
    </w:p>
    <w:p w:rsidR="00614606" w:rsidRPr="0059478A" w:rsidRDefault="00614606" w:rsidP="009F5102">
      <w:pPr>
        <w:pStyle w:val="Default"/>
        <w:numPr>
          <w:ilvl w:val="0"/>
          <w:numId w:val="7"/>
        </w:numPr>
      </w:pPr>
      <w:r w:rsidRPr="0059478A">
        <w:rPr>
          <w:sz w:val="22"/>
          <w:szCs w:val="22"/>
        </w:rPr>
        <w:t>Recommendation 20: A dedicated forensic mental health unit for children and young people be established.</w:t>
      </w:r>
      <w:r w:rsidR="00921EF0" w:rsidRPr="0059478A">
        <w:rPr>
          <w:sz w:val="22"/>
          <w:szCs w:val="22"/>
        </w:rPr>
        <w:t xml:space="preserve"> (p. 83)</w:t>
      </w:r>
    </w:p>
    <w:p w:rsidR="00FB5FF1" w:rsidRPr="0059478A" w:rsidRDefault="00FB5FF1" w:rsidP="00FB5FF1">
      <w:pPr>
        <w:pStyle w:val="Default"/>
        <w:rPr>
          <w:sz w:val="22"/>
          <w:szCs w:val="22"/>
        </w:rPr>
      </w:pPr>
    </w:p>
    <w:p w:rsidR="00BD50F9" w:rsidRPr="00B726C2" w:rsidRDefault="00CD410B" w:rsidP="00B726C2">
      <w:pPr>
        <w:rPr>
          <w:rFonts w:cs="Tahoma"/>
          <w:szCs w:val="22"/>
        </w:rPr>
      </w:pPr>
      <w:r w:rsidRPr="0059478A">
        <w:rPr>
          <w:rFonts w:cs="Tahoma"/>
          <w:szCs w:val="22"/>
        </w:rPr>
        <w:t>My</w:t>
      </w:r>
      <w:r w:rsidR="009E183C" w:rsidRPr="0059478A">
        <w:rPr>
          <w:rFonts w:cs="Tahoma"/>
          <w:szCs w:val="22"/>
        </w:rPr>
        <w:t xml:space="preserve"> </w:t>
      </w:r>
      <w:r w:rsidR="00177E3D" w:rsidRPr="0059478A">
        <w:rPr>
          <w:rFonts w:cs="Tahoma"/>
          <w:szCs w:val="22"/>
        </w:rPr>
        <w:t xml:space="preserve">Inquiry </w:t>
      </w:r>
      <w:r w:rsidR="009E183C" w:rsidRPr="0059478A">
        <w:rPr>
          <w:rFonts w:cs="Tahoma"/>
          <w:szCs w:val="22"/>
        </w:rPr>
        <w:t xml:space="preserve">Report </w:t>
      </w:r>
      <w:r w:rsidR="00936851" w:rsidRPr="0059478A">
        <w:rPr>
          <w:rFonts w:cs="Tahoma"/>
          <w:szCs w:val="22"/>
        </w:rPr>
        <w:t>further r</w:t>
      </w:r>
      <w:r w:rsidR="009E183C" w:rsidRPr="0059478A">
        <w:rPr>
          <w:rFonts w:cs="Tahoma"/>
          <w:szCs w:val="22"/>
        </w:rPr>
        <w:t>ecommended that</w:t>
      </w:r>
      <w:r w:rsidR="00BD50F9" w:rsidRPr="0059478A">
        <w:rPr>
          <w:rFonts w:cs="Tahoma"/>
          <w:szCs w:val="22"/>
        </w:rPr>
        <w:t xml:space="preserve"> </w:t>
      </w:r>
      <w:r w:rsidR="009E183C" w:rsidRPr="0059478A">
        <w:rPr>
          <w:rFonts w:cs="Tahoma"/>
          <w:szCs w:val="22"/>
        </w:rPr>
        <w:t>to improve</w:t>
      </w:r>
      <w:r w:rsidR="003E60B1" w:rsidRPr="0059478A">
        <w:rPr>
          <w:rFonts w:cs="Tahoma"/>
          <w:szCs w:val="22"/>
        </w:rPr>
        <w:t xml:space="preserve"> mental health services for children and young people </w:t>
      </w:r>
      <w:r w:rsidR="00764953" w:rsidRPr="0059478A">
        <w:rPr>
          <w:rFonts w:cs="Tahoma"/>
          <w:szCs w:val="22"/>
        </w:rPr>
        <w:t>with disability</w:t>
      </w:r>
      <w:r w:rsidR="00BD50F9" w:rsidRPr="0059478A">
        <w:rPr>
          <w:rFonts w:cs="Tahoma"/>
          <w:szCs w:val="22"/>
        </w:rPr>
        <w:t>:</w:t>
      </w:r>
    </w:p>
    <w:p w:rsidR="00FD0A23" w:rsidRPr="0059478A" w:rsidRDefault="00FD0A23" w:rsidP="00FD0A23">
      <w:pPr>
        <w:pStyle w:val="Default"/>
        <w:numPr>
          <w:ilvl w:val="0"/>
          <w:numId w:val="7"/>
        </w:numPr>
        <w:rPr>
          <w:sz w:val="22"/>
          <w:szCs w:val="22"/>
        </w:rPr>
      </w:pPr>
      <w:r w:rsidRPr="0059478A">
        <w:rPr>
          <w:sz w:val="22"/>
          <w:szCs w:val="22"/>
        </w:rPr>
        <w:t>The Disability Services Commission work with the Mental Health Commission to identify the services required to address the unique needs and risk factors of children and young people with disabilities in a coordinated and seamless manner.</w:t>
      </w:r>
      <w:r w:rsidR="00921EF0" w:rsidRPr="0059478A">
        <w:rPr>
          <w:sz w:val="22"/>
          <w:szCs w:val="22"/>
        </w:rPr>
        <w:t xml:space="preserve"> (Recommendation 25, p. 95)</w:t>
      </w:r>
    </w:p>
    <w:p w:rsidR="00614606" w:rsidRPr="0059478A" w:rsidRDefault="00614606" w:rsidP="00614606">
      <w:pPr>
        <w:pStyle w:val="Default"/>
        <w:rPr>
          <w:sz w:val="22"/>
          <w:szCs w:val="22"/>
        </w:rPr>
      </w:pPr>
    </w:p>
    <w:p w:rsidR="005B2304" w:rsidRPr="0059478A" w:rsidRDefault="009E183C" w:rsidP="00614606">
      <w:pPr>
        <w:pStyle w:val="Default"/>
        <w:rPr>
          <w:sz w:val="22"/>
          <w:szCs w:val="22"/>
        </w:rPr>
      </w:pPr>
      <w:r w:rsidRPr="0059478A">
        <w:rPr>
          <w:sz w:val="22"/>
          <w:szCs w:val="22"/>
        </w:rPr>
        <w:t>In the following section</w:t>
      </w:r>
      <w:r w:rsidR="005B2304" w:rsidRPr="0059478A">
        <w:rPr>
          <w:sz w:val="22"/>
          <w:szCs w:val="22"/>
        </w:rPr>
        <w:t>s</w:t>
      </w:r>
      <w:r w:rsidR="005028B9" w:rsidRPr="0059478A">
        <w:rPr>
          <w:sz w:val="22"/>
          <w:szCs w:val="22"/>
        </w:rPr>
        <w:t xml:space="preserve"> Barrier 1, </w:t>
      </w:r>
      <w:r w:rsidR="00AE5795" w:rsidRPr="0059478A">
        <w:rPr>
          <w:sz w:val="22"/>
          <w:szCs w:val="22"/>
        </w:rPr>
        <w:t>Barrier 4</w:t>
      </w:r>
      <w:r w:rsidR="005028B9" w:rsidRPr="0059478A">
        <w:rPr>
          <w:sz w:val="22"/>
          <w:szCs w:val="22"/>
        </w:rPr>
        <w:t xml:space="preserve"> and Barrier 5</w:t>
      </w:r>
      <w:r w:rsidR="00EC36B0" w:rsidRPr="0059478A">
        <w:rPr>
          <w:sz w:val="22"/>
          <w:szCs w:val="22"/>
        </w:rPr>
        <w:t xml:space="preserve"> are discussed</w:t>
      </w:r>
      <w:r w:rsidR="005B2304" w:rsidRPr="0059478A">
        <w:rPr>
          <w:sz w:val="22"/>
          <w:szCs w:val="22"/>
        </w:rPr>
        <w:t>.</w:t>
      </w:r>
    </w:p>
    <w:p w:rsidR="00F659C2" w:rsidRPr="0059478A" w:rsidRDefault="00F659C2" w:rsidP="00614606">
      <w:pPr>
        <w:pStyle w:val="Default"/>
        <w:rPr>
          <w:sz w:val="22"/>
          <w:szCs w:val="22"/>
        </w:rPr>
      </w:pPr>
    </w:p>
    <w:p w:rsidR="00D3513A" w:rsidRPr="0059478A" w:rsidRDefault="00F659C2" w:rsidP="00614606">
      <w:pPr>
        <w:pStyle w:val="Default"/>
        <w:rPr>
          <w:b/>
          <w:sz w:val="22"/>
          <w:szCs w:val="22"/>
        </w:rPr>
      </w:pPr>
      <w:r w:rsidRPr="0059478A">
        <w:rPr>
          <w:b/>
          <w:sz w:val="22"/>
          <w:szCs w:val="22"/>
        </w:rPr>
        <w:t>Barrier 1: Community support, programs and assistance to prevent violence and disadvantage and address a range of health and social risk factors may not be available to some people with disability.</w:t>
      </w:r>
    </w:p>
    <w:p w:rsidR="005B2304" w:rsidRPr="0059478A" w:rsidRDefault="005B2304" w:rsidP="00614606">
      <w:pPr>
        <w:pStyle w:val="Default"/>
        <w:rPr>
          <w:b/>
          <w:sz w:val="22"/>
          <w:szCs w:val="22"/>
        </w:rPr>
      </w:pPr>
    </w:p>
    <w:p w:rsidR="005B2304" w:rsidRPr="0059478A" w:rsidRDefault="005B2304" w:rsidP="006E0CEC">
      <w:pPr>
        <w:rPr>
          <w:rFonts w:cs="Tahoma"/>
          <w:szCs w:val="22"/>
        </w:rPr>
      </w:pPr>
      <w:r w:rsidRPr="0059478A">
        <w:rPr>
          <w:rFonts w:cs="Tahoma"/>
          <w:szCs w:val="22"/>
        </w:rPr>
        <w:t xml:space="preserve">As identified in the AHRC Issues Paper </w:t>
      </w:r>
      <w:r w:rsidR="00A87A79" w:rsidRPr="0059478A">
        <w:rPr>
          <w:rFonts w:cs="Tahoma"/>
          <w:szCs w:val="22"/>
        </w:rPr>
        <w:t>(pp.</w:t>
      </w:r>
      <w:r w:rsidR="00177E3D" w:rsidRPr="0059478A">
        <w:rPr>
          <w:rFonts w:cs="Tahoma"/>
          <w:szCs w:val="22"/>
        </w:rPr>
        <w:t xml:space="preserve"> </w:t>
      </w:r>
      <w:r w:rsidR="00A87A79" w:rsidRPr="0059478A">
        <w:rPr>
          <w:rFonts w:cs="Tahoma"/>
          <w:szCs w:val="22"/>
        </w:rPr>
        <w:t xml:space="preserve">5–6) </w:t>
      </w:r>
      <w:r w:rsidR="00AE5795" w:rsidRPr="0059478A">
        <w:rPr>
          <w:rFonts w:cs="Tahoma"/>
          <w:szCs w:val="22"/>
        </w:rPr>
        <w:t xml:space="preserve">I am also </w:t>
      </w:r>
      <w:r w:rsidR="00CD410B" w:rsidRPr="0059478A">
        <w:rPr>
          <w:rFonts w:cs="Tahoma"/>
          <w:szCs w:val="22"/>
        </w:rPr>
        <w:t xml:space="preserve">of the view that </w:t>
      </w:r>
      <w:r w:rsidRPr="0059478A">
        <w:rPr>
          <w:rFonts w:cs="Tahoma"/>
          <w:szCs w:val="22"/>
        </w:rPr>
        <w:t>the following are issues for children and young people with disability:</w:t>
      </w:r>
    </w:p>
    <w:p w:rsidR="005B2304" w:rsidRPr="0059478A" w:rsidRDefault="00CD410B" w:rsidP="005B2304">
      <w:pPr>
        <w:pStyle w:val="Default"/>
        <w:numPr>
          <w:ilvl w:val="0"/>
          <w:numId w:val="10"/>
        </w:numPr>
        <w:rPr>
          <w:sz w:val="22"/>
          <w:szCs w:val="22"/>
        </w:rPr>
      </w:pPr>
      <w:r w:rsidRPr="0059478A">
        <w:rPr>
          <w:sz w:val="22"/>
          <w:szCs w:val="22"/>
        </w:rPr>
        <w:t>Referrals for assistance and support to service providers outside the disability service system are often not made, or when they are made, they are often declined.</w:t>
      </w:r>
    </w:p>
    <w:p w:rsidR="00CD410B" w:rsidRPr="0059478A" w:rsidRDefault="00CD410B" w:rsidP="005B2304">
      <w:pPr>
        <w:pStyle w:val="Default"/>
        <w:numPr>
          <w:ilvl w:val="0"/>
          <w:numId w:val="10"/>
        </w:numPr>
        <w:rPr>
          <w:sz w:val="22"/>
          <w:szCs w:val="22"/>
        </w:rPr>
      </w:pPr>
      <w:r w:rsidRPr="0059478A">
        <w:rPr>
          <w:sz w:val="22"/>
          <w:szCs w:val="22"/>
        </w:rPr>
        <w:lastRenderedPageBreak/>
        <w:t>Costly criminal justice responses are often applied to people with disability when their needs are better addressed by health, disability, rehabilitation and community responses.</w:t>
      </w:r>
    </w:p>
    <w:p w:rsidR="00CD410B" w:rsidRPr="0059478A" w:rsidRDefault="00CD410B" w:rsidP="005B2304">
      <w:pPr>
        <w:pStyle w:val="Default"/>
        <w:numPr>
          <w:ilvl w:val="0"/>
          <w:numId w:val="10"/>
        </w:numPr>
        <w:rPr>
          <w:sz w:val="22"/>
          <w:szCs w:val="22"/>
        </w:rPr>
      </w:pPr>
      <w:r w:rsidRPr="0059478A">
        <w:rPr>
          <w:sz w:val="22"/>
          <w:szCs w:val="22"/>
        </w:rPr>
        <w:t>Many people with disability are not identified as a having a disability. This occurs outside and inside the criminal justice system, including education and health. This means people with disability are unable to access early intervention and a range of other supports and services when necessary.</w:t>
      </w:r>
    </w:p>
    <w:p w:rsidR="00D3513A" w:rsidRPr="0059478A" w:rsidRDefault="00D3513A" w:rsidP="00614606">
      <w:pPr>
        <w:pStyle w:val="Default"/>
        <w:rPr>
          <w:sz w:val="22"/>
          <w:szCs w:val="22"/>
        </w:rPr>
      </w:pPr>
    </w:p>
    <w:p w:rsidR="00CD410B" w:rsidRPr="0059478A" w:rsidRDefault="00D44150" w:rsidP="00614606">
      <w:pPr>
        <w:pStyle w:val="Default"/>
        <w:rPr>
          <w:i/>
          <w:sz w:val="22"/>
          <w:szCs w:val="22"/>
        </w:rPr>
      </w:pPr>
      <w:r w:rsidRPr="0059478A">
        <w:rPr>
          <w:i/>
          <w:sz w:val="22"/>
          <w:szCs w:val="22"/>
        </w:rPr>
        <w:t>Young People with Exceptionally Complex Needs</w:t>
      </w:r>
    </w:p>
    <w:p w:rsidR="00D44150" w:rsidRPr="0059478A" w:rsidRDefault="00D44150" w:rsidP="00614606">
      <w:pPr>
        <w:pStyle w:val="Default"/>
        <w:rPr>
          <w:sz w:val="22"/>
          <w:szCs w:val="22"/>
        </w:rPr>
      </w:pPr>
    </w:p>
    <w:p w:rsidR="000C7EE7" w:rsidRPr="0059478A" w:rsidRDefault="000C7EE7" w:rsidP="00936851">
      <w:pPr>
        <w:pStyle w:val="Default"/>
        <w:rPr>
          <w:sz w:val="22"/>
          <w:szCs w:val="22"/>
        </w:rPr>
      </w:pPr>
      <w:r w:rsidRPr="0059478A">
        <w:rPr>
          <w:sz w:val="22"/>
          <w:szCs w:val="22"/>
        </w:rPr>
        <w:t xml:space="preserve">Recommendation 3 of the </w:t>
      </w:r>
      <w:r w:rsidR="00177E3D" w:rsidRPr="0059478A">
        <w:rPr>
          <w:sz w:val="22"/>
          <w:szCs w:val="22"/>
        </w:rPr>
        <w:t xml:space="preserve">Inquiry </w:t>
      </w:r>
      <w:r w:rsidRPr="0059478A">
        <w:rPr>
          <w:sz w:val="22"/>
          <w:szCs w:val="22"/>
        </w:rPr>
        <w:t>Report was for a new collaborative service to address the needs of children and young people who have complex needs based on the models of Wraparound Milwaukee and the People with Exceptionally Complex Needs.</w:t>
      </w:r>
    </w:p>
    <w:p w:rsidR="000C7EE7" w:rsidRPr="0059478A" w:rsidRDefault="000C7EE7" w:rsidP="00936851">
      <w:pPr>
        <w:pStyle w:val="Default"/>
        <w:rPr>
          <w:sz w:val="22"/>
          <w:szCs w:val="22"/>
        </w:rPr>
      </w:pPr>
    </w:p>
    <w:p w:rsidR="00936851" w:rsidRPr="0059478A" w:rsidRDefault="00AE5795" w:rsidP="00936851">
      <w:pPr>
        <w:pStyle w:val="Default"/>
        <w:rPr>
          <w:sz w:val="22"/>
          <w:szCs w:val="22"/>
        </w:rPr>
      </w:pPr>
      <w:r w:rsidRPr="0059478A">
        <w:rPr>
          <w:sz w:val="22"/>
          <w:szCs w:val="22"/>
        </w:rPr>
        <w:t>T</w:t>
      </w:r>
      <w:r w:rsidR="00936851" w:rsidRPr="0059478A">
        <w:rPr>
          <w:sz w:val="22"/>
          <w:szCs w:val="22"/>
        </w:rPr>
        <w:t xml:space="preserve">he </w:t>
      </w:r>
      <w:r w:rsidR="000C7EE7" w:rsidRPr="0059478A">
        <w:rPr>
          <w:sz w:val="22"/>
          <w:szCs w:val="22"/>
        </w:rPr>
        <w:t xml:space="preserve">Western Australian </w:t>
      </w:r>
      <w:r w:rsidR="00936851" w:rsidRPr="0059478A">
        <w:rPr>
          <w:sz w:val="22"/>
          <w:szCs w:val="22"/>
        </w:rPr>
        <w:t>People with Exceptionally Complex Needs (PECN) pilot comprised six individuals with exceptionally complex needs including a range of disabilities including mental illness, intellectual disabil</w:t>
      </w:r>
      <w:r w:rsidRPr="0059478A">
        <w:rPr>
          <w:sz w:val="22"/>
          <w:szCs w:val="22"/>
        </w:rPr>
        <w:t>ity and acquired brain injury.</w:t>
      </w:r>
      <w:r w:rsidR="00B111DB" w:rsidRPr="00B111DB">
        <w:rPr>
          <w:rStyle w:val="FootnoteReference"/>
          <w:color w:val="auto"/>
          <w:sz w:val="22"/>
          <w:szCs w:val="22"/>
        </w:rPr>
        <w:footnoteReference w:id="20"/>
      </w:r>
      <w:r w:rsidRPr="00B111DB">
        <w:rPr>
          <w:sz w:val="22"/>
          <w:szCs w:val="22"/>
        </w:rPr>
        <w:t xml:space="preserve"> </w:t>
      </w:r>
      <w:r w:rsidRPr="0059478A">
        <w:rPr>
          <w:sz w:val="22"/>
          <w:szCs w:val="22"/>
        </w:rPr>
        <w:t>They we</w:t>
      </w:r>
      <w:r w:rsidR="00936851" w:rsidRPr="0059478A">
        <w:rPr>
          <w:sz w:val="22"/>
          <w:szCs w:val="22"/>
        </w:rPr>
        <w:t>re also those who tend to use a range of services</w:t>
      </w:r>
      <w:r w:rsidRPr="0059478A">
        <w:rPr>
          <w:sz w:val="22"/>
          <w:szCs w:val="22"/>
        </w:rPr>
        <w:t xml:space="preserve"> provided by government and non-</w:t>
      </w:r>
      <w:r w:rsidR="00936851" w:rsidRPr="0059478A">
        <w:rPr>
          <w:sz w:val="22"/>
          <w:szCs w:val="22"/>
        </w:rPr>
        <w:t>government organisations including health, disability, drug and alcohol, housing, police and corrective services. An evaluation of the pilot in 2010 found that with appropriate support and assistance, people with exceptionally complex needs are able to make and maintain positive changes in their lives including compliance with medication and reduction in admissions into emergency department.</w:t>
      </w:r>
      <w:r w:rsidR="00B111DB" w:rsidRPr="00B111DB">
        <w:rPr>
          <w:rStyle w:val="FootnoteReference"/>
          <w:color w:val="auto"/>
          <w:sz w:val="22"/>
          <w:szCs w:val="22"/>
        </w:rPr>
        <w:footnoteReference w:id="21"/>
      </w:r>
      <w:r w:rsidR="00936851" w:rsidRPr="00B111DB">
        <w:rPr>
          <w:sz w:val="22"/>
          <w:szCs w:val="22"/>
        </w:rPr>
        <w:t xml:space="preserve"> </w:t>
      </w:r>
      <w:r w:rsidR="00936851" w:rsidRPr="0059478A">
        <w:rPr>
          <w:sz w:val="22"/>
          <w:szCs w:val="22"/>
        </w:rPr>
        <w:t xml:space="preserve">Further that the changes can also produce positive outcomes for the community including reduction in contact with the criminal justice system and improved relationships. PECN is an example of a whole of government approach and tailoring services to meet the needs of the client. </w:t>
      </w:r>
    </w:p>
    <w:p w:rsidR="00AE5795" w:rsidRPr="0059478A" w:rsidRDefault="00AE5795" w:rsidP="00936851">
      <w:pPr>
        <w:pStyle w:val="Default"/>
        <w:rPr>
          <w:sz w:val="22"/>
          <w:szCs w:val="22"/>
        </w:rPr>
      </w:pPr>
    </w:p>
    <w:p w:rsidR="00936851" w:rsidRPr="0059478A" w:rsidRDefault="00936851" w:rsidP="00936851">
      <w:pPr>
        <w:pStyle w:val="Default"/>
        <w:rPr>
          <w:sz w:val="22"/>
          <w:szCs w:val="22"/>
        </w:rPr>
      </w:pPr>
      <w:r w:rsidRPr="0059478A">
        <w:rPr>
          <w:sz w:val="22"/>
          <w:szCs w:val="22"/>
        </w:rPr>
        <w:t xml:space="preserve">In 2012 the </w:t>
      </w:r>
      <w:r w:rsidR="000C7EE7" w:rsidRPr="0059478A">
        <w:rPr>
          <w:sz w:val="22"/>
          <w:szCs w:val="22"/>
        </w:rPr>
        <w:t xml:space="preserve">WA State Government established the </w:t>
      </w:r>
      <w:r w:rsidRPr="0059478A">
        <w:rPr>
          <w:sz w:val="22"/>
          <w:szCs w:val="22"/>
        </w:rPr>
        <w:t>Y</w:t>
      </w:r>
      <w:r w:rsidR="00AE5795" w:rsidRPr="0059478A">
        <w:rPr>
          <w:sz w:val="22"/>
          <w:szCs w:val="22"/>
        </w:rPr>
        <w:t xml:space="preserve">oung </w:t>
      </w:r>
      <w:r w:rsidRPr="0059478A">
        <w:rPr>
          <w:sz w:val="22"/>
          <w:szCs w:val="22"/>
        </w:rPr>
        <w:t>P</w:t>
      </w:r>
      <w:r w:rsidR="00AE5795" w:rsidRPr="0059478A">
        <w:rPr>
          <w:sz w:val="22"/>
          <w:szCs w:val="22"/>
        </w:rPr>
        <w:t xml:space="preserve">eople with Exceptionally </w:t>
      </w:r>
      <w:r w:rsidRPr="0059478A">
        <w:rPr>
          <w:sz w:val="22"/>
          <w:szCs w:val="22"/>
        </w:rPr>
        <w:t>C</w:t>
      </w:r>
      <w:r w:rsidR="00AE5795" w:rsidRPr="0059478A">
        <w:rPr>
          <w:sz w:val="22"/>
          <w:szCs w:val="22"/>
        </w:rPr>
        <w:t xml:space="preserve">omplex </w:t>
      </w:r>
      <w:r w:rsidRPr="0059478A">
        <w:rPr>
          <w:sz w:val="22"/>
          <w:szCs w:val="22"/>
        </w:rPr>
        <w:t>N</w:t>
      </w:r>
      <w:r w:rsidR="00AE5795" w:rsidRPr="0059478A">
        <w:rPr>
          <w:sz w:val="22"/>
          <w:szCs w:val="22"/>
        </w:rPr>
        <w:t>eeds</w:t>
      </w:r>
      <w:r w:rsidRPr="0059478A">
        <w:rPr>
          <w:sz w:val="22"/>
          <w:szCs w:val="22"/>
        </w:rPr>
        <w:t xml:space="preserve"> </w:t>
      </w:r>
      <w:r w:rsidR="00C00F1F" w:rsidRPr="0059478A">
        <w:rPr>
          <w:sz w:val="22"/>
          <w:szCs w:val="22"/>
        </w:rPr>
        <w:t xml:space="preserve">(YPECN) </w:t>
      </w:r>
      <w:r w:rsidRPr="0059478A">
        <w:rPr>
          <w:sz w:val="22"/>
          <w:szCs w:val="22"/>
        </w:rPr>
        <w:t>pr</w:t>
      </w:r>
      <w:r w:rsidR="000C7EE7" w:rsidRPr="0059478A">
        <w:rPr>
          <w:sz w:val="22"/>
          <w:szCs w:val="22"/>
        </w:rPr>
        <w:t>ogram</w:t>
      </w:r>
      <w:r w:rsidRPr="0059478A">
        <w:rPr>
          <w:sz w:val="22"/>
          <w:szCs w:val="22"/>
        </w:rPr>
        <w:t xml:space="preserve">. This program targets young people with two or </w:t>
      </w:r>
      <w:r w:rsidR="00757C4A">
        <w:rPr>
          <w:sz w:val="22"/>
          <w:szCs w:val="22"/>
        </w:rPr>
        <w:t xml:space="preserve">more of - a mental health issue, an acquired brain injury, an intellectual disability, </w:t>
      </w:r>
      <w:r w:rsidRPr="0059478A">
        <w:rPr>
          <w:sz w:val="22"/>
          <w:szCs w:val="22"/>
        </w:rPr>
        <w:t>a sign</w:t>
      </w:r>
      <w:r w:rsidR="00757C4A">
        <w:rPr>
          <w:sz w:val="22"/>
          <w:szCs w:val="22"/>
        </w:rPr>
        <w:t>ificant substance abuse problem,</w:t>
      </w:r>
      <w:r w:rsidRPr="0059478A">
        <w:rPr>
          <w:sz w:val="22"/>
          <w:szCs w:val="22"/>
        </w:rPr>
        <w:t xml:space="preserve"> and in addition pose a significant risk of harm to themselves or </w:t>
      </w:r>
      <w:r w:rsidR="00757C4A">
        <w:rPr>
          <w:sz w:val="22"/>
          <w:szCs w:val="22"/>
        </w:rPr>
        <w:t>others,</w:t>
      </w:r>
      <w:r w:rsidRPr="0059478A">
        <w:rPr>
          <w:sz w:val="22"/>
          <w:szCs w:val="22"/>
        </w:rPr>
        <w:t xml:space="preserve"> require extensive support and would benefit from</w:t>
      </w:r>
      <w:r w:rsidR="00757C4A">
        <w:rPr>
          <w:sz w:val="22"/>
          <w:szCs w:val="22"/>
        </w:rPr>
        <w:t xml:space="preserve"> receiving coordinated services</w:t>
      </w:r>
      <w:r w:rsidRPr="0059478A">
        <w:rPr>
          <w:sz w:val="22"/>
          <w:szCs w:val="22"/>
        </w:rPr>
        <w:t xml:space="preserve"> and for whom the existing system is not working as it should.</w:t>
      </w:r>
      <w:r w:rsidR="00C00F1F" w:rsidRPr="0059478A">
        <w:rPr>
          <w:sz w:val="22"/>
          <w:szCs w:val="22"/>
        </w:rPr>
        <w:t xml:space="preserve"> The program is now supporting 11 young people and there is evidence of positive outcomes for the young people involved.</w:t>
      </w:r>
    </w:p>
    <w:p w:rsidR="00936851" w:rsidRPr="0059478A" w:rsidRDefault="00936851" w:rsidP="00614606">
      <w:pPr>
        <w:pStyle w:val="Default"/>
        <w:rPr>
          <w:sz w:val="22"/>
          <w:szCs w:val="22"/>
        </w:rPr>
      </w:pPr>
    </w:p>
    <w:p w:rsidR="00936851" w:rsidRPr="0059478A" w:rsidRDefault="000C7EE7" w:rsidP="00614606">
      <w:pPr>
        <w:pStyle w:val="Default"/>
        <w:rPr>
          <w:i/>
          <w:sz w:val="22"/>
          <w:szCs w:val="22"/>
        </w:rPr>
      </w:pPr>
      <w:r w:rsidRPr="0059478A">
        <w:rPr>
          <w:i/>
          <w:sz w:val="22"/>
          <w:szCs w:val="22"/>
        </w:rPr>
        <w:t>Mental Health Court Service</w:t>
      </w:r>
    </w:p>
    <w:p w:rsidR="000C7EE7" w:rsidRPr="0059478A" w:rsidRDefault="000C7EE7" w:rsidP="00614606">
      <w:pPr>
        <w:pStyle w:val="Default"/>
        <w:rPr>
          <w:sz w:val="22"/>
          <w:szCs w:val="22"/>
        </w:rPr>
      </w:pPr>
    </w:p>
    <w:p w:rsidR="000C7EE7" w:rsidRPr="0059478A" w:rsidRDefault="00650A2D" w:rsidP="00614606">
      <w:pPr>
        <w:pStyle w:val="Default"/>
        <w:rPr>
          <w:sz w:val="22"/>
          <w:szCs w:val="22"/>
        </w:rPr>
      </w:pPr>
      <w:r w:rsidRPr="0059478A">
        <w:rPr>
          <w:sz w:val="22"/>
          <w:szCs w:val="22"/>
        </w:rPr>
        <w:t>Recommendation 19 of my Inquiry</w:t>
      </w:r>
      <w:r w:rsidR="000C7EE7" w:rsidRPr="0059478A">
        <w:rPr>
          <w:sz w:val="22"/>
          <w:szCs w:val="22"/>
        </w:rPr>
        <w:t xml:space="preserve"> Report was for children and young people appearing before the Children’s Court of Western Australia </w:t>
      </w:r>
      <w:r w:rsidRPr="0059478A">
        <w:rPr>
          <w:sz w:val="22"/>
          <w:szCs w:val="22"/>
        </w:rPr>
        <w:t xml:space="preserve">to </w:t>
      </w:r>
      <w:r w:rsidR="000C7EE7" w:rsidRPr="0059478A">
        <w:rPr>
          <w:sz w:val="22"/>
          <w:szCs w:val="22"/>
        </w:rPr>
        <w:t>have access to appropriate, comprehensive mental health assessment, referral and treatment services.</w:t>
      </w:r>
    </w:p>
    <w:p w:rsidR="000C7EE7" w:rsidRPr="0059478A" w:rsidRDefault="000C7EE7" w:rsidP="00614606">
      <w:pPr>
        <w:pStyle w:val="Default"/>
        <w:rPr>
          <w:sz w:val="22"/>
          <w:szCs w:val="22"/>
        </w:rPr>
      </w:pPr>
    </w:p>
    <w:p w:rsidR="00CC5892" w:rsidRPr="0059478A" w:rsidRDefault="00614606" w:rsidP="00A87A79">
      <w:pPr>
        <w:pStyle w:val="Default"/>
        <w:rPr>
          <w:sz w:val="22"/>
          <w:szCs w:val="22"/>
        </w:rPr>
      </w:pPr>
      <w:r w:rsidRPr="0059478A">
        <w:rPr>
          <w:sz w:val="22"/>
          <w:szCs w:val="22"/>
        </w:rPr>
        <w:lastRenderedPageBreak/>
        <w:t xml:space="preserve">In the 2012 State Budget, the </w:t>
      </w:r>
      <w:r w:rsidR="00433445" w:rsidRPr="0059478A">
        <w:rPr>
          <w:sz w:val="22"/>
          <w:szCs w:val="22"/>
        </w:rPr>
        <w:t xml:space="preserve">WA State </w:t>
      </w:r>
      <w:r w:rsidRPr="0059478A">
        <w:rPr>
          <w:sz w:val="22"/>
          <w:szCs w:val="22"/>
        </w:rPr>
        <w:t xml:space="preserve">Government announced </w:t>
      </w:r>
      <w:r w:rsidR="00576B45" w:rsidRPr="0059478A">
        <w:rPr>
          <w:sz w:val="22"/>
          <w:szCs w:val="22"/>
        </w:rPr>
        <w:t xml:space="preserve">an early intervention pilot project would be established </w:t>
      </w:r>
      <w:r w:rsidRPr="0059478A">
        <w:rPr>
          <w:sz w:val="22"/>
          <w:szCs w:val="22"/>
        </w:rPr>
        <w:t>at the Perth Children’s Court</w:t>
      </w:r>
      <w:r w:rsidR="00576B45" w:rsidRPr="0059478A">
        <w:rPr>
          <w:sz w:val="22"/>
          <w:szCs w:val="22"/>
        </w:rPr>
        <w:t xml:space="preserve"> to provide specialised mental hea</w:t>
      </w:r>
      <w:r w:rsidR="006A096D">
        <w:rPr>
          <w:sz w:val="22"/>
          <w:szCs w:val="22"/>
        </w:rPr>
        <w:t xml:space="preserve">lth expertise. This project </w:t>
      </w:r>
      <w:r w:rsidRPr="0059478A">
        <w:rPr>
          <w:sz w:val="22"/>
          <w:szCs w:val="22"/>
        </w:rPr>
        <w:t>provide</w:t>
      </w:r>
      <w:r w:rsidR="006A096D">
        <w:rPr>
          <w:sz w:val="22"/>
          <w:szCs w:val="22"/>
        </w:rPr>
        <w:t>s</w:t>
      </w:r>
      <w:r w:rsidRPr="0059478A">
        <w:rPr>
          <w:sz w:val="22"/>
          <w:szCs w:val="22"/>
        </w:rPr>
        <w:t xml:space="preserve"> assessments, referrals and treatment, with the intention of diverting young people away from the justice system</w:t>
      </w:r>
      <w:r w:rsidR="00576B45" w:rsidRPr="0059478A">
        <w:rPr>
          <w:sz w:val="22"/>
          <w:szCs w:val="22"/>
        </w:rPr>
        <w:t>.</w:t>
      </w:r>
      <w:r w:rsidR="006A096D">
        <w:rPr>
          <w:rStyle w:val="FootnoteReference"/>
          <w:sz w:val="22"/>
          <w:szCs w:val="22"/>
        </w:rPr>
        <w:footnoteReference w:id="22"/>
      </w:r>
      <w:r w:rsidRPr="0059478A">
        <w:rPr>
          <w:sz w:val="14"/>
          <w:szCs w:val="14"/>
        </w:rPr>
        <w:t xml:space="preserve"> </w:t>
      </w:r>
    </w:p>
    <w:p w:rsidR="00650A2D" w:rsidRPr="0059478A" w:rsidRDefault="00650A2D" w:rsidP="00A87A79">
      <w:pPr>
        <w:pStyle w:val="Default"/>
        <w:rPr>
          <w:sz w:val="22"/>
          <w:szCs w:val="22"/>
        </w:rPr>
      </w:pPr>
    </w:p>
    <w:p w:rsidR="00650A2D" w:rsidRPr="0059478A" w:rsidRDefault="00650A2D" w:rsidP="00650A2D">
      <w:pPr>
        <w:pStyle w:val="Default"/>
        <w:rPr>
          <w:sz w:val="22"/>
          <w:szCs w:val="22"/>
        </w:rPr>
      </w:pPr>
      <w:r w:rsidRPr="0059478A">
        <w:rPr>
          <w:sz w:val="22"/>
          <w:szCs w:val="22"/>
        </w:rPr>
        <w:t>Rapid expansion of this service is needed to ensure that children and young people appearing before any WA court have access to appropriate, comprehensive mental health assessment, referral and treatment services.</w:t>
      </w:r>
    </w:p>
    <w:p w:rsidR="00A87A79" w:rsidRPr="0059478A" w:rsidRDefault="00A87A79" w:rsidP="00A87A79">
      <w:pPr>
        <w:pStyle w:val="Default"/>
        <w:rPr>
          <w:sz w:val="22"/>
          <w:szCs w:val="22"/>
        </w:rPr>
      </w:pPr>
    </w:p>
    <w:p w:rsidR="003C4022" w:rsidRPr="0059478A" w:rsidRDefault="004D0F53" w:rsidP="003C4022">
      <w:pPr>
        <w:spacing w:after="120"/>
        <w:contextualSpacing/>
        <w:rPr>
          <w:rFonts w:cs="Tahoma"/>
          <w:b/>
        </w:rPr>
      </w:pPr>
      <w:r w:rsidRPr="0059478A">
        <w:rPr>
          <w:rFonts w:cs="Tahoma"/>
          <w:b/>
        </w:rPr>
        <w:t xml:space="preserve">Barrier 4: Specialist support, accommodation and programs may not be provided to people with disability when they are considered unable to understand or respond to criminal charges made against them (‘unfit to plead’). </w:t>
      </w:r>
    </w:p>
    <w:p w:rsidR="003C4022" w:rsidRPr="0059478A" w:rsidRDefault="003C4022" w:rsidP="003C4022">
      <w:pPr>
        <w:spacing w:after="120"/>
        <w:contextualSpacing/>
        <w:rPr>
          <w:rFonts w:cs="Tahoma"/>
          <w:b/>
        </w:rPr>
      </w:pPr>
    </w:p>
    <w:p w:rsidR="003C4022" w:rsidRPr="0059478A" w:rsidRDefault="003C4022" w:rsidP="00336730">
      <w:pPr>
        <w:rPr>
          <w:rFonts w:cs="Tahoma"/>
          <w:szCs w:val="22"/>
        </w:rPr>
      </w:pPr>
      <w:r w:rsidRPr="0059478A">
        <w:rPr>
          <w:rFonts w:cs="Tahoma"/>
          <w:szCs w:val="22"/>
        </w:rPr>
        <w:t xml:space="preserve">As identified in the AHRC Issues Paper </w:t>
      </w:r>
      <w:r w:rsidR="00A87A79" w:rsidRPr="0059478A">
        <w:rPr>
          <w:rFonts w:cs="Tahoma"/>
          <w:szCs w:val="22"/>
        </w:rPr>
        <w:t xml:space="preserve">(pp. 10–11) </w:t>
      </w:r>
      <w:r w:rsidRPr="0059478A">
        <w:rPr>
          <w:rFonts w:cs="Tahoma"/>
          <w:szCs w:val="22"/>
        </w:rPr>
        <w:t>I am also of the view that the following are issues for children and young people with disability:</w:t>
      </w:r>
    </w:p>
    <w:p w:rsidR="003C4022" w:rsidRPr="0059478A" w:rsidRDefault="003C4022" w:rsidP="003C4022">
      <w:pPr>
        <w:numPr>
          <w:ilvl w:val="0"/>
          <w:numId w:val="12"/>
        </w:numPr>
        <w:spacing w:after="120"/>
        <w:contextualSpacing/>
        <w:rPr>
          <w:rFonts w:cs="Tahoma"/>
          <w:b/>
        </w:rPr>
      </w:pPr>
      <w:r w:rsidRPr="0059478A">
        <w:rPr>
          <w:rFonts w:cs="Tahoma"/>
        </w:rPr>
        <w:t>There is a lack of alternative accommodation and disability and therapeutic support options for people with disability if they cannot stand trial. Often prisons are the only accommodation options.</w:t>
      </w:r>
    </w:p>
    <w:p w:rsidR="00A87A79" w:rsidRPr="0059478A" w:rsidRDefault="00A87A79" w:rsidP="00A87A79">
      <w:pPr>
        <w:numPr>
          <w:ilvl w:val="0"/>
          <w:numId w:val="12"/>
        </w:numPr>
        <w:spacing w:after="0"/>
        <w:rPr>
          <w:rFonts w:cs="Tahoma"/>
        </w:rPr>
      </w:pPr>
      <w:r w:rsidRPr="0059478A">
        <w:rPr>
          <w:rFonts w:cs="Tahoma"/>
        </w:rPr>
        <w:t xml:space="preserve">When alternative accommodation is available and provided to people with disability who are found ‘unfit to plead’ concerns still may exist about the specialist accommodation and support provided. </w:t>
      </w:r>
    </w:p>
    <w:p w:rsidR="00A87A79" w:rsidRPr="0059478A" w:rsidRDefault="00A87A79" w:rsidP="00A87A79">
      <w:pPr>
        <w:numPr>
          <w:ilvl w:val="0"/>
          <w:numId w:val="12"/>
        </w:numPr>
        <w:spacing w:after="0"/>
        <w:rPr>
          <w:rFonts w:cs="Tahoma"/>
        </w:rPr>
      </w:pPr>
      <w:r w:rsidRPr="0059478A">
        <w:rPr>
          <w:rFonts w:cs="Tahoma"/>
        </w:rPr>
        <w:t xml:space="preserve">Many people with disability who have been found unfit to plead are subjected to a range of harmful practices in prison including medical and physical restraint and seclusion. </w:t>
      </w:r>
    </w:p>
    <w:p w:rsidR="00A87A79" w:rsidRPr="0059478A" w:rsidRDefault="00A87A79" w:rsidP="003C4022">
      <w:pPr>
        <w:numPr>
          <w:ilvl w:val="0"/>
          <w:numId w:val="12"/>
        </w:numPr>
        <w:spacing w:after="120"/>
        <w:contextualSpacing/>
        <w:rPr>
          <w:rFonts w:cs="Tahoma"/>
          <w:b/>
        </w:rPr>
      </w:pPr>
      <w:r w:rsidRPr="0059478A">
        <w:rPr>
          <w:rFonts w:cs="Tahoma"/>
        </w:rPr>
        <w:t>Access to processes that can divert people with disability out of the criminal justice system varies considerably and in some jurisdictions there are no diversionary options available.</w:t>
      </w:r>
    </w:p>
    <w:p w:rsidR="003C4022" w:rsidRPr="0059478A" w:rsidRDefault="003C4022" w:rsidP="003C4022">
      <w:pPr>
        <w:spacing w:after="120"/>
        <w:contextualSpacing/>
        <w:rPr>
          <w:rFonts w:cs="Tahoma"/>
        </w:rPr>
      </w:pPr>
    </w:p>
    <w:p w:rsidR="00F0287B" w:rsidRPr="0059478A" w:rsidRDefault="00F0287B" w:rsidP="00615F44">
      <w:pPr>
        <w:spacing w:after="0"/>
        <w:contextualSpacing/>
        <w:rPr>
          <w:rFonts w:cs="Tahoma"/>
          <w:i/>
          <w:szCs w:val="22"/>
          <w:lang w:eastAsia="en-AU"/>
        </w:rPr>
      </w:pPr>
      <w:r w:rsidRPr="0059478A">
        <w:rPr>
          <w:rFonts w:cs="Tahoma"/>
          <w:i/>
          <w:iCs/>
          <w:szCs w:val="22"/>
          <w:lang w:eastAsia="en-AU"/>
        </w:rPr>
        <w:t xml:space="preserve">Review of the Mental Health Act 1996 </w:t>
      </w:r>
      <w:r w:rsidRPr="0059478A">
        <w:rPr>
          <w:rFonts w:cs="Tahoma"/>
          <w:szCs w:val="22"/>
          <w:lang w:eastAsia="en-AU"/>
        </w:rPr>
        <w:t xml:space="preserve">(WA) </w:t>
      </w:r>
      <w:r w:rsidRPr="0059478A">
        <w:rPr>
          <w:rFonts w:cs="Tahoma"/>
          <w:i/>
          <w:szCs w:val="22"/>
          <w:lang w:eastAsia="en-AU"/>
        </w:rPr>
        <w:t>and the</w:t>
      </w:r>
      <w:r w:rsidRPr="0059478A">
        <w:rPr>
          <w:rFonts w:cs="Tahoma"/>
          <w:szCs w:val="22"/>
          <w:lang w:eastAsia="en-AU"/>
        </w:rPr>
        <w:t xml:space="preserve"> </w:t>
      </w:r>
      <w:r w:rsidRPr="0059478A">
        <w:rPr>
          <w:rFonts w:cs="Tahoma"/>
          <w:i/>
          <w:iCs/>
          <w:szCs w:val="22"/>
          <w:lang w:eastAsia="en-AU"/>
        </w:rPr>
        <w:t xml:space="preserve">Criminal Law (Mentally Impaired Accused) Act 1996 </w:t>
      </w:r>
      <w:r w:rsidRPr="0059478A">
        <w:rPr>
          <w:rFonts w:cs="Tahoma"/>
          <w:i/>
          <w:szCs w:val="22"/>
          <w:lang w:eastAsia="en-AU"/>
        </w:rPr>
        <w:t>(WA)</w:t>
      </w:r>
    </w:p>
    <w:p w:rsidR="00251018" w:rsidRPr="0059478A" w:rsidRDefault="00251018" w:rsidP="00615F44">
      <w:pPr>
        <w:spacing w:after="0"/>
        <w:contextualSpacing/>
        <w:rPr>
          <w:rFonts w:cs="Tahoma"/>
          <w:szCs w:val="22"/>
          <w:lang w:eastAsia="en-AU"/>
        </w:rPr>
      </w:pPr>
    </w:p>
    <w:p w:rsidR="00251018" w:rsidRPr="0059478A" w:rsidRDefault="00251018" w:rsidP="00615F44">
      <w:pPr>
        <w:spacing w:after="0"/>
        <w:contextualSpacing/>
        <w:rPr>
          <w:rFonts w:cs="Tahoma"/>
          <w:szCs w:val="22"/>
        </w:rPr>
      </w:pPr>
      <w:r w:rsidRPr="0059478A">
        <w:rPr>
          <w:rFonts w:cs="Tahoma"/>
          <w:szCs w:val="22"/>
        </w:rPr>
        <w:t>A significant area of work for my office has been advocating for the specific interests and needs of children and young people to be taken into account in the formulation of new Western Australian mental health laws.</w:t>
      </w:r>
    </w:p>
    <w:p w:rsidR="00F0287B" w:rsidRPr="0059478A" w:rsidRDefault="00F0287B" w:rsidP="00615F44">
      <w:pPr>
        <w:spacing w:after="0"/>
        <w:contextualSpacing/>
        <w:rPr>
          <w:rFonts w:cs="Tahoma"/>
          <w:szCs w:val="22"/>
        </w:rPr>
      </w:pPr>
    </w:p>
    <w:p w:rsidR="008E70C1" w:rsidRPr="0059478A" w:rsidRDefault="003C5CDE" w:rsidP="00615F44">
      <w:pPr>
        <w:spacing w:after="0"/>
        <w:contextualSpacing/>
        <w:rPr>
          <w:rFonts w:cs="Tahoma"/>
          <w:szCs w:val="22"/>
          <w:lang w:eastAsia="en-AU"/>
        </w:rPr>
      </w:pPr>
      <w:r w:rsidRPr="0059478A">
        <w:rPr>
          <w:rFonts w:cs="Tahoma"/>
          <w:szCs w:val="22"/>
        </w:rPr>
        <w:t xml:space="preserve">Recommendation </w:t>
      </w:r>
      <w:r w:rsidR="00AE14A4" w:rsidRPr="0059478A">
        <w:rPr>
          <w:rFonts w:cs="Tahoma"/>
          <w:szCs w:val="22"/>
        </w:rPr>
        <w:t xml:space="preserve">15 </w:t>
      </w:r>
      <w:r w:rsidR="00251018" w:rsidRPr="0059478A">
        <w:rPr>
          <w:rFonts w:cs="Tahoma"/>
          <w:szCs w:val="22"/>
        </w:rPr>
        <w:t>of my Inquiry</w:t>
      </w:r>
      <w:r w:rsidRPr="0059478A">
        <w:rPr>
          <w:rFonts w:cs="Tahoma"/>
          <w:szCs w:val="22"/>
        </w:rPr>
        <w:t xml:space="preserve"> Report </w:t>
      </w:r>
      <w:r w:rsidR="00AE14A4" w:rsidRPr="0059478A">
        <w:rPr>
          <w:rFonts w:cs="Tahoma"/>
          <w:szCs w:val="22"/>
          <w:lang w:eastAsia="en-AU"/>
        </w:rPr>
        <w:t xml:space="preserve">was for the </w:t>
      </w:r>
      <w:r w:rsidR="00AE14A4" w:rsidRPr="0059478A">
        <w:rPr>
          <w:rFonts w:cs="Tahoma"/>
          <w:i/>
          <w:iCs/>
          <w:szCs w:val="22"/>
          <w:lang w:eastAsia="en-AU"/>
        </w:rPr>
        <w:t xml:space="preserve">Mental Health Act 1996 </w:t>
      </w:r>
      <w:r w:rsidR="00AE14A4" w:rsidRPr="0059478A">
        <w:rPr>
          <w:rFonts w:cs="Tahoma"/>
          <w:szCs w:val="22"/>
          <w:lang w:eastAsia="en-AU"/>
        </w:rPr>
        <w:t xml:space="preserve">(WA) and the </w:t>
      </w:r>
      <w:r w:rsidR="00AE14A4" w:rsidRPr="0059478A">
        <w:rPr>
          <w:rFonts w:cs="Tahoma"/>
          <w:i/>
          <w:iCs/>
          <w:szCs w:val="22"/>
          <w:lang w:eastAsia="en-AU"/>
        </w:rPr>
        <w:t xml:space="preserve">Criminal Law (Mentally Impaired Accused) Act 1996 </w:t>
      </w:r>
      <w:r w:rsidR="00AE14A4" w:rsidRPr="0059478A">
        <w:rPr>
          <w:rFonts w:cs="Tahoma"/>
          <w:szCs w:val="22"/>
          <w:lang w:eastAsia="en-AU"/>
        </w:rPr>
        <w:t>(WA) to be reviewed</w:t>
      </w:r>
      <w:r w:rsidR="00F0287B" w:rsidRPr="0059478A">
        <w:rPr>
          <w:rFonts w:cs="Tahoma"/>
          <w:szCs w:val="22"/>
          <w:lang w:eastAsia="en-AU"/>
        </w:rPr>
        <w:t xml:space="preserve"> to </w:t>
      </w:r>
      <w:r w:rsidR="008E70C1" w:rsidRPr="0059478A">
        <w:rPr>
          <w:rFonts w:cs="Tahoma"/>
          <w:szCs w:val="22"/>
          <w:lang w:eastAsia="en-AU"/>
        </w:rPr>
        <w:t>ensure the rights and needs of children and young people are adequately recognised</w:t>
      </w:r>
      <w:r w:rsidR="00AE14A4" w:rsidRPr="0059478A">
        <w:rPr>
          <w:rFonts w:cs="Tahoma"/>
          <w:szCs w:val="22"/>
          <w:lang w:eastAsia="en-AU"/>
        </w:rPr>
        <w:t>.</w:t>
      </w:r>
    </w:p>
    <w:p w:rsidR="001F36CA" w:rsidRPr="0059478A" w:rsidRDefault="001F36CA" w:rsidP="00615F44">
      <w:pPr>
        <w:spacing w:after="0"/>
        <w:contextualSpacing/>
        <w:rPr>
          <w:rFonts w:cs="Tahoma"/>
          <w:szCs w:val="22"/>
          <w:lang w:eastAsia="en-AU"/>
        </w:rPr>
      </w:pPr>
    </w:p>
    <w:p w:rsidR="001F36CA" w:rsidRPr="0059478A" w:rsidRDefault="001F36CA" w:rsidP="00615F44">
      <w:pPr>
        <w:spacing w:after="0"/>
        <w:contextualSpacing/>
        <w:rPr>
          <w:rFonts w:cs="Tahoma"/>
          <w:szCs w:val="22"/>
          <w:lang w:eastAsia="en-AU"/>
        </w:rPr>
      </w:pPr>
      <w:r w:rsidRPr="0059478A">
        <w:rPr>
          <w:rFonts w:cs="Tahoma"/>
          <w:szCs w:val="22"/>
          <w:lang w:eastAsia="en-AU"/>
        </w:rPr>
        <w:t xml:space="preserve">Since that time a green Mental Health Bill 2012 has been released for public consultation by the WA State Government and the </w:t>
      </w:r>
      <w:r w:rsidRPr="0059478A">
        <w:rPr>
          <w:rFonts w:cs="Tahoma"/>
          <w:i/>
          <w:iCs/>
          <w:szCs w:val="22"/>
          <w:lang w:eastAsia="en-AU"/>
        </w:rPr>
        <w:t xml:space="preserve">Criminal Law (Mentally Impaired Accused) Act 1996 </w:t>
      </w:r>
      <w:r w:rsidRPr="0059478A">
        <w:rPr>
          <w:rFonts w:cs="Tahoma"/>
          <w:szCs w:val="22"/>
          <w:lang w:eastAsia="en-AU"/>
        </w:rPr>
        <w:t>(WA) is currently under review.</w:t>
      </w:r>
    </w:p>
    <w:p w:rsidR="008600F3" w:rsidRPr="0059478A" w:rsidRDefault="008600F3" w:rsidP="00615F44">
      <w:pPr>
        <w:spacing w:after="0"/>
        <w:contextualSpacing/>
        <w:rPr>
          <w:rFonts w:cs="Tahoma"/>
          <w:szCs w:val="22"/>
          <w:lang w:eastAsia="en-AU"/>
        </w:rPr>
      </w:pPr>
    </w:p>
    <w:p w:rsidR="0054130A" w:rsidRPr="0059478A" w:rsidRDefault="008600F3" w:rsidP="004477A3">
      <w:pPr>
        <w:rPr>
          <w:rFonts w:cs="Tahoma"/>
          <w:szCs w:val="22"/>
        </w:rPr>
      </w:pPr>
      <w:r w:rsidRPr="0059478A">
        <w:rPr>
          <w:rFonts w:cs="Tahoma"/>
          <w:szCs w:val="22"/>
        </w:rPr>
        <w:lastRenderedPageBreak/>
        <w:t>I am of the view that four fundamental principles should underpin</w:t>
      </w:r>
      <w:r w:rsidR="0054130A" w:rsidRPr="0059478A">
        <w:rPr>
          <w:rFonts w:cs="Tahoma"/>
          <w:szCs w:val="22"/>
        </w:rPr>
        <w:t xml:space="preserve"> this</w:t>
      </w:r>
      <w:r w:rsidRPr="0059478A">
        <w:rPr>
          <w:rFonts w:cs="Tahoma"/>
          <w:szCs w:val="22"/>
        </w:rPr>
        <w:t xml:space="preserve"> legislative reform:</w:t>
      </w:r>
    </w:p>
    <w:p w:rsidR="0054130A" w:rsidRPr="0059478A" w:rsidRDefault="0054130A" w:rsidP="008600F3">
      <w:pPr>
        <w:numPr>
          <w:ilvl w:val="0"/>
          <w:numId w:val="19"/>
        </w:numPr>
        <w:autoSpaceDE w:val="0"/>
        <w:autoSpaceDN w:val="0"/>
        <w:adjustRightInd w:val="0"/>
        <w:spacing w:after="0"/>
        <w:rPr>
          <w:rFonts w:cs="Tahoma"/>
          <w:szCs w:val="22"/>
          <w:lang w:eastAsia="en-AU"/>
        </w:rPr>
      </w:pPr>
      <w:r w:rsidRPr="0059478A">
        <w:rPr>
          <w:rFonts w:cs="Tahoma"/>
          <w:szCs w:val="22"/>
          <w:lang w:eastAsia="en-AU"/>
        </w:rPr>
        <w:t>b</w:t>
      </w:r>
      <w:r w:rsidR="008600F3" w:rsidRPr="0059478A">
        <w:rPr>
          <w:rFonts w:cs="Tahoma"/>
          <w:szCs w:val="22"/>
          <w:lang w:eastAsia="en-AU"/>
        </w:rPr>
        <w:t>est interests of the child</w:t>
      </w:r>
    </w:p>
    <w:p w:rsidR="0054130A" w:rsidRPr="0059478A" w:rsidRDefault="0054130A" w:rsidP="008600F3">
      <w:pPr>
        <w:numPr>
          <w:ilvl w:val="0"/>
          <w:numId w:val="19"/>
        </w:numPr>
        <w:autoSpaceDE w:val="0"/>
        <w:autoSpaceDN w:val="0"/>
        <w:adjustRightInd w:val="0"/>
        <w:spacing w:after="0"/>
        <w:rPr>
          <w:rFonts w:cs="Tahoma"/>
          <w:szCs w:val="22"/>
          <w:lang w:eastAsia="en-AU"/>
        </w:rPr>
      </w:pPr>
      <w:r w:rsidRPr="0059478A">
        <w:rPr>
          <w:rFonts w:cs="Tahoma"/>
          <w:szCs w:val="22"/>
          <w:lang w:eastAsia="en-AU"/>
        </w:rPr>
        <w:t>t</w:t>
      </w:r>
      <w:r w:rsidR="008600F3" w:rsidRPr="0059478A">
        <w:rPr>
          <w:rFonts w:cs="Tahoma"/>
          <w:szCs w:val="22"/>
          <w:lang w:eastAsia="en-AU"/>
        </w:rPr>
        <w:t>he right to be heard</w:t>
      </w:r>
    </w:p>
    <w:p w:rsidR="008600F3" w:rsidRPr="00754532" w:rsidRDefault="0054130A" w:rsidP="00754532">
      <w:pPr>
        <w:numPr>
          <w:ilvl w:val="0"/>
          <w:numId w:val="19"/>
        </w:numPr>
        <w:autoSpaceDE w:val="0"/>
        <w:autoSpaceDN w:val="0"/>
        <w:adjustRightInd w:val="0"/>
        <w:spacing w:after="0"/>
        <w:rPr>
          <w:rFonts w:cs="Tahoma"/>
          <w:szCs w:val="22"/>
          <w:lang w:eastAsia="en-AU"/>
        </w:rPr>
      </w:pPr>
      <w:r w:rsidRPr="0059478A">
        <w:rPr>
          <w:rFonts w:cs="Tahoma"/>
          <w:szCs w:val="22"/>
          <w:lang w:eastAsia="en-AU"/>
        </w:rPr>
        <w:t>i</w:t>
      </w:r>
      <w:r w:rsidR="008600F3" w:rsidRPr="0059478A">
        <w:rPr>
          <w:rFonts w:cs="Tahoma"/>
          <w:szCs w:val="22"/>
          <w:lang w:eastAsia="en-AU"/>
        </w:rPr>
        <w:t>nvolvement of family (including Aboriginal and Torres Strait</w:t>
      </w:r>
      <w:r w:rsidR="00754532">
        <w:rPr>
          <w:rFonts w:cs="Tahoma"/>
          <w:szCs w:val="22"/>
          <w:lang w:eastAsia="en-AU"/>
        </w:rPr>
        <w:t xml:space="preserve"> </w:t>
      </w:r>
      <w:r w:rsidR="008600F3" w:rsidRPr="00754532">
        <w:rPr>
          <w:rFonts w:cs="Tahoma"/>
          <w:szCs w:val="22"/>
          <w:lang w:eastAsia="en-AU"/>
        </w:rPr>
        <w:t>Islander kinship relationships)</w:t>
      </w:r>
    </w:p>
    <w:p w:rsidR="008600F3" w:rsidRPr="0059478A" w:rsidRDefault="0054130A" w:rsidP="0054130A">
      <w:pPr>
        <w:numPr>
          <w:ilvl w:val="0"/>
          <w:numId w:val="21"/>
        </w:numPr>
        <w:autoSpaceDE w:val="0"/>
        <w:autoSpaceDN w:val="0"/>
        <w:adjustRightInd w:val="0"/>
        <w:spacing w:after="0"/>
        <w:rPr>
          <w:rFonts w:cs="Tahoma"/>
          <w:szCs w:val="22"/>
          <w:lang w:eastAsia="en-AU"/>
        </w:rPr>
      </w:pPr>
      <w:r w:rsidRPr="0059478A">
        <w:rPr>
          <w:rFonts w:cs="Tahoma"/>
          <w:szCs w:val="22"/>
          <w:lang w:eastAsia="en-AU"/>
        </w:rPr>
        <w:t xml:space="preserve">the special </w:t>
      </w:r>
      <w:r w:rsidR="008600F3" w:rsidRPr="0059478A">
        <w:rPr>
          <w:rFonts w:cs="Tahoma"/>
          <w:szCs w:val="22"/>
          <w:lang w:eastAsia="en-AU"/>
        </w:rPr>
        <w:t>age</w:t>
      </w:r>
      <w:r w:rsidRPr="0059478A">
        <w:rPr>
          <w:rFonts w:cs="Tahoma"/>
          <w:szCs w:val="22"/>
          <w:lang w:eastAsia="en-AU"/>
        </w:rPr>
        <w:t>-</w:t>
      </w:r>
      <w:r w:rsidR="008600F3" w:rsidRPr="0059478A">
        <w:rPr>
          <w:rFonts w:cs="Tahoma"/>
          <w:szCs w:val="22"/>
          <w:lang w:eastAsia="en-AU"/>
        </w:rPr>
        <w:t>related</w:t>
      </w:r>
      <w:r w:rsidRPr="0059478A">
        <w:rPr>
          <w:rFonts w:cs="Tahoma"/>
          <w:szCs w:val="22"/>
          <w:lang w:eastAsia="en-AU"/>
        </w:rPr>
        <w:t xml:space="preserve"> </w:t>
      </w:r>
      <w:r w:rsidR="008600F3" w:rsidRPr="0059478A">
        <w:rPr>
          <w:rFonts w:cs="Tahoma"/>
          <w:szCs w:val="22"/>
          <w:lang w:eastAsia="en-AU"/>
        </w:rPr>
        <w:t>needs of children must</w:t>
      </w:r>
      <w:r w:rsidRPr="0059478A">
        <w:rPr>
          <w:rFonts w:cs="Tahoma"/>
          <w:szCs w:val="22"/>
          <w:lang w:eastAsia="en-AU"/>
        </w:rPr>
        <w:t xml:space="preserve"> be recognised and provided for.</w:t>
      </w:r>
    </w:p>
    <w:p w:rsidR="00615F44" w:rsidRPr="0059478A" w:rsidRDefault="00615F44" w:rsidP="00615F44">
      <w:pPr>
        <w:spacing w:after="0"/>
        <w:contextualSpacing/>
        <w:rPr>
          <w:rFonts w:cs="Tahoma"/>
          <w:szCs w:val="22"/>
          <w:lang w:eastAsia="en-AU"/>
        </w:rPr>
      </w:pPr>
    </w:p>
    <w:p w:rsidR="001F36CA" w:rsidRPr="0059478A" w:rsidRDefault="001F36CA" w:rsidP="004477A3">
      <w:pPr>
        <w:rPr>
          <w:rFonts w:cs="Tahoma"/>
          <w:szCs w:val="22"/>
        </w:rPr>
      </w:pPr>
      <w:r w:rsidRPr="0059478A">
        <w:rPr>
          <w:rFonts w:cs="Tahoma"/>
          <w:szCs w:val="22"/>
        </w:rPr>
        <w:t>M</w:t>
      </w:r>
      <w:r w:rsidR="00251018" w:rsidRPr="0059478A">
        <w:rPr>
          <w:rFonts w:cs="Tahoma"/>
          <w:szCs w:val="22"/>
        </w:rPr>
        <w:t>y</w:t>
      </w:r>
      <w:r w:rsidR="008E70C1" w:rsidRPr="0059478A">
        <w:rPr>
          <w:rFonts w:cs="Tahoma"/>
          <w:szCs w:val="22"/>
        </w:rPr>
        <w:t xml:space="preserve"> </w:t>
      </w:r>
      <w:r w:rsidRPr="0059478A">
        <w:rPr>
          <w:rFonts w:cs="Tahoma"/>
          <w:szCs w:val="22"/>
        </w:rPr>
        <w:t xml:space="preserve">submissions on the relevant legislation are </w:t>
      </w:r>
      <w:r w:rsidR="008600F3" w:rsidRPr="0059478A">
        <w:rPr>
          <w:rFonts w:cs="Tahoma"/>
          <w:szCs w:val="22"/>
        </w:rPr>
        <w:t xml:space="preserve">as follows and are </w:t>
      </w:r>
      <w:r w:rsidRPr="0059478A">
        <w:rPr>
          <w:rFonts w:cs="Tahoma"/>
          <w:szCs w:val="22"/>
        </w:rPr>
        <w:t>available on my website (</w:t>
      </w:r>
      <w:hyperlink r:id="rId9" w:history="1">
        <w:r w:rsidRPr="004477A3">
          <w:t>http://www.ccyp.wa.gov.au/content/Mental-health.aspx</w:t>
        </w:r>
      </w:hyperlink>
      <w:r w:rsidRPr="0059478A">
        <w:rPr>
          <w:rFonts w:cs="Tahoma"/>
          <w:szCs w:val="22"/>
        </w:rPr>
        <w:t>):</w:t>
      </w:r>
    </w:p>
    <w:p w:rsidR="001F36CA" w:rsidRPr="0059478A" w:rsidRDefault="008E70C1" w:rsidP="001F36CA">
      <w:pPr>
        <w:pStyle w:val="Default"/>
        <w:numPr>
          <w:ilvl w:val="0"/>
          <w:numId w:val="18"/>
        </w:numPr>
        <w:rPr>
          <w:sz w:val="22"/>
          <w:szCs w:val="22"/>
        </w:rPr>
      </w:pPr>
      <w:r w:rsidRPr="0059478A">
        <w:rPr>
          <w:bCs/>
          <w:i/>
          <w:sz w:val="22"/>
          <w:szCs w:val="22"/>
        </w:rPr>
        <w:t>Position statement on the Mental Health Act 1996 (WA) and the Criminal Law (Mentally Impaired Accused) Act 1996 (WA)</w:t>
      </w:r>
    </w:p>
    <w:p w:rsidR="001F36CA" w:rsidRPr="0059478A" w:rsidRDefault="001F36CA" w:rsidP="001F36CA">
      <w:pPr>
        <w:pStyle w:val="Default"/>
        <w:numPr>
          <w:ilvl w:val="0"/>
          <w:numId w:val="18"/>
        </w:numPr>
        <w:rPr>
          <w:sz w:val="22"/>
          <w:szCs w:val="22"/>
        </w:rPr>
      </w:pPr>
      <w:r w:rsidRPr="0059478A">
        <w:rPr>
          <w:bCs/>
          <w:sz w:val="22"/>
          <w:szCs w:val="22"/>
        </w:rPr>
        <w:t>Green Mental Health Bill 2012</w:t>
      </w:r>
    </w:p>
    <w:p w:rsidR="0080406E" w:rsidRPr="0059478A" w:rsidRDefault="001F36CA" w:rsidP="003C4022">
      <w:pPr>
        <w:pStyle w:val="Default"/>
        <w:numPr>
          <w:ilvl w:val="0"/>
          <w:numId w:val="18"/>
        </w:numPr>
        <w:spacing w:after="120"/>
        <w:contextualSpacing/>
        <w:rPr>
          <w:sz w:val="22"/>
          <w:szCs w:val="22"/>
        </w:rPr>
      </w:pPr>
      <w:r w:rsidRPr="0059478A">
        <w:rPr>
          <w:bCs/>
          <w:sz w:val="22"/>
          <w:szCs w:val="22"/>
        </w:rPr>
        <w:t xml:space="preserve">Review of </w:t>
      </w:r>
      <w:r w:rsidRPr="0059478A">
        <w:rPr>
          <w:sz w:val="22"/>
          <w:szCs w:val="22"/>
        </w:rPr>
        <w:t>t</w:t>
      </w:r>
      <w:r w:rsidR="00F0287B" w:rsidRPr="0059478A">
        <w:rPr>
          <w:sz w:val="22"/>
          <w:szCs w:val="22"/>
        </w:rPr>
        <w:t xml:space="preserve">he </w:t>
      </w:r>
      <w:r w:rsidR="00F0287B" w:rsidRPr="0059478A">
        <w:rPr>
          <w:i/>
          <w:iCs/>
          <w:sz w:val="22"/>
          <w:szCs w:val="22"/>
        </w:rPr>
        <w:t xml:space="preserve">Criminal Law (Mentally Impaired Accused) Act 1996 </w:t>
      </w:r>
      <w:r w:rsidR="00F0287B" w:rsidRPr="0059478A">
        <w:rPr>
          <w:sz w:val="22"/>
          <w:szCs w:val="22"/>
        </w:rPr>
        <w:t xml:space="preserve">(WA) </w:t>
      </w:r>
    </w:p>
    <w:p w:rsidR="008600F3" w:rsidRDefault="008600F3" w:rsidP="003C4022">
      <w:pPr>
        <w:pStyle w:val="Default"/>
        <w:numPr>
          <w:ilvl w:val="0"/>
          <w:numId w:val="18"/>
        </w:numPr>
        <w:spacing w:after="120"/>
        <w:contextualSpacing/>
        <w:rPr>
          <w:sz w:val="22"/>
          <w:szCs w:val="22"/>
        </w:rPr>
      </w:pPr>
      <w:r w:rsidRPr="0059478A">
        <w:rPr>
          <w:sz w:val="22"/>
          <w:szCs w:val="22"/>
        </w:rPr>
        <w:t>Draft Declared Places (Mentally Impaired Accused) Bill 2012</w:t>
      </w:r>
    </w:p>
    <w:p w:rsidR="00F52B2C" w:rsidRPr="00F52B2C" w:rsidRDefault="00F52B2C" w:rsidP="00F52B2C">
      <w:pPr>
        <w:pStyle w:val="Default"/>
        <w:contextualSpacing/>
        <w:rPr>
          <w:sz w:val="22"/>
          <w:szCs w:val="22"/>
        </w:rPr>
      </w:pPr>
    </w:p>
    <w:p w:rsidR="0080406E" w:rsidRPr="00F52B2C" w:rsidRDefault="008B3D11" w:rsidP="00F52B2C">
      <w:pPr>
        <w:spacing w:after="0"/>
        <w:contextualSpacing/>
        <w:rPr>
          <w:rFonts w:cs="Tahoma"/>
          <w:i/>
          <w:iCs/>
          <w:szCs w:val="22"/>
          <w:lang w:eastAsia="en-AU"/>
        </w:rPr>
      </w:pPr>
      <w:r w:rsidRPr="00F52B2C">
        <w:rPr>
          <w:rFonts w:cs="Tahoma"/>
          <w:i/>
          <w:iCs/>
          <w:szCs w:val="22"/>
          <w:lang w:eastAsia="en-AU"/>
        </w:rPr>
        <w:t xml:space="preserve">Forensic mental health unit for children and young people </w:t>
      </w:r>
    </w:p>
    <w:p w:rsidR="0080406E" w:rsidRPr="00F52B2C" w:rsidRDefault="0080406E" w:rsidP="00F52B2C">
      <w:pPr>
        <w:spacing w:after="0"/>
        <w:contextualSpacing/>
        <w:rPr>
          <w:rFonts w:cs="Tahoma"/>
          <w:i/>
          <w:iCs/>
          <w:szCs w:val="22"/>
          <w:lang w:eastAsia="en-AU"/>
        </w:rPr>
      </w:pPr>
    </w:p>
    <w:p w:rsidR="003C4022" w:rsidRPr="0059478A" w:rsidRDefault="003C4022" w:rsidP="003C4022">
      <w:pPr>
        <w:spacing w:after="120"/>
        <w:contextualSpacing/>
        <w:rPr>
          <w:rFonts w:cs="Tahoma"/>
          <w:szCs w:val="22"/>
        </w:rPr>
      </w:pPr>
      <w:r w:rsidRPr="0059478A">
        <w:rPr>
          <w:rFonts w:cs="Tahoma"/>
          <w:szCs w:val="22"/>
        </w:rPr>
        <w:t>Recommendation 19 of the Report was that a dedicated forensic mental health unit for children and young people be established.</w:t>
      </w:r>
    </w:p>
    <w:p w:rsidR="003C4022" w:rsidRPr="0059478A" w:rsidRDefault="003C4022" w:rsidP="003C4022">
      <w:pPr>
        <w:spacing w:after="120"/>
        <w:contextualSpacing/>
        <w:rPr>
          <w:rFonts w:cs="Tahoma"/>
          <w:szCs w:val="22"/>
        </w:rPr>
      </w:pPr>
    </w:p>
    <w:p w:rsidR="003C6D40" w:rsidRPr="0059478A" w:rsidRDefault="003C6D40" w:rsidP="003C6D40">
      <w:pPr>
        <w:rPr>
          <w:rFonts w:cs="Tahoma"/>
          <w:szCs w:val="22"/>
        </w:rPr>
      </w:pPr>
      <w:r w:rsidRPr="0059478A">
        <w:rPr>
          <w:rFonts w:cs="Tahoma"/>
          <w:szCs w:val="22"/>
        </w:rPr>
        <w:t xml:space="preserve">At present there is no dedicated, secure mental health </w:t>
      </w:r>
      <w:r w:rsidR="003C4022" w:rsidRPr="0059478A">
        <w:rPr>
          <w:rFonts w:cs="Tahoma"/>
          <w:szCs w:val="22"/>
        </w:rPr>
        <w:t xml:space="preserve">facility for young people in WA. </w:t>
      </w:r>
      <w:r w:rsidRPr="0059478A">
        <w:rPr>
          <w:rFonts w:cs="Tahoma"/>
          <w:szCs w:val="22"/>
        </w:rPr>
        <w:t xml:space="preserve"> </w:t>
      </w:r>
    </w:p>
    <w:p w:rsidR="00EC36B0" w:rsidRDefault="003C4022" w:rsidP="00EC36B0">
      <w:pPr>
        <w:spacing w:after="120"/>
        <w:contextualSpacing/>
        <w:rPr>
          <w:rFonts w:cs="Tahoma"/>
          <w:szCs w:val="22"/>
        </w:rPr>
      </w:pPr>
      <w:r w:rsidRPr="0059478A">
        <w:rPr>
          <w:rFonts w:cs="Tahoma"/>
          <w:szCs w:val="22"/>
        </w:rPr>
        <w:t>In 2013 the WA Disability Services Commission</w:t>
      </w:r>
      <w:r w:rsidR="00861E5D" w:rsidRPr="0059478A">
        <w:rPr>
          <w:rFonts w:cs="Tahoma"/>
          <w:szCs w:val="22"/>
        </w:rPr>
        <w:t xml:space="preserve"> (DSC)</w:t>
      </w:r>
      <w:r w:rsidRPr="0059478A">
        <w:rPr>
          <w:rFonts w:cs="Tahoma"/>
          <w:szCs w:val="22"/>
        </w:rPr>
        <w:t xml:space="preserve"> began work on a new Disab</w:t>
      </w:r>
      <w:r w:rsidR="0054130A" w:rsidRPr="0059478A">
        <w:rPr>
          <w:rFonts w:cs="Tahoma"/>
          <w:szCs w:val="22"/>
        </w:rPr>
        <w:t>ility Justice Service</w:t>
      </w:r>
      <w:r w:rsidR="00861E5D" w:rsidRPr="0059478A">
        <w:rPr>
          <w:rFonts w:cs="Tahoma"/>
          <w:szCs w:val="22"/>
        </w:rPr>
        <w:t>.</w:t>
      </w:r>
      <w:r w:rsidRPr="0059478A">
        <w:rPr>
          <w:rFonts w:cs="Tahoma"/>
          <w:szCs w:val="22"/>
        </w:rPr>
        <w:t xml:space="preserve"> </w:t>
      </w:r>
      <w:r w:rsidR="00B2144F" w:rsidRPr="0059478A">
        <w:rPr>
          <w:rFonts w:cs="Tahoma"/>
          <w:szCs w:val="22"/>
        </w:rPr>
        <w:t>Two Disability Justice C</w:t>
      </w:r>
      <w:r w:rsidR="00861E5D" w:rsidRPr="0059478A">
        <w:rPr>
          <w:rFonts w:cs="Tahoma"/>
          <w:szCs w:val="22"/>
        </w:rPr>
        <w:t>entres are in development to accommodate people (16 years and over) with intellectual or cognitive disability (as assessed by DSC) who have been charged with an offence but are not able to understand the court process and are deemed unfit to plead. The Disability Justice Service includes an in-reach service to prisons and youth detention centres.</w:t>
      </w:r>
      <w:r w:rsidR="00B239B0">
        <w:rPr>
          <w:rStyle w:val="FootnoteReference"/>
          <w:rFonts w:cs="Tahoma"/>
          <w:szCs w:val="22"/>
        </w:rPr>
        <w:footnoteReference w:id="23"/>
      </w:r>
      <w:r w:rsidR="00861E5D" w:rsidRPr="0059478A">
        <w:rPr>
          <w:rFonts w:cs="Tahoma"/>
          <w:szCs w:val="22"/>
        </w:rPr>
        <w:t xml:space="preserve"> </w:t>
      </w:r>
    </w:p>
    <w:p w:rsidR="009D0098" w:rsidRPr="0059478A" w:rsidRDefault="009D0098" w:rsidP="00EC36B0">
      <w:pPr>
        <w:spacing w:after="120"/>
        <w:contextualSpacing/>
        <w:rPr>
          <w:rFonts w:cs="Tahoma"/>
          <w:szCs w:val="22"/>
        </w:rPr>
      </w:pPr>
    </w:p>
    <w:p w:rsidR="00B2144F" w:rsidRPr="0059478A" w:rsidRDefault="00B2144F" w:rsidP="00B2144F">
      <w:pPr>
        <w:spacing w:after="120"/>
        <w:contextualSpacing/>
        <w:rPr>
          <w:rFonts w:cs="Tahoma"/>
          <w:szCs w:val="22"/>
        </w:rPr>
      </w:pPr>
      <w:r w:rsidRPr="0059478A">
        <w:rPr>
          <w:rFonts w:cs="Tahoma"/>
          <w:szCs w:val="22"/>
        </w:rPr>
        <w:t xml:space="preserve">I continue to be concerned about the lack of a declared place specifically for mentally impaired children and young people. The Disability Justice Centres will </w:t>
      </w:r>
      <w:r w:rsidR="005246AF" w:rsidRPr="0059478A">
        <w:rPr>
          <w:rFonts w:cs="Tahoma"/>
          <w:szCs w:val="22"/>
        </w:rPr>
        <w:t>not</w:t>
      </w:r>
      <w:r w:rsidRPr="0059478A">
        <w:rPr>
          <w:rFonts w:cs="Tahoma"/>
          <w:szCs w:val="22"/>
        </w:rPr>
        <w:t xml:space="preserve"> improve the predicament of children who are aged less than 16 years and who are subject to a custody order as a consequence of being found unfit to stand trial or acquitted on account of unsoundness of mind.</w:t>
      </w:r>
    </w:p>
    <w:p w:rsidR="0008202A" w:rsidRPr="0059478A" w:rsidRDefault="0008202A" w:rsidP="00B2144F">
      <w:pPr>
        <w:spacing w:after="120"/>
        <w:contextualSpacing/>
        <w:rPr>
          <w:rFonts w:cs="Tahoma"/>
          <w:szCs w:val="22"/>
        </w:rPr>
      </w:pPr>
    </w:p>
    <w:p w:rsidR="0008202A" w:rsidRPr="0059478A" w:rsidRDefault="0008202A" w:rsidP="0008202A">
      <w:pPr>
        <w:autoSpaceDE w:val="0"/>
        <w:autoSpaceDN w:val="0"/>
        <w:adjustRightInd w:val="0"/>
        <w:spacing w:after="0"/>
        <w:rPr>
          <w:rFonts w:cs="Tahoma"/>
          <w:szCs w:val="22"/>
          <w:lang w:eastAsia="en-AU"/>
        </w:rPr>
      </w:pPr>
      <w:r w:rsidRPr="0059478A">
        <w:rPr>
          <w:rFonts w:cs="Tahoma"/>
          <w:szCs w:val="22"/>
          <w:lang w:eastAsia="en-AU"/>
        </w:rPr>
        <w:t xml:space="preserve">I </w:t>
      </w:r>
      <w:r w:rsidR="005246AF" w:rsidRPr="0059478A">
        <w:rPr>
          <w:rFonts w:cs="Tahoma"/>
          <w:szCs w:val="22"/>
          <w:lang w:eastAsia="en-AU"/>
        </w:rPr>
        <w:t>am of the view that</w:t>
      </w:r>
      <w:r w:rsidRPr="0059478A">
        <w:rPr>
          <w:rFonts w:cs="Tahoma"/>
          <w:szCs w:val="22"/>
          <w:lang w:eastAsia="en-AU"/>
        </w:rPr>
        <w:t xml:space="preserve"> an appropriate child-specific place in the community be declared as a ‘declared place’ for children and young people who are subject to a custody order under the </w:t>
      </w:r>
      <w:r w:rsidR="005C6DA5" w:rsidRPr="0059478A">
        <w:rPr>
          <w:rFonts w:cs="Tahoma"/>
          <w:i/>
          <w:iCs/>
          <w:szCs w:val="22"/>
          <w:lang w:eastAsia="en-AU"/>
        </w:rPr>
        <w:t xml:space="preserve">Criminal Law (Mentally Impaired Accused) Act 1996 </w:t>
      </w:r>
      <w:r w:rsidR="005C6DA5" w:rsidRPr="0059478A">
        <w:rPr>
          <w:rFonts w:cs="Tahoma"/>
          <w:szCs w:val="22"/>
          <w:lang w:eastAsia="en-AU"/>
        </w:rPr>
        <w:t>(WA)</w:t>
      </w:r>
      <w:r w:rsidRPr="0059478A">
        <w:rPr>
          <w:rFonts w:cs="Tahoma"/>
          <w:szCs w:val="22"/>
          <w:lang w:eastAsia="en-AU"/>
        </w:rPr>
        <w:t>. This is clearly preferable to accommodating children and adults in the same facility and would provide a suitable alternative option for children who are aged less than 16 years.</w:t>
      </w:r>
    </w:p>
    <w:p w:rsidR="003C4022" w:rsidRPr="0059478A" w:rsidRDefault="00EC36B0" w:rsidP="005246AF">
      <w:pPr>
        <w:spacing w:after="0"/>
        <w:contextualSpacing/>
        <w:rPr>
          <w:rFonts w:cs="Tahoma"/>
          <w:b/>
          <w:szCs w:val="22"/>
        </w:rPr>
      </w:pPr>
      <w:r w:rsidRPr="0059478A">
        <w:rPr>
          <w:rFonts w:cs="Tahoma"/>
          <w:b/>
          <w:szCs w:val="22"/>
        </w:rPr>
        <w:lastRenderedPageBreak/>
        <w:t xml:space="preserve">Barrier 5: </w:t>
      </w:r>
      <w:r w:rsidRPr="0059478A">
        <w:rPr>
          <w:rFonts w:cs="Tahoma"/>
          <w:b/>
        </w:rPr>
        <w:t xml:space="preserve">Support, adjustments and aids may not be provided to prisoners with disability so that they can meet basic human needs and participate in prison life. They often face inhuman and degrading treatment, torture and harmful prison management practices. </w:t>
      </w:r>
    </w:p>
    <w:p w:rsidR="005246AF" w:rsidRPr="0059478A" w:rsidRDefault="005246AF" w:rsidP="00EC36B0">
      <w:pPr>
        <w:pStyle w:val="Default"/>
        <w:rPr>
          <w:sz w:val="22"/>
          <w:szCs w:val="22"/>
        </w:rPr>
      </w:pPr>
    </w:p>
    <w:p w:rsidR="00EC36B0" w:rsidRPr="0059478A" w:rsidRDefault="00EC36B0" w:rsidP="00392166">
      <w:pPr>
        <w:rPr>
          <w:rFonts w:cs="Tahoma"/>
          <w:szCs w:val="22"/>
        </w:rPr>
      </w:pPr>
      <w:r w:rsidRPr="0059478A">
        <w:rPr>
          <w:rFonts w:cs="Tahoma"/>
          <w:szCs w:val="22"/>
        </w:rPr>
        <w:t>As identified in the AHRC Issues Paper (pp. 11–12) I am also of the view that the following are issues for children and young people with disability:</w:t>
      </w:r>
    </w:p>
    <w:p w:rsidR="00EC36B0" w:rsidRPr="0059478A" w:rsidRDefault="00EC36B0" w:rsidP="004E3347">
      <w:pPr>
        <w:numPr>
          <w:ilvl w:val="0"/>
          <w:numId w:val="14"/>
        </w:numPr>
        <w:spacing w:after="0"/>
        <w:rPr>
          <w:rFonts w:cs="Tahoma"/>
          <w:szCs w:val="22"/>
        </w:rPr>
      </w:pPr>
      <w:r w:rsidRPr="0059478A">
        <w:rPr>
          <w:rFonts w:cs="Tahoma"/>
        </w:rPr>
        <w:t>Many people with disability are not being identified as having a disability on entry into prison or while in prison. As a result no supports or special services are provided.</w:t>
      </w:r>
    </w:p>
    <w:p w:rsidR="004E3347" w:rsidRPr="0059478A" w:rsidRDefault="004E3347" w:rsidP="004E3347">
      <w:pPr>
        <w:numPr>
          <w:ilvl w:val="0"/>
          <w:numId w:val="14"/>
        </w:numPr>
        <w:spacing w:after="0"/>
        <w:rPr>
          <w:rFonts w:cs="Tahoma"/>
          <w:szCs w:val="22"/>
        </w:rPr>
      </w:pPr>
      <w:r w:rsidRPr="0059478A">
        <w:rPr>
          <w:rFonts w:cs="Tahoma"/>
        </w:rPr>
        <w:t>Communication support may not be provided to prisoners with disability so that they can interact with other prisoners and prison staff. They may not be able to participate in health, education, employment and rehabilitation programs.</w:t>
      </w:r>
    </w:p>
    <w:p w:rsidR="004E3347" w:rsidRPr="0059478A" w:rsidRDefault="00266B21" w:rsidP="00447C28">
      <w:pPr>
        <w:numPr>
          <w:ilvl w:val="0"/>
          <w:numId w:val="14"/>
        </w:numPr>
        <w:spacing w:after="0"/>
        <w:rPr>
          <w:rFonts w:cs="Tahoma"/>
          <w:szCs w:val="22"/>
        </w:rPr>
      </w:pPr>
      <w:r w:rsidRPr="0059478A">
        <w:rPr>
          <w:rFonts w:cs="Tahoma"/>
          <w:bCs/>
          <w:color w:val="222222"/>
        </w:rPr>
        <w:t>. . . t</w:t>
      </w:r>
      <w:r w:rsidR="004E3347" w:rsidRPr="0059478A">
        <w:rPr>
          <w:rFonts w:cs="Tahoma"/>
          <w:bCs/>
          <w:color w:val="222222"/>
        </w:rPr>
        <w:t xml:space="preserve">here is no </w:t>
      </w:r>
      <w:r w:rsidR="004E3347" w:rsidRPr="0059478A">
        <w:rPr>
          <w:rFonts w:cs="Tahoma"/>
        </w:rPr>
        <w:t>access to appropriate healthcare and treatment and support services, including mental health services. People with disability are released without necessary medication, health plans or referrals to services in place. There is also a lack of culturally relevant and appropriate support and services inside and outside the criminal justice system.</w:t>
      </w:r>
    </w:p>
    <w:p w:rsidR="00B963A4" w:rsidRPr="0059478A" w:rsidRDefault="00B963A4" w:rsidP="00B963A4">
      <w:pPr>
        <w:spacing w:after="0"/>
        <w:ind w:left="720"/>
        <w:rPr>
          <w:rFonts w:cs="Tahoma"/>
          <w:szCs w:val="22"/>
        </w:rPr>
      </w:pPr>
    </w:p>
    <w:p w:rsidR="00B963A4" w:rsidRPr="0059478A" w:rsidRDefault="00B963A4" w:rsidP="00392166">
      <w:pPr>
        <w:rPr>
          <w:rFonts w:cs="Tahoma"/>
          <w:szCs w:val="22"/>
        </w:rPr>
      </w:pPr>
      <w:r w:rsidRPr="0059478A">
        <w:rPr>
          <w:rFonts w:cs="Tahoma"/>
          <w:szCs w:val="22"/>
        </w:rPr>
        <w:t xml:space="preserve">I am of the view that significant improvement and focus on rehabilitation and therapeutic services in WA youth detention facilities is required. This would include: </w:t>
      </w:r>
    </w:p>
    <w:p w:rsidR="00B963A4" w:rsidRPr="0059478A" w:rsidRDefault="00B963A4" w:rsidP="00B963A4">
      <w:pPr>
        <w:pStyle w:val="Default"/>
        <w:numPr>
          <w:ilvl w:val="0"/>
          <w:numId w:val="16"/>
        </w:numPr>
        <w:spacing w:after="20"/>
        <w:rPr>
          <w:sz w:val="22"/>
          <w:szCs w:val="22"/>
        </w:rPr>
      </w:pPr>
      <w:r w:rsidRPr="0059478A">
        <w:rPr>
          <w:sz w:val="22"/>
          <w:szCs w:val="22"/>
        </w:rPr>
        <w:t>Disability supports</w:t>
      </w:r>
    </w:p>
    <w:p w:rsidR="00B963A4" w:rsidRPr="0059478A" w:rsidRDefault="00B963A4" w:rsidP="00B963A4">
      <w:pPr>
        <w:pStyle w:val="Default"/>
        <w:numPr>
          <w:ilvl w:val="0"/>
          <w:numId w:val="16"/>
        </w:numPr>
        <w:spacing w:after="20"/>
        <w:rPr>
          <w:sz w:val="22"/>
          <w:szCs w:val="22"/>
        </w:rPr>
      </w:pPr>
      <w:r w:rsidRPr="0059478A">
        <w:rPr>
          <w:sz w:val="22"/>
          <w:szCs w:val="22"/>
        </w:rPr>
        <w:t xml:space="preserve">Employment and training programs </w:t>
      </w:r>
    </w:p>
    <w:p w:rsidR="00B963A4" w:rsidRPr="0059478A" w:rsidRDefault="00B963A4" w:rsidP="00B963A4">
      <w:pPr>
        <w:pStyle w:val="Default"/>
        <w:numPr>
          <w:ilvl w:val="0"/>
          <w:numId w:val="16"/>
        </w:numPr>
        <w:spacing w:after="20"/>
        <w:rPr>
          <w:sz w:val="22"/>
          <w:szCs w:val="22"/>
        </w:rPr>
      </w:pPr>
      <w:r w:rsidRPr="0059478A">
        <w:rPr>
          <w:sz w:val="22"/>
          <w:szCs w:val="22"/>
        </w:rPr>
        <w:t xml:space="preserve">Psychiatric and psychological services </w:t>
      </w:r>
    </w:p>
    <w:p w:rsidR="00B963A4" w:rsidRPr="0059478A" w:rsidRDefault="00B963A4" w:rsidP="00B963A4">
      <w:pPr>
        <w:pStyle w:val="Default"/>
        <w:numPr>
          <w:ilvl w:val="0"/>
          <w:numId w:val="16"/>
        </w:numPr>
        <w:spacing w:after="20"/>
        <w:rPr>
          <w:sz w:val="22"/>
          <w:szCs w:val="22"/>
        </w:rPr>
      </w:pPr>
      <w:r w:rsidRPr="0059478A">
        <w:rPr>
          <w:sz w:val="22"/>
          <w:szCs w:val="22"/>
        </w:rPr>
        <w:t xml:space="preserve">Mental health services </w:t>
      </w:r>
    </w:p>
    <w:p w:rsidR="00B963A4" w:rsidRPr="0059478A" w:rsidRDefault="00B963A4" w:rsidP="00B963A4">
      <w:pPr>
        <w:pStyle w:val="Default"/>
        <w:numPr>
          <w:ilvl w:val="0"/>
          <w:numId w:val="16"/>
        </w:numPr>
        <w:spacing w:after="20"/>
        <w:rPr>
          <w:sz w:val="22"/>
          <w:szCs w:val="22"/>
        </w:rPr>
      </w:pPr>
      <w:r w:rsidRPr="0059478A">
        <w:rPr>
          <w:sz w:val="22"/>
          <w:szCs w:val="22"/>
        </w:rPr>
        <w:t xml:space="preserve">Drug and alcohol services </w:t>
      </w:r>
    </w:p>
    <w:p w:rsidR="00B963A4" w:rsidRPr="0059478A" w:rsidRDefault="00B963A4" w:rsidP="00B963A4">
      <w:pPr>
        <w:pStyle w:val="Default"/>
        <w:numPr>
          <w:ilvl w:val="0"/>
          <w:numId w:val="16"/>
        </w:numPr>
        <w:spacing w:after="20"/>
        <w:rPr>
          <w:sz w:val="22"/>
          <w:szCs w:val="22"/>
        </w:rPr>
      </w:pPr>
      <w:r w:rsidRPr="0059478A">
        <w:rPr>
          <w:sz w:val="22"/>
          <w:szCs w:val="22"/>
        </w:rPr>
        <w:t xml:space="preserve">Education programs </w:t>
      </w:r>
    </w:p>
    <w:p w:rsidR="00B963A4" w:rsidRPr="0059478A" w:rsidRDefault="00B963A4" w:rsidP="00447C28">
      <w:pPr>
        <w:pStyle w:val="Default"/>
        <w:numPr>
          <w:ilvl w:val="0"/>
          <w:numId w:val="16"/>
        </w:numPr>
        <w:rPr>
          <w:sz w:val="22"/>
          <w:szCs w:val="22"/>
        </w:rPr>
      </w:pPr>
      <w:r w:rsidRPr="0059478A">
        <w:rPr>
          <w:sz w:val="22"/>
          <w:szCs w:val="22"/>
        </w:rPr>
        <w:t xml:space="preserve">Relationship and family support programs. </w:t>
      </w:r>
    </w:p>
    <w:p w:rsidR="00B963A4" w:rsidRPr="0059478A" w:rsidRDefault="00B963A4" w:rsidP="00B963A4">
      <w:pPr>
        <w:pStyle w:val="Default"/>
        <w:ind w:left="720"/>
        <w:rPr>
          <w:sz w:val="22"/>
          <w:szCs w:val="22"/>
        </w:rPr>
      </w:pPr>
    </w:p>
    <w:p w:rsidR="008B4570" w:rsidRPr="0059478A" w:rsidRDefault="008B4570" w:rsidP="00F04651">
      <w:pPr>
        <w:rPr>
          <w:rFonts w:cs="Tahoma"/>
          <w:szCs w:val="22"/>
        </w:rPr>
      </w:pPr>
      <w:r w:rsidRPr="0059478A">
        <w:rPr>
          <w:rFonts w:cs="Tahoma"/>
          <w:szCs w:val="22"/>
        </w:rPr>
        <w:t>In February</w:t>
      </w:r>
      <w:r w:rsidR="001B5425" w:rsidRPr="0059478A">
        <w:rPr>
          <w:rFonts w:cs="Tahoma"/>
          <w:szCs w:val="22"/>
        </w:rPr>
        <w:t xml:space="preserve"> 2013 the WA Council of Social S</w:t>
      </w:r>
      <w:r w:rsidRPr="0059478A">
        <w:rPr>
          <w:rFonts w:cs="Tahoma"/>
          <w:szCs w:val="22"/>
        </w:rPr>
        <w:t>ervices, the Youth Affairs Council of WA and the Youth Legal Service produced a report and recommendations of the 2012 Youth Justice Think Tank.</w:t>
      </w:r>
      <w:r w:rsidR="00F04651" w:rsidRPr="00302F3F">
        <w:rPr>
          <w:rStyle w:val="FootnoteReference"/>
        </w:rPr>
        <w:footnoteReference w:id="24"/>
      </w:r>
      <w:r w:rsidRPr="0059478A">
        <w:rPr>
          <w:rFonts w:cs="Tahoma"/>
          <w:szCs w:val="22"/>
        </w:rPr>
        <w:t xml:space="preserve"> This report calls for: </w:t>
      </w:r>
    </w:p>
    <w:p w:rsidR="008B4570" w:rsidRPr="0059478A" w:rsidRDefault="008B4570" w:rsidP="008B4570">
      <w:pPr>
        <w:pStyle w:val="Default"/>
        <w:numPr>
          <w:ilvl w:val="0"/>
          <w:numId w:val="15"/>
        </w:numPr>
        <w:spacing w:after="21"/>
        <w:rPr>
          <w:sz w:val="22"/>
          <w:szCs w:val="22"/>
        </w:rPr>
      </w:pPr>
      <w:r w:rsidRPr="0059478A">
        <w:rPr>
          <w:sz w:val="22"/>
          <w:szCs w:val="22"/>
        </w:rPr>
        <w:t xml:space="preserve">A change of approach to youth justice in WA. </w:t>
      </w:r>
    </w:p>
    <w:p w:rsidR="008B4570" w:rsidRPr="0059478A" w:rsidRDefault="008B4570" w:rsidP="008B4570">
      <w:pPr>
        <w:pStyle w:val="Default"/>
        <w:numPr>
          <w:ilvl w:val="0"/>
          <w:numId w:val="15"/>
        </w:numPr>
        <w:spacing w:after="21"/>
        <w:rPr>
          <w:sz w:val="22"/>
          <w:szCs w:val="22"/>
        </w:rPr>
      </w:pPr>
      <w:r w:rsidRPr="0059478A">
        <w:rPr>
          <w:sz w:val="22"/>
          <w:szCs w:val="22"/>
        </w:rPr>
        <w:t xml:space="preserve">Increased collaboration and cooperation between agencies working with young people in the youth justice system. </w:t>
      </w:r>
    </w:p>
    <w:p w:rsidR="008B4570" w:rsidRPr="0059478A" w:rsidRDefault="008B4570" w:rsidP="008B4570">
      <w:pPr>
        <w:pStyle w:val="Default"/>
        <w:numPr>
          <w:ilvl w:val="0"/>
          <w:numId w:val="15"/>
        </w:numPr>
        <w:spacing w:after="21"/>
        <w:rPr>
          <w:sz w:val="22"/>
          <w:szCs w:val="22"/>
        </w:rPr>
      </w:pPr>
      <w:r w:rsidRPr="0059478A">
        <w:rPr>
          <w:sz w:val="22"/>
          <w:szCs w:val="22"/>
        </w:rPr>
        <w:t xml:space="preserve">Increased funding and supports to young people to prevent them coming into contact with the youth justice system. </w:t>
      </w:r>
    </w:p>
    <w:p w:rsidR="008B4570" w:rsidRPr="0059478A" w:rsidRDefault="008B4570" w:rsidP="008B4570">
      <w:pPr>
        <w:pStyle w:val="Default"/>
        <w:numPr>
          <w:ilvl w:val="0"/>
          <w:numId w:val="15"/>
        </w:numPr>
        <w:rPr>
          <w:sz w:val="22"/>
          <w:szCs w:val="22"/>
        </w:rPr>
      </w:pPr>
      <w:r w:rsidRPr="0059478A">
        <w:rPr>
          <w:sz w:val="22"/>
          <w:szCs w:val="22"/>
        </w:rPr>
        <w:t xml:space="preserve">Improved services to young people during detention and post release from detention. </w:t>
      </w:r>
    </w:p>
    <w:p w:rsidR="008B4570" w:rsidRPr="0059478A" w:rsidRDefault="008B4570" w:rsidP="008B4570">
      <w:pPr>
        <w:pStyle w:val="Default"/>
        <w:rPr>
          <w:sz w:val="22"/>
          <w:szCs w:val="22"/>
        </w:rPr>
      </w:pPr>
    </w:p>
    <w:p w:rsidR="00B963A4" w:rsidRPr="00973036" w:rsidRDefault="008B4570" w:rsidP="0068671C">
      <w:pPr>
        <w:pStyle w:val="Default"/>
        <w:rPr>
          <w:sz w:val="22"/>
          <w:szCs w:val="22"/>
        </w:rPr>
      </w:pPr>
      <w:r w:rsidRPr="0059478A">
        <w:rPr>
          <w:sz w:val="22"/>
          <w:szCs w:val="22"/>
        </w:rPr>
        <w:t>Other states have reviewed their youth justice systems and developed coordinated and innovative programs, recent reviews have been conducted in Queensland, ACT and NSW. In late February 2013 the NSW Attorney General announced Youth on Track – an early intervention program which provides a holistic approach. The program was developed by the Department of Attorney General and Justice, in consultation with NSW Police and the Ministry for Police and Emergency Services, the departments of Education and Communities, Family and Community Services, and Health, an</w:t>
      </w:r>
      <w:r w:rsidR="0068671C" w:rsidRPr="0059478A">
        <w:rPr>
          <w:sz w:val="22"/>
          <w:szCs w:val="22"/>
        </w:rPr>
        <w:t>d with non-government agencies</w:t>
      </w:r>
      <w:r w:rsidR="00973036" w:rsidRPr="00973036">
        <w:rPr>
          <w:sz w:val="22"/>
          <w:szCs w:val="22"/>
        </w:rPr>
        <w:t>.</w:t>
      </w:r>
      <w:r w:rsidR="00973036" w:rsidRPr="00973036">
        <w:rPr>
          <w:rStyle w:val="FootnoteReference"/>
          <w:color w:val="auto"/>
          <w:sz w:val="22"/>
          <w:szCs w:val="22"/>
          <w:lang w:eastAsia="en-US"/>
        </w:rPr>
        <w:footnoteReference w:id="25"/>
      </w:r>
    </w:p>
    <w:p w:rsidR="0068671C" w:rsidRPr="0059478A" w:rsidRDefault="0068671C" w:rsidP="0068671C">
      <w:pPr>
        <w:pStyle w:val="Default"/>
        <w:rPr>
          <w:sz w:val="22"/>
          <w:szCs w:val="22"/>
        </w:rPr>
      </w:pPr>
    </w:p>
    <w:p w:rsidR="00872924" w:rsidRPr="0059478A" w:rsidRDefault="008B4570" w:rsidP="00447C28">
      <w:pPr>
        <w:rPr>
          <w:rFonts w:cs="Tahoma"/>
          <w:szCs w:val="22"/>
        </w:rPr>
      </w:pPr>
      <w:r w:rsidRPr="0059478A">
        <w:rPr>
          <w:rFonts w:cs="Tahoma"/>
          <w:szCs w:val="22"/>
        </w:rPr>
        <w:t xml:space="preserve">Whilst there have been some improvements in youth justice in WA in the last five years there remains major structural and implementation issues which require a concerted effort from all agencies related to youth justice to achieve better outcomes for children and young people coming into contact with the youth justice system. </w:t>
      </w:r>
    </w:p>
    <w:p w:rsidR="00E60FA2" w:rsidRPr="0059478A" w:rsidRDefault="00872924" w:rsidP="00447C28">
      <w:pPr>
        <w:rPr>
          <w:rFonts w:cs="Tahoma"/>
          <w:szCs w:val="22"/>
        </w:rPr>
      </w:pPr>
      <w:r w:rsidRPr="0059478A">
        <w:rPr>
          <w:rFonts w:cs="Tahoma"/>
          <w:szCs w:val="22"/>
        </w:rPr>
        <w:t>For children and young people with disability</w:t>
      </w:r>
      <w:r w:rsidR="00973036">
        <w:rPr>
          <w:rFonts w:cs="Tahoma"/>
          <w:szCs w:val="22"/>
        </w:rPr>
        <w:t>,</w:t>
      </w:r>
      <w:r w:rsidRPr="0059478A">
        <w:rPr>
          <w:rFonts w:cs="Tahoma"/>
          <w:szCs w:val="22"/>
        </w:rPr>
        <w:t xml:space="preserve"> including those who have a mental illness</w:t>
      </w:r>
      <w:r w:rsidR="00973036">
        <w:rPr>
          <w:rFonts w:cs="Tahoma"/>
          <w:szCs w:val="22"/>
        </w:rPr>
        <w:t>,</w:t>
      </w:r>
      <w:r w:rsidRPr="0059478A">
        <w:rPr>
          <w:rFonts w:cs="Tahoma"/>
          <w:szCs w:val="22"/>
        </w:rPr>
        <w:t xml:space="preserve"> thi</w:t>
      </w:r>
      <w:r w:rsidR="00973036">
        <w:rPr>
          <w:rFonts w:cs="Tahoma"/>
          <w:szCs w:val="22"/>
        </w:rPr>
        <w:t>s is especially important as they</w:t>
      </w:r>
      <w:r w:rsidRPr="0059478A">
        <w:rPr>
          <w:rFonts w:cs="Tahoma"/>
          <w:szCs w:val="22"/>
        </w:rPr>
        <w:t xml:space="preserve"> are among the most vulnerable of an already </w:t>
      </w:r>
      <w:r w:rsidR="00973036">
        <w:rPr>
          <w:rFonts w:cs="Tahoma"/>
          <w:szCs w:val="22"/>
        </w:rPr>
        <w:t xml:space="preserve">highly vulnerable </w:t>
      </w:r>
      <w:r w:rsidRPr="0059478A">
        <w:rPr>
          <w:rFonts w:cs="Tahoma"/>
          <w:szCs w:val="22"/>
        </w:rPr>
        <w:t xml:space="preserve">group.    </w:t>
      </w:r>
    </w:p>
    <w:p w:rsidR="00447C28" w:rsidRPr="0059478A" w:rsidRDefault="00F659C2" w:rsidP="00447C28">
      <w:pPr>
        <w:rPr>
          <w:rFonts w:cs="Tahoma"/>
        </w:rPr>
      </w:pPr>
      <w:r w:rsidRPr="0059478A">
        <w:rPr>
          <w:rFonts w:cs="Tahoma"/>
        </w:rPr>
        <w:t xml:space="preserve">I have </w:t>
      </w:r>
      <w:r w:rsidR="00447C28" w:rsidRPr="0059478A">
        <w:rPr>
          <w:rFonts w:cs="Tahoma"/>
        </w:rPr>
        <w:t>consistently identified the following as priority areas for action:</w:t>
      </w:r>
    </w:p>
    <w:p w:rsidR="00447C28" w:rsidRPr="0059478A" w:rsidRDefault="00447C28" w:rsidP="00447C28">
      <w:pPr>
        <w:pStyle w:val="ListParagraph"/>
        <w:numPr>
          <w:ilvl w:val="0"/>
          <w:numId w:val="3"/>
        </w:numPr>
        <w:spacing w:after="200"/>
        <w:contextualSpacing/>
        <w:rPr>
          <w:rFonts w:cs="Tahoma"/>
        </w:rPr>
      </w:pPr>
      <w:r w:rsidRPr="0059478A">
        <w:rPr>
          <w:rFonts w:cs="Tahoma"/>
        </w:rPr>
        <w:t>Investing in programs that divert children and young people away from the criminal justice system is a critical priority area.</w:t>
      </w:r>
      <w:r w:rsidRPr="0059478A">
        <w:rPr>
          <w:rStyle w:val="FootnoteReference"/>
          <w:rFonts w:cs="Tahoma"/>
        </w:rPr>
        <w:footnoteReference w:id="26"/>
      </w:r>
      <w:r w:rsidRPr="0059478A">
        <w:rPr>
          <w:rFonts w:cs="Tahoma"/>
          <w:bCs/>
          <w:vertAlign w:val="superscript"/>
        </w:rPr>
        <w:t xml:space="preserve"> </w:t>
      </w:r>
      <w:r w:rsidRPr="0059478A">
        <w:rPr>
          <w:rFonts w:cs="Tahoma"/>
          <w:bCs/>
          <w:vertAlign w:val="superscript"/>
        </w:rPr>
        <w:footnoteReference w:id="27"/>
      </w:r>
      <w:r w:rsidRPr="0059478A">
        <w:rPr>
          <w:rFonts w:cs="Tahoma"/>
          <w:bCs/>
          <w:vertAlign w:val="superscript"/>
        </w:rPr>
        <w:t xml:space="preserve"> </w:t>
      </w:r>
    </w:p>
    <w:p w:rsidR="00447C28" w:rsidRPr="0059478A" w:rsidRDefault="00447C28" w:rsidP="00447C28">
      <w:pPr>
        <w:pStyle w:val="ListParagraph"/>
        <w:numPr>
          <w:ilvl w:val="0"/>
          <w:numId w:val="3"/>
        </w:numPr>
        <w:spacing w:after="200"/>
        <w:contextualSpacing/>
        <w:rPr>
          <w:rFonts w:cs="Tahoma"/>
        </w:rPr>
      </w:pPr>
      <w:r w:rsidRPr="0059478A">
        <w:rPr>
          <w:rFonts w:cs="Tahoma"/>
        </w:rPr>
        <w:t>Safe houses in communities across WA where children can go when it is not safe for them to be at home.</w:t>
      </w:r>
      <w:r w:rsidRPr="0059478A">
        <w:rPr>
          <w:rStyle w:val="FootnoteReference"/>
          <w:rFonts w:cs="Tahoma"/>
        </w:rPr>
        <w:footnoteReference w:id="28"/>
      </w:r>
    </w:p>
    <w:p w:rsidR="00447C28" w:rsidRPr="0059478A" w:rsidRDefault="00447C28" w:rsidP="00447C28">
      <w:pPr>
        <w:pStyle w:val="ListParagraph"/>
        <w:numPr>
          <w:ilvl w:val="0"/>
          <w:numId w:val="3"/>
        </w:numPr>
        <w:spacing w:after="200"/>
        <w:contextualSpacing/>
        <w:rPr>
          <w:rFonts w:cs="Tahoma"/>
        </w:rPr>
      </w:pPr>
      <w:r w:rsidRPr="0059478A">
        <w:rPr>
          <w:rFonts w:cs="Tahoma"/>
        </w:rPr>
        <w:t>Establishment of a state-wide 24 hour bail service.</w:t>
      </w:r>
      <w:r w:rsidRPr="0059478A">
        <w:rPr>
          <w:rStyle w:val="FootnoteReference"/>
          <w:rFonts w:cs="Tahoma"/>
        </w:rPr>
        <w:footnoteReference w:id="29"/>
      </w:r>
    </w:p>
    <w:p w:rsidR="00447C28" w:rsidRPr="0059478A" w:rsidRDefault="00447C28" w:rsidP="00447C28">
      <w:pPr>
        <w:pStyle w:val="ListParagraph"/>
        <w:numPr>
          <w:ilvl w:val="0"/>
          <w:numId w:val="3"/>
        </w:numPr>
        <w:spacing w:after="200"/>
        <w:contextualSpacing/>
        <w:rPr>
          <w:rFonts w:cs="Tahoma"/>
        </w:rPr>
      </w:pPr>
      <w:r w:rsidRPr="0059478A">
        <w:rPr>
          <w:rFonts w:cs="Tahoma"/>
        </w:rPr>
        <w:t>The significant over-representation of Aboriginal children and young people in contact with the justice system.</w:t>
      </w:r>
      <w:r w:rsidRPr="0059478A">
        <w:rPr>
          <w:rStyle w:val="FootnoteReference"/>
          <w:rFonts w:cs="Tahoma"/>
        </w:rPr>
        <w:footnoteReference w:id="30"/>
      </w:r>
    </w:p>
    <w:p w:rsidR="00447C28" w:rsidRPr="0059478A" w:rsidRDefault="00447C28" w:rsidP="00447C28">
      <w:pPr>
        <w:pStyle w:val="ListParagraph"/>
        <w:numPr>
          <w:ilvl w:val="0"/>
          <w:numId w:val="4"/>
        </w:numPr>
        <w:spacing w:after="200"/>
        <w:contextualSpacing/>
        <w:rPr>
          <w:rFonts w:cs="Tahoma"/>
        </w:rPr>
      </w:pPr>
      <w:r w:rsidRPr="0059478A">
        <w:rPr>
          <w:rFonts w:cs="Tahoma"/>
        </w:rPr>
        <w:t xml:space="preserve">To address the ‘correctionalising’ of youth justice, responsibility for youth justice should be transferred from the Department of Corrective Services to either a stand-alone department or to the Department of Child Protection to address more appropriately the underlying causes of children and young people </w:t>
      </w:r>
      <w:r w:rsidRPr="0059478A">
        <w:rPr>
          <w:rFonts w:cs="Tahoma"/>
        </w:rPr>
        <w:lastRenderedPageBreak/>
        <w:t>offending, improve accountability for outcomes, and reduce government expenditure.</w:t>
      </w:r>
      <w:r w:rsidRPr="0059478A">
        <w:rPr>
          <w:rStyle w:val="FootnoteReference"/>
          <w:rFonts w:cs="Tahoma"/>
        </w:rPr>
        <w:footnoteReference w:id="31"/>
      </w:r>
      <w:r w:rsidRPr="0059478A">
        <w:rPr>
          <w:rFonts w:cs="Tahoma"/>
        </w:rPr>
        <w:t xml:space="preserve"> </w:t>
      </w:r>
      <w:r w:rsidRPr="0059478A">
        <w:rPr>
          <w:rStyle w:val="FootnoteReference"/>
          <w:rFonts w:cs="Tahoma"/>
        </w:rPr>
        <w:footnoteReference w:id="32"/>
      </w:r>
    </w:p>
    <w:p w:rsidR="00447C28" w:rsidRPr="0059478A" w:rsidRDefault="00447C28" w:rsidP="00447C28">
      <w:pPr>
        <w:pStyle w:val="ListParagraph"/>
        <w:numPr>
          <w:ilvl w:val="0"/>
          <w:numId w:val="3"/>
        </w:numPr>
        <w:spacing w:after="200"/>
        <w:contextualSpacing/>
        <w:rPr>
          <w:rFonts w:cs="Tahoma"/>
        </w:rPr>
      </w:pPr>
      <w:r w:rsidRPr="0059478A">
        <w:rPr>
          <w:rFonts w:cs="Tahoma"/>
        </w:rPr>
        <w:t>Improved coordination and collaboration between agencies working with young people in the justice system.</w:t>
      </w:r>
    </w:p>
    <w:p w:rsidR="00447C28" w:rsidRPr="0059478A" w:rsidRDefault="00447C28" w:rsidP="00447C28">
      <w:pPr>
        <w:pStyle w:val="ListParagraph"/>
        <w:numPr>
          <w:ilvl w:val="0"/>
          <w:numId w:val="3"/>
        </w:numPr>
        <w:spacing w:after="200"/>
        <w:contextualSpacing/>
        <w:rPr>
          <w:rFonts w:cs="Tahoma"/>
        </w:rPr>
      </w:pPr>
      <w:r w:rsidRPr="0059478A">
        <w:rPr>
          <w:rFonts w:cs="Tahoma"/>
        </w:rPr>
        <w:t>Children and young people appearing before the Children’s Court of Western Australia must have access to appropriate, comprehensive mental health assessment, referral and treatment services; and a dedicated forensic mental health unit should be established.</w:t>
      </w:r>
      <w:r w:rsidRPr="0059478A">
        <w:rPr>
          <w:rStyle w:val="FootnoteReference"/>
          <w:rFonts w:cs="Tahoma"/>
        </w:rPr>
        <w:footnoteReference w:id="33"/>
      </w:r>
    </w:p>
    <w:p w:rsidR="00F659C2" w:rsidRDefault="00447C28" w:rsidP="001E23FA">
      <w:pPr>
        <w:pStyle w:val="ListParagraph"/>
        <w:numPr>
          <w:ilvl w:val="0"/>
          <w:numId w:val="3"/>
        </w:numPr>
        <w:spacing w:after="0"/>
        <w:contextualSpacing/>
        <w:rPr>
          <w:rFonts w:cs="Tahoma"/>
        </w:rPr>
      </w:pPr>
      <w:r w:rsidRPr="0059478A">
        <w:rPr>
          <w:rFonts w:cs="Tahoma"/>
        </w:rPr>
        <w:t>Development of a whole of government collaborative approach in relation to youth justice, incorporating a strategic framework or blueprint and implementation plan.</w:t>
      </w:r>
    </w:p>
    <w:p w:rsidR="001E23FA" w:rsidRPr="001E23FA" w:rsidRDefault="001E23FA" w:rsidP="001E23FA">
      <w:pPr>
        <w:pStyle w:val="ListParagraph"/>
        <w:spacing w:after="0"/>
        <w:contextualSpacing/>
        <w:rPr>
          <w:rFonts w:cs="Tahoma"/>
        </w:rPr>
      </w:pPr>
    </w:p>
    <w:p w:rsidR="0068671C" w:rsidRPr="0059478A" w:rsidRDefault="0068671C" w:rsidP="00D974EE">
      <w:pPr>
        <w:rPr>
          <w:rFonts w:cs="Tahoma"/>
        </w:rPr>
      </w:pPr>
      <w:r w:rsidRPr="0059478A">
        <w:rPr>
          <w:rFonts w:cs="Tahoma"/>
        </w:rPr>
        <w:t>The issues referred to in this letter are discussed in more detail in my:</w:t>
      </w:r>
    </w:p>
    <w:p w:rsidR="00294DB5" w:rsidRPr="0059478A" w:rsidRDefault="009E183C" w:rsidP="0068671C">
      <w:pPr>
        <w:pStyle w:val="ListParagraph"/>
        <w:numPr>
          <w:ilvl w:val="0"/>
          <w:numId w:val="17"/>
        </w:numPr>
        <w:spacing w:after="200"/>
        <w:contextualSpacing/>
        <w:rPr>
          <w:rStyle w:val="Hyperlink"/>
          <w:rFonts w:cs="Tahoma"/>
          <w:color w:val="auto"/>
          <w:u w:val="none"/>
        </w:rPr>
      </w:pPr>
      <w:r w:rsidRPr="0059478A">
        <w:rPr>
          <w:rFonts w:cs="Tahoma"/>
          <w:i/>
          <w:lang w:eastAsia="en-AU"/>
        </w:rPr>
        <w:t>Submission to the Inspector of Custodial Services Inquiry into the Banksia Hill incident</w:t>
      </w:r>
      <w:r w:rsidR="00814356">
        <w:rPr>
          <w:rFonts w:cs="Tahoma"/>
          <w:lang w:eastAsia="en-AU"/>
        </w:rPr>
        <w:t xml:space="preserve"> (Available: </w:t>
      </w:r>
      <w:r w:rsidRPr="00814356">
        <w:rPr>
          <w:rFonts w:cs="Tahoma"/>
          <w:lang w:eastAsia="en-AU"/>
        </w:rPr>
        <w:t>http://www.ccyp.wa.gov.au/files/resource/Submission%20to%20the%20Inspector%20of%20Custodial%20Services%20-%20Inquiry%20into%20Banksia%20Hill%20incident.PDF</w:t>
      </w:r>
      <w:r w:rsidR="00814356">
        <w:rPr>
          <w:rFonts w:cs="Tahoma"/>
          <w:lang w:eastAsia="en-AU"/>
        </w:rPr>
        <w:t>)</w:t>
      </w:r>
    </w:p>
    <w:p w:rsidR="0068671C" w:rsidRPr="0059478A" w:rsidRDefault="0068671C" w:rsidP="0068671C">
      <w:pPr>
        <w:pStyle w:val="ListParagraph"/>
        <w:numPr>
          <w:ilvl w:val="0"/>
          <w:numId w:val="17"/>
        </w:numPr>
        <w:spacing w:after="200"/>
        <w:contextualSpacing/>
        <w:rPr>
          <w:rFonts w:cs="Tahoma"/>
        </w:rPr>
      </w:pPr>
      <w:r w:rsidRPr="0059478A">
        <w:rPr>
          <w:rFonts w:cs="Tahoma"/>
          <w:i/>
          <w:lang w:eastAsia="en-AU"/>
        </w:rPr>
        <w:t xml:space="preserve">Youth Justice </w:t>
      </w:r>
      <w:r w:rsidR="00814356">
        <w:rPr>
          <w:rFonts w:cs="Tahoma"/>
          <w:lang w:eastAsia="en-AU"/>
        </w:rPr>
        <w:t xml:space="preserve">issues paper(Available: </w:t>
      </w:r>
      <w:r w:rsidRPr="0059478A">
        <w:rPr>
          <w:rFonts w:cs="Tahoma"/>
          <w:lang w:eastAsia="en-AU"/>
        </w:rPr>
        <w:t xml:space="preserve"> </w:t>
      </w:r>
      <w:r w:rsidRPr="00814356">
        <w:rPr>
          <w:rFonts w:cs="Tahoma"/>
          <w:lang w:eastAsia="en-AU"/>
        </w:rPr>
        <w:t>http://www.ccyp.wa.gov.au/files/IssuesPapers/Youth%20Justice%20Issues%20Paper%20May%202013.pdf</w:t>
      </w:r>
      <w:r w:rsidR="00814356">
        <w:rPr>
          <w:rFonts w:cs="Tahoma"/>
          <w:lang w:eastAsia="en-AU"/>
        </w:rPr>
        <w:t>)</w:t>
      </w:r>
      <w:r w:rsidRPr="0059478A">
        <w:rPr>
          <w:rFonts w:cs="Tahoma"/>
          <w:lang w:eastAsia="en-AU"/>
        </w:rPr>
        <w:t xml:space="preserve"> </w:t>
      </w:r>
    </w:p>
    <w:p w:rsidR="0068671C" w:rsidRPr="0059478A" w:rsidRDefault="0068671C" w:rsidP="0068671C">
      <w:pPr>
        <w:pStyle w:val="ListParagraph"/>
        <w:numPr>
          <w:ilvl w:val="0"/>
          <w:numId w:val="17"/>
        </w:numPr>
        <w:spacing w:after="200"/>
        <w:contextualSpacing/>
        <w:rPr>
          <w:rFonts w:cs="Tahoma"/>
        </w:rPr>
      </w:pPr>
      <w:r w:rsidRPr="0059478A">
        <w:rPr>
          <w:rFonts w:cs="Tahoma"/>
          <w:i/>
        </w:rPr>
        <w:t xml:space="preserve">Children and young people in contact with the criminal justice system </w:t>
      </w:r>
      <w:r w:rsidR="00814356">
        <w:rPr>
          <w:rFonts w:cs="Tahoma"/>
        </w:rPr>
        <w:t xml:space="preserve">policy brief (Available: </w:t>
      </w:r>
      <w:r w:rsidRPr="00814356">
        <w:rPr>
          <w:rFonts w:cs="Tahoma"/>
        </w:rPr>
        <w:t>http://www.ccyp.wa.gov.au/files/POLICY%20BRIEFS%202013/Policy%20brief%20-%20youth%20justice%20-%20children%20and%20young%20people%20in%20contact%20with%20the%20criminal%20justice%20system%20-%20~%20February%202012.PDF</w:t>
      </w:r>
      <w:r w:rsidR="00814356">
        <w:rPr>
          <w:rFonts w:cs="Tahoma"/>
        </w:rPr>
        <w:t>)</w:t>
      </w:r>
      <w:r w:rsidRPr="0059478A">
        <w:rPr>
          <w:rFonts w:cs="Tahoma"/>
        </w:rPr>
        <w:t xml:space="preserve"> </w:t>
      </w:r>
    </w:p>
    <w:p w:rsidR="00294DB5" w:rsidRDefault="00294DB5"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Default="00CF61CE" w:rsidP="00294DB5">
      <w:pPr>
        <w:pStyle w:val="ListParagraph"/>
        <w:spacing w:after="200"/>
        <w:ind w:left="0"/>
        <w:contextualSpacing/>
        <w:rPr>
          <w:rFonts w:cs="Tahoma"/>
        </w:rPr>
      </w:pPr>
    </w:p>
    <w:p w:rsidR="00CF61CE" w:rsidRPr="0059478A" w:rsidRDefault="00CF61CE" w:rsidP="00294DB5">
      <w:pPr>
        <w:pStyle w:val="ListParagraph"/>
        <w:spacing w:after="200"/>
        <w:ind w:left="0"/>
        <w:contextualSpacing/>
        <w:rPr>
          <w:rFonts w:cs="Tahoma"/>
        </w:rPr>
      </w:pPr>
    </w:p>
    <w:p w:rsidR="001A43AB" w:rsidRPr="0059478A" w:rsidRDefault="001A43AB" w:rsidP="001A43AB">
      <w:pPr>
        <w:pStyle w:val="Normalnospaceafter"/>
        <w:spacing w:after="190"/>
        <w:rPr>
          <w:rFonts w:cs="Tahoma"/>
        </w:rPr>
      </w:pPr>
      <w:bookmarkStart w:id="1" w:name="Text8"/>
      <w:r w:rsidRPr="0059478A">
        <w:rPr>
          <w:rFonts w:cs="Tahoma"/>
        </w:rPr>
        <w:lastRenderedPageBreak/>
        <w:t>I thank you again for the opportunity to discuss the issue of access to just</w:t>
      </w:r>
      <w:r w:rsidR="009F3973">
        <w:rPr>
          <w:rFonts w:cs="Tahoma"/>
        </w:rPr>
        <w:t>ice for people with disability</w:t>
      </w:r>
      <w:r w:rsidRPr="0059478A">
        <w:rPr>
          <w:rFonts w:cs="Tahoma"/>
        </w:rPr>
        <w:t xml:space="preserve"> in the criminal justice system. </w:t>
      </w:r>
    </w:p>
    <w:p w:rsidR="001A43AB" w:rsidRPr="0059478A" w:rsidRDefault="001A43AB" w:rsidP="001A43AB">
      <w:pPr>
        <w:pStyle w:val="Normalnospaceafter"/>
        <w:spacing w:after="190"/>
        <w:rPr>
          <w:rFonts w:cs="Tahoma"/>
        </w:rPr>
      </w:pPr>
      <w:r w:rsidRPr="0059478A">
        <w:rPr>
          <w:rFonts w:cs="Tahoma"/>
        </w:rPr>
        <w:t>I am happy to provide any further information or clarification should this be required.</w:t>
      </w:r>
    </w:p>
    <w:p w:rsidR="001A43AB" w:rsidRPr="0059478A" w:rsidRDefault="001A43AB" w:rsidP="001A43AB">
      <w:pPr>
        <w:pStyle w:val="ListParagraph"/>
        <w:spacing w:after="200"/>
        <w:ind w:left="0"/>
        <w:contextualSpacing/>
        <w:rPr>
          <w:rFonts w:cs="Tahoma"/>
        </w:rPr>
      </w:pPr>
    </w:p>
    <w:p w:rsidR="001A43AB" w:rsidRPr="0059478A" w:rsidRDefault="001A43AB" w:rsidP="001A43AB">
      <w:pPr>
        <w:pStyle w:val="ListParagraph"/>
        <w:spacing w:after="200"/>
        <w:ind w:left="0"/>
        <w:contextualSpacing/>
        <w:rPr>
          <w:rFonts w:cs="Tahoma"/>
        </w:rPr>
      </w:pPr>
    </w:p>
    <w:p w:rsidR="004653B7" w:rsidRPr="0059478A" w:rsidRDefault="004653B7" w:rsidP="00683985">
      <w:pPr>
        <w:pStyle w:val="Normalnospaceafter"/>
        <w:rPr>
          <w:rFonts w:cs="Tahoma"/>
        </w:rPr>
      </w:pPr>
      <w:r w:rsidRPr="0059478A">
        <w:rPr>
          <w:rFonts w:cs="Tahoma"/>
        </w:rPr>
        <w:t>Yours sincerely</w:t>
      </w:r>
    </w:p>
    <w:p w:rsidR="004653B7" w:rsidRPr="0059478A" w:rsidRDefault="004653B7" w:rsidP="00683985">
      <w:pPr>
        <w:pStyle w:val="Normalnospaceafter"/>
        <w:rPr>
          <w:rFonts w:cs="Tahoma"/>
          <w:szCs w:val="22"/>
        </w:rPr>
      </w:pPr>
    </w:p>
    <w:p w:rsidR="009A1F2C" w:rsidRPr="0059478A" w:rsidRDefault="009A1F2C" w:rsidP="009A1F2C">
      <w:pPr>
        <w:autoSpaceDE w:val="0"/>
        <w:autoSpaceDN w:val="0"/>
        <w:adjustRightInd w:val="0"/>
        <w:jc w:val="both"/>
        <w:rPr>
          <w:rFonts w:cs="Tahoma"/>
          <w:szCs w:val="22"/>
        </w:rPr>
      </w:pPr>
    </w:p>
    <w:p w:rsidR="009A1F2C" w:rsidRPr="0059478A" w:rsidRDefault="009A1F2C" w:rsidP="009A1F2C">
      <w:pPr>
        <w:autoSpaceDE w:val="0"/>
        <w:autoSpaceDN w:val="0"/>
        <w:adjustRightInd w:val="0"/>
        <w:jc w:val="both"/>
        <w:rPr>
          <w:rFonts w:cs="Tahoma"/>
          <w:szCs w:val="22"/>
        </w:rPr>
      </w:pPr>
    </w:p>
    <w:bookmarkEnd w:id="1"/>
    <w:p w:rsidR="00C06FEF" w:rsidRPr="0059478A" w:rsidRDefault="00E83621" w:rsidP="00B34312">
      <w:pPr>
        <w:pStyle w:val="BodyText1"/>
        <w:rPr>
          <w:caps/>
        </w:rPr>
      </w:pPr>
      <w:r w:rsidRPr="0059478A">
        <w:rPr>
          <w:caps/>
        </w:rPr>
        <w:t>Michelle SCOTT</w:t>
      </w:r>
      <w:r w:rsidR="004653B7" w:rsidRPr="0059478A">
        <w:rPr>
          <w:caps/>
        </w:rPr>
        <w:t xml:space="preserve"> </w:t>
      </w:r>
    </w:p>
    <w:p w:rsidR="00C06FEF" w:rsidRPr="0059478A" w:rsidRDefault="00E83621" w:rsidP="00B34312">
      <w:pPr>
        <w:pStyle w:val="BodyText1"/>
      </w:pPr>
      <w:r w:rsidRPr="0059478A">
        <w:t>Commissioner for Children and Young People WA</w:t>
      </w:r>
    </w:p>
    <w:p w:rsidR="00C06FEF" w:rsidRPr="0059478A" w:rsidRDefault="00C06FEF" w:rsidP="00B34312">
      <w:pPr>
        <w:pStyle w:val="BodyText1"/>
      </w:pPr>
    </w:p>
    <w:p w:rsidR="001676F8" w:rsidRPr="0059478A" w:rsidRDefault="007567A5" w:rsidP="00B34312">
      <w:pPr>
        <w:pStyle w:val="BodyText1"/>
        <w:tabs>
          <w:tab w:val="clear" w:pos="1160"/>
          <w:tab w:val="left" w:pos="840"/>
        </w:tabs>
      </w:pPr>
      <w:r w:rsidRPr="0059478A">
        <w:tab/>
      </w:r>
      <w:r w:rsidR="00E83621" w:rsidRPr="0059478A">
        <w:t>August</w:t>
      </w:r>
      <w:r w:rsidRPr="0059478A">
        <w:t xml:space="preserve"> </w:t>
      </w:r>
      <w:r w:rsidR="00E83621" w:rsidRPr="0059478A">
        <w:t>2013</w:t>
      </w:r>
    </w:p>
    <w:p w:rsidR="00547F20" w:rsidRPr="0059478A" w:rsidRDefault="00547F20" w:rsidP="00B34312">
      <w:pPr>
        <w:pStyle w:val="BodyText1"/>
        <w:tabs>
          <w:tab w:val="clear" w:pos="1160"/>
          <w:tab w:val="left" w:pos="840"/>
        </w:tabs>
      </w:pPr>
    </w:p>
    <w:sectPr w:rsidR="00547F20" w:rsidRPr="0059478A" w:rsidSect="009A1F2C">
      <w:headerReference w:type="default" r:id="rId10"/>
      <w:footerReference w:type="default" r:id="rId11"/>
      <w:headerReference w:type="first" r:id="rId12"/>
      <w:pgSz w:w="11907" w:h="16840" w:code="9"/>
      <w:pgMar w:top="1418" w:right="1418" w:bottom="2349" w:left="1990"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2C" w:rsidRDefault="00D7262C">
      <w:r>
        <w:separator/>
      </w:r>
    </w:p>
  </w:endnote>
  <w:endnote w:type="continuationSeparator" w:id="0">
    <w:p w:rsidR="00D7262C" w:rsidRDefault="00D7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88" w:rsidRDefault="00191A88">
    <w:pPr>
      <w:pStyle w:val="Footer"/>
      <w:jc w:val="right"/>
    </w:pPr>
    <w:r>
      <w:fldChar w:fldCharType="begin"/>
    </w:r>
    <w:r>
      <w:instrText xml:space="preserve"> PAGE   \* MERGEFORMAT </w:instrText>
    </w:r>
    <w:r>
      <w:fldChar w:fldCharType="separate"/>
    </w:r>
    <w:r w:rsidR="002D511B">
      <w:rPr>
        <w:noProof/>
      </w:rPr>
      <w:t>2</w:t>
    </w:r>
    <w:r>
      <w:rPr>
        <w:noProof/>
      </w:rPr>
      <w:fldChar w:fldCharType="end"/>
    </w:r>
  </w:p>
  <w:p w:rsidR="00545E41" w:rsidRDefault="00545E41" w:rsidP="006E2C36">
    <w:pPr>
      <w:pStyle w:val="Footer"/>
      <w:spacing w:line="360" w:lineRule="auto"/>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2C" w:rsidRDefault="00D7262C">
      <w:r>
        <w:separator/>
      </w:r>
    </w:p>
  </w:footnote>
  <w:footnote w:type="continuationSeparator" w:id="0">
    <w:p w:rsidR="00D7262C" w:rsidRDefault="00D7262C">
      <w:r>
        <w:continuationSeparator/>
      </w:r>
    </w:p>
  </w:footnote>
  <w:footnote w:id="1">
    <w:p w:rsidR="00DA0899" w:rsidRPr="0059478A" w:rsidRDefault="00DA0899" w:rsidP="00DA0899">
      <w:pPr>
        <w:pStyle w:val="FootnoteText"/>
        <w:spacing w:after="0"/>
        <w:rPr>
          <w:sz w:val="18"/>
          <w:szCs w:val="18"/>
        </w:rPr>
      </w:pPr>
      <w:r w:rsidRPr="004E362D">
        <w:rPr>
          <w:rStyle w:val="FootnoteReference"/>
          <w:sz w:val="18"/>
          <w:szCs w:val="18"/>
        </w:rPr>
        <w:footnoteRef/>
      </w:r>
      <w:r w:rsidRPr="004E362D">
        <w:rPr>
          <w:sz w:val="18"/>
          <w:szCs w:val="18"/>
        </w:rPr>
        <w:t xml:space="preserve"> </w:t>
      </w:r>
      <w:r w:rsidRPr="0059478A">
        <w:rPr>
          <w:i/>
          <w:sz w:val="18"/>
          <w:szCs w:val="18"/>
        </w:rPr>
        <w:t xml:space="preserve">Commissioner for Children and Young People Act 2006 </w:t>
      </w:r>
      <w:r w:rsidR="0059478A" w:rsidRPr="0059478A">
        <w:rPr>
          <w:sz w:val="18"/>
          <w:szCs w:val="18"/>
        </w:rPr>
        <w:t>(WA), section 19.</w:t>
      </w:r>
    </w:p>
  </w:footnote>
  <w:footnote w:id="2">
    <w:p w:rsidR="003C6D40" w:rsidRPr="0059478A" w:rsidRDefault="003C6D40" w:rsidP="003C6D40">
      <w:pPr>
        <w:pStyle w:val="FootnoteText"/>
        <w:spacing w:after="0"/>
        <w:rPr>
          <w:rFonts w:cs="Tahoma"/>
          <w:sz w:val="18"/>
          <w:szCs w:val="18"/>
        </w:rPr>
      </w:pPr>
      <w:r w:rsidRPr="0059478A">
        <w:rPr>
          <w:rStyle w:val="FootnoteReference"/>
          <w:rFonts w:cs="Tahoma"/>
          <w:sz w:val="18"/>
          <w:szCs w:val="18"/>
        </w:rPr>
        <w:footnoteRef/>
      </w:r>
      <w:r w:rsidRPr="0059478A">
        <w:rPr>
          <w:rFonts w:cs="Tahoma"/>
          <w:sz w:val="18"/>
          <w:szCs w:val="18"/>
        </w:rPr>
        <w:t xml:space="preserve"> This submission follows the preferred pr</w:t>
      </w:r>
      <w:r w:rsidR="00D4123D">
        <w:rPr>
          <w:rFonts w:cs="Tahoma"/>
          <w:sz w:val="18"/>
          <w:szCs w:val="18"/>
        </w:rPr>
        <w:t>actice in WA of using the term ‘Aboriginal’</w:t>
      </w:r>
      <w:r w:rsidRPr="0059478A">
        <w:rPr>
          <w:rFonts w:cs="Tahoma"/>
          <w:sz w:val="18"/>
          <w:szCs w:val="18"/>
        </w:rPr>
        <w:t xml:space="preserve"> to refer to Aboriginal and Torres Strait Islander peoples.</w:t>
      </w:r>
    </w:p>
  </w:footnote>
  <w:footnote w:id="3">
    <w:p w:rsidR="0059478A" w:rsidRPr="0059478A" w:rsidRDefault="0059478A" w:rsidP="0059478A">
      <w:pPr>
        <w:pStyle w:val="FootnoteText"/>
        <w:spacing w:after="0"/>
        <w:rPr>
          <w:sz w:val="18"/>
          <w:szCs w:val="18"/>
        </w:rPr>
      </w:pPr>
      <w:r w:rsidRPr="0059478A">
        <w:rPr>
          <w:rStyle w:val="FootnoteReference"/>
          <w:sz w:val="18"/>
          <w:szCs w:val="18"/>
        </w:rPr>
        <w:footnoteRef/>
      </w:r>
      <w:r w:rsidRPr="0059478A">
        <w:rPr>
          <w:sz w:val="18"/>
          <w:szCs w:val="18"/>
        </w:rPr>
        <w:t xml:space="preserve"> Demographic information available in Commissioner for Children and Young People WA 2013, </w:t>
      </w:r>
      <w:r w:rsidRPr="0059478A">
        <w:rPr>
          <w:i/>
          <w:sz w:val="18"/>
          <w:szCs w:val="18"/>
        </w:rPr>
        <w:t>Wellbeing Monitoring Framework: Profile of children and young people in Western Australia</w:t>
      </w:r>
      <w:r w:rsidRPr="0059478A">
        <w:rPr>
          <w:sz w:val="18"/>
          <w:szCs w:val="18"/>
        </w:rPr>
        <w:t xml:space="preserve">, Available: </w:t>
      </w:r>
      <w:r w:rsidRPr="009D0098">
        <w:rPr>
          <w:sz w:val="18"/>
          <w:szCs w:val="18"/>
        </w:rPr>
        <w:t>http://www.ccyp.wa.gov.au/maps/</w:t>
      </w:r>
    </w:p>
  </w:footnote>
  <w:footnote w:id="4">
    <w:p w:rsidR="0025628F" w:rsidRPr="0059478A" w:rsidRDefault="0025628F" w:rsidP="0025628F">
      <w:pPr>
        <w:pStyle w:val="FootnoteText"/>
        <w:spacing w:after="0"/>
        <w:rPr>
          <w:sz w:val="18"/>
          <w:szCs w:val="18"/>
        </w:rPr>
      </w:pPr>
      <w:r w:rsidRPr="0059478A">
        <w:rPr>
          <w:rStyle w:val="FootnoteReference"/>
          <w:sz w:val="18"/>
          <w:szCs w:val="18"/>
        </w:rPr>
        <w:footnoteRef/>
      </w:r>
      <w:r w:rsidRPr="0059478A">
        <w:rPr>
          <w:sz w:val="18"/>
          <w:szCs w:val="18"/>
        </w:rPr>
        <w:t xml:space="preserve"> </w:t>
      </w:r>
      <w:r w:rsidR="004C1071">
        <w:rPr>
          <w:sz w:val="18"/>
          <w:szCs w:val="18"/>
        </w:rPr>
        <w:t>Ibid.</w:t>
      </w:r>
      <w:r w:rsidR="00886101" w:rsidRPr="0059478A">
        <w:rPr>
          <w:sz w:val="18"/>
          <w:szCs w:val="18"/>
        </w:rPr>
        <w:t xml:space="preserve"> </w:t>
      </w:r>
    </w:p>
  </w:footnote>
  <w:footnote w:id="5">
    <w:p w:rsidR="00B20AEE" w:rsidRPr="0059478A" w:rsidRDefault="00B20AEE" w:rsidP="00B20AEE">
      <w:pPr>
        <w:pStyle w:val="FootnoteText"/>
        <w:spacing w:after="0"/>
        <w:rPr>
          <w:sz w:val="18"/>
          <w:szCs w:val="18"/>
        </w:rPr>
      </w:pPr>
      <w:r w:rsidRPr="0059478A">
        <w:rPr>
          <w:rStyle w:val="FootnoteReference"/>
          <w:sz w:val="18"/>
          <w:szCs w:val="18"/>
        </w:rPr>
        <w:footnoteRef/>
      </w:r>
      <w:r w:rsidRPr="0059478A">
        <w:rPr>
          <w:sz w:val="18"/>
          <w:szCs w:val="18"/>
        </w:rPr>
        <w:t xml:space="preserve"> The Disability Services Commission was established in December 1993 under the Disability Services Act 1993 (WA). It is the State Government agency responsible for advancing opportunities, community participation and quality of life for people with disabilities. The Commission provides a range of direct services and support and also funds non-government agencies to provide services to people with severe and profound disabilities, their families and carers. For more information refer to The Disability Services Act 1993, http://www.austlii.edu.au/au/legis/wa/consol_act/dsa1993213/</w:t>
      </w:r>
    </w:p>
  </w:footnote>
  <w:footnote w:id="6">
    <w:p w:rsidR="00F528F7" w:rsidRPr="0059478A" w:rsidRDefault="00F528F7" w:rsidP="00F528F7">
      <w:pPr>
        <w:pStyle w:val="FootnoteText"/>
        <w:spacing w:after="0"/>
        <w:rPr>
          <w:sz w:val="18"/>
          <w:szCs w:val="18"/>
          <w:vertAlign w:val="superscript"/>
        </w:rPr>
      </w:pPr>
      <w:r w:rsidRPr="00B20AEE">
        <w:rPr>
          <w:sz w:val="18"/>
          <w:szCs w:val="18"/>
          <w:vertAlign w:val="superscript"/>
        </w:rPr>
        <w:footnoteRef/>
      </w:r>
      <w:r w:rsidRPr="00B20AEE">
        <w:rPr>
          <w:sz w:val="18"/>
          <w:szCs w:val="18"/>
          <w:vertAlign w:val="superscript"/>
        </w:rPr>
        <w:t xml:space="preserve"> </w:t>
      </w:r>
      <w:r w:rsidRPr="0059478A">
        <w:rPr>
          <w:sz w:val="18"/>
          <w:szCs w:val="18"/>
        </w:rPr>
        <w:t>WA Disability Services Commission 2012</w:t>
      </w:r>
      <w:r w:rsidRPr="0059478A">
        <w:rPr>
          <w:i/>
          <w:sz w:val="18"/>
          <w:szCs w:val="18"/>
        </w:rPr>
        <w:t>, Custom Report</w:t>
      </w:r>
      <w:r w:rsidR="0072005D" w:rsidRPr="0059478A">
        <w:rPr>
          <w:sz w:val="18"/>
          <w:szCs w:val="18"/>
        </w:rPr>
        <w:t xml:space="preserve"> in Commissioner for Children and Young People WA 2013, </w:t>
      </w:r>
      <w:r w:rsidR="0072005D" w:rsidRPr="0059478A">
        <w:rPr>
          <w:i/>
          <w:sz w:val="18"/>
          <w:szCs w:val="18"/>
        </w:rPr>
        <w:t>Profile of children and young people in Western Australia</w:t>
      </w:r>
      <w:r w:rsidR="0072005D" w:rsidRPr="0059478A">
        <w:rPr>
          <w:sz w:val="18"/>
          <w:szCs w:val="18"/>
        </w:rPr>
        <w:t xml:space="preserve">, Available: </w:t>
      </w:r>
      <w:r w:rsidR="0072005D" w:rsidRPr="009D0098">
        <w:rPr>
          <w:sz w:val="18"/>
          <w:szCs w:val="18"/>
        </w:rPr>
        <w:t>http://www.ccyp.wa.gov.au/maps/</w:t>
      </w:r>
    </w:p>
  </w:footnote>
  <w:footnote w:id="7">
    <w:p w:rsidR="003C6D40" w:rsidRPr="0059478A" w:rsidRDefault="003C6D40" w:rsidP="003C6D40">
      <w:pPr>
        <w:pStyle w:val="FootnoteText"/>
        <w:spacing w:after="0"/>
        <w:rPr>
          <w:rFonts w:cs="Tahoma"/>
          <w:sz w:val="18"/>
          <w:szCs w:val="18"/>
        </w:rPr>
      </w:pPr>
      <w:r w:rsidRPr="0059478A">
        <w:rPr>
          <w:rStyle w:val="FootnoteReference"/>
          <w:rFonts w:cs="Tahoma"/>
          <w:sz w:val="18"/>
          <w:szCs w:val="18"/>
        </w:rPr>
        <w:footnoteRef/>
      </w:r>
      <w:r w:rsidRPr="0059478A">
        <w:rPr>
          <w:rFonts w:cs="Tahoma"/>
          <w:sz w:val="18"/>
          <w:szCs w:val="18"/>
        </w:rPr>
        <w:t xml:space="preserve"> Office of the Auditor General 2008, </w:t>
      </w:r>
      <w:r w:rsidRPr="0059478A">
        <w:rPr>
          <w:rFonts w:cs="Tahoma"/>
          <w:i/>
          <w:sz w:val="18"/>
          <w:szCs w:val="18"/>
        </w:rPr>
        <w:t>The Juvenile Justice System: Dealing with Young People under the Young Offenders Act 1994: Performance Examination,</w:t>
      </w:r>
      <w:r w:rsidRPr="0059478A">
        <w:rPr>
          <w:rFonts w:cs="Tahoma"/>
          <w:sz w:val="18"/>
          <w:szCs w:val="18"/>
        </w:rPr>
        <w:t xml:space="preserve"> Office of the Auditor General, p.17.</w:t>
      </w:r>
    </w:p>
  </w:footnote>
  <w:footnote w:id="8">
    <w:p w:rsidR="003C6D40" w:rsidRPr="00AF0D7F" w:rsidRDefault="003C6D40" w:rsidP="003C6D40">
      <w:pPr>
        <w:pStyle w:val="FootnoteText"/>
        <w:spacing w:after="0"/>
        <w:rPr>
          <w:rFonts w:cs="Tahoma"/>
          <w:sz w:val="18"/>
          <w:szCs w:val="18"/>
        </w:rPr>
      </w:pPr>
      <w:r w:rsidRPr="0091547A">
        <w:rPr>
          <w:rStyle w:val="FootnoteReference"/>
          <w:rFonts w:cs="Tahoma"/>
          <w:sz w:val="18"/>
          <w:szCs w:val="18"/>
        </w:rPr>
        <w:footnoteRef/>
      </w:r>
      <w:r w:rsidRPr="0091547A">
        <w:rPr>
          <w:rFonts w:cs="Tahoma"/>
          <w:sz w:val="18"/>
          <w:szCs w:val="18"/>
        </w:rPr>
        <w:t xml:space="preserve"> Office of the Auditor General 2008, </w:t>
      </w:r>
      <w:r w:rsidRPr="0091547A">
        <w:rPr>
          <w:rFonts w:cs="Tahoma"/>
          <w:i/>
          <w:sz w:val="18"/>
          <w:szCs w:val="18"/>
        </w:rPr>
        <w:t xml:space="preserve">The Juvenile Justice System: Dealing with Young People under the </w:t>
      </w:r>
      <w:r w:rsidRPr="00AF0D7F">
        <w:rPr>
          <w:rFonts w:cs="Tahoma"/>
          <w:i/>
          <w:sz w:val="18"/>
          <w:szCs w:val="18"/>
        </w:rPr>
        <w:t>Young Offenders Act 1994: Performance Examination,</w:t>
      </w:r>
      <w:r w:rsidRPr="00AF0D7F">
        <w:rPr>
          <w:rFonts w:cs="Tahoma"/>
          <w:sz w:val="18"/>
          <w:szCs w:val="18"/>
        </w:rPr>
        <w:t xml:space="preserve"> Office of the Auditor General, p.16.</w:t>
      </w:r>
    </w:p>
  </w:footnote>
  <w:footnote w:id="9">
    <w:p w:rsidR="003C6D40" w:rsidRPr="002E2CB8" w:rsidRDefault="003C6D40" w:rsidP="003C6D40">
      <w:pPr>
        <w:spacing w:after="0"/>
        <w:rPr>
          <w:rFonts w:eastAsia="Times New Roman" w:cs="Tahoma"/>
          <w:bCs/>
          <w:sz w:val="18"/>
          <w:szCs w:val="18"/>
          <w:highlight w:val="yellow"/>
          <w:lang w:eastAsia="en-AU"/>
        </w:rPr>
      </w:pPr>
      <w:r w:rsidRPr="00AF0D7F">
        <w:rPr>
          <w:rStyle w:val="FootnoteReference"/>
          <w:rFonts w:cs="Tahoma"/>
          <w:sz w:val="18"/>
          <w:szCs w:val="18"/>
        </w:rPr>
        <w:footnoteRef/>
      </w:r>
      <w:r w:rsidRPr="00AF0D7F">
        <w:rPr>
          <w:rFonts w:cs="Tahoma"/>
          <w:sz w:val="18"/>
          <w:szCs w:val="18"/>
        </w:rPr>
        <w:t xml:space="preserve"> </w:t>
      </w:r>
      <w:r w:rsidR="002E2CB8" w:rsidRPr="00AF0D7F">
        <w:rPr>
          <w:rFonts w:cs="Tahoma"/>
          <w:sz w:val="18"/>
          <w:szCs w:val="18"/>
        </w:rPr>
        <w:t xml:space="preserve">Australian Bureau of </w:t>
      </w:r>
      <w:r w:rsidR="00AF0D7F" w:rsidRPr="00AF0D7F">
        <w:rPr>
          <w:rFonts w:cs="Tahoma"/>
          <w:sz w:val="18"/>
          <w:szCs w:val="18"/>
        </w:rPr>
        <w:t>Statistics 2012</w:t>
      </w:r>
      <w:r w:rsidR="002E2CB8" w:rsidRPr="00AF0D7F">
        <w:rPr>
          <w:rFonts w:cs="Tahoma"/>
          <w:sz w:val="18"/>
          <w:szCs w:val="18"/>
        </w:rPr>
        <w:t xml:space="preserve">, </w:t>
      </w:r>
      <w:r w:rsidRPr="00AF0D7F">
        <w:rPr>
          <w:rFonts w:eastAsia="Times New Roman" w:cs="Tahoma"/>
          <w:bCs/>
          <w:i/>
          <w:sz w:val="18"/>
          <w:szCs w:val="18"/>
          <w:lang w:eastAsia="en-AU"/>
        </w:rPr>
        <w:t>Recorded Crime - Offenders, 2010–11</w:t>
      </w:r>
      <w:r w:rsidR="00AF0D7F" w:rsidRPr="00AF0D7F">
        <w:rPr>
          <w:rFonts w:eastAsia="Times New Roman" w:cs="Tahoma"/>
          <w:bCs/>
          <w:i/>
          <w:sz w:val="18"/>
          <w:szCs w:val="18"/>
          <w:lang w:eastAsia="en-AU"/>
        </w:rPr>
        <w:t>,</w:t>
      </w:r>
      <w:r w:rsidRPr="00AF0D7F">
        <w:rPr>
          <w:rFonts w:eastAsia="Times New Roman" w:cs="Tahoma"/>
          <w:bCs/>
          <w:sz w:val="18"/>
          <w:szCs w:val="18"/>
          <w:lang w:eastAsia="en-AU"/>
        </w:rPr>
        <w:t xml:space="preserve"> </w:t>
      </w:r>
      <w:r w:rsidR="00AF0D7F" w:rsidRPr="00AF0D7F">
        <w:rPr>
          <w:rFonts w:eastAsia="Times New Roman" w:cs="Tahoma"/>
          <w:bCs/>
          <w:sz w:val="18"/>
          <w:szCs w:val="18"/>
          <w:lang w:eastAsia="en-AU"/>
        </w:rPr>
        <w:t>c</w:t>
      </w:r>
      <w:r w:rsidR="002E2CB8" w:rsidRPr="00AF0D7F">
        <w:rPr>
          <w:rFonts w:eastAsia="Times New Roman" w:cs="Tahoma"/>
          <w:bCs/>
          <w:sz w:val="18"/>
          <w:szCs w:val="18"/>
          <w:lang w:eastAsia="en-AU"/>
        </w:rPr>
        <w:t xml:space="preserve">at. </w:t>
      </w:r>
      <w:r w:rsidR="00AF0D7F" w:rsidRPr="00AF0D7F">
        <w:rPr>
          <w:rFonts w:eastAsia="Times New Roman" w:cs="Tahoma"/>
          <w:bCs/>
          <w:sz w:val="18"/>
          <w:szCs w:val="18"/>
          <w:lang w:eastAsia="en-AU"/>
        </w:rPr>
        <w:t xml:space="preserve">no. </w:t>
      </w:r>
      <w:r w:rsidR="002E2CB8" w:rsidRPr="00AF0D7F">
        <w:rPr>
          <w:rFonts w:eastAsia="Times New Roman" w:cs="Tahoma"/>
          <w:bCs/>
          <w:sz w:val="18"/>
          <w:szCs w:val="18"/>
          <w:lang w:eastAsia="en-AU"/>
        </w:rPr>
        <w:t xml:space="preserve">4519.0 </w:t>
      </w:r>
      <w:r w:rsidRPr="00AF0D7F">
        <w:rPr>
          <w:rFonts w:eastAsia="Times New Roman" w:cs="Tahoma"/>
          <w:bCs/>
          <w:sz w:val="18"/>
          <w:szCs w:val="18"/>
          <w:lang w:eastAsia="en-AU"/>
        </w:rPr>
        <w:t>Table 1 Youth Offenders WA</w:t>
      </w:r>
      <w:r w:rsidR="00AF0D7F" w:rsidRPr="00AF0D7F">
        <w:rPr>
          <w:rFonts w:eastAsia="Times New Roman" w:cs="Tahoma"/>
          <w:bCs/>
          <w:sz w:val="18"/>
          <w:szCs w:val="18"/>
          <w:lang w:eastAsia="en-AU"/>
        </w:rPr>
        <w:t xml:space="preserve">, [website], viewed 13 August 2013, </w:t>
      </w:r>
      <w:r w:rsidR="00AF0D7F" w:rsidRPr="009D0098">
        <w:rPr>
          <w:rFonts w:eastAsia="Times New Roman" w:cs="Tahoma"/>
          <w:bCs/>
          <w:sz w:val="18"/>
          <w:szCs w:val="18"/>
          <w:lang w:eastAsia="en-AU"/>
        </w:rPr>
        <w:t>http://www.abs.gov.au/AUSSTATS/abs@.nsf/DetailsPage/4519.02010–11?OpenDocument</w:t>
      </w:r>
      <w:r w:rsidR="00AF0D7F">
        <w:rPr>
          <w:rFonts w:eastAsia="Times New Roman" w:cs="Tahoma"/>
          <w:bCs/>
          <w:sz w:val="18"/>
          <w:szCs w:val="18"/>
          <w:lang w:eastAsia="en-AU"/>
        </w:rPr>
        <w:t xml:space="preserve"> </w:t>
      </w:r>
    </w:p>
  </w:footnote>
  <w:footnote w:id="10">
    <w:p w:rsidR="003C6D40" w:rsidRPr="00447C28" w:rsidRDefault="003C6D40" w:rsidP="003C6D40">
      <w:pPr>
        <w:spacing w:after="0"/>
        <w:rPr>
          <w:rFonts w:cs="Tahoma"/>
          <w:sz w:val="18"/>
          <w:szCs w:val="18"/>
        </w:rPr>
      </w:pPr>
      <w:r w:rsidRPr="00AF0D7F">
        <w:rPr>
          <w:rStyle w:val="FootnoteReference"/>
          <w:rFonts w:cs="Tahoma"/>
          <w:sz w:val="18"/>
          <w:szCs w:val="18"/>
        </w:rPr>
        <w:footnoteRef/>
      </w:r>
      <w:r w:rsidRPr="00AF0D7F">
        <w:rPr>
          <w:rFonts w:cs="Tahoma"/>
          <w:sz w:val="18"/>
          <w:szCs w:val="18"/>
        </w:rPr>
        <w:t xml:space="preserve"> </w:t>
      </w:r>
      <w:r w:rsidR="002E2CB8" w:rsidRPr="00AF0D7F">
        <w:rPr>
          <w:rFonts w:cs="Tahoma"/>
          <w:sz w:val="18"/>
          <w:szCs w:val="18"/>
        </w:rPr>
        <w:t xml:space="preserve">Australian Bureau of Statistics 2013, </w:t>
      </w:r>
      <w:r w:rsidRPr="00AF0D7F">
        <w:rPr>
          <w:rFonts w:eastAsia="Times New Roman" w:cs="Tahoma"/>
          <w:bCs/>
          <w:i/>
          <w:color w:val="000000"/>
          <w:sz w:val="18"/>
          <w:szCs w:val="18"/>
          <w:lang w:eastAsia="en-AU"/>
        </w:rPr>
        <w:t>Recorded Crime - Offenders, 2011-12</w:t>
      </w:r>
      <w:r w:rsidR="002E2CB8" w:rsidRPr="00AF0D7F">
        <w:rPr>
          <w:rFonts w:eastAsia="Times New Roman" w:cs="Tahoma"/>
          <w:bCs/>
          <w:color w:val="000000"/>
          <w:sz w:val="18"/>
          <w:szCs w:val="18"/>
          <w:lang w:eastAsia="en-AU"/>
        </w:rPr>
        <w:t xml:space="preserve">, </w:t>
      </w:r>
      <w:r w:rsidR="00AF0D7F" w:rsidRPr="00AF0D7F">
        <w:rPr>
          <w:rFonts w:eastAsia="Times New Roman" w:cs="Tahoma"/>
          <w:bCs/>
          <w:sz w:val="18"/>
          <w:szCs w:val="18"/>
          <w:lang w:eastAsia="en-AU"/>
        </w:rPr>
        <w:t>c</w:t>
      </w:r>
      <w:r w:rsidR="002E2CB8" w:rsidRPr="00AF0D7F">
        <w:rPr>
          <w:rFonts w:eastAsia="Times New Roman" w:cs="Tahoma"/>
          <w:bCs/>
          <w:sz w:val="18"/>
          <w:szCs w:val="18"/>
          <w:lang w:eastAsia="en-AU"/>
        </w:rPr>
        <w:t xml:space="preserve">at. </w:t>
      </w:r>
      <w:r w:rsidR="00AF0D7F" w:rsidRPr="00AF0D7F">
        <w:rPr>
          <w:rFonts w:eastAsia="Times New Roman" w:cs="Tahoma"/>
          <w:bCs/>
          <w:sz w:val="18"/>
          <w:szCs w:val="18"/>
          <w:lang w:eastAsia="en-AU"/>
        </w:rPr>
        <w:t xml:space="preserve">no. </w:t>
      </w:r>
      <w:r w:rsidR="002E2CB8" w:rsidRPr="00AF0D7F">
        <w:rPr>
          <w:rFonts w:eastAsia="Times New Roman" w:cs="Tahoma"/>
          <w:bCs/>
          <w:sz w:val="18"/>
          <w:szCs w:val="18"/>
          <w:lang w:eastAsia="en-AU"/>
        </w:rPr>
        <w:t xml:space="preserve">4519.0 </w:t>
      </w:r>
      <w:r w:rsidRPr="00AF0D7F">
        <w:rPr>
          <w:rFonts w:eastAsia="Times New Roman" w:cs="Tahoma"/>
          <w:bCs/>
          <w:color w:val="000000"/>
          <w:sz w:val="18"/>
          <w:szCs w:val="18"/>
          <w:lang w:eastAsia="en-AU"/>
        </w:rPr>
        <w:t>Table 7</w:t>
      </w:r>
      <w:r w:rsidR="00AF0D7F" w:rsidRPr="00AF0D7F">
        <w:rPr>
          <w:rFonts w:eastAsia="Times New Roman" w:cs="Tahoma"/>
          <w:bCs/>
          <w:color w:val="000000"/>
          <w:sz w:val="18"/>
          <w:szCs w:val="18"/>
          <w:lang w:eastAsia="en-AU"/>
        </w:rPr>
        <w:t>,</w:t>
      </w:r>
      <w:r w:rsidR="00AF0D7F">
        <w:rPr>
          <w:rFonts w:eastAsia="Times New Roman" w:cs="Tahoma"/>
          <w:bCs/>
          <w:color w:val="000000"/>
          <w:sz w:val="18"/>
          <w:szCs w:val="18"/>
          <w:lang w:eastAsia="en-AU"/>
        </w:rPr>
        <w:t xml:space="preserve"> </w:t>
      </w:r>
      <w:r w:rsidR="00AF0D7F" w:rsidRPr="00AF0D7F">
        <w:rPr>
          <w:rFonts w:eastAsia="Times New Roman" w:cs="Tahoma"/>
          <w:bCs/>
          <w:sz w:val="18"/>
          <w:szCs w:val="18"/>
          <w:lang w:eastAsia="en-AU"/>
        </w:rPr>
        <w:t>[website], viewed 13 August 2013,</w:t>
      </w:r>
      <w:r w:rsidR="00AF0D7F">
        <w:rPr>
          <w:rFonts w:eastAsia="Times New Roman" w:cs="Tahoma"/>
          <w:bCs/>
          <w:sz w:val="18"/>
          <w:szCs w:val="18"/>
          <w:lang w:eastAsia="en-AU"/>
        </w:rPr>
        <w:t xml:space="preserve"> </w:t>
      </w:r>
      <w:r w:rsidR="004A3975" w:rsidRPr="009D0098">
        <w:rPr>
          <w:rFonts w:eastAsia="Times New Roman" w:cs="Tahoma"/>
          <w:bCs/>
          <w:sz w:val="18"/>
          <w:szCs w:val="18"/>
          <w:lang w:eastAsia="en-AU"/>
        </w:rPr>
        <w:t>http://www.abs.gov.au/AUSSTATS/abs@.nsf/DetailsPage/4519.02011-12?OpenDocument</w:t>
      </w:r>
      <w:r w:rsidR="004A3975">
        <w:rPr>
          <w:rFonts w:eastAsia="Times New Roman" w:cs="Tahoma"/>
          <w:bCs/>
          <w:sz w:val="18"/>
          <w:szCs w:val="18"/>
          <w:lang w:eastAsia="en-AU"/>
        </w:rPr>
        <w:t xml:space="preserve"> </w:t>
      </w:r>
    </w:p>
  </w:footnote>
  <w:footnote w:id="11">
    <w:p w:rsidR="003C6D40" w:rsidRPr="00447C28" w:rsidRDefault="003C6D40" w:rsidP="003C6D40">
      <w:pPr>
        <w:pStyle w:val="FootnoteText"/>
        <w:spacing w:after="0"/>
        <w:rPr>
          <w:rFonts w:cs="Tahoma"/>
          <w:sz w:val="18"/>
          <w:szCs w:val="18"/>
        </w:rPr>
      </w:pPr>
      <w:r w:rsidRPr="00447C28">
        <w:rPr>
          <w:rStyle w:val="FootnoteReference"/>
          <w:rFonts w:cs="Tahoma"/>
          <w:sz w:val="18"/>
          <w:szCs w:val="18"/>
        </w:rPr>
        <w:footnoteRef/>
      </w:r>
      <w:r w:rsidRPr="00447C28">
        <w:rPr>
          <w:rFonts w:cs="Tahoma"/>
          <w:sz w:val="18"/>
          <w:szCs w:val="18"/>
        </w:rPr>
        <w:t xml:space="preserve"> Unpublished report, supplied by Department of Corrective Services, June 2011</w:t>
      </w:r>
    </w:p>
  </w:footnote>
  <w:footnote w:id="12">
    <w:p w:rsidR="003C6D40" w:rsidRPr="00447C28" w:rsidRDefault="003C6D40" w:rsidP="003C6D40">
      <w:pPr>
        <w:pStyle w:val="FootnoteText"/>
        <w:spacing w:after="0"/>
        <w:rPr>
          <w:rFonts w:cs="Tahoma"/>
          <w:sz w:val="18"/>
          <w:szCs w:val="18"/>
        </w:rPr>
      </w:pPr>
      <w:r w:rsidRPr="00447C28">
        <w:rPr>
          <w:rStyle w:val="FootnoteReference"/>
          <w:rFonts w:cs="Tahoma"/>
          <w:sz w:val="18"/>
          <w:szCs w:val="18"/>
        </w:rPr>
        <w:footnoteRef/>
      </w:r>
      <w:r w:rsidRPr="00447C28">
        <w:rPr>
          <w:rFonts w:cs="Tahoma"/>
          <w:sz w:val="18"/>
          <w:szCs w:val="18"/>
        </w:rPr>
        <w:t xml:space="preserve"> </w:t>
      </w:r>
      <w:r w:rsidR="00AF0D7F">
        <w:rPr>
          <w:rFonts w:cs="Tahoma"/>
          <w:sz w:val="18"/>
          <w:szCs w:val="18"/>
        </w:rPr>
        <w:t>Ibid.</w:t>
      </w:r>
    </w:p>
  </w:footnote>
  <w:footnote w:id="13">
    <w:p w:rsidR="003C6D40" w:rsidRPr="00447C28" w:rsidRDefault="003C6D40" w:rsidP="003C6D40">
      <w:pPr>
        <w:pStyle w:val="NormalWeb"/>
        <w:shd w:val="clear" w:color="auto" w:fill="FFFFFF"/>
        <w:spacing w:before="0" w:beforeAutospacing="0" w:after="0" w:afterAutospacing="0"/>
        <w:rPr>
          <w:rFonts w:ascii="Tahoma" w:hAnsi="Tahoma" w:cs="Tahoma"/>
          <w:sz w:val="18"/>
          <w:szCs w:val="18"/>
        </w:rPr>
      </w:pPr>
      <w:r w:rsidRPr="00447C28">
        <w:rPr>
          <w:rStyle w:val="FootnoteReference"/>
          <w:rFonts w:ascii="Tahoma" w:hAnsi="Tahoma" w:cs="Tahoma"/>
          <w:sz w:val="18"/>
          <w:szCs w:val="18"/>
        </w:rPr>
        <w:footnoteRef/>
      </w:r>
      <w:r w:rsidRPr="00447C28">
        <w:rPr>
          <w:rFonts w:ascii="Tahoma" w:hAnsi="Tahoma" w:cs="Tahoma"/>
          <w:sz w:val="18"/>
          <w:szCs w:val="18"/>
        </w:rPr>
        <w:t xml:space="preserve"> Australian Institute of Health and Welfare</w:t>
      </w:r>
      <w:r w:rsidR="00D45A11">
        <w:rPr>
          <w:rFonts w:ascii="Tahoma" w:hAnsi="Tahoma" w:cs="Tahoma"/>
          <w:sz w:val="18"/>
          <w:szCs w:val="18"/>
        </w:rPr>
        <w:t xml:space="preserve"> (AIHW)</w:t>
      </w:r>
      <w:r w:rsidRPr="00447C28">
        <w:rPr>
          <w:rFonts w:ascii="Tahoma" w:hAnsi="Tahoma" w:cs="Tahoma"/>
          <w:sz w:val="18"/>
          <w:szCs w:val="18"/>
        </w:rPr>
        <w:t xml:space="preserve"> 2012, </w:t>
      </w:r>
      <w:r w:rsidRPr="00447C28">
        <w:rPr>
          <w:rFonts w:ascii="Tahoma" w:hAnsi="Tahoma" w:cs="Tahoma"/>
          <w:i/>
          <w:sz w:val="18"/>
          <w:szCs w:val="18"/>
        </w:rPr>
        <w:t xml:space="preserve">Juvenile detention population in Australia 2012, </w:t>
      </w:r>
      <w:r w:rsidRPr="00447C28">
        <w:rPr>
          <w:rFonts w:ascii="Tahoma" w:hAnsi="Tahoma" w:cs="Tahoma"/>
          <w:sz w:val="18"/>
          <w:szCs w:val="18"/>
        </w:rPr>
        <w:t>J</w:t>
      </w:r>
      <w:r w:rsidR="00D45A11">
        <w:rPr>
          <w:rFonts w:ascii="Tahoma" w:hAnsi="Tahoma" w:cs="Tahoma"/>
          <w:sz w:val="18"/>
          <w:szCs w:val="18"/>
        </w:rPr>
        <w:t>uvenile justice series no. 11, Cat. n</w:t>
      </w:r>
      <w:r w:rsidRPr="00447C28">
        <w:rPr>
          <w:rFonts w:ascii="Tahoma" w:hAnsi="Tahoma" w:cs="Tahoma"/>
          <w:sz w:val="18"/>
          <w:szCs w:val="18"/>
        </w:rPr>
        <w:t xml:space="preserve">o. JUV 11, </w:t>
      </w:r>
      <w:r w:rsidR="00D45A11" w:rsidRPr="00447C28">
        <w:rPr>
          <w:rFonts w:ascii="Tahoma" w:hAnsi="Tahoma" w:cs="Tahoma"/>
          <w:sz w:val="18"/>
          <w:szCs w:val="18"/>
        </w:rPr>
        <w:t>table S10</w:t>
      </w:r>
      <w:r w:rsidR="00D45A11">
        <w:rPr>
          <w:rFonts w:ascii="Tahoma" w:hAnsi="Tahoma" w:cs="Tahoma"/>
          <w:sz w:val="18"/>
          <w:szCs w:val="18"/>
        </w:rPr>
        <w:t xml:space="preserve">, </w:t>
      </w:r>
      <w:r w:rsidRPr="00447C28">
        <w:rPr>
          <w:rFonts w:ascii="Tahoma" w:hAnsi="Tahoma" w:cs="Tahoma"/>
          <w:sz w:val="18"/>
          <w:szCs w:val="18"/>
        </w:rPr>
        <w:t xml:space="preserve">AIHW, </w:t>
      </w:r>
      <w:r w:rsidR="00D45A11">
        <w:rPr>
          <w:rFonts w:ascii="Tahoma" w:hAnsi="Tahoma" w:cs="Tahoma"/>
          <w:sz w:val="18"/>
          <w:szCs w:val="18"/>
        </w:rPr>
        <w:t>Canberra.</w:t>
      </w:r>
    </w:p>
  </w:footnote>
  <w:footnote w:id="14">
    <w:p w:rsidR="00BE0ADD" w:rsidRPr="0091547A" w:rsidRDefault="00BE0ADD" w:rsidP="00BE0ADD">
      <w:pPr>
        <w:pStyle w:val="FootnoteText"/>
        <w:spacing w:after="0"/>
        <w:rPr>
          <w:rFonts w:cs="Tahoma"/>
          <w:sz w:val="18"/>
          <w:szCs w:val="18"/>
        </w:rPr>
      </w:pPr>
      <w:r w:rsidRPr="0091547A">
        <w:rPr>
          <w:rStyle w:val="FootnoteReference"/>
          <w:rFonts w:cs="Tahoma"/>
          <w:sz w:val="18"/>
          <w:szCs w:val="18"/>
        </w:rPr>
        <w:footnoteRef/>
      </w:r>
      <w:r w:rsidRPr="0091547A">
        <w:rPr>
          <w:rFonts w:cs="Tahoma"/>
          <w:sz w:val="18"/>
          <w:szCs w:val="18"/>
        </w:rPr>
        <w:t xml:space="preserve"> Department of Corrective Services email communication, 12 December 2011.</w:t>
      </w:r>
    </w:p>
  </w:footnote>
  <w:footnote w:id="15">
    <w:p w:rsidR="003C6D40" w:rsidRPr="00D3513A" w:rsidRDefault="003C6D40" w:rsidP="003C6D40">
      <w:pPr>
        <w:pStyle w:val="FootnoteText"/>
        <w:spacing w:after="0"/>
        <w:rPr>
          <w:rFonts w:cs="Tahoma"/>
          <w:sz w:val="18"/>
          <w:szCs w:val="18"/>
        </w:rPr>
      </w:pPr>
      <w:r w:rsidRPr="00D3513A">
        <w:rPr>
          <w:rStyle w:val="FootnoteReference"/>
          <w:rFonts w:cs="Tahoma"/>
          <w:sz w:val="18"/>
          <w:szCs w:val="18"/>
        </w:rPr>
        <w:footnoteRef/>
      </w:r>
      <w:r w:rsidRPr="00D3513A">
        <w:rPr>
          <w:rFonts w:cs="Tahoma"/>
          <w:sz w:val="18"/>
          <w:szCs w:val="18"/>
        </w:rPr>
        <w:t xml:space="preserve"> Commissioner for Children and Young People </w:t>
      </w:r>
      <w:r w:rsidR="00141F36">
        <w:rPr>
          <w:rFonts w:cs="Tahoma"/>
          <w:sz w:val="18"/>
          <w:szCs w:val="18"/>
        </w:rPr>
        <w:t xml:space="preserve">WA </w:t>
      </w:r>
      <w:r w:rsidRPr="00D3513A">
        <w:rPr>
          <w:rFonts w:cs="Tahoma"/>
          <w:sz w:val="18"/>
          <w:szCs w:val="18"/>
        </w:rPr>
        <w:t xml:space="preserve">2012, </w:t>
      </w:r>
      <w:r w:rsidRPr="00D3513A">
        <w:rPr>
          <w:rFonts w:cs="Tahoma"/>
          <w:i/>
          <w:sz w:val="18"/>
          <w:szCs w:val="18"/>
        </w:rPr>
        <w:t xml:space="preserve">The State of Western Australia’s children and young people: Edition One, </w:t>
      </w:r>
      <w:r w:rsidRPr="00D3513A">
        <w:rPr>
          <w:rFonts w:cs="Tahoma"/>
          <w:sz w:val="18"/>
          <w:szCs w:val="18"/>
        </w:rPr>
        <w:t xml:space="preserve">Commissioner for Children and Young People WA, </w:t>
      </w:r>
      <w:r w:rsidR="009F3973">
        <w:rPr>
          <w:rFonts w:cs="Tahoma"/>
          <w:sz w:val="18"/>
          <w:szCs w:val="18"/>
        </w:rPr>
        <w:t xml:space="preserve">Perth, </w:t>
      </w:r>
      <w:r w:rsidRPr="00D3513A">
        <w:rPr>
          <w:rFonts w:cs="Tahoma"/>
          <w:sz w:val="18"/>
          <w:szCs w:val="18"/>
        </w:rPr>
        <w:t>p.173</w:t>
      </w:r>
      <w:r w:rsidR="00141F36">
        <w:rPr>
          <w:rFonts w:cs="Tahoma"/>
          <w:sz w:val="18"/>
          <w:szCs w:val="18"/>
        </w:rPr>
        <w:t>.</w:t>
      </w:r>
    </w:p>
  </w:footnote>
  <w:footnote w:id="16">
    <w:p w:rsidR="003C6D40" w:rsidRPr="00D3513A" w:rsidRDefault="003C6D40" w:rsidP="003C6D40">
      <w:pPr>
        <w:pStyle w:val="FootnoteText"/>
        <w:spacing w:after="0"/>
        <w:rPr>
          <w:rFonts w:cs="Tahoma"/>
          <w:sz w:val="18"/>
          <w:szCs w:val="18"/>
        </w:rPr>
      </w:pPr>
      <w:r w:rsidRPr="00D3513A">
        <w:rPr>
          <w:rStyle w:val="FootnoteReference"/>
          <w:rFonts w:cs="Tahoma"/>
          <w:sz w:val="18"/>
          <w:szCs w:val="18"/>
        </w:rPr>
        <w:footnoteRef/>
      </w:r>
      <w:r w:rsidRPr="00D3513A">
        <w:rPr>
          <w:rFonts w:cs="Tahoma"/>
          <w:sz w:val="18"/>
          <w:szCs w:val="18"/>
        </w:rPr>
        <w:t xml:space="preserve"> </w:t>
      </w:r>
      <w:r w:rsidR="009F3973">
        <w:rPr>
          <w:rFonts w:cs="Tahoma"/>
          <w:sz w:val="18"/>
          <w:szCs w:val="18"/>
        </w:rPr>
        <w:t>Ibid</w:t>
      </w:r>
      <w:r w:rsidRPr="00D3513A">
        <w:rPr>
          <w:rFonts w:cs="Tahoma"/>
          <w:sz w:val="18"/>
          <w:szCs w:val="18"/>
        </w:rPr>
        <w:t>, p.175</w:t>
      </w:r>
      <w:r w:rsidR="00141F36">
        <w:rPr>
          <w:rFonts w:cs="Tahoma"/>
          <w:sz w:val="18"/>
          <w:szCs w:val="18"/>
        </w:rPr>
        <w:t>.</w:t>
      </w:r>
    </w:p>
  </w:footnote>
  <w:footnote w:id="17">
    <w:p w:rsidR="00CB7ED0" w:rsidRPr="00D3513A" w:rsidRDefault="00CB7ED0" w:rsidP="00CB7ED0">
      <w:pPr>
        <w:pStyle w:val="FootnoteText"/>
        <w:spacing w:after="0"/>
        <w:rPr>
          <w:rFonts w:cs="Tahoma"/>
          <w:sz w:val="18"/>
          <w:szCs w:val="18"/>
        </w:rPr>
      </w:pPr>
      <w:r w:rsidRPr="00D3513A">
        <w:rPr>
          <w:rStyle w:val="FootnoteReference"/>
          <w:rFonts w:cs="Tahoma"/>
          <w:sz w:val="18"/>
          <w:szCs w:val="18"/>
        </w:rPr>
        <w:footnoteRef/>
      </w:r>
      <w:r w:rsidRPr="00D3513A">
        <w:rPr>
          <w:rFonts w:cs="Tahoma"/>
          <w:sz w:val="18"/>
          <w:szCs w:val="18"/>
        </w:rPr>
        <w:t xml:space="preserve"> Commissioner for Children and Young People </w:t>
      </w:r>
      <w:r w:rsidR="00141F36">
        <w:rPr>
          <w:rFonts w:cs="Tahoma"/>
          <w:sz w:val="18"/>
          <w:szCs w:val="18"/>
        </w:rPr>
        <w:t xml:space="preserve">WA </w:t>
      </w:r>
      <w:r w:rsidRPr="00D3513A">
        <w:rPr>
          <w:rFonts w:cs="Tahoma"/>
          <w:sz w:val="18"/>
          <w:szCs w:val="18"/>
        </w:rPr>
        <w:t xml:space="preserve">2011, </w:t>
      </w:r>
      <w:r w:rsidRPr="00D3513A">
        <w:rPr>
          <w:rFonts w:cs="Tahoma"/>
          <w:i/>
          <w:sz w:val="18"/>
          <w:szCs w:val="18"/>
        </w:rPr>
        <w:t xml:space="preserve">Report of the Inquiry into the mental health and wellbeing of children and young people in Western Australia, </w:t>
      </w:r>
      <w:r w:rsidRPr="00D3513A">
        <w:rPr>
          <w:rFonts w:cs="Tahoma"/>
          <w:sz w:val="18"/>
          <w:szCs w:val="18"/>
        </w:rPr>
        <w:t xml:space="preserve">Commissioner for Children and Young People WA, </w:t>
      </w:r>
      <w:r w:rsidR="00C74646">
        <w:rPr>
          <w:rFonts w:cs="Tahoma"/>
          <w:sz w:val="18"/>
          <w:szCs w:val="18"/>
        </w:rPr>
        <w:t xml:space="preserve">Perth, </w:t>
      </w:r>
      <w:r w:rsidRPr="00D3513A">
        <w:rPr>
          <w:rFonts w:cs="Tahoma"/>
          <w:sz w:val="18"/>
          <w:szCs w:val="18"/>
        </w:rPr>
        <w:t>p.81. The figure was stated in a submission from the Inspector of Custodial Services.</w:t>
      </w:r>
    </w:p>
  </w:footnote>
  <w:footnote w:id="18">
    <w:p w:rsidR="00CB7ED0" w:rsidRPr="00D3513A" w:rsidRDefault="00CB7ED0" w:rsidP="00CB7ED0">
      <w:pPr>
        <w:pStyle w:val="FootnoteText"/>
        <w:spacing w:after="0"/>
        <w:rPr>
          <w:rFonts w:cs="Tahoma"/>
          <w:sz w:val="18"/>
          <w:szCs w:val="18"/>
        </w:rPr>
      </w:pPr>
      <w:r w:rsidRPr="00D3513A">
        <w:rPr>
          <w:rStyle w:val="FootnoteReference"/>
          <w:rFonts w:cs="Tahoma"/>
          <w:sz w:val="18"/>
          <w:szCs w:val="18"/>
        </w:rPr>
        <w:footnoteRef/>
      </w:r>
      <w:r w:rsidRPr="00D3513A">
        <w:rPr>
          <w:rFonts w:cs="Tahoma"/>
          <w:sz w:val="18"/>
          <w:szCs w:val="18"/>
        </w:rPr>
        <w:t xml:space="preserve"> Richards K 2011, </w:t>
      </w:r>
      <w:r w:rsidRPr="00D3513A">
        <w:rPr>
          <w:rFonts w:cs="Tahoma"/>
          <w:i/>
          <w:sz w:val="18"/>
          <w:szCs w:val="18"/>
        </w:rPr>
        <w:t xml:space="preserve">What makes juvenile offenders different from adult offenders?, </w:t>
      </w:r>
      <w:r w:rsidRPr="00D3513A">
        <w:rPr>
          <w:rFonts w:cs="Tahoma"/>
          <w:sz w:val="18"/>
          <w:szCs w:val="18"/>
        </w:rPr>
        <w:t xml:space="preserve">Trends and issues in crime and criminal justice, no. 409, </w:t>
      </w:r>
      <w:r w:rsidR="00141F36" w:rsidRPr="00D3513A">
        <w:rPr>
          <w:rFonts w:cs="Tahoma"/>
          <w:sz w:val="18"/>
          <w:szCs w:val="18"/>
        </w:rPr>
        <w:t>Australian Institute of Criminology,</w:t>
      </w:r>
      <w:r w:rsidR="00141F36">
        <w:rPr>
          <w:rFonts w:cs="Tahoma"/>
          <w:sz w:val="18"/>
          <w:szCs w:val="18"/>
        </w:rPr>
        <w:t xml:space="preserve"> </w:t>
      </w:r>
      <w:r w:rsidR="00BC51DE">
        <w:rPr>
          <w:rFonts w:cs="Tahoma"/>
          <w:sz w:val="18"/>
          <w:szCs w:val="18"/>
        </w:rPr>
        <w:t xml:space="preserve">Canberra, </w:t>
      </w:r>
      <w:r w:rsidRPr="00D3513A">
        <w:rPr>
          <w:rFonts w:cs="Tahoma"/>
          <w:sz w:val="18"/>
          <w:szCs w:val="18"/>
        </w:rPr>
        <w:t>p.4</w:t>
      </w:r>
      <w:r w:rsidR="00C74646">
        <w:rPr>
          <w:rFonts w:cs="Tahoma"/>
          <w:sz w:val="18"/>
          <w:szCs w:val="18"/>
        </w:rPr>
        <w:t>.</w:t>
      </w:r>
    </w:p>
  </w:footnote>
  <w:footnote w:id="19">
    <w:p w:rsidR="00936851" w:rsidRPr="00E55664" w:rsidRDefault="00936851" w:rsidP="00936851">
      <w:pPr>
        <w:pStyle w:val="FootnoteText"/>
        <w:spacing w:after="0"/>
        <w:rPr>
          <w:sz w:val="18"/>
          <w:szCs w:val="18"/>
        </w:rPr>
      </w:pPr>
      <w:r w:rsidRPr="00E55664">
        <w:rPr>
          <w:rStyle w:val="FootnoteReference"/>
          <w:sz w:val="18"/>
          <w:szCs w:val="18"/>
        </w:rPr>
        <w:footnoteRef/>
      </w:r>
      <w:r w:rsidRPr="00E55664">
        <w:rPr>
          <w:sz w:val="18"/>
          <w:szCs w:val="18"/>
        </w:rPr>
        <w:t xml:space="preserve"> </w:t>
      </w:r>
      <w:r w:rsidRPr="00E55664">
        <w:rPr>
          <w:rFonts w:cs="Tahoma"/>
          <w:sz w:val="18"/>
          <w:szCs w:val="18"/>
        </w:rPr>
        <w:t xml:space="preserve">The </w:t>
      </w:r>
      <w:r w:rsidRPr="00E55664">
        <w:rPr>
          <w:rFonts w:cs="Tahoma"/>
          <w:i/>
          <w:sz w:val="18"/>
          <w:szCs w:val="18"/>
        </w:rPr>
        <w:t xml:space="preserve">Report of the Inquiry into the mental health and wellbeing of children and young people in Western Australia </w:t>
      </w:r>
      <w:r w:rsidRPr="00E55664">
        <w:rPr>
          <w:rFonts w:cs="Tahoma"/>
          <w:sz w:val="18"/>
          <w:szCs w:val="18"/>
        </w:rPr>
        <w:t xml:space="preserve">is available: </w:t>
      </w:r>
      <w:r w:rsidR="00E26BBA" w:rsidRPr="009D0098">
        <w:rPr>
          <w:rFonts w:cs="Tahoma"/>
          <w:sz w:val="18"/>
          <w:szCs w:val="18"/>
        </w:rPr>
        <w:t>http://www.ccyp.wa.gov.au/files/MentalWellbeingInquiry/CCYP%20Mental%20Health%20Inquiry%20-%20Report%20to%20Parliament.pdf</w:t>
      </w:r>
      <w:r w:rsidR="00E26BBA">
        <w:rPr>
          <w:rFonts w:cs="Tahoma"/>
          <w:sz w:val="18"/>
          <w:szCs w:val="18"/>
        </w:rPr>
        <w:t xml:space="preserve"> </w:t>
      </w:r>
    </w:p>
  </w:footnote>
  <w:footnote w:id="20">
    <w:p w:rsidR="00B111DB" w:rsidRPr="00B111DB" w:rsidRDefault="00B111DB" w:rsidP="00B111DB">
      <w:pPr>
        <w:pStyle w:val="FootnoteText"/>
        <w:spacing w:after="0"/>
        <w:rPr>
          <w:rFonts w:cs="Tahoma"/>
          <w:sz w:val="18"/>
          <w:szCs w:val="18"/>
        </w:rPr>
      </w:pPr>
      <w:r w:rsidRPr="00B111DB">
        <w:rPr>
          <w:rStyle w:val="FootnoteReference"/>
          <w:rFonts w:cs="Tahoma"/>
          <w:sz w:val="18"/>
          <w:szCs w:val="18"/>
        </w:rPr>
        <w:footnoteRef/>
      </w:r>
      <w:r w:rsidR="00C74646">
        <w:rPr>
          <w:rFonts w:cs="Tahoma"/>
          <w:sz w:val="18"/>
          <w:szCs w:val="18"/>
        </w:rPr>
        <w:t xml:space="preserve"> </w:t>
      </w:r>
      <w:r w:rsidRPr="00B111DB">
        <w:rPr>
          <w:rFonts w:cs="Tahoma"/>
          <w:sz w:val="18"/>
          <w:szCs w:val="18"/>
        </w:rPr>
        <w:t xml:space="preserve">Mental Health Commission </w:t>
      </w:r>
      <w:r w:rsidR="00C74646">
        <w:rPr>
          <w:rFonts w:cs="Tahoma"/>
          <w:sz w:val="18"/>
          <w:szCs w:val="18"/>
        </w:rPr>
        <w:t xml:space="preserve">(WA) </w:t>
      </w:r>
      <w:r w:rsidRPr="00B111DB">
        <w:rPr>
          <w:rFonts w:cs="Tahoma"/>
          <w:sz w:val="18"/>
          <w:szCs w:val="18"/>
        </w:rPr>
        <w:t xml:space="preserve">2010, </w:t>
      </w:r>
      <w:r w:rsidRPr="00B111DB">
        <w:rPr>
          <w:rFonts w:cs="Tahoma"/>
          <w:i/>
          <w:sz w:val="18"/>
          <w:szCs w:val="18"/>
        </w:rPr>
        <w:t>People with Exceptionally Complex Needs (PECN): Interim Evaluation Report</w:t>
      </w:r>
      <w:r w:rsidRPr="00B111DB">
        <w:rPr>
          <w:rFonts w:cs="Tahoma"/>
          <w:sz w:val="18"/>
          <w:szCs w:val="18"/>
        </w:rPr>
        <w:t xml:space="preserve">, 2010, </w:t>
      </w:r>
      <w:r w:rsidR="00C74646">
        <w:rPr>
          <w:rFonts w:cs="Tahoma"/>
          <w:sz w:val="18"/>
          <w:szCs w:val="18"/>
        </w:rPr>
        <w:t xml:space="preserve">Mental Health Commission, Perth, </w:t>
      </w:r>
      <w:r w:rsidRPr="00B111DB">
        <w:rPr>
          <w:rFonts w:cs="Tahoma"/>
          <w:sz w:val="18"/>
          <w:szCs w:val="18"/>
        </w:rPr>
        <w:t>p.6</w:t>
      </w:r>
      <w:r w:rsidR="00C74646">
        <w:rPr>
          <w:rFonts w:cs="Tahoma"/>
          <w:sz w:val="18"/>
          <w:szCs w:val="18"/>
        </w:rPr>
        <w:t>.</w:t>
      </w:r>
      <w:r w:rsidRPr="00B111DB">
        <w:rPr>
          <w:rFonts w:cs="Tahoma"/>
          <w:sz w:val="18"/>
          <w:szCs w:val="18"/>
        </w:rPr>
        <w:t xml:space="preserve"> </w:t>
      </w:r>
    </w:p>
  </w:footnote>
  <w:footnote w:id="21">
    <w:p w:rsidR="00B111DB" w:rsidRPr="00B111DB" w:rsidRDefault="00B111DB" w:rsidP="00B111DB">
      <w:pPr>
        <w:pStyle w:val="FootnoteText"/>
        <w:spacing w:after="0"/>
        <w:rPr>
          <w:rFonts w:cs="Tahoma"/>
          <w:sz w:val="18"/>
          <w:szCs w:val="18"/>
        </w:rPr>
      </w:pPr>
      <w:r w:rsidRPr="00B111DB">
        <w:rPr>
          <w:rStyle w:val="FootnoteReference"/>
          <w:rFonts w:cs="Tahoma"/>
          <w:sz w:val="18"/>
          <w:szCs w:val="18"/>
        </w:rPr>
        <w:footnoteRef/>
      </w:r>
      <w:r w:rsidR="00C74646">
        <w:rPr>
          <w:rFonts w:cs="Tahoma"/>
          <w:sz w:val="18"/>
          <w:szCs w:val="18"/>
        </w:rPr>
        <w:t xml:space="preserve"> Ibid</w:t>
      </w:r>
      <w:r w:rsidRPr="00B111DB">
        <w:rPr>
          <w:rFonts w:cs="Tahoma"/>
          <w:sz w:val="18"/>
          <w:szCs w:val="18"/>
        </w:rPr>
        <w:t>, p.12</w:t>
      </w:r>
      <w:r w:rsidR="00574EEA">
        <w:rPr>
          <w:rFonts w:cs="Tahoma"/>
          <w:sz w:val="18"/>
          <w:szCs w:val="18"/>
        </w:rPr>
        <w:t>.</w:t>
      </w:r>
    </w:p>
  </w:footnote>
  <w:footnote w:id="22">
    <w:p w:rsidR="006A096D" w:rsidRPr="006A096D" w:rsidRDefault="006A096D">
      <w:pPr>
        <w:pStyle w:val="FootnoteText"/>
        <w:rPr>
          <w:sz w:val="18"/>
          <w:szCs w:val="18"/>
        </w:rPr>
      </w:pPr>
      <w:r w:rsidRPr="006A096D">
        <w:rPr>
          <w:rStyle w:val="FootnoteReference"/>
          <w:sz w:val="18"/>
          <w:szCs w:val="18"/>
        </w:rPr>
        <w:footnoteRef/>
      </w:r>
      <w:r w:rsidRPr="006A096D">
        <w:rPr>
          <w:sz w:val="18"/>
          <w:szCs w:val="18"/>
        </w:rPr>
        <w:t xml:space="preserve"> </w:t>
      </w:r>
      <w:r>
        <w:rPr>
          <w:sz w:val="18"/>
          <w:szCs w:val="18"/>
        </w:rPr>
        <w:t xml:space="preserve">Mental Health Commission 2013, ‘Program </w:t>
      </w:r>
      <w:r w:rsidRPr="006A096D">
        <w:rPr>
          <w:i/>
          <w:sz w:val="18"/>
          <w:szCs w:val="18"/>
        </w:rPr>
        <w:t>Links</w:t>
      </w:r>
      <w:r>
        <w:rPr>
          <w:sz w:val="18"/>
          <w:szCs w:val="18"/>
        </w:rPr>
        <w:t xml:space="preserve"> young offenders with mental health support’ </w:t>
      </w:r>
      <w:r>
        <w:rPr>
          <w:i/>
          <w:sz w:val="18"/>
          <w:szCs w:val="18"/>
        </w:rPr>
        <w:t xml:space="preserve">head2head, </w:t>
      </w:r>
      <w:r>
        <w:rPr>
          <w:sz w:val="18"/>
          <w:szCs w:val="18"/>
        </w:rPr>
        <w:t xml:space="preserve">Mental Health Commission, </w:t>
      </w:r>
      <w:r w:rsidR="00574EEA">
        <w:rPr>
          <w:sz w:val="18"/>
          <w:szCs w:val="18"/>
        </w:rPr>
        <w:t xml:space="preserve">Perth, </w:t>
      </w:r>
      <w:r w:rsidRPr="006A096D">
        <w:rPr>
          <w:sz w:val="18"/>
          <w:szCs w:val="18"/>
        </w:rPr>
        <w:t>pp. 8–9.</w:t>
      </w:r>
    </w:p>
  </w:footnote>
  <w:footnote w:id="23">
    <w:p w:rsidR="00B239B0" w:rsidRPr="00B239B0" w:rsidRDefault="00B239B0">
      <w:pPr>
        <w:pStyle w:val="FootnoteText"/>
        <w:rPr>
          <w:rStyle w:val="FootnoteReference"/>
          <w:rFonts w:cs="Tahoma"/>
          <w:sz w:val="18"/>
          <w:szCs w:val="18"/>
        </w:rPr>
      </w:pPr>
      <w:r w:rsidRPr="00B239B0">
        <w:rPr>
          <w:rStyle w:val="FootnoteReference"/>
          <w:sz w:val="18"/>
          <w:szCs w:val="18"/>
        </w:rPr>
        <w:footnoteRef/>
      </w:r>
      <w:r w:rsidRPr="00B239B0">
        <w:rPr>
          <w:sz w:val="18"/>
          <w:szCs w:val="18"/>
        </w:rPr>
        <w:t xml:space="preserve"> Information provided by Disability Service Commission at an information and consultation session 31 July 2013. See also information available on the Disability Services Commission</w:t>
      </w:r>
      <w:r w:rsidRPr="00B239B0">
        <w:rPr>
          <w:rStyle w:val="FootnoteReference"/>
          <w:rFonts w:cs="Tahoma"/>
          <w:sz w:val="18"/>
          <w:szCs w:val="18"/>
          <w:vertAlign w:val="baseline"/>
        </w:rPr>
        <w:t xml:space="preserve"> website: </w:t>
      </w:r>
      <w:r w:rsidR="005C6DA5" w:rsidRPr="005C6DA5">
        <w:rPr>
          <w:rFonts w:cs="Tahoma"/>
          <w:sz w:val="18"/>
          <w:szCs w:val="18"/>
        </w:rPr>
        <w:t>http://www.disability.wa.gov.au/reform1/reform/disability-justice-centres/</w:t>
      </w:r>
      <w:r w:rsidR="005C6DA5">
        <w:rPr>
          <w:rFonts w:cs="Tahoma"/>
          <w:sz w:val="18"/>
          <w:szCs w:val="18"/>
        </w:rPr>
        <w:t xml:space="preserve"> </w:t>
      </w:r>
      <w:r w:rsidRPr="00B239B0">
        <w:rPr>
          <w:rStyle w:val="FootnoteReference"/>
          <w:rFonts w:cs="Tahoma"/>
          <w:sz w:val="18"/>
          <w:szCs w:val="18"/>
        </w:rPr>
        <w:t xml:space="preserve"> </w:t>
      </w:r>
    </w:p>
  </w:footnote>
  <w:footnote w:id="24">
    <w:p w:rsidR="00F04651" w:rsidRPr="00F04651" w:rsidRDefault="00F04651" w:rsidP="00F04651">
      <w:pPr>
        <w:pStyle w:val="FootnoteText"/>
        <w:rPr>
          <w:sz w:val="18"/>
          <w:szCs w:val="18"/>
        </w:rPr>
      </w:pPr>
      <w:r w:rsidRPr="00EB402E">
        <w:rPr>
          <w:rStyle w:val="FootnoteReference"/>
          <w:sz w:val="18"/>
          <w:szCs w:val="18"/>
        </w:rPr>
        <w:footnoteRef/>
      </w:r>
      <w:r w:rsidRPr="00EB402E">
        <w:rPr>
          <w:sz w:val="18"/>
          <w:szCs w:val="18"/>
        </w:rPr>
        <w:t xml:space="preserve"> </w:t>
      </w:r>
      <w:r>
        <w:rPr>
          <w:sz w:val="18"/>
          <w:szCs w:val="18"/>
        </w:rPr>
        <w:t>Western Australian Council of Social Service (</w:t>
      </w:r>
      <w:r w:rsidRPr="00EB402E">
        <w:rPr>
          <w:sz w:val="18"/>
          <w:szCs w:val="18"/>
        </w:rPr>
        <w:t>WACOSS</w:t>
      </w:r>
      <w:r>
        <w:rPr>
          <w:sz w:val="18"/>
          <w:szCs w:val="18"/>
        </w:rPr>
        <w:t>), Youth Affairs Council of Western Australia &amp; Youth Legal Service</w:t>
      </w:r>
      <w:r w:rsidRPr="00EB402E">
        <w:rPr>
          <w:sz w:val="18"/>
          <w:szCs w:val="18"/>
        </w:rPr>
        <w:t xml:space="preserve"> 2013, </w:t>
      </w:r>
      <w:r w:rsidRPr="00EB402E">
        <w:rPr>
          <w:i/>
          <w:sz w:val="18"/>
          <w:szCs w:val="18"/>
        </w:rPr>
        <w:t>The report and recommendations of the 2012 Youth Justice Think Tank</w:t>
      </w:r>
      <w:r>
        <w:rPr>
          <w:i/>
          <w:sz w:val="18"/>
          <w:szCs w:val="18"/>
        </w:rPr>
        <w:t xml:space="preserve">, </w:t>
      </w:r>
      <w:r w:rsidRPr="00F04651">
        <w:rPr>
          <w:sz w:val="18"/>
          <w:szCs w:val="18"/>
        </w:rPr>
        <w:t>WACOSS</w:t>
      </w:r>
      <w:r>
        <w:rPr>
          <w:sz w:val="18"/>
          <w:szCs w:val="18"/>
        </w:rPr>
        <w:t xml:space="preserve">, Available: </w:t>
      </w:r>
      <w:r w:rsidRPr="00F04651">
        <w:rPr>
          <w:sz w:val="18"/>
          <w:szCs w:val="18"/>
        </w:rPr>
        <w:t>http://www.wacoss.org.au/Libraries/State_Election_2013_Documents/Youth_Justice_Think_Tank_Report.sflb.ashx</w:t>
      </w:r>
      <w:r>
        <w:rPr>
          <w:sz w:val="18"/>
          <w:szCs w:val="18"/>
        </w:rPr>
        <w:t xml:space="preserve"> </w:t>
      </w:r>
    </w:p>
  </w:footnote>
  <w:footnote w:id="25">
    <w:p w:rsidR="00973036" w:rsidRPr="00973036" w:rsidRDefault="00973036" w:rsidP="00973036">
      <w:pPr>
        <w:spacing w:after="0"/>
        <w:rPr>
          <w:sz w:val="18"/>
          <w:szCs w:val="18"/>
        </w:rPr>
      </w:pPr>
      <w:r w:rsidRPr="00973036">
        <w:rPr>
          <w:rStyle w:val="FootnoteReference"/>
          <w:sz w:val="18"/>
          <w:szCs w:val="18"/>
        </w:rPr>
        <w:footnoteRef/>
      </w:r>
      <w:r w:rsidRPr="00973036">
        <w:rPr>
          <w:sz w:val="18"/>
          <w:szCs w:val="18"/>
        </w:rPr>
        <w:t xml:space="preserve"> Smith G and Gallacher M 2013, </w:t>
      </w:r>
      <w:r w:rsidRPr="00973036">
        <w:rPr>
          <w:i/>
          <w:iCs/>
          <w:sz w:val="18"/>
          <w:szCs w:val="18"/>
        </w:rPr>
        <w:t xml:space="preserve">Early Intervention to keep youth on track, </w:t>
      </w:r>
      <w:r>
        <w:rPr>
          <w:sz w:val="18"/>
          <w:szCs w:val="18"/>
        </w:rPr>
        <w:t>Ministerial Media Statements, NSW</w:t>
      </w:r>
      <w:r w:rsidR="00574EEA">
        <w:rPr>
          <w:sz w:val="18"/>
          <w:szCs w:val="18"/>
        </w:rPr>
        <w:t xml:space="preserve"> </w:t>
      </w:r>
      <w:r>
        <w:rPr>
          <w:sz w:val="18"/>
          <w:szCs w:val="18"/>
        </w:rPr>
        <w:t xml:space="preserve">Government </w:t>
      </w:r>
      <w:r w:rsidRPr="00973036">
        <w:rPr>
          <w:sz w:val="18"/>
          <w:szCs w:val="18"/>
        </w:rPr>
        <w:t xml:space="preserve"> &lt;http://www.lawlink.nsw.gov.au/lawlink/Corporate/ll_corporate.nsf/vwFiles/27022013_MR13_Youth_on_Track.pdf/$file/27022013_MR13_Youth_on_Track.pdf&gt; </w:t>
      </w:r>
    </w:p>
  </w:footnote>
  <w:footnote w:id="26">
    <w:p w:rsidR="00447C28" w:rsidRPr="0097303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Commissioner for Children and Young People </w:t>
      </w:r>
      <w:r w:rsidR="00855CA0">
        <w:rPr>
          <w:rFonts w:cs="Tahoma"/>
          <w:sz w:val="18"/>
          <w:szCs w:val="18"/>
        </w:rPr>
        <w:t>WA 2013</w:t>
      </w:r>
      <w:r w:rsidRPr="00973036">
        <w:rPr>
          <w:rFonts w:cs="Tahoma"/>
          <w:sz w:val="18"/>
          <w:szCs w:val="18"/>
        </w:rPr>
        <w:t xml:space="preserve">, </w:t>
      </w:r>
      <w:r w:rsidRPr="00973036">
        <w:rPr>
          <w:rFonts w:cs="Tahoma"/>
          <w:i/>
          <w:sz w:val="18"/>
          <w:szCs w:val="18"/>
        </w:rPr>
        <w:t xml:space="preserve">Youth Justice, </w:t>
      </w:r>
      <w:r w:rsidR="00855CA0">
        <w:rPr>
          <w:rFonts w:cs="Tahoma"/>
          <w:sz w:val="18"/>
          <w:szCs w:val="18"/>
        </w:rPr>
        <w:t>Policy Brief May 2013</w:t>
      </w:r>
      <w:r w:rsidRPr="00973036">
        <w:rPr>
          <w:rFonts w:cs="Tahoma"/>
          <w:sz w:val="18"/>
          <w:szCs w:val="18"/>
        </w:rPr>
        <w:t>,</w:t>
      </w:r>
      <w:r w:rsidR="00973036">
        <w:rPr>
          <w:rFonts w:cs="Tahoma"/>
          <w:sz w:val="18"/>
          <w:szCs w:val="18"/>
        </w:rPr>
        <w:t xml:space="preserve"> </w:t>
      </w:r>
      <w:r w:rsidR="00855CA0">
        <w:rPr>
          <w:rFonts w:cs="Tahoma"/>
          <w:sz w:val="18"/>
          <w:szCs w:val="18"/>
        </w:rPr>
        <w:t xml:space="preserve">Available: </w:t>
      </w:r>
      <w:r w:rsidR="00855CA0" w:rsidRPr="00855CA0">
        <w:rPr>
          <w:rFonts w:cs="Tahoma"/>
          <w:sz w:val="18"/>
          <w:szCs w:val="18"/>
        </w:rPr>
        <w:t>http://www.ccyp.wa.gov.au/files/IssuesPapers/Youth%20Justice%20Issues%20Paper%20May%202013.pdf</w:t>
      </w:r>
      <w:r w:rsidR="00855CA0">
        <w:rPr>
          <w:rFonts w:cs="Tahoma"/>
          <w:sz w:val="18"/>
          <w:szCs w:val="18"/>
        </w:rPr>
        <w:t xml:space="preserve"> </w:t>
      </w:r>
    </w:p>
  </w:footnote>
  <w:footnote w:id="27">
    <w:p w:rsidR="00447C28" w:rsidRPr="0097303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Blagg H 2009, </w:t>
      </w:r>
      <w:r w:rsidRPr="00973036">
        <w:rPr>
          <w:rFonts w:cs="Tahoma"/>
          <w:i/>
          <w:sz w:val="18"/>
          <w:szCs w:val="18"/>
        </w:rPr>
        <w:t>Youth Justice in Western Australia</w:t>
      </w:r>
      <w:r w:rsidRPr="00973036">
        <w:rPr>
          <w:rFonts w:cs="Tahoma"/>
          <w:sz w:val="18"/>
          <w:szCs w:val="18"/>
        </w:rPr>
        <w:t xml:space="preserve">, Commissioner for Children and Young People WA, p.6. </w:t>
      </w:r>
      <w:r w:rsidR="00855CA0">
        <w:rPr>
          <w:rFonts w:cs="Tahoma"/>
          <w:sz w:val="18"/>
          <w:szCs w:val="18"/>
        </w:rPr>
        <w:t xml:space="preserve">Available: </w:t>
      </w:r>
      <w:r w:rsidR="00855CA0" w:rsidRPr="00855CA0">
        <w:rPr>
          <w:rFonts w:cs="Tahoma"/>
          <w:sz w:val="18"/>
          <w:szCs w:val="18"/>
        </w:rPr>
        <w:t>http://www.ccyp.wa.gov.au/files/2009-Harry%20Blagg%20report%20-%20Youth%20Justice%20in%20Western%20Australia.pdf</w:t>
      </w:r>
      <w:r w:rsidR="00855CA0">
        <w:rPr>
          <w:rFonts w:cs="Tahoma"/>
          <w:sz w:val="18"/>
          <w:szCs w:val="18"/>
        </w:rPr>
        <w:t xml:space="preserve"> </w:t>
      </w:r>
    </w:p>
  </w:footnote>
  <w:footnote w:id="28">
    <w:p w:rsidR="00447C28" w:rsidRPr="0097303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Commissioner for Children and Young People </w:t>
      </w:r>
      <w:r w:rsidR="00855CA0">
        <w:rPr>
          <w:rFonts w:cs="Tahoma"/>
          <w:sz w:val="18"/>
          <w:szCs w:val="18"/>
        </w:rPr>
        <w:t xml:space="preserve">WA </w:t>
      </w:r>
      <w:r w:rsidRPr="00973036">
        <w:rPr>
          <w:rFonts w:cs="Tahoma"/>
          <w:sz w:val="18"/>
          <w:szCs w:val="18"/>
        </w:rPr>
        <w:t xml:space="preserve">2010, </w:t>
      </w:r>
      <w:r w:rsidRPr="00973036">
        <w:rPr>
          <w:rFonts w:cs="Tahoma"/>
          <w:i/>
          <w:sz w:val="18"/>
          <w:szCs w:val="18"/>
        </w:rPr>
        <w:t xml:space="preserve">Annual Report 2009-2010, </w:t>
      </w:r>
      <w:r w:rsidR="004E1DE9" w:rsidRPr="00973036">
        <w:rPr>
          <w:rFonts w:cs="Tahoma"/>
          <w:sz w:val="18"/>
          <w:szCs w:val="18"/>
        </w:rPr>
        <w:t>pp.16 and 44</w:t>
      </w:r>
      <w:r w:rsidR="004E1DE9">
        <w:rPr>
          <w:rFonts w:cs="Tahoma"/>
          <w:sz w:val="18"/>
          <w:szCs w:val="18"/>
        </w:rPr>
        <w:t xml:space="preserve">, Available: </w:t>
      </w:r>
      <w:r w:rsidR="00855CA0" w:rsidRPr="00855CA0">
        <w:rPr>
          <w:rFonts w:cs="Tahoma"/>
          <w:i/>
          <w:sz w:val="18"/>
          <w:szCs w:val="18"/>
        </w:rPr>
        <w:t xml:space="preserve">http://www.ccyp.wa.gov.au/files/Annual%20Report%202010/Annual%20Report%202009-10%20-%20FINAL.pdf </w:t>
      </w:r>
    </w:p>
  </w:footnote>
  <w:footnote w:id="29">
    <w:p w:rsidR="00447C28" w:rsidRPr="0097303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Commissioner for Children and Young People 2010, </w:t>
      </w:r>
      <w:r w:rsidRPr="00973036">
        <w:rPr>
          <w:rFonts w:cs="Tahoma"/>
          <w:i/>
          <w:sz w:val="18"/>
          <w:szCs w:val="18"/>
        </w:rPr>
        <w:t xml:space="preserve">Submission to the Department of the Attorney </w:t>
      </w:r>
      <w:r w:rsidRPr="004E1DE9">
        <w:rPr>
          <w:rFonts w:cs="Tahoma"/>
          <w:i/>
          <w:sz w:val="18"/>
          <w:szCs w:val="18"/>
        </w:rPr>
        <w:t>General’s review of the Bail Act 1982:</w:t>
      </w:r>
      <w:r w:rsidRPr="00973036">
        <w:rPr>
          <w:rFonts w:cs="Tahoma"/>
          <w:sz w:val="18"/>
          <w:szCs w:val="18"/>
        </w:rPr>
        <w:t xml:space="preserve"> </w:t>
      </w:r>
      <w:r w:rsidRPr="00973036">
        <w:rPr>
          <w:rFonts w:cs="Tahoma"/>
          <w:i/>
          <w:sz w:val="18"/>
          <w:szCs w:val="18"/>
        </w:rPr>
        <w:t xml:space="preserve">Issues Paper and Questions, </w:t>
      </w:r>
      <w:r w:rsidRPr="00973036">
        <w:rPr>
          <w:rFonts w:cs="Tahoma"/>
          <w:sz w:val="18"/>
          <w:szCs w:val="18"/>
        </w:rPr>
        <w:t>pp.30-32</w:t>
      </w:r>
      <w:r w:rsidR="004E1DE9">
        <w:rPr>
          <w:rFonts w:cs="Tahoma"/>
          <w:sz w:val="18"/>
          <w:szCs w:val="18"/>
        </w:rPr>
        <w:t>, Available:</w:t>
      </w:r>
      <w:r w:rsidR="00DF2426">
        <w:rPr>
          <w:rFonts w:cs="Tahoma"/>
          <w:sz w:val="18"/>
          <w:szCs w:val="18"/>
        </w:rPr>
        <w:t xml:space="preserve"> </w:t>
      </w:r>
      <w:r w:rsidR="00DF2426" w:rsidRPr="00DF2426">
        <w:rPr>
          <w:rFonts w:cs="Tahoma"/>
          <w:sz w:val="18"/>
          <w:szCs w:val="18"/>
        </w:rPr>
        <w:t>http://www.ccyp.wa.gov.au/files/resource/Submission%20to%20the%20Department%20of%20the%20Attorney%20General's%20review%20of%20the%20Bail%20Act%201982%20(WA).pdf</w:t>
      </w:r>
      <w:r w:rsidR="00DF2426">
        <w:rPr>
          <w:rFonts w:cs="Tahoma"/>
          <w:sz w:val="18"/>
          <w:szCs w:val="18"/>
        </w:rPr>
        <w:t xml:space="preserve"> </w:t>
      </w:r>
    </w:p>
  </w:footnote>
  <w:footnote w:id="30">
    <w:p w:rsidR="00447C28" w:rsidRPr="0097303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Letter, Commissioner for Children and Young People</w:t>
      </w:r>
      <w:r w:rsidR="00DF2426">
        <w:rPr>
          <w:rFonts w:cs="Tahoma"/>
          <w:sz w:val="18"/>
          <w:szCs w:val="18"/>
        </w:rPr>
        <w:t xml:space="preserve"> WA</w:t>
      </w:r>
      <w:r w:rsidRPr="00973036">
        <w:rPr>
          <w:rFonts w:cs="Tahoma"/>
          <w:sz w:val="18"/>
          <w:szCs w:val="18"/>
        </w:rPr>
        <w:t xml:space="preserve"> to Attorney General, 22 October 2008</w:t>
      </w:r>
      <w:r w:rsidR="004E1DE9">
        <w:rPr>
          <w:rFonts w:cs="Tahoma"/>
          <w:sz w:val="18"/>
          <w:szCs w:val="18"/>
        </w:rPr>
        <w:t>.</w:t>
      </w:r>
    </w:p>
  </w:footnote>
  <w:footnote w:id="31">
    <w:p w:rsidR="00447C28" w:rsidRPr="00DF2426"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Commissioner for Children and Young People </w:t>
      </w:r>
      <w:r w:rsidR="00574EEA">
        <w:rPr>
          <w:rFonts w:cs="Tahoma"/>
          <w:sz w:val="18"/>
          <w:szCs w:val="18"/>
        </w:rPr>
        <w:t xml:space="preserve">WA </w:t>
      </w:r>
      <w:r w:rsidRPr="00973036">
        <w:rPr>
          <w:rFonts w:cs="Tahoma"/>
          <w:sz w:val="18"/>
          <w:szCs w:val="18"/>
        </w:rPr>
        <w:t xml:space="preserve">2009, </w:t>
      </w:r>
      <w:r w:rsidRPr="00973036">
        <w:rPr>
          <w:rFonts w:cs="Tahoma"/>
          <w:i/>
          <w:sz w:val="18"/>
          <w:szCs w:val="18"/>
        </w:rPr>
        <w:t>Submission to the Economic Audit Committee</w:t>
      </w:r>
      <w:r w:rsidR="00DF2426">
        <w:rPr>
          <w:rFonts w:cs="Tahoma"/>
          <w:i/>
          <w:sz w:val="18"/>
          <w:szCs w:val="18"/>
        </w:rPr>
        <w:t xml:space="preserve">, </w:t>
      </w:r>
      <w:r w:rsidR="00DF2426" w:rsidRPr="00DF2426">
        <w:rPr>
          <w:rFonts w:cs="Tahoma"/>
          <w:sz w:val="18"/>
          <w:szCs w:val="18"/>
        </w:rPr>
        <w:t xml:space="preserve">Available: http://www.ccyp.wa.gov.au/files/resource/Second%20Submission%20to%20the%20Economic%20Audit%20Committee%20-%2031%20August%202009.pdf </w:t>
      </w:r>
    </w:p>
  </w:footnote>
  <w:footnote w:id="32">
    <w:p w:rsidR="00447C28" w:rsidRPr="0091547A" w:rsidRDefault="00447C28" w:rsidP="00447C28">
      <w:pPr>
        <w:pStyle w:val="FootnoteText"/>
        <w:spacing w:after="0"/>
        <w:rPr>
          <w:rFonts w:cs="Tahoma"/>
          <w:sz w:val="18"/>
          <w:szCs w:val="18"/>
        </w:rPr>
      </w:pPr>
      <w:r w:rsidRPr="00973036">
        <w:rPr>
          <w:rStyle w:val="FootnoteReference"/>
          <w:rFonts w:cs="Tahoma"/>
          <w:sz w:val="18"/>
          <w:szCs w:val="18"/>
        </w:rPr>
        <w:footnoteRef/>
      </w:r>
      <w:r w:rsidRPr="00973036">
        <w:rPr>
          <w:rFonts w:cs="Tahoma"/>
          <w:sz w:val="18"/>
          <w:szCs w:val="18"/>
        </w:rPr>
        <w:t xml:space="preserve"> Blagg H 2009, </w:t>
      </w:r>
      <w:r w:rsidRPr="00973036">
        <w:rPr>
          <w:rFonts w:cs="Tahoma"/>
          <w:i/>
          <w:sz w:val="18"/>
          <w:szCs w:val="18"/>
        </w:rPr>
        <w:t xml:space="preserve">Youth Justice in Western Australia, </w:t>
      </w:r>
      <w:r w:rsidRPr="00973036">
        <w:rPr>
          <w:rFonts w:cs="Tahoma"/>
          <w:sz w:val="18"/>
          <w:szCs w:val="18"/>
        </w:rPr>
        <w:t>Commissioner for Children and Young People</w:t>
      </w:r>
      <w:r w:rsidRPr="0091547A">
        <w:rPr>
          <w:rFonts w:cs="Tahoma"/>
          <w:sz w:val="18"/>
          <w:szCs w:val="18"/>
        </w:rPr>
        <w:t>, p.8</w:t>
      </w:r>
      <w:r w:rsidR="00DF2426">
        <w:rPr>
          <w:rFonts w:cs="Tahoma"/>
          <w:sz w:val="18"/>
          <w:szCs w:val="18"/>
        </w:rPr>
        <w:t xml:space="preserve">, Available: </w:t>
      </w:r>
      <w:r w:rsidR="00DF2426" w:rsidRPr="00855CA0">
        <w:rPr>
          <w:rFonts w:cs="Tahoma"/>
          <w:sz w:val="18"/>
          <w:szCs w:val="18"/>
        </w:rPr>
        <w:t>http://www.ccyp.wa.gov.au/files/2009-Harry%20Blagg%20report%20-%20Youth%20Justice%20in%20Western%20Australia.pdf</w:t>
      </w:r>
      <w:r w:rsidR="00DF2426">
        <w:rPr>
          <w:rFonts w:cs="Tahoma"/>
          <w:sz w:val="18"/>
          <w:szCs w:val="18"/>
        </w:rPr>
        <w:t xml:space="preserve"> </w:t>
      </w:r>
    </w:p>
  </w:footnote>
  <w:footnote w:id="33">
    <w:p w:rsidR="00447C28" w:rsidRPr="0091547A" w:rsidRDefault="00447C28" w:rsidP="00447C28">
      <w:pPr>
        <w:pStyle w:val="FootnoteText"/>
        <w:spacing w:after="0"/>
        <w:rPr>
          <w:rFonts w:cs="Tahoma"/>
          <w:sz w:val="18"/>
          <w:szCs w:val="18"/>
        </w:rPr>
      </w:pPr>
      <w:r w:rsidRPr="0091547A">
        <w:rPr>
          <w:rStyle w:val="FootnoteReference"/>
          <w:rFonts w:cs="Tahoma"/>
          <w:sz w:val="18"/>
          <w:szCs w:val="18"/>
        </w:rPr>
        <w:footnoteRef/>
      </w:r>
      <w:r w:rsidRPr="0091547A">
        <w:rPr>
          <w:rFonts w:cs="Tahoma"/>
          <w:sz w:val="18"/>
          <w:szCs w:val="18"/>
        </w:rPr>
        <w:t xml:space="preserve"> Commissioner for Children and Young People </w:t>
      </w:r>
      <w:r w:rsidR="00DF2426">
        <w:rPr>
          <w:rFonts w:cs="Tahoma"/>
          <w:sz w:val="18"/>
          <w:szCs w:val="18"/>
        </w:rPr>
        <w:t xml:space="preserve">WA </w:t>
      </w:r>
      <w:r w:rsidRPr="0091547A">
        <w:rPr>
          <w:rFonts w:cs="Tahoma"/>
          <w:sz w:val="18"/>
          <w:szCs w:val="18"/>
        </w:rPr>
        <w:t xml:space="preserve">2011, </w:t>
      </w:r>
      <w:r w:rsidRPr="0091547A">
        <w:rPr>
          <w:rFonts w:cs="Tahoma"/>
          <w:i/>
          <w:sz w:val="18"/>
          <w:szCs w:val="18"/>
        </w:rPr>
        <w:t xml:space="preserve">Report of the Inquiry into the mental health and wellbeing of children and young people in Western Australia, </w:t>
      </w:r>
      <w:r w:rsidRPr="0091547A">
        <w:rPr>
          <w:rFonts w:cs="Tahoma"/>
          <w:sz w:val="18"/>
          <w:szCs w:val="18"/>
        </w:rPr>
        <w:t xml:space="preserve">Commissioner for Children and Young People </w:t>
      </w:r>
      <w:r w:rsidR="00DF2426">
        <w:rPr>
          <w:rFonts w:cs="Tahoma"/>
          <w:sz w:val="18"/>
          <w:szCs w:val="18"/>
        </w:rPr>
        <w:t>WA</w:t>
      </w:r>
      <w:r w:rsidRPr="0091547A">
        <w:rPr>
          <w:rFonts w:cs="Tahoma"/>
          <w:sz w:val="18"/>
          <w:szCs w:val="18"/>
        </w:rPr>
        <w:t xml:space="preserve">, </w:t>
      </w:r>
      <w:r w:rsidR="00DF2426">
        <w:rPr>
          <w:rFonts w:cs="Tahoma"/>
          <w:sz w:val="18"/>
          <w:szCs w:val="18"/>
        </w:rPr>
        <w:t xml:space="preserve">Perth, </w:t>
      </w:r>
      <w:r w:rsidRPr="0091547A">
        <w:rPr>
          <w:rFonts w:cs="Tahoma"/>
          <w:sz w:val="18"/>
          <w:szCs w:val="18"/>
        </w:rPr>
        <w:t>pp.80-83</w:t>
      </w:r>
      <w:r w:rsidR="00DF2426">
        <w:rPr>
          <w:rFonts w:cs="Tahom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CE" w:rsidRDefault="00370DCE" w:rsidP="00370DCE">
    <w:pPr>
      <w:pStyle w:val="NormalParagraphStyle"/>
      <w:tabs>
        <w:tab w:val="right" w:pos="8760"/>
      </w:tabs>
      <w:rPr>
        <w:rFonts w:cs="Tahoma"/>
        <w:spacing w:val="2"/>
        <w:sz w:val="16"/>
        <w:szCs w:val="16"/>
        <w:lang w:val="en-US"/>
      </w:rPr>
    </w:pPr>
  </w:p>
  <w:p w:rsidR="00545E41" w:rsidRDefault="00545E41" w:rsidP="00EF36E7">
    <w:pPr>
      <w:pStyle w:val="NormalParagraphStyle"/>
      <w:tabs>
        <w:tab w:val="right" w:pos="87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B7" w:rsidRPr="007E7F2C" w:rsidRDefault="004653B7" w:rsidP="00CC6E5E">
    <w:pPr>
      <w:pStyle w:val="Header"/>
      <w:spacing w:after="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01C"/>
    <w:multiLevelType w:val="hybridMultilevel"/>
    <w:tmpl w:val="79286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F72D56"/>
    <w:multiLevelType w:val="hybridMultilevel"/>
    <w:tmpl w:val="ECA65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824743"/>
    <w:multiLevelType w:val="hybridMultilevel"/>
    <w:tmpl w:val="40627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282819"/>
    <w:multiLevelType w:val="hybridMultilevel"/>
    <w:tmpl w:val="B860E8A2"/>
    <w:lvl w:ilvl="0" w:tplc="19287988">
      <w:start w:val="1"/>
      <w:numFmt w:val="bullet"/>
      <w:lvlText w:val=""/>
      <w:lvlJc w:val="left"/>
      <w:pPr>
        <w:ind w:left="72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737D6E"/>
    <w:multiLevelType w:val="hybridMultilevel"/>
    <w:tmpl w:val="5150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D79B7"/>
    <w:multiLevelType w:val="hybridMultilevel"/>
    <w:tmpl w:val="04C4138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A1A7E"/>
    <w:multiLevelType w:val="hybridMultilevel"/>
    <w:tmpl w:val="FC84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967AD1"/>
    <w:multiLevelType w:val="hybridMultilevel"/>
    <w:tmpl w:val="FC62C9CC"/>
    <w:lvl w:ilvl="0" w:tplc="19287988">
      <w:start w:val="1"/>
      <w:numFmt w:val="bullet"/>
      <w:lvlText w:val=""/>
      <w:lvlJc w:val="left"/>
      <w:pPr>
        <w:ind w:left="72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964EB4"/>
    <w:multiLevelType w:val="hybridMultilevel"/>
    <w:tmpl w:val="24FE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CD0081"/>
    <w:multiLevelType w:val="hybridMultilevel"/>
    <w:tmpl w:val="1C48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5F3831"/>
    <w:multiLevelType w:val="hybridMultilevel"/>
    <w:tmpl w:val="C8EEC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F117B2"/>
    <w:multiLevelType w:val="hybridMultilevel"/>
    <w:tmpl w:val="9D64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757779"/>
    <w:multiLevelType w:val="hybridMultilevel"/>
    <w:tmpl w:val="76C2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4493E"/>
    <w:multiLevelType w:val="hybridMultilevel"/>
    <w:tmpl w:val="3C56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E2E00"/>
    <w:multiLevelType w:val="hybridMultilevel"/>
    <w:tmpl w:val="C620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26283D"/>
    <w:multiLevelType w:val="hybridMultilevel"/>
    <w:tmpl w:val="19AE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426F65"/>
    <w:multiLevelType w:val="hybridMultilevel"/>
    <w:tmpl w:val="0554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352467"/>
    <w:multiLevelType w:val="multilevel"/>
    <w:tmpl w:val="8CAE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B26764"/>
    <w:multiLevelType w:val="hybridMultilevel"/>
    <w:tmpl w:val="17FC79C4"/>
    <w:lvl w:ilvl="0" w:tplc="DD98B0E6">
      <w:start w:val="1"/>
      <w:numFmt w:val="decimal"/>
      <w:lvlText w:val="BARRIER %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7512094"/>
    <w:multiLevelType w:val="hybridMultilevel"/>
    <w:tmpl w:val="0F745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9D948F6"/>
    <w:multiLevelType w:val="hybridMultilevel"/>
    <w:tmpl w:val="7394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6"/>
  </w:num>
  <w:num w:numId="6">
    <w:abstractNumId w:val="13"/>
  </w:num>
  <w:num w:numId="7">
    <w:abstractNumId w:val="3"/>
  </w:num>
  <w:num w:numId="8">
    <w:abstractNumId w:val="7"/>
  </w:num>
  <w:num w:numId="9">
    <w:abstractNumId w:val="19"/>
  </w:num>
  <w:num w:numId="10">
    <w:abstractNumId w:val="15"/>
  </w:num>
  <w:num w:numId="11">
    <w:abstractNumId w:val="18"/>
  </w:num>
  <w:num w:numId="12">
    <w:abstractNumId w:val="14"/>
  </w:num>
  <w:num w:numId="13">
    <w:abstractNumId w:val="5"/>
  </w:num>
  <w:num w:numId="14">
    <w:abstractNumId w:val="4"/>
  </w:num>
  <w:num w:numId="15">
    <w:abstractNumId w:val="20"/>
  </w:num>
  <w:num w:numId="16">
    <w:abstractNumId w:val="8"/>
  </w:num>
  <w:num w:numId="17">
    <w:abstractNumId w:val="9"/>
  </w:num>
  <w:num w:numId="18">
    <w:abstractNumId w:val="6"/>
  </w:num>
  <w:num w:numId="19">
    <w:abstractNumId w:val="1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15361">
      <o:colormenu v:ext="edit" fillcolor="none" strokecolor="non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A5"/>
    <w:rsid w:val="000320A3"/>
    <w:rsid w:val="000708D3"/>
    <w:rsid w:val="00076CE4"/>
    <w:rsid w:val="0008202A"/>
    <w:rsid w:val="000C7EE7"/>
    <w:rsid w:val="000E4BC8"/>
    <w:rsid w:val="000F3F93"/>
    <w:rsid w:val="000F483B"/>
    <w:rsid w:val="00100BC9"/>
    <w:rsid w:val="00113FAD"/>
    <w:rsid w:val="00141F36"/>
    <w:rsid w:val="00162AC9"/>
    <w:rsid w:val="001676F8"/>
    <w:rsid w:val="00175B17"/>
    <w:rsid w:val="001773D0"/>
    <w:rsid w:val="0017782D"/>
    <w:rsid w:val="00177E3D"/>
    <w:rsid w:val="001814BA"/>
    <w:rsid w:val="00191A88"/>
    <w:rsid w:val="001A43AB"/>
    <w:rsid w:val="001B5425"/>
    <w:rsid w:val="001D6664"/>
    <w:rsid w:val="001E23FA"/>
    <w:rsid w:val="001F36CA"/>
    <w:rsid w:val="00216B31"/>
    <w:rsid w:val="00221AB7"/>
    <w:rsid w:val="00244709"/>
    <w:rsid w:val="00251018"/>
    <w:rsid w:val="0025628F"/>
    <w:rsid w:val="0026267F"/>
    <w:rsid w:val="00266B21"/>
    <w:rsid w:val="002858DF"/>
    <w:rsid w:val="00294DB5"/>
    <w:rsid w:val="002A1DAF"/>
    <w:rsid w:val="002D511B"/>
    <w:rsid w:val="002E2CB8"/>
    <w:rsid w:val="002F3B66"/>
    <w:rsid w:val="002F4C7D"/>
    <w:rsid w:val="00301A87"/>
    <w:rsid w:val="00336730"/>
    <w:rsid w:val="00370DCE"/>
    <w:rsid w:val="00392166"/>
    <w:rsid w:val="003B2E4C"/>
    <w:rsid w:val="003B5ED4"/>
    <w:rsid w:val="003C4022"/>
    <w:rsid w:val="003C5CDE"/>
    <w:rsid w:val="003C6D40"/>
    <w:rsid w:val="003D0960"/>
    <w:rsid w:val="003D1DB2"/>
    <w:rsid w:val="003D32CF"/>
    <w:rsid w:val="003D5593"/>
    <w:rsid w:val="003E60B1"/>
    <w:rsid w:val="003F0F5F"/>
    <w:rsid w:val="003F2671"/>
    <w:rsid w:val="003F71A2"/>
    <w:rsid w:val="004051BF"/>
    <w:rsid w:val="00433445"/>
    <w:rsid w:val="004477A3"/>
    <w:rsid w:val="00447C28"/>
    <w:rsid w:val="004653B7"/>
    <w:rsid w:val="004A3975"/>
    <w:rsid w:val="004B4041"/>
    <w:rsid w:val="004C1071"/>
    <w:rsid w:val="004D0F53"/>
    <w:rsid w:val="004E1DE9"/>
    <w:rsid w:val="004E3347"/>
    <w:rsid w:val="004E362D"/>
    <w:rsid w:val="004E57EB"/>
    <w:rsid w:val="004F3E4F"/>
    <w:rsid w:val="004F74D6"/>
    <w:rsid w:val="00500C58"/>
    <w:rsid w:val="005028B9"/>
    <w:rsid w:val="0051426E"/>
    <w:rsid w:val="005246AF"/>
    <w:rsid w:val="0054130A"/>
    <w:rsid w:val="00545E41"/>
    <w:rsid w:val="00547F20"/>
    <w:rsid w:val="005640C9"/>
    <w:rsid w:val="00566E2A"/>
    <w:rsid w:val="00574EEA"/>
    <w:rsid w:val="00576B45"/>
    <w:rsid w:val="00580063"/>
    <w:rsid w:val="00581DE7"/>
    <w:rsid w:val="005902E0"/>
    <w:rsid w:val="00592146"/>
    <w:rsid w:val="0059478A"/>
    <w:rsid w:val="005B2304"/>
    <w:rsid w:val="005B38A6"/>
    <w:rsid w:val="005C6DA5"/>
    <w:rsid w:val="005D5621"/>
    <w:rsid w:val="00614606"/>
    <w:rsid w:val="00615167"/>
    <w:rsid w:val="0061553E"/>
    <w:rsid w:val="00615F44"/>
    <w:rsid w:val="00622783"/>
    <w:rsid w:val="00624F82"/>
    <w:rsid w:val="00650A2D"/>
    <w:rsid w:val="00672D25"/>
    <w:rsid w:val="00683985"/>
    <w:rsid w:val="0068628C"/>
    <w:rsid w:val="0068671C"/>
    <w:rsid w:val="006A096D"/>
    <w:rsid w:val="006E0CEC"/>
    <w:rsid w:val="006E2C36"/>
    <w:rsid w:val="007063CB"/>
    <w:rsid w:val="00714586"/>
    <w:rsid w:val="0072005D"/>
    <w:rsid w:val="00723291"/>
    <w:rsid w:val="007250BE"/>
    <w:rsid w:val="0073028B"/>
    <w:rsid w:val="007433CA"/>
    <w:rsid w:val="00754532"/>
    <w:rsid w:val="00755A5D"/>
    <w:rsid w:val="007567A5"/>
    <w:rsid w:val="00757C4A"/>
    <w:rsid w:val="00760645"/>
    <w:rsid w:val="00764953"/>
    <w:rsid w:val="00774A32"/>
    <w:rsid w:val="00774CFF"/>
    <w:rsid w:val="007D68F4"/>
    <w:rsid w:val="007F494C"/>
    <w:rsid w:val="0080406E"/>
    <w:rsid w:val="00814356"/>
    <w:rsid w:val="00841290"/>
    <w:rsid w:val="00855CA0"/>
    <w:rsid w:val="008578E9"/>
    <w:rsid w:val="008600F3"/>
    <w:rsid w:val="00861D73"/>
    <w:rsid w:val="00861E5D"/>
    <w:rsid w:val="00872924"/>
    <w:rsid w:val="00886101"/>
    <w:rsid w:val="008B0CC9"/>
    <w:rsid w:val="008B0DAA"/>
    <w:rsid w:val="008B3D11"/>
    <w:rsid w:val="008B4570"/>
    <w:rsid w:val="008C6462"/>
    <w:rsid w:val="008E23E0"/>
    <w:rsid w:val="008E70C1"/>
    <w:rsid w:val="0090253D"/>
    <w:rsid w:val="00921EF0"/>
    <w:rsid w:val="00936851"/>
    <w:rsid w:val="00941E5E"/>
    <w:rsid w:val="00973036"/>
    <w:rsid w:val="00986F89"/>
    <w:rsid w:val="00992731"/>
    <w:rsid w:val="009A1F2C"/>
    <w:rsid w:val="009C11C9"/>
    <w:rsid w:val="009D0098"/>
    <w:rsid w:val="009D0D33"/>
    <w:rsid w:val="009E183C"/>
    <w:rsid w:val="009E269C"/>
    <w:rsid w:val="009F16AF"/>
    <w:rsid w:val="009F3973"/>
    <w:rsid w:val="009F5102"/>
    <w:rsid w:val="00A1125C"/>
    <w:rsid w:val="00A12084"/>
    <w:rsid w:val="00A44427"/>
    <w:rsid w:val="00A53D13"/>
    <w:rsid w:val="00A66B11"/>
    <w:rsid w:val="00A67440"/>
    <w:rsid w:val="00A87A79"/>
    <w:rsid w:val="00AE14A4"/>
    <w:rsid w:val="00AE5795"/>
    <w:rsid w:val="00AF0D7F"/>
    <w:rsid w:val="00B111DB"/>
    <w:rsid w:val="00B12CB8"/>
    <w:rsid w:val="00B14AF7"/>
    <w:rsid w:val="00B20AEE"/>
    <w:rsid w:val="00B2144F"/>
    <w:rsid w:val="00B239B0"/>
    <w:rsid w:val="00B30266"/>
    <w:rsid w:val="00B34312"/>
    <w:rsid w:val="00B63790"/>
    <w:rsid w:val="00B726C2"/>
    <w:rsid w:val="00B80E41"/>
    <w:rsid w:val="00B8537C"/>
    <w:rsid w:val="00B963A4"/>
    <w:rsid w:val="00BB6E3B"/>
    <w:rsid w:val="00BC51DE"/>
    <w:rsid w:val="00BD50F9"/>
    <w:rsid w:val="00BE0ADD"/>
    <w:rsid w:val="00BF0E2D"/>
    <w:rsid w:val="00C00F1F"/>
    <w:rsid w:val="00C06FEF"/>
    <w:rsid w:val="00C07ACD"/>
    <w:rsid w:val="00C12D3B"/>
    <w:rsid w:val="00C22372"/>
    <w:rsid w:val="00C633ED"/>
    <w:rsid w:val="00C652C8"/>
    <w:rsid w:val="00C74646"/>
    <w:rsid w:val="00CB40FD"/>
    <w:rsid w:val="00CB7ED0"/>
    <w:rsid w:val="00CC17E3"/>
    <w:rsid w:val="00CC5892"/>
    <w:rsid w:val="00CC6E5E"/>
    <w:rsid w:val="00CD410B"/>
    <w:rsid w:val="00CE6B8D"/>
    <w:rsid w:val="00CF1237"/>
    <w:rsid w:val="00CF4A77"/>
    <w:rsid w:val="00CF61CE"/>
    <w:rsid w:val="00D07B64"/>
    <w:rsid w:val="00D3513A"/>
    <w:rsid w:val="00D4123D"/>
    <w:rsid w:val="00D44150"/>
    <w:rsid w:val="00D45A11"/>
    <w:rsid w:val="00D516BE"/>
    <w:rsid w:val="00D61585"/>
    <w:rsid w:val="00D7262C"/>
    <w:rsid w:val="00D90BEF"/>
    <w:rsid w:val="00D974EE"/>
    <w:rsid w:val="00DA0899"/>
    <w:rsid w:val="00DC448B"/>
    <w:rsid w:val="00DF2426"/>
    <w:rsid w:val="00E04513"/>
    <w:rsid w:val="00E106B0"/>
    <w:rsid w:val="00E26BBA"/>
    <w:rsid w:val="00E55664"/>
    <w:rsid w:val="00E60FA2"/>
    <w:rsid w:val="00E822CA"/>
    <w:rsid w:val="00E83621"/>
    <w:rsid w:val="00E85977"/>
    <w:rsid w:val="00EB4289"/>
    <w:rsid w:val="00EC0950"/>
    <w:rsid w:val="00EC36B0"/>
    <w:rsid w:val="00EF36E7"/>
    <w:rsid w:val="00EF60D0"/>
    <w:rsid w:val="00F0287B"/>
    <w:rsid w:val="00F04651"/>
    <w:rsid w:val="00F528F7"/>
    <w:rsid w:val="00F52B2C"/>
    <w:rsid w:val="00F6030C"/>
    <w:rsid w:val="00F659C2"/>
    <w:rsid w:val="00F83287"/>
    <w:rsid w:val="00F90EFC"/>
    <w:rsid w:val="00FB5A77"/>
    <w:rsid w:val="00FB5FF1"/>
    <w:rsid w:val="00FD0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3B7"/>
    <w:pPr>
      <w:spacing w:after="190"/>
    </w:pPr>
    <w:rPr>
      <w:rFonts w:ascii="Tahoma" w:hAnsi="Tahoma"/>
      <w:sz w:val="22"/>
      <w:szCs w:val="24"/>
      <w:lang w:eastAsia="zh-CN"/>
    </w:rPr>
  </w:style>
  <w:style w:type="paragraph" w:styleId="Heading1">
    <w:name w:val="heading 1"/>
    <w:basedOn w:val="NormalParagraphStyle"/>
    <w:next w:val="Normal"/>
    <w:qFormat/>
    <w:rsid w:val="00EF36E7"/>
    <w:pPr>
      <w:tabs>
        <w:tab w:val="left" w:pos="1160"/>
        <w:tab w:val="left" w:pos="4940"/>
        <w:tab w:val="left" w:pos="6020"/>
      </w:tabs>
      <w:spacing w:after="240" w:line="240" w:lineRule="auto"/>
      <w:jc w:val="both"/>
      <w:outlineLvl w:val="0"/>
    </w:pPr>
    <w:rPr>
      <w:rFonts w:cs="Tahoma"/>
      <w:b/>
      <w:bCs/>
      <w:spacing w:val="3"/>
      <w:sz w:val="26"/>
      <w:szCs w:val="26"/>
      <w:lang w:val="en-US"/>
    </w:rPr>
  </w:style>
  <w:style w:type="paragraph" w:styleId="Heading2">
    <w:name w:val="heading 2"/>
    <w:basedOn w:val="NormalParagraphStyle"/>
    <w:next w:val="Normal"/>
    <w:qFormat/>
    <w:rsid w:val="00EF36E7"/>
    <w:pPr>
      <w:tabs>
        <w:tab w:val="left" w:pos="1160"/>
        <w:tab w:val="left" w:pos="4940"/>
        <w:tab w:val="left" w:pos="6020"/>
      </w:tabs>
      <w:spacing w:after="240" w:line="240" w:lineRule="auto"/>
      <w:jc w:val="both"/>
      <w:outlineLvl w:val="1"/>
    </w:pPr>
    <w:rPr>
      <w:rFonts w:cs="Tahoma"/>
      <w:b/>
      <w:bCs/>
      <w:spacing w:val="2"/>
      <w:szCs w:val="22"/>
      <w:lang w:val="en-US"/>
    </w:rPr>
  </w:style>
  <w:style w:type="paragraph" w:styleId="Heading3">
    <w:name w:val="heading 3"/>
    <w:basedOn w:val="Normal"/>
    <w:next w:val="Normal"/>
    <w:qFormat/>
    <w:rsid w:val="008B0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F36E7"/>
    <w:pPr>
      <w:tabs>
        <w:tab w:val="center" w:pos="4320"/>
        <w:tab w:val="right" w:pos="8640"/>
      </w:tabs>
    </w:pPr>
  </w:style>
  <w:style w:type="paragraph" w:styleId="Footer">
    <w:name w:val="footer"/>
    <w:basedOn w:val="NormalParagraphStyle"/>
    <w:link w:val="FooterChar"/>
    <w:uiPriority w:val="99"/>
    <w:rsid w:val="007433CA"/>
    <w:pPr>
      <w:tabs>
        <w:tab w:val="left" w:pos="1160"/>
        <w:tab w:val="left" w:pos="4940"/>
        <w:tab w:val="left" w:pos="6020"/>
      </w:tabs>
      <w:jc w:val="both"/>
    </w:pPr>
    <w:rPr>
      <w:rFonts w:cs="Tahoma"/>
      <w:spacing w:val="2"/>
      <w:sz w:val="16"/>
      <w:szCs w:val="16"/>
      <w:lang w:val="en-US"/>
    </w:rPr>
  </w:style>
  <w:style w:type="paragraph" w:customStyle="1" w:styleId="NormalParagraphStyle">
    <w:name w:val="NormalParagraphStyle"/>
    <w:basedOn w:val="Normal"/>
    <w:semiHidden/>
    <w:rsid w:val="00EF36E7"/>
    <w:pPr>
      <w:autoSpaceDE w:val="0"/>
      <w:autoSpaceDN w:val="0"/>
      <w:adjustRightInd w:val="0"/>
      <w:spacing w:line="288" w:lineRule="auto"/>
      <w:textAlignment w:val="center"/>
    </w:pPr>
    <w:rPr>
      <w:color w:val="000000"/>
      <w:lang w:val="en-GB"/>
    </w:rPr>
  </w:style>
  <w:style w:type="table" w:styleId="TableGrid">
    <w:name w:val="Table Grid"/>
    <w:basedOn w:val="TableNormal"/>
    <w:semiHidden/>
    <w:rsid w:val="00EF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ParagraphStyle"/>
    <w:rsid w:val="00C07ACD"/>
    <w:pPr>
      <w:tabs>
        <w:tab w:val="left" w:pos="1160"/>
        <w:tab w:val="left" w:pos="4940"/>
        <w:tab w:val="left" w:pos="6020"/>
      </w:tabs>
      <w:spacing w:before="120" w:after="120" w:line="240" w:lineRule="auto"/>
      <w:jc w:val="both"/>
    </w:pPr>
    <w:rPr>
      <w:rFonts w:cs="Tahoma"/>
      <w:spacing w:val="2"/>
      <w:szCs w:val="20"/>
      <w:lang w:val="en-AU"/>
    </w:rPr>
  </w:style>
  <w:style w:type="character" w:styleId="PageNumber">
    <w:name w:val="page number"/>
    <w:rsid w:val="00C07ACD"/>
    <w:rPr>
      <w:rFonts w:ascii="Tahoma" w:hAnsi="Tahoma" w:cs="Tahoma"/>
      <w:color w:val="000000"/>
      <w:spacing w:val="2"/>
      <w:sz w:val="16"/>
      <w:szCs w:val="16"/>
      <w:lang w:val="en-AU"/>
    </w:rPr>
  </w:style>
  <w:style w:type="paragraph" w:customStyle="1" w:styleId="Nameandaddress">
    <w:name w:val="Name and address"/>
    <w:basedOn w:val="NormalParagraphStyle"/>
    <w:rsid w:val="00EC0950"/>
    <w:pPr>
      <w:tabs>
        <w:tab w:val="left" w:pos="1160"/>
        <w:tab w:val="left" w:pos="4940"/>
        <w:tab w:val="left" w:pos="6020"/>
      </w:tabs>
      <w:spacing w:line="240" w:lineRule="auto"/>
    </w:pPr>
    <w:rPr>
      <w:rFonts w:cs="Tahoma"/>
      <w:spacing w:val="2"/>
      <w:szCs w:val="20"/>
      <w:lang w:val="en-AU"/>
    </w:rPr>
  </w:style>
  <w:style w:type="paragraph" w:customStyle="1" w:styleId="Yourssincerely">
    <w:name w:val="Yours sincerely"/>
    <w:basedOn w:val="NormalParagraphStyle"/>
    <w:rsid w:val="00C06FEF"/>
    <w:pPr>
      <w:tabs>
        <w:tab w:val="left" w:pos="1160"/>
        <w:tab w:val="left" w:pos="4940"/>
        <w:tab w:val="left" w:pos="6020"/>
      </w:tabs>
      <w:spacing w:before="480" w:after="1200" w:line="240" w:lineRule="auto"/>
    </w:pPr>
    <w:rPr>
      <w:rFonts w:cs="Tahoma"/>
      <w:spacing w:val="2"/>
      <w:szCs w:val="20"/>
      <w:lang w:val="en-AU"/>
    </w:rPr>
  </w:style>
  <w:style w:type="paragraph" w:customStyle="1" w:styleId="Dear">
    <w:name w:val="Dear"/>
    <w:basedOn w:val="NormalParagraphStyle"/>
    <w:rsid w:val="00EC0950"/>
    <w:pPr>
      <w:tabs>
        <w:tab w:val="left" w:pos="1160"/>
        <w:tab w:val="left" w:pos="4940"/>
        <w:tab w:val="left" w:pos="6020"/>
      </w:tabs>
      <w:spacing w:before="1418" w:line="240" w:lineRule="auto"/>
    </w:pPr>
    <w:rPr>
      <w:rFonts w:cs="Tahoma"/>
      <w:spacing w:val="2"/>
      <w:szCs w:val="20"/>
      <w:lang w:val="en-AU"/>
    </w:rPr>
  </w:style>
  <w:style w:type="paragraph" w:customStyle="1" w:styleId="Subject">
    <w:name w:val="Subject"/>
    <w:basedOn w:val="Normal"/>
    <w:rsid w:val="004653B7"/>
    <w:rPr>
      <w:b/>
    </w:rPr>
  </w:style>
  <w:style w:type="paragraph" w:customStyle="1" w:styleId="Referencetext">
    <w:name w:val="Reference text"/>
    <w:basedOn w:val="BodyText1"/>
    <w:rsid w:val="00B34312"/>
    <w:pPr>
      <w:spacing w:before="0" w:after="0"/>
    </w:pPr>
    <w:rPr>
      <w:sz w:val="16"/>
      <w:szCs w:val="16"/>
    </w:rPr>
  </w:style>
  <w:style w:type="paragraph" w:styleId="BalloonText">
    <w:name w:val="Balloon Text"/>
    <w:basedOn w:val="Normal"/>
    <w:semiHidden/>
    <w:rsid w:val="003D32CF"/>
    <w:rPr>
      <w:rFonts w:cs="Tahoma"/>
      <w:sz w:val="16"/>
      <w:szCs w:val="16"/>
    </w:rPr>
  </w:style>
  <w:style w:type="paragraph" w:customStyle="1" w:styleId="Address">
    <w:name w:val="Address"/>
    <w:basedOn w:val="Referencetext"/>
    <w:rsid w:val="004653B7"/>
    <w:rPr>
      <w:sz w:val="18"/>
      <w:szCs w:val="18"/>
    </w:rPr>
  </w:style>
  <w:style w:type="paragraph" w:customStyle="1" w:styleId="Normalnospaceafter">
    <w:name w:val="Normal no space after"/>
    <w:basedOn w:val="Normal"/>
    <w:rsid w:val="004653B7"/>
    <w:pPr>
      <w:spacing w:after="0"/>
    </w:pPr>
  </w:style>
  <w:style w:type="paragraph" w:styleId="Date">
    <w:name w:val="Date"/>
    <w:basedOn w:val="Normal"/>
    <w:next w:val="Normal"/>
    <w:rsid w:val="00547F20"/>
  </w:style>
  <w:style w:type="paragraph" w:styleId="PlainText">
    <w:name w:val="Plain Text"/>
    <w:basedOn w:val="Normal"/>
    <w:link w:val="PlainTextChar"/>
    <w:uiPriority w:val="99"/>
    <w:unhideWhenUsed/>
    <w:rsid w:val="00D516BE"/>
    <w:pPr>
      <w:spacing w:after="0"/>
    </w:pPr>
    <w:rPr>
      <w:rFonts w:ascii="Calibri" w:eastAsia="Calibri" w:hAnsi="Calibri" w:cs="Consolas"/>
      <w:szCs w:val="21"/>
      <w:lang w:eastAsia="en-US"/>
    </w:rPr>
  </w:style>
  <w:style w:type="character" w:customStyle="1" w:styleId="PlainTextChar">
    <w:name w:val="Plain Text Char"/>
    <w:link w:val="PlainText"/>
    <w:uiPriority w:val="99"/>
    <w:rsid w:val="00D516BE"/>
    <w:rPr>
      <w:rFonts w:ascii="Calibri" w:eastAsia="Calibri" w:hAnsi="Calibri" w:cs="Consolas"/>
      <w:sz w:val="22"/>
      <w:szCs w:val="21"/>
      <w:lang w:eastAsia="en-US"/>
    </w:rPr>
  </w:style>
  <w:style w:type="paragraph" w:customStyle="1" w:styleId="Default">
    <w:name w:val="Default"/>
    <w:rsid w:val="00DA0899"/>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rsid w:val="00DA0899"/>
    <w:rPr>
      <w:sz w:val="20"/>
      <w:szCs w:val="20"/>
    </w:rPr>
  </w:style>
  <w:style w:type="character" w:customStyle="1" w:styleId="FootnoteTextChar">
    <w:name w:val="Footnote Text Char"/>
    <w:link w:val="FootnoteText"/>
    <w:uiPriority w:val="99"/>
    <w:rsid w:val="00DA0899"/>
    <w:rPr>
      <w:rFonts w:ascii="Tahoma" w:hAnsi="Tahoma"/>
      <w:lang w:eastAsia="zh-CN"/>
    </w:rPr>
  </w:style>
  <w:style w:type="character" w:styleId="FootnoteReference">
    <w:name w:val="footnote reference"/>
    <w:uiPriority w:val="99"/>
    <w:rsid w:val="00DA0899"/>
    <w:rPr>
      <w:vertAlign w:val="superscript"/>
    </w:rPr>
  </w:style>
  <w:style w:type="paragraph" w:styleId="ListParagraph">
    <w:name w:val="List Paragraph"/>
    <w:basedOn w:val="Normal"/>
    <w:uiPriority w:val="34"/>
    <w:qFormat/>
    <w:rsid w:val="00D07B64"/>
    <w:pPr>
      <w:ind w:left="720"/>
    </w:pPr>
  </w:style>
  <w:style w:type="character" w:styleId="Hyperlink">
    <w:name w:val="Hyperlink"/>
    <w:uiPriority w:val="99"/>
    <w:rsid w:val="00E85977"/>
    <w:rPr>
      <w:color w:val="0000FF"/>
      <w:u w:val="single"/>
    </w:rPr>
  </w:style>
  <w:style w:type="paragraph" w:styleId="NormalWeb">
    <w:name w:val="Normal (Web)"/>
    <w:basedOn w:val="Normal"/>
    <w:uiPriority w:val="99"/>
    <w:unhideWhenUsed/>
    <w:rsid w:val="003C6D40"/>
    <w:pPr>
      <w:spacing w:before="100" w:beforeAutospacing="1" w:after="100" w:afterAutospacing="1"/>
    </w:pPr>
    <w:rPr>
      <w:rFonts w:ascii="Times New Roman" w:eastAsia="Times New Roman" w:hAnsi="Times New Roman"/>
      <w:sz w:val="24"/>
      <w:lang w:eastAsia="en-AU"/>
    </w:rPr>
  </w:style>
  <w:style w:type="character" w:customStyle="1" w:styleId="notes1">
    <w:name w:val="notes1"/>
    <w:rsid w:val="00F528F7"/>
    <w:rPr>
      <w:color w:val="000000"/>
      <w:sz w:val="15"/>
      <w:szCs w:val="15"/>
    </w:rPr>
  </w:style>
  <w:style w:type="paragraph" w:styleId="EndnoteText">
    <w:name w:val="endnote text"/>
    <w:basedOn w:val="Normal"/>
    <w:link w:val="EndnoteTextChar"/>
    <w:rsid w:val="004F74D6"/>
    <w:rPr>
      <w:sz w:val="20"/>
      <w:szCs w:val="20"/>
    </w:rPr>
  </w:style>
  <w:style w:type="character" w:customStyle="1" w:styleId="EndnoteTextChar">
    <w:name w:val="Endnote Text Char"/>
    <w:link w:val="EndnoteText"/>
    <w:rsid w:val="004F74D6"/>
    <w:rPr>
      <w:rFonts w:ascii="Tahoma" w:hAnsi="Tahoma"/>
      <w:lang w:eastAsia="zh-CN"/>
    </w:rPr>
  </w:style>
  <w:style w:type="character" w:styleId="EndnoteReference">
    <w:name w:val="endnote reference"/>
    <w:rsid w:val="004F74D6"/>
    <w:rPr>
      <w:vertAlign w:val="superscript"/>
    </w:rPr>
  </w:style>
  <w:style w:type="character" w:styleId="FollowedHyperlink">
    <w:name w:val="FollowedHyperlink"/>
    <w:rsid w:val="00C00F1F"/>
    <w:rPr>
      <w:color w:val="800080"/>
      <w:u w:val="single"/>
    </w:rPr>
  </w:style>
  <w:style w:type="character" w:customStyle="1" w:styleId="FooterChar">
    <w:name w:val="Footer Char"/>
    <w:link w:val="Footer"/>
    <w:uiPriority w:val="99"/>
    <w:rsid w:val="00191A88"/>
    <w:rPr>
      <w:rFonts w:ascii="Tahoma" w:hAnsi="Tahoma" w:cs="Tahoma"/>
      <w:color w:val="000000"/>
      <w:spacing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3B7"/>
    <w:pPr>
      <w:spacing w:after="190"/>
    </w:pPr>
    <w:rPr>
      <w:rFonts w:ascii="Tahoma" w:hAnsi="Tahoma"/>
      <w:sz w:val="22"/>
      <w:szCs w:val="24"/>
      <w:lang w:eastAsia="zh-CN"/>
    </w:rPr>
  </w:style>
  <w:style w:type="paragraph" w:styleId="Heading1">
    <w:name w:val="heading 1"/>
    <w:basedOn w:val="NormalParagraphStyle"/>
    <w:next w:val="Normal"/>
    <w:qFormat/>
    <w:rsid w:val="00EF36E7"/>
    <w:pPr>
      <w:tabs>
        <w:tab w:val="left" w:pos="1160"/>
        <w:tab w:val="left" w:pos="4940"/>
        <w:tab w:val="left" w:pos="6020"/>
      </w:tabs>
      <w:spacing w:after="240" w:line="240" w:lineRule="auto"/>
      <w:jc w:val="both"/>
      <w:outlineLvl w:val="0"/>
    </w:pPr>
    <w:rPr>
      <w:rFonts w:cs="Tahoma"/>
      <w:b/>
      <w:bCs/>
      <w:spacing w:val="3"/>
      <w:sz w:val="26"/>
      <w:szCs w:val="26"/>
      <w:lang w:val="en-US"/>
    </w:rPr>
  </w:style>
  <w:style w:type="paragraph" w:styleId="Heading2">
    <w:name w:val="heading 2"/>
    <w:basedOn w:val="NormalParagraphStyle"/>
    <w:next w:val="Normal"/>
    <w:qFormat/>
    <w:rsid w:val="00EF36E7"/>
    <w:pPr>
      <w:tabs>
        <w:tab w:val="left" w:pos="1160"/>
        <w:tab w:val="left" w:pos="4940"/>
        <w:tab w:val="left" w:pos="6020"/>
      </w:tabs>
      <w:spacing w:after="240" w:line="240" w:lineRule="auto"/>
      <w:jc w:val="both"/>
      <w:outlineLvl w:val="1"/>
    </w:pPr>
    <w:rPr>
      <w:rFonts w:cs="Tahoma"/>
      <w:b/>
      <w:bCs/>
      <w:spacing w:val="2"/>
      <w:szCs w:val="22"/>
      <w:lang w:val="en-US"/>
    </w:rPr>
  </w:style>
  <w:style w:type="paragraph" w:styleId="Heading3">
    <w:name w:val="heading 3"/>
    <w:basedOn w:val="Normal"/>
    <w:next w:val="Normal"/>
    <w:qFormat/>
    <w:rsid w:val="008B0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F36E7"/>
    <w:pPr>
      <w:tabs>
        <w:tab w:val="center" w:pos="4320"/>
        <w:tab w:val="right" w:pos="8640"/>
      </w:tabs>
    </w:pPr>
  </w:style>
  <w:style w:type="paragraph" w:styleId="Footer">
    <w:name w:val="footer"/>
    <w:basedOn w:val="NormalParagraphStyle"/>
    <w:link w:val="FooterChar"/>
    <w:uiPriority w:val="99"/>
    <w:rsid w:val="007433CA"/>
    <w:pPr>
      <w:tabs>
        <w:tab w:val="left" w:pos="1160"/>
        <w:tab w:val="left" w:pos="4940"/>
        <w:tab w:val="left" w:pos="6020"/>
      </w:tabs>
      <w:jc w:val="both"/>
    </w:pPr>
    <w:rPr>
      <w:rFonts w:cs="Tahoma"/>
      <w:spacing w:val="2"/>
      <w:sz w:val="16"/>
      <w:szCs w:val="16"/>
      <w:lang w:val="en-US"/>
    </w:rPr>
  </w:style>
  <w:style w:type="paragraph" w:customStyle="1" w:styleId="NormalParagraphStyle">
    <w:name w:val="NormalParagraphStyle"/>
    <w:basedOn w:val="Normal"/>
    <w:semiHidden/>
    <w:rsid w:val="00EF36E7"/>
    <w:pPr>
      <w:autoSpaceDE w:val="0"/>
      <w:autoSpaceDN w:val="0"/>
      <w:adjustRightInd w:val="0"/>
      <w:spacing w:line="288" w:lineRule="auto"/>
      <w:textAlignment w:val="center"/>
    </w:pPr>
    <w:rPr>
      <w:color w:val="000000"/>
      <w:lang w:val="en-GB"/>
    </w:rPr>
  </w:style>
  <w:style w:type="table" w:styleId="TableGrid">
    <w:name w:val="Table Grid"/>
    <w:basedOn w:val="TableNormal"/>
    <w:semiHidden/>
    <w:rsid w:val="00EF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ParagraphStyle"/>
    <w:rsid w:val="00C07ACD"/>
    <w:pPr>
      <w:tabs>
        <w:tab w:val="left" w:pos="1160"/>
        <w:tab w:val="left" w:pos="4940"/>
        <w:tab w:val="left" w:pos="6020"/>
      </w:tabs>
      <w:spacing w:before="120" w:after="120" w:line="240" w:lineRule="auto"/>
      <w:jc w:val="both"/>
    </w:pPr>
    <w:rPr>
      <w:rFonts w:cs="Tahoma"/>
      <w:spacing w:val="2"/>
      <w:szCs w:val="20"/>
      <w:lang w:val="en-AU"/>
    </w:rPr>
  </w:style>
  <w:style w:type="character" w:styleId="PageNumber">
    <w:name w:val="page number"/>
    <w:rsid w:val="00C07ACD"/>
    <w:rPr>
      <w:rFonts w:ascii="Tahoma" w:hAnsi="Tahoma" w:cs="Tahoma"/>
      <w:color w:val="000000"/>
      <w:spacing w:val="2"/>
      <w:sz w:val="16"/>
      <w:szCs w:val="16"/>
      <w:lang w:val="en-AU"/>
    </w:rPr>
  </w:style>
  <w:style w:type="paragraph" w:customStyle="1" w:styleId="Nameandaddress">
    <w:name w:val="Name and address"/>
    <w:basedOn w:val="NormalParagraphStyle"/>
    <w:rsid w:val="00EC0950"/>
    <w:pPr>
      <w:tabs>
        <w:tab w:val="left" w:pos="1160"/>
        <w:tab w:val="left" w:pos="4940"/>
        <w:tab w:val="left" w:pos="6020"/>
      </w:tabs>
      <w:spacing w:line="240" w:lineRule="auto"/>
    </w:pPr>
    <w:rPr>
      <w:rFonts w:cs="Tahoma"/>
      <w:spacing w:val="2"/>
      <w:szCs w:val="20"/>
      <w:lang w:val="en-AU"/>
    </w:rPr>
  </w:style>
  <w:style w:type="paragraph" w:customStyle="1" w:styleId="Yourssincerely">
    <w:name w:val="Yours sincerely"/>
    <w:basedOn w:val="NormalParagraphStyle"/>
    <w:rsid w:val="00C06FEF"/>
    <w:pPr>
      <w:tabs>
        <w:tab w:val="left" w:pos="1160"/>
        <w:tab w:val="left" w:pos="4940"/>
        <w:tab w:val="left" w:pos="6020"/>
      </w:tabs>
      <w:spacing w:before="480" w:after="1200" w:line="240" w:lineRule="auto"/>
    </w:pPr>
    <w:rPr>
      <w:rFonts w:cs="Tahoma"/>
      <w:spacing w:val="2"/>
      <w:szCs w:val="20"/>
      <w:lang w:val="en-AU"/>
    </w:rPr>
  </w:style>
  <w:style w:type="paragraph" w:customStyle="1" w:styleId="Dear">
    <w:name w:val="Dear"/>
    <w:basedOn w:val="NormalParagraphStyle"/>
    <w:rsid w:val="00EC0950"/>
    <w:pPr>
      <w:tabs>
        <w:tab w:val="left" w:pos="1160"/>
        <w:tab w:val="left" w:pos="4940"/>
        <w:tab w:val="left" w:pos="6020"/>
      </w:tabs>
      <w:spacing w:before="1418" w:line="240" w:lineRule="auto"/>
    </w:pPr>
    <w:rPr>
      <w:rFonts w:cs="Tahoma"/>
      <w:spacing w:val="2"/>
      <w:szCs w:val="20"/>
      <w:lang w:val="en-AU"/>
    </w:rPr>
  </w:style>
  <w:style w:type="paragraph" w:customStyle="1" w:styleId="Subject">
    <w:name w:val="Subject"/>
    <w:basedOn w:val="Normal"/>
    <w:rsid w:val="004653B7"/>
    <w:rPr>
      <w:b/>
    </w:rPr>
  </w:style>
  <w:style w:type="paragraph" w:customStyle="1" w:styleId="Referencetext">
    <w:name w:val="Reference text"/>
    <w:basedOn w:val="BodyText1"/>
    <w:rsid w:val="00B34312"/>
    <w:pPr>
      <w:spacing w:before="0" w:after="0"/>
    </w:pPr>
    <w:rPr>
      <w:sz w:val="16"/>
      <w:szCs w:val="16"/>
    </w:rPr>
  </w:style>
  <w:style w:type="paragraph" w:styleId="BalloonText">
    <w:name w:val="Balloon Text"/>
    <w:basedOn w:val="Normal"/>
    <w:semiHidden/>
    <w:rsid w:val="003D32CF"/>
    <w:rPr>
      <w:rFonts w:cs="Tahoma"/>
      <w:sz w:val="16"/>
      <w:szCs w:val="16"/>
    </w:rPr>
  </w:style>
  <w:style w:type="paragraph" w:customStyle="1" w:styleId="Address">
    <w:name w:val="Address"/>
    <w:basedOn w:val="Referencetext"/>
    <w:rsid w:val="004653B7"/>
    <w:rPr>
      <w:sz w:val="18"/>
      <w:szCs w:val="18"/>
    </w:rPr>
  </w:style>
  <w:style w:type="paragraph" w:customStyle="1" w:styleId="Normalnospaceafter">
    <w:name w:val="Normal no space after"/>
    <w:basedOn w:val="Normal"/>
    <w:rsid w:val="004653B7"/>
    <w:pPr>
      <w:spacing w:after="0"/>
    </w:pPr>
  </w:style>
  <w:style w:type="paragraph" w:styleId="Date">
    <w:name w:val="Date"/>
    <w:basedOn w:val="Normal"/>
    <w:next w:val="Normal"/>
    <w:rsid w:val="00547F20"/>
  </w:style>
  <w:style w:type="paragraph" w:styleId="PlainText">
    <w:name w:val="Plain Text"/>
    <w:basedOn w:val="Normal"/>
    <w:link w:val="PlainTextChar"/>
    <w:uiPriority w:val="99"/>
    <w:unhideWhenUsed/>
    <w:rsid w:val="00D516BE"/>
    <w:pPr>
      <w:spacing w:after="0"/>
    </w:pPr>
    <w:rPr>
      <w:rFonts w:ascii="Calibri" w:eastAsia="Calibri" w:hAnsi="Calibri" w:cs="Consolas"/>
      <w:szCs w:val="21"/>
      <w:lang w:eastAsia="en-US"/>
    </w:rPr>
  </w:style>
  <w:style w:type="character" w:customStyle="1" w:styleId="PlainTextChar">
    <w:name w:val="Plain Text Char"/>
    <w:link w:val="PlainText"/>
    <w:uiPriority w:val="99"/>
    <w:rsid w:val="00D516BE"/>
    <w:rPr>
      <w:rFonts w:ascii="Calibri" w:eastAsia="Calibri" w:hAnsi="Calibri" w:cs="Consolas"/>
      <w:sz w:val="22"/>
      <w:szCs w:val="21"/>
      <w:lang w:eastAsia="en-US"/>
    </w:rPr>
  </w:style>
  <w:style w:type="paragraph" w:customStyle="1" w:styleId="Default">
    <w:name w:val="Default"/>
    <w:rsid w:val="00DA0899"/>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rsid w:val="00DA0899"/>
    <w:rPr>
      <w:sz w:val="20"/>
      <w:szCs w:val="20"/>
    </w:rPr>
  </w:style>
  <w:style w:type="character" w:customStyle="1" w:styleId="FootnoteTextChar">
    <w:name w:val="Footnote Text Char"/>
    <w:link w:val="FootnoteText"/>
    <w:uiPriority w:val="99"/>
    <w:rsid w:val="00DA0899"/>
    <w:rPr>
      <w:rFonts w:ascii="Tahoma" w:hAnsi="Tahoma"/>
      <w:lang w:eastAsia="zh-CN"/>
    </w:rPr>
  </w:style>
  <w:style w:type="character" w:styleId="FootnoteReference">
    <w:name w:val="footnote reference"/>
    <w:uiPriority w:val="99"/>
    <w:rsid w:val="00DA0899"/>
    <w:rPr>
      <w:vertAlign w:val="superscript"/>
    </w:rPr>
  </w:style>
  <w:style w:type="paragraph" w:styleId="ListParagraph">
    <w:name w:val="List Paragraph"/>
    <w:basedOn w:val="Normal"/>
    <w:uiPriority w:val="34"/>
    <w:qFormat/>
    <w:rsid w:val="00D07B64"/>
    <w:pPr>
      <w:ind w:left="720"/>
    </w:pPr>
  </w:style>
  <w:style w:type="character" w:styleId="Hyperlink">
    <w:name w:val="Hyperlink"/>
    <w:uiPriority w:val="99"/>
    <w:rsid w:val="00E85977"/>
    <w:rPr>
      <w:color w:val="0000FF"/>
      <w:u w:val="single"/>
    </w:rPr>
  </w:style>
  <w:style w:type="paragraph" w:styleId="NormalWeb">
    <w:name w:val="Normal (Web)"/>
    <w:basedOn w:val="Normal"/>
    <w:uiPriority w:val="99"/>
    <w:unhideWhenUsed/>
    <w:rsid w:val="003C6D40"/>
    <w:pPr>
      <w:spacing w:before="100" w:beforeAutospacing="1" w:after="100" w:afterAutospacing="1"/>
    </w:pPr>
    <w:rPr>
      <w:rFonts w:ascii="Times New Roman" w:eastAsia="Times New Roman" w:hAnsi="Times New Roman"/>
      <w:sz w:val="24"/>
      <w:lang w:eastAsia="en-AU"/>
    </w:rPr>
  </w:style>
  <w:style w:type="character" w:customStyle="1" w:styleId="notes1">
    <w:name w:val="notes1"/>
    <w:rsid w:val="00F528F7"/>
    <w:rPr>
      <w:color w:val="000000"/>
      <w:sz w:val="15"/>
      <w:szCs w:val="15"/>
    </w:rPr>
  </w:style>
  <w:style w:type="paragraph" w:styleId="EndnoteText">
    <w:name w:val="endnote text"/>
    <w:basedOn w:val="Normal"/>
    <w:link w:val="EndnoteTextChar"/>
    <w:rsid w:val="004F74D6"/>
    <w:rPr>
      <w:sz w:val="20"/>
      <w:szCs w:val="20"/>
    </w:rPr>
  </w:style>
  <w:style w:type="character" w:customStyle="1" w:styleId="EndnoteTextChar">
    <w:name w:val="Endnote Text Char"/>
    <w:link w:val="EndnoteText"/>
    <w:rsid w:val="004F74D6"/>
    <w:rPr>
      <w:rFonts w:ascii="Tahoma" w:hAnsi="Tahoma"/>
      <w:lang w:eastAsia="zh-CN"/>
    </w:rPr>
  </w:style>
  <w:style w:type="character" w:styleId="EndnoteReference">
    <w:name w:val="endnote reference"/>
    <w:rsid w:val="004F74D6"/>
    <w:rPr>
      <w:vertAlign w:val="superscript"/>
    </w:rPr>
  </w:style>
  <w:style w:type="character" w:styleId="FollowedHyperlink">
    <w:name w:val="FollowedHyperlink"/>
    <w:rsid w:val="00C00F1F"/>
    <w:rPr>
      <w:color w:val="800080"/>
      <w:u w:val="single"/>
    </w:rPr>
  </w:style>
  <w:style w:type="character" w:customStyle="1" w:styleId="FooterChar">
    <w:name w:val="Footer Char"/>
    <w:link w:val="Footer"/>
    <w:uiPriority w:val="99"/>
    <w:rsid w:val="00191A88"/>
    <w:rPr>
      <w:rFonts w:ascii="Tahoma" w:hAnsi="Tahoma" w:cs="Tahoma"/>
      <w:color w:val="000000"/>
      <w:spacing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5235">
      <w:bodyDiv w:val="1"/>
      <w:marLeft w:val="0"/>
      <w:marRight w:val="0"/>
      <w:marTop w:val="0"/>
      <w:marBottom w:val="0"/>
      <w:divBdr>
        <w:top w:val="single" w:sz="18" w:space="0" w:color="005E79"/>
        <w:left w:val="none" w:sz="0" w:space="0" w:color="auto"/>
        <w:bottom w:val="none" w:sz="0" w:space="0" w:color="auto"/>
        <w:right w:val="none" w:sz="0" w:space="0" w:color="auto"/>
      </w:divBdr>
      <w:divsChild>
        <w:div w:id="10109561">
          <w:marLeft w:val="0"/>
          <w:marRight w:val="0"/>
          <w:marTop w:val="0"/>
          <w:marBottom w:val="0"/>
          <w:divBdr>
            <w:top w:val="none" w:sz="0" w:space="0" w:color="auto"/>
            <w:left w:val="none" w:sz="0" w:space="0" w:color="auto"/>
            <w:bottom w:val="none" w:sz="0" w:space="0" w:color="auto"/>
            <w:right w:val="none" w:sz="0" w:space="0" w:color="auto"/>
          </w:divBdr>
          <w:divsChild>
            <w:div w:id="841286810">
              <w:marLeft w:val="0"/>
              <w:marRight w:val="0"/>
              <w:marTop w:val="0"/>
              <w:marBottom w:val="0"/>
              <w:divBdr>
                <w:top w:val="none" w:sz="0" w:space="0" w:color="auto"/>
                <w:left w:val="none" w:sz="0" w:space="0" w:color="auto"/>
                <w:bottom w:val="none" w:sz="0" w:space="0" w:color="auto"/>
                <w:right w:val="none" w:sz="0" w:space="0" w:color="auto"/>
              </w:divBdr>
              <w:divsChild>
                <w:div w:id="724569000">
                  <w:marLeft w:val="0"/>
                  <w:marRight w:val="0"/>
                  <w:marTop w:val="0"/>
                  <w:marBottom w:val="0"/>
                  <w:divBdr>
                    <w:top w:val="none" w:sz="0" w:space="0" w:color="auto"/>
                    <w:left w:val="none" w:sz="0" w:space="0" w:color="auto"/>
                    <w:bottom w:val="none" w:sz="0" w:space="0" w:color="auto"/>
                    <w:right w:val="none" w:sz="0" w:space="0" w:color="auto"/>
                  </w:divBdr>
                  <w:divsChild>
                    <w:div w:id="20794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26368">
      <w:bodyDiv w:val="1"/>
      <w:marLeft w:val="0"/>
      <w:marRight w:val="0"/>
      <w:marTop w:val="0"/>
      <w:marBottom w:val="0"/>
      <w:divBdr>
        <w:top w:val="none" w:sz="0" w:space="0" w:color="auto"/>
        <w:left w:val="none" w:sz="0" w:space="0" w:color="auto"/>
        <w:bottom w:val="none" w:sz="0" w:space="0" w:color="auto"/>
        <w:right w:val="none" w:sz="0" w:space="0" w:color="auto"/>
      </w:divBdr>
    </w:div>
    <w:div w:id="1716395029">
      <w:bodyDiv w:val="1"/>
      <w:marLeft w:val="0"/>
      <w:marRight w:val="0"/>
      <w:marTop w:val="0"/>
      <w:marBottom w:val="0"/>
      <w:divBdr>
        <w:top w:val="none" w:sz="0" w:space="0" w:color="auto"/>
        <w:left w:val="none" w:sz="0" w:space="0" w:color="auto"/>
        <w:bottom w:val="none" w:sz="0" w:space="0" w:color="auto"/>
        <w:right w:val="none" w:sz="0" w:space="0" w:color="auto"/>
      </w:divBdr>
      <w:divsChild>
        <w:div w:id="1207179859">
          <w:marLeft w:val="0"/>
          <w:marRight w:val="0"/>
          <w:marTop w:val="100"/>
          <w:marBottom w:val="100"/>
          <w:divBdr>
            <w:top w:val="none" w:sz="0" w:space="0" w:color="auto"/>
            <w:left w:val="none" w:sz="0" w:space="0" w:color="auto"/>
            <w:bottom w:val="none" w:sz="0" w:space="0" w:color="auto"/>
            <w:right w:val="none" w:sz="0" w:space="0" w:color="auto"/>
          </w:divBdr>
          <w:divsChild>
            <w:div w:id="1961952725">
              <w:marLeft w:val="0"/>
              <w:marRight w:val="0"/>
              <w:marTop w:val="100"/>
              <w:marBottom w:val="100"/>
              <w:divBdr>
                <w:top w:val="none" w:sz="0" w:space="0" w:color="auto"/>
                <w:left w:val="none" w:sz="0" w:space="0" w:color="auto"/>
                <w:bottom w:val="none" w:sz="0" w:space="0" w:color="auto"/>
                <w:right w:val="none" w:sz="0" w:space="0" w:color="auto"/>
              </w:divBdr>
              <w:divsChild>
                <w:div w:id="860122806">
                  <w:marLeft w:val="0"/>
                  <w:marRight w:val="0"/>
                  <w:marTop w:val="0"/>
                  <w:marBottom w:val="0"/>
                  <w:divBdr>
                    <w:top w:val="none" w:sz="0" w:space="0" w:color="auto"/>
                    <w:left w:val="none" w:sz="0" w:space="0" w:color="auto"/>
                    <w:bottom w:val="none" w:sz="0" w:space="0" w:color="auto"/>
                    <w:right w:val="none" w:sz="0" w:space="0" w:color="auto"/>
                  </w:divBdr>
                  <w:divsChild>
                    <w:div w:id="1120952598">
                      <w:marLeft w:val="0"/>
                      <w:marRight w:val="0"/>
                      <w:marTop w:val="0"/>
                      <w:marBottom w:val="0"/>
                      <w:divBdr>
                        <w:top w:val="none" w:sz="0" w:space="0" w:color="auto"/>
                        <w:left w:val="none" w:sz="0" w:space="0" w:color="auto"/>
                        <w:bottom w:val="none" w:sz="0" w:space="0" w:color="auto"/>
                        <w:right w:val="none" w:sz="0" w:space="0" w:color="auto"/>
                      </w:divBdr>
                      <w:divsChild>
                        <w:div w:id="1708604252">
                          <w:marLeft w:val="0"/>
                          <w:marRight w:val="0"/>
                          <w:marTop w:val="0"/>
                          <w:marBottom w:val="0"/>
                          <w:divBdr>
                            <w:top w:val="none" w:sz="0" w:space="0" w:color="auto"/>
                            <w:left w:val="none" w:sz="0" w:space="0" w:color="auto"/>
                            <w:bottom w:val="none" w:sz="0" w:space="0" w:color="auto"/>
                            <w:right w:val="none" w:sz="0" w:space="0" w:color="auto"/>
                          </w:divBdr>
                          <w:divsChild>
                            <w:div w:id="2122677770">
                              <w:marLeft w:val="0"/>
                              <w:marRight w:val="0"/>
                              <w:marTop w:val="0"/>
                              <w:marBottom w:val="0"/>
                              <w:divBdr>
                                <w:top w:val="none" w:sz="0" w:space="0" w:color="auto"/>
                                <w:left w:val="none" w:sz="0" w:space="0" w:color="auto"/>
                                <w:bottom w:val="none" w:sz="0" w:space="0" w:color="auto"/>
                                <w:right w:val="none" w:sz="0" w:space="0" w:color="auto"/>
                              </w:divBdr>
                              <w:divsChild>
                                <w:div w:id="234585323">
                                  <w:marLeft w:val="0"/>
                                  <w:marRight w:val="0"/>
                                  <w:marTop w:val="0"/>
                                  <w:marBottom w:val="0"/>
                                  <w:divBdr>
                                    <w:top w:val="none" w:sz="0" w:space="0" w:color="auto"/>
                                    <w:left w:val="none" w:sz="0" w:space="0" w:color="auto"/>
                                    <w:bottom w:val="none" w:sz="0" w:space="0" w:color="auto"/>
                                    <w:right w:val="none" w:sz="0" w:space="0" w:color="auto"/>
                                  </w:divBdr>
                                  <w:divsChild>
                                    <w:div w:id="215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cyp.wa.gov.au/content/Mental-health.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sonca\Local%20Settings\Temporary%20Internet%20Files\OLK43\Template%20-%20Pre%20Printed%20Letterhead%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AF15-B755-4DA6-8159-83C36C2F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Pre Printed Letterhead .dot</Template>
  <TotalTime>0</TotalTime>
  <Pages>12</Pages>
  <Words>3514</Words>
  <Characters>20034</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Submission to the [enter the recipient of the submission here]</vt:lpstr>
    </vt:vector>
  </TitlesOfParts>
  <Company>..</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[enter the recipient of the submission here]</dc:title>
  <dc:creator>parsonca</dc:creator>
  <cp:lastModifiedBy>Siqi Wen</cp:lastModifiedBy>
  <cp:revision>2</cp:revision>
  <cp:lastPrinted>2013-08-08T08:53:00Z</cp:lastPrinted>
  <dcterms:created xsi:type="dcterms:W3CDTF">2013-08-20T00:42:00Z</dcterms:created>
  <dcterms:modified xsi:type="dcterms:W3CDTF">2013-08-20T00:42:00Z</dcterms:modified>
</cp:coreProperties>
</file>