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951" w:rsidRPr="00654793" w:rsidRDefault="000E1B3E" w:rsidP="00591951">
      <w:pPr>
        <w:tabs>
          <w:tab w:val="left" w:pos="3014"/>
        </w:tabs>
        <w:spacing w:after="3000"/>
        <w:rPr>
          <w:rStyle w:val="FootnoteReference"/>
        </w:rPr>
      </w:pPr>
      <w:r>
        <w:rPr>
          <w:noProof/>
        </w:rPr>
        <mc:AlternateContent>
          <mc:Choice Requires="wps">
            <w:drawing>
              <wp:anchor distT="0" distB="0" distL="114300" distR="114300" simplePos="0" relativeHeight="251656704" behindDoc="0" locked="0" layoutInCell="1" allowOverlap="1" wp14:anchorId="0CA063FC" wp14:editId="0028839B">
                <wp:simplePos x="0" y="0"/>
                <wp:positionH relativeFrom="column">
                  <wp:posOffset>212378</wp:posOffset>
                </wp:positionH>
                <wp:positionV relativeFrom="paragraph">
                  <wp:posOffset>-48380</wp:posOffset>
                </wp:positionV>
                <wp:extent cx="552205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2055" cy="1485900"/>
                        </a:xfrm>
                        <a:prstGeom prst="rect">
                          <a:avLst/>
                        </a:prstGeom>
                        <a:noFill/>
                        <a:ln w="6350">
                          <a:noFill/>
                        </a:ln>
                        <a:effectLst/>
                      </wps:spPr>
                      <wps:txbx>
                        <w:txbxContent>
                          <w:p w:rsidR="00306FFF" w:rsidRDefault="00306FFF" w:rsidP="00FD01B5">
                            <w:pPr>
                              <w:pStyle w:val="MainTitle"/>
                            </w:pPr>
                            <w:r>
                              <w:t>Response to the Public Consultation on the Human Rights of Older Persons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7pt;margin-top:-3.8pt;width:434.8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" filled="f" stroked="f" strokeweight=".5pt">
                <v:path arrowok="t"/>
                <v:textbox>
                  <w:txbxContent>
                    <w:p w:rsidR="007429C1" w:rsidRDefault="000E1B3E" w:rsidP="00FD01B5">
                      <w:pPr>
                        <w:pStyle w:val="MainTitle"/>
                      </w:pPr>
                      <w:r>
                        <w:t xml:space="preserve">Response to the </w:t>
                      </w:r>
                      <w:r w:rsidR="007429C1">
                        <w:t>Public Consultation on the Human Rights of Older Persons</w:t>
                      </w:r>
                    </w:p>
                  </w:txbxContent>
                </v:textbox>
              </v:shape>
            </w:pict>
          </mc:Fallback>
        </mc:AlternateContent>
      </w:r>
      <w:r w:rsidR="001243E2">
        <w:rPr>
          <w:noProof/>
        </w:rPr>
        <mc:AlternateContent>
          <mc:Choice Requires="wps">
            <w:drawing>
              <wp:anchor distT="0" distB="0" distL="114300" distR="114300" simplePos="0" relativeHeight="251657728" behindDoc="0" locked="0" layoutInCell="1" allowOverlap="1" wp14:anchorId="5AA95B5D" wp14:editId="2E22EB0F">
                <wp:simplePos x="0" y="0"/>
                <wp:positionH relativeFrom="column">
                  <wp:posOffset>160619</wp:posOffset>
                </wp:positionH>
                <wp:positionV relativeFrom="paragraph">
                  <wp:posOffset>1452616</wp:posOffset>
                </wp:positionV>
                <wp:extent cx="5576402"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6402" cy="504825"/>
                        </a:xfrm>
                        <a:prstGeom prst="rect">
                          <a:avLst/>
                        </a:prstGeom>
                        <a:noFill/>
                        <a:ln w="6350">
                          <a:noFill/>
                        </a:ln>
                        <a:effectLst/>
                      </wps:spPr>
                      <wps:txbx>
                        <w:txbxContent>
                          <w:p w:rsidR="00306FFF" w:rsidRPr="00B74219" w:rsidRDefault="00306FFF" w:rsidP="00A11307">
                            <w:pPr>
                              <w:pStyle w:val="Subtitle"/>
                            </w:pPr>
                            <w:bookmarkStart w:id="1" w:name="_Toc350787843"/>
                            <w:bookmarkStart w:id="2" w:name="_Toc350787869"/>
                            <w:r w:rsidRPr="002863D7">
                              <w:t>Aust</w:t>
                            </w:r>
                            <w:r>
                              <w:t>ralian Human Rights Commission s</w:t>
                            </w:r>
                            <w:r w:rsidRPr="002863D7">
                              <w:t xml:space="preserve">ubmission to the </w:t>
                            </w:r>
                            <w:r>
                              <w:t>Office of the High Commissioner for Human Rights</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2.65pt;margin-top:114.4pt;width:439.1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" filled="f" stroked="f" strokeweight=".5pt">
                <v:path arrowok="t"/>
                <v:textbox>
                  <w:txbxContent>
                    <w:p w:rsidR="007429C1" w:rsidRPr="00B74219" w:rsidRDefault="007429C1" w:rsidP="00A11307">
                      <w:pPr>
                        <w:pStyle w:val="Subtitle"/>
                      </w:pPr>
                      <w:bookmarkStart w:id="2" w:name="_Toc350787843"/>
                      <w:bookmarkStart w:id="3" w:name="_Toc350787869"/>
                      <w:r w:rsidRPr="002863D7">
                        <w:t>Aust</w:t>
                      </w:r>
                      <w:r>
                        <w:t>ralian Human Rights Commission s</w:t>
                      </w:r>
                      <w:r w:rsidRPr="002863D7">
                        <w:t xml:space="preserve">ubmission to the </w:t>
                      </w:r>
                      <w:r>
                        <w:t>Office of the High Commissioner for Human Rights</w:t>
                      </w:r>
                      <w:bookmarkEnd w:id="2"/>
                      <w:bookmarkEnd w:id="3"/>
                    </w:p>
                  </w:txbxContent>
                </v:textbox>
              </v:shape>
            </w:pict>
          </mc:Fallback>
        </mc:AlternateContent>
      </w:r>
      <w:r w:rsidR="001243E2">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1975485</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306FFF" w:rsidRPr="00B74219" w:rsidRDefault="00306FFF" w:rsidP="002863D7">
                            <w:pPr>
                              <w:pStyle w:val="Date"/>
                            </w:pPr>
                            <w:r>
                              <w:t>15 March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PhFNn0ACAAB/BAAA&#10;DgAAAAAAAAAAAAAAAAAuAgAAZHJzL2Uyb0RvYy54bWxQSwECLQAUAAYACAAAACEA6DI+yd8AAAAL&#10;AQAADwAAAAAAAAAAAAAAAACaBAAAZHJzL2Rvd25yZXYueG1sUEsFBgAAAAAEAAQA8wAAAKYFAAAA&#10;AA==&#10;" filled="f" stroked="f" strokeweight=".5pt">
                <v:path arrowok="t"/>
                <v:textbox>
                  <w:txbxContent>
                    <w:p w:rsidR="007429C1" w:rsidRPr="00B74219" w:rsidRDefault="007429C1" w:rsidP="002863D7">
                      <w:pPr>
                        <w:pStyle w:val="Date"/>
                      </w:pPr>
                      <w:r>
                        <w:t>15 March 2013</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3" w:name="_Toc209316062"/>
      <w:bookmarkEnd w:id="3"/>
    </w:p>
    <w:p w:rsidR="00B63D24" w:rsidRPr="00907336" w:rsidRDefault="00B63D24" w:rsidP="00B63D24">
      <w:pPr>
        <w:rPr>
          <w:b/>
          <w:sz w:val="28"/>
          <w:szCs w:val="28"/>
        </w:rPr>
      </w:pPr>
      <w:bookmarkStart w:id="4" w:name="_Toc207761829"/>
      <w:r w:rsidRPr="00907336">
        <w:rPr>
          <w:b/>
          <w:sz w:val="28"/>
          <w:szCs w:val="28"/>
        </w:rPr>
        <w:lastRenderedPageBreak/>
        <w:t>Table of Contents</w:t>
      </w:r>
      <w:bookmarkEnd w:id="4"/>
    </w:p>
    <w:p w:rsidR="00835D24" w:rsidRDefault="00B63D24">
      <w:pPr>
        <w:pStyle w:val="TOC2"/>
        <w:rPr>
          <w:rFonts w:asciiTheme="minorHAnsi" w:eastAsiaTheme="minorEastAsia" w:hAnsiTheme="minorHAnsi" w:cstheme="minorBidi"/>
          <w:b w:val="0"/>
          <w:i w:val="0"/>
          <w:sz w:val="22"/>
          <w:szCs w:val="22"/>
        </w:rPr>
      </w:pPr>
      <w:r>
        <w:rPr>
          <w:sz w:val="22"/>
        </w:rPr>
        <w:fldChar w:fldCharType="begin"/>
      </w:r>
      <w:r>
        <w:instrText xml:space="preserve"> TOC \o "1-4" \h \z \u </w:instrText>
      </w:r>
      <w:r>
        <w:rPr>
          <w:sz w:val="22"/>
        </w:rPr>
        <w:fldChar w:fldCharType="separate"/>
      </w:r>
      <w:r w:rsidR="00835D24">
        <w:t>Australian Human Rights Commission submission to the Office of the High Commissioner for Human Rights</w:t>
      </w:r>
      <w:r w:rsidR="00835D24">
        <w:rPr>
          <w:webHidden/>
        </w:rPr>
        <w:tab/>
      </w:r>
    </w:p>
    <w:p w:rsidR="00835D24" w:rsidRDefault="001C61A8">
      <w:pPr>
        <w:pStyle w:val="TOC1"/>
        <w:rPr>
          <w:rFonts w:asciiTheme="minorHAnsi" w:eastAsiaTheme="minorEastAsia" w:hAnsiTheme="minorHAnsi" w:cstheme="minorBidi"/>
          <w:b w:val="0"/>
          <w:szCs w:val="22"/>
        </w:rPr>
      </w:pPr>
      <w:hyperlink w:anchor="_Toc350787870" w:history="1">
        <w:r w:rsidR="00835D24" w:rsidRPr="007C5A39">
          <w:rPr>
            <w:rStyle w:val="Hyperlink"/>
          </w:rPr>
          <w:t>1</w:t>
        </w:r>
        <w:r w:rsidR="00835D24">
          <w:rPr>
            <w:rFonts w:asciiTheme="minorHAnsi" w:eastAsiaTheme="minorEastAsia" w:hAnsiTheme="minorHAnsi" w:cstheme="minorBidi"/>
            <w:b w:val="0"/>
            <w:szCs w:val="22"/>
          </w:rPr>
          <w:tab/>
        </w:r>
        <w:r w:rsidR="00835D24" w:rsidRPr="007C5A39">
          <w:rPr>
            <w:rStyle w:val="Hyperlink"/>
          </w:rPr>
          <w:t>Introduction</w:t>
        </w:r>
        <w:r w:rsidR="00835D24">
          <w:rPr>
            <w:webHidden/>
          </w:rPr>
          <w:tab/>
        </w:r>
        <w:r w:rsidR="00835D24">
          <w:rPr>
            <w:webHidden/>
          </w:rPr>
          <w:fldChar w:fldCharType="begin"/>
        </w:r>
        <w:r w:rsidR="00835D24">
          <w:rPr>
            <w:webHidden/>
          </w:rPr>
          <w:instrText xml:space="preserve"> PAGEREF _Toc350787870 \h </w:instrText>
        </w:r>
        <w:r w:rsidR="00835D24">
          <w:rPr>
            <w:webHidden/>
          </w:rPr>
        </w:r>
        <w:r w:rsidR="00835D24">
          <w:rPr>
            <w:webHidden/>
          </w:rPr>
          <w:fldChar w:fldCharType="separate"/>
        </w:r>
        <w:r w:rsidR="00835D24">
          <w:rPr>
            <w:webHidden/>
          </w:rPr>
          <w:t>3</w:t>
        </w:r>
        <w:r w:rsidR="00835D24">
          <w:rPr>
            <w:webHidden/>
          </w:rPr>
          <w:fldChar w:fldCharType="end"/>
        </w:r>
      </w:hyperlink>
    </w:p>
    <w:p w:rsidR="00835D24" w:rsidRDefault="001C61A8">
      <w:pPr>
        <w:pStyle w:val="TOC1"/>
        <w:rPr>
          <w:rFonts w:asciiTheme="minorHAnsi" w:eastAsiaTheme="minorEastAsia" w:hAnsiTheme="minorHAnsi" w:cstheme="minorBidi"/>
          <w:b w:val="0"/>
          <w:szCs w:val="22"/>
        </w:rPr>
      </w:pPr>
      <w:hyperlink w:anchor="_Toc350787871" w:history="1">
        <w:r w:rsidR="00835D24" w:rsidRPr="007C5A39">
          <w:rPr>
            <w:rStyle w:val="Hyperlink"/>
          </w:rPr>
          <w:t>2</w:t>
        </w:r>
        <w:r w:rsidR="00835D24">
          <w:rPr>
            <w:rFonts w:asciiTheme="minorHAnsi" w:eastAsiaTheme="minorEastAsia" w:hAnsiTheme="minorHAnsi" w:cstheme="minorBidi"/>
            <w:b w:val="0"/>
            <w:szCs w:val="22"/>
          </w:rPr>
          <w:tab/>
        </w:r>
        <w:r w:rsidR="00835D24" w:rsidRPr="007C5A39">
          <w:rPr>
            <w:rStyle w:val="Hyperlink"/>
          </w:rPr>
          <w:t>Information on the main challenges related to the promotion and protection of the human rights of older persons at the country level</w:t>
        </w:r>
        <w:r w:rsidR="00835D24">
          <w:rPr>
            <w:webHidden/>
          </w:rPr>
          <w:tab/>
        </w:r>
        <w:r w:rsidR="00835D24">
          <w:rPr>
            <w:webHidden/>
          </w:rPr>
          <w:fldChar w:fldCharType="begin"/>
        </w:r>
        <w:r w:rsidR="00835D24">
          <w:rPr>
            <w:webHidden/>
          </w:rPr>
          <w:instrText xml:space="preserve"> PAGEREF _Toc350787871 \h </w:instrText>
        </w:r>
        <w:r w:rsidR="00835D24">
          <w:rPr>
            <w:webHidden/>
          </w:rPr>
        </w:r>
        <w:r w:rsidR="00835D24">
          <w:rPr>
            <w:webHidden/>
          </w:rPr>
          <w:fldChar w:fldCharType="separate"/>
        </w:r>
        <w:r w:rsidR="00835D24">
          <w:rPr>
            <w:webHidden/>
          </w:rPr>
          <w:t>4</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2" w:history="1">
        <w:r w:rsidR="00835D24" w:rsidRPr="007C5A39">
          <w:rPr>
            <w:rStyle w:val="Hyperlink"/>
          </w:rPr>
          <w:t>2.1</w:t>
        </w:r>
        <w:r w:rsidR="00835D24">
          <w:rPr>
            <w:rFonts w:asciiTheme="minorHAnsi" w:eastAsiaTheme="minorEastAsia" w:hAnsiTheme="minorHAnsi" w:cstheme="minorBidi"/>
            <w:b w:val="0"/>
            <w:i w:val="0"/>
            <w:sz w:val="22"/>
            <w:szCs w:val="22"/>
          </w:rPr>
          <w:tab/>
        </w:r>
        <w:r w:rsidR="00835D24" w:rsidRPr="007C5A39">
          <w:rPr>
            <w:rStyle w:val="Hyperlink"/>
          </w:rPr>
          <w:t>Health and aged care</w:t>
        </w:r>
        <w:r w:rsidR="00835D24">
          <w:rPr>
            <w:webHidden/>
          </w:rPr>
          <w:tab/>
        </w:r>
        <w:r w:rsidR="00835D24">
          <w:rPr>
            <w:webHidden/>
          </w:rPr>
          <w:fldChar w:fldCharType="begin"/>
        </w:r>
        <w:r w:rsidR="00835D24">
          <w:rPr>
            <w:webHidden/>
          </w:rPr>
          <w:instrText xml:space="preserve"> PAGEREF _Toc350787872 \h </w:instrText>
        </w:r>
        <w:r w:rsidR="00835D24">
          <w:rPr>
            <w:webHidden/>
          </w:rPr>
        </w:r>
        <w:r w:rsidR="00835D24">
          <w:rPr>
            <w:webHidden/>
          </w:rPr>
          <w:fldChar w:fldCharType="separate"/>
        </w:r>
        <w:r w:rsidR="00835D24">
          <w:rPr>
            <w:webHidden/>
          </w:rPr>
          <w:t>4</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3" w:history="1">
        <w:r w:rsidR="00835D24" w:rsidRPr="007C5A39">
          <w:rPr>
            <w:rStyle w:val="Hyperlink"/>
          </w:rPr>
          <w:t>2.2</w:t>
        </w:r>
        <w:r w:rsidR="00835D24">
          <w:rPr>
            <w:rFonts w:asciiTheme="minorHAnsi" w:eastAsiaTheme="minorEastAsia" w:hAnsiTheme="minorHAnsi" w:cstheme="minorBidi"/>
            <w:b w:val="0"/>
            <w:i w:val="0"/>
            <w:sz w:val="22"/>
            <w:szCs w:val="22"/>
          </w:rPr>
          <w:tab/>
        </w:r>
        <w:r w:rsidR="00835D24" w:rsidRPr="007C5A39">
          <w:rPr>
            <w:rStyle w:val="Hyperlink"/>
          </w:rPr>
          <w:t>Access to information and participation in decision-making</w:t>
        </w:r>
        <w:r w:rsidR="00835D24">
          <w:rPr>
            <w:webHidden/>
          </w:rPr>
          <w:tab/>
        </w:r>
        <w:r w:rsidR="00835D24">
          <w:rPr>
            <w:webHidden/>
          </w:rPr>
          <w:fldChar w:fldCharType="begin"/>
        </w:r>
        <w:r w:rsidR="00835D24">
          <w:rPr>
            <w:webHidden/>
          </w:rPr>
          <w:instrText xml:space="preserve"> PAGEREF _Toc350787873 \h </w:instrText>
        </w:r>
        <w:r w:rsidR="00835D24">
          <w:rPr>
            <w:webHidden/>
          </w:rPr>
        </w:r>
        <w:r w:rsidR="00835D24">
          <w:rPr>
            <w:webHidden/>
          </w:rPr>
          <w:fldChar w:fldCharType="separate"/>
        </w:r>
        <w:r w:rsidR="00835D24">
          <w:rPr>
            <w:webHidden/>
          </w:rPr>
          <w:t>5</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4" w:history="1">
        <w:r w:rsidR="00835D24" w:rsidRPr="007C5A39">
          <w:rPr>
            <w:rStyle w:val="Hyperlink"/>
          </w:rPr>
          <w:t>2.3</w:t>
        </w:r>
        <w:r w:rsidR="00835D24">
          <w:rPr>
            <w:rFonts w:asciiTheme="minorHAnsi" w:eastAsiaTheme="minorEastAsia" w:hAnsiTheme="minorHAnsi" w:cstheme="minorBidi"/>
            <w:b w:val="0"/>
            <w:i w:val="0"/>
            <w:sz w:val="22"/>
            <w:szCs w:val="22"/>
          </w:rPr>
          <w:tab/>
        </w:r>
        <w:r w:rsidR="00835D24" w:rsidRPr="007C5A39">
          <w:rPr>
            <w:rStyle w:val="Hyperlink"/>
          </w:rPr>
          <w:t>Access to housing</w:t>
        </w:r>
        <w:r w:rsidR="00835D24">
          <w:rPr>
            <w:webHidden/>
          </w:rPr>
          <w:tab/>
        </w:r>
        <w:r w:rsidR="00835D24">
          <w:rPr>
            <w:webHidden/>
          </w:rPr>
          <w:fldChar w:fldCharType="begin"/>
        </w:r>
        <w:r w:rsidR="00835D24">
          <w:rPr>
            <w:webHidden/>
          </w:rPr>
          <w:instrText xml:space="preserve"> PAGEREF _Toc350787874 \h </w:instrText>
        </w:r>
        <w:r w:rsidR="00835D24">
          <w:rPr>
            <w:webHidden/>
          </w:rPr>
        </w:r>
        <w:r w:rsidR="00835D24">
          <w:rPr>
            <w:webHidden/>
          </w:rPr>
          <w:fldChar w:fldCharType="separate"/>
        </w:r>
        <w:r w:rsidR="00835D24">
          <w:rPr>
            <w:webHidden/>
          </w:rPr>
          <w:t>5</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5" w:history="1">
        <w:r w:rsidR="00835D24" w:rsidRPr="007C5A39">
          <w:rPr>
            <w:rStyle w:val="Hyperlink"/>
          </w:rPr>
          <w:t>2.4</w:t>
        </w:r>
        <w:r w:rsidR="00835D24">
          <w:rPr>
            <w:rFonts w:asciiTheme="minorHAnsi" w:eastAsiaTheme="minorEastAsia" w:hAnsiTheme="minorHAnsi" w:cstheme="minorBidi"/>
            <w:b w:val="0"/>
            <w:i w:val="0"/>
            <w:sz w:val="22"/>
            <w:szCs w:val="22"/>
          </w:rPr>
          <w:tab/>
        </w:r>
        <w:r w:rsidR="00835D24" w:rsidRPr="007C5A39">
          <w:rPr>
            <w:rStyle w:val="Hyperlink"/>
          </w:rPr>
          <w:t>Poverty and social insecurity</w:t>
        </w:r>
        <w:r w:rsidR="00835D24">
          <w:rPr>
            <w:webHidden/>
          </w:rPr>
          <w:tab/>
        </w:r>
        <w:r w:rsidR="00835D24">
          <w:rPr>
            <w:webHidden/>
          </w:rPr>
          <w:fldChar w:fldCharType="begin"/>
        </w:r>
        <w:r w:rsidR="00835D24">
          <w:rPr>
            <w:webHidden/>
          </w:rPr>
          <w:instrText xml:space="preserve"> PAGEREF _Toc350787875 \h </w:instrText>
        </w:r>
        <w:r w:rsidR="00835D24">
          <w:rPr>
            <w:webHidden/>
          </w:rPr>
        </w:r>
        <w:r w:rsidR="00835D24">
          <w:rPr>
            <w:webHidden/>
          </w:rPr>
          <w:fldChar w:fldCharType="separate"/>
        </w:r>
        <w:r w:rsidR="00835D24">
          <w:rPr>
            <w:webHidden/>
          </w:rPr>
          <w:t>5</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6" w:history="1">
        <w:r w:rsidR="00835D24" w:rsidRPr="007C5A39">
          <w:rPr>
            <w:rStyle w:val="Hyperlink"/>
          </w:rPr>
          <w:t>2.5</w:t>
        </w:r>
        <w:r w:rsidR="00835D24">
          <w:rPr>
            <w:rFonts w:asciiTheme="minorHAnsi" w:eastAsiaTheme="minorEastAsia" w:hAnsiTheme="minorHAnsi" w:cstheme="minorBidi"/>
            <w:b w:val="0"/>
            <w:i w:val="0"/>
            <w:sz w:val="22"/>
            <w:szCs w:val="22"/>
          </w:rPr>
          <w:tab/>
        </w:r>
        <w:r w:rsidR="00835D24" w:rsidRPr="007C5A39">
          <w:rPr>
            <w:rStyle w:val="Hyperlink"/>
          </w:rPr>
          <w:t>Access to employment</w:t>
        </w:r>
        <w:r w:rsidR="00835D24">
          <w:rPr>
            <w:webHidden/>
          </w:rPr>
          <w:tab/>
        </w:r>
        <w:r w:rsidR="00835D24">
          <w:rPr>
            <w:webHidden/>
          </w:rPr>
          <w:fldChar w:fldCharType="begin"/>
        </w:r>
        <w:r w:rsidR="00835D24">
          <w:rPr>
            <w:webHidden/>
          </w:rPr>
          <w:instrText xml:space="preserve"> PAGEREF _Toc350787876 \h </w:instrText>
        </w:r>
        <w:r w:rsidR="00835D24">
          <w:rPr>
            <w:webHidden/>
          </w:rPr>
        </w:r>
        <w:r w:rsidR="00835D24">
          <w:rPr>
            <w:webHidden/>
          </w:rPr>
          <w:fldChar w:fldCharType="separate"/>
        </w:r>
        <w:r w:rsidR="00835D24">
          <w:rPr>
            <w:webHidden/>
          </w:rPr>
          <w:t>6</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7" w:history="1">
        <w:r w:rsidR="00835D24" w:rsidRPr="007C5A39">
          <w:rPr>
            <w:rStyle w:val="Hyperlink"/>
          </w:rPr>
          <w:t>2.6</w:t>
        </w:r>
        <w:r w:rsidR="00835D24">
          <w:rPr>
            <w:rFonts w:asciiTheme="minorHAnsi" w:eastAsiaTheme="minorEastAsia" w:hAnsiTheme="minorHAnsi" w:cstheme="minorBidi"/>
            <w:b w:val="0"/>
            <w:i w:val="0"/>
            <w:sz w:val="22"/>
            <w:szCs w:val="22"/>
          </w:rPr>
          <w:tab/>
        </w:r>
        <w:r w:rsidR="00835D24" w:rsidRPr="007C5A39">
          <w:rPr>
            <w:rStyle w:val="Hyperlink"/>
          </w:rPr>
          <w:t>Discrimination</w:t>
        </w:r>
        <w:r w:rsidR="00835D24">
          <w:rPr>
            <w:webHidden/>
          </w:rPr>
          <w:tab/>
        </w:r>
        <w:r w:rsidR="00835D24">
          <w:rPr>
            <w:webHidden/>
          </w:rPr>
          <w:fldChar w:fldCharType="begin"/>
        </w:r>
        <w:r w:rsidR="00835D24">
          <w:rPr>
            <w:webHidden/>
          </w:rPr>
          <w:instrText xml:space="preserve"> PAGEREF _Toc350787877 \h </w:instrText>
        </w:r>
        <w:r w:rsidR="00835D24">
          <w:rPr>
            <w:webHidden/>
          </w:rPr>
        </w:r>
        <w:r w:rsidR="00835D24">
          <w:rPr>
            <w:webHidden/>
          </w:rPr>
          <w:fldChar w:fldCharType="separate"/>
        </w:r>
        <w:r w:rsidR="00835D24">
          <w:rPr>
            <w:webHidden/>
          </w:rPr>
          <w:t>6</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78" w:history="1">
        <w:r w:rsidR="00835D24" w:rsidRPr="007C5A39">
          <w:rPr>
            <w:rStyle w:val="Hyperlink"/>
          </w:rPr>
          <w:t>2.7</w:t>
        </w:r>
        <w:r w:rsidR="00835D24">
          <w:rPr>
            <w:rFonts w:asciiTheme="minorHAnsi" w:eastAsiaTheme="minorEastAsia" w:hAnsiTheme="minorHAnsi" w:cstheme="minorBidi"/>
            <w:b w:val="0"/>
            <w:i w:val="0"/>
            <w:sz w:val="22"/>
            <w:szCs w:val="22"/>
          </w:rPr>
          <w:tab/>
        </w:r>
        <w:r w:rsidR="00835D24" w:rsidRPr="007C5A39">
          <w:rPr>
            <w:rStyle w:val="Hyperlink"/>
          </w:rPr>
          <w:t>Vulnerable groups</w:t>
        </w:r>
        <w:r w:rsidR="00835D24">
          <w:rPr>
            <w:webHidden/>
          </w:rPr>
          <w:tab/>
        </w:r>
        <w:r w:rsidR="00835D24">
          <w:rPr>
            <w:webHidden/>
          </w:rPr>
          <w:fldChar w:fldCharType="begin"/>
        </w:r>
        <w:r w:rsidR="00835D24">
          <w:rPr>
            <w:webHidden/>
          </w:rPr>
          <w:instrText xml:space="preserve"> PAGEREF _Toc350787878 \h </w:instrText>
        </w:r>
        <w:r w:rsidR="00835D24">
          <w:rPr>
            <w:webHidden/>
          </w:rPr>
        </w:r>
        <w:r w:rsidR="00835D24">
          <w:rPr>
            <w:webHidden/>
          </w:rPr>
          <w:fldChar w:fldCharType="separate"/>
        </w:r>
        <w:r w:rsidR="00835D24">
          <w:rPr>
            <w:webHidden/>
          </w:rPr>
          <w:t>7</w:t>
        </w:r>
        <w:r w:rsidR="00835D24">
          <w:rPr>
            <w:webHidden/>
          </w:rPr>
          <w:fldChar w:fldCharType="end"/>
        </w:r>
      </w:hyperlink>
    </w:p>
    <w:p w:rsidR="00835D24" w:rsidRDefault="001C61A8">
      <w:pPr>
        <w:pStyle w:val="TOC1"/>
        <w:rPr>
          <w:rFonts w:asciiTheme="minorHAnsi" w:eastAsiaTheme="minorEastAsia" w:hAnsiTheme="minorHAnsi" w:cstheme="minorBidi"/>
          <w:b w:val="0"/>
          <w:szCs w:val="22"/>
        </w:rPr>
      </w:pPr>
      <w:hyperlink w:anchor="_Toc350787879" w:history="1">
        <w:r w:rsidR="00835D24" w:rsidRPr="007C5A39">
          <w:rPr>
            <w:rStyle w:val="Hyperlink"/>
          </w:rPr>
          <w:t>3</w:t>
        </w:r>
        <w:r w:rsidR="00835D24">
          <w:rPr>
            <w:rFonts w:asciiTheme="minorHAnsi" w:eastAsiaTheme="minorEastAsia" w:hAnsiTheme="minorHAnsi" w:cstheme="minorBidi"/>
            <w:b w:val="0"/>
            <w:szCs w:val="22"/>
          </w:rPr>
          <w:tab/>
        </w:r>
        <w:r w:rsidR="00835D24" w:rsidRPr="007C5A39">
          <w:rPr>
            <w:rStyle w:val="Hyperlink"/>
          </w:rPr>
          <w:t>Information on constitutions or legislation explicitly forbidding discrimination on the basis of old age, and on the existence of specific bodies which protect against age discrimination or are mandated to protect and promote the rights of older persons</w:t>
        </w:r>
        <w:r w:rsidR="00835D24">
          <w:rPr>
            <w:webHidden/>
          </w:rPr>
          <w:tab/>
        </w:r>
        <w:r w:rsidR="00835D24">
          <w:rPr>
            <w:webHidden/>
          </w:rPr>
          <w:fldChar w:fldCharType="begin"/>
        </w:r>
        <w:r w:rsidR="00835D24">
          <w:rPr>
            <w:webHidden/>
          </w:rPr>
          <w:instrText xml:space="preserve"> PAGEREF _Toc350787879 \h </w:instrText>
        </w:r>
        <w:r w:rsidR="00835D24">
          <w:rPr>
            <w:webHidden/>
          </w:rPr>
        </w:r>
        <w:r w:rsidR="00835D24">
          <w:rPr>
            <w:webHidden/>
          </w:rPr>
          <w:fldChar w:fldCharType="separate"/>
        </w:r>
        <w:r w:rsidR="00835D24">
          <w:rPr>
            <w:webHidden/>
          </w:rPr>
          <w:t>8</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0" w:history="1">
        <w:r w:rsidR="00835D24" w:rsidRPr="007C5A39">
          <w:rPr>
            <w:rStyle w:val="Hyperlink"/>
          </w:rPr>
          <w:t>3.1</w:t>
        </w:r>
        <w:r w:rsidR="00835D24">
          <w:rPr>
            <w:rFonts w:asciiTheme="minorHAnsi" w:eastAsiaTheme="minorEastAsia" w:hAnsiTheme="minorHAnsi" w:cstheme="minorBidi"/>
            <w:b w:val="0"/>
            <w:i w:val="0"/>
            <w:sz w:val="22"/>
            <w:szCs w:val="22"/>
          </w:rPr>
          <w:tab/>
        </w:r>
        <w:r w:rsidR="00835D24" w:rsidRPr="007C5A39">
          <w:rPr>
            <w:rStyle w:val="Hyperlink"/>
          </w:rPr>
          <w:t>Domestic legislation</w:t>
        </w:r>
        <w:r w:rsidR="00835D24">
          <w:rPr>
            <w:webHidden/>
          </w:rPr>
          <w:tab/>
        </w:r>
        <w:r w:rsidR="00835D24">
          <w:rPr>
            <w:webHidden/>
          </w:rPr>
          <w:fldChar w:fldCharType="begin"/>
        </w:r>
        <w:r w:rsidR="00835D24">
          <w:rPr>
            <w:webHidden/>
          </w:rPr>
          <w:instrText xml:space="preserve"> PAGEREF _Toc350787880 \h </w:instrText>
        </w:r>
        <w:r w:rsidR="00835D24">
          <w:rPr>
            <w:webHidden/>
          </w:rPr>
        </w:r>
        <w:r w:rsidR="00835D24">
          <w:rPr>
            <w:webHidden/>
          </w:rPr>
          <w:fldChar w:fldCharType="separate"/>
        </w:r>
        <w:r w:rsidR="00835D24">
          <w:rPr>
            <w:webHidden/>
          </w:rPr>
          <w:t>8</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1" w:history="1">
        <w:r w:rsidR="00835D24" w:rsidRPr="007C5A39">
          <w:rPr>
            <w:rStyle w:val="Hyperlink"/>
          </w:rPr>
          <w:t>3.2</w:t>
        </w:r>
        <w:r w:rsidR="00835D24">
          <w:rPr>
            <w:rFonts w:asciiTheme="minorHAnsi" w:eastAsiaTheme="minorEastAsia" w:hAnsiTheme="minorHAnsi" w:cstheme="minorBidi"/>
            <w:b w:val="0"/>
            <w:i w:val="0"/>
            <w:sz w:val="22"/>
            <w:szCs w:val="22"/>
          </w:rPr>
          <w:tab/>
        </w:r>
        <w:r w:rsidR="00835D24" w:rsidRPr="007C5A39">
          <w:rPr>
            <w:rStyle w:val="Hyperlink"/>
          </w:rPr>
          <w:t>Specific bodies</w:t>
        </w:r>
        <w:r w:rsidR="00835D24">
          <w:rPr>
            <w:webHidden/>
          </w:rPr>
          <w:tab/>
        </w:r>
        <w:r w:rsidR="00835D24">
          <w:rPr>
            <w:webHidden/>
          </w:rPr>
          <w:fldChar w:fldCharType="begin"/>
        </w:r>
        <w:r w:rsidR="00835D24">
          <w:rPr>
            <w:webHidden/>
          </w:rPr>
          <w:instrText xml:space="preserve"> PAGEREF _Toc350787881 \h </w:instrText>
        </w:r>
        <w:r w:rsidR="00835D24">
          <w:rPr>
            <w:webHidden/>
          </w:rPr>
        </w:r>
        <w:r w:rsidR="00835D24">
          <w:rPr>
            <w:webHidden/>
          </w:rPr>
          <w:fldChar w:fldCharType="separate"/>
        </w:r>
        <w:r w:rsidR="00835D24">
          <w:rPr>
            <w:webHidden/>
          </w:rPr>
          <w:t>9</w:t>
        </w:r>
        <w:r w:rsidR="00835D24">
          <w:rPr>
            <w:webHidden/>
          </w:rPr>
          <w:fldChar w:fldCharType="end"/>
        </w:r>
      </w:hyperlink>
    </w:p>
    <w:p w:rsidR="00835D24" w:rsidRDefault="001C61A8">
      <w:pPr>
        <w:pStyle w:val="TOC1"/>
        <w:rPr>
          <w:rFonts w:asciiTheme="minorHAnsi" w:eastAsiaTheme="minorEastAsia" w:hAnsiTheme="minorHAnsi" w:cstheme="minorBidi"/>
          <w:b w:val="0"/>
          <w:szCs w:val="22"/>
        </w:rPr>
      </w:pPr>
      <w:hyperlink w:anchor="_Toc350787882" w:history="1">
        <w:r w:rsidR="00835D24" w:rsidRPr="007C5A39">
          <w:rPr>
            <w:rStyle w:val="Hyperlink"/>
          </w:rPr>
          <w:t>4</w:t>
        </w:r>
        <w:r w:rsidR="00835D24">
          <w:rPr>
            <w:rFonts w:asciiTheme="minorHAnsi" w:eastAsiaTheme="minorEastAsia" w:hAnsiTheme="minorHAnsi" w:cstheme="minorBidi"/>
            <w:b w:val="0"/>
            <w:szCs w:val="22"/>
          </w:rPr>
          <w:tab/>
        </w:r>
        <w:r w:rsidR="00835D24" w:rsidRPr="007C5A39">
          <w:rPr>
            <w:rStyle w:val="Hyperlink"/>
          </w:rPr>
          <w:t>Information on specific national legislation, national policies, strategies and plans of action adopted to ensure the equal enjoyment of rights by older persons in various areas</w:t>
        </w:r>
        <w:r w:rsidR="00835D24">
          <w:rPr>
            <w:webHidden/>
          </w:rPr>
          <w:tab/>
        </w:r>
        <w:r w:rsidR="00835D24">
          <w:rPr>
            <w:webHidden/>
          </w:rPr>
          <w:fldChar w:fldCharType="begin"/>
        </w:r>
        <w:r w:rsidR="00835D24">
          <w:rPr>
            <w:webHidden/>
          </w:rPr>
          <w:instrText xml:space="preserve"> PAGEREF _Toc350787882 \h </w:instrText>
        </w:r>
        <w:r w:rsidR="00835D24">
          <w:rPr>
            <w:webHidden/>
          </w:rPr>
        </w:r>
        <w:r w:rsidR="00835D24">
          <w:rPr>
            <w:webHidden/>
          </w:rPr>
          <w:fldChar w:fldCharType="separate"/>
        </w:r>
        <w:r w:rsidR="00835D24">
          <w:rPr>
            <w:webHidden/>
          </w:rPr>
          <w:t>10</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3" w:history="1">
        <w:r w:rsidR="00835D24" w:rsidRPr="007C5A39">
          <w:rPr>
            <w:rStyle w:val="Hyperlink"/>
          </w:rPr>
          <w:t>4.1</w:t>
        </w:r>
        <w:r w:rsidR="00835D24">
          <w:rPr>
            <w:rFonts w:asciiTheme="minorHAnsi" w:eastAsiaTheme="minorEastAsia" w:hAnsiTheme="minorHAnsi" w:cstheme="minorBidi"/>
            <w:b w:val="0"/>
            <w:i w:val="0"/>
            <w:sz w:val="22"/>
            <w:szCs w:val="22"/>
          </w:rPr>
          <w:tab/>
        </w:r>
        <w:r w:rsidR="00835D24" w:rsidRPr="007C5A39">
          <w:rPr>
            <w:rStyle w:val="Hyperlink"/>
          </w:rPr>
          <w:t>National Human Rights Framework</w:t>
        </w:r>
        <w:r w:rsidR="00835D24">
          <w:rPr>
            <w:webHidden/>
          </w:rPr>
          <w:tab/>
        </w:r>
        <w:r w:rsidR="00835D24">
          <w:rPr>
            <w:webHidden/>
          </w:rPr>
          <w:fldChar w:fldCharType="begin"/>
        </w:r>
        <w:r w:rsidR="00835D24">
          <w:rPr>
            <w:webHidden/>
          </w:rPr>
          <w:instrText xml:space="preserve"> PAGEREF _Toc350787883 \h </w:instrText>
        </w:r>
        <w:r w:rsidR="00835D24">
          <w:rPr>
            <w:webHidden/>
          </w:rPr>
        </w:r>
        <w:r w:rsidR="00835D24">
          <w:rPr>
            <w:webHidden/>
          </w:rPr>
          <w:fldChar w:fldCharType="separate"/>
        </w:r>
        <w:r w:rsidR="00835D24">
          <w:rPr>
            <w:webHidden/>
          </w:rPr>
          <w:t>11</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4" w:history="1">
        <w:r w:rsidR="00835D24" w:rsidRPr="007C5A39">
          <w:rPr>
            <w:rStyle w:val="Hyperlink"/>
          </w:rPr>
          <w:t>4.2</w:t>
        </w:r>
        <w:r w:rsidR="00835D24">
          <w:rPr>
            <w:rFonts w:asciiTheme="minorHAnsi" w:eastAsiaTheme="minorEastAsia" w:hAnsiTheme="minorHAnsi" w:cstheme="minorBidi"/>
            <w:b w:val="0"/>
            <w:i w:val="0"/>
            <w:sz w:val="22"/>
            <w:szCs w:val="22"/>
          </w:rPr>
          <w:tab/>
        </w:r>
        <w:r w:rsidR="00835D24" w:rsidRPr="007C5A39">
          <w:rPr>
            <w:rStyle w:val="Hyperlink"/>
          </w:rPr>
          <w:t>Violence and abuse</w:t>
        </w:r>
        <w:r w:rsidR="00835D24">
          <w:rPr>
            <w:webHidden/>
          </w:rPr>
          <w:tab/>
        </w:r>
        <w:r w:rsidR="00835D24">
          <w:rPr>
            <w:webHidden/>
          </w:rPr>
          <w:fldChar w:fldCharType="begin"/>
        </w:r>
        <w:r w:rsidR="00835D24">
          <w:rPr>
            <w:webHidden/>
          </w:rPr>
          <w:instrText xml:space="preserve"> PAGEREF _Toc350787884 \h </w:instrText>
        </w:r>
        <w:r w:rsidR="00835D24">
          <w:rPr>
            <w:webHidden/>
          </w:rPr>
        </w:r>
        <w:r w:rsidR="00835D24">
          <w:rPr>
            <w:webHidden/>
          </w:rPr>
          <w:fldChar w:fldCharType="separate"/>
        </w:r>
        <w:r w:rsidR="00835D24">
          <w:rPr>
            <w:webHidden/>
          </w:rPr>
          <w:t>11</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5" w:history="1">
        <w:r w:rsidR="00835D24" w:rsidRPr="007C5A39">
          <w:rPr>
            <w:rStyle w:val="Hyperlink"/>
          </w:rPr>
          <w:t>4.3</w:t>
        </w:r>
        <w:r w:rsidR="00835D24">
          <w:rPr>
            <w:rFonts w:asciiTheme="minorHAnsi" w:eastAsiaTheme="minorEastAsia" w:hAnsiTheme="minorHAnsi" w:cstheme="minorBidi"/>
            <w:b w:val="0"/>
            <w:i w:val="0"/>
            <w:sz w:val="22"/>
            <w:szCs w:val="22"/>
          </w:rPr>
          <w:tab/>
        </w:r>
        <w:r w:rsidR="00835D24" w:rsidRPr="007C5A39">
          <w:rPr>
            <w:rStyle w:val="Hyperlink"/>
          </w:rPr>
          <w:t>Social protection and financial security</w:t>
        </w:r>
        <w:r w:rsidR="00835D24">
          <w:rPr>
            <w:webHidden/>
          </w:rPr>
          <w:tab/>
        </w:r>
        <w:r w:rsidR="00835D24">
          <w:rPr>
            <w:webHidden/>
          </w:rPr>
          <w:fldChar w:fldCharType="begin"/>
        </w:r>
        <w:r w:rsidR="00835D24">
          <w:rPr>
            <w:webHidden/>
          </w:rPr>
          <w:instrText xml:space="preserve"> PAGEREF _Toc350787885 \h </w:instrText>
        </w:r>
        <w:r w:rsidR="00835D24">
          <w:rPr>
            <w:webHidden/>
          </w:rPr>
        </w:r>
        <w:r w:rsidR="00835D24">
          <w:rPr>
            <w:webHidden/>
          </w:rPr>
          <w:fldChar w:fldCharType="separate"/>
        </w:r>
        <w:r w:rsidR="00835D24">
          <w:rPr>
            <w:webHidden/>
          </w:rPr>
          <w:t>12</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6" w:history="1">
        <w:r w:rsidR="00835D24" w:rsidRPr="007C5A39">
          <w:rPr>
            <w:rStyle w:val="Hyperlink"/>
          </w:rPr>
          <w:t>4.4</w:t>
        </w:r>
        <w:r w:rsidR="00835D24">
          <w:rPr>
            <w:rFonts w:asciiTheme="minorHAnsi" w:eastAsiaTheme="minorEastAsia" w:hAnsiTheme="minorHAnsi" w:cstheme="minorBidi"/>
            <w:b w:val="0"/>
            <w:i w:val="0"/>
            <w:sz w:val="22"/>
            <w:szCs w:val="22"/>
          </w:rPr>
          <w:tab/>
        </w:r>
        <w:r w:rsidR="00835D24" w:rsidRPr="007C5A39">
          <w:rPr>
            <w:rStyle w:val="Hyperlink"/>
          </w:rPr>
          <w:t>Food and housing</w:t>
        </w:r>
        <w:r w:rsidR="00835D24">
          <w:rPr>
            <w:webHidden/>
          </w:rPr>
          <w:tab/>
        </w:r>
        <w:r w:rsidR="00835D24">
          <w:rPr>
            <w:webHidden/>
          </w:rPr>
          <w:fldChar w:fldCharType="begin"/>
        </w:r>
        <w:r w:rsidR="00835D24">
          <w:rPr>
            <w:webHidden/>
          </w:rPr>
          <w:instrText xml:space="preserve"> PAGEREF _Toc350787886 \h </w:instrText>
        </w:r>
        <w:r w:rsidR="00835D24">
          <w:rPr>
            <w:webHidden/>
          </w:rPr>
        </w:r>
        <w:r w:rsidR="00835D24">
          <w:rPr>
            <w:webHidden/>
          </w:rPr>
          <w:fldChar w:fldCharType="separate"/>
        </w:r>
        <w:r w:rsidR="00835D24">
          <w:rPr>
            <w:webHidden/>
          </w:rPr>
          <w:t>12</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7" w:history="1">
        <w:r w:rsidR="00835D24" w:rsidRPr="007C5A39">
          <w:rPr>
            <w:rStyle w:val="Hyperlink"/>
          </w:rPr>
          <w:t>4.5</w:t>
        </w:r>
        <w:r w:rsidR="00835D24">
          <w:rPr>
            <w:rFonts w:asciiTheme="minorHAnsi" w:eastAsiaTheme="minorEastAsia" w:hAnsiTheme="minorHAnsi" w:cstheme="minorBidi"/>
            <w:b w:val="0"/>
            <w:i w:val="0"/>
            <w:sz w:val="22"/>
            <w:szCs w:val="22"/>
          </w:rPr>
          <w:tab/>
        </w:r>
        <w:r w:rsidR="00835D24" w:rsidRPr="007C5A39">
          <w:rPr>
            <w:rStyle w:val="Hyperlink"/>
          </w:rPr>
          <w:t>Employment and education</w:t>
        </w:r>
        <w:r w:rsidR="00835D24">
          <w:rPr>
            <w:webHidden/>
          </w:rPr>
          <w:tab/>
        </w:r>
        <w:r w:rsidR="00835D24">
          <w:rPr>
            <w:webHidden/>
          </w:rPr>
          <w:fldChar w:fldCharType="begin"/>
        </w:r>
        <w:r w:rsidR="00835D24">
          <w:rPr>
            <w:webHidden/>
          </w:rPr>
          <w:instrText xml:space="preserve"> PAGEREF _Toc350787887 \h </w:instrText>
        </w:r>
        <w:r w:rsidR="00835D24">
          <w:rPr>
            <w:webHidden/>
          </w:rPr>
        </w:r>
        <w:r w:rsidR="00835D24">
          <w:rPr>
            <w:webHidden/>
          </w:rPr>
          <w:fldChar w:fldCharType="separate"/>
        </w:r>
        <w:r w:rsidR="00835D24">
          <w:rPr>
            <w:webHidden/>
          </w:rPr>
          <w:t>13</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8" w:history="1">
        <w:r w:rsidR="00835D24" w:rsidRPr="007C5A39">
          <w:rPr>
            <w:rStyle w:val="Hyperlink"/>
          </w:rPr>
          <w:t>4.6</w:t>
        </w:r>
        <w:r w:rsidR="00835D24">
          <w:rPr>
            <w:rFonts w:asciiTheme="minorHAnsi" w:eastAsiaTheme="minorEastAsia" w:hAnsiTheme="minorHAnsi" w:cstheme="minorBidi"/>
            <w:b w:val="0"/>
            <w:i w:val="0"/>
            <w:sz w:val="22"/>
            <w:szCs w:val="22"/>
          </w:rPr>
          <w:tab/>
        </w:r>
        <w:r w:rsidR="00835D24" w:rsidRPr="007C5A39">
          <w:rPr>
            <w:rStyle w:val="Hyperlink"/>
          </w:rPr>
          <w:t>Legal capacity</w:t>
        </w:r>
        <w:r w:rsidR="00835D24">
          <w:rPr>
            <w:webHidden/>
          </w:rPr>
          <w:tab/>
        </w:r>
        <w:r w:rsidR="00835D24">
          <w:rPr>
            <w:webHidden/>
          </w:rPr>
          <w:fldChar w:fldCharType="begin"/>
        </w:r>
        <w:r w:rsidR="00835D24">
          <w:rPr>
            <w:webHidden/>
          </w:rPr>
          <w:instrText xml:space="preserve"> PAGEREF _Toc350787888 \h </w:instrText>
        </w:r>
        <w:r w:rsidR="00835D24">
          <w:rPr>
            <w:webHidden/>
          </w:rPr>
        </w:r>
        <w:r w:rsidR="00835D24">
          <w:rPr>
            <w:webHidden/>
          </w:rPr>
          <w:fldChar w:fldCharType="separate"/>
        </w:r>
        <w:r w:rsidR="00835D24">
          <w:rPr>
            <w:webHidden/>
          </w:rPr>
          <w:t>13</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89" w:history="1">
        <w:r w:rsidR="00835D24" w:rsidRPr="007C5A39">
          <w:rPr>
            <w:rStyle w:val="Hyperlink"/>
          </w:rPr>
          <w:t>4.7</w:t>
        </w:r>
        <w:r w:rsidR="00835D24">
          <w:rPr>
            <w:rFonts w:asciiTheme="minorHAnsi" w:eastAsiaTheme="minorEastAsia" w:hAnsiTheme="minorHAnsi" w:cstheme="minorBidi"/>
            <w:b w:val="0"/>
            <w:i w:val="0"/>
            <w:sz w:val="22"/>
            <w:szCs w:val="22"/>
          </w:rPr>
          <w:tab/>
        </w:r>
        <w:r w:rsidR="00835D24" w:rsidRPr="007C5A39">
          <w:rPr>
            <w:rStyle w:val="Hyperlink"/>
          </w:rPr>
          <w:t>Access to justice</w:t>
        </w:r>
        <w:r w:rsidR="00835D24">
          <w:rPr>
            <w:webHidden/>
          </w:rPr>
          <w:tab/>
        </w:r>
        <w:r w:rsidR="00835D24">
          <w:rPr>
            <w:webHidden/>
          </w:rPr>
          <w:fldChar w:fldCharType="begin"/>
        </w:r>
        <w:r w:rsidR="00835D24">
          <w:rPr>
            <w:webHidden/>
          </w:rPr>
          <w:instrText xml:space="preserve"> PAGEREF _Toc350787889 \h </w:instrText>
        </w:r>
        <w:r w:rsidR="00835D24">
          <w:rPr>
            <w:webHidden/>
          </w:rPr>
        </w:r>
        <w:r w:rsidR="00835D24">
          <w:rPr>
            <w:webHidden/>
          </w:rPr>
          <w:fldChar w:fldCharType="separate"/>
        </w:r>
        <w:r w:rsidR="00835D24">
          <w:rPr>
            <w:webHidden/>
          </w:rPr>
          <w:t>13</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90" w:history="1">
        <w:r w:rsidR="00835D24" w:rsidRPr="007C5A39">
          <w:rPr>
            <w:rStyle w:val="Hyperlink"/>
          </w:rPr>
          <w:t>4.8</w:t>
        </w:r>
        <w:r w:rsidR="00835D24">
          <w:rPr>
            <w:rFonts w:asciiTheme="minorHAnsi" w:eastAsiaTheme="minorEastAsia" w:hAnsiTheme="minorHAnsi" w:cstheme="minorBidi"/>
            <w:b w:val="0"/>
            <w:i w:val="0"/>
            <w:sz w:val="22"/>
            <w:szCs w:val="22"/>
          </w:rPr>
          <w:tab/>
        </w:r>
        <w:r w:rsidR="00835D24" w:rsidRPr="007C5A39">
          <w:rPr>
            <w:rStyle w:val="Hyperlink"/>
          </w:rPr>
          <w:t>Health support</w:t>
        </w:r>
        <w:r w:rsidR="00835D24">
          <w:rPr>
            <w:webHidden/>
          </w:rPr>
          <w:tab/>
        </w:r>
        <w:r w:rsidR="00835D24">
          <w:rPr>
            <w:webHidden/>
          </w:rPr>
          <w:fldChar w:fldCharType="begin"/>
        </w:r>
        <w:r w:rsidR="00835D24">
          <w:rPr>
            <w:webHidden/>
          </w:rPr>
          <w:instrText xml:space="preserve"> PAGEREF _Toc350787890 \h </w:instrText>
        </w:r>
        <w:r w:rsidR="00835D24">
          <w:rPr>
            <w:webHidden/>
          </w:rPr>
        </w:r>
        <w:r w:rsidR="00835D24">
          <w:rPr>
            <w:webHidden/>
          </w:rPr>
          <w:fldChar w:fldCharType="separate"/>
        </w:r>
        <w:r w:rsidR="00835D24">
          <w:rPr>
            <w:webHidden/>
          </w:rPr>
          <w:t>14</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91" w:history="1">
        <w:r w:rsidR="00835D24" w:rsidRPr="007C5A39">
          <w:rPr>
            <w:rStyle w:val="Hyperlink"/>
          </w:rPr>
          <w:t>4.9</w:t>
        </w:r>
        <w:r w:rsidR="00835D24">
          <w:rPr>
            <w:rFonts w:asciiTheme="minorHAnsi" w:eastAsiaTheme="minorEastAsia" w:hAnsiTheme="minorHAnsi" w:cstheme="minorBidi"/>
            <w:b w:val="0"/>
            <w:i w:val="0"/>
            <w:sz w:val="22"/>
            <w:szCs w:val="22"/>
          </w:rPr>
          <w:tab/>
        </w:r>
        <w:r w:rsidR="00835D24" w:rsidRPr="007C5A39">
          <w:rPr>
            <w:rStyle w:val="Hyperlink"/>
          </w:rPr>
          <w:t>Long term and palliative care</w:t>
        </w:r>
        <w:r w:rsidR="00835D24">
          <w:rPr>
            <w:webHidden/>
          </w:rPr>
          <w:tab/>
        </w:r>
        <w:r w:rsidR="00835D24">
          <w:rPr>
            <w:webHidden/>
          </w:rPr>
          <w:fldChar w:fldCharType="begin"/>
        </w:r>
        <w:r w:rsidR="00835D24">
          <w:rPr>
            <w:webHidden/>
          </w:rPr>
          <w:instrText xml:space="preserve"> PAGEREF _Toc350787891 \h </w:instrText>
        </w:r>
        <w:r w:rsidR="00835D24">
          <w:rPr>
            <w:webHidden/>
          </w:rPr>
        </w:r>
        <w:r w:rsidR="00835D24">
          <w:rPr>
            <w:webHidden/>
          </w:rPr>
          <w:fldChar w:fldCharType="separate"/>
        </w:r>
        <w:r w:rsidR="00835D24">
          <w:rPr>
            <w:webHidden/>
          </w:rPr>
          <w:t>14</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92" w:history="1">
        <w:r w:rsidR="00835D24" w:rsidRPr="007C5A39">
          <w:rPr>
            <w:rStyle w:val="Hyperlink"/>
          </w:rPr>
          <w:t>4.10</w:t>
        </w:r>
        <w:r w:rsidR="00835D24">
          <w:rPr>
            <w:rFonts w:asciiTheme="minorHAnsi" w:eastAsiaTheme="minorEastAsia" w:hAnsiTheme="minorHAnsi" w:cstheme="minorBidi"/>
            <w:b w:val="0"/>
            <w:i w:val="0"/>
            <w:sz w:val="22"/>
            <w:szCs w:val="22"/>
          </w:rPr>
          <w:tab/>
        </w:r>
        <w:r w:rsidR="00835D24" w:rsidRPr="007C5A39">
          <w:rPr>
            <w:rStyle w:val="Hyperlink"/>
          </w:rPr>
          <w:t>Aged care</w:t>
        </w:r>
        <w:r w:rsidR="00835D24">
          <w:rPr>
            <w:webHidden/>
          </w:rPr>
          <w:tab/>
        </w:r>
        <w:r w:rsidR="00835D24">
          <w:rPr>
            <w:webHidden/>
          </w:rPr>
          <w:fldChar w:fldCharType="begin"/>
        </w:r>
        <w:r w:rsidR="00835D24">
          <w:rPr>
            <w:webHidden/>
          </w:rPr>
          <w:instrText xml:space="preserve"> PAGEREF _Toc350787892 \h </w:instrText>
        </w:r>
        <w:r w:rsidR="00835D24">
          <w:rPr>
            <w:webHidden/>
          </w:rPr>
        </w:r>
        <w:r w:rsidR="00835D24">
          <w:rPr>
            <w:webHidden/>
          </w:rPr>
          <w:fldChar w:fldCharType="separate"/>
        </w:r>
        <w:r w:rsidR="00835D24">
          <w:rPr>
            <w:webHidden/>
          </w:rPr>
          <w:t>14</w:t>
        </w:r>
        <w:r w:rsidR="00835D24">
          <w:rPr>
            <w:webHidden/>
          </w:rPr>
          <w:fldChar w:fldCharType="end"/>
        </w:r>
      </w:hyperlink>
    </w:p>
    <w:p w:rsidR="00835D24" w:rsidRDefault="001C61A8">
      <w:pPr>
        <w:pStyle w:val="TOC2"/>
        <w:rPr>
          <w:rFonts w:asciiTheme="minorHAnsi" w:eastAsiaTheme="minorEastAsia" w:hAnsiTheme="minorHAnsi" w:cstheme="minorBidi"/>
          <w:b w:val="0"/>
          <w:i w:val="0"/>
          <w:sz w:val="22"/>
          <w:szCs w:val="22"/>
        </w:rPr>
      </w:pPr>
      <w:hyperlink w:anchor="_Toc350787893" w:history="1">
        <w:r w:rsidR="00835D24" w:rsidRPr="007C5A39">
          <w:rPr>
            <w:rStyle w:val="Hyperlink"/>
          </w:rPr>
          <w:t>4.11</w:t>
        </w:r>
        <w:r w:rsidR="00835D24">
          <w:rPr>
            <w:rFonts w:asciiTheme="minorHAnsi" w:eastAsiaTheme="minorEastAsia" w:hAnsiTheme="minorHAnsi" w:cstheme="minorBidi"/>
            <w:b w:val="0"/>
            <w:i w:val="0"/>
            <w:sz w:val="22"/>
            <w:szCs w:val="22"/>
          </w:rPr>
          <w:tab/>
        </w:r>
        <w:r w:rsidR="00835D24" w:rsidRPr="007C5A39">
          <w:rPr>
            <w:rStyle w:val="Hyperlink"/>
          </w:rPr>
          <w:t>Vulnerable groups</w:t>
        </w:r>
        <w:r w:rsidR="00835D24">
          <w:rPr>
            <w:webHidden/>
          </w:rPr>
          <w:tab/>
        </w:r>
        <w:r w:rsidR="00835D24">
          <w:rPr>
            <w:webHidden/>
          </w:rPr>
          <w:fldChar w:fldCharType="begin"/>
        </w:r>
        <w:r w:rsidR="00835D24">
          <w:rPr>
            <w:webHidden/>
          </w:rPr>
          <w:instrText xml:space="preserve"> PAGEREF _Toc350787893 \h </w:instrText>
        </w:r>
        <w:r w:rsidR="00835D24">
          <w:rPr>
            <w:webHidden/>
          </w:rPr>
        </w:r>
        <w:r w:rsidR="00835D24">
          <w:rPr>
            <w:webHidden/>
          </w:rPr>
          <w:fldChar w:fldCharType="separate"/>
        </w:r>
        <w:r w:rsidR="00835D24">
          <w:rPr>
            <w:webHidden/>
          </w:rPr>
          <w:t>15</w:t>
        </w:r>
        <w:r w:rsidR="00835D24">
          <w:rPr>
            <w:webHidden/>
          </w:rPr>
          <w:fldChar w:fldCharType="end"/>
        </w:r>
      </w:hyperlink>
    </w:p>
    <w:p w:rsidR="00835D24" w:rsidRDefault="001C61A8">
      <w:pPr>
        <w:pStyle w:val="TOC1"/>
        <w:rPr>
          <w:rFonts w:asciiTheme="minorHAnsi" w:eastAsiaTheme="minorEastAsia" w:hAnsiTheme="minorHAnsi" w:cstheme="minorBidi"/>
          <w:b w:val="0"/>
          <w:szCs w:val="22"/>
        </w:rPr>
      </w:pPr>
      <w:hyperlink w:anchor="_Toc350787894" w:history="1">
        <w:r w:rsidR="00835D24" w:rsidRPr="007C5A39">
          <w:rPr>
            <w:rStyle w:val="Hyperlink"/>
          </w:rPr>
          <w:t>5</w:t>
        </w:r>
        <w:r w:rsidR="00835D24">
          <w:rPr>
            <w:rFonts w:asciiTheme="minorHAnsi" w:eastAsiaTheme="minorEastAsia" w:hAnsiTheme="minorHAnsi" w:cstheme="minorBidi"/>
            <w:b w:val="0"/>
            <w:szCs w:val="22"/>
          </w:rPr>
          <w:tab/>
        </w:r>
        <w:r w:rsidR="00835D24" w:rsidRPr="007C5A39">
          <w:rPr>
            <w:rStyle w:val="Hyperlink"/>
          </w:rPr>
          <w:t>Conclusion</w:t>
        </w:r>
        <w:r w:rsidR="00835D24">
          <w:rPr>
            <w:webHidden/>
          </w:rPr>
          <w:tab/>
        </w:r>
        <w:r w:rsidR="00835D24">
          <w:rPr>
            <w:webHidden/>
          </w:rPr>
          <w:fldChar w:fldCharType="begin"/>
        </w:r>
        <w:r w:rsidR="00835D24">
          <w:rPr>
            <w:webHidden/>
          </w:rPr>
          <w:instrText xml:space="preserve"> PAGEREF _Toc350787894 \h </w:instrText>
        </w:r>
        <w:r w:rsidR="00835D24">
          <w:rPr>
            <w:webHidden/>
          </w:rPr>
        </w:r>
        <w:r w:rsidR="00835D24">
          <w:rPr>
            <w:webHidden/>
          </w:rPr>
          <w:fldChar w:fldCharType="separate"/>
        </w:r>
        <w:r w:rsidR="00835D24">
          <w:rPr>
            <w:webHidden/>
          </w:rPr>
          <w:t>16</w:t>
        </w:r>
        <w:r w:rsidR="00835D24">
          <w:rPr>
            <w:webHidden/>
          </w:rPr>
          <w:fldChar w:fldCharType="end"/>
        </w:r>
      </w:hyperlink>
    </w:p>
    <w:p w:rsidR="00B34946" w:rsidRDefault="00B63D24" w:rsidP="00B63D24">
      <w:r>
        <w:fldChar w:fldCharType="end"/>
      </w:r>
    </w:p>
    <w:p w:rsidR="00B34946" w:rsidRDefault="00B34946">
      <w:pPr>
        <w:spacing w:before="0" w:after="0"/>
      </w:pPr>
      <w:r>
        <w:br w:type="page"/>
      </w:r>
    </w:p>
    <w:p w:rsidR="00B34946" w:rsidRPr="001E1304" w:rsidRDefault="00B34946" w:rsidP="00B34946">
      <w:pPr>
        <w:pStyle w:val="Heading1"/>
        <w:numPr>
          <w:ilvl w:val="0"/>
          <w:numId w:val="37"/>
        </w:numPr>
      </w:pPr>
      <w:bookmarkStart w:id="5" w:name="_Toc207761830"/>
      <w:bookmarkStart w:id="6" w:name="_Toc209578266"/>
      <w:bookmarkStart w:id="7" w:name="_Toc350787870"/>
      <w:r w:rsidRPr="001E1304">
        <w:lastRenderedPageBreak/>
        <w:t>Introduction</w:t>
      </w:r>
      <w:bookmarkEnd w:id="5"/>
      <w:bookmarkEnd w:id="6"/>
      <w:bookmarkEnd w:id="7"/>
      <w:r w:rsidRPr="001E1304">
        <w:t xml:space="preserve"> </w:t>
      </w:r>
    </w:p>
    <w:p w:rsidR="003047CC" w:rsidRDefault="003047CC" w:rsidP="003047CC">
      <w:pPr>
        <w:pStyle w:val="SubmissionNormal"/>
      </w:pPr>
      <w:r w:rsidRPr="00C5786C">
        <w:t>The Aust</w:t>
      </w:r>
      <w:r>
        <w:t>ralian Human Rights Commission</w:t>
      </w:r>
      <w:r w:rsidRPr="00C5786C">
        <w:t xml:space="preserve"> </w:t>
      </w:r>
      <w:r w:rsidR="006637C3">
        <w:t xml:space="preserve">(the Commission) </w:t>
      </w:r>
      <w:r w:rsidRPr="00C5786C">
        <w:t xml:space="preserve">makes this submission </w:t>
      </w:r>
      <w:r w:rsidR="00495AF1">
        <w:t xml:space="preserve">as a National Human Rights Institution (NHRI) </w:t>
      </w:r>
      <w:r w:rsidRPr="00C5786C">
        <w:t xml:space="preserve">to the </w:t>
      </w:r>
      <w:r>
        <w:t>Office of the United Nations High Commissioner for Human Rights</w:t>
      </w:r>
      <w:r w:rsidRPr="00C5786C">
        <w:t xml:space="preserve"> in its </w:t>
      </w:r>
      <w:r>
        <w:t>public consultation on the human rights of older persons</w:t>
      </w:r>
      <w:r w:rsidRPr="008A0C37">
        <w:t>.</w:t>
      </w:r>
      <w:r>
        <w:t xml:space="preserve"> </w:t>
      </w:r>
    </w:p>
    <w:p w:rsidR="004233C4" w:rsidRDefault="004233C4" w:rsidP="003047CC">
      <w:pPr>
        <w:pStyle w:val="SubmissionNormal"/>
      </w:pPr>
      <w:r>
        <w:t xml:space="preserve">The Commission strongly supports the development of </w:t>
      </w:r>
      <w:r w:rsidR="006637C3">
        <w:t xml:space="preserve">a </w:t>
      </w:r>
      <w:r>
        <w:t xml:space="preserve">convention on the rights of older people. Such a convention would enhance and expand existing protections </w:t>
      </w:r>
      <w:r w:rsidR="002A34E8">
        <w:t>for</w:t>
      </w:r>
      <w:r>
        <w:t xml:space="preserve"> older people in Australia, and provide</w:t>
      </w:r>
      <w:r w:rsidR="00DC2FE9">
        <w:t xml:space="preserve"> a common </w:t>
      </w:r>
      <w:r w:rsidR="00D411E6">
        <w:t>approach</w:t>
      </w:r>
      <w:r w:rsidR="00DC2FE9">
        <w:t xml:space="preserve"> that </w:t>
      </w:r>
      <w:r w:rsidR="00495AF1">
        <w:t>articulates the rights of</w:t>
      </w:r>
      <w:r w:rsidR="00DC2FE9">
        <w:t xml:space="preserve"> older people.</w:t>
      </w:r>
    </w:p>
    <w:p w:rsidR="00366282" w:rsidRDefault="0040742C" w:rsidP="003047CC">
      <w:pPr>
        <w:pStyle w:val="SubmissionNormal"/>
      </w:pPr>
      <w:r>
        <w:t xml:space="preserve">Older </w:t>
      </w:r>
      <w:r w:rsidR="003047CC">
        <w:t>Australia</w:t>
      </w:r>
      <w:r>
        <w:t>ns</w:t>
      </w:r>
      <w:r w:rsidR="003047CC">
        <w:t xml:space="preserve"> </w:t>
      </w:r>
      <w:r w:rsidR="00B82DA0">
        <w:t xml:space="preserve">are </w:t>
      </w:r>
      <w:r w:rsidR="00F22A19">
        <w:t xml:space="preserve">currently </w:t>
      </w:r>
      <w:r w:rsidR="00B82DA0">
        <w:t xml:space="preserve">protected by </w:t>
      </w:r>
      <w:r w:rsidR="00F22A19">
        <w:t xml:space="preserve">a </w:t>
      </w:r>
      <w:r w:rsidR="003047CC">
        <w:t xml:space="preserve">wide </w:t>
      </w:r>
      <w:r w:rsidR="00F22A19">
        <w:t xml:space="preserve">range of </w:t>
      </w:r>
      <w:r w:rsidR="003047CC">
        <w:t>laws and policies that</w:t>
      </w:r>
      <w:r w:rsidR="00366282">
        <w:t>:</w:t>
      </w:r>
    </w:p>
    <w:p w:rsidR="00366282" w:rsidRDefault="00366282" w:rsidP="00B971E0">
      <w:pPr>
        <w:pStyle w:val="SubmissionNormal"/>
        <w:numPr>
          <w:ilvl w:val="1"/>
          <w:numId w:val="41"/>
        </w:numPr>
        <w:spacing w:before="0" w:after="0"/>
      </w:pPr>
      <w:r>
        <w:t xml:space="preserve">support </w:t>
      </w:r>
      <w:r w:rsidR="00B82DA0">
        <w:t>non-discrimination</w:t>
      </w:r>
      <w:r w:rsidR="00993417">
        <w:t xml:space="preserve"> of older people in employment</w:t>
      </w:r>
      <w:r w:rsidR="00B82DA0">
        <w:t xml:space="preserve">, </w:t>
      </w:r>
      <w:r w:rsidR="002A34E8">
        <w:t xml:space="preserve">and </w:t>
      </w:r>
      <w:r w:rsidR="00993417">
        <w:t xml:space="preserve">access to </w:t>
      </w:r>
      <w:r w:rsidR="00ED2435">
        <w:t>goods</w:t>
      </w:r>
      <w:r w:rsidR="002A34E8">
        <w:t>,</w:t>
      </w:r>
      <w:r w:rsidR="00ED2435">
        <w:t xml:space="preserve"> </w:t>
      </w:r>
      <w:r w:rsidR="00993417">
        <w:t xml:space="preserve">services and </w:t>
      </w:r>
      <w:r w:rsidR="00D02367">
        <w:t>facilities;</w:t>
      </w:r>
    </w:p>
    <w:p w:rsidR="00D02367" w:rsidRDefault="00D02367" w:rsidP="00B971E0">
      <w:pPr>
        <w:pStyle w:val="SubmissionNormal"/>
        <w:numPr>
          <w:ilvl w:val="1"/>
          <w:numId w:val="41"/>
        </w:numPr>
        <w:spacing w:before="0" w:after="0"/>
      </w:pPr>
      <w:r>
        <w:t>make</w:t>
      </w:r>
      <w:r w:rsidRPr="00D02367">
        <w:t xml:space="preserve"> it unlawful to discriminate against </w:t>
      </w:r>
      <w:r>
        <w:t>older people in access</w:t>
      </w:r>
      <w:r w:rsidR="00734096">
        <w:t xml:space="preserve"> to</w:t>
      </w:r>
      <w:r>
        <w:t xml:space="preserve"> education,</w:t>
      </w:r>
      <w:r w:rsidRPr="00D02367">
        <w:t xml:space="preserve"> accommodation</w:t>
      </w:r>
      <w:r w:rsidR="00734096">
        <w:t xml:space="preserve"> and</w:t>
      </w:r>
      <w:r>
        <w:t xml:space="preserve"> </w:t>
      </w:r>
      <w:r w:rsidR="00CE749B">
        <w:t>public premises;</w:t>
      </w:r>
    </w:p>
    <w:p w:rsidR="00366282" w:rsidRDefault="00366282" w:rsidP="00B971E0">
      <w:pPr>
        <w:pStyle w:val="SubmissionNormal"/>
        <w:numPr>
          <w:ilvl w:val="1"/>
          <w:numId w:val="41"/>
        </w:numPr>
        <w:spacing w:before="0" w:after="0"/>
      </w:pPr>
      <w:r>
        <w:t xml:space="preserve">provide </w:t>
      </w:r>
      <w:r w:rsidR="00ED2435">
        <w:t xml:space="preserve">means-tested </w:t>
      </w:r>
      <w:r>
        <w:t xml:space="preserve">social </w:t>
      </w:r>
      <w:r w:rsidR="00993417">
        <w:t>security</w:t>
      </w:r>
      <w:r w:rsidR="00ED2435">
        <w:t xml:space="preserve">, including pensions, rental assistance and </w:t>
      </w:r>
      <w:r w:rsidR="00734096">
        <w:t>reduced-</w:t>
      </w:r>
      <w:r w:rsidR="00CE749B">
        <w:t>cost pharmaceuticals</w:t>
      </w:r>
      <w:r w:rsidR="00ED2435">
        <w:t xml:space="preserve">; </w:t>
      </w:r>
    </w:p>
    <w:p w:rsidR="00495AF1" w:rsidRDefault="00495AF1" w:rsidP="00B971E0">
      <w:pPr>
        <w:pStyle w:val="SubmissionNormal"/>
        <w:numPr>
          <w:ilvl w:val="1"/>
          <w:numId w:val="41"/>
        </w:numPr>
        <w:spacing w:before="0" w:after="0"/>
      </w:pPr>
      <w:r>
        <w:t>provide free or subsidised hospital and medical care through a public health system;</w:t>
      </w:r>
    </w:p>
    <w:p w:rsidR="00D411E6" w:rsidRDefault="00CE749B" w:rsidP="00B971E0">
      <w:pPr>
        <w:pStyle w:val="SubmissionNormal"/>
        <w:numPr>
          <w:ilvl w:val="1"/>
          <w:numId w:val="41"/>
        </w:numPr>
        <w:spacing w:before="0" w:after="0"/>
      </w:pPr>
      <w:r>
        <w:t xml:space="preserve">provide </w:t>
      </w:r>
      <w:r w:rsidR="00366282">
        <w:t xml:space="preserve">an aged care system </w:t>
      </w:r>
      <w:r>
        <w:t xml:space="preserve">that </w:t>
      </w:r>
      <w:r w:rsidR="00ED2435">
        <w:t>support</w:t>
      </w:r>
      <w:r>
        <w:t>s care</w:t>
      </w:r>
      <w:r w:rsidR="00ED2435">
        <w:t xml:space="preserve"> in the home and in residential facilities;</w:t>
      </w:r>
      <w:r w:rsidR="00734096">
        <w:t xml:space="preserve"> </w:t>
      </w:r>
    </w:p>
    <w:p w:rsidR="00366282" w:rsidRDefault="00D411E6" w:rsidP="00B971E0">
      <w:pPr>
        <w:pStyle w:val="SubmissionNormal"/>
        <w:numPr>
          <w:ilvl w:val="1"/>
          <w:numId w:val="41"/>
        </w:numPr>
        <w:spacing w:before="0" w:after="0"/>
      </w:pPr>
      <w:r>
        <w:t xml:space="preserve">provide incentives for employers to retain and hire older workers; </w:t>
      </w:r>
      <w:r w:rsidR="00734096">
        <w:t>and</w:t>
      </w:r>
    </w:p>
    <w:p w:rsidR="0040742C" w:rsidRDefault="00734096" w:rsidP="00B971E0">
      <w:pPr>
        <w:pStyle w:val="SubmissionNormal"/>
        <w:numPr>
          <w:ilvl w:val="1"/>
          <w:numId w:val="41"/>
        </w:numPr>
        <w:spacing w:before="0" w:after="0"/>
      </w:pPr>
      <w:proofErr w:type="gramStart"/>
      <w:r>
        <w:t>provide</w:t>
      </w:r>
      <w:proofErr w:type="gramEnd"/>
      <w:r>
        <w:t xml:space="preserve"> some assistance in the transitions from paid work </w:t>
      </w:r>
      <w:r w:rsidR="00B82DA0">
        <w:t>to retirement and aged care</w:t>
      </w:r>
      <w:r w:rsidR="003047CC">
        <w:t xml:space="preserve">. </w:t>
      </w:r>
    </w:p>
    <w:p w:rsidR="003047CC" w:rsidRPr="00024F6D" w:rsidRDefault="00C14248" w:rsidP="003047CC">
      <w:pPr>
        <w:pStyle w:val="SubmissionNormal"/>
      </w:pPr>
      <w:r>
        <w:t>D</w:t>
      </w:r>
      <w:r w:rsidR="003047CC">
        <w:t xml:space="preserve">espite the extensiveness of </w:t>
      </w:r>
      <w:r w:rsidR="00B00C4D">
        <w:t>current protections, Australian</w:t>
      </w:r>
      <w:r w:rsidR="003047CC">
        <w:t xml:space="preserve"> laws and policies have developed </w:t>
      </w:r>
      <w:r w:rsidR="003047CC">
        <w:rPr>
          <w:rFonts w:cs="Arial"/>
        </w:rPr>
        <w:t>predominantly in response to particular social problems or policy goals rather than a coherent human rights agenda. This approach means that while certain rights and issues of older people are enlarged and supported, other equally important rights are undervalued and unprotected.</w:t>
      </w:r>
    </w:p>
    <w:p w:rsidR="00B971E0" w:rsidRPr="00B971E0" w:rsidRDefault="003047CC" w:rsidP="003047CC">
      <w:pPr>
        <w:pStyle w:val="SubmissionNormal"/>
      </w:pPr>
      <w:r>
        <w:rPr>
          <w:rFonts w:cs="Arial"/>
        </w:rPr>
        <w:t>Existing safeguards for older Australians could be improved by the introduction of a comprehensive national framework for protecting the human rights of older people.</w:t>
      </w:r>
      <w:r w:rsidR="00F22A19">
        <w:rPr>
          <w:rFonts w:cs="Arial"/>
        </w:rPr>
        <w:t xml:space="preserve"> A convention </w:t>
      </w:r>
      <w:r w:rsidR="00F22A19" w:rsidRPr="00B971E0">
        <w:rPr>
          <w:rFonts w:cs="Arial"/>
        </w:rPr>
        <w:t>would</w:t>
      </w:r>
      <w:r w:rsidR="00F22A19">
        <w:rPr>
          <w:rFonts w:cs="Arial"/>
        </w:rPr>
        <w:t xml:space="preserve"> provide structure and guidance for a</w:t>
      </w:r>
      <w:r w:rsidR="00B971E0">
        <w:rPr>
          <w:rFonts w:cs="Arial"/>
        </w:rPr>
        <w:t>n overarching national strategy by:</w:t>
      </w:r>
    </w:p>
    <w:p w:rsidR="00B971E0" w:rsidRDefault="00E0297F" w:rsidP="00B971E0">
      <w:pPr>
        <w:pStyle w:val="SubmissionNormal"/>
        <w:numPr>
          <w:ilvl w:val="1"/>
          <w:numId w:val="41"/>
        </w:numPr>
        <w:spacing w:before="0" w:after="0"/>
      </w:pPr>
      <w:r>
        <w:t>i</w:t>
      </w:r>
      <w:r w:rsidR="00B971E0">
        <w:t>ncreasing the visibility of older people as a vulnerable cohort;</w:t>
      </w:r>
    </w:p>
    <w:p w:rsidR="00B561C0" w:rsidRDefault="00B971E0" w:rsidP="00B971E0">
      <w:pPr>
        <w:pStyle w:val="SubmissionNormal"/>
        <w:numPr>
          <w:ilvl w:val="1"/>
          <w:numId w:val="41"/>
        </w:numPr>
        <w:spacing w:before="0" w:after="0"/>
      </w:pPr>
      <w:r>
        <w:t>drawing</w:t>
      </w:r>
      <w:r w:rsidR="00E0297F">
        <w:t xml:space="preserve"> attention to categories of human rights by instigating dialogue and debate on the topic of ageing</w:t>
      </w:r>
      <w:r>
        <w:t>;</w:t>
      </w:r>
      <w:r w:rsidR="00E0297F">
        <w:t xml:space="preserve"> </w:t>
      </w:r>
    </w:p>
    <w:p w:rsidR="00B971E0" w:rsidRDefault="00B561C0" w:rsidP="00B971E0">
      <w:pPr>
        <w:pStyle w:val="SubmissionNormal"/>
        <w:numPr>
          <w:ilvl w:val="1"/>
          <w:numId w:val="41"/>
        </w:numPr>
        <w:spacing w:before="0" w:after="0"/>
      </w:pPr>
      <w:r>
        <w:t xml:space="preserve">complementing existing international instruments like that Madrid Plan and UN Principles; </w:t>
      </w:r>
      <w:r w:rsidR="00E0297F">
        <w:t>and</w:t>
      </w:r>
    </w:p>
    <w:p w:rsidR="00E0297F" w:rsidRDefault="00E0297F" w:rsidP="00B971E0">
      <w:pPr>
        <w:pStyle w:val="SubmissionNormal"/>
        <w:numPr>
          <w:ilvl w:val="1"/>
          <w:numId w:val="41"/>
        </w:numPr>
        <w:spacing w:before="0" w:after="0"/>
      </w:pPr>
      <w:proofErr w:type="gramStart"/>
      <w:r>
        <w:t>creating</w:t>
      </w:r>
      <w:proofErr w:type="gramEnd"/>
      <w:r>
        <w:t xml:space="preserve"> pressure and momentum for the Australian Government to adopt a more proactive and holistic approach to human rights protection for older people.</w:t>
      </w:r>
    </w:p>
    <w:p w:rsidR="00252996" w:rsidRDefault="00B561C0" w:rsidP="000B3820">
      <w:pPr>
        <w:pStyle w:val="SubmissionNormal"/>
      </w:pPr>
      <w:r>
        <w:t>At present</w:t>
      </w:r>
      <w:r w:rsidR="00252996">
        <w:t xml:space="preserve">, Australia has no specific international obligation to report on human rights issues affecting older </w:t>
      </w:r>
      <w:r w:rsidR="00C12ADB">
        <w:t>people</w:t>
      </w:r>
      <w:r w:rsidR="00252996">
        <w:t>.</w:t>
      </w:r>
      <w:r w:rsidR="00E0297F">
        <w:t xml:space="preserve"> While the Universal Periodic </w:t>
      </w:r>
      <w:r w:rsidR="00E0297F">
        <w:lastRenderedPageBreak/>
        <w:t xml:space="preserve">Review provides an opportunity for Australia to </w:t>
      </w:r>
      <w:r w:rsidR="000B3820">
        <w:t xml:space="preserve">report on the enjoyment of rights by older people, greater attention is placed on those groups whose rights are enunciated in specific conventions. </w:t>
      </w:r>
      <w:r w:rsidR="00252996">
        <w:t xml:space="preserve">The inclusion of specific reporting requirements </w:t>
      </w:r>
      <w:r w:rsidR="002A34E8">
        <w:t>in a new convention</w:t>
      </w:r>
      <w:r w:rsidR="00C12ADB">
        <w:t xml:space="preserve"> </w:t>
      </w:r>
      <w:r w:rsidR="00252996">
        <w:t xml:space="preserve">(such as those contained in </w:t>
      </w:r>
      <w:r w:rsidR="00D411E6">
        <w:t xml:space="preserve">the </w:t>
      </w:r>
      <w:r w:rsidR="00A308E9">
        <w:t>C</w:t>
      </w:r>
      <w:r w:rsidR="00D411E6">
        <w:t xml:space="preserve">onvention on the </w:t>
      </w:r>
      <w:r w:rsidR="00A308E9">
        <w:t>R</w:t>
      </w:r>
      <w:r w:rsidR="00D411E6">
        <w:t xml:space="preserve">ights of </w:t>
      </w:r>
      <w:r w:rsidR="00A308E9">
        <w:t>P</w:t>
      </w:r>
      <w:r w:rsidR="00D411E6">
        <w:t xml:space="preserve">eople with </w:t>
      </w:r>
      <w:r w:rsidR="00A308E9">
        <w:t>D</w:t>
      </w:r>
      <w:r w:rsidR="00D411E6">
        <w:t>isabilities (CRPD)</w:t>
      </w:r>
      <w:r w:rsidR="00252996">
        <w:t xml:space="preserve"> article </w:t>
      </w:r>
      <w:r w:rsidR="0006487E">
        <w:t>35) would bolster the G</w:t>
      </w:r>
      <w:r w:rsidR="00252996">
        <w:t>overnment’s commitment to</w:t>
      </w:r>
      <w:r w:rsidR="00E57B6F">
        <w:t>,</w:t>
      </w:r>
      <w:r w:rsidR="00252996">
        <w:t xml:space="preserve"> </w:t>
      </w:r>
      <w:r w:rsidR="00C12ADB">
        <w:t xml:space="preserve">and compliance </w:t>
      </w:r>
      <w:r w:rsidR="00E57B6F">
        <w:t>with</w:t>
      </w:r>
      <w:r w:rsidR="004273BE">
        <w:t xml:space="preserve"> </w:t>
      </w:r>
      <w:r w:rsidR="00252996">
        <w:t xml:space="preserve">implementing the human rights of older </w:t>
      </w:r>
      <w:r w:rsidR="00C12ADB">
        <w:t>people</w:t>
      </w:r>
      <w:r w:rsidR="00252996">
        <w:t>.</w:t>
      </w:r>
    </w:p>
    <w:p w:rsidR="004D2FFA" w:rsidRPr="0006487E" w:rsidRDefault="004273BE" w:rsidP="004D2FFA">
      <w:pPr>
        <w:pStyle w:val="SubmissionNormal"/>
      </w:pPr>
      <w:r w:rsidRPr="0006487E">
        <w:t xml:space="preserve">A convention could </w:t>
      </w:r>
      <w:r w:rsidR="004D2FFA" w:rsidRPr="0006487E">
        <w:t xml:space="preserve">assist Australia to become a more effective human rights sponsor </w:t>
      </w:r>
      <w:r w:rsidRPr="0006487E">
        <w:t>and donor</w:t>
      </w:r>
      <w:r w:rsidR="00B561C0">
        <w:t xml:space="preserve"> in the Asia-Pacific region and internationally</w:t>
      </w:r>
      <w:r w:rsidR="004D2FFA" w:rsidRPr="0006487E">
        <w:t xml:space="preserve">. The concluding observations </w:t>
      </w:r>
      <w:r w:rsidR="0006487E">
        <w:t>of an age-</w:t>
      </w:r>
      <w:r w:rsidR="00DD47CA" w:rsidRPr="0006487E">
        <w:t>focussed UN</w:t>
      </w:r>
      <w:r w:rsidR="00F50923" w:rsidRPr="0006487E">
        <w:t xml:space="preserve"> </w:t>
      </w:r>
      <w:r w:rsidR="004D2FFA" w:rsidRPr="0006487E">
        <w:t xml:space="preserve">committee at the end of a reporting session </w:t>
      </w:r>
      <w:r w:rsidR="00117284" w:rsidRPr="0006487E">
        <w:t>c</w:t>
      </w:r>
      <w:r w:rsidR="001C505D" w:rsidRPr="0006487E">
        <w:t xml:space="preserve">ould </w:t>
      </w:r>
      <w:r w:rsidR="00B561C0">
        <w:t xml:space="preserve">influence </w:t>
      </w:r>
      <w:r w:rsidR="001C505D" w:rsidRPr="0006487E">
        <w:t>NGOs to focus their aid</w:t>
      </w:r>
      <w:r w:rsidR="00B561C0">
        <w:t xml:space="preserve"> to protecting the rights of older people</w:t>
      </w:r>
      <w:r w:rsidR="004D2FFA" w:rsidRPr="0006487E">
        <w:t>.</w:t>
      </w:r>
    </w:p>
    <w:p w:rsidR="001157D6" w:rsidRDefault="001157D6" w:rsidP="004D2FFA">
      <w:pPr>
        <w:pStyle w:val="SubmissionNormal"/>
      </w:pPr>
      <w:r>
        <w:t xml:space="preserve">In summary, Australia has some </w:t>
      </w:r>
      <w:r w:rsidR="00F41317">
        <w:t>effective</w:t>
      </w:r>
      <w:r>
        <w:t xml:space="preserve"> domestic protections and services for older Australians. </w:t>
      </w:r>
      <w:r w:rsidR="00E57B6F">
        <w:t xml:space="preserve">However </w:t>
      </w:r>
      <w:r>
        <w:t xml:space="preserve">an international convention for older people would bring greater coherence and fullness to Australia’s coverage of human rights </w:t>
      </w:r>
      <w:r w:rsidR="008C5873">
        <w:t xml:space="preserve">for </w:t>
      </w:r>
      <w:r>
        <w:t>older people</w:t>
      </w:r>
      <w:r w:rsidR="00DD47CA">
        <w:t>,</w:t>
      </w:r>
      <w:r w:rsidR="008C5873">
        <w:t xml:space="preserve"> both within </w:t>
      </w:r>
      <w:r w:rsidR="00DD47CA">
        <w:t>Australia</w:t>
      </w:r>
      <w:r w:rsidR="008C5873">
        <w:t xml:space="preserve"> and </w:t>
      </w:r>
      <w:r w:rsidR="00DD47CA">
        <w:t xml:space="preserve">in </w:t>
      </w:r>
      <w:r w:rsidR="003254EF">
        <w:t>our</w:t>
      </w:r>
      <w:r w:rsidR="008C5873">
        <w:t xml:space="preserve"> international </w:t>
      </w:r>
      <w:r w:rsidR="003254EF">
        <w:t>activity</w:t>
      </w:r>
      <w:r>
        <w:t xml:space="preserve">. </w:t>
      </w:r>
    </w:p>
    <w:p w:rsidR="00B34946" w:rsidRPr="00C12498" w:rsidRDefault="00361830" w:rsidP="00B34946">
      <w:pPr>
        <w:pStyle w:val="Heading1"/>
        <w:numPr>
          <w:ilvl w:val="0"/>
          <w:numId w:val="37"/>
        </w:numPr>
      </w:pPr>
      <w:bookmarkStart w:id="8" w:name="_Toc350787871"/>
      <w:r>
        <w:t>Information on the m</w:t>
      </w:r>
      <w:r w:rsidR="00FF1893">
        <w:t>ain challenges related to the promotion and protection of the human rights of older persons at the country level</w:t>
      </w:r>
      <w:bookmarkEnd w:id="8"/>
    </w:p>
    <w:p w:rsidR="004D2FFA" w:rsidRDefault="004D2FFA" w:rsidP="004D2FFA">
      <w:pPr>
        <w:pStyle w:val="SubmissionNormal"/>
      </w:pPr>
      <w:r>
        <w:t xml:space="preserve">Australia’s </w:t>
      </w:r>
      <w:r w:rsidR="00B21FE2">
        <w:t>demography is</w:t>
      </w:r>
      <w:r>
        <w:t xml:space="preserve"> </w:t>
      </w:r>
      <w:r w:rsidR="00A92EF8">
        <w:t>changing</w:t>
      </w:r>
      <w:r>
        <w:t>. Australians are living 25 years longer than they did a century ago.</w:t>
      </w:r>
      <w:r>
        <w:rPr>
          <w:rStyle w:val="EndnoteReference"/>
        </w:rPr>
        <w:endnoteReference w:id="1"/>
      </w:r>
      <w:r w:rsidRPr="00697548">
        <w:t xml:space="preserve"> </w:t>
      </w:r>
      <w:r w:rsidRPr="00342314">
        <w:rPr>
          <w:rFonts w:cs="Arial"/>
        </w:rPr>
        <w:t xml:space="preserve">The Australian Treasury projects that the number of Australians aged 85 years and older will more than quadruple </w:t>
      </w:r>
      <w:r>
        <w:rPr>
          <w:rFonts w:cs="Arial"/>
        </w:rPr>
        <w:t>between 2010 and 2050</w:t>
      </w:r>
      <w:r w:rsidRPr="00342314">
        <w:rPr>
          <w:rFonts w:cs="Arial"/>
        </w:rPr>
        <w:t>,</w:t>
      </w:r>
      <w:r>
        <w:rPr>
          <w:rStyle w:val="EndnoteReference"/>
          <w:rFonts w:cs="Arial"/>
        </w:rPr>
        <w:endnoteReference w:id="2"/>
      </w:r>
      <w:r w:rsidRPr="00342314">
        <w:rPr>
          <w:rFonts w:cs="Arial"/>
        </w:rPr>
        <w:t xml:space="preserve"> rising  from 400 000 to 1.8 million.</w:t>
      </w:r>
      <w:r>
        <w:rPr>
          <w:rStyle w:val="EndnoteReference"/>
          <w:rFonts w:cs="Arial"/>
        </w:rPr>
        <w:endnoteReference w:id="3"/>
      </w:r>
      <w:r>
        <w:rPr>
          <w:rFonts w:cs="Arial"/>
        </w:rPr>
        <w:t xml:space="preserve"> This shift will bring about a wealth of economic and social challenges for older people and the country as a whole.</w:t>
      </w:r>
    </w:p>
    <w:p w:rsidR="00B34946" w:rsidRPr="001E1304" w:rsidRDefault="00157A74" w:rsidP="00B34946">
      <w:pPr>
        <w:pStyle w:val="Heading2"/>
        <w:numPr>
          <w:ilvl w:val="1"/>
          <w:numId w:val="37"/>
        </w:numPr>
      </w:pPr>
      <w:bookmarkStart w:id="9" w:name="_Toc350787872"/>
      <w:r>
        <w:t>Health and aged care</w:t>
      </w:r>
      <w:bookmarkEnd w:id="9"/>
    </w:p>
    <w:p w:rsidR="00D741A4" w:rsidRPr="00CA3C35" w:rsidRDefault="00D741A4" w:rsidP="00B34946">
      <w:pPr>
        <w:pStyle w:val="SubmissionNormal"/>
      </w:pPr>
      <w:r>
        <w:t xml:space="preserve">The increasing life expectancy of older Australians </w:t>
      </w:r>
      <w:r w:rsidR="00D83D38">
        <w:t>will inevitab</w:t>
      </w:r>
      <w:r w:rsidR="00153F9C">
        <w:t>ly result in a</w:t>
      </w:r>
      <w:r w:rsidR="00D83D38">
        <w:t xml:space="preserve"> </w:t>
      </w:r>
      <w:r w:rsidR="00153F9C">
        <w:t>greater</w:t>
      </w:r>
      <w:r w:rsidR="00D83D38">
        <w:t xml:space="preserve"> demand for health and aged care services – </w:t>
      </w:r>
      <w:r w:rsidR="00117284">
        <w:rPr>
          <w:lang w:val="en"/>
        </w:rPr>
        <w:t>including</w:t>
      </w:r>
      <w:r w:rsidR="00D83D38">
        <w:rPr>
          <w:lang w:val="en"/>
        </w:rPr>
        <w:t xml:space="preserve"> assistance with daily living, assistance with medications, monitoring for </w:t>
      </w:r>
      <w:r w:rsidR="008002BF">
        <w:rPr>
          <w:lang w:val="en"/>
        </w:rPr>
        <w:t>illness</w:t>
      </w:r>
      <w:r w:rsidR="00D83D38">
        <w:rPr>
          <w:lang w:val="en"/>
        </w:rPr>
        <w:t xml:space="preserve"> </w:t>
      </w:r>
      <w:r w:rsidR="008002BF">
        <w:rPr>
          <w:lang w:val="en"/>
        </w:rPr>
        <w:t xml:space="preserve">and </w:t>
      </w:r>
      <w:r w:rsidR="00D83D38">
        <w:rPr>
          <w:lang w:val="en"/>
        </w:rPr>
        <w:t xml:space="preserve">intensive assistance such as that provided </w:t>
      </w:r>
      <w:r w:rsidR="008002BF">
        <w:rPr>
          <w:lang w:val="en"/>
        </w:rPr>
        <w:t>by</w:t>
      </w:r>
      <w:r w:rsidR="00D83D38">
        <w:rPr>
          <w:lang w:val="en"/>
        </w:rPr>
        <w:t xml:space="preserve"> a residential care facility.</w:t>
      </w:r>
      <w:r w:rsidR="00D83D38">
        <w:rPr>
          <w:rStyle w:val="EndnoteReference"/>
          <w:lang w:val="en"/>
        </w:rPr>
        <w:endnoteReference w:id="4"/>
      </w:r>
      <w:r w:rsidR="00D83D38">
        <w:rPr>
          <w:lang w:val="en"/>
        </w:rPr>
        <w:t xml:space="preserve"> </w:t>
      </w:r>
    </w:p>
    <w:p w:rsidR="00CA3C35" w:rsidRDefault="00CA3C35" w:rsidP="00B34946">
      <w:pPr>
        <w:pStyle w:val="SubmissionNormal"/>
      </w:pPr>
      <w:r>
        <w:t>Future challenges for Australia include:</w:t>
      </w:r>
    </w:p>
    <w:p w:rsidR="009B5BAF" w:rsidRDefault="00CA3C35" w:rsidP="00CA3C35">
      <w:pPr>
        <w:pStyle w:val="SubmissionNormal"/>
        <w:numPr>
          <w:ilvl w:val="1"/>
          <w:numId w:val="36"/>
        </w:numPr>
      </w:pPr>
      <w:r>
        <w:t xml:space="preserve">managing the growing </w:t>
      </w:r>
      <w:r w:rsidR="007B506B">
        <w:t>resource demand</w:t>
      </w:r>
      <w:r>
        <w:t xml:space="preserve"> for health and aged care services</w:t>
      </w:r>
      <w:r w:rsidR="007B506B">
        <w:t>, including trained medical and care workers</w:t>
      </w:r>
      <w:r w:rsidR="009B5BAF">
        <w:t>;</w:t>
      </w:r>
      <w:r w:rsidR="009B5BAF">
        <w:rPr>
          <w:rStyle w:val="EndnoteReference"/>
          <w:lang w:val="en"/>
        </w:rPr>
        <w:endnoteReference w:id="5"/>
      </w:r>
    </w:p>
    <w:p w:rsidR="00977E99" w:rsidRDefault="00977E99" w:rsidP="00CA3C35">
      <w:pPr>
        <w:pStyle w:val="SubmissionNormal"/>
        <w:numPr>
          <w:ilvl w:val="1"/>
          <w:numId w:val="36"/>
        </w:numPr>
      </w:pPr>
      <w:r>
        <w:t>responding to</w:t>
      </w:r>
      <w:r w:rsidR="00CD1708">
        <w:t xml:space="preserve"> changing patterns of disease, such as chronic illnesses and</w:t>
      </w:r>
      <w:r>
        <w:t xml:space="preserve"> the </w:t>
      </w:r>
      <w:r w:rsidR="007A3ED7">
        <w:t>prevalence of dementia</w:t>
      </w:r>
      <w:r w:rsidR="00A54BA3">
        <w:t>;</w:t>
      </w:r>
      <w:r w:rsidR="00A54BA3">
        <w:rPr>
          <w:rStyle w:val="EndnoteReference"/>
        </w:rPr>
        <w:endnoteReference w:id="6"/>
      </w:r>
    </w:p>
    <w:p w:rsidR="00B35C40" w:rsidRDefault="009C7631" w:rsidP="00CA3C35">
      <w:pPr>
        <w:pStyle w:val="SubmissionNormal"/>
        <w:numPr>
          <w:ilvl w:val="1"/>
          <w:numId w:val="36"/>
        </w:numPr>
      </w:pPr>
      <w:proofErr w:type="gramStart"/>
      <w:r>
        <w:t>satisfying</w:t>
      </w:r>
      <w:proofErr w:type="gramEnd"/>
      <w:r>
        <w:t xml:space="preserve"> the expectations of older Australians for higher quality services and greater control and choice.</w:t>
      </w:r>
      <w:r w:rsidR="00F55D30">
        <w:rPr>
          <w:rStyle w:val="EndnoteReference"/>
        </w:rPr>
        <w:endnoteReference w:id="7"/>
      </w:r>
      <w:r>
        <w:t xml:space="preserve"> </w:t>
      </w:r>
    </w:p>
    <w:p w:rsidR="00A92EF8" w:rsidRDefault="007B506B" w:rsidP="00F7449F">
      <w:pPr>
        <w:pStyle w:val="SubmissionNormal"/>
      </w:pPr>
      <w:r>
        <w:rPr>
          <w:lang w:val="en"/>
        </w:rPr>
        <w:t>In response to a national investigation and consultation into the needs of older people,</w:t>
      </w:r>
      <w:r>
        <w:rPr>
          <w:rStyle w:val="EndnoteReference"/>
          <w:lang w:val="en"/>
        </w:rPr>
        <w:endnoteReference w:id="8"/>
      </w:r>
      <w:r>
        <w:rPr>
          <w:lang w:val="en"/>
        </w:rPr>
        <w:t xml:space="preserve"> t</w:t>
      </w:r>
      <w:r w:rsidR="000374E9">
        <w:rPr>
          <w:lang w:val="en"/>
        </w:rPr>
        <w:t xml:space="preserve">he Australian Government has </w:t>
      </w:r>
      <w:r>
        <w:rPr>
          <w:lang w:val="en"/>
        </w:rPr>
        <w:t>committed</w:t>
      </w:r>
      <w:r w:rsidR="00B35872">
        <w:rPr>
          <w:lang w:val="en"/>
        </w:rPr>
        <w:t xml:space="preserve"> </w:t>
      </w:r>
      <w:r w:rsidR="0024474C">
        <w:rPr>
          <w:lang w:val="en"/>
        </w:rPr>
        <w:t xml:space="preserve">$3.7 billion over 5 years </w:t>
      </w:r>
      <w:r w:rsidR="0024474C">
        <w:rPr>
          <w:lang w:val="en"/>
        </w:rPr>
        <w:lastRenderedPageBreak/>
        <w:t xml:space="preserve">for a 10 year reform program to create a flexible aged care system </w:t>
      </w:r>
      <w:r w:rsidR="004C0CC7">
        <w:rPr>
          <w:lang w:val="en"/>
        </w:rPr>
        <w:t>with</w:t>
      </w:r>
      <w:r w:rsidR="0024474C">
        <w:rPr>
          <w:lang w:val="en"/>
        </w:rPr>
        <w:t xml:space="preserve"> more choice</w:t>
      </w:r>
      <w:r w:rsidR="0034004E">
        <w:rPr>
          <w:lang w:val="en"/>
        </w:rPr>
        <w:t>,</w:t>
      </w:r>
      <w:r w:rsidR="0024474C">
        <w:rPr>
          <w:lang w:val="en"/>
        </w:rPr>
        <w:t xml:space="preserve"> control</w:t>
      </w:r>
      <w:r w:rsidR="0034004E">
        <w:rPr>
          <w:lang w:val="en"/>
        </w:rPr>
        <w:t xml:space="preserve"> and ease of access</w:t>
      </w:r>
      <w:r w:rsidR="0024474C">
        <w:rPr>
          <w:lang w:val="en"/>
        </w:rPr>
        <w:t xml:space="preserve"> </w:t>
      </w:r>
      <w:r w:rsidR="004C0CC7">
        <w:rPr>
          <w:lang w:val="en"/>
        </w:rPr>
        <w:t>for</w:t>
      </w:r>
      <w:r w:rsidR="0024474C">
        <w:rPr>
          <w:lang w:val="en"/>
        </w:rPr>
        <w:t xml:space="preserve"> older Australians.</w:t>
      </w:r>
      <w:r w:rsidR="0024474C">
        <w:rPr>
          <w:rStyle w:val="EndnoteReference"/>
          <w:lang w:val="en"/>
        </w:rPr>
        <w:endnoteReference w:id="9"/>
      </w:r>
      <w:r w:rsidR="00F7449F">
        <w:tab/>
      </w:r>
      <w:r w:rsidR="0034004E">
        <w:t xml:space="preserve"> </w:t>
      </w:r>
    </w:p>
    <w:p w:rsidR="00F7449F" w:rsidRDefault="0034004E" w:rsidP="00F7449F">
      <w:pPr>
        <w:pStyle w:val="SubmissionNormal"/>
      </w:pPr>
      <w:r>
        <w:rPr>
          <w:lang w:val="en"/>
        </w:rPr>
        <w:t xml:space="preserve">Current services could be enhanced by the application of a human rights approach </w:t>
      </w:r>
      <w:r w:rsidR="00B35872">
        <w:rPr>
          <w:lang w:val="en"/>
        </w:rPr>
        <w:t xml:space="preserve">to </w:t>
      </w:r>
      <w:r w:rsidR="00B21FE2">
        <w:rPr>
          <w:lang w:val="en"/>
        </w:rPr>
        <w:t>enable a</w:t>
      </w:r>
      <w:r w:rsidR="005C3FC2">
        <w:rPr>
          <w:lang w:val="en"/>
        </w:rPr>
        <w:t xml:space="preserve"> strengthened focus on </w:t>
      </w:r>
      <w:r w:rsidR="004C0CC7">
        <w:rPr>
          <w:lang w:val="en"/>
        </w:rPr>
        <w:t>people-</w:t>
      </w:r>
      <w:proofErr w:type="spellStart"/>
      <w:r w:rsidR="004C0CC7">
        <w:rPr>
          <w:lang w:val="en"/>
        </w:rPr>
        <w:t>centred</w:t>
      </w:r>
      <w:proofErr w:type="spellEnd"/>
      <w:r w:rsidR="004C0CC7">
        <w:rPr>
          <w:lang w:val="en"/>
        </w:rPr>
        <w:t xml:space="preserve"> aged care and </w:t>
      </w:r>
      <w:r w:rsidR="005C3FC2">
        <w:rPr>
          <w:lang w:val="en"/>
        </w:rPr>
        <w:t>meaningful participation by older Australians.</w:t>
      </w:r>
      <w:r w:rsidR="005C3FC2">
        <w:rPr>
          <w:rStyle w:val="EndnoteReference"/>
          <w:lang w:val="en"/>
        </w:rPr>
        <w:endnoteReference w:id="10"/>
      </w:r>
      <w:r w:rsidRPr="003C6A63">
        <w:t xml:space="preserve"> </w:t>
      </w:r>
    </w:p>
    <w:p w:rsidR="00770A34" w:rsidRPr="001E1304" w:rsidRDefault="00387969" w:rsidP="00770A34">
      <w:pPr>
        <w:pStyle w:val="Heading2"/>
        <w:numPr>
          <w:ilvl w:val="1"/>
          <w:numId w:val="37"/>
        </w:numPr>
      </w:pPr>
      <w:bookmarkStart w:id="11" w:name="_Toc350787873"/>
      <w:r>
        <w:t>A</w:t>
      </w:r>
      <w:r w:rsidR="00770A34">
        <w:t xml:space="preserve">ccess to information </w:t>
      </w:r>
      <w:r>
        <w:t>and participation in decision-making</w:t>
      </w:r>
      <w:bookmarkEnd w:id="11"/>
    </w:p>
    <w:p w:rsidR="00C60809" w:rsidRPr="00C60809" w:rsidRDefault="00770A34" w:rsidP="00770A34">
      <w:pPr>
        <w:pStyle w:val="SubmissionNormal"/>
      </w:pPr>
      <w:r w:rsidRPr="00C60809">
        <w:rPr>
          <w:rFonts w:eastAsia="MyriadPro-Light" w:cs="Arial"/>
        </w:rPr>
        <w:t xml:space="preserve">A 2008 survey found that older people had much lower levels of adequate health literacy than younger people. </w:t>
      </w:r>
    </w:p>
    <w:p w:rsidR="00770A34" w:rsidRDefault="00770A34" w:rsidP="00770A34">
      <w:pPr>
        <w:pStyle w:val="SubmissionNormal"/>
      </w:pPr>
      <w:r w:rsidRPr="00C60809">
        <w:rPr>
          <w:lang w:val="en"/>
        </w:rPr>
        <w:t>The internet has the potential to assist with improving the health literacy of older Australians. However, research shows that older people are less likely to have an internet connection</w:t>
      </w:r>
      <w:r>
        <w:rPr>
          <w:rStyle w:val="EndnoteReference"/>
          <w:lang w:val="en"/>
        </w:rPr>
        <w:endnoteReference w:id="11"/>
      </w:r>
      <w:r w:rsidRPr="00C60809">
        <w:rPr>
          <w:lang w:val="en"/>
        </w:rPr>
        <w:t xml:space="preserve"> and are less likely to </w:t>
      </w:r>
      <w:r w:rsidR="00DD5C85" w:rsidRPr="00C60809">
        <w:rPr>
          <w:lang w:val="en"/>
        </w:rPr>
        <w:t>be</w:t>
      </w:r>
      <w:r w:rsidRPr="00C60809">
        <w:rPr>
          <w:lang w:val="en"/>
        </w:rPr>
        <w:t xml:space="preserve"> online</w:t>
      </w:r>
      <w:r w:rsidR="00DD5C85" w:rsidRPr="00C60809">
        <w:rPr>
          <w:lang w:val="en"/>
        </w:rPr>
        <w:t xml:space="preserve"> or to be confident users of computer technology</w:t>
      </w:r>
      <w:r w:rsidRPr="00C60809">
        <w:rPr>
          <w:lang w:val="en"/>
        </w:rPr>
        <w:t>.</w:t>
      </w:r>
      <w:bookmarkStart w:id="12" w:name="fnB83"/>
      <w:r>
        <w:rPr>
          <w:rStyle w:val="EndnoteReference"/>
          <w:lang w:val="en"/>
        </w:rPr>
        <w:endnoteReference w:id="12"/>
      </w:r>
      <w:hyperlink r:id="rId14" w:anchor="fn83" w:history="1"/>
      <w:bookmarkEnd w:id="12"/>
      <w:r w:rsidR="00F41317">
        <w:rPr>
          <w:lang w:val="en"/>
        </w:rPr>
        <w:t xml:space="preserve"> T</w:t>
      </w:r>
      <w:r w:rsidRPr="00C60809">
        <w:rPr>
          <w:lang w:val="en"/>
        </w:rPr>
        <w:t xml:space="preserve">he federal government is providing a degree of access to the internet by older Australians through its </w:t>
      </w:r>
      <w:r w:rsidRPr="00C60809">
        <w:rPr>
          <w:i/>
          <w:iCs/>
          <w:lang w:val="en"/>
        </w:rPr>
        <w:t>Broadband for Seniors</w:t>
      </w:r>
      <w:r w:rsidRPr="00C60809">
        <w:rPr>
          <w:lang w:val="en"/>
        </w:rPr>
        <w:t xml:space="preserve"> </w:t>
      </w:r>
      <w:r w:rsidRPr="00C60809">
        <w:rPr>
          <w:i/>
          <w:iCs/>
          <w:lang w:val="en"/>
        </w:rPr>
        <w:t>Initiative</w:t>
      </w:r>
      <w:r w:rsidR="00F41317">
        <w:rPr>
          <w:lang w:val="en"/>
        </w:rPr>
        <w:t>. However,</w:t>
      </w:r>
      <w:r w:rsidRPr="00C60809">
        <w:rPr>
          <w:lang w:val="en"/>
        </w:rPr>
        <w:t xml:space="preserve"> more work is required to improve the effectiveness of the program and ensure that older Australians</w:t>
      </w:r>
      <w:r w:rsidR="00C60809">
        <w:rPr>
          <w:lang w:val="en"/>
        </w:rPr>
        <w:t>, particularly those in remote locations,</w:t>
      </w:r>
      <w:r w:rsidRPr="00C60809">
        <w:rPr>
          <w:lang w:val="en"/>
        </w:rPr>
        <w:t xml:space="preserve"> are confident </w:t>
      </w:r>
      <w:r w:rsidR="00F41317">
        <w:rPr>
          <w:lang w:val="en"/>
        </w:rPr>
        <w:t xml:space="preserve">accessing information </w:t>
      </w:r>
      <w:r w:rsidRPr="00C60809">
        <w:rPr>
          <w:lang w:val="en"/>
        </w:rPr>
        <w:t>online.</w:t>
      </w:r>
      <w:r>
        <w:rPr>
          <w:rStyle w:val="EndnoteReference"/>
          <w:lang w:val="en"/>
        </w:rPr>
        <w:endnoteReference w:id="13"/>
      </w:r>
      <w:r w:rsidRPr="003A5C8A">
        <w:t xml:space="preserve"> </w:t>
      </w:r>
    </w:p>
    <w:p w:rsidR="00387969" w:rsidRPr="003C6A63" w:rsidRDefault="00387969" w:rsidP="00770A34">
      <w:pPr>
        <w:pStyle w:val="SubmissionNormal"/>
      </w:pPr>
      <w:r>
        <w:rPr>
          <w:lang w:val="en"/>
        </w:rPr>
        <w:t xml:space="preserve">The implementation of </w:t>
      </w:r>
      <w:r w:rsidRPr="00C9209A">
        <w:rPr>
          <w:lang w:val="en"/>
        </w:rPr>
        <w:t>consumer directed care models</w:t>
      </w:r>
      <w:r w:rsidR="0036543A">
        <w:rPr>
          <w:lang w:val="en"/>
        </w:rPr>
        <w:t xml:space="preserve"> follow</w:t>
      </w:r>
      <w:r w:rsidR="00F41317">
        <w:rPr>
          <w:lang w:val="en"/>
        </w:rPr>
        <w:t>s</w:t>
      </w:r>
      <w:r w:rsidR="0036543A">
        <w:rPr>
          <w:lang w:val="en"/>
        </w:rPr>
        <w:t xml:space="preserve"> a human rights approach of participation and choice. This gives</w:t>
      </w:r>
      <w:r w:rsidR="00113545">
        <w:rPr>
          <w:lang w:val="en"/>
        </w:rPr>
        <w:t xml:space="preserve"> older </w:t>
      </w:r>
      <w:r w:rsidR="00F45C21">
        <w:rPr>
          <w:lang w:val="en"/>
        </w:rPr>
        <w:t>Australians</w:t>
      </w:r>
      <w:r w:rsidR="00113545">
        <w:rPr>
          <w:lang w:val="en"/>
        </w:rPr>
        <w:t xml:space="preserve"> greater control over the</w:t>
      </w:r>
      <w:r>
        <w:rPr>
          <w:lang w:val="en"/>
        </w:rPr>
        <w:t xml:space="preserve"> </w:t>
      </w:r>
      <w:r w:rsidR="00F45C21">
        <w:rPr>
          <w:lang w:val="en"/>
        </w:rPr>
        <w:t>design and</w:t>
      </w:r>
      <w:r w:rsidR="0036543A">
        <w:rPr>
          <w:lang w:val="en"/>
        </w:rPr>
        <w:t xml:space="preserve"> delivery of aged care services and</w:t>
      </w:r>
      <w:r w:rsidR="00F45C21">
        <w:rPr>
          <w:lang w:val="en"/>
        </w:rPr>
        <w:t xml:space="preserve"> </w:t>
      </w:r>
      <w:r>
        <w:rPr>
          <w:lang w:val="en"/>
        </w:rPr>
        <w:t xml:space="preserve">will go </w:t>
      </w:r>
      <w:r w:rsidR="00F41317">
        <w:rPr>
          <w:lang w:val="en"/>
        </w:rPr>
        <w:t>part</w:t>
      </w:r>
      <w:r>
        <w:rPr>
          <w:lang w:val="en"/>
        </w:rPr>
        <w:t xml:space="preserve"> way to assisting older people to participate in decisions that affect them. These policies are in their formative stages in Australia and there is significant work ahead to change the systems that will allow this model to be implemented. </w:t>
      </w:r>
      <w:r w:rsidR="00A01C1A">
        <w:rPr>
          <w:lang w:val="en"/>
        </w:rPr>
        <w:t xml:space="preserve">A human rights framework would provide an excellent instrument to monitor the </w:t>
      </w:r>
      <w:r w:rsidR="00576F24">
        <w:rPr>
          <w:lang w:val="en"/>
        </w:rPr>
        <w:t>implementation of this model and its effectiveness.</w:t>
      </w:r>
      <w:r w:rsidR="00A01C1A">
        <w:rPr>
          <w:lang w:val="en"/>
        </w:rPr>
        <w:t xml:space="preserve"> </w:t>
      </w:r>
    </w:p>
    <w:p w:rsidR="00157A74" w:rsidRPr="001E1304" w:rsidRDefault="002164C5" w:rsidP="00157A74">
      <w:pPr>
        <w:pStyle w:val="Heading2"/>
        <w:numPr>
          <w:ilvl w:val="1"/>
          <w:numId w:val="37"/>
        </w:numPr>
      </w:pPr>
      <w:bookmarkStart w:id="13" w:name="_Toc350787874"/>
      <w:r>
        <w:t xml:space="preserve">Access to </w:t>
      </w:r>
      <w:r w:rsidR="006637C3">
        <w:t>h</w:t>
      </w:r>
      <w:r w:rsidR="00157A74">
        <w:t>ousing</w:t>
      </w:r>
      <w:bookmarkEnd w:id="13"/>
    </w:p>
    <w:p w:rsidR="0036543A" w:rsidRDefault="002146C0" w:rsidP="00A34FAE">
      <w:pPr>
        <w:pStyle w:val="SubmissionNormal"/>
      </w:pPr>
      <w:r w:rsidRPr="002146C0">
        <w:t>Affordable and suitable housing is necessary to meet the demands of an ageing population.</w:t>
      </w:r>
      <w:r>
        <w:t xml:space="preserve"> Housing in Australia was rated ‘severely unaffordable’ by the </w:t>
      </w:r>
      <w:r w:rsidRPr="002A34E8">
        <w:t>9</w:t>
      </w:r>
      <w:r w:rsidRPr="002A34E8">
        <w:rPr>
          <w:vertAlign w:val="superscript"/>
        </w:rPr>
        <w:t>th</w:t>
      </w:r>
      <w:r w:rsidRPr="002A34E8">
        <w:t xml:space="preserve"> Annual </w:t>
      </w:r>
      <w:proofErr w:type="spellStart"/>
      <w:r w:rsidRPr="002A34E8">
        <w:t>Demographia</w:t>
      </w:r>
      <w:proofErr w:type="spellEnd"/>
      <w:r w:rsidRPr="002A34E8">
        <w:t xml:space="preserve"> International Housing Affordability Survey: 2013</w:t>
      </w:r>
      <w:r>
        <w:t>.</w:t>
      </w:r>
      <w:r>
        <w:rPr>
          <w:rStyle w:val="EndnoteReference"/>
        </w:rPr>
        <w:endnoteReference w:id="14"/>
      </w:r>
      <w:r>
        <w:t xml:space="preserve"> The </w:t>
      </w:r>
      <w:r w:rsidRPr="002146C0">
        <w:t>availability of</w:t>
      </w:r>
      <w:r w:rsidR="0036543A">
        <w:t xml:space="preserve"> suitable</w:t>
      </w:r>
      <w:r w:rsidRPr="002146C0">
        <w:t xml:space="preserve"> housing</w:t>
      </w:r>
      <w:r w:rsidR="002A2320">
        <w:t xml:space="preserve"> that conforms to universal design standards</w:t>
      </w:r>
      <w:r w:rsidRPr="002146C0">
        <w:t xml:space="preserve"> </w:t>
      </w:r>
      <w:r>
        <w:t>is also an issue because the current provision</w:t>
      </w:r>
      <w:r w:rsidR="002A2320">
        <w:t xml:space="preserve"> of age-appropriate housing is fragmented and limited in cities by </w:t>
      </w:r>
      <w:r w:rsidR="00A34FAE">
        <w:t>planning and land-use regulations.</w:t>
      </w:r>
      <w:r w:rsidR="002A2320">
        <w:t xml:space="preserve"> </w:t>
      </w:r>
    </w:p>
    <w:p w:rsidR="000A34A0" w:rsidRPr="003A5C8A" w:rsidRDefault="00A07752" w:rsidP="007755AE">
      <w:pPr>
        <w:pStyle w:val="SubmissionNormal"/>
      </w:pPr>
      <w:r>
        <w:t xml:space="preserve">There is </w:t>
      </w:r>
      <w:r w:rsidR="00C053B7">
        <w:t xml:space="preserve">the </w:t>
      </w:r>
      <w:r>
        <w:t xml:space="preserve">need for a national, coordinated approach to housing policy </w:t>
      </w:r>
      <w:r w:rsidR="00E3075C">
        <w:t>with a particular focus</w:t>
      </w:r>
      <w:r>
        <w:t xml:space="preserve"> on the </w:t>
      </w:r>
      <w:r w:rsidR="00DB1ADF">
        <w:t xml:space="preserve">housing </w:t>
      </w:r>
      <w:r>
        <w:t xml:space="preserve">needs </w:t>
      </w:r>
      <w:r w:rsidR="00E3075C">
        <w:t xml:space="preserve">and incomes </w:t>
      </w:r>
      <w:r>
        <w:t xml:space="preserve">of </w:t>
      </w:r>
      <w:r w:rsidR="000443FA">
        <w:t>older</w:t>
      </w:r>
      <w:r>
        <w:t xml:space="preserve"> Australians.</w:t>
      </w:r>
      <w:r w:rsidR="007755AE">
        <w:t xml:space="preserve"> </w:t>
      </w:r>
      <w:r w:rsidR="007755AE" w:rsidRPr="007755AE">
        <w:t>In February 2013 The Minister for Health and Ageing received the additional portfolio responsibilities of Housing and Homelessness which could assist policy settings on these areas to be better integrated</w:t>
      </w:r>
      <w:r w:rsidR="007755AE">
        <w:t>.</w:t>
      </w:r>
    </w:p>
    <w:p w:rsidR="00157A74" w:rsidRPr="001E1304" w:rsidRDefault="00157A74" w:rsidP="00157A74">
      <w:pPr>
        <w:pStyle w:val="Heading2"/>
        <w:numPr>
          <w:ilvl w:val="1"/>
          <w:numId w:val="37"/>
        </w:numPr>
      </w:pPr>
      <w:bookmarkStart w:id="14" w:name="_Toc350787875"/>
      <w:r>
        <w:t>Poverty and social insecurity</w:t>
      </w:r>
      <w:bookmarkEnd w:id="14"/>
    </w:p>
    <w:p w:rsidR="00643DF2" w:rsidRDefault="00DB1ADF" w:rsidP="004E6F76">
      <w:pPr>
        <w:pStyle w:val="SubmissionNormal"/>
      </w:pPr>
      <w:r>
        <w:t>The Australian Bureau of Statistics reports that older Australians are particularly vulnerable to poverty.</w:t>
      </w:r>
      <w:r>
        <w:rPr>
          <w:rStyle w:val="EndnoteReference"/>
        </w:rPr>
        <w:endnoteReference w:id="15"/>
      </w:r>
      <w:r>
        <w:t xml:space="preserve"> </w:t>
      </w:r>
      <w:r w:rsidR="002A34E8">
        <w:t xml:space="preserve">Over 18 </w:t>
      </w:r>
      <w:r w:rsidRPr="00AB1526">
        <w:t>000 people aged 55 or over were home</w:t>
      </w:r>
      <w:r w:rsidR="002A34E8">
        <w:t>less on Census night in 2006; 4</w:t>
      </w:r>
      <w:r w:rsidRPr="00AB1526">
        <w:t xml:space="preserve">000 more than on Census night in </w:t>
      </w:r>
      <w:r w:rsidRPr="00AB1526">
        <w:lastRenderedPageBreak/>
        <w:t>2001.</w:t>
      </w:r>
      <w:r>
        <w:rPr>
          <w:rStyle w:val="EndnoteReference"/>
        </w:rPr>
        <w:endnoteReference w:id="16"/>
      </w:r>
      <w:r>
        <w:t xml:space="preserve"> G</w:t>
      </w:r>
      <w:r w:rsidRPr="00AB1526">
        <w:t>overnment pensions and allowances are by far the most common source of personal retirement income for both men and women with two-thirds of retirees relying on the Age Pension as their main source of income.</w:t>
      </w:r>
      <w:r>
        <w:rPr>
          <w:rStyle w:val="EndnoteReference"/>
        </w:rPr>
        <w:endnoteReference w:id="17"/>
      </w:r>
      <w:r>
        <w:t xml:space="preserve"> </w:t>
      </w:r>
      <w:r w:rsidRPr="00C26DFB">
        <w:t>While some people are voluntarily retired, many older Australians are unemployed long before they reach pension age.</w:t>
      </w:r>
      <w:r w:rsidR="002A34E8">
        <w:t xml:space="preserve"> In June 2010, 140 </w:t>
      </w:r>
      <w:r>
        <w:t>750 Australians aged 50 and over were unemployed</w:t>
      </w:r>
      <w:r w:rsidRPr="00C26DFB">
        <w:t>.</w:t>
      </w:r>
      <w:r>
        <w:rPr>
          <w:rStyle w:val="EndnoteReference"/>
        </w:rPr>
        <w:endnoteReference w:id="18"/>
      </w:r>
      <w:r w:rsidR="006F73F5">
        <w:t xml:space="preserve"> </w:t>
      </w:r>
    </w:p>
    <w:p w:rsidR="00DB1ADF" w:rsidRDefault="006F73F5" w:rsidP="004E6F76">
      <w:pPr>
        <w:pStyle w:val="SubmissionNormal"/>
      </w:pPr>
      <w:r>
        <w:t xml:space="preserve">Older women </w:t>
      </w:r>
      <w:r w:rsidR="004E6F76">
        <w:t>also need particular support and assistance. The Home a</w:t>
      </w:r>
      <w:r w:rsidR="00643DF2">
        <w:t>nd Community Care Program</w:t>
      </w:r>
      <w:r w:rsidR="004E6F76">
        <w:t>, for instance, provided assistance to over 744,000 people (2004-05), 75% of whom were aged over 65. Two-thirds of older clients were women; with the single biggest group being women aged 75-84</w:t>
      </w:r>
      <w:r w:rsidR="00575D4C">
        <w:t>.</w:t>
      </w:r>
      <w:r w:rsidR="00575D4C">
        <w:rPr>
          <w:rStyle w:val="EndnoteReference"/>
        </w:rPr>
        <w:endnoteReference w:id="19"/>
      </w:r>
    </w:p>
    <w:p w:rsidR="00157A74" w:rsidRPr="001E1304" w:rsidRDefault="006E5BE1" w:rsidP="00157A74">
      <w:pPr>
        <w:pStyle w:val="Heading2"/>
        <w:numPr>
          <w:ilvl w:val="1"/>
          <w:numId w:val="37"/>
        </w:numPr>
      </w:pPr>
      <w:bookmarkStart w:id="15" w:name="_Toc350787876"/>
      <w:r>
        <w:t>Access to employment</w:t>
      </w:r>
      <w:bookmarkEnd w:id="15"/>
    </w:p>
    <w:p w:rsidR="00CD1FC4" w:rsidRDefault="006E5BE1" w:rsidP="00236C94">
      <w:pPr>
        <w:pStyle w:val="SubmissionNormal"/>
      </w:pPr>
      <w:r>
        <w:t>While</w:t>
      </w:r>
      <w:r w:rsidR="00CD1FC4">
        <w:rPr>
          <w:lang w:val="en"/>
        </w:rPr>
        <w:t xml:space="preserve"> workforce</w:t>
      </w:r>
      <w:r>
        <w:rPr>
          <w:lang w:val="en"/>
        </w:rPr>
        <w:t xml:space="preserve"> participat</w:t>
      </w:r>
      <w:r w:rsidR="002A34E8">
        <w:rPr>
          <w:lang w:val="en"/>
        </w:rPr>
        <w:t>ion rates are increasing among</w:t>
      </w:r>
      <w:r>
        <w:rPr>
          <w:lang w:val="en"/>
        </w:rPr>
        <w:t xml:space="preserve"> older Australians, many people are leaving the workforce be</w:t>
      </w:r>
      <w:r w:rsidR="00FF01C3">
        <w:rPr>
          <w:lang w:val="en"/>
        </w:rPr>
        <w:t>f</w:t>
      </w:r>
      <w:r>
        <w:rPr>
          <w:lang w:val="en"/>
        </w:rPr>
        <w:t>ore they are ready and before they have sufficient savings for their retirement</w:t>
      </w:r>
      <w:r w:rsidR="00CD1FC4">
        <w:rPr>
          <w:lang w:val="en"/>
        </w:rPr>
        <w:t>.</w:t>
      </w:r>
    </w:p>
    <w:p w:rsidR="00BC3125" w:rsidRPr="00000A0B" w:rsidRDefault="00405305" w:rsidP="00236C94">
      <w:pPr>
        <w:pStyle w:val="SubmissionNormal"/>
      </w:pPr>
      <w:r>
        <w:rPr>
          <w:lang w:val="en"/>
        </w:rPr>
        <w:t>The following are examples of barriers to mature age employment.</w:t>
      </w:r>
    </w:p>
    <w:p w:rsidR="00000A0B" w:rsidRPr="00000A0B" w:rsidRDefault="00405305" w:rsidP="00000A0B">
      <w:pPr>
        <w:pStyle w:val="SubmissionNormal"/>
        <w:numPr>
          <w:ilvl w:val="1"/>
          <w:numId w:val="36"/>
        </w:numPr>
      </w:pPr>
      <w:r>
        <w:rPr>
          <w:lang w:val="en"/>
        </w:rPr>
        <w:t>A</w:t>
      </w:r>
      <w:r w:rsidR="00A0693B">
        <w:rPr>
          <w:lang w:val="en"/>
        </w:rPr>
        <w:t>ge d</w:t>
      </w:r>
      <w:r w:rsidR="00000A0B">
        <w:rPr>
          <w:lang w:val="en"/>
        </w:rPr>
        <w:t>iscrimination</w:t>
      </w:r>
      <w:r w:rsidR="00AF5E17">
        <w:rPr>
          <w:lang w:val="en"/>
        </w:rPr>
        <w:t xml:space="preserve"> </w:t>
      </w:r>
      <w:r w:rsidR="00000A0B">
        <w:rPr>
          <w:lang w:val="en"/>
        </w:rPr>
        <w:t xml:space="preserve">– </w:t>
      </w:r>
      <w:r w:rsidR="00611B83" w:rsidRPr="00611B83">
        <w:t>34 per cent of Australians 65 and over think employers consider them too old, and a similar proportion find it hard to obtain work or work more because of their age</w:t>
      </w:r>
      <w:r>
        <w:t>.</w:t>
      </w:r>
      <w:r w:rsidR="00611B83">
        <w:rPr>
          <w:rStyle w:val="EndnoteReference"/>
        </w:rPr>
        <w:endnoteReference w:id="20"/>
      </w:r>
    </w:p>
    <w:p w:rsidR="00000A0B" w:rsidRPr="009C2097" w:rsidRDefault="00A0693B" w:rsidP="00000A0B">
      <w:pPr>
        <w:pStyle w:val="SubmissionNormal"/>
        <w:numPr>
          <w:ilvl w:val="1"/>
          <w:numId w:val="36"/>
        </w:numPr>
      </w:pPr>
      <w:r>
        <w:rPr>
          <w:lang w:val="en"/>
        </w:rPr>
        <w:t>L</w:t>
      </w:r>
      <w:r w:rsidR="00CD1FC4">
        <w:rPr>
          <w:lang w:val="en"/>
        </w:rPr>
        <w:t>ack of workplace flexibility – o</w:t>
      </w:r>
      <w:r>
        <w:rPr>
          <w:lang w:val="en"/>
        </w:rPr>
        <w:t>lder workers reported the need for flexibility in their working hours or part-time arrangements so that they can fit in caring responsibilities or manage sickness or disability.</w:t>
      </w:r>
      <w:r>
        <w:rPr>
          <w:rStyle w:val="EndnoteReference"/>
          <w:lang w:val="en"/>
        </w:rPr>
        <w:endnoteReference w:id="21"/>
      </w:r>
      <w:r w:rsidRPr="009C2097">
        <w:t xml:space="preserve"> </w:t>
      </w:r>
    </w:p>
    <w:p w:rsidR="00405305" w:rsidRPr="00E12C0D" w:rsidRDefault="00405305" w:rsidP="00405305">
      <w:pPr>
        <w:pStyle w:val="SubmissionNormal"/>
        <w:numPr>
          <w:ilvl w:val="1"/>
          <w:numId w:val="36"/>
        </w:numPr>
      </w:pPr>
      <w:r>
        <w:rPr>
          <w:lang w:val="en"/>
        </w:rPr>
        <w:t xml:space="preserve">Government and industry age limits – </w:t>
      </w:r>
      <w:r w:rsidR="00CD1FC4">
        <w:rPr>
          <w:lang w:val="en"/>
        </w:rPr>
        <w:t>m</w:t>
      </w:r>
      <w:r w:rsidR="00D93420">
        <w:rPr>
          <w:lang w:val="en"/>
        </w:rPr>
        <w:t>ost</w:t>
      </w:r>
      <w:r>
        <w:rPr>
          <w:lang w:val="en"/>
        </w:rPr>
        <w:t xml:space="preserve"> workers</w:t>
      </w:r>
      <w:r>
        <w:t xml:space="preserve">’ compensation and </w:t>
      </w:r>
      <w:r w:rsidR="00D93420">
        <w:t>income protection</w:t>
      </w:r>
      <w:r w:rsidR="00643DF2">
        <w:t xml:space="preserve"> insurance schemes have age cut-</w:t>
      </w:r>
      <w:r w:rsidR="00D93420">
        <w:t xml:space="preserve">offs at around 65 years. </w:t>
      </w:r>
      <w:r w:rsidR="002F17DB">
        <w:t xml:space="preserve">This acts as a disincentive to </w:t>
      </w:r>
      <w:r w:rsidR="0064080C">
        <w:t xml:space="preserve">work </w:t>
      </w:r>
      <w:r w:rsidR="002F17DB">
        <w:t xml:space="preserve">participation for older workers close to, or above the age of 65 because they are less protected in the event of </w:t>
      </w:r>
      <w:r w:rsidR="001C2EE8">
        <w:t xml:space="preserve">accident or </w:t>
      </w:r>
      <w:r w:rsidR="002F17DB">
        <w:t>misfortune.</w:t>
      </w:r>
      <w:r w:rsidR="001C2EE8">
        <w:rPr>
          <w:rStyle w:val="EndnoteReference"/>
        </w:rPr>
        <w:endnoteReference w:id="22"/>
      </w:r>
      <w:r w:rsidR="002F17DB">
        <w:t xml:space="preserve"> </w:t>
      </w:r>
    </w:p>
    <w:p w:rsidR="00157A74" w:rsidRPr="001E1304" w:rsidRDefault="00157A74" w:rsidP="00157A74">
      <w:pPr>
        <w:pStyle w:val="Heading2"/>
        <w:numPr>
          <w:ilvl w:val="1"/>
          <w:numId w:val="37"/>
        </w:numPr>
      </w:pPr>
      <w:bookmarkStart w:id="16" w:name="_Toc350787877"/>
      <w:r>
        <w:t>Discrimination</w:t>
      </w:r>
      <w:bookmarkEnd w:id="16"/>
    </w:p>
    <w:p w:rsidR="00DC256F" w:rsidRDefault="002E6B0C" w:rsidP="007755AE">
      <w:pPr>
        <w:pStyle w:val="SubmissionNormal"/>
      </w:pPr>
      <w:r>
        <w:t>Age discrimination is a significa</w:t>
      </w:r>
      <w:r w:rsidR="00AB4B63">
        <w:t xml:space="preserve">nt barrier to older people realising their full potential. </w:t>
      </w:r>
      <w:r w:rsidR="00FF01C3">
        <w:t xml:space="preserve">Discrimination </w:t>
      </w:r>
      <w:r w:rsidR="00343A18">
        <w:t>is often the result o</w:t>
      </w:r>
      <w:r w:rsidR="00056A90">
        <w:t>f social stigma and stereotypes</w:t>
      </w:r>
      <w:r w:rsidR="00FF01C3">
        <w:t xml:space="preserve">. Some of the more corrosive </w:t>
      </w:r>
      <w:r w:rsidR="007E7E77">
        <w:t>views about ol</w:t>
      </w:r>
      <w:r w:rsidR="00E2515C">
        <w:t>der people in Australia include</w:t>
      </w:r>
      <w:r w:rsidR="00056A90">
        <w:t xml:space="preserve"> </w:t>
      </w:r>
      <w:r w:rsidR="007E7E77">
        <w:t xml:space="preserve">the </w:t>
      </w:r>
      <w:r w:rsidR="00056A90">
        <w:t>belief that older people</w:t>
      </w:r>
      <w:r w:rsidR="00E2515C">
        <w:t xml:space="preserve"> are</w:t>
      </w:r>
      <w:r w:rsidR="00236C94">
        <w:t xml:space="preserve"> </w:t>
      </w:r>
      <w:r w:rsidR="00D36EB0">
        <w:t>all the same, unable to learn or change, unwell, lonely and an economic burden on society.</w:t>
      </w:r>
      <w:r w:rsidR="00D36EB0">
        <w:rPr>
          <w:rStyle w:val="EndnoteReference"/>
        </w:rPr>
        <w:endnoteReference w:id="23"/>
      </w:r>
    </w:p>
    <w:p w:rsidR="00411DE5" w:rsidRDefault="00DC256F" w:rsidP="00222A8B">
      <w:pPr>
        <w:pStyle w:val="SubmissionNormal"/>
      </w:pPr>
      <w:r>
        <w:t xml:space="preserve">Unfortunately, these stereotypes </w:t>
      </w:r>
      <w:r w:rsidR="007E7E77">
        <w:t>can be</w:t>
      </w:r>
      <w:r>
        <w:t xml:space="preserve"> reflected in negative </w:t>
      </w:r>
      <w:r w:rsidR="007E7E77">
        <w:t xml:space="preserve">employer </w:t>
      </w:r>
      <w:r>
        <w:t xml:space="preserve">attitudes as well as </w:t>
      </w:r>
      <w:r w:rsidR="007E7E77">
        <w:t>discriminatory</w:t>
      </w:r>
      <w:r w:rsidR="009436F2">
        <w:t xml:space="preserve"> </w:t>
      </w:r>
      <w:r>
        <w:t xml:space="preserve">laws and policies. </w:t>
      </w:r>
      <w:r w:rsidR="00A212EF">
        <w:t>In the period</w:t>
      </w:r>
      <w:r w:rsidR="002A34E8">
        <w:t xml:space="preserve"> 1 July to </w:t>
      </w:r>
      <w:r w:rsidR="00515EB7">
        <w:t>31 December 2012, the areas in which the Commission received the largest proportion of age discrimination complaints were employment (63 per cent) followed by provision of good</w:t>
      </w:r>
      <w:r w:rsidR="00863C58">
        <w:t>s</w:t>
      </w:r>
      <w:r w:rsidR="00515EB7">
        <w:t>, services and facilities (21 per cent).</w:t>
      </w:r>
      <w:r w:rsidR="00222A8B">
        <w:t xml:space="preserve"> </w:t>
      </w:r>
      <w:r w:rsidR="00515EB7" w:rsidRPr="00515EB7">
        <w:t xml:space="preserve">The main age groups of complainants were 55-64 </w:t>
      </w:r>
      <w:r w:rsidR="00515EB7">
        <w:t>years (26 per cent) and 65-74 years (22 per cent</w:t>
      </w:r>
      <w:r w:rsidR="00515EB7" w:rsidRPr="00515EB7">
        <w:t>).</w:t>
      </w:r>
      <w:r w:rsidR="00515EB7">
        <w:t xml:space="preserve"> </w:t>
      </w:r>
      <w:r>
        <w:t xml:space="preserve">The challenge for Australia is to </w:t>
      </w:r>
      <w:r w:rsidR="009436F2">
        <w:t xml:space="preserve">promote greater </w:t>
      </w:r>
      <w:r w:rsidR="00411DE5">
        <w:t>awareness of age discrimination as a serious</w:t>
      </w:r>
      <w:r w:rsidR="007A5809">
        <w:t xml:space="preserve"> human rights violation and greater respect for </w:t>
      </w:r>
      <w:r w:rsidR="007A5809">
        <w:lastRenderedPageBreak/>
        <w:t xml:space="preserve">diversity in </w:t>
      </w:r>
      <w:r w:rsidR="009C2A8B">
        <w:t>the community</w:t>
      </w:r>
      <w:r w:rsidR="00D411E6">
        <w:t>,</w:t>
      </w:r>
      <w:r w:rsidR="007755AE">
        <w:t xml:space="preserve"> and capacity for older people to contribute in positive ways to the economy and community.</w:t>
      </w:r>
    </w:p>
    <w:p w:rsidR="00863C58" w:rsidRDefault="00835953" w:rsidP="00157A74">
      <w:pPr>
        <w:pStyle w:val="SubmissionNormal"/>
      </w:pPr>
      <w:r>
        <w:t>T</w:t>
      </w:r>
      <w:r w:rsidR="007A5809">
        <w:t xml:space="preserve">he </w:t>
      </w:r>
      <w:r w:rsidR="00863C58">
        <w:t xml:space="preserve">appointment of </w:t>
      </w:r>
      <w:r w:rsidR="007A5809">
        <w:t>Australia</w:t>
      </w:r>
      <w:r w:rsidR="00863C58">
        <w:t xml:space="preserve">’s first </w:t>
      </w:r>
      <w:r w:rsidR="007A5809">
        <w:t xml:space="preserve">Age Discrimination Commissioner </w:t>
      </w:r>
      <w:r w:rsidR="00863C58">
        <w:t xml:space="preserve">in 2011 has been an important step to </w:t>
      </w:r>
      <w:r w:rsidR="00C80593">
        <w:t>focus attention on</w:t>
      </w:r>
      <w:r w:rsidR="00863C58">
        <w:t xml:space="preserve"> the prevalence of age discrimination in Australia and to </w:t>
      </w:r>
      <w:r w:rsidR="007755AE">
        <w:t>advocate</w:t>
      </w:r>
      <w:r w:rsidR="00863C58">
        <w:t xml:space="preserve"> remedies to address</w:t>
      </w:r>
      <w:r w:rsidR="00C80593">
        <w:t xml:space="preserve"> and prevent</w:t>
      </w:r>
      <w:r w:rsidR="00863C58">
        <w:t xml:space="preserve"> discriminatory attitudes and practices. </w:t>
      </w:r>
    </w:p>
    <w:p w:rsidR="00E033FD" w:rsidRDefault="00BB3678" w:rsidP="008E076F">
      <w:pPr>
        <w:pStyle w:val="Heading2"/>
        <w:numPr>
          <w:ilvl w:val="1"/>
          <w:numId w:val="37"/>
        </w:numPr>
      </w:pPr>
      <w:bookmarkStart w:id="17" w:name="_Toc350787878"/>
      <w:r>
        <w:t>Vulnerable</w:t>
      </w:r>
      <w:r w:rsidR="00E033FD">
        <w:t xml:space="preserve"> groups</w:t>
      </w:r>
      <w:bookmarkEnd w:id="17"/>
      <w:r>
        <w:t xml:space="preserve"> </w:t>
      </w:r>
    </w:p>
    <w:p w:rsidR="00A212EF" w:rsidRPr="00A212EF" w:rsidRDefault="00B40B3B" w:rsidP="00A212EF">
      <w:pPr>
        <w:pStyle w:val="SubmissionNormal"/>
      </w:pPr>
      <w:r>
        <w:t>Some segments of Australia’s older demographic</w:t>
      </w:r>
      <w:r w:rsidR="00A212EF">
        <w:t xml:space="preserve"> require particular assistance due to their inherent vulnerability or disadvantage. </w:t>
      </w:r>
    </w:p>
    <w:p w:rsidR="00643DF2" w:rsidRDefault="00E033FD" w:rsidP="00643DF2">
      <w:pPr>
        <w:pStyle w:val="SubmissionNormal"/>
      </w:pPr>
      <w:r>
        <w:rPr>
          <w:lang w:val="en"/>
        </w:rPr>
        <w:t xml:space="preserve">One in five older Australians comes from a </w:t>
      </w:r>
      <w:proofErr w:type="gramStart"/>
      <w:r w:rsidR="00BB3678" w:rsidRPr="00110AC5">
        <w:rPr>
          <w:b/>
        </w:rPr>
        <w:t>Culturally</w:t>
      </w:r>
      <w:proofErr w:type="gramEnd"/>
      <w:r w:rsidR="00BB3678" w:rsidRPr="00110AC5">
        <w:rPr>
          <w:b/>
        </w:rPr>
        <w:t xml:space="preserve"> and Linguistically Diverse (CALD) background</w:t>
      </w:r>
      <w:r>
        <w:rPr>
          <w:lang w:val="en"/>
        </w:rPr>
        <w:t>, and the size of this group is growing faster than other segments of the older population.</w:t>
      </w:r>
      <w:r>
        <w:rPr>
          <w:rStyle w:val="EndnoteReference"/>
          <w:lang w:val="en"/>
        </w:rPr>
        <w:endnoteReference w:id="24"/>
      </w:r>
      <w:r>
        <w:t xml:space="preserve"> Older CALD Australians </w:t>
      </w:r>
      <w:r>
        <w:rPr>
          <w:lang w:val="en"/>
        </w:rPr>
        <w:t>can face barriers in accessing appropriate health and aged care services,</w:t>
      </w:r>
      <w:r>
        <w:rPr>
          <w:rStyle w:val="EndnoteReference"/>
          <w:lang w:val="en"/>
        </w:rPr>
        <w:endnoteReference w:id="25"/>
      </w:r>
      <w:r>
        <w:rPr>
          <w:lang w:val="en"/>
        </w:rPr>
        <w:t xml:space="preserve"> such as accessing information and services that reflect their requirements, circumstances and language. For example, older CALD Australians frequently revert back to their first language as a result of the ageing process, so the availability of language appropriate services is very important.</w:t>
      </w:r>
      <w:r>
        <w:rPr>
          <w:rStyle w:val="EndnoteReference"/>
          <w:lang w:val="en"/>
        </w:rPr>
        <w:endnoteReference w:id="26"/>
      </w:r>
    </w:p>
    <w:p w:rsidR="008E076F" w:rsidRDefault="008E076F" w:rsidP="00643DF2">
      <w:pPr>
        <w:pStyle w:val="SubmissionNormal"/>
      </w:pPr>
      <w:r>
        <w:t xml:space="preserve">Many older </w:t>
      </w:r>
      <w:r w:rsidR="004F4704" w:rsidRPr="00643DF2">
        <w:rPr>
          <w:b/>
        </w:rPr>
        <w:t>Aboriginal and Torres Strait Islander</w:t>
      </w:r>
      <w:r w:rsidRPr="00643DF2">
        <w:rPr>
          <w:b/>
        </w:rPr>
        <w:t xml:space="preserve"> people</w:t>
      </w:r>
      <w:r>
        <w:t xml:space="preserve"> suffer extreme social and economic disadvantage. Some </w:t>
      </w:r>
      <w:r w:rsidR="005C36EB">
        <w:t>have also</w:t>
      </w:r>
      <w:r>
        <w:t xml:space="preserve"> lived through the trauma of colonisation and </w:t>
      </w:r>
      <w:r w:rsidR="004F4704">
        <w:t xml:space="preserve">forced removal from their family of origin. </w:t>
      </w:r>
      <w:r w:rsidR="00BB3678">
        <w:t>A</w:t>
      </w:r>
      <w:r>
        <w:t xml:space="preserve">ccessible and culturally appropriate health and aged care services </w:t>
      </w:r>
      <w:r w:rsidR="00BB3678">
        <w:t xml:space="preserve">are required for </w:t>
      </w:r>
      <w:r w:rsidR="004F4704" w:rsidRPr="004F4704">
        <w:t>Aboriginal and Torres Strait Islander</w:t>
      </w:r>
      <w:r>
        <w:t xml:space="preserve"> </w:t>
      </w:r>
      <w:r w:rsidR="002A34E8">
        <w:t>people to ensure</w:t>
      </w:r>
      <w:r w:rsidR="000D5FD5">
        <w:t xml:space="preserve"> that they are not further disadvantaged by remoteness</w:t>
      </w:r>
      <w:r>
        <w:t xml:space="preserve">. </w:t>
      </w:r>
      <w:r w:rsidRPr="00643DF2">
        <w:rPr>
          <w:rFonts w:cs="Arial"/>
        </w:rPr>
        <w:t>In 2004-05, 97</w:t>
      </w:r>
      <w:r w:rsidR="00DB1ADF" w:rsidRPr="00643DF2">
        <w:rPr>
          <w:rFonts w:cs="Arial"/>
        </w:rPr>
        <w:t xml:space="preserve"> per cent</w:t>
      </w:r>
      <w:r w:rsidRPr="00643DF2">
        <w:rPr>
          <w:rFonts w:cs="Arial"/>
        </w:rPr>
        <w:t xml:space="preserve"> of Indigenous people aged 55 years and over reported having at least one long-term health condition.</w:t>
      </w:r>
      <w:r>
        <w:rPr>
          <w:rStyle w:val="EndnoteReference"/>
          <w:rFonts w:cs="Arial"/>
        </w:rPr>
        <w:endnoteReference w:id="27"/>
      </w:r>
      <w:r w:rsidRPr="00643DF2">
        <w:rPr>
          <w:rFonts w:cs="Arial"/>
        </w:rPr>
        <w:t xml:space="preserve"> Dementia is also especially prevalent among older indigenous people</w:t>
      </w:r>
      <w:r w:rsidR="000D5FD5" w:rsidRPr="00643DF2">
        <w:rPr>
          <w:rFonts w:cs="Arial"/>
        </w:rPr>
        <w:t>,</w:t>
      </w:r>
      <w:r w:rsidRPr="00643DF2">
        <w:rPr>
          <w:rFonts w:cs="Arial"/>
        </w:rPr>
        <w:t xml:space="preserve"> and the onset is earlier than for other Australians.</w:t>
      </w:r>
      <w:r>
        <w:rPr>
          <w:rStyle w:val="EndnoteReference"/>
          <w:rFonts w:cs="Arial"/>
        </w:rPr>
        <w:endnoteReference w:id="28"/>
      </w:r>
      <w:r>
        <w:t xml:space="preserve"> </w:t>
      </w:r>
      <w:r w:rsidR="00C80593">
        <w:t>The life expectancy of Indigenous Australians is also 17 years lowe</w:t>
      </w:r>
      <w:r w:rsidR="00BD7F1E">
        <w:t>r than for the total population so age limits for health and other services must be set accordingly.</w:t>
      </w:r>
    </w:p>
    <w:p w:rsidR="00600A3B" w:rsidRDefault="00310594" w:rsidP="00004C4F">
      <w:pPr>
        <w:pStyle w:val="SubmissionNormal"/>
      </w:pPr>
      <w:r>
        <w:t xml:space="preserve">Many older </w:t>
      </w:r>
      <w:r w:rsidR="002A34E8">
        <w:rPr>
          <w:b/>
        </w:rPr>
        <w:t>l</w:t>
      </w:r>
      <w:r w:rsidR="000D5FD5" w:rsidRPr="00110AC5">
        <w:rPr>
          <w:b/>
        </w:rPr>
        <w:t>esbian, gay, bisexual, transgender and intersex (LGBTI)</w:t>
      </w:r>
      <w:r w:rsidR="000D5FD5">
        <w:t xml:space="preserve"> </w:t>
      </w:r>
      <w:r>
        <w:t>people have experienced lifelong discrimination and stigma, with damaging impacts on their physical health, mental and social wellbeing.</w:t>
      </w:r>
      <w:r w:rsidR="005C36EB">
        <w:rPr>
          <w:rStyle w:val="EndnoteReference"/>
        </w:rPr>
        <w:endnoteReference w:id="29"/>
      </w:r>
      <w:r>
        <w:t xml:space="preserve"> </w:t>
      </w:r>
      <w:r w:rsidR="000F628A">
        <w:t xml:space="preserve">The </w:t>
      </w:r>
      <w:r w:rsidR="009B512F">
        <w:t xml:space="preserve">national </w:t>
      </w:r>
      <w:r w:rsidR="000F628A">
        <w:t>challenge is to conduct more comprehensive research on older LGBTI people in Australian com</w:t>
      </w:r>
      <w:r w:rsidR="00B14D31">
        <w:t>munities and to ensure that they</w:t>
      </w:r>
      <w:r w:rsidR="000F628A">
        <w:t xml:space="preserve"> are </w:t>
      </w:r>
      <w:r w:rsidR="00DC4047">
        <w:t>provided with</w:t>
      </w:r>
      <w:r w:rsidR="000F628A">
        <w:t xml:space="preserve"> appropriate health, aged care and other services.</w:t>
      </w:r>
      <w:r w:rsidR="009A5E45">
        <w:t xml:space="preserve"> </w:t>
      </w:r>
    </w:p>
    <w:p w:rsidR="00144A17" w:rsidRDefault="005650BA" w:rsidP="009B512F">
      <w:pPr>
        <w:pStyle w:val="SubmissionNormal"/>
      </w:pPr>
      <w:r w:rsidRPr="00210531">
        <w:t>Approximately 29</w:t>
      </w:r>
      <w:r w:rsidR="00DB1ADF">
        <w:t xml:space="preserve"> per cent</w:t>
      </w:r>
      <w:r w:rsidRPr="00210531">
        <w:t xml:space="preserve"> o</w:t>
      </w:r>
      <w:r w:rsidR="008869B3">
        <w:t xml:space="preserve">f Australia’s population </w:t>
      </w:r>
      <w:r w:rsidR="005D6AF9">
        <w:t>are</w:t>
      </w:r>
      <w:r w:rsidRPr="00210531">
        <w:t xml:space="preserve"> </w:t>
      </w:r>
      <w:r w:rsidRPr="00110AC5">
        <w:rPr>
          <w:b/>
        </w:rPr>
        <w:t xml:space="preserve">rural and remote </w:t>
      </w:r>
      <w:r w:rsidR="005D6AF9" w:rsidRPr="00110AC5">
        <w:rPr>
          <w:b/>
        </w:rPr>
        <w:t>residents</w:t>
      </w:r>
      <w:r w:rsidRPr="00210531">
        <w:t>.</w:t>
      </w:r>
      <w:r>
        <w:rPr>
          <w:rStyle w:val="EndnoteReference"/>
        </w:rPr>
        <w:endnoteReference w:id="30"/>
      </w:r>
      <w:r w:rsidR="009B512F">
        <w:t xml:space="preserve"> </w:t>
      </w:r>
      <w:r w:rsidRPr="00210531">
        <w:t>The distance and remoteness, the extremes of weather and the uncertainties of the rural economy are all factors that can influence and erode the quality of life</w:t>
      </w:r>
      <w:r>
        <w:t>.</w:t>
      </w:r>
      <w:r w:rsidR="00A435D6">
        <w:rPr>
          <w:rStyle w:val="EndnoteReference"/>
        </w:rPr>
        <w:endnoteReference w:id="31"/>
      </w:r>
      <w:r w:rsidR="009B512F">
        <w:t xml:space="preserve"> </w:t>
      </w:r>
      <w:r w:rsidRPr="00210531">
        <w:t>Income in rural and remote areas is generally lower than in metropolitan areas.</w:t>
      </w:r>
      <w:r w:rsidR="001C2751">
        <w:rPr>
          <w:rStyle w:val="EndnoteReference"/>
        </w:rPr>
        <w:endnoteReference w:id="32"/>
      </w:r>
      <w:r w:rsidR="009B512F">
        <w:t xml:space="preserve"> </w:t>
      </w:r>
      <w:r w:rsidRPr="00210531">
        <w:t xml:space="preserve">Access to health and mental health services, such as community nurses, general practitioners and specialists is </w:t>
      </w:r>
      <w:r w:rsidR="009B512F">
        <w:t>also low. F</w:t>
      </w:r>
      <w:r w:rsidRPr="00210531">
        <w:t xml:space="preserve">or example </w:t>
      </w:r>
      <w:r w:rsidR="009B512F">
        <w:t>only</w:t>
      </w:r>
      <w:r w:rsidRPr="00210531">
        <w:t xml:space="preserve"> 9</w:t>
      </w:r>
      <w:r w:rsidR="00DB1ADF">
        <w:t xml:space="preserve"> per cent</w:t>
      </w:r>
      <w:r w:rsidRPr="00210531">
        <w:t xml:space="preserve"> of mental health practitioners have their main practice in a rural area</w:t>
      </w:r>
      <w:r>
        <w:t>.</w:t>
      </w:r>
      <w:r w:rsidR="001C2751">
        <w:rPr>
          <w:rStyle w:val="EndnoteReference"/>
        </w:rPr>
        <w:endnoteReference w:id="33"/>
      </w:r>
    </w:p>
    <w:p w:rsidR="00710270" w:rsidRDefault="00B14D31" w:rsidP="002A34E8">
      <w:pPr>
        <w:pStyle w:val="SubmissionNormal"/>
      </w:pPr>
      <w:r w:rsidRPr="00110AC5">
        <w:rPr>
          <w:b/>
        </w:rPr>
        <w:t xml:space="preserve">Women </w:t>
      </w:r>
      <w:r w:rsidR="005D6AF9">
        <w:t>in Australia have longer life expectancy</w:t>
      </w:r>
      <w:r w:rsidR="001728DD">
        <w:t xml:space="preserve"> than men.</w:t>
      </w:r>
      <w:r w:rsidR="001728DD">
        <w:rPr>
          <w:rStyle w:val="EndnoteReference"/>
        </w:rPr>
        <w:endnoteReference w:id="34"/>
      </w:r>
      <w:r w:rsidR="00C35261">
        <w:t xml:space="preserve"> </w:t>
      </w:r>
      <w:r w:rsidR="00D175A0">
        <w:rPr>
          <w:lang w:val="en"/>
        </w:rPr>
        <w:t xml:space="preserve">The survival of women to more advanced ages means they have higher levels of severe </w:t>
      </w:r>
      <w:r w:rsidR="00D175A0">
        <w:rPr>
          <w:lang w:val="en"/>
        </w:rPr>
        <w:lastRenderedPageBreak/>
        <w:t>disability and are less li</w:t>
      </w:r>
      <w:r w:rsidR="001728DD">
        <w:rPr>
          <w:lang w:val="en"/>
        </w:rPr>
        <w:t xml:space="preserve">kely to have a spouse </w:t>
      </w:r>
      <w:proofErr w:type="spellStart"/>
      <w:r w:rsidR="001728DD">
        <w:rPr>
          <w:lang w:val="en"/>
        </w:rPr>
        <w:t>carer</w:t>
      </w:r>
      <w:proofErr w:type="spellEnd"/>
      <w:r w:rsidR="001728DD">
        <w:rPr>
          <w:lang w:val="en"/>
        </w:rPr>
        <w:t>.</w:t>
      </w:r>
      <w:r w:rsidR="001728DD">
        <w:rPr>
          <w:rStyle w:val="EndnoteReference"/>
          <w:lang w:val="en"/>
        </w:rPr>
        <w:endnoteReference w:id="35"/>
      </w:r>
      <w:r>
        <w:t xml:space="preserve"> </w:t>
      </w:r>
      <w:r w:rsidR="005D6AF9">
        <w:t>W</w:t>
      </w:r>
      <w:r w:rsidR="00B076CD">
        <w:t xml:space="preserve">omen </w:t>
      </w:r>
      <w:r w:rsidR="005D6AF9">
        <w:t xml:space="preserve">also </w:t>
      </w:r>
      <w:r w:rsidR="00B076CD">
        <w:t xml:space="preserve">undertake the largest share of unpaid care to support </w:t>
      </w:r>
      <w:r w:rsidR="00B076CD" w:rsidRPr="00210531">
        <w:t xml:space="preserve">relatives and friends who </w:t>
      </w:r>
      <w:r w:rsidR="00004C4F">
        <w:t>are</w:t>
      </w:r>
      <w:r w:rsidR="00B076CD" w:rsidRPr="00210531">
        <w:t xml:space="preserve"> aged, ill or living with disability.</w:t>
      </w:r>
      <w:r w:rsidR="00B076CD">
        <w:rPr>
          <w:rStyle w:val="EndnoteReference"/>
        </w:rPr>
        <w:endnoteReference w:id="36"/>
      </w:r>
      <w:r w:rsidR="00B076CD">
        <w:t xml:space="preserve"> </w:t>
      </w:r>
      <w:r w:rsidR="002F32E9">
        <w:t xml:space="preserve">This has a significant impact on the </w:t>
      </w:r>
      <w:r w:rsidR="00F515A0">
        <w:t>retirement income and saving of older women, whose superannuation payouts are reported to be just over half (57 per cent) those of men</w:t>
      </w:r>
      <w:r w:rsidR="0081776F">
        <w:rPr>
          <w:rStyle w:val="EndnoteReference"/>
        </w:rPr>
        <w:endnoteReference w:id="37"/>
      </w:r>
      <w:r w:rsidR="00643DF2">
        <w:t xml:space="preserve"> and 26.5 per cent of </w:t>
      </w:r>
      <w:r w:rsidR="00D266AE">
        <w:t>women have no superannuation upon retirement</w:t>
      </w:r>
      <w:r w:rsidR="00F515A0">
        <w:t>.</w:t>
      </w:r>
      <w:r w:rsidR="0081776F">
        <w:rPr>
          <w:rStyle w:val="EndnoteReference"/>
        </w:rPr>
        <w:endnoteReference w:id="38"/>
      </w:r>
      <w:r w:rsidR="00F515A0">
        <w:t xml:space="preserve"> </w:t>
      </w:r>
      <w:r w:rsidR="00652B12" w:rsidRPr="002A34E8">
        <w:rPr>
          <w:lang w:val="en"/>
        </w:rPr>
        <w:t xml:space="preserve">Despite </w:t>
      </w:r>
      <w:r w:rsidR="002F32E9">
        <w:rPr>
          <w:lang w:val="en"/>
        </w:rPr>
        <w:t>this</w:t>
      </w:r>
      <w:r w:rsidR="00652B12" w:rsidRPr="002A34E8">
        <w:rPr>
          <w:lang w:val="en"/>
        </w:rPr>
        <w:t xml:space="preserve">, </w:t>
      </w:r>
      <w:r w:rsidR="00FE5B41" w:rsidRPr="002A34E8">
        <w:rPr>
          <w:lang w:val="en"/>
        </w:rPr>
        <w:t xml:space="preserve">they are not always </w:t>
      </w:r>
      <w:proofErr w:type="spellStart"/>
      <w:r w:rsidR="00FE5B41" w:rsidRPr="002A34E8">
        <w:rPr>
          <w:lang w:val="en"/>
        </w:rPr>
        <w:t>recognised</w:t>
      </w:r>
      <w:proofErr w:type="spellEnd"/>
      <w:r w:rsidR="00FE5B41" w:rsidRPr="002A34E8">
        <w:rPr>
          <w:lang w:val="en"/>
        </w:rPr>
        <w:t xml:space="preserve"> </w:t>
      </w:r>
      <w:r w:rsidR="00710270" w:rsidRPr="002A34E8">
        <w:rPr>
          <w:lang w:val="en"/>
        </w:rPr>
        <w:t xml:space="preserve">as a </w:t>
      </w:r>
      <w:r w:rsidR="00004C4F" w:rsidRPr="002A34E8">
        <w:rPr>
          <w:lang w:val="en"/>
        </w:rPr>
        <w:t>vulnerable</w:t>
      </w:r>
      <w:r w:rsidR="00710270" w:rsidRPr="002A34E8">
        <w:rPr>
          <w:lang w:val="en"/>
        </w:rPr>
        <w:t xml:space="preserve"> group in Australian law</w:t>
      </w:r>
      <w:r w:rsidR="00406AC3">
        <w:rPr>
          <w:lang w:val="en"/>
        </w:rPr>
        <w:t>s</w:t>
      </w:r>
      <w:r w:rsidR="00710270" w:rsidRPr="002A34E8">
        <w:rPr>
          <w:lang w:val="en"/>
        </w:rPr>
        <w:t xml:space="preserve"> and policies</w:t>
      </w:r>
      <w:r w:rsidR="00D411E6">
        <w:rPr>
          <w:lang w:val="en"/>
        </w:rPr>
        <w:t xml:space="preserve"> targeted to older people</w:t>
      </w:r>
      <w:r w:rsidR="00710270" w:rsidRPr="002A34E8">
        <w:rPr>
          <w:lang w:val="en"/>
        </w:rPr>
        <w:t xml:space="preserve">. For example, women are not currently listed </w:t>
      </w:r>
      <w:r w:rsidR="00004C4F" w:rsidRPr="002A34E8">
        <w:rPr>
          <w:lang w:val="en"/>
        </w:rPr>
        <w:t>under</w:t>
      </w:r>
      <w:r w:rsidR="00710270" w:rsidRPr="002A34E8">
        <w:rPr>
          <w:lang w:val="en"/>
        </w:rPr>
        <w:t xml:space="preserve"> </w:t>
      </w:r>
      <w:r w:rsidR="00004C4F" w:rsidRPr="002A34E8">
        <w:rPr>
          <w:lang w:val="en"/>
        </w:rPr>
        <w:t>‘people with special needs’</w:t>
      </w:r>
      <w:r w:rsidR="00710270" w:rsidRPr="002A34E8">
        <w:rPr>
          <w:lang w:val="en"/>
        </w:rPr>
        <w:t xml:space="preserve"> in the </w:t>
      </w:r>
      <w:r w:rsidR="00710270" w:rsidRPr="002A34E8">
        <w:rPr>
          <w:i/>
        </w:rPr>
        <w:t>Aged Care Act 1997</w:t>
      </w:r>
      <w:r w:rsidR="00710270">
        <w:t xml:space="preserve"> (</w:t>
      </w:r>
      <w:proofErr w:type="spellStart"/>
      <w:r w:rsidR="00710270">
        <w:t>Cth</w:t>
      </w:r>
      <w:proofErr w:type="spellEnd"/>
      <w:r w:rsidR="00710270">
        <w:t>).</w:t>
      </w:r>
      <w:r w:rsidR="0032431C">
        <w:t xml:space="preserve"> </w:t>
      </w:r>
      <w:r w:rsidR="00710270">
        <w:t xml:space="preserve">A convention on </w:t>
      </w:r>
      <w:r w:rsidR="0016271A">
        <w:t xml:space="preserve">the </w:t>
      </w:r>
      <w:r w:rsidR="00710270">
        <w:t xml:space="preserve">human rights of older people </w:t>
      </w:r>
      <w:r w:rsidR="008E076F">
        <w:t>would</w:t>
      </w:r>
      <w:r w:rsidR="00710270">
        <w:t xml:space="preserve"> help to raise the public profile of older women in Australia, drawing attention to their general and specific needs. </w:t>
      </w:r>
    </w:p>
    <w:p w:rsidR="008869B3" w:rsidRPr="003A5C8A" w:rsidRDefault="0032431C" w:rsidP="002A34E8">
      <w:pPr>
        <w:pStyle w:val="SubmissionNormal"/>
      </w:pPr>
      <w:r>
        <w:rPr>
          <w:lang w:val="en"/>
        </w:rPr>
        <w:t>A</w:t>
      </w:r>
      <w:r w:rsidR="00CA4E17">
        <w:rPr>
          <w:lang w:val="en"/>
        </w:rPr>
        <w:t>n estimated 394</w:t>
      </w:r>
      <w:r w:rsidR="00406AC3">
        <w:rPr>
          <w:lang w:val="en"/>
        </w:rPr>
        <w:t xml:space="preserve"> </w:t>
      </w:r>
      <w:r w:rsidR="00CA4E17">
        <w:rPr>
          <w:lang w:val="en"/>
        </w:rPr>
        <w:t xml:space="preserve">516 Australians received some form of assistance from the Department of </w:t>
      </w:r>
      <w:r w:rsidR="00CA4E17" w:rsidRPr="00110AC5">
        <w:rPr>
          <w:b/>
          <w:lang w:val="en"/>
        </w:rPr>
        <w:t>Veterans</w:t>
      </w:r>
      <w:r w:rsidR="000F3F6A">
        <w:rPr>
          <w:b/>
          <w:lang w:val="en"/>
        </w:rPr>
        <w:t>’</w:t>
      </w:r>
      <w:r w:rsidR="00CA4E17">
        <w:rPr>
          <w:lang w:val="en"/>
        </w:rPr>
        <w:t xml:space="preserve"> Affairs (DVA) at 30 June 2007 of which 78 per cent were aged 65 years and over.</w:t>
      </w:r>
      <w:r w:rsidR="00F46E5F">
        <w:rPr>
          <w:rStyle w:val="EndnoteReference"/>
          <w:lang w:val="en"/>
        </w:rPr>
        <w:endnoteReference w:id="39"/>
      </w:r>
      <w:r w:rsidR="00CA4E17" w:rsidRPr="00CA4E17">
        <w:rPr>
          <w:lang w:val="en"/>
        </w:rPr>
        <w:t xml:space="preserve"> </w:t>
      </w:r>
      <w:r w:rsidR="00CA4E17">
        <w:rPr>
          <w:lang w:val="en"/>
        </w:rPr>
        <w:t>Of</w:t>
      </w:r>
      <w:r w:rsidR="00406AC3">
        <w:rPr>
          <w:lang w:val="en"/>
        </w:rPr>
        <w:t xml:space="preserve"> this number, approximately 143 </w:t>
      </w:r>
      <w:r w:rsidR="00CA4E17">
        <w:rPr>
          <w:lang w:val="en"/>
        </w:rPr>
        <w:t xml:space="preserve">000 DVA clients had some experience of mental health concerns. The most common conditions are </w:t>
      </w:r>
      <w:proofErr w:type="spellStart"/>
      <w:r w:rsidR="00CA4E17">
        <w:rPr>
          <w:lang w:val="en"/>
        </w:rPr>
        <w:t>generalised</w:t>
      </w:r>
      <w:proofErr w:type="spellEnd"/>
      <w:r w:rsidR="00CA4E17">
        <w:rPr>
          <w:lang w:val="en"/>
        </w:rPr>
        <w:t xml:space="preserve"> anxiety disorder, depression, alcohol dependence and post-traumatic disorder.</w:t>
      </w:r>
      <w:r w:rsidR="00F46E5F">
        <w:rPr>
          <w:rStyle w:val="EndnoteReference"/>
          <w:lang w:val="en"/>
        </w:rPr>
        <w:endnoteReference w:id="40"/>
      </w:r>
      <w:r w:rsidR="00F46E5F">
        <w:rPr>
          <w:lang w:val="en"/>
        </w:rPr>
        <w:t xml:space="preserve"> </w:t>
      </w:r>
    </w:p>
    <w:p w:rsidR="00D97778" w:rsidRDefault="00364E01" w:rsidP="00A115E3">
      <w:pPr>
        <w:pStyle w:val="SubmissionNormal"/>
      </w:pPr>
      <w:r>
        <w:t xml:space="preserve">A convention on the rights of older people would </w:t>
      </w:r>
      <w:r w:rsidR="00D97778">
        <w:t xml:space="preserve">increase the visibility of older Australians and </w:t>
      </w:r>
      <w:r w:rsidR="00FF022D">
        <w:t xml:space="preserve">highlight the need for a comprehensive national framework </w:t>
      </w:r>
      <w:r w:rsidR="00F2001A">
        <w:t xml:space="preserve">capable of recognising and protecting the human rights of </w:t>
      </w:r>
      <w:r w:rsidR="000443FA">
        <w:t>older</w:t>
      </w:r>
      <w:r w:rsidR="00F2001A">
        <w:t xml:space="preserve"> Australians.</w:t>
      </w:r>
    </w:p>
    <w:p w:rsidR="00FF1893" w:rsidRPr="00C12498" w:rsidRDefault="00361830" w:rsidP="00FF1893">
      <w:pPr>
        <w:pStyle w:val="Heading1"/>
        <w:numPr>
          <w:ilvl w:val="0"/>
          <w:numId w:val="37"/>
        </w:numPr>
      </w:pPr>
      <w:bookmarkStart w:id="18" w:name="_Toc350787879"/>
      <w:r>
        <w:t>Information on c</w:t>
      </w:r>
      <w:r w:rsidR="00FF1893">
        <w:t xml:space="preserve">onstitutions or legislation explicitly forbidding discrimination </w:t>
      </w:r>
      <w:r w:rsidR="00F41368">
        <w:t>on the basis of old age, and on the existence of specific bodies which protect against age discrimination or are mandated to protect and promote the rights of older persons</w:t>
      </w:r>
      <w:bookmarkEnd w:id="18"/>
    </w:p>
    <w:p w:rsidR="00FF1893" w:rsidRPr="001E1304" w:rsidRDefault="006637C3" w:rsidP="00FF1893">
      <w:pPr>
        <w:pStyle w:val="Heading2"/>
        <w:numPr>
          <w:ilvl w:val="1"/>
          <w:numId w:val="37"/>
        </w:numPr>
      </w:pPr>
      <w:bookmarkStart w:id="19" w:name="_Toc350787880"/>
      <w:r>
        <w:t>Domestic l</w:t>
      </w:r>
      <w:r w:rsidR="00B73999">
        <w:t>egislation</w:t>
      </w:r>
      <w:bookmarkEnd w:id="19"/>
    </w:p>
    <w:p w:rsidR="00FF1893" w:rsidRDefault="00447F34" w:rsidP="002B0A3A">
      <w:pPr>
        <w:pStyle w:val="SubmissionNormal"/>
      </w:pPr>
      <w:r>
        <w:t>Australia has ratified a number of international human rights instruments</w:t>
      </w:r>
      <w:r w:rsidR="002B0A3A">
        <w:t xml:space="preserve"> that have relevance for older people. </w:t>
      </w:r>
      <w:r w:rsidR="002B0A3A" w:rsidRPr="002B0A3A">
        <w:rPr>
          <w:lang w:val="en"/>
        </w:rPr>
        <w:t xml:space="preserve">These include, the Constitution of the World Health </w:t>
      </w:r>
      <w:proofErr w:type="spellStart"/>
      <w:r w:rsidR="002B0A3A" w:rsidRPr="002B0A3A">
        <w:rPr>
          <w:lang w:val="en"/>
        </w:rPr>
        <w:t>Organisation</w:t>
      </w:r>
      <w:proofErr w:type="spellEnd"/>
      <w:r w:rsidR="002B0A3A" w:rsidRPr="002B0A3A">
        <w:rPr>
          <w:lang w:val="en"/>
        </w:rPr>
        <w:t xml:space="preserve">, the International Convention on the Elimination of All Forms of Racial Discrimination, the International Covenant on Economic, Social and Cultural Rights, the International Covenant on Civil and Political Rights, the Convention on the Elimination of All Forms of Discrimination against Women, and the Convention on the Rights of Persons with Disabilities. </w:t>
      </w:r>
      <w:r w:rsidR="001D7E6F">
        <w:rPr>
          <w:lang w:val="en"/>
        </w:rPr>
        <w:t xml:space="preserve">Australia has supported the Declaration on the Rights of Indigenous Peoples and </w:t>
      </w:r>
      <w:r w:rsidR="00791C3A">
        <w:rPr>
          <w:lang w:val="en"/>
        </w:rPr>
        <w:t xml:space="preserve">is taking steps for its implementation. </w:t>
      </w:r>
      <w:r w:rsidR="002B0A3A" w:rsidRPr="002B0A3A">
        <w:rPr>
          <w:lang w:val="en"/>
        </w:rPr>
        <w:t xml:space="preserve">Australia has also endorsed a wide range of non-binding international instruments, including the Madrid International Plan of Action on Ageing. However, for international human rights principles to have binding </w:t>
      </w:r>
      <w:r w:rsidR="0017508D">
        <w:rPr>
          <w:lang w:val="en"/>
        </w:rPr>
        <w:t xml:space="preserve">legal </w:t>
      </w:r>
      <w:r w:rsidR="002B0A3A" w:rsidRPr="002B0A3A">
        <w:rPr>
          <w:lang w:val="en"/>
        </w:rPr>
        <w:t xml:space="preserve">effect in Australia, they must be incorporated into domestic legislation. </w:t>
      </w:r>
      <w:r>
        <w:t xml:space="preserve"> </w:t>
      </w:r>
    </w:p>
    <w:p w:rsidR="003701B7" w:rsidRDefault="003701B7" w:rsidP="003701B7">
      <w:pPr>
        <w:pStyle w:val="SubmissionNormal"/>
      </w:pPr>
      <w:r>
        <w:t xml:space="preserve">The </w:t>
      </w:r>
      <w:r>
        <w:rPr>
          <w:i/>
        </w:rPr>
        <w:t>Human Rights (Parliamentary Scrutiny) Act 2011</w:t>
      </w:r>
      <w:r>
        <w:t xml:space="preserve"> (</w:t>
      </w:r>
      <w:proofErr w:type="spellStart"/>
      <w:r>
        <w:t>Cth</w:t>
      </w:r>
      <w:proofErr w:type="spellEnd"/>
      <w:r>
        <w:t xml:space="preserve">) establishes the Joint Parliamentary Committee on Human Rights to examine </w:t>
      </w:r>
      <w:r w:rsidR="009E0BA6">
        <w:t xml:space="preserve">bills </w:t>
      </w:r>
      <w:r>
        <w:t>for compatibility with the seven core human rights treaties Australia has ratified.</w:t>
      </w:r>
      <w:r>
        <w:rPr>
          <w:rStyle w:val="EndnoteReference"/>
        </w:rPr>
        <w:endnoteReference w:id="41"/>
      </w:r>
      <w:r>
        <w:t xml:space="preserve"> Since there is currently no convention for older people, the human rights of </w:t>
      </w:r>
      <w:r w:rsidR="000443FA">
        <w:t>older</w:t>
      </w:r>
      <w:r>
        <w:t xml:space="preserve"> Australians are not given specific consideration aside from what is </w:t>
      </w:r>
      <w:r>
        <w:lastRenderedPageBreak/>
        <w:t>contained in existing conventions. A convention would require this Committee to assess the rights of older people as a protected group.</w:t>
      </w:r>
    </w:p>
    <w:p w:rsidR="00FD4632" w:rsidRDefault="00FD4632" w:rsidP="002B0A3A">
      <w:pPr>
        <w:pStyle w:val="SubmissionNormal"/>
      </w:pPr>
      <w:r>
        <w:t xml:space="preserve">The </w:t>
      </w:r>
      <w:r w:rsidRPr="00F2557C">
        <w:rPr>
          <w:i/>
        </w:rPr>
        <w:t xml:space="preserve">Age Discrimination Act 2004 </w:t>
      </w:r>
      <w:r>
        <w:t>(</w:t>
      </w:r>
      <w:proofErr w:type="spellStart"/>
      <w:r>
        <w:t>Cth</w:t>
      </w:r>
      <w:proofErr w:type="spellEnd"/>
      <w:r w:rsidR="00E630F9">
        <w:t>) (ADA) is Australia’s primary Act for implementing the international commitment to eliminate age discrimination embodied in various binding and non-binding human rights instruments.</w:t>
      </w:r>
      <w:r w:rsidR="00E630F9">
        <w:rPr>
          <w:rStyle w:val="EndnoteReference"/>
        </w:rPr>
        <w:endnoteReference w:id="42"/>
      </w:r>
      <w:r w:rsidR="00E630F9">
        <w:t xml:space="preserve"> The ADA prohibits direct and indirect discrimination in many areas of public life including employment, provision of goods, services and facilities, education, and accommodation.</w:t>
      </w:r>
      <w:r w:rsidR="00681F86">
        <w:t xml:space="preserve"> The </w:t>
      </w:r>
      <w:r w:rsidR="00681F86">
        <w:rPr>
          <w:lang w:val="en"/>
        </w:rPr>
        <w:t>aim of the legislation is to act as a catalyst for attitudinal change and to provide individuals with an avenue to make complaints of discrimination.</w:t>
      </w:r>
      <w:r w:rsidR="00681F86">
        <w:rPr>
          <w:rStyle w:val="EndnoteReference"/>
          <w:lang w:val="en"/>
        </w:rPr>
        <w:endnoteReference w:id="43"/>
      </w:r>
      <w:r w:rsidR="00681F86">
        <w:rPr>
          <w:lang w:val="en"/>
        </w:rPr>
        <w:t xml:space="preserve"> </w:t>
      </w:r>
      <w:r w:rsidR="00681F86">
        <w:t>The Australian Government is currently consulting with stakeholders regarding the consolidation of the ADA and other federal anti-discrimination legislation into a single unified Act for improved consistency and usability.</w:t>
      </w:r>
      <w:r w:rsidR="00C86575">
        <w:t xml:space="preserve"> It should be noted that the ADA contains broad exemptions, such as in areas of taxation and superannuation, so it does not provide comprehensive human rights protection for older people.</w:t>
      </w:r>
    </w:p>
    <w:p w:rsidR="00FD4632" w:rsidRDefault="00C86575" w:rsidP="002B0A3A">
      <w:pPr>
        <w:pStyle w:val="SubmissionNormal"/>
      </w:pPr>
      <w:r>
        <w:t xml:space="preserve">The </w:t>
      </w:r>
      <w:r w:rsidRPr="00406AC3">
        <w:rPr>
          <w:i/>
        </w:rPr>
        <w:t>Aged Care Act</w:t>
      </w:r>
      <w:r w:rsidR="003F6659">
        <w:rPr>
          <w:i/>
        </w:rPr>
        <w:t xml:space="preserve"> </w:t>
      </w:r>
      <w:r w:rsidR="00406AC3">
        <w:rPr>
          <w:i/>
          <w:lang w:val="en"/>
        </w:rPr>
        <w:t xml:space="preserve">1997 </w:t>
      </w:r>
      <w:r w:rsidR="00406AC3">
        <w:rPr>
          <w:lang w:val="en"/>
        </w:rPr>
        <w:t>(</w:t>
      </w:r>
      <w:proofErr w:type="spellStart"/>
      <w:r w:rsidR="00406AC3">
        <w:rPr>
          <w:lang w:val="en"/>
        </w:rPr>
        <w:t>Cth</w:t>
      </w:r>
      <w:proofErr w:type="spellEnd"/>
      <w:r w:rsidR="00406AC3">
        <w:rPr>
          <w:lang w:val="en"/>
        </w:rPr>
        <w:t xml:space="preserve">) </w:t>
      </w:r>
      <w:r w:rsidR="00770642">
        <w:rPr>
          <w:lang w:val="en"/>
        </w:rPr>
        <w:t>governs residential care and Commonwealth community care packages. The main areas of regulatory control include: funding services; allocating aged care places to approved providers; assessing client eligibility; determining quality care and accommodation standards; ensuring compliance; and handling complaints.</w:t>
      </w:r>
      <w:r w:rsidR="00770642">
        <w:rPr>
          <w:rStyle w:val="EndnoteReference"/>
          <w:lang w:val="en"/>
        </w:rPr>
        <w:endnoteReference w:id="44"/>
      </w:r>
      <w:r w:rsidR="00770642">
        <w:t xml:space="preserve"> </w:t>
      </w:r>
    </w:p>
    <w:p w:rsidR="0020670D" w:rsidRDefault="0020670D" w:rsidP="002B0A3A">
      <w:pPr>
        <w:pStyle w:val="SubmissionNormal"/>
      </w:pPr>
      <w:r>
        <w:t xml:space="preserve">The </w:t>
      </w:r>
      <w:r>
        <w:rPr>
          <w:i/>
        </w:rPr>
        <w:t>Home and Community Care Act 1985</w:t>
      </w:r>
      <w:r>
        <w:t xml:space="preserve"> (</w:t>
      </w:r>
      <w:proofErr w:type="spellStart"/>
      <w:r>
        <w:t>Cth</w:t>
      </w:r>
      <w:proofErr w:type="spellEnd"/>
      <w:r>
        <w:t xml:space="preserve">) governs the provision </w:t>
      </w:r>
      <w:r w:rsidR="00564135">
        <w:t>of basic maintenance and support services to older people who live at home.</w:t>
      </w:r>
      <w:r w:rsidR="00564135">
        <w:rPr>
          <w:rStyle w:val="EndnoteReference"/>
        </w:rPr>
        <w:endnoteReference w:id="45"/>
      </w:r>
    </w:p>
    <w:p w:rsidR="0020670D" w:rsidRDefault="0020670D" w:rsidP="002B0A3A">
      <w:pPr>
        <w:pStyle w:val="SubmissionNormal"/>
      </w:pPr>
      <w:r>
        <w:t xml:space="preserve">The </w:t>
      </w:r>
      <w:r>
        <w:rPr>
          <w:i/>
          <w:lang w:val="en-US"/>
        </w:rPr>
        <w:t>Fair Work Act 2009</w:t>
      </w:r>
      <w:r>
        <w:rPr>
          <w:lang w:val="en-US"/>
        </w:rPr>
        <w:t xml:space="preserve"> (</w:t>
      </w:r>
      <w:proofErr w:type="spellStart"/>
      <w:r>
        <w:rPr>
          <w:lang w:val="en-US"/>
        </w:rPr>
        <w:t>Cth</w:t>
      </w:r>
      <w:proofErr w:type="spellEnd"/>
      <w:r>
        <w:rPr>
          <w:lang w:val="en-US"/>
        </w:rPr>
        <w:t>) prohibits employers from taking adverse action against employees because of their age. Exceptions apply where discriminatory conduct is permitted under other anti-discrimination laws or related to the inherent requirements of the job. Where an employer is a religious institution, discrimination may be justified on the basis of religious adherence.</w:t>
      </w:r>
    </w:p>
    <w:p w:rsidR="00AA60FF" w:rsidRDefault="00AA60FF" w:rsidP="002B0A3A">
      <w:pPr>
        <w:pStyle w:val="SubmissionNormal"/>
      </w:pPr>
      <w:r>
        <w:t xml:space="preserve">Each state and territory </w:t>
      </w:r>
      <w:r w:rsidR="00F3683B">
        <w:t xml:space="preserve">also </w:t>
      </w:r>
      <w:r>
        <w:t xml:space="preserve">has anti-discrimination laws which </w:t>
      </w:r>
      <w:r w:rsidR="00C12475">
        <w:t xml:space="preserve">make </w:t>
      </w:r>
      <w:r>
        <w:t xml:space="preserve">discrimination on the </w:t>
      </w:r>
      <w:r w:rsidR="00C12475">
        <w:t xml:space="preserve">basis </w:t>
      </w:r>
      <w:r>
        <w:t>of age unlawful.</w:t>
      </w:r>
      <w:r w:rsidR="007A065B">
        <w:rPr>
          <w:rStyle w:val="EndnoteReference"/>
        </w:rPr>
        <w:endnoteReference w:id="46"/>
      </w:r>
      <w:r>
        <w:t xml:space="preserve"> </w:t>
      </w:r>
    </w:p>
    <w:p w:rsidR="00C4550E" w:rsidRPr="00E83E0F" w:rsidRDefault="00EE649F" w:rsidP="002B0A3A">
      <w:pPr>
        <w:pStyle w:val="SubmissionNormal"/>
      </w:pPr>
      <w:r w:rsidRPr="00E83E0F">
        <w:t xml:space="preserve">Across </w:t>
      </w:r>
      <w:r w:rsidR="00E83E0F">
        <w:t xml:space="preserve">the </w:t>
      </w:r>
      <w:r w:rsidRPr="00E83E0F">
        <w:t>Commonwealth, state</w:t>
      </w:r>
      <w:r w:rsidR="00E83E0F">
        <w:t>s</w:t>
      </w:r>
      <w:r w:rsidRPr="00E83E0F">
        <w:t xml:space="preserve"> and t</w:t>
      </w:r>
      <w:r w:rsidR="00E83E0F">
        <w:t>erritories</w:t>
      </w:r>
      <w:r w:rsidRPr="00E83E0F">
        <w:t xml:space="preserve"> there </w:t>
      </w:r>
      <w:r w:rsidR="00E83E0F">
        <w:t>are a range of legislative protections for older people</w:t>
      </w:r>
      <w:r w:rsidR="00E3354A" w:rsidRPr="00E83E0F">
        <w:t>.</w:t>
      </w:r>
      <w:r w:rsidR="00E83E0F">
        <w:t xml:space="preserve"> However, lack of coordination across these laws means that the system is complex and </w:t>
      </w:r>
      <w:r w:rsidR="00835D24">
        <w:t>this undermines</w:t>
      </w:r>
      <w:r w:rsidR="00E83E0F">
        <w:t xml:space="preserve"> the overall impact of these laws</w:t>
      </w:r>
      <w:r w:rsidR="00835D24">
        <w:t>.</w:t>
      </w:r>
      <w:r w:rsidR="00E83E0F">
        <w:t xml:space="preserve"> </w:t>
      </w:r>
    </w:p>
    <w:p w:rsidR="00B73999" w:rsidRPr="001E1304" w:rsidRDefault="00B73999" w:rsidP="00B73999">
      <w:pPr>
        <w:pStyle w:val="Heading2"/>
        <w:numPr>
          <w:ilvl w:val="1"/>
          <w:numId w:val="37"/>
        </w:numPr>
      </w:pPr>
      <w:bookmarkStart w:id="20" w:name="_Toc350787881"/>
      <w:r>
        <w:t>Specific bodies</w:t>
      </w:r>
      <w:bookmarkEnd w:id="20"/>
    </w:p>
    <w:p w:rsidR="00B73999" w:rsidRPr="003A5C8A" w:rsidRDefault="00857908" w:rsidP="00B73999">
      <w:pPr>
        <w:pStyle w:val="SubmissionNormal"/>
      </w:pPr>
      <w:r>
        <w:t>Australia is a constitutional democracy with a federal system of government. Under the federal system, funding for age-related bodies may come from a combination of three sources: direct Commonwealth funding, Commonwealth-State Agreements or direct State/Territory funding.</w:t>
      </w:r>
      <w:r>
        <w:rPr>
          <w:rStyle w:val="EndnoteReference"/>
        </w:rPr>
        <w:endnoteReference w:id="47"/>
      </w:r>
      <w:r>
        <w:t xml:space="preserve"> Some organisations operate on a national level while others are state or territory-based.</w:t>
      </w:r>
    </w:p>
    <w:p w:rsidR="00B73999" w:rsidRDefault="00D35B2E" w:rsidP="00FF1893">
      <w:pPr>
        <w:pStyle w:val="SubmissionNormal"/>
      </w:pPr>
      <w:r>
        <w:t xml:space="preserve">The </w:t>
      </w:r>
      <w:r>
        <w:rPr>
          <w:i/>
        </w:rPr>
        <w:t xml:space="preserve">Australian Human Rights Commission </w:t>
      </w:r>
      <w:r w:rsidR="00187DD4">
        <w:t>is an independent statutory body established by the federal government to regulate and promote human rights compliance.</w:t>
      </w:r>
      <w:r w:rsidR="002051C4">
        <w:t xml:space="preserve"> The </w:t>
      </w:r>
      <w:r w:rsidR="002051C4">
        <w:rPr>
          <w:i/>
        </w:rPr>
        <w:t>Age Discrimination Commissioner</w:t>
      </w:r>
      <w:r w:rsidR="002051C4">
        <w:t xml:space="preserve"> was appointed to the </w:t>
      </w:r>
      <w:r w:rsidR="00157A74">
        <w:lastRenderedPageBreak/>
        <w:t>Commission</w:t>
      </w:r>
      <w:r w:rsidR="002051C4">
        <w:t xml:space="preserve"> in 2011</w:t>
      </w:r>
      <w:r w:rsidR="00187DD4">
        <w:t>.</w:t>
      </w:r>
      <w:r w:rsidR="002051C4">
        <w:t xml:space="preserve"> The Commissioner is responsible </w:t>
      </w:r>
      <w:r w:rsidR="002051C4">
        <w:rPr>
          <w:lang w:val="en"/>
        </w:rPr>
        <w:t>for raising awareness of age discrimination, educating the community about the impact of age discrimination</w:t>
      </w:r>
      <w:r w:rsidR="00691873">
        <w:rPr>
          <w:lang w:val="en"/>
        </w:rPr>
        <w:t>,</w:t>
      </w:r>
      <w:r w:rsidR="002051C4">
        <w:rPr>
          <w:lang w:val="en"/>
        </w:rPr>
        <w:t xml:space="preserve"> and monitoring and advocating for the elimination of age discrimination across all areas of public life.</w:t>
      </w:r>
      <w:r w:rsidR="00187DD4">
        <w:t xml:space="preserve"> </w:t>
      </w:r>
    </w:p>
    <w:p w:rsidR="001C130C" w:rsidRPr="00C32116" w:rsidRDefault="002051C4" w:rsidP="00FF1893">
      <w:pPr>
        <w:pStyle w:val="SubmissionNormal"/>
      </w:pPr>
      <w:r>
        <w:t xml:space="preserve">The Australian Government </w:t>
      </w:r>
      <w:r w:rsidRPr="00EE279C">
        <w:rPr>
          <w:i/>
        </w:rPr>
        <w:t>Department of Health and Ageing</w:t>
      </w:r>
      <w:r>
        <w:t xml:space="preserve"> oversees a wide range of age-related matters. These include managing and regulating </w:t>
      </w:r>
      <w:r>
        <w:rPr>
          <w:lang w:val="en"/>
        </w:rPr>
        <w:t>services for older people, promoting active ageing policies, and conducting health and age-related research.</w:t>
      </w:r>
      <w:r>
        <w:rPr>
          <w:rStyle w:val="EndnoteReference"/>
          <w:lang w:val="en"/>
        </w:rPr>
        <w:endnoteReference w:id="48"/>
      </w:r>
    </w:p>
    <w:p w:rsidR="00C32116" w:rsidRPr="00542EB1" w:rsidRDefault="00C32116" w:rsidP="00FF1893">
      <w:pPr>
        <w:pStyle w:val="SubmissionNormal"/>
      </w:pPr>
      <w:r>
        <w:rPr>
          <w:lang w:val="en"/>
        </w:rPr>
        <w:t xml:space="preserve">The </w:t>
      </w:r>
      <w:r w:rsidRPr="00961D13">
        <w:rPr>
          <w:i/>
          <w:lang w:val="en"/>
        </w:rPr>
        <w:t>Aged Care Commissioner</w:t>
      </w:r>
      <w:r>
        <w:rPr>
          <w:lang w:val="en"/>
        </w:rPr>
        <w:t xml:space="preserve"> is a statutory appointment made under the </w:t>
      </w:r>
      <w:r w:rsidRPr="00A308E9">
        <w:rPr>
          <w:rStyle w:val="Emphasis"/>
          <w:rFonts w:eastAsia="MS Mincho"/>
          <w:lang w:val="en"/>
        </w:rPr>
        <w:t>Aged Care Act</w:t>
      </w:r>
      <w:r w:rsidR="00A308E9" w:rsidRPr="00A308E9">
        <w:rPr>
          <w:rStyle w:val="Emphasis"/>
          <w:rFonts w:eastAsia="MS Mincho"/>
          <w:lang w:val="en"/>
        </w:rPr>
        <w:t xml:space="preserve"> 1997</w:t>
      </w:r>
      <w:r w:rsidR="00A308E9">
        <w:rPr>
          <w:rStyle w:val="Emphasis"/>
          <w:rFonts w:eastAsia="MS Mincho"/>
          <w:i w:val="0"/>
          <w:lang w:val="en"/>
        </w:rPr>
        <w:t xml:space="preserve"> (</w:t>
      </w:r>
      <w:proofErr w:type="spellStart"/>
      <w:r w:rsidR="00A308E9">
        <w:rPr>
          <w:rStyle w:val="Emphasis"/>
          <w:rFonts w:eastAsia="MS Mincho"/>
          <w:i w:val="0"/>
          <w:lang w:val="en"/>
        </w:rPr>
        <w:t>Cth</w:t>
      </w:r>
      <w:proofErr w:type="spellEnd"/>
      <w:r w:rsidR="00A308E9">
        <w:rPr>
          <w:rStyle w:val="Emphasis"/>
          <w:rFonts w:eastAsia="MS Mincho"/>
          <w:i w:val="0"/>
          <w:lang w:val="en"/>
        </w:rPr>
        <w:t>)</w:t>
      </w:r>
      <w:r>
        <w:rPr>
          <w:rStyle w:val="Emphasis"/>
          <w:rFonts w:eastAsia="MS Mincho"/>
          <w:i w:val="0"/>
          <w:lang w:val="en"/>
        </w:rPr>
        <w:t>.</w:t>
      </w:r>
      <w:r w:rsidR="00D67793">
        <w:rPr>
          <w:rStyle w:val="EndnoteReference"/>
          <w:rFonts w:eastAsia="MS Mincho"/>
          <w:iCs/>
          <w:lang w:val="en"/>
        </w:rPr>
        <w:endnoteReference w:id="49"/>
      </w:r>
      <w:r>
        <w:rPr>
          <w:rStyle w:val="Emphasis"/>
          <w:rFonts w:eastAsia="MS Mincho"/>
          <w:i w:val="0"/>
          <w:lang w:val="en"/>
        </w:rPr>
        <w:t xml:space="preserve"> The Aged Care Commissioner is responsible for </w:t>
      </w:r>
      <w:r w:rsidR="00B6234D">
        <w:rPr>
          <w:rStyle w:val="Emphasis"/>
          <w:rFonts w:eastAsia="MS Mincho"/>
          <w:i w:val="0"/>
          <w:lang w:val="en"/>
        </w:rPr>
        <w:t xml:space="preserve">the examination of complaints </w:t>
      </w:r>
      <w:r w:rsidR="00B6234D">
        <w:rPr>
          <w:lang w:val="en"/>
        </w:rPr>
        <w:t>for Commonwealth-</w:t>
      </w:r>
      <w:proofErr w:type="spellStart"/>
      <w:r w:rsidR="00B6234D">
        <w:rPr>
          <w:lang w:val="en"/>
        </w:rPr>
        <w:t>subsidised</w:t>
      </w:r>
      <w:proofErr w:type="spellEnd"/>
      <w:r w:rsidR="00B6234D">
        <w:rPr>
          <w:lang w:val="en"/>
        </w:rPr>
        <w:t xml:space="preserve"> aged care services under the Act.</w:t>
      </w:r>
      <w:r w:rsidR="00B6234D">
        <w:rPr>
          <w:rStyle w:val="EndnoteReference"/>
          <w:lang w:val="en"/>
        </w:rPr>
        <w:endnoteReference w:id="50"/>
      </w:r>
      <w:r w:rsidR="00752474">
        <w:rPr>
          <w:lang w:val="en"/>
        </w:rPr>
        <w:t xml:space="preserve"> T</w:t>
      </w:r>
      <w:r w:rsidR="00B6234D">
        <w:rPr>
          <w:lang w:val="en"/>
        </w:rPr>
        <w:t xml:space="preserve">he Aged Care Commissioner may only make recommendations regarding the findings of these examinations. </w:t>
      </w:r>
    </w:p>
    <w:p w:rsidR="00542EB1" w:rsidRDefault="00542EB1" w:rsidP="00FF1893">
      <w:pPr>
        <w:pStyle w:val="SubmissionNormal"/>
      </w:pPr>
      <w:r>
        <w:rPr>
          <w:lang w:val="en"/>
        </w:rPr>
        <w:t xml:space="preserve">In addition to government and statutory bodies, there are also a number of national consumer </w:t>
      </w:r>
      <w:proofErr w:type="spellStart"/>
      <w:r>
        <w:rPr>
          <w:lang w:val="en"/>
        </w:rPr>
        <w:t>organisations</w:t>
      </w:r>
      <w:proofErr w:type="spellEnd"/>
      <w:r>
        <w:rPr>
          <w:lang w:val="en"/>
        </w:rPr>
        <w:t xml:space="preserve"> that advocate on behalf of the older population. The </w:t>
      </w:r>
      <w:r>
        <w:rPr>
          <w:i/>
          <w:lang w:val="en"/>
        </w:rPr>
        <w:t xml:space="preserve">Council on the Ageing </w:t>
      </w:r>
      <w:r>
        <w:rPr>
          <w:lang w:val="en"/>
        </w:rPr>
        <w:t xml:space="preserve">is </w:t>
      </w:r>
      <w:r w:rsidR="00FB5E2E">
        <w:rPr>
          <w:lang w:val="en"/>
        </w:rPr>
        <w:t xml:space="preserve">a non-for-profit </w:t>
      </w:r>
      <w:proofErr w:type="spellStart"/>
      <w:r w:rsidR="00FB5E2E">
        <w:rPr>
          <w:lang w:val="en"/>
        </w:rPr>
        <w:t>organisation</w:t>
      </w:r>
      <w:proofErr w:type="spellEnd"/>
      <w:r w:rsidR="00FB5E2E">
        <w:rPr>
          <w:lang w:val="en"/>
        </w:rPr>
        <w:t xml:space="preserve"> </w:t>
      </w:r>
      <w:r w:rsidR="005239B1">
        <w:rPr>
          <w:lang w:val="en"/>
        </w:rPr>
        <w:t xml:space="preserve">with a membership of </w:t>
      </w:r>
      <w:r w:rsidR="005239B1">
        <w:t xml:space="preserve">28 690 </w:t>
      </w:r>
      <w:r w:rsidR="00FB5E2E">
        <w:rPr>
          <w:lang w:val="en"/>
        </w:rPr>
        <w:t>that represents the rights, needs and interests of older Australians as citizens and consumers.</w:t>
      </w:r>
      <w:r w:rsidR="00FB5E2E">
        <w:rPr>
          <w:rStyle w:val="EndnoteReference"/>
          <w:lang w:val="en"/>
        </w:rPr>
        <w:endnoteReference w:id="51"/>
      </w:r>
      <w:r w:rsidR="00FB5E2E">
        <w:rPr>
          <w:lang w:val="en"/>
        </w:rPr>
        <w:t xml:space="preserve"> </w:t>
      </w:r>
      <w:r w:rsidR="00A92D52">
        <w:rPr>
          <w:lang w:val="en"/>
        </w:rPr>
        <w:t xml:space="preserve">With a membership of over 200 000, </w:t>
      </w:r>
      <w:r w:rsidR="00FB5E2E">
        <w:rPr>
          <w:i/>
          <w:lang w:val="en"/>
        </w:rPr>
        <w:t xml:space="preserve">National Seniors </w:t>
      </w:r>
      <w:r w:rsidR="00DA6194">
        <w:rPr>
          <w:lang w:val="en"/>
        </w:rPr>
        <w:t>operates to help</w:t>
      </w:r>
      <w:r w:rsidR="00FB5E2E">
        <w:rPr>
          <w:lang w:val="en"/>
        </w:rPr>
        <w:t xml:space="preserve"> the over 50s community </w:t>
      </w:r>
      <w:r w:rsidR="00DA6194">
        <w:rPr>
          <w:lang w:val="en"/>
        </w:rPr>
        <w:t xml:space="preserve">by </w:t>
      </w:r>
      <w:r w:rsidR="00FB5E2E">
        <w:rPr>
          <w:lang w:val="en"/>
        </w:rPr>
        <w:t>providing economic and social benefits</w:t>
      </w:r>
      <w:r w:rsidR="00E71B9B">
        <w:rPr>
          <w:lang w:val="en"/>
        </w:rPr>
        <w:t>,</w:t>
      </w:r>
      <w:r w:rsidR="00FB5E2E">
        <w:rPr>
          <w:lang w:val="en"/>
        </w:rPr>
        <w:t xml:space="preserve"> making donations to charitable institutions</w:t>
      </w:r>
      <w:r w:rsidR="00E71B9B">
        <w:rPr>
          <w:lang w:val="en"/>
        </w:rPr>
        <w:t xml:space="preserve"> and participating in the development and assessment of </w:t>
      </w:r>
      <w:r w:rsidR="00691873">
        <w:rPr>
          <w:lang w:val="en"/>
        </w:rPr>
        <w:t>policies</w:t>
      </w:r>
      <w:r w:rsidR="00E71B9B">
        <w:rPr>
          <w:lang w:val="en"/>
        </w:rPr>
        <w:t xml:space="preserve"> and laws affecting older people</w:t>
      </w:r>
      <w:r w:rsidR="00DA6194">
        <w:rPr>
          <w:lang w:val="en"/>
        </w:rPr>
        <w:t>.</w:t>
      </w:r>
      <w:r w:rsidR="00DA6194">
        <w:rPr>
          <w:rStyle w:val="EndnoteReference"/>
          <w:lang w:val="en"/>
        </w:rPr>
        <w:endnoteReference w:id="52"/>
      </w:r>
      <w:r w:rsidR="00DA6194">
        <w:rPr>
          <w:lang w:val="en"/>
        </w:rPr>
        <w:t xml:space="preserve"> Other </w:t>
      </w:r>
      <w:proofErr w:type="spellStart"/>
      <w:r w:rsidR="00DA6194">
        <w:rPr>
          <w:lang w:val="en"/>
        </w:rPr>
        <w:t>organisations</w:t>
      </w:r>
      <w:proofErr w:type="spellEnd"/>
      <w:r w:rsidR="00DA6194">
        <w:rPr>
          <w:lang w:val="en"/>
        </w:rPr>
        <w:t xml:space="preserve"> include the </w:t>
      </w:r>
      <w:r w:rsidR="001B31C5" w:rsidRPr="00E50864">
        <w:rPr>
          <w:i/>
        </w:rPr>
        <w:t>Association of Independent Retirees</w:t>
      </w:r>
      <w:r w:rsidR="001B31C5">
        <w:t xml:space="preserve">, </w:t>
      </w:r>
      <w:r w:rsidR="001B31C5">
        <w:rPr>
          <w:i/>
        </w:rPr>
        <w:t>Australian Seniors Computer Club Association</w:t>
      </w:r>
      <w:r w:rsidR="001B31C5">
        <w:t xml:space="preserve"> and </w:t>
      </w:r>
      <w:r w:rsidR="001B31C5" w:rsidRPr="00E50864">
        <w:rPr>
          <w:i/>
        </w:rPr>
        <w:t>Australian Pensioners</w:t>
      </w:r>
      <w:r w:rsidR="00B82D8D">
        <w:rPr>
          <w:i/>
        </w:rPr>
        <w:t>’</w:t>
      </w:r>
      <w:r w:rsidR="001B31C5" w:rsidRPr="00E50864">
        <w:rPr>
          <w:i/>
        </w:rPr>
        <w:t xml:space="preserve"> and Superannuants</w:t>
      </w:r>
      <w:r w:rsidR="00B82D8D">
        <w:rPr>
          <w:i/>
        </w:rPr>
        <w:t>’</w:t>
      </w:r>
      <w:r w:rsidR="001B31C5" w:rsidRPr="00E50864">
        <w:rPr>
          <w:i/>
        </w:rPr>
        <w:t xml:space="preserve"> Federation</w:t>
      </w:r>
      <w:r w:rsidR="001B31C5">
        <w:t>.</w:t>
      </w:r>
    </w:p>
    <w:p w:rsidR="00A863AD" w:rsidRPr="004E0223" w:rsidRDefault="00A863AD" w:rsidP="00FF1893">
      <w:pPr>
        <w:pStyle w:val="SubmissionNormal"/>
      </w:pPr>
      <w:r>
        <w:t xml:space="preserve">Community organisations also exist to provide </w:t>
      </w:r>
      <w:r w:rsidR="00A92D52">
        <w:t xml:space="preserve">targeted </w:t>
      </w:r>
      <w:r>
        <w:t xml:space="preserve">assistance for older people. For example, the </w:t>
      </w:r>
      <w:r w:rsidRPr="000F0BA3">
        <w:rPr>
          <w:i/>
          <w:lang w:val="en"/>
        </w:rPr>
        <w:t>Older Women</w:t>
      </w:r>
      <w:r w:rsidR="00B82D8D">
        <w:rPr>
          <w:i/>
          <w:lang w:val="en"/>
        </w:rPr>
        <w:t>’</w:t>
      </w:r>
      <w:r w:rsidRPr="000F0BA3">
        <w:rPr>
          <w:i/>
          <w:lang w:val="en"/>
        </w:rPr>
        <w:t>s Network</w:t>
      </w:r>
      <w:r w:rsidR="00691873">
        <w:rPr>
          <w:i/>
          <w:lang w:val="en"/>
        </w:rPr>
        <w:t xml:space="preserve"> </w:t>
      </w:r>
      <w:r>
        <w:t>focuses on promoting</w:t>
      </w:r>
      <w:r w:rsidRPr="00132215">
        <w:t xml:space="preserve"> the rights, dignity and wellbeing of older women</w:t>
      </w:r>
      <w:r>
        <w:t>.</w:t>
      </w:r>
      <w:r>
        <w:rPr>
          <w:rStyle w:val="EndnoteReference"/>
        </w:rPr>
        <w:endnoteReference w:id="53"/>
      </w:r>
      <w:r w:rsidR="00346EB2">
        <w:t xml:space="preserve"> </w:t>
      </w:r>
      <w:r w:rsidR="00346EB2" w:rsidRPr="002D0973">
        <w:t xml:space="preserve">The </w:t>
      </w:r>
      <w:r w:rsidR="00346EB2" w:rsidRPr="007C44E4">
        <w:rPr>
          <w:i/>
        </w:rPr>
        <w:t>Elder Abuse Prevention Unit</w:t>
      </w:r>
      <w:r w:rsidR="00346EB2" w:rsidRPr="002D0973">
        <w:t xml:space="preserve"> promotes the right of older people to live free from abuse.</w:t>
      </w:r>
      <w:r w:rsidR="00346EB2">
        <w:rPr>
          <w:rStyle w:val="EndnoteReference"/>
        </w:rPr>
        <w:endnoteReference w:id="54"/>
      </w:r>
      <w:r w:rsidR="009554E1">
        <w:t xml:space="preserve"> Other organisations include </w:t>
      </w:r>
      <w:r w:rsidR="009554E1" w:rsidRPr="009554E1">
        <w:rPr>
          <w:i/>
        </w:rPr>
        <w:t>Willing Older Workers</w:t>
      </w:r>
      <w:r w:rsidR="009554E1">
        <w:t xml:space="preserve">, </w:t>
      </w:r>
      <w:r w:rsidR="00B11924">
        <w:rPr>
          <w:rFonts w:cs="Arial"/>
          <w:i/>
        </w:rPr>
        <w:t>National Welfare Rights Network</w:t>
      </w:r>
      <w:r w:rsidR="00B11924">
        <w:rPr>
          <w:rFonts w:cs="Arial"/>
        </w:rPr>
        <w:t xml:space="preserve">, and community legal centres such as </w:t>
      </w:r>
      <w:r w:rsidR="00B11924">
        <w:t xml:space="preserve">the </w:t>
      </w:r>
      <w:r w:rsidR="00B11924">
        <w:rPr>
          <w:i/>
        </w:rPr>
        <w:t>Aged Care Rights Service</w:t>
      </w:r>
      <w:r w:rsidR="00B11924">
        <w:t xml:space="preserve">, </w:t>
      </w:r>
      <w:r w:rsidR="00B11924" w:rsidRPr="00B900A3">
        <w:rPr>
          <w:rFonts w:cs="Arial"/>
          <w:i/>
        </w:rPr>
        <w:t>Queensland Aged and Disability Advocacy</w:t>
      </w:r>
      <w:r w:rsidR="00B11924">
        <w:rPr>
          <w:rFonts w:cs="Arial"/>
        </w:rPr>
        <w:t xml:space="preserve">, </w:t>
      </w:r>
      <w:r w:rsidR="00B11924" w:rsidRPr="00B900A3">
        <w:rPr>
          <w:rFonts w:cs="Arial"/>
          <w:i/>
        </w:rPr>
        <w:t>A.C.T. Disability, Aged and Carer Advocacy Service</w:t>
      </w:r>
      <w:r w:rsidR="00B11924">
        <w:rPr>
          <w:rFonts w:cs="Arial"/>
        </w:rPr>
        <w:t>.</w:t>
      </w:r>
    </w:p>
    <w:p w:rsidR="004E0223" w:rsidRDefault="004E0223" w:rsidP="00FF1893">
      <w:pPr>
        <w:pStyle w:val="SubmissionNormal"/>
      </w:pPr>
      <w:r>
        <w:rPr>
          <w:rFonts w:cs="Arial"/>
        </w:rPr>
        <w:t xml:space="preserve">In light of the general </w:t>
      </w:r>
      <w:r w:rsidR="00064608">
        <w:rPr>
          <w:rFonts w:cs="Arial"/>
        </w:rPr>
        <w:t>lack of reliable</w:t>
      </w:r>
      <w:r>
        <w:rPr>
          <w:rFonts w:cs="Arial"/>
        </w:rPr>
        <w:t xml:space="preserve"> data on </w:t>
      </w:r>
      <w:r w:rsidR="00064608">
        <w:rPr>
          <w:rFonts w:cs="Arial"/>
        </w:rPr>
        <w:t>older people in Australia</w:t>
      </w:r>
      <w:r>
        <w:rPr>
          <w:rFonts w:cs="Arial"/>
        </w:rPr>
        <w:t xml:space="preserve">, some bodies are specifically concerned with expanding knowledge and research in </w:t>
      </w:r>
      <w:r w:rsidR="00282012">
        <w:rPr>
          <w:rFonts w:cs="Arial"/>
        </w:rPr>
        <w:t>the area</w:t>
      </w:r>
      <w:r w:rsidR="00064608">
        <w:rPr>
          <w:rFonts w:cs="Arial"/>
        </w:rPr>
        <w:t xml:space="preserve">. Such bodies include </w:t>
      </w:r>
      <w:r w:rsidR="00064608">
        <w:rPr>
          <w:rFonts w:cs="Arial"/>
          <w:i/>
        </w:rPr>
        <w:t>Elder Law</w:t>
      </w:r>
      <w:r w:rsidR="00064608">
        <w:rPr>
          <w:rFonts w:cs="Arial"/>
        </w:rPr>
        <w:t xml:space="preserve">, which </w:t>
      </w:r>
      <w:r w:rsidR="00064608">
        <w:rPr>
          <w:lang w:val="en"/>
        </w:rPr>
        <w:t xml:space="preserve">promotes awareness of the legal interests of older people through </w:t>
      </w:r>
      <w:r w:rsidR="0006722C">
        <w:rPr>
          <w:lang w:val="en"/>
        </w:rPr>
        <w:t>research, and community and legal education</w:t>
      </w:r>
      <w:r w:rsidR="00064608">
        <w:rPr>
          <w:lang w:val="en"/>
        </w:rPr>
        <w:t>.</w:t>
      </w:r>
      <w:r w:rsidR="00064608">
        <w:rPr>
          <w:rStyle w:val="EndnoteReference"/>
          <w:lang w:val="en"/>
        </w:rPr>
        <w:endnoteReference w:id="55"/>
      </w:r>
      <w:r w:rsidR="00064608">
        <w:rPr>
          <w:lang w:val="en"/>
        </w:rPr>
        <w:t xml:space="preserve"> </w:t>
      </w:r>
      <w:r w:rsidR="00E4372F">
        <w:rPr>
          <w:lang w:val="en"/>
        </w:rPr>
        <w:t xml:space="preserve">A number of university research institutions also focus on age-related research and data collection, such as the </w:t>
      </w:r>
      <w:r w:rsidR="00E1197F">
        <w:rPr>
          <w:i/>
          <w:lang w:val="en"/>
        </w:rPr>
        <w:t xml:space="preserve">Centre of Excellence in Population Ageing Research </w:t>
      </w:r>
      <w:r w:rsidR="00E1197F">
        <w:rPr>
          <w:lang w:val="en"/>
        </w:rPr>
        <w:t xml:space="preserve">and the </w:t>
      </w:r>
      <w:r w:rsidR="00E1197F">
        <w:rPr>
          <w:i/>
          <w:lang w:val="en"/>
        </w:rPr>
        <w:t>National Ageing Research Institute</w:t>
      </w:r>
      <w:r w:rsidR="00E1197F">
        <w:rPr>
          <w:lang w:val="en"/>
        </w:rPr>
        <w:t>.</w:t>
      </w:r>
      <w:r w:rsidR="00462640">
        <w:rPr>
          <w:lang w:val="en"/>
        </w:rPr>
        <w:t xml:space="preserve">  </w:t>
      </w:r>
    </w:p>
    <w:p w:rsidR="00FF1893" w:rsidRPr="00C12498" w:rsidRDefault="00361830" w:rsidP="00FF1893">
      <w:pPr>
        <w:pStyle w:val="Heading1"/>
        <w:numPr>
          <w:ilvl w:val="0"/>
          <w:numId w:val="37"/>
        </w:numPr>
      </w:pPr>
      <w:bookmarkStart w:id="21" w:name="_Toc350787882"/>
      <w:bookmarkStart w:id="22" w:name="_Toc162769295"/>
      <w:r>
        <w:t>Information on specific national legislation, national policies, strategies and plans of action adopted to ensure the equal enjoyment of rights by older persons in various areas</w:t>
      </w:r>
      <w:bookmarkEnd w:id="21"/>
    </w:p>
    <w:p w:rsidR="00426016" w:rsidRPr="00C8336A" w:rsidRDefault="00A6519F" w:rsidP="00FF1893">
      <w:pPr>
        <w:pStyle w:val="SubmissionNormal"/>
        <w:rPr>
          <w:szCs w:val="28"/>
        </w:rPr>
      </w:pPr>
      <w:r>
        <w:t xml:space="preserve">A number of laws and policies operate at the national level to advance or protect the rights of older Australians. While not all policies and programs </w:t>
      </w:r>
      <w:r>
        <w:lastRenderedPageBreak/>
        <w:t xml:space="preserve">proceed from a human rights-based agenda, many have the effect of reinforcing human rights principles or contributing to their fulfilment. The Commission welcomes </w:t>
      </w:r>
      <w:r w:rsidR="00426016">
        <w:t xml:space="preserve">current government strategies but believes that they could be augmented through the adoption of a </w:t>
      </w:r>
      <w:r w:rsidR="00E61A15">
        <w:t xml:space="preserve">specific national human rights </w:t>
      </w:r>
      <w:r w:rsidR="00F93FF8">
        <w:t>strategy for older people</w:t>
      </w:r>
      <w:r w:rsidR="00426016">
        <w:t>.</w:t>
      </w:r>
    </w:p>
    <w:p w:rsidR="006D129D" w:rsidRDefault="006D129D" w:rsidP="00FF1893">
      <w:pPr>
        <w:pStyle w:val="Heading2"/>
        <w:numPr>
          <w:ilvl w:val="1"/>
          <w:numId w:val="37"/>
        </w:numPr>
      </w:pPr>
      <w:bookmarkStart w:id="23" w:name="_Toc350787883"/>
      <w:r>
        <w:t>National Human Rights Framework</w:t>
      </w:r>
      <w:bookmarkEnd w:id="23"/>
      <w:r w:rsidR="00623B27">
        <w:t xml:space="preserve"> </w:t>
      </w:r>
    </w:p>
    <w:p w:rsidR="00E61A15" w:rsidRPr="003B76DD" w:rsidRDefault="00C8336A" w:rsidP="00E61A15">
      <w:pPr>
        <w:pStyle w:val="SubmissionNormal"/>
        <w:rPr>
          <w:szCs w:val="28"/>
        </w:rPr>
      </w:pPr>
      <w:r>
        <w:rPr>
          <w:szCs w:val="23"/>
        </w:rPr>
        <w:t>On 21 April 2010, the Government launched Australia’s Human Rights Framework which outlines the key measures to guide the Government’s human rights work.</w:t>
      </w:r>
      <w:r w:rsidR="006D129D">
        <w:t xml:space="preserve"> </w:t>
      </w:r>
      <w:r w:rsidR="003B76DD">
        <w:t xml:space="preserve">Under </w:t>
      </w:r>
      <w:hyperlink r:id="rId15" w:history="1">
        <w:r w:rsidR="00D35A5D">
          <w:rPr>
            <w:rStyle w:val="Hyperlink"/>
          </w:rPr>
          <w:t>Australia's Human Rights Framework</w:t>
        </w:r>
      </w:hyperlink>
      <w:r w:rsidR="003B76DD">
        <w:t xml:space="preserve">, the National Action Plan on Human Rights was </w:t>
      </w:r>
      <w:r w:rsidR="00EE649F">
        <w:t>developed</w:t>
      </w:r>
      <w:r w:rsidR="003B76DD">
        <w:t>.</w:t>
      </w:r>
      <w:r w:rsidR="00441054">
        <w:rPr>
          <w:rStyle w:val="EndnoteReference"/>
        </w:rPr>
        <w:endnoteReference w:id="56"/>
      </w:r>
      <w:r w:rsidR="003B76DD">
        <w:t xml:space="preserve"> </w:t>
      </w:r>
      <w:r w:rsidR="00F93FF8">
        <w:t>This</w:t>
      </w:r>
      <w:r w:rsidR="003B76DD">
        <w:t xml:space="preserve"> </w:t>
      </w:r>
      <w:r w:rsidR="00E61A15">
        <w:t>le</w:t>
      </w:r>
      <w:r w:rsidR="00566F02">
        <w:t>d to</w:t>
      </w:r>
      <w:r w:rsidR="003B76DD">
        <w:t xml:space="preserve"> the appointment of an Age Discrimination Commissioner </w:t>
      </w:r>
      <w:r w:rsidR="00566F02">
        <w:t xml:space="preserve">and the introduction of the </w:t>
      </w:r>
      <w:r w:rsidR="00566F02">
        <w:rPr>
          <w:i/>
        </w:rPr>
        <w:t xml:space="preserve">Human Rights (Parliamentary Scrutiny) Act 2011 </w:t>
      </w:r>
      <w:r w:rsidR="00566F02">
        <w:t>(</w:t>
      </w:r>
      <w:proofErr w:type="spellStart"/>
      <w:r w:rsidR="00566F02">
        <w:t>Cth</w:t>
      </w:r>
      <w:proofErr w:type="spellEnd"/>
      <w:r w:rsidR="00566F02">
        <w:t xml:space="preserve">). </w:t>
      </w:r>
      <w:r w:rsidR="00E61A15">
        <w:t xml:space="preserve">The Australian Government also established the Advisory Panel </w:t>
      </w:r>
      <w:r w:rsidR="00F956E7">
        <w:t xml:space="preserve">on Positive Ageing </w:t>
      </w:r>
      <w:r w:rsidR="00E61A15">
        <w:t xml:space="preserve">to produce independent reports </w:t>
      </w:r>
      <w:r w:rsidR="00F93FF8" w:rsidRPr="00F93FF8">
        <w:t>examining how Australia can best harness the life experiences and intellectual capital of older</w:t>
      </w:r>
      <w:r w:rsidR="00F93FF8">
        <w:t xml:space="preserve"> members of the community. </w:t>
      </w:r>
      <w:r w:rsidR="00F956E7">
        <w:t xml:space="preserve">As part of the </w:t>
      </w:r>
      <w:r w:rsidR="00F956E7" w:rsidRPr="00F956E7">
        <w:t>Natio</w:t>
      </w:r>
      <w:r w:rsidR="00F956E7">
        <w:t>nal Action Plan on Human Rights,</w:t>
      </w:r>
      <w:r w:rsidR="00110AC5">
        <w:t xml:space="preserve"> </w:t>
      </w:r>
      <w:r w:rsidR="00FE711A">
        <w:t>the Australian Law Reform Commission</w:t>
      </w:r>
      <w:r w:rsidR="00F93FF8">
        <w:t xml:space="preserve"> was directed to conduct an inquiry on </w:t>
      </w:r>
      <w:r w:rsidR="003721BE">
        <w:t xml:space="preserve">Commonwealth barriers to employment participation for mature age people. </w:t>
      </w:r>
    </w:p>
    <w:p w:rsidR="00FF1893" w:rsidRPr="001E1304" w:rsidRDefault="001E7794" w:rsidP="00FF1893">
      <w:pPr>
        <w:pStyle w:val="Heading2"/>
        <w:numPr>
          <w:ilvl w:val="1"/>
          <w:numId w:val="37"/>
        </w:numPr>
      </w:pPr>
      <w:bookmarkStart w:id="24" w:name="_Toc350787884"/>
      <w:r>
        <w:t>Violence and abuse</w:t>
      </w:r>
      <w:bookmarkEnd w:id="24"/>
    </w:p>
    <w:p w:rsidR="00987136" w:rsidRDefault="00987136" w:rsidP="00FF1893">
      <w:pPr>
        <w:pStyle w:val="SubmissionNormal"/>
      </w:pPr>
      <w:r>
        <w:t xml:space="preserve">There is no </w:t>
      </w:r>
      <w:r w:rsidR="00F915B7">
        <w:t xml:space="preserve">national </w:t>
      </w:r>
      <w:r>
        <w:t>government strat</w:t>
      </w:r>
      <w:r w:rsidR="00605170">
        <w:t xml:space="preserve">egy for protecting </w:t>
      </w:r>
      <w:r w:rsidR="000443FA">
        <w:t>older people</w:t>
      </w:r>
      <w:r w:rsidR="00605170">
        <w:t xml:space="preserve"> from </w:t>
      </w:r>
      <w:r>
        <w:t>violenc</w:t>
      </w:r>
      <w:r w:rsidR="00605170">
        <w:t xml:space="preserve">e </w:t>
      </w:r>
      <w:r w:rsidR="00F04C1B">
        <w:t xml:space="preserve">and abuse. However the non-government sector has initiated the </w:t>
      </w:r>
      <w:hyperlink r:id="rId16" w:history="1">
        <w:r w:rsidR="00F04C1B" w:rsidRPr="00F04C1B">
          <w:rPr>
            <w:rStyle w:val="Hyperlink"/>
          </w:rPr>
          <w:t>Sexual Assault in Disability and Aged Care Strategy</w:t>
        </w:r>
      </w:hyperlink>
      <w:r w:rsidR="00F04C1B">
        <w:t xml:space="preserve"> which provides a framework for action in which organisations work together to protect vulnerable people in care settings.</w:t>
      </w:r>
      <w:r w:rsidR="00F04C1B">
        <w:rPr>
          <w:rStyle w:val="EndnoteReference"/>
        </w:rPr>
        <w:endnoteReference w:id="57"/>
      </w:r>
      <w:r w:rsidR="00CB6775">
        <w:t xml:space="preserve"> </w:t>
      </w:r>
    </w:p>
    <w:p w:rsidR="00CB6775" w:rsidRDefault="00CB6775" w:rsidP="00E672A3">
      <w:pPr>
        <w:pStyle w:val="SubmissionNormal"/>
      </w:pPr>
      <w:r>
        <w:t xml:space="preserve">Government helplines </w:t>
      </w:r>
      <w:r w:rsidR="004E3C5C">
        <w:t xml:space="preserve">like the </w:t>
      </w:r>
      <w:hyperlink r:id="rId17" w:history="1">
        <w:r w:rsidR="008E2C02">
          <w:rPr>
            <w:rStyle w:val="Hyperlink"/>
          </w:rPr>
          <w:t>National Sexual Assault, Domestic and Family Violence Counselling Service</w:t>
        </w:r>
      </w:hyperlink>
      <w:r w:rsidR="004E3C5C">
        <w:t xml:space="preserve"> </w:t>
      </w:r>
      <w:r>
        <w:t>provide support and assistance to victims.</w:t>
      </w:r>
      <w:r w:rsidR="004E3C5C">
        <w:rPr>
          <w:rStyle w:val="EndnoteReference"/>
        </w:rPr>
        <w:endnoteReference w:id="58"/>
      </w:r>
      <w:r w:rsidR="00605170">
        <w:t xml:space="preserve"> </w:t>
      </w:r>
      <w:r w:rsidR="00E672A3" w:rsidRPr="00E672A3">
        <w:t xml:space="preserve">The NSW Government is </w:t>
      </w:r>
      <w:r w:rsidR="00F92920">
        <w:t xml:space="preserve">also </w:t>
      </w:r>
      <w:r w:rsidR="00E672A3" w:rsidRPr="00E672A3">
        <w:t>developing a helpline and resource centre to reduce the financial and psychological abuse experienced by older people living in their own homes.</w:t>
      </w:r>
      <w:r w:rsidR="00E672A3">
        <w:rPr>
          <w:rStyle w:val="EndnoteReference"/>
        </w:rPr>
        <w:endnoteReference w:id="59"/>
      </w:r>
    </w:p>
    <w:p w:rsidR="00AD5CD4" w:rsidRDefault="00AD5CD4" w:rsidP="00AD5CD4">
      <w:pPr>
        <w:pStyle w:val="SubmissionNormal"/>
      </w:pPr>
      <w:r>
        <w:t xml:space="preserve">Older victims of physical and sexual violence, along with other Australians, have the option of taking out an Apprehended Violence Order (AVO) at court to restrict the behaviour of the person who committed the violence. </w:t>
      </w:r>
    </w:p>
    <w:p w:rsidR="00674673" w:rsidRPr="00F92920" w:rsidRDefault="00F92920" w:rsidP="00F92920">
      <w:pPr>
        <w:pStyle w:val="SubmissionNormal"/>
      </w:pPr>
      <w:r>
        <w:t xml:space="preserve">To protect older Australians from financial abuse, the Government </w:t>
      </w:r>
      <w:r w:rsidR="00674673" w:rsidRPr="00F92920">
        <w:t xml:space="preserve">offers a free </w:t>
      </w:r>
      <w:hyperlink r:id="rId18" w:history="1">
        <w:r w:rsidR="00674673" w:rsidRPr="00F92920">
          <w:rPr>
            <w:rStyle w:val="Hyperlink"/>
          </w:rPr>
          <w:t>Financial Information Service</w:t>
        </w:r>
      </w:hyperlink>
      <w:r w:rsidR="00674673" w:rsidRPr="00F92920">
        <w:t xml:space="preserve"> that covers a range of areas, including moving into residential care, budgeting, investing, using credit and retirement income options.</w:t>
      </w:r>
      <w:r w:rsidR="00674673" w:rsidRPr="00F92920">
        <w:rPr>
          <w:rStyle w:val="EndnoteReference"/>
        </w:rPr>
        <w:endnoteReference w:id="60"/>
      </w:r>
      <w:r w:rsidR="00674673" w:rsidRPr="00F92920">
        <w:t xml:space="preserve"> The Government also funds a network of local community organisations, legal centres and government agencies that provide with free financial counselling services. Non-government services include the </w:t>
      </w:r>
      <w:hyperlink r:id="rId19" w:history="1">
        <w:r w:rsidR="00674673" w:rsidRPr="00F92920">
          <w:rPr>
            <w:rStyle w:val="Hyperlink"/>
          </w:rPr>
          <w:t>National Information Centre on Retirement Investments</w:t>
        </w:r>
      </w:hyperlink>
      <w:r w:rsidR="00674673" w:rsidRPr="00F92920">
        <w:t xml:space="preserve"> that provides free telephone information on investment services.</w:t>
      </w:r>
      <w:r w:rsidR="00674673" w:rsidRPr="00F92920">
        <w:rPr>
          <w:rStyle w:val="EndnoteReference"/>
        </w:rPr>
        <w:endnoteReference w:id="61"/>
      </w:r>
    </w:p>
    <w:p w:rsidR="000E1A0D" w:rsidRDefault="000E1A0D" w:rsidP="000E1A0D">
      <w:pPr>
        <w:pStyle w:val="SubmissionNormal"/>
      </w:pPr>
      <w:r>
        <w:t xml:space="preserve">Illness, disability, frailty and other circumstances can sometimes prevent an older person from making decisions independently. At such times, an older person may need to rely on a trusted individual or network of individuals to </w:t>
      </w:r>
      <w:r>
        <w:lastRenderedPageBreak/>
        <w:t xml:space="preserve">assist them in making decisions. Consistent with the notion of supported decision-making, as expressed in CRPD article 12, the </w:t>
      </w:r>
      <w:hyperlink r:id="rId20" w:history="1">
        <w:r w:rsidRPr="005613AC">
          <w:rPr>
            <w:rStyle w:val="Hyperlink"/>
          </w:rPr>
          <w:t>Community Visitors Scheme</w:t>
        </w:r>
      </w:hyperlink>
      <w:r>
        <w:t xml:space="preserve"> has to potential to help socially isolated </w:t>
      </w:r>
      <w:r w:rsidR="000443FA">
        <w:t>older people</w:t>
      </w:r>
      <w:r>
        <w:t xml:space="preserve"> to form friendships and trusted networks to support them in decision-making processes.</w:t>
      </w:r>
      <w:r>
        <w:rPr>
          <w:rStyle w:val="EndnoteReference"/>
        </w:rPr>
        <w:endnoteReference w:id="62"/>
      </w:r>
    </w:p>
    <w:p w:rsidR="001E7794" w:rsidRPr="001E1304" w:rsidRDefault="001E7794" w:rsidP="001E7794">
      <w:pPr>
        <w:pStyle w:val="Heading2"/>
        <w:numPr>
          <w:ilvl w:val="1"/>
          <w:numId w:val="37"/>
        </w:numPr>
      </w:pPr>
      <w:bookmarkStart w:id="25" w:name="_Toc350787885"/>
      <w:r>
        <w:t xml:space="preserve">Social </w:t>
      </w:r>
      <w:r w:rsidR="00674673">
        <w:t>protection and financial security</w:t>
      </w:r>
      <w:bookmarkEnd w:id="25"/>
    </w:p>
    <w:p w:rsidR="00A60447" w:rsidRDefault="007429C1" w:rsidP="007429C1">
      <w:pPr>
        <w:pStyle w:val="SubmissionNormal"/>
      </w:pPr>
      <w:r w:rsidRPr="007429C1">
        <w:t>Approximately 80 per cent of all Australians aged 65 and older are reliant to some degree on the Age Pension.  Almost all of the remaining 20 per cent rely on their own retirement savings. Australia’s three pillar retirement income system aims to ensure people have an adequate standard of living in their retirement. It comprises of a government provided Age Pension, compulsory superannuation savings; and voluntary savings (both through su</w:t>
      </w:r>
      <w:r>
        <w:t>perannuation and other sources)</w:t>
      </w:r>
      <w:r w:rsidR="00A60447">
        <w:t xml:space="preserve">. </w:t>
      </w:r>
    </w:p>
    <w:p w:rsidR="007429C1" w:rsidRDefault="007429C1" w:rsidP="007429C1">
      <w:pPr>
        <w:pStyle w:val="SubmissionNormal"/>
      </w:pPr>
      <w:r>
        <w:t>Participation in superannuation is compulsory for almost all Australian workers. Employers are obliged to pay a minimum of 9 per cent of a worker’s salary into a superannuation fund. This will gradually increase to 12 per cent. Significant tax concessions are provided to encourage people to voluntarily contribute to their superannuation throughout their working life. People can access their superannuation after the age of 65 or when they have reached a certain age and have retired from the workforce. This age is increasing over time, to reflect older people’s increased ability to participate in the workforce.</w:t>
      </w:r>
    </w:p>
    <w:p w:rsidR="007429C1" w:rsidRDefault="007429C1" w:rsidP="007429C1">
      <w:pPr>
        <w:pStyle w:val="SubmissionNormal"/>
      </w:pPr>
      <w:r>
        <w:t xml:space="preserve">The </w:t>
      </w:r>
      <w:hyperlink r:id="rId21" w:history="1">
        <w:r>
          <w:rPr>
            <w:rStyle w:val="Hyperlink"/>
            <w:rFonts w:eastAsia="MS Mincho"/>
          </w:rPr>
          <w:t>Age Pension</w:t>
        </w:r>
      </w:hyperlink>
      <w:r>
        <w:t xml:space="preserve"> is available to eligible Australians aged 65 years or over, although this will gradually increase to 67 years from 2023.</w:t>
      </w:r>
      <w:r>
        <w:rPr>
          <w:rStyle w:val="EndnoteReference"/>
          <w:rFonts w:eastAsia="MS Mincho"/>
        </w:rPr>
        <w:endnoteReference w:id="63"/>
      </w:r>
      <w:r w:rsidRPr="007429C1">
        <w:rPr>
          <w:rFonts w:ascii="Times New Roman" w:hAnsi="Times New Roman"/>
        </w:rPr>
        <w:t xml:space="preserve"> </w:t>
      </w:r>
      <w:r>
        <w:t>It provides a fortnightly payment to support older people in retirement. Eligibility is determined by a means test and assets test. Even if a person’s income and assets are too high to receive the full Age Pension, they may still be eligible for a part pension.</w:t>
      </w:r>
    </w:p>
    <w:p w:rsidR="007429C1" w:rsidRDefault="007429C1" w:rsidP="007429C1">
      <w:pPr>
        <w:pStyle w:val="SubmissionNormal"/>
      </w:pPr>
      <w:r>
        <w:t xml:space="preserve">The </w:t>
      </w:r>
      <w:hyperlink r:id="rId22" w:history="1">
        <w:r>
          <w:rPr>
            <w:rStyle w:val="Hyperlink"/>
            <w:rFonts w:eastAsia="MS Mincho"/>
          </w:rPr>
          <w:t>Seniors Supplement</w:t>
        </w:r>
      </w:hyperlink>
      <w:r>
        <w:t xml:space="preserve"> is a means tested quarterly payment. It is designed to help with bills and household expenses and recipients do not need to be receiving the Age Pension.</w:t>
      </w:r>
      <w:r>
        <w:rPr>
          <w:rStyle w:val="EndnoteReference"/>
          <w:rFonts w:eastAsia="MS Mincho"/>
        </w:rPr>
        <w:endnoteReference w:id="64"/>
      </w:r>
      <w:r w:rsidRPr="007429C1">
        <w:rPr>
          <w:rFonts w:ascii="Times New Roman" w:hAnsi="Times New Roman"/>
        </w:rPr>
        <w:t xml:space="preserve"> </w:t>
      </w:r>
    </w:p>
    <w:p w:rsidR="009D519D" w:rsidRPr="009D519D" w:rsidRDefault="007429C1" w:rsidP="009D519D">
      <w:pPr>
        <w:pStyle w:val="SubmissionNormal"/>
      </w:pPr>
      <w:r>
        <w:t xml:space="preserve">Eligible Australians aged 60 years and over who do not work more than a certain number of hours a week can apply for a </w:t>
      </w:r>
      <w:hyperlink r:id="rId23" w:history="1">
        <w:r w:rsidRPr="007429C1">
          <w:rPr>
            <w:rStyle w:val="Hyperlink"/>
            <w:rFonts w:eastAsia="MS Mincho"/>
          </w:rPr>
          <w:t>Seniors Card</w:t>
        </w:r>
      </w:hyperlink>
      <w:r>
        <w:t>, which offers concessions on a variety of goods and services including government services, transport, and shopping.</w:t>
      </w:r>
      <w:r>
        <w:rPr>
          <w:rStyle w:val="EndnoteReference"/>
        </w:rPr>
        <w:endnoteReference w:id="65"/>
      </w:r>
      <w:r w:rsidRPr="007429C1">
        <w:rPr>
          <w:rFonts w:ascii="Times New Roman" w:hAnsi="Times New Roman"/>
        </w:rPr>
        <w:t xml:space="preserve"> </w:t>
      </w:r>
    </w:p>
    <w:p w:rsidR="009D519D" w:rsidRDefault="007429C1" w:rsidP="009D519D">
      <w:pPr>
        <w:pStyle w:val="SubmissionNormal"/>
      </w:pPr>
      <w:r>
        <w:t xml:space="preserve">Older people who care for a partner or child may be eligible for financial assistance. The </w:t>
      </w:r>
      <w:hyperlink r:id="rId24" w:history="1">
        <w:r>
          <w:rPr>
            <w:rStyle w:val="Hyperlink"/>
          </w:rPr>
          <w:t>Carer Payment</w:t>
        </w:r>
      </w:hyperlink>
      <w:r>
        <w:t xml:space="preserve"> provides financial support to people unable to work and the Carer allowance is a supplementary payment which can be paid on top of the Age Pension or income from work.</w:t>
      </w:r>
      <w:r w:rsidR="009D519D">
        <w:rPr>
          <w:rStyle w:val="EndnoteReference"/>
        </w:rPr>
        <w:endnoteReference w:id="66"/>
      </w:r>
      <w:r w:rsidRPr="007429C1">
        <w:t xml:space="preserve"> </w:t>
      </w:r>
    </w:p>
    <w:p w:rsidR="007429C1" w:rsidRPr="009D519D" w:rsidRDefault="007429C1" w:rsidP="009D519D">
      <w:pPr>
        <w:pStyle w:val="SubmissionNormal"/>
      </w:pPr>
      <w:r>
        <w:t xml:space="preserve">Older Australians may also be entitled to </w:t>
      </w:r>
      <w:hyperlink r:id="rId25" w:history="1">
        <w:r>
          <w:rPr>
            <w:rStyle w:val="Hyperlink"/>
          </w:rPr>
          <w:t>tax offsets</w:t>
        </w:r>
      </w:hyperlink>
      <w:r>
        <w:t>.</w:t>
      </w:r>
      <w:r>
        <w:rPr>
          <w:rStyle w:val="EndnoteReference"/>
        </w:rPr>
        <w:endnoteReference w:id="67"/>
      </w:r>
      <w:r w:rsidRPr="009D519D">
        <w:rPr>
          <w:rFonts w:ascii="Times New Roman" w:hAnsi="Times New Roman"/>
        </w:rPr>
        <w:t xml:space="preserve"> </w:t>
      </w:r>
    </w:p>
    <w:p w:rsidR="001E7794" w:rsidRPr="001E1304" w:rsidRDefault="001E7794" w:rsidP="001E7794">
      <w:pPr>
        <w:pStyle w:val="Heading2"/>
        <w:numPr>
          <w:ilvl w:val="1"/>
          <w:numId w:val="37"/>
        </w:numPr>
      </w:pPr>
      <w:bookmarkStart w:id="26" w:name="_Toc350787886"/>
      <w:r>
        <w:lastRenderedPageBreak/>
        <w:t>Food and housing</w:t>
      </w:r>
      <w:bookmarkEnd w:id="26"/>
    </w:p>
    <w:p w:rsidR="00913EC1" w:rsidRDefault="00913EC1" w:rsidP="001E7794">
      <w:pPr>
        <w:pStyle w:val="SubmissionNormal"/>
      </w:pPr>
      <w:r>
        <w:t xml:space="preserve">Government income assistance programs are intended to provide families with adequate income to purchase food and essential amenities. </w:t>
      </w:r>
      <w:r w:rsidR="00674673">
        <w:t>NGOs</w:t>
      </w:r>
      <w:r>
        <w:t xml:space="preserve"> like the Salvation Army </w:t>
      </w:r>
      <w:r w:rsidR="007A2F8B">
        <w:t>also</w:t>
      </w:r>
      <w:r>
        <w:t xml:space="preserve"> provide welfare </w:t>
      </w:r>
      <w:r w:rsidR="00674673">
        <w:t xml:space="preserve">and food </w:t>
      </w:r>
      <w:r>
        <w:t xml:space="preserve">services. The Australian </w:t>
      </w:r>
      <w:proofErr w:type="gramStart"/>
      <w:r>
        <w:t xml:space="preserve">Government </w:t>
      </w:r>
      <w:r w:rsidR="008E068A">
        <w:t xml:space="preserve"> funded</w:t>
      </w:r>
      <w:proofErr w:type="gramEnd"/>
      <w:r>
        <w:t xml:space="preserve"> the </w:t>
      </w:r>
      <w:hyperlink r:id="rId26" w:history="1">
        <w:r w:rsidR="00691873">
          <w:rPr>
            <w:rStyle w:val="Hyperlink"/>
          </w:rPr>
          <w:t>National Aboriginal and Torres Strait Islander Nutrition Strategy and Action Plan</w:t>
        </w:r>
      </w:hyperlink>
      <w:r>
        <w:t xml:space="preserve"> as part of the Eat Well Australia 2000-2010 campaign.</w:t>
      </w:r>
      <w:r>
        <w:rPr>
          <w:rStyle w:val="EndnoteReference"/>
        </w:rPr>
        <w:endnoteReference w:id="68"/>
      </w:r>
      <w:r>
        <w:t xml:space="preserve"> The aim of the strategy was to facilitate a coordinate</w:t>
      </w:r>
      <w:r w:rsidR="007A2F8B">
        <w:t>d</w:t>
      </w:r>
      <w:r>
        <w:t xml:space="preserve"> national approach to Indigenous public health nutrition.</w:t>
      </w:r>
    </w:p>
    <w:p w:rsidR="00F17DCD" w:rsidRPr="003A5C8A" w:rsidRDefault="008E47B1" w:rsidP="00246E35">
      <w:pPr>
        <w:pStyle w:val="SubmissionNormal"/>
      </w:pPr>
      <w:r>
        <w:rPr>
          <w:rFonts w:cs="Arial"/>
        </w:rPr>
        <w:t>Nearly 85 per cent of older Australians (over 65) live in their own homes while 13 per cent live in rented accommodation.</w:t>
      </w:r>
      <w:r>
        <w:rPr>
          <w:rStyle w:val="EndnoteReference"/>
          <w:rFonts w:cs="Arial"/>
        </w:rPr>
        <w:endnoteReference w:id="69"/>
      </w:r>
      <w:r>
        <w:rPr>
          <w:rFonts w:cs="Arial"/>
        </w:rPr>
        <w:t xml:space="preserve"> </w:t>
      </w:r>
      <w:r w:rsidR="004A3D5B" w:rsidRPr="004A3D5B">
        <w:t xml:space="preserve">The </w:t>
      </w:r>
      <w:hyperlink r:id="rId27" w:history="1">
        <w:r w:rsidR="0062569A">
          <w:rPr>
            <w:rStyle w:val="Hyperlink"/>
          </w:rPr>
          <w:t>Assistance with Care and Housing for the Aged Program</w:t>
        </w:r>
      </w:hyperlink>
      <w:r w:rsidR="004A3D5B" w:rsidRPr="004A3D5B">
        <w:t xml:space="preserve"> help</w:t>
      </w:r>
      <w:r w:rsidR="001D7B13">
        <w:t>s</w:t>
      </w:r>
      <w:r w:rsidR="004A3D5B" w:rsidRPr="004A3D5B">
        <w:t xml:space="preserve"> frail, low income older people who are renting, in insecure housing or who are hom</w:t>
      </w:r>
      <w:r w:rsidR="001D7B13">
        <w:t>eless</w:t>
      </w:r>
      <w:r w:rsidR="004A3D5B" w:rsidRPr="004A3D5B">
        <w:t>.</w:t>
      </w:r>
      <w:r w:rsidR="004A3D5B">
        <w:rPr>
          <w:rStyle w:val="EndnoteReference"/>
        </w:rPr>
        <w:endnoteReference w:id="70"/>
      </w:r>
      <w:r w:rsidR="00CA5288">
        <w:t xml:space="preserve"> </w:t>
      </w:r>
      <w:r w:rsidR="00246E35">
        <w:t>The</w:t>
      </w:r>
      <w:r w:rsidR="00A308E9">
        <w:t xml:space="preserve"> </w:t>
      </w:r>
      <w:hyperlink r:id="rId28" w:history="1">
        <w:r w:rsidR="008E2C02">
          <w:rPr>
            <w:rStyle w:val="Hyperlink"/>
          </w:rPr>
          <w:t>Commonwealth Home and Community Care Program</w:t>
        </w:r>
      </w:hyperlink>
      <w:r w:rsidR="00246E35">
        <w:t xml:space="preserve"> </w:t>
      </w:r>
      <w:r w:rsidR="00246E35" w:rsidRPr="00246E35">
        <w:t>provides services that support older people to stay at home and be more independent in the community.</w:t>
      </w:r>
      <w:r w:rsidR="0062569A">
        <w:rPr>
          <w:rStyle w:val="EndnoteReference"/>
        </w:rPr>
        <w:endnoteReference w:id="71"/>
      </w:r>
      <w:r w:rsidR="00DB690B">
        <w:t xml:space="preserve"> </w:t>
      </w:r>
      <w:hyperlink r:id="rId29" w:history="1">
        <w:r w:rsidR="00DB690B" w:rsidRPr="00DB690B">
          <w:rPr>
            <w:rStyle w:val="Hyperlink"/>
          </w:rPr>
          <w:t>Rent A</w:t>
        </w:r>
        <w:r w:rsidR="00246E35" w:rsidRPr="00DB690B">
          <w:rPr>
            <w:rStyle w:val="Hyperlink"/>
          </w:rPr>
          <w:t>ssistance</w:t>
        </w:r>
      </w:hyperlink>
      <w:r w:rsidR="00246E35">
        <w:t xml:space="preserve"> is also available to recipients of the Age Pension who pay rent in private accommodation.</w:t>
      </w:r>
      <w:r w:rsidR="00DB690B">
        <w:rPr>
          <w:rStyle w:val="EndnoteReference"/>
        </w:rPr>
        <w:endnoteReference w:id="72"/>
      </w:r>
      <w:r w:rsidR="00246E35">
        <w:t xml:space="preserve"> </w:t>
      </w:r>
      <w:r w:rsidR="00F94F2D">
        <w:t xml:space="preserve">The number of older Australians living in government subsidised public housing is also projected to increase by 75 per cent from 209 210 in 2001 to 365 914 in 2016. </w:t>
      </w:r>
      <w:r w:rsidR="00F94F2D">
        <w:rPr>
          <w:rFonts w:cs="Arial"/>
        </w:rPr>
        <w:t>Demand in the 85+ age group is expected to increase by 118 per cent.</w:t>
      </w:r>
      <w:r w:rsidR="00F94F2D">
        <w:rPr>
          <w:rStyle w:val="EndnoteReference"/>
          <w:rFonts w:cs="Arial"/>
        </w:rPr>
        <w:endnoteReference w:id="73"/>
      </w:r>
    </w:p>
    <w:p w:rsidR="001E7794" w:rsidRPr="001E1304" w:rsidRDefault="001E7794" w:rsidP="001E7794">
      <w:pPr>
        <w:pStyle w:val="Heading2"/>
        <w:numPr>
          <w:ilvl w:val="1"/>
          <w:numId w:val="37"/>
        </w:numPr>
      </w:pPr>
      <w:bookmarkStart w:id="27" w:name="_Toc350787887"/>
      <w:r>
        <w:t>Employment</w:t>
      </w:r>
      <w:r w:rsidR="00A86F38">
        <w:t xml:space="preserve"> and education</w:t>
      </w:r>
      <w:bookmarkEnd w:id="27"/>
    </w:p>
    <w:p w:rsidR="00DF3E1D" w:rsidRDefault="001C61A8" w:rsidP="00E74F71">
      <w:pPr>
        <w:pStyle w:val="SubmissionNormal"/>
      </w:pPr>
      <w:hyperlink r:id="rId30" w:history="1">
        <w:r w:rsidR="0072203D">
          <w:rPr>
            <w:rStyle w:val="Hyperlink"/>
          </w:rPr>
          <w:t>Experience+</w:t>
        </w:r>
      </w:hyperlink>
      <w:r w:rsidR="001C05BE">
        <w:t xml:space="preserve"> </w:t>
      </w:r>
      <w:r w:rsidR="0072203D">
        <w:t xml:space="preserve">is </w:t>
      </w:r>
      <w:r w:rsidR="001C05BE">
        <w:t xml:space="preserve">a Government initiative designed </w:t>
      </w:r>
      <w:r w:rsidR="001C05BE" w:rsidRPr="0005200D">
        <w:t xml:space="preserve">to support mature-age people </w:t>
      </w:r>
      <w:r w:rsidR="001C05BE">
        <w:t xml:space="preserve">aged 45 years and above </w:t>
      </w:r>
      <w:r w:rsidR="001C05BE" w:rsidRPr="0005200D">
        <w:t>to participate in the workforce.</w:t>
      </w:r>
      <w:r w:rsidR="0072203D">
        <w:rPr>
          <w:rStyle w:val="EndnoteReference"/>
        </w:rPr>
        <w:endnoteReference w:id="74"/>
      </w:r>
      <w:r w:rsidR="001C05BE">
        <w:t xml:space="preserve"> </w:t>
      </w:r>
      <w:r w:rsidR="008E47B1">
        <w:t xml:space="preserve">Payments are available to employers who employ an eligible mature-age job seeker. </w:t>
      </w:r>
      <w:r w:rsidR="001C05BE">
        <w:t xml:space="preserve">The Corporate Champions program provides tailored industry support to employers who </w:t>
      </w:r>
      <w:r w:rsidR="008E47B1">
        <w:t>recruit and retain</w:t>
      </w:r>
      <w:r w:rsidR="001C05BE" w:rsidRPr="00E20260">
        <w:t xml:space="preserve"> mature-age staff</w:t>
      </w:r>
      <w:r w:rsidR="001C05BE">
        <w:t>.</w:t>
      </w:r>
    </w:p>
    <w:p w:rsidR="00A86F38" w:rsidRPr="003A5C8A" w:rsidRDefault="00A86F38" w:rsidP="00E74F71">
      <w:pPr>
        <w:pStyle w:val="SubmissionNormal"/>
      </w:pPr>
      <w:r>
        <w:t xml:space="preserve">Older Australians also have </w:t>
      </w:r>
      <w:r w:rsidR="008637DF">
        <w:t>access to a range of vocational education and training courses through government and private providers</w:t>
      </w:r>
      <w:r w:rsidR="00EE649F">
        <w:t xml:space="preserve"> and university course</w:t>
      </w:r>
      <w:r w:rsidR="00130749">
        <w:t>s</w:t>
      </w:r>
      <w:r w:rsidR="008637DF">
        <w:t xml:space="preserve">. </w:t>
      </w:r>
      <w:r w:rsidR="00F41317">
        <w:t>Some offer programs targeted for older learners to reskill or engage in personal development.</w:t>
      </w:r>
      <w:r w:rsidR="004851B8">
        <w:t xml:space="preserve"> </w:t>
      </w:r>
    </w:p>
    <w:p w:rsidR="001E7794" w:rsidRPr="001E1304" w:rsidRDefault="001E7794" w:rsidP="001E7794">
      <w:pPr>
        <w:pStyle w:val="Heading2"/>
        <w:numPr>
          <w:ilvl w:val="1"/>
          <w:numId w:val="37"/>
        </w:numPr>
      </w:pPr>
      <w:bookmarkStart w:id="28" w:name="_Toc350787888"/>
      <w:r>
        <w:t>Legal capacity</w:t>
      </w:r>
      <w:bookmarkEnd w:id="28"/>
    </w:p>
    <w:p w:rsidR="00C906E8" w:rsidRPr="003A5C8A" w:rsidRDefault="002135D1" w:rsidP="002135D1">
      <w:pPr>
        <w:pStyle w:val="SubmissionNormal"/>
      </w:pPr>
      <w:r w:rsidRPr="002135D1">
        <w:t>Most Australian states and territories have legislation which a</w:t>
      </w:r>
      <w:r w:rsidR="000657C1">
        <w:t>llows for the appointment of a G</w:t>
      </w:r>
      <w:r w:rsidRPr="002135D1">
        <w:t xml:space="preserve">uardian or </w:t>
      </w:r>
      <w:r w:rsidR="000657C1">
        <w:t>Power of A</w:t>
      </w:r>
      <w:r w:rsidRPr="002135D1">
        <w:t xml:space="preserve">ttorney by or on behalf of someone who is either unable to makes decisions on their own behalf or who wishes to give someone they trust the power to make decisions on their behalf. If no one suitable is available, the Public Advocate or Trustee in the state or territory can be appointed. </w:t>
      </w:r>
      <w:r>
        <w:t xml:space="preserve">See the </w:t>
      </w:r>
      <w:hyperlink r:id="rId31" w:history="1">
        <w:r w:rsidRPr="002135D1">
          <w:rPr>
            <w:rStyle w:val="Hyperlink"/>
          </w:rPr>
          <w:t>Aged Care Australia website</w:t>
        </w:r>
      </w:hyperlink>
      <w:r>
        <w:t xml:space="preserve"> for more information.</w:t>
      </w:r>
      <w:r>
        <w:rPr>
          <w:rStyle w:val="EndnoteReference"/>
        </w:rPr>
        <w:endnoteReference w:id="75"/>
      </w:r>
    </w:p>
    <w:p w:rsidR="001E7794" w:rsidRPr="001E1304" w:rsidRDefault="001E7794" w:rsidP="001E7794">
      <w:pPr>
        <w:pStyle w:val="Heading2"/>
        <w:numPr>
          <w:ilvl w:val="1"/>
          <w:numId w:val="37"/>
        </w:numPr>
      </w:pPr>
      <w:bookmarkStart w:id="29" w:name="_Toc350787889"/>
      <w:r>
        <w:t>Access to justice</w:t>
      </w:r>
      <w:bookmarkEnd w:id="29"/>
    </w:p>
    <w:p w:rsidR="001E7794" w:rsidRPr="003A5C8A" w:rsidRDefault="00C365DA" w:rsidP="001E7794">
      <w:pPr>
        <w:pStyle w:val="SubmissionNormal"/>
      </w:pPr>
      <w:r>
        <w:t xml:space="preserve">In addition to non-for-profit community legal centres, each state and territory has government funded </w:t>
      </w:r>
      <w:hyperlink r:id="rId32" w:history="1">
        <w:r w:rsidRPr="000A6733">
          <w:rPr>
            <w:rStyle w:val="Hyperlink"/>
          </w:rPr>
          <w:t>Legal Aid</w:t>
        </w:r>
      </w:hyperlink>
      <w:r>
        <w:t xml:space="preserve"> services that provide free legal advice and representation to eligible clients.</w:t>
      </w:r>
      <w:r w:rsidR="000A6733">
        <w:rPr>
          <w:rStyle w:val="EndnoteReference"/>
        </w:rPr>
        <w:endnoteReference w:id="76"/>
      </w:r>
      <w:r>
        <w:t xml:space="preserve"> The Australian Government also funds the </w:t>
      </w:r>
      <w:hyperlink r:id="rId33" w:history="1">
        <w:r w:rsidRPr="000A6733">
          <w:rPr>
            <w:rStyle w:val="Hyperlink"/>
          </w:rPr>
          <w:t>National Aged Care Advocacy Program</w:t>
        </w:r>
      </w:hyperlink>
      <w:r>
        <w:t xml:space="preserve">, </w:t>
      </w:r>
      <w:r w:rsidR="00A22503">
        <w:t xml:space="preserve">which </w:t>
      </w:r>
      <w:r w:rsidR="000A6733">
        <w:t>helps recipients of aged care services to understand and exercise their rights.</w:t>
      </w:r>
      <w:r w:rsidR="000A6733">
        <w:rPr>
          <w:rStyle w:val="EndnoteReference"/>
        </w:rPr>
        <w:endnoteReference w:id="77"/>
      </w:r>
    </w:p>
    <w:p w:rsidR="001E7794" w:rsidRPr="001E1304" w:rsidRDefault="001E7794" w:rsidP="001E7794">
      <w:pPr>
        <w:pStyle w:val="Heading2"/>
        <w:numPr>
          <w:ilvl w:val="1"/>
          <w:numId w:val="37"/>
        </w:numPr>
      </w:pPr>
      <w:bookmarkStart w:id="30" w:name="_Toc350787890"/>
      <w:r>
        <w:t>Health support</w:t>
      </w:r>
      <w:bookmarkEnd w:id="30"/>
    </w:p>
    <w:p w:rsidR="0009163C" w:rsidRDefault="001C61A8" w:rsidP="0009163C">
      <w:pPr>
        <w:pStyle w:val="SubmissionNormal"/>
      </w:pPr>
      <w:hyperlink r:id="rId34" w:history="1">
        <w:r w:rsidR="00F13F54">
          <w:rPr>
            <w:rStyle w:val="Hyperlink"/>
          </w:rPr>
          <w:t>Medicare</w:t>
        </w:r>
      </w:hyperlink>
      <w:r w:rsidR="0009163C">
        <w:t xml:space="preserve"> entitles all Australian and N</w:t>
      </w:r>
      <w:r w:rsidR="000657C1">
        <w:t xml:space="preserve">ew </w:t>
      </w:r>
      <w:r w:rsidR="0009163C">
        <w:t>Z</w:t>
      </w:r>
      <w:r w:rsidR="000657C1">
        <w:t>ealand</w:t>
      </w:r>
      <w:r w:rsidR="0009163C">
        <w:t xml:space="preserve"> citizens and permanent residents to free or subsidised health care.</w:t>
      </w:r>
      <w:r w:rsidR="00F13F54">
        <w:rPr>
          <w:rStyle w:val="EndnoteReference"/>
        </w:rPr>
        <w:endnoteReference w:id="78"/>
      </w:r>
      <w:r w:rsidR="0009163C">
        <w:t xml:space="preserve"> This includes treatment by doctors, specialists, optometrists, dentists and in some circumstances, other allied health practitioners as</w:t>
      </w:r>
      <w:r w:rsidR="000657C1">
        <w:t xml:space="preserve"> well as free accommodation in</w:t>
      </w:r>
      <w:r w:rsidR="0009163C">
        <w:t xml:space="preserve"> public hospital</w:t>
      </w:r>
      <w:r w:rsidR="000657C1">
        <w:t>s</w:t>
      </w:r>
      <w:r w:rsidR="0009163C">
        <w:t xml:space="preserve">. </w:t>
      </w:r>
      <w:r w:rsidR="00F13F54">
        <w:t>Subsidies are also available for private health insurance.</w:t>
      </w:r>
    </w:p>
    <w:p w:rsidR="0009163C" w:rsidRDefault="0009163C" w:rsidP="0009163C">
      <w:pPr>
        <w:pStyle w:val="SubmissionNormal"/>
      </w:pPr>
      <w:r>
        <w:t xml:space="preserve">The </w:t>
      </w:r>
      <w:hyperlink r:id="rId35" w:history="1">
        <w:r w:rsidRPr="0009163C">
          <w:rPr>
            <w:rStyle w:val="Hyperlink"/>
          </w:rPr>
          <w:t>Pharmaceutical Benefits Scheme</w:t>
        </w:r>
      </w:hyperlink>
      <w:r>
        <w:t xml:space="preserve"> is available to holders of a Medicare card and serves to subsidise the cost of prescription medicines.</w:t>
      </w:r>
      <w:r>
        <w:rPr>
          <w:rStyle w:val="EndnoteReference"/>
        </w:rPr>
        <w:endnoteReference w:id="79"/>
      </w:r>
      <w:r>
        <w:t xml:space="preserve"> Eligible Australians can also apply for the </w:t>
      </w:r>
      <w:hyperlink r:id="rId36" w:history="1">
        <w:r w:rsidRPr="00926F53">
          <w:rPr>
            <w:rStyle w:val="Hyperlink"/>
          </w:rPr>
          <w:t>Commonwealth Seniors Health Card</w:t>
        </w:r>
      </w:hyperlink>
      <w:r>
        <w:t>, which allows people of pension age to receive refunds for medical expenses and greater discounts on prescription medicines.</w:t>
      </w:r>
      <w:r w:rsidR="00926F53">
        <w:rPr>
          <w:rStyle w:val="EndnoteReference"/>
        </w:rPr>
        <w:endnoteReference w:id="80"/>
      </w:r>
      <w:r>
        <w:t xml:space="preserve"> The </w:t>
      </w:r>
      <w:hyperlink r:id="rId37" w:history="1">
        <w:r w:rsidRPr="00DC02E2">
          <w:rPr>
            <w:rStyle w:val="Hyperlink"/>
          </w:rPr>
          <w:t>Pensioner Concession Card</w:t>
        </w:r>
      </w:hyperlink>
      <w:r>
        <w:t xml:space="preserve"> is for recipients of the Age Pension and provides similar concessions to the Commonwealth Seniors Healthcare Card.</w:t>
      </w:r>
      <w:r w:rsidR="00DC02E2">
        <w:rPr>
          <w:rStyle w:val="EndnoteReference"/>
        </w:rPr>
        <w:endnoteReference w:id="81"/>
      </w:r>
    </w:p>
    <w:p w:rsidR="0009163C" w:rsidRDefault="0009163C" w:rsidP="0009163C">
      <w:pPr>
        <w:pStyle w:val="SubmissionNormal"/>
      </w:pPr>
      <w:r>
        <w:t xml:space="preserve">The Australian Government </w:t>
      </w:r>
      <w:r w:rsidR="00F13F54">
        <w:t>also provides</w:t>
      </w:r>
      <w:r>
        <w:t xml:space="preserve"> preventative health measures such as free immunisations and health screenings. Flu immunisations and pneumonia immunisations are available free for all Australians over 65.</w:t>
      </w:r>
      <w:r w:rsidR="006654EA">
        <w:rPr>
          <w:rStyle w:val="EndnoteReference"/>
        </w:rPr>
        <w:endnoteReference w:id="82"/>
      </w:r>
      <w:r>
        <w:t xml:space="preserve"> The National Bowel Cancer Screening Program is available free to Australians turning 50, 55 or 65 years old and Breast Cancer Screening is free </w:t>
      </w:r>
      <w:r w:rsidR="008F3580">
        <w:t>for all women between the ages 50-69</w:t>
      </w:r>
      <w:r>
        <w:t>.</w:t>
      </w:r>
      <w:r w:rsidR="008F3580">
        <w:rPr>
          <w:rStyle w:val="EndnoteReference"/>
        </w:rPr>
        <w:endnoteReference w:id="83"/>
      </w:r>
    </w:p>
    <w:p w:rsidR="0068534B" w:rsidRDefault="0009163C" w:rsidP="0009163C">
      <w:pPr>
        <w:pStyle w:val="SubmissionNormal"/>
      </w:pPr>
      <w:r>
        <w:t xml:space="preserve">The Government has also released the </w:t>
      </w:r>
      <w:hyperlink r:id="rId38" w:history="1">
        <w:r w:rsidRPr="00611CE9">
          <w:rPr>
            <w:rStyle w:val="Hyperlink"/>
          </w:rPr>
          <w:t>National Public Toilet Map</w:t>
        </w:r>
      </w:hyperlink>
      <w:r>
        <w:t xml:space="preserve"> to improve the independence and quality of life of Australians affected by incontinence.</w:t>
      </w:r>
      <w:r w:rsidR="00611CE9">
        <w:rPr>
          <w:rStyle w:val="EndnoteReference"/>
        </w:rPr>
        <w:endnoteReference w:id="84"/>
      </w:r>
    </w:p>
    <w:p w:rsidR="001E7794" w:rsidRPr="001E1304" w:rsidRDefault="001E7794" w:rsidP="001E7794">
      <w:pPr>
        <w:pStyle w:val="Heading2"/>
        <w:numPr>
          <w:ilvl w:val="1"/>
          <w:numId w:val="37"/>
        </w:numPr>
      </w:pPr>
      <w:bookmarkStart w:id="31" w:name="_Toc350787891"/>
      <w:r>
        <w:t>Long term and palliative care</w:t>
      </w:r>
      <w:bookmarkEnd w:id="31"/>
    </w:p>
    <w:p w:rsidR="00992AEF" w:rsidRDefault="00992AEF" w:rsidP="00992AEF">
      <w:pPr>
        <w:pStyle w:val="SubmissionNormal"/>
      </w:pPr>
      <w:r>
        <w:t xml:space="preserve">The Australian Government’s </w:t>
      </w:r>
      <w:hyperlink r:id="rId39" w:history="1">
        <w:r w:rsidRPr="0047059E">
          <w:rPr>
            <w:rStyle w:val="Hyperlink"/>
          </w:rPr>
          <w:t>Transition Care Program</w:t>
        </w:r>
      </w:hyperlink>
      <w:r>
        <w:t xml:space="preserve"> helps older people </w:t>
      </w:r>
      <w:r w:rsidR="0011479E">
        <w:t>regain their independence</w:t>
      </w:r>
      <w:r w:rsidR="00FC74B8" w:rsidRPr="00FC74B8">
        <w:t xml:space="preserve"> </w:t>
      </w:r>
      <w:r w:rsidR="00FC74B8">
        <w:t>after a hospital stay.</w:t>
      </w:r>
      <w:r w:rsidR="0047059E">
        <w:rPr>
          <w:rStyle w:val="EndnoteReference"/>
        </w:rPr>
        <w:endnoteReference w:id="85"/>
      </w:r>
    </w:p>
    <w:p w:rsidR="00992AEF" w:rsidRDefault="00F46B4C" w:rsidP="00992AEF">
      <w:pPr>
        <w:pStyle w:val="SubmissionNormal"/>
      </w:pPr>
      <w:r>
        <w:t xml:space="preserve">The </w:t>
      </w:r>
      <w:hyperlink r:id="rId40" w:history="1">
        <w:r w:rsidRPr="00087CA9">
          <w:rPr>
            <w:rStyle w:val="Hyperlink"/>
          </w:rPr>
          <w:t>National Palliative Care Service Directory</w:t>
        </w:r>
      </w:hyperlink>
      <w:r>
        <w:t xml:space="preserve"> provides a central database for locating palliative care services.</w:t>
      </w:r>
      <w:r>
        <w:rPr>
          <w:rStyle w:val="EndnoteReference"/>
        </w:rPr>
        <w:endnoteReference w:id="86"/>
      </w:r>
      <w:r>
        <w:t xml:space="preserve"> NGOs also provide</w:t>
      </w:r>
      <w:r w:rsidR="00992AEF">
        <w:t xml:space="preserve"> telephone counselling, mentoring and ongoing support to people facing a terminal illness and their families. </w:t>
      </w:r>
    </w:p>
    <w:p w:rsidR="008853C5" w:rsidRPr="003A5C8A" w:rsidRDefault="00992AEF" w:rsidP="00992AEF">
      <w:pPr>
        <w:pStyle w:val="SubmissionNormal"/>
      </w:pPr>
      <w:r>
        <w:t xml:space="preserve">The Government also provides some support for carers. For example, the </w:t>
      </w:r>
      <w:hyperlink r:id="rId41" w:history="1">
        <w:r w:rsidRPr="00031F23">
          <w:rPr>
            <w:rStyle w:val="Hyperlink"/>
          </w:rPr>
          <w:t>National Carer Counselling Program</w:t>
        </w:r>
      </w:hyperlink>
      <w:r>
        <w:t xml:space="preserve"> provides short-term counselling and emotional and psychological support services for carers to help reduce stress, improve coping skills and, if possible, facilitate continuation of the caring role.</w:t>
      </w:r>
      <w:r w:rsidR="00031F23">
        <w:rPr>
          <w:rStyle w:val="EndnoteReference"/>
        </w:rPr>
        <w:endnoteReference w:id="87"/>
      </w:r>
      <w:r w:rsidR="008853C5" w:rsidRPr="008853C5">
        <w:t xml:space="preserve">  </w:t>
      </w:r>
    </w:p>
    <w:p w:rsidR="001E7794" w:rsidRPr="001E1304" w:rsidRDefault="001E7794" w:rsidP="001E7794">
      <w:pPr>
        <w:pStyle w:val="Heading2"/>
        <w:numPr>
          <w:ilvl w:val="1"/>
          <w:numId w:val="37"/>
        </w:numPr>
      </w:pPr>
      <w:bookmarkStart w:id="32" w:name="_Toc350787892"/>
      <w:r>
        <w:t>Aged care</w:t>
      </w:r>
      <w:bookmarkEnd w:id="32"/>
    </w:p>
    <w:p w:rsidR="00071481" w:rsidRDefault="00071481" w:rsidP="00071481">
      <w:pPr>
        <w:pStyle w:val="SubmissionNormal"/>
      </w:pPr>
      <w:r>
        <w:t xml:space="preserve">Different kinds of aged care services are funded by the Australian Government and available through local care providers. Short term care services are available to older people who require temporary care. Respite care services are available in-home, in a community setting or in an aged care home through the National Respite for Carers program. The </w:t>
      </w:r>
      <w:r w:rsidR="00F46B4C">
        <w:t xml:space="preserve">Home and Community </w:t>
      </w:r>
      <w:r w:rsidR="00F46B4C">
        <w:lastRenderedPageBreak/>
        <w:t>Care (HACC)</w:t>
      </w:r>
      <w:r>
        <w:t xml:space="preserve"> program provides services to help older people live in their own homes for as long as possible. Senior Australians can choose from four different home care packages covering basic low-level aged care, more intensive low-level car</w:t>
      </w:r>
      <w:r w:rsidR="000657C1">
        <w:t>e, dementia care and consumer directed c</w:t>
      </w:r>
      <w:r>
        <w:t>are. The Government also funds a number of approved residential care facilities for older people who are unable to live at home. Some may provide special programs for particular conditions. Eligibility to enter residential aged care is based on the person’s care needs as assessed by an Aged Care Assessment Team.</w:t>
      </w:r>
      <w:r w:rsidR="00CF4590">
        <w:t xml:space="preserve"> See the </w:t>
      </w:r>
      <w:hyperlink r:id="rId42" w:history="1">
        <w:r w:rsidR="00CF4590" w:rsidRPr="00CF4590">
          <w:rPr>
            <w:rStyle w:val="Hyperlink"/>
          </w:rPr>
          <w:t>Department of Health and Ageing website</w:t>
        </w:r>
      </w:hyperlink>
      <w:r w:rsidR="00CF4590">
        <w:t xml:space="preserve"> for more information on the HACC program.</w:t>
      </w:r>
      <w:r w:rsidR="00CF4590">
        <w:rPr>
          <w:rStyle w:val="EndnoteReference"/>
        </w:rPr>
        <w:endnoteReference w:id="88"/>
      </w:r>
    </w:p>
    <w:p w:rsidR="00071481" w:rsidRDefault="00071481" w:rsidP="00071481">
      <w:pPr>
        <w:pStyle w:val="SubmissionNormal"/>
      </w:pPr>
      <w:r>
        <w:t xml:space="preserve">On 20 April 2012, the Australian Government launched the </w:t>
      </w:r>
      <w:hyperlink r:id="rId43" w:history="1">
        <w:r w:rsidR="00F46B4C">
          <w:rPr>
            <w:rStyle w:val="Hyperlink"/>
          </w:rPr>
          <w:t xml:space="preserve">Living Longer Living Better </w:t>
        </w:r>
      </w:hyperlink>
      <w:r>
        <w:t>aged care reform package.</w:t>
      </w:r>
      <w:r w:rsidR="00F46B4C">
        <w:rPr>
          <w:rStyle w:val="EndnoteReference"/>
        </w:rPr>
        <w:endnoteReference w:id="89"/>
      </w:r>
      <w:r>
        <w:t xml:space="preserve"> Th</w:t>
      </w:r>
      <w:r w:rsidR="00110AC5">
        <w:t>is package provides $3.7 Billion</w:t>
      </w:r>
      <w:r>
        <w:t xml:space="preserve"> over five years to implement a 10 year reform program </w:t>
      </w:r>
      <w:r w:rsidR="004A2BA1">
        <w:t>aimed at creating</w:t>
      </w:r>
      <w:r>
        <w:t xml:space="preserve"> a flexible aged care system that provides older Australians with more choice, control and easier access to a full range of services. </w:t>
      </w:r>
      <w:r w:rsidR="00230E1D">
        <w:t>I</w:t>
      </w:r>
      <w:r>
        <w:t xml:space="preserve">nitiatives </w:t>
      </w:r>
      <w:r w:rsidR="00230E1D">
        <w:t>include</w:t>
      </w:r>
      <w:r>
        <w:t xml:space="preserve"> the Living Longer Living Better package include the National Ageing and Aged Care Strategy for People from Culturally and Lin</w:t>
      </w:r>
      <w:r w:rsidR="00130749">
        <w:t>guistically Diverse Backgrounds;</w:t>
      </w:r>
      <w:r>
        <w:t xml:space="preserve"> National Lesbian, Gay, Bisexual, Transgender and Intersex Ageing and Aged Care Strategy</w:t>
      </w:r>
      <w:r w:rsidR="00130749">
        <w:t>;</w:t>
      </w:r>
      <w:r>
        <w:t xml:space="preserve"> </w:t>
      </w:r>
      <w:r w:rsidR="00130749">
        <w:t xml:space="preserve">National Aboriginal and Torres Strait Islander Flexible Aged Care Program </w:t>
      </w:r>
      <w:r>
        <w:t xml:space="preserve">and the Better HealthCare Connections: Aged Care Multidisciplinary Care Coordination and Advisory Service Program. </w:t>
      </w:r>
    </w:p>
    <w:p w:rsidR="001E7794" w:rsidRPr="001E1304" w:rsidRDefault="009A4F34" w:rsidP="001E7794">
      <w:pPr>
        <w:pStyle w:val="Heading2"/>
        <w:numPr>
          <w:ilvl w:val="1"/>
          <w:numId w:val="37"/>
        </w:numPr>
      </w:pPr>
      <w:bookmarkStart w:id="33" w:name="_Toc350787893"/>
      <w:r w:rsidRPr="00B971E0">
        <w:t>Vulnerable</w:t>
      </w:r>
      <w:r w:rsidR="001E7794">
        <w:t xml:space="preserve"> groups</w:t>
      </w:r>
      <w:bookmarkEnd w:id="33"/>
    </w:p>
    <w:p w:rsidR="0056247D" w:rsidRDefault="0056247D" w:rsidP="0056247D">
      <w:pPr>
        <w:pStyle w:val="SubmissionNormal"/>
      </w:pPr>
      <w:r>
        <w:t xml:space="preserve">A number of </w:t>
      </w:r>
      <w:r w:rsidR="009A4F34" w:rsidRPr="00B971E0">
        <w:t>vulnerable groups</w:t>
      </w:r>
      <w:r>
        <w:t xml:space="preserve"> are defined in the </w:t>
      </w:r>
      <w:r w:rsidRPr="000E1A0D">
        <w:rPr>
          <w:i/>
        </w:rPr>
        <w:t>Aged Care Act</w:t>
      </w:r>
      <w:r w:rsidR="000E1A0D">
        <w:rPr>
          <w:i/>
        </w:rPr>
        <w:t xml:space="preserve"> 1997 </w:t>
      </w:r>
      <w:r w:rsidR="000E1A0D">
        <w:t>(</w:t>
      </w:r>
      <w:proofErr w:type="spellStart"/>
      <w:r w:rsidR="000E1A0D">
        <w:t>Cth</w:t>
      </w:r>
      <w:proofErr w:type="spellEnd"/>
      <w:r w:rsidR="000E1A0D">
        <w:t>)</w:t>
      </w:r>
      <w:r w:rsidRPr="00BB4F08">
        <w:rPr>
          <w:i/>
        </w:rPr>
        <w:t xml:space="preserve"> </w:t>
      </w:r>
      <w:r>
        <w:t xml:space="preserve">and the </w:t>
      </w:r>
      <w:r w:rsidRPr="00BB4F08">
        <w:rPr>
          <w:i/>
        </w:rPr>
        <w:t>Allocation Principles 1997</w:t>
      </w:r>
      <w:r>
        <w:t xml:space="preserve"> (</w:t>
      </w:r>
      <w:proofErr w:type="spellStart"/>
      <w:r>
        <w:t>Cth</w:t>
      </w:r>
      <w:proofErr w:type="spellEnd"/>
      <w:r>
        <w:t>).  These include: people from Aboriginal and Torres Strait Islander communities, people from non-English speaking backgrounds, people who live in rural or remote areas, people who are finan</w:t>
      </w:r>
      <w:r w:rsidR="000657C1">
        <w:t>cially or socially disadvantaged</w:t>
      </w:r>
      <w:r>
        <w:t>, veterans, people who are homeless or at risk of becoming homeless, and care</w:t>
      </w:r>
      <w:r w:rsidR="004A2BA1">
        <w:t>-</w:t>
      </w:r>
      <w:r>
        <w:t>leavers.</w:t>
      </w:r>
    </w:p>
    <w:p w:rsidR="0056247D" w:rsidRPr="003A5C8A" w:rsidRDefault="0056247D" w:rsidP="0056247D">
      <w:pPr>
        <w:pStyle w:val="SubmissionNormal"/>
      </w:pPr>
      <w:r>
        <w:t>The Living Longer Living Better aged care package includ</w:t>
      </w:r>
      <w:r w:rsidR="000E1A0D">
        <w:t>es a total of $192 </w:t>
      </w:r>
      <w:r>
        <w:t xml:space="preserve">million to better support people with special needs. There are also a number of measures independent from the Living Longer Living Better package that are designed to meet the needs of these </w:t>
      </w:r>
      <w:r w:rsidR="009A4F34">
        <w:t>vulnerable</w:t>
      </w:r>
      <w:r>
        <w:t xml:space="preserve"> groups. </w:t>
      </w:r>
    </w:p>
    <w:p w:rsidR="0056247D" w:rsidRDefault="0056247D" w:rsidP="0056247D">
      <w:pPr>
        <w:pStyle w:val="SubmissionNormal"/>
        <w:ind w:hanging="567"/>
      </w:pPr>
      <w:r>
        <w:t xml:space="preserve">Apart from the Living Longer Living Better package, Australia administers the </w:t>
      </w:r>
      <w:hyperlink r:id="rId44" w:history="1">
        <w:r w:rsidRPr="00466AC4">
          <w:rPr>
            <w:rStyle w:val="Hyperlink"/>
          </w:rPr>
          <w:t>National Aboriginal and Torres Strait Islander Flexible Aged Care Program</w:t>
        </w:r>
      </w:hyperlink>
      <w:r>
        <w:t>, which aims to provide quality, flexible, culturally appropriate aged care to older Aboriginal and Torres Strait Islander people close to their home and community.</w:t>
      </w:r>
      <w:r>
        <w:rPr>
          <w:rStyle w:val="EndnoteReference"/>
        </w:rPr>
        <w:endnoteReference w:id="90"/>
      </w:r>
      <w:r>
        <w:t xml:space="preserve"> HACC also has a</w:t>
      </w:r>
      <w:r w:rsidR="00B07154">
        <w:t>n advisory body, the National</w:t>
      </w:r>
      <w:r>
        <w:t xml:space="preserve"> Aboriginal and Torres Strait Islander HACC Forum</w:t>
      </w:r>
      <w:r w:rsidR="00B07154">
        <w:t>, which provides input to policy</w:t>
      </w:r>
      <w:r>
        <w:t xml:space="preserve"> and planning on Indigenous matters.</w:t>
      </w:r>
      <w:r>
        <w:rPr>
          <w:rStyle w:val="EndnoteReference"/>
        </w:rPr>
        <w:endnoteReference w:id="91"/>
      </w:r>
    </w:p>
    <w:p w:rsidR="0056247D" w:rsidRDefault="0056247D" w:rsidP="0056247D">
      <w:pPr>
        <w:pStyle w:val="SubmissionNormal"/>
      </w:pPr>
      <w:r w:rsidRPr="00C648C9">
        <w:t xml:space="preserve">The </w:t>
      </w:r>
      <w:hyperlink r:id="rId45" w:history="1">
        <w:r w:rsidRPr="008A7256">
          <w:rPr>
            <w:rStyle w:val="Hyperlink"/>
          </w:rPr>
          <w:t>Remote Area Allowance</w:t>
        </w:r>
      </w:hyperlink>
      <w:r w:rsidRPr="00C648C9">
        <w:t xml:space="preserve"> is a payment that provides eligible people</w:t>
      </w:r>
      <w:r w:rsidR="00B07154">
        <w:t xml:space="preserve"> living in remote areas</w:t>
      </w:r>
      <w:r w:rsidRPr="00C648C9">
        <w:t xml:space="preserve"> with financial help. </w:t>
      </w:r>
      <w:r w:rsidR="00B07154">
        <w:t>It provides an</w:t>
      </w:r>
      <w:r w:rsidRPr="00C648C9">
        <w:t xml:space="preserve"> income support payment </w:t>
      </w:r>
      <w:r w:rsidR="00B07154">
        <w:t>similar to</w:t>
      </w:r>
      <w:r w:rsidRPr="00C648C9">
        <w:t xml:space="preserve"> the age pension or disability support pension.</w:t>
      </w:r>
      <w:r>
        <w:rPr>
          <w:rStyle w:val="EndnoteReference"/>
        </w:rPr>
        <w:endnoteReference w:id="92"/>
      </w:r>
    </w:p>
    <w:p w:rsidR="0056247D" w:rsidRPr="00836428" w:rsidRDefault="0056247D" w:rsidP="0056247D">
      <w:pPr>
        <w:pStyle w:val="SubmissionNormal"/>
      </w:pPr>
      <w:r w:rsidRPr="00836428">
        <w:t xml:space="preserve">The Australian Government </w:t>
      </w:r>
      <w:r w:rsidR="000657C1">
        <w:t xml:space="preserve">also </w:t>
      </w:r>
      <w:r w:rsidRPr="00836428">
        <w:t xml:space="preserve">has a number of programs and concessions to assist older veterans and their families. </w:t>
      </w:r>
      <w:hyperlink r:id="rId46" w:history="1">
        <w:r w:rsidRPr="00836428">
          <w:rPr>
            <w:rStyle w:val="Hyperlink"/>
          </w:rPr>
          <w:t xml:space="preserve">Veterans and Veterans’ Families </w:t>
        </w:r>
        <w:r w:rsidRPr="00836428">
          <w:rPr>
            <w:rStyle w:val="Hyperlink"/>
          </w:rPr>
          <w:lastRenderedPageBreak/>
          <w:t>Counselling Service</w:t>
        </w:r>
      </w:hyperlink>
      <w:r w:rsidRPr="00836428">
        <w:t xml:space="preserve"> provides counselling and group programs to Australian veterans, peacekeepers and their families.</w:t>
      </w:r>
      <w:r w:rsidR="00836428">
        <w:rPr>
          <w:rStyle w:val="EndnoteReference"/>
        </w:rPr>
        <w:endnoteReference w:id="93"/>
      </w:r>
      <w:r w:rsidRPr="00836428">
        <w:t xml:space="preserve"> The </w:t>
      </w:r>
      <w:hyperlink r:id="rId47" w:history="1">
        <w:r w:rsidR="006B384F">
          <w:rPr>
            <w:rStyle w:val="Hyperlink"/>
          </w:rPr>
          <w:t>Crisis Assistance Time Out Program</w:t>
        </w:r>
      </w:hyperlink>
      <w:r w:rsidR="000657C1">
        <w:t xml:space="preserve"> </w:t>
      </w:r>
      <w:r w:rsidRPr="00836428">
        <w:t>is designed to assist Vietnam veterans who are experiencing a crisis by providing counselling and short-term emergency accommodation for up to five days.</w:t>
      </w:r>
      <w:r w:rsidR="003128F0">
        <w:rPr>
          <w:rStyle w:val="EndnoteReference"/>
        </w:rPr>
        <w:endnoteReference w:id="94"/>
      </w:r>
      <w:r w:rsidRPr="00836428">
        <w:t xml:space="preserve"> There is also </w:t>
      </w:r>
      <w:hyperlink r:id="rId48" w:history="1">
        <w:r w:rsidRPr="000372B2">
          <w:rPr>
            <w:rStyle w:val="Hyperlink"/>
          </w:rPr>
          <w:t>Veterans</w:t>
        </w:r>
        <w:r w:rsidR="000F3F6A">
          <w:rPr>
            <w:rStyle w:val="Hyperlink"/>
          </w:rPr>
          <w:t>’</w:t>
        </w:r>
        <w:r w:rsidRPr="000372B2">
          <w:rPr>
            <w:rStyle w:val="Hyperlink"/>
          </w:rPr>
          <w:t xml:space="preserve"> Home Care</w:t>
        </w:r>
      </w:hyperlink>
      <w:r w:rsidRPr="00836428">
        <w:t>, which provides a range of home support services to help eligible veterans and war widows/widowers remain in their homes.</w:t>
      </w:r>
      <w:r w:rsidR="000372B2">
        <w:rPr>
          <w:rStyle w:val="EndnoteReference"/>
        </w:rPr>
        <w:endnoteReference w:id="95"/>
      </w:r>
      <w:r w:rsidRPr="00836428">
        <w:t xml:space="preserve"> </w:t>
      </w:r>
    </w:p>
    <w:p w:rsidR="00B34946" w:rsidRPr="00DD425D" w:rsidRDefault="001E7794" w:rsidP="00B34946">
      <w:pPr>
        <w:pStyle w:val="Heading1"/>
        <w:numPr>
          <w:ilvl w:val="0"/>
          <w:numId w:val="37"/>
        </w:numPr>
      </w:pPr>
      <w:bookmarkStart w:id="34" w:name="_Toc350787894"/>
      <w:bookmarkEnd w:id="22"/>
      <w:r>
        <w:t>Conclusion</w:t>
      </w:r>
      <w:bookmarkEnd w:id="34"/>
    </w:p>
    <w:p w:rsidR="00ED05B3" w:rsidRDefault="00ED05B3" w:rsidP="00ED05B3">
      <w:pPr>
        <w:pStyle w:val="SubmissionNormal"/>
      </w:pPr>
      <w:r>
        <w:t xml:space="preserve">The Commission strongly supports the development of a convention for older people and is taking steps to meet with relevant stakeholder groups and government ministers to encourage support for a new convention. While Australia is in a </w:t>
      </w:r>
      <w:r w:rsidR="000E1A0D">
        <w:t xml:space="preserve">relatively </w:t>
      </w:r>
      <w:r>
        <w:t>privileged position</w:t>
      </w:r>
      <w:r w:rsidR="00C12D4A">
        <w:t>,</w:t>
      </w:r>
      <w:r>
        <w:t xml:space="preserve"> </w:t>
      </w:r>
      <w:r w:rsidR="00C12D4A">
        <w:t>having</w:t>
      </w:r>
      <w:r>
        <w:t xml:space="preserve"> a wide range of domestic protections for older people, a convention would provide significant enhancements to the coverage of</w:t>
      </w:r>
      <w:r w:rsidR="004628E3">
        <w:t xml:space="preserve"> rights and bring older Australians under the scope of Australia’s human rights scrutiny provisions.</w:t>
      </w:r>
    </w:p>
    <w:p w:rsidR="00ED05B3" w:rsidRDefault="00ED05B3" w:rsidP="00ED05B3">
      <w:pPr>
        <w:pStyle w:val="SubmissionNormal"/>
      </w:pPr>
      <w:r>
        <w:t xml:space="preserve">Reporting on her recent presentation at the UN’s </w:t>
      </w:r>
      <w:r w:rsidRPr="00842827">
        <w:rPr>
          <w:lang w:val="en"/>
        </w:rPr>
        <w:t xml:space="preserve">Open Ended Working Group on Older People, Australia’s Age Discrimination Commissioner </w:t>
      </w:r>
      <w:r>
        <w:t>recommend</w:t>
      </w:r>
      <w:r w:rsidR="00866296">
        <w:t>ed</w:t>
      </w:r>
      <w:r>
        <w:t xml:space="preserve"> that the Australian </w:t>
      </w:r>
      <w:r w:rsidR="003D5238">
        <w:t>G</w:t>
      </w:r>
      <w:r>
        <w:t>overnment affirm formal support for the drafting process of a convention on the rights of older people, as</w:t>
      </w:r>
      <w:r w:rsidR="004628E3">
        <w:t xml:space="preserve"> follows</w:t>
      </w:r>
      <w:r>
        <w:t>:</w:t>
      </w:r>
    </w:p>
    <w:p w:rsidR="00ED05B3" w:rsidRDefault="00866296" w:rsidP="00ED05B3">
      <w:pPr>
        <w:pStyle w:val="SubmissionNormal"/>
        <w:numPr>
          <w:ilvl w:val="0"/>
          <w:numId w:val="42"/>
        </w:numPr>
        <w:spacing w:before="0" w:after="0"/>
        <w:ind w:left="1134" w:hanging="357"/>
      </w:pPr>
      <w:r>
        <w:t>a</w:t>
      </w:r>
      <w:r w:rsidR="00ED05B3">
        <w:t xml:space="preserve"> convention would provide coherence and strength to a national approach on the human rights of older Australians;</w:t>
      </w:r>
    </w:p>
    <w:p w:rsidR="00ED05B3" w:rsidRDefault="00ED05B3" w:rsidP="00ED05B3">
      <w:pPr>
        <w:pStyle w:val="SubmissionNormal"/>
        <w:numPr>
          <w:ilvl w:val="0"/>
          <w:numId w:val="42"/>
        </w:numPr>
        <w:spacing w:before="0" w:after="0"/>
        <w:ind w:left="1134" w:hanging="357"/>
      </w:pPr>
      <w:r>
        <w:t>Australia is emerging as a world leader in the protection of older people and has a role to assist countries where protections of older people are less well developed; and</w:t>
      </w:r>
    </w:p>
    <w:p w:rsidR="00ED05B3" w:rsidRDefault="00ED05B3" w:rsidP="00ED05B3">
      <w:pPr>
        <w:pStyle w:val="SubmissionNormal"/>
        <w:numPr>
          <w:ilvl w:val="0"/>
          <w:numId w:val="42"/>
        </w:numPr>
        <w:spacing w:before="0" w:after="0"/>
        <w:ind w:left="1134" w:hanging="357"/>
      </w:pPr>
      <w:r>
        <w:t xml:space="preserve">Australia should take account of the growing support for a convention among member states including support from Indonesia and Malaysia as important regional neighbours. </w:t>
      </w:r>
    </w:p>
    <w:p w:rsidR="00EB6A76" w:rsidRPr="00A96892" w:rsidRDefault="00ED05B3" w:rsidP="00B63D24">
      <w:pPr>
        <w:pStyle w:val="SubmissionNormal"/>
      </w:pPr>
      <w:r>
        <w:t xml:space="preserve">Australia’s Age </w:t>
      </w:r>
      <w:r w:rsidR="0079477D">
        <w:t>Discrimination</w:t>
      </w:r>
      <w:r>
        <w:t xml:space="preserve"> Commissioner has been invited to the upcoming inter-sessional public consultation and will attend in Geneva on 15</w:t>
      </w:r>
      <w:r w:rsidRPr="00CC7428">
        <w:rPr>
          <w:vertAlign w:val="superscript"/>
        </w:rPr>
        <w:t xml:space="preserve"> </w:t>
      </w:r>
      <w:r>
        <w:t>April 2013.</w:t>
      </w:r>
    </w:p>
    <w:sectPr w:rsidR="00EB6A76" w:rsidRPr="00A96892" w:rsidSect="00B63D24">
      <w:headerReference w:type="even" r:id="rId49"/>
      <w:headerReference w:type="default" r:id="rId50"/>
      <w:footerReference w:type="default" r:id="rId51"/>
      <w:headerReference w:type="first" r:id="rId52"/>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FFF" w:rsidRDefault="00306FFF" w:rsidP="00F14C6D">
      <w:r>
        <w:separator/>
      </w:r>
    </w:p>
  </w:endnote>
  <w:endnote w:type="continuationSeparator" w:id="0">
    <w:p w:rsidR="00306FFF" w:rsidRDefault="00306FFF" w:rsidP="00F14C6D">
      <w:r>
        <w:continuationSeparator/>
      </w:r>
    </w:p>
  </w:endnote>
  <w:endnote w:id="1">
    <w:p w:rsidR="00306FFF" w:rsidRDefault="00306FFF" w:rsidP="004D2FFA">
      <w:pPr>
        <w:pStyle w:val="EndnoteText"/>
      </w:pPr>
      <w:r>
        <w:rPr>
          <w:rStyle w:val="EndnoteReference"/>
        </w:rPr>
        <w:endnoteRef/>
      </w:r>
      <w:r>
        <w:t xml:space="preserve"> </w:t>
      </w:r>
      <w:r w:rsidRPr="00B958AC">
        <w:rPr>
          <w:lang w:val="en"/>
        </w:rPr>
        <w:t xml:space="preserve">Australian Bureau of Statistics, </w:t>
      </w:r>
      <w:r>
        <w:rPr>
          <w:i/>
          <w:lang w:val="en"/>
        </w:rPr>
        <w:t>Life expectancy trends – Australia</w:t>
      </w:r>
      <w:r>
        <w:rPr>
          <w:lang w:val="en"/>
        </w:rPr>
        <w:t xml:space="preserve">, </w:t>
      </w:r>
      <w:r w:rsidRPr="0011157E">
        <w:rPr>
          <w:iCs/>
          <w:lang w:val="en"/>
        </w:rPr>
        <w:t>Australian social trends</w:t>
      </w:r>
      <w:r>
        <w:rPr>
          <w:lang w:val="en"/>
        </w:rPr>
        <w:t>, Catalogue N</w:t>
      </w:r>
      <w:r w:rsidRPr="00B958AC">
        <w:rPr>
          <w:lang w:val="en"/>
        </w:rPr>
        <w:t>o</w:t>
      </w:r>
      <w:r>
        <w:rPr>
          <w:lang w:val="en"/>
        </w:rPr>
        <w:t>.</w:t>
      </w:r>
      <w:r w:rsidRPr="00B958AC">
        <w:rPr>
          <w:lang w:val="en"/>
        </w:rPr>
        <w:t xml:space="preserve"> 4102.0 (2011). At http://www.abs.gov.au/AUSSTATS/abs@.nsf/Lookup/4102.0Main+Features10Mar+2011 (viewed 14 May 2012).</w:t>
      </w:r>
    </w:p>
  </w:endnote>
  <w:endnote w:id="2">
    <w:p w:rsidR="00306FFF" w:rsidRPr="0073300B" w:rsidRDefault="00306FFF" w:rsidP="004D2FFA">
      <w:pPr>
        <w:autoSpaceDE w:val="0"/>
        <w:autoSpaceDN w:val="0"/>
        <w:adjustRightInd w:val="0"/>
        <w:spacing w:before="0" w:after="0"/>
        <w:rPr>
          <w:rFonts w:cs="Arial"/>
          <w:i/>
          <w:sz w:val="20"/>
          <w:szCs w:val="20"/>
        </w:rPr>
      </w:pPr>
      <w:r>
        <w:rPr>
          <w:rStyle w:val="EndnoteReference"/>
        </w:rPr>
        <w:endnoteRef/>
      </w:r>
      <w:r>
        <w:t xml:space="preserve"> </w:t>
      </w:r>
      <w:r w:rsidRPr="003A6CFB">
        <w:rPr>
          <w:rFonts w:cs="Arial"/>
          <w:sz w:val="20"/>
          <w:szCs w:val="20"/>
        </w:rPr>
        <w:t>Australian Institute of Health and Welfare</w:t>
      </w:r>
      <w:r>
        <w:rPr>
          <w:rFonts w:cs="Arial"/>
          <w:sz w:val="20"/>
          <w:szCs w:val="20"/>
        </w:rPr>
        <w:t>,</w:t>
      </w:r>
      <w:r w:rsidRPr="003A6CFB">
        <w:rPr>
          <w:rFonts w:cs="Arial"/>
          <w:sz w:val="20"/>
          <w:szCs w:val="20"/>
        </w:rPr>
        <w:t xml:space="preserve"> </w:t>
      </w:r>
      <w:r w:rsidRPr="0073300B">
        <w:rPr>
          <w:rFonts w:cs="Arial"/>
          <w:i/>
          <w:sz w:val="20"/>
          <w:szCs w:val="20"/>
        </w:rPr>
        <w:t>Aged care</w:t>
      </w:r>
      <w:r>
        <w:rPr>
          <w:rFonts w:cs="Arial"/>
          <w:i/>
          <w:sz w:val="20"/>
          <w:szCs w:val="20"/>
        </w:rPr>
        <w:t xml:space="preserve"> packages in the community 2010-</w:t>
      </w:r>
      <w:r w:rsidRPr="0073300B">
        <w:rPr>
          <w:rFonts w:cs="Arial"/>
          <w:i/>
          <w:sz w:val="20"/>
          <w:szCs w:val="20"/>
        </w:rPr>
        <w:t>11: a</w:t>
      </w:r>
    </w:p>
    <w:p w:rsidR="00306FFF" w:rsidRDefault="00306FFF" w:rsidP="004D2FFA">
      <w:pPr>
        <w:pStyle w:val="EndnoteText"/>
      </w:pPr>
      <w:proofErr w:type="gramStart"/>
      <w:r w:rsidRPr="0073300B">
        <w:rPr>
          <w:rFonts w:cs="Arial"/>
          <w:i/>
        </w:rPr>
        <w:t>statistical</w:t>
      </w:r>
      <w:proofErr w:type="gramEnd"/>
      <w:r w:rsidRPr="0073300B">
        <w:rPr>
          <w:rFonts w:cs="Arial"/>
          <w:i/>
        </w:rPr>
        <w:t xml:space="preserve"> overview</w:t>
      </w:r>
      <w:r>
        <w:rPr>
          <w:rFonts w:cs="Arial"/>
        </w:rPr>
        <w:t>, Series No. 37, C</w:t>
      </w:r>
      <w:r w:rsidRPr="003A6CFB">
        <w:rPr>
          <w:rFonts w:cs="Arial"/>
        </w:rPr>
        <w:t>at</w:t>
      </w:r>
      <w:r>
        <w:rPr>
          <w:rFonts w:cs="Arial"/>
        </w:rPr>
        <w:t>alogue N</w:t>
      </w:r>
      <w:r w:rsidRPr="003A6CFB">
        <w:rPr>
          <w:rFonts w:cs="Arial"/>
        </w:rPr>
        <w:t xml:space="preserve">o. </w:t>
      </w:r>
      <w:proofErr w:type="gramStart"/>
      <w:r w:rsidRPr="003A6CFB">
        <w:rPr>
          <w:rFonts w:cs="Arial"/>
        </w:rPr>
        <w:t xml:space="preserve">AGE 69 </w:t>
      </w:r>
      <w:r>
        <w:rPr>
          <w:rFonts w:cs="Arial"/>
        </w:rPr>
        <w:t>(2012)</w:t>
      </w:r>
      <w:r w:rsidRPr="003A6CFB">
        <w:rPr>
          <w:rFonts w:cs="Arial"/>
        </w:rPr>
        <w:t>, p 122.</w:t>
      </w:r>
      <w:proofErr w:type="gramEnd"/>
      <w:r w:rsidRPr="003A6CFB">
        <w:rPr>
          <w:rFonts w:cs="Arial"/>
        </w:rPr>
        <w:t xml:space="preserve"> At </w:t>
      </w:r>
      <w:r w:rsidRPr="00342314">
        <w:rPr>
          <w:rFonts w:cs="Arial"/>
        </w:rPr>
        <w:t>http://www.aihw.gov.au/publication-detail/?id=10737422820</w:t>
      </w:r>
      <w:r w:rsidRPr="003A6CFB">
        <w:rPr>
          <w:rFonts w:cs="Arial"/>
        </w:rPr>
        <w:t xml:space="preserve"> (viewed 8 October 2012)</w:t>
      </w:r>
      <w:r>
        <w:rPr>
          <w:rFonts w:cs="Arial"/>
        </w:rPr>
        <w:t>.</w:t>
      </w:r>
    </w:p>
  </w:endnote>
  <w:endnote w:id="3">
    <w:p w:rsidR="00306FFF" w:rsidRDefault="00306FFF" w:rsidP="004D2FFA">
      <w:pPr>
        <w:pStyle w:val="EndnoteText"/>
      </w:pPr>
      <w:r>
        <w:rPr>
          <w:rStyle w:val="EndnoteReference"/>
        </w:rPr>
        <w:endnoteRef/>
      </w:r>
      <w:r>
        <w:t xml:space="preserve"> </w:t>
      </w:r>
      <w:r w:rsidRPr="00342314">
        <w:t xml:space="preserve">Australian Bureau of Statistics, </w:t>
      </w:r>
      <w:r>
        <w:rPr>
          <w:i/>
        </w:rPr>
        <w:t>Life expectancy t</w:t>
      </w:r>
      <w:r w:rsidRPr="000849D5">
        <w:rPr>
          <w:i/>
        </w:rPr>
        <w:t>rends</w:t>
      </w:r>
      <w:r>
        <w:rPr>
          <w:i/>
        </w:rPr>
        <w:t xml:space="preserve"> – Australia</w:t>
      </w:r>
      <w:r w:rsidRPr="00342314">
        <w:t xml:space="preserve">, </w:t>
      </w:r>
      <w:r>
        <w:t xml:space="preserve">Australian social trends, Catalogue No. </w:t>
      </w:r>
      <w:r w:rsidRPr="00342314">
        <w:t xml:space="preserve">4102.0 </w:t>
      </w:r>
      <w:r>
        <w:t>(</w:t>
      </w:r>
      <w:r w:rsidRPr="00342314">
        <w:t>2011</w:t>
      </w:r>
      <w:r>
        <w:t>). At</w:t>
      </w:r>
      <w:r w:rsidRPr="00342314">
        <w:t xml:space="preserve"> http://www.abs.gov.au/AUSSTATS/abs@.nsf/Lookup/4102.0Main+Features10Mar+2011 (viewed 24 January 2012)</w:t>
      </w:r>
      <w:r>
        <w:t>.</w:t>
      </w:r>
    </w:p>
  </w:endnote>
  <w:endnote w:id="4">
    <w:p w:rsidR="00306FFF" w:rsidRDefault="00306FFF">
      <w:pPr>
        <w:pStyle w:val="EndnoteText"/>
      </w:pPr>
      <w:r>
        <w:rPr>
          <w:rStyle w:val="EndnoteReference"/>
        </w:rPr>
        <w:endnoteRef/>
      </w:r>
      <w:r>
        <w:t xml:space="preserve"> </w:t>
      </w:r>
      <w:r w:rsidRPr="00D83D38">
        <w:t xml:space="preserve">Australian Medical Association, </w:t>
      </w:r>
      <w:r>
        <w:rPr>
          <w:i/>
        </w:rPr>
        <w:t>Funding of residential aged care</w:t>
      </w:r>
      <w:r w:rsidRPr="00D83D38">
        <w:rPr>
          <w:i/>
        </w:rPr>
        <w:t xml:space="preserve"> 2011</w:t>
      </w:r>
      <w:r>
        <w:t>, AMA Position Statement</w:t>
      </w:r>
      <w:r w:rsidRPr="00D83D38">
        <w:t xml:space="preserve"> (2011), p 1. At http://ama.com.au/node/7322 (viewed 24 July 2012).</w:t>
      </w:r>
    </w:p>
  </w:endnote>
  <w:endnote w:id="5">
    <w:p w:rsidR="00306FFF" w:rsidRDefault="00306FFF" w:rsidP="009B5BAF">
      <w:pPr>
        <w:pStyle w:val="EndnoteText"/>
      </w:pPr>
      <w:r>
        <w:rPr>
          <w:rStyle w:val="EndnoteReference"/>
        </w:rPr>
        <w:endnoteRef/>
      </w:r>
      <w:r>
        <w:t xml:space="preserve"> </w:t>
      </w:r>
      <w:r w:rsidRPr="00283022">
        <w:rPr>
          <w:lang w:val="en"/>
        </w:rPr>
        <w:t xml:space="preserve">Commonwealth of Australia, </w:t>
      </w:r>
      <w:r>
        <w:rPr>
          <w:i/>
          <w:iCs/>
          <w:lang w:val="en"/>
        </w:rPr>
        <w:t>Australia to 2050: future c</w:t>
      </w:r>
      <w:r w:rsidRPr="00283022">
        <w:rPr>
          <w:i/>
          <w:iCs/>
          <w:lang w:val="en"/>
        </w:rPr>
        <w:t>hallenges</w:t>
      </w:r>
      <w:r w:rsidRPr="00283022">
        <w:rPr>
          <w:lang w:val="en"/>
        </w:rPr>
        <w:t>, The Treasury (2010), p 57. At http://archive.treasury.gov.au/igr/igr2010/default.asp</w:t>
      </w:r>
      <w:r>
        <w:rPr>
          <w:lang w:val="en"/>
        </w:rPr>
        <w:t xml:space="preserve"> (viewed 24 July 2012).</w:t>
      </w:r>
    </w:p>
  </w:endnote>
  <w:endnote w:id="6">
    <w:p w:rsidR="00306FFF" w:rsidRDefault="00306FFF">
      <w:pPr>
        <w:pStyle w:val="EndnoteText"/>
      </w:pPr>
      <w:r>
        <w:rPr>
          <w:rStyle w:val="EndnoteReference"/>
        </w:rPr>
        <w:endnoteRef/>
      </w:r>
      <w:r>
        <w:t xml:space="preserve"> </w:t>
      </w:r>
      <w:r>
        <w:rPr>
          <w:lang w:val="en"/>
        </w:rPr>
        <w:t xml:space="preserve">T </w:t>
      </w:r>
      <w:proofErr w:type="spellStart"/>
      <w:r>
        <w:rPr>
          <w:lang w:val="en"/>
        </w:rPr>
        <w:t>Drabsch</w:t>
      </w:r>
      <w:proofErr w:type="spellEnd"/>
      <w:r>
        <w:rPr>
          <w:lang w:val="en"/>
        </w:rPr>
        <w:t>,</w:t>
      </w:r>
      <w:r w:rsidRPr="00A54BA3">
        <w:rPr>
          <w:lang w:val="en"/>
        </w:rPr>
        <w:t xml:space="preserve"> </w:t>
      </w:r>
      <w:r w:rsidRPr="00877C4D">
        <w:rPr>
          <w:i/>
          <w:lang w:val="en"/>
        </w:rPr>
        <w:t>Preparing for the impact of dementia</w:t>
      </w:r>
      <w:r>
        <w:rPr>
          <w:lang w:val="en"/>
        </w:rPr>
        <w:t>, Briefing Paper N</w:t>
      </w:r>
      <w:r w:rsidRPr="00A54BA3">
        <w:rPr>
          <w:lang w:val="en"/>
        </w:rPr>
        <w:t>o. 04/2006</w:t>
      </w:r>
      <w:r>
        <w:rPr>
          <w:lang w:val="en"/>
        </w:rPr>
        <w:t>,</w:t>
      </w:r>
      <w:r w:rsidRPr="00877C4D">
        <w:rPr>
          <w:lang w:val="en"/>
        </w:rPr>
        <w:t xml:space="preserve"> </w:t>
      </w:r>
      <w:r w:rsidRPr="00A54BA3">
        <w:rPr>
          <w:lang w:val="en"/>
        </w:rPr>
        <w:t>NSW Parliamentary Library Research Services</w:t>
      </w:r>
      <w:r>
        <w:rPr>
          <w:lang w:val="en"/>
        </w:rPr>
        <w:t xml:space="preserve"> (2006). At</w:t>
      </w:r>
      <w:r w:rsidRPr="00A54BA3">
        <w:rPr>
          <w:lang w:val="en"/>
        </w:rPr>
        <w:t xml:space="preserve"> http://www.parliament.nsw.gov.au/prod/parlment/publications.nsf/key/Preparingfortheimpactofdementia (viewed 8 February 2012)</w:t>
      </w:r>
      <w:r>
        <w:rPr>
          <w:lang w:val="en"/>
        </w:rPr>
        <w:t>.</w:t>
      </w:r>
    </w:p>
  </w:endnote>
  <w:endnote w:id="7">
    <w:p w:rsidR="00306FFF" w:rsidRDefault="00306FFF">
      <w:pPr>
        <w:pStyle w:val="EndnoteText"/>
      </w:pPr>
      <w:r>
        <w:rPr>
          <w:rStyle w:val="EndnoteReference"/>
        </w:rPr>
        <w:endnoteRef/>
      </w:r>
      <w:r>
        <w:t xml:space="preserve"> </w:t>
      </w:r>
      <w:r w:rsidRPr="00C11F35">
        <w:rPr>
          <w:lang w:val="en"/>
        </w:rPr>
        <w:t xml:space="preserve">Commonwealth of Australia, </w:t>
      </w:r>
      <w:r w:rsidRPr="00C11F35">
        <w:rPr>
          <w:i/>
          <w:iCs/>
          <w:lang w:val="en"/>
        </w:rPr>
        <w:t xml:space="preserve">Caring for </w:t>
      </w:r>
      <w:r>
        <w:rPr>
          <w:i/>
          <w:iCs/>
          <w:lang w:val="en"/>
        </w:rPr>
        <w:t>o</w:t>
      </w:r>
      <w:r w:rsidRPr="00C11F35">
        <w:rPr>
          <w:i/>
          <w:iCs/>
          <w:lang w:val="en"/>
        </w:rPr>
        <w:t>lder Australians,</w:t>
      </w:r>
      <w:r w:rsidRPr="00C11F35">
        <w:rPr>
          <w:lang w:val="en"/>
        </w:rPr>
        <w:t xml:space="preserve"> Report No. 53, Productivity Commission (2011),</w:t>
      </w:r>
      <w:r w:rsidRPr="00C11F35">
        <w:rPr>
          <w:i/>
          <w:iCs/>
          <w:lang w:val="en"/>
        </w:rPr>
        <w:t xml:space="preserve"> </w:t>
      </w:r>
      <w:r>
        <w:rPr>
          <w:lang w:val="en"/>
        </w:rPr>
        <w:t>p 37</w:t>
      </w:r>
      <w:r w:rsidRPr="00C11F35">
        <w:rPr>
          <w:lang w:val="en"/>
        </w:rPr>
        <w:t>. At http://www.pc.gov.au/projects/inquiry/aged-care/report</w:t>
      </w:r>
      <w:r>
        <w:rPr>
          <w:lang w:val="en"/>
        </w:rPr>
        <w:t xml:space="preserve"> (viewed 3 May 2012).</w:t>
      </w:r>
    </w:p>
  </w:endnote>
  <w:endnote w:id="8">
    <w:p w:rsidR="00306FFF" w:rsidRDefault="00306FFF">
      <w:pPr>
        <w:pStyle w:val="EndnoteText"/>
      </w:pPr>
      <w:r>
        <w:rPr>
          <w:rStyle w:val="EndnoteReference"/>
        </w:rPr>
        <w:endnoteRef/>
      </w:r>
      <w:r>
        <w:t xml:space="preserve"> </w:t>
      </w:r>
      <w:r w:rsidRPr="00C11F35">
        <w:rPr>
          <w:lang w:val="en"/>
        </w:rPr>
        <w:t xml:space="preserve">Commonwealth of Australia, </w:t>
      </w:r>
      <w:r w:rsidRPr="00C11F35">
        <w:rPr>
          <w:i/>
          <w:iCs/>
          <w:lang w:val="en"/>
        </w:rPr>
        <w:t xml:space="preserve">Caring for </w:t>
      </w:r>
      <w:r>
        <w:rPr>
          <w:i/>
          <w:iCs/>
          <w:lang w:val="en"/>
        </w:rPr>
        <w:t>o</w:t>
      </w:r>
      <w:r w:rsidRPr="00C11F35">
        <w:rPr>
          <w:i/>
          <w:iCs/>
          <w:lang w:val="en"/>
        </w:rPr>
        <w:t>lder Australians,</w:t>
      </w:r>
      <w:r w:rsidRPr="00C11F35">
        <w:rPr>
          <w:lang w:val="en"/>
        </w:rPr>
        <w:t xml:space="preserve"> Report No. 53,</w:t>
      </w:r>
      <w:r>
        <w:rPr>
          <w:lang w:val="en"/>
        </w:rPr>
        <w:t xml:space="preserve"> Productivity Commission (2011)</w:t>
      </w:r>
      <w:r w:rsidRPr="00C11F35">
        <w:rPr>
          <w:lang w:val="en"/>
        </w:rPr>
        <w:t>. At http://www.pc.gov.au/projects/inquiry/aged-care/report</w:t>
      </w:r>
      <w:r>
        <w:rPr>
          <w:lang w:val="en"/>
        </w:rPr>
        <w:t xml:space="preserve"> (viewed 3 May 2012).</w:t>
      </w:r>
    </w:p>
  </w:endnote>
  <w:endnote w:id="9">
    <w:p w:rsidR="00306FFF" w:rsidRDefault="00306FFF">
      <w:pPr>
        <w:pStyle w:val="EndnoteText"/>
      </w:pPr>
      <w:r>
        <w:rPr>
          <w:rStyle w:val="EndnoteReference"/>
        </w:rPr>
        <w:endnoteRef/>
      </w:r>
      <w:r>
        <w:t xml:space="preserve"> </w:t>
      </w:r>
      <w:bookmarkStart w:id="10" w:name="fn30"/>
      <w:bookmarkEnd w:id="10"/>
      <w:r w:rsidRPr="0024474C">
        <w:rPr>
          <w:lang w:val="en"/>
        </w:rPr>
        <w:t xml:space="preserve">Commonwealth of Australia, </w:t>
      </w:r>
      <w:r>
        <w:rPr>
          <w:i/>
          <w:iCs/>
          <w:lang w:val="en"/>
        </w:rPr>
        <w:t>Living l</w:t>
      </w:r>
      <w:r w:rsidRPr="0024474C">
        <w:rPr>
          <w:i/>
          <w:iCs/>
          <w:lang w:val="en"/>
        </w:rPr>
        <w:t>onger</w:t>
      </w:r>
      <w:r>
        <w:rPr>
          <w:i/>
          <w:iCs/>
          <w:lang w:val="en"/>
        </w:rPr>
        <w:t xml:space="preserve"> living better: aged care reform p</w:t>
      </w:r>
      <w:r w:rsidRPr="0024474C">
        <w:rPr>
          <w:i/>
          <w:iCs/>
          <w:lang w:val="en"/>
        </w:rPr>
        <w:t>ackage</w:t>
      </w:r>
      <w:r w:rsidRPr="0024474C">
        <w:rPr>
          <w:lang w:val="en"/>
        </w:rPr>
        <w:t>, Department of Health and Ageing (2012). At http://www.health.gov.au/internet/main/publishing.nsf/Content/aged-aged-care-review-measures-techdoc (viewed 3 May 2012).</w:t>
      </w:r>
    </w:p>
  </w:endnote>
  <w:endnote w:id="10">
    <w:p w:rsidR="00306FFF" w:rsidRDefault="00306FFF">
      <w:pPr>
        <w:pStyle w:val="EndnoteText"/>
      </w:pPr>
      <w:r>
        <w:rPr>
          <w:rStyle w:val="EndnoteReference"/>
        </w:rPr>
        <w:endnoteRef/>
      </w:r>
      <w:r>
        <w:t xml:space="preserve"> Australian Human Rights Commission, </w:t>
      </w:r>
      <w:r>
        <w:rPr>
          <w:i/>
        </w:rPr>
        <w:t xml:space="preserve">Human rights approach to ageing and health: respect and choice </w:t>
      </w:r>
      <w:r>
        <w:t xml:space="preserve">(2012), p 3. At </w:t>
      </w:r>
      <w:r w:rsidRPr="00F54C31">
        <w:t>http://humanrights.gov.au/age/ageing/index.html</w:t>
      </w:r>
      <w:r>
        <w:t xml:space="preserve"> (viewed 25 February 2013).</w:t>
      </w:r>
    </w:p>
  </w:endnote>
  <w:endnote w:id="11">
    <w:p w:rsidR="00306FFF" w:rsidRDefault="00306FFF" w:rsidP="00770A34">
      <w:pPr>
        <w:pStyle w:val="EndnoteText"/>
      </w:pPr>
      <w:r>
        <w:rPr>
          <w:rStyle w:val="EndnoteReference"/>
        </w:rPr>
        <w:endnoteRef/>
      </w:r>
      <w:r>
        <w:t xml:space="preserve"> </w:t>
      </w:r>
      <w:r w:rsidRPr="00B91968">
        <w:rPr>
          <w:lang w:val="en"/>
        </w:rPr>
        <w:t xml:space="preserve">Australian Bureau of Statistics, </w:t>
      </w:r>
      <w:r w:rsidRPr="00B91968">
        <w:rPr>
          <w:i/>
          <w:iCs/>
          <w:lang w:val="en"/>
        </w:rPr>
        <w:t xml:space="preserve">Patterns of internet access in Australia, </w:t>
      </w:r>
      <w:r w:rsidRPr="00B91968">
        <w:rPr>
          <w:lang w:val="en"/>
        </w:rPr>
        <w:t>Catalogue No. 8146.0.55.001</w:t>
      </w:r>
      <w:r w:rsidRPr="00B91968">
        <w:rPr>
          <w:i/>
          <w:iCs/>
          <w:lang w:val="en"/>
        </w:rPr>
        <w:t xml:space="preserve"> </w:t>
      </w:r>
      <w:r w:rsidRPr="00B91968">
        <w:rPr>
          <w:lang w:val="en"/>
        </w:rPr>
        <w:t>(2006). At http://www.abs.gov.au/AUSSTATS/abs@.nsf/DetailsPage/8146.0.55.0012006?OpenDocument</w:t>
      </w:r>
      <w:r>
        <w:rPr>
          <w:lang w:val="en"/>
        </w:rPr>
        <w:t xml:space="preserve"> (viewed 24 July 2012).</w:t>
      </w:r>
    </w:p>
  </w:endnote>
  <w:endnote w:id="12">
    <w:p w:rsidR="00306FFF" w:rsidRDefault="00306FFF" w:rsidP="00770A34">
      <w:pPr>
        <w:pStyle w:val="EndnoteText"/>
      </w:pPr>
      <w:r>
        <w:rPr>
          <w:rStyle w:val="EndnoteReference"/>
        </w:rPr>
        <w:endnoteRef/>
      </w:r>
      <w:r>
        <w:t xml:space="preserve"> </w:t>
      </w:r>
      <w:r w:rsidRPr="00B91968">
        <w:rPr>
          <w:lang w:val="en"/>
        </w:rPr>
        <w:t xml:space="preserve">Commonwealth of Australia, </w:t>
      </w:r>
      <w:r>
        <w:rPr>
          <w:i/>
          <w:iCs/>
          <w:lang w:val="en"/>
        </w:rPr>
        <w:t>Australia in the d</w:t>
      </w:r>
      <w:r w:rsidRPr="00B91968">
        <w:rPr>
          <w:i/>
          <w:iCs/>
          <w:lang w:val="en"/>
        </w:rPr>
        <w:t>igit</w:t>
      </w:r>
      <w:r>
        <w:rPr>
          <w:i/>
          <w:iCs/>
          <w:lang w:val="en"/>
        </w:rPr>
        <w:t>al economy: report 1 trust and c</w:t>
      </w:r>
      <w:r w:rsidRPr="00B91968">
        <w:rPr>
          <w:i/>
          <w:iCs/>
          <w:lang w:val="en"/>
        </w:rPr>
        <w:t>onfidence</w:t>
      </w:r>
      <w:r w:rsidRPr="00B91968">
        <w:rPr>
          <w:lang w:val="en"/>
        </w:rPr>
        <w:t xml:space="preserve">, </w:t>
      </w:r>
      <w:r>
        <w:rPr>
          <w:lang w:val="en"/>
        </w:rPr>
        <w:t xml:space="preserve">Research report series, </w:t>
      </w:r>
      <w:r w:rsidRPr="00B91968">
        <w:rPr>
          <w:lang w:val="en"/>
        </w:rPr>
        <w:t>Australian Communications and Media Authority (2009), p 11. At http://www.acma.gov.au/WEB/STANDARD/pc=PC_311655 (viewed 24 Jul</w:t>
      </w:r>
      <w:r>
        <w:rPr>
          <w:lang w:val="en"/>
        </w:rPr>
        <w:t>y 2012).</w:t>
      </w:r>
    </w:p>
  </w:endnote>
  <w:endnote w:id="13">
    <w:p w:rsidR="00306FFF" w:rsidRDefault="00306FFF" w:rsidP="00770A34">
      <w:pPr>
        <w:pStyle w:val="EndnoteText"/>
      </w:pPr>
      <w:r>
        <w:rPr>
          <w:rStyle w:val="EndnoteReference"/>
        </w:rPr>
        <w:endnoteRef/>
      </w:r>
      <w:r>
        <w:t xml:space="preserve"> </w:t>
      </w:r>
      <w:r w:rsidRPr="009D48F6">
        <w:rPr>
          <w:lang w:val="en"/>
        </w:rPr>
        <w:t xml:space="preserve">Australian Human Rights Commission, </w:t>
      </w:r>
      <w:r>
        <w:rPr>
          <w:i/>
          <w:iCs/>
          <w:lang w:val="en"/>
        </w:rPr>
        <w:t xml:space="preserve">Inquiry into </w:t>
      </w:r>
      <w:proofErr w:type="spellStart"/>
      <w:r>
        <w:rPr>
          <w:i/>
          <w:iCs/>
          <w:lang w:val="en"/>
        </w:rPr>
        <w:t>cybersafety</w:t>
      </w:r>
      <w:proofErr w:type="spellEnd"/>
      <w:r>
        <w:rPr>
          <w:i/>
          <w:iCs/>
          <w:lang w:val="en"/>
        </w:rPr>
        <w:t xml:space="preserve"> for senior Australians: s</w:t>
      </w:r>
      <w:r w:rsidRPr="009D48F6">
        <w:rPr>
          <w:i/>
          <w:iCs/>
          <w:lang w:val="en"/>
        </w:rPr>
        <w:t xml:space="preserve">ubmission to the Joint Select Committee on </w:t>
      </w:r>
      <w:proofErr w:type="spellStart"/>
      <w:r w:rsidRPr="009D48F6">
        <w:rPr>
          <w:i/>
          <w:iCs/>
          <w:lang w:val="en"/>
        </w:rPr>
        <w:t>Cybersafety</w:t>
      </w:r>
      <w:proofErr w:type="spellEnd"/>
      <w:r w:rsidRPr="009D48F6">
        <w:rPr>
          <w:lang w:val="en"/>
        </w:rPr>
        <w:t>. At http://www.humanrights.gov.au/legal/submissions/2012/20120101_cybersafetySenior.html (viewed 20 May 2012).</w:t>
      </w:r>
    </w:p>
  </w:endnote>
  <w:endnote w:id="14">
    <w:p w:rsidR="00306FFF" w:rsidRPr="001D1CD6" w:rsidRDefault="00306FFF" w:rsidP="002146C0">
      <w:pPr>
        <w:pStyle w:val="EndnoteText"/>
      </w:pPr>
      <w:r>
        <w:rPr>
          <w:rStyle w:val="EndnoteReference"/>
        </w:rPr>
        <w:endnoteRef/>
      </w:r>
      <w:r>
        <w:t xml:space="preserve"> </w:t>
      </w:r>
      <w:proofErr w:type="spellStart"/>
      <w:r>
        <w:t>Demographia</w:t>
      </w:r>
      <w:proofErr w:type="spellEnd"/>
      <w:r>
        <w:t xml:space="preserve">, </w:t>
      </w:r>
      <w:r>
        <w:rPr>
          <w:i/>
        </w:rPr>
        <w:t>9</w:t>
      </w:r>
      <w:r w:rsidRPr="001D1CD6">
        <w:rPr>
          <w:i/>
          <w:vertAlign w:val="superscript"/>
        </w:rPr>
        <w:t>th</w:t>
      </w:r>
      <w:r>
        <w:rPr>
          <w:i/>
        </w:rPr>
        <w:t xml:space="preserve"> annual </w:t>
      </w:r>
      <w:proofErr w:type="spellStart"/>
      <w:r>
        <w:rPr>
          <w:i/>
        </w:rPr>
        <w:t>Demographia</w:t>
      </w:r>
      <w:proofErr w:type="spellEnd"/>
      <w:r>
        <w:rPr>
          <w:i/>
        </w:rPr>
        <w:t xml:space="preserve"> international housing affordability survey: 2013 </w:t>
      </w:r>
      <w:r>
        <w:t xml:space="preserve">(2013), p 12. At </w:t>
      </w:r>
      <w:r w:rsidRPr="001D1CD6">
        <w:t>http://www.demographia.com/#land</w:t>
      </w:r>
      <w:r>
        <w:t xml:space="preserve"> (viewed 26 February 2013).</w:t>
      </w:r>
    </w:p>
  </w:endnote>
  <w:endnote w:id="15">
    <w:p w:rsidR="00306FFF" w:rsidRDefault="00306FFF" w:rsidP="00DB1ADF">
      <w:pPr>
        <w:pStyle w:val="EndnoteText"/>
      </w:pPr>
      <w:r>
        <w:rPr>
          <w:rStyle w:val="EndnoteReference"/>
        </w:rPr>
        <w:endnoteRef/>
      </w:r>
      <w:r>
        <w:t xml:space="preserve"> R </w:t>
      </w:r>
      <w:proofErr w:type="spellStart"/>
      <w:r>
        <w:t>Tanton</w:t>
      </w:r>
      <w:proofErr w:type="spellEnd"/>
      <w:r>
        <w:t xml:space="preserve">, Y </w:t>
      </w:r>
      <w:proofErr w:type="spellStart"/>
      <w:r>
        <w:t>Vidyattama</w:t>
      </w:r>
      <w:proofErr w:type="spellEnd"/>
      <w:r>
        <w:t xml:space="preserve">, J McNamara, </w:t>
      </w:r>
      <w:proofErr w:type="spellStart"/>
      <w:r>
        <w:t>Quoc</w:t>
      </w:r>
      <w:proofErr w:type="spellEnd"/>
      <w:r>
        <w:t xml:space="preserve"> </w:t>
      </w:r>
      <w:proofErr w:type="spellStart"/>
      <w:r>
        <w:t>Ngu</w:t>
      </w:r>
      <w:proofErr w:type="spellEnd"/>
      <w:r>
        <w:t xml:space="preserve"> Vu, A</w:t>
      </w:r>
      <w:r w:rsidRPr="00D10CEE">
        <w:t xml:space="preserve"> Harding, </w:t>
      </w:r>
      <w:r>
        <w:rPr>
          <w:i/>
          <w:iCs/>
        </w:rPr>
        <w:t xml:space="preserve">Old, single and poor: using </w:t>
      </w:r>
      <w:proofErr w:type="spellStart"/>
      <w:r>
        <w:rPr>
          <w:i/>
          <w:iCs/>
        </w:rPr>
        <w:t>microsimulation</w:t>
      </w:r>
      <w:proofErr w:type="spellEnd"/>
      <w:r>
        <w:rPr>
          <w:i/>
          <w:iCs/>
        </w:rPr>
        <w:t xml:space="preserve"> and </w:t>
      </w:r>
      <w:proofErr w:type="spellStart"/>
      <w:r>
        <w:rPr>
          <w:i/>
          <w:iCs/>
        </w:rPr>
        <w:t>microdata</w:t>
      </w:r>
      <w:proofErr w:type="spellEnd"/>
      <w:r>
        <w:rPr>
          <w:i/>
          <w:iCs/>
        </w:rPr>
        <w:t xml:space="preserve"> to a</w:t>
      </w:r>
      <w:r w:rsidRPr="00D10CEE">
        <w:rPr>
          <w:i/>
          <w:iCs/>
        </w:rPr>
        <w:t>na</w:t>
      </w:r>
      <w:r>
        <w:rPr>
          <w:i/>
          <w:iCs/>
        </w:rPr>
        <w:t>lyse poverty and the impact of policy change among o</w:t>
      </w:r>
      <w:r w:rsidRPr="00D10CEE">
        <w:rPr>
          <w:i/>
          <w:iCs/>
        </w:rPr>
        <w:t>lder Australians</w:t>
      </w:r>
      <w:r>
        <w:t>,</w:t>
      </w:r>
      <w:r w:rsidRPr="00D10CEE">
        <w:t xml:space="preserve"> NATSEM, National Centre for Social and Economic Modelling, </w:t>
      </w:r>
      <w:r>
        <w:t>University of Canberra, (2008), p 1. At</w:t>
      </w:r>
      <w:r w:rsidRPr="00D10CEE">
        <w:t xml:space="preserve"> http://www.canberra.edu.au/centres/natsem/publications?sq_content_src= per cent2BdXJsPWh0dHAlM0ElMkYlMkZ6aWJvLndpbi5jYW5iZXJyYS5lZHUuYXUlMkZuYXRzZW0lMkZpbmRleC5waHAlM0Ztb2RlJTNEcHVibGljYXRpb24lMjZwdWJsaWNhdGlvbiUzRDExMTYmYWxsPTE </w:t>
      </w:r>
      <w:proofErr w:type="spellStart"/>
      <w:r w:rsidRPr="00D10CEE">
        <w:t>per</w:t>
      </w:r>
      <w:proofErr w:type="spellEnd"/>
      <w:r w:rsidRPr="00D10CEE">
        <w:t xml:space="preserve"> cent3D (viewed 24 May 2012).</w:t>
      </w:r>
    </w:p>
  </w:endnote>
  <w:endnote w:id="16">
    <w:p w:rsidR="00306FFF" w:rsidRDefault="00306FFF" w:rsidP="00DB1ADF">
      <w:pPr>
        <w:pStyle w:val="EndnoteText"/>
      </w:pPr>
      <w:r>
        <w:rPr>
          <w:rStyle w:val="EndnoteReference"/>
        </w:rPr>
        <w:endnoteRef/>
      </w:r>
      <w:r>
        <w:t xml:space="preserve"> Commonwealth of Australia, </w:t>
      </w:r>
      <w:r>
        <w:rPr>
          <w:i/>
        </w:rPr>
        <w:t>The r</w:t>
      </w:r>
      <w:r w:rsidRPr="00D10CEE">
        <w:rPr>
          <w:i/>
        </w:rPr>
        <w:t xml:space="preserve">oad </w:t>
      </w:r>
      <w:r>
        <w:rPr>
          <w:i/>
        </w:rPr>
        <w:t>home</w:t>
      </w:r>
      <w:r>
        <w:t>, Federal white paper on homelessness,</w:t>
      </w:r>
      <w:r w:rsidRPr="00D10CEE">
        <w:rPr>
          <w:i/>
        </w:rPr>
        <w:t xml:space="preserve"> </w:t>
      </w:r>
      <w:r w:rsidRPr="00D10CEE">
        <w:t xml:space="preserve">Department of Families, Housing Community </w:t>
      </w:r>
      <w:r>
        <w:t>Services and Indigenous Affairs (2008).</w:t>
      </w:r>
      <w:r w:rsidRPr="00D10CEE">
        <w:t xml:space="preserve"> At http://www.facs.gov.au/sa/housing/progserv/homelessness/whitepaper/Documents/ch1.htm (viewed 24 May 2012).</w:t>
      </w:r>
    </w:p>
  </w:endnote>
  <w:endnote w:id="17">
    <w:p w:rsidR="00306FFF" w:rsidRDefault="00306FFF" w:rsidP="00DB1ADF">
      <w:pPr>
        <w:pStyle w:val="EndnoteText"/>
      </w:pPr>
      <w:r>
        <w:rPr>
          <w:rStyle w:val="EndnoteReference"/>
        </w:rPr>
        <w:endnoteRef/>
      </w:r>
      <w:r>
        <w:t xml:space="preserve"> </w:t>
      </w:r>
      <w:proofErr w:type="gramStart"/>
      <w:r w:rsidRPr="00CE09F9">
        <w:t xml:space="preserve">Australian Bureau of Statistics, </w:t>
      </w:r>
      <w:r>
        <w:rPr>
          <w:i/>
        </w:rPr>
        <w:t>Retirement and retirement intentions</w:t>
      </w:r>
      <w:r>
        <w:t>, Australian social trends Catalogue No.</w:t>
      </w:r>
      <w:r w:rsidRPr="00995B00">
        <w:t xml:space="preserve"> 4102.0</w:t>
      </w:r>
      <w:r>
        <w:t xml:space="preserve"> (2009).</w:t>
      </w:r>
      <w:proofErr w:type="gramEnd"/>
      <w:r w:rsidRPr="00CE09F9">
        <w:rPr>
          <w:i/>
        </w:rPr>
        <w:t xml:space="preserve"> </w:t>
      </w:r>
      <w:r>
        <w:t>At</w:t>
      </w:r>
      <w:r w:rsidRPr="00CE09F9">
        <w:t xml:space="preserve"> http://www.abs.gov.au/AUSSTATS/abs@.nsf/Lookup/4102.0Main+Features50March%202009 (viewed 24 May 2012).</w:t>
      </w:r>
    </w:p>
  </w:endnote>
  <w:endnote w:id="18">
    <w:p w:rsidR="00306FFF" w:rsidRDefault="00306FFF" w:rsidP="00DB1ADF">
      <w:pPr>
        <w:pStyle w:val="EndnoteText"/>
      </w:pPr>
      <w:r>
        <w:rPr>
          <w:rStyle w:val="EndnoteReference"/>
        </w:rPr>
        <w:endnoteRef/>
      </w:r>
      <w:r>
        <w:t xml:space="preserve"> Commonwealth of Australia,</w:t>
      </w:r>
      <w:r w:rsidRPr="003542E0">
        <w:t xml:space="preserve"> </w:t>
      </w:r>
      <w:r>
        <w:rPr>
          <w:i/>
        </w:rPr>
        <w:t>Income support customers: a s</w:t>
      </w:r>
      <w:r w:rsidRPr="003542E0">
        <w:rPr>
          <w:i/>
        </w:rPr>
        <w:t>t</w:t>
      </w:r>
      <w:r>
        <w:rPr>
          <w:i/>
        </w:rPr>
        <w:t>atistical o</w:t>
      </w:r>
      <w:r w:rsidRPr="003542E0">
        <w:rPr>
          <w:i/>
        </w:rPr>
        <w:t>verview 2010</w:t>
      </w:r>
      <w:r>
        <w:t>,</w:t>
      </w:r>
      <w:r w:rsidRPr="00045735">
        <w:t xml:space="preserve"> </w:t>
      </w:r>
      <w:r w:rsidRPr="003542E0">
        <w:t>Statistical Paper 9</w:t>
      </w:r>
      <w:r>
        <w:t xml:space="preserve">, </w:t>
      </w:r>
      <w:r w:rsidRPr="003542E0">
        <w:t>Department of Families, Housing, Community Services and Indigenous Affairs</w:t>
      </w:r>
      <w:r>
        <w:t xml:space="preserve"> (2010)</w:t>
      </w:r>
      <w:r w:rsidRPr="003542E0">
        <w:rPr>
          <w:i/>
        </w:rPr>
        <w:t>.</w:t>
      </w:r>
      <w:r w:rsidRPr="003542E0">
        <w:t xml:space="preserve"> At http://www.fahcsia.gov.au/about/publicationsarticles/research/statistical/Pages/stp_9.aspx (viewed 15 May 2012).</w:t>
      </w:r>
    </w:p>
  </w:endnote>
  <w:endnote w:id="19">
    <w:p w:rsidR="00306FFF" w:rsidRDefault="00306FFF" w:rsidP="00575D4C">
      <w:pPr>
        <w:pStyle w:val="EndnoteText"/>
      </w:pPr>
      <w:r>
        <w:rPr>
          <w:rStyle w:val="EndnoteReference"/>
        </w:rPr>
        <w:endnoteRef/>
      </w:r>
      <w:r>
        <w:t xml:space="preserve"> </w:t>
      </w:r>
      <w:proofErr w:type="gramStart"/>
      <w:r>
        <w:t xml:space="preserve">Australian Institute of Health and Welfare, </w:t>
      </w:r>
      <w:r w:rsidRPr="00575D4C">
        <w:rPr>
          <w:i/>
        </w:rPr>
        <w:t>Older Australia at a glance</w:t>
      </w:r>
      <w:r>
        <w:t xml:space="preserve">, 4th </w:t>
      </w:r>
      <w:proofErr w:type="spellStart"/>
      <w:r>
        <w:t>edn</w:t>
      </w:r>
      <w:proofErr w:type="spellEnd"/>
      <w:r>
        <w:t>, Catalogue No.</w:t>
      </w:r>
      <w:proofErr w:type="gramEnd"/>
      <w:r>
        <w:t xml:space="preserve"> </w:t>
      </w:r>
      <w:proofErr w:type="gramStart"/>
      <w:r>
        <w:t>AGE 5 (2007), p 87.</w:t>
      </w:r>
      <w:proofErr w:type="gramEnd"/>
      <w:r>
        <w:t xml:space="preserve"> At </w:t>
      </w:r>
      <w:r w:rsidRPr="00855A9F">
        <w:t>http://www.aihw.gov.au/publication-detail/?id=6442468045</w:t>
      </w:r>
      <w:r>
        <w:t xml:space="preserve"> (viewed 13 March 2013).</w:t>
      </w:r>
    </w:p>
  </w:endnote>
  <w:endnote w:id="20">
    <w:p w:rsidR="00306FFF" w:rsidRDefault="00306FFF">
      <w:pPr>
        <w:pStyle w:val="EndnoteText"/>
      </w:pPr>
      <w:r>
        <w:rPr>
          <w:rStyle w:val="EndnoteReference"/>
        </w:rPr>
        <w:endnoteRef/>
      </w:r>
      <w:r>
        <w:t xml:space="preserve"> Commonwealth of Australia, </w:t>
      </w:r>
      <w:r>
        <w:rPr>
          <w:i/>
        </w:rPr>
        <w:t>Realising the economic potential of senior Australians: turning grey to gold</w:t>
      </w:r>
      <w:r>
        <w:t>, Advisory Panel on the Economic Potential of Senior Australians (2011), p 43.</w:t>
      </w:r>
    </w:p>
  </w:endnote>
  <w:endnote w:id="21">
    <w:p w:rsidR="00306FFF" w:rsidRDefault="00306FFF">
      <w:pPr>
        <w:pStyle w:val="EndnoteText"/>
      </w:pPr>
      <w:r>
        <w:rPr>
          <w:rStyle w:val="EndnoteReference"/>
        </w:rPr>
        <w:endnoteRef/>
      </w:r>
      <w:r>
        <w:t xml:space="preserve"> </w:t>
      </w:r>
      <w:r w:rsidRPr="00A0693B">
        <w:rPr>
          <w:lang w:val="en"/>
        </w:rPr>
        <w:t xml:space="preserve">Australian Bureau of Statistics, </w:t>
      </w:r>
      <w:r>
        <w:rPr>
          <w:i/>
          <w:lang w:val="en"/>
        </w:rPr>
        <w:t xml:space="preserve">Older people and the </w:t>
      </w:r>
      <w:proofErr w:type="spellStart"/>
      <w:r>
        <w:rPr>
          <w:i/>
          <w:lang w:val="en"/>
        </w:rPr>
        <w:t>labour</w:t>
      </w:r>
      <w:proofErr w:type="spellEnd"/>
      <w:r>
        <w:rPr>
          <w:i/>
          <w:lang w:val="en"/>
        </w:rPr>
        <w:t xml:space="preserve"> </w:t>
      </w:r>
      <w:r w:rsidRPr="00787234">
        <w:rPr>
          <w:i/>
          <w:lang w:val="en"/>
        </w:rPr>
        <w:t>market</w:t>
      </w:r>
      <w:r>
        <w:rPr>
          <w:lang w:val="en"/>
        </w:rPr>
        <w:t xml:space="preserve">, Australian social trends Catalogue No. </w:t>
      </w:r>
      <w:r w:rsidRPr="00045735">
        <w:rPr>
          <w:iCs/>
          <w:lang w:val="en"/>
        </w:rPr>
        <w:t>4102</w:t>
      </w:r>
      <w:r w:rsidRPr="00A0693B">
        <w:rPr>
          <w:i/>
          <w:iCs/>
          <w:lang w:val="en"/>
        </w:rPr>
        <w:t>.</w:t>
      </w:r>
      <w:r>
        <w:rPr>
          <w:iCs/>
          <w:lang w:val="en"/>
        </w:rPr>
        <w:t>0</w:t>
      </w:r>
      <w:r w:rsidRPr="00A0693B">
        <w:rPr>
          <w:lang w:val="en"/>
        </w:rPr>
        <w:t xml:space="preserve"> </w:t>
      </w:r>
      <w:r>
        <w:rPr>
          <w:lang w:val="en"/>
        </w:rPr>
        <w:t>(</w:t>
      </w:r>
      <w:r w:rsidRPr="00A0693B">
        <w:rPr>
          <w:lang w:val="en"/>
        </w:rPr>
        <w:t>2010</w:t>
      </w:r>
      <w:r>
        <w:rPr>
          <w:lang w:val="en"/>
        </w:rPr>
        <w:t>)</w:t>
      </w:r>
      <w:r w:rsidRPr="00A0693B">
        <w:rPr>
          <w:lang w:val="en"/>
        </w:rPr>
        <w:t>. At http://www.abs.gov.au/AUSSTATS/abs@.nsf/Lookup/4102.0Main+Features30Sep+2010 (viewed 2 November 2011)</w:t>
      </w:r>
      <w:r>
        <w:rPr>
          <w:lang w:val="en"/>
        </w:rPr>
        <w:t>.</w:t>
      </w:r>
    </w:p>
  </w:endnote>
  <w:endnote w:id="22">
    <w:p w:rsidR="00306FFF" w:rsidRDefault="00306FFF">
      <w:pPr>
        <w:pStyle w:val="EndnoteText"/>
      </w:pPr>
      <w:r>
        <w:rPr>
          <w:rStyle w:val="EndnoteReference"/>
        </w:rPr>
        <w:endnoteRef/>
      </w:r>
      <w:r>
        <w:t xml:space="preserve"> Commonwealth of Australia, </w:t>
      </w:r>
      <w:r>
        <w:rPr>
          <w:i/>
        </w:rPr>
        <w:t>Realising the economic potential of senior Australians: turning grey to gold</w:t>
      </w:r>
      <w:r>
        <w:t xml:space="preserve"> (2011), Advisory Panel on the Economic Potential of Senior Australians (2011), p 27.</w:t>
      </w:r>
    </w:p>
  </w:endnote>
  <w:endnote w:id="23">
    <w:p w:rsidR="00306FFF" w:rsidRPr="00787234" w:rsidRDefault="00306FFF">
      <w:pPr>
        <w:pStyle w:val="EndnoteText"/>
      </w:pPr>
      <w:r>
        <w:rPr>
          <w:rStyle w:val="EndnoteReference"/>
        </w:rPr>
        <w:endnoteRef/>
      </w:r>
      <w:r>
        <w:t xml:space="preserve"> Queensland Government, </w:t>
      </w:r>
      <w:r>
        <w:rPr>
          <w:i/>
        </w:rPr>
        <w:t>Ageing: myth and reality</w:t>
      </w:r>
      <w:r>
        <w:t>, Department of Communities, Child Safety and Disability Services (2012), p 3.</w:t>
      </w:r>
    </w:p>
  </w:endnote>
  <w:endnote w:id="24">
    <w:p w:rsidR="00306FFF" w:rsidRDefault="00306FFF" w:rsidP="00E033FD">
      <w:pPr>
        <w:pStyle w:val="EndnoteText"/>
      </w:pPr>
      <w:r>
        <w:rPr>
          <w:rStyle w:val="EndnoteReference"/>
        </w:rPr>
        <w:endnoteRef/>
      </w:r>
      <w:r>
        <w:t xml:space="preserve"> Australian Human Rights Commission, </w:t>
      </w:r>
      <w:r>
        <w:rPr>
          <w:i/>
        </w:rPr>
        <w:t xml:space="preserve">Human rights approach to ageing and health: respect and choice </w:t>
      </w:r>
      <w:r>
        <w:t xml:space="preserve">(2012), p 20. At </w:t>
      </w:r>
      <w:r w:rsidRPr="00F54C31">
        <w:t>http://humanrights.gov.au/age/ageing/index.html</w:t>
      </w:r>
      <w:r>
        <w:t xml:space="preserve"> (viewed 25 February 2013).</w:t>
      </w:r>
    </w:p>
  </w:endnote>
  <w:endnote w:id="25">
    <w:p w:rsidR="00306FFF" w:rsidRDefault="00306FFF" w:rsidP="00E033FD">
      <w:pPr>
        <w:pStyle w:val="EndnoteText"/>
      </w:pPr>
      <w:r>
        <w:rPr>
          <w:rStyle w:val="EndnoteReference"/>
        </w:rPr>
        <w:endnoteRef/>
      </w:r>
      <w:r>
        <w:t xml:space="preserve"> </w:t>
      </w:r>
      <w:r w:rsidRPr="006A1ACF">
        <w:rPr>
          <w:lang w:val="en"/>
        </w:rPr>
        <w:t xml:space="preserve">Australian Institute of Health and Welfare, </w:t>
      </w:r>
      <w:r>
        <w:rPr>
          <w:i/>
          <w:iCs/>
          <w:lang w:val="en"/>
        </w:rPr>
        <w:t>Older Australia at a g</w:t>
      </w:r>
      <w:r w:rsidRPr="006A1ACF">
        <w:rPr>
          <w:i/>
          <w:iCs/>
          <w:lang w:val="en"/>
        </w:rPr>
        <w:t>lance</w:t>
      </w:r>
      <w:proofErr w:type="gramStart"/>
      <w:r w:rsidRPr="00AE7265">
        <w:rPr>
          <w:lang w:val="en"/>
        </w:rPr>
        <w:t>,</w:t>
      </w:r>
      <w:proofErr w:type="gramEnd"/>
      <w:r w:rsidRPr="006A1ACF">
        <w:rPr>
          <w:lang w:val="en"/>
        </w:rPr>
        <w:br/>
        <w:t xml:space="preserve">Catalogue No. </w:t>
      </w:r>
      <w:proofErr w:type="gramStart"/>
      <w:r w:rsidRPr="006A1ACF">
        <w:rPr>
          <w:lang w:val="en"/>
        </w:rPr>
        <w:t>AGE 52 (4</w:t>
      </w:r>
      <w:r w:rsidRPr="006A1ACF">
        <w:rPr>
          <w:vertAlign w:val="superscript"/>
          <w:lang w:val="en"/>
        </w:rPr>
        <w:t>th</w:t>
      </w:r>
      <w:r w:rsidRPr="006A1ACF">
        <w:rPr>
          <w:lang w:val="en"/>
        </w:rPr>
        <w:t xml:space="preserve"> edition, 2007), p 142.</w:t>
      </w:r>
      <w:proofErr w:type="gramEnd"/>
      <w:r w:rsidRPr="006A1ACF">
        <w:rPr>
          <w:lang w:val="en"/>
        </w:rPr>
        <w:t xml:space="preserve"> At http://www.aihw.gov.au/publication-detail/?id=6442468045</w:t>
      </w:r>
      <w:r>
        <w:rPr>
          <w:lang w:val="en"/>
        </w:rPr>
        <w:t xml:space="preserve"> (viewed 14 May 2012).</w:t>
      </w:r>
    </w:p>
  </w:endnote>
  <w:endnote w:id="26">
    <w:p w:rsidR="00306FFF" w:rsidRDefault="00306FFF" w:rsidP="00E033FD">
      <w:pPr>
        <w:pStyle w:val="EndnoteText"/>
      </w:pPr>
      <w:r>
        <w:rPr>
          <w:rStyle w:val="EndnoteReference"/>
        </w:rPr>
        <w:endnoteRef/>
      </w:r>
      <w:r>
        <w:t xml:space="preserve"> </w:t>
      </w:r>
      <w:r w:rsidRPr="006A1ACF">
        <w:rPr>
          <w:lang w:val="en"/>
        </w:rPr>
        <w:t xml:space="preserve">Commonwealth of Australia, </w:t>
      </w:r>
      <w:r>
        <w:rPr>
          <w:i/>
          <w:iCs/>
          <w:lang w:val="en"/>
        </w:rPr>
        <w:t>Caring for o</w:t>
      </w:r>
      <w:r w:rsidRPr="006A1ACF">
        <w:rPr>
          <w:i/>
          <w:iCs/>
          <w:lang w:val="en"/>
        </w:rPr>
        <w:t>lder Australians,</w:t>
      </w:r>
      <w:r w:rsidRPr="006A1ACF">
        <w:rPr>
          <w:lang w:val="en"/>
        </w:rPr>
        <w:t xml:space="preserve"> Report No. 53, Productivity Commission (2011),</w:t>
      </w:r>
      <w:r w:rsidRPr="006A1ACF">
        <w:rPr>
          <w:i/>
          <w:iCs/>
          <w:lang w:val="en"/>
        </w:rPr>
        <w:t xml:space="preserve"> </w:t>
      </w:r>
      <w:r w:rsidRPr="006A1ACF">
        <w:rPr>
          <w:lang w:val="en"/>
        </w:rPr>
        <w:t>p 260. At http://www.pc.gov.au/projects/inquiry/aged-care/report</w:t>
      </w:r>
      <w:r>
        <w:rPr>
          <w:lang w:val="en"/>
        </w:rPr>
        <w:t xml:space="preserve"> (viewed 3 May 2012).</w:t>
      </w:r>
    </w:p>
  </w:endnote>
  <w:endnote w:id="27">
    <w:p w:rsidR="00306FFF" w:rsidRDefault="00306FFF" w:rsidP="008E076F">
      <w:pPr>
        <w:pStyle w:val="EndnoteText"/>
      </w:pPr>
      <w:r>
        <w:rPr>
          <w:rStyle w:val="EndnoteReference"/>
        </w:rPr>
        <w:endnoteRef/>
      </w:r>
      <w:r>
        <w:t xml:space="preserve"> </w:t>
      </w:r>
      <w:r w:rsidRPr="009A0546">
        <w:t xml:space="preserve">Australian Bureau of Statistics, </w:t>
      </w:r>
      <w:r w:rsidRPr="001D65B6">
        <w:rPr>
          <w:i/>
        </w:rPr>
        <w:t>Notes</w:t>
      </w:r>
      <w:r>
        <w:t xml:space="preserve">, </w:t>
      </w:r>
      <w:r w:rsidRPr="001D65B6">
        <w:t>Older Aboriginal and Torres Strait Islander people: a snapshot</w:t>
      </w:r>
      <w:r>
        <w:t>, Catalogue No.</w:t>
      </w:r>
      <w:r w:rsidRPr="00B1776B">
        <w:rPr>
          <w:i/>
        </w:rPr>
        <w:t xml:space="preserve"> </w:t>
      </w:r>
      <w:r w:rsidRPr="00D674CA">
        <w:t>4722.0.55.002</w:t>
      </w:r>
      <w:r>
        <w:t xml:space="preserve"> (2004-05)</w:t>
      </w:r>
      <w:r w:rsidRPr="009A0546">
        <w:t>. A</w:t>
      </w:r>
      <w:r>
        <w:t>t</w:t>
      </w:r>
      <w:r w:rsidRPr="009A0546">
        <w:t xml:space="preserve"> http://www.abs.gov.au/ausstats/abs@.nsf/productsbytitle/8B88352C0716C01ECA2572E900183042?OpenDocument (viewed 9 February 2012)</w:t>
      </w:r>
      <w:r>
        <w:t>.</w:t>
      </w:r>
    </w:p>
  </w:endnote>
  <w:endnote w:id="28">
    <w:p w:rsidR="00306FFF" w:rsidRDefault="00306FFF" w:rsidP="008E076F">
      <w:pPr>
        <w:pStyle w:val="EndnoteText"/>
      </w:pPr>
      <w:r>
        <w:rPr>
          <w:rStyle w:val="EndnoteReference"/>
        </w:rPr>
        <w:endnoteRef/>
      </w:r>
      <w:r>
        <w:t xml:space="preserve"> </w:t>
      </w:r>
      <w:r w:rsidRPr="009A0546">
        <w:t xml:space="preserve">Access Economics, </w:t>
      </w:r>
      <w:r>
        <w:rPr>
          <w:i/>
        </w:rPr>
        <w:t>Making choices: f</w:t>
      </w:r>
      <w:r w:rsidRPr="009A0546">
        <w:rPr>
          <w:i/>
        </w:rPr>
        <w:t>uture dementia care: projections, problems and preferences</w:t>
      </w:r>
      <w:r w:rsidRPr="009A0546">
        <w:t>, Alzheimer’s Australia (2009), p 126. At http://www.fightdementia.org.au/new-south-wales/access-economics-reports-nsw.aspx (viewed 3 July 2012).</w:t>
      </w:r>
    </w:p>
  </w:endnote>
  <w:endnote w:id="29">
    <w:p w:rsidR="00306FFF" w:rsidRPr="00E01330" w:rsidRDefault="00306FFF">
      <w:pPr>
        <w:pStyle w:val="EndnoteText"/>
      </w:pPr>
      <w:r>
        <w:rPr>
          <w:rStyle w:val="EndnoteReference"/>
        </w:rPr>
        <w:endnoteRef/>
      </w:r>
      <w:r>
        <w:t xml:space="preserve"> National LGBTI Health Alliance, </w:t>
      </w:r>
      <w:r>
        <w:rPr>
          <w:i/>
        </w:rPr>
        <w:t xml:space="preserve">Submission to the </w:t>
      </w:r>
      <w:r w:rsidRPr="005C36EB">
        <w:rPr>
          <w:i/>
        </w:rPr>
        <w:t>Senate Standing Committee on Legal and Constitutional Affairs</w:t>
      </w:r>
      <w:r>
        <w:rPr>
          <w:i/>
        </w:rPr>
        <w:t xml:space="preserve"> Inquiry into the Exposure Draft of the Human Rights and Anti-Discrimination Bill 2012</w:t>
      </w:r>
      <w:r>
        <w:t xml:space="preserve"> (21 December 2012). At </w:t>
      </w:r>
      <w:r w:rsidRPr="00E01330">
        <w:t>http://www.aph.gov.au/Parliamentary_Business/Committees/Senate_Committees?url=legcon_ctte/anti_discrimination_2012/submissions.htm</w:t>
      </w:r>
      <w:r>
        <w:t xml:space="preserve"> (viewed 5 March 2013).</w:t>
      </w:r>
    </w:p>
  </w:endnote>
  <w:endnote w:id="30">
    <w:p w:rsidR="00306FFF" w:rsidRPr="00A435D6" w:rsidRDefault="00306FFF" w:rsidP="00A435D6">
      <w:pPr>
        <w:pStyle w:val="EndnoteText"/>
      </w:pPr>
      <w:r>
        <w:rPr>
          <w:rStyle w:val="EndnoteReference"/>
        </w:rPr>
        <w:endnoteRef/>
      </w:r>
      <w:r>
        <w:t xml:space="preserve"> Australian Bureau of Statistics</w:t>
      </w:r>
      <w:r w:rsidRPr="00A435D6">
        <w:t xml:space="preserve">, </w:t>
      </w:r>
      <w:r>
        <w:rPr>
          <w:i/>
        </w:rPr>
        <w:t>Population estimates by age and s</w:t>
      </w:r>
      <w:r w:rsidRPr="000F66BA">
        <w:rPr>
          <w:i/>
        </w:rPr>
        <w:t xml:space="preserve">ex, </w:t>
      </w:r>
      <w:r>
        <w:rPr>
          <w:i/>
        </w:rPr>
        <w:t>regions of Australia 2010</w:t>
      </w:r>
      <w:r>
        <w:t xml:space="preserve">, Catalogue No. </w:t>
      </w:r>
      <w:r w:rsidRPr="00A435D6">
        <w:t>3235.0</w:t>
      </w:r>
      <w:r>
        <w:t xml:space="preserve"> (2010)</w:t>
      </w:r>
      <w:r w:rsidRPr="00A435D6">
        <w:t xml:space="preserve"> At: http://www.abs.gov.au/AUSSTATS/abs@.nsf/DetailsPage/3235.02010?OpenDocument</w:t>
      </w:r>
    </w:p>
    <w:p w:rsidR="00306FFF" w:rsidRDefault="00306FFF">
      <w:pPr>
        <w:pStyle w:val="EndnoteText"/>
      </w:pPr>
      <w:r w:rsidRPr="00A435D6">
        <w:t>(</w:t>
      </w:r>
      <w:proofErr w:type="gramStart"/>
      <w:r w:rsidRPr="00A435D6">
        <w:t>viewed</w:t>
      </w:r>
      <w:proofErr w:type="gramEnd"/>
      <w:r w:rsidRPr="00A435D6">
        <w:t xml:space="preserve"> 31 January 2012)</w:t>
      </w:r>
      <w:r>
        <w:t>.</w:t>
      </w:r>
    </w:p>
  </w:endnote>
  <w:endnote w:id="31">
    <w:p w:rsidR="00306FFF" w:rsidRDefault="00306FFF">
      <w:pPr>
        <w:pStyle w:val="EndnoteText"/>
      </w:pPr>
      <w:r>
        <w:rPr>
          <w:rStyle w:val="EndnoteReference"/>
        </w:rPr>
        <w:endnoteRef/>
      </w:r>
      <w:r>
        <w:t xml:space="preserve"> </w:t>
      </w:r>
      <w:proofErr w:type="gramStart"/>
      <w:r>
        <w:t xml:space="preserve">Australian Human Rights Commission, </w:t>
      </w:r>
      <w:r w:rsidRPr="000F66BA">
        <w:rPr>
          <w:i/>
        </w:rPr>
        <w:t>The human rights of rural Australians</w:t>
      </w:r>
      <w:r>
        <w:t>, Occasional Paper (May 1996).</w:t>
      </w:r>
      <w:proofErr w:type="gramEnd"/>
      <w:r>
        <w:t xml:space="preserve"> At</w:t>
      </w:r>
      <w:r w:rsidRPr="00A435D6">
        <w:t xml:space="preserve"> http://www.hreoc.gov.au/human_rights/rural_australians/index.html (viewed 31 January 2012)</w:t>
      </w:r>
      <w:r>
        <w:t>.</w:t>
      </w:r>
    </w:p>
  </w:endnote>
  <w:endnote w:id="32">
    <w:p w:rsidR="00306FFF" w:rsidRDefault="00306FFF">
      <w:pPr>
        <w:pStyle w:val="EndnoteText"/>
      </w:pPr>
      <w:r>
        <w:rPr>
          <w:rStyle w:val="EndnoteReference"/>
        </w:rPr>
        <w:endnoteRef/>
      </w:r>
      <w:r>
        <w:t xml:space="preserve"> </w:t>
      </w:r>
      <w:r w:rsidRPr="001C2751">
        <w:t>A</w:t>
      </w:r>
      <w:r>
        <w:t xml:space="preserve">ustralian </w:t>
      </w:r>
      <w:r w:rsidRPr="001C2751">
        <w:t>B</w:t>
      </w:r>
      <w:r>
        <w:t xml:space="preserve">ureau of </w:t>
      </w:r>
      <w:r w:rsidRPr="001C2751">
        <w:t>S</w:t>
      </w:r>
      <w:r>
        <w:t>tatistics</w:t>
      </w:r>
      <w:r w:rsidRPr="001C2751">
        <w:t xml:space="preserve">, </w:t>
      </w:r>
      <w:r>
        <w:rPr>
          <w:i/>
        </w:rPr>
        <w:t>Household income and income d</w:t>
      </w:r>
      <w:r w:rsidRPr="00836444">
        <w:rPr>
          <w:i/>
        </w:rPr>
        <w:t>istribution, Australia</w:t>
      </w:r>
      <w:r w:rsidRPr="001C2751">
        <w:t xml:space="preserve">, </w:t>
      </w:r>
      <w:r>
        <w:t xml:space="preserve">Catalogue No. </w:t>
      </w:r>
      <w:r w:rsidRPr="001C2751">
        <w:t xml:space="preserve">6523.0 </w:t>
      </w:r>
      <w:r>
        <w:t>(2009-10). At</w:t>
      </w:r>
      <w:r w:rsidRPr="001C2751">
        <w:t xml:space="preserve"> http://www.abs.gov.au/AUSSTATS/abs@.nsf/DetailsPage/6523.02009-10?OpenDocument (viewed 1 February 2012)</w:t>
      </w:r>
      <w:r>
        <w:t>.</w:t>
      </w:r>
    </w:p>
  </w:endnote>
  <w:endnote w:id="33">
    <w:p w:rsidR="00306FFF" w:rsidRDefault="00306FFF">
      <w:pPr>
        <w:pStyle w:val="EndnoteText"/>
      </w:pPr>
      <w:r>
        <w:rPr>
          <w:rStyle w:val="EndnoteReference"/>
        </w:rPr>
        <w:endnoteRef/>
      </w:r>
      <w:r>
        <w:t xml:space="preserve"> </w:t>
      </w:r>
      <w:r w:rsidRPr="001C2751">
        <w:t xml:space="preserve">Rural Australians, </w:t>
      </w:r>
      <w:r>
        <w:rPr>
          <w:i/>
        </w:rPr>
        <w:t>Issues in rural and remote c</w:t>
      </w:r>
      <w:r w:rsidRPr="00836444">
        <w:rPr>
          <w:i/>
        </w:rPr>
        <w:t>ommunities</w:t>
      </w:r>
      <w:r>
        <w:t>,</w:t>
      </w:r>
      <w:r w:rsidRPr="001C2751">
        <w:t xml:space="preserve"> http://www.responseability.org/site/index.cfm?display=134581 (viewed 1 February 2012)</w:t>
      </w:r>
      <w:r>
        <w:t>.</w:t>
      </w:r>
    </w:p>
  </w:endnote>
  <w:endnote w:id="34">
    <w:p w:rsidR="00306FFF" w:rsidRDefault="00306FFF">
      <w:pPr>
        <w:pStyle w:val="EndnoteText"/>
      </w:pPr>
      <w:r>
        <w:rPr>
          <w:rStyle w:val="EndnoteReference"/>
        </w:rPr>
        <w:endnoteRef/>
      </w:r>
      <w:r>
        <w:t xml:space="preserve"> </w:t>
      </w:r>
      <w:r w:rsidRPr="001728DD">
        <w:rPr>
          <w:lang w:val="en"/>
        </w:rPr>
        <w:t xml:space="preserve">Committee on the Elimination of All Forms of Discrimination against Women, </w:t>
      </w:r>
      <w:r w:rsidRPr="001728DD">
        <w:rPr>
          <w:i/>
          <w:iCs/>
          <w:lang w:val="en"/>
        </w:rPr>
        <w:t>General Recommendation No.27 on older women and protection of their human rights</w:t>
      </w:r>
      <w:r w:rsidRPr="001728DD">
        <w:rPr>
          <w:lang w:val="en"/>
        </w:rPr>
        <w:t>, UN Doc CEDAW/C/</w:t>
      </w:r>
      <w:proofErr w:type="spellStart"/>
      <w:r w:rsidRPr="001728DD">
        <w:rPr>
          <w:lang w:val="en"/>
        </w:rPr>
        <w:t>gc</w:t>
      </w:r>
      <w:proofErr w:type="spellEnd"/>
      <w:r w:rsidRPr="001728DD">
        <w:rPr>
          <w:lang w:val="en"/>
        </w:rPr>
        <w:t xml:space="preserve">/27 (2010), </w:t>
      </w:r>
      <w:proofErr w:type="spellStart"/>
      <w:r w:rsidRPr="001728DD">
        <w:rPr>
          <w:lang w:val="en"/>
        </w:rPr>
        <w:t>para</w:t>
      </w:r>
      <w:proofErr w:type="spellEnd"/>
      <w:r w:rsidRPr="001728DD">
        <w:rPr>
          <w:lang w:val="en"/>
        </w:rPr>
        <w:t xml:space="preserve"> 5. At http://www2.ohchr.org/english/bodies/cedaw/comments.htm</w:t>
      </w:r>
      <w:r>
        <w:rPr>
          <w:lang w:val="en"/>
        </w:rPr>
        <w:t xml:space="preserve"> (viewed 25 July 2012).</w:t>
      </w:r>
    </w:p>
  </w:endnote>
  <w:endnote w:id="35">
    <w:p w:rsidR="00306FFF" w:rsidRDefault="00306FFF">
      <w:pPr>
        <w:pStyle w:val="EndnoteText"/>
      </w:pPr>
      <w:r>
        <w:rPr>
          <w:rStyle w:val="EndnoteReference"/>
        </w:rPr>
        <w:endnoteRef/>
      </w:r>
      <w:r>
        <w:t xml:space="preserve"> </w:t>
      </w:r>
      <w:proofErr w:type="gramStart"/>
      <w:r w:rsidRPr="001728DD">
        <w:rPr>
          <w:lang w:val="en"/>
        </w:rPr>
        <w:t xml:space="preserve">Australian Institute of Health and Welfare, </w:t>
      </w:r>
      <w:r w:rsidRPr="001728DD">
        <w:rPr>
          <w:i/>
          <w:iCs/>
          <w:lang w:val="en"/>
        </w:rPr>
        <w:t>Australia’s Welfare</w:t>
      </w:r>
      <w:r w:rsidRPr="001728DD">
        <w:rPr>
          <w:lang w:val="en"/>
        </w:rPr>
        <w:t>, Catalogue No. 142 (2011), p 6.</w:t>
      </w:r>
      <w:proofErr w:type="gramEnd"/>
      <w:r w:rsidRPr="001728DD">
        <w:rPr>
          <w:lang w:val="en"/>
        </w:rPr>
        <w:t xml:space="preserve"> At http://www.aihw.gov.au/publication-detail/?id=10737420537 (viewed 26 July 2012).</w:t>
      </w:r>
    </w:p>
  </w:endnote>
  <w:endnote w:id="36">
    <w:p w:rsidR="00306FFF" w:rsidRPr="00452CB3" w:rsidRDefault="00306FFF">
      <w:pPr>
        <w:pStyle w:val="EndnoteText"/>
      </w:pPr>
      <w:r>
        <w:rPr>
          <w:rStyle w:val="EndnoteReference"/>
        </w:rPr>
        <w:endnoteRef/>
      </w:r>
      <w:r>
        <w:t xml:space="preserve"> Australian Human Rights Commission, </w:t>
      </w:r>
      <w:r>
        <w:rPr>
          <w:i/>
        </w:rPr>
        <w:t>Investing in care: recognising and valuing those who care</w:t>
      </w:r>
      <w:r>
        <w:t>, Research Report Volume 1 (2013), p 5.</w:t>
      </w:r>
    </w:p>
  </w:endnote>
  <w:endnote w:id="37">
    <w:p w:rsidR="00306FFF" w:rsidRDefault="00306FFF" w:rsidP="0081776F">
      <w:pPr>
        <w:pStyle w:val="EndnoteText"/>
      </w:pPr>
      <w:r>
        <w:rPr>
          <w:rStyle w:val="EndnoteReference"/>
        </w:rPr>
        <w:endnoteRef/>
      </w:r>
      <w:r>
        <w:t xml:space="preserve"> </w:t>
      </w:r>
      <w:r>
        <w:rPr>
          <w:rFonts w:cs="Arial"/>
          <w:lang w:val="en"/>
        </w:rPr>
        <w:t xml:space="preserve">Ross Clare, </w:t>
      </w:r>
      <w:r>
        <w:rPr>
          <w:rStyle w:val="Emphasis"/>
          <w:rFonts w:cs="Arial"/>
          <w:lang w:val="en"/>
        </w:rPr>
        <w:t>Developments in the level and distribution of retirement savings</w:t>
      </w:r>
      <w:r>
        <w:rPr>
          <w:rStyle w:val="Emphasis"/>
          <w:rFonts w:cs="Arial"/>
          <w:i w:val="0"/>
          <w:lang w:val="en"/>
        </w:rPr>
        <w:t>, ASFA Research and Resource Centre</w:t>
      </w:r>
      <w:r>
        <w:rPr>
          <w:rStyle w:val="Emphasis"/>
          <w:rFonts w:cs="Arial"/>
          <w:lang w:val="en"/>
        </w:rPr>
        <w:t xml:space="preserve"> </w:t>
      </w:r>
      <w:r>
        <w:rPr>
          <w:rFonts w:cs="Arial"/>
          <w:lang w:val="en"/>
        </w:rPr>
        <w:t>(2011), p 10.</w:t>
      </w:r>
    </w:p>
  </w:endnote>
  <w:endnote w:id="38">
    <w:p w:rsidR="00306FFF" w:rsidRPr="0081776F" w:rsidRDefault="00306FFF">
      <w:pPr>
        <w:pStyle w:val="EndnoteText"/>
      </w:pPr>
      <w:r>
        <w:rPr>
          <w:rStyle w:val="EndnoteReference"/>
        </w:rPr>
        <w:endnoteRef/>
      </w:r>
      <w:r>
        <w:t xml:space="preserve"> </w:t>
      </w:r>
      <w:proofErr w:type="gramStart"/>
      <w:r>
        <w:t xml:space="preserve">Australian Bureau of Statistics, </w:t>
      </w:r>
      <w:r>
        <w:rPr>
          <w:i/>
        </w:rPr>
        <w:t>Superannuation</w:t>
      </w:r>
      <w:r>
        <w:t>, Gender indicators, Australia, Catalogue No. 4125.0 (January 2013).</w:t>
      </w:r>
      <w:proofErr w:type="gramEnd"/>
      <w:r>
        <w:t xml:space="preserve"> At </w:t>
      </w:r>
      <w:r w:rsidRPr="0081776F">
        <w:t>http://www.abs.gov.au/ausstats/abs@.nsf/Lookup/4125.0main+features1230Jan%202013</w:t>
      </w:r>
      <w:r>
        <w:t xml:space="preserve"> (viewed 11 March 2013).</w:t>
      </w:r>
    </w:p>
  </w:endnote>
  <w:endnote w:id="39">
    <w:p w:rsidR="00306FFF" w:rsidRDefault="00306FFF">
      <w:pPr>
        <w:pStyle w:val="EndnoteText"/>
      </w:pPr>
      <w:r>
        <w:rPr>
          <w:rStyle w:val="EndnoteReference"/>
        </w:rPr>
        <w:endnoteRef/>
      </w:r>
      <w:r>
        <w:t xml:space="preserve"> </w:t>
      </w:r>
      <w:r w:rsidRPr="00F46E5F">
        <w:rPr>
          <w:lang w:val="en"/>
        </w:rPr>
        <w:t xml:space="preserve">Australian Institute of Health and Welfare, </w:t>
      </w:r>
      <w:r>
        <w:rPr>
          <w:i/>
          <w:iCs/>
          <w:lang w:val="en"/>
        </w:rPr>
        <w:t>Older Australia at a g</w:t>
      </w:r>
      <w:r w:rsidRPr="00F46E5F">
        <w:rPr>
          <w:i/>
          <w:iCs/>
          <w:lang w:val="en"/>
        </w:rPr>
        <w:t>lance</w:t>
      </w:r>
      <w:proofErr w:type="gramStart"/>
      <w:r w:rsidRPr="00F46E5F">
        <w:rPr>
          <w:lang w:val="en"/>
        </w:rPr>
        <w:t>,</w:t>
      </w:r>
      <w:proofErr w:type="gramEnd"/>
      <w:r w:rsidRPr="00F46E5F">
        <w:rPr>
          <w:lang w:val="en"/>
        </w:rPr>
        <w:br/>
        <w:t xml:space="preserve">Catalogue No. </w:t>
      </w:r>
      <w:proofErr w:type="gramStart"/>
      <w:r w:rsidRPr="00F46E5F">
        <w:rPr>
          <w:lang w:val="en"/>
        </w:rPr>
        <w:t>AGE 52 (4</w:t>
      </w:r>
      <w:r w:rsidRPr="00F46E5F">
        <w:rPr>
          <w:vertAlign w:val="superscript"/>
          <w:lang w:val="en"/>
        </w:rPr>
        <w:t>th</w:t>
      </w:r>
      <w:r w:rsidRPr="00F46E5F">
        <w:rPr>
          <w:lang w:val="en"/>
        </w:rPr>
        <w:t xml:space="preserve"> edition, 2007), p 142.</w:t>
      </w:r>
      <w:proofErr w:type="gramEnd"/>
      <w:r w:rsidRPr="00F46E5F">
        <w:rPr>
          <w:lang w:val="en"/>
        </w:rPr>
        <w:t xml:space="preserve"> At http://www.aihw.gov.au/publication-detail/?id=6442468045 (viewed 14 May 2012).</w:t>
      </w:r>
    </w:p>
  </w:endnote>
  <w:endnote w:id="40">
    <w:p w:rsidR="00306FFF" w:rsidRDefault="00306FFF" w:rsidP="00F46E5F">
      <w:pPr>
        <w:pStyle w:val="EndnoteText"/>
      </w:pPr>
      <w:r>
        <w:rPr>
          <w:rStyle w:val="EndnoteReference"/>
        </w:rPr>
        <w:endnoteRef/>
      </w:r>
      <w:r>
        <w:t xml:space="preserve"> </w:t>
      </w:r>
      <w:r w:rsidRPr="00F46E5F">
        <w:rPr>
          <w:lang w:val="en"/>
        </w:rPr>
        <w:t xml:space="preserve">Australian Institute of Health and Welfare, </w:t>
      </w:r>
      <w:r>
        <w:rPr>
          <w:i/>
          <w:iCs/>
          <w:lang w:val="en"/>
        </w:rPr>
        <w:t>Older Australia at a g</w:t>
      </w:r>
      <w:r w:rsidRPr="00F46E5F">
        <w:rPr>
          <w:i/>
          <w:iCs/>
          <w:lang w:val="en"/>
        </w:rPr>
        <w:t>lance</w:t>
      </w:r>
      <w:proofErr w:type="gramStart"/>
      <w:r w:rsidRPr="00F46E5F">
        <w:rPr>
          <w:lang w:val="en"/>
        </w:rPr>
        <w:t>,</w:t>
      </w:r>
      <w:proofErr w:type="gramEnd"/>
      <w:r w:rsidRPr="00F46E5F">
        <w:rPr>
          <w:lang w:val="en"/>
        </w:rPr>
        <w:br/>
        <w:t xml:space="preserve">Catalogue No. </w:t>
      </w:r>
      <w:proofErr w:type="gramStart"/>
      <w:r w:rsidRPr="00F46E5F">
        <w:rPr>
          <w:lang w:val="en"/>
        </w:rPr>
        <w:t>AGE 52 (4</w:t>
      </w:r>
      <w:r w:rsidRPr="00F46E5F">
        <w:rPr>
          <w:vertAlign w:val="superscript"/>
          <w:lang w:val="en"/>
        </w:rPr>
        <w:t>th</w:t>
      </w:r>
      <w:r w:rsidRPr="00F46E5F">
        <w:rPr>
          <w:lang w:val="en"/>
        </w:rPr>
        <w:t xml:space="preserve"> edition, 2007), p 142.</w:t>
      </w:r>
      <w:proofErr w:type="gramEnd"/>
      <w:r w:rsidRPr="00F46E5F">
        <w:rPr>
          <w:lang w:val="en"/>
        </w:rPr>
        <w:t xml:space="preserve"> At http://www.aihw.gov.au/publication-detail/?id=6442468045</w:t>
      </w:r>
      <w:r>
        <w:rPr>
          <w:lang w:val="en"/>
        </w:rPr>
        <w:t xml:space="preserve"> (viewed 14 May 2012).</w:t>
      </w:r>
    </w:p>
  </w:endnote>
  <w:endnote w:id="41">
    <w:p w:rsidR="00306FFF" w:rsidRDefault="00306FFF" w:rsidP="003701B7">
      <w:pPr>
        <w:pStyle w:val="EndnoteText"/>
      </w:pPr>
      <w:r>
        <w:rPr>
          <w:rStyle w:val="EndnoteReference"/>
        </w:rPr>
        <w:endnoteRef/>
      </w:r>
      <w:r>
        <w:t xml:space="preserve"> </w:t>
      </w:r>
      <w:r>
        <w:rPr>
          <w:i/>
          <w:iCs/>
          <w:lang w:val="en"/>
        </w:rPr>
        <w:t>International Covenant on Civil and Political Rights</w:t>
      </w:r>
      <w:r>
        <w:rPr>
          <w:lang w:val="en"/>
        </w:rPr>
        <w:t xml:space="preserve">, opened for signature 16 December 1966, 999 UNTS 171 (entered into force 23 March 1976); </w:t>
      </w:r>
      <w:r>
        <w:rPr>
          <w:i/>
          <w:iCs/>
          <w:lang w:val="en"/>
        </w:rPr>
        <w:t>International Covenant on Economic, Social and Cultural Rights</w:t>
      </w:r>
      <w:r>
        <w:rPr>
          <w:lang w:val="en"/>
        </w:rPr>
        <w:t xml:space="preserve">, opened for signature 16 December 1966, 993 UNTS 3 (entered into force 3 January 1976); </w:t>
      </w:r>
      <w:r>
        <w:rPr>
          <w:i/>
          <w:iCs/>
          <w:lang w:val="en"/>
        </w:rPr>
        <w:t>International Convention on the Elimination of All Forms of Racial Discrimination</w:t>
      </w:r>
      <w:r>
        <w:rPr>
          <w:lang w:val="en"/>
        </w:rPr>
        <w:t xml:space="preserve">, opened for signature 21 December 1965, 660 UNTS 195 (entered into force 4 January 1969); </w:t>
      </w:r>
      <w:r>
        <w:rPr>
          <w:i/>
          <w:iCs/>
          <w:lang w:val="en"/>
        </w:rPr>
        <w:t>Convention on the Elimination of All Forms of Discrimination against Women</w:t>
      </w:r>
      <w:r>
        <w:rPr>
          <w:lang w:val="en"/>
        </w:rPr>
        <w:t>, opened for signature 18 December 1979, 1249</w:t>
      </w:r>
      <w:r>
        <w:rPr>
          <w:b/>
          <w:bCs/>
          <w:lang w:val="en"/>
        </w:rPr>
        <w:t xml:space="preserve"> </w:t>
      </w:r>
      <w:r>
        <w:rPr>
          <w:lang w:val="en"/>
        </w:rPr>
        <w:t xml:space="preserve">UNTS 13 (entered into force 3 August 1981); </w:t>
      </w:r>
      <w:r>
        <w:rPr>
          <w:i/>
          <w:iCs/>
          <w:lang w:val="en"/>
        </w:rPr>
        <w:t xml:space="preserve">Convention against Torture and Other Cruel, Inhuman or Degrading Treatment or Punishment, </w:t>
      </w:r>
      <w:r>
        <w:rPr>
          <w:lang w:val="en"/>
        </w:rPr>
        <w:t xml:space="preserve">opened for signature 10 December 1984, 1465 UNTS 85 (entered into force 26 June 1987); </w:t>
      </w:r>
      <w:r>
        <w:rPr>
          <w:i/>
          <w:iCs/>
          <w:lang w:val="en"/>
        </w:rPr>
        <w:t xml:space="preserve">Convention on the Rights of the Child, </w:t>
      </w:r>
      <w:r>
        <w:rPr>
          <w:lang w:val="en"/>
        </w:rPr>
        <w:t xml:space="preserve">opened for signature 20 November 1989, 1577 UNTS 3 (entered into force 2 September 1990); </w:t>
      </w:r>
      <w:r>
        <w:rPr>
          <w:i/>
          <w:iCs/>
          <w:lang w:val="en"/>
        </w:rPr>
        <w:t>Convention on the Rights of Persons with Disabilities</w:t>
      </w:r>
      <w:r>
        <w:rPr>
          <w:lang w:val="en"/>
        </w:rPr>
        <w:t>, opened for signature 13 December 2006, 2515 UNTS 3 (entered into force 3 May 2008).</w:t>
      </w:r>
    </w:p>
  </w:endnote>
  <w:endnote w:id="42">
    <w:p w:rsidR="00306FFF" w:rsidRPr="003B71BB" w:rsidRDefault="00306FFF" w:rsidP="00E630F9">
      <w:pPr>
        <w:pStyle w:val="EndnoteText"/>
      </w:pPr>
      <w:r>
        <w:rPr>
          <w:rStyle w:val="EndnoteReference"/>
        </w:rPr>
        <w:endnoteRef/>
      </w:r>
      <w:r>
        <w:t xml:space="preserve"> Australian Human Rights Commission, </w:t>
      </w:r>
      <w:r>
        <w:rPr>
          <w:i/>
        </w:rPr>
        <w:t xml:space="preserve">Human rights approach to ageing and health: respect and choice </w:t>
      </w:r>
      <w:r>
        <w:t xml:space="preserve">(2012), p 7. At </w:t>
      </w:r>
      <w:r w:rsidRPr="00F54C31">
        <w:t>http://humanrights.gov.au/age/ageing/index.html</w:t>
      </w:r>
      <w:r>
        <w:t xml:space="preserve"> (viewed 25 February 2013).</w:t>
      </w:r>
    </w:p>
  </w:endnote>
  <w:endnote w:id="43">
    <w:p w:rsidR="00306FFF" w:rsidRDefault="00306FFF">
      <w:pPr>
        <w:pStyle w:val="EndnoteText"/>
      </w:pPr>
      <w:r>
        <w:rPr>
          <w:rStyle w:val="EndnoteReference"/>
        </w:rPr>
        <w:endnoteRef/>
      </w:r>
      <w:r>
        <w:t xml:space="preserve"> Australian Human Rights Commission, </w:t>
      </w:r>
      <w:r>
        <w:rPr>
          <w:i/>
        </w:rPr>
        <w:t xml:space="preserve">Human rights approach to ageing and health: respect and choice </w:t>
      </w:r>
      <w:r>
        <w:t xml:space="preserve">(2012), p 7. At </w:t>
      </w:r>
      <w:r w:rsidRPr="00F54C31">
        <w:t>http://humanrights.gov.au/age/ageing/index.html</w:t>
      </w:r>
      <w:r>
        <w:t xml:space="preserve"> (viewed 25 February 2013).</w:t>
      </w:r>
    </w:p>
  </w:endnote>
  <w:endnote w:id="44">
    <w:p w:rsidR="00306FFF" w:rsidRDefault="00306FFF">
      <w:pPr>
        <w:pStyle w:val="EndnoteText"/>
      </w:pPr>
      <w:r>
        <w:rPr>
          <w:rStyle w:val="EndnoteReference"/>
        </w:rPr>
        <w:endnoteRef/>
      </w:r>
      <w:r>
        <w:t xml:space="preserve"> </w:t>
      </w:r>
      <w:r w:rsidRPr="00770642">
        <w:rPr>
          <w:lang w:val="en"/>
        </w:rPr>
        <w:t xml:space="preserve">Commonwealth of Australia, </w:t>
      </w:r>
      <w:r>
        <w:rPr>
          <w:i/>
          <w:iCs/>
          <w:lang w:val="en"/>
        </w:rPr>
        <w:t>Caring for o</w:t>
      </w:r>
      <w:r w:rsidRPr="00770642">
        <w:rPr>
          <w:i/>
          <w:iCs/>
          <w:lang w:val="en"/>
        </w:rPr>
        <w:t>lder Australians,</w:t>
      </w:r>
      <w:r w:rsidRPr="00770642">
        <w:rPr>
          <w:lang w:val="en"/>
        </w:rPr>
        <w:t xml:space="preserve"> Report No. 53, Productivity Commission (2011),</w:t>
      </w:r>
      <w:r w:rsidRPr="00770642">
        <w:rPr>
          <w:i/>
          <w:iCs/>
          <w:lang w:val="en"/>
        </w:rPr>
        <w:t xml:space="preserve"> </w:t>
      </w:r>
      <w:r w:rsidRPr="00770642">
        <w:rPr>
          <w:lang w:val="en"/>
        </w:rPr>
        <w:t xml:space="preserve">p 15. At </w:t>
      </w:r>
      <w:r w:rsidRPr="00857908">
        <w:rPr>
          <w:lang w:val="en"/>
        </w:rPr>
        <w:t>http://www.pc.gov.au/projects/inquiry/aged-care/report</w:t>
      </w:r>
      <w:r>
        <w:rPr>
          <w:lang w:val="en"/>
        </w:rPr>
        <w:t xml:space="preserve"> (viewed 3 May 2012).</w:t>
      </w:r>
    </w:p>
  </w:endnote>
  <w:endnote w:id="45">
    <w:p w:rsidR="00306FFF" w:rsidRDefault="00306FFF">
      <w:pPr>
        <w:pStyle w:val="EndnoteText"/>
      </w:pPr>
      <w:r>
        <w:rPr>
          <w:rStyle w:val="EndnoteReference"/>
        </w:rPr>
        <w:endnoteRef/>
      </w:r>
      <w:r>
        <w:t xml:space="preserve"> </w:t>
      </w:r>
      <w:r>
        <w:rPr>
          <w:lang w:val="en"/>
        </w:rPr>
        <w:t xml:space="preserve">Commonwealth of Australia, </w:t>
      </w:r>
      <w:r>
        <w:rPr>
          <w:i/>
          <w:iCs/>
          <w:lang w:val="en"/>
        </w:rPr>
        <w:t>Caring for older Australians,</w:t>
      </w:r>
      <w:r>
        <w:rPr>
          <w:lang w:val="en"/>
        </w:rPr>
        <w:t xml:space="preserve"> Report No. 53, Productivity Commission (2011),</w:t>
      </w:r>
      <w:r>
        <w:rPr>
          <w:i/>
          <w:iCs/>
          <w:lang w:val="en"/>
        </w:rPr>
        <w:t xml:space="preserve"> </w:t>
      </w:r>
      <w:r>
        <w:rPr>
          <w:lang w:val="en"/>
        </w:rPr>
        <w:t xml:space="preserve">p 16. At </w:t>
      </w:r>
      <w:r w:rsidRPr="00857908">
        <w:rPr>
          <w:lang w:val="en"/>
        </w:rPr>
        <w:t>http://www.pc.gov.au/projects/inquiry/aged-care/report</w:t>
      </w:r>
      <w:r>
        <w:rPr>
          <w:lang w:val="en"/>
        </w:rPr>
        <w:t xml:space="preserve"> (viewed 3 May 2012).</w:t>
      </w:r>
    </w:p>
  </w:endnote>
  <w:endnote w:id="46">
    <w:p w:rsidR="00306FFF" w:rsidRPr="007A065B" w:rsidRDefault="00306FFF">
      <w:pPr>
        <w:pStyle w:val="EndnoteText"/>
      </w:pPr>
      <w:r>
        <w:rPr>
          <w:rStyle w:val="EndnoteReference"/>
        </w:rPr>
        <w:endnoteRef/>
      </w:r>
      <w:r>
        <w:t xml:space="preserve"> </w:t>
      </w:r>
      <w:r>
        <w:rPr>
          <w:i/>
        </w:rPr>
        <w:t xml:space="preserve">Australian Capital Territory Discrimination Act 1991 </w:t>
      </w:r>
      <w:r>
        <w:t xml:space="preserve">(ACT); </w:t>
      </w:r>
      <w:r w:rsidRPr="007A065B">
        <w:rPr>
          <w:i/>
        </w:rPr>
        <w:t>New South Wales Anti-Discrimination Act 1977</w:t>
      </w:r>
      <w:r>
        <w:t xml:space="preserve"> (NSW); </w:t>
      </w:r>
      <w:r w:rsidRPr="007A065B">
        <w:rPr>
          <w:i/>
        </w:rPr>
        <w:t>Northern Territory Anti-Discrimination Act 1996</w:t>
      </w:r>
      <w:r>
        <w:t xml:space="preserve"> (NT); </w:t>
      </w:r>
      <w:r w:rsidRPr="007A065B">
        <w:rPr>
          <w:i/>
        </w:rPr>
        <w:t>Queensland Anti-Discrimination Act 1991</w:t>
      </w:r>
      <w:r>
        <w:t xml:space="preserve"> (QLD); </w:t>
      </w:r>
      <w:r>
        <w:rPr>
          <w:i/>
        </w:rPr>
        <w:t>South Australia Equal Opportunity Act 1984</w:t>
      </w:r>
      <w:r>
        <w:t xml:space="preserve"> (SA), </w:t>
      </w:r>
      <w:r>
        <w:rPr>
          <w:i/>
        </w:rPr>
        <w:t xml:space="preserve">Tasmania Anti-Discrimination Act 1998 </w:t>
      </w:r>
      <w:r>
        <w:t xml:space="preserve">(TAS); </w:t>
      </w:r>
      <w:r>
        <w:rPr>
          <w:i/>
        </w:rPr>
        <w:t xml:space="preserve">Victoria Equal Opportunity Act 1995 </w:t>
      </w:r>
      <w:r>
        <w:t xml:space="preserve">(VIC); </w:t>
      </w:r>
      <w:r>
        <w:rPr>
          <w:i/>
        </w:rPr>
        <w:t>Western Australia Equal Opportunity Act 1984</w:t>
      </w:r>
      <w:r>
        <w:t xml:space="preserve"> (WA).</w:t>
      </w:r>
    </w:p>
  </w:endnote>
  <w:endnote w:id="47">
    <w:p w:rsidR="00306FFF" w:rsidRDefault="00306FFF">
      <w:pPr>
        <w:pStyle w:val="EndnoteText"/>
      </w:pPr>
      <w:r>
        <w:rPr>
          <w:rStyle w:val="EndnoteReference"/>
        </w:rPr>
        <w:endnoteRef/>
      </w:r>
      <w:r>
        <w:t xml:space="preserve"> Commonwealth of Australia, </w:t>
      </w:r>
      <w:r w:rsidRPr="001D407D">
        <w:rPr>
          <w:i/>
          <w:lang w:val="en"/>
        </w:rPr>
        <w:t>Commonwealth-State funding arrangements explained</w:t>
      </w:r>
      <w:r>
        <w:rPr>
          <w:lang w:val="en"/>
        </w:rPr>
        <w:t xml:space="preserve">, </w:t>
      </w:r>
      <w:r>
        <w:t xml:space="preserve">Department of Families, Housing, Community Services and Indigenous Affairs, </w:t>
      </w:r>
      <w:r>
        <w:rPr>
          <w:lang w:val="en"/>
        </w:rPr>
        <w:t>www.fahcsia.gov.au/our-responsibilities/communities-and-vulnerable-people/grants-funding/fair-pay-for-social-and-community-services-workers/commonwealth-state-funding-arrangements-explained#Comm (viewed 12 February 2013).</w:t>
      </w:r>
    </w:p>
  </w:endnote>
  <w:endnote w:id="48">
    <w:p w:rsidR="00306FFF" w:rsidRDefault="00306FFF">
      <w:pPr>
        <w:pStyle w:val="EndnoteText"/>
      </w:pPr>
      <w:r>
        <w:rPr>
          <w:rStyle w:val="EndnoteReference"/>
        </w:rPr>
        <w:endnoteRef/>
      </w:r>
      <w:r>
        <w:t xml:space="preserve"> Commonwealth of Australia, </w:t>
      </w:r>
      <w:r>
        <w:rPr>
          <w:i/>
        </w:rPr>
        <w:t>Our role</w:t>
      </w:r>
      <w:r>
        <w:t>, Department of Health and Ageing, www.health.gov.au/internet/main/publishing.nsf/Content/health-overview.htm (viewed 12 February 2013).</w:t>
      </w:r>
    </w:p>
  </w:endnote>
  <w:endnote w:id="49">
    <w:p w:rsidR="00306FFF" w:rsidRDefault="00306FFF">
      <w:pPr>
        <w:pStyle w:val="EndnoteText"/>
      </w:pPr>
      <w:r>
        <w:rPr>
          <w:rStyle w:val="EndnoteReference"/>
        </w:rPr>
        <w:endnoteRef/>
      </w:r>
      <w:r>
        <w:t xml:space="preserve"> </w:t>
      </w:r>
      <w:proofErr w:type="gramStart"/>
      <w:r>
        <w:rPr>
          <w:i/>
        </w:rPr>
        <w:t xml:space="preserve">Aged Care Act 1997 </w:t>
      </w:r>
      <w:r>
        <w:t>(</w:t>
      </w:r>
      <w:proofErr w:type="spellStart"/>
      <w:r>
        <w:t>Cth</w:t>
      </w:r>
      <w:proofErr w:type="spellEnd"/>
      <w:r>
        <w:t>) subsection 95A-1 and Complaints Principles 2011 Part 7.</w:t>
      </w:r>
      <w:proofErr w:type="gramEnd"/>
    </w:p>
  </w:endnote>
  <w:endnote w:id="50">
    <w:p w:rsidR="00306FFF" w:rsidRDefault="00306FFF">
      <w:pPr>
        <w:pStyle w:val="EndnoteText"/>
      </w:pPr>
      <w:r>
        <w:rPr>
          <w:rStyle w:val="EndnoteReference"/>
        </w:rPr>
        <w:endnoteRef/>
      </w:r>
      <w:r>
        <w:t xml:space="preserve"> Commonwealth of Australia, </w:t>
      </w:r>
      <w:r>
        <w:rPr>
          <w:i/>
        </w:rPr>
        <w:t>Introduction</w:t>
      </w:r>
      <w:r>
        <w:t>, The Office of the Aged Care Commissioner</w:t>
      </w:r>
      <w:r>
        <w:rPr>
          <w:i/>
        </w:rPr>
        <w:t xml:space="preserve">, </w:t>
      </w:r>
      <w:r w:rsidRPr="008D5BB9">
        <w:t>www.agedcarecommissioner.net.au/introduction.php</w:t>
      </w:r>
      <w:r>
        <w:t xml:space="preserve"> (viewed 15 February 2013).</w:t>
      </w:r>
    </w:p>
  </w:endnote>
  <w:endnote w:id="51">
    <w:p w:rsidR="00306FFF" w:rsidRDefault="00306FFF">
      <w:pPr>
        <w:pStyle w:val="EndnoteText"/>
      </w:pPr>
      <w:r>
        <w:rPr>
          <w:rStyle w:val="EndnoteReference"/>
        </w:rPr>
        <w:endnoteRef/>
      </w:r>
      <w:r>
        <w:t xml:space="preserve"> Council on the Ageing, </w:t>
      </w:r>
      <w:r>
        <w:rPr>
          <w:i/>
        </w:rPr>
        <w:t>Welcome to COTA Australia</w:t>
      </w:r>
      <w:r>
        <w:t>, www.cota.org.au/australia/default.aspx (viewed 11 February 2013).</w:t>
      </w:r>
    </w:p>
  </w:endnote>
  <w:endnote w:id="52">
    <w:p w:rsidR="00306FFF" w:rsidRDefault="00306FFF">
      <w:pPr>
        <w:pStyle w:val="EndnoteText"/>
      </w:pPr>
      <w:r>
        <w:rPr>
          <w:rStyle w:val="EndnoteReference"/>
        </w:rPr>
        <w:endnoteRef/>
      </w:r>
      <w:r>
        <w:t xml:space="preserve"> </w:t>
      </w:r>
      <w:proofErr w:type="gramStart"/>
      <w:r>
        <w:t xml:space="preserve">National Seniors Australia, </w:t>
      </w:r>
      <w:r>
        <w:rPr>
          <w:i/>
        </w:rPr>
        <w:t>National seniors.</w:t>
      </w:r>
      <w:proofErr w:type="gramEnd"/>
      <w:r>
        <w:rPr>
          <w:i/>
        </w:rPr>
        <w:t xml:space="preserve"> Be </w:t>
      </w:r>
      <w:r w:rsidRPr="005124FB">
        <w:rPr>
          <w:i/>
        </w:rPr>
        <w:t>heard</w:t>
      </w:r>
      <w:r>
        <w:t>, www.nationalseniors.com.au/ (viewed 11 February 2013).</w:t>
      </w:r>
    </w:p>
  </w:endnote>
  <w:endnote w:id="53">
    <w:p w:rsidR="00306FFF" w:rsidRDefault="00306FFF">
      <w:pPr>
        <w:pStyle w:val="EndnoteText"/>
      </w:pPr>
      <w:r>
        <w:rPr>
          <w:rStyle w:val="EndnoteReference"/>
        </w:rPr>
        <w:endnoteRef/>
      </w:r>
      <w:r>
        <w:t xml:space="preserve"> The Older Women’s Network, </w:t>
      </w:r>
      <w:r>
        <w:rPr>
          <w:i/>
        </w:rPr>
        <w:t xml:space="preserve">Welcome to OWN </w:t>
      </w:r>
      <w:r w:rsidRPr="00A37C37">
        <w:rPr>
          <w:i/>
        </w:rPr>
        <w:t>NSW</w:t>
      </w:r>
      <w:r>
        <w:t>, www.own.org.au/activities.php (viewed 11 February 2013).</w:t>
      </w:r>
    </w:p>
  </w:endnote>
  <w:endnote w:id="54">
    <w:p w:rsidR="00306FFF" w:rsidRDefault="00306FFF">
      <w:pPr>
        <w:pStyle w:val="EndnoteText"/>
      </w:pPr>
      <w:r>
        <w:rPr>
          <w:rStyle w:val="EndnoteReference"/>
        </w:rPr>
        <w:endnoteRef/>
      </w:r>
      <w:r>
        <w:t xml:space="preserve"> Elder Abuse Prevention Unit, </w:t>
      </w:r>
      <w:r>
        <w:rPr>
          <w:i/>
        </w:rPr>
        <w:t>About the Elder Abuse Prevention Unit</w:t>
      </w:r>
      <w:r>
        <w:t>, www.eapu.com.au/AboutEAPU.aspx (viewed 12 February 2013).</w:t>
      </w:r>
    </w:p>
  </w:endnote>
  <w:endnote w:id="55">
    <w:p w:rsidR="00306FFF" w:rsidRDefault="00306FFF">
      <w:pPr>
        <w:pStyle w:val="EndnoteText"/>
      </w:pPr>
      <w:r>
        <w:rPr>
          <w:rStyle w:val="EndnoteReference"/>
        </w:rPr>
        <w:endnoteRef/>
      </w:r>
      <w:r>
        <w:t xml:space="preserve"> Elder Law at UWS, </w:t>
      </w:r>
      <w:proofErr w:type="gramStart"/>
      <w:r>
        <w:rPr>
          <w:i/>
        </w:rPr>
        <w:t>About</w:t>
      </w:r>
      <w:proofErr w:type="gramEnd"/>
      <w:r>
        <w:t xml:space="preserve">, </w:t>
      </w:r>
      <w:r w:rsidRPr="005124FB">
        <w:t>www.elderlaw.org.au/pages/default.aspx?pid=5</w:t>
      </w:r>
      <w:r>
        <w:rPr>
          <w:i/>
        </w:rPr>
        <w:t xml:space="preserve"> </w:t>
      </w:r>
      <w:r>
        <w:t>(viewed 11 February 2013).</w:t>
      </w:r>
    </w:p>
  </w:endnote>
  <w:endnote w:id="56">
    <w:p w:rsidR="00306FFF" w:rsidRPr="00B438A5" w:rsidRDefault="00306FFF" w:rsidP="00441054">
      <w:pPr>
        <w:pStyle w:val="EndnoteText"/>
      </w:pPr>
      <w:r>
        <w:rPr>
          <w:rStyle w:val="EndnoteReference"/>
        </w:rPr>
        <w:endnoteRef/>
      </w:r>
      <w:r>
        <w:t xml:space="preserve"> Commonwealth of Australia, </w:t>
      </w:r>
      <w:r>
        <w:rPr>
          <w:i/>
        </w:rPr>
        <w:t>Australia’s Human Rights Framework</w:t>
      </w:r>
      <w:r>
        <w:t xml:space="preserve">, Attorney-General’s Department, </w:t>
      </w:r>
      <w:r w:rsidRPr="00C16633">
        <w:t>http://www.ag.gov.au/RightsAndProtections/HumanRights/HumanRightsFramework/Pages/default.aspx</w:t>
      </w:r>
      <w:r>
        <w:t xml:space="preserve"> (viewed 4 March 2013).</w:t>
      </w:r>
    </w:p>
  </w:endnote>
  <w:endnote w:id="57">
    <w:p w:rsidR="00306FFF" w:rsidRPr="00C43498" w:rsidRDefault="00306FFF">
      <w:pPr>
        <w:pStyle w:val="EndnoteText"/>
      </w:pPr>
      <w:r>
        <w:rPr>
          <w:rStyle w:val="EndnoteReference"/>
        </w:rPr>
        <w:endnoteRef/>
      </w:r>
      <w:r>
        <w:t xml:space="preserve"> Sexual Assault in Disability and Aged Care, </w:t>
      </w:r>
      <w:r>
        <w:rPr>
          <w:i/>
        </w:rPr>
        <w:t>About the SADA (Sexual Assault in Disability and Aged Care) Project website</w:t>
      </w:r>
      <w:r>
        <w:t xml:space="preserve">, </w:t>
      </w:r>
      <w:r w:rsidRPr="00C43498">
        <w:t>http://www.sadaproject.org.au/</w:t>
      </w:r>
      <w:r>
        <w:t xml:space="preserve"> (viewed 4 March 2013).</w:t>
      </w:r>
    </w:p>
  </w:endnote>
  <w:endnote w:id="58">
    <w:p w:rsidR="00306FFF" w:rsidRPr="004E3C5C" w:rsidRDefault="00306FFF" w:rsidP="004E3C5C">
      <w:pPr>
        <w:pStyle w:val="EndnoteText"/>
      </w:pPr>
      <w:r>
        <w:rPr>
          <w:rStyle w:val="EndnoteReference"/>
        </w:rPr>
        <w:endnoteRef/>
      </w:r>
      <w:r>
        <w:t xml:space="preserve"> 1800RESPECT, </w:t>
      </w:r>
      <w:r>
        <w:rPr>
          <w:i/>
        </w:rPr>
        <w:t>Welcome to 1800RESPECT, Australia’s national sexual assault, domestic and family violence counselling service</w:t>
      </w:r>
      <w:r>
        <w:t xml:space="preserve">, </w:t>
      </w:r>
      <w:proofErr w:type="gramStart"/>
      <w:r w:rsidRPr="004E3C5C">
        <w:t>http</w:t>
      </w:r>
      <w:proofErr w:type="gramEnd"/>
      <w:r w:rsidRPr="004E3C5C">
        <w:t>://www.1800respect.org.au/</w:t>
      </w:r>
      <w:r>
        <w:t xml:space="preserve"> (viewed 4 March 2013).</w:t>
      </w:r>
    </w:p>
  </w:endnote>
  <w:endnote w:id="59">
    <w:p w:rsidR="00306FFF" w:rsidRDefault="00306FFF">
      <w:pPr>
        <w:pStyle w:val="EndnoteText"/>
      </w:pPr>
      <w:r>
        <w:rPr>
          <w:rStyle w:val="EndnoteReference"/>
        </w:rPr>
        <w:endnoteRef/>
      </w:r>
      <w:r>
        <w:t xml:space="preserve"> </w:t>
      </w:r>
      <w:r w:rsidRPr="00E672A3">
        <w:t>NSW</w:t>
      </w:r>
      <w:r>
        <w:t xml:space="preserve"> Government,</w:t>
      </w:r>
      <w:r w:rsidRPr="00E672A3">
        <w:t xml:space="preserve"> </w:t>
      </w:r>
      <w:r w:rsidRPr="00E672A3">
        <w:rPr>
          <w:i/>
        </w:rPr>
        <w:t>NSW Ageing Strategy</w:t>
      </w:r>
      <w:r>
        <w:t>,</w:t>
      </w:r>
      <w:r w:rsidRPr="00E672A3">
        <w:t xml:space="preserve"> Department of Family and Community Services, Ageing, Disability and Home Care</w:t>
      </w:r>
      <w:r>
        <w:t xml:space="preserve"> (</w:t>
      </w:r>
      <w:r w:rsidRPr="00E672A3">
        <w:t>2012</w:t>
      </w:r>
      <w:r>
        <w:t>)</w:t>
      </w:r>
      <w:r w:rsidRPr="00E672A3">
        <w:t>. At http://www.adhc.nsw.gov.au/about_us/strategies/nsw_ageing_strategy (viewed 11 March 2013).</w:t>
      </w:r>
    </w:p>
  </w:endnote>
  <w:endnote w:id="60">
    <w:p w:rsidR="00306FFF" w:rsidRPr="00D50092" w:rsidRDefault="00306FFF" w:rsidP="00674673">
      <w:pPr>
        <w:pStyle w:val="EndnoteText"/>
      </w:pPr>
      <w:r>
        <w:rPr>
          <w:rStyle w:val="EndnoteReference"/>
        </w:rPr>
        <w:endnoteRef/>
      </w:r>
      <w:r>
        <w:t xml:space="preserve"> Commonwealth of Australia, </w:t>
      </w:r>
      <w:r>
        <w:rPr>
          <w:i/>
        </w:rPr>
        <w:t>Financial Information Service</w:t>
      </w:r>
      <w:r>
        <w:t xml:space="preserve">, Department of Human Services, </w:t>
      </w:r>
      <w:r w:rsidRPr="00D50092">
        <w:t>http://www.humanservices.gov.au/customer/services/centrelink/financial-information-service</w:t>
      </w:r>
      <w:r>
        <w:t xml:space="preserve"> (viewed 5 March 2013).</w:t>
      </w:r>
    </w:p>
  </w:endnote>
  <w:endnote w:id="61">
    <w:p w:rsidR="00306FFF" w:rsidRPr="00D50092" w:rsidRDefault="00306FFF" w:rsidP="00674673">
      <w:pPr>
        <w:pStyle w:val="EndnoteText"/>
      </w:pPr>
      <w:r>
        <w:rPr>
          <w:rStyle w:val="EndnoteReference"/>
        </w:rPr>
        <w:endnoteRef/>
      </w:r>
      <w:r>
        <w:t xml:space="preserve"> NICRI, </w:t>
      </w:r>
      <w:proofErr w:type="gramStart"/>
      <w:r>
        <w:rPr>
          <w:i/>
        </w:rPr>
        <w:t>About</w:t>
      </w:r>
      <w:proofErr w:type="gramEnd"/>
      <w:r>
        <w:rPr>
          <w:i/>
        </w:rPr>
        <w:t xml:space="preserve"> us</w:t>
      </w:r>
      <w:r>
        <w:t xml:space="preserve">, </w:t>
      </w:r>
      <w:r w:rsidRPr="00D50092">
        <w:t>http://www.nicri.org.au/</w:t>
      </w:r>
      <w:r>
        <w:t xml:space="preserve"> (viewed 5 March 2013).</w:t>
      </w:r>
    </w:p>
  </w:endnote>
  <w:endnote w:id="62">
    <w:p w:rsidR="00306FFF" w:rsidRPr="005613AC" w:rsidRDefault="00306FFF" w:rsidP="000E1A0D">
      <w:pPr>
        <w:pStyle w:val="EndnoteText"/>
      </w:pPr>
      <w:r>
        <w:rPr>
          <w:rStyle w:val="EndnoteReference"/>
        </w:rPr>
        <w:endnoteRef/>
      </w:r>
      <w:r>
        <w:t xml:space="preserve"> Commonwealth of Australia, </w:t>
      </w:r>
      <w:r>
        <w:rPr>
          <w:i/>
        </w:rPr>
        <w:t>Publications</w:t>
      </w:r>
      <w:r>
        <w:t xml:space="preserve">, Department of Health and Ageing, </w:t>
      </w:r>
      <w:r w:rsidRPr="005613AC">
        <w:t>http://www.health.gov.au/internet/main/publishing.nsf/content/ageing-rescare-cvs-cvs.htm</w:t>
      </w:r>
      <w:r>
        <w:t xml:space="preserve"> (viewed 5 March 2013).</w:t>
      </w:r>
    </w:p>
  </w:endnote>
  <w:endnote w:id="63">
    <w:p w:rsidR="00306FFF" w:rsidRDefault="00306FFF" w:rsidP="007429C1">
      <w:pPr>
        <w:pStyle w:val="EndnoteText"/>
      </w:pPr>
      <w:r>
        <w:rPr>
          <w:rStyle w:val="EndnoteReference"/>
        </w:rPr>
        <w:endnoteRef/>
      </w:r>
      <w:r>
        <w:t xml:space="preserve"> Commonwealth of Australia, </w:t>
      </w:r>
      <w:r>
        <w:rPr>
          <w:i/>
        </w:rPr>
        <w:t>Older Australians</w:t>
      </w:r>
      <w:r>
        <w:t>, Department of Human Services, http://www.humanservices.gov.au/customer/themes/older-australians (viewed 4 March 2013).</w:t>
      </w:r>
    </w:p>
  </w:endnote>
  <w:endnote w:id="64">
    <w:p w:rsidR="00306FFF" w:rsidRDefault="00306FFF" w:rsidP="007429C1">
      <w:pPr>
        <w:pStyle w:val="EndnoteText"/>
      </w:pPr>
      <w:r>
        <w:rPr>
          <w:rStyle w:val="EndnoteReference"/>
        </w:rPr>
        <w:endnoteRef/>
      </w:r>
      <w:r>
        <w:t xml:space="preserve"> Commonwealth of Australia, </w:t>
      </w:r>
      <w:r>
        <w:rPr>
          <w:i/>
        </w:rPr>
        <w:t>Older Australians</w:t>
      </w:r>
      <w:r>
        <w:t>, Department of Human Services, http://www.humanservices.gov.au/customer/themes/older-australians (viewed 4 March 2013).</w:t>
      </w:r>
    </w:p>
  </w:endnote>
  <w:endnote w:id="65">
    <w:p w:rsidR="00306FFF" w:rsidRDefault="00306FFF" w:rsidP="007429C1">
      <w:pPr>
        <w:pStyle w:val="EndnoteText"/>
      </w:pPr>
      <w:r>
        <w:rPr>
          <w:rStyle w:val="EndnoteReference"/>
        </w:rPr>
        <w:endnoteRef/>
      </w:r>
      <w:r>
        <w:t xml:space="preserve"> Seniors Card, </w:t>
      </w:r>
      <w:r>
        <w:rPr>
          <w:i/>
        </w:rPr>
        <w:t xml:space="preserve">Welcome to </w:t>
      </w:r>
      <w:proofErr w:type="gramStart"/>
      <w:r>
        <w:rPr>
          <w:i/>
        </w:rPr>
        <w:t>seniors</w:t>
      </w:r>
      <w:proofErr w:type="gramEnd"/>
      <w:r>
        <w:rPr>
          <w:i/>
        </w:rPr>
        <w:t xml:space="preserve"> card</w:t>
      </w:r>
      <w:r>
        <w:t>, http://www.seniorscard.com.au/ (viewed 4 March 2013).</w:t>
      </w:r>
    </w:p>
  </w:endnote>
  <w:endnote w:id="66">
    <w:p w:rsidR="00306FFF" w:rsidRPr="009D519D" w:rsidRDefault="00306FFF">
      <w:pPr>
        <w:pStyle w:val="EndnoteText"/>
      </w:pPr>
      <w:r>
        <w:rPr>
          <w:rStyle w:val="EndnoteReference"/>
        </w:rPr>
        <w:endnoteRef/>
      </w:r>
      <w:r>
        <w:t xml:space="preserve"> Commonwealth of Australia, </w:t>
      </w:r>
      <w:r>
        <w:rPr>
          <w:i/>
        </w:rPr>
        <w:t>Payments for carers</w:t>
      </w:r>
      <w:r>
        <w:t xml:space="preserve">, Department of Human Services, </w:t>
      </w:r>
      <w:r w:rsidRPr="009D519D">
        <w:t>http://www.humanservices.gov.au/customer/subjects/payments-for-carers</w:t>
      </w:r>
      <w:r>
        <w:t xml:space="preserve"> (viewed 11 March 2013).</w:t>
      </w:r>
    </w:p>
  </w:endnote>
  <w:endnote w:id="67">
    <w:p w:rsidR="00306FFF" w:rsidRDefault="00306FFF" w:rsidP="007429C1">
      <w:pPr>
        <w:pStyle w:val="EndnoteText"/>
      </w:pPr>
      <w:r>
        <w:rPr>
          <w:rStyle w:val="EndnoteReference"/>
        </w:rPr>
        <w:endnoteRef/>
      </w:r>
      <w:r>
        <w:t xml:space="preserve"> Commonwealth of Australia, </w:t>
      </w:r>
      <w:r>
        <w:rPr>
          <w:i/>
        </w:rPr>
        <w:t>Tax offsets – home</w:t>
      </w:r>
      <w:r>
        <w:t>, Australian Taxation Office</w:t>
      </w:r>
      <w:r>
        <w:rPr>
          <w:i/>
        </w:rPr>
        <w:t xml:space="preserve">, </w:t>
      </w:r>
      <w:r>
        <w:t>http://www.ato.gov.au/pathway.aspx?sid=42&amp;ms=individuals&amp;pc=001/002/005 (viewed 4 March 2013).</w:t>
      </w:r>
    </w:p>
  </w:endnote>
  <w:endnote w:id="68">
    <w:p w:rsidR="00306FFF" w:rsidRPr="00B643F2" w:rsidRDefault="00306FFF" w:rsidP="00913EC1">
      <w:pPr>
        <w:pStyle w:val="EndnoteText"/>
      </w:pPr>
      <w:r>
        <w:rPr>
          <w:rStyle w:val="EndnoteReference"/>
        </w:rPr>
        <w:endnoteRef/>
      </w:r>
      <w:r>
        <w:t xml:space="preserve"> Commonwealth of Australia, </w:t>
      </w:r>
      <w:r>
        <w:rPr>
          <w:i/>
        </w:rPr>
        <w:t>Nutrition and healthy eating</w:t>
      </w:r>
      <w:r>
        <w:t xml:space="preserve">, Department of Health and Ageing, </w:t>
      </w:r>
      <w:r w:rsidRPr="00B643F2">
        <w:t>http://www.health.gov.au/internet/main/publishing.nsf/content/health-pubhlth-strateg-food-nphp.htm</w:t>
      </w:r>
      <w:r>
        <w:t xml:space="preserve"> (viewed 4 March 2013).</w:t>
      </w:r>
    </w:p>
  </w:endnote>
  <w:endnote w:id="69">
    <w:p w:rsidR="00306FFF" w:rsidRDefault="00306FFF">
      <w:pPr>
        <w:pStyle w:val="EndnoteText"/>
      </w:pPr>
      <w:r>
        <w:rPr>
          <w:rStyle w:val="EndnoteReference"/>
        </w:rPr>
        <w:endnoteRef/>
      </w:r>
      <w:r>
        <w:t xml:space="preserve"> </w:t>
      </w:r>
      <w:r w:rsidRPr="008E47B1">
        <w:t xml:space="preserve">Australian Bureau of Statistics, </w:t>
      </w:r>
      <w:r w:rsidRPr="003A15AD">
        <w:rPr>
          <w:i/>
        </w:rPr>
        <w:t>Housing Arrangements: Housing for Older Australians</w:t>
      </w:r>
      <w:r w:rsidRPr="008E47B1">
        <w:t xml:space="preserve">, </w:t>
      </w:r>
      <w:r>
        <w:t xml:space="preserve">Catalogue No. </w:t>
      </w:r>
      <w:r w:rsidRPr="008E47B1">
        <w:t>4102.0 – A</w:t>
      </w:r>
      <w:r>
        <w:t>ustralian Social trends (</w:t>
      </w:r>
      <w:r w:rsidRPr="008E47B1">
        <w:t>2005</w:t>
      </w:r>
      <w:r>
        <w:t xml:space="preserve">), p 5. At </w:t>
      </w:r>
      <w:r w:rsidRPr="008E47B1">
        <w:t>http://www.abs.gov.au/ausstats/abs@.nsf/2f762f95845417aeca25706c00834efa/4fe57db85b46d6cfca25703b0080cccc!OpenDocument (viewed 27 January 2012)</w:t>
      </w:r>
      <w:r>
        <w:t>.</w:t>
      </w:r>
    </w:p>
  </w:endnote>
  <w:endnote w:id="70">
    <w:p w:rsidR="00306FFF" w:rsidRPr="004A3D5B" w:rsidRDefault="00306FFF">
      <w:pPr>
        <w:pStyle w:val="EndnoteText"/>
      </w:pPr>
      <w:r>
        <w:rPr>
          <w:rStyle w:val="EndnoteReference"/>
        </w:rPr>
        <w:endnoteRef/>
      </w:r>
      <w:r>
        <w:t xml:space="preserve"> Commonwealth of Australia, </w:t>
      </w:r>
      <w:r>
        <w:rPr>
          <w:i/>
        </w:rPr>
        <w:t>Help staying at home</w:t>
      </w:r>
      <w:r>
        <w:t xml:space="preserve">, Department of Health and Ageing, </w:t>
      </w:r>
      <w:r w:rsidRPr="004A3D5B">
        <w:t>http://www.agedcareaustralia.gov.au/internet/agedcare/publishing.nsf/Content/ACHA</w:t>
      </w:r>
      <w:r>
        <w:t xml:space="preserve"> (viewed 4 March 2013).</w:t>
      </w:r>
    </w:p>
  </w:endnote>
  <w:endnote w:id="71">
    <w:p w:rsidR="00306FFF" w:rsidRPr="0062569A" w:rsidRDefault="00306FFF">
      <w:pPr>
        <w:pStyle w:val="EndnoteText"/>
      </w:pPr>
      <w:r>
        <w:rPr>
          <w:rStyle w:val="EndnoteReference"/>
        </w:rPr>
        <w:endnoteRef/>
      </w:r>
      <w:r>
        <w:t xml:space="preserve"> Commonwealth of Australia, </w:t>
      </w:r>
      <w:r>
        <w:rPr>
          <w:i/>
        </w:rPr>
        <w:t>Commonwealth HACC Program</w:t>
      </w:r>
      <w:r>
        <w:t xml:space="preserve">, Department of Health and Ageing, </w:t>
      </w:r>
      <w:r w:rsidRPr="0062569A">
        <w:t>http://www.health.gov.au/internet/main/publishing.nsf/content/hacc-index.htm</w:t>
      </w:r>
      <w:r>
        <w:t xml:space="preserve"> (viewed 4 March 2013).</w:t>
      </w:r>
    </w:p>
  </w:endnote>
  <w:endnote w:id="72">
    <w:p w:rsidR="00306FFF" w:rsidRPr="00DB690B" w:rsidRDefault="00306FFF">
      <w:pPr>
        <w:pStyle w:val="EndnoteText"/>
      </w:pPr>
      <w:r>
        <w:rPr>
          <w:rStyle w:val="EndnoteReference"/>
        </w:rPr>
        <w:endnoteRef/>
      </w:r>
      <w:r>
        <w:t xml:space="preserve"> Commonwealth of Australia, </w:t>
      </w:r>
      <w:r>
        <w:rPr>
          <w:i/>
        </w:rPr>
        <w:t>Rent Assistance</w:t>
      </w:r>
      <w:r>
        <w:t>, Department of Human Services</w:t>
      </w:r>
      <w:r>
        <w:rPr>
          <w:i/>
        </w:rPr>
        <w:t xml:space="preserve">, </w:t>
      </w:r>
      <w:r w:rsidRPr="00DB690B">
        <w:t>http://www.humanservices.gov.au/customer/services/centrelink/rent-assistance</w:t>
      </w:r>
      <w:r>
        <w:t xml:space="preserve"> (viewed 4 March 2013).</w:t>
      </w:r>
    </w:p>
  </w:endnote>
  <w:endnote w:id="73">
    <w:p w:rsidR="00306FFF" w:rsidRPr="0015559E" w:rsidRDefault="00306FFF">
      <w:pPr>
        <w:pStyle w:val="EndnoteText"/>
      </w:pPr>
      <w:r>
        <w:rPr>
          <w:rStyle w:val="EndnoteReference"/>
        </w:rPr>
        <w:endnoteRef/>
      </w:r>
      <w:r>
        <w:t xml:space="preserve"> Australian Housing and Urban Research Institute, </w:t>
      </w:r>
      <w:r>
        <w:rPr>
          <w:i/>
        </w:rPr>
        <w:t>Older persons in public housing</w:t>
      </w:r>
      <w:r>
        <w:t xml:space="preserve">, </w:t>
      </w:r>
      <w:r w:rsidRPr="0015559E">
        <w:t>http://www.ahuri.edu.au/publications/p50318/</w:t>
      </w:r>
      <w:r>
        <w:t xml:space="preserve"> (viewed 11 March 2013).</w:t>
      </w:r>
    </w:p>
  </w:endnote>
  <w:endnote w:id="74">
    <w:p w:rsidR="00306FFF" w:rsidRPr="001C05BE" w:rsidRDefault="00306FFF" w:rsidP="0072203D">
      <w:pPr>
        <w:pStyle w:val="EndnoteText"/>
      </w:pPr>
      <w:r>
        <w:rPr>
          <w:rStyle w:val="EndnoteReference"/>
        </w:rPr>
        <w:endnoteRef/>
      </w:r>
      <w:r>
        <w:t xml:space="preserve"> Commonwealth of Australia, </w:t>
      </w:r>
      <w:r>
        <w:rPr>
          <w:i/>
        </w:rPr>
        <w:t>Experience+</w:t>
      </w:r>
      <w:r>
        <w:t xml:space="preserve">, Department of Education, Employment and Workplace Relations, </w:t>
      </w:r>
      <w:r w:rsidRPr="001C05BE">
        <w:t>http://deewr.gov.au/experience</w:t>
      </w:r>
      <w:r>
        <w:t xml:space="preserve"> (viewed 4 March 2013).</w:t>
      </w:r>
    </w:p>
  </w:endnote>
  <w:endnote w:id="75">
    <w:p w:rsidR="00306FFF" w:rsidRPr="002135D1" w:rsidRDefault="00306FFF">
      <w:pPr>
        <w:pStyle w:val="EndnoteText"/>
      </w:pPr>
      <w:r>
        <w:rPr>
          <w:rStyle w:val="EndnoteReference"/>
        </w:rPr>
        <w:endnoteRef/>
      </w:r>
      <w:r>
        <w:t xml:space="preserve"> Commonwealth of Australia, </w:t>
      </w:r>
      <w:r>
        <w:rPr>
          <w:i/>
        </w:rPr>
        <w:t>Help staying at home</w:t>
      </w:r>
      <w:r>
        <w:t xml:space="preserve">, Department of Health and Ageing, </w:t>
      </w:r>
      <w:r w:rsidRPr="002135D1">
        <w:t>http://www.agedcareaustralia.gov.au/internet/agedcare/publishing.nsf/Content/Power+of+attorney-1</w:t>
      </w:r>
      <w:r>
        <w:t xml:space="preserve"> (viewed 4 March 2013).</w:t>
      </w:r>
    </w:p>
  </w:endnote>
  <w:endnote w:id="76">
    <w:p w:rsidR="00306FFF" w:rsidRPr="000A6733" w:rsidRDefault="00306FFF">
      <w:pPr>
        <w:pStyle w:val="EndnoteText"/>
      </w:pPr>
      <w:r>
        <w:rPr>
          <w:rStyle w:val="EndnoteReference"/>
        </w:rPr>
        <w:endnoteRef/>
      </w:r>
      <w:r>
        <w:t xml:space="preserve"> Commonwealth of Australia, </w:t>
      </w:r>
      <w:r>
        <w:rPr>
          <w:i/>
        </w:rPr>
        <w:t>Topics: Legal Aid</w:t>
      </w:r>
      <w:r>
        <w:t xml:space="preserve">, Australian Government, </w:t>
      </w:r>
      <w:r w:rsidRPr="000A6733">
        <w:t>http://australia.gov.au/topics/law-and-justice/legal-services/legal-aid</w:t>
      </w:r>
      <w:r>
        <w:t xml:space="preserve"> (viewed 4 March 2013).</w:t>
      </w:r>
    </w:p>
  </w:endnote>
  <w:endnote w:id="77">
    <w:p w:rsidR="00306FFF" w:rsidRPr="00646FD2" w:rsidRDefault="00306FFF">
      <w:pPr>
        <w:pStyle w:val="EndnoteText"/>
      </w:pPr>
      <w:r>
        <w:rPr>
          <w:rStyle w:val="EndnoteReference"/>
        </w:rPr>
        <w:endnoteRef/>
      </w:r>
      <w:r>
        <w:t xml:space="preserve"> Commonwealth of Australia, </w:t>
      </w:r>
      <w:r>
        <w:rPr>
          <w:i/>
        </w:rPr>
        <w:t>Aged care advocacy</w:t>
      </w:r>
      <w:r>
        <w:t xml:space="preserve">, Department of Health and Ageing, </w:t>
      </w:r>
      <w:r w:rsidRPr="00646FD2">
        <w:t>http://www.health.gov.au/internet/main/publishing.nsf/Content/ageing-advocacy.htm</w:t>
      </w:r>
      <w:r>
        <w:t xml:space="preserve"> (viewed 4 March 2013).</w:t>
      </w:r>
    </w:p>
  </w:endnote>
  <w:endnote w:id="78">
    <w:p w:rsidR="00306FFF" w:rsidRPr="0009163C" w:rsidRDefault="00306FFF" w:rsidP="00F13F54">
      <w:pPr>
        <w:pStyle w:val="EndnoteText"/>
      </w:pPr>
      <w:r>
        <w:rPr>
          <w:rStyle w:val="EndnoteReference"/>
        </w:rPr>
        <w:endnoteRef/>
      </w:r>
      <w:r>
        <w:t xml:space="preserve"> Commonwealth of Australia, </w:t>
      </w:r>
      <w:r>
        <w:rPr>
          <w:i/>
        </w:rPr>
        <w:t>Medicare website</w:t>
      </w:r>
      <w:r>
        <w:t xml:space="preserve">, Department of Human Services, </w:t>
      </w:r>
      <w:r w:rsidRPr="0009163C">
        <w:t>http://www.humanservices.gov.au/customer/information/welcome-medicare-customers-website?utm_id=9</w:t>
      </w:r>
      <w:r>
        <w:t xml:space="preserve"> (viewed 4 March 2013).</w:t>
      </w:r>
    </w:p>
  </w:endnote>
  <w:endnote w:id="79">
    <w:p w:rsidR="00306FFF" w:rsidRPr="0009163C" w:rsidRDefault="00306FFF">
      <w:pPr>
        <w:pStyle w:val="EndnoteText"/>
      </w:pPr>
      <w:r>
        <w:rPr>
          <w:rStyle w:val="EndnoteReference"/>
        </w:rPr>
        <w:endnoteRef/>
      </w:r>
      <w:r>
        <w:t xml:space="preserve"> Commonwealth of Australia, </w:t>
      </w:r>
      <w:r>
        <w:rPr>
          <w:i/>
        </w:rPr>
        <w:t>Pharmaceutical Benefits Scheme (PBS)</w:t>
      </w:r>
      <w:r>
        <w:t xml:space="preserve">, Department of Health and Ageing, </w:t>
      </w:r>
      <w:r w:rsidRPr="00926F53">
        <w:t>http://www.pbs.gov.au/pbs/home</w:t>
      </w:r>
      <w:r>
        <w:t xml:space="preserve"> (viewed 4 March 2013).</w:t>
      </w:r>
    </w:p>
  </w:endnote>
  <w:endnote w:id="80">
    <w:p w:rsidR="00306FFF" w:rsidRPr="00926F53" w:rsidRDefault="00306FFF">
      <w:pPr>
        <w:pStyle w:val="EndnoteText"/>
      </w:pPr>
      <w:r>
        <w:rPr>
          <w:rStyle w:val="EndnoteReference"/>
        </w:rPr>
        <w:endnoteRef/>
      </w:r>
      <w:r>
        <w:t xml:space="preserve"> Commonwealth of Australia, </w:t>
      </w:r>
      <w:r>
        <w:rPr>
          <w:i/>
        </w:rPr>
        <w:t>Commonwealth Seniors Health Card</w:t>
      </w:r>
      <w:r>
        <w:t xml:space="preserve">, Department of Human Services, </w:t>
      </w:r>
      <w:r w:rsidRPr="00926F53">
        <w:t>http://www.humanservices.gov.au/customer/services/centrelink/commonwealth-seniors-health-card</w:t>
      </w:r>
      <w:r>
        <w:t xml:space="preserve"> (viewed 4 March 2013).</w:t>
      </w:r>
    </w:p>
  </w:endnote>
  <w:endnote w:id="81">
    <w:p w:rsidR="00306FFF" w:rsidRDefault="00306FFF">
      <w:pPr>
        <w:pStyle w:val="EndnoteText"/>
      </w:pPr>
      <w:r>
        <w:rPr>
          <w:rStyle w:val="EndnoteReference"/>
        </w:rPr>
        <w:endnoteRef/>
      </w:r>
      <w:r>
        <w:t xml:space="preserve"> Commonwealth of Australia, </w:t>
      </w:r>
      <w:r>
        <w:rPr>
          <w:i/>
        </w:rPr>
        <w:t>Pensioner Concession Card</w:t>
      </w:r>
      <w:r>
        <w:t xml:space="preserve">, Department of Human Services, </w:t>
      </w:r>
      <w:r w:rsidRPr="00D02033">
        <w:t xml:space="preserve">http://www.humanservices.gov.au/customer/services/centrelink/pensioner-concession-card </w:t>
      </w:r>
      <w:r>
        <w:t>(viewed 4 March 2013).</w:t>
      </w:r>
    </w:p>
  </w:endnote>
  <w:endnote w:id="82">
    <w:p w:rsidR="00306FFF" w:rsidRPr="006654EA" w:rsidRDefault="00306FFF">
      <w:pPr>
        <w:pStyle w:val="EndnoteText"/>
      </w:pPr>
      <w:r>
        <w:rPr>
          <w:rStyle w:val="EndnoteReference"/>
        </w:rPr>
        <w:endnoteRef/>
      </w:r>
      <w:r>
        <w:t xml:space="preserve"> Commonwealth of Australia, </w:t>
      </w:r>
      <w:r>
        <w:rPr>
          <w:i/>
        </w:rPr>
        <w:t>Immunise Australia Program</w:t>
      </w:r>
      <w:r>
        <w:t xml:space="preserve">, Department of Health and Ageing, </w:t>
      </w:r>
      <w:r w:rsidRPr="006654EA">
        <w:t>http://www.immunise.health.gov.au/</w:t>
      </w:r>
      <w:r>
        <w:t xml:space="preserve"> (viewed 11 March 2013).</w:t>
      </w:r>
    </w:p>
  </w:endnote>
  <w:endnote w:id="83">
    <w:p w:rsidR="00306FFF" w:rsidRPr="008F3580" w:rsidRDefault="00306FFF">
      <w:pPr>
        <w:pStyle w:val="EndnoteText"/>
      </w:pPr>
      <w:r>
        <w:rPr>
          <w:rStyle w:val="EndnoteReference"/>
        </w:rPr>
        <w:endnoteRef/>
      </w:r>
      <w:r>
        <w:t xml:space="preserve"> Commonwealth of Australia, </w:t>
      </w:r>
      <w:r>
        <w:rPr>
          <w:i/>
        </w:rPr>
        <w:t>Cancerscreening.gov.au</w:t>
      </w:r>
      <w:r>
        <w:t xml:space="preserve">, Department of Health and Ageing, </w:t>
      </w:r>
      <w:r w:rsidRPr="008F3580">
        <w:t>http://www.cancerscreening.gov.au/</w:t>
      </w:r>
      <w:r>
        <w:t xml:space="preserve"> (viewed 11 March 2013).</w:t>
      </w:r>
    </w:p>
  </w:endnote>
  <w:endnote w:id="84">
    <w:p w:rsidR="00306FFF" w:rsidRDefault="00306FFF">
      <w:pPr>
        <w:pStyle w:val="EndnoteText"/>
      </w:pPr>
      <w:r>
        <w:rPr>
          <w:rStyle w:val="EndnoteReference"/>
        </w:rPr>
        <w:endnoteRef/>
      </w:r>
      <w:r>
        <w:t xml:space="preserve"> Commonwealth of Australia, </w:t>
      </w:r>
      <w:r>
        <w:rPr>
          <w:i/>
        </w:rPr>
        <w:t>The National Public Toilet Map</w:t>
      </w:r>
      <w:r w:rsidRPr="0047059E">
        <w:t>,</w:t>
      </w:r>
      <w:r>
        <w:t xml:space="preserve"> </w:t>
      </w:r>
      <w:r w:rsidRPr="00611CE9">
        <w:t>Department</w:t>
      </w:r>
      <w:r>
        <w:t xml:space="preserve"> of Health and Ageing, </w:t>
      </w:r>
      <w:r w:rsidRPr="00611CE9">
        <w:t>http://www.toiletmap.gov.au/</w:t>
      </w:r>
      <w:r>
        <w:t xml:space="preserve"> (viewed 4 March 2013).</w:t>
      </w:r>
    </w:p>
  </w:endnote>
  <w:endnote w:id="85">
    <w:p w:rsidR="00306FFF" w:rsidRDefault="00306FFF">
      <w:pPr>
        <w:pStyle w:val="EndnoteText"/>
      </w:pPr>
      <w:r>
        <w:rPr>
          <w:rStyle w:val="EndnoteReference"/>
        </w:rPr>
        <w:endnoteRef/>
      </w:r>
      <w:r>
        <w:t xml:space="preserve"> Commonwealth of Australia, </w:t>
      </w:r>
      <w:r>
        <w:rPr>
          <w:i/>
        </w:rPr>
        <w:t>Flexible aged care</w:t>
      </w:r>
      <w:r w:rsidRPr="0047059E">
        <w:t>,</w:t>
      </w:r>
      <w:r>
        <w:t xml:space="preserve"> </w:t>
      </w:r>
      <w:r w:rsidRPr="00611CE9">
        <w:t>Department</w:t>
      </w:r>
      <w:r>
        <w:t xml:space="preserve"> of Health and Ageing, </w:t>
      </w:r>
      <w:r w:rsidRPr="0047059E">
        <w:t>http://www.health.gov.au/internet/main/publishing.nsf/content/ageing-policy-transition.htm</w:t>
      </w:r>
      <w:r>
        <w:t xml:space="preserve"> (viewed 4 March 2013).</w:t>
      </w:r>
    </w:p>
  </w:endnote>
  <w:endnote w:id="86">
    <w:p w:rsidR="00306FFF" w:rsidRPr="00087CA9" w:rsidRDefault="00306FFF" w:rsidP="00F46B4C">
      <w:pPr>
        <w:pStyle w:val="EndnoteText"/>
      </w:pPr>
      <w:r>
        <w:rPr>
          <w:rStyle w:val="EndnoteReference"/>
        </w:rPr>
        <w:endnoteRef/>
      </w:r>
      <w:r>
        <w:t xml:space="preserve"> Palliative Care Australia, </w:t>
      </w:r>
      <w:r>
        <w:rPr>
          <w:i/>
        </w:rPr>
        <w:t>National Palliative Care Service Directory</w:t>
      </w:r>
      <w:r>
        <w:t xml:space="preserve">, </w:t>
      </w:r>
      <w:r w:rsidRPr="00087CA9">
        <w:t>http://pallcare.gky.com.au/c/pc?a=apps&amp;ap=bd</w:t>
      </w:r>
      <w:r>
        <w:t xml:space="preserve"> (viewed 4 March 2013). </w:t>
      </w:r>
    </w:p>
  </w:endnote>
  <w:endnote w:id="87">
    <w:p w:rsidR="00306FFF" w:rsidRPr="00031F23" w:rsidRDefault="00306FFF">
      <w:pPr>
        <w:pStyle w:val="EndnoteText"/>
      </w:pPr>
      <w:r>
        <w:rPr>
          <w:rStyle w:val="EndnoteReference"/>
        </w:rPr>
        <w:endnoteRef/>
      </w:r>
      <w:r>
        <w:t xml:space="preserve"> Carers Australia, </w:t>
      </w:r>
      <w:r>
        <w:rPr>
          <w:i/>
        </w:rPr>
        <w:t>National Care Counselling Program</w:t>
      </w:r>
      <w:r>
        <w:t xml:space="preserve">, </w:t>
      </w:r>
      <w:r w:rsidRPr="00031F23">
        <w:t>http://www.carersaustralia.com.au/how-we-work/national-programs/national-carer-counselling-program/</w:t>
      </w:r>
      <w:r>
        <w:t xml:space="preserve"> (viewed 4 March 2013).</w:t>
      </w:r>
    </w:p>
  </w:endnote>
  <w:endnote w:id="88">
    <w:p w:rsidR="00306FFF" w:rsidRDefault="00306FFF">
      <w:pPr>
        <w:pStyle w:val="EndnoteText"/>
      </w:pPr>
      <w:r>
        <w:rPr>
          <w:rStyle w:val="EndnoteReference"/>
        </w:rPr>
        <w:endnoteRef/>
      </w:r>
      <w:r>
        <w:t xml:space="preserve"> Commonwealth of Australia, </w:t>
      </w:r>
      <w:r>
        <w:rPr>
          <w:i/>
        </w:rPr>
        <w:t xml:space="preserve">Commonwealth HACC Program, </w:t>
      </w:r>
      <w:r>
        <w:t xml:space="preserve">Department of Health and Ageing, </w:t>
      </w:r>
      <w:r w:rsidRPr="00CF4590">
        <w:t>http://www.livinglongerlivingbetter.gov.au/internet/living/publishing.nsf/Content/home-1</w:t>
      </w:r>
      <w:r>
        <w:t xml:space="preserve"> (viewed 4 March 2013).</w:t>
      </w:r>
    </w:p>
  </w:endnote>
  <w:endnote w:id="89">
    <w:p w:rsidR="00306FFF" w:rsidRDefault="00306FFF" w:rsidP="00F46B4C">
      <w:pPr>
        <w:pStyle w:val="EndnoteText"/>
      </w:pPr>
      <w:r>
        <w:rPr>
          <w:rStyle w:val="EndnoteReference"/>
        </w:rPr>
        <w:endnoteRef/>
      </w:r>
      <w:r>
        <w:t xml:space="preserve"> Commonwealth of Australia, </w:t>
      </w:r>
      <w:r>
        <w:rPr>
          <w:i/>
        </w:rPr>
        <w:t>Welcome to the ‘Living Longer Living Better’ website</w:t>
      </w:r>
      <w:r w:rsidRPr="0047059E">
        <w:t>,</w:t>
      </w:r>
      <w:r>
        <w:t xml:space="preserve"> </w:t>
      </w:r>
      <w:r w:rsidRPr="00611CE9">
        <w:t>Department</w:t>
      </w:r>
      <w:r>
        <w:t xml:space="preserve"> of Health and Ageing, </w:t>
      </w:r>
      <w:r w:rsidRPr="00071481">
        <w:t>http://www.livinglongerlivingbetter.gov.au/internet/living/publishing.nsf/Content/home-1</w:t>
      </w:r>
      <w:r>
        <w:t xml:space="preserve"> (viewed 4 March 2013).</w:t>
      </w:r>
    </w:p>
  </w:endnote>
  <w:endnote w:id="90">
    <w:p w:rsidR="00306FFF" w:rsidRDefault="00306FFF" w:rsidP="0056247D">
      <w:pPr>
        <w:pStyle w:val="EndnoteText"/>
      </w:pPr>
      <w:r>
        <w:rPr>
          <w:rStyle w:val="EndnoteReference"/>
        </w:rPr>
        <w:endnoteRef/>
      </w:r>
      <w:r>
        <w:t xml:space="preserve"> Commonwealth of Australia, </w:t>
      </w:r>
      <w:r>
        <w:rPr>
          <w:i/>
        </w:rPr>
        <w:t xml:space="preserve">Office of the Aged Care Quality and Compliance (OACQC), </w:t>
      </w:r>
      <w:r>
        <w:t xml:space="preserve">Department of Health and Ageing, </w:t>
      </w:r>
      <w:r w:rsidRPr="00466AC4">
        <w:t xml:space="preserve">http://www.health.gov.au/internet/main/publishing.nsf/Content/ageing-qual-frame-atsi-aged-care.htm </w:t>
      </w:r>
      <w:r>
        <w:t>(viewed 4 March 2013).</w:t>
      </w:r>
    </w:p>
  </w:endnote>
  <w:endnote w:id="91">
    <w:p w:rsidR="00306FFF" w:rsidRDefault="00306FFF" w:rsidP="0056247D">
      <w:pPr>
        <w:pStyle w:val="EndnoteText"/>
      </w:pPr>
      <w:r>
        <w:rPr>
          <w:rStyle w:val="EndnoteReference"/>
        </w:rPr>
        <w:endnoteRef/>
      </w:r>
      <w:r>
        <w:t xml:space="preserve"> </w:t>
      </w:r>
      <w:r w:rsidRPr="00BE24F4">
        <w:rPr>
          <w:lang w:val="en"/>
        </w:rPr>
        <w:t xml:space="preserve">Commonwealth of Australia, </w:t>
      </w:r>
      <w:r>
        <w:rPr>
          <w:i/>
          <w:iCs/>
          <w:lang w:val="en"/>
        </w:rPr>
        <w:t>Caring for o</w:t>
      </w:r>
      <w:r w:rsidRPr="00BE24F4">
        <w:rPr>
          <w:i/>
          <w:iCs/>
          <w:lang w:val="en"/>
        </w:rPr>
        <w:t>lder Australians,</w:t>
      </w:r>
      <w:r w:rsidRPr="00BE24F4">
        <w:rPr>
          <w:lang w:val="en"/>
        </w:rPr>
        <w:t xml:space="preserve"> Report No. 53, Productivity Commission (2011),</w:t>
      </w:r>
      <w:r w:rsidRPr="00BE24F4">
        <w:rPr>
          <w:i/>
          <w:iCs/>
          <w:lang w:val="en"/>
        </w:rPr>
        <w:t xml:space="preserve"> </w:t>
      </w:r>
      <w:r w:rsidRPr="00BE24F4">
        <w:rPr>
          <w:lang w:val="en"/>
        </w:rPr>
        <w:t>p 260. At http://www.pc.gov.au/projects/inquiry/aged-care/report (viewed 3</w:t>
      </w:r>
      <w:r>
        <w:rPr>
          <w:lang w:val="en"/>
        </w:rPr>
        <w:t xml:space="preserve"> May 2012).</w:t>
      </w:r>
    </w:p>
  </w:endnote>
  <w:endnote w:id="92">
    <w:p w:rsidR="00306FFF" w:rsidRDefault="00306FFF" w:rsidP="0056247D">
      <w:pPr>
        <w:pStyle w:val="EndnoteText"/>
      </w:pPr>
      <w:r>
        <w:rPr>
          <w:rStyle w:val="EndnoteReference"/>
        </w:rPr>
        <w:endnoteRef/>
      </w:r>
      <w:r>
        <w:t xml:space="preserve"> Commonwealth of Australia, </w:t>
      </w:r>
      <w:r>
        <w:rPr>
          <w:i/>
        </w:rPr>
        <w:t>Remote Area Allowance</w:t>
      </w:r>
      <w:r>
        <w:t xml:space="preserve">, Department of Human Services, </w:t>
      </w:r>
      <w:r w:rsidRPr="008A7256">
        <w:t xml:space="preserve">http://www.humanservices.gov.au/customer/services/centrelink/remote-area-allowance </w:t>
      </w:r>
      <w:r>
        <w:t>(viewed 3 March 2013).</w:t>
      </w:r>
    </w:p>
  </w:endnote>
  <w:endnote w:id="93">
    <w:p w:rsidR="00306FFF" w:rsidRDefault="00306FFF">
      <w:pPr>
        <w:pStyle w:val="EndnoteText"/>
      </w:pPr>
      <w:r>
        <w:rPr>
          <w:rStyle w:val="EndnoteReference"/>
        </w:rPr>
        <w:endnoteRef/>
      </w:r>
      <w:r>
        <w:t xml:space="preserve"> Commonwealth of Australia, </w:t>
      </w:r>
      <w:r>
        <w:rPr>
          <w:i/>
        </w:rPr>
        <w:t>VVCS – Veterans and Veterans Families Counselling Service</w:t>
      </w:r>
      <w:r>
        <w:t xml:space="preserve">, Department of Veterans’ Affairs, </w:t>
      </w:r>
      <w:r w:rsidRPr="003128F0">
        <w:t>http://www.dva.gov.au/health_and_wellbeing/health_programs/vvcs/pages/index.aspx</w:t>
      </w:r>
      <w:r>
        <w:t xml:space="preserve"> (viewed 6 March 2013).</w:t>
      </w:r>
    </w:p>
  </w:endnote>
  <w:endnote w:id="94">
    <w:p w:rsidR="00306FFF" w:rsidRDefault="00306FFF">
      <w:pPr>
        <w:pStyle w:val="EndnoteText"/>
      </w:pPr>
      <w:r>
        <w:rPr>
          <w:rStyle w:val="EndnoteReference"/>
        </w:rPr>
        <w:endnoteRef/>
      </w:r>
      <w:r>
        <w:t xml:space="preserve"> Commonwealth of Australia, </w:t>
      </w:r>
      <w:r>
        <w:rPr>
          <w:i/>
        </w:rPr>
        <w:t>Crisis Assistance Time Out program</w:t>
      </w:r>
      <w:r>
        <w:t xml:space="preserve">, Department of Veterans’ Affairs, </w:t>
      </w:r>
      <w:r w:rsidRPr="000372B2">
        <w:t>http://www.dva.gov.au/health_and_wellbeing/health_programs/vvcs/services/crisis/Pages/index.aspx</w:t>
      </w:r>
      <w:r>
        <w:t xml:space="preserve"> (viewed 6 March 2013).</w:t>
      </w:r>
    </w:p>
  </w:endnote>
  <w:endnote w:id="95">
    <w:p w:rsidR="00306FFF" w:rsidRDefault="00306FFF">
      <w:pPr>
        <w:pStyle w:val="EndnoteText"/>
      </w:pPr>
      <w:r>
        <w:rPr>
          <w:rStyle w:val="EndnoteReference"/>
        </w:rPr>
        <w:endnoteRef/>
      </w:r>
      <w:r>
        <w:t xml:space="preserve"> Commonwealth of Australia, </w:t>
      </w:r>
      <w:r>
        <w:rPr>
          <w:i/>
        </w:rPr>
        <w:t>Veterans’ Home Care</w:t>
      </w:r>
      <w:r>
        <w:t xml:space="preserve">, Department of Veterans’ Affairs, </w:t>
      </w:r>
      <w:r w:rsidRPr="000372B2">
        <w:t>http://www.dva.gov.au/service_providers/veterans_homecare/pages/index.aspx</w:t>
      </w:r>
      <w:r>
        <w:t xml:space="preserve"> (viewed 6 March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Pro-Light">
    <w:altName w:val="MS Gothic"/>
    <w:panose1 w:val="00000000000000000000"/>
    <w:charset w:val="8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Pr="0090165F" w:rsidRDefault="00306FFF"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Pr="004A187B" w:rsidRDefault="00306FFF"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306FFF" w:rsidRPr="0003606D" w:rsidRDefault="00306FFF" w:rsidP="0003606D">
                          <w:pPr>
                            <w:pStyle w:val="coveraddresses"/>
                          </w:pPr>
                          <w:r w:rsidRPr="0003606D">
                            <w:t>ABN 47 996 232 602</w:t>
                          </w:r>
                        </w:p>
                        <w:p w:rsidR="00306FFF" w:rsidRPr="0003606D" w:rsidRDefault="00306FFF" w:rsidP="0003606D">
                          <w:pPr>
                            <w:pStyle w:val="coveraddresses"/>
                          </w:pPr>
                          <w:r w:rsidRPr="0003606D">
                            <w:t>Level 3, 175 Pitt Street, Sydney NSW 2000</w:t>
                          </w:r>
                        </w:p>
                        <w:p w:rsidR="00306FFF" w:rsidRPr="0003606D" w:rsidRDefault="00306FFF" w:rsidP="0003606D">
                          <w:pPr>
                            <w:pStyle w:val="coveraddresses"/>
                          </w:pPr>
                          <w:r w:rsidRPr="0003606D">
                            <w:t>GPO Box 5218, Sydney NSW 2001</w:t>
                          </w:r>
                        </w:p>
                        <w:p w:rsidR="00306FFF" w:rsidRPr="0003606D" w:rsidRDefault="00306FFF" w:rsidP="0003606D">
                          <w:pPr>
                            <w:pStyle w:val="coveraddresses"/>
                          </w:pPr>
                          <w:r w:rsidRPr="0003606D">
                            <w:t>General enquiries 1300 369 711</w:t>
                          </w:r>
                        </w:p>
                        <w:p w:rsidR="00306FFF" w:rsidRPr="0003606D" w:rsidRDefault="00306FFF" w:rsidP="0003606D">
                          <w:pPr>
                            <w:pStyle w:val="coveraddresses"/>
                          </w:pPr>
                          <w:r w:rsidRPr="0003606D">
                            <w:t>Complaints info line 1300 656 419</w:t>
                          </w:r>
                        </w:p>
                        <w:p w:rsidR="00306FFF" w:rsidRPr="0003606D" w:rsidRDefault="00306FFF" w:rsidP="0003606D">
                          <w:pPr>
                            <w:pStyle w:val="coveraddresses"/>
                          </w:pPr>
                          <w:r w:rsidRPr="0003606D">
                            <w:t>TTY 1800 620 241</w:t>
                          </w:r>
                        </w:p>
                        <w:p w:rsidR="00306FFF" w:rsidRPr="00B63D24" w:rsidRDefault="00306FFF"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7429C1" w:rsidRPr="0003606D" w:rsidRDefault="007429C1" w:rsidP="0003606D">
                    <w:pPr>
                      <w:pStyle w:val="coveraddresses"/>
                    </w:pPr>
                    <w:r w:rsidRPr="0003606D">
                      <w:t>ABN 47 996 232 602</w:t>
                    </w:r>
                  </w:p>
                  <w:p w:rsidR="007429C1" w:rsidRPr="0003606D" w:rsidRDefault="007429C1" w:rsidP="0003606D">
                    <w:pPr>
                      <w:pStyle w:val="coveraddresses"/>
                    </w:pPr>
                    <w:r w:rsidRPr="0003606D">
                      <w:t>Level 3, 175 Pitt Street, Sydney NSW 2000</w:t>
                    </w:r>
                  </w:p>
                  <w:p w:rsidR="007429C1" w:rsidRPr="0003606D" w:rsidRDefault="007429C1" w:rsidP="0003606D">
                    <w:pPr>
                      <w:pStyle w:val="coveraddresses"/>
                    </w:pPr>
                    <w:r w:rsidRPr="0003606D">
                      <w:t>GPO Box 5218, Sydney NSW 2001</w:t>
                    </w:r>
                  </w:p>
                  <w:p w:rsidR="007429C1" w:rsidRPr="0003606D" w:rsidRDefault="007429C1" w:rsidP="0003606D">
                    <w:pPr>
                      <w:pStyle w:val="coveraddresses"/>
                    </w:pPr>
                    <w:r w:rsidRPr="0003606D">
                      <w:t>General enquiries 1300 369 711</w:t>
                    </w:r>
                  </w:p>
                  <w:p w:rsidR="007429C1" w:rsidRPr="0003606D" w:rsidRDefault="007429C1" w:rsidP="0003606D">
                    <w:pPr>
                      <w:pStyle w:val="coveraddresses"/>
                    </w:pPr>
                    <w:r w:rsidRPr="0003606D">
                      <w:t>Complaints info line 1300 656 419</w:t>
                    </w:r>
                  </w:p>
                  <w:p w:rsidR="007429C1" w:rsidRPr="0003606D" w:rsidRDefault="007429C1" w:rsidP="0003606D">
                    <w:pPr>
                      <w:pStyle w:val="coveraddresses"/>
                    </w:pPr>
                    <w:r w:rsidRPr="0003606D">
                      <w:t>TTY 1800 620 241</w:t>
                    </w:r>
                  </w:p>
                  <w:p w:rsidR="007429C1" w:rsidRPr="00B63D24" w:rsidRDefault="007429C1"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Pr="0090165F" w:rsidRDefault="00306FFF"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C61A8">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FFF" w:rsidRDefault="00306FFF" w:rsidP="00F14C6D">
      <w:r>
        <w:separator/>
      </w:r>
    </w:p>
  </w:footnote>
  <w:footnote w:type="continuationSeparator" w:id="0">
    <w:p w:rsidR="00306FFF" w:rsidRDefault="00306FF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Default="001C61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Pr="00D27262" w:rsidRDefault="001C61A8"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306FFF" w:rsidRPr="00D27262">
      <w:rPr>
        <w:sz w:val="22"/>
        <w:szCs w:val="22"/>
      </w:rPr>
      <w:t>Au</w:t>
    </w:r>
    <w:r w:rsidR="00306FFF">
      <w:rPr>
        <w:sz w:val="22"/>
        <w:szCs w:val="22"/>
      </w:rPr>
      <w:t>stralian Human Rights Commission</w:t>
    </w:r>
  </w:p>
  <w:p w:rsidR="00306FFF" w:rsidRDefault="00306FFF"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06FFF" w:rsidRPr="00B85DD4" w:rsidTr="00165E3C">
      <w:trPr>
        <w:trHeight w:val="1276"/>
      </w:trPr>
      <w:tc>
        <w:tcPr>
          <w:tcW w:w="1508" w:type="dxa"/>
        </w:tcPr>
        <w:p w:rsidR="00306FFF" w:rsidRPr="00B85DD4" w:rsidRDefault="001C61A8"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306FFF" w:rsidRPr="00B85DD4" w:rsidRDefault="00306FFF" w:rsidP="002B1B65">
          <w:pPr>
            <w:spacing w:before="0" w:after="0"/>
            <w:rPr>
              <w:rFonts w:cs="ArialMT"/>
              <w:i/>
              <w:color w:val="808080"/>
              <w:sz w:val="17"/>
            </w:rPr>
          </w:pPr>
        </w:p>
      </w:tc>
      <w:tc>
        <w:tcPr>
          <w:tcW w:w="2302" w:type="dxa"/>
        </w:tcPr>
        <w:p w:rsidR="00306FFF" w:rsidRPr="00B85DD4" w:rsidRDefault="00306FFF" w:rsidP="00B520BC">
          <w:pPr>
            <w:pStyle w:val="HeaderFooter"/>
            <w:rPr>
              <w:b/>
              <w:spacing w:val="-20"/>
              <w:sz w:val="40"/>
            </w:rPr>
          </w:pPr>
        </w:p>
      </w:tc>
      <w:tc>
        <w:tcPr>
          <w:tcW w:w="2130" w:type="dxa"/>
        </w:tcPr>
        <w:p w:rsidR="00306FFF" w:rsidRPr="00B85DD4" w:rsidRDefault="00306FFF" w:rsidP="00B520BC">
          <w:pPr>
            <w:pStyle w:val="HeaderFooter"/>
            <w:rPr>
              <w:b/>
              <w:spacing w:val="-20"/>
              <w:sz w:val="40"/>
            </w:rPr>
          </w:pPr>
        </w:p>
      </w:tc>
      <w:tc>
        <w:tcPr>
          <w:tcW w:w="1721" w:type="dxa"/>
        </w:tcPr>
        <w:p w:rsidR="00306FFF" w:rsidRPr="00B85DD4" w:rsidRDefault="00306FFF" w:rsidP="00B520BC">
          <w:pPr>
            <w:pStyle w:val="HeaderFooter"/>
            <w:spacing w:before="227" w:after="340"/>
            <w:rPr>
              <w:b/>
              <w:spacing w:val="-20"/>
              <w:sz w:val="40"/>
            </w:rPr>
          </w:pPr>
        </w:p>
      </w:tc>
    </w:tr>
  </w:tbl>
  <w:p w:rsidR="00306FFF" w:rsidRDefault="00306F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Default="001C61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FF" w:rsidRPr="00D27262" w:rsidRDefault="00306FFF" w:rsidP="00B34946">
    <w:pPr>
      <w:spacing w:before="0" w:after="60"/>
      <w:jc w:val="right"/>
      <w:rPr>
        <w:sz w:val="22"/>
        <w:szCs w:val="22"/>
      </w:rPr>
    </w:pPr>
    <w:r w:rsidRPr="00D27262">
      <w:rPr>
        <w:sz w:val="22"/>
        <w:szCs w:val="22"/>
      </w:rPr>
      <w:t>Au</w:t>
    </w:r>
    <w:r>
      <w:rPr>
        <w:sz w:val="22"/>
        <w:szCs w:val="22"/>
      </w:rPr>
      <w:t>stralian Human Rights Commission</w:t>
    </w:r>
  </w:p>
  <w:p w:rsidR="00306FFF" w:rsidRPr="00D729AD" w:rsidRDefault="00306FFF" w:rsidP="002F4CE1">
    <w:pPr>
      <w:pStyle w:val="Footer"/>
      <w:spacing w:after="240"/>
      <w:jc w:val="right"/>
      <w:rPr>
        <w:i/>
        <w:szCs w:val="18"/>
      </w:rPr>
    </w:pPr>
    <w:r>
      <w:rPr>
        <w:b/>
        <w:i/>
        <w:szCs w:val="18"/>
      </w:rPr>
      <w:t>OHCHR</w:t>
    </w:r>
    <w:r w:rsidRPr="00D729AD">
      <w:rPr>
        <w:i/>
        <w:szCs w:val="18"/>
      </w:rPr>
      <w:t xml:space="preserve"> </w:t>
    </w:r>
    <w:r>
      <w:rPr>
        <w:i/>
        <w:szCs w:val="18"/>
      </w:rPr>
      <w:t>Response to the public consultation on the human rights of older people</w:t>
    </w:r>
    <w:r w:rsidRPr="00D729AD">
      <w:rPr>
        <w:i/>
        <w:szCs w:val="18"/>
      </w:rPr>
      <w:t xml:space="preserve"> – </w:t>
    </w:r>
    <w:r>
      <w:rPr>
        <w:i/>
        <w:szCs w:val="18"/>
      </w:rPr>
      <w:t>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306FFF" w:rsidRPr="00B85DD4" w:rsidTr="002B1B65">
      <w:trPr>
        <w:trHeight w:val="1603"/>
      </w:trPr>
      <w:tc>
        <w:tcPr>
          <w:tcW w:w="1508" w:type="dxa"/>
        </w:tcPr>
        <w:p w:rsidR="00306FFF" w:rsidRPr="00B85DD4" w:rsidRDefault="001C61A8"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306FFF">
            <w:rPr>
              <w:rFonts w:cs="ArialMT"/>
              <w:b/>
              <w:noProof/>
              <w:spacing w:val="-20"/>
            </w:rPr>
            <w:drawing>
              <wp:inline distT="0" distB="0" distL="0" distR="0">
                <wp:extent cx="819785" cy="819785"/>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819785"/>
                        </a:xfrm>
                        <a:prstGeom prst="rect">
                          <a:avLst/>
                        </a:prstGeom>
                        <a:noFill/>
                        <a:ln>
                          <a:noFill/>
                        </a:ln>
                      </pic:spPr>
                    </pic:pic>
                  </a:graphicData>
                </a:graphic>
              </wp:inline>
            </w:drawing>
          </w:r>
        </w:p>
      </w:tc>
      <w:tc>
        <w:tcPr>
          <w:tcW w:w="2688" w:type="dxa"/>
          <w:vAlign w:val="center"/>
        </w:tcPr>
        <w:p w:rsidR="00306FFF" w:rsidRPr="00D36BB2" w:rsidRDefault="00306FFF" w:rsidP="002B1B65">
          <w:pPr>
            <w:pStyle w:val="LogoType"/>
            <w:pBdr>
              <w:bottom w:val="single" w:sz="4" w:space="1" w:color="808080"/>
            </w:pBdr>
            <w:spacing w:line="240" w:lineRule="auto"/>
          </w:pPr>
          <w:r w:rsidRPr="00D36BB2">
            <w:t>Australian</w:t>
          </w:r>
        </w:p>
        <w:p w:rsidR="00306FFF" w:rsidRPr="00D36BB2" w:rsidRDefault="00306FFF" w:rsidP="002B1B65">
          <w:pPr>
            <w:pStyle w:val="LogoType"/>
            <w:pBdr>
              <w:bottom w:val="single" w:sz="4" w:space="1" w:color="808080"/>
            </w:pBdr>
            <w:spacing w:line="240" w:lineRule="auto"/>
          </w:pPr>
          <w:r w:rsidRPr="00D36BB2">
            <w:t>Human Rights</w:t>
          </w:r>
        </w:p>
        <w:p w:rsidR="00306FFF" w:rsidRPr="00D36BB2" w:rsidRDefault="00306FFF" w:rsidP="002B1B65">
          <w:pPr>
            <w:pStyle w:val="LogoType"/>
            <w:pBdr>
              <w:bottom w:val="single" w:sz="4" w:space="1" w:color="808080"/>
            </w:pBdr>
            <w:spacing w:line="240" w:lineRule="auto"/>
          </w:pPr>
          <w:r w:rsidRPr="00D36BB2">
            <w:t>Commission</w:t>
          </w:r>
        </w:p>
        <w:p w:rsidR="00306FFF" w:rsidRPr="00B85DD4" w:rsidRDefault="00306FFF"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306FFF" w:rsidRPr="00B85DD4" w:rsidRDefault="00306FFF" w:rsidP="00B520BC">
          <w:pPr>
            <w:pStyle w:val="HeaderFooter"/>
            <w:rPr>
              <w:b/>
              <w:spacing w:val="-20"/>
              <w:sz w:val="40"/>
            </w:rPr>
          </w:pPr>
        </w:p>
      </w:tc>
      <w:tc>
        <w:tcPr>
          <w:tcW w:w="2130" w:type="dxa"/>
        </w:tcPr>
        <w:p w:rsidR="00306FFF" w:rsidRPr="00B85DD4" w:rsidRDefault="00306FFF" w:rsidP="00B520BC">
          <w:pPr>
            <w:pStyle w:val="HeaderFooter"/>
            <w:rPr>
              <w:b/>
              <w:spacing w:val="-20"/>
              <w:sz w:val="40"/>
            </w:rPr>
          </w:pPr>
        </w:p>
      </w:tc>
      <w:tc>
        <w:tcPr>
          <w:tcW w:w="1721" w:type="dxa"/>
        </w:tcPr>
        <w:p w:rsidR="00306FFF" w:rsidRPr="00B85DD4" w:rsidRDefault="00306FFF" w:rsidP="00B520BC">
          <w:pPr>
            <w:pStyle w:val="HeaderFooter"/>
            <w:spacing w:before="227" w:after="340"/>
            <w:rPr>
              <w:b/>
              <w:spacing w:val="-20"/>
              <w:sz w:val="40"/>
            </w:rPr>
          </w:pPr>
        </w:p>
      </w:tc>
    </w:tr>
  </w:tbl>
  <w:p w:rsidR="00306FFF" w:rsidRDefault="00306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39152BAC"/>
    <w:multiLevelType w:val="hybridMultilevel"/>
    <w:tmpl w:val="59B26A8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44D1038"/>
    <w:multiLevelType w:val="hybridMultilevel"/>
    <w:tmpl w:val="B14E6D8C"/>
    <w:lvl w:ilvl="0" w:tplc="0C090001">
      <w:start w:val="1"/>
      <w:numFmt w:val="bullet"/>
      <w:lvlText w:val=""/>
      <w:lvlJc w:val="left"/>
      <w:pPr>
        <w:tabs>
          <w:tab w:val="num" w:pos="1791"/>
        </w:tabs>
        <w:ind w:left="1791" w:hanging="360"/>
      </w:pPr>
      <w:rPr>
        <w:rFonts w:ascii="Symbol" w:hAnsi="Symbol" w:hint="default"/>
      </w:rPr>
    </w:lvl>
    <w:lvl w:ilvl="1" w:tplc="0C090019">
      <w:start w:val="1"/>
      <w:numFmt w:val="lowerLetter"/>
      <w:lvlText w:val="%2."/>
      <w:lvlJc w:val="left"/>
      <w:pPr>
        <w:tabs>
          <w:tab w:val="num" w:pos="2511"/>
        </w:tabs>
        <w:ind w:left="2511" w:hanging="360"/>
      </w:pPr>
    </w:lvl>
    <w:lvl w:ilvl="2" w:tplc="0C09001B" w:tentative="1">
      <w:start w:val="1"/>
      <w:numFmt w:val="lowerRoman"/>
      <w:lvlText w:val="%3."/>
      <w:lvlJc w:val="right"/>
      <w:pPr>
        <w:tabs>
          <w:tab w:val="num" w:pos="3231"/>
        </w:tabs>
        <w:ind w:left="3231" w:hanging="180"/>
      </w:pPr>
    </w:lvl>
    <w:lvl w:ilvl="3" w:tplc="0C09000F" w:tentative="1">
      <w:start w:val="1"/>
      <w:numFmt w:val="decimal"/>
      <w:lvlText w:val="%4."/>
      <w:lvlJc w:val="left"/>
      <w:pPr>
        <w:tabs>
          <w:tab w:val="num" w:pos="3951"/>
        </w:tabs>
        <w:ind w:left="3951" w:hanging="360"/>
      </w:pPr>
    </w:lvl>
    <w:lvl w:ilvl="4" w:tplc="0C090019" w:tentative="1">
      <w:start w:val="1"/>
      <w:numFmt w:val="lowerLetter"/>
      <w:lvlText w:val="%5."/>
      <w:lvlJc w:val="left"/>
      <w:pPr>
        <w:tabs>
          <w:tab w:val="num" w:pos="4671"/>
        </w:tabs>
        <w:ind w:left="4671" w:hanging="360"/>
      </w:pPr>
    </w:lvl>
    <w:lvl w:ilvl="5" w:tplc="0C09001B" w:tentative="1">
      <w:start w:val="1"/>
      <w:numFmt w:val="lowerRoman"/>
      <w:lvlText w:val="%6."/>
      <w:lvlJc w:val="right"/>
      <w:pPr>
        <w:tabs>
          <w:tab w:val="num" w:pos="5391"/>
        </w:tabs>
        <w:ind w:left="5391" w:hanging="180"/>
      </w:pPr>
    </w:lvl>
    <w:lvl w:ilvl="6" w:tplc="0C09000F" w:tentative="1">
      <w:start w:val="1"/>
      <w:numFmt w:val="decimal"/>
      <w:lvlText w:val="%7."/>
      <w:lvlJc w:val="left"/>
      <w:pPr>
        <w:tabs>
          <w:tab w:val="num" w:pos="6111"/>
        </w:tabs>
        <w:ind w:left="6111" w:hanging="360"/>
      </w:pPr>
    </w:lvl>
    <w:lvl w:ilvl="7" w:tplc="0C090019" w:tentative="1">
      <w:start w:val="1"/>
      <w:numFmt w:val="lowerLetter"/>
      <w:lvlText w:val="%8."/>
      <w:lvlJc w:val="left"/>
      <w:pPr>
        <w:tabs>
          <w:tab w:val="num" w:pos="6831"/>
        </w:tabs>
        <w:ind w:left="6831" w:hanging="360"/>
      </w:pPr>
    </w:lvl>
    <w:lvl w:ilvl="8" w:tplc="0C09001B" w:tentative="1">
      <w:start w:val="1"/>
      <w:numFmt w:val="lowerRoman"/>
      <w:lvlText w:val="%9."/>
      <w:lvlJc w:val="right"/>
      <w:pPr>
        <w:tabs>
          <w:tab w:val="num" w:pos="7551"/>
        </w:tabs>
        <w:ind w:left="7551" w:hanging="180"/>
      </w:pPr>
    </w:lvl>
  </w:abstractNum>
  <w:abstractNum w:abstractNumId="24">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89F3791"/>
    <w:multiLevelType w:val="hybridMultilevel"/>
    <w:tmpl w:val="07EAFF26"/>
    <w:lvl w:ilvl="0" w:tplc="0C090001">
      <w:start w:val="1"/>
      <w:numFmt w:val="bullet"/>
      <w:lvlText w:val=""/>
      <w:lvlJc w:val="left"/>
      <w:pPr>
        <w:tabs>
          <w:tab w:val="num" w:pos="1080"/>
        </w:tabs>
        <w:ind w:left="1080" w:hanging="360"/>
      </w:pPr>
      <w:rPr>
        <w:rFonts w:ascii="Symbol" w:hAnsi="Symbol"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E37629D"/>
    <w:multiLevelType w:val="hybridMultilevel"/>
    <w:tmpl w:val="EA602CC8"/>
    <w:lvl w:ilvl="0" w:tplc="0C090001">
      <w:start w:val="1"/>
      <w:numFmt w:val="bullet"/>
      <w:lvlText w:val=""/>
      <w:lvlJc w:val="left"/>
      <w:pPr>
        <w:tabs>
          <w:tab w:val="num" w:pos="2148"/>
        </w:tabs>
        <w:ind w:left="2148" w:hanging="360"/>
      </w:pPr>
      <w:rPr>
        <w:rFonts w:ascii="Symbol" w:hAnsi="Symbol" w:hint="default"/>
      </w:rPr>
    </w:lvl>
    <w:lvl w:ilvl="1" w:tplc="0C090019">
      <w:start w:val="1"/>
      <w:numFmt w:val="lowerLetter"/>
      <w:lvlText w:val="%2."/>
      <w:lvlJc w:val="left"/>
      <w:pPr>
        <w:tabs>
          <w:tab w:val="num" w:pos="2868"/>
        </w:tabs>
        <w:ind w:left="2868" w:hanging="360"/>
      </w:pPr>
    </w:lvl>
    <w:lvl w:ilvl="2" w:tplc="0C09001B" w:tentative="1">
      <w:start w:val="1"/>
      <w:numFmt w:val="lowerRoman"/>
      <w:lvlText w:val="%3."/>
      <w:lvlJc w:val="right"/>
      <w:pPr>
        <w:tabs>
          <w:tab w:val="num" w:pos="3588"/>
        </w:tabs>
        <w:ind w:left="3588" w:hanging="180"/>
      </w:pPr>
    </w:lvl>
    <w:lvl w:ilvl="3" w:tplc="0C09000F" w:tentative="1">
      <w:start w:val="1"/>
      <w:numFmt w:val="decimal"/>
      <w:lvlText w:val="%4."/>
      <w:lvlJc w:val="left"/>
      <w:pPr>
        <w:tabs>
          <w:tab w:val="num" w:pos="4308"/>
        </w:tabs>
        <w:ind w:left="4308" w:hanging="360"/>
      </w:pPr>
    </w:lvl>
    <w:lvl w:ilvl="4" w:tplc="0C090019" w:tentative="1">
      <w:start w:val="1"/>
      <w:numFmt w:val="lowerLetter"/>
      <w:lvlText w:val="%5."/>
      <w:lvlJc w:val="left"/>
      <w:pPr>
        <w:tabs>
          <w:tab w:val="num" w:pos="5028"/>
        </w:tabs>
        <w:ind w:left="5028" w:hanging="360"/>
      </w:pPr>
    </w:lvl>
    <w:lvl w:ilvl="5" w:tplc="0C09001B" w:tentative="1">
      <w:start w:val="1"/>
      <w:numFmt w:val="lowerRoman"/>
      <w:lvlText w:val="%6."/>
      <w:lvlJc w:val="right"/>
      <w:pPr>
        <w:tabs>
          <w:tab w:val="num" w:pos="5748"/>
        </w:tabs>
        <w:ind w:left="5748" w:hanging="180"/>
      </w:pPr>
    </w:lvl>
    <w:lvl w:ilvl="6" w:tplc="0C09000F" w:tentative="1">
      <w:start w:val="1"/>
      <w:numFmt w:val="decimal"/>
      <w:lvlText w:val="%7."/>
      <w:lvlJc w:val="left"/>
      <w:pPr>
        <w:tabs>
          <w:tab w:val="num" w:pos="6468"/>
        </w:tabs>
        <w:ind w:left="6468" w:hanging="360"/>
      </w:pPr>
    </w:lvl>
    <w:lvl w:ilvl="7" w:tplc="0C090019" w:tentative="1">
      <w:start w:val="1"/>
      <w:numFmt w:val="lowerLetter"/>
      <w:lvlText w:val="%8."/>
      <w:lvlJc w:val="left"/>
      <w:pPr>
        <w:tabs>
          <w:tab w:val="num" w:pos="7188"/>
        </w:tabs>
        <w:ind w:left="7188" w:hanging="360"/>
      </w:pPr>
    </w:lvl>
    <w:lvl w:ilvl="8" w:tplc="0C09001B" w:tentative="1">
      <w:start w:val="1"/>
      <w:numFmt w:val="lowerRoman"/>
      <w:lvlText w:val="%9."/>
      <w:lvlJc w:val="right"/>
      <w:pPr>
        <w:tabs>
          <w:tab w:val="num" w:pos="7908"/>
        </w:tabs>
        <w:ind w:left="7908" w:hanging="180"/>
      </w:pPr>
    </w:lvl>
  </w:abstractNum>
  <w:abstractNum w:abstractNumId="3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2587250"/>
    <w:multiLevelType w:val="hybridMultilevel"/>
    <w:tmpl w:val="65F83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7"/>
  </w:num>
  <w:num w:numId="3">
    <w:abstractNumId w:val="33"/>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1"/>
  </w:num>
  <w:num w:numId="18">
    <w:abstractNumId w:val="21"/>
  </w:num>
  <w:num w:numId="19">
    <w:abstractNumId w:val="14"/>
  </w:num>
  <w:num w:numId="20">
    <w:abstractNumId w:val="35"/>
  </w:num>
  <w:num w:numId="21">
    <w:abstractNumId w:val="24"/>
  </w:num>
  <w:num w:numId="22">
    <w:abstractNumId w:val="22"/>
  </w:num>
  <w:num w:numId="23">
    <w:abstractNumId w:val="38"/>
  </w:num>
  <w:num w:numId="24">
    <w:abstractNumId w:val="11"/>
  </w:num>
  <w:num w:numId="25">
    <w:abstractNumId w:val="37"/>
  </w:num>
  <w:num w:numId="26">
    <w:abstractNumId w:val="25"/>
  </w:num>
  <w:num w:numId="27">
    <w:abstractNumId w:val="12"/>
  </w:num>
  <w:num w:numId="28">
    <w:abstractNumId w:val="15"/>
  </w:num>
  <w:num w:numId="29">
    <w:abstractNumId w:val="29"/>
  </w:num>
  <w:num w:numId="30">
    <w:abstractNumId w:val="2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4"/>
  </w:num>
  <w:num w:numId="36">
    <w:abstractNumId w:val="13"/>
  </w:num>
  <w:num w:numId="37">
    <w:abstractNumId w:val="10"/>
  </w:num>
  <w:num w:numId="38">
    <w:abstractNumId w:val="30"/>
  </w:num>
  <w:num w:numId="39">
    <w:abstractNumId w:val="26"/>
  </w:num>
  <w:num w:numId="40">
    <w:abstractNumId w:val="36"/>
  </w:num>
  <w:num w:numId="41">
    <w:abstractNumId w:val="2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18"/>
    <w:rsid w:val="00000A0B"/>
    <w:rsid w:val="00004C4F"/>
    <w:rsid w:val="00006FFC"/>
    <w:rsid w:val="000179D6"/>
    <w:rsid w:val="000213B6"/>
    <w:rsid w:val="00031F23"/>
    <w:rsid w:val="00035848"/>
    <w:rsid w:val="0003606D"/>
    <w:rsid w:val="000372B2"/>
    <w:rsid w:val="000374E9"/>
    <w:rsid w:val="000443FA"/>
    <w:rsid w:val="00045735"/>
    <w:rsid w:val="00054BA7"/>
    <w:rsid w:val="00056A90"/>
    <w:rsid w:val="000579B1"/>
    <w:rsid w:val="00064608"/>
    <w:rsid w:val="0006487E"/>
    <w:rsid w:val="00065212"/>
    <w:rsid w:val="000657C1"/>
    <w:rsid w:val="0006722C"/>
    <w:rsid w:val="00071481"/>
    <w:rsid w:val="00072D2F"/>
    <w:rsid w:val="00074319"/>
    <w:rsid w:val="00080AA2"/>
    <w:rsid w:val="000849D5"/>
    <w:rsid w:val="00087CA9"/>
    <w:rsid w:val="00090FBA"/>
    <w:rsid w:val="0009163C"/>
    <w:rsid w:val="000A1DB8"/>
    <w:rsid w:val="000A34A0"/>
    <w:rsid w:val="000A48AC"/>
    <w:rsid w:val="000A6733"/>
    <w:rsid w:val="000B0A5D"/>
    <w:rsid w:val="000B3820"/>
    <w:rsid w:val="000B4AC6"/>
    <w:rsid w:val="000B4B11"/>
    <w:rsid w:val="000C228C"/>
    <w:rsid w:val="000C31CB"/>
    <w:rsid w:val="000C59B1"/>
    <w:rsid w:val="000D2D9C"/>
    <w:rsid w:val="000D4F13"/>
    <w:rsid w:val="000D5FD5"/>
    <w:rsid w:val="000E07AF"/>
    <w:rsid w:val="000E130A"/>
    <w:rsid w:val="000E1A0D"/>
    <w:rsid w:val="000E1B3E"/>
    <w:rsid w:val="000E4E51"/>
    <w:rsid w:val="000F3F6A"/>
    <w:rsid w:val="000F628A"/>
    <w:rsid w:val="000F66BA"/>
    <w:rsid w:val="00106D4B"/>
    <w:rsid w:val="00110AC5"/>
    <w:rsid w:val="0011157E"/>
    <w:rsid w:val="00113545"/>
    <w:rsid w:val="001145CD"/>
    <w:rsid w:val="0011479E"/>
    <w:rsid w:val="001157D6"/>
    <w:rsid w:val="00116E8E"/>
    <w:rsid w:val="00117284"/>
    <w:rsid w:val="00122C32"/>
    <w:rsid w:val="001232C8"/>
    <w:rsid w:val="001243E2"/>
    <w:rsid w:val="00130749"/>
    <w:rsid w:val="00134774"/>
    <w:rsid w:val="00140274"/>
    <w:rsid w:val="00144A17"/>
    <w:rsid w:val="00150554"/>
    <w:rsid w:val="00151263"/>
    <w:rsid w:val="001519AA"/>
    <w:rsid w:val="00153F9C"/>
    <w:rsid w:val="0015559E"/>
    <w:rsid w:val="0015585D"/>
    <w:rsid w:val="00157A74"/>
    <w:rsid w:val="0016271A"/>
    <w:rsid w:val="00162A8D"/>
    <w:rsid w:val="001631CA"/>
    <w:rsid w:val="00165E3C"/>
    <w:rsid w:val="001713EF"/>
    <w:rsid w:val="00171C76"/>
    <w:rsid w:val="001728DD"/>
    <w:rsid w:val="00173FB5"/>
    <w:rsid w:val="0017508D"/>
    <w:rsid w:val="001851F8"/>
    <w:rsid w:val="00187DD4"/>
    <w:rsid w:val="001B0353"/>
    <w:rsid w:val="001B31C5"/>
    <w:rsid w:val="001C05BE"/>
    <w:rsid w:val="001C130C"/>
    <w:rsid w:val="001C1F8B"/>
    <w:rsid w:val="001C2751"/>
    <w:rsid w:val="001C2EE8"/>
    <w:rsid w:val="001C505D"/>
    <w:rsid w:val="001C61A8"/>
    <w:rsid w:val="001D1CD6"/>
    <w:rsid w:val="001D59A6"/>
    <w:rsid w:val="001D65B6"/>
    <w:rsid w:val="001D7B13"/>
    <w:rsid w:val="001D7E6F"/>
    <w:rsid w:val="001E079F"/>
    <w:rsid w:val="001E1F30"/>
    <w:rsid w:val="001E7794"/>
    <w:rsid w:val="001F2BBB"/>
    <w:rsid w:val="001F3E85"/>
    <w:rsid w:val="001F5407"/>
    <w:rsid w:val="001F6736"/>
    <w:rsid w:val="00200677"/>
    <w:rsid w:val="00202075"/>
    <w:rsid w:val="00202CAF"/>
    <w:rsid w:val="002051C4"/>
    <w:rsid w:val="0020670D"/>
    <w:rsid w:val="00211B13"/>
    <w:rsid w:val="002135D1"/>
    <w:rsid w:val="002146C0"/>
    <w:rsid w:val="002164C5"/>
    <w:rsid w:val="002211CB"/>
    <w:rsid w:val="00222A8B"/>
    <w:rsid w:val="00224AA3"/>
    <w:rsid w:val="002269AA"/>
    <w:rsid w:val="00230E1D"/>
    <w:rsid w:val="00231ED1"/>
    <w:rsid w:val="00235F4F"/>
    <w:rsid w:val="00236C94"/>
    <w:rsid w:val="00237491"/>
    <w:rsid w:val="00242624"/>
    <w:rsid w:val="00242F44"/>
    <w:rsid w:val="0024474C"/>
    <w:rsid w:val="0024557E"/>
    <w:rsid w:val="00246E35"/>
    <w:rsid w:val="00252996"/>
    <w:rsid w:val="00264386"/>
    <w:rsid w:val="00267F92"/>
    <w:rsid w:val="00282012"/>
    <w:rsid w:val="00283022"/>
    <w:rsid w:val="002863D7"/>
    <w:rsid w:val="002A2320"/>
    <w:rsid w:val="002A34E8"/>
    <w:rsid w:val="002B0A3A"/>
    <w:rsid w:val="002B1B65"/>
    <w:rsid w:val="002B2958"/>
    <w:rsid w:val="002C1866"/>
    <w:rsid w:val="002C19A7"/>
    <w:rsid w:val="002C25D7"/>
    <w:rsid w:val="002C39E3"/>
    <w:rsid w:val="002E3BA7"/>
    <w:rsid w:val="002E5467"/>
    <w:rsid w:val="002E6B0C"/>
    <w:rsid w:val="002F05D6"/>
    <w:rsid w:val="002F17DB"/>
    <w:rsid w:val="002F32E9"/>
    <w:rsid w:val="002F4CE1"/>
    <w:rsid w:val="002F771B"/>
    <w:rsid w:val="00300C15"/>
    <w:rsid w:val="00300F22"/>
    <w:rsid w:val="003013F9"/>
    <w:rsid w:val="003044AE"/>
    <w:rsid w:val="003047CC"/>
    <w:rsid w:val="00304A37"/>
    <w:rsid w:val="00305C4A"/>
    <w:rsid w:val="00306FFF"/>
    <w:rsid w:val="003104C6"/>
    <w:rsid w:val="00310594"/>
    <w:rsid w:val="00310ED4"/>
    <w:rsid w:val="00312301"/>
    <w:rsid w:val="003128F0"/>
    <w:rsid w:val="0031492A"/>
    <w:rsid w:val="00316C1A"/>
    <w:rsid w:val="00322858"/>
    <w:rsid w:val="00323C73"/>
    <w:rsid w:val="0032431C"/>
    <w:rsid w:val="003254EF"/>
    <w:rsid w:val="00331141"/>
    <w:rsid w:val="0034004E"/>
    <w:rsid w:val="00342314"/>
    <w:rsid w:val="00343A18"/>
    <w:rsid w:val="00344758"/>
    <w:rsid w:val="00346EB2"/>
    <w:rsid w:val="00347142"/>
    <w:rsid w:val="003529C1"/>
    <w:rsid w:val="003542E0"/>
    <w:rsid w:val="003565A8"/>
    <w:rsid w:val="003566EA"/>
    <w:rsid w:val="00361830"/>
    <w:rsid w:val="003635C4"/>
    <w:rsid w:val="00364E01"/>
    <w:rsid w:val="0036543A"/>
    <w:rsid w:val="00366282"/>
    <w:rsid w:val="00367A4A"/>
    <w:rsid w:val="003701B7"/>
    <w:rsid w:val="003721BE"/>
    <w:rsid w:val="00372C3A"/>
    <w:rsid w:val="00372C79"/>
    <w:rsid w:val="00380335"/>
    <w:rsid w:val="00383891"/>
    <w:rsid w:val="00387969"/>
    <w:rsid w:val="00391F80"/>
    <w:rsid w:val="003A15AD"/>
    <w:rsid w:val="003B71BB"/>
    <w:rsid w:val="003B76DD"/>
    <w:rsid w:val="003C6A63"/>
    <w:rsid w:val="003D00FF"/>
    <w:rsid w:val="003D237D"/>
    <w:rsid w:val="003D36CB"/>
    <w:rsid w:val="003D5238"/>
    <w:rsid w:val="003E2515"/>
    <w:rsid w:val="003E357A"/>
    <w:rsid w:val="003E4D58"/>
    <w:rsid w:val="003F6659"/>
    <w:rsid w:val="003F74AA"/>
    <w:rsid w:val="00405305"/>
    <w:rsid w:val="00406AC3"/>
    <w:rsid w:val="0040742C"/>
    <w:rsid w:val="00411A12"/>
    <w:rsid w:val="00411DE5"/>
    <w:rsid w:val="00422417"/>
    <w:rsid w:val="00423233"/>
    <w:rsid w:val="004233C4"/>
    <w:rsid w:val="00424233"/>
    <w:rsid w:val="00426016"/>
    <w:rsid w:val="00426333"/>
    <w:rsid w:val="004273BE"/>
    <w:rsid w:val="00427E18"/>
    <w:rsid w:val="0043042B"/>
    <w:rsid w:val="00441054"/>
    <w:rsid w:val="00447F34"/>
    <w:rsid w:val="00452CB3"/>
    <w:rsid w:val="0045535B"/>
    <w:rsid w:val="00457BE1"/>
    <w:rsid w:val="00462640"/>
    <w:rsid w:val="004628E3"/>
    <w:rsid w:val="00466AC4"/>
    <w:rsid w:val="0047059E"/>
    <w:rsid w:val="00472EFF"/>
    <w:rsid w:val="00474063"/>
    <w:rsid w:val="00476793"/>
    <w:rsid w:val="004841E1"/>
    <w:rsid w:val="004851B8"/>
    <w:rsid w:val="004918BE"/>
    <w:rsid w:val="00495AF1"/>
    <w:rsid w:val="004A187B"/>
    <w:rsid w:val="004A2BA1"/>
    <w:rsid w:val="004A2D3C"/>
    <w:rsid w:val="004A3D5B"/>
    <w:rsid w:val="004A607D"/>
    <w:rsid w:val="004C0CC7"/>
    <w:rsid w:val="004C7412"/>
    <w:rsid w:val="004D04BF"/>
    <w:rsid w:val="004D2FFA"/>
    <w:rsid w:val="004D3F34"/>
    <w:rsid w:val="004D6E55"/>
    <w:rsid w:val="004E0223"/>
    <w:rsid w:val="004E0DFF"/>
    <w:rsid w:val="004E3C5C"/>
    <w:rsid w:val="004E6F76"/>
    <w:rsid w:val="004F1C7C"/>
    <w:rsid w:val="004F4704"/>
    <w:rsid w:val="004F674B"/>
    <w:rsid w:val="005123F0"/>
    <w:rsid w:val="00513540"/>
    <w:rsid w:val="00513831"/>
    <w:rsid w:val="00513941"/>
    <w:rsid w:val="00515EB7"/>
    <w:rsid w:val="00517F0A"/>
    <w:rsid w:val="00522204"/>
    <w:rsid w:val="005239B1"/>
    <w:rsid w:val="00525EC9"/>
    <w:rsid w:val="00526FDB"/>
    <w:rsid w:val="0053051D"/>
    <w:rsid w:val="00531AE6"/>
    <w:rsid w:val="00533A8A"/>
    <w:rsid w:val="00542EB1"/>
    <w:rsid w:val="00555EC2"/>
    <w:rsid w:val="0056247D"/>
    <w:rsid w:val="00564135"/>
    <w:rsid w:val="00564208"/>
    <w:rsid w:val="005650BA"/>
    <w:rsid w:val="00566F02"/>
    <w:rsid w:val="00571CEB"/>
    <w:rsid w:val="00575D4C"/>
    <w:rsid w:val="00576D7E"/>
    <w:rsid w:val="00576F24"/>
    <w:rsid w:val="00591951"/>
    <w:rsid w:val="00594C88"/>
    <w:rsid w:val="005C36EB"/>
    <w:rsid w:val="005C3FC2"/>
    <w:rsid w:val="005C5D41"/>
    <w:rsid w:val="005D1F34"/>
    <w:rsid w:val="005D383D"/>
    <w:rsid w:val="005D6AF9"/>
    <w:rsid w:val="00600A3B"/>
    <w:rsid w:val="00605170"/>
    <w:rsid w:val="0060586C"/>
    <w:rsid w:val="00611B83"/>
    <w:rsid w:val="00611CE9"/>
    <w:rsid w:val="00614551"/>
    <w:rsid w:val="00620224"/>
    <w:rsid w:val="00623B27"/>
    <w:rsid w:val="0062569A"/>
    <w:rsid w:val="006303DB"/>
    <w:rsid w:val="0064080C"/>
    <w:rsid w:val="00643DF2"/>
    <w:rsid w:val="00646FD2"/>
    <w:rsid w:val="00647B43"/>
    <w:rsid w:val="00647C32"/>
    <w:rsid w:val="00652B12"/>
    <w:rsid w:val="00654793"/>
    <w:rsid w:val="006570D7"/>
    <w:rsid w:val="006637C3"/>
    <w:rsid w:val="006654EA"/>
    <w:rsid w:val="0066651D"/>
    <w:rsid w:val="00673EA2"/>
    <w:rsid w:val="00674673"/>
    <w:rsid w:val="0067519D"/>
    <w:rsid w:val="00675D2A"/>
    <w:rsid w:val="00677AFD"/>
    <w:rsid w:val="00681F86"/>
    <w:rsid w:val="0068534B"/>
    <w:rsid w:val="006900A1"/>
    <w:rsid w:val="00691873"/>
    <w:rsid w:val="00697548"/>
    <w:rsid w:val="0069770E"/>
    <w:rsid w:val="00697CDF"/>
    <w:rsid w:val="00697FC0"/>
    <w:rsid w:val="006A1ACF"/>
    <w:rsid w:val="006A6BB3"/>
    <w:rsid w:val="006B0ED5"/>
    <w:rsid w:val="006B384F"/>
    <w:rsid w:val="006B4428"/>
    <w:rsid w:val="006B44E4"/>
    <w:rsid w:val="006D129D"/>
    <w:rsid w:val="006D5EE5"/>
    <w:rsid w:val="006E11E2"/>
    <w:rsid w:val="006E5BE1"/>
    <w:rsid w:val="006F634B"/>
    <w:rsid w:val="006F73F5"/>
    <w:rsid w:val="00710270"/>
    <w:rsid w:val="00721E91"/>
    <w:rsid w:val="0072203D"/>
    <w:rsid w:val="00725E85"/>
    <w:rsid w:val="0073300B"/>
    <w:rsid w:val="00734096"/>
    <w:rsid w:val="00737330"/>
    <w:rsid w:val="00741499"/>
    <w:rsid w:val="007429C1"/>
    <w:rsid w:val="00743727"/>
    <w:rsid w:val="00746A53"/>
    <w:rsid w:val="00746D3E"/>
    <w:rsid w:val="00752474"/>
    <w:rsid w:val="007540BF"/>
    <w:rsid w:val="0075678B"/>
    <w:rsid w:val="00761D2C"/>
    <w:rsid w:val="00770642"/>
    <w:rsid w:val="00770A34"/>
    <w:rsid w:val="00770DCB"/>
    <w:rsid w:val="00770F8E"/>
    <w:rsid w:val="00775485"/>
    <w:rsid w:val="007755AE"/>
    <w:rsid w:val="00787234"/>
    <w:rsid w:val="00791C3A"/>
    <w:rsid w:val="0079477D"/>
    <w:rsid w:val="007948D6"/>
    <w:rsid w:val="00797968"/>
    <w:rsid w:val="007A065B"/>
    <w:rsid w:val="007A1E8F"/>
    <w:rsid w:val="007A2F8B"/>
    <w:rsid w:val="007A3ED7"/>
    <w:rsid w:val="007A5809"/>
    <w:rsid w:val="007A66A4"/>
    <w:rsid w:val="007A67DD"/>
    <w:rsid w:val="007A6BAC"/>
    <w:rsid w:val="007A7E6A"/>
    <w:rsid w:val="007B506B"/>
    <w:rsid w:val="007B5B85"/>
    <w:rsid w:val="007B762D"/>
    <w:rsid w:val="007E3B4C"/>
    <w:rsid w:val="007E5B88"/>
    <w:rsid w:val="007E7E77"/>
    <w:rsid w:val="007F0D0B"/>
    <w:rsid w:val="008002BF"/>
    <w:rsid w:val="008007A8"/>
    <w:rsid w:val="008042D9"/>
    <w:rsid w:val="008051AC"/>
    <w:rsid w:val="00814FC0"/>
    <w:rsid w:val="0081776F"/>
    <w:rsid w:val="008236CF"/>
    <w:rsid w:val="00826AC9"/>
    <w:rsid w:val="00831EC8"/>
    <w:rsid w:val="00831F20"/>
    <w:rsid w:val="008326B7"/>
    <w:rsid w:val="00835953"/>
    <w:rsid w:val="00835D24"/>
    <w:rsid w:val="00836428"/>
    <w:rsid w:val="00836444"/>
    <w:rsid w:val="00853B5B"/>
    <w:rsid w:val="00855A9F"/>
    <w:rsid w:val="00857908"/>
    <w:rsid w:val="008637DF"/>
    <w:rsid w:val="00863C58"/>
    <w:rsid w:val="00866296"/>
    <w:rsid w:val="008724DE"/>
    <w:rsid w:val="00877C4D"/>
    <w:rsid w:val="00882DBF"/>
    <w:rsid w:val="008853C5"/>
    <w:rsid w:val="008869B3"/>
    <w:rsid w:val="008905B2"/>
    <w:rsid w:val="008921B0"/>
    <w:rsid w:val="008A3D57"/>
    <w:rsid w:val="008B23BC"/>
    <w:rsid w:val="008B31B4"/>
    <w:rsid w:val="008B31E2"/>
    <w:rsid w:val="008C5873"/>
    <w:rsid w:val="008D1DFC"/>
    <w:rsid w:val="008E068A"/>
    <w:rsid w:val="008E076F"/>
    <w:rsid w:val="008E16B7"/>
    <w:rsid w:val="008E2C02"/>
    <w:rsid w:val="008E3D60"/>
    <w:rsid w:val="008E3F4C"/>
    <w:rsid w:val="008E47B1"/>
    <w:rsid w:val="008F3580"/>
    <w:rsid w:val="008F6B7B"/>
    <w:rsid w:val="0090141B"/>
    <w:rsid w:val="0090165F"/>
    <w:rsid w:val="00901B82"/>
    <w:rsid w:val="00904EC8"/>
    <w:rsid w:val="00910449"/>
    <w:rsid w:val="009109BA"/>
    <w:rsid w:val="009113F4"/>
    <w:rsid w:val="00912B09"/>
    <w:rsid w:val="00913EC1"/>
    <w:rsid w:val="0092578E"/>
    <w:rsid w:val="00926899"/>
    <w:rsid w:val="00926F53"/>
    <w:rsid w:val="009302C9"/>
    <w:rsid w:val="009362F8"/>
    <w:rsid w:val="00940001"/>
    <w:rsid w:val="009436F2"/>
    <w:rsid w:val="00945E15"/>
    <w:rsid w:val="00951E55"/>
    <w:rsid w:val="009543C5"/>
    <w:rsid w:val="009554E1"/>
    <w:rsid w:val="00961ED6"/>
    <w:rsid w:val="00966C2F"/>
    <w:rsid w:val="009710D3"/>
    <w:rsid w:val="00971447"/>
    <w:rsid w:val="00973005"/>
    <w:rsid w:val="0097512B"/>
    <w:rsid w:val="009754BE"/>
    <w:rsid w:val="00977CE1"/>
    <w:rsid w:val="00977E99"/>
    <w:rsid w:val="00982372"/>
    <w:rsid w:val="00987136"/>
    <w:rsid w:val="00990717"/>
    <w:rsid w:val="00991B20"/>
    <w:rsid w:val="00992AEF"/>
    <w:rsid w:val="00993417"/>
    <w:rsid w:val="00995B00"/>
    <w:rsid w:val="00997985"/>
    <w:rsid w:val="009A0546"/>
    <w:rsid w:val="009A0978"/>
    <w:rsid w:val="009A4F34"/>
    <w:rsid w:val="009A5E45"/>
    <w:rsid w:val="009B1BCD"/>
    <w:rsid w:val="009B2355"/>
    <w:rsid w:val="009B512F"/>
    <w:rsid w:val="009B5BAF"/>
    <w:rsid w:val="009C2097"/>
    <w:rsid w:val="009C2A8B"/>
    <w:rsid w:val="009C7631"/>
    <w:rsid w:val="009D48F6"/>
    <w:rsid w:val="009D4F2D"/>
    <w:rsid w:val="009D519D"/>
    <w:rsid w:val="009D67F6"/>
    <w:rsid w:val="009D6C86"/>
    <w:rsid w:val="009E0BA6"/>
    <w:rsid w:val="009E0FE1"/>
    <w:rsid w:val="00A01C1A"/>
    <w:rsid w:val="00A0406E"/>
    <w:rsid w:val="00A0693B"/>
    <w:rsid w:val="00A07752"/>
    <w:rsid w:val="00A10AAF"/>
    <w:rsid w:val="00A11307"/>
    <w:rsid w:val="00A115E3"/>
    <w:rsid w:val="00A13AF3"/>
    <w:rsid w:val="00A1412D"/>
    <w:rsid w:val="00A212EF"/>
    <w:rsid w:val="00A21388"/>
    <w:rsid w:val="00A22503"/>
    <w:rsid w:val="00A2689C"/>
    <w:rsid w:val="00A27791"/>
    <w:rsid w:val="00A308E9"/>
    <w:rsid w:val="00A34FAE"/>
    <w:rsid w:val="00A3673C"/>
    <w:rsid w:val="00A36BD5"/>
    <w:rsid w:val="00A37C37"/>
    <w:rsid w:val="00A41355"/>
    <w:rsid w:val="00A435D6"/>
    <w:rsid w:val="00A43B92"/>
    <w:rsid w:val="00A465FE"/>
    <w:rsid w:val="00A474C1"/>
    <w:rsid w:val="00A54251"/>
    <w:rsid w:val="00A54BA3"/>
    <w:rsid w:val="00A60447"/>
    <w:rsid w:val="00A6179E"/>
    <w:rsid w:val="00A64316"/>
    <w:rsid w:val="00A6519F"/>
    <w:rsid w:val="00A677C1"/>
    <w:rsid w:val="00A804D9"/>
    <w:rsid w:val="00A863AD"/>
    <w:rsid w:val="00A86F38"/>
    <w:rsid w:val="00A92D52"/>
    <w:rsid w:val="00A92EF8"/>
    <w:rsid w:val="00A92F92"/>
    <w:rsid w:val="00A96892"/>
    <w:rsid w:val="00AA14D7"/>
    <w:rsid w:val="00AA161C"/>
    <w:rsid w:val="00AA2051"/>
    <w:rsid w:val="00AA60FF"/>
    <w:rsid w:val="00AB4B63"/>
    <w:rsid w:val="00AC6D1B"/>
    <w:rsid w:val="00AD0C91"/>
    <w:rsid w:val="00AD1BA9"/>
    <w:rsid w:val="00AD5CD4"/>
    <w:rsid w:val="00AD5F12"/>
    <w:rsid w:val="00AD7CB4"/>
    <w:rsid w:val="00AE7265"/>
    <w:rsid w:val="00AF5E17"/>
    <w:rsid w:val="00B00C4D"/>
    <w:rsid w:val="00B07154"/>
    <w:rsid w:val="00B076CD"/>
    <w:rsid w:val="00B11924"/>
    <w:rsid w:val="00B14D31"/>
    <w:rsid w:val="00B1776B"/>
    <w:rsid w:val="00B21FE2"/>
    <w:rsid w:val="00B24B1D"/>
    <w:rsid w:val="00B277E0"/>
    <w:rsid w:val="00B27A12"/>
    <w:rsid w:val="00B34946"/>
    <w:rsid w:val="00B35872"/>
    <w:rsid w:val="00B35C40"/>
    <w:rsid w:val="00B40B3B"/>
    <w:rsid w:val="00B438A5"/>
    <w:rsid w:val="00B471F3"/>
    <w:rsid w:val="00B519FD"/>
    <w:rsid w:val="00B520BC"/>
    <w:rsid w:val="00B53E3B"/>
    <w:rsid w:val="00B561C0"/>
    <w:rsid w:val="00B6234D"/>
    <w:rsid w:val="00B63D24"/>
    <w:rsid w:val="00B71B07"/>
    <w:rsid w:val="00B73999"/>
    <w:rsid w:val="00B77DC7"/>
    <w:rsid w:val="00B82D8D"/>
    <w:rsid w:val="00B82DA0"/>
    <w:rsid w:val="00B8337E"/>
    <w:rsid w:val="00B85BB4"/>
    <w:rsid w:val="00B876F2"/>
    <w:rsid w:val="00B91968"/>
    <w:rsid w:val="00B924E6"/>
    <w:rsid w:val="00B958AC"/>
    <w:rsid w:val="00B971E0"/>
    <w:rsid w:val="00B97454"/>
    <w:rsid w:val="00BA13FD"/>
    <w:rsid w:val="00BA262D"/>
    <w:rsid w:val="00BA5698"/>
    <w:rsid w:val="00BB3678"/>
    <w:rsid w:val="00BB5FD4"/>
    <w:rsid w:val="00BC3125"/>
    <w:rsid w:val="00BC79EB"/>
    <w:rsid w:val="00BD45F8"/>
    <w:rsid w:val="00BD7F1E"/>
    <w:rsid w:val="00BD7FCF"/>
    <w:rsid w:val="00BE39E4"/>
    <w:rsid w:val="00C053B7"/>
    <w:rsid w:val="00C10C01"/>
    <w:rsid w:val="00C11F35"/>
    <w:rsid w:val="00C12475"/>
    <w:rsid w:val="00C12ADB"/>
    <w:rsid w:val="00C12D4A"/>
    <w:rsid w:val="00C13A78"/>
    <w:rsid w:val="00C14248"/>
    <w:rsid w:val="00C158E4"/>
    <w:rsid w:val="00C16633"/>
    <w:rsid w:val="00C2198B"/>
    <w:rsid w:val="00C25BDA"/>
    <w:rsid w:val="00C32116"/>
    <w:rsid w:val="00C33104"/>
    <w:rsid w:val="00C35261"/>
    <w:rsid w:val="00C365DA"/>
    <w:rsid w:val="00C43498"/>
    <w:rsid w:val="00C44438"/>
    <w:rsid w:val="00C4550E"/>
    <w:rsid w:val="00C46812"/>
    <w:rsid w:val="00C51979"/>
    <w:rsid w:val="00C60809"/>
    <w:rsid w:val="00C61F3E"/>
    <w:rsid w:val="00C648C9"/>
    <w:rsid w:val="00C735AA"/>
    <w:rsid w:val="00C737EA"/>
    <w:rsid w:val="00C80593"/>
    <w:rsid w:val="00C8336A"/>
    <w:rsid w:val="00C854D4"/>
    <w:rsid w:val="00C86575"/>
    <w:rsid w:val="00C90556"/>
    <w:rsid w:val="00C906E8"/>
    <w:rsid w:val="00C918D7"/>
    <w:rsid w:val="00C9209A"/>
    <w:rsid w:val="00CA0D78"/>
    <w:rsid w:val="00CA1EC6"/>
    <w:rsid w:val="00CA2745"/>
    <w:rsid w:val="00CA3C35"/>
    <w:rsid w:val="00CA4855"/>
    <w:rsid w:val="00CA4E17"/>
    <w:rsid w:val="00CA5288"/>
    <w:rsid w:val="00CB24FE"/>
    <w:rsid w:val="00CB6775"/>
    <w:rsid w:val="00CB6A03"/>
    <w:rsid w:val="00CC0797"/>
    <w:rsid w:val="00CC5923"/>
    <w:rsid w:val="00CC7428"/>
    <w:rsid w:val="00CD1708"/>
    <w:rsid w:val="00CD1FC4"/>
    <w:rsid w:val="00CD31B9"/>
    <w:rsid w:val="00CD58FD"/>
    <w:rsid w:val="00CE09F9"/>
    <w:rsid w:val="00CE749B"/>
    <w:rsid w:val="00CF42F3"/>
    <w:rsid w:val="00CF4590"/>
    <w:rsid w:val="00D02033"/>
    <w:rsid w:val="00D02321"/>
    <w:rsid w:val="00D02367"/>
    <w:rsid w:val="00D04941"/>
    <w:rsid w:val="00D10CEE"/>
    <w:rsid w:val="00D145E8"/>
    <w:rsid w:val="00D175A0"/>
    <w:rsid w:val="00D266AE"/>
    <w:rsid w:val="00D27497"/>
    <w:rsid w:val="00D30A61"/>
    <w:rsid w:val="00D327D8"/>
    <w:rsid w:val="00D343FA"/>
    <w:rsid w:val="00D35A5D"/>
    <w:rsid w:val="00D35B2E"/>
    <w:rsid w:val="00D36179"/>
    <w:rsid w:val="00D36EB0"/>
    <w:rsid w:val="00D411E6"/>
    <w:rsid w:val="00D418FF"/>
    <w:rsid w:val="00D46FD3"/>
    <w:rsid w:val="00D53A18"/>
    <w:rsid w:val="00D61102"/>
    <w:rsid w:val="00D65C76"/>
    <w:rsid w:val="00D65C9F"/>
    <w:rsid w:val="00D674CA"/>
    <w:rsid w:val="00D67793"/>
    <w:rsid w:val="00D71261"/>
    <w:rsid w:val="00D729AD"/>
    <w:rsid w:val="00D734C7"/>
    <w:rsid w:val="00D741A4"/>
    <w:rsid w:val="00D83D38"/>
    <w:rsid w:val="00D93420"/>
    <w:rsid w:val="00D97778"/>
    <w:rsid w:val="00DA2F73"/>
    <w:rsid w:val="00DA6194"/>
    <w:rsid w:val="00DB13D7"/>
    <w:rsid w:val="00DB1ADF"/>
    <w:rsid w:val="00DB690B"/>
    <w:rsid w:val="00DC02E2"/>
    <w:rsid w:val="00DC256F"/>
    <w:rsid w:val="00DC2FE9"/>
    <w:rsid w:val="00DC3439"/>
    <w:rsid w:val="00DC4047"/>
    <w:rsid w:val="00DC445B"/>
    <w:rsid w:val="00DC462F"/>
    <w:rsid w:val="00DC5267"/>
    <w:rsid w:val="00DD47CA"/>
    <w:rsid w:val="00DD5C85"/>
    <w:rsid w:val="00DD5FB2"/>
    <w:rsid w:val="00DD6A21"/>
    <w:rsid w:val="00DE60CA"/>
    <w:rsid w:val="00DF3E1D"/>
    <w:rsid w:val="00E01330"/>
    <w:rsid w:val="00E0297F"/>
    <w:rsid w:val="00E033FD"/>
    <w:rsid w:val="00E1197F"/>
    <w:rsid w:val="00E12C0D"/>
    <w:rsid w:val="00E13D51"/>
    <w:rsid w:val="00E24C5F"/>
    <w:rsid w:val="00E24FA3"/>
    <w:rsid w:val="00E2515C"/>
    <w:rsid w:val="00E26B28"/>
    <w:rsid w:val="00E3075C"/>
    <w:rsid w:val="00E31465"/>
    <w:rsid w:val="00E3289B"/>
    <w:rsid w:val="00E328CD"/>
    <w:rsid w:val="00E3354A"/>
    <w:rsid w:val="00E36B95"/>
    <w:rsid w:val="00E4003F"/>
    <w:rsid w:val="00E4372F"/>
    <w:rsid w:val="00E458F6"/>
    <w:rsid w:val="00E45954"/>
    <w:rsid w:val="00E57B6F"/>
    <w:rsid w:val="00E61A15"/>
    <w:rsid w:val="00E630F9"/>
    <w:rsid w:val="00E672A3"/>
    <w:rsid w:val="00E7122A"/>
    <w:rsid w:val="00E71B9B"/>
    <w:rsid w:val="00E74F71"/>
    <w:rsid w:val="00E83E0F"/>
    <w:rsid w:val="00E91ADF"/>
    <w:rsid w:val="00EA32EF"/>
    <w:rsid w:val="00EA44D9"/>
    <w:rsid w:val="00EA63F1"/>
    <w:rsid w:val="00EB4C9F"/>
    <w:rsid w:val="00EB6A76"/>
    <w:rsid w:val="00ED05B3"/>
    <w:rsid w:val="00ED2435"/>
    <w:rsid w:val="00EE047D"/>
    <w:rsid w:val="00EE649F"/>
    <w:rsid w:val="00EF16C1"/>
    <w:rsid w:val="00F00383"/>
    <w:rsid w:val="00F022B2"/>
    <w:rsid w:val="00F04C1B"/>
    <w:rsid w:val="00F11477"/>
    <w:rsid w:val="00F1344F"/>
    <w:rsid w:val="00F13F54"/>
    <w:rsid w:val="00F14C6D"/>
    <w:rsid w:val="00F151EF"/>
    <w:rsid w:val="00F17DCD"/>
    <w:rsid w:val="00F2001A"/>
    <w:rsid w:val="00F22A19"/>
    <w:rsid w:val="00F23722"/>
    <w:rsid w:val="00F2557C"/>
    <w:rsid w:val="00F26C94"/>
    <w:rsid w:val="00F27032"/>
    <w:rsid w:val="00F30027"/>
    <w:rsid w:val="00F34C5A"/>
    <w:rsid w:val="00F36533"/>
    <w:rsid w:val="00F3683B"/>
    <w:rsid w:val="00F41317"/>
    <w:rsid w:val="00F41368"/>
    <w:rsid w:val="00F450D3"/>
    <w:rsid w:val="00F45A34"/>
    <w:rsid w:val="00F45C21"/>
    <w:rsid w:val="00F4633A"/>
    <w:rsid w:val="00F4669C"/>
    <w:rsid w:val="00F46B4C"/>
    <w:rsid w:val="00F46E5F"/>
    <w:rsid w:val="00F50923"/>
    <w:rsid w:val="00F51350"/>
    <w:rsid w:val="00F515A0"/>
    <w:rsid w:val="00F54C31"/>
    <w:rsid w:val="00F55D30"/>
    <w:rsid w:val="00F60C2D"/>
    <w:rsid w:val="00F63B40"/>
    <w:rsid w:val="00F7449F"/>
    <w:rsid w:val="00F845E0"/>
    <w:rsid w:val="00F915B7"/>
    <w:rsid w:val="00F92920"/>
    <w:rsid w:val="00F92BA8"/>
    <w:rsid w:val="00F93FF8"/>
    <w:rsid w:val="00F94F2D"/>
    <w:rsid w:val="00F956E7"/>
    <w:rsid w:val="00FA4916"/>
    <w:rsid w:val="00FA4ECB"/>
    <w:rsid w:val="00FB5E2E"/>
    <w:rsid w:val="00FC74B8"/>
    <w:rsid w:val="00FD01B5"/>
    <w:rsid w:val="00FD0C01"/>
    <w:rsid w:val="00FD35AE"/>
    <w:rsid w:val="00FD4632"/>
    <w:rsid w:val="00FE0BBF"/>
    <w:rsid w:val="00FE5B41"/>
    <w:rsid w:val="00FE711A"/>
    <w:rsid w:val="00FF01C3"/>
    <w:rsid w:val="00FF022D"/>
    <w:rsid w:val="00FF1893"/>
    <w:rsid w:val="00FF3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locked/>
    <w:rsid w:val="00857908"/>
    <w:rPr>
      <w:rFonts w:ascii="Arial" w:eastAsia="MS Mincho"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basedOn w:val="DefaultParagraphFont"/>
    <w:link w:val="FootnoteText"/>
    <w:semiHidden/>
    <w:locked/>
    <w:rsid w:val="00857908"/>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38558">
      <w:bodyDiv w:val="1"/>
      <w:marLeft w:val="0"/>
      <w:marRight w:val="0"/>
      <w:marTop w:val="0"/>
      <w:marBottom w:val="0"/>
      <w:divBdr>
        <w:top w:val="none" w:sz="0" w:space="0" w:color="auto"/>
        <w:left w:val="none" w:sz="0" w:space="0" w:color="auto"/>
        <w:bottom w:val="none" w:sz="0" w:space="0" w:color="auto"/>
        <w:right w:val="none" w:sz="0" w:space="0" w:color="auto"/>
      </w:divBdr>
    </w:div>
    <w:div w:id="318727769">
      <w:bodyDiv w:val="1"/>
      <w:marLeft w:val="0"/>
      <w:marRight w:val="0"/>
      <w:marTop w:val="0"/>
      <w:marBottom w:val="0"/>
      <w:divBdr>
        <w:top w:val="none" w:sz="0" w:space="0" w:color="auto"/>
        <w:left w:val="none" w:sz="0" w:space="0" w:color="auto"/>
        <w:bottom w:val="none" w:sz="0" w:space="0" w:color="auto"/>
        <w:right w:val="none" w:sz="0" w:space="0" w:color="auto"/>
      </w:divBdr>
    </w:div>
    <w:div w:id="36032178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31440032">
      <w:bodyDiv w:val="1"/>
      <w:marLeft w:val="0"/>
      <w:marRight w:val="0"/>
      <w:marTop w:val="0"/>
      <w:marBottom w:val="0"/>
      <w:divBdr>
        <w:top w:val="none" w:sz="0" w:space="0" w:color="auto"/>
        <w:left w:val="none" w:sz="0" w:space="0" w:color="auto"/>
        <w:bottom w:val="none" w:sz="0" w:space="0" w:color="auto"/>
        <w:right w:val="none" w:sz="0" w:space="0" w:color="auto"/>
      </w:divBdr>
    </w:div>
    <w:div w:id="1159737422">
      <w:bodyDiv w:val="1"/>
      <w:marLeft w:val="0"/>
      <w:marRight w:val="0"/>
      <w:marTop w:val="0"/>
      <w:marBottom w:val="0"/>
      <w:divBdr>
        <w:top w:val="none" w:sz="0" w:space="0" w:color="auto"/>
        <w:left w:val="none" w:sz="0" w:space="0" w:color="auto"/>
        <w:bottom w:val="none" w:sz="0" w:space="0" w:color="auto"/>
        <w:right w:val="none" w:sz="0" w:space="0" w:color="auto"/>
      </w:divBdr>
    </w:div>
    <w:div w:id="1295140179">
      <w:bodyDiv w:val="1"/>
      <w:marLeft w:val="0"/>
      <w:marRight w:val="0"/>
      <w:marTop w:val="0"/>
      <w:marBottom w:val="0"/>
      <w:divBdr>
        <w:top w:val="none" w:sz="0" w:space="0" w:color="auto"/>
        <w:left w:val="none" w:sz="0" w:space="0" w:color="auto"/>
        <w:bottom w:val="none" w:sz="0" w:space="0" w:color="auto"/>
        <w:right w:val="none" w:sz="0" w:space="0" w:color="auto"/>
      </w:divBdr>
    </w:div>
    <w:div w:id="1686056864">
      <w:bodyDiv w:val="1"/>
      <w:marLeft w:val="0"/>
      <w:marRight w:val="0"/>
      <w:marTop w:val="0"/>
      <w:marBottom w:val="0"/>
      <w:divBdr>
        <w:top w:val="none" w:sz="0" w:space="0" w:color="auto"/>
        <w:left w:val="none" w:sz="0" w:space="0" w:color="auto"/>
        <w:bottom w:val="none" w:sz="0" w:space="0" w:color="auto"/>
        <w:right w:val="none" w:sz="0" w:space="0" w:color="auto"/>
      </w:divBdr>
    </w:div>
    <w:div w:id="1748334178">
      <w:bodyDiv w:val="1"/>
      <w:marLeft w:val="0"/>
      <w:marRight w:val="0"/>
      <w:marTop w:val="0"/>
      <w:marBottom w:val="0"/>
      <w:divBdr>
        <w:top w:val="none" w:sz="0" w:space="0" w:color="auto"/>
        <w:left w:val="none" w:sz="0" w:space="0" w:color="auto"/>
        <w:bottom w:val="none" w:sz="0" w:space="0" w:color="auto"/>
        <w:right w:val="none" w:sz="0" w:space="0" w:color="auto"/>
      </w:divBdr>
    </w:div>
    <w:div w:id="20096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humanservices.gov.au/customer/services/centrelink/financial-information-service" TargetMode="External"/><Relationship Id="rId26" Type="http://schemas.openxmlformats.org/officeDocument/2006/relationships/hyperlink" Target="http://www.health.gov.au/internet/main/publishing.nsf/content/health-pubhlth-strateg-food-nphp.htm" TargetMode="External"/><Relationship Id="rId39" Type="http://schemas.openxmlformats.org/officeDocument/2006/relationships/hyperlink" Target="http://www.health.gov.au/internet/main/publishing.nsf/content/ageing-policy-transition.htm" TargetMode="External"/><Relationship Id="rId3" Type="http://schemas.openxmlformats.org/officeDocument/2006/relationships/styles" Target="styles.xml"/><Relationship Id="rId21" Type="http://schemas.openxmlformats.org/officeDocument/2006/relationships/hyperlink" Target="http://www.humanservices.gov.au/customer/services/centrelink/age-pension" TargetMode="External"/><Relationship Id="rId34" Type="http://schemas.openxmlformats.org/officeDocument/2006/relationships/hyperlink" Target="http://www.humanservices.gov.au/customer/information/welcome-medicare-customers-website?utm_id=9" TargetMode="External"/><Relationship Id="rId42" Type="http://schemas.openxmlformats.org/officeDocument/2006/relationships/hyperlink" Target="http://www.health.gov.au/internet/main/publishing.nsf/content/hacc-index.htm" TargetMode="External"/><Relationship Id="rId47" Type="http://schemas.openxmlformats.org/officeDocument/2006/relationships/hyperlink" Target="http://www.dva.gov.au/health_and_wellbeing/health_programs/vvcs/services/crisis/Pages/index.aspx" TargetMode="External"/><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1800respect.org.au/" TargetMode="External"/><Relationship Id="rId25" Type="http://schemas.openxmlformats.org/officeDocument/2006/relationships/hyperlink" Target="http://www.ato.gov.au/pathway.aspx?sid=42&amp;ms=individuals&amp;pc=001/002/005" TargetMode="External"/><Relationship Id="rId33" Type="http://schemas.openxmlformats.org/officeDocument/2006/relationships/hyperlink" Target="http://www.health.gov.au/internet/main/publishing.nsf/Content/ageing-advocacy.htm" TargetMode="External"/><Relationship Id="rId38" Type="http://schemas.openxmlformats.org/officeDocument/2006/relationships/hyperlink" Target="http://www.toiletmap.gov.au/" TargetMode="External"/><Relationship Id="rId46" Type="http://schemas.openxmlformats.org/officeDocument/2006/relationships/hyperlink" Target="http://www.dva.gov.au/health_and_wellbeing/health_programs/vvcs/pages/index.aspx" TargetMode="External"/><Relationship Id="rId2" Type="http://schemas.openxmlformats.org/officeDocument/2006/relationships/numbering" Target="numbering.xml"/><Relationship Id="rId16" Type="http://schemas.openxmlformats.org/officeDocument/2006/relationships/hyperlink" Target="http://www.sadaproject.org.au/" TargetMode="External"/><Relationship Id="rId20" Type="http://schemas.openxmlformats.org/officeDocument/2006/relationships/hyperlink" Target="http://www.health.gov.au/internet/main/publishing.nsf/content/ageing-rescare-cvs-cvs.htm" TargetMode="External"/><Relationship Id="rId29" Type="http://schemas.openxmlformats.org/officeDocument/2006/relationships/hyperlink" Target="http://www.humanservices.gov.au/customer/services/centrelink/rent-assistance" TargetMode="External"/><Relationship Id="rId41" Type="http://schemas.openxmlformats.org/officeDocument/2006/relationships/hyperlink" Target="http://www.carersaustralia.com.au/how-we-work/national-programs/national-carer-counselling-progr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umanservices.gov.au/customer/subjects/payments-for-carers" TargetMode="External"/><Relationship Id="rId32" Type="http://schemas.openxmlformats.org/officeDocument/2006/relationships/hyperlink" Target="http://australia.gov.au/topics/law-and-justice/legal-services/legal-aid" TargetMode="External"/><Relationship Id="rId37" Type="http://schemas.openxmlformats.org/officeDocument/2006/relationships/hyperlink" Target="http://www.humanservices.gov.au/customer/services/centrelink/pensioner-concession-card" TargetMode="External"/><Relationship Id="rId40" Type="http://schemas.openxmlformats.org/officeDocument/2006/relationships/hyperlink" Target="http://pallcare.gky.com.au/c/pc?a=apps&amp;ap=bd" TargetMode="External"/><Relationship Id="rId45" Type="http://schemas.openxmlformats.org/officeDocument/2006/relationships/hyperlink" Target="http://www.humanservices.gov.au/customer/services/centrelink/remote-area-allowanc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g.gov.au/RightsAndProtections/HumanRights/HumanRightsFramework/Pages/default.aspx" TargetMode="External"/><Relationship Id="rId23" Type="http://schemas.openxmlformats.org/officeDocument/2006/relationships/hyperlink" Target="http://www.seniorscard.com.au/" TargetMode="External"/><Relationship Id="rId28" Type="http://schemas.openxmlformats.org/officeDocument/2006/relationships/hyperlink" Target="http://www.health.gov.au/internet/main/publishing.nsf/content/hacc-index.htm" TargetMode="External"/><Relationship Id="rId36" Type="http://schemas.openxmlformats.org/officeDocument/2006/relationships/hyperlink" Target="http://www.humanservices.gov.au/customer/services/centrelink/commonwealth-seniors-health-card" TargetMode="External"/><Relationship Id="rId49"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nicri.org.au/" TargetMode="External"/><Relationship Id="rId31" Type="http://schemas.openxmlformats.org/officeDocument/2006/relationships/hyperlink" Target="http://www.agedcareaustralia.gov.au/internet/agedcare/publishing.nsf/Content/Power+of+attorney-1" TargetMode="External"/><Relationship Id="rId44" Type="http://schemas.openxmlformats.org/officeDocument/2006/relationships/hyperlink" Target="http://www.health.gov.au/internet/main/publishing.nsf/Content/ageing-qual-frame-atsi-aged-care.htm" TargetMode="Externa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humanrights.gov.au/age/ageing/aged-care-reforms.html" TargetMode="External"/><Relationship Id="rId22" Type="http://schemas.openxmlformats.org/officeDocument/2006/relationships/hyperlink" Target="http://www.humanservices.gov.au/customer/services/centrelink/seniors-supplement" TargetMode="External"/><Relationship Id="rId27" Type="http://schemas.openxmlformats.org/officeDocument/2006/relationships/hyperlink" Target="http://www.agedcareaustralia.gov.au/internet/agedcare/publishing.nsf/Content/ACHA" TargetMode="External"/><Relationship Id="rId30" Type="http://schemas.openxmlformats.org/officeDocument/2006/relationships/hyperlink" Target="http://deewr.gov.au/experience" TargetMode="External"/><Relationship Id="rId35" Type="http://schemas.openxmlformats.org/officeDocument/2006/relationships/hyperlink" Target="http://www.pbs.gov.au/pbs/home" TargetMode="External"/><Relationship Id="rId43" Type="http://schemas.openxmlformats.org/officeDocument/2006/relationships/hyperlink" Target="http://www.livinglongerlivingbetter.gov.au/internet/living/publishing.nsf/Content/home-1" TargetMode="External"/><Relationship Id="rId48" Type="http://schemas.openxmlformats.org/officeDocument/2006/relationships/hyperlink" Target="http://www.dva.gov.au/service_providers/veterans_homecare/pages/index.aspx" TargetMode="External"/><Relationship Id="rId8" Type="http://schemas.openxmlformats.org/officeDocument/2006/relationships/endnotes" Target="endnotes.xml"/><Relationship Id="rId5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3CC14-86F6-4BFA-AEDC-752FAF38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0</TotalTime>
  <Pages>21</Pages>
  <Words>6061</Words>
  <Characters>38134</Characters>
  <Application>Microsoft Office Word</Application>
  <DocSecurity>0</DocSecurity>
  <Lines>693</Lines>
  <Paragraphs>202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43993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Jacqueline Au</dc:creator>
  <cp:lastModifiedBy>Connie Kwan</cp:lastModifiedBy>
  <cp:revision>2</cp:revision>
  <cp:lastPrinted>2013-03-11T05:16:00Z</cp:lastPrinted>
  <dcterms:created xsi:type="dcterms:W3CDTF">2013-06-28T00:56:00Z</dcterms:created>
  <dcterms:modified xsi:type="dcterms:W3CDTF">2013-06-28T00:56:00Z</dcterms:modified>
</cp:coreProperties>
</file>