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03" w:rsidRDefault="0017562E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72.95pt;margin-top:376.3pt;width:450pt;height:162.25pt;z-index:-251662336;mso-wrap-distance-left:0;mso-wrap-distance-right:0;mso-wrap-distance-bottom:21.35pt;mso-position-horizontal-relative:page;mso-position-vertical-relative:page" filled="f" stroked="f">
            <v:textbox inset="0,0,0,0">
              <w:txbxContent>
                <w:p w:rsidR="005A4703" w:rsidRDefault="005A4703">
                  <w:pPr>
                    <w:pBdr>
                      <w:top w:val="single" w:sz="5" w:space="0" w:color="000000"/>
                      <w:left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9.9pt;margin-top:77pt;width:434pt;height:299.3pt;z-index:-251661312;mso-wrap-distance-left:0;mso-wrap-distance-right:0;mso-position-horizontal-relative:page;mso-position-vertical-relative:page" filled="f" stroked="f">
            <v:textbox inset="0,0,0,0">
              <w:txbxContent>
                <w:p w:rsidR="005A4703" w:rsidRDefault="0017562E">
                  <w:pPr>
                    <w:spacing w:line="27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6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(1992) (CTH)</w:t>
                  </w:r>
                </w:p>
                <w:p w:rsidR="005A4703" w:rsidRDefault="0017562E">
                  <w:pPr>
                    <w:spacing w:before="700" w:line="24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as follows:</w:t>
                  </w:r>
                </w:p>
                <w:p w:rsidR="005A4703" w:rsidRDefault="0017562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00" w:line="282" w:lineRule="exact"/>
                    <w:ind w:right="288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I/We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ree years.</w:t>
                  </w:r>
                </w:p>
                <w:p w:rsidR="005A4703" w:rsidRDefault="0017562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24" w:line="266" w:lineRule="exact"/>
                    <w:ind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This exemption would apply to use of the BSWAT to:</w:t>
                  </w:r>
                </w:p>
                <w:p w:rsidR="005A4703" w:rsidRDefault="0017562E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008"/>
                    </w:tabs>
                    <w:spacing w:before="226" w:line="245" w:lineRule="exact"/>
                    <w:ind w:left="1008" w:hanging="288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</w:rPr>
                    <w:t>assess wages for employees; and</w:t>
                  </w:r>
                </w:p>
                <w:p w:rsidR="005A4703" w:rsidRDefault="0017562E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008"/>
                    </w:tabs>
                    <w:spacing w:before="198" w:line="276" w:lineRule="exact"/>
                    <w:ind w:left="1008" w:right="576" w:hanging="288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5A4703" w:rsidRDefault="0017562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06" w:after="684" w:line="281" w:lineRule="exact"/>
                    <w:ind w:right="288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6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31.45pt;margin-top:519.85pt;width:39.35pt;height:24.25pt;z-index:-251660288;mso-wrap-distance-left:0;mso-wrap-distance-right:0;mso-position-horizontal-relative:page;mso-position-vertical-relative:page" filled="f" stroked="f">
            <v:textbox inset="0,0,0,0">
              <w:txbxContent>
                <w:p w:rsidR="005A4703" w:rsidRDefault="0017562E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499745" cy="30797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45" cy="307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2.95pt;margin-top:377.15pt;width:184pt;height:11.65pt;z-index:-251659264;mso-wrap-distance-left:0;mso-wrap-distance-right:0;mso-position-horizontal-relative:page;mso-position-vertical-relative:page" filled="f" stroked="f">
            <v:textbox inset="0,0,0,0">
              <w:txbxContent>
                <w:p w:rsidR="005A4703" w:rsidRDefault="0017562E">
                  <w:pPr>
                    <w:tabs>
                      <w:tab w:val="right" w:pos="3672"/>
                    </w:tabs>
                    <w:spacing w:line="233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NAME: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</w:rPr>
                    <w:t>Brian Burke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72.95pt;margin-top:388.8pt;width:188.4pt;height:36pt;z-index:-25165824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40"/>
                    <w:gridCol w:w="451"/>
                    <w:gridCol w:w="1277"/>
                  </w:tblGrid>
                  <w:tr w:rsidR="005A47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20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A4703" w:rsidRDefault="0017562E">
                        <w:pPr>
                          <w:spacing w:before="269" w:after="200" w:line="25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ORGANISATION: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5A4703">
                        <w:pPr>
                          <w:jc w:val="center"/>
                          <w:textAlignment w:val="baseline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A4703" w:rsidRDefault="0017562E">
                        <w:pPr>
                          <w:spacing w:before="269" w:after="207" w:line="244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Pinnacle Inc.</w:t>
                        </w:r>
                      </w:p>
                    </w:tc>
                  </w:tr>
                </w:tbl>
                <w:p w:rsidR="00000000" w:rsidRDefault="0017562E"/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2.95pt;margin-top:425.85pt;width:448.55pt;height:25.75pt;z-index:-251657216;mso-wrap-distance-left:0;mso-wrap-distance-right:0;mso-position-horizontal-relative:page;mso-position-vertical-relative:page" filled="f" stroked="f">
            <v:textbox inset="0,0,0,0">
              <w:txbxContent>
                <w:p w:rsidR="005A4703" w:rsidRDefault="0017562E">
                  <w:pPr>
                    <w:tabs>
                      <w:tab w:val="left" w:pos="2520"/>
                    </w:tabs>
                    <w:spacing w:before="8" w:after="252" w:line="251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</w:rPr>
                    <w:t>POSITION: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3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>CEO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7.25pt;margin-top:451.6pt;width:442.1pt;height:108.3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5"/>
                    <w:gridCol w:w="1479"/>
                    <w:gridCol w:w="1596"/>
                    <w:gridCol w:w="4212"/>
                  </w:tblGrid>
                  <w:tr w:rsidR="005A47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15"/>
                    </w:trPr>
                    <w:tc>
                      <w:tcPr>
                        <w:tcW w:w="3034" w:type="dxa"/>
                        <w:gridSpan w:val="2"/>
                        <w:tcBorders>
                          <w:top w:val="none" w:sz="0" w:space="0" w:color="000000"/>
                          <w:left w:val="none" w:sz="0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5A4703" w:rsidRDefault="0017562E">
                        <w:pPr>
                          <w:spacing w:line="243" w:lineRule="exact"/>
                          <w:ind w:left="36" w:right="79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SIGNATURE: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By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17562E">
                        <w:pPr>
                          <w:spacing w:before="35"/>
                          <w:textAlignment w:val="baseline"/>
                        </w:pPr>
                        <w:r>
                          <w:rPr>
                            <w:noProof/>
                            <w:lang w:val="en-AU" w:eastAsia="en-AU"/>
                          </w:rPr>
                          <w:drawing>
                            <wp:inline distT="0" distB="0" distL="0" distR="0">
                              <wp:extent cx="655320" cy="926465"/>
                              <wp:effectExtent l="0" t="0" r="0" b="0"/>
                              <wp:docPr id="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test1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5320" cy="926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17562E">
                        <w:pPr>
                          <w:spacing w:before="35"/>
                          <w:ind w:right="29"/>
                          <w:jc w:val="right"/>
                          <w:textAlignment w:val="baseline"/>
                        </w:pPr>
                        <w:r>
                          <w:rPr>
                            <w:noProof/>
                            <w:lang w:val="en-AU" w:eastAsia="en-AU"/>
                          </w:rPr>
                          <w:drawing>
                            <wp:inline distT="0" distB="0" distL="0" distR="0">
                              <wp:extent cx="2298065" cy="804545"/>
                              <wp:effectExtent l="0" t="0" r="0" b="0"/>
                              <wp:docPr id="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test1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98065" cy="804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A47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"/>
                    </w:trPr>
                    <w:tc>
                      <w:tcPr>
                        <w:tcW w:w="1555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5A4703"/>
                    </w:tc>
                    <w:tc>
                      <w:tcPr>
                        <w:tcW w:w="14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5A4703"/>
                    </w:tc>
                    <w:tc>
                      <w:tcPr>
                        <w:tcW w:w="15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5A4703"/>
                    </w:tc>
                    <w:tc>
                      <w:tcPr>
                        <w:tcW w:w="42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A4703" w:rsidRDefault="005A4703"/>
                    </w:tc>
                  </w:tr>
                </w:tbl>
                <w:p w:rsidR="005A4703" w:rsidRDefault="005A4703">
                  <w:pPr>
                    <w:spacing w:after="407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1in;margin-top:559.9pt;width:450.95pt;height:162.5pt;z-index:-251655168;mso-wrap-distance-left:0;mso-wrap-distance-right:0;mso-position-horizontal-relative:page;mso-position-vertical-relative:page" filled="f">
            <v:textbox inset="0,0,0,0">
              <w:txbxContent>
                <w:p w:rsidR="005A4703" w:rsidRDefault="0017562E">
                  <w:pPr>
                    <w:spacing w:before="19" w:line="28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</w:rPr>
                    <w:t>, COMMENTS</w:t>
                  </w:r>
                </w:p>
                <w:p w:rsidR="005A4703" w:rsidRDefault="0017562E">
                  <w:pPr>
                    <w:spacing w:before="206" w:after="1453" w:line="246" w:lineRule="exact"/>
                    <w:ind w:left="144" w:righ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Pinnacle Inc. (Ararat/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Stawell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) along with Woodbine Inc.(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Warracknabeal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) and possibly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Cooinda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Disability Service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Nhill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) have engaged a consulting company to conduct research into the impact of using the BSWAT wage assessment tool compared to other approved 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tools (such as the SWS) in relation to each supported employees specific circumstances and the overall impact on each of the participating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organisations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sectPr w:rsidR="005A4703">
      <w:pgSz w:w="11914" w:h="16848"/>
      <w:pgMar w:top="1152" w:right="1455" w:bottom="1044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7649"/>
    <w:multiLevelType w:val="multilevel"/>
    <w:tmpl w:val="4858EAF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E634F"/>
    <w:multiLevelType w:val="multilevel"/>
    <w:tmpl w:val="3612DE5C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A4703"/>
    <w:rsid w:val="0017562E"/>
    <w:rsid w:val="005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2013-12-11T03:52:00Z</dcterms:created>
  <dcterms:modified xsi:type="dcterms:W3CDTF">2013-12-11T03:52:00Z</dcterms:modified>
</cp:coreProperties>
</file>