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BF0" w:rsidRDefault="00544637">
      <w:pPr>
        <w:textAlignment w:val="baseline"/>
        <w:rPr>
          <w:rFonts w:eastAsia="Times New Roman"/>
          <w:color w:val="000000"/>
          <w:sz w:val="24"/>
        </w:r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41" type="#_x0000_t202" style="position:absolute;margin-left:93.7pt;margin-top:537.85pt;width:416pt;height:175.15pt;z-index:-251666432;mso-wrap-distance-left:0;mso-wrap-distance-top:24pt;mso-wrap-distance-right:0;mso-position-horizontal-relative:page;mso-position-vertical-relative:page" filled="f" stroked="f">
            <v:textbox inset="0,0,0,0">
              <w:txbxContent>
                <w:p w:rsidR="005B5BF0" w:rsidRDefault="005B5BF0">
                  <w:pPr>
                    <w:pBdr>
                      <w:left w:val="single" w:sz="5" w:space="0" w:color="000000"/>
                      <w:bottom w:val="single" w:sz="7" w:space="0" w:color="000000"/>
                      <w:right w:val="single" w:sz="5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93.7pt;margin-top:84pt;width:416.55pt;height:280.05pt;z-index:-251665408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line="259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0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(1992) (CTH)</w:t>
                  </w:r>
                </w:p>
                <w:p w:rsidR="005B5BF0" w:rsidRDefault="00544637">
                  <w:pPr>
                    <w:spacing w:before="656" w:line="231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  <w:t>INVe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  <w:t xml:space="preserve"> as follows:</w:t>
                  </w:r>
                </w:p>
                <w:p w:rsidR="005B5BF0" w:rsidRDefault="00544637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199" w:line="261" w:lineRule="exact"/>
                    <w:ind w:left="792" w:right="360" w:hanging="288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I/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VVe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seek an exemption for all existing ADEs from sections 15 and 24 of the DDA, and the Commonwealth (and officers of the Commonwealth) from section 29 for a period of t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hree years.</w:t>
                  </w:r>
                </w:p>
                <w:p w:rsidR="005B5BF0" w:rsidRDefault="00544637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10" w:line="249" w:lineRule="exact"/>
                    <w:ind w:left="792" w:hanging="288"/>
                    <w:textAlignment w:val="baseline"/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2"/>
                      <w:sz w:val="20"/>
                    </w:rPr>
                    <w:t>This exemption would apply to use of the BSWAT to:</w:t>
                  </w:r>
                </w:p>
                <w:p w:rsidR="005B5BF0" w:rsidRDefault="00544637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1080"/>
                    </w:tabs>
                    <w:spacing w:before="216" w:line="229" w:lineRule="exact"/>
                    <w:ind w:left="1080" w:hanging="288"/>
                    <w:textAlignment w:val="baseline"/>
                    <w:rPr>
                      <w:rFonts w:ascii="Arial" w:eastAsia="Arial" w:hAnsi="Arial"/>
                      <w:color w:val="000000"/>
                      <w:spacing w:val="-1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"/>
                      <w:sz w:val="20"/>
                    </w:rPr>
                    <w:t>assess wages for employees; and</w:t>
                  </w:r>
                </w:p>
                <w:p w:rsidR="005B5BF0" w:rsidRDefault="00544637">
                  <w:pPr>
                    <w:numPr>
                      <w:ilvl w:val="0"/>
                      <w:numId w:val="2"/>
                    </w:numPr>
                    <w:tabs>
                      <w:tab w:val="clear" w:pos="288"/>
                      <w:tab w:val="left" w:pos="1080"/>
                    </w:tabs>
                    <w:spacing w:before="196" w:line="251" w:lineRule="exact"/>
                    <w:ind w:left="1080" w:right="720" w:hanging="288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wages to ADE employees based on assessments conducted under the BSWAT.</w:t>
                  </w:r>
                </w:p>
                <w:p w:rsidR="005B5BF0" w:rsidRDefault="00544637">
                  <w:pPr>
                    <w:numPr>
                      <w:ilvl w:val="0"/>
                      <w:numId w:val="1"/>
                    </w:numPr>
                    <w:tabs>
                      <w:tab w:val="clear" w:pos="288"/>
                      <w:tab w:val="left" w:pos="792"/>
                    </w:tabs>
                    <w:spacing w:before="208" w:after="610" w:line="262" w:lineRule="exact"/>
                    <w:ind w:left="792" w:right="360" w:hanging="288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-3"/>
                      <w:sz w:val="20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9" type="#_x0000_t202" style="position:absolute;margin-left:97.7pt;margin-top:364.05pt;width:34.8pt;height:13.25pt;z-index:-251664384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line="26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20"/>
                      <w:sz w:val="23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20"/>
                      <w:sz w:val="23"/>
                    </w:rPr>
                    <w:t>NAME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8" type="#_x0000_t202" style="position:absolute;margin-left:213.1pt;margin-top:365.95pt;width:50.9pt;height:11.3pt;z-index:-251663360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line="212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12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12"/>
                      <w:sz w:val="20"/>
                    </w:rPr>
                    <w:t>Anne Thorn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7" type="#_x0000_t202" style="position:absolute;margin-left:100.1pt;margin-top:390pt;width:79.4pt;height:11.05pt;z-index:-251662336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after="25" w:line="195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10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10"/>
                      <w:sz w:val="20"/>
                    </w:rPr>
                    <w:t>ORGANISATION: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6" type="#_x0000_t202" style="position:absolute;margin-left:213.1pt;margin-top:390pt;width:157.45pt;height:11.05pt;z-index:-251661312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after="4" w:line="216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-5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5"/>
                      <w:sz w:val="20"/>
                    </w:rPr>
                    <w:t>Macarthur Disability Services (MDS)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5" type="#_x0000_t202" style="position:absolute;margin-left:99.6pt;margin-top:413.5pt;width:106.8pt;height:100.35pt;z-index:-251660288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line="191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4"/>
                      <w:sz w:val="20"/>
                    </w:rPr>
                    <w:t>POSITION:</w:t>
                  </w:r>
                </w:p>
                <w:p w:rsidR="005B5BF0" w:rsidRDefault="00544637">
                  <w:pPr>
                    <w:spacing w:before="251" w:line="224" w:lineRule="exact"/>
                    <w:textAlignment w:val="baseline"/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pacing w:val="-3"/>
                      <w:sz w:val="20"/>
                    </w:rPr>
                    <w:t>SIGNATURE:</w:t>
                  </w:r>
                </w:p>
                <w:p w:rsidR="005B5BF0" w:rsidRDefault="00544637">
                  <w:pPr>
                    <w:spacing w:line="221" w:lineRule="exact"/>
                    <w:textAlignment w:val="baseline"/>
                    <w:rPr>
                      <w:rFonts w:ascii="Arial" w:eastAsia="Arial" w:hAnsi="Arial"/>
                      <w:color w:val="000000"/>
                      <w:spacing w:val="17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7"/>
                      <w:sz w:val="20"/>
                    </w:rPr>
                    <w:t xml:space="preserve">By signing this document I certify that I have authority to sign on behalf of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pacing w:val="17"/>
                      <w:sz w:val="20"/>
                    </w:rPr>
                    <w:t>organisation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pacing w:val="17"/>
                      <w:sz w:val="20"/>
                    </w:rPr>
                    <w:t xml:space="preserve"> named </w:t>
                  </w:r>
                  <w:r>
                    <w:rPr>
                      <w:rFonts w:ascii="Arial" w:eastAsia="Arial" w:hAnsi="Arial"/>
                      <w:color w:val="000000"/>
                      <w:spacing w:val="17"/>
                      <w:sz w:val="20"/>
                      <w:u w:val="single"/>
                    </w:rPr>
                    <w:t xml:space="preserve">above 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4" type="#_x0000_t202" style="position:absolute;margin-left:209.75pt;margin-top:413.5pt;width:106.8pt;height:10.5pt;z-index:-251659264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line="197" w:lineRule="exact"/>
                    <w:ind w:left="72"/>
                    <w:textAlignment w:val="baseline"/>
                    <w:rPr>
                      <w:rFonts w:ascii="Arial" w:eastAsia="Arial" w:hAnsi="Arial"/>
                      <w:color w:val="000000"/>
                      <w:spacing w:val="-4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-4"/>
                      <w:sz w:val="20"/>
                    </w:rPr>
                    <w:t>Chief Executive Officer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3" type="#_x0000_t202" style="position:absolute;margin-left:208.55pt;margin-top:436.3pt;width:261.6pt;height:76.35pt;z-index:-251658240;mso-wrap-distance-left:0;mso-wrap-distance-top:12.3pt;mso-wrap-distance-right:0;mso-wrap-distance-bottom:1.2pt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3322320" cy="969645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22320" cy="9696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93.7pt;margin-top:513.85pt;width:416pt;height:199.15pt;z-index:-251657216;mso-wrap-distance-left:0;mso-wrap-distance-right:0;mso-position-horizontal-relative:page;mso-position-vertical-relative:page" filled="f" stroked="f">
            <v:textbox inset="0,0,0,0">
              <w:txbxContent>
                <w:p w:rsidR="005B5BF0" w:rsidRDefault="00544637">
                  <w:pPr>
                    <w:spacing w:before="497" w:line="224" w:lineRule="exact"/>
                    <w:ind w:left="106" w:right="106" w:firstLine="106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</w:rPr>
                    <w:t>COMMENTS</w:t>
                  </w:r>
                </w:p>
                <w:p w:rsidR="005B5BF0" w:rsidRDefault="00544637">
                  <w:pPr>
                    <w:spacing w:before="248" w:line="225" w:lineRule="exact"/>
                    <w:ind w:left="106" w:right="178" w:firstLine="106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MDS Complete Property Services (CPS) is an Australian Disability Enterprise that is funded through the Department of 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) and provides 26 supported employees with meaningful work involving l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awn mowing and property maintenance.</w:t>
                  </w:r>
                </w:p>
                <w:p w:rsidR="005B5BF0" w:rsidRDefault="00544637">
                  <w:pPr>
                    <w:spacing w:before="246" w:line="226" w:lineRule="exact"/>
                    <w:ind w:left="106" w:right="106" w:firstLine="106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Approval for MDS to join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FaHCSIA's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exemption application has been granted by the Board of Directors following extensive discussion with its Senior Executive. MDS is committed to ensuring that its supported employees are</w:t>
                  </w: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paid at an appropriate level and in the absence of BSWAT, it feels somewhat hamstrung in determining pay rates.</w:t>
                  </w:r>
                </w:p>
                <w:p w:rsidR="005B5BF0" w:rsidRDefault="00544637">
                  <w:pPr>
                    <w:spacing w:before="232" w:after="270" w:line="229" w:lineRule="exact"/>
                    <w:ind w:left="106" w:right="178" w:firstLine="106"/>
                    <w:textAlignment w:val="baseline"/>
                    <w:rPr>
                      <w:rFonts w:ascii="Arial" w:eastAsia="Arial" w:hAnsi="Arial"/>
                      <w:color w:val="000000"/>
                      <w:sz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MDS supports the action taken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0"/>
                    </w:rPr>
                    <w:t xml:space="preserve"> and looks forward to the development of a new wage assessment tool that will replace the BSWAT.</w:t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31" style="position:absolute;z-index:251660288;mso-position-horizontal-relative:page;mso-position-vertical-relative:page" from="94.55pt,388.8pt" to="510.3pt,388.8pt" strokeweight=".7pt">
            <w10:wrap anchorx="page" anchory="page"/>
          </v:line>
        </w:pict>
      </w:r>
      <w:r>
        <w:pict>
          <v:line id="_x0000_s1030" style="position:absolute;z-index:251661312;mso-position-horizontal-relative:page;mso-position-vertical-relative:page" from="228.25pt,412.1pt" to="508.3pt,412.1pt" strokeweight="1.2pt">
            <w10:wrap anchorx="page" anchory="page"/>
          </v:line>
        </w:pict>
      </w:r>
      <w:r>
        <w:pict>
          <v:line id="_x0000_s1029" style="position:absolute;z-index:251662336;mso-position-horizontal-relative:page;mso-position-vertical-relative:page" from="95.3pt,411.35pt" to="221.1pt,411.35pt" strokeweight=".95pt">
            <w10:wrap anchorx="page" anchory="page"/>
          </v:line>
        </w:pict>
      </w:r>
      <w:r>
        <w:pict>
          <v:line id="_x0000_s1028" style="position:absolute;z-index:251663360;mso-position-horizontal-relative:page;mso-position-vertical-relative:page" from="508.8pt,364.3pt" to="508.8pt,517.75pt" strokeweight=".7pt">
            <w10:wrap anchorx="page" anchory="page"/>
          </v:line>
        </w:pict>
      </w:r>
      <w:r>
        <w:pict>
          <v:line id="_x0000_s1027" style="position:absolute;z-index:251664384;mso-position-horizontal-relative:page;mso-position-vertical-relative:page" from="94.55pt,364.1pt" to="94.55pt,516.05pt" strokeweight=".7pt">
            <w10:wrap anchorx="page" anchory="page"/>
          </v:line>
        </w:pict>
      </w:r>
      <w:r>
        <w:pict>
          <v:line id="_x0000_s1026" style="position:absolute;z-index:251665408;mso-position-horizontal-relative:page;mso-position-vertical-relative:page" from="207.6pt,364.8pt" to="207.6pt,516.55pt" strokeweight=".7pt">
            <w10:wrap anchorx="page" anchory="page"/>
          </v:line>
        </w:pict>
      </w:r>
    </w:p>
    <w:sectPr w:rsidR="005B5BF0">
      <w:pgSz w:w="11914" w:h="16848"/>
      <w:pgMar w:top="1152" w:right="1709" w:bottom="1044" w:left="1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A067A"/>
    <w:multiLevelType w:val="multilevel"/>
    <w:tmpl w:val="627203FA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35F70D6"/>
    <w:multiLevelType w:val="multilevel"/>
    <w:tmpl w:val="3536CB3A"/>
    <w:lvl w:ilvl="0">
      <w:start w:val="1"/>
      <w:numFmt w:val="lowerLetter"/>
      <w:lvlText w:val="(%1)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-1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5B5BF0"/>
    <w:rsid w:val="00544637"/>
    <w:rsid w:val="005B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46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2013-12-11T03:57:00Z</dcterms:created>
  <dcterms:modified xsi:type="dcterms:W3CDTF">2013-12-11T03:57:00Z</dcterms:modified>
</cp:coreProperties>
</file>