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8EF32" w14:textId="77777777" w:rsidR="00A95449" w:rsidRPr="00AA1A20" w:rsidRDefault="00A95449" w:rsidP="00252315">
      <w:pPr>
        <w:pStyle w:val="Subtitle"/>
        <w:tabs>
          <w:tab w:val="clear" w:pos="1134"/>
          <w:tab w:val="left" w:pos="1560"/>
        </w:tabs>
        <w:spacing w:before="240" w:after="240"/>
        <w:ind w:left="0"/>
        <w:jc w:val="right"/>
        <w:outlineLvl w:val="1"/>
        <w:rPr>
          <w:rFonts w:eastAsia="Times New Roman" w:cs="Open Sans"/>
          <w:bCs/>
          <w:color w:val="237BBC"/>
          <w:kern w:val="32"/>
          <w:sz w:val="46"/>
          <w:szCs w:val="46"/>
        </w:rPr>
      </w:pPr>
      <w:bookmarkStart w:id="0" w:name="_Toc523730786"/>
      <w:bookmarkStart w:id="1" w:name="_Toc523756211"/>
      <w:bookmarkStart w:id="2" w:name="_Toc523758552"/>
      <w:bookmarkStart w:id="3" w:name="_Toc523813814"/>
      <w:bookmarkStart w:id="4" w:name="_Toc523813843"/>
      <w:bookmarkStart w:id="5" w:name="_Toc523824251"/>
      <w:bookmarkStart w:id="6" w:name="_Toc523905227"/>
      <w:bookmarkStart w:id="7" w:name="_Toc523905332"/>
      <w:bookmarkStart w:id="8" w:name="_Toc524038365"/>
      <w:bookmarkStart w:id="9" w:name="_Toc524042095"/>
      <w:bookmarkStart w:id="10" w:name="_Toc524045100"/>
      <w:bookmarkStart w:id="11" w:name="_Toc524084348"/>
      <w:bookmarkStart w:id="12" w:name="_Toc515873204"/>
    </w:p>
    <w:p w14:paraId="214D4F92" w14:textId="77777777" w:rsidR="00827850" w:rsidRPr="00AA1A20" w:rsidRDefault="00827850" w:rsidP="00252315">
      <w:pPr>
        <w:pStyle w:val="Subtitle"/>
        <w:tabs>
          <w:tab w:val="clear" w:pos="1134"/>
          <w:tab w:val="left" w:pos="1560"/>
        </w:tabs>
        <w:spacing w:before="240" w:after="240"/>
        <w:ind w:left="0"/>
        <w:jc w:val="right"/>
        <w:outlineLvl w:val="1"/>
        <w:rPr>
          <w:rFonts w:eastAsia="Times New Roman" w:cs="Open Sans"/>
          <w:bCs/>
          <w:color w:val="237BBC"/>
          <w:kern w:val="32"/>
          <w:sz w:val="46"/>
          <w:szCs w:val="46"/>
        </w:rPr>
      </w:pPr>
      <w:bookmarkStart w:id="13" w:name="_Toc524094957"/>
      <w:bookmarkStart w:id="14" w:name="_Toc524096160"/>
      <w:bookmarkStart w:id="15" w:name="_Toc524339598"/>
      <w:bookmarkStart w:id="16" w:name="_Toc524348323"/>
      <w:bookmarkStart w:id="17" w:name="_Toc524352489"/>
      <w:bookmarkStart w:id="18" w:name="_Toc526518374"/>
      <w:bookmarkStart w:id="19" w:name="_Toc526683556"/>
      <w:bookmarkStart w:id="20" w:name="_Toc526683796"/>
      <w:bookmarkStart w:id="21" w:name="_Toc526794633"/>
      <w:bookmarkStart w:id="22" w:name="_Toc526941913"/>
      <w:bookmarkStart w:id="23" w:name="_Toc526948717"/>
      <w:bookmarkStart w:id="24" w:name="_Toc526951257"/>
      <w:bookmarkStart w:id="25" w:name="_Toc527028010"/>
      <w:bookmarkStart w:id="26" w:name="_Toc527032983"/>
      <w:bookmarkStart w:id="27" w:name="_Toc527105103"/>
      <w:bookmarkStart w:id="28" w:name="_Toc527107786"/>
      <w:r w:rsidRPr="00AA1A20">
        <w:rPr>
          <w:rFonts w:eastAsia="Times New Roman" w:cs="Open Sans"/>
          <w:bCs/>
          <w:color w:val="237BBC"/>
          <w:kern w:val="32"/>
          <w:sz w:val="46"/>
          <w:szCs w:val="46"/>
        </w:rPr>
        <w:t xml:space="preserve">Telecommunications and </w:t>
      </w:r>
      <w:r w:rsidR="00762850" w:rsidRPr="00AA1A20">
        <w:rPr>
          <w:rFonts w:eastAsia="Times New Roman" w:cs="Open Sans"/>
          <w:bCs/>
          <w:color w:val="237BBC"/>
          <w:kern w:val="32"/>
          <w:sz w:val="46"/>
          <w:szCs w:val="46"/>
        </w:rPr>
        <w:t>O</w:t>
      </w:r>
      <w:r w:rsidR="00C112E0" w:rsidRPr="00AA1A20">
        <w:rPr>
          <w:rFonts w:eastAsia="Times New Roman" w:cs="Open Sans"/>
          <w:bCs/>
          <w:color w:val="237BBC"/>
          <w:kern w:val="32"/>
          <w:sz w:val="46"/>
          <w:szCs w:val="46"/>
        </w:rPr>
        <w:t>ther </w:t>
      </w:r>
      <w:r w:rsidRPr="00AA1A20">
        <w:rPr>
          <w:rFonts w:eastAsia="Times New Roman" w:cs="Open Sans"/>
          <w:bCs/>
          <w:color w:val="237BBC"/>
          <w:kern w:val="32"/>
          <w:sz w:val="46"/>
          <w:szCs w:val="46"/>
        </w:rPr>
        <w:t>Legislation Amendment (As</w:t>
      </w:r>
      <w:r w:rsidR="00C112E0" w:rsidRPr="00AA1A20">
        <w:rPr>
          <w:rFonts w:eastAsia="Times New Roman" w:cs="Open Sans"/>
          <w:bCs/>
          <w:color w:val="237BBC"/>
          <w:kern w:val="32"/>
          <w:sz w:val="46"/>
          <w:szCs w:val="46"/>
        </w:rPr>
        <w:t xml:space="preserve">sistance and Access) </w:t>
      </w:r>
      <w:r w:rsidR="00E13908">
        <w:rPr>
          <w:rFonts w:eastAsia="Times New Roman" w:cs="Open Sans"/>
          <w:bCs/>
          <w:color w:val="237BBC"/>
          <w:kern w:val="32"/>
          <w:sz w:val="46"/>
          <w:szCs w:val="46"/>
        </w:rPr>
        <w:t>B</w:t>
      </w:r>
      <w:r w:rsidR="00C112E0" w:rsidRPr="00AA1A20">
        <w:rPr>
          <w:rFonts w:eastAsia="Times New Roman" w:cs="Open Sans"/>
          <w:bCs/>
          <w:color w:val="237BBC"/>
          <w:kern w:val="32"/>
          <w:sz w:val="46"/>
          <w:szCs w:val="46"/>
        </w:rPr>
        <w:t>ill </w:t>
      </w:r>
      <w:r w:rsidRPr="00AA1A20">
        <w:rPr>
          <w:rFonts w:eastAsia="Times New Roman" w:cs="Open Sans"/>
          <w:bCs/>
          <w:color w:val="237BBC"/>
          <w:kern w:val="32"/>
          <w:sz w:val="46"/>
          <w:szCs w:val="46"/>
        </w:rPr>
        <w:t>2018</w:t>
      </w: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DF25800" w14:textId="77777777" w:rsidR="00817C73" w:rsidRPr="00AA1A20" w:rsidRDefault="00817C73" w:rsidP="00C112E0">
      <w:pPr>
        <w:pStyle w:val="Subtitle"/>
        <w:tabs>
          <w:tab w:val="clear" w:pos="1134"/>
          <w:tab w:val="left" w:pos="1560"/>
        </w:tabs>
        <w:spacing w:before="240" w:after="240"/>
        <w:ind w:left="709" w:hanging="709"/>
        <w:jc w:val="right"/>
        <w:outlineLvl w:val="1"/>
        <w:rPr>
          <w:rFonts w:cs="Open Sans"/>
          <w:color w:val="237BBC"/>
          <w:sz w:val="28"/>
          <w:szCs w:val="24"/>
        </w:rPr>
      </w:pPr>
      <w:bookmarkStart w:id="29" w:name="_Toc523730787"/>
      <w:bookmarkStart w:id="30" w:name="_Toc523756212"/>
      <w:bookmarkStart w:id="31" w:name="_Toc523758553"/>
      <w:bookmarkStart w:id="32" w:name="_Toc523813815"/>
      <w:bookmarkStart w:id="33" w:name="_Toc523813844"/>
      <w:bookmarkStart w:id="34" w:name="_Toc523824252"/>
      <w:bookmarkStart w:id="35" w:name="_Toc523905228"/>
      <w:bookmarkStart w:id="36" w:name="_Toc523905333"/>
      <w:bookmarkStart w:id="37" w:name="_Toc524038366"/>
      <w:bookmarkStart w:id="38" w:name="_Toc524042096"/>
      <w:bookmarkStart w:id="39" w:name="_Toc524045101"/>
      <w:bookmarkStart w:id="40" w:name="_Toc524084349"/>
      <w:bookmarkStart w:id="41" w:name="_Toc524094958"/>
      <w:bookmarkStart w:id="42" w:name="_Toc524096161"/>
      <w:bookmarkStart w:id="43" w:name="_Toc524339599"/>
      <w:bookmarkStart w:id="44" w:name="_Toc524348324"/>
      <w:bookmarkStart w:id="45" w:name="_Toc524352490"/>
      <w:bookmarkStart w:id="46" w:name="_Toc526518375"/>
      <w:bookmarkStart w:id="47" w:name="_Toc526683557"/>
      <w:bookmarkStart w:id="48" w:name="_Toc526683797"/>
      <w:bookmarkStart w:id="49" w:name="_Toc526794634"/>
      <w:bookmarkStart w:id="50" w:name="_Toc526941914"/>
      <w:bookmarkStart w:id="51" w:name="_Toc526948718"/>
      <w:bookmarkStart w:id="52" w:name="_Toc526951258"/>
      <w:bookmarkStart w:id="53" w:name="_Toc527028011"/>
      <w:bookmarkStart w:id="54" w:name="_Toc527032984"/>
      <w:bookmarkStart w:id="55" w:name="_Toc527105104"/>
      <w:bookmarkStart w:id="56" w:name="_Toc527107787"/>
      <w:r w:rsidRPr="00AA1A20">
        <w:rPr>
          <w:rFonts w:cs="Open Sans"/>
          <w:color w:val="237BBC"/>
          <w:sz w:val="28"/>
          <w:szCs w:val="24"/>
        </w:rPr>
        <w:t>Australian Human Rights Commission</w:t>
      </w:r>
      <w:bookmarkEnd w:id="1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526C82C" w14:textId="30BD0621" w:rsidR="00817C73" w:rsidRPr="00AA1A20" w:rsidRDefault="00817C73" w:rsidP="005B5913">
      <w:pPr>
        <w:pStyle w:val="Subtitle"/>
        <w:tabs>
          <w:tab w:val="clear" w:pos="1134"/>
          <w:tab w:val="left" w:pos="1560"/>
        </w:tabs>
        <w:spacing w:before="240" w:after="240"/>
        <w:ind w:left="709" w:hanging="709"/>
        <w:jc w:val="right"/>
        <w:outlineLvl w:val="1"/>
        <w:rPr>
          <w:rFonts w:cs="Open Sans"/>
          <w:color w:val="237BBC"/>
          <w:sz w:val="28"/>
          <w:szCs w:val="24"/>
        </w:rPr>
      </w:pPr>
      <w:bookmarkStart w:id="57" w:name="_Toc515873205"/>
      <w:bookmarkStart w:id="58" w:name="_Toc523730788"/>
      <w:bookmarkStart w:id="59" w:name="_Toc523756213"/>
      <w:bookmarkStart w:id="60" w:name="_Toc523758554"/>
      <w:bookmarkStart w:id="61" w:name="_Toc523813816"/>
      <w:bookmarkStart w:id="62" w:name="_Toc523813845"/>
      <w:bookmarkStart w:id="63" w:name="_Toc523824253"/>
      <w:bookmarkStart w:id="64" w:name="_Toc523905229"/>
      <w:bookmarkStart w:id="65" w:name="_Toc523905334"/>
      <w:bookmarkStart w:id="66" w:name="_Toc524038367"/>
      <w:bookmarkStart w:id="67" w:name="_Toc524042097"/>
      <w:bookmarkStart w:id="68" w:name="_Toc524045102"/>
      <w:bookmarkStart w:id="69" w:name="_Toc524084350"/>
      <w:bookmarkStart w:id="70" w:name="_Toc524094959"/>
      <w:bookmarkStart w:id="71" w:name="_Toc524096162"/>
      <w:bookmarkStart w:id="72" w:name="_Toc524339600"/>
      <w:bookmarkStart w:id="73" w:name="_Toc524348325"/>
      <w:bookmarkStart w:id="74" w:name="_Toc524352491"/>
      <w:bookmarkStart w:id="75" w:name="_Toc526518376"/>
      <w:bookmarkStart w:id="76" w:name="_Toc526683558"/>
      <w:bookmarkStart w:id="77" w:name="_Toc526683798"/>
      <w:bookmarkStart w:id="78" w:name="_Toc526794635"/>
      <w:bookmarkStart w:id="79" w:name="_Toc526941915"/>
      <w:bookmarkStart w:id="80" w:name="_Toc526948719"/>
      <w:bookmarkStart w:id="81" w:name="_Toc526951259"/>
      <w:bookmarkStart w:id="82" w:name="_Toc527028012"/>
      <w:bookmarkStart w:id="83" w:name="_Toc527032985"/>
      <w:bookmarkStart w:id="84" w:name="_Toc527105105"/>
      <w:bookmarkStart w:id="85" w:name="_Toc527107788"/>
      <w:r w:rsidRPr="00AA1A20">
        <w:rPr>
          <w:rFonts w:cs="Open Sans"/>
          <w:color w:val="237BBC"/>
          <w:sz w:val="28"/>
          <w:szCs w:val="24"/>
        </w:rPr>
        <w:t xml:space="preserve">Submission to </w:t>
      </w:r>
      <w:bookmarkEnd w:id="57"/>
      <w:r w:rsidR="00827850" w:rsidRPr="00AA1A20">
        <w:rPr>
          <w:rFonts w:cs="Open Sans"/>
          <w:color w:val="237BBC"/>
          <w:sz w:val="28"/>
          <w:szCs w:val="24"/>
        </w:rPr>
        <w:t xml:space="preserve">the </w:t>
      </w:r>
      <w:r w:rsidR="00EF422D">
        <w:rPr>
          <w:rFonts w:cs="Open Sans"/>
          <w:color w:val="237BBC"/>
          <w:sz w:val="28"/>
          <w:szCs w:val="24"/>
        </w:rPr>
        <w:t>Parliamentary Joint Committee on Intelligence and Security</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BDA2775" w14:textId="1CA93F08" w:rsidR="00F220A5" w:rsidRPr="00AA1A20" w:rsidRDefault="002655ED" w:rsidP="00F220A5">
      <w:pPr>
        <w:pStyle w:val="Date"/>
        <w:rPr>
          <w:rFonts w:cs="Open Sans"/>
        </w:rPr>
      </w:pPr>
      <w:r>
        <w:rPr>
          <w:rFonts w:cs="Open Sans"/>
        </w:rPr>
        <w:t>12</w:t>
      </w:r>
      <w:r w:rsidR="00E13908">
        <w:rPr>
          <w:rFonts w:cs="Open Sans"/>
        </w:rPr>
        <w:t xml:space="preserve"> October</w:t>
      </w:r>
      <w:r w:rsidR="00F41189" w:rsidRPr="00AA1A20">
        <w:rPr>
          <w:rFonts w:cs="Open Sans"/>
        </w:rPr>
        <w:t xml:space="preserve"> 2018</w:t>
      </w:r>
    </w:p>
    <w:p w14:paraId="7B28ADC9" w14:textId="77777777" w:rsidR="00AC636D" w:rsidRPr="00AA1A20" w:rsidRDefault="00AC636D" w:rsidP="00AC636D">
      <w:pPr>
        <w:rPr>
          <w:rFonts w:cs="Open Sans"/>
        </w:rPr>
      </w:pPr>
    </w:p>
    <w:p w14:paraId="629FE2A4" w14:textId="77777777" w:rsidR="009E4BD0" w:rsidRPr="00AA1A20" w:rsidRDefault="009E4BD0" w:rsidP="00AC636D">
      <w:pPr>
        <w:rPr>
          <w:rFonts w:cs="Open Sans"/>
        </w:rPr>
        <w:sectPr w:rsidR="009E4BD0" w:rsidRPr="00AA1A20" w:rsidSect="00AC636D">
          <w:headerReference w:type="even" r:id="rId8"/>
          <w:headerReference w:type="default" r:id="rId9"/>
          <w:headerReference w:type="first" r:id="rId10"/>
          <w:footerReference w:type="first" r:id="rId11"/>
          <w:type w:val="continuous"/>
          <w:pgSz w:w="11906" w:h="16838" w:code="9"/>
          <w:pgMar w:top="228" w:right="1700" w:bottom="1134" w:left="1418" w:header="277" w:footer="1361" w:gutter="0"/>
          <w:pgNumType w:start="2"/>
          <w:cols w:space="708"/>
          <w:titlePg/>
          <w:docGrid w:linePitch="360"/>
        </w:sectPr>
      </w:pPr>
    </w:p>
    <w:p w14:paraId="7E8B388D" w14:textId="5D863B72" w:rsidR="006E71F6" w:rsidRDefault="000B5B68" w:rsidP="006E71F6">
      <w:pPr>
        <w:pStyle w:val="TOC1"/>
        <w:rPr>
          <w:rFonts w:asciiTheme="minorHAnsi" w:eastAsiaTheme="minorEastAsia" w:hAnsiTheme="minorHAnsi" w:cstheme="minorBidi"/>
          <w:b w:val="0"/>
          <w:i/>
          <w:sz w:val="22"/>
          <w:szCs w:val="22"/>
        </w:rPr>
      </w:pPr>
      <w:bookmarkStart w:id="86" w:name="_Toc209316062"/>
      <w:bookmarkEnd w:id="86"/>
      <w:r w:rsidRPr="00AA1A20">
        <w:rPr>
          <w:rFonts w:cs="Open Sans"/>
        </w:rPr>
        <w:lastRenderedPageBreak/>
        <w:t>Contents</w:t>
      </w:r>
      <w:r w:rsidRPr="00AA1A20">
        <w:rPr>
          <w:rFonts w:cs="Open Sans"/>
        </w:rPr>
        <w:fldChar w:fldCharType="begin"/>
      </w:r>
      <w:r w:rsidRPr="00AA1A20">
        <w:rPr>
          <w:rFonts w:cs="Open Sans"/>
        </w:rPr>
        <w:instrText xml:space="preserve"> TOC \o "1-3" \h \z \u </w:instrText>
      </w:r>
      <w:r w:rsidRPr="00AA1A20">
        <w:rPr>
          <w:rFonts w:cs="Open Sans"/>
        </w:rPr>
        <w:fldChar w:fldCharType="separate"/>
      </w:r>
    </w:p>
    <w:p w14:paraId="3E0575D4" w14:textId="4AE26E44" w:rsidR="006E71F6" w:rsidRDefault="00456640">
      <w:pPr>
        <w:pStyle w:val="TOC1"/>
        <w:rPr>
          <w:rFonts w:asciiTheme="minorHAnsi" w:eastAsiaTheme="minorEastAsia" w:hAnsiTheme="minorHAnsi" w:cstheme="minorBidi"/>
          <w:b w:val="0"/>
          <w:sz w:val="22"/>
          <w:szCs w:val="22"/>
        </w:rPr>
      </w:pPr>
      <w:hyperlink w:anchor="_Toc527107789" w:history="1">
        <w:r w:rsidR="006E71F6" w:rsidRPr="001577AD">
          <w:rPr>
            <w:rStyle w:val="Hyperlink"/>
            <w:rFonts w:cs="Open Sans"/>
          </w:rPr>
          <w:t>1</w:t>
        </w:r>
        <w:r w:rsidR="006E71F6">
          <w:rPr>
            <w:rFonts w:asciiTheme="minorHAnsi" w:eastAsiaTheme="minorEastAsia" w:hAnsiTheme="minorHAnsi" w:cstheme="minorBidi"/>
            <w:b w:val="0"/>
            <w:sz w:val="22"/>
            <w:szCs w:val="22"/>
          </w:rPr>
          <w:tab/>
        </w:r>
        <w:r w:rsidR="006E71F6" w:rsidRPr="001577AD">
          <w:rPr>
            <w:rStyle w:val="Hyperlink"/>
            <w:rFonts w:cs="Open Sans"/>
          </w:rPr>
          <w:t>Executive summary</w:t>
        </w:r>
        <w:r w:rsidR="006E71F6">
          <w:rPr>
            <w:webHidden/>
          </w:rPr>
          <w:tab/>
        </w:r>
        <w:r w:rsidR="006E71F6">
          <w:rPr>
            <w:webHidden/>
          </w:rPr>
          <w:fldChar w:fldCharType="begin"/>
        </w:r>
        <w:r w:rsidR="006E71F6">
          <w:rPr>
            <w:webHidden/>
          </w:rPr>
          <w:instrText xml:space="preserve"> PAGEREF _Toc527107789 \h </w:instrText>
        </w:r>
        <w:r w:rsidR="006E71F6">
          <w:rPr>
            <w:webHidden/>
          </w:rPr>
        </w:r>
        <w:r w:rsidR="006E71F6">
          <w:rPr>
            <w:webHidden/>
          </w:rPr>
          <w:fldChar w:fldCharType="separate"/>
        </w:r>
        <w:r w:rsidR="00372D72">
          <w:rPr>
            <w:webHidden/>
          </w:rPr>
          <w:t>4</w:t>
        </w:r>
        <w:r w:rsidR="006E71F6">
          <w:rPr>
            <w:webHidden/>
          </w:rPr>
          <w:fldChar w:fldCharType="end"/>
        </w:r>
      </w:hyperlink>
    </w:p>
    <w:p w14:paraId="7286228D" w14:textId="07FD6662" w:rsidR="006E71F6" w:rsidRDefault="00456640">
      <w:pPr>
        <w:pStyle w:val="TOC1"/>
        <w:rPr>
          <w:rFonts w:asciiTheme="minorHAnsi" w:eastAsiaTheme="minorEastAsia" w:hAnsiTheme="minorHAnsi" w:cstheme="minorBidi"/>
          <w:b w:val="0"/>
          <w:sz w:val="22"/>
          <w:szCs w:val="22"/>
        </w:rPr>
      </w:pPr>
      <w:hyperlink w:anchor="_Toc527107790" w:history="1">
        <w:r w:rsidR="006E71F6" w:rsidRPr="001577AD">
          <w:rPr>
            <w:rStyle w:val="Hyperlink"/>
            <w:rFonts w:cs="Open Sans"/>
          </w:rPr>
          <w:t>2</w:t>
        </w:r>
        <w:r w:rsidR="006E71F6">
          <w:rPr>
            <w:rFonts w:asciiTheme="minorHAnsi" w:eastAsiaTheme="minorEastAsia" w:hAnsiTheme="minorHAnsi" w:cstheme="minorBidi"/>
            <w:b w:val="0"/>
            <w:sz w:val="22"/>
            <w:szCs w:val="22"/>
          </w:rPr>
          <w:tab/>
        </w:r>
        <w:r w:rsidR="006E71F6" w:rsidRPr="001577AD">
          <w:rPr>
            <w:rStyle w:val="Hyperlink"/>
            <w:rFonts w:cs="Open Sans"/>
          </w:rPr>
          <w:t>Background</w:t>
        </w:r>
        <w:r w:rsidR="006E71F6">
          <w:rPr>
            <w:webHidden/>
          </w:rPr>
          <w:tab/>
        </w:r>
        <w:r w:rsidR="006E71F6">
          <w:rPr>
            <w:webHidden/>
          </w:rPr>
          <w:fldChar w:fldCharType="begin"/>
        </w:r>
        <w:r w:rsidR="006E71F6">
          <w:rPr>
            <w:webHidden/>
          </w:rPr>
          <w:instrText xml:space="preserve"> PAGEREF _Toc527107790 \h </w:instrText>
        </w:r>
        <w:r w:rsidR="006E71F6">
          <w:rPr>
            <w:webHidden/>
          </w:rPr>
        </w:r>
        <w:r w:rsidR="006E71F6">
          <w:rPr>
            <w:webHidden/>
          </w:rPr>
          <w:fldChar w:fldCharType="separate"/>
        </w:r>
        <w:r w:rsidR="00372D72">
          <w:rPr>
            <w:webHidden/>
          </w:rPr>
          <w:t>5</w:t>
        </w:r>
        <w:r w:rsidR="006E71F6">
          <w:rPr>
            <w:webHidden/>
          </w:rPr>
          <w:fldChar w:fldCharType="end"/>
        </w:r>
      </w:hyperlink>
    </w:p>
    <w:p w14:paraId="1EE86194" w14:textId="76B3380F" w:rsidR="006E71F6" w:rsidRDefault="00456640">
      <w:pPr>
        <w:pStyle w:val="TOC3"/>
        <w:rPr>
          <w:rFonts w:asciiTheme="minorHAnsi" w:eastAsiaTheme="minorEastAsia" w:hAnsiTheme="minorHAnsi" w:cstheme="minorBidi"/>
          <w:i w:val="0"/>
          <w:sz w:val="22"/>
          <w:szCs w:val="22"/>
        </w:rPr>
      </w:pPr>
      <w:hyperlink w:anchor="_Toc527107791" w:history="1">
        <w:r w:rsidR="006E71F6" w:rsidRPr="001577AD">
          <w:rPr>
            <w:rStyle w:val="Hyperlink"/>
            <w:rFonts w:cs="Open Sans"/>
          </w:rPr>
          <w:t>(a)</w:t>
        </w:r>
        <w:r w:rsidR="006E71F6">
          <w:rPr>
            <w:rFonts w:asciiTheme="minorHAnsi" w:eastAsiaTheme="minorEastAsia" w:hAnsiTheme="minorHAnsi" w:cstheme="minorBidi"/>
            <w:i w:val="0"/>
            <w:sz w:val="22"/>
            <w:szCs w:val="22"/>
          </w:rPr>
          <w:tab/>
        </w:r>
        <w:r w:rsidR="006E71F6" w:rsidRPr="001577AD">
          <w:rPr>
            <w:rStyle w:val="Hyperlink"/>
            <w:rFonts w:cs="Open Sans"/>
          </w:rPr>
          <w:t>Summary of key provisions and human rights concerns</w:t>
        </w:r>
        <w:r w:rsidR="006E71F6">
          <w:rPr>
            <w:webHidden/>
          </w:rPr>
          <w:tab/>
        </w:r>
        <w:r w:rsidR="006E71F6">
          <w:rPr>
            <w:webHidden/>
          </w:rPr>
          <w:fldChar w:fldCharType="begin"/>
        </w:r>
        <w:r w:rsidR="006E71F6">
          <w:rPr>
            <w:webHidden/>
          </w:rPr>
          <w:instrText xml:space="preserve"> PAGEREF _Toc527107791 \h </w:instrText>
        </w:r>
        <w:r w:rsidR="006E71F6">
          <w:rPr>
            <w:webHidden/>
          </w:rPr>
        </w:r>
        <w:r w:rsidR="006E71F6">
          <w:rPr>
            <w:webHidden/>
          </w:rPr>
          <w:fldChar w:fldCharType="separate"/>
        </w:r>
        <w:r w:rsidR="00372D72">
          <w:rPr>
            <w:webHidden/>
          </w:rPr>
          <w:t>7</w:t>
        </w:r>
        <w:r w:rsidR="006E71F6">
          <w:rPr>
            <w:webHidden/>
          </w:rPr>
          <w:fldChar w:fldCharType="end"/>
        </w:r>
      </w:hyperlink>
    </w:p>
    <w:p w14:paraId="53F42309" w14:textId="7C4CC81B" w:rsidR="006E71F6" w:rsidRDefault="00456640">
      <w:pPr>
        <w:pStyle w:val="TOC1"/>
        <w:rPr>
          <w:rFonts w:asciiTheme="minorHAnsi" w:eastAsiaTheme="minorEastAsia" w:hAnsiTheme="minorHAnsi" w:cstheme="minorBidi"/>
          <w:b w:val="0"/>
          <w:sz w:val="22"/>
          <w:szCs w:val="22"/>
        </w:rPr>
      </w:pPr>
      <w:hyperlink w:anchor="_Toc527107792" w:history="1">
        <w:r w:rsidR="006E71F6" w:rsidRPr="001577AD">
          <w:rPr>
            <w:rStyle w:val="Hyperlink"/>
            <w:rFonts w:cs="Open Sans"/>
          </w:rPr>
          <w:t>3</w:t>
        </w:r>
        <w:r w:rsidR="006E71F6">
          <w:rPr>
            <w:rFonts w:asciiTheme="minorHAnsi" w:eastAsiaTheme="minorEastAsia" w:hAnsiTheme="minorHAnsi" w:cstheme="minorBidi"/>
            <w:b w:val="0"/>
            <w:sz w:val="22"/>
            <w:szCs w:val="22"/>
          </w:rPr>
          <w:tab/>
        </w:r>
        <w:r w:rsidR="006E71F6" w:rsidRPr="001577AD">
          <w:rPr>
            <w:rStyle w:val="Hyperlink"/>
            <w:rFonts w:cs="Open Sans"/>
          </w:rPr>
          <w:t>Human rights and digital law enforcement</w:t>
        </w:r>
        <w:r w:rsidR="006E71F6">
          <w:rPr>
            <w:webHidden/>
          </w:rPr>
          <w:tab/>
        </w:r>
        <w:r w:rsidR="006E71F6">
          <w:rPr>
            <w:webHidden/>
          </w:rPr>
          <w:fldChar w:fldCharType="begin"/>
        </w:r>
        <w:r w:rsidR="006E71F6">
          <w:rPr>
            <w:webHidden/>
          </w:rPr>
          <w:instrText xml:space="preserve"> PAGEREF _Toc527107792 \h </w:instrText>
        </w:r>
        <w:r w:rsidR="006E71F6">
          <w:rPr>
            <w:webHidden/>
          </w:rPr>
        </w:r>
        <w:r w:rsidR="006E71F6">
          <w:rPr>
            <w:webHidden/>
          </w:rPr>
          <w:fldChar w:fldCharType="separate"/>
        </w:r>
        <w:r w:rsidR="00372D72">
          <w:rPr>
            <w:webHidden/>
          </w:rPr>
          <w:t>9</w:t>
        </w:r>
        <w:r w:rsidR="006E71F6">
          <w:rPr>
            <w:webHidden/>
          </w:rPr>
          <w:fldChar w:fldCharType="end"/>
        </w:r>
      </w:hyperlink>
    </w:p>
    <w:p w14:paraId="57F0F9EB" w14:textId="7445F375" w:rsidR="006E71F6" w:rsidRDefault="00456640">
      <w:pPr>
        <w:pStyle w:val="TOC2"/>
        <w:rPr>
          <w:rFonts w:asciiTheme="minorHAnsi" w:eastAsiaTheme="minorEastAsia" w:hAnsiTheme="minorHAnsi" w:cstheme="minorBidi"/>
          <w:b w:val="0"/>
          <w:i w:val="0"/>
          <w:sz w:val="22"/>
          <w:szCs w:val="22"/>
        </w:rPr>
      </w:pPr>
      <w:hyperlink w:anchor="_Toc527107793" w:history="1">
        <w:r w:rsidR="006E71F6" w:rsidRPr="001577AD">
          <w:rPr>
            <w:rStyle w:val="Hyperlink"/>
            <w:rFonts w:cs="Open Sans"/>
          </w:rPr>
          <w:t>3.1</w:t>
        </w:r>
        <w:r w:rsidR="006E71F6">
          <w:rPr>
            <w:rFonts w:asciiTheme="minorHAnsi" w:eastAsiaTheme="minorEastAsia" w:hAnsiTheme="minorHAnsi" w:cstheme="minorBidi"/>
            <w:b w:val="0"/>
            <w:i w:val="0"/>
            <w:sz w:val="22"/>
            <w:szCs w:val="22"/>
          </w:rPr>
          <w:tab/>
        </w:r>
        <w:r w:rsidR="006E71F6" w:rsidRPr="001577AD">
          <w:rPr>
            <w:rStyle w:val="Hyperlink"/>
            <w:rFonts w:cs="Open Sans"/>
          </w:rPr>
          <w:t>Right to privacy</w:t>
        </w:r>
        <w:r w:rsidR="006E71F6">
          <w:rPr>
            <w:webHidden/>
          </w:rPr>
          <w:tab/>
        </w:r>
        <w:r w:rsidR="006E71F6">
          <w:rPr>
            <w:webHidden/>
          </w:rPr>
          <w:fldChar w:fldCharType="begin"/>
        </w:r>
        <w:r w:rsidR="006E71F6">
          <w:rPr>
            <w:webHidden/>
          </w:rPr>
          <w:instrText xml:space="preserve"> PAGEREF _Toc527107793 \h </w:instrText>
        </w:r>
        <w:r w:rsidR="006E71F6">
          <w:rPr>
            <w:webHidden/>
          </w:rPr>
        </w:r>
        <w:r w:rsidR="006E71F6">
          <w:rPr>
            <w:webHidden/>
          </w:rPr>
          <w:fldChar w:fldCharType="separate"/>
        </w:r>
        <w:r w:rsidR="00372D72">
          <w:rPr>
            <w:webHidden/>
          </w:rPr>
          <w:t>11</w:t>
        </w:r>
        <w:r w:rsidR="006E71F6">
          <w:rPr>
            <w:webHidden/>
          </w:rPr>
          <w:fldChar w:fldCharType="end"/>
        </w:r>
      </w:hyperlink>
    </w:p>
    <w:p w14:paraId="52B08A8E" w14:textId="37FED8E1" w:rsidR="006E71F6" w:rsidRDefault="00456640">
      <w:pPr>
        <w:pStyle w:val="TOC2"/>
        <w:rPr>
          <w:rFonts w:asciiTheme="minorHAnsi" w:eastAsiaTheme="minorEastAsia" w:hAnsiTheme="minorHAnsi" w:cstheme="minorBidi"/>
          <w:b w:val="0"/>
          <w:i w:val="0"/>
          <w:sz w:val="22"/>
          <w:szCs w:val="22"/>
        </w:rPr>
      </w:pPr>
      <w:hyperlink w:anchor="_Toc527107794" w:history="1">
        <w:r w:rsidR="006E71F6" w:rsidRPr="001577AD">
          <w:rPr>
            <w:rStyle w:val="Hyperlink"/>
            <w:rFonts w:cs="Open Sans"/>
          </w:rPr>
          <w:t>3.2</w:t>
        </w:r>
        <w:r w:rsidR="006E71F6">
          <w:rPr>
            <w:rFonts w:asciiTheme="minorHAnsi" w:eastAsiaTheme="minorEastAsia" w:hAnsiTheme="minorHAnsi" w:cstheme="minorBidi"/>
            <w:b w:val="0"/>
            <w:i w:val="0"/>
            <w:sz w:val="22"/>
            <w:szCs w:val="22"/>
          </w:rPr>
          <w:tab/>
        </w:r>
        <w:r w:rsidR="006E71F6" w:rsidRPr="001577AD">
          <w:rPr>
            <w:rStyle w:val="Hyperlink"/>
            <w:rFonts w:cs="Open Sans"/>
          </w:rPr>
          <w:t>Right to freedom of expression</w:t>
        </w:r>
        <w:r w:rsidR="006E71F6">
          <w:rPr>
            <w:webHidden/>
          </w:rPr>
          <w:tab/>
        </w:r>
        <w:r w:rsidR="006E71F6">
          <w:rPr>
            <w:webHidden/>
          </w:rPr>
          <w:fldChar w:fldCharType="begin"/>
        </w:r>
        <w:r w:rsidR="006E71F6">
          <w:rPr>
            <w:webHidden/>
          </w:rPr>
          <w:instrText xml:space="preserve"> PAGEREF _Toc527107794 \h </w:instrText>
        </w:r>
        <w:r w:rsidR="006E71F6">
          <w:rPr>
            <w:webHidden/>
          </w:rPr>
        </w:r>
        <w:r w:rsidR="006E71F6">
          <w:rPr>
            <w:webHidden/>
          </w:rPr>
          <w:fldChar w:fldCharType="separate"/>
        </w:r>
        <w:r w:rsidR="00372D72">
          <w:rPr>
            <w:webHidden/>
          </w:rPr>
          <w:t>12</w:t>
        </w:r>
        <w:r w:rsidR="006E71F6">
          <w:rPr>
            <w:webHidden/>
          </w:rPr>
          <w:fldChar w:fldCharType="end"/>
        </w:r>
      </w:hyperlink>
    </w:p>
    <w:p w14:paraId="59C04FC9" w14:textId="2A625615" w:rsidR="006E71F6" w:rsidRDefault="00456640">
      <w:pPr>
        <w:pStyle w:val="TOC2"/>
        <w:rPr>
          <w:rFonts w:asciiTheme="minorHAnsi" w:eastAsiaTheme="minorEastAsia" w:hAnsiTheme="minorHAnsi" w:cstheme="minorBidi"/>
          <w:b w:val="0"/>
          <w:i w:val="0"/>
          <w:sz w:val="22"/>
          <w:szCs w:val="22"/>
        </w:rPr>
      </w:pPr>
      <w:hyperlink w:anchor="_Toc527107795" w:history="1">
        <w:r w:rsidR="006E71F6" w:rsidRPr="001577AD">
          <w:rPr>
            <w:rStyle w:val="Hyperlink"/>
            <w:rFonts w:cs="Open Sans"/>
          </w:rPr>
          <w:t>3.3</w:t>
        </w:r>
        <w:r w:rsidR="006E71F6">
          <w:rPr>
            <w:rFonts w:asciiTheme="minorHAnsi" w:eastAsiaTheme="minorEastAsia" w:hAnsiTheme="minorHAnsi" w:cstheme="minorBidi"/>
            <w:b w:val="0"/>
            <w:i w:val="0"/>
            <w:sz w:val="22"/>
            <w:szCs w:val="22"/>
          </w:rPr>
          <w:tab/>
        </w:r>
        <w:r w:rsidR="006E71F6" w:rsidRPr="001577AD">
          <w:rPr>
            <w:rStyle w:val="Hyperlink"/>
            <w:rFonts w:cs="Open Sans"/>
          </w:rPr>
          <w:t>Permissible limitations on human rights</w:t>
        </w:r>
        <w:r w:rsidR="006E71F6">
          <w:rPr>
            <w:webHidden/>
          </w:rPr>
          <w:tab/>
        </w:r>
        <w:r w:rsidR="006E71F6">
          <w:rPr>
            <w:webHidden/>
          </w:rPr>
          <w:fldChar w:fldCharType="begin"/>
        </w:r>
        <w:r w:rsidR="006E71F6">
          <w:rPr>
            <w:webHidden/>
          </w:rPr>
          <w:instrText xml:space="preserve"> PAGEREF _Toc527107795 \h </w:instrText>
        </w:r>
        <w:r w:rsidR="006E71F6">
          <w:rPr>
            <w:webHidden/>
          </w:rPr>
        </w:r>
        <w:r w:rsidR="006E71F6">
          <w:rPr>
            <w:webHidden/>
          </w:rPr>
          <w:fldChar w:fldCharType="separate"/>
        </w:r>
        <w:r w:rsidR="00372D72">
          <w:rPr>
            <w:webHidden/>
          </w:rPr>
          <w:t>12</w:t>
        </w:r>
        <w:r w:rsidR="006E71F6">
          <w:rPr>
            <w:webHidden/>
          </w:rPr>
          <w:fldChar w:fldCharType="end"/>
        </w:r>
      </w:hyperlink>
    </w:p>
    <w:p w14:paraId="41C1C8EE" w14:textId="5ADAD1FF" w:rsidR="006E71F6" w:rsidRDefault="00456640">
      <w:pPr>
        <w:pStyle w:val="TOC3"/>
        <w:rPr>
          <w:rFonts w:asciiTheme="minorHAnsi" w:eastAsiaTheme="minorEastAsia" w:hAnsiTheme="minorHAnsi" w:cstheme="minorBidi"/>
          <w:i w:val="0"/>
          <w:sz w:val="22"/>
          <w:szCs w:val="22"/>
        </w:rPr>
      </w:pPr>
      <w:hyperlink w:anchor="_Toc527107796" w:history="1">
        <w:r w:rsidR="006E71F6" w:rsidRPr="001577AD">
          <w:rPr>
            <w:rStyle w:val="Hyperlink"/>
            <w:rFonts w:cs="Open Sans"/>
          </w:rPr>
          <w:t>(a)</w:t>
        </w:r>
        <w:r w:rsidR="006E71F6">
          <w:rPr>
            <w:rFonts w:asciiTheme="minorHAnsi" w:eastAsiaTheme="minorEastAsia" w:hAnsiTheme="minorHAnsi" w:cstheme="minorBidi"/>
            <w:i w:val="0"/>
            <w:sz w:val="22"/>
            <w:szCs w:val="22"/>
          </w:rPr>
          <w:tab/>
        </w:r>
        <w:r w:rsidR="006E71F6" w:rsidRPr="001577AD">
          <w:rPr>
            <w:rStyle w:val="Hyperlink"/>
            <w:rFonts w:cs="Open Sans"/>
          </w:rPr>
          <w:t>Legitimate aims</w:t>
        </w:r>
        <w:r w:rsidR="006E71F6">
          <w:rPr>
            <w:webHidden/>
          </w:rPr>
          <w:tab/>
        </w:r>
        <w:r w:rsidR="006E71F6">
          <w:rPr>
            <w:webHidden/>
          </w:rPr>
          <w:fldChar w:fldCharType="begin"/>
        </w:r>
        <w:r w:rsidR="006E71F6">
          <w:rPr>
            <w:webHidden/>
          </w:rPr>
          <w:instrText xml:space="preserve"> PAGEREF _Toc527107796 \h </w:instrText>
        </w:r>
        <w:r w:rsidR="006E71F6">
          <w:rPr>
            <w:webHidden/>
          </w:rPr>
        </w:r>
        <w:r w:rsidR="006E71F6">
          <w:rPr>
            <w:webHidden/>
          </w:rPr>
          <w:fldChar w:fldCharType="separate"/>
        </w:r>
        <w:r w:rsidR="00372D72">
          <w:rPr>
            <w:webHidden/>
          </w:rPr>
          <w:t>13</w:t>
        </w:r>
        <w:r w:rsidR="006E71F6">
          <w:rPr>
            <w:webHidden/>
          </w:rPr>
          <w:fldChar w:fldCharType="end"/>
        </w:r>
      </w:hyperlink>
    </w:p>
    <w:p w14:paraId="4246366A" w14:textId="64B385A2" w:rsidR="006E71F6" w:rsidRDefault="00456640">
      <w:pPr>
        <w:pStyle w:val="TOC3"/>
        <w:rPr>
          <w:rFonts w:asciiTheme="minorHAnsi" w:eastAsiaTheme="minorEastAsia" w:hAnsiTheme="minorHAnsi" w:cstheme="minorBidi"/>
          <w:i w:val="0"/>
          <w:sz w:val="22"/>
          <w:szCs w:val="22"/>
        </w:rPr>
      </w:pPr>
      <w:hyperlink w:anchor="_Toc527107797" w:history="1">
        <w:r w:rsidR="006E71F6" w:rsidRPr="001577AD">
          <w:rPr>
            <w:rStyle w:val="Hyperlink"/>
            <w:rFonts w:cs="Open Sans"/>
          </w:rPr>
          <w:t>(b)</w:t>
        </w:r>
        <w:r w:rsidR="006E71F6">
          <w:rPr>
            <w:rFonts w:asciiTheme="minorHAnsi" w:eastAsiaTheme="minorEastAsia" w:hAnsiTheme="minorHAnsi" w:cstheme="minorBidi"/>
            <w:i w:val="0"/>
            <w:sz w:val="22"/>
            <w:szCs w:val="22"/>
          </w:rPr>
          <w:tab/>
        </w:r>
        <w:r w:rsidR="006E71F6" w:rsidRPr="001577AD">
          <w:rPr>
            <w:rStyle w:val="Hyperlink"/>
            <w:rFonts w:cs="Open Sans"/>
          </w:rPr>
          <w:t>Necessity</w:t>
        </w:r>
        <w:r w:rsidR="006E71F6">
          <w:rPr>
            <w:webHidden/>
          </w:rPr>
          <w:tab/>
        </w:r>
        <w:r w:rsidR="006E71F6">
          <w:rPr>
            <w:webHidden/>
          </w:rPr>
          <w:fldChar w:fldCharType="begin"/>
        </w:r>
        <w:r w:rsidR="006E71F6">
          <w:rPr>
            <w:webHidden/>
          </w:rPr>
          <w:instrText xml:space="preserve"> PAGEREF _Toc527107797 \h </w:instrText>
        </w:r>
        <w:r w:rsidR="006E71F6">
          <w:rPr>
            <w:webHidden/>
          </w:rPr>
        </w:r>
        <w:r w:rsidR="006E71F6">
          <w:rPr>
            <w:webHidden/>
          </w:rPr>
          <w:fldChar w:fldCharType="separate"/>
        </w:r>
        <w:r w:rsidR="00372D72">
          <w:rPr>
            <w:webHidden/>
          </w:rPr>
          <w:t>13</w:t>
        </w:r>
        <w:r w:rsidR="006E71F6">
          <w:rPr>
            <w:webHidden/>
          </w:rPr>
          <w:fldChar w:fldCharType="end"/>
        </w:r>
      </w:hyperlink>
    </w:p>
    <w:p w14:paraId="1AA26630" w14:textId="53009D03" w:rsidR="006E71F6" w:rsidRDefault="00456640">
      <w:pPr>
        <w:pStyle w:val="TOC3"/>
        <w:rPr>
          <w:rFonts w:asciiTheme="minorHAnsi" w:eastAsiaTheme="minorEastAsia" w:hAnsiTheme="minorHAnsi" w:cstheme="minorBidi"/>
          <w:i w:val="0"/>
          <w:sz w:val="22"/>
          <w:szCs w:val="22"/>
        </w:rPr>
      </w:pPr>
      <w:hyperlink w:anchor="_Toc527107798" w:history="1">
        <w:r w:rsidR="006E71F6" w:rsidRPr="001577AD">
          <w:rPr>
            <w:rStyle w:val="Hyperlink"/>
            <w:rFonts w:cs="Open Sans"/>
          </w:rPr>
          <w:t>(c)</w:t>
        </w:r>
        <w:r w:rsidR="006E71F6">
          <w:rPr>
            <w:rFonts w:asciiTheme="minorHAnsi" w:eastAsiaTheme="minorEastAsia" w:hAnsiTheme="minorHAnsi" w:cstheme="minorBidi"/>
            <w:i w:val="0"/>
            <w:sz w:val="22"/>
            <w:szCs w:val="22"/>
          </w:rPr>
          <w:tab/>
        </w:r>
        <w:r w:rsidR="006E71F6" w:rsidRPr="001577AD">
          <w:rPr>
            <w:rStyle w:val="Hyperlink"/>
            <w:rFonts w:cs="Open Sans"/>
          </w:rPr>
          <w:t>Proportionality</w:t>
        </w:r>
        <w:r w:rsidR="006E71F6">
          <w:rPr>
            <w:webHidden/>
          </w:rPr>
          <w:tab/>
        </w:r>
        <w:r w:rsidR="006E71F6">
          <w:rPr>
            <w:webHidden/>
          </w:rPr>
          <w:fldChar w:fldCharType="begin"/>
        </w:r>
        <w:r w:rsidR="006E71F6">
          <w:rPr>
            <w:webHidden/>
          </w:rPr>
          <w:instrText xml:space="preserve"> PAGEREF _Toc527107798 \h </w:instrText>
        </w:r>
        <w:r w:rsidR="006E71F6">
          <w:rPr>
            <w:webHidden/>
          </w:rPr>
        </w:r>
        <w:r w:rsidR="006E71F6">
          <w:rPr>
            <w:webHidden/>
          </w:rPr>
          <w:fldChar w:fldCharType="separate"/>
        </w:r>
        <w:r w:rsidR="00372D72">
          <w:rPr>
            <w:webHidden/>
          </w:rPr>
          <w:t>14</w:t>
        </w:r>
        <w:r w:rsidR="006E71F6">
          <w:rPr>
            <w:webHidden/>
          </w:rPr>
          <w:fldChar w:fldCharType="end"/>
        </w:r>
      </w:hyperlink>
    </w:p>
    <w:p w14:paraId="63370592" w14:textId="29838AB7" w:rsidR="006E71F6" w:rsidRDefault="00456640">
      <w:pPr>
        <w:pStyle w:val="TOC1"/>
        <w:rPr>
          <w:rFonts w:asciiTheme="minorHAnsi" w:eastAsiaTheme="minorEastAsia" w:hAnsiTheme="minorHAnsi" w:cstheme="minorBidi"/>
          <w:b w:val="0"/>
          <w:sz w:val="22"/>
          <w:szCs w:val="22"/>
        </w:rPr>
      </w:pPr>
      <w:hyperlink w:anchor="_Toc527107799" w:history="1">
        <w:r w:rsidR="006E71F6" w:rsidRPr="001577AD">
          <w:rPr>
            <w:rStyle w:val="Hyperlink"/>
            <w:rFonts w:cs="Open Sans"/>
          </w:rPr>
          <w:t>4</w:t>
        </w:r>
        <w:r w:rsidR="006E71F6">
          <w:rPr>
            <w:rFonts w:asciiTheme="minorHAnsi" w:eastAsiaTheme="minorEastAsia" w:hAnsiTheme="minorHAnsi" w:cstheme="minorBidi"/>
            <w:b w:val="0"/>
            <w:sz w:val="22"/>
            <w:szCs w:val="22"/>
          </w:rPr>
          <w:tab/>
        </w:r>
        <w:r w:rsidR="006E71F6" w:rsidRPr="001577AD">
          <w:rPr>
            <w:rStyle w:val="Hyperlink"/>
            <w:rFonts w:cs="Open Sans"/>
          </w:rPr>
          <w:t>The Bill</w:t>
        </w:r>
        <w:r w:rsidR="006E71F6">
          <w:rPr>
            <w:webHidden/>
          </w:rPr>
          <w:tab/>
        </w:r>
        <w:r w:rsidR="006E71F6">
          <w:rPr>
            <w:webHidden/>
          </w:rPr>
          <w:fldChar w:fldCharType="begin"/>
        </w:r>
        <w:r w:rsidR="006E71F6">
          <w:rPr>
            <w:webHidden/>
          </w:rPr>
          <w:instrText xml:space="preserve"> PAGEREF _Toc527107799 \h </w:instrText>
        </w:r>
        <w:r w:rsidR="006E71F6">
          <w:rPr>
            <w:webHidden/>
          </w:rPr>
        </w:r>
        <w:r w:rsidR="006E71F6">
          <w:rPr>
            <w:webHidden/>
          </w:rPr>
          <w:fldChar w:fldCharType="separate"/>
        </w:r>
        <w:r w:rsidR="00372D72">
          <w:rPr>
            <w:webHidden/>
          </w:rPr>
          <w:t>15</w:t>
        </w:r>
        <w:r w:rsidR="006E71F6">
          <w:rPr>
            <w:webHidden/>
          </w:rPr>
          <w:fldChar w:fldCharType="end"/>
        </w:r>
      </w:hyperlink>
    </w:p>
    <w:p w14:paraId="50DD8C7A" w14:textId="1A11F3F6" w:rsidR="006E71F6" w:rsidRDefault="00456640">
      <w:pPr>
        <w:pStyle w:val="TOC2"/>
        <w:rPr>
          <w:rFonts w:asciiTheme="minorHAnsi" w:eastAsiaTheme="minorEastAsia" w:hAnsiTheme="minorHAnsi" w:cstheme="minorBidi"/>
          <w:b w:val="0"/>
          <w:i w:val="0"/>
          <w:sz w:val="22"/>
          <w:szCs w:val="22"/>
        </w:rPr>
      </w:pPr>
      <w:hyperlink w:anchor="_Toc527107800" w:history="1">
        <w:r w:rsidR="006E71F6" w:rsidRPr="001577AD">
          <w:rPr>
            <w:rStyle w:val="Hyperlink"/>
            <w:rFonts w:cs="Open Sans"/>
          </w:rPr>
          <w:t>4.1</w:t>
        </w:r>
        <w:r w:rsidR="006E71F6">
          <w:rPr>
            <w:rFonts w:asciiTheme="minorHAnsi" w:eastAsiaTheme="minorEastAsia" w:hAnsiTheme="minorHAnsi" w:cstheme="minorBidi"/>
            <w:b w:val="0"/>
            <w:i w:val="0"/>
            <w:sz w:val="22"/>
            <w:szCs w:val="22"/>
          </w:rPr>
          <w:tab/>
        </w:r>
        <w:r w:rsidR="006E71F6" w:rsidRPr="001577AD">
          <w:rPr>
            <w:rStyle w:val="Hyperlink"/>
            <w:rFonts w:cs="Open Sans"/>
          </w:rPr>
          <w:t>Provider assistance scheme (Schedule 1)</w:t>
        </w:r>
        <w:r w:rsidR="006E71F6">
          <w:rPr>
            <w:webHidden/>
          </w:rPr>
          <w:tab/>
        </w:r>
        <w:r w:rsidR="006E71F6">
          <w:rPr>
            <w:webHidden/>
          </w:rPr>
          <w:fldChar w:fldCharType="begin"/>
        </w:r>
        <w:r w:rsidR="006E71F6">
          <w:rPr>
            <w:webHidden/>
          </w:rPr>
          <w:instrText xml:space="preserve"> PAGEREF _Toc527107800 \h </w:instrText>
        </w:r>
        <w:r w:rsidR="006E71F6">
          <w:rPr>
            <w:webHidden/>
          </w:rPr>
        </w:r>
        <w:r w:rsidR="006E71F6">
          <w:rPr>
            <w:webHidden/>
          </w:rPr>
          <w:fldChar w:fldCharType="separate"/>
        </w:r>
        <w:r w:rsidR="00372D72">
          <w:rPr>
            <w:webHidden/>
          </w:rPr>
          <w:t>15</w:t>
        </w:r>
        <w:r w:rsidR="006E71F6">
          <w:rPr>
            <w:webHidden/>
          </w:rPr>
          <w:fldChar w:fldCharType="end"/>
        </w:r>
      </w:hyperlink>
    </w:p>
    <w:p w14:paraId="5E630760" w14:textId="5E9CD92A" w:rsidR="006E71F6" w:rsidRDefault="00456640">
      <w:pPr>
        <w:pStyle w:val="TOC2"/>
        <w:rPr>
          <w:rFonts w:asciiTheme="minorHAnsi" w:eastAsiaTheme="minorEastAsia" w:hAnsiTheme="minorHAnsi" w:cstheme="minorBidi"/>
          <w:b w:val="0"/>
          <w:i w:val="0"/>
          <w:sz w:val="22"/>
          <w:szCs w:val="22"/>
        </w:rPr>
      </w:pPr>
      <w:hyperlink w:anchor="_Toc527107801" w:history="1">
        <w:r w:rsidR="006E71F6" w:rsidRPr="001577AD">
          <w:rPr>
            <w:rStyle w:val="Hyperlink"/>
            <w:rFonts w:cs="Open Sans"/>
          </w:rPr>
          <w:t>4.2</w:t>
        </w:r>
        <w:r w:rsidR="006E71F6">
          <w:rPr>
            <w:rFonts w:asciiTheme="minorHAnsi" w:eastAsiaTheme="minorEastAsia" w:hAnsiTheme="minorHAnsi" w:cstheme="minorBidi"/>
            <w:b w:val="0"/>
            <w:i w:val="0"/>
            <w:sz w:val="22"/>
            <w:szCs w:val="22"/>
          </w:rPr>
          <w:tab/>
        </w:r>
        <w:r w:rsidR="006E71F6" w:rsidRPr="001577AD">
          <w:rPr>
            <w:rStyle w:val="Hyperlink"/>
            <w:rFonts w:cs="Open Sans"/>
          </w:rPr>
          <w:t>Warrant powers (Schedules 2–5)</w:t>
        </w:r>
        <w:r w:rsidR="006E71F6">
          <w:rPr>
            <w:webHidden/>
          </w:rPr>
          <w:tab/>
        </w:r>
        <w:r w:rsidR="006E71F6">
          <w:rPr>
            <w:webHidden/>
          </w:rPr>
          <w:fldChar w:fldCharType="begin"/>
        </w:r>
        <w:r w:rsidR="006E71F6">
          <w:rPr>
            <w:webHidden/>
          </w:rPr>
          <w:instrText xml:space="preserve"> PAGEREF _Toc527107801 \h </w:instrText>
        </w:r>
        <w:r w:rsidR="006E71F6">
          <w:rPr>
            <w:webHidden/>
          </w:rPr>
        </w:r>
        <w:r w:rsidR="006E71F6">
          <w:rPr>
            <w:webHidden/>
          </w:rPr>
          <w:fldChar w:fldCharType="separate"/>
        </w:r>
        <w:r w:rsidR="00372D72">
          <w:rPr>
            <w:webHidden/>
          </w:rPr>
          <w:t>20</w:t>
        </w:r>
        <w:r w:rsidR="006E71F6">
          <w:rPr>
            <w:webHidden/>
          </w:rPr>
          <w:fldChar w:fldCharType="end"/>
        </w:r>
      </w:hyperlink>
    </w:p>
    <w:p w14:paraId="181ECCA9" w14:textId="4531BF01" w:rsidR="006E71F6" w:rsidRDefault="00456640">
      <w:pPr>
        <w:pStyle w:val="TOC1"/>
        <w:rPr>
          <w:rFonts w:asciiTheme="minorHAnsi" w:eastAsiaTheme="minorEastAsia" w:hAnsiTheme="minorHAnsi" w:cstheme="minorBidi"/>
          <w:b w:val="0"/>
          <w:sz w:val="22"/>
          <w:szCs w:val="22"/>
        </w:rPr>
      </w:pPr>
      <w:hyperlink w:anchor="_Toc527107802" w:history="1">
        <w:r w:rsidR="006E71F6" w:rsidRPr="001577AD">
          <w:rPr>
            <w:rStyle w:val="Hyperlink"/>
            <w:rFonts w:cs="Open Sans"/>
          </w:rPr>
          <w:t>5</w:t>
        </w:r>
        <w:r w:rsidR="006E71F6">
          <w:rPr>
            <w:rFonts w:asciiTheme="minorHAnsi" w:eastAsiaTheme="minorEastAsia" w:hAnsiTheme="minorHAnsi" w:cstheme="minorBidi"/>
            <w:b w:val="0"/>
            <w:sz w:val="22"/>
            <w:szCs w:val="22"/>
          </w:rPr>
          <w:tab/>
        </w:r>
        <w:r w:rsidR="006E71F6" w:rsidRPr="001577AD">
          <w:rPr>
            <w:rStyle w:val="Hyperlink"/>
            <w:rFonts w:cs="Open Sans"/>
          </w:rPr>
          <w:t>Key human rights concerns: assistance requests and notices</w:t>
        </w:r>
        <w:r w:rsidR="006E71F6">
          <w:rPr>
            <w:webHidden/>
          </w:rPr>
          <w:tab/>
        </w:r>
        <w:r w:rsidR="006E71F6">
          <w:rPr>
            <w:webHidden/>
          </w:rPr>
          <w:fldChar w:fldCharType="begin"/>
        </w:r>
        <w:r w:rsidR="006E71F6">
          <w:rPr>
            <w:webHidden/>
          </w:rPr>
          <w:instrText xml:space="preserve"> PAGEREF _Toc527107802 \h </w:instrText>
        </w:r>
        <w:r w:rsidR="006E71F6">
          <w:rPr>
            <w:webHidden/>
          </w:rPr>
        </w:r>
        <w:r w:rsidR="006E71F6">
          <w:rPr>
            <w:webHidden/>
          </w:rPr>
          <w:fldChar w:fldCharType="separate"/>
        </w:r>
        <w:r w:rsidR="00372D72">
          <w:rPr>
            <w:webHidden/>
          </w:rPr>
          <w:t>20</w:t>
        </w:r>
        <w:r w:rsidR="006E71F6">
          <w:rPr>
            <w:webHidden/>
          </w:rPr>
          <w:fldChar w:fldCharType="end"/>
        </w:r>
      </w:hyperlink>
    </w:p>
    <w:p w14:paraId="709E409D" w14:textId="6B24BBF7" w:rsidR="006E71F6" w:rsidRDefault="00456640">
      <w:pPr>
        <w:pStyle w:val="TOC2"/>
        <w:rPr>
          <w:rFonts w:asciiTheme="minorHAnsi" w:eastAsiaTheme="minorEastAsia" w:hAnsiTheme="minorHAnsi" w:cstheme="minorBidi"/>
          <w:b w:val="0"/>
          <w:i w:val="0"/>
          <w:sz w:val="22"/>
          <w:szCs w:val="22"/>
        </w:rPr>
      </w:pPr>
      <w:hyperlink w:anchor="_Toc527107803" w:history="1">
        <w:r w:rsidR="006E71F6" w:rsidRPr="001577AD">
          <w:rPr>
            <w:rStyle w:val="Hyperlink"/>
            <w:rFonts w:cs="Open Sans"/>
          </w:rPr>
          <w:t>5.1</w:t>
        </w:r>
        <w:r w:rsidR="006E71F6">
          <w:rPr>
            <w:rFonts w:asciiTheme="minorHAnsi" w:eastAsiaTheme="minorEastAsia" w:hAnsiTheme="minorHAnsi" w:cstheme="minorBidi"/>
            <w:b w:val="0"/>
            <w:i w:val="0"/>
            <w:sz w:val="22"/>
            <w:szCs w:val="22"/>
          </w:rPr>
          <w:tab/>
        </w:r>
        <w:r w:rsidR="006E71F6" w:rsidRPr="001577AD">
          <w:rPr>
            <w:rStyle w:val="Hyperlink"/>
            <w:rFonts w:cs="Open Sans"/>
          </w:rPr>
          <w:t>Scope of assistance scheme</w:t>
        </w:r>
        <w:r w:rsidR="006E71F6">
          <w:rPr>
            <w:webHidden/>
          </w:rPr>
          <w:tab/>
        </w:r>
        <w:r w:rsidR="006E71F6">
          <w:rPr>
            <w:webHidden/>
          </w:rPr>
          <w:fldChar w:fldCharType="begin"/>
        </w:r>
        <w:r w:rsidR="006E71F6">
          <w:rPr>
            <w:webHidden/>
          </w:rPr>
          <w:instrText xml:space="preserve"> PAGEREF _Toc527107803 \h </w:instrText>
        </w:r>
        <w:r w:rsidR="006E71F6">
          <w:rPr>
            <w:webHidden/>
          </w:rPr>
        </w:r>
        <w:r w:rsidR="006E71F6">
          <w:rPr>
            <w:webHidden/>
          </w:rPr>
          <w:fldChar w:fldCharType="separate"/>
        </w:r>
        <w:r w:rsidR="00372D72">
          <w:rPr>
            <w:webHidden/>
          </w:rPr>
          <w:t>21</w:t>
        </w:r>
        <w:r w:rsidR="006E71F6">
          <w:rPr>
            <w:webHidden/>
          </w:rPr>
          <w:fldChar w:fldCharType="end"/>
        </w:r>
      </w:hyperlink>
    </w:p>
    <w:p w14:paraId="0221C358" w14:textId="2B886E70" w:rsidR="006E71F6" w:rsidRDefault="00456640">
      <w:pPr>
        <w:pStyle w:val="TOC3"/>
        <w:rPr>
          <w:rFonts w:asciiTheme="minorHAnsi" w:eastAsiaTheme="minorEastAsia" w:hAnsiTheme="minorHAnsi" w:cstheme="minorBidi"/>
          <w:i w:val="0"/>
          <w:sz w:val="22"/>
          <w:szCs w:val="22"/>
        </w:rPr>
      </w:pPr>
      <w:hyperlink w:anchor="_Toc527107804" w:history="1">
        <w:r w:rsidR="006E71F6" w:rsidRPr="001577AD">
          <w:rPr>
            <w:rStyle w:val="Hyperlink"/>
            <w:rFonts w:cs="Open Sans"/>
          </w:rPr>
          <w:t>(a)</w:t>
        </w:r>
        <w:r w:rsidR="006E71F6">
          <w:rPr>
            <w:rFonts w:asciiTheme="minorHAnsi" w:eastAsiaTheme="minorEastAsia" w:hAnsiTheme="minorHAnsi" w:cstheme="minorBidi"/>
            <w:i w:val="0"/>
            <w:sz w:val="22"/>
            <w:szCs w:val="22"/>
          </w:rPr>
          <w:tab/>
        </w:r>
        <w:r w:rsidR="006E71F6" w:rsidRPr="001577AD">
          <w:rPr>
            <w:rStyle w:val="Hyperlink"/>
            <w:rFonts w:cs="Open Sans"/>
          </w:rPr>
          <w:t>‘Acts or things’</w:t>
        </w:r>
        <w:r w:rsidR="006E71F6">
          <w:rPr>
            <w:webHidden/>
          </w:rPr>
          <w:tab/>
        </w:r>
        <w:r w:rsidR="006E71F6">
          <w:rPr>
            <w:webHidden/>
          </w:rPr>
          <w:fldChar w:fldCharType="begin"/>
        </w:r>
        <w:r w:rsidR="006E71F6">
          <w:rPr>
            <w:webHidden/>
          </w:rPr>
          <w:instrText xml:space="preserve"> PAGEREF _Toc527107804 \h </w:instrText>
        </w:r>
        <w:r w:rsidR="006E71F6">
          <w:rPr>
            <w:webHidden/>
          </w:rPr>
        </w:r>
        <w:r w:rsidR="006E71F6">
          <w:rPr>
            <w:webHidden/>
          </w:rPr>
          <w:fldChar w:fldCharType="separate"/>
        </w:r>
        <w:r w:rsidR="00372D72">
          <w:rPr>
            <w:webHidden/>
          </w:rPr>
          <w:t>21</w:t>
        </w:r>
        <w:r w:rsidR="006E71F6">
          <w:rPr>
            <w:webHidden/>
          </w:rPr>
          <w:fldChar w:fldCharType="end"/>
        </w:r>
      </w:hyperlink>
    </w:p>
    <w:p w14:paraId="644FC7A1" w14:textId="51FADF19" w:rsidR="006E71F6" w:rsidRDefault="00456640">
      <w:pPr>
        <w:pStyle w:val="TOC3"/>
        <w:rPr>
          <w:rFonts w:asciiTheme="minorHAnsi" w:eastAsiaTheme="minorEastAsia" w:hAnsiTheme="minorHAnsi" w:cstheme="minorBidi"/>
          <w:i w:val="0"/>
          <w:sz w:val="22"/>
          <w:szCs w:val="22"/>
        </w:rPr>
      </w:pPr>
      <w:hyperlink w:anchor="_Toc527107805" w:history="1">
        <w:r w:rsidR="006E71F6" w:rsidRPr="001577AD">
          <w:rPr>
            <w:rStyle w:val="Hyperlink"/>
            <w:rFonts w:cs="Open Sans"/>
          </w:rPr>
          <w:t>(b)</w:t>
        </w:r>
        <w:r w:rsidR="006E71F6">
          <w:rPr>
            <w:rFonts w:asciiTheme="minorHAnsi" w:eastAsiaTheme="minorEastAsia" w:hAnsiTheme="minorHAnsi" w:cstheme="minorBidi"/>
            <w:i w:val="0"/>
            <w:sz w:val="22"/>
            <w:szCs w:val="22"/>
          </w:rPr>
          <w:tab/>
        </w:r>
        <w:r w:rsidR="006E71F6" w:rsidRPr="001577AD">
          <w:rPr>
            <w:rStyle w:val="Hyperlink"/>
            <w:rFonts w:cs="Open Sans"/>
          </w:rPr>
          <w:t>‘Relevant objectives’</w:t>
        </w:r>
        <w:r w:rsidR="006E71F6">
          <w:rPr>
            <w:webHidden/>
          </w:rPr>
          <w:tab/>
        </w:r>
        <w:r w:rsidR="006E71F6">
          <w:rPr>
            <w:webHidden/>
          </w:rPr>
          <w:fldChar w:fldCharType="begin"/>
        </w:r>
        <w:r w:rsidR="006E71F6">
          <w:rPr>
            <w:webHidden/>
          </w:rPr>
          <w:instrText xml:space="preserve"> PAGEREF _Toc527107805 \h </w:instrText>
        </w:r>
        <w:r w:rsidR="006E71F6">
          <w:rPr>
            <w:webHidden/>
          </w:rPr>
        </w:r>
        <w:r w:rsidR="006E71F6">
          <w:rPr>
            <w:webHidden/>
          </w:rPr>
          <w:fldChar w:fldCharType="separate"/>
        </w:r>
        <w:r w:rsidR="00372D72">
          <w:rPr>
            <w:webHidden/>
          </w:rPr>
          <w:t>24</w:t>
        </w:r>
        <w:r w:rsidR="006E71F6">
          <w:rPr>
            <w:webHidden/>
          </w:rPr>
          <w:fldChar w:fldCharType="end"/>
        </w:r>
      </w:hyperlink>
    </w:p>
    <w:p w14:paraId="63AA6253" w14:textId="5BD3C4DF" w:rsidR="006E71F6" w:rsidRDefault="00456640">
      <w:pPr>
        <w:pStyle w:val="TOC3"/>
        <w:rPr>
          <w:rFonts w:asciiTheme="minorHAnsi" w:eastAsiaTheme="minorEastAsia" w:hAnsiTheme="minorHAnsi" w:cstheme="minorBidi"/>
          <w:i w:val="0"/>
          <w:sz w:val="22"/>
          <w:szCs w:val="22"/>
        </w:rPr>
      </w:pPr>
      <w:hyperlink w:anchor="_Toc527107806" w:history="1">
        <w:r w:rsidR="006E71F6" w:rsidRPr="001577AD">
          <w:rPr>
            <w:rStyle w:val="Hyperlink"/>
            <w:rFonts w:cs="Open Sans"/>
          </w:rPr>
          <w:t>(c)</w:t>
        </w:r>
        <w:r w:rsidR="006E71F6">
          <w:rPr>
            <w:rFonts w:asciiTheme="minorHAnsi" w:eastAsiaTheme="minorEastAsia" w:hAnsiTheme="minorHAnsi" w:cstheme="minorBidi"/>
            <w:i w:val="0"/>
            <w:sz w:val="22"/>
            <w:szCs w:val="22"/>
          </w:rPr>
          <w:tab/>
        </w:r>
        <w:r w:rsidR="006E71F6" w:rsidRPr="001577AD">
          <w:rPr>
            <w:rStyle w:val="Hyperlink"/>
            <w:rFonts w:cs="Open Sans"/>
          </w:rPr>
          <w:t>‘Decision-making criteria’</w:t>
        </w:r>
        <w:r w:rsidR="006E71F6">
          <w:rPr>
            <w:webHidden/>
          </w:rPr>
          <w:tab/>
        </w:r>
        <w:r w:rsidR="006E71F6">
          <w:rPr>
            <w:webHidden/>
          </w:rPr>
          <w:fldChar w:fldCharType="begin"/>
        </w:r>
        <w:r w:rsidR="006E71F6">
          <w:rPr>
            <w:webHidden/>
          </w:rPr>
          <w:instrText xml:space="preserve"> PAGEREF _Toc527107806 \h </w:instrText>
        </w:r>
        <w:r w:rsidR="006E71F6">
          <w:rPr>
            <w:webHidden/>
          </w:rPr>
        </w:r>
        <w:r w:rsidR="006E71F6">
          <w:rPr>
            <w:webHidden/>
          </w:rPr>
          <w:fldChar w:fldCharType="separate"/>
        </w:r>
        <w:r w:rsidR="00372D72">
          <w:rPr>
            <w:webHidden/>
          </w:rPr>
          <w:t>27</w:t>
        </w:r>
        <w:r w:rsidR="006E71F6">
          <w:rPr>
            <w:webHidden/>
          </w:rPr>
          <w:fldChar w:fldCharType="end"/>
        </w:r>
      </w:hyperlink>
    </w:p>
    <w:p w14:paraId="1A8AFE25" w14:textId="081DFD13" w:rsidR="006E71F6" w:rsidRDefault="00456640">
      <w:pPr>
        <w:pStyle w:val="TOC3"/>
        <w:rPr>
          <w:rFonts w:asciiTheme="minorHAnsi" w:eastAsiaTheme="minorEastAsia" w:hAnsiTheme="minorHAnsi" w:cstheme="minorBidi"/>
          <w:i w:val="0"/>
          <w:sz w:val="22"/>
          <w:szCs w:val="22"/>
        </w:rPr>
      </w:pPr>
      <w:hyperlink w:anchor="_Toc527107807" w:history="1">
        <w:r w:rsidR="006E71F6" w:rsidRPr="001577AD">
          <w:rPr>
            <w:rStyle w:val="Hyperlink"/>
            <w:rFonts w:cs="Open Sans"/>
            <w:b/>
          </w:rPr>
          <w:t>(d)</w:t>
        </w:r>
        <w:r w:rsidR="006E71F6">
          <w:rPr>
            <w:rFonts w:asciiTheme="minorHAnsi" w:eastAsiaTheme="minorEastAsia" w:hAnsiTheme="minorHAnsi" w:cstheme="minorBidi"/>
            <w:i w:val="0"/>
            <w:sz w:val="22"/>
            <w:szCs w:val="22"/>
          </w:rPr>
          <w:tab/>
        </w:r>
        <w:r w:rsidR="006E71F6" w:rsidRPr="001577AD">
          <w:rPr>
            <w:rStyle w:val="Hyperlink"/>
            <w:rFonts w:cs="Open Sans"/>
            <w:b/>
          </w:rPr>
          <w:t>Duration of requests and notices</w:t>
        </w:r>
        <w:r w:rsidR="006E71F6">
          <w:rPr>
            <w:webHidden/>
          </w:rPr>
          <w:tab/>
        </w:r>
        <w:r w:rsidR="006E71F6">
          <w:rPr>
            <w:webHidden/>
          </w:rPr>
          <w:fldChar w:fldCharType="begin"/>
        </w:r>
        <w:r w:rsidR="006E71F6">
          <w:rPr>
            <w:webHidden/>
          </w:rPr>
          <w:instrText xml:space="preserve"> PAGEREF _Toc527107807 \h </w:instrText>
        </w:r>
        <w:r w:rsidR="006E71F6">
          <w:rPr>
            <w:webHidden/>
          </w:rPr>
        </w:r>
        <w:r w:rsidR="006E71F6">
          <w:rPr>
            <w:webHidden/>
          </w:rPr>
          <w:fldChar w:fldCharType="separate"/>
        </w:r>
        <w:r w:rsidR="00372D72">
          <w:rPr>
            <w:webHidden/>
          </w:rPr>
          <w:t>32</w:t>
        </w:r>
        <w:r w:rsidR="006E71F6">
          <w:rPr>
            <w:webHidden/>
          </w:rPr>
          <w:fldChar w:fldCharType="end"/>
        </w:r>
      </w:hyperlink>
    </w:p>
    <w:p w14:paraId="61448BCF" w14:textId="06258D2C" w:rsidR="006E71F6" w:rsidRDefault="00456640">
      <w:pPr>
        <w:pStyle w:val="TOC2"/>
        <w:rPr>
          <w:rFonts w:asciiTheme="minorHAnsi" w:eastAsiaTheme="minorEastAsia" w:hAnsiTheme="minorHAnsi" w:cstheme="minorBidi"/>
          <w:b w:val="0"/>
          <w:i w:val="0"/>
          <w:sz w:val="22"/>
          <w:szCs w:val="22"/>
        </w:rPr>
      </w:pPr>
      <w:hyperlink w:anchor="_Toc527107808" w:history="1">
        <w:r w:rsidR="006E71F6" w:rsidRPr="001577AD">
          <w:rPr>
            <w:rStyle w:val="Hyperlink"/>
            <w:rFonts w:cs="Open Sans"/>
          </w:rPr>
          <w:t>5.2</w:t>
        </w:r>
        <w:r w:rsidR="006E71F6">
          <w:rPr>
            <w:rFonts w:asciiTheme="minorHAnsi" w:eastAsiaTheme="minorEastAsia" w:hAnsiTheme="minorHAnsi" w:cstheme="minorBidi"/>
            <w:b w:val="0"/>
            <w:i w:val="0"/>
            <w:sz w:val="22"/>
            <w:szCs w:val="22"/>
          </w:rPr>
          <w:tab/>
        </w:r>
        <w:r w:rsidR="006E71F6" w:rsidRPr="001577AD">
          <w:rPr>
            <w:rStyle w:val="Hyperlink"/>
            <w:rFonts w:cs="Open Sans"/>
          </w:rPr>
          <w:t>Boundaries of systemic and non-systemic effects</w:t>
        </w:r>
        <w:r w:rsidR="006E71F6">
          <w:rPr>
            <w:webHidden/>
          </w:rPr>
          <w:tab/>
        </w:r>
        <w:r w:rsidR="006E71F6">
          <w:rPr>
            <w:webHidden/>
          </w:rPr>
          <w:fldChar w:fldCharType="begin"/>
        </w:r>
        <w:r w:rsidR="006E71F6">
          <w:rPr>
            <w:webHidden/>
          </w:rPr>
          <w:instrText xml:space="preserve"> PAGEREF _Toc527107808 \h </w:instrText>
        </w:r>
        <w:r w:rsidR="006E71F6">
          <w:rPr>
            <w:webHidden/>
          </w:rPr>
        </w:r>
        <w:r w:rsidR="006E71F6">
          <w:rPr>
            <w:webHidden/>
          </w:rPr>
          <w:fldChar w:fldCharType="separate"/>
        </w:r>
        <w:r w:rsidR="00372D72">
          <w:rPr>
            <w:webHidden/>
          </w:rPr>
          <w:t>34</w:t>
        </w:r>
        <w:r w:rsidR="006E71F6">
          <w:rPr>
            <w:webHidden/>
          </w:rPr>
          <w:fldChar w:fldCharType="end"/>
        </w:r>
      </w:hyperlink>
    </w:p>
    <w:p w14:paraId="1DB47126" w14:textId="0C5C111C" w:rsidR="006E71F6" w:rsidRDefault="00456640">
      <w:pPr>
        <w:pStyle w:val="TOC2"/>
        <w:rPr>
          <w:rFonts w:asciiTheme="minorHAnsi" w:eastAsiaTheme="minorEastAsia" w:hAnsiTheme="minorHAnsi" w:cstheme="minorBidi"/>
          <w:b w:val="0"/>
          <w:i w:val="0"/>
          <w:sz w:val="22"/>
          <w:szCs w:val="22"/>
        </w:rPr>
      </w:pPr>
      <w:hyperlink w:anchor="_Toc527107809" w:history="1">
        <w:r w:rsidR="006E71F6" w:rsidRPr="001577AD">
          <w:rPr>
            <w:rStyle w:val="Hyperlink"/>
            <w:rFonts w:cs="Open Sans"/>
          </w:rPr>
          <w:t>5.3</w:t>
        </w:r>
        <w:r w:rsidR="006E71F6">
          <w:rPr>
            <w:rFonts w:asciiTheme="minorHAnsi" w:eastAsiaTheme="minorEastAsia" w:hAnsiTheme="minorHAnsi" w:cstheme="minorBidi"/>
            <w:b w:val="0"/>
            <w:i w:val="0"/>
            <w:sz w:val="22"/>
            <w:szCs w:val="22"/>
          </w:rPr>
          <w:tab/>
        </w:r>
        <w:r w:rsidR="006E71F6" w:rsidRPr="001577AD">
          <w:rPr>
            <w:rStyle w:val="Hyperlink"/>
            <w:rFonts w:cs="Open Sans"/>
          </w:rPr>
          <w:t>Interaction with warrants</w:t>
        </w:r>
        <w:r w:rsidR="006E71F6">
          <w:rPr>
            <w:webHidden/>
          </w:rPr>
          <w:tab/>
        </w:r>
        <w:r w:rsidR="006E71F6">
          <w:rPr>
            <w:webHidden/>
          </w:rPr>
          <w:fldChar w:fldCharType="begin"/>
        </w:r>
        <w:r w:rsidR="006E71F6">
          <w:rPr>
            <w:webHidden/>
          </w:rPr>
          <w:instrText xml:space="preserve"> PAGEREF _Toc527107809 \h </w:instrText>
        </w:r>
        <w:r w:rsidR="006E71F6">
          <w:rPr>
            <w:webHidden/>
          </w:rPr>
        </w:r>
        <w:r w:rsidR="006E71F6">
          <w:rPr>
            <w:webHidden/>
          </w:rPr>
          <w:fldChar w:fldCharType="separate"/>
        </w:r>
        <w:r w:rsidR="00372D72">
          <w:rPr>
            <w:webHidden/>
          </w:rPr>
          <w:t>40</w:t>
        </w:r>
        <w:r w:rsidR="006E71F6">
          <w:rPr>
            <w:webHidden/>
          </w:rPr>
          <w:fldChar w:fldCharType="end"/>
        </w:r>
      </w:hyperlink>
    </w:p>
    <w:p w14:paraId="2E657654" w14:textId="5022A4B2" w:rsidR="006E71F6" w:rsidRDefault="00456640">
      <w:pPr>
        <w:pStyle w:val="TOC2"/>
        <w:rPr>
          <w:rFonts w:asciiTheme="minorHAnsi" w:eastAsiaTheme="minorEastAsia" w:hAnsiTheme="minorHAnsi" w:cstheme="minorBidi"/>
          <w:b w:val="0"/>
          <w:i w:val="0"/>
          <w:sz w:val="22"/>
          <w:szCs w:val="22"/>
        </w:rPr>
      </w:pPr>
      <w:hyperlink w:anchor="_Toc527107810" w:history="1">
        <w:r w:rsidR="006E71F6" w:rsidRPr="001577AD">
          <w:rPr>
            <w:rStyle w:val="Hyperlink"/>
            <w:rFonts w:cs="Open Sans"/>
          </w:rPr>
          <w:t>5.4</w:t>
        </w:r>
        <w:r w:rsidR="006E71F6">
          <w:rPr>
            <w:rFonts w:asciiTheme="minorHAnsi" w:eastAsiaTheme="minorEastAsia" w:hAnsiTheme="minorHAnsi" w:cstheme="minorBidi"/>
            <w:b w:val="0"/>
            <w:i w:val="0"/>
            <w:sz w:val="22"/>
            <w:szCs w:val="22"/>
          </w:rPr>
          <w:tab/>
        </w:r>
        <w:r w:rsidR="006E71F6" w:rsidRPr="001577AD">
          <w:rPr>
            <w:rStyle w:val="Hyperlink"/>
            <w:rFonts w:cs="Open Sans"/>
          </w:rPr>
          <w:t>Immunities for providers from civil liability and certain telecommunications and computer offences</w:t>
        </w:r>
        <w:r w:rsidR="006E71F6">
          <w:rPr>
            <w:webHidden/>
          </w:rPr>
          <w:tab/>
        </w:r>
        <w:r w:rsidR="006E71F6">
          <w:rPr>
            <w:webHidden/>
          </w:rPr>
          <w:fldChar w:fldCharType="begin"/>
        </w:r>
        <w:r w:rsidR="006E71F6">
          <w:rPr>
            <w:webHidden/>
          </w:rPr>
          <w:instrText xml:space="preserve"> PAGEREF _Toc527107810 \h </w:instrText>
        </w:r>
        <w:r w:rsidR="006E71F6">
          <w:rPr>
            <w:webHidden/>
          </w:rPr>
        </w:r>
        <w:r w:rsidR="006E71F6">
          <w:rPr>
            <w:webHidden/>
          </w:rPr>
          <w:fldChar w:fldCharType="separate"/>
        </w:r>
        <w:r w:rsidR="00372D72">
          <w:rPr>
            <w:webHidden/>
          </w:rPr>
          <w:t>43</w:t>
        </w:r>
        <w:r w:rsidR="006E71F6">
          <w:rPr>
            <w:webHidden/>
          </w:rPr>
          <w:fldChar w:fldCharType="end"/>
        </w:r>
      </w:hyperlink>
    </w:p>
    <w:p w14:paraId="05793ED9" w14:textId="3466AD57" w:rsidR="006E71F6" w:rsidRDefault="00456640">
      <w:pPr>
        <w:pStyle w:val="TOC2"/>
        <w:rPr>
          <w:rFonts w:asciiTheme="minorHAnsi" w:eastAsiaTheme="minorEastAsia" w:hAnsiTheme="minorHAnsi" w:cstheme="minorBidi"/>
          <w:b w:val="0"/>
          <w:i w:val="0"/>
          <w:sz w:val="22"/>
          <w:szCs w:val="22"/>
        </w:rPr>
      </w:pPr>
      <w:hyperlink w:anchor="_Toc527107811" w:history="1">
        <w:r w:rsidR="006E71F6" w:rsidRPr="001577AD">
          <w:rPr>
            <w:rStyle w:val="Hyperlink"/>
            <w:rFonts w:cs="Open Sans"/>
          </w:rPr>
          <w:t>5.5</w:t>
        </w:r>
        <w:r w:rsidR="006E71F6">
          <w:rPr>
            <w:rFonts w:asciiTheme="minorHAnsi" w:eastAsiaTheme="minorEastAsia" w:hAnsiTheme="minorHAnsi" w:cstheme="minorBidi"/>
            <w:b w:val="0"/>
            <w:i w:val="0"/>
            <w:sz w:val="22"/>
            <w:szCs w:val="22"/>
          </w:rPr>
          <w:tab/>
        </w:r>
        <w:r w:rsidR="006E71F6" w:rsidRPr="001577AD">
          <w:rPr>
            <w:rStyle w:val="Hyperlink"/>
            <w:rFonts w:cs="Open Sans"/>
          </w:rPr>
          <w:t>Secrecy provision</w:t>
        </w:r>
        <w:r w:rsidR="006E71F6">
          <w:rPr>
            <w:webHidden/>
          </w:rPr>
          <w:tab/>
        </w:r>
        <w:r w:rsidR="006E71F6">
          <w:rPr>
            <w:webHidden/>
          </w:rPr>
          <w:fldChar w:fldCharType="begin"/>
        </w:r>
        <w:r w:rsidR="006E71F6">
          <w:rPr>
            <w:webHidden/>
          </w:rPr>
          <w:instrText xml:space="preserve"> PAGEREF _Toc527107811 \h </w:instrText>
        </w:r>
        <w:r w:rsidR="006E71F6">
          <w:rPr>
            <w:webHidden/>
          </w:rPr>
        </w:r>
        <w:r w:rsidR="006E71F6">
          <w:rPr>
            <w:webHidden/>
          </w:rPr>
          <w:fldChar w:fldCharType="separate"/>
        </w:r>
        <w:r w:rsidR="00372D72">
          <w:rPr>
            <w:webHidden/>
          </w:rPr>
          <w:t>47</w:t>
        </w:r>
        <w:r w:rsidR="006E71F6">
          <w:rPr>
            <w:webHidden/>
          </w:rPr>
          <w:fldChar w:fldCharType="end"/>
        </w:r>
      </w:hyperlink>
    </w:p>
    <w:p w14:paraId="176CC581" w14:textId="512F2BD8" w:rsidR="006E71F6" w:rsidRDefault="00456640">
      <w:pPr>
        <w:pStyle w:val="TOC2"/>
        <w:rPr>
          <w:rFonts w:asciiTheme="minorHAnsi" w:eastAsiaTheme="minorEastAsia" w:hAnsiTheme="minorHAnsi" w:cstheme="minorBidi"/>
          <w:b w:val="0"/>
          <w:i w:val="0"/>
          <w:sz w:val="22"/>
          <w:szCs w:val="22"/>
        </w:rPr>
      </w:pPr>
      <w:hyperlink w:anchor="_Toc527107812" w:history="1">
        <w:r w:rsidR="006E71F6" w:rsidRPr="001577AD">
          <w:rPr>
            <w:rStyle w:val="Hyperlink"/>
            <w:rFonts w:cs="Open Sans"/>
          </w:rPr>
          <w:t>5.6</w:t>
        </w:r>
        <w:r w:rsidR="006E71F6">
          <w:rPr>
            <w:rFonts w:asciiTheme="minorHAnsi" w:eastAsiaTheme="minorEastAsia" w:hAnsiTheme="minorHAnsi" w:cstheme="minorBidi"/>
            <w:b w:val="0"/>
            <w:i w:val="0"/>
            <w:sz w:val="22"/>
            <w:szCs w:val="22"/>
          </w:rPr>
          <w:tab/>
        </w:r>
        <w:r w:rsidR="006E71F6" w:rsidRPr="001577AD">
          <w:rPr>
            <w:rStyle w:val="Hyperlink"/>
            <w:rFonts w:cs="Open Sans"/>
          </w:rPr>
          <w:t>Safeguards, oversight and reporting of assistance scheme</w:t>
        </w:r>
        <w:r w:rsidR="006E71F6">
          <w:rPr>
            <w:webHidden/>
          </w:rPr>
          <w:tab/>
        </w:r>
        <w:r w:rsidR="006E71F6">
          <w:rPr>
            <w:webHidden/>
          </w:rPr>
          <w:fldChar w:fldCharType="begin"/>
        </w:r>
        <w:r w:rsidR="006E71F6">
          <w:rPr>
            <w:webHidden/>
          </w:rPr>
          <w:instrText xml:space="preserve"> PAGEREF _Toc527107812 \h </w:instrText>
        </w:r>
        <w:r w:rsidR="006E71F6">
          <w:rPr>
            <w:webHidden/>
          </w:rPr>
        </w:r>
        <w:r w:rsidR="006E71F6">
          <w:rPr>
            <w:webHidden/>
          </w:rPr>
          <w:fldChar w:fldCharType="separate"/>
        </w:r>
        <w:r w:rsidR="00372D72">
          <w:rPr>
            <w:webHidden/>
          </w:rPr>
          <w:t>53</w:t>
        </w:r>
        <w:r w:rsidR="006E71F6">
          <w:rPr>
            <w:webHidden/>
          </w:rPr>
          <w:fldChar w:fldCharType="end"/>
        </w:r>
      </w:hyperlink>
    </w:p>
    <w:p w14:paraId="42E1A1F5" w14:textId="5675852E" w:rsidR="006E71F6" w:rsidRDefault="00456640">
      <w:pPr>
        <w:pStyle w:val="TOC1"/>
        <w:rPr>
          <w:rFonts w:asciiTheme="minorHAnsi" w:eastAsiaTheme="minorEastAsia" w:hAnsiTheme="minorHAnsi" w:cstheme="minorBidi"/>
          <w:b w:val="0"/>
          <w:sz w:val="22"/>
          <w:szCs w:val="22"/>
        </w:rPr>
      </w:pPr>
      <w:hyperlink w:anchor="_Toc527107813" w:history="1">
        <w:r w:rsidR="006E71F6" w:rsidRPr="001577AD">
          <w:rPr>
            <w:rStyle w:val="Hyperlink"/>
            <w:rFonts w:cs="Open Sans"/>
          </w:rPr>
          <w:t>6</w:t>
        </w:r>
        <w:r w:rsidR="006E71F6">
          <w:rPr>
            <w:rFonts w:asciiTheme="minorHAnsi" w:eastAsiaTheme="minorEastAsia" w:hAnsiTheme="minorHAnsi" w:cstheme="minorBidi"/>
            <w:b w:val="0"/>
            <w:sz w:val="22"/>
            <w:szCs w:val="22"/>
          </w:rPr>
          <w:tab/>
        </w:r>
        <w:r w:rsidR="006E71F6" w:rsidRPr="001577AD">
          <w:rPr>
            <w:rStyle w:val="Hyperlink"/>
            <w:rFonts w:cs="Open Sans"/>
          </w:rPr>
          <w:t>Key human rights concerns: warrant powers</w:t>
        </w:r>
        <w:r w:rsidR="006E71F6">
          <w:rPr>
            <w:webHidden/>
          </w:rPr>
          <w:tab/>
        </w:r>
        <w:r w:rsidR="006E71F6">
          <w:rPr>
            <w:webHidden/>
          </w:rPr>
          <w:fldChar w:fldCharType="begin"/>
        </w:r>
        <w:r w:rsidR="006E71F6">
          <w:rPr>
            <w:webHidden/>
          </w:rPr>
          <w:instrText xml:space="preserve"> PAGEREF _Toc527107813 \h </w:instrText>
        </w:r>
        <w:r w:rsidR="006E71F6">
          <w:rPr>
            <w:webHidden/>
          </w:rPr>
        </w:r>
        <w:r w:rsidR="006E71F6">
          <w:rPr>
            <w:webHidden/>
          </w:rPr>
          <w:fldChar w:fldCharType="separate"/>
        </w:r>
        <w:r w:rsidR="00372D72">
          <w:rPr>
            <w:webHidden/>
          </w:rPr>
          <w:t>58</w:t>
        </w:r>
        <w:r w:rsidR="006E71F6">
          <w:rPr>
            <w:webHidden/>
          </w:rPr>
          <w:fldChar w:fldCharType="end"/>
        </w:r>
      </w:hyperlink>
    </w:p>
    <w:p w14:paraId="650F0167" w14:textId="42CCC54E" w:rsidR="006E71F6" w:rsidRDefault="00456640">
      <w:pPr>
        <w:pStyle w:val="TOC2"/>
        <w:rPr>
          <w:rFonts w:asciiTheme="minorHAnsi" w:eastAsiaTheme="minorEastAsia" w:hAnsiTheme="minorHAnsi" w:cstheme="minorBidi"/>
          <w:b w:val="0"/>
          <w:i w:val="0"/>
          <w:sz w:val="22"/>
          <w:szCs w:val="22"/>
        </w:rPr>
      </w:pPr>
      <w:hyperlink w:anchor="_Toc527107814" w:history="1">
        <w:r w:rsidR="006E71F6" w:rsidRPr="001577AD">
          <w:rPr>
            <w:rStyle w:val="Hyperlink"/>
            <w:rFonts w:cs="Open Sans"/>
          </w:rPr>
          <w:t>6.1</w:t>
        </w:r>
        <w:r w:rsidR="006E71F6">
          <w:rPr>
            <w:rFonts w:asciiTheme="minorHAnsi" w:eastAsiaTheme="minorEastAsia" w:hAnsiTheme="minorHAnsi" w:cstheme="minorBidi"/>
            <w:b w:val="0"/>
            <w:i w:val="0"/>
            <w:sz w:val="22"/>
            <w:szCs w:val="22"/>
          </w:rPr>
          <w:tab/>
        </w:r>
        <w:r w:rsidR="006E71F6" w:rsidRPr="001577AD">
          <w:rPr>
            <w:rStyle w:val="Hyperlink"/>
            <w:rFonts w:cs="Open Sans"/>
          </w:rPr>
          <w:t>Computer access warrants</w:t>
        </w:r>
        <w:r w:rsidR="006E71F6">
          <w:rPr>
            <w:webHidden/>
          </w:rPr>
          <w:tab/>
        </w:r>
        <w:r w:rsidR="006E71F6">
          <w:rPr>
            <w:webHidden/>
          </w:rPr>
          <w:fldChar w:fldCharType="begin"/>
        </w:r>
        <w:r w:rsidR="006E71F6">
          <w:rPr>
            <w:webHidden/>
          </w:rPr>
          <w:instrText xml:space="preserve"> PAGEREF _Toc527107814 \h </w:instrText>
        </w:r>
        <w:r w:rsidR="006E71F6">
          <w:rPr>
            <w:webHidden/>
          </w:rPr>
        </w:r>
        <w:r w:rsidR="006E71F6">
          <w:rPr>
            <w:webHidden/>
          </w:rPr>
          <w:fldChar w:fldCharType="separate"/>
        </w:r>
        <w:r w:rsidR="00372D72">
          <w:rPr>
            <w:webHidden/>
          </w:rPr>
          <w:t>58</w:t>
        </w:r>
        <w:r w:rsidR="006E71F6">
          <w:rPr>
            <w:webHidden/>
          </w:rPr>
          <w:fldChar w:fldCharType="end"/>
        </w:r>
      </w:hyperlink>
    </w:p>
    <w:p w14:paraId="0BB5BE9D" w14:textId="323E6432" w:rsidR="006E71F6" w:rsidRDefault="00456640">
      <w:pPr>
        <w:pStyle w:val="TOC2"/>
        <w:rPr>
          <w:rFonts w:asciiTheme="minorHAnsi" w:eastAsiaTheme="minorEastAsia" w:hAnsiTheme="minorHAnsi" w:cstheme="minorBidi"/>
          <w:b w:val="0"/>
          <w:i w:val="0"/>
          <w:sz w:val="22"/>
          <w:szCs w:val="22"/>
        </w:rPr>
      </w:pPr>
      <w:hyperlink w:anchor="_Toc527107815" w:history="1">
        <w:r w:rsidR="006E71F6" w:rsidRPr="001577AD">
          <w:rPr>
            <w:rStyle w:val="Hyperlink"/>
          </w:rPr>
          <w:t>6.2</w:t>
        </w:r>
        <w:r w:rsidR="006E71F6">
          <w:rPr>
            <w:rFonts w:asciiTheme="minorHAnsi" w:eastAsiaTheme="minorEastAsia" w:hAnsiTheme="minorHAnsi" w:cstheme="minorBidi"/>
            <w:b w:val="0"/>
            <w:i w:val="0"/>
            <w:sz w:val="22"/>
            <w:szCs w:val="22"/>
          </w:rPr>
          <w:tab/>
        </w:r>
        <w:r w:rsidR="006E71F6" w:rsidRPr="001577AD">
          <w:rPr>
            <w:rStyle w:val="Hyperlink"/>
          </w:rPr>
          <w:t>Access to third party computers, communications and premises</w:t>
        </w:r>
        <w:r w:rsidR="006E71F6">
          <w:rPr>
            <w:webHidden/>
          </w:rPr>
          <w:tab/>
        </w:r>
        <w:r w:rsidR="006E71F6">
          <w:rPr>
            <w:webHidden/>
          </w:rPr>
          <w:fldChar w:fldCharType="begin"/>
        </w:r>
        <w:r w:rsidR="006E71F6">
          <w:rPr>
            <w:webHidden/>
          </w:rPr>
          <w:instrText xml:space="preserve"> PAGEREF _Toc527107815 \h </w:instrText>
        </w:r>
        <w:r w:rsidR="006E71F6">
          <w:rPr>
            <w:webHidden/>
          </w:rPr>
        </w:r>
        <w:r w:rsidR="006E71F6">
          <w:rPr>
            <w:webHidden/>
          </w:rPr>
          <w:fldChar w:fldCharType="separate"/>
        </w:r>
        <w:r w:rsidR="00372D72">
          <w:rPr>
            <w:webHidden/>
          </w:rPr>
          <w:t>60</w:t>
        </w:r>
        <w:r w:rsidR="006E71F6">
          <w:rPr>
            <w:webHidden/>
          </w:rPr>
          <w:fldChar w:fldCharType="end"/>
        </w:r>
      </w:hyperlink>
    </w:p>
    <w:p w14:paraId="565E399E" w14:textId="1135635F" w:rsidR="006E71F6" w:rsidRDefault="00456640">
      <w:pPr>
        <w:pStyle w:val="TOC3"/>
        <w:rPr>
          <w:rFonts w:asciiTheme="minorHAnsi" w:eastAsiaTheme="minorEastAsia" w:hAnsiTheme="minorHAnsi" w:cstheme="minorBidi"/>
          <w:i w:val="0"/>
          <w:sz w:val="22"/>
          <w:szCs w:val="22"/>
        </w:rPr>
      </w:pPr>
      <w:hyperlink w:anchor="_Toc527107816" w:history="1">
        <w:r w:rsidR="006E71F6" w:rsidRPr="001577AD">
          <w:rPr>
            <w:rStyle w:val="Hyperlink"/>
            <w:lang w:eastAsia="en-US"/>
          </w:rPr>
          <w:t>(a)</w:t>
        </w:r>
        <w:r w:rsidR="006E71F6">
          <w:rPr>
            <w:rFonts w:asciiTheme="minorHAnsi" w:eastAsiaTheme="minorEastAsia" w:hAnsiTheme="minorHAnsi" w:cstheme="minorBidi"/>
            <w:i w:val="0"/>
            <w:sz w:val="22"/>
            <w:szCs w:val="22"/>
          </w:rPr>
          <w:tab/>
        </w:r>
        <w:r w:rsidR="006E71F6" w:rsidRPr="001577AD">
          <w:rPr>
            <w:rStyle w:val="Hyperlink"/>
            <w:lang w:eastAsia="en-US"/>
          </w:rPr>
          <w:t>Access to third party premises for the purpose of executing a computer access warrant</w:t>
        </w:r>
        <w:r w:rsidR="006E71F6">
          <w:rPr>
            <w:webHidden/>
          </w:rPr>
          <w:tab/>
        </w:r>
        <w:r w:rsidR="006E71F6">
          <w:rPr>
            <w:webHidden/>
          </w:rPr>
          <w:fldChar w:fldCharType="begin"/>
        </w:r>
        <w:r w:rsidR="006E71F6">
          <w:rPr>
            <w:webHidden/>
          </w:rPr>
          <w:instrText xml:space="preserve"> PAGEREF _Toc527107816 \h </w:instrText>
        </w:r>
        <w:r w:rsidR="006E71F6">
          <w:rPr>
            <w:webHidden/>
          </w:rPr>
        </w:r>
        <w:r w:rsidR="006E71F6">
          <w:rPr>
            <w:webHidden/>
          </w:rPr>
          <w:fldChar w:fldCharType="separate"/>
        </w:r>
        <w:r w:rsidR="00372D72">
          <w:rPr>
            <w:webHidden/>
          </w:rPr>
          <w:t>61</w:t>
        </w:r>
        <w:r w:rsidR="006E71F6">
          <w:rPr>
            <w:webHidden/>
          </w:rPr>
          <w:fldChar w:fldCharType="end"/>
        </w:r>
      </w:hyperlink>
    </w:p>
    <w:p w14:paraId="77D53F28" w14:textId="3F37B568" w:rsidR="006E71F6" w:rsidRDefault="00456640">
      <w:pPr>
        <w:pStyle w:val="TOC3"/>
        <w:rPr>
          <w:rFonts w:asciiTheme="minorHAnsi" w:eastAsiaTheme="minorEastAsia" w:hAnsiTheme="minorHAnsi" w:cstheme="minorBidi"/>
          <w:i w:val="0"/>
          <w:sz w:val="22"/>
          <w:szCs w:val="22"/>
        </w:rPr>
      </w:pPr>
      <w:hyperlink w:anchor="_Toc527107817" w:history="1">
        <w:r w:rsidR="006E71F6" w:rsidRPr="001577AD">
          <w:rPr>
            <w:rStyle w:val="Hyperlink"/>
            <w:lang w:eastAsia="en-US"/>
          </w:rPr>
          <w:t>(b)</w:t>
        </w:r>
        <w:r w:rsidR="006E71F6">
          <w:rPr>
            <w:rFonts w:asciiTheme="minorHAnsi" w:eastAsiaTheme="minorEastAsia" w:hAnsiTheme="minorHAnsi" w:cstheme="minorBidi"/>
            <w:i w:val="0"/>
            <w:sz w:val="22"/>
            <w:szCs w:val="22"/>
          </w:rPr>
          <w:tab/>
        </w:r>
        <w:r w:rsidR="006E71F6" w:rsidRPr="001577AD">
          <w:rPr>
            <w:rStyle w:val="Hyperlink"/>
            <w:lang w:eastAsia="en-US"/>
          </w:rPr>
          <w:t>Access to third party computers and communications for the purpose of executing a computer access warrant or search warrant</w:t>
        </w:r>
        <w:r w:rsidR="006E71F6">
          <w:rPr>
            <w:webHidden/>
          </w:rPr>
          <w:tab/>
        </w:r>
        <w:r w:rsidR="006E71F6">
          <w:rPr>
            <w:webHidden/>
          </w:rPr>
          <w:fldChar w:fldCharType="begin"/>
        </w:r>
        <w:r w:rsidR="006E71F6">
          <w:rPr>
            <w:webHidden/>
          </w:rPr>
          <w:instrText xml:space="preserve"> PAGEREF _Toc527107817 \h </w:instrText>
        </w:r>
        <w:r w:rsidR="006E71F6">
          <w:rPr>
            <w:webHidden/>
          </w:rPr>
        </w:r>
        <w:r w:rsidR="006E71F6">
          <w:rPr>
            <w:webHidden/>
          </w:rPr>
          <w:fldChar w:fldCharType="separate"/>
        </w:r>
        <w:r w:rsidR="00372D72">
          <w:rPr>
            <w:webHidden/>
          </w:rPr>
          <w:t>62</w:t>
        </w:r>
        <w:r w:rsidR="006E71F6">
          <w:rPr>
            <w:webHidden/>
          </w:rPr>
          <w:fldChar w:fldCharType="end"/>
        </w:r>
      </w:hyperlink>
    </w:p>
    <w:p w14:paraId="4AE4DCCA" w14:textId="7CA4462B" w:rsidR="006E71F6" w:rsidRDefault="00456640">
      <w:pPr>
        <w:pStyle w:val="TOC2"/>
        <w:rPr>
          <w:rFonts w:asciiTheme="minorHAnsi" w:eastAsiaTheme="minorEastAsia" w:hAnsiTheme="minorHAnsi" w:cstheme="minorBidi"/>
          <w:b w:val="0"/>
          <w:i w:val="0"/>
          <w:sz w:val="22"/>
          <w:szCs w:val="22"/>
        </w:rPr>
      </w:pPr>
      <w:hyperlink w:anchor="_Toc527107818" w:history="1">
        <w:r w:rsidR="006E71F6" w:rsidRPr="001577AD">
          <w:rPr>
            <w:rStyle w:val="Hyperlink"/>
            <w:rFonts w:cs="Open Sans"/>
          </w:rPr>
          <w:t>6.3</w:t>
        </w:r>
        <w:r w:rsidR="006E71F6">
          <w:rPr>
            <w:rFonts w:asciiTheme="minorHAnsi" w:eastAsiaTheme="minorEastAsia" w:hAnsiTheme="minorHAnsi" w:cstheme="minorBidi"/>
            <w:b w:val="0"/>
            <w:i w:val="0"/>
            <w:sz w:val="22"/>
            <w:szCs w:val="22"/>
          </w:rPr>
          <w:tab/>
        </w:r>
        <w:r w:rsidR="006E71F6" w:rsidRPr="001577AD">
          <w:rPr>
            <w:rStyle w:val="Hyperlink"/>
            <w:rFonts w:cs="Open Sans"/>
          </w:rPr>
          <w:t>Concealment of access provisions</w:t>
        </w:r>
        <w:r w:rsidR="006E71F6">
          <w:rPr>
            <w:webHidden/>
          </w:rPr>
          <w:tab/>
        </w:r>
        <w:r w:rsidR="006E71F6">
          <w:rPr>
            <w:webHidden/>
          </w:rPr>
          <w:fldChar w:fldCharType="begin"/>
        </w:r>
        <w:r w:rsidR="006E71F6">
          <w:rPr>
            <w:webHidden/>
          </w:rPr>
          <w:instrText xml:space="preserve"> PAGEREF _Toc527107818 \h </w:instrText>
        </w:r>
        <w:r w:rsidR="006E71F6">
          <w:rPr>
            <w:webHidden/>
          </w:rPr>
        </w:r>
        <w:r w:rsidR="006E71F6">
          <w:rPr>
            <w:webHidden/>
          </w:rPr>
          <w:fldChar w:fldCharType="separate"/>
        </w:r>
        <w:r w:rsidR="00372D72">
          <w:rPr>
            <w:webHidden/>
          </w:rPr>
          <w:t>64</w:t>
        </w:r>
        <w:r w:rsidR="006E71F6">
          <w:rPr>
            <w:webHidden/>
          </w:rPr>
          <w:fldChar w:fldCharType="end"/>
        </w:r>
      </w:hyperlink>
    </w:p>
    <w:p w14:paraId="48F70394" w14:textId="34775EB5" w:rsidR="006E71F6" w:rsidRDefault="00456640">
      <w:pPr>
        <w:pStyle w:val="TOC3"/>
        <w:rPr>
          <w:rFonts w:asciiTheme="minorHAnsi" w:eastAsiaTheme="minorEastAsia" w:hAnsiTheme="minorHAnsi" w:cstheme="minorBidi"/>
          <w:i w:val="0"/>
          <w:sz w:val="22"/>
          <w:szCs w:val="22"/>
        </w:rPr>
      </w:pPr>
      <w:hyperlink w:anchor="_Toc527107819" w:history="1">
        <w:r w:rsidR="006E71F6" w:rsidRPr="001577AD">
          <w:rPr>
            <w:rStyle w:val="Hyperlink"/>
          </w:rPr>
          <w:t>(a)</w:t>
        </w:r>
        <w:r w:rsidR="006E71F6">
          <w:rPr>
            <w:rFonts w:asciiTheme="minorHAnsi" w:eastAsiaTheme="minorEastAsia" w:hAnsiTheme="minorHAnsi" w:cstheme="minorBidi"/>
            <w:i w:val="0"/>
            <w:sz w:val="22"/>
            <w:szCs w:val="22"/>
          </w:rPr>
          <w:tab/>
        </w:r>
        <w:r w:rsidR="006E71F6" w:rsidRPr="001577AD">
          <w:rPr>
            <w:rStyle w:val="Hyperlink"/>
          </w:rPr>
          <w:t>Timeframes for concealment activity</w:t>
        </w:r>
        <w:r w:rsidR="006E71F6">
          <w:rPr>
            <w:webHidden/>
          </w:rPr>
          <w:tab/>
        </w:r>
        <w:r w:rsidR="006E71F6">
          <w:rPr>
            <w:webHidden/>
          </w:rPr>
          <w:fldChar w:fldCharType="begin"/>
        </w:r>
        <w:r w:rsidR="006E71F6">
          <w:rPr>
            <w:webHidden/>
          </w:rPr>
          <w:instrText xml:space="preserve"> PAGEREF _Toc527107819 \h </w:instrText>
        </w:r>
        <w:r w:rsidR="006E71F6">
          <w:rPr>
            <w:webHidden/>
          </w:rPr>
        </w:r>
        <w:r w:rsidR="006E71F6">
          <w:rPr>
            <w:webHidden/>
          </w:rPr>
          <w:fldChar w:fldCharType="separate"/>
        </w:r>
        <w:r w:rsidR="00372D72">
          <w:rPr>
            <w:webHidden/>
          </w:rPr>
          <w:t>64</w:t>
        </w:r>
        <w:r w:rsidR="006E71F6">
          <w:rPr>
            <w:webHidden/>
          </w:rPr>
          <w:fldChar w:fldCharType="end"/>
        </w:r>
      </w:hyperlink>
    </w:p>
    <w:p w14:paraId="47512892" w14:textId="5BA3FD0E" w:rsidR="006E71F6" w:rsidRDefault="00456640">
      <w:pPr>
        <w:pStyle w:val="TOC3"/>
        <w:rPr>
          <w:rFonts w:asciiTheme="minorHAnsi" w:eastAsiaTheme="minorEastAsia" w:hAnsiTheme="minorHAnsi" w:cstheme="minorBidi"/>
          <w:i w:val="0"/>
          <w:sz w:val="22"/>
          <w:szCs w:val="22"/>
        </w:rPr>
      </w:pPr>
      <w:hyperlink w:anchor="_Toc527107820" w:history="1">
        <w:r w:rsidR="006E71F6" w:rsidRPr="001577AD">
          <w:rPr>
            <w:rStyle w:val="Hyperlink"/>
          </w:rPr>
          <w:t>(b)</w:t>
        </w:r>
        <w:r w:rsidR="006E71F6">
          <w:rPr>
            <w:rFonts w:asciiTheme="minorHAnsi" w:eastAsiaTheme="minorEastAsia" w:hAnsiTheme="minorHAnsi" w:cstheme="minorBidi"/>
            <w:i w:val="0"/>
            <w:sz w:val="22"/>
            <w:szCs w:val="22"/>
          </w:rPr>
          <w:tab/>
        </w:r>
        <w:r w:rsidR="006E71F6" w:rsidRPr="001577AD">
          <w:rPr>
            <w:rStyle w:val="Hyperlink"/>
          </w:rPr>
          <w:t>Limitations on concealment activity</w:t>
        </w:r>
        <w:r w:rsidR="006E71F6">
          <w:rPr>
            <w:webHidden/>
          </w:rPr>
          <w:tab/>
        </w:r>
        <w:r w:rsidR="006E71F6">
          <w:rPr>
            <w:webHidden/>
          </w:rPr>
          <w:fldChar w:fldCharType="begin"/>
        </w:r>
        <w:r w:rsidR="006E71F6">
          <w:rPr>
            <w:webHidden/>
          </w:rPr>
          <w:instrText xml:space="preserve"> PAGEREF _Toc527107820 \h </w:instrText>
        </w:r>
        <w:r w:rsidR="006E71F6">
          <w:rPr>
            <w:webHidden/>
          </w:rPr>
        </w:r>
        <w:r w:rsidR="006E71F6">
          <w:rPr>
            <w:webHidden/>
          </w:rPr>
          <w:fldChar w:fldCharType="separate"/>
        </w:r>
        <w:r w:rsidR="00372D72">
          <w:rPr>
            <w:webHidden/>
          </w:rPr>
          <w:t>66</w:t>
        </w:r>
        <w:r w:rsidR="006E71F6">
          <w:rPr>
            <w:webHidden/>
          </w:rPr>
          <w:fldChar w:fldCharType="end"/>
        </w:r>
      </w:hyperlink>
    </w:p>
    <w:p w14:paraId="0F8E40C9" w14:textId="6FD2C7BE" w:rsidR="006E71F6" w:rsidRDefault="00456640">
      <w:pPr>
        <w:pStyle w:val="TOC2"/>
        <w:rPr>
          <w:rFonts w:asciiTheme="minorHAnsi" w:eastAsiaTheme="minorEastAsia" w:hAnsiTheme="minorHAnsi" w:cstheme="minorBidi"/>
          <w:b w:val="0"/>
          <w:i w:val="0"/>
          <w:sz w:val="22"/>
          <w:szCs w:val="22"/>
        </w:rPr>
      </w:pPr>
      <w:hyperlink w:anchor="_Toc527107821" w:history="1">
        <w:r w:rsidR="006E71F6" w:rsidRPr="001577AD">
          <w:rPr>
            <w:rStyle w:val="Hyperlink"/>
            <w:rFonts w:cs="Open Sans"/>
          </w:rPr>
          <w:t>6.4</w:t>
        </w:r>
        <w:r w:rsidR="006E71F6">
          <w:rPr>
            <w:rFonts w:asciiTheme="minorHAnsi" w:eastAsiaTheme="minorEastAsia" w:hAnsiTheme="minorHAnsi" w:cstheme="minorBidi"/>
            <w:b w:val="0"/>
            <w:i w:val="0"/>
            <w:sz w:val="22"/>
            <w:szCs w:val="22"/>
          </w:rPr>
          <w:tab/>
        </w:r>
        <w:r w:rsidR="006E71F6" w:rsidRPr="001577AD">
          <w:rPr>
            <w:rStyle w:val="Hyperlink"/>
            <w:rFonts w:cs="Open Sans"/>
          </w:rPr>
          <w:t>Ancillary interception powers</w:t>
        </w:r>
        <w:r w:rsidR="006E71F6">
          <w:rPr>
            <w:webHidden/>
          </w:rPr>
          <w:tab/>
        </w:r>
        <w:r w:rsidR="006E71F6">
          <w:rPr>
            <w:webHidden/>
          </w:rPr>
          <w:fldChar w:fldCharType="begin"/>
        </w:r>
        <w:r w:rsidR="006E71F6">
          <w:rPr>
            <w:webHidden/>
          </w:rPr>
          <w:instrText xml:space="preserve"> PAGEREF _Toc527107821 \h </w:instrText>
        </w:r>
        <w:r w:rsidR="006E71F6">
          <w:rPr>
            <w:webHidden/>
          </w:rPr>
        </w:r>
        <w:r w:rsidR="006E71F6">
          <w:rPr>
            <w:webHidden/>
          </w:rPr>
          <w:fldChar w:fldCharType="separate"/>
        </w:r>
        <w:r w:rsidR="00372D72">
          <w:rPr>
            <w:webHidden/>
          </w:rPr>
          <w:t>68</w:t>
        </w:r>
        <w:r w:rsidR="006E71F6">
          <w:rPr>
            <w:webHidden/>
          </w:rPr>
          <w:fldChar w:fldCharType="end"/>
        </w:r>
      </w:hyperlink>
    </w:p>
    <w:p w14:paraId="5F580708" w14:textId="00697AB8" w:rsidR="006E71F6" w:rsidRDefault="00456640">
      <w:pPr>
        <w:pStyle w:val="TOC2"/>
        <w:rPr>
          <w:rFonts w:asciiTheme="minorHAnsi" w:eastAsiaTheme="minorEastAsia" w:hAnsiTheme="minorHAnsi" w:cstheme="minorBidi"/>
          <w:b w:val="0"/>
          <w:i w:val="0"/>
          <w:sz w:val="22"/>
          <w:szCs w:val="22"/>
        </w:rPr>
      </w:pPr>
      <w:hyperlink w:anchor="_Toc527107822" w:history="1">
        <w:r w:rsidR="006E71F6" w:rsidRPr="001577AD">
          <w:rPr>
            <w:rStyle w:val="Hyperlink"/>
            <w:rFonts w:cs="Open Sans"/>
          </w:rPr>
          <w:t>6.5</w:t>
        </w:r>
        <w:r w:rsidR="006E71F6">
          <w:rPr>
            <w:rFonts w:asciiTheme="minorHAnsi" w:eastAsiaTheme="minorEastAsia" w:hAnsiTheme="minorHAnsi" w:cstheme="minorBidi"/>
            <w:b w:val="0"/>
            <w:i w:val="0"/>
            <w:sz w:val="22"/>
            <w:szCs w:val="22"/>
          </w:rPr>
          <w:tab/>
        </w:r>
        <w:r w:rsidR="006E71F6" w:rsidRPr="001577AD">
          <w:rPr>
            <w:rStyle w:val="Hyperlink"/>
            <w:rFonts w:cs="Open Sans"/>
          </w:rPr>
          <w:t>Use of force</w:t>
        </w:r>
        <w:r w:rsidR="006E71F6">
          <w:rPr>
            <w:webHidden/>
          </w:rPr>
          <w:tab/>
        </w:r>
        <w:r w:rsidR="006E71F6">
          <w:rPr>
            <w:webHidden/>
          </w:rPr>
          <w:fldChar w:fldCharType="begin"/>
        </w:r>
        <w:r w:rsidR="006E71F6">
          <w:rPr>
            <w:webHidden/>
          </w:rPr>
          <w:instrText xml:space="preserve"> PAGEREF _Toc527107822 \h </w:instrText>
        </w:r>
        <w:r w:rsidR="006E71F6">
          <w:rPr>
            <w:webHidden/>
          </w:rPr>
        </w:r>
        <w:r w:rsidR="006E71F6">
          <w:rPr>
            <w:webHidden/>
          </w:rPr>
          <w:fldChar w:fldCharType="separate"/>
        </w:r>
        <w:r w:rsidR="00372D72">
          <w:rPr>
            <w:webHidden/>
          </w:rPr>
          <w:t>72</w:t>
        </w:r>
        <w:r w:rsidR="006E71F6">
          <w:rPr>
            <w:webHidden/>
          </w:rPr>
          <w:fldChar w:fldCharType="end"/>
        </w:r>
      </w:hyperlink>
    </w:p>
    <w:p w14:paraId="4F129798" w14:textId="2B9F6C5A" w:rsidR="006E71F6" w:rsidRDefault="00456640">
      <w:pPr>
        <w:pStyle w:val="TOC2"/>
        <w:rPr>
          <w:rFonts w:asciiTheme="minorHAnsi" w:eastAsiaTheme="minorEastAsia" w:hAnsiTheme="minorHAnsi" w:cstheme="minorBidi"/>
          <w:b w:val="0"/>
          <w:i w:val="0"/>
          <w:sz w:val="22"/>
          <w:szCs w:val="22"/>
        </w:rPr>
      </w:pPr>
      <w:hyperlink w:anchor="_Toc527107823" w:history="1">
        <w:r w:rsidR="006E71F6" w:rsidRPr="001577AD">
          <w:rPr>
            <w:rStyle w:val="Hyperlink"/>
            <w:rFonts w:cs="Open Sans"/>
          </w:rPr>
          <w:t>6.6</w:t>
        </w:r>
        <w:r w:rsidR="006E71F6">
          <w:rPr>
            <w:rFonts w:asciiTheme="minorHAnsi" w:eastAsiaTheme="minorEastAsia" w:hAnsiTheme="minorHAnsi" w:cstheme="minorBidi"/>
            <w:b w:val="0"/>
            <w:i w:val="0"/>
            <w:sz w:val="22"/>
            <w:szCs w:val="22"/>
          </w:rPr>
          <w:tab/>
        </w:r>
        <w:r w:rsidR="006E71F6" w:rsidRPr="001577AD">
          <w:rPr>
            <w:rStyle w:val="Hyperlink"/>
            <w:rFonts w:cs="Open Sans"/>
          </w:rPr>
          <w:t>Assistance orders</w:t>
        </w:r>
        <w:r w:rsidR="006E71F6">
          <w:rPr>
            <w:webHidden/>
          </w:rPr>
          <w:tab/>
        </w:r>
        <w:r w:rsidR="006E71F6">
          <w:rPr>
            <w:webHidden/>
          </w:rPr>
          <w:fldChar w:fldCharType="begin"/>
        </w:r>
        <w:r w:rsidR="006E71F6">
          <w:rPr>
            <w:webHidden/>
          </w:rPr>
          <w:instrText xml:space="preserve"> PAGEREF _Toc527107823 \h </w:instrText>
        </w:r>
        <w:r w:rsidR="006E71F6">
          <w:rPr>
            <w:webHidden/>
          </w:rPr>
        </w:r>
        <w:r w:rsidR="006E71F6">
          <w:rPr>
            <w:webHidden/>
          </w:rPr>
          <w:fldChar w:fldCharType="separate"/>
        </w:r>
        <w:r w:rsidR="00372D72">
          <w:rPr>
            <w:webHidden/>
          </w:rPr>
          <w:t>73</w:t>
        </w:r>
        <w:r w:rsidR="006E71F6">
          <w:rPr>
            <w:webHidden/>
          </w:rPr>
          <w:fldChar w:fldCharType="end"/>
        </w:r>
      </w:hyperlink>
    </w:p>
    <w:p w14:paraId="174E8C52" w14:textId="603C6786" w:rsidR="006E71F6" w:rsidRDefault="00456640">
      <w:pPr>
        <w:pStyle w:val="TOC3"/>
        <w:rPr>
          <w:rFonts w:asciiTheme="minorHAnsi" w:eastAsiaTheme="minorEastAsia" w:hAnsiTheme="minorHAnsi" w:cstheme="minorBidi"/>
          <w:i w:val="0"/>
          <w:sz w:val="22"/>
          <w:szCs w:val="22"/>
        </w:rPr>
      </w:pPr>
      <w:hyperlink w:anchor="_Toc527107824" w:history="1">
        <w:r w:rsidR="006E71F6" w:rsidRPr="001577AD">
          <w:rPr>
            <w:rStyle w:val="Hyperlink"/>
            <w:rFonts w:cs="Open Sans"/>
          </w:rPr>
          <w:t>(a)</w:t>
        </w:r>
        <w:r w:rsidR="006E71F6">
          <w:rPr>
            <w:rFonts w:asciiTheme="minorHAnsi" w:eastAsiaTheme="minorEastAsia" w:hAnsiTheme="minorHAnsi" w:cstheme="minorBidi"/>
            <w:i w:val="0"/>
            <w:sz w:val="22"/>
            <w:szCs w:val="22"/>
          </w:rPr>
          <w:tab/>
        </w:r>
        <w:r w:rsidR="006E71F6" w:rsidRPr="001577AD">
          <w:rPr>
            <w:rStyle w:val="Hyperlink"/>
            <w:rFonts w:cs="Open Sans"/>
          </w:rPr>
          <w:t>Disproportionality of increased penalty provisions</w:t>
        </w:r>
        <w:r w:rsidR="006E71F6">
          <w:rPr>
            <w:webHidden/>
          </w:rPr>
          <w:tab/>
        </w:r>
        <w:r w:rsidR="006E71F6">
          <w:rPr>
            <w:webHidden/>
          </w:rPr>
          <w:fldChar w:fldCharType="begin"/>
        </w:r>
        <w:r w:rsidR="006E71F6">
          <w:rPr>
            <w:webHidden/>
          </w:rPr>
          <w:instrText xml:space="preserve"> PAGEREF _Toc527107824 \h </w:instrText>
        </w:r>
        <w:r w:rsidR="006E71F6">
          <w:rPr>
            <w:webHidden/>
          </w:rPr>
        </w:r>
        <w:r w:rsidR="006E71F6">
          <w:rPr>
            <w:webHidden/>
          </w:rPr>
          <w:fldChar w:fldCharType="separate"/>
        </w:r>
        <w:r w:rsidR="00372D72">
          <w:rPr>
            <w:webHidden/>
          </w:rPr>
          <w:t>75</w:t>
        </w:r>
        <w:r w:rsidR="006E71F6">
          <w:rPr>
            <w:webHidden/>
          </w:rPr>
          <w:fldChar w:fldCharType="end"/>
        </w:r>
      </w:hyperlink>
    </w:p>
    <w:p w14:paraId="3B69E10F" w14:textId="59A6B7B4" w:rsidR="006E71F6" w:rsidRDefault="00456640">
      <w:pPr>
        <w:pStyle w:val="TOC3"/>
        <w:rPr>
          <w:rFonts w:asciiTheme="minorHAnsi" w:eastAsiaTheme="minorEastAsia" w:hAnsiTheme="minorHAnsi" w:cstheme="minorBidi"/>
          <w:i w:val="0"/>
          <w:sz w:val="22"/>
          <w:szCs w:val="22"/>
        </w:rPr>
      </w:pPr>
      <w:hyperlink w:anchor="_Toc527107825" w:history="1">
        <w:r w:rsidR="006E71F6" w:rsidRPr="001577AD">
          <w:rPr>
            <w:rStyle w:val="Hyperlink"/>
            <w:rFonts w:cs="Open Sans"/>
          </w:rPr>
          <w:t>(b)</w:t>
        </w:r>
        <w:r w:rsidR="006E71F6">
          <w:rPr>
            <w:rFonts w:asciiTheme="minorHAnsi" w:eastAsiaTheme="minorEastAsia" w:hAnsiTheme="minorHAnsi" w:cstheme="minorBidi"/>
            <w:i w:val="0"/>
            <w:sz w:val="22"/>
            <w:szCs w:val="22"/>
          </w:rPr>
          <w:tab/>
        </w:r>
        <w:r w:rsidR="006E71F6" w:rsidRPr="001577AD">
          <w:rPr>
            <w:rStyle w:val="Hyperlink"/>
            <w:rFonts w:cs="Open Sans"/>
          </w:rPr>
          <w:t>Privilege against self-incrimination</w:t>
        </w:r>
        <w:r w:rsidR="006E71F6">
          <w:rPr>
            <w:webHidden/>
          </w:rPr>
          <w:tab/>
        </w:r>
        <w:r w:rsidR="006E71F6">
          <w:rPr>
            <w:webHidden/>
          </w:rPr>
          <w:fldChar w:fldCharType="begin"/>
        </w:r>
        <w:r w:rsidR="006E71F6">
          <w:rPr>
            <w:webHidden/>
          </w:rPr>
          <w:instrText xml:space="preserve"> PAGEREF _Toc527107825 \h </w:instrText>
        </w:r>
        <w:r w:rsidR="006E71F6">
          <w:rPr>
            <w:webHidden/>
          </w:rPr>
        </w:r>
        <w:r w:rsidR="006E71F6">
          <w:rPr>
            <w:webHidden/>
          </w:rPr>
          <w:fldChar w:fldCharType="separate"/>
        </w:r>
        <w:r w:rsidR="00372D72">
          <w:rPr>
            <w:webHidden/>
          </w:rPr>
          <w:t>77</w:t>
        </w:r>
        <w:r w:rsidR="006E71F6">
          <w:rPr>
            <w:webHidden/>
          </w:rPr>
          <w:fldChar w:fldCharType="end"/>
        </w:r>
      </w:hyperlink>
    </w:p>
    <w:p w14:paraId="67EBC9EC" w14:textId="65474EF0" w:rsidR="006E71F6" w:rsidRDefault="00456640">
      <w:pPr>
        <w:pStyle w:val="TOC3"/>
        <w:rPr>
          <w:rFonts w:asciiTheme="minorHAnsi" w:eastAsiaTheme="minorEastAsia" w:hAnsiTheme="minorHAnsi" w:cstheme="minorBidi"/>
          <w:i w:val="0"/>
          <w:sz w:val="22"/>
          <w:szCs w:val="22"/>
        </w:rPr>
      </w:pPr>
      <w:hyperlink w:anchor="_Toc527107826" w:history="1">
        <w:r w:rsidR="006E71F6" w:rsidRPr="001577AD">
          <w:rPr>
            <w:rStyle w:val="Hyperlink"/>
          </w:rPr>
          <w:t>(c)</w:t>
        </w:r>
        <w:r w:rsidR="006E71F6">
          <w:rPr>
            <w:rFonts w:asciiTheme="minorHAnsi" w:eastAsiaTheme="minorEastAsia" w:hAnsiTheme="minorHAnsi" w:cstheme="minorBidi"/>
            <w:i w:val="0"/>
            <w:sz w:val="22"/>
            <w:szCs w:val="22"/>
          </w:rPr>
          <w:tab/>
        </w:r>
        <w:r w:rsidR="006E71F6" w:rsidRPr="001577AD">
          <w:rPr>
            <w:rStyle w:val="Hyperlink"/>
          </w:rPr>
          <w:t>Potential for assistance orders to authorise detention by non-judicial officers, and necessary safeguards</w:t>
        </w:r>
        <w:r w:rsidR="006E71F6">
          <w:rPr>
            <w:webHidden/>
          </w:rPr>
          <w:tab/>
        </w:r>
        <w:r w:rsidR="006E71F6">
          <w:rPr>
            <w:webHidden/>
          </w:rPr>
          <w:fldChar w:fldCharType="begin"/>
        </w:r>
        <w:r w:rsidR="006E71F6">
          <w:rPr>
            <w:webHidden/>
          </w:rPr>
          <w:instrText xml:space="preserve"> PAGEREF _Toc527107826 \h </w:instrText>
        </w:r>
        <w:r w:rsidR="006E71F6">
          <w:rPr>
            <w:webHidden/>
          </w:rPr>
        </w:r>
        <w:r w:rsidR="006E71F6">
          <w:rPr>
            <w:webHidden/>
          </w:rPr>
          <w:fldChar w:fldCharType="separate"/>
        </w:r>
        <w:r w:rsidR="00372D72">
          <w:rPr>
            <w:webHidden/>
          </w:rPr>
          <w:t>80</w:t>
        </w:r>
        <w:r w:rsidR="006E71F6">
          <w:rPr>
            <w:webHidden/>
          </w:rPr>
          <w:fldChar w:fldCharType="end"/>
        </w:r>
      </w:hyperlink>
    </w:p>
    <w:p w14:paraId="5BAE5BE4" w14:textId="199DE3F9" w:rsidR="006E71F6" w:rsidRDefault="00456640">
      <w:pPr>
        <w:pStyle w:val="TOC2"/>
        <w:rPr>
          <w:rFonts w:asciiTheme="minorHAnsi" w:eastAsiaTheme="minorEastAsia" w:hAnsiTheme="minorHAnsi" w:cstheme="minorBidi"/>
          <w:b w:val="0"/>
          <w:i w:val="0"/>
          <w:sz w:val="22"/>
          <w:szCs w:val="22"/>
        </w:rPr>
      </w:pPr>
      <w:hyperlink w:anchor="_Toc527107827" w:history="1">
        <w:r w:rsidR="006E71F6" w:rsidRPr="001577AD">
          <w:rPr>
            <w:rStyle w:val="Hyperlink"/>
          </w:rPr>
          <w:t>6.7</w:t>
        </w:r>
        <w:r w:rsidR="006E71F6">
          <w:rPr>
            <w:rFonts w:asciiTheme="minorHAnsi" w:eastAsiaTheme="minorEastAsia" w:hAnsiTheme="minorHAnsi" w:cstheme="minorBidi"/>
            <w:b w:val="0"/>
            <w:i w:val="0"/>
            <w:sz w:val="22"/>
            <w:szCs w:val="22"/>
          </w:rPr>
          <w:tab/>
        </w:r>
        <w:r w:rsidR="006E71F6" w:rsidRPr="001577AD">
          <w:rPr>
            <w:rStyle w:val="Hyperlink"/>
          </w:rPr>
          <w:t>Immunities for voluntary assistance to ASIO</w:t>
        </w:r>
        <w:r w:rsidR="006E71F6">
          <w:rPr>
            <w:webHidden/>
          </w:rPr>
          <w:tab/>
        </w:r>
        <w:r w:rsidR="006E71F6">
          <w:rPr>
            <w:webHidden/>
          </w:rPr>
          <w:fldChar w:fldCharType="begin"/>
        </w:r>
        <w:r w:rsidR="006E71F6">
          <w:rPr>
            <w:webHidden/>
          </w:rPr>
          <w:instrText xml:space="preserve"> PAGEREF _Toc527107827 \h </w:instrText>
        </w:r>
        <w:r w:rsidR="006E71F6">
          <w:rPr>
            <w:webHidden/>
          </w:rPr>
        </w:r>
        <w:r w:rsidR="006E71F6">
          <w:rPr>
            <w:webHidden/>
          </w:rPr>
          <w:fldChar w:fldCharType="separate"/>
        </w:r>
        <w:r w:rsidR="00372D72">
          <w:rPr>
            <w:webHidden/>
          </w:rPr>
          <w:t>82</w:t>
        </w:r>
        <w:r w:rsidR="006E71F6">
          <w:rPr>
            <w:webHidden/>
          </w:rPr>
          <w:fldChar w:fldCharType="end"/>
        </w:r>
      </w:hyperlink>
    </w:p>
    <w:p w14:paraId="4B082F04" w14:textId="73AC70DF" w:rsidR="006E71F6" w:rsidRDefault="00456640">
      <w:pPr>
        <w:pStyle w:val="TOC1"/>
        <w:rPr>
          <w:rFonts w:asciiTheme="minorHAnsi" w:eastAsiaTheme="minorEastAsia" w:hAnsiTheme="minorHAnsi" w:cstheme="minorBidi"/>
          <w:b w:val="0"/>
          <w:sz w:val="22"/>
          <w:szCs w:val="22"/>
        </w:rPr>
      </w:pPr>
      <w:hyperlink w:anchor="_Toc527107828" w:history="1">
        <w:r w:rsidR="006E71F6" w:rsidRPr="001577AD">
          <w:rPr>
            <w:rStyle w:val="Hyperlink"/>
            <w:rFonts w:cs="Open Sans"/>
          </w:rPr>
          <w:t>7</w:t>
        </w:r>
        <w:r w:rsidR="006E71F6">
          <w:rPr>
            <w:rFonts w:asciiTheme="minorHAnsi" w:eastAsiaTheme="minorEastAsia" w:hAnsiTheme="minorHAnsi" w:cstheme="minorBidi"/>
            <w:b w:val="0"/>
            <w:sz w:val="22"/>
            <w:szCs w:val="22"/>
          </w:rPr>
          <w:tab/>
        </w:r>
        <w:r w:rsidR="006E71F6" w:rsidRPr="001577AD">
          <w:rPr>
            <w:rStyle w:val="Hyperlink"/>
            <w:rFonts w:cs="Open Sans"/>
          </w:rPr>
          <w:t>Statutory review</w:t>
        </w:r>
        <w:r w:rsidR="006E71F6">
          <w:rPr>
            <w:webHidden/>
          </w:rPr>
          <w:tab/>
        </w:r>
        <w:r w:rsidR="006E71F6">
          <w:rPr>
            <w:webHidden/>
          </w:rPr>
          <w:fldChar w:fldCharType="begin"/>
        </w:r>
        <w:r w:rsidR="006E71F6">
          <w:rPr>
            <w:webHidden/>
          </w:rPr>
          <w:instrText xml:space="preserve"> PAGEREF _Toc527107828 \h </w:instrText>
        </w:r>
        <w:r w:rsidR="006E71F6">
          <w:rPr>
            <w:webHidden/>
          </w:rPr>
        </w:r>
        <w:r w:rsidR="006E71F6">
          <w:rPr>
            <w:webHidden/>
          </w:rPr>
          <w:fldChar w:fldCharType="separate"/>
        </w:r>
        <w:r w:rsidR="00372D72">
          <w:rPr>
            <w:webHidden/>
          </w:rPr>
          <w:t>84</w:t>
        </w:r>
        <w:r w:rsidR="006E71F6">
          <w:rPr>
            <w:webHidden/>
          </w:rPr>
          <w:fldChar w:fldCharType="end"/>
        </w:r>
      </w:hyperlink>
    </w:p>
    <w:p w14:paraId="14008998" w14:textId="0FCB2006" w:rsidR="006E71F6" w:rsidRDefault="00456640">
      <w:pPr>
        <w:pStyle w:val="TOC1"/>
        <w:rPr>
          <w:rStyle w:val="Hyperlink"/>
        </w:rPr>
      </w:pPr>
      <w:hyperlink w:anchor="_Toc527107829" w:history="1">
        <w:r w:rsidR="006E71F6" w:rsidRPr="001577AD">
          <w:rPr>
            <w:rStyle w:val="Hyperlink"/>
            <w:rFonts w:cs="Open Sans"/>
          </w:rPr>
          <w:t>8</w:t>
        </w:r>
        <w:r w:rsidR="006E71F6">
          <w:rPr>
            <w:rFonts w:asciiTheme="minorHAnsi" w:eastAsiaTheme="minorEastAsia" w:hAnsiTheme="minorHAnsi" w:cstheme="minorBidi"/>
            <w:b w:val="0"/>
            <w:sz w:val="22"/>
            <w:szCs w:val="22"/>
          </w:rPr>
          <w:tab/>
        </w:r>
        <w:r w:rsidR="006E71F6" w:rsidRPr="001577AD">
          <w:rPr>
            <w:rStyle w:val="Hyperlink"/>
            <w:rFonts w:cs="Open Sans"/>
          </w:rPr>
          <w:t>List of recommendations</w:t>
        </w:r>
        <w:r w:rsidR="006E71F6">
          <w:rPr>
            <w:webHidden/>
          </w:rPr>
          <w:tab/>
        </w:r>
        <w:r w:rsidR="006E71F6">
          <w:rPr>
            <w:webHidden/>
          </w:rPr>
          <w:fldChar w:fldCharType="begin"/>
        </w:r>
        <w:r w:rsidR="006E71F6">
          <w:rPr>
            <w:webHidden/>
          </w:rPr>
          <w:instrText xml:space="preserve"> PAGEREF _Toc527107829 \h </w:instrText>
        </w:r>
        <w:r w:rsidR="006E71F6">
          <w:rPr>
            <w:webHidden/>
          </w:rPr>
        </w:r>
        <w:r w:rsidR="006E71F6">
          <w:rPr>
            <w:webHidden/>
          </w:rPr>
          <w:fldChar w:fldCharType="separate"/>
        </w:r>
        <w:r w:rsidR="00372D72">
          <w:rPr>
            <w:webHidden/>
          </w:rPr>
          <w:t>85</w:t>
        </w:r>
        <w:r w:rsidR="006E71F6">
          <w:rPr>
            <w:webHidden/>
          </w:rPr>
          <w:fldChar w:fldCharType="end"/>
        </w:r>
      </w:hyperlink>
    </w:p>
    <w:p w14:paraId="668833B4" w14:textId="77777777" w:rsidR="006E71F6" w:rsidRDefault="006E71F6">
      <w:pPr>
        <w:rPr>
          <w:rStyle w:val="Hyperlink"/>
          <w:b/>
          <w:noProof/>
        </w:rPr>
      </w:pPr>
      <w:r>
        <w:rPr>
          <w:rStyle w:val="Hyperlink"/>
        </w:rPr>
        <w:br w:type="page"/>
      </w:r>
    </w:p>
    <w:p w14:paraId="63957D19" w14:textId="2CB3B9EC" w:rsidR="002222AF" w:rsidRPr="00AA1A20" w:rsidRDefault="000B5B68" w:rsidP="002222AF">
      <w:pPr>
        <w:pStyle w:val="Heading1"/>
        <w:rPr>
          <w:rFonts w:cs="Open Sans"/>
        </w:rPr>
      </w:pPr>
      <w:r w:rsidRPr="00AA1A20">
        <w:rPr>
          <w:rFonts w:cs="Open Sans"/>
        </w:rPr>
        <w:lastRenderedPageBreak/>
        <w:fldChar w:fldCharType="end"/>
      </w:r>
      <w:bookmarkStart w:id="87" w:name="_Toc526518400"/>
      <w:bookmarkStart w:id="88" w:name="_Toc526518377"/>
      <w:bookmarkStart w:id="89" w:name="_Toc527107789"/>
      <w:bookmarkStart w:id="90" w:name="_Toc524352515"/>
      <w:bookmarkStart w:id="91" w:name="_Ref524018202"/>
      <w:bookmarkStart w:id="92" w:name="_Ref524082324"/>
      <w:bookmarkStart w:id="93" w:name="_GoBack"/>
      <w:bookmarkEnd w:id="87"/>
      <w:bookmarkEnd w:id="93"/>
      <w:r w:rsidR="002222AF" w:rsidRPr="00AA1A20">
        <w:rPr>
          <w:rFonts w:cs="Open Sans"/>
        </w:rPr>
        <w:t>Executive summary</w:t>
      </w:r>
      <w:bookmarkEnd w:id="88"/>
      <w:bookmarkEnd w:id="89"/>
    </w:p>
    <w:p w14:paraId="78ED085D" w14:textId="23064CCF"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Australian Human Right</w:t>
      </w:r>
      <w:r w:rsidR="00A27B08">
        <w:rPr>
          <w:rFonts w:cs="Open Sans"/>
        </w:rPr>
        <w:t>s</w:t>
      </w:r>
      <w:r w:rsidRPr="00AA1A20">
        <w:rPr>
          <w:rFonts w:cs="Open Sans"/>
        </w:rPr>
        <w:t xml:space="preserve"> Commission (the Commission) makes this submission to the </w:t>
      </w:r>
      <w:r>
        <w:rPr>
          <w:rFonts w:cs="Open Sans"/>
        </w:rPr>
        <w:t>Parliamentary Joint Committee on Intelligence and Security</w:t>
      </w:r>
      <w:r w:rsidRPr="00AA1A20">
        <w:rPr>
          <w:rFonts w:cs="Open Sans"/>
        </w:rPr>
        <w:t xml:space="preserve">, in response to </w:t>
      </w:r>
      <w:r>
        <w:rPr>
          <w:rFonts w:cs="Open Sans"/>
        </w:rPr>
        <w:t>its review of the</w:t>
      </w:r>
      <w:r w:rsidRPr="00AA1A20">
        <w:rPr>
          <w:rFonts w:cs="Open Sans"/>
        </w:rPr>
        <w:t xml:space="preserve"> Telecommunications and </w:t>
      </w:r>
      <w:r>
        <w:rPr>
          <w:rFonts w:cs="Open Sans"/>
        </w:rPr>
        <w:t>O</w:t>
      </w:r>
      <w:r w:rsidRPr="00AA1A20">
        <w:rPr>
          <w:rFonts w:cs="Open Sans"/>
        </w:rPr>
        <w:t>ther Legislation Amendment (Assistance and Access) Bill 2018 (Cth) (the Bill).</w:t>
      </w:r>
    </w:p>
    <w:p w14:paraId="3866C149" w14:textId="4882A6FF"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w:t>
      </w:r>
      <w:r>
        <w:rPr>
          <w:rFonts w:cs="Open Sans"/>
        </w:rPr>
        <w:t>Explanatory Memorandum states that the</w:t>
      </w:r>
      <w:r w:rsidRPr="00AA1A20">
        <w:rPr>
          <w:rFonts w:cs="Open Sans"/>
        </w:rPr>
        <w:t xml:space="preserve"> purpose of the </w:t>
      </w:r>
      <w:r>
        <w:rPr>
          <w:rFonts w:cs="Open Sans"/>
        </w:rPr>
        <w:t>Bill</w:t>
      </w:r>
      <w:r w:rsidRPr="00AA1A20">
        <w:rPr>
          <w:rFonts w:cs="Open Sans"/>
        </w:rPr>
        <w:t xml:space="preserve"> is to </w:t>
      </w:r>
      <w:r>
        <w:rPr>
          <w:rFonts w:cs="Open Sans"/>
        </w:rPr>
        <w:t xml:space="preserve">introduce measures to allow law enforcement and national security agencies to better deal with the challenges posed by </w:t>
      </w:r>
      <w:r w:rsidR="0025478F">
        <w:rPr>
          <w:rFonts w:cs="Open Sans"/>
        </w:rPr>
        <w:t>‘</w:t>
      </w:r>
      <w:r>
        <w:rPr>
          <w:rFonts w:cs="Open Sans"/>
        </w:rPr>
        <w:t>ubiquitous encryption</w:t>
      </w:r>
      <w:r w:rsidR="0025478F">
        <w:rPr>
          <w:rFonts w:cs="Open Sans"/>
        </w:rPr>
        <w:t>’</w:t>
      </w:r>
      <w:r w:rsidRPr="00AA1A20">
        <w:rPr>
          <w:rFonts w:cs="Open Sans"/>
        </w:rPr>
        <w:t>.</w:t>
      </w:r>
      <w:r w:rsidRPr="00E030D4">
        <w:rPr>
          <w:rStyle w:val="EndnoteReference"/>
          <w:vertAlign w:val="superscript"/>
        </w:rPr>
        <w:endnoteReference w:id="2"/>
      </w:r>
      <w:r w:rsidRPr="00AA1A20">
        <w:rPr>
          <w:rFonts w:cs="Open Sans"/>
        </w:rPr>
        <w:t xml:space="preserve"> To this end, the </w:t>
      </w:r>
      <w:r>
        <w:rPr>
          <w:rFonts w:cs="Open Sans"/>
        </w:rPr>
        <w:t>Bill</w:t>
      </w:r>
      <w:r w:rsidRPr="00AA1A20">
        <w:rPr>
          <w:rFonts w:cs="Open Sans"/>
        </w:rPr>
        <w:t xml:space="preserve"> creates a new scheme that </w:t>
      </w:r>
      <w:r w:rsidR="00C867C5">
        <w:rPr>
          <w:rFonts w:cs="Open Sans"/>
        </w:rPr>
        <w:t xml:space="preserve">can </w:t>
      </w:r>
      <w:r w:rsidRPr="00AA1A20">
        <w:rPr>
          <w:rFonts w:cs="Open Sans"/>
        </w:rPr>
        <w:t xml:space="preserve">compel communications providers to assist national security and law enforcement agencies, introduces a new covert computer access warrant, and strengthens existing search and seizure powers under warrant. </w:t>
      </w:r>
    </w:p>
    <w:p w14:paraId="43212E1A" w14:textId="1E60EB12"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Commission acknowledges the critical importance of law enforcement and national security agencies having appropriate powers to carry out their functions. Such powers can be used to protect human rights, including the right to life,</w:t>
      </w:r>
      <w:r w:rsidRPr="00E030D4">
        <w:rPr>
          <w:rStyle w:val="EndnoteReference"/>
          <w:vertAlign w:val="superscript"/>
        </w:rPr>
        <w:endnoteReference w:id="3"/>
      </w:r>
      <w:r w:rsidRPr="00AA1A20">
        <w:rPr>
          <w:rFonts w:cs="Open Sans"/>
        </w:rPr>
        <w:t xml:space="preserve"> and</w:t>
      </w:r>
      <w:r w:rsidR="00C867C5">
        <w:rPr>
          <w:rFonts w:cs="Open Sans"/>
        </w:rPr>
        <w:t xml:space="preserve"> to</w:t>
      </w:r>
      <w:r w:rsidRPr="00AA1A20">
        <w:rPr>
          <w:rFonts w:cs="Open Sans"/>
        </w:rPr>
        <w:t xml:space="preserve"> help fulfil Australia’s international law obligations.</w:t>
      </w:r>
      <w:r w:rsidRPr="00E030D4">
        <w:rPr>
          <w:rStyle w:val="EndnoteReference"/>
          <w:vertAlign w:val="superscript"/>
        </w:rPr>
        <w:endnoteReference w:id="4"/>
      </w:r>
      <w:r w:rsidRPr="00AA1A20">
        <w:rPr>
          <w:rFonts w:cs="Open Sans"/>
        </w:rPr>
        <w:t xml:space="preserve"> </w:t>
      </w:r>
    </w:p>
    <w:p w14:paraId="6AF28671" w14:textId="7DC41FD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However, the </w:t>
      </w:r>
      <w:r w:rsidR="00871A6C">
        <w:rPr>
          <w:rFonts w:cs="Open Sans"/>
        </w:rPr>
        <w:t>Bill would</w:t>
      </w:r>
      <w:r w:rsidRPr="00AA1A20">
        <w:rPr>
          <w:rFonts w:cs="Open Sans"/>
        </w:rPr>
        <w:t xml:space="preserve"> also authorise intrusive and covert powers that c</w:t>
      </w:r>
      <w:r w:rsidR="00871A6C">
        <w:rPr>
          <w:rFonts w:cs="Open Sans"/>
        </w:rPr>
        <w:t>ould</w:t>
      </w:r>
      <w:r w:rsidRPr="00AA1A20">
        <w:rPr>
          <w:rFonts w:cs="Open Sans"/>
        </w:rPr>
        <w:t xml:space="preserve"> significantly limit an individual’s </w:t>
      </w:r>
      <w:r w:rsidR="008D7EAF">
        <w:rPr>
          <w:rFonts w:cs="Open Sans"/>
        </w:rPr>
        <w:t xml:space="preserve">human </w:t>
      </w:r>
      <w:r w:rsidRPr="00AA1A20">
        <w:rPr>
          <w:rFonts w:cs="Open Sans"/>
        </w:rPr>
        <w:t xml:space="preserve">rights to privacy and freedom of expression, among other rights. </w:t>
      </w:r>
      <w:r>
        <w:rPr>
          <w:rFonts w:cs="Open Sans"/>
        </w:rPr>
        <w:t>This includes the ability of interception agencies to access digital communications and data that would otherwise remain private</w:t>
      </w:r>
      <w:r w:rsidR="00DF0AA6">
        <w:rPr>
          <w:rFonts w:cs="Open Sans"/>
        </w:rPr>
        <w:t>;</w:t>
      </w:r>
      <w:r>
        <w:rPr>
          <w:rFonts w:cs="Open Sans"/>
        </w:rPr>
        <w:t xml:space="preserve"> for example</w:t>
      </w:r>
      <w:r w:rsidR="00DF0AA6">
        <w:rPr>
          <w:rFonts w:cs="Open Sans"/>
        </w:rPr>
        <w:t>,</w:t>
      </w:r>
      <w:r>
        <w:rPr>
          <w:rFonts w:cs="Open Sans"/>
        </w:rPr>
        <w:t xml:space="preserve"> encrypted messages on a phone.</w:t>
      </w:r>
    </w:p>
    <w:p w14:paraId="751C8593" w14:textId="3A7C6535" w:rsidR="002222AF" w:rsidRPr="00AA1A20" w:rsidRDefault="00DF0AA6" w:rsidP="002222AF">
      <w:pPr>
        <w:pStyle w:val="ListNumber"/>
        <w:tabs>
          <w:tab w:val="clear" w:pos="360"/>
          <w:tab w:val="num" w:pos="993"/>
          <w:tab w:val="left" w:pos="1418"/>
        </w:tabs>
        <w:ind w:left="709" w:hanging="567"/>
        <w:rPr>
          <w:rFonts w:cs="Open Sans"/>
        </w:rPr>
      </w:pPr>
      <w:r>
        <w:rPr>
          <w:rFonts w:cs="Open Sans"/>
        </w:rPr>
        <w:t xml:space="preserve">Digital technologies </w:t>
      </w:r>
      <w:r w:rsidR="00591196">
        <w:rPr>
          <w:rFonts w:cs="Open Sans"/>
        </w:rPr>
        <w:t xml:space="preserve">facilitate connections and communication between individuals. They </w:t>
      </w:r>
      <w:r>
        <w:rPr>
          <w:rFonts w:cs="Open Sans"/>
        </w:rPr>
        <w:t>are</w:t>
      </w:r>
      <w:r w:rsidR="002222AF" w:rsidRPr="00AA1A20">
        <w:rPr>
          <w:rFonts w:cs="Open Sans"/>
        </w:rPr>
        <w:t xml:space="preserve"> </w:t>
      </w:r>
      <w:r w:rsidR="00591196">
        <w:rPr>
          <w:rFonts w:cs="Open Sans"/>
        </w:rPr>
        <w:t xml:space="preserve">also </w:t>
      </w:r>
      <w:r w:rsidR="002222AF" w:rsidRPr="00AA1A20">
        <w:rPr>
          <w:rFonts w:cs="Open Sans"/>
        </w:rPr>
        <w:t xml:space="preserve">interdependent and </w:t>
      </w:r>
      <w:r>
        <w:rPr>
          <w:rFonts w:cs="Open Sans"/>
        </w:rPr>
        <w:t xml:space="preserve">operate </w:t>
      </w:r>
      <w:r w:rsidR="00591196">
        <w:rPr>
          <w:rFonts w:cs="Open Sans"/>
        </w:rPr>
        <w:t xml:space="preserve">across national borders. It is difficult, therefore, to </w:t>
      </w:r>
      <w:r w:rsidR="008D7EAF">
        <w:rPr>
          <w:rFonts w:cs="Open Sans"/>
        </w:rPr>
        <w:t xml:space="preserve">confine </w:t>
      </w:r>
      <w:r w:rsidR="00591196">
        <w:rPr>
          <w:rFonts w:cs="Open Sans"/>
        </w:rPr>
        <w:t xml:space="preserve">the impact of a law that seeks to regulate such technologies to a single targeted individual. </w:t>
      </w:r>
      <w:r w:rsidR="00D278DE">
        <w:rPr>
          <w:rFonts w:cs="Open Sans"/>
        </w:rPr>
        <w:t xml:space="preserve">Consequently, </w:t>
      </w:r>
      <w:r w:rsidR="002222AF" w:rsidRPr="00AA1A20">
        <w:rPr>
          <w:rFonts w:cs="Open Sans"/>
        </w:rPr>
        <w:t xml:space="preserve">the </w:t>
      </w:r>
      <w:r w:rsidR="00D278DE">
        <w:rPr>
          <w:rFonts w:cs="Open Sans"/>
        </w:rPr>
        <w:t>human rights impact</w:t>
      </w:r>
      <w:r w:rsidR="004556F0">
        <w:rPr>
          <w:rFonts w:cs="Open Sans"/>
        </w:rPr>
        <w:t>s</w:t>
      </w:r>
      <w:r w:rsidR="00D278DE">
        <w:rPr>
          <w:rFonts w:cs="Open Sans"/>
        </w:rPr>
        <w:t xml:space="preserve"> of a Bill such as this extend beyond </w:t>
      </w:r>
      <w:r w:rsidR="008D7EAF">
        <w:rPr>
          <w:rFonts w:cs="Open Sans"/>
        </w:rPr>
        <w:t xml:space="preserve">just the </w:t>
      </w:r>
      <w:r w:rsidR="006605D1">
        <w:rPr>
          <w:rFonts w:cs="Open Sans"/>
        </w:rPr>
        <w:t>people who may be of interest to</w:t>
      </w:r>
      <w:r w:rsidR="006605D1" w:rsidRPr="00AA1A20">
        <w:rPr>
          <w:rFonts w:cs="Open Sans"/>
        </w:rPr>
        <w:t xml:space="preserve"> </w:t>
      </w:r>
      <w:r w:rsidR="002222AF" w:rsidRPr="00AA1A20">
        <w:rPr>
          <w:rFonts w:cs="Open Sans"/>
        </w:rPr>
        <w:t xml:space="preserve">law enforcement </w:t>
      </w:r>
      <w:r w:rsidR="006605D1">
        <w:rPr>
          <w:rFonts w:cs="Open Sans"/>
        </w:rPr>
        <w:t>agencies</w:t>
      </w:r>
      <w:r w:rsidR="002222AF" w:rsidRPr="00AA1A20">
        <w:rPr>
          <w:rFonts w:cs="Open Sans"/>
        </w:rPr>
        <w:t xml:space="preserve">, </w:t>
      </w:r>
      <w:r w:rsidR="00D278DE">
        <w:rPr>
          <w:rFonts w:cs="Open Sans"/>
        </w:rPr>
        <w:t xml:space="preserve">and includes </w:t>
      </w:r>
      <w:r w:rsidR="002222AF" w:rsidRPr="00AA1A20">
        <w:rPr>
          <w:rFonts w:cs="Open Sans"/>
        </w:rPr>
        <w:t xml:space="preserve">the Australian public at large. </w:t>
      </w:r>
    </w:p>
    <w:p w14:paraId="623D413A" w14:textId="0269ED6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Legislation such as this must enable appropriate cyber intelligence capabilities for government, while at the same time preserving the ability of individuals to lead their lives freely and </w:t>
      </w:r>
      <w:r w:rsidR="00D278DE">
        <w:rPr>
          <w:rFonts w:cs="Open Sans"/>
        </w:rPr>
        <w:t>with due regard to their right to privacy</w:t>
      </w:r>
      <w:r w:rsidRPr="00AA1A20">
        <w:rPr>
          <w:rFonts w:cs="Open Sans"/>
        </w:rPr>
        <w:t xml:space="preserve">. This is a complex challenge, and can </w:t>
      </w:r>
      <w:r w:rsidR="00AD3566">
        <w:rPr>
          <w:rFonts w:cs="Open Sans"/>
        </w:rPr>
        <w:t xml:space="preserve">often </w:t>
      </w:r>
      <w:r w:rsidRPr="00AA1A20">
        <w:rPr>
          <w:rFonts w:cs="Open Sans"/>
        </w:rPr>
        <w:t xml:space="preserve">involve </w:t>
      </w:r>
      <w:r w:rsidR="00AD3566">
        <w:rPr>
          <w:rFonts w:cs="Open Sans"/>
        </w:rPr>
        <w:t>a</w:t>
      </w:r>
      <w:r w:rsidRPr="00AA1A20">
        <w:rPr>
          <w:rFonts w:cs="Open Sans"/>
        </w:rPr>
        <w:t xml:space="preserve"> delicate balancing process. </w:t>
      </w:r>
    </w:p>
    <w:p w14:paraId="62FC2C67" w14:textId="13D5CDFF"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International human rights law provides a framework to assess whether this balance has been appropriately struck. It provides significant scope for governments to provide security and law enforcement agencies with extensive powers, even where they impinge on </w:t>
      </w:r>
      <w:r w:rsidR="0025478F">
        <w:rPr>
          <w:rFonts w:cs="Open Sans"/>
        </w:rPr>
        <w:t xml:space="preserve">the </w:t>
      </w:r>
      <w:r w:rsidRPr="00AA1A20">
        <w:rPr>
          <w:rFonts w:cs="Open Sans"/>
        </w:rPr>
        <w:t>rights and freedoms</w:t>
      </w:r>
      <w:r w:rsidR="0025478F">
        <w:rPr>
          <w:rFonts w:cs="Open Sans"/>
        </w:rPr>
        <w:t xml:space="preserve"> of </w:t>
      </w:r>
      <w:r w:rsidR="0025478F">
        <w:rPr>
          <w:rFonts w:cs="Open Sans"/>
        </w:rPr>
        <w:lastRenderedPageBreak/>
        <w:t>individuals</w:t>
      </w:r>
      <w:r w:rsidRPr="00AA1A20">
        <w:rPr>
          <w:rFonts w:cs="Open Sans"/>
        </w:rPr>
        <w:t xml:space="preserve">. However, to be permissible, any limitation on human rights must be clearly expressed, unambiguous in its terms, and a necessary and proportionate response to a legitimate objective. </w:t>
      </w:r>
    </w:p>
    <w:p w14:paraId="7F405F8E" w14:textId="405D7656" w:rsidR="002222AF"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Commission holds serious concerns that numerous provisions of the </w:t>
      </w:r>
      <w:r>
        <w:rPr>
          <w:rFonts w:cs="Open Sans"/>
        </w:rPr>
        <w:t>Bill</w:t>
      </w:r>
      <w:r w:rsidRPr="00AA1A20">
        <w:rPr>
          <w:rFonts w:cs="Open Sans"/>
        </w:rPr>
        <w:t xml:space="preserve"> do not meet this test. Of particular concern are the proposed breadth of the powers, the ambiguity of certain provisions and the inadequacy of effective safeguards. </w:t>
      </w:r>
    </w:p>
    <w:p w14:paraId="67B81525" w14:textId="05E3A212" w:rsidR="00FB744A" w:rsidRDefault="00420511" w:rsidP="00420511">
      <w:pPr>
        <w:pStyle w:val="ListNumber"/>
        <w:tabs>
          <w:tab w:val="clear" w:pos="360"/>
          <w:tab w:val="num" w:pos="993"/>
          <w:tab w:val="left" w:pos="1418"/>
        </w:tabs>
        <w:ind w:left="709" w:hanging="567"/>
        <w:rPr>
          <w:rFonts w:cs="Open Sans"/>
        </w:rPr>
      </w:pPr>
      <w:r w:rsidRPr="00AA1A20">
        <w:rPr>
          <w:rFonts w:cs="Open Sans"/>
        </w:rPr>
        <w:t xml:space="preserve">In light of the short timeframe for the preparation of submissions in </w:t>
      </w:r>
      <w:r>
        <w:rPr>
          <w:rFonts w:cs="Open Sans"/>
        </w:rPr>
        <w:t>response to this Bill</w:t>
      </w:r>
      <w:r w:rsidRPr="00AA1A20">
        <w:rPr>
          <w:rFonts w:cs="Open Sans"/>
        </w:rPr>
        <w:t xml:space="preserve">, and </w:t>
      </w:r>
      <w:r>
        <w:rPr>
          <w:rFonts w:cs="Open Sans"/>
        </w:rPr>
        <w:t>its</w:t>
      </w:r>
      <w:r w:rsidRPr="00AA1A20">
        <w:rPr>
          <w:rFonts w:cs="Open Sans"/>
        </w:rPr>
        <w:t xml:space="preserve"> length and complexity, this submission</w:t>
      </w:r>
      <w:r w:rsidR="00AD3566">
        <w:rPr>
          <w:rFonts w:ascii="Calibri" w:hAnsi="Calibri" w:cs="Calibri"/>
        </w:rPr>
        <w:t>—</w:t>
      </w:r>
      <w:r w:rsidR="00AD3566">
        <w:rPr>
          <w:rFonts w:cs="Open Sans"/>
        </w:rPr>
        <w:t>although lengthy</w:t>
      </w:r>
      <w:r w:rsidR="00AD3566">
        <w:rPr>
          <w:rFonts w:ascii="Calibri" w:hAnsi="Calibri" w:cs="Calibri"/>
        </w:rPr>
        <w:t>—</w:t>
      </w:r>
      <w:r w:rsidRPr="00AA1A20">
        <w:rPr>
          <w:rFonts w:cs="Open Sans"/>
        </w:rPr>
        <w:t xml:space="preserve">is not exhaustive. Rather, it draws attention to the key human rights concerns identified by the Commission to date. </w:t>
      </w:r>
    </w:p>
    <w:p w14:paraId="75FC48AE" w14:textId="48DDDD0E" w:rsidR="00420511" w:rsidRPr="00AA1A20" w:rsidRDefault="00420511" w:rsidP="00420511">
      <w:pPr>
        <w:pStyle w:val="ListNumber"/>
        <w:tabs>
          <w:tab w:val="clear" w:pos="360"/>
          <w:tab w:val="num" w:pos="993"/>
          <w:tab w:val="left" w:pos="1418"/>
        </w:tabs>
        <w:ind w:left="709" w:hanging="567"/>
        <w:rPr>
          <w:rFonts w:cs="Open Sans"/>
        </w:rPr>
      </w:pPr>
      <w:r w:rsidRPr="00AA1A20">
        <w:rPr>
          <w:rFonts w:cs="Open Sans"/>
        </w:rPr>
        <w:t>The submission</w:t>
      </w:r>
      <w:r w:rsidR="00BD6430">
        <w:rPr>
          <w:rFonts w:cs="Open Sans"/>
        </w:rPr>
        <w:t xml:space="preserve"> </w:t>
      </w:r>
      <w:r w:rsidR="000B42C6">
        <w:rPr>
          <w:rFonts w:cs="Open Sans"/>
        </w:rPr>
        <w:t>is based on an analysis of</w:t>
      </w:r>
      <w:r w:rsidR="00BD6430">
        <w:rPr>
          <w:rFonts w:cs="Open Sans"/>
        </w:rPr>
        <w:t xml:space="preserve"> the </w:t>
      </w:r>
      <w:r w:rsidR="000B42C6">
        <w:rPr>
          <w:rFonts w:cs="Open Sans"/>
        </w:rPr>
        <w:t>effect</w:t>
      </w:r>
      <w:r w:rsidR="00FB744A">
        <w:rPr>
          <w:rFonts w:cs="Open Sans"/>
        </w:rPr>
        <w:t>s</w:t>
      </w:r>
      <w:r w:rsidR="000B42C6">
        <w:rPr>
          <w:rFonts w:cs="Open Sans"/>
        </w:rPr>
        <w:t xml:space="preserve"> of</w:t>
      </w:r>
      <w:r w:rsidR="00BD6430">
        <w:rPr>
          <w:rFonts w:cs="Open Sans"/>
        </w:rPr>
        <w:t xml:space="preserve"> the Bill</w:t>
      </w:r>
      <w:r w:rsidR="00FB744A">
        <w:rPr>
          <w:rFonts w:cs="Open Sans"/>
        </w:rPr>
        <w:t xml:space="preserve"> on human rights</w:t>
      </w:r>
      <w:r w:rsidR="00BD6430">
        <w:rPr>
          <w:rFonts w:cs="Open Sans"/>
        </w:rPr>
        <w:t xml:space="preserve">. </w:t>
      </w:r>
      <w:r w:rsidR="006437F0">
        <w:rPr>
          <w:rFonts w:cs="Open Sans"/>
        </w:rPr>
        <w:t>T</w:t>
      </w:r>
      <w:r w:rsidRPr="00AA1A20">
        <w:rPr>
          <w:rFonts w:cs="Open Sans"/>
        </w:rPr>
        <w:t>he Commission</w:t>
      </w:r>
      <w:r w:rsidR="006437F0">
        <w:rPr>
          <w:rFonts w:cs="Open Sans"/>
        </w:rPr>
        <w:t xml:space="preserve"> acknowledges that it</w:t>
      </w:r>
      <w:r w:rsidR="000B42C6">
        <w:rPr>
          <w:rFonts w:cs="Open Sans"/>
        </w:rPr>
        <w:t>s</w:t>
      </w:r>
      <w:r w:rsidR="006437F0">
        <w:rPr>
          <w:rFonts w:cs="Open Sans"/>
        </w:rPr>
        <w:t xml:space="preserve"> technological expertise in relation to </w:t>
      </w:r>
      <w:r w:rsidR="000B42C6">
        <w:rPr>
          <w:rFonts w:cs="Open Sans"/>
        </w:rPr>
        <w:t xml:space="preserve">some </w:t>
      </w:r>
      <w:r w:rsidR="006437F0">
        <w:rPr>
          <w:rFonts w:cs="Open Sans"/>
        </w:rPr>
        <w:t xml:space="preserve">matters </w:t>
      </w:r>
      <w:r w:rsidR="000B42C6">
        <w:rPr>
          <w:rFonts w:cs="Open Sans"/>
        </w:rPr>
        <w:t>is limited</w:t>
      </w:r>
      <w:r w:rsidR="000374D3">
        <w:rPr>
          <w:rFonts w:cs="Open Sans"/>
        </w:rPr>
        <w:t>,</w:t>
      </w:r>
      <w:r w:rsidR="006437F0">
        <w:rPr>
          <w:rFonts w:cs="Open Sans"/>
        </w:rPr>
        <w:t xml:space="preserve"> </w:t>
      </w:r>
      <w:r w:rsidR="000B42C6">
        <w:rPr>
          <w:rFonts w:cs="Open Sans"/>
        </w:rPr>
        <w:t>mean</w:t>
      </w:r>
      <w:r w:rsidR="000374D3">
        <w:rPr>
          <w:rFonts w:cs="Open Sans"/>
        </w:rPr>
        <w:t xml:space="preserve">ing that the human rights impacts </w:t>
      </w:r>
      <w:r w:rsidR="000B42C6">
        <w:rPr>
          <w:rFonts w:cs="Open Sans"/>
        </w:rPr>
        <w:t xml:space="preserve">may go beyond </w:t>
      </w:r>
      <w:r w:rsidR="000374D3">
        <w:rPr>
          <w:rFonts w:cs="Open Sans"/>
        </w:rPr>
        <w:t>the analysis contained</w:t>
      </w:r>
      <w:r w:rsidR="000B42C6">
        <w:rPr>
          <w:rFonts w:cs="Open Sans"/>
        </w:rPr>
        <w:t xml:space="preserve"> in this submission. </w:t>
      </w:r>
      <w:r w:rsidR="006437F0">
        <w:rPr>
          <w:rFonts w:cs="Open Sans"/>
        </w:rPr>
        <w:t>Where indicated below, the Commission has drawn on the expertise of other organisations that have made submissions to the Department of Home Affairs</w:t>
      </w:r>
      <w:r w:rsidR="00FB744A">
        <w:rPr>
          <w:rFonts w:cs="Open Sans"/>
        </w:rPr>
        <w:t xml:space="preserve"> (the Department)</w:t>
      </w:r>
      <w:r w:rsidR="006437F0">
        <w:rPr>
          <w:rFonts w:cs="Open Sans"/>
        </w:rPr>
        <w:t xml:space="preserve"> </w:t>
      </w:r>
      <w:r w:rsidR="000B42C6">
        <w:rPr>
          <w:rFonts w:cs="Open Sans"/>
        </w:rPr>
        <w:t xml:space="preserve">in </w:t>
      </w:r>
      <w:r w:rsidR="00FB744A">
        <w:rPr>
          <w:rFonts w:cs="Open Sans"/>
        </w:rPr>
        <w:t>response to the</w:t>
      </w:r>
      <w:r w:rsidR="000B42C6">
        <w:rPr>
          <w:rFonts w:cs="Open Sans"/>
        </w:rPr>
        <w:t xml:space="preserve"> </w:t>
      </w:r>
      <w:r w:rsidR="0025478F">
        <w:rPr>
          <w:rFonts w:cs="Open Sans"/>
        </w:rPr>
        <w:t>Exposure Draft</w:t>
      </w:r>
      <w:r w:rsidR="00AD3566">
        <w:rPr>
          <w:rFonts w:cs="Open Sans"/>
        </w:rPr>
        <w:t xml:space="preserve"> </w:t>
      </w:r>
      <w:r w:rsidR="000B42C6">
        <w:rPr>
          <w:rFonts w:cs="Open Sans"/>
        </w:rPr>
        <w:t xml:space="preserve">of the Bill </w:t>
      </w:r>
      <w:r w:rsidR="00FB744A">
        <w:rPr>
          <w:rFonts w:cs="Open Sans"/>
        </w:rPr>
        <w:t xml:space="preserve">that was </w:t>
      </w:r>
      <w:r w:rsidR="000B42C6">
        <w:rPr>
          <w:rFonts w:cs="Open Sans"/>
        </w:rPr>
        <w:t xml:space="preserve">circulated in </w:t>
      </w:r>
      <w:r w:rsidR="00FB744A">
        <w:rPr>
          <w:rFonts w:cs="Open Sans"/>
        </w:rPr>
        <w:t>August 2018</w:t>
      </w:r>
      <w:r w:rsidR="003E1A7C">
        <w:rPr>
          <w:rFonts w:cs="Open Sans"/>
        </w:rPr>
        <w:t>.</w:t>
      </w:r>
    </w:p>
    <w:p w14:paraId="639EB941" w14:textId="503FE3EB"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This submission contains </w:t>
      </w:r>
      <w:r w:rsidR="005B5108">
        <w:rPr>
          <w:rFonts w:cs="Open Sans"/>
        </w:rPr>
        <w:t>5</w:t>
      </w:r>
      <w:r w:rsidR="00D7469A">
        <w:rPr>
          <w:rFonts w:cs="Open Sans"/>
        </w:rPr>
        <w:t>4</w:t>
      </w:r>
      <w:r w:rsidR="005B5108" w:rsidRPr="00AA1A20">
        <w:rPr>
          <w:rFonts w:cs="Open Sans"/>
        </w:rPr>
        <w:t xml:space="preserve"> </w:t>
      </w:r>
      <w:r w:rsidRPr="00AA1A20">
        <w:rPr>
          <w:rFonts w:cs="Open Sans"/>
        </w:rPr>
        <w:t xml:space="preserve">recommendations </w:t>
      </w:r>
      <w:r w:rsidR="00D278DE">
        <w:rPr>
          <w:rFonts w:cs="Open Sans"/>
        </w:rPr>
        <w:t>that aim</w:t>
      </w:r>
      <w:r w:rsidRPr="00AA1A20">
        <w:rPr>
          <w:rFonts w:cs="Open Sans"/>
        </w:rPr>
        <w:t xml:space="preserve"> to ameliorate the significant human rights concerns </w:t>
      </w:r>
      <w:r w:rsidR="00E6199F">
        <w:rPr>
          <w:rFonts w:cs="Open Sans"/>
        </w:rPr>
        <w:t xml:space="preserve">the Commission </w:t>
      </w:r>
      <w:r w:rsidRPr="00AA1A20">
        <w:rPr>
          <w:rFonts w:cs="Open Sans"/>
        </w:rPr>
        <w:t>has identified so far. The Commission’s recommendations are set out throughout the body of the submission, as w</w:t>
      </w:r>
      <w:r>
        <w:rPr>
          <w:rFonts w:cs="Open Sans"/>
        </w:rPr>
        <w:t>ell as in a complete list at P</w:t>
      </w:r>
      <w:r w:rsidRPr="00AA1A20">
        <w:rPr>
          <w:rFonts w:cs="Open Sans"/>
        </w:rPr>
        <w:t>t </w:t>
      </w:r>
      <w:r w:rsidR="00420511">
        <w:rPr>
          <w:rFonts w:cs="Open Sans"/>
        </w:rPr>
        <w:fldChar w:fldCharType="begin"/>
      </w:r>
      <w:r w:rsidR="00420511">
        <w:rPr>
          <w:rFonts w:cs="Open Sans"/>
        </w:rPr>
        <w:instrText xml:space="preserve"> REF _Ref526775700 \r \h </w:instrText>
      </w:r>
      <w:r w:rsidR="00420511">
        <w:rPr>
          <w:rFonts w:cs="Open Sans"/>
        </w:rPr>
      </w:r>
      <w:r w:rsidR="00420511">
        <w:rPr>
          <w:rFonts w:cs="Open Sans"/>
        </w:rPr>
        <w:fldChar w:fldCharType="separate"/>
      </w:r>
      <w:r w:rsidR="00372D72">
        <w:rPr>
          <w:rFonts w:cs="Open Sans"/>
        </w:rPr>
        <w:t>8</w:t>
      </w:r>
      <w:r w:rsidR="00420511">
        <w:rPr>
          <w:rFonts w:cs="Open Sans"/>
        </w:rPr>
        <w:fldChar w:fldCharType="end"/>
      </w:r>
      <w:r w:rsidRPr="00AA1A20">
        <w:rPr>
          <w:rFonts w:cs="Open Sans"/>
        </w:rPr>
        <w:t>.</w:t>
      </w:r>
    </w:p>
    <w:p w14:paraId="5B35D764" w14:textId="2DD8A455" w:rsidR="002222AF"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Commission considers that the </w:t>
      </w:r>
      <w:r>
        <w:rPr>
          <w:rFonts w:cs="Open Sans"/>
        </w:rPr>
        <w:t>Bill</w:t>
      </w:r>
      <w:r w:rsidRPr="00AA1A20">
        <w:rPr>
          <w:rFonts w:cs="Open Sans"/>
        </w:rPr>
        <w:t xml:space="preserve"> should be reconsidered and redrafted in a way that strengthens the </w:t>
      </w:r>
      <w:r w:rsidR="00BD6430">
        <w:rPr>
          <w:rFonts w:cs="Open Sans"/>
        </w:rPr>
        <w:t>protection of</w:t>
      </w:r>
      <w:r w:rsidR="00BD6430" w:rsidRPr="00AA1A20">
        <w:rPr>
          <w:rFonts w:cs="Open Sans"/>
        </w:rPr>
        <w:t xml:space="preserve"> </w:t>
      </w:r>
      <w:r w:rsidRPr="00AA1A20">
        <w:rPr>
          <w:rFonts w:cs="Open Sans"/>
        </w:rPr>
        <w:t>relevant human rights</w:t>
      </w:r>
      <w:r w:rsidR="00BD6430">
        <w:rPr>
          <w:rFonts w:cs="Open Sans"/>
        </w:rPr>
        <w:t xml:space="preserve">, </w:t>
      </w:r>
      <w:r w:rsidR="00AD3566">
        <w:rPr>
          <w:rFonts w:cs="Open Sans"/>
        </w:rPr>
        <w:t>to ensure</w:t>
      </w:r>
      <w:r w:rsidR="00BD6430">
        <w:rPr>
          <w:rFonts w:cs="Open Sans"/>
        </w:rPr>
        <w:t xml:space="preserve"> that the Bill is more precisely targeted at its objectives, </w:t>
      </w:r>
      <w:r w:rsidR="00AD3566">
        <w:rPr>
          <w:rFonts w:cs="Open Sans"/>
        </w:rPr>
        <w:t xml:space="preserve">and </w:t>
      </w:r>
      <w:r w:rsidR="00BD6430">
        <w:rPr>
          <w:rFonts w:cs="Open Sans"/>
        </w:rPr>
        <w:t>so that it limits human rights only to the degree demonstrated to be strictly necessary and proportionate</w:t>
      </w:r>
      <w:r w:rsidR="00AD3566">
        <w:rPr>
          <w:rFonts w:cs="Open Sans"/>
        </w:rPr>
        <w:t xml:space="preserve"> to its objectives</w:t>
      </w:r>
      <w:r w:rsidRPr="00AA1A20">
        <w:rPr>
          <w:rFonts w:cs="Open Sans"/>
        </w:rPr>
        <w:t>.</w:t>
      </w:r>
    </w:p>
    <w:p w14:paraId="5DB81BFD" w14:textId="13CEDFB8"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Given the complexity of the </w:t>
      </w:r>
      <w:r>
        <w:rPr>
          <w:rFonts w:cs="Open Sans"/>
        </w:rPr>
        <w:t xml:space="preserve">Bill and </w:t>
      </w:r>
      <w:r w:rsidR="00B52A04">
        <w:rPr>
          <w:rFonts w:cs="Open Sans"/>
        </w:rPr>
        <w:t>the</w:t>
      </w:r>
      <w:r>
        <w:rPr>
          <w:rFonts w:cs="Open Sans"/>
        </w:rPr>
        <w:t xml:space="preserve"> significant </w:t>
      </w:r>
      <w:r w:rsidR="00B52A04">
        <w:rPr>
          <w:rFonts w:cs="Open Sans"/>
        </w:rPr>
        <w:t xml:space="preserve">degree to which it would limit </w:t>
      </w:r>
      <w:r>
        <w:rPr>
          <w:rFonts w:cs="Open Sans"/>
        </w:rPr>
        <w:t>human rights</w:t>
      </w:r>
      <w:r w:rsidRPr="00AA1A20">
        <w:rPr>
          <w:rFonts w:cs="Open Sans"/>
        </w:rPr>
        <w:t xml:space="preserve">, the Commission urges </w:t>
      </w:r>
      <w:r w:rsidR="00420511">
        <w:rPr>
          <w:rFonts w:cs="Open Sans"/>
        </w:rPr>
        <w:t>that</w:t>
      </w:r>
      <w:r w:rsidRPr="00AA1A20">
        <w:rPr>
          <w:rFonts w:cs="Open Sans"/>
        </w:rPr>
        <w:t xml:space="preserve"> </w:t>
      </w:r>
      <w:r>
        <w:rPr>
          <w:rFonts w:cs="Open Sans"/>
        </w:rPr>
        <w:t>appropriate and</w:t>
      </w:r>
      <w:r w:rsidRPr="00AA1A20">
        <w:rPr>
          <w:rFonts w:cs="Open Sans"/>
        </w:rPr>
        <w:t xml:space="preserve"> adequate time </w:t>
      </w:r>
      <w:r w:rsidR="00420511">
        <w:rPr>
          <w:rFonts w:cs="Open Sans"/>
        </w:rPr>
        <w:t xml:space="preserve">be provided </w:t>
      </w:r>
      <w:r w:rsidRPr="00AA1A20">
        <w:rPr>
          <w:rFonts w:cs="Open Sans"/>
        </w:rPr>
        <w:t xml:space="preserve">for </w:t>
      </w:r>
      <w:r w:rsidR="006249B7">
        <w:rPr>
          <w:rFonts w:cs="Open Sans"/>
        </w:rPr>
        <w:t xml:space="preserve">its </w:t>
      </w:r>
      <w:r w:rsidRPr="00AA1A20">
        <w:rPr>
          <w:rFonts w:cs="Open Sans"/>
        </w:rPr>
        <w:t xml:space="preserve">revision </w:t>
      </w:r>
      <w:r>
        <w:rPr>
          <w:rFonts w:cs="Open Sans"/>
        </w:rPr>
        <w:t>to enhance human rights compatibility</w:t>
      </w:r>
      <w:r w:rsidRPr="00AA1A20">
        <w:rPr>
          <w:rFonts w:cs="Open Sans"/>
        </w:rPr>
        <w:t>.</w:t>
      </w:r>
    </w:p>
    <w:p w14:paraId="7B169777" w14:textId="02695D55"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Commission would welcome the opportunity to provide further input into the development of the legal framework contemplated by the </w:t>
      </w:r>
      <w:r>
        <w:rPr>
          <w:rFonts w:cs="Open Sans"/>
        </w:rPr>
        <w:t>Bill</w:t>
      </w:r>
      <w:r w:rsidRPr="00AA1A20">
        <w:rPr>
          <w:rFonts w:cs="Open Sans"/>
        </w:rPr>
        <w:t>.</w:t>
      </w:r>
    </w:p>
    <w:p w14:paraId="2CBDB947" w14:textId="77777777" w:rsidR="002222AF" w:rsidRPr="00AA1A20" w:rsidRDefault="002222AF" w:rsidP="002222AF">
      <w:pPr>
        <w:pStyle w:val="Heading1"/>
        <w:tabs>
          <w:tab w:val="clear" w:pos="851"/>
          <w:tab w:val="num" w:pos="873"/>
        </w:tabs>
        <w:rPr>
          <w:rFonts w:cs="Open Sans"/>
        </w:rPr>
      </w:pPr>
      <w:bookmarkStart w:id="94" w:name="_Toc526518378"/>
      <w:bookmarkStart w:id="95" w:name="_Toc527107790"/>
      <w:r w:rsidRPr="00AA1A20">
        <w:rPr>
          <w:rFonts w:cs="Open Sans"/>
        </w:rPr>
        <w:t>Background</w:t>
      </w:r>
      <w:bookmarkEnd w:id="94"/>
      <w:bookmarkEnd w:id="95"/>
    </w:p>
    <w:p w14:paraId="057994D0"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evolution of digital technology has offered individuals unprecedented connection, convenience and choice in their everyday lives. </w:t>
      </w:r>
    </w:p>
    <w:p w14:paraId="244EB5FF" w14:textId="22090E53"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In particular, information communication technologies have revolutionised our common modes of interaction. For example, messaging applications on smartphones allow users to exchange texts, photos and other data instantaneously, forming ‘the backbone of digital life for tens of millions of individuals, [and] providing a popular means of communication and access to information’.</w:t>
      </w:r>
      <w:r w:rsidRPr="00E030D4">
        <w:rPr>
          <w:rStyle w:val="EndnoteReference"/>
          <w:vertAlign w:val="superscript"/>
        </w:rPr>
        <w:endnoteReference w:id="5"/>
      </w:r>
    </w:p>
    <w:p w14:paraId="7AA8C795" w14:textId="7C4924B9" w:rsidR="002222AF" w:rsidRPr="00AA1A20" w:rsidRDefault="002222AF" w:rsidP="002222AF">
      <w:pPr>
        <w:pStyle w:val="ListNumber"/>
        <w:tabs>
          <w:tab w:val="clear" w:pos="360"/>
          <w:tab w:val="num" w:pos="993"/>
          <w:tab w:val="left" w:pos="1418"/>
        </w:tabs>
        <w:ind w:left="709" w:hanging="567"/>
        <w:rPr>
          <w:rFonts w:cs="Open Sans"/>
          <w:lang w:val="en"/>
        </w:rPr>
      </w:pPr>
      <w:r w:rsidRPr="00AA1A20">
        <w:rPr>
          <w:rFonts w:cs="Open Sans"/>
        </w:rPr>
        <w:t xml:space="preserve">As well as playing an important and valuable role in the lives of Australians, information communication technologies can be a means of realising the right to privacy and freedom of expression protected under articles 17 and 19 of the </w:t>
      </w:r>
      <w:r w:rsidR="003E1A7C" w:rsidRPr="00AA1A20">
        <w:rPr>
          <w:rFonts w:cs="Open Sans"/>
        </w:rPr>
        <w:t xml:space="preserve">protected under the </w:t>
      </w:r>
      <w:r w:rsidR="003E1A7C" w:rsidRPr="00AA1A20">
        <w:rPr>
          <w:rFonts w:cs="Open Sans"/>
          <w:i/>
        </w:rPr>
        <w:t>International Covenant on Civil and Political Rights</w:t>
      </w:r>
      <w:r w:rsidR="003E1A7C" w:rsidRPr="00AA1A20">
        <w:rPr>
          <w:rFonts w:cs="Open Sans"/>
        </w:rPr>
        <w:t xml:space="preserve"> (ICCPR)</w:t>
      </w:r>
      <w:r w:rsidR="003E1A7C">
        <w:rPr>
          <w:rFonts w:cs="Open Sans"/>
        </w:rPr>
        <w:t>.</w:t>
      </w:r>
      <w:r w:rsidR="003E1A7C" w:rsidRPr="00E030D4">
        <w:rPr>
          <w:rStyle w:val="EndnoteReference"/>
          <w:vertAlign w:val="superscript"/>
        </w:rPr>
        <w:endnoteReference w:id="6"/>
      </w:r>
    </w:p>
    <w:p w14:paraId="37FD9810" w14:textId="54DDB272"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Information communication technologies collect, store, use and analyse a vast amount of data, including personal information. Now</w:t>
      </w:r>
      <w:r w:rsidR="00AD3566">
        <w:rPr>
          <w:rFonts w:cs="Open Sans"/>
        </w:rPr>
        <w:t>,</w:t>
      </w:r>
      <w:r w:rsidRPr="00AA1A20">
        <w:rPr>
          <w:rFonts w:cs="Open Sans"/>
        </w:rPr>
        <w:t xml:space="preserve"> more than ever, our communications, financial information, health and biometric data are digitally created and held. </w:t>
      </w:r>
      <w:r w:rsidRPr="00AA1A20">
        <w:rPr>
          <w:rFonts w:cs="Open Sans"/>
          <w:lang w:val="en"/>
        </w:rPr>
        <w:t>Other</w:t>
      </w:r>
      <w:r w:rsidRPr="00AA1A20">
        <w:rPr>
          <w:rFonts w:cs="Open Sans"/>
        </w:rPr>
        <w:t xml:space="preserve"> private and sensitive online data can include information about a person’s political beliefs, sexual orientation and geographic location and movements.</w:t>
      </w:r>
    </w:p>
    <w:p w14:paraId="16BF7E40"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This digitisation of information increases the risk of unauthorised access, whether by deliberate hacking or other inadvertent data breaches. Recent high-profile hacking attacks and data breaches show the increasing difficulty of ensuring security online.</w:t>
      </w:r>
      <w:r w:rsidRPr="00E030D4">
        <w:rPr>
          <w:rStyle w:val="EndnoteReference"/>
          <w:vertAlign w:val="superscript"/>
        </w:rPr>
        <w:endnoteReference w:id="7"/>
      </w:r>
      <w:r w:rsidRPr="00AA1A20">
        <w:rPr>
          <w:rFonts w:cs="Open Sans"/>
        </w:rPr>
        <w:t xml:space="preserve"> </w:t>
      </w:r>
    </w:p>
    <w:p w14:paraId="4B5B07F5"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Various cybersecurity measures have been developed in response to such risks, most notably the use of encryption. </w:t>
      </w:r>
    </w:p>
    <w:p w14:paraId="7E4D305F" w14:textId="77777777" w:rsidR="002222AF" w:rsidRPr="00AA1A20" w:rsidRDefault="002222AF" w:rsidP="002222AF">
      <w:pPr>
        <w:pStyle w:val="ListNumber"/>
        <w:tabs>
          <w:tab w:val="clear" w:pos="360"/>
          <w:tab w:val="num" w:pos="993"/>
          <w:tab w:val="left" w:pos="1418"/>
        </w:tabs>
        <w:ind w:left="709" w:hanging="567"/>
        <w:rPr>
          <w:rFonts w:cs="Open Sans"/>
          <w:lang w:val="en"/>
        </w:rPr>
      </w:pPr>
      <w:r w:rsidRPr="00AA1A20">
        <w:rPr>
          <w:rFonts w:cs="Open Sans"/>
        </w:rPr>
        <w:t>‘Encryption’ has been defined as:</w:t>
      </w:r>
    </w:p>
    <w:p w14:paraId="72459BB4" w14:textId="77777777" w:rsidR="002222AF" w:rsidRPr="00AA1A20" w:rsidRDefault="002222AF" w:rsidP="002222AF">
      <w:pPr>
        <w:pStyle w:val="EndnoteText"/>
        <w:rPr>
          <w:rFonts w:cs="Open Sans"/>
        </w:rPr>
      </w:pPr>
      <w:r w:rsidRPr="00AA1A20">
        <w:rPr>
          <w:rFonts w:cs="Open Sans"/>
        </w:rPr>
        <w:t>A technique that attempts to secure data transmitted over computer networks from the point of interception to ensure its confidentiality. Encryption transforms data by the use of cryptography (complex mathematical algorithms) to produce unintelligible (encrypted) data.</w:t>
      </w:r>
      <w:r w:rsidRPr="00E030D4">
        <w:rPr>
          <w:rStyle w:val="EndnoteReference"/>
          <w:vertAlign w:val="superscript"/>
        </w:rPr>
        <w:endnoteReference w:id="8"/>
      </w:r>
    </w:p>
    <w:p w14:paraId="73733782" w14:textId="77777777" w:rsidR="002222AF" w:rsidRPr="00AA1A20" w:rsidRDefault="002222AF" w:rsidP="002222AF">
      <w:pPr>
        <w:pStyle w:val="ListNumber"/>
        <w:tabs>
          <w:tab w:val="clear" w:pos="360"/>
          <w:tab w:val="num" w:pos="993"/>
          <w:tab w:val="left" w:pos="1418"/>
        </w:tabs>
        <w:ind w:left="709" w:hanging="567"/>
        <w:rPr>
          <w:rFonts w:cs="Open Sans"/>
          <w:lang w:val="en"/>
        </w:rPr>
      </w:pPr>
      <w:r w:rsidRPr="00AA1A20">
        <w:rPr>
          <w:rFonts w:cs="Open Sans"/>
        </w:rPr>
        <w:t xml:space="preserve">Encryption works by, for example, ‘scrambling’ the ‘plain text’ of an original message into an unintelligible form of ‘cipher text’ during transmission, and ‘unscrambling’ the message back to readable plain text form once opened by the recipient. This technique aims to ensure that when a ‘data packet’ is sent by a sender to a recipient, whether it be a voice call, email, credit card number or other information, it is securely transmitted and accessed only by the person for whom receipt is intended. </w:t>
      </w:r>
    </w:p>
    <w:p w14:paraId="26255E74" w14:textId="5952885C"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Encryption is </w:t>
      </w:r>
      <w:r w:rsidR="0025478F">
        <w:rPr>
          <w:rFonts w:cs="Open Sans"/>
        </w:rPr>
        <w:t>commonplace</w:t>
      </w:r>
      <w:r w:rsidR="0025478F" w:rsidRPr="00AA1A20">
        <w:rPr>
          <w:rFonts w:cs="Open Sans"/>
        </w:rPr>
        <w:t xml:space="preserve"> </w:t>
      </w:r>
      <w:r w:rsidRPr="00AA1A20">
        <w:rPr>
          <w:rFonts w:cs="Open Sans"/>
        </w:rPr>
        <w:t xml:space="preserve">in our digital lives and has many common uses, including securing data and authenticating the identity of individuals in a wide range of fields. These fields include traditional and cloud computing, smart phones (including through device locking), banking </w:t>
      </w:r>
      <w:r w:rsidRPr="00AA1A20">
        <w:rPr>
          <w:rFonts w:cs="Open Sans"/>
        </w:rPr>
        <w:lastRenderedPageBreak/>
        <w:t>transactions, web browsing, email traffic and virtual private networks. The use of encryption is likely to continue to grow through new technological advances such as block chain.</w:t>
      </w:r>
    </w:p>
    <w:p w14:paraId="02A55519"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United Nations (UN) Special Rapporteur on the promotion and protection of the right to freedom of opinion and expression has said that encryption and anonymity, and the security concepts behind them, provide the privacy and security necessary for the exercise of the right to freedom of opinion and expression in the digital age.</w:t>
      </w:r>
      <w:r w:rsidRPr="00E030D4">
        <w:rPr>
          <w:rStyle w:val="EndnoteReference"/>
          <w:vertAlign w:val="superscript"/>
        </w:rPr>
        <w:endnoteReference w:id="9"/>
      </w:r>
    </w:p>
    <w:p w14:paraId="1BBE421A" w14:textId="3EEBAFB5"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However, the prevalence of encryption has also led to concerns about private, anonymous and untraceable cybertechnologies being used to facilitate serious crime. T</w:t>
      </w:r>
      <w:r w:rsidR="00163EA8">
        <w:rPr>
          <w:rFonts w:cs="Open Sans"/>
        </w:rPr>
        <w:t>his kind of use by individuals has been t</w:t>
      </w:r>
      <w:r w:rsidRPr="00AA1A20">
        <w:rPr>
          <w:rFonts w:cs="Open Sans"/>
        </w:rPr>
        <w:t>ermed ‘going dark’</w:t>
      </w:r>
      <w:r w:rsidR="00163EA8">
        <w:rPr>
          <w:rFonts w:cs="Open Sans"/>
        </w:rPr>
        <w:t>.</w:t>
      </w:r>
      <w:r w:rsidR="00EE4517" w:rsidRPr="002B4B8C">
        <w:rPr>
          <w:rStyle w:val="EndnoteReference"/>
          <w:vertAlign w:val="superscript"/>
        </w:rPr>
        <w:endnoteReference w:id="10"/>
      </w:r>
      <w:r w:rsidRPr="00AA1A20">
        <w:rPr>
          <w:rFonts w:cs="Open Sans"/>
        </w:rPr>
        <w:t xml:space="preserve"> </w:t>
      </w:r>
      <w:r w:rsidR="00163EA8">
        <w:rPr>
          <w:rFonts w:cs="Open Sans"/>
        </w:rPr>
        <w:t>L</w:t>
      </w:r>
      <w:r w:rsidRPr="00AA1A20">
        <w:rPr>
          <w:rFonts w:cs="Open Sans"/>
        </w:rPr>
        <w:t>aw enforcement bodies are particularly concerned about the technical inability of investigators</w:t>
      </w:r>
      <w:r w:rsidRPr="00AA1A20">
        <w:rPr>
          <w:rFonts w:cs="Open Sans"/>
          <w:lang w:val="en"/>
        </w:rPr>
        <w:t xml:space="preserve"> to intercept and access communications that aid criminal activity in such circumstances, despite holding legal authority such as a warrant.</w:t>
      </w:r>
      <w:r w:rsidRPr="00E030D4">
        <w:rPr>
          <w:rStyle w:val="EndnoteReference"/>
          <w:vertAlign w:val="superscript"/>
        </w:rPr>
        <w:endnoteReference w:id="11"/>
      </w:r>
      <w:r w:rsidRPr="00AA1A20">
        <w:rPr>
          <w:rFonts w:cs="Open Sans"/>
          <w:lang w:val="en"/>
        </w:rPr>
        <w:t xml:space="preserve"> The </w:t>
      </w:r>
      <w:r>
        <w:rPr>
          <w:rFonts w:cs="Open Sans"/>
          <w:lang w:val="en"/>
        </w:rPr>
        <w:t>Explanatory Memorandum</w:t>
      </w:r>
      <w:r w:rsidRPr="00AA1A20">
        <w:rPr>
          <w:rFonts w:cs="Open Sans"/>
          <w:lang w:val="en"/>
        </w:rPr>
        <w:t xml:space="preserve"> to the Bill states that </w:t>
      </w:r>
      <w:r>
        <w:rPr>
          <w:rFonts w:cs="Open Sans"/>
          <w:lang w:val="en"/>
        </w:rPr>
        <w:t>over 90% of telecommunications information being lawfully intercepted by the Australian Federal Police (AFP) now uses some form of encryption</w:t>
      </w:r>
      <w:r w:rsidRPr="00AA1A20">
        <w:rPr>
          <w:rFonts w:cs="Open Sans"/>
          <w:lang w:val="en"/>
        </w:rPr>
        <w:t>.</w:t>
      </w:r>
      <w:r w:rsidRPr="00E030D4">
        <w:rPr>
          <w:rStyle w:val="EndnoteReference"/>
          <w:vertAlign w:val="superscript"/>
        </w:rPr>
        <w:endnoteReference w:id="12"/>
      </w:r>
      <w:r w:rsidRPr="00AA1A20">
        <w:rPr>
          <w:rFonts w:cs="Open Sans"/>
          <w:lang w:val="en"/>
        </w:rPr>
        <w:t xml:space="preserve"> </w:t>
      </w:r>
    </w:p>
    <w:p w14:paraId="6CFAA4C1" w14:textId="69FA4D85" w:rsidR="002222AF" w:rsidRPr="00AA1A20" w:rsidRDefault="002222AF" w:rsidP="002222AF">
      <w:pPr>
        <w:pStyle w:val="ListNumber"/>
        <w:tabs>
          <w:tab w:val="clear" w:pos="360"/>
          <w:tab w:val="num" w:pos="993"/>
          <w:tab w:val="left" w:pos="1418"/>
        </w:tabs>
        <w:ind w:left="709" w:hanging="567"/>
        <w:rPr>
          <w:rFonts w:cs="Open Sans"/>
          <w:lang w:val="en"/>
        </w:rPr>
      </w:pPr>
      <w:r w:rsidRPr="00AA1A20">
        <w:rPr>
          <w:rFonts w:cs="Open Sans"/>
          <w:lang w:val="en"/>
        </w:rPr>
        <w:t xml:space="preserve">While encryption might hamper law enforcement agencies’ access to some </w:t>
      </w:r>
      <w:r w:rsidR="00573655">
        <w:rPr>
          <w:rFonts w:cs="Open Sans"/>
          <w:lang w:val="en"/>
        </w:rPr>
        <w:t>information</w:t>
      </w:r>
      <w:r w:rsidRPr="00AA1A20">
        <w:rPr>
          <w:rFonts w:cs="Open Sans"/>
          <w:lang w:val="en"/>
        </w:rPr>
        <w:t xml:space="preserve">, the digital era has also fundamentally transformed the ability of investigators to carry out their work. Unencrypted metadata and other such material are now increasingly available as actionable intelligence and evidence that can be used in legal proceedings. Such material can be contrasted with the content of certain communications, such as text messages, which might be encrypted. </w:t>
      </w:r>
    </w:p>
    <w:p w14:paraId="668F71A1"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lang w:val="en"/>
        </w:rPr>
        <w:t>Some experts suggest that, overall, evidence gathering is now more efficient and cost-effective for investigators.</w:t>
      </w:r>
      <w:r w:rsidRPr="00E030D4">
        <w:rPr>
          <w:rStyle w:val="EndnoteReference"/>
          <w:vertAlign w:val="superscript"/>
        </w:rPr>
        <w:endnoteReference w:id="13"/>
      </w:r>
      <w:r w:rsidRPr="00AA1A20">
        <w:rPr>
          <w:rFonts w:cs="Open Sans"/>
          <w:lang w:val="en"/>
        </w:rPr>
        <w:t xml:space="preserve"> This should be kept in mind when considering the appropriateness of particularly intrusive digital law enforcement powers.</w:t>
      </w:r>
    </w:p>
    <w:p w14:paraId="28070E86" w14:textId="16BE9422" w:rsidR="002222AF" w:rsidRPr="00AA1A20" w:rsidRDefault="002222AF" w:rsidP="002222AF">
      <w:pPr>
        <w:pStyle w:val="Header"/>
        <w:rPr>
          <w:rFonts w:cs="Open Sans"/>
        </w:rPr>
      </w:pPr>
      <w:bookmarkStart w:id="96" w:name="_Toc526518379"/>
      <w:bookmarkStart w:id="97" w:name="_Toc527107791"/>
      <w:r w:rsidRPr="00AA1A20">
        <w:rPr>
          <w:rFonts w:cs="Open Sans"/>
        </w:rPr>
        <w:t xml:space="preserve">Summary of </w:t>
      </w:r>
      <w:r w:rsidR="00C34292">
        <w:rPr>
          <w:rFonts w:cs="Open Sans"/>
        </w:rPr>
        <w:t>key</w:t>
      </w:r>
      <w:r w:rsidR="005A0503">
        <w:rPr>
          <w:rFonts w:cs="Open Sans"/>
        </w:rPr>
        <w:t xml:space="preserve"> </w:t>
      </w:r>
      <w:r w:rsidR="00353A9B">
        <w:rPr>
          <w:rFonts w:cs="Open Sans"/>
        </w:rPr>
        <w:t xml:space="preserve">provisions </w:t>
      </w:r>
      <w:r w:rsidR="005A0503">
        <w:rPr>
          <w:rFonts w:cs="Open Sans"/>
        </w:rPr>
        <w:t>and</w:t>
      </w:r>
      <w:r w:rsidR="00C34292">
        <w:rPr>
          <w:rFonts w:cs="Open Sans"/>
        </w:rPr>
        <w:t xml:space="preserve"> </w:t>
      </w:r>
      <w:r w:rsidRPr="00AA1A20">
        <w:rPr>
          <w:rFonts w:cs="Open Sans"/>
        </w:rPr>
        <w:t xml:space="preserve">human rights </w:t>
      </w:r>
      <w:bookmarkEnd w:id="96"/>
      <w:r w:rsidR="00C34292">
        <w:rPr>
          <w:rFonts w:cs="Open Sans"/>
        </w:rPr>
        <w:t>concerns</w:t>
      </w:r>
      <w:bookmarkEnd w:id="97"/>
    </w:p>
    <w:p w14:paraId="37ED5A42" w14:textId="4CD5B220" w:rsidR="00E1343F" w:rsidRPr="00AA1A20" w:rsidRDefault="00E1343F" w:rsidP="00E1343F">
      <w:pPr>
        <w:pStyle w:val="ListNumber"/>
        <w:tabs>
          <w:tab w:val="clear" w:pos="360"/>
          <w:tab w:val="num" w:pos="993"/>
          <w:tab w:val="left" w:pos="1418"/>
        </w:tabs>
        <w:ind w:left="709" w:hanging="567"/>
        <w:rPr>
          <w:rFonts w:cs="Open Sans"/>
        </w:rPr>
      </w:pPr>
      <w:r>
        <w:rPr>
          <w:rFonts w:cs="Open Sans"/>
          <w:lang w:val="en"/>
        </w:rPr>
        <w:t>The Bill will</w:t>
      </w:r>
      <w:r w:rsidRPr="00AA1A20">
        <w:rPr>
          <w:rFonts w:cs="Open Sans"/>
          <w:lang w:val="en"/>
        </w:rPr>
        <w:t xml:space="preserve"> </w:t>
      </w:r>
      <w:r>
        <w:rPr>
          <w:rFonts w:cs="Open Sans"/>
          <w:lang w:val="en"/>
        </w:rPr>
        <w:t>create</w:t>
      </w:r>
      <w:r w:rsidRPr="00AA1A20">
        <w:rPr>
          <w:rFonts w:cs="Open Sans"/>
          <w:lang w:val="en"/>
        </w:rPr>
        <w:t xml:space="preserve"> an assistance and access </w:t>
      </w:r>
      <w:r w:rsidR="000A4DD2">
        <w:rPr>
          <w:rFonts w:cs="Open Sans"/>
          <w:lang w:val="en"/>
        </w:rPr>
        <w:t>scheme</w:t>
      </w:r>
      <w:r w:rsidR="002F6B4C">
        <w:rPr>
          <w:rFonts w:cs="Open Sans"/>
          <w:lang w:val="en"/>
        </w:rPr>
        <w:t xml:space="preserve"> that</w:t>
      </w:r>
      <w:r w:rsidRPr="00AA1A20">
        <w:rPr>
          <w:rFonts w:cs="Open Sans"/>
          <w:lang w:val="en"/>
        </w:rPr>
        <w:t xml:space="preserve"> empower</w:t>
      </w:r>
      <w:r w:rsidR="002F6B4C">
        <w:rPr>
          <w:rFonts w:cs="Open Sans"/>
          <w:lang w:val="en"/>
        </w:rPr>
        <w:t>s</w:t>
      </w:r>
      <w:r w:rsidRPr="00AA1A20">
        <w:rPr>
          <w:rFonts w:cs="Open Sans"/>
          <w:lang w:val="en"/>
        </w:rPr>
        <w:t xml:space="preserve"> certain agencies</w:t>
      </w:r>
      <w:r w:rsidR="002F6B4C">
        <w:rPr>
          <w:rFonts w:cs="Open Sans"/>
          <w:lang w:val="en"/>
        </w:rPr>
        <w:t xml:space="preserve"> </w:t>
      </w:r>
      <w:r w:rsidRPr="00AA1A20">
        <w:rPr>
          <w:rFonts w:cs="Open Sans"/>
          <w:lang w:val="en"/>
        </w:rPr>
        <w:t>to</w:t>
      </w:r>
      <w:r w:rsidR="002F6B4C">
        <w:rPr>
          <w:rFonts w:cs="Open Sans"/>
          <w:lang w:val="en"/>
        </w:rPr>
        <w:t xml:space="preserve"> request or compel </w:t>
      </w:r>
      <w:r w:rsidRPr="00AA1A20">
        <w:rPr>
          <w:rFonts w:cs="Open Sans"/>
          <w:lang w:val="en"/>
        </w:rPr>
        <w:t xml:space="preserve">a </w:t>
      </w:r>
      <w:r>
        <w:rPr>
          <w:rFonts w:cs="Open Sans"/>
          <w:lang w:val="en"/>
        </w:rPr>
        <w:t>‘</w:t>
      </w:r>
      <w:r w:rsidRPr="00AA1A20">
        <w:rPr>
          <w:rFonts w:cs="Open Sans"/>
          <w:lang w:val="en"/>
        </w:rPr>
        <w:t>designated communications provider</w:t>
      </w:r>
      <w:r>
        <w:rPr>
          <w:rFonts w:cs="Open Sans"/>
          <w:lang w:val="en"/>
        </w:rPr>
        <w:t>’</w:t>
      </w:r>
      <w:r w:rsidRPr="00AA1A20">
        <w:rPr>
          <w:rFonts w:cs="Open Sans"/>
          <w:lang w:val="en"/>
        </w:rPr>
        <w:t xml:space="preserve"> </w:t>
      </w:r>
      <w:r w:rsidR="007E0C77">
        <w:rPr>
          <w:rFonts w:cs="Open Sans"/>
          <w:lang w:val="en"/>
        </w:rPr>
        <w:t xml:space="preserve">to </w:t>
      </w:r>
      <w:r w:rsidRPr="00AA1A20">
        <w:rPr>
          <w:rFonts w:cs="Open Sans"/>
          <w:lang w:val="en"/>
        </w:rPr>
        <w:t>provide them with technical assistance.</w:t>
      </w:r>
      <w:r w:rsidRPr="00E030D4">
        <w:rPr>
          <w:rStyle w:val="EndnoteReference"/>
          <w:vertAlign w:val="superscript"/>
        </w:rPr>
        <w:endnoteReference w:id="14"/>
      </w:r>
    </w:p>
    <w:p w14:paraId="52E413B5" w14:textId="5872CFC4" w:rsidR="002222AF" w:rsidRPr="00AA1A20" w:rsidRDefault="00E1343F" w:rsidP="002222AF">
      <w:pPr>
        <w:pStyle w:val="ListNumber"/>
        <w:tabs>
          <w:tab w:val="clear" w:pos="360"/>
          <w:tab w:val="num" w:pos="993"/>
          <w:tab w:val="left" w:pos="1418"/>
        </w:tabs>
        <w:ind w:left="709" w:hanging="567"/>
        <w:rPr>
          <w:rFonts w:cs="Open Sans"/>
        </w:rPr>
      </w:pPr>
      <w:r>
        <w:rPr>
          <w:rFonts w:cs="Open Sans"/>
          <w:lang w:val="en"/>
        </w:rPr>
        <w:t>T</w:t>
      </w:r>
      <w:r w:rsidR="002222AF" w:rsidRPr="00AA1A20">
        <w:rPr>
          <w:rFonts w:cs="Open Sans"/>
          <w:lang w:val="en"/>
        </w:rPr>
        <w:t xml:space="preserve">he </w:t>
      </w:r>
      <w:r w:rsidR="002222AF">
        <w:rPr>
          <w:rFonts w:cs="Open Sans"/>
          <w:lang w:val="en"/>
        </w:rPr>
        <w:t>Bill</w:t>
      </w:r>
      <w:r>
        <w:rPr>
          <w:rFonts w:cs="Open Sans"/>
          <w:lang w:val="en"/>
        </w:rPr>
        <w:t xml:space="preserve"> will also</w:t>
      </w:r>
      <w:r w:rsidR="002222AF" w:rsidRPr="00AA1A20">
        <w:rPr>
          <w:rFonts w:cs="Open Sans"/>
          <w:lang w:val="en"/>
        </w:rPr>
        <w:t xml:space="preserve"> introduce a new computer access warrant regime in the </w:t>
      </w:r>
      <w:r w:rsidR="002222AF" w:rsidRPr="00AA1A20">
        <w:rPr>
          <w:rFonts w:cs="Open Sans"/>
          <w:i/>
          <w:lang w:val="en"/>
        </w:rPr>
        <w:t>Surveillance Devices Act 2004</w:t>
      </w:r>
      <w:r w:rsidR="002222AF" w:rsidRPr="00AA1A20">
        <w:rPr>
          <w:rFonts w:cs="Open Sans"/>
          <w:lang w:val="en"/>
        </w:rPr>
        <w:t xml:space="preserve"> (Cth) (SD Act)</w:t>
      </w:r>
      <w:r w:rsidR="0056102F">
        <w:rPr>
          <w:rFonts w:cs="Open Sans"/>
          <w:lang w:val="en"/>
        </w:rPr>
        <w:t>, which</w:t>
      </w:r>
      <w:r w:rsidR="002222AF" w:rsidRPr="00AA1A20">
        <w:rPr>
          <w:rFonts w:cs="Open Sans"/>
          <w:lang w:val="en"/>
        </w:rPr>
        <w:t xml:space="preserve"> will allow law enforcement agencies to covertly access data on computers, sometimes remotely. </w:t>
      </w:r>
    </w:p>
    <w:p w14:paraId="41135CF3" w14:textId="6BE2DDAF" w:rsidR="002222AF" w:rsidRPr="00AA1A20" w:rsidRDefault="002F6B4C" w:rsidP="002222AF">
      <w:pPr>
        <w:pStyle w:val="ListNumber"/>
        <w:tabs>
          <w:tab w:val="clear" w:pos="360"/>
          <w:tab w:val="num" w:pos="993"/>
          <w:tab w:val="left" w:pos="1418"/>
        </w:tabs>
        <w:ind w:left="709" w:hanging="567"/>
        <w:rPr>
          <w:rFonts w:cs="Open Sans"/>
          <w:lang w:val="en"/>
        </w:rPr>
      </w:pPr>
      <w:r>
        <w:rPr>
          <w:rFonts w:cs="Open Sans"/>
          <w:lang w:val="en"/>
        </w:rPr>
        <w:lastRenderedPageBreak/>
        <w:t>The Commission holds concerns that</w:t>
      </w:r>
      <w:r w:rsidR="007E0C77">
        <w:rPr>
          <w:rFonts w:cs="Open Sans"/>
          <w:lang w:val="en"/>
        </w:rPr>
        <w:t xml:space="preserve"> the</w:t>
      </w:r>
      <w:r>
        <w:rPr>
          <w:rFonts w:cs="Open Sans"/>
          <w:lang w:val="en"/>
        </w:rPr>
        <w:t xml:space="preserve"> </w:t>
      </w:r>
      <w:r w:rsidR="00AB0346">
        <w:rPr>
          <w:rFonts w:cs="Open Sans"/>
          <w:lang w:val="en"/>
        </w:rPr>
        <w:t xml:space="preserve">proposed </w:t>
      </w:r>
      <w:r w:rsidR="007E0C77">
        <w:rPr>
          <w:rFonts w:cs="Open Sans"/>
          <w:lang w:val="en"/>
        </w:rPr>
        <w:t>reforms</w:t>
      </w:r>
      <w:r w:rsidR="00F06B9F">
        <w:rPr>
          <w:rFonts w:cs="Open Sans"/>
          <w:lang w:val="en"/>
        </w:rPr>
        <w:t xml:space="preserve"> </w:t>
      </w:r>
      <w:r w:rsidR="004A2F35">
        <w:rPr>
          <w:rFonts w:cs="Open Sans"/>
          <w:lang w:val="en"/>
        </w:rPr>
        <w:t>permit</w:t>
      </w:r>
      <w:r>
        <w:rPr>
          <w:rFonts w:cs="Open Sans"/>
          <w:lang w:val="en"/>
        </w:rPr>
        <w:t xml:space="preserve"> significant limitations</w:t>
      </w:r>
      <w:r w:rsidR="004A2F35">
        <w:rPr>
          <w:rFonts w:cs="Open Sans"/>
          <w:lang w:val="en"/>
        </w:rPr>
        <w:t xml:space="preserve"> on human rights</w:t>
      </w:r>
      <w:r w:rsidR="00F06B9F">
        <w:rPr>
          <w:rFonts w:cs="Open Sans"/>
          <w:lang w:val="en"/>
        </w:rPr>
        <w:t xml:space="preserve">, </w:t>
      </w:r>
      <w:r w:rsidR="00F06B9F" w:rsidRPr="00AA1A20">
        <w:rPr>
          <w:rFonts w:cs="Open Sans"/>
          <w:lang w:val="en"/>
        </w:rPr>
        <w:t xml:space="preserve">in particular </w:t>
      </w:r>
      <w:r w:rsidR="002D5799">
        <w:rPr>
          <w:rFonts w:cs="Open Sans"/>
          <w:lang w:val="en"/>
        </w:rPr>
        <w:t>the</w:t>
      </w:r>
      <w:r w:rsidR="003E1A7C">
        <w:rPr>
          <w:rFonts w:cs="Open Sans"/>
          <w:lang w:val="en"/>
        </w:rPr>
        <w:t xml:space="preserve"> </w:t>
      </w:r>
      <w:r w:rsidR="00F06B9F" w:rsidRPr="00AA1A20">
        <w:rPr>
          <w:rFonts w:cs="Open Sans"/>
          <w:lang w:val="en"/>
        </w:rPr>
        <w:t>rights to privacy</w:t>
      </w:r>
      <w:r w:rsidR="00AB0346">
        <w:rPr>
          <w:rFonts w:cs="Open Sans"/>
          <w:lang w:val="en"/>
        </w:rPr>
        <w:t xml:space="preserve"> and </w:t>
      </w:r>
      <w:r w:rsidR="00AB0346" w:rsidRPr="00AA1A20">
        <w:rPr>
          <w:rFonts w:cs="Open Sans"/>
          <w:lang w:val="en"/>
        </w:rPr>
        <w:t>freedom of expression</w:t>
      </w:r>
      <w:r w:rsidR="00F06B9F">
        <w:rPr>
          <w:rFonts w:cs="Open Sans"/>
          <w:lang w:val="en"/>
        </w:rPr>
        <w:t>,</w:t>
      </w:r>
      <w:r>
        <w:rPr>
          <w:rFonts w:cs="Open Sans"/>
          <w:lang w:val="en"/>
        </w:rPr>
        <w:t xml:space="preserve"> </w:t>
      </w:r>
      <w:r w:rsidR="00F06B9F">
        <w:rPr>
          <w:rFonts w:cs="Open Sans"/>
          <w:lang w:val="en"/>
        </w:rPr>
        <w:t>in a manner that is not a necessary and proportionate response to legitimate law enforcement objectives.</w:t>
      </w:r>
      <w:r w:rsidR="002222AF" w:rsidRPr="00AA1A20">
        <w:rPr>
          <w:rFonts w:cs="Open Sans"/>
          <w:lang w:val="en"/>
        </w:rPr>
        <w:t xml:space="preserve"> </w:t>
      </w:r>
    </w:p>
    <w:p w14:paraId="1EE1AE9F" w14:textId="3C34F152" w:rsidR="002222AF" w:rsidRDefault="002222AF" w:rsidP="002222AF">
      <w:pPr>
        <w:pStyle w:val="ListNumber"/>
        <w:tabs>
          <w:tab w:val="clear" w:pos="360"/>
          <w:tab w:val="num" w:pos="993"/>
          <w:tab w:val="left" w:pos="1418"/>
        </w:tabs>
        <w:ind w:left="709" w:hanging="567"/>
        <w:rPr>
          <w:rFonts w:cs="Open Sans"/>
          <w:lang w:val="en"/>
        </w:rPr>
      </w:pPr>
      <w:r w:rsidRPr="00AA1A20">
        <w:rPr>
          <w:rFonts w:cs="Open Sans"/>
          <w:lang w:val="en"/>
        </w:rPr>
        <w:t xml:space="preserve">Any improved ability of the </w:t>
      </w:r>
      <w:r w:rsidR="00896BB0">
        <w:rPr>
          <w:rFonts w:cs="Open Sans"/>
          <w:lang w:val="en"/>
        </w:rPr>
        <w:t>g</w:t>
      </w:r>
      <w:r w:rsidR="00896BB0" w:rsidRPr="00AA1A20">
        <w:rPr>
          <w:rFonts w:cs="Open Sans"/>
          <w:lang w:val="en"/>
        </w:rPr>
        <w:t xml:space="preserve">overnment </w:t>
      </w:r>
      <w:r w:rsidRPr="00AA1A20">
        <w:rPr>
          <w:rFonts w:cs="Open Sans"/>
          <w:lang w:val="en"/>
        </w:rPr>
        <w:t xml:space="preserve">to conduct digital surveillance, intercept digital communications and </w:t>
      </w:r>
      <w:r>
        <w:rPr>
          <w:rFonts w:cs="Open Sans"/>
          <w:lang w:val="en"/>
        </w:rPr>
        <w:t>access</w:t>
      </w:r>
      <w:r w:rsidRPr="00AA1A20">
        <w:rPr>
          <w:rFonts w:cs="Open Sans"/>
          <w:lang w:val="en"/>
        </w:rPr>
        <w:t xml:space="preserve"> personal </w:t>
      </w:r>
      <w:r>
        <w:rPr>
          <w:rFonts w:cs="Open Sans"/>
          <w:lang w:val="en"/>
        </w:rPr>
        <w:t xml:space="preserve">information </w:t>
      </w:r>
      <w:r w:rsidR="002D5799">
        <w:rPr>
          <w:rFonts w:cs="Open Sans"/>
          <w:lang w:val="en"/>
        </w:rPr>
        <w:t>or</w:t>
      </w:r>
      <w:r>
        <w:rPr>
          <w:rFonts w:cs="Open Sans"/>
          <w:lang w:val="en"/>
        </w:rPr>
        <w:t xml:space="preserve"> </w:t>
      </w:r>
      <w:r w:rsidRPr="00AA1A20">
        <w:rPr>
          <w:rFonts w:cs="Open Sans"/>
          <w:lang w:val="en"/>
        </w:rPr>
        <w:t>data in a manner that is disproportionate or unnecessary to a legitimate objective</w:t>
      </w:r>
      <w:r w:rsidR="00F06B9F">
        <w:rPr>
          <w:rFonts w:cs="Open Sans"/>
          <w:lang w:val="en"/>
        </w:rPr>
        <w:t xml:space="preserve"> further</w:t>
      </w:r>
      <w:r w:rsidRPr="00AA1A20">
        <w:rPr>
          <w:rFonts w:cs="Open Sans"/>
          <w:lang w:val="en"/>
        </w:rPr>
        <w:t xml:space="preserve"> risks a ‘chilling effect’ on the enjoyment of human rights.</w:t>
      </w:r>
      <w:r w:rsidRPr="00AA1A20">
        <w:rPr>
          <w:rFonts w:cs="Open Sans"/>
          <w:highlight w:val="yellow"/>
          <w:lang w:val="en"/>
        </w:rPr>
        <w:t xml:space="preserve"> </w:t>
      </w:r>
    </w:p>
    <w:p w14:paraId="09334853" w14:textId="046D9059" w:rsidR="00353A9B" w:rsidRDefault="00353A9B" w:rsidP="00353A9B">
      <w:pPr>
        <w:pStyle w:val="ListNumber"/>
        <w:tabs>
          <w:tab w:val="clear" w:pos="360"/>
          <w:tab w:val="num" w:pos="993"/>
          <w:tab w:val="left" w:pos="1418"/>
        </w:tabs>
        <w:ind w:left="709" w:hanging="567"/>
        <w:rPr>
          <w:rFonts w:cs="Open Sans"/>
          <w:lang w:val="en"/>
        </w:rPr>
      </w:pPr>
      <w:r w:rsidRPr="00353A9B">
        <w:rPr>
          <w:rFonts w:cs="Open Sans"/>
          <w:lang w:val="en"/>
        </w:rPr>
        <w:t xml:space="preserve">Part 3 of this submission considers the ways that digital law enforcement, including the existence and use of powers </w:t>
      </w:r>
      <w:r w:rsidR="007F6541">
        <w:rPr>
          <w:rFonts w:cs="Open Sans"/>
          <w:lang w:val="en"/>
        </w:rPr>
        <w:t>that</w:t>
      </w:r>
      <w:r w:rsidRPr="00353A9B">
        <w:rPr>
          <w:rFonts w:cs="Open Sans"/>
          <w:lang w:val="en"/>
        </w:rPr>
        <w:t xml:space="preserve"> enable agencies to access </w:t>
      </w:r>
      <w:r w:rsidR="00BD3DD4">
        <w:rPr>
          <w:rFonts w:cs="Open Sans"/>
          <w:lang w:val="en"/>
        </w:rPr>
        <w:t xml:space="preserve">encrypted </w:t>
      </w:r>
      <w:r w:rsidRPr="00353A9B">
        <w:rPr>
          <w:rFonts w:cs="Open Sans"/>
          <w:lang w:val="en"/>
        </w:rPr>
        <w:t>devices and information, can limit human rights. It also discusses the requirements that must be met before these limits can be justified</w:t>
      </w:r>
      <w:r>
        <w:rPr>
          <w:rFonts w:cs="Open Sans"/>
          <w:lang w:val="en"/>
        </w:rPr>
        <w:t>.</w:t>
      </w:r>
    </w:p>
    <w:p w14:paraId="60FB8701" w14:textId="09586FA8" w:rsidR="007E0C77" w:rsidRPr="007E0C77" w:rsidRDefault="007E0C77" w:rsidP="00353A9B">
      <w:pPr>
        <w:pStyle w:val="ListNumber"/>
        <w:tabs>
          <w:tab w:val="clear" w:pos="360"/>
          <w:tab w:val="num" w:pos="993"/>
          <w:tab w:val="left" w:pos="1418"/>
        </w:tabs>
        <w:ind w:left="709" w:hanging="567"/>
        <w:rPr>
          <w:rFonts w:cs="Open Sans"/>
          <w:lang w:val="en"/>
        </w:rPr>
      </w:pPr>
      <w:r>
        <w:rPr>
          <w:rFonts w:cs="Open Sans"/>
          <w:lang w:val="en"/>
        </w:rPr>
        <w:t>Part 4 of this submission summarises the key reforms proposed in Sch</w:t>
      </w:r>
      <w:r w:rsidR="00927A73">
        <w:rPr>
          <w:rFonts w:cs="Open Sans"/>
          <w:lang w:val="en"/>
        </w:rPr>
        <w:t>edule</w:t>
      </w:r>
      <w:r>
        <w:rPr>
          <w:rFonts w:cs="Open Sans"/>
          <w:lang w:val="en"/>
        </w:rPr>
        <w:t> 1 of the Bill (the</w:t>
      </w:r>
      <w:r w:rsidRPr="007E0C77">
        <w:rPr>
          <w:rFonts w:cs="Open Sans"/>
          <w:lang w:val="en"/>
        </w:rPr>
        <w:t xml:space="preserve"> assistance </w:t>
      </w:r>
      <w:r w:rsidR="000A4DD2">
        <w:rPr>
          <w:rFonts w:cs="Open Sans"/>
          <w:lang w:val="en"/>
        </w:rPr>
        <w:t>scheme</w:t>
      </w:r>
      <w:r>
        <w:rPr>
          <w:rFonts w:cs="Open Sans"/>
          <w:lang w:val="en"/>
        </w:rPr>
        <w:t>) and Sch</w:t>
      </w:r>
      <w:r w:rsidR="00927A73">
        <w:rPr>
          <w:rFonts w:cs="Open Sans"/>
          <w:lang w:val="en"/>
        </w:rPr>
        <w:t>edule</w:t>
      </w:r>
      <w:r>
        <w:rPr>
          <w:rFonts w:cs="Open Sans"/>
          <w:lang w:val="en"/>
        </w:rPr>
        <w:t xml:space="preserve">s 2–5 </w:t>
      </w:r>
      <w:r w:rsidR="004A2F35">
        <w:rPr>
          <w:rFonts w:cs="Open Sans"/>
          <w:lang w:val="en"/>
        </w:rPr>
        <w:t xml:space="preserve">of the Bill </w:t>
      </w:r>
      <w:r>
        <w:rPr>
          <w:rFonts w:cs="Open Sans"/>
          <w:lang w:val="en"/>
        </w:rPr>
        <w:t xml:space="preserve">(in relation to </w:t>
      </w:r>
      <w:r w:rsidR="00AB0346">
        <w:rPr>
          <w:rFonts w:cs="Open Sans"/>
          <w:lang w:val="en"/>
        </w:rPr>
        <w:t xml:space="preserve">new </w:t>
      </w:r>
      <w:r>
        <w:rPr>
          <w:rFonts w:cs="Open Sans"/>
          <w:lang w:val="en"/>
        </w:rPr>
        <w:t>warrant and other powers).</w:t>
      </w:r>
    </w:p>
    <w:p w14:paraId="7840891F" w14:textId="0869FD87" w:rsidR="00353A9B" w:rsidRDefault="00353A9B" w:rsidP="00353A9B">
      <w:pPr>
        <w:pStyle w:val="ListNumber"/>
        <w:tabs>
          <w:tab w:val="clear" w:pos="360"/>
          <w:tab w:val="num" w:pos="993"/>
          <w:tab w:val="left" w:pos="1418"/>
        </w:tabs>
        <w:ind w:left="709" w:hanging="567"/>
        <w:rPr>
          <w:rFonts w:cs="Open Sans"/>
          <w:lang w:val="en"/>
        </w:rPr>
      </w:pPr>
      <w:r w:rsidRPr="00353A9B">
        <w:rPr>
          <w:rFonts w:cs="Open Sans"/>
          <w:lang w:val="en"/>
        </w:rPr>
        <w:t>Part 5 of this submission analyses the key human rights issues the Commission has identified with respect to the assistance scheme i</w:t>
      </w:r>
      <w:r w:rsidR="007F6541">
        <w:rPr>
          <w:rFonts w:cs="Open Sans"/>
          <w:lang w:val="en"/>
        </w:rPr>
        <w:t>n proposed Sch</w:t>
      </w:r>
      <w:r w:rsidR="00927A73">
        <w:rPr>
          <w:rFonts w:cs="Open Sans"/>
          <w:lang w:val="en"/>
        </w:rPr>
        <w:t>edule</w:t>
      </w:r>
      <w:r w:rsidR="007F6541">
        <w:rPr>
          <w:rFonts w:cs="Open Sans"/>
          <w:lang w:val="en"/>
        </w:rPr>
        <w:t xml:space="preserve"> 1. These include: the broad scope of the scheme;</w:t>
      </w:r>
      <w:r w:rsidRPr="00353A9B">
        <w:rPr>
          <w:rFonts w:cs="Open Sans"/>
          <w:lang w:val="en"/>
        </w:rPr>
        <w:t xml:space="preserve"> the ambiguity of the prohibition on requiring the development of</w:t>
      </w:r>
      <w:r w:rsidR="00063A82">
        <w:rPr>
          <w:rFonts w:cs="Open Sans"/>
          <w:lang w:val="en"/>
        </w:rPr>
        <w:t xml:space="preserve"> a systemic weakness or vulnerability</w:t>
      </w:r>
      <w:r w:rsidR="007F6541">
        <w:rPr>
          <w:rFonts w:cs="Open Sans"/>
          <w:lang w:val="en"/>
        </w:rPr>
        <w:t xml:space="preserve"> found in s 317ZG of the Bill;</w:t>
      </w:r>
      <w:r w:rsidRPr="00353A9B">
        <w:rPr>
          <w:rFonts w:cs="Open Sans"/>
          <w:lang w:val="en"/>
        </w:rPr>
        <w:t xml:space="preserve"> the lack of clarity as to how the scheme will i</w:t>
      </w:r>
      <w:r w:rsidR="007F6541">
        <w:rPr>
          <w:rFonts w:cs="Open Sans"/>
          <w:lang w:val="en"/>
        </w:rPr>
        <w:t>nteract with warrant provisions;</w:t>
      </w:r>
      <w:r w:rsidRPr="00353A9B">
        <w:rPr>
          <w:rFonts w:cs="Open Sans"/>
          <w:lang w:val="en"/>
        </w:rPr>
        <w:t xml:space="preserve"> the wide scope of civil</w:t>
      </w:r>
      <w:r w:rsidR="007F6541">
        <w:rPr>
          <w:rFonts w:cs="Open Sans"/>
          <w:lang w:val="en"/>
        </w:rPr>
        <w:t xml:space="preserve"> immunity afforded to providers;</w:t>
      </w:r>
      <w:r w:rsidRPr="00353A9B">
        <w:rPr>
          <w:rFonts w:cs="Open Sans"/>
          <w:lang w:val="en"/>
        </w:rPr>
        <w:t xml:space="preserve"> the broad secrecy obligations</w:t>
      </w:r>
      <w:r w:rsidR="007F6541">
        <w:rPr>
          <w:rFonts w:cs="Open Sans"/>
          <w:lang w:val="en"/>
        </w:rPr>
        <w:t>;</w:t>
      </w:r>
      <w:r w:rsidRPr="00353A9B">
        <w:rPr>
          <w:rFonts w:cs="Open Sans"/>
          <w:lang w:val="en"/>
        </w:rPr>
        <w:t xml:space="preserve"> and the inadequacy of the proposed safeguards</w:t>
      </w:r>
      <w:r>
        <w:rPr>
          <w:rFonts w:cs="Open Sans"/>
          <w:lang w:val="en"/>
        </w:rPr>
        <w:t>.</w:t>
      </w:r>
    </w:p>
    <w:p w14:paraId="5944EEAD" w14:textId="2FB4A5ED" w:rsidR="00353A9B" w:rsidRPr="005D5E9B" w:rsidRDefault="00353A9B" w:rsidP="00353A9B">
      <w:pPr>
        <w:pStyle w:val="ListNumber"/>
        <w:tabs>
          <w:tab w:val="clear" w:pos="360"/>
          <w:tab w:val="num" w:pos="993"/>
          <w:tab w:val="left" w:pos="1418"/>
        </w:tabs>
        <w:ind w:left="709" w:hanging="567"/>
        <w:rPr>
          <w:rFonts w:cs="Open Sans"/>
          <w:lang w:val="en"/>
        </w:rPr>
      </w:pPr>
      <w:r>
        <w:rPr>
          <w:rFonts w:cs="Open Sans"/>
          <w:lang w:val="en"/>
        </w:rPr>
        <w:t xml:space="preserve">Part 6 of this submission </w:t>
      </w:r>
      <w:r w:rsidRPr="005D5E9B">
        <w:rPr>
          <w:rFonts w:cs="Open Sans"/>
          <w:lang w:val="en"/>
        </w:rPr>
        <w:t xml:space="preserve">analyses the key human rights issues </w:t>
      </w:r>
      <w:r>
        <w:rPr>
          <w:rFonts w:cs="Open Sans"/>
          <w:lang w:val="en"/>
        </w:rPr>
        <w:t>identified with respect to the warrant and other powers in prop</w:t>
      </w:r>
      <w:r w:rsidR="007F6541">
        <w:rPr>
          <w:rFonts w:cs="Open Sans"/>
          <w:lang w:val="en"/>
        </w:rPr>
        <w:t>osed Sch</w:t>
      </w:r>
      <w:r w:rsidR="00372D72">
        <w:rPr>
          <w:rFonts w:cs="Open Sans"/>
          <w:lang w:val="en"/>
        </w:rPr>
        <w:t>edule</w:t>
      </w:r>
      <w:r w:rsidR="007F6541">
        <w:rPr>
          <w:rFonts w:cs="Open Sans"/>
          <w:lang w:val="en"/>
        </w:rPr>
        <w:t xml:space="preserve">s 2–5. These include: </w:t>
      </w:r>
      <w:r>
        <w:rPr>
          <w:rFonts w:cs="Open Sans"/>
          <w:lang w:val="en"/>
        </w:rPr>
        <w:t>the</w:t>
      </w:r>
      <w:r w:rsidR="007F6541">
        <w:rPr>
          <w:rFonts w:cs="Open Sans"/>
          <w:lang w:val="en"/>
        </w:rPr>
        <w:t xml:space="preserve"> computer access warrant regime;</w:t>
      </w:r>
      <w:r>
        <w:rPr>
          <w:rFonts w:cs="Open Sans"/>
          <w:lang w:val="en"/>
        </w:rPr>
        <w:t xml:space="preserve"> ancillary interception powers</w:t>
      </w:r>
      <w:r w:rsidR="007F6541">
        <w:rPr>
          <w:rFonts w:cs="Open Sans"/>
          <w:lang w:val="en"/>
        </w:rPr>
        <w:t>;</w:t>
      </w:r>
      <w:r>
        <w:rPr>
          <w:rFonts w:cs="Open Sans"/>
          <w:lang w:val="en"/>
        </w:rPr>
        <w:t xml:space="preserve"> the ability for ASIO to use fo</w:t>
      </w:r>
      <w:r w:rsidR="007F6541">
        <w:rPr>
          <w:rFonts w:cs="Open Sans"/>
          <w:lang w:val="en"/>
        </w:rPr>
        <w:t>rce in relation to interception;</w:t>
      </w:r>
      <w:r>
        <w:rPr>
          <w:rFonts w:cs="Open Sans"/>
          <w:lang w:val="en"/>
        </w:rPr>
        <w:t xml:space="preserve"> the scope of assistance order powers</w:t>
      </w:r>
      <w:r w:rsidR="007F6541">
        <w:rPr>
          <w:rFonts w:cs="Open Sans"/>
          <w:lang w:val="en"/>
        </w:rPr>
        <w:t>;</w:t>
      </w:r>
      <w:r>
        <w:rPr>
          <w:rFonts w:cs="Open Sans"/>
          <w:lang w:val="en"/>
        </w:rPr>
        <w:t xml:space="preserve"> and the immunities attaching to voluntary assistance provided to ASIO.</w:t>
      </w:r>
    </w:p>
    <w:p w14:paraId="52F4C328" w14:textId="55C10615" w:rsidR="002222AF" w:rsidRPr="00AA1A20" w:rsidRDefault="00E1343F" w:rsidP="002222AF">
      <w:pPr>
        <w:pStyle w:val="ListNumber"/>
        <w:tabs>
          <w:tab w:val="clear" w:pos="360"/>
          <w:tab w:val="num" w:pos="993"/>
          <w:tab w:val="left" w:pos="1418"/>
        </w:tabs>
        <w:ind w:left="709" w:hanging="567"/>
        <w:rPr>
          <w:rFonts w:cs="Open Sans"/>
        </w:rPr>
      </w:pPr>
      <w:r>
        <w:rPr>
          <w:rFonts w:cs="Open Sans"/>
        </w:rPr>
        <w:t>Overall, t</w:t>
      </w:r>
      <w:r w:rsidR="002222AF" w:rsidRPr="00AA1A20">
        <w:rPr>
          <w:rFonts w:cs="Open Sans"/>
        </w:rPr>
        <w:t xml:space="preserve">he Commission considers that further consideration and refinement of the </w:t>
      </w:r>
      <w:r w:rsidR="002222AF">
        <w:rPr>
          <w:rFonts w:cs="Open Sans"/>
        </w:rPr>
        <w:t>Bill</w:t>
      </w:r>
      <w:r w:rsidR="002222AF" w:rsidRPr="00AA1A20">
        <w:rPr>
          <w:rFonts w:cs="Open Sans"/>
        </w:rPr>
        <w:t xml:space="preserve"> are required to ensure its compatibility with human rights. </w:t>
      </w:r>
    </w:p>
    <w:p w14:paraId="12EFB49E" w14:textId="77777777" w:rsidR="002222AF" w:rsidRPr="00AA1A20" w:rsidRDefault="002222AF" w:rsidP="0061758B">
      <w:pPr>
        <w:pStyle w:val="ListNumber"/>
        <w:keepNext/>
        <w:numPr>
          <w:ilvl w:val="0"/>
          <w:numId w:val="0"/>
        </w:numPr>
        <w:tabs>
          <w:tab w:val="left" w:pos="1418"/>
        </w:tabs>
        <w:ind w:left="709"/>
        <w:rPr>
          <w:rFonts w:cs="Open Sans"/>
          <w:b/>
        </w:rPr>
      </w:pPr>
      <w:r w:rsidRPr="00AA1A20">
        <w:rPr>
          <w:rFonts w:cs="Open Sans"/>
          <w:b/>
        </w:rPr>
        <w:t>Recommendation 1</w:t>
      </w:r>
    </w:p>
    <w:p w14:paraId="10F0D822" w14:textId="2AFC3CD3" w:rsidR="002222AF" w:rsidRPr="00AA1A20" w:rsidRDefault="002222AF" w:rsidP="00C80407">
      <w:pPr>
        <w:pStyle w:val="ListNumber"/>
        <w:numPr>
          <w:ilvl w:val="0"/>
          <w:numId w:val="0"/>
        </w:numPr>
        <w:tabs>
          <w:tab w:val="left" w:pos="1418"/>
        </w:tabs>
        <w:ind w:left="709"/>
        <w:rPr>
          <w:rFonts w:cs="Open Sans"/>
          <w:b/>
        </w:rPr>
      </w:pPr>
      <w:r w:rsidRPr="00AA1A20">
        <w:rPr>
          <w:rFonts w:cs="Open Sans"/>
        </w:rPr>
        <w:t xml:space="preserve">The Australian Government ensure that adequate time is afforded for public consultation, review and reform of the </w:t>
      </w:r>
      <w:r>
        <w:rPr>
          <w:rFonts w:cs="Open Sans"/>
        </w:rPr>
        <w:t>Bill</w:t>
      </w:r>
      <w:r w:rsidRPr="00AA1A20">
        <w:rPr>
          <w:rFonts w:cs="Open Sans"/>
        </w:rPr>
        <w:t>, to enhance human rights compatibility.</w:t>
      </w:r>
    </w:p>
    <w:p w14:paraId="02A055D0" w14:textId="77777777" w:rsidR="002222AF" w:rsidRPr="00AA1A20" w:rsidRDefault="002222AF" w:rsidP="002222AF">
      <w:pPr>
        <w:pStyle w:val="Heading1"/>
        <w:tabs>
          <w:tab w:val="clear" w:pos="851"/>
          <w:tab w:val="num" w:pos="1418"/>
        </w:tabs>
        <w:rPr>
          <w:rFonts w:cs="Open Sans"/>
        </w:rPr>
      </w:pPr>
      <w:bookmarkStart w:id="98" w:name="_Toc526518380"/>
      <w:bookmarkStart w:id="99" w:name="_Toc527107792"/>
      <w:r w:rsidRPr="00AA1A20">
        <w:rPr>
          <w:rFonts w:cs="Open Sans"/>
        </w:rPr>
        <w:lastRenderedPageBreak/>
        <w:t>Human rights and digital law enforcement</w:t>
      </w:r>
      <w:bookmarkEnd w:id="98"/>
      <w:bookmarkEnd w:id="99"/>
    </w:p>
    <w:p w14:paraId="5C08CEA6" w14:textId="727ED321"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As a party to the ICCPR and other international human rights treaties, Australia has undertaken to comply with their provisions in good faith and </w:t>
      </w:r>
      <w:r w:rsidR="000D5890">
        <w:rPr>
          <w:rFonts w:cs="Open Sans"/>
        </w:rPr>
        <w:t xml:space="preserve">to </w:t>
      </w:r>
      <w:r w:rsidRPr="00AA1A20">
        <w:rPr>
          <w:rFonts w:cs="Open Sans"/>
        </w:rPr>
        <w:t>take necessary steps to give effect to those treaties under domestic law.</w:t>
      </w:r>
    </w:p>
    <w:p w14:paraId="58EC9816" w14:textId="69132779"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Articles 17 and 19 of the ICCPR enumerate Australia’s </w:t>
      </w:r>
      <w:r w:rsidR="00017D50">
        <w:rPr>
          <w:rFonts w:cs="Open Sans"/>
        </w:rPr>
        <w:t>commitments</w:t>
      </w:r>
      <w:r w:rsidR="00017D50" w:rsidRPr="00AA1A20">
        <w:rPr>
          <w:rFonts w:cs="Open Sans"/>
        </w:rPr>
        <w:t xml:space="preserve"> </w:t>
      </w:r>
      <w:r w:rsidRPr="00AA1A20">
        <w:rPr>
          <w:rFonts w:cs="Open Sans"/>
        </w:rPr>
        <w:t>to protect, respect and fulfil the right to privacy and the right to freedom of expression. These rights are related and mutually reinforcing—</w:t>
      </w:r>
      <w:r w:rsidR="00BD544D">
        <w:rPr>
          <w:rFonts w:cs="Open Sans"/>
        </w:rPr>
        <w:t xml:space="preserve">for instance, </w:t>
      </w:r>
      <w:r w:rsidRPr="00AA1A20">
        <w:rPr>
          <w:rFonts w:cs="Open Sans"/>
        </w:rPr>
        <w:t>an individual’s privacy facilitates their freedom of expression.</w:t>
      </w:r>
      <w:r w:rsidRPr="0029322D">
        <w:rPr>
          <w:rStyle w:val="EndnoteReference"/>
          <w:vertAlign w:val="superscript"/>
        </w:rPr>
        <w:endnoteReference w:id="15"/>
      </w:r>
      <w:r w:rsidRPr="00AA1A20">
        <w:rPr>
          <w:rFonts w:cs="Open Sans"/>
        </w:rPr>
        <w:t xml:space="preserve"> </w:t>
      </w:r>
    </w:p>
    <w:p w14:paraId="07937669" w14:textId="22186179"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w:t>
      </w:r>
      <w:r>
        <w:rPr>
          <w:rFonts w:cs="Open Sans"/>
        </w:rPr>
        <w:t>Bill</w:t>
      </w:r>
      <w:r w:rsidRPr="00AA1A20">
        <w:rPr>
          <w:rFonts w:cs="Open Sans"/>
        </w:rPr>
        <w:t xml:space="preserve"> create</w:t>
      </w:r>
      <w:r>
        <w:rPr>
          <w:rFonts w:cs="Open Sans"/>
        </w:rPr>
        <w:t>s</w:t>
      </w:r>
      <w:r w:rsidRPr="00AA1A20">
        <w:rPr>
          <w:rFonts w:cs="Open Sans"/>
        </w:rPr>
        <w:t xml:space="preserve"> broad new powers </w:t>
      </w:r>
      <w:r w:rsidR="00DC1D8E">
        <w:rPr>
          <w:rFonts w:cs="Open Sans"/>
        </w:rPr>
        <w:t xml:space="preserve">that would </w:t>
      </w:r>
      <w:r w:rsidRPr="00AA1A20">
        <w:rPr>
          <w:rFonts w:cs="Open Sans"/>
        </w:rPr>
        <w:t>enabl</w:t>
      </w:r>
      <w:r w:rsidR="00DC1D8E">
        <w:rPr>
          <w:rFonts w:cs="Open Sans"/>
        </w:rPr>
        <w:t>e</w:t>
      </w:r>
      <w:r w:rsidRPr="00AA1A20">
        <w:rPr>
          <w:rFonts w:cs="Open Sans"/>
        </w:rPr>
        <w:t xml:space="preserve"> government agencies to gain access to information that would otherwise remain private—for example, by virtue of encryption.</w:t>
      </w:r>
      <w:r w:rsidRPr="0029322D">
        <w:rPr>
          <w:rStyle w:val="EndnoteReference"/>
          <w:vertAlign w:val="superscript"/>
        </w:rPr>
        <w:endnoteReference w:id="16"/>
      </w:r>
    </w:p>
    <w:p w14:paraId="3F325BA2"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UN Office of the High Commissioner for Human Rights (OHCHR) has highlighted the fundamental importance, universal recognition and enduring relevance of the right to privacy, and the importance of ensuring proper safeguards in both law and practice.</w:t>
      </w:r>
      <w:r w:rsidRPr="00AA1A20">
        <w:rPr>
          <w:rFonts w:cs="Open Sans"/>
          <w:vertAlign w:val="superscript"/>
        </w:rPr>
        <w:endnoteReference w:id="17"/>
      </w:r>
    </w:p>
    <w:p w14:paraId="09F22641" w14:textId="61F40663"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right to freedom of expression and freedom of opinion have been described by the UN Human Rights Committee (HR Committee)</w:t>
      </w:r>
      <w:r w:rsidR="0025478F">
        <w:rPr>
          <w:rFonts w:cs="Open Sans"/>
        </w:rPr>
        <w:t>, the body of independent experts that monitors implementation of the ICCPR,</w:t>
      </w:r>
      <w:r w:rsidRPr="00AA1A20">
        <w:rPr>
          <w:rFonts w:cs="Open Sans"/>
        </w:rPr>
        <w:t xml:space="preserve"> as ‘indispensable conditions for the full development of the person’, ‘essential for any society’ and a ‘foundation stone for every free and democratic society’.</w:t>
      </w:r>
      <w:r w:rsidRPr="0029322D">
        <w:rPr>
          <w:rStyle w:val="EndnoteReference"/>
          <w:vertAlign w:val="superscript"/>
        </w:rPr>
        <w:endnoteReference w:id="18"/>
      </w:r>
      <w:r w:rsidRPr="00AA1A20">
        <w:rPr>
          <w:rFonts w:cs="Open Sans"/>
        </w:rPr>
        <w:t xml:space="preserve"> </w:t>
      </w:r>
    </w:p>
    <w:p w14:paraId="29B23B45"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These rights are also an essential precondition for the proper protection of</w:t>
      </w:r>
      <w:r w:rsidRPr="00AA1A20">
        <w:rPr>
          <w:rFonts w:cs="Open Sans"/>
          <w:i/>
        </w:rPr>
        <w:t xml:space="preserve"> all</w:t>
      </w:r>
      <w:r w:rsidRPr="00AA1A20">
        <w:rPr>
          <w:rFonts w:cs="Open Sans"/>
        </w:rPr>
        <w:t xml:space="preserve"> human rights,</w:t>
      </w:r>
      <w:r w:rsidRPr="00AA1A20">
        <w:rPr>
          <w:rFonts w:cs="Open Sans"/>
          <w:vertAlign w:val="superscript"/>
        </w:rPr>
        <w:endnoteReference w:id="19"/>
      </w:r>
      <w:r w:rsidRPr="00AA1A20">
        <w:rPr>
          <w:rFonts w:cs="Open Sans"/>
        </w:rPr>
        <w:t xml:space="preserve"> as well as the robust and representative nature of Australian democracy. </w:t>
      </w:r>
    </w:p>
    <w:p w14:paraId="35988DA0"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By allowing individuals to monitor, discuss and expose the human rights abuses of governments and other actors, the right to freedom of expression is integral to ‘the realisation of the principles of transparency and accountability’.</w:t>
      </w:r>
      <w:r w:rsidRPr="0029322D">
        <w:rPr>
          <w:rStyle w:val="EndnoteReference"/>
          <w:vertAlign w:val="superscript"/>
        </w:rPr>
        <w:endnoteReference w:id="20"/>
      </w:r>
      <w:r w:rsidRPr="00AA1A20">
        <w:rPr>
          <w:rFonts w:cs="Open Sans"/>
        </w:rPr>
        <w:t xml:space="preserve"> It is also necessary for the effective exercise of the right to vote.</w:t>
      </w:r>
      <w:r w:rsidRPr="0029322D">
        <w:rPr>
          <w:rStyle w:val="EndnoteReference"/>
          <w:vertAlign w:val="superscript"/>
        </w:rPr>
        <w:endnoteReference w:id="21"/>
      </w:r>
    </w:p>
    <w:p w14:paraId="53B374B5" w14:textId="1EDE309D" w:rsidR="002222AF" w:rsidRPr="00DC1D8E" w:rsidRDefault="002222AF" w:rsidP="00DC1D8E">
      <w:pPr>
        <w:pStyle w:val="ListNumber"/>
        <w:tabs>
          <w:tab w:val="clear" w:pos="360"/>
          <w:tab w:val="num" w:pos="993"/>
          <w:tab w:val="left" w:pos="1418"/>
        </w:tabs>
        <w:ind w:left="709" w:hanging="567"/>
        <w:rPr>
          <w:rFonts w:cs="Open Sans"/>
        </w:rPr>
      </w:pPr>
      <w:r w:rsidRPr="00DC1D8E">
        <w:rPr>
          <w:rFonts w:cs="Open Sans"/>
        </w:rPr>
        <w:t xml:space="preserve">With the advent of digital law enforcement, the rights to privacy and freedom of expression are </w:t>
      </w:r>
      <w:r w:rsidR="00D62CE1">
        <w:rPr>
          <w:rFonts w:cs="Open Sans"/>
        </w:rPr>
        <w:t>under challenge</w:t>
      </w:r>
      <w:r w:rsidRPr="00DC1D8E">
        <w:rPr>
          <w:rFonts w:cs="Open Sans"/>
        </w:rPr>
        <w:t xml:space="preserve">. Most relevantly, the </w:t>
      </w:r>
      <w:r w:rsidR="00DC1D8E" w:rsidRPr="00DC1D8E">
        <w:rPr>
          <w:rFonts w:cs="Open Sans"/>
        </w:rPr>
        <w:t xml:space="preserve">increased </w:t>
      </w:r>
      <w:r w:rsidRPr="00DC1D8E">
        <w:rPr>
          <w:rFonts w:cs="Open Sans"/>
        </w:rPr>
        <w:t>ability of governments and others to conduct surveillance, intercept and decrypt the online activities of individuals can significantly limit these and other human rights. The proposed access and assistance powers in the Bill facilitate digital surveillance and interception by law enforcement agencies, thereby engaging and limiting the same human rights.</w:t>
      </w:r>
    </w:p>
    <w:p w14:paraId="269129A9"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In Resolution 68/167 adopted in 2013, the United Nations General Assembly (UNGA) expressed deep concern at the negative impact that </w:t>
      </w:r>
      <w:r w:rsidRPr="00AA1A20">
        <w:rPr>
          <w:rFonts w:cs="Open Sans"/>
        </w:rPr>
        <w:lastRenderedPageBreak/>
        <w:t>government surveillance and the interception of communications may have on the exercise and enjoyment of human rights.</w:t>
      </w:r>
      <w:r w:rsidRPr="0029322D">
        <w:rPr>
          <w:rStyle w:val="EndnoteReference"/>
          <w:vertAlign w:val="superscript"/>
        </w:rPr>
        <w:endnoteReference w:id="22"/>
      </w:r>
      <w:r w:rsidRPr="00AA1A20">
        <w:rPr>
          <w:rFonts w:cs="Open Sans"/>
        </w:rPr>
        <w:t xml:space="preserve"> </w:t>
      </w:r>
    </w:p>
    <w:p w14:paraId="29F7ED12" w14:textId="6F56A611"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UNGA called on all States to respect and protect the right to privacy in digital communication and affirmed that human rights must be protected online.</w:t>
      </w:r>
      <w:r w:rsidRPr="0029322D">
        <w:rPr>
          <w:rStyle w:val="EndnoteReference"/>
          <w:vertAlign w:val="superscript"/>
        </w:rPr>
        <w:endnoteReference w:id="23"/>
      </w:r>
      <w:r w:rsidRPr="00AA1A20">
        <w:rPr>
          <w:rFonts w:cs="Open Sans"/>
        </w:rPr>
        <w:t xml:space="preserve"> It called on all States to review their procedures, practices and legislation related to communications surveillance, interception and collection of personal data, and emphasised the need to fulfil their obligations under international human rights law.</w:t>
      </w:r>
      <w:r w:rsidRPr="0029322D">
        <w:rPr>
          <w:rStyle w:val="EndnoteReference"/>
          <w:vertAlign w:val="superscript"/>
        </w:rPr>
        <w:endnoteReference w:id="24"/>
      </w:r>
    </w:p>
    <w:p w14:paraId="274E999E" w14:textId="608E0B80" w:rsidR="002222AF" w:rsidRPr="00AA1A20" w:rsidRDefault="002D5799" w:rsidP="002222AF">
      <w:pPr>
        <w:pStyle w:val="ListNumber"/>
        <w:tabs>
          <w:tab w:val="clear" w:pos="360"/>
          <w:tab w:val="num" w:pos="993"/>
          <w:tab w:val="left" w:pos="1418"/>
        </w:tabs>
        <w:ind w:left="709" w:hanging="567"/>
        <w:rPr>
          <w:rFonts w:cs="Open Sans"/>
        </w:rPr>
      </w:pPr>
      <w:r w:rsidRPr="00AA1A20">
        <w:rPr>
          <w:rFonts w:cs="Open Sans"/>
        </w:rPr>
        <w:t>The OHCHR</w:t>
      </w:r>
      <w:r w:rsidRPr="00AA1A20" w:rsidDel="0090121E">
        <w:rPr>
          <w:rFonts w:cs="Open Sans"/>
        </w:rPr>
        <w:t xml:space="preserve"> </w:t>
      </w:r>
      <w:r w:rsidRPr="00AA1A20">
        <w:rPr>
          <w:rFonts w:cs="Open Sans"/>
        </w:rPr>
        <w:t xml:space="preserve">has stated that electronic surveillance, of both content and metadata, </w:t>
      </w:r>
      <w:r>
        <w:rPr>
          <w:rFonts w:cs="Open Sans"/>
        </w:rPr>
        <w:t>is potentially an</w:t>
      </w:r>
      <w:r w:rsidRPr="00AA1A20">
        <w:rPr>
          <w:rFonts w:cs="Open Sans"/>
        </w:rPr>
        <w:t xml:space="preserve"> interference with privacy</w:t>
      </w:r>
      <w:r>
        <w:rPr>
          <w:rFonts w:cs="Open Sans"/>
        </w:rPr>
        <w:t xml:space="preserve"> and, further</w:t>
      </w:r>
      <w:r w:rsidR="002222AF" w:rsidRPr="00AA1A20">
        <w:rPr>
          <w:rFonts w:cs="Open Sans"/>
        </w:rPr>
        <w:t xml:space="preserve">: </w:t>
      </w:r>
    </w:p>
    <w:p w14:paraId="0D680038" w14:textId="5588F72E" w:rsidR="002222AF" w:rsidRPr="00AA1A20" w:rsidRDefault="002D5799" w:rsidP="002222AF">
      <w:pPr>
        <w:pStyle w:val="EndnoteText"/>
        <w:rPr>
          <w:rFonts w:cs="Open Sans"/>
        </w:rPr>
      </w:pPr>
      <w:r>
        <w:rPr>
          <w:rFonts w:cs="Open Sans"/>
        </w:rPr>
        <w:t>[T]</w:t>
      </w:r>
      <w:r w:rsidR="002222AF" w:rsidRPr="00AA1A20">
        <w:rPr>
          <w:rFonts w:cs="Open Sans"/>
        </w:rPr>
        <w:t>he collection and retention of communications data amounts to an interference with privacy whether or not those data are subsequently consulted or used. Even the mere possibility of communications information being captured creates an interference with privacy, with a potential chilling effect on rights, including those to free expression and association.</w:t>
      </w:r>
      <w:r w:rsidR="002222AF" w:rsidRPr="0029322D">
        <w:rPr>
          <w:rStyle w:val="EndnoteReference"/>
          <w:vertAlign w:val="superscript"/>
        </w:rPr>
        <w:endnoteReference w:id="25"/>
      </w:r>
    </w:p>
    <w:p w14:paraId="69DD1233" w14:textId="2B6046EE" w:rsidR="002222AF" w:rsidRPr="00AA1A20" w:rsidRDefault="002222AF" w:rsidP="002222AF">
      <w:pPr>
        <w:pStyle w:val="ListNumber"/>
        <w:tabs>
          <w:tab w:val="clear" w:pos="360"/>
          <w:tab w:val="num" w:pos="993"/>
          <w:tab w:val="left" w:pos="1418"/>
        </w:tabs>
        <w:ind w:left="709" w:hanging="567"/>
        <w:rPr>
          <w:rFonts w:cs="Open Sans"/>
          <w:lang w:eastAsia="en-US"/>
        </w:rPr>
      </w:pPr>
      <w:r w:rsidRPr="00AA1A20">
        <w:rPr>
          <w:rFonts w:cs="Open Sans"/>
          <w:lang w:eastAsia="en-US"/>
        </w:rPr>
        <w:t xml:space="preserve">The ‘chilling effect’ of government surveillance on civil liberties has been described as the self-adjustment of behaviour by </w:t>
      </w:r>
      <w:r w:rsidR="00BD544D">
        <w:rPr>
          <w:rFonts w:cs="Open Sans"/>
          <w:lang w:eastAsia="en-US"/>
        </w:rPr>
        <w:t xml:space="preserve">members of </w:t>
      </w:r>
      <w:r w:rsidRPr="00AA1A20">
        <w:rPr>
          <w:rFonts w:cs="Open Sans"/>
          <w:lang w:eastAsia="en-US"/>
        </w:rPr>
        <w:t>the community, even if their</w:t>
      </w:r>
      <w:r w:rsidR="00DF0154">
        <w:rPr>
          <w:rFonts w:cs="Open Sans"/>
          <w:lang w:eastAsia="en-US"/>
        </w:rPr>
        <w:t xml:space="preserve"> proposed</w:t>
      </w:r>
      <w:r w:rsidRPr="00AA1A20">
        <w:rPr>
          <w:rFonts w:cs="Open Sans"/>
          <w:lang w:eastAsia="en-US"/>
        </w:rPr>
        <w:t xml:space="preserve"> actions </w:t>
      </w:r>
      <w:r w:rsidR="00DF0154">
        <w:rPr>
          <w:rFonts w:cs="Open Sans"/>
          <w:lang w:eastAsia="en-US"/>
        </w:rPr>
        <w:t>would</w:t>
      </w:r>
      <w:r w:rsidR="00DF0154" w:rsidRPr="00AA1A20">
        <w:rPr>
          <w:rFonts w:cs="Open Sans"/>
          <w:lang w:eastAsia="en-US"/>
        </w:rPr>
        <w:t xml:space="preserve"> </w:t>
      </w:r>
      <w:r w:rsidRPr="00AA1A20">
        <w:rPr>
          <w:rFonts w:cs="Open Sans"/>
          <w:lang w:eastAsia="en-US"/>
        </w:rPr>
        <w:t>not</w:t>
      </w:r>
      <w:r w:rsidR="00DF0154">
        <w:rPr>
          <w:rFonts w:cs="Open Sans"/>
          <w:lang w:eastAsia="en-US"/>
        </w:rPr>
        <w:t xml:space="preserve"> have been</w:t>
      </w:r>
      <w:r w:rsidRPr="00AA1A20">
        <w:rPr>
          <w:rFonts w:cs="Open Sans"/>
          <w:lang w:eastAsia="en-US"/>
        </w:rPr>
        <w:t xml:space="preserve"> wrongful, in the knowledge that one’s interactions and communications may be recorded and judged by unknown others.</w:t>
      </w:r>
      <w:r w:rsidRPr="0029322D">
        <w:rPr>
          <w:rStyle w:val="EndnoteReference"/>
          <w:vertAlign w:val="superscript"/>
          <w:lang w:eastAsia="en-US"/>
        </w:rPr>
        <w:endnoteReference w:id="26"/>
      </w:r>
    </w:p>
    <w:p w14:paraId="61100EA9" w14:textId="77777777" w:rsidR="002222AF" w:rsidRPr="00AA1A20" w:rsidRDefault="002222AF" w:rsidP="002222AF">
      <w:pPr>
        <w:pStyle w:val="ListNumber"/>
        <w:tabs>
          <w:tab w:val="clear" w:pos="360"/>
          <w:tab w:val="num" w:pos="993"/>
          <w:tab w:val="left" w:pos="1418"/>
        </w:tabs>
        <w:ind w:left="709" w:hanging="567"/>
        <w:rPr>
          <w:rFonts w:cs="Open Sans"/>
          <w:lang w:eastAsia="en-US"/>
        </w:rPr>
      </w:pPr>
      <w:r w:rsidRPr="00AA1A20">
        <w:rPr>
          <w:rFonts w:cs="Open Sans"/>
        </w:rPr>
        <w:t xml:space="preserve">Other human rights may also be inappropriately limited by the unnecessary or disproportionate exercise of digital surveillance and interception by law </w:t>
      </w:r>
      <w:r w:rsidRPr="00AA1A20">
        <w:rPr>
          <w:rFonts w:cs="Open Sans"/>
          <w:lang w:eastAsia="en-US"/>
        </w:rPr>
        <w:t>enforcement</w:t>
      </w:r>
      <w:r w:rsidRPr="00AA1A20">
        <w:rPr>
          <w:rFonts w:cs="Open Sans"/>
        </w:rPr>
        <w:t xml:space="preserve"> agencies. These include a person’s enjoyment of their rights to freedom of religion, a fair hearing and equality.</w:t>
      </w:r>
      <w:r w:rsidRPr="0029322D">
        <w:rPr>
          <w:rStyle w:val="EndnoteReference"/>
          <w:vertAlign w:val="superscript"/>
        </w:rPr>
        <w:endnoteReference w:id="27"/>
      </w:r>
      <w:r w:rsidRPr="00AA1A20">
        <w:rPr>
          <w:rFonts w:cs="Open Sans"/>
        </w:rPr>
        <w:t xml:space="preserve"> </w:t>
      </w:r>
    </w:p>
    <w:p w14:paraId="400F44F5" w14:textId="278DD3E2"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For example, there is a risk of digital surveillance powers being used to monitor persons inappropriately on the basis of their race, religion or political opinions. Also concerning is the potential for targeting of journalists, whistle-blowers, opposition politicians, human rights defenders</w:t>
      </w:r>
      <w:r w:rsidRPr="0029322D">
        <w:rPr>
          <w:rStyle w:val="EndnoteReference"/>
          <w:vertAlign w:val="superscript"/>
        </w:rPr>
        <w:endnoteReference w:id="28"/>
      </w:r>
      <w:r w:rsidRPr="00AA1A20">
        <w:rPr>
          <w:rFonts w:cs="Open Sans"/>
        </w:rPr>
        <w:t xml:space="preserve"> and persons </w:t>
      </w:r>
      <w:r w:rsidR="00DF0154">
        <w:rPr>
          <w:rFonts w:cs="Open Sans"/>
        </w:rPr>
        <w:t>engaging in</w:t>
      </w:r>
      <w:r w:rsidR="00DF0154" w:rsidRPr="00AA1A20">
        <w:rPr>
          <w:rFonts w:cs="Open Sans"/>
        </w:rPr>
        <w:t xml:space="preserve"> </w:t>
      </w:r>
      <w:r w:rsidRPr="00AA1A20">
        <w:rPr>
          <w:rFonts w:cs="Open Sans"/>
        </w:rPr>
        <w:t>lawful public dissent. Children’s rights may also be affected by the use of the proposed coercive powers on underage providers, or to compel a minor to give access to a device. Such human rights impacts are not addressed in the present submission, but merit further consideration.</w:t>
      </w:r>
      <w:r w:rsidRPr="0029322D">
        <w:rPr>
          <w:rStyle w:val="EndnoteReference"/>
          <w:vertAlign w:val="superscript"/>
        </w:rPr>
        <w:endnoteReference w:id="29"/>
      </w:r>
    </w:p>
    <w:p w14:paraId="24D5437F" w14:textId="2CBE8AC0"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Given the potentially significant and far-reaching consequences of the </w:t>
      </w:r>
      <w:r>
        <w:rPr>
          <w:rFonts w:cs="Open Sans"/>
        </w:rPr>
        <w:t>Bill</w:t>
      </w:r>
      <w:r w:rsidRPr="00AA1A20">
        <w:rPr>
          <w:rFonts w:cs="Open Sans"/>
        </w:rPr>
        <w:t xml:space="preserve"> on human rights, it is crucial to ensure that any rights limitations are necessary and proportionate. </w:t>
      </w:r>
      <w:r w:rsidR="00DF0154">
        <w:rPr>
          <w:rFonts w:cs="Open Sans"/>
        </w:rPr>
        <w:t xml:space="preserve">This must be done by ensuring that legislation that permits government to interfere with human rights is drafted </w:t>
      </w:r>
      <w:r w:rsidR="003E374E">
        <w:rPr>
          <w:rFonts w:cs="Open Sans"/>
        </w:rPr>
        <w:t>with precision</w:t>
      </w:r>
      <w:r w:rsidR="00DF0154">
        <w:rPr>
          <w:rFonts w:cs="Open Sans"/>
        </w:rPr>
        <w:t xml:space="preserve">, so that relevant powers may only be exercised in </w:t>
      </w:r>
      <w:r w:rsidR="003E374E">
        <w:rPr>
          <w:rFonts w:cs="Open Sans"/>
        </w:rPr>
        <w:t xml:space="preserve">appropriate circumstances. Another mechanism necessary to </w:t>
      </w:r>
      <w:r w:rsidRPr="00AA1A20">
        <w:rPr>
          <w:rFonts w:cs="Open Sans"/>
        </w:rPr>
        <w:t>achiev</w:t>
      </w:r>
      <w:r w:rsidR="003E374E">
        <w:rPr>
          <w:rFonts w:cs="Open Sans"/>
        </w:rPr>
        <w:t>e</w:t>
      </w:r>
      <w:r w:rsidRPr="00AA1A20">
        <w:rPr>
          <w:rFonts w:cs="Open Sans"/>
        </w:rPr>
        <w:t xml:space="preserve"> </w:t>
      </w:r>
      <w:r w:rsidRPr="00AA1A20">
        <w:rPr>
          <w:rFonts w:cs="Open Sans"/>
        </w:rPr>
        <w:lastRenderedPageBreak/>
        <w:t>human rights compatibility is the provision of effective safeguards and oversight mechanisms.</w:t>
      </w:r>
    </w:p>
    <w:p w14:paraId="248B2678" w14:textId="77777777" w:rsidR="002222AF" w:rsidRPr="00AA1A20" w:rsidRDefault="002222AF" w:rsidP="002222AF">
      <w:pPr>
        <w:pStyle w:val="Heading2"/>
        <w:tabs>
          <w:tab w:val="clear" w:pos="851"/>
          <w:tab w:val="num" w:pos="1418"/>
        </w:tabs>
        <w:rPr>
          <w:rFonts w:cs="Open Sans"/>
        </w:rPr>
      </w:pPr>
      <w:bookmarkStart w:id="100" w:name="_Toc526518381"/>
      <w:bookmarkStart w:id="101" w:name="_Toc527107793"/>
      <w:r w:rsidRPr="00AA1A20">
        <w:rPr>
          <w:rFonts w:cs="Open Sans"/>
        </w:rPr>
        <w:t>Right to privacy</w:t>
      </w:r>
      <w:bookmarkEnd w:id="100"/>
      <w:bookmarkEnd w:id="101"/>
    </w:p>
    <w:p w14:paraId="094FA070" w14:textId="68A6830E"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Article 17 of the ICCPR </w:t>
      </w:r>
      <w:r w:rsidR="004B733E">
        <w:rPr>
          <w:rFonts w:cs="Open Sans"/>
        </w:rPr>
        <w:t>protects</w:t>
      </w:r>
      <w:r w:rsidR="004B733E" w:rsidRPr="00AA1A20">
        <w:rPr>
          <w:rFonts w:cs="Open Sans"/>
        </w:rPr>
        <w:t xml:space="preserve"> </w:t>
      </w:r>
      <w:r w:rsidRPr="00AA1A20">
        <w:rPr>
          <w:rFonts w:cs="Open Sans"/>
        </w:rPr>
        <w:t>the right to privacy</w:t>
      </w:r>
      <w:r w:rsidR="004B733E">
        <w:rPr>
          <w:rFonts w:cs="Open Sans"/>
        </w:rPr>
        <w:t>. It provides:</w:t>
      </w:r>
    </w:p>
    <w:p w14:paraId="4ECAB02B" w14:textId="77777777" w:rsidR="002222AF" w:rsidRPr="00AA1A20" w:rsidRDefault="002222AF" w:rsidP="002222AF">
      <w:pPr>
        <w:pStyle w:val="EndnoteText"/>
        <w:ind w:left="1491" w:hanging="357"/>
        <w:rPr>
          <w:rFonts w:cs="Open Sans"/>
        </w:rPr>
      </w:pPr>
      <w:r w:rsidRPr="00AA1A20">
        <w:rPr>
          <w:rFonts w:cs="Open Sans"/>
        </w:rPr>
        <w:t xml:space="preserve">1. </w:t>
      </w:r>
      <w:r>
        <w:rPr>
          <w:rFonts w:cs="Open Sans"/>
        </w:rPr>
        <w:tab/>
      </w:r>
      <w:r w:rsidRPr="00AA1A20">
        <w:rPr>
          <w:rFonts w:cs="Open Sans"/>
        </w:rPr>
        <w:t xml:space="preserve">No one shall be subjected to arbitrary or unlawful interference with his privacy, family, home or correspondence, nor to unlawful attacks on his honour and reputation. </w:t>
      </w:r>
    </w:p>
    <w:p w14:paraId="50D54666" w14:textId="77777777" w:rsidR="002222AF" w:rsidRPr="00AA1A20" w:rsidRDefault="002222AF" w:rsidP="002222AF">
      <w:pPr>
        <w:pStyle w:val="EndnoteText"/>
        <w:tabs>
          <w:tab w:val="left" w:pos="1418"/>
        </w:tabs>
        <w:ind w:left="1491" w:hanging="357"/>
        <w:rPr>
          <w:rFonts w:cs="Open Sans"/>
        </w:rPr>
      </w:pPr>
      <w:r w:rsidRPr="00AA1A20">
        <w:rPr>
          <w:rFonts w:cs="Open Sans"/>
        </w:rPr>
        <w:t xml:space="preserve">2. </w:t>
      </w:r>
      <w:r>
        <w:rPr>
          <w:rFonts w:cs="Open Sans"/>
        </w:rPr>
        <w:tab/>
      </w:r>
      <w:r>
        <w:rPr>
          <w:rFonts w:cs="Open Sans"/>
        </w:rPr>
        <w:tab/>
      </w:r>
      <w:r w:rsidRPr="00AA1A20">
        <w:rPr>
          <w:rFonts w:cs="Open Sans"/>
        </w:rPr>
        <w:t xml:space="preserve">Everyone has the right to the protection of the law against such interference or attacks. </w:t>
      </w:r>
    </w:p>
    <w:p w14:paraId="20FA9CA9" w14:textId="49D26196"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right to privacy protects communications made in private</w:t>
      </w:r>
      <w:r w:rsidR="00675B79">
        <w:rPr>
          <w:rFonts w:cs="Open Sans"/>
        </w:rPr>
        <w:t>. It</w:t>
      </w:r>
      <w:r w:rsidRPr="00AA1A20">
        <w:rPr>
          <w:rFonts w:cs="Open Sans"/>
        </w:rPr>
        <w:t xml:space="preserve"> is also applicable to the collection and use of personal information by government.</w:t>
      </w:r>
    </w:p>
    <w:p w14:paraId="4958BE8F" w14:textId="7F31ACEE"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right to privacy is especially important in the context of the </w:t>
      </w:r>
      <w:r>
        <w:rPr>
          <w:rFonts w:cs="Open Sans"/>
        </w:rPr>
        <w:t>Bill</w:t>
      </w:r>
      <w:r w:rsidRPr="00AA1A20">
        <w:rPr>
          <w:rFonts w:cs="Open Sans"/>
        </w:rPr>
        <w:t xml:space="preserve">, given the narrow conception of privacy in Australian law and limited protection against invasion of privacy in our common law. Further, some intelligence agencies, including </w:t>
      </w:r>
      <w:r w:rsidR="008323B7">
        <w:rPr>
          <w:rFonts w:cs="Open Sans"/>
        </w:rPr>
        <w:t>the Australian Security Intelligence Organisation (</w:t>
      </w:r>
      <w:r w:rsidR="008323B7" w:rsidRPr="00AA1A20">
        <w:rPr>
          <w:rFonts w:cs="Open Sans"/>
        </w:rPr>
        <w:t>ASIO</w:t>
      </w:r>
      <w:r w:rsidR="008323B7">
        <w:rPr>
          <w:rFonts w:cs="Open Sans"/>
        </w:rPr>
        <w:t>)</w:t>
      </w:r>
      <w:r w:rsidRPr="00AA1A20">
        <w:rPr>
          <w:rFonts w:cs="Open Sans"/>
        </w:rPr>
        <w:t xml:space="preserve">, are exempt from the operation of the </w:t>
      </w:r>
      <w:r w:rsidRPr="00AA1A20">
        <w:rPr>
          <w:rFonts w:cs="Open Sans"/>
          <w:i/>
        </w:rPr>
        <w:t>Privacy Act 1988</w:t>
      </w:r>
      <w:r w:rsidRPr="00AA1A20">
        <w:rPr>
          <w:rFonts w:cs="Open Sans"/>
        </w:rPr>
        <w:t xml:space="preserve"> </w:t>
      </w:r>
      <w:r w:rsidRPr="009F5D76">
        <w:rPr>
          <w:rFonts w:cs="Open Sans"/>
        </w:rPr>
        <w:t>(</w:t>
      </w:r>
      <w:r w:rsidRPr="00AA1A20">
        <w:rPr>
          <w:rFonts w:cs="Open Sans"/>
        </w:rPr>
        <w:t xml:space="preserve">Cth). </w:t>
      </w:r>
    </w:p>
    <w:p w14:paraId="6C935282"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Under human rights law, any interference with the right to privacy must be lawful and non-arbitrary. </w:t>
      </w:r>
    </w:p>
    <w:p w14:paraId="6AD127E8"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‘Lawful’ means that limitations must be provided for by law in a precise and clear manner to allow individuals to regulate their conduct. The UN HR Committee has explained the requirements of lawfulness as follows:</w:t>
      </w:r>
    </w:p>
    <w:p w14:paraId="74F4D1A9" w14:textId="77777777" w:rsidR="002222AF" w:rsidRPr="00AA1A20" w:rsidRDefault="002222AF" w:rsidP="002222AF">
      <w:pPr>
        <w:pStyle w:val="EndnoteText"/>
        <w:rPr>
          <w:rFonts w:cs="Open Sans"/>
        </w:rPr>
      </w:pPr>
      <w:r w:rsidRPr="00AA1A20">
        <w:rPr>
          <w:rFonts w:cs="Open Sans"/>
        </w:rPr>
        <w:t>Relevant legislation must specify in detail the precise circumstances in which such interferences may be permitted. A decision to make use of such authorised interference must be made only by the authority designated under the law, and on a case-by-case basis.</w:t>
      </w:r>
      <w:r w:rsidRPr="00102D26">
        <w:rPr>
          <w:rStyle w:val="EndnoteReference"/>
          <w:vertAlign w:val="superscript"/>
        </w:rPr>
        <w:endnoteReference w:id="30"/>
      </w:r>
    </w:p>
    <w:p w14:paraId="6F1C2D43"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As stated by the OHCHR, ‘non-arbitrary’ means that any interference must be in accordance with the provisions, aims and objectives of the ICCPR and should be reasonable—that is, proportionate and necessary to achieve a legitimate objective—in the particular circumstances.</w:t>
      </w:r>
      <w:r w:rsidRPr="00102D26">
        <w:rPr>
          <w:rStyle w:val="EndnoteReference"/>
          <w:vertAlign w:val="superscript"/>
        </w:rPr>
        <w:endnoteReference w:id="31"/>
      </w:r>
      <w:r w:rsidRPr="00AA1A20">
        <w:rPr>
          <w:rFonts w:cs="Open Sans"/>
        </w:rPr>
        <w:t xml:space="preserve"> </w:t>
      </w:r>
    </w:p>
    <w:p w14:paraId="270160B2"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Further, for a limitation on the right to privacy to be compatible with human rights:</w:t>
      </w:r>
    </w:p>
    <w:p w14:paraId="7AE76227" w14:textId="77777777" w:rsidR="002222AF" w:rsidRPr="00AA1A20" w:rsidRDefault="002222AF" w:rsidP="002222AF">
      <w:pPr>
        <w:pStyle w:val="EndnoteText"/>
        <w:rPr>
          <w:rFonts w:cs="Open Sans"/>
        </w:rPr>
      </w:pPr>
      <w:r w:rsidRPr="00AA1A20">
        <w:rPr>
          <w:rFonts w:cs="Open Sans"/>
        </w:rPr>
        <w:t xml:space="preserve">The limitation must be necessary for reaching a legitimate aim, as well as in proportion to the aim and the least intrusive option available. Moreover, the limitation placed on the right (an interference with privacy, for example, for the purposes of protecting national security or the right to life of others) must be shown to have some chance of achieving that goal. The onus is on the authorities seeking to limit the right to show that the limitation is </w:t>
      </w:r>
      <w:r w:rsidRPr="00AA1A20">
        <w:rPr>
          <w:rFonts w:cs="Open Sans"/>
        </w:rPr>
        <w:lastRenderedPageBreak/>
        <w:t>connected to a legitimate aim. Furthermore, any limitation to the right to privacy must not render the essence of the right meaningless and must be consistent with other human rights, including the prohibition of discrimination. Where the limitation does not meet these criteria, the limitation would be unlawful and/or the interference with the right to privacy would be arbitrary.</w:t>
      </w:r>
      <w:r w:rsidRPr="00102D26">
        <w:rPr>
          <w:rStyle w:val="EndnoteReference"/>
          <w:vertAlign w:val="superscript"/>
        </w:rPr>
        <w:endnoteReference w:id="32"/>
      </w:r>
    </w:p>
    <w:p w14:paraId="19AD7C0A" w14:textId="77777777" w:rsidR="002222AF" w:rsidRPr="00AA1A20" w:rsidRDefault="002222AF" w:rsidP="002222AF">
      <w:pPr>
        <w:pStyle w:val="Heading2"/>
        <w:tabs>
          <w:tab w:val="clear" w:pos="851"/>
          <w:tab w:val="num" w:pos="1418"/>
        </w:tabs>
        <w:rPr>
          <w:rFonts w:cs="Open Sans"/>
        </w:rPr>
      </w:pPr>
      <w:bookmarkStart w:id="102" w:name="_Toc526518382"/>
      <w:bookmarkStart w:id="103" w:name="_Toc527107794"/>
      <w:r w:rsidRPr="00AA1A20">
        <w:rPr>
          <w:rFonts w:cs="Open Sans"/>
        </w:rPr>
        <w:t>Right to freedom of expression</w:t>
      </w:r>
      <w:bookmarkEnd w:id="102"/>
      <w:bookmarkEnd w:id="103"/>
    </w:p>
    <w:p w14:paraId="2F7C4780" w14:textId="77777777" w:rsidR="002222AF" w:rsidRPr="00AA1A20" w:rsidRDefault="002222AF" w:rsidP="002222AF">
      <w:pPr>
        <w:pStyle w:val="ListNumber"/>
        <w:tabs>
          <w:tab w:val="clear" w:pos="360"/>
          <w:tab w:val="num" w:pos="993"/>
          <w:tab w:val="left" w:pos="1418"/>
        </w:tabs>
        <w:ind w:left="709" w:hanging="567"/>
        <w:rPr>
          <w:rFonts w:cs="Open Sans"/>
          <w:sz w:val="23"/>
          <w:szCs w:val="23"/>
        </w:rPr>
      </w:pPr>
      <w:r w:rsidRPr="00AA1A20">
        <w:rPr>
          <w:rFonts w:cs="Open Sans"/>
        </w:rPr>
        <w:t xml:space="preserve">Article 19 of the ICCPR protects the right to freedom of expression: </w:t>
      </w:r>
    </w:p>
    <w:p w14:paraId="4DCFD85C" w14:textId="77777777" w:rsidR="002222AF" w:rsidRPr="00AA1A20" w:rsidRDefault="002222AF" w:rsidP="002222AF">
      <w:pPr>
        <w:pStyle w:val="EndnoteText"/>
        <w:rPr>
          <w:rFonts w:cs="Open Sans"/>
        </w:rPr>
      </w:pPr>
      <w:r w:rsidRPr="00AA1A20">
        <w:rPr>
          <w:rFonts w:cs="Open Sans"/>
        </w:rPr>
        <w:t xml:space="preserve">1. Everyone shall have the right to hold opinions without interference. </w:t>
      </w:r>
    </w:p>
    <w:p w14:paraId="39AC199D" w14:textId="77777777" w:rsidR="002222AF" w:rsidRPr="00AA1A20" w:rsidRDefault="002222AF" w:rsidP="002222AF">
      <w:pPr>
        <w:pStyle w:val="EndnoteText"/>
        <w:ind w:left="1418" w:hanging="284"/>
        <w:rPr>
          <w:rFonts w:cs="Open Sans"/>
        </w:rPr>
      </w:pPr>
      <w:r w:rsidRPr="00AA1A20">
        <w:rPr>
          <w:rFonts w:cs="Open Sans"/>
        </w:rPr>
        <w:t xml:space="preserve">2. Everyone shall have the right to freedom of expression; this right shall include freedom to seek, receive and impart information and ideas of all kinds, regardless of frontiers, either orally, in writing or in print, in the form of art, or through any other media of his choice. </w:t>
      </w:r>
    </w:p>
    <w:p w14:paraId="1A5F6DDC" w14:textId="77777777" w:rsidR="002222AF" w:rsidRPr="00AA1A20" w:rsidRDefault="002222AF" w:rsidP="002222AF">
      <w:pPr>
        <w:pStyle w:val="EndnoteText"/>
        <w:ind w:left="1418" w:hanging="284"/>
        <w:rPr>
          <w:rFonts w:cs="Open Sans"/>
        </w:rPr>
      </w:pPr>
      <w:r w:rsidRPr="00AA1A20">
        <w:rPr>
          <w:rFonts w:cs="Open Sans"/>
        </w:rPr>
        <w:t xml:space="preserve">3. The exercise of the rights provided for in paragraph 2 of this article carries with it special duties and responsibilities. It may therefore be subject to certain restrictions, but these shall only be such as are provided by law and are necessary: </w:t>
      </w:r>
    </w:p>
    <w:p w14:paraId="5A0651E2" w14:textId="77777777" w:rsidR="002222AF" w:rsidRPr="00AA1A20" w:rsidRDefault="002222AF" w:rsidP="002222AF">
      <w:pPr>
        <w:pStyle w:val="EndnoteText"/>
        <w:ind w:left="1418"/>
        <w:rPr>
          <w:rFonts w:cs="Open Sans"/>
        </w:rPr>
      </w:pPr>
      <w:r w:rsidRPr="00AA1A20">
        <w:rPr>
          <w:rFonts w:cs="Open Sans"/>
        </w:rPr>
        <w:t xml:space="preserve">(a) For respect of the rights or reputations of others; </w:t>
      </w:r>
    </w:p>
    <w:p w14:paraId="3F803773" w14:textId="77777777" w:rsidR="002222AF" w:rsidRPr="00AA1A20" w:rsidRDefault="002222AF" w:rsidP="002222AF">
      <w:pPr>
        <w:pStyle w:val="EndnoteText"/>
        <w:ind w:left="1418"/>
        <w:rPr>
          <w:rFonts w:cs="Open Sans"/>
        </w:rPr>
      </w:pPr>
      <w:r w:rsidRPr="00AA1A20">
        <w:rPr>
          <w:rFonts w:cs="Open Sans"/>
        </w:rPr>
        <w:t>(b) For the protection of national security or of public order (</w:t>
      </w:r>
      <w:r w:rsidRPr="00AA1A20">
        <w:rPr>
          <w:rFonts w:cs="Open Sans"/>
          <w:i/>
        </w:rPr>
        <w:t>ordre public</w:t>
      </w:r>
      <w:r w:rsidRPr="00AA1A20">
        <w:rPr>
          <w:rFonts w:cs="Open Sans"/>
        </w:rPr>
        <w:t>), or of public health or morals.</w:t>
      </w:r>
    </w:p>
    <w:p w14:paraId="34DC0348"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right to freedom of expression protects all forms of communication, including ‘political discourse, commentary on one’s own and on public affairs, canvassing, discussion of human rights, journalism, cultural and artistic expression, teaching and religious discourse’.</w:t>
      </w:r>
      <w:r w:rsidRPr="00102D26">
        <w:rPr>
          <w:rStyle w:val="EndnoteReference"/>
          <w:vertAlign w:val="superscript"/>
        </w:rPr>
        <w:endnoteReference w:id="33"/>
      </w:r>
      <w:r w:rsidRPr="00AA1A20">
        <w:rPr>
          <w:rFonts w:cs="Open Sans"/>
        </w:rPr>
        <w:t xml:space="preserve"> It also protects the freedom to seek, receive and impart information and ideas of all kinds, free from unlawful interference.</w:t>
      </w:r>
    </w:p>
    <w:p w14:paraId="7776A616" w14:textId="2E7CADBA"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However, free</w:t>
      </w:r>
      <w:r w:rsidR="00EF2642">
        <w:rPr>
          <w:rFonts w:cs="Open Sans"/>
        </w:rPr>
        <w:t>dom of</w:t>
      </w:r>
      <w:r w:rsidRPr="00AA1A20">
        <w:rPr>
          <w:rFonts w:cs="Open Sans"/>
        </w:rPr>
        <w:t xml:space="preserve"> speech is not an absolute right and can be limited, as indicated in article 19(3). Any limitation must be lawful, necessary and proportionate to achieve a legitimate objective within the scope of article 19(3). This includes limitations for the protection of national security or to protect the rights of others, meaning human rights under international human rights law, including the ICCPR.</w:t>
      </w:r>
      <w:r w:rsidRPr="00102D26">
        <w:rPr>
          <w:rStyle w:val="EndnoteReference"/>
          <w:vertAlign w:val="superscript"/>
        </w:rPr>
        <w:endnoteReference w:id="34"/>
      </w:r>
      <w:r w:rsidRPr="00AA1A20">
        <w:rPr>
          <w:rFonts w:cs="Open Sans"/>
        </w:rPr>
        <w:t xml:space="preserve"> </w:t>
      </w:r>
    </w:p>
    <w:p w14:paraId="1B3302B0" w14:textId="51B4B6B8" w:rsidR="002222AF" w:rsidRPr="00AA1A20" w:rsidRDefault="002222AF" w:rsidP="002222AF">
      <w:pPr>
        <w:pStyle w:val="Heading2"/>
        <w:tabs>
          <w:tab w:val="clear" w:pos="851"/>
          <w:tab w:val="num" w:pos="1418"/>
        </w:tabs>
        <w:rPr>
          <w:rFonts w:cs="Open Sans"/>
        </w:rPr>
      </w:pPr>
      <w:bookmarkStart w:id="104" w:name="_Toc526518383"/>
      <w:bookmarkStart w:id="105" w:name="_Toc526773716"/>
      <w:bookmarkStart w:id="106" w:name="_Toc526794642"/>
      <w:bookmarkStart w:id="107" w:name="_Toc526941922"/>
      <w:bookmarkStart w:id="108" w:name="_Toc526951266"/>
      <w:bookmarkStart w:id="109" w:name="_Toc526518384"/>
      <w:bookmarkStart w:id="110" w:name="_Toc527107795"/>
      <w:bookmarkEnd w:id="104"/>
      <w:bookmarkEnd w:id="105"/>
      <w:bookmarkEnd w:id="106"/>
      <w:bookmarkEnd w:id="107"/>
      <w:bookmarkEnd w:id="108"/>
      <w:r w:rsidRPr="00AA1A20">
        <w:rPr>
          <w:rFonts w:cs="Open Sans"/>
        </w:rPr>
        <w:t>Permissible limitations on human rights</w:t>
      </w:r>
      <w:bookmarkEnd w:id="109"/>
      <w:bookmarkEnd w:id="110"/>
    </w:p>
    <w:p w14:paraId="4305FDBE" w14:textId="418D77A5" w:rsidR="00675D6B" w:rsidRDefault="002222AF" w:rsidP="002222AF">
      <w:pPr>
        <w:pStyle w:val="ListNumber"/>
        <w:tabs>
          <w:tab w:val="clear" w:pos="360"/>
          <w:tab w:val="num" w:pos="993"/>
          <w:tab w:val="left" w:pos="1418"/>
        </w:tabs>
        <w:ind w:left="709" w:hanging="567"/>
        <w:rPr>
          <w:rFonts w:cs="Open Sans"/>
        </w:rPr>
      </w:pPr>
      <w:r w:rsidRPr="00AA1A20">
        <w:rPr>
          <w:rFonts w:cs="Open Sans"/>
        </w:rPr>
        <w:t xml:space="preserve">Some human rights cannot legitimately be subject to any limitation—such as the </w:t>
      </w:r>
      <w:r w:rsidR="00375425">
        <w:rPr>
          <w:rFonts w:cs="Open Sans"/>
        </w:rPr>
        <w:t xml:space="preserve">right to </w:t>
      </w:r>
      <w:r w:rsidRPr="00AA1A20">
        <w:rPr>
          <w:rFonts w:cs="Open Sans"/>
        </w:rPr>
        <w:t>f</w:t>
      </w:r>
      <w:r w:rsidRPr="00AA1A20">
        <w:rPr>
          <w:rFonts w:cs="Open Sans"/>
          <w:color w:val="111111"/>
        </w:rPr>
        <w:t xml:space="preserve">reedom from torture </w:t>
      </w:r>
      <w:r w:rsidR="004645FA">
        <w:rPr>
          <w:rFonts w:cs="Open Sans"/>
          <w:color w:val="111111"/>
        </w:rPr>
        <w:t>or</w:t>
      </w:r>
      <w:r w:rsidRPr="00AA1A20">
        <w:rPr>
          <w:rFonts w:cs="Open Sans"/>
          <w:color w:val="111111"/>
        </w:rPr>
        <w:t xml:space="preserve"> cruel, inhuman or degrading treatment or punishment</w:t>
      </w:r>
      <w:r w:rsidRPr="00AA1A20">
        <w:rPr>
          <w:rFonts w:cs="Open Sans"/>
        </w:rPr>
        <w:t>.</w:t>
      </w:r>
      <w:r w:rsidRPr="00102D26">
        <w:rPr>
          <w:rStyle w:val="EndnoteReference"/>
          <w:vertAlign w:val="superscript"/>
        </w:rPr>
        <w:endnoteReference w:id="35"/>
      </w:r>
      <w:r w:rsidRPr="00AA1A20">
        <w:rPr>
          <w:rFonts w:cs="Open Sans"/>
        </w:rPr>
        <w:t xml:space="preserve"> </w:t>
      </w:r>
    </w:p>
    <w:p w14:paraId="0EFAD55C" w14:textId="79D8D9CD" w:rsidR="002222AF" w:rsidRPr="00AA1A20" w:rsidRDefault="00675D6B" w:rsidP="00675D6B">
      <w:pPr>
        <w:pStyle w:val="ListNumber"/>
        <w:tabs>
          <w:tab w:val="clear" w:pos="360"/>
          <w:tab w:val="num" w:pos="993"/>
          <w:tab w:val="left" w:pos="1418"/>
        </w:tabs>
        <w:ind w:left="709" w:hanging="567"/>
        <w:rPr>
          <w:rFonts w:cs="Open Sans"/>
        </w:rPr>
      </w:pPr>
      <w:r>
        <w:rPr>
          <w:rFonts w:cs="Open Sans"/>
        </w:rPr>
        <w:lastRenderedPageBreak/>
        <w:t xml:space="preserve">However, </w:t>
      </w:r>
      <w:r w:rsidR="006E71F6">
        <w:rPr>
          <w:rFonts w:cs="Open Sans"/>
        </w:rPr>
        <w:t>other</w:t>
      </w:r>
      <w:r w:rsidR="00541FD9">
        <w:rPr>
          <w:rFonts w:cs="Open Sans"/>
        </w:rPr>
        <w:t xml:space="preserve"> human rights including</w:t>
      </w:r>
      <w:r w:rsidR="002222AF" w:rsidRPr="00AA1A20">
        <w:rPr>
          <w:rFonts w:cs="Open Sans"/>
        </w:rPr>
        <w:t xml:space="preserve"> </w:t>
      </w:r>
      <w:r w:rsidR="00DA4CB6">
        <w:rPr>
          <w:rFonts w:cs="Open Sans"/>
        </w:rPr>
        <w:t xml:space="preserve">the </w:t>
      </w:r>
      <w:r w:rsidR="00DA4CB6" w:rsidRPr="00AA1A20">
        <w:rPr>
          <w:rFonts w:cs="Open Sans"/>
        </w:rPr>
        <w:t>rights to privacy and freedom of expre</w:t>
      </w:r>
      <w:r w:rsidR="00DA4CB6">
        <w:rPr>
          <w:rFonts w:cs="Open Sans"/>
        </w:rPr>
        <w:t>ssion</w:t>
      </w:r>
      <w:r w:rsidR="00541FD9">
        <w:rPr>
          <w:rFonts w:cs="Open Sans"/>
        </w:rPr>
        <w:t xml:space="preserve"> can be limited where certain criteria are met as discussed below</w:t>
      </w:r>
      <w:r w:rsidR="00DA4CB6">
        <w:rPr>
          <w:rFonts w:cs="Open Sans"/>
        </w:rPr>
        <w:t xml:space="preserve">. </w:t>
      </w:r>
      <w:r w:rsidR="002222AF" w:rsidRPr="00AA1A20">
        <w:rPr>
          <w:rFonts w:cs="Open Sans"/>
        </w:rPr>
        <w:t>A measure which limits a huma</w:t>
      </w:r>
      <w:r w:rsidR="001A711C">
        <w:rPr>
          <w:rFonts w:cs="Open Sans"/>
        </w:rPr>
        <w:t xml:space="preserve">n right </w:t>
      </w:r>
      <w:r w:rsidR="00C207D5">
        <w:rPr>
          <w:rFonts w:cs="Open Sans"/>
        </w:rPr>
        <w:t xml:space="preserve">also </w:t>
      </w:r>
      <w:r w:rsidR="001A711C">
        <w:rPr>
          <w:rFonts w:cs="Open Sans"/>
        </w:rPr>
        <w:t>must not be arbitrary and must not</w:t>
      </w:r>
      <w:r w:rsidR="002222AF" w:rsidRPr="00AA1A20">
        <w:rPr>
          <w:rFonts w:cs="Open Sans"/>
        </w:rPr>
        <w:t xml:space="preserve"> jeopardise the essence of the right. </w:t>
      </w:r>
    </w:p>
    <w:p w14:paraId="47D7DF79" w14:textId="638FBAB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There is some o</w:t>
      </w:r>
      <w:r w:rsidR="00C207D5">
        <w:rPr>
          <w:rFonts w:cs="Open Sans"/>
        </w:rPr>
        <w:t>verlap between a number of the</w:t>
      </w:r>
      <w:r w:rsidRPr="00AA1A20">
        <w:rPr>
          <w:rFonts w:cs="Open Sans"/>
        </w:rPr>
        <w:t xml:space="preserve"> criteria.</w:t>
      </w:r>
      <w:r w:rsidRPr="00102D26">
        <w:rPr>
          <w:rStyle w:val="EndnoteReference"/>
          <w:vertAlign w:val="superscript"/>
        </w:rPr>
        <w:endnoteReference w:id="36"/>
      </w:r>
      <w:r w:rsidRPr="00AA1A20">
        <w:rPr>
          <w:rFonts w:cs="Open Sans"/>
        </w:rPr>
        <w:t xml:space="preserve"> In particular, the concept of ‘arbitrariness’ in human rights law includes notions of ‘inappropriateness, injustice, lack of predictability and due process of law, as well as elements of reasonableness, necessity and proportionality’.</w:t>
      </w:r>
      <w:r w:rsidRPr="00102D26">
        <w:rPr>
          <w:rStyle w:val="EndnoteReference"/>
          <w:vertAlign w:val="superscript"/>
        </w:rPr>
        <w:endnoteReference w:id="37"/>
      </w:r>
      <w:r w:rsidRPr="00AA1A20">
        <w:rPr>
          <w:rFonts w:cs="Open Sans"/>
        </w:rPr>
        <w:t xml:space="preserve"> </w:t>
      </w:r>
    </w:p>
    <w:p w14:paraId="3585442A" w14:textId="77777777" w:rsidR="002222AF" w:rsidRPr="00AA1A20" w:rsidRDefault="002222AF" w:rsidP="002222AF">
      <w:pPr>
        <w:pStyle w:val="Heading3"/>
        <w:rPr>
          <w:rFonts w:cs="Open Sans"/>
          <w:i/>
        </w:rPr>
      </w:pPr>
      <w:bookmarkStart w:id="111" w:name="_Toc497477034"/>
      <w:bookmarkStart w:id="112" w:name="_Toc526518385"/>
      <w:bookmarkStart w:id="113" w:name="_Toc527107796"/>
      <w:r w:rsidRPr="00AA1A20">
        <w:rPr>
          <w:rFonts w:cs="Open Sans"/>
          <w:i/>
        </w:rPr>
        <w:t>Legitimate aims</w:t>
      </w:r>
      <w:bookmarkEnd w:id="111"/>
      <w:bookmarkEnd w:id="112"/>
      <w:bookmarkEnd w:id="113"/>
    </w:p>
    <w:p w14:paraId="5494D559" w14:textId="65F8E8C3" w:rsidR="002222AF" w:rsidRDefault="002222AF" w:rsidP="002222AF">
      <w:pPr>
        <w:pStyle w:val="ListNumber"/>
        <w:tabs>
          <w:tab w:val="clear" w:pos="360"/>
          <w:tab w:val="num" w:pos="993"/>
          <w:tab w:val="left" w:pos="1418"/>
        </w:tabs>
        <w:ind w:left="709" w:hanging="567"/>
        <w:rPr>
          <w:rFonts w:cs="Open Sans"/>
        </w:rPr>
      </w:pPr>
      <w:r w:rsidRPr="00AA1A20">
        <w:rPr>
          <w:rFonts w:cs="Open Sans"/>
        </w:rPr>
        <w:t>Human rights may be limited where the limitation is necessary and proportionate to achieving a legitimate aim. The protect</w:t>
      </w:r>
      <w:r w:rsidR="008A14FF">
        <w:rPr>
          <w:rFonts w:cs="Open Sans"/>
        </w:rPr>
        <w:t>ion of</w:t>
      </w:r>
      <w:r w:rsidRPr="00AA1A20">
        <w:rPr>
          <w:rFonts w:cs="Open Sans"/>
        </w:rPr>
        <w:t xml:space="preserve"> the human rights of individuals endangered by serious criminal activity, such as the general public, is a legitimate aim. </w:t>
      </w:r>
    </w:p>
    <w:p w14:paraId="6CC9AC38" w14:textId="2F409516" w:rsidR="002222AF"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w:t>
      </w:r>
      <w:r>
        <w:rPr>
          <w:rFonts w:cs="Open Sans"/>
        </w:rPr>
        <w:t>OHCHR</w:t>
      </w:r>
      <w:r w:rsidRPr="00AA1A20">
        <w:rPr>
          <w:rFonts w:cs="Open Sans"/>
        </w:rPr>
        <w:t xml:space="preserve"> has stated that surveillance on the grounds of national security or for the prevention of terrorism or other crime may be a measure that serves a ‘legitimate aim’, but the degree of interference must be assessed against the necessity of the measure to achieve that aim, and the actual benefit it yields towards such a purpose.</w:t>
      </w:r>
      <w:r w:rsidRPr="00102D26">
        <w:rPr>
          <w:rStyle w:val="EndnoteReference"/>
          <w:vertAlign w:val="superscript"/>
        </w:rPr>
        <w:endnoteReference w:id="38"/>
      </w:r>
      <w:r w:rsidR="00EF2642">
        <w:rPr>
          <w:rFonts w:cs="Open Sans"/>
        </w:rPr>
        <w:t xml:space="preserve"> </w:t>
      </w:r>
    </w:p>
    <w:p w14:paraId="229AE1B2" w14:textId="7F24C34A" w:rsidR="00675D6B" w:rsidRPr="00C207D5" w:rsidRDefault="00B91191" w:rsidP="00C207D5">
      <w:pPr>
        <w:pStyle w:val="ListNumber"/>
        <w:tabs>
          <w:tab w:val="clear" w:pos="360"/>
          <w:tab w:val="num" w:pos="993"/>
          <w:tab w:val="left" w:pos="1418"/>
        </w:tabs>
        <w:ind w:left="709" w:hanging="567"/>
        <w:rPr>
          <w:rFonts w:cs="Open Sans"/>
        </w:rPr>
      </w:pPr>
      <w:r w:rsidRPr="00C207D5">
        <w:rPr>
          <w:rFonts w:cs="Open Sans"/>
        </w:rPr>
        <w:t>More generally, t</w:t>
      </w:r>
      <w:r w:rsidR="004E2D5C" w:rsidRPr="00C207D5">
        <w:rPr>
          <w:rFonts w:cs="Open Sans"/>
        </w:rPr>
        <w:t xml:space="preserve">he </w:t>
      </w:r>
      <w:r w:rsidR="00C207D5" w:rsidRPr="00C207D5">
        <w:rPr>
          <w:rFonts w:cs="Open Sans"/>
          <w:i/>
        </w:rPr>
        <w:t xml:space="preserve">Siracusa Principles on the Limitation and Derogation Provisions in the International Covenant on Civil and Political Rights </w:t>
      </w:r>
      <w:r w:rsidR="00C207D5" w:rsidRPr="00C207D5">
        <w:rPr>
          <w:rFonts w:cs="Open Sans"/>
        </w:rPr>
        <w:t>(</w:t>
      </w:r>
      <w:r w:rsidR="00C207D5" w:rsidRPr="00C207D5">
        <w:rPr>
          <w:rFonts w:cs="Open Sans"/>
          <w:i/>
        </w:rPr>
        <w:t>Siracusa Principles</w:t>
      </w:r>
      <w:r w:rsidR="00C207D5" w:rsidRPr="00C207D5">
        <w:rPr>
          <w:rFonts w:cs="Open Sans"/>
        </w:rPr>
        <w:t xml:space="preserve">), </w:t>
      </w:r>
      <w:r w:rsidR="004E2D5C" w:rsidRPr="00C207D5">
        <w:rPr>
          <w:rFonts w:cs="Open Sans"/>
        </w:rPr>
        <w:t>state that national security cannot be used as a pretext for imposing vague or arbitrary</w:t>
      </w:r>
      <w:r w:rsidRPr="00C207D5">
        <w:rPr>
          <w:rFonts w:cs="Open Sans"/>
        </w:rPr>
        <w:t xml:space="preserve"> rights</w:t>
      </w:r>
      <w:r w:rsidR="004E2D5C" w:rsidRPr="00C207D5">
        <w:rPr>
          <w:rFonts w:cs="Open Sans"/>
        </w:rPr>
        <w:t xml:space="preserve"> limitations</w:t>
      </w:r>
      <w:r w:rsidR="006E71F6">
        <w:rPr>
          <w:rFonts w:cs="Open Sans"/>
        </w:rPr>
        <w:t>,</w:t>
      </w:r>
      <w:r w:rsidR="004E2D5C" w:rsidRPr="00C207D5">
        <w:rPr>
          <w:rFonts w:cs="Open Sans"/>
        </w:rPr>
        <w:t xml:space="preserve"> and may only be invoked when there exists adequate safeguards and effective remedies against abuse.</w:t>
      </w:r>
      <w:r w:rsidR="004E2D5C" w:rsidRPr="00102D26">
        <w:rPr>
          <w:rStyle w:val="EndnoteReference"/>
          <w:vertAlign w:val="superscript"/>
        </w:rPr>
        <w:endnoteReference w:id="39"/>
      </w:r>
      <w:r w:rsidR="004E2D5C" w:rsidRPr="00C207D5">
        <w:rPr>
          <w:rFonts w:cs="Open Sans"/>
        </w:rPr>
        <w:t xml:space="preserve"> </w:t>
      </w:r>
      <w:r w:rsidR="00675D6B" w:rsidRPr="00C207D5">
        <w:rPr>
          <w:rFonts w:cs="Open Sans"/>
        </w:rPr>
        <w:t>The term ‘national security’ relates to matters which threaten the existence of the State, its territorial inte</w:t>
      </w:r>
      <w:r w:rsidR="004E2D5C" w:rsidRPr="00C207D5">
        <w:rPr>
          <w:rFonts w:cs="Open Sans"/>
        </w:rPr>
        <w:t>grity or political independence—t</w:t>
      </w:r>
      <w:r w:rsidR="00675D6B" w:rsidRPr="00C207D5">
        <w:rPr>
          <w:rFonts w:cs="Open Sans"/>
        </w:rPr>
        <w:t xml:space="preserve">his is a high threshold and not every law criminalising conduct can properly be described as protecting national security: </w:t>
      </w:r>
    </w:p>
    <w:p w14:paraId="2AD13425" w14:textId="77777777" w:rsidR="00675D6B" w:rsidRPr="00AA1A20" w:rsidRDefault="00675D6B" w:rsidP="00675D6B">
      <w:pPr>
        <w:pStyle w:val="EndnoteText"/>
        <w:rPr>
          <w:rFonts w:cs="Open Sans"/>
        </w:rPr>
      </w:pPr>
      <w:r w:rsidRPr="00AA1A20">
        <w:rPr>
          <w:rFonts w:cs="Open Sans"/>
        </w:rPr>
        <w:t xml:space="preserve">29. National security may be invoked to justify measures limiting certain rights only when they are taken to protect the existence of the nation or its territorial integrity or political independence against force or threat of force. </w:t>
      </w:r>
    </w:p>
    <w:p w14:paraId="36CA380C" w14:textId="5158953A" w:rsidR="00675D6B" w:rsidRPr="00AA1A20" w:rsidRDefault="00675D6B" w:rsidP="00675D6B">
      <w:pPr>
        <w:pStyle w:val="EndnoteText"/>
        <w:rPr>
          <w:rFonts w:cs="Open Sans"/>
        </w:rPr>
      </w:pPr>
      <w:r w:rsidRPr="00AA1A20">
        <w:rPr>
          <w:rFonts w:cs="Open Sans"/>
        </w:rPr>
        <w:t>30. National security cannot be invoked as a reason for imposing limitations to prevent merely local or relatively isolated threats to law and order.</w:t>
      </w:r>
      <w:r w:rsidR="004E2D5C" w:rsidRPr="004E2D5C">
        <w:rPr>
          <w:rStyle w:val="EndnoteReference"/>
          <w:vertAlign w:val="superscript"/>
        </w:rPr>
        <w:t xml:space="preserve"> </w:t>
      </w:r>
      <w:r w:rsidR="004E2D5C" w:rsidRPr="00102D26">
        <w:rPr>
          <w:rStyle w:val="EndnoteReference"/>
          <w:vertAlign w:val="superscript"/>
        </w:rPr>
        <w:endnoteReference w:id="40"/>
      </w:r>
      <w:r w:rsidRPr="00AA1A20">
        <w:rPr>
          <w:rFonts w:cs="Open Sans"/>
        </w:rPr>
        <w:t xml:space="preserve"> </w:t>
      </w:r>
    </w:p>
    <w:p w14:paraId="0FE0C7F9" w14:textId="77777777" w:rsidR="002222AF" w:rsidRPr="00AA1A20" w:rsidRDefault="002222AF" w:rsidP="002222AF">
      <w:pPr>
        <w:pStyle w:val="Heading3"/>
        <w:rPr>
          <w:rFonts w:cs="Open Sans"/>
          <w:i/>
        </w:rPr>
      </w:pPr>
      <w:bookmarkStart w:id="114" w:name="_Toc497477036"/>
      <w:bookmarkStart w:id="115" w:name="_Toc526518386"/>
      <w:bookmarkStart w:id="116" w:name="_Toc527107797"/>
      <w:r w:rsidRPr="00AA1A20">
        <w:rPr>
          <w:rFonts w:cs="Open Sans"/>
          <w:i/>
        </w:rPr>
        <w:t>Necessity</w:t>
      </w:r>
      <w:bookmarkEnd w:id="114"/>
      <w:bookmarkEnd w:id="115"/>
      <w:bookmarkEnd w:id="116"/>
    </w:p>
    <w:p w14:paraId="3D645707" w14:textId="6D1BDF85"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A measure which </w:t>
      </w:r>
      <w:r w:rsidR="00B939F6">
        <w:rPr>
          <w:rFonts w:cs="Open Sans"/>
        </w:rPr>
        <w:t>limits</w:t>
      </w:r>
      <w:r w:rsidR="00B939F6" w:rsidRPr="00AA1A20">
        <w:rPr>
          <w:rFonts w:cs="Open Sans"/>
        </w:rPr>
        <w:t xml:space="preserve"> </w:t>
      </w:r>
      <w:r w:rsidRPr="00AA1A20">
        <w:rPr>
          <w:rFonts w:cs="Open Sans"/>
        </w:rPr>
        <w:t xml:space="preserve">human rights cannot be justified unless it is necessary. This is a vital consideration in the law enforcement context, given that there may be numerous methods of gathering evidence. </w:t>
      </w:r>
    </w:p>
    <w:p w14:paraId="4D6B6A87" w14:textId="26F2663C" w:rsidR="002222AF"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 xml:space="preserve">To be ‘necessary’, a </w:t>
      </w:r>
      <w:r w:rsidR="00B939F6">
        <w:rPr>
          <w:rFonts w:cs="Open Sans"/>
        </w:rPr>
        <w:t>rights limitation</w:t>
      </w:r>
      <w:r w:rsidR="00B939F6" w:rsidRPr="00AA1A20">
        <w:rPr>
          <w:rFonts w:cs="Open Sans"/>
        </w:rPr>
        <w:t xml:space="preserve"> </w:t>
      </w:r>
      <w:r w:rsidRPr="00AA1A20">
        <w:rPr>
          <w:rFonts w:cs="Open Sans"/>
        </w:rPr>
        <w:t>must</w:t>
      </w:r>
      <w:r w:rsidR="00F05553">
        <w:rPr>
          <w:rFonts w:cs="Open Sans"/>
        </w:rPr>
        <w:t>:</w:t>
      </w:r>
      <w:r w:rsidRPr="00AA1A20">
        <w:rPr>
          <w:rFonts w:cs="Open Sans"/>
        </w:rPr>
        <w:t xml:space="preserve"> be based on one of the grounds justifying limitation that</w:t>
      </w:r>
      <w:r w:rsidR="00F05553">
        <w:rPr>
          <w:rFonts w:cs="Open Sans"/>
        </w:rPr>
        <w:t xml:space="preserve"> </w:t>
      </w:r>
      <w:r w:rsidRPr="00AA1A20">
        <w:rPr>
          <w:rFonts w:cs="Open Sans"/>
        </w:rPr>
        <w:t xml:space="preserve">are recognised in the ICCPR; respond to a pressing public or social need; pursue a legitimate aim; and </w:t>
      </w:r>
      <w:r w:rsidR="00F05553">
        <w:rPr>
          <w:rFonts w:cs="Open Sans"/>
        </w:rPr>
        <w:t>be</w:t>
      </w:r>
      <w:r w:rsidR="00F05553" w:rsidRPr="00AA1A20">
        <w:rPr>
          <w:rFonts w:cs="Open Sans"/>
        </w:rPr>
        <w:t xml:space="preserve"> </w:t>
      </w:r>
      <w:r w:rsidRPr="00AA1A20">
        <w:rPr>
          <w:rFonts w:cs="Open Sans"/>
        </w:rPr>
        <w:t>proportionate to that aim.</w:t>
      </w:r>
      <w:r w:rsidRPr="00102D26">
        <w:rPr>
          <w:rStyle w:val="EndnoteReference"/>
          <w:vertAlign w:val="superscript"/>
        </w:rPr>
        <w:endnoteReference w:id="41"/>
      </w:r>
      <w:r w:rsidRPr="00AA1A20">
        <w:rPr>
          <w:rFonts w:cs="Open Sans"/>
        </w:rPr>
        <w:t xml:space="preserve"> </w:t>
      </w:r>
    </w:p>
    <w:p w14:paraId="2CE2A5B8" w14:textId="297CAACD" w:rsidR="002222AF" w:rsidRDefault="002222AF" w:rsidP="002222AF">
      <w:pPr>
        <w:pStyle w:val="ListNumber"/>
        <w:tabs>
          <w:tab w:val="clear" w:pos="360"/>
          <w:tab w:val="num" w:pos="993"/>
          <w:tab w:val="left" w:pos="1418"/>
        </w:tabs>
        <w:ind w:left="709" w:hanging="567"/>
        <w:rPr>
          <w:rFonts w:cs="Open Sans"/>
        </w:rPr>
      </w:pPr>
      <w:r w:rsidRPr="00AA1A20">
        <w:rPr>
          <w:rFonts w:cs="Open Sans"/>
        </w:rPr>
        <w:t xml:space="preserve">A measure is not necessary if the aim of that measure could be achieved through less rights-intrusive means. Similarly, a restrictive measure cannot be said to be necessary if it essentially duplicates existing measures. </w:t>
      </w:r>
    </w:p>
    <w:p w14:paraId="3C3D62E6" w14:textId="77777777" w:rsidR="004645FA" w:rsidRPr="00AA1A20" w:rsidRDefault="004645FA" w:rsidP="004645FA">
      <w:pPr>
        <w:pStyle w:val="ListNumber"/>
        <w:tabs>
          <w:tab w:val="clear" w:pos="360"/>
          <w:tab w:val="num" w:pos="993"/>
          <w:tab w:val="left" w:pos="1418"/>
        </w:tabs>
        <w:ind w:left="709" w:hanging="567"/>
        <w:rPr>
          <w:rFonts w:cs="Open Sans"/>
        </w:rPr>
      </w:pPr>
      <w:r w:rsidRPr="00AA1A20">
        <w:rPr>
          <w:rFonts w:cs="Open Sans"/>
        </w:rPr>
        <w:t>Any assessment as to the necessity of a limitation is to be made on objective considerations. The burden of justifying a limitation of a human right lies with the State.</w:t>
      </w:r>
      <w:r w:rsidRPr="00102D26">
        <w:rPr>
          <w:rStyle w:val="EndnoteReference"/>
          <w:vertAlign w:val="superscript"/>
        </w:rPr>
        <w:endnoteReference w:id="42"/>
      </w:r>
      <w:r w:rsidRPr="00AA1A20">
        <w:rPr>
          <w:rFonts w:cs="Open Sans"/>
        </w:rPr>
        <w:t xml:space="preserve"> </w:t>
      </w:r>
    </w:p>
    <w:p w14:paraId="0DFC542C" w14:textId="51671D86" w:rsidR="002222AF" w:rsidRDefault="002222AF" w:rsidP="002222AF">
      <w:pPr>
        <w:pStyle w:val="ListNumber"/>
        <w:tabs>
          <w:tab w:val="clear" w:pos="360"/>
          <w:tab w:val="num" w:pos="993"/>
          <w:tab w:val="left" w:pos="1418"/>
        </w:tabs>
        <w:ind w:left="709" w:hanging="567"/>
        <w:rPr>
          <w:rFonts w:cs="Open Sans"/>
        </w:rPr>
      </w:pPr>
      <w:r w:rsidRPr="00AA1A20">
        <w:rPr>
          <w:rFonts w:cs="Open Sans"/>
        </w:rPr>
        <w:t>There is a real risk that law enforcement powers will limit human rights to a greater degree than is necessary through ‘legislative creep’. That is, intrusive and previously extraordinary law enforcement powers can quickly become normalised through successive legislation and practice, and used as a precedent to justify even more invasive future measures.</w:t>
      </w:r>
      <w:r w:rsidRPr="00102D26">
        <w:rPr>
          <w:rStyle w:val="EndnoteReference"/>
          <w:vertAlign w:val="superscript"/>
        </w:rPr>
        <w:endnoteReference w:id="43"/>
      </w:r>
      <w:r w:rsidRPr="00AA1A20">
        <w:rPr>
          <w:rFonts w:cs="Open Sans"/>
        </w:rPr>
        <w:t xml:space="preserve"> </w:t>
      </w:r>
    </w:p>
    <w:p w14:paraId="2435C4AC" w14:textId="59825578"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To establish necessity, the proposed reforms in the </w:t>
      </w:r>
      <w:r>
        <w:rPr>
          <w:rFonts w:cs="Open Sans"/>
        </w:rPr>
        <w:t>Bill</w:t>
      </w:r>
      <w:r w:rsidRPr="00AA1A20">
        <w:rPr>
          <w:rFonts w:cs="Open Sans"/>
        </w:rPr>
        <w:t xml:space="preserve"> must be closely scrutinised to determine whether they go beyond what is </w:t>
      </w:r>
      <w:r w:rsidR="00CF7349">
        <w:rPr>
          <w:rFonts w:cs="Open Sans"/>
        </w:rPr>
        <w:t xml:space="preserve">genuinely needed for the purposes of </w:t>
      </w:r>
      <w:r w:rsidRPr="00AA1A20">
        <w:rPr>
          <w:rFonts w:cs="Open Sans"/>
        </w:rPr>
        <w:t>law enforcement.</w:t>
      </w:r>
    </w:p>
    <w:p w14:paraId="3DC6C62A" w14:textId="77777777" w:rsidR="002222AF" w:rsidRPr="00AA1A20" w:rsidRDefault="002222AF" w:rsidP="002222AF">
      <w:pPr>
        <w:pStyle w:val="Heading3"/>
        <w:rPr>
          <w:rFonts w:cs="Open Sans"/>
          <w:i/>
        </w:rPr>
      </w:pPr>
      <w:bookmarkStart w:id="117" w:name="_Toc497477037"/>
      <w:bookmarkStart w:id="118" w:name="_Ref524084141"/>
      <w:bookmarkStart w:id="119" w:name="_Toc526518387"/>
      <w:bookmarkStart w:id="120" w:name="_Toc527107798"/>
      <w:r w:rsidRPr="00AA1A20">
        <w:rPr>
          <w:rFonts w:cs="Open Sans"/>
          <w:i/>
        </w:rPr>
        <w:t>Proportionality</w:t>
      </w:r>
      <w:bookmarkEnd w:id="117"/>
      <w:bookmarkEnd w:id="118"/>
      <w:bookmarkEnd w:id="119"/>
      <w:bookmarkEnd w:id="120"/>
    </w:p>
    <w:p w14:paraId="0DACFE45" w14:textId="490B474B" w:rsidR="002222AF" w:rsidRPr="00AA1A20" w:rsidRDefault="00541FD9" w:rsidP="002222AF">
      <w:pPr>
        <w:pStyle w:val="ListNumber"/>
        <w:tabs>
          <w:tab w:val="clear" w:pos="360"/>
          <w:tab w:val="num" w:pos="993"/>
          <w:tab w:val="left" w:pos="1418"/>
        </w:tabs>
        <w:ind w:left="709" w:hanging="567"/>
        <w:rPr>
          <w:rFonts w:cs="Open Sans"/>
        </w:rPr>
      </w:pPr>
      <w:r w:rsidRPr="00AA1A20">
        <w:rPr>
          <w:rFonts w:cs="Open Sans"/>
        </w:rPr>
        <w:t xml:space="preserve">The </w:t>
      </w:r>
      <w:r w:rsidRPr="00580F29">
        <w:rPr>
          <w:rFonts w:cs="Open Sans"/>
          <w:i/>
        </w:rPr>
        <w:t>Siracusa Principles</w:t>
      </w:r>
      <w:r>
        <w:rPr>
          <w:rFonts w:cs="Open Sans"/>
          <w:i/>
        </w:rPr>
        <w:t xml:space="preserve"> </w:t>
      </w:r>
      <w:r>
        <w:rPr>
          <w:rFonts w:cs="Open Sans"/>
        </w:rPr>
        <w:t>state that</w:t>
      </w:r>
      <w:r w:rsidRPr="00AA1A20">
        <w:rPr>
          <w:rFonts w:cs="Open Sans"/>
        </w:rPr>
        <w:t xml:space="preserve"> </w:t>
      </w:r>
      <w:r w:rsidR="006E71F6">
        <w:rPr>
          <w:rFonts w:cs="Open Sans"/>
        </w:rPr>
        <w:t>a rights limitation</w:t>
      </w:r>
      <w:r w:rsidR="00C207D5">
        <w:rPr>
          <w:rFonts w:cs="Open Sans"/>
        </w:rPr>
        <w:t xml:space="preserve"> must pursue a legitimate aim and be proportionate to that aim.</w:t>
      </w:r>
      <w:r w:rsidR="00C207D5" w:rsidRPr="00102D26">
        <w:rPr>
          <w:rStyle w:val="EndnoteReference"/>
          <w:vertAlign w:val="superscript"/>
        </w:rPr>
        <w:endnoteReference w:id="44"/>
      </w:r>
      <w:r w:rsidR="00C207D5">
        <w:rPr>
          <w:rFonts w:cs="Open Sans"/>
        </w:rPr>
        <w:t xml:space="preserve"> </w:t>
      </w:r>
      <w:r w:rsidR="002222AF" w:rsidRPr="00AA1A20">
        <w:rPr>
          <w:rFonts w:cs="Open Sans"/>
        </w:rPr>
        <w:t xml:space="preserve">Assessing whether </w:t>
      </w:r>
      <w:r w:rsidR="006E71F6">
        <w:rPr>
          <w:rFonts w:cs="Open Sans"/>
        </w:rPr>
        <w:t>a limitation</w:t>
      </w:r>
      <w:r w:rsidR="002222AF" w:rsidRPr="00AA1A20">
        <w:rPr>
          <w:rFonts w:cs="Open Sans"/>
        </w:rPr>
        <w:t xml:space="preserve"> </w:t>
      </w:r>
      <w:r w:rsidR="006E71F6">
        <w:rPr>
          <w:rFonts w:cs="Open Sans"/>
        </w:rPr>
        <w:t>is</w:t>
      </w:r>
      <w:r w:rsidR="002222AF" w:rsidRPr="00AA1A20">
        <w:rPr>
          <w:rFonts w:cs="Open Sans"/>
        </w:rPr>
        <w:t xml:space="preserve"> proportionate to the pursuit of a legitimate objective requires an assessment of the nature and extent of each limitation, the urgency of the objective, and the degree to which the rights-limiting measure is likely to achieve the objective. </w:t>
      </w:r>
    </w:p>
    <w:p w14:paraId="40A35BB5" w14:textId="77777777"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The UN HR Committee has provided the following guidance on proportionality:</w:t>
      </w:r>
    </w:p>
    <w:p w14:paraId="560202E6" w14:textId="77777777" w:rsidR="002222AF" w:rsidRPr="00AA1A20" w:rsidRDefault="002222AF" w:rsidP="002222AF">
      <w:pPr>
        <w:pStyle w:val="EndnoteText"/>
        <w:rPr>
          <w:rFonts w:cs="Open Sans"/>
        </w:rPr>
      </w:pPr>
      <w:r w:rsidRPr="00AA1A20">
        <w:rPr>
          <w:rFonts w:cs="Open Sans"/>
        </w:rPr>
        <w:t>Restrictive measures must conform to the principle of proportionality; they must be appropriate to achieve their protective function; they must be the least intrusive instrument amongst those which might achieve the desired result; and they must be proportionate to the interest to be protected. The principle of proportionality has to be respected not only in the law that frames the restrictions, but also by the administrative and judicial authorities in applying the law.</w:t>
      </w:r>
      <w:r w:rsidRPr="00102D26">
        <w:rPr>
          <w:rStyle w:val="EndnoteReference"/>
          <w:vertAlign w:val="superscript"/>
          <w:lang w:val="en-US"/>
        </w:rPr>
        <w:endnoteReference w:id="45"/>
      </w:r>
    </w:p>
    <w:p w14:paraId="26360AB9" w14:textId="635AE9E8"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w:t>
      </w:r>
      <w:r w:rsidR="00CB495B" w:rsidRPr="00580F29">
        <w:rPr>
          <w:rFonts w:cs="Open Sans"/>
          <w:i/>
        </w:rPr>
        <w:t>Siracusa Principles</w:t>
      </w:r>
      <w:r w:rsidR="00CB495B">
        <w:rPr>
          <w:rFonts w:cs="Open Sans"/>
          <w:i/>
        </w:rPr>
        <w:t xml:space="preserve"> </w:t>
      </w:r>
      <w:r w:rsidR="00CB495B">
        <w:rPr>
          <w:rFonts w:cs="Open Sans"/>
        </w:rPr>
        <w:t>state that</w:t>
      </w:r>
      <w:r w:rsidRPr="00AA1A20">
        <w:rPr>
          <w:rFonts w:cs="Open Sans"/>
        </w:rPr>
        <w:t xml:space="preserve">, even </w:t>
      </w:r>
      <w:r w:rsidRPr="00AA1A20">
        <w:rPr>
          <w:rFonts w:cs="Open Sans"/>
          <w:lang w:val="en-US"/>
        </w:rPr>
        <w:t>during</w:t>
      </w:r>
      <w:r w:rsidRPr="00AA1A20">
        <w:rPr>
          <w:rFonts w:cs="Open Sans"/>
        </w:rPr>
        <w:t xml:space="preserve"> a public emergency that threatens the life of a nation,</w:t>
      </w:r>
      <w:r w:rsidR="00CB495B">
        <w:rPr>
          <w:rFonts w:cs="Open Sans"/>
        </w:rPr>
        <w:t xml:space="preserve"> any measure that derogates</w:t>
      </w:r>
      <w:r w:rsidRPr="00AA1A20">
        <w:rPr>
          <w:rFonts w:cs="Open Sans"/>
        </w:rPr>
        <w:t xml:space="preserve"> from a State’s ICCPR obligations must be strictly necessary to deal with the threat, and proportionate to the nature and extent of the threat.</w:t>
      </w:r>
      <w:r w:rsidRPr="00102D26">
        <w:rPr>
          <w:rStyle w:val="EndnoteReference"/>
          <w:vertAlign w:val="superscript"/>
        </w:rPr>
        <w:endnoteReference w:id="46"/>
      </w:r>
    </w:p>
    <w:p w14:paraId="02461488" w14:textId="7815B1B6"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 xml:space="preserve">A fully informed assessment of these issues may, in some circumstances, depend on the consideration of classified security material. Therefore, relevant decision makers empowered to give notices or to obtain warrants under the </w:t>
      </w:r>
      <w:r>
        <w:rPr>
          <w:rFonts w:cs="Open Sans"/>
        </w:rPr>
        <w:t>Bill</w:t>
      </w:r>
      <w:r w:rsidRPr="00AA1A20">
        <w:rPr>
          <w:rFonts w:cs="Open Sans"/>
        </w:rPr>
        <w:t xml:space="preserve"> are uniquely placed to assess proportionality. In the Commission’s view, it is accordingly crucial that human right</w:t>
      </w:r>
      <w:r>
        <w:rPr>
          <w:rFonts w:cs="Open Sans"/>
        </w:rPr>
        <w:t>s</w:t>
      </w:r>
      <w:r w:rsidRPr="00AA1A20">
        <w:rPr>
          <w:rFonts w:cs="Open Sans"/>
        </w:rPr>
        <w:t xml:space="preserve"> protections are built into the decision-making process, to ensure proper consideration of human rights by decision makers in all the relevant circumstances.</w:t>
      </w:r>
    </w:p>
    <w:p w14:paraId="558E5728" w14:textId="734F7A24" w:rsidR="002222AF" w:rsidRPr="00AA1A20" w:rsidRDefault="002222AF" w:rsidP="002222AF">
      <w:pPr>
        <w:pStyle w:val="Heading1"/>
        <w:tabs>
          <w:tab w:val="clear" w:pos="851"/>
          <w:tab w:val="num" w:pos="1418"/>
        </w:tabs>
        <w:rPr>
          <w:rFonts w:cs="Open Sans"/>
        </w:rPr>
      </w:pPr>
      <w:bookmarkStart w:id="121" w:name="_Ref524288743"/>
      <w:bookmarkStart w:id="122" w:name="_Toc526518388"/>
      <w:bookmarkStart w:id="123" w:name="_Toc527107799"/>
      <w:r w:rsidRPr="00AA1A20">
        <w:rPr>
          <w:rFonts w:cs="Open Sans"/>
        </w:rPr>
        <w:t>The Bill</w:t>
      </w:r>
      <w:bookmarkEnd w:id="121"/>
      <w:bookmarkEnd w:id="122"/>
      <w:bookmarkEnd w:id="123"/>
    </w:p>
    <w:p w14:paraId="50B28AC0" w14:textId="6580905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key changes introduced by the </w:t>
      </w:r>
      <w:r w:rsidR="00DC1D8E">
        <w:rPr>
          <w:rFonts w:cs="Open Sans"/>
        </w:rPr>
        <w:t>Bill</w:t>
      </w:r>
      <w:r w:rsidRPr="00AA1A20">
        <w:rPr>
          <w:rFonts w:cs="Open Sans"/>
        </w:rPr>
        <w:t xml:space="preserve"> are: </w:t>
      </w:r>
    </w:p>
    <w:p w14:paraId="6C81C3D6" w14:textId="4B0DB223" w:rsidR="002222AF" w:rsidRPr="00AA1A20" w:rsidRDefault="002222AF" w:rsidP="002222AF">
      <w:pPr>
        <w:pStyle w:val="Bullet"/>
        <w:numPr>
          <w:ilvl w:val="0"/>
          <w:numId w:val="16"/>
        </w:numPr>
        <w:rPr>
          <w:rFonts w:cs="Open Sans"/>
        </w:rPr>
      </w:pPr>
      <w:r w:rsidRPr="00AA1A20">
        <w:rPr>
          <w:rFonts w:cs="Open Sans"/>
        </w:rPr>
        <w:t>enhanced obligations of designated communications providers, including both onshore and offshore providers, to assist national security</w:t>
      </w:r>
      <w:r w:rsidR="0084690E">
        <w:rPr>
          <w:rFonts w:cs="Open Sans"/>
        </w:rPr>
        <w:t>, intelligence</w:t>
      </w:r>
      <w:r w:rsidRPr="00AA1A20">
        <w:rPr>
          <w:rFonts w:cs="Open Sans"/>
        </w:rPr>
        <w:t xml:space="preserve"> and law enforcement agencies </w:t>
      </w:r>
    </w:p>
    <w:p w14:paraId="4942CBA6" w14:textId="77777777" w:rsidR="002222AF" w:rsidRPr="00AA1A20" w:rsidRDefault="002222AF" w:rsidP="002222AF">
      <w:pPr>
        <w:pStyle w:val="Bullet"/>
        <w:numPr>
          <w:ilvl w:val="0"/>
          <w:numId w:val="16"/>
        </w:numPr>
        <w:tabs>
          <w:tab w:val="num" w:pos="2127"/>
        </w:tabs>
        <w:rPr>
          <w:rFonts w:cs="Open Sans"/>
        </w:rPr>
      </w:pPr>
      <w:r w:rsidRPr="00AA1A20">
        <w:rPr>
          <w:rFonts w:cs="Open Sans"/>
        </w:rPr>
        <w:t>introduction of a new computer access warrant that will enable covert gathering of evidence directly from a device</w:t>
      </w:r>
    </w:p>
    <w:p w14:paraId="228B7028" w14:textId="77777777" w:rsidR="002222AF" w:rsidRPr="00AA1A20" w:rsidRDefault="002222AF" w:rsidP="002222AF">
      <w:pPr>
        <w:pStyle w:val="Bullet"/>
        <w:numPr>
          <w:ilvl w:val="0"/>
          <w:numId w:val="16"/>
        </w:numPr>
        <w:tabs>
          <w:tab w:val="num" w:pos="2127"/>
        </w:tabs>
        <w:rPr>
          <w:rFonts w:cs="Open Sans"/>
        </w:rPr>
      </w:pPr>
      <w:r w:rsidRPr="00AA1A20">
        <w:rPr>
          <w:rFonts w:cs="Open Sans"/>
        </w:rPr>
        <w:t xml:space="preserve">the strengthened ability of law enforcement and national security authorities to access data overtly through existing search and seizure warrants. </w:t>
      </w:r>
    </w:p>
    <w:p w14:paraId="5A5A61A2" w14:textId="50EB5071" w:rsidR="002222AF" w:rsidRPr="00AA1A20" w:rsidRDefault="002222AF" w:rsidP="002222AF">
      <w:pPr>
        <w:pStyle w:val="Heading2"/>
        <w:tabs>
          <w:tab w:val="clear" w:pos="851"/>
          <w:tab w:val="num" w:pos="1418"/>
        </w:tabs>
        <w:rPr>
          <w:rFonts w:cs="Open Sans"/>
        </w:rPr>
      </w:pPr>
      <w:bookmarkStart w:id="124" w:name="_Toc526518389"/>
      <w:bookmarkStart w:id="125" w:name="_Toc527107800"/>
      <w:r w:rsidRPr="00AA1A20">
        <w:rPr>
          <w:rFonts w:cs="Open Sans"/>
        </w:rPr>
        <w:t xml:space="preserve">Provider assistance </w:t>
      </w:r>
      <w:r w:rsidR="000A4DD2">
        <w:rPr>
          <w:rFonts w:cs="Open Sans"/>
        </w:rPr>
        <w:t>scheme</w:t>
      </w:r>
      <w:r w:rsidR="000A4DD2" w:rsidRPr="00AA1A20">
        <w:rPr>
          <w:rFonts w:cs="Open Sans"/>
        </w:rPr>
        <w:t xml:space="preserve"> </w:t>
      </w:r>
      <w:r w:rsidRPr="00AA1A20">
        <w:rPr>
          <w:rFonts w:cs="Open Sans"/>
        </w:rPr>
        <w:t>(Schedule 1)</w:t>
      </w:r>
      <w:bookmarkEnd w:id="124"/>
      <w:bookmarkEnd w:id="125"/>
    </w:p>
    <w:p w14:paraId="5860590B" w14:textId="6D2E58AF"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w:t>
      </w:r>
      <w:r>
        <w:rPr>
          <w:rFonts w:cs="Open Sans"/>
        </w:rPr>
        <w:t>Bill</w:t>
      </w:r>
      <w:r w:rsidRPr="00AA1A20">
        <w:rPr>
          <w:rFonts w:cs="Open Sans"/>
        </w:rPr>
        <w:t xml:space="preserve"> </w:t>
      </w:r>
      <w:r w:rsidR="006D3569">
        <w:rPr>
          <w:rFonts w:cs="Open Sans"/>
        </w:rPr>
        <w:t xml:space="preserve">would </w:t>
      </w:r>
      <w:r w:rsidR="00E335AB">
        <w:rPr>
          <w:rFonts w:cs="Open Sans"/>
        </w:rPr>
        <w:t>introduce</w:t>
      </w:r>
      <w:r w:rsidR="006D3569" w:rsidRPr="00AA1A20">
        <w:rPr>
          <w:rFonts w:cs="Open Sans"/>
        </w:rPr>
        <w:t xml:space="preserve"> </w:t>
      </w:r>
      <w:r w:rsidRPr="00AA1A20">
        <w:rPr>
          <w:rFonts w:cs="Open Sans"/>
        </w:rPr>
        <w:t xml:space="preserve">a new Pt 15 </w:t>
      </w:r>
      <w:r w:rsidR="00E335AB">
        <w:rPr>
          <w:rFonts w:cs="Open Sans"/>
        </w:rPr>
        <w:t>into</w:t>
      </w:r>
      <w:r w:rsidR="00E335AB" w:rsidRPr="00AA1A20">
        <w:rPr>
          <w:rFonts w:cs="Open Sans"/>
        </w:rPr>
        <w:t xml:space="preserve"> </w:t>
      </w:r>
      <w:r w:rsidRPr="00AA1A20">
        <w:rPr>
          <w:rFonts w:cs="Open Sans"/>
        </w:rPr>
        <w:t xml:space="preserve">the </w:t>
      </w:r>
      <w:r w:rsidRPr="00AA1A20">
        <w:rPr>
          <w:rFonts w:cs="Open Sans"/>
          <w:i/>
        </w:rPr>
        <w:t>Telecommunications Act 1997</w:t>
      </w:r>
      <w:r w:rsidRPr="00AA1A20">
        <w:rPr>
          <w:rFonts w:cs="Open Sans"/>
        </w:rPr>
        <w:t xml:space="preserve"> (Cth), which establishes </w:t>
      </w:r>
      <w:r w:rsidR="00E335AB">
        <w:rPr>
          <w:rFonts w:cs="Open Sans"/>
        </w:rPr>
        <w:t xml:space="preserve">what is </w:t>
      </w:r>
      <w:r w:rsidR="006D3569">
        <w:rPr>
          <w:rFonts w:cs="Open Sans"/>
        </w:rPr>
        <w:t>described in the Explanatory Memorandum as a</w:t>
      </w:r>
      <w:r w:rsidRPr="00AA1A20">
        <w:rPr>
          <w:rFonts w:cs="Open Sans"/>
        </w:rPr>
        <w:t xml:space="preserve"> ‘</w:t>
      </w:r>
      <w:r>
        <w:rPr>
          <w:rFonts w:cs="Open Sans"/>
        </w:rPr>
        <w:t>new graduated approach to industry assistance’</w:t>
      </w:r>
      <w:r w:rsidRPr="00AA1A20">
        <w:rPr>
          <w:rFonts w:cs="Open Sans"/>
        </w:rPr>
        <w:t>.</w:t>
      </w:r>
      <w:r w:rsidRPr="00102D26">
        <w:rPr>
          <w:rStyle w:val="EndnoteReference"/>
          <w:vertAlign w:val="superscript"/>
        </w:rPr>
        <w:endnoteReference w:id="47"/>
      </w:r>
      <w:r w:rsidRPr="00AA1A20">
        <w:rPr>
          <w:rFonts w:cs="Open Sans"/>
        </w:rPr>
        <w:t xml:space="preserve"> Th</w:t>
      </w:r>
      <w:r>
        <w:rPr>
          <w:rFonts w:cs="Open Sans"/>
        </w:rPr>
        <w:t xml:space="preserve">is approach </w:t>
      </w:r>
      <w:r w:rsidRPr="00AA1A20">
        <w:rPr>
          <w:rFonts w:cs="Open Sans"/>
        </w:rPr>
        <w:t xml:space="preserve">empowers certain law enforcement and national security agencies to request or compel ‘designated communications providers’ to </w:t>
      </w:r>
      <w:r>
        <w:rPr>
          <w:rFonts w:cs="Open Sans"/>
        </w:rPr>
        <w:t>provide technical assistance by performing</w:t>
      </w:r>
      <w:r w:rsidRPr="00AA1A20">
        <w:rPr>
          <w:rFonts w:cs="Open Sans"/>
        </w:rPr>
        <w:t xml:space="preserve"> ‘acts or things’ in prescribed circumstances.</w:t>
      </w:r>
      <w:r w:rsidRPr="00102D26">
        <w:rPr>
          <w:rStyle w:val="EndnoteReference"/>
          <w:vertAlign w:val="superscript"/>
        </w:rPr>
        <w:endnoteReference w:id="48"/>
      </w:r>
      <w:r w:rsidRPr="00AA1A20">
        <w:rPr>
          <w:rFonts w:cs="Open Sans"/>
        </w:rPr>
        <w:t xml:space="preserve"> </w:t>
      </w:r>
    </w:p>
    <w:p w14:paraId="0344E8FF" w14:textId="146B6B7B"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w:t>
      </w:r>
      <w:r>
        <w:rPr>
          <w:rFonts w:cs="Open Sans"/>
        </w:rPr>
        <w:t>Explanatory Memorandum</w:t>
      </w:r>
      <w:r w:rsidRPr="00AA1A20">
        <w:rPr>
          <w:rFonts w:cs="Open Sans"/>
        </w:rPr>
        <w:t xml:space="preserve"> states that </w:t>
      </w:r>
      <w:r w:rsidR="006D3569">
        <w:rPr>
          <w:rFonts w:cs="Open Sans"/>
        </w:rPr>
        <w:t>t</w:t>
      </w:r>
      <w:r w:rsidRPr="00AA1A20">
        <w:rPr>
          <w:rFonts w:cs="Open Sans"/>
        </w:rPr>
        <w:t xml:space="preserve">he assistance powers under proposed new Pt 15 of the </w:t>
      </w:r>
      <w:r w:rsidRPr="00AA1A20">
        <w:rPr>
          <w:rFonts w:cs="Open Sans"/>
          <w:i/>
        </w:rPr>
        <w:t>Telecommunications Act 1997</w:t>
      </w:r>
      <w:r w:rsidRPr="00AA1A20">
        <w:rPr>
          <w:rFonts w:cs="Open Sans"/>
        </w:rPr>
        <w:t xml:space="preserve"> (Cth) will not in themselves</w:t>
      </w:r>
      <w:r w:rsidR="006D3569">
        <w:rPr>
          <w:rFonts w:cs="Open Sans"/>
        </w:rPr>
        <w:t xml:space="preserve"> allow access to personal information like </w:t>
      </w:r>
      <w:r w:rsidR="00DD196E">
        <w:rPr>
          <w:rFonts w:cs="Open Sans"/>
        </w:rPr>
        <w:t>‘</w:t>
      </w:r>
      <w:r w:rsidR="006D3569">
        <w:rPr>
          <w:rFonts w:cs="Open Sans"/>
        </w:rPr>
        <w:t>telecommunications intercept material, telecommunications content and telecommunication</w:t>
      </w:r>
      <w:r w:rsidR="00DD196E">
        <w:rPr>
          <w:rFonts w:cs="Open Sans"/>
        </w:rPr>
        <w:t>s</w:t>
      </w:r>
      <w:r w:rsidR="006D3569">
        <w:rPr>
          <w:rFonts w:cs="Open Sans"/>
        </w:rPr>
        <w:t xml:space="preserve"> dat</w:t>
      </w:r>
      <w:r w:rsidR="008A14FF">
        <w:rPr>
          <w:rFonts w:cs="Open Sans"/>
        </w:rPr>
        <w:t>a</w:t>
      </w:r>
      <w:r w:rsidR="00DD196E">
        <w:rPr>
          <w:rFonts w:cs="Open Sans"/>
        </w:rPr>
        <w:t>’</w:t>
      </w:r>
      <w:r w:rsidR="006D3569">
        <w:rPr>
          <w:rFonts w:cs="Open Sans"/>
        </w:rPr>
        <w:t xml:space="preserve">, </w:t>
      </w:r>
      <w:r w:rsidR="0088432C">
        <w:rPr>
          <w:rFonts w:cs="Open Sans"/>
        </w:rPr>
        <w:t xml:space="preserve">all of </w:t>
      </w:r>
      <w:r w:rsidR="006D3569">
        <w:rPr>
          <w:rFonts w:cs="Open Sans"/>
        </w:rPr>
        <w:t>which will continue to</w:t>
      </w:r>
      <w:r w:rsidRPr="00AA1A20">
        <w:rPr>
          <w:rFonts w:cs="Open Sans"/>
        </w:rPr>
        <w:t xml:space="preserve"> require </w:t>
      </w:r>
      <w:r w:rsidR="006D3569">
        <w:rPr>
          <w:rFonts w:cs="Open Sans"/>
        </w:rPr>
        <w:t>a warrant or authorisation pursuant to existing law</w:t>
      </w:r>
      <w:r w:rsidRPr="00AA1A20">
        <w:rPr>
          <w:rFonts w:cs="Open Sans"/>
        </w:rPr>
        <w:t>.</w:t>
      </w:r>
      <w:r w:rsidRPr="00102D26">
        <w:rPr>
          <w:rStyle w:val="EndnoteReference"/>
          <w:vertAlign w:val="superscript"/>
        </w:rPr>
        <w:endnoteReference w:id="49"/>
      </w:r>
    </w:p>
    <w:p w14:paraId="05AB24A1" w14:textId="5B9494B8"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However, as will be discussed below, the breadth of the proposed powers under the </w:t>
      </w:r>
      <w:r w:rsidR="00D42039">
        <w:rPr>
          <w:rFonts w:cs="Open Sans"/>
        </w:rPr>
        <w:t>new ‘</w:t>
      </w:r>
      <w:r w:rsidRPr="00AA1A20">
        <w:rPr>
          <w:rFonts w:cs="Open Sans"/>
        </w:rPr>
        <w:t>industry assistance</w:t>
      </w:r>
      <w:r w:rsidR="00D42039">
        <w:rPr>
          <w:rFonts w:cs="Open Sans"/>
        </w:rPr>
        <w:t>’</w:t>
      </w:r>
      <w:r w:rsidRPr="00AA1A20">
        <w:rPr>
          <w:rFonts w:cs="Open Sans"/>
        </w:rPr>
        <w:t xml:space="preserve"> </w:t>
      </w:r>
      <w:r w:rsidR="000A4DD2">
        <w:rPr>
          <w:rFonts w:cs="Open Sans"/>
        </w:rPr>
        <w:t>scheme</w:t>
      </w:r>
      <w:r w:rsidRPr="00AA1A20">
        <w:rPr>
          <w:rFonts w:cs="Open Sans"/>
        </w:rPr>
        <w:t xml:space="preserve">, and how </w:t>
      </w:r>
      <w:r w:rsidR="00D42039">
        <w:rPr>
          <w:rFonts w:cs="Open Sans"/>
        </w:rPr>
        <w:t xml:space="preserve">that </w:t>
      </w:r>
      <w:r w:rsidR="000A4DD2">
        <w:rPr>
          <w:rFonts w:cs="Open Sans"/>
        </w:rPr>
        <w:t>scheme</w:t>
      </w:r>
      <w:r w:rsidR="000A4DD2" w:rsidRPr="00AA1A20">
        <w:rPr>
          <w:rFonts w:cs="Open Sans"/>
        </w:rPr>
        <w:t xml:space="preserve"> </w:t>
      </w:r>
      <w:r w:rsidRPr="00AA1A20">
        <w:rPr>
          <w:rFonts w:cs="Open Sans"/>
        </w:rPr>
        <w:t>interacts with established warrants processes, is unclear, making it uncertain as to what exact actions can lawfully be required of providers.</w:t>
      </w:r>
    </w:p>
    <w:p w14:paraId="11A8EB7E" w14:textId="3A9168F5"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 xml:space="preserve">The </w:t>
      </w:r>
      <w:r>
        <w:rPr>
          <w:rFonts w:cs="Open Sans"/>
        </w:rPr>
        <w:t>Bill</w:t>
      </w:r>
      <w:r w:rsidRPr="00AA1A20">
        <w:rPr>
          <w:rFonts w:cs="Open Sans"/>
        </w:rPr>
        <w:t xml:space="preserve"> establishes </w:t>
      </w:r>
      <w:r w:rsidR="00B939F6">
        <w:rPr>
          <w:rFonts w:cs="Open Sans"/>
        </w:rPr>
        <w:t xml:space="preserve">a </w:t>
      </w:r>
      <w:r w:rsidR="000A4DD2">
        <w:rPr>
          <w:rFonts w:cs="Open Sans"/>
        </w:rPr>
        <w:t xml:space="preserve">scheme </w:t>
      </w:r>
      <w:r w:rsidR="00B939F6">
        <w:rPr>
          <w:rFonts w:cs="Open Sans"/>
        </w:rPr>
        <w:t xml:space="preserve">with </w:t>
      </w:r>
      <w:r w:rsidRPr="00AA1A20">
        <w:rPr>
          <w:rFonts w:cs="Open Sans"/>
        </w:rPr>
        <w:t>three tiers of mechanism to facilitate or compel ‘industry assistance’, with each tier providing progressively more onerous obligations as follows:</w:t>
      </w:r>
    </w:p>
    <w:p w14:paraId="185EF152" w14:textId="77777777" w:rsidR="002222AF" w:rsidRPr="00AA1A20" w:rsidRDefault="002222AF" w:rsidP="002222AF">
      <w:pPr>
        <w:pStyle w:val="Bullet"/>
        <w:numPr>
          <w:ilvl w:val="0"/>
          <w:numId w:val="17"/>
        </w:numPr>
        <w:tabs>
          <w:tab w:val="num" w:pos="2127"/>
        </w:tabs>
        <w:ind w:hanging="357"/>
        <w:rPr>
          <w:rFonts w:cs="Open Sans"/>
        </w:rPr>
      </w:pPr>
      <w:r w:rsidRPr="00AA1A20">
        <w:rPr>
          <w:rFonts w:cs="Open Sans"/>
        </w:rPr>
        <w:t>Technical assistance request (TAR): Under a TAR, the Director-General of Security,</w:t>
      </w:r>
      <w:r w:rsidRPr="00102D26">
        <w:rPr>
          <w:rStyle w:val="EndnoteReference"/>
          <w:vertAlign w:val="superscript"/>
        </w:rPr>
        <w:endnoteReference w:id="50"/>
      </w:r>
      <w:r w:rsidRPr="00AA1A20">
        <w:rPr>
          <w:rFonts w:cs="Open Sans"/>
        </w:rPr>
        <w:t xml:space="preserve"> the Director-General of </w:t>
      </w:r>
      <w:r>
        <w:rPr>
          <w:rFonts w:cs="Open Sans"/>
        </w:rPr>
        <w:t xml:space="preserve">the </w:t>
      </w:r>
      <w:r w:rsidRPr="00AA1A20">
        <w:rPr>
          <w:rFonts w:cs="Open Sans"/>
        </w:rPr>
        <w:t xml:space="preserve">Australian Secret Intelligence Service (ASIS), the Director-General of the Australian Signals Directorate (ASD) or the chief officer of an ‘interception agency’ can request that a provider </w:t>
      </w:r>
      <w:r w:rsidRPr="00AA1A20">
        <w:rPr>
          <w:rFonts w:cs="Open Sans"/>
          <w:i/>
        </w:rPr>
        <w:t>voluntarily</w:t>
      </w:r>
      <w:r w:rsidRPr="00AA1A20">
        <w:rPr>
          <w:rFonts w:cs="Open Sans"/>
        </w:rPr>
        <w:t xml:space="preserve"> assist ASIO, ASIS, the ASD and interception agencies.</w:t>
      </w:r>
      <w:r w:rsidRPr="00102D26">
        <w:rPr>
          <w:rStyle w:val="EndnoteReference"/>
          <w:vertAlign w:val="superscript"/>
        </w:rPr>
        <w:endnoteReference w:id="51"/>
      </w:r>
      <w:r w:rsidRPr="00AA1A20">
        <w:rPr>
          <w:rFonts w:cs="Open Sans"/>
        </w:rPr>
        <w:t xml:space="preserve"> </w:t>
      </w:r>
    </w:p>
    <w:p w14:paraId="0D5C95FF" w14:textId="77777777" w:rsidR="002222AF" w:rsidRPr="00AA1A20" w:rsidRDefault="002222AF" w:rsidP="002222AF">
      <w:pPr>
        <w:pStyle w:val="Bullet"/>
        <w:numPr>
          <w:ilvl w:val="0"/>
          <w:numId w:val="17"/>
        </w:numPr>
        <w:tabs>
          <w:tab w:val="num" w:pos="2127"/>
        </w:tabs>
        <w:ind w:hanging="357"/>
        <w:rPr>
          <w:rFonts w:cs="Open Sans"/>
        </w:rPr>
      </w:pPr>
      <w:r w:rsidRPr="00AA1A20">
        <w:rPr>
          <w:rFonts w:cs="Open Sans"/>
        </w:rPr>
        <w:t xml:space="preserve">Technical assistance notice (TAN): Under a TAN, the Director-General of Security, or the head of an ‘interception agency’, can </w:t>
      </w:r>
      <w:r w:rsidRPr="00AA1A20">
        <w:rPr>
          <w:rFonts w:cs="Open Sans"/>
          <w:i/>
        </w:rPr>
        <w:t>require</w:t>
      </w:r>
      <w:r w:rsidRPr="00AA1A20">
        <w:rPr>
          <w:rFonts w:cs="Open Sans"/>
        </w:rPr>
        <w:t xml:space="preserve"> a provider to give assistance that it is already capable of providing, if the relevant decision maker is satisfied that the requirements are ‘reasonable and proportionate’ and that compliance is ‘practicable and technically feasible’.</w:t>
      </w:r>
      <w:r w:rsidRPr="00102D26">
        <w:rPr>
          <w:rStyle w:val="EndnoteReference"/>
          <w:vertAlign w:val="superscript"/>
        </w:rPr>
        <w:endnoteReference w:id="52"/>
      </w:r>
    </w:p>
    <w:p w14:paraId="33F30023" w14:textId="77777777" w:rsidR="002222AF" w:rsidRPr="00AA1A20" w:rsidRDefault="002222AF" w:rsidP="002222AF">
      <w:pPr>
        <w:pStyle w:val="Bullet"/>
        <w:numPr>
          <w:ilvl w:val="0"/>
          <w:numId w:val="17"/>
        </w:numPr>
        <w:tabs>
          <w:tab w:val="num" w:pos="2127"/>
        </w:tabs>
        <w:ind w:hanging="357"/>
        <w:rPr>
          <w:rFonts w:cs="Open Sans"/>
        </w:rPr>
      </w:pPr>
      <w:r w:rsidRPr="00AA1A20">
        <w:rPr>
          <w:rFonts w:cs="Open Sans"/>
        </w:rPr>
        <w:t xml:space="preserve">Technical capability notice (TCN): Under a TCN, the Attorney-General can </w:t>
      </w:r>
      <w:r w:rsidRPr="00AA1A20">
        <w:rPr>
          <w:rFonts w:cs="Open Sans"/>
          <w:i/>
        </w:rPr>
        <w:t>require</w:t>
      </w:r>
      <w:r w:rsidRPr="00AA1A20">
        <w:rPr>
          <w:rFonts w:cs="Open Sans"/>
        </w:rPr>
        <w:t xml:space="preserve"> a provider to build a new capability that will enable them to give assistance to ASIO and ‘interception agencies’, where the Attorney-General is satisfied that the requirements are ‘reasonable and proportionate’ and that compliance is ‘practicable and technically feasible’.</w:t>
      </w:r>
      <w:r w:rsidRPr="00102D26">
        <w:rPr>
          <w:rStyle w:val="EndnoteReference"/>
          <w:vertAlign w:val="superscript"/>
        </w:rPr>
        <w:endnoteReference w:id="53"/>
      </w:r>
    </w:p>
    <w:p w14:paraId="4F3416A9" w14:textId="7764D238"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‘Interception agencies’ are defined as agencies with interception powers under the </w:t>
      </w:r>
      <w:r w:rsidRPr="00AA1A20">
        <w:rPr>
          <w:rFonts w:cs="Open Sans"/>
          <w:i/>
        </w:rPr>
        <w:t xml:space="preserve">Telecommunications (Interception and Access) Act 1979 </w:t>
      </w:r>
      <w:r w:rsidRPr="00AA1A20">
        <w:rPr>
          <w:rFonts w:cs="Open Sans"/>
        </w:rPr>
        <w:t xml:space="preserve">(Cth) (TIA Act), being the </w:t>
      </w:r>
      <w:r>
        <w:rPr>
          <w:rFonts w:cs="Open Sans"/>
        </w:rPr>
        <w:t>AFP</w:t>
      </w:r>
      <w:r w:rsidRPr="00AA1A20">
        <w:rPr>
          <w:rFonts w:cs="Open Sans"/>
        </w:rPr>
        <w:t>, the Australian Commission for Law Enforcement Integrity</w:t>
      </w:r>
      <w:r>
        <w:rPr>
          <w:rFonts w:cs="Open Sans"/>
        </w:rPr>
        <w:t xml:space="preserve"> (ACLEI)</w:t>
      </w:r>
      <w:r w:rsidRPr="00AA1A20">
        <w:rPr>
          <w:rFonts w:cs="Open Sans"/>
        </w:rPr>
        <w:t>, the Australian Criminal Intelligence Commission, state and territory police agencies and anti-</w:t>
      </w:r>
      <w:r w:rsidR="00121ED5" w:rsidRPr="00AA1A20">
        <w:rPr>
          <w:rFonts w:cs="Open Sans"/>
        </w:rPr>
        <w:t>corrup</w:t>
      </w:r>
      <w:r w:rsidR="00121ED5">
        <w:rPr>
          <w:rFonts w:cs="Open Sans"/>
        </w:rPr>
        <w:t>t</w:t>
      </w:r>
      <w:r w:rsidR="00121ED5" w:rsidRPr="00AA1A20">
        <w:rPr>
          <w:rFonts w:cs="Open Sans"/>
        </w:rPr>
        <w:t>ion</w:t>
      </w:r>
      <w:r w:rsidRPr="00AA1A20">
        <w:rPr>
          <w:rFonts w:cs="Open Sans"/>
        </w:rPr>
        <w:t xml:space="preserve"> commissions.</w:t>
      </w:r>
      <w:r w:rsidRPr="00102D26">
        <w:rPr>
          <w:rStyle w:val="EndnoteReference"/>
          <w:vertAlign w:val="superscript"/>
        </w:rPr>
        <w:endnoteReference w:id="54"/>
      </w:r>
    </w:p>
    <w:p w14:paraId="1C563577"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definition of a ‘designated communications provider’ in proposed s 317C is broad and includes: </w:t>
      </w:r>
    </w:p>
    <w:p w14:paraId="324DCCC8" w14:textId="77777777" w:rsidR="002222AF" w:rsidRPr="00AA1A20" w:rsidRDefault="002222AF" w:rsidP="002222AF">
      <w:pPr>
        <w:pStyle w:val="Bullet"/>
        <w:numPr>
          <w:ilvl w:val="0"/>
          <w:numId w:val="18"/>
        </w:numPr>
        <w:ind w:hanging="357"/>
        <w:rPr>
          <w:rFonts w:cs="Open Sans"/>
        </w:rPr>
      </w:pPr>
      <w:r w:rsidRPr="00AA1A20">
        <w:rPr>
          <w:rFonts w:cs="Open Sans"/>
        </w:rPr>
        <w:t xml:space="preserve">a person that ‘is a carrier or carriage service provider’ or ‘a carriage service intermediary’ </w:t>
      </w:r>
    </w:p>
    <w:p w14:paraId="6DB5D11F" w14:textId="77777777" w:rsidR="002222AF" w:rsidRPr="00AA1A20" w:rsidRDefault="002222AF" w:rsidP="002222AF">
      <w:pPr>
        <w:pStyle w:val="Bullet"/>
        <w:numPr>
          <w:ilvl w:val="0"/>
          <w:numId w:val="18"/>
        </w:numPr>
        <w:tabs>
          <w:tab w:val="num" w:pos="2127"/>
        </w:tabs>
        <w:ind w:hanging="357"/>
        <w:rPr>
          <w:rFonts w:cs="Open Sans"/>
        </w:rPr>
      </w:pPr>
      <w:r w:rsidRPr="00AA1A20">
        <w:rPr>
          <w:rFonts w:cs="Open Sans"/>
        </w:rPr>
        <w:t>a person that ‘provides an electronic service that has one or more end-users in Australia’</w:t>
      </w:r>
    </w:p>
    <w:p w14:paraId="73248280" w14:textId="77777777" w:rsidR="002222AF" w:rsidRPr="00AA1A20" w:rsidRDefault="002222AF" w:rsidP="002222AF">
      <w:pPr>
        <w:pStyle w:val="Bullet"/>
        <w:numPr>
          <w:ilvl w:val="0"/>
          <w:numId w:val="18"/>
        </w:numPr>
        <w:tabs>
          <w:tab w:val="num" w:pos="2127"/>
        </w:tabs>
        <w:ind w:hanging="357"/>
        <w:rPr>
          <w:rFonts w:cs="Open Sans"/>
        </w:rPr>
      </w:pPr>
      <w:r w:rsidRPr="00AA1A20">
        <w:rPr>
          <w:rFonts w:cs="Open Sans"/>
        </w:rPr>
        <w:t>a person that ‘develops, supplies or updates software used, for use, or likely to be used, in connection a listed carriage or an electronic service …’</w:t>
      </w:r>
    </w:p>
    <w:p w14:paraId="5AAF6C99" w14:textId="77777777" w:rsidR="002222AF" w:rsidRPr="00AA1A20" w:rsidRDefault="002222AF" w:rsidP="002222AF">
      <w:pPr>
        <w:pStyle w:val="Bullet"/>
        <w:numPr>
          <w:ilvl w:val="0"/>
          <w:numId w:val="18"/>
        </w:numPr>
        <w:ind w:hanging="357"/>
        <w:rPr>
          <w:rFonts w:cs="Open Sans"/>
        </w:rPr>
      </w:pPr>
      <w:r w:rsidRPr="00AA1A20">
        <w:rPr>
          <w:rFonts w:cs="Open Sans"/>
        </w:rPr>
        <w:t>a person that ‘manufactures or supplies components for use … in the manufacture of a facility’</w:t>
      </w:r>
    </w:p>
    <w:p w14:paraId="16E60C6A" w14:textId="77777777" w:rsidR="002222AF" w:rsidRPr="00AA1A20" w:rsidRDefault="002222AF" w:rsidP="002222AF">
      <w:pPr>
        <w:pStyle w:val="Bullet"/>
        <w:numPr>
          <w:ilvl w:val="0"/>
          <w:numId w:val="18"/>
        </w:numPr>
        <w:ind w:hanging="357"/>
        <w:rPr>
          <w:rFonts w:cs="Open Sans"/>
        </w:rPr>
      </w:pPr>
      <w:r w:rsidRPr="00AA1A20">
        <w:rPr>
          <w:rFonts w:cs="Open Sans"/>
        </w:rPr>
        <w:lastRenderedPageBreak/>
        <w:t>a person that ‘connects a facility to a telecommunications network in Australia’</w:t>
      </w:r>
    </w:p>
    <w:p w14:paraId="12770864" w14:textId="77777777" w:rsidR="002222AF" w:rsidRPr="00AA1A20" w:rsidRDefault="002222AF" w:rsidP="002222AF">
      <w:pPr>
        <w:pStyle w:val="Bullet"/>
        <w:numPr>
          <w:ilvl w:val="0"/>
          <w:numId w:val="18"/>
        </w:numPr>
        <w:ind w:hanging="357"/>
        <w:rPr>
          <w:rFonts w:cs="Open Sans"/>
        </w:rPr>
      </w:pPr>
      <w:r w:rsidRPr="00AA1A20">
        <w:rPr>
          <w:rFonts w:cs="Open Sans"/>
        </w:rPr>
        <w:t>a person that ‘manufactures or supplies customer equipment for use … in Australia’</w:t>
      </w:r>
    </w:p>
    <w:p w14:paraId="7B899B8C" w14:textId="77777777" w:rsidR="002222AF" w:rsidRPr="00AA1A20" w:rsidRDefault="002222AF" w:rsidP="002222AF">
      <w:pPr>
        <w:pStyle w:val="Bullet"/>
        <w:numPr>
          <w:ilvl w:val="0"/>
          <w:numId w:val="18"/>
        </w:numPr>
        <w:ind w:hanging="357"/>
        <w:rPr>
          <w:rFonts w:cs="Open Sans"/>
        </w:rPr>
      </w:pPr>
      <w:r w:rsidRPr="00AA1A20">
        <w:rPr>
          <w:rFonts w:cs="Open Sans"/>
        </w:rPr>
        <w:t>a ‘constitutional corporation’ who ‘manufactures or supplies or installs or maintains data processing devices’</w:t>
      </w:r>
    </w:p>
    <w:p w14:paraId="6921450A" w14:textId="77777777" w:rsidR="002222AF" w:rsidRPr="00AA1A20" w:rsidRDefault="002222AF" w:rsidP="002222AF">
      <w:pPr>
        <w:pStyle w:val="Bullet"/>
        <w:numPr>
          <w:ilvl w:val="0"/>
          <w:numId w:val="18"/>
        </w:numPr>
        <w:ind w:hanging="357"/>
        <w:rPr>
          <w:rFonts w:cs="Open Sans"/>
        </w:rPr>
      </w:pPr>
      <w:r w:rsidRPr="00AA1A20">
        <w:rPr>
          <w:rFonts w:cs="Open Sans"/>
        </w:rPr>
        <w:t>a ‘constitutional corporation’ who ‘develops or supplies or updates software that is capable of being installed on a computer, or other equipment that is or is likely to be connected to a telecommunications network in Australia’.</w:t>
      </w:r>
    </w:p>
    <w:p w14:paraId="3C628226" w14:textId="0E029495"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w:t>
      </w:r>
      <w:r>
        <w:rPr>
          <w:rFonts w:cs="Open Sans"/>
        </w:rPr>
        <w:t>Explanatory Memorandum</w:t>
      </w:r>
      <w:r w:rsidRPr="00AA1A20">
        <w:rPr>
          <w:rFonts w:cs="Open Sans"/>
        </w:rPr>
        <w:t xml:space="preserve"> states </w:t>
      </w:r>
      <w:r>
        <w:rPr>
          <w:rFonts w:cs="Open Sans"/>
        </w:rPr>
        <w:t>that this definition of</w:t>
      </w:r>
      <w:r w:rsidRPr="00AA1A20">
        <w:rPr>
          <w:rFonts w:cs="Open Sans"/>
        </w:rPr>
        <w:t xml:space="preserve"> a ‘designated communications provider</w:t>
      </w:r>
      <w:r w:rsidR="001C13E4">
        <w:rPr>
          <w:rFonts w:cs="Open Sans"/>
        </w:rPr>
        <w:t>’</w:t>
      </w:r>
      <w:r>
        <w:rPr>
          <w:rFonts w:cs="Open Sans"/>
        </w:rPr>
        <w:t xml:space="preserve"> </w:t>
      </w:r>
      <w:r w:rsidRPr="00AA1A20">
        <w:rPr>
          <w:rFonts w:cs="Open Sans"/>
        </w:rPr>
        <w:t>capture</w:t>
      </w:r>
      <w:r>
        <w:rPr>
          <w:rFonts w:cs="Open Sans"/>
        </w:rPr>
        <w:t>s</w:t>
      </w:r>
      <w:r w:rsidRPr="00AA1A20">
        <w:rPr>
          <w:rFonts w:cs="Open Sans"/>
        </w:rPr>
        <w:t xml:space="preserve"> ‘the full range of </w:t>
      </w:r>
      <w:r>
        <w:rPr>
          <w:rFonts w:cs="Open Sans"/>
        </w:rPr>
        <w:t>participants</w:t>
      </w:r>
      <w:r w:rsidRPr="00AA1A20">
        <w:rPr>
          <w:rFonts w:cs="Open Sans"/>
        </w:rPr>
        <w:t xml:space="preserve"> in the </w:t>
      </w:r>
      <w:r>
        <w:rPr>
          <w:rFonts w:cs="Open Sans"/>
        </w:rPr>
        <w:t xml:space="preserve">global </w:t>
      </w:r>
      <w:r w:rsidRPr="00AA1A20">
        <w:rPr>
          <w:rFonts w:cs="Open Sans"/>
        </w:rPr>
        <w:t>communications supply chain</w:t>
      </w:r>
      <w:r>
        <w:rPr>
          <w:rFonts w:cs="Open Sans"/>
        </w:rPr>
        <w:t>, from carriers to over-the-top messaging providers</w:t>
      </w:r>
      <w:r w:rsidRPr="00AA1A20">
        <w:rPr>
          <w:rFonts w:cs="Open Sans"/>
        </w:rPr>
        <w:t>’.</w:t>
      </w:r>
      <w:r w:rsidRPr="00102D26">
        <w:rPr>
          <w:rStyle w:val="EndnoteReference"/>
          <w:vertAlign w:val="superscript"/>
        </w:rPr>
        <w:endnoteReference w:id="55"/>
      </w:r>
      <w:r w:rsidRPr="00AA1A20">
        <w:rPr>
          <w:rFonts w:cs="Open Sans"/>
        </w:rPr>
        <w:t xml:space="preserve"> Notably, proposed</w:t>
      </w:r>
      <w:r w:rsidR="00205E36">
        <w:rPr>
          <w:rFonts w:cs="Open Sans"/>
        </w:rPr>
        <w:t xml:space="preserve"> s </w:t>
      </w:r>
      <w:r w:rsidRPr="00AA1A20">
        <w:rPr>
          <w:rFonts w:cs="Open Sans"/>
        </w:rPr>
        <w:t>317C extends to offshore entities that have a role in the provision of communications and related services in Australia.</w:t>
      </w:r>
    </w:p>
    <w:p w14:paraId="2A27CCC3" w14:textId="607AB782"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By way of example of the breadth of providers subject to the assistance </w:t>
      </w:r>
      <w:r w:rsidR="000A4DD2">
        <w:rPr>
          <w:rFonts w:cs="Open Sans"/>
        </w:rPr>
        <w:t>scheme</w:t>
      </w:r>
      <w:r w:rsidRPr="00AA1A20">
        <w:rPr>
          <w:rFonts w:cs="Open Sans"/>
        </w:rPr>
        <w:t xml:space="preserve">, the obligations apply to the provider of an ‘electronic service’ as defined by proposed s 317D(1)–(2) of the </w:t>
      </w:r>
      <w:r>
        <w:rPr>
          <w:rFonts w:cs="Open Sans"/>
        </w:rPr>
        <w:t>Bill</w:t>
      </w:r>
      <w:r w:rsidRPr="00AA1A20">
        <w:rPr>
          <w:rFonts w:cs="Open Sans"/>
        </w:rPr>
        <w:t>.</w:t>
      </w:r>
      <w:r w:rsidRPr="00DF3B57">
        <w:rPr>
          <w:rStyle w:val="EndnoteReference"/>
          <w:vertAlign w:val="superscript"/>
        </w:rPr>
        <w:endnoteReference w:id="56"/>
      </w:r>
      <w:r w:rsidRPr="00AA1A20">
        <w:rPr>
          <w:rFonts w:cs="Open Sans"/>
        </w:rPr>
        <w:t xml:space="preserve"> The </w:t>
      </w:r>
      <w:r>
        <w:rPr>
          <w:rFonts w:cs="Open Sans"/>
        </w:rPr>
        <w:t>Explanatory Memorandum</w:t>
      </w:r>
      <w:r w:rsidRPr="00AA1A20">
        <w:rPr>
          <w:rFonts w:cs="Open Sans"/>
        </w:rPr>
        <w:t xml:space="preserve"> states that an ‘electronic service’ </w:t>
      </w:r>
      <w:r w:rsidR="009C5C8B">
        <w:rPr>
          <w:rFonts w:cs="Open Sans"/>
        </w:rPr>
        <w:t>may include</w:t>
      </w:r>
      <w:r w:rsidR="009C5C8B" w:rsidRPr="00AA1A20">
        <w:rPr>
          <w:rFonts w:cs="Open Sans"/>
        </w:rPr>
        <w:t xml:space="preserve"> </w:t>
      </w:r>
      <w:r w:rsidRPr="00AA1A20">
        <w:rPr>
          <w:rFonts w:cs="Open Sans"/>
        </w:rPr>
        <w:t>websites, chat fora,</w:t>
      </w:r>
      <w:r>
        <w:rPr>
          <w:rFonts w:cs="Open Sans"/>
        </w:rPr>
        <w:t xml:space="preserve"> secure messaging applications,</w:t>
      </w:r>
      <w:r w:rsidRPr="00AA1A20">
        <w:rPr>
          <w:rFonts w:cs="Open Sans"/>
        </w:rPr>
        <w:t xml:space="preserve"> cloud and web hosting, peer-to-peer sharing platforms and email distribution lists.</w:t>
      </w:r>
      <w:r w:rsidRPr="00DF3B57">
        <w:rPr>
          <w:rStyle w:val="EndnoteReference"/>
          <w:vertAlign w:val="superscript"/>
        </w:rPr>
        <w:endnoteReference w:id="57"/>
      </w:r>
      <w:r w:rsidRPr="00AA1A20">
        <w:rPr>
          <w:rFonts w:cs="Open Sans"/>
        </w:rPr>
        <w:t xml:space="preserve"> The </w:t>
      </w:r>
      <w:r>
        <w:rPr>
          <w:rFonts w:cs="Open Sans"/>
        </w:rPr>
        <w:t>Explanatory Memorandum</w:t>
      </w:r>
      <w:r w:rsidRPr="00AA1A20">
        <w:rPr>
          <w:rFonts w:cs="Open Sans"/>
        </w:rPr>
        <w:t xml:space="preserve"> further states that this definition is </w:t>
      </w:r>
      <w:r>
        <w:rPr>
          <w:rFonts w:cs="Open Sans"/>
        </w:rPr>
        <w:t>designed</w:t>
      </w:r>
      <w:r w:rsidRPr="00AA1A20">
        <w:rPr>
          <w:rFonts w:cs="Open Sans"/>
        </w:rPr>
        <w:t xml:space="preserve"> to capture ‘a range of existing and future technologies, including hardware and software’.</w:t>
      </w:r>
      <w:r w:rsidRPr="00DF3B57">
        <w:rPr>
          <w:rStyle w:val="EndnoteReference"/>
          <w:vertAlign w:val="superscript"/>
        </w:rPr>
        <w:endnoteReference w:id="58"/>
      </w:r>
      <w:r w:rsidRPr="00AA1A20">
        <w:rPr>
          <w:rFonts w:cs="Open Sans"/>
        </w:rPr>
        <w:t xml:space="preserve"> </w:t>
      </w:r>
    </w:p>
    <w:p w14:paraId="53E73054" w14:textId="07EB488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Commission notes that the definition of ‘designated communications provider’ applies to organisations as well as natural persons. While it is easy to imagine a scenario where industry leaders such as Google or Facebook are asked to provide technical assistance to law enforcement, the </w:t>
      </w:r>
      <w:r w:rsidR="000A4DD2">
        <w:rPr>
          <w:rFonts w:cs="Open Sans"/>
        </w:rPr>
        <w:t>scheme</w:t>
      </w:r>
      <w:r w:rsidR="000A4DD2" w:rsidRPr="00AA1A20">
        <w:rPr>
          <w:rFonts w:cs="Open Sans"/>
        </w:rPr>
        <w:t xml:space="preserve"> </w:t>
      </w:r>
      <w:r w:rsidRPr="00AA1A20">
        <w:rPr>
          <w:rFonts w:cs="Open Sans"/>
        </w:rPr>
        <w:t xml:space="preserve">extends to individuals—for example, programmers, app developers and webmasters—who may have lower levels of corporate and legal sophistication. Additionally, such individuals may not have access to legal advice to inform their understanding of </w:t>
      </w:r>
      <w:r w:rsidR="002655ED">
        <w:rPr>
          <w:rFonts w:cs="Open Sans"/>
        </w:rPr>
        <w:t>any request or notice given to them</w:t>
      </w:r>
      <w:r w:rsidRPr="00AA1A20">
        <w:rPr>
          <w:rFonts w:cs="Open Sans"/>
        </w:rPr>
        <w:t xml:space="preserve">. </w:t>
      </w:r>
    </w:p>
    <w:p w14:paraId="6735D809" w14:textId="7E58E1C8" w:rsidR="002222AF" w:rsidRPr="00AA1A20" w:rsidRDefault="002222AF" w:rsidP="002222AF">
      <w:pPr>
        <w:pStyle w:val="ListNumber"/>
        <w:tabs>
          <w:tab w:val="clear" w:pos="360"/>
          <w:tab w:val="num" w:pos="993"/>
          <w:tab w:val="left" w:pos="1418"/>
        </w:tabs>
        <w:ind w:left="709" w:hanging="567"/>
        <w:rPr>
          <w:rFonts w:cs="Open Sans"/>
        </w:rPr>
      </w:pPr>
      <w:bookmarkStart w:id="126" w:name="_Ref524083841"/>
      <w:r w:rsidRPr="00AA1A20">
        <w:rPr>
          <w:rFonts w:cs="Open Sans"/>
        </w:rPr>
        <w:t>Proposed</w:t>
      </w:r>
      <w:r w:rsidR="00205E36">
        <w:rPr>
          <w:rFonts w:cs="Open Sans"/>
        </w:rPr>
        <w:t xml:space="preserve"> s </w:t>
      </w:r>
      <w:r w:rsidRPr="00AA1A20">
        <w:rPr>
          <w:rFonts w:cs="Open Sans"/>
        </w:rPr>
        <w:t>317E sets out the forms of assistance that a provider can be requested or compelled to provide, defined as ‘listed acts or things’, including:</w:t>
      </w:r>
      <w:bookmarkEnd w:id="126"/>
    </w:p>
    <w:p w14:paraId="17ADC317" w14:textId="77777777" w:rsidR="002222AF" w:rsidRPr="00AA1A20" w:rsidRDefault="002222AF" w:rsidP="002222AF">
      <w:pPr>
        <w:pStyle w:val="Bullet"/>
        <w:numPr>
          <w:ilvl w:val="0"/>
          <w:numId w:val="19"/>
        </w:numPr>
        <w:ind w:hanging="357"/>
        <w:rPr>
          <w:rFonts w:cs="Open Sans"/>
        </w:rPr>
      </w:pPr>
      <w:r w:rsidRPr="00AA1A20">
        <w:rPr>
          <w:rFonts w:cs="Open Sans"/>
        </w:rPr>
        <w:t>removing one or more forms of electronic protection that are or were applied by, or on behalf of, the provider</w:t>
      </w:r>
    </w:p>
    <w:p w14:paraId="0021F977" w14:textId="77777777" w:rsidR="002222AF" w:rsidRPr="00AA1A20" w:rsidRDefault="002222AF" w:rsidP="002222AF">
      <w:pPr>
        <w:pStyle w:val="Bullet"/>
        <w:numPr>
          <w:ilvl w:val="0"/>
          <w:numId w:val="19"/>
        </w:numPr>
        <w:ind w:hanging="357"/>
        <w:rPr>
          <w:rFonts w:cs="Open Sans"/>
        </w:rPr>
      </w:pPr>
      <w:r w:rsidRPr="00AA1A20">
        <w:rPr>
          <w:rFonts w:cs="Open Sans"/>
        </w:rPr>
        <w:lastRenderedPageBreak/>
        <w:t>providing technical information</w:t>
      </w:r>
    </w:p>
    <w:p w14:paraId="326BEEDF" w14:textId="77777777" w:rsidR="002222AF" w:rsidRPr="00AA1A20" w:rsidRDefault="002222AF" w:rsidP="002222AF">
      <w:pPr>
        <w:pStyle w:val="Bullet"/>
        <w:numPr>
          <w:ilvl w:val="0"/>
          <w:numId w:val="19"/>
        </w:numPr>
        <w:ind w:hanging="357"/>
        <w:rPr>
          <w:rFonts w:cs="Open Sans"/>
        </w:rPr>
      </w:pPr>
      <w:r w:rsidRPr="00AA1A20">
        <w:rPr>
          <w:rFonts w:cs="Open Sans"/>
        </w:rPr>
        <w:t>installing, maintaining, testing or using software or equipment</w:t>
      </w:r>
    </w:p>
    <w:p w14:paraId="71B7B408" w14:textId="77777777" w:rsidR="002222AF" w:rsidRPr="00AA1A20" w:rsidRDefault="002222AF" w:rsidP="002222AF">
      <w:pPr>
        <w:pStyle w:val="Bullet"/>
        <w:numPr>
          <w:ilvl w:val="0"/>
          <w:numId w:val="19"/>
        </w:numPr>
        <w:ind w:hanging="357"/>
        <w:rPr>
          <w:rFonts w:cs="Open Sans"/>
        </w:rPr>
      </w:pPr>
      <w:r w:rsidRPr="00AA1A20">
        <w:rPr>
          <w:rFonts w:cs="Open Sans"/>
        </w:rPr>
        <w:t>facilitating or assisting access to, among other things, a facility, customer equipment, data processing device or listed carriage service</w:t>
      </w:r>
    </w:p>
    <w:p w14:paraId="2F828906" w14:textId="77777777" w:rsidR="002222AF" w:rsidRPr="00AA1A20" w:rsidRDefault="002222AF" w:rsidP="002222AF">
      <w:pPr>
        <w:pStyle w:val="Bullet"/>
        <w:numPr>
          <w:ilvl w:val="0"/>
          <w:numId w:val="19"/>
        </w:numPr>
        <w:ind w:hanging="357"/>
        <w:rPr>
          <w:rFonts w:cs="Open Sans"/>
        </w:rPr>
      </w:pPr>
      <w:r w:rsidRPr="00AA1A20">
        <w:rPr>
          <w:rFonts w:cs="Open Sans"/>
        </w:rPr>
        <w:t xml:space="preserve">assisting with the testing, modification, development or maintenance of a technology or capability </w:t>
      </w:r>
    </w:p>
    <w:p w14:paraId="3DCF773B" w14:textId="77777777" w:rsidR="002222AF" w:rsidRPr="00AA1A20" w:rsidRDefault="002222AF" w:rsidP="002222AF">
      <w:pPr>
        <w:pStyle w:val="Bullet"/>
        <w:numPr>
          <w:ilvl w:val="0"/>
          <w:numId w:val="19"/>
        </w:numPr>
        <w:ind w:hanging="357"/>
        <w:rPr>
          <w:rFonts w:cs="Open Sans"/>
        </w:rPr>
      </w:pPr>
      <w:r w:rsidRPr="00AA1A20">
        <w:rPr>
          <w:rFonts w:cs="Open Sans"/>
        </w:rPr>
        <w:t>notifying changes affecting the activities of the provider</w:t>
      </w:r>
    </w:p>
    <w:p w14:paraId="5B1DFA48" w14:textId="77777777" w:rsidR="002222AF" w:rsidRPr="00AA1A20" w:rsidRDefault="002222AF" w:rsidP="002222AF">
      <w:pPr>
        <w:pStyle w:val="Bullet"/>
        <w:numPr>
          <w:ilvl w:val="0"/>
          <w:numId w:val="19"/>
        </w:numPr>
        <w:ind w:hanging="357"/>
        <w:rPr>
          <w:rFonts w:cs="Open Sans"/>
        </w:rPr>
      </w:pPr>
      <w:r w:rsidRPr="00AA1A20">
        <w:rPr>
          <w:rFonts w:cs="Open Sans"/>
        </w:rPr>
        <w:t>modifying a characteristic of a service</w:t>
      </w:r>
    </w:p>
    <w:p w14:paraId="281792EB" w14:textId="77777777" w:rsidR="002222AF" w:rsidRPr="00AA1A20" w:rsidRDefault="002222AF" w:rsidP="002222AF">
      <w:pPr>
        <w:pStyle w:val="Bullet"/>
        <w:numPr>
          <w:ilvl w:val="0"/>
          <w:numId w:val="19"/>
        </w:numPr>
        <w:ind w:hanging="357"/>
        <w:rPr>
          <w:rFonts w:cs="Open Sans"/>
        </w:rPr>
      </w:pPr>
      <w:r w:rsidRPr="00AA1A20">
        <w:rPr>
          <w:rFonts w:cs="Open Sans"/>
        </w:rPr>
        <w:t>substituting a service for another service</w:t>
      </w:r>
    </w:p>
    <w:p w14:paraId="2B6C1764" w14:textId="77777777" w:rsidR="002222AF" w:rsidRPr="00AA1A20" w:rsidRDefault="002222AF" w:rsidP="002222AF">
      <w:pPr>
        <w:pStyle w:val="Bullet"/>
        <w:numPr>
          <w:ilvl w:val="0"/>
          <w:numId w:val="19"/>
        </w:numPr>
        <w:ind w:hanging="357"/>
        <w:rPr>
          <w:rFonts w:cs="Open Sans"/>
        </w:rPr>
      </w:pPr>
      <w:r w:rsidRPr="00AA1A20">
        <w:rPr>
          <w:rFonts w:cs="Open Sans"/>
        </w:rPr>
        <w:t>concealing the fact that covert action has occurred.</w:t>
      </w:r>
      <w:r w:rsidRPr="00DF3B57">
        <w:rPr>
          <w:rStyle w:val="EndnoteReference"/>
          <w:vertAlign w:val="superscript"/>
        </w:rPr>
        <w:endnoteReference w:id="59"/>
      </w:r>
      <w:r w:rsidRPr="00AA1A20">
        <w:rPr>
          <w:rFonts w:cs="Open Sans"/>
        </w:rPr>
        <w:t xml:space="preserve"> </w:t>
      </w:r>
    </w:p>
    <w:p w14:paraId="6CCA1EE2" w14:textId="71B2FEFB" w:rsidR="002222AF" w:rsidRPr="00AA1A20" w:rsidRDefault="002222AF" w:rsidP="002222AF">
      <w:pPr>
        <w:pStyle w:val="ListNumber"/>
        <w:tabs>
          <w:tab w:val="clear" w:pos="360"/>
          <w:tab w:val="num" w:pos="993"/>
          <w:tab w:val="left" w:pos="1418"/>
        </w:tabs>
        <w:ind w:left="709" w:hanging="567"/>
        <w:rPr>
          <w:rFonts w:cs="Open Sans"/>
        </w:rPr>
      </w:pPr>
      <w:bookmarkStart w:id="127" w:name="_Ref524083917"/>
      <w:r w:rsidRPr="00AA1A20">
        <w:rPr>
          <w:rFonts w:cs="Open Sans"/>
        </w:rPr>
        <w:t xml:space="preserve">The </w:t>
      </w:r>
      <w:r>
        <w:rPr>
          <w:rFonts w:cs="Open Sans"/>
        </w:rPr>
        <w:t>Explanatory Memorandum</w:t>
      </w:r>
      <w:r w:rsidRPr="00AA1A20">
        <w:rPr>
          <w:rFonts w:cs="Open Sans"/>
        </w:rPr>
        <w:t xml:space="preserve"> states that the assistance requested or compelled from providers can include: the decryption of a communication or device; the provision of </w:t>
      </w:r>
      <w:r>
        <w:rPr>
          <w:rFonts w:cs="Open Sans"/>
        </w:rPr>
        <w:t>technical information</w:t>
      </w:r>
      <w:r w:rsidRPr="00AA1A20">
        <w:rPr>
          <w:rFonts w:cs="Open Sans"/>
        </w:rPr>
        <w:t xml:space="preserve"> including source code; the installation or deployment of software provided by an agency; the </w:t>
      </w:r>
      <w:r>
        <w:rPr>
          <w:rFonts w:cs="Open Sans"/>
        </w:rPr>
        <w:t>re</w:t>
      </w:r>
      <w:r w:rsidRPr="00AA1A20">
        <w:rPr>
          <w:rFonts w:cs="Open Sans"/>
        </w:rPr>
        <w:t xml:space="preserve">formatting of </w:t>
      </w:r>
      <w:r>
        <w:rPr>
          <w:rFonts w:cs="Open Sans"/>
        </w:rPr>
        <w:t xml:space="preserve">data </w:t>
      </w:r>
      <w:r w:rsidRPr="00AA1A20">
        <w:rPr>
          <w:rFonts w:cs="Open Sans"/>
        </w:rPr>
        <w:t>obtained under a warrant; the facilitation of access to a device or service; helping agencies test their own systems; notifying agencies of changes to services or systems; and the blocking of delivery of service to a target.</w:t>
      </w:r>
      <w:r w:rsidRPr="00DF3B57">
        <w:rPr>
          <w:rStyle w:val="EndnoteReference"/>
          <w:vertAlign w:val="superscript"/>
        </w:rPr>
        <w:endnoteReference w:id="60"/>
      </w:r>
      <w:bookmarkEnd w:id="127"/>
      <w:r w:rsidRPr="00AA1A20">
        <w:rPr>
          <w:rFonts w:cs="Open Sans"/>
        </w:rPr>
        <w:t xml:space="preserve"> </w:t>
      </w:r>
    </w:p>
    <w:p w14:paraId="210FAFDA" w14:textId="3C27B58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A provider that fails to comply with a notice ‘to the extent that the provider is capable of doing so’, is liable to a civil penalty.</w:t>
      </w:r>
      <w:r w:rsidRPr="00DF3B57">
        <w:rPr>
          <w:rStyle w:val="EndnoteReference"/>
          <w:vertAlign w:val="superscript"/>
        </w:rPr>
        <w:endnoteReference w:id="61"/>
      </w:r>
      <w:r w:rsidRPr="00AA1A20">
        <w:rPr>
          <w:rFonts w:cs="Open Sans"/>
        </w:rPr>
        <w:t xml:space="preserve"> A body corporate, whether onshore or offshore, can be liable to a penalty of up to $10 million and an individual of up to $50,000.</w:t>
      </w:r>
      <w:r w:rsidRPr="00DF3B57">
        <w:rPr>
          <w:rStyle w:val="EndnoteReference"/>
          <w:vertAlign w:val="superscript"/>
        </w:rPr>
        <w:endnoteReference w:id="62"/>
      </w:r>
    </w:p>
    <w:p w14:paraId="71D9F976" w14:textId="551A7167" w:rsidR="002222AF" w:rsidRDefault="002222AF" w:rsidP="002222AF">
      <w:pPr>
        <w:pStyle w:val="ListNumber"/>
        <w:tabs>
          <w:tab w:val="clear" w:pos="360"/>
          <w:tab w:val="num" w:pos="993"/>
          <w:tab w:val="left" w:pos="1418"/>
        </w:tabs>
        <w:ind w:left="709" w:hanging="567"/>
        <w:rPr>
          <w:rFonts w:cs="Open Sans"/>
        </w:rPr>
      </w:pPr>
      <w:bookmarkStart w:id="128" w:name="_Ref524083984"/>
      <w:r w:rsidRPr="00AA1A20">
        <w:rPr>
          <w:rFonts w:cs="Open Sans"/>
        </w:rPr>
        <w:t>Proposed</w:t>
      </w:r>
      <w:r w:rsidR="00205E36">
        <w:rPr>
          <w:rFonts w:cs="Open Sans"/>
        </w:rPr>
        <w:t xml:space="preserve"> s </w:t>
      </w:r>
      <w:r w:rsidRPr="00AA1A20">
        <w:rPr>
          <w:rFonts w:cs="Open Sans"/>
        </w:rPr>
        <w:t>317ZG(1)</w:t>
      </w:r>
      <w:r>
        <w:rPr>
          <w:rFonts w:cs="Open Sans"/>
        </w:rPr>
        <w:t>(a)</w:t>
      </w:r>
      <w:r w:rsidRPr="00AA1A20">
        <w:rPr>
          <w:rFonts w:cs="Open Sans"/>
        </w:rPr>
        <w:t xml:space="preserve"> prohibits TANs or TCNs from having the effect of either ‘requiring a designated communications provider to implement or build a systemic weakness, or a systemic vulnerability, into a form of electronic protection’</w:t>
      </w:r>
      <w:r w:rsidR="00794FAD">
        <w:rPr>
          <w:rFonts w:cs="Open Sans"/>
        </w:rPr>
        <w:t>,</w:t>
      </w:r>
      <w:r w:rsidRPr="00AA1A20">
        <w:rPr>
          <w:rFonts w:cs="Open Sans"/>
        </w:rPr>
        <w:t xml:space="preserve"> or ‘preventing a designated communications provider from rectifying a systemic weakness, or a systemic vulnerability, in a form of electronic protection’.</w:t>
      </w:r>
      <w:bookmarkEnd w:id="128"/>
    </w:p>
    <w:p w14:paraId="524417B5" w14:textId="77777777" w:rsidR="002222AF" w:rsidRPr="00AA1A20" w:rsidRDefault="002222AF" w:rsidP="002222AF">
      <w:pPr>
        <w:pStyle w:val="ListNumber"/>
        <w:tabs>
          <w:tab w:val="clear" w:pos="360"/>
          <w:tab w:val="num" w:pos="993"/>
          <w:tab w:val="left" w:pos="1418"/>
        </w:tabs>
        <w:ind w:left="709" w:hanging="567"/>
        <w:rPr>
          <w:rFonts w:cs="Open Sans"/>
        </w:rPr>
      </w:pPr>
      <w:r>
        <w:rPr>
          <w:rFonts w:cs="Open Sans"/>
        </w:rPr>
        <w:t>The Explanatory Memorandum states that electronic protection ‘includes</w:t>
      </w:r>
      <w:r w:rsidRPr="00B471A0">
        <w:rPr>
          <w:rFonts w:cs="Open Sans"/>
        </w:rPr>
        <w:t xml:space="preserve"> forms of encryption or passcode authentication, such as rate limits on a device</w:t>
      </w:r>
      <w:r>
        <w:rPr>
          <w:rFonts w:cs="Open Sans"/>
        </w:rPr>
        <w:t>’</w:t>
      </w:r>
      <w:r w:rsidRPr="00B471A0">
        <w:rPr>
          <w:rFonts w:cs="Open Sans"/>
        </w:rPr>
        <w:t>.</w:t>
      </w:r>
      <w:r w:rsidRPr="00754944">
        <w:rPr>
          <w:rStyle w:val="EndnoteReference"/>
          <w:vertAlign w:val="superscript"/>
        </w:rPr>
        <w:endnoteReference w:id="63"/>
      </w:r>
    </w:p>
    <w:p w14:paraId="194E4DB4" w14:textId="28A047FB" w:rsidR="002222AF" w:rsidRPr="00AA1A20" w:rsidRDefault="002222AF" w:rsidP="002222AF">
      <w:pPr>
        <w:pStyle w:val="ListNumber"/>
        <w:tabs>
          <w:tab w:val="clear" w:pos="360"/>
          <w:tab w:val="num" w:pos="993"/>
          <w:tab w:val="left" w:pos="1418"/>
        </w:tabs>
        <w:ind w:left="709" w:hanging="567"/>
        <w:rPr>
          <w:rFonts w:cs="Open Sans"/>
        </w:rPr>
      </w:pPr>
      <w:bookmarkStart w:id="129" w:name="_Ref524083996"/>
      <w:r w:rsidRPr="00AA1A20">
        <w:rPr>
          <w:rFonts w:cs="Open Sans"/>
        </w:rPr>
        <w:t>This limitation includes a prohibition on requiring providers to build a new decryption capability in relation to a form of electronic protection, or to take action that would ‘render systemic methods of authentication or encryption less effective’.</w:t>
      </w:r>
      <w:r w:rsidRPr="00DF3B57">
        <w:rPr>
          <w:rStyle w:val="EndnoteReference"/>
          <w:vertAlign w:val="superscript"/>
        </w:rPr>
        <w:endnoteReference w:id="64"/>
      </w:r>
      <w:r w:rsidRPr="00AA1A20">
        <w:rPr>
          <w:rFonts w:cs="Open Sans"/>
        </w:rPr>
        <w:t xml:space="preserve"> As discussed below in Pt </w:t>
      </w:r>
      <w:r w:rsidRPr="00AA1A20">
        <w:rPr>
          <w:rFonts w:cs="Open Sans"/>
        </w:rPr>
        <w:fldChar w:fldCharType="begin"/>
      </w:r>
      <w:r w:rsidRPr="00AA1A20">
        <w:rPr>
          <w:rFonts w:cs="Open Sans"/>
        </w:rPr>
        <w:instrText xml:space="preserve"> REF _Ref524019769 \r \h  \* MERGEFORMAT </w:instrText>
      </w:r>
      <w:r w:rsidRPr="00AA1A20">
        <w:rPr>
          <w:rFonts w:cs="Open Sans"/>
        </w:rPr>
      </w:r>
      <w:r w:rsidRPr="00AA1A20">
        <w:rPr>
          <w:rFonts w:cs="Open Sans"/>
        </w:rPr>
        <w:fldChar w:fldCharType="separate"/>
      </w:r>
      <w:r w:rsidR="00372D72">
        <w:rPr>
          <w:rFonts w:cs="Open Sans"/>
        </w:rPr>
        <w:t>5.2</w:t>
      </w:r>
      <w:r w:rsidRPr="00AA1A20">
        <w:rPr>
          <w:rFonts w:cs="Open Sans"/>
        </w:rPr>
        <w:fldChar w:fldCharType="end"/>
      </w:r>
      <w:r w:rsidRPr="00AA1A20">
        <w:rPr>
          <w:rFonts w:cs="Open Sans"/>
        </w:rPr>
        <w:t xml:space="preserve"> of the submission, the terms ‘systemic weakness’ or ‘systemic vulnerability’ are not defined in the </w:t>
      </w:r>
      <w:r>
        <w:rPr>
          <w:rFonts w:cs="Open Sans"/>
        </w:rPr>
        <w:t>Bill</w:t>
      </w:r>
      <w:r w:rsidRPr="00AA1A20">
        <w:rPr>
          <w:rFonts w:cs="Open Sans"/>
        </w:rPr>
        <w:t>.</w:t>
      </w:r>
      <w:bookmarkEnd w:id="129"/>
      <w:r w:rsidRPr="00AA1A20">
        <w:rPr>
          <w:rFonts w:cs="Open Sans"/>
        </w:rPr>
        <w:t xml:space="preserve"> </w:t>
      </w:r>
    </w:p>
    <w:p w14:paraId="6C07A8C9" w14:textId="125C8FF4"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 xml:space="preserve">The </w:t>
      </w:r>
      <w:r>
        <w:rPr>
          <w:rFonts w:cs="Open Sans"/>
        </w:rPr>
        <w:t>Explanatory Memorandum</w:t>
      </w:r>
      <w:r w:rsidRPr="00AA1A20">
        <w:rPr>
          <w:rFonts w:cs="Open Sans"/>
        </w:rPr>
        <w:t xml:space="preserve"> refers to a number of other safeguards and oversight mechanisms in the </w:t>
      </w:r>
      <w:r>
        <w:rPr>
          <w:rFonts w:cs="Open Sans"/>
        </w:rPr>
        <w:t>Bill</w:t>
      </w:r>
      <w:r w:rsidRPr="00AA1A20">
        <w:rPr>
          <w:rFonts w:cs="Open Sans"/>
        </w:rPr>
        <w:t xml:space="preserve">, including: </w:t>
      </w:r>
    </w:p>
    <w:p w14:paraId="7CE32246" w14:textId="77777777" w:rsidR="002222AF" w:rsidRPr="00AA1A20" w:rsidRDefault="002222AF" w:rsidP="002222AF">
      <w:pPr>
        <w:pStyle w:val="Bullet"/>
        <w:numPr>
          <w:ilvl w:val="0"/>
          <w:numId w:val="20"/>
        </w:numPr>
        <w:ind w:hanging="357"/>
        <w:rPr>
          <w:rFonts w:cs="Open Sans"/>
        </w:rPr>
      </w:pPr>
      <w:r w:rsidRPr="00AA1A20">
        <w:rPr>
          <w:rFonts w:cs="Open Sans"/>
        </w:rPr>
        <w:t>before giving or varying a TAN or TCN, the decision maker must be satisfied that the notice is reasonable and proportionate and that compliance is practicable and technically feasible</w:t>
      </w:r>
      <w:r w:rsidRPr="00DF3B57">
        <w:rPr>
          <w:rStyle w:val="EndnoteReference"/>
          <w:vertAlign w:val="superscript"/>
        </w:rPr>
        <w:endnoteReference w:id="65"/>
      </w:r>
      <w:r w:rsidRPr="00AA1A20">
        <w:rPr>
          <w:rFonts w:cs="Open Sans"/>
        </w:rPr>
        <w:t xml:space="preserve"> </w:t>
      </w:r>
    </w:p>
    <w:p w14:paraId="30A6CFFE" w14:textId="4C1EE05F" w:rsidR="002222AF" w:rsidRDefault="002222AF" w:rsidP="002222AF">
      <w:pPr>
        <w:pStyle w:val="Bullet"/>
        <w:numPr>
          <w:ilvl w:val="0"/>
          <w:numId w:val="20"/>
        </w:numPr>
        <w:ind w:hanging="357"/>
        <w:rPr>
          <w:rFonts w:cs="Open Sans"/>
        </w:rPr>
      </w:pPr>
      <w:r w:rsidRPr="00AA1A20">
        <w:rPr>
          <w:rFonts w:cs="Open Sans"/>
        </w:rPr>
        <w:t>before giving a TCN, the Attorney-General must give the provider the opportunity to consult through making a submission, noting that this requirement does not apply where it is urgent or impracticable</w:t>
      </w:r>
      <w:r w:rsidRPr="00DF3B57">
        <w:rPr>
          <w:rStyle w:val="EndnoteReference"/>
          <w:vertAlign w:val="superscript"/>
        </w:rPr>
        <w:endnoteReference w:id="66"/>
      </w:r>
      <w:r w:rsidRPr="00AA1A20">
        <w:rPr>
          <w:rFonts w:cs="Open Sans"/>
        </w:rPr>
        <w:t xml:space="preserve"> </w:t>
      </w:r>
    </w:p>
    <w:p w14:paraId="0A8600CB" w14:textId="47CFCC5C" w:rsidR="002222AF" w:rsidRPr="00AA1A20" w:rsidRDefault="002222AF" w:rsidP="002222AF">
      <w:pPr>
        <w:pStyle w:val="Bullet"/>
        <w:numPr>
          <w:ilvl w:val="0"/>
          <w:numId w:val="20"/>
        </w:numPr>
        <w:ind w:hanging="357"/>
        <w:rPr>
          <w:rFonts w:cs="Open Sans"/>
        </w:rPr>
      </w:pPr>
      <w:r>
        <w:rPr>
          <w:rFonts w:cs="Open Sans"/>
        </w:rPr>
        <w:t xml:space="preserve">if a consultation notice is issued to a provider regarding a proposal to give a TCN, the Attorney-General and provider may jointly appoint a person to assess whether the TCN would contravene the s 317ZG limitation and the Attorney-General must consider any </w:t>
      </w:r>
      <w:r w:rsidR="001C13E4">
        <w:rPr>
          <w:rFonts w:cs="Open Sans"/>
        </w:rPr>
        <w:t xml:space="preserve">such </w:t>
      </w:r>
      <w:r>
        <w:rPr>
          <w:rFonts w:cs="Open Sans"/>
        </w:rPr>
        <w:t>assessment report before giving a TCN</w:t>
      </w:r>
      <w:r w:rsidRPr="00DF3B57">
        <w:rPr>
          <w:rStyle w:val="EndnoteReference"/>
          <w:vertAlign w:val="superscript"/>
        </w:rPr>
        <w:endnoteReference w:id="67"/>
      </w:r>
    </w:p>
    <w:p w14:paraId="51D92417" w14:textId="77777777" w:rsidR="002222AF" w:rsidRPr="00AA1A20" w:rsidRDefault="002222AF" w:rsidP="002222AF">
      <w:pPr>
        <w:pStyle w:val="Bullet"/>
        <w:numPr>
          <w:ilvl w:val="0"/>
          <w:numId w:val="20"/>
        </w:numPr>
        <w:ind w:hanging="357"/>
        <w:rPr>
          <w:rFonts w:cs="Open Sans"/>
        </w:rPr>
      </w:pPr>
      <w:r w:rsidRPr="00AA1A20">
        <w:rPr>
          <w:rFonts w:cs="Open Sans"/>
        </w:rPr>
        <w:t>revocation of a TAN or TCN must occur if a decision maker is satisfied that the requirements are not reasonable and proportionate or that compliance is not practicable and technically feasible</w:t>
      </w:r>
      <w:r w:rsidRPr="00DF3B57">
        <w:rPr>
          <w:rStyle w:val="EndnoteReference"/>
          <w:vertAlign w:val="superscript"/>
        </w:rPr>
        <w:endnoteReference w:id="68"/>
      </w:r>
    </w:p>
    <w:p w14:paraId="124A76FA" w14:textId="77777777" w:rsidR="002222AF" w:rsidRPr="00AA1A20" w:rsidRDefault="002222AF" w:rsidP="002222AF">
      <w:pPr>
        <w:pStyle w:val="Bullet"/>
        <w:numPr>
          <w:ilvl w:val="0"/>
          <w:numId w:val="20"/>
        </w:numPr>
        <w:ind w:hanging="357"/>
        <w:rPr>
          <w:rFonts w:cs="Open Sans"/>
        </w:rPr>
      </w:pPr>
      <w:r w:rsidRPr="00AA1A20">
        <w:rPr>
          <w:rFonts w:cs="Open Sans"/>
        </w:rPr>
        <w:t>core data retention and interception capability obligations remain subject to existing legislative arrangements in the TIA Act</w:t>
      </w:r>
      <w:r w:rsidRPr="00DF3B57">
        <w:rPr>
          <w:rStyle w:val="EndnoteReference"/>
          <w:vertAlign w:val="superscript"/>
        </w:rPr>
        <w:endnoteReference w:id="69"/>
      </w:r>
    </w:p>
    <w:p w14:paraId="4DC30885" w14:textId="63DECEDF" w:rsidR="002222AF" w:rsidRPr="00AA1A20" w:rsidRDefault="00B3193D" w:rsidP="002222AF">
      <w:pPr>
        <w:pStyle w:val="Bullet"/>
        <w:numPr>
          <w:ilvl w:val="0"/>
          <w:numId w:val="20"/>
        </w:numPr>
        <w:ind w:hanging="357"/>
        <w:rPr>
          <w:rFonts w:cs="Open Sans"/>
        </w:rPr>
      </w:pPr>
      <w:r>
        <w:rPr>
          <w:rFonts w:cs="Open Sans"/>
        </w:rPr>
        <w:t xml:space="preserve">with respect to the giving of TANs or TCNs, </w:t>
      </w:r>
      <w:r w:rsidR="002222AF" w:rsidRPr="00AA1A20">
        <w:rPr>
          <w:rFonts w:cs="Open Sans"/>
        </w:rPr>
        <w:t xml:space="preserve">the reforms will not alter the need for agencies to seek a warrant or authorisation under </w:t>
      </w:r>
      <w:r w:rsidR="009A332A">
        <w:rPr>
          <w:rFonts w:cs="Open Sans"/>
        </w:rPr>
        <w:t>a relevant law of the Commonwealth</w:t>
      </w:r>
      <w:r w:rsidR="00B96FD3">
        <w:rPr>
          <w:rFonts w:cs="Open Sans"/>
        </w:rPr>
        <w:t xml:space="preserve"> or</w:t>
      </w:r>
      <w:r w:rsidR="009A332A">
        <w:rPr>
          <w:rFonts w:cs="Open Sans"/>
        </w:rPr>
        <w:t xml:space="preserve"> a </w:t>
      </w:r>
      <w:r w:rsidR="009524AA">
        <w:rPr>
          <w:rFonts w:cs="Open Sans"/>
        </w:rPr>
        <w:t xml:space="preserve">state </w:t>
      </w:r>
      <w:r w:rsidR="009A332A">
        <w:rPr>
          <w:rFonts w:cs="Open Sans"/>
        </w:rPr>
        <w:t xml:space="preserve">or </w:t>
      </w:r>
      <w:r w:rsidR="009524AA">
        <w:rPr>
          <w:rFonts w:cs="Open Sans"/>
        </w:rPr>
        <w:t>territory</w:t>
      </w:r>
      <w:r w:rsidR="009A332A">
        <w:rPr>
          <w:rFonts w:cs="Open Sans"/>
        </w:rPr>
        <w:t xml:space="preserve">, such as </w:t>
      </w:r>
      <w:r w:rsidR="002222AF" w:rsidRPr="00AA1A20">
        <w:rPr>
          <w:rFonts w:cs="Open Sans"/>
        </w:rPr>
        <w:t xml:space="preserve">the </w:t>
      </w:r>
      <w:r w:rsidR="002222AF" w:rsidRPr="009A332A">
        <w:rPr>
          <w:rFonts w:cs="Open Sans"/>
        </w:rPr>
        <w:t>TIA Act or the SD Act</w:t>
      </w:r>
      <w:r>
        <w:rPr>
          <w:rFonts w:cs="Open Sans"/>
        </w:rPr>
        <w:t>,</w:t>
      </w:r>
      <w:r w:rsidR="002222AF" w:rsidRPr="009A332A">
        <w:rPr>
          <w:rFonts w:cs="Open Sans"/>
        </w:rPr>
        <w:t xml:space="preserve"> to undertake activities permitted by those Acts</w:t>
      </w:r>
      <w:r w:rsidR="002222AF" w:rsidRPr="00AA1A20">
        <w:rPr>
          <w:rFonts w:cs="Open Sans"/>
        </w:rPr>
        <w:t>; however, if a warrant is already issued, provider assistance can be directed towards facilitating execution of the warrant</w:t>
      </w:r>
      <w:r w:rsidR="002222AF" w:rsidRPr="00DF3B57">
        <w:rPr>
          <w:rStyle w:val="EndnoteReference"/>
          <w:vertAlign w:val="superscript"/>
        </w:rPr>
        <w:endnoteReference w:id="70"/>
      </w:r>
    </w:p>
    <w:p w14:paraId="4E2ABCE5" w14:textId="662298D9" w:rsidR="002222AF" w:rsidRPr="005C0C97" w:rsidRDefault="002222AF" w:rsidP="002222AF">
      <w:pPr>
        <w:pStyle w:val="Bullet"/>
        <w:numPr>
          <w:ilvl w:val="0"/>
          <w:numId w:val="20"/>
        </w:numPr>
        <w:ind w:hanging="357"/>
        <w:rPr>
          <w:rFonts w:cs="Open Sans"/>
        </w:rPr>
      </w:pPr>
      <w:r w:rsidRPr="00AA1A20">
        <w:rPr>
          <w:rFonts w:cs="Open Sans"/>
        </w:rPr>
        <w:t xml:space="preserve">the purposes for which a provider can be requested or compelled to assist an agency are limited to objectives deemed ‘relevant objectives’, including purposes related to criminal law enforcement, </w:t>
      </w:r>
      <w:r>
        <w:rPr>
          <w:rFonts w:cs="Open Sans"/>
        </w:rPr>
        <w:t xml:space="preserve">the imposition of pecuniary penalties or </w:t>
      </w:r>
      <w:r w:rsidRPr="00AA1A20">
        <w:rPr>
          <w:rFonts w:cs="Open Sans"/>
        </w:rPr>
        <w:t>national security</w:t>
      </w:r>
      <w:r w:rsidRPr="005C0C97">
        <w:rPr>
          <w:rStyle w:val="EndnoteReference"/>
          <w:vertAlign w:val="superscript"/>
        </w:rPr>
        <w:endnoteReference w:id="71"/>
      </w:r>
      <w:r w:rsidRPr="005C0C97">
        <w:rPr>
          <w:rFonts w:cs="Open Sans"/>
          <w:vertAlign w:val="superscript"/>
        </w:rPr>
        <w:t xml:space="preserve"> </w:t>
      </w:r>
    </w:p>
    <w:p w14:paraId="589D6A37" w14:textId="5D3E7064" w:rsidR="002222AF" w:rsidRPr="00AA1A20" w:rsidRDefault="002222AF" w:rsidP="002222AF">
      <w:pPr>
        <w:pStyle w:val="Bullet"/>
        <w:numPr>
          <w:ilvl w:val="0"/>
          <w:numId w:val="20"/>
        </w:numPr>
        <w:ind w:hanging="357"/>
        <w:rPr>
          <w:rFonts w:cs="Open Sans"/>
        </w:rPr>
      </w:pPr>
      <w:r w:rsidRPr="00AA1A20">
        <w:rPr>
          <w:rFonts w:cs="Open Sans"/>
        </w:rPr>
        <w:t>the requested or compelled assistance must be in connection with ‘eligible activit</w:t>
      </w:r>
      <w:r>
        <w:rPr>
          <w:rFonts w:cs="Open Sans"/>
        </w:rPr>
        <w:t>ies</w:t>
      </w:r>
      <w:r w:rsidRPr="00AA1A20">
        <w:rPr>
          <w:rFonts w:cs="Open Sans"/>
        </w:rPr>
        <w:t>’ of a provider and must relate to the performance of a function or exercise of a power conferred on a relevant agency, so far as it relates to a ‘relevant objective’</w:t>
      </w:r>
      <w:r w:rsidRPr="00DF3B57">
        <w:rPr>
          <w:rStyle w:val="EndnoteReference"/>
          <w:vertAlign w:val="superscript"/>
        </w:rPr>
        <w:endnoteReference w:id="72"/>
      </w:r>
    </w:p>
    <w:p w14:paraId="2A00B5B2" w14:textId="77777777" w:rsidR="002222AF" w:rsidRPr="00AA1A20" w:rsidRDefault="002222AF" w:rsidP="002222AF">
      <w:pPr>
        <w:pStyle w:val="Bullet"/>
        <w:numPr>
          <w:ilvl w:val="0"/>
          <w:numId w:val="20"/>
        </w:numPr>
        <w:ind w:hanging="357"/>
        <w:rPr>
          <w:rFonts w:cs="Open Sans"/>
        </w:rPr>
      </w:pPr>
      <w:r w:rsidRPr="00AA1A20">
        <w:rPr>
          <w:rFonts w:cs="Open Sans"/>
        </w:rPr>
        <w:t>the ability to issue notices is reserved to ‘senior decision-makers’, although delegation is possible in certain instances</w:t>
      </w:r>
      <w:r w:rsidRPr="00DF3B57">
        <w:rPr>
          <w:rStyle w:val="EndnoteReference"/>
          <w:vertAlign w:val="superscript"/>
        </w:rPr>
        <w:endnoteReference w:id="73"/>
      </w:r>
    </w:p>
    <w:p w14:paraId="78472ED9" w14:textId="77777777" w:rsidR="002222AF" w:rsidRPr="00AA1A20" w:rsidRDefault="002222AF" w:rsidP="002222AF">
      <w:pPr>
        <w:pStyle w:val="Bullet"/>
        <w:numPr>
          <w:ilvl w:val="0"/>
          <w:numId w:val="20"/>
        </w:numPr>
        <w:ind w:hanging="357"/>
        <w:rPr>
          <w:rFonts w:cs="Open Sans"/>
        </w:rPr>
      </w:pPr>
      <w:r w:rsidRPr="00AA1A20">
        <w:rPr>
          <w:rFonts w:cs="Open Sans"/>
        </w:rPr>
        <w:t>judicial review is available to challenge a decision to issue a notice</w:t>
      </w:r>
    </w:p>
    <w:p w14:paraId="5DDD3C15" w14:textId="7457BF3E" w:rsidR="002222AF" w:rsidRPr="00AA1A20" w:rsidRDefault="002222AF" w:rsidP="002222AF">
      <w:pPr>
        <w:pStyle w:val="Bullet"/>
        <w:numPr>
          <w:ilvl w:val="0"/>
          <w:numId w:val="20"/>
        </w:numPr>
        <w:ind w:hanging="357"/>
        <w:rPr>
          <w:rFonts w:cs="Open Sans"/>
        </w:rPr>
      </w:pPr>
      <w:r w:rsidRPr="00AA1A20">
        <w:rPr>
          <w:rFonts w:cs="Open Sans"/>
        </w:rPr>
        <w:t>unauthorised disclosure of information obtained about or under a notice is an offence, punishable by five years</w:t>
      </w:r>
      <w:r w:rsidR="00070831">
        <w:rPr>
          <w:rFonts w:cs="Open Sans"/>
        </w:rPr>
        <w:t>’</w:t>
      </w:r>
      <w:r w:rsidRPr="00AA1A20">
        <w:rPr>
          <w:rFonts w:cs="Open Sans"/>
        </w:rPr>
        <w:t xml:space="preserve"> imprisonment</w:t>
      </w:r>
      <w:r w:rsidRPr="00DF3B57">
        <w:rPr>
          <w:rStyle w:val="EndnoteReference"/>
          <w:vertAlign w:val="superscript"/>
        </w:rPr>
        <w:endnoteReference w:id="74"/>
      </w:r>
    </w:p>
    <w:p w14:paraId="0B56D836" w14:textId="77777777" w:rsidR="002222AF" w:rsidRPr="00AA1A20" w:rsidRDefault="002222AF" w:rsidP="002222AF">
      <w:pPr>
        <w:pStyle w:val="Bullet"/>
        <w:numPr>
          <w:ilvl w:val="0"/>
          <w:numId w:val="20"/>
        </w:numPr>
        <w:ind w:hanging="357"/>
        <w:rPr>
          <w:rFonts w:cs="Open Sans"/>
        </w:rPr>
      </w:pPr>
      <w:r w:rsidRPr="00AA1A20">
        <w:rPr>
          <w:rFonts w:cs="Open Sans"/>
        </w:rPr>
        <w:lastRenderedPageBreak/>
        <w:t xml:space="preserve">the Minister is required to table a report every financial year setting out the number of </w:t>
      </w:r>
      <w:r>
        <w:rPr>
          <w:rFonts w:cs="Open Sans"/>
        </w:rPr>
        <w:t xml:space="preserve">TARs, </w:t>
      </w:r>
      <w:r w:rsidRPr="00AA1A20">
        <w:rPr>
          <w:rFonts w:cs="Open Sans"/>
        </w:rPr>
        <w:t>TANs and TCNs given</w:t>
      </w:r>
      <w:r w:rsidRPr="00DF3B57">
        <w:rPr>
          <w:rStyle w:val="EndnoteReference"/>
          <w:vertAlign w:val="superscript"/>
        </w:rPr>
        <w:endnoteReference w:id="75"/>
      </w:r>
    </w:p>
    <w:p w14:paraId="1DB13648" w14:textId="101F612A" w:rsidR="002222AF" w:rsidRPr="00AA1A20" w:rsidRDefault="002222AF" w:rsidP="002222AF">
      <w:pPr>
        <w:pStyle w:val="Bullet"/>
        <w:numPr>
          <w:ilvl w:val="0"/>
          <w:numId w:val="20"/>
        </w:numPr>
        <w:ind w:hanging="357"/>
        <w:rPr>
          <w:rFonts w:cs="Open Sans"/>
        </w:rPr>
      </w:pPr>
      <w:r w:rsidRPr="00AA1A20">
        <w:rPr>
          <w:rFonts w:cs="Open Sans"/>
        </w:rPr>
        <w:t xml:space="preserve">arbitration is available to resolve disputes between the </w:t>
      </w:r>
      <w:r w:rsidR="00896BB0">
        <w:rPr>
          <w:rFonts w:cs="Open Sans"/>
        </w:rPr>
        <w:t>g</w:t>
      </w:r>
      <w:r w:rsidR="00896BB0" w:rsidRPr="00AA1A20">
        <w:rPr>
          <w:rFonts w:cs="Open Sans"/>
        </w:rPr>
        <w:t xml:space="preserve">overnment </w:t>
      </w:r>
      <w:r w:rsidRPr="00AA1A20">
        <w:rPr>
          <w:rFonts w:cs="Open Sans"/>
        </w:rPr>
        <w:t>and providers regarding the terms and conditions of a notice.</w:t>
      </w:r>
      <w:r w:rsidRPr="00DF3B57">
        <w:rPr>
          <w:rStyle w:val="EndnoteReference"/>
          <w:vertAlign w:val="superscript"/>
        </w:rPr>
        <w:endnoteReference w:id="76"/>
      </w:r>
      <w:r w:rsidRPr="00AA1A20">
        <w:rPr>
          <w:rFonts w:cs="Open Sans"/>
        </w:rPr>
        <w:t xml:space="preserve"> </w:t>
      </w:r>
    </w:p>
    <w:p w14:paraId="327C3782" w14:textId="48A38843"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Commission is concerned that some of these safeguards are either not fully embodied in the </w:t>
      </w:r>
      <w:r>
        <w:rPr>
          <w:rFonts w:cs="Open Sans"/>
        </w:rPr>
        <w:t>Bill</w:t>
      </w:r>
      <w:r w:rsidRPr="00AA1A20">
        <w:rPr>
          <w:rFonts w:cs="Open Sans"/>
        </w:rPr>
        <w:t>, or are insufficient to ensure that human rights are not impermissibly limited. A discussion of the adequacy of certain of these proposed safeguards to protect human</w:t>
      </w:r>
      <w:r>
        <w:rPr>
          <w:rFonts w:cs="Open Sans"/>
        </w:rPr>
        <w:t xml:space="preserve"> rights is provided below in P</w:t>
      </w:r>
      <w:r w:rsidRPr="00AA1A20">
        <w:rPr>
          <w:rFonts w:cs="Open Sans"/>
        </w:rPr>
        <w:t xml:space="preserve">ts </w:t>
      </w:r>
      <w:r w:rsidRPr="00AA1A20">
        <w:rPr>
          <w:rFonts w:cs="Open Sans"/>
        </w:rPr>
        <w:fldChar w:fldCharType="begin"/>
      </w:r>
      <w:r w:rsidRPr="00AA1A20">
        <w:rPr>
          <w:rFonts w:cs="Open Sans"/>
        </w:rPr>
        <w:instrText xml:space="preserve"> REF _Ref524022304 \r \h  \* MERGEFORMAT </w:instrText>
      </w:r>
      <w:r w:rsidRPr="00AA1A20">
        <w:rPr>
          <w:rFonts w:cs="Open Sans"/>
        </w:rPr>
      </w:r>
      <w:r w:rsidRPr="00AA1A20">
        <w:rPr>
          <w:rFonts w:cs="Open Sans"/>
        </w:rPr>
        <w:fldChar w:fldCharType="separate"/>
      </w:r>
      <w:r w:rsidR="00372D72">
        <w:rPr>
          <w:rFonts w:cs="Open Sans"/>
        </w:rPr>
        <w:t>5</w:t>
      </w:r>
      <w:r w:rsidRPr="00AA1A20">
        <w:rPr>
          <w:rFonts w:cs="Open Sans"/>
        </w:rPr>
        <w:fldChar w:fldCharType="end"/>
      </w:r>
      <w:r w:rsidR="005C0C97" w:rsidRPr="00AA1A20">
        <w:rPr>
          <w:rFonts w:cs="Open Sans"/>
        </w:rPr>
        <w:t>–</w:t>
      </w:r>
      <w:r w:rsidR="005C0C97">
        <w:rPr>
          <w:rFonts w:cs="Open Sans"/>
        </w:rPr>
        <w:fldChar w:fldCharType="begin"/>
      </w:r>
      <w:r w:rsidR="005C0C97">
        <w:rPr>
          <w:rFonts w:cs="Open Sans"/>
        </w:rPr>
        <w:instrText xml:space="preserve"> REF _Ref526771791 \r \h </w:instrText>
      </w:r>
      <w:r w:rsidR="005C0C97">
        <w:rPr>
          <w:rFonts w:cs="Open Sans"/>
        </w:rPr>
      </w:r>
      <w:r w:rsidR="005C0C97">
        <w:rPr>
          <w:rFonts w:cs="Open Sans"/>
        </w:rPr>
        <w:fldChar w:fldCharType="separate"/>
      </w:r>
      <w:r w:rsidR="00372D72">
        <w:rPr>
          <w:rFonts w:cs="Open Sans"/>
        </w:rPr>
        <w:t>7</w:t>
      </w:r>
      <w:r w:rsidR="005C0C97">
        <w:rPr>
          <w:rFonts w:cs="Open Sans"/>
        </w:rPr>
        <w:fldChar w:fldCharType="end"/>
      </w:r>
      <w:r w:rsidRPr="00AA1A20">
        <w:rPr>
          <w:rFonts w:cs="Open Sans"/>
        </w:rPr>
        <w:t xml:space="preserve"> of this submission. </w:t>
      </w:r>
    </w:p>
    <w:p w14:paraId="626A376A" w14:textId="77777777" w:rsidR="002222AF" w:rsidRPr="00AA1A20" w:rsidRDefault="002222AF" w:rsidP="002222AF">
      <w:pPr>
        <w:pStyle w:val="Heading2"/>
        <w:rPr>
          <w:rFonts w:cs="Open Sans"/>
        </w:rPr>
      </w:pPr>
      <w:bookmarkStart w:id="130" w:name="_Toc526518390"/>
      <w:bookmarkStart w:id="131" w:name="_Toc527107801"/>
      <w:r w:rsidRPr="00AA1A20">
        <w:rPr>
          <w:rFonts w:cs="Open Sans"/>
        </w:rPr>
        <w:t>Warrant powers (Schedules 2–5)</w:t>
      </w:r>
      <w:bookmarkEnd w:id="130"/>
      <w:bookmarkEnd w:id="131"/>
    </w:p>
    <w:p w14:paraId="1FDCB866" w14:textId="32122CDE"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Key features of Schedules 2–5 of the </w:t>
      </w:r>
      <w:r>
        <w:rPr>
          <w:rFonts w:cs="Open Sans"/>
        </w:rPr>
        <w:t>Bill</w:t>
      </w:r>
      <w:r w:rsidRPr="00AA1A20">
        <w:rPr>
          <w:rFonts w:cs="Open Sans"/>
        </w:rPr>
        <w:t xml:space="preserve"> include:</w:t>
      </w:r>
    </w:p>
    <w:p w14:paraId="719AE131" w14:textId="7E5012FE" w:rsidR="002222AF" w:rsidRPr="00AA1A20" w:rsidRDefault="002222AF" w:rsidP="002222AF">
      <w:pPr>
        <w:pStyle w:val="Bullet"/>
        <w:numPr>
          <w:ilvl w:val="0"/>
          <w:numId w:val="20"/>
        </w:numPr>
        <w:ind w:hanging="357"/>
        <w:rPr>
          <w:rFonts w:cs="Open Sans"/>
        </w:rPr>
      </w:pPr>
      <w:r w:rsidRPr="00AA1A20">
        <w:rPr>
          <w:rFonts w:cs="Open Sans"/>
        </w:rPr>
        <w:t>provisions that would insert a new ‘computer access warrant’ regime into the SD Act to allow law enforcement agencies to access data in comput</w:t>
      </w:r>
      <w:r w:rsidR="00E6274C">
        <w:rPr>
          <w:rFonts w:cs="Open Sans"/>
        </w:rPr>
        <w:t>ers</w:t>
      </w:r>
      <w:r w:rsidRPr="00AA1A20">
        <w:rPr>
          <w:rFonts w:cs="Open Sans"/>
        </w:rPr>
        <w:t xml:space="preserve"> covertly and, in some cases, remotely, in investigations relating to relevant offences, recovery orders, mutual assistance investigations, integrity operations and control orders </w:t>
      </w:r>
    </w:p>
    <w:p w14:paraId="5DBE0138" w14:textId="3204DC02" w:rsidR="002222AF" w:rsidRPr="00AA1A20" w:rsidRDefault="002222AF" w:rsidP="002222AF">
      <w:pPr>
        <w:pStyle w:val="Bullet"/>
        <w:numPr>
          <w:ilvl w:val="0"/>
          <w:numId w:val="20"/>
        </w:numPr>
        <w:ind w:hanging="357"/>
        <w:rPr>
          <w:rFonts w:cs="Open Sans"/>
        </w:rPr>
      </w:pPr>
      <w:r w:rsidRPr="00AA1A20">
        <w:rPr>
          <w:rFonts w:cs="Open Sans"/>
        </w:rPr>
        <w:t xml:space="preserve">provisions that would attach ancillary interception powers to computer access warrants issued under the new computer access warrant regime in the SD Act and also under the </w:t>
      </w:r>
      <w:r w:rsidR="00531E2F" w:rsidRPr="00AA1A20">
        <w:rPr>
          <w:rFonts w:cs="Open Sans"/>
          <w:i/>
        </w:rPr>
        <w:t>Australian Security Intelligence Organisation Act 1979</w:t>
      </w:r>
      <w:r w:rsidR="00531E2F" w:rsidRPr="00AA1A20">
        <w:rPr>
          <w:rFonts w:cs="Open Sans"/>
        </w:rPr>
        <w:t xml:space="preserve"> (Cth)</w:t>
      </w:r>
      <w:r w:rsidR="00531E2F">
        <w:rPr>
          <w:rFonts w:cs="Open Sans"/>
        </w:rPr>
        <w:t xml:space="preserve"> (</w:t>
      </w:r>
      <w:r w:rsidRPr="00AA1A20">
        <w:rPr>
          <w:rFonts w:cs="Open Sans"/>
        </w:rPr>
        <w:t>ASIO Act</w:t>
      </w:r>
      <w:r w:rsidR="00531E2F">
        <w:rPr>
          <w:rFonts w:cs="Open Sans"/>
        </w:rPr>
        <w:t>)</w:t>
      </w:r>
      <w:r w:rsidRPr="00AA1A20">
        <w:rPr>
          <w:rFonts w:cs="Open Sans"/>
        </w:rPr>
        <w:t xml:space="preserve"> </w:t>
      </w:r>
    </w:p>
    <w:p w14:paraId="5D41BB40" w14:textId="77777777" w:rsidR="002222AF" w:rsidRPr="00AA1A20" w:rsidRDefault="002222AF" w:rsidP="002222AF">
      <w:pPr>
        <w:pStyle w:val="Bullet"/>
        <w:numPr>
          <w:ilvl w:val="0"/>
          <w:numId w:val="20"/>
        </w:numPr>
        <w:ind w:hanging="357"/>
        <w:rPr>
          <w:rFonts w:cs="Open Sans"/>
        </w:rPr>
      </w:pPr>
      <w:r w:rsidRPr="00AA1A20">
        <w:rPr>
          <w:rFonts w:cs="Open Sans"/>
        </w:rPr>
        <w:t xml:space="preserve">provisions that would increase the penalties for non-compliance with ‘assistance orders’ issued under the SD Act, the </w:t>
      </w:r>
      <w:r w:rsidRPr="00AA1A20">
        <w:rPr>
          <w:rFonts w:cs="Open Sans"/>
          <w:i/>
        </w:rPr>
        <w:t>Crimes Act 1914</w:t>
      </w:r>
      <w:r w:rsidRPr="00AA1A20">
        <w:rPr>
          <w:rFonts w:cs="Open Sans"/>
        </w:rPr>
        <w:t xml:space="preserve"> (Cth) (Crimes Act), the </w:t>
      </w:r>
      <w:r w:rsidRPr="00AA1A20">
        <w:rPr>
          <w:rFonts w:cs="Open Sans"/>
          <w:i/>
        </w:rPr>
        <w:t>Customs Act 1901</w:t>
      </w:r>
      <w:r w:rsidRPr="00AA1A20">
        <w:rPr>
          <w:rFonts w:cs="Open Sans"/>
        </w:rPr>
        <w:t xml:space="preserve"> (Cth) (Customs Act) and the ASIO Act. </w:t>
      </w:r>
    </w:p>
    <w:p w14:paraId="3DB97465" w14:textId="540546D5"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Schedules 2–5 of the </w:t>
      </w:r>
      <w:r>
        <w:rPr>
          <w:rFonts w:cs="Open Sans"/>
        </w:rPr>
        <w:t>Bill</w:t>
      </w:r>
      <w:r w:rsidRPr="00AA1A20">
        <w:rPr>
          <w:rFonts w:cs="Open Sans"/>
        </w:rPr>
        <w:t xml:space="preserve"> propose to amend </w:t>
      </w:r>
      <w:r w:rsidR="00794FAD">
        <w:rPr>
          <w:rFonts w:cs="Open Sans"/>
        </w:rPr>
        <w:t>nine</w:t>
      </w:r>
      <w:r w:rsidRPr="00AA1A20">
        <w:rPr>
          <w:rFonts w:cs="Open Sans"/>
        </w:rPr>
        <w:t xml:space="preserve"> pieces of existing Commonwealth legislation to enhance existing warrant powers. Again, in light of the short timeframe provided for public consultation, this submission focuses on a number of impacts that the </w:t>
      </w:r>
      <w:r>
        <w:rPr>
          <w:rFonts w:cs="Open Sans"/>
        </w:rPr>
        <w:t>Bill</w:t>
      </w:r>
      <w:r w:rsidRPr="00AA1A20">
        <w:rPr>
          <w:rFonts w:cs="Open Sans"/>
        </w:rPr>
        <w:t xml:space="preserve"> would have, primarily on the rights to privacy and the freedom of expression.</w:t>
      </w:r>
    </w:p>
    <w:p w14:paraId="0EB320FC" w14:textId="77777777" w:rsidR="002222AF" w:rsidRPr="00AA1A20" w:rsidRDefault="002222AF" w:rsidP="002222AF">
      <w:pPr>
        <w:pStyle w:val="Heading1"/>
        <w:rPr>
          <w:rFonts w:cs="Open Sans"/>
        </w:rPr>
      </w:pPr>
      <w:bookmarkStart w:id="132" w:name="_Ref524022304"/>
      <w:bookmarkStart w:id="133" w:name="_Toc526518391"/>
      <w:bookmarkStart w:id="134" w:name="_Toc527107802"/>
      <w:r w:rsidRPr="00AA1A20">
        <w:rPr>
          <w:rFonts w:cs="Open Sans"/>
        </w:rPr>
        <w:t>Key human rights concerns: assistance requests and notices</w:t>
      </w:r>
      <w:bookmarkEnd w:id="132"/>
      <w:bookmarkEnd w:id="133"/>
      <w:bookmarkEnd w:id="134"/>
    </w:p>
    <w:p w14:paraId="54F8FF79" w14:textId="0A0B114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Commission considers tha</w:t>
      </w:r>
      <w:r w:rsidR="00927A73">
        <w:rPr>
          <w:rFonts w:cs="Open Sans"/>
        </w:rPr>
        <w:t xml:space="preserve">t certain </w:t>
      </w:r>
      <w:r w:rsidR="006F7380">
        <w:rPr>
          <w:rFonts w:cs="Open Sans"/>
        </w:rPr>
        <w:t>features</w:t>
      </w:r>
      <w:r w:rsidR="00927A73">
        <w:rPr>
          <w:rFonts w:cs="Open Sans"/>
        </w:rPr>
        <w:t xml:space="preserve"> </w:t>
      </w:r>
      <w:r w:rsidR="006F7380">
        <w:rPr>
          <w:rFonts w:cs="Open Sans"/>
        </w:rPr>
        <w:t xml:space="preserve">of the assistance scheme </w:t>
      </w:r>
      <w:r w:rsidR="00927A73">
        <w:rPr>
          <w:rFonts w:cs="Open Sans"/>
        </w:rPr>
        <w:t>in Schedule</w:t>
      </w:r>
      <w:r w:rsidRPr="00AA1A20">
        <w:rPr>
          <w:rFonts w:cs="Open Sans"/>
        </w:rPr>
        <w:t xml:space="preserve"> 1 of the </w:t>
      </w:r>
      <w:r>
        <w:rPr>
          <w:rFonts w:cs="Open Sans"/>
        </w:rPr>
        <w:t>Bill</w:t>
      </w:r>
      <w:r w:rsidRPr="00AA1A20">
        <w:rPr>
          <w:rFonts w:cs="Open Sans"/>
        </w:rPr>
        <w:t xml:space="preserve"> </w:t>
      </w:r>
      <w:r w:rsidR="006F7380">
        <w:rPr>
          <w:rFonts w:cs="Open Sans"/>
        </w:rPr>
        <w:t xml:space="preserve">significantly </w:t>
      </w:r>
      <w:r w:rsidRPr="00AA1A20">
        <w:rPr>
          <w:rFonts w:cs="Open Sans"/>
        </w:rPr>
        <w:t xml:space="preserve">limit human rights </w:t>
      </w:r>
      <w:r w:rsidR="00974BA6">
        <w:rPr>
          <w:rFonts w:cs="Open Sans"/>
        </w:rPr>
        <w:t>where it has not been</w:t>
      </w:r>
      <w:r w:rsidR="00974BA6" w:rsidRPr="00AA1A20">
        <w:rPr>
          <w:rFonts w:cs="Open Sans"/>
        </w:rPr>
        <w:t xml:space="preserve"> </w:t>
      </w:r>
      <w:r w:rsidRPr="00AA1A20">
        <w:rPr>
          <w:rFonts w:cs="Open Sans"/>
        </w:rPr>
        <w:t>demonstrat</w:t>
      </w:r>
      <w:r w:rsidR="00974BA6">
        <w:rPr>
          <w:rFonts w:cs="Open Sans"/>
        </w:rPr>
        <w:t>ed</w:t>
      </w:r>
      <w:r w:rsidRPr="00AA1A20">
        <w:rPr>
          <w:rFonts w:cs="Open Sans"/>
        </w:rPr>
        <w:t xml:space="preserve"> that such limitations are necessary and proportionate. The Commission is especially concerned about the following </w:t>
      </w:r>
      <w:r w:rsidR="006F7380">
        <w:rPr>
          <w:rFonts w:cs="Open Sans"/>
        </w:rPr>
        <w:t>aspects</w:t>
      </w:r>
      <w:r w:rsidR="00011922">
        <w:rPr>
          <w:rFonts w:cs="Open Sans"/>
        </w:rPr>
        <w:t xml:space="preserve"> of the scheme</w:t>
      </w:r>
      <w:r w:rsidRPr="00AA1A20">
        <w:rPr>
          <w:rFonts w:cs="Open Sans"/>
        </w:rPr>
        <w:t>:</w:t>
      </w:r>
    </w:p>
    <w:p w14:paraId="6F6DA1F1" w14:textId="1A7D2221" w:rsidR="002222AF" w:rsidRPr="00AA1A20" w:rsidRDefault="002222AF" w:rsidP="002222AF">
      <w:pPr>
        <w:pStyle w:val="Bullet"/>
        <w:numPr>
          <w:ilvl w:val="0"/>
          <w:numId w:val="20"/>
        </w:numPr>
        <w:ind w:hanging="357"/>
        <w:rPr>
          <w:rFonts w:cs="Open Sans"/>
        </w:rPr>
      </w:pPr>
      <w:r w:rsidRPr="00AA1A20">
        <w:rPr>
          <w:rFonts w:cs="Open Sans"/>
        </w:rPr>
        <w:lastRenderedPageBreak/>
        <w:t xml:space="preserve">it contains overbroad powers that are not appropriately </w:t>
      </w:r>
      <w:r w:rsidR="0084690E">
        <w:rPr>
          <w:rFonts w:cs="Open Sans"/>
        </w:rPr>
        <w:t xml:space="preserve">clear and </w:t>
      </w:r>
      <w:r w:rsidRPr="00AA1A20">
        <w:rPr>
          <w:rFonts w:cs="Open Sans"/>
        </w:rPr>
        <w:t>limited to ensure that they are only available when necessary and proportionate</w:t>
      </w:r>
    </w:p>
    <w:p w14:paraId="5BEA8459" w14:textId="77777777" w:rsidR="002222AF" w:rsidRPr="00AA1A20" w:rsidRDefault="002222AF" w:rsidP="002222AF">
      <w:pPr>
        <w:pStyle w:val="Bullet"/>
        <w:numPr>
          <w:ilvl w:val="0"/>
          <w:numId w:val="20"/>
        </w:numPr>
        <w:ind w:hanging="357"/>
        <w:rPr>
          <w:rFonts w:cs="Open Sans"/>
        </w:rPr>
      </w:pPr>
      <w:r w:rsidRPr="00AA1A20">
        <w:rPr>
          <w:rFonts w:cs="Open Sans"/>
          <w:lang w:val="en"/>
        </w:rPr>
        <w:t>certain powers can be broadened by the executive once the law is enacted</w:t>
      </w:r>
    </w:p>
    <w:p w14:paraId="4EE43674" w14:textId="77777777" w:rsidR="002222AF" w:rsidRPr="00AA1A20" w:rsidRDefault="002222AF" w:rsidP="002222AF">
      <w:pPr>
        <w:pStyle w:val="Bullet"/>
        <w:numPr>
          <w:ilvl w:val="0"/>
          <w:numId w:val="20"/>
        </w:numPr>
        <w:ind w:hanging="357"/>
        <w:rPr>
          <w:rFonts w:cs="Open Sans"/>
        </w:rPr>
      </w:pPr>
      <w:r w:rsidRPr="00AA1A20">
        <w:rPr>
          <w:rFonts w:cs="Open Sans"/>
          <w:lang w:val="en"/>
        </w:rPr>
        <w:t xml:space="preserve">the proposed safeguards, to mitigate unlawful interferences with human rights, are inadequate. </w:t>
      </w:r>
    </w:p>
    <w:p w14:paraId="2409DE1A" w14:textId="223C51F0" w:rsidR="002222AF" w:rsidRPr="00AA1A20" w:rsidRDefault="002222AF" w:rsidP="002222AF">
      <w:pPr>
        <w:pStyle w:val="ListNumber"/>
        <w:tabs>
          <w:tab w:val="clear" w:pos="360"/>
          <w:tab w:val="num" w:pos="993"/>
          <w:tab w:val="left" w:pos="1418"/>
        </w:tabs>
        <w:ind w:left="709" w:hanging="567"/>
        <w:rPr>
          <w:rFonts w:cs="Open Sans"/>
          <w:lang w:val="en"/>
        </w:rPr>
      </w:pPr>
      <w:r w:rsidRPr="00AA1A20">
        <w:rPr>
          <w:rFonts w:cs="Open Sans"/>
        </w:rPr>
        <w:t xml:space="preserve">As law enforcement powers have the potential to be extremely rights-intrusive, they must be subject to close scrutiny. Compelling evidence will be required before the rights limitations </w:t>
      </w:r>
      <w:r w:rsidR="00974BA6">
        <w:rPr>
          <w:rFonts w:cs="Open Sans"/>
        </w:rPr>
        <w:t xml:space="preserve">they entail </w:t>
      </w:r>
      <w:r w:rsidRPr="00AA1A20">
        <w:rPr>
          <w:rFonts w:cs="Open Sans"/>
        </w:rPr>
        <w:t xml:space="preserve">can be demonstrated to be necessary and proportionate. Further, it is important that such laws are drafted with precision, to ensure that they impinge on human rights no more than is strictly necessary to achieve their purpose. </w:t>
      </w:r>
    </w:p>
    <w:p w14:paraId="299A5CBF" w14:textId="555DB5D5" w:rsidR="002222AF" w:rsidRPr="00AA1A20" w:rsidRDefault="002222AF" w:rsidP="002222AF">
      <w:pPr>
        <w:pStyle w:val="ListNumber"/>
        <w:tabs>
          <w:tab w:val="clear" w:pos="360"/>
          <w:tab w:val="num" w:pos="993"/>
          <w:tab w:val="left" w:pos="1418"/>
        </w:tabs>
        <w:ind w:left="709" w:hanging="567"/>
        <w:rPr>
          <w:rFonts w:cs="Open Sans"/>
          <w:lang w:val="en"/>
        </w:rPr>
      </w:pPr>
      <w:r w:rsidRPr="00AA1A20">
        <w:rPr>
          <w:rFonts w:cs="Open Sans"/>
        </w:rPr>
        <w:t xml:space="preserve">In the law enforcement and national security context, it is also particularly important to ensure that legislative authority for exercises of power is clearly articulated, to ensure </w:t>
      </w:r>
      <w:r w:rsidR="00974BA6">
        <w:rPr>
          <w:rFonts w:cs="Open Sans"/>
        </w:rPr>
        <w:t>powers are</w:t>
      </w:r>
      <w:r w:rsidR="00974BA6" w:rsidRPr="00AA1A20">
        <w:rPr>
          <w:rFonts w:cs="Open Sans"/>
        </w:rPr>
        <w:t xml:space="preserve"> </w:t>
      </w:r>
      <w:r w:rsidRPr="00AA1A20">
        <w:rPr>
          <w:rFonts w:cs="Open Sans"/>
        </w:rPr>
        <w:t>lawful</w:t>
      </w:r>
      <w:r w:rsidR="00974BA6">
        <w:rPr>
          <w:rFonts w:cs="Open Sans"/>
        </w:rPr>
        <w:t>ly</w:t>
      </w:r>
      <w:r w:rsidRPr="00AA1A20">
        <w:rPr>
          <w:rFonts w:cs="Open Sans"/>
        </w:rPr>
        <w:t xml:space="preserve"> exercise</w:t>
      </w:r>
      <w:r w:rsidR="00974BA6">
        <w:rPr>
          <w:rFonts w:cs="Open Sans"/>
        </w:rPr>
        <w:t>d</w:t>
      </w:r>
      <w:r w:rsidRPr="00AA1A20">
        <w:rPr>
          <w:rFonts w:cs="Open Sans"/>
        </w:rPr>
        <w:t xml:space="preserve"> in </w:t>
      </w:r>
      <w:r w:rsidR="00974BA6">
        <w:rPr>
          <w:rFonts w:cs="Open Sans"/>
        </w:rPr>
        <w:t xml:space="preserve">what are </w:t>
      </w:r>
      <w:r w:rsidRPr="00AA1A20">
        <w:rPr>
          <w:rFonts w:cs="Open Sans"/>
        </w:rPr>
        <w:t xml:space="preserve">often complex, difficult and time-critical circumstances where a balancing of competing considerations is required. </w:t>
      </w:r>
    </w:p>
    <w:p w14:paraId="21E4C1F0" w14:textId="59EEBA49"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Additionally, relevant law enforcement officials are often the only persons with access to the full range of relevant intelligence and </w:t>
      </w:r>
      <w:r w:rsidR="00974BA6">
        <w:rPr>
          <w:rFonts w:cs="Open Sans"/>
        </w:rPr>
        <w:t xml:space="preserve">other </w:t>
      </w:r>
      <w:r w:rsidRPr="00AA1A20">
        <w:rPr>
          <w:rFonts w:cs="Open Sans"/>
        </w:rPr>
        <w:t xml:space="preserve">information </w:t>
      </w:r>
      <w:r w:rsidR="00974BA6">
        <w:rPr>
          <w:rFonts w:cs="Open Sans"/>
        </w:rPr>
        <w:t xml:space="preserve">needed </w:t>
      </w:r>
      <w:r w:rsidRPr="00AA1A20">
        <w:rPr>
          <w:rFonts w:cs="Open Sans"/>
        </w:rPr>
        <w:t xml:space="preserve">to make a decision, and with the necessary expertise to assess the relevant risks and benefits of an exercise of power. It is therefore important that human rights protections are built into the decision-making process, to ensure adequate consideration and protection in all the circumstances. </w:t>
      </w:r>
    </w:p>
    <w:p w14:paraId="5FF0D0A7" w14:textId="071589BE"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Further, given the proposed secrecy provisions in the </w:t>
      </w:r>
      <w:r>
        <w:rPr>
          <w:rFonts w:cs="Open Sans"/>
        </w:rPr>
        <w:t>Bill</w:t>
      </w:r>
      <w:r w:rsidRPr="00AA1A20">
        <w:rPr>
          <w:rFonts w:cs="Open Sans"/>
        </w:rPr>
        <w:t xml:space="preserve">, it is also important to </w:t>
      </w:r>
      <w:r w:rsidRPr="00AA1A20">
        <w:rPr>
          <w:rFonts w:cs="Open Sans"/>
          <w:lang w:val="en"/>
        </w:rPr>
        <w:t xml:space="preserve">ensure that the law sets out publicly </w:t>
      </w:r>
      <w:r w:rsidRPr="00AA1A20">
        <w:rPr>
          <w:rFonts w:cs="Open Sans"/>
        </w:rPr>
        <w:t xml:space="preserve">accessible, precise and clear criteria for decision making, given that public scrutiny will be limited in practice. </w:t>
      </w:r>
    </w:p>
    <w:p w14:paraId="348186E9"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In light of these concerns, the Commission draws attention to the following instances where the proposed powers have not been shown to be </w:t>
      </w:r>
      <w:r w:rsidRPr="00AA1A20">
        <w:rPr>
          <w:rFonts w:cs="Open Sans"/>
          <w:lang w:val="en"/>
        </w:rPr>
        <w:t>necessary and proportionate in accordance with human rights law.</w:t>
      </w:r>
    </w:p>
    <w:p w14:paraId="6821763A" w14:textId="77777777" w:rsidR="002222AF" w:rsidRPr="00AA1A20" w:rsidRDefault="002222AF" w:rsidP="002222AF">
      <w:pPr>
        <w:pStyle w:val="Heading2"/>
        <w:tabs>
          <w:tab w:val="clear" w:pos="851"/>
          <w:tab w:val="num" w:pos="1418"/>
        </w:tabs>
        <w:rPr>
          <w:rFonts w:cs="Open Sans"/>
        </w:rPr>
      </w:pPr>
      <w:bookmarkStart w:id="135" w:name="_Ref523847125"/>
      <w:bookmarkStart w:id="136" w:name="_Toc526518392"/>
      <w:bookmarkStart w:id="137" w:name="_Toc527107803"/>
      <w:r w:rsidRPr="00AA1A20">
        <w:rPr>
          <w:rFonts w:cs="Open Sans"/>
        </w:rPr>
        <w:t>Scope of assistance scheme</w:t>
      </w:r>
      <w:bookmarkEnd w:id="135"/>
      <w:bookmarkEnd w:id="136"/>
      <w:bookmarkEnd w:id="137"/>
    </w:p>
    <w:p w14:paraId="66C18A40" w14:textId="0ADB4CCC" w:rsidR="002222AF" w:rsidRPr="00AA1A20" w:rsidRDefault="002222AF" w:rsidP="002222AF">
      <w:pPr>
        <w:pStyle w:val="Heading3"/>
        <w:rPr>
          <w:rFonts w:cs="Open Sans"/>
          <w:i/>
        </w:rPr>
      </w:pPr>
      <w:bookmarkStart w:id="138" w:name="_Toc526518393"/>
      <w:bookmarkStart w:id="139" w:name="_Toc527107804"/>
      <w:r w:rsidRPr="00AA1A20">
        <w:rPr>
          <w:rFonts w:cs="Open Sans"/>
          <w:i/>
        </w:rPr>
        <w:t>‘Acts or things’</w:t>
      </w:r>
      <w:bookmarkEnd w:id="138"/>
      <w:bookmarkEnd w:id="139"/>
      <w:r w:rsidR="001B28C8">
        <w:rPr>
          <w:rFonts w:cs="Open Sans"/>
          <w:i/>
        </w:rPr>
        <w:t xml:space="preserve"> </w:t>
      </w:r>
    </w:p>
    <w:p w14:paraId="29E1AAC5" w14:textId="4487B7B4"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assistance scheme empowers agencies to request or compel the provision of a wide range of assistance from a designated communications </w:t>
      </w:r>
      <w:r w:rsidRPr="00AA1A20">
        <w:rPr>
          <w:rFonts w:cs="Open Sans"/>
        </w:rPr>
        <w:lastRenderedPageBreak/>
        <w:t>provider</w:t>
      </w:r>
      <w:r w:rsidR="00D6424E">
        <w:rPr>
          <w:rFonts w:cs="Open Sans"/>
        </w:rPr>
        <w:t xml:space="preserve">. That assistance can take the form of doing any of </w:t>
      </w:r>
      <w:r w:rsidRPr="00AA1A20">
        <w:rPr>
          <w:rFonts w:cs="Open Sans"/>
        </w:rPr>
        <w:t>the ‘listed acts or things’ designated in proposed s 317E.</w:t>
      </w:r>
      <w:r w:rsidRPr="00DF3B57">
        <w:rPr>
          <w:rStyle w:val="EndnoteReference"/>
          <w:vertAlign w:val="superscript"/>
        </w:rPr>
        <w:endnoteReference w:id="77"/>
      </w:r>
    </w:p>
    <w:p w14:paraId="51610229" w14:textId="09086A89"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w:t>
      </w:r>
      <w:r>
        <w:rPr>
          <w:rFonts w:cs="Open Sans"/>
        </w:rPr>
        <w:t>Explanatory Memorandum</w:t>
      </w:r>
      <w:r w:rsidRPr="00AA1A20">
        <w:rPr>
          <w:rFonts w:cs="Open Sans"/>
        </w:rPr>
        <w:t xml:space="preserve"> suggest</w:t>
      </w:r>
      <w:r w:rsidR="00EC5DCE">
        <w:rPr>
          <w:rFonts w:cs="Open Sans"/>
        </w:rPr>
        <w:t>s</w:t>
      </w:r>
      <w:r w:rsidRPr="00AA1A20">
        <w:rPr>
          <w:rFonts w:cs="Open Sans"/>
        </w:rPr>
        <w:t xml:space="preserve"> that the primary purpose of the industry assistance provisions is to facilitate access to data, devices or systems that are already the subject of a warrant, where such material would otherwise be inaccessible or unintelligible.</w:t>
      </w:r>
      <w:r w:rsidR="00332982" w:rsidRPr="00080B32">
        <w:rPr>
          <w:rStyle w:val="EndnoteReference"/>
          <w:vertAlign w:val="superscript"/>
        </w:rPr>
        <w:endnoteReference w:id="78"/>
      </w:r>
      <w:r w:rsidR="0038253F">
        <w:rPr>
          <w:rFonts w:cs="Open Sans"/>
        </w:rPr>
        <w:t xml:space="preserve"> </w:t>
      </w:r>
    </w:p>
    <w:p w14:paraId="119CBA63" w14:textId="124FA64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However, the definition of ‘acts or things’ in the </w:t>
      </w:r>
      <w:r>
        <w:rPr>
          <w:rFonts w:cs="Open Sans"/>
        </w:rPr>
        <w:t>Bill</w:t>
      </w:r>
      <w:r w:rsidRPr="00AA1A20">
        <w:rPr>
          <w:rFonts w:cs="Open Sans"/>
        </w:rPr>
        <w:t xml:space="preserve"> is so vague as to potentially permit almost limitless forms of assistance to be requested or required, possibly including assistance that is unconnected to a warrant. </w:t>
      </w:r>
      <w:r w:rsidR="00CE11F7">
        <w:rPr>
          <w:rFonts w:cs="Open Sans"/>
        </w:rPr>
        <w:t xml:space="preserve">For discussion about the lack of clarity as to how the assistance scheme will interact with warrants, see Pt </w:t>
      </w:r>
      <w:r w:rsidR="00CE11F7">
        <w:rPr>
          <w:rFonts w:cs="Open Sans"/>
        </w:rPr>
        <w:fldChar w:fldCharType="begin"/>
      </w:r>
      <w:r w:rsidR="00CE11F7">
        <w:rPr>
          <w:rFonts w:cs="Open Sans"/>
        </w:rPr>
        <w:instrText xml:space="preserve"> REF _Ref526933743 \r \h </w:instrText>
      </w:r>
      <w:r w:rsidR="00CE11F7">
        <w:rPr>
          <w:rFonts w:cs="Open Sans"/>
        </w:rPr>
      </w:r>
      <w:r w:rsidR="00CE11F7">
        <w:rPr>
          <w:rFonts w:cs="Open Sans"/>
        </w:rPr>
        <w:fldChar w:fldCharType="separate"/>
      </w:r>
      <w:r w:rsidR="00372D72">
        <w:rPr>
          <w:rFonts w:cs="Open Sans"/>
        </w:rPr>
        <w:t>5.3</w:t>
      </w:r>
      <w:r w:rsidR="00CE11F7">
        <w:rPr>
          <w:rFonts w:cs="Open Sans"/>
        </w:rPr>
        <w:fldChar w:fldCharType="end"/>
      </w:r>
      <w:r w:rsidR="00CE11F7">
        <w:rPr>
          <w:rFonts w:cs="Open Sans"/>
        </w:rPr>
        <w:t xml:space="preserve"> below.</w:t>
      </w:r>
    </w:p>
    <w:p w14:paraId="44A71320" w14:textId="3CEDAA4F"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Commission considers that the language used to define ‘listed acts or things’ is inappropriately ambiguous and overbroad. For example, proposed</w:t>
      </w:r>
      <w:r w:rsidR="00205E36">
        <w:rPr>
          <w:rFonts w:cs="Open Sans"/>
        </w:rPr>
        <w:t xml:space="preserve"> s </w:t>
      </w:r>
      <w:r w:rsidRPr="00AA1A20">
        <w:rPr>
          <w:rFonts w:cs="Open Sans"/>
        </w:rPr>
        <w:t xml:space="preserve">317E(c) allows an agency to require a provider to assist with ‘using’ ‘software or equipment’. The Commission considers that it is unclear on the face of this provision exactly what may constitute ‘use’ of software. Further, ‘equipment’ is an extremely broad term that could encompass almost anything. </w:t>
      </w:r>
    </w:p>
    <w:p w14:paraId="58957E14" w14:textId="4DE1EB0C"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Further, in the case of TARs and TANs, the list</w:t>
      </w:r>
      <w:r w:rsidR="00BA5E89">
        <w:rPr>
          <w:rFonts w:cs="Open Sans"/>
        </w:rPr>
        <w:t xml:space="preserve"> of</w:t>
      </w:r>
      <w:r w:rsidRPr="00AA1A20">
        <w:rPr>
          <w:rFonts w:cs="Open Sans"/>
        </w:rPr>
        <w:t xml:space="preserve"> ‘acts or things’ in the definition in proposed s 317E </w:t>
      </w:r>
      <w:r w:rsidR="00BA5E89">
        <w:rPr>
          <w:rFonts w:cs="Open Sans"/>
        </w:rPr>
        <w:t>is</w:t>
      </w:r>
      <w:r w:rsidR="00BA5E89" w:rsidRPr="00AA1A20">
        <w:rPr>
          <w:rFonts w:cs="Open Sans"/>
        </w:rPr>
        <w:t xml:space="preserve"> </w:t>
      </w:r>
      <w:r w:rsidRPr="00AA1A20">
        <w:rPr>
          <w:rFonts w:cs="Open Sans"/>
        </w:rPr>
        <w:t>no</w:t>
      </w:r>
      <w:r w:rsidR="00BA5E89">
        <w:rPr>
          <w:rFonts w:cs="Open Sans"/>
        </w:rPr>
        <w:t xml:space="preserve">t </w:t>
      </w:r>
      <w:r w:rsidRPr="00AA1A20">
        <w:rPr>
          <w:rFonts w:cs="Open Sans"/>
        </w:rPr>
        <w:t>exhaustive.</w:t>
      </w:r>
      <w:r w:rsidRPr="00DF3B57">
        <w:rPr>
          <w:rStyle w:val="EndnoteReference"/>
          <w:vertAlign w:val="superscript"/>
        </w:rPr>
        <w:endnoteReference w:id="79"/>
      </w:r>
      <w:r w:rsidRPr="00AA1A20">
        <w:rPr>
          <w:rFonts w:cs="Open Sans"/>
        </w:rPr>
        <w:t xml:space="preserve"> </w:t>
      </w:r>
    </w:p>
    <w:p w14:paraId="7A129BBB" w14:textId="474E7894" w:rsidR="002222AF" w:rsidRDefault="002222AF" w:rsidP="002222AF">
      <w:pPr>
        <w:pStyle w:val="ListNumber"/>
        <w:tabs>
          <w:tab w:val="clear" w:pos="360"/>
          <w:tab w:val="num" w:pos="993"/>
          <w:tab w:val="left" w:pos="1418"/>
        </w:tabs>
        <w:ind w:left="709" w:hanging="567"/>
        <w:rPr>
          <w:rFonts w:cs="Open Sans"/>
        </w:rPr>
      </w:pPr>
      <w:r w:rsidRPr="00AA1A20">
        <w:rPr>
          <w:rFonts w:cs="Open Sans"/>
        </w:rPr>
        <w:t xml:space="preserve">For TCNs, the list of ‘acts or things’ in the </w:t>
      </w:r>
      <w:r>
        <w:rPr>
          <w:rFonts w:cs="Open Sans"/>
        </w:rPr>
        <w:t>Bill</w:t>
      </w:r>
      <w:r w:rsidRPr="00AA1A20">
        <w:rPr>
          <w:rFonts w:cs="Open Sans"/>
        </w:rPr>
        <w:t xml:space="preserve"> is exhaustive</w:t>
      </w:r>
      <w:r w:rsidR="00006CE3">
        <w:rPr>
          <w:rFonts w:cs="Open Sans"/>
        </w:rPr>
        <w:t xml:space="preserve"> in circumstances where a</w:t>
      </w:r>
      <w:r w:rsidR="004D7EA8">
        <w:rPr>
          <w:rFonts w:cs="Open Sans"/>
        </w:rPr>
        <w:t xml:space="preserve"> notice requires a provider to do something that will ensure it is </w:t>
      </w:r>
      <w:r w:rsidR="004D7EA8" w:rsidRPr="00854AD0">
        <w:rPr>
          <w:rFonts w:cs="Open Sans"/>
          <w:i/>
        </w:rPr>
        <w:t>capable of giving assistance</w:t>
      </w:r>
      <w:r w:rsidR="00CE11F7">
        <w:rPr>
          <w:rFonts w:cs="Open Sans"/>
        </w:rPr>
        <w:t>.</w:t>
      </w:r>
      <w:r w:rsidR="00CE11F7" w:rsidRPr="00DF3B57">
        <w:rPr>
          <w:rStyle w:val="EndnoteReference"/>
          <w:vertAlign w:val="superscript"/>
        </w:rPr>
        <w:endnoteReference w:id="80"/>
      </w:r>
      <w:r w:rsidR="00CE11F7">
        <w:rPr>
          <w:rFonts w:cs="Open Sans"/>
        </w:rPr>
        <w:t xml:space="preserve"> I</w:t>
      </w:r>
      <w:r w:rsidR="004D7EA8">
        <w:rPr>
          <w:rFonts w:cs="Open Sans"/>
        </w:rPr>
        <w:t>n this circumstance</w:t>
      </w:r>
      <w:r w:rsidR="00CE11F7">
        <w:rPr>
          <w:rFonts w:cs="Open Sans"/>
        </w:rPr>
        <w:t xml:space="preserve">, a provider cannot be made to do </w:t>
      </w:r>
      <w:r w:rsidRPr="00AA1A20">
        <w:rPr>
          <w:rFonts w:cs="Open Sans"/>
        </w:rPr>
        <w:t xml:space="preserve">any </w:t>
      </w:r>
      <w:r w:rsidR="004D7EA8">
        <w:rPr>
          <w:rFonts w:cs="Open Sans"/>
        </w:rPr>
        <w:t>‘</w:t>
      </w:r>
      <w:r w:rsidRPr="00AA1A20">
        <w:rPr>
          <w:rFonts w:cs="Open Sans"/>
        </w:rPr>
        <w:t>act or thing</w:t>
      </w:r>
      <w:r w:rsidR="004D7EA8">
        <w:rPr>
          <w:rFonts w:cs="Open Sans"/>
        </w:rPr>
        <w:t>’</w:t>
      </w:r>
      <w:r w:rsidRPr="00AA1A20">
        <w:rPr>
          <w:rFonts w:cs="Open Sans"/>
        </w:rPr>
        <w:t xml:space="preserve"> covered by proposed paragraph 317E(1)(a). That is, a provider cannot be compelled by a TCN to</w:t>
      </w:r>
      <w:r w:rsidR="006B41A0">
        <w:rPr>
          <w:rFonts w:cs="Open Sans"/>
        </w:rPr>
        <w:t xml:space="preserve"> build a capability </w:t>
      </w:r>
      <w:r w:rsidR="00CE11F7">
        <w:rPr>
          <w:rFonts w:cs="Open Sans"/>
        </w:rPr>
        <w:t>that would allow it to</w:t>
      </w:r>
      <w:r w:rsidRPr="00AA1A20">
        <w:rPr>
          <w:rFonts w:cs="Open Sans"/>
        </w:rPr>
        <w:t xml:space="preserve"> remove electronic protection that was applied by or on behalf of </w:t>
      </w:r>
      <w:r w:rsidR="00CE11F7">
        <w:rPr>
          <w:rFonts w:cs="Open Sans"/>
        </w:rPr>
        <w:t>the</w:t>
      </w:r>
      <w:r w:rsidR="00CE11F7" w:rsidRPr="00AA1A20">
        <w:rPr>
          <w:rFonts w:cs="Open Sans"/>
        </w:rPr>
        <w:t xml:space="preserve"> </w:t>
      </w:r>
      <w:r w:rsidRPr="00AA1A20">
        <w:rPr>
          <w:rFonts w:cs="Open Sans"/>
        </w:rPr>
        <w:t xml:space="preserve">provider. </w:t>
      </w:r>
    </w:p>
    <w:p w14:paraId="36ED464D" w14:textId="4EE04C93"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However, the Minister may, by way of legislative instrument, determine further ‘acts or things’ that can be compelled under a TCN</w:t>
      </w:r>
      <w:r w:rsidR="00F06A8E">
        <w:rPr>
          <w:rFonts w:cs="Open Sans"/>
        </w:rPr>
        <w:t xml:space="preserve"> with respect to building a new capability</w:t>
      </w:r>
      <w:r w:rsidRPr="00AA1A20">
        <w:rPr>
          <w:rFonts w:cs="Open Sans"/>
        </w:rPr>
        <w:t>.</w:t>
      </w:r>
      <w:r w:rsidRPr="00DF3B57">
        <w:rPr>
          <w:rStyle w:val="EndnoteReference"/>
          <w:vertAlign w:val="superscript"/>
        </w:rPr>
        <w:endnoteReference w:id="81"/>
      </w:r>
      <w:r w:rsidRPr="00AA1A20">
        <w:rPr>
          <w:rFonts w:cs="Open Sans"/>
        </w:rPr>
        <w:t xml:space="preserve"> It is not clear that the legislative safeguard that prevent</w:t>
      </w:r>
      <w:r w:rsidR="002B0FB1">
        <w:rPr>
          <w:rFonts w:cs="Open Sans"/>
        </w:rPr>
        <w:t>s</w:t>
      </w:r>
      <w:r w:rsidRPr="00AA1A20">
        <w:rPr>
          <w:rFonts w:cs="Open Sans"/>
        </w:rPr>
        <w:t xml:space="preserve"> </w:t>
      </w:r>
      <w:r w:rsidR="0025157E">
        <w:rPr>
          <w:rFonts w:cs="Open Sans"/>
        </w:rPr>
        <w:t>compelled</w:t>
      </w:r>
      <w:r w:rsidR="0025157E" w:rsidRPr="00AA1A20">
        <w:rPr>
          <w:rFonts w:cs="Open Sans"/>
        </w:rPr>
        <w:t xml:space="preserve"> </w:t>
      </w:r>
      <w:r w:rsidRPr="00AA1A20">
        <w:rPr>
          <w:rFonts w:cs="Open Sans"/>
        </w:rPr>
        <w:t xml:space="preserve">removal of electronic protection applies to this Ministerial determination power. </w:t>
      </w:r>
    </w:p>
    <w:p w14:paraId="47AECB11" w14:textId="237CF925" w:rsidR="002222AF" w:rsidRDefault="002222AF" w:rsidP="002222AF">
      <w:pPr>
        <w:pStyle w:val="ListNumber"/>
        <w:tabs>
          <w:tab w:val="clear" w:pos="360"/>
          <w:tab w:val="num" w:pos="993"/>
          <w:tab w:val="left" w:pos="1418"/>
        </w:tabs>
        <w:ind w:left="709" w:hanging="567"/>
        <w:rPr>
          <w:rFonts w:cs="Open Sans"/>
        </w:rPr>
      </w:pPr>
      <w:r w:rsidRPr="00AA1A20">
        <w:rPr>
          <w:rFonts w:cs="Open Sans"/>
        </w:rPr>
        <w:t>Before making such a determination, the Minister must consider the interests of law enforcement, national security, the objects of the Act, the likely impact of the determination on designated communications providers, and such other matters as the Minister considers relevant.</w:t>
      </w:r>
      <w:r w:rsidRPr="00DF3B57">
        <w:rPr>
          <w:rStyle w:val="EndnoteReference"/>
          <w:vertAlign w:val="superscript"/>
        </w:rPr>
        <w:endnoteReference w:id="82"/>
      </w:r>
      <w:r w:rsidRPr="00AA1A20">
        <w:rPr>
          <w:rFonts w:cs="Open Sans"/>
        </w:rPr>
        <w:t xml:space="preserve"> While the consideration of human rights impacts could fall under the last criterion, most relevantly how the right to privacy might be limited, this is not explicitly mandated. </w:t>
      </w:r>
    </w:p>
    <w:p w14:paraId="53B1474F" w14:textId="77777777" w:rsidR="00DD196E" w:rsidRDefault="006B41A0" w:rsidP="006B41A0">
      <w:pPr>
        <w:pStyle w:val="ListNumber"/>
        <w:tabs>
          <w:tab w:val="clear" w:pos="360"/>
          <w:tab w:val="num" w:pos="993"/>
          <w:tab w:val="left" w:pos="1418"/>
        </w:tabs>
        <w:ind w:left="709" w:hanging="567"/>
        <w:rPr>
          <w:rFonts w:cs="Open Sans"/>
        </w:rPr>
      </w:pPr>
      <w:r>
        <w:rPr>
          <w:rFonts w:cs="Open Sans"/>
        </w:rPr>
        <w:lastRenderedPageBreak/>
        <w:t>The Explanatory Memorandum states that this</w:t>
      </w:r>
      <w:r w:rsidRPr="006B41A0">
        <w:rPr>
          <w:rFonts w:cs="Open Sans"/>
        </w:rPr>
        <w:t xml:space="preserve"> legislative instrument</w:t>
      </w:r>
      <w:r w:rsidR="00FF2983">
        <w:rPr>
          <w:rFonts w:cs="Open Sans"/>
        </w:rPr>
        <w:t>-</w:t>
      </w:r>
      <w:r w:rsidRPr="006B41A0">
        <w:rPr>
          <w:rFonts w:cs="Open Sans"/>
        </w:rPr>
        <w:t>making power</w:t>
      </w:r>
      <w:r w:rsidR="00DD196E">
        <w:rPr>
          <w:rFonts w:cs="Open Sans"/>
        </w:rPr>
        <w:t>:</w:t>
      </w:r>
    </w:p>
    <w:p w14:paraId="0C6EB45F" w14:textId="328A758A" w:rsidR="006B41A0" w:rsidRPr="00AA1A20" w:rsidRDefault="00DD196E" w:rsidP="00EF0AF4">
      <w:pPr>
        <w:pStyle w:val="EndnoteText"/>
      </w:pPr>
      <w:r>
        <w:t>[A]</w:t>
      </w:r>
      <w:r w:rsidR="006B41A0" w:rsidRPr="006B41A0">
        <w:t>llows the Minister to list further areas with respect to which capabilities under a notice may be built, additional to the listed acts or things in 317E</w:t>
      </w:r>
      <w:r w:rsidR="00FF2983">
        <w:t xml:space="preserve"> </w:t>
      </w:r>
      <w:r w:rsidR="006B41A0">
        <w:t>…</w:t>
      </w:r>
      <w:r w:rsidR="006B41A0" w:rsidRPr="006B41A0">
        <w:t xml:space="preserve"> The communications industry is one of the world’s most dynamic industries and it is important that law enforcement and security agencies retain the ability to combat crime and national security threats notwithstanding advances in technology</w:t>
      </w:r>
      <w:r w:rsidR="006B41A0">
        <w:t>’</w:t>
      </w:r>
      <w:r w:rsidR="006B41A0" w:rsidRPr="006B41A0">
        <w:t>.</w:t>
      </w:r>
      <w:r w:rsidR="006B41A0" w:rsidRPr="006B41A0">
        <w:rPr>
          <w:rStyle w:val="EndnoteReference"/>
          <w:vertAlign w:val="superscript"/>
        </w:rPr>
        <w:endnoteReference w:id="83"/>
      </w:r>
    </w:p>
    <w:p w14:paraId="17B135E0" w14:textId="65B3BC56" w:rsidR="002222AF" w:rsidRDefault="002222AF" w:rsidP="002222AF">
      <w:pPr>
        <w:pStyle w:val="ListNumber"/>
        <w:tabs>
          <w:tab w:val="clear" w:pos="360"/>
          <w:tab w:val="num" w:pos="993"/>
          <w:tab w:val="left" w:pos="1418"/>
        </w:tabs>
        <w:ind w:left="709" w:hanging="567"/>
        <w:rPr>
          <w:rFonts w:cs="Open Sans"/>
        </w:rPr>
      </w:pPr>
      <w:r w:rsidRPr="00AA1A20">
        <w:rPr>
          <w:rFonts w:cs="Open Sans"/>
        </w:rPr>
        <w:t>The Commission</w:t>
      </w:r>
      <w:r w:rsidR="006B41A0">
        <w:rPr>
          <w:rFonts w:cs="Open Sans"/>
        </w:rPr>
        <w:t xml:space="preserve"> acknowledges that new advances in technology may require an expansion of provider assistance. However, it</w:t>
      </w:r>
      <w:r w:rsidRPr="00AA1A20">
        <w:rPr>
          <w:rFonts w:cs="Open Sans"/>
        </w:rPr>
        <w:t xml:space="preserve"> considers that</w:t>
      </w:r>
      <w:r w:rsidR="00FF2983">
        <w:rPr>
          <w:rFonts w:cs="Open Sans"/>
        </w:rPr>
        <w:t>,</w:t>
      </w:r>
      <w:r w:rsidRPr="00AA1A20">
        <w:rPr>
          <w:rFonts w:cs="Open Sans"/>
        </w:rPr>
        <w:t xml:space="preserve"> rather than by way of Ministerial determination, it </w:t>
      </w:r>
      <w:r w:rsidR="0025157E">
        <w:rPr>
          <w:rFonts w:cs="Open Sans"/>
        </w:rPr>
        <w:t>is</w:t>
      </w:r>
      <w:r w:rsidRPr="00AA1A20">
        <w:rPr>
          <w:rFonts w:cs="Open Sans"/>
        </w:rPr>
        <w:t xml:space="preserve"> more appropriate for further acts and things only to be added by way of legislative amendment. This approach would allow for full parliamentary and public scrutiny, including of the necessity and proportionality of </w:t>
      </w:r>
      <w:r w:rsidR="006B41A0">
        <w:rPr>
          <w:rFonts w:cs="Open Sans"/>
        </w:rPr>
        <w:t>any</w:t>
      </w:r>
      <w:r w:rsidR="006B41A0" w:rsidRPr="00AA1A20">
        <w:rPr>
          <w:rFonts w:cs="Open Sans"/>
        </w:rPr>
        <w:t xml:space="preserve"> </w:t>
      </w:r>
      <w:r w:rsidRPr="00AA1A20">
        <w:rPr>
          <w:rFonts w:cs="Open Sans"/>
        </w:rPr>
        <w:t>further significant human rights limitations</w:t>
      </w:r>
      <w:r w:rsidR="006B41A0">
        <w:rPr>
          <w:rFonts w:cs="Open Sans"/>
        </w:rPr>
        <w:t xml:space="preserve"> by authorising a provider to do a new act or thing</w:t>
      </w:r>
      <w:r w:rsidRPr="00AA1A20">
        <w:rPr>
          <w:rFonts w:cs="Open Sans"/>
        </w:rPr>
        <w:t>.</w:t>
      </w:r>
    </w:p>
    <w:p w14:paraId="4C8C50EC" w14:textId="32C10B94" w:rsidR="00F76133" w:rsidRPr="00F76133" w:rsidRDefault="006B41A0" w:rsidP="00F76133">
      <w:pPr>
        <w:pStyle w:val="ListNumber"/>
        <w:tabs>
          <w:tab w:val="clear" w:pos="360"/>
          <w:tab w:val="num" w:pos="993"/>
          <w:tab w:val="left" w:pos="1418"/>
        </w:tabs>
        <w:ind w:left="709" w:hanging="567"/>
      </w:pPr>
      <w:r w:rsidRPr="006B41A0">
        <w:t xml:space="preserve">Where a TCN </w:t>
      </w:r>
      <w:r>
        <w:t>r</w:t>
      </w:r>
      <w:r w:rsidRPr="006B41A0">
        <w:t>equire</w:t>
      </w:r>
      <w:r>
        <w:t>s</w:t>
      </w:r>
      <w:r w:rsidRPr="006B41A0">
        <w:t xml:space="preserve"> a provider to give assistance it is already capable of giving</w:t>
      </w:r>
      <w:r>
        <w:t xml:space="preserve">, </w:t>
      </w:r>
      <w:r w:rsidR="00F76133">
        <w:t>the ‘acts or things’ listed in proposed</w:t>
      </w:r>
      <w:r w:rsidR="00205E36">
        <w:t xml:space="preserve"> s </w:t>
      </w:r>
      <w:r w:rsidR="00F76133">
        <w:t xml:space="preserve">317E of the Bill are </w:t>
      </w:r>
      <w:r w:rsidR="00F76133" w:rsidRPr="00F06A8E">
        <w:rPr>
          <w:i/>
        </w:rPr>
        <w:t>non-exhaustive</w:t>
      </w:r>
      <w:r w:rsidR="00F76133">
        <w:t>.</w:t>
      </w:r>
      <w:r w:rsidR="003E54A3" w:rsidRPr="00F06A8E">
        <w:rPr>
          <w:rStyle w:val="EndnoteReference"/>
          <w:vertAlign w:val="superscript"/>
        </w:rPr>
        <w:endnoteReference w:id="84"/>
      </w:r>
      <w:r w:rsidR="00F76133">
        <w:t xml:space="preserve"> That is, there is </w:t>
      </w:r>
      <w:r w:rsidR="00F76133">
        <w:rPr>
          <w:rFonts w:cs="Open Sans"/>
        </w:rPr>
        <w:t>no limit to the</w:t>
      </w:r>
      <w:r w:rsidR="00F76133" w:rsidRPr="00F76133">
        <w:rPr>
          <w:rFonts w:cs="Open Sans"/>
        </w:rPr>
        <w:t xml:space="preserve"> forms of assistance that may be requested from a provider, if </w:t>
      </w:r>
      <w:r w:rsidR="00F76133">
        <w:rPr>
          <w:rFonts w:cs="Open Sans"/>
        </w:rPr>
        <w:t>they</w:t>
      </w:r>
      <w:r w:rsidR="00F76133" w:rsidRPr="00F76133">
        <w:rPr>
          <w:rFonts w:cs="Open Sans"/>
        </w:rPr>
        <w:t xml:space="preserve"> alread</w:t>
      </w:r>
      <w:r w:rsidR="00F76133">
        <w:rPr>
          <w:rFonts w:cs="Open Sans"/>
        </w:rPr>
        <w:t>y have</w:t>
      </w:r>
      <w:r w:rsidR="00F76133" w:rsidRPr="00F76133">
        <w:rPr>
          <w:rFonts w:cs="Open Sans"/>
        </w:rPr>
        <w:t xml:space="preserve"> the capacity to give </w:t>
      </w:r>
      <w:r w:rsidR="00F76133">
        <w:rPr>
          <w:rFonts w:cs="Open Sans"/>
        </w:rPr>
        <w:t>the</w:t>
      </w:r>
      <w:r w:rsidR="00F76133" w:rsidRPr="00F76133">
        <w:rPr>
          <w:rFonts w:cs="Open Sans"/>
        </w:rPr>
        <w:t xml:space="preserve"> assistance</w:t>
      </w:r>
      <w:r w:rsidR="00F76133">
        <w:rPr>
          <w:rFonts w:cs="Open Sans"/>
        </w:rPr>
        <w:t>, including the removal of electronic protection.</w:t>
      </w:r>
    </w:p>
    <w:p w14:paraId="49EC924D" w14:textId="73CF8696"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It is possible that the broad drafting of </w:t>
      </w:r>
      <w:r w:rsidR="003E54A3">
        <w:rPr>
          <w:rFonts w:cs="Open Sans"/>
        </w:rPr>
        <w:t xml:space="preserve">the ‘acts or things’ in </w:t>
      </w:r>
      <w:r w:rsidRPr="00AA1A20">
        <w:rPr>
          <w:rFonts w:cs="Open Sans"/>
        </w:rPr>
        <w:t>proposed s</w:t>
      </w:r>
      <w:r w:rsidR="006F74D0">
        <w:rPr>
          <w:rFonts w:cs="Open Sans"/>
        </w:rPr>
        <w:t> </w:t>
      </w:r>
      <w:r w:rsidRPr="00AA1A20">
        <w:rPr>
          <w:rFonts w:cs="Open Sans"/>
        </w:rPr>
        <w:t xml:space="preserve">317E might be intended to ‘future-proof’ the scheme. However, the Commission considers that its breadth and ambiguity may not satisfy the requirements of necessity and proportionality. The </w:t>
      </w:r>
      <w:r>
        <w:rPr>
          <w:rFonts w:cs="Open Sans"/>
        </w:rPr>
        <w:t>Explanatory Memorandum</w:t>
      </w:r>
      <w:r w:rsidRPr="00AA1A20">
        <w:rPr>
          <w:rFonts w:cs="Open Sans"/>
        </w:rPr>
        <w:t xml:space="preserve"> does not demonstrate that such a broad definition is required to achieve the objectives of the </w:t>
      </w:r>
      <w:r>
        <w:rPr>
          <w:rFonts w:cs="Open Sans"/>
        </w:rPr>
        <w:t>Bill</w:t>
      </w:r>
      <w:r w:rsidRPr="00AA1A20">
        <w:rPr>
          <w:rFonts w:cs="Open Sans"/>
        </w:rPr>
        <w:t xml:space="preserve">. </w:t>
      </w:r>
    </w:p>
    <w:p w14:paraId="13B56CFE" w14:textId="575B998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Having such a large potential suite of assistance measures also increases the risk of agencies choosing the most rights-intrusive form of assistance as a matter of convenience, when a less restrictive measure would suffice. </w:t>
      </w:r>
    </w:p>
    <w:p w14:paraId="3222F7A8" w14:textId="35555622"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Commission considers that, given the significant potential limitation on human rights, in particular the right to privacy, the </w:t>
      </w:r>
      <w:r>
        <w:rPr>
          <w:rFonts w:cs="Open Sans"/>
        </w:rPr>
        <w:t>Bill</w:t>
      </w:r>
      <w:r w:rsidRPr="00AA1A20">
        <w:rPr>
          <w:rFonts w:cs="Open Sans"/>
        </w:rPr>
        <w:t xml:space="preserve"> should be redrafted so that: the ‘listed acts or things’ in</w:t>
      </w:r>
      <w:r w:rsidR="00205E36">
        <w:rPr>
          <w:rFonts w:cs="Open Sans"/>
        </w:rPr>
        <w:t xml:space="preserve"> s </w:t>
      </w:r>
      <w:r w:rsidRPr="00AA1A20">
        <w:rPr>
          <w:rFonts w:cs="Open Sans"/>
        </w:rPr>
        <w:t xml:space="preserve">317E are as confined as possible; the definition of ‘listed acts or things’ is exhaustive in relation to all kinds of assistance requests and notices; and so that the definition of ‘acts or things’ cannot be expanded by legislative instrument. </w:t>
      </w:r>
    </w:p>
    <w:p w14:paraId="0283C865" w14:textId="77777777" w:rsidR="002222AF" w:rsidRPr="00AA1A20" w:rsidRDefault="002222AF" w:rsidP="00C80407">
      <w:pPr>
        <w:pStyle w:val="ListNumber"/>
        <w:keepNext/>
        <w:tabs>
          <w:tab w:val="clear" w:pos="360"/>
          <w:tab w:val="num" w:pos="993"/>
          <w:tab w:val="left" w:pos="1418"/>
        </w:tabs>
        <w:ind w:left="709" w:hanging="567"/>
        <w:rPr>
          <w:rFonts w:cs="Open Sans"/>
        </w:rPr>
      </w:pPr>
      <w:r w:rsidRPr="00AA1A20">
        <w:rPr>
          <w:rFonts w:cs="Open Sans"/>
        </w:rPr>
        <w:lastRenderedPageBreak/>
        <w:t>The Commission recommends that:</w:t>
      </w:r>
    </w:p>
    <w:p w14:paraId="14AB6E6F" w14:textId="77777777" w:rsidR="002222AF" w:rsidRPr="00AA1A20" w:rsidRDefault="002222AF" w:rsidP="00C80407">
      <w:pPr>
        <w:pStyle w:val="ListNumber"/>
        <w:keepNext/>
        <w:numPr>
          <w:ilvl w:val="0"/>
          <w:numId w:val="0"/>
        </w:numPr>
        <w:tabs>
          <w:tab w:val="left" w:pos="1418"/>
        </w:tabs>
        <w:ind w:left="709"/>
        <w:rPr>
          <w:rFonts w:cs="Open Sans"/>
          <w:b/>
        </w:rPr>
      </w:pPr>
      <w:r w:rsidRPr="00AA1A20">
        <w:rPr>
          <w:rFonts w:cs="Open Sans"/>
          <w:b/>
        </w:rPr>
        <w:t>Recommendation 2</w:t>
      </w:r>
    </w:p>
    <w:p w14:paraId="0FB86475" w14:textId="0213018B" w:rsidR="002222AF" w:rsidRPr="00AA1A20" w:rsidRDefault="002222AF" w:rsidP="00C80407">
      <w:pPr>
        <w:pStyle w:val="ListNumber"/>
        <w:numPr>
          <w:ilvl w:val="0"/>
          <w:numId w:val="0"/>
        </w:numPr>
        <w:tabs>
          <w:tab w:val="left" w:pos="1418"/>
        </w:tabs>
        <w:ind w:left="709"/>
        <w:rPr>
          <w:rFonts w:cs="Open Sans"/>
        </w:rPr>
      </w:pPr>
      <w:r w:rsidRPr="00AA1A20">
        <w:rPr>
          <w:rFonts w:cs="Open Sans"/>
        </w:rPr>
        <w:t>Proposed</w:t>
      </w:r>
      <w:r w:rsidR="00205E36">
        <w:rPr>
          <w:rFonts w:cs="Open Sans"/>
        </w:rPr>
        <w:t xml:space="preserve"> s </w:t>
      </w:r>
      <w:r w:rsidRPr="00AA1A20">
        <w:rPr>
          <w:rFonts w:cs="Open Sans"/>
        </w:rPr>
        <w:t xml:space="preserve">317E of the </w:t>
      </w:r>
      <w:r w:rsidRPr="00AA1A20">
        <w:rPr>
          <w:rFonts w:cs="Open Sans"/>
          <w:i/>
        </w:rPr>
        <w:t xml:space="preserve">Telecommunications Act 1997 </w:t>
      </w:r>
      <w:r w:rsidRPr="00AA1A20">
        <w:rPr>
          <w:rFonts w:cs="Open Sans"/>
        </w:rPr>
        <w:t>(Cth) be redrafted in narrower terms, to ensure that the ‘acts or things’ that can be requested or required under TARs, TANs and TCNs are restricted to those that are strictly necessary for law enforcement</w:t>
      </w:r>
      <w:r w:rsidR="00976149">
        <w:rPr>
          <w:rFonts w:cs="Open Sans"/>
        </w:rPr>
        <w:t>, intelligence</w:t>
      </w:r>
      <w:r w:rsidRPr="00AA1A20">
        <w:rPr>
          <w:rFonts w:cs="Open Sans"/>
        </w:rPr>
        <w:t xml:space="preserve"> and national security agencies to carry out their functions.</w:t>
      </w:r>
    </w:p>
    <w:p w14:paraId="2FF2959A" w14:textId="77777777" w:rsidR="002222AF" w:rsidRPr="00AA1A20" w:rsidRDefault="002222AF" w:rsidP="00C80407">
      <w:pPr>
        <w:pStyle w:val="ListNumber"/>
        <w:keepNext/>
        <w:numPr>
          <w:ilvl w:val="0"/>
          <w:numId w:val="0"/>
        </w:numPr>
        <w:tabs>
          <w:tab w:val="left" w:pos="1418"/>
        </w:tabs>
        <w:ind w:left="709"/>
        <w:rPr>
          <w:rFonts w:cs="Open Sans"/>
          <w:b/>
        </w:rPr>
      </w:pPr>
      <w:r w:rsidRPr="00AA1A20">
        <w:rPr>
          <w:rFonts w:cs="Open Sans"/>
          <w:b/>
        </w:rPr>
        <w:t>Recommendation 3</w:t>
      </w:r>
    </w:p>
    <w:p w14:paraId="0861F829" w14:textId="13CCBB80" w:rsidR="002222AF" w:rsidRDefault="002222AF" w:rsidP="002222AF">
      <w:pPr>
        <w:pStyle w:val="ListNumber"/>
        <w:numPr>
          <w:ilvl w:val="0"/>
          <w:numId w:val="0"/>
        </w:numPr>
        <w:tabs>
          <w:tab w:val="left" w:pos="1418"/>
        </w:tabs>
        <w:ind w:left="709"/>
        <w:rPr>
          <w:rFonts w:cs="Open Sans"/>
        </w:rPr>
      </w:pPr>
      <w:r w:rsidRPr="00AA1A20">
        <w:rPr>
          <w:rFonts w:cs="Open Sans"/>
        </w:rPr>
        <w:t>Proposed</w:t>
      </w:r>
      <w:r w:rsidR="00205E36">
        <w:rPr>
          <w:rFonts w:cs="Open Sans"/>
        </w:rPr>
        <w:t xml:space="preserve"> ss </w:t>
      </w:r>
      <w:r w:rsidRPr="00AA1A20">
        <w:rPr>
          <w:rFonts w:cs="Open Sans"/>
        </w:rPr>
        <w:t>317G(6), 317L(3)</w:t>
      </w:r>
      <w:r w:rsidR="00550837">
        <w:rPr>
          <w:rFonts w:cs="Open Sans"/>
        </w:rPr>
        <w:t>, 317T</w:t>
      </w:r>
      <w:r w:rsidRPr="00AA1A20">
        <w:rPr>
          <w:rFonts w:cs="Open Sans"/>
        </w:rPr>
        <w:t xml:space="preserve"> and 317X(3) of the </w:t>
      </w:r>
      <w:r w:rsidRPr="00AA1A20">
        <w:rPr>
          <w:rFonts w:cs="Open Sans"/>
          <w:i/>
        </w:rPr>
        <w:t xml:space="preserve">Telecommunications Act 1997 </w:t>
      </w:r>
      <w:r w:rsidRPr="00AA1A20">
        <w:rPr>
          <w:rFonts w:cs="Open Sans"/>
        </w:rPr>
        <w:t xml:space="preserve">(Cth) be amended so that the only ‘acts or things’ </w:t>
      </w:r>
      <w:r w:rsidR="00550837">
        <w:rPr>
          <w:rFonts w:cs="Open Sans"/>
        </w:rPr>
        <w:t>that can be requested or required to be done</w:t>
      </w:r>
      <w:r w:rsidR="00550837" w:rsidRPr="00AA1A20">
        <w:rPr>
          <w:rFonts w:cs="Open Sans"/>
        </w:rPr>
        <w:t xml:space="preserve"> </w:t>
      </w:r>
      <w:r w:rsidRPr="00AA1A20">
        <w:rPr>
          <w:rFonts w:cs="Open Sans"/>
        </w:rPr>
        <w:t>under a TAR, TAN or TCN are those specified in s 317E (that is, the list of ‘acts or things’ in</w:t>
      </w:r>
      <w:r w:rsidR="00205E36">
        <w:rPr>
          <w:rFonts w:cs="Open Sans"/>
        </w:rPr>
        <w:t xml:space="preserve"> s </w:t>
      </w:r>
      <w:r w:rsidRPr="00AA1A20">
        <w:rPr>
          <w:rFonts w:cs="Open Sans"/>
        </w:rPr>
        <w:t xml:space="preserve">317E should be exhaustive in all cases). </w:t>
      </w:r>
    </w:p>
    <w:p w14:paraId="5348F04A" w14:textId="1D73EC6F" w:rsidR="002222AF" w:rsidRPr="00AA1A20" w:rsidRDefault="002222AF" w:rsidP="00C80407">
      <w:pPr>
        <w:pStyle w:val="ListNumber"/>
        <w:keepNext/>
        <w:numPr>
          <w:ilvl w:val="0"/>
          <w:numId w:val="0"/>
        </w:numPr>
        <w:tabs>
          <w:tab w:val="left" w:pos="1418"/>
        </w:tabs>
        <w:ind w:left="709"/>
        <w:rPr>
          <w:rFonts w:cs="Open Sans"/>
          <w:b/>
        </w:rPr>
      </w:pPr>
      <w:r w:rsidRPr="00AA1A20">
        <w:rPr>
          <w:rFonts w:cs="Open Sans"/>
          <w:b/>
        </w:rPr>
        <w:t xml:space="preserve">Recommendation </w:t>
      </w:r>
      <w:r w:rsidR="003E54A3">
        <w:rPr>
          <w:rFonts w:cs="Open Sans"/>
          <w:b/>
        </w:rPr>
        <w:t>4</w:t>
      </w:r>
    </w:p>
    <w:p w14:paraId="30372E5C" w14:textId="5BA003B2" w:rsidR="002222AF" w:rsidRPr="00AA1A20" w:rsidRDefault="002222AF" w:rsidP="002222AF">
      <w:pPr>
        <w:pStyle w:val="ListNumber"/>
        <w:numPr>
          <w:ilvl w:val="0"/>
          <w:numId w:val="0"/>
        </w:numPr>
        <w:tabs>
          <w:tab w:val="left" w:pos="1418"/>
        </w:tabs>
        <w:ind w:left="709"/>
        <w:rPr>
          <w:rFonts w:cs="Open Sans"/>
        </w:rPr>
      </w:pPr>
      <w:r w:rsidRPr="00AA1A20">
        <w:rPr>
          <w:rFonts w:cs="Open Sans"/>
        </w:rPr>
        <w:t>Proposed</w:t>
      </w:r>
      <w:r w:rsidR="00205E36">
        <w:rPr>
          <w:rFonts w:cs="Open Sans"/>
        </w:rPr>
        <w:t xml:space="preserve"> s </w:t>
      </w:r>
      <w:r w:rsidRPr="00AA1A20">
        <w:rPr>
          <w:rFonts w:cs="Open Sans"/>
        </w:rPr>
        <w:t xml:space="preserve">317T(5) of the </w:t>
      </w:r>
      <w:r w:rsidRPr="00AA1A20">
        <w:rPr>
          <w:rFonts w:cs="Open Sans"/>
          <w:i/>
        </w:rPr>
        <w:t xml:space="preserve">Telecommunications Act 1997 </w:t>
      </w:r>
      <w:r w:rsidRPr="00AA1A20">
        <w:rPr>
          <w:rFonts w:cs="Open Sans"/>
        </w:rPr>
        <w:t xml:space="preserve">(Cth) be </w:t>
      </w:r>
      <w:r w:rsidR="00A569D9">
        <w:rPr>
          <w:rFonts w:cs="Open Sans"/>
        </w:rPr>
        <w:t>omitted</w:t>
      </w:r>
      <w:r w:rsidRPr="00AA1A20">
        <w:rPr>
          <w:rFonts w:cs="Open Sans"/>
        </w:rPr>
        <w:t xml:space="preserve">, to </w:t>
      </w:r>
      <w:r w:rsidR="00A569D9">
        <w:rPr>
          <w:rFonts w:cs="Open Sans"/>
        </w:rPr>
        <w:t>remove</w:t>
      </w:r>
      <w:r w:rsidR="00A569D9" w:rsidRPr="00AA1A20">
        <w:rPr>
          <w:rFonts w:cs="Open Sans"/>
        </w:rPr>
        <w:t xml:space="preserve"> </w:t>
      </w:r>
      <w:r w:rsidRPr="00AA1A20">
        <w:rPr>
          <w:rFonts w:cs="Open Sans"/>
        </w:rPr>
        <w:t xml:space="preserve">the </w:t>
      </w:r>
      <w:r w:rsidR="00A569D9">
        <w:rPr>
          <w:rFonts w:cs="Open Sans"/>
        </w:rPr>
        <w:t>power</w:t>
      </w:r>
      <w:r w:rsidR="00A569D9" w:rsidRPr="00AA1A20">
        <w:rPr>
          <w:rFonts w:cs="Open Sans"/>
        </w:rPr>
        <w:t xml:space="preserve"> </w:t>
      </w:r>
      <w:r w:rsidRPr="00AA1A20">
        <w:rPr>
          <w:rFonts w:cs="Open Sans"/>
        </w:rPr>
        <w:t>of the Minister to expand the definition of ‘acts or things’ for the purposes of a TCN by way of legislative instrument.</w:t>
      </w:r>
    </w:p>
    <w:p w14:paraId="4FFA5357" w14:textId="79178DF7" w:rsidR="002222AF" w:rsidRPr="00AA1A20" w:rsidRDefault="002222AF" w:rsidP="00C80407">
      <w:pPr>
        <w:pStyle w:val="ListNumber"/>
        <w:keepNext/>
        <w:numPr>
          <w:ilvl w:val="0"/>
          <w:numId w:val="0"/>
        </w:numPr>
        <w:tabs>
          <w:tab w:val="left" w:pos="1418"/>
        </w:tabs>
        <w:ind w:left="709"/>
        <w:rPr>
          <w:rFonts w:cs="Open Sans"/>
          <w:b/>
        </w:rPr>
      </w:pPr>
      <w:r w:rsidRPr="00AA1A20">
        <w:rPr>
          <w:rFonts w:cs="Open Sans"/>
          <w:b/>
        </w:rPr>
        <w:t xml:space="preserve">Recommendation </w:t>
      </w:r>
      <w:r w:rsidR="003E54A3">
        <w:rPr>
          <w:rFonts w:cs="Open Sans"/>
          <w:b/>
        </w:rPr>
        <w:t>5</w:t>
      </w:r>
    </w:p>
    <w:p w14:paraId="2D7991E4" w14:textId="1C07E0F2" w:rsidR="002222AF" w:rsidRPr="00AA1A20" w:rsidRDefault="002222AF" w:rsidP="002222AF">
      <w:pPr>
        <w:pStyle w:val="ListNumber"/>
        <w:numPr>
          <w:ilvl w:val="0"/>
          <w:numId w:val="0"/>
        </w:numPr>
        <w:tabs>
          <w:tab w:val="left" w:pos="1418"/>
        </w:tabs>
        <w:ind w:left="709"/>
        <w:rPr>
          <w:rFonts w:cs="Open Sans"/>
        </w:rPr>
      </w:pPr>
      <w:r w:rsidRPr="00AA1A20">
        <w:rPr>
          <w:rFonts w:cs="Open Sans"/>
        </w:rPr>
        <w:t xml:space="preserve">In the event that Recommendation </w:t>
      </w:r>
      <w:r w:rsidR="00D7469A">
        <w:rPr>
          <w:rFonts w:cs="Open Sans"/>
        </w:rPr>
        <w:t>4</w:t>
      </w:r>
      <w:r w:rsidRPr="00AA1A20">
        <w:rPr>
          <w:rFonts w:cs="Open Sans"/>
        </w:rPr>
        <w:t xml:space="preserve"> is not accepted, the decision-making criteria in proposed s 317T(6) of the </w:t>
      </w:r>
      <w:r w:rsidRPr="00AA1A20">
        <w:rPr>
          <w:rFonts w:cs="Open Sans"/>
          <w:i/>
        </w:rPr>
        <w:t xml:space="preserve">Telecommunications Act 1997 </w:t>
      </w:r>
      <w:r w:rsidRPr="00AA1A20">
        <w:rPr>
          <w:rFonts w:cs="Open Sans"/>
        </w:rPr>
        <w:t xml:space="preserve">(Cth) be amended to require the Minister to consider the right to privacy and other human rights before making a legislative instrument that will expand the definition of ‘acts or things’ for the purpose of a TCN, and only allow the exercise of power if the Minister is satisfied that the limitation of the right to privacy and other human rights is necessary and proportionate in all of the circumstances of a particular case. </w:t>
      </w:r>
    </w:p>
    <w:p w14:paraId="2BDEAD3F" w14:textId="77777777" w:rsidR="002222AF" w:rsidRPr="00AA1A20" w:rsidRDefault="002222AF" w:rsidP="002222AF">
      <w:pPr>
        <w:pStyle w:val="Heading3"/>
        <w:rPr>
          <w:rFonts w:cs="Open Sans"/>
          <w:i/>
        </w:rPr>
      </w:pPr>
      <w:bookmarkStart w:id="140" w:name="_Ref524025287"/>
      <w:bookmarkStart w:id="141" w:name="_Toc526518394"/>
      <w:bookmarkStart w:id="142" w:name="_Toc527107805"/>
      <w:r w:rsidRPr="00AA1A20">
        <w:rPr>
          <w:rFonts w:cs="Open Sans"/>
          <w:i/>
        </w:rPr>
        <w:t>‘Relevant objectives’</w:t>
      </w:r>
      <w:bookmarkEnd w:id="140"/>
      <w:bookmarkEnd w:id="141"/>
      <w:bookmarkEnd w:id="142"/>
    </w:p>
    <w:p w14:paraId="18A9266D" w14:textId="77777777" w:rsidR="002222AF" w:rsidRPr="00AA1A20" w:rsidRDefault="002222AF" w:rsidP="00FA3E3B">
      <w:pPr>
        <w:pStyle w:val="ListNumber"/>
        <w:keepNext/>
        <w:tabs>
          <w:tab w:val="clear" w:pos="360"/>
          <w:tab w:val="num" w:pos="993"/>
          <w:tab w:val="left" w:pos="1418"/>
        </w:tabs>
        <w:ind w:left="709" w:hanging="567"/>
        <w:rPr>
          <w:rFonts w:cs="Open Sans"/>
        </w:rPr>
      </w:pPr>
      <w:r w:rsidRPr="00AA1A20">
        <w:rPr>
          <w:rFonts w:cs="Open Sans"/>
        </w:rPr>
        <w:t>The Commission is concerned that the relevant objectives that enliven the giving of requests or notices for assistance are overly broad.</w:t>
      </w:r>
    </w:p>
    <w:p w14:paraId="2C33E397"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A decision maker can issue a voluntary TAR to ensure that a provider is capable of giving help or can help the relevant agency in relation to the performance of a function or exercise of a power conferred by or under law ‘so far as the function or power relates to a relevant objective’, or matters ancillary or incidental.</w:t>
      </w:r>
      <w:r w:rsidRPr="00DF3B57">
        <w:rPr>
          <w:rStyle w:val="EndnoteReference"/>
          <w:vertAlign w:val="superscript"/>
        </w:rPr>
        <w:endnoteReference w:id="85"/>
      </w:r>
      <w:r w:rsidRPr="00AA1A20">
        <w:rPr>
          <w:rFonts w:cs="Open Sans"/>
        </w:rPr>
        <w:t xml:space="preserve"> </w:t>
      </w:r>
    </w:p>
    <w:p w14:paraId="5DAECFFA"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Proposed s 317G(5) defines ‘relevant objective’ for TARs to mean:</w:t>
      </w:r>
    </w:p>
    <w:p w14:paraId="166D8589" w14:textId="77777777" w:rsidR="002222AF" w:rsidRPr="00B459D1" w:rsidRDefault="002222AF" w:rsidP="002222AF">
      <w:pPr>
        <w:pStyle w:val="EndnoteText"/>
        <w:rPr>
          <w:rFonts w:cs="Open Sans"/>
        </w:rPr>
      </w:pPr>
      <w:r w:rsidRPr="00AA1A20">
        <w:rPr>
          <w:rFonts w:cs="Open Sans"/>
        </w:rPr>
        <w:t xml:space="preserve">(a) enforcing the </w:t>
      </w:r>
      <w:r w:rsidRPr="00B459D1">
        <w:rPr>
          <w:rFonts w:cs="Open Sans"/>
        </w:rPr>
        <w:t>criminal law and laws imposing pecuniary penalties; or</w:t>
      </w:r>
    </w:p>
    <w:p w14:paraId="02A898D6" w14:textId="77777777" w:rsidR="002222AF" w:rsidRPr="00B459D1" w:rsidRDefault="002222AF" w:rsidP="002222AF">
      <w:pPr>
        <w:pStyle w:val="EndnoteText"/>
        <w:rPr>
          <w:rFonts w:cs="Open Sans"/>
        </w:rPr>
      </w:pPr>
      <w:r w:rsidRPr="00B459D1">
        <w:rPr>
          <w:rFonts w:cs="Open Sans"/>
        </w:rPr>
        <w:lastRenderedPageBreak/>
        <w:t>(b)</w:t>
      </w:r>
      <w:r w:rsidRPr="00B459D1">
        <w:rPr>
          <w:rFonts w:cs="Open Sans"/>
        </w:rPr>
        <w:tab/>
        <w:t>assisting the enforcement of the criminal laws in force in a foreign country; or</w:t>
      </w:r>
    </w:p>
    <w:p w14:paraId="17EBAAFA" w14:textId="336365E6" w:rsidR="002222AF" w:rsidRPr="00B459D1" w:rsidRDefault="002222AF" w:rsidP="002222AF">
      <w:pPr>
        <w:pStyle w:val="EndnoteText"/>
        <w:rPr>
          <w:rFonts w:cs="Open Sans"/>
        </w:rPr>
      </w:pPr>
      <w:r w:rsidRPr="00B459D1">
        <w:rPr>
          <w:rFonts w:cs="Open Sans"/>
        </w:rPr>
        <w:t>(c)</w:t>
      </w:r>
      <w:r w:rsidRPr="00B459D1">
        <w:rPr>
          <w:rFonts w:cs="Open Sans"/>
        </w:rPr>
        <w:tab/>
        <w:t>the interests of Australia’s national security, the interests of Australia’s foreign relations or the interests of Australia’s national economic well-being.</w:t>
      </w:r>
    </w:p>
    <w:p w14:paraId="470AE9E6" w14:textId="7B450025" w:rsidR="002222AF" w:rsidRPr="00B459D1" w:rsidRDefault="00205E36" w:rsidP="002222AF">
      <w:pPr>
        <w:pStyle w:val="ListNumber"/>
        <w:tabs>
          <w:tab w:val="clear" w:pos="360"/>
          <w:tab w:val="num" w:pos="993"/>
          <w:tab w:val="left" w:pos="1418"/>
        </w:tabs>
        <w:ind w:left="709" w:hanging="567"/>
        <w:rPr>
          <w:rFonts w:cs="Open Sans"/>
        </w:rPr>
      </w:pPr>
      <w:r>
        <w:rPr>
          <w:rFonts w:cs="Open Sans"/>
        </w:rPr>
        <w:t>Proposed s </w:t>
      </w:r>
      <w:r w:rsidR="002222AF" w:rsidRPr="00B459D1">
        <w:rPr>
          <w:rFonts w:cs="Open Sans"/>
        </w:rPr>
        <w:t>317L(2)(c) provides that relevant objectives for TANs are:</w:t>
      </w:r>
    </w:p>
    <w:p w14:paraId="08BBF56C" w14:textId="77777777" w:rsidR="002222AF" w:rsidRPr="00B459D1" w:rsidRDefault="002222AF" w:rsidP="002222AF">
      <w:pPr>
        <w:pStyle w:val="EndnoteText"/>
        <w:rPr>
          <w:rFonts w:cs="Open Sans"/>
        </w:rPr>
      </w:pPr>
      <w:r w:rsidRPr="00B459D1">
        <w:rPr>
          <w:rFonts w:cs="Open Sans"/>
        </w:rPr>
        <w:t xml:space="preserve">(i) enforcing the criminal law and laws imposing pecuniary penalties; or </w:t>
      </w:r>
    </w:p>
    <w:p w14:paraId="2DC2F40C" w14:textId="77777777" w:rsidR="002222AF" w:rsidRPr="00B459D1" w:rsidRDefault="002222AF" w:rsidP="002222AF">
      <w:pPr>
        <w:pStyle w:val="EndnoteText"/>
        <w:rPr>
          <w:rFonts w:cs="Open Sans"/>
        </w:rPr>
      </w:pPr>
      <w:r w:rsidRPr="00B459D1">
        <w:rPr>
          <w:rFonts w:cs="Open Sans"/>
        </w:rPr>
        <w:t xml:space="preserve">(ii) assisting the enforcement of the criminal laws in force in a foreign country; or </w:t>
      </w:r>
    </w:p>
    <w:p w14:paraId="00B6E0F1" w14:textId="138F552A" w:rsidR="002222AF" w:rsidRPr="00B459D1" w:rsidRDefault="002222AF" w:rsidP="002222AF">
      <w:pPr>
        <w:pStyle w:val="EndnoteText"/>
        <w:rPr>
          <w:rFonts w:cs="Open Sans"/>
        </w:rPr>
      </w:pPr>
      <w:r w:rsidRPr="00B459D1">
        <w:rPr>
          <w:rFonts w:cs="Open Sans"/>
        </w:rPr>
        <w:t>(iii) safeguarding national security …</w:t>
      </w:r>
    </w:p>
    <w:p w14:paraId="02E02A5D" w14:textId="7CC2E7F9" w:rsidR="002222AF" w:rsidRPr="00B459D1" w:rsidRDefault="002222AF" w:rsidP="002222AF">
      <w:pPr>
        <w:pStyle w:val="ListNumber"/>
        <w:tabs>
          <w:tab w:val="clear" w:pos="360"/>
          <w:tab w:val="num" w:pos="993"/>
          <w:tab w:val="left" w:pos="1418"/>
        </w:tabs>
        <w:ind w:left="709" w:hanging="567"/>
        <w:rPr>
          <w:rFonts w:cs="Open Sans"/>
          <w:sz w:val="20"/>
          <w:szCs w:val="20"/>
        </w:rPr>
      </w:pPr>
      <w:r w:rsidRPr="00B459D1">
        <w:rPr>
          <w:rFonts w:cs="Open Sans"/>
        </w:rPr>
        <w:t>Similarly, proposed s 317T(3) defines ‘relevant objective’ for TCNs to mean:</w:t>
      </w:r>
    </w:p>
    <w:p w14:paraId="6CC5D6B9" w14:textId="77777777" w:rsidR="002222AF" w:rsidRPr="00B459D1" w:rsidRDefault="002222AF" w:rsidP="002222AF">
      <w:pPr>
        <w:pStyle w:val="EndnoteText"/>
        <w:rPr>
          <w:rFonts w:cs="Open Sans"/>
        </w:rPr>
      </w:pPr>
      <w:r w:rsidRPr="00B459D1">
        <w:rPr>
          <w:rFonts w:cs="Open Sans"/>
        </w:rPr>
        <w:t xml:space="preserve">(a) enforcing the criminal law and laws imposing pecuniary penalties; or </w:t>
      </w:r>
    </w:p>
    <w:p w14:paraId="7CCB7199" w14:textId="77777777" w:rsidR="002222AF" w:rsidRPr="00B459D1" w:rsidRDefault="002222AF" w:rsidP="002222AF">
      <w:pPr>
        <w:pStyle w:val="EndnoteText"/>
        <w:rPr>
          <w:rFonts w:cs="Open Sans"/>
        </w:rPr>
      </w:pPr>
      <w:r w:rsidRPr="00B459D1">
        <w:rPr>
          <w:rFonts w:cs="Open Sans"/>
        </w:rPr>
        <w:t xml:space="preserve">(b) assisting the enforcement of the criminal laws in force in a foreign country; or </w:t>
      </w:r>
    </w:p>
    <w:p w14:paraId="47559C5F" w14:textId="25898375" w:rsidR="002222AF" w:rsidRPr="00B459D1" w:rsidRDefault="002222AF" w:rsidP="002222AF">
      <w:pPr>
        <w:pStyle w:val="EndnoteText"/>
        <w:rPr>
          <w:rFonts w:cs="Open Sans"/>
        </w:rPr>
      </w:pPr>
      <w:r w:rsidRPr="00B459D1">
        <w:rPr>
          <w:rFonts w:cs="Open Sans"/>
        </w:rPr>
        <w:t>(c) safeguarding national security.</w:t>
      </w:r>
    </w:p>
    <w:p w14:paraId="376E7B4B" w14:textId="63403CBB" w:rsidR="009E3884" w:rsidRDefault="002222AF" w:rsidP="002222AF">
      <w:pPr>
        <w:pStyle w:val="ListNumber"/>
        <w:tabs>
          <w:tab w:val="clear" w:pos="360"/>
          <w:tab w:val="num" w:pos="993"/>
          <w:tab w:val="left" w:pos="1418"/>
        </w:tabs>
        <w:ind w:left="709" w:hanging="567"/>
        <w:rPr>
          <w:rFonts w:cs="Open Sans"/>
        </w:rPr>
      </w:pPr>
      <w:r w:rsidRPr="00B459D1">
        <w:rPr>
          <w:rFonts w:cs="Open Sans"/>
        </w:rPr>
        <w:t xml:space="preserve">The Explanatory Memorandum </w:t>
      </w:r>
      <w:r w:rsidR="00CB1A78">
        <w:rPr>
          <w:rFonts w:cs="Open Sans"/>
        </w:rPr>
        <w:t>states</w:t>
      </w:r>
      <w:r w:rsidR="00CB1A78" w:rsidRPr="00B459D1">
        <w:rPr>
          <w:rFonts w:cs="Open Sans"/>
        </w:rPr>
        <w:t xml:space="preserve"> </w:t>
      </w:r>
      <w:r w:rsidRPr="00B459D1">
        <w:rPr>
          <w:rFonts w:cs="Open Sans"/>
        </w:rPr>
        <w:t xml:space="preserve">that the reforms will assist </w:t>
      </w:r>
      <w:r w:rsidR="009E3884">
        <w:rPr>
          <w:rFonts w:cs="Open Sans"/>
        </w:rPr>
        <w:t xml:space="preserve">the ability of </w:t>
      </w:r>
      <w:r w:rsidRPr="00B459D1">
        <w:rPr>
          <w:rFonts w:cs="Open Sans"/>
        </w:rPr>
        <w:t>law enforcement</w:t>
      </w:r>
      <w:r w:rsidR="00EC5DCE">
        <w:rPr>
          <w:rFonts w:cs="Open Sans"/>
        </w:rPr>
        <w:t>, national security</w:t>
      </w:r>
      <w:r w:rsidRPr="00B459D1">
        <w:rPr>
          <w:rFonts w:cs="Open Sans"/>
        </w:rPr>
        <w:t xml:space="preserve"> and </w:t>
      </w:r>
      <w:r w:rsidR="009E3884">
        <w:rPr>
          <w:rFonts w:cs="Open Sans"/>
        </w:rPr>
        <w:t>intelligence</w:t>
      </w:r>
      <w:r w:rsidRPr="00B459D1">
        <w:rPr>
          <w:rFonts w:cs="Open Sans"/>
        </w:rPr>
        <w:t xml:space="preserve"> agencies to investigate organised crime, terrorism, smuggling and sexual exploitation of children.</w:t>
      </w:r>
      <w:r w:rsidR="009E3884" w:rsidRPr="001D5A3A">
        <w:rPr>
          <w:rStyle w:val="EndnoteReference"/>
          <w:vertAlign w:val="superscript"/>
        </w:rPr>
        <w:endnoteReference w:id="86"/>
      </w:r>
      <w:r w:rsidRPr="00B459D1">
        <w:rPr>
          <w:rFonts w:cs="Open Sans"/>
        </w:rPr>
        <w:t xml:space="preserve"> The Statement of Compatibility with Human Rights further states that the Bill will ‘protect national security, public safety, address crime and terrorism</w:t>
      </w:r>
      <w:r w:rsidR="005C5E55">
        <w:rPr>
          <w:rFonts w:cs="Open Sans"/>
        </w:rPr>
        <w:t xml:space="preserve"> </w:t>
      </w:r>
      <w:r w:rsidRPr="00B459D1">
        <w:rPr>
          <w:rFonts w:cs="Open Sans"/>
        </w:rPr>
        <w:t>… [to] keep Australians safe’.</w:t>
      </w:r>
      <w:r w:rsidRPr="00B459D1">
        <w:rPr>
          <w:rStyle w:val="EndnoteReference"/>
          <w:vertAlign w:val="superscript"/>
        </w:rPr>
        <w:endnoteReference w:id="87"/>
      </w:r>
      <w:r w:rsidRPr="00B459D1">
        <w:rPr>
          <w:rFonts w:cs="Open Sans"/>
        </w:rPr>
        <w:t xml:space="preserve"> </w:t>
      </w:r>
    </w:p>
    <w:p w14:paraId="3A5CD336" w14:textId="7CA30FD7" w:rsidR="002222AF" w:rsidRPr="00B459D1" w:rsidRDefault="002222AF" w:rsidP="002222AF">
      <w:pPr>
        <w:pStyle w:val="ListNumber"/>
        <w:tabs>
          <w:tab w:val="clear" w:pos="360"/>
          <w:tab w:val="num" w:pos="993"/>
          <w:tab w:val="left" w:pos="1418"/>
        </w:tabs>
        <w:ind w:left="709" w:hanging="567"/>
        <w:rPr>
          <w:rFonts w:cs="Open Sans"/>
        </w:rPr>
      </w:pPr>
      <w:r w:rsidRPr="00B459D1">
        <w:rPr>
          <w:rFonts w:cs="Open Sans"/>
        </w:rPr>
        <w:t>However, the Commission notes that the relevant objectives that enliven assistance cover a large range of contexts that do not necessarily relate to serious crime or public safety, including ‘imposing pecuniary penalties’ and ‘the interests of Australia’s national economic well-being’. These terms are not defined in the Bill.</w:t>
      </w:r>
    </w:p>
    <w:p w14:paraId="161F8B46" w14:textId="549B8325" w:rsidR="002222AF" w:rsidRPr="00B459D1" w:rsidRDefault="002B0FB1" w:rsidP="002222AF">
      <w:pPr>
        <w:pStyle w:val="ListNumber"/>
        <w:tabs>
          <w:tab w:val="clear" w:pos="360"/>
          <w:tab w:val="num" w:pos="993"/>
          <w:tab w:val="left" w:pos="1418"/>
        </w:tabs>
        <w:ind w:left="709" w:hanging="567"/>
        <w:rPr>
          <w:rFonts w:cs="Open Sans"/>
        </w:rPr>
      </w:pPr>
      <w:r>
        <w:rPr>
          <w:rFonts w:cs="Open Sans"/>
        </w:rPr>
        <w:t>T</w:t>
      </w:r>
      <w:r w:rsidR="002222AF" w:rsidRPr="00B459D1">
        <w:rPr>
          <w:rFonts w:cs="Open Sans"/>
        </w:rPr>
        <w:t xml:space="preserve">he Commission welcomes the removal of ‘protecting the public revenue’ as a relevant objective for assistance requests and notices, </w:t>
      </w:r>
      <w:r>
        <w:rPr>
          <w:rFonts w:cs="Open Sans"/>
        </w:rPr>
        <w:t>because this represents</w:t>
      </w:r>
      <w:r w:rsidR="002222AF" w:rsidRPr="00B459D1">
        <w:rPr>
          <w:rFonts w:cs="Open Sans"/>
        </w:rPr>
        <w:t xml:space="preserve"> a narrowing from what was proposed in the </w:t>
      </w:r>
      <w:r w:rsidR="005C5E55">
        <w:rPr>
          <w:rFonts w:cs="Open Sans"/>
        </w:rPr>
        <w:t>E</w:t>
      </w:r>
      <w:r w:rsidR="005C5E55" w:rsidRPr="00B459D1">
        <w:rPr>
          <w:rFonts w:cs="Open Sans"/>
        </w:rPr>
        <w:t xml:space="preserve">xposure </w:t>
      </w:r>
      <w:r w:rsidR="005C5E55">
        <w:rPr>
          <w:rFonts w:cs="Open Sans"/>
        </w:rPr>
        <w:t>D</w:t>
      </w:r>
      <w:r w:rsidR="005C5E55" w:rsidRPr="00B459D1">
        <w:rPr>
          <w:rFonts w:cs="Open Sans"/>
        </w:rPr>
        <w:t xml:space="preserve">raft </w:t>
      </w:r>
      <w:r w:rsidR="002222AF" w:rsidRPr="00B459D1">
        <w:rPr>
          <w:rFonts w:cs="Open Sans"/>
        </w:rPr>
        <w:t>of the Bill</w:t>
      </w:r>
      <w:r>
        <w:rPr>
          <w:rFonts w:cs="Open Sans"/>
        </w:rPr>
        <w:t>. Nevertheless</w:t>
      </w:r>
      <w:r w:rsidR="002222AF" w:rsidRPr="00B459D1">
        <w:rPr>
          <w:rFonts w:cs="Open Sans"/>
        </w:rPr>
        <w:t xml:space="preserve">, it considers that the objectives that enliven the assistance powers </w:t>
      </w:r>
      <w:r>
        <w:rPr>
          <w:rFonts w:cs="Open Sans"/>
        </w:rPr>
        <w:t xml:space="preserve">remain </w:t>
      </w:r>
      <w:r w:rsidR="009E3884">
        <w:rPr>
          <w:rFonts w:cs="Open Sans"/>
        </w:rPr>
        <w:t>so</w:t>
      </w:r>
      <w:r w:rsidR="002222AF" w:rsidRPr="00B459D1">
        <w:rPr>
          <w:rFonts w:cs="Open Sans"/>
        </w:rPr>
        <w:t xml:space="preserve"> broad</w:t>
      </w:r>
      <w:r w:rsidR="009E3884">
        <w:rPr>
          <w:rFonts w:cs="Open Sans"/>
        </w:rPr>
        <w:t xml:space="preserve"> as to </w:t>
      </w:r>
      <w:r w:rsidR="00DF2425">
        <w:rPr>
          <w:rFonts w:cs="Open Sans"/>
        </w:rPr>
        <w:t>appear disproportionate</w:t>
      </w:r>
      <w:r w:rsidR="002222AF" w:rsidRPr="00B459D1">
        <w:rPr>
          <w:rFonts w:cs="Open Sans"/>
        </w:rPr>
        <w:t xml:space="preserve">. </w:t>
      </w:r>
    </w:p>
    <w:p w14:paraId="532EA8F0" w14:textId="72726CE9" w:rsidR="002222AF" w:rsidRDefault="002222AF" w:rsidP="002222AF">
      <w:pPr>
        <w:pStyle w:val="ListNumber"/>
        <w:tabs>
          <w:tab w:val="clear" w:pos="360"/>
          <w:tab w:val="num" w:pos="993"/>
          <w:tab w:val="left" w:pos="1418"/>
        </w:tabs>
        <w:ind w:left="709" w:hanging="567"/>
        <w:rPr>
          <w:rFonts w:cs="Open Sans"/>
        </w:rPr>
      </w:pPr>
      <w:r>
        <w:rPr>
          <w:rFonts w:cs="Open Sans"/>
        </w:rPr>
        <w:t>With respect to pecuniary penalties, t</w:t>
      </w:r>
      <w:r w:rsidRPr="00AA1A20">
        <w:rPr>
          <w:rFonts w:cs="Open Sans"/>
        </w:rPr>
        <w:t xml:space="preserve">he </w:t>
      </w:r>
      <w:r>
        <w:rPr>
          <w:rFonts w:cs="Open Sans"/>
        </w:rPr>
        <w:t>Explanatory Memorandum</w:t>
      </w:r>
      <w:r w:rsidRPr="00AA1A20">
        <w:rPr>
          <w:rFonts w:cs="Open Sans"/>
        </w:rPr>
        <w:t xml:space="preserve"> states that </w:t>
      </w:r>
      <w:r>
        <w:rPr>
          <w:rFonts w:cs="Open Sans"/>
        </w:rPr>
        <w:t>‘[p]</w:t>
      </w:r>
      <w:r w:rsidRPr="002E0A76">
        <w:rPr>
          <w:rFonts w:cs="Open Sans"/>
        </w:rPr>
        <w:t>ecuniary penalties for the purposes of this provision are not intended to encompass small-scale administrative fines. In Commonwealth, State and Territory legislation there are significant pecuniary penalties for serious breaches of the law, particularly laws regarding corporate misconduct</w:t>
      </w:r>
      <w:r>
        <w:rPr>
          <w:rFonts w:cs="Open Sans"/>
        </w:rPr>
        <w:t>’</w:t>
      </w:r>
      <w:r w:rsidRPr="00AA1A20">
        <w:rPr>
          <w:rFonts w:cs="Open Sans"/>
        </w:rPr>
        <w:t>.</w:t>
      </w:r>
      <w:r w:rsidRPr="00DF3B57">
        <w:rPr>
          <w:rStyle w:val="EndnoteReference"/>
          <w:vertAlign w:val="superscript"/>
        </w:rPr>
        <w:endnoteReference w:id="88"/>
      </w:r>
      <w:r w:rsidRPr="00AA1A20">
        <w:rPr>
          <w:rFonts w:cs="Open Sans"/>
        </w:rPr>
        <w:t xml:space="preserve"> </w:t>
      </w:r>
    </w:p>
    <w:p w14:paraId="4013D4FB" w14:textId="7DCAF3DB" w:rsidR="002222AF" w:rsidRDefault="002222AF" w:rsidP="002222AF">
      <w:pPr>
        <w:pStyle w:val="ListNumber"/>
        <w:tabs>
          <w:tab w:val="clear" w:pos="360"/>
          <w:tab w:val="num" w:pos="993"/>
          <w:tab w:val="left" w:pos="1418"/>
        </w:tabs>
        <w:ind w:left="709" w:hanging="567"/>
        <w:rPr>
          <w:rFonts w:cs="Open Sans"/>
        </w:rPr>
      </w:pPr>
      <w:r>
        <w:rPr>
          <w:rFonts w:cs="Open Sans"/>
        </w:rPr>
        <w:t>Pecuniary penalties apply in many different areas of law, and can range from small</w:t>
      </w:r>
      <w:r w:rsidR="002B0FB1">
        <w:rPr>
          <w:rFonts w:cs="Open Sans"/>
        </w:rPr>
        <w:t>-</w:t>
      </w:r>
      <w:r>
        <w:rPr>
          <w:rFonts w:cs="Open Sans"/>
        </w:rPr>
        <w:t xml:space="preserve">scale to severe sanctions. For example, on the smaller scale, a </w:t>
      </w:r>
      <w:r>
        <w:rPr>
          <w:rFonts w:cs="Open Sans"/>
        </w:rPr>
        <w:lastRenderedPageBreak/>
        <w:t>court can apply civil penalties where individual trustees of a superannuation fund contravene their supervision obligations.</w:t>
      </w:r>
      <w:r w:rsidRPr="0034566E">
        <w:rPr>
          <w:rStyle w:val="EndnoteReference"/>
          <w:vertAlign w:val="superscript"/>
        </w:rPr>
        <w:endnoteReference w:id="89"/>
      </w:r>
      <w:r>
        <w:rPr>
          <w:rFonts w:cs="Open Sans"/>
        </w:rPr>
        <w:t xml:space="preserve"> </w:t>
      </w:r>
    </w:p>
    <w:p w14:paraId="53DE7A33" w14:textId="77777777" w:rsidR="002222AF" w:rsidRDefault="002222AF" w:rsidP="002222AF">
      <w:pPr>
        <w:pStyle w:val="ListNumber"/>
        <w:tabs>
          <w:tab w:val="clear" w:pos="360"/>
          <w:tab w:val="num" w:pos="993"/>
          <w:tab w:val="left" w:pos="1418"/>
        </w:tabs>
        <w:ind w:left="709" w:hanging="567"/>
        <w:rPr>
          <w:rFonts w:cs="Open Sans"/>
        </w:rPr>
      </w:pPr>
      <w:r>
        <w:rPr>
          <w:rFonts w:cs="Open Sans"/>
        </w:rPr>
        <w:t>With respect to ‘</w:t>
      </w:r>
      <w:r w:rsidRPr="005571A1">
        <w:rPr>
          <w:rFonts w:cs="Open Sans"/>
        </w:rPr>
        <w:t>the interests of Australia’s national economic well-being</w:t>
      </w:r>
      <w:r>
        <w:rPr>
          <w:rFonts w:cs="Open Sans"/>
        </w:rPr>
        <w:t>’,</w:t>
      </w:r>
      <w:r w:rsidRPr="005571A1">
        <w:rPr>
          <w:rFonts w:cs="Open Sans"/>
        </w:rPr>
        <w:t xml:space="preserve"> </w:t>
      </w:r>
      <w:r>
        <w:rPr>
          <w:rFonts w:cs="Open Sans"/>
        </w:rPr>
        <w:t>t</w:t>
      </w:r>
      <w:r w:rsidRPr="00AA1A20">
        <w:rPr>
          <w:rFonts w:cs="Open Sans"/>
        </w:rPr>
        <w:t xml:space="preserve">he </w:t>
      </w:r>
      <w:r>
        <w:rPr>
          <w:rFonts w:cs="Open Sans"/>
        </w:rPr>
        <w:t xml:space="preserve">Explanatory Memorandum does not explain what this could entail. It simply </w:t>
      </w:r>
      <w:r w:rsidRPr="00AA1A20">
        <w:rPr>
          <w:rFonts w:cs="Open Sans"/>
        </w:rPr>
        <w:t xml:space="preserve">states that </w:t>
      </w:r>
      <w:r>
        <w:rPr>
          <w:rFonts w:cs="Open Sans"/>
        </w:rPr>
        <w:t>this objective ‘reflects the</w:t>
      </w:r>
      <w:r w:rsidRPr="005571A1">
        <w:rPr>
          <w:rFonts w:cs="Open Sans"/>
        </w:rPr>
        <w:t xml:space="preserve"> functions of Australia’s intelligence and security agencies </w:t>
      </w:r>
      <w:r>
        <w:rPr>
          <w:rFonts w:cs="Open Sans"/>
        </w:rPr>
        <w:t>..</w:t>
      </w:r>
      <w:r w:rsidRPr="005571A1">
        <w:rPr>
          <w:rFonts w:cs="Open Sans"/>
        </w:rPr>
        <w:t>. It is not intended to support voluntary assistance requests made by interception agencies</w:t>
      </w:r>
      <w:r>
        <w:rPr>
          <w:rFonts w:cs="Open Sans"/>
        </w:rPr>
        <w:t>’.</w:t>
      </w:r>
      <w:r w:rsidRPr="00DF3B57">
        <w:rPr>
          <w:rStyle w:val="EndnoteReference"/>
          <w:vertAlign w:val="superscript"/>
        </w:rPr>
        <w:endnoteReference w:id="90"/>
      </w:r>
      <w:r>
        <w:rPr>
          <w:rFonts w:cs="Open Sans"/>
        </w:rPr>
        <w:t xml:space="preserve"> Judicial consideration of this phrase with respect to the functions of ASIS suggests that the evasion of Australian tax obligations by use of offshore accounts could be contrary to </w:t>
      </w:r>
      <w:r w:rsidRPr="005571A1">
        <w:rPr>
          <w:rFonts w:cs="Open Sans"/>
        </w:rPr>
        <w:t>the interests of Australia’s national economic well-being</w:t>
      </w:r>
      <w:r>
        <w:rPr>
          <w:rFonts w:cs="Open Sans"/>
        </w:rPr>
        <w:t>.</w:t>
      </w:r>
      <w:r w:rsidRPr="0034566E">
        <w:rPr>
          <w:rStyle w:val="EndnoteReference"/>
          <w:vertAlign w:val="superscript"/>
        </w:rPr>
        <w:endnoteReference w:id="91"/>
      </w:r>
    </w:p>
    <w:p w14:paraId="1902C847" w14:textId="2C0DFFC3" w:rsidR="002222AF" w:rsidRPr="00B459D1" w:rsidRDefault="002222AF" w:rsidP="002222AF">
      <w:pPr>
        <w:pStyle w:val="ListNumber"/>
        <w:tabs>
          <w:tab w:val="clear" w:pos="360"/>
          <w:tab w:val="num" w:pos="993"/>
          <w:tab w:val="left" w:pos="1418"/>
        </w:tabs>
        <w:ind w:left="709" w:hanging="567"/>
        <w:rPr>
          <w:rFonts w:cs="Open Sans"/>
        </w:rPr>
      </w:pPr>
      <w:r w:rsidRPr="00AA1A20">
        <w:rPr>
          <w:rFonts w:cs="Open Sans"/>
        </w:rPr>
        <w:t xml:space="preserve">Restrictions on human rights are only permissible when they are proportionate to achieving a legitimate objective. While measures that significantly limit human rights may </w:t>
      </w:r>
      <w:r w:rsidRPr="00B459D1">
        <w:rPr>
          <w:rFonts w:cs="Open Sans"/>
        </w:rPr>
        <w:t xml:space="preserve">be permissible to protect national security, it is more difficult to establish that they will be proportionate to achieving comparatively less important and pressing objectives such as tax and </w:t>
      </w:r>
      <w:r w:rsidR="00B35DF9">
        <w:rPr>
          <w:rFonts w:cs="Open Sans"/>
        </w:rPr>
        <w:t>superannuation</w:t>
      </w:r>
      <w:r w:rsidRPr="00B459D1">
        <w:rPr>
          <w:rFonts w:cs="Open Sans"/>
        </w:rPr>
        <w:t xml:space="preserve"> compliance. </w:t>
      </w:r>
    </w:p>
    <w:p w14:paraId="1ACA05CA" w14:textId="1973A9FF" w:rsidR="002222AF" w:rsidRDefault="002222AF" w:rsidP="002222AF">
      <w:pPr>
        <w:pStyle w:val="ListNumber"/>
        <w:tabs>
          <w:tab w:val="clear" w:pos="360"/>
          <w:tab w:val="num" w:pos="993"/>
          <w:tab w:val="left" w:pos="1418"/>
        </w:tabs>
        <w:ind w:left="709" w:hanging="567"/>
        <w:rPr>
          <w:rFonts w:cs="Open Sans"/>
        </w:rPr>
      </w:pPr>
      <w:r w:rsidRPr="00B459D1">
        <w:rPr>
          <w:rFonts w:cs="Open Sans"/>
        </w:rPr>
        <w:t>The Commission considers that ‘the interests of Australia’s national economic well-being’, and ‘the imposition of pecuniary penalties’</w:t>
      </w:r>
      <w:r w:rsidR="00DA6EB0">
        <w:rPr>
          <w:rFonts w:cs="Open Sans"/>
        </w:rPr>
        <w:t>,</w:t>
      </w:r>
      <w:r w:rsidRPr="00B459D1">
        <w:rPr>
          <w:rFonts w:cs="Open Sans"/>
        </w:rPr>
        <w:t xml:space="preserve"> are so broad that they could be said to include matters that </w:t>
      </w:r>
      <w:r w:rsidR="00883E45">
        <w:rPr>
          <w:rFonts w:cs="Open Sans"/>
        </w:rPr>
        <w:t xml:space="preserve">could not justify the Bill’s significant </w:t>
      </w:r>
      <w:r w:rsidR="005C5E55">
        <w:rPr>
          <w:rFonts w:cs="Open Sans"/>
        </w:rPr>
        <w:t xml:space="preserve">encroachment </w:t>
      </w:r>
      <w:r w:rsidR="00883E45">
        <w:rPr>
          <w:rFonts w:cs="Open Sans"/>
        </w:rPr>
        <w:t xml:space="preserve">on </w:t>
      </w:r>
      <w:r w:rsidRPr="00B459D1">
        <w:rPr>
          <w:rFonts w:cs="Open Sans"/>
        </w:rPr>
        <w:t>basic human rights. They have not been demonstrated to require the significant restrictions on human rights entailed by assistance requests</w:t>
      </w:r>
      <w:r w:rsidRPr="00AA1A20">
        <w:rPr>
          <w:rFonts w:cs="Open Sans"/>
        </w:rPr>
        <w:t xml:space="preserve"> and notices.</w:t>
      </w:r>
    </w:p>
    <w:p w14:paraId="534CE07C" w14:textId="6F6129EB" w:rsidR="002222AF" w:rsidRDefault="002222AF" w:rsidP="002222AF">
      <w:pPr>
        <w:pStyle w:val="ListNumber"/>
        <w:tabs>
          <w:tab w:val="clear" w:pos="360"/>
          <w:tab w:val="num" w:pos="993"/>
          <w:tab w:val="left" w:pos="1418"/>
        </w:tabs>
        <w:ind w:left="709" w:hanging="567"/>
        <w:rPr>
          <w:rFonts w:cs="Open Sans"/>
          <w:color w:val="000000" w:themeColor="text1"/>
        </w:rPr>
      </w:pPr>
      <w:r w:rsidRPr="00EE470E">
        <w:rPr>
          <w:rFonts w:cs="Open Sans"/>
          <w:color w:val="000000" w:themeColor="text1"/>
        </w:rPr>
        <w:t xml:space="preserve">To enhance the proportionality of the use of assistance powers, the Commission </w:t>
      </w:r>
      <w:r w:rsidR="00AC7776">
        <w:rPr>
          <w:rFonts w:cs="Open Sans"/>
          <w:color w:val="000000" w:themeColor="text1"/>
        </w:rPr>
        <w:t>proposes that</w:t>
      </w:r>
      <w:r w:rsidRPr="00EE470E">
        <w:rPr>
          <w:rFonts w:cs="Open Sans"/>
          <w:color w:val="000000" w:themeColor="text1"/>
        </w:rPr>
        <w:t xml:space="preserve"> the scope of the assistance scheme be limited to objectives related to the enforcement of serious offences. </w:t>
      </w:r>
    </w:p>
    <w:p w14:paraId="0C1EC823" w14:textId="77777777" w:rsidR="00F44954" w:rsidRDefault="002222AF" w:rsidP="002222AF">
      <w:pPr>
        <w:pStyle w:val="ListNumber"/>
        <w:tabs>
          <w:tab w:val="clear" w:pos="360"/>
          <w:tab w:val="num" w:pos="993"/>
          <w:tab w:val="left" w:pos="1418"/>
        </w:tabs>
        <w:ind w:left="709" w:hanging="567"/>
        <w:rPr>
          <w:rFonts w:cs="Open Sans"/>
          <w:color w:val="000000" w:themeColor="text1"/>
        </w:rPr>
      </w:pPr>
      <w:r w:rsidRPr="00EE470E">
        <w:rPr>
          <w:rFonts w:cs="Open Sans"/>
          <w:color w:val="000000" w:themeColor="text1"/>
        </w:rPr>
        <w:t xml:space="preserve">The definition of </w:t>
      </w:r>
      <w:r w:rsidR="006A0084">
        <w:rPr>
          <w:rFonts w:cs="Open Sans"/>
          <w:color w:val="000000" w:themeColor="text1"/>
        </w:rPr>
        <w:t>a ‘</w:t>
      </w:r>
      <w:r w:rsidRPr="00EE470E">
        <w:rPr>
          <w:rFonts w:cs="Open Sans"/>
          <w:color w:val="000000" w:themeColor="text1"/>
        </w:rPr>
        <w:t>serious offence</w:t>
      </w:r>
      <w:r w:rsidR="006A0084">
        <w:rPr>
          <w:rFonts w:cs="Open Sans"/>
          <w:color w:val="000000" w:themeColor="text1"/>
        </w:rPr>
        <w:t>’</w:t>
      </w:r>
      <w:r w:rsidRPr="00EE470E">
        <w:rPr>
          <w:rFonts w:cs="Open Sans"/>
          <w:color w:val="000000" w:themeColor="text1"/>
        </w:rPr>
        <w:t xml:space="preserve"> </w:t>
      </w:r>
      <w:r>
        <w:rPr>
          <w:rFonts w:cs="Open Sans"/>
          <w:color w:val="000000" w:themeColor="text1"/>
        </w:rPr>
        <w:t>in s </w:t>
      </w:r>
      <w:r w:rsidRPr="00EE470E">
        <w:rPr>
          <w:rFonts w:cs="Open Sans"/>
          <w:color w:val="000000" w:themeColor="text1"/>
        </w:rPr>
        <w:t xml:space="preserve">5D of the TIA could usefully be applied, which includes acts of terrorism, sabotage, espionage, foreign interference and other serious criminal offences including child sex offences and offences that would prejudice national security. </w:t>
      </w:r>
    </w:p>
    <w:p w14:paraId="474CE78A" w14:textId="299BDBB2" w:rsidR="002222AF" w:rsidRPr="00EE470E" w:rsidRDefault="00F44954" w:rsidP="002222AF">
      <w:pPr>
        <w:pStyle w:val="ListNumber"/>
        <w:tabs>
          <w:tab w:val="clear" w:pos="360"/>
          <w:tab w:val="num" w:pos="993"/>
          <w:tab w:val="left" w:pos="1418"/>
        </w:tabs>
        <w:ind w:left="709" w:hanging="567"/>
        <w:rPr>
          <w:rFonts w:cs="Open Sans"/>
          <w:color w:val="000000" w:themeColor="text1"/>
        </w:rPr>
      </w:pPr>
      <w:r>
        <w:rPr>
          <w:rFonts w:cs="Open Sans"/>
          <w:color w:val="000000" w:themeColor="text1"/>
        </w:rPr>
        <w:t>L</w:t>
      </w:r>
      <w:r w:rsidR="002222AF" w:rsidRPr="00EE470E">
        <w:rPr>
          <w:rFonts w:cs="Open Sans"/>
          <w:color w:val="000000" w:themeColor="text1"/>
        </w:rPr>
        <w:t xml:space="preserve">imiting the objectives </w:t>
      </w:r>
      <w:r w:rsidR="00B35DF9">
        <w:rPr>
          <w:rFonts w:cs="Open Sans"/>
          <w:color w:val="000000" w:themeColor="text1"/>
        </w:rPr>
        <w:t xml:space="preserve">to the enforcement of serious offences </w:t>
      </w:r>
      <w:r w:rsidR="002222AF" w:rsidRPr="00EE470E">
        <w:rPr>
          <w:rFonts w:cs="Open Sans"/>
          <w:color w:val="000000" w:themeColor="text1"/>
        </w:rPr>
        <w:t>would</w:t>
      </w:r>
      <w:r>
        <w:rPr>
          <w:rFonts w:cs="Open Sans"/>
          <w:color w:val="000000" w:themeColor="text1"/>
        </w:rPr>
        <w:t xml:space="preserve"> also</w:t>
      </w:r>
      <w:r w:rsidR="002222AF" w:rsidRPr="00EE470E">
        <w:rPr>
          <w:rFonts w:cs="Open Sans"/>
          <w:color w:val="000000" w:themeColor="text1"/>
        </w:rPr>
        <w:t xml:space="preserve"> enhance the overall coherence of the assistance scheme, by aligning it </w:t>
      </w:r>
      <w:r w:rsidR="005C5E55" w:rsidRPr="00EE470E">
        <w:rPr>
          <w:rFonts w:cs="Open Sans"/>
          <w:color w:val="000000" w:themeColor="text1"/>
        </w:rPr>
        <w:t xml:space="preserve">more closely </w:t>
      </w:r>
      <w:r w:rsidR="002222AF" w:rsidRPr="00EE470E">
        <w:rPr>
          <w:rFonts w:cs="Open Sans"/>
          <w:color w:val="000000" w:themeColor="text1"/>
        </w:rPr>
        <w:t>with the purposes for which a warrant can be issued</w:t>
      </w:r>
      <w:r w:rsidR="002222AF">
        <w:rPr>
          <w:rFonts w:cs="Open Sans"/>
          <w:color w:val="000000" w:themeColor="text1"/>
        </w:rPr>
        <w:t xml:space="preserve"> under Pts 2–</w:t>
      </w:r>
      <w:r w:rsidR="002222AF" w:rsidRPr="00EE470E">
        <w:rPr>
          <w:rFonts w:cs="Open Sans"/>
          <w:color w:val="000000" w:themeColor="text1"/>
        </w:rPr>
        <w:t>5 of the TIA Act.</w:t>
      </w:r>
      <w:r w:rsidR="002222AF" w:rsidRPr="00EE470E">
        <w:rPr>
          <w:rStyle w:val="EndnoteReference"/>
          <w:color w:val="000000" w:themeColor="text1"/>
          <w:vertAlign w:val="superscript"/>
        </w:rPr>
        <w:endnoteReference w:id="92"/>
      </w:r>
      <w:r w:rsidR="002222AF" w:rsidRPr="00EE470E">
        <w:rPr>
          <w:rFonts w:cs="Open Sans"/>
          <w:color w:val="000000" w:themeColor="text1"/>
        </w:rPr>
        <w:t xml:space="preserve"> The Commission notes the similar recommendation made by the Law Council of Australia in its submission to the Department on the </w:t>
      </w:r>
      <w:r w:rsidR="005C5E55">
        <w:rPr>
          <w:rFonts w:cs="Open Sans"/>
          <w:color w:val="000000" w:themeColor="text1"/>
        </w:rPr>
        <w:t>E</w:t>
      </w:r>
      <w:r w:rsidR="005C5E55" w:rsidRPr="00EE470E">
        <w:rPr>
          <w:rFonts w:cs="Open Sans"/>
          <w:color w:val="000000" w:themeColor="text1"/>
        </w:rPr>
        <w:t xml:space="preserve">xposure </w:t>
      </w:r>
      <w:r w:rsidR="005C5E55">
        <w:rPr>
          <w:rFonts w:cs="Open Sans"/>
          <w:color w:val="000000" w:themeColor="text1"/>
        </w:rPr>
        <w:t>D</w:t>
      </w:r>
      <w:r w:rsidR="005C5E55" w:rsidRPr="00EE470E">
        <w:rPr>
          <w:rFonts w:cs="Open Sans"/>
          <w:color w:val="000000" w:themeColor="text1"/>
        </w:rPr>
        <w:t xml:space="preserve">raft </w:t>
      </w:r>
      <w:r w:rsidR="002222AF" w:rsidRPr="00EE470E">
        <w:rPr>
          <w:rFonts w:cs="Open Sans"/>
          <w:color w:val="000000" w:themeColor="text1"/>
        </w:rPr>
        <w:t>of the Bill.</w:t>
      </w:r>
      <w:r w:rsidR="002222AF" w:rsidRPr="00EE470E">
        <w:rPr>
          <w:rFonts w:cs="Open Sans"/>
          <w:color w:val="000000" w:themeColor="text1"/>
          <w:vertAlign w:val="superscript"/>
          <w:lang w:val="en"/>
        </w:rPr>
        <w:endnoteReference w:id="93"/>
      </w:r>
    </w:p>
    <w:p w14:paraId="6C5B6196" w14:textId="20121A59"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Further,</w:t>
      </w:r>
      <w:r w:rsidR="00B35DF9">
        <w:rPr>
          <w:rFonts w:cs="Open Sans"/>
        </w:rPr>
        <w:t xml:space="preserve"> the Commission considers that</w:t>
      </w:r>
      <w:r w:rsidRPr="00AA1A20">
        <w:rPr>
          <w:rFonts w:cs="Open Sans"/>
        </w:rPr>
        <w:t xml:space="preserve"> insufficient justification has been </w:t>
      </w:r>
      <w:r w:rsidR="00B35DF9">
        <w:rPr>
          <w:rFonts w:cs="Open Sans"/>
        </w:rPr>
        <w:t>provided</w:t>
      </w:r>
      <w:r w:rsidRPr="00AA1A20">
        <w:rPr>
          <w:rFonts w:cs="Open Sans"/>
        </w:rPr>
        <w:t xml:space="preserve"> for having a broader list of ‘relevant objectives’ that are applicable to TARs, as compared with compulsory notices. </w:t>
      </w:r>
    </w:p>
    <w:p w14:paraId="08BBAA23" w14:textId="7232337A"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 xml:space="preserve">The human rights impacts on those whose </w:t>
      </w:r>
      <w:r w:rsidR="00B35DF9">
        <w:rPr>
          <w:rFonts w:cs="Open Sans"/>
        </w:rPr>
        <w:t xml:space="preserve">personal information and </w:t>
      </w:r>
      <w:r w:rsidRPr="00AA1A20">
        <w:rPr>
          <w:rFonts w:cs="Open Sans"/>
        </w:rPr>
        <w:t xml:space="preserve">data is accessed, in particular the significant intrusions into their privacy, is the same regardless of whether an assistance measure is voluntary or mandatory as regards the entity that holds this data. In the Commission’s view, it is appropriate for the same thresholds to be applicable to both requests and notices. </w:t>
      </w:r>
    </w:p>
    <w:p w14:paraId="227AB0E5" w14:textId="77777777" w:rsidR="002222AF" w:rsidRPr="00AA1A20" w:rsidRDefault="002222AF" w:rsidP="00C80407">
      <w:pPr>
        <w:pStyle w:val="ListNumber"/>
        <w:keepNext/>
        <w:tabs>
          <w:tab w:val="clear" w:pos="360"/>
          <w:tab w:val="num" w:pos="993"/>
          <w:tab w:val="left" w:pos="1418"/>
        </w:tabs>
        <w:ind w:left="709" w:hanging="567"/>
        <w:rPr>
          <w:rFonts w:cs="Open Sans"/>
        </w:rPr>
      </w:pPr>
      <w:r w:rsidRPr="00AA1A20">
        <w:rPr>
          <w:rFonts w:cs="Open Sans"/>
        </w:rPr>
        <w:t>The Commission recommends that:</w:t>
      </w:r>
    </w:p>
    <w:p w14:paraId="57E11329" w14:textId="7D92008C" w:rsidR="002222AF" w:rsidRPr="00AA1A20" w:rsidRDefault="002222AF" w:rsidP="00C80407">
      <w:pPr>
        <w:pStyle w:val="ListNumber"/>
        <w:keepNext/>
        <w:numPr>
          <w:ilvl w:val="0"/>
          <w:numId w:val="0"/>
        </w:numPr>
        <w:tabs>
          <w:tab w:val="left" w:pos="1418"/>
        </w:tabs>
        <w:ind w:left="709"/>
        <w:rPr>
          <w:rFonts w:cs="Open Sans"/>
          <w:b/>
        </w:rPr>
      </w:pPr>
      <w:r w:rsidRPr="00AA1A20">
        <w:rPr>
          <w:rFonts w:cs="Open Sans"/>
          <w:b/>
        </w:rPr>
        <w:t xml:space="preserve">Recommendation </w:t>
      </w:r>
      <w:r w:rsidR="003E54A3">
        <w:rPr>
          <w:rFonts w:cs="Open Sans"/>
          <w:b/>
        </w:rPr>
        <w:t>6</w:t>
      </w:r>
      <w:r w:rsidRPr="00AA1A20">
        <w:rPr>
          <w:rFonts w:cs="Open Sans"/>
          <w:b/>
        </w:rPr>
        <w:t xml:space="preserve"> </w:t>
      </w:r>
    </w:p>
    <w:p w14:paraId="70A90128" w14:textId="175D17D1" w:rsidR="002222AF" w:rsidRPr="00EE470E" w:rsidRDefault="002222AF" w:rsidP="002222AF">
      <w:pPr>
        <w:pStyle w:val="ListNumber"/>
        <w:numPr>
          <w:ilvl w:val="0"/>
          <w:numId w:val="0"/>
        </w:numPr>
        <w:tabs>
          <w:tab w:val="left" w:pos="1418"/>
        </w:tabs>
        <w:ind w:left="709"/>
        <w:rPr>
          <w:rFonts w:cs="Open Sans"/>
          <w:color w:val="000000" w:themeColor="text1"/>
        </w:rPr>
      </w:pPr>
      <w:r w:rsidRPr="00AA1A20">
        <w:rPr>
          <w:rFonts w:cs="Open Sans"/>
        </w:rPr>
        <w:t>Proposed</w:t>
      </w:r>
      <w:r w:rsidR="00205E36">
        <w:rPr>
          <w:rFonts w:cs="Open Sans"/>
        </w:rPr>
        <w:t xml:space="preserve"> ss </w:t>
      </w:r>
      <w:r w:rsidRPr="00AA1A20">
        <w:rPr>
          <w:rFonts w:cs="Open Sans"/>
        </w:rPr>
        <w:t xml:space="preserve">317G(5)(a), 317L(2)(c)(i), 317T(3)(a) of the </w:t>
      </w:r>
      <w:r w:rsidRPr="00AA1A20">
        <w:rPr>
          <w:rFonts w:cs="Open Sans"/>
          <w:i/>
        </w:rPr>
        <w:t xml:space="preserve">Telecommunications Act 1997 </w:t>
      </w:r>
      <w:r w:rsidRPr="00AA1A20">
        <w:rPr>
          <w:rFonts w:cs="Open Sans"/>
        </w:rPr>
        <w:t xml:space="preserve">(Cth) be amended to limit the relevant objectives that permit the giving or varying of a TAR, TAN or TCN to those </w:t>
      </w:r>
      <w:r w:rsidRPr="00EE470E">
        <w:rPr>
          <w:rFonts w:cs="Open Sans"/>
          <w:color w:val="000000" w:themeColor="text1"/>
        </w:rPr>
        <w:t xml:space="preserve">related to </w:t>
      </w:r>
      <w:r w:rsidR="006A0084">
        <w:rPr>
          <w:rFonts w:cs="Open Sans"/>
          <w:color w:val="000000" w:themeColor="text1"/>
        </w:rPr>
        <w:t>a ‘</w:t>
      </w:r>
      <w:r w:rsidR="00B35DF9">
        <w:rPr>
          <w:rFonts w:cs="Open Sans"/>
          <w:color w:val="000000" w:themeColor="text1"/>
        </w:rPr>
        <w:t xml:space="preserve">serious </w:t>
      </w:r>
      <w:r w:rsidRPr="00EE470E">
        <w:rPr>
          <w:rFonts w:cs="Open Sans"/>
          <w:color w:val="000000" w:themeColor="text1"/>
        </w:rPr>
        <w:t>offence</w:t>
      </w:r>
      <w:r w:rsidR="006A0084">
        <w:rPr>
          <w:rFonts w:cs="Open Sans"/>
          <w:color w:val="000000" w:themeColor="text1"/>
        </w:rPr>
        <w:t>’</w:t>
      </w:r>
      <w:r w:rsidRPr="00EE470E">
        <w:rPr>
          <w:rFonts w:cs="Open Sans"/>
          <w:color w:val="000000" w:themeColor="text1"/>
        </w:rPr>
        <w:t xml:space="preserve"> as defined in</w:t>
      </w:r>
      <w:r w:rsidR="00205E36">
        <w:rPr>
          <w:rFonts w:cs="Open Sans"/>
          <w:color w:val="000000" w:themeColor="text1"/>
        </w:rPr>
        <w:t xml:space="preserve"> s </w:t>
      </w:r>
      <w:r w:rsidRPr="00EE470E">
        <w:rPr>
          <w:rFonts w:cs="Open Sans"/>
          <w:color w:val="000000" w:themeColor="text1"/>
        </w:rPr>
        <w:t>5D of the TIA Act.</w:t>
      </w:r>
    </w:p>
    <w:p w14:paraId="1E9E3FA3" w14:textId="652BF584" w:rsidR="002222AF" w:rsidRPr="00AA1A20" w:rsidRDefault="002222AF" w:rsidP="00C80407">
      <w:pPr>
        <w:pStyle w:val="ListNumber"/>
        <w:keepNext/>
        <w:numPr>
          <w:ilvl w:val="0"/>
          <w:numId w:val="0"/>
        </w:numPr>
        <w:tabs>
          <w:tab w:val="left" w:pos="1418"/>
        </w:tabs>
        <w:ind w:left="709"/>
        <w:rPr>
          <w:rFonts w:cs="Open Sans"/>
          <w:b/>
        </w:rPr>
      </w:pPr>
      <w:r w:rsidRPr="00AA1A20">
        <w:rPr>
          <w:rFonts w:cs="Open Sans"/>
          <w:b/>
        </w:rPr>
        <w:t xml:space="preserve">Recommendation </w:t>
      </w:r>
      <w:r w:rsidR="003E54A3">
        <w:rPr>
          <w:rFonts w:cs="Open Sans"/>
          <w:b/>
        </w:rPr>
        <w:t>7</w:t>
      </w:r>
      <w:r w:rsidRPr="00AA1A20">
        <w:rPr>
          <w:rFonts w:cs="Open Sans"/>
          <w:b/>
        </w:rPr>
        <w:t xml:space="preserve"> </w:t>
      </w:r>
    </w:p>
    <w:p w14:paraId="37FC1D77" w14:textId="6276B021" w:rsidR="002222AF" w:rsidRPr="00AA1A20" w:rsidRDefault="00A314C2" w:rsidP="002222AF">
      <w:pPr>
        <w:pStyle w:val="ListNumber"/>
        <w:numPr>
          <w:ilvl w:val="0"/>
          <w:numId w:val="0"/>
        </w:numPr>
        <w:tabs>
          <w:tab w:val="left" w:pos="1418"/>
        </w:tabs>
        <w:ind w:left="709"/>
        <w:rPr>
          <w:rFonts w:cs="Open Sans"/>
        </w:rPr>
      </w:pPr>
      <w:r>
        <w:rPr>
          <w:rFonts w:cs="Open Sans"/>
        </w:rPr>
        <w:t>In</w:t>
      </w:r>
      <w:r w:rsidR="00D7469A">
        <w:rPr>
          <w:rFonts w:cs="Open Sans"/>
        </w:rPr>
        <w:t xml:space="preserve"> the event that Recommendation 6</w:t>
      </w:r>
      <w:r>
        <w:rPr>
          <w:rFonts w:cs="Open Sans"/>
        </w:rPr>
        <w:t xml:space="preserve"> is not accepted, p</w:t>
      </w:r>
      <w:r w:rsidR="002222AF" w:rsidRPr="00AA1A20">
        <w:rPr>
          <w:rFonts w:cs="Open Sans"/>
        </w:rPr>
        <w:t xml:space="preserve">roposed s 317G(5) of the </w:t>
      </w:r>
      <w:r w:rsidR="002222AF" w:rsidRPr="00AA1A20">
        <w:rPr>
          <w:rFonts w:cs="Open Sans"/>
          <w:i/>
        </w:rPr>
        <w:t xml:space="preserve">Telecommunications Act 1997 </w:t>
      </w:r>
      <w:r w:rsidR="002222AF" w:rsidRPr="00AA1A20">
        <w:rPr>
          <w:rFonts w:cs="Open Sans"/>
        </w:rPr>
        <w:t>(Cth) be amended to align the ‘relevant objectives’ applicable to TARs with those applicable to TANs and TCNs.</w:t>
      </w:r>
    </w:p>
    <w:p w14:paraId="5E03427C" w14:textId="77777777" w:rsidR="002222AF" w:rsidRPr="00CC0C6B" w:rsidRDefault="002222AF" w:rsidP="002222AF">
      <w:pPr>
        <w:pStyle w:val="Heading3"/>
        <w:rPr>
          <w:rFonts w:cs="Open Sans"/>
          <w:i/>
        </w:rPr>
      </w:pPr>
      <w:bookmarkStart w:id="143" w:name="_Toc526518395"/>
      <w:bookmarkStart w:id="144" w:name="_Toc527107806"/>
      <w:r w:rsidRPr="00CC0C6B">
        <w:rPr>
          <w:rFonts w:cs="Open Sans"/>
          <w:i/>
        </w:rPr>
        <w:t>‘Decision-making criteria’</w:t>
      </w:r>
      <w:bookmarkEnd w:id="143"/>
      <w:bookmarkEnd w:id="144"/>
    </w:p>
    <w:p w14:paraId="3E1A6A3C" w14:textId="3A794B4E"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Proposed</w:t>
      </w:r>
      <w:r w:rsidR="00205E36">
        <w:rPr>
          <w:rFonts w:cs="Open Sans"/>
        </w:rPr>
        <w:t xml:space="preserve"> ss </w:t>
      </w:r>
      <w:r w:rsidRPr="00AA1A20">
        <w:rPr>
          <w:rFonts w:cs="Open Sans"/>
        </w:rPr>
        <w:t>317P, 317Q(10), 317V and 317X(4) provide that, before giving or varying a TAN or TCN, a decision maker must be ‘satisfied’ that certain criteria are met as follows:</w:t>
      </w:r>
    </w:p>
    <w:p w14:paraId="166A5BD0" w14:textId="4048D160" w:rsidR="002222AF" w:rsidRPr="00AA1A20" w:rsidRDefault="002222AF" w:rsidP="002222AF">
      <w:pPr>
        <w:pStyle w:val="Bullet"/>
        <w:tabs>
          <w:tab w:val="clear" w:pos="360"/>
          <w:tab w:val="num" w:pos="1560"/>
        </w:tabs>
        <w:ind w:left="1287" w:hanging="567"/>
        <w:rPr>
          <w:rFonts w:cs="Open Sans"/>
        </w:rPr>
      </w:pPr>
      <w:r w:rsidRPr="00AA1A20">
        <w:rPr>
          <w:rFonts w:cs="Open Sans"/>
        </w:rPr>
        <w:t xml:space="preserve">the requirements imposed </w:t>
      </w:r>
      <w:r w:rsidR="00B35DF9">
        <w:rPr>
          <w:rFonts w:cs="Open Sans"/>
        </w:rPr>
        <w:t xml:space="preserve">by the notice </w:t>
      </w:r>
      <w:r w:rsidRPr="00AA1A20">
        <w:rPr>
          <w:rFonts w:cs="Open Sans"/>
        </w:rPr>
        <w:t>are reasonable and proportionate</w:t>
      </w:r>
    </w:p>
    <w:p w14:paraId="0950F024" w14:textId="26601E29" w:rsidR="002222AF" w:rsidRPr="00AA1A20" w:rsidRDefault="002222AF" w:rsidP="002222AF">
      <w:pPr>
        <w:pStyle w:val="Bullet"/>
        <w:tabs>
          <w:tab w:val="clear" w:pos="360"/>
          <w:tab w:val="num" w:pos="1560"/>
        </w:tabs>
        <w:ind w:left="1287" w:hanging="567"/>
        <w:rPr>
          <w:rFonts w:cs="Open Sans"/>
        </w:rPr>
      </w:pPr>
      <w:r w:rsidRPr="00AA1A20">
        <w:rPr>
          <w:rFonts w:cs="Open Sans"/>
        </w:rPr>
        <w:t>compliance</w:t>
      </w:r>
      <w:r w:rsidR="00B35DF9">
        <w:rPr>
          <w:rFonts w:cs="Open Sans"/>
        </w:rPr>
        <w:t xml:space="preserve"> with the notice</w:t>
      </w:r>
      <w:r w:rsidRPr="00AA1A20">
        <w:rPr>
          <w:rFonts w:cs="Open Sans"/>
        </w:rPr>
        <w:t xml:space="preserve"> is practicable and technically feasible.</w:t>
      </w:r>
    </w:p>
    <w:p w14:paraId="011943B0" w14:textId="4C6A9697" w:rsidR="002222AF" w:rsidRDefault="002222AF" w:rsidP="002222AF">
      <w:pPr>
        <w:pStyle w:val="ListNumber"/>
        <w:tabs>
          <w:tab w:val="clear" w:pos="360"/>
          <w:tab w:val="num" w:pos="993"/>
          <w:tab w:val="left" w:pos="1418"/>
        </w:tabs>
        <w:ind w:left="709" w:hanging="567"/>
        <w:rPr>
          <w:rFonts w:cs="Open Sans"/>
        </w:rPr>
      </w:pPr>
      <w:r>
        <w:rPr>
          <w:rFonts w:cs="Open Sans"/>
        </w:rPr>
        <w:t>Proposed</w:t>
      </w:r>
      <w:r w:rsidR="00205E36">
        <w:rPr>
          <w:rFonts w:cs="Open Sans"/>
        </w:rPr>
        <w:t xml:space="preserve"> ss </w:t>
      </w:r>
      <w:r>
        <w:rPr>
          <w:rFonts w:cs="Open Sans"/>
        </w:rPr>
        <w:t>317RA and 317ZAA set out the following criteria to which the decision maker must have regard in considering whether the requirements imposed by a TAN or TCN are reasonable and proportionate:</w:t>
      </w:r>
    </w:p>
    <w:p w14:paraId="414669AA" w14:textId="77777777" w:rsidR="002222AF" w:rsidRPr="00DF50CF" w:rsidRDefault="002222AF" w:rsidP="002222AF">
      <w:pPr>
        <w:pStyle w:val="Bullet"/>
        <w:tabs>
          <w:tab w:val="clear" w:pos="360"/>
          <w:tab w:val="num" w:pos="1560"/>
        </w:tabs>
        <w:ind w:left="1287" w:hanging="567"/>
        <w:rPr>
          <w:rFonts w:cs="Open Sans"/>
        </w:rPr>
      </w:pPr>
      <w:r w:rsidRPr="00DF50CF">
        <w:rPr>
          <w:rFonts w:cs="Open Sans"/>
        </w:rPr>
        <w:t>the interests of nati</w:t>
      </w:r>
      <w:r>
        <w:rPr>
          <w:rFonts w:cs="Open Sans"/>
        </w:rPr>
        <w:t>onal security</w:t>
      </w:r>
    </w:p>
    <w:p w14:paraId="45507779" w14:textId="77777777" w:rsidR="002222AF" w:rsidRPr="00DF50CF" w:rsidRDefault="002222AF" w:rsidP="002222AF">
      <w:pPr>
        <w:pStyle w:val="Bullet"/>
        <w:tabs>
          <w:tab w:val="clear" w:pos="360"/>
          <w:tab w:val="num" w:pos="1560"/>
        </w:tabs>
        <w:ind w:left="1287" w:hanging="567"/>
        <w:rPr>
          <w:rFonts w:cs="Open Sans"/>
        </w:rPr>
      </w:pPr>
      <w:r w:rsidRPr="00DF50CF">
        <w:rPr>
          <w:rFonts w:cs="Open Sans"/>
        </w:rPr>
        <w:t xml:space="preserve">the </w:t>
      </w:r>
      <w:r>
        <w:rPr>
          <w:rFonts w:cs="Open Sans"/>
        </w:rPr>
        <w:t>interests of law enforcement</w:t>
      </w:r>
    </w:p>
    <w:p w14:paraId="3B0444A9" w14:textId="77777777" w:rsidR="002222AF" w:rsidRPr="00D611D8" w:rsidRDefault="002222AF" w:rsidP="002222AF">
      <w:pPr>
        <w:pStyle w:val="Bullet"/>
        <w:tabs>
          <w:tab w:val="clear" w:pos="360"/>
          <w:tab w:val="num" w:pos="1560"/>
        </w:tabs>
        <w:ind w:left="1287" w:hanging="567"/>
        <w:rPr>
          <w:rFonts w:cs="Open Sans"/>
        </w:rPr>
      </w:pPr>
      <w:r w:rsidRPr="00D611D8">
        <w:rPr>
          <w:rFonts w:cs="Open Sans"/>
        </w:rPr>
        <w:t xml:space="preserve">the legitimate interests of the designated communications provider </w:t>
      </w:r>
    </w:p>
    <w:p w14:paraId="2DCAC9DB" w14:textId="77777777" w:rsidR="002222AF" w:rsidRPr="00DF50CF" w:rsidRDefault="002222AF" w:rsidP="002222AF">
      <w:pPr>
        <w:pStyle w:val="Bullet"/>
        <w:tabs>
          <w:tab w:val="clear" w:pos="360"/>
          <w:tab w:val="num" w:pos="1560"/>
        </w:tabs>
        <w:ind w:left="1287" w:hanging="567"/>
        <w:rPr>
          <w:rFonts w:cs="Open Sans"/>
        </w:rPr>
      </w:pPr>
      <w:r>
        <w:rPr>
          <w:rFonts w:cs="Open Sans"/>
        </w:rPr>
        <w:t>the objectives of the notice</w:t>
      </w:r>
    </w:p>
    <w:p w14:paraId="57AEB4D1" w14:textId="77777777" w:rsidR="002222AF" w:rsidRPr="00DF50CF" w:rsidRDefault="002222AF" w:rsidP="002222AF">
      <w:pPr>
        <w:pStyle w:val="Bullet"/>
        <w:tabs>
          <w:tab w:val="clear" w:pos="360"/>
          <w:tab w:val="num" w:pos="1560"/>
        </w:tabs>
        <w:ind w:left="1287" w:hanging="567"/>
        <w:rPr>
          <w:rFonts w:cs="Open Sans"/>
        </w:rPr>
      </w:pPr>
      <w:r w:rsidRPr="00DF50CF">
        <w:rPr>
          <w:rFonts w:cs="Open Sans"/>
        </w:rPr>
        <w:t>the availability of other means to achieve the obje</w:t>
      </w:r>
      <w:r>
        <w:rPr>
          <w:rFonts w:cs="Open Sans"/>
        </w:rPr>
        <w:t>ctives of the notice</w:t>
      </w:r>
    </w:p>
    <w:p w14:paraId="645BA318" w14:textId="77777777" w:rsidR="002222AF" w:rsidRPr="00D611D8" w:rsidRDefault="002222AF" w:rsidP="002222AF">
      <w:pPr>
        <w:pStyle w:val="Bullet"/>
        <w:tabs>
          <w:tab w:val="clear" w:pos="360"/>
          <w:tab w:val="num" w:pos="1560"/>
        </w:tabs>
        <w:ind w:left="1287" w:hanging="567"/>
        <w:rPr>
          <w:rFonts w:cs="Open Sans"/>
        </w:rPr>
      </w:pPr>
      <w:r w:rsidRPr="00DF50CF">
        <w:rPr>
          <w:rFonts w:cs="Open Sans"/>
        </w:rPr>
        <w:t>the legitimate expectation</w:t>
      </w:r>
      <w:r>
        <w:rPr>
          <w:rFonts w:cs="Open Sans"/>
        </w:rPr>
        <w:t>s of the Australian community</w:t>
      </w:r>
      <w:r w:rsidRPr="00DF50CF">
        <w:rPr>
          <w:rFonts w:cs="Open Sans"/>
        </w:rPr>
        <w:t xml:space="preserve"> relating </w:t>
      </w:r>
      <w:r>
        <w:rPr>
          <w:rFonts w:cs="Open Sans"/>
        </w:rPr>
        <w:t xml:space="preserve">to </w:t>
      </w:r>
      <w:r w:rsidRPr="00D611D8">
        <w:rPr>
          <w:rFonts w:cs="Open Sans"/>
        </w:rPr>
        <w:t>privacy and cybersecurity</w:t>
      </w:r>
    </w:p>
    <w:p w14:paraId="2A8CC283" w14:textId="77777777" w:rsidR="002222AF" w:rsidRPr="00D611D8" w:rsidRDefault="002222AF" w:rsidP="002222AF">
      <w:pPr>
        <w:pStyle w:val="Bullet"/>
        <w:tabs>
          <w:tab w:val="clear" w:pos="360"/>
          <w:tab w:val="num" w:pos="1560"/>
        </w:tabs>
        <w:ind w:left="1287" w:hanging="567"/>
        <w:rPr>
          <w:rFonts w:cs="Open Sans"/>
        </w:rPr>
      </w:pPr>
      <w:r w:rsidRPr="00D611D8">
        <w:rPr>
          <w:rFonts w:cs="Open Sans"/>
        </w:rPr>
        <w:t>such other matters (if any) as the decision maker considers relevant.</w:t>
      </w:r>
    </w:p>
    <w:p w14:paraId="750ED98D" w14:textId="7E4FC065" w:rsidR="002222AF" w:rsidRPr="00D611D8" w:rsidRDefault="002222AF" w:rsidP="002222AF">
      <w:pPr>
        <w:pStyle w:val="ListNumber"/>
        <w:tabs>
          <w:tab w:val="clear" w:pos="360"/>
          <w:tab w:val="num" w:pos="993"/>
          <w:tab w:val="left" w:pos="1418"/>
        </w:tabs>
        <w:ind w:left="709" w:hanging="567"/>
        <w:rPr>
          <w:rFonts w:cs="Open Sans"/>
        </w:rPr>
      </w:pPr>
      <w:r w:rsidRPr="00D611D8">
        <w:rPr>
          <w:rFonts w:cs="Open Sans"/>
        </w:rPr>
        <w:lastRenderedPageBreak/>
        <w:t>The Explanatory Memorandum states that:</w:t>
      </w:r>
    </w:p>
    <w:p w14:paraId="55BCFEBE" w14:textId="5494DDCC" w:rsidR="002222AF" w:rsidRPr="00CC0C6B" w:rsidRDefault="002222AF" w:rsidP="002222AF">
      <w:pPr>
        <w:pStyle w:val="EndnoteText"/>
        <w:rPr>
          <w:rFonts w:cs="Open Sans"/>
        </w:rPr>
      </w:pPr>
      <w:r w:rsidRPr="00CC0C6B">
        <w:rPr>
          <w:rFonts w:cs="Open Sans"/>
        </w:rPr>
        <w:t>[T]he decision-maker must evaluate the individual circumstances of each notice. In deciding whether a notice is reasonable and proportionate, it is necessary for the decision-maker to consider both the interests of the agency and the interests of the provider. This includes the objectives of the agency, the availability of other means to reach those objectives, the likely benefits to an investigation and the likely business impact on the provider …</w:t>
      </w:r>
    </w:p>
    <w:p w14:paraId="4E859710" w14:textId="77777777" w:rsidR="002222AF" w:rsidRPr="00CC0C6B" w:rsidRDefault="002222AF" w:rsidP="002222AF">
      <w:pPr>
        <w:pStyle w:val="EndnoteText"/>
        <w:rPr>
          <w:rFonts w:cs="Open Sans"/>
        </w:rPr>
      </w:pPr>
      <w:r w:rsidRPr="00CC0C6B">
        <w:rPr>
          <w:rFonts w:cs="Open Sans"/>
        </w:rPr>
        <w:t>The decision-maker must also consider wider public interests, such as any impact on privacy, cyber security and innocent third parties. In deciding whether compliance with the notice is practicable and technically feasible, the decision-maker must consider the systems utilised by a provider and provider expertise. To be satisfied, the decision-maker would need to consider material information given to the agency by the provider. It is expected that the agency would be engaged in a dialogue with the provider prior to issuing a notice. The decision-maker may also make inquiries with other persons who have relevant experience and technical knowledge.</w:t>
      </w:r>
      <w:r w:rsidRPr="00CC0C6B">
        <w:rPr>
          <w:rStyle w:val="EndnoteReference"/>
          <w:vertAlign w:val="superscript"/>
        </w:rPr>
        <w:endnoteReference w:id="94"/>
      </w:r>
    </w:p>
    <w:p w14:paraId="4686D175" w14:textId="216782FB" w:rsidR="00B2251A" w:rsidRDefault="00B2251A" w:rsidP="002222AF">
      <w:pPr>
        <w:pStyle w:val="ListNumber"/>
        <w:tabs>
          <w:tab w:val="clear" w:pos="360"/>
          <w:tab w:val="num" w:pos="993"/>
          <w:tab w:val="left" w:pos="1418"/>
        </w:tabs>
        <w:ind w:left="709" w:hanging="567"/>
        <w:rPr>
          <w:rFonts w:cs="Open Sans"/>
        </w:rPr>
      </w:pPr>
      <w:r>
        <w:rPr>
          <w:rFonts w:cs="Open Sans"/>
        </w:rPr>
        <w:t xml:space="preserve">Notably, there </w:t>
      </w:r>
      <w:r w:rsidR="00147AA2">
        <w:rPr>
          <w:rFonts w:cs="Open Sans"/>
        </w:rPr>
        <w:t xml:space="preserve">are </w:t>
      </w:r>
      <w:r>
        <w:rPr>
          <w:rFonts w:cs="Open Sans"/>
        </w:rPr>
        <w:t xml:space="preserve">no decision-making criteria </w:t>
      </w:r>
      <w:r w:rsidR="00147AA2">
        <w:rPr>
          <w:rFonts w:cs="Open Sans"/>
        </w:rPr>
        <w:t xml:space="preserve">that guide or constrain </w:t>
      </w:r>
      <w:r>
        <w:rPr>
          <w:rFonts w:cs="Open Sans"/>
        </w:rPr>
        <w:t>the giving or varying of TARs.</w:t>
      </w:r>
    </w:p>
    <w:p w14:paraId="3ED57FE2" w14:textId="36E510CA" w:rsidR="00DF2425" w:rsidRDefault="00CC0C6B" w:rsidP="002222AF">
      <w:pPr>
        <w:pStyle w:val="ListNumber"/>
        <w:tabs>
          <w:tab w:val="clear" w:pos="360"/>
          <w:tab w:val="num" w:pos="993"/>
          <w:tab w:val="left" w:pos="1418"/>
        </w:tabs>
        <w:ind w:left="709" w:hanging="567"/>
        <w:rPr>
          <w:rFonts w:cs="Open Sans"/>
        </w:rPr>
      </w:pPr>
      <w:r w:rsidRPr="00365B36">
        <w:rPr>
          <w:rFonts w:cs="Open Sans"/>
        </w:rPr>
        <w:t>The Commission welcomes the inclusion of proposed</w:t>
      </w:r>
      <w:r w:rsidR="00205E36">
        <w:rPr>
          <w:rFonts w:cs="Open Sans"/>
        </w:rPr>
        <w:t xml:space="preserve"> ss </w:t>
      </w:r>
      <w:r w:rsidRPr="00365B36">
        <w:rPr>
          <w:rFonts w:cs="Open Sans"/>
        </w:rPr>
        <w:t xml:space="preserve">317RA and 317ZAA, which were not included in the </w:t>
      </w:r>
      <w:r w:rsidR="0025478F">
        <w:rPr>
          <w:rFonts w:cs="Open Sans"/>
        </w:rPr>
        <w:t>Exposure Draft</w:t>
      </w:r>
      <w:r w:rsidRPr="00365B36">
        <w:rPr>
          <w:rFonts w:cs="Open Sans"/>
        </w:rPr>
        <w:t xml:space="preserve"> of the Bill. This revision partially addresses a recommendation previously made by the Com</w:t>
      </w:r>
      <w:r w:rsidR="00F44954">
        <w:rPr>
          <w:rFonts w:cs="Open Sans"/>
        </w:rPr>
        <w:t>mission to the Department, that</w:t>
      </w:r>
      <w:r w:rsidR="00DF2425">
        <w:rPr>
          <w:rFonts w:cs="Open Sans"/>
        </w:rPr>
        <w:t>:</w:t>
      </w:r>
    </w:p>
    <w:p w14:paraId="25BDE332" w14:textId="345F39A6" w:rsidR="00CC0C6B" w:rsidRDefault="00DF2425" w:rsidP="00EF0AF4">
      <w:pPr>
        <w:pStyle w:val="EndnoteText"/>
      </w:pPr>
      <w:r>
        <w:t>[T]</w:t>
      </w:r>
      <w:r w:rsidR="00CC0C6B" w:rsidRPr="00365B36">
        <w:t>he Bill require the decision maker to consider the impacts of the giving or varying of a notice on human rights especially privacy, on cyber security and on innocent third parties, and only allow the exercise of power if the decision maker is satisfied that the limitation of the right to privacy and other human rights is necessary and proportionate in all of the circumstances of a particular case</w:t>
      </w:r>
      <w:r w:rsidR="00F44954">
        <w:t>’</w:t>
      </w:r>
      <w:r w:rsidR="00CC0C6B">
        <w:t>.</w:t>
      </w:r>
      <w:r w:rsidR="00F44954" w:rsidRPr="0062627F">
        <w:rPr>
          <w:rStyle w:val="EndnoteReference"/>
          <w:vertAlign w:val="superscript"/>
        </w:rPr>
        <w:endnoteReference w:id="95"/>
      </w:r>
    </w:p>
    <w:p w14:paraId="68157603" w14:textId="3F7F4B78" w:rsidR="006772AE" w:rsidRDefault="006772AE" w:rsidP="006772AE">
      <w:pPr>
        <w:pStyle w:val="ListNumber"/>
        <w:tabs>
          <w:tab w:val="clear" w:pos="360"/>
          <w:tab w:val="num" w:pos="993"/>
          <w:tab w:val="left" w:pos="1418"/>
        </w:tabs>
        <w:ind w:left="709" w:hanging="567"/>
        <w:rPr>
          <w:rFonts w:cs="Open Sans"/>
        </w:rPr>
      </w:pPr>
      <w:r w:rsidRPr="00365B36">
        <w:rPr>
          <w:rFonts w:cs="Open Sans"/>
        </w:rPr>
        <w:t xml:space="preserve">In particular, the Commission welcomes the requirement that decision makers consider the legitimate expectations of the Australian community relating to privacy and cybersecurity. </w:t>
      </w:r>
    </w:p>
    <w:p w14:paraId="4A25328E" w14:textId="0281AC43" w:rsidR="006772AE" w:rsidRPr="00365B36" w:rsidRDefault="006772AE" w:rsidP="006772AE">
      <w:pPr>
        <w:pStyle w:val="ListNumber"/>
        <w:tabs>
          <w:tab w:val="clear" w:pos="360"/>
          <w:tab w:val="num" w:pos="993"/>
          <w:tab w:val="left" w:pos="1418"/>
        </w:tabs>
        <w:ind w:left="709" w:hanging="567"/>
        <w:rPr>
          <w:rFonts w:cs="Open Sans"/>
        </w:rPr>
      </w:pPr>
      <w:r w:rsidRPr="00365B36">
        <w:rPr>
          <w:rFonts w:cs="Open Sans"/>
        </w:rPr>
        <w:t xml:space="preserve">This </w:t>
      </w:r>
      <w:r w:rsidR="00720C15">
        <w:rPr>
          <w:rFonts w:cs="Open Sans"/>
        </w:rPr>
        <w:t xml:space="preserve">provision </w:t>
      </w:r>
      <w:r w:rsidRPr="00365B36">
        <w:rPr>
          <w:rFonts w:cs="Open Sans"/>
        </w:rPr>
        <w:t xml:space="preserve">will </w:t>
      </w:r>
      <w:r w:rsidR="00147AA2">
        <w:rPr>
          <w:rFonts w:cs="Open Sans"/>
        </w:rPr>
        <w:t xml:space="preserve">require </w:t>
      </w:r>
      <w:r w:rsidRPr="00365B36">
        <w:rPr>
          <w:rFonts w:cs="Open Sans"/>
        </w:rPr>
        <w:t>that the impacts of a notice on the target individual’s privacy</w:t>
      </w:r>
      <w:r w:rsidR="008323B7">
        <w:rPr>
          <w:rFonts w:cs="Open Sans"/>
        </w:rPr>
        <w:t>,</w:t>
      </w:r>
      <w:r w:rsidRPr="00365B36">
        <w:rPr>
          <w:rFonts w:cs="Open Sans"/>
        </w:rPr>
        <w:t xml:space="preserve"> as well as the privacy and cyber-security of the community more broadly</w:t>
      </w:r>
      <w:r w:rsidR="008323B7">
        <w:rPr>
          <w:rFonts w:cs="Open Sans"/>
        </w:rPr>
        <w:t>,</w:t>
      </w:r>
      <w:r w:rsidRPr="00365B36">
        <w:rPr>
          <w:rFonts w:cs="Open Sans"/>
        </w:rPr>
        <w:t xml:space="preserve"> are</w:t>
      </w:r>
      <w:r w:rsidR="00147AA2">
        <w:rPr>
          <w:rFonts w:cs="Open Sans"/>
        </w:rPr>
        <w:t xml:space="preserve"> given due </w:t>
      </w:r>
      <w:r w:rsidR="00720C15">
        <w:rPr>
          <w:rFonts w:cs="Open Sans"/>
        </w:rPr>
        <w:t xml:space="preserve">weight in considering also </w:t>
      </w:r>
      <w:r w:rsidRPr="00365B36">
        <w:rPr>
          <w:rFonts w:cs="Open Sans"/>
        </w:rPr>
        <w:t xml:space="preserve">the interests and objectives of the relevant agency. </w:t>
      </w:r>
      <w:r w:rsidR="00720C15">
        <w:rPr>
          <w:rFonts w:cs="Open Sans"/>
        </w:rPr>
        <w:t>This provision</w:t>
      </w:r>
      <w:r w:rsidR="00147AA2">
        <w:rPr>
          <w:rFonts w:cs="Open Sans"/>
        </w:rPr>
        <w:t xml:space="preserve"> </w:t>
      </w:r>
      <w:r w:rsidR="00720C15">
        <w:rPr>
          <w:rFonts w:cs="Open Sans"/>
        </w:rPr>
        <w:t xml:space="preserve">makes it more likely that </w:t>
      </w:r>
      <w:r w:rsidR="00720C15" w:rsidRPr="00365B36">
        <w:rPr>
          <w:rFonts w:cs="Open Sans"/>
        </w:rPr>
        <w:t xml:space="preserve">a decision to </w:t>
      </w:r>
      <w:r w:rsidR="00720C15">
        <w:rPr>
          <w:rFonts w:cs="Open Sans"/>
        </w:rPr>
        <w:t>give</w:t>
      </w:r>
      <w:r w:rsidR="00720C15" w:rsidRPr="00365B36">
        <w:rPr>
          <w:rFonts w:cs="Open Sans"/>
        </w:rPr>
        <w:t xml:space="preserve"> or vary a notice </w:t>
      </w:r>
      <w:r w:rsidR="00720C15">
        <w:rPr>
          <w:rFonts w:cs="Open Sans"/>
        </w:rPr>
        <w:t xml:space="preserve">will satisfy </w:t>
      </w:r>
      <w:r w:rsidR="00147AA2" w:rsidRPr="00365B36">
        <w:rPr>
          <w:rFonts w:cs="Open Sans"/>
        </w:rPr>
        <w:t xml:space="preserve">the proportionality </w:t>
      </w:r>
      <w:r w:rsidR="00720C15">
        <w:rPr>
          <w:rFonts w:cs="Open Sans"/>
        </w:rPr>
        <w:t>obligation.</w:t>
      </w:r>
    </w:p>
    <w:p w14:paraId="1011413D" w14:textId="43BA33E5" w:rsidR="006772AE" w:rsidRPr="00365B36" w:rsidRDefault="006772AE" w:rsidP="006772AE">
      <w:pPr>
        <w:pStyle w:val="ListNumber"/>
        <w:tabs>
          <w:tab w:val="clear" w:pos="360"/>
          <w:tab w:val="num" w:pos="993"/>
          <w:tab w:val="left" w:pos="1418"/>
        </w:tabs>
        <w:ind w:left="709" w:hanging="567"/>
        <w:rPr>
          <w:rFonts w:cs="Open Sans"/>
        </w:rPr>
      </w:pPr>
      <w:r w:rsidRPr="00365B36">
        <w:rPr>
          <w:rFonts w:cs="Open Sans"/>
        </w:rPr>
        <w:t xml:space="preserve">However, the Commission considers that, given the likely fine balance that will need to be struck between imposing significant limitations on privacy as against law enforcement </w:t>
      </w:r>
      <w:r w:rsidR="00F44954">
        <w:rPr>
          <w:rFonts w:cs="Open Sans"/>
        </w:rPr>
        <w:t>objectives</w:t>
      </w:r>
      <w:r w:rsidRPr="00365B36">
        <w:rPr>
          <w:rFonts w:cs="Open Sans"/>
        </w:rPr>
        <w:t>, the privacy protections</w:t>
      </w:r>
      <w:r w:rsidR="00F44954">
        <w:rPr>
          <w:rFonts w:cs="Open Sans"/>
        </w:rPr>
        <w:t xml:space="preserve"> in the Bill</w:t>
      </w:r>
      <w:r w:rsidRPr="00365B36">
        <w:rPr>
          <w:rFonts w:cs="Open Sans"/>
        </w:rPr>
        <w:t xml:space="preserve"> should be further strengthened. </w:t>
      </w:r>
    </w:p>
    <w:p w14:paraId="5F2ADC66" w14:textId="33B1AB42" w:rsidR="006772AE" w:rsidRPr="00365B36" w:rsidRDefault="006772AE" w:rsidP="006772AE">
      <w:pPr>
        <w:pStyle w:val="ListNumber"/>
        <w:tabs>
          <w:tab w:val="clear" w:pos="360"/>
          <w:tab w:val="num" w:pos="993"/>
          <w:tab w:val="left" w:pos="1418"/>
        </w:tabs>
        <w:ind w:left="709" w:hanging="567"/>
        <w:rPr>
          <w:rFonts w:cs="Open Sans"/>
        </w:rPr>
      </w:pPr>
      <w:r w:rsidRPr="00365B36">
        <w:rPr>
          <w:rFonts w:cs="Open Sans"/>
        </w:rPr>
        <w:lastRenderedPageBreak/>
        <w:t xml:space="preserve">A potentially useful model </w:t>
      </w:r>
      <w:r w:rsidR="003D2224">
        <w:rPr>
          <w:rFonts w:cs="Open Sans"/>
        </w:rPr>
        <w:t>is set out</w:t>
      </w:r>
      <w:r w:rsidRPr="00365B36">
        <w:rPr>
          <w:rFonts w:cs="Open Sans"/>
        </w:rPr>
        <w:t xml:space="preserve"> in</w:t>
      </w:r>
      <w:r w:rsidR="00205E36">
        <w:rPr>
          <w:rFonts w:cs="Open Sans"/>
        </w:rPr>
        <w:t xml:space="preserve"> s </w:t>
      </w:r>
      <w:r w:rsidRPr="00365B36">
        <w:rPr>
          <w:rFonts w:cs="Open Sans"/>
        </w:rPr>
        <w:t xml:space="preserve">180F of the TIA Act. Section 180F sets out several factors that authorised officers must consider and be satisfied of before disclosing or using information or documents gathered under interception powers. In particular, authorised officers must be satisfied on reasonable grounds that any interference with privacy is justifiable and proportionate, having regard to the gravity of any conduct in relation to which the authorisation is sought, the likely relevance and usefulness of the information or documents and the reason why the disclosure or use concerned is proposed to be authorised. </w:t>
      </w:r>
    </w:p>
    <w:p w14:paraId="5253A0D3" w14:textId="18DE04AA" w:rsidR="006772AE" w:rsidRPr="00365B36" w:rsidRDefault="00720C15" w:rsidP="006772AE">
      <w:pPr>
        <w:pStyle w:val="ListNumber"/>
        <w:tabs>
          <w:tab w:val="clear" w:pos="360"/>
          <w:tab w:val="num" w:pos="993"/>
          <w:tab w:val="left" w:pos="1418"/>
        </w:tabs>
        <w:ind w:left="709" w:hanging="567"/>
        <w:rPr>
          <w:rFonts w:cs="Open Sans"/>
        </w:rPr>
      </w:pPr>
      <w:r>
        <w:rPr>
          <w:rFonts w:cs="Open Sans"/>
        </w:rPr>
        <w:t>In addition</w:t>
      </w:r>
      <w:r w:rsidR="006772AE" w:rsidRPr="00365B36">
        <w:rPr>
          <w:rFonts w:cs="Open Sans"/>
        </w:rPr>
        <w:t>, the Commis</w:t>
      </w:r>
      <w:r w:rsidR="006772AE">
        <w:rPr>
          <w:rFonts w:cs="Open Sans"/>
        </w:rPr>
        <w:t>sion considers that proposed</w:t>
      </w:r>
      <w:r w:rsidR="00205E36">
        <w:rPr>
          <w:rFonts w:cs="Open Sans"/>
        </w:rPr>
        <w:t xml:space="preserve"> ss </w:t>
      </w:r>
      <w:r w:rsidR="006772AE" w:rsidRPr="00365B36">
        <w:rPr>
          <w:rFonts w:cs="Open Sans"/>
        </w:rPr>
        <w:t xml:space="preserve">317RA and 317ZAA should also require a consideration of </w:t>
      </w:r>
      <w:r w:rsidR="00795884">
        <w:rPr>
          <w:rFonts w:cs="Open Sans"/>
        </w:rPr>
        <w:t xml:space="preserve">other </w:t>
      </w:r>
      <w:r w:rsidR="006772AE" w:rsidRPr="00365B36">
        <w:rPr>
          <w:rFonts w:cs="Open Sans"/>
        </w:rPr>
        <w:t xml:space="preserve">human rights </w:t>
      </w:r>
      <w:r w:rsidR="00795884">
        <w:rPr>
          <w:rFonts w:cs="Open Sans"/>
        </w:rPr>
        <w:t>in addition to</w:t>
      </w:r>
      <w:r w:rsidR="006772AE" w:rsidRPr="00365B36">
        <w:rPr>
          <w:rFonts w:cs="Open Sans"/>
        </w:rPr>
        <w:t xml:space="preserve"> privacy, as well as the impacts on innocent third parties. Various human rights could be limited by the giving or variation of a request</w:t>
      </w:r>
      <w:r w:rsidR="005C76C1">
        <w:rPr>
          <w:rFonts w:cs="Open Sans"/>
        </w:rPr>
        <w:t xml:space="preserve"> or notice</w:t>
      </w:r>
      <w:r w:rsidR="006772AE" w:rsidRPr="00365B36">
        <w:rPr>
          <w:rFonts w:cs="Open Sans"/>
        </w:rPr>
        <w:t xml:space="preserve">, including—as recognised in the Statement of Compatibility with Human Rights—the right to freedom of expression and the right to an effective remedy. The Commission considers that </w:t>
      </w:r>
      <w:r w:rsidR="00F44954">
        <w:rPr>
          <w:rFonts w:cs="Open Sans"/>
        </w:rPr>
        <w:t xml:space="preserve">the </w:t>
      </w:r>
      <w:r w:rsidR="006772AE" w:rsidRPr="00365B36">
        <w:rPr>
          <w:rFonts w:cs="Open Sans"/>
        </w:rPr>
        <w:t xml:space="preserve">consideration of human rights by a decision maker is a task properly undertaken in the ordinary course of decision-making, and one that enhances the quality of the process and outcome. </w:t>
      </w:r>
    </w:p>
    <w:p w14:paraId="2A825B39" w14:textId="4D3C8022" w:rsidR="00F44954" w:rsidRPr="000917B4" w:rsidRDefault="006772AE" w:rsidP="000917B4">
      <w:pPr>
        <w:pStyle w:val="ListNumber"/>
        <w:tabs>
          <w:tab w:val="clear" w:pos="360"/>
          <w:tab w:val="num" w:pos="993"/>
          <w:tab w:val="left" w:pos="1418"/>
        </w:tabs>
        <w:ind w:left="709" w:hanging="567"/>
        <w:rPr>
          <w:rFonts w:cs="Open Sans"/>
        </w:rPr>
      </w:pPr>
      <w:r w:rsidRPr="000917B4">
        <w:rPr>
          <w:rFonts w:cs="Open Sans"/>
        </w:rPr>
        <w:t xml:space="preserve">Further, </w:t>
      </w:r>
      <w:r w:rsidR="00F44954" w:rsidRPr="000917B4">
        <w:rPr>
          <w:rFonts w:cs="Open Sans"/>
        </w:rPr>
        <w:t xml:space="preserve">the Commission considers that the </w:t>
      </w:r>
      <w:r w:rsidR="008D4DE0" w:rsidRPr="000917B4">
        <w:rPr>
          <w:rFonts w:cs="Open Sans"/>
        </w:rPr>
        <w:t xml:space="preserve">broad immunities the Bill would create for </w:t>
      </w:r>
      <w:r w:rsidR="005C0C0F">
        <w:rPr>
          <w:rFonts w:cs="Open Sans"/>
        </w:rPr>
        <w:t>providers who act in accordance</w:t>
      </w:r>
      <w:r w:rsidR="008D4DE0" w:rsidRPr="000917B4">
        <w:rPr>
          <w:rFonts w:cs="Open Sans"/>
        </w:rPr>
        <w:t xml:space="preserve"> with </w:t>
      </w:r>
      <w:r w:rsidR="005C0C0F">
        <w:rPr>
          <w:rFonts w:cs="Open Sans"/>
        </w:rPr>
        <w:t>requests and notices</w:t>
      </w:r>
      <w:r w:rsidR="008D4DE0" w:rsidRPr="000917B4">
        <w:rPr>
          <w:rFonts w:cs="Open Sans"/>
        </w:rPr>
        <w:t xml:space="preserve"> </w:t>
      </w:r>
      <w:r w:rsidR="005C0C0F">
        <w:rPr>
          <w:rFonts w:cs="Open Sans"/>
        </w:rPr>
        <w:t xml:space="preserve">could </w:t>
      </w:r>
      <w:r w:rsidR="00F44954" w:rsidRPr="00AB13FF">
        <w:rPr>
          <w:rFonts w:cs="Open Sans"/>
        </w:rPr>
        <w:t>detrimental</w:t>
      </w:r>
      <w:r w:rsidR="005C0C0F">
        <w:rPr>
          <w:rFonts w:cs="Open Sans"/>
        </w:rPr>
        <w:t>ly</w:t>
      </w:r>
      <w:r w:rsidR="00F44954" w:rsidRPr="00AB13FF">
        <w:rPr>
          <w:rFonts w:cs="Open Sans"/>
        </w:rPr>
        <w:t xml:space="preserve"> impact </w:t>
      </w:r>
      <w:r w:rsidR="00F44954" w:rsidRPr="007E3B84">
        <w:rPr>
          <w:rFonts w:cs="Open Sans"/>
        </w:rPr>
        <w:t>the rights</w:t>
      </w:r>
      <w:r w:rsidR="005C0C0F">
        <w:rPr>
          <w:rFonts w:cs="Open Sans"/>
        </w:rPr>
        <w:t xml:space="preserve"> of</w:t>
      </w:r>
      <w:r w:rsidR="00F44954" w:rsidRPr="007E3B84">
        <w:rPr>
          <w:rFonts w:cs="Open Sans"/>
        </w:rPr>
        <w:t xml:space="preserve"> innocent third parties</w:t>
      </w:r>
      <w:r w:rsidR="008D4DE0" w:rsidRPr="007E3B84">
        <w:rPr>
          <w:rFonts w:cs="Open Sans"/>
        </w:rPr>
        <w:t xml:space="preserve">. </w:t>
      </w:r>
      <w:r w:rsidR="000917B4" w:rsidRPr="005B4940">
        <w:rPr>
          <w:rFonts w:cs="Open Sans"/>
        </w:rPr>
        <w:t xml:space="preserve">The Commission </w:t>
      </w:r>
      <w:r w:rsidR="005C0C0F">
        <w:rPr>
          <w:rFonts w:cs="Open Sans"/>
        </w:rPr>
        <w:t>considers</w:t>
      </w:r>
      <w:r w:rsidR="000917B4" w:rsidRPr="005B4940">
        <w:rPr>
          <w:rFonts w:cs="Open Sans"/>
        </w:rPr>
        <w:t xml:space="preserve"> that </w:t>
      </w:r>
      <w:r w:rsidR="000917B4">
        <w:rPr>
          <w:rFonts w:cs="Open Sans"/>
        </w:rPr>
        <w:t xml:space="preserve">the effect of </w:t>
      </w:r>
      <w:r w:rsidR="000917B4" w:rsidRPr="000917B4">
        <w:rPr>
          <w:rFonts w:cs="Open Sans"/>
        </w:rPr>
        <w:t xml:space="preserve">these immunity provisions should be taken into account at the time any decision is made to give or vary a </w:t>
      </w:r>
      <w:r w:rsidR="005C0C0F">
        <w:rPr>
          <w:rFonts w:cs="Open Sans"/>
        </w:rPr>
        <w:t>request or notice</w:t>
      </w:r>
      <w:r w:rsidR="000917B4" w:rsidRPr="000917B4">
        <w:rPr>
          <w:rFonts w:cs="Open Sans"/>
        </w:rPr>
        <w:t xml:space="preserve">. </w:t>
      </w:r>
    </w:p>
    <w:p w14:paraId="481851B0" w14:textId="171F6946" w:rsidR="008D4DE0" w:rsidRDefault="00F44954" w:rsidP="008D4DE0">
      <w:pPr>
        <w:pStyle w:val="ListNumber"/>
        <w:tabs>
          <w:tab w:val="clear" w:pos="360"/>
          <w:tab w:val="num" w:pos="993"/>
          <w:tab w:val="left" w:pos="1418"/>
        </w:tabs>
        <w:ind w:left="709" w:hanging="567"/>
        <w:rPr>
          <w:rFonts w:cs="Open Sans"/>
        </w:rPr>
      </w:pPr>
      <w:r>
        <w:rPr>
          <w:rFonts w:cs="Open Sans"/>
        </w:rPr>
        <w:t>I</w:t>
      </w:r>
      <w:r w:rsidR="006772AE" w:rsidRPr="00365B36">
        <w:rPr>
          <w:rFonts w:cs="Open Sans"/>
        </w:rPr>
        <w:t>f a provider acts in compliance or purported compliance with a request or notice, the provider will be immune from civil liability pursuant to proposed</w:t>
      </w:r>
      <w:r w:rsidR="00205E36">
        <w:rPr>
          <w:rFonts w:cs="Open Sans"/>
        </w:rPr>
        <w:t xml:space="preserve"> s </w:t>
      </w:r>
      <w:r w:rsidR="006772AE" w:rsidRPr="00365B36">
        <w:rPr>
          <w:rFonts w:cs="Open Sans"/>
        </w:rPr>
        <w:t>31</w:t>
      </w:r>
      <w:r w:rsidR="006772AE">
        <w:rPr>
          <w:rFonts w:cs="Open Sans"/>
        </w:rPr>
        <w:t>7</w:t>
      </w:r>
      <w:r w:rsidR="00D954A1">
        <w:rPr>
          <w:rFonts w:cs="Open Sans"/>
        </w:rPr>
        <w:t>ZJ</w:t>
      </w:r>
      <w:r w:rsidR="006772AE" w:rsidRPr="00365B36">
        <w:rPr>
          <w:rFonts w:cs="Open Sans"/>
        </w:rPr>
        <w:t>. This immunity will limit a person’s ability to bring a civil action for loss, damage or injury caused by a provider</w:t>
      </w:r>
      <w:r w:rsidR="003D2224">
        <w:rPr>
          <w:rFonts w:cs="Open Sans"/>
        </w:rPr>
        <w:t xml:space="preserve"> (see further discussion at Pt </w:t>
      </w:r>
      <w:r w:rsidR="003D2224">
        <w:rPr>
          <w:rFonts w:cs="Open Sans"/>
        </w:rPr>
        <w:fldChar w:fldCharType="begin"/>
      </w:r>
      <w:r w:rsidR="003D2224">
        <w:rPr>
          <w:rFonts w:cs="Open Sans"/>
        </w:rPr>
        <w:instrText xml:space="preserve"> REF _Ref526771691 \r \h </w:instrText>
      </w:r>
      <w:r w:rsidR="003D2224">
        <w:rPr>
          <w:rFonts w:cs="Open Sans"/>
        </w:rPr>
      </w:r>
      <w:r w:rsidR="003D2224">
        <w:rPr>
          <w:rFonts w:cs="Open Sans"/>
        </w:rPr>
        <w:fldChar w:fldCharType="separate"/>
      </w:r>
      <w:r w:rsidR="00372D72">
        <w:rPr>
          <w:rFonts w:cs="Open Sans"/>
        </w:rPr>
        <w:t>5.4</w:t>
      </w:r>
      <w:r w:rsidR="003D2224">
        <w:rPr>
          <w:rFonts w:cs="Open Sans"/>
        </w:rPr>
        <w:fldChar w:fldCharType="end"/>
      </w:r>
      <w:r w:rsidR="003D2224" w:rsidRPr="00365B36">
        <w:rPr>
          <w:rFonts w:cs="Open Sans"/>
        </w:rPr>
        <w:t xml:space="preserve"> below)</w:t>
      </w:r>
      <w:r w:rsidR="006772AE" w:rsidRPr="00365B36">
        <w:rPr>
          <w:rFonts w:cs="Open Sans"/>
        </w:rPr>
        <w:t xml:space="preserve">. </w:t>
      </w:r>
    </w:p>
    <w:p w14:paraId="67FA1303" w14:textId="77777777" w:rsidR="00DF2425" w:rsidRDefault="003D2224" w:rsidP="002222AF">
      <w:pPr>
        <w:pStyle w:val="ListNumber"/>
        <w:tabs>
          <w:tab w:val="clear" w:pos="360"/>
          <w:tab w:val="num" w:pos="993"/>
          <w:tab w:val="left" w:pos="1418"/>
        </w:tabs>
        <w:ind w:left="709" w:hanging="567"/>
        <w:rPr>
          <w:rFonts w:cs="Open Sans"/>
        </w:rPr>
      </w:pPr>
      <w:r>
        <w:rPr>
          <w:rFonts w:cs="Open Sans"/>
        </w:rPr>
        <w:t xml:space="preserve">The Explanatory Memorandum </w:t>
      </w:r>
      <w:r w:rsidR="009C5DE5">
        <w:rPr>
          <w:rFonts w:cs="Open Sans"/>
        </w:rPr>
        <w:t xml:space="preserve">itself </w:t>
      </w:r>
      <w:r>
        <w:rPr>
          <w:rFonts w:cs="Open Sans"/>
        </w:rPr>
        <w:t xml:space="preserve">recognises </w:t>
      </w:r>
      <w:r w:rsidR="00C01794">
        <w:rPr>
          <w:rFonts w:cs="Open Sans"/>
        </w:rPr>
        <w:t xml:space="preserve">that </w:t>
      </w:r>
      <w:r>
        <w:rPr>
          <w:rFonts w:cs="Open Sans"/>
        </w:rPr>
        <w:t>the effect of civil immunities</w:t>
      </w:r>
      <w:r w:rsidR="00697E59">
        <w:rPr>
          <w:rFonts w:cs="Open Sans"/>
        </w:rPr>
        <w:t xml:space="preserve"> on third parties</w:t>
      </w:r>
      <w:r>
        <w:rPr>
          <w:rFonts w:cs="Open Sans"/>
        </w:rPr>
        <w:t xml:space="preserve"> </w:t>
      </w:r>
      <w:r w:rsidR="00C01794">
        <w:rPr>
          <w:rFonts w:cs="Open Sans"/>
        </w:rPr>
        <w:t xml:space="preserve">is </w:t>
      </w:r>
      <w:r>
        <w:rPr>
          <w:rFonts w:cs="Open Sans"/>
        </w:rPr>
        <w:t xml:space="preserve">an important </w:t>
      </w:r>
      <w:r w:rsidR="000917B4">
        <w:rPr>
          <w:rFonts w:cs="Open Sans"/>
        </w:rPr>
        <w:t xml:space="preserve">consideration. </w:t>
      </w:r>
      <w:r w:rsidR="00697E59">
        <w:rPr>
          <w:rFonts w:cs="Open Sans"/>
        </w:rPr>
        <w:t xml:space="preserve">With respect to TARs, it </w:t>
      </w:r>
      <w:r>
        <w:rPr>
          <w:rFonts w:cs="Open Sans"/>
        </w:rPr>
        <w:t>stat</w:t>
      </w:r>
      <w:r w:rsidR="000917B4">
        <w:rPr>
          <w:rFonts w:cs="Open Sans"/>
        </w:rPr>
        <w:t>es</w:t>
      </w:r>
      <w:r>
        <w:rPr>
          <w:rFonts w:cs="Open Sans"/>
        </w:rPr>
        <w:t xml:space="preserve"> that: </w:t>
      </w:r>
    </w:p>
    <w:p w14:paraId="5344BA72" w14:textId="068DA8BC" w:rsidR="00F44954" w:rsidRDefault="00DF2425" w:rsidP="00EF0AF4">
      <w:pPr>
        <w:pStyle w:val="EndnoteText"/>
      </w:pPr>
      <w:r>
        <w:t>[T]</w:t>
      </w:r>
      <w:r w:rsidR="003D2224">
        <w:t>he persons who can make technical assistance requests occupy the most senior positions in their organisation and can exercise suitable judgment about the propriety of such a request … particularly whether it is appropriate to extend civil immunity for acts or things done consistent with the request’.</w:t>
      </w:r>
      <w:r w:rsidR="003D2224" w:rsidRPr="005C0C0F">
        <w:rPr>
          <w:rStyle w:val="EndnoteReference"/>
          <w:vertAlign w:val="superscript"/>
        </w:rPr>
        <w:endnoteReference w:id="96"/>
      </w:r>
      <w:r w:rsidR="00F44954">
        <w:t xml:space="preserve"> </w:t>
      </w:r>
    </w:p>
    <w:p w14:paraId="19559DDD" w14:textId="098B2BC5" w:rsidR="00697E59" w:rsidRDefault="00B87F9B" w:rsidP="002222AF">
      <w:pPr>
        <w:pStyle w:val="ListNumber"/>
        <w:tabs>
          <w:tab w:val="clear" w:pos="360"/>
          <w:tab w:val="num" w:pos="993"/>
          <w:tab w:val="left" w:pos="1418"/>
        </w:tabs>
        <w:ind w:left="709" w:hanging="567"/>
        <w:rPr>
          <w:rFonts w:cs="Open Sans"/>
        </w:rPr>
      </w:pPr>
      <w:r>
        <w:rPr>
          <w:rFonts w:cs="Open Sans"/>
        </w:rPr>
        <w:t>The acknowledgement of the potential impact of these immunities in the Explanatory Memorandum is noteworthy. However,</w:t>
      </w:r>
      <w:r w:rsidR="00F44954">
        <w:rPr>
          <w:rFonts w:cs="Open Sans"/>
        </w:rPr>
        <w:t xml:space="preserve"> </w:t>
      </w:r>
      <w:r w:rsidR="00A26CB7">
        <w:rPr>
          <w:rFonts w:cs="Open Sans"/>
        </w:rPr>
        <w:t xml:space="preserve">it provides no legal </w:t>
      </w:r>
      <w:r>
        <w:rPr>
          <w:rFonts w:cs="Open Sans"/>
        </w:rPr>
        <w:lastRenderedPageBreak/>
        <w:t xml:space="preserve">constraint on the exercise of powers to give or vary </w:t>
      </w:r>
      <w:r w:rsidR="00697E59">
        <w:rPr>
          <w:rFonts w:cs="Open Sans"/>
        </w:rPr>
        <w:t xml:space="preserve">requests or </w:t>
      </w:r>
      <w:r>
        <w:rPr>
          <w:rFonts w:cs="Open Sans"/>
        </w:rPr>
        <w:t>notices under the Bill.</w:t>
      </w:r>
      <w:r w:rsidR="003D2224">
        <w:rPr>
          <w:rFonts w:cs="Open Sans"/>
        </w:rPr>
        <w:t xml:space="preserve"> </w:t>
      </w:r>
    </w:p>
    <w:p w14:paraId="049FD3F4" w14:textId="5A674796" w:rsidR="006772AE" w:rsidRDefault="00B87F9B" w:rsidP="002222AF">
      <w:pPr>
        <w:pStyle w:val="ListNumber"/>
        <w:tabs>
          <w:tab w:val="clear" w:pos="360"/>
          <w:tab w:val="num" w:pos="993"/>
          <w:tab w:val="left" w:pos="1418"/>
        </w:tabs>
        <w:ind w:left="709" w:hanging="567"/>
        <w:rPr>
          <w:rFonts w:cs="Open Sans"/>
        </w:rPr>
      </w:pPr>
      <w:r>
        <w:rPr>
          <w:rFonts w:cs="Open Sans"/>
        </w:rPr>
        <w:t>T</w:t>
      </w:r>
      <w:r w:rsidR="003D2224">
        <w:rPr>
          <w:rFonts w:cs="Open Sans"/>
        </w:rPr>
        <w:t xml:space="preserve">he Commission </w:t>
      </w:r>
      <w:r>
        <w:rPr>
          <w:rFonts w:cs="Open Sans"/>
        </w:rPr>
        <w:t xml:space="preserve">therefore </w:t>
      </w:r>
      <w:r w:rsidR="00A26CB7">
        <w:rPr>
          <w:rFonts w:cs="Open Sans"/>
        </w:rPr>
        <w:t xml:space="preserve">proposes that the Bill be amended to provide that </w:t>
      </w:r>
      <w:r w:rsidR="00260B52">
        <w:rPr>
          <w:rFonts w:cs="Open Sans"/>
        </w:rPr>
        <w:t>any decision maker</w:t>
      </w:r>
      <w:r w:rsidR="00A26CB7">
        <w:rPr>
          <w:rFonts w:cs="Open Sans"/>
        </w:rPr>
        <w:t>,</w:t>
      </w:r>
      <w:r w:rsidR="00260B52">
        <w:rPr>
          <w:rFonts w:cs="Open Sans"/>
        </w:rPr>
        <w:t xml:space="preserve"> when considering giving or varying a </w:t>
      </w:r>
      <w:r w:rsidR="00697E59">
        <w:rPr>
          <w:rFonts w:cs="Open Sans"/>
        </w:rPr>
        <w:t xml:space="preserve">request or </w:t>
      </w:r>
      <w:r w:rsidR="00260B52">
        <w:rPr>
          <w:rFonts w:cs="Open Sans"/>
        </w:rPr>
        <w:t>notice</w:t>
      </w:r>
      <w:r w:rsidR="00A26CB7">
        <w:rPr>
          <w:rFonts w:cs="Open Sans"/>
        </w:rPr>
        <w:t>, must take this matter into account</w:t>
      </w:r>
      <w:r w:rsidR="003D2224">
        <w:rPr>
          <w:rFonts w:cs="Open Sans"/>
        </w:rPr>
        <w:t>.</w:t>
      </w:r>
      <w:r w:rsidR="003D2224" w:rsidRPr="00365B36">
        <w:rPr>
          <w:rFonts w:cs="Open Sans"/>
        </w:rPr>
        <w:t xml:space="preserve"> </w:t>
      </w:r>
      <w:r w:rsidR="00B24711">
        <w:rPr>
          <w:rFonts w:cs="Open Sans"/>
        </w:rPr>
        <w:t xml:space="preserve">The Commission has reviewed </w:t>
      </w:r>
      <w:r w:rsidR="00A26CB7">
        <w:rPr>
          <w:rFonts w:cs="Open Sans"/>
        </w:rPr>
        <w:t xml:space="preserve">the </w:t>
      </w:r>
      <w:r w:rsidR="00B24711">
        <w:rPr>
          <w:rFonts w:cs="Open Sans"/>
        </w:rPr>
        <w:t xml:space="preserve">submission prepared by </w:t>
      </w:r>
      <w:r w:rsidR="00B24711" w:rsidRPr="00365B36">
        <w:rPr>
          <w:rFonts w:cs="Open Sans"/>
        </w:rPr>
        <w:t>the I</w:t>
      </w:r>
      <w:r w:rsidR="00B24711">
        <w:rPr>
          <w:rFonts w:cs="Open Sans"/>
        </w:rPr>
        <w:t>nspector-</w:t>
      </w:r>
      <w:r w:rsidR="00B24711" w:rsidRPr="00365B36">
        <w:rPr>
          <w:rFonts w:cs="Open Sans"/>
        </w:rPr>
        <w:t>G</w:t>
      </w:r>
      <w:r w:rsidR="00B24711">
        <w:rPr>
          <w:rFonts w:cs="Open Sans"/>
        </w:rPr>
        <w:t xml:space="preserve">eneral of Intelligence and </w:t>
      </w:r>
      <w:r w:rsidR="00B24711" w:rsidRPr="00365B36">
        <w:rPr>
          <w:rFonts w:cs="Open Sans"/>
        </w:rPr>
        <w:t>S</w:t>
      </w:r>
      <w:r w:rsidR="00B24711">
        <w:rPr>
          <w:rFonts w:cs="Open Sans"/>
        </w:rPr>
        <w:t>ecurity (IGIS)</w:t>
      </w:r>
      <w:r w:rsidR="00B24711" w:rsidRPr="00365B36">
        <w:rPr>
          <w:rFonts w:cs="Open Sans"/>
        </w:rPr>
        <w:t xml:space="preserve"> </w:t>
      </w:r>
      <w:r w:rsidR="00B24711">
        <w:rPr>
          <w:rFonts w:cs="Open Sans"/>
        </w:rPr>
        <w:t xml:space="preserve">in relation to the </w:t>
      </w:r>
      <w:r w:rsidR="0025478F">
        <w:rPr>
          <w:rFonts w:cs="Open Sans"/>
        </w:rPr>
        <w:t>Exposure Draft</w:t>
      </w:r>
      <w:r w:rsidR="00B24711">
        <w:rPr>
          <w:rFonts w:cs="Open Sans"/>
        </w:rPr>
        <w:t xml:space="preserve"> of the present Bill. </w:t>
      </w:r>
      <w:r w:rsidR="006772AE" w:rsidRPr="00365B36">
        <w:rPr>
          <w:rFonts w:cs="Open Sans"/>
        </w:rPr>
        <w:t xml:space="preserve">The Commission </w:t>
      </w:r>
      <w:r w:rsidR="00993311">
        <w:rPr>
          <w:rFonts w:cs="Open Sans"/>
        </w:rPr>
        <w:t>notes that</w:t>
      </w:r>
      <w:r w:rsidR="006772AE" w:rsidRPr="00365B36">
        <w:rPr>
          <w:rFonts w:cs="Open Sans"/>
        </w:rPr>
        <w:t xml:space="preserve"> similar comments </w:t>
      </w:r>
      <w:r w:rsidR="00993311">
        <w:rPr>
          <w:rFonts w:cs="Open Sans"/>
        </w:rPr>
        <w:t xml:space="preserve">were </w:t>
      </w:r>
      <w:r w:rsidR="006772AE" w:rsidRPr="00365B36">
        <w:rPr>
          <w:rFonts w:cs="Open Sans"/>
        </w:rPr>
        <w:t>made by the</w:t>
      </w:r>
      <w:r w:rsidR="00A26CB7">
        <w:rPr>
          <w:rFonts w:cs="Open Sans"/>
        </w:rPr>
        <w:t xml:space="preserve"> </w:t>
      </w:r>
      <w:r w:rsidR="001B28C8">
        <w:rPr>
          <w:rFonts w:cs="Open Sans"/>
        </w:rPr>
        <w:t>IGIS</w:t>
      </w:r>
      <w:r w:rsidR="006772AE" w:rsidRPr="00365B36">
        <w:rPr>
          <w:rFonts w:cs="Open Sans"/>
        </w:rPr>
        <w:t xml:space="preserve"> in its submission to the Department.</w:t>
      </w:r>
      <w:r w:rsidR="006772AE" w:rsidRPr="00365B36">
        <w:rPr>
          <w:rStyle w:val="EndnoteReference"/>
          <w:vertAlign w:val="superscript"/>
        </w:rPr>
        <w:endnoteReference w:id="97"/>
      </w:r>
      <w:r w:rsidR="0038253F">
        <w:rPr>
          <w:rFonts w:cs="Open Sans"/>
        </w:rPr>
        <w:t xml:space="preserve"> </w:t>
      </w:r>
    </w:p>
    <w:p w14:paraId="7A2CB18A" w14:textId="0C5F778A" w:rsidR="006772AE" w:rsidRPr="00365B36" w:rsidRDefault="006772AE" w:rsidP="006772AE">
      <w:pPr>
        <w:pStyle w:val="ListNumber"/>
        <w:tabs>
          <w:tab w:val="clear" w:pos="360"/>
          <w:tab w:val="num" w:pos="993"/>
          <w:tab w:val="left" w:pos="1418"/>
        </w:tabs>
        <w:ind w:left="709" w:hanging="567"/>
        <w:rPr>
          <w:rFonts w:cs="Open Sans"/>
        </w:rPr>
      </w:pPr>
      <w:r w:rsidRPr="00365B36">
        <w:rPr>
          <w:rFonts w:cs="Open Sans"/>
        </w:rPr>
        <w:t>The Commission further welcomes the new requirement that decision makers consider the availability of other means to achieve the objectives of the notice. This will ensure consideration of the other</w:t>
      </w:r>
      <w:r w:rsidR="00993311">
        <w:rPr>
          <w:rFonts w:cs="Open Sans"/>
        </w:rPr>
        <w:t xml:space="preserve"> relevant</w:t>
      </w:r>
      <w:r w:rsidRPr="00365B36">
        <w:rPr>
          <w:rFonts w:cs="Open Sans"/>
        </w:rPr>
        <w:t xml:space="preserve"> investigative avenues potentially available to law enforcement. </w:t>
      </w:r>
    </w:p>
    <w:p w14:paraId="6747344B" w14:textId="749A07D3" w:rsidR="006772AE" w:rsidRDefault="002222AF" w:rsidP="002222AF">
      <w:pPr>
        <w:pStyle w:val="ListNumber"/>
        <w:tabs>
          <w:tab w:val="clear" w:pos="360"/>
          <w:tab w:val="num" w:pos="993"/>
          <w:tab w:val="left" w:pos="1418"/>
        </w:tabs>
        <w:ind w:left="709" w:hanging="567"/>
        <w:rPr>
          <w:rFonts w:cs="Open Sans"/>
        </w:rPr>
      </w:pPr>
      <w:r w:rsidRPr="00D611D8">
        <w:rPr>
          <w:rFonts w:cs="Open Sans"/>
        </w:rPr>
        <w:t xml:space="preserve">However, this criterion only mandates </w:t>
      </w:r>
      <w:r w:rsidRPr="00D611D8">
        <w:rPr>
          <w:rFonts w:cs="Open Sans"/>
          <w:i/>
        </w:rPr>
        <w:t>consideration</w:t>
      </w:r>
      <w:r w:rsidRPr="00D611D8">
        <w:rPr>
          <w:rFonts w:cs="Open Sans"/>
        </w:rPr>
        <w:t xml:space="preserve"> of alternative measures. It does not require </w:t>
      </w:r>
      <w:r>
        <w:rPr>
          <w:rFonts w:cs="Open Sans"/>
        </w:rPr>
        <w:t xml:space="preserve">that </w:t>
      </w:r>
      <w:r w:rsidRPr="00D611D8">
        <w:rPr>
          <w:rFonts w:cs="Open Sans"/>
        </w:rPr>
        <w:t>the decision maker select the least rights-restrictive option available. That is, if there are other investigative options available that could achieve the relevant objective in lieu of issuing a notice, a notice could</w:t>
      </w:r>
      <w:r w:rsidR="00260B52">
        <w:rPr>
          <w:rFonts w:cs="Open Sans"/>
        </w:rPr>
        <w:t>, as the Bill is currently drafted,</w:t>
      </w:r>
      <w:r w:rsidRPr="00D611D8">
        <w:rPr>
          <w:rFonts w:cs="Open Sans"/>
        </w:rPr>
        <w:t xml:space="preserve"> still be issued. </w:t>
      </w:r>
    </w:p>
    <w:p w14:paraId="55BA8BC0" w14:textId="75E46F19" w:rsidR="002222AF" w:rsidRDefault="006772AE" w:rsidP="002222AF">
      <w:pPr>
        <w:pStyle w:val="ListNumber"/>
        <w:tabs>
          <w:tab w:val="clear" w:pos="360"/>
          <w:tab w:val="num" w:pos="993"/>
          <w:tab w:val="left" w:pos="1418"/>
        </w:tabs>
        <w:ind w:left="709" w:hanging="567"/>
        <w:rPr>
          <w:rFonts w:cs="Open Sans"/>
        </w:rPr>
      </w:pPr>
      <w:r w:rsidRPr="00365B36">
        <w:rPr>
          <w:rFonts w:cs="Open Sans"/>
        </w:rPr>
        <w:t>This approach can be contrast</w:t>
      </w:r>
      <w:r>
        <w:rPr>
          <w:rFonts w:cs="Open Sans"/>
        </w:rPr>
        <w:t>ed</w:t>
      </w:r>
      <w:r w:rsidRPr="00365B36">
        <w:rPr>
          <w:rFonts w:cs="Open Sans"/>
        </w:rPr>
        <w:t xml:space="preserve"> with</w:t>
      </w:r>
      <w:r w:rsidR="00697E59">
        <w:rPr>
          <w:rFonts w:cs="Open Sans"/>
        </w:rPr>
        <w:t xml:space="preserve"> the</w:t>
      </w:r>
      <w:r w:rsidRPr="00365B36">
        <w:rPr>
          <w:rFonts w:cs="Open Sans"/>
        </w:rPr>
        <w:t xml:space="preserve"> decision-making requirements </w:t>
      </w:r>
      <w:r w:rsidR="00697E59">
        <w:rPr>
          <w:rFonts w:cs="Open Sans"/>
        </w:rPr>
        <w:t xml:space="preserve">applicable </w:t>
      </w:r>
      <w:r w:rsidRPr="00365B36">
        <w:rPr>
          <w:rFonts w:cs="Open Sans"/>
        </w:rPr>
        <w:t>in</w:t>
      </w:r>
      <w:r w:rsidR="00697E59">
        <w:rPr>
          <w:rFonts w:cs="Open Sans"/>
        </w:rPr>
        <w:t xml:space="preserve"> some</w:t>
      </w:r>
      <w:r w:rsidRPr="00365B36">
        <w:rPr>
          <w:rFonts w:cs="Open Sans"/>
        </w:rPr>
        <w:t xml:space="preserve"> other national security and law enforcement contexts. For example, </w:t>
      </w:r>
      <w:r>
        <w:rPr>
          <w:rFonts w:cs="Open Sans"/>
        </w:rPr>
        <w:t xml:space="preserve">when </w:t>
      </w:r>
      <w:r w:rsidRPr="00365B36">
        <w:rPr>
          <w:rFonts w:cs="Open Sans"/>
        </w:rPr>
        <w:t xml:space="preserve">making a continuing detention order </w:t>
      </w:r>
      <w:r>
        <w:rPr>
          <w:rFonts w:cs="Open Sans"/>
        </w:rPr>
        <w:t>in relation to</w:t>
      </w:r>
      <w:r w:rsidRPr="00365B36">
        <w:rPr>
          <w:rFonts w:cs="Open Sans"/>
        </w:rPr>
        <w:t xml:space="preserve"> a terrorist offender under s</w:t>
      </w:r>
      <w:r>
        <w:rPr>
          <w:rFonts w:cs="Open Sans"/>
        </w:rPr>
        <w:t> </w:t>
      </w:r>
      <w:r w:rsidRPr="00365B36">
        <w:rPr>
          <w:rFonts w:cs="Open Sans"/>
        </w:rPr>
        <w:t>105A.7 of</w:t>
      </w:r>
      <w:r w:rsidR="003530D2">
        <w:rPr>
          <w:rFonts w:cs="Open Sans"/>
        </w:rPr>
        <w:t xml:space="preserve"> Sch</w:t>
      </w:r>
      <w:r w:rsidR="00927A73">
        <w:rPr>
          <w:rFonts w:cs="Open Sans"/>
        </w:rPr>
        <w:t>edule</w:t>
      </w:r>
      <w:r w:rsidR="003530D2">
        <w:rPr>
          <w:rFonts w:cs="Open Sans"/>
        </w:rPr>
        <w:t xml:space="preserve"> 1 of</w:t>
      </w:r>
      <w:r w:rsidRPr="00365B36">
        <w:rPr>
          <w:rFonts w:cs="Open Sans"/>
        </w:rPr>
        <w:t xml:space="preserve"> the </w:t>
      </w:r>
      <w:r w:rsidR="008323B7" w:rsidRPr="006F21B2">
        <w:rPr>
          <w:rFonts w:cs="Open Sans"/>
          <w:i/>
        </w:rPr>
        <w:t>Criminal Code</w:t>
      </w:r>
      <w:r w:rsidR="008323B7">
        <w:rPr>
          <w:rFonts w:cs="Open Sans"/>
          <w:i/>
        </w:rPr>
        <w:t xml:space="preserve"> Act 1995 </w:t>
      </w:r>
      <w:r w:rsidR="008323B7">
        <w:rPr>
          <w:rFonts w:cs="Open Sans"/>
        </w:rPr>
        <w:t>(Cth) (Criminal Code)</w:t>
      </w:r>
      <w:r w:rsidRPr="00365B36">
        <w:rPr>
          <w:rFonts w:cs="Open Sans"/>
        </w:rPr>
        <w:t xml:space="preserve">, a court must be satisfied </w:t>
      </w:r>
      <w:r>
        <w:rPr>
          <w:rFonts w:cs="Open Sans"/>
        </w:rPr>
        <w:t xml:space="preserve">both </w:t>
      </w:r>
      <w:r w:rsidRPr="00365B36">
        <w:rPr>
          <w:rFonts w:cs="Open Sans"/>
        </w:rPr>
        <w:t xml:space="preserve">that </w:t>
      </w:r>
      <w:r>
        <w:rPr>
          <w:rFonts w:cs="Open Sans"/>
        </w:rPr>
        <w:t>the offender poses an unacceptable risk of committing a serious Part 5.3 offence if released into the community and</w:t>
      </w:r>
      <w:r w:rsidR="00993311">
        <w:rPr>
          <w:rFonts w:cs="Open Sans"/>
        </w:rPr>
        <w:t xml:space="preserve"> that</w:t>
      </w:r>
      <w:r>
        <w:rPr>
          <w:rFonts w:cs="Open Sans"/>
        </w:rPr>
        <w:t xml:space="preserve"> </w:t>
      </w:r>
      <w:r w:rsidRPr="00365B36">
        <w:rPr>
          <w:rFonts w:cs="Open Sans"/>
        </w:rPr>
        <w:t>there is no other less restrictive measure that would be effective in preventing the unacceptable risk.</w:t>
      </w:r>
      <w:r w:rsidR="0038253F">
        <w:rPr>
          <w:rFonts w:cs="Open Sans"/>
        </w:rPr>
        <w:t xml:space="preserve"> </w:t>
      </w:r>
    </w:p>
    <w:p w14:paraId="3E001955" w14:textId="41B53210" w:rsidR="002222AF" w:rsidRPr="00D611D8" w:rsidRDefault="002222AF" w:rsidP="002222AF">
      <w:pPr>
        <w:pStyle w:val="ListNumber"/>
        <w:tabs>
          <w:tab w:val="clear" w:pos="360"/>
          <w:tab w:val="num" w:pos="993"/>
          <w:tab w:val="left" w:pos="1418"/>
        </w:tabs>
        <w:ind w:left="709" w:hanging="567"/>
        <w:rPr>
          <w:rFonts w:cs="Open Sans"/>
        </w:rPr>
      </w:pPr>
      <w:r w:rsidRPr="00D611D8">
        <w:rPr>
          <w:rFonts w:cs="Open Sans"/>
        </w:rPr>
        <w:t>The Statement of Compatibility with Human Rights states that ‘[t]he amendments only go so far as is necessary in limiting the right to privacy’.</w:t>
      </w:r>
      <w:r w:rsidRPr="00D611D8">
        <w:rPr>
          <w:rStyle w:val="EndnoteReference"/>
          <w:sz w:val="24"/>
          <w:szCs w:val="24"/>
          <w:vertAlign w:val="superscript"/>
        </w:rPr>
        <w:endnoteReference w:id="98"/>
      </w:r>
      <w:r w:rsidRPr="00D611D8">
        <w:rPr>
          <w:rFonts w:cs="Open Sans"/>
        </w:rPr>
        <w:t xml:space="preserve"> The Commission </w:t>
      </w:r>
      <w:r w:rsidR="00C01794">
        <w:rPr>
          <w:rFonts w:cs="Open Sans"/>
        </w:rPr>
        <w:t>disagrees</w:t>
      </w:r>
      <w:r w:rsidRPr="00D611D8">
        <w:rPr>
          <w:rFonts w:cs="Open Sans"/>
        </w:rPr>
        <w:t xml:space="preserve">, given that satisfaction as to the </w:t>
      </w:r>
      <w:r w:rsidRPr="00D611D8">
        <w:rPr>
          <w:rFonts w:cs="Open Sans"/>
          <w:i/>
        </w:rPr>
        <w:t xml:space="preserve">necessity </w:t>
      </w:r>
      <w:r w:rsidRPr="00D611D8">
        <w:rPr>
          <w:rFonts w:cs="Open Sans"/>
        </w:rPr>
        <w:t>of giving or varying a notice is not a</w:t>
      </w:r>
      <w:r w:rsidR="00B7545E">
        <w:rPr>
          <w:rFonts w:cs="Open Sans"/>
        </w:rPr>
        <w:t>n essential precondition</w:t>
      </w:r>
      <w:r w:rsidRPr="00D611D8">
        <w:rPr>
          <w:rFonts w:cs="Open Sans"/>
        </w:rPr>
        <w:t xml:space="preserve"> for the issue of that notice. </w:t>
      </w:r>
      <w:r w:rsidRPr="00D611D8" w:rsidDel="00964DF7">
        <w:rPr>
          <w:rFonts w:cs="Open Sans"/>
        </w:rPr>
        <w:t>As discussed above, a measure that limits human rights cannot be justified unless it is necessary.</w:t>
      </w:r>
      <w:r w:rsidRPr="00D611D8" w:rsidDel="00964DF7">
        <w:rPr>
          <w:rStyle w:val="EndnoteReference"/>
          <w:sz w:val="24"/>
          <w:szCs w:val="24"/>
          <w:vertAlign w:val="superscript"/>
        </w:rPr>
        <w:endnoteReference w:id="99"/>
      </w:r>
    </w:p>
    <w:p w14:paraId="76B662B4" w14:textId="0C92C96C" w:rsidR="006772AE" w:rsidRPr="00365B36" w:rsidRDefault="006772AE" w:rsidP="006772AE">
      <w:pPr>
        <w:pStyle w:val="ListNumber"/>
        <w:tabs>
          <w:tab w:val="clear" w:pos="360"/>
          <w:tab w:val="num" w:pos="993"/>
          <w:tab w:val="left" w:pos="1418"/>
        </w:tabs>
        <w:ind w:left="709" w:hanging="567"/>
        <w:rPr>
          <w:rFonts w:cs="Open Sans"/>
        </w:rPr>
      </w:pPr>
      <w:r w:rsidRPr="00365B36">
        <w:rPr>
          <w:rFonts w:cs="Open Sans"/>
        </w:rPr>
        <w:t xml:space="preserve">The Commission considers that </w:t>
      </w:r>
      <w:r w:rsidR="00993311">
        <w:rPr>
          <w:rFonts w:cs="Open Sans"/>
        </w:rPr>
        <w:t>requiring</w:t>
      </w:r>
      <w:r w:rsidRPr="00365B36">
        <w:rPr>
          <w:rFonts w:cs="Open Sans"/>
        </w:rPr>
        <w:t xml:space="preserve"> the decision maker</w:t>
      </w:r>
      <w:r w:rsidR="00993311">
        <w:rPr>
          <w:rFonts w:cs="Open Sans"/>
        </w:rPr>
        <w:t xml:space="preserve"> to</w:t>
      </w:r>
      <w:r w:rsidRPr="00365B36">
        <w:rPr>
          <w:rFonts w:cs="Open Sans"/>
        </w:rPr>
        <w:t xml:space="preserve"> be satisfied </w:t>
      </w:r>
      <w:r w:rsidR="006350C0">
        <w:rPr>
          <w:rFonts w:cs="Open Sans"/>
        </w:rPr>
        <w:t xml:space="preserve">of </w:t>
      </w:r>
      <w:r w:rsidRPr="00365B36">
        <w:rPr>
          <w:rFonts w:cs="Open Sans"/>
        </w:rPr>
        <w:t xml:space="preserve">the ‘necessity’ of giving or varying a notice </w:t>
      </w:r>
      <w:r w:rsidR="00B7545E">
        <w:rPr>
          <w:rFonts w:cs="Open Sans"/>
        </w:rPr>
        <w:t>would be</w:t>
      </w:r>
      <w:r w:rsidRPr="00365B36">
        <w:rPr>
          <w:rFonts w:cs="Open Sans"/>
        </w:rPr>
        <w:t xml:space="preserve"> a more effective safeguard, and </w:t>
      </w:r>
      <w:r w:rsidR="00B7545E">
        <w:rPr>
          <w:rFonts w:cs="Open Sans"/>
        </w:rPr>
        <w:t>would</w:t>
      </w:r>
      <w:r w:rsidRPr="00365B36">
        <w:rPr>
          <w:rFonts w:cs="Open Sans"/>
        </w:rPr>
        <w:t xml:space="preserve"> substantially enhance the compliance of the scheme with Australia’s international human rights law obligations. </w:t>
      </w:r>
    </w:p>
    <w:p w14:paraId="26BF2956" w14:textId="0DF067F0" w:rsidR="002222AF" w:rsidRPr="00D611D8" w:rsidRDefault="002222AF" w:rsidP="002222AF">
      <w:pPr>
        <w:pStyle w:val="ListNumber"/>
        <w:tabs>
          <w:tab w:val="clear" w:pos="360"/>
          <w:tab w:val="num" w:pos="993"/>
          <w:tab w:val="left" w:pos="1418"/>
        </w:tabs>
        <w:ind w:left="709" w:hanging="567"/>
        <w:rPr>
          <w:rFonts w:cs="Open Sans"/>
        </w:rPr>
      </w:pPr>
      <w:r w:rsidRPr="00D611D8">
        <w:rPr>
          <w:rFonts w:cs="Open Sans"/>
        </w:rPr>
        <w:t>Another issue with the decision-making criteria is a potential gap in their interaction with the ‘systemic weakness’ limitation in proposed s</w:t>
      </w:r>
      <w:r>
        <w:rPr>
          <w:rFonts w:cs="Open Sans"/>
        </w:rPr>
        <w:t> </w:t>
      </w:r>
      <w:r w:rsidRPr="00D611D8">
        <w:rPr>
          <w:rFonts w:cs="Open Sans"/>
        </w:rPr>
        <w:t xml:space="preserve">317ZG. As discussed above, this limitation provides that a notice cannot have the </w:t>
      </w:r>
      <w:r w:rsidRPr="00D611D8">
        <w:rPr>
          <w:rFonts w:cs="Open Sans"/>
        </w:rPr>
        <w:lastRenderedPageBreak/>
        <w:t xml:space="preserve">effect of requiring a provider to build or implement a systemic weakness or systemic vulnerability into a form of electronic protection. This is a key cybersecurity safeguard that seeks to prevent the weakening of encryption at a systemic level, and thereby reduce the risk of large-scale </w:t>
      </w:r>
      <w:r w:rsidR="00697E59">
        <w:rPr>
          <w:rFonts w:cs="Open Sans"/>
        </w:rPr>
        <w:t xml:space="preserve">hacking or </w:t>
      </w:r>
      <w:r w:rsidRPr="00D611D8">
        <w:rPr>
          <w:rFonts w:cs="Open Sans"/>
        </w:rPr>
        <w:t>data breaches. This will commensurately reduce the risk of far-reaching and detrimental impacts on the right to privacy.</w:t>
      </w:r>
      <w:r w:rsidR="0038253F">
        <w:rPr>
          <w:rFonts w:cs="Open Sans"/>
        </w:rPr>
        <w:t xml:space="preserve"> </w:t>
      </w:r>
    </w:p>
    <w:p w14:paraId="0EA19B44" w14:textId="64073CAF" w:rsidR="002222AF" w:rsidRPr="00D611D8" w:rsidRDefault="002222AF" w:rsidP="002222AF">
      <w:pPr>
        <w:pStyle w:val="ListNumber"/>
        <w:tabs>
          <w:tab w:val="clear" w:pos="360"/>
          <w:tab w:val="num" w:pos="993"/>
          <w:tab w:val="left" w:pos="1418"/>
        </w:tabs>
        <w:ind w:left="709" w:hanging="567"/>
        <w:rPr>
          <w:rFonts w:cs="Open Sans"/>
        </w:rPr>
      </w:pPr>
      <w:r w:rsidRPr="00D611D8">
        <w:rPr>
          <w:rFonts w:cs="Open Sans"/>
        </w:rPr>
        <w:t xml:space="preserve">However, while the proposed decision-making criteria refer to the legitimate expectations of the Australian community relating to cybersecurity, </w:t>
      </w:r>
      <w:r w:rsidR="00697E59">
        <w:rPr>
          <w:rFonts w:cs="Open Sans"/>
        </w:rPr>
        <w:t>it</w:t>
      </w:r>
      <w:r w:rsidRPr="00D611D8">
        <w:rPr>
          <w:rFonts w:cs="Open Sans"/>
        </w:rPr>
        <w:t xml:space="preserve"> do</w:t>
      </w:r>
      <w:r w:rsidR="00697E59">
        <w:rPr>
          <w:rFonts w:cs="Open Sans"/>
        </w:rPr>
        <w:t>es</w:t>
      </w:r>
      <w:r w:rsidRPr="00D611D8">
        <w:rPr>
          <w:rFonts w:cs="Open Sans"/>
        </w:rPr>
        <w:t xml:space="preserve"> not explicitly require a decision maker to consider the systemic weakness provision before giving or varying a </w:t>
      </w:r>
      <w:r>
        <w:rPr>
          <w:rFonts w:cs="Open Sans"/>
        </w:rPr>
        <w:t xml:space="preserve">request or </w:t>
      </w:r>
      <w:r w:rsidRPr="00D611D8">
        <w:rPr>
          <w:rFonts w:cs="Open Sans"/>
        </w:rPr>
        <w:t>notice. With respect to a proposed TCN, there is the possibility of obtaining an assessment from a jointly appointed expert as to whether the TCN would contravene</w:t>
      </w:r>
      <w:r w:rsidR="00205E36">
        <w:rPr>
          <w:rFonts w:cs="Open Sans"/>
        </w:rPr>
        <w:t xml:space="preserve"> s </w:t>
      </w:r>
      <w:r w:rsidRPr="00D611D8">
        <w:rPr>
          <w:rFonts w:cs="Open Sans"/>
        </w:rPr>
        <w:t xml:space="preserve">317ZG, but this is </w:t>
      </w:r>
      <w:r w:rsidR="00993311">
        <w:rPr>
          <w:rFonts w:cs="Open Sans"/>
        </w:rPr>
        <w:t>not a</w:t>
      </w:r>
      <w:r w:rsidRPr="00D611D8">
        <w:rPr>
          <w:rFonts w:cs="Open Sans"/>
        </w:rPr>
        <w:t xml:space="preserve"> mandatory</w:t>
      </w:r>
      <w:r w:rsidR="00993311">
        <w:rPr>
          <w:rFonts w:cs="Open Sans"/>
        </w:rPr>
        <w:t xml:space="preserve"> requirement</w:t>
      </w:r>
      <w:r w:rsidRPr="00D611D8">
        <w:rPr>
          <w:rFonts w:cs="Open Sans"/>
        </w:rPr>
        <w:t>.</w:t>
      </w:r>
      <w:r w:rsidR="0038253F">
        <w:rPr>
          <w:rFonts w:cs="Open Sans"/>
        </w:rPr>
        <w:t xml:space="preserve"> </w:t>
      </w:r>
    </w:p>
    <w:p w14:paraId="68CE3D11" w14:textId="14E07B92" w:rsidR="002222AF" w:rsidRPr="00D611D8" w:rsidRDefault="002222AF" w:rsidP="002222AF">
      <w:pPr>
        <w:pStyle w:val="ListNumber"/>
        <w:tabs>
          <w:tab w:val="clear" w:pos="360"/>
          <w:tab w:val="num" w:pos="993"/>
          <w:tab w:val="left" w:pos="1418"/>
        </w:tabs>
        <w:ind w:left="709" w:hanging="567"/>
        <w:rPr>
          <w:rFonts w:cs="Open Sans"/>
        </w:rPr>
      </w:pPr>
      <w:r w:rsidRPr="00D611D8">
        <w:rPr>
          <w:rFonts w:cs="Open Sans"/>
        </w:rPr>
        <w:t>The Commission considers that, in order to enhance the effectiveness of the proposed</w:t>
      </w:r>
      <w:r w:rsidR="00205E36">
        <w:rPr>
          <w:rFonts w:cs="Open Sans"/>
        </w:rPr>
        <w:t xml:space="preserve"> s </w:t>
      </w:r>
      <w:r w:rsidRPr="00D611D8">
        <w:rPr>
          <w:rFonts w:cs="Open Sans"/>
        </w:rPr>
        <w:t xml:space="preserve">317ZG safeguard, the decision maker should need to be satisfied that a notice </w:t>
      </w:r>
      <w:r w:rsidR="00993311">
        <w:rPr>
          <w:rFonts w:cs="Open Sans"/>
        </w:rPr>
        <w:t xml:space="preserve">requirement </w:t>
      </w:r>
      <w:r w:rsidRPr="00D611D8">
        <w:rPr>
          <w:rFonts w:cs="Open Sans"/>
        </w:rPr>
        <w:t>will not violate the systemi</w:t>
      </w:r>
      <w:r w:rsidR="005C76C1">
        <w:rPr>
          <w:rFonts w:cs="Open Sans"/>
        </w:rPr>
        <w:t>c weakness limitation before exercising</w:t>
      </w:r>
      <w:r w:rsidRPr="00D611D8">
        <w:rPr>
          <w:rFonts w:cs="Open Sans"/>
        </w:rPr>
        <w:t xml:space="preserve"> the power to give or vary a notice. This would also enhance the overall coherence of the Bill. </w:t>
      </w:r>
    </w:p>
    <w:p w14:paraId="4B09AC50" w14:textId="13FE0F4B" w:rsidR="002222AF" w:rsidRPr="00D611D8" w:rsidRDefault="002222AF" w:rsidP="002222AF">
      <w:pPr>
        <w:pStyle w:val="ListNumber"/>
        <w:tabs>
          <w:tab w:val="clear" w:pos="360"/>
          <w:tab w:val="num" w:pos="993"/>
          <w:tab w:val="left" w:pos="1418"/>
        </w:tabs>
        <w:ind w:left="709" w:hanging="567"/>
        <w:rPr>
          <w:rFonts w:cs="Open Sans"/>
        </w:rPr>
      </w:pPr>
      <w:r w:rsidRPr="00D611D8">
        <w:rPr>
          <w:rFonts w:cs="Open Sans"/>
        </w:rPr>
        <w:t xml:space="preserve">Further, while the Bill requires the relevant decision maker to be satisfied of the proposed decision-making criteria before giving or varying a coercive TAN or TCN, the same requirement does not apply to TARs. As previously stated, the Commission considers that it is </w:t>
      </w:r>
      <w:r w:rsidR="00857B04">
        <w:rPr>
          <w:rFonts w:cs="Open Sans"/>
        </w:rPr>
        <w:t>preferable</w:t>
      </w:r>
      <w:r w:rsidRPr="00D611D8">
        <w:rPr>
          <w:rFonts w:cs="Open Sans"/>
        </w:rPr>
        <w:t xml:space="preserve"> for the same thresholds to apply to both requests and notices</w:t>
      </w:r>
      <w:r w:rsidR="00857B04">
        <w:rPr>
          <w:rFonts w:cs="Open Sans"/>
        </w:rPr>
        <w:t xml:space="preserve"> as appropriate</w:t>
      </w:r>
      <w:r w:rsidRPr="00D611D8">
        <w:rPr>
          <w:rFonts w:cs="Open Sans"/>
        </w:rPr>
        <w:t>.</w:t>
      </w:r>
      <w:r w:rsidR="0038253F">
        <w:rPr>
          <w:rFonts w:cs="Open Sans"/>
        </w:rPr>
        <w:t xml:space="preserve"> </w:t>
      </w:r>
    </w:p>
    <w:p w14:paraId="4D244B8F" w14:textId="77777777" w:rsidR="002222AF" w:rsidRPr="00D611D8" w:rsidRDefault="002222AF" w:rsidP="002222AF">
      <w:pPr>
        <w:pStyle w:val="ListNumber"/>
        <w:tabs>
          <w:tab w:val="clear" w:pos="360"/>
          <w:tab w:val="num" w:pos="993"/>
          <w:tab w:val="left" w:pos="1418"/>
        </w:tabs>
        <w:ind w:left="709" w:hanging="567"/>
        <w:rPr>
          <w:rFonts w:cs="Open Sans"/>
        </w:rPr>
      </w:pPr>
      <w:r w:rsidRPr="00D611D8">
        <w:rPr>
          <w:rFonts w:cs="Open Sans"/>
        </w:rPr>
        <w:t>The Commission recommends that:</w:t>
      </w:r>
    </w:p>
    <w:p w14:paraId="04738645" w14:textId="149D5F74" w:rsidR="002222AF" w:rsidRPr="00D611D8" w:rsidRDefault="002222AF" w:rsidP="00EF0AF4">
      <w:pPr>
        <w:pStyle w:val="ListNumber"/>
        <w:keepNext/>
        <w:numPr>
          <w:ilvl w:val="0"/>
          <w:numId w:val="0"/>
        </w:numPr>
        <w:tabs>
          <w:tab w:val="left" w:pos="1418"/>
        </w:tabs>
        <w:ind w:left="709"/>
        <w:rPr>
          <w:rFonts w:cs="Open Sans"/>
          <w:b/>
        </w:rPr>
      </w:pPr>
      <w:r w:rsidRPr="00D611D8">
        <w:rPr>
          <w:rFonts w:cs="Open Sans"/>
          <w:b/>
        </w:rPr>
        <w:t xml:space="preserve">Recommendation </w:t>
      </w:r>
      <w:r w:rsidR="003E54A3">
        <w:rPr>
          <w:rFonts w:cs="Open Sans"/>
          <w:b/>
        </w:rPr>
        <w:t>8</w:t>
      </w:r>
    </w:p>
    <w:p w14:paraId="5EF2A5F5" w14:textId="688D66AA" w:rsidR="002222AF" w:rsidRPr="00D611D8" w:rsidRDefault="002222AF" w:rsidP="00C80407">
      <w:pPr>
        <w:pStyle w:val="ListNumber"/>
        <w:numPr>
          <w:ilvl w:val="0"/>
          <w:numId w:val="0"/>
        </w:numPr>
        <w:tabs>
          <w:tab w:val="left" w:pos="1418"/>
        </w:tabs>
        <w:ind w:left="709"/>
        <w:rPr>
          <w:rFonts w:cs="Open Sans"/>
        </w:rPr>
      </w:pPr>
      <w:r w:rsidRPr="00D611D8">
        <w:rPr>
          <w:rFonts w:cs="Open Sans"/>
        </w:rPr>
        <w:t>The decision-making criteria in proposed</w:t>
      </w:r>
      <w:r w:rsidR="00205E36">
        <w:rPr>
          <w:rFonts w:cs="Open Sans"/>
        </w:rPr>
        <w:t xml:space="preserve"> ss </w:t>
      </w:r>
      <w:r w:rsidRPr="00D611D8">
        <w:rPr>
          <w:rFonts w:cs="Open Sans"/>
        </w:rPr>
        <w:t xml:space="preserve">317P, 317Q(10), 317V and 317X(4) of the </w:t>
      </w:r>
      <w:r w:rsidRPr="00D611D8">
        <w:rPr>
          <w:rFonts w:cs="Open Sans"/>
          <w:i/>
        </w:rPr>
        <w:t xml:space="preserve">Telecommunications Act 1997 </w:t>
      </w:r>
      <w:r w:rsidRPr="00D611D8">
        <w:rPr>
          <w:rFonts w:cs="Open Sans"/>
        </w:rPr>
        <w:t>(Cth) be amended to include</w:t>
      </w:r>
      <w:r w:rsidR="00F27A1F">
        <w:rPr>
          <w:rFonts w:cs="Open Sans"/>
        </w:rPr>
        <w:t xml:space="preserve"> a</w:t>
      </w:r>
      <w:r w:rsidRPr="00D611D8">
        <w:rPr>
          <w:rFonts w:cs="Open Sans"/>
        </w:rPr>
        <w:t xml:space="preserve"> require</w:t>
      </w:r>
      <w:r w:rsidR="00F27A1F">
        <w:rPr>
          <w:rFonts w:cs="Open Sans"/>
        </w:rPr>
        <w:t>ment</w:t>
      </w:r>
      <w:r w:rsidRPr="00D611D8">
        <w:rPr>
          <w:rFonts w:cs="Open Sans"/>
        </w:rPr>
        <w:t xml:space="preserve"> that the decision maker be satisfied </w:t>
      </w:r>
      <w:r w:rsidR="00946B7A">
        <w:rPr>
          <w:rFonts w:cs="Open Sans"/>
        </w:rPr>
        <w:t>of</w:t>
      </w:r>
      <w:r w:rsidRPr="00D611D8">
        <w:rPr>
          <w:rFonts w:cs="Open Sans"/>
        </w:rPr>
        <w:t xml:space="preserve"> the ‘necessity’ of giving or varying a notice.</w:t>
      </w:r>
    </w:p>
    <w:p w14:paraId="1DD59E3E" w14:textId="79C233B2" w:rsidR="002222AF" w:rsidRPr="00D611D8" w:rsidRDefault="002222AF" w:rsidP="00C80407">
      <w:pPr>
        <w:pStyle w:val="ListNumber"/>
        <w:keepNext/>
        <w:numPr>
          <w:ilvl w:val="0"/>
          <w:numId w:val="0"/>
        </w:numPr>
        <w:tabs>
          <w:tab w:val="left" w:pos="1418"/>
        </w:tabs>
        <w:ind w:left="709"/>
        <w:rPr>
          <w:rFonts w:cs="Open Sans"/>
          <w:b/>
        </w:rPr>
      </w:pPr>
      <w:r w:rsidRPr="00D611D8">
        <w:rPr>
          <w:rFonts w:cs="Open Sans"/>
          <w:b/>
        </w:rPr>
        <w:t xml:space="preserve">Recommendation </w:t>
      </w:r>
      <w:r w:rsidR="003E54A3">
        <w:rPr>
          <w:rFonts w:cs="Open Sans"/>
          <w:b/>
        </w:rPr>
        <w:t>9</w:t>
      </w:r>
    </w:p>
    <w:p w14:paraId="27247C21" w14:textId="0A0701AF" w:rsidR="002222AF" w:rsidRPr="00D611D8" w:rsidRDefault="002222AF" w:rsidP="002222AF">
      <w:pPr>
        <w:pStyle w:val="ListNumber"/>
        <w:numPr>
          <w:ilvl w:val="0"/>
          <w:numId w:val="0"/>
        </w:numPr>
        <w:tabs>
          <w:tab w:val="left" w:pos="1418"/>
        </w:tabs>
        <w:ind w:left="709"/>
        <w:rPr>
          <w:rFonts w:cs="Open Sans"/>
        </w:rPr>
      </w:pPr>
      <w:r w:rsidRPr="00D611D8">
        <w:rPr>
          <w:rFonts w:cs="Open Sans"/>
        </w:rPr>
        <w:t>The decision-making criteria in proposed</w:t>
      </w:r>
      <w:r w:rsidR="00205E36">
        <w:rPr>
          <w:rFonts w:cs="Open Sans"/>
        </w:rPr>
        <w:t xml:space="preserve"> ss </w:t>
      </w:r>
      <w:r w:rsidRPr="00D611D8">
        <w:rPr>
          <w:rFonts w:cs="Open Sans"/>
        </w:rPr>
        <w:t xml:space="preserve">317RA and 317ZAA of the </w:t>
      </w:r>
      <w:r w:rsidRPr="00D611D8">
        <w:rPr>
          <w:rFonts w:cs="Open Sans"/>
          <w:i/>
        </w:rPr>
        <w:t xml:space="preserve">Telecommunications Act 1997 </w:t>
      </w:r>
      <w:r w:rsidRPr="00D611D8">
        <w:rPr>
          <w:rFonts w:cs="Open Sans"/>
        </w:rPr>
        <w:t>(Cth) be amended to</w:t>
      </w:r>
      <w:r w:rsidR="00D954A1">
        <w:rPr>
          <w:rFonts w:cs="Open Sans"/>
        </w:rPr>
        <w:t xml:space="preserve"> </w:t>
      </w:r>
      <w:r w:rsidR="00F27A1F">
        <w:rPr>
          <w:rFonts w:cs="Open Sans"/>
        </w:rPr>
        <w:t>include a</w:t>
      </w:r>
      <w:r w:rsidRPr="00D611D8">
        <w:rPr>
          <w:rFonts w:cs="Open Sans"/>
        </w:rPr>
        <w:t xml:space="preserve"> require</w:t>
      </w:r>
      <w:r w:rsidR="00F27A1F">
        <w:rPr>
          <w:rFonts w:cs="Open Sans"/>
        </w:rPr>
        <w:t>ment that</w:t>
      </w:r>
      <w:r w:rsidRPr="00D611D8">
        <w:rPr>
          <w:rFonts w:cs="Open Sans"/>
        </w:rPr>
        <w:t xml:space="preserve"> the decision maker be satisfied that the giving or varying of a notice would not require the recipient to breach the s</w:t>
      </w:r>
      <w:r w:rsidR="00DB5E95">
        <w:rPr>
          <w:rFonts w:cs="Open Sans"/>
        </w:rPr>
        <w:t> </w:t>
      </w:r>
      <w:r w:rsidRPr="00D611D8">
        <w:rPr>
          <w:rFonts w:cs="Open Sans"/>
        </w:rPr>
        <w:t>317ZG systemic weakness limitation.</w:t>
      </w:r>
    </w:p>
    <w:p w14:paraId="3DBABC08" w14:textId="7E3CA71C" w:rsidR="002222AF" w:rsidRPr="00D611D8" w:rsidRDefault="002222AF" w:rsidP="00C80407">
      <w:pPr>
        <w:pStyle w:val="ListNumber"/>
        <w:keepNext/>
        <w:numPr>
          <w:ilvl w:val="0"/>
          <w:numId w:val="0"/>
        </w:numPr>
        <w:tabs>
          <w:tab w:val="left" w:pos="1418"/>
        </w:tabs>
        <w:ind w:left="709"/>
        <w:rPr>
          <w:rFonts w:cs="Open Sans"/>
          <w:b/>
        </w:rPr>
      </w:pPr>
      <w:r w:rsidRPr="006772AE">
        <w:rPr>
          <w:rFonts w:cs="Open Sans"/>
          <w:b/>
        </w:rPr>
        <w:lastRenderedPageBreak/>
        <w:t>Recommendation 1</w:t>
      </w:r>
      <w:r w:rsidR="003E54A3">
        <w:rPr>
          <w:rFonts w:cs="Open Sans"/>
          <w:b/>
        </w:rPr>
        <w:t>0</w:t>
      </w:r>
    </w:p>
    <w:p w14:paraId="105CF64B" w14:textId="5FBF43F9" w:rsidR="00D954A1" w:rsidRPr="00365B36" w:rsidRDefault="002222AF" w:rsidP="00D954A1">
      <w:pPr>
        <w:ind w:left="720"/>
        <w:rPr>
          <w:rFonts w:eastAsia="Calibri" w:cs="Open Sans"/>
          <w:lang w:eastAsia="en-US"/>
        </w:rPr>
      </w:pPr>
      <w:r w:rsidRPr="00D611D8">
        <w:rPr>
          <w:rFonts w:cs="Open Sans"/>
        </w:rPr>
        <w:t>The decision-making criteria in proposed</w:t>
      </w:r>
      <w:r w:rsidR="00205E36">
        <w:rPr>
          <w:rFonts w:cs="Open Sans"/>
        </w:rPr>
        <w:t xml:space="preserve"> ss </w:t>
      </w:r>
      <w:r w:rsidRPr="00D611D8">
        <w:rPr>
          <w:rFonts w:cs="Open Sans"/>
        </w:rPr>
        <w:t xml:space="preserve">317RA and 317ZAA of the </w:t>
      </w:r>
      <w:r w:rsidRPr="00D611D8">
        <w:rPr>
          <w:rFonts w:cs="Open Sans"/>
          <w:i/>
        </w:rPr>
        <w:t xml:space="preserve">Telecommunications Act 1997 </w:t>
      </w:r>
      <w:r w:rsidRPr="00D611D8">
        <w:rPr>
          <w:rFonts w:cs="Open Sans"/>
        </w:rPr>
        <w:t xml:space="preserve">(Cth) be amended to </w:t>
      </w:r>
      <w:r w:rsidR="00D954A1">
        <w:rPr>
          <w:rFonts w:eastAsia="Calibri" w:cs="Open Sans"/>
          <w:lang w:eastAsia="en-US"/>
        </w:rPr>
        <w:t xml:space="preserve">also </w:t>
      </w:r>
      <w:r w:rsidR="00D954A1" w:rsidRPr="00365B36">
        <w:rPr>
          <w:rFonts w:eastAsia="Calibri" w:cs="Open Sans"/>
          <w:lang w:eastAsia="en-US"/>
        </w:rPr>
        <w:t xml:space="preserve">require that the decision maker be satisfied on reasonable grounds that: </w:t>
      </w:r>
    </w:p>
    <w:p w14:paraId="59614F05" w14:textId="56E482D5" w:rsidR="00D954A1" w:rsidRPr="00365B36" w:rsidRDefault="00D954A1" w:rsidP="0061758B">
      <w:pPr>
        <w:pStyle w:val="ListParagraph"/>
        <w:numPr>
          <w:ilvl w:val="0"/>
          <w:numId w:val="104"/>
        </w:numPr>
        <w:spacing w:before="120" w:after="120"/>
        <w:rPr>
          <w:rFonts w:eastAsia="Calibri" w:cs="Open Sans"/>
          <w:lang w:eastAsia="en-US"/>
        </w:rPr>
      </w:pPr>
      <w:r w:rsidRPr="00365B36">
        <w:rPr>
          <w:rFonts w:eastAsia="Calibri" w:cs="Open Sans"/>
          <w:lang w:eastAsia="en-US"/>
        </w:rPr>
        <w:t xml:space="preserve">any interferences with privacy </w:t>
      </w:r>
    </w:p>
    <w:p w14:paraId="0521605E" w14:textId="77E165B0" w:rsidR="00D954A1" w:rsidRPr="00365B36" w:rsidRDefault="00D954A1" w:rsidP="0061758B">
      <w:pPr>
        <w:pStyle w:val="ListParagraph"/>
        <w:numPr>
          <w:ilvl w:val="0"/>
          <w:numId w:val="104"/>
        </w:numPr>
        <w:spacing w:before="120" w:after="120"/>
        <w:rPr>
          <w:rFonts w:eastAsia="Calibri" w:cs="Open Sans"/>
          <w:lang w:eastAsia="en-US"/>
        </w:rPr>
      </w:pPr>
      <w:r w:rsidRPr="00365B36">
        <w:rPr>
          <w:rFonts w:eastAsia="Calibri" w:cs="Open Sans"/>
          <w:lang w:eastAsia="en-US"/>
        </w:rPr>
        <w:t>any interferences with other human rights including the right to freedom of expression and the right to an effective remedy and</w:t>
      </w:r>
    </w:p>
    <w:p w14:paraId="6C7A98B0" w14:textId="33BAD19F" w:rsidR="00D954A1" w:rsidRPr="00365B36" w:rsidRDefault="00D954A1" w:rsidP="0061758B">
      <w:pPr>
        <w:pStyle w:val="ListParagraph"/>
        <w:numPr>
          <w:ilvl w:val="0"/>
          <w:numId w:val="104"/>
        </w:numPr>
        <w:spacing w:before="120" w:after="120"/>
        <w:rPr>
          <w:rFonts w:eastAsia="Calibri" w:cs="Open Sans"/>
          <w:lang w:eastAsia="en-US"/>
        </w:rPr>
      </w:pPr>
      <w:r w:rsidRPr="00365B36">
        <w:rPr>
          <w:rFonts w:eastAsia="Calibri" w:cs="Open Sans"/>
          <w:lang w:eastAsia="en-US"/>
        </w:rPr>
        <w:t xml:space="preserve">any impacts on innocent third parties, including the consequences of a provider’s immunity from civil liability </w:t>
      </w:r>
    </w:p>
    <w:p w14:paraId="36408E07" w14:textId="77777777" w:rsidR="00D954A1" w:rsidRPr="00365B36" w:rsidRDefault="00D954A1" w:rsidP="0061758B">
      <w:pPr>
        <w:spacing w:before="120" w:after="120"/>
        <w:ind w:left="1080"/>
        <w:rPr>
          <w:rFonts w:eastAsia="Calibri" w:cs="Open Sans"/>
          <w:lang w:eastAsia="en-US"/>
        </w:rPr>
      </w:pPr>
      <w:r w:rsidRPr="00365B36">
        <w:rPr>
          <w:rFonts w:eastAsia="Calibri" w:cs="Open Sans"/>
          <w:lang w:eastAsia="en-US"/>
        </w:rPr>
        <w:t>are reasonable, necessary and proportionate by reference to a detailed</w:t>
      </w:r>
      <w:r>
        <w:rPr>
          <w:rFonts w:eastAsia="Calibri" w:cs="Open Sans"/>
          <w:lang w:eastAsia="en-US"/>
        </w:rPr>
        <w:t>, non-exhaustive</w:t>
      </w:r>
      <w:r w:rsidRPr="00365B36">
        <w:rPr>
          <w:rFonts w:eastAsia="Calibri" w:cs="Open Sans"/>
          <w:lang w:eastAsia="en-US"/>
        </w:rPr>
        <w:t xml:space="preserve"> list of considerations, such as the seriousness of any offence under investigation.</w:t>
      </w:r>
    </w:p>
    <w:p w14:paraId="5C1CB0E1" w14:textId="14A27B2B" w:rsidR="002222AF" w:rsidRPr="00AA1A20" w:rsidRDefault="002222AF" w:rsidP="00857B04">
      <w:pPr>
        <w:pStyle w:val="ListNumber"/>
        <w:keepNext/>
        <w:numPr>
          <w:ilvl w:val="0"/>
          <w:numId w:val="0"/>
        </w:numPr>
        <w:tabs>
          <w:tab w:val="left" w:pos="1418"/>
        </w:tabs>
        <w:ind w:left="709"/>
        <w:rPr>
          <w:rFonts w:cs="Open Sans"/>
          <w:b/>
        </w:rPr>
      </w:pPr>
      <w:r w:rsidRPr="00AA1A20">
        <w:rPr>
          <w:rFonts w:cs="Open Sans"/>
          <w:b/>
        </w:rPr>
        <w:t>Recommendation 1</w:t>
      </w:r>
      <w:r w:rsidR="003E54A3">
        <w:rPr>
          <w:rFonts w:cs="Open Sans"/>
          <w:b/>
        </w:rPr>
        <w:t>1</w:t>
      </w:r>
    </w:p>
    <w:p w14:paraId="53BA7DFB" w14:textId="3C565770" w:rsidR="002222AF" w:rsidRDefault="002222AF" w:rsidP="002222AF">
      <w:pPr>
        <w:pStyle w:val="ListNumber"/>
        <w:numPr>
          <w:ilvl w:val="0"/>
          <w:numId w:val="0"/>
        </w:numPr>
        <w:tabs>
          <w:tab w:val="left" w:pos="1418"/>
        </w:tabs>
        <w:ind w:left="709"/>
        <w:rPr>
          <w:rFonts w:cs="Open Sans"/>
        </w:rPr>
      </w:pPr>
      <w:r w:rsidRPr="00AA1A20">
        <w:rPr>
          <w:rFonts w:cs="Open Sans"/>
        </w:rPr>
        <w:t>Proposed</w:t>
      </w:r>
      <w:r w:rsidR="00205E36">
        <w:rPr>
          <w:rFonts w:cs="Open Sans"/>
        </w:rPr>
        <w:t xml:space="preserve"> s </w:t>
      </w:r>
      <w:r w:rsidRPr="00AA1A20">
        <w:rPr>
          <w:rFonts w:cs="Open Sans"/>
        </w:rPr>
        <w:t xml:space="preserve">317G of the </w:t>
      </w:r>
      <w:r w:rsidRPr="00AA1A20">
        <w:rPr>
          <w:rFonts w:cs="Open Sans"/>
          <w:i/>
        </w:rPr>
        <w:t xml:space="preserve">Telecommunications Act 1997 </w:t>
      </w:r>
      <w:r w:rsidRPr="00AA1A20">
        <w:rPr>
          <w:rFonts w:cs="Open Sans"/>
        </w:rPr>
        <w:t xml:space="preserve">(Cth) be amended to insert a provision setting out the decision-making criteria applicable to the issue of TARs, in </w:t>
      </w:r>
      <w:r w:rsidR="00B2251A">
        <w:rPr>
          <w:rFonts w:cs="Open Sans"/>
        </w:rPr>
        <w:t>commensurate</w:t>
      </w:r>
      <w:r w:rsidRPr="00AA1A20">
        <w:rPr>
          <w:rFonts w:cs="Open Sans"/>
        </w:rPr>
        <w:t xml:space="preserve"> terms as those applicable to TANs and TCNs.</w:t>
      </w:r>
    </w:p>
    <w:p w14:paraId="04BF5BA7" w14:textId="5A07AC42" w:rsidR="005C0C97" w:rsidRPr="008C23C7" w:rsidRDefault="005C0C97" w:rsidP="005C0C97">
      <w:pPr>
        <w:pStyle w:val="Heading3"/>
        <w:spacing w:after="240"/>
        <w:rPr>
          <w:rFonts w:cs="Open Sans"/>
          <w:b/>
          <w:i/>
        </w:rPr>
      </w:pPr>
      <w:bookmarkStart w:id="145" w:name="_Toc523905353"/>
      <w:bookmarkStart w:id="146" w:name="_Ref526839318"/>
      <w:bookmarkStart w:id="147" w:name="_Toc527107807"/>
      <w:r w:rsidRPr="008C23C7">
        <w:rPr>
          <w:rFonts w:cs="Open Sans"/>
          <w:b/>
          <w:i/>
        </w:rPr>
        <w:t>Duration of requests and notices</w:t>
      </w:r>
      <w:bookmarkEnd w:id="145"/>
      <w:bookmarkEnd w:id="146"/>
      <w:bookmarkEnd w:id="147"/>
    </w:p>
    <w:p w14:paraId="3C2BB750" w14:textId="247E1046" w:rsidR="005C0C97" w:rsidRDefault="005C0C97" w:rsidP="005C0C97">
      <w:pPr>
        <w:pStyle w:val="ListNumber"/>
        <w:tabs>
          <w:tab w:val="clear" w:pos="360"/>
          <w:tab w:val="num" w:pos="993"/>
          <w:tab w:val="left" w:pos="1418"/>
        </w:tabs>
        <w:ind w:left="709" w:hanging="567"/>
        <w:rPr>
          <w:rFonts w:cs="Open Sans"/>
        </w:rPr>
      </w:pPr>
      <w:r w:rsidRPr="009E184F">
        <w:rPr>
          <w:rFonts w:cs="Open Sans"/>
        </w:rPr>
        <w:t xml:space="preserve">A TAR and TAN will remain in force until the expiry date specified in a request or notice, or, where no date is specified, at the end of a 90 day period after </w:t>
      </w:r>
      <w:r w:rsidR="005C76C1">
        <w:rPr>
          <w:rFonts w:cs="Open Sans"/>
        </w:rPr>
        <w:t>it is given</w:t>
      </w:r>
      <w:r w:rsidRPr="009E184F">
        <w:rPr>
          <w:rFonts w:cs="Open Sans"/>
        </w:rPr>
        <w:t>.</w:t>
      </w:r>
      <w:r w:rsidRPr="0034566E">
        <w:rPr>
          <w:rStyle w:val="EndnoteReference"/>
          <w:vertAlign w:val="superscript"/>
        </w:rPr>
        <w:endnoteReference w:id="100"/>
      </w:r>
      <w:r w:rsidRPr="009E184F">
        <w:rPr>
          <w:rFonts w:cs="Open Sans"/>
        </w:rPr>
        <w:t xml:space="preserve"> A TCN will remain in force until the expiry date specified in the notice, or otherwise at the end of a 180 day period after </w:t>
      </w:r>
      <w:r w:rsidR="005C76C1">
        <w:rPr>
          <w:rFonts w:cs="Open Sans"/>
        </w:rPr>
        <w:t>it is given</w:t>
      </w:r>
      <w:r w:rsidRPr="009E184F">
        <w:rPr>
          <w:rFonts w:cs="Open Sans"/>
        </w:rPr>
        <w:t>.</w:t>
      </w:r>
      <w:r w:rsidRPr="0034566E">
        <w:rPr>
          <w:rStyle w:val="EndnoteReference"/>
          <w:vertAlign w:val="superscript"/>
        </w:rPr>
        <w:endnoteReference w:id="101"/>
      </w:r>
      <w:r w:rsidRPr="0034566E">
        <w:rPr>
          <w:rFonts w:cs="Open Sans"/>
          <w:vertAlign w:val="superscript"/>
        </w:rPr>
        <w:t xml:space="preserve"> </w:t>
      </w:r>
    </w:p>
    <w:p w14:paraId="742440E4" w14:textId="5107300C" w:rsidR="005C0C97" w:rsidRPr="004D7540" w:rsidRDefault="005C0C97" w:rsidP="005C0C97">
      <w:pPr>
        <w:pStyle w:val="ListNumber"/>
        <w:tabs>
          <w:tab w:val="clear" w:pos="360"/>
          <w:tab w:val="num" w:pos="993"/>
          <w:tab w:val="left" w:pos="1418"/>
        </w:tabs>
        <w:ind w:left="709" w:hanging="567"/>
        <w:rPr>
          <w:rFonts w:cs="Open Sans"/>
        </w:rPr>
      </w:pPr>
      <w:r w:rsidRPr="004D7540">
        <w:rPr>
          <w:rFonts w:cs="Open Sans"/>
        </w:rPr>
        <w:t xml:space="preserve">Therefore, the </w:t>
      </w:r>
      <w:r w:rsidR="000A4DD2">
        <w:rPr>
          <w:rFonts w:cs="Open Sans"/>
        </w:rPr>
        <w:t>scheme</w:t>
      </w:r>
      <w:r w:rsidR="000A4DD2" w:rsidRPr="004D7540">
        <w:rPr>
          <w:rFonts w:cs="Open Sans"/>
        </w:rPr>
        <w:t xml:space="preserve"> </w:t>
      </w:r>
      <w:r w:rsidRPr="004D7540">
        <w:rPr>
          <w:rFonts w:cs="Open Sans"/>
        </w:rPr>
        <w:t xml:space="preserve">permits agencies to stipulate </w:t>
      </w:r>
      <w:r w:rsidRPr="004D7540">
        <w:rPr>
          <w:rFonts w:cs="Open Sans"/>
          <w:i/>
        </w:rPr>
        <w:t>any</w:t>
      </w:r>
      <w:r w:rsidRPr="004D7540">
        <w:rPr>
          <w:rFonts w:cs="Open Sans"/>
        </w:rPr>
        <w:t xml:space="preserve"> time period for a request or notice to be in force, which could include a very lengthy duration, for example 10 years. The Bill also contemplates the making of standing request</w:t>
      </w:r>
      <w:r w:rsidRPr="0011498D">
        <w:rPr>
          <w:rFonts w:cs="Open Sans"/>
        </w:rPr>
        <w:t xml:space="preserve">s or notices, noting </w:t>
      </w:r>
      <w:r w:rsidR="00C41D85">
        <w:rPr>
          <w:rFonts w:cs="Open Sans"/>
        </w:rPr>
        <w:t xml:space="preserve">that </w:t>
      </w:r>
      <w:r w:rsidRPr="0011498D">
        <w:rPr>
          <w:rFonts w:cs="Open Sans"/>
        </w:rPr>
        <w:t>the definition of ‘access’ in</w:t>
      </w:r>
      <w:r w:rsidR="00205E36">
        <w:rPr>
          <w:rFonts w:cs="Open Sans"/>
        </w:rPr>
        <w:t xml:space="preserve"> s </w:t>
      </w:r>
      <w:r w:rsidRPr="0011498D">
        <w:rPr>
          <w:rFonts w:cs="Open Sans"/>
        </w:rPr>
        <w:t xml:space="preserve">317B includes a ‘standing request’. </w:t>
      </w:r>
    </w:p>
    <w:p w14:paraId="2DDA59F3" w14:textId="77777777" w:rsidR="005C0C97" w:rsidRDefault="005C0C97" w:rsidP="005C0C97">
      <w:pPr>
        <w:pStyle w:val="ListNumber"/>
        <w:tabs>
          <w:tab w:val="clear" w:pos="360"/>
          <w:tab w:val="num" w:pos="993"/>
          <w:tab w:val="left" w:pos="1418"/>
        </w:tabs>
        <w:ind w:left="709" w:hanging="567"/>
        <w:rPr>
          <w:rFonts w:cs="Open Sans"/>
        </w:rPr>
      </w:pPr>
      <w:r>
        <w:rPr>
          <w:rFonts w:cs="Open Sans"/>
        </w:rPr>
        <w:t>There is no limit on the number of requests or notices that can be issued to one provider.</w:t>
      </w:r>
      <w:r w:rsidRPr="00DC3C31">
        <w:rPr>
          <w:rFonts w:cs="Open Sans"/>
        </w:rPr>
        <w:t xml:space="preserve"> </w:t>
      </w:r>
      <w:r w:rsidRPr="009E184F">
        <w:rPr>
          <w:rFonts w:cs="Open Sans"/>
        </w:rPr>
        <w:t>A fresh request or notice may be issued in the same terms as an expired request or notice.</w:t>
      </w:r>
    </w:p>
    <w:p w14:paraId="2CB98124" w14:textId="3C1C5C39" w:rsidR="005C0C97" w:rsidRDefault="005C0C97" w:rsidP="005C0C97">
      <w:pPr>
        <w:pStyle w:val="ListNumber"/>
        <w:tabs>
          <w:tab w:val="clear" w:pos="360"/>
          <w:tab w:val="num" w:pos="993"/>
          <w:tab w:val="left" w:pos="1418"/>
        </w:tabs>
        <w:ind w:left="709" w:hanging="567"/>
        <w:rPr>
          <w:rFonts w:cs="Open Sans"/>
        </w:rPr>
      </w:pPr>
      <w:r>
        <w:rPr>
          <w:rFonts w:cs="Open Sans"/>
        </w:rPr>
        <w:t xml:space="preserve">As a result of these broad provisions </w:t>
      </w:r>
      <w:r w:rsidR="00B216D2">
        <w:rPr>
          <w:rFonts w:cs="Open Sans"/>
        </w:rPr>
        <w:t>governing duration</w:t>
      </w:r>
      <w:r>
        <w:rPr>
          <w:rFonts w:cs="Open Sans"/>
        </w:rPr>
        <w:t>, there is the potential for requests and notices to impose onerous obligations on providers. While proposed</w:t>
      </w:r>
      <w:r w:rsidR="00205E36">
        <w:rPr>
          <w:rFonts w:cs="Open Sans"/>
        </w:rPr>
        <w:t xml:space="preserve"> s </w:t>
      </w:r>
      <w:r>
        <w:rPr>
          <w:rFonts w:cs="Open Sans"/>
        </w:rPr>
        <w:t>317ZK(3) provides that the recipient of a notice must neither profit nor bear the reasonable costs of compliance (a no-profit no-loss model),</w:t>
      </w:r>
      <w:r w:rsidRPr="0034566E">
        <w:rPr>
          <w:rStyle w:val="EndnoteReference"/>
          <w:vertAlign w:val="superscript"/>
        </w:rPr>
        <w:endnoteReference w:id="102"/>
      </w:r>
      <w:r>
        <w:rPr>
          <w:rFonts w:cs="Open Sans"/>
        </w:rPr>
        <w:t xml:space="preserve"> the payment of a provider’s full costs is not </w:t>
      </w:r>
      <w:r>
        <w:rPr>
          <w:rFonts w:cs="Open Sans"/>
        </w:rPr>
        <w:lastRenderedPageBreak/>
        <w:t>guaranteed. This provision allows for a provider and a costs negotiator to come to an agreement on costs, but if costs cannot be agreed they are subject to arbitration. Further, in some circumstances a decision</w:t>
      </w:r>
      <w:r w:rsidR="005C76C1">
        <w:rPr>
          <w:rFonts w:cs="Open Sans"/>
        </w:rPr>
        <w:t xml:space="preserve"> </w:t>
      </w:r>
      <w:r>
        <w:rPr>
          <w:rFonts w:cs="Open Sans"/>
        </w:rPr>
        <w:t xml:space="preserve">maker can determine that it is contrary to the public interest for a provider’s reasonable costs to be paid. </w:t>
      </w:r>
    </w:p>
    <w:p w14:paraId="639C0EF4" w14:textId="77777777" w:rsidR="005C0C97" w:rsidRDefault="005C0C97" w:rsidP="005C0C97">
      <w:pPr>
        <w:pStyle w:val="ListNumber"/>
        <w:tabs>
          <w:tab w:val="clear" w:pos="360"/>
          <w:tab w:val="num" w:pos="993"/>
          <w:tab w:val="left" w:pos="1418"/>
        </w:tabs>
        <w:ind w:left="709" w:hanging="567"/>
        <w:rPr>
          <w:rFonts w:cs="Open Sans"/>
        </w:rPr>
      </w:pPr>
      <w:r>
        <w:rPr>
          <w:rFonts w:cs="Open Sans"/>
        </w:rPr>
        <w:t xml:space="preserve">The Commission is concerned that, in light of these provisions, the Bill contains insufficient safeguards to prevent the imposition of overly oppressive obligations on providers, under the threat of significant civil penalties. Providers could be compelled to </w:t>
      </w:r>
      <w:r w:rsidRPr="006D76E4">
        <w:rPr>
          <w:rFonts w:cs="Open Sans"/>
        </w:rPr>
        <w:t xml:space="preserve">divert a large amount of </w:t>
      </w:r>
      <w:r>
        <w:rPr>
          <w:rFonts w:cs="Open Sans"/>
        </w:rPr>
        <w:t>staffing and other resources to fulfil</w:t>
      </w:r>
      <w:r w:rsidRPr="006D76E4">
        <w:rPr>
          <w:rFonts w:cs="Open Sans"/>
        </w:rPr>
        <w:t xml:space="preserve"> </w:t>
      </w:r>
      <w:r>
        <w:rPr>
          <w:rFonts w:cs="Open Sans"/>
        </w:rPr>
        <w:t xml:space="preserve">their </w:t>
      </w:r>
      <w:r w:rsidRPr="006D76E4">
        <w:rPr>
          <w:rFonts w:cs="Open Sans"/>
        </w:rPr>
        <w:t>assistance obligations</w:t>
      </w:r>
      <w:r>
        <w:rPr>
          <w:rFonts w:cs="Open Sans"/>
        </w:rPr>
        <w:t xml:space="preserve">. This includes obligations that could span long periods of time, with the potential risk that payment of reasonable costs is not made in full or at all. </w:t>
      </w:r>
    </w:p>
    <w:p w14:paraId="74F68E6A" w14:textId="4BDF96AE" w:rsidR="005C0C97" w:rsidRPr="00246DF8" w:rsidRDefault="005C0C97" w:rsidP="005C0C97">
      <w:pPr>
        <w:pStyle w:val="ListNumber"/>
        <w:tabs>
          <w:tab w:val="clear" w:pos="360"/>
          <w:tab w:val="num" w:pos="993"/>
          <w:tab w:val="left" w:pos="1418"/>
        </w:tabs>
        <w:ind w:left="709" w:hanging="567"/>
        <w:rPr>
          <w:rFonts w:cs="Open Sans"/>
        </w:rPr>
      </w:pPr>
      <w:r w:rsidRPr="00246DF8">
        <w:rPr>
          <w:rFonts w:cs="Open Sans"/>
        </w:rPr>
        <w:t xml:space="preserve">The lack of </w:t>
      </w:r>
      <w:r w:rsidR="00945923">
        <w:rPr>
          <w:rFonts w:cs="Open Sans"/>
        </w:rPr>
        <w:t xml:space="preserve">any </w:t>
      </w:r>
      <w:r w:rsidRPr="00246DF8">
        <w:rPr>
          <w:rFonts w:cs="Open Sans"/>
        </w:rPr>
        <w:t xml:space="preserve">maximum permissible duration and the risk of oppression is particularly concerning with respect to compulsory notice powers, recalling again that assistance may be </w:t>
      </w:r>
      <w:r w:rsidR="00945923">
        <w:rPr>
          <w:rFonts w:cs="Open Sans"/>
        </w:rPr>
        <w:t>required</w:t>
      </w:r>
      <w:r w:rsidRPr="00246DF8">
        <w:rPr>
          <w:rFonts w:cs="Open Sans"/>
        </w:rPr>
        <w:t xml:space="preserve"> from unsophisticated and small providers. Such providers might be required to divert a large amount of their limited staffing and other resources to fulfil assistance obligations, limiting their ability to conduct regular for-profit activities. </w:t>
      </w:r>
    </w:p>
    <w:p w14:paraId="31C2684D" w14:textId="4A489D5D" w:rsidR="005C0C97" w:rsidRDefault="005C0C97" w:rsidP="005C0C97">
      <w:pPr>
        <w:pStyle w:val="ListNumber"/>
        <w:tabs>
          <w:tab w:val="clear" w:pos="360"/>
          <w:tab w:val="num" w:pos="993"/>
          <w:tab w:val="left" w:pos="1418"/>
        </w:tabs>
        <w:ind w:left="709" w:hanging="567"/>
        <w:rPr>
          <w:rFonts w:cs="Open Sans"/>
        </w:rPr>
      </w:pPr>
      <w:r>
        <w:rPr>
          <w:rFonts w:cs="Open Sans"/>
        </w:rPr>
        <w:t>Some protection is provided by the requirement in the mandatory decision-making criteria that the decision</w:t>
      </w:r>
      <w:r w:rsidR="005C76C1">
        <w:rPr>
          <w:rFonts w:cs="Open Sans"/>
        </w:rPr>
        <w:t xml:space="preserve"> </w:t>
      </w:r>
      <w:r>
        <w:rPr>
          <w:rFonts w:cs="Open Sans"/>
        </w:rPr>
        <w:t>maker be satisfied that the requirements of any notice are ‘reasonable and proportionate’, and that compliance with any notice is ‘practicable and technically feasible’ before giving or varying a notice.</w:t>
      </w:r>
      <w:r w:rsidRPr="0034566E">
        <w:rPr>
          <w:rStyle w:val="EndnoteReference"/>
          <w:vertAlign w:val="superscript"/>
        </w:rPr>
        <w:endnoteReference w:id="103"/>
      </w:r>
      <w:r>
        <w:rPr>
          <w:rFonts w:cs="Open Sans"/>
        </w:rPr>
        <w:t xml:space="preserve"> This includes a requirement to consider ‘the legitimate interests of the designated communications provider to whom the notice relates’.</w:t>
      </w:r>
      <w:r w:rsidRPr="0034566E">
        <w:rPr>
          <w:rStyle w:val="EndnoteReference"/>
          <w:vertAlign w:val="superscript"/>
        </w:rPr>
        <w:endnoteReference w:id="104"/>
      </w:r>
    </w:p>
    <w:p w14:paraId="0A282C1D" w14:textId="051CE24C" w:rsidR="005C0C97" w:rsidRPr="005352F2" w:rsidRDefault="005C0C97" w:rsidP="005C0C97">
      <w:pPr>
        <w:pStyle w:val="ListNumber"/>
        <w:tabs>
          <w:tab w:val="clear" w:pos="360"/>
          <w:tab w:val="num" w:pos="993"/>
          <w:tab w:val="left" w:pos="1418"/>
        </w:tabs>
        <w:ind w:left="709" w:hanging="567"/>
        <w:rPr>
          <w:rFonts w:cs="Open Sans"/>
        </w:rPr>
      </w:pPr>
      <w:r w:rsidRPr="005352F2">
        <w:rPr>
          <w:rFonts w:cs="Open Sans"/>
        </w:rPr>
        <w:t>Further, under proposed</w:t>
      </w:r>
      <w:r w:rsidR="00205E36">
        <w:rPr>
          <w:rFonts w:cs="Open Sans"/>
        </w:rPr>
        <w:t xml:space="preserve"> ss </w:t>
      </w:r>
      <w:r w:rsidRPr="005352F2">
        <w:rPr>
          <w:rFonts w:cs="Open Sans"/>
        </w:rPr>
        <w:t>317R and 317Z, a notice must be revoked by the decision</w:t>
      </w:r>
      <w:r w:rsidR="005C76C1">
        <w:rPr>
          <w:rFonts w:cs="Open Sans"/>
        </w:rPr>
        <w:t xml:space="preserve"> </w:t>
      </w:r>
      <w:r w:rsidRPr="005352F2">
        <w:rPr>
          <w:rFonts w:cs="Open Sans"/>
        </w:rPr>
        <w:t xml:space="preserve">maker if they are satisfied that the requirements imposed are no longer reasonable and proportionate or where compliance with the notice is no longer practicable and technically feasible. </w:t>
      </w:r>
      <w:r>
        <w:rPr>
          <w:rFonts w:cs="Open Sans"/>
        </w:rPr>
        <w:t>The Explanatory Memorandum</w:t>
      </w:r>
      <w:r w:rsidRPr="005352F2">
        <w:rPr>
          <w:rFonts w:cs="Open Sans"/>
        </w:rPr>
        <w:t xml:space="preserve"> states that ‘the revocation provision establishes an avenue to discontinue notices that have become obsolete or excessively burdensome’.</w:t>
      </w:r>
      <w:r w:rsidRPr="0034566E">
        <w:rPr>
          <w:rStyle w:val="EndnoteReference"/>
          <w:vertAlign w:val="superscript"/>
        </w:rPr>
        <w:endnoteReference w:id="105"/>
      </w:r>
    </w:p>
    <w:p w14:paraId="42311BB8" w14:textId="13CEE165" w:rsidR="005C0C97" w:rsidRDefault="005C0C97" w:rsidP="005C0C97">
      <w:pPr>
        <w:pStyle w:val="ListNumber"/>
        <w:tabs>
          <w:tab w:val="clear" w:pos="360"/>
          <w:tab w:val="num" w:pos="993"/>
          <w:tab w:val="left" w:pos="1418"/>
        </w:tabs>
        <w:ind w:left="709" w:hanging="567"/>
        <w:rPr>
          <w:rFonts w:cs="Open Sans"/>
        </w:rPr>
      </w:pPr>
      <w:r>
        <w:rPr>
          <w:rFonts w:cs="Open Sans"/>
        </w:rPr>
        <w:t>However, there is no mechanism in the Bill for periodic review by the decision</w:t>
      </w:r>
      <w:r w:rsidR="005C76C1">
        <w:rPr>
          <w:rFonts w:cs="Open Sans"/>
        </w:rPr>
        <w:t xml:space="preserve"> </w:t>
      </w:r>
      <w:r>
        <w:rPr>
          <w:rFonts w:cs="Open Sans"/>
        </w:rPr>
        <w:t xml:space="preserve">maker of whether a notice remains reasonable, proportionate, practicable and technically feasible. Further, there is no formal mechanism for providers to raise concerns that a notice does not meet these requirements, for example that the requirements have become excessively resource intensive or otherwise too burdensome. </w:t>
      </w:r>
    </w:p>
    <w:p w14:paraId="71012ABF" w14:textId="17570400" w:rsidR="005C0C97" w:rsidRDefault="005C0C97" w:rsidP="005C0C97">
      <w:pPr>
        <w:pStyle w:val="ListNumber"/>
        <w:tabs>
          <w:tab w:val="clear" w:pos="360"/>
          <w:tab w:val="num" w:pos="993"/>
          <w:tab w:val="left" w:pos="1418"/>
        </w:tabs>
        <w:ind w:left="709" w:hanging="567"/>
        <w:rPr>
          <w:rFonts w:cs="Open Sans"/>
        </w:rPr>
      </w:pPr>
      <w:r>
        <w:rPr>
          <w:rFonts w:cs="Open Sans"/>
        </w:rPr>
        <w:t xml:space="preserve">While judicial review of Pt 15 decisions is available, the right to bring such a proceeding </w:t>
      </w:r>
      <w:r w:rsidR="00C35F11">
        <w:rPr>
          <w:rFonts w:cs="Open Sans"/>
        </w:rPr>
        <w:t>will not provide an</w:t>
      </w:r>
      <w:r>
        <w:rPr>
          <w:rFonts w:cs="Open Sans"/>
        </w:rPr>
        <w:t xml:space="preserve"> efficient and </w:t>
      </w:r>
      <w:r w:rsidR="00370402">
        <w:rPr>
          <w:rFonts w:cs="Open Sans"/>
        </w:rPr>
        <w:t xml:space="preserve">easily </w:t>
      </w:r>
      <w:r>
        <w:rPr>
          <w:rFonts w:cs="Open Sans"/>
        </w:rPr>
        <w:t xml:space="preserve">accessible means of </w:t>
      </w:r>
      <w:r>
        <w:rPr>
          <w:rFonts w:cs="Open Sans"/>
        </w:rPr>
        <w:lastRenderedPageBreak/>
        <w:t>revoking a notice that is or has become unreasonably burdensome. As discussed at [</w:t>
      </w:r>
      <w:r>
        <w:rPr>
          <w:rFonts w:cs="Open Sans"/>
        </w:rPr>
        <w:fldChar w:fldCharType="begin"/>
      </w:r>
      <w:r>
        <w:rPr>
          <w:rFonts w:cs="Open Sans"/>
        </w:rPr>
        <w:instrText xml:space="preserve"> REF _Ref526529695 \r \h </w:instrText>
      </w:r>
      <w:r>
        <w:rPr>
          <w:rFonts w:cs="Open Sans"/>
        </w:rPr>
      </w:r>
      <w:r>
        <w:rPr>
          <w:rFonts w:cs="Open Sans"/>
        </w:rPr>
        <w:fldChar w:fldCharType="separate"/>
      </w:r>
      <w:r w:rsidR="00372D72">
        <w:rPr>
          <w:rFonts w:cs="Open Sans"/>
        </w:rPr>
        <w:t>297</w:t>
      </w:r>
      <w:r>
        <w:rPr>
          <w:rFonts w:cs="Open Sans"/>
        </w:rPr>
        <w:fldChar w:fldCharType="end"/>
      </w:r>
      <w:r>
        <w:rPr>
          <w:rFonts w:cs="Open Sans"/>
        </w:rPr>
        <w:t>] below, the conduct of judicial review, especially outside the ADJR Act, can be technical</w:t>
      </w:r>
      <w:r w:rsidR="00BF565C">
        <w:rPr>
          <w:rFonts w:cs="Open Sans"/>
        </w:rPr>
        <w:t xml:space="preserve">, </w:t>
      </w:r>
      <w:r>
        <w:rPr>
          <w:rFonts w:cs="Open Sans"/>
        </w:rPr>
        <w:t xml:space="preserve">lengthy </w:t>
      </w:r>
      <w:r w:rsidR="00BF565C">
        <w:rPr>
          <w:rFonts w:cs="Open Sans"/>
        </w:rPr>
        <w:t>and costly</w:t>
      </w:r>
      <w:r>
        <w:rPr>
          <w:rFonts w:cs="Open Sans"/>
        </w:rPr>
        <w:t xml:space="preserve">. </w:t>
      </w:r>
    </w:p>
    <w:p w14:paraId="0C8C515E" w14:textId="77777777" w:rsidR="00C41D85" w:rsidRPr="00C41D85" w:rsidRDefault="005C0C97" w:rsidP="005C0C97">
      <w:pPr>
        <w:pStyle w:val="ListNumber"/>
        <w:tabs>
          <w:tab w:val="clear" w:pos="360"/>
          <w:tab w:val="num" w:pos="993"/>
          <w:tab w:val="left" w:pos="1418"/>
        </w:tabs>
        <w:ind w:left="709" w:hanging="567"/>
        <w:rPr>
          <w:rFonts w:cs="Open Sans"/>
        </w:rPr>
      </w:pPr>
      <w:r>
        <w:t xml:space="preserve">To reduce the risks to providers and ensure that requests and notices are in force for the minimum necessary period, the Commission considers it appropriate to fix a maximum time limit for any single request or notice. </w:t>
      </w:r>
    </w:p>
    <w:p w14:paraId="54D1D779" w14:textId="62659905" w:rsidR="005C0C97" w:rsidRPr="006D76E4" w:rsidRDefault="00C41D85" w:rsidP="005C0C97">
      <w:pPr>
        <w:pStyle w:val="ListNumber"/>
        <w:tabs>
          <w:tab w:val="clear" w:pos="360"/>
          <w:tab w:val="num" w:pos="993"/>
          <w:tab w:val="left" w:pos="1418"/>
        </w:tabs>
        <w:ind w:left="709" w:hanging="567"/>
        <w:rPr>
          <w:rFonts w:cs="Open Sans"/>
        </w:rPr>
      </w:pPr>
      <w:r>
        <w:t xml:space="preserve">A maximum </w:t>
      </w:r>
      <w:r w:rsidR="00370402">
        <w:t xml:space="preserve">duration for </w:t>
      </w:r>
      <w:r>
        <w:t>request</w:t>
      </w:r>
      <w:r w:rsidR="00370402">
        <w:t>s</w:t>
      </w:r>
      <w:r>
        <w:t xml:space="preserve"> </w:t>
      </w:r>
      <w:r w:rsidR="00370402">
        <w:t>and</w:t>
      </w:r>
      <w:r>
        <w:t xml:space="preserve"> notice</w:t>
      </w:r>
      <w:r w:rsidR="00370402">
        <w:t>s</w:t>
      </w:r>
      <w:r>
        <w:t xml:space="preserve"> </w:t>
      </w:r>
      <w:r w:rsidR="005C0C97">
        <w:t xml:space="preserve">will also </w:t>
      </w:r>
      <w:r w:rsidR="005C0C97">
        <w:rPr>
          <w:rFonts w:cs="Open Sans"/>
        </w:rPr>
        <w:t>help to promote more regular review by decision</w:t>
      </w:r>
      <w:r w:rsidR="005C76C1">
        <w:rPr>
          <w:rFonts w:cs="Open Sans"/>
        </w:rPr>
        <w:t xml:space="preserve"> </w:t>
      </w:r>
      <w:r w:rsidR="005C0C97">
        <w:rPr>
          <w:rFonts w:cs="Open Sans"/>
        </w:rPr>
        <w:t xml:space="preserve">makers of the necessity and appropriateness of </w:t>
      </w:r>
      <w:r>
        <w:rPr>
          <w:rFonts w:cs="Open Sans"/>
        </w:rPr>
        <w:t>the</w:t>
      </w:r>
      <w:r w:rsidR="00370402">
        <w:rPr>
          <w:rFonts w:cs="Open Sans"/>
        </w:rPr>
        <w:t xml:space="preserve"> </w:t>
      </w:r>
      <w:r>
        <w:rPr>
          <w:rFonts w:cs="Open Sans"/>
        </w:rPr>
        <w:t>assistance requirements</w:t>
      </w:r>
      <w:r w:rsidR="00370402">
        <w:rPr>
          <w:rFonts w:cs="Open Sans"/>
        </w:rPr>
        <w:t xml:space="preserve"> specified in them</w:t>
      </w:r>
      <w:r w:rsidR="005C0C97" w:rsidRPr="006D76E4">
        <w:rPr>
          <w:rFonts w:cs="Open Sans"/>
        </w:rPr>
        <w:t>.</w:t>
      </w:r>
      <w:r w:rsidR="005C0C97">
        <w:rPr>
          <w:rFonts w:cs="Open Sans"/>
        </w:rPr>
        <w:t xml:space="preserve"> An avenue of</w:t>
      </w:r>
      <w:r w:rsidR="00857B04">
        <w:rPr>
          <w:rFonts w:cs="Open Sans"/>
        </w:rPr>
        <w:t xml:space="preserve"> merits</w:t>
      </w:r>
      <w:r w:rsidR="005C0C97">
        <w:rPr>
          <w:rFonts w:cs="Open Sans"/>
        </w:rPr>
        <w:t xml:space="preserve"> review should also be made available for providers to seek revocation of a notice, and to seek independent merits review of any decision not to revoke a notice (see further discussion of merits review below at [</w:t>
      </w:r>
      <w:r w:rsidR="005C0C97">
        <w:rPr>
          <w:rFonts w:cs="Open Sans"/>
        </w:rPr>
        <w:fldChar w:fldCharType="begin"/>
      </w:r>
      <w:r w:rsidR="005C0C97">
        <w:rPr>
          <w:rFonts w:cs="Open Sans"/>
        </w:rPr>
        <w:instrText xml:space="preserve"> REF _Ref526539648 \r \h </w:instrText>
      </w:r>
      <w:r w:rsidR="005C0C97">
        <w:rPr>
          <w:rFonts w:cs="Open Sans"/>
        </w:rPr>
      </w:r>
      <w:r w:rsidR="005C0C97">
        <w:rPr>
          <w:rFonts w:cs="Open Sans"/>
        </w:rPr>
        <w:fldChar w:fldCharType="separate"/>
      </w:r>
      <w:r w:rsidR="00372D72">
        <w:rPr>
          <w:rFonts w:cs="Open Sans"/>
        </w:rPr>
        <w:t>299</w:t>
      </w:r>
      <w:r w:rsidR="005C0C97">
        <w:rPr>
          <w:rFonts w:cs="Open Sans"/>
        </w:rPr>
        <w:fldChar w:fldCharType="end"/>
      </w:r>
      <w:r w:rsidR="005C0C97">
        <w:rPr>
          <w:rFonts w:cs="Open Sans"/>
        </w:rPr>
        <w:t>]).</w:t>
      </w:r>
      <w:r w:rsidR="0038253F">
        <w:rPr>
          <w:rFonts w:cs="Open Sans"/>
        </w:rPr>
        <w:t xml:space="preserve"> </w:t>
      </w:r>
    </w:p>
    <w:p w14:paraId="114420FD" w14:textId="77777777" w:rsidR="005C0C97" w:rsidRPr="006D76E4" w:rsidRDefault="005C0C97" w:rsidP="00C80407">
      <w:pPr>
        <w:pStyle w:val="ListNumber"/>
        <w:keepNext/>
        <w:tabs>
          <w:tab w:val="clear" w:pos="360"/>
          <w:tab w:val="num" w:pos="993"/>
          <w:tab w:val="left" w:pos="1418"/>
        </w:tabs>
        <w:ind w:left="709" w:hanging="567"/>
        <w:rPr>
          <w:rFonts w:cs="Open Sans"/>
        </w:rPr>
      </w:pPr>
      <w:r w:rsidRPr="006D76E4">
        <w:rPr>
          <w:rFonts w:cs="Open Sans"/>
        </w:rPr>
        <w:t xml:space="preserve">The Commission </w:t>
      </w:r>
      <w:r>
        <w:rPr>
          <w:rFonts w:cs="Open Sans"/>
        </w:rPr>
        <w:t>recommends that</w:t>
      </w:r>
      <w:r w:rsidRPr="006D76E4">
        <w:rPr>
          <w:rFonts w:cs="Open Sans"/>
        </w:rPr>
        <w:t>:</w:t>
      </w:r>
    </w:p>
    <w:p w14:paraId="7DB25031" w14:textId="699BF249" w:rsidR="005C0C97" w:rsidRDefault="005C0C97" w:rsidP="00C80407">
      <w:pPr>
        <w:pStyle w:val="ListNumber"/>
        <w:keepNext/>
        <w:numPr>
          <w:ilvl w:val="0"/>
          <w:numId w:val="0"/>
        </w:numPr>
        <w:tabs>
          <w:tab w:val="left" w:pos="1418"/>
        </w:tabs>
        <w:ind w:left="709"/>
        <w:rPr>
          <w:b/>
        </w:rPr>
      </w:pPr>
      <w:r w:rsidRPr="00E33F74">
        <w:rPr>
          <w:rFonts w:cs="Open Sans"/>
          <w:b/>
        </w:rPr>
        <w:t>Recommendation</w:t>
      </w:r>
      <w:r w:rsidRPr="00E33F74">
        <w:rPr>
          <w:b/>
        </w:rPr>
        <w:t xml:space="preserve"> 1</w:t>
      </w:r>
      <w:r w:rsidR="003E54A3">
        <w:rPr>
          <w:b/>
        </w:rPr>
        <w:t>2</w:t>
      </w:r>
    </w:p>
    <w:p w14:paraId="3CBB502D" w14:textId="66EE124C" w:rsidR="005C0C97" w:rsidRPr="00E33F74" w:rsidRDefault="005C0C97" w:rsidP="005C0C97">
      <w:pPr>
        <w:pStyle w:val="ListNumber"/>
        <w:numPr>
          <w:ilvl w:val="0"/>
          <w:numId w:val="0"/>
        </w:numPr>
        <w:tabs>
          <w:tab w:val="left" w:pos="1418"/>
        </w:tabs>
        <w:ind w:left="709"/>
        <w:rPr>
          <w:b/>
        </w:rPr>
      </w:pPr>
      <w:r w:rsidRPr="00E33F74">
        <w:t>Proposed</w:t>
      </w:r>
      <w:r w:rsidR="00205E36">
        <w:t xml:space="preserve"> ss </w:t>
      </w:r>
      <w:r w:rsidRPr="00E33F74">
        <w:t xml:space="preserve">317HA(1)(b) and 317MA(1)(b) of the </w:t>
      </w:r>
      <w:r w:rsidRPr="00E33F74">
        <w:rPr>
          <w:i/>
        </w:rPr>
        <w:t xml:space="preserve">Telecommunications Act 1997 </w:t>
      </w:r>
      <w:r w:rsidRPr="00E33F74">
        <w:t>(Cth)</w:t>
      </w:r>
      <w:r w:rsidRPr="00E33F74">
        <w:rPr>
          <w:lang w:val="en-US"/>
        </w:rPr>
        <w:t xml:space="preserve"> be amended to provid</w:t>
      </w:r>
      <w:r>
        <w:rPr>
          <w:lang w:val="en-US"/>
        </w:rPr>
        <w:t>e</w:t>
      </w:r>
      <w:r w:rsidRPr="00E33F74">
        <w:rPr>
          <w:lang w:val="en-US"/>
        </w:rPr>
        <w:t xml:space="preserve"> that </w:t>
      </w:r>
      <w:r>
        <w:rPr>
          <w:lang w:val="en-US"/>
        </w:rPr>
        <w:t xml:space="preserve">the maximum </w:t>
      </w:r>
      <w:r w:rsidR="00F962B4">
        <w:rPr>
          <w:lang w:val="en-US"/>
        </w:rPr>
        <w:t>permissible duration of</w:t>
      </w:r>
      <w:r>
        <w:rPr>
          <w:lang w:val="en-US"/>
        </w:rPr>
        <w:t xml:space="preserve"> </w:t>
      </w:r>
      <w:r w:rsidRPr="00E33F74">
        <w:rPr>
          <w:lang w:val="en-US"/>
        </w:rPr>
        <w:t>a</w:t>
      </w:r>
      <w:r>
        <w:rPr>
          <w:lang w:val="en-US"/>
        </w:rPr>
        <w:t>ny</w:t>
      </w:r>
      <w:r w:rsidRPr="00E33F74">
        <w:rPr>
          <w:lang w:val="en-US"/>
        </w:rPr>
        <w:t xml:space="preserve"> </w:t>
      </w:r>
      <w:r>
        <w:rPr>
          <w:lang w:val="en-US"/>
        </w:rPr>
        <w:t xml:space="preserve">single </w:t>
      </w:r>
      <w:r w:rsidRPr="00E33F74">
        <w:rPr>
          <w:lang w:val="en-US"/>
        </w:rPr>
        <w:t xml:space="preserve">TAR or TAN </w:t>
      </w:r>
      <w:r>
        <w:rPr>
          <w:lang w:val="en-US"/>
        </w:rPr>
        <w:t xml:space="preserve">is </w:t>
      </w:r>
      <w:r w:rsidRPr="00E33F74">
        <w:rPr>
          <w:lang w:val="en-US"/>
        </w:rPr>
        <w:t>90 day</w:t>
      </w:r>
      <w:r>
        <w:rPr>
          <w:lang w:val="en-US"/>
        </w:rPr>
        <w:t>s</w:t>
      </w:r>
      <w:r w:rsidRPr="00E33F74">
        <w:rPr>
          <w:lang w:val="en-US"/>
        </w:rPr>
        <w:t>.</w:t>
      </w:r>
    </w:p>
    <w:p w14:paraId="78FFA93C" w14:textId="1EAAD03C" w:rsidR="005C0C97" w:rsidRDefault="005C0C97" w:rsidP="00C80407">
      <w:pPr>
        <w:pStyle w:val="ListNumber"/>
        <w:keepNext/>
        <w:numPr>
          <w:ilvl w:val="0"/>
          <w:numId w:val="0"/>
        </w:numPr>
        <w:tabs>
          <w:tab w:val="left" w:pos="1418"/>
        </w:tabs>
        <w:ind w:left="709"/>
        <w:rPr>
          <w:rFonts w:cs="Open Sans"/>
          <w:b/>
        </w:rPr>
      </w:pPr>
      <w:r w:rsidRPr="008F6963">
        <w:rPr>
          <w:rFonts w:cs="Open Sans"/>
          <w:b/>
        </w:rPr>
        <w:t xml:space="preserve">Recommendation </w:t>
      </w:r>
      <w:r>
        <w:rPr>
          <w:rFonts w:cs="Open Sans"/>
          <w:b/>
        </w:rPr>
        <w:t>1</w:t>
      </w:r>
      <w:r w:rsidR="003E54A3">
        <w:rPr>
          <w:rFonts w:cs="Open Sans"/>
          <w:b/>
        </w:rPr>
        <w:t>3</w:t>
      </w:r>
    </w:p>
    <w:p w14:paraId="030C494E" w14:textId="3528FA57" w:rsidR="005C0C97" w:rsidRPr="00E33F74" w:rsidRDefault="005C0C97" w:rsidP="005C0C97">
      <w:pPr>
        <w:pStyle w:val="ListNumber"/>
        <w:numPr>
          <w:ilvl w:val="0"/>
          <w:numId w:val="0"/>
        </w:numPr>
        <w:tabs>
          <w:tab w:val="left" w:pos="1418"/>
        </w:tabs>
        <w:ind w:left="709"/>
        <w:rPr>
          <w:rFonts w:cs="Open Sans"/>
        </w:rPr>
      </w:pPr>
      <w:r w:rsidRPr="00E33F74">
        <w:rPr>
          <w:rFonts w:cs="Open Sans"/>
        </w:rPr>
        <w:t>Proposed</w:t>
      </w:r>
      <w:r w:rsidR="00205E36">
        <w:rPr>
          <w:rFonts w:cs="Open Sans"/>
        </w:rPr>
        <w:t xml:space="preserve"> s </w:t>
      </w:r>
      <w:r w:rsidRPr="00E33F74">
        <w:rPr>
          <w:rFonts w:cs="Open Sans"/>
          <w:lang w:val="en-US"/>
        </w:rPr>
        <w:t xml:space="preserve">317TA(1)(b) of the </w:t>
      </w:r>
      <w:r w:rsidRPr="00E33F74">
        <w:rPr>
          <w:rFonts w:cs="Open Sans"/>
          <w:i/>
        </w:rPr>
        <w:t xml:space="preserve">Telecommunications Act 1997 </w:t>
      </w:r>
      <w:r w:rsidRPr="00E33F74">
        <w:rPr>
          <w:rFonts w:cs="Open Sans"/>
        </w:rPr>
        <w:t>(Cth)</w:t>
      </w:r>
      <w:r w:rsidRPr="00E33F74">
        <w:rPr>
          <w:rFonts w:cs="Open Sans"/>
          <w:lang w:val="en-US"/>
        </w:rPr>
        <w:t xml:space="preserve"> be amended to provid</w:t>
      </w:r>
      <w:r>
        <w:rPr>
          <w:rFonts w:cs="Open Sans"/>
          <w:lang w:val="en-US"/>
        </w:rPr>
        <w:t>e</w:t>
      </w:r>
      <w:r w:rsidRPr="00E33F74">
        <w:rPr>
          <w:rFonts w:cs="Open Sans"/>
          <w:lang w:val="en-US"/>
        </w:rPr>
        <w:t xml:space="preserve"> that </w:t>
      </w:r>
      <w:r>
        <w:rPr>
          <w:rFonts w:cs="Open Sans"/>
          <w:lang w:val="en-US"/>
        </w:rPr>
        <w:t xml:space="preserve">the maximum </w:t>
      </w:r>
      <w:r w:rsidR="00F962B4">
        <w:rPr>
          <w:rFonts w:cs="Open Sans"/>
          <w:lang w:val="en-US"/>
        </w:rPr>
        <w:t>permissible duration of</w:t>
      </w:r>
      <w:r>
        <w:rPr>
          <w:rFonts w:cs="Open Sans"/>
          <w:lang w:val="en-US"/>
        </w:rPr>
        <w:t xml:space="preserve"> </w:t>
      </w:r>
      <w:r w:rsidRPr="00E33F74">
        <w:rPr>
          <w:rFonts w:cs="Open Sans"/>
          <w:lang w:val="en-US"/>
        </w:rPr>
        <w:t>a</w:t>
      </w:r>
      <w:r>
        <w:rPr>
          <w:rFonts w:cs="Open Sans"/>
          <w:lang w:val="en-US"/>
        </w:rPr>
        <w:t>ny single</w:t>
      </w:r>
      <w:r w:rsidRPr="00E33F74">
        <w:rPr>
          <w:rFonts w:cs="Open Sans"/>
          <w:lang w:val="en-US"/>
        </w:rPr>
        <w:t xml:space="preserve"> TCN </w:t>
      </w:r>
      <w:r>
        <w:rPr>
          <w:rFonts w:cs="Open Sans"/>
          <w:lang w:val="en-US"/>
        </w:rPr>
        <w:t xml:space="preserve">is </w:t>
      </w:r>
      <w:r w:rsidRPr="00E33F74">
        <w:rPr>
          <w:rFonts w:cs="Open Sans"/>
          <w:lang w:val="en-US"/>
        </w:rPr>
        <w:t>180 day</w:t>
      </w:r>
      <w:r>
        <w:rPr>
          <w:rFonts w:cs="Open Sans"/>
          <w:lang w:val="en-US"/>
        </w:rPr>
        <w:t>s</w:t>
      </w:r>
      <w:r w:rsidRPr="00E33F74">
        <w:rPr>
          <w:rFonts w:cs="Open Sans"/>
          <w:lang w:val="en-US"/>
        </w:rPr>
        <w:t>.</w:t>
      </w:r>
    </w:p>
    <w:p w14:paraId="0964D509" w14:textId="1A034EFD" w:rsidR="005C0C97" w:rsidRDefault="005C0C97" w:rsidP="0061758B">
      <w:pPr>
        <w:pStyle w:val="ListNumber"/>
        <w:keepNext/>
        <w:numPr>
          <w:ilvl w:val="0"/>
          <w:numId w:val="0"/>
        </w:numPr>
        <w:tabs>
          <w:tab w:val="left" w:pos="1418"/>
        </w:tabs>
        <w:ind w:left="709"/>
        <w:rPr>
          <w:rFonts w:cs="Open Sans"/>
          <w:b/>
          <w:lang w:val="en-US"/>
        </w:rPr>
      </w:pPr>
      <w:r w:rsidRPr="00E33F74">
        <w:rPr>
          <w:rFonts w:cs="Open Sans"/>
          <w:b/>
        </w:rPr>
        <w:t>Recommendation</w:t>
      </w:r>
      <w:r>
        <w:rPr>
          <w:rFonts w:cs="Open Sans"/>
          <w:b/>
          <w:lang w:val="en-US"/>
        </w:rPr>
        <w:t xml:space="preserve"> 1</w:t>
      </w:r>
      <w:r w:rsidR="003E54A3">
        <w:rPr>
          <w:rFonts w:cs="Open Sans"/>
          <w:b/>
          <w:lang w:val="en-US"/>
        </w:rPr>
        <w:t>4</w:t>
      </w:r>
    </w:p>
    <w:p w14:paraId="7C4D6760" w14:textId="1BE89539" w:rsidR="005C0C97" w:rsidRDefault="005C0C97" w:rsidP="0061758B">
      <w:pPr>
        <w:pStyle w:val="ListNumber"/>
        <w:keepNext/>
        <w:numPr>
          <w:ilvl w:val="0"/>
          <w:numId w:val="0"/>
        </w:numPr>
        <w:tabs>
          <w:tab w:val="left" w:pos="1418"/>
        </w:tabs>
        <w:ind w:left="709"/>
        <w:rPr>
          <w:rFonts w:cs="Open Sans"/>
          <w:lang w:val="en-US"/>
        </w:rPr>
      </w:pPr>
      <w:r w:rsidRPr="00E33F74">
        <w:rPr>
          <w:rFonts w:cs="Open Sans"/>
          <w:lang w:val="en-US"/>
        </w:rPr>
        <w:t>Proposed</w:t>
      </w:r>
      <w:r w:rsidR="00205E36">
        <w:rPr>
          <w:rFonts w:cs="Open Sans"/>
          <w:lang w:val="en-US"/>
        </w:rPr>
        <w:t xml:space="preserve"> ss </w:t>
      </w:r>
      <w:r w:rsidRPr="00E33F74">
        <w:rPr>
          <w:rFonts w:cs="Open Sans"/>
          <w:lang w:val="en-US"/>
        </w:rPr>
        <w:t>317R and 317Z be amended to</w:t>
      </w:r>
      <w:r>
        <w:rPr>
          <w:rFonts w:cs="Open Sans"/>
          <w:lang w:val="en-US"/>
        </w:rPr>
        <w:t>:</w:t>
      </w:r>
    </w:p>
    <w:p w14:paraId="4083CC0C" w14:textId="755647AC" w:rsidR="005C0C97" w:rsidRPr="00246DF8" w:rsidRDefault="005C0C97" w:rsidP="0061758B">
      <w:pPr>
        <w:pStyle w:val="ListNumber"/>
        <w:numPr>
          <w:ilvl w:val="0"/>
          <w:numId w:val="106"/>
        </w:numPr>
        <w:tabs>
          <w:tab w:val="left" w:pos="1418"/>
        </w:tabs>
        <w:ind w:left="1066" w:hanging="357"/>
        <w:rPr>
          <w:rFonts w:cs="Open Sans"/>
        </w:rPr>
      </w:pPr>
      <w:r w:rsidRPr="00E33F74">
        <w:rPr>
          <w:rFonts w:cs="Open Sans"/>
          <w:lang w:val="en-US"/>
        </w:rPr>
        <w:t>allow a provider to apply</w:t>
      </w:r>
      <w:r w:rsidR="00857B04">
        <w:rPr>
          <w:rFonts w:cs="Open Sans"/>
          <w:lang w:val="en-US"/>
        </w:rPr>
        <w:t xml:space="preserve"> to the decision maker</w:t>
      </w:r>
      <w:r w:rsidRPr="00E33F74">
        <w:rPr>
          <w:rFonts w:cs="Open Sans"/>
          <w:lang w:val="en-US"/>
        </w:rPr>
        <w:t xml:space="preserve"> for the</w:t>
      </w:r>
      <w:r w:rsidR="00857B04">
        <w:rPr>
          <w:rFonts w:cs="Open Sans"/>
          <w:lang w:val="en-US"/>
        </w:rPr>
        <w:t xml:space="preserve"> revocation of a notice where the provider</w:t>
      </w:r>
      <w:r w:rsidRPr="00E33F74">
        <w:rPr>
          <w:rFonts w:cs="Open Sans"/>
          <w:lang w:val="en-US"/>
        </w:rPr>
        <w:t xml:space="preserve"> considers that the requirements </w:t>
      </w:r>
      <w:r>
        <w:rPr>
          <w:rFonts w:cs="Open Sans"/>
          <w:lang w:val="en-US"/>
        </w:rPr>
        <w:t xml:space="preserve">imposed by the notice </w:t>
      </w:r>
      <w:r w:rsidRPr="00E33F74">
        <w:rPr>
          <w:rFonts w:cs="Open Sans"/>
          <w:lang w:val="en-US"/>
        </w:rPr>
        <w:t>are not reasonable and proportionate or that compliance with the notice is not practicable and technically feasible</w:t>
      </w:r>
      <w:r>
        <w:rPr>
          <w:rFonts w:cs="Open Sans"/>
          <w:lang w:val="en-US"/>
        </w:rPr>
        <w:t xml:space="preserve"> </w:t>
      </w:r>
    </w:p>
    <w:p w14:paraId="1B37AE92" w14:textId="3723F284" w:rsidR="005C0C97" w:rsidRPr="00E33F74" w:rsidRDefault="005C0C97" w:rsidP="0061758B">
      <w:pPr>
        <w:pStyle w:val="ListNumber"/>
        <w:numPr>
          <w:ilvl w:val="0"/>
          <w:numId w:val="106"/>
        </w:numPr>
        <w:tabs>
          <w:tab w:val="left" w:pos="1418"/>
        </w:tabs>
        <w:ind w:left="1066" w:hanging="357"/>
        <w:rPr>
          <w:rFonts w:cs="Open Sans"/>
        </w:rPr>
      </w:pPr>
      <w:r>
        <w:rPr>
          <w:rFonts w:cs="Open Sans"/>
          <w:lang w:val="en-US"/>
        </w:rPr>
        <w:t>make provision for a provider to access independent merits review of any decision to refuse to revoke a notice</w:t>
      </w:r>
      <w:r w:rsidRPr="00E33F74">
        <w:rPr>
          <w:rFonts w:cs="Open Sans"/>
          <w:lang w:val="en-US"/>
        </w:rPr>
        <w:t>.</w:t>
      </w:r>
    </w:p>
    <w:p w14:paraId="48B009DD" w14:textId="57BA2E57" w:rsidR="002222AF" w:rsidRPr="00AA1A20" w:rsidRDefault="002222AF" w:rsidP="002222AF">
      <w:pPr>
        <w:pStyle w:val="Heading2"/>
        <w:rPr>
          <w:rFonts w:cs="Open Sans"/>
        </w:rPr>
      </w:pPr>
      <w:bookmarkStart w:id="148" w:name="_Ref524019769"/>
      <w:bookmarkStart w:id="149" w:name="_Toc526518396"/>
      <w:bookmarkStart w:id="150" w:name="_Toc527107808"/>
      <w:r w:rsidRPr="00AA1A20">
        <w:rPr>
          <w:rFonts w:cs="Open Sans"/>
        </w:rPr>
        <w:t>Boundaries of systemic and non-systemic effects</w:t>
      </w:r>
      <w:bookmarkEnd w:id="148"/>
      <w:bookmarkEnd w:id="149"/>
      <w:bookmarkEnd w:id="150"/>
    </w:p>
    <w:p w14:paraId="24772CA4" w14:textId="18B08991"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As discussed, proposed</w:t>
      </w:r>
      <w:r w:rsidR="00205E36">
        <w:rPr>
          <w:rFonts w:cs="Open Sans"/>
        </w:rPr>
        <w:t xml:space="preserve"> s </w:t>
      </w:r>
      <w:r w:rsidRPr="00AA1A20">
        <w:rPr>
          <w:rFonts w:cs="Open Sans"/>
        </w:rPr>
        <w:t>317ZG</w:t>
      </w:r>
      <w:r>
        <w:rPr>
          <w:rFonts w:cs="Open Sans"/>
        </w:rPr>
        <w:t>(1)</w:t>
      </w:r>
      <w:r w:rsidRPr="00AA1A20">
        <w:rPr>
          <w:rFonts w:cs="Open Sans"/>
        </w:rPr>
        <w:t xml:space="preserve"> is a legislative safeguard that prohibits notices from having the effect of either requiring a provider to implement or build a systemic weakness or a systemic vulnerability into a form of electronic protection, or preventing providers from rectifying a systemic weakness or vulnerability. </w:t>
      </w:r>
    </w:p>
    <w:p w14:paraId="0AF862C1" w14:textId="41D1332F" w:rsidR="002222AF"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Under this limitation, providers cannot be compelled to</w:t>
      </w:r>
      <w:r w:rsidR="00655723">
        <w:rPr>
          <w:rFonts w:cs="Open Sans"/>
        </w:rPr>
        <w:t xml:space="preserve"> implement or</w:t>
      </w:r>
      <w:r w:rsidRPr="00AA1A20">
        <w:rPr>
          <w:rFonts w:cs="Open Sans"/>
        </w:rPr>
        <w:t xml:space="preserve"> build a capability that would render systemic methods of authentication or encryption less effective.</w:t>
      </w:r>
      <w:r w:rsidRPr="00DF3B57">
        <w:rPr>
          <w:rStyle w:val="EndnoteReference"/>
          <w:vertAlign w:val="superscript"/>
        </w:rPr>
        <w:endnoteReference w:id="106"/>
      </w:r>
      <w:r w:rsidRPr="00AA1A20">
        <w:rPr>
          <w:rFonts w:cs="Open Sans"/>
        </w:rPr>
        <w:t xml:space="preserve"> Further, agencies cannot prevent providers from fixing existing systemic weaknesses, such as a security flaw in their product.</w:t>
      </w:r>
      <w:r w:rsidRPr="00DF3B57">
        <w:rPr>
          <w:rStyle w:val="EndnoteReference"/>
          <w:vertAlign w:val="superscript"/>
        </w:rPr>
        <w:endnoteReference w:id="107"/>
      </w:r>
      <w:r w:rsidR="00132E11">
        <w:rPr>
          <w:rFonts w:cs="Open Sans"/>
        </w:rPr>
        <w:t xml:space="preserve"> </w:t>
      </w:r>
    </w:p>
    <w:p w14:paraId="75F12B0D" w14:textId="1A63E6A9" w:rsidR="002222AF" w:rsidRPr="00AA1A20" w:rsidRDefault="002222AF" w:rsidP="002222AF">
      <w:pPr>
        <w:pStyle w:val="ListNumber"/>
        <w:tabs>
          <w:tab w:val="clear" w:pos="360"/>
          <w:tab w:val="num" w:pos="993"/>
          <w:tab w:val="left" w:pos="1418"/>
        </w:tabs>
        <w:ind w:left="709" w:hanging="567"/>
        <w:rPr>
          <w:rFonts w:cs="Open Sans"/>
        </w:rPr>
      </w:pPr>
      <w:r>
        <w:rPr>
          <w:rFonts w:cs="Open Sans"/>
        </w:rPr>
        <w:t>A TAN or TCN will have no effect to the extent to which it would have an effect prohibited by</w:t>
      </w:r>
      <w:r w:rsidR="00205E36">
        <w:rPr>
          <w:rFonts w:cs="Open Sans"/>
        </w:rPr>
        <w:t xml:space="preserve"> s </w:t>
      </w:r>
      <w:r>
        <w:rPr>
          <w:rFonts w:cs="Open Sans"/>
        </w:rPr>
        <w:t>317ZG(1).</w:t>
      </w:r>
    </w:p>
    <w:p w14:paraId="400D809E" w14:textId="2A677C17" w:rsidR="002222AF"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w:t>
      </w:r>
      <w:r>
        <w:rPr>
          <w:rFonts w:cs="Open Sans"/>
        </w:rPr>
        <w:t>Explanatory Memorandum</w:t>
      </w:r>
      <w:r w:rsidRPr="00AA1A20">
        <w:rPr>
          <w:rFonts w:cs="Open Sans"/>
        </w:rPr>
        <w:t xml:space="preserve"> states that</w:t>
      </w:r>
      <w:r>
        <w:rPr>
          <w:rFonts w:cs="Open Sans"/>
        </w:rPr>
        <w:t xml:space="preserve"> ‘[n]ew section 317ZG ensures that providers cannot be required to systematically weaken their systems of electronic protection under a [</w:t>
      </w:r>
      <w:r w:rsidR="00C41D85">
        <w:rPr>
          <w:rFonts w:cs="Open Sans"/>
        </w:rPr>
        <w:t>notice</w:t>
      </w:r>
      <w:r>
        <w:rPr>
          <w:rFonts w:cs="Open Sans"/>
        </w:rPr>
        <w:t>]. The limitation is designed to protect the fundamental security of software and devices. It ensures that the products Australians enjoy and rely on cannot be made vulnerable to interference by malicious actors’.</w:t>
      </w:r>
      <w:r w:rsidRPr="00DF3B57">
        <w:rPr>
          <w:rStyle w:val="EndnoteReference"/>
          <w:vertAlign w:val="superscript"/>
        </w:rPr>
        <w:endnoteReference w:id="108"/>
      </w:r>
      <w:r w:rsidRPr="00AA1A20">
        <w:rPr>
          <w:rFonts w:cs="Open Sans"/>
        </w:rPr>
        <w:t xml:space="preserve"> </w:t>
      </w:r>
    </w:p>
    <w:p w14:paraId="15E0F2EF" w14:textId="77777777" w:rsidR="00E1343F" w:rsidRPr="00AA1A20" w:rsidRDefault="00E1343F" w:rsidP="00E1343F">
      <w:pPr>
        <w:pStyle w:val="ListNumber"/>
        <w:tabs>
          <w:tab w:val="clear" w:pos="360"/>
          <w:tab w:val="num" w:pos="993"/>
          <w:tab w:val="left" w:pos="1418"/>
        </w:tabs>
        <w:ind w:left="709" w:hanging="567"/>
        <w:rPr>
          <w:rFonts w:cs="Open Sans"/>
        </w:rPr>
      </w:pPr>
      <w:r w:rsidRPr="00AA1A20">
        <w:rPr>
          <w:rFonts w:cs="Open Sans"/>
          <w:lang w:val="en"/>
        </w:rPr>
        <w:t xml:space="preserve">The Commission endorses this principle, which recognises the inherent dangers of weakening technologies that are developed to secure electronic information, primarily encryption. That is, allowing third party access to encrypted data or services, even if designed for the use of law enforcement, risks weakening the security of an encryption measure across the board. </w:t>
      </w:r>
    </w:p>
    <w:p w14:paraId="71D48A52" w14:textId="2356FC2A" w:rsidR="00E1343F" w:rsidRPr="00AA1A20" w:rsidRDefault="00E1343F" w:rsidP="00E1343F">
      <w:pPr>
        <w:pStyle w:val="ListNumber"/>
        <w:tabs>
          <w:tab w:val="clear" w:pos="360"/>
          <w:tab w:val="num" w:pos="993"/>
          <w:tab w:val="left" w:pos="1418"/>
        </w:tabs>
        <w:ind w:left="709" w:hanging="567"/>
        <w:rPr>
          <w:rFonts w:cs="Open Sans"/>
        </w:rPr>
      </w:pPr>
      <w:r w:rsidRPr="00AA1A20">
        <w:rPr>
          <w:rFonts w:cs="Open Sans"/>
          <w:lang w:val="en"/>
        </w:rPr>
        <w:t xml:space="preserve">A prime example, which appears </w:t>
      </w:r>
      <w:r w:rsidRPr="00AA1A20">
        <w:rPr>
          <w:rFonts w:cs="Open Sans"/>
          <w:i/>
          <w:lang w:val="en"/>
        </w:rPr>
        <w:t xml:space="preserve">not </w:t>
      </w:r>
      <w:r w:rsidRPr="00AA1A20">
        <w:rPr>
          <w:rFonts w:cs="Open Sans"/>
          <w:lang w:val="en"/>
        </w:rPr>
        <w:t xml:space="preserve">to be permitted under the </w:t>
      </w:r>
      <w:r w:rsidR="000A4DD2">
        <w:rPr>
          <w:rFonts w:cs="Open Sans"/>
          <w:lang w:val="en"/>
        </w:rPr>
        <w:t>scheme</w:t>
      </w:r>
      <w:r w:rsidRPr="00AA1A20">
        <w:rPr>
          <w:rFonts w:cs="Open Sans"/>
          <w:lang w:val="en"/>
        </w:rPr>
        <w:t>, is requiring a company to modify a messaging application to include an independent port for law enforcement access. The creation of such a port, sometimes termed an ‘encryption backdoor’,</w:t>
      </w:r>
      <w:r w:rsidR="00545FC7" w:rsidRPr="00E37A2E">
        <w:rPr>
          <w:rStyle w:val="EndnoteReference"/>
          <w:vertAlign w:val="superscript"/>
        </w:rPr>
        <w:endnoteReference w:id="109"/>
      </w:r>
      <w:r w:rsidRPr="00AA1A20">
        <w:rPr>
          <w:rFonts w:cs="Open Sans"/>
          <w:lang w:val="en"/>
        </w:rPr>
        <w:t xml:space="preserve"> can greatly increase the susceptibility</w:t>
      </w:r>
      <w:r>
        <w:rPr>
          <w:rFonts w:cs="Open Sans"/>
          <w:lang w:val="en"/>
        </w:rPr>
        <w:t xml:space="preserve"> of an application</w:t>
      </w:r>
      <w:r w:rsidRPr="00AA1A20">
        <w:rPr>
          <w:rFonts w:cs="Open Sans"/>
          <w:lang w:val="en"/>
        </w:rPr>
        <w:t xml:space="preserve"> </w:t>
      </w:r>
      <w:r>
        <w:rPr>
          <w:rFonts w:cs="Open Sans"/>
          <w:lang w:val="en"/>
        </w:rPr>
        <w:t>to</w:t>
      </w:r>
      <w:r w:rsidRPr="00AA1A20">
        <w:rPr>
          <w:rFonts w:cs="Open Sans"/>
          <w:lang w:val="en"/>
        </w:rPr>
        <w:t xml:space="preserve"> hacking by a malicious actor. </w:t>
      </w:r>
    </w:p>
    <w:p w14:paraId="01CB6CC8" w14:textId="77777777" w:rsidR="00E1343F" w:rsidRPr="00AA1A20" w:rsidRDefault="00E1343F" w:rsidP="00E1343F">
      <w:pPr>
        <w:pStyle w:val="ListNumber"/>
        <w:tabs>
          <w:tab w:val="clear" w:pos="360"/>
          <w:tab w:val="num" w:pos="993"/>
          <w:tab w:val="left" w:pos="1418"/>
        </w:tabs>
        <w:ind w:left="709" w:hanging="567"/>
        <w:rPr>
          <w:rFonts w:cs="Open Sans"/>
        </w:rPr>
      </w:pPr>
      <w:r w:rsidRPr="00AA1A20">
        <w:rPr>
          <w:rFonts w:cs="Open Sans"/>
          <w:lang w:val="en"/>
        </w:rPr>
        <w:t xml:space="preserve">If such a port is hacked, third parties could obtain a vast amount of personal information, possibly about every user of the application, not just the law enforcement target. The result could be an increase in levels of cyber and traditional crime, such as identity fraud, and large-scale interferences with the rights to privacy and freedom of expression. </w:t>
      </w:r>
    </w:p>
    <w:p w14:paraId="7418EF9F" w14:textId="77777777" w:rsidR="00E1343F" w:rsidRPr="00AA1A20" w:rsidRDefault="00E1343F" w:rsidP="00E1343F">
      <w:pPr>
        <w:pStyle w:val="ListNumber"/>
        <w:tabs>
          <w:tab w:val="clear" w:pos="360"/>
          <w:tab w:val="num" w:pos="993"/>
          <w:tab w:val="left" w:pos="1418"/>
        </w:tabs>
        <w:ind w:left="709" w:hanging="567"/>
        <w:rPr>
          <w:rFonts w:cs="Open Sans"/>
        </w:rPr>
      </w:pPr>
      <w:r w:rsidRPr="00AA1A20">
        <w:rPr>
          <w:rFonts w:cs="Open Sans"/>
          <w:lang w:val="en"/>
        </w:rPr>
        <w:t xml:space="preserve">Such scenarios highlight the highly interconnected nature of cybersecurity technologies, and potentially pervasive consequences of </w:t>
      </w:r>
      <w:r>
        <w:rPr>
          <w:rFonts w:cs="Open Sans"/>
          <w:lang w:val="en"/>
        </w:rPr>
        <w:t>measures that may be taken in response to a claimed g</w:t>
      </w:r>
      <w:r w:rsidRPr="00AA1A20">
        <w:rPr>
          <w:rFonts w:cs="Open Sans"/>
          <w:lang w:val="en"/>
        </w:rPr>
        <w:t>overnment requir</w:t>
      </w:r>
      <w:r>
        <w:rPr>
          <w:rFonts w:cs="Open Sans"/>
          <w:lang w:val="en"/>
        </w:rPr>
        <w:t>ement for</w:t>
      </w:r>
      <w:r w:rsidRPr="00AA1A20">
        <w:rPr>
          <w:rFonts w:cs="Open Sans"/>
          <w:lang w:val="en"/>
        </w:rPr>
        <w:t xml:space="preserve"> exceptional access. </w:t>
      </w:r>
    </w:p>
    <w:p w14:paraId="610C00A4" w14:textId="72C66DFE"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While the Commission welcomes the government’s intention as set out in the </w:t>
      </w:r>
      <w:r>
        <w:rPr>
          <w:rFonts w:cs="Open Sans"/>
        </w:rPr>
        <w:t>Explanatory Memorandum</w:t>
      </w:r>
      <w:r w:rsidR="008E7925">
        <w:rPr>
          <w:rFonts w:cs="Open Sans"/>
        </w:rPr>
        <w:t>,</w:t>
      </w:r>
      <w:r w:rsidRPr="00AA1A20">
        <w:rPr>
          <w:rFonts w:cs="Open Sans"/>
        </w:rPr>
        <w:t xml:space="preserve"> not to </w:t>
      </w:r>
      <w:r w:rsidR="00E4759D">
        <w:rPr>
          <w:rFonts w:cs="Open Sans"/>
        </w:rPr>
        <w:t xml:space="preserve">mandate or </w:t>
      </w:r>
      <w:r w:rsidRPr="00AA1A20">
        <w:rPr>
          <w:rFonts w:cs="Open Sans"/>
        </w:rPr>
        <w:t xml:space="preserve">permit </w:t>
      </w:r>
      <w:r w:rsidR="00E4759D">
        <w:rPr>
          <w:rFonts w:cs="Open Sans"/>
        </w:rPr>
        <w:t xml:space="preserve">the creation or maintenance of </w:t>
      </w:r>
      <w:r w:rsidRPr="00AA1A20">
        <w:rPr>
          <w:rFonts w:cs="Open Sans"/>
        </w:rPr>
        <w:t>‘backdoors’,</w:t>
      </w:r>
      <w:r w:rsidR="00080B32" w:rsidRPr="00857B04">
        <w:rPr>
          <w:rStyle w:val="EndnoteReference"/>
          <w:vertAlign w:val="superscript"/>
        </w:rPr>
        <w:endnoteReference w:id="110"/>
      </w:r>
      <w:r w:rsidRPr="00AA1A20">
        <w:rPr>
          <w:rFonts w:cs="Open Sans"/>
        </w:rPr>
        <w:t xml:space="preserve"> it is concerned that the limitation in proposed s 317ZG may not achieve its intended effect. This is so for a number of reasons. </w:t>
      </w:r>
    </w:p>
    <w:p w14:paraId="24818C37" w14:textId="3703E7E5"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 xml:space="preserve">‘Systemic vulnerability’ and ‘systemic weakness’ are not defined in the </w:t>
      </w:r>
      <w:r>
        <w:rPr>
          <w:rFonts w:cs="Open Sans"/>
        </w:rPr>
        <w:t>Bill</w:t>
      </w:r>
      <w:r w:rsidRPr="00AA1A20">
        <w:rPr>
          <w:rFonts w:cs="Open Sans"/>
        </w:rPr>
        <w:t xml:space="preserve">. It is therefore unclear how these terms are to be interpreted, and exactly where a line can be drawn between a ‘weakness’ or ‘vulnerability’ that is ‘systemic’ </w:t>
      </w:r>
      <w:r w:rsidR="00E4759D">
        <w:rPr>
          <w:rFonts w:cs="Open Sans"/>
        </w:rPr>
        <w:t xml:space="preserve">as </w:t>
      </w:r>
      <w:r w:rsidRPr="00AA1A20">
        <w:rPr>
          <w:rFonts w:cs="Open Sans"/>
        </w:rPr>
        <w:t xml:space="preserve">opposed to non-systemic. </w:t>
      </w:r>
    </w:p>
    <w:p w14:paraId="18ECDE65"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meaning of ‘systemic’ is addressed in the </w:t>
      </w:r>
      <w:r>
        <w:rPr>
          <w:rFonts w:cs="Open Sans"/>
        </w:rPr>
        <w:t>Explanatory Memorandum</w:t>
      </w:r>
      <w:r w:rsidRPr="00AA1A20">
        <w:rPr>
          <w:rFonts w:cs="Open Sans"/>
        </w:rPr>
        <w:t xml:space="preserve"> as follows:</w:t>
      </w:r>
    </w:p>
    <w:p w14:paraId="521C75F3" w14:textId="4176AFC5" w:rsidR="002222AF" w:rsidRDefault="002222AF" w:rsidP="002222AF">
      <w:pPr>
        <w:pStyle w:val="EndnoteText"/>
        <w:rPr>
          <w:rFonts w:cs="Open Sans"/>
        </w:rPr>
      </w:pPr>
      <w:r w:rsidRPr="00DF50CF">
        <w:rPr>
          <w:rFonts w:cs="Open Sans"/>
        </w:rPr>
        <w:t xml:space="preserve">A technical assistance notice or technical capability notice may, notwithstanding new paragraph 317ZG(1)(a), require a provider to enable access to a particular service, particular device or particular item of software, which would not systemically weaken these products across the market. For example, if an agency were undertaking an investigation into an act of terrorism and a provider was capable of removing encryption from the device of a terrorism suspect without weakening other devices in the </w:t>
      </w:r>
      <w:r w:rsidRPr="00D611D8">
        <w:rPr>
          <w:rFonts w:cs="Open Sans"/>
        </w:rPr>
        <w:t>market then the provider could be compelled</w:t>
      </w:r>
      <w:r w:rsidRPr="00D611D8" w:rsidDel="00B471A0">
        <w:rPr>
          <w:rFonts w:cs="Open Sans"/>
        </w:rPr>
        <w:t xml:space="preserve"> </w:t>
      </w:r>
      <w:r w:rsidRPr="00D611D8">
        <w:rPr>
          <w:rFonts w:cs="Open Sans"/>
        </w:rPr>
        <w:t>under a technical assistance notice to provide help to the agency by removing the electronic protection. The mere fact that a capability to selectively assist agencies with access to a target device exists will n</w:t>
      </w:r>
      <w:r w:rsidRPr="000A4B7E">
        <w:rPr>
          <w:rFonts w:cs="Open Sans"/>
        </w:rPr>
        <w:t xml:space="preserve">ot necessarily mean that a systemic weakness has been built. The nature and scope of any weakness and vulnerability will turn on the circumstances in question and the degree to which malicious actors are able </w:t>
      </w:r>
      <w:r>
        <w:rPr>
          <w:rFonts w:cs="Open Sans"/>
        </w:rPr>
        <w:t>to exploit the changes required</w:t>
      </w:r>
      <w:r w:rsidR="008E7925">
        <w:rPr>
          <w:rFonts w:cs="Open Sans"/>
        </w:rPr>
        <w:t xml:space="preserve"> </w:t>
      </w:r>
      <w:r>
        <w:rPr>
          <w:rFonts w:cs="Open Sans"/>
        </w:rPr>
        <w:t>…</w:t>
      </w:r>
    </w:p>
    <w:p w14:paraId="101E74B7" w14:textId="75DCCFFA" w:rsidR="002222AF" w:rsidRPr="00AA1A20" w:rsidRDefault="002222AF" w:rsidP="002222AF">
      <w:pPr>
        <w:pStyle w:val="EndnoteText"/>
        <w:rPr>
          <w:rFonts w:cs="Open Sans"/>
        </w:rPr>
      </w:pPr>
      <w:r w:rsidRPr="006B194D">
        <w:rPr>
          <w:rFonts w:cs="Open Sans"/>
        </w:rPr>
        <w:t>Likewise, a notice or warrant may require a provider to facilitate access to information prior to or after a method of electronic protection is employed, as this does not weaken the electronic protection itself. A requirement to disclose an existing vulnerability is also not prohibited by 317ZG(1)(a).</w:t>
      </w:r>
      <w:r w:rsidRPr="00DF3B57">
        <w:rPr>
          <w:rStyle w:val="EndnoteReference"/>
          <w:vertAlign w:val="superscript"/>
        </w:rPr>
        <w:endnoteReference w:id="111"/>
      </w:r>
    </w:p>
    <w:p w14:paraId="7B703F9B" w14:textId="22592AE6" w:rsidR="002222AF" w:rsidRPr="00D611D8" w:rsidRDefault="002222AF" w:rsidP="002222AF">
      <w:pPr>
        <w:pStyle w:val="ListNumber"/>
        <w:tabs>
          <w:tab w:val="clear" w:pos="360"/>
          <w:tab w:val="num" w:pos="993"/>
          <w:tab w:val="left" w:pos="1418"/>
        </w:tabs>
        <w:ind w:left="709" w:hanging="567"/>
        <w:rPr>
          <w:rFonts w:cs="Open Sans"/>
        </w:rPr>
      </w:pPr>
      <w:r w:rsidRPr="00AA1A20">
        <w:rPr>
          <w:rFonts w:cs="Open Sans"/>
        </w:rPr>
        <w:t>However, this guidance is not</w:t>
      </w:r>
      <w:r w:rsidR="00857B04">
        <w:rPr>
          <w:rFonts w:cs="Open Sans"/>
        </w:rPr>
        <w:t xml:space="preserve"> full</w:t>
      </w:r>
      <w:r w:rsidR="008323B7">
        <w:rPr>
          <w:rFonts w:cs="Open Sans"/>
        </w:rPr>
        <w:t>y</w:t>
      </w:r>
      <w:r w:rsidRPr="00AA1A20">
        <w:rPr>
          <w:rFonts w:cs="Open Sans"/>
        </w:rPr>
        <w:t xml:space="preserve"> embodied in the </w:t>
      </w:r>
      <w:r w:rsidR="008323B7">
        <w:rPr>
          <w:rFonts w:cs="Open Sans"/>
        </w:rPr>
        <w:t>Bill itself</w:t>
      </w:r>
      <w:r w:rsidR="00813A2E">
        <w:rPr>
          <w:rFonts w:cs="Open Sans"/>
        </w:rPr>
        <w:t>.</w:t>
      </w:r>
      <w:r w:rsidRPr="00AA1A20">
        <w:rPr>
          <w:rFonts w:cs="Open Sans"/>
        </w:rPr>
        <w:t xml:space="preserve"> </w:t>
      </w:r>
      <w:r w:rsidR="00813A2E">
        <w:rPr>
          <w:rFonts w:cs="Open Sans"/>
        </w:rPr>
        <w:t xml:space="preserve">An </w:t>
      </w:r>
      <w:r w:rsidR="00813A2E" w:rsidRPr="00D611D8">
        <w:rPr>
          <w:rFonts w:cs="Open Sans"/>
        </w:rPr>
        <w:t>E</w:t>
      </w:r>
      <w:r w:rsidR="00813A2E">
        <w:rPr>
          <w:rFonts w:cs="Open Sans"/>
        </w:rPr>
        <w:t>xplanatory Memorandum</w:t>
      </w:r>
      <w:r w:rsidR="00813A2E" w:rsidRPr="00D611D8">
        <w:rPr>
          <w:rFonts w:cs="Open Sans"/>
        </w:rPr>
        <w:t xml:space="preserve"> do</w:t>
      </w:r>
      <w:r w:rsidR="00813A2E">
        <w:rPr>
          <w:rFonts w:cs="Open Sans"/>
        </w:rPr>
        <w:t>es</w:t>
      </w:r>
      <w:r w:rsidR="00813A2E" w:rsidRPr="00D611D8">
        <w:rPr>
          <w:rFonts w:cs="Open Sans"/>
        </w:rPr>
        <w:t xml:space="preserve"> n</w:t>
      </w:r>
      <w:r w:rsidR="00813A2E">
        <w:rPr>
          <w:rFonts w:cs="Open Sans"/>
        </w:rPr>
        <w:t>ot form part of the relevant</w:t>
      </w:r>
      <w:r w:rsidR="00813A2E" w:rsidRPr="00D611D8">
        <w:rPr>
          <w:rFonts w:cs="Open Sans"/>
        </w:rPr>
        <w:t xml:space="preserve"> legislation,</w:t>
      </w:r>
      <w:r w:rsidR="00813A2E">
        <w:rPr>
          <w:rFonts w:cs="Open Sans"/>
        </w:rPr>
        <w:t xml:space="preserve"> is</w:t>
      </w:r>
      <w:r w:rsidR="00813A2E" w:rsidRPr="00D611D8">
        <w:rPr>
          <w:rFonts w:cs="Open Sans"/>
        </w:rPr>
        <w:t xml:space="preserve"> not binding, and indeed may only be referred to by courts interpreting legislation where the meaning of a particular provision is considered ambiguous.</w:t>
      </w:r>
      <w:r w:rsidR="00813A2E" w:rsidRPr="00A451C5">
        <w:rPr>
          <w:rFonts w:cs="Open Sans"/>
        </w:rPr>
        <w:t xml:space="preserve"> </w:t>
      </w:r>
      <w:r w:rsidR="00813A2E">
        <w:rPr>
          <w:rFonts w:cs="Open Sans"/>
        </w:rPr>
        <w:t xml:space="preserve">In any event, the passage above </w:t>
      </w:r>
      <w:r w:rsidRPr="00AA1A20">
        <w:rPr>
          <w:rFonts w:cs="Open Sans"/>
        </w:rPr>
        <w:t xml:space="preserve">still does not allow precise identification of what constitutes a systemic or non-systemic weakness or vulnerability. </w:t>
      </w:r>
    </w:p>
    <w:p w14:paraId="23FCCB95" w14:textId="2CF1522C"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By way of example of the lack of clarity of the meaning of ‘systemic’, the </w:t>
      </w:r>
      <w:r>
        <w:rPr>
          <w:rFonts w:cs="Open Sans"/>
        </w:rPr>
        <w:t>Bill</w:t>
      </w:r>
      <w:r w:rsidRPr="00AA1A20">
        <w:rPr>
          <w:rFonts w:cs="Open Sans"/>
        </w:rPr>
        <w:t xml:space="preserve"> appears to permit the government to compel a provider to send (or ‘push’) a notification to an individual person through an application already installed on their phone such as Facebook Messenger, suggesting that the person download software to update the application. However, the downloaded software may not be an application update, but technology that allows a law enforcement agency to access the individual’s phone messages. </w:t>
      </w:r>
    </w:p>
    <w:p w14:paraId="341ACBA0" w14:textId="77777777" w:rsidR="002222AF" w:rsidRDefault="002222AF" w:rsidP="002222AF">
      <w:pPr>
        <w:pStyle w:val="ListNumber"/>
        <w:tabs>
          <w:tab w:val="clear" w:pos="360"/>
          <w:tab w:val="num" w:pos="993"/>
          <w:tab w:val="left" w:pos="1418"/>
        </w:tabs>
        <w:ind w:left="709" w:hanging="567"/>
        <w:rPr>
          <w:rFonts w:cs="Open Sans"/>
        </w:rPr>
      </w:pPr>
      <w:r w:rsidRPr="00AA1A20">
        <w:rPr>
          <w:rFonts w:cs="Open Sans"/>
        </w:rPr>
        <w:t xml:space="preserve">If a large number of persons became concerned about downloading application updates because of such potential access by law enforcement, </w:t>
      </w:r>
      <w:r w:rsidRPr="00AA1A20">
        <w:rPr>
          <w:rFonts w:cs="Open Sans"/>
        </w:rPr>
        <w:lastRenderedPageBreak/>
        <w:t>and stopped updating relevant software, this would have the likely consequence of weakening the overall cybersecurity of the application.</w:t>
      </w:r>
      <w:r w:rsidRPr="00DF3B57">
        <w:rPr>
          <w:rStyle w:val="EndnoteReference"/>
          <w:vertAlign w:val="superscript"/>
        </w:rPr>
        <w:endnoteReference w:id="112"/>
      </w:r>
      <w:r w:rsidRPr="00AA1A20">
        <w:rPr>
          <w:rFonts w:cs="Open Sans"/>
        </w:rPr>
        <w:t xml:space="preserve"> </w:t>
      </w:r>
    </w:p>
    <w:p w14:paraId="03029152" w14:textId="2EC6A08E" w:rsidR="002222AF" w:rsidRPr="00723A10" w:rsidRDefault="002222AF" w:rsidP="002222AF">
      <w:pPr>
        <w:pStyle w:val="ListNumber"/>
        <w:tabs>
          <w:tab w:val="clear" w:pos="360"/>
          <w:tab w:val="num" w:pos="993"/>
          <w:tab w:val="left" w:pos="1418"/>
        </w:tabs>
        <w:ind w:left="709" w:hanging="567"/>
        <w:rPr>
          <w:rFonts w:cs="Open Sans"/>
          <w:color w:val="000000" w:themeColor="text1"/>
        </w:rPr>
      </w:pPr>
      <w:r w:rsidRPr="00723A10">
        <w:rPr>
          <w:rFonts w:cs="Open Sans"/>
          <w:color w:val="000000" w:themeColor="text1"/>
        </w:rPr>
        <w:t xml:space="preserve">Further, while </w:t>
      </w:r>
      <w:r w:rsidR="00FB427E">
        <w:rPr>
          <w:rFonts w:cs="Open Sans"/>
          <w:color w:val="000000" w:themeColor="text1"/>
        </w:rPr>
        <w:t>a</w:t>
      </w:r>
      <w:r w:rsidRPr="00723A10">
        <w:rPr>
          <w:rFonts w:cs="Open Sans"/>
          <w:color w:val="000000" w:themeColor="text1"/>
        </w:rPr>
        <w:t xml:space="preserve"> single </w:t>
      </w:r>
      <w:r w:rsidR="00837C69">
        <w:rPr>
          <w:rFonts w:cs="Open Sans"/>
          <w:color w:val="000000" w:themeColor="text1"/>
        </w:rPr>
        <w:t>‘act or thing’</w:t>
      </w:r>
      <w:r w:rsidR="00FB5828">
        <w:rPr>
          <w:rFonts w:cs="Open Sans"/>
          <w:color w:val="000000" w:themeColor="text1"/>
        </w:rPr>
        <w:t xml:space="preserve"> </w:t>
      </w:r>
      <w:r w:rsidR="00DD2FE1">
        <w:rPr>
          <w:rFonts w:cs="Open Sans"/>
          <w:color w:val="000000" w:themeColor="text1"/>
        </w:rPr>
        <w:t>might be authorised under</w:t>
      </w:r>
      <w:r w:rsidR="00FB5828">
        <w:rPr>
          <w:rFonts w:cs="Open Sans"/>
          <w:color w:val="000000" w:themeColor="text1"/>
        </w:rPr>
        <w:t xml:space="preserve"> an individual </w:t>
      </w:r>
      <w:r w:rsidR="00DD2FE1">
        <w:rPr>
          <w:rFonts w:cs="Open Sans"/>
          <w:color w:val="000000" w:themeColor="text1"/>
        </w:rPr>
        <w:t>request or notice that has been given</w:t>
      </w:r>
      <w:r w:rsidRPr="00723A10">
        <w:rPr>
          <w:rFonts w:cs="Open Sans"/>
          <w:color w:val="000000" w:themeColor="text1"/>
        </w:rPr>
        <w:t xml:space="preserve">, the results of </w:t>
      </w:r>
      <w:r w:rsidR="00DD2FE1" w:rsidRPr="00723A10">
        <w:rPr>
          <w:rFonts w:cs="Open Sans"/>
          <w:color w:val="000000" w:themeColor="text1"/>
        </w:rPr>
        <w:t>th</w:t>
      </w:r>
      <w:r w:rsidR="00DD2FE1">
        <w:rPr>
          <w:rFonts w:cs="Open Sans"/>
          <w:color w:val="000000" w:themeColor="text1"/>
        </w:rPr>
        <w:t>e</w:t>
      </w:r>
      <w:r w:rsidR="00DD2FE1" w:rsidRPr="00723A10">
        <w:rPr>
          <w:rFonts w:cs="Open Sans"/>
          <w:color w:val="000000" w:themeColor="text1"/>
        </w:rPr>
        <w:t xml:space="preserve"> </w:t>
      </w:r>
      <w:r w:rsidRPr="00723A10">
        <w:rPr>
          <w:rFonts w:cs="Open Sans"/>
          <w:color w:val="000000" w:themeColor="text1"/>
        </w:rPr>
        <w:t xml:space="preserve">assistance </w:t>
      </w:r>
      <w:r w:rsidR="00DD2FE1">
        <w:rPr>
          <w:rFonts w:cs="Open Sans"/>
          <w:color w:val="000000" w:themeColor="text1"/>
        </w:rPr>
        <w:t xml:space="preserve">rendered might be able to be used </w:t>
      </w:r>
      <w:r w:rsidRPr="00723A10">
        <w:rPr>
          <w:rFonts w:cs="Open Sans"/>
          <w:color w:val="000000" w:themeColor="text1"/>
        </w:rPr>
        <w:t>again and again.</w:t>
      </w:r>
      <w:r w:rsidR="00B72694">
        <w:rPr>
          <w:rFonts w:cs="Open Sans"/>
          <w:color w:val="000000" w:themeColor="text1"/>
        </w:rPr>
        <w:t xml:space="preserve"> This extends to use</w:t>
      </w:r>
      <w:r w:rsidR="00DD2FE1">
        <w:rPr>
          <w:rFonts w:cs="Open Sans"/>
          <w:color w:val="000000" w:themeColor="text1"/>
        </w:rPr>
        <w:t xml:space="preserve"> by the relevant agency on different future occasions for different purposes, or potentially by multiple </w:t>
      </w:r>
      <w:r w:rsidR="00B72694">
        <w:rPr>
          <w:rFonts w:cs="Open Sans"/>
          <w:color w:val="000000" w:themeColor="text1"/>
        </w:rPr>
        <w:t xml:space="preserve">different </w:t>
      </w:r>
      <w:r w:rsidR="00DD2FE1">
        <w:rPr>
          <w:rFonts w:cs="Open Sans"/>
          <w:color w:val="000000" w:themeColor="text1"/>
        </w:rPr>
        <w:t xml:space="preserve">agencies if </w:t>
      </w:r>
      <w:r w:rsidR="00B72694">
        <w:rPr>
          <w:rFonts w:cs="Open Sans"/>
          <w:color w:val="000000" w:themeColor="text1"/>
        </w:rPr>
        <w:t>request or notice information is shared between agencies pursuant to</w:t>
      </w:r>
      <w:r w:rsidR="00205E36">
        <w:rPr>
          <w:rFonts w:cs="Open Sans"/>
          <w:color w:val="000000" w:themeColor="text1"/>
        </w:rPr>
        <w:t xml:space="preserve"> s </w:t>
      </w:r>
      <w:r w:rsidR="00B72694">
        <w:rPr>
          <w:rFonts w:cs="Open Sans"/>
          <w:color w:val="000000" w:themeColor="text1"/>
        </w:rPr>
        <w:t>317ZF(6)–(11)</w:t>
      </w:r>
      <w:r w:rsidR="00DD2FE1">
        <w:rPr>
          <w:rFonts w:cs="Open Sans"/>
          <w:color w:val="000000" w:themeColor="text1"/>
        </w:rPr>
        <w:t xml:space="preserve">. </w:t>
      </w:r>
      <w:r w:rsidRPr="00723A10">
        <w:rPr>
          <w:rFonts w:cs="Open Sans"/>
          <w:color w:val="000000" w:themeColor="text1"/>
        </w:rPr>
        <w:t>For example,</w:t>
      </w:r>
      <w:r w:rsidR="00FB750C">
        <w:rPr>
          <w:rFonts w:cs="Open Sans"/>
          <w:color w:val="000000" w:themeColor="text1"/>
        </w:rPr>
        <w:t xml:space="preserve"> it is possible that</w:t>
      </w:r>
      <w:r w:rsidRPr="00723A10">
        <w:rPr>
          <w:rFonts w:cs="Open Sans"/>
          <w:color w:val="000000" w:themeColor="text1"/>
        </w:rPr>
        <w:t xml:space="preserve"> </w:t>
      </w:r>
      <w:r w:rsidR="00837C69">
        <w:rPr>
          <w:rFonts w:cs="Open Sans"/>
          <w:color w:val="000000" w:themeColor="text1"/>
        </w:rPr>
        <w:t>informatio</w:t>
      </w:r>
      <w:r w:rsidRPr="00723A10">
        <w:rPr>
          <w:rFonts w:cs="Open Sans"/>
          <w:color w:val="000000" w:themeColor="text1"/>
        </w:rPr>
        <w:t>n</w:t>
      </w:r>
      <w:r w:rsidR="00837C69">
        <w:rPr>
          <w:rFonts w:cs="Open Sans"/>
          <w:color w:val="000000" w:themeColor="text1"/>
        </w:rPr>
        <w:t xml:space="preserve"> provided or an action</w:t>
      </w:r>
      <w:r w:rsidRPr="00723A10">
        <w:rPr>
          <w:rFonts w:cs="Open Sans"/>
          <w:color w:val="000000" w:themeColor="text1"/>
        </w:rPr>
        <w:t xml:space="preserve"> </w:t>
      </w:r>
      <w:r w:rsidR="00FB750C">
        <w:rPr>
          <w:rFonts w:cs="Open Sans"/>
          <w:color w:val="000000" w:themeColor="text1"/>
        </w:rPr>
        <w:t xml:space="preserve">performed by one provider </w:t>
      </w:r>
      <w:r w:rsidR="00B72694">
        <w:rPr>
          <w:rFonts w:cs="Open Sans"/>
          <w:color w:val="000000" w:themeColor="text1"/>
        </w:rPr>
        <w:t xml:space="preserve">in compliance with one notice </w:t>
      </w:r>
      <w:r w:rsidR="00FB750C">
        <w:rPr>
          <w:rFonts w:cs="Open Sans"/>
          <w:color w:val="000000" w:themeColor="text1"/>
        </w:rPr>
        <w:t xml:space="preserve">could be re-used </w:t>
      </w:r>
      <w:r w:rsidR="00837C69">
        <w:rPr>
          <w:rFonts w:cs="Open Sans"/>
          <w:color w:val="000000" w:themeColor="text1"/>
        </w:rPr>
        <w:t xml:space="preserve">by an agency </w:t>
      </w:r>
      <w:r w:rsidRPr="00723A10">
        <w:rPr>
          <w:rFonts w:cs="Open Sans"/>
          <w:color w:val="000000" w:themeColor="text1"/>
        </w:rPr>
        <w:t>for future warrant operations.</w:t>
      </w:r>
    </w:p>
    <w:p w14:paraId="148DA240" w14:textId="4AF9B46A" w:rsidR="002222AF" w:rsidRDefault="002222AF" w:rsidP="002222AF">
      <w:pPr>
        <w:pStyle w:val="ListNumber"/>
        <w:tabs>
          <w:tab w:val="clear" w:pos="360"/>
          <w:tab w:val="num" w:pos="993"/>
          <w:tab w:val="left" w:pos="1418"/>
        </w:tabs>
        <w:ind w:left="709" w:hanging="567"/>
        <w:rPr>
          <w:rFonts w:cs="Open Sans"/>
        </w:rPr>
      </w:pPr>
      <w:r w:rsidRPr="00AA1A20">
        <w:rPr>
          <w:rFonts w:cs="Open Sans"/>
        </w:rPr>
        <w:t xml:space="preserve">Accordingly, while </w:t>
      </w:r>
      <w:r>
        <w:rPr>
          <w:rFonts w:cs="Open Sans"/>
        </w:rPr>
        <w:t>an</w:t>
      </w:r>
      <w:r w:rsidRPr="00AA1A20">
        <w:rPr>
          <w:rFonts w:cs="Open Sans"/>
        </w:rPr>
        <w:t xml:space="preserve"> initial decryption measure </w:t>
      </w:r>
      <w:r>
        <w:rPr>
          <w:rFonts w:cs="Open Sans"/>
        </w:rPr>
        <w:t>could</w:t>
      </w:r>
      <w:r w:rsidRPr="00AA1A20">
        <w:rPr>
          <w:rFonts w:cs="Open Sans"/>
        </w:rPr>
        <w:t xml:space="preserve"> be authorised by </w:t>
      </w:r>
      <w:r>
        <w:rPr>
          <w:rFonts w:cs="Open Sans"/>
        </w:rPr>
        <w:t>a notice</w:t>
      </w:r>
      <w:r w:rsidRPr="00AA1A20">
        <w:rPr>
          <w:rFonts w:cs="Open Sans"/>
        </w:rPr>
        <w:t xml:space="preserve">, it could ultimately, in a practical sense, </w:t>
      </w:r>
      <w:r>
        <w:rPr>
          <w:rFonts w:cs="Open Sans"/>
        </w:rPr>
        <w:t xml:space="preserve">decrease the cybersecurity of communications or devices over the long term, </w:t>
      </w:r>
      <w:r w:rsidRPr="00AA1A20">
        <w:rPr>
          <w:rFonts w:cs="Open Sans"/>
        </w:rPr>
        <w:t>lead</w:t>
      </w:r>
      <w:r>
        <w:rPr>
          <w:rFonts w:cs="Open Sans"/>
        </w:rPr>
        <w:t>ing</w:t>
      </w:r>
      <w:r w:rsidRPr="00AA1A20">
        <w:rPr>
          <w:rFonts w:cs="Open Sans"/>
        </w:rPr>
        <w:t xml:space="preserve"> to a ‘systemic’ weakness</w:t>
      </w:r>
      <w:r w:rsidR="00D722A3">
        <w:rPr>
          <w:rFonts w:cs="Open Sans"/>
        </w:rPr>
        <w:t>,</w:t>
      </w:r>
      <w:r w:rsidRPr="00AA1A20">
        <w:rPr>
          <w:rFonts w:cs="Open Sans"/>
        </w:rPr>
        <w:t xml:space="preserve"> which proposed s 317ZG is intended to prevent.</w:t>
      </w:r>
    </w:p>
    <w:p w14:paraId="18963238" w14:textId="6132E44F" w:rsidR="002222AF" w:rsidRPr="00AA1A20" w:rsidRDefault="002222AF" w:rsidP="002222AF">
      <w:pPr>
        <w:pStyle w:val="ListNumber"/>
        <w:tabs>
          <w:tab w:val="clear" w:pos="360"/>
          <w:tab w:val="num" w:pos="993"/>
          <w:tab w:val="left" w:pos="1418"/>
        </w:tabs>
        <w:ind w:left="709" w:hanging="567"/>
        <w:rPr>
          <w:rFonts w:cs="Open Sans"/>
        </w:rPr>
      </w:pPr>
      <w:r>
        <w:rPr>
          <w:rFonts w:cs="Open Sans"/>
        </w:rPr>
        <w:t xml:space="preserve">With respect to TCNs, some additional protection is afforded by the requirement that the Attorney-General consult with a provider before giving a </w:t>
      </w:r>
      <w:r w:rsidR="00993311">
        <w:rPr>
          <w:rFonts w:cs="Open Sans"/>
        </w:rPr>
        <w:t>notice, and the possibility of jointly appointing an</w:t>
      </w:r>
      <w:r>
        <w:rPr>
          <w:rFonts w:cs="Open Sans"/>
        </w:rPr>
        <w:t xml:space="preserve"> assessor </w:t>
      </w:r>
      <w:r w:rsidR="00993311">
        <w:rPr>
          <w:rFonts w:cs="Open Sans"/>
        </w:rPr>
        <w:t>to consider</w:t>
      </w:r>
      <w:r>
        <w:rPr>
          <w:rFonts w:cs="Open Sans"/>
        </w:rPr>
        <w:t xml:space="preserve"> whether the proposed TCN would contravene</w:t>
      </w:r>
      <w:r w:rsidR="00205E36">
        <w:rPr>
          <w:rFonts w:cs="Open Sans"/>
        </w:rPr>
        <w:t xml:space="preserve"> s </w:t>
      </w:r>
      <w:r>
        <w:rPr>
          <w:rFonts w:cs="Open Sans"/>
        </w:rPr>
        <w:t>317ZG. However, as discussed below at [</w:t>
      </w:r>
      <w:r w:rsidR="00FB750C">
        <w:rPr>
          <w:rFonts w:cs="Open Sans"/>
          <w:highlight w:val="yellow"/>
        </w:rPr>
        <w:fldChar w:fldCharType="begin"/>
      </w:r>
      <w:r w:rsidR="00FB750C">
        <w:rPr>
          <w:rFonts w:cs="Open Sans"/>
        </w:rPr>
        <w:instrText xml:space="preserve"> REF _Ref526790111 \r \h </w:instrText>
      </w:r>
      <w:r w:rsidR="00FB750C">
        <w:rPr>
          <w:rFonts w:cs="Open Sans"/>
          <w:highlight w:val="yellow"/>
        </w:rPr>
      </w:r>
      <w:r w:rsidR="00FB750C">
        <w:rPr>
          <w:rFonts w:cs="Open Sans"/>
          <w:highlight w:val="yellow"/>
        </w:rPr>
        <w:fldChar w:fldCharType="separate"/>
      </w:r>
      <w:r w:rsidR="00372D72">
        <w:rPr>
          <w:rFonts w:cs="Open Sans"/>
        </w:rPr>
        <w:t>283</w:t>
      </w:r>
      <w:r w:rsidR="00FB750C">
        <w:rPr>
          <w:rFonts w:cs="Open Sans"/>
          <w:highlight w:val="yellow"/>
        </w:rPr>
        <w:fldChar w:fldCharType="end"/>
      </w:r>
      <w:r>
        <w:rPr>
          <w:rFonts w:cs="Open Sans"/>
        </w:rPr>
        <w:t>], there are exceptions to the requirement to consult with providers before issuing a TCN.</w:t>
      </w:r>
      <w:r w:rsidR="0038253F">
        <w:rPr>
          <w:rFonts w:cs="Open Sans"/>
        </w:rPr>
        <w:t xml:space="preserve"> </w:t>
      </w:r>
    </w:p>
    <w:p w14:paraId="551144F7" w14:textId="5E3A95D1"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Commission considers that more clearly defining the meaning of ‘systemic vulnerability’ and ‘systemic weakness’ in the </w:t>
      </w:r>
      <w:r>
        <w:rPr>
          <w:rFonts w:cs="Open Sans"/>
        </w:rPr>
        <w:t>Bill</w:t>
      </w:r>
      <w:r w:rsidRPr="00AA1A20">
        <w:rPr>
          <w:rFonts w:cs="Open Sans"/>
        </w:rPr>
        <w:t xml:space="preserve"> </w:t>
      </w:r>
      <w:r w:rsidR="00EB06F7">
        <w:rPr>
          <w:rFonts w:cs="Open Sans"/>
        </w:rPr>
        <w:t>would</w:t>
      </w:r>
      <w:r w:rsidRPr="00AA1A20">
        <w:rPr>
          <w:rFonts w:cs="Open Sans"/>
        </w:rPr>
        <w:t xml:space="preserve"> enhance the efficacy of the safeguard</w:t>
      </w:r>
      <w:r w:rsidR="00865E12">
        <w:rPr>
          <w:rFonts w:cs="Open Sans"/>
        </w:rPr>
        <w:t xml:space="preserve"> in</w:t>
      </w:r>
      <w:r w:rsidR="00205E36">
        <w:rPr>
          <w:rFonts w:cs="Open Sans"/>
        </w:rPr>
        <w:t xml:space="preserve"> s </w:t>
      </w:r>
      <w:r w:rsidR="00865E12" w:rsidRPr="00AA1A20">
        <w:rPr>
          <w:rFonts w:cs="Open Sans"/>
        </w:rPr>
        <w:t>317ZG</w:t>
      </w:r>
      <w:r w:rsidRPr="00AA1A20">
        <w:rPr>
          <w:rFonts w:cs="Open Sans"/>
        </w:rPr>
        <w:t xml:space="preserve">, as well as provide greater certainty about the extent to which the </w:t>
      </w:r>
      <w:r>
        <w:rPr>
          <w:rFonts w:cs="Open Sans"/>
        </w:rPr>
        <w:t>Bill</w:t>
      </w:r>
      <w:r w:rsidRPr="00AA1A20">
        <w:rPr>
          <w:rFonts w:cs="Open Sans"/>
        </w:rPr>
        <w:t xml:space="preserve"> may impinge on the rights of users of technology.</w:t>
      </w:r>
    </w:p>
    <w:p w14:paraId="128FA188" w14:textId="18530276"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potential ambiguity of the meaning of the word ‘systemic’ in the </w:t>
      </w:r>
      <w:r>
        <w:rPr>
          <w:rFonts w:cs="Open Sans"/>
        </w:rPr>
        <w:t>Bill</w:t>
      </w:r>
      <w:r w:rsidRPr="00AA1A20">
        <w:rPr>
          <w:rFonts w:cs="Open Sans"/>
        </w:rPr>
        <w:t xml:space="preserve"> raises another serious concern flowing from the fact that the validity of a coercive notice depends on the relevant assistance not violating the limitation in proposed</w:t>
      </w:r>
      <w:r w:rsidR="00205E36">
        <w:rPr>
          <w:rFonts w:cs="Open Sans"/>
        </w:rPr>
        <w:t xml:space="preserve"> s </w:t>
      </w:r>
      <w:r w:rsidRPr="00AA1A20">
        <w:rPr>
          <w:rFonts w:cs="Open Sans"/>
        </w:rPr>
        <w:t xml:space="preserve">317ZG. </w:t>
      </w:r>
    </w:p>
    <w:p w14:paraId="2B34A42B" w14:textId="77777777" w:rsidR="002222AF" w:rsidRPr="00AA1A20" w:rsidRDefault="002222AF" w:rsidP="002222AF">
      <w:pPr>
        <w:pStyle w:val="ListNumber"/>
        <w:tabs>
          <w:tab w:val="clear" w:pos="360"/>
          <w:tab w:val="num" w:pos="993"/>
          <w:tab w:val="left" w:pos="1418"/>
        </w:tabs>
        <w:ind w:left="709" w:hanging="567"/>
        <w:rPr>
          <w:rFonts w:cs="Open Sans"/>
        </w:rPr>
      </w:pPr>
      <w:bookmarkStart w:id="151" w:name="_Ref524084261"/>
      <w:r w:rsidRPr="00AA1A20">
        <w:rPr>
          <w:rFonts w:cs="Open Sans"/>
        </w:rPr>
        <w:t>A provider could be uncertain of the validity of a notice on its face, because they are unsure of whether the requirements imposed by the purported notice would have a prohibited ‘systemic’ effect. However, regardless of being uncertain of their obligations, a provider faces a significant civil penalty for non-compliance. This may cause a provider either not to comply with a valid notice, because of an incorrect belief that the s 317ZG limitation applies, or to comply with an invalid notice because of a fear of the consequences.</w:t>
      </w:r>
      <w:r w:rsidRPr="00DF3B57">
        <w:rPr>
          <w:rStyle w:val="EndnoteReference"/>
          <w:vertAlign w:val="superscript"/>
        </w:rPr>
        <w:endnoteReference w:id="113"/>
      </w:r>
      <w:bookmarkEnd w:id="151"/>
      <w:r w:rsidRPr="00AA1A20">
        <w:rPr>
          <w:rFonts w:cs="Open Sans"/>
        </w:rPr>
        <w:t xml:space="preserve"> </w:t>
      </w:r>
    </w:p>
    <w:p w14:paraId="1D8ABD38" w14:textId="54CCE634"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 xml:space="preserve">Further, this lack of clarity brings into question the </w:t>
      </w:r>
      <w:r w:rsidR="00865E12">
        <w:rPr>
          <w:rFonts w:cs="Open Sans"/>
        </w:rPr>
        <w:t>‘</w:t>
      </w:r>
      <w:r w:rsidRPr="00AA1A20">
        <w:rPr>
          <w:rFonts w:cs="Open Sans"/>
        </w:rPr>
        <w:t>lawfulness</w:t>
      </w:r>
      <w:r w:rsidR="00865E12">
        <w:rPr>
          <w:rFonts w:cs="Open Sans"/>
        </w:rPr>
        <w:t xml:space="preserve">’ for the purposes of human rights law </w:t>
      </w:r>
      <w:r w:rsidRPr="00AA1A20">
        <w:rPr>
          <w:rFonts w:cs="Open Sans"/>
        </w:rPr>
        <w:t>of any interference with privacy or other human right under a purportedly valid notice, given that any limitation on a human right must be provided for by law in a clear and precise manner.</w:t>
      </w:r>
    </w:p>
    <w:p w14:paraId="6E89DEA3" w14:textId="768500C1" w:rsidR="002222AF" w:rsidRPr="00AA1A20" w:rsidRDefault="00DF2425" w:rsidP="002222AF">
      <w:pPr>
        <w:pStyle w:val="ListNumber"/>
        <w:tabs>
          <w:tab w:val="clear" w:pos="360"/>
          <w:tab w:val="num" w:pos="993"/>
          <w:tab w:val="left" w:pos="1418"/>
        </w:tabs>
        <w:ind w:left="709" w:hanging="567"/>
        <w:rPr>
          <w:rFonts w:cs="Open Sans"/>
        </w:rPr>
      </w:pPr>
      <w:r>
        <w:rPr>
          <w:rFonts w:cs="Open Sans"/>
        </w:rPr>
        <w:t>T</w:t>
      </w:r>
      <w:r w:rsidR="002222AF" w:rsidRPr="00AA1A20">
        <w:rPr>
          <w:rFonts w:cs="Open Sans"/>
        </w:rPr>
        <w:t xml:space="preserve">he </w:t>
      </w:r>
      <w:r w:rsidR="002222AF" w:rsidRPr="00AA1A20">
        <w:rPr>
          <w:rFonts w:cs="Open Sans"/>
          <w:lang w:val="en-US"/>
        </w:rPr>
        <w:t>Australian Law Reform Commission (</w:t>
      </w:r>
      <w:r w:rsidR="002222AF" w:rsidRPr="00AA1A20">
        <w:rPr>
          <w:rFonts w:cs="Open Sans"/>
        </w:rPr>
        <w:t>ALRC)</w:t>
      </w:r>
      <w:r>
        <w:rPr>
          <w:rFonts w:cs="Open Sans"/>
        </w:rPr>
        <w:t xml:space="preserve"> and academic commentators </w:t>
      </w:r>
      <w:r w:rsidR="002222AF" w:rsidRPr="00AA1A20">
        <w:rPr>
          <w:rFonts w:cs="Open Sans"/>
        </w:rPr>
        <w:t>have stated that the requirement that criminal laws be sufficiently clear, and not operate retrospectively, may be breached where the scope of an offence is uncertain until it has been interpreted by the courts.</w:t>
      </w:r>
      <w:r w:rsidR="002222AF" w:rsidRPr="00DF3B57">
        <w:rPr>
          <w:rStyle w:val="EndnoteReference"/>
          <w:vertAlign w:val="superscript"/>
        </w:rPr>
        <w:endnoteReference w:id="114"/>
      </w:r>
      <w:r w:rsidR="002222AF" w:rsidRPr="00AA1A20">
        <w:rPr>
          <w:rFonts w:cs="Open Sans"/>
        </w:rPr>
        <w:t xml:space="preserve"> The Commission considers that the same risk may apply where the scope of provisions that can lead to the imposition of a substantial civil penalty is unclear.</w:t>
      </w:r>
    </w:p>
    <w:p w14:paraId="3A2F167D" w14:textId="1E376026"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Given the serious consequences of non-compliance, it is important for providers to be able to seek review of the validity of a notice in an accessible and efficient forum.</w:t>
      </w:r>
      <w:r w:rsidRPr="00AC5658">
        <w:rPr>
          <w:rStyle w:val="EndnoteReference"/>
          <w:vertAlign w:val="superscript"/>
        </w:rPr>
        <w:endnoteReference w:id="115"/>
      </w:r>
      <w:r w:rsidRPr="00AA1A20">
        <w:rPr>
          <w:rFonts w:cs="Open Sans"/>
        </w:rPr>
        <w:t xml:space="preserve"> The Commission considers, as discussed at</w:t>
      </w:r>
      <w:r>
        <w:rPr>
          <w:rFonts w:cs="Open Sans"/>
        </w:rPr>
        <w:t xml:space="preserve"> Pt</w:t>
      </w:r>
      <w:r w:rsidRPr="00AA1A20">
        <w:rPr>
          <w:rFonts w:cs="Open Sans"/>
        </w:rPr>
        <w:t xml:space="preserve"> </w:t>
      </w:r>
      <w:r w:rsidRPr="00AA1A20">
        <w:rPr>
          <w:rFonts w:cs="Open Sans"/>
          <w:highlight w:val="cyan"/>
        </w:rPr>
        <w:fldChar w:fldCharType="begin"/>
      </w:r>
      <w:r w:rsidRPr="00AA1A20">
        <w:rPr>
          <w:rFonts w:cs="Open Sans"/>
        </w:rPr>
        <w:instrText xml:space="preserve"> REF _Ref523846933 \r \h </w:instrText>
      </w:r>
      <w:r>
        <w:rPr>
          <w:rFonts w:cs="Open Sans"/>
          <w:highlight w:val="cyan"/>
        </w:rPr>
        <w:instrText xml:space="preserve"> \* MERGEFORMAT </w:instrText>
      </w:r>
      <w:r w:rsidRPr="00AA1A20">
        <w:rPr>
          <w:rFonts w:cs="Open Sans"/>
          <w:highlight w:val="cyan"/>
        </w:rPr>
      </w:r>
      <w:r w:rsidRPr="00AA1A20">
        <w:rPr>
          <w:rFonts w:cs="Open Sans"/>
          <w:highlight w:val="cyan"/>
        </w:rPr>
        <w:fldChar w:fldCharType="separate"/>
      </w:r>
      <w:r w:rsidR="00372D72">
        <w:rPr>
          <w:rFonts w:cs="Open Sans"/>
        </w:rPr>
        <w:t>5.6</w:t>
      </w:r>
      <w:r w:rsidRPr="00AA1A20">
        <w:rPr>
          <w:rFonts w:cs="Open Sans"/>
          <w:highlight w:val="cyan"/>
        </w:rPr>
        <w:fldChar w:fldCharType="end"/>
      </w:r>
      <w:r w:rsidRPr="00AA1A20">
        <w:rPr>
          <w:rFonts w:cs="Open Sans"/>
        </w:rPr>
        <w:t xml:space="preserve"> below, that it is appropriate to afford a form of administrative review as well as potentially make </w:t>
      </w:r>
      <w:r w:rsidRPr="00AA1A20">
        <w:rPr>
          <w:rFonts w:cs="Open Sans"/>
          <w:i/>
          <w:lang w:val="en-US"/>
        </w:rPr>
        <w:t xml:space="preserve">Administrative Decisions (Judicial Review) Act 1977 </w:t>
      </w:r>
      <w:r w:rsidRPr="00AA1A20">
        <w:rPr>
          <w:rFonts w:cs="Open Sans"/>
          <w:lang w:val="en-US"/>
        </w:rPr>
        <w:t>(Cth) (</w:t>
      </w:r>
      <w:r w:rsidRPr="00AA1A20">
        <w:rPr>
          <w:rFonts w:cs="Open Sans"/>
        </w:rPr>
        <w:t xml:space="preserve">ADJR Act) review available </w:t>
      </w:r>
      <w:r w:rsidR="00865E12">
        <w:rPr>
          <w:rFonts w:cs="Open Sans"/>
        </w:rPr>
        <w:t xml:space="preserve">in relation </w:t>
      </w:r>
      <w:r w:rsidRPr="00AA1A20">
        <w:rPr>
          <w:rFonts w:cs="Open Sans"/>
        </w:rPr>
        <w:t xml:space="preserve">to decisions made under proposed new Pt 15 of the </w:t>
      </w:r>
      <w:r w:rsidRPr="00AA1A20">
        <w:rPr>
          <w:rFonts w:cs="Open Sans"/>
          <w:i/>
        </w:rPr>
        <w:t>Telecommunications Act 1997</w:t>
      </w:r>
      <w:r w:rsidRPr="00AA1A20">
        <w:rPr>
          <w:rFonts w:cs="Open Sans"/>
        </w:rPr>
        <w:t xml:space="preserve"> (Cth). </w:t>
      </w:r>
    </w:p>
    <w:p w14:paraId="3B7E9C3E" w14:textId="7AD0D203"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Further</w:t>
      </w:r>
      <w:r w:rsidRPr="00AA1A20">
        <w:rPr>
          <w:rFonts w:cs="Open Sans"/>
          <w:lang w:eastAsia="en-US"/>
        </w:rPr>
        <w:t>, the Commission is concerned about the human rights impacts of the Bill’s authorisation of other measures that permit access to otherwise private communications, including the breaking of encryption, even where the effects do not lead to a systemic weakn</w:t>
      </w:r>
      <w:r w:rsidR="000800E5">
        <w:rPr>
          <w:rFonts w:cs="Open Sans"/>
          <w:lang w:eastAsia="en-US"/>
        </w:rPr>
        <w:t>ess or vulnerability</w:t>
      </w:r>
      <w:r w:rsidRPr="00AA1A20">
        <w:rPr>
          <w:rFonts w:cs="Open Sans"/>
          <w:lang w:eastAsia="en-US"/>
        </w:rPr>
        <w:t>.</w:t>
      </w:r>
    </w:p>
    <w:p w14:paraId="033CC068" w14:textId="08E46923"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lang w:eastAsia="en-US"/>
        </w:rPr>
        <w:t xml:space="preserve">For example, the </w:t>
      </w:r>
      <w:r w:rsidR="000A4DD2">
        <w:rPr>
          <w:rFonts w:cs="Open Sans"/>
          <w:lang w:eastAsia="en-US"/>
        </w:rPr>
        <w:t>scheme</w:t>
      </w:r>
      <w:r w:rsidR="000A4DD2" w:rsidRPr="00AA1A20">
        <w:rPr>
          <w:rFonts w:cs="Open Sans"/>
          <w:lang w:eastAsia="en-US"/>
        </w:rPr>
        <w:t xml:space="preserve"> </w:t>
      </w:r>
      <w:r w:rsidRPr="00AA1A20">
        <w:rPr>
          <w:rFonts w:cs="Open Sans"/>
          <w:lang w:eastAsia="en-US"/>
        </w:rPr>
        <w:t xml:space="preserve">allows an agency to compel a provider to disclose a decryption key, or to provide targeted decryption assistance (for example, of certain communications). While </w:t>
      </w:r>
      <w:r w:rsidRPr="00AA1A20">
        <w:rPr>
          <w:rFonts w:cs="Open Sans"/>
          <w:i/>
          <w:lang w:eastAsia="en-US"/>
        </w:rPr>
        <w:t xml:space="preserve">prima facie </w:t>
      </w:r>
      <w:r w:rsidRPr="00AA1A20">
        <w:rPr>
          <w:rFonts w:cs="Open Sans"/>
          <w:lang w:eastAsia="en-US"/>
        </w:rPr>
        <w:t>a more proportionate interference than the building of ‘backdoor’ ports for law enforcement, such measures still seriously interfere with the right to privacy among other rights and must be justified as lawful, necessary and proportionate.</w:t>
      </w:r>
    </w:p>
    <w:p w14:paraId="4CAE0D01" w14:textId="04918B2F"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lang w:eastAsia="en-US"/>
        </w:rPr>
        <w:t>For example, disclosure of an encryption key by a provider could allow an agency to scrutinise a person’s complete set of digital communications on a device or service, whether past or future, not just those relevant to an investigation. Further, as with backdoor ports, the very existence of mandatory key disclosure powers could have a chilling effect on the use of information communication technologies to exercise the right to freedom of expression.</w:t>
      </w:r>
      <w:r w:rsidR="0038253F">
        <w:rPr>
          <w:rFonts w:cs="Open Sans"/>
          <w:lang w:eastAsia="en-US"/>
        </w:rPr>
        <w:t xml:space="preserve"> </w:t>
      </w:r>
    </w:p>
    <w:p w14:paraId="4C35B42F"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UN Special Rapporteur on the promotion and protection of the right to freedom of </w:t>
      </w:r>
      <w:r w:rsidRPr="00AA1A20">
        <w:rPr>
          <w:rFonts w:cs="Open Sans"/>
          <w:lang w:eastAsia="en-US"/>
        </w:rPr>
        <w:t>opinion</w:t>
      </w:r>
      <w:r w:rsidRPr="00AA1A20">
        <w:rPr>
          <w:rFonts w:cs="Open Sans"/>
        </w:rPr>
        <w:t xml:space="preserve"> and expression has stated that all restrictions on encryption should be ‘precise, public and transparent, and avoid providing State authorities with unbounded discretion to apply the limitation’.</w:t>
      </w:r>
      <w:r w:rsidRPr="00AC5658">
        <w:rPr>
          <w:rStyle w:val="EndnoteReference"/>
          <w:vertAlign w:val="superscript"/>
        </w:rPr>
        <w:endnoteReference w:id="116"/>
      </w:r>
      <w:r w:rsidRPr="00AA1A20">
        <w:rPr>
          <w:rFonts w:cs="Open Sans"/>
        </w:rPr>
        <w:t xml:space="preserve"> </w:t>
      </w:r>
    </w:p>
    <w:p w14:paraId="434E513B" w14:textId="77777777" w:rsidR="002222AF" w:rsidRPr="00AA1A20" w:rsidRDefault="002222AF" w:rsidP="002222AF">
      <w:pPr>
        <w:pStyle w:val="ListNumber"/>
        <w:tabs>
          <w:tab w:val="clear" w:pos="360"/>
          <w:tab w:val="num" w:pos="993"/>
          <w:tab w:val="left" w:pos="1418"/>
        </w:tabs>
        <w:ind w:left="709" w:hanging="567"/>
        <w:rPr>
          <w:rFonts w:cs="Open Sans"/>
        </w:rPr>
      </w:pPr>
      <w:bookmarkStart w:id="152" w:name="_Ref524094919"/>
      <w:r w:rsidRPr="00AA1A20">
        <w:rPr>
          <w:rFonts w:cs="Open Sans"/>
        </w:rPr>
        <w:lastRenderedPageBreak/>
        <w:t>The UN Special Rapporteur further stated that any restrictions on encryption, including mandatory key disclosure or targeted decryption, should be supervised by a court, tribunal or other independent adjudicatory body,</w:t>
      </w:r>
      <w:r w:rsidRPr="00AC5658">
        <w:rPr>
          <w:rStyle w:val="EndnoteReference"/>
          <w:vertAlign w:val="superscript"/>
        </w:rPr>
        <w:endnoteReference w:id="117"/>
      </w:r>
      <w:r w:rsidRPr="00AA1A20">
        <w:rPr>
          <w:rFonts w:cs="Open Sans"/>
        </w:rPr>
        <w:t xml:space="preserve"> and meet the following requirements:</w:t>
      </w:r>
      <w:bookmarkEnd w:id="152"/>
    </w:p>
    <w:p w14:paraId="2E8F1C53" w14:textId="77777777" w:rsidR="002222AF" w:rsidRPr="00AA1A20" w:rsidRDefault="002222AF" w:rsidP="002222AF">
      <w:pPr>
        <w:pStyle w:val="EndnoteText"/>
        <w:rPr>
          <w:rFonts w:cs="Open Sans"/>
        </w:rPr>
      </w:pPr>
      <w:r w:rsidRPr="00AA1A20">
        <w:rPr>
          <w:rFonts w:cs="Open Sans"/>
        </w:rPr>
        <w:t xml:space="preserve">Court-ordered decryption, subject to domestic and international law, may only be </w:t>
      </w:r>
      <w:r w:rsidRPr="00AA1A20">
        <w:rPr>
          <w:rFonts w:cs="Open Sans"/>
          <w:lang w:eastAsia="en-US"/>
        </w:rPr>
        <w:t>permissible</w:t>
      </w:r>
      <w:r w:rsidRPr="00AA1A20">
        <w:rPr>
          <w:rFonts w:cs="Open Sans"/>
        </w:rPr>
        <w:t xml:space="preserve"> when it results from transparent and publicly accessible laws applied solely on a targeted, case-by-case basis to individuals (i.e., not to a mass of people) and subject to judicial warrant and the protection of due process rights of individuals.</w:t>
      </w:r>
      <w:r w:rsidRPr="00AC5658">
        <w:rPr>
          <w:rStyle w:val="EndnoteReference"/>
          <w:vertAlign w:val="superscript"/>
        </w:rPr>
        <w:endnoteReference w:id="118"/>
      </w:r>
    </w:p>
    <w:p w14:paraId="433E7877"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Commission considers that the decryption powers authorised under the assistance scheme do not meet these requirements. In particular, the scope of the powers is unclear, they are not subject to judicial warrant or other independent judicial authorisation, and are also potentially not sufficiently targeted on a case-by-case basis. </w:t>
      </w:r>
    </w:p>
    <w:p w14:paraId="4EA03EAD" w14:textId="6B315B05"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This concern further strengthens the Commission’s r</w:t>
      </w:r>
      <w:r>
        <w:rPr>
          <w:rFonts w:cs="Open Sans"/>
        </w:rPr>
        <w:t>ecommendations made above in P</w:t>
      </w:r>
      <w:r w:rsidRPr="00AA1A20">
        <w:rPr>
          <w:rFonts w:cs="Open Sans"/>
        </w:rPr>
        <w:t xml:space="preserve">t </w:t>
      </w:r>
      <w:r w:rsidRPr="00AA1A20">
        <w:rPr>
          <w:rFonts w:cs="Open Sans"/>
        </w:rPr>
        <w:fldChar w:fldCharType="begin"/>
      </w:r>
      <w:r w:rsidRPr="00AA1A20">
        <w:rPr>
          <w:rFonts w:cs="Open Sans"/>
        </w:rPr>
        <w:instrText xml:space="preserve"> REF _Ref523847125 \n \h  \* MERGEFORMAT </w:instrText>
      </w:r>
      <w:r w:rsidRPr="00AA1A20">
        <w:rPr>
          <w:rFonts w:cs="Open Sans"/>
        </w:rPr>
      </w:r>
      <w:r w:rsidRPr="00AA1A20">
        <w:rPr>
          <w:rFonts w:cs="Open Sans"/>
        </w:rPr>
        <w:fldChar w:fldCharType="separate"/>
      </w:r>
      <w:r w:rsidR="00372D72">
        <w:rPr>
          <w:rFonts w:cs="Open Sans"/>
        </w:rPr>
        <w:t>5.1</w:t>
      </w:r>
      <w:r w:rsidRPr="00AA1A20">
        <w:rPr>
          <w:rFonts w:cs="Open Sans"/>
        </w:rPr>
        <w:fldChar w:fldCharType="end"/>
      </w:r>
      <w:r w:rsidRPr="00AA1A20">
        <w:rPr>
          <w:rFonts w:cs="Open Sans"/>
        </w:rPr>
        <w:t xml:space="preserve"> of this submission concerning the scope of the</w:t>
      </w:r>
      <w:r>
        <w:rPr>
          <w:rFonts w:cs="Open Sans"/>
        </w:rPr>
        <w:t xml:space="preserve"> access scheme, and below in P</w:t>
      </w:r>
      <w:r w:rsidRPr="00AA1A20">
        <w:rPr>
          <w:rFonts w:cs="Open Sans"/>
        </w:rPr>
        <w:t xml:space="preserve">t </w:t>
      </w:r>
      <w:r w:rsidRPr="00AA1A20">
        <w:rPr>
          <w:rFonts w:cs="Open Sans"/>
          <w:highlight w:val="yellow"/>
        </w:rPr>
        <w:fldChar w:fldCharType="begin"/>
      </w:r>
      <w:r w:rsidRPr="00AA1A20">
        <w:rPr>
          <w:rFonts w:cs="Open Sans"/>
        </w:rPr>
        <w:instrText xml:space="preserve"> REF _Ref523846933 \n \h </w:instrText>
      </w:r>
      <w:r w:rsidRPr="00AA1A20">
        <w:rPr>
          <w:rFonts w:cs="Open Sans"/>
          <w:highlight w:val="yellow"/>
        </w:rPr>
        <w:instrText xml:space="preserve"> \* MERGEFORMAT </w:instrText>
      </w:r>
      <w:r w:rsidRPr="00AA1A20">
        <w:rPr>
          <w:rFonts w:cs="Open Sans"/>
          <w:highlight w:val="yellow"/>
        </w:rPr>
      </w:r>
      <w:r w:rsidRPr="00AA1A20">
        <w:rPr>
          <w:rFonts w:cs="Open Sans"/>
          <w:highlight w:val="yellow"/>
        </w:rPr>
        <w:fldChar w:fldCharType="separate"/>
      </w:r>
      <w:r w:rsidR="00372D72">
        <w:rPr>
          <w:rFonts w:cs="Open Sans"/>
        </w:rPr>
        <w:t>5.6</w:t>
      </w:r>
      <w:r w:rsidRPr="00AA1A20">
        <w:rPr>
          <w:rFonts w:cs="Open Sans"/>
          <w:highlight w:val="yellow"/>
        </w:rPr>
        <w:fldChar w:fldCharType="end"/>
      </w:r>
      <w:r w:rsidRPr="00AA1A20">
        <w:rPr>
          <w:rFonts w:cs="Open Sans"/>
        </w:rPr>
        <w:t xml:space="preserve"> of this submission concerning the adequacy of the proposed safeguards, including that judicial authorisation for the giving or varying of notices be required in the first instance.</w:t>
      </w:r>
    </w:p>
    <w:p w14:paraId="74915DB1" w14:textId="77777777" w:rsidR="002222AF" w:rsidRDefault="002222AF" w:rsidP="002222AF">
      <w:pPr>
        <w:pStyle w:val="ListNumber"/>
        <w:tabs>
          <w:tab w:val="clear" w:pos="360"/>
          <w:tab w:val="num" w:pos="993"/>
          <w:tab w:val="left" w:pos="1418"/>
        </w:tabs>
        <w:ind w:left="709" w:hanging="567"/>
        <w:rPr>
          <w:rFonts w:cs="Open Sans"/>
        </w:rPr>
      </w:pPr>
      <w:r w:rsidRPr="00AA1A20">
        <w:rPr>
          <w:rFonts w:cs="Open Sans"/>
        </w:rPr>
        <w:t>Lastly, the Commission queries why the systemic weakness limitation in proposed s 317ZG has not explicitly been applied to TARs, and considers that the effectiveness of the limitation will be severely compromised should it no</w:t>
      </w:r>
      <w:r>
        <w:rPr>
          <w:rFonts w:cs="Open Sans"/>
        </w:rPr>
        <w:t>t apply to voluntary assistance</w:t>
      </w:r>
      <w:r w:rsidRPr="00AA1A20">
        <w:rPr>
          <w:rFonts w:cs="Open Sans"/>
        </w:rPr>
        <w:t xml:space="preserve"> requests. </w:t>
      </w:r>
    </w:p>
    <w:p w14:paraId="07C45042" w14:textId="3CF995B0" w:rsidR="002222AF" w:rsidRPr="00AA1A20" w:rsidRDefault="002222AF" w:rsidP="002222AF">
      <w:pPr>
        <w:pStyle w:val="ListNumber"/>
        <w:tabs>
          <w:tab w:val="clear" w:pos="360"/>
          <w:tab w:val="num" w:pos="993"/>
          <w:tab w:val="left" w:pos="1418"/>
        </w:tabs>
        <w:ind w:left="709" w:hanging="567"/>
        <w:rPr>
          <w:rFonts w:cs="Open Sans"/>
        </w:rPr>
      </w:pPr>
      <w:r>
        <w:rPr>
          <w:rFonts w:cs="Open Sans"/>
        </w:rPr>
        <w:t>Th</w:t>
      </w:r>
      <w:r w:rsidR="004F7881">
        <w:rPr>
          <w:rFonts w:cs="Open Sans"/>
        </w:rPr>
        <w:t>e</w:t>
      </w:r>
      <w:r>
        <w:rPr>
          <w:rFonts w:cs="Open Sans"/>
        </w:rPr>
        <w:t xml:space="preserve"> lack of this protection with respect to TARs is even more significant given that agencies might be able to request that a provider </w:t>
      </w:r>
      <w:r w:rsidR="00545BE4">
        <w:rPr>
          <w:rFonts w:cs="Open Sans"/>
        </w:rPr>
        <w:t xml:space="preserve">voluntarily </w:t>
      </w:r>
      <w:r>
        <w:rPr>
          <w:rFonts w:cs="Open Sans"/>
        </w:rPr>
        <w:t xml:space="preserve">do an act or thing that </w:t>
      </w:r>
      <w:r w:rsidR="00837C69">
        <w:rPr>
          <w:rFonts w:cs="Open Sans"/>
        </w:rPr>
        <w:t xml:space="preserve">the agency itself </w:t>
      </w:r>
      <w:r w:rsidR="00FB750C">
        <w:rPr>
          <w:rFonts w:cs="Open Sans"/>
        </w:rPr>
        <w:t xml:space="preserve">would </w:t>
      </w:r>
      <w:r>
        <w:rPr>
          <w:rFonts w:cs="Open Sans"/>
        </w:rPr>
        <w:t xml:space="preserve">otherwise require a warrant or authorisation </w:t>
      </w:r>
      <w:r w:rsidR="00837C69">
        <w:rPr>
          <w:rFonts w:cs="Open Sans"/>
        </w:rPr>
        <w:t xml:space="preserve">to do </w:t>
      </w:r>
      <w:r>
        <w:rPr>
          <w:rFonts w:cs="Open Sans"/>
        </w:rPr>
        <w:t xml:space="preserve">(see further discussion of interaction </w:t>
      </w:r>
      <w:r w:rsidR="00FB750C">
        <w:rPr>
          <w:rFonts w:cs="Open Sans"/>
        </w:rPr>
        <w:t xml:space="preserve">between the scheme and </w:t>
      </w:r>
      <w:r>
        <w:rPr>
          <w:rFonts w:cs="Open Sans"/>
        </w:rPr>
        <w:t xml:space="preserve">warrants </w:t>
      </w:r>
      <w:r w:rsidRPr="005D45D7">
        <w:rPr>
          <w:rFonts w:cs="Open Sans"/>
        </w:rPr>
        <w:t xml:space="preserve">below at Pt </w:t>
      </w:r>
      <w:r w:rsidRPr="005D45D7">
        <w:rPr>
          <w:rFonts w:cs="Open Sans"/>
        </w:rPr>
        <w:fldChar w:fldCharType="begin"/>
      </w:r>
      <w:r w:rsidRPr="005D45D7">
        <w:rPr>
          <w:rFonts w:cs="Open Sans"/>
        </w:rPr>
        <w:instrText xml:space="preserve"> REF _Ref526708370 \r \h </w:instrText>
      </w:r>
      <w:r>
        <w:rPr>
          <w:rFonts w:cs="Open Sans"/>
        </w:rPr>
        <w:instrText xml:space="preserve"> \* MERGEFORMAT </w:instrText>
      </w:r>
      <w:r w:rsidRPr="005D45D7">
        <w:rPr>
          <w:rFonts w:cs="Open Sans"/>
        </w:rPr>
      </w:r>
      <w:r w:rsidRPr="005D45D7">
        <w:rPr>
          <w:rFonts w:cs="Open Sans"/>
        </w:rPr>
        <w:fldChar w:fldCharType="separate"/>
      </w:r>
      <w:r w:rsidR="00372D72">
        <w:rPr>
          <w:rFonts w:cs="Open Sans"/>
        </w:rPr>
        <w:t>5.3</w:t>
      </w:r>
      <w:r w:rsidRPr="005D45D7">
        <w:rPr>
          <w:rFonts w:cs="Open Sans"/>
        </w:rPr>
        <w:fldChar w:fldCharType="end"/>
      </w:r>
      <w:r>
        <w:rPr>
          <w:rFonts w:cs="Open Sans"/>
        </w:rPr>
        <w:t>)</w:t>
      </w:r>
      <w:r w:rsidRPr="005D45D7">
        <w:rPr>
          <w:rFonts w:cs="Open Sans"/>
        </w:rPr>
        <w:t xml:space="preserve">. </w:t>
      </w:r>
      <w:r w:rsidR="006F1F32">
        <w:rPr>
          <w:rFonts w:cs="Open Sans"/>
        </w:rPr>
        <w:t>This potential operation of TARs does not appear to be reasona</w:t>
      </w:r>
      <w:r w:rsidR="00993311">
        <w:rPr>
          <w:rFonts w:cs="Open Sans"/>
        </w:rPr>
        <w:t>ble, necessary or proportionate, in light of the lack of adequate safeguards to prevent</w:t>
      </w:r>
      <w:r w:rsidR="006F1F32">
        <w:rPr>
          <w:rFonts w:cs="Open Sans"/>
        </w:rPr>
        <w:t xml:space="preserve"> </w:t>
      </w:r>
      <w:r w:rsidR="00993311">
        <w:rPr>
          <w:rFonts w:cs="Open Sans"/>
        </w:rPr>
        <w:t>unlawful interferences with human rights</w:t>
      </w:r>
      <w:r w:rsidR="006F1F32">
        <w:rPr>
          <w:rFonts w:cs="Open Sans"/>
        </w:rPr>
        <w:t xml:space="preserve">. </w:t>
      </w:r>
      <w:r w:rsidRPr="005D45D7">
        <w:rPr>
          <w:rFonts w:cs="Open Sans"/>
        </w:rPr>
        <w:t xml:space="preserve">If </w:t>
      </w:r>
      <w:r w:rsidR="00FB750C">
        <w:rPr>
          <w:rFonts w:cs="Open Sans"/>
        </w:rPr>
        <w:t>a</w:t>
      </w:r>
      <w:r w:rsidRPr="005D45D7">
        <w:rPr>
          <w:rFonts w:cs="Open Sans"/>
        </w:rPr>
        <w:t xml:space="preserve"> provider</w:t>
      </w:r>
      <w:r>
        <w:rPr>
          <w:rFonts w:cs="Open Sans"/>
        </w:rPr>
        <w:t xml:space="preserve"> acts in compliance with </w:t>
      </w:r>
      <w:r w:rsidR="00FB750C">
        <w:rPr>
          <w:rFonts w:cs="Open Sans"/>
        </w:rPr>
        <w:t>a TAR</w:t>
      </w:r>
      <w:r>
        <w:rPr>
          <w:rFonts w:cs="Open Sans"/>
        </w:rPr>
        <w:t xml:space="preserve">, </w:t>
      </w:r>
      <w:r w:rsidR="00545BE4">
        <w:rPr>
          <w:rFonts w:cs="Open Sans"/>
        </w:rPr>
        <w:t>it</w:t>
      </w:r>
      <w:r>
        <w:rPr>
          <w:rFonts w:cs="Open Sans"/>
        </w:rPr>
        <w:t xml:space="preserve"> will also be afforded immunity from civil liability for any harm, damage or loss caused, </w:t>
      </w:r>
      <w:r w:rsidR="00993311">
        <w:rPr>
          <w:rFonts w:cs="Open Sans"/>
        </w:rPr>
        <w:t xml:space="preserve">narrowing the rights of </w:t>
      </w:r>
      <w:r>
        <w:rPr>
          <w:rFonts w:cs="Open Sans"/>
        </w:rPr>
        <w:t xml:space="preserve">innocent third parties </w:t>
      </w:r>
      <w:r w:rsidR="00993311">
        <w:rPr>
          <w:rFonts w:cs="Open Sans"/>
        </w:rPr>
        <w:t>to bring a claim for a civil wrong</w:t>
      </w:r>
      <w:r>
        <w:rPr>
          <w:rFonts w:cs="Open Sans"/>
        </w:rPr>
        <w:t xml:space="preserve"> (see further discussion of immunities below at </w:t>
      </w:r>
      <w:r w:rsidR="00D06571">
        <w:rPr>
          <w:rFonts w:cs="Open Sans"/>
        </w:rPr>
        <w:t xml:space="preserve">Pt </w:t>
      </w:r>
      <w:r w:rsidR="00D06571">
        <w:rPr>
          <w:rFonts w:cs="Open Sans"/>
        </w:rPr>
        <w:fldChar w:fldCharType="begin"/>
      </w:r>
      <w:r w:rsidR="00D06571">
        <w:rPr>
          <w:rFonts w:cs="Open Sans"/>
        </w:rPr>
        <w:instrText xml:space="preserve"> REF _Ref526771691 \r \h </w:instrText>
      </w:r>
      <w:r w:rsidR="00D06571">
        <w:rPr>
          <w:rFonts w:cs="Open Sans"/>
        </w:rPr>
      </w:r>
      <w:r w:rsidR="00D06571">
        <w:rPr>
          <w:rFonts w:cs="Open Sans"/>
        </w:rPr>
        <w:fldChar w:fldCharType="separate"/>
      </w:r>
      <w:r w:rsidR="00372D72">
        <w:rPr>
          <w:rFonts w:cs="Open Sans"/>
        </w:rPr>
        <w:t>5.4</w:t>
      </w:r>
      <w:r w:rsidR="00D06571">
        <w:rPr>
          <w:rFonts w:cs="Open Sans"/>
        </w:rPr>
        <w:fldChar w:fldCharType="end"/>
      </w:r>
      <w:r w:rsidRPr="005D45D7">
        <w:rPr>
          <w:rFonts w:cs="Open Sans"/>
        </w:rPr>
        <w:t>)</w:t>
      </w:r>
      <w:r>
        <w:rPr>
          <w:rFonts w:cs="Open Sans"/>
        </w:rPr>
        <w:t xml:space="preserve">. </w:t>
      </w:r>
    </w:p>
    <w:p w14:paraId="11479852" w14:textId="77777777" w:rsidR="002222AF" w:rsidRPr="00AA1A20" w:rsidRDefault="002222AF" w:rsidP="00E77015">
      <w:pPr>
        <w:pStyle w:val="ListNumber"/>
        <w:keepNext/>
        <w:tabs>
          <w:tab w:val="clear" w:pos="360"/>
          <w:tab w:val="num" w:pos="993"/>
          <w:tab w:val="left" w:pos="1418"/>
        </w:tabs>
        <w:ind w:left="709" w:hanging="567"/>
        <w:rPr>
          <w:rFonts w:cs="Open Sans"/>
        </w:rPr>
      </w:pPr>
      <w:r w:rsidRPr="00AA1A20">
        <w:rPr>
          <w:rFonts w:cs="Open Sans"/>
        </w:rPr>
        <w:t>The Commission recommends that:</w:t>
      </w:r>
    </w:p>
    <w:p w14:paraId="02AB38F1" w14:textId="50BF758D" w:rsidR="002222AF" w:rsidRPr="00AA1A20" w:rsidRDefault="002222AF" w:rsidP="00E6274C">
      <w:pPr>
        <w:pStyle w:val="ListNumber"/>
        <w:keepNext/>
        <w:numPr>
          <w:ilvl w:val="0"/>
          <w:numId w:val="0"/>
        </w:numPr>
        <w:tabs>
          <w:tab w:val="left" w:pos="1418"/>
        </w:tabs>
        <w:ind w:left="709"/>
        <w:rPr>
          <w:rFonts w:cs="Open Sans"/>
          <w:b/>
        </w:rPr>
      </w:pPr>
      <w:r w:rsidRPr="00AA1A20">
        <w:rPr>
          <w:rFonts w:cs="Open Sans"/>
          <w:b/>
        </w:rPr>
        <w:t>Recommendation 1</w:t>
      </w:r>
      <w:r w:rsidR="003E54A3">
        <w:rPr>
          <w:rFonts w:cs="Open Sans"/>
          <w:b/>
        </w:rPr>
        <w:t>5</w:t>
      </w:r>
    </w:p>
    <w:p w14:paraId="7DB41D09" w14:textId="77777777" w:rsidR="002222AF" w:rsidRPr="00AA1A20" w:rsidRDefault="002222AF" w:rsidP="002222AF">
      <w:pPr>
        <w:pStyle w:val="ListNumber"/>
        <w:numPr>
          <w:ilvl w:val="0"/>
          <w:numId w:val="0"/>
        </w:numPr>
        <w:tabs>
          <w:tab w:val="left" w:pos="1418"/>
        </w:tabs>
        <w:ind w:left="709"/>
        <w:rPr>
          <w:rFonts w:cs="Open Sans"/>
        </w:rPr>
      </w:pPr>
      <w:r w:rsidRPr="00AA1A20">
        <w:rPr>
          <w:rFonts w:cs="Open Sans"/>
        </w:rPr>
        <w:t xml:space="preserve">Proposed s 317ZG of the </w:t>
      </w:r>
      <w:r w:rsidRPr="00AA1A20">
        <w:rPr>
          <w:rFonts w:cs="Open Sans"/>
          <w:i/>
        </w:rPr>
        <w:t xml:space="preserve">Telecommunications Act 1997 </w:t>
      </w:r>
      <w:r w:rsidRPr="00AA1A20">
        <w:rPr>
          <w:rFonts w:cs="Open Sans"/>
        </w:rPr>
        <w:t>(Cth) be amended to provide precise and clear definitions of ‘systemic vulnerability’ and ‘systemic weakness’.</w:t>
      </w:r>
    </w:p>
    <w:p w14:paraId="01CAD7EA" w14:textId="5C0D76D1" w:rsidR="002222AF" w:rsidRPr="00AA1A20" w:rsidRDefault="002222AF" w:rsidP="00E6274C">
      <w:pPr>
        <w:pStyle w:val="ListNumber"/>
        <w:keepNext/>
        <w:numPr>
          <w:ilvl w:val="0"/>
          <w:numId w:val="0"/>
        </w:numPr>
        <w:tabs>
          <w:tab w:val="left" w:pos="1418"/>
        </w:tabs>
        <w:ind w:left="709"/>
        <w:rPr>
          <w:rFonts w:cs="Open Sans"/>
          <w:b/>
        </w:rPr>
      </w:pPr>
      <w:r w:rsidRPr="00AA1A20">
        <w:rPr>
          <w:rFonts w:cs="Open Sans"/>
          <w:b/>
        </w:rPr>
        <w:lastRenderedPageBreak/>
        <w:t>Recommendation 1</w:t>
      </w:r>
      <w:r w:rsidR="003E54A3">
        <w:rPr>
          <w:rFonts w:cs="Open Sans"/>
          <w:b/>
        </w:rPr>
        <w:t>6</w:t>
      </w:r>
    </w:p>
    <w:p w14:paraId="5DC9D6F1" w14:textId="77777777" w:rsidR="002222AF" w:rsidRPr="00AA1A20" w:rsidRDefault="002222AF" w:rsidP="002222AF">
      <w:pPr>
        <w:pStyle w:val="ListNumber"/>
        <w:numPr>
          <w:ilvl w:val="0"/>
          <w:numId w:val="0"/>
        </w:numPr>
        <w:tabs>
          <w:tab w:val="left" w:pos="1418"/>
        </w:tabs>
        <w:ind w:left="709"/>
        <w:rPr>
          <w:rFonts w:cs="Open Sans"/>
        </w:rPr>
      </w:pPr>
      <w:r w:rsidRPr="00AA1A20">
        <w:rPr>
          <w:rFonts w:cs="Open Sans"/>
        </w:rPr>
        <w:t xml:space="preserve">Proposed s 317ZG of the </w:t>
      </w:r>
      <w:r w:rsidRPr="00AA1A20">
        <w:rPr>
          <w:rFonts w:cs="Open Sans"/>
          <w:i/>
        </w:rPr>
        <w:t xml:space="preserve">Telecommunications Act 1997 </w:t>
      </w:r>
      <w:r w:rsidRPr="00AA1A20">
        <w:rPr>
          <w:rFonts w:cs="Open Sans"/>
        </w:rPr>
        <w:t xml:space="preserve">(Cth) be amended to apply the systemic weakness limitation to technical assistance requests. </w:t>
      </w:r>
    </w:p>
    <w:p w14:paraId="2347B877" w14:textId="77777777" w:rsidR="002222AF" w:rsidRPr="00AA1A20" w:rsidRDefault="002222AF" w:rsidP="002222AF">
      <w:pPr>
        <w:pStyle w:val="Heading2"/>
        <w:tabs>
          <w:tab w:val="clear" w:pos="851"/>
          <w:tab w:val="num" w:pos="1418"/>
        </w:tabs>
        <w:rPr>
          <w:rFonts w:cs="Open Sans"/>
        </w:rPr>
      </w:pPr>
      <w:bookmarkStart w:id="153" w:name="_Toc526518397"/>
      <w:bookmarkStart w:id="154" w:name="_Ref526708370"/>
      <w:bookmarkStart w:id="155" w:name="_Ref526783738"/>
      <w:bookmarkStart w:id="156" w:name="_Ref526933743"/>
      <w:bookmarkStart w:id="157" w:name="_Toc527107809"/>
      <w:r w:rsidRPr="00AA1A20">
        <w:rPr>
          <w:rFonts w:cs="Open Sans"/>
        </w:rPr>
        <w:t>Interaction with warrants</w:t>
      </w:r>
      <w:bookmarkEnd w:id="153"/>
      <w:bookmarkEnd w:id="154"/>
      <w:bookmarkEnd w:id="155"/>
      <w:bookmarkEnd w:id="156"/>
      <w:bookmarkEnd w:id="157"/>
    </w:p>
    <w:p w14:paraId="117C80B4" w14:textId="618ABBDF" w:rsidR="002222AF" w:rsidRPr="00D611D8"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w:t>
      </w:r>
      <w:r>
        <w:rPr>
          <w:rFonts w:cs="Open Sans"/>
        </w:rPr>
        <w:t xml:space="preserve">Statement of Compatibility with Human Rights </w:t>
      </w:r>
      <w:r w:rsidRPr="00AA1A20">
        <w:rPr>
          <w:rFonts w:cs="Open Sans"/>
        </w:rPr>
        <w:t>states that the new assistance scheme will</w:t>
      </w:r>
      <w:r w:rsidRPr="00DF50CF">
        <w:rPr>
          <w:rFonts w:cs="Open Sans"/>
        </w:rPr>
        <w:t xml:space="preserve"> </w:t>
      </w:r>
      <w:r>
        <w:rPr>
          <w:rFonts w:cs="Open Sans"/>
        </w:rPr>
        <w:t>‘</w:t>
      </w:r>
      <w:r w:rsidRPr="00DF50CF">
        <w:rPr>
          <w:rFonts w:cs="Open Sans"/>
        </w:rPr>
        <w:t xml:space="preserve">facilitate law enforcement, security and intelligence agencies’ access to private communications and data where an </w:t>
      </w:r>
      <w:r w:rsidRPr="00C54CA0">
        <w:rPr>
          <w:rFonts w:cs="Open Sans"/>
          <w:i/>
        </w:rPr>
        <w:t>underlying warrant or authorisation is present</w:t>
      </w:r>
      <w:r>
        <w:rPr>
          <w:rFonts w:cs="Open Sans"/>
        </w:rPr>
        <w:t>’ (emphasis added)</w:t>
      </w:r>
      <w:r w:rsidRPr="00DF50CF">
        <w:rPr>
          <w:rFonts w:cs="Open Sans"/>
        </w:rPr>
        <w:t>.</w:t>
      </w:r>
      <w:r w:rsidRPr="00C54CA0">
        <w:rPr>
          <w:rStyle w:val="EndnoteReference"/>
          <w:vertAlign w:val="superscript"/>
        </w:rPr>
        <w:endnoteReference w:id="119"/>
      </w:r>
      <w:r>
        <w:rPr>
          <w:rFonts w:cs="Open Sans"/>
        </w:rPr>
        <w:t xml:space="preserve"> It further states that the new provisions ‘complement, but do not replace, the existing warrant processes with in-built legislative safeguards’</w:t>
      </w:r>
      <w:r w:rsidRPr="00316FC3">
        <w:rPr>
          <w:rFonts w:cs="Open Sans"/>
        </w:rPr>
        <w:t>.</w:t>
      </w:r>
      <w:r w:rsidRPr="00AC5658">
        <w:rPr>
          <w:rStyle w:val="EndnoteReference"/>
          <w:vertAlign w:val="superscript"/>
        </w:rPr>
        <w:endnoteReference w:id="120"/>
      </w:r>
      <w:r w:rsidRPr="00DF50CF">
        <w:rPr>
          <w:rFonts w:cs="Open Sans"/>
        </w:rPr>
        <w:t xml:space="preserve"> However, it is unclear on several fronts exactly how requested or compelled assistance will interact with warrants.</w:t>
      </w:r>
    </w:p>
    <w:p w14:paraId="70623A33" w14:textId="7FE6667C" w:rsidR="002222AF" w:rsidRPr="00AA1A20" w:rsidRDefault="002222AF" w:rsidP="002222AF">
      <w:pPr>
        <w:pStyle w:val="ListNumber"/>
        <w:tabs>
          <w:tab w:val="clear" w:pos="360"/>
          <w:tab w:val="num" w:pos="993"/>
          <w:tab w:val="left" w:pos="1418"/>
        </w:tabs>
        <w:ind w:left="709" w:hanging="567"/>
        <w:rPr>
          <w:rFonts w:cs="Open Sans"/>
        </w:rPr>
      </w:pPr>
      <w:r w:rsidRPr="00FB3E26">
        <w:rPr>
          <w:rFonts w:cs="Open Sans"/>
        </w:rPr>
        <w:t>Proposed</w:t>
      </w:r>
      <w:r w:rsidR="00205E36">
        <w:rPr>
          <w:rFonts w:cs="Open Sans"/>
        </w:rPr>
        <w:t xml:space="preserve"> s </w:t>
      </w:r>
      <w:r w:rsidRPr="00FB3E26">
        <w:rPr>
          <w:rFonts w:cs="Open Sans"/>
        </w:rPr>
        <w:t>317ZH provides</w:t>
      </w:r>
      <w:r w:rsidRPr="00AA1A20">
        <w:rPr>
          <w:rFonts w:cs="Open Sans"/>
        </w:rPr>
        <w:t xml:space="preserve"> that a TAN and TCN have no effect to the extent they require a provider to do an act or thing which would require a warrant or authorisation under the TIA Act, the SD Act, the Crimes Act, the ASIO Act</w:t>
      </w:r>
      <w:r>
        <w:rPr>
          <w:rFonts w:cs="Open Sans"/>
        </w:rPr>
        <w:t>,</w:t>
      </w:r>
      <w:r w:rsidRPr="00AA1A20">
        <w:rPr>
          <w:rFonts w:cs="Open Sans"/>
        </w:rPr>
        <w:t xml:space="preserve"> the </w:t>
      </w:r>
      <w:r w:rsidRPr="00AA1A20">
        <w:rPr>
          <w:rFonts w:cs="Open Sans"/>
          <w:i/>
        </w:rPr>
        <w:t>Intelligence Services Act 2001</w:t>
      </w:r>
      <w:r w:rsidRPr="00AA1A20">
        <w:rPr>
          <w:rFonts w:cs="Open Sans"/>
        </w:rPr>
        <w:t xml:space="preserve"> (Cth)</w:t>
      </w:r>
      <w:r>
        <w:rPr>
          <w:rFonts w:cs="Open Sans"/>
        </w:rPr>
        <w:t>,</w:t>
      </w:r>
      <w:r w:rsidR="006F1F32">
        <w:rPr>
          <w:rFonts w:cs="Open Sans"/>
        </w:rPr>
        <w:t xml:space="preserve"> or other</w:t>
      </w:r>
      <w:r>
        <w:rPr>
          <w:rFonts w:cs="Open Sans"/>
        </w:rPr>
        <w:t xml:space="preserve"> law of the Commonwealth or a law of a </w:t>
      </w:r>
      <w:r w:rsidR="009524AA">
        <w:rPr>
          <w:rFonts w:cs="Open Sans"/>
        </w:rPr>
        <w:t xml:space="preserve">state </w:t>
      </w:r>
      <w:r>
        <w:rPr>
          <w:rFonts w:cs="Open Sans"/>
        </w:rPr>
        <w:t xml:space="preserve">or </w:t>
      </w:r>
      <w:r w:rsidR="009524AA">
        <w:rPr>
          <w:rFonts w:cs="Open Sans"/>
        </w:rPr>
        <w:t>territory</w:t>
      </w:r>
      <w:r w:rsidRPr="00AA1A20">
        <w:rPr>
          <w:rFonts w:cs="Open Sans"/>
        </w:rPr>
        <w:t xml:space="preserve">. The </w:t>
      </w:r>
      <w:r>
        <w:rPr>
          <w:rFonts w:cs="Open Sans"/>
        </w:rPr>
        <w:t>Explanatory Memorandum</w:t>
      </w:r>
      <w:r w:rsidRPr="00AA1A20">
        <w:rPr>
          <w:rFonts w:cs="Open Sans"/>
        </w:rPr>
        <w:t xml:space="preserve"> states that: </w:t>
      </w:r>
    </w:p>
    <w:p w14:paraId="035FBB4E" w14:textId="77777777" w:rsidR="002222AF" w:rsidRPr="00AA1A20" w:rsidRDefault="002222AF" w:rsidP="002222AF">
      <w:pPr>
        <w:pStyle w:val="EndnoteText"/>
        <w:rPr>
          <w:rFonts w:cs="Open Sans"/>
        </w:rPr>
      </w:pPr>
      <w:r w:rsidRPr="00AA1A20">
        <w:rPr>
          <w:rFonts w:cs="Open Sans"/>
        </w:rPr>
        <w:t xml:space="preserve">This ensures that a technical assistance notice or technical capability notice cannot be used as an alternative to a warrant or authorisation under any of those acts. For example, a technical assistance notice or technical capability notice cannot require a provider to intercept communications; an interception warrant under the TIA Act would need to be sought. However, a </w:t>
      </w:r>
      <w:r>
        <w:rPr>
          <w:rFonts w:cs="Open Sans"/>
        </w:rPr>
        <w:t>[</w:t>
      </w:r>
      <w:r w:rsidRPr="00AA1A20">
        <w:rPr>
          <w:rFonts w:cs="Open Sans"/>
        </w:rPr>
        <w:t>notice</w:t>
      </w:r>
      <w:r>
        <w:rPr>
          <w:rFonts w:cs="Open Sans"/>
        </w:rPr>
        <w:t>] …</w:t>
      </w:r>
      <w:r w:rsidRPr="00AA1A20">
        <w:rPr>
          <w:rFonts w:cs="Open Sans"/>
        </w:rPr>
        <w:t xml:space="preserve"> may require a provider to assist with the access of information or communications that have been lawfully intercepted.</w:t>
      </w:r>
      <w:r w:rsidRPr="00AC5658">
        <w:rPr>
          <w:rStyle w:val="EndnoteReference"/>
          <w:vertAlign w:val="superscript"/>
          <w:lang w:val="en-US"/>
        </w:rPr>
        <w:endnoteReference w:id="121"/>
      </w:r>
      <w:r w:rsidRPr="00AA1A20">
        <w:rPr>
          <w:rFonts w:cs="Open Sans"/>
        </w:rPr>
        <w:t xml:space="preserve"> </w:t>
      </w:r>
    </w:p>
    <w:p w14:paraId="0AA14DB8" w14:textId="2A93EBCE"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If the intention of the </w:t>
      </w:r>
      <w:r w:rsidR="000A4DD2">
        <w:rPr>
          <w:rFonts w:cs="Open Sans"/>
        </w:rPr>
        <w:t>scheme</w:t>
      </w:r>
      <w:r w:rsidR="000A4DD2" w:rsidRPr="00AA1A20">
        <w:rPr>
          <w:rFonts w:cs="Open Sans"/>
        </w:rPr>
        <w:t xml:space="preserve"> </w:t>
      </w:r>
      <w:r w:rsidRPr="00AA1A20">
        <w:rPr>
          <w:rFonts w:cs="Open Sans"/>
        </w:rPr>
        <w:t>is to facilitate assistance to access or make intelligible information that has already been obtained under a warrant, the Commission considers that the existence of a warrant should be made a precondition for the issue of a TAR, TAN or TCN. This will help confine the powers to the obtaining of technical assistance rather than the exercise of investigatory powers.</w:t>
      </w:r>
    </w:p>
    <w:p w14:paraId="692F5007" w14:textId="7ABDCA6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Such a provision would also</w:t>
      </w:r>
      <w:r w:rsidR="004A078A">
        <w:rPr>
          <w:rFonts w:cs="Open Sans"/>
        </w:rPr>
        <w:t xml:space="preserve"> help</w:t>
      </w:r>
      <w:r w:rsidRPr="00AA1A20">
        <w:rPr>
          <w:rFonts w:cs="Open Sans"/>
        </w:rPr>
        <w:t xml:space="preserve"> strengthen the nexus of the assistance </w:t>
      </w:r>
      <w:r w:rsidR="000A4DD2">
        <w:rPr>
          <w:rFonts w:cs="Open Sans"/>
        </w:rPr>
        <w:t>scheme</w:t>
      </w:r>
      <w:r w:rsidR="000A4DD2" w:rsidRPr="00AA1A20">
        <w:rPr>
          <w:rFonts w:cs="Open Sans"/>
        </w:rPr>
        <w:t xml:space="preserve"> </w:t>
      </w:r>
      <w:r w:rsidRPr="00AA1A20">
        <w:rPr>
          <w:rFonts w:cs="Open Sans"/>
        </w:rPr>
        <w:t xml:space="preserve">to </w:t>
      </w:r>
      <w:r w:rsidR="004A078A">
        <w:rPr>
          <w:rFonts w:cs="Open Sans"/>
        </w:rPr>
        <w:t>agency functions and powers that</w:t>
      </w:r>
      <w:r w:rsidRPr="00AA1A20">
        <w:rPr>
          <w:rFonts w:cs="Open Sans"/>
        </w:rPr>
        <w:t xml:space="preserve"> concern serious </w:t>
      </w:r>
      <w:r w:rsidR="004A078A">
        <w:rPr>
          <w:rFonts w:cs="Open Sans"/>
        </w:rPr>
        <w:t>offences</w:t>
      </w:r>
      <w:r w:rsidRPr="00AA1A20">
        <w:rPr>
          <w:rFonts w:cs="Open Sans"/>
        </w:rPr>
        <w:t xml:space="preserve">, thereby enhancing its proportionality overall. </w:t>
      </w:r>
    </w:p>
    <w:p w14:paraId="7DBC2EE9" w14:textId="59D58F4F" w:rsidR="001979A1" w:rsidRDefault="002222AF" w:rsidP="002222AF">
      <w:pPr>
        <w:pStyle w:val="ListNumber"/>
        <w:tabs>
          <w:tab w:val="clear" w:pos="360"/>
          <w:tab w:val="num" w:pos="993"/>
          <w:tab w:val="left" w:pos="1418"/>
        </w:tabs>
        <w:ind w:left="709" w:hanging="567"/>
        <w:rPr>
          <w:rFonts w:cs="Open Sans"/>
        </w:rPr>
      </w:pPr>
      <w:r w:rsidRPr="00FB3E26">
        <w:rPr>
          <w:rFonts w:cs="Open Sans"/>
        </w:rPr>
        <w:t>Further, proposed</w:t>
      </w:r>
      <w:r w:rsidR="00205E36">
        <w:rPr>
          <w:rFonts w:cs="Open Sans"/>
        </w:rPr>
        <w:t xml:space="preserve"> s </w:t>
      </w:r>
      <w:r w:rsidRPr="00FB3E26">
        <w:rPr>
          <w:rFonts w:cs="Open Sans"/>
        </w:rPr>
        <w:t>317ZH</w:t>
      </w:r>
      <w:r w:rsidRPr="00AA1A20">
        <w:rPr>
          <w:rFonts w:cs="Open Sans"/>
        </w:rPr>
        <w:t xml:space="preserve"> only explicitly applies to TANs and TCNs, leaving open the question whether a TAR could somehow </w:t>
      </w:r>
      <w:r>
        <w:rPr>
          <w:rFonts w:cs="Open Sans"/>
        </w:rPr>
        <w:t>permit</w:t>
      </w:r>
      <w:r w:rsidRPr="00AA1A20">
        <w:rPr>
          <w:rFonts w:cs="Open Sans"/>
        </w:rPr>
        <w:t xml:space="preserve"> assistance measures </w:t>
      </w:r>
      <w:r w:rsidR="00220E7E">
        <w:rPr>
          <w:rFonts w:cs="Open Sans"/>
        </w:rPr>
        <w:t xml:space="preserve">by providers, </w:t>
      </w:r>
      <w:r w:rsidR="00545BE4">
        <w:rPr>
          <w:rFonts w:cs="Open Sans"/>
        </w:rPr>
        <w:t>which</w:t>
      </w:r>
      <w:r w:rsidR="00220E7E">
        <w:rPr>
          <w:rFonts w:cs="Open Sans"/>
        </w:rPr>
        <w:t xml:space="preserve"> would bypass the usual warrant and authorisation requirements that apply to the relevant agency</w:t>
      </w:r>
      <w:r w:rsidRPr="00AA1A20">
        <w:rPr>
          <w:rFonts w:cs="Open Sans"/>
        </w:rPr>
        <w:t xml:space="preserve">. </w:t>
      </w:r>
    </w:p>
    <w:p w14:paraId="571E019F" w14:textId="16B80E69"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 xml:space="preserve">The Commission considers that it would be appropriate for the </w:t>
      </w:r>
      <w:r>
        <w:rPr>
          <w:rFonts w:cs="Open Sans"/>
        </w:rPr>
        <w:t>Bill</w:t>
      </w:r>
      <w:r w:rsidRPr="00AA1A20">
        <w:rPr>
          <w:rFonts w:cs="Open Sans"/>
        </w:rPr>
        <w:t xml:space="preserve"> </w:t>
      </w:r>
      <w:r w:rsidR="00F458B9">
        <w:rPr>
          <w:rFonts w:cs="Open Sans"/>
        </w:rPr>
        <w:t xml:space="preserve">also </w:t>
      </w:r>
      <w:r w:rsidR="00F4278A" w:rsidRPr="00AA1A20">
        <w:rPr>
          <w:rFonts w:cs="Open Sans"/>
        </w:rPr>
        <w:t xml:space="preserve">to </w:t>
      </w:r>
      <w:r w:rsidR="00F458B9">
        <w:rPr>
          <w:rFonts w:cs="Open Sans"/>
        </w:rPr>
        <w:t>impose the limits on TANs and TCNs in proposed</w:t>
      </w:r>
      <w:r w:rsidR="00205E36">
        <w:rPr>
          <w:rFonts w:cs="Open Sans"/>
        </w:rPr>
        <w:t xml:space="preserve"> s </w:t>
      </w:r>
      <w:r w:rsidR="00F458B9">
        <w:rPr>
          <w:rFonts w:cs="Open Sans"/>
        </w:rPr>
        <w:t xml:space="preserve">317H to TARs. That is, the Bill should </w:t>
      </w:r>
      <w:r w:rsidRPr="00AA1A20">
        <w:rPr>
          <w:rFonts w:cs="Open Sans"/>
        </w:rPr>
        <w:t>make clear that a TAR also has no effect to the extent that an ‘act or thing’ requested to be done in the notice would otherwise require a warrant or authorisation.</w:t>
      </w:r>
      <w:r>
        <w:rPr>
          <w:rFonts w:cs="Open Sans"/>
        </w:rPr>
        <w:t xml:space="preserve"> The potential adverse consequences of this gap are even more significant given that providers will be afforded</w:t>
      </w:r>
      <w:r w:rsidR="00220E7E">
        <w:rPr>
          <w:rFonts w:cs="Open Sans"/>
        </w:rPr>
        <w:t xml:space="preserve"> far-reaching</w:t>
      </w:r>
      <w:r>
        <w:rPr>
          <w:rFonts w:cs="Open Sans"/>
        </w:rPr>
        <w:t xml:space="preserve"> civil immunity</w:t>
      </w:r>
      <w:r w:rsidR="00220E7E">
        <w:rPr>
          <w:rFonts w:cs="Open Sans"/>
        </w:rPr>
        <w:t>, and limited criminal immunity,</w:t>
      </w:r>
      <w:r>
        <w:rPr>
          <w:rFonts w:cs="Open Sans"/>
        </w:rPr>
        <w:t xml:space="preserve"> for acting in compliance or purported compliance with a notice</w:t>
      </w:r>
      <w:r w:rsidR="00220E7E">
        <w:rPr>
          <w:rFonts w:cs="Open Sans"/>
        </w:rPr>
        <w:t xml:space="preserve"> (see further discussion of immunities below at Pt </w:t>
      </w:r>
      <w:r w:rsidR="00220E7E">
        <w:rPr>
          <w:rFonts w:cs="Open Sans"/>
        </w:rPr>
        <w:fldChar w:fldCharType="begin"/>
      </w:r>
      <w:r w:rsidR="00220E7E">
        <w:rPr>
          <w:rFonts w:cs="Open Sans"/>
        </w:rPr>
        <w:instrText xml:space="preserve"> REF _Ref526771691 \r \h </w:instrText>
      </w:r>
      <w:r w:rsidR="00220E7E">
        <w:rPr>
          <w:rFonts w:cs="Open Sans"/>
        </w:rPr>
      </w:r>
      <w:r w:rsidR="00220E7E">
        <w:rPr>
          <w:rFonts w:cs="Open Sans"/>
        </w:rPr>
        <w:fldChar w:fldCharType="separate"/>
      </w:r>
      <w:r w:rsidR="00372D72">
        <w:rPr>
          <w:rFonts w:cs="Open Sans"/>
        </w:rPr>
        <w:t>5.4</w:t>
      </w:r>
      <w:r w:rsidR="00220E7E">
        <w:rPr>
          <w:rFonts w:cs="Open Sans"/>
        </w:rPr>
        <w:fldChar w:fldCharType="end"/>
      </w:r>
      <w:r w:rsidR="00220E7E" w:rsidRPr="001979A1">
        <w:rPr>
          <w:rFonts w:cs="Open Sans"/>
        </w:rPr>
        <w:t>).</w:t>
      </w:r>
      <w:r w:rsidR="00220E7E">
        <w:rPr>
          <w:rFonts w:cs="Open Sans"/>
        </w:rPr>
        <w:t xml:space="preserve"> This would limit</w:t>
      </w:r>
      <w:r>
        <w:rPr>
          <w:rFonts w:cs="Open Sans"/>
        </w:rPr>
        <w:t xml:space="preserve"> the ability of innocent third parties to bring an action for loss, damage or harm</w:t>
      </w:r>
      <w:r w:rsidR="00220E7E">
        <w:rPr>
          <w:rFonts w:cs="Open Sans"/>
        </w:rPr>
        <w:t xml:space="preserve"> against providers,</w:t>
      </w:r>
      <w:r>
        <w:rPr>
          <w:rFonts w:cs="Open Sans"/>
        </w:rPr>
        <w:t xml:space="preserve"> </w:t>
      </w:r>
      <w:r w:rsidR="00993311">
        <w:rPr>
          <w:rFonts w:cs="Open Sans"/>
        </w:rPr>
        <w:t xml:space="preserve">even where the act or thing performed would usually require </w:t>
      </w:r>
      <w:r w:rsidR="00220E7E">
        <w:rPr>
          <w:rFonts w:cs="Open Sans"/>
        </w:rPr>
        <w:t xml:space="preserve">the relevant agency to hold </w:t>
      </w:r>
      <w:r w:rsidR="00993311">
        <w:rPr>
          <w:rFonts w:cs="Open Sans"/>
        </w:rPr>
        <w:t>a warrant</w:t>
      </w:r>
      <w:r w:rsidR="00220E7E">
        <w:rPr>
          <w:rFonts w:cs="Open Sans"/>
        </w:rPr>
        <w:t>.</w:t>
      </w:r>
      <w:r w:rsidR="00993311">
        <w:rPr>
          <w:rFonts w:cs="Open Sans"/>
        </w:rPr>
        <w:t xml:space="preserve"> </w:t>
      </w:r>
    </w:p>
    <w:p w14:paraId="35A1656B" w14:textId="196B888C" w:rsidR="002222AF" w:rsidRDefault="002222AF" w:rsidP="002222AF">
      <w:pPr>
        <w:pStyle w:val="ListNumber"/>
        <w:tabs>
          <w:tab w:val="clear" w:pos="360"/>
          <w:tab w:val="num" w:pos="993"/>
          <w:tab w:val="left" w:pos="1418"/>
        </w:tabs>
        <w:ind w:left="709" w:hanging="567"/>
        <w:rPr>
          <w:rFonts w:cs="Open Sans"/>
        </w:rPr>
      </w:pPr>
      <w:r w:rsidRPr="00AA1A20">
        <w:rPr>
          <w:rFonts w:cs="Open Sans"/>
        </w:rPr>
        <w:t>It is also problematic that the effective operation of proposed</w:t>
      </w:r>
      <w:r w:rsidR="00205E36">
        <w:rPr>
          <w:rFonts w:cs="Open Sans"/>
        </w:rPr>
        <w:t xml:space="preserve"> s </w:t>
      </w:r>
      <w:r w:rsidRPr="00AA1A20">
        <w:rPr>
          <w:rFonts w:cs="Open Sans"/>
        </w:rPr>
        <w:t>317ZH requires that, to some degree, a provider understand what act</w:t>
      </w:r>
      <w:r w:rsidR="00E61F3D">
        <w:rPr>
          <w:rFonts w:cs="Open Sans"/>
        </w:rPr>
        <w:t>s</w:t>
      </w:r>
      <w:r w:rsidRPr="00AA1A20">
        <w:rPr>
          <w:rFonts w:cs="Open Sans"/>
        </w:rPr>
        <w:t xml:space="preserve"> or things </w:t>
      </w:r>
      <w:r>
        <w:rPr>
          <w:rFonts w:cs="Open Sans"/>
        </w:rPr>
        <w:t xml:space="preserve">would </w:t>
      </w:r>
      <w:r w:rsidRPr="00AA1A20">
        <w:rPr>
          <w:rFonts w:cs="Open Sans"/>
        </w:rPr>
        <w:t>require a warrant</w:t>
      </w:r>
      <w:r>
        <w:rPr>
          <w:rFonts w:cs="Open Sans"/>
        </w:rPr>
        <w:t xml:space="preserve"> or authorisation</w:t>
      </w:r>
      <w:r w:rsidRPr="00AA1A20">
        <w:rPr>
          <w:rFonts w:cs="Open Sans"/>
        </w:rPr>
        <w:t xml:space="preserve">. In the event that a provider does not have such knowledge, they may </w:t>
      </w:r>
      <w:r w:rsidR="00E61F3D">
        <w:rPr>
          <w:rFonts w:cs="Open Sans"/>
        </w:rPr>
        <w:t>do</w:t>
      </w:r>
      <w:r w:rsidR="00E61F3D" w:rsidRPr="00AA1A20">
        <w:rPr>
          <w:rFonts w:cs="Open Sans"/>
        </w:rPr>
        <w:t xml:space="preserve"> </w:t>
      </w:r>
      <w:r w:rsidRPr="00AA1A20">
        <w:rPr>
          <w:rFonts w:cs="Open Sans"/>
        </w:rPr>
        <w:t xml:space="preserve">an act or thing despite the notice being invalid and having no effect. </w:t>
      </w:r>
    </w:p>
    <w:p w14:paraId="0BBC99EF" w14:textId="7526261E" w:rsidR="002222AF" w:rsidRDefault="002222AF" w:rsidP="002222AF">
      <w:pPr>
        <w:pStyle w:val="ListNumber"/>
        <w:tabs>
          <w:tab w:val="clear" w:pos="360"/>
          <w:tab w:val="num" w:pos="993"/>
          <w:tab w:val="left" w:pos="1418"/>
        </w:tabs>
        <w:ind w:left="709" w:hanging="567"/>
        <w:rPr>
          <w:rFonts w:cs="Open Sans"/>
        </w:rPr>
      </w:pPr>
      <w:r>
        <w:rPr>
          <w:rFonts w:cs="Open Sans"/>
        </w:rPr>
        <w:t>T</w:t>
      </w:r>
      <w:r w:rsidRPr="00AA1A20">
        <w:rPr>
          <w:rFonts w:cs="Open Sans"/>
        </w:rPr>
        <w:t>he Commission considers that providers should be made aware of whether a relevant warrant has been issued, and broadly what it permits. Providers should also be provided</w:t>
      </w:r>
      <w:r>
        <w:rPr>
          <w:rFonts w:cs="Open Sans"/>
        </w:rPr>
        <w:t xml:space="preserve"> </w:t>
      </w:r>
      <w:r w:rsidRPr="00AA1A20">
        <w:rPr>
          <w:rFonts w:cs="Open Sans"/>
        </w:rPr>
        <w:t xml:space="preserve">with general information about what actions </w:t>
      </w:r>
      <w:r w:rsidR="00D07898">
        <w:rPr>
          <w:rFonts w:cs="Open Sans"/>
        </w:rPr>
        <w:t>are unlawful in the absence of a warrant</w:t>
      </w:r>
      <w:r>
        <w:rPr>
          <w:rFonts w:cs="Open Sans"/>
        </w:rPr>
        <w:t xml:space="preserve">, </w:t>
      </w:r>
      <w:r w:rsidRPr="00AA1A20">
        <w:rPr>
          <w:rFonts w:cs="Open Sans"/>
        </w:rPr>
        <w:t>at the time a notice is issued to them.</w:t>
      </w:r>
    </w:p>
    <w:p w14:paraId="5D6A140E" w14:textId="1CDB5242" w:rsidR="002222AF" w:rsidRDefault="002222AF" w:rsidP="002222AF">
      <w:pPr>
        <w:pStyle w:val="ListNumber"/>
        <w:tabs>
          <w:tab w:val="clear" w:pos="360"/>
          <w:tab w:val="num" w:pos="993"/>
          <w:tab w:val="left" w:pos="1418"/>
        </w:tabs>
        <w:ind w:left="709" w:hanging="567"/>
        <w:rPr>
          <w:rFonts w:cs="Open Sans"/>
        </w:rPr>
      </w:pPr>
      <w:r>
        <w:rPr>
          <w:rFonts w:cs="Open Sans"/>
        </w:rPr>
        <w:t>With respect to TARs, the Commission welcomes the insertion of new proposed</w:t>
      </w:r>
      <w:r w:rsidR="00205E36">
        <w:rPr>
          <w:rFonts w:cs="Open Sans"/>
        </w:rPr>
        <w:t xml:space="preserve"> s </w:t>
      </w:r>
      <w:r>
        <w:rPr>
          <w:rFonts w:cs="Open Sans"/>
        </w:rPr>
        <w:t xml:space="preserve">317HAA requiring that the relevant </w:t>
      </w:r>
      <w:r w:rsidR="006F1F32">
        <w:rPr>
          <w:rFonts w:cs="Open Sans"/>
        </w:rPr>
        <w:t>decision maker</w:t>
      </w:r>
      <w:r>
        <w:rPr>
          <w:rFonts w:cs="Open Sans"/>
        </w:rPr>
        <w:t xml:space="preserve"> advise a provider that compliance with a TAR is voluntary. This change from the </w:t>
      </w:r>
      <w:r w:rsidR="0025478F">
        <w:rPr>
          <w:rFonts w:cs="Open Sans"/>
        </w:rPr>
        <w:t>Exposure Draft</w:t>
      </w:r>
      <w:r>
        <w:rPr>
          <w:rFonts w:cs="Open Sans"/>
        </w:rPr>
        <w:t xml:space="preserve"> of the Bill implements a recommendation previously made by the Commission to the Department.</w:t>
      </w:r>
      <w:r w:rsidRPr="00D07898">
        <w:rPr>
          <w:rStyle w:val="EndnoteReference"/>
          <w:vertAlign w:val="superscript"/>
        </w:rPr>
        <w:endnoteReference w:id="122"/>
      </w:r>
      <w:r>
        <w:rPr>
          <w:rFonts w:cs="Open Sans"/>
        </w:rPr>
        <w:t xml:space="preserve"> </w:t>
      </w:r>
    </w:p>
    <w:p w14:paraId="499039B2" w14:textId="1BAD14D9" w:rsidR="002222AF" w:rsidRPr="00AA1A20" w:rsidRDefault="002222AF" w:rsidP="002222AF">
      <w:pPr>
        <w:pStyle w:val="ListNumber"/>
        <w:tabs>
          <w:tab w:val="clear" w:pos="360"/>
          <w:tab w:val="num" w:pos="993"/>
          <w:tab w:val="left" w:pos="1418"/>
        </w:tabs>
        <w:ind w:left="709" w:hanging="567"/>
        <w:rPr>
          <w:rFonts w:cs="Open Sans"/>
        </w:rPr>
      </w:pPr>
      <w:r>
        <w:rPr>
          <w:rFonts w:cs="Open Sans"/>
        </w:rPr>
        <w:t>Similarly, the Commission welcomes new proposed</w:t>
      </w:r>
      <w:r w:rsidR="00205E36">
        <w:rPr>
          <w:rFonts w:cs="Open Sans"/>
        </w:rPr>
        <w:t xml:space="preserve"> s </w:t>
      </w:r>
      <w:r>
        <w:rPr>
          <w:rFonts w:cs="Open Sans"/>
        </w:rPr>
        <w:t>317MAA with respect to TANs and new proposed</w:t>
      </w:r>
      <w:r w:rsidR="00205E36">
        <w:rPr>
          <w:rFonts w:cs="Open Sans"/>
        </w:rPr>
        <w:t xml:space="preserve"> s </w:t>
      </w:r>
      <w:r>
        <w:rPr>
          <w:rFonts w:cs="Open Sans"/>
        </w:rPr>
        <w:t>317TAA with respect to TCNs, requiring the relevant notice-giver to advise a provider of their obligations under</w:t>
      </w:r>
      <w:r w:rsidR="00205E36">
        <w:rPr>
          <w:rFonts w:cs="Open Sans"/>
        </w:rPr>
        <w:t xml:space="preserve"> s </w:t>
      </w:r>
      <w:r>
        <w:rPr>
          <w:rFonts w:cs="Open Sans"/>
        </w:rPr>
        <w:t>317ZA or</w:t>
      </w:r>
      <w:r w:rsidR="00205E36">
        <w:rPr>
          <w:rFonts w:cs="Open Sans"/>
        </w:rPr>
        <w:t xml:space="preserve"> s </w:t>
      </w:r>
      <w:r>
        <w:rPr>
          <w:rFonts w:cs="Open Sans"/>
        </w:rPr>
        <w:t xml:space="preserve">317ZB. Those obligations include that a provider must comply with a notice requirement ‘to the extent that they are capable of doing so’. </w:t>
      </w:r>
    </w:p>
    <w:p w14:paraId="3D024EFC" w14:textId="71520E1E" w:rsidR="002222AF" w:rsidRDefault="002222AF" w:rsidP="002222AF">
      <w:pPr>
        <w:pStyle w:val="ListNumber"/>
        <w:tabs>
          <w:tab w:val="clear" w:pos="360"/>
          <w:tab w:val="num" w:pos="993"/>
          <w:tab w:val="left" w:pos="1418"/>
        </w:tabs>
        <w:ind w:left="709" w:hanging="567"/>
        <w:rPr>
          <w:rFonts w:cs="Open Sans"/>
        </w:rPr>
      </w:pPr>
      <w:r>
        <w:rPr>
          <w:rFonts w:cs="Open Sans"/>
        </w:rPr>
        <w:t>However</w:t>
      </w:r>
      <w:r w:rsidRPr="00AA1A20">
        <w:rPr>
          <w:rFonts w:cs="Open Sans"/>
        </w:rPr>
        <w:t>,</w:t>
      </w:r>
      <w:r>
        <w:rPr>
          <w:rFonts w:cs="Open Sans"/>
        </w:rPr>
        <w:t xml:space="preserve"> the Commission considers that it is </w:t>
      </w:r>
      <w:r w:rsidR="00EC1F4F">
        <w:rPr>
          <w:rFonts w:cs="Open Sans"/>
        </w:rPr>
        <w:t>un</w:t>
      </w:r>
      <w:r>
        <w:rPr>
          <w:rFonts w:cs="Open Sans"/>
        </w:rPr>
        <w:t xml:space="preserve">clear </w:t>
      </w:r>
      <w:r w:rsidR="00EC1F4F">
        <w:rPr>
          <w:rFonts w:cs="Open Sans"/>
        </w:rPr>
        <w:t xml:space="preserve">whether </w:t>
      </w:r>
      <w:r>
        <w:rPr>
          <w:rFonts w:cs="Open Sans"/>
        </w:rPr>
        <w:t xml:space="preserve">the requirement to advise of an ‘obligation’ includes notifying a provider that non-compliance with a notice is mandatory under threat of civil penalty. </w:t>
      </w:r>
    </w:p>
    <w:p w14:paraId="1C9CF3EA" w14:textId="7DECA9D9" w:rsidR="002222AF" w:rsidRDefault="00993311" w:rsidP="002222AF">
      <w:pPr>
        <w:pStyle w:val="ListNumber"/>
        <w:tabs>
          <w:tab w:val="clear" w:pos="360"/>
          <w:tab w:val="num" w:pos="993"/>
          <w:tab w:val="left" w:pos="1418"/>
        </w:tabs>
        <w:ind w:left="709" w:hanging="567"/>
        <w:rPr>
          <w:rFonts w:cs="Open Sans"/>
        </w:rPr>
      </w:pPr>
      <w:r>
        <w:rPr>
          <w:rFonts w:cs="Open Sans"/>
        </w:rPr>
        <w:t>F</w:t>
      </w:r>
      <w:r w:rsidR="002222AF">
        <w:rPr>
          <w:rFonts w:cs="Open Sans"/>
        </w:rPr>
        <w:t>or clarity of understanding, the Commission considers that the provider should be notified of the voluntary or mandatory nature of the assistance, and other important information, in writing and as part of the request or notice itself. Proposed</w:t>
      </w:r>
      <w:r w:rsidR="00205E36">
        <w:rPr>
          <w:rFonts w:cs="Open Sans"/>
        </w:rPr>
        <w:t xml:space="preserve"> s </w:t>
      </w:r>
      <w:r w:rsidR="002222AF">
        <w:rPr>
          <w:rFonts w:cs="Open Sans"/>
        </w:rPr>
        <w:t xml:space="preserve">317HAA currently appears to allow oral advice to </w:t>
      </w:r>
      <w:r w:rsidR="002222AF">
        <w:rPr>
          <w:rFonts w:cs="Open Sans"/>
        </w:rPr>
        <w:lastRenderedPageBreak/>
        <w:t>be given</w:t>
      </w:r>
      <w:r w:rsidR="00B52666">
        <w:rPr>
          <w:rFonts w:cs="Open Sans"/>
        </w:rPr>
        <w:t xml:space="preserve"> to providers</w:t>
      </w:r>
      <w:r w:rsidR="002222AF">
        <w:rPr>
          <w:rFonts w:cs="Open Sans"/>
        </w:rPr>
        <w:t>, and the notification to occur separate</w:t>
      </w:r>
      <w:r w:rsidR="00B52666">
        <w:rPr>
          <w:rFonts w:cs="Open Sans"/>
        </w:rPr>
        <w:t>ly</w:t>
      </w:r>
      <w:r w:rsidR="002222AF">
        <w:rPr>
          <w:rFonts w:cs="Open Sans"/>
        </w:rPr>
        <w:t xml:space="preserve"> from the request or notice.</w:t>
      </w:r>
    </w:p>
    <w:p w14:paraId="3689A1D7" w14:textId="49D9A19E" w:rsidR="002222AF" w:rsidRDefault="00B52666" w:rsidP="002222AF">
      <w:pPr>
        <w:pStyle w:val="ListNumber"/>
        <w:tabs>
          <w:tab w:val="clear" w:pos="360"/>
          <w:tab w:val="num" w:pos="993"/>
          <w:tab w:val="left" w:pos="1418"/>
        </w:tabs>
        <w:ind w:left="709" w:hanging="567"/>
        <w:rPr>
          <w:rFonts w:cs="Open Sans"/>
        </w:rPr>
      </w:pPr>
      <w:r>
        <w:rPr>
          <w:rFonts w:cs="Open Sans"/>
        </w:rPr>
        <w:t>Accordingly</w:t>
      </w:r>
      <w:r w:rsidR="002222AF" w:rsidRPr="00AA1A20">
        <w:rPr>
          <w:rFonts w:cs="Open Sans"/>
        </w:rPr>
        <w:t>, especially to assist the understanding of unsophisticated providers of their obligations</w:t>
      </w:r>
      <w:r w:rsidR="002222AF">
        <w:rPr>
          <w:rFonts w:cs="Open Sans"/>
        </w:rPr>
        <w:t xml:space="preserve"> and the consequences of non-compliance</w:t>
      </w:r>
      <w:r w:rsidR="002222AF" w:rsidRPr="00AA1A20">
        <w:rPr>
          <w:rFonts w:cs="Open Sans"/>
        </w:rPr>
        <w:t xml:space="preserve">, the </w:t>
      </w:r>
      <w:r w:rsidR="002222AF">
        <w:rPr>
          <w:rFonts w:cs="Open Sans"/>
        </w:rPr>
        <w:t>Bill</w:t>
      </w:r>
      <w:r w:rsidR="002222AF" w:rsidRPr="00AA1A20">
        <w:rPr>
          <w:rFonts w:cs="Open Sans"/>
        </w:rPr>
        <w:t xml:space="preserve"> </w:t>
      </w:r>
      <w:r>
        <w:rPr>
          <w:rFonts w:cs="Open Sans"/>
        </w:rPr>
        <w:t>should</w:t>
      </w:r>
      <w:r w:rsidR="002222AF" w:rsidRPr="00AA1A20">
        <w:rPr>
          <w:rFonts w:cs="Open Sans"/>
        </w:rPr>
        <w:t xml:space="preserve"> require that the </w:t>
      </w:r>
      <w:r w:rsidR="002222AF" w:rsidRPr="00FB3E26">
        <w:rPr>
          <w:rFonts w:cs="Open Sans"/>
          <w:i/>
        </w:rPr>
        <w:t>form</w:t>
      </w:r>
      <w:r w:rsidR="002222AF" w:rsidRPr="00AA1A20">
        <w:rPr>
          <w:rFonts w:cs="Open Sans"/>
        </w:rPr>
        <w:t xml:space="preserve"> of a request or notice include: the legislative provisions </w:t>
      </w:r>
      <w:r w:rsidR="00EC1F4F">
        <w:rPr>
          <w:rFonts w:cs="Open Sans"/>
        </w:rPr>
        <w:t>that</w:t>
      </w:r>
      <w:r w:rsidR="00EC1F4F" w:rsidRPr="00AA1A20">
        <w:rPr>
          <w:rFonts w:cs="Open Sans"/>
        </w:rPr>
        <w:t xml:space="preserve"> </w:t>
      </w:r>
      <w:r w:rsidR="002222AF" w:rsidRPr="00AA1A20">
        <w:rPr>
          <w:rFonts w:cs="Open Sans"/>
        </w:rPr>
        <w:t xml:space="preserve">authorise the request or notice including which </w:t>
      </w:r>
      <w:r w:rsidR="002222AF">
        <w:rPr>
          <w:rFonts w:cs="Open Sans"/>
        </w:rPr>
        <w:t xml:space="preserve">paragraph/s </w:t>
      </w:r>
      <w:r w:rsidR="002222AF" w:rsidRPr="00AA1A20">
        <w:rPr>
          <w:rFonts w:cs="Open Sans"/>
        </w:rPr>
        <w:t>of</w:t>
      </w:r>
      <w:r w:rsidR="00205E36">
        <w:rPr>
          <w:rFonts w:cs="Open Sans"/>
        </w:rPr>
        <w:t xml:space="preserve"> s </w:t>
      </w:r>
      <w:r w:rsidR="002222AF" w:rsidRPr="00AA1A20">
        <w:rPr>
          <w:rFonts w:cs="Open Sans"/>
        </w:rPr>
        <w:t>317E</w:t>
      </w:r>
      <w:r w:rsidR="002222AF">
        <w:rPr>
          <w:rFonts w:cs="Open Sans"/>
        </w:rPr>
        <w:t>(1)</w:t>
      </w:r>
      <w:r w:rsidR="002222AF" w:rsidRPr="00AA1A20">
        <w:rPr>
          <w:rFonts w:cs="Open Sans"/>
        </w:rPr>
        <w:t xml:space="preserve"> (‘listed acts or things’) </w:t>
      </w:r>
      <w:r w:rsidR="002222AF">
        <w:rPr>
          <w:rFonts w:cs="Open Sans"/>
        </w:rPr>
        <w:t>are</w:t>
      </w:r>
      <w:r w:rsidR="002222AF" w:rsidRPr="00AA1A20">
        <w:rPr>
          <w:rFonts w:cs="Open Sans"/>
        </w:rPr>
        <w:t xml:space="preserve"> relied upon; a clear statement of whether compliance with a notice is voluntary or </w:t>
      </w:r>
      <w:r w:rsidR="002222AF">
        <w:rPr>
          <w:rFonts w:cs="Open Sans"/>
        </w:rPr>
        <w:t>mandatory</w:t>
      </w:r>
      <w:r w:rsidR="002222AF" w:rsidRPr="00AA1A20">
        <w:rPr>
          <w:rFonts w:cs="Open Sans"/>
        </w:rPr>
        <w:t>;</w:t>
      </w:r>
      <w:r w:rsidR="002222AF">
        <w:rPr>
          <w:rFonts w:cs="Open Sans"/>
        </w:rPr>
        <w:t xml:space="preserve"> that civil penalties apply to non-compliance with a notice; </w:t>
      </w:r>
      <w:r w:rsidR="002222AF" w:rsidRPr="00AA1A20">
        <w:rPr>
          <w:rFonts w:cs="Open Sans"/>
        </w:rPr>
        <w:t>and the methods of review available to the provider.</w:t>
      </w:r>
    </w:p>
    <w:p w14:paraId="591285F4" w14:textId="2EA661E3"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Commission further considers that</w:t>
      </w:r>
      <w:r w:rsidR="00EC1F4F">
        <w:rPr>
          <w:rFonts w:cs="Open Sans"/>
        </w:rPr>
        <w:t>, in general,</w:t>
      </w:r>
      <w:r w:rsidRPr="00AA1A20">
        <w:rPr>
          <w:rFonts w:cs="Open Sans"/>
        </w:rPr>
        <w:t xml:space="preserve"> </w:t>
      </w:r>
      <w:r w:rsidR="00EC1F4F">
        <w:rPr>
          <w:rFonts w:cs="Open Sans"/>
        </w:rPr>
        <w:t xml:space="preserve">a </w:t>
      </w:r>
      <w:r w:rsidR="00FB301E">
        <w:rPr>
          <w:rFonts w:cs="Open Sans"/>
        </w:rPr>
        <w:t xml:space="preserve">graduated approach </w:t>
      </w:r>
      <w:r w:rsidR="00936BA9">
        <w:rPr>
          <w:rFonts w:cs="Open Sans"/>
        </w:rPr>
        <w:t xml:space="preserve">to the issuing of requests and notices </w:t>
      </w:r>
      <w:r w:rsidR="00FB301E">
        <w:rPr>
          <w:rFonts w:cs="Open Sans"/>
        </w:rPr>
        <w:t xml:space="preserve">will enhance the proportionality of the scheme. That is, in the first instance, a request for </w:t>
      </w:r>
      <w:r w:rsidRPr="00AA1A20">
        <w:rPr>
          <w:rFonts w:cs="Open Sans"/>
        </w:rPr>
        <w:t xml:space="preserve">voluntary </w:t>
      </w:r>
      <w:r w:rsidR="00FB301E">
        <w:rPr>
          <w:rFonts w:cs="Open Sans"/>
        </w:rPr>
        <w:t>assistance is preferable</w:t>
      </w:r>
      <w:r w:rsidR="00936BA9">
        <w:rPr>
          <w:rFonts w:cs="Open Sans"/>
        </w:rPr>
        <w:t xml:space="preserve"> to a compulsory notice</w:t>
      </w:r>
      <w:r w:rsidR="008A155D">
        <w:rPr>
          <w:rFonts w:cs="Open Sans"/>
        </w:rPr>
        <w:t xml:space="preserve">. </w:t>
      </w:r>
      <w:r w:rsidR="00F458B9">
        <w:rPr>
          <w:rFonts w:cs="Open Sans"/>
        </w:rPr>
        <w:t xml:space="preserve">The Explanatory Memorandum </w:t>
      </w:r>
      <w:r w:rsidR="00936BA9">
        <w:rPr>
          <w:rFonts w:cs="Open Sans"/>
        </w:rPr>
        <w:t>states that Schedule 1 introduces a ‘</w:t>
      </w:r>
      <w:r w:rsidR="00936BA9" w:rsidRPr="00936BA9">
        <w:rPr>
          <w:rFonts w:cs="Open Sans"/>
          <w:i/>
        </w:rPr>
        <w:t>graduated</w:t>
      </w:r>
      <w:r w:rsidR="00936BA9">
        <w:rPr>
          <w:rFonts w:cs="Open Sans"/>
        </w:rPr>
        <w:t xml:space="preserve"> approach to industry assistance’ (emphasis added), but this is not embodied in the Bill.</w:t>
      </w:r>
      <w:r w:rsidR="00936BA9" w:rsidRPr="00382231">
        <w:rPr>
          <w:rStyle w:val="EndnoteReference"/>
          <w:vertAlign w:val="superscript"/>
        </w:rPr>
        <w:endnoteReference w:id="123"/>
      </w:r>
      <w:r w:rsidR="00936BA9">
        <w:rPr>
          <w:rFonts w:cs="Open Sans"/>
        </w:rPr>
        <w:t xml:space="preserve"> </w:t>
      </w:r>
      <w:r w:rsidR="008A155D">
        <w:rPr>
          <w:rFonts w:cs="Open Sans"/>
        </w:rPr>
        <w:t xml:space="preserve">Only where </w:t>
      </w:r>
      <w:r w:rsidR="00382231">
        <w:rPr>
          <w:rFonts w:cs="Open Sans"/>
        </w:rPr>
        <w:t xml:space="preserve">a TAR </w:t>
      </w:r>
      <w:r w:rsidR="008A155D">
        <w:rPr>
          <w:rFonts w:cs="Open Sans"/>
        </w:rPr>
        <w:t xml:space="preserve">is unsuccessful or </w:t>
      </w:r>
      <w:r w:rsidR="001B769F">
        <w:rPr>
          <w:rFonts w:cs="Open Sans"/>
        </w:rPr>
        <w:t xml:space="preserve">there are exceptional circumstances such as </w:t>
      </w:r>
      <w:r w:rsidR="00FB301E">
        <w:rPr>
          <w:rFonts w:cs="Open Sans"/>
        </w:rPr>
        <w:t>urgency</w:t>
      </w:r>
      <w:r w:rsidR="008A155D">
        <w:rPr>
          <w:rFonts w:cs="Open Sans"/>
        </w:rPr>
        <w:t>, should a</w:t>
      </w:r>
      <w:r w:rsidRPr="00AA1A20">
        <w:rPr>
          <w:rFonts w:cs="Open Sans"/>
        </w:rPr>
        <w:t xml:space="preserve"> </w:t>
      </w:r>
      <w:r w:rsidR="008A155D">
        <w:rPr>
          <w:rFonts w:cs="Open Sans"/>
        </w:rPr>
        <w:t>compulsory notice be issued</w:t>
      </w:r>
      <w:r w:rsidRPr="00AA1A20">
        <w:rPr>
          <w:rFonts w:cs="Open Sans"/>
        </w:rPr>
        <w:t xml:space="preserve">. </w:t>
      </w:r>
    </w:p>
    <w:p w14:paraId="30E77DFF" w14:textId="77777777" w:rsidR="002222AF" w:rsidRPr="00AA1A20" w:rsidRDefault="002222AF" w:rsidP="00E77015">
      <w:pPr>
        <w:pStyle w:val="ListNumber"/>
        <w:keepNext/>
        <w:tabs>
          <w:tab w:val="clear" w:pos="360"/>
          <w:tab w:val="num" w:pos="993"/>
          <w:tab w:val="left" w:pos="1418"/>
        </w:tabs>
        <w:ind w:left="709" w:hanging="567"/>
        <w:rPr>
          <w:rFonts w:cs="Open Sans"/>
        </w:rPr>
      </w:pPr>
      <w:r w:rsidRPr="00AA1A20">
        <w:rPr>
          <w:rFonts w:cs="Open Sans"/>
        </w:rPr>
        <w:t>The Commission recommends that:</w:t>
      </w:r>
    </w:p>
    <w:p w14:paraId="3BD96BFD" w14:textId="2D6BBF81" w:rsidR="002222AF" w:rsidRPr="00AA1A20" w:rsidRDefault="002222AF" w:rsidP="00E77015">
      <w:pPr>
        <w:pStyle w:val="ListNumber"/>
        <w:keepNext/>
        <w:numPr>
          <w:ilvl w:val="0"/>
          <w:numId w:val="0"/>
        </w:numPr>
        <w:tabs>
          <w:tab w:val="left" w:pos="1418"/>
        </w:tabs>
        <w:ind w:left="709"/>
        <w:rPr>
          <w:rFonts w:cs="Open Sans"/>
          <w:b/>
        </w:rPr>
      </w:pPr>
      <w:r w:rsidRPr="00AA1A20">
        <w:rPr>
          <w:rFonts w:cs="Open Sans"/>
          <w:b/>
        </w:rPr>
        <w:t>Recommendation 1</w:t>
      </w:r>
      <w:r w:rsidR="003E54A3">
        <w:rPr>
          <w:rFonts w:cs="Open Sans"/>
          <w:b/>
        </w:rPr>
        <w:t>7</w:t>
      </w:r>
    </w:p>
    <w:p w14:paraId="1F10A646" w14:textId="77777777" w:rsidR="002222AF" w:rsidRPr="00AA1A20" w:rsidRDefault="002222AF" w:rsidP="002222AF">
      <w:pPr>
        <w:pStyle w:val="ListNumber"/>
        <w:numPr>
          <w:ilvl w:val="0"/>
          <w:numId w:val="0"/>
        </w:numPr>
        <w:tabs>
          <w:tab w:val="left" w:pos="1418"/>
        </w:tabs>
        <w:ind w:left="709"/>
        <w:rPr>
          <w:rFonts w:cs="Open Sans"/>
        </w:rPr>
      </w:pPr>
      <w:r w:rsidRPr="00AA1A20">
        <w:rPr>
          <w:rFonts w:cs="Open Sans"/>
        </w:rPr>
        <w:t xml:space="preserve">Serious consideration be given to redrafting proposed new Pt 15 of the </w:t>
      </w:r>
      <w:r w:rsidRPr="00AA1A20">
        <w:rPr>
          <w:rFonts w:cs="Open Sans"/>
          <w:i/>
        </w:rPr>
        <w:t>Telecommunications Act 1997</w:t>
      </w:r>
      <w:r w:rsidRPr="00AA1A20">
        <w:rPr>
          <w:rFonts w:cs="Open Sans"/>
        </w:rPr>
        <w:t xml:space="preserve"> (Cth), to require a warrant to be a precondition of the giving of a request or notice.</w:t>
      </w:r>
    </w:p>
    <w:p w14:paraId="5CC78B58" w14:textId="199E86FD" w:rsidR="002222AF" w:rsidRPr="00AA1A20" w:rsidRDefault="002222AF" w:rsidP="00E77015">
      <w:pPr>
        <w:pStyle w:val="ListNumber"/>
        <w:keepNext/>
        <w:numPr>
          <w:ilvl w:val="0"/>
          <w:numId w:val="0"/>
        </w:numPr>
        <w:tabs>
          <w:tab w:val="left" w:pos="1418"/>
        </w:tabs>
        <w:ind w:left="709"/>
        <w:rPr>
          <w:rFonts w:cs="Open Sans"/>
          <w:b/>
        </w:rPr>
      </w:pPr>
      <w:r w:rsidRPr="00AA1A20">
        <w:rPr>
          <w:rFonts w:cs="Open Sans"/>
          <w:b/>
        </w:rPr>
        <w:t>Recommendation 1</w:t>
      </w:r>
      <w:r w:rsidR="003E54A3">
        <w:rPr>
          <w:rFonts w:cs="Open Sans"/>
          <w:b/>
        </w:rPr>
        <w:t>8</w:t>
      </w:r>
    </w:p>
    <w:p w14:paraId="6E39867C" w14:textId="4C893711" w:rsidR="002222AF" w:rsidRPr="00AA1A20" w:rsidRDefault="002222AF" w:rsidP="002222AF">
      <w:pPr>
        <w:pStyle w:val="ListNumber"/>
        <w:numPr>
          <w:ilvl w:val="0"/>
          <w:numId w:val="0"/>
        </w:numPr>
        <w:tabs>
          <w:tab w:val="left" w:pos="1418"/>
        </w:tabs>
        <w:ind w:left="709"/>
        <w:rPr>
          <w:rFonts w:cs="Open Sans"/>
        </w:rPr>
      </w:pPr>
      <w:r w:rsidRPr="00FB3E26">
        <w:rPr>
          <w:rFonts w:cs="Open Sans"/>
        </w:rPr>
        <w:t>Proposed</w:t>
      </w:r>
      <w:r w:rsidR="00205E36">
        <w:rPr>
          <w:rFonts w:cs="Open Sans"/>
        </w:rPr>
        <w:t xml:space="preserve"> s </w:t>
      </w:r>
      <w:r w:rsidRPr="00FB3E26">
        <w:rPr>
          <w:rFonts w:cs="Open Sans"/>
        </w:rPr>
        <w:t>317ZH of</w:t>
      </w:r>
      <w:r w:rsidRPr="00AA1A20">
        <w:rPr>
          <w:rFonts w:cs="Open Sans"/>
        </w:rPr>
        <w:t xml:space="preserve"> the </w:t>
      </w:r>
      <w:r w:rsidRPr="00AA1A20">
        <w:rPr>
          <w:rFonts w:cs="Open Sans"/>
          <w:i/>
        </w:rPr>
        <w:t xml:space="preserve">Telecommunications Act 1997 </w:t>
      </w:r>
      <w:r w:rsidRPr="00AA1A20">
        <w:rPr>
          <w:rFonts w:cs="Open Sans"/>
        </w:rPr>
        <w:t xml:space="preserve">(Cth) be amended to include references to TARs as well as TANs and </w:t>
      </w:r>
      <w:r w:rsidR="00DB5E95" w:rsidRPr="00AA1A20">
        <w:rPr>
          <w:rFonts w:cs="Open Sans"/>
        </w:rPr>
        <w:t>TCN</w:t>
      </w:r>
      <w:r w:rsidR="00DB5E95">
        <w:rPr>
          <w:rFonts w:cs="Open Sans"/>
        </w:rPr>
        <w:t>s</w:t>
      </w:r>
      <w:r w:rsidRPr="00AA1A20">
        <w:rPr>
          <w:rFonts w:cs="Open Sans"/>
        </w:rPr>
        <w:t>, to provide that a TAR has no effect to the extent to which it requests the doing of ‘acts or things’ for which a warrant or authorisation is required.</w:t>
      </w:r>
    </w:p>
    <w:p w14:paraId="2FE922E2" w14:textId="24DDB0D7" w:rsidR="002222AF" w:rsidRPr="001979A1" w:rsidRDefault="00BC2929" w:rsidP="00E77015">
      <w:pPr>
        <w:pStyle w:val="ListNumber"/>
        <w:keepNext/>
        <w:numPr>
          <w:ilvl w:val="0"/>
          <w:numId w:val="0"/>
        </w:numPr>
        <w:tabs>
          <w:tab w:val="left" w:pos="1418"/>
        </w:tabs>
        <w:ind w:left="709"/>
        <w:rPr>
          <w:rFonts w:cs="Open Sans"/>
          <w:b/>
        </w:rPr>
      </w:pPr>
      <w:r>
        <w:rPr>
          <w:rFonts w:cs="Open Sans"/>
          <w:b/>
        </w:rPr>
        <w:t xml:space="preserve">Recommendation </w:t>
      </w:r>
      <w:r w:rsidR="003E54A3">
        <w:rPr>
          <w:rFonts w:cs="Open Sans"/>
          <w:b/>
        </w:rPr>
        <w:t>19</w:t>
      </w:r>
    </w:p>
    <w:p w14:paraId="1DEBF7DE" w14:textId="350D76FA" w:rsidR="002222AF" w:rsidRPr="00AA1A20" w:rsidRDefault="002222AF" w:rsidP="002222AF">
      <w:pPr>
        <w:pStyle w:val="ListNumber"/>
        <w:numPr>
          <w:ilvl w:val="0"/>
          <w:numId w:val="0"/>
        </w:numPr>
        <w:tabs>
          <w:tab w:val="left" w:pos="1418"/>
        </w:tabs>
        <w:ind w:left="709"/>
        <w:rPr>
          <w:rFonts w:cs="Open Sans"/>
        </w:rPr>
      </w:pPr>
      <w:r w:rsidRPr="001979A1">
        <w:rPr>
          <w:rFonts w:cs="Open Sans"/>
        </w:rPr>
        <w:t>Proposed</w:t>
      </w:r>
      <w:r w:rsidR="00205E36">
        <w:rPr>
          <w:rFonts w:cs="Open Sans"/>
        </w:rPr>
        <w:t xml:space="preserve"> ss </w:t>
      </w:r>
      <w:r w:rsidRPr="001979A1">
        <w:rPr>
          <w:rFonts w:cs="Open Sans"/>
        </w:rPr>
        <w:t xml:space="preserve">317H, 317JA, 317M, 317Q, 317T and 317X of the </w:t>
      </w:r>
      <w:r w:rsidRPr="001979A1">
        <w:rPr>
          <w:rFonts w:cs="Open Sans"/>
          <w:i/>
        </w:rPr>
        <w:t>Telecommunications</w:t>
      </w:r>
      <w:r w:rsidRPr="00AA1A20">
        <w:rPr>
          <w:rFonts w:cs="Open Sans"/>
          <w:i/>
        </w:rPr>
        <w:t xml:space="preserve"> Act 1997 </w:t>
      </w:r>
      <w:r w:rsidRPr="00AA1A20">
        <w:rPr>
          <w:rFonts w:cs="Open Sans"/>
        </w:rPr>
        <w:t xml:space="preserve">(Cth) be amended to require that the form of request or notice or a varied request or notice given to a provider include: </w:t>
      </w:r>
    </w:p>
    <w:p w14:paraId="0090C93B" w14:textId="6B36CD24" w:rsidR="002222AF" w:rsidRPr="00AA1A20" w:rsidRDefault="002222AF" w:rsidP="002222AF">
      <w:pPr>
        <w:pStyle w:val="Bullet"/>
        <w:tabs>
          <w:tab w:val="clear" w:pos="360"/>
          <w:tab w:val="num" w:pos="1560"/>
        </w:tabs>
        <w:ind w:left="1287" w:hanging="567"/>
        <w:rPr>
          <w:rFonts w:cs="Open Sans"/>
        </w:rPr>
      </w:pPr>
      <w:r w:rsidRPr="00AA1A20">
        <w:rPr>
          <w:rFonts w:cs="Open Sans"/>
        </w:rPr>
        <w:t xml:space="preserve">a statement about whether </w:t>
      </w:r>
      <w:r>
        <w:rPr>
          <w:rFonts w:cs="Open Sans"/>
        </w:rPr>
        <w:t>the requested act or thing assists in giving effect to an extant</w:t>
      </w:r>
      <w:r w:rsidRPr="00AA1A20">
        <w:rPr>
          <w:rFonts w:cs="Open Sans"/>
        </w:rPr>
        <w:t xml:space="preserve"> warrant</w:t>
      </w:r>
      <w:r>
        <w:rPr>
          <w:rFonts w:cs="Open Sans"/>
        </w:rPr>
        <w:t xml:space="preserve"> or authorisation, </w:t>
      </w:r>
      <w:r w:rsidRPr="00AA1A20">
        <w:rPr>
          <w:rFonts w:cs="Open Sans"/>
        </w:rPr>
        <w:t xml:space="preserve">and what </w:t>
      </w:r>
      <w:r>
        <w:rPr>
          <w:rFonts w:cs="Open Sans"/>
        </w:rPr>
        <w:t>that warrant or authorisation</w:t>
      </w:r>
      <w:r w:rsidRPr="00AA1A20">
        <w:rPr>
          <w:rFonts w:cs="Open Sans"/>
        </w:rPr>
        <w:t xml:space="preserve"> broadly permits </w:t>
      </w:r>
      <w:r>
        <w:rPr>
          <w:rFonts w:cs="Open Sans"/>
        </w:rPr>
        <w:t>as relates to the request or notice</w:t>
      </w:r>
    </w:p>
    <w:p w14:paraId="4D849E25" w14:textId="3068C3E8" w:rsidR="002222AF" w:rsidRPr="00AA1A20" w:rsidRDefault="002222AF" w:rsidP="002222AF">
      <w:pPr>
        <w:pStyle w:val="Bullet"/>
        <w:tabs>
          <w:tab w:val="clear" w:pos="360"/>
          <w:tab w:val="num" w:pos="1560"/>
        </w:tabs>
        <w:ind w:left="1287" w:hanging="567"/>
        <w:rPr>
          <w:rFonts w:cs="Open Sans"/>
        </w:rPr>
      </w:pPr>
      <w:r w:rsidRPr="00AA1A20">
        <w:rPr>
          <w:rFonts w:cs="Open Sans"/>
        </w:rPr>
        <w:t xml:space="preserve">general information about what actions are </w:t>
      </w:r>
      <w:r w:rsidR="00D07898">
        <w:rPr>
          <w:rFonts w:cs="Open Sans"/>
        </w:rPr>
        <w:t>unlawful without a</w:t>
      </w:r>
      <w:r w:rsidRPr="00AA1A20">
        <w:rPr>
          <w:rFonts w:cs="Open Sans"/>
        </w:rPr>
        <w:t xml:space="preserve"> warrant</w:t>
      </w:r>
      <w:r>
        <w:rPr>
          <w:rFonts w:cs="Open Sans"/>
        </w:rPr>
        <w:t xml:space="preserve"> or authorisation</w:t>
      </w:r>
    </w:p>
    <w:p w14:paraId="73B3D6BE" w14:textId="77777777" w:rsidR="002222AF" w:rsidRDefault="002222AF" w:rsidP="002222AF">
      <w:pPr>
        <w:pStyle w:val="Bullet"/>
        <w:tabs>
          <w:tab w:val="clear" w:pos="360"/>
          <w:tab w:val="num" w:pos="1560"/>
        </w:tabs>
        <w:ind w:left="1287" w:hanging="567"/>
        <w:rPr>
          <w:rFonts w:cs="Open Sans"/>
        </w:rPr>
      </w:pPr>
      <w:r w:rsidRPr="00AA1A20">
        <w:rPr>
          <w:rFonts w:cs="Open Sans"/>
        </w:rPr>
        <w:lastRenderedPageBreak/>
        <w:t xml:space="preserve">whether compliance </w:t>
      </w:r>
      <w:r>
        <w:rPr>
          <w:rFonts w:cs="Open Sans"/>
        </w:rPr>
        <w:t xml:space="preserve">with the request or notice </w:t>
      </w:r>
      <w:r w:rsidRPr="00AA1A20">
        <w:rPr>
          <w:rFonts w:cs="Open Sans"/>
        </w:rPr>
        <w:t xml:space="preserve">is voluntary or mandatory </w:t>
      </w:r>
    </w:p>
    <w:p w14:paraId="55423281" w14:textId="77777777" w:rsidR="002222AF" w:rsidRPr="00AA1A20" w:rsidRDefault="002222AF" w:rsidP="002222AF">
      <w:pPr>
        <w:pStyle w:val="Bullet"/>
        <w:tabs>
          <w:tab w:val="clear" w:pos="360"/>
          <w:tab w:val="num" w:pos="1560"/>
        </w:tabs>
        <w:ind w:left="1287" w:hanging="567"/>
        <w:rPr>
          <w:rFonts w:cs="Open Sans"/>
        </w:rPr>
      </w:pPr>
      <w:r w:rsidRPr="00FB3E26">
        <w:rPr>
          <w:rFonts w:cs="Open Sans"/>
        </w:rPr>
        <w:t>that civil penalties apply to non-compliance with a notice</w:t>
      </w:r>
    </w:p>
    <w:p w14:paraId="5C89AC4D" w14:textId="589CBC5E" w:rsidR="002222AF" w:rsidRDefault="002222AF" w:rsidP="002222AF">
      <w:pPr>
        <w:pStyle w:val="Bullet"/>
        <w:tabs>
          <w:tab w:val="clear" w:pos="360"/>
          <w:tab w:val="num" w:pos="1560"/>
        </w:tabs>
        <w:ind w:left="1287" w:hanging="567"/>
        <w:rPr>
          <w:rFonts w:cs="Open Sans"/>
        </w:rPr>
      </w:pPr>
      <w:r w:rsidRPr="00AA1A20">
        <w:rPr>
          <w:rFonts w:cs="Open Sans"/>
        </w:rPr>
        <w:t xml:space="preserve">the legislative provisions which authorise the request or notice including which </w:t>
      </w:r>
      <w:r>
        <w:rPr>
          <w:rFonts w:cs="Open Sans"/>
        </w:rPr>
        <w:t>paragraph/s</w:t>
      </w:r>
      <w:r w:rsidRPr="00AA1A20">
        <w:rPr>
          <w:rFonts w:cs="Open Sans"/>
        </w:rPr>
        <w:t xml:space="preserve"> of</w:t>
      </w:r>
      <w:r w:rsidR="00205E36">
        <w:rPr>
          <w:rFonts w:cs="Open Sans"/>
        </w:rPr>
        <w:t xml:space="preserve"> s </w:t>
      </w:r>
      <w:r w:rsidRPr="00AA1A20">
        <w:rPr>
          <w:rFonts w:cs="Open Sans"/>
        </w:rPr>
        <w:t>317E</w:t>
      </w:r>
      <w:r>
        <w:rPr>
          <w:rFonts w:cs="Open Sans"/>
        </w:rPr>
        <w:t>(1)</w:t>
      </w:r>
      <w:r w:rsidRPr="00AA1A20">
        <w:rPr>
          <w:rFonts w:cs="Open Sans"/>
        </w:rPr>
        <w:t xml:space="preserve"> (‘listed acts or things’) </w:t>
      </w:r>
      <w:r>
        <w:rPr>
          <w:rFonts w:cs="Open Sans"/>
        </w:rPr>
        <w:t>are</w:t>
      </w:r>
      <w:r w:rsidRPr="00AA1A20">
        <w:rPr>
          <w:rFonts w:cs="Open Sans"/>
        </w:rPr>
        <w:t xml:space="preserve"> relied upon</w:t>
      </w:r>
    </w:p>
    <w:p w14:paraId="3246BACE" w14:textId="3E306F6D" w:rsidR="002222AF" w:rsidRPr="00B459D1" w:rsidRDefault="002222AF" w:rsidP="002222AF">
      <w:pPr>
        <w:pStyle w:val="Bullet"/>
        <w:tabs>
          <w:tab w:val="clear" w:pos="360"/>
          <w:tab w:val="num" w:pos="1560"/>
        </w:tabs>
        <w:ind w:left="1287" w:hanging="567"/>
        <w:rPr>
          <w:rFonts w:cs="Open Sans"/>
        </w:rPr>
      </w:pPr>
      <w:r w:rsidRPr="00B459D1">
        <w:rPr>
          <w:rFonts w:cs="Open Sans"/>
        </w:rPr>
        <w:t>the methods of review available to the provider.</w:t>
      </w:r>
    </w:p>
    <w:p w14:paraId="6311DC9C" w14:textId="71869988" w:rsidR="002222AF" w:rsidRPr="00AA1A20" w:rsidRDefault="002222AF" w:rsidP="0061758B">
      <w:pPr>
        <w:pStyle w:val="ListNumber"/>
        <w:keepNext/>
        <w:numPr>
          <w:ilvl w:val="0"/>
          <w:numId w:val="0"/>
        </w:numPr>
        <w:ind w:left="720"/>
        <w:rPr>
          <w:rFonts w:cs="Open Sans"/>
          <w:b/>
        </w:rPr>
      </w:pPr>
      <w:r w:rsidRPr="00AA1A20">
        <w:rPr>
          <w:rFonts w:cs="Open Sans"/>
          <w:b/>
        </w:rPr>
        <w:t xml:space="preserve">Recommendation </w:t>
      </w:r>
      <w:r w:rsidR="00BC2929">
        <w:rPr>
          <w:rFonts w:cs="Open Sans"/>
          <w:b/>
        </w:rPr>
        <w:t>2</w:t>
      </w:r>
      <w:r w:rsidR="003E54A3">
        <w:rPr>
          <w:rFonts w:cs="Open Sans"/>
          <w:b/>
        </w:rPr>
        <w:t>0</w:t>
      </w:r>
    </w:p>
    <w:p w14:paraId="3F493054" w14:textId="77777777" w:rsidR="002222AF" w:rsidRPr="00AA1A20" w:rsidRDefault="002222AF" w:rsidP="00E77015">
      <w:pPr>
        <w:pStyle w:val="ListNumber"/>
        <w:numPr>
          <w:ilvl w:val="0"/>
          <w:numId w:val="0"/>
        </w:numPr>
        <w:ind w:left="720"/>
        <w:rPr>
          <w:rFonts w:cs="Open Sans"/>
        </w:rPr>
      </w:pPr>
      <w:r w:rsidRPr="00AA1A20">
        <w:rPr>
          <w:rFonts w:cs="Open Sans"/>
        </w:rPr>
        <w:t xml:space="preserve">Proposed Pt 15 of the </w:t>
      </w:r>
      <w:r w:rsidRPr="00AA1A20">
        <w:rPr>
          <w:rFonts w:cs="Open Sans"/>
          <w:i/>
        </w:rPr>
        <w:t xml:space="preserve">Telecommunications Act 1997 </w:t>
      </w:r>
      <w:r w:rsidRPr="00AA1A20">
        <w:rPr>
          <w:rFonts w:cs="Open Sans"/>
        </w:rPr>
        <w:t>(Cth) be amended to require the giving of a TAR before a compulsory TAN or TCN can be given, unless exceptional and urgent circumstances exist which warrant otherwise.</w:t>
      </w:r>
    </w:p>
    <w:p w14:paraId="048478F1" w14:textId="77777777" w:rsidR="00E85797" w:rsidRDefault="00E85797" w:rsidP="00E85797">
      <w:pPr>
        <w:pStyle w:val="Heading2"/>
        <w:tabs>
          <w:tab w:val="clear" w:pos="851"/>
          <w:tab w:val="num" w:pos="1418"/>
        </w:tabs>
        <w:rPr>
          <w:rFonts w:cs="Open Sans"/>
        </w:rPr>
      </w:pPr>
      <w:bookmarkStart w:id="158" w:name="_Ref526771691"/>
      <w:bookmarkStart w:id="159" w:name="_Toc527107810"/>
      <w:bookmarkStart w:id="160" w:name="_Toc526518398"/>
      <w:r>
        <w:rPr>
          <w:rFonts w:cs="Open Sans"/>
        </w:rPr>
        <w:t>Immunities for providers from civil liability and certain telecommunications and computer offences</w:t>
      </w:r>
      <w:bookmarkEnd w:id="158"/>
      <w:bookmarkEnd w:id="159"/>
    </w:p>
    <w:p w14:paraId="2124C1BF" w14:textId="3BD0D54B" w:rsidR="00E85797" w:rsidRDefault="00E85797" w:rsidP="00E85797">
      <w:pPr>
        <w:pStyle w:val="ListNumber"/>
        <w:tabs>
          <w:tab w:val="clear" w:pos="360"/>
          <w:tab w:val="num" w:pos="993"/>
          <w:tab w:val="left" w:pos="1418"/>
        </w:tabs>
        <w:ind w:left="709" w:hanging="567"/>
      </w:pPr>
      <w:r w:rsidRPr="00E85797">
        <w:rPr>
          <w:rFonts w:cs="Open Sans"/>
        </w:rPr>
        <w:t>Pursuant</w:t>
      </w:r>
      <w:r>
        <w:t xml:space="preserve"> to</w:t>
      </w:r>
      <w:r w:rsidR="00205E36">
        <w:t xml:space="preserve"> ss </w:t>
      </w:r>
      <w:r>
        <w:t xml:space="preserve">317G(1)(c) and 317ZJ, providers will </w:t>
      </w:r>
      <w:r w:rsidR="008E4A8E">
        <w:t>not be subject to any</w:t>
      </w:r>
      <w:r>
        <w:t xml:space="preserve"> civil liability </w:t>
      </w:r>
      <w:r w:rsidR="008E4A8E">
        <w:t>for or in relation to an</w:t>
      </w:r>
      <w:r>
        <w:t xml:space="preserve"> </w:t>
      </w:r>
      <w:r w:rsidR="00B52666">
        <w:t>‘</w:t>
      </w:r>
      <w:r>
        <w:t>act or thing</w:t>
      </w:r>
      <w:r w:rsidR="00B52666">
        <w:t>’</w:t>
      </w:r>
      <w:r w:rsidR="008E4A8E">
        <w:t xml:space="preserve"> done in accordance</w:t>
      </w:r>
      <w:r>
        <w:t xml:space="preserve"> with a request or notice, or in good faith purported compliance with a request or notice. There are no exclusions or express limitations on this immunity from civil liability. </w:t>
      </w:r>
    </w:p>
    <w:p w14:paraId="1A298FA2" w14:textId="40FF8EB1" w:rsidR="00E85797" w:rsidRDefault="00E85797" w:rsidP="00E85797">
      <w:pPr>
        <w:pStyle w:val="ListNumber"/>
        <w:tabs>
          <w:tab w:val="clear" w:pos="360"/>
          <w:tab w:val="num" w:pos="993"/>
          <w:tab w:val="left" w:pos="1418"/>
        </w:tabs>
        <w:ind w:left="709" w:hanging="567"/>
      </w:pPr>
      <w:r>
        <w:t>In addition to th</w:t>
      </w:r>
      <w:r w:rsidR="006C5765">
        <w:t>is civil</w:t>
      </w:r>
      <w:r>
        <w:t xml:space="preserve"> immunity being broad, the scope of persons cove</w:t>
      </w:r>
      <w:r w:rsidR="006C5765">
        <w:t>red by the immunity is also</w:t>
      </w:r>
      <w:r>
        <w:t xml:space="preserve"> wide. This is because, as discussed above, the </w:t>
      </w:r>
      <w:r w:rsidR="006C5765">
        <w:t xml:space="preserve">wide </w:t>
      </w:r>
      <w:r>
        <w:t>definition of ‘designated communications provider’ in propose</w:t>
      </w:r>
      <w:r w:rsidR="006C5765">
        <w:t>d</w:t>
      </w:r>
      <w:r w:rsidR="00205E36">
        <w:t xml:space="preserve"> s </w:t>
      </w:r>
      <w:r>
        <w:t xml:space="preserve">317C is </w:t>
      </w:r>
      <w:r w:rsidR="006C5765">
        <w:t>intended</w:t>
      </w:r>
      <w:r>
        <w:t xml:space="preserve"> to capture the full range of</w:t>
      </w:r>
      <w:r w:rsidRPr="0094250A">
        <w:t xml:space="preserve"> participants in the glob</w:t>
      </w:r>
      <w:r>
        <w:t xml:space="preserve">al communications supply chain. The protection </w:t>
      </w:r>
      <w:r w:rsidR="00691BB8">
        <w:t xml:space="preserve">from civil immunity </w:t>
      </w:r>
      <w:r>
        <w:t>also extends to all employees, officers and agents of the relevant provider, pursuant to</w:t>
      </w:r>
      <w:r w:rsidR="00205E36">
        <w:t xml:space="preserve"> ss </w:t>
      </w:r>
      <w:r>
        <w:t>317G(1)(d) and 317ZJ(3).</w:t>
      </w:r>
    </w:p>
    <w:p w14:paraId="47780C1F" w14:textId="240A8B6E" w:rsidR="00E85797" w:rsidRDefault="00E85797" w:rsidP="00E85797">
      <w:pPr>
        <w:pStyle w:val="ListNumber"/>
        <w:tabs>
          <w:tab w:val="clear" w:pos="360"/>
          <w:tab w:val="num" w:pos="993"/>
          <w:tab w:val="left" w:pos="1418"/>
        </w:tabs>
        <w:ind w:left="709" w:hanging="567"/>
      </w:pPr>
      <w:r>
        <w:t>The application of the</w:t>
      </w:r>
      <w:r w:rsidR="00B52666">
        <w:t xml:space="preserve"> civil</w:t>
      </w:r>
      <w:r>
        <w:t xml:space="preserve"> immunity to any conduct that is carried out in good faith in </w:t>
      </w:r>
      <w:r w:rsidRPr="00FA25E6">
        <w:rPr>
          <w:i/>
        </w:rPr>
        <w:t>purported compliance</w:t>
      </w:r>
      <w:r>
        <w:t xml:space="preserve"> with a request or notice, affords protection to providers despite a notice itself being legally ineffective.</w:t>
      </w:r>
      <w:r w:rsidR="006C5765" w:rsidRPr="0068396F">
        <w:rPr>
          <w:rStyle w:val="EndnoteReference"/>
          <w:vertAlign w:val="superscript"/>
        </w:rPr>
        <w:endnoteReference w:id="124"/>
      </w:r>
      <w:r>
        <w:t xml:space="preserve"> For example, a notice could be ineffective by breaching the systemic weakness limitation in</w:t>
      </w:r>
      <w:r w:rsidR="00205E36">
        <w:t xml:space="preserve"> s </w:t>
      </w:r>
      <w:r>
        <w:t>317ZG, but the provider will still benefit from the protection from civil liability if they act in purported compliance with the notice. It seems possible that ‘purported compliance’ would also cover an honest but mistaken attempt to comply with a valid notice.</w:t>
      </w:r>
    </w:p>
    <w:p w14:paraId="3DECE8E4" w14:textId="6A189AED" w:rsidR="00E85797" w:rsidRDefault="00E85797" w:rsidP="008E4A8E">
      <w:pPr>
        <w:pStyle w:val="ListNumber"/>
        <w:tabs>
          <w:tab w:val="clear" w:pos="360"/>
          <w:tab w:val="num" w:pos="993"/>
          <w:tab w:val="left" w:pos="1418"/>
        </w:tabs>
        <w:ind w:left="709" w:hanging="567"/>
      </w:pPr>
      <w:r>
        <w:t>Overall, the effect of these provisions is to prevent any person from bringing a</w:t>
      </w:r>
      <w:r w:rsidR="00691BB8">
        <w:t xml:space="preserve"> civil</w:t>
      </w:r>
      <w:r w:rsidR="008E4A8E">
        <w:t xml:space="preserve"> suit against a provider</w:t>
      </w:r>
      <w:r w:rsidR="008E4A8E">
        <w:rPr>
          <w:rFonts w:cs="Open Sans"/>
        </w:rPr>
        <w:t>—</w:t>
      </w:r>
      <w:r>
        <w:t xml:space="preserve">or their officers, employees </w:t>
      </w:r>
      <w:r w:rsidR="008E4A8E">
        <w:t>and agents</w:t>
      </w:r>
      <w:r w:rsidR="008E4A8E">
        <w:rPr>
          <w:rFonts w:cs="Open Sans"/>
        </w:rPr>
        <w:t>—</w:t>
      </w:r>
      <w:r>
        <w:t xml:space="preserve">for any conduct that causes </w:t>
      </w:r>
      <w:r w:rsidR="008E4A8E">
        <w:t>loss or damage</w:t>
      </w:r>
      <w:r>
        <w:t xml:space="preserve"> including property </w:t>
      </w:r>
      <w:r>
        <w:lastRenderedPageBreak/>
        <w:t>damage and financial loss</w:t>
      </w:r>
      <w:r w:rsidR="008E4A8E">
        <w:t>, no matter how serious</w:t>
      </w:r>
      <w:r>
        <w:t xml:space="preserve">. This </w:t>
      </w:r>
      <w:r w:rsidR="00B52666">
        <w:t>would prevent</w:t>
      </w:r>
      <w:r>
        <w:t xml:space="preserve"> not only a target of law enforcement bringing a civil claim</w:t>
      </w:r>
      <w:r w:rsidR="00497756">
        <w:t xml:space="preserve"> against a provider</w:t>
      </w:r>
      <w:r>
        <w:t>, or their associates or families</w:t>
      </w:r>
      <w:r w:rsidR="00382231">
        <w:t xml:space="preserve"> also potentially </w:t>
      </w:r>
      <w:r w:rsidR="00F4278A">
        <w:t>affected</w:t>
      </w:r>
      <w:r w:rsidR="00382231">
        <w:t xml:space="preserve"> by assistance </w:t>
      </w:r>
      <w:r w:rsidR="00531E2F">
        <w:t>measures (for example the sender or recipient of messages to a law enforcement target)</w:t>
      </w:r>
      <w:r>
        <w:t>, but also any completely unrelated innocent third parties who might be harmed by a civil wrong.</w:t>
      </w:r>
      <w:r w:rsidR="008E4A8E">
        <w:t xml:space="preserve"> </w:t>
      </w:r>
    </w:p>
    <w:p w14:paraId="1273A0F0" w14:textId="7AD1FD52" w:rsidR="00E85797" w:rsidRPr="00FA25E6" w:rsidRDefault="00E85797" w:rsidP="00E85797">
      <w:pPr>
        <w:pStyle w:val="ListNumber"/>
        <w:tabs>
          <w:tab w:val="clear" w:pos="360"/>
          <w:tab w:val="num" w:pos="993"/>
          <w:tab w:val="left" w:pos="1418"/>
        </w:tabs>
        <w:ind w:left="709" w:hanging="567"/>
        <w:rPr>
          <w:rFonts w:cs="Open Sans"/>
        </w:rPr>
      </w:pPr>
      <w:r>
        <w:rPr>
          <w:rFonts w:cs="Open Sans"/>
        </w:rPr>
        <w:t>The Commission notes that</w:t>
      </w:r>
      <w:r w:rsidR="00F4278A">
        <w:rPr>
          <w:rFonts w:cs="Open Sans"/>
        </w:rPr>
        <w:t>,</w:t>
      </w:r>
      <w:r>
        <w:rPr>
          <w:rFonts w:cs="Open Sans"/>
        </w:rPr>
        <w:t xml:space="preserve"> while</w:t>
      </w:r>
      <w:r w:rsidRPr="00FA25E6">
        <w:rPr>
          <w:rFonts w:cs="Open Sans"/>
        </w:rPr>
        <w:t xml:space="preserve"> Crown immunities can often be justified by </w:t>
      </w:r>
      <w:r w:rsidRPr="00E85797">
        <w:t>allowing</w:t>
      </w:r>
      <w:r w:rsidRPr="00FA25E6">
        <w:rPr>
          <w:rFonts w:cs="Open Sans"/>
        </w:rPr>
        <w:t xml:space="preserve"> the executive to </w:t>
      </w:r>
      <w:r w:rsidR="00FA6B0B">
        <w:rPr>
          <w:rFonts w:cs="Open Sans"/>
        </w:rPr>
        <w:t>do things for the</w:t>
      </w:r>
      <w:r w:rsidRPr="00FA25E6">
        <w:rPr>
          <w:rFonts w:cs="Open Sans"/>
        </w:rPr>
        <w:t xml:space="preserve"> public good that might otherwise be prohibitively costly or difficult,</w:t>
      </w:r>
      <w:r w:rsidRPr="0068396F">
        <w:rPr>
          <w:rStyle w:val="EndnoteReference"/>
          <w:vertAlign w:val="superscript"/>
        </w:rPr>
        <w:endnoteReference w:id="125"/>
      </w:r>
      <w:r w:rsidRPr="00FA25E6">
        <w:rPr>
          <w:rFonts w:cs="Open Sans"/>
        </w:rPr>
        <w:t xml:space="preserve"> the corporate interests of for-profit </w:t>
      </w:r>
      <w:r w:rsidRPr="00E85797">
        <w:t>providers</w:t>
      </w:r>
      <w:r w:rsidRPr="00FA25E6">
        <w:rPr>
          <w:rFonts w:cs="Open Sans"/>
        </w:rPr>
        <w:t xml:space="preserve"> or individuals might not always align with the public interest. </w:t>
      </w:r>
    </w:p>
    <w:p w14:paraId="78F1C650" w14:textId="6AE02BD8" w:rsidR="00E85797" w:rsidRPr="00AA1A20" w:rsidRDefault="00E85797" w:rsidP="00E85797">
      <w:pPr>
        <w:pStyle w:val="ListNumber"/>
        <w:tabs>
          <w:tab w:val="clear" w:pos="360"/>
          <w:tab w:val="num" w:pos="993"/>
          <w:tab w:val="left" w:pos="1418"/>
        </w:tabs>
        <w:ind w:left="709" w:hanging="567"/>
        <w:rPr>
          <w:rFonts w:cs="Open Sans"/>
        </w:rPr>
      </w:pPr>
      <w:r w:rsidRPr="00AA1A20">
        <w:rPr>
          <w:rFonts w:cs="Open Sans"/>
        </w:rPr>
        <w:t>As stated by the ALRC, any law that authorises what would otherwise constitute a tort should be subject to careful justification.</w:t>
      </w:r>
      <w:r w:rsidRPr="0068396F">
        <w:rPr>
          <w:rStyle w:val="EndnoteReference"/>
          <w:vertAlign w:val="superscript"/>
        </w:rPr>
        <w:endnoteReference w:id="126"/>
      </w:r>
      <w:r w:rsidRPr="00AA1A20">
        <w:rPr>
          <w:rFonts w:cs="Open Sans"/>
        </w:rPr>
        <w:t xml:space="preserve"> The Law Council of Australia has highlighted the declining use of executive immunities in Australian law,</w:t>
      </w:r>
      <w:r w:rsidRPr="0068396F">
        <w:rPr>
          <w:rStyle w:val="EndnoteReference"/>
          <w:vertAlign w:val="superscript"/>
        </w:rPr>
        <w:endnoteReference w:id="127"/>
      </w:r>
      <w:r w:rsidRPr="00AA1A20">
        <w:rPr>
          <w:rFonts w:cs="Open Sans"/>
        </w:rPr>
        <w:t xml:space="preserve"> reflecting the core tenet that government and those acting on its behalf </w:t>
      </w:r>
      <w:r w:rsidRPr="00E85797">
        <w:t>should</w:t>
      </w:r>
      <w:r w:rsidRPr="00AA1A20">
        <w:rPr>
          <w:rFonts w:cs="Open Sans"/>
        </w:rPr>
        <w:t xml:space="preserve"> be subject to the same legal liabilities as any individual.</w:t>
      </w:r>
      <w:r w:rsidRPr="0068396F">
        <w:rPr>
          <w:rStyle w:val="EndnoteReference"/>
          <w:vertAlign w:val="superscript"/>
        </w:rPr>
        <w:endnoteReference w:id="128"/>
      </w:r>
      <w:r w:rsidRPr="00AA1A20">
        <w:rPr>
          <w:rFonts w:cs="Open Sans"/>
        </w:rPr>
        <w:t xml:space="preserve"> Further, </w:t>
      </w:r>
      <w:r w:rsidR="00F63A77">
        <w:rPr>
          <w:rFonts w:cs="Open Sans"/>
        </w:rPr>
        <w:t xml:space="preserve">immunity from civil liability has long been recognised as dangerous to the protection of fundamental rights, as reflected in the common law principle </w:t>
      </w:r>
      <w:r w:rsidRPr="00AA1A20">
        <w:rPr>
          <w:rFonts w:cs="Open Sans"/>
        </w:rPr>
        <w:t xml:space="preserve">that Parliament </w:t>
      </w:r>
      <w:r w:rsidR="00F63A77">
        <w:rPr>
          <w:rFonts w:cs="Open Sans"/>
        </w:rPr>
        <w:t xml:space="preserve">is presumed not to </w:t>
      </w:r>
      <w:r w:rsidRPr="00AA1A20">
        <w:rPr>
          <w:rFonts w:cs="Open Sans"/>
        </w:rPr>
        <w:t>intend to grant a wide immunity or authorise what would otherwise be a tort</w:t>
      </w:r>
      <w:r>
        <w:rPr>
          <w:rFonts w:cs="Open Sans"/>
        </w:rPr>
        <w:t xml:space="preserve"> </w:t>
      </w:r>
      <w:r w:rsidRPr="00AA1A20">
        <w:rPr>
          <w:rFonts w:cs="Open Sans"/>
        </w:rPr>
        <w:t>in the absence of clear language</w:t>
      </w:r>
      <w:r w:rsidRPr="0068396F">
        <w:rPr>
          <w:rStyle w:val="EndnoteReference"/>
          <w:vertAlign w:val="superscript"/>
        </w:rPr>
        <w:endnoteReference w:id="129"/>
      </w:r>
      <w:r w:rsidRPr="00AA1A20">
        <w:rPr>
          <w:rFonts w:cs="Open Sans"/>
        </w:rPr>
        <w:t xml:space="preserve">—an ambiguous provision will be narrowly construed. </w:t>
      </w:r>
    </w:p>
    <w:p w14:paraId="6E51F4EE" w14:textId="77777777" w:rsidR="00E85797" w:rsidRDefault="00E85797" w:rsidP="00E85797">
      <w:pPr>
        <w:pStyle w:val="ListNumber"/>
        <w:tabs>
          <w:tab w:val="clear" w:pos="360"/>
          <w:tab w:val="num" w:pos="993"/>
          <w:tab w:val="left" w:pos="1418"/>
        </w:tabs>
        <w:ind w:left="709" w:hanging="567"/>
        <w:rPr>
          <w:rFonts w:cs="Open Sans"/>
        </w:rPr>
      </w:pPr>
      <w:r>
        <w:rPr>
          <w:rFonts w:cs="Open Sans"/>
        </w:rPr>
        <w:t xml:space="preserve">There is some justification for providing certain immunities to </w:t>
      </w:r>
      <w:r w:rsidRPr="00E85797">
        <w:t>providers</w:t>
      </w:r>
      <w:r>
        <w:rPr>
          <w:rFonts w:cs="Open Sans"/>
        </w:rPr>
        <w:t xml:space="preserve"> in conjunction with issuing a TAN or TCN given that providers are compelled to comply with these notices. There is less justification for immunities, particularly of the broad kind proposed, where the assistance provided is voluntary. </w:t>
      </w:r>
      <w:r w:rsidRPr="00AA1A20">
        <w:rPr>
          <w:rFonts w:cs="Open Sans"/>
        </w:rPr>
        <w:t xml:space="preserve">While </w:t>
      </w:r>
      <w:r>
        <w:rPr>
          <w:rFonts w:cs="Open Sans"/>
        </w:rPr>
        <w:t xml:space="preserve">the proposed </w:t>
      </w:r>
      <w:r w:rsidRPr="00AA1A20">
        <w:rPr>
          <w:rFonts w:cs="Open Sans"/>
        </w:rPr>
        <w:t xml:space="preserve">blanket immunity will likely incentivise providers to comply with requests and notices, it may commensurately also lessen the attention providers pay to </w:t>
      </w:r>
      <w:r w:rsidRPr="00AA1A20">
        <w:rPr>
          <w:rFonts w:cs="Open Sans"/>
          <w:lang w:eastAsia="en-US"/>
        </w:rPr>
        <w:t>the</w:t>
      </w:r>
      <w:r w:rsidRPr="00AA1A20">
        <w:rPr>
          <w:rFonts w:cs="Open Sans"/>
        </w:rPr>
        <w:t xml:space="preserve"> legality of their actions, and therefore increase the </w:t>
      </w:r>
      <w:r>
        <w:rPr>
          <w:rFonts w:cs="Open Sans"/>
        </w:rPr>
        <w:t xml:space="preserve">potential </w:t>
      </w:r>
      <w:r w:rsidRPr="00AA1A20">
        <w:rPr>
          <w:rFonts w:cs="Open Sans"/>
        </w:rPr>
        <w:t xml:space="preserve">impact of their actions on the privacy </w:t>
      </w:r>
      <w:r>
        <w:rPr>
          <w:rFonts w:cs="Open Sans"/>
        </w:rPr>
        <w:t xml:space="preserve">and other rights </w:t>
      </w:r>
      <w:r w:rsidRPr="00AA1A20">
        <w:rPr>
          <w:rFonts w:cs="Open Sans"/>
        </w:rPr>
        <w:t xml:space="preserve">of third parties. This risks removing an additional check in the assistance process. </w:t>
      </w:r>
    </w:p>
    <w:p w14:paraId="592E30B1" w14:textId="77777777" w:rsidR="00E85797" w:rsidRDefault="00E85797" w:rsidP="00E85797">
      <w:pPr>
        <w:pStyle w:val="ListNumber"/>
        <w:tabs>
          <w:tab w:val="clear" w:pos="360"/>
          <w:tab w:val="num" w:pos="993"/>
          <w:tab w:val="left" w:pos="1418"/>
        </w:tabs>
        <w:ind w:left="709" w:hanging="567"/>
      </w:pPr>
      <w:r w:rsidRPr="00AA1A20">
        <w:t xml:space="preserve">Further, in the event that there are different acts that could be undertaken to fulfil an </w:t>
      </w:r>
      <w:r w:rsidRPr="00FA25E6">
        <w:rPr>
          <w:rFonts w:cs="Open Sans"/>
        </w:rPr>
        <w:t>assistance</w:t>
      </w:r>
      <w:r w:rsidRPr="00AA1A20">
        <w:t xml:space="preserve"> obligation, a broad immunity heightens the likelihood of a provider opting for </w:t>
      </w:r>
      <w:r>
        <w:t xml:space="preserve">a more </w:t>
      </w:r>
      <w:r w:rsidRPr="00AA1A20">
        <w:t>rights-intrusive option when a less restrictive measure might suffice.</w:t>
      </w:r>
    </w:p>
    <w:p w14:paraId="5C0ED53C" w14:textId="5978432A" w:rsidR="00E85797" w:rsidRDefault="00E85797" w:rsidP="00E85797">
      <w:pPr>
        <w:pStyle w:val="ListNumber"/>
        <w:tabs>
          <w:tab w:val="clear" w:pos="360"/>
          <w:tab w:val="num" w:pos="993"/>
          <w:tab w:val="left" w:pos="1418"/>
        </w:tabs>
        <w:ind w:left="709" w:hanging="567"/>
      </w:pPr>
      <w:r>
        <w:t>This broad approach can be contrasted with the narrower immunity from civil liability proposed under new</w:t>
      </w:r>
      <w:r w:rsidR="00205E36">
        <w:t xml:space="preserve"> s </w:t>
      </w:r>
      <w:r>
        <w:t>21A(1) of the ASIO Act, for persons who provide voluntary assistance to ASIO. Proposed</w:t>
      </w:r>
      <w:r w:rsidR="00205E36">
        <w:t xml:space="preserve"> s </w:t>
      </w:r>
      <w:r>
        <w:t xml:space="preserve">21A of the ASIO Act does not extend immunity to instances where the person assisting commits an </w:t>
      </w:r>
      <w:r>
        <w:lastRenderedPageBreak/>
        <w:t xml:space="preserve">offence, or where their conduct results in significant loss or serious damage to property (see discussion at Pt </w:t>
      </w:r>
      <w:r w:rsidR="00604CBD">
        <w:rPr>
          <w:highlight w:val="yellow"/>
        </w:rPr>
        <w:fldChar w:fldCharType="begin"/>
      </w:r>
      <w:r w:rsidR="00604CBD">
        <w:instrText xml:space="preserve"> REF _Ref526783679 \r \h </w:instrText>
      </w:r>
      <w:r w:rsidR="00604CBD">
        <w:rPr>
          <w:highlight w:val="yellow"/>
        </w:rPr>
      </w:r>
      <w:r w:rsidR="00604CBD">
        <w:rPr>
          <w:highlight w:val="yellow"/>
        </w:rPr>
        <w:fldChar w:fldCharType="separate"/>
      </w:r>
      <w:r w:rsidR="00372D72">
        <w:t>6.7</w:t>
      </w:r>
      <w:r w:rsidR="00604CBD">
        <w:rPr>
          <w:highlight w:val="yellow"/>
        </w:rPr>
        <w:fldChar w:fldCharType="end"/>
      </w:r>
      <w:r>
        <w:t xml:space="preserve"> below).</w:t>
      </w:r>
    </w:p>
    <w:p w14:paraId="40173DF5" w14:textId="39758B89" w:rsidR="00E85797" w:rsidRDefault="00674AB4" w:rsidP="00420E37">
      <w:pPr>
        <w:pStyle w:val="ListNumber"/>
        <w:tabs>
          <w:tab w:val="clear" w:pos="360"/>
          <w:tab w:val="num" w:pos="993"/>
          <w:tab w:val="left" w:pos="1418"/>
        </w:tabs>
        <w:ind w:left="709" w:hanging="567"/>
      </w:pPr>
      <w:r>
        <w:t>Under Sch</w:t>
      </w:r>
      <w:r w:rsidR="00927A73">
        <w:t>edule</w:t>
      </w:r>
      <w:r>
        <w:t xml:space="preserve"> 1 of the Bill, p</w:t>
      </w:r>
      <w:r w:rsidR="00E85797">
        <w:t>roviders will also be afforded immunity from criminal liability to certain telecommunications and computer o</w:t>
      </w:r>
      <w:r w:rsidR="00497756">
        <w:t>ffences under the Criminal Code</w:t>
      </w:r>
      <w:r w:rsidR="00E85797">
        <w:t xml:space="preserve"> pursuant to proposed</w:t>
      </w:r>
      <w:r w:rsidR="00205E36">
        <w:t xml:space="preserve"> ss </w:t>
      </w:r>
      <w:r w:rsidR="00E85797">
        <w:t>474.6(7A) and 476.2(4)(b)(iv)</w:t>
      </w:r>
      <w:r w:rsidR="00B52666">
        <w:rPr>
          <w:rFonts w:cs="Open Sans"/>
        </w:rPr>
        <w:t>–</w:t>
      </w:r>
      <w:r w:rsidR="00E85797">
        <w:t xml:space="preserve">(vi). If providers act in accordance with a request or </w:t>
      </w:r>
      <w:r w:rsidR="006C5765">
        <w:t xml:space="preserve">in compliance with a </w:t>
      </w:r>
      <w:r w:rsidR="00E85797">
        <w:t xml:space="preserve">notice, they will not be liable for offences relating to </w:t>
      </w:r>
      <w:r w:rsidR="00E85797" w:rsidRPr="004304DE">
        <w:t>hindering the normal operation of a carriage service</w:t>
      </w:r>
      <w:r w:rsidR="00E85797">
        <w:t xml:space="preserve"> under</w:t>
      </w:r>
      <w:r w:rsidR="00205E36">
        <w:t xml:space="preserve"> s </w:t>
      </w:r>
      <w:r w:rsidR="00E85797">
        <w:t>474.6(5) or offences relating to the causing of unauthorised access, modification or impairment of computers under Pt</w:t>
      </w:r>
      <w:r w:rsidR="00511A12">
        <w:t> </w:t>
      </w:r>
      <w:r w:rsidR="00E85797">
        <w:t xml:space="preserve">10.7 of the Criminal Code. </w:t>
      </w:r>
    </w:p>
    <w:p w14:paraId="3699A66A" w14:textId="4E4CBDEB" w:rsidR="00E85797" w:rsidRDefault="00E85797" w:rsidP="00E85797">
      <w:pPr>
        <w:pStyle w:val="ListNumber"/>
        <w:tabs>
          <w:tab w:val="clear" w:pos="360"/>
          <w:tab w:val="num" w:pos="993"/>
          <w:tab w:val="left" w:pos="1418"/>
        </w:tabs>
        <w:ind w:left="709" w:hanging="567"/>
      </w:pPr>
      <w:r>
        <w:t xml:space="preserve">The Commission is concerned about the application of immunities with respect to TARs, noting that requests might operate in a manner that bypasses current warrant or authorisation requirements (see discussion above at </w:t>
      </w:r>
      <w:r w:rsidR="00006656">
        <w:t>Pt </w:t>
      </w:r>
      <w:r w:rsidR="00604CBD">
        <w:fldChar w:fldCharType="begin"/>
      </w:r>
      <w:r w:rsidR="00604CBD">
        <w:instrText xml:space="preserve"> REF _Ref526783738 \r \h </w:instrText>
      </w:r>
      <w:r w:rsidR="00604CBD">
        <w:fldChar w:fldCharType="separate"/>
      </w:r>
      <w:r w:rsidR="00372D72">
        <w:t>5.3</w:t>
      </w:r>
      <w:r w:rsidR="00604CBD">
        <w:fldChar w:fldCharType="end"/>
      </w:r>
      <w:r>
        <w:t xml:space="preserve">, and Recommendation </w:t>
      </w:r>
      <w:r w:rsidR="00D7469A" w:rsidRPr="00604CBD">
        <w:t>1</w:t>
      </w:r>
      <w:r w:rsidR="00D7469A">
        <w:t xml:space="preserve">7 </w:t>
      </w:r>
      <w:r>
        <w:t>that a warrant be precondition of a request or notice). There is significantly less justification for granting an immunity to a provider when the conduct that it is engaging in is voluntary.</w:t>
      </w:r>
    </w:p>
    <w:p w14:paraId="28CB359F" w14:textId="3E9A5E65" w:rsidR="00481026" w:rsidRDefault="00481026" w:rsidP="00481026">
      <w:pPr>
        <w:pStyle w:val="ListNumber"/>
        <w:tabs>
          <w:tab w:val="clear" w:pos="360"/>
          <w:tab w:val="num" w:pos="993"/>
          <w:tab w:val="left" w:pos="1418"/>
        </w:tabs>
        <w:ind w:left="709" w:hanging="567"/>
      </w:pPr>
      <w:r>
        <w:t xml:space="preserve">As </w:t>
      </w:r>
      <w:r w:rsidR="00620180">
        <w:t>the</w:t>
      </w:r>
      <w:r>
        <w:t xml:space="preserve"> IGIS</w:t>
      </w:r>
      <w:r w:rsidR="00620180">
        <w:t xml:space="preserve"> has observed</w:t>
      </w:r>
      <w:r>
        <w:t xml:space="preserve">, TARs could also potentially be used to extend immunity </w:t>
      </w:r>
      <w:r w:rsidR="00F017D6">
        <w:t xml:space="preserve">from criminal liability </w:t>
      </w:r>
      <w:r>
        <w:t>to ‘acts or things’ done by providers to assist agencies, in circumstances where the staff or agents of those agencies do not themselves currently enjoy</w:t>
      </w:r>
      <w:r w:rsidR="00F017D6">
        <w:t xml:space="preserve"> such</w:t>
      </w:r>
      <w:r>
        <w:t xml:space="preserve"> immunity (</w:t>
      </w:r>
      <w:r w:rsidR="00F017D6">
        <w:t xml:space="preserve">for example, </w:t>
      </w:r>
      <w:r>
        <w:t>on account of the limitations contained in</w:t>
      </w:r>
      <w:r w:rsidR="00205E36">
        <w:t xml:space="preserve"> s </w:t>
      </w:r>
      <w:r>
        <w:t>476.5 of the Criminal Code).</w:t>
      </w:r>
      <w:r w:rsidRPr="0068396F">
        <w:rPr>
          <w:rStyle w:val="EndnoteReference"/>
          <w:vertAlign w:val="superscript"/>
        </w:rPr>
        <w:endnoteReference w:id="130"/>
      </w:r>
      <w:r>
        <w:t xml:space="preserve"> This extension </w:t>
      </w:r>
      <w:r w:rsidR="00FD516B">
        <w:t>is in</w:t>
      </w:r>
      <w:r w:rsidR="00F017D6">
        <w:t>consisten</w:t>
      </w:r>
      <w:r w:rsidR="00FD516B">
        <w:t>t</w:t>
      </w:r>
      <w:r>
        <w:t xml:space="preserve"> with the existing statutory limitations on the application of criminal immunities to</w:t>
      </w:r>
      <w:r w:rsidR="00F017D6">
        <w:t xml:space="preserve"> relevant</w:t>
      </w:r>
      <w:r>
        <w:t xml:space="preserve"> agencies.</w:t>
      </w:r>
    </w:p>
    <w:p w14:paraId="3F920ADF" w14:textId="35745E56" w:rsidR="00E85797" w:rsidRDefault="00E85797" w:rsidP="00E85797">
      <w:pPr>
        <w:pStyle w:val="ListNumber"/>
        <w:tabs>
          <w:tab w:val="clear" w:pos="360"/>
          <w:tab w:val="num" w:pos="993"/>
          <w:tab w:val="left" w:pos="1418"/>
        </w:tabs>
        <w:ind w:left="709" w:hanging="567"/>
      </w:pPr>
      <w:r>
        <w:t>Further, unlike the decision-making criteria applicable to TANs and TCNs, the giving of a TAR does not currently require the decision</w:t>
      </w:r>
      <w:r w:rsidR="005C76C1">
        <w:t xml:space="preserve"> </w:t>
      </w:r>
      <w:r>
        <w:t xml:space="preserve">maker to consider proportionality or reasonableness. Therefore, there is no requirement to consider whether the effect of constraining a third party’s ability to bring a civil claim against a provider, or a provider’s immunity from computer offences, is reasonable or proportionate to the objectives of the TAR. </w:t>
      </w:r>
    </w:p>
    <w:p w14:paraId="74164B76" w14:textId="21BED20F" w:rsidR="00B52666" w:rsidRDefault="00B52666" w:rsidP="00B52666">
      <w:pPr>
        <w:pStyle w:val="ListNumber"/>
        <w:tabs>
          <w:tab w:val="clear" w:pos="360"/>
          <w:tab w:val="num" w:pos="993"/>
          <w:tab w:val="left" w:pos="1418"/>
        </w:tabs>
        <w:ind w:left="709" w:hanging="567"/>
      </w:pPr>
      <w:r>
        <w:t xml:space="preserve">The Commission has recommended revised decision-making criteria for the giving of requests and notices, </w:t>
      </w:r>
      <w:r w:rsidR="00FD516B">
        <w:t xml:space="preserve">which </w:t>
      </w:r>
      <w:r>
        <w:t xml:space="preserve">includes proportionality and specific consideration of </w:t>
      </w:r>
      <w:r w:rsidRPr="00365B36">
        <w:rPr>
          <w:rFonts w:eastAsia="Calibri" w:cs="Open Sans"/>
          <w:lang w:eastAsia="en-US"/>
        </w:rPr>
        <w:t>any impacts on innocent third parties, including the consequences of a provider’s immunity from civil liability</w:t>
      </w:r>
      <w:r>
        <w:t xml:space="preserve"> (see Recommendation 1</w:t>
      </w:r>
      <w:r w:rsidR="00D7469A">
        <w:t>0</w:t>
      </w:r>
      <w:r>
        <w:t xml:space="preserve">). This will help ensure </w:t>
      </w:r>
      <w:r w:rsidR="003214EA">
        <w:t xml:space="preserve">that </w:t>
      </w:r>
      <w:r>
        <w:t xml:space="preserve">consideration </w:t>
      </w:r>
      <w:r w:rsidR="003214EA">
        <w:t>is given to</w:t>
      </w:r>
      <w:r>
        <w:t xml:space="preserve"> the broader impacts of immunities before the giving of a request or notice, and that conferral </w:t>
      </w:r>
      <w:r w:rsidR="00481026">
        <w:t xml:space="preserve">of the immunity </w:t>
      </w:r>
      <w:r>
        <w:t xml:space="preserve">is reasonable, proportionate and necessary. </w:t>
      </w:r>
    </w:p>
    <w:p w14:paraId="768E28C1" w14:textId="429B3E22" w:rsidR="00E85797" w:rsidRDefault="00FF3F07" w:rsidP="00E85797">
      <w:pPr>
        <w:pStyle w:val="ListNumber"/>
        <w:tabs>
          <w:tab w:val="clear" w:pos="360"/>
          <w:tab w:val="num" w:pos="993"/>
          <w:tab w:val="left" w:pos="1418"/>
        </w:tabs>
        <w:ind w:left="709" w:hanging="567"/>
      </w:pPr>
      <w:r>
        <w:lastRenderedPageBreak/>
        <w:t>As also note</w:t>
      </w:r>
      <w:r w:rsidR="00E85797">
        <w:t>d by</w:t>
      </w:r>
      <w:r w:rsidR="007743F9">
        <w:t xml:space="preserve"> the</w:t>
      </w:r>
      <w:r w:rsidR="00E85797">
        <w:t xml:space="preserve"> IGIS, the effect of the amendments is that agencies will potentially </w:t>
      </w:r>
      <w:r w:rsidR="00D07898">
        <w:t xml:space="preserve">be able to choose from multiple powers </w:t>
      </w:r>
      <w:r w:rsidR="007743F9">
        <w:t xml:space="preserve">to obtain assistance from providers, </w:t>
      </w:r>
      <w:r w:rsidR="00240403">
        <w:t xml:space="preserve">with those various powers </w:t>
      </w:r>
      <w:r w:rsidR="007743F9">
        <w:t>attract</w:t>
      </w:r>
      <w:r w:rsidR="00240403">
        <w:t>ing</w:t>
      </w:r>
      <w:r w:rsidR="007743F9">
        <w:t xml:space="preserve"> different scopes of statutory immunity including different conditions and limitations.</w:t>
      </w:r>
      <w:r w:rsidR="007743F9" w:rsidRPr="0068396F">
        <w:rPr>
          <w:rStyle w:val="EndnoteReference"/>
          <w:vertAlign w:val="superscript"/>
        </w:rPr>
        <w:endnoteReference w:id="131"/>
      </w:r>
      <w:r w:rsidR="007743F9">
        <w:t xml:space="preserve"> </w:t>
      </w:r>
      <w:r w:rsidR="00E85797">
        <w:t xml:space="preserve">This could lead to a lack of clarity as to which powers and immunities are being relied upon by agencies and/or providers, and on what grounds a third party is unable to bring a civil claim. The Commission makes a </w:t>
      </w:r>
      <w:r w:rsidR="00E85797" w:rsidRPr="00604CBD">
        <w:t>recommendation</w:t>
      </w:r>
      <w:r w:rsidR="00604CBD">
        <w:t xml:space="preserve"> in Pt </w:t>
      </w:r>
      <w:r w:rsidR="00604CBD">
        <w:fldChar w:fldCharType="begin"/>
      </w:r>
      <w:r w:rsidR="00604CBD">
        <w:instrText xml:space="preserve"> REF _Ref526783634 \r \h </w:instrText>
      </w:r>
      <w:r w:rsidR="00604CBD">
        <w:fldChar w:fldCharType="separate"/>
      </w:r>
      <w:r w:rsidR="00372D72">
        <w:t>6.7</w:t>
      </w:r>
      <w:r w:rsidR="00604CBD">
        <w:fldChar w:fldCharType="end"/>
      </w:r>
      <w:r w:rsidR="00E85797" w:rsidRPr="00604CBD">
        <w:t xml:space="preserve"> below in</w:t>
      </w:r>
      <w:r w:rsidR="00E85797">
        <w:t xml:space="preserve"> relation to voluntary assistance under proposed</w:t>
      </w:r>
      <w:r w:rsidR="00205E36">
        <w:t xml:space="preserve"> s </w:t>
      </w:r>
      <w:r w:rsidR="00E85797">
        <w:t>21A of the ASIO Act</w:t>
      </w:r>
      <w:r w:rsidR="00F017D6">
        <w:t>,</w:t>
      </w:r>
      <w:r w:rsidR="00E85797">
        <w:t xml:space="preserve"> which is designed to avoid overlap with technical assistance requests</w:t>
      </w:r>
      <w:r w:rsidR="005D3D25">
        <w:t xml:space="preserve"> (see Recommendation 5</w:t>
      </w:r>
      <w:r w:rsidR="00D7469A">
        <w:t>0</w:t>
      </w:r>
      <w:r w:rsidR="005D3D25">
        <w:t>)</w:t>
      </w:r>
      <w:r w:rsidR="00E85797">
        <w:t>.</w:t>
      </w:r>
    </w:p>
    <w:p w14:paraId="46BE73F1" w14:textId="43E6E081" w:rsidR="00E85797" w:rsidRDefault="00E85797" w:rsidP="00E85797">
      <w:pPr>
        <w:pStyle w:val="ListNumber"/>
        <w:tabs>
          <w:tab w:val="clear" w:pos="360"/>
          <w:tab w:val="num" w:pos="993"/>
          <w:tab w:val="left" w:pos="1418"/>
        </w:tabs>
        <w:ind w:left="709" w:hanging="567"/>
      </w:pPr>
      <w:r>
        <w:t>The Commission appreciates that, as a practical matter, provider assistance might be less</w:t>
      </w:r>
      <w:r w:rsidR="005D3D25">
        <w:t xml:space="preserve"> effective and forthcoming if some form of immunit</w:t>
      </w:r>
      <w:r w:rsidR="00240403">
        <w:t>y</w:t>
      </w:r>
      <w:r w:rsidR="005D3D25">
        <w:t xml:space="preserve"> </w:t>
      </w:r>
      <w:r w:rsidR="00240403">
        <w:t>is</w:t>
      </w:r>
      <w:r>
        <w:t xml:space="preserve"> not afforded. However, it considers that the pro</w:t>
      </w:r>
      <w:r w:rsidR="005D3D25">
        <w:t xml:space="preserve">posed immunities are overbroad </w:t>
      </w:r>
      <w:r>
        <w:t xml:space="preserve">and subject to </w:t>
      </w:r>
      <w:r w:rsidR="005D3D25">
        <w:t>inadequate</w:t>
      </w:r>
      <w:r>
        <w:t xml:space="preserve"> oversight. </w:t>
      </w:r>
    </w:p>
    <w:p w14:paraId="37B14210" w14:textId="0E76F1B9" w:rsidR="005D3D25" w:rsidRDefault="00E85797" w:rsidP="00E85797">
      <w:pPr>
        <w:pStyle w:val="ListNumber"/>
        <w:tabs>
          <w:tab w:val="clear" w:pos="360"/>
          <w:tab w:val="num" w:pos="993"/>
          <w:tab w:val="left" w:pos="1418"/>
        </w:tabs>
        <w:ind w:left="709" w:hanging="567"/>
      </w:pPr>
      <w:r>
        <w:t xml:space="preserve">One way to address the breadth of the </w:t>
      </w:r>
      <w:r w:rsidR="00240403">
        <w:t xml:space="preserve">Bill’s </w:t>
      </w:r>
      <w:r>
        <w:t>civil immunities would be to exclude certain conduct from the immunities, in the way proposed in</w:t>
      </w:r>
      <w:r w:rsidR="00205E36">
        <w:t xml:space="preserve"> s </w:t>
      </w:r>
      <w:r>
        <w:t>21A(1)(d) and (e) of the ASIO Act. For example, the</w:t>
      </w:r>
      <w:r w:rsidR="00FF3F07">
        <w:t xml:space="preserve"> civil immunity</w:t>
      </w:r>
      <w:r>
        <w:t xml:space="preserve"> could be expressed not to apply to conduct that involves a provider committing an offence or to conduct that results in significant loss or damage to third parties. </w:t>
      </w:r>
    </w:p>
    <w:p w14:paraId="1372B9E6" w14:textId="1DB1C116" w:rsidR="00E85797" w:rsidRDefault="00E85797" w:rsidP="00E85797">
      <w:pPr>
        <w:pStyle w:val="ListNumber"/>
        <w:tabs>
          <w:tab w:val="clear" w:pos="360"/>
          <w:tab w:val="num" w:pos="993"/>
          <w:tab w:val="left" w:pos="1418"/>
        </w:tabs>
        <w:ind w:left="709" w:hanging="567"/>
      </w:pPr>
      <w:r>
        <w:t xml:space="preserve">Another way would be to limit the acts or things that are specified in a request or notice so that they may not include acts or things that would be likely to result in the </w:t>
      </w:r>
      <w:r w:rsidR="005D3D25">
        <w:t xml:space="preserve">provider committing an offence </w:t>
      </w:r>
      <w:r w:rsidR="005D3D25" w:rsidRPr="009F6AFC">
        <w:t>(other than the offences for which immunity from criminal liability is proposed in new</w:t>
      </w:r>
      <w:r w:rsidR="00205E36">
        <w:t xml:space="preserve"> ss </w:t>
      </w:r>
      <w:r w:rsidR="005D3D25" w:rsidRPr="009F6AFC">
        <w:t>474.6(7) and 476.2(4)(b)(iii) of the Criminal Code</w:t>
      </w:r>
      <w:r>
        <w:t>) or that would be likely to cause significant loss or damage to third parties.</w:t>
      </w:r>
    </w:p>
    <w:p w14:paraId="33525BC3" w14:textId="14514D29" w:rsidR="00E85797" w:rsidRPr="002F03A9" w:rsidRDefault="00E85797" w:rsidP="00E85797">
      <w:pPr>
        <w:pStyle w:val="ListNumber"/>
        <w:tabs>
          <w:tab w:val="clear" w:pos="360"/>
          <w:tab w:val="num" w:pos="993"/>
          <w:tab w:val="left" w:pos="1418"/>
        </w:tabs>
        <w:ind w:left="709" w:hanging="567"/>
      </w:pPr>
      <w:r>
        <w:t>The Bill should also include ensure the proper oversight of the granting of civil and criminal immunities to providers. This could include mandated reporting by ASIO, ASIS and ASD to</w:t>
      </w:r>
      <w:r w:rsidR="007743F9">
        <w:t xml:space="preserve"> the</w:t>
      </w:r>
      <w:r>
        <w:t xml:space="preserve"> IGIS of instances where</w:t>
      </w:r>
      <w:r w:rsidR="001B28C8">
        <w:t xml:space="preserve"> a request or notice is given or varied, and where</w:t>
      </w:r>
      <w:r>
        <w:t xml:space="preserve"> civil or criminal immunity is engaged and a provider’s conduct has caused significant </w:t>
      </w:r>
      <w:r w:rsidR="001B28C8">
        <w:t xml:space="preserve">loss </w:t>
      </w:r>
      <w:r>
        <w:t>or damage, or is conduct that</w:t>
      </w:r>
      <w:r w:rsidR="00DF12E5">
        <w:t xml:space="preserve"> is </w:t>
      </w:r>
      <w:r w:rsidR="002464C8">
        <w:t xml:space="preserve">an </w:t>
      </w:r>
      <w:r w:rsidR="00DF12E5">
        <w:t>offence including where it</w:t>
      </w:r>
      <w:r>
        <w:t xml:space="preserve"> would otherwise constitute a </w:t>
      </w:r>
      <w:r w:rsidR="00DF12E5">
        <w:t xml:space="preserve">relevant telecommunications or </w:t>
      </w:r>
      <w:r>
        <w:t>computer offence. Similar reporting requirements should apply to other agencies, to the appropriate integrity bodies such as the Ombudsman and ACLEI.</w:t>
      </w:r>
      <w:r w:rsidR="0038253F">
        <w:t xml:space="preserve"> </w:t>
      </w:r>
    </w:p>
    <w:p w14:paraId="31B433FB" w14:textId="576D4E6C" w:rsidR="00E85797" w:rsidRDefault="00E85797" w:rsidP="00DF12E5">
      <w:pPr>
        <w:pStyle w:val="ListNumber"/>
        <w:keepNext/>
        <w:numPr>
          <w:ilvl w:val="0"/>
          <w:numId w:val="0"/>
        </w:numPr>
        <w:ind w:left="720"/>
        <w:rPr>
          <w:b/>
        </w:rPr>
      </w:pPr>
      <w:r w:rsidRPr="00FA25E6">
        <w:rPr>
          <w:b/>
        </w:rPr>
        <w:t>Recommendation</w:t>
      </w:r>
      <w:r>
        <w:rPr>
          <w:b/>
        </w:rPr>
        <w:t xml:space="preserve"> </w:t>
      </w:r>
      <w:r w:rsidR="00BC2929">
        <w:rPr>
          <w:b/>
        </w:rPr>
        <w:t>2</w:t>
      </w:r>
      <w:r w:rsidR="003E54A3">
        <w:rPr>
          <w:b/>
        </w:rPr>
        <w:t>1</w:t>
      </w:r>
    </w:p>
    <w:p w14:paraId="32B24763" w14:textId="485007FD" w:rsidR="00E85797" w:rsidRPr="00E85797" w:rsidRDefault="00E85797" w:rsidP="00E85797">
      <w:pPr>
        <w:pStyle w:val="ListNumber"/>
        <w:numPr>
          <w:ilvl w:val="0"/>
          <w:numId w:val="0"/>
        </w:numPr>
        <w:ind w:left="720"/>
        <w:rPr>
          <w:b/>
        </w:rPr>
      </w:pPr>
      <w:r>
        <w:t>Proposed</w:t>
      </w:r>
      <w:r w:rsidR="00205E36">
        <w:t xml:space="preserve"> ss </w:t>
      </w:r>
      <w:r>
        <w:t xml:space="preserve">317G, 317L and 317T of the </w:t>
      </w:r>
      <w:r w:rsidRPr="00873CA3">
        <w:rPr>
          <w:i/>
        </w:rPr>
        <w:t xml:space="preserve">Telecommunications Act 1997 </w:t>
      </w:r>
      <w:r>
        <w:t xml:space="preserve">(Cth) be amended so that the </w:t>
      </w:r>
      <w:r w:rsidR="00594D5A">
        <w:t>‘</w:t>
      </w:r>
      <w:r>
        <w:t>acts or things</w:t>
      </w:r>
      <w:r w:rsidR="00594D5A">
        <w:t>’</w:t>
      </w:r>
      <w:r>
        <w:t xml:space="preserve"> that are specified in a request or notice may not include </w:t>
      </w:r>
      <w:r w:rsidR="00594D5A">
        <w:t>‘</w:t>
      </w:r>
      <w:r>
        <w:t>acts or things</w:t>
      </w:r>
      <w:r w:rsidR="00594D5A">
        <w:t>’</w:t>
      </w:r>
      <w:r>
        <w:t xml:space="preserve"> that would be likely to result in the </w:t>
      </w:r>
      <w:r>
        <w:lastRenderedPageBreak/>
        <w:t>provider committing an offence</w:t>
      </w:r>
      <w:r w:rsidR="00B034C9">
        <w:t xml:space="preserve"> </w:t>
      </w:r>
      <w:r w:rsidR="00B034C9" w:rsidRPr="00B034C9">
        <w:t xml:space="preserve">(other than the offences for which immunity from criminal liability is proposed in </w:t>
      </w:r>
      <w:r w:rsidR="002464C8">
        <w:t>proposed</w:t>
      </w:r>
      <w:r w:rsidR="00205E36">
        <w:t xml:space="preserve"> ss </w:t>
      </w:r>
      <w:r w:rsidR="00B034C9" w:rsidRPr="00B034C9">
        <w:t xml:space="preserve">474.6(7) and 476.2(4)(b)(iii) of the Criminal Code) </w:t>
      </w:r>
      <w:r>
        <w:t>or that would be likely to cause significant loss or damage to third parties.</w:t>
      </w:r>
    </w:p>
    <w:p w14:paraId="7C698032" w14:textId="5128A1BB" w:rsidR="00E85797" w:rsidRPr="00B4005B" w:rsidRDefault="00E85797" w:rsidP="0061758B">
      <w:pPr>
        <w:pStyle w:val="ListNumber"/>
        <w:keepNext/>
        <w:numPr>
          <w:ilvl w:val="0"/>
          <w:numId w:val="0"/>
        </w:numPr>
        <w:ind w:left="720"/>
        <w:rPr>
          <w:b/>
        </w:rPr>
      </w:pPr>
      <w:r w:rsidRPr="00B4005B">
        <w:rPr>
          <w:b/>
        </w:rPr>
        <w:t xml:space="preserve">Recommendation </w:t>
      </w:r>
      <w:r w:rsidR="00BC2929">
        <w:rPr>
          <w:b/>
        </w:rPr>
        <w:t>2</w:t>
      </w:r>
      <w:r w:rsidR="003E54A3">
        <w:rPr>
          <w:b/>
        </w:rPr>
        <w:t>2</w:t>
      </w:r>
    </w:p>
    <w:p w14:paraId="7667F931" w14:textId="77777777" w:rsidR="00E85797" w:rsidRDefault="00E85797" w:rsidP="0061758B">
      <w:pPr>
        <w:pStyle w:val="ListNumber"/>
        <w:keepNext/>
        <w:numPr>
          <w:ilvl w:val="0"/>
          <w:numId w:val="0"/>
        </w:numPr>
        <w:ind w:left="720"/>
      </w:pPr>
      <w:r>
        <w:t>Further, or in the alternative:</w:t>
      </w:r>
    </w:p>
    <w:p w14:paraId="0DCFD6E6" w14:textId="7C314ECF" w:rsidR="00E85797" w:rsidRDefault="00E85797" w:rsidP="0061758B">
      <w:pPr>
        <w:pStyle w:val="ListNumber"/>
        <w:numPr>
          <w:ilvl w:val="0"/>
          <w:numId w:val="108"/>
        </w:numPr>
        <w:ind w:left="1077" w:hanging="357"/>
      </w:pPr>
      <w:r>
        <w:t>proposed</w:t>
      </w:r>
      <w:r w:rsidR="00205E36">
        <w:t xml:space="preserve"> ss </w:t>
      </w:r>
      <w:r>
        <w:t xml:space="preserve">317G and 317ZJ of the </w:t>
      </w:r>
      <w:r w:rsidRPr="00873CA3">
        <w:rPr>
          <w:i/>
        </w:rPr>
        <w:t xml:space="preserve">Telecommunications Act 1997 </w:t>
      </w:r>
      <w:r>
        <w:t>(Cth) be amended so that</w:t>
      </w:r>
      <w:r w:rsidRPr="00B4005B">
        <w:t xml:space="preserve"> the </w:t>
      </w:r>
      <w:r>
        <w:t xml:space="preserve">civil </w:t>
      </w:r>
      <w:r w:rsidRPr="00B4005B">
        <w:t xml:space="preserve">immunities </w:t>
      </w:r>
      <w:r>
        <w:t xml:space="preserve">in those sections do </w:t>
      </w:r>
      <w:r w:rsidRPr="00B4005B">
        <w:t xml:space="preserve">not to apply to conduct that </w:t>
      </w:r>
      <w:r>
        <w:t xml:space="preserve">would be likely to result in </w:t>
      </w:r>
      <w:r w:rsidRPr="00B4005B">
        <w:t>a provider committing an offence</w:t>
      </w:r>
      <w:r w:rsidR="00CF08EF">
        <w:t xml:space="preserve"> </w:t>
      </w:r>
      <w:r w:rsidR="00CF08EF" w:rsidRPr="005D3D25">
        <w:t>(other than the offences for which immunity from criminal liability is proposed in new</w:t>
      </w:r>
      <w:r w:rsidR="00205E36">
        <w:t xml:space="preserve"> ss </w:t>
      </w:r>
      <w:r w:rsidR="00CF08EF" w:rsidRPr="005D3D25">
        <w:t xml:space="preserve">474.6(7) and 476.2(4)(b)(iii) of the Criminal Code) </w:t>
      </w:r>
      <w:r w:rsidRPr="00B4005B">
        <w:t xml:space="preserve">or to conduct that </w:t>
      </w:r>
      <w:r>
        <w:t xml:space="preserve">would be likely to cause </w:t>
      </w:r>
      <w:r w:rsidRPr="00B4005B">
        <w:t>significant loss or damage to third parties</w:t>
      </w:r>
    </w:p>
    <w:p w14:paraId="7973E009" w14:textId="7C1BEDC3" w:rsidR="00E85797" w:rsidRDefault="00E85797" w:rsidP="0061758B">
      <w:pPr>
        <w:pStyle w:val="ListNumber"/>
        <w:numPr>
          <w:ilvl w:val="0"/>
          <w:numId w:val="108"/>
        </w:numPr>
        <w:ind w:left="1077" w:hanging="357"/>
      </w:pPr>
      <w:r>
        <w:t xml:space="preserve">the Bill provide that it is a defence to proceedings for breach of a technical assistance notice or a technical capability notice that compliance with the notice would have been likely to result in the provider committing an </w:t>
      </w:r>
      <w:r w:rsidRPr="009234A2">
        <w:t xml:space="preserve">offence </w:t>
      </w:r>
      <w:r w:rsidR="009234A2" w:rsidRPr="005D3D25">
        <w:t>(other than the offences for which immunity from criminal liability is proposed in new</w:t>
      </w:r>
      <w:r w:rsidR="00205E36">
        <w:t xml:space="preserve"> ss </w:t>
      </w:r>
      <w:r w:rsidR="009234A2" w:rsidRPr="005D3D25">
        <w:t xml:space="preserve">474.6(7) and 476.2(4)(b)(iii) of the Criminal Code) </w:t>
      </w:r>
      <w:r w:rsidRPr="009234A2">
        <w:t xml:space="preserve">or </w:t>
      </w:r>
      <w:r>
        <w:t>that would be likely to cause significant loss or damage to third parties.</w:t>
      </w:r>
    </w:p>
    <w:p w14:paraId="6D66B918" w14:textId="1ED172BB" w:rsidR="00E85797" w:rsidRDefault="00E85797" w:rsidP="00E77015">
      <w:pPr>
        <w:pStyle w:val="ListNumber"/>
        <w:keepNext/>
        <w:numPr>
          <w:ilvl w:val="0"/>
          <w:numId w:val="0"/>
        </w:numPr>
        <w:ind w:left="720"/>
        <w:rPr>
          <w:b/>
        </w:rPr>
      </w:pPr>
      <w:r w:rsidRPr="00FA25E6">
        <w:rPr>
          <w:b/>
        </w:rPr>
        <w:t>Recommendation</w:t>
      </w:r>
      <w:r>
        <w:rPr>
          <w:b/>
        </w:rPr>
        <w:t xml:space="preserve"> </w:t>
      </w:r>
      <w:r w:rsidR="003E54A3">
        <w:rPr>
          <w:b/>
        </w:rPr>
        <w:t>23</w:t>
      </w:r>
    </w:p>
    <w:p w14:paraId="18D7C96E" w14:textId="064886E2" w:rsidR="00E85797" w:rsidRPr="00FE79DD" w:rsidRDefault="00E85797" w:rsidP="00E85797">
      <w:pPr>
        <w:pStyle w:val="ListNumber"/>
        <w:numPr>
          <w:ilvl w:val="0"/>
          <w:numId w:val="0"/>
        </w:numPr>
        <w:ind w:left="720"/>
      </w:pPr>
      <w:r>
        <w:t xml:space="preserve">The Department seek further advice as to the appropriateness of </w:t>
      </w:r>
      <w:r w:rsidRPr="0068396F">
        <w:rPr>
          <w:rFonts w:cs="Open Sans"/>
        </w:rPr>
        <w:t>providing</w:t>
      </w:r>
      <w:r>
        <w:t xml:space="preserve"> criminal immunities for voluntary conduct engaged in in accordance with a </w:t>
      </w:r>
      <w:r w:rsidR="002464C8">
        <w:t>T</w:t>
      </w:r>
      <w:r>
        <w:t xml:space="preserve">echnical </w:t>
      </w:r>
      <w:r w:rsidR="002464C8">
        <w:t>A</w:t>
      </w:r>
      <w:r>
        <w:t xml:space="preserve">ssistance </w:t>
      </w:r>
      <w:r w:rsidR="002464C8">
        <w:t>R</w:t>
      </w:r>
      <w:r>
        <w:t>equest.</w:t>
      </w:r>
    </w:p>
    <w:p w14:paraId="2957303E" w14:textId="276B3577" w:rsidR="00E85797" w:rsidRDefault="00E85797" w:rsidP="00E77015">
      <w:pPr>
        <w:pStyle w:val="ListNumber"/>
        <w:keepNext/>
        <w:numPr>
          <w:ilvl w:val="0"/>
          <w:numId w:val="0"/>
        </w:numPr>
        <w:ind w:left="720"/>
        <w:rPr>
          <w:b/>
        </w:rPr>
      </w:pPr>
      <w:r w:rsidRPr="00FA25E6">
        <w:rPr>
          <w:b/>
        </w:rPr>
        <w:t>Recommendation</w:t>
      </w:r>
      <w:r>
        <w:rPr>
          <w:b/>
        </w:rPr>
        <w:t xml:space="preserve"> </w:t>
      </w:r>
      <w:r w:rsidR="003E54A3">
        <w:rPr>
          <w:b/>
        </w:rPr>
        <w:t>24</w:t>
      </w:r>
    </w:p>
    <w:p w14:paraId="10E2859B" w14:textId="36B809B7" w:rsidR="00E85797" w:rsidRPr="002F03A9" w:rsidRDefault="00E85797" w:rsidP="00E85797">
      <w:pPr>
        <w:pStyle w:val="ListNumber"/>
        <w:numPr>
          <w:ilvl w:val="0"/>
          <w:numId w:val="0"/>
        </w:numPr>
        <w:ind w:left="720"/>
      </w:pPr>
      <w:r>
        <w:t xml:space="preserve">The Bill be amended to require agencies to report to a relevant oversight body on instances where </w:t>
      </w:r>
      <w:r w:rsidRPr="002F03A9">
        <w:t xml:space="preserve">a civil </w:t>
      </w:r>
      <w:r>
        <w:t>immunity under proposed</w:t>
      </w:r>
      <w:r w:rsidR="00205E36">
        <w:t xml:space="preserve"> ss </w:t>
      </w:r>
      <w:r>
        <w:t>317G</w:t>
      </w:r>
      <w:r w:rsidRPr="00012643">
        <w:t xml:space="preserve"> </w:t>
      </w:r>
      <w:r>
        <w:t xml:space="preserve">or </w:t>
      </w:r>
      <w:r w:rsidRPr="00012643">
        <w:t>317ZJ</w:t>
      </w:r>
      <w:r>
        <w:t xml:space="preserve"> of the </w:t>
      </w:r>
      <w:r w:rsidRPr="00873CA3">
        <w:rPr>
          <w:i/>
        </w:rPr>
        <w:t xml:space="preserve">Telecommunications Act 1997 </w:t>
      </w:r>
      <w:r>
        <w:t xml:space="preserve">(Cth) </w:t>
      </w:r>
      <w:r w:rsidRPr="002F03A9">
        <w:t xml:space="preserve">or criminal immunity </w:t>
      </w:r>
      <w:r>
        <w:t>under</w:t>
      </w:r>
      <w:r w:rsidR="00205E36">
        <w:t xml:space="preserve"> ss </w:t>
      </w:r>
      <w:r w:rsidR="00B52666">
        <w:t>474.6(7A) or 476.2(4)(b)(iv)</w:t>
      </w:r>
      <w:r w:rsidR="00B52666">
        <w:rPr>
          <w:rFonts w:cs="Open Sans"/>
        </w:rPr>
        <w:t>–</w:t>
      </w:r>
      <w:r>
        <w:t xml:space="preserve">(vi) of the </w:t>
      </w:r>
      <w:r w:rsidRPr="00EF0AF4">
        <w:t>Criminal Code</w:t>
      </w:r>
      <w:r>
        <w:t xml:space="preserve"> </w:t>
      </w:r>
      <w:r w:rsidRPr="002F03A9">
        <w:t>is engaged</w:t>
      </w:r>
      <w:r>
        <w:t xml:space="preserve">, </w:t>
      </w:r>
      <w:r w:rsidRPr="002F03A9">
        <w:t>and a provider’s conduct has caused significant loss of or damage to property, or significant financial loss, or</w:t>
      </w:r>
      <w:r w:rsidR="00136E87">
        <w:t xml:space="preserve"> constitutes</w:t>
      </w:r>
      <w:r w:rsidRPr="002F03A9">
        <w:t xml:space="preserve"> </w:t>
      </w:r>
      <w:r w:rsidR="006A6B89">
        <w:t>an offence including</w:t>
      </w:r>
      <w:r w:rsidRPr="002F03A9">
        <w:t xml:space="preserve"> conduct that would otherwise constitute a </w:t>
      </w:r>
      <w:r>
        <w:t xml:space="preserve">relevant telecommunications or </w:t>
      </w:r>
      <w:r w:rsidRPr="002F03A9">
        <w:t>computer offence.</w:t>
      </w:r>
    </w:p>
    <w:p w14:paraId="75CFD051" w14:textId="0EF39138" w:rsidR="002222AF" w:rsidRPr="00AA1A20" w:rsidRDefault="002222AF" w:rsidP="002222AF">
      <w:pPr>
        <w:pStyle w:val="Heading2"/>
        <w:tabs>
          <w:tab w:val="clear" w:pos="851"/>
          <w:tab w:val="num" w:pos="1418"/>
        </w:tabs>
        <w:rPr>
          <w:rFonts w:cs="Open Sans"/>
        </w:rPr>
      </w:pPr>
      <w:bookmarkStart w:id="161" w:name="_Toc527107811"/>
      <w:r w:rsidRPr="00AA1A20">
        <w:rPr>
          <w:rFonts w:cs="Open Sans"/>
        </w:rPr>
        <w:t>Secrecy provision</w:t>
      </w:r>
      <w:bookmarkEnd w:id="160"/>
      <w:bookmarkEnd w:id="161"/>
    </w:p>
    <w:p w14:paraId="4077B068" w14:textId="16A0D08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Under proposed</w:t>
      </w:r>
      <w:r w:rsidR="00205E36">
        <w:rPr>
          <w:rFonts w:cs="Open Sans"/>
        </w:rPr>
        <w:t xml:space="preserve"> s </w:t>
      </w:r>
      <w:r w:rsidRPr="00AA1A20">
        <w:rPr>
          <w:rFonts w:cs="Open Sans"/>
        </w:rPr>
        <w:t xml:space="preserve">317ZF(1), it is an offence for a provider (including its employees and contractors), entrusted ASIO, ASIS or ASD persons, officers of an interception agency, an officer or employee of the Commonwealth, a </w:t>
      </w:r>
      <w:r w:rsidR="009524AA">
        <w:rPr>
          <w:rFonts w:cs="Open Sans"/>
        </w:rPr>
        <w:lastRenderedPageBreak/>
        <w:t>s</w:t>
      </w:r>
      <w:r w:rsidR="009524AA" w:rsidRPr="00AA1A20">
        <w:rPr>
          <w:rFonts w:cs="Open Sans"/>
        </w:rPr>
        <w:t xml:space="preserve">tate </w:t>
      </w:r>
      <w:r w:rsidRPr="00AA1A20">
        <w:rPr>
          <w:rFonts w:cs="Open Sans"/>
        </w:rPr>
        <w:t xml:space="preserve">or </w:t>
      </w:r>
      <w:r w:rsidR="009524AA">
        <w:rPr>
          <w:rFonts w:cs="Open Sans"/>
        </w:rPr>
        <w:t>t</w:t>
      </w:r>
      <w:r w:rsidR="009524AA" w:rsidRPr="00F43944">
        <w:rPr>
          <w:rFonts w:cs="Open Sans"/>
        </w:rPr>
        <w:t xml:space="preserve">erritory </w:t>
      </w:r>
      <w:r w:rsidRPr="00F43944">
        <w:rPr>
          <w:rFonts w:cs="Open Sans"/>
        </w:rPr>
        <w:t>or person appointed under</w:t>
      </w:r>
      <w:r w:rsidR="00205E36">
        <w:rPr>
          <w:rFonts w:cs="Open Sans"/>
        </w:rPr>
        <w:t xml:space="preserve"> ss </w:t>
      </w:r>
      <w:r w:rsidRPr="00F43944">
        <w:rPr>
          <w:rFonts w:cs="Open Sans"/>
        </w:rPr>
        <w:t>317W(7) or 317ZK (being an expert or arbitrator),</w:t>
      </w:r>
      <w:r w:rsidRPr="00AA1A20">
        <w:rPr>
          <w:rFonts w:cs="Open Sans"/>
        </w:rPr>
        <w:t xml:space="preserve"> to disclose TAR, TAN or TCN information, or information obtained in accordance with a request or notice. Such information is broadly defined and includes the very existence or non-existence of a request or notice, and the ‘acts or things’ done in compliance.</w:t>
      </w:r>
      <w:r w:rsidRPr="00AC5658">
        <w:rPr>
          <w:rStyle w:val="EndnoteReference"/>
          <w:vertAlign w:val="superscript"/>
        </w:rPr>
        <w:endnoteReference w:id="132"/>
      </w:r>
    </w:p>
    <w:p w14:paraId="4AB75EB9" w14:textId="77777777" w:rsidR="002222AF" w:rsidRPr="00563089" w:rsidRDefault="002222AF" w:rsidP="002222AF">
      <w:pPr>
        <w:pStyle w:val="ListNumber"/>
        <w:tabs>
          <w:tab w:val="clear" w:pos="360"/>
          <w:tab w:val="num" w:pos="993"/>
          <w:tab w:val="left" w:pos="1418"/>
        </w:tabs>
        <w:ind w:left="709" w:hanging="567"/>
        <w:rPr>
          <w:rFonts w:cs="Open Sans"/>
        </w:rPr>
      </w:pPr>
      <w:r w:rsidRPr="00AA1A20">
        <w:rPr>
          <w:rFonts w:cs="Open Sans"/>
          <w:lang w:val="en-US"/>
        </w:rPr>
        <w:t xml:space="preserve">The </w:t>
      </w:r>
      <w:r>
        <w:rPr>
          <w:rFonts w:cs="Open Sans"/>
          <w:lang w:val="en-US"/>
        </w:rPr>
        <w:t>Explanatory Memorandum</w:t>
      </w:r>
      <w:r w:rsidRPr="00AA1A20">
        <w:rPr>
          <w:rFonts w:cs="Open Sans"/>
          <w:lang w:val="en-US"/>
        </w:rPr>
        <w:t xml:space="preserve"> states that the offence does not include an express requirement of harm, because ‘</w:t>
      </w:r>
      <w:r>
        <w:rPr>
          <w:rFonts w:cs="Open Sans"/>
          <w:lang w:val="en-US"/>
        </w:rPr>
        <w:t>[</w:t>
      </w:r>
      <w:r w:rsidRPr="00AA1A20">
        <w:rPr>
          <w:rFonts w:cs="Open Sans"/>
          <w:lang w:val="en-US"/>
        </w:rPr>
        <w:t>t</w:t>
      </w:r>
      <w:r>
        <w:rPr>
          <w:rFonts w:cs="Open Sans"/>
          <w:lang w:val="en-US"/>
        </w:rPr>
        <w:t>]</w:t>
      </w:r>
      <w:r w:rsidRPr="00AA1A20">
        <w:rPr>
          <w:rFonts w:cs="Open Sans"/>
          <w:lang w:val="en-US"/>
        </w:rPr>
        <w:t xml:space="preserve">here is a high risk that the release of sensitive information contrary to this </w:t>
      </w:r>
      <w:r>
        <w:rPr>
          <w:rFonts w:cs="Open Sans"/>
          <w:lang w:val="en-US"/>
        </w:rPr>
        <w:t>sub</w:t>
      </w:r>
      <w:r w:rsidRPr="00AA1A20">
        <w:rPr>
          <w:rFonts w:cs="Open Sans"/>
          <w:lang w:val="en-US"/>
        </w:rPr>
        <w:t xml:space="preserve">section will cause significant harm to essential public interests, including national security and protection of </w:t>
      </w:r>
      <w:r w:rsidRPr="00563089">
        <w:rPr>
          <w:rFonts w:cs="Open Sans"/>
          <w:lang w:val="en-US"/>
        </w:rPr>
        <w:t>public safety’.</w:t>
      </w:r>
      <w:r w:rsidRPr="00563089">
        <w:rPr>
          <w:rStyle w:val="EndnoteReference"/>
          <w:vertAlign w:val="superscript"/>
          <w:lang w:val="en-US"/>
        </w:rPr>
        <w:endnoteReference w:id="133"/>
      </w:r>
    </w:p>
    <w:p w14:paraId="77B9A9FB" w14:textId="00025F3A" w:rsidR="002222AF" w:rsidRPr="00AA1A20" w:rsidRDefault="002222AF" w:rsidP="002222AF">
      <w:pPr>
        <w:pStyle w:val="ListNumber"/>
        <w:tabs>
          <w:tab w:val="clear" w:pos="360"/>
          <w:tab w:val="num" w:pos="993"/>
          <w:tab w:val="left" w:pos="1418"/>
        </w:tabs>
        <w:ind w:left="709" w:hanging="567"/>
        <w:rPr>
          <w:rFonts w:cs="Open Sans"/>
        </w:rPr>
      </w:pPr>
      <w:r w:rsidRPr="00563089">
        <w:rPr>
          <w:rFonts w:cs="Open Sans"/>
        </w:rPr>
        <w:t>Proposed</w:t>
      </w:r>
      <w:r w:rsidR="00205E36">
        <w:rPr>
          <w:rFonts w:cs="Open Sans"/>
        </w:rPr>
        <w:t xml:space="preserve"> s </w:t>
      </w:r>
      <w:r w:rsidRPr="00563089">
        <w:rPr>
          <w:rFonts w:cs="Open Sans"/>
        </w:rPr>
        <w:t xml:space="preserve">317ZF(3) creates general exceptions to the secrecy provision. It provides that information can be disclosed in connection with: the administration or execution of the </w:t>
      </w:r>
      <w:r w:rsidRPr="00563089">
        <w:rPr>
          <w:rFonts w:cs="Open Sans"/>
          <w:lang w:val="en-US"/>
        </w:rPr>
        <w:t>Part</w:t>
      </w:r>
      <w:r w:rsidRPr="00563089">
        <w:rPr>
          <w:rFonts w:cs="Open Sans"/>
        </w:rPr>
        <w:t xml:space="preserve"> and related provisions; for the purpose of any legal proceedings or reports of such proceedings; in accordance with any requirement imposed by</w:t>
      </w:r>
      <w:r>
        <w:rPr>
          <w:rFonts w:cs="Open Sans"/>
        </w:rPr>
        <w:t xml:space="preserve"> a</w:t>
      </w:r>
      <w:r w:rsidRPr="00563089">
        <w:rPr>
          <w:rFonts w:cs="Open Sans"/>
        </w:rPr>
        <w:t xml:space="preserve"> law</w:t>
      </w:r>
      <w:r>
        <w:rPr>
          <w:rFonts w:cs="Open Sans"/>
        </w:rPr>
        <w:t xml:space="preserve"> of the Commonwealth, a State or </w:t>
      </w:r>
      <w:r w:rsidR="00C84FB6">
        <w:rPr>
          <w:rFonts w:cs="Open Sans"/>
        </w:rPr>
        <w:t xml:space="preserve">a </w:t>
      </w:r>
      <w:r>
        <w:rPr>
          <w:rFonts w:cs="Open Sans"/>
        </w:rPr>
        <w:t>Territory</w:t>
      </w:r>
      <w:r w:rsidRPr="00AA1A20">
        <w:rPr>
          <w:rFonts w:cs="Open Sans"/>
        </w:rPr>
        <w:t xml:space="preserve">; for the purpose of obtaining legal advice in relation to the Part; or in connection with the performance of functions or the exercise of powers by ASIO, ASIS, the ASD or an interception agency. </w:t>
      </w:r>
    </w:p>
    <w:p w14:paraId="28BB0D07" w14:textId="4F583295"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Disclosures can also be made to an IGIS official. An IGIS official may further disclose information in connection with their exercise of powers or performance </w:t>
      </w:r>
      <w:r w:rsidRPr="00AA1A20">
        <w:rPr>
          <w:rFonts w:cs="Open Sans"/>
          <w:lang w:val="en-US"/>
        </w:rPr>
        <w:t>of</w:t>
      </w:r>
      <w:r w:rsidRPr="00AA1A20">
        <w:rPr>
          <w:rFonts w:cs="Open Sans"/>
        </w:rPr>
        <w:t xml:space="preserve"> functions and duties.</w:t>
      </w:r>
      <w:r w:rsidRPr="00AC5658">
        <w:rPr>
          <w:rStyle w:val="EndnoteReference"/>
          <w:vertAlign w:val="superscript"/>
        </w:rPr>
        <w:endnoteReference w:id="134"/>
      </w:r>
      <w:r w:rsidRPr="00AA1A20">
        <w:rPr>
          <w:rFonts w:cs="Open Sans"/>
        </w:rPr>
        <w:t xml:space="preserve"> </w:t>
      </w:r>
    </w:p>
    <w:p w14:paraId="2AEF8F59"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Further specific exceptions authorise disclosure for information sharing between the Director-General of ASIS, the Director-General of the ASD Director-General of Security, the </w:t>
      </w:r>
      <w:r w:rsidRPr="00AA1A20">
        <w:rPr>
          <w:rFonts w:cs="Open Sans"/>
          <w:lang w:val="en-US"/>
        </w:rPr>
        <w:t>Communications</w:t>
      </w:r>
      <w:r w:rsidRPr="00AA1A20">
        <w:rPr>
          <w:rFonts w:cs="Open Sans"/>
        </w:rPr>
        <w:t xml:space="preserve"> Access Co-ordinator and the chief officer of an interception agency, for practical assistance purposes.</w:t>
      </w:r>
      <w:r w:rsidRPr="00AC5658">
        <w:rPr>
          <w:rStyle w:val="EndnoteReference"/>
          <w:vertAlign w:val="superscript"/>
        </w:rPr>
        <w:endnoteReference w:id="135"/>
      </w:r>
      <w:r w:rsidRPr="00AA1A20">
        <w:rPr>
          <w:rFonts w:cs="Open Sans"/>
        </w:rPr>
        <w:t xml:space="preserve"> </w:t>
      </w:r>
    </w:p>
    <w:p w14:paraId="435B1FF3"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Disclosures by providers are also permitted for the purpose of disaggregated statistical reporting on the number of TARs, TANs and TCNs given to the provider.</w:t>
      </w:r>
      <w:r w:rsidRPr="00AC5658">
        <w:rPr>
          <w:rStyle w:val="EndnoteReference"/>
          <w:vertAlign w:val="superscript"/>
        </w:rPr>
        <w:endnoteReference w:id="136"/>
      </w:r>
    </w:p>
    <w:p w14:paraId="19E58638" w14:textId="24CB9668"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 penalty for disclosure of confidential information in contravention of proposed</w:t>
      </w:r>
      <w:r w:rsidR="00205E36">
        <w:rPr>
          <w:rFonts w:cs="Open Sans"/>
        </w:rPr>
        <w:t xml:space="preserve"> s </w:t>
      </w:r>
      <w:r w:rsidRPr="00AA1A20">
        <w:rPr>
          <w:rFonts w:cs="Open Sans"/>
        </w:rPr>
        <w:t xml:space="preserve">317ZF is up to five years imprisonment. </w:t>
      </w:r>
    </w:p>
    <w:p w14:paraId="155ADD20" w14:textId="77777777"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rPr>
        <w:t xml:space="preserve">Despite the general and specific exceptions, the Commission is concerned that this sweeping criminal secrecy provision is a disproportionate and unnecessary limit on the right to freedom of expression. </w:t>
      </w:r>
      <w:r w:rsidRPr="00AA1A20">
        <w:rPr>
          <w:rFonts w:cs="Open Sans"/>
          <w:lang w:val="en-US"/>
        </w:rPr>
        <w:t xml:space="preserve">It also potentially limits the right of citizens to take part in the conduct of public affairs, under art 25 of the ICCPR. Further, freedom of political communication is constitutionally protected under Australian law. </w:t>
      </w:r>
    </w:p>
    <w:p w14:paraId="59E1D2BD" w14:textId="6EEF3FDC"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lastRenderedPageBreak/>
        <w:t xml:space="preserve">On one hand, the secrecy provisions can be viewed as a legislative measure intended, at least in part, to protect individuals from unlawful or arbitrary </w:t>
      </w:r>
      <w:r w:rsidRPr="00AA1A20">
        <w:rPr>
          <w:rFonts w:cs="Open Sans"/>
        </w:rPr>
        <w:t>interference</w:t>
      </w:r>
      <w:r w:rsidRPr="00AA1A20">
        <w:rPr>
          <w:rFonts w:cs="Open Sans"/>
          <w:lang w:val="en-US"/>
        </w:rPr>
        <w:t xml:space="preserve"> with their privacy rights. A key concern of providers is also likely to be the handling of their commercially confidential information, including valuable intellectual property</w:t>
      </w:r>
      <w:r w:rsidR="00F4278A">
        <w:rPr>
          <w:rFonts w:cs="Open Sans"/>
          <w:lang w:val="en-US"/>
        </w:rPr>
        <w:t>,</w:t>
      </w:r>
      <w:r w:rsidRPr="00AA1A20">
        <w:rPr>
          <w:rFonts w:cs="Open Sans"/>
          <w:lang w:val="en-US"/>
        </w:rPr>
        <w:t xml:space="preserve"> such as source code.</w:t>
      </w:r>
    </w:p>
    <w:p w14:paraId="475E8CC1" w14:textId="4E7BDBAF"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 xml:space="preserve">The Commission acknowledges that criminal penalties have deterrent value and accepts that, where demonstrated to be necessary and proportionate, they can be appropriate and effective. The agencies empowered under the assistance </w:t>
      </w:r>
      <w:r w:rsidR="000A4DD2">
        <w:rPr>
          <w:rFonts w:cs="Open Sans"/>
          <w:lang w:val="en-US"/>
        </w:rPr>
        <w:t>scheme</w:t>
      </w:r>
      <w:r w:rsidR="000A4DD2" w:rsidRPr="00AA1A20">
        <w:rPr>
          <w:rFonts w:cs="Open Sans"/>
          <w:lang w:val="en-US"/>
        </w:rPr>
        <w:t xml:space="preserve"> </w:t>
      </w:r>
      <w:r w:rsidRPr="00AA1A20">
        <w:rPr>
          <w:rFonts w:cs="Open Sans"/>
          <w:lang w:val="en-US"/>
        </w:rPr>
        <w:t xml:space="preserve">are entrusted with highly sensitive information, including information regarding national security as well as information about law enforcement capabilities. </w:t>
      </w:r>
    </w:p>
    <w:p w14:paraId="114A97C4" w14:textId="77777777"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 xml:space="preserve">Criminal penalties act as an assurance to the community, both domestic and international, that private information obtained under the assistance scheme will be adequately protected. </w:t>
      </w:r>
    </w:p>
    <w:p w14:paraId="75ACF0E6" w14:textId="77777777"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On the other hand, such a legislative measure must be assessed for proportionality. The UN HR Committee considered the intersection of national security and the right to freedom of expression in General Comment 34 as follows:</w:t>
      </w:r>
    </w:p>
    <w:p w14:paraId="06A29853" w14:textId="77777777" w:rsidR="002222AF" w:rsidRPr="00AA1A20" w:rsidRDefault="002222AF" w:rsidP="002222AF">
      <w:pPr>
        <w:pStyle w:val="EndnoteText"/>
        <w:rPr>
          <w:rFonts w:cs="Open Sans"/>
          <w:lang w:val="en-US"/>
        </w:rPr>
      </w:pPr>
      <w:r w:rsidRPr="00AA1A20">
        <w:rPr>
          <w:rFonts w:cs="Open Sans"/>
        </w:rPr>
        <w:t>Extreme care must be taken by States parties to ensure that treason laws and similar provisions relating to national security, whether described as official secrets or sedition laws or otherwise, are crafted and applied in a manner that conforms to the strict requirements of paragraph 3 [of article 19]. It is not compatible with paragraph 3, for instance, to invoke such laws to suppress or withhold from the public information of legitimate public interest that does not harm national security or to prosecute journalists, researchers, environmental activists, human rights defenders, or others, for having disseminated such information. Nor is it generally appropriate to include in the remit of such laws such categories of information as those relating to the commercial sector, banking and scientific progress.</w:t>
      </w:r>
      <w:r w:rsidRPr="00543C35">
        <w:rPr>
          <w:rStyle w:val="EndnoteReference"/>
          <w:vertAlign w:val="superscript"/>
        </w:rPr>
        <w:endnoteReference w:id="137"/>
      </w:r>
    </w:p>
    <w:p w14:paraId="26BA69DE" w14:textId="1AD4DE4C"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In the ALRC</w:t>
      </w:r>
      <w:r w:rsidR="00F4278A">
        <w:rPr>
          <w:rFonts w:cs="Open Sans"/>
          <w:lang w:val="en-US"/>
        </w:rPr>
        <w:t>’s 2010</w:t>
      </w:r>
      <w:r w:rsidRPr="00AA1A20">
        <w:rPr>
          <w:rFonts w:cs="Open Sans"/>
          <w:lang w:val="en-US"/>
        </w:rPr>
        <w:t xml:space="preserve"> report, </w:t>
      </w:r>
      <w:r w:rsidRPr="00AA1A20">
        <w:rPr>
          <w:rFonts w:cs="Open Sans"/>
          <w:i/>
          <w:lang w:val="en-US"/>
        </w:rPr>
        <w:t>Secrecy Laws and Open Government in Australia</w:t>
      </w:r>
      <w:r w:rsidR="00F4278A">
        <w:rPr>
          <w:rFonts w:cs="Open Sans"/>
          <w:lang w:val="en-US"/>
        </w:rPr>
        <w:t>,</w:t>
      </w:r>
      <w:r w:rsidRPr="00AA1A20">
        <w:rPr>
          <w:rFonts w:cs="Open Sans"/>
          <w:lang w:val="en-US"/>
        </w:rPr>
        <w:t xml:space="preserve"> </w:t>
      </w:r>
      <w:r w:rsidR="00F4278A">
        <w:rPr>
          <w:rFonts w:cs="Open Sans"/>
          <w:lang w:val="en-US"/>
        </w:rPr>
        <w:t>t</w:t>
      </w:r>
      <w:r w:rsidRPr="00AA1A20">
        <w:rPr>
          <w:rFonts w:cs="Open Sans"/>
          <w:lang w:val="en-US"/>
        </w:rPr>
        <w:t xml:space="preserve">he ALRC </w:t>
      </w:r>
      <w:r w:rsidR="00F4278A">
        <w:rPr>
          <w:rFonts w:cs="Open Sans"/>
          <w:lang w:val="en-US"/>
        </w:rPr>
        <w:t>observed</w:t>
      </w:r>
      <w:r w:rsidR="00F4278A" w:rsidRPr="00AA1A20">
        <w:rPr>
          <w:rFonts w:cs="Open Sans"/>
          <w:lang w:val="en-US"/>
        </w:rPr>
        <w:t xml:space="preserve"> </w:t>
      </w:r>
      <w:r w:rsidRPr="00AA1A20">
        <w:rPr>
          <w:rFonts w:cs="Open Sans"/>
          <w:lang w:val="en-US"/>
        </w:rPr>
        <w:t>that secrecy laws that expose government employees to criminal liability for the unauthorised disclosure of official information can ‘sit uneasily’ with open and accountable government.</w:t>
      </w:r>
      <w:r w:rsidRPr="00543C35">
        <w:rPr>
          <w:rStyle w:val="EndnoteReference"/>
          <w:vertAlign w:val="superscript"/>
        </w:rPr>
        <w:endnoteReference w:id="138"/>
      </w:r>
      <w:r w:rsidRPr="00AA1A20">
        <w:rPr>
          <w:rFonts w:cs="Open Sans"/>
          <w:lang w:val="en-US"/>
        </w:rPr>
        <w:t xml:space="preserve"> </w:t>
      </w:r>
    </w:p>
    <w:p w14:paraId="587C2896" w14:textId="77777777"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After canvassing international approaches to secrecy laws, and exploring various options for protecting official information, the ALRC formed the view that, subject to a few narrow exceptions, an approach based on harm to essential public interests should underpin the secrecy laws carrying criminal liability in Australia.</w:t>
      </w:r>
      <w:r w:rsidRPr="00543C35">
        <w:rPr>
          <w:rStyle w:val="EndnoteReference"/>
          <w:vertAlign w:val="superscript"/>
        </w:rPr>
        <w:endnoteReference w:id="139"/>
      </w:r>
    </w:p>
    <w:p w14:paraId="2E2DF283" w14:textId="77777777"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 xml:space="preserve">Applying this approach to specific secrecy offences, the ALRC recommended that: </w:t>
      </w:r>
    </w:p>
    <w:p w14:paraId="33BD5445" w14:textId="77777777" w:rsidR="002222AF" w:rsidRPr="00AA1A20" w:rsidRDefault="002222AF" w:rsidP="002222AF">
      <w:pPr>
        <w:pStyle w:val="EndnoteText"/>
        <w:rPr>
          <w:rFonts w:cs="Open Sans"/>
        </w:rPr>
      </w:pPr>
      <w:r w:rsidRPr="00DF2425">
        <w:rPr>
          <w:rFonts w:cs="Open Sans"/>
          <w:b/>
        </w:rPr>
        <w:lastRenderedPageBreak/>
        <w:t>Recommendation 8–1</w:t>
      </w:r>
      <w:r w:rsidRPr="00AA1A20">
        <w:rPr>
          <w:rFonts w:cs="Open Sans"/>
        </w:rPr>
        <w:t xml:space="preserve"> Specific secrecy offences are only warranted where they are necessary and proportionate to the protection of essential public interests of sufficient importance to justify criminal sanctions. </w:t>
      </w:r>
    </w:p>
    <w:p w14:paraId="0156BC41" w14:textId="77777777" w:rsidR="002222AF" w:rsidRPr="00AA1A20" w:rsidRDefault="002222AF" w:rsidP="002222AF">
      <w:pPr>
        <w:pStyle w:val="EndnoteText"/>
        <w:rPr>
          <w:rFonts w:cs="Open Sans"/>
        </w:rPr>
      </w:pPr>
      <w:r w:rsidRPr="00DF2425">
        <w:rPr>
          <w:rFonts w:cs="Open Sans"/>
          <w:b/>
        </w:rPr>
        <w:t>Recommendation 8–2</w:t>
      </w:r>
      <w:r w:rsidRPr="00AA1A20">
        <w:rPr>
          <w:rFonts w:cs="Open Sans"/>
        </w:rPr>
        <w:t xml:space="preserve"> Specific secrecy offences should include an express requirement that, for an offence to be committed, the unauthorised disclosure caused, or was likely or intended to cause, harm to an identified essential public interest, except where: </w:t>
      </w:r>
    </w:p>
    <w:p w14:paraId="7780AD47" w14:textId="77777777" w:rsidR="002222AF" w:rsidRPr="00AA1A20" w:rsidRDefault="002222AF" w:rsidP="002222AF">
      <w:pPr>
        <w:pStyle w:val="EndnoteText"/>
        <w:ind w:left="1418"/>
        <w:rPr>
          <w:rFonts w:cs="Open Sans"/>
        </w:rPr>
      </w:pPr>
      <w:r w:rsidRPr="00AA1A20">
        <w:rPr>
          <w:rFonts w:cs="Open Sans"/>
        </w:rPr>
        <w:tab/>
        <w:t xml:space="preserve">(a) the offence covers a narrowly defined category of information and the harm to an essential public interest is implicit; or </w:t>
      </w:r>
    </w:p>
    <w:p w14:paraId="1E846852" w14:textId="77777777" w:rsidR="002222AF" w:rsidRPr="00AA1A20" w:rsidRDefault="002222AF" w:rsidP="002222AF">
      <w:pPr>
        <w:pStyle w:val="EndnoteText"/>
        <w:ind w:left="1418"/>
        <w:rPr>
          <w:rFonts w:cs="Open Sans"/>
        </w:rPr>
      </w:pPr>
      <w:r w:rsidRPr="00AA1A20">
        <w:rPr>
          <w:rFonts w:cs="Open Sans"/>
        </w:rPr>
        <w:tab/>
        <w:t xml:space="preserve">(b) the harm is to the relationship of trust between individuals and the Australian Government integral to the regulatory functions of government. </w:t>
      </w:r>
    </w:p>
    <w:p w14:paraId="58A2C39D" w14:textId="77777777" w:rsidR="002222AF" w:rsidRPr="00AA1A20" w:rsidRDefault="002222AF" w:rsidP="002222AF">
      <w:pPr>
        <w:pStyle w:val="EndnoteText"/>
        <w:rPr>
          <w:rFonts w:cs="Open Sans"/>
        </w:rPr>
      </w:pPr>
      <w:r w:rsidRPr="00AA1A20">
        <w:rPr>
          <w:rFonts w:cs="Open Sans"/>
        </w:rPr>
        <w:tab/>
        <w:t>…</w:t>
      </w:r>
    </w:p>
    <w:p w14:paraId="77375638" w14:textId="77777777" w:rsidR="002222AF" w:rsidRPr="00AA1A20" w:rsidRDefault="002222AF" w:rsidP="002222AF">
      <w:pPr>
        <w:pStyle w:val="EndnoteText"/>
        <w:rPr>
          <w:rFonts w:cs="Open Sans"/>
        </w:rPr>
      </w:pPr>
      <w:r w:rsidRPr="00DF2425">
        <w:rPr>
          <w:rFonts w:cs="Open Sans"/>
          <w:b/>
        </w:rPr>
        <w:t>Recommendation 9–4</w:t>
      </w:r>
      <w:r w:rsidRPr="00AA1A20">
        <w:rPr>
          <w:rFonts w:cs="Open Sans"/>
        </w:rPr>
        <w:t xml:space="preserve"> Specific secrecy offences should generally require intention as the fault element for the physical element consisting of conduct. Strict liability should not attach to the conduct element of any specific secrecy offence. </w:t>
      </w:r>
    </w:p>
    <w:p w14:paraId="20F389AC" w14:textId="492BFA03" w:rsidR="002222AF" w:rsidRPr="00E85797" w:rsidRDefault="002222AF" w:rsidP="002222AF">
      <w:pPr>
        <w:pStyle w:val="ListNumber"/>
        <w:tabs>
          <w:tab w:val="clear" w:pos="360"/>
          <w:tab w:val="num" w:pos="993"/>
          <w:tab w:val="left" w:pos="1418"/>
        </w:tabs>
        <w:ind w:left="709" w:hanging="567"/>
        <w:rPr>
          <w:rFonts w:cs="Open Sans"/>
          <w:lang w:val="en-US"/>
        </w:rPr>
      </w:pPr>
      <w:r w:rsidRPr="00AA1A20">
        <w:rPr>
          <w:rFonts w:cs="Open Sans"/>
        </w:rPr>
        <w:t xml:space="preserve">The Commission considers that </w:t>
      </w:r>
      <w:r>
        <w:rPr>
          <w:rFonts w:cs="Open Sans"/>
        </w:rPr>
        <w:t>it</w:t>
      </w:r>
      <w:r w:rsidRPr="00AA1A20">
        <w:rPr>
          <w:rFonts w:cs="Open Sans"/>
        </w:rPr>
        <w:t xml:space="preserve"> has not </w:t>
      </w:r>
      <w:r>
        <w:rPr>
          <w:rFonts w:cs="Open Sans"/>
        </w:rPr>
        <w:t xml:space="preserve">been </w:t>
      </w:r>
      <w:r w:rsidRPr="00AA1A20">
        <w:rPr>
          <w:rFonts w:cs="Open Sans"/>
        </w:rPr>
        <w:t>demonstrated that all request</w:t>
      </w:r>
      <w:r w:rsidR="005C76C1">
        <w:rPr>
          <w:rFonts w:cs="Open Sans"/>
        </w:rPr>
        <w:t xml:space="preserve"> or notice</w:t>
      </w:r>
      <w:r w:rsidRPr="00AA1A20">
        <w:rPr>
          <w:rFonts w:cs="Open Sans"/>
        </w:rPr>
        <w:t xml:space="preserve"> information</w:t>
      </w:r>
      <w:r>
        <w:rPr>
          <w:rFonts w:cs="Open Sans"/>
        </w:rPr>
        <w:t>,</w:t>
      </w:r>
      <w:r w:rsidRPr="00AA1A20">
        <w:rPr>
          <w:rFonts w:cs="Open Sans"/>
        </w:rPr>
        <w:t xml:space="preserve"> or information </w:t>
      </w:r>
      <w:r w:rsidRPr="00AA1A20">
        <w:rPr>
          <w:rFonts w:cs="Open Sans"/>
          <w:lang w:val="en-US"/>
        </w:rPr>
        <w:t>obtained</w:t>
      </w:r>
      <w:r w:rsidRPr="00AA1A20">
        <w:rPr>
          <w:rFonts w:cs="Open Sans"/>
        </w:rPr>
        <w:t xml:space="preserve"> under a request</w:t>
      </w:r>
      <w:r w:rsidR="005C76C1">
        <w:rPr>
          <w:rFonts w:cs="Open Sans"/>
        </w:rPr>
        <w:t xml:space="preserve"> or notice</w:t>
      </w:r>
      <w:r>
        <w:rPr>
          <w:rFonts w:cs="Open Sans"/>
        </w:rPr>
        <w:t>,</w:t>
      </w:r>
      <w:r w:rsidRPr="00AA1A20">
        <w:rPr>
          <w:rFonts w:cs="Open Sans"/>
        </w:rPr>
        <w:t xml:space="preserve"> is of sufficient importance to justify secrecy, let alone criminal sanctions for disclosure. </w:t>
      </w:r>
      <w:r w:rsidR="007743F9">
        <w:rPr>
          <w:rFonts w:cs="Open Sans"/>
        </w:rPr>
        <w:t>It is particularly difficult to justify criminalising disclosures that do not negatively affect national security or public safety,</w:t>
      </w:r>
      <w:r>
        <w:rPr>
          <w:rFonts w:cs="Open Sans"/>
        </w:rPr>
        <w:t xml:space="preserve"> and where there has been no harm to the essential public interest.</w:t>
      </w:r>
      <w:r w:rsidRPr="00AA1A20">
        <w:rPr>
          <w:rFonts w:cs="Open Sans"/>
        </w:rPr>
        <w:t xml:space="preserve"> </w:t>
      </w:r>
    </w:p>
    <w:p w14:paraId="029F2EE9" w14:textId="5D26B395"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rPr>
        <w:t xml:space="preserve">There may be further instances where the public interest in disclosure of certain information is warranted, </w:t>
      </w:r>
      <w:r w:rsidRPr="00AA1A20">
        <w:rPr>
          <w:rFonts w:cs="Open Sans"/>
          <w:lang w:val="en-US"/>
        </w:rPr>
        <w:t>where the essential public interest is not harmed.</w:t>
      </w:r>
      <w:r w:rsidR="00DF2425" w:rsidRPr="00AA1A20" w:rsidDel="00DF2425">
        <w:rPr>
          <w:rFonts w:cs="Open Sans"/>
          <w:lang w:val="en-US"/>
        </w:rPr>
        <w:t xml:space="preserve"> </w:t>
      </w:r>
      <w:r w:rsidRPr="00AA1A20">
        <w:rPr>
          <w:rFonts w:cs="Open Sans"/>
        </w:rPr>
        <w:t>For example, it is not clear that it is appropriate to keep government contracting arrangements with providers in relation to ‘acts or things’ under TARs, wholly subject to secrecy.</w:t>
      </w:r>
      <w:r w:rsidRPr="00543C35">
        <w:rPr>
          <w:rStyle w:val="EndnoteReference"/>
          <w:vertAlign w:val="superscript"/>
        </w:rPr>
        <w:endnoteReference w:id="140"/>
      </w:r>
    </w:p>
    <w:p w14:paraId="2FD758B1"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There may also be instances where there is information that is relevant to political or electoral choices to be made by the Australian public</w:t>
      </w:r>
      <w:r w:rsidRPr="00AA1A20">
        <w:rPr>
          <w:rFonts w:cs="Open Sans"/>
          <w:lang w:val="en-US"/>
        </w:rPr>
        <w:t>,</w:t>
      </w:r>
      <w:r w:rsidRPr="00AA1A20">
        <w:rPr>
          <w:rFonts w:cs="Open Sans"/>
        </w:rPr>
        <w:t xml:space="preserve"> and disclosure would not harm any essential public interest. </w:t>
      </w:r>
    </w:p>
    <w:p w14:paraId="7372530B" w14:textId="77777777" w:rsidR="002222AF"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This includes the ability of the public to be made aware of inappropriate use of law enforcement powers, for example in a discriminatory or arbitrary manner</w:t>
      </w:r>
      <w:r>
        <w:rPr>
          <w:rFonts w:cs="Open Sans"/>
          <w:lang w:val="en-US"/>
        </w:rPr>
        <w:t>, and of maladministration and abuses of public trust</w:t>
      </w:r>
      <w:r w:rsidRPr="00AA1A20">
        <w:rPr>
          <w:rFonts w:cs="Open Sans"/>
          <w:lang w:val="en-US"/>
        </w:rPr>
        <w:t xml:space="preserve">. </w:t>
      </w:r>
    </w:p>
    <w:p w14:paraId="03E8CE8D" w14:textId="77777777" w:rsidR="002222AF" w:rsidRDefault="002222AF" w:rsidP="002222AF">
      <w:pPr>
        <w:pStyle w:val="ListNumber"/>
        <w:tabs>
          <w:tab w:val="clear" w:pos="360"/>
          <w:tab w:val="num" w:pos="993"/>
          <w:tab w:val="left" w:pos="1418"/>
        </w:tabs>
        <w:ind w:left="709" w:hanging="567"/>
        <w:rPr>
          <w:rFonts w:cs="Open Sans"/>
          <w:lang w:val="en-US"/>
        </w:rPr>
      </w:pPr>
      <w:r>
        <w:rPr>
          <w:rFonts w:cs="Open Sans"/>
        </w:rPr>
        <w:t>Further, a</w:t>
      </w:r>
      <w:r w:rsidRPr="00AA1A20">
        <w:rPr>
          <w:rFonts w:cs="Open Sans"/>
        </w:rPr>
        <w:t>s stated by the UN High Commissioner for Human Rights, whistle-blowers who disclose human rights violations should be protected.</w:t>
      </w:r>
      <w:r w:rsidRPr="00543C35">
        <w:rPr>
          <w:rStyle w:val="EndnoteReference"/>
          <w:vertAlign w:val="superscript"/>
        </w:rPr>
        <w:endnoteReference w:id="141"/>
      </w:r>
      <w:r>
        <w:rPr>
          <w:rFonts w:cs="Open Sans"/>
        </w:rPr>
        <w:t xml:space="preserve"> </w:t>
      </w:r>
    </w:p>
    <w:p w14:paraId="201FA2D2" w14:textId="77777777"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rPr>
        <w:t xml:space="preserve">There may also be instances where the potential harm of disclosure of information is decreased or entirely removed by the passage of time. </w:t>
      </w:r>
    </w:p>
    <w:p w14:paraId="78B62322" w14:textId="5D058ACC" w:rsidR="002222AF" w:rsidRPr="00AA1A20" w:rsidRDefault="00DA6437" w:rsidP="002222AF">
      <w:pPr>
        <w:pStyle w:val="ListNumber"/>
        <w:tabs>
          <w:tab w:val="clear" w:pos="360"/>
          <w:tab w:val="num" w:pos="993"/>
          <w:tab w:val="left" w:pos="1418"/>
        </w:tabs>
        <w:ind w:left="709" w:hanging="567"/>
        <w:rPr>
          <w:rFonts w:cs="Open Sans"/>
          <w:lang w:val="en-US"/>
        </w:rPr>
      </w:pPr>
      <w:r>
        <w:rPr>
          <w:rFonts w:cs="Open Sans"/>
        </w:rPr>
        <w:lastRenderedPageBreak/>
        <w:t>T</w:t>
      </w:r>
      <w:r w:rsidR="002222AF" w:rsidRPr="00AA1A20">
        <w:rPr>
          <w:rFonts w:cs="Open Sans"/>
        </w:rPr>
        <w:t>he Commission welcomes the exception</w:t>
      </w:r>
      <w:r w:rsidR="00951F1A">
        <w:rPr>
          <w:rFonts w:cs="Open Sans"/>
        </w:rPr>
        <w:t xml:space="preserve"> in proposed</w:t>
      </w:r>
      <w:r w:rsidR="00205E36">
        <w:rPr>
          <w:rFonts w:cs="Open Sans"/>
        </w:rPr>
        <w:t xml:space="preserve"> s </w:t>
      </w:r>
      <w:r w:rsidR="00951F1A">
        <w:rPr>
          <w:rFonts w:cs="Open Sans"/>
        </w:rPr>
        <w:t>317ZF(3)(f)</w:t>
      </w:r>
      <w:r w:rsidR="002222AF" w:rsidRPr="00AA1A20">
        <w:rPr>
          <w:rFonts w:cs="Open Sans"/>
        </w:rPr>
        <w:t xml:space="preserve"> that permits disclosure of information to IGIS officials, as well as the fact that the secrecy provisions do not extend to third parties such as journalists</w:t>
      </w:r>
      <w:r>
        <w:rPr>
          <w:rFonts w:cs="Open Sans"/>
        </w:rPr>
        <w:t>. However,</w:t>
      </w:r>
      <w:r w:rsidR="002222AF" w:rsidRPr="00AA1A20">
        <w:rPr>
          <w:rFonts w:cs="Open Sans"/>
        </w:rPr>
        <w:t xml:space="preserve"> government accountability depends on </w:t>
      </w:r>
      <w:r w:rsidR="002222AF" w:rsidRPr="00AA1A20">
        <w:rPr>
          <w:rFonts w:cs="Open Sans"/>
          <w:lang w:val="en-US"/>
        </w:rPr>
        <w:t xml:space="preserve">regular public scrutiny of government actions to the greatest extent possible. </w:t>
      </w:r>
      <w:r w:rsidRPr="00AA1A20">
        <w:rPr>
          <w:rFonts w:cs="Open Sans"/>
          <w:lang w:val="en-US"/>
        </w:rPr>
        <w:t>The broad secrecy provision has the opposite effect.</w:t>
      </w:r>
      <w:r>
        <w:rPr>
          <w:rFonts w:cs="Open Sans"/>
          <w:lang w:val="en-US"/>
        </w:rPr>
        <w:t xml:space="preserve"> </w:t>
      </w:r>
    </w:p>
    <w:p w14:paraId="4D416438" w14:textId="0F7FD653" w:rsidR="006A6B89"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 xml:space="preserve">Further, the Commission notes that the role of </w:t>
      </w:r>
      <w:r w:rsidR="00B434C5">
        <w:rPr>
          <w:rFonts w:cs="Open Sans"/>
          <w:lang w:val="en-US"/>
        </w:rPr>
        <w:t xml:space="preserve">the </w:t>
      </w:r>
      <w:r w:rsidRPr="00AA1A20">
        <w:rPr>
          <w:rFonts w:cs="Open Sans"/>
          <w:lang w:val="en-US"/>
        </w:rPr>
        <w:t xml:space="preserve">IGIS is to monitor the activities of Australia’s ‘intelligence agencies’, including by receiving public interest disclosures in relation to those agencies. However, the agencies which may issue requests and notices under Schedule 1 of the </w:t>
      </w:r>
      <w:r>
        <w:rPr>
          <w:rFonts w:cs="Open Sans"/>
          <w:lang w:val="en-US"/>
        </w:rPr>
        <w:t>Bill</w:t>
      </w:r>
      <w:r w:rsidRPr="00AA1A20">
        <w:rPr>
          <w:rFonts w:cs="Open Sans"/>
          <w:lang w:val="en-US"/>
        </w:rPr>
        <w:t xml:space="preserve"> include ‘law enforcement agencies’, which are not intelligence agencies for the purposes of the </w:t>
      </w:r>
      <w:r w:rsidR="007743F9" w:rsidRPr="007743F9">
        <w:rPr>
          <w:rFonts w:cs="Open Sans"/>
          <w:i/>
        </w:rPr>
        <w:t>Inspector-General of Intelligence and Security Act 1986</w:t>
      </w:r>
      <w:r w:rsidR="007743F9">
        <w:rPr>
          <w:rFonts w:cs="Open Sans"/>
          <w:lang w:val="en-US"/>
        </w:rPr>
        <w:t xml:space="preserve"> </w:t>
      </w:r>
      <w:r w:rsidR="007743F9" w:rsidRPr="007743F9">
        <w:rPr>
          <w:rFonts w:cs="Open Sans"/>
          <w:lang w:val="en-US"/>
        </w:rPr>
        <w:t>(Cth)</w:t>
      </w:r>
      <w:r w:rsidR="007743F9">
        <w:rPr>
          <w:rFonts w:cs="Open Sans"/>
          <w:lang w:val="en-US"/>
        </w:rPr>
        <w:t xml:space="preserve"> (</w:t>
      </w:r>
      <w:r w:rsidRPr="00AA1A20">
        <w:rPr>
          <w:rFonts w:cs="Open Sans"/>
          <w:lang w:val="en-US"/>
        </w:rPr>
        <w:t>IGIS Act</w:t>
      </w:r>
      <w:r w:rsidR="007743F9">
        <w:rPr>
          <w:rFonts w:cs="Open Sans"/>
          <w:lang w:val="en-US"/>
        </w:rPr>
        <w:t>)</w:t>
      </w:r>
      <w:r w:rsidRPr="00AA1A20">
        <w:rPr>
          <w:rFonts w:cs="Open Sans"/>
          <w:lang w:val="en-US"/>
        </w:rPr>
        <w:t xml:space="preserve">. </w:t>
      </w:r>
      <w:r w:rsidR="00951F1A">
        <w:rPr>
          <w:rFonts w:cs="Open Sans"/>
          <w:lang w:val="en-US"/>
        </w:rPr>
        <w:t>Therefore, there does not appear to be a disclosure exception for integrity purposes in relation to agencies that fall outside the ambit of</w:t>
      </w:r>
      <w:r w:rsidR="00B434C5">
        <w:rPr>
          <w:rFonts w:cs="Open Sans"/>
          <w:lang w:val="en-US"/>
        </w:rPr>
        <w:t xml:space="preserve"> the</w:t>
      </w:r>
      <w:r w:rsidR="00951F1A">
        <w:rPr>
          <w:rFonts w:cs="Open Sans"/>
          <w:lang w:val="en-US"/>
        </w:rPr>
        <w:t xml:space="preserve"> IGIS.</w:t>
      </w:r>
    </w:p>
    <w:p w14:paraId="7E6ECF2D" w14:textId="364DE992" w:rsidR="002222AF"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 xml:space="preserve">It is important that an avenue for lawful public interest </w:t>
      </w:r>
      <w:r w:rsidR="00951F1A">
        <w:rPr>
          <w:rFonts w:cs="Open Sans"/>
          <w:lang w:val="en-US"/>
        </w:rPr>
        <w:t xml:space="preserve">and integrity </w:t>
      </w:r>
      <w:r w:rsidRPr="00AA1A20">
        <w:rPr>
          <w:rFonts w:cs="Open Sans"/>
          <w:lang w:val="en-US"/>
        </w:rPr>
        <w:t>disclosures</w:t>
      </w:r>
      <w:r w:rsidR="00951F1A">
        <w:rPr>
          <w:rFonts w:cs="Open Sans"/>
          <w:lang w:val="en-US"/>
        </w:rPr>
        <w:t xml:space="preserve"> </w:t>
      </w:r>
      <w:r w:rsidRPr="00AA1A20">
        <w:rPr>
          <w:rFonts w:cs="Open Sans"/>
          <w:lang w:val="en-US"/>
        </w:rPr>
        <w:t>exist</w:t>
      </w:r>
      <w:r>
        <w:rPr>
          <w:rFonts w:cs="Open Sans"/>
          <w:lang w:val="en-US"/>
        </w:rPr>
        <w:t>s</w:t>
      </w:r>
      <w:r w:rsidRPr="00AA1A20">
        <w:rPr>
          <w:rFonts w:cs="Open Sans"/>
          <w:lang w:val="en-US"/>
        </w:rPr>
        <w:t xml:space="preserve"> in relation to activities of agencies that do not fall within the ambit of the IGIS Act. </w:t>
      </w:r>
      <w:r>
        <w:rPr>
          <w:rFonts w:cs="Open Sans"/>
          <w:lang w:val="en-US"/>
        </w:rPr>
        <w:t>For example, this would include disclosure to the Commonwealth Ombudsman, the Office of the Australian Information Commissioner (OAIC) or ACLEI for the purpose of those bodies performing their functions.</w:t>
      </w:r>
    </w:p>
    <w:p w14:paraId="49353ED6" w14:textId="26EA7741" w:rsidR="006A6B89" w:rsidRPr="00AA1A20" w:rsidRDefault="006A6B89" w:rsidP="006A6B89">
      <w:pPr>
        <w:pStyle w:val="ListNumber"/>
        <w:tabs>
          <w:tab w:val="clear" w:pos="360"/>
          <w:tab w:val="num" w:pos="993"/>
          <w:tab w:val="left" w:pos="1418"/>
        </w:tabs>
        <w:ind w:left="709" w:hanging="567"/>
        <w:rPr>
          <w:rFonts w:cs="Open Sans"/>
          <w:lang w:val="en-US"/>
        </w:rPr>
      </w:pPr>
      <w:r>
        <w:rPr>
          <w:rFonts w:cs="Open Sans"/>
        </w:rPr>
        <w:t xml:space="preserve">The Commission notes that some protection would be provided to persons who make public interest disclosures in accordance with the </w:t>
      </w:r>
      <w:r w:rsidRPr="00B11D97">
        <w:rPr>
          <w:rFonts w:cs="Open Sans"/>
          <w:i/>
        </w:rPr>
        <w:t>Public Interest Disclosure Act 2013</w:t>
      </w:r>
      <w:r>
        <w:rPr>
          <w:rFonts w:cs="Open Sans"/>
        </w:rPr>
        <w:t xml:space="preserve"> (Cth) (PID Act). However, the Bill </w:t>
      </w:r>
      <w:r w:rsidR="00FB46B1">
        <w:rPr>
          <w:rFonts w:cs="Open Sans"/>
        </w:rPr>
        <w:t xml:space="preserve">should </w:t>
      </w:r>
      <w:r>
        <w:rPr>
          <w:rFonts w:cs="Open Sans"/>
        </w:rPr>
        <w:t xml:space="preserve">clearly provide that disclosure </w:t>
      </w:r>
      <w:r w:rsidR="00951F1A">
        <w:rPr>
          <w:rFonts w:cs="Open Sans"/>
        </w:rPr>
        <w:t>in accordance with the PID Act</w:t>
      </w:r>
      <w:r>
        <w:rPr>
          <w:rFonts w:cs="Open Sans"/>
        </w:rPr>
        <w:t xml:space="preserve"> is an exception </w:t>
      </w:r>
      <w:r w:rsidR="00DC5EEA">
        <w:rPr>
          <w:rFonts w:cs="Open Sans"/>
        </w:rPr>
        <w:t xml:space="preserve">to, </w:t>
      </w:r>
      <w:r>
        <w:rPr>
          <w:rFonts w:cs="Open Sans"/>
        </w:rPr>
        <w:t xml:space="preserve">or defence </w:t>
      </w:r>
      <w:r w:rsidR="00DC5EEA">
        <w:rPr>
          <w:rFonts w:cs="Open Sans"/>
        </w:rPr>
        <w:t xml:space="preserve">in respect of, </w:t>
      </w:r>
      <w:r>
        <w:rPr>
          <w:rFonts w:cs="Open Sans"/>
        </w:rPr>
        <w:t xml:space="preserve">the secrecy </w:t>
      </w:r>
      <w:r w:rsidR="00DC5EEA">
        <w:rPr>
          <w:rFonts w:cs="Open Sans"/>
        </w:rPr>
        <w:t>provisions</w:t>
      </w:r>
      <w:r>
        <w:rPr>
          <w:rFonts w:cs="Open Sans"/>
        </w:rPr>
        <w:t>.</w:t>
      </w:r>
    </w:p>
    <w:p w14:paraId="7C0EED0D" w14:textId="030A9C56" w:rsidR="002222AF" w:rsidRPr="00B81400" w:rsidRDefault="006A6B89" w:rsidP="002222AF">
      <w:pPr>
        <w:pStyle w:val="ListNumber"/>
        <w:tabs>
          <w:tab w:val="clear" w:pos="360"/>
          <w:tab w:val="num" w:pos="993"/>
          <w:tab w:val="left" w:pos="1418"/>
        </w:tabs>
        <w:ind w:left="709" w:hanging="567"/>
        <w:rPr>
          <w:rFonts w:cs="Open Sans"/>
        </w:rPr>
      </w:pPr>
      <w:r>
        <w:rPr>
          <w:rFonts w:cs="Open Sans"/>
          <w:lang w:val="en-US"/>
        </w:rPr>
        <w:t>Such a</w:t>
      </w:r>
      <w:r w:rsidR="002222AF">
        <w:rPr>
          <w:rFonts w:cs="Open Sans"/>
          <w:lang w:val="en-US"/>
        </w:rPr>
        <w:t xml:space="preserve"> model </w:t>
      </w:r>
      <w:r>
        <w:rPr>
          <w:rFonts w:cs="Open Sans"/>
          <w:lang w:val="en-US"/>
        </w:rPr>
        <w:t xml:space="preserve">was </w:t>
      </w:r>
      <w:r w:rsidR="002222AF">
        <w:rPr>
          <w:rFonts w:cs="Open Sans"/>
          <w:lang w:val="en-US"/>
        </w:rPr>
        <w:t xml:space="preserve">adopted in the </w:t>
      </w:r>
      <w:r w:rsidR="002222AF" w:rsidRPr="00FB0B9D">
        <w:rPr>
          <w:rFonts w:cs="Open Sans"/>
          <w:i/>
          <w:lang w:val="en-US"/>
        </w:rPr>
        <w:t>National Security Legislation Amendment (Espionage and Foreign Interference) Act 2018</w:t>
      </w:r>
      <w:r w:rsidR="002222AF">
        <w:rPr>
          <w:rFonts w:cs="Open Sans"/>
          <w:lang w:val="en-US"/>
        </w:rPr>
        <w:t xml:space="preserve"> (Cth), which </w:t>
      </w:r>
      <w:r w:rsidR="002222AF" w:rsidRPr="00C76255">
        <w:rPr>
          <w:rFonts w:cs="Open Sans"/>
          <w:lang w:val="en-US"/>
        </w:rPr>
        <w:t>explicitly sets out a list of defences to disclosure of protected information, including for public interest and other integrity purposes</w:t>
      </w:r>
      <w:r w:rsidR="002222AF">
        <w:rPr>
          <w:rFonts w:cs="Open Sans"/>
          <w:lang w:val="en-US"/>
        </w:rPr>
        <w:t xml:space="preserve">. </w:t>
      </w:r>
      <w:r w:rsidR="002222AF" w:rsidRPr="00C76255">
        <w:rPr>
          <w:rFonts w:cs="Open Sans"/>
          <w:color w:val="000000" w:themeColor="text1"/>
        </w:rPr>
        <w:t xml:space="preserve">The Commission notes that similar comments were made by the IGIS in its submission to the Department on the </w:t>
      </w:r>
      <w:r w:rsidR="0025478F">
        <w:rPr>
          <w:rFonts w:cs="Open Sans"/>
          <w:color w:val="000000" w:themeColor="text1"/>
        </w:rPr>
        <w:t>Exposure Draft</w:t>
      </w:r>
      <w:r w:rsidR="002222AF" w:rsidRPr="00C76255">
        <w:rPr>
          <w:rFonts w:cs="Open Sans"/>
          <w:color w:val="000000" w:themeColor="text1"/>
        </w:rPr>
        <w:t xml:space="preserve"> of the Bill.</w:t>
      </w:r>
      <w:r w:rsidR="002222AF" w:rsidRPr="00C76255">
        <w:rPr>
          <w:rStyle w:val="EndnoteReference"/>
          <w:color w:val="000000" w:themeColor="text1"/>
          <w:vertAlign w:val="superscript"/>
        </w:rPr>
        <w:endnoteReference w:id="142"/>
      </w:r>
    </w:p>
    <w:p w14:paraId="63A907BA" w14:textId="359D3AAA" w:rsidR="002222AF" w:rsidRPr="00FB0B9D" w:rsidRDefault="002222AF" w:rsidP="002222AF">
      <w:pPr>
        <w:pStyle w:val="ListNumber"/>
        <w:tabs>
          <w:tab w:val="clear" w:pos="360"/>
          <w:tab w:val="num" w:pos="993"/>
          <w:tab w:val="left" w:pos="1418"/>
        </w:tabs>
        <w:ind w:left="709" w:hanging="567"/>
        <w:rPr>
          <w:rFonts w:cs="Open Sans"/>
        </w:rPr>
      </w:pPr>
      <w:r>
        <w:rPr>
          <w:rFonts w:cs="Open Sans"/>
          <w:lang w:val="en-US"/>
        </w:rPr>
        <w:t>As a result</w:t>
      </w:r>
      <w:r w:rsidR="00382842">
        <w:rPr>
          <w:rFonts w:cs="Open Sans"/>
          <w:lang w:val="en-US"/>
        </w:rPr>
        <w:t xml:space="preserve"> of the changes discussed in the paragraph above</w:t>
      </w:r>
      <w:r>
        <w:rPr>
          <w:rFonts w:cs="Open Sans"/>
          <w:lang w:val="en-US"/>
        </w:rPr>
        <w:t>,</w:t>
      </w:r>
      <w:r w:rsidR="00205E36">
        <w:rPr>
          <w:rFonts w:cs="Open Sans"/>
          <w:lang w:val="en-US"/>
        </w:rPr>
        <w:t xml:space="preserve"> s </w:t>
      </w:r>
      <w:r w:rsidRPr="005E5A05">
        <w:rPr>
          <w:rFonts w:cs="Open Sans"/>
          <w:lang w:val="en-US"/>
        </w:rPr>
        <w:t>122.5 of the Criminal Code</w:t>
      </w:r>
      <w:r>
        <w:rPr>
          <w:rFonts w:cs="Open Sans"/>
          <w:lang w:val="en-US"/>
        </w:rPr>
        <w:t xml:space="preserve"> </w:t>
      </w:r>
      <w:r w:rsidR="006A6B89">
        <w:rPr>
          <w:rFonts w:cs="Open Sans"/>
          <w:lang w:val="en-US"/>
        </w:rPr>
        <w:t>will include</w:t>
      </w:r>
      <w:r>
        <w:rPr>
          <w:rFonts w:cs="Open Sans"/>
          <w:lang w:val="en-US"/>
        </w:rPr>
        <w:t xml:space="preserve"> defences such as: the information was communicated to the IGIS, Ombudsman, OAIC or ACLEI; that the information was communicated in accordance with the PID Act or </w:t>
      </w:r>
      <w:r w:rsidRPr="00AB027E">
        <w:rPr>
          <w:rFonts w:cs="Open Sans"/>
          <w:i/>
          <w:lang w:val="en-US"/>
        </w:rPr>
        <w:t>Freedom of Information Act 1982</w:t>
      </w:r>
      <w:r>
        <w:rPr>
          <w:rFonts w:cs="Open Sans"/>
          <w:lang w:val="en-US"/>
        </w:rPr>
        <w:t xml:space="preserve"> (Cth); that the information was communicated for the purpose of reporting offences or maladministration to an appropriate Commonwealth, </w:t>
      </w:r>
      <w:r w:rsidR="009524AA">
        <w:rPr>
          <w:rFonts w:cs="Open Sans"/>
          <w:lang w:val="en-US"/>
        </w:rPr>
        <w:t xml:space="preserve">state </w:t>
      </w:r>
      <w:r>
        <w:rPr>
          <w:rFonts w:cs="Open Sans"/>
          <w:lang w:val="en-US"/>
        </w:rPr>
        <w:t xml:space="preserve">or </w:t>
      </w:r>
      <w:r w:rsidR="009524AA">
        <w:rPr>
          <w:rFonts w:cs="Open Sans"/>
          <w:lang w:val="en-US"/>
        </w:rPr>
        <w:t xml:space="preserve">territory </w:t>
      </w:r>
      <w:r>
        <w:rPr>
          <w:rFonts w:cs="Open Sans"/>
          <w:lang w:val="en-US"/>
        </w:rPr>
        <w:t xml:space="preserve">agency; that the information was </w:t>
      </w:r>
      <w:r>
        <w:rPr>
          <w:rFonts w:cs="Open Sans"/>
          <w:lang w:val="en-US"/>
        </w:rPr>
        <w:lastRenderedPageBreak/>
        <w:t>communicated to a court or tribunal</w:t>
      </w:r>
      <w:r w:rsidR="00951F1A">
        <w:rPr>
          <w:rFonts w:cs="Open Sans"/>
          <w:lang w:val="en-US"/>
        </w:rPr>
        <w:t>;</w:t>
      </w:r>
      <w:r>
        <w:rPr>
          <w:rFonts w:cs="Open Sans"/>
          <w:lang w:val="en-US"/>
        </w:rPr>
        <w:t xml:space="preserve"> and that the information was communicated by persons engaged in news reporting. </w:t>
      </w:r>
    </w:p>
    <w:p w14:paraId="669A5C16" w14:textId="77777777" w:rsidR="002222AF" w:rsidRPr="004E53D8" w:rsidRDefault="002222AF" w:rsidP="002222AF">
      <w:pPr>
        <w:pStyle w:val="ListNumber"/>
        <w:tabs>
          <w:tab w:val="clear" w:pos="360"/>
          <w:tab w:val="num" w:pos="993"/>
          <w:tab w:val="left" w:pos="1418"/>
        </w:tabs>
        <w:ind w:left="709" w:hanging="567"/>
        <w:rPr>
          <w:rFonts w:cs="Open Sans"/>
          <w:lang w:val="en-US"/>
        </w:rPr>
      </w:pPr>
      <w:r w:rsidRPr="00AA1A20">
        <w:rPr>
          <w:rFonts w:cs="Open Sans"/>
        </w:rPr>
        <w:t xml:space="preserve">The Commission further considers it more appropriate that criminal penalties only attach to the intentional unauthorised disclosure of information that harms, or that is reasonably likely to harm, an essential public interest. This is consistent with the application of a proportionality analysis as embodied in the </w:t>
      </w:r>
      <w:r w:rsidRPr="00AA1A20">
        <w:rPr>
          <w:rFonts w:cs="Open Sans"/>
          <w:i/>
        </w:rPr>
        <w:t xml:space="preserve">Siracusa Principles </w:t>
      </w:r>
      <w:r w:rsidRPr="00AA1A20">
        <w:rPr>
          <w:rFonts w:cs="Open Sans"/>
        </w:rPr>
        <w:t xml:space="preserve">and the recommendations of the ALRC. </w:t>
      </w:r>
    </w:p>
    <w:p w14:paraId="4ACB98F3" w14:textId="77777777" w:rsidR="002222AF" w:rsidRPr="00B649DA" w:rsidRDefault="002222AF" w:rsidP="002222AF">
      <w:pPr>
        <w:pStyle w:val="ListNumber"/>
        <w:tabs>
          <w:tab w:val="clear" w:pos="360"/>
          <w:tab w:val="num" w:pos="993"/>
          <w:tab w:val="left" w:pos="1418"/>
        </w:tabs>
        <w:ind w:left="709" w:hanging="567"/>
        <w:rPr>
          <w:rFonts w:cs="Open Sans"/>
          <w:lang w:val="en-US"/>
        </w:rPr>
      </w:pPr>
      <w:r w:rsidRPr="00AA1A20">
        <w:rPr>
          <w:rFonts w:cs="Open Sans"/>
        </w:rPr>
        <w:t>The Commission considers that less serious conduct can be addressed by less restrictive measures. For example, for misconduct that is not reasonably likely to harm essential public interests, administrative or contractual remedies could apply.</w:t>
      </w:r>
      <w:r w:rsidRPr="00543C35">
        <w:rPr>
          <w:rStyle w:val="EndnoteReference"/>
          <w:vertAlign w:val="superscript"/>
        </w:rPr>
        <w:endnoteReference w:id="143"/>
      </w:r>
    </w:p>
    <w:p w14:paraId="0AC91228" w14:textId="0C0D1648" w:rsidR="001979A1" w:rsidRDefault="002222AF" w:rsidP="00A50C9F">
      <w:pPr>
        <w:pStyle w:val="ListNumber"/>
        <w:tabs>
          <w:tab w:val="clear" w:pos="360"/>
          <w:tab w:val="num" w:pos="993"/>
          <w:tab w:val="left" w:pos="1418"/>
        </w:tabs>
        <w:ind w:left="709" w:hanging="567"/>
        <w:rPr>
          <w:rFonts w:cs="Open Sans"/>
        </w:rPr>
      </w:pPr>
      <w:r w:rsidRPr="001979A1">
        <w:rPr>
          <w:rFonts w:cs="Open Sans"/>
        </w:rPr>
        <w:t>Notably,</w:t>
      </w:r>
      <w:r w:rsidR="00205E36">
        <w:rPr>
          <w:rFonts w:cs="Open Sans"/>
        </w:rPr>
        <w:t xml:space="preserve"> s </w:t>
      </w:r>
      <w:r w:rsidRPr="00A50C9F">
        <w:rPr>
          <w:rFonts w:cs="Open Sans"/>
        </w:rPr>
        <w:t>11A</w:t>
      </w:r>
      <w:r w:rsidRPr="001979A1">
        <w:rPr>
          <w:rFonts w:cs="Open Sans"/>
        </w:rPr>
        <w:t xml:space="preserve"> of the</w:t>
      </w:r>
      <w:r>
        <w:rPr>
          <w:rFonts w:cs="Open Sans"/>
        </w:rPr>
        <w:t xml:space="preserve"> </w:t>
      </w:r>
      <w:r w:rsidR="001979A1" w:rsidRPr="00AA1A20">
        <w:rPr>
          <w:rFonts w:cs="Open Sans"/>
          <w:i/>
        </w:rPr>
        <w:t>Telecommunications Act 1997</w:t>
      </w:r>
      <w:r w:rsidR="001979A1">
        <w:rPr>
          <w:rFonts w:cs="Open Sans"/>
        </w:rPr>
        <w:t xml:space="preserve"> (Cth)</w:t>
      </w:r>
      <w:r>
        <w:rPr>
          <w:rFonts w:cs="Open Sans"/>
        </w:rPr>
        <w:t xml:space="preserve"> provides that Ch 2 of the Criminal Code applies to all offences under the Act</w:t>
      </w:r>
      <w:r w:rsidR="00A50C9F">
        <w:rPr>
          <w:rFonts w:cs="Open Sans"/>
        </w:rPr>
        <w:t>. Chapter 2 of the Criminal Code sets out general principles of criminal responsibility, including the fault elements applicable to an offence where the head act is silent.</w:t>
      </w:r>
    </w:p>
    <w:p w14:paraId="6BFF685D" w14:textId="3245C826" w:rsidR="00A50C9F" w:rsidRDefault="002222AF" w:rsidP="00A50C9F">
      <w:pPr>
        <w:pStyle w:val="ListNumber"/>
        <w:tabs>
          <w:tab w:val="clear" w:pos="360"/>
          <w:tab w:val="num" w:pos="993"/>
          <w:tab w:val="left" w:pos="1418"/>
        </w:tabs>
        <w:ind w:left="709" w:hanging="567"/>
        <w:rPr>
          <w:rFonts w:cs="Open Sans"/>
        </w:rPr>
      </w:pPr>
      <w:r>
        <w:rPr>
          <w:rFonts w:cs="Open Sans"/>
        </w:rPr>
        <w:t>Pursuant to</w:t>
      </w:r>
      <w:r w:rsidR="00205E36">
        <w:rPr>
          <w:rFonts w:cs="Open Sans"/>
        </w:rPr>
        <w:t xml:space="preserve"> s </w:t>
      </w:r>
      <w:r>
        <w:rPr>
          <w:rFonts w:cs="Open Sans"/>
        </w:rPr>
        <w:t>5.6(1) of the Criminal Code, where</w:t>
      </w:r>
      <w:r w:rsidRPr="004B3033">
        <w:rPr>
          <w:rFonts w:cs="Open Sans"/>
        </w:rPr>
        <w:t xml:space="preserve"> no fault element is specified </w:t>
      </w:r>
      <w:r>
        <w:rPr>
          <w:rFonts w:cs="Open Sans"/>
        </w:rPr>
        <w:t xml:space="preserve">for an offence </w:t>
      </w:r>
      <w:r w:rsidR="00A50C9F">
        <w:rPr>
          <w:rFonts w:cs="Open Sans"/>
        </w:rPr>
        <w:t>and</w:t>
      </w:r>
      <w:r>
        <w:rPr>
          <w:rFonts w:cs="Open Sans"/>
        </w:rPr>
        <w:t xml:space="preserve"> the physical element is conduct, </w:t>
      </w:r>
      <w:r w:rsidRPr="004B3033">
        <w:rPr>
          <w:rFonts w:cs="Open Sans"/>
        </w:rPr>
        <w:t>intention is the</w:t>
      </w:r>
      <w:r>
        <w:rPr>
          <w:rFonts w:cs="Open Sans"/>
        </w:rPr>
        <w:t xml:space="preserve"> default</w:t>
      </w:r>
      <w:r w:rsidRPr="004B3033">
        <w:rPr>
          <w:rFonts w:cs="Open Sans"/>
        </w:rPr>
        <w:t xml:space="preserve"> fault element.</w:t>
      </w:r>
      <w:r>
        <w:rPr>
          <w:rFonts w:cs="Open Sans"/>
        </w:rPr>
        <w:t xml:space="preserve"> Therefore, the</w:t>
      </w:r>
      <w:r w:rsidRPr="004B3033">
        <w:rPr>
          <w:rFonts w:cs="Open Sans"/>
        </w:rPr>
        <w:t xml:space="preserve"> fault element </w:t>
      </w:r>
      <w:r w:rsidR="00B434C5">
        <w:rPr>
          <w:rFonts w:cs="Open Sans"/>
        </w:rPr>
        <w:t xml:space="preserve">attaching to disclosure of </w:t>
      </w:r>
      <w:r w:rsidR="009F3C5A">
        <w:rPr>
          <w:rFonts w:cs="Open Sans"/>
        </w:rPr>
        <w:t>protected</w:t>
      </w:r>
      <w:r w:rsidR="00B434C5">
        <w:rPr>
          <w:rFonts w:cs="Open Sans"/>
        </w:rPr>
        <w:t xml:space="preserve"> information would be intention</w:t>
      </w:r>
      <w:r>
        <w:rPr>
          <w:rFonts w:cs="Open Sans"/>
        </w:rPr>
        <w:t xml:space="preserve">. </w:t>
      </w:r>
    </w:p>
    <w:p w14:paraId="7FB77DC3" w14:textId="36777ADA" w:rsidR="002222AF" w:rsidRPr="00593506" w:rsidRDefault="002222AF" w:rsidP="00A50C9F">
      <w:pPr>
        <w:pStyle w:val="ListNumber"/>
        <w:tabs>
          <w:tab w:val="clear" w:pos="360"/>
          <w:tab w:val="num" w:pos="993"/>
          <w:tab w:val="left" w:pos="1418"/>
        </w:tabs>
        <w:ind w:left="709" w:hanging="567"/>
        <w:rPr>
          <w:rFonts w:cs="Open Sans"/>
        </w:rPr>
      </w:pPr>
      <w:r>
        <w:rPr>
          <w:rFonts w:cs="Open Sans"/>
        </w:rPr>
        <w:t>Pursuant to</w:t>
      </w:r>
      <w:r w:rsidR="00205E36">
        <w:rPr>
          <w:rFonts w:cs="Open Sans"/>
        </w:rPr>
        <w:t xml:space="preserve"> s </w:t>
      </w:r>
      <w:r>
        <w:rPr>
          <w:rFonts w:cs="Open Sans"/>
        </w:rPr>
        <w:t xml:space="preserve">5.6(2) of the Criminal Code, where an offence has </w:t>
      </w:r>
      <w:r w:rsidRPr="00593506">
        <w:rPr>
          <w:rFonts w:cs="Open Sans"/>
        </w:rPr>
        <w:t>a physical element consisting of a circumstance or a result</w:t>
      </w:r>
      <w:r>
        <w:rPr>
          <w:rFonts w:cs="Open Sans"/>
        </w:rPr>
        <w:t>, the default fault element</w:t>
      </w:r>
      <w:r w:rsidRPr="00593506">
        <w:rPr>
          <w:rFonts w:cs="Open Sans"/>
        </w:rPr>
        <w:t xml:space="preserve"> is recklessness.</w:t>
      </w:r>
      <w:r w:rsidR="00A50C9F">
        <w:rPr>
          <w:rFonts w:cs="Open Sans"/>
        </w:rPr>
        <w:t xml:space="preserve"> I</w:t>
      </w:r>
      <w:r>
        <w:rPr>
          <w:rFonts w:cs="Open Sans"/>
        </w:rPr>
        <w:t>f a harms-based approach is taken to the secrecy provision, which the Commission considers appropriate,</w:t>
      </w:r>
      <w:r w:rsidR="009F3C5A">
        <w:rPr>
          <w:rFonts w:cs="Open Sans"/>
        </w:rPr>
        <w:t xml:space="preserve"> </w:t>
      </w:r>
      <w:r w:rsidR="00C64290">
        <w:rPr>
          <w:rFonts w:cs="Open Sans"/>
        </w:rPr>
        <w:t>recklessness would be the automatic fault element attaching to the elements of the offence that required the establishment of harm or likelihood of harm to an essential public interest.</w:t>
      </w:r>
    </w:p>
    <w:p w14:paraId="3DF64006" w14:textId="77777777" w:rsidR="002222AF" w:rsidRPr="00AA1A20" w:rsidRDefault="002222AF" w:rsidP="00E77015">
      <w:pPr>
        <w:pStyle w:val="ListNumber"/>
        <w:keepNext/>
        <w:tabs>
          <w:tab w:val="clear" w:pos="360"/>
          <w:tab w:val="num" w:pos="993"/>
          <w:tab w:val="left" w:pos="1418"/>
        </w:tabs>
        <w:ind w:left="709" w:hanging="567"/>
        <w:rPr>
          <w:rFonts w:cs="Open Sans"/>
        </w:rPr>
      </w:pPr>
      <w:r w:rsidRPr="00AA1A20">
        <w:rPr>
          <w:rFonts w:cs="Open Sans"/>
        </w:rPr>
        <w:t>The Commission recommends that:</w:t>
      </w:r>
    </w:p>
    <w:p w14:paraId="2B02FCA6" w14:textId="0BEDC724" w:rsidR="002222AF" w:rsidRPr="00CC23EE" w:rsidRDefault="002222AF" w:rsidP="00E77015">
      <w:pPr>
        <w:pStyle w:val="ListNumber"/>
        <w:keepNext/>
        <w:numPr>
          <w:ilvl w:val="0"/>
          <w:numId w:val="0"/>
        </w:numPr>
        <w:ind w:left="720"/>
        <w:rPr>
          <w:rFonts w:cs="Open Sans"/>
          <w:b/>
        </w:rPr>
      </w:pPr>
      <w:r w:rsidRPr="00A56810">
        <w:rPr>
          <w:rFonts w:cs="Open Sans"/>
          <w:b/>
        </w:rPr>
        <w:t xml:space="preserve">Recommendation </w:t>
      </w:r>
      <w:r w:rsidR="003E54A3">
        <w:rPr>
          <w:rFonts w:cs="Open Sans"/>
          <w:b/>
        </w:rPr>
        <w:t>25</w:t>
      </w:r>
    </w:p>
    <w:p w14:paraId="2CA3374F" w14:textId="13038B47" w:rsidR="002222AF" w:rsidRPr="00AA1A20" w:rsidRDefault="002222AF" w:rsidP="002222AF">
      <w:pPr>
        <w:pStyle w:val="ListNumber"/>
        <w:numPr>
          <w:ilvl w:val="0"/>
          <w:numId w:val="0"/>
        </w:numPr>
        <w:ind w:left="720"/>
        <w:rPr>
          <w:rFonts w:cs="Open Sans"/>
        </w:rPr>
      </w:pPr>
      <w:r w:rsidRPr="00CC23EE">
        <w:rPr>
          <w:rFonts w:cs="Open Sans"/>
        </w:rPr>
        <w:t>Serious consideration be given to amending proposed</w:t>
      </w:r>
      <w:r w:rsidR="00205E36">
        <w:rPr>
          <w:rFonts w:cs="Open Sans"/>
        </w:rPr>
        <w:t xml:space="preserve"> s </w:t>
      </w:r>
      <w:r w:rsidRPr="00CC23EE">
        <w:rPr>
          <w:rFonts w:cs="Open Sans"/>
        </w:rPr>
        <w:t xml:space="preserve">317ZF(1) of the </w:t>
      </w:r>
      <w:r w:rsidRPr="00CC23EE">
        <w:rPr>
          <w:rFonts w:cs="Open Sans"/>
          <w:i/>
        </w:rPr>
        <w:t xml:space="preserve">Telecommunications Act 1997 </w:t>
      </w:r>
      <w:r w:rsidRPr="00CC23EE">
        <w:rPr>
          <w:rFonts w:cs="Open Sans"/>
        </w:rPr>
        <w:t xml:space="preserve">(Cth) to include </w:t>
      </w:r>
      <w:r>
        <w:rPr>
          <w:rFonts w:cs="Open Sans"/>
        </w:rPr>
        <w:t>an</w:t>
      </w:r>
      <w:r w:rsidRPr="00CC23EE">
        <w:rPr>
          <w:rFonts w:cs="Open Sans"/>
        </w:rPr>
        <w:t xml:space="preserve"> express requirement of harm, to provide that it is an offence to make an unauthorised disclosure of information that harms, or that is reasonably likely to harm, an essential public interest.</w:t>
      </w:r>
    </w:p>
    <w:p w14:paraId="0C8DA4B9" w14:textId="51D5A93F" w:rsidR="002222AF" w:rsidRPr="00AA1A20" w:rsidRDefault="002222AF" w:rsidP="00E77015">
      <w:pPr>
        <w:pStyle w:val="ListNumber"/>
        <w:keepNext/>
        <w:numPr>
          <w:ilvl w:val="0"/>
          <w:numId w:val="0"/>
        </w:numPr>
        <w:ind w:left="720"/>
        <w:rPr>
          <w:rFonts w:cs="Open Sans"/>
          <w:b/>
        </w:rPr>
      </w:pPr>
      <w:r w:rsidRPr="00AA1A20">
        <w:rPr>
          <w:rFonts w:cs="Open Sans"/>
          <w:b/>
        </w:rPr>
        <w:lastRenderedPageBreak/>
        <w:t xml:space="preserve">Recommendation </w:t>
      </w:r>
      <w:r w:rsidR="003E54A3">
        <w:rPr>
          <w:rFonts w:cs="Open Sans"/>
          <w:b/>
        </w:rPr>
        <w:t>26</w:t>
      </w:r>
    </w:p>
    <w:p w14:paraId="30F50A93" w14:textId="64868C95" w:rsidR="002222AF" w:rsidRPr="00AA1A20" w:rsidRDefault="002222AF" w:rsidP="002222AF">
      <w:pPr>
        <w:pStyle w:val="ListNumber"/>
        <w:numPr>
          <w:ilvl w:val="0"/>
          <w:numId w:val="0"/>
        </w:numPr>
        <w:ind w:left="720"/>
        <w:rPr>
          <w:rFonts w:cs="Open Sans"/>
        </w:rPr>
      </w:pPr>
      <w:r w:rsidRPr="00AA1A20">
        <w:rPr>
          <w:rFonts w:cs="Open Sans"/>
        </w:rPr>
        <w:t>Serious consideration be given to amending proposed</w:t>
      </w:r>
      <w:r w:rsidR="00205E36">
        <w:rPr>
          <w:rFonts w:cs="Open Sans"/>
        </w:rPr>
        <w:t xml:space="preserve"> s </w:t>
      </w:r>
      <w:r w:rsidRPr="00AA1A20">
        <w:rPr>
          <w:rFonts w:cs="Open Sans"/>
        </w:rPr>
        <w:t xml:space="preserve">317ZF(2)–(3) of the </w:t>
      </w:r>
      <w:r w:rsidRPr="00AA1A20">
        <w:rPr>
          <w:rFonts w:cs="Open Sans"/>
          <w:i/>
        </w:rPr>
        <w:t xml:space="preserve">Telecommunications Act 1997 </w:t>
      </w:r>
      <w:r w:rsidRPr="00AA1A20">
        <w:rPr>
          <w:rFonts w:cs="Open Sans"/>
        </w:rPr>
        <w:t>(Cth) to authorise the disclosure of human rights violations made in good faith in the public interest.</w:t>
      </w:r>
    </w:p>
    <w:p w14:paraId="43A37A2D" w14:textId="0CCAC2B0" w:rsidR="002222AF" w:rsidRPr="00FD718F" w:rsidRDefault="002222AF" w:rsidP="00EF0AF4">
      <w:pPr>
        <w:pStyle w:val="ListNumber"/>
        <w:keepNext/>
        <w:numPr>
          <w:ilvl w:val="0"/>
          <w:numId w:val="0"/>
        </w:numPr>
        <w:ind w:left="720"/>
        <w:rPr>
          <w:rFonts w:cs="Open Sans"/>
          <w:b/>
        </w:rPr>
      </w:pPr>
      <w:r w:rsidRPr="00FD718F">
        <w:rPr>
          <w:rFonts w:cs="Open Sans"/>
          <w:b/>
        </w:rPr>
        <w:t xml:space="preserve">Recommendations </w:t>
      </w:r>
      <w:r w:rsidR="003E54A3">
        <w:rPr>
          <w:rFonts w:cs="Open Sans"/>
          <w:b/>
        </w:rPr>
        <w:t>27</w:t>
      </w:r>
    </w:p>
    <w:p w14:paraId="7192E2D7" w14:textId="7567081E" w:rsidR="002222AF" w:rsidRPr="00AA1A20" w:rsidRDefault="002222AF" w:rsidP="00E77015">
      <w:pPr>
        <w:pStyle w:val="ListNumber"/>
        <w:numPr>
          <w:ilvl w:val="0"/>
          <w:numId w:val="0"/>
        </w:numPr>
        <w:ind w:left="720"/>
        <w:rPr>
          <w:rFonts w:cs="Open Sans"/>
        </w:rPr>
      </w:pPr>
      <w:r w:rsidRPr="00FD718F">
        <w:rPr>
          <w:rFonts w:cs="Open Sans"/>
        </w:rPr>
        <w:t>Serious consideration be given to amending proposed</w:t>
      </w:r>
      <w:r w:rsidR="00205E36">
        <w:rPr>
          <w:rFonts w:cs="Open Sans"/>
        </w:rPr>
        <w:t xml:space="preserve"> s </w:t>
      </w:r>
      <w:r w:rsidRPr="00FD718F">
        <w:rPr>
          <w:rFonts w:cs="Open Sans"/>
        </w:rPr>
        <w:t xml:space="preserve">317ZF of the </w:t>
      </w:r>
      <w:r w:rsidRPr="00FD718F">
        <w:rPr>
          <w:rFonts w:cs="Open Sans"/>
          <w:i/>
        </w:rPr>
        <w:t xml:space="preserve">Telecommunications Act 1997 </w:t>
      </w:r>
      <w:r w:rsidRPr="00FD718F">
        <w:rPr>
          <w:rFonts w:cs="Open Sans"/>
        </w:rPr>
        <w:t>(Cth), to explicitly allow for disclosure of information in accordance with the PID Act, the FOI Act, and for other integrity purposes, including to the Ombudsman and ACLEI in relation to activities of agencies that do not fall within the ambit of the IGIS Act.</w:t>
      </w:r>
      <w:r w:rsidR="0038253F">
        <w:rPr>
          <w:rFonts w:cs="Open Sans"/>
        </w:rPr>
        <w:t xml:space="preserve"> </w:t>
      </w:r>
    </w:p>
    <w:p w14:paraId="2B1551C9" w14:textId="77777777" w:rsidR="002222AF" w:rsidRPr="00AA1A20" w:rsidRDefault="002222AF" w:rsidP="002222AF">
      <w:pPr>
        <w:pStyle w:val="Heading2"/>
        <w:tabs>
          <w:tab w:val="clear" w:pos="851"/>
          <w:tab w:val="num" w:pos="1418"/>
        </w:tabs>
        <w:rPr>
          <w:rFonts w:cs="Open Sans"/>
        </w:rPr>
      </w:pPr>
      <w:bookmarkStart w:id="162" w:name="_Ref523846933"/>
      <w:bookmarkStart w:id="163" w:name="_Toc526518399"/>
      <w:bookmarkStart w:id="164" w:name="_Toc527107812"/>
      <w:r w:rsidRPr="00AA1A20">
        <w:rPr>
          <w:rFonts w:cs="Open Sans"/>
        </w:rPr>
        <w:t>Safeguards, oversight and reporting of assistance scheme</w:t>
      </w:r>
      <w:bookmarkEnd w:id="162"/>
      <w:bookmarkEnd w:id="163"/>
      <w:bookmarkEnd w:id="164"/>
    </w:p>
    <w:p w14:paraId="6BEF5346" w14:textId="77777777"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 xml:space="preserve">The </w:t>
      </w:r>
      <w:r w:rsidRPr="00AA1A20">
        <w:rPr>
          <w:rFonts w:cs="Open Sans"/>
        </w:rPr>
        <w:t>Commission</w:t>
      </w:r>
      <w:r w:rsidRPr="00AA1A20">
        <w:rPr>
          <w:rFonts w:cs="Open Sans"/>
          <w:lang w:val="en-US"/>
        </w:rPr>
        <w:t xml:space="preserve"> holds serious concerns about the effectiveness of the safeguards, oversight and reporting procedures of the proposed assistance scheme. </w:t>
      </w:r>
    </w:p>
    <w:p w14:paraId="575A9AAA" w14:textId="6F158355"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rPr>
        <w:t>Under</w:t>
      </w:r>
      <w:r w:rsidRPr="00AA1A20">
        <w:rPr>
          <w:rFonts w:cs="Open Sans"/>
          <w:lang w:val="en-US"/>
        </w:rPr>
        <w:t xml:space="preserve"> proposed</w:t>
      </w:r>
      <w:r w:rsidR="00205E36">
        <w:rPr>
          <w:rFonts w:cs="Open Sans"/>
          <w:lang w:val="en-US"/>
        </w:rPr>
        <w:t xml:space="preserve"> s </w:t>
      </w:r>
      <w:r w:rsidRPr="00AA1A20">
        <w:rPr>
          <w:rFonts w:cs="Open Sans"/>
          <w:lang w:val="en-US"/>
        </w:rPr>
        <w:t>317G(1), the Director-General of Security, the Director-General of ASIS, the Director-General of the ASD or the chief officer of an interception agency may give a TAR.</w:t>
      </w:r>
    </w:p>
    <w:p w14:paraId="49EC5DE0" w14:textId="63F94DD1"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lang w:val="en-US"/>
        </w:rPr>
        <w:t>Under proposed</w:t>
      </w:r>
      <w:r w:rsidR="00205E36">
        <w:rPr>
          <w:rFonts w:cs="Open Sans"/>
          <w:lang w:val="en-US"/>
        </w:rPr>
        <w:t xml:space="preserve"> s </w:t>
      </w:r>
      <w:r w:rsidRPr="00AA1A20">
        <w:rPr>
          <w:rFonts w:cs="Open Sans"/>
          <w:lang w:val="en-US"/>
        </w:rPr>
        <w:t xml:space="preserve">317L(1), the Director-General of Security or the chief officer of an </w:t>
      </w:r>
      <w:r w:rsidRPr="00AA1A20">
        <w:rPr>
          <w:rFonts w:cs="Open Sans"/>
        </w:rPr>
        <w:t>interception</w:t>
      </w:r>
      <w:r w:rsidRPr="00AA1A20">
        <w:rPr>
          <w:rFonts w:cs="Open Sans"/>
          <w:lang w:val="en-US"/>
        </w:rPr>
        <w:t xml:space="preserve"> agency may give a TAN.</w:t>
      </w:r>
    </w:p>
    <w:p w14:paraId="0BDA265B" w14:textId="1699072D"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rPr>
        <w:t>Proposed</w:t>
      </w:r>
      <w:r w:rsidR="00205E36">
        <w:rPr>
          <w:rFonts w:cs="Open Sans"/>
          <w:lang w:val="en-US"/>
        </w:rPr>
        <w:t xml:space="preserve"> ss </w:t>
      </w:r>
      <w:r w:rsidRPr="00AA1A20">
        <w:rPr>
          <w:rFonts w:cs="Open Sans"/>
          <w:lang w:val="en-US"/>
        </w:rPr>
        <w:t xml:space="preserve">317ZN–ZR allow the delegation of powers by the Director-General of Security, the Director-General of ASIS, the Director-General of the ASD or the chief officer of an interception agency. A delegate must comply with any written directions of the delegator. </w:t>
      </w:r>
    </w:p>
    <w:p w14:paraId="4AFE2B94" w14:textId="0F487FFD" w:rsidR="002222AF" w:rsidRPr="00AA1A20" w:rsidRDefault="00DA6437" w:rsidP="002222AF">
      <w:pPr>
        <w:pStyle w:val="ListNumber"/>
        <w:tabs>
          <w:tab w:val="clear" w:pos="360"/>
          <w:tab w:val="num" w:pos="993"/>
          <w:tab w:val="left" w:pos="1418"/>
        </w:tabs>
        <w:ind w:left="709" w:hanging="567"/>
        <w:rPr>
          <w:rFonts w:cs="Open Sans"/>
          <w:lang w:val="en-US"/>
        </w:rPr>
      </w:pPr>
      <w:r>
        <w:rPr>
          <w:rFonts w:cs="Open Sans"/>
          <w:lang w:val="en-US"/>
        </w:rPr>
        <w:t>The Bill generally</w:t>
      </w:r>
      <w:r w:rsidR="002222AF" w:rsidRPr="00AA1A20">
        <w:rPr>
          <w:rFonts w:cs="Open Sans"/>
          <w:lang w:val="en-US"/>
        </w:rPr>
        <w:t xml:space="preserve"> permit</w:t>
      </w:r>
      <w:r>
        <w:rPr>
          <w:rFonts w:cs="Open Sans"/>
          <w:lang w:val="en-US"/>
        </w:rPr>
        <w:t>s delegation</w:t>
      </w:r>
      <w:r w:rsidR="002222AF" w:rsidRPr="00AA1A20">
        <w:rPr>
          <w:rFonts w:cs="Open Sans"/>
          <w:lang w:val="en-US"/>
        </w:rPr>
        <w:t xml:space="preserve"> where the delegate is at the senior executive level of an agency, or with respect to police </w:t>
      </w:r>
      <w:r w:rsidR="002222AF" w:rsidRPr="00AA1A20">
        <w:rPr>
          <w:rFonts w:cs="Open Sans"/>
        </w:rPr>
        <w:t>forces</w:t>
      </w:r>
      <w:r w:rsidR="002222AF" w:rsidRPr="00AA1A20">
        <w:rPr>
          <w:rFonts w:cs="Open Sans"/>
          <w:lang w:val="en-US"/>
        </w:rPr>
        <w:t xml:space="preserve"> of a state or territory, at an Assistant Commissioner or a Superintendent level. Delegates are empowered to, among other things, give, vary or revoke a TAR or TAN.</w:t>
      </w:r>
    </w:p>
    <w:p w14:paraId="13DAA14A" w14:textId="3797DF74"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rPr>
        <w:t>Under proposed</w:t>
      </w:r>
      <w:r w:rsidR="00205E36">
        <w:rPr>
          <w:rFonts w:cs="Open Sans"/>
        </w:rPr>
        <w:t xml:space="preserve"> s </w:t>
      </w:r>
      <w:r w:rsidRPr="00AA1A20">
        <w:rPr>
          <w:rFonts w:cs="Open Sans"/>
        </w:rPr>
        <w:t xml:space="preserve">317T, </w:t>
      </w:r>
      <w:r>
        <w:rPr>
          <w:rFonts w:cs="Open Sans"/>
        </w:rPr>
        <w:t xml:space="preserve">only </w:t>
      </w:r>
      <w:r w:rsidRPr="00AA1A20">
        <w:rPr>
          <w:rFonts w:cs="Open Sans"/>
        </w:rPr>
        <w:t xml:space="preserve">the Attorney-General is empowered to give a TCN, </w:t>
      </w:r>
      <w:r w:rsidRPr="00AA1A20">
        <w:rPr>
          <w:rFonts w:cs="Open Sans"/>
          <w:lang w:val="en-US"/>
        </w:rPr>
        <w:t xml:space="preserve">in </w:t>
      </w:r>
      <w:r w:rsidRPr="00AA1A20">
        <w:rPr>
          <w:rFonts w:cs="Open Sans"/>
        </w:rPr>
        <w:t>accordance</w:t>
      </w:r>
      <w:r w:rsidRPr="00AA1A20">
        <w:rPr>
          <w:rFonts w:cs="Open Sans"/>
          <w:lang w:val="en-US"/>
        </w:rPr>
        <w:t xml:space="preserve"> with a request made by the Director-General of Security or the chief officer of an interception agency. The</w:t>
      </w:r>
      <w:r w:rsidRPr="00AA1A20">
        <w:rPr>
          <w:rFonts w:cs="Open Sans"/>
        </w:rPr>
        <w:t xml:space="preserve"> Attorney-General’s powers with respect to a TCN, including giving, varying and revocation, do not appear to be delegable. </w:t>
      </w:r>
    </w:p>
    <w:p w14:paraId="456A432A" w14:textId="7A971608" w:rsidR="002222AF" w:rsidRPr="00AA1A20" w:rsidRDefault="002222AF" w:rsidP="002222AF">
      <w:pPr>
        <w:pStyle w:val="ListNumber"/>
        <w:tabs>
          <w:tab w:val="clear" w:pos="360"/>
          <w:tab w:val="num" w:pos="993"/>
          <w:tab w:val="left" w:pos="1418"/>
        </w:tabs>
        <w:ind w:left="709" w:hanging="567"/>
        <w:rPr>
          <w:rFonts w:cs="Open Sans"/>
          <w:lang w:val="en-US"/>
        </w:rPr>
      </w:pPr>
      <w:r w:rsidRPr="00AA1A20">
        <w:rPr>
          <w:rFonts w:cs="Open Sans"/>
        </w:rPr>
        <w:t xml:space="preserve">The </w:t>
      </w:r>
      <w:r>
        <w:rPr>
          <w:rFonts w:cs="Open Sans"/>
        </w:rPr>
        <w:t>Explanatory Memorandum</w:t>
      </w:r>
      <w:r w:rsidRPr="00AA1A20">
        <w:rPr>
          <w:rFonts w:cs="Open Sans"/>
        </w:rPr>
        <w:t xml:space="preserve"> states that </w:t>
      </w:r>
      <w:r w:rsidRPr="00AA1A20">
        <w:rPr>
          <w:rFonts w:cs="Open Sans"/>
          <w:lang w:val="en-US"/>
        </w:rPr>
        <w:t>the delegation provisions ope</w:t>
      </w:r>
      <w:r>
        <w:rPr>
          <w:rFonts w:cs="Open Sans"/>
          <w:lang w:val="en-US"/>
        </w:rPr>
        <w:t xml:space="preserve">rate to ensure that assistance powers are </w:t>
      </w:r>
      <w:r w:rsidRPr="00AA1A20">
        <w:rPr>
          <w:rFonts w:cs="Open Sans"/>
          <w:lang w:val="en-US"/>
        </w:rPr>
        <w:t xml:space="preserve">restricted to </w:t>
      </w:r>
      <w:r>
        <w:rPr>
          <w:rFonts w:cs="Open Sans"/>
          <w:lang w:val="en-US"/>
        </w:rPr>
        <w:t>persons of sufficient seniority.</w:t>
      </w:r>
      <w:r w:rsidRPr="00543C35">
        <w:rPr>
          <w:rStyle w:val="EndnoteReference"/>
          <w:vertAlign w:val="superscript"/>
          <w:lang w:val="en-US"/>
        </w:rPr>
        <w:endnoteReference w:id="144"/>
      </w:r>
      <w:r w:rsidRPr="00AA1A20">
        <w:rPr>
          <w:rFonts w:cs="Open Sans"/>
          <w:lang w:val="en-US"/>
        </w:rPr>
        <w:t xml:space="preserve"> </w:t>
      </w:r>
      <w:r>
        <w:rPr>
          <w:rFonts w:cs="Open Sans"/>
          <w:lang w:val="en-US"/>
        </w:rPr>
        <w:t>It states that t</w:t>
      </w:r>
      <w:r w:rsidRPr="00AA1A20">
        <w:rPr>
          <w:rFonts w:cs="Open Sans"/>
          <w:lang w:val="en-US"/>
        </w:rPr>
        <w:t xml:space="preserve">he people who </w:t>
      </w:r>
      <w:r>
        <w:rPr>
          <w:rFonts w:cs="Open Sans"/>
          <w:lang w:val="en-US"/>
        </w:rPr>
        <w:t>can make technical assistance requests ‘occupy the most senior position in their organi</w:t>
      </w:r>
      <w:r w:rsidR="00785346">
        <w:rPr>
          <w:rFonts w:cs="Open Sans"/>
          <w:lang w:val="en-US"/>
        </w:rPr>
        <w:t>s</w:t>
      </w:r>
      <w:r>
        <w:rPr>
          <w:rFonts w:cs="Open Sans"/>
          <w:lang w:val="en-US"/>
        </w:rPr>
        <w:t xml:space="preserve">ation </w:t>
      </w:r>
      <w:r>
        <w:rPr>
          <w:rFonts w:cs="Open Sans"/>
          <w:lang w:val="en-US"/>
        </w:rPr>
        <w:lastRenderedPageBreak/>
        <w:t>and</w:t>
      </w:r>
      <w:r w:rsidRPr="00AA1A20">
        <w:rPr>
          <w:rFonts w:cs="Open Sans"/>
          <w:lang w:val="en-US"/>
        </w:rPr>
        <w:t xml:space="preserve"> </w:t>
      </w:r>
      <w:r>
        <w:rPr>
          <w:rFonts w:cs="Open Sans"/>
          <w:lang w:val="en-US"/>
        </w:rPr>
        <w:t>can</w:t>
      </w:r>
      <w:r w:rsidRPr="00AA1A20">
        <w:rPr>
          <w:rFonts w:cs="Open Sans"/>
          <w:lang w:val="en-US"/>
        </w:rPr>
        <w:t xml:space="preserve"> exercise suitable judgment about the propriety of </w:t>
      </w:r>
      <w:r>
        <w:rPr>
          <w:rFonts w:cs="Open Sans"/>
          <w:lang w:val="en-US"/>
        </w:rPr>
        <w:t xml:space="preserve">such a </w:t>
      </w:r>
      <w:r w:rsidRPr="00AA1A20">
        <w:rPr>
          <w:rFonts w:cs="Open Sans"/>
          <w:lang w:val="en-US"/>
        </w:rPr>
        <w:t>request</w:t>
      </w:r>
      <w:r>
        <w:rPr>
          <w:rFonts w:cs="Open Sans"/>
          <w:lang w:val="en-US"/>
        </w:rPr>
        <w:t>, and the relevant terms of any contract</w:t>
      </w:r>
      <w:r w:rsidRPr="00AA1A20">
        <w:rPr>
          <w:rFonts w:cs="Open Sans"/>
          <w:lang w:val="en-US"/>
        </w:rPr>
        <w:t>’.</w:t>
      </w:r>
      <w:r w:rsidRPr="00543C35">
        <w:rPr>
          <w:rStyle w:val="EndnoteReference"/>
          <w:vertAlign w:val="superscript"/>
          <w:lang w:val="en-US"/>
        </w:rPr>
        <w:endnoteReference w:id="145"/>
      </w:r>
      <w:r w:rsidRPr="00AA1A20">
        <w:rPr>
          <w:rFonts w:cs="Open Sans"/>
          <w:lang w:val="en-US"/>
        </w:rPr>
        <w:t xml:space="preserve"> As discussed further below, the Commission considers that the powers of delegation are too broad.</w:t>
      </w:r>
    </w:p>
    <w:p w14:paraId="3732563B" w14:textId="77777777" w:rsidR="002222AF" w:rsidRPr="00A110B4" w:rsidRDefault="002222AF" w:rsidP="002222AF">
      <w:pPr>
        <w:pStyle w:val="ListNumber"/>
        <w:tabs>
          <w:tab w:val="clear" w:pos="360"/>
          <w:tab w:val="num" w:pos="993"/>
          <w:tab w:val="left" w:pos="1418"/>
        </w:tabs>
        <w:ind w:left="709" w:hanging="567"/>
        <w:rPr>
          <w:rFonts w:cs="Open Sans"/>
          <w:lang w:val="en-US"/>
        </w:rPr>
      </w:pPr>
      <w:bookmarkStart w:id="165" w:name="_Ref526790111"/>
      <w:r w:rsidRPr="002C4CE3">
        <w:rPr>
          <w:rFonts w:cs="Open Sans"/>
        </w:rPr>
        <w:t>Before giving or varying a TCN, the Attorney-General</w:t>
      </w:r>
      <w:r>
        <w:rPr>
          <w:rFonts w:cs="Open Sans"/>
        </w:rPr>
        <w:t xml:space="preserve"> must</w:t>
      </w:r>
      <w:r w:rsidRPr="002C4CE3">
        <w:rPr>
          <w:rFonts w:cs="Open Sans"/>
        </w:rPr>
        <w:t xml:space="preserve"> </w:t>
      </w:r>
      <w:r>
        <w:rPr>
          <w:rFonts w:cs="Open Sans"/>
        </w:rPr>
        <w:t>give the provider a written consultation notice inviting the provider to make a submission on the proposed TCN. However,</w:t>
      </w:r>
      <w:r w:rsidRPr="002C4CE3">
        <w:rPr>
          <w:rFonts w:cs="Open Sans"/>
        </w:rPr>
        <w:t xml:space="preserve"> consultation</w:t>
      </w:r>
      <w:r>
        <w:rPr>
          <w:rFonts w:cs="Open Sans"/>
        </w:rPr>
        <w:t xml:space="preserve"> need not occur when it</w:t>
      </w:r>
      <w:r w:rsidRPr="002C4CE3">
        <w:rPr>
          <w:rFonts w:cs="Open Sans"/>
        </w:rPr>
        <w:t xml:space="preserve"> is impracticable, </w:t>
      </w:r>
      <w:r>
        <w:rPr>
          <w:rFonts w:cs="Open Sans"/>
        </w:rPr>
        <w:t xml:space="preserve">where </w:t>
      </w:r>
      <w:r w:rsidRPr="002C4CE3">
        <w:rPr>
          <w:rFonts w:cs="Open Sans"/>
        </w:rPr>
        <w:t xml:space="preserve">the TCN must be given as a matter of urgency, or </w:t>
      </w:r>
      <w:r>
        <w:rPr>
          <w:rFonts w:cs="Open Sans"/>
        </w:rPr>
        <w:t xml:space="preserve">where the provider </w:t>
      </w:r>
      <w:r w:rsidRPr="002C4CE3">
        <w:rPr>
          <w:rFonts w:cs="Open Sans"/>
        </w:rPr>
        <w:t>waive</w:t>
      </w:r>
      <w:r>
        <w:rPr>
          <w:rFonts w:cs="Open Sans"/>
        </w:rPr>
        <w:t>s the opportunity to consult</w:t>
      </w:r>
      <w:r w:rsidRPr="002C4CE3">
        <w:rPr>
          <w:rFonts w:cs="Open Sans"/>
        </w:rPr>
        <w:t>.</w:t>
      </w:r>
      <w:r w:rsidRPr="002C4CE3">
        <w:rPr>
          <w:rStyle w:val="EndnoteReference"/>
          <w:vertAlign w:val="superscript"/>
        </w:rPr>
        <w:endnoteReference w:id="146"/>
      </w:r>
      <w:r w:rsidRPr="002C4CE3">
        <w:rPr>
          <w:rFonts w:cs="Open Sans"/>
        </w:rPr>
        <w:t xml:space="preserve"> </w:t>
      </w:r>
      <w:r>
        <w:rPr>
          <w:rFonts w:cs="Open Sans"/>
        </w:rPr>
        <w:t>A consultation notice must allow at least 28 days for consultation.</w:t>
      </w:r>
      <w:r w:rsidRPr="002C4CE3">
        <w:rPr>
          <w:rStyle w:val="EndnoteReference"/>
          <w:vertAlign w:val="superscript"/>
        </w:rPr>
        <w:endnoteReference w:id="147"/>
      </w:r>
      <w:bookmarkEnd w:id="165"/>
      <w:r>
        <w:rPr>
          <w:rFonts w:cs="Open Sans"/>
        </w:rPr>
        <w:t xml:space="preserve"> </w:t>
      </w:r>
    </w:p>
    <w:p w14:paraId="2122F50B" w14:textId="79FD5ACA" w:rsidR="002222AF" w:rsidRPr="00A110B4" w:rsidRDefault="002222AF" w:rsidP="002222AF">
      <w:pPr>
        <w:pStyle w:val="ListNumber"/>
        <w:tabs>
          <w:tab w:val="clear" w:pos="360"/>
          <w:tab w:val="num" w:pos="993"/>
          <w:tab w:val="left" w:pos="1418"/>
        </w:tabs>
        <w:ind w:left="709" w:hanging="567"/>
        <w:rPr>
          <w:rFonts w:cs="Open Sans"/>
          <w:lang w:val="en-US"/>
        </w:rPr>
      </w:pPr>
      <w:r>
        <w:rPr>
          <w:rFonts w:cs="Open Sans"/>
        </w:rPr>
        <w:t>If a consultation notice is given, under proposed</w:t>
      </w:r>
      <w:r w:rsidR="00205E36">
        <w:rPr>
          <w:rFonts w:cs="Open Sans"/>
        </w:rPr>
        <w:t xml:space="preserve"> s </w:t>
      </w:r>
      <w:r>
        <w:rPr>
          <w:rFonts w:cs="Open Sans"/>
        </w:rPr>
        <w:t>317W(7) the Attorney-General and provider may jointly appoint one or more persons to assess whether the proposed TCN would contravene the systemic weakness limitation in</w:t>
      </w:r>
      <w:r w:rsidR="00205E36">
        <w:rPr>
          <w:rFonts w:cs="Open Sans"/>
        </w:rPr>
        <w:t xml:space="preserve"> s </w:t>
      </w:r>
      <w:r>
        <w:rPr>
          <w:rFonts w:cs="Open Sans"/>
        </w:rPr>
        <w:t>317ZG and prepare a report of the assessment. Proposed</w:t>
      </w:r>
      <w:r w:rsidR="00205E36">
        <w:rPr>
          <w:rFonts w:cs="Open Sans"/>
        </w:rPr>
        <w:t xml:space="preserve"> s </w:t>
      </w:r>
      <w:r>
        <w:rPr>
          <w:rFonts w:cs="Open Sans"/>
        </w:rPr>
        <w:t>317W(1)(c) provides that the Attorney-General must consider such a report before giving a TCN.</w:t>
      </w:r>
    </w:p>
    <w:p w14:paraId="551F7824" w14:textId="00C26690"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lang w:val="en-US"/>
        </w:rPr>
        <w:t>Proposed</w:t>
      </w:r>
      <w:r w:rsidR="00205E36">
        <w:rPr>
          <w:rFonts w:cs="Open Sans"/>
          <w:lang w:val="en-US"/>
        </w:rPr>
        <w:t xml:space="preserve"> s </w:t>
      </w:r>
      <w:r w:rsidRPr="00AA1A20">
        <w:rPr>
          <w:rFonts w:cs="Open Sans"/>
          <w:lang w:val="en-US"/>
        </w:rPr>
        <w:t>317ZS provides that the Minister must write and table a report every financial year that sets out the number of</w:t>
      </w:r>
      <w:r>
        <w:rPr>
          <w:rFonts w:cs="Open Sans"/>
          <w:lang w:val="en-US"/>
        </w:rPr>
        <w:t xml:space="preserve"> TARs,</w:t>
      </w:r>
      <w:r w:rsidRPr="00AA1A20">
        <w:rPr>
          <w:rFonts w:cs="Open Sans"/>
          <w:lang w:val="en-US"/>
        </w:rPr>
        <w:t xml:space="preserve"> TANs and TCNs given in that year. </w:t>
      </w:r>
    </w:p>
    <w:p w14:paraId="3350F26B" w14:textId="77777777" w:rsidR="002222AF" w:rsidRPr="00AA1A20" w:rsidRDefault="002222AF" w:rsidP="002222AF">
      <w:pPr>
        <w:pStyle w:val="ListNumber"/>
        <w:tabs>
          <w:tab w:val="clear" w:pos="360"/>
          <w:tab w:val="num" w:pos="993"/>
          <w:tab w:val="left" w:pos="1418"/>
        </w:tabs>
        <w:ind w:left="709" w:hanging="567"/>
        <w:rPr>
          <w:rFonts w:cs="Open Sans"/>
          <w:lang w:eastAsia="en-US"/>
        </w:rPr>
      </w:pPr>
      <w:r w:rsidRPr="00AA1A20">
        <w:rPr>
          <w:rFonts w:cs="Open Sans"/>
          <w:lang w:eastAsia="en-US"/>
        </w:rPr>
        <w:t xml:space="preserve">The </w:t>
      </w:r>
      <w:r w:rsidRPr="00AA1A20">
        <w:rPr>
          <w:rFonts w:cs="Open Sans"/>
          <w:lang w:val="en-US"/>
        </w:rPr>
        <w:t>Commission</w:t>
      </w:r>
      <w:r w:rsidRPr="00AA1A20">
        <w:rPr>
          <w:rFonts w:cs="Open Sans"/>
          <w:lang w:eastAsia="en-US"/>
        </w:rPr>
        <w:t xml:space="preserve"> is concerned about the appropriateness of notice giving powers being solely afforded to decision makers within the agencies that seek to obtain the relevant industry assistance, again noting the significant human rights interferences and the potential civil and criminal penalty implications. This self-regulating approach raises questions about how </w:t>
      </w:r>
      <w:r w:rsidRPr="00AA1A20">
        <w:rPr>
          <w:rFonts w:cs="Open Sans"/>
          <w:lang w:val="en-US"/>
        </w:rPr>
        <w:t>effectively</w:t>
      </w:r>
      <w:r w:rsidRPr="00AA1A20">
        <w:rPr>
          <w:rFonts w:cs="Open Sans"/>
          <w:lang w:eastAsia="en-US"/>
        </w:rPr>
        <w:t xml:space="preserve"> transparency and accountability can be achieved.</w:t>
      </w:r>
    </w:p>
    <w:p w14:paraId="4370B795" w14:textId="77777777" w:rsidR="002222AF" w:rsidRPr="00AA1A20" w:rsidRDefault="002222AF" w:rsidP="002222AF">
      <w:pPr>
        <w:pStyle w:val="ListNumber"/>
        <w:tabs>
          <w:tab w:val="clear" w:pos="360"/>
          <w:tab w:val="num" w:pos="993"/>
          <w:tab w:val="left" w:pos="1418"/>
        </w:tabs>
        <w:ind w:left="709" w:hanging="567"/>
        <w:rPr>
          <w:rFonts w:eastAsia="Times New Roman" w:cs="Open Sans"/>
          <w:sz w:val="20"/>
          <w:szCs w:val="20"/>
          <w:lang w:eastAsia="en-US"/>
        </w:rPr>
      </w:pPr>
      <w:r w:rsidRPr="00AA1A20">
        <w:rPr>
          <w:rFonts w:cs="Open Sans"/>
        </w:rPr>
        <w:t xml:space="preserve">The </w:t>
      </w:r>
      <w:r w:rsidRPr="00AA1A20">
        <w:rPr>
          <w:rFonts w:cs="Open Sans"/>
          <w:lang w:eastAsia="en-US"/>
        </w:rPr>
        <w:t>Commission</w:t>
      </w:r>
      <w:r w:rsidRPr="00AA1A20">
        <w:rPr>
          <w:rFonts w:cs="Open Sans"/>
        </w:rPr>
        <w:t xml:space="preserve"> notes that similar technical capability notice-giving powers under the</w:t>
      </w:r>
      <w:r w:rsidRPr="00AA1A20">
        <w:rPr>
          <w:rFonts w:cs="Open Sans"/>
          <w:i/>
        </w:rPr>
        <w:t xml:space="preserve"> Investigatory Powers Act 2016 </w:t>
      </w:r>
      <w:r w:rsidRPr="00AA1A20">
        <w:rPr>
          <w:rFonts w:cs="Open Sans"/>
        </w:rPr>
        <w:t>(UK) are subject to approval by a judicial commissioner of the Investigatory Powers Tribunal,</w:t>
      </w:r>
      <w:r w:rsidRPr="00543C35">
        <w:rPr>
          <w:rStyle w:val="EndnoteReference"/>
          <w:vertAlign w:val="superscript"/>
        </w:rPr>
        <w:endnoteReference w:id="148"/>
      </w:r>
      <w:r w:rsidRPr="00AA1A20">
        <w:rPr>
          <w:rFonts w:cs="Open Sans"/>
        </w:rPr>
        <w:t xml:space="preserve"> being an independent statutory agency exercising judicial functions. In considering whether to approve the giving of a notice, the judicial commissioner must apply the same principles as would be applied by a court on an application for judicial review.</w:t>
      </w:r>
      <w:r w:rsidRPr="00543C35">
        <w:rPr>
          <w:rStyle w:val="EndnoteReference"/>
          <w:vertAlign w:val="superscript"/>
        </w:rPr>
        <w:endnoteReference w:id="149"/>
      </w:r>
      <w:r w:rsidRPr="00AA1A20">
        <w:rPr>
          <w:rFonts w:cs="Open Sans"/>
        </w:rPr>
        <w:t xml:space="preserve"> </w:t>
      </w:r>
    </w:p>
    <w:p w14:paraId="563F9842" w14:textId="77777777" w:rsidR="002222AF" w:rsidRPr="00AA1A20" w:rsidRDefault="002222AF" w:rsidP="002222AF">
      <w:pPr>
        <w:pStyle w:val="ListNumber"/>
        <w:tabs>
          <w:tab w:val="clear" w:pos="360"/>
          <w:tab w:val="num" w:pos="993"/>
          <w:tab w:val="left" w:pos="1418"/>
        </w:tabs>
        <w:ind w:left="709" w:hanging="567"/>
        <w:rPr>
          <w:rFonts w:eastAsia="Times New Roman" w:cs="Open Sans"/>
          <w:sz w:val="20"/>
          <w:szCs w:val="20"/>
          <w:lang w:eastAsia="en-US"/>
        </w:rPr>
      </w:pPr>
      <w:r w:rsidRPr="00AA1A20">
        <w:rPr>
          <w:rFonts w:cs="Open Sans"/>
        </w:rPr>
        <w:t>The UK scheme also permits a provider</w:t>
      </w:r>
      <w:r w:rsidRPr="00AA1A20">
        <w:rPr>
          <w:rFonts w:cs="Open Sans"/>
          <w:lang w:eastAsia="en-US"/>
        </w:rPr>
        <w:t xml:space="preserve"> to refer a notice back to the </w:t>
      </w:r>
      <w:r w:rsidRPr="00AA1A20">
        <w:rPr>
          <w:rFonts w:cs="Open Sans"/>
        </w:rPr>
        <w:t>Secretary</w:t>
      </w:r>
      <w:r w:rsidRPr="00AA1A20">
        <w:rPr>
          <w:rFonts w:cs="Open Sans"/>
          <w:lang w:eastAsia="en-US"/>
        </w:rPr>
        <w:t xml:space="preserve"> of State for review.</w:t>
      </w:r>
      <w:r w:rsidRPr="00543C35">
        <w:rPr>
          <w:rStyle w:val="EndnoteReference"/>
          <w:vertAlign w:val="superscript"/>
        </w:rPr>
        <w:endnoteReference w:id="150"/>
      </w:r>
      <w:r w:rsidRPr="00AA1A20">
        <w:rPr>
          <w:rFonts w:cs="Open Sans"/>
          <w:lang w:eastAsia="en-US"/>
        </w:rPr>
        <w:t xml:space="preserve"> This is in addition to a ‘double-lock’ warrants approval process, whereby the Secretary of State and judicial commissioner must both approve the granting of certain warrants, including an interception warrant.</w:t>
      </w:r>
    </w:p>
    <w:p w14:paraId="60C1009B" w14:textId="77777777" w:rsidR="002222AF" w:rsidRDefault="002222AF" w:rsidP="002222AF">
      <w:pPr>
        <w:pStyle w:val="ListNumber"/>
        <w:tabs>
          <w:tab w:val="clear" w:pos="360"/>
          <w:tab w:val="num" w:pos="993"/>
          <w:tab w:val="left" w:pos="1418"/>
        </w:tabs>
        <w:ind w:left="709" w:hanging="567"/>
        <w:rPr>
          <w:rFonts w:cs="Open Sans"/>
          <w:lang w:eastAsia="en-US"/>
        </w:rPr>
      </w:pPr>
      <w:r w:rsidRPr="00AA1A20">
        <w:rPr>
          <w:rFonts w:cs="Open Sans"/>
        </w:rPr>
        <w:t xml:space="preserve">The Commission also draws attention to the </w:t>
      </w:r>
      <w:r w:rsidRPr="00AA1A20">
        <w:rPr>
          <w:rFonts w:cs="Open Sans"/>
          <w:lang w:eastAsia="en-US"/>
        </w:rPr>
        <w:t>UN Special Rapporteur on the promotion and protection of human rights and fundamental freedoms while countering terrorism’s</w:t>
      </w:r>
      <w:r w:rsidRPr="00AA1A20">
        <w:rPr>
          <w:rFonts w:cs="Open Sans"/>
          <w:bCs/>
          <w:lang w:eastAsia="en-US"/>
        </w:rPr>
        <w:t xml:space="preserve"> statement</w:t>
      </w:r>
      <w:r w:rsidRPr="00AA1A20">
        <w:rPr>
          <w:rFonts w:cs="Open Sans"/>
          <w:lang w:eastAsia="en-US"/>
        </w:rPr>
        <w:t xml:space="preserve"> that, without effective and </w:t>
      </w:r>
      <w:r w:rsidRPr="00AA1A20">
        <w:rPr>
          <w:rFonts w:cs="Open Sans"/>
        </w:rPr>
        <w:lastRenderedPageBreak/>
        <w:t>independent</w:t>
      </w:r>
      <w:r w:rsidRPr="00AA1A20">
        <w:rPr>
          <w:rFonts w:cs="Open Sans"/>
          <w:lang w:eastAsia="en-US"/>
        </w:rPr>
        <w:t xml:space="preserve"> oversight and reporting of surveillance practices and techniques, the lawfulness and necessity of resulting human rights interferences are called into question.</w:t>
      </w:r>
      <w:r w:rsidRPr="00543C35">
        <w:rPr>
          <w:rStyle w:val="EndnoteReference"/>
          <w:vertAlign w:val="superscript"/>
          <w:lang w:eastAsia="en-US"/>
        </w:rPr>
        <w:endnoteReference w:id="151"/>
      </w:r>
      <w:r w:rsidRPr="00AA1A20">
        <w:rPr>
          <w:rFonts w:cs="Open Sans"/>
          <w:lang w:eastAsia="en-US"/>
        </w:rPr>
        <w:t xml:space="preserve"> </w:t>
      </w:r>
    </w:p>
    <w:p w14:paraId="674111F9" w14:textId="77777777" w:rsidR="002222AF" w:rsidRPr="00AA1A20" w:rsidRDefault="002222AF" w:rsidP="002222AF">
      <w:pPr>
        <w:pStyle w:val="ListNumber"/>
        <w:tabs>
          <w:tab w:val="clear" w:pos="360"/>
          <w:tab w:val="num" w:pos="993"/>
          <w:tab w:val="left" w:pos="1418"/>
        </w:tabs>
        <w:ind w:left="709" w:hanging="567"/>
        <w:rPr>
          <w:rFonts w:cs="Open Sans"/>
          <w:lang w:eastAsia="en-US"/>
        </w:rPr>
      </w:pPr>
      <w:r w:rsidRPr="00AA1A20">
        <w:rPr>
          <w:rFonts w:cs="Open Sans"/>
          <w:lang w:eastAsia="en-US"/>
        </w:rPr>
        <w:t>The UN Special Rapporteur further stated that all secret surveillance systems should be under the review of an effective oversight body, and all interferences authorised through an independent body.</w:t>
      </w:r>
      <w:r w:rsidRPr="00543C35">
        <w:rPr>
          <w:rStyle w:val="EndnoteReference"/>
          <w:vertAlign w:val="superscript"/>
          <w:lang w:eastAsia="en-US"/>
        </w:rPr>
        <w:endnoteReference w:id="152"/>
      </w:r>
      <w:r w:rsidRPr="00AA1A20">
        <w:rPr>
          <w:rFonts w:cs="Open Sans"/>
          <w:b/>
          <w:bCs/>
          <w:lang w:eastAsia="en-US"/>
        </w:rPr>
        <w:t xml:space="preserve"> </w:t>
      </w:r>
    </w:p>
    <w:p w14:paraId="465B6B3A" w14:textId="77777777" w:rsidR="002222AF" w:rsidRPr="00AA1A20" w:rsidRDefault="002222AF" w:rsidP="002222AF">
      <w:pPr>
        <w:pStyle w:val="ListNumber"/>
        <w:tabs>
          <w:tab w:val="clear" w:pos="360"/>
          <w:tab w:val="num" w:pos="993"/>
          <w:tab w:val="left" w:pos="1418"/>
        </w:tabs>
        <w:ind w:left="709" w:hanging="567"/>
        <w:rPr>
          <w:rFonts w:cs="Open Sans"/>
          <w:lang w:eastAsia="en-US"/>
        </w:rPr>
      </w:pPr>
      <w:r w:rsidRPr="00AA1A20">
        <w:rPr>
          <w:rFonts w:cs="Open Sans"/>
          <w:bCs/>
          <w:lang w:eastAsia="en-US"/>
        </w:rPr>
        <w:t xml:space="preserve">This accords with the view of the </w:t>
      </w:r>
      <w:r>
        <w:rPr>
          <w:rFonts w:cs="Open Sans"/>
          <w:bCs/>
          <w:lang w:eastAsia="en-US"/>
        </w:rPr>
        <w:t>OHCHR</w:t>
      </w:r>
      <w:r w:rsidRPr="00AA1A20">
        <w:rPr>
          <w:rFonts w:cs="Open Sans"/>
          <w:bCs/>
          <w:lang w:eastAsia="en-US"/>
        </w:rPr>
        <w:t>, who has stated that ‘[i]nternal safeguards without independent, external monitoring in particular have proven ineffective against unlawful or arbitrary surveillance methods … Attention is therefore turning increasingly towards mixed models of administrative, judicial and parliamentary oversight’.</w:t>
      </w:r>
      <w:r w:rsidRPr="00543C35">
        <w:rPr>
          <w:rStyle w:val="EndnoteReference"/>
          <w:bCs/>
          <w:vertAlign w:val="superscript"/>
          <w:lang w:eastAsia="en-US"/>
        </w:rPr>
        <w:endnoteReference w:id="153"/>
      </w:r>
    </w:p>
    <w:p w14:paraId="3C2D6DE2"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The Commission considers that insufficient justification has been provided for the lack of independent authorisation or oversight of notice giving powers. </w:t>
      </w:r>
    </w:p>
    <w:p w14:paraId="35DD3A77" w14:textId="47817CF2"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If the intention of the assistance scheme is to supplement existing powers under warrants, it is unclear why the assistance </w:t>
      </w:r>
      <w:r w:rsidR="000A4DD2">
        <w:rPr>
          <w:rFonts w:cs="Open Sans"/>
        </w:rPr>
        <w:t>scheme</w:t>
      </w:r>
      <w:r w:rsidR="000A4DD2" w:rsidRPr="00AA1A20">
        <w:rPr>
          <w:rFonts w:cs="Open Sans"/>
        </w:rPr>
        <w:t xml:space="preserve"> </w:t>
      </w:r>
      <w:r w:rsidRPr="00AA1A20">
        <w:rPr>
          <w:rFonts w:cs="Open Sans"/>
        </w:rPr>
        <w:t xml:space="preserve">cannot be subsumed into the regular warrant processes. That is, assistance powers </w:t>
      </w:r>
      <w:r w:rsidRPr="00AA1A20">
        <w:rPr>
          <w:rFonts w:cs="Open Sans"/>
          <w:lang w:eastAsia="en-US"/>
        </w:rPr>
        <w:t>could</w:t>
      </w:r>
      <w:r w:rsidRPr="00AA1A20">
        <w:rPr>
          <w:rFonts w:cs="Open Sans"/>
        </w:rPr>
        <w:t xml:space="preserve"> be authorised under a warrant. The UK model further demonstrates how judicial oversight might operate.</w:t>
      </w:r>
    </w:p>
    <w:p w14:paraId="0318A606" w14:textId="3C28CBAD"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If the Bill is passed with approval mechanisms similar to its current form, the Commission considers that further restricting the delegation of assistance powers is a measure that could enhance proportionality. </w:t>
      </w:r>
    </w:p>
    <w:p w14:paraId="63A5EFE5" w14:textId="77777777"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t xml:space="preserve">Given the significant human rights impacts, wide discretion and finely balanced considerations involved in deciding to issue a notice, reserving this power to Ministers or a more limited cohort of the highest senior members of the public service would enhance accountability and proportionality. It would also likely limit the number of notices given to only necessary instances. </w:t>
      </w:r>
    </w:p>
    <w:p w14:paraId="2F4C820A" w14:textId="45CBC4FA" w:rsidR="00B663A0" w:rsidRPr="00B663A0" w:rsidRDefault="002222AF" w:rsidP="00B663A0">
      <w:pPr>
        <w:pStyle w:val="ListNumber"/>
        <w:tabs>
          <w:tab w:val="clear" w:pos="360"/>
          <w:tab w:val="num" w:pos="993"/>
          <w:tab w:val="left" w:pos="1418"/>
        </w:tabs>
        <w:ind w:left="709" w:hanging="567"/>
        <w:rPr>
          <w:rFonts w:cs="Open Sans"/>
        </w:rPr>
      </w:pPr>
      <w:r w:rsidRPr="00AA1A20">
        <w:rPr>
          <w:rFonts w:cs="Open Sans"/>
        </w:rPr>
        <w:t>The Commission is further concerned about the exclusion of</w:t>
      </w:r>
      <w:r w:rsidR="00B663A0">
        <w:rPr>
          <w:rFonts w:cs="Open Sans"/>
        </w:rPr>
        <w:t xml:space="preserve"> </w:t>
      </w:r>
      <w:r w:rsidR="00785346">
        <w:rPr>
          <w:rFonts w:cs="Open Sans"/>
        </w:rPr>
        <w:t xml:space="preserve">independent </w:t>
      </w:r>
      <w:r w:rsidR="00B663A0">
        <w:rPr>
          <w:rFonts w:cs="Open Sans"/>
        </w:rPr>
        <w:t>merits review and</w:t>
      </w:r>
      <w:r w:rsidRPr="00AA1A20">
        <w:rPr>
          <w:rFonts w:cs="Open Sans"/>
        </w:rPr>
        <w:t xml:space="preserve"> the</w:t>
      </w:r>
      <w:r w:rsidR="00B663A0">
        <w:rPr>
          <w:rFonts w:cs="Open Sans"/>
        </w:rPr>
        <w:t xml:space="preserve"> application of the</w:t>
      </w:r>
      <w:r w:rsidRPr="00AA1A20">
        <w:rPr>
          <w:rFonts w:cs="Open Sans"/>
        </w:rPr>
        <w:t xml:space="preserve"> ADJR Act. </w:t>
      </w:r>
      <w:r w:rsidR="00B663A0">
        <w:rPr>
          <w:rFonts w:cs="Open Sans"/>
        </w:rPr>
        <w:t>As stated in the</w:t>
      </w:r>
      <w:r w:rsidR="00B663A0" w:rsidRPr="00AA1A20">
        <w:rPr>
          <w:rFonts w:cs="Open Sans"/>
        </w:rPr>
        <w:t xml:space="preserve"> </w:t>
      </w:r>
      <w:r w:rsidR="00B663A0">
        <w:rPr>
          <w:rFonts w:cs="Open Sans"/>
          <w:lang w:val="en-US"/>
        </w:rPr>
        <w:t>Explanatory Memorandum</w:t>
      </w:r>
      <w:r w:rsidR="00B663A0">
        <w:rPr>
          <w:rFonts w:cs="Open Sans"/>
        </w:rPr>
        <w:t>, ‘t</w:t>
      </w:r>
      <w:r w:rsidR="00B663A0" w:rsidRPr="006D6F75">
        <w:rPr>
          <w:rFonts w:cs="Open Sans"/>
        </w:rPr>
        <w:t xml:space="preserve">he Bill does not provide for merits review of decision making and excludes judicial review under the </w:t>
      </w:r>
      <w:r w:rsidR="00951F1A">
        <w:rPr>
          <w:rFonts w:cs="Open Sans"/>
        </w:rPr>
        <w:t>ADJR Act’.</w:t>
      </w:r>
      <w:r w:rsidR="00B663A0" w:rsidRPr="00543C35">
        <w:rPr>
          <w:rStyle w:val="EndnoteReference"/>
          <w:vertAlign w:val="superscript"/>
          <w:lang w:val="en-US"/>
        </w:rPr>
        <w:endnoteReference w:id="154"/>
      </w:r>
      <w:r w:rsidR="00B663A0">
        <w:rPr>
          <w:rFonts w:cs="Open Sans"/>
        </w:rPr>
        <w:t xml:space="preserve"> </w:t>
      </w:r>
      <w:r w:rsidR="00951F1A">
        <w:rPr>
          <w:rFonts w:cs="Open Sans"/>
        </w:rPr>
        <w:t xml:space="preserve">These exclusions </w:t>
      </w:r>
      <w:r w:rsidRPr="00AA1A20">
        <w:rPr>
          <w:rFonts w:cs="Open Sans"/>
        </w:rPr>
        <w:t xml:space="preserve">potentially limit an individual’s rights to a fair hearing and an effective remedy under articles 14(1) and 2(3) of the ICCPR respectively. </w:t>
      </w:r>
    </w:p>
    <w:p w14:paraId="0FB80EC2" w14:textId="703A6861" w:rsidR="002222AF" w:rsidRPr="00AA1A20" w:rsidRDefault="002222AF" w:rsidP="002222AF">
      <w:pPr>
        <w:pStyle w:val="ListNumber"/>
        <w:tabs>
          <w:tab w:val="clear" w:pos="360"/>
          <w:tab w:val="num" w:pos="993"/>
          <w:tab w:val="left" w:pos="1418"/>
        </w:tabs>
        <w:ind w:left="709" w:hanging="567"/>
        <w:rPr>
          <w:rFonts w:cs="Open Sans"/>
        </w:rPr>
      </w:pPr>
      <w:bookmarkStart w:id="166" w:name="_Ref526529695"/>
      <w:r w:rsidRPr="00AA1A20">
        <w:rPr>
          <w:rFonts w:cs="Open Sans"/>
        </w:rPr>
        <w:t>While judicial review is still available through other means, such as the High Court’s jurisdiction under</w:t>
      </w:r>
      <w:r w:rsidR="00205E36">
        <w:rPr>
          <w:rFonts w:cs="Open Sans"/>
        </w:rPr>
        <w:t xml:space="preserve"> s </w:t>
      </w:r>
      <w:r w:rsidRPr="00AA1A20">
        <w:rPr>
          <w:rFonts w:cs="Open Sans"/>
        </w:rPr>
        <w:t xml:space="preserve">75(v) of the </w:t>
      </w:r>
      <w:r w:rsidRPr="004818FF">
        <w:rPr>
          <w:rFonts w:cs="Open Sans"/>
          <w:i/>
        </w:rPr>
        <w:t>Australian Constitution</w:t>
      </w:r>
      <w:r w:rsidRPr="00AA1A20">
        <w:rPr>
          <w:rFonts w:cs="Open Sans"/>
        </w:rPr>
        <w:t xml:space="preserve"> or the Federal Court’s jurisdiction under</w:t>
      </w:r>
      <w:r w:rsidR="00205E36">
        <w:rPr>
          <w:rFonts w:cs="Open Sans"/>
        </w:rPr>
        <w:t xml:space="preserve"> s </w:t>
      </w:r>
      <w:r w:rsidRPr="00AA1A20">
        <w:rPr>
          <w:rFonts w:cs="Open Sans"/>
        </w:rPr>
        <w:t xml:space="preserve">39B(1) of the </w:t>
      </w:r>
      <w:r w:rsidRPr="00AA1A20">
        <w:rPr>
          <w:rFonts w:cs="Open Sans"/>
          <w:i/>
          <w:iCs/>
        </w:rPr>
        <w:t xml:space="preserve">Judiciary Act 1903 </w:t>
      </w:r>
      <w:r w:rsidRPr="00AA1A20">
        <w:rPr>
          <w:rFonts w:cs="Open Sans"/>
          <w:iCs/>
        </w:rPr>
        <w:t>(Cth)</w:t>
      </w:r>
      <w:r w:rsidRPr="00AA1A20">
        <w:rPr>
          <w:rFonts w:cs="Open Sans"/>
        </w:rPr>
        <w:t>, judicial review under the ADJR Act is comparatively more clear, straightforward and accessible.</w:t>
      </w:r>
      <w:r w:rsidRPr="00543C35">
        <w:rPr>
          <w:rStyle w:val="EndnoteReference"/>
          <w:vertAlign w:val="superscript"/>
        </w:rPr>
        <w:endnoteReference w:id="155"/>
      </w:r>
      <w:bookmarkEnd w:id="166"/>
    </w:p>
    <w:p w14:paraId="231AF0A2" w14:textId="47342A32" w:rsidR="002222AF" w:rsidRPr="00AA1A20" w:rsidRDefault="002222AF" w:rsidP="002222AF">
      <w:pPr>
        <w:pStyle w:val="ListNumber"/>
        <w:tabs>
          <w:tab w:val="clear" w:pos="360"/>
          <w:tab w:val="num" w:pos="993"/>
          <w:tab w:val="left" w:pos="1418"/>
        </w:tabs>
        <w:ind w:left="709" w:hanging="567"/>
        <w:rPr>
          <w:rFonts w:cs="Open Sans"/>
        </w:rPr>
      </w:pPr>
      <w:r w:rsidRPr="00AA1A20">
        <w:rPr>
          <w:rFonts w:cs="Open Sans"/>
        </w:rPr>
        <w:lastRenderedPageBreak/>
        <w:t>As discussed in paragraph [</w:t>
      </w:r>
      <w:r w:rsidRPr="00AA1A20">
        <w:rPr>
          <w:rFonts w:cs="Open Sans"/>
        </w:rPr>
        <w:fldChar w:fldCharType="begin"/>
      </w:r>
      <w:r w:rsidRPr="00AA1A20">
        <w:rPr>
          <w:rFonts w:cs="Open Sans"/>
        </w:rPr>
        <w:instrText xml:space="preserve"> REF _Ref524084261 \r \h </w:instrText>
      </w:r>
      <w:r>
        <w:rPr>
          <w:rFonts w:cs="Open Sans"/>
        </w:rPr>
        <w:instrText xml:space="preserve"> \* MERGEFORMAT </w:instrText>
      </w:r>
      <w:r w:rsidRPr="00AA1A20">
        <w:rPr>
          <w:rFonts w:cs="Open Sans"/>
        </w:rPr>
      </w:r>
      <w:r w:rsidRPr="00AA1A20">
        <w:rPr>
          <w:rFonts w:cs="Open Sans"/>
        </w:rPr>
        <w:fldChar w:fldCharType="separate"/>
      </w:r>
      <w:r w:rsidR="00372D72">
        <w:rPr>
          <w:rFonts w:cs="Open Sans"/>
        </w:rPr>
        <w:t>195</w:t>
      </w:r>
      <w:r w:rsidRPr="00AA1A20">
        <w:rPr>
          <w:rFonts w:cs="Open Sans"/>
        </w:rPr>
        <w:fldChar w:fldCharType="end"/>
      </w:r>
      <w:r w:rsidRPr="00AA1A20">
        <w:rPr>
          <w:rFonts w:cs="Open Sans"/>
        </w:rPr>
        <w:t xml:space="preserve">] of this submission, the various ambiguities contained in the </w:t>
      </w:r>
      <w:r>
        <w:rPr>
          <w:rFonts w:cs="Open Sans"/>
        </w:rPr>
        <w:t>Bill</w:t>
      </w:r>
      <w:r w:rsidRPr="00AA1A20">
        <w:rPr>
          <w:rFonts w:cs="Open Sans"/>
        </w:rPr>
        <w:t xml:space="preserve"> could lead to real questions about whether or not a notice is within power and therefore valid. Given the potential ambiguity of a provider’s legal obligations, yet the serious implications of non-compliance, the Commission considers that it is vital to have an accessible and efficient mechanism of review available. </w:t>
      </w:r>
    </w:p>
    <w:p w14:paraId="5B8E4D9E" w14:textId="6746B26F" w:rsidR="002222AF" w:rsidRPr="00AA1A20" w:rsidRDefault="002222AF" w:rsidP="002222AF">
      <w:pPr>
        <w:pStyle w:val="ListNumber"/>
        <w:tabs>
          <w:tab w:val="clear" w:pos="360"/>
          <w:tab w:val="num" w:pos="993"/>
          <w:tab w:val="left" w:pos="1418"/>
        </w:tabs>
        <w:ind w:left="709" w:hanging="567"/>
        <w:rPr>
          <w:rFonts w:cs="Open Sans"/>
        </w:rPr>
      </w:pPr>
      <w:bookmarkStart w:id="167" w:name="_Ref526539648"/>
      <w:r w:rsidRPr="00AA1A20">
        <w:rPr>
          <w:rFonts w:cs="Open Sans"/>
        </w:rPr>
        <w:t xml:space="preserve">Such a review process could operate at both the administrative and judicial level. For example, the </w:t>
      </w:r>
      <w:r>
        <w:rPr>
          <w:rFonts w:cs="Open Sans"/>
        </w:rPr>
        <w:t>Bill</w:t>
      </w:r>
      <w:r w:rsidRPr="00AA1A20">
        <w:rPr>
          <w:rFonts w:cs="Open Sans"/>
        </w:rPr>
        <w:t xml:space="preserve"> could be amended to permit merits </w:t>
      </w:r>
      <w:r w:rsidRPr="00AA1A20">
        <w:rPr>
          <w:rFonts w:cs="Open Sans"/>
          <w:lang w:eastAsia="en-US"/>
        </w:rPr>
        <w:t>review</w:t>
      </w:r>
      <w:r w:rsidRPr="00AA1A20">
        <w:rPr>
          <w:rFonts w:cs="Open Sans"/>
        </w:rPr>
        <w:t xml:space="preserve"> of a notice, as well as make judicial review available under the ADJR Act. Generally, the Commission considers that external merits review, as distinct from internal merits review, will enhance the independence and quality of a decision-making process.</w:t>
      </w:r>
      <w:bookmarkEnd w:id="167"/>
    </w:p>
    <w:p w14:paraId="7380B913" w14:textId="52EFCF14" w:rsidR="002222AF" w:rsidRPr="00C867C5" w:rsidRDefault="002222AF" w:rsidP="00CF0D1F">
      <w:pPr>
        <w:pStyle w:val="ListNumber"/>
        <w:tabs>
          <w:tab w:val="clear" w:pos="360"/>
          <w:tab w:val="num" w:pos="993"/>
          <w:tab w:val="left" w:pos="1418"/>
        </w:tabs>
        <w:ind w:left="709" w:hanging="567"/>
        <w:rPr>
          <w:rFonts w:cs="Open Sans"/>
        </w:rPr>
      </w:pPr>
      <w:r w:rsidRPr="00C867C5">
        <w:rPr>
          <w:rFonts w:cs="Open Sans"/>
        </w:rPr>
        <w:t xml:space="preserve">Lastly, the </w:t>
      </w:r>
      <w:r w:rsidRPr="00C867C5">
        <w:rPr>
          <w:rFonts w:cs="Open Sans"/>
          <w:lang w:eastAsia="en-US"/>
        </w:rPr>
        <w:t>Commission</w:t>
      </w:r>
      <w:r w:rsidRPr="00C867C5">
        <w:rPr>
          <w:rFonts w:cs="Open Sans"/>
        </w:rPr>
        <w:t xml:space="preserve"> considers that public reporting of the number of TARs, TANs and TCNs given every financial year under proposed</w:t>
      </w:r>
      <w:r w:rsidR="00205E36">
        <w:rPr>
          <w:rFonts w:cs="Open Sans"/>
        </w:rPr>
        <w:t xml:space="preserve"> s </w:t>
      </w:r>
      <w:r w:rsidRPr="00C867C5">
        <w:rPr>
          <w:rFonts w:cs="Open Sans"/>
        </w:rPr>
        <w:t xml:space="preserve">317ZS offers little effective accountability. Those metrics would provide no useful information to assess whether the requests and notices were issued appropriately—either in aggregate or individually. Stronger reporting requirements would enhance the proportionality of the powers. </w:t>
      </w:r>
    </w:p>
    <w:p w14:paraId="2C490E1B" w14:textId="1A224391" w:rsidR="002222AF" w:rsidRDefault="002222AF" w:rsidP="002222AF">
      <w:pPr>
        <w:pStyle w:val="ListNumber"/>
        <w:tabs>
          <w:tab w:val="clear" w:pos="360"/>
          <w:tab w:val="num" w:pos="993"/>
          <w:tab w:val="left" w:pos="1418"/>
        </w:tabs>
        <w:ind w:left="709" w:hanging="567"/>
        <w:rPr>
          <w:rFonts w:cs="Open Sans"/>
        </w:rPr>
      </w:pPr>
      <w:r w:rsidRPr="00AA1A20">
        <w:rPr>
          <w:rFonts w:cs="Open Sans"/>
        </w:rPr>
        <w:t>The Commission queries why more detailed reporting requirements are not feasible, such as a disaggregated summary of notices that redact</w:t>
      </w:r>
      <w:r w:rsidR="00982AF6">
        <w:rPr>
          <w:rFonts w:cs="Open Sans"/>
        </w:rPr>
        <w:t>s</w:t>
      </w:r>
      <w:r w:rsidRPr="00AA1A20">
        <w:rPr>
          <w:rFonts w:cs="Open Sans"/>
        </w:rPr>
        <w:t xml:space="preserve"> a</w:t>
      </w:r>
      <w:r w:rsidR="00982AF6">
        <w:rPr>
          <w:rFonts w:cs="Open Sans"/>
        </w:rPr>
        <w:t>ny sensitive</w:t>
      </w:r>
      <w:r w:rsidRPr="00AA1A20">
        <w:rPr>
          <w:rFonts w:cs="Open Sans"/>
        </w:rPr>
        <w:t xml:space="preserve"> </w:t>
      </w:r>
      <w:r w:rsidR="00982AF6">
        <w:rPr>
          <w:rFonts w:cs="Open Sans"/>
        </w:rPr>
        <w:t>information</w:t>
      </w:r>
      <w:r w:rsidRPr="00AA1A20">
        <w:rPr>
          <w:rFonts w:cs="Open Sans"/>
        </w:rPr>
        <w:t xml:space="preserve">. </w:t>
      </w:r>
      <w:r w:rsidR="00666CFE">
        <w:rPr>
          <w:rFonts w:cs="Open Sans"/>
        </w:rPr>
        <w:t xml:space="preserve">It considers that public reports should include as much information as </w:t>
      </w:r>
      <w:r>
        <w:rPr>
          <w:rFonts w:cs="Open Sans"/>
        </w:rPr>
        <w:t>possible</w:t>
      </w:r>
      <w:r w:rsidR="00666CFE">
        <w:rPr>
          <w:rFonts w:cs="Open Sans"/>
        </w:rPr>
        <w:t xml:space="preserve"> </w:t>
      </w:r>
      <w:r>
        <w:rPr>
          <w:rFonts w:cs="Open Sans"/>
        </w:rPr>
        <w:t xml:space="preserve">about the types of acts or things done by providers in compliance with a request or notice. </w:t>
      </w:r>
    </w:p>
    <w:p w14:paraId="09AEF38F" w14:textId="2F86DFAD" w:rsidR="002222AF" w:rsidRPr="00D20184" w:rsidRDefault="002222AF" w:rsidP="002222AF">
      <w:pPr>
        <w:pStyle w:val="ListNumber"/>
        <w:tabs>
          <w:tab w:val="clear" w:pos="360"/>
          <w:tab w:val="num" w:pos="993"/>
          <w:tab w:val="left" w:pos="1418"/>
        </w:tabs>
        <w:ind w:left="709" w:hanging="567"/>
        <w:rPr>
          <w:rFonts w:cs="Open Sans"/>
        </w:rPr>
      </w:pPr>
      <w:r w:rsidRPr="00AA1A20">
        <w:rPr>
          <w:rFonts w:cs="Open Sans"/>
        </w:rPr>
        <w:t xml:space="preserve">Further, </w:t>
      </w:r>
      <w:r w:rsidR="00D9618E">
        <w:rPr>
          <w:rFonts w:cs="Open Sans"/>
        </w:rPr>
        <w:t>the Commission</w:t>
      </w:r>
      <w:r w:rsidR="00D9618E" w:rsidRPr="00AA1A20">
        <w:rPr>
          <w:rFonts w:cs="Open Sans"/>
        </w:rPr>
        <w:t xml:space="preserve"> </w:t>
      </w:r>
      <w:r w:rsidRPr="00AA1A20">
        <w:rPr>
          <w:rFonts w:cs="Open Sans"/>
        </w:rPr>
        <w:t xml:space="preserve">sees no reason why certain disaggregated statistical </w:t>
      </w:r>
      <w:r w:rsidRPr="00AA1A20">
        <w:rPr>
          <w:rFonts w:cs="Open Sans"/>
          <w:lang w:eastAsia="en-US"/>
        </w:rPr>
        <w:t>information</w:t>
      </w:r>
      <w:r w:rsidRPr="00AA1A20">
        <w:rPr>
          <w:rFonts w:cs="Open Sans"/>
        </w:rPr>
        <w:t xml:space="preserve"> could not be provided, such as whether notices are active or expired, how many have been varied, and whether any are subject to legal challenge. Such information could increase transpare</w:t>
      </w:r>
      <w:r w:rsidR="00070831">
        <w:rPr>
          <w:rFonts w:cs="Open Sans"/>
        </w:rPr>
        <w:t>ncy without impacting operational requirements</w:t>
      </w:r>
      <w:r w:rsidRPr="00AA1A20">
        <w:rPr>
          <w:rFonts w:cs="Open Sans"/>
        </w:rPr>
        <w:t xml:space="preserve">. </w:t>
      </w:r>
    </w:p>
    <w:p w14:paraId="19270405" w14:textId="57009FFE" w:rsidR="002222AF" w:rsidRPr="00136E87" w:rsidRDefault="002222AF" w:rsidP="00976149">
      <w:pPr>
        <w:pStyle w:val="ListNumber"/>
        <w:tabs>
          <w:tab w:val="clear" w:pos="360"/>
          <w:tab w:val="num" w:pos="993"/>
          <w:tab w:val="left" w:pos="1418"/>
        </w:tabs>
        <w:ind w:left="709" w:hanging="567"/>
        <w:rPr>
          <w:rFonts w:cs="Open Sans"/>
        </w:rPr>
      </w:pPr>
      <w:r w:rsidRPr="00136E87">
        <w:rPr>
          <w:shd w:val="clear" w:color="auto" w:fill="FFFFFF"/>
          <w:lang w:eastAsia="en-US"/>
        </w:rPr>
        <w:t>The Commission notes the detailed reporting requirements provided for under</w:t>
      </w:r>
      <w:r w:rsidR="00205E36">
        <w:rPr>
          <w:shd w:val="clear" w:color="auto" w:fill="FFFFFF"/>
          <w:lang w:eastAsia="en-US"/>
        </w:rPr>
        <w:t xml:space="preserve"> ss </w:t>
      </w:r>
      <w:r w:rsidRPr="00136E87">
        <w:rPr>
          <w:shd w:val="clear" w:color="auto" w:fill="FFFFFF"/>
          <w:lang w:eastAsia="en-US"/>
        </w:rPr>
        <w:t>99–103B of the TIA Act and</w:t>
      </w:r>
      <w:r w:rsidR="00205E36">
        <w:rPr>
          <w:shd w:val="clear" w:color="auto" w:fill="FFFFFF"/>
          <w:lang w:eastAsia="en-US"/>
        </w:rPr>
        <w:t xml:space="preserve"> s </w:t>
      </w:r>
      <w:r w:rsidRPr="00136E87">
        <w:rPr>
          <w:shd w:val="clear" w:color="auto" w:fill="FFFFFF"/>
          <w:lang w:eastAsia="en-US"/>
        </w:rPr>
        <w:t xml:space="preserve">50 of the SD Act. </w:t>
      </w:r>
      <w:r w:rsidRPr="00136E87">
        <w:rPr>
          <w:iCs/>
          <w:bdr w:val="none" w:sz="0" w:space="0" w:color="auto" w:frame="1"/>
          <w:lang w:eastAsia="en-US"/>
        </w:rPr>
        <w:t xml:space="preserve">While similarly sensitive, these </w:t>
      </w:r>
      <w:r w:rsidRPr="00976149">
        <w:rPr>
          <w:rFonts w:cs="Open Sans"/>
        </w:rPr>
        <w:t>provisions</w:t>
      </w:r>
      <w:r w:rsidRPr="00136E87">
        <w:rPr>
          <w:iCs/>
          <w:bdr w:val="none" w:sz="0" w:space="0" w:color="auto" w:frame="1"/>
          <w:lang w:eastAsia="en-US"/>
        </w:rPr>
        <w:t xml:space="preserve"> </w:t>
      </w:r>
      <w:r w:rsidR="00982AF6">
        <w:rPr>
          <w:iCs/>
          <w:bdr w:val="none" w:sz="0" w:space="0" w:color="auto" w:frame="1"/>
          <w:lang w:eastAsia="en-US"/>
        </w:rPr>
        <w:t>provide</w:t>
      </w:r>
      <w:r w:rsidRPr="00136E87">
        <w:rPr>
          <w:iCs/>
          <w:bdr w:val="none" w:sz="0" w:space="0" w:color="auto" w:frame="1"/>
          <w:lang w:eastAsia="en-US"/>
        </w:rPr>
        <w:t xml:space="preserve"> for far more detailed annual public reporting by the relevant agencies. This includes reporting of information</w:t>
      </w:r>
      <w:r w:rsidRPr="00136E87">
        <w:rPr>
          <w:shd w:val="clear" w:color="auto" w:fill="FFFFFF"/>
          <w:lang w:eastAsia="en-US"/>
        </w:rPr>
        <w:t xml:space="preserve"> about how many applications for </w:t>
      </w:r>
      <w:r w:rsidR="00136E87" w:rsidRPr="00136E87">
        <w:rPr>
          <w:shd w:val="clear" w:color="auto" w:fill="FFFFFF"/>
          <w:lang w:eastAsia="en-US"/>
        </w:rPr>
        <w:t xml:space="preserve">relevant </w:t>
      </w:r>
      <w:r w:rsidRPr="00136E87">
        <w:rPr>
          <w:shd w:val="clear" w:color="auto" w:fill="FFFFFF"/>
          <w:lang w:eastAsia="en-US"/>
        </w:rPr>
        <w:t>warrants were made (broken down by particular warrant type)</w:t>
      </w:r>
      <w:r w:rsidR="00D9618E">
        <w:rPr>
          <w:shd w:val="clear" w:color="auto" w:fill="FFFFFF"/>
          <w:lang w:eastAsia="en-US"/>
        </w:rPr>
        <w:t>,</w:t>
      </w:r>
      <w:r w:rsidRPr="00136E87">
        <w:rPr>
          <w:shd w:val="clear" w:color="auto" w:fill="FFFFFF"/>
          <w:lang w:eastAsia="en-US"/>
        </w:rPr>
        <w:t xml:space="preserve"> the number of warrants issued, the durations of the warrants issued, the number of arrests made under the warrants, the number of prosecutions for relevant offences commenced, the expenditure of agencies in relation to executions of warrants. The Commission notes </w:t>
      </w:r>
      <w:r w:rsidRPr="00136E87">
        <w:rPr>
          <w:rFonts w:cs="Open Sans"/>
        </w:rPr>
        <w:t xml:space="preserve">that similar comments were made by the OAIC in its submission to the Department on the </w:t>
      </w:r>
      <w:r w:rsidR="0025478F">
        <w:rPr>
          <w:rFonts w:cs="Open Sans"/>
        </w:rPr>
        <w:t>Exposure Draft</w:t>
      </w:r>
      <w:r w:rsidRPr="00136E87">
        <w:rPr>
          <w:rFonts w:cs="Open Sans"/>
        </w:rPr>
        <w:t xml:space="preserve"> of the Bill.</w:t>
      </w:r>
      <w:r w:rsidRPr="004C6E53">
        <w:rPr>
          <w:rStyle w:val="EndnoteReference"/>
          <w:sz w:val="24"/>
          <w:szCs w:val="24"/>
          <w:vertAlign w:val="superscript"/>
        </w:rPr>
        <w:endnoteReference w:id="156"/>
      </w:r>
      <w:r w:rsidR="0038253F">
        <w:rPr>
          <w:rFonts w:cs="Open Sans"/>
        </w:rPr>
        <w:t xml:space="preserve"> </w:t>
      </w:r>
    </w:p>
    <w:p w14:paraId="3B520D9A" w14:textId="3E3EFBBF" w:rsidR="005403B8" w:rsidRPr="00976149" w:rsidRDefault="002222AF" w:rsidP="002222AF">
      <w:pPr>
        <w:pStyle w:val="ListNumber"/>
        <w:tabs>
          <w:tab w:val="clear" w:pos="360"/>
          <w:tab w:val="num" w:pos="993"/>
          <w:tab w:val="left" w:pos="1418"/>
        </w:tabs>
        <w:ind w:left="709" w:hanging="567"/>
        <w:rPr>
          <w:rFonts w:cs="Open Sans"/>
          <w:lang w:val="en-US"/>
        </w:rPr>
      </w:pPr>
      <w:r>
        <w:rPr>
          <w:rFonts w:cs="Open Sans"/>
        </w:rPr>
        <w:lastRenderedPageBreak/>
        <w:t>A further significant gap in the reporting r</w:t>
      </w:r>
      <w:r w:rsidR="00136E87">
        <w:rPr>
          <w:rFonts w:cs="Open Sans"/>
        </w:rPr>
        <w:t>equirements is that proposed</w:t>
      </w:r>
      <w:r w:rsidR="00205E36">
        <w:rPr>
          <w:rFonts w:cs="Open Sans"/>
        </w:rPr>
        <w:t xml:space="preserve"> s </w:t>
      </w:r>
      <w:r>
        <w:rPr>
          <w:rFonts w:cs="Open Sans"/>
        </w:rPr>
        <w:t xml:space="preserve">317ZS only requires reporting on TARs and TANs given by the chief officers of ‘interception agencies’, and </w:t>
      </w:r>
      <w:r w:rsidR="00D9618E">
        <w:rPr>
          <w:rFonts w:cs="Open Sans"/>
        </w:rPr>
        <w:t xml:space="preserve">on </w:t>
      </w:r>
      <w:r>
        <w:rPr>
          <w:rFonts w:cs="Open Sans"/>
        </w:rPr>
        <w:t xml:space="preserve">TCNs given and directed towards </w:t>
      </w:r>
      <w:r w:rsidRPr="003D5996">
        <w:rPr>
          <w:rFonts w:cs="Open Sans"/>
          <w:lang w:val="en-US"/>
        </w:rPr>
        <w:t xml:space="preserve">ensuring </w:t>
      </w:r>
      <w:r>
        <w:rPr>
          <w:rFonts w:cs="Open Sans"/>
          <w:lang w:val="en-US"/>
        </w:rPr>
        <w:t>a provider is</w:t>
      </w:r>
      <w:r w:rsidRPr="003D5996">
        <w:rPr>
          <w:rFonts w:cs="Open Sans"/>
          <w:lang w:val="en-US"/>
        </w:rPr>
        <w:t xml:space="preserve"> capable of giving help </w:t>
      </w:r>
      <w:r>
        <w:rPr>
          <w:rFonts w:cs="Open Sans"/>
          <w:lang w:val="en-US"/>
        </w:rPr>
        <w:t>to</w:t>
      </w:r>
      <w:r w:rsidRPr="003D5996">
        <w:rPr>
          <w:rFonts w:cs="Open Sans"/>
          <w:lang w:val="en-US"/>
        </w:rPr>
        <w:t xml:space="preserve"> </w:t>
      </w:r>
      <w:r w:rsidR="00976149">
        <w:rPr>
          <w:rFonts w:cs="Open Sans"/>
          <w:lang w:val="en-US"/>
        </w:rPr>
        <w:t>‘</w:t>
      </w:r>
      <w:r w:rsidRPr="003D5996">
        <w:rPr>
          <w:rFonts w:cs="Open Sans"/>
          <w:lang w:val="en-US"/>
        </w:rPr>
        <w:t>interception agencies</w:t>
      </w:r>
      <w:r w:rsidR="00976149">
        <w:rPr>
          <w:rFonts w:cs="Open Sans"/>
          <w:lang w:val="en-US"/>
        </w:rPr>
        <w:t>’</w:t>
      </w:r>
      <w:r>
        <w:rPr>
          <w:rFonts w:cs="Open Sans"/>
          <w:lang w:val="en-US"/>
        </w:rPr>
        <w:t xml:space="preserve">. </w:t>
      </w:r>
    </w:p>
    <w:p w14:paraId="7B54AF5E" w14:textId="076B8328" w:rsidR="002222AF" w:rsidRPr="00AA1A20" w:rsidRDefault="005403B8" w:rsidP="002222AF">
      <w:pPr>
        <w:pStyle w:val="ListNumber"/>
        <w:tabs>
          <w:tab w:val="clear" w:pos="360"/>
          <w:tab w:val="num" w:pos="993"/>
          <w:tab w:val="left" w:pos="1418"/>
        </w:tabs>
        <w:ind w:left="709" w:hanging="567"/>
        <w:rPr>
          <w:rFonts w:cs="Open Sans"/>
        </w:rPr>
      </w:pPr>
      <w:r>
        <w:rPr>
          <w:rFonts w:cs="Open Sans"/>
          <w:lang w:val="en-US"/>
        </w:rPr>
        <w:t xml:space="preserve">Pursuant to the definition of </w:t>
      </w:r>
      <w:r w:rsidR="009C5C8B">
        <w:rPr>
          <w:rFonts w:cs="Open Sans"/>
          <w:lang w:val="en-US"/>
        </w:rPr>
        <w:t>‘</w:t>
      </w:r>
      <w:r>
        <w:rPr>
          <w:rFonts w:cs="Open Sans"/>
          <w:lang w:val="en-US"/>
        </w:rPr>
        <w:t>interception agencies</w:t>
      </w:r>
      <w:r w:rsidR="009C5C8B">
        <w:rPr>
          <w:rFonts w:cs="Open Sans"/>
          <w:lang w:val="en-US"/>
        </w:rPr>
        <w:t>’</w:t>
      </w:r>
      <w:r>
        <w:rPr>
          <w:rFonts w:cs="Open Sans"/>
          <w:lang w:val="en-US"/>
        </w:rPr>
        <w:t>, this</w:t>
      </w:r>
      <w:r w:rsidR="002222AF">
        <w:rPr>
          <w:rFonts w:cs="Open Sans"/>
          <w:lang w:val="en-US"/>
        </w:rPr>
        <w:t xml:space="preserve"> section appears</w:t>
      </w:r>
      <w:r w:rsidR="00E82F65">
        <w:rPr>
          <w:rFonts w:cs="Open Sans"/>
          <w:lang w:val="en-US"/>
        </w:rPr>
        <w:t>, therefore,</w:t>
      </w:r>
      <w:r w:rsidR="002222AF">
        <w:rPr>
          <w:rFonts w:cs="Open Sans"/>
          <w:lang w:val="en-US"/>
        </w:rPr>
        <w:t xml:space="preserve"> not</w:t>
      </w:r>
      <w:r w:rsidR="00982AF6">
        <w:rPr>
          <w:rFonts w:cs="Open Sans"/>
          <w:lang w:val="en-US"/>
        </w:rPr>
        <w:t xml:space="preserve"> to</w:t>
      </w:r>
      <w:r w:rsidR="002222AF">
        <w:rPr>
          <w:rFonts w:cs="Open Sans"/>
          <w:lang w:val="en-US"/>
        </w:rPr>
        <w:t xml:space="preserve"> extend to intelligence agencies such as ASIO, ASD or ASIS. The Commission considers that reporting requirements are an important safeguard to enhance oversight, and queries why only interception agencies are covered. </w:t>
      </w:r>
      <w:r w:rsidR="002222AF" w:rsidRPr="000A4B7E">
        <w:rPr>
          <w:rFonts w:cs="Open Sans"/>
        </w:rPr>
        <w:t>The Commission notes</w:t>
      </w:r>
      <w:r w:rsidR="002222AF">
        <w:rPr>
          <w:rFonts w:cs="Open Sans"/>
        </w:rPr>
        <w:t xml:space="preserve"> that</w:t>
      </w:r>
      <w:r w:rsidR="002222AF" w:rsidRPr="000A4B7E">
        <w:rPr>
          <w:rFonts w:cs="Open Sans"/>
        </w:rPr>
        <w:t xml:space="preserve"> similar comments </w:t>
      </w:r>
      <w:r w:rsidR="002222AF">
        <w:rPr>
          <w:rFonts w:cs="Open Sans"/>
        </w:rPr>
        <w:t xml:space="preserve">were </w:t>
      </w:r>
      <w:r w:rsidR="002222AF" w:rsidRPr="000A4B7E">
        <w:rPr>
          <w:rFonts w:cs="Open Sans"/>
        </w:rPr>
        <w:t xml:space="preserve">made by </w:t>
      </w:r>
      <w:r w:rsidR="002222AF">
        <w:rPr>
          <w:rFonts w:cs="Open Sans"/>
        </w:rPr>
        <w:t xml:space="preserve">the </w:t>
      </w:r>
      <w:r w:rsidR="002222AF" w:rsidRPr="000A4B7E">
        <w:rPr>
          <w:rFonts w:cs="Open Sans"/>
        </w:rPr>
        <w:t xml:space="preserve">IGIS in its submission to the Department on the </w:t>
      </w:r>
      <w:r w:rsidR="0025478F">
        <w:rPr>
          <w:rFonts w:cs="Open Sans"/>
        </w:rPr>
        <w:t>Exposure Draft</w:t>
      </w:r>
      <w:r w:rsidR="002222AF" w:rsidRPr="000A4B7E">
        <w:rPr>
          <w:rFonts w:cs="Open Sans"/>
        </w:rPr>
        <w:t xml:space="preserve"> of the Bill</w:t>
      </w:r>
      <w:r w:rsidR="002222AF">
        <w:rPr>
          <w:rFonts w:cs="Open Sans"/>
        </w:rPr>
        <w:t xml:space="preserve">, with </w:t>
      </w:r>
      <w:r w:rsidR="00B434C5">
        <w:rPr>
          <w:rFonts w:cs="Open Sans"/>
        </w:rPr>
        <w:t xml:space="preserve">the </w:t>
      </w:r>
      <w:r w:rsidR="002222AF">
        <w:rPr>
          <w:rFonts w:cs="Open Sans"/>
        </w:rPr>
        <w:t xml:space="preserve">IGIS recommending classified (rather than public) reporting requirements </w:t>
      </w:r>
      <w:r w:rsidR="008B7AFF">
        <w:rPr>
          <w:rFonts w:cs="Open Sans"/>
        </w:rPr>
        <w:t xml:space="preserve">for intelligence agencies </w:t>
      </w:r>
      <w:r w:rsidR="009C096C">
        <w:rPr>
          <w:rFonts w:cs="Open Sans"/>
        </w:rPr>
        <w:t>to the relevant Ministers as well as</w:t>
      </w:r>
      <w:r w:rsidR="00B434C5">
        <w:rPr>
          <w:rFonts w:cs="Open Sans"/>
        </w:rPr>
        <w:t xml:space="preserve"> the</w:t>
      </w:r>
      <w:r w:rsidR="002222AF">
        <w:rPr>
          <w:rFonts w:cs="Open Sans"/>
        </w:rPr>
        <w:t xml:space="preserve"> IGIS</w:t>
      </w:r>
      <w:r w:rsidR="002222AF" w:rsidRPr="000A4B7E">
        <w:rPr>
          <w:rFonts w:cs="Open Sans"/>
        </w:rPr>
        <w:t>.</w:t>
      </w:r>
      <w:r w:rsidR="002222AF" w:rsidRPr="00A451C5">
        <w:rPr>
          <w:rStyle w:val="EndnoteReference"/>
          <w:vertAlign w:val="superscript"/>
        </w:rPr>
        <w:endnoteReference w:id="157"/>
      </w:r>
    </w:p>
    <w:p w14:paraId="7AD89BC9" w14:textId="77777777" w:rsidR="002222AF" w:rsidRPr="00AA1A20" w:rsidRDefault="002222AF" w:rsidP="00E77015">
      <w:pPr>
        <w:pStyle w:val="ListNumber"/>
        <w:keepNext/>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recommends that:</w:t>
      </w:r>
    </w:p>
    <w:p w14:paraId="62DD6AEC" w14:textId="69E18BAD" w:rsidR="002222AF" w:rsidRPr="00AA1A20" w:rsidRDefault="002222AF" w:rsidP="00B434C5">
      <w:pPr>
        <w:pStyle w:val="ListNumber"/>
        <w:keepNext/>
        <w:numPr>
          <w:ilvl w:val="0"/>
          <w:numId w:val="0"/>
        </w:numPr>
        <w:ind w:left="720"/>
        <w:rPr>
          <w:rFonts w:cs="Open Sans"/>
          <w:b/>
        </w:rPr>
      </w:pPr>
      <w:r w:rsidRPr="00AA1A20">
        <w:rPr>
          <w:rFonts w:cs="Open Sans"/>
          <w:b/>
        </w:rPr>
        <w:t xml:space="preserve">Recommendation </w:t>
      </w:r>
      <w:r w:rsidR="003E54A3" w:rsidRPr="00AA1A20">
        <w:rPr>
          <w:rFonts w:cs="Open Sans"/>
          <w:b/>
        </w:rPr>
        <w:t>2</w:t>
      </w:r>
      <w:r w:rsidR="003E54A3">
        <w:rPr>
          <w:rFonts w:cs="Open Sans"/>
          <w:b/>
        </w:rPr>
        <w:t>8</w:t>
      </w:r>
    </w:p>
    <w:p w14:paraId="635BD824" w14:textId="77777777" w:rsidR="002222AF" w:rsidRPr="00AA1A20" w:rsidRDefault="002222AF" w:rsidP="002222AF">
      <w:pPr>
        <w:pStyle w:val="ListNumber"/>
        <w:numPr>
          <w:ilvl w:val="0"/>
          <w:numId w:val="0"/>
        </w:numPr>
        <w:ind w:left="720"/>
        <w:rPr>
          <w:rFonts w:cs="Open Sans"/>
        </w:rPr>
      </w:pPr>
      <w:r w:rsidRPr="00AA1A20">
        <w:rPr>
          <w:rFonts w:cs="Open Sans"/>
        </w:rPr>
        <w:t xml:space="preserve">Proposed new Pt 15 of the </w:t>
      </w:r>
      <w:r w:rsidRPr="00AA1A20">
        <w:rPr>
          <w:rFonts w:cs="Open Sans"/>
          <w:i/>
        </w:rPr>
        <w:t xml:space="preserve">Telecommunications Act 1997 </w:t>
      </w:r>
      <w:r w:rsidRPr="00AA1A20">
        <w:rPr>
          <w:rFonts w:cs="Open Sans"/>
        </w:rPr>
        <w:t>(Cth) be amended to require judicial authorisation for the giving or varying of notices, potentially through existing warrant processes or otherwise through another form of independent judicial oversight.</w:t>
      </w:r>
    </w:p>
    <w:p w14:paraId="557FD94F" w14:textId="0CB86D54" w:rsidR="002222AF" w:rsidRPr="00AA1A20" w:rsidRDefault="00BC2929" w:rsidP="00E77015">
      <w:pPr>
        <w:pStyle w:val="ListNumber"/>
        <w:keepNext/>
        <w:numPr>
          <w:ilvl w:val="0"/>
          <w:numId w:val="0"/>
        </w:numPr>
        <w:ind w:left="720"/>
        <w:rPr>
          <w:rFonts w:cs="Open Sans"/>
          <w:b/>
        </w:rPr>
      </w:pPr>
      <w:r>
        <w:rPr>
          <w:rFonts w:cs="Open Sans"/>
          <w:b/>
        </w:rPr>
        <w:t xml:space="preserve">Recommendation </w:t>
      </w:r>
      <w:r w:rsidR="003E54A3">
        <w:rPr>
          <w:rFonts w:cs="Open Sans"/>
          <w:b/>
        </w:rPr>
        <w:t>29</w:t>
      </w:r>
    </w:p>
    <w:p w14:paraId="24C08BAF" w14:textId="2306C79B" w:rsidR="002222AF" w:rsidRPr="00AA1A20" w:rsidRDefault="00755ADA" w:rsidP="002222AF">
      <w:pPr>
        <w:pStyle w:val="ListNumber"/>
        <w:numPr>
          <w:ilvl w:val="0"/>
          <w:numId w:val="0"/>
        </w:numPr>
        <w:ind w:left="720"/>
        <w:rPr>
          <w:rFonts w:cs="Open Sans"/>
        </w:rPr>
      </w:pPr>
      <w:r>
        <w:rPr>
          <w:rFonts w:cs="Open Sans"/>
        </w:rPr>
        <w:t>In the event that Recommendation 2</w:t>
      </w:r>
      <w:r w:rsidR="00D7469A">
        <w:rPr>
          <w:rFonts w:cs="Open Sans"/>
        </w:rPr>
        <w:t>8</w:t>
      </w:r>
      <w:r>
        <w:rPr>
          <w:rFonts w:cs="Open Sans"/>
        </w:rPr>
        <w:t xml:space="preserve"> is not accepted, </w:t>
      </w:r>
      <w:r w:rsidR="002222AF" w:rsidRPr="00AA1A20">
        <w:rPr>
          <w:rFonts w:cs="Open Sans"/>
        </w:rPr>
        <w:t>proposed</w:t>
      </w:r>
      <w:r w:rsidR="00205E36">
        <w:rPr>
          <w:rFonts w:cs="Open Sans"/>
        </w:rPr>
        <w:t xml:space="preserve"> ss </w:t>
      </w:r>
      <w:r w:rsidR="002222AF" w:rsidRPr="00AA1A20">
        <w:rPr>
          <w:rFonts w:cs="Open Sans"/>
        </w:rPr>
        <w:t xml:space="preserve">317ZN–ZR of the </w:t>
      </w:r>
      <w:r w:rsidR="002222AF" w:rsidRPr="00AA1A20">
        <w:rPr>
          <w:rFonts w:cs="Open Sans"/>
          <w:i/>
        </w:rPr>
        <w:t xml:space="preserve">Telecommunications Act 1997 </w:t>
      </w:r>
      <w:r w:rsidR="002222AF" w:rsidRPr="00AA1A20">
        <w:rPr>
          <w:rFonts w:cs="Open Sans"/>
        </w:rPr>
        <w:t xml:space="preserve">(Cth) </w:t>
      </w:r>
      <w:r w:rsidR="00854AD0">
        <w:rPr>
          <w:rFonts w:cs="Open Sans"/>
        </w:rPr>
        <w:t xml:space="preserve">be amended </w:t>
      </w:r>
      <w:r w:rsidR="002222AF" w:rsidRPr="00AA1A20">
        <w:rPr>
          <w:rFonts w:cs="Open Sans"/>
        </w:rPr>
        <w:t>to restrict delegations of power to a further limited range of senior executives, for example persons who are directly responsible to the relevant chief officer.</w:t>
      </w:r>
    </w:p>
    <w:p w14:paraId="09BB8634" w14:textId="672C0D95" w:rsidR="002222AF" w:rsidRPr="00AA1A20" w:rsidRDefault="00BC2929" w:rsidP="00E77015">
      <w:pPr>
        <w:pStyle w:val="ListNumber"/>
        <w:keepNext/>
        <w:numPr>
          <w:ilvl w:val="0"/>
          <w:numId w:val="0"/>
        </w:numPr>
        <w:ind w:left="720"/>
        <w:rPr>
          <w:rFonts w:cs="Open Sans"/>
          <w:b/>
        </w:rPr>
      </w:pPr>
      <w:r>
        <w:rPr>
          <w:rFonts w:cs="Open Sans"/>
          <w:b/>
        </w:rPr>
        <w:t>Recommendation 3</w:t>
      </w:r>
      <w:r w:rsidR="003E54A3">
        <w:rPr>
          <w:rFonts w:cs="Open Sans"/>
          <w:b/>
        </w:rPr>
        <w:t>0</w:t>
      </w:r>
    </w:p>
    <w:p w14:paraId="7A183342" w14:textId="2011FA74" w:rsidR="002222AF" w:rsidRPr="00AA1A20" w:rsidRDefault="002222AF" w:rsidP="002222AF">
      <w:pPr>
        <w:pStyle w:val="ListNumber"/>
        <w:numPr>
          <w:ilvl w:val="0"/>
          <w:numId w:val="0"/>
        </w:numPr>
        <w:ind w:left="720"/>
        <w:rPr>
          <w:rFonts w:cs="Open Sans"/>
        </w:rPr>
      </w:pPr>
      <w:r w:rsidRPr="00AA1A20">
        <w:rPr>
          <w:rFonts w:cs="Open Sans"/>
        </w:rPr>
        <w:t xml:space="preserve">The </w:t>
      </w:r>
      <w:r>
        <w:rPr>
          <w:rFonts w:cs="Open Sans"/>
        </w:rPr>
        <w:t>Bill</w:t>
      </w:r>
      <w:r w:rsidRPr="00AA1A20">
        <w:rPr>
          <w:rFonts w:cs="Open Sans"/>
        </w:rPr>
        <w:t xml:space="preserve"> should be amended to allow </w:t>
      </w:r>
      <w:r w:rsidRPr="00AA1A20">
        <w:rPr>
          <w:rFonts w:cs="Open Sans"/>
          <w:i/>
        </w:rPr>
        <w:t xml:space="preserve">Administrative Decisions (Judicial Review) Act 1977 </w:t>
      </w:r>
      <w:r w:rsidRPr="00AA1A20">
        <w:rPr>
          <w:rFonts w:cs="Open Sans"/>
        </w:rPr>
        <w:t xml:space="preserve">(Cth) review of all or some decisions made under proposed Pt 15 of the </w:t>
      </w:r>
      <w:r w:rsidRPr="00AA1A20">
        <w:rPr>
          <w:rFonts w:cs="Open Sans"/>
          <w:i/>
        </w:rPr>
        <w:t xml:space="preserve">Telecommunications Act 1997 </w:t>
      </w:r>
      <w:r w:rsidRPr="00AA1A20">
        <w:rPr>
          <w:rFonts w:cs="Open Sans"/>
        </w:rPr>
        <w:t>(Cth).</w:t>
      </w:r>
    </w:p>
    <w:p w14:paraId="0D7357ED" w14:textId="6CC1E823" w:rsidR="002222AF" w:rsidRPr="00AA1A20" w:rsidRDefault="00BC2929" w:rsidP="00E77015">
      <w:pPr>
        <w:pStyle w:val="ListNumber"/>
        <w:keepNext/>
        <w:numPr>
          <w:ilvl w:val="0"/>
          <w:numId w:val="0"/>
        </w:numPr>
        <w:ind w:left="720"/>
        <w:rPr>
          <w:rFonts w:cs="Open Sans"/>
          <w:b/>
        </w:rPr>
      </w:pPr>
      <w:r>
        <w:rPr>
          <w:rFonts w:cs="Open Sans"/>
          <w:b/>
        </w:rPr>
        <w:t>Recommendation 3</w:t>
      </w:r>
      <w:r w:rsidR="003E54A3">
        <w:rPr>
          <w:rFonts w:cs="Open Sans"/>
          <w:b/>
        </w:rPr>
        <w:t>1</w:t>
      </w:r>
    </w:p>
    <w:p w14:paraId="1D00D6C6" w14:textId="77777777" w:rsidR="002222AF" w:rsidRPr="00AA1A20" w:rsidRDefault="002222AF" w:rsidP="002222AF">
      <w:pPr>
        <w:pStyle w:val="ListNumber"/>
        <w:numPr>
          <w:ilvl w:val="0"/>
          <w:numId w:val="0"/>
        </w:numPr>
        <w:ind w:left="720"/>
        <w:rPr>
          <w:rFonts w:cs="Open Sans"/>
        </w:rPr>
      </w:pPr>
      <w:r w:rsidRPr="00AA1A20">
        <w:rPr>
          <w:rFonts w:cs="Open Sans"/>
        </w:rPr>
        <w:t xml:space="preserve">Proposed Pt 15 of the </w:t>
      </w:r>
      <w:r w:rsidRPr="00AA1A20">
        <w:rPr>
          <w:rFonts w:cs="Open Sans"/>
          <w:i/>
        </w:rPr>
        <w:t xml:space="preserve">Telecommunications Act 1997 </w:t>
      </w:r>
      <w:r w:rsidRPr="00AA1A20">
        <w:rPr>
          <w:rFonts w:cs="Open Sans"/>
        </w:rPr>
        <w:t>(Cth) be amended to provide an avenue or mechanism for the administrative review of decisions made under Pt 15.</w:t>
      </w:r>
    </w:p>
    <w:p w14:paraId="378EBBD4" w14:textId="0F25ECD0" w:rsidR="002222AF" w:rsidRPr="00AA1A20" w:rsidRDefault="002222AF" w:rsidP="00E77015">
      <w:pPr>
        <w:pStyle w:val="ListNumber"/>
        <w:keepNext/>
        <w:numPr>
          <w:ilvl w:val="0"/>
          <w:numId w:val="0"/>
        </w:numPr>
        <w:ind w:left="720"/>
        <w:rPr>
          <w:rFonts w:cs="Open Sans"/>
          <w:b/>
        </w:rPr>
      </w:pPr>
      <w:r w:rsidRPr="00143DBB">
        <w:rPr>
          <w:rFonts w:cs="Open Sans"/>
          <w:b/>
        </w:rPr>
        <w:t xml:space="preserve">Recommendation </w:t>
      </w:r>
      <w:r w:rsidR="00BC2929">
        <w:rPr>
          <w:rFonts w:cs="Open Sans"/>
          <w:b/>
        </w:rPr>
        <w:t>3</w:t>
      </w:r>
      <w:r w:rsidR="003E54A3">
        <w:rPr>
          <w:rFonts w:cs="Open Sans"/>
          <w:b/>
        </w:rPr>
        <w:t>2</w:t>
      </w:r>
    </w:p>
    <w:p w14:paraId="79C87A5F" w14:textId="0D6F386B" w:rsidR="002222AF" w:rsidRDefault="002222AF" w:rsidP="002222AF">
      <w:pPr>
        <w:pStyle w:val="ListNumber"/>
        <w:numPr>
          <w:ilvl w:val="0"/>
          <w:numId w:val="0"/>
        </w:numPr>
        <w:ind w:left="720"/>
        <w:rPr>
          <w:rFonts w:cs="Open Sans"/>
        </w:rPr>
      </w:pPr>
      <w:r w:rsidRPr="00AA1A20">
        <w:rPr>
          <w:rFonts w:cs="Open Sans"/>
        </w:rPr>
        <w:t>Proposed</w:t>
      </w:r>
      <w:r w:rsidR="00205E36">
        <w:rPr>
          <w:rFonts w:cs="Open Sans"/>
        </w:rPr>
        <w:t xml:space="preserve"> s </w:t>
      </w:r>
      <w:r w:rsidRPr="00AA1A20">
        <w:rPr>
          <w:rFonts w:cs="Open Sans"/>
        </w:rPr>
        <w:t xml:space="preserve">317ZS of the </w:t>
      </w:r>
      <w:r w:rsidRPr="00AA1A20">
        <w:rPr>
          <w:rFonts w:cs="Open Sans"/>
          <w:i/>
        </w:rPr>
        <w:t xml:space="preserve">Telecommunications Act 1997 </w:t>
      </w:r>
      <w:r w:rsidRPr="00AA1A20">
        <w:rPr>
          <w:rFonts w:cs="Open Sans"/>
        </w:rPr>
        <w:t xml:space="preserve">(Cth) be amended to require public reporting of </w:t>
      </w:r>
      <w:r>
        <w:rPr>
          <w:rFonts w:cs="Open Sans"/>
        </w:rPr>
        <w:t>more detailed statistical and other</w:t>
      </w:r>
      <w:r w:rsidRPr="00AA1A20">
        <w:rPr>
          <w:rFonts w:cs="Open Sans"/>
        </w:rPr>
        <w:t xml:space="preserve"> information about requests and notices under proposed new Pt 15 of the </w:t>
      </w:r>
      <w:r w:rsidRPr="00AA1A20">
        <w:rPr>
          <w:rFonts w:cs="Open Sans"/>
          <w:i/>
        </w:rPr>
        <w:t xml:space="preserve">Telecommunications Act 1997 </w:t>
      </w:r>
      <w:r w:rsidRPr="00AA1A20">
        <w:rPr>
          <w:rFonts w:cs="Open Sans"/>
        </w:rPr>
        <w:t xml:space="preserve">(Cth), </w:t>
      </w:r>
      <w:r>
        <w:rPr>
          <w:rFonts w:cs="Open Sans"/>
        </w:rPr>
        <w:t xml:space="preserve">including: the number of requests and </w:t>
      </w:r>
      <w:r>
        <w:rPr>
          <w:rFonts w:cs="Open Sans"/>
        </w:rPr>
        <w:lastRenderedPageBreak/>
        <w:t xml:space="preserve">notices considered, </w:t>
      </w:r>
      <w:r w:rsidRPr="00AA1A20">
        <w:rPr>
          <w:rFonts w:cs="Open Sans"/>
        </w:rPr>
        <w:t>given</w:t>
      </w:r>
      <w:r>
        <w:rPr>
          <w:rFonts w:cs="Open Sans"/>
        </w:rPr>
        <w:t>, varied, revoked, expired and refused or challenged; the durations of the</w:t>
      </w:r>
      <w:r w:rsidR="00755ADA">
        <w:rPr>
          <w:rFonts w:cs="Open Sans"/>
        </w:rPr>
        <w:t xml:space="preserve"> requests and</w:t>
      </w:r>
      <w:r>
        <w:rPr>
          <w:rFonts w:cs="Open Sans"/>
        </w:rPr>
        <w:t xml:space="preserve"> notices given</w:t>
      </w:r>
      <w:r w:rsidR="00755ADA">
        <w:rPr>
          <w:rFonts w:cs="Open Sans"/>
        </w:rPr>
        <w:t>;</w:t>
      </w:r>
      <w:r>
        <w:rPr>
          <w:rFonts w:cs="Open Sans"/>
        </w:rPr>
        <w:t xml:space="preserve"> the types of acts or things done by providers in compliance with a request or notice</w:t>
      </w:r>
      <w:r w:rsidR="00755ADA">
        <w:rPr>
          <w:rFonts w:cs="Open Sans"/>
        </w:rPr>
        <w:t>;</w:t>
      </w:r>
      <w:r>
        <w:rPr>
          <w:rFonts w:cs="Open Sans"/>
        </w:rPr>
        <w:t xml:space="preserve"> the number of requests that were refused and then compelled by way of a notice in the same or similar terms</w:t>
      </w:r>
      <w:r w:rsidR="00755ADA">
        <w:rPr>
          <w:rFonts w:cs="Open Sans"/>
        </w:rPr>
        <w:t>;</w:t>
      </w:r>
      <w:r>
        <w:rPr>
          <w:rFonts w:cs="Open Sans"/>
        </w:rPr>
        <w:t xml:space="preserve"> the number of </w:t>
      </w:r>
      <w:r w:rsidRPr="00D20184">
        <w:rPr>
          <w:shd w:val="clear" w:color="auto" w:fill="FFFFFF"/>
          <w:lang w:eastAsia="en-US"/>
        </w:rPr>
        <w:t xml:space="preserve">arrests made </w:t>
      </w:r>
      <w:r>
        <w:rPr>
          <w:shd w:val="clear" w:color="auto" w:fill="FFFFFF"/>
          <w:lang w:eastAsia="en-US"/>
        </w:rPr>
        <w:t>as a consequence of assistance</w:t>
      </w:r>
      <w:r w:rsidR="00755ADA">
        <w:rPr>
          <w:shd w:val="clear" w:color="auto" w:fill="FFFFFF"/>
          <w:lang w:eastAsia="en-US"/>
        </w:rPr>
        <w:t>;</w:t>
      </w:r>
      <w:r w:rsidRPr="00D20184">
        <w:rPr>
          <w:shd w:val="clear" w:color="auto" w:fill="FFFFFF"/>
          <w:lang w:eastAsia="en-US"/>
        </w:rPr>
        <w:t xml:space="preserve"> the number of prosecutions for relevant offences commenced</w:t>
      </w:r>
      <w:r w:rsidR="00755ADA">
        <w:rPr>
          <w:shd w:val="clear" w:color="auto" w:fill="FFFFFF"/>
          <w:lang w:eastAsia="en-US"/>
        </w:rPr>
        <w:t>;</w:t>
      </w:r>
      <w:r w:rsidRPr="00D20184">
        <w:rPr>
          <w:shd w:val="clear" w:color="auto" w:fill="FFFFFF"/>
          <w:lang w:eastAsia="en-US"/>
        </w:rPr>
        <w:t xml:space="preserve"> </w:t>
      </w:r>
      <w:r>
        <w:rPr>
          <w:shd w:val="clear" w:color="auto" w:fill="FFFFFF"/>
          <w:lang w:eastAsia="en-US"/>
        </w:rPr>
        <w:t xml:space="preserve">and </w:t>
      </w:r>
      <w:r w:rsidRPr="00D20184">
        <w:rPr>
          <w:shd w:val="clear" w:color="auto" w:fill="FFFFFF"/>
          <w:lang w:eastAsia="en-US"/>
        </w:rPr>
        <w:t xml:space="preserve">the expenditure of agencies in relation to </w:t>
      </w:r>
      <w:r>
        <w:rPr>
          <w:shd w:val="clear" w:color="auto" w:fill="FFFFFF"/>
          <w:lang w:eastAsia="en-US"/>
        </w:rPr>
        <w:t>requests and notices</w:t>
      </w:r>
      <w:r w:rsidRPr="00AA1A20">
        <w:rPr>
          <w:rFonts w:cs="Open Sans"/>
        </w:rPr>
        <w:t>.</w:t>
      </w:r>
    </w:p>
    <w:p w14:paraId="1B0B7DDC" w14:textId="2AE2DAE3" w:rsidR="002222AF" w:rsidRPr="001F39CD" w:rsidRDefault="002222AF" w:rsidP="00FA3E3B">
      <w:pPr>
        <w:pStyle w:val="ListNumber"/>
        <w:keepNext/>
        <w:numPr>
          <w:ilvl w:val="0"/>
          <w:numId w:val="0"/>
        </w:numPr>
        <w:ind w:left="720"/>
        <w:rPr>
          <w:rFonts w:cs="Open Sans"/>
          <w:b/>
        </w:rPr>
      </w:pPr>
      <w:r w:rsidRPr="001F39CD">
        <w:rPr>
          <w:rFonts w:cs="Open Sans"/>
          <w:b/>
        </w:rPr>
        <w:t xml:space="preserve">Recommendation </w:t>
      </w:r>
      <w:r w:rsidR="00BC2929">
        <w:rPr>
          <w:rFonts w:cs="Open Sans"/>
          <w:b/>
        </w:rPr>
        <w:t>3</w:t>
      </w:r>
      <w:r w:rsidR="003E54A3">
        <w:rPr>
          <w:rFonts w:cs="Open Sans"/>
          <w:b/>
        </w:rPr>
        <w:t>3</w:t>
      </w:r>
    </w:p>
    <w:p w14:paraId="22E81167" w14:textId="3D2A23A1" w:rsidR="002222AF" w:rsidRDefault="002222AF" w:rsidP="00E77015">
      <w:pPr>
        <w:pStyle w:val="ListNumber"/>
        <w:numPr>
          <w:ilvl w:val="0"/>
          <w:numId w:val="0"/>
        </w:numPr>
        <w:ind w:left="720"/>
        <w:rPr>
          <w:rFonts w:cs="Open Sans"/>
        </w:rPr>
      </w:pPr>
      <w:r w:rsidRPr="00AA1A20">
        <w:rPr>
          <w:rFonts w:cs="Open Sans"/>
        </w:rPr>
        <w:t>Proposed</w:t>
      </w:r>
      <w:r w:rsidR="00205E36">
        <w:rPr>
          <w:rFonts w:cs="Open Sans"/>
        </w:rPr>
        <w:t xml:space="preserve"> s </w:t>
      </w:r>
      <w:r w:rsidRPr="00AA1A20">
        <w:rPr>
          <w:rFonts w:cs="Open Sans"/>
        </w:rPr>
        <w:t xml:space="preserve">317ZS of the </w:t>
      </w:r>
      <w:r w:rsidRPr="00AA1A20">
        <w:rPr>
          <w:rFonts w:cs="Open Sans"/>
          <w:i/>
        </w:rPr>
        <w:t xml:space="preserve">Telecommunications Act 1997 </w:t>
      </w:r>
      <w:r w:rsidRPr="00AA1A20">
        <w:rPr>
          <w:rFonts w:cs="Open Sans"/>
        </w:rPr>
        <w:t>(Cth) be amended to requir</w:t>
      </w:r>
      <w:r>
        <w:rPr>
          <w:rFonts w:cs="Open Sans"/>
        </w:rPr>
        <w:t xml:space="preserve">e reporting by all agencies that are empowered to </w:t>
      </w:r>
      <w:r w:rsidR="00136E87">
        <w:rPr>
          <w:rFonts w:cs="Open Sans"/>
        </w:rPr>
        <w:t>give</w:t>
      </w:r>
      <w:r>
        <w:rPr>
          <w:rFonts w:cs="Open Sans"/>
        </w:rPr>
        <w:t xml:space="preserve"> requests and notices </w:t>
      </w:r>
      <w:r w:rsidRPr="00AA1A20">
        <w:rPr>
          <w:rFonts w:cs="Open Sans"/>
        </w:rPr>
        <w:t xml:space="preserve">under proposed new Pt 15 of the </w:t>
      </w:r>
      <w:r w:rsidRPr="00AA1A20">
        <w:rPr>
          <w:rFonts w:cs="Open Sans"/>
          <w:i/>
        </w:rPr>
        <w:t xml:space="preserve">Telecommunications Act 1997 </w:t>
      </w:r>
      <w:r w:rsidRPr="00AA1A20">
        <w:rPr>
          <w:rFonts w:cs="Open Sans"/>
        </w:rPr>
        <w:t>(Cth),</w:t>
      </w:r>
      <w:r>
        <w:rPr>
          <w:rFonts w:cs="Open Sans"/>
        </w:rPr>
        <w:t xml:space="preserve"> not just ‘interception agencies’.</w:t>
      </w:r>
    </w:p>
    <w:p w14:paraId="52A17A7E" w14:textId="08B5441B" w:rsidR="005B59BD" w:rsidRPr="00AA1A20" w:rsidRDefault="005B59BD" w:rsidP="002222AF">
      <w:pPr>
        <w:pStyle w:val="Heading1"/>
        <w:rPr>
          <w:rFonts w:cs="Open Sans"/>
        </w:rPr>
      </w:pPr>
      <w:bookmarkStart w:id="168" w:name="_Toc527107813"/>
      <w:r w:rsidRPr="00AA1A20">
        <w:rPr>
          <w:rFonts w:cs="Open Sans"/>
        </w:rPr>
        <w:t>Key human rights concerns: warrant powers</w:t>
      </w:r>
      <w:bookmarkEnd w:id="90"/>
      <w:bookmarkEnd w:id="168"/>
    </w:p>
    <w:p w14:paraId="17E523B8" w14:textId="77777777" w:rsidR="005B59BD" w:rsidRPr="00AA1A20" w:rsidRDefault="005B59BD" w:rsidP="005B59BD">
      <w:pPr>
        <w:pStyle w:val="Heading2"/>
        <w:rPr>
          <w:rFonts w:cs="Open Sans"/>
        </w:rPr>
      </w:pPr>
      <w:bookmarkStart w:id="169" w:name="_Toc524352516"/>
      <w:bookmarkStart w:id="170" w:name="_Toc527107814"/>
      <w:r w:rsidRPr="00AA1A20">
        <w:rPr>
          <w:rFonts w:cs="Open Sans"/>
        </w:rPr>
        <w:t>Computer access warrants</w:t>
      </w:r>
      <w:bookmarkEnd w:id="169"/>
      <w:bookmarkEnd w:id="170"/>
      <w:r w:rsidRPr="00AA1A20">
        <w:rPr>
          <w:rFonts w:cs="Open Sans"/>
        </w:rPr>
        <w:t xml:space="preserve"> </w:t>
      </w:r>
    </w:p>
    <w:p w14:paraId="4C980B8E" w14:textId="5D191EE9"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Bill proposes to insert a new ‘computer access warrant’ regime into the SD Act. This would allow Commonwealth law enforcement agencies, and state and territory law enforcement agencies investigating Commonwealth offences, to apply for computer access warrants in order to search electronic devices and access content on those devices covertly and, in some instances, remotely. This would enhance the ability of law enforcement agencies to access devices at endpoints when data is not encrypted.</w:t>
      </w:r>
      <w:r w:rsidRPr="00543C35">
        <w:rPr>
          <w:rStyle w:val="EndnoteReference"/>
          <w:vertAlign w:val="superscript"/>
        </w:rPr>
        <w:endnoteReference w:id="158"/>
      </w:r>
    </w:p>
    <w:p w14:paraId="00002BE5"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If passed, the proposed changes would enable law enforcement agencies to seek computer access warrants in investigations relating to ‘relevant offences’,</w:t>
      </w:r>
      <w:r w:rsidRPr="00543C35">
        <w:rPr>
          <w:rStyle w:val="EndnoteReference"/>
          <w:vertAlign w:val="superscript"/>
        </w:rPr>
        <w:endnoteReference w:id="159"/>
      </w:r>
      <w:r w:rsidRPr="00AA1A20">
        <w:rPr>
          <w:rFonts w:cs="Open Sans"/>
        </w:rPr>
        <w:t xml:space="preserve"> recovery orders,</w:t>
      </w:r>
      <w:r w:rsidRPr="00543C35">
        <w:rPr>
          <w:rStyle w:val="EndnoteReference"/>
          <w:vertAlign w:val="superscript"/>
        </w:rPr>
        <w:endnoteReference w:id="160"/>
      </w:r>
      <w:r w:rsidRPr="00AA1A20">
        <w:rPr>
          <w:rFonts w:cs="Open Sans"/>
        </w:rPr>
        <w:t xml:space="preserve"> mutual assistance investigations,</w:t>
      </w:r>
      <w:r w:rsidRPr="00543C35">
        <w:rPr>
          <w:rStyle w:val="EndnoteReference"/>
          <w:vertAlign w:val="superscript"/>
        </w:rPr>
        <w:endnoteReference w:id="161"/>
      </w:r>
      <w:r>
        <w:rPr>
          <w:rFonts w:cs="Open Sans"/>
        </w:rPr>
        <w:t xml:space="preserve"> </w:t>
      </w:r>
      <w:r w:rsidRPr="00AA1A20">
        <w:rPr>
          <w:rFonts w:cs="Open Sans"/>
        </w:rPr>
        <w:t>integrity operations</w:t>
      </w:r>
      <w:r w:rsidRPr="00543C35">
        <w:rPr>
          <w:rStyle w:val="EndnoteReference"/>
          <w:vertAlign w:val="superscript"/>
        </w:rPr>
        <w:endnoteReference w:id="162"/>
      </w:r>
      <w:r w:rsidRPr="00AA1A20">
        <w:rPr>
          <w:rFonts w:cs="Open Sans"/>
        </w:rPr>
        <w:t xml:space="preserve"> and control orders.</w:t>
      </w:r>
      <w:r w:rsidRPr="00543C35">
        <w:rPr>
          <w:rStyle w:val="EndnoteReference"/>
          <w:vertAlign w:val="superscript"/>
        </w:rPr>
        <w:endnoteReference w:id="163"/>
      </w:r>
    </w:p>
    <w:p w14:paraId="21A0937C"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A ‘relevant offence’ is presently defined in the SD Act and would include, amongst others: an offence against the law of the Commonwealth (or an offence against a law of a state that has a federal aspect) that is punishable by a maximum term of imprisonment of three years or more.</w:t>
      </w:r>
      <w:r w:rsidRPr="00543C35">
        <w:rPr>
          <w:rStyle w:val="EndnoteReference"/>
          <w:vertAlign w:val="superscript"/>
        </w:rPr>
        <w:endnoteReference w:id="164"/>
      </w:r>
      <w:r w:rsidRPr="00AA1A20">
        <w:rPr>
          <w:rFonts w:cs="Open Sans"/>
        </w:rPr>
        <w:t xml:space="preserve"> </w:t>
      </w:r>
    </w:p>
    <w:p w14:paraId="2846C4BB" w14:textId="154ACA33"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Bill also proposes to broaden the definition of ‘computer’ in</w:t>
      </w:r>
      <w:r w:rsidR="00205E36">
        <w:rPr>
          <w:rFonts w:cs="Open Sans"/>
        </w:rPr>
        <w:t xml:space="preserve"> s </w:t>
      </w:r>
      <w:r w:rsidRPr="00AA1A20">
        <w:rPr>
          <w:rFonts w:cs="Open Sans"/>
        </w:rPr>
        <w:t xml:space="preserve">6(1) of the SD Act. This change would allow law enforcement agencies to access multiple computers, and a variety of computer networks, under one computer </w:t>
      </w:r>
      <w:r>
        <w:rPr>
          <w:rFonts w:cs="Open Sans"/>
        </w:rPr>
        <w:t xml:space="preserve">access </w:t>
      </w:r>
      <w:r w:rsidRPr="00AA1A20">
        <w:rPr>
          <w:rFonts w:cs="Open Sans"/>
        </w:rPr>
        <w:t xml:space="preserve">warrant. The </w:t>
      </w:r>
      <w:r w:rsidR="004A6ACC">
        <w:rPr>
          <w:rFonts w:cs="Open Sans"/>
        </w:rPr>
        <w:t>E</w:t>
      </w:r>
      <w:r w:rsidRPr="00AA1A20">
        <w:rPr>
          <w:rFonts w:cs="Open Sans"/>
        </w:rPr>
        <w:t xml:space="preserve">xplanatory </w:t>
      </w:r>
      <w:r w:rsidR="004A6ACC">
        <w:rPr>
          <w:rFonts w:cs="Open Sans"/>
        </w:rPr>
        <w:t>M</w:t>
      </w:r>
      <w:r>
        <w:rPr>
          <w:rFonts w:cs="Open Sans"/>
        </w:rPr>
        <w:t>emorandum</w:t>
      </w:r>
      <w:r w:rsidRPr="00AA1A20">
        <w:rPr>
          <w:rFonts w:cs="Open Sans"/>
        </w:rPr>
        <w:t xml:space="preserve"> states that this change is required because it is no longer realistic for law enforcement </w:t>
      </w:r>
      <w:r w:rsidRPr="00AA1A20">
        <w:rPr>
          <w:rFonts w:cs="Open Sans"/>
        </w:rPr>
        <w:lastRenderedPageBreak/>
        <w:t>agencies to identify one particular computer on which relevant data might be stored given the increasing use of distributed and cloud-based services for processing and storing data, and the fact that individuals commonly have multiple devices.</w:t>
      </w:r>
      <w:r w:rsidRPr="00543C35">
        <w:rPr>
          <w:rStyle w:val="EndnoteReference"/>
          <w:vertAlign w:val="superscript"/>
        </w:rPr>
        <w:endnoteReference w:id="165"/>
      </w:r>
    </w:p>
    <w:p w14:paraId="3DF6028A" w14:textId="2B61D855"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w:t>
      </w:r>
      <w:r w:rsidR="004A6ACC">
        <w:rPr>
          <w:rFonts w:cs="Open Sans"/>
        </w:rPr>
        <w:t>E</w:t>
      </w:r>
      <w:r w:rsidRPr="00AA1A20">
        <w:rPr>
          <w:rFonts w:cs="Open Sans"/>
        </w:rPr>
        <w:t xml:space="preserve">xplanatory </w:t>
      </w:r>
      <w:r w:rsidR="004A6ACC">
        <w:rPr>
          <w:rFonts w:cs="Open Sans"/>
        </w:rPr>
        <w:t>M</w:t>
      </w:r>
      <w:r>
        <w:rPr>
          <w:rFonts w:cs="Open Sans"/>
        </w:rPr>
        <w:t>emorandum</w:t>
      </w:r>
      <w:r w:rsidRPr="00AA1A20">
        <w:rPr>
          <w:rFonts w:cs="Open Sans"/>
        </w:rPr>
        <w:t xml:space="preserve"> confirms that mobile phones are intended to fall within the new definition of ‘computer’, as well as other devices for storing and processing information that use computers or computing technology such as security systems, internet protocol cameras and digital video recorders.</w:t>
      </w:r>
      <w:r w:rsidRPr="00543C35">
        <w:rPr>
          <w:rStyle w:val="EndnoteReference"/>
          <w:vertAlign w:val="superscript"/>
        </w:rPr>
        <w:endnoteReference w:id="166"/>
      </w:r>
      <w:r w:rsidRPr="00AA1A20">
        <w:rPr>
          <w:rFonts w:cs="Open Sans"/>
        </w:rPr>
        <w:t xml:space="preserve"> This broad definition of ‘computer’ means that communication devices that would not colloquially be termed ‘computers’ may still be the subject of a ‘computer access warrant’.</w:t>
      </w:r>
    </w:p>
    <w:p w14:paraId="21CC4259" w14:textId="543E76BF"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A computer access warrant issued under proposed</w:t>
      </w:r>
      <w:r w:rsidR="00205E36">
        <w:rPr>
          <w:rFonts w:cs="Open Sans"/>
        </w:rPr>
        <w:t xml:space="preserve"> s </w:t>
      </w:r>
      <w:r w:rsidRPr="00AA1A20">
        <w:rPr>
          <w:rFonts w:cs="Open Sans"/>
        </w:rPr>
        <w:t xml:space="preserve">27E of the SD Act by an eligible Judge or nominated Administrative Appeals Tribunal (AAT) member could authorise law enforcement authorities to take the following action in relation to a ‘target computer’: </w:t>
      </w:r>
    </w:p>
    <w:p w14:paraId="341A1E7C" w14:textId="77777777" w:rsidR="005B59BD" w:rsidRPr="00AA1A20" w:rsidRDefault="005B59BD" w:rsidP="005B59BD">
      <w:pPr>
        <w:pStyle w:val="Bullet"/>
        <w:numPr>
          <w:ilvl w:val="0"/>
          <w:numId w:val="17"/>
        </w:numPr>
        <w:tabs>
          <w:tab w:val="num" w:pos="2127"/>
        </w:tabs>
        <w:ind w:hanging="357"/>
        <w:rPr>
          <w:rFonts w:cs="Open Sans"/>
        </w:rPr>
      </w:pPr>
      <w:r w:rsidRPr="00AA1A20">
        <w:rPr>
          <w:rFonts w:cs="Open Sans"/>
        </w:rPr>
        <w:t>entering specified premises for the purposes of executing the warrant</w:t>
      </w:r>
    </w:p>
    <w:p w14:paraId="69103FD4" w14:textId="77777777" w:rsidR="005B59BD" w:rsidRPr="00AA1A20" w:rsidRDefault="005B59BD" w:rsidP="005B59BD">
      <w:pPr>
        <w:pStyle w:val="Bullet"/>
        <w:numPr>
          <w:ilvl w:val="0"/>
          <w:numId w:val="17"/>
        </w:numPr>
        <w:tabs>
          <w:tab w:val="num" w:pos="2127"/>
        </w:tabs>
        <w:ind w:hanging="357"/>
        <w:rPr>
          <w:rFonts w:cs="Open Sans"/>
        </w:rPr>
      </w:pPr>
      <w:r w:rsidRPr="00AA1A20">
        <w:rPr>
          <w:rFonts w:cs="Open Sans"/>
        </w:rPr>
        <w:t xml:space="preserve">entering any premises (such as third party premises) for the purpose of gaining entry to, or exiting, the specified premises </w:t>
      </w:r>
    </w:p>
    <w:p w14:paraId="2F6D9E7B" w14:textId="77777777" w:rsidR="005B59BD" w:rsidRPr="00AA1A20" w:rsidRDefault="005B59BD" w:rsidP="005B59BD">
      <w:pPr>
        <w:pStyle w:val="Bullet"/>
        <w:numPr>
          <w:ilvl w:val="0"/>
          <w:numId w:val="17"/>
        </w:numPr>
        <w:tabs>
          <w:tab w:val="num" w:pos="2127"/>
        </w:tabs>
        <w:ind w:hanging="357"/>
        <w:rPr>
          <w:rFonts w:cs="Open Sans"/>
        </w:rPr>
      </w:pPr>
      <w:r w:rsidRPr="00AA1A20">
        <w:rPr>
          <w:rFonts w:cs="Open Sans"/>
        </w:rPr>
        <w:t>using the target computer, a telecommunications facility, other electronic equipment or data storage devices in order to access data held in the target computer to determine whether it is relevant and covered by the warrant</w:t>
      </w:r>
      <w:r>
        <w:rPr>
          <w:rFonts w:cs="Open Sans"/>
        </w:rPr>
        <w:t xml:space="preserve"> </w:t>
      </w:r>
      <w:r w:rsidRPr="00AA1A20">
        <w:rPr>
          <w:rFonts w:cs="Open Sans"/>
        </w:rPr>
        <w:t xml:space="preserve">(and adding, copying, deleting or altering data on </w:t>
      </w:r>
      <w:r>
        <w:rPr>
          <w:rFonts w:cs="Open Sans"/>
        </w:rPr>
        <w:t>the target</w:t>
      </w:r>
      <w:r w:rsidRPr="00AA1A20">
        <w:rPr>
          <w:rFonts w:cs="Open Sans"/>
        </w:rPr>
        <w:t xml:space="preserve"> computer if necessary)</w:t>
      </w:r>
    </w:p>
    <w:p w14:paraId="1B658ED5" w14:textId="77777777" w:rsidR="005B59BD" w:rsidRPr="00AA1A20" w:rsidRDefault="005B59BD" w:rsidP="005B59BD">
      <w:pPr>
        <w:pStyle w:val="Bullet"/>
        <w:numPr>
          <w:ilvl w:val="0"/>
          <w:numId w:val="17"/>
        </w:numPr>
        <w:tabs>
          <w:tab w:val="num" w:pos="2127"/>
        </w:tabs>
        <w:ind w:hanging="357"/>
        <w:rPr>
          <w:rFonts w:cs="Open Sans"/>
        </w:rPr>
      </w:pPr>
      <w:r w:rsidRPr="00AA1A20">
        <w:rPr>
          <w:rFonts w:cs="Open Sans"/>
        </w:rPr>
        <w:t xml:space="preserve">if reasonable in the circumstances, using any other computer (such as a third party computer) to access the relevant data (and adding, copying, deleting or altering data on that computer if necessary) </w:t>
      </w:r>
    </w:p>
    <w:p w14:paraId="2225330F" w14:textId="067C83EE" w:rsidR="005B59BD" w:rsidRPr="00AA1A20" w:rsidRDefault="005B59BD" w:rsidP="005B59BD">
      <w:pPr>
        <w:pStyle w:val="Bullet"/>
        <w:numPr>
          <w:ilvl w:val="0"/>
          <w:numId w:val="17"/>
        </w:numPr>
        <w:tabs>
          <w:tab w:val="num" w:pos="2127"/>
        </w:tabs>
        <w:ind w:hanging="357"/>
        <w:rPr>
          <w:rFonts w:cs="Open Sans"/>
        </w:rPr>
      </w:pPr>
      <w:r w:rsidRPr="00AA1A20">
        <w:rPr>
          <w:rFonts w:cs="Open Sans"/>
        </w:rPr>
        <w:t>removing a computer or other ‘thing’ from the premises for the purposes of executing the warrant, and also returning the computer or other ‘thing’ to the premises</w:t>
      </w:r>
      <w:r w:rsidR="0038253F">
        <w:rPr>
          <w:rFonts w:cs="Open Sans"/>
        </w:rPr>
        <w:t xml:space="preserve"> </w:t>
      </w:r>
    </w:p>
    <w:p w14:paraId="08248A57" w14:textId="77777777" w:rsidR="005B59BD" w:rsidRPr="00AA1A20" w:rsidRDefault="005B59BD" w:rsidP="005B59BD">
      <w:pPr>
        <w:pStyle w:val="Bullet"/>
        <w:numPr>
          <w:ilvl w:val="0"/>
          <w:numId w:val="17"/>
        </w:numPr>
        <w:tabs>
          <w:tab w:val="num" w:pos="2127"/>
        </w:tabs>
        <w:ind w:hanging="357"/>
        <w:rPr>
          <w:rFonts w:cs="Open Sans"/>
        </w:rPr>
      </w:pPr>
      <w:r w:rsidRPr="00AA1A20">
        <w:rPr>
          <w:rFonts w:cs="Open Sans"/>
        </w:rPr>
        <w:t xml:space="preserve">copying data which has been obtained that appears to be relevant and covered by the warrant </w:t>
      </w:r>
    </w:p>
    <w:p w14:paraId="7CDBCE72" w14:textId="77777777" w:rsidR="005B59BD" w:rsidRPr="00AA1A20" w:rsidRDefault="005B59BD" w:rsidP="005B59BD">
      <w:pPr>
        <w:pStyle w:val="Bullet"/>
        <w:numPr>
          <w:ilvl w:val="0"/>
          <w:numId w:val="17"/>
        </w:numPr>
        <w:tabs>
          <w:tab w:val="num" w:pos="2127"/>
        </w:tabs>
        <w:ind w:hanging="357"/>
        <w:rPr>
          <w:rFonts w:cs="Open Sans"/>
        </w:rPr>
      </w:pPr>
      <w:r w:rsidRPr="00AA1A20">
        <w:rPr>
          <w:rFonts w:cs="Open Sans"/>
        </w:rPr>
        <w:t>doing anything reasonably necessary to conceal the fact that any ‘thing’ has been done under a computer access warrant</w:t>
      </w:r>
    </w:p>
    <w:p w14:paraId="178BD704" w14:textId="77777777" w:rsidR="005B59BD" w:rsidRPr="00AA1A20" w:rsidRDefault="005B59BD" w:rsidP="005B59BD">
      <w:pPr>
        <w:pStyle w:val="Bullet"/>
        <w:numPr>
          <w:ilvl w:val="0"/>
          <w:numId w:val="17"/>
        </w:numPr>
        <w:tabs>
          <w:tab w:val="num" w:pos="2127"/>
        </w:tabs>
        <w:ind w:hanging="357"/>
        <w:rPr>
          <w:rFonts w:cs="Open Sans"/>
        </w:rPr>
      </w:pPr>
      <w:r w:rsidRPr="00AA1A20">
        <w:rPr>
          <w:rFonts w:cs="Open Sans"/>
        </w:rPr>
        <w:t>intercepting a communication in order to execute the warrant</w:t>
      </w:r>
    </w:p>
    <w:p w14:paraId="6AC461A2" w14:textId="6C18A0B3" w:rsidR="005B59BD" w:rsidRPr="00AA1A20" w:rsidRDefault="005B59BD" w:rsidP="005B59BD">
      <w:pPr>
        <w:pStyle w:val="Bullet"/>
        <w:numPr>
          <w:ilvl w:val="0"/>
          <w:numId w:val="17"/>
        </w:numPr>
        <w:tabs>
          <w:tab w:val="num" w:pos="2127"/>
        </w:tabs>
        <w:ind w:hanging="357"/>
        <w:rPr>
          <w:rFonts w:cs="Open Sans"/>
        </w:rPr>
      </w:pPr>
      <w:r w:rsidRPr="00AA1A20">
        <w:rPr>
          <w:rFonts w:cs="Open Sans"/>
        </w:rPr>
        <w:t>authorising the use of any force against persons and things that is ‘necessary and reasonable’ to do the things specified in the warrant</w:t>
      </w:r>
      <w:r w:rsidR="0038253F">
        <w:rPr>
          <w:rFonts w:cs="Open Sans"/>
        </w:rPr>
        <w:t xml:space="preserve"> </w:t>
      </w:r>
    </w:p>
    <w:p w14:paraId="0AE27200" w14:textId="77777777" w:rsidR="005B59BD" w:rsidRPr="00AA1A20" w:rsidRDefault="005B59BD" w:rsidP="005B59BD">
      <w:pPr>
        <w:pStyle w:val="Bullet"/>
        <w:numPr>
          <w:ilvl w:val="0"/>
          <w:numId w:val="17"/>
        </w:numPr>
        <w:tabs>
          <w:tab w:val="num" w:pos="2127"/>
        </w:tabs>
        <w:ind w:hanging="357"/>
        <w:rPr>
          <w:rFonts w:cs="Open Sans"/>
        </w:rPr>
      </w:pPr>
      <w:r w:rsidRPr="00AA1A20">
        <w:rPr>
          <w:rFonts w:cs="Open Sans"/>
        </w:rPr>
        <w:t xml:space="preserve">any other thing reasonably incidental to the above things. </w:t>
      </w:r>
    </w:p>
    <w:p w14:paraId="2C3C1DED" w14:textId="6D3430BC" w:rsidR="005B59BD" w:rsidRPr="00AA1A20" w:rsidRDefault="005F64FB" w:rsidP="005B59BD">
      <w:pPr>
        <w:pStyle w:val="ListNumber"/>
        <w:tabs>
          <w:tab w:val="clear" w:pos="360"/>
          <w:tab w:val="num" w:pos="993"/>
          <w:tab w:val="left" w:pos="1418"/>
        </w:tabs>
        <w:ind w:left="709" w:hanging="567"/>
        <w:rPr>
          <w:rFonts w:cs="Open Sans"/>
        </w:rPr>
      </w:pPr>
      <w:r>
        <w:rPr>
          <w:rFonts w:cs="Open Sans"/>
        </w:rPr>
        <w:lastRenderedPageBreak/>
        <w:t>These</w:t>
      </w:r>
      <w:r w:rsidR="005B59BD" w:rsidRPr="00AA1A20">
        <w:rPr>
          <w:rFonts w:cs="Open Sans"/>
        </w:rPr>
        <w:t xml:space="preserve"> powers have the capacity to be exercised in a manner that is highly privacy-intrusive. </w:t>
      </w:r>
      <w:r>
        <w:rPr>
          <w:rFonts w:cs="Open Sans"/>
        </w:rPr>
        <w:t>They</w:t>
      </w:r>
      <w:r w:rsidR="005B59BD" w:rsidRPr="00AA1A20">
        <w:rPr>
          <w:rFonts w:cs="Open Sans"/>
        </w:rPr>
        <w:t xml:space="preserve"> could </w:t>
      </w:r>
      <w:r>
        <w:rPr>
          <w:rFonts w:cs="Open Sans"/>
        </w:rPr>
        <w:t xml:space="preserve">also </w:t>
      </w:r>
      <w:r w:rsidR="005B59BD" w:rsidRPr="00AA1A20">
        <w:rPr>
          <w:rFonts w:cs="Open Sans"/>
        </w:rPr>
        <w:t>engage a range of other human rights.</w:t>
      </w:r>
    </w:p>
    <w:p w14:paraId="1954E238" w14:textId="63B4F684"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Commission considers that, in several instances, the proposed computer warrant regime in the SD Act, and the expansion of other warrant powers in the Bill, go beyond what can be reasonably justified as a proportionate response to the issues that they are intended to address. </w:t>
      </w:r>
    </w:p>
    <w:p w14:paraId="68773F01" w14:textId="77777777" w:rsidR="005B59BD" w:rsidRPr="00AA1A20" w:rsidRDefault="005B59BD" w:rsidP="00FB5828">
      <w:pPr>
        <w:pStyle w:val="Heading2"/>
      </w:pPr>
      <w:bookmarkStart w:id="171" w:name="_Toc524352517"/>
      <w:bookmarkStart w:id="172" w:name="_Toc527107815"/>
      <w:r w:rsidRPr="00AA1A20">
        <w:t>Access to third party computers, communications and premises</w:t>
      </w:r>
      <w:bookmarkEnd w:id="171"/>
      <w:bookmarkEnd w:id="172"/>
    </w:p>
    <w:p w14:paraId="41B90033" w14:textId="11C032F8" w:rsidR="005B59BD" w:rsidRDefault="005B59BD">
      <w:pPr>
        <w:pStyle w:val="ListNumber"/>
        <w:tabs>
          <w:tab w:val="clear" w:pos="360"/>
          <w:tab w:val="num" w:pos="993"/>
          <w:tab w:val="left" w:pos="1418"/>
        </w:tabs>
        <w:ind w:left="709" w:hanging="567"/>
        <w:rPr>
          <w:rFonts w:cs="Open Sans"/>
        </w:rPr>
      </w:pPr>
      <w:r w:rsidRPr="000B1705">
        <w:rPr>
          <w:rFonts w:cs="Open Sans"/>
        </w:rPr>
        <w:t xml:space="preserve">The proposed new computer access warrants under the SD Act would </w:t>
      </w:r>
      <w:r>
        <w:rPr>
          <w:rFonts w:cs="Open Sans"/>
        </w:rPr>
        <w:t>permit</w:t>
      </w:r>
      <w:r w:rsidRPr="000B1705">
        <w:rPr>
          <w:rFonts w:cs="Open Sans"/>
        </w:rPr>
        <w:t xml:space="preserve"> the authorisation of access to third party premises, computers and communications for the purpose of executing </w:t>
      </w:r>
      <w:r>
        <w:rPr>
          <w:rFonts w:cs="Open Sans"/>
        </w:rPr>
        <w:t xml:space="preserve">the </w:t>
      </w:r>
      <w:r w:rsidRPr="000B1705">
        <w:rPr>
          <w:rFonts w:cs="Open Sans"/>
        </w:rPr>
        <w:t>warrant</w:t>
      </w:r>
      <w:r>
        <w:rPr>
          <w:rFonts w:cs="Open Sans"/>
        </w:rPr>
        <w:t xml:space="preserve"> (proposed</w:t>
      </w:r>
      <w:r w:rsidR="00205E36">
        <w:rPr>
          <w:rFonts w:cs="Open Sans"/>
        </w:rPr>
        <w:t xml:space="preserve"> s </w:t>
      </w:r>
      <w:r>
        <w:rPr>
          <w:rFonts w:cs="Open Sans"/>
        </w:rPr>
        <w:t>27E(2))</w:t>
      </w:r>
      <w:r w:rsidRPr="000B1705">
        <w:rPr>
          <w:rFonts w:cs="Open Sans"/>
        </w:rPr>
        <w:t>. This would be consistent with existing provisions relating to computer access warrants</w:t>
      </w:r>
      <w:r>
        <w:rPr>
          <w:rFonts w:cs="Open Sans"/>
        </w:rPr>
        <w:t xml:space="preserve"> </w:t>
      </w:r>
      <w:r w:rsidRPr="000B1705">
        <w:rPr>
          <w:rFonts w:cs="Open Sans"/>
        </w:rPr>
        <w:t>in</w:t>
      </w:r>
      <w:r w:rsidR="00205E36">
        <w:rPr>
          <w:rFonts w:cs="Open Sans"/>
        </w:rPr>
        <w:t xml:space="preserve"> s </w:t>
      </w:r>
      <w:r w:rsidRPr="000B1705">
        <w:rPr>
          <w:rFonts w:cs="Open Sans"/>
        </w:rPr>
        <w:t>25A(4) of the ASIO Act</w:t>
      </w:r>
      <w:r>
        <w:rPr>
          <w:rFonts w:cs="Open Sans"/>
        </w:rPr>
        <w:t xml:space="preserve"> and </w:t>
      </w:r>
      <w:r w:rsidR="006C552F">
        <w:rPr>
          <w:rFonts w:cs="Open Sans"/>
        </w:rPr>
        <w:t xml:space="preserve">foreign intelligence and </w:t>
      </w:r>
      <w:r>
        <w:rPr>
          <w:rFonts w:cs="Open Sans"/>
        </w:rPr>
        <w:t>identified person warrants that permit computer access in</w:t>
      </w:r>
      <w:r w:rsidR="00205E36">
        <w:rPr>
          <w:rFonts w:cs="Open Sans"/>
        </w:rPr>
        <w:t xml:space="preserve"> ss </w:t>
      </w:r>
      <w:r w:rsidR="006C552F">
        <w:rPr>
          <w:rFonts w:cs="Open Sans"/>
        </w:rPr>
        <w:t xml:space="preserve">27A(1) and </w:t>
      </w:r>
      <w:r>
        <w:rPr>
          <w:rFonts w:cs="Open Sans"/>
        </w:rPr>
        <w:t>27E(2) of the ASIO Act</w:t>
      </w:r>
      <w:r w:rsidRPr="000B1705">
        <w:rPr>
          <w:rFonts w:cs="Open Sans"/>
        </w:rPr>
        <w:t>.</w:t>
      </w:r>
      <w:r w:rsidRPr="00543C35">
        <w:rPr>
          <w:rStyle w:val="EndnoteReference"/>
          <w:vertAlign w:val="superscript"/>
        </w:rPr>
        <w:endnoteReference w:id="167"/>
      </w:r>
      <w:r w:rsidRPr="000B1705">
        <w:rPr>
          <w:rFonts w:cs="Open Sans"/>
        </w:rPr>
        <w:t xml:space="preserve"> </w:t>
      </w:r>
    </w:p>
    <w:p w14:paraId="71498183" w14:textId="1ADC7C72" w:rsidR="005B59BD" w:rsidRPr="000B1705" w:rsidRDefault="005B59BD">
      <w:pPr>
        <w:pStyle w:val="ListNumber"/>
        <w:tabs>
          <w:tab w:val="clear" w:pos="360"/>
          <w:tab w:val="num" w:pos="993"/>
          <w:tab w:val="left" w:pos="1418"/>
        </w:tabs>
        <w:ind w:left="709" w:hanging="567"/>
        <w:rPr>
          <w:rFonts w:cs="Open Sans"/>
        </w:rPr>
      </w:pPr>
      <w:r>
        <w:rPr>
          <w:rFonts w:cs="Open Sans"/>
        </w:rPr>
        <w:t xml:space="preserve">The Commission considers that the conditions under which law enforcement agencies and ASIO should be permitted to access the premises, computers and communications of innocent third parties should be tightly controlled. Permitting law enforcement agencies and ASIO to enter premises of people who are unconnected with an investigation and to access their computers and communications represents a serious interference with the right to privacy. In the Commission’s view, access to third party premises, computers and communications should be limited to situations where this is necessary and not merely convenient or desirable for those executing the warrant. </w:t>
      </w:r>
    </w:p>
    <w:p w14:paraId="2BFA6864" w14:textId="019CE88D" w:rsidR="005B59BD" w:rsidRPr="00AA1A20" w:rsidRDefault="005B59BD" w:rsidP="005B59BD">
      <w:pPr>
        <w:pStyle w:val="ListNumber"/>
        <w:tabs>
          <w:tab w:val="clear" w:pos="360"/>
          <w:tab w:val="num" w:pos="993"/>
          <w:tab w:val="left" w:pos="1418"/>
        </w:tabs>
        <w:ind w:left="709" w:hanging="567"/>
        <w:rPr>
          <w:rFonts w:cs="Open Sans"/>
        </w:rPr>
      </w:pPr>
      <w:r>
        <w:rPr>
          <w:rFonts w:cs="Open Sans"/>
        </w:rPr>
        <w:t>Proposed</w:t>
      </w:r>
      <w:r w:rsidR="00205E36">
        <w:rPr>
          <w:rFonts w:cs="Open Sans"/>
        </w:rPr>
        <w:t xml:space="preserve"> s </w:t>
      </w:r>
      <w:r>
        <w:rPr>
          <w:rFonts w:cs="Open Sans"/>
        </w:rPr>
        <w:t>27E(7) of the SD Act and proposed</w:t>
      </w:r>
      <w:r w:rsidR="00205E36">
        <w:rPr>
          <w:rFonts w:cs="Open Sans"/>
        </w:rPr>
        <w:t xml:space="preserve"> ss </w:t>
      </w:r>
      <w:r>
        <w:rPr>
          <w:rFonts w:cs="Open Sans"/>
        </w:rPr>
        <w:t>25A(8), 27A(3C) and 27E(6) of the ASIO Act would also permit access to third party premises, computers and communications for the purpose of doing anything reasonably necessary to conceal the fact that a warrant permitting access to a computer has been executed.</w:t>
      </w:r>
    </w:p>
    <w:p w14:paraId="40838A16" w14:textId="286A83D4" w:rsidR="005B59BD" w:rsidRDefault="005B59BD" w:rsidP="005B59BD">
      <w:pPr>
        <w:pStyle w:val="ListNumber"/>
        <w:tabs>
          <w:tab w:val="clear" w:pos="360"/>
          <w:tab w:val="num" w:pos="993"/>
          <w:tab w:val="left" w:pos="1418"/>
        </w:tabs>
        <w:ind w:left="709" w:hanging="567"/>
        <w:rPr>
          <w:rFonts w:cs="Open Sans"/>
        </w:rPr>
      </w:pPr>
      <w:r>
        <w:rPr>
          <w:rFonts w:cs="Open Sans"/>
        </w:rPr>
        <w:t xml:space="preserve">The </w:t>
      </w:r>
      <w:r w:rsidRPr="00AA1A20">
        <w:rPr>
          <w:rFonts w:cs="Open Sans"/>
        </w:rPr>
        <w:t xml:space="preserve">Bill seeks to </w:t>
      </w:r>
      <w:r>
        <w:rPr>
          <w:rFonts w:cs="Open Sans"/>
        </w:rPr>
        <w:t xml:space="preserve">make equivalent amendments to </w:t>
      </w:r>
      <w:r w:rsidRPr="00AA1A20">
        <w:rPr>
          <w:rFonts w:cs="Open Sans"/>
        </w:rPr>
        <w:t>the Customs Act</w:t>
      </w:r>
      <w:r w:rsidRPr="00543C35">
        <w:rPr>
          <w:rStyle w:val="EndnoteReference"/>
          <w:vertAlign w:val="superscript"/>
        </w:rPr>
        <w:endnoteReference w:id="168"/>
      </w:r>
      <w:r w:rsidRPr="00AA1A20">
        <w:rPr>
          <w:rFonts w:cs="Open Sans"/>
        </w:rPr>
        <w:t xml:space="preserve"> and the Crimes Act</w:t>
      </w:r>
      <w:r w:rsidRPr="00543C35">
        <w:rPr>
          <w:rStyle w:val="EndnoteReference"/>
          <w:vertAlign w:val="superscript"/>
        </w:rPr>
        <w:endnoteReference w:id="169"/>
      </w:r>
      <w:r w:rsidRPr="00AA1A20">
        <w:rPr>
          <w:rFonts w:cs="Open Sans"/>
        </w:rPr>
        <w:t xml:space="preserve"> </w:t>
      </w:r>
      <w:r>
        <w:rPr>
          <w:rFonts w:cs="Open Sans"/>
        </w:rPr>
        <w:t>to permit access to third party computers and communications (but not premises) when executing a search warrant under each of those Acts.</w:t>
      </w:r>
      <w:r w:rsidR="0038253F">
        <w:rPr>
          <w:rFonts w:cs="Open Sans"/>
        </w:rPr>
        <w:t xml:space="preserve"> </w:t>
      </w:r>
    </w:p>
    <w:p w14:paraId="11554BF5" w14:textId="26083FEA" w:rsidR="005B59BD" w:rsidRPr="00AA1A20" w:rsidRDefault="005B59BD" w:rsidP="005B59BD">
      <w:pPr>
        <w:pStyle w:val="ListNumber"/>
        <w:tabs>
          <w:tab w:val="clear" w:pos="360"/>
          <w:tab w:val="num" w:pos="993"/>
          <w:tab w:val="left" w:pos="1418"/>
        </w:tabs>
        <w:ind w:left="709" w:hanging="567"/>
        <w:rPr>
          <w:rFonts w:cs="Open Sans"/>
        </w:rPr>
      </w:pPr>
      <w:r>
        <w:rPr>
          <w:rFonts w:cs="Open Sans"/>
        </w:rPr>
        <w:t>I</w:t>
      </w:r>
      <w:r w:rsidRPr="00AA1A20">
        <w:rPr>
          <w:rFonts w:cs="Open Sans"/>
        </w:rPr>
        <w:t>t is illustrative to extract the relevant provisions of proposed</w:t>
      </w:r>
      <w:r w:rsidR="00205E36">
        <w:rPr>
          <w:rFonts w:cs="Open Sans"/>
        </w:rPr>
        <w:t xml:space="preserve"> ss </w:t>
      </w:r>
      <w:r w:rsidRPr="00AA1A20">
        <w:rPr>
          <w:rFonts w:cs="Open Sans"/>
        </w:rPr>
        <w:t>27E</w:t>
      </w:r>
      <w:r>
        <w:rPr>
          <w:rFonts w:cs="Open Sans"/>
        </w:rPr>
        <w:t xml:space="preserve">(1) and (2) of the SD Act </w:t>
      </w:r>
      <w:r w:rsidRPr="00AA1A20">
        <w:rPr>
          <w:rFonts w:cs="Open Sans"/>
        </w:rPr>
        <w:t>below:</w:t>
      </w:r>
    </w:p>
    <w:p w14:paraId="104FA0F1" w14:textId="30F0551E" w:rsidR="005B59BD" w:rsidRDefault="005B59BD" w:rsidP="00FB5828">
      <w:pPr>
        <w:pStyle w:val="EndnoteText"/>
        <w:ind w:left="1440" w:hanging="306"/>
        <w:rPr>
          <w:rFonts w:cs="Open Sans"/>
        </w:rPr>
      </w:pPr>
      <w:r>
        <w:rPr>
          <w:rFonts w:cs="Open Sans"/>
        </w:rPr>
        <w:lastRenderedPageBreak/>
        <w:t>(1)</w:t>
      </w:r>
      <w:r>
        <w:rPr>
          <w:rFonts w:cs="Open Sans"/>
        </w:rPr>
        <w:tab/>
        <w:t>A computer access warrant must authorise the doing of specified things (subject to any restrictions or conditions specified in the warrant) in relation to the relevant target computer.</w:t>
      </w:r>
    </w:p>
    <w:p w14:paraId="59DDF419" w14:textId="0EFE2A28" w:rsidR="005B59BD" w:rsidRPr="00AA1A20" w:rsidRDefault="005B59BD" w:rsidP="00FB5828">
      <w:pPr>
        <w:pStyle w:val="EndnoteText"/>
        <w:ind w:left="1434" w:hanging="300"/>
        <w:rPr>
          <w:rFonts w:cs="Open Sans"/>
        </w:rPr>
      </w:pPr>
      <w:r w:rsidRPr="00AA1A20">
        <w:rPr>
          <w:rFonts w:cs="Open Sans"/>
        </w:rPr>
        <w:t xml:space="preserve">(2) The things that may be specified are any of the following that the eligible </w:t>
      </w:r>
      <w:r>
        <w:rPr>
          <w:rFonts w:cs="Open Sans"/>
        </w:rPr>
        <w:t>J</w:t>
      </w:r>
      <w:r w:rsidRPr="00AA1A20">
        <w:rPr>
          <w:rFonts w:cs="Open Sans"/>
        </w:rPr>
        <w:t>udge or nominated AAT member considers appropriate in the circumstances:</w:t>
      </w:r>
    </w:p>
    <w:p w14:paraId="32EA45EA" w14:textId="77777777" w:rsidR="005B59BD" w:rsidRPr="00AA1A20" w:rsidRDefault="005B59BD" w:rsidP="00FB5828">
      <w:pPr>
        <w:pStyle w:val="EndnoteText"/>
        <w:ind w:left="2154" w:hanging="720"/>
        <w:rPr>
          <w:rFonts w:cs="Open Sans"/>
        </w:rPr>
      </w:pPr>
      <w:r w:rsidRPr="00AA1A20">
        <w:rPr>
          <w:rFonts w:cs="Open Sans"/>
        </w:rPr>
        <w:t xml:space="preserve">(a) </w:t>
      </w:r>
      <w:r>
        <w:rPr>
          <w:rFonts w:cs="Open Sans"/>
        </w:rPr>
        <w:tab/>
      </w:r>
      <w:r w:rsidRPr="00AA1A20">
        <w:rPr>
          <w:rFonts w:cs="Open Sans"/>
        </w:rPr>
        <w:t>entering specified premises for the purposes of doing the things mentioned in this subsection;</w:t>
      </w:r>
    </w:p>
    <w:p w14:paraId="6088EBE3" w14:textId="77777777" w:rsidR="005B59BD" w:rsidRPr="00AA1A20" w:rsidRDefault="005B59BD" w:rsidP="00FB5828">
      <w:pPr>
        <w:pStyle w:val="EndnoteText"/>
        <w:ind w:left="2154" w:hanging="714"/>
        <w:rPr>
          <w:rFonts w:cs="Open Sans"/>
        </w:rPr>
      </w:pPr>
      <w:r w:rsidRPr="00AA1A20">
        <w:rPr>
          <w:rFonts w:cs="Open Sans"/>
        </w:rPr>
        <w:t xml:space="preserve">(b) </w:t>
      </w:r>
      <w:r>
        <w:rPr>
          <w:rFonts w:cs="Open Sans"/>
        </w:rPr>
        <w:tab/>
      </w:r>
      <w:r w:rsidRPr="00AA1A20">
        <w:rPr>
          <w:rFonts w:cs="Open Sans"/>
        </w:rPr>
        <w:t>entering any premises for the purposes of gaining entry to, or exiting, the specified premises;</w:t>
      </w:r>
    </w:p>
    <w:p w14:paraId="7FCE410C" w14:textId="77777777" w:rsidR="005B59BD" w:rsidRPr="00AA1A20" w:rsidRDefault="005B59BD" w:rsidP="005B59BD">
      <w:pPr>
        <w:pStyle w:val="EndnoteText"/>
        <w:rPr>
          <w:rFonts w:cs="Open Sans"/>
          <w:sz w:val="24"/>
        </w:rPr>
      </w:pPr>
      <w:r w:rsidRPr="00AA1A20">
        <w:rPr>
          <w:rFonts w:cs="Open Sans"/>
        </w:rPr>
        <w:t xml:space="preserve"> </w:t>
      </w:r>
      <w:r w:rsidRPr="00AA1A20">
        <w:rPr>
          <w:rFonts w:cs="Open Sans"/>
        </w:rPr>
        <w:tab/>
      </w:r>
      <w:r w:rsidRPr="00AA1A20">
        <w:rPr>
          <w:rFonts w:cs="Open Sans"/>
          <w:sz w:val="24"/>
        </w:rPr>
        <w:t>…</w:t>
      </w:r>
    </w:p>
    <w:p w14:paraId="26A2648B" w14:textId="77777777" w:rsidR="005B59BD" w:rsidRPr="00AA1A20" w:rsidRDefault="005B59BD" w:rsidP="00FB5828">
      <w:pPr>
        <w:pStyle w:val="EndnoteText"/>
        <w:ind w:left="2160" w:hanging="720"/>
        <w:rPr>
          <w:rFonts w:cs="Open Sans"/>
        </w:rPr>
      </w:pPr>
      <w:r w:rsidRPr="00AA1A20">
        <w:rPr>
          <w:rFonts w:cs="Open Sans"/>
        </w:rPr>
        <w:t xml:space="preserve">(e) </w:t>
      </w:r>
      <w:r>
        <w:rPr>
          <w:rFonts w:cs="Open Sans"/>
        </w:rPr>
        <w:tab/>
      </w:r>
      <w:r w:rsidRPr="00AA1A20">
        <w:rPr>
          <w:rFonts w:cs="Open Sans"/>
        </w:rPr>
        <w:t xml:space="preserve">if, having regard to other methods (if any) of obtaining access to the relevant data which are likely to be as effective, it is reasonable in all the circumstances to do so: </w:t>
      </w:r>
    </w:p>
    <w:p w14:paraId="3EF7F3A6" w14:textId="77777777" w:rsidR="005B59BD" w:rsidRPr="00AA1A20" w:rsidRDefault="005B59BD" w:rsidP="00FB5828">
      <w:pPr>
        <w:pStyle w:val="EndnoteText"/>
        <w:ind w:left="2880" w:hanging="720"/>
        <w:rPr>
          <w:rFonts w:cs="Open Sans"/>
        </w:rPr>
      </w:pPr>
      <w:r w:rsidRPr="00AA1A20">
        <w:rPr>
          <w:rFonts w:cs="Open Sans"/>
        </w:rPr>
        <w:t xml:space="preserve">(i) </w:t>
      </w:r>
      <w:r>
        <w:rPr>
          <w:rFonts w:cs="Open Sans"/>
        </w:rPr>
        <w:tab/>
      </w:r>
      <w:r w:rsidRPr="00AA1A20">
        <w:rPr>
          <w:rFonts w:cs="Open Sans"/>
        </w:rPr>
        <w:t xml:space="preserve">using any other computer or a communication in transit to access the relevant data; and </w:t>
      </w:r>
    </w:p>
    <w:p w14:paraId="494B0843" w14:textId="77777777" w:rsidR="005B59BD" w:rsidRPr="00AA1A20" w:rsidRDefault="005B59BD" w:rsidP="00FB5828">
      <w:pPr>
        <w:pStyle w:val="EndnoteText"/>
        <w:ind w:left="2880" w:hanging="720"/>
        <w:rPr>
          <w:rFonts w:cs="Open Sans"/>
        </w:rPr>
      </w:pPr>
      <w:r w:rsidRPr="00AA1A20">
        <w:rPr>
          <w:rFonts w:cs="Open Sans"/>
        </w:rPr>
        <w:t xml:space="preserve">(ii) </w:t>
      </w:r>
      <w:r>
        <w:rPr>
          <w:rFonts w:cs="Open Sans"/>
        </w:rPr>
        <w:tab/>
      </w:r>
      <w:r w:rsidRPr="00AA1A20">
        <w:rPr>
          <w:rFonts w:cs="Open Sans"/>
        </w:rPr>
        <w:t xml:space="preserve">if necessary to achieve that purpose—adding, copying, deleting or altering other data in the computer or the communication in transit … </w:t>
      </w:r>
    </w:p>
    <w:p w14:paraId="5E88CDD3" w14:textId="22C53BD1" w:rsidR="005B59BD" w:rsidRPr="00EF422D" w:rsidRDefault="005B59BD" w:rsidP="00FB5828">
      <w:pPr>
        <w:pStyle w:val="Heading3"/>
        <w:rPr>
          <w:lang w:eastAsia="en-US"/>
        </w:rPr>
      </w:pPr>
      <w:bookmarkStart w:id="173" w:name="_Toc527107816"/>
      <w:r w:rsidRPr="00EF422D">
        <w:rPr>
          <w:i/>
          <w:lang w:eastAsia="en-US"/>
        </w:rPr>
        <w:t>Access to third party premises for the purpose of executing a computer access warrant</w:t>
      </w:r>
      <w:bookmarkEnd w:id="173"/>
    </w:p>
    <w:p w14:paraId="414D0F8A" w14:textId="4B23DD4D"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w:t>
      </w:r>
      <w:r w:rsidR="004A6ACC">
        <w:rPr>
          <w:rFonts w:cs="Open Sans"/>
        </w:rPr>
        <w:t>E</w:t>
      </w:r>
      <w:r w:rsidRPr="00AA1A20">
        <w:rPr>
          <w:rFonts w:cs="Open Sans"/>
        </w:rPr>
        <w:t xml:space="preserve">xplanatory </w:t>
      </w:r>
      <w:r w:rsidR="004A6ACC">
        <w:rPr>
          <w:rFonts w:cs="Open Sans"/>
        </w:rPr>
        <w:t>M</w:t>
      </w:r>
      <w:r>
        <w:rPr>
          <w:rFonts w:cs="Open Sans"/>
        </w:rPr>
        <w:t>emorandum</w:t>
      </w:r>
      <w:r w:rsidRPr="00AA1A20">
        <w:rPr>
          <w:rFonts w:cs="Open Sans"/>
        </w:rPr>
        <w:t xml:space="preserve"> justifies the need for possible access to third party premises for the purpose of executing a computer access warrant </w:t>
      </w:r>
      <w:r>
        <w:rPr>
          <w:rFonts w:cs="Open Sans"/>
        </w:rPr>
        <w:t xml:space="preserve">under the SD Act </w:t>
      </w:r>
      <w:r w:rsidRPr="00AA1A20">
        <w:rPr>
          <w:rFonts w:cs="Open Sans"/>
        </w:rPr>
        <w:t>as follows:</w:t>
      </w:r>
    </w:p>
    <w:p w14:paraId="4459EC96" w14:textId="723449D9" w:rsidR="005B59BD" w:rsidRPr="00AA1A20" w:rsidRDefault="005B59BD" w:rsidP="005B59BD">
      <w:pPr>
        <w:pStyle w:val="EndnoteText"/>
        <w:rPr>
          <w:rFonts w:cs="Open Sans"/>
        </w:rPr>
      </w:pPr>
      <w:r w:rsidRPr="00AA1A20">
        <w:rPr>
          <w:rFonts w:cs="Open Sans"/>
        </w:rPr>
        <w:t xml:space="preserve">This may </w:t>
      </w:r>
      <w:r>
        <w:rPr>
          <w:rFonts w:cs="Open Sans"/>
        </w:rPr>
        <w:t xml:space="preserve">occur where </w:t>
      </w:r>
      <w:r w:rsidRPr="00AA1A20">
        <w:rPr>
          <w:rFonts w:cs="Open Sans"/>
        </w:rPr>
        <w:t xml:space="preserve">there is no other way to gain access to the subject premises (for example, in an apartment complex where it is necessary to enter the premises through shared or common premises). It may also occur where, for operational reasons, the best means of entry might be through adjacent premises (for example, where entry through the main entrance may involve too great a risk </w:t>
      </w:r>
      <w:r>
        <w:rPr>
          <w:rFonts w:cs="Open Sans"/>
        </w:rPr>
        <w:t>to the safety of executing officers</w:t>
      </w:r>
      <w:r w:rsidRPr="00AA1A20">
        <w:rPr>
          <w:rFonts w:cs="Open Sans"/>
        </w:rPr>
        <w:t xml:space="preserve">). The need to access third party premises may also arise </w:t>
      </w:r>
      <w:r>
        <w:rPr>
          <w:rFonts w:cs="Open Sans"/>
        </w:rPr>
        <w:t>in</w:t>
      </w:r>
      <w:r w:rsidRPr="00AA1A20">
        <w:rPr>
          <w:rFonts w:cs="Open Sans"/>
        </w:rPr>
        <w:t xml:space="preserve"> emergency and unforeseen circumstances (for example, where a person arrives at the subject premises unexpectedly during a search and it is necessary to exit through third party premises to avoid detection).</w:t>
      </w:r>
      <w:r w:rsidRPr="00543C35">
        <w:rPr>
          <w:rStyle w:val="EndnoteReference"/>
          <w:vertAlign w:val="superscript"/>
        </w:rPr>
        <w:endnoteReference w:id="170"/>
      </w:r>
    </w:p>
    <w:p w14:paraId="48D60CF6"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In situations such as the ones outlined above, the Commission accepts that it might be legitimate for law enforcement agencies to access third party premises for the purposes of executing a computer access warrant. However, entry into the homes or businesses of innocent people limits their right to privacy protected by article 17 of the ICCPR. </w:t>
      </w:r>
    </w:p>
    <w:p w14:paraId="56BC045F" w14:textId="544D312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lastRenderedPageBreak/>
        <w:t xml:space="preserve">To avoid being arbitrary, such entry must be demonstrated to be necessary and proportionate to achieve the relevant law enforcement or national security purpose. The Commission therefore considers that access to third party premises should be limited to cases where it is </w:t>
      </w:r>
      <w:r w:rsidRPr="00AA1A20">
        <w:rPr>
          <w:rFonts w:cs="Open Sans"/>
          <w:i/>
        </w:rPr>
        <w:t>necessary</w:t>
      </w:r>
      <w:r w:rsidRPr="00AA1A20">
        <w:rPr>
          <w:rFonts w:cs="Open Sans"/>
        </w:rPr>
        <w:t xml:space="preserve"> to execute the warrant</w:t>
      </w:r>
      <w:r>
        <w:rPr>
          <w:rFonts w:cs="Open Sans"/>
        </w:rPr>
        <w:t xml:space="preserve"> (or conceal its execution)</w:t>
      </w:r>
      <w:r w:rsidRPr="00AA1A20">
        <w:rPr>
          <w:rFonts w:cs="Open Sans"/>
        </w:rPr>
        <w:t>. The current scope of proposed</w:t>
      </w:r>
      <w:r w:rsidR="00205E36">
        <w:rPr>
          <w:rFonts w:cs="Open Sans"/>
        </w:rPr>
        <w:t xml:space="preserve"> ss </w:t>
      </w:r>
      <w:r w:rsidRPr="00AA1A20">
        <w:rPr>
          <w:rFonts w:cs="Open Sans"/>
        </w:rPr>
        <w:t xml:space="preserve">27E(2) </w:t>
      </w:r>
      <w:r>
        <w:rPr>
          <w:rFonts w:cs="Open Sans"/>
        </w:rPr>
        <w:t xml:space="preserve">and (7) of the SD Act </w:t>
      </w:r>
      <w:r w:rsidRPr="00AA1A20">
        <w:rPr>
          <w:rFonts w:cs="Open Sans"/>
        </w:rPr>
        <w:t>is not explicitly limited to cases of necessity. Rather, under proposed</w:t>
      </w:r>
      <w:r w:rsidR="00205E36">
        <w:rPr>
          <w:rFonts w:cs="Open Sans"/>
        </w:rPr>
        <w:t xml:space="preserve"> s </w:t>
      </w:r>
      <w:r w:rsidRPr="00AA1A20">
        <w:rPr>
          <w:rFonts w:cs="Open Sans"/>
        </w:rPr>
        <w:t xml:space="preserve">27E(2)(b), an eligible </w:t>
      </w:r>
      <w:r>
        <w:rPr>
          <w:rFonts w:cs="Open Sans"/>
        </w:rPr>
        <w:t>Judge</w:t>
      </w:r>
      <w:r w:rsidRPr="00AA1A20">
        <w:rPr>
          <w:rFonts w:cs="Open Sans"/>
        </w:rPr>
        <w:t xml:space="preserve"> or nominated AAT member may authorise the entering of any premises for the purpose of gaining entry to, or exiting, a specified premises if they consider it to be ‘appropriate’ in the circumstances.</w:t>
      </w:r>
      <w:r>
        <w:rPr>
          <w:rFonts w:cs="Open Sans"/>
        </w:rPr>
        <w:t xml:space="preserve"> This would then have the effect of authorising entry to third party premises for the purpose of concealing the execution of the warrant (under proposed</w:t>
      </w:r>
      <w:r w:rsidR="00205E36">
        <w:rPr>
          <w:rFonts w:cs="Open Sans"/>
        </w:rPr>
        <w:t xml:space="preserve"> s </w:t>
      </w:r>
      <w:r>
        <w:rPr>
          <w:rFonts w:cs="Open Sans"/>
        </w:rPr>
        <w:t>27E(7)(e)).</w:t>
      </w:r>
    </w:p>
    <w:p w14:paraId="06008389" w14:textId="164CF01E"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An identical provision exists in</w:t>
      </w:r>
      <w:r w:rsidR="00205E36">
        <w:rPr>
          <w:rFonts w:cs="Open Sans"/>
        </w:rPr>
        <w:t xml:space="preserve"> ss </w:t>
      </w:r>
      <w:r w:rsidRPr="00AA1A20">
        <w:rPr>
          <w:rFonts w:cs="Open Sans"/>
        </w:rPr>
        <w:t xml:space="preserve">25A(4)(aaa) </w:t>
      </w:r>
      <w:r>
        <w:rPr>
          <w:rFonts w:cs="Open Sans"/>
        </w:rPr>
        <w:t xml:space="preserve">and 27E(2)(b) </w:t>
      </w:r>
      <w:r w:rsidRPr="00AA1A20">
        <w:rPr>
          <w:rFonts w:cs="Open Sans"/>
        </w:rPr>
        <w:t xml:space="preserve">of the ASIO Act and the Bill would insert </w:t>
      </w:r>
      <w:r>
        <w:rPr>
          <w:rFonts w:cs="Open Sans"/>
        </w:rPr>
        <w:t>an equivalent provision in relation to concealment by way of</w:t>
      </w:r>
      <w:r w:rsidRPr="00AA1A20">
        <w:rPr>
          <w:rFonts w:cs="Open Sans"/>
        </w:rPr>
        <w:t xml:space="preserve"> new</w:t>
      </w:r>
      <w:r w:rsidR="00205E36">
        <w:rPr>
          <w:rFonts w:cs="Open Sans"/>
        </w:rPr>
        <w:t xml:space="preserve"> ss </w:t>
      </w:r>
      <w:r w:rsidRPr="00AA1A20">
        <w:rPr>
          <w:rFonts w:cs="Open Sans"/>
        </w:rPr>
        <w:t>25A(8)(e)</w:t>
      </w:r>
      <w:r>
        <w:rPr>
          <w:rFonts w:cs="Open Sans"/>
        </w:rPr>
        <w:t>, 27A(3C)(e)</w:t>
      </w:r>
      <w:r w:rsidRPr="00AA1A20">
        <w:rPr>
          <w:rFonts w:cs="Open Sans"/>
        </w:rPr>
        <w:t xml:space="preserve"> </w:t>
      </w:r>
      <w:r>
        <w:rPr>
          <w:rFonts w:cs="Open Sans"/>
        </w:rPr>
        <w:t xml:space="preserve">and 27E(6)(e) </w:t>
      </w:r>
      <w:r w:rsidRPr="00AA1A20">
        <w:rPr>
          <w:rFonts w:cs="Open Sans"/>
        </w:rPr>
        <w:t xml:space="preserve">of the ASIO Act. For the reasons given above, the Commission considers that </w:t>
      </w:r>
      <w:r>
        <w:rPr>
          <w:rFonts w:cs="Open Sans"/>
        </w:rPr>
        <w:t xml:space="preserve">provisions relating to warrants under the ASIO Act that permit access to computers </w:t>
      </w:r>
      <w:r w:rsidRPr="00AA1A20">
        <w:rPr>
          <w:rFonts w:cs="Open Sans"/>
        </w:rPr>
        <w:t xml:space="preserve">should also be amended so that warrants may only permit access to third party premises in cases where it is </w:t>
      </w:r>
      <w:r w:rsidRPr="00AA1A20">
        <w:rPr>
          <w:rFonts w:cs="Open Sans"/>
          <w:i/>
        </w:rPr>
        <w:t>necessary</w:t>
      </w:r>
      <w:r w:rsidRPr="00AA1A20">
        <w:rPr>
          <w:rFonts w:cs="Open Sans"/>
        </w:rPr>
        <w:t xml:space="preserve"> to execute the warrant.</w:t>
      </w:r>
    </w:p>
    <w:p w14:paraId="5CC2DC22" w14:textId="77777777" w:rsidR="005B59BD" w:rsidRPr="00AA1A20" w:rsidRDefault="005B59BD" w:rsidP="00FB5828">
      <w:pPr>
        <w:pStyle w:val="ListNumber"/>
        <w:keepNext/>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recommends that:</w:t>
      </w:r>
    </w:p>
    <w:p w14:paraId="3A83FB7D" w14:textId="662099C0" w:rsidR="005B59BD" w:rsidRPr="00AA1A20" w:rsidRDefault="00BC2929" w:rsidP="00FB5828">
      <w:pPr>
        <w:pStyle w:val="ListNumber"/>
        <w:keepNext/>
        <w:numPr>
          <w:ilvl w:val="0"/>
          <w:numId w:val="0"/>
        </w:numPr>
        <w:ind w:left="720"/>
        <w:rPr>
          <w:rFonts w:cs="Open Sans"/>
          <w:b/>
        </w:rPr>
      </w:pPr>
      <w:r>
        <w:rPr>
          <w:rFonts w:cs="Open Sans"/>
          <w:b/>
        </w:rPr>
        <w:t xml:space="preserve">Recommendation </w:t>
      </w:r>
      <w:r w:rsidR="00D7469A">
        <w:rPr>
          <w:rFonts w:cs="Open Sans"/>
          <w:b/>
        </w:rPr>
        <w:t>34</w:t>
      </w:r>
    </w:p>
    <w:p w14:paraId="7453BCE7" w14:textId="174B73F8" w:rsidR="005B59BD" w:rsidRPr="00AA1A20" w:rsidRDefault="005B59BD" w:rsidP="005B59BD">
      <w:pPr>
        <w:pStyle w:val="ListNumber"/>
        <w:numPr>
          <w:ilvl w:val="0"/>
          <w:numId w:val="0"/>
        </w:numPr>
        <w:ind w:left="720"/>
        <w:rPr>
          <w:rFonts w:cs="Open Sans"/>
        </w:rPr>
      </w:pPr>
      <w:r w:rsidRPr="00AA1A20">
        <w:rPr>
          <w:rFonts w:cs="Open Sans"/>
        </w:rPr>
        <w:t>Proposed</w:t>
      </w:r>
      <w:r w:rsidR="00205E36">
        <w:rPr>
          <w:rFonts w:cs="Open Sans"/>
        </w:rPr>
        <w:t xml:space="preserve"> ss </w:t>
      </w:r>
      <w:r w:rsidRPr="00AA1A20">
        <w:rPr>
          <w:rFonts w:cs="Open Sans"/>
        </w:rPr>
        <w:t xml:space="preserve">27E(2)(b) and 27E(7)(e) of the </w:t>
      </w:r>
      <w:r w:rsidRPr="00AA1A20">
        <w:rPr>
          <w:rFonts w:cs="Open Sans"/>
          <w:i/>
        </w:rPr>
        <w:t xml:space="preserve">Surveillance </w:t>
      </w:r>
      <w:r w:rsidRPr="00AA1A20">
        <w:rPr>
          <w:rFonts w:cs="Open Sans"/>
        </w:rPr>
        <w:t>Devices</w:t>
      </w:r>
      <w:r w:rsidRPr="00AA1A20">
        <w:rPr>
          <w:rFonts w:cs="Open Sans"/>
          <w:i/>
        </w:rPr>
        <w:t xml:space="preserve"> Act 2004</w:t>
      </w:r>
      <w:r w:rsidRPr="00AA1A20">
        <w:rPr>
          <w:rFonts w:cs="Open Sans"/>
        </w:rPr>
        <w:t xml:space="preserve"> (Cth) be amended to ensure that a computer access warrant may only authorise access to third party premises where it is </w:t>
      </w:r>
      <w:r w:rsidRPr="00AA1A20">
        <w:rPr>
          <w:rFonts w:cs="Open Sans"/>
          <w:i/>
        </w:rPr>
        <w:t>necessary</w:t>
      </w:r>
      <w:r w:rsidRPr="00AA1A20">
        <w:rPr>
          <w:rFonts w:cs="Open Sans"/>
        </w:rPr>
        <w:t xml:space="preserve"> to execute the warrant</w:t>
      </w:r>
      <w:r>
        <w:rPr>
          <w:rFonts w:cs="Open Sans"/>
        </w:rPr>
        <w:t xml:space="preserve"> or to conceal the execution of the warrant</w:t>
      </w:r>
      <w:r w:rsidRPr="00AA1A20">
        <w:rPr>
          <w:rFonts w:cs="Open Sans"/>
        </w:rPr>
        <w:t>.</w:t>
      </w:r>
    </w:p>
    <w:p w14:paraId="4B82E998" w14:textId="0BB737E4" w:rsidR="005B59BD" w:rsidRPr="00AA1A20" w:rsidRDefault="00BC2929" w:rsidP="00FB5828">
      <w:pPr>
        <w:pStyle w:val="ListNumber"/>
        <w:keepNext/>
        <w:numPr>
          <w:ilvl w:val="0"/>
          <w:numId w:val="0"/>
        </w:numPr>
        <w:ind w:left="720"/>
        <w:rPr>
          <w:rFonts w:cs="Open Sans"/>
          <w:b/>
        </w:rPr>
      </w:pPr>
      <w:r>
        <w:rPr>
          <w:rFonts w:cs="Open Sans"/>
          <w:b/>
        </w:rPr>
        <w:t xml:space="preserve">Recommendation </w:t>
      </w:r>
      <w:r w:rsidR="00D7469A">
        <w:rPr>
          <w:rFonts w:cs="Open Sans"/>
          <w:b/>
        </w:rPr>
        <w:t>35</w:t>
      </w:r>
    </w:p>
    <w:p w14:paraId="784859D6" w14:textId="4401485E" w:rsidR="005B59BD" w:rsidRPr="00AA1A20" w:rsidRDefault="005B59BD" w:rsidP="005B59BD">
      <w:pPr>
        <w:pStyle w:val="ListNumber"/>
        <w:numPr>
          <w:ilvl w:val="0"/>
          <w:numId w:val="0"/>
        </w:numPr>
        <w:ind w:left="720"/>
        <w:rPr>
          <w:rFonts w:cs="Open Sans"/>
        </w:rPr>
      </w:pPr>
      <w:r w:rsidRPr="00AA1A20">
        <w:rPr>
          <w:rFonts w:cs="Open Sans"/>
        </w:rPr>
        <w:t>Section</w:t>
      </w:r>
      <w:r>
        <w:rPr>
          <w:rFonts w:cs="Open Sans"/>
        </w:rPr>
        <w:t>s</w:t>
      </w:r>
      <w:r w:rsidRPr="00AA1A20">
        <w:rPr>
          <w:rFonts w:cs="Open Sans"/>
        </w:rPr>
        <w:t xml:space="preserve"> 25A(4)(aaa)</w:t>
      </w:r>
      <w:r>
        <w:rPr>
          <w:rFonts w:cs="Open Sans"/>
        </w:rPr>
        <w:t xml:space="preserve"> and 27E(2)(b)</w:t>
      </w:r>
      <w:r w:rsidRPr="00AA1A20">
        <w:rPr>
          <w:rFonts w:cs="Open Sans"/>
        </w:rPr>
        <w:t xml:space="preserve"> and proposed</w:t>
      </w:r>
      <w:r w:rsidR="00205E36">
        <w:rPr>
          <w:rFonts w:cs="Open Sans"/>
        </w:rPr>
        <w:t xml:space="preserve"> ss </w:t>
      </w:r>
      <w:r w:rsidRPr="00AA1A20">
        <w:rPr>
          <w:rFonts w:cs="Open Sans"/>
        </w:rPr>
        <w:t>25A(8)(e)</w:t>
      </w:r>
      <w:r>
        <w:rPr>
          <w:rFonts w:cs="Open Sans"/>
        </w:rPr>
        <w:t>, 27A(3C)(e) and 27E(6)(e)</w:t>
      </w:r>
      <w:r w:rsidRPr="00AA1A20">
        <w:rPr>
          <w:rFonts w:cs="Open Sans"/>
        </w:rPr>
        <w:t xml:space="preserve"> of the </w:t>
      </w:r>
      <w:r w:rsidRPr="00AA1A20">
        <w:rPr>
          <w:rFonts w:cs="Open Sans"/>
          <w:i/>
        </w:rPr>
        <w:t>Australian Security Intelligence Organisation Act 1979</w:t>
      </w:r>
      <w:r w:rsidRPr="00AA1A20">
        <w:rPr>
          <w:rFonts w:cs="Open Sans"/>
        </w:rPr>
        <w:t xml:space="preserve"> (Cth) be amended to ensure that a computer access warrant </w:t>
      </w:r>
      <w:r>
        <w:rPr>
          <w:rFonts w:cs="Open Sans"/>
        </w:rPr>
        <w:t xml:space="preserve">(or either a foreign intelligence warrant or an identified person warrant that permits computer access) </w:t>
      </w:r>
      <w:r w:rsidRPr="00AA1A20">
        <w:rPr>
          <w:rFonts w:cs="Open Sans"/>
        </w:rPr>
        <w:t xml:space="preserve">may only authorise access to third party premises where it is </w:t>
      </w:r>
      <w:r w:rsidRPr="00AA1A20">
        <w:rPr>
          <w:rFonts w:cs="Open Sans"/>
          <w:i/>
        </w:rPr>
        <w:t>necessary</w:t>
      </w:r>
      <w:r w:rsidRPr="00AA1A20">
        <w:rPr>
          <w:rFonts w:cs="Open Sans"/>
        </w:rPr>
        <w:t xml:space="preserve"> to execute the warrant</w:t>
      </w:r>
      <w:r>
        <w:rPr>
          <w:rFonts w:cs="Open Sans"/>
        </w:rPr>
        <w:t xml:space="preserve"> or to conceal the execution of the warrant</w:t>
      </w:r>
      <w:r w:rsidRPr="00AA1A20">
        <w:rPr>
          <w:rFonts w:cs="Open Sans"/>
        </w:rPr>
        <w:t>.</w:t>
      </w:r>
    </w:p>
    <w:p w14:paraId="0AAB5CFC" w14:textId="2F6A0379" w:rsidR="005B59BD" w:rsidRPr="00EF422D" w:rsidRDefault="005B59BD" w:rsidP="00FB5828">
      <w:pPr>
        <w:pStyle w:val="Heading3"/>
        <w:rPr>
          <w:lang w:eastAsia="en-US"/>
        </w:rPr>
      </w:pPr>
      <w:bookmarkStart w:id="174" w:name="_Toc527107817"/>
      <w:r w:rsidRPr="00EF422D">
        <w:rPr>
          <w:i/>
          <w:lang w:eastAsia="en-US"/>
        </w:rPr>
        <w:t>Access to third party computers and communications for the purpose of executing a computer access warrant or search warrant</w:t>
      </w:r>
      <w:bookmarkEnd w:id="174"/>
    </w:p>
    <w:p w14:paraId="6B1AD4EF" w14:textId="32674DC4"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As extracted above, the Bill proposes to insert a new</w:t>
      </w:r>
      <w:r w:rsidR="00205E36">
        <w:rPr>
          <w:rFonts w:cs="Open Sans"/>
        </w:rPr>
        <w:t xml:space="preserve"> s </w:t>
      </w:r>
      <w:r w:rsidRPr="00AA1A20">
        <w:rPr>
          <w:rFonts w:cs="Open Sans"/>
        </w:rPr>
        <w:t xml:space="preserve">27E(2)(e) into the SD Act, which would enable the use of a third party computer or a </w:t>
      </w:r>
      <w:r w:rsidRPr="00AA1A20">
        <w:rPr>
          <w:rFonts w:cs="Open Sans"/>
        </w:rPr>
        <w:lastRenderedPageBreak/>
        <w:t>communication in transit for the purpose of obtaining access to the relevant data under a computer access warrant. This is consistent with existing provisions in the ASIO Act.</w:t>
      </w:r>
      <w:r w:rsidRPr="00543C35">
        <w:rPr>
          <w:rStyle w:val="EndnoteReference"/>
          <w:vertAlign w:val="superscript"/>
        </w:rPr>
        <w:endnoteReference w:id="171"/>
      </w:r>
      <w:r w:rsidRPr="00AA1A20">
        <w:rPr>
          <w:rFonts w:cs="Open Sans"/>
        </w:rPr>
        <w:t xml:space="preserve"> </w:t>
      </w:r>
    </w:p>
    <w:p w14:paraId="7F67C729" w14:textId="2A634DE8"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Proposed</w:t>
      </w:r>
      <w:r w:rsidR="00205E36">
        <w:rPr>
          <w:rFonts w:cs="Open Sans"/>
        </w:rPr>
        <w:t xml:space="preserve"> s </w:t>
      </w:r>
      <w:r w:rsidRPr="00AA1A20">
        <w:rPr>
          <w:rFonts w:cs="Open Sans"/>
        </w:rPr>
        <w:t xml:space="preserve">27E(2)(e) also permits the adding, copying, deleting or altering of other data in the third party computer or of a communication in transit if necessary to access the relevant data. </w:t>
      </w:r>
    </w:p>
    <w:p w14:paraId="4B50774A" w14:textId="283540C1"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Proposed</w:t>
      </w:r>
      <w:r w:rsidR="00205E36">
        <w:rPr>
          <w:rFonts w:cs="Open Sans"/>
        </w:rPr>
        <w:t xml:space="preserve"> s </w:t>
      </w:r>
      <w:r w:rsidRPr="00AA1A20">
        <w:rPr>
          <w:rFonts w:cs="Open Sans"/>
        </w:rPr>
        <w:t>27E(2)(e) sets out a legislative safeguard, providing that warrants may only authorise access to third party computers and communications where it is reasonable in all the circumstances, having regard to other methods of obtaining access to the data which are likely to be as effective.</w:t>
      </w:r>
    </w:p>
    <w:p w14:paraId="68FD3469"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Accessing third party computers, where the individuals affected are not suspected of being engaged in criminal activities, or a direct threat to national security, in order to gain access to a target computer potentially authorises highly intrusive interferences with the right to privacy. </w:t>
      </w:r>
    </w:p>
    <w:p w14:paraId="54D09AE0" w14:textId="0AC7C9D8"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In order to better protect against arbitrary interferences of privacy, the Commission recommends that the legislative safeguard </w:t>
      </w:r>
      <w:r>
        <w:rPr>
          <w:rFonts w:cs="Open Sans"/>
        </w:rPr>
        <w:t>in proposed</w:t>
      </w:r>
      <w:r w:rsidR="00205E36">
        <w:rPr>
          <w:rFonts w:cs="Open Sans"/>
        </w:rPr>
        <w:t xml:space="preserve"> s </w:t>
      </w:r>
      <w:r>
        <w:rPr>
          <w:rFonts w:cs="Open Sans"/>
        </w:rPr>
        <w:t xml:space="preserve">27E(2)(e) </w:t>
      </w:r>
      <w:r w:rsidRPr="00AA1A20">
        <w:rPr>
          <w:rFonts w:cs="Open Sans"/>
        </w:rPr>
        <w:t>be amended</w:t>
      </w:r>
      <w:r>
        <w:rPr>
          <w:rFonts w:cs="Open Sans"/>
        </w:rPr>
        <w:t>. It should</w:t>
      </w:r>
      <w:r w:rsidRPr="00AA1A20">
        <w:rPr>
          <w:rFonts w:cs="Open Sans"/>
        </w:rPr>
        <w:t xml:space="preserve"> ensure that a warrant may only authorise access to third party computers or communications in transit where the issuing authority is satisfied that access is </w:t>
      </w:r>
      <w:r w:rsidRPr="00AA1A20">
        <w:rPr>
          <w:rFonts w:cs="Open Sans"/>
          <w:i/>
        </w:rPr>
        <w:t>necessary</w:t>
      </w:r>
      <w:r w:rsidRPr="00AA1A20">
        <w:rPr>
          <w:rFonts w:cs="Open Sans"/>
        </w:rPr>
        <w:t xml:space="preserve"> in all the circumstances, having regard to other methods of obtaining access to the data which are likely to be as effective, and having regard to the </w:t>
      </w:r>
      <w:r>
        <w:rPr>
          <w:rFonts w:cs="Open Sans"/>
        </w:rPr>
        <w:t>human rights of relevant parties, including their right</w:t>
      </w:r>
      <w:r w:rsidRPr="00AA1A20">
        <w:rPr>
          <w:rFonts w:cs="Open Sans"/>
        </w:rPr>
        <w:t xml:space="preserve"> to privacy. An issuing authority should only allow access to third party computers or communications in transit after considering the </w:t>
      </w:r>
      <w:r>
        <w:rPr>
          <w:rFonts w:cs="Open Sans"/>
        </w:rPr>
        <w:t xml:space="preserve">human rights </w:t>
      </w:r>
      <w:r w:rsidRPr="00AA1A20">
        <w:rPr>
          <w:rFonts w:cs="Open Sans"/>
        </w:rPr>
        <w:t xml:space="preserve">of </w:t>
      </w:r>
      <w:r>
        <w:rPr>
          <w:rFonts w:cs="Open Sans"/>
        </w:rPr>
        <w:t xml:space="preserve">relevant parties </w:t>
      </w:r>
      <w:r w:rsidRPr="00AA1A20">
        <w:rPr>
          <w:rFonts w:cs="Open Sans"/>
        </w:rPr>
        <w:t xml:space="preserve">and </w:t>
      </w:r>
      <w:r>
        <w:rPr>
          <w:rFonts w:cs="Open Sans"/>
        </w:rPr>
        <w:t xml:space="preserve">being </w:t>
      </w:r>
      <w:r w:rsidRPr="00AA1A20">
        <w:rPr>
          <w:rFonts w:cs="Open Sans"/>
        </w:rPr>
        <w:t xml:space="preserve">satisfied that the limits on their privacy and other human rights are proportionate in the circumstances. </w:t>
      </w:r>
    </w:p>
    <w:p w14:paraId="61D27171" w14:textId="65ACF843"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Bill also seeks to insert provisions identical to proposed</w:t>
      </w:r>
      <w:r w:rsidR="00205E36">
        <w:rPr>
          <w:rFonts w:cs="Open Sans"/>
        </w:rPr>
        <w:t xml:space="preserve"> s </w:t>
      </w:r>
      <w:r w:rsidRPr="00AA1A20">
        <w:rPr>
          <w:rFonts w:cs="Open Sans"/>
        </w:rPr>
        <w:t>27E(2)(e) of the SD Act into numerous sections of the ASIO Act,</w:t>
      </w:r>
      <w:r w:rsidRPr="00543C35">
        <w:rPr>
          <w:rStyle w:val="EndnoteReference"/>
          <w:vertAlign w:val="superscript"/>
        </w:rPr>
        <w:endnoteReference w:id="172"/>
      </w:r>
      <w:r w:rsidRPr="00AA1A20">
        <w:rPr>
          <w:rFonts w:cs="Open Sans"/>
        </w:rPr>
        <w:t xml:space="preserve"> as well the Crimes Act</w:t>
      </w:r>
      <w:r w:rsidRPr="00543C35">
        <w:rPr>
          <w:rStyle w:val="EndnoteReference"/>
          <w:vertAlign w:val="superscript"/>
        </w:rPr>
        <w:endnoteReference w:id="173"/>
      </w:r>
      <w:r w:rsidRPr="00AA1A20">
        <w:rPr>
          <w:rFonts w:cs="Open Sans"/>
        </w:rPr>
        <w:t xml:space="preserve"> and the Customs Act.</w:t>
      </w:r>
      <w:r w:rsidRPr="00543C35">
        <w:rPr>
          <w:rStyle w:val="EndnoteReference"/>
          <w:vertAlign w:val="superscript"/>
        </w:rPr>
        <w:endnoteReference w:id="174"/>
      </w:r>
    </w:p>
    <w:p w14:paraId="6156F5BC"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For the reasons discussed above, the Commission recommends that equivalent changes be made to each of these proposed provisions. </w:t>
      </w:r>
    </w:p>
    <w:p w14:paraId="601E0689" w14:textId="77777777" w:rsidR="005B59BD" w:rsidRPr="00AA1A20" w:rsidRDefault="005B59BD" w:rsidP="00FB5828">
      <w:pPr>
        <w:pStyle w:val="ListNumber"/>
        <w:keepNext/>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recommends that:</w:t>
      </w:r>
    </w:p>
    <w:p w14:paraId="7AED9C6B" w14:textId="0D94E7ED" w:rsidR="005B59BD" w:rsidRPr="00AA1A20" w:rsidRDefault="00BC2929" w:rsidP="00FB5828">
      <w:pPr>
        <w:pStyle w:val="ListNumber"/>
        <w:keepNext/>
        <w:numPr>
          <w:ilvl w:val="0"/>
          <w:numId w:val="0"/>
        </w:numPr>
        <w:ind w:left="720"/>
        <w:rPr>
          <w:rFonts w:cs="Open Sans"/>
          <w:b/>
        </w:rPr>
      </w:pPr>
      <w:r>
        <w:rPr>
          <w:rFonts w:cs="Open Sans"/>
          <w:b/>
        </w:rPr>
        <w:t xml:space="preserve">Recommendation </w:t>
      </w:r>
      <w:r w:rsidR="00D7469A">
        <w:rPr>
          <w:rFonts w:cs="Open Sans"/>
          <w:b/>
        </w:rPr>
        <w:t>36</w:t>
      </w:r>
    </w:p>
    <w:p w14:paraId="0896AF3C" w14:textId="77777777" w:rsidR="005B59BD" w:rsidRPr="00AA1A20" w:rsidRDefault="005B59BD" w:rsidP="005B59BD">
      <w:pPr>
        <w:pStyle w:val="ListNumber"/>
        <w:numPr>
          <w:ilvl w:val="0"/>
          <w:numId w:val="0"/>
        </w:numPr>
        <w:ind w:left="720"/>
        <w:rPr>
          <w:rFonts w:cs="Open Sans"/>
        </w:rPr>
      </w:pPr>
      <w:r w:rsidRPr="00AA1A20">
        <w:rPr>
          <w:rFonts w:cs="Open Sans"/>
        </w:rPr>
        <w:t xml:space="preserve">Warrants relating to computer access under the </w:t>
      </w:r>
      <w:r w:rsidRPr="00AA1A20">
        <w:rPr>
          <w:rFonts w:cs="Open Sans"/>
          <w:i/>
        </w:rPr>
        <w:t xml:space="preserve">Australian Security Intelligence Organisation Act 1979 </w:t>
      </w:r>
      <w:r w:rsidRPr="00AA1A20">
        <w:rPr>
          <w:rFonts w:cs="Open Sans"/>
        </w:rPr>
        <w:t xml:space="preserve">(Cth), the </w:t>
      </w:r>
      <w:r w:rsidRPr="00AA1A20">
        <w:rPr>
          <w:rFonts w:cs="Open Sans"/>
          <w:i/>
        </w:rPr>
        <w:t>Surveillance Devices Act 2004</w:t>
      </w:r>
      <w:r w:rsidRPr="00AA1A20">
        <w:rPr>
          <w:rFonts w:cs="Open Sans"/>
        </w:rPr>
        <w:t xml:space="preserve"> (Cth), the </w:t>
      </w:r>
      <w:r w:rsidRPr="00AA1A20">
        <w:rPr>
          <w:rFonts w:cs="Open Sans"/>
          <w:i/>
        </w:rPr>
        <w:t>Crimes Act 1914</w:t>
      </w:r>
      <w:r w:rsidRPr="00AA1A20">
        <w:rPr>
          <w:rFonts w:cs="Open Sans"/>
        </w:rPr>
        <w:t xml:space="preserve"> (Cth) and the </w:t>
      </w:r>
      <w:r w:rsidRPr="00AA1A20">
        <w:rPr>
          <w:rFonts w:cs="Open Sans"/>
          <w:i/>
        </w:rPr>
        <w:t>Customs Act 1901</w:t>
      </w:r>
      <w:r w:rsidRPr="00AA1A20">
        <w:rPr>
          <w:rFonts w:cs="Open Sans"/>
        </w:rPr>
        <w:t xml:space="preserve"> (Cth) should only authorise access to third party computers or communications in transit where the issuing authority is satisfied that access is necessary in all the </w:t>
      </w:r>
      <w:r w:rsidRPr="00AA1A20">
        <w:rPr>
          <w:rFonts w:cs="Open Sans"/>
        </w:rPr>
        <w:lastRenderedPageBreak/>
        <w:t xml:space="preserve">circumstances, having regard to other methods of obtaining access to the data which are as likely to be as effective, and having regard to the human rights of the third party, including their right to privacy. </w:t>
      </w:r>
    </w:p>
    <w:p w14:paraId="17CD35BD" w14:textId="24922C04" w:rsidR="005B59BD" w:rsidRPr="00AA1A20" w:rsidRDefault="00BC2929" w:rsidP="00FA3E3B">
      <w:pPr>
        <w:pStyle w:val="ListNumber"/>
        <w:keepNext/>
        <w:numPr>
          <w:ilvl w:val="0"/>
          <w:numId w:val="0"/>
        </w:numPr>
        <w:ind w:left="720"/>
        <w:rPr>
          <w:rFonts w:cs="Open Sans"/>
          <w:b/>
        </w:rPr>
      </w:pPr>
      <w:r>
        <w:rPr>
          <w:rFonts w:cs="Open Sans"/>
          <w:b/>
        </w:rPr>
        <w:t xml:space="preserve">Recommendation </w:t>
      </w:r>
      <w:r w:rsidR="00D7469A">
        <w:rPr>
          <w:rFonts w:cs="Open Sans"/>
          <w:b/>
        </w:rPr>
        <w:t>37</w:t>
      </w:r>
    </w:p>
    <w:p w14:paraId="36935C31" w14:textId="6E95AE33" w:rsidR="005B59BD" w:rsidRPr="00AA1A20" w:rsidRDefault="005B59BD" w:rsidP="00E77015">
      <w:pPr>
        <w:pStyle w:val="ListNumber"/>
        <w:numPr>
          <w:ilvl w:val="0"/>
          <w:numId w:val="0"/>
        </w:numPr>
        <w:ind w:left="720"/>
        <w:rPr>
          <w:rFonts w:cs="Open Sans"/>
        </w:rPr>
      </w:pPr>
      <w:r>
        <w:rPr>
          <w:rFonts w:cs="Open Sans"/>
        </w:rPr>
        <w:t>An issuing authority for a w</w:t>
      </w:r>
      <w:r w:rsidRPr="00AA1A20">
        <w:rPr>
          <w:rFonts w:cs="Open Sans"/>
        </w:rPr>
        <w:t xml:space="preserve">arrant relating to computer access under the </w:t>
      </w:r>
      <w:r w:rsidRPr="00AA1A20">
        <w:rPr>
          <w:rFonts w:cs="Open Sans"/>
          <w:i/>
        </w:rPr>
        <w:t xml:space="preserve">Australian Security Intelligence Organisation Act 1979 </w:t>
      </w:r>
      <w:r w:rsidRPr="00AA1A20">
        <w:rPr>
          <w:rFonts w:cs="Open Sans"/>
        </w:rPr>
        <w:t>(Cth), the</w:t>
      </w:r>
      <w:r w:rsidRPr="00AA1A20">
        <w:rPr>
          <w:rFonts w:cs="Open Sans"/>
          <w:i/>
        </w:rPr>
        <w:t xml:space="preserve"> Surveillance Devices Act 2004</w:t>
      </w:r>
      <w:r w:rsidRPr="00AA1A20">
        <w:rPr>
          <w:rFonts w:cs="Open Sans"/>
        </w:rPr>
        <w:t xml:space="preserve"> (Cth), the </w:t>
      </w:r>
      <w:r w:rsidRPr="00AA1A20">
        <w:rPr>
          <w:rFonts w:cs="Open Sans"/>
          <w:i/>
        </w:rPr>
        <w:t>Crimes Act 1914</w:t>
      </w:r>
      <w:r w:rsidRPr="00AA1A20">
        <w:rPr>
          <w:rFonts w:cs="Open Sans"/>
        </w:rPr>
        <w:t xml:space="preserve"> (Cth) </w:t>
      </w:r>
      <w:r>
        <w:rPr>
          <w:rFonts w:cs="Open Sans"/>
        </w:rPr>
        <w:t xml:space="preserve">or </w:t>
      </w:r>
      <w:r w:rsidRPr="00AA1A20">
        <w:rPr>
          <w:rFonts w:cs="Open Sans"/>
        </w:rPr>
        <w:t xml:space="preserve">the </w:t>
      </w:r>
      <w:r w:rsidRPr="00AA1A20">
        <w:rPr>
          <w:rFonts w:cs="Open Sans"/>
          <w:i/>
        </w:rPr>
        <w:t>Customs Act 1901</w:t>
      </w:r>
      <w:r w:rsidRPr="00AA1A20">
        <w:rPr>
          <w:rFonts w:cs="Open Sans"/>
        </w:rPr>
        <w:t xml:space="preserve"> (Cth) should </w:t>
      </w:r>
      <w:r>
        <w:rPr>
          <w:rFonts w:cs="Open Sans"/>
        </w:rPr>
        <w:t xml:space="preserve">be </w:t>
      </w:r>
      <w:r w:rsidRPr="00AA1A20">
        <w:rPr>
          <w:rFonts w:cs="Open Sans"/>
        </w:rPr>
        <w:t>require</w:t>
      </w:r>
      <w:r>
        <w:rPr>
          <w:rFonts w:cs="Open Sans"/>
        </w:rPr>
        <w:t>d</w:t>
      </w:r>
      <w:r w:rsidRPr="00AA1A20">
        <w:rPr>
          <w:rFonts w:cs="Open Sans"/>
        </w:rPr>
        <w:t xml:space="preserve"> to consider the human rights of any third party, including their right to privacy, and should only allow access to third party computers or communications in transit if satisfied that the limits on their human rights are proportionate. </w:t>
      </w:r>
    </w:p>
    <w:p w14:paraId="4E44970C" w14:textId="77777777" w:rsidR="005B59BD" w:rsidRPr="00AA1A20" w:rsidRDefault="005B59BD" w:rsidP="005B59BD">
      <w:pPr>
        <w:pStyle w:val="Heading2"/>
        <w:rPr>
          <w:rFonts w:cs="Open Sans"/>
        </w:rPr>
      </w:pPr>
      <w:bookmarkStart w:id="175" w:name="_Toc524352518"/>
      <w:bookmarkStart w:id="176" w:name="_Toc527107818"/>
      <w:r w:rsidRPr="00AA1A20">
        <w:rPr>
          <w:rFonts w:cs="Open Sans"/>
        </w:rPr>
        <w:t>Concealment of access provisions</w:t>
      </w:r>
      <w:bookmarkEnd w:id="175"/>
      <w:bookmarkEnd w:id="176"/>
      <w:r w:rsidRPr="00AA1A20">
        <w:rPr>
          <w:rFonts w:cs="Open Sans"/>
        </w:rPr>
        <w:t xml:space="preserve"> </w:t>
      </w:r>
    </w:p>
    <w:p w14:paraId="386379A2" w14:textId="28C56C10"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Bill proposes to attach broad ‘concealment of access’ powers to computer access warrants issued under the SD Act and computer access warrants</w:t>
      </w:r>
      <w:r>
        <w:rPr>
          <w:rFonts w:cs="Open Sans"/>
        </w:rPr>
        <w:t>, foreign intelligence warrants</w:t>
      </w:r>
      <w:r w:rsidRPr="00AA1A20">
        <w:rPr>
          <w:rFonts w:cs="Open Sans"/>
        </w:rPr>
        <w:t xml:space="preserve"> and identified person warrants</w:t>
      </w:r>
      <w:r>
        <w:rPr>
          <w:rFonts w:cs="Open Sans"/>
        </w:rPr>
        <w:t xml:space="preserve"> involving computer access</w:t>
      </w:r>
      <w:r w:rsidRPr="00AA1A20">
        <w:rPr>
          <w:rFonts w:cs="Open Sans"/>
        </w:rPr>
        <w:t xml:space="preserve"> issued under the ASIO Act. </w:t>
      </w:r>
    </w:p>
    <w:p w14:paraId="5B3E0042" w14:textId="479EB197" w:rsidR="005B59BD" w:rsidRDefault="005B59BD" w:rsidP="005B59BD">
      <w:pPr>
        <w:pStyle w:val="ListNumber"/>
        <w:tabs>
          <w:tab w:val="clear" w:pos="360"/>
          <w:tab w:val="num" w:pos="993"/>
          <w:tab w:val="left" w:pos="1418"/>
        </w:tabs>
        <w:ind w:left="709" w:hanging="567"/>
        <w:rPr>
          <w:rFonts w:cs="Open Sans"/>
        </w:rPr>
      </w:pPr>
      <w:r w:rsidRPr="00AA1A20">
        <w:rPr>
          <w:rFonts w:cs="Open Sans"/>
        </w:rPr>
        <w:t>If any ‘thing’ has been done in relation to a computer under a warrant, proposed</w:t>
      </w:r>
      <w:r w:rsidR="00205E36">
        <w:rPr>
          <w:rFonts w:cs="Open Sans"/>
        </w:rPr>
        <w:t xml:space="preserve"> s </w:t>
      </w:r>
      <w:r w:rsidRPr="00AA1A20">
        <w:rPr>
          <w:rFonts w:cs="Open Sans"/>
        </w:rPr>
        <w:t>27E(7) of the SD Act and proposed</w:t>
      </w:r>
      <w:r w:rsidR="00205E36">
        <w:rPr>
          <w:rFonts w:cs="Open Sans"/>
        </w:rPr>
        <w:t xml:space="preserve"> ss </w:t>
      </w:r>
      <w:r w:rsidRPr="00AA1A20">
        <w:rPr>
          <w:rFonts w:cs="Open Sans"/>
        </w:rPr>
        <w:t xml:space="preserve">25A(8), 27A(3C) and 27E(6) of the ASIO Act would authorise the doing of any ‘thing’ that is reasonably necessary to conceal the fact that something had been done under the warrant. </w:t>
      </w:r>
    </w:p>
    <w:p w14:paraId="749CDDF5" w14:textId="42C84302" w:rsidR="005B59BD" w:rsidRPr="006B06BF" w:rsidRDefault="005B59BD" w:rsidP="005B59BD">
      <w:pPr>
        <w:pStyle w:val="Heading3"/>
        <w:rPr>
          <w:i/>
        </w:rPr>
      </w:pPr>
      <w:bookmarkStart w:id="177" w:name="_Toc527107819"/>
      <w:r w:rsidRPr="006B06BF">
        <w:rPr>
          <w:i/>
        </w:rPr>
        <w:t>Timeframes for concealment activity</w:t>
      </w:r>
      <w:bookmarkEnd w:id="177"/>
    </w:p>
    <w:p w14:paraId="40FBF51E"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timeframes provided for these concealment activities include any time while the warrant is in force, within 28 days after it ceases to be in force or ‘at the earliest time after that 28 day period at which it is reasonably practicable’.</w:t>
      </w:r>
      <w:r w:rsidRPr="00543C35">
        <w:rPr>
          <w:rStyle w:val="EndnoteReference"/>
          <w:vertAlign w:val="superscript"/>
        </w:rPr>
        <w:endnoteReference w:id="175"/>
      </w:r>
      <w:r w:rsidRPr="00AA1A20">
        <w:rPr>
          <w:rFonts w:cs="Open Sans"/>
        </w:rPr>
        <w:t xml:space="preserve"> </w:t>
      </w:r>
    </w:p>
    <w:p w14:paraId="1CF75625" w14:textId="5EE62804"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w:t>
      </w:r>
      <w:r w:rsidR="004A6ACC">
        <w:rPr>
          <w:rFonts w:cs="Open Sans"/>
        </w:rPr>
        <w:t>E</w:t>
      </w:r>
      <w:r w:rsidRPr="00AA1A20">
        <w:rPr>
          <w:rFonts w:cs="Open Sans"/>
        </w:rPr>
        <w:t xml:space="preserve">xplanatory </w:t>
      </w:r>
      <w:r w:rsidR="004A6ACC">
        <w:rPr>
          <w:rFonts w:cs="Open Sans"/>
        </w:rPr>
        <w:t>M</w:t>
      </w:r>
      <w:r>
        <w:rPr>
          <w:rFonts w:cs="Open Sans"/>
        </w:rPr>
        <w:t>emorandum</w:t>
      </w:r>
      <w:r w:rsidRPr="00AA1A20">
        <w:rPr>
          <w:rFonts w:cs="Open Sans"/>
        </w:rPr>
        <w:t xml:space="preserve"> explains the claimed need for this period of time as follows:</w:t>
      </w:r>
    </w:p>
    <w:p w14:paraId="57B07F8A" w14:textId="77777777" w:rsidR="005B59BD" w:rsidRPr="00AA1A20" w:rsidRDefault="005B59BD" w:rsidP="005B59BD">
      <w:pPr>
        <w:pStyle w:val="EndnoteText"/>
        <w:rPr>
          <w:rFonts w:cs="Open Sans"/>
        </w:rPr>
      </w:pPr>
      <w:r w:rsidRPr="00AA1A20">
        <w:rPr>
          <w:rFonts w:cs="Open Sans"/>
        </w:rPr>
        <w:t>The period of time provided to perform these concealment activities recognises that, operationally, it is sometimes impossible to complete this process within 28 days of a warrant expiring. The requirement that the concealment activities be performed ‘at the earliest time after the 28-day period at which it is reasonably practicable to do so’ acknowledges that this authority should not extend indefinitely, circumscribing it to operational need.</w:t>
      </w:r>
      <w:r w:rsidRPr="00543C35">
        <w:rPr>
          <w:rStyle w:val="EndnoteReference"/>
          <w:vertAlign w:val="superscript"/>
        </w:rPr>
        <w:endnoteReference w:id="176"/>
      </w:r>
    </w:p>
    <w:p w14:paraId="2919B085" w14:textId="36AAF24A" w:rsidR="005B59BD" w:rsidRDefault="005B59BD" w:rsidP="005B59BD">
      <w:pPr>
        <w:pStyle w:val="ListNumber"/>
        <w:tabs>
          <w:tab w:val="clear" w:pos="360"/>
          <w:tab w:val="num" w:pos="993"/>
          <w:tab w:val="left" w:pos="1418"/>
        </w:tabs>
        <w:ind w:left="709" w:hanging="567"/>
        <w:rPr>
          <w:rFonts w:cs="Open Sans"/>
        </w:rPr>
      </w:pPr>
      <w:r>
        <w:rPr>
          <w:rFonts w:cs="Open Sans"/>
        </w:rPr>
        <w:t xml:space="preserve">The proposed provisions represent two significant expansions of the current concealment powers available to ASIO under computer access </w:t>
      </w:r>
      <w:r>
        <w:rPr>
          <w:rFonts w:cs="Open Sans"/>
        </w:rPr>
        <w:lastRenderedPageBreak/>
        <w:t>warrants and identified person warrants that permit computer access. First, it is currently necessary for concealment activities to be specified in a warrant (that is, the concealment authorisation does not automatically attach to every warrant that is issued).</w:t>
      </w:r>
      <w:r w:rsidR="0038253F">
        <w:rPr>
          <w:rFonts w:cs="Open Sans"/>
        </w:rPr>
        <w:t xml:space="preserve"> </w:t>
      </w:r>
      <w:r>
        <w:rPr>
          <w:rFonts w:cs="Open Sans"/>
        </w:rPr>
        <w:t>Secondly, the concealment activities are currently only authorised for the duration of the warrant.</w:t>
      </w:r>
      <w:r w:rsidRPr="00AC045D">
        <w:rPr>
          <w:rStyle w:val="EndnoteReference"/>
          <w:vertAlign w:val="superscript"/>
        </w:rPr>
        <w:endnoteReference w:id="177"/>
      </w:r>
    </w:p>
    <w:p w14:paraId="59959A8F"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Commission acknowledges the importance of operational need and recognises that, where covert surveillance is demonstrated to be necessary and proportionate to achieving a legitimate objective, it is important that the relevant powers are effective. However, it also holds serious concerns that the proposed ‘concealment of access’ powers might allow for highly privacy-intrusive activities to occur long after a warrant has expired.</w:t>
      </w:r>
    </w:p>
    <w:p w14:paraId="5B573B49"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By way of example, it is not difficult to conceive of a situation where the subject of a covert computer access warrant leaves Australia before a security or law enforcement agency takes action to conceal the fact that access to a computer has occurred. If not considered ‘reasonably practicable’ for the suspect to be pursued into a foreign jurisdiction, the ‘concealment of access’ powers would arguably empower law enforcement authorities or ASIO to covertly access the subject’s computer (to do anything reasonably necessary to conceal the fact that access had previously been obtained) when they return to Australia. This could be after a significant amount of time has passed (possibly years) and could occur without any further authorisation from an eligible Judge or nominated AAT member or, in</w:t>
      </w:r>
      <w:r>
        <w:rPr>
          <w:rFonts w:cs="Open Sans"/>
        </w:rPr>
        <w:t xml:space="preserve"> the case of ASIO warrants, the </w:t>
      </w:r>
      <w:r w:rsidRPr="00AA1A20">
        <w:rPr>
          <w:rFonts w:cs="Open Sans"/>
        </w:rPr>
        <w:t>Attorney-General.</w:t>
      </w:r>
    </w:p>
    <w:p w14:paraId="3C8A4978"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Commission considers that, given the privacy-intrusive nature of the activities authorised by a computer access warrant and the concealment of access powers, it is not reasonable to continue to place reliance upon the original ‘reasonable suspicion/reasonable grounds’ threshold that underpinned the initial warrant if significant time has passed. This is particularly true when the facts and circumstances of an investigation might have changed considerably in the intervening period. </w:t>
      </w:r>
    </w:p>
    <w:p w14:paraId="2031544A" w14:textId="77777777" w:rsidR="005B59BD" w:rsidRDefault="005B59BD" w:rsidP="005B59BD">
      <w:pPr>
        <w:pStyle w:val="ListNumber"/>
        <w:tabs>
          <w:tab w:val="clear" w:pos="360"/>
          <w:tab w:val="num" w:pos="993"/>
          <w:tab w:val="left" w:pos="1418"/>
        </w:tabs>
        <w:ind w:left="709" w:hanging="567"/>
        <w:rPr>
          <w:rFonts w:cs="Open Sans"/>
        </w:rPr>
      </w:pPr>
      <w:r w:rsidRPr="00AA1A20">
        <w:rPr>
          <w:rFonts w:cs="Open Sans"/>
        </w:rPr>
        <w:t xml:space="preserve">If it is not reasonably practicable for ‘concealment of access’ to occur while the warrant is in effect, or within 28 days of its expiry, the Commission recommends that law enforcement authorities be required to return to an eligible Judge or nominated AAT member or, in the case of ASIO warrants, the Attorney-General for further authorisation. </w:t>
      </w:r>
    </w:p>
    <w:p w14:paraId="1F7B709A" w14:textId="77777777" w:rsidR="005B59BD" w:rsidRPr="00AA1A20" w:rsidRDefault="005B59BD" w:rsidP="005B59BD">
      <w:pPr>
        <w:pStyle w:val="ListNumber"/>
        <w:keepNext/>
        <w:tabs>
          <w:tab w:val="clear" w:pos="360"/>
          <w:tab w:val="num" w:pos="993"/>
          <w:tab w:val="left" w:pos="1418"/>
        </w:tabs>
        <w:ind w:left="709" w:hanging="567"/>
        <w:rPr>
          <w:rFonts w:cs="Open Sans"/>
        </w:rPr>
      </w:pPr>
      <w:r w:rsidRPr="00AA1A20">
        <w:rPr>
          <w:rFonts w:cs="Open Sans"/>
        </w:rPr>
        <w:lastRenderedPageBreak/>
        <w:t xml:space="preserve">The </w:t>
      </w:r>
      <w:r w:rsidRPr="00AA1A20">
        <w:rPr>
          <w:rFonts w:cs="Open Sans"/>
          <w:lang w:eastAsia="en-US"/>
        </w:rPr>
        <w:t>Commission</w:t>
      </w:r>
      <w:r w:rsidRPr="00AA1A20">
        <w:rPr>
          <w:rFonts w:cs="Open Sans"/>
        </w:rPr>
        <w:t xml:space="preserve"> recommends that:</w:t>
      </w:r>
    </w:p>
    <w:p w14:paraId="5D9B95FE" w14:textId="3E9A0555" w:rsidR="005B59BD" w:rsidRPr="00AA1A20" w:rsidRDefault="00BC2929" w:rsidP="00FB5828">
      <w:pPr>
        <w:pStyle w:val="ListNumber"/>
        <w:keepNext/>
        <w:numPr>
          <w:ilvl w:val="0"/>
          <w:numId w:val="0"/>
        </w:numPr>
        <w:ind w:left="720"/>
        <w:rPr>
          <w:rFonts w:cs="Open Sans"/>
          <w:b/>
        </w:rPr>
      </w:pPr>
      <w:r>
        <w:rPr>
          <w:rFonts w:cs="Open Sans"/>
          <w:b/>
        </w:rPr>
        <w:t xml:space="preserve">Recommendation </w:t>
      </w:r>
      <w:r w:rsidR="00D7469A">
        <w:rPr>
          <w:rFonts w:cs="Open Sans"/>
          <w:b/>
        </w:rPr>
        <w:t>38</w:t>
      </w:r>
    </w:p>
    <w:p w14:paraId="34D60724" w14:textId="56EDAC42" w:rsidR="005B59BD" w:rsidRPr="00AA1A20" w:rsidRDefault="005B59BD" w:rsidP="005B59BD">
      <w:pPr>
        <w:pStyle w:val="ListNumber"/>
        <w:numPr>
          <w:ilvl w:val="0"/>
          <w:numId w:val="0"/>
        </w:numPr>
        <w:ind w:left="720"/>
        <w:rPr>
          <w:rFonts w:cs="Open Sans"/>
        </w:rPr>
      </w:pPr>
      <w:r w:rsidRPr="00AA1A20">
        <w:rPr>
          <w:rFonts w:cs="Open Sans"/>
        </w:rPr>
        <w:t>Proposed</w:t>
      </w:r>
      <w:r w:rsidR="00205E36">
        <w:rPr>
          <w:rFonts w:cs="Open Sans"/>
        </w:rPr>
        <w:t xml:space="preserve"> s </w:t>
      </w:r>
      <w:r w:rsidRPr="00AA1A20">
        <w:rPr>
          <w:rFonts w:cs="Open Sans"/>
        </w:rPr>
        <w:t xml:space="preserve">27E(7)(k) of the </w:t>
      </w:r>
      <w:r w:rsidRPr="00AA1A20">
        <w:rPr>
          <w:rFonts w:cs="Open Sans"/>
          <w:i/>
        </w:rPr>
        <w:t>Surveillance Devices Act 2004</w:t>
      </w:r>
      <w:r w:rsidRPr="00AA1A20">
        <w:rPr>
          <w:rFonts w:cs="Open Sans"/>
        </w:rPr>
        <w:t xml:space="preserve"> (Cth) be deleted. If it is not reasonably practicable for ‘concealment of access’ to occur while the computer access warrant is in effect, or within 28 days of its expiry, the Commission recommends that provision be made in the legislation for law enforcement authorities to return to an eligible Judge or nominated AAT member for further authorisation.</w:t>
      </w:r>
    </w:p>
    <w:p w14:paraId="11DCD010" w14:textId="35CB6C97" w:rsidR="005B59BD" w:rsidRPr="00AA1A20" w:rsidRDefault="00BC2929" w:rsidP="00FB5828">
      <w:pPr>
        <w:pStyle w:val="ListNumber"/>
        <w:keepNext/>
        <w:numPr>
          <w:ilvl w:val="0"/>
          <w:numId w:val="0"/>
        </w:numPr>
        <w:ind w:left="720"/>
        <w:rPr>
          <w:rFonts w:cs="Open Sans"/>
          <w:b/>
        </w:rPr>
      </w:pPr>
      <w:r>
        <w:rPr>
          <w:rFonts w:cs="Open Sans"/>
          <w:b/>
        </w:rPr>
        <w:t xml:space="preserve">Recommendation </w:t>
      </w:r>
      <w:r w:rsidR="00D7469A">
        <w:rPr>
          <w:rFonts w:cs="Open Sans"/>
          <w:b/>
        </w:rPr>
        <w:t>39</w:t>
      </w:r>
    </w:p>
    <w:p w14:paraId="5F26C370" w14:textId="613D6CD0" w:rsidR="005B59BD" w:rsidRDefault="005B59BD" w:rsidP="005B59BD">
      <w:pPr>
        <w:pStyle w:val="ListNumber"/>
        <w:numPr>
          <w:ilvl w:val="0"/>
          <w:numId w:val="0"/>
        </w:numPr>
        <w:ind w:left="720"/>
        <w:rPr>
          <w:rFonts w:cs="Open Sans"/>
        </w:rPr>
      </w:pPr>
      <w:r w:rsidRPr="00AA1A20">
        <w:rPr>
          <w:rFonts w:cs="Open Sans"/>
        </w:rPr>
        <w:t>Proposed</w:t>
      </w:r>
      <w:r w:rsidR="00205E36">
        <w:rPr>
          <w:rFonts w:cs="Open Sans"/>
        </w:rPr>
        <w:t xml:space="preserve"> ss </w:t>
      </w:r>
      <w:r w:rsidRPr="00AA1A20">
        <w:rPr>
          <w:rFonts w:cs="Open Sans"/>
        </w:rPr>
        <w:t xml:space="preserve">25A(8)(k), 27A(3C)(k) </w:t>
      </w:r>
      <w:r>
        <w:rPr>
          <w:rFonts w:cs="Open Sans"/>
        </w:rPr>
        <w:t xml:space="preserve">and </w:t>
      </w:r>
      <w:r w:rsidRPr="00AA1A20">
        <w:rPr>
          <w:rFonts w:cs="Open Sans"/>
        </w:rPr>
        <w:t xml:space="preserve">27E(6)(k) of the </w:t>
      </w:r>
      <w:r w:rsidRPr="00AA1A20">
        <w:rPr>
          <w:rFonts w:cs="Open Sans"/>
          <w:i/>
        </w:rPr>
        <w:t xml:space="preserve">Australian Security Intelligence Organisation Act 1979 </w:t>
      </w:r>
      <w:r w:rsidRPr="00AA1A20">
        <w:rPr>
          <w:rFonts w:cs="Open Sans"/>
        </w:rPr>
        <w:t xml:space="preserve">(Cth) be deleted. If it is not reasonably practicable for ‘concealment of access’ to occur while the warrant is in effect, or within 28 days of its expiry, the Commission recommends that provision be made in the legislation for ASIO to return to the Attorney-General </w:t>
      </w:r>
      <w:r>
        <w:rPr>
          <w:rFonts w:cs="Open Sans"/>
        </w:rPr>
        <w:t xml:space="preserve">(or Director-General in the case of an identified person warrant) </w:t>
      </w:r>
      <w:r w:rsidRPr="00AA1A20">
        <w:rPr>
          <w:rFonts w:cs="Open Sans"/>
        </w:rPr>
        <w:t>for further authorisation.</w:t>
      </w:r>
    </w:p>
    <w:p w14:paraId="6D24806B" w14:textId="1C18D166" w:rsidR="005B59BD" w:rsidRPr="006B06BF" w:rsidRDefault="005B59BD" w:rsidP="005B59BD">
      <w:pPr>
        <w:pStyle w:val="Heading3"/>
        <w:rPr>
          <w:i/>
        </w:rPr>
      </w:pPr>
      <w:bookmarkStart w:id="178" w:name="_Toc527107820"/>
      <w:r w:rsidRPr="006B06BF">
        <w:rPr>
          <w:i/>
        </w:rPr>
        <w:t>Limitations on concealment activity</w:t>
      </w:r>
      <w:bookmarkEnd w:id="178"/>
    </w:p>
    <w:p w14:paraId="2C5F75D2" w14:textId="77777777" w:rsidR="005B59BD" w:rsidRDefault="005B59BD" w:rsidP="005B59BD">
      <w:pPr>
        <w:pStyle w:val="ListNumber"/>
        <w:tabs>
          <w:tab w:val="clear" w:pos="360"/>
          <w:tab w:val="num" w:pos="993"/>
          <w:tab w:val="left" w:pos="1418"/>
        </w:tabs>
        <w:ind w:left="709" w:hanging="567"/>
        <w:rPr>
          <w:rFonts w:cs="Open Sans"/>
        </w:rPr>
      </w:pPr>
      <w:r>
        <w:rPr>
          <w:rFonts w:cs="Open Sans"/>
        </w:rPr>
        <w:t>At present, there are limitations on the powers of ASIO to do things that would otherwise be authorised under a computer access warrant or a foreign intelligence warrant or identified person warrant that permits computer access.</w:t>
      </w:r>
      <w:r w:rsidRPr="007C626A">
        <w:rPr>
          <w:rStyle w:val="EndnoteReference"/>
          <w:vertAlign w:val="superscript"/>
        </w:rPr>
        <w:endnoteReference w:id="178"/>
      </w:r>
      <w:r>
        <w:rPr>
          <w:rFonts w:cs="Open Sans"/>
        </w:rPr>
        <w:t xml:space="preserve"> In particular, these warrants do not authorise the addition, deletion or alteration of data, or the doing of any thing, that is likely to:</w:t>
      </w:r>
    </w:p>
    <w:p w14:paraId="6537B0F5" w14:textId="77777777" w:rsidR="005B59BD" w:rsidRDefault="005B59BD" w:rsidP="005B59BD">
      <w:pPr>
        <w:pStyle w:val="ListNumber"/>
        <w:numPr>
          <w:ilvl w:val="0"/>
          <w:numId w:val="98"/>
        </w:numPr>
        <w:tabs>
          <w:tab w:val="left" w:pos="1418"/>
        </w:tabs>
        <w:rPr>
          <w:rFonts w:cs="Open Sans"/>
        </w:rPr>
      </w:pPr>
      <w:r>
        <w:rPr>
          <w:rFonts w:cs="Open Sans"/>
        </w:rPr>
        <w:t xml:space="preserve">materially interfere with, interrupt or obstruct </w:t>
      </w:r>
      <w:r w:rsidRPr="00287201">
        <w:rPr>
          <w:rFonts w:cs="Open Sans"/>
        </w:rPr>
        <w:t>a communication in transit or the lawful use by other persons of a computer unless the addition, deletion or alteration, or the doing of the thing, is necessary to do one or more of the things specified in the warrant</w:t>
      </w:r>
      <w:r>
        <w:rPr>
          <w:rFonts w:cs="Open Sans"/>
        </w:rPr>
        <w:t>; or</w:t>
      </w:r>
    </w:p>
    <w:p w14:paraId="248CA5A2" w14:textId="77777777" w:rsidR="005B59BD" w:rsidRDefault="005B59BD" w:rsidP="005B59BD">
      <w:pPr>
        <w:pStyle w:val="ListNumber"/>
        <w:numPr>
          <w:ilvl w:val="0"/>
          <w:numId w:val="98"/>
        </w:numPr>
        <w:tabs>
          <w:tab w:val="left" w:pos="1418"/>
        </w:tabs>
        <w:rPr>
          <w:rFonts w:cs="Open Sans"/>
        </w:rPr>
      </w:pPr>
      <w:r w:rsidRPr="00287201">
        <w:rPr>
          <w:rFonts w:cs="Open Sans"/>
        </w:rPr>
        <w:t>cause any other material loss or damage to other persons lawfully using a computer.</w:t>
      </w:r>
    </w:p>
    <w:p w14:paraId="42BB10A4" w14:textId="4A9CDE29" w:rsidR="005B59BD" w:rsidRDefault="005B59BD" w:rsidP="005B59BD">
      <w:pPr>
        <w:pStyle w:val="ListNumber"/>
        <w:tabs>
          <w:tab w:val="clear" w:pos="360"/>
          <w:tab w:val="num" w:pos="993"/>
          <w:tab w:val="left" w:pos="1418"/>
        </w:tabs>
        <w:ind w:left="709" w:hanging="567"/>
        <w:rPr>
          <w:rFonts w:cs="Open Sans"/>
        </w:rPr>
      </w:pPr>
      <w:r>
        <w:rPr>
          <w:rFonts w:cs="Open Sans"/>
        </w:rPr>
        <w:t xml:space="preserve">These limitations are expressed to apply only to the specific things that are currently authorised under the warrants. The Bill proposes to insert provisions </w:t>
      </w:r>
      <w:r w:rsidR="00AB6993">
        <w:rPr>
          <w:rFonts w:cs="Open Sans"/>
        </w:rPr>
        <w:t>that</w:t>
      </w:r>
      <w:r>
        <w:rPr>
          <w:rFonts w:cs="Open Sans"/>
        </w:rPr>
        <w:t xml:space="preserve"> authorise a number of concealment activities in relation to these warrants,</w:t>
      </w:r>
      <w:r w:rsidRPr="00F26DAE">
        <w:rPr>
          <w:rStyle w:val="EndnoteReference"/>
          <w:vertAlign w:val="superscript"/>
        </w:rPr>
        <w:endnoteReference w:id="179"/>
      </w:r>
      <w:r>
        <w:rPr>
          <w:rFonts w:cs="Open Sans"/>
        </w:rPr>
        <w:t xml:space="preserve"> but it does not extend the limitations to these new concealment activities. This means that ASIO would not be authorised to, for example, cause material loss or damage to persons lawfully using a computer when executing a warrant, but it would not be subject to the </w:t>
      </w:r>
      <w:r>
        <w:rPr>
          <w:rFonts w:cs="Open Sans"/>
        </w:rPr>
        <w:lastRenderedPageBreak/>
        <w:t xml:space="preserve">same limitation when concealing the fact that a warrant had been executed. </w:t>
      </w:r>
    </w:p>
    <w:p w14:paraId="1D7A46C9" w14:textId="7F03A4A8" w:rsidR="005B59BD" w:rsidRDefault="005B59BD" w:rsidP="005B59BD">
      <w:pPr>
        <w:pStyle w:val="ListNumber"/>
        <w:tabs>
          <w:tab w:val="clear" w:pos="360"/>
          <w:tab w:val="num" w:pos="993"/>
          <w:tab w:val="left" w:pos="1418"/>
        </w:tabs>
        <w:ind w:left="709" w:hanging="567"/>
        <w:rPr>
          <w:rFonts w:cs="Open Sans"/>
        </w:rPr>
      </w:pPr>
      <w:r>
        <w:rPr>
          <w:rFonts w:cs="Open Sans"/>
        </w:rPr>
        <w:t xml:space="preserve">It appears that this may be an oversight. Section 34 of the ASIO Act currently requires the Director-General to provide a report to the Attorney-General that sets out details of anything done under a range of warrants, including those discussed above, </w:t>
      </w:r>
      <w:r w:rsidR="00787751">
        <w:rPr>
          <w:rFonts w:cs="Open Sans"/>
        </w:rPr>
        <w:t xml:space="preserve">which </w:t>
      </w:r>
      <w:r>
        <w:rPr>
          <w:rFonts w:cs="Open Sans"/>
        </w:rPr>
        <w:t xml:space="preserve">materially interfered with, interrupted or obstructed the lawful use by other persons of a computer or other electronic equipment, or a data storage device. The Bill proposes to extend this obligation to concealment activities. The </w:t>
      </w:r>
      <w:r w:rsidR="00A7314C">
        <w:rPr>
          <w:rFonts w:cs="Open Sans"/>
        </w:rPr>
        <w:t>E</w:t>
      </w:r>
      <w:r>
        <w:rPr>
          <w:rFonts w:cs="Open Sans"/>
        </w:rPr>
        <w:t xml:space="preserve">xplanatory </w:t>
      </w:r>
      <w:r w:rsidR="00A7314C">
        <w:rPr>
          <w:rFonts w:cs="Open Sans"/>
        </w:rPr>
        <w:t>M</w:t>
      </w:r>
      <w:r>
        <w:rPr>
          <w:rFonts w:cs="Open Sans"/>
        </w:rPr>
        <w:t xml:space="preserve">emorandum notes: </w:t>
      </w:r>
    </w:p>
    <w:p w14:paraId="76FA5360" w14:textId="77777777" w:rsidR="005B59BD" w:rsidRPr="00A24515" w:rsidRDefault="005B59BD" w:rsidP="005B59BD">
      <w:pPr>
        <w:pStyle w:val="ListNumber"/>
        <w:numPr>
          <w:ilvl w:val="0"/>
          <w:numId w:val="0"/>
        </w:numPr>
        <w:tabs>
          <w:tab w:val="left" w:pos="1418"/>
        </w:tabs>
        <w:ind w:left="1134"/>
        <w:rPr>
          <w:rFonts w:cs="Open Sans"/>
          <w:sz w:val="22"/>
        </w:rPr>
      </w:pPr>
      <w:r w:rsidRPr="00A24515">
        <w:rPr>
          <w:rFonts w:cs="Open Sans"/>
          <w:sz w:val="22"/>
        </w:rPr>
        <w:t>This item clarifies that anything done to conceal access to a computer or other thing under a computer access warrant or an identified person warrant is to be taken, for the purposes of section 34, as having been done under that warrant.</w:t>
      </w:r>
    </w:p>
    <w:p w14:paraId="7C5D7937" w14:textId="77777777" w:rsidR="005B59BD" w:rsidRPr="00A24515" w:rsidRDefault="005B59BD" w:rsidP="005B59BD">
      <w:pPr>
        <w:pStyle w:val="ListNumber"/>
        <w:numPr>
          <w:ilvl w:val="0"/>
          <w:numId w:val="0"/>
        </w:numPr>
        <w:tabs>
          <w:tab w:val="left" w:pos="1418"/>
        </w:tabs>
        <w:ind w:left="1134"/>
        <w:rPr>
          <w:rFonts w:cs="Open Sans"/>
          <w:sz w:val="22"/>
        </w:rPr>
      </w:pPr>
      <w:r w:rsidRPr="00A24515">
        <w:rPr>
          <w:rFonts w:cs="Open Sans"/>
          <w:sz w:val="22"/>
        </w:rPr>
        <w:t>This will ensure that concealment activities are captured by section 34 and will be subject to reporting requirements.</w:t>
      </w:r>
      <w:r w:rsidRPr="00331AE6">
        <w:rPr>
          <w:rStyle w:val="EndnoteReference"/>
          <w:vertAlign w:val="superscript"/>
        </w:rPr>
        <w:endnoteReference w:id="180"/>
      </w:r>
    </w:p>
    <w:p w14:paraId="29003030" w14:textId="77777777" w:rsidR="005B59BD" w:rsidRDefault="005B59BD" w:rsidP="005B59BD">
      <w:pPr>
        <w:pStyle w:val="ListNumber"/>
        <w:tabs>
          <w:tab w:val="clear" w:pos="360"/>
          <w:tab w:val="num" w:pos="993"/>
          <w:tab w:val="left" w:pos="1418"/>
        </w:tabs>
        <w:ind w:left="709" w:hanging="567"/>
        <w:rPr>
          <w:rFonts w:cs="Open Sans"/>
        </w:rPr>
      </w:pPr>
      <w:r>
        <w:rPr>
          <w:rFonts w:cs="Open Sans"/>
        </w:rPr>
        <w:t>Presumably, if concealment activities are to be treated as having been done under the warrant for the purposes of reporting about the extent to which third party rights were interfered with, it was intended that those concealment activities would be subject to the same limitations in respect of third party rights.</w:t>
      </w:r>
    </w:p>
    <w:p w14:paraId="074568FF" w14:textId="77777777" w:rsidR="005B59BD" w:rsidRDefault="005B59BD" w:rsidP="005B59BD">
      <w:pPr>
        <w:pStyle w:val="ListNumber"/>
        <w:tabs>
          <w:tab w:val="clear" w:pos="360"/>
          <w:tab w:val="num" w:pos="993"/>
          <w:tab w:val="left" w:pos="1418"/>
        </w:tabs>
        <w:ind w:left="709" w:hanging="567"/>
        <w:rPr>
          <w:rFonts w:cs="Open Sans"/>
        </w:rPr>
      </w:pPr>
      <w:r>
        <w:rPr>
          <w:rFonts w:cs="Open Sans"/>
        </w:rPr>
        <w:t>The Commission recommends that the limitation provisions in relation to each of the ASIO warrants discussed above be amended so that they also apply to the proposed list of concealment activities in the Bill.</w:t>
      </w:r>
    </w:p>
    <w:p w14:paraId="0CD9C406" w14:textId="368AE0F1" w:rsidR="005B59BD" w:rsidRDefault="005B59BD" w:rsidP="005B59BD">
      <w:pPr>
        <w:pStyle w:val="ListNumber"/>
        <w:tabs>
          <w:tab w:val="clear" w:pos="360"/>
          <w:tab w:val="num" w:pos="993"/>
          <w:tab w:val="left" w:pos="1418"/>
        </w:tabs>
        <w:ind w:left="709" w:hanging="567"/>
        <w:rPr>
          <w:rFonts w:cs="Open Sans"/>
        </w:rPr>
      </w:pPr>
      <w:r>
        <w:rPr>
          <w:rFonts w:cs="Open Sans"/>
        </w:rPr>
        <w:t>The new computer access warrant regime that the Bill proposes to insert into the SD Act is based on the regime in the ASIO Act. Proposed</w:t>
      </w:r>
      <w:r w:rsidR="00205E36">
        <w:rPr>
          <w:rFonts w:cs="Open Sans"/>
        </w:rPr>
        <w:t xml:space="preserve"> s </w:t>
      </w:r>
      <w:r>
        <w:rPr>
          <w:rFonts w:cs="Open Sans"/>
        </w:rPr>
        <w:t>27E(5) of the SD Act provides that the acts authorised under</w:t>
      </w:r>
      <w:r w:rsidR="00205E36">
        <w:rPr>
          <w:rFonts w:cs="Open Sans"/>
        </w:rPr>
        <w:t xml:space="preserve"> s </w:t>
      </w:r>
      <w:r>
        <w:rPr>
          <w:rFonts w:cs="Open Sans"/>
        </w:rPr>
        <w:t>27E(2) are subject to the same limitation as the ASIO warrants.</w:t>
      </w:r>
      <w:r w:rsidRPr="008D654D">
        <w:rPr>
          <w:rStyle w:val="EndnoteReference"/>
          <w:vertAlign w:val="superscript"/>
        </w:rPr>
        <w:endnoteReference w:id="181"/>
      </w:r>
      <w:r>
        <w:rPr>
          <w:rFonts w:cs="Open Sans"/>
        </w:rPr>
        <w:t xml:space="preserve"> However, this limitation does not extend to the concealment activities in</w:t>
      </w:r>
      <w:r w:rsidR="00205E36">
        <w:rPr>
          <w:rFonts w:cs="Open Sans"/>
        </w:rPr>
        <w:t xml:space="preserve"> s </w:t>
      </w:r>
      <w:r>
        <w:rPr>
          <w:rFonts w:cs="Open Sans"/>
        </w:rPr>
        <w:t xml:space="preserve">27E(7). The Commission recommends that the limitation provisions that apply to computer access warrants in the SD Act also extend to concealment activities. </w:t>
      </w:r>
    </w:p>
    <w:p w14:paraId="1941D54D" w14:textId="77777777" w:rsidR="005B59BD" w:rsidRDefault="005B59BD" w:rsidP="005B59BD">
      <w:pPr>
        <w:pStyle w:val="ListNumber"/>
        <w:keepNext/>
        <w:tabs>
          <w:tab w:val="clear" w:pos="360"/>
          <w:tab w:val="num" w:pos="993"/>
          <w:tab w:val="left" w:pos="1418"/>
        </w:tabs>
        <w:ind w:left="709" w:hanging="567"/>
        <w:rPr>
          <w:rFonts w:cs="Open Sans"/>
        </w:rPr>
      </w:pPr>
      <w:r>
        <w:rPr>
          <w:rFonts w:cs="Open Sans"/>
        </w:rPr>
        <w:t xml:space="preserve">The Commission recommends that: </w:t>
      </w:r>
    </w:p>
    <w:p w14:paraId="0DA0AA84" w14:textId="49D0B219" w:rsidR="005B59BD" w:rsidRPr="00657C57" w:rsidRDefault="005B59BD" w:rsidP="005B59BD">
      <w:pPr>
        <w:pStyle w:val="ListNumber"/>
        <w:keepNext/>
        <w:numPr>
          <w:ilvl w:val="0"/>
          <w:numId w:val="0"/>
        </w:numPr>
        <w:tabs>
          <w:tab w:val="left" w:pos="1418"/>
        </w:tabs>
        <w:ind w:left="709"/>
        <w:rPr>
          <w:rFonts w:cs="Open Sans"/>
          <w:b/>
        </w:rPr>
      </w:pPr>
      <w:r w:rsidRPr="00657C57">
        <w:rPr>
          <w:rFonts w:cs="Open Sans"/>
          <w:b/>
        </w:rPr>
        <w:t xml:space="preserve">Recommendation </w:t>
      </w:r>
      <w:r w:rsidR="00BC2929">
        <w:rPr>
          <w:rFonts w:cs="Open Sans"/>
          <w:b/>
        </w:rPr>
        <w:t>4</w:t>
      </w:r>
      <w:r w:rsidR="00D7469A">
        <w:rPr>
          <w:rFonts w:cs="Open Sans"/>
          <w:b/>
        </w:rPr>
        <w:t>0</w:t>
      </w:r>
    </w:p>
    <w:p w14:paraId="67BA3EA0" w14:textId="7E1A70D3" w:rsidR="005B59BD" w:rsidRDefault="005B59BD" w:rsidP="005B59BD">
      <w:pPr>
        <w:pStyle w:val="ListNumber"/>
        <w:numPr>
          <w:ilvl w:val="0"/>
          <w:numId w:val="0"/>
        </w:numPr>
        <w:tabs>
          <w:tab w:val="left" w:pos="1418"/>
        </w:tabs>
        <w:ind w:left="709"/>
        <w:rPr>
          <w:rFonts w:cs="Open Sans"/>
        </w:rPr>
      </w:pPr>
      <w:r>
        <w:rPr>
          <w:rFonts w:cs="Open Sans"/>
        </w:rPr>
        <w:t>The limitations set out in</w:t>
      </w:r>
      <w:r w:rsidR="00205E36">
        <w:rPr>
          <w:rFonts w:cs="Open Sans"/>
        </w:rPr>
        <w:t xml:space="preserve"> ss </w:t>
      </w:r>
      <w:r>
        <w:rPr>
          <w:rFonts w:cs="Open Sans"/>
        </w:rPr>
        <w:t>25A(5),</w:t>
      </w:r>
      <w:r w:rsidRPr="006B0C93">
        <w:rPr>
          <w:rFonts w:cs="Open Sans"/>
        </w:rPr>
        <w:t xml:space="preserve"> 27A(1) and 27E(5)</w:t>
      </w:r>
      <w:r>
        <w:rPr>
          <w:rFonts w:cs="Open Sans"/>
        </w:rPr>
        <w:t xml:space="preserve"> of the </w:t>
      </w:r>
      <w:r w:rsidRPr="006B0C93">
        <w:rPr>
          <w:rFonts w:cs="Open Sans"/>
          <w:i/>
        </w:rPr>
        <w:t xml:space="preserve">Australian Security Intelligence Organisation Act 1979 </w:t>
      </w:r>
      <w:r w:rsidRPr="006B0C93">
        <w:rPr>
          <w:rFonts w:cs="Open Sans"/>
        </w:rPr>
        <w:t xml:space="preserve">(Cth) </w:t>
      </w:r>
      <w:r>
        <w:rPr>
          <w:rFonts w:cs="Open Sans"/>
        </w:rPr>
        <w:t xml:space="preserve">on activities authorised under </w:t>
      </w:r>
      <w:r w:rsidRPr="006B0C93">
        <w:rPr>
          <w:rFonts w:cs="Open Sans"/>
        </w:rPr>
        <w:t>a computer access warrant or a foreign intelligence warrant or identified person warrant that permits computer access</w:t>
      </w:r>
      <w:r>
        <w:rPr>
          <w:rFonts w:cs="Open Sans"/>
        </w:rPr>
        <w:t>, be extended to the concealment activities under these warrants in proposed</w:t>
      </w:r>
      <w:r w:rsidR="00205E36">
        <w:rPr>
          <w:rFonts w:cs="Open Sans"/>
        </w:rPr>
        <w:t xml:space="preserve"> ss </w:t>
      </w:r>
      <w:r w:rsidRPr="006B0C93">
        <w:rPr>
          <w:rFonts w:cs="Open Sans"/>
        </w:rPr>
        <w:t>25A(8), 27A(3C) and 27E(6)</w:t>
      </w:r>
      <w:r>
        <w:rPr>
          <w:rFonts w:cs="Open Sans"/>
        </w:rPr>
        <w:t>.</w:t>
      </w:r>
    </w:p>
    <w:p w14:paraId="6F017490" w14:textId="664D46AA" w:rsidR="005B59BD" w:rsidRPr="006B0C93" w:rsidRDefault="005B59BD" w:rsidP="005B59BD">
      <w:pPr>
        <w:pStyle w:val="ListNumber"/>
        <w:keepNext/>
        <w:numPr>
          <w:ilvl w:val="0"/>
          <w:numId w:val="0"/>
        </w:numPr>
        <w:tabs>
          <w:tab w:val="left" w:pos="1418"/>
        </w:tabs>
        <w:ind w:left="709"/>
        <w:rPr>
          <w:rFonts w:cs="Open Sans"/>
          <w:b/>
        </w:rPr>
      </w:pPr>
      <w:r w:rsidRPr="006B0C93">
        <w:rPr>
          <w:rFonts w:cs="Open Sans"/>
          <w:b/>
        </w:rPr>
        <w:lastRenderedPageBreak/>
        <w:t xml:space="preserve">Recommendation </w:t>
      </w:r>
      <w:r w:rsidR="00BC2929">
        <w:rPr>
          <w:rFonts w:cs="Open Sans"/>
          <w:b/>
        </w:rPr>
        <w:t>4</w:t>
      </w:r>
      <w:r w:rsidR="00D7469A">
        <w:rPr>
          <w:rFonts w:cs="Open Sans"/>
          <w:b/>
        </w:rPr>
        <w:t>1</w:t>
      </w:r>
    </w:p>
    <w:p w14:paraId="25E19C7E" w14:textId="1F55C72B" w:rsidR="005B59BD" w:rsidRPr="00AA1A20" w:rsidRDefault="005B59BD" w:rsidP="005B59BD">
      <w:pPr>
        <w:pStyle w:val="ListNumber"/>
        <w:numPr>
          <w:ilvl w:val="0"/>
          <w:numId w:val="0"/>
        </w:numPr>
        <w:tabs>
          <w:tab w:val="left" w:pos="1418"/>
        </w:tabs>
        <w:ind w:left="709"/>
        <w:rPr>
          <w:rFonts w:cs="Open Sans"/>
        </w:rPr>
      </w:pPr>
      <w:r>
        <w:rPr>
          <w:rFonts w:cs="Open Sans"/>
        </w:rPr>
        <w:t>Proposed</w:t>
      </w:r>
      <w:r w:rsidR="00205E36">
        <w:rPr>
          <w:rFonts w:cs="Open Sans"/>
        </w:rPr>
        <w:t xml:space="preserve"> s </w:t>
      </w:r>
      <w:r>
        <w:rPr>
          <w:rFonts w:cs="Open Sans"/>
        </w:rPr>
        <w:t xml:space="preserve">27E(5) of the </w:t>
      </w:r>
      <w:r w:rsidRPr="008901A4">
        <w:rPr>
          <w:rFonts w:cs="Open Sans"/>
          <w:i/>
        </w:rPr>
        <w:t>Surveillance Devices Act 2004</w:t>
      </w:r>
      <w:r>
        <w:rPr>
          <w:rFonts w:cs="Open Sans"/>
        </w:rPr>
        <w:t xml:space="preserve"> (Cth) be amended so that the limitations on the activities authorised under a computer access warrant also extend to the concealment activities in proposed</w:t>
      </w:r>
      <w:r w:rsidR="00205E36">
        <w:rPr>
          <w:rFonts w:cs="Open Sans"/>
        </w:rPr>
        <w:t xml:space="preserve"> s </w:t>
      </w:r>
      <w:r>
        <w:rPr>
          <w:rFonts w:cs="Open Sans"/>
        </w:rPr>
        <w:t>27E(7).</w:t>
      </w:r>
    </w:p>
    <w:p w14:paraId="5B3D6211" w14:textId="77777777" w:rsidR="005B59BD" w:rsidRPr="00AA1A20" w:rsidRDefault="005B59BD" w:rsidP="005B59BD">
      <w:pPr>
        <w:pStyle w:val="Heading2"/>
        <w:rPr>
          <w:rFonts w:cs="Open Sans"/>
        </w:rPr>
      </w:pPr>
      <w:bookmarkStart w:id="179" w:name="_Toc524352519"/>
      <w:bookmarkStart w:id="180" w:name="_Toc527107821"/>
      <w:r w:rsidRPr="00AA1A20">
        <w:rPr>
          <w:rFonts w:cs="Open Sans"/>
        </w:rPr>
        <w:t>Ancillary interception powers</w:t>
      </w:r>
      <w:bookmarkEnd w:id="179"/>
      <w:bookmarkEnd w:id="180"/>
    </w:p>
    <w:p w14:paraId="5CE80D47" w14:textId="46BB02B4"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Bill seeks to expand the warrant regimes relating to accessing computer data under the ASIO Act and the SD Act, so that warrants issued under those regimes may authorise the interception of communications passing over a telecommunications system if this interception is for the purpose of doing ‘any thing’ specified in the warrant.</w:t>
      </w:r>
      <w:r w:rsidRPr="00543C35">
        <w:rPr>
          <w:rStyle w:val="EndnoteReference"/>
          <w:vertAlign w:val="superscript"/>
        </w:rPr>
        <w:endnoteReference w:id="182"/>
      </w:r>
      <w:r>
        <w:rPr>
          <w:rFonts w:cs="Open Sans"/>
        </w:rPr>
        <w:t xml:space="preserve"> In doing so, the Bill also lowers the threshold for authorising the interception of communications in these circumstances. </w:t>
      </w:r>
    </w:p>
    <w:p w14:paraId="4D52343C" w14:textId="35CE9A5D" w:rsidR="005B59BD" w:rsidRPr="00AA1A20" w:rsidRDefault="005B59BD" w:rsidP="005B59BD">
      <w:pPr>
        <w:pStyle w:val="ListNumber"/>
        <w:tabs>
          <w:tab w:val="clear" w:pos="360"/>
          <w:tab w:val="num" w:pos="993"/>
          <w:tab w:val="left" w:pos="1418"/>
        </w:tabs>
        <w:ind w:left="709" w:hanging="567"/>
        <w:rPr>
          <w:rFonts w:cs="Open Sans"/>
        </w:rPr>
      </w:pPr>
      <w:r>
        <w:rPr>
          <w:rFonts w:cs="Open Sans"/>
        </w:rPr>
        <w:t xml:space="preserve">The expansion of warrants authorising access to computers to also permit interception </w:t>
      </w:r>
      <w:r w:rsidRPr="00AA1A20">
        <w:rPr>
          <w:rFonts w:cs="Open Sans"/>
        </w:rPr>
        <w:t>marks a significant departure from the current regime under the ASIO Act, where</w:t>
      </w:r>
      <w:r w:rsidR="00205E36">
        <w:rPr>
          <w:rFonts w:cs="Open Sans"/>
        </w:rPr>
        <w:t xml:space="preserve"> s </w:t>
      </w:r>
      <w:r w:rsidRPr="00AA1A20">
        <w:rPr>
          <w:rFonts w:cs="Open Sans"/>
        </w:rPr>
        <w:t xml:space="preserve">33(1) explicitly states that computer access warrants, foreign intelligence warrants and identified persons warrants issued under the ASIO Act </w:t>
      </w:r>
      <w:r w:rsidRPr="00AA1A20">
        <w:rPr>
          <w:rFonts w:cs="Open Sans"/>
          <w:i/>
        </w:rPr>
        <w:t>do not</w:t>
      </w:r>
      <w:r w:rsidRPr="00AA1A20">
        <w:rPr>
          <w:rFonts w:cs="Open Sans"/>
        </w:rPr>
        <w:t xml:space="preserve"> authorise the interception of a communication passing over a telecommunication system.</w:t>
      </w:r>
    </w:p>
    <w:p w14:paraId="65AABAA9" w14:textId="5C694ACF"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w:t>
      </w:r>
      <w:r w:rsidR="004A6ACC">
        <w:rPr>
          <w:rFonts w:cs="Open Sans"/>
        </w:rPr>
        <w:t>E</w:t>
      </w:r>
      <w:r w:rsidRPr="00AA1A20">
        <w:rPr>
          <w:rFonts w:cs="Open Sans"/>
        </w:rPr>
        <w:t xml:space="preserve">xplanatory </w:t>
      </w:r>
      <w:r w:rsidR="004A6ACC">
        <w:rPr>
          <w:rFonts w:cs="Open Sans"/>
        </w:rPr>
        <w:t>M</w:t>
      </w:r>
      <w:r>
        <w:rPr>
          <w:rFonts w:cs="Open Sans"/>
        </w:rPr>
        <w:t>emorandum</w:t>
      </w:r>
      <w:r w:rsidRPr="00AA1A20">
        <w:rPr>
          <w:rFonts w:cs="Open Sans"/>
        </w:rPr>
        <w:t xml:space="preserve"> explains the reason for this change as follows:</w:t>
      </w:r>
    </w:p>
    <w:p w14:paraId="61C7CF91" w14:textId="4E67D904" w:rsidR="005B59BD" w:rsidRPr="00AA1A20" w:rsidRDefault="005B59BD" w:rsidP="005B59BD">
      <w:pPr>
        <w:pStyle w:val="Subtitle"/>
        <w:ind w:left="1134"/>
        <w:rPr>
          <w:rStyle w:val="EndnoteReference"/>
          <w:lang w:val="en-AU"/>
        </w:rPr>
      </w:pPr>
      <w:r w:rsidRPr="00AA1A20">
        <w:rPr>
          <w:rFonts w:cs="Open Sans"/>
        </w:rPr>
        <w:t xml:space="preserve">Currently, ASIO is required to obtain a computer access warrant </w:t>
      </w:r>
      <w:r>
        <w:rPr>
          <w:rFonts w:cs="Open Sans"/>
        </w:rPr>
        <w:t xml:space="preserve">under sections 25A, 27A or 27E of the ASIO Act </w:t>
      </w:r>
      <w:r w:rsidRPr="00AA1A20">
        <w:rPr>
          <w:rFonts w:cs="Open Sans"/>
        </w:rPr>
        <w:t xml:space="preserve">to gain </w:t>
      </w:r>
      <w:r w:rsidRPr="00AA1A20">
        <w:rPr>
          <w:rStyle w:val="EndnoteReference"/>
          <w:lang w:val="en-AU"/>
        </w:rPr>
        <w:t>access to a device</w:t>
      </w:r>
      <w:r>
        <w:rPr>
          <w:rStyle w:val="EndnoteReference"/>
          <w:lang w:val="en-AU"/>
        </w:rPr>
        <w:t>,</w:t>
      </w:r>
      <w:r w:rsidRPr="00AA1A20">
        <w:rPr>
          <w:rStyle w:val="EndnoteReference"/>
          <w:lang w:val="en-AU"/>
        </w:rPr>
        <w:t xml:space="preserve"> and a telecommunications interception warrant under section 9 or 9A of the TIA Act </w:t>
      </w:r>
      <w:r>
        <w:rPr>
          <w:rStyle w:val="EndnoteReference"/>
          <w:lang w:val="en-AU"/>
        </w:rPr>
        <w:t>to intercept communications</w:t>
      </w:r>
      <w:r w:rsidRPr="00AA1A20">
        <w:rPr>
          <w:rStyle w:val="EndnoteReference"/>
          <w:lang w:val="en-AU"/>
        </w:rPr>
        <w:t xml:space="preserve">. </w:t>
      </w:r>
    </w:p>
    <w:p w14:paraId="4972D647" w14:textId="77777777" w:rsidR="005B59BD" w:rsidRDefault="005B59BD" w:rsidP="005B59BD">
      <w:pPr>
        <w:pStyle w:val="Subtitle"/>
        <w:ind w:left="1134"/>
        <w:rPr>
          <w:rStyle w:val="EndnoteReference"/>
          <w:lang w:val="en-AU"/>
        </w:rPr>
      </w:pPr>
      <w:r w:rsidRPr="00AA1A20">
        <w:rPr>
          <w:rStyle w:val="EndnoteReference"/>
          <w:lang w:val="en-AU"/>
        </w:rPr>
        <w:t xml:space="preserve">The threshold requirements for issuing computer access warrants and telecommunication interception warrants currently differ. </w:t>
      </w:r>
    </w:p>
    <w:p w14:paraId="55932B26" w14:textId="77777777" w:rsidR="005B59BD" w:rsidRPr="00AA1A20" w:rsidRDefault="005B59BD" w:rsidP="005B59BD">
      <w:pPr>
        <w:pStyle w:val="Subtitle"/>
        <w:ind w:left="1134"/>
        <w:rPr>
          <w:rStyle w:val="EndnoteReference"/>
          <w:lang w:val="en-AU"/>
        </w:rPr>
      </w:pPr>
      <w:r w:rsidRPr="00AA1A20">
        <w:rPr>
          <w:rStyle w:val="EndnoteReference"/>
          <w:lang w:val="en-AU"/>
        </w:rPr>
        <w:t>In some circumstances, ASIO can obtain a computer access warrant, but cannot obtain a telecommunications interception warrant. This reduces the likelihood of a successful execution of the validly issued computer access warrant. It is undesirable for ASIO’s ability to execute a computer access warrant to be dependent on its ability to obtain a separate telecommunications interception warrant. Ordinarily, warrants authorise a person to undertake all activities normally required to give effect to the warrant, independently of any other warrant or authorisation.</w:t>
      </w:r>
    </w:p>
    <w:p w14:paraId="09EB23FB" w14:textId="77777777" w:rsidR="005B59BD" w:rsidRPr="00AA1A20" w:rsidRDefault="005B59BD" w:rsidP="005B59BD">
      <w:pPr>
        <w:pStyle w:val="Subtitle"/>
        <w:ind w:left="1134"/>
        <w:rPr>
          <w:rFonts w:cs="Open Sans"/>
        </w:rPr>
      </w:pPr>
      <w:r w:rsidRPr="00AA1A20">
        <w:rPr>
          <w:rStyle w:val="EndnoteReference"/>
          <w:lang w:val="en-AU"/>
        </w:rPr>
        <w:t>The current arrangements also cause administrative inefficiency by requiring ASIO to prepare two warrant applications, addressing different legal standards, for the purpose of executing a single computer access warrant. The process requires the Attorney-General to consider each application separately and in accordance with each separate criterion</w:t>
      </w:r>
      <w:r w:rsidRPr="00AA1A20">
        <w:rPr>
          <w:rFonts w:cs="Open Sans"/>
        </w:rPr>
        <w:t>.</w:t>
      </w:r>
      <w:r w:rsidRPr="00543C35">
        <w:rPr>
          <w:rStyle w:val="EndnoteReference"/>
          <w:vertAlign w:val="superscript"/>
        </w:rPr>
        <w:endnoteReference w:id="183"/>
      </w:r>
    </w:p>
    <w:p w14:paraId="1CCFF920" w14:textId="14B493CC"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lastRenderedPageBreak/>
        <w:t>Currently, if ASIO needs to intercept a communication passing over a telecommunication system to execute a warrant, it is required to seek a telecommunication interception warrant under</w:t>
      </w:r>
      <w:r w:rsidR="00205E36">
        <w:rPr>
          <w:rFonts w:cs="Open Sans"/>
        </w:rPr>
        <w:t xml:space="preserve"> s </w:t>
      </w:r>
      <w:r w:rsidRPr="00AA1A20">
        <w:rPr>
          <w:rFonts w:cs="Open Sans"/>
        </w:rPr>
        <w:t>9 or</w:t>
      </w:r>
      <w:r w:rsidR="00205E36">
        <w:rPr>
          <w:rFonts w:cs="Open Sans"/>
        </w:rPr>
        <w:t xml:space="preserve"> s </w:t>
      </w:r>
      <w:r w:rsidRPr="00AA1A20">
        <w:rPr>
          <w:rFonts w:cs="Open Sans"/>
        </w:rPr>
        <w:t xml:space="preserve">9A of the TIA Act. </w:t>
      </w:r>
    </w:p>
    <w:p w14:paraId="71950927" w14:textId="750F06E8" w:rsidR="005B59BD" w:rsidRPr="00AA1A20" w:rsidRDefault="005B59BD" w:rsidP="005B59BD">
      <w:pPr>
        <w:pStyle w:val="ListNumber"/>
        <w:tabs>
          <w:tab w:val="clear" w:pos="360"/>
          <w:tab w:val="num" w:pos="993"/>
          <w:tab w:val="left" w:pos="1418"/>
        </w:tabs>
        <w:ind w:left="709" w:hanging="567"/>
        <w:rPr>
          <w:rFonts w:cs="Open Sans"/>
        </w:rPr>
      </w:pPr>
      <w:r w:rsidRPr="00AA1A20">
        <w:rPr>
          <w:rStyle w:val="EndnoteReference"/>
          <w:sz w:val="24"/>
          <w:szCs w:val="24"/>
          <w:lang w:val="en-AU"/>
        </w:rPr>
        <w:t>Under</w:t>
      </w:r>
      <w:r w:rsidRPr="00AA1A20">
        <w:rPr>
          <w:rFonts w:cs="Open Sans"/>
        </w:rPr>
        <w:t xml:space="preserve"> the combined effect of</w:t>
      </w:r>
      <w:r w:rsidR="00205E36">
        <w:rPr>
          <w:rFonts w:cs="Open Sans"/>
        </w:rPr>
        <w:t xml:space="preserve"> ss </w:t>
      </w:r>
      <w:r w:rsidRPr="00AA1A20">
        <w:rPr>
          <w:rFonts w:cs="Open Sans"/>
        </w:rPr>
        <w:t>5F, 5G, 5H and 6 of the TIA Act, a communication is ‘intercepted passing over a telecommunications system’ if that communication is listened to, or recorded by any means, without the knowledge of the person making it, between being sent or transmitted by the person sending it and becoming accessible to the intended recipient. The Bill proposes to make the same definition applicable to the ASIO Act.</w:t>
      </w:r>
      <w:r w:rsidRPr="00543C35">
        <w:rPr>
          <w:rStyle w:val="EndnoteReference"/>
          <w:vertAlign w:val="superscript"/>
        </w:rPr>
        <w:endnoteReference w:id="184"/>
      </w:r>
    </w:p>
    <w:p w14:paraId="7D8D16C6" w14:textId="50C4506F"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Section 7 of the TIA provides that, subject to certain exemptions (including pursuant to a warrant under</w:t>
      </w:r>
      <w:r w:rsidR="00205E36">
        <w:rPr>
          <w:rFonts w:cs="Open Sans"/>
        </w:rPr>
        <w:t xml:space="preserve"> s </w:t>
      </w:r>
      <w:r w:rsidRPr="00AA1A20">
        <w:rPr>
          <w:rFonts w:cs="Open Sans"/>
        </w:rPr>
        <w:t>9 or</w:t>
      </w:r>
      <w:r w:rsidR="00205E36">
        <w:rPr>
          <w:rFonts w:cs="Open Sans"/>
        </w:rPr>
        <w:t xml:space="preserve"> s </w:t>
      </w:r>
      <w:r w:rsidRPr="00AA1A20">
        <w:rPr>
          <w:rFonts w:cs="Open Sans"/>
        </w:rPr>
        <w:t xml:space="preserve">9A), it is not otherwise lawful to intercept communications passing over a telecommunication system. This protection is appropriate because intercepting and recording the private communications of individuals without their knowledge is a significant limitation on the right to privacy. </w:t>
      </w:r>
    </w:p>
    <w:p w14:paraId="28AFA2A4"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Covert interception of private communications by government, including contemporaneous communications, can reveal sensitive information about all aspects of an individual’s life. This kind of government surveillance represents a distinct intrusion into privacy rights and, as discussed above, can have a significant chilling effect on the exercise of rights and freedoms. Consequently, any proposal to broaden the interception powers of government should be carefully scrutinised. </w:t>
      </w:r>
    </w:p>
    <w:p w14:paraId="74FF3907" w14:textId="6C283C11"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Presently, a warrant can only be issued under either</w:t>
      </w:r>
      <w:r w:rsidR="00205E36">
        <w:rPr>
          <w:rFonts w:cs="Open Sans"/>
        </w:rPr>
        <w:t xml:space="preserve"> s </w:t>
      </w:r>
      <w:r w:rsidRPr="00AA1A20">
        <w:rPr>
          <w:rFonts w:cs="Open Sans"/>
        </w:rPr>
        <w:t>9 or</w:t>
      </w:r>
      <w:r w:rsidR="00205E36">
        <w:rPr>
          <w:rFonts w:cs="Open Sans"/>
        </w:rPr>
        <w:t xml:space="preserve"> s </w:t>
      </w:r>
      <w:r w:rsidRPr="00AA1A20">
        <w:rPr>
          <w:rFonts w:cs="Open Sans"/>
        </w:rPr>
        <w:t xml:space="preserve">9A of the TIA if the Attorney-General is satisfied that there is a sufficient nexus to ‘activities prejudicial to security’. </w:t>
      </w:r>
    </w:p>
    <w:p w14:paraId="7E3BBE5F" w14:textId="1188FE8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However, a computer access warrant can be issued under</w:t>
      </w:r>
      <w:r w:rsidR="00205E36">
        <w:rPr>
          <w:rFonts w:cs="Open Sans"/>
        </w:rPr>
        <w:t xml:space="preserve"> s </w:t>
      </w:r>
      <w:r w:rsidRPr="00AA1A20">
        <w:rPr>
          <w:rFonts w:cs="Open Sans"/>
        </w:rPr>
        <w:t>25A of the ASIO Act if the Attorney-General is satisfied that:</w:t>
      </w:r>
    </w:p>
    <w:p w14:paraId="55033407" w14:textId="77777777" w:rsidR="005B59BD" w:rsidRPr="00AA1A20" w:rsidRDefault="005B59BD" w:rsidP="005B59BD">
      <w:pPr>
        <w:pStyle w:val="Subtitle"/>
        <w:ind w:left="1134"/>
        <w:rPr>
          <w:rFonts w:cs="Open Sans"/>
        </w:rPr>
      </w:pPr>
      <w:r w:rsidRPr="00AA1A20">
        <w:rPr>
          <w:rStyle w:val="EndnoteTextChar1"/>
          <w:rFonts w:cs="Open Sans"/>
        </w:rPr>
        <w:t xml:space="preserve">… there are reasonable grounds for believing that access by the Organisation to data held in a computer (the </w:t>
      </w:r>
      <w:r w:rsidRPr="00FB5828">
        <w:rPr>
          <w:rStyle w:val="EndnoteTextChar1"/>
          <w:rFonts w:cs="Open Sans"/>
          <w:b/>
          <w:i/>
        </w:rPr>
        <w:t>target computer</w:t>
      </w:r>
      <w:r w:rsidRPr="00AA1A20">
        <w:rPr>
          <w:rStyle w:val="EndnoteTextChar1"/>
          <w:rFonts w:cs="Open Sans"/>
        </w:rPr>
        <w:t xml:space="preserve">) will substantially assist the collection of intelligence in accordance with this Act in respect of a matter (the </w:t>
      </w:r>
      <w:r w:rsidRPr="00FB5828">
        <w:rPr>
          <w:rStyle w:val="EndnoteTextChar1"/>
          <w:rFonts w:cs="Open Sans"/>
          <w:b/>
          <w:i/>
        </w:rPr>
        <w:t>security matter</w:t>
      </w:r>
      <w:r w:rsidRPr="00AA1A20">
        <w:rPr>
          <w:rStyle w:val="EndnoteTextChar1"/>
          <w:rFonts w:cs="Open Sans"/>
        </w:rPr>
        <w:t>) that is important in relation to security</w:t>
      </w:r>
      <w:r w:rsidRPr="00AA1A20">
        <w:rPr>
          <w:rFonts w:cs="Open Sans"/>
        </w:rPr>
        <w:t>.</w:t>
      </w:r>
    </w:p>
    <w:p w14:paraId="76EFD192" w14:textId="01B00117" w:rsidR="005B59BD" w:rsidRPr="00EF03E6" w:rsidRDefault="005B59BD" w:rsidP="005B59BD">
      <w:pPr>
        <w:pStyle w:val="ListNumber"/>
        <w:tabs>
          <w:tab w:val="clear" w:pos="360"/>
          <w:tab w:val="num" w:pos="993"/>
          <w:tab w:val="left" w:pos="1418"/>
        </w:tabs>
        <w:ind w:left="709" w:hanging="567"/>
        <w:rPr>
          <w:rFonts w:cs="Open Sans"/>
        </w:rPr>
      </w:pPr>
      <w:r w:rsidRPr="00AA1A20">
        <w:rPr>
          <w:rFonts w:cs="Open Sans"/>
        </w:rPr>
        <w:t>Instead of a nexus to activities ‘prejudicial to security’, as in</w:t>
      </w:r>
      <w:r w:rsidR="00205E36">
        <w:rPr>
          <w:rFonts w:cs="Open Sans"/>
        </w:rPr>
        <w:t xml:space="preserve"> ss </w:t>
      </w:r>
      <w:r w:rsidRPr="00AA1A20">
        <w:rPr>
          <w:rFonts w:cs="Open Sans"/>
        </w:rPr>
        <w:t>9 and 9A of the TIA Act, the test for computer access warrants under</w:t>
      </w:r>
      <w:r w:rsidR="00205E36">
        <w:rPr>
          <w:rFonts w:cs="Open Sans"/>
        </w:rPr>
        <w:t xml:space="preserve"> s </w:t>
      </w:r>
      <w:r w:rsidRPr="00AA1A20">
        <w:rPr>
          <w:rFonts w:cs="Open Sans"/>
        </w:rPr>
        <w:t>25A of the ASIO Act only requires the data held in the target computer to be intelligence in respect of a security matter that is ‘important’ in relation to</w:t>
      </w:r>
      <w:r w:rsidRPr="00EF03E6">
        <w:rPr>
          <w:rFonts w:cs="Open Sans"/>
        </w:rPr>
        <w:t xml:space="preserve"> security. </w:t>
      </w:r>
    </w:p>
    <w:p w14:paraId="6947D6DB" w14:textId="179D9156"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Consequently, by attaching ancillary interception powers to the issuance of a computer access warrant under</w:t>
      </w:r>
      <w:r w:rsidR="00205E36">
        <w:rPr>
          <w:rFonts w:cs="Open Sans"/>
        </w:rPr>
        <w:t xml:space="preserve"> s </w:t>
      </w:r>
      <w:r w:rsidRPr="00AA1A20">
        <w:rPr>
          <w:rFonts w:cs="Open Sans"/>
        </w:rPr>
        <w:t>25A of the ASIO Act, the Bill lower</w:t>
      </w:r>
      <w:r>
        <w:rPr>
          <w:rFonts w:cs="Open Sans"/>
        </w:rPr>
        <w:t>s</w:t>
      </w:r>
      <w:r w:rsidRPr="00AA1A20">
        <w:rPr>
          <w:rFonts w:cs="Open Sans"/>
        </w:rPr>
        <w:t xml:space="preserve"> </w:t>
      </w:r>
      <w:r w:rsidRPr="00AA1A20">
        <w:rPr>
          <w:rFonts w:cs="Open Sans"/>
        </w:rPr>
        <w:lastRenderedPageBreak/>
        <w:t xml:space="preserve">the threshold for </w:t>
      </w:r>
      <w:r>
        <w:rPr>
          <w:rFonts w:cs="Open Sans"/>
        </w:rPr>
        <w:t xml:space="preserve">authorising </w:t>
      </w:r>
      <w:r w:rsidRPr="00AA1A20">
        <w:rPr>
          <w:rFonts w:cs="Open Sans"/>
        </w:rPr>
        <w:t>the interception of communications passing over a telecommunications system.</w:t>
      </w:r>
    </w:p>
    <w:p w14:paraId="040A837A" w14:textId="41012F71"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On the material provided in the </w:t>
      </w:r>
      <w:r w:rsidR="004A6ACC">
        <w:rPr>
          <w:rFonts w:cs="Open Sans"/>
        </w:rPr>
        <w:t>E</w:t>
      </w:r>
      <w:r w:rsidRPr="00AA1A20">
        <w:rPr>
          <w:rFonts w:cs="Open Sans"/>
        </w:rPr>
        <w:t xml:space="preserve">xplanatory </w:t>
      </w:r>
      <w:r w:rsidR="004A6ACC">
        <w:rPr>
          <w:rFonts w:cs="Open Sans"/>
        </w:rPr>
        <w:t>M</w:t>
      </w:r>
      <w:r>
        <w:rPr>
          <w:rFonts w:cs="Open Sans"/>
        </w:rPr>
        <w:t>emorandum</w:t>
      </w:r>
      <w:r w:rsidRPr="00AA1A20">
        <w:rPr>
          <w:rFonts w:cs="Open Sans"/>
        </w:rPr>
        <w:t xml:space="preserve">, the Commission is not persuaded that lowering the interception threshold and attaching broad ancillary interception powers to computer access warrants is a necessary and proportionate limitation on human rights. </w:t>
      </w:r>
    </w:p>
    <w:p w14:paraId="226292B9" w14:textId="6585E178" w:rsidR="005B59BD" w:rsidRPr="00AA1A20" w:rsidRDefault="004A6ACC" w:rsidP="005B59BD">
      <w:pPr>
        <w:pStyle w:val="ListNumber"/>
        <w:tabs>
          <w:tab w:val="clear" w:pos="360"/>
          <w:tab w:val="num" w:pos="993"/>
          <w:tab w:val="left" w:pos="1418"/>
        </w:tabs>
        <w:ind w:left="709" w:hanging="567"/>
        <w:rPr>
          <w:rFonts w:cs="Open Sans"/>
        </w:rPr>
      </w:pPr>
      <w:r>
        <w:rPr>
          <w:rFonts w:cs="Open Sans"/>
        </w:rPr>
        <w:t>Reference in the E</w:t>
      </w:r>
      <w:r w:rsidR="005B59BD" w:rsidRPr="00AA1A20">
        <w:rPr>
          <w:rFonts w:cs="Open Sans"/>
        </w:rPr>
        <w:t xml:space="preserve">xplanatory </w:t>
      </w:r>
      <w:r>
        <w:rPr>
          <w:rFonts w:cs="Open Sans"/>
        </w:rPr>
        <w:t>M</w:t>
      </w:r>
      <w:r w:rsidR="005B59BD">
        <w:rPr>
          <w:rFonts w:cs="Open Sans"/>
        </w:rPr>
        <w:t>emorandum</w:t>
      </w:r>
      <w:r w:rsidR="005B59BD" w:rsidRPr="00AA1A20">
        <w:rPr>
          <w:rFonts w:cs="Open Sans"/>
        </w:rPr>
        <w:t xml:space="preserve"> to concerns about the ‘administrative inefficiency’ involved in requiring ASIO to prepare two warrant applications is unpersuasive. A desire to decrease administrative inefficiency cannot be a legitimate objective for laws which so significantly curtail fundamental human rights such as the right to privacy. Further, the fact that ASIO sometimes fails to obtain a telecommunication interception warrant suggests that certain applications may fall below the current legislative test for lawful interception. </w:t>
      </w:r>
    </w:p>
    <w:p w14:paraId="3AA38DE9" w14:textId="5C27B1D4" w:rsidR="005B59BD" w:rsidRPr="00AA1A20" w:rsidRDefault="004A6ACC" w:rsidP="005B59BD">
      <w:pPr>
        <w:pStyle w:val="ListNumber"/>
        <w:tabs>
          <w:tab w:val="clear" w:pos="360"/>
          <w:tab w:val="num" w:pos="993"/>
          <w:tab w:val="left" w:pos="1418"/>
        </w:tabs>
        <w:ind w:left="709" w:hanging="567"/>
        <w:rPr>
          <w:rFonts w:cs="Open Sans"/>
        </w:rPr>
      </w:pPr>
      <w:r>
        <w:rPr>
          <w:rFonts w:cs="Open Sans"/>
        </w:rPr>
        <w:t>There is nothing in the E</w:t>
      </w:r>
      <w:r w:rsidR="005B59BD" w:rsidRPr="00AA1A20">
        <w:rPr>
          <w:rFonts w:cs="Open Sans"/>
        </w:rPr>
        <w:t xml:space="preserve">xplanatory </w:t>
      </w:r>
      <w:r>
        <w:rPr>
          <w:rFonts w:cs="Open Sans"/>
        </w:rPr>
        <w:t>M</w:t>
      </w:r>
      <w:r w:rsidR="005B59BD">
        <w:rPr>
          <w:rFonts w:cs="Open Sans"/>
        </w:rPr>
        <w:t>emorandum</w:t>
      </w:r>
      <w:r w:rsidR="005B59BD" w:rsidRPr="00AA1A20">
        <w:rPr>
          <w:rFonts w:cs="Open Sans"/>
        </w:rPr>
        <w:t xml:space="preserve"> to suggest that the current threshold for interception warrants in the TIA Act is inappropriate given the intrusive nature of the powers these warrants authorise.</w:t>
      </w:r>
    </w:p>
    <w:p w14:paraId="2F880128" w14:textId="79DDE7CE" w:rsidR="005B59BD" w:rsidRPr="00AA1A20" w:rsidRDefault="004A6ACC" w:rsidP="005B59BD">
      <w:pPr>
        <w:pStyle w:val="ListNumber"/>
        <w:tabs>
          <w:tab w:val="clear" w:pos="360"/>
          <w:tab w:val="num" w:pos="993"/>
          <w:tab w:val="left" w:pos="1418"/>
        </w:tabs>
        <w:ind w:left="709" w:hanging="567"/>
        <w:rPr>
          <w:rFonts w:cs="Open Sans"/>
        </w:rPr>
      </w:pPr>
      <w:r>
        <w:rPr>
          <w:rFonts w:cs="Open Sans"/>
        </w:rPr>
        <w:t>The E</w:t>
      </w:r>
      <w:r w:rsidR="005B59BD" w:rsidRPr="00AA1A20">
        <w:rPr>
          <w:rFonts w:cs="Open Sans"/>
        </w:rPr>
        <w:t xml:space="preserve">xplanatory </w:t>
      </w:r>
      <w:r>
        <w:rPr>
          <w:rFonts w:cs="Open Sans"/>
        </w:rPr>
        <w:t>M</w:t>
      </w:r>
      <w:r w:rsidR="005B59BD">
        <w:rPr>
          <w:rFonts w:cs="Open Sans"/>
        </w:rPr>
        <w:t>emorandum</w:t>
      </w:r>
      <w:r w:rsidR="005B59BD" w:rsidRPr="00AA1A20">
        <w:rPr>
          <w:rFonts w:cs="Open Sans"/>
        </w:rPr>
        <w:t xml:space="preserve"> states that ‘it is almost always necessary for ASIO to undertake limited interception for the purposes of executing a computer access warrant’,</w:t>
      </w:r>
      <w:r w:rsidR="005B59BD" w:rsidRPr="00543C35">
        <w:rPr>
          <w:rStyle w:val="EndnoteReference"/>
          <w:vertAlign w:val="superscript"/>
        </w:rPr>
        <w:endnoteReference w:id="185"/>
      </w:r>
      <w:r w:rsidR="005B59BD" w:rsidRPr="00AA1A20">
        <w:rPr>
          <w:rFonts w:cs="Open Sans"/>
        </w:rPr>
        <w:t xml:space="preserve"> but provides no further detail about why this is needed, or the kinds of interceptions that are regularly undertaken or contemplated by ASIO, or why the existing threshold for interception under the ASIO Act is inappropriate. </w:t>
      </w:r>
    </w:p>
    <w:p w14:paraId="0FA12963" w14:textId="4D4C05CD" w:rsidR="005B59BD" w:rsidRPr="009C619F" w:rsidRDefault="005B59BD" w:rsidP="005B59BD">
      <w:pPr>
        <w:pStyle w:val="ListNumber"/>
        <w:tabs>
          <w:tab w:val="clear" w:pos="360"/>
          <w:tab w:val="num" w:pos="993"/>
          <w:tab w:val="left" w:pos="1418"/>
        </w:tabs>
        <w:ind w:left="709" w:hanging="567"/>
        <w:rPr>
          <w:rFonts w:cs="Open Sans"/>
        </w:rPr>
      </w:pPr>
      <w:r w:rsidRPr="009C619F">
        <w:rPr>
          <w:rFonts w:cs="Open Sans"/>
        </w:rPr>
        <w:t xml:space="preserve">A further issue relates to the breadth of activities that </w:t>
      </w:r>
      <w:r w:rsidR="00B24711">
        <w:rPr>
          <w:rFonts w:cs="Open Sans"/>
        </w:rPr>
        <w:t xml:space="preserve">may currently be authorised in </w:t>
      </w:r>
      <w:r w:rsidRPr="00D77E36">
        <w:rPr>
          <w:rFonts w:cs="Open Sans"/>
        </w:rPr>
        <w:t>a computer access warrant under the ASIO Act and the proposed computer access warrant regime under the SD Act</w:t>
      </w:r>
      <w:r w:rsidRPr="004D387E">
        <w:rPr>
          <w:rFonts w:cs="Open Sans"/>
        </w:rPr>
        <w:t xml:space="preserve">. Because the scope of activities </w:t>
      </w:r>
      <w:r w:rsidR="00B24711">
        <w:rPr>
          <w:rFonts w:cs="Open Sans"/>
        </w:rPr>
        <w:t xml:space="preserve">that may be undertaken pursuant to a warrant </w:t>
      </w:r>
      <w:r w:rsidRPr="004D387E">
        <w:rPr>
          <w:rFonts w:cs="Open Sans"/>
        </w:rPr>
        <w:t xml:space="preserve">is broad, it follows that inserting a new ability to authorise telecommunications interception for the purpose of doing </w:t>
      </w:r>
      <w:r w:rsidRPr="00791385">
        <w:rPr>
          <w:rFonts w:cs="Open Sans"/>
        </w:rPr>
        <w:t xml:space="preserve">any of these things represents a very significant expansion of </w:t>
      </w:r>
      <w:r>
        <w:rPr>
          <w:rFonts w:cs="Open Sans"/>
        </w:rPr>
        <w:t xml:space="preserve">interception </w:t>
      </w:r>
      <w:r w:rsidRPr="009C619F">
        <w:rPr>
          <w:rFonts w:cs="Open Sans"/>
        </w:rPr>
        <w:t xml:space="preserve">powers. It is therefore necessary to ensure that the </w:t>
      </w:r>
      <w:r>
        <w:rPr>
          <w:rFonts w:cs="Open Sans"/>
        </w:rPr>
        <w:t xml:space="preserve">telecommunications </w:t>
      </w:r>
      <w:r w:rsidRPr="009C619F">
        <w:rPr>
          <w:rFonts w:cs="Open Sans"/>
        </w:rPr>
        <w:t xml:space="preserve">interception </w:t>
      </w:r>
      <w:r>
        <w:rPr>
          <w:rFonts w:cs="Open Sans"/>
        </w:rPr>
        <w:t xml:space="preserve">that is authorised </w:t>
      </w:r>
      <w:r w:rsidRPr="009C619F">
        <w:rPr>
          <w:rFonts w:cs="Open Sans"/>
        </w:rPr>
        <w:t xml:space="preserve">is tightly related to </w:t>
      </w:r>
      <w:r>
        <w:rPr>
          <w:rFonts w:cs="Open Sans"/>
        </w:rPr>
        <w:t xml:space="preserve">obtaining access to data from the computer. </w:t>
      </w:r>
    </w:p>
    <w:p w14:paraId="34BD63E0" w14:textId="4ED9E4CC"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For example, under</w:t>
      </w:r>
      <w:r w:rsidR="00205E36">
        <w:rPr>
          <w:rFonts w:cs="Open Sans"/>
        </w:rPr>
        <w:t xml:space="preserve"> ss </w:t>
      </w:r>
      <w:r w:rsidRPr="00AA1A20">
        <w:rPr>
          <w:rFonts w:cs="Open Sans"/>
        </w:rPr>
        <w:t xml:space="preserve">25A(4)(aaa) </w:t>
      </w:r>
      <w:r>
        <w:rPr>
          <w:rFonts w:cs="Open Sans"/>
        </w:rPr>
        <w:t xml:space="preserve">and 27E(2)(b) </w:t>
      </w:r>
      <w:r w:rsidRPr="00AA1A20">
        <w:rPr>
          <w:rFonts w:cs="Open Sans"/>
        </w:rPr>
        <w:t>of the ASIO Act</w:t>
      </w:r>
      <w:r>
        <w:rPr>
          <w:rFonts w:cs="Open Sans"/>
        </w:rPr>
        <w:t xml:space="preserve"> and proposed</w:t>
      </w:r>
      <w:r w:rsidR="00205E36">
        <w:rPr>
          <w:rFonts w:cs="Open Sans"/>
        </w:rPr>
        <w:t xml:space="preserve"> s </w:t>
      </w:r>
      <w:r>
        <w:rPr>
          <w:rFonts w:cs="Open Sans"/>
        </w:rPr>
        <w:t>27E(b) of the SD Act</w:t>
      </w:r>
      <w:r w:rsidRPr="00AA1A20">
        <w:rPr>
          <w:rFonts w:cs="Open Sans"/>
        </w:rPr>
        <w:t xml:space="preserve">, a computer access warrant can authorise access to a third party property for the purpose of gaining entry to, or exiting, a premises specified in the warrant. Consequently, it appears that the ancillary interception power </w:t>
      </w:r>
      <w:r>
        <w:rPr>
          <w:rFonts w:cs="Open Sans"/>
        </w:rPr>
        <w:t>could</w:t>
      </w:r>
      <w:r w:rsidRPr="00AA1A20">
        <w:rPr>
          <w:rFonts w:cs="Open Sans"/>
        </w:rPr>
        <w:t xml:space="preserve"> authorise the interception of communications passing over a telecommunications system involving the occupiers of the third party property, if such interception is for the purpose of gaining access to that third party property so as to enter the </w:t>
      </w:r>
      <w:r w:rsidRPr="00AA1A20">
        <w:rPr>
          <w:rFonts w:cs="Open Sans"/>
        </w:rPr>
        <w:lastRenderedPageBreak/>
        <w:t xml:space="preserve">specified property to execute the warrant. </w:t>
      </w:r>
      <w:r>
        <w:rPr>
          <w:rFonts w:cs="Open Sans"/>
        </w:rPr>
        <w:t xml:space="preserve">For example, ASIO or a law enforcement agency may be authorised to monitor phone calls or messages of innocent third parties, perhaps even of children, in a property adjacent to the property containing the computer to which the warrant relates, in order to determine when the property is vacant and could be used to access the property specified in the warrant. </w:t>
      </w:r>
      <w:r w:rsidRPr="00AA1A20">
        <w:rPr>
          <w:rFonts w:cs="Open Sans"/>
        </w:rPr>
        <w:t xml:space="preserve">Clearly, such an exercise of the ancillary interception power would significantly impact upon the human rights of innocent third parties. </w:t>
      </w:r>
    </w:p>
    <w:p w14:paraId="60AD68F5" w14:textId="001EA18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While the Commission acknowledges that it is not aware of all the technical and operational requirements needed by ASIO or law enforcement agencies to execute computer access warrants in a variety of different circumstances, it is concerned about the potential breadth of the interception powers that the Bill would make available under the warrant regimes in the SD Act and the ASIO Act. This is particularly the case given that ancillary interception powers have also been included in the ‘concealment of access’ provisions discussed above which presently extend beyond the expiry of a warrant. </w:t>
      </w:r>
      <w:r>
        <w:rPr>
          <w:rFonts w:cs="Open Sans"/>
        </w:rPr>
        <w:t>Further, proposed amendments to the TIA Act would permit, in certain circumstances, secondary use of information obtained by ASIO as a result of intercepting telecommunications while executing a computer access warrant.</w:t>
      </w:r>
      <w:r w:rsidRPr="00D77E36">
        <w:rPr>
          <w:rStyle w:val="EndnoteReference"/>
          <w:vertAlign w:val="superscript"/>
        </w:rPr>
        <w:endnoteReference w:id="186"/>
      </w:r>
      <w:r>
        <w:rPr>
          <w:rFonts w:cs="Open Sans"/>
        </w:rPr>
        <w:t xml:space="preserve"> </w:t>
      </w:r>
    </w:p>
    <w:p w14:paraId="77A05E03" w14:textId="0FEB21A4" w:rsidR="005B59BD" w:rsidRDefault="005B59BD" w:rsidP="005B59BD">
      <w:pPr>
        <w:pStyle w:val="ListNumber"/>
        <w:tabs>
          <w:tab w:val="clear" w:pos="360"/>
          <w:tab w:val="num" w:pos="993"/>
          <w:tab w:val="left" w:pos="1418"/>
        </w:tabs>
        <w:ind w:left="709" w:hanging="567"/>
        <w:rPr>
          <w:rFonts w:cs="Open Sans"/>
        </w:rPr>
      </w:pPr>
      <w:r>
        <w:rPr>
          <w:rFonts w:cs="Open Sans"/>
        </w:rPr>
        <w:t xml:space="preserve">The Commission agrees with the views of </w:t>
      </w:r>
      <w:r w:rsidR="00B434C5">
        <w:rPr>
          <w:rFonts w:cs="Open Sans"/>
        </w:rPr>
        <w:t xml:space="preserve">the </w:t>
      </w:r>
      <w:r>
        <w:rPr>
          <w:rFonts w:cs="Open Sans"/>
        </w:rPr>
        <w:t>IGIS that consideration could be given to limiting the telecommunications interception powers to only those authorised activities that are directly connected to obtaining access to relevant data from the computers that are the subject of the warrant.</w:t>
      </w:r>
      <w:r w:rsidRPr="004D387E">
        <w:rPr>
          <w:rStyle w:val="EndnoteReference"/>
          <w:vertAlign w:val="superscript"/>
        </w:rPr>
        <w:endnoteReference w:id="187"/>
      </w:r>
    </w:p>
    <w:p w14:paraId="5E437F37" w14:textId="17FBDA20"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In the absence of any persuasive explanation of why </w:t>
      </w:r>
      <w:r>
        <w:rPr>
          <w:rFonts w:cs="Open Sans"/>
        </w:rPr>
        <w:t>broader</w:t>
      </w:r>
      <w:r w:rsidRPr="00AA1A20">
        <w:rPr>
          <w:rFonts w:cs="Open Sans"/>
        </w:rPr>
        <w:t xml:space="preserve"> ancillary interception powers are said to be needed—and in the absence of legislative drafting that is sufficiently precise to ensure that the intrusions on privacy authorised by the expanded warrant powers are in all cases reasonable and proportionate, the Commission considers that the limitations on privacy entailed by the expansion of the computer warrant powers contemplated by proposed</w:t>
      </w:r>
      <w:r w:rsidR="00205E36">
        <w:rPr>
          <w:rFonts w:cs="Open Sans"/>
        </w:rPr>
        <w:t xml:space="preserve"> ss </w:t>
      </w:r>
      <w:r w:rsidRPr="00AA1A20">
        <w:rPr>
          <w:rFonts w:cs="Open Sans"/>
        </w:rPr>
        <w:t>25A(4)(ba), 25A(8)(h), 27A(3C)(h), 27E2(ea), 27E(6)(h) of the ASIO Act and proposed</w:t>
      </w:r>
      <w:r w:rsidR="00205E36">
        <w:rPr>
          <w:rFonts w:cs="Open Sans"/>
        </w:rPr>
        <w:t xml:space="preserve"> ss </w:t>
      </w:r>
      <w:r w:rsidRPr="00AA1A20">
        <w:rPr>
          <w:rFonts w:cs="Open Sans"/>
        </w:rPr>
        <w:t>27E(2)(h) and 27E(7)(h) of the SD Act have not been demonstrated to be necessary and proportionate to achieve a legitimate objective.</w:t>
      </w:r>
    </w:p>
    <w:p w14:paraId="5E7450FF" w14:textId="77777777" w:rsidR="005B59BD" w:rsidRPr="00AA1A20" w:rsidRDefault="005B59BD" w:rsidP="00E77015">
      <w:pPr>
        <w:pStyle w:val="ListNumber"/>
        <w:keepNext/>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recommends that:</w:t>
      </w:r>
    </w:p>
    <w:p w14:paraId="2F5435AF" w14:textId="2CD624AE" w:rsidR="005B59BD" w:rsidRPr="00AA1A20" w:rsidRDefault="00BC2929" w:rsidP="00FB5828">
      <w:pPr>
        <w:pStyle w:val="ListNumber"/>
        <w:keepNext/>
        <w:numPr>
          <w:ilvl w:val="0"/>
          <w:numId w:val="0"/>
        </w:numPr>
        <w:ind w:left="720"/>
        <w:rPr>
          <w:rFonts w:cs="Open Sans"/>
          <w:b/>
        </w:rPr>
      </w:pPr>
      <w:r>
        <w:rPr>
          <w:rFonts w:cs="Open Sans"/>
          <w:b/>
        </w:rPr>
        <w:t xml:space="preserve">Recommendation </w:t>
      </w:r>
      <w:r w:rsidR="00D7469A">
        <w:rPr>
          <w:rFonts w:cs="Open Sans"/>
          <w:b/>
        </w:rPr>
        <w:t>42</w:t>
      </w:r>
    </w:p>
    <w:p w14:paraId="4C9C3564" w14:textId="3EA52FA7" w:rsidR="005B59BD" w:rsidRDefault="005B59BD" w:rsidP="005B59BD">
      <w:pPr>
        <w:pStyle w:val="ListNumber"/>
        <w:numPr>
          <w:ilvl w:val="0"/>
          <w:numId w:val="0"/>
        </w:numPr>
        <w:ind w:left="720"/>
        <w:rPr>
          <w:rFonts w:cs="Open Sans"/>
        </w:rPr>
      </w:pPr>
      <w:r>
        <w:rPr>
          <w:rFonts w:cs="Open Sans"/>
        </w:rPr>
        <w:t xml:space="preserve">The authorisation of telecommunications interception </w:t>
      </w:r>
      <w:r w:rsidR="00AB58CE">
        <w:rPr>
          <w:rFonts w:cs="Open Sans"/>
        </w:rPr>
        <w:t>under</w:t>
      </w:r>
      <w:r>
        <w:rPr>
          <w:rFonts w:cs="Open Sans"/>
        </w:rPr>
        <w:t xml:space="preserve"> p</w:t>
      </w:r>
      <w:r w:rsidRPr="00AA1A20">
        <w:rPr>
          <w:rFonts w:cs="Open Sans"/>
        </w:rPr>
        <w:t>roposed</w:t>
      </w:r>
      <w:r w:rsidR="00205E36">
        <w:rPr>
          <w:rFonts w:cs="Open Sans"/>
        </w:rPr>
        <w:t xml:space="preserve"> s </w:t>
      </w:r>
      <w:r w:rsidRPr="00AA1A20">
        <w:rPr>
          <w:rFonts w:cs="Open Sans"/>
        </w:rPr>
        <w:t>25A(4)(ba)</w:t>
      </w:r>
      <w:r>
        <w:rPr>
          <w:rFonts w:cs="Open Sans"/>
        </w:rPr>
        <w:t xml:space="preserve"> of the </w:t>
      </w:r>
      <w:r w:rsidRPr="002F4FC4">
        <w:rPr>
          <w:rFonts w:cs="Open Sans"/>
          <w:i/>
        </w:rPr>
        <w:t>Australian Security Intelligence Organisation Act 1979</w:t>
      </w:r>
      <w:r>
        <w:rPr>
          <w:rFonts w:cs="Open Sans"/>
        </w:rPr>
        <w:t xml:space="preserve"> (Cth) be limited to interception for the purposes of doing the things set out in</w:t>
      </w:r>
      <w:r w:rsidR="00205E36">
        <w:rPr>
          <w:rFonts w:cs="Open Sans"/>
        </w:rPr>
        <w:t xml:space="preserve"> </w:t>
      </w:r>
      <w:r w:rsidR="00205E36">
        <w:rPr>
          <w:rFonts w:cs="Open Sans"/>
        </w:rPr>
        <w:lastRenderedPageBreak/>
        <w:t>s </w:t>
      </w:r>
      <w:r>
        <w:rPr>
          <w:rFonts w:cs="Open Sans"/>
        </w:rPr>
        <w:t>25A(4)(a) and (ab)</w:t>
      </w:r>
      <w:r w:rsidRPr="00AA1A20">
        <w:rPr>
          <w:rFonts w:cs="Open Sans"/>
        </w:rPr>
        <w:t xml:space="preserve">, </w:t>
      </w:r>
      <w:r>
        <w:rPr>
          <w:rFonts w:cs="Open Sans"/>
        </w:rPr>
        <w:t>namely, for the purposes of using a device or equipment to obtain access to the relevant data.</w:t>
      </w:r>
    </w:p>
    <w:p w14:paraId="1FB92DB9" w14:textId="1FDED22F" w:rsidR="005B59BD" w:rsidRPr="002F4FC4" w:rsidRDefault="005B59BD" w:rsidP="00FB5828">
      <w:pPr>
        <w:pStyle w:val="ListNumber"/>
        <w:keepNext/>
        <w:numPr>
          <w:ilvl w:val="0"/>
          <w:numId w:val="0"/>
        </w:numPr>
        <w:ind w:left="720"/>
        <w:rPr>
          <w:rFonts w:cs="Open Sans"/>
          <w:b/>
        </w:rPr>
      </w:pPr>
      <w:r w:rsidRPr="002F4FC4">
        <w:rPr>
          <w:rFonts w:cs="Open Sans"/>
          <w:b/>
        </w:rPr>
        <w:t>Recommendation</w:t>
      </w:r>
      <w:r w:rsidR="00BC2929">
        <w:rPr>
          <w:rFonts w:cs="Open Sans"/>
          <w:b/>
        </w:rPr>
        <w:t xml:space="preserve"> </w:t>
      </w:r>
      <w:r w:rsidR="00D7469A">
        <w:rPr>
          <w:rFonts w:cs="Open Sans"/>
          <w:b/>
        </w:rPr>
        <w:t>43</w:t>
      </w:r>
    </w:p>
    <w:p w14:paraId="1E1BD75E" w14:textId="01A40465" w:rsidR="005B59BD" w:rsidRPr="00AA1A20" w:rsidRDefault="005B59BD" w:rsidP="005B59BD">
      <w:pPr>
        <w:pStyle w:val="ListNumber"/>
        <w:numPr>
          <w:ilvl w:val="0"/>
          <w:numId w:val="0"/>
        </w:numPr>
        <w:ind w:left="720"/>
        <w:rPr>
          <w:rFonts w:cs="Open Sans"/>
        </w:rPr>
      </w:pPr>
      <w:r>
        <w:rPr>
          <w:rFonts w:cs="Open Sans"/>
        </w:rPr>
        <w:t xml:space="preserve">Equivalent amendments be made to </w:t>
      </w:r>
      <w:r w:rsidR="00D30C49">
        <w:rPr>
          <w:rFonts w:cs="Open Sans"/>
        </w:rPr>
        <w:t xml:space="preserve">limit </w:t>
      </w:r>
      <w:r>
        <w:rPr>
          <w:rFonts w:cs="Open Sans"/>
        </w:rPr>
        <w:t xml:space="preserve">the authorisation of telecommunications interception </w:t>
      </w:r>
      <w:r w:rsidR="00D30C49">
        <w:rPr>
          <w:rFonts w:cs="Open Sans"/>
        </w:rPr>
        <w:t>under</w:t>
      </w:r>
      <w:r>
        <w:rPr>
          <w:rFonts w:cs="Open Sans"/>
        </w:rPr>
        <w:t xml:space="preserve"> proposed</w:t>
      </w:r>
      <w:r w:rsidR="00205E36">
        <w:rPr>
          <w:rFonts w:cs="Open Sans"/>
        </w:rPr>
        <w:t xml:space="preserve"> ss </w:t>
      </w:r>
      <w:r w:rsidRPr="00AA1A20">
        <w:rPr>
          <w:rFonts w:cs="Open Sans"/>
        </w:rPr>
        <w:t>25A(8)(h), 27A(3C)(h), 27E</w:t>
      </w:r>
      <w:r>
        <w:rPr>
          <w:rFonts w:cs="Open Sans"/>
        </w:rPr>
        <w:t>(</w:t>
      </w:r>
      <w:r w:rsidRPr="00AA1A20">
        <w:rPr>
          <w:rFonts w:cs="Open Sans"/>
        </w:rPr>
        <w:t>2</w:t>
      </w:r>
      <w:r>
        <w:rPr>
          <w:rFonts w:cs="Open Sans"/>
        </w:rPr>
        <w:t>)</w:t>
      </w:r>
      <w:r w:rsidRPr="00AA1A20">
        <w:rPr>
          <w:rFonts w:cs="Open Sans"/>
        </w:rPr>
        <w:t xml:space="preserve">(ea), 27E(6)(h) of the </w:t>
      </w:r>
      <w:r w:rsidRPr="00AA1A20">
        <w:rPr>
          <w:rFonts w:cs="Open Sans"/>
          <w:i/>
        </w:rPr>
        <w:t xml:space="preserve">Australian Security Intelligence Organisation Act 1979 </w:t>
      </w:r>
      <w:r w:rsidRPr="00AA1A20">
        <w:rPr>
          <w:rFonts w:cs="Open Sans"/>
        </w:rPr>
        <w:t>(Cth)</w:t>
      </w:r>
      <w:r>
        <w:rPr>
          <w:rFonts w:cs="Open Sans"/>
        </w:rPr>
        <w:t xml:space="preserve"> and proposed</w:t>
      </w:r>
      <w:r w:rsidR="00205E36">
        <w:rPr>
          <w:rFonts w:cs="Open Sans"/>
        </w:rPr>
        <w:t xml:space="preserve"> ss </w:t>
      </w:r>
      <w:r w:rsidRPr="00AA1A20">
        <w:rPr>
          <w:rFonts w:cs="Open Sans"/>
        </w:rPr>
        <w:t xml:space="preserve">27E(2)(h) and 27E(7)(h) of the </w:t>
      </w:r>
      <w:r w:rsidRPr="00AA1A20">
        <w:rPr>
          <w:rFonts w:cs="Open Sans"/>
          <w:i/>
        </w:rPr>
        <w:t xml:space="preserve">Surveillance Devices Act 2004 </w:t>
      </w:r>
      <w:r w:rsidRPr="00AA1A20">
        <w:rPr>
          <w:rFonts w:cs="Open Sans"/>
        </w:rPr>
        <w:t xml:space="preserve">(Cth). </w:t>
      </w:r>
    </w:p>
    <w:p w14:paraId="2D21FDBA" w14:textId="77777777" w:rsidR="005B59BD" w:rsidRDefault="005B59BD" w:rsidP="005B59BD">
      <w:pPr>
        <w:pStyle w:val="Heading2"/>
        <w:rPr>
          <w:rFonts w:cs="Open Sans"/>
        </w:rPr>
      </w:pPr>
      <w:bookmarkStart w:id="181" w:name="_Toc527107822"/>
      <w:bookmarkStart w:id="182" w:name="_Toc524352520"/>
      <w:r>
        <w:rPr>
          <w:rFonts w:cs="Open Sans"/>
        </w:rPr>
        <w:t>Use of force</w:t>
      </w:r>
      <w:bookmarkEnd w:id="181"/>
    </w:p>
    <w:p w14:paraId="0C0F947A" w14:textId="67882AFC" w:rsidR="005B59BD" w:rsidRDefault="005B59BD" w:rsidP="005B59BD">
      <w:pPr>
        <w:pStyle w:val="ListNumber"/>
        <w:tabs>
          <w:tab w:val="clear" w:pos="360"/>
          <w:tab w:val="num" w:pos="993"/>
          <w:tab w:val="left" w:pos="1418"/>
        </w:tabs>
        <w:ind w:left="709" w:hanging="567"/>
        <w:rPr>
          <w:rFonts w:cs="Open Sans"/>
        </w:rPr>
      </w:pPr>
      <w:r>
        <w:rPr>
          <w:rFonts w:cs="Open Sans"/>
        </w:rPr>
        <w:t>The amendments to existing ASIO warrant</w:t>
      </w:r>
      <w:r w:rsidR="001424BF">
        <w:rPr>
          <w:rFonts w:cs="Open Sans"/>
        </w:rPr>
        <w:t xml:space="preserve"> provisions</w:t>
      </w:r>
      <w:r>
        <w:rPr>
          <w:rFonts w:cs="Open Sans"/>
        </w:rPr>
        <w:t xml:space="preserve"> to permit interception of telecommunications will also have the effect of expanding the circumstances in which ASIO can use force against persons and things.</w:t>
      </w:r>
    </w:p>
    <w:p w14:paraId="4CBFBFDF" w14:textId="77777777" w:rsidR="005B59BD" w:rsidRDefault="005B59BD" w:rsidP="005B59BD">
      <w:pPr>
        <w:pStyle w:val="ListNumber"/>
        <w:tabs>
          <w:tab w:val="clear" w:pos="360"/>
          <w:tab w:val="num" w:pos="993"/>
          <w:tab w:val="left" w:pos="1418"/>
        </w:tabs>
        <w:ind w:left="709" w:hanging="567"/>
        <w:rPr>
          <w:rFonts w:cs="Open Sans"/>
        </w:rPr>
      </w:pPr>
      <w:r>
        <w:rPr>
          <w:rFonts w:cs="Open Sans"/>
        </w:rPr>
        <w:t>ASIO currently has the ability to obtain computer access warrants, foreign intelligence warrants and identified person warrants. Each of these warrants authorises ASIO to do a range of specified things. Significantly, each of those warrants is also required to authorise the use of any force against persons and things that is necessary and reasonable to do the things specified in the warrant.</w:t>
      </w:r>
      <w:r w:rsidRPr="00852812">
        <w:rPr>
          <w:rStyle w:val="EndnoteReference"/>
          <w:vertAlign w:val="superscript"/>
        </w:rPr>
        <w:endnoteReference w:id="188"/>
      </w:r>
      <w:r>
        <w:rPr>
          <w:rFonts w:cs="Open Sans"/>
        </w:rPr>
        <w:t xml:space="preserve"> Amendments in Schedule 2 of the Bill will now add telephone interception to the list of things that can be authorised under these warrants.</w:t>
      </w:r>
      <w:r w:rsidRPr="00852812">
        <w:rPr>
          <w:rStyle w:val="EndnoteReference"/>
          <w:vertAlign w:val="superscript"/>
        </w:rPr>
        <w:endnoteReference w:id="189"/>
      </w:r>
      <w:r>
        <w:rPr>
          <w:rFonts w:cs="Open Sans"/>
        </w:rPr>
        <w:t xml:space="preserve"> This means that ASIO will be permitted to use force in relation to telephone interception activities authorised under the warrants. This represents an expansion of the scope of ASIO’s authorisation to use force, given that interception warrants issued under Part 2-2 of the TIA Act do not authorise the use of force. </w:t>
      </w:r>
    </w:p>
    <w:p w14:paraId="7330A6A6" w14:textId="5763399E" w:rsidR="005B59BD" w:rsidRDefault="00B434C5" w:rsidP="005B59BD">
      <w:pPr>
        <w:pStyle w:val="ListNumber"/>
        <w:tabs>
          <w:tab w:val="clear" w:pos="360"/>
          <w:tab w:val="num" w:pos="993"/>
          <w:tab w:val="left" w:pos="1418"/>
        </w:tabs>
        <w:ind w:left="709" w:hanging="567"/>
        <w:rPr>
          <w:rFonts w:cs="Open Sans"/>
        </w:rPr>
      </w:pPr>
      <w:r>
        <w:rPr>
          <w:rFonts w:cs="Open Sans"/>
        </w:rPr>
        <w:t xml:space="preserve">The </w:t>
      </w:r>
      <w:r w:rsidR="005B59BD">
        <w:rPr>
          <w:rFonts w:cs="Open Sans"/>
        </w:rPr>
        <w:t>IGIS, who is responsible for oversight of ASIO, has said that ‘[i]t is unclear if the use of force against a person or thing could ever be necessary or reasonable to intercept a telecommunication under a warrant’ issued to ASIO.</w:t>
      </w:r>
      <w:r w:rsidR="005B59BD" w:rsidRPr="00F9419D">
        <w:rPr>
          <w:rStyle w:val="EndnoteReference"/>
          <w:vertAlign w:val="superscript"/>
        </w:rPr>
        <w:endnoteReference w:id="190"/>
      </w:r>
      <w:r w:rsidR="005B59BD">
        <w:rPr>
          <w:rFonts w:cs="Open Sans"/>
        </w:rPr>
        <w:t xml:space="preserve"> There is a real question whether this expansion of the power to use force was intended. The </w:t>
      </w:r>
      <w:r w:rsidR="00A7314C">
        <w:rPr>
          <w:rFonts w:cs="Open Sans"/>
        </w:rPr>
        <w:t>E</w:t>
      </w:r>
      <w:r w:rsidR="005B59BD">
        <w:rPr>
          <w:rFonts w:cs="Open Sans"/>
        </w:rPr>
        <w:t xml:space="preserve">xplanatory </w:t>
      </w:r>
      <w:r w:rsidR="00A7314C">
        <w:rPr>
          <w:rFonts w:cs="Open Sans"/>
        </w:rPr>
        <w:t>M</w:t>
      </w:r>
      <w:r w:rsidR="005B59BD">
        <w:rPr>
          <w:rFonts w:cs="Open Sans"/>
        </w:rPr>
        <w:t>emorandum does not address this issue. If there is no justification for expanding the circumstances in which force may be used by ASIO, the Commission recommends that amendments be made to the provisions dealing with these warrants to exclude telephone interception from the list of activities in respect of which warrants must authorise the use of force.</w:t>
      </w:r>
    </w:p>
    <w:p w14:paraId="2C7629F0" w14:textId="3715385C" w:rsidR="005B59BD" w:rsidRPr="000624BE" w:rsidRDefault="005B59BD" w:rsidP="000624BE">
      <w:pPr>
        <w:pStyle w:val="ListNumber"/>
        <w:keepNext/>
        <w:tabs>
          <w:tab w:val="clear" w:pos="360"/>
          <w:tab w:val="num" w:pos="993"/>
          <w:tab w:val="left" w:pos="1418"/>
        </w:tabs>
        <w:ind w:left="709" w:hanging="567"/>
        <w:rPr>
          <w:rFonts w:cs="Open Sans"/>
        </w:rPr>
      </w:pPr>
      <w:r w:rsidRPr="000624BE">
        <w:rPr>
          <w:rFonts w:cs="Open Sans"/>
        </w:rPr>
        <w:t>The new computer access warrant regime that the Bill proposes to insert into the SD Act is based on the regime in the ASIO Act. Proposed</w:t>
      </w:r>
      <w:r w:rsidR="00205E36">
        <w:rPr>
          <w:rFonts w:cs="Open Sans"/>
        </w:rPr>
        <w:t xml:space="preserve"> s </w:t>
      </w:r>
      <w:r w:rsidRPr="000624BE">
        <w:rPr>
          <w:rFonts w:cs="Open Sans"/>
        </w:rPr>
        <w:t xml:space="preserve">27E(6)(a) of the SD Act provides that a computer access warrant must authorise the use of force against persons and things that is necessary </w:t>
      </w:r>
      <w:r w:rsidRPr="000624BE">
        <w:rPr>
          <w:rFonts w:cs="Open Sans"/>
        </w:rPr>
        <w:lastRenderedPageBreak/>
        <w:t>and reasonable to do the things specified in the warrant. Proposed</w:t>
      </w:r>
      <w:r w:rsidR="00205E36">
        <w:rPr>
          <w:rFonts w:cs="Open Sans"/>
        </w:rPr>
        <w:t xml:space="preserve"> s </w:t>
      </w:r>
      <w:r w:rsidRPr="000624BE">
        <w:rPr>
          <w:rFonts w:cs="Open Sans"/>
        </w:rPr>
        <w:t xml:space="preserve">27E(7)(h) provides that one of the things that may be authorised is intercepting a communication passing over a telecommunications system. </w:t>
      </w:r>
      <w:r w:rsidR="00075C8F" w:rsidRPr="000624BE">
        <w:rPr>
          <w:rFonts w:cs="Open Sans"/>
        </w:rPr>
        <w:t>The Commission recommends</w:t>
      </w:r>
      <w:r w:rsidR="00075C8F">
        <w:rPr>
          <w:rFonts w:cs="Open Sans"/>
        </w:rPr>
        <w:t xml:space="preserve"> s 27E(6)(a) of the SD Act be amended to exclude the use of force in relation to </w:t>
      </w:r>
      <w:r w:rsidR="00075C8F" w:rsidRPr="000624BE">
        <w:rPr>
          <w:rFonts w:cs="Open Sans"/>
        </w:rPr>
        <w:t>telephone interception.</w:t>
      </w:r>
      <w:r w:rsidR="00075C8F">
        <w:rPr>
          <w:rFonts w:cs="Open Sans"/>
        </w:rPr>
        <w:t xml:space="preserve"> This amendment would be consistent with the Commission’s recommendation in relation to warrants under the ASIO Act.</w:t>
      </w:r>
    </w:p>
    <w:p w14:paraId="4C33AAF0" w14:textId="77777777" w:rsidR="005B59BD" w:rsidRDefault="005B59BD" w:rsidP="00FB5828">
      <w:pPr>
        <w:pStyle w:val="ListNumber"/>
        <w:keepNext/>
        <w:tabs>
          <w:tab w:val="clear" w:pos="360"/>
          <w:tab w:val="num" w:pos="993"/>
          <w:tab w:val="left" w:pos="1418"/>
        </w:tabs>
        <w:ind w:left="709" w:hanging="567"/>
        <w:rPr>
          <w:rFonts w:cs="Open Sans"/>
        </w:rPr>
      </w:pPr>
      <w:r>
        <w:rPr>
          <w:rFonts w:cs="Open Sans"/>
        </w:rPr>
        <w:t>The Commission recommends that:</w:t>
      </w:r>
    </w:p>
    <w:p w14:paraId="75318F5A" w14:textId="14A658F0" w:rsidR="005B59BD" w:rsidRPr="00BD2259" w:rsidRDefault="005B59BD" w:rsidP="00FB5828">
      <w:pPr>
        <w:pStyle w:val="ListNumber"/>
        <w:keepNext/>
        <w:numPr>
          <w:ilvl w:val="0"/>
          <w:numId w:val="0"/>
        </w:numPr>
        <w:tabs>
          <w:tab w:val="left" w:pos="1418"/>
        </w:tabs>
        <w:ind w:left="709"/>
        <w:rPr>
          <w:rFonts w:cs="Open Sans"/>
          <w:b/>
        </w:rPr>
      </w:pPr>
      <w:r w:rsidRPr="00BD2259">
        <w:rPr>
          <w:rFonts w:cs="Open Sans"/>
          <w:b/>
        </w:rPr>
        <w:t xml:space="preserve">Recommendation </w:t>
      </w:r>
      <w:r w:rsidR="00D7469A">
        <w:rPr>
          <w:rFonts w:cs="Open Sans"/>
          <w:b/>
        </w:rPr>
        <w:t>44</w:t>
      </w:r>
    </w:p>
    <w:p w14:paraId="09556B8E" w14:textId="50A1AF34" w:rsidR="005B59BD" w:rsidRDefault="005B59BD" w:rsidP="005B59BD">
      <w:pPr>
        <w:pStyle w:val="ListNumber"/>
        <w:numPr>
          <w:ilvl w:val="0"/>
          <w:numId w:val="0"/>
        </w:numPr>
        <w:tabs>
          <w:tab w:val="left" w:pos="1418"/>
        </w:tabs>
        <w:ind w:left="709"/>
        <w:rPr>
          <w:rFonts w:cs="Open Sans"/>
        </w:rPr>
      </w:pPr>
      <w:r>
        <w:rPr>
          <w:rFonts w:cs="Open Sans"/>
        </w:rPr>
        <w:t>The requirement to authorise the use of force by ASIO in</w:t>
      </w:r>
      <w:r w:rsidR="00205E36">
        <w:rPr>
          <w:rFonts w:cs="Open Sans"/>
        </w:rPr>
        <w:t xml:space="preserve"> ss </w:t>
      </w:r>
      <w:r w:rsidRPr="00BD2259">
        <w:rPr>
          <w:rFonts w:cs="Open Sans"/>
        </w:rPr>
        <w:t>25A(5A)(a), 27A(2)(a) and 27J(3)(d)</w:t>
      </w:r>
      <w:r>
        <w:rPr>
          <w:rFonts w:cs="Open Sans"/>
        </w:rPr>
        <w:t xml:space="preserve"> of the </w:t>
      </w:r>
      <w:r w:rsidRPr="008C5559">
        <w:rPr>
          <w:rFonts w:cs="Open Sans"/>
          <w:i/>
        </w:rPr>
        <w:t>Australian Security Intelligence Organisation Act 1979</w:t>
      </w:r>
      <w:r w:rsidRPr="00BD2259">
        <w:rPr>
          <w:rFonts w:cs="Open Sans"/>
        </w:rPr>
        <w:t xml:space="preserve"> (Cth)</w:t>
      </w:r>
      <w:r>
        <w:rPr>
          <w:rFonts w:cs="Open Sans"/>
        </w:rPr>
        <w:t xml:space="preserve"> exclude the use of force in relation to the proposed new activity of telephone interception authorised under computer access warrants, foreign intelligence warrants and identified persons warrants.</w:t>
      </w:r>
    </w:p>
    <w:p w14:paraId="2D0BE3CE" w14:textId="4CAEB04D" w:rsidR="005B59BD" w:rsidRPr="00BD2259" w:rsidRDefault="005B59BD" w:rsidP="00FB5828">
      <w:pPr>
        <w:pStyle w:val="ListNumber"/>
        <w:keepNext/>
        <w:numPr>
          <w:ilvl w:val="0"/>
          <w:numId w:val="0"/>
        </w:numPr>
        <w:tabs>
          <w:tab w:val="left" w:pos="1418"/>
        </w:tabs>
        <w:ind w:left="709"/>
        <w:rPr>
          <w:rFonts w:cs="Open Sans"/>
          <w:b/>
        </w:rPr>
      </w:pPr>
      <w:r w:rsidRPr="00BD2259">
        <w:rPr>
          <w:rFonts w:cs="Open Sans"/>
          <w:b/>
        </w:rPr>
        <w:t xml:space="preserve">Recommendation </w:t>
      </w:r>
      <w:r w:rsidR="00D7469A">
        <w:rPr>
          <w:rFonts w:cs="Open Sans"/>
          <w:b/>
        </w:rPr>
        <w:t>45</w:t>
      </w:r>
    </w:p>
    <w:p w14:paraId="3C2F18AC" w14:textId="5E4CD7FC" w:rsidR="005B59BD" w:rsidRPr="00BD2259" w:rsidRDefault="005B59BD" w:rsidP="005B59BD">
      <w:pPr>
        <w:pStyle w:val="ListNumber"/>
        <w:numPr>
          <w:ilvl w:val="0"/>
          <w:numId w:val="0"/>
        </w:numPr>
        <w:tabs>
          <w:tab w:val="left" w:pos="1418"/>
        </w:tabs>
        <w:ind w:left="709"/>
        <w:rPr>
          <w:rFonts w:cs="Open Sans"/>
        </w:rPr>
      </w:pPr>
      <w:r>
        <w:rPr>
          <w:rFonts w:cs="Open Sans"/>
        </w:rPr>
        <w:t>The requirement to authorise the use of force in proposed</w:t>
      </w:r>
      <w:r w:rsidR="00205E36">
        <w:rPr>
          <w:rFonts w:cs="Open Sans"/>
        </w:rPr>
        <w:t xml:space="preserve"> s </w:t>
      </w:r>
      <w:r>
        <w:rPr>
          <w:rFonts w:cs="Open Sans"/>
        </w:rPr>
        <w:t xml:space="preserve">27E(6)(a) of the </w:t>
      </w:r>
      <w:r w:rsidRPr="008C5559">
        <w:rPr>
          <w:rFonts w:cs="Open Sans"/>
          <w:i/>
        </w:rPr>
        <w:t>Surveillance Devices Act 2004</w:t>
      </w:r>
      <w:r>
        <w:rPr>
          <w:rFonts w:cs="Open Sans"/>
        </w:rPr>
        <w:t xml:space="preserve"> (Cth) </w:t>
      </w:r>
      <w:r w:rsidR="00AB58CE">
        <w:rPr>
          <w:rFonts w:cs="Open Sans"/>
        </w:rPr>
        <w:t xml:space="preserve">be amended so that it does not apply </w:t>
      </w:r>
      <w:r>
        <w:rPr>
          <w:rFonts w:cs="Open Sans"/>
        </w:rPr>
        <w:t>in relation to the proposed activity of telephone interception authorised under computer access warrants.</w:t>
      </w:r>
    </w:p>
    <w:p w14:paraId="75D25938" w14:textId="39BF75E2" w:rsidR="005B59BD" w:rsidRPr="00AA1A20" w:rsidRDefault="005B59BD" w:rsidP="005B59BD">
      <w:pPr>
        <w:pStyle w:val="Heading2"/>
        <w:rPr>
          <w:rFonts w:cs="Open Sans"/>
        </w:rPr>
      </w:pPr>
      <w:bookmarkStart w:id="183" w:name="_Toc527107823"/>
      <w:r w:rsidRPr="00AA1A20">
        <w:rPr>
          <w:rFonts w:cs="Open Sans"/>
        </w:rPr>
        <w:t>Assistance orders</w:t>
      </w:r>
      <w:bookmarkEnd w:id="182"/>
      <w:bookmarkEnd w:id="183"/>
    </w:p>
    <w:p w14:paraId="21B5B846" w14:textId="3ABC3DC6"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Bill proposes to insert provisions into the SD Act and the ASIO Act that would allow law enforcement agencies and ASIO to apply for ‘assistance orders’ relating to computer access.</w:t>
      </w:r>
      <w:r w:rsidRPr="002B4C33">
        <w:rPr>
          <w:rStyle w:val="EndnoteReference"/>
          <w:vertAlign w:val="superscript"/>
        </w:rPr>
        <w:endnoteReference w:id="191"/>
      </w:r>
      <w:r w:rsidRPr="00AA1A20">
        <w:rPr>
          <w:rFonts w:cs="Open Sans"/>
        </w:rPr>
        <w:t xml:space="preserve"> Similar assistance order provisions already exist in the Crimes Act and the Customs Act.</w:t>
      </w:r>
      <w:r w:rsidRPr="002B4C33">
        <w:rPr>
          <w:rStyle w:val="EndnoteReference"/>
          <w:vertAlign w:val="superscript"/>
        </w:rPr>
        <w:endnoteReference w:id="192"/>
      </w:r>
      <w:r w:rsidRPr="00AA1A20">
        <w:rPr>
          <w:rFonts w:cs="Open Sans"/>
        </w:rPr>
        <w:t xml:space="preserve"> </w:t>
      </w:r>
    </w:p>
    <w:p w14:paraId="536B23E1" w14:textId="629AB583"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w:t>
      </w:r>
      <w:r w:rsidR="004A6ACC">
        <w:rPr>
          <w:rFonts w:cs="Open Sans"/>
        </w:rPr>
        <w:t>E</w:t>
      </w:r>
      <w:r w:rsidRPr="00AA1A20">
        <w:rPr>
          <w:rFonts w:cs="Open Sans"/>
        </w:rPr>
        <w:t xml:space="preserve">xplanatory </w:t>
      </w:r>
      <w:r w:rsidR="004A6ACC">
        <w:rPr>
          <w:rFonts w:cs="Open Sans"/>
        </w:rPr>
        <w:t xml:space="preserve">Memorandum </w:t>
      </w:r>
      <w:r w:rsidRPr="00AA1A20">
        <w:rPr>
          <w:rFonts w:cs="Open Sans"/>
        </w:rPr>
        <w:t>states that the kinds of assistance contemplated by assistance orders include compelling a target or a target’s associate to provide the password, pin code, sequence or fingerprint necessary to unlock a phone, assisting with the examination of an electronic database or using relevant software to assist in obtaining a copy of particular records or files.</w:t>
      </w:r>
      <w:r w:rsidRPr="002B4C33">
        <w:rPr>
          <w:rStyle w:val="EndnoteReference"/>
          <w:vertAlign w:val="superscript"/>
        </w:rPr>
        <w:endnoteReference w:id="193"/>
      </w:r>
      <w:r w:rsidRPr="00AA1A20">
        <w:rPr>
          <w:rFonts w:cs="Open Sans"/>
        </w:rPr>
        <w:t xml:space="preserve"> </w:t>
      </w:r>
    </w:p>
    <w:p w14:paraId="504C4F65" w14:textId="1065E45E"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Under the SD Act, law enforcement agencies would be able to apply to an eligible Judge or a nominated AAT member for an assistance order. This assistance order could require a specified person to provide any information that is ‘reasonable and necessary’ to allow law enforcement to access, copy, convert or make intelligible, data subject to a computer access warrant or emergency authorisation. These orders can only attach to people who have relevant knowledge of the computer or device or the measures applied to protect the data. Such persons can include someone </w:t>
      </w:r>
      <w:r w:rsidRPr="00AA1A20">
        <w:rPr>
          <w:rFonts w:cs="Open Sans"/>
        </w:rPr>
        <w:lastRenderedPageBreak/>
        <w:t>reasonably suspected of having committed any of the offences to which the warrant relates, as well as, among others, owners and lessees of the relevant devices, system administrators and people who have used the devices. The penalty for not complying with an assistance order under the proposed</w:t>
      </w:r>
      <w:r w:rsidR="00205E36">
        <w:rPr>
          <w:rFonts w:cs="Open Sans"/>
        </w:rPr>
        <w:t xml:space="preserve"> s </w:t>
      </w:r>
      <w:r w:rsidRPr="00AA1A20">
        <w:rPr>
          <w:rFonts w:cs="Open Sans"/>
        </w:rPr>
        <w:t>64A of the SD Act is a maximum of ten years imprisonment</w:t>
      </w:r>
      <w:r>
        <w:rPr>
          <w:rFonts w:cs="Open Sans"/>
        </w:rPr>
        <w:t xml:space="preserve"> or a fine of $126,000 or both</w:t>
      </w:r>
      <w:r w:rsidRPr="00AA1A20">
        <w:rPr>
          <w:rFonts w:cs="Open Sans"/>
        </w:rPr>
        <w:t xml:space="preserve">. </w:t>
      </w:r>
    </w:p>
    <w:p w14:paraId="1A8EBBAC" w14:textId="1D200704" w:rsidR="005B59BD" w:rsidRDefault="005B59BD" w:rsidP="005B59BD">
      <w:pPr>
        <w:pStyle w:val="ListNumber"/>
        <w:tabs>
          <w:tab w:val="clear" w:pos="360"/>
          <w:tab w:val="num" w:pos="993"/>
          <w:tab w:val="left" w:pos="1418"/>
        </w:tabs>
        <w:ind w:left="709" w:hanging="567"/>
        <w:rPr>
          <w:rFonts w:cs="Open Sans"/>
        </w:rPr>
      </w:pPr>
      <w:r w:rsidRPr="00AA1A20">
        <w:rPr>
          <w:rFonts w:cs="Open Sans"/>
        </w:rPr>
        <w:t>The proposed new</w:t>
      </w:r>
      <w:r w:rsidR="00205E36">
        <w:rPr>
          <w:rFonts w:cs="Open Sans"/>
        </w:rPr>
        <w:t xml:space="preserve"> s </w:t>
      </w:r>
      <w:r w:rsidRPr="00AA1A20">
        <w:rPr>
          <w:rFonts w:cs="Open Sans"/>
        </w:rPr>
        <w:t xml:space="preserve">34AAA of the ASIO Act provides that the Director-General may request the Attorney-General to make an order requiring a specified person to do anything that is reasonable and necessary to allow ASIO to access, copy, convert or make intelligible, data subject to warrants under the ASIO Act. This would enable ASIO to compel those who are able to provide it with knowledge or assistance on how to access data on computer networks and devices subject to warrants to do so. Punishment for failure to comply with an assistance order would be imprisonment for </w:t>
      </w:r>
      <w:r>
        <w:rPr>
          <w:rFonts w:cs="Open Sans"/>
        </w:rPr>
        <w:t xml:space="preserve">a maximum of </w:t>
      </w:r>
      <w:r w:rsidRPr="00AA1A20">
        <w:rPr>
          <w:rFonts w:cs="Open Sans"/>
        </w:rPr>
        <w:t xml:space="preserve">five years or </w:t>
      </w:r>
      <w:r>
        <w:rPr>
          <w:rFonts w:cs="Open Sans"/>
        </w:rPr>
        <w:t>a fine of $63,000</w:t>
      </w:r>
      <w:r w:rsidRPr="00AA1A20">
        <w:rPr>
          <w:rFonts w:cs="Open Sans"/>
        </w:rPr>
        <w:t xml:space="preserve">, or both. </w:t>
      </w:r>
    </w:p>
    <w:p w14:paraId="70C27120" w14:textId="0CEFBFB3"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Significantly, unlike the assistance orders made under the SD Act, the Crimes Act and the Customs Act (which are issued by eligible </w:t>
      </w:r>
      <w:r>
        <w:rPr>
          <w:rFonts w:cs="Open Sans"/>
        </w:rPr>
        <w:t>Judges</w:t>
      </w:r>
      <w:r w:rsidRPr="00AA1A20">
        <w:rPr>
          <w:rFonts w:cs="Open Sans"/>
        </w:rPr>
        <w:t xml:space="preserve"> or nominated AAT members) the assistance orders issued under the ASIO Act are issued by the Attorney-General and do not appear to be subject to judicial or independent oversight.</w:t>
      </w:r>
      <w:r w:rsidR="0038253F">
        <w:rPr>
          <w:rFonts w:cs="Open Sans"/>
        </w:rPr>
        <w:t xml:space="preserve"> </w:t>
      </w:r>
    </w:p>
    <w:p w14:paraId="6E7AC8F1" w14:textId="6499F7E3"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Bill also seeks to increase the penalties associated with failure to comply with the existing assistance order provisions in the Crimes Act and the Customs Act.</w:t>
      </w:r>
      <w:r w:rsidRPr="002B4C33">
        <w:rPr>
          <w:rStyle w:val="EndnoteReference"/>
          <w:vertAlign w:val="superscript"/>
        </w:rPr>
        <w:endnoteReference w:id="194"/>
      </w:r>
      <w:r w:rsidRPr="002B4C33">
        <w:rPr>
          <w:rFonts w:cs="Open Sans"/>
          <w:vertAlign w:val="superscript"/>
        </w:rPr>
        <w:t xml:space="preserve"> </w:t>
      </w:r>
    </w:p>
    <w:p w14:paraId="777BAA2D" w14:textId="70242B25"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amendments would divide the existing offence for failing to comply with an assistance order under</w:t>
      </w:r>
      <w:r w:rsidR="00205E36">
        <w:rPr>
          <w:rFonts w:cs="Open Sans"/>
        </w:rPr>
        <w:t xml:space="preserve"> s </w:t>
      </w:r>
      <w:r w:rsidRPr="00AA1A20">
        <w:rPr>
          <w:rFonts w:cs="Open Sans"/>
        </w:rPr>
        <w:t xml:space="preserve">3LA of the Crimes Act into two: a simple offence and an aggravated offence. If the assistance order relates to an investigation into a ‘serious </w:t>
      </w:r>
      <w:r>
        <w:rPr>
          <w:rFonts w:cs="Open Sans"/>
        </w:rPr>
        <w:t>offence</w:t>
      </w:r>
      <w:r w:rsidRPr="00AA1A20">
        <w:rPr>
          <w:rFonts w:cs="Open Sans"/>
        </w:rPr>
        <w:t>’</w:t>
      </w:r>
      <w:r>
        <w:rPr>
          <w:rFonts w:cs="Open Sans"/>
        </w:rPr>
        <w:t xml:space="preserve"> or a ‘serious terrorism offence’</w:t>
      </w:r>
      <w:r w:rsidRPr="00AA1A20">
        <w:rPr>
          <w:rFonts w:cs="Open Sans"/>
        </w:rPr>
        <w:t>, then a person can be charged with the aggravated offence. A ‘serious offence’ is defined in the Crimes Act as one that is punishable on conviction for a period of two years or more.</w:t>
      </w:r>
      <w:r w:rsidRPr="00791385">
        <w:rPr>
          <w:rStyle w:val="EndnoteReference"/>
          <w:vertAlign w:val="superscript"/>
        </w:rPr>
        <w:endnoteReference w:id="195"/>
      </w:r>
      <w:r>
        <w:rPr>
          <w:rFonts w:cs="Open Sans"/>
        </w:rPr>
        <w:t xml:space="preserve"> </w:t>
      </w:r>
      <w:r w:rsidRPr="00AA1A20">
        <w:rPr>
          <w:rFonts w:cs="Open Sans"/>
        </w:rPr>
        <w:t xml:space="preserve">The Bill would also increase the penalty for failing to comply with an assistance order from two years imprisonment to five years imprisonment or </w:t>
      </w:r>
      <w:r>
        <w:rPr>
          <w:rFonts w:cs="Open Sans"/>
        </w:rPr>
        <w:t>a fine of $63,000</w:t>
      </w:r>
      <w:r w:rsidRPr="00AA1A20">
        <w:rPr>
          <w:rFonts w:cs="Open Sans"/>
        </w:rPr>
        <w:t xml:space="preserve"> (or both) for a simple offence or ten years imprisonment or </w:t>
      </w:r>
      <w:r>
        <w:rPr>
          <w:rFonts w:cs="Open Sans"/>
        </w:rPr>
        <w:t>a fine of $126,000</w:t>
      </w:r>
      <w:r w:rsidRPr="00AA1A20">
        <w:rPr>
          <w:rFonts w:cs="Open Sans"/>
        </w:rPr>
        <w:t xml:space="preserve"> (or both) for a serious offence or a serious terrorism offence. </w:t>
      </w:r>
    </w:p>
    <w:p w14:paraId="5E3C7E73" w14:textId="4B8BF12B"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Bill also seeks to make changes to the assistance order provision in the Customs Act</w:t>
      </w:r>
      <w:r w:rsidRPr="00AA1A20">
        <w:rPr>
          <w:rFonts w:cs="Open Sans"/>
          <w:i/>
        </w:rPr>
        <w:t xml:space="preserve"> </w:t>
      </w:r>
      <w:r w:rsidRPr="00AA1A20">
        <w:rPr>
          <w:rFonts w:cs="Open Sans"/>
        </w:rPr>
        <w:t>by creating a similar bifurcated offence for failure to comply with an assistance order issued by a magistrate under</w:t>
      </w:r>
      <w:r w:rsidR="00205E36">
        <w:rPr>
          <w:rFonts w:cs="Open Sans"/>
        </w:rPr>
        <w:t xml:space="preserve"> s </w:t>
      </w:r>
      <w:r w:rsidRPr="00AA1A20">
        <w:rPr>
          <w:rFonts w:cs="Open Sans"/>
        </w:rPr>
        <w:t xml:space="preserve">201A of the Customs Act. If the assistance order relates to an investigation into a ‘serious </w:t>
      </w:r>
      <w:r>
        <w:rPr>
          <w:rFonts w:cs="Open Sans"/>
        </w:rPr>
        <w:t>offence</w:t>
      </w:r>
      <w:r w:rsidRPr="00AA1A20">
        <w:rPr>
          <w:rFonts w:cs="Open Sans"/>
        </w:rPr>
        <w:t xml:space="preserve">’, then a person who fails to comply with an assistance order can be charged with the aggravated offence. ‘Serious offence’ would </w:t>
      </w:r>
      <w:r w:rsidRPr="00AA1A20">
        <w:rPr>
          <w:rFonts w:cs="Open Sans"/>
        </w:rPr>
        <w:lastRenderedPageBreak/>
        <w:t xml:space="preserve">be defined as having the same meaning as in the Crimes Act—one that is punishable on conviction for a period of two years or more. The penalties would also increase from the present six months imprisonment to </w:t>
      </w:r>
      <w:r>
        <w:rPr>
          <w:rFonts w:cs="Open Sans"/>
        </w:rPr>
        <w:t xml:space="preserve">a maximum of </w:t>
      </w:r>
      <w:r w:rsidRPr="00AA1A20">
        <w:rPr>
          <w:rFonts w:cs="Open Sans"/>
        </w:rPr>
        <w:t xml:space="preserve">five years imprisonment or </w:t>
      </w:r>
      <w:r>
        <w:rPr>
          <w:rFonts w:cs="Open Sans"/>
        </w:rPr>
        <w:t>a fine of $63,000</w:t>
      </w:r>
      <w:r w:rsidRPr="00AA1A20">
        <w:rPr>
          <w:rFonts w:cs="Open Sans"/>
        </w:rPr>
        <w:t xml:space="preserve"> (or both) for a simple offence or </w:t>
      </w:r>
      <w:r>
        <w:rPr>
          <w:rFonts w:cs="Open Sans"/>
        </w:rPr>
        <w:t xml:space="preserve">a maximum of </w:t>
      </w:r>
      <w:r w:rsidRPr="00AA1A20">
        <w:rPr>
          <w:rFonts w:cs="Open Sans"/>
        </w:rPr>
        <w:t xml:space="preserve">ten years imprisonment or </w:t>
      </w:r>
      <w:r>
        <w:rPr>
          <w:rFonts w:cs="Open Sans"/>
        </w:rPr>
        <w:t>a fine of $126,000</w:t>
      </w:r>
      <w:r w:rsidRPr="00AA1A20">
        <w:rPr>
          <w:rFonts w:cs="Open Sans"/>
        </w:rPr>
        <w:t xml:space="preserve"> (or both) for a serious offence. </w:t>
      </w:r>
    </w:p>
    <w:p w14:paraId="51CBF697" w14:textId="77777777" w:rsidR="005B59BD" w:rsidRPr="00AA1A20" w:rsidRDefault="005B59BD" w:rsidP="005B59BD">
      <w:pPr>
        <w:pStyle w:val="Heading3"/>
        <w:rPr>
          <w:rFonts w:cs="Open Sans"/>
          <w:i/>
        </w:rPr>
      </w:pPr>
      <w:bookmarkStart w:id="184" w:name="_Toc524352521"/>
      <w:bookmarkStart w:id="185" w:name="_Toc527107824"/>
      <w:r w:rsidRPr="00AA1A20">
        <w:rPr>
          <w:rFonts w:cs="Open Sans"/>
          <w:i/>
        </w:rPr>
        <w:t>Disproportionality of increased penalty provisions</w:t>
      </w:r>
      <w:bookmarkEnd w:id="184"/>
      <w:bookmarkEnd w:id="185"/>
    </w:p>
    <w:p w14:paraId="18BFDF84" w14:textId="49B08838"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As is apparent from the discussion above, the Bill seeks to increase significantly the penalty provisions and the maximum terms of imprisonment for failing to comply with an assistance order across numerous pieces of federal legislation. </w:t>
      </w:r>
    </w:p>
    <w:p w14:paraId="13EE8A92" w14:textId="1466B459" w:rsidR="005B59BD" w:rsidRDefault="005B59BD" w:rsidP="005B59BD">
      <w:pPr>
        <w:pStyle w:val="ListNumber"/>
        <w:tabs>
          <w:tab w:val="clear" w:pos="360"/>
          <w:tab w:val="num" w:pos="993"/>
          <w:tab w:val="left" w:pos="1418"/>
        </w:tabs>
        <w:ind w:left="709" w:hanging="567"/>
        <w:rPr>
          <w:rFonts w:cs="Open Sans"/>
        </w:rPr>
      </w:pPr>
      <w:r w:rsidRPr="00AA1A20">
        <w:rPr>
          <w:rFonts w:cs="Open Sans"/>
        </w:rPr>
        <w:t xml:space="preserve">In general terms, the </w:t>
      </w:r>
      <w:r w:rsidR="004A6ACC">
        <w:rPr>
          <w:rFonts w:cs="Open Sans"/>
        </w:rPr>
        <w:t>E</w:t>
      </w:r>
      <w:r w:rsidRPr="00AA1A20">
        <w:rPr>
          <w:rFonts w:cs="Open Sans"/>
        </w:rPr>
        <w:t xml:space="preserve">xplanatory </w:t>
      </w:r>
      <w:r w:rsidR="004A6ACC">
        <w:rPr>
          <w:rFonts w:cs="Open Sans"/>
        </w:rPr>
        <w:t>M</w:t>
      </w:r>
      <w:r>
        <w:rPr>
          <w:rFonts w:cs="Open Sans"/>
        </w:rPr>
        <w:t>emorandum</w:t>
      </w:r>
      <w:r w:rsidRPr="00AA1A20">
        <w:rPr>
          <w:rFonts w:cs="Open Sans"/>
        </w:rPr>
        <w:t xml:space="preserve"> claims that the changes are necessary because the current penalties are of insufficient gravity to ‘incentivise compliance’ with an assistance order.</w:t>
      </w:r>
      <w:r w:rsidRPr="002B4C33">
        <w:rPr>
          <w:rStyle w:val="EndnoteReference"/>
          <w:vertAlign w:val="superscript"/>
        </w:rPr>
        <w:endnoteReference w:id="196"/>
      </w:r>
      <w:r w:rsidRPr="00AA1A20">
        <w:rPr>
          <w:rFonts w:cs="Open Sans"/>
        </w:rPr>
        <w:t xml:space="preserve"> </w:t>
      </w:r>
      <w:r>
        <w:rPr>
          <w:rFonts w:cs="Open Sans"/>
        </w:rPr>
        <w:t>In the second reading speech for the Bill, the Minister for Home Affairs expanded on the rationales for the increased penalties, saying:</w:t>
      </w:r>
    </w:p>
    <w:p w14:paraId="4146BEAF" w14:textId="77777777" w:rsidR="005B59BD" w:rsidRPr="0079752A" w:rsidRDefault="005B59BD" w:rsidP="005B59BD">
      <w:pPr>
        <w:pStyle w:val="ListNumber"/>
        <w:numPr>
          <w:ilvl w:val="0"/>
          <w:numId w:val="0"/>
        </w:numPr>
        <w:tabs>
          <w:tab w:val="left" w:pos="1418"/>
        </w:tabs>
        <w:ind w:left="1134"/>
        <w:rPr>
          <w:rStyle w:val="EndnoteReference"/>
        </w:rPr>
      </w:pPr>
      <w:r w:rsidRPr="0079752A">
        <w:rPr>
          <w:rStyle w:val="EndnoteReference"/>
        </w:rPr>
        <w:t xml:space="preserve">The increased penalties for </w:t>
      </w:r>
      <w:r w:rsidRPr="0079752A">
        <w:rPr>
          <w:sz w:val="22"/>
          <w:szCs w:val="22"/>
        </w:rPr>
        <w:t>noncompliance with orders for access to a device reflect the value of evidentiary material on devices and the fact that persons who have undertaken criminal activity would rather accept the current low penalties than provide data that could be evidence in a more serious prosecution.</w:t>
      </w:r>
      <w:r w:rsidRPr="00B31266">
        <w:rPr>
          <w:rStyle w:val="EndnoteReference"/>
          <w:vertAlign w:val="superscript"/>
        </w:rPr>
        <w:endnoteReference w:id="197"/>
      </w:r>
    </w:p>
    <w:p w14:paraId="520E0987" w14:textId="4321724E" w:rsidR="005B59BD"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Commission considers that </w:t>
      </w:r>
      <w:r>
        <w:rPr>
          <w:rFonts w:cs="Open Sans"/>
        </w:rPr>
        <w:t xml:space="preserve">these explanations do </w:t>
      </w:r>
      <w:r w:rsidRPr="00AA1A20">
        <w:rPr>
          <w:rFonts w:cs="Open Sans"/>
        </w:rPr>
        <w:t xml:space="preserve">not sufficiently justify such a substantial increase in the penalty provisions. </w:t>
      </w:r>
      <w:r>
        <w:rPr>
          <w:rFonts w:cs="Open Sans"/>
        </w:rPr>
        <w:t>While the value of the evidentiary material on a device may be greater in the case of an investigation into a serious offence, it does not necessar</w:t>
      </w:r>
      <w:r w:rsidR="00EA5E12">
        <w:rPr>
          <w:rFonts w:cs="Open Sans"/>
        </w:rPr>
        <w:t>il</w:t>
      </w:r>
      <w:r>
        <w:rPr>
          <w:rFonts w:cs="Open Sans"/>
        </w:rPr>
        <w:t>y follow that there is a greater moral culpability for failing to cooperate with the investigation of different kinds of offences, particularly if there is no suggestion that the person is otherwise involved in</w:t>
      </w:r>
      <w:r w:rsidR="00FE441A">
        <w:rPr>
          <w:rFonts w:cs="Open Sans"/>
        </w:rPr>
        <w:t>, or even knows of,</w:t>
      </w:r>
      <w:r>
        <w:rPr>
          <w:rFonts w:cs="Open Sans"/>
        </w:rPr>
        <w:t xml:space="preserve"> the alleged underlying offence. </w:t>
      </w:r>
    </w:p>
    <w:p w14:paraId="7F906498" w14:textId="20CBCB07" w:rsidR="005B59BD" w:rsidRDefault="005B59BD" w:rsidP="005B59BD">
      <w:pPr>
        <w:pStyle w:val="ListNumber"/>
        <w:tabs>
          <w:tab w:val="clear" w:pos="360"/>
          <w:tab w:val="num" w:pos="993"/>
          <w:tab w:val="left" w:pos="1418"/>
        </w:tabs>
        <w:ind w:left="709" w:hanging="567"/>
        <w:rPr>
          <w:rFonts w:cs="Open Sans"/>
        </w:rPr>
      </w:pPr>
      <w:r>
        <w:rPr>
          <w:rFonts w:cs="Open Sans"/>
        </w:rPr>
        <w:t xml:space="preserve">More significant, </w:t>
      </w:r>
      <w:r w:rsidR="005F64FB">
        <w:rPr>
          <w:rFonts w:cs="Open Sans"/>
        </w:rPr>
        <w:t>however</w:t>
      </w:r>
      <w:r>
        <w:rPr>
          <w:rFonts w:cs="Open Sans"/>
        </w:rPr>
        <w:t>, is the suggestion that there is a need to ‘incentivise’ a person to cooperate with an investigation because they would otherwise be willing to accept a low penalty for failing to cooperate rather than a higher penalty for the underlying offence. Implicit in this explanation is that the person failing to cooperate with the investigation and the person being investigated are the same. However, there is no necessary connection between the two. Further, the increase in penalties may have the perverse result that failure to cooperate with an investigation is treated more seriously than committing the underlying offence.</w:t>
      </w:r>
    </w:p>
    <w:p w14:paraId="237A1FC3" w14:textId="77777777" w:rsidR="005B59BD" w:rsidRDefault="005B59BD" w:rsidP="005B59BD">
      <w:pPr>
        <w:pStyle w:val="ListNumber"/>
        <w:tabs>
          <w:tab w:val="clear" w:pos="360"/>
          <w:tab w:val="num" w:pos="993"/>
          <w:tab w:val="left" w:pos="1418"/>
        </w:tabs>
        <w:ind w:left="709" w:hanging="567"/>
        <w:rPr>
          <w:rFonts w:cs="Open Sans"/>
        </w:rPr>
      </w:pPr>
      <w:r w:rsidRPr="00AA1A20">
        <w:rPr>
          <w:rFonts w:cs="Open Sans"/>
        </w:rPr>
        <w:lastRenderedPageBreak/>
        <w:t xml:space="preserve">Failure to comply with an assistance order relating to an investigation involving a ‘serious offence’ under the Crimes Act will be punishable by up to ten years imprisonment. However, a ‘serious offence’ under the Crimes Act is one that is punishable on conviction by </w:t>
      </w:r>
      <w:r>
        <w:rPr>
          <w:rFonts w:cs="Open Sans"/>
        </w:rPr>
        <w:t xml:space="preserve">a maximum of </w:t>
      </w:r>
      <w:r w:rsidRPr="00AA1A20">
        <w:rPr>
          <w:rFonts w:cs="Open Sans"/>
        </w:rPr>
        <w:t xml:space="preserve">two years imprisonment or more. This means that a person could be exposed to a sentence of </w:t>
      </w:r>
      <w:r>
        <w:rPr>
          <w:rFonts w:cs="Open Sans"/>
        </w:rPr>
        <w:t xml:space="preserve">up to </w:t>
      </w:r>
      <w:r w:rsidRPr="00AA1A20">
        <w:rPr>
          <w:rFonts w:cs="Open Sans"/>
        </w:rPr>
        <w:t xml:space="preserve">ten years imprisonment for failing to cooperate with an investigation where the principal offence being investigated would itself only attract a </w:t>
      </w:r>
      <w:r>
        <w:rPr>
          <w:rFonts w:cs="Open Sans"/>
        </w:rPr>
        <w:t xml:space="preserve">maximum </w:t>
      </w:r>
      <w:r w:rsidRPr="00AA1A20">
        <w:rPr>
          <w:rFonts w:cs="Open Sans"/>
        </w:rPr>
        <w:t xml:space="preserve">sentence of two years imprisonment. </w:t>
      </w:r>
    </w:p>
    <w:p w14:paraId="1F2139E2" w14:textId="59614F03" w:rsidR="005B59BD" w:rsidRPr="00AA1A20" w:rsidRDefault="005B59BD" w:rsidP="005B59BD">
      <w:pPr>
        <w:pStyle w:val="ListNumber"/>
        <w:tabs>
          <w:tab w:val="clear" w:pos="360"/>
          <w:tab w:val="num" w:pos="993"/>
          <w:tab w:val="left" w:pos="1418"/>
        </w:tabs>
        <w:ind w:left="709" w:hanging="567"/>
        <w:rPr>
          <w:rFonts w:cs="Open Sans"/>
        </w:rPr>
      </w:pPr>
      <w:r>
        <w:rPr>
          <w:rFonts w:cs="Open Sans"/>
        </w:rPr>
        <w:t xml:space="preserve">It seems entirely possible that </w:t>
      </w:r>
      <w:r w:rsidRPr="00AA1A20">
        <w:rPr>
          <w:rFonts w:cs="Open Sans"/>
        </w:rPr>
        <w:t xml:space="preserve">a failure to assist law enforcement agencies </w:t>
      </w:r>
      <w:r>
        <w:rPr>
          <w:rFonts w:cs="Open Sans"/>
        </w:rPr>
        <w:t xml:space="preserve">could be punished more severely than </w:t>
      </w:r>
      <w:r w:rsidRPr="00AA1A20">
        <w:rPr>
          <w:rFonts w:cs="Open Sans"/>
        </w:rPr>
        <w:t xml:space="preserve">the commission of </w:t>
      </w:r>
      <w:r>
        <w:rPr>
          <w:rFonts w:cs="Open Sans"/>
        </w:rPr>
        <w:t xml:space="preserve">the substantive underlying </w:t>
      </w:r>
      <w:r w:rsidRPr="00AA1A20">
        <w:rPr>
          <w:rFonts w:cs="Open Sans"/>
        </w:rPr>
        <w:t xml:space="preserve">offence. </w:t>
      </w:r>
      <w:r>
        <w:rPr>
          <w:rFonts w:cs="Open Sans"/>
        </w:rPr>
        <w:t>It is difficult to justify as proportionate a scheme that allows a harsher punishment for a failure to assist an investigation when requested than for actively committing an offence that is the subject of the investigation.</w:t>
      </w:r>
    </w:p>
    <w:p w14:paraId="58B655DD" w14:textId="77777777" w:rsidR="005B59BD" w:rsidRPr="00726936" w:rsidRDefault="005B59BD" w:rsidP="005B59BD">
      <w:pPr>
        <w:pStyle w:val="ListNumber"/>
        <w:tabs>
          <w:tab w:val="clear" w:pos="360"/>
          <w:tab w:val="num" w:pos="993"/>
          <w:tab w:val="left" w:pos="1418"/>
        </w:tabs>
        <w:ind w:left="709" w:hanging="567"/>
        <w:rPr>
          <w:rFonts w:cs="Open Sans"/>
          <w:lang w:val="en-GB"/>
        </w:rPr>
      </w:pPr>
      <w:r w:rsidRPr="00AA1A20">
        <w:rPr>
          <w:rFonts w:cs="Open Sans"/>
        </w:rPr>
        <w:t xml:space="preserve">Viewed within the context of the relevant legislative schemes, the Commission is concerned that these new penalty provisions have the potential to result in criminal sentences that are disproportionate to the gravity of any offence committed. </w:t>
      </w:r>
    </w:p>
    <w:p w14:paraId="6608D30E" w14:textId="77777777" w:rsidR="005B59BD" w:rsidRPr="00AA1A20" w:rsidRDefault="005B59BD" w:rsidP="005B59BD">
      <w:pPr>
        <w:pStyle w:val="ListNumber"/>
        <w:tabs>
          <w:tab w:val="clear" w:pos="360"/>
          <w:tab w:val="num" w:pos="993"/>
          <w:tab w:val="left" w:pos="1418"/>
        </w:tabs>
        <w:ind w:left="709" w:hanging="567"/>
        <w:rPr>
          <w:rFonts w:cs="Open Sans"/>
          <w:lang w:val="en-GB"/>
        </w:rPr>
      </w:pPr>
      <w:r w:rsidRPr="00AA1A20">
        <w:rPr>
          <w:rFonts w:cs="Open Sans"/>
        </w:rPr>
        <w:t xml:space="preserve">Article 9(1) of the ICCPR provides that no person shall be deprived of their liberty unlawfully or arbitrarily. </w:t>
      </w:r>
      <w:r w:rsidRPr="00AA1A20">
        <w:rPr>
          <w:rFonts w:cs="Open Sans"/>
          <w:lang w:val="en-GB"/>
        </w:rPr>
        <w:t xml:space="preserve">The UN </w:t>
      </w:r>
      <w:r>
        <w:rPr>
          <w:rFonts w:cs="Open Sans"/>
          <w:lang w:val="en-GB"/>
        </w:rPr>
        <w:t>HR</w:t>
      </w:r>
      <w:r w:rsidRPr="00AA1A20">
        <w:rPr>
          <w:rFonts w:cs="Open Sans"/>
          <w:lang w:val="en-GB"/>
        </w:rPr>
        <w:t xml:space="preserve"> Committee has stated that ‘arbitrariness’ must not be equated with ‘against the law’ but be interpreted more broadly to include such elements as inappropriateness and injustice.</w:t>
      </w:r>
      <w:r w:rsidRPr="002B4C33">
        <w:rPr>
          <w:rStyle w:val="EndnoteReference"/>
          <w:vertAlign w:val="superscript"/>
          <w:lang w:val="en-GB"/>
        </w:rPr>
        <w:endnoteReference w:id="198"/>
      </w:r>
      <w:r w:rsidRPr="00AA1A20">
        <w:rPr>
          <w:rFonts w:cs="Open Sans"/>
          <w:lang w:val="en-GB"/>
        </w:rPr>
        <w:t xml:space="preserve"> Imprisonment or </w:t>
      </w:r>
      <w:r w:rsidRPr="00AA1A20">
        <w:rPr>
          <w:rFonts w:cs="Open Sans"/>
        </w:rPr>
        <w:t>a disproportionate sentence of imprisonment for a minor offence can amount to a violation of the prohibition of arbitrary arrest and detention because any deprivation of liberty provided for by law must not be disproportionate, unjust or unpredictable.</w:t>
      </w:r>
      <w:r w:rsidRPr="002B4C33">
        <w:rPr>
          <w:rStyle w:val="EndnoteReference"/>
          <w:vertAlign w:val="superscript"/>
        </w:rPr>
        <w:endnoteReference w:id="199"/>
      </w:r>
      <w:r w:rsidRPr="00AA1A20">
        <w:rPr>
          <w:rFonts w:cs="Open Sans"/>
        </w:rPr>
        <w:t xml:space="preserve"> </w:t>
      </w:r>
    </w:p>
    <w:p w14:paraId="7B959CC5" w14:textId="77777777" w:rsidR="005B59BD" w:rsidRPr="00AA1A20" w:rsidRDefault="005B59BD" w:rsidP="005B59BD">
      <w:pPr>
        <w:pStyle w:val="ListNumber"/>
        <w:tabs>
          <w:tab w:val="clear" w:pos="360"/>
          <w:tab w:val="clear" w:pos="1134"/>
          <w:tab w:val="num" w:pos="502"/>
        </w:tabs>
        <w:spacing w:before="240" w:after="240"/>
        <w:ind w:left="709" w:hanging="567"/>
        <w:rPr>
          <w:rFonts w:cs="Open Sans"/>
        </w:rPr>
      </w:pPr>
      <w:r w:rsidRPr="00AA1A20">
        <w:rPr>
          <w:rFonts w:cs="Open Sans"/>
        </w:rPr>
        <w:t>In some cases, imprisonment or a disproportionate sentence of imprisonment for a trivial offence can also amount to cruel, inhuman or degrading treatment or punishment under article 7 of the ICCPR.</w:t>
      </w:r>
      <w:r w:rsidRPr="002B4C33">
        <w:rPr>
          <w:rStyle w:val="EndnoteReference"/>
          <w:vertAlign w:val="superscript"/>
        </w:rPr>
        <w:endnoteReference w:id="200"/>
      </w:r>
      <w:r w:rsidRPr="00AA1A20">
        <w:rPr>
          <w:rFonts w:cs="Open Sans"/>
        </w:rPr>
        <w:t xml:space="preserve"> </w:t>
      </w:r>
    </w:p>
    <w:p w14:paraId="35AC25DB" w14:textId="4E363266"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Commission recognises that the courts retain discretion in sentencing for offences involving breach of assistance orders and that this could potentially mitigate the harsh effect of the legislative change. However, a court will have regard to the maximum sentence in determining the length of sentence. </w:t>
      </w:r>
      <w:r>
        <w:rPr>
          <w:rFonts w:cs="Open Sans"/>
        </w:rPr>
        <w:t xml:space="preserve">In </w:t>
      </w:r>
      <w:r w:rsidRPr="00D95466">
        <w:rPr>
          <w:rFonts w:cs="Open Sans"/>
          <w:i/>
        </w:rPr>
        <w:t>Markarian v The Queen</w:t>
      </w:r>
      <w:r>
        <w:rPr>
          <w:rFonts w:cs="Open Sans"/>
        </w:rPr>
        <w:t xml:space="preserve">, the </w:t>
      </w:r>
      <w:r w:rsidR="00FE441A">
        <w:rPr>
          <w:rFonts w:cs="Open Sans"/>
        </w:rPr>
        <w:t xml:space="preserve">High Court’s </w:t>
      </w:r>
      <w:r>
        <w:rPr>
          <w:rFonts w:cs="Open Sans"/>
        </w:rPr>
        <w:t>plurality judgment observed that ‘[l]egislatures do not enact maximum available sentences as mere formalities.</w:t>
      </w:r>
      <w:r w:rsidR="0038253F">
        <w:rPr>
          <w:rFonts w:cs="Open Sans"/>
        </w:rPr>
        <w:t xml:space="preserve"> </w:t>
      </w:r>
      <w:r>
        <w:rPr>
          <w:rFonts w:cs="Open Sans"/>
        </w:rPr>
        <w:t>Judges need sentencing yardsticks’.</w:t>
      </w:r>
      <w:r w:rsidRPr="00D95466">
        <w:rPr>
          <w:rStyle w:val="EndnoteReference"/>
          <w:vertAlign w:val="superscript"/>
        </w:rPr>
        <w:endnoteReference w:id="201"/>
      </w:r>
      <w:r>
        <w:rPr>
          <w:rFonts w:cs="Open Sans"/>
        </w:rPr>
        <w:t xml:space="preserve"> The fact that the maximum sentence under each of the SD Act, the Crimes Act and the Customs Act will be </w:t>
      </w:r>
      <w:r w:rsidR="008323B7">
        <w:rPr>
          <w:rFonts w:cs="Open Sans"/>
        </w:rPr>
        <w:t>ten</w:t>
      </w:r>
      <w:r>
        <w:rPr>
          <w:rFonts w:cs="Open Sans"/>
        </w:rPr>
        <w:t xml:space="preserve"> years is likely to have the effect of significantly </w:t>
      </w:r>
      <w:r>
        <w:rPr>
          <w:rFonts w:cs="Open Sans"/>
        </w:rPr>
        <w:lastRenderedPageBreak/>
        <w:t xml:space="preserve">increasing the sentence that is given compared to what would be given now in the same circumstances. </w:t>
      </w:r>
    </w:p>
    <w:p w14:paraId="283518CE" w14:textId="10385703" w:rsidR="005B59BD" w:rsidRPr="00AA1A20" w:rsidRDefault="005B59BD" w:rsidP="005B59BD">
      <w:pPr>
        <w:pStyle w:val="ListNumber"/>
        <w:tabs>
          <w:tab w:val="clear" w:pos="360"/>
          <w:tab w:val="num" w:pos="993"/>
          <w:tab w:val="left" w:pos="1418"/>
        </w:tabs>
        <w:ind w:left="709" w:hanging="567"/>
        <w:rPr>
          <w:rFonts w:cs="Open Sans"/>
        </w:rPr>
      </w:pPr>
      <w:r>
        <w:rPr>
          <w:rFonts w:cs="Open Sans"/>
        </w:rPr>
        <w:t>T</w:t>
      </w:r>
      <w:r w:rsidRPr="00AA1A20">
        <w:rPr>
          <w:rFonts w:cs="Open Sans"/>
        </w:rPr>
        <w:t xml:space="preserve">he Commission does not consider that the need to ‘incentivise compliance’ properly justifies the introduction of grossly increased penalty provisions which, when viewed within the legislative context, might allow for criminal sentences that are disproportionate to the gravity of any offence committed. </w:t>
      </w:r>
    </w:p>
    <w:p w14:paraId="18054CF0"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Commission considers that a maximum sentence of ten years imprisonment for failing to comply with an assistance order could only conceivably be justified in relation to investigation of the most serious offences, and when other aggravating circumstances are present, such as a failure to comply with an assistance order relating to an investigation into an inchoate offence which involves a suspected imminent and catastrophic threat to the public. </w:t>
      </w:r>
    </w:p>
    <w:p w14:paraId="1E654C36" w14:textId="5C6ECD67" w:rsidR="005B59BD" w:rsidRPr="00AA1A20" w:rsidRDefault="00BC2929" w:rsidP="00FB5828">
      <w:pPr>
        <w:pStyle w:val="ListNumber"/>
        <w:keepNext/>
        <w:numPr>
          <w:ilvl w:val="0"/>
          <w:numId w:val="0"/>
        </w:numPr>
        <w:ind w:left="720"/>
        <w:rPr>
          <w:rFonts w:cs="Open Sans"/>
          <w:b/>
        </w:rPr>
      </w:pPr>
      <w:r>
        <w:rPr>
          <w:rFonts w:cs="Open Sans"/>
          <w:b/>
        </w:rPr>
        <w:t xml:space="preserve">Recommendation </w:t>
      </w:r>
      <w:r w:rsidR="00D7469A">
        <w:rPr>
          <w:rFonts w:cs="Open Sans"/>
          <w:b/>
        </w:rPr>
        <w:t>46</w:t>
      </w:r>
    </w:p>
    <w:p w14:paraId="2F296FDC" w14:textId="21CAD4EB" w:rsidR="005B59BD" w:rsidRPr="00AA1A20" w:rsidRDefault="005B59BD" w:rsidP="005B59BD">
      <w:pPr>
        <w:pStyle w:val="ListNumber"/>
        <w:numPr>
          <w:ilvl w:val="0"/>
          <w:numId w:val="0"/>
        </w:numPr>
        <w:ind w:left="720"/>
        <w:rPr>
          <w:rFonts w:cs="Open Sans"/>
        </w:rPr>
      </w:pPr>
      <w:r w:rsidRPr="00AA1A20">
        <w:rPr>
          <w:rFonts w:cs="Open Sans"/>
        </w:rPr>
        <w:t xml:space="preserve">Serious consideration be given to the proportionality of the substantially increased penalty provisions in the Bill. </w:t>
      </w:r>
      <w:r>
        <w:rPr>
          <w:rFonts w:cs="Open Sans"/>
        </w:rPr>
        <w:t xml:space="preserve">The maximum sentence for failing to comply with an assistance order should not be longer than the maximum sentence for the offence being investigated. </w:t>
      </w:r>
      <w:r w:rsidRPr="00AA1A20">
        <w:rPr>
          <w:rFonts w:cs="Open Sans"/>
        </w:rPr>
        <w:t xml:space="preserve">A maximum sentence of ten years imprisonment for failing to comply with an assistance order should only attach to the investigation of the most serious offences and in the presence of other defined aggravating circumstances. </w:t>
      </w:r>
    </w:p>
    <w:p w14:paraId="63B52642" w14:textId="77777777" w:rsidR="005B59BD" w:rsidRPr="00AA1A20" w:rsidRDefault="005B59BD" w:rsidP="005B59BD">
      <w:pPr>
        <w:pStyle w:val="Heading3"/>
        <w:rPr>
          <w:rFonts w:cs="Open Sans"/>
          <w:i/>
        </w:rPr>
      </w:pPr>
      <w:bookmarkStart w:id="186" w:name="_Toc524352522"/>
      <w:bookmarkStart w:id="187" w:name="_Toc527107825"/>
      <w:r w:rsidRPr="00AA1A20">
        <w:rPr>
          <w:rFonts w:cs="Open Sans"/>
          <w:i/>
        </w:rPr>
        <w:t>Privilege against self-incrimination</w:t>
      </w:r>
      <w:bookmarkEnd w:id="186"/>
      <w:bookmarkEnd w:id="187"/>
    </w:p>
    <w:p w14:paraId="37899BED"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UN Special Rapporteur on the promotion and protection of the right to freedom of opinion and expression has discussed how encryption is necessary for the exercise of the right to freedom of opinion and expression in the digital age,</w:t>
      </w:r>
      <w:r w:rsidRPr="002B4C33">
        <w:rPr>
          <w:rStyle w:val="EndnoteReference"/>
          <w:vertAlign w:val="superscript"/>
        </w:rPr>
        <w:endnoteReference w:id="202"/>
      </w:r>
      <w:r w:rsidRPr="00AA1A20">
        <w:rPr>
          <w:rFonts w:cs="Open Sans"/>
        </w:rPr>
        <w:t xml:space="preserve"> and stated that court-ordered decryption should only be permitted when certain criteria are met, including the protection of due process rights of individuals.</w:t>
      </w:r>
      <w:r w:rsidRPr="002B4C33">
        <w:rPr>
          <w:rStyle w:val="EndnoteReference"/>
          <w:vertAlign w:val="superscript"/>
        </w:rPr>
        <w:endnoteReference w:id="203"/>
      </w:r>
      <w:r w:rsidRPr="00AA1A20">
        <w:rPr>
          <w:rFonts w:cs="Open Sans"/>
        </w:rPr>
        <w:t xml:space="preserve"> </w:t>
      </w:r>
    </w:p>
    <w:p w14:paraId="352FA6CB"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Commission considers that the ‘assistance order’ regime, and the proposed new penalties, potentially impinge on the privilege against self-incrimination. This appears to be particularly relevant, for example, if a suspect is ordered to provide information, such as a password to their phone, that is only known to them—under threat of ten years imprisonment for failure to comply. </w:t>
      </w:r>
    </w:p>
    <w:p w14:paraId="001E8F78"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privilege against self-incrimination is protected under article 14(3)(g) of the ICCPR, which provides that:</w:t>
      </w:r>
    </w:p>
    <w:p w14:paraId="2F729A47" w14:textId="77777777" w:rsidR="005B59BD" w:rsidRPr="00AA1A20" w:rsidRDefault="005B59BD" w:rsidP="005B59BD">
      <w:pPr>
        <w:pStyle w:val="Subtitle"/>
        <w:ind w:left="1134"/>
        <w:rPr>
          <w:rFonts w:cs="Open Sans"/>
        </w:rPr>
      </w:pPr>
      <w:r w:rsidRPr="00AA1A20">
        <w:rPr>
          <w:rFonts w:cs="Open Sans"/>
        </w:rPr>
        <w:lastRenderedPageBreak/>
        <w:t>In the determination of any criminal charge against him, everyone shall be entitled to the following minimum guarantees, in full equality: …</w:t>
      </w:r>
    </w:p>
    <w:p w14:paraId="5A956BA9" w14:textId="7D56EF71" w:rsidR="005B59BD" w:rsidRPr="00AA1A20" w:rsidRDefault="005B59BD" w:rsidP="005B59BD">
      <w:pPr>
        <w:pStyle w:val="Subtitle"/>
        <w:ind w:left="1134"/>
        <w:rPr>
          <w:rFonts w:cs="Open Sans"/>
        </w:rPr>
      </w:pPr>
      <w:r w:rsidRPr="00AA1A20">
        <w:rPr>
          <w:rFonts w:cs="Open Sans"/>
        </w:rPr>
        <w:t xml:space="preserve">(g) </w:t>
      </w:r>
      <w:r>
        <w:rPr>
          <w:rFonts w:cs="Open Sans"/>
        </w:rPr>
        <w:tab/>
      </w:r>
      <w:r w:rsidRPr="00AA1A20">
        <w:rPr>
          <w:rFonts w:cs="Open Sans"/>
        </w:rPr>
        <w:t xml:space="preserve">Not to be compelled to testify against himself or to confess guilt. </w:t>
      </w:r>
    </w:p>
    <w:p w14:paraId="315020C4"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privilege against self-incrimination also has a long history in the common law. As the ALRC noted in its 2015 review of encroachments by Commonwealth laws on traditional rights and freedoms, the privilege can be traced back to the 12</w:t>
      </w:r>
      <w:r w:rsidRPr="00AA1A20">
        <w:rPr>
          <w:rFonts w:cs="Open Sans"/>
          <w:vertAlign w:val="superscript"/>
        </w:rPr>
        <w:t>th</w:t>
      </w:r>
      <w:r w:rsidRPr="00AA1A20">
        <w:rPr>
          <w:rFonts w:cs="Open Sans"/>
        </w:rPr>
        <w:t xml:space="preserve"> and 13</w:t>
      </w:r>
      <w:r w:rsidRPr="00AA1A20">
        <w:rPr>
          <w:rFonts w:cs="Open Sans"/>
          <w:vertAlign w:val="superscript"/>
        </w:rPr>
        <w:t>th</w:t>
      </w:r>
      <w:r w:rsidRPr="00AA1A20">
        <w:rPr>
          <w:rFonts w:cs="Open Sans"/>
        </w:rPr>
        <w:t xml:space="preserve"> centuries.</w:t>
      </w:r>
      <w:r w:rsidRPr="002B4C33">
        <w:rPr>
          <w:rStyle w:val="EndnoteReference"/>
          <w:vertAlign w:val="superscript"/>
        </w:rPr>
        <w:endnoteReference w:id="204"/>
      </w:r>
    </w:p>
    <w:p w14:paraId="6A05C808"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ALRC refers to comments by William Blackstone in his </w:t>
      </w:r>
      <w:r w:rsidRPr="00AA1A20">
        <w:rPr>
          <w:rFonts w:cs="Open Sans"/>
          <w:i/>
        </w:rPr>
        <w:t>Commentaries on the Laws of England</w:t>
      </w:r>
      <w:r w:rsidRPr="00AA1A20">
        <w:rPr>
          <w:rFonts w:cs="Open Sans"/>
        </w:rPr>
        <w:t xml:space="preserve"> (1765-1769) that a defendant’s ‘fault was not to be wrung out of himself, but rather to be discovered by other means and other men’.</w:t>
      </w:r>
      <w:r w:rsidRPr="002B4C33">
        <w:rPr>
          <w:rStyle w:val="EndnoteReference"/>
          <w:vertAlign w:val="superscript"/>
        </w:rPr>
        <w:endnoteReference w:id="205"/>
      </w:r>
    </w:p>
    <w:p w14:paraId="7AD7CA06"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In its current form in Australia, the right to claim the privilege against self-incrimination in criminal law and against self-exposure to penalties in civil and administrative law is a ‘basic and substantive common law right’</w:t>
      </w:r>
      <w:r w:rsidRPr="002B4C33">
        <w:rPr>
          <w:rStyle w:val="EndnoteReference"/>
          <w:vertAlign w:val="superscript"/>
        </w:rPr>
        <w:endnoteReference w:id="206"/>
      </w:r>
      <w:r w:rsidRPr="00AA1A20">
        <w:rPr>
          <w:rFonts w:cs="Open Sans"/>
        </w:rPr>
        <w:t xml:space="preserve"> and entitles a natural person (but not a corporation)</w:t>
      </w:r>
      <w:r w:rsidRPr="002B4C33">
        <w:rPr>
          <w:rStyle w:val="EndnoteReference"/>
          <w:vertAlign w:val="superscript"/>
        </w:rPr>
        <w:endnoteReference w:id="207"/>
      </w:r>
      <w:r w:rsidRPr="00AA1A20">
        <w:rPr>
          <w:rFonts w:cs="Open Sans"/>
        </w:rPr>
        <w:t xml:space="preserve"> to refuse to answer any question or produce any document if it would tend to incriminate them.</w:t>
      </w:r>
      <w:r w:rsidRPr="002B4C33">
        <w:rPr>
          <w:rStyle w:val="EndnoteReference"/>
          <w:vertAlign w:val="superscript"/>
        </w:rPr>
        <w:endnoteReference w:id="208"/>
      </w:r>
    </w:p>
    <w:p w14:paraId="436E3055"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A number of rationales for the privilege against self-incrimination have been put forward.</w:t>
      </w:r>
    </w:p>
    <w:p w14:paraId="7540F2EF"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A key rationale is that the privilege reduces the potential for abuses of power, particularly between an individual accused and the state. There are a range of investigatory situations in which there is ‘a risk of considerable physical and psychological pressure being applied to suspects to cooperate by making incriminating statements or handing over evidence such as documents’.</w:t>
      </w:r>
      <w:r w:rsidRPr="007545FB">
        <w:rPr>
          <w:rStyle w:val="EndnoteReference"/>
          <w:vertAlign w:val="superscript"/>
        </w:rPr>
        <w:endnoteReference w:id="209"/>
      </w:r>
      <w:r w:rsidRPr="00AA1A20">
        <w:rPr>
          <w:rFonts w:cs="Open Sans"/>
        </w:rPr>
        <w:t xml:space="preserve"> </w:t>
      </w:r>
    </w:p>
    <w:p w14:paraId="57B4B4A8"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As was noted by McHugh J in </w:t>
      </w:r>
      <w:r w:rsidRPr="00AA1A20">
        <w:rPr>
          <w:rFonts w:cs="Open Sans"/>
          <w:i/>
        </w:rPr>
        <w:t>Environment Protection Authority v Caltex Refining Co Pty Ltd</w:t>
      </w:r>
      <w:r w:rsidRPr="00AA1A20">
        <w:rPr>
          <w:rFonts w:cs="Open Sans"/>
        </w:rPr>
        <w:t>, the privilege</w:t>
      </w:r>
      <w:r>
        <w:rPr>
          <w:rFonts w:cs="Open Sans"/>
        </w:rPr>
        <w:t>:</w:t>
      </w:r>
    </w:p>
    <w:p w14:paraId="4A83785B" w14:textId="77777777" w:rsidR="005B59BD" w:rsidRPr="00AA1A20" w:rsidRDefault="005B59BD" w:rsidP="005B59BD">
      <w:pPr>
        <w:pStyle w:val="Subtitle"/>
        <w:ind w:left="1134"/>
        <w:rPr>
          <w:rFonts w:cs="Open Sans"/>
        </w:rPr>
      </w:pPr>
      <w:r w:rsidRPr="00AA1A20">
        <w:rPr>
          <w:rStyle w:val="SubtitleChar"/>
          <w:rFonts w:cs="Open Sans"/>
        </w:rPr>
        <w:t>probably arose as a response to what was perceived as an abuse or potential abuse of power by the Crown in the examination of suspects or witnesses. Once the Crown is able to compel the answering of a question, it is a short step to accepting that the Crown is entitled to use such means as are necessary to get the answer. Those means need not necessarily involve physical coercion. Confessions can be obtained by inhumane means without the necessity to resort to the rack or other forms of physical torture. By insisting that a person could not be compelled to incriminate him or herself, the common law thus sought to ensure that the Crown would not use its power to oppress an accused person or witness and compel that person to provide evidence against him or herself</w:t>
      </w:r>
      <w:r w:rsidRPr="00AA1A20">
        <w:rPr>
          <w:rFonts w:cs="Open Sans"/>
        </w:rPr>
        <w:t>.</w:t>
      </w:r>
      <w:r w:rsidRPr="007545FB">
        <w:rPr>
          <w:rStyle w:val="EndnoteReference"/>
          <w:vertAlign w:val="superscript"/>
        </w:rPr>
        <w:endnoteReference w:id="210"/>
      </w:r>
    </w:p>
    <w:p w14:paraId="30AD2768"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Typically, where the privilege against self-incrimination is explicitly abrogated by statute, the legislation limits the use that can be made of </w:t>
      </w:r>
      <w:r w:rsidRPr="00AA1A20">
        <w:rPr>
          <w:rFonts w:cs="Open Sans"/>
        </w:rPr>
        <w:lastRenderedPageBreak/>
        <w:t xml:space="preserve">evidence that is obtained through compulsion. As the High Court said in </w:t>
      </w:r>
      <w:r w:rsidRPr="00AA1A20">
        <w:rPr>
          <w:rFonts w:cs="Open Sans"/>
          <w:i/>
        </w:rPr>
        <w:t>X7 v Australian Crime Commission</w:t>
      </w:r>
      <w:r w:rsidRPr="00AA1A20">
        <w:rPr>
          <w:rFonts w:cs="Open Sans"/>
        </w:rPr>
        <w:t>:</w:t>
      </w:r>
    </w:p>
    <w:p w14:paraId="7DCD8D48" w14:textId="77777777" w:rsidR="005B59BD" w:rsidRPr="00AA1A20" w:rsidRDefault="005B59BD" w:rsidP="005B59BD">
      <w:pPr>
        <w:pStyle w:val="Subtitle"/>
        <w:ind w:left="1134"/>
        <w:rPr>
          <w:rFonts w:cs="Open Sans"/>
        </w:rPr>
      </w:pPr>
      <w:r w:rsidRPr="00AA1A20">
        <w:rPr>
          <w:rStyle w:val="SubtitleChar"/>
          <w:rFonts w:cs="Open Sans"/>
        </w:rPr>
        <w:t>In</w:t>
      </w:r>
      <w:r w:rsidRPr="00AA1A20">
        <w:rPr>
          <w:rFonts w:cs="Open Sans"/>
        </w:rPr>
        <w:t xml:space="preserve"> balancing public interest considerations and the interests of the individual, legislation abrogating the privilege will often contain, as in the case of the [</w:t>
      </w:r>
      <w:r w:rsidRPr="00AA1A20">
        <w:rPr>
          <w:rFonts w:cs="Open Sans"/>
          <w:i/>
        </w:rPr>
        <w:t>Australian Crime Commission Act 2002</w:t>
      </w:r>
      <w:r w:rsidRPr="00AA1A20">
        <w:rPr>
          <w:rFonts w:cs="Open Sans"/>
        </w:rPr>
        <w:t xml:space="preserve"> (Cth)], ’compensatory protection to the witness’, by providing that, subject to limited exceptions, compelled answers shall not be admissible in civil or criminal proceedings.</w:t>
      </w:r>
      <w:r w:rsidRPr="007545FB">
        <w:rPr>
          <w:rStyle w:val="EndnoteReference"/>
          <w:vertAlign w:val="superscript"/>
        </w:rPr>
        <w:endnoteReference w:id="211"/>
      </w:r>
    </w:p>
    <w:p w14:paraId="51B1EE74"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i/>
        </w:rPr>
        <w:t>Guide to Framing Commonwealth Offences</w:t>
      </w:r>
      <w:r w:rsidRPr="00AA1A20">
        <w:rPr>
          <w:rFonts w:cs="Open Sans"/>
        </w:rPr>
        <w:t xml:space="preserve"> published by the Attorney-General’s Department provides that:</w:t>
      </w:r>
    </w:p>
    <w:p w14:paraId="3215B62D" w14:textId="77777777" w:rsidR="005B59BD" w:rsidRPr="00AA1A20" w:rsidRDefault="005B59BD" w:rsidP="005B59BD">
      <w:pPr>
        <w:pStyle w:val="EndnoteText"/>
        <w:rPr>
          <w:rFonts w:cs="Open Sans"/>
        </w:rPr>
      </w:pPr>
      <w:r w:rsidRPr="00AA1A20">
        <w:rPr>
          <w:rStyle w:val="SubtitleChar"/>
          <w:rFonts w:cs="Open Sans"/>
          <w:lang w:val="en-AU"/>
        </w:rPr>
        <w:t>If</w:t>
      </w:r>
      <w:r w:rsidRPr="00AA1A20">
        <w:rPr>
          <w:rStyle w:val="SubtitleChar"/>
          <w:rFonts w:cs="Open Sans"/>
        </w:rPr>
        <w:t xml:space="preserve"> the privilege against self-incrimination is to be overridden, it is usual to include a ‘use’ immunity or a ‘use and derivative use’ immunity provision, which provides some degree of protection for the rights of individuals</w:t>
      </w:r>
      <w:r w:rsidRPr="00AA1A20">
        <w:rPr>
          <w:rFonts w:cs="Open Sans"/>
        </w:rPr>
        <w:t>.</w:t>
      </w:r>
      <w:r w:rsidRPr="007545FB">
        <w:rPr>
          <w:rStyle w:val="EndnoteReference"/>
          <w:vertAlign w:val="superscript"/>
        </w:rPr>
        <w:endnoteReference w:id="212"/>
      </w:r>
    </w:p>
    <w:p w14:paraId="05FAB49E"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Guide describes each of these immunities in the following way:</w:t>
      </w:r>
    </w:p>
    <w:p w14:paraId="7DEFC3D2" w14:textId="77777777" w:rsidR="005B59BD" w:rsidRPr="00AA1A20" w:rsidRDefault="005B59BD" w:rsidP="005B59BD">
      <w:pPr>
        <w:pStyle w:val="EndnoteText"/>
        <w:rPr>
          <w:rFonts w:cs="Open Sans"/>
        </w:rPr>
      </w:pPr>
      <w:r w:rsidRPr="00AA1A20">
        <w:rPr>
          <w:rFonts w:cs="Open Sans"/>
        </w:rPr>
        <w:t>‘use’ immunity—self-incriminatory information or documents provided by a person cannot be used in subsequent proceedings against that person, but can be used to investigate unlawful conduct by that person and by third parties, and</w:t>
      </w:r>
    </w:p>
    <w:p w14:paraId="723858DB" w14:textId="77777777" w:rsidR="005B59BD" w:rsidRPr="00AA1A20" w:rsidRDefault="005B59BD" w:rsidP="005B59BD">
      <w:pPr>
        <w:pStyle w:val="EndnoteText"/>
        <w:rPr>
          <w:rFonts w:cs="Open Sans"/>
        </w:rPr>
      </w:pPr>
      <w:r w:rsidRPr="00AA1A20">
        <w:rPr>
          <w:rFonts w:cs="Open Sans"/>
        </w:rPr>
        <w:t>‘derivative use’ immunity—self-incriminatory information or documents provided by a person cannot be used to investigate unlawful conduct by that person but can be used to investigate third parties.</w:t>
      </w:r>
      <w:r w:rsidRPr="007545FB">
        <w:rPr>
          <w:rStyle w:val="EndnoteReference"/>
          <w:vertAlign w:val="superscript"/>
        </w:rPr>
        <w:endnoteReference w:id="213"/>
      </w:r>
    </w:p>
    <w:p w14:paraId="76B5B647"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The scope of the privilege against self-incrimination in the digital encryption context, and the extent to which it might be abrogated by compelling a suspect to provide information to decrypt devices obtained under a warrant, has not yet been considered by superior federal courts in Australia. Consequently, its position at law is uncertain. </w:t>
      </w:r>
    </w:p>
    <w:p w14:paraId="341EB136"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The Supreme Court of Victoria has held, however, that to be compatible with human rights principles, statutory provisions that allow for the abrogation of the privilege against self-incrimination must be interpreted as extending derivative use immunity to a person. It also suggested that coercive powers requiring suspects to supply incriminating computer encryption keys are not reasonable limits on the Charter protection against self</w:t>
      </w:r>
      <w:r w:rsidRPr="00AA1A20">
        <w:rPr>
          <w:rFonts w:ascii="Cambria Math" w:hAnsi="Cambria Math" w:cs="Cambria Math"/>
        </w:rPr>
        <w:t>‐</w:t>
      </w:r>
      <w:r w:rsidRPr="00AA1A20">
        <w:rPr>
          <w:rFonts w:cs="Open Sans"/>
        </w:rPr>
        <w:t>incrimination unless any evidence discovered as a result (and not otherwise discoverable) is inadmissible in any future prosecution of the person.</w:t>
      </w:r>
      <w:r w:rsidRPr="007545FB">
        <w:rPr>
          <w:rStyle w:val="EndnoteReference"/>
          <w:vertAlign w:val="superscript"/>
        </w:rPr>
        <w:endnoteReference w:id="214"/>
      </w:r>
    </w:p>
    <w:p w14:paraId="1881425B" w14:textId="77777777" w:rsidR="005B59BD" w:rsidRPr="00AA1A20" w:rsidRDefault="005B59BD" w:rsidP="005B59BD">
      <w:pPr>
        <w:pStyle w:val="ListNumber"/>
        <w:tabs>
          <w:tab w:val="clear" w:pos="360"/>
          <w:tab w:val="num" w:pos="993"/>
          <w:tab w:val="left" w:pos="1418"/>
        </w:tabs>
        <w:ind w:left="709" w:hanging="567"/>
        <w:rPr>
          <w:rFonts w:cs="Open Sans"/>
        </w:rPr>
      </w:pPr>
      <w:r w:rsidRPr="00AA1A20">
        <w:rPr>
          <w:rFonts w:cs="Open Sans"/>
        </w:rPr>
        <w:t xml:space="preserve">Given the intrusive nature of compulsive evidence-gathering powers, the Commission considers it appropriate that restrictions be placed on the use and derivative use that can be made of information or material obtained under assistance order powers, to enhance human rights compliance. </w:t>
      </w:r>
    </w:p>
    <w:p w14:paraId="31DB5974" w14:textId="77777777" w:rsidR="005B59BD" w:rsidRPr="00AA1A20" w:rsidRDefault="005B59BD" w:rsidP="005B59BD">
      <w:pPr>
        <w:pStyle w:val="ListNumber"/>
        <w:keepNext/>
        <w:tabs>
          <w:tab w:val="clear" w:pos="360"/>
          <w:tab w:val="num" w:pos="993"/>
          <w:tab w:val="left" w:pos="1418"/>
        </w:tabs>
        <w:ind w:left="709" w:hanging="567"/>
        <w:rPr>
          <w:rFonts w:cs="Open Sans"/>
        </w:rPr>
      </w:pPr>
      <w:r w:rsidRPr="00AA1A20">
        <w:rPr>
          <w:rFonts w:cs="Open Sans"/>
        </w:rPr>
        <w:lastRenderedPageBreak/>
        <w:t xml:space="preserve">The </w:t>
      </w:r>
      <w:r w:rsidRPr="00AA1A20">
        <w:rPr>
          <w:rFonts w:cs="Open Sans"/>
          <w:lang w:eastAsia="en-US"/>
        </w:rPr>
        <w:t>Commission</w:t>
      </w:r>
      <w:r w:rsidRPr="00AA1A20">
        <w:rPr>
          <w:rFonts w:cs="Open Sans"/>
        </w:rPr>
        <w:t xml:space="preserve"> recommends that:</w:t>
      </w:r>
    </w:p>
    <w:p w14:paraId="47037A0D" w14:textId="0B2CCB79" w:rsidR="005B59BD" w:rsidRPr="00AA1A20" w:rsidRDefault="00CF0D1F" w:rsidP="005B59BD">
      <w:pPr>
        <w:pStyle w:val="ListNumber"/>
        <w:keepNext/>
        <w:numPr>
          <w:ilvl w:val="0"/>
          <w:numId w:val="0"/>
        </w:numPr>
        <w:ind w:left="720"/>
        <w:rPr>
          <w:rFonts w:cs="Open Sans"/>
          <w:b/>
        </w:rPr>
      </w:pPr>
      <w:r>
        <w:rPr>
          <w:rFonts w:cs="Open Sans"/>
          <w:b/>
        </w:rPr>
        <w:t xml:space="preserve">Recommendation </w:t>
      </w:r>
      <w:r w:rsidR="00D7469A">
        <w:rPr>
          <w:rFonts w:cs="Open Sans"/>
          <w:b/>
        </w:rPr>
        <w:t>47</w:t>
      </w:r>
    </w:p>
    <w:p w14:paraId="6B6E266D" w14:textId="50869987" w:rsidR="005B59BD" w:rsidRDefault="005B59BD" w:rsidP="005B59BD">
      <w:pPr>
        <w:pStyle w:val="ListNumber"/>
        <w:numPr>
          <w:ilvl w:val="0"/>
          <w:numId w:val="0"/>
        </w:numPr>
        <w:ind w:left="720"/>
        <w:rPr>
          <w:rFonts w:cs="Open Sans"/>
        </w:rPr>
      </w:pPr>
      <w:r w:rsidRPr="00AA1A20">
        <w:rPr>
          <w:rFonts w:cs="Open Sans"/>
        </w:rPr>
        <w:t xml:space="preserve">The Bill be amended to make clear that assistance orders do not abrogate the privilege against self-incrimination, and to make explicit that any information obtained as a result of a person complying with an assistance order is subject to appropriate use and derivative use immunity. </w:t>
      </w:r>
    </w:p>
    <w:p w14:paraId="7BC51E67" w14:textId="1EAF85D0" w:rsidR="005B59BD" w:rsidRPr="00BE4942" w:rsidRDefault="005B59BD" w:rsidP="005B59BD">
      <w:pPr>
        <w:pStyle w:val="Heading3"/>
        <w:rPr>
          <w:i/>
        </w:rPr>
      </w:pPr>
      <w:bookmarkStart w:id="188" w:name="_Toc527107826"/>
      <w:r w:rsidRPr="00BE4942">
        <w:rPr>
          <w:i/>
        </w:rPr>
        <w:t xml:space="preserve">Potential for assistance orders </w:t>
      </w:r>
      <w:r>
        <w:rPr>
          <w:i/>
        </w:rPr>
        <w:t xml:space="preserve">to </w:t>
      </w:r>
      <w:r w:rsidRPr="00BE4942">
        <w:rPr>
          <w:i/>
        </w:rPr>
        <w:t>a</w:t>
      </w:r>
      <w:r>
        <w:rPr>
          <w:i/>
        </w:rPr>
        <w:t>uthorise</w:t>
      </w:r>
      <w:r w:rsidRPr="00BE4942">
        <w:rPr>
          <w:i/>
        </w:rPr>
        <w:t xml:space="preserve"> detention by non-judicial officers</w:t>
      </w:r>
      <w:r w:rsidR="002570E9">
        <w:rPr>
          <w:i/>
        </w:rPr>
        <w:t>,</w:t>
      </w:r>
      <w:r w:rsidR="00B23F19">
        <w:rPr>
          <w:i/>
        </w:rPr>
        <w:t xml:space="preserve"> and necessary safeguards</w:t>
      </w:r>
      <w:bookmarkEnd w:id="188"/>
    </w:p>
    <w:p w14:paraId="542C4A88" w14:textId="281793DA" w:rsidR="005B59BD" w:rsidRPr="00071E41" w:rsidRDefault="005B59BD" w:rsidP="005B59BD">
      <w:pPr>
        <w:pStyle w:val="ListNumber"/>
        <w:tabs>
          <w:tab w:val="clear" w:pos="360"/>
          <w:tab w:val="num" w:pos="993"/>
          <w:tab w:val="left" w:pos="1418"/>
        </w:tabs>
        <w:ind w:left="709" w:hanging="567"/>
        <w:rPr>
          <w:rFonts w:cs="Open Sans"/>
        </w:rPr>
      </w:pPr>
      <w:r w:rsidRPr="00806927">
        <w:rPr>
          <w:rFonts w:cs="Open Sans"/>
        </w:rPr>
        <w:t>The current assistance orders under</w:t>
      </w:r>
      <w:r w:rsidR="00205E36">
        <w:rPr>
          <w:rFonts w:cs="Open Sans"/>
        </w:rPr>
        <w:t xml:space="preserve"> s </w:t>
      </w:r>
      <w:r w:rsidRPr="00806927">
        <w:rPr>
          <w:rFonts w:cs="Open Sans"/>
        </w:rPr>
        <w:t>3LA of the Crimes Act and</w:t>
      </w:r>
      <w:r w:rsidR="00205E36">
        <w:rPr>
          <w:rFonts w:cs="Open Sans"/>
        </w:rPr>
        <w:t xml:space="preserve"> s </w:t>
      </w:r>
      <w:r w:rsidRPr="00806927">
        <w:rPr>
          <w:rFonts w:cs="Open Sans"/>
        </w:rPr>
        <w:t>201A of the Customs Act a</w:t>
      </w:r>
      <w:r w:rsidRPr="00834A36">
        <w:rPr>
          <w:rFonts w:cs="Open Sans"/>
        </w:rPr>
        <w:t>re made by a magistrate.</w:t>
      </w:r>
      <w:r>
        <w:rPr>
          <w:rFonts w:cs="Open Sans"/>
        </w:rPr>
        <w:t xml:space="preserve"> </w:t>
      </w:r>
      <w:r w:rsidRPr="00806927">
        <w:rPr>
          <w:rFonts w:cs="Open Sans"/>
        </w:rPr>
        <w:t>The proposed new assistance order</w:t>
      </w:r>
      <w:r w:rsidRPr="00071E41">
        <w:rPr>
          <w:rFonts w:cs="Open Sans"/>
        </w:rPr>
        <w:t>s under</w:t>
      </w:r>
      <w:r w:rsidR="00205E36">
        <w:rPr>
          <w:rFonts w:cs="Open Sans"/>
        </w:rPr>
        <w:t xml:space="preserve"> s </w:t>
      </w:r>
      <w:r w:rsidRPr="00071E41">
        <w:rPr>
          <w:rFonts w:cs="Open Sans"/>
        </w:rPr>
        <w:t>64A of the SD Act would be made by an eligible Judge or nominated AAT member.</w:t>
      </w:r>
    </w:p>
    <w:p w14:paraId="423419A6" w14:textId="406E2051" w:rsidR="005B59BD" w:rsidRPr="00923D20" w:rsidRDefault="005B59BD" w:rsidP="005B59BD">
      <w:pPr>
        <w:pStyle w:val="ListNumber"/>
        <w:tabs>
          <w:tab w:val="clear" w:pos="360"/>
          <w:tab w:val="num" w:pos="993"/>
          <w:tab w:val="left" w:pos="1418"/>
        </w:tabs>
        <w:ind w:left="709" w:hanging="567"/>
        <w:rPr>
          <w:rFonts w:cs="Open Sans"/>
        </w:rPr>
      </w:pPr>
      <w:r w:rsidRPr="004E0B51">
        <w:rPr>
          <w:rFonts w:cs="Open Sans"/>
        </w:rPr>
        <w:t>However, the proposed new assistance orders under</w:t>
      </w:r>
      <w:r w:rsidR="00205E36">
        <w:rPr>
          <w:rFonts w:cs="Open Sans"/>
        </w:rPr>
        <w:t xml:space="preserve"> s </w:t>
      </w:r>
      <w:r w:rsidRPr="004E0B51">
        <w:rPr>
          <w:rFonts w:cs="Open Sans"/>
        </w:rPr>
        <w:t xml:space="preserve">34AAA of the ASIO Act </w:t>
      </w:r>
      <w:r w:rsidRPr="00923D20">
        <w:rPr>
          <w:rFonts w:cs="Open Sans"/>
        </w:rPr>
        <w:t xml:space="preserve">would be made by the Attorney-General on request from the Director-General of </w:t>
      </w:r>
      <w:r w:rsidR="00BE0BC8">
        <w:rPr>
          <w:rFonts w:cs="Open Sans"/>
        </w:rPr>
        <w:t>Security</w:t>
      </w:r>
      <w:r w:rsidRPr="00923D20">
        <w:rPr>
          <w:rFonts w:cs="Open Sans"/>
        </w:rPr>
        <w:t>.</w:t>
      </w:r>
      <w:r>
        <w:rPr>
          <w:rFonts w:cs="Open Sans"/>
        </w:rPr>
        <w:t xml:space="preserve"> </w:t>
      </w:r>
      <w:r w:rsidRPr="004E0B51">
        <w:rPr>
          <w:rFonts w:cs="Open Sans"/>
        </w:rPr>
        <w:t xml:space="preserve">There are similarities between each of the regimes but </w:t>
      </w:r>
      <w:r w:rsidRPr="00521306">
        <w:rPr>
          <w:rFonts w:cs="Open Sans"/>
        </w:rPr>
        <w:t xml:space="preserve">the fact that assistance orders made under the ASIO Act </w:t>
      </w:r>
      <w:r w:rsidRPr="00923D20">
        <w:rPr>
          <w:rFonts w:cs="Open Sans"/>
        </w:rPr>
        <w:t>are not required to be authorised by a judicial officer mean</w:t>
      </w:r>
      <w:r w:rsidR="006E71EE">
        <w:rPr>
          <w:rFonts w:cs="Open Sans"/>
        </w:rPr>
        <w:t>s</w:t>
      </w:r>
      <w:r w:rsidRPr="00923D20">
        <w:rPr>
          <w:rFonts w:cs="Open Sans"/>
        </w:rPr>
        <w:t xml:space="preserve"> that they require greater scrutiny. </w:t>
      </w:r>
    </w:p>
    <w:p w14:paraId="63C8D1C4" w14:textId="4AE946B0" w:rsidR="005B59BD" w:rsidRDefault="005B59BD" w:rsidP="005B59BD">
      <w:pPr>
        <w:pStyle w:val="ListNumber"/>
        <w:tabs>
          <w:tab w:val="clear" w:pos="360"/>
          <w:tab w:val="num" w:pos="993"/>
          <w:tab w:val="left" w:pos="1418"/>
        </w:tabs>
        <w:ind w:left="709" w:hanging="567"/>
        <w:rPr>
          <w:rFonts w:cs="Open Sans"/>
        </w:rPr>
      </w:pPr>
      <w:r>
        <w:rPr>
          <w:rFonts w:cs="Open Sans"/>
        </w:rPr>
        <w:t>It appears that in the ordinary course, a person would be required under</w:t>
      </w:r>
      <w:r w:rsidR="00205E36">
        <w:rPr>
          <w:rFonts w:cs="Open Sans"/>
        </w:rPr>
        <w:t xml:space="preserve"> s </w:t>
      </w:r>
      <w:r>
        <w:rPr>
          <w:rFonts w:cs="Open Sans"/>
        </w:rPr>
        <w:t xml:space="preserve">34AAA of the ASIO Act to provide assistance on the premises in relation to which the warrant is in force. If the person does not comply with an order requiring assistance when they are capable of complying, they commit an offence. The section does not set out how long a person could be required to provide the assistance. Presumably, if they left the premises before completing the assistance task set for them in the order, they would be liable to the criminal penalty of a maximum of </w:t>
      </w:r>
      <w:r w:rsidR="006E71F6">
        <w:rPr>
          <w:rFonts w:cs="Open Sans"/>
        </w:rPr>
        <w:t>five</w:t>
      </w:r>
      <w:r>
        <w:rPr>
          <w:rFonts w:cs="Open Sans"/>
        </w:rPr>
        <w:t xml:space="preserve"> years imprisonment, or a fine of $63,000 or both.</w:t>
      </w:r>
    </w:p>
    <w:p w14:paraId="2A242B97" w14:textId="77777777" w:rsidR="005B59BD" w:rsidRDefault="005B59BD" w:rsidP="005B59BD">
      <w:pPr>
        <w:pStyle w:val="ListNumber"/>
        <w:tabs>
          <w:tab w:val="clear" w:pos="360"/>
          <w:tab w:val="num" w:pos="993"/>
          <w:tab w:val="left" w:pos="1418"/>
        </w:tabs>
        <w:ind w:left="709" w:hanging="567"/>
        <w:rPr>
          <w:rFonts w:cs="Open Sans"/>
        </w:rPr>
      </w:pPr>
      <w:r>
        <w:rPr>
          <w:rFonts w:cs="Open Sans"/>
        </w:rPr>
        <w:t>Section 34AAA(3) provides that a person subject to an assistance order could be required to attend at another place to provide assistance. In such circumstances, the assistance order must specify the period within which the person must provide the assistance, but no maximum period is set.</w:t>
      </w:r>
    </w:p>
    <w:p w14:paraId="48A8FC19" w14:textId="0D37334C" w:rsidR="005B59BD" w:rsidRDefault="005B59BD" w:rsidP="005B59BD">
      <w:pPr>
        <w:pStyle w:val="ListNumber"/>
        <w:tabs>
          <w:tab w:val="clear" w:pos="360"/>
          <w:tab w:val="num" w:pos="993"/>
          <w:tab w:val="left" w:pos="1418"/>
        </w:tabs>
        <w:ind w:left="709" w:hanging="567"/>
        <w:rPr>
          <w:rFonts w:cs="Open Sans"/>
        </w:rPr>
      </w:pPr>
      <w:r>
        <w:rPr>
          <w:rFonts w:cs="Open Sans"/>
        </w:rPr>
        <w:t xml:space="preserve">There is a real question whether a person subject to an assistance order is effectively being detained during the period in which they are required to provide the assistance. While they may not be physically restrained, they are effectively prevented from leaving prior to the completion of the designated assistance task, under pain of criminal penalties. </w:t>
      </w:r>
    </w:p>
    <w:p w14:paraId="15DC266C" w14:textId="77777777" w:rsidR="005B59BD" w:rsidRDefault="005B59BD" w:rsidP="005B59BD">
      <w:pPr>
        <w:pStyle w:val="ListNumber"/>
        <w:tabs>
          <w:tab w:val="clear" w:pos="360"/>
          <w:tab w:val="num" w:pos="993"/>
          <w:tab w:val="left" w:pos="1418"/>
        </w:tabs>
        <w:ind w:left="709" w:hanging="567"/>
        <w:rPr>
          <w:rFonts w:cs="Open Sans"/>
        </w:rPr>
      </w:pPr>
      <w:r>
        <w:rPr>
          <w:rFonts w:cs="Open Sans"/>
        </w:rPr>
        <w:t xml:space="preserve">The UN HR Committee, in its concluding observations in 2008 on a report by the United Kingdom, expressed concern about the restrictive conditions </w:t>
      </w:r>
      <w:r>
        <w:rPr>
          <w:rFonts w:cs="Open Sans"/>
        </w:rPr>
        <w:lastRenderedPageBreak/>
        <w:t>that could be imposed under the UK’s control order regime, including curfews of up to 16 hours, with criminal sanctions available if the control orders were breached.</w:t>
      </w:r>
      <w:r w:rsidRPr="00790875">
        <w:rPr>
          <w:rStyle w:val="EndnoteReference"/>
          <w:vertAlign w:val="superscript"/>
        </w:rPr>
        <w:endnoteReference w:id="215"/>
      </w:r>
      <w:r>
        <w:rPr>
          <w:rFonts w:cs="Open Sans"/>
        </w:rPr>
        <w:t xml:space="preserve"> The Committee considered that this engaged the prohibition on arbitrary detention in article 9 of the ICCPR. Similarly, house arrest has long been considered to be a form of detention.</w:t>
      </w:r>
      <w:r w:rsidRPr="00B34377">
        <w:rPr>
          <w:rStyle w:val="EndnoteReference"/>
          <w:vertAlign w:val="superscript"/>
        </w:rPr>
        <w:endnoteReference w:id="216"/>
      </w:r>
      <w:r>
        <w:rPr>
          <w:rFonts w:cs="Open Sans"/>
        </w:rPr>
        <w:t xml:space="preserve"> By contrast, voluntary cooperation with police, including participation in an identity parade and an interview, in circumstances where a person was informed that they had the right to leave at any time, did not amount to detention.</w:t>
      </w:r>
      <w:r w:rsidRPr="00F84FD1">
        <w:rPr>
          <w:rStyle w:val="EndnoteReference"/>
          <w:vertAlign w:val="superscript"/>
        </w:rPr>
        <w:endnoteReference w:id="217"/>
      </w:r>
    </w:p>
    <w:p w14:paraId="71FD7FBB" w14:textId="40B700D0" w:rsidR="00E22879" w:rsidRDefault="005B59BD" w:rsidP="005B59BD">
      <w:pPr>
        <w:pStyle w:val="ListNumber"/>
        <w:tabs>
          <w:tab w:val="clear" w:pos="360"/>
          <w:tab w:val="num" w:pos="993"/>
          <w:tab w:val="left" w:pos="1418"/>
        </w:tabs>
        <w:ind w:left="709" w:hanging="567"/>
        <w:rPr>
          <w:rFonts w:cs="Open Sans"/>
        </w:rPr>
      </w:pPr>
      <w:r>
        <w:rPr>
          <w:rFonts w:cs="Open Sans"/>
        </w:rPr>
        <w:t>The assistance orders do not make provision for the kinds of protections available to people who are subject to questioning warrants or questioning and detention warrants under Pt III, Div 3 of the ASIO Act.</w:t>
      </w:r>
      <w:r w:rsidR="0038253F">
        <w:rPr>
          <w:rFonts w:cs="Open Sans"/>
        </w:rPr>
        <w:t xml:space="preserve"> </w:t>
      </w:r>
      <w:r>
        <w:rPr>
          <w:rFonts w:cs="Open Sans"/>
        </w:rPr>
        <w:t>For example, the new assistance order regime under proposed s 34AAA of the ASIO Act does not make provision for a person to contact a lawyer or family member</w:t>
      </w:r>
      <w:r w:rsidR="00FA4FDD">
        <w:rPr>
          <w:rFonts w:cs="Open Sans"/>
        </w:rPr>
        <w:t>;</w:t>
      </w:r>
      <w:r>
        <w:rPr>
          <w:rFonts w:cs="Open Sans"/>
        </w:rPr>
        <w:t xml:space="preserve"> there is no maximum period prescribed for the giving of assistance</w:t>
      </w:r>
      <w:r w:rsidR="00FA4FDD">
        <w:rPr>
          <w:rFonts w:cs="Open Sans"/>
        </w:rPr>
        <w:t>;</w:t>
      </w:r>
      <w:r>
        <w:rPr>
          <w:rFonts w:cs="Open Sans"/>
        </w:rPr>
        <w:t xml:space="preserve"> there is no obligation on officers to explain the nature of the assistance order and what it requires</w:t>
      </w:r>
      <w:r w:rsidR="00FF4C90">
        <w:rPr>
          <w:rFonts w:cs="Open Sans"/>
        </w:rPr>
        <w:t>;</w:t>
      </w:r>
      <w:r>
        <w:rPr>
          <w:rFonts w:cs="Open Sans"/>
        </w:rPr>
        <w:t xml:space="preserve"> there is no obligation on officers to explain how to make a complaint to</w:t>
      </w:r>
      <w:r w:rsidR="00B434C5">
        <w:rPr>
          <w:rFonts w:cs="Open Sans"/>
        </w:rPr>
        <w:t xml:space="preserve"> the</w:t>
      </w:r>
      <w:r>
        <w:rPr>
          <w:rFonts w:cs="Open Sans"/>
        </w:rPr>
        <w:t xml:space="preserve"> IGIS or to challenge the making of the assistance order in court</w:t>
      </w:r>
      <w:r w:rsidR="00FF4C90">
        <w:rPr>
          <w:rFonts w:cs="Open Sans"/>
        </w:rPr>
        <w:t>;</w:t>
      </w:r>
      <w:r>
        <w:rPr>
          <w:rFonts w:cs="Open Sans"/>
        </w:rPr>
        <w:t xml:space="preserve"> there is no obligation to make an interpreter available if necessary</w:t>
      </w:r>
      <w:r w:rsidR="00FF4C90">
        <w:rPr>
          <w:rFonts w:cs="Open Sans"/>
        </w:rPr>
        <w:t>;</w:t>
      </w:r>
      <w:r>
        <w:rPr>
          <w:rFonts w:cs="Open Sans"/>
        </w:rPr>
        <w:t xml:space="preserve"> </w:t>
      </w:r>
      <w:r w:rsidR="00FF4C90">
        <w:rPr>
          <w:rFonts w:cs="Open Sans"/>
        </w:rPr>
        <w:t xml:space="preserve">and </w:t>
      </w:r>
      <w:r>
        <w:rPr>
          <w:rFonts w:cs="Open Sans"/>
        </w:rPr>
        <w:t>there is no statutory obligation to treat the person humanely and with respect for their human dignity</w:t>
      </w:r>
      <w:r w:rsidR="00E22879">
        <w:rPr>
          <w:rFonts w:cs="Open Sans"/>
        </w:rPr>
        <w:t>.</w:t>
      </w:r>
    </w:p>
    <w:p w14:paraId="39BAC0D2" w14:textId="79904127" w:rsidR="005B59BD" w:rsidRDefault="00E22879" w:rsidP="005B59BD">
      <w:pPr>
        <w:pStyle w:val="ListNumber"/>
        <w:tabs>
          <w:tab w:val="clear" w:pos="360"/>
          <w:tab w:val="num" w:pos="993"/>
          <w:tab w:val="left" w:pos="1418"/>
        </w:tabs>
        <w:ind w:left="709" w:hanging="567"/>
        <w:rPr>
          <w:rFonts w:cs="Open Sans"/>
        </w:rPr>
      </w:pPr>
      <w:r>
        <w:rPr>
          <w:rFonts w:cs="Open Sans"/>
        </w:rPr>
        <w:t>Particular consideration should be given to how assistance orders may impact on children. Currently</w:t>
      </w:r>
      <w:r w:rsidR="005B59BD">
        <w:rPr>
          <w:rFonts w:cs="Open Sans"/>
        </w:rPr>
        <w:t xml:space="preserve">, there are no safeguards to protect the interests of children </w:t>
      </w:r>
      <w:r w:rsidR="00B23F19">
        <w:rPr>
          <w:rFonts w:cs="Open Sans"/>
        </w:rPr>
        <w:t xml:space="preserve">if they are the recipient of </w:t>
      </w:r>
      <w:r w:rsidR="005B59BD">
        <w:rPr>
          <w:rFonts w:cs="Open Sans"/>
        </w:rPr>
        <w:t>an assistance order</w:t>
      </w:r>
      <w:r>
        <w:rPr>
          <w:rFonts w:cs="Open Sans"/>
        </w:rPr>
        <w:t>. Safeguards could include:</w:t>
      </w:r>
      <w:r w:rsidR="005B59BD">
        <w:rPr>
          <w:rFonts w:cs="Open Sans"/>
        </w:rPr>
        <w:t xml:space="preserve"> </w:t>
      </w:r>
      <w:r>
        <w:rPr>
          <w:rFonts w:cs="Open Sans"/>
        </w:rPr>
        <w:t xml:space="preserve">minimum </w:t>
      </w:r>
      <w:r w:rsidR="005B59BD">
        <w:rPr>
          <w:rFonts w:cs="Open Sans"/>
        </w:rPr>
        <w:t>age limits</w:t>
      </w:r>
      <w:r>
        <w:rPr>
          <w:rFonts w:cs="Open Sans"/>
        </w:rPr>
        <w:t xml:space="preserve"> for recipients of assistance orders</w:t>
      </w:r>
      <w:r w:rsidR="005B59BD">
        <w:rPr>
          <w:rFonts w:cs="Open Sans"/>
        </w:rPr>
        <w:t xml:space="preserve">, </w:t>
      </w:r>
      <w:r>
        <w:rPr>
          <w:rFonts w:cs="Open Sans"/>
        </w:rPr>
        <w:t xml:space="preserve">a requirement that </w:t>
      </w:r>
      <w:r w:rsidR="005B59BD">
        <w:rPr>
          <w:rFonts w:cs="Open Sans"/>
        </w:rPr>
        <w:t>parents or guardians</w:t>
      </w:r>
      <w:r>
        <w:rPr>
          <w:rFonts w:cs="Open Sans"/>
        </w:rPr>
        <w:t xml:space="preserve"> be notified if it is intended to issue an assistance order to a minor</w:t>
      </w:r>
      <w:r w:rsidR="005B59BD">
        <w:rPr>
          <w:rFonts w:cs="Open Sans"/>
        </w:rPr>
        <w:t xml:space="preserve">, and </w:t>
      </w:r>
      <w:r>
        <w:rPr>
          <w:rFonts w:cs="Open Sans"/>
        </w:rPr>
        <w:t xml:space="preserve">a requirement that </w:t>
      </w:r>
      <w:r w:rsidR="005B59BD">
        <w:rPr>
          <w:rFonts w:cs="Open Sans"/>
        </w:rPr>
        <w:t xml:space="preserve">any obligations </w:t>
      </w:r>
      <w:r>
        <w:rPr>
          <w:rFonts w:cs="Open Sans"/>
        </w:rPr>
        <w:t xml:space="preserve">under an assistance order be suspended </w:t>
      </w:r>
      <w:r w:rsidR="005B59BD">
        <w:rPr>
          <w:rFonts w:cs="Open Sans"/>
        </w:rPr>
        <w:t xml:space="preserve">until </w:t>
      </w:r>
      <w:r>
        <w:rPr>
          <w:rFonts w:cs="Open Sans"/>
        </w:rPr>
        <w:t>a parent or guardian is able to be present</w:t>
      </w:r>
      <w:r w:rsidR="005B59BD">
        <w:rPr>
          <w:rFonts w:cs="Open Sans"/>
        </w:rPr>
        <w:t xml:space="preserve">. </w:t>
      </w:r>
    </w:p>
    <w:p w14:paraId="4C840BFC" w14:textId="72B4130F" w:rsidR="005B59BD" w:rsidRDefault="005B59BD" w:rsidP="005B59BD">
      <w:pPr>
        <w:pStyle w:val="ListNumber"/>
        <w:tabs>
          <w:tab w:val="clear" w:pos="360"/>
          <w:tab w:val="num" w:pos="993"/>
          <w:tab w:val="left" w:pos="1418"/>
        </w:tabs>
        <w:ind w:left="709" w:hanging="567"/>
        <w:rPr>
          <w:rFonts w:cs="Open Sans"/>
        </w:rPr>
      </w:pPr>
      <w:r>
        <w:rPr>
          <w:rFonts w:cs="Open Sans"/>
        </w:rPr>
        <w:t>The class of persons who may be given an assistance order is broad and includes people who may have no connection to the matter being investigated under the warrant</w:t>
      </w:r>
      <w:r w:rsidR="00E22879">
        <w:rPr>
          <w:rFonts w:cs="Open Sans"/>
        </w:rPr>
        <w:t xml:space="preserve">. </w:t>
      </w:r>
      <w:r>
        <w:rPr>
          <w:rFonts w:cs="Open Sans"/>
        </w:rPr>
        <w:t>For example, an assistance order may be given to a person because of their technical expertise, such as a systems administrator or even an independent IT contractor.</w:t>
      </w:r>
      <w:r w:rsidR="00E22879">
        <w:rPr>
          <w:rFonts w:cs="Open Sans"/>
        </w:rPr>
        <w:t xml:space="preserve"> </w:t>
      </w:r>
      <w:r>
        <w:rPr>
          <w:rFonts w:cs="Open Sans"/>
        </w:rPr>
        <w:t>There is no requirement that they be suspected of being involved in the activities that are being investigated.</w:t>
      </w:r>
    </w:p>
    <w:p w14:paraId="00CC9845" w14:textId="77777777" w:rsidR="005B59BD" w:rsidRDefault="005B59BD" w:rsidP="005B59BD">
      <w:pPr>
        <w:pStyle w:val="ListNumber"/>
        <w:tabs>
          <w:tab w:val="clear" w:pos="360"/>
          <w:tab w:val="num" w:pos="993"/>
          <w:tab w:val="left" w:pos="1418"/>
        </w:tabs>
        <w:ind w:left="709" w:hanging="567"/>
        <w:rPr>
          <w:rFonts w:cs="Open Sans"/>
        </w:rPr>
      </w:pPr>
      <w:r>
        <w:rPr>
          <w:rFonts w:cs="Open Sans"/>
        </w:rPr>
        <w:t>The breadth of people who may be required to provide assistance and the lack of sufficient protections, means that there is a real risk that assistance orders may result in arbitrary detention.</w:t>
      </w:r>
    </w:p>
    <w:p w14:paraId="43FA3AC0" w14:textId="77777777" w:rsidR="005B59BD" w:rsidRDefault="005B59BD" w:rsidP="005B59BD">
      <w:pPr>
        <w:pStyle w:val="ListNumber"/>
        <w:keepNext/>
        <w:tabs>
          <w:tab w:val="clear" w:pos="360"/>
          <w:tab w:val="num" w:pos="993"/>
          <w:tab w:val="left" w:pos="1418"/>
        </w:tabs>
        <w:ind w:left="709" w:hanging="567"/>
        <w:rPr>
          <w:rFonts w:cs="Open Sans"/>
        </w:rPr>
      </w:pPr>
      <w:r>
        <w:rPr>
          <w:rFonts w:cs="Open Sans"/>
        </w:rPr>
        <w:lastRenderedPageBreak/>
        <w:t>The Commission recommends that:</w:t>
      </w:r>
    </w:p>
    <w:p w14:paraId="71ACAD9E" w14:textId="47A6FC7C" w:rsidR="005B59BD" w:rsidRPr="007054E4" w:rsidRDefault="005B59BD" w:rsidP="005B59BD">
      <w:pPr>
        <w:pStyle w:val="ListNumber"/>
        <w:keepNext/>
        <w:numPr>
          <w:ilvl w:val="0"/>
          <w:numId w:val="0"/>
        </w:numPr>
        <w:tabs>
          <w:tab w:val="left" w:pos="1418"/>
        </w:tabs>
        <w:ind w:left="709"/>
        <w:rPr>
          <w:rFonts w:cs="Open Sans"/>
          <w:b/>
        </w:rPr>
      </w:pPr>
      <w:r w:rsidRPr="007054E4">
        <w:rPr>
          <w:rFonts w:cs="Open Sans"/>
          <w:b/>
        </w:rPr>
        <w:t xml:space="preserve">Recommendation </w:t>
      </w:r>
      <w:r w:rsidR="00D7469A">
        <w:rPr>
          <w:rFonts w:cs="Open Sans"/>
          <w:b/>
        </w:rPr>
        <w:t>48</w:t>
      </w:r>
    </w:p>
    <w:p w14:paraId="088D71D9" w14:textId="77777777" w:rsidR="005B59BD" w:rsidRDefault="005B59BD" w:rsidP="005B59BD">
      <w:pPr>
        <w:pStyle w:val="ListNumber"/>
        <w:numPr>
          <w:ilvl w:val="0"/>
          <w:numId w:val="0"/>
        </w:numPr>
        <w:tabs>
          <w:tab w:val="left" w:pos="1418"/>
        </w:tabs>
        <w:ind w:left="709"/>
        <w:rPr>
          <w:rFonts w:cs="Open Sans"/>
        </w:rPr>
      </w:pPr>
      <w:r>
        <w:rPr>
          <w:rFonts w:cs="Open Sans"/>
        </w:rPr>
        <w:t>The assistance order regime in proposed s 34AAA of the ASIO Act include the following protections for the person specified in the order:</w:t>
      </w:r>
    </w:p>
    <w:p w14:paraId="35555797" w14:textId="0F1E7734" w:rsidR="005B59BD" w:rsidRDefault="005B59BD" w:rsidP="005B59BD">
      <w:pPr>
        <w:pStyle w:val="ListNumber"/>
        <w:numPr>
          <w:ilvl w:val="0"/>
          <w:numId w:val="98"/>
        </w:numPr>
        <w:tabs>
          <w:tab w:val="left" w:pos="1418"/>
        </w:tabs>
        <w:rPr>
          <w:rFonts w:cs="Open Sans"/>
        </w:rPr>
      </w:pPr>
      <w:r>
        <w:rPr>
          <w:rFonts w:cs="Open Sans"/>
        </w:rPr>
        <w:t xml:space="preserve">a maximum time limit </w:t>
      </w:r>
      <w:r w:rsidR="00266C48">
        <w:rPr>
          <w:rFonts w:cs="Open Sans"/>
        </w:rPr>
        <w:t>on the period during which</w:t>
      </w:r>
      <w:r>
        <w:rPr>
          <w:rFonts w:cs="Open Sans"/>
        </w:rPr>
        <w:t xml:space="preserve"> assistance</w:t>
      </w:r>
      <w:r w:rsidR="00266C48">
        <w:rPr>
          <w:rFonts w:cs="Open Sans"/>
        </w:rPr>
        <w:t xml:space="preserve"> must be provided</w:t>
      </w:r>
    </w:p>
    <w:p w14:paraId="260E19D1" w14:textId="77777777" w:rsidR="005B59BD" w:rsidRDefault="005B59BD" w:rsidP="005B59BD">
      <w:pPr>
        <w:pStyle w:val="ListNumber"/>
        <w:numPr>
          <w:ilvl w:val="0"/>
          <w:numId w:val="98"/>
        </w:numPr>
        <w:tabs>
          <w:tab w:val="left" w:pos="1418"/>
        </w:tabs>
        <w:rPr>
          <w:rFonts w:cs="Open Sans"/>
        </w:rPr>
      </w:pPr>
      <w:r>
        <w:rPr>
          <w:rFonts w:cs="Open Sans"/>
        </w:rPr>
        <w:t>a right to contact a family member and a lawyer</w:t>
      </w:r>
    </w:p>
    <w:p w14:paraId="0601383A" w14:textId="77777777" w:rsidR="005B59BD" w:rsidRDefault="005B59BD" w:rsidP="005B59BD">
      <w:pPr>
        <w:pStyle w:val="ListNumber"/>
        <w:numPr>
          <w:ilvl w:val="0"/>
          <w:numId w:val="98"/>
        </w:numPr>
        <w:tabs>
          <w:tab w:val="left" w:pos="1418"/>
        </w:tabs>
        <w:rPr>
          <w:rFonts w:cs="Open Sans"/>
        </w:rPr>
      </w:pPr>
      <w:r>
        <w:rPr>
          <w:rFonts w:cs="Open Sans"/>
        </w:rPr>
        <w:t>an</w:t>
      </w:r>
      <w:r w:rsidRPr="00923D20">
        <w:rPr>
          <w:rFonts w:cs="Open Sans"/>
        </w:rPr>
        <w:t xml:space="preserve"> obligation on officers to explain the nature of the assistance order and what it requires</w:t>
      </w:r>
    </w:p>
    <w:p w14:paraId="77D6BF9D" w14:textId="11A8B961" w:rsidR="005B59BD" w:rsidRDefault="005B59BD" w:rsidP="005B59BD">
      <w:pPr>
        <w:pStyle w:val="ListNumber"/>
        <w:numPr>
          <w:ilvl w:val="0"/>
          <w:numId w:val="98"/>
        </w:numPr>
        <w:tabs>
          <w:tab w:val="left" w:pos="1418"/>
        </w:tabs>
        <w:rPr>
          <w:rFonts w:cs="Open Sans"/>
        </w:rPr>
      </w:pPr>
      <w:r>
        <w:rPr>
          <w:rFonts w:cs="Open Sans"/>
        </w:rPr>
        <w:t xml:space="preserve">an </w:t>
      </w:r>
      <w:r w:rsidRPr="00923D20">
        <w:rPr>
          <w:rFonts w:cs="Open Sans"/>
        </w:rPr>
        <w:t>obligation on officers to explain how to make a complaint to</w:t>
      </w:r>
      <w:r w:rsidR="00B434C5">
        <w:rPr>
          <w:rFonts w:cs="Open Sans"/>
        </w:rPr>
        <w:t xml:space="preserve"> the</w:t>
      </w:r>
      <w:r w:rsidRPr="00923D20">
        <w:rPr>
          <w:rFonts w:cs="Open Sans"/>
        </w:rPr>
        <w:t xml:space="preserve"> IGIS or to challenge the making of the assistance order in court</w:t>
      </w:r>
    </w:p>
    <w:p w14:paraId="0481F33C" w14:textId="77777777" w:rsidR="005B59BD" w:rsidRDefault="005B59BD" w:rsidP="005B59BD">
      <w:pPr>
        <w:pStyle w:val="ListNumber"/>
        <w:numPr>
          <w:ilvl w:val="0"/>
          <w:numId w:val="98"/>
        </w:numPr>
        <w:tabs>
          <w:tab w:val="left" w:pos="1418"/>
        </w:tabs>
        <w:rPr>
          <w:rFonts w:cs="Open Sans"/>
        </w:rPr>
      </w:pPr>
      <w:r>
        <w:rPr>
          <w:rFonts w:cs="Open Sans"/>
        </w:rPr>
        <w:t xml:space="preserve">a right to an interpreter, if necessary </w:t>
      </w:r>
    </w:p>
    <w:p w14:paraId="085CE864" w14:textId="77777777" w:rsidR="005B59BD" w:rsidRDefault="005B59BD" w:rsidP="005B59BD">
      <w:pPr>
        <w:pStyle w:val="ListNumber"/>
        <w:numPr>
          <w:ilvl w:val="0"/>
          <w:numId w:val="98"/>
        </w:numPr>
        <w:tabs>
          <w:tab w:val="left" w:pos="1418"/>
        </w:tabs>
        <w:rPr>
          <w:rFonts w:cs="Open Sans"/>
        </w:rPr>
      </w:pPr>
      <w:r>
        <w:rPr>
          <w:rFonts w:cs="Open Sans"/>
        </w:rPr>
        <w:t xml:space="preserve">an obligation </w:t>
      </w:r>
      <w:r w:rsidRPr="00923D20">
        <w:rPr>
          <w:rFonts w:cs="Open Sans"/>
        </w:rPr>
        <w:t xml:space="preserve">to treat the </w:t>
      </w:r>
      <w:r>
        <w:rPr>
          <w:rFonts w:cs="Open Sans"/>
        </w:rPr>
        <w:t xml:space="preserve">specified </w:t>
      </w:r>
      <w:r w:rsidRPr="00923D20">
        <w:rPr>
          <w:rFonts w:cs="Open Sans"/>
        </w:rPr>
        <w:t xml:space="preserve">person humanely and with </w:t>
      </w:r>
      <w:r>
        <w:rPr>
          <w:rFonts w:cs="Open Sans"/>
        </w:rPr>
        <w:t>respect for their human dignity</w:t>
      </w:r>
      <w:r w:rsidRPr="00923D20">
        <w:rPr>
          <w:rFonts w:cs="Open Sans"/>
        </w:rPr>
        <w:t xml:space="preserve"> </w:t>
      </w:r>
    </w:p>
    <w:p w14:paraId="6F4C0284" w14:textId="77777777" w:rsidR="005B59BD" w:rsidRDefault="005B59BD" w:rsidP="005B59BD">
      <w:pPr>
        <w:pStyle w:val="ListNumber"/>
        <w:numPr>
          <w:ilvl w:val="0"/>
          <w:numId w:val="98"/>
        </w:numPr>
        <w:tabs>
          <w:tab w:val="left" w:pos="1418"/>
        </w:tabs>
        <w:rPr>
          <w:rFonts w:cs="Open Sans"/>
        </w:rPr>
      </w:pPr>
      <w:r>
        <w:rPr>
          <w:rFonts w:cs="Open Sans"/>
        </w:rPr>
        <w:t xml:space="preserve">sufficient </w:t>
      </w:r>
      <w:r w:rsidRPr="00923D20">
        <w:rPr>
          <w:rFonts w:cs="Open Sans"/>
        </w:rPr>
        <w:t>safeguards to protect the interests of children in respect of whom an assistance order may be issued (for example: age limits, notification of parents or guardians, and suspension of any obligations until a parent or guardian is present).</w:t>
      </w:r>
    </w:p>
    <w:p w14:paraId="52097903" w14:textId="6C31017A" w:rsidR="005B59BD" w:rsidRPr="00923D20" w:rsidRDefault="005B59BD" w:rsidP="005B59BD">
      <w:pPr>
        <w:pStyle w:val="ListNumber"/>
        <w:keepNext/>
        <w:numPr>
          <w:ilvl w:val="0"/>
          <w:numId w:val="0"/>
        </w:numPr>
        <w:tabs>
          <w:tab w:val="left" w:pos="1418"/>
        </w:tabs>
        <w:ind w:left="709"/>
        <w:rPr>
          <w:rFonts w:cs="Open Sans"/>
          <w:b/>
        </w:rPr>
      </w:pPr>
      <w:r w:rsidRPr="00923D20">
        <w:rPr>
          <w:rFonts w:cs="Open Sans"/>
          <w:b/>
        </w:rPr>
        <w:t xml:space="preserve">Recommendation </w:t>
      </w:r>
      <w:r w:rsidR="00D7469A">
        <w:rPr>
          <w:rFonts w:cs="Open Sans"/>
          <w:b/>
        </w:rPr>
        <w:t>49</w:t>
      </w:r>
    </w:p>
    <w:p w14:paraId="50745A0E" w14:textId="77777777" w:rsidR="005B59BD" w:rsidRDefault="005B59BD" w:rsidP="005B59BD">
      <w:pPr>
        <w:pStyle w:val="ListNumber"/>
        <w:numPr>
          <w:ilvl w:val="0"/>
          <w:numId w:val="0"/>
        </w:numPr>
        <w:tabs>
          <w:tab w:val="left" w:pos="1418"/>
        </w:tabs>
        <w:ind w:left="709"/>
        <w:rPr>
          <w:rFonts w:cs="Open Sans"/>
        </w:rPr>
      </w:pPr>
      <w:r>
        <w:rPr>
          <w:rFonts w:cs="Open Sans"/>
        </w:rPr>
        <w:t>Consideration be given to including a similar set of explicit protections into the assistance order regimes under s </w:t>
      </w:r>
      <w:r w:rsidRPr="001A68FF">
        <w:rPr>
          <w:rFonts w:cs="Open Sans"/>
        </w:rPr>
        <w:t xml:space="preserve">3LA of the </w:t>
      </w:r>
      <w:r w:rsidRPr="001A68FF">
        <w:rPr>
          <w:rFonts w:cs="Open Sans"/>
          <w:i/>
        </w:rPr>
        <w:t>Crimes Act 1914</w:t>
      </w:r>
      <w:r>
        <w:rPr>
          <w:rFonts w:cs="Open Sans"/>
        </w:rPr>
        <w:t xml:space="preserve"> (Cth), </w:t>
      </w:r>
      <w:r w:rsidRPr="001A68FF">
        <w:rPr>
          <w:rFonts w:cs="Open Sans"/>
        </w:rPr>
        <w:t>s</w:t>
      </w:r>
      <w:r>
        <w:rPr>
          <w:rFonts w:cs="Open Sans"/>
        </w:rPr>
        <w:t> </w:t>
      </w:r>
      <w:r w:rsidRPr="001A68FF">
        <w:rPr>
          <w:rFonts w:cs="Open Sans"/>
        </w:rPr>
        <w:t xml:space="preserve">201A of the </w:t>
      </w:r>
      <w:r w:rsidRPr="001A68FF">
        <w:rPr>
          <w:rFonts w:cs="Open Sans"/>
          <w:i/>
        </w:rPr>
        <w:t xml:space="preserve">Customs Act 1901 </w:t>
      </w:r>
      <w:r>
        <w:rPr>
          <w:rFonts w:cs="Open Sans"/>
        </w:rPr>
        <w:t xml:space="preserve">(Cth) and proposed </w:t>
      </w:r>
      <w:r w:rsidRPr="001A68FF">
        <w:rPr>
          <w:rFonts w:cs="Open Sans"/>
        </w:rPr>
        <w:t>s</w:t>
      </w:r>
      <w:r>
        <w:rPr>
          <w:rFonts w:cs="Open Sans"/>
        </w:rPr>
        <w:t> </w:t>
      </w:r>
      <w:r w:rsidRPr="001A68FF">
        <w:rPr>
          <w:rFonts w:cs="Open Sans"/>
        </w:rPr>
        <w:t xml:space="preserve">64A of the </w:t>
      </w:r>
      <w:r w:rsidRPr="001A68FF">
        <w:rPr>
          <w:rFonts w:cs="Open Sans"/>
          <w:i/>
        </w:rPr>
        <w:t>Surveillance Devices Act 2004</w:t>
      </w:r>
      <w:r>
        <w:rPr>
          <w:rFonts w:cs="Open Sans"/>
        </w:rPr>
        <w:t xml:space="preserve"> (Cth).</w:t>
      </w:r>
    </w:p>
    <w:p w14:paraId="1AAFAF7E" w14:textId="3CF90359" w:rsidR="005B59BD" w:rsidRDefault="005B59BD" w:rsidP="005B59BD">
      <w:pPr>
        <w:pStyle w:val="Heading2"/>
      </w:pPr>
      <w:bookmarkStart w:id="189" w:name="_Ref526783634"/>
      <w:bookmarkStart w:id="190" w:name="_Ref526783679"/>
      <w:bookmarkStart w:id="191" w:name="_Toc527107827"/>
      <w:r>
        <w:t>Immunities for voluntary assistance to ASIO</w:t>
      </w:r>
      <w:bookmarkEnd w:id="189"/>
      <w:bookmarkEnd w:id="190"/>
      <w:bookmarkEnd w:id="191"/>
    </w:p>
    <w:p w14:paraId="60EC3788" w14:textId="3578410E" w:rsidR="005B59BD" w:rsidRDefault="005F0868" w:rsidP="005B59BD">
      <w:pPr>
        <w:pStyle w:val="ListNumber"/>
        <w:tabs>
          <w:tab w:val="clear" w:pos="360"/>
          <w:tab w:val="num" w:pos="993"/>
          <w:tab w:val="left" w:pos="1418"/>
        </w:tabs>
        <w:ind w:left="709" w:hanging="567"/>
        <w:rPr>
          <w:rFonts w:cs="Open Sans"/>
        </w:rPr>
      </w:pPr>
      <w:r>
        <w:rPr>
          <w:rFonts w:cs="Open Sans"/>
        </w:rPr>
        <w:t xml:space="preserve">As noted in Part </w:t>
      </w:r>
      <w:r w:rsidR="005C0C97">
        <w:rPr>
          <w:rFonts w:cs="Open Sans"/>
        </w:rPr>
        <w:fldChar w:fldCharType="begin"/>
      </w:r>
      <w:r w:rsidR="005C0C97">
        <w:rPr>
          <w:rFonts w:cs="Open Sans"/>
        </w:rPr>
        <w:instrText xml:space="preserve"> REF _Ref526771691 \r \h </w:instrText>
      </w:r>
      <w:r w:rsidR="005C0C97">
        <w:rPr>
          <w:rFonts w:cs="Open Sans"/>
        </w:rPr>
      </w:r>
      <w:r w:rsidR="005C0C97">
        <w:rPr>
          <w:rFonts w:cs="Open Sans"/>
        </w:rPr>
        <w:fldChar w:fldCharType="separate"/>
      </w:r>
      <w:r w:rsidR="00372D72">
        <w:rPr>
          <w:rFonts w:cs="Open Sans"/>
        </w:rPr>
        <w:t>5.4</w:t>
      </w:r>
      <w:r w:rsidR="005C0C97">
        <w:rPr>
          <w:rFonts w:cs="Open Sans"/>
        </w:rPr>
        <w:fldChar w:fldCharType="end"/>
      </w:r>
      <w:r>
        <w:rPr>
          <w:rFonts w:cs="Open Sans"/>
        </w:rPr>
        <w:t xml:space="preserve"> of this submission, the new access and assistance regime provides for civil immunities and limited criminal immunities for </w:t>
      </w:r>
      <w:r w:rsidR="00B32582">
        <w:rPr>
          <w:rFonts w:cs="Open Sans"/>
        </w:rPr>
        <w:t>designated communications providers that are issued with a TAR, TAN or TCN.</w:t>
      </w:r>
    </w:p>
    <w:p w14:paraId="6402C92B" w14:textId="60729FED" w:rsidR="00B32582" w:rsidRDefault="00E5318B" w:rsidP="005B59BD">
      <w:pPr>
        <w:pStyle w:val="ListNumber"/>
        <w:tabs>
          <w:tab w:val="clear" w:pos="360"/>
          <w:tab w:val="num" w:pos="993"/>
          <w:tab w:val="left" w:pos="1418"/>
        </w:tabs>
        <w:ind w:left="709" w:hanging="567"/>
        <w:rPr>
          <w:rFonts w:cs="Open Sans"/>
        </w:rPr>
      </w:pPr>
      <w:r>
        <w:rPr>
          <w:rFonts w:cs="Open Sans"/>
        </w:rPr>
        <w:t>Schedule 5 of the Bill also proposes to introduce a new scheme whereby any person can obtain immunity from civil liability for providing voluntary assistance to ASIO, subject to a number of conditions.</w:t>
      </w:r>
      <w:r w:rsidR="005E07B6">
        <w:rPr>
          <w:rFonts w:cs="Open Sans"/>
        </w:rPr>
        <w:t xml:space="preserve"> </w:t>
      </w:r>
      <w:r>
        <w:rPr>
          <w:rFonts w:cs="Open Sans"/>
        </w:rPr>
        <w:t xml:space="preserve">The voluntary assistance may be provided in accordance with a request from the Director-General of </w:t>
      </w:r>
      <w:r w:rsidR="00BE0BC8">
        <w:rPr>
          <w:rFonts w:cs="Open Sans"/>
        </w:rPr>
        <w:t>Security</w:t>
      </w:r>
      <w:r>
        <w:rPr>
          <w:rFonts w:cs="Open Sans"/>
        </w:rPr>
        <w:t xml:space="preserve"> (proposed s 21A(1)) or it may be an unsolicited disclosure of information to ASIO (proposed s 21A(5)).</w:t>
      </w:r>
    </w:p>
    <w:p w14:paraId="7D161D02" w14:textId="08B2DE5A" w:rsidR="00E5318B" w:rsidRDefault="00F646BE" w:rsidP="005B59BD">
      <w:pPr>
        <w:pStyle w:val="ListNumber"/>
        <w:tabs>
          <w:tab w:val="clear" w:pos="360"/>
          <w:tab w:val="num" w:pos="993"/>
          <w:tab w:val="left" w:pos="1418"/>
        </w:tabs>
        <w:ind w:left="709" w:hanging="567"/>
        <w:rPr>
          <w:rFonts w:cs="Open Sans"/>
        </w:rPr>
      </w:pPr>
      <w:r>
        <w:rPr>
          <w:rFonts w:cs="Open Sans"/>
        </w:rPr>
        <w:t xml:space="preserve">Some aspects of this regime are broader than the proposed regime for civil immunities in Schedule 1 of the Bill and some aspects are narrower. </w:t>
      </w:r>
    </w:p>
    <w:p w14:paraId="293F8335" w14:textId="1DFB9F38" w:rsidR="00736511" w:rsidRDefault="004474FB" w:rsidP="005B59BD">
      <w:pPr>
        <w:pStyle w:val="ListNumber"/>
        <w:tabs>
          <w:tab w:val="clear" w:pos="360"/>
          <w:tab w:val="num" w:pos="993"/>
          <w:tab w:val="left" w:pos="1418"/>
        </w:tabs>
        <w:ind w:left="709" w:hanging="567"/>
        <w:rPr>
          <w:rFonts w:cs="Open Sans"/>
        </w:rPr>
      </w:pPr>
      <w:r>
        <w:rPr>
          <w:rFonts w:cs="Open Sans"/>
        </w:rPr>
        <w:lastRenderedPageBreak/>
        <w:t>T</w:t>
      </w:r>
      <w:r w:rsidR="00F646BE">
        <w:rPr>
          <w:rFonts w:cs="Open Sans"/>
        </w:rPr>
        <w:t xml:space="preserve">he regime under </w:t>
      </w:r>
      <w:r w:rsidR="00736511">
        <w:rPr>
          <w:rFonts w:cs="Open Sans"/>
        </w:rPr>
        <w:t xml:space="preserve">proposed s 21A of </w:t>
      </w:r>
      <w:r w:rsidR="00F646BE">
        <w:rPr>
          <w:rFonts w:cs="Open Sans"/>
        </w:rPr>
        <w:t xml:space="preserve">the ASIO Act is broader than the </w:t>
      </w:r>
      <w:r>
        <w:rPr>
          <w:rFonts w:cs="Open Sans"/>
        </w:rPr>
        <w:t>access and assistance regime under Schedule 1 of the Bill</w:t>
      </w:r>
      <w:r w:rsidR="00855B51">
        <w:rPr>
          <w:rFonts w:cs="Open Sans"/>
        </w:rPr>
        <w:t xml:space="preserve"> </w:t>
      </w:r>
      <w:r w:rsidR="00F646BE">
        <w:rPr>
          <w:rFonts w:cs="Open Sans"/>
        </w:rPr>
        <w:t>in that</w:t>
      </w:r>
      <w:r w:rsidR="00736511">
        <w:rPr>
          <w:rFonts w:cs="Open Sans"/>
        </w:rPr>
        <w:t>:</w:t>
      </w:r>
    </w:p>
    <w:p w14:paraId="082BF30C" w14:textId="77777777" w:rsidR="00736511" w:rsidRDefault="00F646BE" w:rsidP="00736511">
      <w:pPr>
        <w:pStyle w:val="ListNumber"/>
        <w:numPr>
          <w:ilvl w:val="0"/>
          <w:numId w:val="99"/>
        </w:numPr>
        <w:tabs>
          <w:tab w:val="left" w:pos="1418"/>
        </w:tabs>
        <w:ind w:left="1069"/>
        <w:rPr>
          <w:rFonts w:cs="Open Sans"/>
        </w:rPr>
      </w:pPr>
      <w:r>
        <w:rPr>
          <w:rFonts w:cs="Open Sans"/>
        </w:rPr>
        <w:t xml:space="preserve">the availability of immunities is not limited to designated communications providers and may be obtained by anyone that complies with the </w:t>
      </w:r>
      <w:r w:rsidR="00736511">
        <w:rPr>
          <w:rFonts w:cs="Open Sans"/>
        </w:rPr>
        <w:t>conditions of the section</w:t>
      </w:r>
    </w:p>
    <w:p w14:paraId="3B462C2C" w14:textId="75167125" w:rsidR="00F646BE" w:rsidRPr="004474FB" w:rsidRDefault="00935A83" w:rsidP="004474FB">
      <w:pPr>
        <w:pStyle w:val="ListNumber"/>
        <w:numPr>
          <w:ilvl w:val="0"/>
          <w:numId w:val="99"/>
        </w:numPr>
        <w:tabs>
          <w:tab w:val="left" w:pos="1418"/>
        </w:tabs>
        <w:ind w:left="1069"/>
        <w:rPr>
          <w:rFonts w:cs="Open Sans"/>
        </w:rPr>
      </w:pPr>
      <w:r>
        <w:rPr>
          <w:rFonts w:cs="Open Sans"/>
        </w:rPr>
        <w:t>there are fewer limits on making oral requests</w:t>
      </w:r>
      <w:r w:rsidR="004474FB">
        <w:rPr>
          <w:rFonts w:cs="Open Sans"/>
        </w:rPr>
        <w:t>.</w:t>
      </w:r>
      <w:r w:rsidRPr="00935A83">
        <w:rPr>
          <w:rStyle w:val="EndnoteReference"/>
          <w:vertAlign w:val="superscript"/>
        </w:rPr>
        <w:endnoteReference w:id="218"/>
      </w:r>
    </w:p>
    <w:p w14:paraId="066188A3" w14:textId="0DF6EABA" w:rsidR="004474FB" w:rsidRDefault="004474FB" w:rsidP="004474FB">
      <w:pPr>
        <w:pStyle w:val="ListNumber"/>
        <w:tabs>
          <w:tab w:val="clear" w:pos="360"/>
          <w:tab w:val="num" w:pos="993"/>
          <w:tab w:val="left" w:pos="1418"/>
        </w:tabs>
        <w:ind w:left="709" w:hanging="567"/>
        <w:rPr>
          <w:rFonts w:cs="Open Sans"/>
        </w:rPr>
      </w:pPr>
      <w:r>
        <w:rPr>
          <w:rFonts w:cs="Open Sans"/>
        </w:rPr>
        <w:t xml:space="preserve">The regime under proposed s 21A of the ASIO Act is narrower than the access and assistance regime under Schedule 1 of the Bill in that civil immunity is not available if the conduct </w:t>
      </w:r>
      <w:r w:rsidR="00AA6516">
        <w:rPr>
          <w:rFonts w:cs="Open Sans"/>
        </w:rPr>
        <w:t>of</w:t>
      </w:r>
      <w:r>
        <w:rPr>
          <w:rFonts w:cs="Open Sans"/>
        </w:rPr>
        <w:t xml:space="preserve"> the person providing assistance or information involves the person committing an offence or if it results in significant loss or serious damage to property.</w:t>
      </w:r>
    </w:p>
    <w:p w14:paraId="7377DB49" w14:textId="2A5AED71" w:rsidR="00413D0C" w:rsidRDefault="00413D0C" w:rsidP="00413D0C">
      <w:pPr>
        <w:pStyle w:val="ListNumber"/>
        <w:tabs>
          <w:tab w:val="clear" w:pos="360"/>
          <w:tab w:val="num" w:pos="993"/>
          <w:tab w:val="left" w:pos="1418"/>
        </w:tabs>
        <w:ind w:left="709" w:hanging="567"/>
        <w:rPr>
          <w:rFonts w:cs="Open Sans"/>
        </w:rPr>
      </w:pPr>
      <w:r>
        <w:rPr>
          <w:rFonts w:cs="Open Sans"/>
        </w:rPr>
        <w:t xml:space="preserve">There is likely to be an overlap between the assistance that may be requested by ASIO pursuant to an assistance request under proposed s 21A(1) of the ASIO Act and the assistance that may be requested by ASIO pursuant to a technical assistance request under proposed s 317G of the </w:t>
      </w:r>
      <w:r w:rsidRPr="00A96051">
        <w:rPr>
          <w:rFonts w:cs="Open Sans"/>
          <w:i/>
        </w:rPr>
        <w:t>Telecommunications Act 1997</w:t>
      </w:r>
      <w:r>
        <w:rPr>
          <w:rFonts w:cs="Open Sans"/>
        </w:rPr>
        <w:t xml:space="preserve"> (Cth). This may result in ASIO having a choice of civil immunity regimes available to it with different conditions and limitations. The Commission considers that the Bill should make clear that an assistance request under s 21A of the ASIO Act may not be made to a person if ASIO could make a technical assistance request under s 317G of the </w:t>
      </w:r>
      <w:r w:rsidRPr="00A96051">
        <w:rPr>
          <w:rFonts w:cs="Open Sans"/>
          <w:i/>
        </w:rPr>
        <w:t>Telecommunications Act 1997</w:t>
      </w:r>
      <w:r>
        <w:rPr>
          <w:rFonts w:cs="Open Sans"/>
        </w:rPr>
        <w:t xml:space="preserve"> (Cth) to that person.</w:t>
      </w:r>
    </w:p>
    <w:p w14:paraId="51C20998" w14:textId="27991AFD" w:rsidR="00BE0BC8" w:rsidRPr="00855B51" w:rsidRDefault="00BE0BC8" w:rsidP="00BE0BC8">
      <w:pPr>
        <w:pStyle w:val="ListNumber"/>
        <w:tabs>
          <w:tab w:val="clear" w:pos="360"/>
          <w:tab w:val="num" w:pos="993"/>
          <w:tab w:val="left" w:pos="1418"/>
        </w:tabs>
        <w:ind w:left="709" w:hanging="567"/>
        <w:rPr>
          <w:rFonts w:cs="Open Sans"/>
        </w:rPr>
      </w:pPr>
      <w:r>
        <w:rPr>
          <w:rFonts w:cs="Open Sans"/>
        </w:rPr>
        <w:t>T</w:t>
      </w:r>
      <w:r w:rsidRPr="00855B51">
        <w:rPr>
          <w:rFonts w:cs="Open Sans"/>
        </w:rPr>
        <w:t xml:space="preserve">here is no requirement on the Director-General of </w:t>
      </w:r>
      <w:r>
        <w:rPr>
          <w:rFonts w:cs="Open Sans"/>
        </w:rPr>
        <w:t>Security</w:t>
      </w:r>
      <w:r w:rsidRPr="00855B51">
        <w:rPr>
          <w:rFonts w:cs="Open Sans"/>
        </w:rPr>
        <w:t xml:space="preserve"> to consider issues of proportionality or reasonableness when making a request under proposed s 21A(1)(a)</w:t>
      </w:r>
      <w:r w:rsidR="00750A0A">
        <w:rPr>
          <w:rFonts w:cs="Open Sans"/>
        </w:rPr>
        <w:t>. F</w:t>
      </w:r>
      <w:r w:rsidRPr="00855B51">
        <w:rPr>
          <w:rFonts w:cs="Open Sans"/>
        </w:rPr>
        <w:t xml:space="preserve">or example, </w:t>
      </w:r>
      <w:r w:rsidR="00750A0A">
        <w:rPr>
          <w:rFonts w:cs="Open Sans"/>
        </w:rPr>
        <w:t xml:space="preserve">there is no requirement to consider </w:t>
      </w:r>
      <w:r w:rsidRPr="00855B51">
        <w:rPr>
          <w:rFonts w:cs="Open Sans"/>
        </w:rPr>
        <w:t xml:space="preserve">whether depriving third parties of their civil rights against the person providing the assistance is reasonable or </w:t>
      </w:r>
      <w:r w:rsidRPr="004474FB">
        <w:rPr>
          <w:rFonts w:cs="Open Sans"/>
        </w:rPr>
        <w:t>proportionate to the value of the requested conduct in assisting ASIO to perform its functions</w:t>
      </w:r>
      <w:r>
        <w:rPr>
          <w:rFonts w:cs="Open Sans"/>
        </w:rPr>
        <w:t>.</w:t>
      </w:r>
      <w:r w:rsidR="0038253F">
        <w:rPr>
          <w:rFonts w:cs="Open Sans"/>
        </w:rPr>
        <w:t xml:space="preserve"> </w:t>
      </w:r>
    </w:p>
    <w:p w14:paraId="1ECE4610" w14:textId="33C64420" w:rsidR="002E7C4E" w:rsidRDefault="00750A0A" w:rsidP="005B59BD">
      <w:pPr>
        <w:pStyle w:val="ListNumber"/>
        <w:tabs>
          <w:tab w:val="clear" w:pos="360"/>
          <w:tab w:val="num" w:pos="993"/>
          <w:tab w:val="left" w:pos="1418"/>
        </w:tabs>
        <w:ind w:left="709" w:hanging="567"/>
        <w:rPr>
          <w:rFonts w:cs="Open Sans"/>
        </w:rPr>
      </w:pPr>
      <w:r>
        <w:rPr>
          <w:rFonts w:cs="Open Sans"/>
        </w:rPr>
        <w:t>The lack of</w:t>
      </w:r>
      <w:r w:rsidR="0081037B">
        <w:rPr>
          <w:rFonts w:cs="Open Sans"/>
        </w:rPr>
        <w:t xml:space="preserve"> a required</w:t>
      </w:r>
      <w:r>
        <w:rPr>
          <w:rFonts w:cs="Open Sans"/>
        </w:rPr>
        <w:t xml:space="preserve"> consideration of reasonableness or proportionality stands in contrast to the requirements on the Director-General of Security when issuing a TAN and the requirements on the Attorney-General when issuing a TCN.</w:t>
      </w:r>
      <w:r w:rsidRPr="00855B51">
        <w:rPr>
          <w:sz w:val="22"/>
          <w:vertAlign w:val="superscript"/>
        </w:rPr>
        <w:endnoteReference w:id="219"/>
      </w:r>
      <w:r>
        <w:rPr>
          <w:rFonts w:cs="Open Sans"/>
        </w:rPr>
        <w:t xml:space="preserve"> Similarly, t</w:t>
      </w:r>
      <w:r w:rsidR="002E7C4E">
        <w:rPr>
          <w:rFonts w:cs="Open Sans"/>
        </w:rPr>
        <w:t xml:space="preserve">he lack of any </w:t>
      </w:r>
      <w:r w:rsidR="009108DA">
        <w:rPr>
          <w:rFonts w:cs="Open Sans"/>
        </w:rPr>
        <w:t xml:space="preserve">required </w:t>
      </w:r>
      <w:r w:rsidR="002E7C4E">
        <w:rPr>
          <w:rFonts w:cs="Open Sans"/>
        </w:rPr>
        <w:t>consideration of reasonableness or proportionality stands in contrast to the requirements on the Attorney-General when authorising a special intelligence operation, which also has the effect of conferring immunities (albeit, more significant immunities including in relation to criminal liability).</w:t>
      </w:r>
      <w:r w:rsidR="002E7C4E" w:rsidRPr="002E700B">
        <w:rPr>
          <w:rStyle w:val="EndnoteReference"/>
          <w:vertAlign w:val="superscript"/>
        </w:rPr>
        <w:endnoteReference w:id="220"/>
      </w:r>
      <w:r w:rsidR="002E7C4E">
        <w:rPr>
          <w:rFonts w:cs="Open Sans"/>
        </w:rPr>
        <w:t xml:space="preserve"> </w:t>
      </w:r>
    </w:p>
    <w:p w14:paraId="27681D37" w14:textId="63C0C23F" w:rsidR="00DE0A27" w:rsidRDefault="001779E5" w:rsidP="00DE0A27">
      <w:pPr>
        <w:pStyle w:val="ListNumber"/>
        <w:tabs>
          <w:tab w:val="clear" w:pos="360"/>
          <w:tab w:val="num" w:pos="993"/>
          <w:tab w:val="left" w:pos="1418"/>
        </w:tabs>
        <w:ind w:left="709" w:hanging="567"/>
        <w:rPr>
          <w:rFonts w:cs="Open Sans"/>
        </w:rPr>
      </w:pPr>
      <w:r>
        <w:rPr>
          <w:rFonts w:cs="Open Sans"/>
        </w:rPr>
        <w:t xml:space="preserve">The Commission </w:t>
      </w:r>
      <w:r w:rsidR="004F4DD3">
        <w:rPr>
          <w:rFonts w:cs="Open Sans"/>
        </w:rPr>
        <w:t>notes the comments of</w:t>
      </w:r>
      <w:r w:rsidR="00B434C5">
        <w:rPr>
          <w:rFonts w:cs="Open Sans"/>
        </w:rPr>
        <w:t xml:space="preserve"> the</w:t>
      </w:r>
      <w:r w:rsidR="004F4DD3">
        <w:rPr>
          <w:rFonts w:cs="Open Sans"/>
        </w:rPr>
        <w:t xml:space="preserve"> IGIS about the relationship between the</w:t>
      </w:r>
      <w:r w:rsidR="00750A0A">
        <w:rPr>
          <w:rFonts w:cs="Open Sans"/>
        </w:rPr>
        <w:t xml:space="preserve"> proposed voluntary assistance requests under s 21A of the ASIO Act </w:t>
      </w:r>
      <w:r w:rsidR="004F4DD3">
        <w:rPr>
          <w:rFonts w:cs="Open Sans"/>
        </w:rPr>
        <w:t>and existing ASIO warrants.</w:t>
      </w:r>
      <w:r w:rsidR="002E700B" w:rsidRPr="006A4A34">
        <w:rPr>
          <w:rStyle w:val="EndnoteReference"/>
          <w:vertAlign w:val="superscript"/>
        </w:rPr>
        <w:endnoteReference w:id="221"/>
      </w:r>
      <w:r w:rsidR="004F4DD3">
        <w:rPr>
          <w:rFonts w:cs="Open Sans"/>
        </w:rPr>
        <w:t xml:space="preserve"> The Commission considers that this new immunity process should not provide a way for ASIO to bypass </w:t>
      </w:r>
      <w:r w:rsidR="004F4DD3">
        <w:rPr>
          <w:rFonts w:cs="Open Sans"/>
        </w:rPr>
        <w:lastRenderedPageBreak/>
        <w:t>the current warrant requirements by requesting a person under proposed s 21A</w:t>
      </w:r>
      <w:r w:rsidR="00A96051">
        <w:rPr>
          <w:rFonts w:cs="Open Sans"/>
        </w:rPr>
        <w:t>(1)</w:t>
      </w:r>
      <w:r w:rsidR="004F4DD3">
        <w:rPr>
          <w:rFonts w:cs="Open Sans"/>
        </w:rPr>
        <w:t xml:space="preserve"> to engage in conduct that would otherwise require a warrant</w:t>
      </w:r>
      <w:r w:rsidR="006A4A34">
        <w:rPr>
          <w:rFonts w:cs="Open Sans"/>
        </w:rPr>
        <w:t xml:space="preserve"> (or other form of Ministerial authorisation or approval)</w:t>
      </w:r>
      <w:r w:rsidR="004F4DD3">
        <w:rPr>
          <w:rFonts w:cs="Open Sans"/>
        </w:rPr>
        <w:t xml:space="preserve">. </w:t>
      </w:r>
    </w:p>
    <w:p w14:paraId="4038DF8E" w14:textId="5B00A489" w:rsidR="00DE0A27" w:rsidRPr="00DE0A27" w:rsidRDefault="00DE0A27" w:rsidP="00DE0A27">
      <w:pPr>
        <w:pStyle w:val="ListNumber"/>
        <w:tabs>
          <w:tab w:val="clear" w:pos="360"/>
          <w:tab w:val="num" w:pos="993"/>
          <w:tab w:val="left" w:pos="1418"/>
        </w:tabs>
        <w:ind w:left="709" w:hanging="567"/>
        <w:rPr>
          <w:rFonts w:cs="Open Sans"/>
        </w:rPr>
      </w:pPr>
      <w:r>
        <w:rPr>
          <w:rFonts w:cs="Open Sans"/>
        </w:rPr>
        <w:t>Finally, the Commission n</w:t>
      </w:r>
      <w:r w:rsidR="00546601">
        <w:rPr>
          <w:rFonts w:cs="Open Sans"/>
        </w:rPr>
        <w:t>otes its earlier recommendation</w:t>
      </w:r>
      <w:r>
        <w:rPr>
          <w:rFonts w:cs="Open Sans"/>
        </w:rPr>
        <w:t xml:space="preserve"> that </w:t>
      </w:r>
      <w:r w:rsidR="00546601">
        <w:rPr>
          <w:rFonts w:cs="Open Sans"/>
        </w:rPr>
        <w:t xml:space="preserve">amendments be made to proposed s 317HA of the </w:t>
      </w:r>
      <w:r w:rsidR="00546601" w:rsidRPr="00546601">
        <w:rPr>
          <w:rFonts w:cs="Open Sans"/>
          <w:i/>
        </w:rPr>
        <w:t xml:space="preserve">Telecommunications Act 1997 </w:t>
      </w:r>
      <w:r w:rsidR="00546601">
        <w:rPr>
          <w:rFonts w:cs="Open Sans"/>
        </w:rPr>
        <w:t xml:space="preserve">(Cth) to provide a </w:t>
      </w:r>
      <w:r>
        <w:rPr>
          <w:rFonts w:cs="Open Sans"/>
        </w:rPr>
        <w:t xml:space="preserve">maximum </w:t>
      </w:r>
      <w:r w:rsidR="00546601">
        <w:rPr>
          <w:rFonts w:cs="Open Sans"/>
        </w:rPr>
        <w:t>time limit for any single technical assistance request.</w:t>
      </w:r>
      <w:r w:rsidR="00142F2B" w:rsidRPr="00F017D6">
        <w:rPr>
          <w:rStyle w:val="EndnoteReference"/>
          <w:vertAlign w:val="superscript"/>
        </w:rPr>
        <w:endnoteReference w:id="222"/>
      </w:r>
      <w:r w:rsidR="00546601">
        <w:rPr>
          <w:rFonts w:cs="Open Sans"/>
        </w:rPr>
        <w:t xml:space="preserve"> The Commission considers that a maximum time limit should also be set for voluntary assistance requests under s 21A of the ASIO Act</w:t>
      </w:r>
      <w:r>
        <w:rPr>
          <w:rFonts w:cs="Open Sans"/>
        </w:rPr>
        <w:t>, so that these requests do not become ‘standing requests’</w:t>
      </w:r>
      <w:r w:rsidR="00F67411">
        <w:rPr>
          <w:rFonts w:cs="Open Sans"/>
        </w:rPr>
        <w:t xml:space="preserve"> </w:t>
      </w:r>
      <w:r w:rsidR="002570E9">
        <w:rPr>
          <w:rFonts w:cs="Open Sans"/>
        </w:rPr>
        <w:t xml:space="preserve">of no fixed duration </w:t>
      </w:r>
      <w:r w:rsidR="00F67411">
        <w:rPr>
          <w:rFonts w:cs="Open Sans"/>
        </w:rPr>
        <w:t>with open ended immunities attaching to them</w:t>
      </w:r>
      <w:r w:rsidR="00546601">
        <w:rPr>
          <w:rFonts w:cs="Open Sans"/>
        </w:rPr>
        <w:t>.</w:t>
      </w:r>
    </w:p>
    <w:p w14:paraId="30ED8427" w14:textId="3BFB411B" w:rsidR="004F4DD3" w:rsidRPr="004F4DD3" w:rsidRDefault="004F4DD3" w:rsidP="00A96051">
      <w:pPr>
        <w:pStyle w:val="ListNumber"/>
        <w:keepNext/>
        <w:tabs>
          <w:tab w:val="clear" w:pos="360"/>
          <w:tab w:val="num" w:pos="993"/>
          <w:tab w:val="left" w:pos="1418"/>
        </w:tabs>
        <w:ind w:left="709" w:hanging="567"/>
        <w:rPr>
          <w:rFonts w:cs="Open Sans"/>
        </w:rPr>
      </w:pPr>
      <w:r>
        <w:rPr>
          <w:rFonts w:cs="Open Sans"/>
        </w:rPr>
        <w:t>The Commission recommends</w:t>
      </w:r>
      <w:r w:rsidR="00EB597F">
        <w:rPr>
          <w:rFonts w:cs="Open Sans"/>
        </w:rPr>
        <w:t xml:space="preserve"> that</w:t>
      </w:r>
      <w:r>
        <w:rPr>
          <w:rFonts w:cs="Open Sans"/>
        </w:rPr>
        <w:t>:</w:t>
      </w:r>
    </w:p>
    <w:p w14:paraId="276DC01B" w14:textId="54978D1A" w:rsidR="00413D0C" w:rsidRPr="00413D0C" w:rsidRDefault="00413D0C" w:rsidP="00413D0C">
      <w:pPr>
        <w:pStyle w:val="ListNumber"/>
        <w:keepNext/>
        <w:numPr>
          <w:ilvl w:val="0"/>
          <w:numId w:val="0"/>
        </w:numPr>
        <w:tabs>
          <w:tab w:val="left" w:pos="1418"/>
        </w:tabs>
        <w:ind w:left="709"/>
        <w:rPr>
          <w:rFonts w:cs="Open Sans"/>
          <w:b/>
        </w:rPr>
      </w:pPr>
      <w:r w:rsidRPr="00413D0C">
        <w:rPr>
          <w:rFonts w:cs="Open Sans"/>
          <w:b/>
        </w:rPr>
        <w:t xml:space="preserve">Recommendation </w:t>
      </w:r>
      <w:r w:rsidR="00CF0D1F">
        <w:rPr>
          <w:rFonts w:cs="Open Sans"/>
          <w:b/>
        </w:rPr>
        <w:t>5</w:t>
      </w:r>
      <w:r w:rsidR="00D7469A">
        <w:rPr>
          <w:rFonts w:cs="Open Sans"/>
          <w:b/>
        </w:rPr>
        <w:t>0</w:t>
      </w:r>
    </w:p>
    <w:p w14:paraId="386F983C" w14:textId="77777777" w:rsidR="00413D0C" w:rsidRPr="00413D0C" w:rsidRDefault="00413D0C" w:rsidP="00413D0C">
      <w:pPr>
        <w:pStyle w:val="ListNumber"/>
        <w:numPr>
          <w:ilvl w:val="0"/>
          <w:numId w:val="0"/>
        </w:numPr>
        <w:tabs>
          <w:tab w:val="left" w:pos="1418"/>
        </w:tabs>
        <w:ind w:left="709"/>
        <w:rPr>
          <w:rFonts w:cs="Open Sans"/>
        </w:rPr>
      </w:pPr>
      <w:r w:rsidRPr="00413D0C">
        <w:rPr>
          <w:rFonts w:cs="Open Sans"/>
        </w:rPr>
        <w:t xml:space="preserve">The Bill provide that an assistance request under s 21A(1) of the </w:t>
      </w:r>
      <w:r w:rsidRPr="00DE0A27">
        <w:rPr>
          <w:rFonts w:cs="Open Sans"/>
          <w:i/>
        </w:rPr>
        <w:t>Australian Security Intelligence Organisation Act 1979</w:t>
      </w:r>
      <w:r w:rsidRPr="00413D0C">
        <w:rPr>
          <w:rFonts w:cs="Open Sans"/>
        </w:rPr>
        <w:t xml:space="preserve"> (Cth) may not be made to a person if ASIO could make a technical assistance request under s 317G of the </w:t>
      </w:r>
      <w:r w:rsidRPr="00DE0A27">
        <w:rPr>
          <w:rFonts w:cs="Open Sans"/>
          <w:i/>
        </w:rPr>
        <w:t>Telecommunications Act 1997</w:t>
      </w:r>
      <w:r w:rsidRPr="00413D0C">
        <w:rPr>
          <w:rFonts w:cs="Open Sans"/>
        </w:rPr>
        <w:t xml:space="preserve"> (Cth) to that person.</w:t>
      </w:r>
    </w:p>
    <w:p w14:paraId="4D6DC139" w14:textId="550D0CBD" w:rsidR="004F4DD3" w:rsidRPr="004F4DD3" w:rsidRDefault="004F4DD3" w:rsidP="002E7C4E">
      <w:pPr>
        <w:pStyle w:val="ListNumber"/>
        <w:keepNext/>
        <w:numPr>
          <w:ilvl w:val="0"/>
          <w:numId w:val="0"/>
        </w:numPr>
        <w:tabs>
          <w:tab w:val="left" w:pos="1418"/>
        </w:tabs>
        <w:ind w:left="709"/>
        <w:rPr>
          <w:rFonts w:cs="Open Sans"/>
          <w:b/>
        </w:rPr>
      </w:pPr>
      <w:r w:rsidRPr="004F4DD3">
        <w:rPr>
          <w:rFonts w:cs="Open Sans"/>
          <w:b/>
        </w:rPr>
        <w:t xml:space="preserve">Recommendation </w:t>
      </w:r>
      <w:r w:rsidR="00CF0D1F">
        <w:rPr>
          <w:rFonts w:cs="Open Sans"/>
          <w:b/>
        </w:rPr>
        <w:t>5</w:t>
      </w:r>
      <w:r w:rsidR="00D7469A">
        <w:rPr>
          <w:rFonts w:cs="Open Sans"/>
          <w:b/>
        </w:rPr>
        <w:t>1</w:t>
      </w:r>
    </w:p>
    <w:p w14:paraId="712588DA" w14:textId="20EF6304" w:rsidR="004F4DD3" w:rsidRDefault="004F4DD3" w:rsidP="002E7C4E">
      <w:pPr>
        <w:pStyle w:val="ListNumber"/>
        <w:numPr>
          <w:ilvl w:val="0"/>
          <w:numId w:val="0"/>
        </w:numPr>
        <w:tabs>
          <w:tab w:val="left" w:pos="1418"/>
        </w:tabs>
        <w:ind w:left="709"/>
        <w:rPr>
          <w:rFonts w:cs="Open Sans"/>
        </w:rPr>
      </w:pPr>
      <w:r>
        <w:rPr>
          <w:rFonts w:cs="Open Sans"/>
        </w:rPr>
        <w:t xml:space="preserve">Proposed s 21A </w:t>
      </w:r>
      <w:r w:rsidR="006A4A34">
        <w:rPr>
          <w:rFonts w:cs="Open Sans"/>
        </w:rPr>
        <w:t xml:space="preserve">of the </w:t>
      </w:r>
      <w:r w:rsidR="006A4A34" w:rsidRPr="006A4A34">
        <w:rPr>
          <w:rFonts w:cs="Open Sans"/>
          <w:i/>
        </w:rPr>
        <w:t xml:space="preserve">Australian Security Intelligence Organisation Act 1979 </w:t>
      </w:r>
      <w:r w:rsidR="006A4A34" w:rsidRPr="006A4A34">
        <w:rPr>
          <w:rFonts w:cs="Open Sans"/>
        </w:rPr>
        <w:t>(Cth)</w:t>
      </w:r>
      <w:r w:rsidR="006A4A34">
        <w:rPr>
          <w:rFonts w:cs="Open Sans"/>
        </w:rPr>
        <w:t xml:space="preserve"> </w:t>
      </w:r>
      <w:r>
        <w:rPr>
          <w:rFonts w:cs="Open Sans"/>
        </w:rPr>
        <w:t xml:space="preserve">be amended to include a requirement that, prior to making a request under subsection (1), the Director-General must be reasonably satisfied that </w:t>
      </w:r>
      <w:r w:rsidR="00593AD0">
        <w:rPr>
          <w:rFonts w:cs="Open Sans"/>
        </w:rPr>
        <w:t xml:space="preserve">the </w:t>
      </w:r>
      <w:r>
        <w:rPr>
          <w:rFonts w:cs="Open Sans"/>
        </w:rPr>
        <w:t xml:space="preserve">impact on third party rights </w:t>
      </w:r>
      <w:r w:rsidR="00593AD0">
        <w:rPr>
          <w:rFonts w:cs="Open Sans"/>
        </w:rPr>
        <w:t xml:space="preserve">resulting from </w:t>
      </w:r>
      <w:r>
        <w:rPr>
          <w:rFonts w:cs="Open Sans"/>
        </w:rPr>
        <w:t xml:space="preserve">the grant of </w:t>
      </w:r>
      <w:r w:rsidR="002E7C4E">
        <w:rPr>
          <w:rFonts w:cs="Open Sans"/>
        </w:rPr>
        <w:t>civil immunity is reasonable and proportionate to the value of the requested conduct in assisting ASIO to perform its functions.</w:t>
      </w:r>
    </w:p>
    <w:p w14:paraId="31099A27" w14:textId="70AE96E2" w:rsidR="002E7C4E" w:rsidRPr="002E7C4E" w:rsidRDefault="002E7C4E" w:rsidP="002E7C4E">
      <w:pPr>
        <w:pStyle w:val="ListNumber"/>
        <w:keepNext/>
        <w:numPr>
          <w:ilvl w:val="0"/>
          <w:numId w:val="0"/>
        </w:numPr>
        <w:tabs>
          <w:tab w:val="left" w:pos="1418"/>
        </w:tabs>
        <w:ind w:left="709"/>
        <w:rPr>
          <w:rFonts w:cs="Open Sans"/>
          <w:b/>
        </w:rPr>
      </w:pPr>
      <w:r w:rsidRPr="002E7C4E">
        <w:rPr>
          <w:rFonts w:cs="Open Sans"/>
          <w:b/>
        </w:rPr>
        <w:t xml:space="preserve">Recommendation </w:t>
      </w:r>
      <w:r w:rsidR="00CF0D1F">
        <w:rPr>
          <w:rFonts w:cs="Open Sans"/>
          <w:b/>
        </w:rPr>
        <w:t>5</w:t>
      </w:r>
      <w:r w:rsidR="00D7469A">
        <w:rPr>
          <w:rFonts w:cs="Open Sans"/>
          <w:b/>
        </w:rPr>
        <w:t>2</w:t>
      </w:r>
    </w:p>
    <w:p w14:paraId="71A84B75" w14:textId="7338379C" w:rsidR="002E7C4E" w:rsidRDefault="006A4A34" w:rsidP="00935A83">
      <w:pPr>
        <w:pStyle w:val="ListNumber"/>
        <w:numPr>
          <w:ilvl w:val="0"/>
          <w:numId w:val="0"/>
        </w:numPr>
        <w:tabs>
          <w:tab w:val="left" w:pos="1418"/>
        </w:tabs>
        <w:ind w:left="709"/>
        <w:rPr>
          <w:rFonts w:cs="Open Sans"/>
        </w:rPr>
      </w:pPr>
      <w:r>
        <w:rPr>
          <w:rFonts w:cs="Open Sans"/>
        </w:rPr>
        <w:t xml:space="preserve">The Bill </w:t>
      </w:r>
      <w:r w:rsidR="00593AD0">
        <w:rPr>
          <w:rFonts w:cs="Open Sans"/>
        </w:rPr>
        <w:t xml:space="preserve">be amended to </w:t>
      </w:r>
      <w:r>
        <w:rPr>
          <w:rFonts w:cs="Open Sans"/>
        </w:rPr>
        <w:t xml:space="preserve">provide that s 21A(1) </w:t>
      </w:r>
      <w:r w:rsidR="00935A83">
        <w:rPr>
          <w:rFonts w:cs="Open Sans"/>
        </w:rPr>
        <w:t xml:space="preserve">of the </w:t>
      </w:r>
      <w:r w:rsidR="00935A83" w:rsidRPr="006A4A34">
        <w:rPr>
          <w:rFonts w:cs="Open Sans"/>
          <w:i/>
        </w:rPr>
        <w:t xml:space="preserve">Australian Security Intelligence Organisation Act 1979 </w:t>
      </w:r>
      <w:r w:rsidR="00935A83" w:rsidRPr="006A4A34">
        <w:rPr>
          <w:rFonts w:cs="Open Sans"/>
        </w:rPr>
        <w:t>(Cth)</w:t>
      </w:r>
      <w:r w:rsidR="00935A83">
        <w:rPr>
          <w:rFonts w:cs="Open Sans"/>
        </w:rPr>
        <w:t xml:space="preserve"> </w:t>
      </w:r>
      <w:r>
        <w:rPr>
          <w:rFonts w:cs="Open Sans"/>
        </w:rPr>
        <w:t>does not apply to requests for persons to engage in conduct for which ASIO would require a warrant (or other form of Ministerial authorisation or approval) to undertake.</w:t>
      </w:r>
    </w:p>
    <w:p w14:paraId="2FB5138F" w14:textId="74DF4F57" w:rsidR="00546601" w:rsidRPr="00546601" w:rsidRDefault="00546601" w:rsidP="00546601">
      <w:pPr>
        <w:pStyle w:val="ListNumber"/>
        <w:keepNext/>
        <w:numPr>
          <w:ilvl w:val="0"/>
          <w:numId w:val="0"/>
        </w:numPr>
        <w:tabs>
          <w:tab w:val="left" w:pos="1418"/>
        </w:tabs>
        <w:ind w:left="709"/>
        <w:rPr>
          <w:rFonts w:cs="Open Sans"/>
          <w:b/>
        </w:rPr>
      </w:pPr>
      <w:r w:rsidRPr="00F017D6">
        <w:rPr>
          <w:rFonts w:cs="Open Sans"/>
          <w:b/>
        </w:rPr>
        <w:t xml:space="preserve">Recommendation </w:t>
      </w:r>
      <w:r w:rsidR="00CF0D1F" w:rsidRPr="00F017D6">
        <w:rPr>
          <w:rFonts w:cs="Open Sans"/>
          <w:b/>
        </w:rPr>
        <w:t>5</w:t>
      </w:r>
      <w:r w:rsidR="00D7469A">
        <w:rPr>
          <w:rFonts w:cs="Open Sans"/>
          <w:b/>
        </w:rPr>
        <w:t>3</w:t>
      </w:r>
    </w:p>
    <w:p w14:paraId="1F4E5E35" w14:textId="3B5FD0C7" w:rsidR="00546601" w:rsidRDefault="00546601" w:rsidP="00546601">
      <w:pPr>
        <w:pStyle w:val="ListNumber"/>
        <w:numPr>
          <w:ilvl w:val="0"/>
          <w:numId w:val="0"/>
        </w:numPr>
        <w:tabs>
          <w:tab w:val="left" w:pos="1418"/>
        </w:tabs>
        <w:ind w:left="709"/>
        <w:rPr>
          <w:rFonts w:cs="Open Sans"/>
        </w:rPr>
      </w:pPr>
      <w:r>
        <w:rPr>
          <w:rFonts w:cs="Open Sans"/>
        </w:rPr>
        <w:t xml:space="preserve">Proposed s 21A of the </w:t>
      </w:r>
      <w:r w:rsidRPr="006A4A34">
        <w:rPr>
          <w:rFonts w:cs="Open Sans"/>
          <w:i/>
        </w:rPr>
        <w:t xml:space="preserve">Australian Security Intelligence Organisation Act 1979 </w:t>
      </w:r>
      <w:r w:rsidRPr="006A4A34">
        <w:rPr>
          <w:rFonts w:cs="Open Sans"/>
        </w:rPr>
        <w:t>(Cth)</w:t>
      </w:r>
      <w:r>
        <w:rPr>
          <w:rFonts w:cs="Open Sans"/>
        </w:rPr>
        <w:t xml:space="preserve"> be amended to include a maximum duration for a voluntary assistance request.</w:t>
      </w:r>
    </w:p>
    <w:p w14:paraId="611B568A" w14:textId="1417028D" w:rsidR="005B59BD" w:rsidRDefault="005B59BD" w:rsidP="005B59BD">
      <w:pPr>
        <w:pStyle w:val="Heading1"/>
        <w:rPr>
          <w:rFonts w:cs="Open Sans"/>
        </w:rPr>
      </w:pPr>
      <w:bookmarkStart w:id="192" w:name="_Ref526771791"/>
      <w:bookmarkStart w:id="193" w:name="_Toc527107828"/>
      <w:r>
        <w:rPr>
          <w:rFonts w:cs="Open Sans"/>
        </w:rPr>
        <w:t>Statutory review</w:t>
      </w:r>
      <w:bookmarkEnd w:id="192"/>
      <w:bookmarkEnd w:id="193"/>
    </w:p>
    <w:p w14:paraId="70D3C8D1" w14:textId="50498283" w:rsidR="005B59BD" w:rsidRDefault="005B59BD" w:rsidP="005B59BD">
      <w:pPr>
        <w:pStyle w:val="ListNumber"/>
        <w:tabs>
          <w:tab w:val="clear" w:pos="360"/>
          <w:tab w:val="num" w:pos="993"/>
          <w:tab w:val="left" w:pos="1418"/>
        </w:tabs>
        <w:ind w:left="709" w:hanging="567"/>
        <w:rPr>
          <w:rFonts w:cs="Open Sans"/>
        </w:rPr>
      </w:pPr>
      <w:r>
        <w:rPr>
          <w:rFonts w:cs="Open Sans"/>
        </w:rPr>
        <w:t xml:space="preserve">This Bill is a very substantial piece of proposed legislation, running to 172 pages and including proposed amendments to 11 Acts. </w:t>
      </w:r>
      <w:r w:rsidR="009108DA">
        <w:rPr>
          <w:rFonts w:cs="Open Sans"/>
        </w:rPr>
        <w:t>The Commission appreciated</w:t>
      </w:r>
      <w:r>
        <w:rPr>
          <w:rFonts w:cs="Open Sans"/>
        </w:rPr>
        <w:t xml:space="preserve"> the opportunity to review and consider an </w:t>
      </w:r>
      <w:r w:rsidR="0025478F">
        <w:rPr>
          <w:rFonts w:cs="Open Sans"/>
        </w:rPr>
        <w:t>Exposure Draft</w:t>
      </w:r>
      <w:r>
        <w:rPr>
          <w:rFonts w:cs="Open Sans"/>
        </w:rPr>
        <w:t xml:space="preserve"> of </w:t>
      </w:r>
      <w:r>
        <w:rPr>
          <w:rFonts w:cs="Open Sans"/>
        </w:rPr>
        <w:lastRenderedPageBreak/>
        <w:t xml:space="preserve">the Bill prior to its introduction into Parliament and the Commission commends the </w:t>
      </w:r>
      <w:r w:rsidR="00896BB0">
        <w:rPr>
          <w:rFonts w:cs="Open Sans"/>
        </w:rPr>
        <w:t xml:space="preserve">government </w:t>
      </w:r>
      <w:r>
        <w:rPr>
          <w:rFonts w:cs="Open Sans"/>
        </w:rPr>
        <w:t>for this step. However, there has been limited time to fully evaluate the potential impacts of the Bill.</w:t>
      </w:r>
    </w:p>
    <w:p w14:paraId="07CBEE38" w14:textId="2E6665B9" w:rsidR="005B59BD" w:rsidRDefault="005B59BD" w:rsidP="005B59BD">
      <w:pPr>
        <w:pStyle w:val="ListNumber"/>
        <w:tabs>
          <w:tab w:val="clear" w:pos="360"/>
          <w:tab w:val="num" w:pos="993"/>
          <w:tab w:val="left" w:pos="1418"/>
        </w:tabs>
        <w:ind w:left="709" w:hanging="567"/>
        <w:rPr>
          <w:rFonts w:cs="Open Sans"/>
        </w:rPr>
      </w:pPr>
      <w:r>
        <w:rPr>
          <w:rFonts w:cs="Open Sans"/>
        </w:rPr>
        <w:t xml:space="preserve">An </w:t>
      </w:r>
      <w:r w:rsidR="0025478F">
        <w:rPr>
          <w:rFonts w:cs="Open Sans"/>
        </w:rPr>
        <w:t>Exposure Draft</w:t>
      </w:r>
      <w:r>
        <w:rPr>
          <w:rFonts w:cs="Open Sans"/>
        </w:rPr>
        <w:t xml:space="preserve"> of the Bill was released on 14 August 2018 and comments were sought by the Department of Home Affairs by 10 September 2018. The Bill, with amendments from the </w:t>
      </w:r>
      <w:r w:rsidR="0025478F">
        <w:rPr>
          <w:rFonts w:cs="Open Sans"/>
        </w:rPr>
        <w:t>Exposure Draft</w:t>
      </w:r>
      <w:r>
        <w:rPr>
          <w:rFonts w:cs="Open Sans"/>
        </w:rPr>
        <w:t>, was introduced into the House of Representatives on 20 September 2018 and referred to this Committee with a request to provide submissions by 12 October 2018.</w:t>
      </w:r>
    </w:p>
    <w:p w14:paraId="357E8A39" w14:textId="18D6DE67" w:rsidR="005B59BD" w:rsidRDefault="005B59BD" w:rsidP="005B59BD">
      <w:pPr>
        <w:pStyle w:val="ListNumber"/>
        <w:tabs>
          <w:tab w:val="clear" w:pos="360"/>
          <w:tab w:val="num" w:pos="993"/>
          <w:tab w:val="left" w:pos="1418"/>
        </w:tabs>
        <w:ind w:left="709" w:hanging="567"/>
        <w:rPr>
          <w:rFonts w:cs="Open Sans"/>
        </w:rPr>
      </w:pPr>
      <w:r>
        <w:rPr>
          <w:rFonts w:cs="Open Sans"/>
        </w:rPr>
        <w:t xml:space="preserve">The Commission has sought to provide as detailed a response to the Bill as possible in the time available, but there are many issues that it has not been able to consider in detail </w:t>
      </w:r>
      <w:r w:rsidR="00593AD0">
        <w:rPr>
          <w:rFonts w:cs="Open Sans"/>
        </w:rPr>
        <w:t xml:space="preserve">and </w:t>
      </w:r>
      <w:r>
        <w:rPr>
          <w:rFonts w:cs="Open Sans"/>
        </w:rPr>
        <w:t>some issues it has not been able to consider at all.</w:t>
      </w:r>
    </w:p>
    <w:p w14:paraId="5289892B" w14:textId="2061AA2E" w:rsidR="005B59BD" w:rsidRDefault="005B59BD" w:rsidP="005B59BD">
      <w:pPr>
        <w:pStyle w:val="ListNumber"/>
        <w:tabs>
          <w:tab w:val="clear" w:pos="360"/>
          <w:tab w:val="num" w:pos="993"/>
          <w:tab w:val="left" w:pos="1418"/>
        </w:tabs>
        <w:ind w:left="709" w:hanging="567"/>
        <w:rPr>
          <w:rFonts w:cs="Open Sans"/>
        </w:rPr>
      </w:pPr>
      <w:r w:rsidRPr="0054071A">
        <w:rPr>
          <w:rFonts w:cs="Open Sans"/>
        </w:rPr>
        <w:t xml:space="preserve">Given the very significant changes proposed in this Bill, their potential impact on human rights, and the limited time available for review prior to debate in the Parliament, the Commission recommends that the Bill provide for a statutory review of its provisions three years after enactment. The </w:t>
      </w:r>
      <w:r w:rsidRPr="00AB2C9A">
        <w:rPr>
          <w:rFonts w:cs="Open Sans"/>
        </w:rPr>
        <w:t xml:space="preserve">review </w:t>
      </w:r>
      <w:r>
        <w:rPr>
          <w:rFonts w:cs="Open Sans"/>
        </w:rPr>
        <w:t xml:space="preserve">would consider </w:t>
      </w:r>
      <w:r w:rsidRPr="00AB2C9A">
        <w:rPr>
          <w:rFonts w:cs="Open Sans"/>
        </w:rPr>
        <w:t xml:space="preserve">whether the policy objectives of the amendments remain valid and whether the </w:t>
      </w:r>
      <w:r>
        <w:rPr>
          <w:rFonts w:cs="Open Sans"/>
        </w:rPr>
        <w:t xml:space="preserve">new provisions </w:t>
      </w:r>
      <w:r w:rsidR="009108DA">
        <w:rPr>
          <w:rFonts w:cs="Open Sans"/>
        </w:rPr>
        <w:t>have proven</w:t>
      </w:r>
      <w:r w:rsidRPr="00AB2C9A">
        <w:rPr>
          <w:rFonts w:cs="Open Sans"/>
        </w:rPr>
        <w:t xml:space="preserve"> appropriate for securing those objectives.</w:t>
      </w:r>
    </w:p>
    <w:p w14:paraId="01601602" w14:textId="77777777" w:rsidR="005B59BD" w:rsidRDefault="005B59BD" w:rsidP="005B59BD">
      <w:pPr>
        <w:pStyle w:val="ListNumber"/>
        <w:tabs>
          <w:tab w:val="clear" w:pos="360"/>
          <w:tab w:val="num" w:pos="993"/>
          <w:tab w:val="left" w:pos="1418"/>
        </w:tabs>
        <w:ind w:left="709" w:hanging="567"/>
        <w:rPr>
          <w:rFonts w:cs="Open Sans"/>
        </w:rPr>
      </w:pPr>
      <w:r w:rsidRPr="0054071A">
        <w:rPr>
          <w:rFonts w:cs="Open Sans"/>
        </w:rPr>
        <w:t>Similar statutory reviews or sunset provisions have been included in other national security legislation passed by the Commonwealth Parliament.</w:t>
      </w:r>
      <w:r w:rsidRPr="00152205">
        <w:rPr>
          <w:rStyle w:val="EndnoteReference"/>
          <w:vertAlign w:val="superscript"/>
        </w:rPr>
        <w:endnoteReference w:id="223"/>
      </w:r>
    </w:p>
    <w:p w14:paraId="5E3906F8" w14:textId="77777777" w:rsidR="005B59BD" w:rsidRDefault="005B59BD" w:rsidP="005B59BD">
      <w:pPr>
        <w:pStyle w:val="ListNumber"/>
        <w:keepNext/>
        <w:tabs>
          <w:tab w:val="clear" w:pos="360"/>
          <w:tab w:val="num" w:pos="993"/>
          <w:tab w:val="left" w:pos="1418"/>
        </w:tabs>
        <w:ind w:left="709" w:hanging="567"/>
        <w:rPr>
          <w:rFonts w:cs="Open Sans"/>
        </w:rPr>
      </w:pPr>
      <w:r>
        <w:rPr>
          <w:rFonts w:cs="Open Sans"/>
        </w:rPr>
        <w:t>The Commission recommends that:</w:t>
      </w:r>
    </w:p>
    <w:p w14:paraId="4CCD336F" w14:textId="5DCA57A3" w:rsidR="005B59BD" w:rsidRPr="0054071A" w:rsidRDefault="005B59BD" w:rsidP="005B59BD">
      <w:pPr>
        <w:pStyle w:val="ListNumber"/>
        <w:keepNext/>
        <w:numPr>
          <w:ilvl w:val="0"/>
          <w:numId w:val="0"/>
        </w:numPr>
        <w:tabs>
          <w:tab w:val="left" w:pos="1418"/>
        </w:tabs>
        <w:ind w:left="709"/>
        <w:rPr>
          <w:rFonts w:cs="Open Sans"/>
          <w:b/>
        </w:rPr>
      </w:pPr>
      <w:r w:rsidRPr="0054071A">
        <w:rPr>
          <w:rFonts w:cs="Open Sans"/>
          <w:b/>
        </w:rPr>
        <w:t xml:space="preserve">Recommendation </w:t>
      </w:r>
      <w:r w:rsidR="00CF0D1F">
        <w:rPr>
          <w:rFonts w:cs="Open Sans"/>
          <w:b/>
        </w:rPr>
        <w:t>5</w:t>
      </w:r>
      <w:r w:rsidR="00D7469A">
        <w:rPr>
          <w:rFonts w:cs="Open Sans"/>
          <w:b/>
        </w:rPr>
        <w:t>4</w:t>
      </w:r>
    </w:p>
    <w:p w14:paraId="773AF85F" w14:textId="20F9C3A9" w:rsidR="005B59BD" w:rsidRPr="00AB2C9A" w:rsidRDefault="005B59BD" w:rsidP="005B59BD">
      <w:pPr>
        <w:pStyle w:val="ListNumber"/>
        <w:numPr>
          <w:ilvl w:val="0"/>
          <w:numId w:val="0"/>
        </w:numPr>
        <w:tabs>
          <w:tab w:val="left" w:pos="1418"/>
        </w:tabs>
        <w:ind w:left="709"/>
        <w:rPr>
          <w:rFonts w:cs="Open Sans"/>
        </w:rPr>
      </w:pPr>
      <w:r>
        <w:rPr>
          <w:rFonts w:cs="Open Sans"/>
        </w:rPr>
        <w:t>The Bill include a requirement for a statutory review of its provisions after three years by the Parliamentary Joint Committee on Intelligence and Security and the Independent National Security Legislation Monitor.</w:t>
      </w:r>
    </w:p>
    <w:p w14:paraId="12FF6814" w14:textId="77777777" w:rsidR="00DF65E4" w:rsidRPr="00AA1A20" w:rsidRDefault="00DF65E4" w:rsidP="00DF65E4">
      <w:pPr>
        <w:pStyle w:val="Heading1"/>
        <w:rPr>
          <w:rFonts w:cs="Open Sans"/>
        </w:rPr>
      </w:pPr>
      <w:bookmarkStart w:id="194" w:name="_Ref526775700"/>
      <w:bookmarkStart w:id="195" w:name="_Toc527107829"/>
      <w:r w:rsidRPr="00AA1A20">
        <w:rPr>
          <w:rFonts w:cs="Open Sans"/>
        </w:rPr>
        <w:t>List of recommendations</w:t>
      </w:r>
      <w:bookmarkEnd w:id="91"/>
      <w:bookmarkEnd w:id="92"/>
      <w:bookmarkEnd w:id="194"/>
      <w:bookmarkEnd w:id="195"/>
    </w:p>
    <w:p w14:paraId="2C4C68FE" w14:textId="361729F5" w:rsidR="00A55F2C" w:rsidRDefault="00AF27C6" w:rsidP="00A55F2C">
      <w:pPr>
        <w:pStyle w:val="ListNumber"/>
        <w:tabs>
          <w:tab w:val="clear" w:pos="360"/>
          <w:tab w:val="num" w:pos="993"/>
          <w:tab w:val="left" w:pos="1418"/>
        </w:tabs>
        <w:ind w:left="709" w:hanging="567"/>
        <w:rPr>
          <w:rFonts w:cs="Open Sans"/>
        </w:rPr>
      </w:pPr>
      <w:r w:rsidRPr="00AA1A20">
        <w:rPr>
          <w:rFonts w:cs="Open Sans"/>
        </w:rPr>
        <w:t xml:space="preserve">The </w:t>
      </w:r>
      <w:r w:rsidRPr="00AA1A20">
        <w:rPr>
          <w:rFonts w:cs="Open Sans"/>
          <w:lang w:eastAsia="en-US"/>
        </w:rPr>
        <w:t>Commission</w:t>
      </w:r>
      <w:r w:rsidRPr="00AA1A20">
        <w:rPr>
          <w:rFonts w:cs="Open Sans"/>
        </w:rPr>
        <w:t xml:space="preserve"> makes the following recommend</w:t>
      </w:r>
      <w:r w:rsidR="002D1255" w:rsidRPr="00AA1A20">
        <w:rPr>
          <w:rFonts w:cs="Open Sans"/>
        </w:rPr>
        <w:t>ations:</w:t>
      </w:r>
    </w:p>
    <w:p w14:paraId="561E5F80"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1</w:t>
      </w:r>
    </w:p>
    <w:p w14:paraId="66429BF9" w14:textId="77777777" w:rsidR="007F6541" w:rsidRPr="00DA33E5" w:rsidRDefault="007F6541" w:rsidP="007F6541">
      <w:pPr>
        <w:pStyle w:val="ListNumber"/>
        <w:numPr>
          <w:ilvl w:val="0"/>
          <w:numId w:val="0"/>
        </w:numPr>
        <w:tabs>
          <w:tab w:val="left" w:pos="1418"/>
        </w:tabs>
        <w:ind w:left="709"/>
        <w:rPr>
          <w:rFonts w:cs="Open Sans"/>
          <w:b/>
        </w:rPr>
      </w:pPr>
      <w:r w:rsidRPr="00DA33E5">
        <w:rPr>
          <w:rFonts w:cs="Open Sans"/>
        </w:rPr>
        <w:t>The Australian Government ensure that adequate time is afforded for public consultation, review and reform of the Bill, to enhance human rights compatibility.</w:t>
      </w:r>
    </w:p>
    <w:p w14:paraId="24667D92"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2</w:t>
      </w:r>
    </w:p>
    <w:p w14:paraId="0AEC02EA"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 317E of the </w:t>
      </w:r>
      <w:r w:rsidRPr="00DA33E5">
        <w:rPr>
          <w:rFonts w:cs="Open Sans"/>
          <w:i/>
        </w:rPr>
        <w:t xml:space="preserve">Telecommunications Act 1997 </w:t>
      </w:r>
      <w:r w:rsidRPr="00DA33E5">
        <w:rPr>
          <w:rFonts w:cs="Open Sans"/>
        </w:rPr>
        <w:t xml:space="preserve">(Cth) be redrafted in narrower terms, to ensure that the ‘acts or things’ that can be requested or </w:t>
      </w:r>
      <w:r w:rsidRPr="00DA33E5">
        <w:rPr>
          <w:rFonts w:cs="Open Sans"/>
        </w:rPr>
        <w:lastRenderedPageBreak/>
        <w:t>required under TARs, TANs and TCNs are restricted to those that are strictly necessary for law enforcement, intelligence and national security agencies to carry out their functions.</w:t>
      </w:r>
    </w:p>
    <w:p w14:paraId="1B387951"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3</w:t>
      </w:r>
    </w:p>
    <w:p w14:paraId="6092D5A4"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ss 317G(6), 317L(3), 317T and 317X(3) of the </w:t>
      </w:r>
      <w:r w:rsidRPr="00DA33E5">
        <w:rPr>
          <w:rFonts w:cs="Open Sans"/>
          <w:i/>
        </w:rPr>
        <w:t xml:space="preserve">Telecommunications Act 1997 </w:t>
      </w:r>
      <w:r w:rsidRPr="00DA33E5">
        <w:rPr>
          <w:rFonts w:cs="Open Sans"/>
        </w:rPr>
        <w:t xml:space="preserve">(Cth) be amended so that the only ‘acts or things’ that can be requested or required to be done under a TAR, TAN or TCN are those specified in s 317E (that is, the list of ‘acts or things’ in s 317E should be exhaustive in all cases). </w:t>
      </w:r>
    </w:p>
    <w:p w14:paraId="7C1ADDC6"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4</w:t>
      </w:r>
    </w:p>
    <w:p w14:paraId="2DBAF608"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 317T(5) of the </w:t>
      </w:r>
      <w:r w:rsidRPr="00DA33E5">
        <w:rPr>
          <w:rFonts w:cs="Open Sans"/>
          <w:i/>
        </w:rPr>
        <w:t xml:space="preserve">Telecommunications Act 1997 </w:t>
      </w:r>
      <w:r w:rsidRPr="00DA33E5">
        <w:rPr>
          <w:rFonts w:cs="Open Sans"/>
        </w:rPr>
        <w:t>(Cth) be omitted, to remove the power of the Minister to expand the definition of ‘acts or things’ for the purposes of a TCN by way of legislative instrument.</w:t>
      </w:r>
    </w:p>
    <w:p w14:paraId="787D698B"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5</w:t>
      </w:r>
    </w:p>
    <w:p w14:paraId="7E46F520"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In the event that Recommendation 4 is not accepted, the decision-making criteria in proposed s 317T(6) of the </w:t>
      </w:r>
      <w:r w:rsidRPr="00DA33E5">
        <w:rPr>
          <w:rFonts w:cs="Open Sans"/>
          <w:i/>
        </w:rPr>
        <w:t xml:space="preserve">Telecommunications Act 1997 </w:t>
      </w:r>
      <w:r w:rsidRPr="00DA33E5">
        <w:rPr>
          <w:rFonts w:cs="Open Sans"/>
        </w:rPr>
        <w:t xml:space="preserve">(Cth) be amended to require the Minister to consider the right to privacy and other human rights before making a legislative instrument that will expand the definition of ‘acts or things’ for the purpose of a TCN, and only allow the exercise of power if the Minister is satisfied that the limitation of the right to privacy and other human rights is necessary and proportionate in all of the circumstances of a particular case. </w:t>
      </w:r>
    </w:p>
    <w:p w14:paraId="0336C1BE"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 xml:space="preserve">Recommendation 6 </w:t>
      </w:r>
    </w:p>
    <w:p w14:paraId="66B345E7" w14:textId="77777777" w:rsidR="007F6541" w:rsidRPr="00DA33E5" w:rsidRDefault="007F6541" w:rsidP="007F6541">
      <w:pPr>
        <w:pStyle w:val="ListNumber"/>
        <w:numPr>
          <w:ilvl w:val="0"/>
          <w:numId w:val="0"/>
        </w:numPr>
        <w:tabs>
          <w:tab w:val="left" w:pos="1418"/>
        </w:tabs>
        <w:ind w:left="709"/>
        <w:rPr>
          <w:rFonts w:cs="Open Sans"/>
          <w:color w:val="000000" w:themeColor="text1"/>
        </w:rPr>
      </w:pPr>
      <w:r w:rsidRPr="00DA33E5">
        <w:rPr>
          <w:rFonts w:cs="Open Sans"/>
        </w:rPr>
        <w:t xml:space="preserve">Proposed ss 317G(5)(a), 317L(2)(c)(i), 317T(3)(a) of the </w:t>
      </w:r>
      <w:r w:rsidRPr="00DA33E5">
        <w:rPr>
          <w:rFonts w:cs="Open Sans"/>
          <w:i/>
        </w:rPr>
        <w:t xml:space="preserve">Telecommunications Act 1997 </w:t>
      </w:r>
      <w:r w:rsidRPr="00DA33E5">
        <w:rPr>
          <w:rFonts w:cs="Open Sans"/>
        </w:rPr>
        <w:t xml:space="preserve">(Cth) be amended to limit the relevant objectives that permit the giving or varying of a TAR, TAN or TCN to those </w:t>
      </w:r>
      <w:r w:rsidRPr="00DA33E5">
        <w:rPr>
          <w:rFonts w:cs="Open Sans"/>
          <w:color w:val="000000" w:themeColor="text1"/>
        </w:rPr>
        <w:t>related to a ‘serious offence’ as defined in s 5D of the TIA Act.</w:t>
      </w:r>
    </w:p>
    <w:p w14:paraId="068D8B63"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 xml:space="preserve">Recommendation 7 </w:t>
      </w:r>
    </w:p>
    <w:p w14:paraId="7F28FE9F"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In the event that Recommendation 6 is not accepted, proposed s 317G(5) of the </w:t>
      </w:r>
      <w:r w:rsidRPr="00DA33E5">
        <w:rPr>
          <w:rFonts w:cs="Open Sans"/>
          <w:i/>
        </w:rPr>
        <w:t xml:space="preserve">Telecommunications Act 1997 </w:t>
      </w:r>
      <w:r w:rsidRPr="00DA33E5">
        <w:rPr>
          <w:rFonts w:cs="Open Sans"/>
        </w:rPr>
        <w:t>(Cth) be amended to align the ‘relevant objectives’ applicable to TARs with those applicable to TANs and TCNs.</w:t>
      </w:r>
    </w:p>
    <w:p w14:paraId="62BD19AA"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8</w:t>
      </w:r>
    </w:p>
    <w:p w14:paraId="0B8E6B00"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The decision-making criteria in proposed ss 317P, 317Q(10), 317V and 317X(4) of the </w:t>
      </w:r>
      <w:r w:rsidRPr="00DA33E5">
        <w:rPr>
          <w:rFonts w:cs="Open Sans"/>
          <w:i/>
        </w:rPr>
        <w:t xml:space="preserve">Telecommunications Act 1997 </w:t>
      </w:r>
      <w:r w:rsidRPr="00DA33E5">
        <w:rPr>
          <w:rFonts w:cs="Open Sans"/>
        </w:rPr>
        <w:t>(Cth) be amended to include a requirement that the decision maker be satisfied of the ‘necessity’ of giving or varying a notice.</w:t>
      </w:r>
    </w:p>
    <w:p w14:paraId="71AB831D"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lastRenderedPageBreak/>
        <w:t>Recommendation 9</w:t>
      </w:r>
    </w:p>
    <w:p w14:paraId="5BD1DE81"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The decision-making criteria in proposed ss 317RA and 317ZAA of the </w:t>
      </w:r>
      <w:r w:rsidRPr="00DA33E5">
        <w:rPr>
          <w:rFonts w:cs="Open Sans"/>
          <w:i/>
        </w:rPr>
        <w:t xml:space="preserve">Telecommunications Act 1997 </w:t>
      </w:r>
      <w:r w:rsidRPr="00DA33E5">
        <w:rPr>
          <w:rFonts w:cs="Open Sans"/>
        </w:rPr>
        <w:t>(Cth) be amended to include a requirement that the decision maker be satisfied that the giving or varying of a notice would not require the recipient to breach the s 317ZG systemic weakness limitation.</w:t>
      </w:r>
    </w:p>
    <w:p w14:paraId="1D51D528"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10</w:t>
      </w:r>
    </w:p>
    <w:p w14:paraId="676B0E49" w14:textId="77777777" w:rsidR="007F6541" w:rsidRPr="00DA33E5" w:rsidRDefault="007F6541" w:rsidP="007F6541">
      <w:pPr>
        <w:ind w:left="720"/>
        <w:rPr>
          <w:rFonts w:eastAsia="Calibri" w:cs="Open Sans"/>
          <w:lang w:eastAsia="en-US"/>
        </w:rPr>
      </w:pPr>
      <w:r w:rsidRPr="00DA33E5">
        <w:rPr>
          <w:rFonts w:cs="Open Sans"/>
        </w:rPr>
        <w:t xml:space="preserve">The decision-making criteria in proposed ss 317RA and 317ZAA of the </w:t>
      </w:r>
      <w:r w:rsidRPr="00DA33E5">
        <w:rPr>
          <w:rFonts w:cs="Open Sans"/>
          <w:i/>
        </w:rPr>
        <w:t xml:space="preserve">Telecommunications Act 1997 </w:t>
      </w:r>
      <w:r w:rsidRPr="00DA33E5">
        <w:rPr>
          <w:rFonts w:cs="Open Sans"/>
        </w:rPr>
        <w:t xml:space="preserve">(Cth) be amended to </w:t>
      </w:r>
      <w:r w:rsidRPr="00DA33E5">
        <w:rPr>
          <w:rFonts w:eastAsia="Calibri" w:cs="Open Sans"/>
          <w:lang w:eastAsia="en-US"/>
        </w:rPr>
        <w:t xml:space="preserve">also require that the decision maker be satisfied on reasonable grounds that: </w:t>
      </w:r>
    </w:p>
    <w:p w14:paraId="110FED8D" w14:textId="77777777" w:rsidR="007F6541" w:rsidRPr="00DA33E5" w:rsidRDefault="007F6541" w:rsidP="007F6541">
      <w:pPr>
        <w:pStyle w:val="ListParagraph"/>
        <w:numPr>
          <w:ilvl w:val="0"/>
          <w:numId w:val="104"/>
        </w:numPr>
        <w:spacing w:before="120" w:after="120"/>
        <w:rPr>
          <w:rFonts w:eastAsia="Calibri" w:cs="Open Sans"/>
          <w:lang w:eastAsia="en-US"/>
        </w:rPr>
      </w:pPr>
      <w:r w:rsidRPr="00DA33E5">
        <w:rPr>
          <w:rFonts w:eastAsia="Calibri" w:cs="Open Sans"/>
          <w:lang w:eastAsia="en-US"/>
        </w:rPr>
        <w:t xml:space="preserve">any interferences with privacy </w:t>
      </w:r>
    </w:p>
    <w:p w14:paraId="2B18E455" w14:textId="77777777" w:rsidR="007F6541" w:rsidRPr="00DA33E5" w:rsidRDefault="007F6541" w:rsidP="007F6541">
      <w:pPr>
        <w:pStyle w:val="ListParagraph"/>
        <w:numPr>
          <w:ilvl w:val="0"/>
          <w:numId w:val="104"/>
        </w:numPr>
        <w:spacing w:before="120" w:after="120"/>
        <w:rPr>
          <w:rFonts w:eastAsia="Calibri" w:cs="Open Sans"/>
          <w:lang w:eastAsia="en-US"/>
        </w:rPr>
      </w:pPr>
      <w:r w:rsidRPr="00DA33E5">
        <w:rPr>
          <w:rFonts w:eastAsia="Calibri" w:cs="Open Sans"/>
          <w:lang w:eastAsia="en-US"/>
        </w:rPr>
        <w:t>any interferences with other human rights including the right to freedom of expression and the right to an effective remedy and</w:t>
      </w:r>
    </w:p>
    <w:p w14:paraId="74FC6DDD" w14:textId="77777777" w:rsidR="007F6541" w:rsidRPr="00DA33E5" w:rsidRDefault="007F6541" w:rsidP="007F6541">
      <w:pPr>
        <w:pStyle w:val="ListParagraph"/>
        <w:numPr>
          <w:ilvl w:val="0"/>
          <w:numId w:val="104"/>
        </w:numPr>
        <w:spacing w:before="120" w:after="120"/>
        <w:rPr>
          <w:rFonts w:eastAsia="Calibri" w:cs="Open Sans"/>
          <w:lang w:eastAsia="en-US"/>
        </w:rPr>
      </w:pPr>
      <w:r w:rsidRPr="00DA33E5">
        <w:rPr>
          <w:rFonts w:eastAsia="Calibri" w:cs="Open Sans"/>
          <w:lang w:eastAsia="en-US"/>
        </w:rPr>
        <w:t xml:space="preserve">any impacts on innocent third parties, including the consequences of a provider’s immunity from civil liability </w:t>
      </w:r>
    </w:p>
    <w:p w14:paraId="130FA116" w14:textId="77777777" w:rsidR="007F6541" w:rsidRPr="00DA33E5" w:rsidRDefault="007F6541" w:rsidP="007F6541">
      <w:pPr>
        <w:spacing w:before="120" w:after="120"/>
        <w:ind w:left="1080"/>
        <w:rPr>
          <w:rFonts w:eastAsia="Calibri" w:cs="Open Sans"/>
          <w:lang w:eastAsia="en-US"/>
        </w:rPr>
      </w:pPr>
      <w:r w:rsidRPr="00DA33E5">
        <w:rPr>
          <w:rFonts w:eastAsia="Calibri" w:cs="Open Sans"/>
          <w:lang w:eastAsia="en-US"/>
        </w:rPr>
        <w:t>are reasonable, necessary and proportionate by reference to a detailed, non-exhaustive list of considerations, such as the seriousness of any offence under investigation.</w:t>
      </w:r>
    </w:p>
    <w:p w14:paraId="59A38EC0"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11</w:t>
      </w:r>
    </w:p>
    <w:p w14:paraId="72A839B5"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 317G of the </w:t>
      </w:r>
      <w:r w:rsidRPr="00DA33E5">
        <w:rPr>
          <w:rFonts w:cs="Open Sans"/>
          <w:i/>
        </w:rPr>
        <w:t xml:space="preserve">Telecommunications Act 1997 </w:t>
      </w:r>
      <w:r w:rsidRPr="00DA33E5">
        <w:rPr>
          <w:rFonts w:cs="Open Sans"/>
        </w:rPr>
        <w:t>(Cth) be amended to insert a provision setting out the decision-making criteria applicable to the issue of TARs, in commensurate terms as those applicable to TANs and TCNs.</w:t>
      </w:r>
    </w:p>
    <w:p w14:paraId="3ABACC6A"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12</w:t>
      </w:r>
    </w:p>
    <w:p w14:paraId="2B40DB7F" w14:textId="77777777" w:rsidR="007F6541" w:rsidRPr="00DA33E5" w:rsidRDefault="007F6541" w:rsidP="007F6541">
      <w:pPr>
        <w:pStyle w:val="ListNumber"/>
        <w:numPr>
          <w:ilvl w:val="0"/>
          <w:numId w:val="0"/>
        </w:numPr>
        <w:tabs>
          <w:tab w:val="left" w:pos="1418"/>
        </w:tabs>
        <w:ind w:left="709"/>
        <w:rPr>
          <w:rFonts w:cs="Open Sans"/>
          <w:b/>
        </w:rPr>
      </w:pPr>
      <w:r w:rsidRPr="00DA33E5">
        <w:rPr>
          <w:rFonts w:cs="Open Sans"/>
        </w:rPr>
        <w:t xml:space="preserve">Proposed ss 317HA(1)(b) and 317MA(1)(b) of the </w:t>
      </w:r>
      <w:r w:rsidRPr="00DA33E5">
        <w:rPr>
          <w:rFonts w:cs="Open Sans"/>
          <w:i/>
        </w:rPr>
        <w:t xml:space="preserve">Telecommunications Act 1997 </w:t>
      </w:r>
      <w:r w:rsidRPr="00DA33E5">
        <w:rPr>
          <w:rFonts w:cs="Open Sans"/>
        </w:rPr>
        <w:t>(Cth)</w:t>
      </w:r>
      <w:r w:rsidRPr="00DA33E5">
        <w:rPr>
          <w:rFonts w:cs="Open Sans"/>
          <w:lang w:val="en-US"/>
        </w:rPr>
        <w:t xml:space="preserve"> be amended to provide that the maximum permissible duration of any single TAR or TAN is 90 days.</w:t>
      </w:r>
    </w:p>
    <w:p w14:paraId="72315A92"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13</w:t>
      </w:r>
    </w:p>
    <w:p w14:paraId="6A6C7F29"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Proposed s </w:t>
      </w:r>
      <w:r w:rsidRPr="00DA33E5">
        <w:rPr>
          <w:rFonts w:cs="Open Sans"/>
          <w:lang w:val="en-US"/>
        </w:rPr>
        <w:t xml:space="preserve">317TA(1)(b) of the </w:t>
      </w:r>
      <w:r w:rsidRPr="00DA33E5">
        <w:rPr>
          <w:rFonts w:cs="Open Sans"/>
          <w:i/>
        </w:rPr>
        <w:t xml:space="preserve">Telecommunications Act 1997 </w:t>
      </w:r>
      <w:r w:rsidRPr="00DA33E5">
        <w:rPr>
          <w:rFonts w:cs="Open Sans"/>
        </w:rPr>
        <w:t>(Cth)</w:t>
      </w:r>
      <w:r w:rsidRPr="00DA33E5">
        <w:rPr>
          <w:rFonts w:cs="Open Sans"/>
          <w:lang w:val="en-US"/>
        </w:rPr>
        <w:t xml:space="preserve"> be amended to provide that the maximum permissible duration of any single TCN is 180 days.</w:t>
      </w:r>
    </w:p>
    <w:p w14:paraId="5F5725EE" w14:textId="77777777" w:rsidR="007F6541" w:rsidRPr="00DA33E5" w:rsidRDefault="007F6541" w:rsidP="007F6541">
      <w:pPr>
        <w:pStyle w:val="ListNumber"/>
        <w:keepNext/>
        <w:numPr>
          <w:ilvl w:val="0"/>
          <w:numId w:val="0"/>
        </w:numPr>
        <w:tabs>
          <w:tab w:val="left" w:pos="1418"/>
        </w:tabs>
        <w:ind w:left="709"/>
        <w:rPr>
          <w:rFonts w:cs="Open Sans"/>
          <w:b/>
          <w:lang w:val="en-US"/>
        </w:rPr>
      </w:pPr>
      <w:r w:rsidRPr="00DA33E5">
        <w:rPr>
          <w:rFonts w:cs="Open Sans"/>
          <w:b/>
        </w:rPr>
        <w:t>Recommendation</w:t>
      </w:r>
      <w:r w:rsidRPr="00DA33E5">
        <w:rPr>
          <w:rFonts w:cs="Open Sans"/>
          <w:b/>
          <w:lang w:val="en-US"/>
        </w:rPr>
        <w:t xml:space="preserve"> 14</w:t>
      </w:r>
    </w:p>
    <w:p w14:paraId="2D56F3BA" w14:textId="77777777" w:rsidR="007F6541" w:rsidRPr="00DA33E5" w:rsidRDefault="007F6541" w:rsidP="007F6541">
      <w:pPr>
        <w:pStyle w:val="ListNumber"/>
        <w:numPr>
          <w:ilvl w:val="0"/>
          <w:numId w:val="0"/>
        </w:numPr>
        <w:tabs>
          <w:tab w:val="left" w:pos="1418"/>
        </w:tabs>
        <w:ind w:left="709"/>
        <w:rPr>
          <w:rFonts w:cs="Open Sans"/>
          <w:lang w:val="en-US"/>
        </w:rPr>
      </w:pPr>
      <w:r w:rsidRPr="00DA33E5">
        <w:rPr>
          <w:rFonts w:cs="Open Sans"/>
          <w:lang w:val="en-US"/>
        </w:rPr>
        <w:t>Proposed ss 317R and 317Z be amended to:</w:t>
      </w:r>
    </w:p>
    <w:p w14:paraId="7BD0FF5B" w14:textId="77777777" w:rsidR="007F6541" w:rsidRPr="00DA33E5" w:rsidRDefault="007F6541" w:rsidP="007F6541">
      <w:pPr>
        <w:pStyle w:val="ListNumber"/>
        <w:numPr>
          <w:ilvl w:val="0"/>
          <w:numId w:val="106"/>
        </w:numPr>
        <w:tabs>
          <w:tab w:val="left" w:pos="1418"/>
        </w:tabs>
        <w:ind w:left="1066" w:hanging="357"/>
        <w:rPr>
          <w:rFonts w:cs="Open Sans"/>
        </w:rPr>
      </w:pPr>
      <w:r w:rsidRPr="00DA33E5">
        <w:rPr>
          <w:rFonts w:cs="Open Sans"/>
          <w:lang w:val="en-US"/>
        </w:rPr>
        <w:t xml:space="preserve">allow a provider to apply to the decision maker for the revocation of a notice where the provider considers that the requirements imposed by </w:t>
      </w:r>
      <w:r w:rsidRPr="00DA33E5">
        <w:rPr>
          <w:rFonts w:cs="Open Sans"/>
          <w:lang w:val="en-US"/>
        </w:rPr>
        <w:lastRenderedPageBreak/>
        <w:t xml:space="preserve">the notice are not reasonable and proportionate or that compliance with the notice is not practicable and technically feasible </w:t>
      </w:r>
    </w:p>
    <w:p w14:paraId="1BE14FA1" w14:textId="77777777" w:rsidR="007F6541" w:rsidRPr="00DA33E5" w:rsidRDefault="007F6541" w:rsidP="007F6541">
      <w:pPr>
        <w:pStyle w:val="ListNumber"/>
        <w:numPr>
          <w:ilvl w:val="0"/>
          <w:numId w:val="106"/>
        </w:numPr>
        <w:tabs>
          <w:tab w:val="left" w:pos="1418"/>
        </w:tabs>
        <w:ind w:left="1066" w:hanging="357"/>
        <w:rPr>
          <w:rFonts w:cs="Open Sans"/>
        </w:rPr>
      </w:pPr>
      <w:r w:rsidRPr="00DA33E5">
        <w:rPr>
          <w:rFonts w:cs="Open Sans"/>
          <w:lang w:val="en-US"/>
        </w:rPr>
        <w:t>make provision for a provider to access independent merits review of any decision to refuse to revoke a notice.</w:t>
      </w:r>
    </w:p>
    <w:p w14:paraId="2DB899D9"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15</w:t>
      </w:r>
    </w:p>
    <w:p w14:paraId="1DF2E2D1"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 317ZG of the </w:t>
      </w:r>
      <w:r w:rsidRPr="00DA33E5">
        <w:rPr>
          <w:rFonts w:cs="Open Sans"/>
          <w:i/>
        </w:rPr>
        <w:t xml:space="preserve">Telecommunications Act 1997 </w:t>
      </w:r>
      <w:r w:rsidRPr="00DA33E5">
        <w:rPr>
          <w:rFonts w:cs="Open Sans"/>
        </w:rPr>
        <w:t>(Cth) be amended to provide precise and clear definitions of ‘systemic vulnerability’ and ‘systemic weakness’.</w:t>
      </w:r>
    </w:p>
    <w:p w14:paraId="09F41C42"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16</w:t>
      </w:r>
    </w:p>
    <w:p w14:paraId="74ECC985"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 317ZG of the </w:t>
      </w:r>
      <w:r w:rsidRPr="00DA33E5">
        <w:rPr>
          <w:rFonts w:cs="Open Sans"/>
          <w:i/>
        </w:rPr>
        <w:t xml:space="preserve">Telecommunications Act 1997 </w:t>
      </w:r>
      <w:r w:rsidRPr="00DA33E5">
        <w:rPr>
          <w:rFonts w:cs="Open Sans"/>
        </w:rPr>
        <w:t xml:space="preserve">(Cth) be amended to apply the systemic weakness limitation to technical assistance requests. </w:t>
      </w:r>
    </w:p>
    <w:p w14:paraId="3AFBE056"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17</w:t>
      </w:r>
    </w:p>
    <w:p w14:paraId="6BDA282B"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Serious consideration be given to redrafting proposed new Pt 15 of the </w:t>
      </w:r>
      <w:r w:rsidRPr="00DA33E5">
        <w:rPr>
          <w:rFonts w:cs="Open Sans"/>
          <w:i/>
        </w:rPr>
        <w:t>Telecommunications Act 1997</w:t>
      </w:r>
      <w:r w:rsidRPr="00DA33E5">
        <w:rPr>
          <w:rFonts w:cs="Open Sans"/>
        </w:rPr>
        <w:t xml:space="preserve"> (Cth), to require a warrant to be a precondition of the giving of a request or notice.</w:t>
      </w:r>
    </w:p>
    <w:p w14:paraId="2B43ED2A"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18</w:t>
      </w:r>
    </w:p>
    <w:p w14:paraId="67EE1B54"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 317ZH of the </w:t>
      </w:r>
      <w:r w:rsidRPr="00DA33E5">
        <w:rPr>
          <w:rFonts w:cs="Open Sans"/>
          <w:i/>
        </w:rPr>
        <w:t xml:space="preserve">Telecommunications Act 1997 </w:t>
      </w:r>
      <w:r w:rsidRPr="00DA33E5">
        <w:rPr>
          <w:rFonts w:cs="Open Sans"/>
        </w:rPr>
        <w:t>(Cth) be amended to include references to TARs as well as TANs and TCNs, to provide that a TAR has no effect to the extent to which it requests the doing of ‘acts or things’ for which a warrant or authorisation is required.</w:t>
      </w:r>
    </w:p>
    <w:p w14:paraId="349B52C3"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19</w:t>
      </w:r>
    </w:p>
    <w:p w14:paraId="45C2D63C"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ss 317H, 317JA, 317M, 317Q, 317T and 317X of the </w:t>
      </w:r>
      <w:r w:rsidRPr="00DA33E5">
        <w:rPr>
          <w:rFonts w:cs="Open Sans"/>
          <w:i/>
        </w:rPr>
        <w:t xml:space="preserve">Telecommunications Act 1997 </w:t>
      </w:r>
      <w:r w:rsidRPr="00DA33E5">
        <w:rPr>
          <w:rFonts w:cs="Open Sans"/>
        </w:rPr>
        <w:t xml:space="preserve">(Cth) be amended to require that the form of request or notice or a varied request or notice given to a provider include: </w:t>
      </w:r>
    </w:p>
    <w:p w14:paraId="5EA19C01" w14:textId="77777777" w:rsidR="007F6541" w:rsidRPr="00DA33E5" w:rsidRDefault="007F6541" w:rsidP="007F6541">
      <w:pPr>
        <w:pStyle w:val="Bullet"/>
        <w:tabs>
          <w:tab w:val="clear" w:pos="360"/>
          <w:tab w:val="num" w:pos="1560"/>
        </w:tabs>
        <w:ind w:left="1287" w:hanging="567"/>
        <w:rPr>
          <w:rFonts w:cs="Open Sans"/>
        </w:rPr>
      </w:pPr>
      <w:r w:rsidRPr="00DA33E5">
        <w:rPr>
          <w:rFonts w:cs="Open Sans"/>
        </w:rPr>
        <w:t>a statement about whether the requested act or thing assists in giving effect to an extant warrant or authorisation, and what that warrant or authorisation broadly permits as relates to the request or notice</w:t>
      </w:r>
    </w:p>
    <w:p w14:paraId="78EAB4E4" w14:textId="77777777" w:rsidR="007F6541" w:rsidRPr="00DA33E5" w:rsidRDefault="007F6541" w:rsidP="007F6541">
      <w:pPr>
        <w:pStyle w:val="Bullet"/>
        <w:tabs>
          <w:tab w:val="clear" w:pos="360"/>
          <w:tab w:val="num" w:pos="1560"/>
        </w:tabs>
        <w:ind w:left="1287" w:hanging="567"/>
        <w:rPr>
          <w:rFonts w:cs="Open Sans"/>
        </w:rPr>
      </w:pPr>
      <w:r w:rsidRPr="00DA33E5">
        <w:rPr>
          <w:rFonts w:cs="Open Sans"/>
        </w:rPr>
        <w:t>general information about what actions are unlawful without a warrant or authorisation</w:t>
      </w:r>
    </w:p>
    <w:p w14:paraId="5F2A898F" w14:textId="77777777" w:rsidR="007F6541" w:rsidRPr="00DA33E5" w:rsidRDefault="007F6541" w:rsidP="007F6541">
      <w:pPr>
        <w:pStyle w:val="Bullet"/>
        <w:tabs>
          <w:tab w:val="clear" w:pos="360"/>
          <w:tab w:val="num" w:pos="1560"/>
        </w:tabs>
        <w:ind w:left="1287" w:hanging="567"/>
        <w:rPr>
          <w:rFonts w:cs="Open Sans"/>
        </w:rPr>
      </w:pPr>
      <w:r w:rsidRPr="00DA33E5">
        <w:rPr>
          <w:rFonts w:cs="Open Sans"/>
        </w:rPr>
        <w:t xml:space="preserve">whether compliance with the request or notice is voluntary or mandatory </w:t>
      </w:r>
    </w:p>
    <w:p w14:paraId="7DEC212A" w14:textId="77777777" w:rsidR="007F6541" w:rsidRPr="00DA33E5" w:rsidRDefault="007F6541" w:rsidP="007F6541">
      <w:pPr>
        <w:pStyle w:val="Bullet"/>
        <w:tabs>
          <w:tab w:val="clear" w:pos="360"/>
          <w:tab w:val="num" w:pos="1560"/>
        </w:tabs>
        <w:ind w:left="1287" w:hanging="567"/>
        <w:rPr>
          <w:rFonts w:cs="Open Sans"/>
        </w:rPr>
      </w:pPr>
      <w:r w:rsidRPr="00DA33E5">
        <w:rPr>
          <w:rFonts w:cs="Open Sans"/>
        </w:rPr>
        <w:t>that civil penalties apply to non-compliance with a notice</w:t>
      </w:r>
    </w:p>
    <w:p w14:paraId="66C14FE0" w14:textId="77777777" w:rsidR="007F6541" w:rsidRPr="00DA33E5" w:rsidRDefault="007F6541" w:rsidP="007F6541">
      <w:pPr>
        <w:pStyle w:val="Bullet"/>
        <w:tabs>
          <w:tab w:val="clear" w:pos="360"/>
          <w:tab w:val="num" w:pos="1560"/>
        </w:tabs>
        <w:ind w:left="1287" w:hanging="567"/>
        <w:rPr>
          <w:rFonts w:cs="Open Sans"/>
        </w:rPr>
      </w:pPr>
      <w:r w:rsidRPr="00DA33E5">
        <w:rPr>
          <w:rFonts w:cs="Open Sans"/>
        </w:rPr>
        <w:t>the legislative provisions which authorise the request or notice including which paragraph/s of s 317E(1) (‘listed acts or things’) are relied upon</w:t>
      </w:r>
    </w:p>
    <w:p w14:paraId="21223BE3" w14:textId="77777777" w:rsidR="007F6541" w:rsidRPr="00DA33E5" w:rsidRDefault="007F6541" w:rsidP="007F6541">
      <w:pPr>
        <w:pStyle w:val="Bullet"/>
        <w:tabs>
          <w:tab w:val="clear" w:pos="360"/>
          <w:tab w:val="num" w:pos="1560"/>
        </w:tabs>
        <w:ind w:left="1287" w:hanging="567"/>
        <w:rPr>
          <w:rFonts w:cs="Open Sans"/>
        </w:rPr>
      </w:pPr>
      <w:r w:rsidRPr="00DA33E5">
        <w:rPr>
          <w:rFonts w:cs="Open Sans"/>
        </w:rPr>
        <w:lastRenderedPageBreak/>
        <w:t>the methods of review available to the provider.</w:t>
      </w:r>
    </w:p>
    <w:p w14:paraId="39604271"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20</w:t>
      </w:r>
    </w:p>
    <w:p w14:paraId="3CE1ADC3" w14:textId="77777777" w:rsidR="007F6541" w:rsidRPr="00DA33E5" w:rsidRDefault="007F6541" w:rsidP="007F6541">
      <w:pPr>
        <w:pStyle w:val="ListNumber"/>
        <w:numPr>
          <w:ilvl w:val="0"/>
          <w:numId w:val="0"/>
        </w:numPr>
        <w:ind w:left="720"/>
        <w:rPr>
          <w:rFonts w:cs="Open Sans"/>
        </w:rPr>
      </w:pPr>
      <w:r w:rsidRPr="00DA33E5">
        <w:rPr>
          <w:rFonts w:cs="Open Sans"/>
        </w:rPr>
        <w:t xml:space="preserve">Proposed Pt 15 of the </w:t>
      </w:r>
      <w:r w:rsidRPr="00DA33E5">
        <w:rPr>
          <w:rFonts w:cs="Open Sans"/>
          <w:i/>
        </w:rPr>
        <w:t xml:space="preserve">Telecommunications Act 1997 </w:t>
      </w:r>
      <w:r w:rsidRPr="00DA33E5">
        <w:rPr>
          <w:rFonts w:cs="Open Sans"/>
        </w:rPr>
        <w:t>(Cth) be amended to require the giving of a TAR before a compulsory TAN or TCN can be given, unless exceptional and urgent circumstances exist which warrant otherwise.</w:t>
      </w:r>
    </w:p>
    <w:p w14:paraId="38D3DAF8"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21</w:t>
      </w:r>
    </w:p>
    <w:p w14:paraId="328440B9" w14:textId="77777777" w:rsidR="007F6541" w:rsidRPr="00DA33E5" w:rsidRDefault="007F6541" w:rsidP="007F6541">
      <w:pPr>
        <w:pStyle w:val="ListNumber"/>
        <w:numPr>
          <w:ilvl w:val="0"/>
          <w:numId w:val="0"/>
        </w:numPr>
        <w:ind w:left="720"/>
        <w:rPr>
          <w:rFonts w:cs="Open Sans"/>
          <w:b/>
        </w:rPr>
      </w:pPr>
      <w:r w:rsidRPr="00DA33E5">
        <w:rPr>
          <w:rFonts w:cs="Open Sans"/>
        </w:rPr>
        <w:t xml:space="preserve">Proposed ss 317G, 317L and 317T of the </w:t>
      </w:r>
      <w:r w:rsidRPr="00DA33E5">
        <w:rPr>
          <w:rFonts w:cs="Open Sans"/>
          <w:i/>
        </w:rPr>
        <w:t xml:space="preserve">Telecommunications Act 1997 </w:t>
      </w:r>
      <w:r w:rsidRPr="00DA33E5">
        <w:rPr>
          <w:rFonts w:cs="Open Sans"/>
        </w:rPr>
        <w:t>(Cth) be amended so that the ‘acts or things’ that are specified in a request or notice may not include ‘acts or things’ that would be likely to result in the provider committing an offence (other than the offences for which immunity from criminal liability is proposed in proposed ss 474.6(7) and 476.2(4)(b)(iii) of the Criminal Code) or that would be likely to cause significant loss or damage to third parties.</w:t>
      </w:r>
    </w:p>
    <w:p w14:paraId="16B3D0E0"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22</w:t>
      </w:r>
    </w:p>
    <w:p w14:paraId="0B60E8C9" w14:textId="77777777" w:rsidR="007F6541" w:rsidRPr="00DA33E5" w:rsidRDefault="007F6541" w:rsidP="007F6541">
      <w:pPr>
        <w:pStyle w:val="ListNumber"/>
        <w:numPr>
          <w:ilvl w:val="0"/>
          <w:numId w:val="0"/>
        </w:numPr>
        <w:ind w:left="720"/>
        <w:rPr>
          <w:rFonts w:cs="Open Sans"/>
        </w:rPr>
      </w:pPr>
      <w:r w:rsidRPr="00DA33E5">
        <w:rPr>
          <w:rFonts w:cs="Open Sans"/>
        </w:rPr>
        <w:t>Further, or in the alternative:</w:t>
      </w:r>
    </w:p>
    <w:p w14:paraId="1FCF1E78" w14:textId="77777777" w:rsidR="007F6541" w:rsidRPr="00DA33E5" w:rsidRDefault="007F6541" w:rsidP="007F6541">
      <w:pPr>
        <w:pStyle w:val="ListNumber"/>
        <w:numPr>
          <w:ilvl w:val="0"/>
          <w:numId w:val="108"/>
        </w:numPr>
        <w:ind w:left="1077" w:hanging="357"/>
        <w:rPr>
          <w:rFonts w:cs="Open Sans"/>
        </w:rPr>
      </w:pPr>
      <w:r w:rsidRPr="00DA33E5">
        <w:rPr>
          <w:rFonts w:cs="Open Sans"/>
        </w:rPr>
        <w:t xml:space="preserve">proposed ss 317G and 317ZJ of the </w:t>
      </w:r>
      <w:r w:rsidRPr="00DA33E5">
        <w:rPr>
          <w:rFonts w:cs="Open Sans"/>
          <w:i/>
        </w:rPr>
        <w:t xml:space="preserve">Telecommunications Act 1997 </w:t>
      </w:r>
      <w:r w:rsidRPr="00DA33E5">
        <w:rPr>
          <w:rFonts w:cs="Open Sans"/>
        </w:rPr>
        <w:t>(Cth) be amended so that the civil immunities in those sections do not to apply to conduct that would be likely to result in a provider committing an offence (other than the offences for which immunity from criminal liability is proposed in new ss 474.6(7) and 476.2(4)(b)(iii) of the Criminal Code) or to conduct that would be likely to cause significant loss or damage to third parties</w:t>
      </w:r>
    </w:p>
    <w:p w14:paraId="67D0A4F4" w14:textId="77777777" w:rsidR="007F6541" w:rsidRPr="00DA33E5" w:rsidRDefault="007F6541" w:rsidP="007F6541">
      <w:pPr>
        <w:pStyle w:val="ListNumber"/>
        <w:numPr>
          <w:ilvl w:val="0"/>
          <w:numId w:val="108"/>
        </w:numPr>
        <w:ind w:left="1077" w:hanging="357"/>
        <w:rPr>
          <w:rFonts w:cs="Open Sans"/>
        </w:rPr>
      </w:pPr>
      <w:r w:rsidRPr="00DA33E5">
        <w:rPr>
          <w:rFonts w:cs="Open Sans"/>
        </w:rPr>
        <w:t>the Bill provide that it is a defence to proceedings for breach of a technical assistance notice or a technical capability notice that compliance with the notice would have been likely to result in the provider committing an offence (other than the offences for which immunity from criminal liability is proposed in new ss 474.6(7) and 476.2(4)(b)(iii) of the Criminal Code) or that would be likely to cause significant loss or damage to third parties.</w:t>
      </w:r>
    </w:p>
    <w:p w14:paraId="4A5509CB"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23</w:t>
      </w:r>
    </w:p>
    <w:p w14:paraId="3B6592D4" w14:textId="77777777" w:rsidR="007F6541" w:rsidRPr="00DA33E5" w:rsidRDefault="007F6541" w:rsidP="007F6541">
      <w:pPr>
        <w:pStyle w:val="ListNumber"/>
        <w:numPr>
          <w:ilvl w:val="0"/>
          <w:numId w:val="0"/>
        </w:numPr>
        <w:ind w:left="720"/>
        <w:rPr>
          <w:rFonts w:cs="Open Sans"/>
        </w:rPr>
      </w:pPr>
      <w:r w:rsidRPr="00DA33E5">
        <w:rPr>
          <w:rFonts w:cs="Open Sans"/>
        </w:rPr>
        <w:t>The Department seek further advice as to the appropriateness of providing criminal immunities for voluntary conduct engaged in in accordance with a Technical Assistance Request.</w:t>
      </w:r>
    </w:p>
    <w:p w14:paraId="42BE9FF0"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24</w:t>
      </w:r>
    </w:p>
    <w:p w14:paraId="260A9A9F" w14:textId="77777777" w:rsidR="007F6541" w:rsidRPr="00DA33E5" w:rsidRDefault="007F6541" w:rsidP="007F6541">
      <w:pPr>
        <w:pStyle w:val="ListNumber"/>
        <w:numPr>
          <w:ilvl w:val="0"/>
          <w:numId w:val="0"/>
        </w:numPr>
        <w:ind w:left="720"/>
        <w:rPr>
          <w:rFonts w:cs="Open Sans"/>
        </w:rPr>
      </w:pPr>
      <w:r w:rsidRPr="00DA33E5">
        <w:rPr>
          <w:rFonts w:cs="Open Sans"/>
        </w:rPr>
        <w:t xml:space="preserve">The Bill be amended to require agencies to report to a relevant oversight body on instances where a civil immunity under proposed ss 317G or 317ZJ of the </w:t>
      </w:r>
      <w:r w:rsidRPr="00DA33E5">
        <w:rPr>
          <w:rFonts w:cs="Open Sans"/>
          <w:i/>
        </w:rPr>
        <w:t xml:space="preserve">Telecommunications Act 1997 </w:t>
      </w:r>
      <w:r w:rsidRPr="00DA33E5">
        <w:rPr>
          <w:rFonts w:cs="Open Sans"/>
        </w:rPr>
        <w:t xml:space="preserve">(Cth) or criminal immunity under </w:t>
      </w:r>
      <w:r w:rsidRPr="00DA33E5">
        <w:rPr>
          <w:rFonts w:cs="Open Sans"/>
        </w:rPr>
        <w:lastRenderedPageBreak/>
        <w:t>ss 474.6(7A) or 476.2(4)(b)(iv)–(vi) of the Criminal Code is engaged, and a provider’s conduct has caused significant loss of or damage to property, or significant financial loss, or constitutes an offence including conduct that would otherwise constitute a relevant telecommunications or computer offence.</w:t>
      </w:r>
    </w:p>
    <w:p w14:paraId="7FDA96D5"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25</w:t>
      </w:r>
    </w:p>
    <w:p w14:paraId="7FD957BF" w14:textId="77777777" w:rsidR="007F6541" w:rsidRPr="00DA33E5" w:rsidRDefault="007F6541" w:rsidP="007F6541">
      <w:pPr>
        <w:pStyle w:val="ListNumber"/>
        <w:numPr>
          <w:ilvl w:val="0"/>
          <w:numId w:val="0"/>
        </w:numPr>
        <w:ind w:left="720"/>
        <w:rPr>
          <w:rFonts w:cs="Open Sans"/>
        </w:rPr>
      </w:pPr>
      <w:r w:rsidRPr="00DA33E5">
        <w:rPr>
          <w:rFonts w:cs="Open Sans"/>
        </w:rPr>
        <w:t xml:space="preserve">Serious consideration be given to amending proposed s 317ZF(1) of the </w:t>
      </w:r>
      <w:r w:rsidRPr="00DA33E5">
        <w:rPr>
          <w:rFonts w:cs="Open Sans"/>
          <w:i/>
        </w:rPr>
        <w:t xml:space="preserve">Telecommunications Act 1997 </w:t>
      </w:r>
      <w:r w:rsidRPr="00DA33E5">
        <w:rPr>
          <w:rFonts w:cs="Open Sans"/>
        </w:rPr>
        <w:t>(Cth) to include an express requirement of harm, to provide that it is an offence to make an unauthorised disclosure of information that harms, or that is reasonably likely to harm, an essential public interest.</w:t>
      </w:r>
    </w:p>
    <w:p w14:paraId="500829A8"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26</w:t>
      </w:r>
    </w:p>
    <w:p w14:paraId="6432E1D4" w14:textId="77777777" w:rsidR="007F6541" w:rsidRPr="00DA33E5" w:rsidRDefault="007F6541" w:rsidP="007F6541">
      <w:pPr>
        <w:pStyle w:val="ListNumber"/>
        <w:numPr>
          <w:ilvl w:val="0"/>
          <w:numId w:val="0"/>
        </w:numPr>
        <w:ind w:left="720"/>
        <w:rPr>
          <w:rFonts w:cs="Open Sans"/>
        </w:rPr>
      </w:pPr>
      <w:r w:rsidRPr="00DA33E5">
        <w:rPr>
          <w:rFonts w:cs="Open Sans"/>
        </w:rPr>
        <w:t xml:space="preserve">Serious consideration be given to amending proposed s 317ZF(2)–(3) of the </w:t>
      </w:r>
      <w:r w:rsidRPr="00DA33E5">
        <w:rPr>
          <w:rFonts w:cs="Open Sans"/>
          <w:i/>
        </w:rPr>
        <w:t xml:space="preserve">Telecommunications Act 1997 </w:t>
      </w:r>
      <w:r w:rsidRPr="00DA33E5">
        <w:rPr>
          <w:rFonts w:cs="Open Sans"/>
        </w:rPr>
        <w:t>(Cth) to authorise the disclosure of human rights violations made in good faith in the public interest.</w:t>
      </w:r>
    </w:p>
    <w:p w14:paraId="0F0E6D04"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Recommendations 27</w:t>
      </w:r>
    </w:p>
    <w:p w14:paraId="3778F49E" w14:textId="77777777" w:rsidR="007F6541" w:rsidRPr="00DA33E5" w:rsidRDefault="007F6541" w:rsidP="007F6541">
      <w:pPr>
        <w:pStyle w:val="ListNumber"/>
        <w:numPr>
          <w:ilvl w:val="0"/>
          <w:numId w:val="0"/>
        </w:numPr>
        <w:ind w:left="720"/>
        <w:rPr>
          <w:rFonts w:cs="Open Sans"/>
        </w:rPr>
      </w:pPr>
      <w:r w:rsidRPr="00DA33E5">
        <w:rPr>
          <w:rFonts w:cs="Open Sans"/>
        </w:rPr>
        <w:t xml:space="preserve">Serious consideration be given to amending proposed s 317ZF of the </w:t>
      </w:r>
      <w:r w:rsidRPr="00DA33E5">
        <w:rPr>
          <w:rFonts w:cs="Open Sans"/>
          <w:i/>
        </w:rPr>
        <w:t xml:space="preserve">Telecommunications Act 1997 </w:t>
      </w:r>
      <w:r w:rsidRPr="00DA33E5">
        <w:rPr>
          <w:rFonts w:cs="Open Sans"/>
        </w:rPr>
        <w:t xml:space="preserve">(Cth), to explicitly allow for disclosure of information in accordance with the PID Act, the FOI Act, and for other integrity purposes, including to the Ombudsman and ACLEI in relation to activities of agencies that do not fall within the ambit of the IGIS Act. </w:t>
      </w:r>
    </w:p>
    <w:p w14:paraId="364D13C9"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28</w:t>
      </w:r>
    </w:p>
    <w:p w14:paraId="45FCDD50" w14:textId="77777777" w:rsidR="007F6541" w:rsidRPr="00DA33E5" w:rsidRDefault="007F6541" w:rsidP="007F6541">
      <w:pPr>
        <w:pStyle w:val="ListNumber"/>
        <w:numPr>
          <w:ilvl w:val="0"/>
          <w:numId w:val="0"/>
        </w:numPr>
        <w:ind w:left="720"/>
        <w:rPr>
          <w:rFonts w:cs="Open Sans"/>
        </w:rPr>
      </w:pPr>
      <w:r w:rsidRPr="00DA33E5">
        <w:rPr>
          <w:rFonts w:cs="Open Sans"/>
        </w:rPr>
        <w:t xml:space="preserve">Proposed new Pt 15 of the </w:t>
      </w:r>
      <w:r w:rsidRPr="00DA33E5">
        <w:rPr>
          <w:rFonts w:cs="Open Sans"/>
          <w:i/>
        </w:rPr>
        <w:t xml:space="preserve">Telecommunications Act 1997 </w:t>
      </w:r>
      <w:r w:rsidRPr="00DA33E5">
        <w:rPr>
          <w:rFonts w:cs="Open Sans"/>
        </w:rPr>
        <w:t>(Cth) be amended to require judicial authorisation for the giving or varying of notices, potentially through existing warrant processes or otherwise through another form of independent judicial oversight.</w:t>
      </w:r>
    </w:p>
    <w:p w14:paraId="10C310FE"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29</w:t>
      </w:r>
    </w:p>
    <w:p w14:paraId="266FAC54" w14:textId="77777777" w:rsidR="007F6541" w:rsidRPr="00DA33E5" w:rsidRDefault="007F6541" w:rsidP="007F6541">
      <w:pPr>
        <w:pStyle w:val="ListNumber"/>
        <w:numPr>
          <w:ilvl w:val="0"/>
          <w:numId w:val="0"/>
        </w:numPr>
        <w:ind w:left="720"/>
        <w:rPr>
          <w:rFonts w:cs="Open Sans"/>
        </w:rPr>
      </w:pPr>
      <w:r w:rsidRPr="00DA33E5">
        <w:rPr>
          <w:rFonts w:cs="Open Sans"/>
        </w:rPr>
        <w:t xml:space="preserve">In the event that Recommendation 28 is not accepted, proposed ss 317ZN–ZR of the </w:t>
      </w:r>
      <w:r w:rsidRPr="00DA33E5">
        <w:rPr>
          <w:rFonts w:cs="Open Sans"/>
          <w:i/>
        </w:rPr>
        <w:t xml:space="preserve">Telecommunications Act 1997 </w:t>
      </w:r>
      <w:r w:rsidRPr="00DA33E5">
        <w:rPr>
          <w:rFonts w:cs="Open Sans"/>
        </w:rPr>
        <w:t>(Cth) be amended to restrict delegations of power to a further limited range of senior executives, for example persons who are directly responsible to the relevant chief officer.</w:t>
      </w:r>
    </w:p>
    <w:p w14:paraId="2532D401"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30</w:t>
      </w:r>
    </w:p>
    <w:p w14:paraId="29FBFAC3" w14:textId="77777777" w:rsidR="007F6541" w:rsidRPr="00DA33E5" w:rsidRDefault="007F6541" w:rsidP="007F6541">
      <w:pPr>
        <w:pStyle w:val="ListNumber"/>
        <w:numPr>
          <w:ilvl w:val="0"/>
          <w:numId w:val="0"/>
        </w:numPr>
        <w:ind w:left="720"/>
        <w:rPr>
          <w:rFonts w:cs="Open Sans"/>
        </w:rPr>
      </w:pPr>
      <w:r w:rsidRPr="00DA33E5">
        <w:rPr>
          <w:rFonts w:cs="Open Sans"/>
        </w:rPr>
        <w:t xml:space="preserve">The Bill should be amended to allow </w:t>
      </w:r>
      <w:r w:rsidRPr="00DA33E5">
        <w:rPr>
          <w:rFonts w:cs="Open Sans"/>
          <w:i/>
        </w:rPr>
        <w:t xml:space="preserve">Administrative Decisions (Judicial Review) Act 1977 </w:t>
      </w:r>
      <w:r w:rsidRPr="00DA33E5">
        <w:rPr>
          <w:rFonts w:cs="Open Sans"/>
        </w:rPr>
        <w:t xml:space="preserve">(Cth) review of all or some decisions made under proposed Pt 15 of the </w:t>
      </w:r>
      <w:r w:rsidRPr="00DA33E5">
        <w:rPr>
          <w:rFonts w:cs="Open Sans"/>
          <w:i/>
        </w:rPr>
        <w:t xml:space="preserve">Telecommunications Act 1997 </w:t>
      </w:r>
      <w:r w:rsidRPr="00DA33E5">
        <w:rPr>
          <w:rFonts w:cs="Open Sans"/>
        </w:rPr>
        <w:t>(Cth).</w:t>
      </w:r>
    </w:p>
    <w:p w14:paraId="42CFE0DC" w14:textId="77777777" w:rsidR="007F6541" w:rsidRPr="00DA33E5" w:rsidRDefault="007F6541" w:rsidP="007F6541">
      <w:pPr>
        <w:pStyle w:val="ListNumber"/>
        <w:keepNext/>
        <w:numPr>
          <w:ilvl w:val="0"/>
          <w:numId w:val="0"/>
        </w:numPr>
        <w:ind w:left="720"/>
        <w:rPr>
          <w:rFonts w:cs="Open Sans"/>
          <w:b/>
        </w:rPr>
      </w:pPr>
      <w:r w:rsidRPr="00DA33E5">
        <w:rPr>
          <w:rFonts w:cs="Open Sans"/>
          <w:b/>
        </w:rPr>
        <w:lastRenderedPageBreak/>
        <w:t>Recommendation 31</w:t>
      </w:r>
    </w:p>
    <w:p w14:paraId="3BF21F7B" w14:textId="77777777" w:rsidR="007F6541" w:rsidRPr="00DA33E5" w:rsidRDefault="007F6541" w:rsidP="007F6541">
      <w:pPr>
        <w:pStyle w:val="ListNumber"/>
        <w:numPr>
          <w:ilvl w:val="0"/>
          <w:numId w:val="0"/>
        </w:numPr>
        <w:ind w:left="720"/>
        <w:rPr>
          <w:rFonts w:cs="Open Sans"/>
        </w:rPr>
      </w:pPr>
      <w:r w:rsidRPr="00DA33E5">
        <w:rPr>
          <w:rFonts w:cs="Open Sans"/>
        </w:rPr>
        <w:t xml:space="preserve">Proposed Pt 15 of the </w:t>
      </w:r>
      <w:r w:rsidRPr="00DA33E5">
        <w:rPr>
          <w:rFonts w:cs="Open Sans"/>
          <w:i/>
        </w:rPr>
        <w:t xml:space="preserve">Telecommunications Act 1997 </w:t>
      </w:r>
      <w:r w:rsidRPr="00DA33E5">
        <w:rPr>
          <w:rFonts w:cs="Open Sans"/>
        </w:rPr>
        <w:t>(Cth) be amended to provide an avenue or mechanism for the administrative review of decisions made under Pt 15.</w:t>
      </w:r>
    </w:p>
    <w:p w14:paraId="52AE7711"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32</w:t>
      </w:r>
    </w:p>
    <w:p w14:paraId="0A1AA8A9" w14:textId="77777777" w:rsidR="007F6541" w:rsidRPr="00DA33E5" w:rsidRDefault="007F6541" w:rsidP="007F6541">
      <w:pPr>
        <w:pStyle w:val="ListNumber"/>
        <w:numPr>
          <w:ilvl w:val="0"/>
          <w:numId w:val="0"/>
        </w:numPr>
        <w:ind w:left="720"/>
        <w:rPr>
          <w:rFonts w:cs="Open Sans"/>
        </w:rPr>
      </w:pPr>
      <w:r w:rsidRPr="00DA33E5">
        <w:rPr>
          <w:rFonts w:cs="Open Sans"/>
        </w:rPr>
        <w:t xml:space="preserve">Proposed s 317ZS of the </w:t>
      </w:r>
      <w:r w:rsidRPr="00DA33E5">
        <w:rPr>
          <w:rFonts w:cs="Open Sans"/>
          <w:i/>
        </w:rPr>
        <w:t xml:space="preserve">Telecommunications Act 1997 </w:t>
      </w:r>
      <w:r w:rsidRPr="00DA33E5">
        <w:rPr>
          <w:rFonts w:cs="Open Sans"/>
        </w:rPr>
        <w:t xml:space="preserve">(Cth) be amended to require public reporting of more detailed statistical and other information about requests and notices under proposed new Pt 15 of the </w:t>
      </w:r>
      <w:r w:rsidRPr="00DA33E5">
        <w:rPr>
          <w:rFonts w:cs="Open Sans"/>
          <w:i/>
        </w:rPr>
        <w:t xml:space="preserve">Telecommunications Act 1997 </w:t>
      </w:r>
      <w:r w:rsidRPr="00DA33E5">
        <w:rPr>
          <w:rFonts w:cs="Open Sans"/>
        </w:rPr>
        <w:t xml:space="preserve">(Cth), including: the number of requests and notices considered, given, varied, revoked, expired and refused or challenged; the durations of the requests and notices given; the types of acts or things done by providers in compliance with a request or notice; the number of requests that were refused and then compelled by way of a notice in the same or similar terms; the number of </w:t>
      </w:r>
      <w:r w:rsidRPr="00DA33E5">
        <w:rPr>
          <w:rFonts w:cs="Open Sans"/>
          <w:shd w:val="clear" w:color="auto" w:fill="FFFFFF"/>
          <w:lang w:eastAsia="en-US"/>
        </w:rPr>
        <w:t>arrests made as a consequence of assistance; the number of prosecutions for relevant offences commenced; and the expenditure of agencies in relation to requests and notices</w:t>
      </w:r>
      <w:r w:rsidRPr="00DA33E5">
        <w:rPr>
          <w:rFonts w:cs="Open Sans"/>
        </w:rPr>
        <w:t>.</w:t>
      </w:r>
    </w:p>
    <w:p w14:paraId="3BC51AEF"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33</w:t>
      </w:r>
    </w:p>
    <w:p w14:paraId="13A71DDD" w14:textId="77777777" w:rsidR="007F6541" w:rsidRPr="00DA33E5" w:rsidRDefault="007F6541" w:rsidP="007F6541">
      <w:pPr>
        <w:pStyle w:val="ListNumber"/>
        <w:numPr>
          <w:ilvl w:val="0"/>
          <w:numId w:val="0"/>
        </w:numPr>
        <w:ind w:left="720"/>
        <w:rPr>
          <w:rFonts w:cs="Open Sans"/>
        </w:rPr>
      </w:pPr>
      <w:r w:rsidRPr="00DA33E5">
        <w:rPr>
          <w:rFonts w:cs="Open Sans"/>
        </w:rPr>
        <w:t xml:space="preserve">Proposed s 317ZS of the </w:t>
      </w:r>
      <w:r w:rsidRPr="00DA33E5">
        <w:rPr>
          <w:rFonts w:cs="Open Sans"/>
          <w:i/>
        </w:rPr>
        <w:t xml:space="preserve">Telecommunications Act 1997 </w:t>
      </w:r>
      <w:r w:rsidRPr="00DA33E5">
        <w:rPr>
          <w:rFonts w:cs="Open Sans"/>
        </w:rPr>
        <w:t xml:space="preserve">(Cth) be amended to require reporting by all agencies that are empowered to give requests and notices under proposed new Pt 15 of the </w:t>
      </w:r>
      <w:r w:rsidRPr="00DA33E5">
        <w:rPr>
          <w:rFonts w:cs="Open Sans"/>
          <w:i/>
        </w:rPr>
        <w:t xml:space="preserve">Telecommunications Act 1997 </w:t>
      </w:r>
      <w:r w:rsidRPr="00DA33E5">
        <w:rPr>
          <w:rFonts w:cs="Open Sans"/>
        </w:rPr>
        <w:t>(Cth), not just ‘interception agencies’.</w:t>
      </w:r>
    </w:p>
    <w:p w14:paraId="0D31755D"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34</w:t>
      </w:r>
    </w:p>
    <w:p w14:paraId="3D702E9A" w14:textId="77777777" w:rsidR="007F6541" w:rsidRPr="00DA33E5" w:rsidRDefault="007F6541" w:rsidP="007F6541">
      <w:pPr>
        <w:pStyle w:val="ListNumber"/>
        <w:numPr>
          <w:ilvl w:val="0"/>
          <w:numId w:val="0"/>
        </w:numPr>
        <w:ind w:left="720"/>
        <w:rPr>
          <w:rFonts w:cs="Open Sans"/>
        </w:rPr>
      </w:pPr>
      <w:r w:rsidRPr="00DA33E5">
        <w:rPr>
          <w:rFonts w:cs="Open Sans"/>
        </w:rPr>
        <w:t xml:space="preserve">Proposed ss 27E(2)(b) and 27E(7)(e) of the </w:t>
      </w:r>
      <w:r w:rsidRPr="00DA33E5">
        <w:rPr>
          <w:rFonts w:cs="Open Sans"/>
          <w:i/>
        </w:rPr>
        <w:t xml:space="preserve">Surveillance </w:t>
      </w:r>
      <w:r w:rsidRPr="00DA33E5">
        <w:rPr>
          <w:rFonts w:cs="Open Sans"/>
        </w:rPr>
        <w:t>Devices</w:t>
      </w:r>
      <w:r w:rsidRPr="00DA33E5">
        <w:rPr>
          <w:rFonts w:cs="Open Sans"/>
          <w:i/>
        </w:rPr>
        <w:t xml:space="preserve"> Act 2004</w:t>
      </w:r>
      <w:r w:rsidRPr="00DA33E5">
        <w:rPr>
          <w:rFonts w:cs="Open Sans"/>
        </w:rPr>
        <w:t xml:space="preserve"> (Cth) be amended to ensure that a computer access warrant may only authorise access to third party premises where it is </w:t>
      </w:r>
      <w:r w:rsidRPr="00DA33E5">
        <w:rPr>
          <w:rFonts w:cs="Open Sans"/>
          <w:i/>
        </w:rPr>
        <w:t>necessary</w:t>
      </w:r>
      <w:r w:rsidRPr="00DA33E5">
        <w:rPr>
          <w:rFonts w:cs="Open Sans"/>
        </w:rPr>
        <w:t xml:space="preserve"> to execute the warrant or to conceal the execution of the warrant.</w:t>
      </w:r>
    </w:p>
    <w:p w14:paraId="13B89E2B"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35</w:t>
      </w:r>
    </w:p>
    <w:p w14:paraId="2C989164" w14:textId="77777777" w:rsidR="007F6541" w:rsidRPr="00DA33E5" w:rsidRDefault="007F6541" w:rsidP="007F6541">
      <w:pPr>
        <w:pStyle w:val="ListNumber"/>
        <w:numPr>
          <w:ilvl w:val="0"/>
          <w:numId w:val="0"/>
        </w:numPr>
        <w:ind w:left="720"/>
        <w:rPr>
          <w:rFonts w:cs="Open Sans"/>
        </w:rPr>
      </w:pPr>
      <w:r w:rsidRPr="00DA33E5">
        <w:rPr>
          <w:rFonts w:cs="Open Sans"/>
        </w:rPr>
        <w:t xml:space="preserve">Sections 25A(4)(aaa) and 27E(2)(b) and proposed ss 25A(8)(e), 27A(3C)(e) and 27E(6)(e) of the </w:t>
      </w:r>
      <w:r w:rsidRPr="00DA33E5">
        <w:rPr>
          <w:rFonts w:cs="Open Sans"/>
          <w:i/>
        </w:rPr>
        <w:t>Australian Security Intelligence Organisation Act 1979</w:t>
      </w:r>
      <w:r w:rsidRPr="00DA33E5">
        <w:rPr>
          <w:rFonts w:cs="Open Sans"/>
        </w:rPr>
        <w:t xml:space="preserve"> (Cth) be amended to ensure that a computer access warrant (or either a foreign intelligence warrant or an identified person warrant that permits computer access) may only authorise access to third party premises where it is </w:t>
      </w:r>
      <w:r w:rsidRPr="00DA33E5">
        <w:rPr>
          <w:rFonts w:cs="Open Sans"/>
          <w:i/>
        </w:rPr>
        <w:t>necessary</w:t>
      </w:r>
      <w:r w:rsidRPr="00DA33E5">
        <w:rPr>
          <w:rFonts w:cs="Open Sans"/>
        </w:rPr>
        <w:t xml:space="preserve"> to execute the warrant or to conceal the execution of the warrant.</w:t>
      </w:r>
    </w:p>
    <w:p w14:paraId="740E84E3"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36</w:t>
      </w:r>
    </w:p>
    <w:p w14:paraId="6C0CF751" w14:textId="77777777" w:rsidR="007F6541" w:rsidRPr="00DA33E5" w:rsidRDefault="007F6541" w:rsidP="007F6541">
      <w:pPr>
        <w:pStyle w:val="ListNumber"/>
        <w:numPr>
          <w:ilvl w:val="0"/>
          <w:numId w:val="0"/>
        </w:numPr>
        <w:ind w:left="720"/>
        <w:rPr>
          <w:rFonts w:cs="Open Sans"/>
        </w:rPr>
      </w:pPr>
      <w:r w:rsidRPr="00DA33E5">
        <w:rPr>
          <w:rFonts w:cs="Open Sans"/>
        </w:rPr>
        <w:t xml:space="preserve">Warrants relating to computer access under the </w:t>
      </w:r>
      <w:r w:rsidRPr="00DA33E5">
        <w:rPr>
          <w:rFonts w:cs="Open Sans"/>
          <w:i/>
        </w:rPr>
        <w:t xml:space="preserve">Australian Security Intelligence Organisation Act 1979 </w:t>
      </w:r>
      <w:r w:rsidRPr="00DA33E5">
        <w:rPr>
          <w:rFonts w:cs="Open Sans"/>
        </w:rPr>
        <w:t xml:space="preserve">(Cth), the </w:t>
      </w:r>
      <w:r w:rsidRPr="00DA33E5">
        <w:rPr>
          <w:rFonts w:cs="Open Sans"/>
          <w:i/>
        </w:rPr>
        <w:t>Surveillance Devices Act 2004</w:t>
      </w:r>
      <w:r w:rsidRPr="00DA33E5">
        <w:rPr>
          <w:rFonts w:cs="Open Sans"/>
        </w:rPr>
        <w:t xml:space="preserve"> </w:t>
      </w:r>
      <w:r w:rsidRPr="00DA33E5">
        <w:rPr>
          <w:rFonts w:cs="Open Sans"/>
        </w:rPr>
        <w:lastRenderedPageBreak/>
        <w:t xml:space="preserve">(Cth), the </w:t>
      </w:r>
      <w:r w:rsidRPr="00DA33E5">
        <w:rPr>
          <w:rFonts w:cs="Open Sans"/>
          <w:i/>
        </w:rPr>
        <w:t>Crimes Act 1914</w:t>
      </w:r>
      <w:r w:rsidRPr="00DA33E5">
        <w:rPr>
          <w:rFonts w:cs="Open Sans"/>
        </w:rPr>
        <w:t xml:space="preserve"> (Cth) and the </w:t>
      </w:r>
      <w:r w:rsidRPr="00DA33E5">
        <w:rPr>
          <w:rFonts w:cs="Open Sans"/>
          <w:i/>
        </w:rPr>
        <w:t>Customs Act 1901</w:t>
      </w:r>
      <w:r w:rsidRPr="00DA33E5">
        <w:rPr>
          <w:rFonts w:cs="Open Sans"/>
        </w:rPr>
        <w:t xml:space="preserve"> (Cth) should only authorise access to third party computers or communications in transit where the issuing authority is satisfied that access is necessary in all the circumstances, having regard to other methods of obtaining access to the data which are as likely to be as effective, and having regard to the human rights of the third party, including their right to privacy. </w:t>
      </w:r>
    </w:p>
    <w:p w14:paraId="4878CC32"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37</w:t>
      </w:r>
    </w:p>
    <w:p w14:paraId="5D3E780C" w14:textId="77777777" w:rsidR="007F6541" w:rsidRPr="00DA33E5" w:rsidRDefault="007F6541" w:rsidP="007F6541">
      <w:pPr>
        <w:pStyle w:val="ListNumber"/>
        <w:numPr>
          <w:ilvl w:val="0"/>
          <w:numId w:val="0"/>
        </w:numPr>
        <w:ind w:left="720"/>
        <w:rPr>
          <w:rFonts w:cs="Open Sans"/>
        </w:rPr>
      </w:pPr>
      <w:r w:rsidRPr="00DA33E5">
        <w:rPr>
          <w:rFonts w:cs="Open Sans"/>
        </w:rPr>
        <w:t xml:space="preserve">An issuing authority for a warrant relating to computer access under the </w:t>
      </w:r>
      <w:r w:rsidRPr="00DA33E5">
        <w:rPr>
          <w:rFonts w:cs="Open Sans"/>
          <w:i/>
        </w:rPr>
        <w:t xml:space="preserve">Australian Security Intelligence Organisation Act 1979 </w:t>
      </w:r>
      <w:r w:rsidRPr="00DA33E5">
        <w:rPr>
          <w:rFonts w:cs="Open Sans"/>
        </w:rPr>
        <w:t>(Cth), the</w:t>
      </w:r>
      <w:r w:rsidRPr="00DA33E5">
        <w:rPr>
          <w:rFonts w:cs="Open Sans"/>
          <w:i/>
        </w:rPr>
        <w:t xml:space="preserve"> Surveillance Devices Act 2004</w:t>
      </w:r>
      <w:r w:rsidRPr="00DA33E5">
        <w:rPr>
          <w:rFonts w:cs="Open Sans"/>
        </w:rPr>
        <w:t xml:space="preserve"> (Cth), the </w:t>
      </w:r>
      <w:r w:rsidRPr="00DA33E5">
        <w:rPr>
          <w:rFonts w:cs="Open Sans"/>
          <w:i/>
        </w:rPr>
        <w:t>Crimes Act 1914</w:t>
      </w:r>
      <w:r w:rsidRPr="00DA33E5">
        <w:rPr>
          <w:rFonts w:cs="Open Sans"/>
        </w:rPr>
        <w:t xml:space="preserve"> (Cth) or the </w:t>
      </w:r>
      <w:r w:rsidRPr="00DA33E5">
        <w:rPr>
          <w:rFonts w:cs="Open Sans"/>
          <w:i/>
        </w:rPr>
        <w:t>Customs Act 1901</w:t>
      </w:r>
      <w:r w:rsidRPr="00DA33E5">
        <w:rPr>
          <w:rFonts w:cs="Open Sans"/>
        </w:rPr>
        <w:t xml:space="preserve"> (Cth) should be required to consider the human rights of any third party, including their right to privacy, and should only allow access to third party computers or communications in transit if satisfied that the limits on their human rights are proportionate. </w:t>
      </w:r>
    </w:p>
    <w:p w14:paraId="4090550D"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38</w:t>
      </w:r>
    </w:p>
    <w:p w14:paraId="7C1BB4C0" w14:textId="77777777" w:rsidR="007F6541" w:rsidRPr="00DA33E5" w:rsidRDefault="007F6541" w:rsidP="007F6541">
      <w:pPr>
        <w:pStyle w:val="ListNumber"/>
        <w:numPr>
          <w:ilvl w:val="0"/>
          <w:numId w:val="0"/>
        </w:numPr>
        <w:ind w:left="720"/>
        <w:rPr>
          <w:rFonts w:cs="Open Sans"/>
        </w:rPr>
      </w:pPr>
      <w:r w:rsidRPr="00DA33E5">
        <w:rPr>
          <w:rFonts w:cs="Open Sans"/>
        </w:rPr>
        <w:t xml:space="preserve">Proposed s 27E(7)(k) of the </w:t>
      </w:r>
      <w:r w:rsidRPr="00DA33E5">
        <w:rPr>
          <w:rFonts w:cs="Open Sans"/>
          <w:i/>
        </w:rPr>
        <w:t>Surveillance Devices Act 2004</w:t>
      </w:r>
      <w:r w:rsidRPr="00DA33E5">
        <w:rPr>
          <w:rFonts w:cs="Open Sans"/>
        </w:rPr>
        <w:t xml:space="preserve"> (Cth) be deleted. If it is not reasonably practicable for ‘concealment of access’ to occur while the computer access warrant is in effect, or within 28 days of its expiry, the Commission recommends that provision be made in the legislation for law enforcement authorities to return to an eligible Judge or nominated AAT member for further authorisation.</w:t>
      </w:r>
    </w:p>
    <w:p w14:paraId="4DF23292"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39</w:t>
      </w:r>
    </w:p>
    <w:p w14:paraId="5F8AD897" w14:textId="77777777" w:rsidR="007F6541" w:rsidRPr="00DA33E5" w:rsidRDefault="007F6541" w:rsidP="007F6541">
      <w:pPr>
        <w:pStyle w:val="ListNumber"/>
        <w:numPr>
          <w:ilvl w:val="0"/>
          <w:numId w:val="0"/>
        </w:numPr>
        <w:ind w:left="720"/>
        <w:rPr>
          <w:rFonts w:cs="Open Sans"/>
        </w:rPr>
      </w:pPr>
      <w:r w:rsidRPr="00DA33E5">
        <w:rPr>
          <w:rFonts w:cs="Open Sans"/>
        </w:rPr>
        <w:t xml:space="preserve">Proposed ss 25A(8)(k), 27A(3C)(k) and 27E(6)(k) of the </w:t>
      </w:r>
      <w:r w:rsidRPr="00DA33E5">
        <w:rPr>
          <w:rFonts w:cs="Open Sans"/>
          <w:i/>
        </w:rPr>
        <w:t xml:space="preserve">Australian Security Intelligence Organisation Act 1979 </w:t>
      </w:r>
      <w:r w:rsidRPr="00DA33E5">
        <w:rPr>
          <w:rFonts w:cs="Open Sans"/>
        </w:rPr>
        <w:t>(Cth) be deleted. If it is not reasonably practicable for ‘concealment of access’ to occur while the warrant is in effect, or within 28 days of its expiry, the Commission recommends that provision be made in the legislation for ASIO to return to the Attorney-General (or Director-General in the case of an identified person warrant) for further authorisation.</w:t>
      </w:r>
    </w:p>
    <w:p w14:paraId="6CA3F29E"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40</w:t>
      </w:r>
    </w:p>
    <w:p w14:paraId="689F8877"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The limitations set out in ss 25A(5), 27A(1) and 27E(5) of the </w:t>
      </w:r>
      <w:r w:rsidRPr="00DA33E5">
        <w:rPr>
          <w:rFonts w:cs="Open Sans"/>
          <w:i/>
        </w:rPr>
        <w:t xml:space="preserve">Australian Security Intelligence Organisation Act 1979 </w:t>
      </w:r>
      <w:r w:rsidRPr="00DA33E5">
        <w:rPr>
          <w:rFonts w:cs="Open Sans"/>
        </w:rPr>
        <w:t>(Cth) on activities authorised under a computer access warrant or a foreign intelligence warrant or identified person warrant that permits computer access, be extended to the concealment activities under these warrants in proposed ss 25A(8), 27A(3C) and 27E(6).</w:t>
      </w:r>
    </w:p>
    <w:p w14:paraId="4B431AD1"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lastRenderedPageBreak/>
        <w:t>Recommendation 41</w:t>
      </w:r>
    </w:p>
    <w:p w14:paraId="686898BE"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 27E(5) of the </w:t>
      </w:r>
      <w:r w:rsidRPr="00DA33E5">
        <w:rPr>
          <w:rFonts w:cs="Open Sans"/>
          <w:i/>
        </w:rPr>
        <w:t>Surveillance Devices Act 2004</w:t>
      </w:r>
      <w:r w:rsidRPr="00DA33E5">
        <w:rPr>
          <w:rFonts w:cs="Open Sans"/>
        </w:rPr>
        <w:t xml:space="preserve"> (Cth) be amended so that the limitations on the activities authorised under a computer access warrant also extend to the concealment activities in proposed s 27E(7).</w:t>
      </w:r>
    </w:p>
    <w:p w14:paraId="0FB8A28B"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42</w:t>
      </w:r>
    </w:p>
    <w:p w14:paraId="39406917" w14:textId="77777777" w:rsidR="007F6541" w:rsidRPr="00DA33E5" w:rsidRDefault="007F6541" w:rsidP="007F6541">
      <w:pPr>
        <w:pStyle w:val="ListNumber"/>
        <w:numPr>
          <w:ilvl w:val="0"/>
          <w:numId w:val="0"/>
        </w:numPr>
        <w:ind w:left="720"/>
        <w:rPr>
          <w:rFonts w:cs="Open Sans"/>
        </w:rPr>
      </w:pPr>
      <w:r w:rsidRPr="00DA33E5">
        <w:rPr>
          <w:rFonts w:cs="Open Sans"/>
        </w:rPr>
        <w:t xml:space="preserve">The authorisation of telecommunications interception under proposed s 25A(4)(ba) of the </w:t>
      </w:r>
      <w:r w:rsidRPr="00DA33E5">
        <w:rPr>
          <w:rFonts w:cs="Open Sans"/>
          <w:i/>
        </w:rPr>
        <w:t>Australian Security Intelligence Organisation Act 1979</w:t>
      </w:r>
      <w:r w:rsidRPr="00DA33E5">
        <w:rPr>
          <w:rFonts w:cs="Open Sans"/>
        </w:rPr>
        <w:t xml:space="preserve"> (Cth) be limited to interception for the purposes of doing the things set out in s 25A(4)(a) and (ab), namely, for the purposes of using a device or equipment to obtain access to the relevant data.</w:t>
      </w:r>
    </w:p>
    <w:p w14:paraId="770C72D7"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43</w:t>
      </w:r>
    </w:p>
    <w:p w14:paraId="339E99FE" w14:textId="77777777" w:rsidR="007F6541" w:rsidRPr="00DA33E5" w:rsidRDefault="007F6541" w:rsidP="007F6541">
      <w:pPr>
        <w:pStyle w:val="ListNumber"/>
        <w:numPr>
          <w:ilvl w:val="0"/>
          <w:numId w:val="0"/>
        </w:numPr>
        <w:ind w:left="720"/>
        <w:rPr>
          <w:rFonts w:cs="Open Sans"/>
        </w:rPr>
      </w:pPr>
      <w:r w:rsidRPr="00DA33E5">
        <w:rPr>
          <w:rFonts w:cs="Open Sans"/>
        </w:rPr>
        <w:t xml:space="preserve">Equivalent amendments be made to limit the authorisation of telecommunications interception under proposed ss 25A(8)(h), 27A(3C)(h), 27E(2)(ea), 27E(6)(h) of the </w:t>
      </w:r>
      <w:r w:rsidRPr="00DA33E5">
        <w:rPr>
          <w:rFonts w:cs="Open Sans"/>
          <w:i/>
        </w:rPr>
        <w:t xml:space="preserve">Australian Security Intelligence Organisation Act 1979 </w:t>
      </w:r>
      <w:r w:rsidRPr="00DA33E5">
        <w:rPr>
          <w:rFonts w:cs="Open Sans"/>
        </w:rPr>
        <w:t xml:space="preserve">(Cth) and proposed ss 27E(2)(h) and 27E(7)(h) of the </w:t>
      </w:r>
      <w:r w:rsidRPr="00DA33E5">
        <w:rPr>
          <w:rFonts w:cs="Open Sans"/>
          <w:i/>
        </w:rPr>
        <w:t xml:space="preserve">Surveillance Devices Act 2004 </w:t>
      </w:r>
      <w:r w:rsidRPr="00DA33E5">
        <w:rPr>
          <w:rFonts w:cs="Open Sans"/>
        </w:rPr>
        <w:t xml:space="preserve">(Cth). </w:t>
      </w:r>
    </w:p>
    <w:p w14:paraId="668670B9"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44</w:t>
      </w:r>
    </w:p>
    <w:p w14:paraId="4E9F6609"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The requirement to authorise the use of force by ASIO in ss 25A(5A)(a), 27A(2)(a) and 27J(3)(d) of the </w:t>
      </w:r>
      <w:r w:rsidRPr="00DA33E5">
        <w:rPr>
          <w:rFonts w:cs="Open Sans"/>
          <w:i/>
        </w:rPr>
        <w:t>Australian Security Intelligence Organisation Act 1979</w:t>
      </w:r>
      <w:r w:rsidRPr="00DA33E5">
        <w:rPr>
          <w:rFonts w:cs="Open Sans"/>
        </w:rPr>
        <w:t xml:space="preserve"> (Cth) exclude the use of force in relation to the proposed new activity of telephone interception authorised under computer access warrants, foreign intelligence warrants and identified persons warrants.</w:t>
      </w:r>
    </w:p>
    <w:p w14:paraId="541A58A3"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45</w:t>
      </w:r>
    </w:p>
    <w:p w14:paraId="11C7383D"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The requirement to authorise the use of force in proposed s 27E(6)(a) of the </w:t>
      </w:r>
      <w:r w:rsidRPr="00DA33E5">
        <w:rPr>
          <w:rFonts w:cs="Open Sans"/>
          <w:i/>
        </w:rPr>
        <w:t>Surveillance Devices Act 2004</w:t>
      </w:r>
      <w:r w:rsidRPr="00DA33E5">
        <w:rPr>
          <w:rFonts w:cs="Open Sans"/>
        </w:rPr>
        <w:t xml:space="preserve"> (Cth) be amended so that it does not apply in relation to the proposed activity of telephone interception authorised under computer access warrants.</w:t>
      </w:r>
    </w:p>
    <w:p w14:paraId="22C53987" w14:textId="77777777" w:rsidR="007F6541" w:rsidRPr="00DA33E5" w:rsidRDefault="007F6541" w:rsidP="007F6541">
      <w:pPr>
        <w:pStyle w:val="ListNumber"/>
        <w:keepNext/>
        <w:numPr>
          <w:ilvl w:val="0"/>
          <w:numId w:val="0"/>
        </w:numPr>
        <w:ind w:left="720"/>
        <w:rPr>
          <w:rFonts w:cs="Open Sans"/>
          <w:b/>
        </w:rPr>
      </w:pPr>
      <w:r w:rsidRPr="00DA33E5">
        <w:rPr>
          <w:rFonts w:cs="Open Sans"/>
          <w:b/>
        </w:rPr>
        <w:t>Recommendation 46</w:t>
      </w:r>
    </w:p>
    <w:p w14:paraId="033CC0D2" w14:textId="77777777" w:rsidR="007F6541" w:rsidRPr="00DA33E5" w:rsidRDefault="007F6541" w:rsidP="007F6541">
      <w:pPr>
        <w:pStyle w:val="ListNumber"/>
        <w:numPr>
          <w:ilvl w:val="0"/>
          <w:numId w:val="0"/>
        </w:numPr>
        <w:ind w:left="720"/>
        <w:rPr>
          <w:rFonts w:cs="Open Sans"/>
        </w:rPr>
      </w:pPr>
      <w:r w:rsidRPr="00DA33E5">
        <w:rPr>
          <w:rFonts w:cs="Open Sans"/>
        </w:rPr>
        <w:t xml:space="preserve">Serious consideration be given to the proportionality of the substantially increased penalty provisions in the Bill. The maximum sentence for failing to comply with an assistance order should not be longer than the maximum sentence for the offence being investigated. A maximum sentence of ten years imprisonment for failing to comply with an assistance order should only attach to the investigation of the most serious offences and in the presence of other defined aggravating circumstances. </w:t>
      </w:r>
    </w:p>
    <w:p w14:paraId="4CBDE46C" w14:textId="77777777" w:rsidR="007F6541" w:rsidRPr="00DA33E5" w:rsidRDefault="007F6541" w:rsidP="007F6541">
      <w:pPr>
        <w:pStyle w:val="ListNumber"/>
        <w:keepNext/>
        <w:numPr>
          <w:ilvl w:val="0"/>
          <w:numId w:val="0"/>
        </w:numPr>
        <w:ind w:left="720"/>
        <w:rPr>
          <w:rFonts w:cs="Open Sans"/>
          <w:b/>
        </w:rPr>
      </w:pPr>
      <w:r w:rsidRPr="00DA33E5">
        <w:rPr>
          <w:rFonts w:cs="Open Sans"/>
          <w:b/>
        </w:rPr>
        <w:lastRenderedPageBreak/>
        <w:t>Recommendation 47</w:t>
      </w:r>
    </w:p>
    <w:p w14:paraId="2BF0DC8E" w14:textId="77777777" w:rsidR="007F6541" w:rsidRPr="00DA33E5" w:rsidRDefault="007F6541" w:rsidP="007F6541">
      <w:pPr>
        <w:pStyle w:val="ListNumber"/>
        <w:numPr>
          <w:ilvl w:val="0"/>
          <w:numId w:val="0"/>
        </w:numPr>
        <w:ind w:left="720"/>
        <w:rPr>
          <w:rFonts w:cs="Open Sans"/>
        </w:rPr>
      </w:pPr>
      <w:r w:rsidRPr="00DA33E5">
        <w:rPr>
          <w:rFonts w:cs="Open Sans"/>
        </w:rPr>
        <w:t xml:space="preserve">The Bill be amended to make clear that assistance orders do not abrogate the privilege against self-incrimination, and to make explicit that any information obtained as a result of a person complying with an assistance order is subject to appropriate use and derivative use immunity. </w:t>
      </w:r>
    </w:p>
    <w:p w14:paraId="5249EB7B"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48</w:t>
      </w:r>
    </w:p>
    <w:p w14:paraId="78DBBADA"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The assistance order regime in proposed s 34AAA of the ASIO Act include the following protections for the person specified in the order:</w:t>
      </w:r>
    </w:p>
    <w:p w14:paraId="209C2FFD" w14:textId="77777777" w:rsidR="007F6541" w:rsidRPr="00DA33E5" w:rsidRDefault="007F6541" w:rsidP="007F6541">
      <w:pPr>
        <w:pStyle w:val="ListNumber"/>
        <w:numPr>
          <w:ilvl w:val="0"/>
          <w:numId w:val="98"/>
        </w:numPr>
        <w:tabs>
          <w:tab w:val="left" w:pos="1418"/>
        </w:tabs>
        <w:rPr>
          <w:rFonts w:cs="Open Sans"/>
        </w:rPr>
      </w:pPr>
      <w:r w:rsidRPr="00DA33E5">
        <w:rPr>
          <w:rFonts w:cs="Open Sans"/>
        </w:rPr>
        <w:t>a maximum time limit on the period during which assistance must be provided</w:t>
      </w:r>
    </w:p>
    <w:p w14:paraId="22E9BAE1" w14:textId="77777777" w:rsidR="007F6541" w:rsidRPr="00DA33E5" w:rsidRDefault="007F6541" w:rsidP="007F6541">
      <w:pPr>
        <w:pStyle w:val="ListNumber"/>
        <w:numPr>
          <w:ilvl w:val="0"/>
          <w:numId w:val="98"/>
        </w:numPr>
        <w:tabs>
          <w:tab w:val="left" w:pos="1418"/>
        </w:tabs>
        <w:rPr>
          <w:rFonts w:cs="Open Sans"/>
        </w:rPr>
      </w:pPr>
      <w:r w:rsidRPr="00DA33E5">
        <w:rPr>
          <w:rFonts w:cs="Open Sans"/>
        </w:rPr>
        <w:t>a right to contact a family member and a lawyer</w:t>
      </w:r>
    </w:p>
    <w:p w14:paraId="7BB30587" w14:textId="77777777" w:rsidR="007F6541" w:rsidRPr="00DA33E5" w:rsidRDefault="007F6541" w:rsidP="007F6541">
      <w:pPr>
        <w:pStyle w:val="ListNumber"/>
        <w:numPr>
          <w:ilvl w:val="0"/>
          <w:numId w:val="98"/>
        </w:numPr>
        <w:tabs>
          <w:tab w:val="left" w:pos="1418"/>
        </w:tabs>
        <w:rPr>
          <w:rFonts w:cs="Open Sans"/>
        </w:rPr>
      </w:pPr>
      <w:r w:rsidRPr="00DA33E5">
        <w:rPr>
          <w:rFonts w:cs="Open Sans"/>
        </w:rPr>
        <w:t>an obligation on officers to explain the nature of the assistance order and what it requires</w:t>
      </w:r>
    </w:p>
    <w:p w14:paraId="1DE80A4D" w14:textId="77777777" w:rsidR="007F6541" w:rsidRPr="00DA33E5" w:rsidRDefault="007F6541" w:rsidP="007F6541">
      <w:pPr>
        <w:pStyle w:val="ListNumber"/>
        <w:numPr>
          <w:ilvl w:val="0"/>
          <w:numId w:val="98"/>
        </w:numPr>
        <w:tabs>
          <w:tab w:val="left" w:pos="1418"/>
        </w:tabs>
        <w:rPr>
          <w:rFonts w:cs="Open Sans"/>
        </w:rPr>
      </w:pPr>
      <w:r w:rsidRPr="00DA33E5">
        <w:rPr>
          <w:rFonts w:cs="Open Sans"/>
        </w:rPr>
        <w:t>an obligation on officers to explain how to make a complaint to the IGIS or to challenge the making of the assistance order in court</w:t>
      </w:r>
    </w:p>
    <w:p w14:paraId="69DFE1FE" w14:textId="77777777" w:rsidR="007F6541" w:rsidRPr="00DA33E5" w:rsidRDefault="007F6541" w:rsidP="007F6541">
      <w:pPr>
        <w:pStyle w:val="ListNumber"/>
        <w:numPr>
          <w:ilvl w:val="0"/>
          <w:numId w:val="98"/>
        </w:numPr>
        <w:tabs>
          <w:tab w:val="left" w:pos="1418"/>
        </w:tabs>
        <w:rPr>
          <w:rFonts w:cs="Open Sans"/>
        </w:rPr>
      </w:pPr>
      <w:r w:rsidRPr="00DA33E5">
        <w:rPr>
          <w:rFonts w:cs="Open Sans"/>
        </w:rPr>
        <w:t xml:space="preserve">a right to an interpreter, if necessary </w:t>
      </w:r>
    </w:p>
    <w:p w14:paraId="4CEDCC0D" w14:textId="77777777" w:rsidR="007F6541" w:rsidRPr="00DA33E5" w:rsidRDefault="007F6541" w:rsidP="007F6541">
      <w:pPr>
        <w:pStyle w:val="ListNumber"/>
        <w:numPr>
          <w:ilvl w:val="0"/>
          <w:numId w:val="98"/>
        </w:numPr>
        <w:tabs>
          <w:tab w:val="left" w:pos="1418"/>
        </w:tabs>
        <w:rPr>
          <w:rFonts w:cs="Open Sans"/>
        </w:rPr>
      </w:pPr>
      <w:r w:rsidRPr="00DA33E5">
        <w:rPr>
          <w:rFonts w:cs="Open Sans"/>
        </w:rPr>
        <w:t xml:space="preserve">an obligation to treat the specified person humanely and with respect for their human dignity </w:t>
      </w:r>
    </w:p>
    <w:p w14:paraId="59B9F573" w14:textId="77777777" w:rsidR="007F6541" w:rsidRPr="00DA33E5" w:rsidRDefault="007F6541" w:rsidP="007F6541">
      <w:pPr>
        <w:pStyle w:val="ListNumber"/>
        <w:numPr>
          <w:ilvl w:val="0"/>
          <w:numId w:val="98"/>
        </w:numPr>
        <w:tabs>
          <w:tab w:val="left" w:pos="1418"/>
        </w:tabs>
        <w:rPr>
          <w:rFonts w:cs="Open Sans"/>
        </w:rPr>
      </w:pPr>
      <w:r w:rsidRPr="00DA33E5">
        <w:rPr>
          <w:rFonts w:cs="Open Sans"/>
        </w:rPr>
        <w:t>sufficient safeguards to protect the interests of children in respect of whom an assistance order may be issued (for example: age limits, notification of parents or guardians, and suspension of any obligations until a parent or guardian is present).</w:t>
      </w:r>
    </w:p>
    <w:p w14:paraId="4E0A17BD"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49</w:t>
      </w:r>
    </w:p>
    <w:p w14:paraId="743D9B21"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Consideration be given to including a similar set of explicit protections into the assistance order regimes under s 3LA of the </w:t>
      </w:r>
      <w:r w:rsidRPr="00DA33E5">
        <w:rPr>
          <w:rFonts w:cs="Open Sans"/>
          <w:i/>
        </w:rPr>
        <w:t>Crimes Act 1914</w:t>
      </w:r>
      <w:r w:rsidRPr="00DA33E5">
        <w:rPr>
          <w:rFonts w:cs="Open Sans"/>
        </w:rPr>
        <w:t xml:space="preserve"> (Cth), s 201A of the </w:t>
      </w:r>
      <w:r w:rsidRPr="00DA33E5">
        <w:rPr>
          <w:rFonts w:cs="Open Sans"/>
          <w:i/>
        </w:rPr>
        <w:t xml:space="preserve">Customs Act 1901 </w:t>
      </w:r>
      <w:r w:rsidRPr="00DA33E5">
        <w:rPr>
          <w:rFonts w:cs="Open Sans"/>
        </w:rPr>
        <w:t xml:space="preserve">(Cth) and proposed s 64A of the </w:t>
      </w:r>
      <w:r w:rsidRPr="00DA33E5">
        <w:rPr>
          <w:rFonts w:cs="Open Sans"/>
          <w:i/>
        </w:rPr>
        <w:t>Surveillance Devices Act 2004</w:t>
      </w:r>
      <w:r w:rsidRPr="00DA33E5">
        <w:rPr>
          <w:rFonts w:cs="Open Sans"/>
        </w:rPr>
        <w:t xml:space="preserve"> (Cth).</w:t>
      </w:r>
    </w:p>
    <w:p w14:paraId="7A752949"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50</w:t>
      </w:r>
    </w:p>
    <w:p w14:paraId="7BBDCFB9"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The Bill provide that an assistance request under s 21A(1) of the </w:t>
      </w:r>
      <w:r w:rsidRPr="00DA33E5">
        <w:rPr>
          <w:rFonts w:cs="Open Sans"/>
          <w:i/>
        </w:rPr>
        <w:t>Australian Security Intelligence Organisation Act 1979</w:t>
      </w:r>
      <w:r w:rsidRPr="00DA33E5">
        <w:rPr>
          <w:rFonts w:cs="Open Sans"/>
        </w:rPr>
        <w:t xml:space="preserve"> (Cth) may not be made to a person if ASIO could make a technical assistance request under s 317G of the </w:t>
      </w:r>
      <w:r w:rsidRPr="00DA33E5">
        <w:rPr>
          <w:rFonts w:cs="Open Sans"/>
          <w:i/>
        </w:rPr>
        <w:t>Telecommunications Act 1997</w:t>
      </w:r>
      <w:r w:rsidRPr="00DA33E5">
        <w:rPr>
          <w:rFonts w:cs="Open Sans"/>
        </w:rPr>
        <w:t xml:space="preserve"> (Cth) to that person.</w:t>
      </w:r>
    </w:p>
    <w:p w14:paraId="3BD6F64D"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51</w:t>
      </w:r>
    </w:p>
    <w:p w14:paraId="40B3B8D2"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 21A of the </w:t>
      </w:r>
      <w:r w:rsidRPr="00DA33E5">
        <w:rPr>
          <w:rFonts w:cs="Open Sans"/>
          <w:i/>
        </w:rPr>
        <w:t xml:space="preserve">Australian Security Intelligence Organisation Act 1979 </w:t>
      </w:r>
      <w:r w:rsidRPr="00DA33E5">
        <w:rPr>
          <w:rFonts w:cs="Open Sans"/>
        </w:rPr>
        <w:t xml:space="preserve">(Cth) be amended to include a requirement that, prior to making a request under subsection (1), the Director-General must be reasonably satisfied </w:t>
      </w:r>
      <w:r w:rsidRPr="00DA33E5">
        <w:rPr>
          <w:rFonts w:cs="Open Sans"/>
        </w:rPr>
        <w:lastRenderedPageBreak/>
        <w:t>that the impact on third party rights resulting from the grant of civil immunity is reasonable and proportionate to the value of the requested conduct in assisting ASIO to perform its functions.</w:t>
      </w:r>
    </w:p>
    <w:p w14:paraId="49C629C1"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52</w:t>
      </w:r>
    </w:p>
    <w:p w14:paraId="523CA64E"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The Bill be amended to provide that s 21A(1) of the </w:t>
      </w:r>
      <w:r w:rsidRPr="00DA33E5">
        <w:rPr>
          <w:rFonts w:cs="Open Sans"/>
          <w:i/>
        </w:rPr>
        <w:t xml:space="preserve">Australian Security Intelligence Organisation Act 1979 </w:t>
      </w:r>
      <w:r w:rsidRPr="00DA33E5">
        <w:rPr>
          <w:rFonts w:cs="Open Sans"/>
        </w:rPr>
        <w:t>(Cth) does not apply to requests for persons to engage in conduct for which ASIO would require a warrant (or other form of Ministerial authorisation or approval) to undertake.</w:t>
      </w:r>
    </w:p>
    <w:p w14:paraId="7BC4EC54"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53</w:t>
      </w:r>
    </w:p>
    <w:p w14:paraId="4CAB453B"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 xml:space="preserve">Proposed s 21A of the </w:t>
      </w:r>
      <w:r w:rsidRPr="00DA33E5">
        <w:rPr>
          <w:rFonts w:cs="Open Sans"/>
          <w:i/>
        </w:rPr>
        <w:t xml:space="preserve">Australian Security Intelligence Organisation Act 1979 </w:t>
      </w:r>
      <w:r w:rsidRPr="00DA33E5">
        <w:rPr>
          <w:rFonts w:cs="Open Sans"/>
        </w:rPr>
        <w:t>(Cth) be amended to include a maximum duration for a voluntary assistance request.</w:t>
      </w:r>
    </w:p>
    <w:p w14:paraId="618BC5DE" w14:textId="77777777" w:rsidR="007F6541" w:rsidRPr="00DA33E5" w:rsidRDefault="007F6541" w:rsidP="007F6541">
      <w:pPr>
        <w:pStyle w:val="ListNumber"/>
        <w:keepNext/>
        <w:numPr>
          <w:ilvl w:val="0"/>
          <w:numId w:val="0"/>
        </w:numPr>
        <w:tabs>
          <w:tab w:val="left" w:pos="1418"/>
        </w:tabs>
        <w:ind w:left="709"/>
        <w:rPr>
          <w:rFonts w:cs="Open Sans"/>
          <w:b/>
        </w:rPr>
      </w:pPr>
      <w:r w:rsidRPr="00DA33E5">
        <w:rPr>
          <w:rFonts w:cs="Open Sans"/>
          <w:b/>
        </w:rPr>
        <w:t>Recommendation 54</w:t>
      </w:r>
    </w:p>
    <w:p w14:paraId="4A32C2E5" w14:textId="77777777" w:rsidR="007F6541" w:rsidRPr="00DA33E5" w:rsidRDefault="007F6541" w:rsidP="007F6541">
      <w:pPr>
        <w:pStyle w:val="ListNumber"/>
        <w:numPr>
          <w:ilvl w:val="0"/>
          <w:numId w:val="0"/>
        </w:numPr>
        <w:tabs>
          <w:tab w:val="left" w:pos="1418"/>
        </w:tabs>
        <w:ind w:left="709"/>
        <w:rPr>
          <w:rFonts w:cs="Open Sans"/>
        </w:rPr>
      </w:pPr>
      <w:r w:rsidRPr="00DA33E5">
        <w:rPr>
          <w:rFonts w:cs="Open Sans"/>
        </w:rPr>
        <w:t>The Bill include a requirement for a statutory review of its provisions after three years by the Parliamentary Joint Committee on Intelligence and Security and the Independent National Security Legislation Monitor.</w:t>
      </w:r>
    </w:p>
    <w:p w14:paraId="59F685F6" w14:textId="0B1C68A2" w:rsidR="00D925F0" w:rsidRPr="00AA1A20" w:rsidRDefault="00D925F0" w:rsidP="001A02E2">
      <w:pPr>
        <w:pStyle w:val="ListNumber"/>
        <w:keepNext/>
        <w:numPr>
          <w:ilvl w:val="0"/>
          <w:numId w:val="0"/>
        </w:numPr>
        <w:tabs>
          <w:tab w:val="left" w:pos="1418"/>
        </w:tabs>
        <w:ind w:left="709"/>
        <w:rPr>
          <w:rFonts w:cs="Open Sans"/>
        </w:rPr>
      </w:pPr>
    </w:p>
    <w:sectPr w:rsidR="00D925F0" w:rsidRPr="00AA1A20" w:rsidSect="00460EE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907" w:footer="283" w:gutter="0"/>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8834B" w16cid:durableId="1F6A3B0B"/>
  <w16cid:commentId w16cid:paraId="42EE52A5" w16cid:durableId="1F6A3BCB"/>
  <w16cid:commentId w16cid:paraId="667DA57C" w16cid:durableId="1F6A3C2D"/>
  <w16cid:commentId w16cid:paraId="33266B7E" w16cid:durableId="1F6A3D46"/>
  <w16cid:commentId w16cid:paraId="58139E1F" w16cid:durableId="1F6A3DC5"/>
  <w16cid:commentId w16cid:paraId="0008B43A" w16cid:durableId="1F6A3F50"/>
  <w16cid:commentId w16cid:paraId="52B49AC9" w16cid:durableId="1F6A3FA5"/>
  <w16cid:commentId w16cid:paraId="08BCFB22" w16cid:durableId="1F6A4097"/>
  <w16cid:commentId w16cid:paraId="615E668A" w16cid:durableId="1F6A4168"/>
  <w16cid:commentId w16cid:paraId="002178F0" w16cid:durableId="1F6A4276"/>
  <w16cid:commentId w16cid:paraId="741BDA17" w16cid:durableId="1F6A42DA"/>
  <w16cid:commentId w16cid:paraId="786F4A24" w16cid:durableId="1F6A4367"/>
  <w16cid:commentId w16cid:paraId="6CA3D1F0" w16cid:durableId="1F6A43BC"/>
  <w16cid:commentId w16cid:paraId="777F45A5" w16cid:durableId="1F6A4406"/>
  <w16cid:commentId w16cid:paraId="10D830AC" w16cid:durableId="1F6A453D"/>
  <w16cid:commentId w16cid:paraId="10E7D9B9" w16cid:durableId="1F6A4574"/>
  <w16cid:commentId w16cid:paraId="25C6B9E2" w16cid:durableId="1F6A4619"/>
  <w16cid:commentId w16cid:paraId="3F35F5A4" w16cid:durableId="1F6A4692"/>
  <w16cid:commentId w16cid:paraId="1901EBCC" w16cid:durableId="1F6A471F"/>
  <w16cid:commentId w16cid:paraId="2DD8A976" w16cid:durableId="1F6A47F3"/>
  <w16cid:commentId w16cid:paraId="50E30EB7" w16cid:durableId="1F6A483D"/>
  <w16cid:commentId w16cid:paraId="4666C9A5" w16cid:durableId="1F6A48DF"/>
  <w16cid:commentId w16cid:paraId="7965DC4C" w16cid:durableId="1F6A48E9"/>
  <w16cid:commentId w16cid:paraId="0141F435" w16cid:durableId="1F6A496F"/>
  <w16cid:commentId w16cid:paraId="4977823F" w16cid:durableId="1F6A4B0F"/>
  <w16cid:commentId w16cid:paraId="561C88C0" w16cid:durableId="1F6A4B48"/>
  <w16cid:commentId w16cid:paraId="76406C9D" w16cid:durableId="1F6A4C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C2B9D" w14:textId="77777777" w:rsidR="00456640" w:rsidRDefault="00456640" w:rsidP="00F14C6D">
      <w:r>
        <w:separator/>
      </w:r>
    </w:p>
  </w:endnote>
  <w:endnote w:type="continuationSeparator" w:id="0">
    <w:p w14:paraId="626271DF" w14:textId="77777777" w:rsidR="00456640" w:rsidRDefault="00456640" w:rsidP="00F14C6D">
      <w:r>
        <w:continuationSeparator/>
      </w:r>
    </w:p>
  </w:endnote>
  <w:endnote w:type="continuationNotice" w:id="1">
    <w:p w14:paraId="161F1A9C" w14:textId="77777777" w:rsidR="00456640" w:rsidRDefault="00456640"/>
  </w:endnote>
  <w:endnote w:id="2">
    <w:p w14:paraId="68CAC97B" w14:textId="2503A713" w:rsidR="006E71F6" w:rsidRPr="00B91191" w:rsidRDefault="006E71F6" w:rsidP="00B434C5">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2 [1], [3].</w:t>
      </w:r>
    </w:p>
  </w:endnote>
  <w:endnote w:id="3">
    <w:p w14:paraId="108B4B2E" w14:textId="77777777" w:rsidR="006E71F6" w:rsidRPr="00B91191" w:rsidRDefault="006E71F6" w:rsidP="00B434C5">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International Covenant on Civil and Political Rights</w:t>
      </w:r>
      <w:r w:rsidRPr="00B91191">
        <w:rPr>
          <w:rFonts w:cs="Open Sans"/>
          <w:sz w:val="20"/>
          <w:szCs w:val="20"/>
        </w:rPr>
        <w:t>, opened for signature 16 December 1966, 999 UNTS 171 (entered into force 23 March 1976) art 6.</w:t>
      </w:r>
    </w:p>
  </w:endnote>
  <w:endnote w:id="4">
    <w:p w14:paraId="4ACFE007" w14:textId="77777777" w:rsidR="006E71F6" w:rsidRPr="00B91191" w:rsidRDefault="006E71F6" w:rsidP="00B434C5">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See for example, SC Res 1373, UN SCOR, 4385</w:t>
      </w:r>
      <w:r w:rsidRPr="00B91191">
        <w:rPr>
          <w:rFonts w:cs="Open Sans"/>
          <w:sz w:val="20"/>
          <w:szCs w:val="20"/>
          <w:vertAlign w:val="superscript"/>
        </w:rPr>
        <w:t>th</w:t>
      </w:r>
      <w:r w:rsidRPr="00B91191">
        <w:rPr>
          <w:rFonts w:cs="Open Sans"/>
          <w:sz w:val="20"/>
          <w:szCs w:val="20"/>
        </w:rPr>
        <w:t xml:space="preserve"> mtg, UN Doc S/RES/1373 (28 September 2001). </w:t>
      </w:r>
    </w:p>
  </w:endnote>
  <w:endnote w:id="5">
    <w:p w14:paraId="23D24EDA" w14:textId="182D46BE" w:rsidR="006E71F6" w:rsidRPr="00B91191" w:rsidRDefault="006E71F6" w:rsidP="00B434C5">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Special Rapporteur on the promotion and protection of the right to freedom of opinion and expression, </w:t>
      </w:r>
      <w:r w:rsidRPr="00B91191">
        <w:rPr>
          <w:rFonts w:cs="Open Sans"/>
          <w:i/>
          <w:sz w:val="20"/>
          <w:szCs w:val="20"/>
        </w:rPr>
        <w:t xml:space="preserve">Encryption and anonymity follow-up report </w:t>
      </w:r>
      <w:r w:rsidRPr="00B91191">
        <w:rPr>
          <w:rFonts w:cs="Open Sans"/>
          <w:sz w:val="20"/>
          <w:szCs w:val="20"/>
        </w:rPr>
        <w:t>(June 2018)</w:t>
      </w:r>
      <w:r w:rsidRPr="00B91191">
        <w:rPr>
          <w:rFonts w:cs="Open Sans"/>
          <w:i/>
          <w:sz w:val="20"/>
          <w:szCs w:val="20"/>
        </w:rPr>
        <w:t xml:space="preserve"> </w:t>
      </w:r>
      <w:r w:rsidRPr="00B91191">
        <w:rPr>
          <w:rFonts w:cs="Open Sans"/>
          <w:sz w:val="20"/>
          <w:szCs w:val="20"/>
        </w:rPr>
        <w:t>United Nations Office of the High Commissioner for Human Rights, 11 &lt;https://www.ohchr.org/en/issues/freedomopinion/pages/callforsubmission.aspx&gt;.</w:t>
      </w:r>
    </w:p>
  </w:endnote>
  <w:endnote w:id="6">
    <w:p w14:paraId="1A9A6F00" w14:textId="77777777" w:rsidR="006E71F6" w:rsidRPr="00B91191" w:rsidRDefault="006E71F6" w:rsidP="003E1A7C">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International Covenant on Civil and Political Rights</w:t>
      </w:r>
      <w:r w:rsidRPr="00B91191">
        <w:rPr>
          <w:rFonts w:cs="Open Sans"/>
          <w:sz w:val="20"/>
          <w:szCs w:val="20"/>
        </w:rPr>
        <w:t>, opened for signature 19 December 1966, 999 UNTS 171 (entered into force 23 March 1976).</w:t>
      </w:r>
    </w:p>
  </w:endnote>
  <w:endnote w:id="7">
    <w:p w14:paraId="4E16E777" w14:textId="1BFF9B67" w:rsidR="006E71F6" w:rsidRPr="00B91191" w:rsidRDefault="006E71F6" w:rsidP="00B434C5">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For example, the disclosure of names, addresses, dates of birth, passwords and other personal information of users or consumers of Yahoo, eBay, Equifax and Uber. </w:t>
      </w:r>
    </w:p>
  </w:endnote>
  <w:endnote w:id="8">
    <w:p w14:paraId="5FBA926D" w14:textId="77777777" w:rsidR="006E71F6" w:rsidRPr="00B91191" w:rsidRDefault="006E71F6" w:rsidP="00B434C5">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Trischa Mann (ed), </w:t>
      </w:r>
      <w:r w:rsidRPr="00B91191">
        <w:rPr>
          <w:rFonts w:cs="Open Sans"/>
          <w:i/>
          <w:sz w:val="20"/>
          <w:szCs w:val="20"/>
        </w:rPr>
        <w:t>Australian Law Dictionary</w:t>
      </w:r>
      <w:r w:rsidRPr="00B91191">
        <w:rPr>
          <w:rFonts w:cs="Open Sans"/>
          <w:sz w:val="20"/>
          <w:szCs w:val="20"/>
        </w:rPr>
        <w:t xml:space="preserve"> (Oxford University Press, 2</w:t>
      </w:r>
      <w:r w:rsidRPr="00B91191">
        <w:rPr>
          <w:rFonts w:cs="Open Sans"/>
          <w:sz w:val="20"/>
          <w:szCs w:val="20"/>
          <w:vertAlign w:val="superscript"/>
        </w:rPr>
        <w:t>nd</w:t>
      </w:r>
      <w:r w:rsidRPr="00B91191">
        <w:rPr>
          <w:rFonts w:cs="Open Sans"/>
          <w:sz w:val="20"/>
          <w:szCs w:val="20"/>
        </w:rPr>
        <w:t xml:space="preserve"> ed, 2013).</w:t>
      </w:r>
    </w:p>
  </w:endnote>
  <w:endnote w:id="9">
    <w:p w14:paraId="13904368" w14:textId="77777777" w:rsidR="006E71F6" w:rsidRPr="00B91191" w:rsidRDefault="006E71F6" w:rsidP="00B434C5">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David Kaye, </w:t>
      </w:r>
      <w:r w:rsidRPr="00B91191">
        <w:rPr>
          <w:rFonts w:cs="Open Sans"/>
          <w:i/>
          <w:sz w:val="20"/>
          <w:szCs w:val="20"/>
        </w:rPr>
        <w:t>Report of the United Nations Special Rapporteur on the promotion and protection of the right to freedom of opinion and expression</w:t>
      </w:r>
      <w:r w:rsidRPr="00B91191">
        <w:rPr>
          <w:rFonts w:cs="Open Sans"/>
          <w:sz w:val="20"/>
          <w:szCs w:val="20"/>
        </w:rPr>
        <w:t>, 17</w:t>
      </w:r>
      <w:r w:rsidRPr="00B91191">
        <w:rPr>
          <w:rFonts w:cs="Open Sans"/>
          <w:sz w:val="20"/>
          <w:szCs w:val="20"/>
          <w:vertAlign w:val="superscript"/>
        </w:rPr>
        <w:t>th</w:t>
      </w:r>
      <w:r w:rsidRPr="00B91191">
        <w:rPr>
          <w:rFonts w:cs="Open Sans"/>
          <w:sz w:val="20"/>
          <w:szCs w:val="20"/>
        </w:rPr>
        <w:t xml:space="preserve"> sess, Agenda Item 3, UN Doc A/HRC/29/32 (22 May 2015) 19 [56].</w:t>
      </w:r>
    </w:p>
  </w:endnote>
  <w:endnote w:id="10">
    <w:p w14:paraId="7A347B72" w14:textId="4D29EFF9" w:rsidR="006E71F6" w:rsidRPr="00B91191" w:rsidRDefault="006E71F6" w:rsidP="00FB5828">
      <w:pPr>
        <w:pStyle w:val="EndnoteText"/>
        <w:widowControl w:val="0"/>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 xml:space="preserve">James B. Comey, Director: Federal Bureau of Investigation, ‘Going dark: are technology, privacy, and public safety on a collision course?’ (Speech delivered at the Brookings Institution, Washington D.C., 16 October 2014). </w:t>
      </w:r>
    </w:p>
  </w:endnote>
  <w:endnote w:id="11">
    <w:p w14:paraId="20769E29" w14:textId="37F9709F" w:rsidR="006E71F6" w:rsidRPr="00B91191" w:rsidRDefault="006E71F6" w:rsidP="00FB5828">
      <w:pPr>
        <w:pStyle w:val="EndnoteText"/>
        <w:widowControl w:val="0"/>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James B. Comey, Director: Federal Bureau of Investigation, ‘Going dark: are technology, privacy, and public safety on a collision course?’ (Speech delivered at the Brookings Institution, Washington D.C., 16 October 2014). </w:t>
      </w:r>
    </w:p>
  </w:endnote>
  <w:endnote w:id="12">
    <w:p w14:paraId="019E5946" w14:textId="11F30289"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2 [3].</w:t>
      </w:r>
    </w:p>
  </w:endnote>
  <w:endnote w:id="13">
    <w:p w14:paraId="32D385C2"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See Monique Mann et al, Australian Privacy Foundation et al, Submission No 23 to the Joint Parliamentary Committee on Law Enforcement</w:t>
      </w:r>
      <w:r w:rsidRPr="00B91191">
        <w:rPr>
          <w:rFonts w:cs="Open Sans"/>
          <w:i/>
          <w:sz w:val="20"/>
          <w:szCs w:val="20"/>
        </w:rPr>
        <w:t>, Inquiry into new Information Communication Technologies (ICTs) and the challenges facing law enforcement agencies</w:t>
      </w:r>
      <w:r w:rsidRPr="00B91191">
        <w:rPr>
          <w:rFonts w:cs="Open Sans"/>
          <w:sz w:val="20"/>
          <w:szCs w:val="20"/>
        </w:rPr>
        <w:t>, 2018, 12.</w:t>
      </w:r>
    </w:p>
  </w:endnote>
  <w:endnote w:id="14">
    <w:p w14:paraId="27AC7630" w14:textId="77777777" w:rsidR="006E71F6" w:rsidRPr="00B91191" w:rsidRDefault="006E71F6" w:rsidP="00E1343F">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3 [8].</w:t>
      </w:r>
    </w:p>
  </w:endnote>
  <w:endnote w:id="15">
    <w:p w14:paraId="480C1910"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eastAsia="Times New Roman" w:cs="Open Sans"/>
          <w:sz w:val="20"/>
          <w:szCs w:val="20"/>
        </w:rPr>
        <w:t xml:space="preserve">See Frank La Rue, </w:t>
      </w:r>
      <w:r w:rsidRPr="00B91191">
        <w:rPr>
          <w:rFonts w:eastAsia="Times New Roman" w:cs="Open Sans"/>
          <w:i/>
          <w:sz w:val="20"/>
          <w:szCs w:val="20"/>
        </w:rPr>
        <w:t>Report of the United Nations Special Rapporteur on the promotion and protection of the right to freedom of opinion and expression</w:t>
      </w:r>
      <w:r w:rsidRPr="00B91191">
        <w:rPr>
          <w:rFonts w:eastAsia="Times New Roman" w:cs="Open Sans"/>
          <w:sz w:val="20"/>
          <w:szCs w:val="20"/>
        </w:rPr>
        <w:t>,</w:t>
      </w:r>
      <w:r w:rsidRPr="00B91191">
        <w:rPr>
          <w:rFonts w:eastAsia="Times New Roman" w:cs="Open Sans"/>
          <w:i/>
          <w:sz w:val="20"/>
          <w:szCs w:val="20"/>
        </w:rPr>
        <w:t xml:space="preserve"> </w:t>
      </w:r>
      <w:r w:rsidRPr="00B91191">
        <w:rPr>
          <w:rFonts w:eastAsia="Times New Roman" w:cs="Open Sans"/>
          <w:sz w:val="20"/>
          <w:szCs w:val="20"/>
        </w:rPr>
        <w:t>29</w:t>
      </w:r>
      <w:r w:rsidRPr="00B91191">
        <w:rPr>
          <w:rFonts w:eastAsia="Times New Roman" w:cs="Open Sans"/>
          <w:sz w:val="20"/>
          <w:szCs w:val="20"/>
          <w:vertAlign w:val="superscript"/>
        </w:rPr>
        <w:t>th</w:t>
      </w:r>
      <w:r w:rsidRPr="00B91191">
        <w:rPr>
          <w:rFonts w:eastAsia="Times New Roman" w:cs="Open Sans"/>
          <w:sz w:val="20"/>
          <w:szCs w:val="20"/>
        </w:rPr>
        <w:t xml:space="preserve"> sess, Agenda Item 3, UN Doc A/HRC/17/27 (16 May 2011) 15–16 [53]–[59]. </w:t>
      </w:r>
    </w:p>
  </w:endnote>
  <w:endnote w:id="16">
    <w:p w14:paraId="132A430C" w14:textId="07367D00"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The Explanatory Memorandum states that s 313 of the </w:t>
      </w:r>
      <w:r w:rsidRPr="00B91191">
        <w:rPr>
          <w:rFonts w:cs="Open Sans"/>
          <w:i/>
          <w:sz w:val="20"/>
          <w:szCs w:val="20"/>
        </w:rPr>
        <w:t>Telecommunications Act 1997</w:t>
      </w:r>
      <w:r w:rsidRPr="00B91191">
        <w:rPr>
          <w:rFonts w:cs="Open Sans"/>
          <w:sz w:val="20"/>
          <w:szCs w:val="20"/>
        </w:rPr>
        <w:t xml:space="preserve"> (Cth) already requires domestic carriers and carriage service providers to provide ‘such help as is reasonably’ necessary to law enforcement and national security agencies, and that the Bill introduces additional obligations to operate alongside s 313: see Explanatory Memorandum, Telecommunications and Other Legislation Amendment (Assistance and Access) Bill 2018 (Cth) 118 [652].</w:t>
      </w:r>
    </w:p>
  </w:endnote>
  <w:endnote w:id="17">
    <w:p w14:paraId="575ADABB"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Office of the United Nations High Commissioner for Human Rights, </w:t>
      </w:r>
      <w:r w:rsidRPr="00B91191">
        <w:rPr>
          <w:rFonts w:cs="Open Sans"/>
          <w:i/>
          <w:sz w:val="20"/>
          <w:szCs w:val="20"/>
        </w:rPr>
        <w:t xml:space="preserve">The Right to Privacy in the Digital Age, </w:t>
      </w:r>
      <w:r w:rsidRPr="00B91191">
        <w:rPr>
          <w:rFonts w:cs="Open Sans"/>
          <w:sz w:val="20"/>
          <w:szCs w:val="20"/>
        </w:rPr>
        <w:t>27</w:t>
      </w:r>
      <w:r w:rsidRPr="00B91191">
        <w:rPr>
          <w:rFonts w:cs="Open Sans"/>
          <w:sz w:val="20"/>
          <w:szCs w:val="20"/>
          <w:vertAlign w:val="superscript"/>
        </w:rPr>
        <w:t>th</w:t>
      </w:r>
      <w:r w:rsidRPr="00B91191">
        <w:rPr>
          <w:rFonts w:cs="Open Sans"/>
          <w:sz w:val="20"/>
          <w:szCs w:val="20"/>
        </w:rPr>
        <w:t xml:space="preserve"> sess, Agenda Items 2 and 3, UN Doc A/HRC/27/37 (30 June 2014) 5 [13].</w:t>
      </w:r>
    </w:p>
  </w:endnote>
  <w:endnote w:id="18">
    <w:p w14:paraId="53861AB0" w14:textId="77777777" w:rsidR="006E71F6" w:rsidRPr="00B91191" w:rsidRDefault="006E71F6" w:rsidP="00FB5828">
      <w:pPr>
        <w:pStyle w:val="ListNumber"/>
        <w:widowControl w:val="0"/>
        <w:numPr>
          <w:ilvl w:val="0"/>
          <w:numId w:val="0"/>
        </w:numPr>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Human Rights Committee, </w:t>
      </w:r>
      <w:r w:rsidRPr="00B91191">
        <w:rPr>
          <w:rFonts w:cs="Open Sans"/>
          <w:i/>
          <w:sz w:val="20"/>
          <w:szCs w:val="20"/>
        </w:rPr>
        <w:t>General Comment No 34: Article 19, Freedoms of opinion and expression</w:t>
      </w:r>
      <w:r w:rsidRPr="00B91191">
        <w:rPr>
          <w:rFonts w:cs="Open Sans"/>
          <w:sz w:val="20"/>
          <w:szCs w:val="20"/>
        </w:rPr>
        <w:t>, 102</w:t>
      </w:r>
      <w:r w:rsidRPr="00B91191">
        <w:rPr>
          <w:rFonts w:cs="Open Sans"/>
          <w:sz w:val="20"/>
          <w:szCs w:val="20"/>
          <w:vertAlign w:val="superscript"/>
        </w:rPr>
        <w:t>nd</w:t>
      </w:r>
      <w:r w:rsidRPr="00B91191">
        <w:rPr>
          <w:rFonts w:cs="Open Sans"/>
          <w:sz w:val="20"/>
          <w:szCs w:val="20"/>
        </w:rPr>
        <w:t xml:space="preserve"> sess,UN Doc CCPR/C/GC/34 (12 September 2011) 1 [2].</w:t>
      </w:r>
    </w:p>
  </w:endnote>
  <w:endnote w:id="19">
    <w:p w14:paraId="5ABABB36" w14:textId="77777777" w:rsidR="006E71F6" w:rsidRPr="00B91191" w:rsidRDefault="006E71F6" w:rsidP="00FB5828">
      <w:pPr>
        <w:pStyle w:val="ListNumber"/>
        <w:widowControl w:val="0"/>
        <w:numPr>
          <w:ilvl w:val="0"/>
          <w:numId w:val="0"/>
        </w:numPr>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Human Rights Committee, </w:t>
      </w:r>
      <w:r w:rsidRPr="00B91191">
        <w:rPr>
          <w:rFonts w:cs="Open Sans"/>
          <w:i/>
          <w:sz w:val="20"/>
          <w:szCs w:val="20"/>
        </w:rPr>
        <w:t>General Comment No 34: Article 19, Freedoms of opinion and expression</w:t>
      </w:r>
      <w:r w:rsidRPr="00B91191">
        <w:rPr>
          <w:rFonts w:cs="Open Sans"/>
          <w:sz w:val="20"/>
          <w:szCs w:val="20"/>
        </w:rPr>
        <w:t>, 102</w:t>
      </w:r>
      <w:r w:rsidRPr="00B91191">
        <w:rPr>
          <w:rFonts w:cs="Open Sans"/>
          <w:sz w:val="20"/>
          <w:szCs w:val="20"/>
          <w:vertAlign w:val="superscript"/>
        </w:rPr>
        <w:t>nd</w:t>
      </w:r>
      <w:r w:rsidRPr="00B91191">
        <w:rPr>
          <w:rFonts w:cs="Open Sans"/>
          <w:sz w:val="20"/>
          <w:szCs w:val="20"/>
        </w:rPr>
        <w:t xml:space="preserve"> sess, UN Doc CCPR/C/GC/34 (12 September 2011) 1 [3].</w:t>
      </w:r>
    </w:p>
  </w:endnote>
  <w:endnote w:id="20">
    <w:p w14:paraId="48ACE853" w14:textId="77777777" w:rsidR="006E71F6" w:rsidRPr="00B91191" w:rsidRDefault="006E71F6" w:rsidP="00FB5828">
      <w:pPr>
        <w:pStyle w:val="ListNumber"/>
        <w:widowControl w:val="0"/>
        <w:numPr>
          <w:ilvl w:val="0"/>
          <w:numId w:val="0"/>
        </w:numPr>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Human Rights Committee, </w:t>
      </w:r>
      <w:r w:rsidRPr="00B91191">
        <w:rPr>
          <w:rFonts w:cs="Open Sans"/>
          <w:i/>
          <w:sz w:val="20"/>
          <w:szCs w:val="20"/>
        </w:rPr>
        <w:t>General Comment No 34: Article 19, Freedoms of opinion and expression</w:t>
      </w:r>
      <w:r w:rsidRPr="00B91191">
        <w:rPr>
          <w:rFonts w:cs="Open Sans"/>
          <w:sz w:val="20"/>
          <w:szCs w:val="20"/>
        </w:rPr>
        <w:t>, 102</w:t>
      </w:r>
      <w:r w:rsidRPr="00B91191">
        <w:rPr>
          <w:rFonts w:cs="Open Sans"/>
          <w:sz w:val="20"/>
          <w:szCs w:val="20"/>
          <w:vertAlign w:val="superscript"/>
        </w:rPr>
        <w:t>nd</w:t>
      </w:r>
      <w:r w:rsidRPr="00B91191">
        <w:rPr>
          <w:rFonts w:cs="Open Sans"/>
          <w:sz w:val="20"/>
          <w:szCs w:val="20"/>
        </w:rPr>
        <w:t xml:space="preserve"> sess, UN Doc CCPR/C/GC/34 (12 September 2011) 1 [3]–[4].</w:t>
      </w:r>
    </w:p>
  </w:endnote>
  <w:endnote w:id="21">
    <w:p w14:paraId="2C598C99" w14:textId="39A950CE"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The right to vote is protected under article 25(b) of the ICCPR; see also United Nations Human Rights Committee, </w:t>
      </w:r>
      <w:r w:rsidRPr="00B91191">
        <w:rPr>
          <w:rFonts w:cs="Open Sans"/>
          <w:i/>
          <w:sz w:val="20"/>
          <w:szCs w:val="20"/>
        </w:rPr>
        <w:t>General comment No 25: Participation in public affairs, voting rights and the right of equal access to public service (Art 25)</w:t>
      </w:r>
      <w:r w:rsidRPr="00B91191">
        <w:rPr>
          <w:rFonts w:cs="Open Sans"/>
          <w:sz w:val="20"/>
          <w:szCs w:val="20"/>
        </w:rPr>
        <w:t>, 57</w:t>
      </w:r>
      <w:r w:rsidRPr="00B91191">
        <w:rPr>
          <w:rFonts w:cs="Open Sans"/>
          <w:sz w:val="20"/>
          <w:szCs w:val="20"/>
          <w:vertAlign w:val="superscript"/>
        </w:rPr>
        <w:t>th</w:t>
      </w:r>
      <w:r w:rsidRPr="00B91191">
        <w:rPr>
          <w:rFonts w:cs="Open Sans"/>
          <w:sz w:val="20"/>
          <w:szCs w:val="20"/>
        </w:rPr>
        <w:t xml:space="preserve"> sess, UN Doc CCPR/C/21/Rev.1 /Add.7 (12 July 1996) 3 [12].</w:t>
      </w:r>
    </w:p>
  </w:endnote>
  <w:endnote w:id="22">
    <w:p w14:paraId="02739843"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The right to privacy in the digital age, </w:t>
      </w:r>
      <w:r w:rsidRPr="00B91191">
        <w:rPr>
          <w:rFonts w:cs="Open Sans"/>
          <w:sz w:val="20"/>
          <w:szCs w:val="20"/>
        </w:rPr>
        <w:t>GA Res 68/167, UN GAOR, 68</w:t>
      </w:r>
      <w:r w:rsidRPr="00B91191">
        <w:rPr>
          <w:rFonts w:cs="Open Sans"/>
          <w:sz w:val="20"/>
          <w:szCs w:val="20"/>
          <w:vertAlign w:val="superscript"/>
        </w:rPr>
        <w:t>th</w:t>
      </w:r>
      <w:r w:rsidRPr="00B91191">
        <w:rPr>
          <w:rFonts w:cs="Open Sans"/>
          <w:sz w:val="20"/>
          <w:szCs w:val="20"/>
        </w:rPr>
        <w:t xml:space="preserve"> sess, Agenda Item 69(b), UN Doc A/RES/68/167 (18 December 2013) 2. </w:t>
      </w:r>
    </w:p>
  </w:endnote>
  <w:endnote w:id="23">
    <w:p w14:paraId="27A4EB2D"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The right to privacy in the digital age, </w:t>
      </w:r>
      <w:r w:rsidRPr="00B91191">
        <w:rPr>
          <w:rFonts w:cs="Open Sans"/>
          <w:sz w:val="20"/>
          <w:szCs w:val="20"/>
        </w:rPr>
        <w:t>GA Res 68/167, UN GAOR, 68</w:t>
      </w:r>
      <w:r w:rsidRPr="00B91191">
        <w:rPr>
          <w:rFonts w:cs="Open Sans"/>
          <w:sz w:val="20"/>
          <w:szCs w:val="20"/>
          <w:vertAlign w:val="superscript"/>
        </w:rPr>
        <w:t>th</w:t>
      </w:r>
      <w:r w:rsidRPr="00B91191">
        <w:rPr>
          <w:rFonts w:cs="Open Sans"/>
          <w:sz w:val="20"/>
          <w:szCs w:val="20"/>
        </w:rPr>
        <w:t xml:space="preserve"> sess, Agenda Item 69(b), UN Doc A/RES/68/167 (18 December 2013) 2.</w:t>
      </w:r>
    </w:p>
  </w:endnote>
  <w:endnote w:id="24">
    <w:p w14:paraId="7CDEF6F6"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The right to privacy in the digital age, </w:t>
      </w:r>
      <w:r w:rsidRPr="00B91191">
        <w:rPr>
          <w:rFonts w:cs="Open Sans"/>
          <w:sz w:val="20"/>
          <w:szCs w:val="20"/>
        </w:rPr>
        <w:t>GA Res 68/167, UN GAOR, 68</w:t>
      </w:r>
      <w:r w:rsidRPr="00B91191">
        <w:rPr>
          <w:rFonts w:cs="Open Sans"/>
          <w:sz w:val="20"/>
          <w:szCs w:val="20"/>
          <w:vertAlign w:val="superscript"/>
        </w:rPr>
        <w:t>th</w:t>
      </w:r>
      <w:r w:rsidRPr="00B91191">
        <w:rPr>
          <w:rFonts w:cs="Open Sans"/>
          <w:sz w:val="20"/>
          <w:szCs w:val="20"/>
        </w:rPr>
        <w:t xml:space="preserve"> sess, Agenda Item 69(b), UN Doc A/RES/68/167 (18 December 2013) 2.</w:t>
      </w:r>
    </w:p>
  </w:endnote>
  <w:endnote w:id="25">
    <w:p w14:paraId="10B53581"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Office of the United Nations High Commissioner for Human Rights, </w:t>
      </w:r>
      <w:r w:rsidRPr="00B91191">
        <w:rPr>
          <w:rFonts w:cs="Open Sans"/>
          <w:i/>
          <w:sz w:val="20"/>
          <w:szCs w:val="20"/>
        </w:rPr>
        <w:t xml:space="preserve">The Right to Privacy in the Digital Age, </w:t>
      </w:r>
      <w:r w:rsidRPr="00B91191">
        <w:rPr>
          <w:rFonts w:cs="Open Sans"/>
          <w:sz w:val="20"/>
          <w:szCs w:val="20"/>
        </w:rPr>
        <w:t>27</w:t>
      </w:r>
      <w:r w:rsidRPr="00B91191">
        <w:rPr>
          <w:rFonts w:cs="Open Sans"/>
          <w:sz w:val="20"/>
          <w:szCs w:val="20"/>
          <w:vertAlign w:val="superscript"/>
        </w:rPr>
        <w:t>th</w:t>
      </w:r>
      <w:r w:rsidRPr="00B91191">
        <w:rPr>
          <w:rFonts w:cs="Open Sans"/>
          <w:sz w:val="20"/>
          <w:szCs w:val="20"/>
        </w:rPr>
        <w:t xml:space="preserve"> sess, Agenda Items 2 and 3, UN Doc A/HRC/27/37 (30 June 2014) 7 [20].</w:t>
      </w:r>
    </w:p>
  </w:endnote>
  <w:endnote w:id="26">
    <w:p w14:paraId="12D24C57"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Moira Paterson, ‘Surveillance in Public Places and the Role of the Media: Achieving an Optimal Balance’ (2009) 14 </w:t>
      </w:r>
      <w:r w:rsidRPr="00B91191">
        <w:rPr>
          <w:rFonts w:cs="Open Sans"/>
          <w:i/>
          <w:sz w:val="20"/>
          <w:szCs w:val="20"/>
        </w:rPr>
        <w:t xml:space="preserve">Media and Arts Law Review </w:t>
      </w:r>
      <w:r w:rsidRPr="00B91191">
        <w:rPr>
          <w:rFonts w:cs="Open Sans"/>
          <w:sz w:val="20"/>
          <w:szCs w:val="20"/>
        </w:rPr>
        <w:t xml:space="preserve">241, 249 quoted in Australian Law Reform Commission, </w:t>
      </w:r>
      <w:r w:rsidRPr="00B91191">
        <w:rPr>
          <w:rFonts w:cs="Open Sans"/>
          <w:i/>
          <w:sz w:val="20"/>
          <w:szCs w:val="20"/>
        </w:rPr>
        <w:t>Serious Invasions of Privacy in the Digital Era</w:t>
      </w:r>
      <w:r w:rsidRPr="00B91191">
        <w:rPr>
          <w:rFonts w:cs="Open Sans"/>
          <w:sz w:val="20"/>
          <w:szCs w:val="20"/>
        </w:rPr>
        <w:t xml:space="preserve">, Report No 123 (2014) [14.13]. </w:t>
      </w:r>
    </w:p>
  </w:endnote>
  <w:endnote w:id="27">
    <w:p w14:paraId="28C75B1B"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See Mr Pieter Omtzigt, Rapporteur, </w:t>
      </w:r>
      <w:r w:rsidRPr="00B91191">
        <w:rPr>
          <w:rFonts w:cs="Open Sans"/>
          <w:i/>
          <w:sz w:val="20"/>
          <w:szCs w:val="20"/>
        </w:rPr>
        <w:t>Mass Surveillance</w:t>
      </w:r>
      <w:r w:rsidRPr="00B91191">
        <w:rPr>
          <w:rFonts w:cs="Open Sans"/>
          <w:sz w:val="20"/>
          <w:szCs w:val="20"/>
        </w:rPr>
        <w:t xml:space="preserve"> (18 March 2015) Committee on Legal Affairs and Human Rights of the Parliamentary Assembly of the Council of Europe, 34.</w:t>
      </w:r>
    </w:p>
  </w:endnote>
  <w:endnote w:id="28">
    <w:p w14:paraId="02FEE8D0" w14:textId="4761520E" w:rsidR="006E71F6" w:rsidRPr="00B91191" w:rsidRDefault="006E71F6" w:rsidP="00FB5828">
      <w:pPr>
        <w:widowControl w:val="0"/>
        <w:suppressLineNumbers/>
        <w:autoSpaceDE w:val="0"/>
        <w:autoSpaceDN w:val="0"/>
        <w:adjustRightInd w:val="0"/>
        <w:ind w:left="511" w:right="57" w:hanging="454"/>
        <w:contextualSpacing/>
        <w:rPr>
          <w:rFonts w:eastAsia="Times New Roman" w:cs="Open Sans"/>
          <w:sz w:val="20"/>
          <w:szCs w:val="20"/>
        </w:rPr>
      </w:pPr>
      <w:r w:rsidRPr="00B91191">
        <w:rPr>
          <w:rStyle w:val="EndnoteReference"/>
          <w:sz w:val="20"/>
          <w:szCs w:val="20"/>
        </w:rPr>
        <w:endnoteRef/>
      </w:r>
      <w:r w:rsidRPr="00B91191">
        <w:rPr>
          <w:rFonts w:cs="Open Sans"/>
          <w:sz w:val="20"/>
          <w:szCs w:val="20"/>
        </w:rPr>
        <w:tab/>
      </w:r>
      <w:r w:rsidRPr="00B91191">
        <w:rPr>
          <w:rFonts w:eastAsia="Times New Roman" w:cs="Open Sans"/>
          <w:sz w:val="20"/>
          <w:szCs w:val="20"/>
        </w:rPr>
        <w:t xml:space="preserve">Margaret Sekaggya, United Nations Special Rapporteur on the situation of human rights defenders, </w:t>
      </w:r>
      <w:r w:rsidRPr="00B91191">
        <w:rPr>
          <w:rFonts w:eastAsia="Times New Roman" w:cs="Open Sans"/>
          <w:i/>
          <w:sz w:val="20"/>
          <w:szCs w:val="20"/>
        </w:rPr>
        <w:t>Report on the situation of human rights defenders</w:t>
      </w:r>
      <w:r w:rsidRPr="00B91191">
        <w:rPr>
          <w:rFonts w:eastAsia="Times New Roman" w:cs="Open Sans"/>
          <w:sz w:val="20"/>
          <w:szCs w:val="20"/>
        </w:rPr>
        <w:t>, 67</w:t>
      </w:r>
      <w:r w:rsidRPr="00B91191">
        <w:rPr>
          <w:rFonts w:eastAsia="Times New Roman" w:cs="Open Sans"/>
          <w:sz w:val="20"/>
          <w:szCs w:val="20"/>
          <w:vertAlign w:val="superscript"/>
        </w:rPr>
        <w:t>th</w:t>
      </w:r>
      <w:r w:rsidRPr="00B91191">
        <w:rPr>
          <w:rFonts w:eastAsia="Times New Roman" w:cs="Open Sans"/>
          <w:sz w:val="20"/>
          <w:szCs w:val="20"/>
        </w:rPr>
        <w:t xml:space="preserve"> sess, Provisional Agenda Item 70(b), UN Doc A/67/292 (10 August 2012) 16-17 [61]–[62].</w:t>
      </w:r>
      <w:r w:rsidRPr="00B91191" w:rsidDel="00D21F21">
        <w:rPr>
          <w:rFonts w:eastAsia="Times New Roman" w:cs="Open Sans"/>
          <w:sz w:val="20"/>
          <w:szCs w:val="20"/>
        </w:rPr>
        <w:t xml:space="preserve"> </w:t>
      </w:r>
    </w:p>
  </w:endnote>
  <w:endnote w:id="29">
    <w:p w14:paraId="08362A6A" w14:textId="77777777" w:rsidR="006E71F6" w:rsidRPr="00B91191" w:rsidRDefault="006E71F6" w:rsidP="00FB5828">
      <w:pPr>
        <w:widowControl w:val="0"/>
        <w:suppressLineNumbers/>
        <w:autoSpaceDE w:val="0"/>
        <w:autoSpaceDN w:val="0"/>
        <w:adjustRightInd w:val="0"/>
        <w:ind w:left="511" w:right="57" w:hanging="454"/>
        <w:contextualSpacing/>
        <w:rPr>
          <w:rFonts w:cs="Open Sans"/>
          <w:b/>
          <w:sz w:val="20"/>
          <w:szCs w:val="20"/>
        </w:rPr>
      </w:pPr>
      <w:r w:rsidRPr="00B91191">
        <w:rPr>
          <w:rStyle w:val="EndnoteReference"/>
          <w:sz w:val="20"/>
          <w:szCs w:val="20"/>
        </w:rPr>
        <w:endnoteRef/>
      </w:r>
      <w:r w:rsidRPr="00B91191">
        <w:rPr>
          <w:rFonts w:cs="Open Sans"/>
          <w:sz w:val="20"/>
          <w:szCs w:val="20"/>
        </w:rPr>
        <w:tab/>
        <w:t xml:space="preserve">The Commission also notes the significant role that communications providers play in ensuring respect for privacy and other human rights, but does not address this issue in the current submission. See generally John Ruggie, Special Representative of the United Nations Secretary-General on the issue of human rights and transnational corporations and other business enterprises, </w:t>
      </w:r>
      <w:r w:rsidRPr="00B91191">
        <w:rPr>
          <w:rFonts w:cs="Open Sans"/>
          <w:i/>
          <w:sz w:val="20"/>
          <w:szCs w:val="20"/>
        </w:rPr>
        <w:t>Promotion and protection of all human rights, civil, political, economic, social and cultural rights, including the right to development: Protect, Respect and Remedy: a Framework for Business and Human Rights</w:t>
      </w:r>
      <w:r w:rsidRPr="00B91191">
        <w:rPr>
          <w:rFonts w:cs="Open Sans"/>
          <w:sz w:val="20"/>
          <w:szCs w:val="20"/>
        </w:rPr>
        <w:t>, 8</w:t>
      </w:r>
      <w:r w:rsidRPr="00B91191">
        <w:rPr>
          <w:rFonts w:cs="Open Sans"/>
          <w:sz w:val="20"/>
          <w:szCs w:val="20"/>
          <w:vertAlign w:val="superscript"/>
        </w:rPr>
        <w:t>th</w:t>
      </w:r>
      <w:r w:rsidRPr="00B91191">
        <w:rPr>
          <w:rFonts w:cs="Open Sans"/>
          <w:sz w:val="20"/>
          <w:szCs w:val="20"/>
        </w:rPr>
        <w:t xml:space="preserve"> sess, Agenda Item 3, UN Doc A/HRC/8/5 (7 April 2008).</w:t>
      </w:r>
    </w:p>
  </w:endnote>
  <w:endnote w:id="30">
    <w:p w14:paraId="2105D67D"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Human Rights Committee, </w:t>
      </w:r>
      <w:r w:rsidRPr="00B91191">
        <w:rPr>
          <w:rFonts w:cs="Open Sans"/>
          <w:i/>
          <w:iCs/>
          <w:sz w:val="20"/>
          <w:szCs w:val="20"/>
        </w:rPr>
        <w:t>General Comment 16: Article 17 (Right to Privacy)</w:t>
      </w:r>
      <w:r w:rsidRPr="00B91191">
        <w:rPr>
          <w:rFonts w:cs="Open Sans"/>
          <w:iCs/>
          <w:sz w:val="20"/>
          <w:szCs w:val="20"/>
        </w:rPr>
        <w:t>, 23rd</w:t>
      </w:r>
      <w:r w:rsidRPr="00B91191">
        <w:rPr>
          <w:rFonts w:cs="Open Sans"/>
          <w:i/>
          <w:iCs/>
          <w:sz w:val="20"/>
          <w:szCs w:val="20"/>
        </w:rPr>
        <w:t xml:space="preserve"> </w:t>
      </w:r>
      <w:r w:rsidRPr="00B91191">
        <w:rPr>
          <w:rFonts w:cs="Open Sans"/>
          <w:iCs/>
          <w:sz w:val="20"/>
          <w:szCs w:val="20"/>
        </w:rPr>
        <w:t xml:space="preserve">sess, </w:t>
      </w:r>
      <w:r w:rsidRPr="00B91191">
        <w:rPr>
          <w:rFonts w:cs="Open Sans"/>
          <w:sz w:val="20"/>
          <w:szCs w:val="20"/>
        </w:rPr>
        <w:t xml:space="preserve">UN Doc. HRI/GEN/1/Rev.1 (1988) 21 [8]. </w:t>
      </w:r>
    </w:p>
  </w:endnote>
  <w:endnote w:id="31">
    <w:p w14:paraId="780249CC"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Office of the United Nations High Commissioner for Human Rights, </w:t>
      </w:r>
      <w:r w:rsidRPr="00B91191">
        <w:rPr>
          <w:rFonts w:cs="Open Sans"/>
          <w:i/>
          <w:iCs/>
          <w:sz w:val="20"/>
          <w:szCs w:val="20"/>
        </w:rPr>
        <w:t>The Right to Privacy in the Digital Age</w:t>
      </w:r>
      <w:r w:rsidRPr="00B91191">
        <w:rPr>
          <w:rFonts w:cs="Open Sans"/>
          <w:iCs/>
          <w:sz w:val="20"/>
          <w:szCs w:val="20"/>
        </w:rPr>
        <w:t>,</w:t>
      </w:r>
      <w:r w:rsidRPr="00B91191">
        <w:rPr>
          <w:rFonts w:cs="Open Sans"/>
          <w:i/>
          <w:iCs/>
          <w:sz w:val="20"/>
          <w:szCs w:val="20"/>
        </w:rPr>
        <w:t xml:space="preserve"> </w:t>
      </w:r>
      <w:r w:rsidRPr="00B91191">
        <w:rPr>
          <w:rFonts w:cs="Open Sans"/>
          <w:sz w:val="20"/>
          <w:szCs w:val="20"/>
        </w:rPr>
        <w:t>27</w:t>
      </w:r>
      <w:r w:rsidRPr="00B91191">
        <w:rPr>
          <w:rFonts w:cs="Open Sans"/>
          <w:sz w:val="20"/>
          <w:szCs w:val="20"/>
          <w:vertAlign w:val="superscript"/>
        </w:rPr>
        <w:t>th</w:t>
      </w:r>
      <w:r w:rsidRPr="00B91191">
        <w:rPr>
          <w:rFonts w:cs="Open Sans"/>
          <w:sz w:val="20"/>
          <w:szCs w:val="20"/>
        </w:rPr>
        <w:t xml:space="preserve"> sess, Agenda Items 2 and 3, UN Doc A/HRC/27/37 (30 June 2014) 7 [21]. </w:t>
      </w:r>
    </w:p>
  </w:endnote>
  <w:endnote w:id="32">
    <w:p w14:paraId="0AD6043F" w14:textId="77777777" w:rsidR="006E71F6" w:rsidRPr="00B91191" w:rsidRDefault="006E71F6" w:rsidP="00FB5828">
      <w:pPr>
        <w:pStyle w:val="ListNumber"/>
        <w:widowControl w:val="0"/>
        <w:numPr>
          <w:ilvl w:val="0"/>
          <w:numId w:val="0"/>
        </w:numPr>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Office of the United Nations High Commissioner for Human Rights, </w:t>
      </w:r>
      <w:r w:rsidRPr="00B91191">
        <w:rPr>
          <w:rFonts w:cs="Open Sans"/>
          <w:i/>
          <w:sz w:val="20"/>
          <w:szCs w:val="20"/>
        </w:rPr>
        <w:t xml:space="preserve">The Right to Privacy in the Digital Age, </w:t>
      </w:r>
      <w:r w:rsidRPr="00B91191">
        <w:rPr>
          <w:rFonts w:cs="Open Sans"/>
          <w:sz w:val="20"/>
          <w:szCs w:val="20"/>
        </w:rPr>
        <w:t>27</w:t>
      </w:r>
      <w:r w:rsidRPr="00B91191">
        <w:rPr>
          <w:rFonts w:cs="Open Sans"/>
          <w:sz w:val="20"/>
          <w:szCs w:val="20"/>
          <w:vertAlign w:val="superscript"/>
        </w:rPr>
        <w:t>th</w:t>
      </w:r>
      <w:r w:rsidRPr="00B91191">
        <w:rPr>
          <w:rFonts w:cs="Open Sans"/>
          <w:sz w:val="20"/>
          <w:szCs w:val="20"/>
        </w:rPr>
        <w:t xml:space="preserve"> sess, Agenda Items 2 and 3, UN Doc A/HRC/27/37 (30 June 2014) 8 [23]. </w:t>
      </w:r>
    </w:p>
  </w:endnote>
  <w:endnote w:id="33">
    <w:p w14:paraId="4F6D9AC2" w14:textId="77777777" w:rsidR="006E71F6" w:rsidRPr="00B91191" w:rsidRDefault="006E71F6" w:rsidP="00FB5828">
      <w:pPr>
        <w:pStyle w:val="ListNumber"/>
        <w:widowControl w:val="0"/>
        <w:numPr>
          <w:ilvl w:val="0"/>
          <w:numId w:val="0"/>
        </w:numPr>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Human Rights Committee, </w:t>
      </w:r>
      <w:r w:rsidRPr="00B91191">
        <w:rPr>
          <w:rFonts w:cs="Open Sans"/>
          <w:i/>
          <w:sz w:val="20"/>
          <w:szCs w:val="20"/>
        </w:rPr>
        <w:t>General Comment No 34: Article 19, Freedoms of opinion and expression</w:t>
      </w:r>
      <w:r w:rsidRPr="00B91191">
        <w:rPr>
          <w:rFonts w:cs="Open Sans"/>
          <w:sz w:val="20"/>
          <w:szCs w:val="20"/>
        </w:rPr>
        <w:t>, 102</w:t>
      </w:r>
      <w:r w:rsidRPr="00B91191">
        <w:rPr>
          <w:rFonts w:cs="Open Sans"/>
          <w:sz w:val="20"/>
          <w:szCs w:val="20"/>
          <w:vertAlign w:val="superscript"/>
        </w:rPr>
        <w:t>nd</w:t>
      </w:r>
      <w:r w:rsidRPr="00B91191">
        <w:rPr>
          <w:rFonts w:cs="Open Sans"/>
          <w:sz w:val="20"/>
          <w:szCs w:val="20"/>
        </w:rPr>
        <w:t xml:space="preserve"> sess, UN Doc CCPR/C/GC/34 (12 September 2011) 3 [11]. </w:t>
      </w:r>
    </w:p>
  </w:endnote>
  <w:endnote w:id="34">
    <w:p w14:paraId="3AD6F552"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Human Rights Committee, </w:t>
      </w:r>
      <w:r w:rsidRPr="00B91191">
        <w:rPr>
          <w:rFonts w:cs="Open Sans"/>
          <w:i/>
          <w:sz w:val="20"/>
          <w:szCs w:val="20"/>
        </w:rPr>
        <w:t>General Comment No 34: Article 19, Freedoms of opinion and expression</w:t>
      </w:r>
      <w:r w:rsidRPr="00B91191">
        <w:rPr>
          <w:rFonts w:cs="Open Sans"/>
          <w:sz w:val="20"/>
          <w:szCs w:val="20"/>
        </w:rPr>
        <w:t>, 102</w:t>
      </w:r>
      <w:r w:rsidRPr="00B91191">
        <w:rPr>
          <w:rFonts w:cs="Open Sans"/>
          <w:sz w:val="20"/>
          <w:szCs w:val="20"/>
          <w:vertAlign w:val="superscript"/>
        </w:rPr>
        <w:t>nd</w:t>
      </w:r>
      <w:r w:rsidRPr="00B91191">
        <w:rPr>
          <w:rFonts w:cs="Open Sans"/>
          <w:sz w:val="20"/>
          <w:szCs w:val="20"/>
        </w:rPr>
        <w:t xml:space="preserve"> sess, UN Doc CCPR/C/GC/34 (12 September 2011) 7 [28]. </w:t>
      </w:r>
    </w:p>
  </w:endnote>
  <w:endnote w:id="35">
    <w:p w14:paraId="1AB4AC1C"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t xml:space="preserve">For example, see discussion regarding the prohibition against torture: United Nations Committee against Torture, </w:t>
      </w:r>
      <w:r w:rsidRPr="00B91191">
        <w:rPr>
          <w:rFonts w:cs="Open Sans"/>
          <w:i/>
          <w:sz w:val="20"/>
          <w:szCs w:val="20"/>
        </w:rPr>
        <w:t>General Comment No 2: Implementation of article 2 by States Parties</w:t>
      </w:r>
      <w:r w:rsidRPr="00B91191">
        <w:rPr>
          <w:rFonts w:cs="Open Sans"/>
          <w:sz w:val="20"/>
          <w:szCs w:val="20"/>
        </w:rPr>
        <w:t>, UN Doc CAT/C/GC/2 (24 January 2008) 2 [5].</w:t>
      </w:r>
    </w:p>
  </w:endnote>
  <w:endnote w:id="36">
    <w:p w14:paraId="203B7E46"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Economic and Social Council, </w:t>
      </w:r>
      <w:r w:rsidRPr="00B91191">
        <w:rPr>
          <w:rFonts w:cs="Open Sans"/>
          <w:i/>
          <w:sz w:val="20"/>
          <w:szCs w:val="20"/>
        </w:rPr>
        <w:t>Siracusa Principles on the Limitation and Derogation Provisions in the International Covenant on Civil and Political Rights</w:t>
      </w:r>
      <w:r w:rsidRPr="00B91191">
        <w:rPr>
          <w:rFonts w:cs="Open Sans"/>
          <w:sz w:val="20"/>
          <w:szCs w:val="20"/>
        </w:rPr>
        <w:t>, UN Doc E/CN.4/1985/4, Annex (1985) [2].</w:t>
      </w:r>
    </w:p>
  </w:endnote>
  <w:endnote w:id="37">
    <w:p w14:paraId="2567FD93"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Human Rights Committee, </w:t>
      </w:r>
      <w:r w:rsidRPr="00B91191">
        <w:rPr>
          <w:rFonts w:cs="Open Sans"/>
          <w:i/>
          <w:sz w:val="20"/>
          <w:szCs w:val="20"/>
        </w:rPr>
        <w:t>General Comment No 35: Article 9 (Liberty and security of person),</w:t>
      </w:r>
      <w:r w:rsidRPr="00B91191">
        <w:rPr>
          <w:rFonts w:cs="Open Sans"/>
          <w:sz w:val="20"/>
          <w:szCs w:val="20"/>
        </w:rPr>
        <w:t xml:space="preserve"> 112</w:t>
      </w:r>
      <w:r w:rsidRPr="00B91191">
        <w:rPr>
          <w:rFonts w:cs="Open Sans"/>
          <w:sz w:val="20"/>
          <w:szCs w:val="20"/>
          <w:vertAlign w:val="superscript"/>
        </w:rPr>
        <w:t>th</w:t>
      </w:r>
      <w:r w:rsidRPr="00B91191">
        <w:rPr>
          <w:rFonts w:cs="Open Sans"/>
          <w:sz w:val="20"/>
          <w:szCs w:val="20"/>
        </w:rPr>
        <w:t xml:space="preserve"> sess, UN Doc CCPR/C/GC/35 (16 December 2014) 3–4 [12].</w:t>
      </w:r>
    </w:p>
  </w:endnote>
  <w:endnote w:id="38">
    <w:p w14:paraId="0B51814D"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Office of the United Nations High Commissioner for Human Rights, </w:t>
      </w:r>
      <w:r w:rsidRPr="00B91191">
        <w:rPr>
          <w:rFonts w:cs="Open Sans"/>
          <w:i/>
          <w:sz w:val="20"/>
          <w:szCs w:val="20"/>
        </w:rPr>
        <w:t xml:space="preserve">The Right to Privacy in the Digital Age, </w:t>
      </w:r>
      <w:r w:rsidRPr="00B91191">
        <w:rPr>
          <w:rFonts w:cs="Open Sans"/>
          <w:sz w:val="20"/>
          <w:szCs w:val="20"/>
        </w:rPr>
        <w:t>27</w:t>
      </w:r>
      <w:r w:rsidRPr="00B91191">
        <w:rPr>
          <w:rFonts w:cs="Open Sans"/>
          <w:sz w:val="20"/>
          <w:szCs w:val="20"/>
          <w:vertAlign w:val="superscript"/>
        </w:rPr>
        <w:t>th</w:t>
      </w:r>
      <w:r w:rsidRPr="00B91191">
        <w:rPr>
          <w:rFonts w:cs="Open Sans"/>
          <w:sz w:val="20"/>
          <w:szCs w:val="20"/>
        </w:rPr>
        <w:t xml:space="preserve"> sess, Agenda Items 2 and 3, UN Doc A/HRC/27/37 (30 June 2014) 8 [34]. </w:t>
      </w:r>
    </w:p>
  </w:endnote>
  <w:endnote w:id="39">
    <w:p w14:paraId="1D544C2A" w14:textId="727EDA57" w:rsidR="006E71F6" w:rsidRPr="00B91191" w:rsidRDefault="006E71F6" w:rsidP="004E2D5C">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United Nations</w:t>
      </w:r>
      <w:r w:rsidRPr="00B91191">
        <w:rPr>
          <w:rFonts w:cs="Open Sans"/>
          <w:sz w:val="20"/>
          <w:szCs w:val="20"/>
          <w:u w:val="single"/>
        </w:rPr>
        <w:t xml:space="preserve"> </w:t>
      </w:r>
      <w:r w:rsidRPr="00B91191">
        <w:rPr>
          <w:rFonts w:cs="Open Sans"/>
          <w:sz w:val="20"/>
          <w:szCs w:val="20"/>
        </w:rPr>
        <w:t xml:space="preserve">Economic and Social Council, </w:t>
      </w:r>
      <w:r w:rsidRPr="00B91191">
        <w:rPr>
          <w:rFonts w:cs="Open Sans"/>
          <w:i/>
          <w:iCs/>
          <w:sz w:val="20"/>
          <w:szCs w:val="20"/>
        </w:rPr>
        <w:t>Siracusa Principles on the Limitation and Derogation Provisions in the International Covenant on Civil and Political Rights</w:t>
      </w:r>
      <w:r w:rsidRPr="00B91191">
        <w:rPr>
          <w:rFonts w:cs="Open Sans"/>
          <w:sz w:val="20"/>
          <w:szCs w:val="20"/>
        </w:rPr>
        <w:t xml:space="preserve">, U.N. Doc. E/CN.4/1985/4, Annex (1985) [29]–[32]. </w:t>
      </w:r>
    </w:p>
  </w:endnote>
  <w:endnote w:id="40">
    <w:p w14:paraId="38AC9EE5" w14:textId="1F600306" w:rsidR="006E71F6" w:rsidRPr="00B91191" w:rsidRDefault="006E71F6" w:rsidP="004E2D5C">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Economic and Social Council, </w:t>
      </w:r>
      <w:r w:rsidRPr="00B91191">
        <w:rPr>
          <w:rFonts w:cs="Open Sans"/>
          <w:i/>
          <w:sz w:val="20"/>
          <w:szCs w:val="20"/>
        </w:rPr>
        <w:t>Siracusa Principles on the Limitation and Derogation Provisions in the International Covenant on Civil and Political Rights</w:t>
      </w:r>
      <w:r w:rsidRPr="00B91191">
        <w:rPr>
          <w:rFonts w:cs="Open Sans"/>
          <w:sz w:val="20"/>
          <w:szCs w:val="20"/>
        </w:rPr>
        <w:t>, UN Doc E/CN.4/1985/4, Annex (1985) [29]–[30].</w:t>
      </w:r>
    </w:p>
  </w:endnote>
  <w:endnote w:id="41">
    <w:p w14:paraId="50DA302D"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Economic and Social Council, </w:t>
      </w:r>
      <w:r w:rsidRPr="00B91191">
        <w:rPr>
          <w:rFonts w:cs="Open Sans"/>
          <w:i/>
          <w:sz w:val="20"/>
          <w:szCs w:val="20"/>
        </w:rPr>
        <w:t>Siracusa Principles on the Limitation and Derogation Provisions in the International Covenant on Civil and Political Rights</w:t>
      </w:r>
      <w:r w:rsidRPr="00B91191">
        <w:rPr>
          <w:rFonts w:cs="Open Sans"/>
          <w:sz w:val="20"/>
          <w:szCs w:val="20"/>
        </w:rPr>
        <w:t>, UN Doc E/CN.4/1985/4, Annex (1985) [10].</w:t>
      </w:r>
    </w:p>
  </w:endnote>
  <w:endnote w:id="42">
    <w:p w14:paraId="1A07E015" w14:textId="77777777" w:rsidR="006E71F6" w:rsidRPr="00B91191" w:rsidRDefault="006E71F6" w:rsidP="004645FA">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Economic and Social Council, </w:t>
      </w:r>
      <w:r w:rsidRPr="00B91191">
        <w:rPr>
          <w:rFonts w:cs="Open Sans"/>
          <w:i/>
          <w:sz w:val="20"/>
          <w:szCs w:val="20"/>
        </w:rPr>
        <w:t>Siracusa Principles on the Limitation and Derogation Provisions in the International Covenant on Civil and Political Rights</w:t>
      </w:r>
      <w:r w:rsidRPr="00B91191">
        <w:rPr>
          <w:rFonts w:cs="Open Sans"/>
          <w:sz w:val="20"/>
          <w:szCs w:val="20"/>
        </w:rPr>
        <w:t>, UN Doc E/CN.4/1985/4, Annex (1985) [12].</w:t>
      </w:r>
    </w:p>
  </w:endnote>
  <w:endnote w:id="43">
    <w:p w14:paraId="5D7719F1" w14:textId="3A9D4059"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See the comments made in respect of emergency powers and counter-terrorism by Fionnuala Ní Aoláin, United Nations Special Rapporteur on the promotion and protection of human rights and fundamental freedoms while countering terrorism, </w:t>
      </w:r>
      <w:r w:rsidRPr="00B91191">
        <w:rPr>
          <w:rFonts w:cs="Open Sans"/>
          <w:i/>
          <w:sz w:val="20"/>
          <w:szCs w:val="20"/>
        </w:rPr>
        <w:t>Report on the promotion and protection of human rights and fundamental freedoms while countering terrorism</w:t>
      </w:r>
      <w:r w:rsidRPr="00B91191">
        <w:rPr>
          <w:rFonts w:cs="Open Sans"/>
          <w:sz w:val="20"/>
          <w:szCs w:val="20"/>
        </w:rPr>
        <w:t xml:space="preserve"> (Advance Unedited Version) 72</w:t>
      </w:r>
      <w:r w:rsidRPr="00B91191">
        <w:rPr>
          <w:rFonts w:cs="Open Sans"/>
          <w:sz w:val="20"/>
          <w:szCs w:val="20"/>
          <w:vertAlign w:val="superscript"/>
        </w:rPr>
        <w:t>nd</w:t>
      </w:r>
      <w:r w:rsidRPr="00B91191">
        <w:rPr>
          <w:rFonts w:cs="Open Sans"/>
          <w:sz w:val="20"/>
          <w:szCs w:val="20"/>
        </w:rPr>
        <w:t xml:space="preserve"> sess, Provisional Agenda Item 73(b), UN Doc A/72/43280 (27 September 2017) [14]–[16].</w:t>
      </w:r>
    </w:p>
  </w:endnote>
  <w:endnote w:id="44">
    <w:p w14:paraId="07EE15C2" w14:textId="77777777" w:rsidR="006E71F6" w:rsidRPr="00B91191" w:rsidRDefault="006E71F6" w:rsidP="00C207D5">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Economic and Social Council, </w:t>
      </w:r>
      <w:r w:rsidRPr="00B91191">
        <w:rPr>
          <w:rFonts w:cs="Open Sans"/>
          <w:i/>
          <w:sz w:val="20"/>
          <w:szCs w:val="20"/>
        </w:rPr>
        <w:t>Siracusa Principles on the Limitation and Derogation Provisions in the International Covenant on Civil and Political Rights</w:t>
      </w:r>
      <w:r w:rsidRPr="00B91191">
        <w:rPr>
          <w:rFonts w:cs="Open Sans"/>
          <w:sz w:val="20"/>
          <w:szCs w:val="20"/>
        </w:rPr>
        <w:t>, UN Doc E/CN.4/1985/4, Annex (1985) [10].</w:t>
      </w:r>
    </w:p>
  </w:endnote>
  <w:endnote w:id="45">
    <w:p w14:paraId="3D2B2C76"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Human Rights Committee, </w:t>
      </w:r>
      <w:r w:rsidRPr="00B91191">
        <w:rPr>
          <w:rFonts w:cs="Open Sans"/>
          <w:i/>
          <w:iCs/>
          <w:sz w:val="20"/>
          <w:szCs w:val="20"/>
        </w:rPr>
        <w:t>General Comment No 27: Article 12 (Freedom of Movement</w:t>
      </w:r>
      <w:r w:rsidRPr="00B91191">
        <w:rPr>
          <w:rFonts w:cs="Open Sans"/>
          <w:i/>
          <w:sz w:val="20"/>
          <w:szCs w:val="20"/>
        </w:rPr>
        <w:t>)</w:t>
      </w:r>
      <w:r w:rsidRPr="00B91191">
        <w:rPr>
          <w:rFonts w:cs="Open Sans"/>
          <w:sz w:val="20"/>
          <w:szCs w:val="20"/>
        </w:rPr>
        <w:t>, 67</w:t>
      </w:r>
      <w:r w:rsidRPr="00B91191">
        <w:rPr>
          <w:rFonts w:cs="Open Sans"/>
          <w:sz w:val="20"/>
          <w:szCs w:val="20"/>
          <w:vertAlign w:val="superscript"/>
        </w:rPr>
        <w:t>th</w:t>
      </w:r>
      <w:r w:rsidRPr="00B91191">
        <w:rPr>
          <w:rFonts w:cs="Open Sans"/>
          <w:sz w:val="20"/>
          <w:szCs w:val="20"/>
        </w:rPr>
        <w:t xml:space="preserve"> sess, UN Doc CCPR/C/21/Rev.1/Add.9 (2 November 1999) 3 [13]–[14].</w:t>
      </w:r>
    </w:p>
  </w:endnote>
  <w:endnote w:id="46">
    <w:p w14:paraId="3C5572A6"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Economic and Social Council, </w:t>
      </w:r>
      <w:r w:rsidRPr="00B91191">
        <w:rPr>
          <w:rFonts w:cs="Open Sans"/>
          <w:i/>
          <w:sz w:val="20"/>
          <w:szCs w:val="20"/>
        </w:rPr>
        <w:t>Siracusa Principles on the Limitation and Derogation Provisions in the International Covenant on Civil and Political Rights</w:t>
      </w:r>
      <w:r w:rsidRPr="00B91191">
        <w:rPr>
          <w:rFonts w:cs="Open Sans"/>
          <w:sz w:val="20"/>
          <w:szCs w:val="20"/>
        </w:rPr>
        <w:t>, UN Doc E/CN.4/1985/4, Annex (1985) [51].</w:t>
      </w:r>
    </w:p>
  </w:endnote>
  <w:endnote w:id="47">
    <w:p w14:paraId="351C2498" w14:textId="33546655"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3 [8].</w:t>
      </w:r>
    </w:p>
  </w:endnote>
  <w:endnote w:id="48">
    <w:p w14:paraId="13B4B057" w14:textId="73811896"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3 [8].</w:t>
      </w:r>
    </w:p>
  </w:endnote>
  <w:endnote w:id="49">
    <w:p w14:paraId="763FB989" w14:textId="1021CAF1"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4 [11].</w:t>
      </w:r>
    </w:p>
  </w:endnote>
  <w:endnote w:id="50">
    <w:p w14:paraId="05BDC01F" w14:textId="42ED366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The Director-General of Security is the head of ASIO pursuant to s 8(1) of the </w:t>
      </w:r>
      <w:r w:rsidRPr="00B91191">
        <w:rPr>
          <w:rFonts w:cs="Open Sans"/>
          <w:i/>
          <w:sz w:val="20"/>
          <w:szCs w:val="20"/>
        </w:rPr>
        <w:t xml:space="preserve">Australian Security Intelligence Organisation Act 1979 </w:t>
      </w:r>
      <w:r w:rsidRPr="00B91191">
        <w:rPr>
          <w:rFonts w:cs="Open Sans"/>
          <w:sz w:val="20"/>
          <w:szCs w:val="20"/>
        </w:rPr>
        <w:t>(Cth).</w:t>
      </w:r>
    </w:p>
  </w:endnote>
  <w:endnote w:id="51">
    <w:p w14:paraId="5B8028C5"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w:t>
      </w:r>
      <w:r w:rsidRPr="00B91191">
        <w:rPr>
          <w:rFonts w:cs="Open Sans"/>
          <w:sz w:val="20"/>
          <w:szCs w:val="20"/>
          <w:lang w:val="en-US"/>
        </w:rPr>
        <w:t>proposed Division 2 of Pt 15.</w:t>
      </w:r>
    </w:p>
  </w:endnote>
  <w:endnote w:id="52">
    <w:p w14:paraId="5EA900A8"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w:t>
      </w:r>
      <w:r w:rsidRPr="00B91191">
        <w:rPr>
          <w:rFonts w:cs="Open Sans"/>
          <w:sz w:val="20"/>
          <w:szCs w:val="20"/>
          <w:lang w:val="en-US"/>
        </w:rPr>
        <w:t>roposed Division 3 of Pt 15.</w:t>
      </w:r>
    </w:p>
  </w:endnote>
  <w:endnote w:id="53">
    <w:p w14:paraId="148B06E0"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w:t>
      </w:r>
      <w:r w:rsidRPr="00B91191">
        <w:rPr>
          <w:rFonts w:cs="Open Sans"/>
          <w:sz w:val="20"/>
          <w:szCs w:val="20"/>
          <w:lang w:val="en-US"/>
        </w:rPr>
        <w:t>proposed Division 4 of Pt 15.</w:t>
      </w:r>
    </w:p>
  </w:endnote>
  <w:endnote w:id="54">
    <w:p w14:paraId="34936AAF" w14:textId="7A315DAC"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 317B.</w:t>
      </w:r>
    </w:p>
  </w:endnote>
  <w:endnote w:id="55">
    <w:p w14:paraId="167094F7" w14:textId="0F98ACC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35 [25].</w:t>
      </w:r>
    </w:p>
  </w:endnote>
  <w:endnote w:id="56">
    <w:p w14:paraId="780F95F4" w14:textId="067CF1FE"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Proposed s 317D(1)–(2) of the </w:t>
      </w:r>
      <w:r w:rsidRPr="00B91191">
        <w:rPr>
          <w:rFonts w:cs="Open Sans"/>
          <w:i/>
          <w:sz w:val="20"/>
          <w:szCs w:val="20"/>
        </w:rPr>
        <w:t>Telecommunications Act 1997</w:t>
      </w:r>
      <w:r w:rsidRPr="00B91191">
        <w:rPr>
          <w:rFonts w:cs="Open Sans"/>
          <w:sz w:val="20"/>
          <w:szCs w:val="20"/>
        </w:rPr>
        <w:t xml:space="preserve"> (Cth)</w:t>
      </w:r>
      <w:r w:rsidRPr="00B91191">
        <w:rPr>
          <w:rFonts w:cs="Open Sans"/>
          <w:sz w:val="20"/>
          <w:szCs w:val="20"/>
          <w:lang w:val="en-US"/>
        </w:rPr>
        <w:t xml:space="preserve"> </w:t>
      </w:r>
      <w:r w:rsidRPr="00B91191">
        <w:rPr>
          <w:rFonts w:cs="Open Sans"/>
          <w:sz w:val="20"/>
          <w:szCs w:val="20"/>
        </w:rPr>
        <w:t>defines ‘electronic service’ as a service that allows end-users to access material using a carriage service, including a website, or a service that delivers material to persons having equipment appropriate for receiving that material, where the delivery is by means of a carriage service. Under proposed s 317D(1)(c)–(d), a broadcasting or datacasting service is excluded from the definition of ‘electronic service’. Proposed s 317B defines ‘material’ to include texts, data, speech, music or other sounds and visual images.</w:t>
      </w:r>
    </w:p>
  </w:endnote>
  <w:endnote w:id="57">
    <w:p w14:paraId="08F8A3C3" w14:textId="1169C8EF"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37 [47].</w:t>
      </w:r>
    </w:p>
  </w:endnote>
  <w:endnote w:id="58">
    <w:p w14:paraId="45AF1587" w14:textId="2D0ECBBF"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37 [47].</w:t>
      </w:r>
    </w:p>
  </w:endnote>
  <w:endnote w:id="59">
    <w:p w14:paraId="68D9C3E4" w14:textId="34CDB86B"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 </w:t>
      </w:r>
      <w:r w:rsidRPr="00B91191">
        <w:rPr>
          <w:rFonts w:cs="Open Sans"/>
          <w:sz w:val="20"/>
          <w:szCs w:val="20"/>
          <w:lang w:val="en-US"/>
        </w:rPr>
        <w:t>317E.</w:t>
      </w:r>
    </w:p>
  </w:endnote>
  <w:endnote w:id="60">
    <w:p w14:paraId="053CF898" w14:textId="5FE6DA82"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38–42 [56]–[81].</w:t>
      </w:r>
    </w:p>
  </w:endnote>
  <w:endnote w:id="61">
    <w:p w14:paraId="0F198EE0" w14:textId="15981510"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 </w:t>
      </w:r>
      <w:r w:rsidRPr="00B91191">
        <w:rPr>
          <w:rFonts w:cs="Open Sans"/>
          <w:sz w:val="20"/>
          <w:szCs w:val="20"/>
          <w:lang w:val="en-US"/>
        </w:rPr>
        <w:t>317ZB. Notably, a defence is provided under proposed s 317ZB(5) where a provider has been compelled to do an act or thing under a TAN or TCN in a foreign country and the provider proves that would contravene a law of the foreign country.</w:t>
      </w:r>
    </w:p>
  </w:endnote>
  <w:endnote w:id="62">
    <w:p w14:paraId="628AEEEE" w14:textId="3A3974BA"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ss </w:t>
      </w:r>
      <w:r w:rsidRPr="00B91191">
        <w:rPr>
          <w:rFonts w:cs="Open Sans"/>
          <w:sz w:val="20"/>
          <w:szCs w:val="20"/>
          <w:lang w:val="en-US"/>
        </w:rPr>
        <w:t xml:space="preserve">317ZB, 317ZC. </w:t>
      </w:r>
    </w:p>
  </w:endnote>
  <w:endnote w:id="63">
    <w:p w14:paraId="06FD0C36" w14:textId="36598FAF"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Explanatory Memorandum, Telecommunications and Other Legislation Amendment (Assistance and Access) Bill 2018 (Cth) 67 [257].</w:t>
      </w:r>
      <w:r w:rsidRPr="00B91191">
        <w:rPr>
          <w:rFonts w:cs="Open Sans"/>
          <w:sz w:val="20"/>
          <w:szCs w:val="20"/>
          <w:lang w:val="en-AU"/>
        </w:rPr>
        <w:t xml:space="preserve"> </w:t>
      </w:r>
    </w:p>
  </w:endnote>
  <w:endnote w:id="64">
    <w:p w14:paraId="34CA2EBD" w14:textId="0D589C24"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 317ZG(3).</w:t>
      </w:r>
    </w:p>
  </w:endnote>
  <w:endnote w:id="65">
    <w:p w14:paraId="4B6FC833" w14:textId="79AE95DB"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ss 317P, 317Q(10), 317RA, 317V, 317X(4) and 317ZAA.</w:t>
      </w:r>
    </w:p>
  </w:endnote>
  <w:endnote w:id="66">
    <w:p w14:paraId="1A602791" w14:textId="73043C5B"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56</w:t>
      </w:r>
      <w:r w:rsidRPr="00B91191">
        <w:rPr>
          <w:rFonts w:cs="Open Sans"/>
          <w:sz w:val="20"/>
          <w:szCs w:val="20"/>
        </w:rPr>
        <w:softHyphen/>
        <w:t>–57 [178]–[183], referring to proposed s </w:t>
      </w:r>
      <w:r w:rsidRPr="00B91191">
        <w:rPr>
          <w:rFonts w:cs="Open Sans"/>
          <w:sz w:val="20"/>
          <w:szCs w:val="20"/>
          <w:lang w:val="en-US"/>
        </w:rPr>
        <w:t xml:space="preserve">317W(1)–(3) of the </w:t>
      </w:r>
      <w:r w:rsidRPr="00B91191">
        <w:rPr>
          <w:rFonts w:cs="Open Sans"/>
          <w:i/>
          <w:sz w:val="20"/>
          <w:szCs w:val="20"/>
        </w:rPr>
        <w:t>Telecommunications Act 1997</w:t>
      </w:r>
      <w:r w:rsidRPr="00B91191">
        <w:rPr>
          <w:rFonts w:cs="Open Sans"/>
          <w:sz w:val="20"/>
          <w:szCs w:val="20"/>
        </w:rPr>
        <w:t xml:space="preserve"> (Cth)</w:t>
      </w:r>
      <w:r w:rsidRPr="00B91191">
        <w:rPr>
          <w:rFonts w:cs="Open Sans"/>
          <w:sz w:val="20"/>
          <w:szCs w:val="20"/>
          <w:lang w:val="en-US"/>
        </w:rPr>
        <w:t>.</w:t>
      </w:r>
    </w:p>
  </w:endnote>
  <w:endnote w:id="67">
    <w:p w14:paraId="75DAB3C0" w14:textId="5C7C6175"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Proposed s </w:t>
      </w:r>
      <w:r w:rsidRPr="00B91191">
        <w:rPr>
          <w:rFonts w:cs="Open Sans"/>
          <w:sz w:val="20"/>
          <w:szCs w:val="20"/>
          <w:lang w:val="en-US"/>
        </w:rPr>
        <w:t xml:space="preserve">317W(7) of the </w:t>
      </w:r>
      <w:r w:rsidRPr="00B91191">
        <w:rPr>
          <w:rFonts w:cs="Open Sans"/>
          <w:i/>
          <w:sz w:val="20"/>
          <w:szCs w:val="20"/>
        </w:rPr>
        <w:t>Telecommunications Act 1997</w:t>
      </w:r>
      <w:r w:rsidRPr="00B91191">
        <w:rPr>
          <w:rFonts w:cs="Open Sans"/>
          <w:sz w:val="20"/>
          <w:szCs w:val="20"/>
        </w:rPr>
        <w:t xml:space="preserve"> (Cth)</w:t>
      </w:r>
      <w:r w:rsidRPr="00B91191">
        <w:rPr>
          <w:rFonts w:cs="Open Sans"/>
          <w:sz w:val="20"/>
          <w:szCs w:val="20"/>
          <w:lang w:val="en-US"/>
        </w:rPr>
        <w:t>.</w:t>
      </w:r>
    </w:p>
  </w:endnote>
  <w:endnote w:id="68">
    <w:p w14:paraId="622EB0ED" w14:textId="218F3D3C"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50 [137], 59 [201], referring to proposed ss 317R(2), 317R(4), 317Z </w:t>
      </w:r>
      <w:r w:rsidRPr="00B91191">
        <w:rPr>
          <w:rFonts w:cs="Open Sans"/>
          <w:sz w:val="20"/>
          <w:szCs w:val="20"/>
          <w:lang w:val="en-US"/>
        </w:rPr>
        <w:t xml:space="preserve">of the </w:t>
      </w:r>
      <w:r w:rsidRPr="00B91191">
        <w:rPr>
          <w:rFonts w:cs="Open Sans"/>
          <w:i/>
          <w:sz w:val="20"/>
          <w:szCs w:val="20"/>
        </w:rPr>
        <w:t>Telecommunications Act 1997</w:t>
      </w:r>
      <w:r w:rsidRPr="00B91191">
        <w:rPr>
          <w:rFonts w:cs="Open Sans"/>
          <w:sz w:val="20"/>
          <w:szCs w:val="20"/>
        </w:rPr>
        <w:t xml:space="preserve"> (Cth)</w:t>
      </w:r>
      <w:r w:rsidRPr="00B91191">
        <w:rPr>
          <w:rFonts w:cs="Open Sans"/>
          <w:sz w:val="20"/>
          <w:szCs w:val="20"/>
          <w:lang w:val="en-US"/>
        </w:rPr>
        <w:t>.</w:t>
      </w:r>
    </w:p>
  </w:endnote>
  <w:endnote w:id="69">
    <w:p w14:paraId="34466EC2" w14:textId="0D49D948"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4 [11], 68–69 [265]–[269], referring to proposed ss 317T(8)–(11), 317ZH </w:t>
      </w:r>
      <w:r w:rsidRPr="00B91191">
        <w:rPr>
          <w:rFonts w:cs="Open Sans"/>
          <w:sz w:val="20"/>
          <w:szCs w:val="20"/>
          <w:lang w:val="en-US"/>
        </w:rPr>
        <w:t xml:space="preserve">of the </w:t>
      </w:r>
      <w:r w:rsidRPr="00B91191">
        <w:rPr>
          <w:rFonts w:cs="Open Sans"/>
          <w:i/>
          <w:sz w:val="20"/>
          <w:szCs w:val="20"/>
        </w:rPr>
        <w:t>Telecommunications Act 1997</w:t>
      </w:r>
      <w:r w:rsidRPr="00B91191">
        <w:rPr>
          <w:rFonts w:cs="Open Sans"/>
          <w:sz w:val="20"/>
          <w:szCs w:val="20"/>
        </w:rPr>
        <w:t xml:space="preserve"> (Cth)</w:t>
      </w:r>
      <w:r w:rsidRPr="00B91191">
        <w:rPr>
          <w:rFonts w:cs="Open Sans"/>
          <w:sz w:val="20"/>
          <w:szCs w:val="20"/>
          <w:lang w:val="en-US"/>
        </w:rPr>
        <w:t>.</w:t>
      </w:r>
    </w:p>
  </w:endnote>
  <w:endnote w:id="70">
    <w:p w14:paraId="0D13C938" w14:textId="1FDCADB5"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4 [11], 68–69 [265]–[269], referring to proposed s 317ZH </w:t>
      </w:r>
      <w:r w:rsidRPr="00B91191">
        <w:rPr>
          <w:rFonts w:cs="Open Sans"/>
          <w:sz w:val="20"/>
          <w:szCs w:val="20"/>
          <w:lang w:val="en-US"/>
        </w:rPr>
        <w:t xml:space="preserve">of the </w:t>
      </w:r>
      <w:r w:rsidRPr="00B91191">
        <w:rPr>
          <w:rFonts w:cs="Open Sans"/>
          <w:i/>
          <w:sz w:val="20"/>
          <w:szCs w:val="20"/>
        </w:rPr>
        <w:t>Telecommunications Act 1997</w:t>
      </w:r>
      <w:r w:rsidRPr="00B91191">
        <w:rPr>
          <w:rFonts w:cs="Open Sans"/>
          <w:sz w:val="20"/>
          <w:szCs w:val="20"/>
        </w:rPr>
        <w:t xml:space="preserve"> (Cth)</w:t>
      </w:r>
      <w:r w:rsidRPr="00B91191">
        <w:rPr>
          <w:rFonts w:cs="Open Sans"/>
          <w:sz w:val="20"/>
          <w:szCs w:val="20"/>
          <w:lang w:val="en-US"/>
        </w:rPr>
        <w:t xml:space="preserve">; see also </w:t>
      </w:r>
      <w:r w:rsidRPr="00B91191">
        <w:rPr>
          <w:rFonts w:cs="Open Sans"/>
          <w:sz w:val="20"/>
          <w:szCs w:val="20"/>
        </w:rPr>
        <w:t>Statement of Compatibility with Human Rights, Telecommunications and Other Legislation Amendment (Assistance and Access) Bill 2018 (Cth) 10 [12]–[15], 12 [27].</w:t>
      </w:r>
    </w:p>
  </w:endnote>
  <w:endnote w:id="71">
    <w:p w14:paraId="4B1B1A6C" w14:textId="40A12626"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44 [91], 47 [119] 52–53 [154], referring to proposed ss 317G(5), 317L(2), 317T(3) </w:t>
      </w:r>
      <w:r w:rsidRPr="00B91191">
        <w:rPr>
          <w:rFonts w:cs="Open Sans"/>
          <w:sz w:val="20"/>
          <w:szCs w:val="20"/>
          <w:lang w:val="en-US"/>
        </w:rPr>
        <w:t xml:space="preserve">of the </w:t>
      </w:r>
      <w:r w:rsidRPr="00B91191">
        <w:rPr>
          <w:rFonts w:cs="Open Sans"/>
          <w:i/>
          <w:sz w:val="20"/>
          <w:szCs w:val="20"/>
        </w:rPr>
        <w:t>Telecommunications Act 1997</w:t>
      </w:r>
      <w:r w:rsidRPr="00B91191">
        <w:rPr>
          <w:rFonts w:cs="Open Sans"/>
          <w:sz w:val="20"/>
          <w:szCs w:val="20"/>
        </w:rPr>
        <w:t xml:space="preserve"> (Cth)</w:t>
      </w:r>
      <w:r w:rsidRPr="00B91191">
        <w:rPr>
          <w:rFonts w:cs="Open Sans"/>
          <w:sz w:val="20"/>
          <w:szCs w:val="20"/>
          <w:lang w:val="en-US"/>
        </w:rPr>
        <w:t>.</w:t>
      </w:r>
    </w:p>
  </w:endnote>
  <w:endnote w:id="72">
    <w:p w14:paraId="69D17A19" w14:textId="4B542138"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47 [116], 53 [158], referring to proposed ss 317C, 317G, 317L, 317T</w:t>
      </w:r>
      <w:r w:rsidRPr="00B91191">
        <w:rPr>
          <w:rFonts w:cs="Open Sans"/>
          <w:sz w:val="20"/>
          <w:szCs w:val="20"/>
          <w:lang w:val="en-US"/>
        </w:rPr>
        <w:t xml:space="preserve">of the </w:t>
      </w:r>
      <w:r w:rsidRPr="00B91191">
        <w:rPr>
          <w:rFonts w:cs="Open Sans"/>
          <w:i/>
          <w:sz w:val="20"/>
          <w:szCs w:val="20"/>
        </w:rPr>
        <w:t>Telecommunications Act 1997</w:t>
      </w:r>
      <w:r w:rsidRPr="00B91191">
        <w:rPr>
          <w:rFonts w:cs="Open Sans"/>
          <w:sz w:val="20"/>
          <w:szCs w:val="20"/>
        </w:rPr>
        <w:t xml:space="preserve"> (Cth).</w:t>
      </w:r>
    </w:p>
  </w:endnote>
  <w:endnote w:id="73">
    <w:p w14:paraId="2445FB42" w14:textId="3E9C7CDC"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11 [19], referring to proposed ss 317G(1), 317L(1), 317T(1), 317ZM-317ZR </w:t>
      </w:r>
      <w:r w:rsidRPr="00B91191">
        <w:rPr>
          <w:rFonts w:cs="Open Sans"/>
          <w:sz w:val="20"/>
          <w:szCs w:val="20"/>
          <w:lang w:val="en-US"/>
        </w:rPr>
        <w:t xml:space="preserve">of the </w:t>
      </w:r>
      <w:r w:rsidRPr="00B91191">
        <w:rPr>
          <w:rFonts w:cs="Open Sans"/>
          <w:i/>
          <w:sz w:val="20"/>
          <w:szCs w:val="20"/>
        </w:rPr>
        <w:t>Telecommunications Act 1997</w:t>
      </w:r>
      <w:r w:rsidRPr="00B91191">
        <w:rPr>
          <w:rFonts w:cs="Open Sans"/>
          <w:sz w:val="20"/>
          <w:szCs w:val="20"/>
        </w:rPr>
        <w:t xml:space="preserve"> (Cth).</w:t>
      </w:r>
    </w:p>
  </w:endnote>
  <w:endnote w:id="74">
    <w:p w14:paraId="2BC4D537" w14:textId="26F89609"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13 [35], referring to proposed s 317ZF </w:t>
      </w:r>
      <w:r w:rsidRPr="00B91191">
        <w:rPr>
          <w:rFonts w:cs="Open Sans"/>
          <w:sz w:val="20"/>
          <w:szCs w:val="20"/>
          <w:lang w:val="en-US"/>
        </w:rPr>
        <w:t xml:space="preserve">of the </w:t>
      </w:r>
      <w:r w:rsidRPr="00B91191">
        <w:rPr>
          <w:rFonts w:cs="Open Sans"/>
          <w:i/>
          <w:sz w:val="20"/>
          <w:szCs w:val="20"/>
        </w:rPr>
        <w:t>Telecommunications Act 1997</w:t>
      </w:r>
      <w:r w:rsidRPr="00B91191">
        <w:rPr>
          <w:rFonts w:cs="Open Sans"/>
          <w:sz w:val="20"/>
          <w:szCs w:val="20"/>
        </w:rPr>
        <w:t xml:space="preserve"> (Cth)</w:t>
      </w:r>
      <w:r w:rsidRPr="00B91191">
        <w:rPr>
          <w:rFonts w:cs="Open Sans"/>
          <w:sz w:val="20"/>
          <w:szCs w:val="20"/>
          <w:lang w:val="en-US"/>
        </w:rPr>
        <w:t>.</w:t>
      </w:r>
    </w:p>
  </w:endnote>
  <w:endnote w:id="75">
    <w:p w14:paraId="39346856" w14:textId="0B6B1F78"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76 [329], referring to proposed s 317ZS </w:t>
      </w:r>
      <w:r w:rsidRPr="00B91191">
        <w:rPr>
          <w:rFonts w:cs="Open Sans"/>
          <w:sz w:val="20"/>
          <w:szCs w:val="20"/>
          <w:lang w:val="en-US"/>
        </w:rPr>
        <w:t xml:space="preserve">of the </w:t>
      </w:r>
      <w:r w:rsidRPr="00B91191">
        <w:rPr>
          <w:rFonts w:cs="Open Sans"/>
          <w:i/>
          <w:sz w:val="20"/>
          <w:szCs w:val="20"/>
        </w:rPr>
        <w:t>Telecommunications Act 1997</w:t>
      </w:r>
      <w:r w:rsidRPr="00B91191">
        <w:rPr>
          <w:rFonts w:cs="Open Sans"/>
          <w:sz w:val="20"/>
          <w:szCs w:val="20"/>
        </w:rPr>
        <w:t xml:space="preserve"> (Cth).</w:t>
      </w:r>
    </w:p>
  </w:endnote>
  <w:endnote w:id="76">
    <w:p w14:paraId="2A937E6A" w14:textId="0A0EE794"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70 [275], [279], referring to proposed s 317ZK(4)(b) </w:t>
      </w:r>
      <w:r w:rsidRPr="00B91191">
        <w:rPr>
          <w:rFonts w:cs="Open Sans"/>
          <w:sz w:val="20"/>
          <w:szCs w:val="20"/>
          <w:lang w:val="en-US"/>
        </w:rPr>
        <w:t xml:space="preserve">of the </w:t>
      </w:r>
      <w:r w:rsidRPr="00B91191">
        <w:rPr>
          <w:rFonts w:cs="Open Sans"/>
          <w:i/>
          <w:sz w:val="20"/>
          <w:szCs w:val="20"/>
        </w:rPr>
        <w:t>Telecommunications Act 1997</w:t>
      </w:r>
      <w:r w:rsidRPr="00B91191">
        <w:rPr>
          <w:rFonts w:cs="Open Sans"/>
          <w:sz w:val="20"/>
          <w:szCs w:val="20"/>
        </w:rPr>
        <w:t xml:space="preserve"> (Cth)</w:t>
      </w:r>
      <w:r w:rsidRPr="00B91191">
        <w:rPr>
          <w:rFonts w:cs="Open Sans"/>
          <w:sz w:val="20"/>
          <w:szCs w:val="20"/>
          <w:lang w:val="en-US"/>
        </w:rPr>
        <w:t>.</w:t>
      </w:r>
    </w:p>
  </w:endnote>
  <w:endnote w:id="77">
    <w:p w14:paraId="776573CF" w14:textId="3687F28B"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See overview of ‘acts and things’ at [</w:t>
      </w:r>
      <w:r w:rsidRPr="00B91191">
        <w:rPr>
          <w:rFonts w:cs="Open Sans"/>
          <w:sz w:val="20"/>
          <w:szCs w:val="20"/>
        </w:rPr>
        <w:fldChar w:fldCharType="begin"/>
      </w:r>
      <w:r w:rsidRPr="00B91191">
        <w:rPr>
          <w:rFonts w:cs="Open Sans"/>
          <w:sz w:val="20"/>
          <w:szCs w:val="20"/>
        </w:rPr>
        <w:instrText xml:space="preserve"> REF _Ref524083841 \r \h  \* MERGEFORMAT </w:instrText>
      </w:r>
      <w:r w:rsidRPr="00B91191">
        <w:rPr>
          <w:rFonts w:cs="Open Sans"/>
          <w:sz w:val="20"/>
          <w:szCs w:val="20"/>
        </w:rPr>
      </w:r>
      <w:r w:rsidRPr="00B91191">
        <w:rPr>
          <w:rFonts w:cs="Open Sans"/>
          <w:sz w:val="20"/>
          <w:szCs w:val="20"/>
        </w:rPr>
        <w:fldChar w:fldCharType="separate"/>
      </w:r>
      <w:r w:rsidR="00372D72">
        <w:rPr>
          <w:rFonts w:cs="Open Sans"/>
          <w:sz w:val="20"/>
          <w:szCs w:val="20"/>
        </w:rPr>
        <w:t>88</w:t>
      </w:r>
      <w:r w:rsidRPr="00B91191">
        <w:rPr>
          <w:rFonts w:cs="Open Sans"/>
          <w:sz w:val="20"/>
          <w:szCs w:val="20"/>
        </w:rPr>
        <w:fldChar w:fldCharType="end"/>
      </w:r>
      <w:r w:rsidRPr="00B91191">
        <w:rPr>
          <w:rFonts w:cs="Open Sans"/>
          <w:sz w:val="20"/>
          <w:szCs w:val="20"/>
        </w:rPr>
        <w:t>]–[</w:t>
      </w:r>
      <w:r w:rsidRPr="00B91191">
        <w:rPr>
          <w:rFonts w:cs="Open Sans"/>
          <w:sz w:val="20"/>
          <w:szCs w:val="20"/>
        </w:rPr>
        <w:fldChar w:fldCharType="begin"/>
      </w:r>
      <w:r w:rsidRPr="00B91191">
        <w:rPr>
          <w:rFonts w:cs="Open Sans"/>
          <w:sz w:val="20"/>
          <w:szCs w:val="20"/>
        </w:rPr>
        <w:instrText xml:space="preserve"> REF _Ref524083917 \r \h  \* MERGEFORMAT </w:instrText>
      </w:r>
      <w:r w:rsidRPr="00B91191">
        <w:rPr>
          <w:rFonts w:cs="Open Sans"/>
          <w:sz w:val="20"/>
          <w:szCs w:val="20"/>
        </w:rPr>
      </w:r>
      <w:r w:rsidRPr="00B91191">
        <w:rPr>
          <w:rFonts w:cs="Open Sans"/>
          <w:sz w:val="20"/>
          <w:szCs w:val="20"/>
        </w:rPr>
        <w:fldChar w:fldCharType="separate"/>
      </w:r>
      <w:r w:rsidR="00372D72">
        <w:rPr>
          <w:rFonts w:cs="Open Sans"/>
          <w:sz w:val="20"/>
          <w:szCs w:val="20"/>
        </w:rPr>
        <w:t>89</w:t>
      </w:r>
      <w:r w:rsidRPr="00B91191">
        <w:rPr>
          <w:rFonts w:cs="Open Sans"/>
          <w:sz w:val="20"/>
          <w:szCs w:val="20"/>
        </w:rPr>
        <w:fldChar w:fldCharType="end"/>
      </w:r>
      <w:r w:rsidRPr="00B91191">
        <w:rPr>
          <w:rFonts w:cs="Open Sans"/>
          <w:sz w:val="20"/>
          <w:szCs w:val="20"/>
        </w:rPr>
        <w:t>] above.</w:t>
      </w:r>
    </w:p>
  </w:endnote>
  <w:endnote w:id="78">
    <w:p w14:paraId="37E4C986" w14:textId="22AD95A8"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t xml:space="preserve">Explanatory Memorandum, Telecommunications and Other Legislation Amendment (Assistance and Access) Bill 2018 (Cth) </w:t>
      </w:r>
      <w:r w:rsidRPr="00B91191">
        <w:rPr>
          <w:rFonts w:cs="Open Sans"/>
          <w:sz w:val="20"/>
          <w:szCs w:val="20"/>
          <w:lang w:val="en-US"/>
        </w:rPr>
        <w:t>39 [57].</w:t>
      </w:r>
    </w:p>
  </w:endnote>
  <w:endnote w:id="79">
    <w:p w14:paraId="0A18BB19" w14:textId="17E7FC9B"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ss 317G(6), 317JA(10), 317L(3), 317Q(9).</w:t>
      </w:r>
    </w:p>
  </w:endnote>
  <w:endnote w:id="80">
    <w:p w14:paraId="39D7DA9C" w14:textId="14D26D12" w:rsidR="006E71F6" w:rsidRPr="00B91191" w:rsidRDefault="006E71F6" w:rsidP="00CE11F7">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ss 317T(2)(a) and 317T(4)(c)(i).</w:t>
      </w:r>
    </w:p>
  </w:endnote>
  <w:endnote w:id="81">
    <w:p w14:paraId="14848801" w14:textId="66F75A82" w:rsidR="006E71F6" w:rsidRPr="00B91191" w:rsidRDefault="006E71F6" w:rsidP="0025157E">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ss 317T(4)(c)(ii), 317T(5).</w:t>
      </w:r>
    </w:p>
  </w:endnote>
  <w:endnote w:id="82">
    <w:p w14:paraId="3B6252EC" w14:textId="65A3A601" w:rsidR="006E71F6" w:rsidRPr="00B91191" w:rsidRDefault="006E71F6" w:rsidP="0025157E">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 317T(6).</w:t>
      </w:r>
    </w:p>
  </w:endnote>
  <w:endnote w:id="83">
    <w:p w14:paraId="46B35176" w14:textId="426625D8" w:rsidR="006E71F6" w:rsidRPr="00B91191" w:rsidRDefault="006E71F6" w:rsidP="006B41A0">
      <w:pPr>
        <w:pStyle w:val="EndnoteText"/>
        <w:widowControl w:val="0"/>
        <w:suppressLineNumbers/>
        <w:spacing w:before="0" w:after="0"/>
        <w:ind w:left="511" w:right="57" w:hanging="454"/>
        <w:contextualSpacing/>
        <w:rPr>
          <w:rFonts w:cs="Open Sans"/>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Explanatory Memorandum, Telecommunications and Other Legislation Amendment (Assistance and Access) Bill 2018 (Cth) 52 [153].</w:t>
      </w:r>
    </w:p>
  </w:endnote>
  <w:endnote w:id="84">
    <w:p w14:paraId="19E37366" w14:textId="75F8A3A0" w:rsidR="006E71F6" w:rsidRPr="00B91191" w:rsidRDefault="006E71F6" w:rsidP="003E54A3">
      <w:pPr>
        <w:pStyle w:val="EndnoteText"/>
        <w:widowControl w:val="0"/>
        <w:suppressLineNumbers/>
        <w:spacing w:before="0" w:after="0"/>
        <w:ind w:left="511" w:right="57" w:hanging="454"/>
        <w:contextualSpacing/>
        <w:rPr>
          <w:rFonts w:cs="Open Sans"/>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ss 317T(2)(b).</w:t>
      </w:r>
    </w:p>
  </w:endnote>
  <w:endnote w:id="85">
    <w:p w14:paraId="59A9605B" w14:textId="71F6EFA9" w:rsidR="006E71F6" w:rsidRPr="00B91191" w:rsidRDefault="006E71F6" w:rsidP="006B41A0">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Telecommunications and Other Legislation Amendment (Assistance and Access) Bill 2018 (Cth) ss 317G(2)(a)(v)–(vi) , 317G(2)(b)(v)–(vi)</w:t>
      </w:r>
    </w:p>
  </w:endnote>
  <w:endnote w:id="86">
    <w:p w14:paraId="573CE251" w14:textId="08D6ADA4" w:rsidR="006E71F6" w:rsidRPr="00B91191" w:rsidRDefault="006E71F6" w:rsidP="006B41A0">
      <w:pPr>
        <w:pStyle w:val="EndnoteText"/>
        <w:widowControl w:val="0"/>
        <w:suppressLineNumbers/>
        <w:spacing w:before="0" w:after="0"/>
        <w:ind w:left="511" w:right="57" w:hanging="454"/>
        <w:contextualSpacing/>
        <w:rPr>
          <w:rFonts w:cs="Open Sans"/>
          <w:sz w:val="20"/>
          <w:szCs w:val="20"/>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Explanatory Memorandum, Telecommunications and Other Legislation Amendment (Assistance and Access) Bill 2018 (Cth) 2 [4].</w:t>
      </w:r>
    </w:p>
  </w:endnote>
  <w:endnote w:id="87">
    <w:p w14:paraId="51E263B7" w14:textId="77777777" w:rsidR="006E71F6" w:rsidRPr="00B91191" w:rsidRDefault="006E71F6" w:rsidP="006B41A0">
      <w:pPr>
        <w:pStyle w:val="EndnoteText"/>
        <w:widowControl w:val="0"/>
        <w:suppressLineNumbers/>
        <w:spacing w:before="0" w:after="0"/>
        <w:ind w:left="511" w:right="57" w:hanging="454"/>
        <w:contextualSpacing/>
        <w:rPr>
          <w:rFonts w:cs="Open Sans"/>
          <w:sz w:val="20"/>
          <w:szCs w:val="20"/>
          <w:lang w:val="en-US"/>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Statement of Compatibility with Human Rights, Telecommunications and Other Legislation Amendment (Assistance and Access) Bill 2018 (Cth) 9 [6]–[7].</w:t>
      </w:r>
    </w:p>
  </w:endnote>
  <w:endnote w:id="88">
    <w:p w14:paraId="75184974" w14:textId="00E090F8" w:rsidR="006E71F6" w:rsidRPr="00B91191" w:rsidRDefault="006E71F6" w:rsidP="006B41A0">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w:t>
      </w:r>
      <w:r w:rsidRPr="00B91191">
        <w:rPr>
          <w:rFonts w:cs="Open Sans"/>
          <w:sz w:val="20"/>
          <w:szCs w:val="20"/>
          <w:lang w:val="en-US"/>
        </w:rPr>
        <w:t>44 [97].</w:t>
      </w:r>
    </w:p>
  </w:endnote>
  <w:endnote w:id="89">
    <w:p w14:paraId="3FC6EF83" w14:textId="2C75C734" w:rsidR="006E71F6" w:rsidRPr="00B91191" w:rsidRDefault="006E71F6" w:rsidP="006B41A0">
      <w:pPr>
        <w:pStyle w:val="EndnoteText"/>
        <w:widowControl w:val="0"/>
        <w:suppressLineNumbers/>
        <w:spacing w:before="0" w:after="0"/>
        <w:ind w:left="511" w:right="57" w:hanging="454"/>
        <w:contextualSpacing/>
        <w:rPr>
          <w:rFonts w:cs="Open Sans"/>
          <w:sz w:val="20"/>
          <w:szCs w:val="20"/>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r>
      <w:r w:rsidRPr="00B91191">
        <w:rPr>
          <w:rFonts w:cs="Open Sans"/>
          <w:i/>
          <w:sz w:val="20"/>
          <w:szCs w:val="20"/>
        </w:rPr>
        <w:t>Superannuation Industry (Supervision) Act 1993</w:t>
      </w:r>
      <w:r w:rsidRPr="00B91191">
        <w:rPr>
          <w:rFonts w:cs="Open Sans"/>
          <w:sz w:val="20"/>
          <w:szCs w:val="20"/>
        </w:rPr>
        <w:t xml:space="preserve"> (Cth) s 193.</w:t>
      </w:r>
    </w:p>
  </w:endnote>
  <w:endnote w:id="90">
    <w:p w14:paraId="4DDF3E8B" w14:textId="7B64F19F" w:rsidR="006E71F6" w:rsidRPr="00B91191" w:rsidRDefault="006E71F6" w:rsidP="006B41A0">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w:t>
      </w:r>
      <w:r w:rsidRPr="00B91191">
        <w:rPr>
          <w:rFonts w:cs="Open Sans"/>
          <w:sz w:val="20"/>
          <w:szCs w:val="20"/>
          <w:lang w:val="en-US"/>
        </w:rPr>
        <w:t>45 [99].</w:t>
      </w:r>
    </w:p>
  </w:endnote>
  <w:endnote w:id="91">
    <w:p w14:paraId="086F3F0E" w14:textId="2E60FB79" w:rsidR="006E71F6" w:rsidRPr="00B91191" w:rsidRDefault="006E71F6" w:rsidP="006B41A0">
      <w:pPr>
        <w:pStyle w:val="EndnoteText"/>
        <w:widowControl w:val="0"/>
        <w:suppressLineNumbers/>
        <w:spacing w:before="0" w:after="0"/>
        <w:ind w:left="511" w:right="57" w:hanging="454"/>
        <w:contextualSpacing/>
        <w:rPr>
          <w:rFonts w:cs="Open Sans"/>
          <w:sz w:val="20"/>
          <w:szCs w:val="20"/>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r>
      <w:r w:rsidRPr="00B91191">
        <w:rPr>
          <w:rFonts w:cs="Open Sans"/>
          <w:i/>
          <w:sz w:val="20"/>
          <w:szCs w:val="20"/>
        </w:rPr>
        <w:t>Kevin Denlay v Commissioner of Taxation</w:t>
      </w:r>
      <w:r w:rsidRPr="00B91191">
        <w:rPr>
          <w:rFonts w:cs="Open Sans"/>
          <w:sz w:val="20"/>
          <w:szCs w:val="20"/>
        </w:rPr>
        <w:t xml:space="preserve"> (2010) 276 ALR 675, [100]. Justice Logan considered the meaning of ‘the interests of Australia’s national economic well-being’ under s 11(1) of the </w:t>
      </w:r>
      <w:r w:rsidRPr="00B91191">
        <w:rPr>
          <w:rFonts w:cs="Open Sans"/>
          <w:i/>
          <w:sz w:val="20"/>
          <w:szCs w:val="20"/>
        </w:rPr>
        <w:t>Intelligence Services Act 2001</w:t>
      </w:r>
      <w:r w:rsidRPr="00B91191">
        <w:rPr>
          <w:rFonts w:cs="Open Sans"/>
          <w:sz w:val="20"/>
          <w:szCs w:val="20"/>
        </w:rPr>
        <w:t xml:space="preserve"> (Cth), noting that this provision empowers ASIS ‘only to the extent that those matters are affected by the capabilities, intentions or activities of people or organisations outside Australia’.</w:t>
      </w:r>
    </w:p>
  </w:endnote>
  <w:endnote w:id="92">
    <w:p w14:paraId="2ED2A66C" w14:textId="27049336" w:rsidR="006E71F6" w:rsidRPr="00B91191" w:rsidRDefault="006E71F6" w:rsidP="006B41A0">
      <w:pPr>
        <w:pStyle w:val="EndnoteText"/>
        <w:widowControl w:val="0"/>
        <w:suppressLineNumbers/>
        <w:spacing w:before="0" w:after="0"/>
        <w:ind w:left="511" w:right="57" w:hanging="454"/>
        <w:contextualSpacing/>
        <w:rPr>
          <w:rFonts w:cs="Open Sans"/>
          <w:color w:val="000000" w:themeColor="text1"/>
          <w:sz w:val="20"/>
          <w:szCs w:val="20"/>
        </w:rPr>
      </w:pPr>
      <w:r w:rsidRPr="00B91191">
        <w:rPr>
          <w:rFonts w:cs="Open Sans"/>
          <w:color w:val="000000" w:themeColor="text1"/>
          <w:sz w:val="20"/>
          <w:szCs w:val="20"/>
        </w:rPr>
        <w:endnoteRef/>
      </w:r>
      <w:r w:rsidRPr="00B91191">
        <w:rPr>
          <w:rFonts w:cs="Open Sans"/>
          <w:color w:val="000000" w:themeColor="text1"/>
          <w:sz w:val="20"/>
          <w:szCs w:val="20"/>
        </w:rPr>
        <w:t xml:space="preserve"> </w:t>
      </w:r>
      <w:r w:rsidRPr="00B91191">
        <w:rPr>
          <w:rFonts w:cs="Open Sans"/>
          <w:color w:val="000000" w:themeColor="text1"/>
          <w:sz w:val="20"/>
          <w:szCs w:val="20"/>
        </w:rPr>
        <w:tab/>
        <w:t>A warrant under Part 2–5 of the TIA Act may only be issued for the purposes of an investigation relating to the commission of one or more serious offences or for purposes relating to a control order.</w:t>
      </w:r>
    </w:p>
  </w:endnote>
  <w:endnote w:id="93">
    <w:p w14:paraId="63BF3E46" w14:textId="6C6A7990" w:rsidR="006E71F6" w:rsidRPr="00B91191" w:rsidRDefault="006E71F6" w:rsidP="006B41A0">
      <w:pPr>
        <w:pStyle w:val="EndnoteText"/>
        <w:widowControl w:val="0"/>
        <w:suppressLineNumbers/>
        <w:spacing w:before="0" w:after="0"/>
        <w:ind w:left="511" w:right="57" w:hanging="454"/>
        <w:contextualSpacing/>
        <w:rPr>
          <w:rFonts w:cs="Open Sans"/>
          <w:color w:val="000000" w:themeColor="text1"/>
          <w:sz w:val="20"/>
          <w:szCs w:val="20"/>
          <w:lang w:val="en-AU"/>
        </w:rPr>
      </w:pPr>
      <w:r w:rsidRPr="00B91191">
        <w:rPr>
          <w:rStyle w:val="EndnoteReference"/>
          <w:color w:val="000000" w:themeColor="text1"/>
          <w:sz w:val="20"/>
          <w:szCs w:val="20"/>
        </w:rPr>
        <w:endnoteRef/>
      </w:r>
      <w:r w:rsidRPr="00B91191">
        <w:rPr>
          <w:rFonts w:cs="Open Sans"/>
          <w:color w:val="000000" w:themeColor="text1"/>
          <w:sz w:val="20"/>
          <w:szCs w:val="20"/>
        </w:rPr>
        <w:t xml:space="preserve"> </w:t>
      </w:r>
      <w:r w:rsidRPr="00B91191">
        <w:rPr>
          <w:rFonts w:cs="Open Sans"/>
          <w:color w:val="000000" w:themeColor="text1"/>
          <w:sz w:val="20"/>
          <w:szCs w:val="20"/>
        </w:rPr>
        <w:tab/>
        <w:t>Law Council of Australia, Submission to the Department of Home Affairs</w:t>
      </w:r>
      <w:r w:rsidRPr="00B91191">
        <w:rPr>
          <w:rFonts w:cs="Open Sans"/>
          <w:i/>
          <w:color w:val="000000" w:themeColor="text1"/>
          <w:sz w:val="20"/>
          <w:szCs w:val="20"/>
        </w:rPr>
        <w:t xml:space="preserve">, Telecommunications and Other Legislation Amendment (Assistance and Access) Bill Exposure Draft 2018 </w:t>
      </w:r>
      <w:r w:rsidRPr="00B91191">
        <w:rPr>
          <w:rFonts w:cs="Open Sans"/>
          <w:color w:val="000000" w:themeColor="text1"/>
          <w:sz w:val="20"/>
          <w:szCs w:val="20"/>
        </w:rPr>
        <w:t>(10 September 2018) 9 [20].</w:t>
      </w:r>
    </w:p>
  </w:endnote>
  <w:endnote w:id="94">
    <w:p w14:paraId="3AC4F0AD" w14:textId="4E83C224" w:rsidR="006E71F6" w:rsidRPr="00B91191" w:rsidRDefault="006E71F6" w:rsidP="006B41A0">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49 [131]–[132].</w:t>
      </w:r>
    </w:p>
  </w:endnote>
  <w:endnote w:id="95">
    <w:p w14:paraId="1DCF9B07" w14:textId="65B83287" w:rsidR="006E71F6" w:rsidRPr="00B91191" w:rsidRDefault="006E71F6" w:rsidP="00FB5828">
      <w:pPr>
        <w:pStyle w:val="EndnoteText"/>
        <w:widowControl w:val="0"/>
        <w:suppressLineNumbers/>
        <w:spacing w:before="0" w:after="0"/>
        <w:ind w:left="511" w:right="57" w:hanging="454"/>
        <w:contextualSpacing/>
        <w:rPr>
          <w:rFonts w:cs="Open Sans"/>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Australian Human Rights Commission,</w:t>
      </w:r>
      <w:r w:rsidRPr="00B91191">
        <w:rPr>
          <w:rFonts w:cs="Open Sans"/>
          <w:sz w:val="20"/>
          <w:szCs w:val="20"/>
          <w:lang w:val="en-AU"/>
        </w:rPr>
        <w:t xml:space="preserve"> Submission to the Department of Home Affairs</w:t>
      </w:r>
      <w:r w:rsidRPr="00B91191">
        <w:rPr>
          <w:rFonts w:cs="Open Sans"/>
          <w:i/>
          <w:sz w:val="20"/>
          <w:szCs w:val="20"/>
          <w:lang w:val="en-AU"/>
        </w:rPr>
        <w:t>, Telecommunications and Other Legislation Amendment (Assistance and Access) Bill Exposure Draft 2018</w:t>
      </w:r>
      <w:r w:rsidRPr="00B91191">
        <w:rPr>
          <w:rFonts w:cs="Open Sans"/>
          <w:sz w:val="20"/>
          <w:szCs w:val="20"/>
          <w:lang w:val="en-AU"/>
        </w:rPr>
        <w:t xml:space="preserve"> (10 September 2018) 27 (Recommendation 12).</w:t>
      </w:r>
    </w:p>
  </w:endnote>
  <w:endnote w:id="96">
    <w:p w14:paraId="2494A641" w14:textId="2FB9046A"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t>Explanatory Memorandum, Telecommunications and Other Legislation Amendment (Assistance and Access) Bill 2018 (Cth) 43 [88].</w:t>
      </w:r>
    </w:p>
  </w:endnote>
  <w:endnote w:id="97">
    <w:p w14:paraId="6716D173" w14:textId="794437E2"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AU"/>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t xml:space="preserve">Inspector-General of Intelligence and Security, Submission to the Department of Home Affairs, </w:t>
      </w:r>
      <w:r w:rsidRPr="00B91191">
        <w:rPr>
          <w:rFonts w:cs="Open Sans"/>
          <w:i/>
          <w:sz w:val="20"/>
          <w:szCs w:val="20"/>
        </w:rPr>
        <w:t xml:space="preserve">Telecommunications and Other Legislation Amendment (Assistance and Access) Bill Exposure Draft 2018 </w:t>
      </w:r>
      <w:r w:rsidRPr="00B91191">
        <w:rPr>
          <w:rFonts w:cs="Open Sans"/>
          <w:sz w:val="20"/>
          <w:szCs w:val="20"/>
        </w:rPr>
        <w:t>(13 September 2018) 13.</w:t>
      </w:r>
    </w:p>
  </w:endnote>
  <w:endnote w:id="98">
    <w:p w14:paraId="47ED9B99"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Statement of Compatibility with Human Rights, Telecommunications and Other Legislation Amendment (Assistance and Access) Bill 2018 (Cth) 11 [16]. </w:t>
      </w:r>
    </w:p>
  </w:endnote>
  <w:endnote w:id="99">
    <w:p w14:paraId="01772AA8" w14:textId="2FB10E06"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See discussion at Pt </w:t>
      </w:r>
      <w:r w:rsidRPr="00B91191">
        <w:rPr>
          <w:rFonts w:cs="Open Sans"/>
          <w:sz w:val="20"/>
          <w:szCs w:val="20"/>
        </w:rPr>
        <w:fldChar w:fldCharType="begin"/>
      </w:r>
      <w:r w:rsidRPr="00B91191">
        <w:rPr>
          <w:rFonts w:cs="Open Sans"/>
          <w:sz w:val="20"/>
          <w:szCs w:val="20"/>
        </w:rPr>
        <w:instrText xml:space="preserve"> REF _Ref524084141 \r \h  \* MERGEFORMAT </w:instrText>
      </w:r>
      <w:r w:rsidRPr="00B91191">
        <w:rPr>
          <w:rFonts w:cs="Open Sans"/>
          <w:sz w:val="20"/>
          <w:szCs w:val="20"/>
        </w:rPr>
      </w:r>
      <w:r w:rsidRPr="00B91191">
        <w:rPr>
          <w:rFonts w:cs="Open Sans"/>
          <w:sz w:val="20"/>
          <w:szCs w:val="20"/>
        </w:rPr>
        <w:fldChar w:fldCharType="separate"/>
      </w:r>
      <w:r w:rsidR="00372D72">
        <w:rPr>
          <w:rFonts w:cs="Open Sans"/>
          <w:sz w:val="20"/>
          <w:szCs w:val="20"/>
        </w:rPr>
        <w:t>3.3(c)</w:t>
      </w:r>
      <w:r w:rsidRPr="00B91191">
        <w:rPr>
          <w:rFonts w:cs="Open Sans"/>
          <w:sz w:val="20"/>
          <w:szCs w:val="20"/>
        </w:rPr>
        <w:fldChar w:fldCharType="end"/>
      </w:r>
      <w:r w:rsidRPr="00B91191">
        <w:rPr>
          <w:rFonts w:cs="Open Sans"/>
          <w:sz w:val="20"/>
          <w:szCs w:val="20"/>
        </w:rPr>
        <w:t>.</w:t>
      </w:r>
    </w:p>
  </w:endnote>
  <w:endnote w:id="100">
    <w:p w14:paraId="65F84E90" w14:textId="5D74A904"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ss 317HA(1)(b) and 317MA(1)(b).</w:t>
      </w:r>
    </w:p>
  </w:endnote>
  <w:endnote w:id="101">
    <w:p w14:paraId="01EAC97A" w14:textId="1CE12C19"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 317TA</w:t>
      </w:r>
      <w:r w:rsidRPr="00B91191">
        <w:rPr>
          <w:rFonts w:cs="Open Sans"/>
          <w:sz w:val="20"/>
          <w:szCs w:val="20"/>
          <w:lang w:val="en-US"/>
        </w:rPr>
        <w:t>(1)(b).</w:t>
      </w:r>
    </w:p>
  </w:endnote>
  <w:endnote w:id="102">
    <w:p w14:paraId="273FF4A9" w14:textId="186FBF0D"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 317ZK(3).</w:t>
      </w:r>
    </w:p>
  </w:endnote>
  <w:endnote w:id="103">
    <w:p w14:paraId="5B99B8BC" w14:textId="7A4123E3"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r>
      <w:r w:rsidRPr="00B91191">
        <w:rPr>
          <w:rFonts w:cs="Open Sans"/>
          <w:i/>
          <w:sz w:val="20"/>
          <w:szCs w:val="20"/>
        </w:rPr>
        <w:t xml:space="preserve">Telecommunications Act 1997 </w:t>
      </w:r>
      <w:r w:rsidRPr="00B91191">
        <w:rPr>
          <w:rFonts w:cs="Open Sans"/>
          <w:sz w:val="20"/>
          <w:szCs w:val="20"/>
        </w:rPr>
        <w:t>(Cth) proposed ss 317P, 317Q(10), 317V and 317X(4).</w:t>
      </w:r>
    </w:p>
  </w:endnote>
  <w:endnote w:id="104">
    <w:p w14:paraId="3350DDC3" w14:textId="018F1ABA"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ss 317RA(c) and 317ZAA.</w:t>
      </w:r>
    </w:p>
  </w:endnote>
  <w:endnote w:id="105">
    <w:p w14:paraId="40585709"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t>Explanatory Memorandum, Telecommunications and Other Legislation Amendment (Assistance and Access) Bill 2018 (Cth) 50 [140].</w:t>
      </w:r>
    </w:p>
  </w:endnote>
  <w:endnote w:id="106">
    <w:p w14:paraId="3217F8DA" w14:textId="0F52DFF2"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Telecommunications Act 1997 </w:t>
      </w:r>
      <w:r w:rsidRPr="00B91191">
        <w:rPr>
          <w:rFonts w:cs="Open Sans"/>
          <w:sz w:val="20"/>
          <w:szCs w:val="20"/>
        </w:rPr>
        <w:t>(Cth) proposed s 317G(3).</w:t>
      </w:r>
    </w:p>
  </w:endnote>
  <w:endnote w:id="107">
    <w:p w14:paraId="5CB29624" w14:textId="3AF1D67E"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Telecommunications Act 1997 </w:t>
      </w:r>
      <w:r w:rsidRPr="00B91191">
        <w:rPr>
          <w:rFonts w:cs="Open Sans"/>
          <w:sz w:val="20"/>
          <w:szCs w:val="20"/>
        </w:rPr>
        <w:t>(Cth) proposed s 317ZG(1)(b).</w:t>
      </w:r>
    </w:p>
  </w:endnote>
  <w:endnote w:id="108">
    <w:p w14:paraId="4A36BFD7" w14:textId="358E5E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67 [256].</w:t>
      </w:r>
    </w:p>
  </w:endnote>
  <w:endnote w:id="109">
    <w:p w14:paraId="5A449FFD" w14:textId="0DB7E228" w:rsidR="006E71F6" w:rsidRPr="00B91191" w:rsidRDefault="006E71F6" w:rsidP="00545FC7">
      <w:pPr>
        <w:pStyle w:val="EndnoteText"/>
        <w:widowControl w:val="0"/>
        <w:suppressLineNumbers/>
        <w:spacing w:before="0" w:after="0"/>
        <w:ind w:left="511" w:right="57" w:hanging="454"/>
        <w:contextualSpacing/>
        <w:rPr>
          <w:rFonts w:cs="Open Sans"/>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Noting that this term can be used to refer to a range of exceptional access arrangements, beyond the building of independent ports.</w:t>
      </w:r>
    </w:p>
  </w:endnote>
  <w:endnote w:id="110">
    <w:p w14:paraId="58933041" w14:textId="4CCA4BCE"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Explanatory Memorandum, Telecommunications and Other Legislation Amendment (Assistance and Access) Bill 2018 (Cth) 4 [11].</w:t>
      </w:r>
    </w:p>
  </w:endnote>
  <w:endnote w:id="111">
    <w:p w14:paraId="316A7000" w14:textId="62791A70"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67–68 [258]–[260].</w:t>
      </w:r>
    </w:p>
  </w:endnote>
  <w:endnote w:id="112">
    <w:p w14:paraId="5B57821F"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Ariel Bogle, ‘</w:t>
      </w:r>
      <w:r w:rsidRPr="00B91191">
        <w:rPr>
          <w:rFonts w:cs="Open Sans"/>
          <w:sz w:val="20"/>
          <w:szCs w:val="20"/>
          <w:lang w:val="en-US"/>
        </w:rPr>
        <w:t xml:space="preserve">Tech surveillance laws proposed by Australian Government aggressive critics say’, </w:t>
      </w:r>
      <w:r w:rsidRPr="00B91191">
        <w:rPr>
          <w:rFonts w:cs="Open Sans"/>
          <w:i/>
          <w:sz w:val="20"/>
          <w:szCs w:val="20"/>
          <w:lang w:val="en-US"/>
        </w:rPr>
        <w:t xml:space="preserve">ABC News </w:t>
      </w:r>
      <w:r w:rsidRPr="00B91191">
        <w:rPr>
          <w:rFonts w:cs="Open Sans"/>
          <w:sz w:val="20"/>
          <w:szCs w:val="20"/>
          <w:lang w:val="en-US"/>
        </w:rPr>
        <w:t xml:space="preserve">(online), 20 August 2018 </w:t>
      </w:r>
      <w:r w:rsidRPr="00B91191">
        <w:rPr>
          <w:rFonts w:cs="Open Sans"/>
          <w:sz w:val="20"/>
          <w:szCs w:val="20"/>
        </w:rPr>
        <w:t>&lt;</w:t>
      </w:r>
      <w:r w:rsidRPr="00B91191">
        <w:rPr>
          <w:rFonts w:cs="Open Sans"/>
          <w:sz w:val="20"/>
          <w:szCs w:val="20"/>
          <w:lang w:val="en-US"/>
        </w:rPr>
        <w:t>http://www.abc.net.au/news/science/2018-08-20/tech-surveillance-laws-labelled-aggressive-by-critics/10128166&gt;.</w:t>
      </w:r>
    </w:p>
  </w:endnote>
  <w:endnote w:id="113">
    <w:p w14:paraId="4727BC19" w14:textId="11F53160"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Relevantly, the immunities afforded to providers under proposed s 317ZJ would protect a provider from civil liability for or in relation to an act or thing done by the provider in compliance or in good faith in purported compliance with a notice, meaning that a provider would be protected by good faith compliance with a </w:t>
      </w:r>
      <w:r w:rsidRPr="00B91191">
        <w:rPr>
          <w:rFonts w:cs="Open Sans"/>
          <w:i/>
          <w:sz w:val="20"/>
          <w:szCs w:val="20"/>
        </w:rPr>
        <w:t>prima facie</w:t>
      </w:r>
      <w:r w:rsidRPr="00B91191">
        <w:rPr>
          <w:rFonts w:cs="Open Sans"/>
          <w:sz w:val="20"/>
          <w:szCs w:val="20"/>
        </w:rPr>
        <w:t xml:space="preserve"> valid notice. See discussion at Pt </w:t>
      </w:r>
      <w:r w:rsidRPr="00B91191">
        <w:rPr>
          <w:rFonts w:cs="Open Sans"/>
          <w:sz w:val="20"/>
          <w:szCs w:val="20"/>
        </w:rPr>
        <w:fldChar w:fldCharType="begin"/>
      </w:r>
      <w:r w:rsidRPr="00B91191">
        <w:rPr>
          <w:rFonts w:cs="Open Sans"/>
          <w:sz w:val="20"/>
          <w:szCs w:val="20"/>
        </w:rPr>
        <w:instrText xml:space="preserve"> REF _Ref526771691 \r \h </w:instrText>
      </w:r>
      <w:r>
        <w:rPr>
          <w:rFonts w:cs="Open Sans"/>
          <w:sz w:val="20"/>
          <w:szCs w:val="20"/>
        </w:rPr>
        <w:instrText xml:space="preserve"> \* MERGEFORMAT </w:instrText>
      </w:r>
      <w:r w:rsidRPr="00B91191">
        <w:rPr>
          <w:rFonts w:cs="Open Sans"/>
          <w:sz w:val="20"/>
          <w:szCs w:val="20"/>
        </w:rPr>
      </w:r>
      <w:r w:rsidRPr="00B91191">
        <w:rPr>
          <w:rFonts w:cs="Open Sans"/>
          <w:sz w:val="20"/>
          <w:szCs w:val="20"/>
        </w:rPr>
        <w:fldChar w:fldCharType="separate"/>
      </w:r>
      <w:r w:rsidR="00372D72">
        <w:rPr>
          <w:rFonts w:cs="Open Sans"/>
          <w:sz w:val="20"/>
          <w:szCs w:val="20"/>
        </w:rPr>
        <w:t>5.4</w:t>
      </w:r>
      <w:r w:rsidRPr="00B91191">
        <w:rPr>
          <w:rFonts w:cs="Open Sans"/>
          <w:sz w:val="20"/>
          <w:szCs w:val="20"/>
        </w:rPr>
        <w:fldChar w:fldCharType="end"/>
      </w:r>
      <w:r w:rsidRPr="00B91191">
        <w:rPr>
          <w:rFonts w:cs="Open Sans"/>
          <w:sz w:val="20"/>
          <w:szCs w:val="20"/>
        </w:rPr>
        <w:t xml:space="preserve"> regarding the overbroad scope of immunities.</w:t>
      </w:r>
    </w:p>
  </w:endnote>
  <w:endnote w:id="114">
    <w:p w14:paraId="5A67E6F1"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Australian Law Reform Commission, </w:t>
      </w:r>
      <w:r w:rsidRPr="00B91191">
        <w:rPr>
          <w:rFonts w:cs="Open Sans"/>
          <w:i/>
          <w:sz w:val="20"/>
          <w:szCs w:val="20"/>
        </w:rPr>
        <w:t>Traditional Rights and Freedoms—Encroachments by Commonwealth Laws: Retrospective Laws</w:t>
      </w:r>
      <w:r w:rsidRPr="00B91191">
        <w:rPr>
          <w:rFonts w:cs="Open Sans"/>
          <w:sz w:val="20"/>
          <w:szCs w:val="20"/>
        </w:rPr>
        <w:t xml:space="preserve">, Report No 129 (2016) [13.141], citing Professor Jeremy Gans, Submission No 2 to the Australian Law Reform Commission, </w:t>
      </w:r>
      <w:r w:rsidRPr="00B91191">
        <w:rPr>
          <w:rFonts w:cs="Open Sans"/>
          <w:i/>
          <w:sz w:val="20"/>
          <w:szCs w:val="20"/>
        </w:rPr>
        <w:t>Review of Commonwealth Laws for Consistency with Traditional Rights, Freedoms and Privileges</w:t>
      </w:r>
      <w:r w:rsidRPr="00B91191">
        <w:rPr>
          <w:rFonts w:cs="Open Sans"/>
          <w:sz w:val="20"/>
          <w:szCs w:val="20"/>
        </w:rPr>
        <w:t>, 19 May 2014.</w:t>
      </w:r>
    </w:p>
  </w:endnote>
  <w:endnote w:id="115">
    <w:p w14:paraId="5F139FEA" w14:textId="27A93C93"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sz w:val="20"/>
          <w:szCs w:val="20"/>
          <w:lang w:val="en-US"/>
        </w:rPr>
        <w:t xml:space="preserve">See Pt </w:t>
      </w:r>
      <w:r w:rsidRPr="00B91191">
        <w:rPr>
          <w:rFonts w:cs="Open Sans"/>
          <w:sz w:val="20"/>
          <w:szCs w:val="20"/>
          <w:highlight w:val="cyan"/>
          <w:lang w:val="en-US"/>
        </w:rPr>
        <w:fldChar w:fldCharType="begin"/>
      </w:r>
      <w:r w:rsidRPr="00B91191">
        <w:rPr>
          <w:rFonts w:cs="Open Sans"/>
          <w:sz w:val="20"/>
          <w:szCs w:val="20"/>
          <w:lang w:val="en-US"/>
        </w:rPr>
        <w:instrText xml:space="preserve"> REF _Ref523846933 \r \h </w:instrText>
      </w:r>
      <w:r w:rsidRPr="00B91191">
        <w:rPr>
          <w:rFonts w:cs="Open Sans"/>
          <w:sz w:val="20"/>
          <w:szCs w:val="20"/>
          <w:highlight w:val="cyan"/>
          <w:lang w:val="en-US"/>
        </w:rPr>
        <w:instrText xml:space="preserve"> \* MERGEFORMAT </w:instrText>
      </w:r>
      <w:r w:rsidRPr="00B91191">
        <w:rPr>
          <w:rFonts w:cs="Open Sans"/>
          <w:sz w:val="20"/>
          <w:szCs w:val="20"/>
          <w:highlight w:val="cyan"/>
          <w:lang w:val="en-US"/>
        </w:rPr>
      </w:r>
      <w:r w:rsidRPr="00B91191">
        <w:rPr>
          <w:rFonts w:cs="Open Sans"/>
          <w:sz w:val="20"/>
          <w:szCs w:val="20"/>
          <w:highlight w:val="cyan"/>
          <w:lang w:val="en-US"/>
        </w:rPr>
        <w:fldChar w:fldCharType="separate"/>
      </w:r>
      <w:r w:rsidR="00372D72">
        <w:rPr>
          <w:rFonts w:cs="Open Sans"/>
          <w:sz w:val="20"/>
          <w:szCs w:val="20"/>
          <w:lang w:val="en-US"/>
        </w:rPr>
        <w:t>5.6</w:t>
      </w:r>
      <w:r w:rsidRPr="00B91191">
        <w:rPr>
          <w:rFonts w:cs="Open Sans"/>
          <w:sz w:val="20"/>
          <w:szCs w:val="20"/>
          <w:highlight w:val="cyan"/>
          <w:lang w:val="en-US"/>
        </w:rPr>
        <w:fldChar w:fldCharType="end"/>
      </w:r>
      <w:r w:rsidRPr="00B91191">
        <w:rPr>
          <w:rFonts w:cs="Open Sans"/>
          <w:sz w:val="20"/>
          <w:szCs w:val="20"/>
          <w:lang w:val="en-US"/>
        </w:rPr>
        <w:t xml:space="preserve"> of the submission regarding the Commission’s concerns regarding the proposed review and oversight mechanisms.</w:t>
      </w:r>
    </w:p>
  </w:endnote>
  <w:endnote w:id="116">
    <w:p w14:paraId="0EEAB139"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David Kaye, </w:t>
      </w:r>
      <w:r w:rsidRPr="00B91191">
        <w:rPr>
          <w:rFonts w:cs="Open Sans"/>
          <w:i/>
          <w:sz w:val="20"/>
          <w:szCs w:val="20"/>
        </w:rPr>
        <w:t>Report of the United Nations Special Rapporteur on the promotion and protection of the right to freedom of opinion and expression</w:t>
      </w:r>
      <w:r w:rsidRPr="00B91191">
        <w:rPr>
          <w:rFonts w:cs="Open Sans"/>
          <w:sz w:val="20"/>
          <w:szCs w:val="20"/>
        </w:rPr>
        <w:t>, 17</w:t>
      </w:r>
      <w:r w:rsidRPr="00B91191">
        <w:rPr>
          <w:rFonts w:cs="Open Sans"/>
          <w:sz w:val="20"/>
          <w:szCs w:val="20"/>
          <w:vertAlign w:val="superscript"/>
        </w:rPr>
        <w:t>th</w:t>
      </w:r>
      <w:r w:rsidRPr="00B91191">
        <w:rPr>
          <w:rFonts w:cs="Open Sans"/>
          <w:sz w:val="20"/>
          <w:szCs w:val="20"/>
        </w:rPr>
        <w:t xml:space="preserve"> sess, Agenda Item 3, UN Doc A/HRC/29/32 (22 May 2015)</w:t>
      </w:r>
      <w:r w:rsidRPr="00B91191" w:rsidDel="004933B5">
        <w:rPr>
          <w:rFonts w:cs="Open Sans"/>
          <w:sz w:val="20"/>
          <w:szCs w:val="20"/>
        </w:rPr>
        <w:t xml:space="preserve"> </w:t>
      </w:r>
      <w:r w:rsidRPr="00B91191">
        <w:rPr>
          <w:rFonts w:cs="Open Sans"/>
          <w:sz w:val="20"/>
          <w:szCs w:val="20"/>
        </w:rPr>
        <w:t xml:space="preserve">11 [32]. </w:t>
      </w:r>
    </w:p>
  </w:endnote>
  <w:endnote w:id="117">
    <w:p w14:paraId="5C9D89AF"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David Kaye, </w:t>
      </w:r>
      <w:r w:rsidRPr="00B91191">
        <w:rPr>
          <w:rFonts w:cs="Open Sans"/>
          <w:i/>
          <w:sz w:val="20"/>
          <w:szCs w:val="20"/>
        </w:rPr>
        <w:t>Report of the United Nations Special Rapporteur on the promotion and protection of the right to freedom of opinion and expression</w:t>
      </w:r>
      <w:r w:rsidRPr="00B91191">
        <w:rPr>
          <w:rFonts w:cs="Open Sans"/>
          <w:sz w:val="20"/>
          <w:szCs w:val="20"/>
        </w:rPr>
        <w:t>, 17</w:t>
      </w:r>
      <w:r w:rsidRPr="00B91191">
        <w:rPr>
          <w:rFonts w:cs="Open Sans"/>
          <w:sz w:val="20"/>
          <w:szCs w:val="20"/>
          <w:vertAlign w:val="superscript"/>
        </w:rPr>
        <w:t>th</w:t>
      </w:r>
      <w:r w:rsidRPr="00B91191">
        <w:rPr>
          <w:rFonts w:cs="Open Sans"/>
          <w:sz w:val="20"/>
          <w:szCs w:val="20"/>
        </w:rPr>
        <w:t xml:space="preserve"> sess, Agenda Item 3, UN Doc A/HRC/29/32 (22 May 2015) 11 [32]. </w:t>
      </w:r>
    </w:p>
  </w:endnote>
  <w:endnote w:id="118">
    <w:p w14:paraId="22B7DE56"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David Kaye, </w:t>
      </w:r>
      <w:r w:rsidRPr="00B91191">
        <w:rPr>
          <w:rFonts w:cs="Open Sans"/>
          <w:i/>
          <w:sz w:val="20"/>
          <w:szCs w:val="20"/>
        </w:rPr>
        <w:t>Report of the United Nations Special Rapporteur on the promotion and protection of the right to freedom of opinion and expression</w:t>
      </w:r>
      <w:r w:rsidRPr="00B91191">
        <w:rPr>
          <w:rFonts w:cs="Open Sans"/>
          <w:sz w:val="20"/>
          <w:szCs w:val="20"/>
        </w:rPr>
        <w:t>, 17</w:t>
      </w:r>
      <w:r w:rsidRPr="00B91191">
        <w:rPr>
          <w:rFonts w:cs="Open Sans"/>
          <w:sz w:val="20"/>
          <w:szCs w:val="20"/>
          <w:vertAlign w:val="superscript"/>
        </w:rPr>
        <w:t>th</w:t>
      </w:r>
      <w:r w:rsidRPr="00B91191">
        <w:rPr>
          <w:rFonts w:cs="Open Sans"/>
          <w:sz w:val="20"/>
          <w:szCs w:val="20"/>
        </w:rPr>
        <w:t xml:space="preserve"> sess, Agenda Item 3, UN Doc A/HRC/29/32 (22 May 2015)</w:t>
      </w:r>
      <w:r w:rsidRPr="00B91191" w:rsidDel="004933B5">
        <w:rPr>
          <w:rFonts w:cs="Open Sans"/>
          <w:sz w:val="20"/>
          <w:szCs w:val="20"/>
        </w:rPr>
        <w:t xml:space="preserve"> </w:t>
      </w:r>
      <w:r w:rsidRPr="00B91191">
        <w:rPr>
          <w:rFonts w:cs="Open Sans"/>
          <w:sz w:val="20"/>
          <w:szCs w:val="20"/>
        </w:rPr>
        <w:t>20 [60].</w:t>
      </w:r>
    </w:p>
  </w:endnote>
  <w:endnote w:id="119">
    <w:p w14:paraId="02D941F8"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 xml:space="preserve">Statement of Compatibility with Human Rights, Telecommunications and Other Legislation Amendment (Assistance and Access) Bill 2018 (Cth) 9 [8]. </w:t>
      </w:r>
    </w:p>
  </w:endnote>
  <w:endnote w:id="120">
    <w:p w14:paraId="00C205B2" w14:textId="4273A27F"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Statement of Compatibility with Human Rights, Telecommunications and Other Legislation Amendment (Assistance and Access) Bill 2018 (Cth) 12 [27].</w:t>
      </w:r>
    </w:p>
  </w:endnote>
  <w:endnote w:id="121">
    <w:p w14:paraId="2E613064" w14:textId="0905409F"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w:t>
      </w:r>
      <w:r w:rsidRPr="00B91191">
        <w:rPr>
          <w:rFonts w:cs="Open Sans"/>
          <w:sz w:val="20"/>
          <w:szCs w:val="20"/>
          <w:lang w:val="en-US"/>
        </w:rPr>
        <w:t>68 [256].</w:t>
      </w:r>
    </w:p>
  </w:endnote>
  <w:endnote w:id="122">
    <w:p w14:paraId="618A450B" w14:textId="1BD5A2D8"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Australian Human Rights Commission,</w:t>
      </w:r>
      <w:r w:rsidRPr="00B91191">
        <w:rPr>
          <w:rFonts w:cs="Open Sans"/>
          <w:sz w:val="20"/>
          <w:szCs w:val="20"/>
          <w:lang w:val="en-AU"/>
        </w:rPr>
        <w:t xml:space="preserve"> Submission to the Department of Home Affairs</w:t>
      </w:r>
      <w:r w:rsidRPr="00B91191">
        <w:rPr>
          <w:rFonts w:cs="Open Sans"/>
          <w:i/>
          <w:sz w:val="20"/>
          <w:szCs w:val="20"/>
          <w:lang w:val="en-AU"/>
        </w:rPr>
        <w:t>, Telecommunications and Other Legislation Amendment (Assistance and Access) Bill Exposure Draft 2018</w:t>
      </w:r>
      <w:r w:rsidRPr="00B91191">
        <w:rPr>
          <w:rFonts w:cs="Open Sans"/>
          <w:sz w:val="20"/>
          <w:szCs w:val="20"/>
          <w:lang w:val="en-AU"/>
        </w:rPr>
        <w:t xml:space="preserve"> (10 September 2018) 34 (Recommendation 20).</w:t>
      </w:r>
    </w:p>
  </w:endnote>
  <w:endnote w:id="123">
    <w:p w14:paraId="4F2D8278" w14:textId="32229846" w:rsidR="006E71F6" w:rsidRPr="00B91191" w:rsidRDefault="006E71F6" w:rsidP="00936BA9">
      <w:pPr>
        <w:pStyle w:val="EndnoteText"/>
        <w:widowControl w:val="0"/>
        <w:suppressLineNumbers/>
        <w:spacing w:before="0" w:after="0"/>
        <w:ind w:left="511" w:right="57" w:hanging="454"/>
        <w:contextualSpacing/>
        <w:rPr>
          <w:rFonts w:cs="Open Sans"/>
          <w:lang w:val="en-AU"/>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t>Explanatory Memorandum, Telecommunications and Other Legislation Amendment (Assistance and Access) Bill 2018 (Cth) 3 [8].</w:t>
      </w:r>
    </w:p>
  </w:endnote>
  <w:endnote w:id="124">
    <w:p w14:paraId="75FA99D2" w14:textId="59EC5A9B"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Explanatory Memorandum, Telecommunications and Other Legislation Amendment (Assistance and Access) Bill 2018 (Cth) 69 [272].</w:t>
      </w:r>
    </w:p>
  </w:endnote>
  <w:endnote w:id="125">
    <w:p w14:paraId="49701179" w14:textId="77777777" w:rsidR="006E71F6" w:rsidRPr="00B91191" w:rsidRDefault="006E71F6" w:rsidP="00FB5828">
      <w:pPr>
        <w:pStyle w:val="EndnoteText"/>
        <w:widowControl w:val="0"/>
        <w:suppressLineNumbers/>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Australian Law Reform Commission, </w:t>
      </w:r>
      <w:r w:rsidRPr="00B91191">
        <w:rPr>
          <w:rFonts w:cs="Open Sans"/>
          <w:i/>
          <w:sz w:val="20"/>
          <w:szCs w:val="20"/>
        </w:rPr>
        <w:t>Traditional Rights and Freedoms—Encroachments by Commonwealth Laws: Immunity from Civil Liability</w:t>
      </w:r>
      <w:r w:rsidRPr="00B91191">
        <w:rPr>
          <w:rFonts w:cs="Open Sans"/>
          <w:sz w:val="20"/>
          <w:szCs w:val="20"/>
        </w:rPr>
        <w:t xml:space="preserve">, Report No 129 (2016) </w:t>
      </w:r>
      <w:r w:rsidRPr="00B91191">
        <w:rPr>
          <w:rFonts w:cs="Open Sans"/>
          <w:sz w:val="20"/>
          <w:szCs w:val="20"/>
          <w:lang w:val="en-US"/>
        </w:rPr>
        <w:t>438.</w:t>
      </w:r>
    </w:p>
  </w:endnote>
  <w:endnote w:id="126">
    <w:p w14:paraId="6B5B1DEE" w14:textId="77777777" w:rsidR="006E71F6" w:rsidRPr="00B91191" w:rsidRDefault="006E71F6" w:rsidP="00FB5828">
      <w:pPr>
        <w:pStyle w:val="EndnoteText"/>
        <w:widowControl w:val="0"/>
        <w:suppressLineNumbers/>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Australian Law Reform Commission, </w:t>
      </w:r>
      <w:r w:rsidRPr="00B91191">
        <w:rPr>
          <w:rFonts w:cs="Open Sans"/>
          <w:i/>
          <w:sz w:val="20"/>
          <w:szCs w:val="20"/>
        </w:rPr>
        <w:t>Traditional Rights and Freedoms—Encroachments by Commonwealth Laws: Immunity from Civil Liability</w:t>
      </w:r>
      <w:r w:rsidRPr="00B91191">
        <w:rPr>
          <w:rFonts w:cs="Open Sans"/>
          <w:sz w:val="20"/>
          <w:szCs w:val="20"/>
        </w:rPr>
        <w:t xml:space="preserve">, Report No 129 (2016) </w:t>
      </w:r>
      <w:r w:rsidRPr="00B91191">
        <w:rPr>
          <w:rFonts w:cs="Open Sans"/>
          <w:sz w:val="20"/>
          <w:szCs w:val="20"/>
          <w:lang w:val="en-US"/>
        </w:rPr>
        <w:t xml:space="preserve">429. </w:t>
      </w:r>
    </w:p>
  </w:endnote>
  <w:endnote w:id="127">
    <w:p w14:paraId="21981E89" w14:textId="77777777" w:rsidR="006E71F6" w:rsidRPr="00B91191" w:rsidRDefault="006E71F6" w:rsidP="00FB5828">
      <w:pPr>
        <w:pStyle w:val="EndnoteText"/>
        <w:widowControl w:val="0"/>
        <w:suppressLineNumbers/>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Australian Law Reform Commission, </w:t>
      </w:r>
      <w:r w:rsidRPr="00B91191">
        <w:rPr>
          <w:rFonts w:cs="Open Sans"/>
          <w:i/>
          <w:sz w:val="20"/>
          <w:szCs w:val="20"/>
        </w:rPr>
        <w:t>Traditional Rights and Freedoms—Encroachments by Commonwealth Laws: Immunity from Civil Liability</w:t>
      </w:r>
      <w:r w:rsidRPr="00B91191">
        <w:rPr>
          <w:rFonts w:cs="Open Sans"/>
          <w:sz w:val="20"/>
          <w:szCs w:val="20"/>
        </w:rPr>
        <w:t xml:space="preserve">, Report No 129 (2016) 432, citing Law Council of Australia, Submission No 75 to the Australian Law Reform Commission, </w:t>
      </w:r>
      <w:r w:rsidRPr="00B91191">
        <w:rPr>
          <w:rFonts w:cs="Open Sans"/>
          <w:i/>
          <w:sz w:val="20"/>
          <w:szCs w:val="20"/>
        </w:rPr>
        <w:t>Review of Commonwealth Laws for Consistency with Traditional Rights, Freedoms and Privileges</w:t>
      </w:r>
      <w:r w:rsidRPr="00B91191">
        <w:rPr>
          <w:rFonts w:cs="Open Sans"/>
          <w:sz w:val="20"/>
          <w:szCs w:val="20"/>
        </w:rPr>
        <w:t>, 19 May 2014.</w:t>
      </w:r>
    </w:p>
  </w:endnote>
  <w:endnote w:id="128">
    <w:p w14:paraId="63D836F9" w14:textId="77777777" w:rsidR="006E71F6" w:rsidRPr="00B91191" w:rsidRDefault="006E71F6" w:rsidP="00FB5828">
      <w:pPr>
        <w:pStyle w:val="EndnoteText"/>
        <w:widowControl w:val="0"/>
        <w:suppressLineNumbers/>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Australian Law Reform Commission, </w:t>
      </w:r>
      <w:r w:rsidRPr="00B91191">
        <w:rPr>
          <w:rFonts w:cs="Open Sans"/>
          <w:i/>
          <w:sz w:val="20"/>
          <w:szCs w:val="20"/>
        </w:rPr>
        <w:t>Traditional Rights and Freedoms—Encroachments by Commonwealth Laws: Immunity from Civil Liability</w:t>
      </w:r>
      <w:r w:rsidRPr="00B91191">
        <w:rPr>
          <w:rFonts w:cs="Open Sans"/>
          <w:sz w:val="20"/>
          <w:szCs w:val="20"/>
        </w:rPr>
        <w:t xml:space="preserve">, Report No 129 (2016) 431, citing Nicholas Seddon, </w:t>
      </w:r>
      <w:r w:rsidRPr="00B91191">
        <w:rPr>
          <w:rFonts w:cs="Open Sans"/>
          <w:i/>
          <w:sz w:val="20"/>
          <w:szCs w:val="20"/>
        </w:rPr>
        <w:t xml:space="preserve">Government Contracts: Federal, State and Local </w:t>
      </w:r>
      <w:r w:rsidRPr="00B91191">
        <w:rPr>
          <w:rFonts w:cs="Open Sans"/>
          <w:sz w:val="20"/>
          <w:szCs w:val="20"/>
        </w:rPr>
        <w:t>(Federation Press, 4</w:t>
      </w:r>
      <w:r w:rsidRPr="00B91191">
        <w:rPr>
          <w:rFonts w:cs="Open Sans"/>
          <w:sz w:val="20"/>
          <w:szCs w:val="20"/>
          <w:vertAlign w:val="superscript"/>
        </w:rPr>
        <w:t>th</w:t>
      </w:r>
      <w:r w:rsidRPr="00B91191">
        <w:rPr>
          <w:rFonts w:cs="Open Sans"/>
          <w:sz w:val="20"/>
          <w:szCs w:val="20"/>
        </w:rPr>
        <w:t xml:space="preserve"> ed, 2009) 176.</w:t>
      </w:r>
    </w:p>
  </w:endnote>
  <w:endnote w:id="129">
    <w:p w14:paraId="78C1DA0D" w14:textId="77777777" w:rsidR="006E71F6" w:rsidRPr="00B91191" w:rsidRDefault="006E71F6" w:rsidP="00FB5828">
      <w:pPr>
        <w:pStyle w:val="EndnoteText"/>
        <w:widowControl w:val="0"/>
        <w:suppressLineNumbers/>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Coco v The Queen</w:t>
      </w:r>
      <w:r w:rsidRPr="00B91191">
        <w:rPr>
          <w:rFonts w:cs="Open Sans"/>
          <w:sz w:val="20"/>
          <w:szCs w:val="20"/>
        </w:rPr>
        <w:t xml:space="preserve"> (1994) 179 CLR 427, 436 (Mason CJ, Brennan, Gaudron and McHugh JJ).</w:t>
      </w:r>
    </w:p>
  </w:endnote>
  <w:endnote w:id="130">
    <w:p w14:paraId="16D4CCA9" w14:textId="4E840720" w:rsidR="006E71F6" w:rsidRPr="00B91191" w:rsidRDefault="006E71F6" w:rsidP="00FB5828">
      <w:pPr>
        <w:pStyle w:val="EndnoteText"/>
        <w:widowControl w:val="0"/>
        <w:suppressLineNumbers/>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t xml:space="preserve">Inspector-General of Intelligence and Security, Submission to the Department of Home Affairs, </w:t>
      </w:r>
      <w:r w:rsidRPr="00B91191">
        <w:rPr>
          <w:rFonts w:cs="Open Sans"/>
          <w:i/>
          <w:sz w:val="20"/>
          <w:szCs w:val="20"/>
        </w:rPr>
        <w:t xml:space="preserve">Telecommunications and Other Legislation Amendment (Assistance and Access) Bill Exposure Draft 2018 </w:t>
      </w:r>
      <w:r w:rsidRPr="00B91191">
        <w:rPr>
          <w:rFonts w:cs="Open Sans"/>
          <w:sz w:val="20"/>
          <w:szCs w:val="20"/>
        </w:rPr>
        <w:t>(13 September 2018) 21–22.</w:t>
      </w:r>
    </w:p>
  </w:endnote>
  <w:endnote w:id="131">
    <w:p w14:paraId="05A4D071" w14:textId="52243751" w:rsidR="006E71F6" w:rsidRPr="00B91191" w:rsidRDefault="006E71F6" w:rsidP="007743F9">
      <w:pPr>
        <w:pStyle w:val="EndnoteText"/>
        <w:widowControl w:val="0"/>
        <w:suppressLineNumbers/>
        <w:ind w:left="511" w:right="57" w:hanging="454"/>
        <w:contextualSpacing/>
        <w:rPr>
          <w:rFonts w:cs="Open Sans"/>
          <w:sz w:val="20"/>
          <w:szCs w:val="20"/>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 xml:space="preserve">Inspector-General of Intelligence and Security, Submission to the Department of Home Affairs, </w:t>
      </w:r>
      <w:r w:rsidRPr="00B91191">
        <w:rPr>
          <w:rFonts w:cs="Open Sans"/>
          <w:i/>
          <w:sz w:val="20"/>
          <w:szCs w:val="20"/>
        </w:rPr>
        <w:t xml:space="preserve">Telecommunications and Other Legislation Amendment (Assistance and Access) Bill Exposure Draft 2018 </w:t>
      </w:r>
      <w:r w:rsidRPr="00B91191">
        <w:rPr>
          <w:rFonts w:cs="Open Sans"/>
          <w:sz w:val="20"/>
          <w:szCs w:val="20"/>
        </w:rPr>
        <w:t>(13 September 2018) 3–4.</w:t>
      </w:r>
    </w:p>
  </w:endnote>
  <w:endnote w:id="132">
    <w:p w14:paraId="10879EBD" w14:textId="3719D971"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sz w:val="20"/>
          <w:szCs w:val="20"/>
          <w:lang w:val="en-US"/>
        </w:rPr>
        <w:t>For example, see the definition of ‘</w:t>
      </w:r>
      <w:r w:rsidRPr="00B91191">
        <w:rPr>
          <w:rFonts w:cs="Open Sans"/>
          <w:bCs/>
          <w:iCs/>
          <w:sz w:val="20"/>
          <w:szCs w:val="20"/>
        </w:rPr>
        <w:t xml:space="preserve">technical capability notice’ information in </w:t>
      </w:r>
      <w:r w:rsidRPr="00B91191">
        <w:rPr>
          <w:rFonts w:cs="Open Sans"/>
          <w:bCs/>
          <w:i/>
          <w:iCs/>
          <w:sz w:val="20"/>
          <w:szCs w:val="20"/>
        </w:rPr>
        <w:t xml:space="preserve">Telecommunications Act 1997 </w:t>
      </w:r>
      <w:r w:rsidRPr="00B91191">
        <w:rPr>
          <w:rFonts w:cs="Open Sans"/>
          <w:bCs/>
          <w:iCs/>
          <w:sz w:val="20"/>
          <w:szCs w:val="20"/>
        </w:rPr>
        <w:t>(Cth) proposed s 317B.</w:t>
      </w:r>
    </w:p>
  </w:endnote>
  <w:endnote w:id="133">
    <w:p w14:paraId="3DE16B76" w14:textId="148BAA8D"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w:t>
      </w:r>
      <w:r w:rsidRPr="00B91191">
        <w:rPr>
          <w:rFonts w:cs="Open Sans"/>
          <w:sz w:val="20"/>
          <w:szCs w:val="20"/>
          <w:lang w:val="en-US"/>
        </w:rPr>
        <w:t>65 [238].</w:t>
      </w:r>
    </w:p>
  </w:endnote>
  <w:endnote w:id="134">
    <w:p w14:paraId="0BE46D8E" w14:textId="6130F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bCs/>
          <w:i/>
          <w:iCs/>
          <w:sz w:val="20"/>
          <w:szCs w:val="20"/>
        </w:rPr>
        <w:t xml:space="preserve">Telecommunications Act 1997 </w:t>
      </w:r>
      <w:r w:rsidRPr="00B91191">
        <w:rPr>
          <w:rFonts w:cs="Open Sans"/>
          <w:bCs/>
          <w:iCs/>
          <w:sz w:val="20"/>
          <w:szCs w:val="20"/>
        </w:rPr>
        <w:t>(Cth) proposed s </w:t>
      </w:r>
      <w:r w:rsidRPr="00B91191">
        <w:rPr>
          <w:rFonts w:cs="Open Sans"/>
          <w:sz w:val="20"/>
          <w:szCs w:val="20"/>
        </w:rPr>
        <w:t>317ZF(5).</w:t>
      </w:r>
    </w:p>
  </w:endnote>
  <w:endnote w:id="135">
    <w:p w14:paraId="554B9256" w14:textId="1D908190"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bCs/>
          <w:i/>
          <w:iCs/>
          <w:sz w:val="20"/>
          <w:szCs w:val="20"/>
        </w:rPr>
        <w:t xml:space="preserve">Telecommunications Act 1997 </w:t>
      </w:r>
      <w:r w:rsidRPr="00B91191">
        <w:rPr>
          <w:rFonts w:cs="Open Sans"/>
          <w:bCs/>
          <w:iCs/>
          <w:sz w:val="20"/>
          <w:szCs w:val="20"/>
        </w:rPr>
        <w:t>(Cth) proposed</w:t>
      </w:r>
      <w:r w:rsidRPr="00B91191">
        <w:rPr>
          <w:rFonts w:cs="Open Sans"/>
          <w:sz w:val="20"/>
          <w:szCs w:val="20"/>
        </w:rPr>
        <w:t xml:space="preserve"> ss 317ZF(6)–(11); Explanatory Memorandum, Telecommunications and Other Legislation Amendment (Assistance and Access) Bill 2018 (Cth) 66 [247].</w:t>
      </w:r>
    </w:p>
  </w:endnote>
  <w:endnote w:id="136">
    <w:p w14:paraId="4F39DE75" w14:textId="5D2ECFF6"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bCs/>
          <w:i/>
          <w:iCs/>
          <w:sz w:val="20"/>
          <w:szCs w:val="20"/>
        </w:rPr>
        <w:t xml:space="preserve">Telecommunications Act 1997 </w:t>
      </w:r>
      <w:r w:rsidRPr="00B91191">
        <w:rPr>
          <w:rFonts w:cs="Open Sans"/>
          <w:bCs/>
          <w:iCs/>
          <w:sz w:val="20"/>
          <w:szCs w:val="20"/>
        </w:rPr>
        <w:t>(Cth) proposed</w:t>
      </w:r>
      <w:r w:rsidRPr="00B91191">
        <w:rPr>
          <w:rFonts w:cs="Open Sans"/>
          <w:sz w:val="20"/>
          <w:szCs w:val="20"/>
        </w:rPr>
        <w:t xml:space="preserve"> s </w:t>
      </w:r>
      <w:r w:rsidRPr="00B91191">
        <w:rPr>
          <w:rFonts w:cs="Open Sans"/>
          <w:sz w:val="20"/>
          <w:szCs w:val="20"/>
          <w:lang w:val="en-US"/>
        </w:rPr>
        <w:t xml:space="preserve">317ZF(13); </w:t>
      </w:r>
      <w:r w:rsidRPr="00B91191">
        <w:rPr>
          <w:rFonts w:cs="Open Sans"/>
          <w:sz w:val="20"/>
          <w:szCs w:val="20"/>
        </w:rPr>
        <w:t>Explanatory Memorandum, Telecommunications and Other Legislation Amendment (Assistance and Access) Bill 2018 (Cth) 66 [249]</w:t>
      </w:r>
      <w:r w:rsidRPr="00B91191">
        <w:rPr>
          <w:rFonts w:cs="Open Sans"/>
          <w:sz w:val="20"/>
          <w:szCs w:val="20"/>
          <w:lang w:val="en-US"/>
        </w:rPr>
        <w:t>.</w:t>
      </w:r>
    </w:p>
  </w:endnote>
  <w:endnote w:id="137">
    <w:p w14:paraId="7A1819F3"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United Nations Human Rights Committee, </w:t>
      </w:r>
      <w:r w:rsidRPr="00B91191">
        <w:rPr>
          <w:rFonts w:cs="Open Sans"/>
          <w:i/>
          <w:sz w:val="20"/>
          <w:szCs w:val="20"/>
        </w:rPr>
        <w:t>General Comment No 34: Article 19, Freedoms of opinion and expression</w:t>
      </w:r>
      <w:r w:rsidRPr="00B91191">
        <w:rPr>
          <w:rFonts w:cs="Open Sans"/>
          <w:sz w:val="20"/>
          <w:szCs w:val="20"/>
        </w:rPr>
        <w:t>, 102</w:t>
      </w:r>
      <w:r w:rsidRPr="00B91191">
        <w:rPr>
          <w:rFonts w:cs="Open Sans"/>
          <w:sz w:val="20"/>
          <w:szCs w:val="20"/>
          <w:vertAlign w:val="superscript"/>
        </w:rPr>
        <w:t>nd</w:t>
      </w:r>
      <w:r w:rsidRPr="00B91191">
        <w:rPr>
          <w:rFonts w:cs="Open Sans"/>
          <w:sz w:val="20"/>
          <w:szCs w:val="20"/>
        </w:rPr>
        <w:t xml:space="preserve"> sess, UN Doc CCPR/C/GC/34 (12 September 2011) 7 [30]. </w:t>
      </w:r>
    </w:p>
  </w:endnote>
  <w:endnote w:id="138">
    <w:p w14:paraId="09A86B41"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sz w:val="20"/>
          <w:szCs w:val="20"/>
          <w:lang w:val="en-US"/>
        </w:rPr>
        <w:t xml:space="preserve">Australian Law Reform Commission, </w:t>
      </w:r>
      <w:r w:rsidRPr="00B91191">
        <w:rPr>
          <w:rFonts w:cs="Open Sans"/>
          <w:i/>
          <w:sz w:val="20"/>
          <w:szCs w:val="20"/>
          <w:lang w:val="en-US"/>
        </w:rPr>
        <w:t>Secrecy Laws and Open Government in Australia</w:t>
      </w:r>
      <w:r w:rsidRPr="00B91191">
        <w:rPr>
          <w:rFonts w:cs="Open Sans"/>
          <w:sz w:val="20"/>
          <w:szCs w:val="20"/>
          <w:lang w:val="en-US"/>
        </w:rPr>
        <w:t>, Report No 112 (2009) 21.</w:t>
      </w:r>
    </w:p>
  </w:endnote>
  <w:endnote w:id="139">
    <w:p w14:paraId="1D27465A"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sz w:val="20"/>
          <w:szCs w:val="20"/>
          <w:lang w:val="en-US"/>
        </w:rPr>
        <w:t xml:space="preserve">Australian Law Reform Commission, </w:t>
      </w:r>
      <w:r w:rsidRPr="00B91191">
        <w:rPr>
          <w:rFonts w:cs="Open Sans"/>
          <w:i/>
          <w:sz w:val="20"/>
          <w:szCs w:val="20"/>
          <w:lang w:val="en-US"/>
        </w:rPr>
        <w:t>Secrecy Laws and Open Government in Australia</w:t>
      </w:r>
      <w:r w:rsidRPr="00B91191">
        <w:rPr>
          <w:rFonts w:cs="Open Sans"/>
          <w:sz w:val="20"/>
          <w:szCs w:val="20"/>
          <w:lang w:val="en-US"/>
        </w:rPr>
        <w:t>, Report No 112 (2009) 138.</w:t>
      </w:r>
    </w:p>
  </w:endnote>
  <w:endnote w:id="140">
    <w:p w14:paraId="06C2A4D8" w14:textId="2EF263DF"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bCs/>
          <w:i/>
          <w:iCs/>
          <w:sz w:val="20"/>
          <w:szCs w:val="20"/>
        </w:rPr>
        <w:t xml:space="preserve">Telecommunications Act 1997 </w:t>
      </w:r>
      <w:r w:rsidRPr="00B91191">
        <w:rPr>
          <w:rFonts w:cs="Open Sans"/>
          <w:bCs/>
          <w:iCs/>
          <w:sz w:val="20"/>
          <w:szCs w:val="20"/>
        </w:rPr>
        <w:t>(Cth) proposed s </w:t>
      </w:r>
      <w:r w:rsidRPr="00B91191">
        <w:rPr>
          <w:rFonts w:cs="Open Sans"/>
          <w:sz w:val="20"/>
          <w:szCs w:val="20"/>
          <w:lang w:val="en-US"/>
        </w:rPr>
        <w:t>317K.</w:t>
      </w:r>
    </w:p>
  </w:endnote>
  <w:endnote w:id="141">
    <w:p w14:paraId="743AA425"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Navi Pillay, UN High Commissioner for Human Rights, speaking at the launch of the Office of the UN High Commissioner for Human Rights publication </w:t>
      </w:r>
      <w:r w:rsidRPr="00B91191">
        <w:rPr>
          <w:rFonts w:cs="Open Sans"/>
          <w:i/>
          <w:sz w:val="20"/>
          <w:szCs w:val="20"/>
        </w:rPr>
        <w:t>The right to privacy in the digital age</w:t>
      </w:r>
      <w:r w:rsidRPr="00B91191">
        <w:rPr>
          <w:rFonts w:cs="Open Sans"/>
          <w:sz w:val="20"/>
          <w:szCs w:val="20"/>
        </w:rPr>
        <w:t xml:space="preserve">, quoted in Michael Vincent, ‘Edward Snowden “owed a great deal” and deserves protection from prosecution: UN human rights chief’, </w:t>
      </w:r>
      <w:r w:rsidRPr="00B91191">
        <w:rPr>
          <w:rFonts w:cs="Open Sans"/>
          <w:i/>
          <w:sz w:val="20"/>
          <w:szCs w:val="20"/>
        </w:rPr>
        <w:t xml:space="preserve">ABC News </w:t>
      </w:r>
      <w:r w:rsidRPr="00B91191">
        <w:rPr>
          <w:rFonts w:cs="Open Sans"/>
          <w:sz w:val="20"/>
          <w:szCs w:val="20"/>
        </w:rPr>
        <w:t>(online), 17 July 2014 &lt;</w:t>
      </w:r>
      <w:hyperlink r:id="rId1" w:history="1">
        <w:r w:rsidRPr="00B91191">
          <w:rPr>
            <w:rStyle w:val="Hyperlink"/>
            <w:rFonts w:cs="Open Sans"/>
            <w:color w:val="auto"/>
            <w:sz w:val="20"/>
            <w:szCs w:val="20"/>
            <w:u w:val="none"/>
          </w:rPr>
          <w:t>http://www.abc.net.au/news/2014-07-17/snowden-deserves-protection-from-prosecution3a-un-rights-chief/5603236</w:t>
        </w:r>
      </w:hyperlink>
      <w:r w:rsidRPr="00B91191">
        <w:rPr>
          <w:rFonts w:cs="Open Sans"/>
          <w:sz w:val="20"/>
          <w:szCs w:val="20"/>
        </w:rPr>
        <w:t xml:space="preserve">&gt;. </w:t>
      </w:r>
    </w:p>
  </w:endnote>
  <w:endnote w:id="142">
    <w:p w14:paraId="08B809B2" w14:textId="6C2C4DB6" w:rsidR="006E71F6" w:rsidRPr="00B91191" w:rsidRDefault="006E71F6" w:rsidP="00FB5828">
      <w:pPr>
        <w:pStyle w:val="EndnoteText"/>
        <w:widowControl w:val="0"/>
        <w:suppressLineNumbers/>
        <w:spacing w:before="0" w:after="0"/>
        <w:ind w:left="511" w:right="57" w:hanging="454"/>
        <w:contextualSpacing/>
        <w:rPr>
          <w:rFonts w:cs="Open Sans"/>
          <w:b/>
          <w:color w:val="FF0000"/>
          <w:sz w:val="20"/>
          <w:szCs w:val="20"/>
          <w:lang w:val="en-AU"/>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r>
      <w:r w:rsidRPr="00B91191">
        <w:rPr>
          <w:rFonts w:cs="Open Sans"/>
          <w:color w:val="000000" w:themeColor="text1"/>
          <w:sz w:val="20"/>
          <w:szCs w:val="20"/>
        </w:rPr>
        <w:t>Inspector-General of Intelligence and Security, Submission to the Department of Home Affairs,</w:t>
      </w:r>
      <w:r w:rsidRPr="00B91191">
        <w:rPr>
          <w:rFonts w:cs="Open Sans"/>
          <w:i/>
          <w:color w:val="000000" w:themeColor="text1"/>
          <w:sz w:val="20"/>
          <w:szCs w:val="20"/>
        </w:rPr>
        <w:t xml:space="preserve"> Telecommunications and Other Legislation Amendment (Assistance and Access) Bill Exposure Draft 2018 </w:t>
      </w:r>
      <w:r w:rsidRPr="00B91191">
        <w:rPr>
          <w:rFonts w:cs="Open Sans"/>
          <w:color w:val="000000" w:themeColor="text1"/>
          <w:sz w:val="20"/>
          <w:szCs w:val="20"/>
        </w:rPr>
        <w:t>(13 September 2018) 26.</w:t>
      </w:r>
    </w:p>
  </w:endnote>
  <w:endnote w:id="143">
    <w:p w14:paraId="175894A9"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sz w:val="20"/>
          <w:szCs w:val="20"/>
          <w:lang w:val="en-US"/>
        </w:rPr>
        <w:t xml:space="preserve">Australian Law Reform Commission, </w:t>
      </w:r>
      <w:r w:rsidRPr="00B91191">
        <w:rPr>
          <w:rFonts w:cs="Open Sans"/>
          <w:i/>
          <w:sz w:val="20"/>
          <w:szCs w:val="20"/>
          <w:lang w:val="en-US"/>
        </w:rPr>
        <w:t>Secrecy Laws and Open Government in Australia</w:t>
      </w:r>
      <w:r w:rsidRPr="00B91191">
        <w:rPr>
          <w:rFonts w:cs="Open Sans"/>
          <w:sz w:val="20"/>
          <w:szCs w:val="20"/>
          <w:lang w:val="en-US"/>
        </w:rPr>
        <w:t>, Report No 112 (2009) 100.</w:t>
      </w:r>
    </w:p>
  </w:endnote>
  <w:endnote w:id="144">
    <w:p w14:paraId="3C4BC434" w14:textId="4D03A378"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w:t>
      </w:r>
      <w:r w:rsidRPr="00B91191">
        <w:rPr>
          <w:rFonts w:cs="Open Sans"/>
          <w:sz w:val="20"/>
          <w:szCs w:val="20"/>
          <w:lang w:val="en-US"/>
        </w:rPr>
        <w:t>73–74 [304].</w:t>
      </w:r>
    </w:p>
  </w:endnote>
  <w:endnote w:id="145">
    <w:p w14:paraId="41B2CA32" w14:textId="4DB64945"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w:t>
      </w:r>
      <w:r w:rsidRPr="00B91191">
        <w:rPr>
          <w:rFonts w:cs="Open Sans"/>
          <w:sz w:val="20"/>
          <w:szCs w:val="20"/>
          <w:lang w:val="en-US"/>
        </w:rPr>
        <w:t>43 [88].</w:t>
      </w:r>
    </w:p>
  </w:endnote>
  <w:endnote w:id="146">
    <w:p w14:paraId="2F875DC9" w14:textId="0F2F48D4"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bCs/>
          <w:i/>
          <w:iCs/>
          <w:sz w:val="20"/>
          <w:szCs w:val="20"/>
        </w:rPr>
        <w:t xml:space="preserve">Telecommunications Act 1997 </w:t>
      </w:r>
      <w:r w:rsidRPr="00B91191">
        <w:rPr>
          <w:rFonts w:cs="Open Sans"/>
          <w:bCs/>
          <w:iCs/>
          <w:sz w:val="20"/>
          <w:szCs w:val="20"/>
        </w:rPr>
        <w:t>(Cth) proposed</w:t>
      </w:r>
      <w:r w:rsidRPr="00B91191">
        <w:rPr>
          <w:rFonts w:cs="Open Sans"/>
          <w:sz w:val="20"/>
          <w:szCs w:val="20"/>
        </w:rPr>
        <w:t xml:space="preserve"> ss 317W(1), 317Y(1).</w:t>
      </w:r>
    </w:p>
  </w:endnote>
  <w:endnote w:id="147">
    <w:p w14:paraId="7725B292" w14:textId="5F17575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bCs/>
          <w:i/>
          <w:iCs/>
          <w:sz w:val="20"/>
          <w:szCs w:val="20"/>
        </w:rPr>
        <w:t xml:space="preserve">Telecommunications Act 1997 </w:t>
      </w:r>
      <w:r w:rsidRPr="00B91191">
        <w:rPr>
          <w:rFonts w:cs="Open Sans"/>
          <w:bCs/>
          <w:iCs/>
          <w:sz w:val="20"/>
          <w:szCs w:val="20"/>
        </w:rPr>
        <w:t>(Cth) proposed</w:t>
      </w:r>
      <w:r w:rsidRPr="00B91191">
        <w:rPr>
          <w:rFonts w:cs="Open Sans"/>
          <w:sz w:val="20"/>
          <w:szCs w:val="20"/>
        </w:rPr>
        <w:t xml:space="preserve"> s 317W(12).</w:t>
      </w:r>
    </w:p>
  </w:endnote>
  <w:endnote w:id="148">
    <w:p w14:paraId="7C4080F9" w14:textId="1F6709BA"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Investigatory Powers Act 2016 </w:t>
      </w:r>
      <w:r w:rsidRPr="00B91191">
        <w:rPr>
          <w:rFonts w:cs="Open Sans"/>
          <w:sz w:val="20"/>
          <w:szCs w:val="20"/>
        </w:rPr>
        <w:t>(UK) c 25, s </w:t>
      </w:r>
      <w:r w:rsidRPr="00B91191">
        <w:rPr>
          <w:rFonts w:cs="Open Sans"/>
          <w:sz w:val="20"/>
          <w:szCs w:val="20"/>
          <w:lang w:val="en-US"/>
        </w:rPr>
        <w:t>254.</w:t>
      </w:r>
    </w:p>
  </w:endnote>
  <w:endnote w:id="149">
    <w:p w14:paraId="51A0CD10" w14:textId="3E507DDC"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Investigatory Powers Act 2016 </w:t>
      </w:r>
      <w:r w:rsidRPr="00B91191">
        <w:rPr>
          <w:rFonts w:cs="Open Sans"/>
          <w:sz w:val="20"/>
          <w:szCs w:val="20"/>
        </w:rPr>
        <w:t>(UK) c 25, s </w:t>
      </w:r>
      <w:r w:rsidRPr="00B91191">
        <w:rPr>
          <w:rFonts w:cs="Open Sans"/>
          <w:sz w:val="20"/>
          <w:szCs w:val="20"/>
          <w:lang w:val="en-US"/>
        </w:rPr>
        <w:t>254.</w:t>
      </w:r>
    </w:p>
  </w:endnote>
  <w:endnote w:id="150">
    <w:p w14:paraId="20E7BB5A" w14:textId="5588A451"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Investigatory Powers Act 2016 </w:t>
      </w:r>
      <w:r w:rsidRPr="00B91191">
        <w:rPr>
          <w:rFonts w:cs="Open Sans"/>
          <w:sz w:val="20"/>
          <w:szCs w:val="20"/>
        </w:rPr>
        <w:t>(UK) c 25, s </w:t>
      </w:r>
      <w:r w:rsidRPr="00B91191">
        <w:rPr>
          <w:rFonts w:cs="Open Sans"/>
          <w:sz w:val="20"/>
          <w:szCs w:val="20"/>
          <w:lang w:val="en-US"/>
        </w:rPr>
        <w:t>257.</w:t>
      </w:r>
    </w:p>
  </w:endnote>
  <w:endnote w:id="151">
    <w:p w14:paraId="750B2BAE"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Martin Scheinin, </w:t>
      </w:r>
      <w:r w:rsidRPr="00B91191">
        <w:rPr>
          <w:rFonts w:cs="Open Sans"/>
          <w:i/>
          <w:sz w:val="20"/>
          <w:szCs w:val="20"/>
        </w:rPr>
        <w:t>Report of the United Nations Special Rapporteur on the promotion and protection of human rights and fundamental freedoms while countering terrorism</w:t>
      </w:r>
      <w:r w:rsidRPr="00B91191">
        <w:rPr>
          <w:rFonts w:cs="Open Sans"/>
          <w:sz w:val="20"/>
          <w:szCs w:val="20"/>
        </w:rPr>
        <w:t>, 13</w:t>
      </w:r>
      <w:r w:rsidRPr="00B91191">
        <w:rPr>
          <w:rFonts w:cs="Open Sans"/>
          <w:sz w:val="20"/>
          <w:szCs w:val="20"/>
          <w:vertAlign w:val="superscript"/>
        </w:rPr>
        <w:t>th</w:t>
      </w:r>
      <w:r w:rsidRPr="00B91191">
        <w:rPr>
          <w:rFonts w:cs="Open Sans"/>
          <w:sz w:val="20"/>
          <w:szCs w:val="20"/>
        </w:rPr>
        <w:t xml:space="preserve"> sess, Agenda Item 3, UN Doc A/HRC/13/37 (28 December 2009) 19.</w:t>
      </w:r>
    </w:p>
  </w:endnote>
  <w:endnote w:id="152">
    <w:p w14:paraId="4897B70F"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Martin Scheinin, </w:t>
      </w:r>
      <w:r w:rsidRPr="00B91191">
        <w:rPr>
          <w:rFonts w:cs="Open Sans"/>
          <w:i/>
          <w:sz w:val="20"/>
          <w:szCs w:val="20"/>
        </w:rPr>
        <w:t>Report of the United Nations Special Rapporteur on the promotion and protection of human rights and fundamental freedoms while countering terrorism</w:t>
      </w:r>
      <w:r w:rsidRPr="00B91191">
        <w:rPr>
          <w:rFonts w:cs="Open Sans"/>
          <w:sz w:val="20"/>
          <w:szCs w:val="20"/>
        </w:rPr>
        <w:t>, 13</w:t>
      </w:r>
      <w:r w:rsidRPr="00B91191">
        <w:rPr>
          <w:rFonts w:cs="Open Sans"/>
          <w:sz w:val="20"/>
          <w:szCs w:val="20"/>
          <w:vertAlign w:val="superscript"/>
        </w:rPr>
        <w:t>th</w:t>
      </w:r>
      <w:r w:rsidRPr="00B91191">
        <w:rPr>
          <w:rFonts w:cs="Open Sans"/>
          <w:sz w:val="20"/>
          <w:szCs w:val="20"/>
        </w:rPr>
        <w:t xml:space="preserve"> sess, Agenda Item 3, UN Doc A/HRC/13/37 (28 December 2009) </w:t>
      </w:r>
      <w:r w:rsidRPr="00B91191">
        <w:rPr>
          <w:rFonts w:cs="Open Sans"/>
          <w:sz w:val="20"/>
          <w:szCs w:val="20"/>
          <w:lang w:val="en-US"/>
        </w:rPr>
        <w:t>21.</w:t>
      </w:r>
    </w:p>
  </w:endnote>
  <w:endnote w:id="153">
    <w:p w14:paraId="7F56963C"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Office of the United Nations High Commissioner for Human Rights, </w:t>
      </w:r>
      <w:r w:rsidRPr="00B91191">
        <w:rPr>
          <w:rFonts w:cs="Open Sans"/>
          <w:i/>
          <w:sz w:val="20"/>
          <w:szCs w:val="20"/>
        </w:rPr>
        <w:t>The Right to Privacy in the Digital Age</w:t>
      </w:r>
      <w:r w:rsidRPr="00B91191">
        <w:rPr>
          <w:rFonts w:cs="Open Sans"/>
          <w:sz w:val="20"/>
          <w:szCs w:val="20"/>
        </w:rPr>
        <w:t>, 27</w:t>
      </w:r>
      <w:r w:rsidRPr="00B91191">
        <w:rPr>
          <w:rFonts w:cs="Open Sans"/>
          <w:sz w:val="20"/>
          <w:szCs w:val="20"/>
          <w:vertAlign w:val="superscript"/>
        </w:rPr>
        <w:t>th</w:t>
      </w:r>
      <w:r w:rsidRPr="00B91191">
        <w:rPr>
          <w:rFonts w:cs="Open Sans"/>
          <w:sz w:val="20"/>
          <w:szCs w:val="20"/>
        </w:rPr>
        <w:t xml:space="preserve"> sess, Agenda Items 2 and 3, UN Doc A/HRC/27/37 (30 June 2014), 12–13 [37]–[38]. </w:t>
      </w:r>
    </w:p>
  </w:endnote>
  <w:endnote w:id="154">
    <w:p w14:paraId="4037F5FB"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US"/>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w:t>
      </w:r>
      <w:r w:rsidRPr="00B91191">
        <w:rPr>
          <w:rFonts w:cs="Open Sans"/>
          <w:sz w:val="20"/>
          <w:szCs w:val="20"/>
          <w:lang w:val="en-US"/>
        </w:rPr>
        <w:t>15 [46].</w:t>
      </w:r>
    </w:p>
  </w:endnote>
  <w:endnote w:id="155">
    <w:p w14:paraId="37CE6931"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Administrative Review Council, </w:t>
      </w:r>
      <w:r w:rsidRPr="00B91191">
        <w:rPr>
          <w:rFonts w:cs="Open Sans"/>
          <w:i/>
          <w:sz w:val="20"/>
          <w:szCs w:val="20"/>
        </w:rPr>
        <w:t>Federal Judicial Review in Australia</w:t>
      </w:r>
      <w:r w:rsidRPr="00B91191">
        <w:rPr>
          <w:rFonts w:cs="Open Sans"/>
          <w:sz w:val="20"/>
          <w:szCs w:val="20"/>
        </w:rPr>
        <w:t>, Report No 50</w:t>
      </w:r>
      <w:r w:rsidRPr="00B91191">
        <w:rPr>
          <w:rFonts w:cs="Open Sans"/>
          <w:i/>
          <w:sz w:val="20"/>
          <w:szCs w:val="20"/>
        </w:rPr>
        <w:t xml:space="preserve"> </w:t>
      </w:r>
      <w:r w:rsidRPr="00B91191">
        <w:rPr>
          <w:rFonts w:cs="Open Sans"/>
          <w:sz w:val="20"/>
          <w:szCs w:val="20"/>
        </w:rPr>
        <w:t>(September 2012)</w:t>
      </w:r>
      <w:r w:rsidRPr="00B91191">
        <w:rPr>
          <w:rFonts w:cs="Open Sans"/>
          <w:i/>
          <w:sz w:val="20"/>
          <w:szCs w:val="20"/>
        </w:rPr>
        <w:t xml:space="preserve"> </w:t>
      </w:r>
      <w:r w:rsidRPr="00B91191">
        <w:rPr>
          <w:rFonts w:cs="Open Sans"/>
          <w:sz w:val="20"/>
          <w:szCs w:val="20"/>
        </w:rPr>
        <w:t>72–73 [4.4].</w:t>
      </w:r>
    </w:p>
  </w:endnote>
  <w:endnote w:id="156">
    <w:p w14:paraId="10AB275F" w14:textId="0E8C7997"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AU"/>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t>Office of the Australian Information Commissioner, Submission to the Department of Home Affairs,</w:t>
      </w:r>
      <w:r w:rsidRPr="00B91191">
        <w:rPr>
          <w:rFonts w:cs="Open Sans"/>
          <w:i/>
          <w:sz w:val="20"/>
          <w:szCs w:val="20"/>
        </w:rPr>
        <w:t xml:space="preserve"> Telecommunications and Other Legislation Amendment (Assistance and Access) Bill Exposure Draft 2018 </w:t>
      </w:r>
      <w:r w:rsidRPr="00B91191">
        <w:rPr>
          <w:rFonts w:cs="Open Sans"/>
          <w:sz w:val="20"/>
          <w:szCs w:val="20"/>
        </w:rPr>
        <w:t>(13 September 2018) 9.</w:t>
      </w:r>
    </w:p>
  </w:endnote>
  <w:endnote w:id="157">
    <w:p w14:paraId="11121DFD" w14:textId="6D3DFAAB" w:rsidR="006E71F6" w:rsidRPr="00B91191" w:rsidRDefault="006E71F6" w:rsidP="00FB5828">
      <w:pPr>
        <w:pStyle w:val="EndnoteText"/>
        <w:widowControl w:val="0"/>
        <w:suppressLineNumbers/>
        <w:spacing w:before="0" w:after="0"/>
        <w:ind w:left="511" w:right="57" w:hanging="454"/>
        <w:contextualSpacing/>
        <w:rPr>
          <w:rFonts w:cs="Open Sans"/>
          <w:sz w:val="20"/>
          <w:szCs w:val="20"/>
          <w:lang w:val="en-AU"/>
        </w:rPr>
      </w:pPr>
      <w:r w:rsidRPr="00B91191">
        <w:rPr>
          <w:rStyle w:val="EndnoteReference"/>
          <w:sz w:val="20"/>
          <w:szCs w:val="20"/>
        </w:rPr>
        <w:endnoteRef/>
      </w:r>
      <w:r w:rsidRPr="00B91191">
        <w:rPr>
          <w:rFonts w:cs="Open Sans"/>
          <w:sz w:val="20"/>
          <w:szCs w:val="20"/>
        </w:rPr>
        <w:t xml:space="preserve"> </w:t>
      </w:r>
      <w:r w:rsidRPr="00B91191">
        <w:rPr>
          <w:rFonts w:cs="Open Sans"/>
          <w:sz w:val="20"/>
          <w:szCs w:val="20"/>
        </w:rPr>
        <w:tab/>
        <w:t xml:space="preserve">Inspector-General of Intelligence and Security, Submission to the Department of Home Affairs, </w:t>
      </w:r>
      <w:r w:rsidRPr="00B91191">
        <w:rPr>
          <w:rFonts w:cs="Open Sans"/>
          <w:i/>
          <w:sz w:val="20"/>
          <w:szCs w:val="20"/>
        </w:rPr>
        <w:t xml:space="preserve">Telecommunications and Other Legislation Amendment (Assistance and Access) Bill Exposure Draft 2018 </w:t>
      </w:r>
      <w:r w:rsidRPr="00B91191">
        <w:rPr>
          <w:rFonts w:cs="Open Sans"/>
          <w:sz w:val="20"/>
          <w:szCs w:val="20"/>
        </w:rPr>
        <w:t>(13 September 2018) 26.</w:t>
      </w:r>
    </w:p>
  </w:endnote>
  <w:endnote w:id="158">
    <w:p w14:paraId="2C57468E" w14:textId="75107C4F"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Draft Exposure Bill 2018 (Cth) 17–18 [70]–[73]. </w:t>
      </w:r>
    </w:p>
  </w:endnote>
  <w:endnote w:id="159">
    <w:p w14:paraId="2B3A7ABF" w14:textId="2A029018"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Surveillance Devices Act 2004</w:t>
      </w:r>
      <w:r w:rsidRPr="00B91191">
        <w:rPr>
          <w:rFonts w:cs="Open Sans"/>
          <w:sz w:val="20"/>
          <w:szCs w:val="20"/>
        </w:rPr>
        <w:t xml:space="preserve"> (Cth) proposed s 27A(1). </w:t>
      </w:r>
    </w:p>
  </w:endnote>
  <w:endnote w:id="160">
    <w:p w14:paraId="7D83BDF6" w14:textId="3E344159"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Surveillance Devices Act 2004</w:t>
      </w:r>
      <w:r w:rsidRPr="00B91191">
        <w:rPr>
          <w:rFonts w:cs="Open Sans"/>
          <w:sz w:val="20"/>
          <w:szCs w:val="20"/>
        </w:rPr>
        <w:t xml:space="preserve"> (Cth) proposed s 27A(3).</w:t>
      </w:r>
    </w:p>
  </w:endnote>
  <w:endnote w:id="161">
    <w:p w14:paraId="421B78A2" w14:textId="7FB4EB09"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Surveillance Devices Act 2004</w:t>
      </w:r>
      <w:r w:rsidRPr="00B91191">
        <w:rPr>
          <w:rFonts w:cs="Open Sans"/>
          <w:sz w:val="20"/>
          <w:szCs w:val="20"/>
        </w:rPr>
        <w:t xml:space="preserve"> (Cth) proposed s 27A(4).</w:t>
      </w:r>
    </w:p>
  </w:endnote>
  <w:endnote w:id="162">
    <w:p w14:paraId="32EFB8D7" w14:textId="2780ED9D"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Surveillance Devices Act 2004</w:t>
      </w:r>
      <w:r w:rsidRPr="00B91191">
        <w:rPr>
          <w:rFonts w:cs="Open Sans"/>
          <w:sz w:val="20"/>
          <w:szCs w:val="20"/>
        </w:rPr>
        <w:t xml:space="preserve"> (Cth) proposed s 27A(5).</w:t>
      </w:r>
    </w:p>
  </w:endnote>
  <w:endnote w:id="163">
    <w:p w14:paraId="3192EFB7" w14:textId="03EEAE6A"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Surveillance Devices Act 2004</w:t>
      </w:r>
      <w:r w:rsidRPr="00B91191">
        <w:rPr>
          <w:rFonts w:cs="Open Sans"/>
          <w:sz w:val="20"/>
          <w:szCs w:val="20"/>
        </w:rPr>
        <w:t xml:space="preserve"> (Cth) proposed s 27A(6).</w:t>
      </w:r>
    </w:p>
  </w:endnote>
  <w:endnote w:id="164">
    <w:p w14:paraId="6D0310A0" w14:textId="264AB432"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Surveillance Devices Act 2004</w:t>
      </w:r>
      <w:r w:rsidRPr="00B91191">
        <w:rPr>
          <w:rFonts w:cs="Open Sans"/>
          <w:sz w:val="20"/>
          <w:szCs w:val="20"/>
        </w:rPr>
        <w:t xml:space="preserve"> (Cth) s 6(1). </w:t>
      </w:r>
    </w:p>
  </w:endnote>
  <w:endnote w:id="165">
    <w:p w14:paraId="29A1BF77" w14:textId="26BE56FD"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88 [421]. </w:t>
      </w:r>
    </w:p>
  </w:endnote>
  <w:endnote w:id="166">
    <w:p w14:paraId="3D3AFD17" w14:textId="5268AEF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88 [422]–[423]. </w:t>
      </w:r>
    </w:p>
  </w:endnote>
  <w:endnote w:id="167">
    <w:p w14:paraId="1B0C326D" w14:textId="74C7772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(Cth) ss 25A(4)(aaa), 25A(4)(ab), 27E(2)(b), 27E(2)(d). The Bill would amend ss 25A(4)(ab) and 27E(2)(d).</w:t>
      </w:r>
    </w:p>
  </w:endnote>
  <w:endnote w:id="168">
    <w:p w14:paraId="4FD0ED2D" w14:textId="66010428"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Customs Act 1901 </w:t>
      </w:r>
      <w:r w:rsidRPr="00B91191">
        <w:rPr>
          <w:rFonts w:cs="Open Sans"/>
          <w:sz w:val="20"/>
          <w:szCs w:val="20"/>
        </w:rPr>
        <w:t>(Cth) proposed ss 199(4A)(c), 199B(2)(c).</w:t>
      </w:r>
    </w:p>
  </w:endnote>
  <w:endnote w:id="169">
    <w:p w14:paraId="1D27BE14" w14:textId="4BD24214"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Crimes Act 1914 </w:t>
      </w:r>
      <w:r w:rsidRPr="00B91191">
        <w:rPr>
          <w:rFonts w:cs="Open Sans"/>
          <w:sz w:val="20"/>
          <w:szCs w:val="20"/>
        </w:rPr>
        <w:t>(Cth) proposed ss 3F(2A)(c), 3F(2B)(c), 3K(5)(c), 3K(6)(c).</w:t>
      </w:r>
    </w:p>
  </w:endnote>
  <w:endnote w:id="170">
    <w:p w14:paraId="18B3B9DE" w14:textId="54E76B2E"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96 [487]. </w:t>
      </w:r>
    </w:p>
  </w:endnote>
  <w:endnote w:id="171">
    <w:p w14:paraId="41EE40C1" w14:textId="49A84289"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(Cth) ss 25A(4)(ab) and 27E(2)(d). The Bill would amend ss 25A(4)(ab) and 27E(2)(d).</w:t>
      </w:r>
    </w:p>
  </w:endnote>
  <w:endnote w:id="172">
    <w:p w14:paraId="6C371469" w14:textId="191EF24F"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(Cth) proposed ss 25A(4)(ab), 25A(8)(g), 27A(3C)(g), 27E(2)(d), 27E(6)(g).</w:t>
      </w:r>
    </w:p>
  </w:endnote>
  <w:endnote w:id="173">
    <w:p w14:paraId="1816FA5B" w14:textId="59EFB90A"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Crimes Act 1914 </w:t>
      </w:r>
      <w:r w:rsidRPr="00B91191">
        <w:rPr>
          <w:rFonts w:cs="Open Sans"/>
          <w:sz w:val="20"/>
          <w:szCs w:val="20"/>
        </w:rPr>
        <w:t xml:space="preserve">(Cth) proposed ss 3F(2A)(c), 3F(2B)(c), 3K(5)(c), 3K(6)(c). </w:t>
      </w:r>
    </w:p>
  </w:endnote>
  <w:endnote w:id="174">
    <w:p w14:paraId="448F326D" w14:textId="7502FCA4"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Customs Act 1901 </w:t>
      </w:r>
      <w:r w:rsidRPr="00B91191">
        <w:rPr>
          <w:rFonts w:cs="Open Sans"/>
          <w:sz w:val="20"/>
          <w:szCs w:val="20"/>
        </w:rPr>
        <w:t xml:space="preserve">(Cth) proposed ss 199(4A)(c), 199B(2)(c). </w:t>
      </w:r>
    </w:p>
  </w:endnote>
  <w:endnote w:id="175">
    <w:p w14:paraId="448E505F" w14:textId="72E4453E"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Surveillance Devices Act 2004 </w:t>
      </w:r>
      <w:r w:rsidRPr="00B91191">
        <w:rPr>
          <w:rFonts w:cs="Open Sans"/>
          <w:sz w:val="20"/>
          <w:szCs w:val="20"/>
        </w:rPr>
        <w:t xml:space="preserve">(Cth) proposed s 27E(7)(k); </w:t>
      </w:r>
      <w:r w:rsidRPr="00B91191">
        <w:rPr>
          <w:rFonts w:cs="Open Sans"/>
          <w:i/>
          <w:sz w:val="20"/>
          <w:szCs w:val="20"/>
        </w:rPr>
        <w:t xml:space="preserve">Australian Security Intelligence Organisation Act 1979 </w:t>
      </w:r>
      <w:r w:rsidRPr="00B91191">
        <w:rPr>
          <w:rFonts w:cs="Open Sans"/>
          <w:sz w:val="20"/>
          <w:szCs w:val="20"/>
        </w:rPr>
        <w:t>(Cth) proposed ss 25A(8)(k), 27A(3C)(k), 27E(6)(k).</w:t>
      </w:r>
    </w:p>
  </w:endnote>
  <w:endnote w:id="176">
    <w:p w14:paraId="22AE1F03" w14:textId="46D5CDE6" w:rsidR="006E71F6" w:rsidRPr="00B91191" w:rsidRDefault="006E71F6" w:rsidP="00FB5828">
      <w:pPr>
        <w:pStyle w:val="EndnoteText"/>
        <w:widowControl w:val="0"/>
        <w:suppressLineNumbers/>
        <w:suppressAutoHyphen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Explanatory Memorandum, Telecommunications and Other Legislation Amendment (Assistance and Access) Bill 2018 (Cth) 99 [512] (see also 81 [363] and 83 [378]).</w:t>
      </w:r>
    </w:p>
  </w:endnote>
  <w:endnote w:id="177">
    <w:p w14:paraId="0CE8690B" w14:textId="7FBAF527"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(Cth) ss 25A(4)(c) and 27E(2)(f).</w:t>
      </w:r>
    </w:p>
  </w:endnote>
  <w:endnote w:id="178">
    <w:p w14:paraId="4B129241" w14:textId="75AF791F"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(Cth) ss 25A(5), 27A(1) and 27E(5).</w:t>
      </w:r>
    </w:p>
  </w:endnote>
  <w:endnote w:id="179">
    <w:p w14:paraId="2281977D" w14:textId="1F060091"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(Cth) proposed ss 25A(8), 27A(3C) and 27E(6).</w:t>
      </w:r>
    </w:p>
  </w:endnote>
  <w:endnote w:id="180">
    <w:p w14:paraId="609D6203" w14:textId="6953C00F"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Explanatory Memorandum, Telecommunications and Other Legislation Amendment (Assistance and Access) Bill 2018 (Cth) 84 [387]–[388].</w:t>
      </w:r>
    </w:p>
  </w:endnote>
  <w:endnote w:id="181">
    <w:p w14:paraId="10C5F17F" w14:textId="77777777"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Explanatory Memorandum, Telecommunications and Other Legislation Amendment (Assistance and Access) Bill 2018 (Cth) 98 [502].</w:t>
      </w:r>
    </w:p>
  </w:endnote>
  <w:endnote w:id="182">
    <w:p w14:paraId="14CE57E7" w14:textId="554682E2"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 xml:space="preserve">(Cth) proposed ss 25A(4)(ba), 25A(8)(h), 27A(3C)(h), 27E(2)(ea), 27E(6)(h); </w:t>
      </w:r>
      <w:r w:rsidRPr="00B91191">
        <w:rPr>
          <w:rFonts w:cs="Open Sans"/>
          <w:i/>
          <w:sz w:val="20"/>
          <w:szCs w:val="20"/>
        </w:rPr>
        <w:t xml:space="preserve">Surveillance Devices Act 2004 </w:t>
      </w:r>
      <w:r w:rsidRPr="00B91191">
        <w:rPr>
          <w:rFonts w:cs="Open Sans"/>
          <w:sz w:val="20"/>
          <w:szCs w:val="20"/>
        </w:rPr>
        <w:t xml:space="preserve">(Cth) proposed ss 27E(2)(h), 27E(7)(h). </w:t>
      </w:r>
    </w:p>
  </w:endnote>
  <w:endnote w:id="183">
    <w:p w14:paraId="4B0EE653" w14:textId="0FD967B4"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80 [352]–[355]. </w:t>
      </w:r>
    </w:p>
  </w:endnote>
  <w:endnote w:id="184">
    <w:p w14:paraId="15A6DAD7" w14:textId="3161B94B"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 xml:space="preserve">(Cth) proposed s 4. </w:t>
      </w:r>
    </w:p>
  </w:endnote>
  <w:endnote w:id="185">
    <w:p w14:paraId="3D263808" w14:textId="23A7397E"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80 [352]. </w:t>
      </w:r>
    </w:p>
  </w:endnote>
  <w:endnote w:id="186">
    <w:p w14:paraId="7E406125" w14:textId="4A69A42E"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r>
      <w:r w:rsidRPr="00B91191">
        <w:rPr>
          <w:rFonts w:cs="Open Sans"/>
          <w:i/>
          <w:sz w:val="20"/>
          <w:szCs w:val="20"/>
        </w:rPr>
        <w:t>Telecommunications (Interception and Access) Act 1979</w:t>
      </w:r>
      <w:r w:rsidRPr="00B91191">
        <w:rPr>
          <w:rFonts w:cs="Open Sans"/>
          <w:sz w:val="20"/>
          <w:szCs w:val="20"/>
        </w:rPr>
        <w:t xml:space="preserve"> (Cth), proposed s 63AC.</w:t>
      </w:r>
    </w:p>
  </w:endnote>
  <w:endnote w:id="187">
    <w:p w14:paraId="06DBCB45" w14:textId="5D976A5B"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 xml:space="preserve">Inspector General of Intelligence and Security, Submission to the Department of Home Affairs, </w:t>
      </w:r>
      <w:r w:rsidRPr="00B91191">
        <w:rPr>
          <w:rFonts w:cs="Open Sans"/>
          <w:i/>
          <w:sz w:val="20"/>
          <w:szCs w:val="20"/>
        </w:rPr>
        <w:t>Telecommunications and Other Legislation Amendment (Assistance and Access) Bill Exposure Draft 2018</w:t>
      </w:r>
      <w:r w:rsidRPr="00B91191">
        <w:rPr>
          <w:rFonts w:cs="Open Sans"/>
          <w:sz w:val="20"/>
          <w:szCs w:val="20"/>
        </w:rPr>
        <w:t xml:space="preserve"> (13 September 2018) 29.</w:t>
      </w:r>
    </w:p>
  </w:endnote>
  <w:endnote w:id="188">
    <w:p w14:paraId="3911CF3D" w14:textId="38B2EEB8"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(Cth) ss 25A(5A)(a), 27A(2)(a) and 27J(3)(d).</w:t>
      </w:r>
    </w:p>
  </w:endnote>
  <w:endnote w:id="189">
    <w:p w14:paraId="7B482156" w14:textId="2E7F32A7"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(Cth) proposed ss 25A(4)(ba), 27A(3C)(h) and 27E(2)(ea).</w:t>
      </w:r>
    </w:p>
  </w:endnote>
  <w:endnote w:id="190">
    <w:p w14:paraId="1933D9B4" w14:textId="33783554"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 xml:space="preserve">Inspector General of Intelligence and Security, Submission to the Department of Home Affairs, </w:t>
      </w:r>
      <w:r w:rsidRPr="00B91191">
        <w:rPr>
          <w:rFonts w:cs="Open Sans"/>
          <w:i/>
          <w:sz w:val="20"/>
          <w:szCs w:val="20"/>
        </w:rPr>
        <w:t>Telecommunications and Other Legislation Amendment (Assistance and Access) Bill Exposure Draft 2018</w:t>
      </w:r>
      <w:r w:rsidRPr="00B91191">
        <w:rPr>
          <w:rFonts w:cs="Open Sans"/>
          <w:sz w:val="20"/>
          <w:szCs w:val="20"/>
        </w:rPr>
        <w:t xml:space="preserve"> (13 September 2018) 29.</w:t>
      </w:r>
    </w:p>
  </w:endnote>
  <w:endnote w:id="191">
    <w:p w14:paraId="753392CC" w14:textId="5CB063D4"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Surveillance Devices Act 2004 </w:t>
      </w:r>
      <w:r w:rsidRPr="00B91191">
        <w:rPr>
          <w:rFonts w:cs="Open Sans"/>
          <w:sz w:val="20"/>
          <w:szCs w:val="20"/>
        </w:rPr>
        <w:t xml:space="preserve">(Cth) proposed s 64A; </w:t>
      </w:r>
      <w:r w:rsidRPr="00B91191">
        <w:rPr>
          <w:rFonts w:cs="Open Sans"/>
          <w:i/>
          <w:sz w:val="20"/>
          <w:szCs w:val="20"/>
        </w:rPr>
        <w:t xml:space="preserve">Australian Security Intelligence Organisation Act 1979 </w:t>
      </w:r>
      <w:r w:rsidRPr="00B91191">
        <w:rPr>
          <w:rFonts w:cs="Open Sans"/>
          <w:sz w:val="20"/>
          <w:szCs w:val="20"/>
        </w:rPr>
        <w:t xml:space="preserve">(Cth) proposed s 34AAA. </w:t>
      </w:r>
    </w:p>
  </w:endnote>
  <w:endnote w:id="192">
    <w:p w14:paraId="56939617" w14:textId="2FF4B058"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Crimes Act 1914 </w:t>
      </w:r>
      <w:r w:rsidRPr="00B91191">
        <w:rPr>
          <w:rFonts w:cs="Open Sans"/>
          <w:sz w:val="20"/>
          <w:szCs w:val="20"/>
        </w:rPr>
        <w:t xml:space="preserve">(Cth) s 3LA; </w:t>
      </w:r>
      <w:r w:rsidRPr="00B91191">
        <w:rPr>
          <w:rFonts w:cs="Open Sans"/>
          <w:i/>
          <w:sz w:val="20"/>
          <w:szCs w:val="20"/>
        </w:rPr>
        <w:t xml:space="preserve">Customs Act 1901 </w:t>
      </w:r>
      <w:r w:rsidRPr="00B91191">
        <w:rPr>
          <w:rFonts w:cs="Open Sans"/>
          <w:sz w:val="20"/>
          <w:szCs w:val="20"/>
        </w:rPr>
        <w:t xml:space="preserve">(Cth) s 201A. </w:t>
      </w:r>
    </w:p>
  </w:endnote>
  <w:endnote w:id="193">
    <w:p w14:paraId="76F1E577" w14:textId="1D08AE49"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143 [877]. </w:t>
      </w:r>
    </w:p>
  </w:endnote>
  <w:endnote w:id="194">
    <w:p w14:paraId="38FD02C3" w14:textId="7C3350F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These amendments relate to the </w:t>
      </w:r>
      <w:r w:rsidRPr="00B91191">
        <w:rPr>
          <w:rFonts w:cs="Open Sans"/>
          <w:i/>
          <w:sz w:val="20"/>
          <w:szCs w:val="20"/>
        </w:rPr>
        <w:t xml:space="preserve">Crimes Act 1914 </w:t>
      </w:r>
      <w:r w:rsidRPr="00B91191">
        <w:rPr>
          <w:rFonts w:cs="Open Sans"/>
          <w:sz w:val="20"/>
          <w:szCs w:val="20"/>
        </w:rPr>
        <w:t xml:space="preserve">(Cth) s 3LA and </w:t>
      </w:r>
      <w:r w:rsidRPr="00B91191">
        <w:rPr>
          <w:rFonts w:cs="Open Sans"/>
          <w:i/>
          <w:sz w:val="20"/>
          <w:szCs w:val="20"/>
        </w:rPr>
        <w:t xml:space="preserve">Customs Act 1901 </w:t>
      </w:r>
      <w:r w:rsidRPr="00B91191">
        <w:rPr>
          <w:rFonts w:cs="Open Sans"/>
          <w:sz w:val="20"/>
          <w:szCs w:val="20"/>
        </w:rPr>
        <w:t xml:space="preserve">(Cth) s 201A. </w:t>
      </w:r>
    </w:p>
  </w:endnote>
  <w:endnote w:id="195">
    <w:p w14:paraId="5D5FC87B" w14:textId="236E17C4"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r>
      <w:r w:rsidRPr="00B91191">
        <w:rPr>
          <w:rFonts w:cs="Open Sans"/>
          <w:i/>
          <w:sz w:val="20"/>
          <w:szCs w:val="20"/>
        </w:rPr>
        <w:t>Crimes Act 1914</w:t>
      </w:r>
      <w:r w:rsidRPr="00B91191">
        <w:rPr>
          <w:rFonts w:cs="Open Sans"/>
          <w:sz w:val="20"/>
          <w:szCs w:val="20"/>
        </w:rPr>
        <w:t xml:space="preserve"> (Cth) s 3C.</w:t>
      </w:r>
    </w:p>
  </w:endnote>
  <w:endnote w:id="196">
    <w:p w14:paraId="3E9B0820" w14:textId="645B9D5C"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Explanatory Memorandum, Telecommunications and Other Legislation Amendment (Assistance and Access) Bill 2018 (Cth) 5 [17], [20]. </w:t>
      </w:r>
    </w:p>
  </w:endnote>
  <w:endnote w:id="197">
    <w:p w14:paraId="5C938D9D" w14:textId="77777777" w:rsidR="006E71F6" w:rsidRPr="00B91191" w:rsidRDefault="006E71F6" w:rsidP="00FB5828">
      <w:pPr>
        <w:widowControl w:val="0"/>
        <w:suppressLineNumbers/>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 xml:space="preserve">Commonwealth, </w:t>
      </w:r>
      <w:r w:rsidRPr="00B91191">
        <w:rPr>
          <w:rFonts w:cs="Open Sans"/>
          <w:i/>
          <w:sz w:val="20"/>
          <w:szCs w:val="20"/>
        </w:rPr>
        <w:t>Parliamentary Debates</w:t>
      </w:r>
      <w:r w:rsidRPr="00B91191">
        <w:rPr>
          <w:rFonts w:cs="Open Sans"/>
          <w:sz w:val="20"/>
          <w:szCs w:val="20"/>
        </w:rPr>
        <w:t>, House of Representatives, 20 September 2018, p 21 (the Hon Peter Dutton MP, Minister for Home Affairs).</w:t>
      </w:r>
    </w:p>
  </w:endnote>
  <w:endnote w:id="198">
    <w:p w14:paraId="23AC9FA5" w14:textId="77777777" w:rsidR="006E71F6" w:rsidRPr="00B91191" w:rsidRDefault="006E71F6" w:rsidP="00FB5828">
      <w:pPr>
        <w:widowControl w:val="0"/>
        <w:suppressLineNumbers/>
        <w:ind w:left="511" w:right="57" w:hanging="454"/>
        <w:contextualSpacing/>
        <w:rPr>
          <w:rFonts w:eastAsia="Times New Roman" w:cs="Open Sans"/>
          <w:sz w:val="20"/>
          <w:szCs w:val="20"/>
          <w:lang w:val="en-GB" w:eastAsia="en-GB"/>
        </w:rPr>
      </w:pPr>
      <w:r w:rsidRPr="00B91191">
        <w:rPr>
          <w:rStyle w:val="EndnoteReference"/>
          <w:sz w:val="20"/>
          <w:szCs w:val="20"/>
        </w:rPr>
        <w:endnoteRef/>
      </w:r>
      <w:r w:rsidRPr="00B91191">
        <w:rPr>
          <w:rFonts w:cs="Open Sans"/>
          <w:sz w:val="20"/>
          <w:szCs w:val="20"/>
        </w:rPr>
        <w:tab/>
        <w:t xml:space="preserve">United Nations Human Rights Committee, </w:t>
      </w:r>
      <w:r w:rsidRPr="00B91191">
        <w:rPr>
          <w:rFonts w:cs="Open Sans"/>
          <w:i/>
          <w:sz w:val="20"/>
          <w:szCs w:val="20"/>
        </w:rPr>
        <w:t xml:space="preserve">Communication No </w:t>
      </w:r>
      <w:r w:rsidRPr="00B91191">
        <w:rPr>
          <w:rFonts w:eastAsia="Times New Roman" w:cs="Open Sans"/>
          <w:color w:val="000000"/>
          <w:sz w:val="20"/>
          <w:szCs w:val="20"/>
          <w:shd w:val="clear" w:color="auto" w:fill="FFFFFF"/>
          <w:lang w:val="en-GB" w:eastAsia="en-GB"/>
        </w:rPr>
        <w:t>560/1993, 59</w:t>
      </w:r>
      <w:r w:rsidRPr="00B91191">
        <w:rPr>
          <w:rFonts w:eastAsia="Times New Roman" w:cs="Open Sans"/>
          <w:color w:val="000000"/>
          <w:sz w:val="20"/>
          <w:szCs w:val="20"/>
          <w:shd w:val="clear" w:color="auto" w:fill="FFFFFF"/>
          <w:vertAlign w:val="superscript"/>
          <w:lang w:val="en-GB" w:eastAsia="en-GB"/>
        </w:rPr>
        <w:t>th</w:t>
      </w:r>
      <w:r w:rsidRPr="00B91191">
        <w:rPr>
          <w:rFonts w:eastAsia="Times New Roman" w:cs="Open Sans"/>
          <w:color w:val="000000"/>
          <w:sz w:val="20"/>
          <w:szCs w:val="20"/>
          <w:shd w:val="clear" w:color="auto" w:fill="FFFFFF"/>
          <w:lang w:val="en-GB" w:eastAsia="en-GB"/>
        </w:rPr>
        <w:t xml:space="preserve"> sess, UN Doc CCPR/C/59/D/560/1993 (30 April 1997) (‘</w:t>
      </w:r>
      <w:r w:rsidRPr="00B91191">
        <w:rPr>
          <w:rFonts w:eastAsia="Times New Roman" w:cs="Open Sans"/>
          <w:i/>
          <w:color w:val="000000"/>
          <w:sz w:val="20"/>
          <w:szCs w:val="20"/>
          <w:shd w:val="clear" w:color="auto" w:fill="FFFFFF"/>
          <w:lang w:val="en-GB" w:eastAsia="en-GB"/>
        </w:rPr>
        <w:t>A v Australia</w:t>
      </w:r>
      <w:r w:rsidRPr="00B91191">
        <w:rPr>
          <w:rFonts w:eastAsia="Times New Roman" w:cs="Open Sans"/>
          <w:color w:val="000000"/>
          <w:sz w:val="20"/>
          <w:szCs w:val="20"/>
          <w:shd w:val="clear" w:color="auto" w:fill="FFFFFF"/>
          <w:lang w:val="en-GB" w:eastAsia="en-GB"/>
        </w:rPr>
        <w:t>’) [7.6].</w:t>
      </w:r>
    </w:p>
  </w:endnote>
  <w:endnote w:id="199">
    <w:p w14:paraId="30754E17"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Leïla Zerrougui, Chairperson-Rapporteur, </w:t>
      </w:r>
      <w:r w:rsidRPr="00B91191">
        <w:rPr>
          <w:rFonts w:cs="Open Sans"/>
          <w:i/>
          <w:sz w:val="20"/>
          <w:szCs w:val="20"/>
        </w:rPr>
        <w:t xml:space="preserve">Civil and political rights, including the question of torture and detention: Report of the Working Group on Arbitrary Detention, </w:t>
      </w:r>
      <w:r w:rsidRPr="00B91191">
        <w:rPr>
          <w:rFonts w:cs="Open Sans"/>
          <w:sz w:val="20"/>
          <w:szCs w:val="20"/>
        </w:rPr>
        <w:t>61</w:t>
      </w:r>
      <w:r w:rsidRPr="00B91191">
        <w:rPr>
          <w:rFonts w:cs="Open Sans"/>
          <w:sz w:val="20"/>
          <w:szCs w:val="20"/>
          <w:vertAlign w:val="superscript"/>
        </w:rPr>
        <w:t>st</w:t>
      </w:r>
      <w:r w:rsidRPr="00B91191">
        <w:rPr>
          <w:rFonts w:cs="Open Sans"/>
          <w:sz w:val="20"/>
          <w:szCs w:val="20"/>
        </w:rPr>
        <w:t xml:space="preserve"> sess, Provisional Agenda Item 11 (a), UN Doc E/CN.4/2005/6 (1 December 2004) 18 [54].</w:t>
      </w:r>
    </w:p>
  </w:endnote>
  <w:endnote w:id="200">
    <w:p w14:paraId="1F419755"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Severity of punishment is a factor relevant in determining whether there is violation of the prohibition or cruel, inhuman or degrading treatment or punishment. See United Nations Human Rights Committee, </w:t>
      </w:r>
      <w:r w:rsidRPr="00B91191">
        <w:rPr>
          <w:rFonts w:cs="Open Sans"/>
          <w:i/>
          <w:sz w:val="20"/>
          <w:szCs w:val="20"/>
        </w:rPr>
        <w:t xml:space="preserve">General Comment No 20: Article 7 (Prohibition of torture, or other cruel, inhuman or degrading treatment or punishment) </w:t>
      </w:r>
      <w:r w:rsidRPr="00B91191">
        <w:rPr>
          <w:rFonts w:cs="Open Sans"/>
          <w:sz w:val="20"/>
          <w:szCs w:val="20"/>
        </w:rPr>
        <w:t>44</w:t>
      </w:r>
      <w:r w:rsidRPr="00B91191">
        <w:rPr>
          <w:rFonts w:cs="Open Sans"/>
          <w:sz w:val="20"/>
          <w:szCs w:val="20"/>
          <w:vertAlign w:val="superscript"/>
        </w:rPr>
        <w:t>th</w:t>
      </w:r>
      <w:r w:rsidRPr="00B91191">
        <w:rPr>
          <w:rFonts w:cs="Open Sans"/>
          <w:sz w:val="20"/>
          <w:szCs w:val="20"/>
        </w:rPr>
        <w:t xml:space="preserve"> sess, UN Doc HRI/GEN/1/Rev.9 (Vol. I) (10 March 1992) 1 [4].</w:t>
      </w:r>
    </w:p>
  </w:endnote>
  <w:endnote w:id="201">
    <w:p w14:paraId="32575C97" w14:textId="77777777"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r>
      <w:r w:rsidRPr="00B91191">
        <w:rPr>
          <w:rFonts w:cs="Open Sans"/>
          <w:i/>
          <w:iCs/>
          <w:sz w:val="20"/>
          <w:szCs w:val="20"/>
          <w:lang w:val="en-AU"/>
        </w:rPr>
        <w:t>Markarian v The Queen</w:t>
      </w:r>
      <w:r w:rsidRPr="00B91191">
        <w:rPr>
          <w:rFonts w:cs="Open Sans"/>
          <w:iCs/>
          <w:sz w:val="20"/>
          <w:szCs w:val="20"/>
          <w:lang w:val="en-AU"/>
        </w:rPr>
        <w:t xml:space="preserve"> (2005) 228 CLR 357 at 372 [30] (Gleeson CJ, Gummow, Hayne and Callinan JJ).</w:t>
      </w:r>
    </w:p>
  </w:endnote>
  <w:endnote w:id="202">
    <w:p w14:paraId="5C87D5FC"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David Kaye, </w:t>
      </w:r>
      <w:r w:rsidRPr="00B91191">
        <w:rPr>
          <w:rFonts w:cs="Open Sans"/>
          <w:i/>
          <w:sz w:val="20"/>
          <w:szCs w:val="20"/>
        </w:rPr>
        <w:t>Report of the United Nations Special Rapporteur on the promotion and protection of the right to freedom of opinion and expression</w:t>
      </w:r>
      <w:r w:rsidRPr="00B91191">
        <w:rPr>
          <w:rFonts w:cs="Open Sans"/>
          <w:sz w:val="20"/>
          <w:szCs w:val="20"/>
        </w:rPr>
        <w:t>, 17</w:t>
      </w:r>
      <w:r w:rsidRPr="00B91191">
        <w:rPr>
          <w:rFonts w:cs="Open Sans"/>
          <w:sz w:val="20"/>
          <w:szCs w:val="20"/>
          <w:vertAlign w:val="superscript"/>
        </w:rPr>
        <w:t>th</w:t>
      </w:r>
      <w:r w:rsidRPr="00B91191">
        <w:rPr>
          <w:rFonts w:cs="Open Sans"/>
          <w:sz w:val="20"/>
          <w:szCs w:val="20"/>
        </w:rPr>
        <w:t xml:space="preserve"> sess, Agenda Item 3, UN Doc A/HRC/29/32 (22 May 2015) 19 [56].</w:t>
      </w:r>
    </w:p>
  </w:endnote>
  <w:endnote w:id="203">
    <w:p w14:paraId="6229092C" w14:textId="7B824A25"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David Kaye, </w:t>
      </w:r>
      <w:r w:rsidRPr="00B91191">
        <w:rPr>
          <w:rFonts w:cs="Open Sans"/>
          <w:i/>
          <w:sz w:val="20"/>
          <w:szCs w:val="20"/>
        </w:rPr>
        <w:t>Report of the United Nations Special Rapporteur on the promotion and protection of the right to freedom of opinion and expression</w:t>
      </w:r>
      <w:r w:rsidRPr="00B91191">
        <w:rPr>
          <w:rFonts w:cs="Open Sans"/>
          <w:sz w:val="20"/>
          <w:szCs w:val="20"/>
        </w:rPr>
        <w:t>, 17</w:t>
      </w:r>
      <w:r w:rsidRPr="00B91191">
        <w:rPr>
          <w:rFonts w:cs="Open Sans"/>
          <w:sz w:val="20"/>
          <w:szCs w:val="20"/>
          <w:vertAlign w:val="superscript"/>
        </w:rPr>
        <w:t>th</w:t>
      </w:r>
      <w:r w:rsidRPr="00B91191">
        <w:rPr>
          <w:rFonts w:cs="Open Sans"/>
          <w:sz w:val="20"/>
          <w:szCs w:val="20"/>
        </w:rPr>
        <w:t xml:space="preserve"> sess, Agenda Item 3, UN Doc A/HRC/29/32 (22 May 2015) 19 [56]. See discussion at [</w:t>
      </w:r>
      <w:r w:rsidRPr="00B91191">
        <w:rPr>
          <w:rFonts w:cs="Open Sans"/>
          <w:sz w:val="20"/>
          <w:szCs w:val="20"/>
        </w:rPr>
        <w:fldChar w:fldCharType="begin"/>
      </w:r>
      <w:r w:rsidRPr="00B91191">
        <w:rPr>
          <w:rFonts w:cs="Open Sans"/>
          <w:sz w:val="20"/>
          <w:szCs w:val="20"/>
        </w:rPr>
        <w:instrText xml:space="preserve"> REF _Ref524094919 \r \h  \* MERGEFORMAT </w:instrText>
      </w:r>
      <w:r w:rsidRPr="00B91191">
        <w:rPr>
          <w:rFonts w:cs="Open Sans"/>
          <w:sz w:val="20"/>
          <w:szCs w:val="20"/>
        </w:rPr>
      </w:r>
      <w:r w:rsidRPr="00B91191">
        <w:rPr>
          <w:rFonts w:cs="Open Sans"/>
          <w:sz w:val="20"/>
          <w:szCs w:val="20"/>
        </w:rPr>
        <w:fldChar w:fldCharType="separate"/>
      </w:r>
      <w:r w:rsidR="00372D72">
        <w:rPr>
          <w:rFonts w:cs="Open Sans"/>
          <w:sz w:val="20"/>
          <w:szCs w:val="20"/>
        </w:rPr>
        <w:t>203</w:t>
      </w:r>
      <w:r w:rsidRPr="00B91191">
        <w:rPr>
          <w:rFonts w:cs="Open Sans"/>
          <w:sz w:val="20"/>
          <w:szCs w:val="20"/>
        </w:rPr>
        <w:fldChar w:fldCharType="end"/>
      </w:r>
      <w:r w:rsidRPr="00B91191">
        <w:rPr>
          <w:rFonts w:cs="Open Sans"/>
          <w:sz w:val="20"/>
          <w:szCs w:val="20"/>
        </w:rPr>
        <w:t>].</w:t>
      </w:r>
    </w:p>
  </w:endnote>
  <w:endnote w:id="204">
    <w:p w14:paraId="5B51DB03"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Australian Law Reform Commission, </w:t>
      </w:r>
      <w:r w:rsidRPr="00B91191">
        <w:rPr>
          <w:rFonts w:cs="Open Sans"/>
          <w:i/>
          <w:sz w:val="20"/>
          <w:szCs w:val="20"/>
        </w:rPr>
        <w:t>Traditional Rights and Freedoms—Encroachments by Commonwealth Laws</w:t>
      </w:r>
      <w:r w:rsidRPr="00B91191">
        <w:rPr>
          <w:rFonts w:cs="Open Sans"/>
          <w:sz w:val="20"/>
          <w:szCs w:val="20"/>
        </w:rPr>
        <w:t>, Report No 129 (2016) 314.</w:t>
      </w:r>
    </w:p>
  </w:endnote>
  <w:endnote w:id="205">
    <w:p w14:paraId="6E4BEFDB"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Australian Law Reform Commission, </w:t>
      </w:r>
      <w:r w:rsidRPr="00B91191">
        <w:rPr>
          <w:rFonts w:cs="Open Sans"/>
          <w:i/>
          <w:sz w:val="20"/>
          <w:szCs w:val="20"/>
        </w:rPr>
        <w:t>Traditional Rights and Freedoms—Encroachments by Commonwealth Laws</w:t>
      </w:r>
      <w:r w:rsidRPr="00B91191">
        <w:rPr>
          <w:rFonts w:cs="Open Sans"/>
          <w:sz w:val="20"/>
          <w:szCs w:val="20"/>
        </w:rPr>
        <w:t xml:space="preserve">, Report No 129 (2016) 314, citing William Blackstone, </w:t>
      </w:r>
      <w:r w:rsidRPr="00B91191">
        <w:rPr>
          <w:rFonts w:cs="Open Sans"/>
          <w:i/>
          <w:sz w:val="20"/>
          <w:szCs w:val="20"/>
        </w:rPr>
        <w:t>Commentaries on the Laws of England</w:t>
      </w:r>
      <w:r w:rsidRPr="00B91191">
        <w:rPr>
          <w:rFonts w:cs="Open Sans"/>
          <w:sz w:val="20"/>
          <w:szCs w:val="20"/>
        </w:rPr>
        <w:t xml:space="preserve"> (The Legal Classics Library, vol IV, 1765) 293.</w:t>
      </w:r>
    </w:p>
  </w:endnote>
  <w:endnote w:id="206">
    <w:p w14:paraId="723DA8BB"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Reid v Howard </w:t>
      </w:r>
      <w:r w:rsidRPr="00B91191">
        <w:rPr>
          <w:rFonts w:cs="Open Sans"/>
          <w:sz w:val="20"/>
          <w:szCs w:val="20"/>
        </w:rPr>
        <w:t>(1995) 184 CLR 1, 11.</w:t>
      </w:r>
    </w:p>
  </w:endnote>
  <w:endnote w:id="207">
    <w:p w14:paraId="427EF7A8"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iCs/>
          <w:sz w:val="20"/>
          <w:szCs w:val="20"/>
        </w:rPr>
        <w:t xml:space="preserve">Environment Protection Authority v Caltex Refining Co Pty Ltd </w:t>
      </w:r>
      <w:r w:rsidRPr="00B91191">
        <w:rPr>
          <w:rFonts w:cs="Open Sans"/>
          <w:sz w:val="20"/>
          <w:szCs w:val="20"/>
        </w:rPr>
        <w:t>(1993) 178 CLR 477, 500.</w:t>
      </w:r>
    </w:p>
  </w:endnote>
  <w:endnote w:id="208">
    <w:p w14:paraId="1BEFCD43"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Sorby v Commonwealth </w:t>
      </w:r>
      <w:r w:rsidRPr="00B91191">
        <w:rPr>
          <w:rFonts w:cs="Open Sans"/>
          <w:sz w:val="20"/>
          <w:szCs w:val="20"/>
        </w:rPr>
        <w:t xml:space="preserve">(1983) 152 CLR 281, 288 (Gibbs CJ); </w:t>
      </w:r>
      <w:r w:rsidRPr="00B91191">
        <w:rPr>
          <w:rFonts w:cs="Open Sans"/>
          <w:i/>
          <w:iCs/>
          <w:sz w:val="20"/>
          <w:szCs w:val="20"/>
        </w:rPr>
        <w:t xml:space="preserve">Daniels Corporation International Pty Ltd v Australian Competition and Consumer Commission </w:t>
      </w:r>
      <w:r w:rsidRPr="00B91191">
        <w:rPr>
          <w:rFonts w:cs="Open Sans"/>
          <w:sz w:val="20"/>
          <w:szCs w:val="20"/>
        </w:rPr>
        <w:t xml:space="preserve">(2002) 213 CLR 543. The Australian Law Reform Commission examined the development of the privilege against self-incrimination in </w:t>
      </w:r>
      <w:r w:rsidRPr="00B91191">
        <w:rPr>
          <w:rFonts w:cs="Open Sans"/>
          <w:i/>
          <w:sz w:val="20"/>
          <w:szCs w:val="20"/>
        </w:rPr>
        <w:t>Traditional Rights and Freedoms—Encroachments by Commonwealth Laws</w:t>
      </w:r>
      <w:r w:rsidRPr="00B91191">
        <w:rPr>
          <w:rFonts w:cs="Open Sans"/>
          <w:sz w:val="20"/>
          <w:szCs w:val="20"/>
        </w:rPr>
        <w:t xml:space="preserve">, Report No 129 (2016) 311–314. </w:t>
      </w:r>
    </w:p>
  </w:endnote>
  <w:endnote w:id="209">
    <w:p w14:paraId="59A24606"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Ian Dennis, ‘Instrumental Protection, Human Right or Functional Necessity? Reassessing the Privilege against Self-incrimination’ (1995) 54 Cambridge Law Journal 342, 376, cited in Queensland Law Reform Commission, </w:t>
      </w:r>
      <w:r w:rsidRPr="00B91191">
        <w:rPr>
          <w:rFonts w:cs="Open Sans"/>
          <w:i/>
          <w:sz w:val="20"/>
          <w:szCs w:val="20"/>
        </w:rPr>
        <w:t>The Abrogation of the Privilege Against Self-Incrimination</w:t>
      </w:r>
      <w:r w:rsidRPr="00B91191">
        <w:rPr>
          <w:rFonts w:cs="Open Sans"/>
          <w:sz w:val="20"/>
          <w:szCs w:val="20"/>
        </w:rPr>
        <w:t>, Report No 59 (December 2004) [3.14].</w:t>
      </w:r>
    </w:p>
  </w:endnote>
  <w:endnote w:id="210">
    <w:p w14:paraId="41654758"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 xml:space="preserve">Environment Protection Authority v Caltex Refining Co Pty Ltd </w:t>
      </w:r>
      <w:r w:rsidRPr="00B91191">
        <w:rPr>
          <w:rFonts w:cs="Open Sans"/>
          <w:sz w:val="20"/>
          <w:szCs w:val="20"/>
        </w:rPr>
        <w:t>(1993) 178 CLR 477, 440 (McHugh J).</w:t>
      </w:r>
    </w:p>
  </w:endnote>
  <w:endnote w:id="211">
    <w:p w14:paraId="656EDBC6"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sz w:val="20"/>
          <w:szCs w:val="20"/>
        </w:rPr>
        <w:t>X7 v Australian Crime Commission</w:t>
      </w:r>
      <w:r w:rsidRPr="00B91191">
        <w:rPr>
          <w:rFonts w:cs="Open Sans"/>
          <w:sz w:val="20"/>
          <w:szCs w:val="20"/>
        </w:rPr>
        <w:t xml:space="preserve"> (2013) 248 CLR 92, 112 [28] (French CJ and Crennan J).</w:t>
      </w:r>
    </w:p>
  </w:endnote>
  <w:endnote w:id="212">
    <w:p w14:paraId="68F22ED7"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Attorney-General’s Department, </w:t>
      </w:r>
      <w:r w:rsidRPr="00B91191">
        <w:rPr>
          <w:rFonts w:cs="Open Sans"/>
          <w:i/>
          <w:sz w:val="20"/>
          <w:szCs w:val="20"/>
        </w:rPr>
        <w:t>A Guide to Framing Commonwealth Offences, Infringement Notices and Enforcement Powers</w:t>
      </w:r>
      <w:r w:rsidRPr="00B91191">
        <w:rPr>
          <w:rFonts w:cs="Open Sans"/>
          <w:sz w:val="20"/>
          <w:szCs w:val="20"/>
        </w:rPr>
        <w:t xml:space="preserve"> (September 2011) [9.5.4].</w:t>
      </w:r>
    </w:p>
  </w:endnote>
  <w:endnote w:id="213">
    <w:p w14:paraId="2DFBEE3C" w14:textId="77777777"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t xml:space="preserve">Attorney-General’s Department, </w:t>
      </w:r>
      <w:r w:rsidRPr="00B91191">
        <w:rPr>
          <w:rFonts w:cs="Open Sans"/>
          <w:i/>
          <w:sz w:val="20"/>
          <w:szCs w:val="20"/>
        </w:rPr>
        <w:t xml:space="preserve">A Guide to Framing Commonwealth Offences, Infringement Notices and Enforcement Powers </w:t>
      </w:r>
      <w:r w:rsidRPr="00B91191">
        <w:rPr>
          <w:rFonts w:cs="Open Sans"/>
          <w:sz w:val="20"/>
          <w:szCs w:val="20"/>
        </w:rPr>
        <w:t>(September 2011) [9.5.4].</w:t>
      </w:r>
    </w:p>
  </w:endnote>
  <w:endnote w:id="214">
    <w:p w14:paraId="34EF3E80" w14:textId="7BAD6269" w:rsidR="006E71F6" w:rsidRPr="00B91191" w:rsidRDefault="006E71F6" w:rsidP="00FB5828">
      <w:pPr>
        <w:pStyle w:val="EndnoteText"/>
        <w:widowControl w:val="0"/>
        <w:suppressLineNumbers/>
        <w:spacing w:before="0" w:after="0"/>
        <w:ind w:left="511" w:right="57" w:hanging="454"/>
        <w:contextualSpacing/>
        <w:rPr>
          <w:rFonts w:cs="Open Sans"/>
          <w:sz w:val="20"/>
          <w:szCs w:val="20"/>
        </w:rPr>
      </w:pPr>
      <w:r w:rsidRPr="00B91191">
        <w:rPr>
          <w:rStyle w:val="EndnoteReference"/>
          <w:sz w:val="20"/>
          <w:szCs w:val="20"/>
        </w:rPr>
        <w:endnoteRef/>
      </w:r>
      <w:r w:rsidRPr="00B91191">
        <w:rPr>
          <w:rFonts w:cs="Open Sans"/>
          <w:sz w:val="20"/>
          <w:szCs w:val="20"/>
        </w:rPr>
        <w:tab/>
      </w:r>
      <w:r w:rsidRPr="00B91191">
        <w:rPr>
          <w:rFonts w:cs="Open Sans"/>
          <w:i/>
          <w:iCs/>
          <w:sz w:val="20"/>
          <w:szCs w:val="20"/>
        </w:rPr>
        <w:t xml:space="preserve">Re an application under the Major Crime (Investigative Powers) Act 2004 </w:t>
      </w:r>
      <w:r w:rsidRPr="00B91191">
        <w:rPr>
          <w:rFonts w:cs="Open Sans"/>
          <w:iCs/>
          <w:sz w:val="20"/>
          <w:szCs w:val="20"/>
        </w:rPr>
        <w:t>(2009) 24 VR 415</w:t>
      </w:r>
      <w:r w:rsidRPr="00B91191">
        <w:rPr>
          <w:rFonts w:cs="Open Sans"/>
          <w:sz w:val="20"/>
          <w:szCs w:val="20"/>
        </w:rPr>
        <w:t>, [91]–[92], [155]–[156].</w:t>
      </w:r>
    </w:p>
  </w:endnote>
  <w:endnote w:id="215">
    <w:p w14:paraId="593D9202" w14:textId="77777777"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 xml:space="preserve">United Nations Human Rights Committee, </w:t>
      </w:r>
      <w:r w:rsidRPr="00B91191">
        <w:rPr>
          <w:rFonts w:cs="Open Sans"/>
          <w:i/>
          <w:sz w:val="20"/>
          <w:szCs w:val="20"/>
        </w:rPr>
        <w:t>Concluding observations on the sixth periodic report of the United Kingdom</w:t>
      </w:r>
      <w:r w:rsidRPr="00B91191">
        <w:rPr>
          <w:rFonts w:cs="Open Sans"/>
          <w:sz w:val="20"/>
          <w:szCs w:val="20"/>
        </w:rPr>
        <w:t>, 93</w:t>
      </w:r>
      <w:r w:rsidRPr="00B91191">
        <w:rPr>
          <w:rFonts w:cs="Open Sans"/>
          <w:sz w:val="20"/>
          <w:szCs w:val="20"/>
          <w:vertAlign w:val="superscript"/>
        </w:rPr>
        <w:t>rd</w:t>
      </w:r>
      <w:r w:rsidRPr="00B91191">
        <w:rPr>
          <w:rFonts w:cs="Open Sans"/>
          <w:sz w:val="20"/>
          <w:szCs w:val="20"/>
        </w:rPr>
        <w:t xml:space="preserve"> sess, UN Doc CCPR/C/GBR/CO/6 (30 July 2008) 4 [17].</w:t>
      </w:r>
    </w:p>
  </w:endnote>
  <w:endnote w:id="216">
    <w:p w14:paraId="2A174AF1" w14:textId="77777777"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 xml:space="preserve">United Nations Human Rights Committee, </w:t>
      </w:r>
      <w:r w:rsidRPr="00B91191">
        <w:rPr>
          <w:rFonts w:cs="Open Sans"/>
          <w:i/>
          <w:sz w:val="20"/>
          <w:szCs w:val="20"/>
        </w:rPr>
        <w:t>Gorji-Dinka v Cameroon</w:t>
      </w:r>
      <w:r w:rsidRPr="00B91191">
        <w:rPr>
          <w:rFonts w:cs="Open Sans"/>
          <w:sz w:val="20"/>
          <w:szCs w:val="20"/>
        </w:rPr>
        <w:t xml:space="preserve">, Communication No </w:t>
      </w:r>
      <w:r w:rsidRPr="00B91191">
        <w:rPr>
          <w:rFonts w:eastAsia="Times New Roman" w:cs="Open Sans"/>
          <w:color w:val="000000"/>
          <w:sz w:val="20"/>
          <w:szCs w:val="20"/>
          <w:shd w:val="clear" w:color="auto" w:fill="FFFFFF"/>
          <w:lang w:val="en-GB" w:eastAsia="en-GB"/>
        </w:rPr>
        <w:t>1134/2002, 83</w:t>
      </w:r>
      <w:r w:rsidRPr="00B91191">
        <w:rPr>
          <w:rFonts w:eastAsia="Times New Roman" w:cs="Open Sans"/>
          <w:color w:val="000000"/>
          <w:sz w:val="20"/>
          <w:szCs w:val="20"/>
          <w:shd w:val="clear" w:color="auto" w:fill="FFFFFF"/>
          <w:vertAlign w:val="superscript"/>
          <w:lang w:val="en-GB" w:eastAsia="en-GB"/>
        </w:rPr>
        <w:t>rd</w:t>
      </w:r>
      <w:r w:rsidRPr="00B91191">
        <w:rPr>
          <w:rFonts w:eastAsia="Times New Roman" w:cs="Open Sans"/>
          <w:color w:val="000000"/>
          <w:sz w:val="20"/>
          <w:szCs w:val="20"/>
          <w:shd w:val="clear" w:color="auto" w:fill="FFFFFF"/>
          <w:lang w:val="en-GB" w:eastAsia="en-GB"/>
        </w:rPr>
        <w:t xml:space="preserve"> sess, UN Doc CCPR/C/83/D/1134/2002 (10 May 2005) [5.4].</w:t>
      </w:r>
    </w:p>
  </w:endnote>
  <w:endnote w:id="217">
    <w:p w14:paraId="5AA2CED3" w14:textId="49794EC6" w:rsidR="006E71F6" w:rsidRPr="00B91191" w:rsidRDefault="006E71F6" w:rsidP="00FB5828">
      <w:pPr>
        <w:pStyle w:val="EndnoteText"/>
        <w:widowControl w:val="0"/>
        <w:suppressLineNumbers/>
        <w:spacing w:before="0" w:after="0"/>
        <w:ind w:left="511" w:right="57" w:hanging="454"/>
        <w:contextualSpacing/>
        <w:rPr>
          <w:rStyle w:val="EndnoteReference"/>
          <w:sz w:val="20"/>
          <w:szCs w:val="20"/>
          <w:lang w:val="en-AU"/>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 xml:space="preserve">United Nations Human Rights Committee, </w:t>
      </w:r>
      <w:r w:rsidRPr="00B91191">
        <w:rPr>
          <w:rFonts w:cs="Open Sans"/>
          <w:i/>
          <w:sz w:val="20"/>
          <w:szCs w:val="20"/>
        </w:rPr>
        <w:t>Jessop v New Zealand</w:t>
      </w:r>
      <w:r w:rsidRPr="00B91191">
        <w:rPr>
          <w:rFonts w:cs="Open Sans"/>
          <w:sz w:val="20"/>
          <w:szCs w:val="20"/>
        </w:rPr>
        <w:t xml:space="preserve">, Communication No </w:t>
      </w:r>
      <w:r w:rsidRPr="00B91191">
        <w:rPr>
          <w:rFonts w:eastAsia="Times New Roman" w:cs="Open Sans"/>
          <w:color w:val="000000"/>
          <w:sz w:val="20"/>
          <w:szCs w:val="20"/>
          <w:shd w:val="clear" w:color="auto" w:fill="FFFFFF"/>
          <w:lang w:val="en-GB" w:eastAsia="en-GB"/>
        </w:rPr>
        <w:t>1758/2008, 101</w:t>
      </w:r>
      <w:r w:rsidRPr="00B91191">
        <w:rPr>
          <w:rFonts w:eastAsia="Times New Roman" w:cs="Open Sans"/>
          <w:color w:val="000000"/>
          <w:sz w:val="20"/>
          <w:szCs w:val="20"/>
          <w:shd w:val="clear" w:color="auto" w:fill="FFFFFF"/>
          <w:vertAlign w:val="superscript"/>
          <w:lang w:val="en-GB" w:eastAsia="en-GB"/>
        </w:rPr>
        <w:t>st</w:t>
      </w:r>
      <w:r w:rsidRPr="00B91191">
        <w:rPr>
          <w:rFonts w:eastAsia="Times New Roman" w:cs="Open Sans"/>
          <w:color w:val="000000"/>
          <w:sz w:val="20"/>
          <w:szCs w:val="20"/>
          <w:shd w:val="clear" w:color="auto" w:fill="FFFFFF"/>
          <w:lang w:val="en-GB" w:eastAsia="en-GB"/>
        </w:rPr>
        <w:t xml:space="preserve"> sess, UN Doc CCPR/C/101/D/1758/2008 (21 April 2011) [7.9]</w:t>
      </w:r>
      <w:r w:rsidRPr="00B91191">
        <w:rPr>
          <w:rFonts w:cs="Open Sans"/>
          <w:sz w:val="20"/>
          <w:szCs w:val="20"/>
        </w:rPr>
        <w:t>–</w:t>
      </w:r>
      <w:r w:rsidRPr="00B91191">
        <w:rPr>
          <w:rFonts w:eastAsia="Times New Roman" w:cs="Open Sans"/>
          <w:color w:val="000000"/>
          <w:sz w:val="20"/>
          <w:szCs w:val="20"/>
          <w:shd w:val="clear" w:color="auto" w:fill="FFFFFF"/>
          <w:lang w:val="en-GB" w:eastAsia="en-GB"/>
        </w:rPr>
        <w:t>[7.10].</w:t>
      </w:r>
    </w:p>
  </w:endnote>
  <w:endnote w:id="218">
    <w:p w14:paraId="02C9A959" w14:textId="0CFC4D83" w:rsidR="006E71F6" w:rsidRPr="00B91191" w:rsidRDefault="006E71F6" w:rsidP="00FB5828">
      <w:pPr>
        <w:pStyle w:val="EndnoteText"/>
        <w:widowControl w:val="0"/>
        <w:suppressLineNumbers/>
        <w:spacing w:before="0" w:after="0"/>
        <w:ind w:left="511" w:right="57" w:hanging="454"/>
        <w:contextualSpacing/>
        <w:rPr>
          <w:rStyle w:val="EndnoteReference"/>
          <w:sz w:val="20"/>
          <w:szCs w:val="20"/>
          <w:lang w:val="en-AU"/>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 xml:space="preserve">For example, </w:t>
      </w:r>
      <w:r w:rsidRPr="00B91191">
        <w:rPr>
          <w:rFonts w:cs="Open Sans"/>
          <w:i/>
          <w:sz w:val="20"/>
          <w:szCs w:val="20"/>
        </w:rPr>
        <w:t>Telecommunications Act 1997</w:t>
      </w:r>
      <w:r w:rsidRPr="00B91191">
        <w:rPr>
          <w:rFonts w:cs="Open Sans"/>
          <w:sz w:val="20"/>
          <w:szCs w:val="20"/>
        </w:rPr>
        <w:t xml:space="preserve"> (Cth) proposed s 317H(2).</w:t>
      </w:r>
    </w:p>
  </w:endnote>
  <w:endnote w:id="219">
    <w:p w14:paraId="68594F84" w14:textId="7A078740" w:rsidR="006E71F6" w:rsidRPr="00B91191" w:rsidRDefault="006E71F6" w:rsidP="00FB5828">
      <w:pPr>
        <w:pStyle w:val="EndnoteText"/>
        <w:widowControl w:val="0"/>
        <w:suppressLineNumbers/>
        <w:spacing w:before="0" w:after="0"/>
        <w:ind w:left="511" w:right="57" w:hanging="454"/>
        <w:contextualSpacing/>
        <w:rPr>
          <w:rStyle w:val="EndnoteReference"/>
          <w:sz w:val="20"/>
          <w:szCs w:val="20"/>
          <w:lang w:val="en-AU"/>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r>
      <w:r w:rsidRPr="00B91191">
        <w:rPr>
          <w:rFonts w:cs="Open Sans"/>
          <w:i/>
          <w:sz w:val="20"/>
          <w:szCs w:val="20"/>
        </w:rPr>
        <w:t>Telecommunications Act 1997</w:t>
      </w:r>
      <w:r w:rsidRPr="00B91191">
        <w:rPr>
          <w:rFonts w:cs="Open Sans"/>
          <w:sz w:val="20"/>
          <w:szCs w:val="20"/>
        </w:rPr>
        <w:t xml:space="preserve"> (Cth) proposed ss 317P, 317RA, 317V and 317ZAA.</w:t>
      </w:r>
    </w:p>
  </w:endnote>
  <w:endnote w:id="220">
    <w:p w14:paraId="54978591" w14:textId="0E81AA19"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r>
      <w:r w:rsidRPr="00B91191">
        <w:rPr>
          <w:rFonts w:cs="Open Sans"/>
          <w:i/>
          <w:sz w:val="20"/>
          <w:szCs w:val="20"/>
        </w:rPr>
        <w:t xml:space="preserve">Australian Security Intelligence Organisation Act 1979 </w:t>
      </w:r>
      <w:r w:rsidRPr="00B91191">
        <w:rPr>
          <w:rFonts w:cs="Open Sans"/>
          <w:sz w:val="20"/>
          <w:szCs w:val="20"/>
        </w:rPr>
        <w:t>(Cth) s 35C(2).</w:t>
      </w:r>
    </w:p>
  </w:endnote>
  <w:endnote w:id="221">
    <w:p w14:paraId="7408DE88" w14:textId="0F313804" w:rsidR="006E71F6" w:rsidRPr="00B91191" w:rsidRDefault="006E71F6" w:rsidP="00FB5828">
      <w:pPr>
        <w:pStyle w:val="EndnoteText"/>
        <w:widowControl w:val="0"/>
        <w:suppressLineNumbers/>
        <w:spacing w:before="0" w:after="0"/>
        <w:ind w:left="511" w:right="57" w:hanging="454"/>
        <w:contextualSpacing/>
        <w:rPr>
          <w:rStyle w:val="EndnoteReference"/>
          <w:sz w:val="20"/>
          <w:szCs w:val="20"/>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 xml:space="preserve">Inspector General of Intelligence and Security, Submission to the Department of Home Affairs, </w:t>
      </w:r>
      <w:r w:rsidRPr="00B91191">
        <w:rPr>
          <w:rFonts w:cs="Open Sans"/>
          <w:i/>
          <w:sz w:val="20"/>
          <w:szCs w:val="20"/>
        </w:rPr>
        <w:t xml:space="preserve">Telecommunications and Other Legislation Amendment (Assistance and Access) Bill Exposure Draft 2018 </w:t>
      </w:r>
      <w:r w:rsidRPr="00B91191">
        <w:rPr>
          <w:rFonts w:cs="Open Sans"/>
          <w:sz w:val="20"/>
          <w:szCs w:val="20"/>
        </w:rPr>
        <w:t>(13 September 2018) 38–39.</w:t>
      </w:r>
    </w:p>
  </w:endnote>
  <w:endnote w:id="222">
    <w:p w14:paraId="2C5B2FB7" w14:textId="0DF14D0B" w:rsidR="006E71F6" w:rsidRPr="00B91191" w:rsidRDefault="006E71F6" w:rsidP="00FB5828">
      <w:pPr>
        <w:pStyle w:val="EndnoteText"/>
        <w:widowControl w:val="0"/>
        <w:suppressLineNumbers/>
        <w:spacing w:before="0" w:after="0"/>
        <w:ind w:left="511" w:right="57" w:hanging="454"/>
        <w:contextualSpacing/>
        <w:rPr>
          <w:rFonts w:cs="Open Sans"/>
          <w:lang w:val="en-AU"/>
        </w:rPr>
      </w:pPr>
      <w:r w:rsidRPr="00B91191">
        <w:rPr>
          <w:rFonts w:cs="Open Sans"/>
          <w:sz w:val="20"/>
          <w:szCs w:val="20"/>
        </w:rPr>
        <w:endnoteRef/>
      </w:r>
      <w:r w:rsidRPr="00B91191">
        <w:rPr>
          <w:rFonts w:cs="Open Sans"/>
          <w:sz w:val="20"/>
          <w:szCs w:val="20"/>
        </w:rPr>
        <w:t xml:space="preserve"> </w:t>
      </w:r>
      <w:r w:rsidRPr="00B91191">
        <w:rPr>
          <w:rFonts w:cs="Open Sans"/>
          <w:sz w:val="20"/>
          <w:szCs w:val="20"/>
        </w:rPr>
        <w:tab/>
        <w:t xml:space="preserve">See discussion above in Pt </w:t>
      </w:r>
      <w:r w:rsidRPr="00B91191">
        <w:rPr>
          <w:rFonts w:cs="Open Sans"/>
          <w:sz w:val="20"/>
          <w:szCs w:val="20"/>
        </w:rPr>
        <w:fldChar w:fldCharType="begin"/>
      </w:r>
      <w:r w:rsidRPr="00B91191">
        <w:rPr>
          <w:rFonts w:cs="Open Sans"/>
          <w:sz w:val="20"/>
          <w:szCs w:val="20"/>
        </w:rPr>
        <w:instrText xml:space="preserve"> REF _Ref526839318 \r \h  \* MERGEFORMAT </w:instrText>
      </w:r>
      <w:r w:rsidRPr="00B91191">
        <w:rPr>
          <w:rFonts w:cs="Open Sans"/>
          <w:sz w:val="20"/>
          <w:szCs w:val="20"/>
        </w:rPr>
      </w:r>
      <w:r w:rsidRPr="00B91191">
        <w:rPr>
          <w:rFonts w:cs="Open Sans"/>
          <w:sz w:val="20"/>
          <w:szCs w:val="20"/>
        </w:rPr>
        <w:fldChar w:fldCharType="separate"/>
      </w:r>
      <w:r w:rsidR="00372D72">
        <w:rPr>
          <w:rFonts w:cs="Open Sans"/>
          <w:sz w:val="20"/>
          <w:szCs w:val="20"/>
        </w:rPr>
        <w:t>5.1(d)</w:t>
      </w:r>
      <w:r w:rsidRPr="00B91191">
        <w:rPr>
          <w:rFonts w:cs="Open Sans"/>
          <w:sz w:val="20"/>
          <w:szCs w:val="20"/>
        </w:rPr>
        <w:fldChar w:fldCharType="end"/>
      </w:r>
      <w:r w:rsidRPr="00B91191">
        <w:rPr>
          <w:rFonts w:cs="Open Sans"/>
          <w:sz w:val="20"/>
          <w:szCs w:val="20"/>
        </w:rPr>
        <w:t xml:space="preserve"> and Recommendations 12 and 13.</w:t>
      </w:r>
      <w:r w:rsidRPr="00B91191">
        <w:rPr>
          <w:rFonts w:cs="Open Sans"/>
          <w:lang w:val="en-AU"/>
        </w:rPr>
        <w:t xml:space="preserve"> </w:t>
      </w:r>
    </w:p>
  </w:endnote>
  <w:endnote w:id="223">
    <w:p w14:paraId="32E5553C" w14:textId="77777777" w:rsidR="006E71F6" w:rsidRPr="00B91191" w:rsidRDefault="006E71F6" w:rsidP="00FB5828">
      <w:pPr>
        <w:pStyle w:val="EndnoteText"/>
        <w:widowControl w:val="0"/>
        <w:suppressLineNumbers/>
        <w:spacing w:before="0" w:after="0"/>
        <w:ind w:left="511" w:right="57" w:hanging="454"/>
        <w:contextualSpacing/>
        <w:rPr>
          <w:rStyle w:val="EndnoteReference"/>
          <w:sz w:val="20"/>
          <w:szCs w:val="20"/>
          <w:lang w:val="en-AU"/>
        </w:rPr>
      </w:pPr>
      <w:r w:rsidRPr="00B91191">
        <w:rPr>
          <w:rStyle w:val="EndnoteReference"/>
          <w:sz w:val="20"/>
          <w:szCs w:val="20"/>
        </w:rPr>
        <w:endnoteRef/>
      </w:r>
      <w:r w:rsidRPr="00B91191">
        <w:rPr>
          <w:rStyle w:val="EndnoteReference"/>
          <w:sz w:val="20"/>
          <w:szCs w:val="20"/>
        </w:rPr>
        <w:t xml:space="preserve"> </w:t>
      </w:r>
      <w:r w:rsidRPr="00B91191">
        <w:rPr>
          <w:rFonts w:cs="Open Sans"/>
          <w:sz w:val="20"/>
          <w:szCs w:val="20"/>
        </w:rPr>
        <w:tab/>
        <w:t xml:space="preserve">For example, statutory reviews by the PJCIS and the INSLM formed part of the </w:t>
      </w:r>
      <w:r w:rsidRPr="00B91191">
        <w:rPr>
          <w:rFonts w:cs="Open Sans"/>
          <w:i/>
          <w:sz w:val="20"/>
          <w:szCs w:val="20"/>
        </w:rPr>
        <w:t>Criminal Code Amendment (High Risk Terrorist Offenders) Act 2016</w:t>
      </w:r>
      <w:r w:rsidRPr="00B91191">
        <w:rPr>
          <w:rFonts w:cs="Open Sans"/>
          <w:sz w:val="20"/>
          <w:szCs w:val="20"/>
        </w:rPr>
        <w:t xml:space="preserve"> (Cth). Previous reviews have included the COAG Review of Counter-Terrorism Legislation in 2012. Other national security legislation has been subject to sunset provisions, including regimes in relation to control orders (s 104.32 of the Criminal Code), preventative detention (s 105.53 of the Criminal Code) and continuing detention (s 105A.25 of the Criminal Code).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Calibr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909F" w14:textId="77777777" w:rsidR="006E71F6" w:rsidRPr="000465F1" w:rsidRDefault="006E71F6" w:rsidP="000465F1">
    <w:pPr>
      <w:pStyle w:val="Footer"/>
    </w:pPr>
    <w:r w:rsidRPr="000465F1">
      <w:t>ABN 47 996 232 602</w:t>
    </w:r>
  </w:p>
  <w:p w14:paraId="60D8F608" w14:textId="77777777" w:rsidR="006E71F6" w:rsidRPr="000465F1" w:rsidRDefault="006E71F6" w:rsidP="000465F1">
    <w:pPr>
      <w:pStyle w:val="Footer"/>
    </w:pPr>
    <w:r w:rsidRPr="000465F1">
      <w:t>Level 3, 175 Pitt Street, Sydney NSW 2000</w:t>
    </w:r>
  </w:p>
  <w:p w14:paraId="7E637BAD" w14:textId="77777777" w:rsidR="006E71F6" w:rsidRPr="000465F1" w:rsidRDefault="006E71F6" w:rsidP="000465F1">
    <w:pPr>
      <w:pStyle w:val="Footer"/>
    </w:pPr>
    <w:r w:rsidRPr="000465F1">
      <w:t>GPO Box 5218, Sydney NSW 2001</w:t>
    </w:r>
  </w:p>
  <w:p w14:paraId="498C95D5" w14:textId="77777777" w:rsidR="006E71F6" w:rsidRPr="000465F1" w:rsidRDefault="006E71F6" w:rsidP="000465F1">
    <w:pPr>
      <w:pStyle w:val="Footer"/>
    </w:pPr>
    <w:r w:rsidRPr="000465F1">
      <w:t>General enquiries 1300 369 711</w:t>
    </w:r>
  </w:p>
  <w:p w14:paraId="315CDB21" w14:textId="77777777" w:rsidR="006E71F6" w:rsidRPr="000465F1" w:rsidRDefault="006E71F6" w:rsidP="000465F1">
    <w:pPr>
      <w:pStyle w:val="Footer"/>
    </w:pPr>
    <w:r w:rsidRPr="000465F1">
      <w:t>Complaints info line 1300 656 419</w:t>
    </w:r>
  </w:p>
  <w:p w14:paraId="524F5728" w14:textId="77777777" w:rsidR="006E71F6" w:rsidRPr="000465F1" w:rsidRDefault="006E71F6"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A5F61" w14:textId="147E1C6E" w:rsidR="006E71F6" w:rsidRDefault="006E71F6" w:rsidP="004808C4">
    <w:pPr>
      <w:pStyle w:val="Footer"/>
      <w:jc w:val="right"/>
    </w:pPr>
    <w:r w:rsidRPr="00622508">
      <w:fldChar w:fldCharType="begin"/>
    </w:r>
    <w:r>
      <w:instrText xml:space="preserve"> PAGE   \* MERGEFORMAT </w:instrText>
    </w:r>
    <w:r w:rsidRPr="00622508">
      <w:fldChar w:fldCharType="separate"/>
    </w:r>
    <w:r w:rsidR="00A77411">
      <w:rPr>
        <w:noProof/>
      </w:rPr>
      <w:t>104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C7A9" w14:textId="4B7F09A7" w:rsidR="006E71F6" w:rsidRDefault="006E71F6" w:rsidP="00E53546">
    <w:pPr>
      <w:pStyle w:val="FooterOddPageNumber"/>
    </w:pPr>
    <w:r w:rsidRPr="00AB7C8F">
      <w:fldChar w:fldCharType="begin"/>
    </w:r>
    <w:r>
      <w:instrText xml:space="preserve"> PAGE   \* MERGEFORMAT </w:instrText>
    </w:r>
    <w:r w:rsidRPr="00AB7C8F">
      <w:fldChar w:fldCharType="separate"/>
    </w:r>
    <w:r w:rsidR="00A77411">
      <w:rPr>
        <w:noProof/>
      </w:rPr>
      <w:t>105</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BB0C0" w14:textId="0C5F9786" w:rsidR="006E71F6" w:rsidRDefault="006E71F6" w:rsidP="002D10EA">
    <w:pPr>
      <w:pStyle w:val="FooterEvenPageNumber"/>
      <w:jc w:val="right"/>
    </w:pPr>
    <w:r w:rsidRPr="00F127A8">
      <w:fldChar w:fldCharType="begin"/>
    </w:r>
    <w:r>
      <w:instrText xml:space="preserve"> PAGE   \* MERGEFORMAT </w:instrText>
    </w:r>
    <w:r w:rsidRPr="00F127A8">
      <w:fldChar w:fldCharType="separate"/>
    </w:r>
    <w:r w:rsidR="00A77411">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73EB" w14:textId="77777777" w:rsidR="00456640" w:rsidRDefault="00456640" w:rsidP="00F14C6D">
      <w:r>
        <w:separator/>
      </w:r>
    </w:p>
  </w:footnote>
  <w:footnote w:type="continuationSeparator" w:id="0">
    <w:p w14:paraId="1EB186B5" w14:textId="77777777" w:rsidR="00456640" w:rsidRDefault="00456640" w:rsidP="00F14C6D">
      <w:r>
        <w:continuationSeparator/>
      </w:r>
    </w:p>
  </w:footnote>
  <w:footnote w:type="continuationNotice" w:id="1">
    <w:p w14:paraId="070F9083" w14:textId="77777777" w:rsidR="00456640" w:rsidRDefault="004566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713" w14:textId="77777777" w:rsidR="006E71F6" w:rsidRPr="000465F1" w:rsidRDefault="00456640" w:rsidP="000006D7">
    <w:pPr>
      <w:pStyle w:val="Heading3"/>
    </w:pPr>
    <w:r>
      <w:rPr>
        <w:noProof/>
      </w:rPr>
      <w:pict w14:anchorId="1E359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53" type="#_x0000_t75" alt="report watermark" style="position:absolute;left:0;text-align:left;margin-left:0;margin-top:0;width:930.9pt;height:1359.95pt;z-index:-251658752;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6E71F6" w:rsidRPr="000465F1">
      <w:t>Australian Human Rights Commission</w:t>
    </w:r>
  </w:p>
  <w:p w14:paraId="61B98321" w14:textId="77777777" w:rsidR="006E71F6" w:rsidRPr="00622508" w:rsidRDefault="006E71F6"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D480" w14:textId="77777777" w:rsidR="006E71F6" w:rsidRPr="000465F1" w:rsidRDefault="00456640" w:rsidP="000465F1">
    <w:r>
      <w:rPr>
        <w:noProof/>
      </w:rPr>
      <w:pict w14:anchorId="591B4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52" type="#_x0000_t75" alt="report watermark" style="position:absolute;margin-left:0;margin-top:0;width:930.9pt;height:1359.95pt;z-index:-25165772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6E71F6" w:rsidRPr="000465F1">
      <w:t>Australian Human Rights Commission</w:t>
    </w:r>
  </w:p>
  <w:p w14:paraId="2962D57E" w14:textId="77777777" w:rsidR="006E71F6" w:rsidRPr="000465F1" w:rsidRDefault="006E71F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B038" w14:textId="77777777" w:rsidR="006E71F6" w:rsidRDefault="00456640" w:rsidP="004F68C0">
    <w:pPr>
      <w:pStyle w:val="Heading3"/>
      <w:numPr>
        <w:ilvl w:val="0"/>
        <w:numId w:val="0"/>
      </w:numPr>
    </w:pPr>
    <w:r>
      <w:rPr>
        <w:noProof/>
      </w:rPr>
      <w:pict w14:anchorId="66254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report watermark" style="position:absolute;margin-left:-71.05pt;margin-top:-66.3pt;width:595.1pt;height:896.35pt;z-index:-251656704;mso-wrap-edited:f;mso-width-percent:0;mso-height-percent:0;mso-position-horizontal-relative:margin;mso-position-vertical-relative:margin;mso-width-percent:0;mso-height-percent:0" o:allowincell="f">
          <v:imagedata r:id="rId1" o:title="report watermark"/>
          <w10:wrap anchorx="margin" anchory="margin"/>
        </v:shape>
      </w:pict>
    </w:r>
    <w:r>
      <w:rPr>
        <w:noProof/>
      </w:rPr>
      <w:pict w14:anchorId="4131AF45">
        <v:shape id="WordPictureWatermark1034832" o:spid="_x0000_s2050" type="#_x0000_t75" alt="report watermark" style="position:absolute;margin-left:-70.5pt;margin-top:-86.75pt;width:595.1pt;height:920.35pt;z-index:-251659776;mso-wrap-edited:f;mso-width-percent:0;mso-height-percent:0;mso-position-horizontal-relative:margin;mso-position-vertical-relative:margin;mso-width-percent:0;mso-height-percent:0" o:allowincell="f">
          <v:imagedata r:id="rId1" o:title="report watermark"/>
          <w10:wrap anchorx="margin" anchory="margin"/>
        </v:shape>
      </w:pict>
    </w:r>
    <w:r>
      <w:rPr>
        <w:noProof/>
      </w:rPr>
      <w:pict w14:anchorId="605D96CC">
        <v:shape id="WordPictureWatermark14066017" o:spid="_x0000_s2049" type="#_x0000_t75" alt="MS word cover1" style="position:absolute;margin-left:-71.05pt;margin-top:-108.5pt;width:595.65pt;height:870.15pt;z-index:-251660801;mso-wrap-edited:f;mso-width-percent:0;mso-height-percent:0;mso-position-horizontal-relative:margin;mso-position-vertical-relative:margin;mso-width-percent:0;mso-height-percent:0" o:allowincell="f">
          <v:imagedata r:id="rId2"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1CAF" w14:textId="498A1C90" w:rsidR="006E71F6" w:rsidRPr="000465F1" w:rsidRDefault="006E71F6" w:rsidP="000006D7">
    <w:pPr>
      <w:pStyle w:val="Heading3"/>
      <w:numPr>
        <w:ilvl w:val="0"/>
        <w:numId w:val="0"/>
      </w:numPr>
      <w:ind w:left="851" w:hanging="851"/>
      <w:jc w:val="right"/>
    </w:pPr>
    <w:r w:rsidRPr="000465F1">
      <w:t>Australian Human Rights Commission</w:t>
    </w:r>
    <w:r>
      <w:br/>
    </w:r>
    <w:r>
      <w:rPr>
        <w:rStyle w:val="HeaderDocumentTitle"/>
        <w:szCs w:val="18"/>
      </w:rPr>
      <w:t xml:space="preserve">Assistance and </w:t>
    </w:r>
    <w:r w:rsidRPr="009311DA">
      <w:rPr>
        <w:rStyle w:val="HeaderDocumentTitle"/>
        <w:szCs w:val="18"/>
      </w:rPr>
      <w:t>Access Bill,</w:t>
    </w:r>
    <w:r w:rsidRPr="009311DA">
      <w:rPr>
        <w:sz w:val="18"/>
        <w:szCs w:val="18"/>
      </w:rPr>
      <w:t xml:space="preserve"> </w:t>
    </w:r>
    <w:r>
      <w:rPr>
        <w:sz w:val="18"/>
        <w:szCs w:val="18"/>
      </w:rPr>
      <w:t>12</w:t>
    </w:r>
    <w:r w:rsidRPr="009311DA">
      <w:rPr>
        <w:sz w:val="18"/>
        <w:szCs w:val="18"/>
      </w:rPr>
      <w:t xml:space="preserve"> October</w:t>
    </w:r>
    <w:r w:rsidRPr="00E13908">
      <w:rPr>
        <w:sz w:val="18"/>
        <w:szCs w:val="18"/>
      </w:rPr>
      <w:t xml:space="preserve"> 2018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88B3" w14:textId="3CD212F9" w:rsidR="006E71F6" w:rsidRPr="000465F1" w:rsidRDefault="006E71F6" w:rsidP="000006D7">
    <w:pPr>
      <w:pStyle w:val="Heading3"/>
      <w:numPr>
        <w:ilvl w:val="0"/>
        <w:numId w:val="0"/>
      </w:numPr>
      <w:ind w:left="851"/>
      <w:jc w:val="right"/>
    </w:pPr>
    <w:bookmarkStart w:id="196" w:name="_Hlk514672172"/>
    <w:bookmarkStart w:id="197" w:name="_Hlk514672173"/>
    <w:r w:rsidRPr="000465F1">
      <w:t>Australian Human Rights Commission</w:t>
    </w:r>
    <w:bookmarkEnd w:id="196"/>
    <w:bookmarkEnd w:id="197"/>
    <w:r>
      <w:br/>
    </w:r>
    <w:r>
      <w:rPr>
        <w:rStyle w:val="HeaderDocumentTitle"/>
        <w:szCs w:val="18"/>
      </w:rPr>
      <w:t xml:space="preserve">Assistance and </w:t>
    </w:r>
    <w:r w:rsidRPr="00E13908">
      <w:rPr>
        <w:rStyle w:val="HeaderDocumentTitle"/>
        <w:szCs w:val="18"/>
      </w:rPr>
      <w:t>Access Bill,</w:t>
    </w:r>
    <w:r w:rsidRPr="00E13908">
      <w:rPr>
        <w:sz w:val="18"/>
        <w:szCs w:val="18"/>
      </w:rPr>
      <w:t xml:space="preserve"> </w:t>
    </w:r>
    <w:r>
      <w:rPr>
        <w:sz w:val="18"/>
        <w:szCs w:val="18"/>
      </w:rPr>
      <w:t>12</w:t>
    </w:r>
    <w:r w:rsidRPr="00E13908">
      <w:rPr>
        <w:sz w:val="18"/>
        <w:szCs w:val="18"/>
      </w:rPr>
      <w:t xml:space="preserve"> October 2018</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2BE7D" w14:textId="51C7389D" w:rsidR="006E71F6" w:rsidRPr="00E13908" w:rsidRDefault="006E71F6" w:rsidP="004F68C0">
    <w:pPr>
      <w:pStyle w:val="Heading3"/>
      <w:numPr>
        <w:ilvl w:val="0"/>
        <w:numId w:val="0"/>
      </w:numPr>
      <w:jc w:val="right"/>
      <w:rPr>
        <w:sz w:val="18"/>
        <w:szCs w:val="18"/>
      </w:rPr>
    </w:pPr>
    <w:r w:rsidRPr="000465F1">
      <w:t>Australian Human Rights Commission</w:t>
    </w:r>
    <w:r>
      <w:br/>
    </w:r>
    <w:r>
      <w:rPr>
        <w:rStyle w:val="HeaderDocumentTitle"/>
        <w:szCs w:val="18"/>
      </w:rPr>
      <w:t xml:space="preserve">Assistance and </w:t>
    </w:r>
    <w:r w:rsidRPr="00E13908">
      <w:rPr>
        <w:rStyle w:val="HeaderDocumentTitle"/>
        <w:szCs w:val="18"/>
      </w:rPr>
      <w:t>Access Bill,</w:t>
    </w:r>
    <w:r w:rsidRPr="00E13908">
      <w:rPr>
        <w:sz w:val="18"/>
        <w:szCs w:val="18"/>
      </w:rPr>
      <w:t xml:space="preserve"> </w:t>
    </w:r>
    <w:r>
      <w:rPr>
        <w:sz w:val="18"/>
        <w:szCs w:val="18"/>
      </w:rPr>
      <w:t>12</w:t>
    </w:r>
    <w:r w:rsidRPr="00E13908">
      <w:rPr>
        <w:sz w:val="18"/>
        <w:szCs w:val="18"/>
      </w:rPr>
      <w:t xml:space="preserve"> October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6C5106"/>
    <w:lvl w:ilvl="0">
      <w:start w:val="1"/>
      <w:numFmt w:val="decimal"/>
      <w:pStyle w:val="ListNumber"/>
      <w:lvlText w:val="%1."/>
      <w:lvlJc w:val="left"/>
      <w:pPr>
        <w:tabs>
          <w:tab w:val="num" w:pos="360"/>
        </w:tabs>
        <w:ind w:left="360" w:hanging="360"/>
      </w:pPr>
      <w:rPr>
        <w:b w:val="0"/>
        <w:sz w:val="24"/>
        <w:szCs w:val="24"/>
      </w:rPr>
    </w:lvl>
  </w:abstractNum>
  <w:abstractNum w:abstractNumId="9" w15:restartNumberingAfterBreak="0">
    <w:nsid w:val="FFFFFF89"/>
    <w:multiLevelType w:val="singleLevel"/>
    <w:tmpl w:val="73169A2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058627B"/>
    <w:multiLevelType w:val="hybridMultilevel"/>
    <w:tmpl w:val="CB3C61D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0BD06E6A"/>
    <w:multiLevelType w:val="hybridMultilevel"/>
    <w:tmpl w:val="82B6085A"/>
    <w:lvl w:ilvl="0" w:tplc="334AEE74">
      <w:numFmt w:val="bullet"/>
      <w:lvlText w:val=""/>
      <w:lvlJc w:val="left"/>
      <w:pPr>
        <w:ind w:left="1069" w:hanging="360"/>
      </w:pPr>
      <w:rPr>
        <w:rFonts w:ascii="Symbol" w:eastAsia="MS Mincho" w:hAnsi="Symbol" w:cs="Open San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18A94EB6"/>
    <w:multiLevelType w:val="hybridMultilevel"/>
    <w:tmpl w:val="64B01CFE"/>
    <w:lvl w:ilvl="0" w:tplc="5E404AA0">
      <w:start w:val="400"/>
      <w:numFmt w:val="bullet"/>
      <w:lvlText w:val=""/>
      <w:lvlJc w:val="left"/>
      <w:pPr>
        <w:ind w:left="720" w:hanging="360"/>
      </w:pPr>
      <w:rPr>
        <w:rFonts w:ascii="Wingdings" w:eastAsia="MS Mincho"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5239C"/>
    <w:multiLevelType w:val="hybridMultilevel"/>
    <w:tmpl w:val="A7505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5C0514"/>
    <w:multiLevelType w:val="hybridMultilevel"/>
    <w:tmpl w:val="E842D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BD257A"/>
    <w:multiLevelType w:val="hybridMultilevel"/>
    <w:tmpl w:val="9E92E9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A827455"/>
    <w:multiLevelType w:val="hybridMultilevel"/>
    <w:tmpl w:val="74CE68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8BB23A0"/>
    <w:multiLevelType w:val="hybridMultilevel"/>
    <w:tmpl w:val="24B0D48E"/>
    <w:lvl w:ilvl="0" w:tplc="426CBD1A">
      <w:numFmt w:val="bullet"/>
      <w:lvlText w:val=""/>
      <w:lvlJc w:val="left"/>
      <w:pPr>
        <w:ind w:left="1080" w:hanging="360"/>
      </w:pPr>
      <w:rPr>
        <w:rFonts w:ascii="Symbol" w:eastAsia="MS Mincho"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91F1BBC"/>
    <w:multiLevelType w:val="hybridMultilevel"/>
    <w:tmpl w:val="69B607B6"/>
    <w:lvl w:ilvl="0" w:tplc="3F42466E">
      <w:start w:val="8"/>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913583"/>
    <w:multiLevelType w:val="hybridMultilevel"/>
    <w:tmpl w:val="FEA256D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113096"/>
    <w:multiLevelType w:val="hybridMultilevel"/>
    <w:tmpl w:val="54C460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494B0DA5"/>
    <w:multiLevelType w:val="hybridMultilevel"/>
    <w:tmpl w:val="383CB8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9FF7A73"/>
    <w:multiLevelType w:val="multilevel"/>
    <w:tmpl w:val="D97E442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E0F4B60"/>
    <w:multiLevelType w:val="hybridMultilevel"/>
    <w:tmpl w:val="E45669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E152E53"/>
    <w:multiLevelType w:val="hybridMultilevel"/>
    <w:tmpl w:val="BC1033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56A94E87"/>
    <w:multiLevelType w:val="hybridMultilevel"/>
    <w:tmpl w:val="A86E2370"/>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92A7B4E"/>
    <w:multiLevelType w:val="hybridMultilevel"/>
    <w:tmpl w:val="5368230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15:restartNumberingAfterBreak="0">
    <w:nsid w:val="6832171B"/>
    <w:multiLevelType w:val="hybridMultilevel"/>
    <w:tmpl w:val="C4C2E0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EBC7B63"/>
    <w:multiLevelType w:val="hybridMultilevel"/>
    <w:tmpl w:val="3292631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76364CA"/>
    <w:multiLevelType w:val="hybridMultilevel"/>
    <w:tmpl w:val="F510ED3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7DB3107B"/>
    <w:multiLevelType w:val="hybridMultilevel"/>
    <w:tmpl w:val="CFB4A3D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8"/>
  </w:num>
  <w:num w:numId="13">
    <w:abstractNumId w:val="22"/>
  </w:num>
  <w:num w:numId="14">
    <w:abstractNumId w:val="15"/>
  </w:num>
  <w:num w:numId="15">
    <w:abstractNumId w:val="14"/>
  </w:num>
  <w:num w:numId="16">
    <w:abstractNumId w:val="17"/>
  </w:num>
  <w:num w:numId="17">
    <w:abstractNumId w:val="21"/>
  </w:num>
  <w:num w:numId="18">
    <w:abstractNumId w:val="33"/>
  </w:num>
  <w:num w:numId="19">
    <w:abstractNumId w:val="34"/>
  </w:num>
  <w:num w:numId="20">
    <w:abstractNumId w:val="10"/>
  </w:num>
  <w:num w:numId="21">
    <w:abstractNumId w:val="29"/>
  </w:num>
  <w:num w:numId="22">
    <w:abstractNumId w:val="24"/>
  </w:num>
  <w:num w:numId="23">
    <w:abstractNumId w:val="18"/>
  </w:num>
  <w:num w:numId="24">
    <w:abstractNumId w:val="32"/>
  </w:num>
  <w:num w:numId="25">
    <w:abstractNumId w:val="13"/>
  </w:num>
  <w:num w:numId="26">
    <w:abstractNumId w:val="30"/>
  </w:num>
  <w:num w:numId="27">
    <w:abstractNumId w:val="9"/>
  </w:num>
  <w:num w:numId="28">
    <w:abstractNumId w:val="9"/>
  </w:num>
  <w:num w:numId="29">
    <w:abstractNumId w:val="8"/>
  </w:num>
  <w:num w:numId="30">
    <w:abstractNumId w:val="8"/>
  </w:num>
  <w:num w:numId="31">
    <w:abstractNumId w:val="8"/>
  </w:num>
  <w:num w:numId="32">
    <w:abstractNumId w:val="8"/>
  </w:num>
  <w:num w:numId="33">
    <w:abstractNumId w:val="8"/>
  </w:num>
  <w:num w:numId="34">
    <w:abstractNumId w:val="31"/>
  </w:num>
  <w:num w:numId="35">
    <w:abstractNumId w:val="8"/>
  </w:num>
  <w:num w:numId="36">
    <w:abstractNumId w:val="8"/>
  </w:num>
  <w:num w:numId="37">
    <w:abstractNumId w:val="8"/>
  </w:num>
  <w:num w:numId="38">
    <w:abstractNumId w:val="8"/>
  </w:num>
  <w:num w:numId="39">
    <w:abstractNumId w:val="8"/>
  </w:num>
  <w:num w:numId="40">
    <w:abstractNumId w:val="25"/>
  </w:num>
  <w:num w:numId="41">
    <w:abstractNumId w:val="25"/>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9"/>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27"/>
  </w:num>
  <w:num w:numId="85">
    <w:abstractNumId w:val="9"/>
  </w:num>
  <w:num w:numId="86">
    <w:abstractNumId w:val="9"/>
  </w:num>
  <w:num w:numId="87">
    <w:abstractNumId w:val="9"/>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lvlOverride w:ilvl="0">
      <w:startOverride w:val="1"/>
    </w:lvlOverride>
  </w:num>
  <w:num w:numId="96">
    <w:abstractNumId w:val="8"/>
  </w:num>
  <w:num w:numId="97">
    <w:abstractNumId w:val="8"/>
  </w:num>
  <w:num w:numId="98">
    <w:abstractNumId w:val="23"/>
  </w:num>
  <w:num w:numId="99">
    <w:abstractNumId w:val="16"/>
  </w:num>
  <w:num w:numId="100">
    <w:abstractNumId w:val="8"/>
  </w:num>
  <w:num w:numId="101">
    <w:abstractNumId w:val="20"/>
  </w:num>
  <w:num w:numId="102">
    <w:abstractNumId w:val="8"/>
  </w:num>
  <w:num w:numId="103">
    <w:abstractNumId w:val="8"/>
  </w:num>
  <w:num w:numId="104">
    <w:abstractNumId w:val="26"/>
  </w:num>
  <w:num w:numId="105">
    <w:abstractNumId w:val="8"/>
  </w:num>
  <w:num w:numId="106">
    <w:abstractNumId w:val="11"/>
  </w:num>
  <w:num w:numId="107">
    <w:abstractNumId w:val="8"/>
  </w:num>
  <w:num w:numId="108">
    <w:abstractNumId w:val="19"/>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12"/>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formatting="1" w:enforcement="0"/>
  <w:defaultTabStop w:val="720"/>
  <w:evenAndOddHeaders/>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73"/>
    <w:rsid w:val="00000255"/>
    <w:rsid w:val="000006D7"/>
    <w:rsid w:val="00000A1A"/>
    <w:rsid w:val="0000149A"/>
    <w:rsid w:val="000015EC"/>
    <w:rsid w:val="00001A50"/>
    <w:rsid w:val="00001DA5"/>
    <w:rsid w:val="00002A33"/>
    <w:rsid w:val="00002D37"/>
    <w:rsid w:val="00002DFC"/>
    <w:rsid w:val="00002EBD"/>
    <w:rsid w:val="00003EA5"/>
    <w:rsid w:val="00004FB7"/>
    <w:rsid w:val="00006656"/>
    <w:rsid w:val="00006CE3"/>
    <w:rsid w:val="0000747D"/>
    <w:rsid w:val="00010839"/>
    <w:rsid w:val="000111E4"/>
    <w:rsid w:val="00011922"/>
    <w:rsid w:val="00011A7C"/>
    <w:rsid w:val="000130E1"/>
    <w:rsid w:val="00013F11"/>
    <w:rsid w:val="0001435D"/>
    <w:rsid w:val="00014C3B"/>
    <w:rsid w:val="000154FA"/>
    <w:rsid w:val="00015F13"/>
    <w:rsid w:val="00016173"/>
    <w:rsid w:val="000161C2"/>
    <w:rsid w:val="00016B23"/>
    <w:rsid w:val="00017D50"/>
    <w:rsid w:val="00017D7B"/>
    <w:rsid w:val="000200EB"/>
    <w:rsid w:val="000209EA"/>
    <w:rsid w:val="000210ED"/>
    <w:rsid w:val="0002137B"/>
    <w:rsid w:val="000221FA"/>
    <w:rsid w:val="0002270B"/>
    <w:rsid w:val="00022B43"/>
    <w:rsid w:val="00023A6F"/>
    <w:rsid w:val="00023A8F"/>
    <w:rsid w:val="0002476A"/>
    <w:rsid w:val="00024B07"/>
    <w:rsid w:val="00024DF3"/>
    <w:rsid w:val="0002540B"/>
    <w:rsid w:val="00025E68"/>
    <w:rsid w:val="000270CE"/>
    <w:rsid w:val="00027664"/>
    <w:rsid w:val="00027951"/>
    <w:rsid w:val="00030504"/>
    <w:rsid w:val="000305E3"/>
    <w:rsid w:val="00030855"/>
    <w:rsid w:val="000312FE"/>
    <w:rsid w:val="0003163D"/>
    <w:rsid w:val="00031674"/>
    <w:rsid w:val="0003259D"/>
    <w:rsid w:val="00032BEE"/>
    <w:rsid w:val="00032D23"/>
    <w:rsid w:val="00033711"/>
    <w:rsid w:val="00033B15"/>
    <w:rsid w:val="00034483"/>
    <w:rsid w:val="00034DE6"/>
    <w:rsid w:val="0003626A"/>
    <w:rsid w:val="0003658C"/>
    <w:rsid w:val="00036B70"/>
    <w:rsid w:val="00036BE4"/>
    <w:rsid w:val="00037474"/>
    <w:rsid w:val="000374D3"/>
    <w:rsid w:val="00040060"/>
    <w:rsid w:val="00041C10"/>
    <w:rsid w:val="0004291B"/>
    <w:rsid w:val="00042FA4"/>
    <w:rsid w:val="000430B8"/>
    <w:rsid w:val="00043249"/>
    <w:rsid w:val="00043605"/>
    <w:rsid w:val="00044456"/>
    <w:rsid w:val="000455D5"/>
    <w:rsid w:val="00045712"/>
    <w:rsid w:val="00045C4B"/>
    <w:rsid w:val="000465F1"/>
    <w:rsid w:val="000466E1"/>
    <w:rsid w:val="00047177"/>
    <w:rsid w:val="000473BD"/>
    <w:rsid w:val="00047799"/>
    <w:rsid w:val="000508DF"/>
    <w:rsid w:val="00050CF7"/>
    <w:rsid w:val="00051B8A"/>
    <w:rsid w:val="00051E01"/>
    <w:rsid w:val="00052230"/>
    <w:rsid w:val="000522E5"/>
    <w:rsid w:val="000526C4"/>
    <w:rsid w:val="00052CA0"/>
    <w:rsid w:val="00053D67"/>
    <w:rsid w:val="000551C1"/>
    <w:rsid w:val="00055917"/>
    <w:rsid w:val="00056C5B"/>
    <w:rsid w:val="00056E96"/>
    <w:rsid w:val="0005729F"/>
    <w:rsid w:val="000579B1"/>
    <w:rsid w:val="00057DED"/>
    <w:rsid w:val="000603AC"/>
    <w:rsid w:val="00060D18"/>
    <w:rsid w:val="000614AE"/>
    <w:rsid w:val="00061C6C"/>
    <w:rsid w:val="00061EF1"/>
    <w:rsid w:val="00062433"/>
    <w:rsid w:val="000624BE"/>
    <w:rsid w:val="00063751"/>
    <w:rsid w:val="00063A82"/>
    <w:rsid w:val="00064404"/>
    <w:rsid w:val="00064754"/>
    <w:rsid w:val="00065321"/>
    <w:rsid w:val="000653EA"/>
    <w:rsid w:val="00065955"/>
    <w:rsid w:val="00065AF5"/>
    <w:rsid w:val="00065B3B"/>
    <w:rsid w:val="00065CC5"/>
    <w:rsid w:val="00065D35"/>
    <w:rsid w:val="0006663C"/>
    <w:rsid w:val="00066BA7"/>
    <w:rsid w:val="00066CDF"/>
    <w:rsid w:val="000677A5"/>
    <w:rsid w:val="00067E38"/>
    <w:rsid w:val="00067E49"/>
    <w:rsid w:val="00070090"/>
    <w:rsid w:val="00070210"/>
    <w:rsid w:val="00070214"/>
    <w:rsid w:val="00070250"/>
    <w:rsid w:val="00070340"/>
    <w:rsid w:val="00070542"/>
    <w:rsid w:val="00070831"/>
    <w:rsid w:val="00070AF9"/>
    <w:rsid w:val="00071211"/>
    <w:rsid w:val="000712F1"/>
    <w:rsid w:val="000729A2"/>
    <w:rsid w:val="00072EDA"/>
    <w:rsid w:val="00073BF7"/>
    <w:rsid w:val="00074103"/>
    <w:rsid w:val="0007530D"/>
    <w:rsid w:val="00075944"/>
    <w:rsid w:val="00075C8F"/>
    <w:rsid w:val="00076967"/>
    <w:rsid w:val="00077159"/>
    <w:rsid w:val="000776EA"/>
    <w:rsid w:val="000776F7"/>
    <w:rsid w:val="000800E5"/>
    <w:rsid w:val="0008047C"/>
    <w:rsid w:val="00080B32"/>
    <w:rsid w:val="00081EAD"/>
    <w:rsid w:val="00082385"/>
    <w:rsid w:val="00082ACD"/>
    <w:rsid w:val="00083160"/>
    <w:rsid w:val="000857B7"/>
    <w:rsid w:val="00086477"/>
    <w:rsid w:val="00086C9A"/>
    <w:rsid w:val="00087F5D"/>
    <w:rsid w:val="00090459"/>
    <w:rsid w:val="00090E3D"/>
    <w:rsid w:val="0009159F"/>
    <w:rsid w:val="000917B4"/>
    <w:rsid w:val="00091824"/>
    <w:rsid w:val="00091CFC"/>
    <w:rsid w:val="0009243A"/>
    <w:rsid w:val="00092AC2"/>
    <w:rsid w:val="000930D7"/>
    <w:rsid w:val="000939BC"/>
    <w:rsid w:val="00093CC7"/>
    <w:rsid w:val="00094781"/>
    <w:rsid w:val="000949BA"/>
    <w:rsid w:val="00094E02"/>
    <w:rsid w:val="0009558B"/>
    <w:rsid w:val="000958BB"/>
    <w:rsid w:val="00095EE7"/>
    <w:rsid w:val="0009644A"/>
    <w:rsid w:val="00096663"/>
    <w:rsid w:val="00096EEA"/>
    <w:rsid w:val="00096FF6"/>
    <w:rsid w:val="000976E9"/>
    <w:rsid w:val="00097B02"/>
    <w:rsid w:val="000A00C7"/>
    <w:rsid w:val="000A117B"/>
    <w:rsid w:val="000A1A63"/>
    <w:rsid w:val="000A1DB8"/>
    <w:rsid w:val="000A23A0"/>
    <w:rsid w:val="000A253A"/>
    <w:rsid w:val="000A2914"/>
    <w:rsid w:val="000A3051"/>
    <w:rsid w:val="000A3816"/>
    <w:rsid w:val="000A38B4"/>
    <w:rsid w:val="000A3993"/>
    <w:rsid w:val="000A3FB0"/>
    <w:rsid w:val="000A48AC"/>
    <w:rsid w:val="000A4B7E"/>
    <w:rsid w:val="000A4C44"/>
    <w:rsid w:val="000A4DD2"/>
    <w:rsid w:val="000A520E"/>
    <w:rsid w:val="000A591A"/>
    <w:rsid w:val="000A63EF"/>
    <w:rsid w:val="000A6739"/>
    <w:rsid w:val="000A687C"/>
    <w:rsid w:val="000B0236"/>
    <w:rsid w:val="000B0603"/>
    <w:rsid w:val="000B06C8"/>
    <w:rsid w:val="000B0A5D"/>
    <w:rsid w:val="000B0D5C"/>
    <w:rsid w:val="000B0E79"/>
    <w:rsid w:val="000B1099"/>
    <w:rsid w:val="000B1530"/>
    <w:rsid w:val="000B1C2E"/>
    <w:rsid w:val="000B2C2F"/>
    <w:rsid w:val="000B2C47"/>
    <w:rsid w:val="000B37DF"/>
    <w:rsid w:val="000B380F"/>
    <w:rsid w:val="000B39DA"/>
    <w:rsid w:val="000B42C6"/>
    <w:rsid w:val="000B47CD"/>
    <w:rsid w:val="000B5B68"/>
    <w:rsid w:val="000B5E02"/>
    <w:rsid w:val="000B6320"/>
    <w:rsid w:val="000B6379"/>
    <w:rsid w:val="000B6E41"/>
    <w:rsid w:val="000B7560"/>
    <w:rsid w:val="000C021F"/>
    <w:rsid w:val="000C05A4"/>
    <w:rsid w:val="000C0CB8"/>
    <w:rsid w:val="000C2014"/>
    <w:rsid w:val="000C2276"/>
    <w:rsid w:val="000C43A1"/>
    <w:rsid w:val="000C5594"/>
    <w:rsid w:val="000C5608"/>
    <w:rsid w:val="000C5DA6"/>
    <w:rsid w:val="000C60B6"/>
    <w:rsid w:val="000C6F77"/>
    <w:rsid w:val="000C7795"/>
    <w:rsid w:val="000D01E6"/>
    <w:rsid w:val="000D01F1"/>
    <w:rsid w:val="000D1363"/>
    <w:rsid w:val="000D15C1"/>
    <w:rsid w:val="000D2164"/>
    <w:rsid w:val="000D2E75"/>
    <w:rsid w:val="000D31CE"/>
    <w:rsid w:val="000D3E52"/>
    <w:rsid w:val="000D4174"/>
    <w:rsid w:val="000D4A87"/>
    <w:rsid w:val="000D4F65"/>
    <w:rsid w:val="000D509D"/>
    <w:rsid w:val="000D5890"/>
    <w:rsid w:val="000D5C01"/>
    <w:rsid w:val="000D5EEE"/>
    <w:rsid w:val="000D693B"/>
    <w:rsid w:val="000D6A36"/>
    <w:rsid w:val="000D6E32"/>
    <w:rsid w:val="000D70EF"/>
    <w:rsid w:val="000D7B8C"/>
    <w:rsid w:val="000E0851"/>
    <w:rsid w:val="000E0990"/>
    <w:rsid w:val="000E130A"/>
    <w:rsid w:val="000E1F82"/>
    <w:rsid w:val="000E3E9B"/>
    <w:rsid w:val="000E511F"/>
    <w:rsid w:val="000E59E3"/>
    <w:rsid w:val="000E65D6"/>
    <w:rsid w:val="000E724F"/>
    <w:rsid w:val="000E7A52"/>
    <w:rsid w:val="000F09DC"/>
    <w:rsid w:val="000F0DE4"/>
    <w:rsid w:val="000F3168"/>
    <w:rsid w:val="000F3A61"/>
    <w:rsid w:val="000F42BF"/>
    <w:rsid w:val="000F546A"/>
    <w:rsid w:val="000F5ADD"/>
    <w:rsid w:val="000F6E19"/>
    <w:rsid w:val="000F7A2A"/>
    <w:rsid w:val="001005D1"/>
    <w:rsid w:val="0010233B"/>
    <w:rsid w:val="0010237E"/>
    <w:rsid w:val="00102D26"/>
    <w:rsid w:val="00102D60"/>
    <w:rsid w:val="001031E4"/>
    <w:rsid w:val="001044AD"/>
    <w:rsid w:val="001049F4"/>
    <w:rsid w:val="00104D05"/>
    <w:rsid w:val="00104ECD"/>
    <w:rsid w:val="001051A3"/>
    <w:rsid w:val="00105ED9"/>
    <w:rsid w:val="0010621C"/>
    <w:rsid w:val="001066BF"/>
    <w:rsid w:val="0010729F"/>
    <w:rsid w:val="00107FE2"/>
    <w:rsid w:val="001103F1"/>
    <w:rsid w:val="00110815"/>
    <w:rsid w:val="00111E8B"/>
    <w:rsid w:val="00111EFC"/>
    <w:rsid w:val="00112A52"/>
    <w:rsid w:val="00114576"/>
    <w:rsid w:val="00116A1B"/>
    <w:rsid w:val="001178F7"/>
    <w:rsid w:val="00117AE5"/>
    <w:rsid w:val="0012138E"/>
    <w:rsid w:val="00121ED5"/>
    <w:rsid w:val="001226BE"/>
    <w:rsid w:val="00122908"/>
    <w:rsid w:val="00122C87"/>
    <w:rsid w:val="00123CCD"/>
    <w:rsid w:val="00123DF5"/>
    <w:rsid w:val="00123EFC"/>
    <w:rsid w:val="00124094"/>
    <w:rsid w:val="001251C3"/>
    <w:rsid w:val="001253C1"/>
    <w:rsid w:val="001254BC"/>
    <w:rsid w:val="00125903"/>
    <w:rsid w:val="00125CCB"/>
    <w:rsid w:val="001267B3"/>
    <w:rsid w:val="00126CA2"/>
    <w:rsid w:val="00126F25"/>
    <w:rsid w:val="00127CB7"/>
    <w:rsid w:val="00131669"/>
    <w:rsid w:val="001317A8"/>
    <w:rsid w:val="001317FB"/>
    <w:rsid w:val="00131DE1"/>
    <w:rsid w:val="00132E11"/>
    <w:rsid w:val="00133B42"/>
    <w:rsid w:val="00133EA0"/>
    <w:rsid w:val="00134774"/>
    <w:rsid w:val="00134E05"/>
    <w:rsid w:val="00135107"/>
    <w:rsid w:val="001353B7"/>
    <w:rsid w:val="00136193"/>
    <w:rsid w:val="00136593"/>
    <w:rsid w:val="00136CC1"/>
    <w:rsid w:val="00136E87"/>
    <w:rsid w:val="00137C76"/>
    <w:rsid w:val="001401F4"/>
    <w:rsid w:val="00140274"/>
    <w:rsid w:val="00140B0A"/>
    <w:rsid w:val="00140DEB"/>
    <w:rsid w:val="001418AF"/>
    <w:rsid w:val="001423A9"/>
    <w:rsid w:val="001424BF"/>
    <w:rsid w:val="00142E3D"/>
    <w:rsid w:val="00142F2B"/>
    <w:rsid w:val="00143DBB"/>
    <w:rsid w:val="00143EA5"/>
    <w:rsid w:val="00144024"/>
    <w:rsid w:val="001443A4"/>
    <w:rsid w:val="00145367"/>
    <w:rsid w:val="00147AA2"/>
    <w:rsid w:val="00147D63"/>
    <w:rsid w:val="0015014E"/>
    <w:rsid w:val="00151263"/>
    <w:rsid w:val="00151FE2"/>
    <w:rsid w:val="00151FE7"/>
    <w:rsid w:val="0015239E"/>
    <w:rsid w:val="0015258C"/>
    <w:rsid w:val="00153C24"/>
    <w:rsid w:val="001546EF"/>
    <w:rsid w:val="001557CE"/>
    <w:rsid w:val="00155D45"/>
    <w:rsid w:val="001561AB"/>
    <w:rsid w:val="00160545"/>
    <w:rsid w:val="00160FCC"/>
    <w:rsid w:val="00161207"/>
    <w:rsid w:val="00161296"/>
    <w:rsid w:val="001624F3"/>
    <w:rsid w:val="0016266F"/>
    <w:rsid w:val="00162A8D"/>
    <w:rsid w:val="00162ABF"/>
    <w:rsid w:val="00163963"/>
    <w:rsid w:val="00163EA8"/>
    <w:rsid w:val="00163FCD"/>
    <w:rsid w:val="0016469B"/>
    <w:rsid w:val="00164ED6"/>
    <w:rsid w:val="001655CE"/>
    <w:rsid w:val="00165827"/>
    <w:rsid w:val="00165E3C"/>
    <w:rsid w:val="0016655B"/>
    <w:rsid w:val="001666EF"/>
    <w:rsid w:val="001668D1"/>
    <w:rsid w:val="00167B48"/>
    <w:rsid w:val="00170011"/>
    <w:rsid w:val="001700AB"/>
    <w:rsid w:val="001719D9"/>
    <w:rsid w:val="001719DB"/>
    <w:rsid w:val="001727AE"/>
    <w:rsid w:val="001734B6"/>
    <w:rsid w:val="001737EB"/>
    <w:rsid w:val="00173D4F"/>
    <w:rsid w:val="00173FB5"/>
    <w:rsid w:val="0017445F"/>
    <w:rsid w:val="00174882"/>
    <w:rsid w:val="00174D9A"/>
    <w:rsid w:val="00174FB3"/>
    <w:rsid w:val="00175788"/>
    <w:rsid w:val="001757DE"/>
    <w:rsid w:val="00175C37"/>
    <w:rsid w:val="00177297"/>
    <w:rsid w:val="001779E5"/>
    <w:rsid w:val="00180821"/>
    <w:rsid w:val="00180C58"/>
    <w:rsid w:val="001814BF"/>
    <w:rsid w:val="00181663"/>
    <w:rsid w:val="0018207A"/>
    <w:rsid w:val="001827A7"/>
    <w:rsid w:val="00182934"/>
    <w:rsid w:val="00182CB4"/>
    <w:rsid w:val="00182D40"/>
    <w:rsid w:val="00182E17"/>
    <w:rsid w:val="00183935"/>
    <w:rsid w:val="00183B40"/>
    <w:rsid w:val="00183F77"/>
    <w:rsid w:val="001855FC"/>
    <w:rsid w:val="00186CDD"/>
    <w:rsid w:val="00186F2D"/>
    <w:rsid w:val="00187602"/>
    <w:rsid w:val="00187EAE"/>
    <w:rsid w:val="00190893"/>
    <w:rsid w:val="00190B63"/>
    <w:rsid w:val="0019234A"/>
    <w:rsid w:val="00192D94"/>
    <w:rsid w:val="00192DF9"/>
    <w:rsid w:val="001943B6"/>
    <w:rsid w:val="0019476B"/>
    <w:rsid w:val="00194837"/>
    <w:rsid w:val="00194A8A"/>
    <w:rsid w:val="00194DE4"/>
    <w:rsid w:val="00194FFD"/>
    <w:rsid w:val="00195064"/>
    <w:rsid w:val="00195434"/>
    <w:rsid w:val="0019564F"/>
    <w:rsid w:val="00195EDE"/>
    <w:rsid w:val="00196C32"/>
    <w:rsid w:val="0019730C"/>
    <w:rsid w:val="001979A1"/>
    <w:rsid w:val="001A0270"/>
    <w:rsid w:val="001A02E2"/>
    <w:rsid w:val="001A0332"/>
    <w:rsid w:val="001A0648"/>
    <w:rsid w:val="001A1204"/>
    <w:rsid w:val="001A139E"/>
    <w:rsid w:val="001A2949"/>
    <w:rsid w:val="001A2A26"/>
    <w:rsid w:val="001A2A3A"/>
    <w:rsid w:val="001A3240"/>
    <w:rsid w:val="001A3458"/>
    <w:rsid w:val="001A35F5"/>
    <w:rsid w:val="001A3656"/>
    <w:rsid w:val="001A4255"/>
    <w:rsid w:val="001A45F5"/>
    <w:rsid w:val="001A475E"/>
    <w:rsid w:val="001A4C44"/>
    <w:rsid w:val="001A597C"/>
    <w:rsid w:val="001A5BF5"/>
    <w:rsid w:val="001A711C"/>
    <w:rsid w:val="001A751D"/>
    <w:rsid w:val="001A7EDB"/>
    <w:rsid w:val="001B0353"/>
    <w:rsid w:val="001B03FE"/>
    <w:rsid w:val="001B08B4"/>
    <w:rsid w:val="001B18E1"/>
    <w:rsid w:val="001B1A91"/>
    <w:rsid w:val="001B1AEF"/>
    <w:rsid w:val="001B255E"/>
    <w:rsid w:val="001B28C8"/>
    <w:rsid w:val="001B2B53"/>
    <w:rsid w:val="001B3C9D"/>
    <w:rsid w:val="001B4F53"/>
    <w:rsid w:val="001B519E"/>
    <w:rsid w:val="001B544E"/>
    <w:rsid w:val="001B5F89"/>
    <w:rsid w:val="001B769F"/>
    <w:rsid w:val="001B7BBA"/>
    <w:rsid w:val="001B7BC1"/>
    <w:rsid w:val="001C04BC"/>
    <w:rsid w:val="001C0C11"/>
    <w:rsid w:val="001C13E4"/>
    <w:rsid w:val="001C1865"/>
    <w:rsid w:val="001C1A69"/>
    <w:rsid w:val="001C1F8B"/>
    <w:rsid w:val="001C23FB"/>
    <w:rsid w:val="001C252E"/>
    <w:rsid w:val="001C253C"/>
    <w:rsid w:val="001C25C4"/>
    <w:rsid w:val="001C2D4E"/>
    <w:rsid w:val="001C3111"/>
    <w:rsid w:val="001C3937"/>
    <w:rsid w:val="001C39A4"/>
    <w:rsid w:val="001C3A0D"/>
    <w:rsid w:val="001C4369"/>
    <w:rsid w:val="001C670C"/>
    <w:rsid w:val="001C6CF2"/>
    <w:rsid w:val="001C7A34"/>
    <w:rsid w:val="001C7E59"/>
    <w:rsid w:val="001D0899"/>
    <w:rsid w:val="001D0A90"/>
    <w:rsid w:val="001D22C7"/>
    <w:rsid w:val="001D258C"/>
    <w:rsid w:val="001D2C30"/>
    <w:rsid w:val="001D2F44"/>
    <w:rsid w:val="001D2F5E"/>
    <w:rsid w:val="001D3155"/>
    <w:rsid w:val="001D4434"/>
    <w:rsid w:val="001D4664"/>
    <w:rsid w:val="001D4D2C"/>
    <w:rsid w:val="001D55BC"/>
    <w:rsid w:val="001D5600"/>
    <w:rsid w:val="001D5A3A"/>
    <w:rsid w:val="001D5D5D"/>
    <w:rsid w:val="001D69E9"/>
    <w:rsid w:val="001D71F3"/>
    <w:rsid w:val="001E0328"/>
    <w:rsid w:val="001E0815"/>
    <w:rsid w:val="001E0D06"/>
    <w:rsid w:val="001E1C03"/>
    <w:rsid w:val="001E265C"/>
    <w:rsid w:val="001E3311"/>
    <w:rsid w:val="001E3755"/>
    <w:rsid w:val="001E4641"/>
    <w:rsid w:val="001E4741"/>
    <w:rsid w:val="001E4C7D"/>
    <w:rsid w:val="001E5676"/>
    <w:rsid w:val="001E5718"/>
    <w:rsid w:val="001E586C"/>
    <w:rsid w:val="001E5A09"/>
    <w:rsid w:val="001E7E93"/>
    <w:rsid w:val="001F0928"/>
    <w:rsid w:val="001F25CB"/>
    <w:rsid w:val="001F2AC2"/>
    <w:rsid w:val="001F2BBB"/>
    <w:rsid w:val="001F3AE5"/>
    <w:rsid w:val="001F3C22"/>
    <w:rsid w:val="001F4051"/>
    <w:rsid w:val="001F4FE5"/>
    <w:rsid w:val="001F52FD"/>
    <w:rsid w:val="001F593F"/>
    <w:rsid w:val="001F5B74"/>
    <w:rsid w:val="001F62CC"/>
    <w:rsid w:val="001F6D60"/>
    <w:rsid w:val="00200677"/>
    <w:rsid w:val="002006FB"/>
    <w:rsid w:val="00201255"/>
    <w:rsid w:val="002012F7"/>
    <w:rsid w:val="00201B23"/>
    <w:rsid w:val="0020248C"/>
    <w:rsid w:val="002024D3"/>
    <w:rsid w:val="00202561"/>
    <w:rsid w:val="002027F6"/>
    <w:rsid w:val="002034D7"/>
    <w:rsid w:val="00203582"/>
    <w:rsid w:val="0020393F"/>
    <w:rsid w:val="00203E63"/>
    <w:rsid w:val="00203F38"/>
    <w:rsid w:val="00204007"/>
    <w:rsid w:val="00204ADD"/>
    <w:rsid w:val="002057A9"/>
    <w:rsid w:val="002059D7"/>
    <w:rsid w:val="00205A78"/>
    <w:rsid w:val="00205E36"/>
    <w:rsid w:val="002068EB"/>
    <w:rsid w:val="00206BC7"/>
    <w:rsid w:val="0020718F"/>
    <w:rsid w:val="00207BDA"/>
    <w:rsid w:val="00207D7B"/>
    <w:rsid w:val="0021114E"/>
    <w:rsid w:val="00211E16"/>
    <w:rsid w:val="00211E46"/>
    <w:rsid w:val="0021290D"/>
    <w:rsid w:val="00212CD4"/>
    <w:rsid w:val="00213457"/>
    <w:rsid w:val="00213AFB"/>
    <w:rsid w:val="002140F7"/>
    <w:rsid w:val="00216908"/>
    <w:rsid w:val="002172B3"/>
    <w:rsid w:val="00217A7A"/>
    <w:rsid w:val="00220924"/>
    <w:rsid w:val="00220E7E"/>
    <w:rsid w:val="00221CEF"/>
    <w:rsid w:val="00221F19"/>
    <w:rsid w:val="002222AF"/>
    <w:rsid w:val="00222544"/>
    <w:rsid w:val="0022262B"/>
    <w:rsid w:val="0022274D"/>
    <w:rsid w:val="00222B01"/>
    <w:rsid w:val="00222C63"/>
    <w:rsid w:val="00223CAB"/>
    <w:rsid w:val="00225043"/>
    <w:rsid w:val="0022524F"/>
    <w:rsid w:val="00225C67"/>
    <w:rsid w:val="0022716E"/>
    <w:rsid w:val="00227993"/>
    <w:rsid w:val="002305A6"/>
    <w:rsid w:val="00230FC0"/>
    <w:rsid w:val="002311A3"/>
    <w:rsid w:val="00231ED1"/>
    <w:rsid w:val="00232753"/>
    <w:rsid w:val="002333DC"/>
    <w:rsid w:val="00234AF1"/>
    <w:rsid w:val="00235016"/>
    <w:rsid w:val="0023544B"/>
    <w:rsid w:val="00236888"/>
    <w:rsid w:val="00236BE5"/>
    <w:rsid w:val="0023725A"/>
    <w:rsid w:val="00237563"/>
    <w:rsid w:val="00240403"/>
    <w:rsid w:val="00240A54"/>
    <w:rsid w:val="00241523"/>
    <w:rsid w:val="00242624"/>
    <w:rsid w:val="00244D7A"/>
    <w:rsid w:val="0024522F"/>
    <w:rsid w:val="0024557E"/>
    <w:rsid w:val="002463FE"/>
    <w:rsid w:val="002464C8"/>
    <w:rsid w:val="002471FD"/>
    <w:rsid w:val="00247961"/>
    <w:rsid w:val="0025038A"/>
    <w:rsid w:val="0025112C"/>
    <w:rsid w:val="0025157E"/>
    <w:rsid w:val="00252315"/>
    <w:rsid w:val="002523FB"/>
    <w:rsid w:val="00252837"/>
    <w:rsid w:val="00252F2C"/>
    <w:rsid w:val="0025400F"/>
    <w:rsid w:val="0025478F"/>
    <w:rsid w:val="00254EFE"/>
    <w:rsid w:val="002552EF"/>
    <w:rsid w:val="0025584B"/>
    <w:rsid w:val="002561A3"/>
    <w:rsid w:val="002570E9"/>
    <w:rsid w:val="00257CAC"/>
    <w:rsid w:val="00260B52"/>
    <w:rsid w:val="00260C32"/>
    <w:rsid w:val="00260CA3"/>
    <w:rsid w:val="002632CC"/>
    <w:rsid w:val="002632EA"/>
    <w:rsid w:val="0026349C"/>
    <w:rsid w:val="00263A2D"/>
    <w:rsid w:val="0026407E"/>
    <w:rsid w:val="0026449F"/>
    <w:rsid w:val="002648FF"/>
    <w:rsid w:val="00264B5D"/>
    <w:rsid w:val="00264C85"/>
    <w:rsid w:val="002655ED"/>
    <w:rsid w:val="002658D4"/>
    <w:rsid w:val="00265F3F"/>
    <w:rsid w:val="00266472"/>
    <w:rsid w:val="00266C48"/>
    <w:rsid w:val="00270D36"/>
    <w:rsid w:val="00271BBE"/>
    <w:rsid w:val="00273730"/>
    <w:rsid w:val="002738FD"/>
    <w:rsid w:val="002761CF"/>
    <w:rsid w:val="00276DB4"/>
    <w:rsid w:val="00280C94"/>
    <w:rsid w:val="002814D3"/>
    <w:rsid w:val="00282219"/>
    <w:rsid w:val="002827AE"/>
    <w:rsid w:val="00284542"/>
    <w:rsid w:val="0028506A"/>
    <w:rsid w:val="002850B0"/>
    <w:rsid w:val="00285188"/>
    <w:rsid w:val="002852C4"/>
    <w:rsid w:val="00285494"/>
    <w:rsid w:val="00285808"/>
    <w:rsid w:val="00285D9E"/>
    <w:rsid w:val="00285E2A"/>
    <w:rsid w:val="00285E46"/>
    <w:rsid w:val="002863A8"/>
    <w:rsid w:val="002863D7"/>
    <w:rsid w:val="002873B4"/>
    <w:rsid w:val="002909B9"/>
    <w:rsid w:val="00290F3D"/>
    <w:rsid w:val="00290FCD"/>
    <w:rsid w:val="00291D24"/>
    <w:rsid w:val="00291D4B"/>
    <w:rsid w:val="00292112"/>
    <w:rsid w:val="00292237"/>
    <w:rsid w:val="00292342"/>
    <w:rsid w:val="00292AB5"/>
    <w:rsid w:val="00292E23"/>
    <w:rsid w:val="0029321B"/>
    <w:rsid w:val="0029322D"/>
    <w:rsid w:val="00293CAE"/>
    <w:rsid w:val="00294DEE"/>
    <w:rsid w:val="0029533C"/>
    <w:rsid w:val="0029574B"/>
    <w:rsid w:val="00295C25"/>
    <w:rsid w:val="00295CF5"/>
    <w:rsid w:val="0029651F"/>
    <w:rsid w:val="00296F9F"/>
    <w:rsid w:val="002A0AC2"/>
    <w:rsid w:val="002A1461"/>
    <w:rsid w:val="002A1641"/>
    <w:rsid w:val="002A17B5"/>
    <w:rsid w:val="002A2284"/>
    <w:rsid w:val="002A30D9"/>
    <w:rsid w:val="002A36E0"/>
    <w:rsid w:val="002A389F"/>
    <w:rsid w:val="002A3B12"/>
    <w:rsid w:val="002A3C66"/>
    <w:rsid w:val="002A3D7E"/>
    <w:rsid w:val="002A4244"/>
    <w:rsid w:val="002A43C2"/>
    <w:rsid w:val="002A4BCC"/>
    <w:rsid w:val="002A4D82"/>
    <w:rsid w:val="002A5286"/>
    <w:rsid w:val="002A575F"/>
    <w:rsid w:val="002A683B"/>
    <w:rsid w:val="002A694D"/>
    <w:rsid w:val="002A6E99"/>
    <w:rsid w:val="002A75C6"/>
    <w:rsid w:val="002B00F7"/>
    <w:rsid w:val="002B070C"/>
    <w:rsid w:val="002B0CA0"/>
    <w:rsid w:val="002B0CF3"/>
    <w:rsid w:val="002B0FB1"/>
    <w:rsid w:val="002B1B65"/>
    <w:rsid w:val="002B4B8C"/>
    <w:rsid w:val="002B4C33"/>
    <w:rsid w:val="002C02DB"/>
    <w:rsid w:val="002C0CE7"/>
    <w:rsid w:val="002C1866"/>
    <w:rsid w:val="002C1E39"/>
    <w:rsid w:val="002C3B14"/>
    <w:rsid w:val="002C3B56"/>
    <w:rsid w:val="002C3F49"/>
    <w:rsid w:val="002C4CE3"/>
    <w:rsid w:val="002C4E89"/>
    <w:rsid w:val="002C5361"/>
    <w:rsid w:val="002C657F"/>
    <w:rsid w:val="002C65FB"/>
    <w:rsid w:val="002C67D4"/>
    <w:rsid w:val="002D02E4"/>
    <w:rsid w:val="002D03ED"/>
    <w:rsid w:val="002D04DB"/>
    <w:rsid w:val="002D0A5A"/>
    <w:rsid w:val="002D0BE2"/>
    <w:rsid w:val="002D10EA"/>
    <w:rsid w:val="002D1149"/>
    <w:rsid w:val="002D1255"/>
    <w:rsid w:val="002D1D34"/>
    <w:rsid w:val="002D1FFB"/>
    <w:rsid w:val="002D25D6"/>
    <w:rsid w:val="002D42B5"/>
    <w:rsid w:val="002D4939"/>
    <w:rsid w:val="002D5646"/>
    <w:rsid w:val="002D5799"/>
    <w:rsid w:val="002D5847"/>
    <w:rsid w:val="002D5B1D"/>
    <w:rsid w:val="002D5BE3"/>
    <w:rsid w:val="002D5D4B"/>
    <w:rsid w:val="002D5D5B"/>
    <w:rsid w:val="002D6219"/>
    <w:rsid w:val="002D65F6"/>
    <w:rsid w:val="002D6DFA"/>
    <w:rsid w:val="002D73E4"/>
    <w:rsid w:val="002D7561"/>
    <w:rsid w:val="002E03AF"/>
    <w:rsid w:val="002E0518"/>
    <w:rsid w:val="002E0A76"/>
    <w:rsid w:val="002E2451"/>
    <w:rsid w:val="002E2AB0"/>
    <w:rsid w:val="002E358C"/>
    <w:rsid w:val="002E3CE9"/>
    <w:rsid w:val="002E3EA2"/>
    <w:rsid w:val="002E534B"/>
    <w:rsid w:val="002E5A1B"/>
    <w:rsid w:val="002E6074"/>
    <w:rsid w:val="002E62B2"/>
    <w:rsid w:val="002E6863"/>
    <w:rsid w:val="002E700B"/>
    <w:rsid w:val="002E7A7A"/>
    <w:rsid w:val="002E7C4E"/>
    <w:rsid w:val="002F144B"/>
    <w:rsid w:val="002F322F"/>
    <w:rsid w:val="002F4CE1"/>
    <w:rsid w:val="002F534B"/>
    <w:rsid w:val="002F5856"/>
    <w:rsid w:val="002F589B"/>
    <w:rsid w:val="002F5E96"/>
    <w:rsid w:val="002F6B29"/>
    <w:rsid w:val="002F6B4C"/>
    <w:rsid w:val="002F6F17"/>
    <w:rsid w:val="0030053D"/>
    <w:rsid w:val="00300F22"/>
    <w:rsid w:val="003020C0"/>
    <w:rsid w:val="00303103"/>
    <w:rsid w:val="003037DD"/>
    <w:rsid w:val="00304738"/>
    <w:rsid w:val="00304A37"/>
    <w:rsid w:val="00304D00"/>
    <w:rsid w:val="00305337"/>
    <w:rsid w:val="003054D9"/>
    <w:rsid w:val="00305592"/>
    <w:rsid w:val="00306005"/>
    <w:rsid w:val="00307910"/>
    <w:rsid w:val="003103B5"/>
    <w:rsid w:val="0031040E"/>
    <w:rsid w:val="00310956"/>
    <w:rsid w:val="00310ED4"/>
    <w:rsid w:val="003111BE"/>
    <w:rsid w:val="003118E6"/>
    <w:rsid w:val="0031222E"/>
    <w:rsid w:val="00312301"/>
    <w:rsid w:val="00313278"/>
    <w:rsid w:val="003138B0"/>
    <w:rsid w:val="00313E3C"/>
    <w:rsid w:val="0031477C"/>
    <w:rsid w:val="0031492A"/>
    <w:rsid w:val="00315F38"/>
    <w:rsid w:val="003161FF"/>
    <w:rsid w:val="0031651C"/>
    <w:rsid w:val="00316C1A"/>
    <w:rsid w:val="00316F6D"/>
    <w:rsid w:val="00316FC3"/>
    <w:rsid w:val="00317389"/>
    <w:rsid w:val="00317404"/>
    <w:rsid w:val="003175F1"/>
    <w:rsid w:val="00317D0C"/>
    <w:rsid w:val="00317D92"/>
    <w:rsid w:val="003202BA"/>
    <w:rsid w:val="003214EA"/>
    <w:rsid w:val="003218C9"/>
    <w:rsid w:val="00321C47"/>
    <w:rsid w:val="00321F31"/>
    <w:rsid w:val="00322E16"/>
    <w:rsid w:val="00323607"/>
    <w:rsid w:val="00323C73"/>
    <w:rsid w:val="003248FD"/>
    <w:rsid w:val="00325A60"/>
    <w:rsid w:val="00325C60"/>
    <w:rsid w:val="00326BDB"/>
    <w:rsid w:val="003270D6"/>
    <w:rsid w:val="0032714E"/>
    <w:rsid w:val="0032742B"/>
    <w:rsid w:val="0032759D"/>
    <w:rsid w:val="00331141"/>
    <w:rsid w:val="0033125C"/>
    <w:rsid w:val="00332330"/>
    <w:rsid w:val="003325D3"/>
    <w:rsid w:val="0033273E"/>
    <w:rsid w:val="003328A1"/>
    <w:rsid w:val="00332982"/>
    <w:rsid w:val="003334F7"/>
    <w:rsid w:val="003338BA"/>
    <w:rsid w:val="003355F3"/>
    <w:rsid w:val="00335619"/>
    <w:rsid w:val="00336811"/>
    <w:rsid w:val="00336F15"/>
    <w:rsid w:val="00340F4A"/>
    <w:rsid w:val="0034121D"/>
    <w:rsid w:val="0034231C"/>
    <w:rsid w:val="003423F4"/>
    <w:rsid w:val="00342A21"/>
    <w:rsid w:val="00343E11"/>
    <w:rsid w:val="00343FCA"/>
    <w:rsid w:val="00344758"/>
    <w:rsid w:val="00345B3F"/>
    <w:rsid w:val="00345B87"/>
    <w:rsid w:val="003467C6"/>
    <w:rsid w:val="00347142"/>
    <w:rsid w:val="0034759E"/>
    <w:rsid w:val="00347CEE"/>
    <w:rsid w:val="00347E07"/>
    <w:rsid w:val="00350237"/>
    <w:rsid w:val="0035037D"/>
    <w:rsid w:val="00350B0D"/>
    <w:rsid w:val="00350B87"/>
    <w:rsid w:val="00350D1B"/>
    <w:rsid w:val="003517C4"/>
    <w:rsid w:val="00351986"/>
    <w:rsid w:val="00351C49"/>
    <w:rsid w:val="003530D2"/>
    <w:rsid w:val="00353A9B"/>
    <w:rsid w:val="00353C5F"/>
    <w:rsid w:val="00353FD0"/>
    <w:rsid w:val="00354253"/>
    <w:rsid w:val="00355406"/>
    <w:rsid w:val="00355823"/>
    <w:rsid w:val="00355A4E"/>
    <w:rsid w:val="00355A58"/>
    <w:rsid w:val="003565A8"/>
    <w:rsid w:val="003566C6"/>
    <w:rsid w:val="003566EA"/>
    <w:rsid w:val="00356B03"/>
    <w:rsid w:val="0035712C"/>
    <w:rsid w:val="00357BD1"/>
    <w:rsid w:val="003608EA"/>
    <w:rsid w:val="00360E25"/>
    <w:rsid w:val="00360E9B"/>
    <w:rsid w:val="00361C17"/>
    <w:rsid w:val="00361C1E"/>
    <w:rsid w:val="00361C93"/>
    <w:rsid w:val="00363885"/>
    <w:rsid w:val="00363C3B"/>
    <w:rsid w:val="00363DFB"/>
    <w:rsid w:val="0036406F"/>
    <w:rsid w:val="003647E5"/>
    <w:rsid w:val="003649A4"/>
    <w:rsid w:val="003659DB"/>
    <w:rsid w:val="00365AB4"/>
    <w:rsid w:val="00365C32"/>
    <w:rsid w:val="00365E6A"/>
    <w:rsid w:val="003661B2"/>
    <w:rsid w:val="00366BE5"/>
    <w:rsid w:val="00366F95"/>
    <w:rsid w:val="003674AB"/>
    <w:rsid w:val="00367705"/>
    <w:rsid w:val="00370402"/>
    <w:rsid w:val="00371294"/>
    <w:rsid w:val="0037139E"/>
    <w:rsid w:val="003715B9"/>
    <w:rsid w:val="00371B4B"/>
    <w:rsid w:val="0037227B"/>
    <w:rsid w:val="00372867"/>
    <w:rsid w:val="00372C79"/>
    <w:rsid w:val="00372D72"/>
    <w:rsid w:val="00375425"/>
    <w:rsid w:val="003760DA"/>
    <w:rsid w:val="00376B19"/>
    <w:rsid w:val="00377CBA"/>
    <w:rsid w:val="00380325"/>
    <w:rsid w:val="00380580"/>
    <w:rsid w:val="0038189A"/>
    <w:rsid w:val="00382231"/>
    <w:rsid w:val="0038253F"/>
    <w:rsid w:val="00382842"/>
    <w:rsid w:val="00382B4D"/>
    <w:rsid w:val="00382B4F"/>
    <w:rsid w:val="00383F44"/>
    <w:rsid w:val="00383F6D"/>
    <w:rsid w:val="003840F7"/>
    <w:rsid w:val="003850C0"/>
    <w:rsid w:val="00385724"/>
    <w:rsid w:val="00386887"/>
    <w:rsid w:val="003868B9"/>
    <w:rsid w:val="00387734"/>
    <w:rsid w:val="00387A4B"/>
    <w:rsid w:val="00390259"/>
    <w:rsid w:val="00390825"/>
    <w:rsid w:val="0039163D"/>
    <w:rsid w:val="0039170B"/>
    <w:rsid w:val="0039238C"/>
    <w:rsid w:val="003928D3"/>
    <w:rsid w:val="0039315C"/>
    <w:rsid w:val="0039337F"/>
    <w:rsid w:val="00393E01"/>
    <w:rsid w:val="00395235"/>
    <w:rsid w:val="0039537D"/>
    <w:rsid w:val="0039569A"/>
    <w:rsid w:val="003965CE"/>
    <w:rsid w:val="003969B9"/>
    <w:rsid w:val="00396CA5"/>
    <w:rsid w:val="003A082C"/>
    <w:rsid w:val="003A0A7F"/>
    <w:rsid w:val="003A0B6C"/>
    <w:rsid w:val="003A168E"/>
    <w:rsid w:val="003A1D45"/>
    <w:rsid w:val="003A274C"/>
    <w:rsid w:val="003A444A"/>
    <w:rsid w:val="003A4763"/>
    <w:rsid w:val="003A48B7"/>
    <w:rsid w:val="003A5594"/>
    <w:rsid w:val="003A5C1D"/>
    <w:rsid w:val="003A5ED0"/>
    <w:rsid w:val="003A6089"/>
    <w:rsid w:val="003A60A9"/>
    <w:rsid w:val="003B082D"/>
    <w:rsid w:val="003B0E8B"/>
    <w:rsid w:val="003B163D"/>
    <w:rsid w:val="003B1FDB"/>
    <w:rsid w:val="003B2CB1"/>
    <w:rsid w:val="003B38E9"/>
    <w:rsid w:val="003B3A59"/>
    <w:rsid w:val="003B4514"/>
    <w:rsid w:val="003B54B2"/>
    <w:rsid w:val="003B577F"/>
    <w:rsid w:val="003B5EE5"/>
    <w:rsid w:val="003B7798"/>
    <w:rsid w:val="003B781E"/>
    <w:rsid w:val="003B7BB0"/>
    <w:rsid w:val="003C00C3"/>
    <w:rsid w:val="003C1650"/>
    <w:rsid w:val="003C1A02"/>
    <w:rsid w:val="003C1FDD"/>
    <w:rsid w:val="003C21EB"/>
    <w:rsid w:val="003C2A12"/>
    <w:rsid w:val="003C32FE"/>
    <w:rsid w:val="003C3415"/>
    <w:rsid w:val="003C38AD"/>
    <w:rsid w:val="003C3AB8"/>
    <w:rsid w:val="003C3B1B"/>
    <w:rsid w:val="003C40E9"/>
    <w:rsid w:val="003C42E1"/>
    <w:rsid w:val="003C4FC6"/>
    <w:rsid w:val="003C5081"/>
    <w:rsid w:val="003C51D2"/>
    <w:rsid w:val="003C6002"/>
    <w:rsid w:val="003C778F"/>
    <w:rsid w:val="003D0526"/>
    <w:rsid w:val="003D0FE2"/>
    <w:rsid w:val="003D1729"/>
    <w:rsid w:val="003D1A71"/>
    <w:rsid w:val="003D1E49"/>
    <w:rsid w:val="003D1F7C"/>
    <w:rsid w:val="003D2224"/>
    <w:rsid w:val="003D25FB"/>
    <w:rsid w:val="003D3B63"/>
    <w:rsid w:val="003D3C5E"/>
    <w:rsid w:val="003D41A7"/>
    <w:rsid w:val="003D5A1B"/>
    <w:rsid w:val="003D6110"/>
    <w:rsid w:val="003D61B8"/>
    <w:rsid w:val="003D69E8"/>
    <w:rsid w:val="003D6F31"/>
    <w:rsid w:val="003D751C"/>
    <w:rsid w:val="003D7F07"/>
    <w:rsid w:val="003D7F7B"/>
    <w:rsid w:val="003E0599"/>
    <w:rsid w:val="003E0720"/>
    <w:rsid w:val="003E1A7C"/>
    <w:rsid w:val="003E1BA4"/>
    <w:rsid w:val="003E2200"/>
    <w:rsid w:val="003E25EE"/>
    <w:rsid w:val="003E2A13"/>
    <w:rsid w:val="003E2C00"/>
    <w:rsid w:val="003E2CB6"/>
    <w:rsid w:val="003E3454"/>
    <w:rsid w:val="003E374E"/>
    <w:rsid w:val="003E3BA8"/>
    <w:rsid w:val="003E3F9B"/>
    <w:rsid w:val="003E4071"/>
    <w:rsid w:val="003E408D"/>
    <w:rsid w:val="003E4A6E"/>
    <w:rsid w:val="003E54A3"/>
    <w:rsid w:val="003E5DEF"/>
    <w:rsid w:val="003E63F3"/>
    <w:rsid w:val="003E653C"/>
    <w:rsid w:val="003E6B0A"/>
    <w:rsid w:val="003E7E5B"/>
    <w:rsid w:val="003F121D"/>
    <w:rsid w:val="003F1795"/>
    <w:rsid w:val="003F242F"/>
    <w:rsid w:val="003F29A8"/>
    <w:rsid w:val="003F2A98"/>
    <w:rsid w:val="003F3819"/>
    <w:rsid w:val="003F4F90"/>
    <w:rsid w:val="003F5379"/>
    <w:rsid w:val="003F6766"/>
    <w:rsid w:val="003F68CE"/>
    <w:rsid w:val="003F7761"/>
    <w:rsid w:val="003F7D49"/>
    <w:rsid w:val="004006FD"/>
    <w:rsid w:val="00400946"/>
    <w:rsid w:val="00401CF1"/>
    <w:rsid w:val="0040217F"/>
    <w:rsid w:val="00402285"/>
    <w:rsid w:val="004022DE"/>
    <w:rsid w:val="004039A8"/>
    <w:rsid w:val="004047F3"/>
    <w:rsid w:val="0040497E"/>
    <w:rsid w:val="00404AF8"/>
    <w:rsid w:val="00404F4F"/>
    <w:rsid w:val="00406A0F"/>
    <w:rsid w:val="004071EC"/>
    <w:rsid w:val="004078B5"/>
    <w:rsid w:val="004106DA"/>
    <w:rsid w:val="0041073C"/>
    <w:rsid w:val="00411730"/>
    <w:rsid w:val="00411AA6"/>
    <w:rsid w:val="0041260C"/>
    <w:rsid w:val="0041363B"/>
    <w:rsid w:val="004139A2"/>
    <w:rsid w:val="00413D0C"/>
    <w:rsid w:val="00414481"/>
    <w:rsid w:val="004145FB"/>
    <w:rsid w:val="00414839"/>
    <w:rsid w:val="00414FCF"/>
    <w:rsid w:val="00415573"/>
    <w:rsid w:val="004158B9"/>
    <w:rsid w:val="00415EF9"/>
    <w:rsid w:val="00416BA5"/>
    <w:rsid w:val="00417159"/>
    <w:rsid w:val="00420111"/>
    <w:rsid w:val="004201A8"/>
    <w:rsid w:val="00420511"/>
    <w:rsid w:val="004205CF"/>
    <w:rsid w:val="00420C47"/>
    <w:rsid w:val="00420E37"/>
    <w:rsid w:val="00421DFB"/>
    <w:rsid w:val="004220AA"/>
    <w:rsid w:val="00422417"/>
    <w:rsid w:val="00422C58"/>
    <w:rsid w:val="00422CF7"/>
    <w:rsid w:val="0042351C"/>
    <w:rsid w:val="004237E9"/>
    <w:rsid w:val="00424233"/>
    <w:rsid w:val="004243FC"/>
    <w:rsid w:val="00425059"/>
    <w:rsid w:val="0042535A"/>
    <w:rsid w:val="00425B32"/>
    <w:rsid w:val="00426DB7"/>
    <w:rsid w:val="00426E52"/>
    <w:rsid w:val="00430FB6"/>
    <w:rsid w:val="00431A36"/>
    <w:rsid w:val="00431C3E"/>
    <w:rsid w:val="004329A6"/>
    <w:rsid w:val="00432DEE"/>
    <w:rsid w:val="004330A8"/>
    <w:rsid w:val="0043345A"/>
    <w:rsid w:val="00433559"/>
    <w:rsid w:val="0043382C"/>
    <w:rsid w:val="00434176"/>
    <w:rsid w:val="00434F36"/>
    <w:rsid w:val="00435379"/>
    <w:rsid w:val="004356DF"/>
    <w:rsid w:val="00436091"/>
    <w:rsid w:val="00437030"/>
    <w:rsid w:val="00437244"/>
    <w:rsid w:val="00437322"/>
    <w:rsid w:val="00437BDF"/>
    <w:rsid w:val="00440732"/>
    <w:rsid w:val="00440A43"/>
    <w:rsid w:val="00440E8A"/>
    <w:rsid w:val="004412BE"/>
    <w:rsid w:val="00442059"/>
    <w:rsid w:val="00442829"/>
    <w:rsid w:val="00442D99"/>
    <w:rsid w:val="004433F1"/>
    <w:rsid w:val="00443A5B"/>
    <w:rsid w:val="00443EF4"/>
    <w:rsid w:val="004441C1"/>
    <w:rsid w:val="00444279"/>
    <w:rsid w:val="00444E82"/>
    <w:rsid w:val="00445C69"/>
    <w:rsid w:val="00445CB4"/>
    <w:rsid w:val="00445CB5"/>
    <w:rsid w:val="004474FB"/>
    <w:rsid w:val="0044772F"/>
    <w:rsid w:val="004478E7"/>
    <w:rsid w:val="00447D72"/>
    <w:rsid w:val="00450AC3"/>
    <w:rsid w:val="00450CAE"/>
    <w:rsid w:val="0045102C"/>
    <w:rsid w:val="00451FD1"/>
    <w:rsid w:val="0045328C"/>
    <w:rsid w:val="0045433A"/>
    <w:rsid w:val="004556F0"/>
    <w:rsid w:val="004557A4"/>
    <w:rsid w:val="004557C2"/>
    <w:rsid w:val="00456067"/>
    <w:rsid w:val="00456640"/>
    <w:rsid w:val="0045773C"/>
    <w:rsid w:val="00457883"/>
    <w:rsid w:val="004600C5"/>
    <w:rsid w:val="004606CB"/>
    <w:rsid w:val="004607CE"/>
    <w:rsid w:val="00460898"/>
    <w:rsid w:val="00460907"/>
    <w:rsid w:val="00460EE0"/>
    <w:rsid w:val="0046152F"/>
    <w:rsid w:val="004618EA"/>
    <w:rsid w:val="00462EDA"/>
    <w:rsid w:val="00463784"/>
    <w:rsid w:val="004640AA"/>
    <w:rsid w:val="004645FA"/>
    <w:rsid w:val="0046491E"/>
    <w:rsid w:val="00465405"/>
    <w:rsid w:val="004665B2"/>
    <w:rsid w:val="00466895"/>
    <w:rsid w:val="00466E1F"/>
    <w:rsid w:val="004671A9"/>
    <w:rsid w:val="0047024A"/>
    <w:rsid w:val="00471057"/>
    <w:rsid w:val="004712FB"/>
    <w:rsid w:val="00471BB7"/>
    <w:rsid w:val="004722AF"/>
    <w:rsid w:val="0047242F"/>
    <w:rsid w:val="004726AE"/>
    <w:rsid w:val="00472EFF"/>
    <w:rsid w:val="00473A17"/>
    <w:rsid w:val="00473E28"/>
    <w:rsid w:val="00474063"/>
    <w:rsid w:val="00474258"/>
    <w:rsid w:val="004746B1"/>
    <w:rsid w:val="00475BF0"/>
    <w:rsid w:val="00475DBF"/>
    <w:rsid w:val="00476793"/>
    <w:rsid w:val="0048016F"/>
    <w:rsid w:val="004808C4"/>
    <w:rsid w:val="00481026"/>
    <w:rsid w:val="004814B6"/>
    <w:rsid w:val="00481B2A"/>
    <w:rsid w:val="00482091"/>
    <w:rsid w:val="00483716"/>
    <w:rsid w:val="00484120"/>
    <w:rsid w:val="00484920"/>
    <w:rsid w:val="00484F87"/>
    <w:rsid w:val="0048656A"/>
    <w:rsid w:val="00486B61"/>
    <w:rsid w:val="00487B04"/>
    <w:rsid w:val="004909D9"/>
    <w:rsid w:val="00490BC6"/>
    <w:rsid w:val="00491A21"/>
    <w:rsid w:val="004933B5"/>
    <w:rsid w:val="004938BC"/>
    <w:rsid w:val="0049449B"/>
    <w:rsid w:val="0049600F"/>
    <w:rsid w:val="0049628B"/>
    <w:rsid w:val="00496AA1"/>
    <w:rsid w:val="00496E5E"/>
    <w:rsid w:val="004970F5"/>
    <w:rsid w:val="0049761A"/>
    <w:rsid w:val="00497756"/>
    <w:rsid w:val="004A054E"/>
    <w:rsid w:val="004A06E2"/>
    <w:rsid w:val="004A078A"/>
    <w:rsid w:val="004A187B"/>
    <w:rsid w:val="004A2ABD"/>
    <w:rsid w:val="004A2D3C"/>
    <w:rsid w:val="004A2F35"/>
    <w:rsid w:val="004A391F"/>
    <w:rsid w:val="004A51F4"/>
    <w:rsid w:val="004A5750"/>
    <w:rsid w:val="004A6514"/>
    <w:rsid w:val="004A6ACC"/>
    <w:rsid w:val="004A7719"/>
    <w:rsid w:val="004A77DB"/>
    <w:rsid w:val="004A7C0B"/>
    <w:rsid w:val="004A7EC2"/>
    <w:rsid w:val="004B1341"/>
    <w:rsid w:val="004B2125"/>
    <w:rsid w:val="004B2685"/>
    <w:rsid w:val="004B2991"/>
    <w:rsid w:val="004B2A18"/>
    <w:rsid w:val="004B2EBC"/>
    <w:rsid w:val="004B2FC6"/>
    <w:rsid w:val="004B368C"/>
    <w:rsid w:val="004B4B7C"/>
    <w:rsid w:val="004B4E62"/>
    <w:rsid w:val="004B4E9E"/>
    <w:rsid w:val="004B5DB1"/>
    <w:rsid w:val="004B733E"/>
    <w:rsid w:val="004B765E"/>
    <w:rsid w:val="004C004B"/>
    <w:rsid w:val="004C0B6A"/>
    <w:rsid w:val="004C0D2B"/>
    <w:rsid w:val="004C1756"/>
    <w:rsid w:val="004C1FC4"/>
    <w:rsid w:val="004C2180"/>
    <w:rsid w:val="004C25E1"/>
    <w:rsid w:val="004C2ADB"/>
    <w:rsid w:val="004C2B26"/>
    <w:rsid w:val="004C3ECC"/>
    <w:rsid w:val="004C4419"/>
    <w:rsid w:val="004C4910"/>
    <w:rsid w:val="004C5396"/>
    <w:rsid w:val="004C62CD"/>
    <w:rsid w:val="004C634A"/>
    <w:rsid w:val="004C6D89"/>
    <w:rsid w:val="004C7412"/>
    <w:rsid w:val="004C762E"/>
    <w:rsid w:val="004C765C"/>
    <w:rsid w:val="004C77BC"/>
    <w:rsid w:val="004C7C62"/>
    <w:rsid w:val="004C7DF6"/>
    <w:rsid w:val="004D04BF"/>
    <w:rsid w:val="004D090D"/>
    <w:rsid w:val="004D0AF3"/>
    <w:rsid w:val="004D0B5A"/>
    <w:rsid w:val="004D0F89"/>
    <w:rsid w:val="004D14AD"/>
    <w:rsid w:val="004D157D"/>
    <w:rsid w:val="004D1B1B"/>
    <w:rsid w:val="004D2567"/>
    <w:rsid w:val="004D3FA3"/>
    <w:rsid w:val="004D4770"/>
    <w:rsid w:val="004D4910"/>
    <w:rsid w:val="004D53BE"/>
    <w:rsid w:val="004D5B4A"/>
    <w:rsid w:val="004D5D10"/>
    <w:rsid w:val="004D5D71"/>
    <w:rsid w:val="004D60B8"/>
    <w:rsid w:val="004D64F7"/>
    <w:rsid w:val="004D6962"/>
    <w:rsid w:val="004D7C4E"/>
    <w:rsid w:val="004D7EA8"/>
    <w:rsid w:val="004D7FEE"/>
    <w:rsid w:val="004E0DFF"/>
    <w:rsid w:val="004E0E3C"/>
    <w:rsid w:val="004E1619"/>
    <w:rsid w:val="004E17FA"/>
    <w:rsid w:val="004E2814"/>
    <w:rsid w:val="004E2AD2"/>
    <w:rsid w:val="004E2D5C"/>
    <w:rsid w:val="004E4CE6"/>
    <w:rsid w:val="004E5899"/>
    <w:rsid w:val="004E6298"/>
    <w:rsid w:val="004E652C"/>
    <w:rsid w:val="004E6740"/>
    <w:rsid w:val="004E6F71"/>
    <w:rsid w:val="004E789D"/>
    <w:rsid w:val="004E78BD"/>
    <w:rsid w:val="004E79C3"/>
    <w:rsid w:val="004F0094"/>
    <w:rsid w:val="004F0202"/>
    <w:rsid w:val="004F1C7C"/>
    <w:rsid w:val="004F2EB4"/>
    <w:rsid w:val="004F418A"/>
    <w:rsid w:val="004F4835"/>
    <w:rsid w:val="004F494C"/>
    <w:rsid w:val="004F49F3"/>
    <w:rsid w:val="004F4CC1"/>
    <w:rsid w:val="004F4DD3"/>
    <w:rsid w:val="004F4E56"/>
    <w:rsid w:val="004F684E"/>
    <w:rsid w:val="004F68C0"/>
    <w:rsid w:val="004F7670"/>
    <w:rsid w:val="004F7881"/>
    <w:rsid w:val="00500DBA"/>
    <w:rsid w:val="0050123B"/>
    <w:rsid w:val="005012F2"/>
    <w:rsid w:val="00501889"/>
    <w:rsid w:val="005018E0"/>
    <w:rsid w:val="00501C9E"/>
    <w:rsid w:val="00501E9E"/>
    <w:rsid w:val="00502EF3"/>
    <w:rsid w:val="005035B3"/>
    <w:rsid w:val="00503AF2"/>
    <w:rsid w:val="00504041"/>
    <w:rsid w:val="00505E65"/>
    <w:rsid w:val="00506351"/>
    <w:rsid w:val="00506D34"/>
    <w:rsid w:val="00506F69"/>
    <w:rsid w:val="00507738"/>
    <w:rsid w:val="005078A0"/>
    <w:rsid w:val="00510157"/>
    <w:rsid w:val="00510390"/>
    <w:rsid w:val="00511A12"/>
    <w:rsid w:val="00511BFD"/>
    <w:rsid w:val="00511DF7"/>
    <w:rsid w:val="00512113"/>
    <w:rsid w:val="005123F0"/>
    <w:rsid w:val="00512951"/>
    <w:rsid w:val="00513081"/>
    <w:rsid w:val="00513540"/>
    <w:rsid w:val="00513941"/>
    <w:rsid w:val="00513BC3"/>
    <w:rsid w:val="0051464D"/>
    <w:rsid w:val="00514AD8"/>
    <w:rsid w:val="00515620"/>
    <w:rsid w:val="0051763A"/>
    <w:rsid w:val="0052087C"/>
    <w:rsid w:val="00520913"/>
    <w:rsid w:val="005216BC"/>
    <w:rsid w:val="00521AEF"/>
    <w:rsid w:val="00521C7E"/>
    <w:rsid w:val="00521DD3"/>
    <w:rsid w:val="00521FCD"/>
    <w:rsid w:val="00522FAB"/>
    <w:rsid w:val="00523334"/>
    <w:rsid w:val="00523FE1"/>
    <w:rsid w:val="00524054"/>
    <w:rsid w:val="005242D6"/>
    <w:rsid w:val="005249B1"/>
    <w:rsid w:val="00524A52"/>
    <w:rsid w:val="00525176"/>
    <w:rsid w:val="00526AE9"/>
    <w:rsid w:val="00526DA8"/>
    <w:rsid w:val="00527495"/>
    <w:rsid w:val="00527496"/>
    <w:rsid w:val="00527C35"/>
    <w:rsid w:val="00530494"/>
    <w:rsid w:val="0053051D"/>
    <w:rsid w:val="00530637"/>
    <w:rsid w:val="00530722"/>
    <w:rsid w:val="005308CE"/>
    <w:rsid w:val="005310DF"/>
    <w:rsid w:val="005311E5"/>
    <w:rsid w:val="0053127E"/>
    <w:rsid w:val="00531439"/>
    <w:rsid w:val="005314C8"/>
    <w:rsid w:val="00531E2F"/>
    <w:rsid w:val="0053270B"/>
    <w:rsid w:val="00532AB5"/>
    <w:rsid w:val="00533D27"/>
    <w:rsid w:val="00534CFA"/>
    <w:rsid w:val="00534F0F"/>
    <w:rsid w:val="005352F2"/>
    <w:rsid w:val="005352F3"/>
    <w:rsid w:val="00535D53"/>
    <w:rsid w:val="00536CB7"/>
    <w:rsid w:val="00536FEE"/>
    <w:rsid w:val="0053730E"/>
    <w:rsid w:val="00537598"/>
    <w:rsid w:val="0053791F"/>
    <w:rsid w:val="00537924"/>
    <w:rsid w:val="005403B8"/>
    <w:rsid w:val="00540810"/>
    <w:rsid w:val="00540848"/>
    <w:rsid w:val="00541D32"/>
    <w:rsid w:val="00541FD9"/>
    <w:rsid w:val="00542AC4"/>
    <w:rsid w:val="00542F0E"/>
    <w:rsid w:val="00543125"/>
    <w:rsid w:val="005431B6"/>
    <w:rsid w:val="00543419"/>
    <w:rsid w:val="00543A60"/>
    <w:rsid w:val="00543C35"/>
    <w:rsid w:val="0054443B"/>
    <w:rsid w:val="00545346"/>
    <w:rsid w:val="00545BE4"/>
    <w:rsid w:val="00545FC7"/>
    <w:rsid w:val="005462A8"/>
    <w:rsid w:val="00546601"/>
    <w:rsid w:val="0054724E"/>
    <w:rsid w:val="005478E1"/>
    <w:rsid w:val="00550399"/>
    <w:rsid w:val="0055041A"/>
    <w:rsid w:val="005506E7"/>
    <w:rsid w:val="005507DE"/>
    <w:rsid w:val="00550837"/>
    <w:rsid w:val="00551159"/>
    <w:rsid w:val="00551420"/>
    <w:rsid w:val="00552549"/>
    <w:rsid w:val="00553C51"/>
    <w:rsid w:val="00554786"/>
    <w:rsid w:val="00554E7A"/>
    <w:rsid w:val="00555D05"/>
    <w:rsid w:val="00556AAF"/>
    <w:rsid w:val="00556BA8"/>
    <w:rsid w:val="00557050"/>
    <w:rsid w:val="005571A1"/>
    <w:rsid w:val="00557551"/>
    <w:rsid w:val="005576CC"/>
    <w:rsid w:val="005578ED"/>
    <w:rsid w:val="005579D2"/>
    <w:rsid w:val="00560783"/>
    <w:rsid w:val="0056102F"/>
    <w:rsid w:val="005610B3"/>
    <w:rsid w:val="00561FFF"/>
    <w:rsid w:val="00562204"/>
    <w:rsid w:val="00562FD5"/>
    <w:rsid w:val="00563089"/>
    <w:rsid w:val="00564208"/>
    <w:rsid w:val="0056476B"/>
    <w:rsid w:val="005656D5"/>
    <w:rsid w:val="00565751"/>
    <w:rsid w:val="00566416"/>
    <w:rsid w:val="00566652"/>
    <w:rsid w:val="00566A78"/>
    <w:rsid w:val="00566CCC"/>
    <w:rsid w:val="00567021"/>
    <w:rsid w:val="0056712F"/>
    <w:rsid w:val="00567C82"/>
    <w:rsid w:val="00570571"/>
    <w:rsid w:val="00571472"/>
    <w:rsid w:val="00571CEB"/>
    <w:rsid w:val="00573655"/>
    <w:rsid w:val="00573AF2"/>
    <w:rsid w:val="00573BD3"/>
    <w:rsid w:val="00574A73"/>
    <w:rsid w:val="00574DDB"/>
    <w:rsid w:val="00575707"/>
    <w:rsid w:val="00575CBD"/>
    <w:rsid w:val="00576E80"/>
    <w:rsid w:val="005779DB"/>
    <w:rsid w:val="00577DA7"/>
    <w:rsid w:val="00577FD4"/>
    <w:rsid w:val="00580478"/>
    <w:rsid w:val="00580F29"/>
    <w:rsid w:val="00581152"/>
    <w:rsid w:val="00582628"/>
    <w:rsid w:val="00582926"/>
    <w:rsid w:val="00582BCF"/>
    <w:rsid w:val="00582D47"/>
    <w:rsid w:val="0058303D"/>
    <w:rsid w:val="00583788"/>
    <w:rsid w:val="00584BF2"/>
    <w:rsid w:val="00585CDC"/>
    <w:rsid w:val="00585D46"/>
    <w:rsid w:val="00586323"/>
    <w:rsid w:val="005864F7"/>
    <w:rsid w:val="00587FA6"/>
    <w:rsid w:val="00590B97"/>
    <w:rsid w:val="00591196"/>
    <w:rsid w:val="00591330"/>
    <w:rsid w:val="00591951"/>
    <w:rsid w:val="00592A35"/>
    <w:rsid w:val="005936F0"/>
    <w:rsid w:val="00593AD0"/>
    <w:rsid w:val="005941A6"/>
    <w:rsid w:val="005946B2"/>
    <w:rsid w:val="00594B86"/>
    <w:rsid w:val="00594D5A"/>
    <w:rsid w:val="00595418"/>
    <w:rsid w:val="00595807"/>
    <w:rsid w:val="00595928"/>
    <w:rsid w:val="00597317"/>
    <w:rsid w:val="005976D9"/>
    <w:rsid w:val="005977E5"/>
    <w:rsid w:val="00597AEC"/>
    <w:rsid w:val="005A0503"/>
    <w:rsid w:val="005A0552"/>
    <w:rsid w:val="005A0869"/>
    <w:rsid w:val="005A090A"/>
    <w:rsid w:val="005A0964"/>
    <w:rsid w:val="005A123A"/>
    <w:rsid w:val="005A12F9"/>
    <w:rsid w:val="005A14A0"/>
    <w:rsid w:val="005A1596"/>
    <w:rsid w:val="005A18EB"/>
    <w:rsid w:val="005A1FF8"/>
    <w:rsid w:val="005A2A5C"/>
    <w:rsid w:val="005A2EAD"/>
    <w:rsid w:val="005A33FF"/>
    <w:rsid w:val="005A3651"/>
    <w:rsid w:val="005A385C"/>
    <w:rsid w:val="005A4A83"/>
    <w:rsid w:val="005A627E"/>
    <w:rsid w:val="005A74A9"/>
    <w:rsid w:val="005A7F36"/>
    <w:rsid w:val="005B0109"/>
    <w:rsid w:val="005B16FD"/>
    <w:rsid w:val="005B1F8D"/>
    <w:rsid w:val="005B3594"/>
    <w:rsid w:val="005B36F6"/>
    <w:rsid w:val="005B3758"/>
    <w:rsid w:val="005B3CC4"/>
    <w:rsid w:val="005B4940"/>
    <w:rsid w:val="005B5108"/>
    <w:rsid w:val="005B5913"/>
    <w:rsid w:val="005B59BD"/>
    <w:rsid w:val="005C0C0F"/>
    <w:rsid w:val="005C0C97"/>
    <w:rsid w:val="005C1317"/>
    <w:rsid w:val="005C17E6"/>
    <w:rsid w:val="005C23D3"/>
    <w:rsid w:val="005C273F"/>
    <w:rsid w:val="005C2ECF"/>
    <w:rsid w:val="005C3DD0"/>
    <w:rsid w:val="005C3FE6"/>
    <w:rsid w:val="005C4AE7"/>
    <w:rsid w:val="005C573C"/>
    <w:rsid w:val="005C5D41"/>
    <w:rsid w:val="005C5E55"/>
    <w:rsid w:val="005C62A9"/>
    <w:rsid w:val="005C6C4B"/>
    <w:rsid w:val="005C6D66"/>
    <w:rsid w:val="005C756B"/>
    <w:rsid w:val="005C76C1"/>
    <w:rsid w:val="005D09F7"/>
    <w:rsid w:val="005D0A5A"/>
    <w:rsid w:val="005D1367"/>
    <w:rsid w:val="005D13C5"/>
    <w:rsid w:val="005D16E0"/>
    <w:rsid w:val="005D1F33"/>
    <w:rsid w:val="005D1F34"/>
    <w:rsid w:val="005D2282"/>
    <w:rsid w:val="005D2639"/>
    <w:rsid w:val="005D2D5C"/>
    <w:rsid w:val="005D3187"/>
    <w:rsid w:val="005D333B"/>
    <w:rsid w:val="005D383D"/>
    <w:rsid w:val="005D3D25"/>
    <w:rsid w:val="005D4912"/>
    <w:rsid w:val="005D50B0"/>
    <w:rsid w:val="005D5E9B"/>
    <w:rsid w:val="005D6281"/>
    <w:rsid w:val="005D67EE"/>
    <w:rsid w:val="005D6901"/>
    <w:rsid w:val="005D76C1"/>
    <w:rsid w:val="005E07B6"/>
    <w:rsid w:val="005E1996"/>
    <w:rsid w:val="005E1EB9"/>
    <w:rsid w:val="005E313E"/>
    <w:rsid w:val="005E3459"/>
    <w:rsid w:val="005E3F91"/>
    <w:rsid w:val="005E5202"/>
    <w:rsid w:val="005E5D5E"/>
    <w:rsid w:val="005E63AB"/>
    <w:rsid w:val="005E64A8"/>
    <w:rsid w:val="005F0868"/>
    <w:rsid w:val="005F12D9"/>
    <w:rsid w:val="005F138C"/>
    <w:rsid w:val="005F1C59"/>
    <w:rsid w:val="005F2016"/>
    <w:rsid w:val="005F2198"/>
    <w:rsid w:val="005F28FC"/>
    <w:rsid w:val="005F3572"/>
    <w:rsid w:val="005F360E"/>
    <w:rsid w:val="005F366E"/>
    <w:rsid w:val="005F5619"/>
    <w:rsid w:val="005F64FB"/>
    <w:rsid w:val="00600D35"/>
    <w:rsid w:val="00601A68"/>
    <w:rsid w:val="0060281B"/>
    <w:rsid w:val="00602E2F"/>
    <w:rsid w:val="00604CBD"/>
    <w:rsid w:val="006058F9"/>
    <w:rsid w:val="006059CF"/>
    <w:rsid w:val="006059D7"/>
    <w:rsid w:val="00606018"/>
    <w:rsid w:val="00607F13"/>
    <w:rsid w:val="00610894"/>
    <w:rsid w:val="00610999"/>
    <w:rsid w:val="00611FE5"/>
    <w:rsid w:val="00612FA1"/>
    <w:rsid w:val="00612FCB"/>
    <w:rsid w:val="00613CDA"/>
    <w:rsid w:val="00613F2D"/>
    <w:rsid w:val="00614170"/>
    <w:rsid w:val="0061477C"/>
    <w:rsid w:val="006147EF"/>
    <w:rsid w:val="0061498B"/>
    <w:rsid w:val="00615B6B"/>
    <w:rsid w:val="006168C9"/>
    <w:rsid w:val="00616BB0"/>
    <w:rsid w:val="00616F88"/>
    <w:rsid w:val="0061758B"/>
    <w:rsid w:val="00617788"/>
    <w:rsid w:val="00617DCA"/>
    <w:rsid w:val="00620180"/>
    <w:rsid w:val="00620713"/>
    <w:rsid w:val="00620CC0"/>
    <w:rsid w:val="00621882"/>
    <w:rsid w:val="00621CA5"/>
    <w:rsid w:val="00622027"/>
    <w:rsid w:val="00622508"/>
    <w:rsid w:val="00622657"/>
    <w:rsid w:val="00622AC1"/>
    <w:rsid w:val="006230FA"/>
    <w:rsid w:val="006249AD"/>
    <w:rsid w:val="006249B7"/>
    <w:rsid w:val="00624ADA"/>
    <w:rsid w:val="006250D7"/>
    <w:rsid w:val="006253F3"/>
    <w:rsid w:val="00625831"/>
    <w:rsid w:val="00625B5F"/>
    <w:rsid w:val="0062627F"/>
    <w:rsid w:val="006265BA"/>
    <w:rsid w:val="00626823"/>
    <w:rsid w:val="00626D06"/>
    <w:rsid w:val="00627BF9"/>
    <w:rsid w:val="0063009F"/>
    <w:rsid w:val="0063063F"/>
    <w:rsid w:val="0063078B"/>
    <w:rsid w:val="00631C94"/>
    <w:rsid w:val="00631DAC"/>
    <w:rsid w:val="006322D0"/>
    <w:rsid w:val="0063399F"/>
    <w:rsid w:val="006349D9"/>
    <w:rsid w:val="006350C0"/>
    <w:rsid w:val="006356C5"/>
    <w:rsid w:val="0063646F"/>
    <w:rsid w:val="00636975"/>
    <w:rsid w:val="00636C6E"/>
    <w:rsid w:val="0063756B"/>
    <w:rsid w:val="0063761A"/>
    <w:rsid w:val="00640A7E"/>
    <w:rsid w:val="00641D35"/>
    <w:rsid w:val="00642E2C"/>
    <w:rsid w:val="0064369D"/>
    <w:rsid w:val="006437F0"/>
    <w:rsid w:val="00644843"/>
    <w:rsid w:val="00644D2B"/>
    <w:rsid w:val="00645BDD"/>
    <w:rsid w:val="00646C24"/>
    <w:rsid w:val="00647FA9"/>
    <w:rsid w:val="00650294"/>
    <w:rsid w:val="00650574"/>
    <w:rsid w:val="006506D8"/>
    <w:rsid w:val="00650E26"/>
    <w:rsid w:val="00651139"/>
    <w:rsid w:val="00651245"/>
    <w:rsid w:val="006533E8"/>
    <w:rsid w:val="006539E6"/>
    <w:rsid w:val="00654793"/>
    <w:rsid w:val="00654F42"/>
    <w:rsid w:val="006552B5"/>
    <w:rsid w:val="00655723"/>
    <w:rsid w:val="006561C1"/>
    <w:rsid w:val="0066016D"/>
    <w:rsid w:val="006605D1"/>
    <w:rsid w:val="006607CC"/>
    <w:rsid w:val="00662C4B"/>
    <w:rsid w:val="006635D3"/>
    <w:rsid w:val="00663C71"/>
    <w:rsid w:val="0066484B"/>
    <w:rsid w:val="00664999"/>
    <w:rsid w:val="00664C17"/>
    <w:rsid w:val="0066537C"/>
    <w:rsid w:val="0066558E"/>
    <w:rsid w:val="00665971"/>
    <w:rsid w:val="0066615A"/>
    <w:rsid w:val="00666630"/>
    <w:rsid w:val="00666B34"/>
    <w:rsid w:val="00666CFE"/>
    <w:rsid w:val="00666ED8"/>
    <w:rsid w:val="00667547"/>
    <w:rsid w:val="00667C2E"/>
    <w:rsid w:val="00667E7A"/>
    <w:rsid w:val="006704E1"/>
    <w:rsid w:val="00670A2B"/>
    <w:rsid w:val="00670FB1"/>
    <w:rsid w:val="0067129D"/>
    <w:rsid w:val="00671A49"/>
    <w:rsid w:val="00671EA4"/>
    <w:rsid w:val="00672410"/>
    <w:rsid w:val="006739E9"/>
    <w:rsid w:val="00674AB4"/>
    <w:rsid w:val="00674BFA"/>
    <w:rsid w:val="006752AB"/>
    <w:rsid w:val="00675351"/>
    <w:rsid w:val="00675B79"/>
    <w:rsid w:val="00675D6B"/>
    <w:rsid w:val="00676E70"/>
    <w:rsid w:val="006772AE"/>
    <w:rsid w:val="0067770A"/>
    <w:rsid w:val="00683835"/>
    <w:rsid w:val="0068396F"/>
    <w:rsid w:val="006843BC"/>
    <w:rsid w:val="00686B49"/>
    <w:rsid w:val="006871AF"/>
    <w:rsid w:val="0068748D"/>
    <w:rsid w:val="00687AB3"/>
    <w:rsid w:val="00690AB3"/>
    <w:rsid w:val="00691AFE"/>
    <w:rsid w:val="00691BB8"/>
    <w:rsid w:val="00692CAF"/>
    <w:rsid w:val="006930B6"/>
    <w:rsid w:val="0069414C"/>
    <w:rsid w:val="0069416E"/>
    <w:rsid w:val="00695EE2"/>
    <w:rsid w:val="00695FBB"/>
    <w:rsid w:val="00697098"/>
    <w:rsid w:val="00697E59"/>
    <w:rsid w:val="006A0084"/>
    <w:rsid w:val="006A00C3"/>
    <w:rsid w:val="006A05EC"/>
    <w:rsid w:val="006A0A09"/>
    <w:rsid w:val="006A10CB"/>
    <w:rsid w:val="006A1625"/>
    <w:rsid w:val="006A1D80"/>
    <w:rsid w:val="006A2478"/>
    <w:rsid w:val="006A3127"/>
    <w:rsid w:val="006A4A34"/>
    <w:rsid w:val="006A5A9B"/>
    <w:rsid w:val="006A5B20"/>
    <w:rsid w:val="006A6698"/>
    <w:rsid w:val="006A6A9F"/>
    <w:rsid w:val="006A6B89"/>
    <w:rsid w:val="006A6BB3"/>
    <w:rsid w:val="006A6D59"/>
    <w:rsid w:val="006A7F67"/>
    <w:rsid w:val="006B016A"/>
    <w:rsid w:val="006B02B1"/>
    <w:rsid w:val="006B0D5D"/>
    <w:rsid w:val="006B1533"/>
    <w:rsid w:val="006B194D"/>
    <w:rsid w:val="006B1977"/>
    <w:rsid w:val="006B2184"/>
    <w:rsid w:val="006B26D4"/>
    <w:rsid w:val="006B31E4"/>
    <w:rsid w:val="006B39AE"/>
    <w:rsid w:val="006B3A4B"/>
    <w:rsid w:val="006B3DE1"/>
    <w:rsid w:val="006B3F05"/>
    <w:rsid w:val="006B41A0"/>
    <w:rsid w:val="006B4426"/>
    <w:rsid w:val="006B44F7"/>
    <w:rsid w:val="006B47AE"/>
    <w:rsid w:val="006B52BE"/>
    <w:rsid w:val="006B5AE9"/>
    <w:rsid w:val="006B5FAE"/>
    <w:rsid w:val="006B61DC"/>
    <w:rsid w:val="006B6C28"/>
    <w:rsid w:val="006B6EE9"/>
    <w:rsid w:val="006B7E15"/>
    <w:rsid w:val="006C0642"/>
    <w:rsid w:val="006C0B89"/>
    <w:rsid w:val="006C0B8E"/>
    <w:rsid w:val="006C1174"/>
    <w:rsid w:val="006C22E4"/>
    <w:rsid w:val="006C2DD3"/>
    <w:rsid w:val="006C36CC"/>
    <w:rsid w:val="006C383B"/>
    <w:rsid w:val="006C449C"/>
    <w:rsid w:val="006C464C"/>
    <w:rsid w:val="006C507A"/>
    <w:rsid w:val="006C5149"/>
    <w:rsid w:val="006C552F"/>
    <w:rsid w:val="006C5765"/>
    <w:rsid w:val="006C5FBB"/>
    <w:rsid w:val="006C6319"/>
    <w:rsid w:val="006C6347"/>
    <w:rsid w:val="006C67B1"/>
    <w:rsid w:val="006C6E5D"/>
    <w:rsid w:val="006C6F80"/>
    <w:rsid w:val="006C75AB"/>
    <w:rsid w:val="006C763C"/>
    <w:rsid w:val="006C7924"/>
    <w:rsid w:val="006D0407"/>
    <w:rsid w:val="006D05EF"/>
    <w:rsid w:val="006D07E1"/>
    <w:rsid w:val="006D1998"/>
    <w:rsid w:val="006D233E"/>
    <w:rsid w:val="006D2C16"/>
    <w:rsid w:val="006D3361"/>
    <w:rsid w:val="006D3569"/>
    <w:rsid w:val="006D3BE3"/>
    <w:rsid w:val="006D445D"/>
    <w:rsid w:val="006D452C"/>
    <w:rsid w:val="006D4AC2"/>
    <w:rsid w:val="006D59D1"/>
    <w:rsid w:val="006D5E80"/>
    <w:rsid w:val="006D5EE5"/>
    <w:rsid w:val="006D63F8"/>
    <w:rsid w:val="006D6C52"/>
    <w:rsid w:val="006D6DF3"/>
    <w:rsid w:val="006D75DF"/>
    <w:rsid w:val="006D76E4"/>
    <w:rsid w:val="006D7AA8"/>
    <w:rsid w:val="006E092B"/>
    <w:rsid w:val="006E0E73"/>
    <w:rsid w:val="006E2184"/>
    <w:rsid w:val="006E29F8"/>
    <w:rsid w:val="006E2FD2"/>
    <w:rsid w:val="006E3B47"/>
    <w:rsid w:val="006E3F1A"/>
    <w:rsid w:val="006E4C48"/>
    <w:rsid w:val="006E5801"/>
    <w:rsid w:val="006E5EE2"/>
    <w:rsid w:val="006E5EED"/>
    <w:rsid w:val="006E6429"/>
    <w:rsid w:val="006E6573"/>
    <w:rsid w:val="006E6D3B"/>
    <w:rsid w:val="006E71EE"/>
    <w:rsid w:val="006E71F6"/>
    <w:rsid w:val="006E7866"/>
    <w:rsid w:val="006E7A7D"/>
    <w:rsid w:val="006F17ED"/>
    <w:rsid w:val="006F18F1"/>
    <w:rsid w:val="006F19AA"/>
    <w:rsid w:val="006F1D98"/>
    <w:rsid w:val="006F1F32"/>
    <w:rsid w:val="006F2961"/>
    <w:rsid w:val="006F3478"/>
    <w:rsid w:val="006F3486"/>
    <w:rsid w:val="006F5729"/>
    <w:rsid w:val="006F63A3"/>
    <w:rsid w:val="006F6717"/>
    <w:rsid w:val="006F7380"/>
    <w:rsid w:val="006F74D0"/>
    <w:rsid w:val="006F75FE"/>
    <w:rsid w:val="006F7C7E"/>
    <w:rsid w:val="00700EA2"/>
    <w:rsid w:val="00701882"/>
    <w:rsid w:val="007018DE"/>
    <w:rsid w:val="00702434"/>
    <w:rsid w:val="007024BF"/>
    <w:rsid w:val="00702601"/>
    <w:rsid w:val="00702DCE"/>
    <w:rsid w:val="007032DA"/>
    <w:rsid w:val="00703E8F"/>
    <w:rsid w:val="00704043"/>
    <w:rsid w:val="00704A42"/>
    <w:rsid w:val="00704B49"/>
    <w:rsid w:val="0070526B"/>
    <w:rsid w:val="00705449"/>
    <w:rsid w:val="007054B9"/>
    <w:rsid w:val="0070609E"/>
    <w:rsid w:val="007104F3"/>
    <w:rsid w:val="00712890"/>
    <w:rsid w:val="00713C66"/>
    <w:rsid w:val="00713DD7"/>
    <w:rsid w:val="00714065"/>
    <w:rsid w:val="00714631"/>
    <w:rsid w:val="00714FF5"/>
    <w:rsid w:val="00715324"/>
    <w:rsid w:val="00715458"/>
    <w:rsid w:val="007177DF"/>
    <w:rsid w:val="00720C15"/>
    <w:rsid w:val="007210FD"/>
    <w:rsid w:val="007224A6"/>
    <w:rsid w:val="00722F33"/>
    <w:rsid w:val="0072427B"/>
    <w:rsid w:val="00724ACF"/>
    <w:rsid w:val="00724E32"/>
    <w:rsid w:val="00724EAC"/>
    <w:rsid w:val="007254DA"/>
    <w:rsid w:val="00726C44"/>
    <w:rsid w:val="00727073"/>
    <w:rsid w:val="00730BD2"/>
    <w:rsid w:val="007317A1"/>
    <w:rsid w:val="00731C16"/>
    <w:rsid w:val="00732C94"/>
    <w:rsid w:val="00733570"/>
    <w:rsid w:val="00734748"/>
    <w:rsid w:val="00734FAE"/>
    <w:rsid w:val="007354AA"/>
    <w:rsid w:val="00735E35"/>
    <w:rsid w:val="0073645A"/>
    <w:rsid w:val="00736511"/>
    <w:rsid w:val="00736733"/>
    <w:rsid w:val="0073693F"/>
    <w:rsid w:val="0073753D"/>
    <w:rsid w:val="007377F9"/>
    <w:rsid w:val="00737987"/>
    <w:rsid w:val="00737FB8"/>
    <w:rsid w:val="007400DE"/>
    <w:rsid w:val="00741504"/>
    <w:rsid w:val="00741D13"/>
    <w:rsid w:val="00742169"/>
    <w:rsid w:val="00742B34"/>
    <w:rsid w:val="00742D4A"/>
    <w:rsid w:val="00744227"/>
    <w:rsid w:val="00744268"/>
    <w:rsid w:val="00744429"/>
    <w:rsid w:val="0074455F"/>
    <w:rsid w:val="007458C4"/>
    <w:rsid w:val="00745C76"/>
    <w:rsid w:val="00746267"/>
    <w:rsid w:val="00746959"/>
    <w:rsid w:val="00746EDD"/>
    <w:rsid w:val="0074708F"/>
    <w:rsid w:val="00747556"/>
    <w:rsid w:val="00747DBD"/>
    <w:rsid w:val="00747FA7"/>
    <w:rsid w:val="00750A0A"/>
    <w:rsid w:val="00750F71"/>
    <w:rsid w:val="00752C1B"/>
    <w:rsid w:val="007539FC"/>
    <w:rsid w:val="007540BF"/>
    <w:rsid w:val="007545FB"/>
    <w:rsid w:val="00754C37"/>
    <w:rsid w:val="00754F58"/>
    <w:rsid w:val="00755ADA"/>
    <w:rsid w:val="00755CEA"/>
    <w:rsid w:val="0075604D"/>
    <w:rsid w:val="00756067"/>
    <w:rsid w:val="00756C0C"/>
    <w:rsid w:val="007570B2"/>
    <w:rsid w:val="00757958"/>
    <w:rsid w:val="007579CC"/>
    <w:rsid w:val="00757AAC"/>
    <w:rsid w:val="00757B5C"/>
    <w:rsid w:val="00757F93"/>
    <w:rsid w:val="0076017B"/>
    <w:rsid w:val="00760370"/>
    <w:rsid w:val="00760649"/>
    <w:rsid w:val="007618E6"/>
    <w:rsid w:val="00761D40"/>
    <w:rsid w:val="007623FA"/>
    <w:rsid w:val="0076258B"/>
    <w:rsid w:val="00762655"/>
    <w:rsid w:val="00762850"/>
    <w:rsid w:val="007637A8"/>
    <w:rsid w:val="00763C15"/>
    <w:rsid w:val="00764270"/>
    <w:rsid w:val="00764A35"/>
    <w:rsid w:val="00764EE5"/>
    <w:rsid w:val="00765819"/>
    <w:rsid w:val="00765B58"/>
    <w:rsid w:val="0076699F"/>
    <w:rsid w:val="00770224"/>
    <w:rsid w:val="00770801"/>
    <w:rsid w:val="00770DCB"/>
    <w:rsid w:val="007719E8"/>
    <w:rsid w:val="00771CB0"/>
    <w:rsid w:val="00771D56"/>
    <w:rsid w:val="00772491"/>
    <w:rsid w:val="0077267A"/>
    <w:rsid w:val="00773200"/>
    <w:rsid w:val="007738C3"/>
    <w:rsid w:val="007743F9"/>
    <w:rsid w:val="00775485"/>
    <w:rsid w:val="0077601D"/>
    <w:rsid w:val="00776055"/>
    <w:rsid w:val="00776AE9"/>
    <w:rsid w:val="00777A68"/>
    <w:rsid w:val="00780E93"/>
    <w:rsid w:val="00781411"/>
    <w:rsid w:val="007819C8"/>
    <w:rsid w:val="0078228E"/>
    <w:rsid w:val="00782B84"/>
    <w:rsid w:val="00783532"/>
    <w:rsid w:val="00783D88"/>
    <w:rsid w:val="0078437D"/>
    <w:rsid w:val="007846B5"/>
    <w:rsid w:val="00785176"/>
    <w:rsid w:val="00785346"/>
    <w:rsid w:val="007860D4"/>
    <w:rsid w:val="00786163"/>
    <w:rsid w:val="00786232"/>
    <w:rsid w:val="007874A8"/>
    <w:rsid w:val="00787751"/>
    <w:rsid w:val="00787902"/>
    <w:rsid w:val="00787EF4"/>
    <w:rsid w:val="0079272C"/>
    <w:rsid w:val="007929B5"/>
    <w:rsid w:val="00792EEC"/>
    <w:rsid w:val="00793AB5"/>
    <w:rsid w:val="007941DF"/>
    <w:rsid w:val="007944ED"/>
    <w:rsid w:val="00794FAD"/>
    <w:rsid w:val="00795884"/>
    <w:rsid w:val="00795D9F"/>
    <w:rsid w:val="0079676A"/>
    <w:rsid w:val="007968B9"/>
    <w:rsid w:val="007978B9"/>
    <w:rsid w:val="007A1C1C"/>
    <w:rsid w:val="007A2046"/>
    <w:rsid w:val="007A21DF"/>
    <w:rsid w:val="007A227C"/>
    <w:rsid w:val="007A4062"/>
    <w:rsid w:val="007A473A"/>
    <w:rsid w:val="007A4C05"/>
    <w:rsid w:val="007A51C4"/>
    <w:rsid w:val="007A5C1F"/>
    <w:rsid w:val="007A6B6D"/>
    <w:rsid w:val="007A7B51"/>
    <w:rsid w:val="007A7F13"/>
    <w:rsid w:val="007A7FB0"/>
    <w:rsid w:val="007B06EA"/>
    <w:rsid w:val="007B1705"/>
    <w:rsid w:val="007B24D1"/>
    <w:rsid w:val="007B2AAB"/>
    <w:rsid w:val="007B2B07"/>
    <w:rsid w:val="007B34EA"/>
    <w:rsid w:val="007B4DAF"/>
    <w:rsid w:val="007B634A"/>
    <w:rsid w:val="007B701D"/>
    <w:rsid w:val="007B7068"/>
    <w:rsid w:val="007B72CD"/>
    <w:rsid w:val="007B7504"/>
    <w:rsid w:val="007B79C7"/>
    <w:rsid w:val="007C05B2"/>
    <w:rsid w:val="007C0F99"/>
    <w:rsid w:val="007C2559"/>
    <w:rsid w:val="007C27C1"/>
    <w:rsid w:val="007C2B80"/>
    <w:rsid w:val="007C32D6"/>
    <w:rsid w:val="007C32F2"/>
    <w:rsid w:val="007C3525"/>
    <w:rsid w:val="007C3E22"/>
    <w:rsid w:val="007C424F"/>
    <w:rsid w:val="007C57F5"/>
    <w:rsid w:val="007C5C2F"/>
    <w:rsid w:val="007D048F"/>
    <w:rsid w:val="007D087B"/>
    <w:rsid w:val="007D0F2B"/>
    <w:rsid w:val="007D1345"/>
    <w:rsid w:val="007D19BB"/>
    <w:rsid w:val="007D1B76"/>
    <w:rsid w:val="007D1C7F"/>
    <w:rsid w:val="007D2E62"/>
    <w:rsid w:val="007D2F00"/>
    <w:rsid w:val="007D36C0"/>
    <w:rsid w:val="007D417B"/>
    <w:rsid w:val="007D426A"/>
    <w:rsid w:val="007D43A9"/>
    <w:rsid w:val="007D4A31"/>
    <w:rsid w:val="007D5851"/>
    <w:rsid w:val="007D5A96"/>
    <w:rsid w:val="007D5AAA"/>
    <w:rsid w:val="007D63AB"/>
    <w:rsid w:val="007D699B"/>
    <w:rsid w:val="007D7250"/>
    <w:rsid w:val="007D7389"/>
    <w:rsid w:val="007D7789"/>
    <w:rsid w:val="007E010A"/>
    <w:rsid w:val="007E0AD5"/>
    <w:rsid w:val="007E0C77"/>
    <w:rsid w:val="007E0FF7"/>
    <w:rsid w:val="007E11C1"/>
    <w:rsid w:val="007E128F"/>
    <w:rsid w:val="007E1E00"/>
    <w:rsid w:val="007E3410"/>
    <w:rsid w:val="007E3B84"/>
    <w:rsid w:val="007E41A8"/>
    <w:rsid w:val="007E51DC"/>
    <w:rsid w:val="007E5462"/>
    <w:rsid w:val="007E5B5A"/>
    <w:rsid w:val="007E5B88"/>
    <w:rsid w:val="007E5BF5"/>
    <w:rsid w:val="007E5D3D"/>
    <w:rsid w:val="007E6DAF"/>
    <w:rsid w:val="007E7A3E"/>
    <w:rsid w:val="007E7B53"/>
    <w:rsid w:val="007E7D49"/>
    <w:rsid w:val="007F0D0B"/>
    <w:rsid w:val="007F3231"/>
    <w:rsid w:val="007F3672"/>
    <w:rsid w:val="007F47B3"/>
    <w:rsid w:val="007F6541"/>
    <w:rsid w:val="007F6A37"/>
    <w:rsid w:val="007F6D15"/>
    <w:rsid w:val="007F6E25"/>
    <w:rsid w:val="007F746B"/>
    <w:rsid w:val="007F7E83"/>
    <w:rsid w:val="008007A8"/>
    <w:rsid w:val="0080097F"/>
    <w:rsid w:val="00800FB0"/>
    <w:rsid w:val="0080158D"/>
    <w:rsid w:val="00801806"/>
    <w:rsid w:val="0080186D"/>
    <w:rsid w:val="0080264D"/>
    <w:rsid w:val="008027FA"/>
    <w:rsid w:val="00802C36"/>
    <w:rsid w:val="00802EFF"/>
    <w:rsid w:val="00803C75"/>
    <w:rsid w:val="008042D9"/>
    <w:rsid w:val="008047A1"/>
    <w:rsid w:val="00804849"/>
    <w:rsid w:val="00804AF5"/>
    <w:rsid w:val="00804E65"/>
    <w:rsid w:val="00806210"/>
    <w:rsid w:val="00806396"/>
    <w:rsid w:val="008065E5"/>
    <w:rsid w:val="0081037B"/>
    <w:rsid w:val="00810A9F"/>
    <w:rsid w:val="00810B76"/>
    <w:rsid w:val="00810CB5"/>
    <w:rsid w:val="00810F08"/>
    <w:rsid w:val="008111C5"/>
    <w:rsid w:val="00811347"/>
    <w:rsid w:val="00812486"/>
    <w:rsid w:val="00812985"/>
    <w:rsid w:val="00812EBF"/>
    <w:rsid w:val="0081337B"/>
    <w:rsid w:val="0081353D"/>
    <w:rsid w:val="00813A2E"/>
    <w:rsid w:val="00814FC0"/>
    <w:rsid w:val="00816982"/>
    <w:rsid w:val="00816E1F"/>
    <w:rsid w:val="00816EA2"/>
    <w:rsid w:val="00817C73"/>
    <w:rsid w:val="0082014E"/>
    <w:rsid w:val="00821169"/>
    <w:rsid w:val="00821C52"/>
    <w:rsid w:val="008224F9"/>
    <w:rsid w:val="00822545"/>
    <w:rsid w:val="00822FE9"/>
    <w:rsid w:val="00823005"/>
    <w:rsid w:val="00823EBC"/>
    <w:rsid w:val="0082481D"/>
    <w:rsid w:val="00824CE0"/>
    <w:rsid w:val="00824E66"/>
    <w:rsid w:val="00825707"/>
    <w:rsid w:val="00826557"/>
    <w:rsid w:val="00826626"/>
    <w:rsid w:val="00827763"/>
    <w:rsid w:val="00827850"/>
    <w:rsid w:val="00827977"/>
    <w:rsid w:val="008300A4"/>
    <w:rsid w:val="00830214"/>
    <w:rsid w:val="008302E3"/>
    <w:rsid w:val="00830726"/>
    <w:rsid w:val="00830C83"/>
    <w:rsid w:val="00831D1D"/>
    <w:rsid w:val="008323B7"/>
    <w:rsid w:val="00832DDE"/>
    <w:rsid w:val="0083335C"/>
    <w:rsid w:val="008346F0"/>
    <w:rsid w:val="00834E7C"/>
    <w:rsid w:val="00835265"/>
    <w:rsid w:val="00836D0D"/>
    <w:rsid w:val="00837091"/>
    <w:rsid w:val="008374B3"/>
    <w:rsid w:val="008377CD"/>
    <w:rsid w:val="00837AA5"/>
    <w:rsid w:val="00837C69"/>
    <w:rsid w:val="00840363"/>
    <w:rsid w:val="00841177"/>
    <w:rsid w:val="00841868"/>
    <w:rsid w:val="00841925"/>
    <w:rsid w:val="00842B83"/>
    <w:rsid w:val="0084309B"/>
    <w:rsid w:val="00843664"/>
    <w:rsid w:val="008437A8"/>
    <w:rsid w:val="00843B46"/>
    <w:rsid w:val="008449B9"/>
    <w:rsid w:val="00844A55"/>
    <w:rsid w:val="00844AA6"/>
    <w:rsid w:val="00844C14"/>
    <w:rsid w:val="00844EFD"/>
    <w:rsid w:val="00845F86"/>
    <w:rsid w:val="0084690E"/>
    <w:rsid w:val="00847191"/>
    <w:rsid w:val="0084721E"/>
    <w:rsid w:val="008475AA"/>
    <w:rsid w:val="008504AB"/>
    <w:rsid w:val="00850569"/>
    <w:rsid w:val="00851CBF"/>
    <w:rsid w:val="0085258E"/>
    <w:rsid w:val="00853F83"/>
    <w:rsid w:val="00854AD0"/>
    <w:rsid w:val="00855200"/>
    <w:rsid w:val="0085543D"/>
    <w:rsid w:val="00855B51"/>
    <w:rsid w:val="00855D5E"/>
    <w:rsid w:val="00856203"/>
    <w:rsid w:val="008565C4"/>
    <w:rsid w:val="00856DBA"/>
    <w:rsid w:val="00856E03"/>
    <w:rsid w:val="008577F8"/>
    <w:rsid w:val="00857B04"/>
    <w:rsid w:val="00857CEC"/>
    <w:rsid w:val="0086009C"/>
    <w:rsid w:val="00860399"/>
    <w:rsid w:val="008619E5"/>
    <w:rsid w:val="0086254F"/>
    <w:rsid w:val="008639C9"/>
    <w:rsid w:val="00863A83"/>
    <w:rsid w:val="00863D7F"/>
    <w:rsid w:val="00865E12"/>
    <w:rsid w:val="0086648D"/>
    <w:rsid w:val="008670DE"/>
    <w:rsid w:val="00867850"/>
    <w:rsid w:val="00867E1A"/>
    <w:rsid w:val="008703EA"/>
    <w:rsid w:val="00870610"/>
    <w:rsid w:val="00870A01"/>
    <w:rsid w:val="00871575"/>
    <w:rsid w:val="00871A6C"/>
    <w:rsid w:val="00871FF1"/>
    <w:rsid w:val="00872328"/>
    <w:rsid w:val="008724DE"/>
    <w:rsid w:val="00872797"/>
    <w:rsid w:val="008728BE"/>
    <w:rsid w:val="00872BCF"/>
    <w:rsid w:val="00874B56"/>
    <w:rsid w:val="00875067"/>
    <w:rsid w:val="0087530B"/>
    <w:rsid w:val="008758D9"/>
    <w:rsid w:val="00876B4D"/>
    <w:rsid w:val="00877392"/>
    <w:rsid w:val="00877508"/>
    <w:rsid w:val="00877D0B"/>
    <w:rsid w:val="00881445"/>
    <w:rsid w:val="008829DF"/>
    <w:rsid w:val="00882B0A"/>
    <w:rsid w:val="00883128"/>
    <w:rsid w:val="008834A3"/>
    <w:rsid w:val="00883C4B"/>
    <w:rsid w:val="00883DE7"/>
    <w:rsid w:val="00883E45"/>
    <w:rsid w:val="00884287"/>
    <w:rsid w:val="0088432C"/>
    <w:rsid w:val="00884512"/>
    <w:rsid w:val="0088477C"/>
    <w:rsid w:val="00884F1E"/>
    <w:rsid w:val="00884FA1"/>
    <w:rsid w:val="00884FB9"/>
    <w:rsid w:val="00885330"/>
    <w:rsid w:val="00885990"/>
    <w:rsid w:val="00885E98"/>
    <w:rsid w:val="0088627A"/>
    <w:rsid w:val="0088652B"/>
    <w:rsid w:val="00886968"/>
    <w:rsid w:val="00887003"/>
    <w:rsid w:val="008870D1"/>
    <w:rsid w:val="008877AE"/>
    <w:rsid w:val="0088782D"/>
    <w:rsid w:val="00887DB0"/>
    <w:rsid w:val="008901E0"/>
    <w:rsid w:val="00893AC1"/>
    <w:rsid w:val="00893B92"/>
    <w:rsid w:val="00893CBA"/>
    <w:rsid w:val="00894825"/>
    <w:rsid w:val="00894BB3"/>
    <w:rsid w:val="008962BE"/>
    <w:rsid w:val="0089637A"/>
    <w:rsid w:val="008966C5"/>
    <w:rsid w:val="00896BB0"/>
    <w:rsid w:val="0089702C"/>
    <w:rsid w:val="00897C7A"/>
    <w:rsid w:val="00897E6F"/>
    <w:rsid w:val="008A08BA"/>
    <w:rsid w:val="008A1090"/>
    <w:rsid w:val="008A14FF"/>
    <w:rsid w:val="008A155D"/>
    <w:rsid w:val="008A2036"/>
    <w:rsid w:val="008A2298"/>
    <w:rsid w:val="008A277F"/>
    <w:rsid w:val="008A3D57"/>
    <w:rsid w:val="008A453C"/>
    <w:rsid w:val="008A46A3"/>
    <w:rsid w:val="008A490D"/>
    <w:rsid w:val="008A5466"/>
    <w:rsid w:val="008A68B6"/>
    <w:rsid w:val="008A788A"/>
    <w:rsid w:val="008A7A95"/>
    <w:rsid w:val="008B0046"/>
    <w:rsid w:val="008B03C8"/>
    <w:rsid w:val="008B0B1E"/>
    <w:rsid w:val="008B1DE3"/>
    <w:rsid w:val="008B23BC"/>
    <w:rsid w:val="008B3899"/>
    <w:rsid w:val="008B4C07"/>
    <w:rsid w:val="008B50AA"/>
    <w:rsid w:val="008B5FA9"/>
    <w:rsid w:val="008B6647"/>
    <w:rsid w:val="008B67A2"/>
    <w:rsid w:val="008B7796"/>
    <w:rsid w:val="008B77F0"/>
    <w:rsid w:val="008B7AFF"/>
    <w:rsid w:val="008C0B93"/>
    <w:rsid w:val="008C1095"/>
    <w:rsid w:val="008C23C2"/>
    <w:rsid w:val="008C356A"/>
    <w:rsid w:val="008C5B96"/>
    <w:rsid w:val="008C64CC"/>
    <w:rsid w:val="008C7FCE"/>
    <w:rsid w:val="008D0402"/>
    <w:rsid w:val="008D046B"/>
    <w:rsid w:val="008D2744"/>
    <w:rsid w:val="008D2D08"/>
    <w:rsid w:val="008D358D"/>
    <w:rsid w:val="008D35A6"/>
    <w:rsid w:val="008D3B7E"/>
    <w:rsid w:val="008D44D5"/>
    <w:rsid w:val="008D4DE0"/>
    <w:rsid w:val="008D553F"/>
    <w:rsid w:val="008D5DC0"/>
    <w:rsid w:val="008D7EAF"/>
    <w:rsid w:val="008E01D6"/>
    <w:rsid w:val="008E04E2"/>
    <w:rsid w:val="008E17A5"/>
    <w:rsid w:val="008E1833"/>
    <w:rsid w:val="008E272A"/>
    <w:rsid w:val="008E328C"/>
    <w:rsid w:val="008E3D60"/>
    <w:rsid w:val="008E3F4C"/>
    <w:rsid w:val="008E4A8E"/>
    <w:rsid w:val="008E4B48"/>
    <w:rsid w:val="008E5BBC"/>
    <w:rsid w:val="008E6469"/>
    <w:rsid w:val="008E6A9C"/>
    <w:rsid w:val="008E7925"/>
    <w:rsid w:val="008F062E"/>
    <w:rsid w:val="008F203E"/>
    <w:rsid w:val="008F24C8"/>
    <w:rsid w:val="008F25BD"/>
    <w:rsid w:val="008F2E23"/>
    <w:rsid w:val="008F3148"/>
    <w:rsid w:val="008F3777"/>
    <w:rsid w:val="008F5ED1"/>
    <w:rsid w:val="008F6963"/>
    <w:rsid w:val="008F7B95"/>
    <w:rsid w:val="00900435"/>
    <w:rsid w:val="0090048A"/>
    <w:rsid w:val="0090121E"/>
    <w:rsid w:val="0090165F"/>
    <w:rsid w:val="00901B82"/>
    <w:rsid w:val="00902324"/>
    <w:rsid w:val="009024C4"/>
    <w:rsid w:val="00902D96"/>
    <w:rsid w:val="00903B88"/>
    <w:rsid w:val="00903D4E"/>
    <w:rsid w:val="00904255"/>
    <w:rsid w:val="00904C11"/>
    <w:rsid w:val="00904E5B"/>
    <w:rsid w:val="0090557B"/>
    <w:rsid w:val="00905A3F"/>
    <w:rsid w:val="00905B83"/>
    <w:rsid w:val="00905BFA"/>
    <w:rsid w:val="009061EC"/>
    <w:rsid w:val="009064CF"/>
    <w:rsid w:val="0090664A"/>
    <w:rsid w:val="009066A2"/>
    <w:rsid w:val="009069E6"/>
    <w:rsid w:val="00906B4A"/>
    <w:rsid w:val="009108DA"/>
    <w:rsid w:val="00910D4D"/>
    <w:rsid w:val="00911E48"/>
    <w:rsid w:val="009125F5"/>
    <w:rsid w:val="00912904"/>
    <w:rsid w:val="00912B09"/>
    <w:rsid w:val="00912D4F"/>
    <w:rsid w:val="00913491"/>
    <w:rsid w:val="00913C29"/>
    <w:rsid w:val="0091437D"/>
    <w:rsid w:val="00914CEA"/>
    <w:rsid w:val="009164E2"/>
    <w:rsid w:val="009175C8"/>
    <w:rsid w:val="0091797F"/>
    <w:rsid w:val="00920A8F"/>
    <w:rsid w:val="00920BEA"/>
    <w:rsid w:val="00922F69"/>
    <w:rsid w:val="009234A2"/>
    <w:rsid w:val="009238A3"/>
    <w:rsid w:val="00923A3E"/>
    <w:rsid w:val="00923BA1"/>
    <w:rsid w:val="00924C9E"/>
    <w:rsid w:val="00927A73"/>
    <w:rsid w:val="00927F5F"/>
    <w:rsid w:val="009309C5"/>
    <w:rsid w:val="00930B3F"/>
    <w:rsid w:val="00930CD8"/>
    <w:rsid w:val="00930EF0"/>
    <w:rsid w:val="009311DA"/>
    <w:rsid w:val="00931547"/>
    <w:rsid w:val="00931E92"/>
    <w:rsid w:val="00931F25"/>
    <w:rsid w:val="009323A1"/>
    <w:rsid w:val="009335BF"/>
    <w:rsid w:val="0093364D"/>
    <w:rsid w:val="00933FE0"/>
    <w:rsid w:val="00934606"/>
    <w:rsid w:val="0093519B"/>
    <w:rsid w:val="00935A83"/>
    <w:rsid w:val="00935B0F"/>
    <w:rsid w:val="00935B39"/>
    <w:rsid w:val="009364AD"/>
    <w:rsid w:val="009369AB"/>
    <w:rsid w:val="00936BA9"/>
    <w:rsid w:val="00936E2A"/>
    <w:rsid w:val="00937970"/>
    <w:rsid w:val="009402C9"/>
    <w:rsid w:val="0094102A"/>
    <w:rsid w:val="00941C66"/>
    <w:rsid w:val="00943139"/>
    <w:rsid w:val="009432CF"/>
    <w:rsid w:val="00944B8D"/>
    <w:rsid w:val="00945923"/>
    <w:rsid w:val="009461C3"/>
    <w:rsid w:val="00946211"/>
    <w:rsid w:val="00946B7A"/>
    <w:rsid w:val="00946D11"/>
    <w:rsid w:val="00947363"/>
    <w:rsid w:val="0095078E"/>
    <w:rsid w:val="00951A2E"/>
    <w:rsid w:val="00951F1A"/>
    <w:rsid w:val="00952053"/>
    <w:rsid w:val="00952482"/>
    <w:rsid w:val="009524AA"/>
    <w:rsid w:val="00952536"/>
    <w:rsid w:val="00952DC5"/>
    <w:rsid w:val="00953E39"/>
    <w:rsid w:val="009543BE"/>
    <w:rsid w:val="00956918"/>
    <w:rsid w:val="009603EE"/>
    <w:rsid w:val="00960665"/>
    <w:rsid w:val="00960A83"/>
    <w:rsid w:val="00960A85"/>
    <w:rsid w:val="009614B0"/>
    <w:rsid w:val="009626FA"/>
    <w:rsid w:val="0096338E"/>
    <w:rsid w:val="0096426A"/>
    <w:rsid w:val="0096430C"/>
    <w:rsid w:val="00964774"/>
    <w:rsid w:val="00964DF7"/>
    <w:rsid w:val="00965E74"/>
    <w:rsid w:val="00966115"/>
    <w:rsid w:val="00966C2F"/>
    <w:rsid w:val="009670D8"/>
    <w:rsid w:val="0096742A"/>
    <w:rsid w:val="0096767F"/>
    <w:rsid w:val="00967AAD"/>
    <w:rsid w:val="00970710"/>
    <w:rsid w:val="00971113"/>
    <w:rsid w:val="0097205C"/>
    <w:rsid w:val="00972C7F"/>
    <w:rsid w:val="00973181"/>
    <w:rsid w:val="009736AE"/>
    <w:rsid w:val="00973AF9"/>
    <w:rsid w:val="00974BA6"/>
    <w:rsid w:val="0097512B"/>
    <w:rsid w:val="00976149"/>
    <w:rsid w:val="00976C49"/>
    <w:rsid w:val="009772AD"/>
    <w:rsid w:val="009800BD"/>
    <w:rsid w:val="009802B4"/>
    <w:rsid w:val="0098033A"/>
    <w:rsid w:val="00980B1B"/>
    <w:rsid w:val="00980E46"/>
    <w:rsid w:val="00981799"/>
    <w:rsid w:val="00982404"/>
    <w:rsid w:val="00982AF6"/>
    <w:rsid w:val="00983109"/>
    <w:rsid w:val="00983779"/>
    <w:rsid w:val="009838EE"/>
    <w:rsid w:val="00986355"/>
    <w:rsid w:val="009866C1"/>
    <w:rsid w:val="00986C52"/>
    <w:rsid w:val="00986D46"/>
    <w:rsid w:val="0098704B"/>
    <w:rsid w:val="00987F72"/>
    <w:rsid w:val="009905EF"/>
    <w:rsid w:val="0099108E"/>
    <w:rsid w:val="009912B9"/>
    <w:rsid w:val="00991C3B"/>
    <w:rsid w:val="00993311"/>
    <w:rsid w:val="00993E09"/>
    <w:rsid w:val="0099453D"/>
    <w:rsid w:val="00994580"/>
    <w:rsid w:val="00994BC9"/>
    <w:rsid w:val="00994F58"/>
    <w:rsid w:val="00995013"/>
    <w:rsid w:val="00995C1C"/>
    <w:rsid w:val="00996FD5"/>
    <w:rsid w:val="00997520"/>
    <w:rsid w:val="00997540"/>
    <w:rsid w:val="00997C67"/>
    <w:rsid w:val="00997EAE"/>
    <w:rsid w:val="009A0714"/>
    <w:rsid w:val="009A094B"/>
    <w:rsid w:val="009A0FBB"/>
    <w:rsid w:val="009A1259"/>
    <w:rsid w:val="009A17BB"/>
    <w:rsid w:val="009A1D0B"/>
    <w:rsid w:val="009A1F12"/>
    <w:rsid w:val="009A1F44"/>
    <w:rsid w:val="009A26C7"/>
    <w:rsid w:val="009A332A"/>
    <w:rsid w:val="009A4A0B"/>
    <w:rsid w:val="009A60EB"/>
    <w:rsid w:val="009A694A"/>
    <w:rsid w:val="009A69B3"/>
    <w:rsid w:val="009A6CF2"/>
    <w:rsid w:val="009A7E8C"/>
    <w:rsid w:val="009B1ED3"/>
    <w:rsid w:val="009B1F45"/>
    <w:rsid w:val="009B2308"/>
    <w:rsid w:val="009B23C3"/>
    <w:rsid w:val="009B29AC"/>
    <w:rsid w:val="009B2ED3"/>
    <w:rsid w:val="009B2FF6"/>
    <w:rsid w:val="009B3A99"/>
    <w:rsid w:val="009B5187"/>
    <w:rsid w:val="009B5F01"/>
    <w:rsid w:val="009B6E71"/>
    <w:rsid w:val="009C0650"/>
    <w:rsid w:val="009C068D"/>
    <w:rsid w:val="009C096C"/>
    <w:rsid w:val="009C0BCD"/>
    <w:rsid w:val="009C0F59"/>
    <w:rsid w:val="009C124B"/>
    <w:rsid w:val="009C1330"/>
    <w:rsid w:val="009C2107"/>
    <w:rsid w:val="009C217B"/>
    <w:rsid w:val="009C2855"/>
    <w:rsid w:val="009C404B"/>
    <w:rsid w:val="009C437D"/>
    <w:rsid w:val="009C569F"/>
    <w:rsid w:val="009C5C8B"/>
    <w:rsid w:val="009C5DE5"/>
    <w:rsid w:val="009C7CC0"/>
    <w:rsid w:val="009C7F02"/>
    <w:rsid w:val="009D01DF"/>
    <w:rsid w:val="009D098C"/>
    <w:rsid w:val="009D0AC1"/>
    <w:rsid w:val="009D0D1D"/>
    <w:rsid w:val="009D168D"/>
    <w:rsid w:val="009D16A5"/>
    <w:rsid w:val="009D1D69"/>
    <w:rsid w:val="009D34D8"/>
    <w:rsid w:val="009D42FB"/>
    <w:rsid w:val="009D52A5"/>
    <w:rsid w:val="009D5557"/>
    <w:rsid w:val="009D6619"/>
    <w:rsid w:val="009D67F6"/>
    <w:rsid w:val="009D766D"/>
    <w:rsid w:val="009D7B0E"/>
    <w:rsid w:val="009E08D1"/>
    <w:rsid w:val="009E0FE1"/>
    <w:rsid w:val="009E1061"/>
    <w:rsid w:val="009E148A"/>
    <w:rsid w:val="009E184F"/>
    <w:rsid w:val="009E1864"/>
    <w:rsid w:val="009E2124"/>
    <w:rsid w:val="009E37AA"/>
    <w:rsid w:val="009E37C6"/>
    <w:rsid w:val="009E3884"/>
    <w:rsid w:val="009E39F1"/>
    <w:rsid w:val="009E3E6B"/>
    <w:rsid w:val="009E4BD0"/>
    <w:rsid w:val="009E4D20"/>
    <w:rsid w:val="009E5B62"/>
    <w:rsid w:val="009E61DC"/>
    <w:rsid w:val="009E6FD0"/>
    <w:rsid w:val="009E73E4"/>
    <w:rsid w:val="009E7D1F"/>
    <w:rsid w:val="009F1FD0"/>
    <w:rsid w:val="009F25CF"/>
    <w:rsid w:val="009F2764"/>
    <w:rsid w:val="009F2B6D"/>
    <w:rsid w:val="009F2EE3"/>
    <w:rsid w:val="009F33A3"/>
    <w:rsid w:val="009F3C5A"/>
    <w:rsid w:val="009F4238"/>
    <w:rsid w:val="009F435F"/>
    <w:rsid w:val="009F4502"/>
    <w:rsid w:val="009F525B"/>
    <w:rsid w:val="009F54C4"/>
    <w:rsid w:val="009F5539"/>
    <w:rsid w:val="009F5B85"/>
    <w:rsid w:val="009F5CE5"/>
    <w:rsid w:val="009F5D76"/>
    <w:rsid w:val="009F6B4D"/>
    <w:rsid w:val="00A00D94"/>
    <w:rsid w:val="00A018A9"/>
    <w:rsid w:val="00A0285B"/>
    <w:rsid w:val="00A02A54"/>
    <w:rsid w:val="00A037B8"/>
    <w:rsid w:val="00A03BB6"/>
    <w:rsid w:val="00A0406E"/>
    <w:rsid w:val="00A044DE"/>
    <w:rsid w:val="00A04785"/>
    <w:rsid w:val="00A05B17"/>
    <w:rsid w:val="00A0625B"/>
    <w:rsid w:val="00A07162"/>
    <w:rsid w:val="00A07C7D"/>
    <w:rsid w:val="00A1037F"/>
    <w:rsid w:val="00A10967"/>
    <w:rsid w:val="00A11307"/>
    <w:rsid w:val="00A13AF3"/>
    <w:rsid w:val="00A13D3A"/>
    <w:rsid w:val="00A14135"/>
    <w:rsid w:val="00A1478E"/>
    <w:rsid w:val="00A14F38"/>
    <w:rsid w:val="00A15FF1"/>
    <w:rsid w:val="00A16D56"/>
    <w:rsid w:val="00A177E4"/>
    <w:rsid w:val="00A17B09"/>
    <w:rsid w:val="00A17E00"/>
    <w:rsid w:val="00A20164"/>
    <w:rsid w:val="00A2048A"/>
    <w:rsid w:val="00A21388"/>
    <w:rsid w:val="00A21705"/>
    <w:rsid w:val="00A21779"/>
    <w:rsid w:val="00A21D1C"/>
    <w:rsid w:val="00A21DD1"/>
    <w:rsid w:val="00A223F0"/>
    <w:rsid w:val="00A2266A"/>
    <w:rsid w:val="00A239F0"/>
    <w:rsid w:val="00A24A52"/>
    <w:rsid w:val="00A24F00"/>
    <w:rsid w:val="00A257C0"/>
    <w:rsid w:val="00A26926"/>
    <w:rsid w:val="00A26CB7"/>
    <w:rsid w:val="00A275C2"/>
    <w:rsid w:val="00A27791"/>
    <w:rsid w:val="00A27ABE"/>
    <w:rsid w:val="00A27B08"/>
    <w:rsid w:val="00A30074"/>
    <w:rsid w:val="00A30136"/>
    <w:rsid w:val="00A30C8D"/>
    <w:rsid w:val="00A314C2"/>
    <w:rsid w:val="00A32AD9"/>
    <w:rsid w:val="00A32B00"/>
    <w:rsid w:val="00A32C31"/>
    <w:rsid w:val="00A32CDA"/>
    <w:rsid w:val="00A333BF"/>
    <w:rsid w:val="00A336FF"/>
    <w:rsid w:val="00A33703"/>
    <w:rsid w:val="00A354B9"/>
    <w:rsid w:val="00A355F9"/>
    <w:rsid w:val="00A35601"/>
    <w:rsid w:val="00A367C3"/>
    <w:rsid w:val="00A369AF"/>
    <w:rsid w:val="00A36AEC"/>
    <w:rsid w:val="00A3700F"/>
    <w:rsid w:val="00A37084"/>
    <w:rsid w:val="00A37334"/>
    <w:rsid w:val="00A3764F"/>
    <w:rsid w:val="00A3769B"/>
    <w:rsid w:val="00A40547"/>
    <w:rsid w:val="00A40609"/>
    <w:rsid w:val="00A406B8"/>
    <w:rsid w:val="00A407CA"/>
    <w:rsid w:val="00A41355"/>
    <w:rsid w:val="00A41854"/>
    <w:rsid w:val="00A41922"/>
    <w:rsid w:val="00A41A2E"/>
    <w:rsid w:val="00A4220C"/>
    <w:rsid w:val="00A42F4E"/>
    <w:rsid w:val="00A432F3"/>
    <w:rsid w:val="00A437B6"/>
    <w:rsid w:val="00A43B92"/>
    <w:rsid w:val="00A44161"/>
    <w:rsid w:val="00A44228"/>
    <w:rsid w:val="00A45028"/>
    <w:rsid w:val="00A451C5"/>
    <w:rsid w:val="00A4564F"/>
    <w:rsid w:val="00A46AF0"/>
    <w:rsid w:val="00A46EF4"/>
    <w:rsid w:val="00A46F4B"/>
    <w:rsid w:val="00A47602"/>
    <w:rsid w:val="00A47FF2"/>
    <w:rsid w:val="00A506BC"/>
    <w:rsid w:val="00A50AEB"/>
    <w:rsid w:val="00A50C9F"/>
    <w:rsid w:val="00A51334"/>
    <w:rsid w:val="00A51490"/>
    <w:rsid w:val="00A51A05"/>
    <w:rsid w:val="00A51B63"/>
    <w:rsid w:val="00A5227C"/>
    <w:rsid w:val="00A529D2"/>
    <w:rsid w:val="00A54251"/>
    <w:rsid w:val="00A54626"/>
    <w:rsid w:val="00A546F1"/>
    <w:rsid w:val="00A5576E"/>
    <w:rsid w:val="00A55B5B"/>
    <w:rsid w:val="00A55F2C"/>
    <w:rsid w:val="00A56810"/>
    <w:rsid w:val="00A569D9"/>
    <w:rsid w:val="00A56B44"/>
    <w:rsid w:val="00A57B40"/>
    <w:rsid w:val="00A602DF"/>
    <w:rsid w:val="00A61260"/>
    <w:rsid w:val="00A6167A"/>
    <w:rsid w:val="00A616D6"/>
    <w:rsid w:val="00A616D9"/>
    <w:rsid w:val="00A6179E"/>
    <w:rsid w:val="00A62C33"/>
    <w:rsid w:val="00A62FEA"/>
    <w:rsid w:val="00A64316"/>
    <w:rsid w:val="00A6672F"/>
    <w:rsid w:val="00A66BEE"/>
    <w:rsid w:val="00A66CEA"/>
    <w:rsid w:val="00A7083E"/>
    <w:rsid w:val="00A70A74"/>
    <w:rsid w:val="00A70D9B"/>
    <w:rsid w:val="00A7101E"/>
    <w:rsid w:val="00A713BB"/>
    <w:rsid w:val="00A71796"/>
    <w:rsid w:val="00A71E13"/>
    <w:rsid w:val="00A723C1"/>
    <w:rsid w:val="00A72EC9"/>
    <w:rsid w:val="00A7314C"/>
    <w:rsid w:val="00A73BE7"/>
    <w:rsid w:val="00A745F0"/>
    <w:rsid w:val="00A74FCB"/>
    <w:rsid w:val="00A758A0"/>
    <w:rsid w:val="00A75F30"/>
    <w:rsid w:val="00A770FC"/>
    <w:rsid w:val="00A77411"/>
    <w:rsid w:val="00A77A0A"/>
    <w:rsid w:val="00A804D9"/>
    <w:rsid w:val="00A807D7"/>
    <w:rsid w:val="00A80DC5"/>
    <w:rsid w:val="00A81A7D"/>
    <w:rsid w:val="00A81B2C"/>
    <w:rsid w:val="00A81C1C"/>
    <w:rsid w:val="00A82693"/>
    <w:rsid w:val="00A8275B"/>
    <w:rsid w:val="00A8286C"/>
    <w:rsid w:val="00A83E08"/>
    <w:rsid w:val="00A84DE6"/>
    <w:rsid w:val="00A8573B"/>
    <w:rsid w:val="00A86142"/>
    <w:rsid w:val="00A8623D"/>
    <w:rsid w:val="00A86A61"/>
    <w:rsid w:val="00A86E5C"/>
    <w:rsid w:val="00A86FE5"/>
    <w:rsid w:val="00A872C8"/>
    <w:rsid w:val="00A87928"/>
    <w:rsid w:val="00A87D18"/>
    <w:rsid w:val="00A87DF1"/>
    <w:rsid w:val="00A902F4"/>
    <w:rsid w:val="00A90799"/>
    <w:rsid w:val="00A91437"/>
    <w:rsid w:val="00A919FF"/>
    <w:rsid w:val="00A92500"/>
    <w:rsid w:val="00A92915"/>
    <w:rsid w:val="00A92D4A"/>
    <w:rsid w:val="00A92F92"/>
    <w:rsid w:val="00A9369B"/>
    <w:rsid w:val="00A94331"/>
    <w:rsid w:val="00A94360"/>
    <w:rsid w:val="00A94ABB"/>
    <w:rsid w:val="00A95449"/>
    <w:rsid w:val="00A96051"/>
    <w:rsid w:val="00A965E6"/>
    <w:rsid w:val="00A96892"/>
    <w:rsid w:val="00A97A80"/>
    <w:rsid w:val="00A97AA9"/>
    <w:rsid w:val="00AA03D0"/>
    <w:rsid w:val="00AA05E3"/>
    <w:rsid w:val="00AA1473"/>
    <w:rsid w:val="00AA182F"/>
    <w:rsid w:val="00AA19B2"/>
    <w:rsid w:val="00AA1A20"/>
    <w:rsid w:val="00AA1BE4"/>
    <w:rsid w:val="00AA2051"/>
    <w:rsid w:val="00AA2FBB"/>
    <w:rsid w:val="00AA33CD"/>
    <w:rsid w:val="00AA3E4F"/>
    <w:rsid w:val="00AA43C6"/>
    <w:rsid w:val="00AA4874"/>
    <w:rsid w:val="00AA53C1"/>
    <w:rsid w:val="00AA5BDC"/>
    <w:rsid w:val="00AA6516"/>
    <w:rsid w:val="00AA6DA3"/>
    <w:rsid w:val="00AA70A2"/>
    <w:rsid w:val="00AA70C4"/>
    <w:rsid w:val="00AA7892"/>
    <w:rsid w:val="00AA794C"/>
    <w:rsid w:val="00AA79A5"/>
    <w:rsid w:val="00AA7D60"/>
    <w:rsid w:val="00AB01C6"/>
    <w:rsid w:val="00AB027E"/>
    <w:rsid w:val="00AB0346"/>
    <w:rsid w:val="00AB0AEC"/>
    <w:rsid w:val="00AB0B3C"/>
    <w:rsid w:val="00AB13FF"/>
    <w:rsid w:val="00AB16C4"/>
    <w:rsid w:val="00AB50EC"/>
    <w:rsid w:val="00AB52A7"/>
    <w:rsid w:val="00AB5786"/>
    <w:rsid w:val="00AB58CE"/>
    <w:rsid w:val="00AB5ABA"/>
    <w:rsid w:val="00AB5C3B"/>
    <w:rsid w:val="00AB5CA0"/>
    <w:rsid w:val="00AB6951"/>
    <w:rsid w:val="00AB6993"/>
    <w:rsid w:val="00AB737E"/>
    <w:rsid w:val="00AB7C0C"/>
    <w:rsid w:val="00AB7C8F"/>
    <w:rsid w:val="00AC0182"/>
    <w:rsid w:val="00AC0754"/>
    <w:rsid w:val="00AC08CB"/>
    <w:rsid w:val="00AC0985"/>
    <w:rsid w:val="00AC0BB6"/>
    <w:rsid w:val="00AC2192"/>
    <w:rsid w:val="00AC29BD"/>
    <w:rsid w:val="00AC3315"/>
    <w:rsid w:val="00AC3A27"/>
    <w:rsid w:val="00AC4870"/>
    <w:rsid w:val="00AC5658"/>
    <w:rsid w:val="00AC59BD"/>
    <w:rsid w:val="00AC636D"/>
    <w:rsid w:val="00AC63CF"/>
    <w:rsid w:val="00AC6667"/>
    <w:rsid w:val="00AC6B30"/>
    <w:rsid w:val="00AC6DE6"/>
    <w:rsid w:val="00AC7776"/>
    <w:rsid w:val="00AD049F"/>
    <w:rsid w:val="00AD05DE"/>
    <w:rsid w:val="00AD08EF"/>
    <w:rsid w:val="00AD0E7D"/>
    <w:rsid w:val="00AD0EC4"/>
    <w:rsid w:val="00AD1BEE"/>
    <w:rsid w:val="00AD23F9"/>
    <w:rsid w:val="00AD3566"/>
    <w:rsid w:val="00AD52B0"/>
    <w:rsid w:val="00AD59B8"/>
    <w:rsid w:val="00AD6DE4"/>
    <w:rsid w:val="00AE251A"/>
    <w:rsid w:val="00AE2CB0"/>
    <w:rsid w:val="00AE2D8A"/>
    <w:rsid w:val="00AE3688"/>
    <w:rsid w:val="00AE3F2E"/>
    <w:rsid w:val="00AE4DB8"/>
    <w:rsid w:val="00AE5746"/>
    <w:rsid w:val="00AF0803"/>
    <w:rsid w:val="00AF136F"/>
    <w:rsid w:val="00AF27C6"/>
    <w:rsid w:val="00AF2AAA"/>
    <w:rsid w:val="00AF3653"/>
    <w:rsid w:val="00AF4237"/>
    <w:rsid w:val="00AF4482"/>
    <w:rsid w:val="00AF45BA"/>
    <w:rsid w:val="00AF5E6F"/>
    <w:rsid w:val="00AF6FC0"/>
    <w:rsid w:val="00B00F61"/>
    <w:rsid w:val="00B015E8"/>
    <w:rsid w:val="00B01B87"/>
    <w:rsid w:val="00B02189"/>
    <w:rsid w:val="00B02216"/>
    <w:rsid w:val="00B024AC"/>
    <w:rsid w:val="00B02BF5"/>
    <w:rsid w:val="00B02E5F"/>
    <w:rsid w:val="00B034C9"/>
    <w:rsid w:val="00B03587"/>
    <w:rsid w:val="00B036F3"/>
    <w:rsid w:val="00B03B63"/>
    <w:rsid w:val="00B04BF1"/>
    <w:rsid w:val="00B05265"/>
    <w:rsid w:val="00B05601"/>
    <w:rsid w:val="00B05C0D"/>
    <w:rsid w:val="00B064FC"/>
    <w:rsid w:val="00B06AC4"/>
    <w:rsid w:val="00B06D88"/>
    <w:rsid w:val="00B07170"/>
    <w:rsid w:val="00B07614"/>
    <w:rsid w:val="00B07CFF"/>
    <w:rsid w:val="00B07E06"/>
    <w:rsid w:val="00B116D9"/>
    <w:rsid w:val="00B11714"/>
    <w:rsid w:val="00B11D88"/>
    <w:rsid w:val="00B11D97"/>
    <w:rsid w:val="00B122DD"/>
    <w:rsid w:val="00B1278B"/>
    <w:rsid w:val="00B12AE0"/>
    <w:rsid w:val="00B13066"/>
    <w:rsid w:val="00B13328"/>
    <w:rsid w:val="00B13E7D"/>
    <w:rsid w:val="00B13F9A"/>
    <w:rsid w:val="00B15A3B"/>
    <w:rsid w:val="00B20538"/>
    <w:rsid w:val="00B21418"/>
    <w:rsid w:val="00B216D2"/>
    <w:rsid w:val="00B21C0E"/>
    <w:rsid w:val="00B221D9"/>
    <w:rsid w:val="00B2251A"/>
    <w:rsid w:val="00B22BA8"/>
    <w:rsid w:val="00B23386"/>
    <w:rsid w:val="00B235F9"/>
    <w:rsid w:val="00B2368F"/>
    <w:rsid w:val="00B237FB"/>
    <w:rsid w:val="00B23F19"/>
    <w:rsid w:val="00B24711"/>
    <w:rsid w:val="00B24AF0"/>
    <w:rsid w:val="00B24B1D"/>
    <w:rsid w:val="00B24B60"/>
    <w:rsid w:val="00B24C03"/>
    <w:rsid w:val="00B2502C"/>
    <w:rsid w:val="00B26C33"/>
    <w:rsid w:val="00B277E0"/>
    <w:rsid w:val="00B27B56"/>
    <w:rsid w:val="00B30121"/>
    <w:rsid w:val="00B3193D"/>
    <w:rsid w:val="00B32582"/>
    <w:rsid w:val="00B327AE"/>
    <w:rsid w:val="00B32E4E"/>
    <w:rsid w:val="00B332DD"/>
    <w:rsid w:val="00B333DC"/>
    <w:rsid w:val="00B33B53"/>
    <w:rsid w:val="00B34621"/>
    <w:rsid w:val="00B34946"/>
    <w:rsid w:val="00B34C9D"/>
    <w:rsid w:val="00B35CE7"/>
    <w:rsid w:val="00B35DF9"/>
    <w:rsid w:val="00B366A3"/>
    <w:rsid w:val="00B3692C"/>
    <w:rsid w:val="00B36B27"/>
    <w:rsid w:val="00B37440"/>
    <w:rsid w:val="00B40CFF"/>
    <w:rsid w:val="00B40E85"/>
    <w:rsid w:val="00B413F0"/>
    <w:rsid w:val="00B41883"/>
    <w:rsid w:val="00B427D8"/>
    <w:rsid w:val="00B43208"/>
    <w:rsid w:val="00B434C5"/>
    <w:rsid w:val="00B43658"/>
    <w:rsid w:val="00B43A96"/>
    <w:rsid w:val="00B43BDD"/>
    <w:rsid w:val="00B44402"/>
    <w:rsid w:val="00B44520"/>
    <w:rsid w:val="00B44B60"/>
    <w:rsid w:val="00B44EB2"/>
    <w:rsid w:val="00B459D1"/>
    <w:rsid w:val="00B46854"/>
    <w:rsid w:val="00B46C8B"/>
    <w:rsid w:val="00B46E69"/>
    <w:rsid w:val="00B471A0"/>
    <w:rsid w:val="00B50BAE"/>
    <w:rsid w:val="00B50C33"/>
    <w:rsid w:val="00B50D77"/>
    <w:rsid w:val="00B50F36"/>
    <w:rsid w:val="00B51379"/>
    <w:rsid w:val="00B5183E"/>
    <w:rsid w:val="00B519FD"/>
    <w:rsid w:val="00B51E10"/>
    <w:rsid w:val="00B520BC"/>
    <w:rsid w:val="00B520E0"/>
    <w:rsid w:val="00B52666"/>
    <w:rsid w:val="00B52A04"/>
    <w:rsid w:val="00B539CC"/>
    <w:rsid w:val="00B54C9A"/>
    <w:rsid w:val="00B55B03"/>
    <w:rsid w:val="00B55C22"/>
    <w:rsid w:val="00B55CCD"/>
    <w:rsid w:val="00B5639D"/>
    <w:rsid w:val="00B56EC2"/>
    <w:rsid w:val="00B575E0"/>
    <w:rsid w:val="00B602B5"/>
    <w:rsid w:val="00B6044C"/>
    <w:rsid w:val="00B6193F"/>
    <w:rsid w:val="00B620C0"/>
    <w:rsid w:val="00B621F4"/>
    <w:rsid w:val="00B637BE"/>
    <w:rsid w:val="00B63D24"/>
    <w:rsid w:val="00B63D35"/>
    <w:rsid w:val="00B64E6C"/>
    <w:rsid w:val="00B6555D"/>
    <w:rsid w:val="00B65B21"/>
    <w:rsid w:val="00B65DD8"/>
    <w:rsid w:val="00B663A0"/>
    <w:rsid w:val="00B663AF"/>
    <w:rsid w:val="00B6646C"/>
    <w:rsid w:val="00B66B2F"/>
    <w:rsid w:val="00B67440"/>
    <w:rsid w:val="00B704E8"/>
    <w:rsid w:val="00B70FC7"/>
    <w:rsid w:val="00B71233"/>
    <w:rsid w:val="00B71980"/>
    <w:rsid w:val="00B72476"/>
    <w:rsid w:val="00B724C3"/>
    <w:rsid w:val="00B7251A"/>
    <w:rsid w:val="00B72694"/>
    <w:rsid w:val="00B730E9"/>
    <w:rsid w:val="00B739EE"/>
    <w:rsid w:val="00B73A1D"/>
    <w:rsid w:val="00B742A0"/>
    <w:rsid w:val="00B75459"/>
    <w:rsid w:val="00B7545E"/>
    <w:rsid w:val="00B75539"/>
    <w:rsid w:val="00B7576E"/>
    <w:rsid w:val="00B7747B"/>
    <w:rsid w:val="00B77624"/>
    <w:rsid w:val="00B77716"/>
    <w:rsid w:val="00B77958"/>
    <w:rsid w:val="00B8049E"/>
    <w:rsid w:val="00B815DF"/>
    <w:rsid w:val="00B825D4"/>
    <w:rsid w:val="00B827E3"/>
    <w:rsid w:val="00B82821"/>
    <w:rsid w:val="00B82D19"/>
    <w:rsid w:val="00B8383A"/>
    <w:rsid w:val="00B83C29"/>
    <w:rsid w:val="00B8450F"/>
    <w:rsid w:val="00B84B2D"/>
    <w:rsid w:val="00B850B8"/>
    <w:rsid w:val="00B85FE8"/>
    <w:rsid w:val="00B86447"/>
    <w:rsid w:val="00B8728B"/>
    <w:rsid w:val="00B87DF8"/>
    <w:rsid w:val="00B87F9B"/>
    <w:rsid w:val="00B90656"/>
    <w:rsid w:val="00B907D9"/>
    <w:rsid w:val="00B909A7"/>
    <w:rsid w:val="00B90CEC"/>
    <w:rsid w:val="00B90EE3"/>
    <w:rsid w:val="00B90FFE"/>
    <w:rsid w:val="00B91191"/>
    <w:rsid w:val="00B924E6"/>
    <w:rsid w:val="00B929EB"/>
    <w:rsid w:val="00B92F6A"/>
    <w:rsid w:val="00B9345D"/>
    <w:rsid w:val="00B939F6"/>
    <w:rsid w:val="00B94132"/>
    <w:rsid w:val="00B94B33"/>
    <w:rsid w:val="00B967CD"/>
    <w:rsid w:val="00B96A52"/>
    <w:rsid w:val="00B96FD3"/>
    <w:rsid w:val="00B9706D"/>
    <w:rsid w:val="00B977C6"/>
    <w:rsid w:val="00B9787A"/>
    <w:rsid w:val="00B97B69"/>
    <w:rsid w:val="00BA0080"/>
    <w:rsid w:val="00BA11A1"/>
    <w:rsid w:val="00BA1CAE"/>
    <w:rsid w:val="00BA1FA8"/>
    <w:rsid w:val="00BA2206"/>
    <w:rsid w:val="00BA262D"/>
    <w:rsid w:val="00BA2999"/>
    <w:rsid w:val="00BA2B7E"/>
    <w:rsid w:val="00BA2EBB"/>
    <w:rsid w:val="00BA321F"/>
    <w:rsid w:val="00BA3B4A"/>
    <w:rsid w:val="00BA3BC1"/>
    <w:rsid w:val="00BA4BD7"/>
    <w:rsid w:val="00BA5698"/>
    <w:rsid w:val="00BA5A47"/>
    <w:rsid w:val="00BA5E89"/>
    <w:rsid w:val="00BA6294"/>
    <w:rsid w:val="00BA6738"/>
    <w:rsid w:val="00BA6C35"/>
    <w:rsid w:val="00BA6DF6"/>
    <w:rsid w:val="00BA6E7C"/>
    <w:rsid w:val="00BA744F"/>
    <w:rsid w:val="00BA7B3C"/>
    <w:rsid w:val="00BB0D61"/>
    <w:rsid w:val="00BB2051"/>
    <w:rsid w:val="00BB22F5"/>
    <w:rsid w:val="00BB2E09"/>
    <w:rsid w:val="00BB2EC6"/>
    <w:rsid w:val="00BB3942"/>
    <w:rsid w:val="00BB3A8E"/>
    <w:rsid w:val="00BB44B7"/>
    <w:rsid w:val="00BB497F"/>
    <w:rsid w:val="00BB5364"/>
    <w:rsid w:val="00BB5A46"/>
    <w:rsid w:val="00BB5E91"/>
    <w:rsid w:val="00BB60CC"/>
    <w:rsid w:val="00BB61B7"/>
    <w:rsid w:val="00BB660C"/>
    <w:rsid w:val="00BB77C0"/>
    <w:rsid w:val="00BB7A0D"/>
    <w:rsid w:val="00BB7F16"/>
    <w:rsid w:val="00BC286C"/>
    <w:rsid w:val="00BC2929"/>
    <w:rsid w:val="00BC3616"/>
    <w:rsid w:val="00BC3D9F"/>
    <w:rsid w:val="00BC499D"/>
    <w:rsid w:val="00BC4C89"/>
    <w:rsid w:val="00BC4D7C"/>
    <w:rsid w:val="00BC55CE"/>
    <w:rsid w:val="00BC5874"/>
    <w:rsid w:val="00BC5F54"/>
    <w:rsid w:val="00BC705A"/>
    <w:rsid w:val="00BC7828"/>
    <w:rsid w:val="00BC79EB"/>
    <w:rsid w:val="00BC7D5C"/>
    <w:rsid w:val="00BD001B"/>
    <w:rsid w:val="00BD01E4"/>
    <w:rsid w:val="00BD0747"/>
    <w:rsid w:val="00BD1BE8"/>
    <w:rsid w:val="00BD2599"/>
    <w:rsid w:val="00BD26B8"/>
    <w:rsid w:val="00BD2A67"/>
    <w:rsid w:val="00BD2FB2"/>
    <w:rsid w:val="00BD304A"/>
    <w:rsid w:val="00BD30EB"/>
    <w:rsid w:val="00BD376A"/>
    <w:rsid w:val="00BD3DD4"/>
    <w:rsid w:val="00BD406C"/>
    <w:rsid w:val="00BD4235"/>
    <w:rsid w:val="00BD4D3D"/>
    <w:rsid w:val="00BD4E8B"/>
    <w:rsid w:val="00BD544D"/>
    <w:rsid w:val="00BD591A"/>
    <w:rsid w:val="00BD61DD"/>
    <w:rsid w:val="00BD62D5"/>
    <w:rsid w:val="00BD6430"/>
    <w:rsid w:val="00BD693B"/>
    <w:rsid w:val="00BD7FCF"/>
    <w:rsid w:val="00BE03F7"/>
    <w:rsid w:val="00BE0BC8"/>
    <w:rsid w:val="00BE0F93"/>
    <w:rsid w:val="00BE106F"/>
    <w:rsid w:val="00BE1D3E"/>
    <w:rsid w:val="00BE2BE8"/>
    <w:rsid w:val="00BE2C37"/>
    <w:rsid w:val="00BE3B32"/>
    <w:rsid w:val="00BE4031"/>
    <w:rsid w:val="00BE42FB"/>
    <w:rsid w:val="00BE5A80"/>
    <w:rsid w:val="00BE5C2C"/>
    <w:rsid w:val="00BE7057"/>
    <w:rsid w:val="00BE7209"/>
    <w:rsid w:val="00BE785D"/>
    <w:rsid w:val="00BF01AC"/>
    <w:rsid w:val="00BF048A"/>
    <w:rsid w:val="00BF1C62"/>
    <w:rsid w:val="00BF258D"/>
    <w:rsid w:val="00BF2A54"/>
    <w:rsid w:val="00BF3263"/>
    <w:rsid w:val="00BF4F15"/>
    <w:rsid w:val="00BF565C"/>
    <w:rsid w:val="00BF59F0"/>
    <w:rsid w:val="00BF5D3C"/>
    <w:rsid w:val="00BF5E1C"/>
    <w:rsid w:val="00BF5EA5"/>
    <w:rsid w:val="00BF5F83"/>
    <w:rsid w:val="00BF6406"/>
    <w:rsid w:val="00BF718D"/>
    <w:rsid w:val="00BF7CC6"/>
    <w:rsid w:val="00C00D6F"/>
    <w:rsid w:val="00C01794"/>
    <w:rsid w:val="00C01CA2"/>
    <w:rsid w:val="00C02208"/>
    <w:rsid w:val="00C026A8"/>
    <w:rsid w:val="00C026DC"/>
    <w:rsid w:val="00C02E0C"/>
    <w:rsid w:val="00C0337A"/>
    <w:rsid w:val="00C03558"/>
    <w:rsid w:val="00C0425F"/>
    <w:rsid w:val="00C0479E"/>
    <w:rsid w:val="00C0535B"/>
    <w:rsid w:val="00C0599E"/>
    <w:rsid w:val="00C05BF4"/>
    <w:rsid w:val="00C0620D"/>
    <w:rsid w:val="00C064D8"/>
    <w:rsid w:val="00C064DC"/>
    <w:rsid w:val="00C065C2"/>
    <w:rsid w:val="00C1010F"/>
    <w:rsid w:val="00C112E0"/>
    <w:rsid w:val="00C114A9"/>
    <w:rsid w:val="00C128E1"/>
    <w:rsid w:val="00C1332D"/>
    <w:rsid w:val="00C137BF"/>
    <w:rsid w:val="00C13CB8"/>
    <w:rsid w:val="00C14101"/>
    <w:rsid w:val="00C1435C"/>
    <w:rsid w:val="00C147D4"/>
    <w:rsid w:val="00C149BD"/>
    <w:rsid w:val="00C151ED"/>
    <w:rsid w:val="00C15A45"/>
    <w:rsid w:val="00C15AF9"/>
    <w:rsid w:val="00C15F8C"/>
    <w:rsid w:val="00C161A8"/>
    <w:rsid w:val="00C17111"/>
    <w:rsid w:val="00C17452"/>
    <w:rsid w:val="00C17DF5"/>
    <w:rsid w:val="00C207D5"/>
    <w:rsid w:val="00C2098C"/>
    <w:rsid w:val="00C20DD3"/>
    <w:rsid w:val="00C2161B"/>
    <w:rsid w:val="00C21811"/>
    <w:rsid w:val="00C21A01"/>
    <w:rsid w:val="00C2250B"/>
    <w:rsid w:val="00C22681"/>
    <w:rsid w:val="00C22AEE"/>
    <w:rsid w:val="00C231E5"/>
    <w:rsid w:val="00C233F8"/>
    <w:rsid w:val="00C238F2"/>
    <w:rsid w:val="00C23E81"/>
    <w:rsid w:val="00C2448E"/>
    <w:rsid w:val="00C24784"/>
    <w:rsid w:val="00C25473"/>
    <w:rsid w:val="00C25A93"/>
    <w:rsid w:val="00C25BDA"/>
    <w:rsid w:val="00C26413"/>
    <w:rsid w:val="00C27425"/>
    <w:rsid w:val="00C275B0"/>
    <w:rsid w:val="00C27ACE"/>
    <w:rsid w:val="00C30237"/>
    <w:rsid w:val="00C30D8E"/>
    <w:rsid w:val="00C31077"/>
    <w:rsid w:val="00C317C6"/>
    <w:rsid w:val="00C323F7"/>
    <w:rsid w:val="00C32C77"/>
    <w:rsid w:val="00C33104"/>
    <w:rsid w:val="00C332D4"/>
    <w:rsid w:val="00C3399B"/>
    <w:rsid w:val="00C33F96"/>
    <w:rsid w:val="00C34292"/>
    <w:rsid w:val="00C34CE5"/>
    <w:rsid w:val="00C34F0D"/>
    <w:rsid w:val="00C35F11"/>
    <w:rsid w:val="00C3658E"/>
    <w:rsid w:val="00C3662B"/>
    <w:rsid w:val="00C36719"/>
    <w:rsid w:val="00C36E1C"/>
    <w:rsid w:val="00C379C9"/>
    <w:rsid w:val="00C40345"/>
    <w:rsid w:val="00C40ED3"/>
    <w:rsid w:val="00C40F5A"/>
    <w:rsid w:val="00C41D85"/>
    <w:rsid w:val="00C423D3"/>
    <w:rsid w:val="00C42B30"/>
    <w:rsid w:val="00C4442B"/>
    <w:rsid w:val="00C44885"/>
    <w:rsid w:val="00C44B46"/>
    <w:rsid w:val="00C4535A"/>
    <w:rsid w:val="00C45AA6"/>
    <w:rsid w:val="00C45BC8"/>
    <w:rsid w:val="00C46333"/>
    <w:rsid w:val="00C46E60"/>
    <w:rsid w:val="00C47277"/>
    <w:rsid w:val="00C4777E"/>
    <w:rsid w:val="00C50602"/>
    <w:rsid w:val="00C50DC9"/>
    <w:rsid w:val="00C51011"/>
    <w:rsid w:val="00C5162B"/>
    <w:rsid w:val="00C51B78"/>
    <w:rsid w:val="00C529C5"/>
    <w:rsid w:val="00C52F50"/>
    <w:rsid w:val="00C53B3C"/>
    <w:rsid w:val="00C54CA0"/>
    <w:rsid w:val="00C5507E"/>
    <w:rsid w:val="00C55215"/>
    <w:rsid w:val="00C5553D"/>
    <w:rsid w:val="00C560AC"/>
    <w:rsid w:val="00C56853"/>
    <w:rsid w:val="00C56B03"/>
    <w:rsid w:val="00C56EB4"/>
    <w:rsid w:val="00C570A0"/>
    <w:rsid w:val="00C572FF"/>
    <w:rsid w:val="00C5781C"/>
    <w:rsid w:val="00C6012C"/>
    <w:rsid w:val="00C60343"/>
    <w:rsid w:val="00C60DF1"/>
    <w:rsid w:val="00C60FE5"/>
    <w:rsid w:val="00C614D3"/>
    <w:rsid w:val="00C61717"/>
    <w:rsid w:val="00C6422D"/>
    <w:rsid w:val="00C64290"/>
    <w:rsid w:val="00C66236"/>
    <w:rsid w:val="00C66977"/>
    <w:rsid w:val="00C66D5D"/>
    <w:rsid w:val="00C67127"/>
    <w:rsid w:val="00C674C8"/>
    <w:rsid w:val="00C70181"/>
    <w:rsid w:val="00C7024B"/>
    <w:rsid w:val="00C72302"/>
    <w:rsid w:val="00C72B23"/>
    <w:rsid w:val="00C73193"/>
    <w:rsid w:val="00C738A6"/>
    <w:rsid w:val="00C73B45"/>
    <w:rsid w:val="00C7441A"/>
    <w:rsid w:val="00C75125"/>
    <w:rsid w:val="00C76B56"/>
    <w:rsid w:val="00C76DA5"/>
    <w:rsid w:val="00C76FB7"/>
    <w:rsid w:val="00C77428"/>
    <w:rsid w:val="00C77EED"/>
    <w:rsid w:val="00C802B6"/>
    <w:rsid w:val="00C80407"/>
    <w:rsid w:val="00C80888"/>
    <w:rsid w:val="00C80C4C"/>
    <w:rsid w:val="00C81DF0"/>
    <w:rsid w:val="00C81F56"/>
    <w:rsid w:val="00C83EFB"/>
    <w:rsid w:val="00C83FE5"/>
    <w:rsid w:val="00C84558"/>
    <w:rsid w:val="00C84FB6"/>
    <w:rsid w:val="00C85054"/>
    <w:rsid w:val="00C854D4"/>
    <w:rsid w:val="00C86362"/>
    <w:rsid w:val="00C867C5"/>
    <w:rsid w:val="00C867D6"/>
    <w:rsid w:val="00C86D95"/>
    <w:rsid w:val="00C878CC"/>
    <w:rsid w:val="00C87DBD"/>
    <w:rsid w:val="00C90556"/>
    <w:rsid w:val="00C90F63"/>
    <w:rsid w:val="00C91101"/>
    <w:rsid w:val="00C919F4"/>
    <w:rsid w:val="00C91B5A"/>
    <w:rsid w:val="00C91D20"/>
    <w:rsid w:val="00C92642"/>
    <w:rsid w:val="00C92816"/>
    <w:rsid w:val="00C92A33"/>
    <w:rsid w:val="00C92B9D"/>
    <w:rsid w:val="00C92CB4"/>
    <w:rsid w:val="00C93371"/>
    <w:rsid w:val="00C93C0E"/>
    <w:rsid w:val="00C9421E"/>
    <w:rsid w:val="00C9486D"/>
    <w:rsid w:val="00C94E44"/>
    <w:rsid w:val="00C95C10"/>
    <w:rsid w:val="00C96409"/>
    <w:rsid w:val="00C977D5"/>
    <w:rsid w:val="00C97ACE"/>
    <w:rsid w:val="00C97D6B"/>
    <w:rsid w:val="00CA023B"/>
    <w:rsid w:val="00CA0D78"/>
    <w:rsid w:val="00CA173C"/>
    <w:rsid w:val="00CA1904"/>
    <w:rsid w:val="00CA1C8F"/>
    <w:rsid w:val="00CA1E68"/>
    <w:rsid w:val="00CA22D1"/>
    <w:rsid w:val="00CA4855"/>
    <w:rsid w:val="00CA5320"/>
    <w:rsid w:val="00CA5D90"/>
    <w:rsid w:val="00CA792D"/>
    <w:rsid w:val="00CA7DE4"/>
    <w:rsid w:val="00CA7F18"/>
    <w:rsid w:val="00CB1142"/>
    <w:rsid w:val="00CB1A78"/>
    <w:rsid w:val="00CB24FE"/>
    <w:rsid w:val="00CB2E56"/>
    <w:rsid w:val="00CB30D4"/>
    <w:rsid w:val="00CB3293"/>
    <w:rsid w:val="00CB3D5E"/>
    <w:rsid w:val="00CB4312"/>
    <w:rsid w:val="00CB45F0"/>
    <w:rsid w:val="00CB495B"/>
    <w:rsid w:val="00CB5916"/>
    <w:rsid w:val="00CB6318"/>
    <w:rsid w:val="00CC0C6B"/>
    <w:rsid w:val="00CC16BF"/>
    <w:rsid w:val="00CC2AA0"/>
    <w:rsid w:val="00CC2C87"/>
    <w:rsid w:val="00CC2F68"/>
    <w:rsid w:val="00CC3674"/>
    <w:rsid w:val="00CC3684"/>
    <w:rsid w:val="00CC399B"/>
    <w:rsid w:val="00CC3B78"/>
    <w:rsid w:val="00CC4621"/>
    <w:rsid w:val="00CC4F6D"/>
    <w:rsid w:val="00CC5937"/>
    <w:rsid w:val="00CC5A98"/>
    <w:rsid w:val="00CC5A9D"/>
    <w:rsid w:val="00CC6B09"/>
    <w:rsid w:val="00CC7123"/>
    <w:rsid w:val="00CD00CA"/>
    <w:rsid w:val="00CD0900"/>
    <w:rsid w:val="00CD0925"/>
    <w:rsid w:val="00CD0B49"/>
    <w:rsid w:val="00CD166D"/>
    <w:rsid w:val="00CD232E"/>
    <w:rsid w:val="00CD2D87"/>
    <w:rsid w:val="00CD354C"/>
    <w:rsid w:val="00CD425F"/>
    <w:rsid w:val="00CD43A8"/>
    <w:rsid w:val="00CD44D5"/>
    <w:rsid w:val="00CD4576"/>
    <w:rsid w:val="00CD47B2"/>
    <w:rsid w:val="00CD4D71"/>
    <w:rsid w:val="00CD4F7C"/>
    <w:rsid w:val="00CD58FD"/>
    <w:rsid w:val="00CD5AA6"/>
    <w:rsid w:val="00CD5C08"/>
    <w:rsid w:val="00CD6B35"/>
    <w:rsid w:val="00CD6E30"/>
    <w:rsid w:val="00CD715A"/>
    <w:rsid w:val="00CD7779"/>
    <w:rsid w:val="00CD7BD0"/>
    <w:rsid w:val="00CE04D1"/>
    <w:rsid w:val="00CE0B15"/>
    <w:rsid w:val="00CE11F7"/>
    <w:rsid w:val="00CE15DF"/>
    <w:rsid w:val="00CE2B7B"/>
    <w:rsid w:val="00CE3ACA"/>
    <w:rsid w:val="00CE3F24"/>
    <w:rsid w:val="00CE44DD"/>
    <w:rsid w:val="00CE49BB"/>
    <w:rsid w:val="00CE4DFF"/>
    <w:rsid w:val="00CE55EC"/>
    <w:rsid w:val="00CE5DAF"/>
    <w:rsid w:val="00CE66D9"/>
    <w:rsid w:val="00CE7770"/>
    <w:rsid w:val="00CE7AB8"/>
    <w:rsid w:val="00CE7DAA"/>
    <w:rsid w:val="00CE7F83"/>
    <w:rsid w:val="00CF08EF"/>
    <w:rsid w:val="00CF0D1F"/>
    <w:rsid w:val="00CF1337"/>
    <w:rsid w:val="00CF3290"/>
    <w:rsid w:val="00CF4915"/>
    <w:rsid w:val="00CF4922"/>
    <w:rsid w:val="00CF4BC5"/>
    <w:rsid w:val="00CF4D3A"/>
    <w:rsid w:val="00CF55AD"/>
    <w:rsid w:val="00CF57A6"/>
    <w:rsid w:val="00CF5A6F"/>
    <w:rsid w:val="00CF66EE"/>
    <w:rsid w:val="00CF71E4"/>
    <w:rsid w:val="00CF7349"/>
    <w:rsid w:val="00CF744F"/>
    <w:rsid w:val="00CF7466"/>
    <w:rsid w:val="00CF7B32"/>
    <w:rsid w:val="00CF7E23"/>
    <w:rsid w:val="00D00372"/>
    <w:rsid w:val="00D00512"/>
    <w:rsid w:val="00D00726"/>
    <w:rsid w:val="00D02B40"/>
    <w:rsid w:val="00D03307"/>
    <w:rsid w:val="00D03444"/>
    <w:rsid w:val="00D047F4"/>
    <w:rsid w:val="00D0481A"/>
    <w:rsid w:val="00D04A8E"/>
    <w:rsid w:val="00D055E8"/>
    <w:rsid w:val="00D06571"/>
    <w:rsid w:val="00D069C2"/>
    <w:rsid w:val="00D06DBE"/>
    <w:rsid w:val="00D07172"/>
    <w:rsid w:val="00D07898"/>
    <w:rsid w:val="00D07AC9"/>
    <w:rsid w:val="00D108A6"/>
    <w:rsid w:val="00D10A5F"/>
    <w:rsid w:val="00D10B33"/>
    <w:rsid w:val="00D11406"/>
    <w:rsid w:val="00D1163D"/>
    <w:rsid w:val="00D119FE"/>
    <w:rsid w:val="00D1227C"/>
    <w:rsid w:val="00D12B03"/>
    <w:rsid w:val="00D12B27"/>
    <w:rsid w:val="00D1310A"/>
    <w:rsid w:val="00D1409F"/>
    <w:rsid w:val="00D1477D"/>
    <w:rsid w:val="00D14BFF"/>
    <w:rsid w:val="00D1549E"/>
    <w:rsid w:val="00D158AE"/>
    <w:rsid w:val="00D158E9"/>
    <w:rsid w:val="00D16442"/>
    <w:rsid w:val="00D16980"/>
    <w:rsid w:val="00D16A85"/>
    <w:rsid w:val="00D1751C"/>
    <w:rsid w:val="00D20184"/>
    <w:rsid w:val="00D20FC2"/>
    <w:rsid w:val="00D213C1"/>
    <w:rsid w:val="00D21F21"/>
    <w:rsid w:val="00D21FE6"/>
    <w:rsid w:val="00D23A88"/>
    <w:rsid w:val="00D245CE"/>
    <w:rsid w:val="00D2672C"/>
    <w:rsid w:val="00D27450"/>
    <w:rsid w:val="00D277FF"/>
    <w:rsid w:val="00D278C4"/>
    <w:rsid w:val="00D278DE"/>
    <w:rsid w:val="00D300FE"/>
    <w:rsid w:val="00D30790"/>
    <w:rsid w:val="00D30C49"/>
    <w:rsid w:val="00D30DB8"/>
    <w:rsid w:val="00D31ED2"/>
    <w:rsid w:val="00D31F52"/>
    <w:rsid w:val="00D3315D"/>
    <w:rsid w:val="00D331D4"/>
    <w:rsid w:val="00D343FA"/>
    <w:rsid w:val="00D3459F"/>
    <w:rsid w:val="00D345C0"/>
    <w:rsid w:val="00D34868"/>
    <w:rsid w:val="00D36CDB"/>
    <w:rsid w:val="00D374CB"/>
    <w:rsid w:val="00D418FF"/>
    <w:rsid w:val="00D41FC0"/>
    <w:rsid w:val="00D42039"/>
    <w:rsid w:val="00D434CD"/>
    <w:rsid w:val="00D435C3"/>
    <w:rsid w:val="00D43A12"/>
    <w:rsid w:val="00D4588C"/>
    <w:rsid w:val="00D45A7E"/>
    <w:rsid w:val="00D46CB0"/>
    <w:rsid w:val="00D476EF"/>
    <w:rsid w:val="00D506B9"/>
    <w:rsid w:val="00D50D42"/>
    <w:rsid w:val="00D51208"/>
    <w:rsid w:val="00D5171A"/>
    <w:rsid w:val="00D532A1"/>
    <w:rsid w:val="00D54A2E"/>
    <w:rsid w:val="00D54F45"/>
    <w:rsid w:val="00D55865"/>
    <w:rsid w:val="00D5594D"/>
    <w:rsid w:val="00D56B3E"/>
    <w:rsid w:val="00D572E4"/>
    <w:rsid w:val="00D57606"/>
    <w:rsid w:val="00D57826"/>
    <w:rsid w:val="00D57F81"/>
    <w:rsid w:val="00D6080D"/>
    <w:rsid w:val="00D611D8"/>
    <w:rsid w:val="00D6157E"/>
    <w:rsid w:val="00D61E23"/>
    <w:rsid w:val="00D62CE1"/>
    <w:rsid w:val="00D6424E"/>
    <w:rsid w:val="00D6444D"/>
    <w:rsid w:val="00D648C0"/>
    <w:rsid w:val="00D649C7"/>
    <w:rsid w:val="00D64EF9"/>
    <w:rsid w:val="00D64FC7"/>
    <w:rsid w:val="00D65664"/>
    <w:rsid w:val="00D65815"/>
    <w:rsid w:val="00D65AA5"/>
    <w:rsid w:val="00D65C76"/>
    <w:rsid w:val="00D65E4C"/>
    <w:rsid w:val="00D66701"/>
    <w:rsid w:val="00D67011"/>
    <w:rsid w:val="00D67A34"/>
    <w:rsid w:val="00D67E54"/>
    <w:rsid w:val="00D713B7"/>
    <w:rsid w:val="00D71419"/>
    <w:rsid w:val="00D722A3"/>
    <w:rsid w:val="00D73432"/>
    <w:rsid w:val="00D734C7"/>
    <w:rsid w:val="00D7469A"/>
    <w:rsid w:val="00D74E5A"/>
    <w:rsid w:val="00D7542B"/>
    <w:rsid w:val="00D75E00"/>
    <w:rsid w:val="00D75E68"/>
    <w:rsid w:val="00D762F0"/>
    <w:rsid w:val="00D764A1"/>
    <w:rsid w:val="00D76FEC"/>
    <w:rsid w:val="00D771D5"/>
    <w:rsid w:val="00D801DB"/>
    <w:rsid w:val="00D80E3B"/>
    <w:rsid w:val="00D81C99"/>
    <w:rsid w:val="00D8351F"/>
    <w:rsid w:val="00D84D83"/>
    <w:rsid w:val="00D8651A"/>
    <w:rsid w:val="00D86544"/>
    <w:rsid w:val="00D86E0B"/>
    <w:rsid w:val="00D873C0"/>
    <w:rsid w:val="00D87C72"/>
    <w:rsid w:val="00D901CA"/>
    <w:rsid w:val="00D905E7"/>
    <w:rsid w:val="00D90601"/>
    <w:rsid w:val="00D90D12"/>
    <w:rsid w:val="00D915A9"/>
    <w:rsid w:val="00D925F0"/>
    <w:rsid w:val="00D928AF"/>
    <w:rsid w:val="00D92B6A"/>
    <w:rsid w:val="00D92D44"/>
    <w:rsid w:val="00D936F6"/>
    <w:rsid w:val="00D93CD5"/>
    <w:rsid w:val="00D93F6D"/>
    <w:rsid w:val="00D94538"/>
    <w:rsid w:val="00D95234"/>
    <w:rsid w:val="00D954A1"/>
    <w:rsid w:val="00D9570E"/>
    <w:rsid w:val="00D9583C"/>
    <w:rsid w:val="00D95D7E"/>
    <w:rsid w:val="00D9618E"/>
    <w:rsid w:val="00D96E5F"/>
    <w:rsid w:val="00D978B4"/>
    <w:rsid w:val="00DA10F7"/>
    <w:rsid w:val="00DA1235"/>
    <w:rsid w:val="00DA13A2"/>
    <w:rsid w:val="00DA1D32"/>
    <w:rsid w:val="00DA29BF"/>
    <w:rsid w:val="00DA2F73"/>
    <w:rsid w:val="00DA3668"/>
    <w:rsid w:val="00DA4410"/>
    <w:rsid w:val="00DA47D9"/>
    <w:rsid w:val="00DA4CB6"/>
    <w:rsid w:val="00DA5BEB"/>
    <w:rsid w:val="00DA6437"/>
    <w:rsid w:val="00DA6EB0"/>
    <w:rsid w:val="00DA793E"/>
    <w:rsid w:val="00DA7972"/>
    <w:rsid w:val="00DA7A55"/>
    <w:rsid w:val="00DA7C6E"/>
    <w:rsid w:val="00DB0B18"/>
    <w:rsid w:val="00DB0DA8"/>
    <w:rsid w:val="00DB1726"/>
    <w:rsid w:val="00DB1A62"/>
    <w:rsid w:val="00DB1AA2"/>
    <w:rsid w:val="00DB2B67"/>
    <w:rsid w:val="00DB3319"/>
    <w:rsid w:val="00DB397E"/>
    <w:rsid w:val="00DB3AFF"/>
    <w:rsid w:val="00DB3FD9"/>
    <w:rsid w:val="00DB5E95"/>
    <w:rsid w:val="00DB6AF1"/>
    <w:rsid w:val="00DB7A09"/>
    <w:rsid w:val="00DB7EB0"/>
    <w:rsid w:val="00DC00BF"/>
    <w:rsid w:val="00DC177D"/>
    <w:rsid w:val="00DC18C4"/>
    <w:rsid w:val="00DC1D8E"/>
    <w:rsid w:val="00DC2571"/>
    <w:rsid w:val="00DC2A29"/>
    <w:rsid w:val="00DC307B"/>
    <w:rsid w:val="00DC343B"/>
    <w:rsid w:val="00DC3C31"/>
    <w:rsid w:val="00DC3C75"/>
    <w:rsid w:val="00DC462F"/>
    <w:rsid w:val="00DC478C"/>
    <w:rsid w:val="00DC499A"/>
    <w:rsid w:val="00DC4EE6"/>
    <w:rsid w:val="00DC5355"/>
    <w:rsid w:val="00DC54AF"/>
    <w:rsid w:val="00DC5CA0"/>
    <w:rsid w:val="00DC5D8F"/>
    <w:rsid w:val="00DC5EEA"/>
    <w:rsid w:val="00DC71AD"/>
    <w:rsid w:val="00DC76A2"/>
    <w:rsid w:val="00DD0B12"/>
    <w:rsid w:val="00DD10A8"/>
    <w:rsid w:val="00DD1540"/>
    <w:rsid w:val="00DD196E"/>
    <w:rsid w:val="00DD2FE1"/>
    <w:rsid w:val="00DD337A"/>
    <w:rsid w:val="00DD3D88"/>
    <w:rsid w:val="00DD3DC8"/>
    <w:rsid w:val="00DD5698"/>
    <w:rsid w:val="00DD5DBB"/>
    <w:rsid w:val="00DD6A21"/>
    <w:rsid w:val="00DD72CF"/>
    <w:rsid w:val="00DE0203"/>
    <w:rsid w:val="00DE09E8"/>
    <w:rsid w:val="00DE0A27"/>
    <w:rsid w:val="00DE1461"/>
    <w:rsid w:val="00DE18A7"/>
    <w:rsid w:val="00DE1A76"/>
    <w:rsid w:val="00DE2EFB"/>
    <w:rsid w:val="00DE3094"/>
    <w:rsid w:val="00DE3F3A"/>
    <w:rsid w:val="00DE4575"/>
    <w:rsid w:val="00DE4D66"/>
    <w:rsid w:val="00DE4F1C"/>
    <w:rsid w:val="00DE5AC1"/>
    <w:rsid w:val="00DE5B6F"/>
    <w:rsid w:val="00DE6097"/>
    <w:rsid w:val="00DE60CA"/>
    <w:rsid w:val="00DE6744"/>
    <w:rsid w:val="00DE6CC5"/>
    <w:rsid w:val="00DE700F"/>
    <w:rsid w:val="00DF0154"/>
    <w:rsid w:val="00DF06C2"/>
    <w:rsid w:val="00DF0AA6"/>
    <w:rsid w:val="00DF12E5"/>
    <w:rsid w:val="00DF1ABF"/>
    <w:rsid w:val="00DF20FF"/>
    <w:rsid w:val="00DF210D"/>
    <w:rsid w:val="00DF21B5"/>
    <w:rsid w:val="00DF2425"/>
    <w:rsid w:val="00DF286D"/>
    <w:rsid w:val="00DF2ADA"/>
    <w:rsid w:val="00DF30AB"/>
    <w:rsid w:val="00DF3B57"/>
    <w:rsid w:val="00DF4254"/>
    <w:rsid w:val="00DF47FD"/>
    <w:rsid w:val="00DF4823"/>
    <w:rsid w:val="00DF4E51"/>
    <w:rsid w:val="00DF50CF"/>
    <w:rsid w:val="00DF5686"/>
    <w:rsid w:val="00DF65E4"/>
    <w:rsid w:val="00DF6ACD"/>
    <w:rsid w:val="00DF700D"/>
    <w:rsid w:val="00E00768"/>
    <w:rsid w:val="00E01183"/>
    <w:rsid w:val="00E01AF6"/>
    <w:rsid w:val="00E02517"/>
    <w:rsid w:val="00E029AF"/>
    <w:rsid w:val="00E030D4"/>
    <w:rsid w:val="00E0367E"/>
    <w:rsid w:val="00E040B4"/>
    <w:rsid w:val="00E040F8"/>
    <w:rsid w:val="00E066A7"/>
    <w:rsid w:val="00E069B5"/>
    <w:rsid w:val="00E06D73"/>
    <w:rsid w:val="00E07644"/>
    <w:rsid w:val="00E07A69"/>
    <w:rsid w:val="00E103E9"/>
    <w:rsid w:val="00E10663"/>
    <w:rsid w:val="00E11255"/>
    <w:rsid w:val="00E1172A"/>
    <w:rsid w:val="00E12D5E"/>
    <w:rsid w:val="00E13386"/>
    <w:rsid w:val="00E133F5"/>
    <w:rsid w:val="00E1343F"/>
    <w:rsid w:val="00E13770"/>
    <w:rsid w:val="00E13908"/>
    <w:rsid w:val="00E13D7F"/>
    <w:rsid w:val="00E14833"/>
    <w:rsid w:val="00E14E2D"/>
    <w:rsid w:val="00E15BA9"/>
    <w:rsid w:val="00E15DEA"/>
    <w:rsid w:val="00E160C1"/>
    <w:rsid w:val="00E1675F"/>
    <w:rsid w:val="00E17538"/>
    <w:rsid w:val="00E203A8"/>
    <w:rsid w:val="00E207F7"/>
    <w:rsid w:val="00E2130A"/>
    <w:rsid w:val="00E21642"/>
    <w:rsid w:val="00E224F4"/>
    <w:rsid w:val="00E227D1"/>
    <w:rsid w:val="00E22879"/>
    <w:rsid w:val="00E2310A"/>
    <w:rsid w:val="00E23B97"/>
    <w:rsid w:val="00E23D45"/>
    <w:rsid w:val="00E24734"/>
    <w:rsid w:val="00E24B54"/>
    <w:rsid w:val="00E24F4F"/>
    <w:rsid w:val="00E24FA3"/>
    <w:rsid w:val="00E25659"/>
    <w:rsid w:val="00E259E9"/>
    <w:rsid w:val="00E25CE8"/>
    <w:rsid w:val="00E26B28"/>
    <w:rsid w:val="00E26C4F"/>
    <w:rsid w:val="00E27281"/>
    <w:rsid w:val="00E27368"/>
    <w:rsid w:val="00E274BC"/>
    <w:rsid w:val="00E27CB7"/>
    <w:rsid w:val="00E3011C"/>
    <w:rsid w:val="00E3016C"/>
    <w:rsid w:val="00E31465"/>
    <w:rsid w:val="00E3188C"/>
    <w:rsid w:val="00E328CD"/>
    <w:rsid w:val="00E32E4C"/>
    <w:rsid w:val="00E335AB"/>
    <w:rsid w:val="00E33D29"/>
    <w:rsid w:val="00E33E28"/>
    <w:rsid w:val="00E3489E"/>
    <w:rsid w:val="00E35060"/>
    <w:rsid w:val="00E351FE"/>
    <w:rsid w:val="00E35EC5"/>
    <w:rsid w:val="00E362F0"/>
    <w:rsid w:val="00E3685D"/>
    <w:rsid w:val="00E36B95"/>
    <w:rsid w:val="00E37A2E"/>
    <w:rsid w:val="00E37FB4"/>
    <w:rsid w:val="00E4003F"/>
    <w:rsid w:val="00E4004B"/>
    <w:rsid w:val="00E40134"/>
    <w:rsid w:val="00E40B3F"/>
    <w:rsid w:val="00E41358"/>
    <w:rsid w:val="00E41401"/>
    <w:rsid w:val="00E417EA"/>
    <w:rsid w:val="00E41AEE"/>
    <w:rsid w:val="00E422AC"/>
    <w:rsid w:val="00E422CF"/>
    <w:rsid w:val="00E4310A"/>
    <w:rsid w:val="00E4348B"/>
    <w:rsid w:val="00E441A9"/>
    <w:rsid w:val="00E44FBF"/>
    <w:rsid w:val="00E451AD"/>
    <w:rsid w:val="00E458E6"/>
    <w:rsid w:val="00E458F6"/>
    <w:rsid w:val="00E45954"/>
    <w:rsid w:val="00E46270"/>
    <w:rsid w:val="00E46704"/>
    <w:rsid w:val="00E46BA0"/>
    <w:rsid w:val="00E46C17"/>
    <w:rsid w:val="00E46FAE"/>
    <w:rsid w:val="00E47351"/>
    <w:rsid w:val="00E47439"/>
    <w:rsid w:val="00E4759D"/>
    <w:rsid w:val="00E50199"/>
    <w:rsid w:val="00E503AB"/>
    <w:rsid w:val="00E51BF2"/>
    <w:rsid w:val="00E5230B"/>
    <w:rsid w:val="00E52670"/>
    <w:rsid w:val="00E52E9C"/>
    <w:rsid w:val="00E5318B"/>
    <w:rsid w:val="00E53546"/>
    <w:rsid w:val="00E5409F"/>
    <w:rsid w:val="00E545C5"/>
    <w:rsid w:val="00E55F24"/>
    <w:rsid w:val="00E57FE9"/>
    <w:rsid w:val="00E6123E"/>
    <w:rsid w:val="00E6199F"/>
    <w:rsid w:val="00E61F3D"/>
    <w:rsid w:val="00E6246F"/>
    <w:rsid w:val="00E6274C"/>
    <w:rsid w:val="00E65117"/>
    <w:rsid w:val="00E65CB4"/>
    <w:rsid w:val="00E65D14"/>
    <w:rsid w:val="00E65E1A"/>
    <w:rsid w:val="00E665FF"/>
    <w:rsid w:val="00E66DF5"/>
    <w:rsid w:val="00E67846"/>
    <w:rsid w:val="00E67866"/>
    <w:rsid w:val="00E7123C"/>
    <w:rsid w:val="00E71453"/>
    <w:rsid w:val="00E71604"/>
    <w:rsid w:val="00E769D9"/>
    <w:rsid w:val="00E77015"/>
    <w:rsid w:val="00E770E2"/>
    <w:rsid w:val="00E77296"/>
    <w:rsid w:val="00E77989"/>
    <w:rsid w:val="00E77ECB"/>
    <w:rsid w:val="00E77FC1"/>
    <w:rsid w:val="00E81D52"/>
    <w:rsid w:val="00E827B4"/>
    <w:rsid w:val="00E82A5D"/>
    <w:rsid w:val="00E82E04"/>
    <w:rsid w:val="00E82F65"/>
    <w:rsid w:val="00E83D7A"/>
    <w:rsid w:val="00E84012"/>
    <w:rsid w:val="00E84C49"/>
    <w:rsid w:val="00E84D15"/>
    <w:rsid w:val="00E85564"/>
    <w:rsid w:val="00E85797"/>
    <w:rsid w:val="00E8593D"/>
    <w:rsid w:val="00E85963"/>
    <w:rsid w:val="00E868C8"/>
    <w:rsid w:val="00E87733"/>
    <w:rsid w:val="00E8774A"/>
    <w:rsid w:val="00E87BD3"/>
    <w:rsid w:val="00E90108"/>
    <w:rsid w:val="00E90318"/>
    <w:rsid w:val="00E90B7B"/>
    <w:rsid w:val="00E91A0E"/>
    <w:rsid w:val="00E91C27"/>
    <w:rsid w:val="00E91C9D"/>
    <w:rsid w:val="00E92A59"/>
    <w:rsid w:val="00E93168"/>
    <w:rsid w:val="00E9381C"/>
    <w:rsid w:val="00E93D19"/>
    <w:rsid w:val="00E94060"/>
    <w:rsid w:val="00E940AB"/>
    <w:rsid w:val="00E94BF1"/>
    <w:rsid w:val="00E950E2"/>
    <w:rsid w:val="00E9548E"/>
    <w:rsid w:val="00E95633"/>
    <w:rsid w:val="00E95D96"/>
    <w:rsid w:val="00E960F2"/>
    <w:rsid w:val="00E96610"/>
    <w:rsid w:val="00E9662F"/>
    <w:rsid w:val="00E96823"/>
    <w:rsid w:val="00E96AB9"/>
    <w:rsid w:val="00E96FDE"/>
    <w:rsid w:val="00E9704D"/>
    <w:rsid w:val="00E970C1"/>
    <w:rsid w:val="00E97705"/>
    <w:rsid w:val="00EA1301"/>
    <w:rsid w:val="00EA2E31"/>
    <w:rsid w:val="00EA33BF"/>
    <w:rsid w:val="00EA41F8"/>
    <w:rsid w:val="00EA4496"/>
    <w:rsid w:val="00EA44CC"/>
    <w:rsid w:val="00EA44D9"/>
    <w:rsid w:val="00EA4FD3"/>
    <w:rsid w:val="00EA51DE"/>
    <w:rsid w:val="00EA54DB"/>
    <w:rsid w:val="00EA5860"/>
    <w:rsid w:val="00EA5E12"/>
    <w:rsid w:val="00EA6321"/>
    <w:rsid w:val="00EA6E03"/>
    <w:rsid w:val="00EA73ED"/>
    <w:rsid w:val="00EA7480"/>
    <w:rsid w:val="00EA7BEE"/>
    <w:rsid w:val="00EA7D9C"/>
    <w:rsid w:val="00EB06F7"/>
    <w:rsid w:val="00EB13E6"/>
    <w:rsid w:val="00EB16A9"/>
    <w:rsid w:val="00EB1974"/>
    <w:rsid w:val="00EB23DC"/>
    <w:rsid w:val="00EB240E"/>
    <w:rsid w:val="00EB26EC"/>
    <w:rsid w:val="00EB4452"/>
    <w:rsid w:val="00EB44E3"/>
    <w:rsid w:val="00EB5410"/>
    <w:rsid w:val="00EB597F"/>
    <w:rsid w:val="00EB640E"/>
    <w:rsid w:val="00EB65F0"/>
    <w:rsid w:val="00EB6A76"/>
    <w:rsid w:val="00EC0548"/>
    <w:rsid w:val="00EC05C0"/>
    <w:rsid w:val="00EC0A23"/>
    <w:rsid w:val="00EC0AC0"/>
    <w:rsid w:val="00EC1F4F"/>
    <w:rsid w:val="00EC2480"/>
    <w:rsid w:val="00EC2741"/>
    <w:rsid w:val="00EC2F7D"/>
    <w:rsid w:val="00EC59DE"/>
    <w:rsid w:val="00EC5DCE"/>
    <w:rsid w:val="00EC5E50"/>
    <w:rsid w:val="00EC69C2"/>
    <w:rsid w:val="00EC6EB1"/>
    <w:rsid w:val="00ED2375"/>
    <w:rsid w:val="00ED2DDD"/>
    <w:rsid w:val="00ED38F0"/>
    <w:rsid w:val="00ED41D1"/>
    <w:rsid w:val="00ED431F"/>
    <w:rsid w:val="00ED4945"/>
    <w:rsid w:val="00ED5BE2"/>
    <w:rsid w:val="00ED701E"/>
    <w:rsid w:val="00ED73AD"/>
    <w:rsid w:val="00ED7B87"/>
    <w:rsid w:val="00EE0F8E"/>
    <w:rsid w:val="00EE23A4"/>
    <w:rsid w:val="00EE243B"/>
    <w:rsid w:val="00EE24F4"/>
    <w:rsid w:val="00EE3BB9"/>
    <w:rsid w:val="00EE41CB"/>
    <w:rsid w:val="00EE443C"/>
    <w:rsid w:val="00EE4517"/>
    <w:rsid w:val="00EE4CF0"/>
    <w:rsid w:val="00EE5431"/>
    <w:rsid w:val="00EE5A78"/>
    <w:rsid w:val="00EE60EF"/>
    <w:rsid w:val="00EE711D"/>
    <w:rsid w:val="00EE7E3A"/>
    <w:rsid w:val="00EF0AF4"/>
    <w:rsid w:val="00EF2642"/>
    <w:rsid w:val="00EF2833"/>
    <w:rsid w:val="00EF2B2D"/>
    <w:rsid w:val="00EF2EF9"/>
    <w:rsid w:val="00EF32E7"/>
    <w:rsid w:val="00EF3606"/>
    <w:rsid w:val="00EF36C9"/>
    <w:rsid w:val="00EF3901"/>
    <w:rsid w:val="00EF3E07"/>
    <w:rsid w:val="00EF422D"/>
    <w:rsid w:val="00EF4416"/>
    <w:rsid w:val="00EF458A"/>
    <w:rsid w:val="00EF47CF"/>
    <w:rsid w:val="00EF4E44"/>
    <w:rsid w:val="00EF60A2"/>
    <w:rsid w:val="00EF6FE0"/>
    <w:rsid w:val="00EF700E"/>
    <w:rsid w:val="00EF7D10"/>
    <w:rsid w:val="00F00136"/>
    <w:rsid w:val="00F00D43"/>
    <w:rsid w:val="00F010B1"/>
    <w:rsid w:val="00F017D6"/>
    <w:rsid w:val="00F034A3"/>
    <w:rsid w:val="00F04010"/>
    <w:rsid w:val="00F047FA"/>
    <w:rsid w:val="00F0487B"/>
    <w:rsid w:val="00F0540B"/>
    <w:rsid w:val="00F054B5"/>
    <w:rsid w:val="00F05553"/>
    <w:rsid w:val="00F058C9"/>
    <w:rsid w:val="00F05D08"/>
    <w:rsid w:val="00F06A8E"/>
    <w:rsid w:val="00F06B9F"/>
    <w:rsid w:val="00F06E3F"/>
    <w:rsid w:val="00F06F8F"/>
    <w:rsid w:val="00F071FA"/>
    <w:rsid w:val="00F0799D"/>
    <w:rsid w:val="00F107A0"/>
    <w:rsid w:val="00F117F4"/>
    <w:rsid w:val="00F11850"/>
    <w:rsid w:val="00F127A8"/>
    <w:rsid w:val="00F134A4"/>
    <w:rsid w:val="00F14C6D"/>
    <w:rsid w:val="00F15248"/>
    <w:rsid w:val="00F15D80"/>
    <w:rsid w:val="00F1658D"/>
    <w:rsid w:val="00F16A1C"/>
    <w:rsid w:val="00F175F4"/>
    <w:rsid w:val="00F17CC6"/>
    <w:rsid w:val="00F20255"/>
    <w:rsid w:val="00F21D3B"/>
    <w:rsid w:val="00F21E37"/>
    <w:rsid w:val="00F220A5"/>
    <w:rsid w:val="00F2239E"/>
    <w:rsid w:val="00F22D04"/>
    <w:rsid w:val="00F24D0E"/>
    <w:rsid w:val="00F25ABE"/>
    <w:rsid w:val="00F25E69"/>
    <w:rsid w:val="00F2647C"/>
    <w:rsid w:val="00F264EC"/>
    <w:rsid w:val="00F27A1F"/>
    <w:rsid w:val="00F30252"/>
    <w:rsid w:val="00F32192"/>
    <w:rsid w:val="00F32C8B"/>
    <w:rsid w:val="00F33AAA"/>
    <w:rsid w:val="00F33DBD"/>
    <w:rsid w:val="00F342AC"/>
    <w:rsid w:val="00F34362"/>
    <w:rsid w:val="00F34BC9"/>
    <w:rsid w:val="00F35436"/>
    <w:rsid w:val="00F35511"/>
    <w:rsid w:val="00F3596D"/>
    <w:rsid w:val="00F35BFC"/>
    <w:rsid w:val="00F35DDC"/>
    <w:rsid w:val="00F363F0"/>
    <w:rsid w:val="00F366D3"/>
    <w:rsid w:val="00F36C01"/>
    <w:rsid w:val="00F3711F"/>
    <w:rsid w:val="00F374D0"/>
    <w:rsid w:val="00F37BD0"/>
    <w:rsid w:val="00F40183"/>
    <w:rsid w:val="00F41189"/>
    <w:rsid w:val="00F41D29"/>
    <w:rsid w:val="00F42143"/>
    <w:rsid w:val="00F42362"/>
    <w:rsid w:val="00F4278A"/>
    <w:rsid w:val="00F43944"/>
    <w:rsid w:val="00F43AD7"/>
    <w:rsid w:val="00F4455A"/>
    <w:rsid w:val="00F44750"/>
    <w:rsid w:val="00F448A5"/>
    <w:rsid w:val="00F44954"/>
    <w:rsid w:val="00F44F09"/>
    <w:rsid w:val="00F458B9"/>
    <w:rsid w:val="00F45DFF"/>
    <w:rsid w:val="00F47148"/>
    <w:rsid w:val="00F47F42"/>
    <w:rsid w:val="00F506D9"/>
    <w:rsid w:val="00F50A37"/>
    <w:rsid w:val="00F51102"/>
    <w:rsid w:val="00F513AE"/>
    <w:rsid w:val="00F51E1F"/>
    <w:rsid w:val="00F522DA"/>
    <w:rsid w:val="00F53F14"/>
    <w:rsid w:val="00F5429F"/>
    <w:rsid w:val="00F54C39"/>
    <w:rsid w:val="00F60928"/>
    <w:rsid w:val="00F6169F"/>
    <w:rsid w:val="00F6175B"/>
    <w:rsid w:val="00F6194E"/>
    <w:rsid w:val="00F61AE9"/>
    <w:rsid w:val="00F6216B"/>
    <w:rsid w:val="00F621B9"/>
    <w:rsid w:val="00F62EA1"/>
    <w:rsid w:val="00F62FB0"/>
    <w:rsid w:val="00F63A77"/>
    <w:rsid w:val="00F64195"/>
    <w:rsid w:val="00F646BE"/>
    <w:rsid w:val="00F6521A"/>
    <w:rsid w:val="00F659AC"/>
    <w:rsid w:val="00F66353"/>
    <w:rsid w:val="00F67295"/>
    <w:rsid w:val="00F6731A"/>
    <w:rsid w:val="00F67411"/>
    <w:rsid w:val="00F67448"/>
    <w:rsid w:val="00F67AAF"/>
    <w:rsid w:val="00F67E6A"/>
    <w:rsid w:val="00F7279B"/>
    <w:rsid w:val="00F72BF8"/>
    <w:rsid w:val="00F73811"/>
    <w:rsid w:val="00F73E2F"/>
    <w:rsid w:val="00F74B52"/>
    <w:rsid w:val="00F74D69"/>
    <w:rsid w:val="00F75A11"/>
    <w:rsid w:val="00F75C70"/>
    <w:rsid w:val="00F75FC1"/>
    <w:rsid w:val="00F76133"/>
    <w:rsid w:val="00F76488"/>
    <w:rsid w:val="00F76677"/>
    <w:rsid w:val="00F768FD"/>
    <w:rsid w:val="00F769F6"/>
    <w:rsid w:val="00F77525"/>
    <w:rsid w:val="00F775B4"/>
    <w:rsid w:val="00F776AF"/>
    <w:rsid w:val="00F7782E"/>
    <w:rsid w:val="00F81113"/>
    <w:rsid w:val="00F82896"/>
    <w:rsid w:val="00F82CCD"/>
    <w:rsid w:val="00F8302E"/>
    <w:rsid w:val="00F84646"/>
    <w:rsid w:val="00F856BA"/>
    <w:rsid w:val="00F86B32"/>
    <w:rsid w:val="00F86DAB"/>
    <w:rsid w:val="00F8766D"/>
    <w:rsid w:val="00F87EE9"/>
    <w:rsid w:val="00F90421"/>
    <w:rsid w:val="00F91186"/>
    <w:rsid w:val="00F92678"/>
    <w:rsid w:val="00F93140"/>
    <w:rsid w:val="00F9366E"/>
    <w:rsid w:val="00F936DB"/>
    <w:rsid w:val="00F9549B"/>
    <w:rsid w:val="00F95782"/>
    <w:rsid w:val="00F958BA"/>
    <w:rsid w:val="00F95C06"/>
    <w:rsid w:val="00F95FE7"/>
    <w:rsid w:val="00F962B4"/>
    <w:rsid w:val="00F96358"/>
    <w:rsid w:val="00F96B54"/>
    <w:rsid w:val="00F96CF7"/>
    <w:rsid w:val="00F9797A"/>
    <w:rsid w:val="00FA05DA"/>
    <w:rsid w:val="00FA1D83"/>
    <w:rsid w:val="00FA288C"/>
    <w:rsid w:val="00FA3D11"/>
    <w:rsid w:val="00FA3E3B"/>
    <w:rsid w:val="00FA4916"/>
    <w:rsid w:val="00FA4FDD"/>
    <w:rsid w:val="00FA560C"/>
    <w:rsid w:val="00FA5C36"/>
    <w:rsid w:val="00FA64CE"/>
    <w:rsid w:val="00FA6B0B"/>
    <w:rsid w:val="00FA732C"/>
    <w:rsid w:val="00FA789B"/>
    <w:rsid w:val="00FA7E5C"/>
    <w:rsid w:val="00FB00BE"/>
    <w:rsid w:val="00FB0B9D"/>
    <w:rsid w:val="00FB0EF1"/>
    <w:rsid w:val="00FB13AA"/>
    <w:rsid w:val="00FB193D"/>
    <w:rsid w:val="00FB301E"/>
    <w:rsid w:val="00FB3177"/>
    <w:rsid w:val="00FB321F"/>
    <w:rsid w:val="00FB3422"/>
    <w:rsid w:val="00FB3AE7"/>
    <w:rsid w:val="00FB3B05"/>
    <w:rsid w:val="00FB3E26"/>
    <w:rsid w:val="00FB427E"/>
    <w:rsid w:val="00FB46B1"/>
    <w:rsid w:val="00FB4CF9"/>
    <w:rsid w:val="00FB4E1D"/>
    <w:rsid w:val="00FB5828"/>
    <w:rsid w:val="00FB59D3"/>
    <w:rsid w:val="00FB5BB9"/>
    <w:rsid w:val="00FB6302"/>
    <w:rsid w:val="00FB66AA"/>
    <w:rsid w:val="00FB744A"/>
    <w:rsid w:val="00FB747A"/>
    <w:rsid w:val="00FB750C"/>
    <w:rsid w:val="00FB754C"/>
    <w:rsid w:val="00FB7DBE"/>
    <w:rsid w:val="00FC050F"/>
    <w:rsid w:val="00FC0D09"/>
    <w:rsid w:val="00FC0E58"/>
    <w:rsid w:val="00FC0FD6"/>
    <w:rsid w:val="00FC1720"/>
    <w:rsid w:val="00FC3021"/>
    <w:rsid w:val="00FC35A9"/>
    <w:rsid w:val="00FC4658"/>
    <w:rsid w:val="00FC552B"/>
    <w:rsid w:val="00FC5552"/>
    <w:rsid w:val="00FC569F"/>
    <w:rsid w:val="00FC5B9B"/>
    <w:rsid w:val="00FC5E0F"/>
    <w:rsid w:val="00FC5ED6"/>
    <w:rsid w:val="00FC6163"/>
    <w:rsid w:val="00FC61CD"/>
    <w:rsid w:val="00FC6724"/>
    <w:rsid w:val="00FC6AEC"/>
    <w:rsid w:val="00FC6D44"/>
    <w:rsid w:val="00FC7017"/>
    <w:rsid w:val="00FD01B5"/>
    <w:rsid w:val="00FD03CD"/>
    <w:rsid w:val="00FD0C9E"/>
    <w:rsid w:val="00FD3855"/>
    <w:rsid w:val="00FD40F2"/>
    <w:rsid w:val="00FD5082"/>
    <w:rsid w:val="00FD516B"/>
    <w:rsid w:val="00FD5202"/>
    <w:rsid w:val="00FD5608"/>
    <w:rsid w:val="00FD5769"/>
    <w:rsid w:val="00FD5BF0"/>
    <w:rsid w:val="00FD6179"/>
    <w:rsid w:val="00FD7CFC"/>
    <w:rsid w:val="00FE0000"/>
    <w:rsid w:val="00FE30ED"/>
    <w:rsid w:val="00FE36FB"/>
    <w:rsid w:val="00FE3771"/>
    <w:rsid w:val="00FE38C3"/>
    <w:rsid w:val="00FE42F4"/>
    <w:rsid w:val="00FE441A"/>
    <w:rsid w:val="00FE4607"/>
    <w:rsid w:val="00FE47DF"/>
    <w:rsid w:val="00FE56CC"/>
    <w:rsid w:val="00FE5949"/>
    <w:rsid w:val="00FE5AED"/>
    <w:rsid w:val="00FE63A1"/>
    <w:rsid w:val="00FE6533"/>
    <w:rsid w:val="00FF00DD"/>
    <w:rsid w:val="00FF2298"/>
    <w:rsid w:val="00FF2983"/>
    <w:rsid w:val="00FF3F07"/>
    <w:rsid w:val="00FF41BB"/>
    <w:rsid w:val="00FF46B3"/>
    <w:rsid w:val="00FF486A"/>
    <w:rsid w:val="00FF4C90"/>
    <w:rsid w:val="00FF4EAD"/>
    <w:rsid w:val="00FF7602"/>
    <w:rsid w:val="00FF7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1F5D926"/>
  <w15:chartTrackingRefBased/>
  <w15:docId w15:val="{708EAD5B-BBA7-4109-A969-F0EE845A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annotation text" w:uiPriority="99"/>
    <w:lsdException w:name="header" w:locked="0" w:qFormat="1"/>
    <w:lsdException w:name="footer" w:locked="0" w:uiPriority="99"/>
    <w:lsdException w:name="caption" w:semiHidden="1" w:unhideWhenUsed="1" w:qFormat="1"/>
    <w:lsdException w:name="annotation reference" w:uiPriority="99"/>
    <w:lsdException w:name="endnote reference" w:locked="0" w:qFormat="1"/>
    <w:lsdException w:name="endnote text" w:locked="0" w:qFormat="1"/>
    <w:lsdException w:name="List Bullet" w:qFormat="1"/>
    <w:lsdException w:name="List Number" w:qFormat="1"/>
    <w:lsdException w:name="Default Paragraph Font" w:locked="0" w:uiPriority="1"/>
    <w:lsdException w:name="List Continue 4" w:locked="0"/>
    <w:lsdException w:name="Subtitle" w:qFormat="1"/>
    <w:lsdException w:name="Hyperlink" w:locked="0" w:uiPriority="99"/>
    <w:lsdException w:name="Strong" w:locked="0"/>
    <w:lsdException w:name="Emphasis" w:uiPriority="20" w:qFormat="1"/>
    <w:lsdException w:name="HTML Top of Form" w:locked="0"/>
    <w:lsdException w:name="HTML Bottom of Form" w:locked="0"/>
    <w:lsdException w:name="Normal (Web)" w:uiPriority="99"/>
    <w:lsdException w:name="HTML Preformatted" w:semiHidden="1" w:unhideWhenUsed="1"/>
    <w:lsdException w:name="Normal Table"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46"/>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aliases w:val="(a) subsection"/>
    <w:basedOn w:val="Heading3"/>
    <w:link w:val="HeaderChar"/>
    <w:qFormat/>
    <w:rsid w:val="000006D7"/>
    <w:rPr>
      <w:i/>
    </w:rPr>
  </w:style>
  <w:style w:type="character" w:customStyle="1" w:styleId="HeaderChar">
    <w:name w:val="Header Char"/>
    <w:aliases w:val="(a) subsection Char"/>
    <w:link w:val="Header"/>
    <w:rsid w:val="000006D7"/>
    <w:rPr>
      <w:rFonts w:ascii="Open Sans" w:eastAsia="MS Mincho" w:hAnsi="Open Sans"/>
      <w:bCs/>
      <w:i/>
      <w:sz w:val="24"/>
      <w:szCs w:val="26"/>
    </w:rPr>
  </w:style>
  <w:style w:type="paragraph" w:styleId="Footer">
    <w:name w:val="footer"/>
    <w:basedOn w:val="Normal"/>
    <w:link w:val="FooterChar"/>
    <w:uiPriority w:val="99"/>
    <w:rsid w:val="0063009F"/>
    <w:pPr>
      <w:tabs>
        <w:tab w:val="right" w:pos="2835"/>
        <w:tab w:val="right" w:pos="5670"/>
      </w:tabs>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ind w:left="720" w:hanging="720"/>
    </w:pPr>
    <w:rPr>
      <w:b/>
      <w:noProof/>
    </w:rPr>
  </w:style>
  <w:style w:type="paragraph" w:styleId="TOC2">
    <w:name w:val="toc 2"/>
    <w:basedOn w:val="Normal"/>
    <w:next w:val="Normal"/>
    <w:uiPriority w:val="39"/>
    <w:locked/>
    <w:rsid w:val="00A92F92"/>
    <w:pPr>
      <w:tabs>
        <w:tab w:val="right" w:leader="dot" w:pos="9060"/>
      </w:tabs>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after="360"/>
    </w:pPr>
    <w:rPr>
      <w:b/>
      <w:lang w:val="en-US" w:eastAsia="en-US"/>
    </w:rPr>
  </w:style>
  <w:style w:type="paragraph" w:styleId="EndnoteText">
    <w:name w:val="endnote text"/>
    <w:aliases w:val="Quote sub"/>
    <w:basedOn w:val="Normal"/>
    <w:link w:val="EndnoteTextChar1"/>
    <w:qFormat/>
    <w:rsid w:val="00B327AE"/>
    <w:pPr>
      <w:spacing w:before="120" w:after="120"/>
      <w:ind w:left="1134"/>
    </w:pPr>
    <w:rPr>
      <w:sz w:val="22"/>
      <w:szCs w:val="22"/>
      <w:lang w:val="en"/>
    </w:rPr>
  </w:style>
  <w:style w:type="character" w:customStyle="1" w:styleId="EndnoteTextChar1">
    <w:name w:val="Endnote Text Char1"/>
    <w:aliases w:val="Quote sub Char"/>
    <w:link w:val="EndnoteText"/>
    <w:rsid w:val="00B327AE"/>
    <w:rPr>
      <w:rFonts w:ascii="Open Sans" w:eastAsia="MS Mincho" w:hAnsi="Open Sans"/>
      <w:sz w:val="22"/>
      <w:szCs w:val="22"/>
      <w:lang w:val="en"/>
    </w:rPr>
  </w:style>
  <w:style w:type="character" w:styleId="EndnoteReference">
    <w:name w:val="endnote reference"/>
    <w:aliases w:val="QUOTE"/>
    <w:qFormat/>
    <w:rsid w:val="00B03B63"/>
    <w:rPr>
      <w:rFonts w:cs="Open Sans"/>
      <w:sz w:val="22"/>
      <w:szCs w:val="22"/>
      <w:lang w:val="en"/>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link w:val="ListBulletChar"/>
    <w:qFormat/>
    <w:rsid w:val="00024B07"/>
    <w:pPr>
      <w:numPr>
        <w:numId w:val="2"/>
      </w:numPr>
      <w:tabs>
        <w:tab w:val="clear" w:pos="1134"/>
        <w:tab w:val="left" w:pos="1418"/>
      </w:tabs>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link w:val="ListNumberChar"/>
    <w:qFormat/>
    <w:rsid w:val="007B06EA"/>
    <w:pPr>
      <w:numPr>
        <w:numId w:val="7"/>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aliases w:val="Quote AHRC"/>
    <w:basedOn w:val="ListNumber"/>
    <w:link w:val="SubtitleChar"/>
    <w:qFormat/>
    <w:rsid w:val="009066A2"/>
    <w:pPr>
      <w:numPr>
        <w:numId w:val="0"/>
      </w:numPr>
      <w:ind w:left="720"/>
    </w:pPr>
    <w:rPr>
      <w:sz w:val="22"/>
      <w:szCs w:val="22"/>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aliases w:val="Quote sub Char1"/>
    <w:uiPriority w:val="99"/>
    <w:locked/>
    <w:rsid w:val="00045C4B"/>
    <w:rPr>
      <w:rFonts w:ascii="Open Sans" w:hAnsi="Open Sans"/>
      <w:sz w:val="20"/>
      <w:lang w:bidi="ar-SA"/>
    </w:rPr>
  </w:style>
  <w:style w:type="character" w:customStyle="1" w:styleId="SubtitleChar">
    <w:name w:val="Subtitle Char"/>
    <w:aliases w:val="Quote AHRC Char"/>
    <w:link w:val="Subtitle"/>
    <w:rsid w:val="009066A2"/>
    <w:rPr>
      <w:rFonts w:ascii="Open Sans" w:eastAsia="MS Mincho" w:hAnsi="Open Sans"/>
      <w:sz w:val="22"/>
      <w:szCs w:val="22"/>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tx2">
    <w:name w:val="tx2"/>
    <w:basedOn w:val="Normal"/>
    <w:rsid w:val="00034483"/>
    <w:pPr>
      <w:ind w:firstLine="240"/>
    </w:pPr>
    <w:rPr>
      <w:rFonts w:ascii="Times New Roman" w:eastAsia="Times New Roman" w:hAnsi="Times New Roman"/>
    </w:rPr>
  </w:style>
  <w:style w:type="paragraph" w:customStyle="1" w:styleId="tx-11">
    <w:name w:val="tx-11"/>
    <w:basedOn w:val="Normal"/>
    <w:rsid w:val="00034483"/>
    <w:pPr>
      <w:ind w:firstLine="240"/>
    </w:pPr>
    <w:rPr>
      <w:rFonts w:ascii="Times New Roman" w:eastAsia="Times New Roman" w:hAnsi="Times New Roman"/>
    </w:rPr>
  </w:style>
  <w:style w:type="paragraph" w:styleId="FootnoteText">
    <w:name w:val="footnote text"/>
    <w:basedOn w:val="Normal"/>
    <w:link w:val="FootnoteTextChar"/>
    <w:locked/>
    <w:rsid w:val="006B02B1"/>
    <w:rPr>
      <w:sz w:val="20"/>
      <w:szCs w:val="20"/>
    </w:rPr>
  </w:style>
  <w:style w:type="character" w:customStyle="1" w:styleId="FootnoteTextChar">
    <w:name w:val="Footnote Text Char"/>
    <w:basedOn w:val="DefaultParagraphFont"/>
    <w:link w:val="FootnoteText"/>
    <w:rsid w:val="006B02B1"/>
    <w:rPr>
      <w:rFonts w:ascii="Open Sans" w:eastAsia="MS Mincho" w:hAnsi="Open Sans"/>
    </w:rPr>
  </w:style>
  <w:style w:type="character" w:styleId="FootnoteReference">
    <w:name w:val="footnote reference"/>
    <w:basedOn w:val="DefaultParagraphFont"/>
    <w:locked/>
    <w:rsid w:val="006B02B1"/>
    <w:rPr>
      <w:vertAlign w:val="superscript"/>
    </w:rPr>
  </w:style>
  <w:style w:type="paragraph" w:customStyle="1" w:styleId="Default">
    <w:name w:val="Default"/>
    <w:rsid w:val="00DA13A2"/>
    <w:pPr>
      <w:autoSpaceDE w:val="0"/>
      <w:autoSpaceDN w:val="0"/>
      <w:adjustRightInd w:val="0"/>
    </w:pPr>
    <w:rPr>
      <w:rFonts w:ascii="Arial" w:hAnsi="Arial" w:cs="Arial"/>
      <w:color w:val="000000"/>
      <w:sz w:val="24"/>
      <w:szCs w:val="24"/>
    </w:rPr>
  </w:style>
  <w:style w:type="paragraph" w:customStyle="1" w:styleId="Bullet">
    <w:name w:val="Bullet"/>
    <w:basedOn w:val="ListBullet"/>
    <w:link w:val="BulletChar"/>
    <w:qFormat/>
    <w:rsid w:val="00F67E6A"/>
  </w:style>
  <w:style w:type="character" w:customStyle="1" w:styleId="ListNumberChar">
    <w:name w:val="List Number Char"/>
    <w:basedOn w:val="DefaultParagraphFont"/>
    <w:link w:val="ListNumber"/>
    <w:rsid w:val="00F67E6A"/>
    <w:rPr>
      <w:rFonts w:ascii="Open Sans" w:eastAsia="MS Mincho" w:hAnsi="Open Sans"/>
      <w:sz w:val="24"/>
      <w:szCs w:val="24"/>
    </w:rPr>
  </w:style>
  <w:style w:type="character" w:customStyle="1" w:styleId="ListBulletChar">
    <w:name w:val="List Bullet Char"/>
    <w:basedOn w:val="ListNumberChar"/>
    <w:link w:val="ListBullet"/>
    <w:rsid w:val="00F67E6A"/>
    <w:rPr>
      <w:rFonts w:ascii="Open Sans" w:eastAsia="MS Mincho" w:hAnsi="Open Sans"/>
      <w:sz w:val="24"/>
      <w:szCs w:val="24"/>
    </w:rPr>
  </w:style>
  <w:style w:type="character" w:customStyle="1" w:styleId="BulletChar">
    <w:name w:val="Bullet Char"/>
    <w:basedOn w:val="ListBulletChar"/>
    <w:link w:val="Bullet"/>
    <w:rsid w:val="00F67E6A"/>
    <w:rPr>
      <w:rFonts w:ascii="Open Sans" w:eastAsia="MS Mincho" w:hAnsi="Open Sans"/>
      <w:sz w:val="24"/>
      <w:szCs w:val="24"/>
    </w:rPr>
  </w:style>
  <w:style w:type="character" w:customStyle="1" w:styleId="apple-converted-space">
    <w:name w:val="apple-converted-space"/>
    <w:basedOn w:val="DefaultParagraphFont"/>
    <w:rsid w:val="00812EBF"/>
  </w:style>
  <w:style w:type="character" w:customStyle="1" w:styleId="UnresolvedMention2">
    <w:name w:val="Unresolved Mention2"/>
    <w:basedOn w:val="DefaultParagraphFont"/>
    <w:uiPriority w:val="99"/>
    <w:semiHidden/>
    <w:unhideWhenUsed/>
    <w:rsid w:val="00F054B5"/>
    <w:rPr>
      <w:color w:val="605E5C"/>
      <w:shd w:val="clear" w:color="auto" w:fill="E1DFDD"/>
    </w:rPr>
  </w:style>
  <w:style w:type="character" w:customStyle="1" w:styleId="st1">
    <w:name w:val="st1"/>
    <w:basedOn w:val="DefaultParagraphFont"/>
    <w:rsid w:val="00036B70"/>
  </w:style>
  <w:style w:type="character" w:customStyle="1" w:styleId="Hyperlink0">
    <w:name w:val="Hyperlink.0"/>
    <w:rsid w:val="00FB00BE"/>
    <w:rPr>
      <w:color w:val="000000"/>
      <w:u w:val="none" w:color="000000"/>
    </w:rPr>
  </w:style>
  <w:style w:type="character" w:customStyle="1" w:styleId="UnresolvedMention3">
    <w:name w:val="Unresolved Mention3"/>
    <w:basedOn w:val="DefaultParagraphFont"/>
    <w:uiPriority w:val="99"/>
    <w:semiHidden/>
    <w:unhideWhenUsed/>
    <w:rsid w:val="00DC5355"/>
    <w:rPr>
      <w:color w:val="605E5C"/>
      <w:shd w:val="clear" w:color="auto" w:fill="E1DFDD"/>
    </w:rPr>
  </w:style>
  <w:style w:type="character" w:customStyle="1" w:styleId="UnresolvedMention4">
    <w:name w:val="Unresolved Mention4"/>
    <w:basedOn w:val="DefaultParagraphFont"/>
    <w:uiPriority w:val="99"/>
    <w:semiHidden/>
    <w:unhideWhenUsed/>
    <w:rsid w:val="00FD5202"/>
    <w:rPr>
      <w:color w:val="605E5C"/>
      <w:shd w:val="clear" w:color="auto" w:fill="E1DFDD"/>
    </w:rPr>
  </w:style>
  <w:style w:type="paragraph" w:styleId="Revision">
    <w:name w:val="Revision"/>
    <w:hidden/>
    <w:uiPriority w:val="99"/>
    <w:semiHidden/>
    <w:rsid w:val="00A451C5"/>
    <w:rPr>
      <w:rFonts w:ascii="Open Sans" w:eastAsia="MS Mincho" w:hAnsi="Open Sans"/>
      <w:sz w:val="24"/>
      <w:szCs w:val="24"/>
    </w:rPr>
  </w:style>
  <w:style w:type="character" w:customStyle="1" w:styleId="UnresolvedMention5">
    <w:name w:val="Unresolved Mention5"/>
    <w:basedOn w:val="DefaultParagraphFont"/>
    <w:uiPriority w:val="99"/>
    <w:semiHidden/>
    <w:unhideWhenUsed/>
    <w:rsid w:val="005B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4214">
      <w:bodyDiv w:val="1"/>
      <w:marLeft w:val="0"/>
      <w:marRight w:val="0"/>
      <w:marTop w:val="0"/>
      <w:marBottom w:val="0"/>
      <w:divBdr>
        <w:top w:val="none" w:sz="0" w:space="0" w:color="auto"/>
        <w:left w:val="none" w:sz="0" w:space="0" w:color="auto"/>
        <w:bottom w:val="none" w:sz="0" w:space="0" w:color="auto"/>
        <w:right w:val="none" w:sz="0" w:space="0" w:color="auto"/>
      </w:divBdr>
      <w:divsChild>
        <w:div w:id="597325575">
          <w:marLeft w:val="0"/>
          <w:marRight w:val="0"/>
          <w:marTop w:val="0"/>
          <w:marBottom w:val="0"/>
          <w:divBdr>
            <w:top w:val="none" w:sz="0" w:space="0" w:color="auto"/>
            <w:left w:val="none" w:sz="0" w:space="0" w:color="auto"/>
            <w:bottom w:val="none" w:sz="0" w:space="0" w:color="auto"/>
            <w:right w:val="none" w:sz="0" w:space="0" w:color="auto"/>
          </w:divBdr>
          <w:divsChild>
            <w:div w:id="1861313470">
              <w:marLeft w:val="0"/>
              <w:marRight w:val="0"/>
              <w:marTop w:val="0"/>
              <w:marBottom w:val="0"/>
              <w:divBdr>
                <w:top w:val="none" w:sz="0" w:space="0" w:color="auto"/>
                <w:left w:val="none" w:sz="0" w:space="0" w:color="auto"/>
                <w:bottom w:val="none" w:sz="0" w:space="0" w:color="auto"/>
                <w:right w:val="none" w:sz="0" w:space="0" w:color="auto"/>
              </w:divBdr>
              <w:divsChild>
                <w:div w:id="1757432510">
                  <w:marLeft w:val="0"/>
                  <w:marRight w:val="0"/>
                  <w:marTop w:val="0"/>
                  <w:marBottom w:val="0"/>
                  <w:divBdr>
                    <w:top w:val="none" w:sz="0" w:space="0" w:color="auto"/>
                    <w:left w:val="none" w:sz="0" w:space="0" w:color="auto"/>
                    <w:bottom w:val="none" w:sz="0" w:space="0" w:color="auto"/>
                    <w:right w:val="none" w:sz="0" w:space="0" w:color="auto"/>
                  </w:divBdr>
                  <w:divsChild>
                    <w:div w:id="1026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41185">
      <w:bodyDiv w:val="1"/>
      <w:marLeft w:val="0"/>
      <w:marRight w:val="0"/>
      <w:marTop w:val="0"/>
      <w:marBottom w:val="0"/>
      <w:divBdr>
        <w:top w:val="none" w:sz="0" w:space="0" w:color="auto"/>
        <w:left w:val="none" w:sz="0" w:space="0" w:color="auto"/>
        <w:bottom w:val="none" w:sz="0" w:space="0" w:color="auto"/>
        <w:right w:val="none" w:sz="0" w:space="0" w:color="auto"/>
      </w:divBdr>
      <w:divsChild>
        <w:div w:id="755829364">
          <w:marLeft w:val="0"/>
          <w:marRight w:val="0"/>
          <w:marTop w:val="0"/>
          <w:marBottom w:val="0"/>
          <w:divBdr>
            <w:top w:val="none" w:sz="0" w:space="0" w:color="auto"/>
            <w:left w:val="none" w:sz="0" w:space="0" w:color="auto"/>
            <w:bottom w:val="none" w:sz="0" w:space="0" w:color="auto"/>
            <w:right w:val="none" w:sz="0" w:space="0" w:color="auto"/>
          </w:divBdr>
          <w:divsChild>
            <w:div w:id="153032460">
              <w:marLeft w:val="0"/>
              <w:marRight w:val="0"/>
              <w:marTop w:val="0"/>
              <w:marBottom w:val="0"/>
              <w:divBdr>
                <w:top w:val="none" w:sz="0" w:space="0" w:color="auto"/>
                <w:left w:val="none" w:sz="0" w:space="0" w:color="auto"/>
                <w:bottom w:val="none" w:sz="0" w:space="0" w:color="auto"/>
                <w:right w:val="none" w:sz="0" w:space="0" w:color="auto"/>
              </w:divBdr>
              <w:divsChild>
                <w:div w:id="571432566">
                  <w:marLeft w:val="0"/>
                  <w:marRight w:val="0"/>
                  <w:marTop w:val="0"/>
                  <w:marBottom w:val="0"/>
                  <w:divBdr>
                    <w:top w:val="none" w:sz="0" w:space="0" w:color="auto"/>
                    <w:left w:val="none" w:sz="0" w:space="0" w:color="auto"/>
                    <w:bottom w:val="none" w:sz="0" w:space="0" w:color="auto"/>
                    <w:right w:val="none" w:sz="0" w:space="0" w:color="auto"/>
                  </w:divBdr>
                  <w:divsChild>
                    <w:div w:id="513421900">
                      <w:marLeft w:val="0"/>
                      <w:marRight w:val="0"/>
                      <w:marTop w:val="0"/>
                      <w:marBottom w:val="0"/>
                      <w:divBdr>
                        <w:top w:val="none" w:sz="0" w:space="0" w:color="auto"/>
                        <w:left w:val="none" w:sz="0" w:space="0" w:color="auto"/>
                        <w:bottom w:val="none" w:sz="0" w:space="0" w:color="auto"/>
                        <w:right w:val="none" w:sz="0" w:space="0" w:color="auto"/>
                      </w:divBdr>
                      <w:divsChild>
                        <w:div w:id="15812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0690">
      <w:bodyDiv w:val="1"/>
      <w:marLeft w:val="0"/>
      <w:marRight w:val="0"/>
      <w:marTop w:val="0"/>
      <w:marBottom w:val="0"/>
      <w:divBdr>
        <w:top w:val="none" w:sz="0" w:space="0" w:color="auto"/>
        <w:left w:val="none" w:sz="0" w:space="0" w:color="auto"/>
        <w:bottom w:val="none" w:sz="0" w:space="0" w:color="auto"/>
        <w:right w:val="none" w:sz="0" w:space="0" w:color="auto"/>
      </w:divBdr>
      <w:divsChild>
        <w:div w:id="1275557473">
          <w:marLeft w:val="0"/>
          <w:marRight w:val="0"/>
          <w:marTop w:val="0"/>
          <w:marBottom w:val="0"/>
          <w:divBdr>
            <w:top w:val="none" w:sz="0" w:space="0" w:color="auto"/>
            <w:left w:val="none" w:sz="0" w:space="0" w:color="auto"/>
            <w:bottom w:val="none" w:sz="0" w:space="0" w:color="auto"/>
            <w:right w:val="none" w:sz="0" w:space="0" w:color="auto"/>
          </w:divBdr>
          <w:divsChild>
            <w:div w:id="2055614873">
              <w:marLeft w:val="0"/>
              <w:marRight w:val="0"/>
              <w:marTop w:val="0"/>
              <w:marBottom w:val="0"/>
              <w:divBdr>
                <w:top w:val="none" w:sz="0" w:space="0" w:color="auto"/>
                <w:left w:val="none" w:sz="0" w:space="0" w:color="auto"/>
                <w:bottom w:val="none" w:sz="0" w:space="0" w:color="auto"/>
                <w:right w:val="none" w:sz="0" w:space="0" w:color="auto"/>
              </w:divBdr>
              <w:divsChild>
                <w:div w:id="847327782">
                  <w:marLeft w:val="0"/>
                  <w:marRight w:val="0"/>
                  <w:marTop w:val="0"/>
                  <w:marBottom w:val="0"/>
                  <w:divBdr>
                    <w:top w:val="none" w:sz="0" w:space="0" w:color="auto"/>
                    <w:left w:val="none" w:sz="0" w:space="0" w:color="auto"/>
                    <w:bottom w:val="none" w:sz="0" w:space="0" w:color="auto"/>
                    <w:right w:val="none" w:sz="0" w:space="0" w:color="auto"/>
                  </w:divBdr>
                  <w:divsChild>
                    <w:div w:id="843593042">
                      <w:marLeft w:val="0"/>
                      <w:marRight w:val="0"/>
                      <w:marTop w:val="0"/>
                      <w:marBottom w:val="0"/>
                      <w:divBdr>
                        <w:top w:val="none" w:sz="0" w:space="0" w:color="auto"/>
                        <w:left w:val="none" w:sz="0" w:space="0" w:color="auto"/>
                        <w:bottom w:val="none" w:sz="0" w:space="0" w:color="auto"/>
                        <w:right w:val="none" w:sz="0" w:space="0" w:color="auto"/>
                      </w:divBdr>
                      <w:divsChild>
                        <w:div w:id="2070884513">
                          <w:marLeft w:val="0"/>
                          <w:marRight w:val="0"/>
                          <w:marTop w:val="0"/>
                          <w:marBottom w:val="0"/>
                          <w:divBdr>
                            <w:top w:val="none" w:sz="0" w:space="0" w:color="auto"/>
                            <w:left w:val="none" w:sz="0" w:space="0" w:color="auto"/>
                            <w:bottom w:val="none" w:sz="0" w:space="0" w:color="auto"/>
                            <w:right w:val="none" w:sz="0" w:space="0" w:color="auto"/>
                          </w:divBdr>
                          <w:divsChild>
                            <w:div w:id="360938111">
                              <w:marLeft w:val="0"/>
                              <w:marRight w:val="0"/>
                              <w:marTop w:val="0"/>
                              <w:marBottom w:val="0"/>
                              <w:divBdr>
                                <w:top w:val="none" w:sz="0" w:space="0" w:color="auto"/>
                                <w:left w:val="none" w:sz="0" w:space="0" w:color="auto"/>
                                <w:bottom w:val="none" w:sz="0" w:space="0" w:color="auto"/>
                                <w:right w:val="none" w:sz="0" w:space="0" w:color="auto"/>
                              </w:divBdr>
                              <w:divsChild>
                                <w:div w:id="108554541">
                                  <w:marLeft w:val="0"/>
                                  <w:marRight w:val="0"/>
                                  <w:marTop w:val="0"/>
                                  <w:marBottom w:val="0"/>
                                  <w:divBdr>
                                    <w:top w:val="none" w:sz="0" w:space="0" w:color="auto"/>
                                    <w:left w:val="none" w:sz="0" w:space="0" w:color="auto"/>
                                    <w:bottom w:val="none" w:sz="0" w:space="0" w:color="auto"/>
                                    <w:right w:val="none" w:sz="0" w:space="0" w:color="auto"/>
                                  </w:divBdr>
                                  <w:divsChild>
                                    <w:div w:id="810292883">
                                      <w:marLeft w:val="0"/>
                                      <w:marRight w:val="0"/>
                                      <w:marTop w:val="0"/>
                                      <w:marBottom w:val="0"/>
                                      <w:divBdr>
                                        <w:top w:val="none" w:sz="0" w:space="0" w:color="auto"/>
                                        <w:left w:val="none" w:sz="0" w:space="0" w:color="auto"/>
                                        <w:bottom w:val="none" w:sz="0" w:space="0" w:color="auto"/>
                                        <w:right w:val="none" w:sz="0" w:space="0" w:color="auto"/>
                                      </w:divBdr>
                                      <w:divsChild>
                                        <w:div w:id="49155401">
                                          <w:marLeft w:val="0"/>
                                          <w:marRight w:val="0"/>
                                          <w:marTop w:val="0"/>
                                          <w:marBottom w:val="0"/>
                                          <w:divBdr>
                                            <w:top w:val="none" w:sz="0" w:space="0" w:color="auto"/>
                                            <w:left w:val="none" w:sz="0" w:space="0" w:color="auto"/>
                                            <w:bottom w:val="none" w:sz="0" w:space="0" w:color="auto"/>
                                            <w:right w:val="none" w:sz="0" w:space="0" w:color="auto"/>
                                          </w:divBdr>
                                          <w:divsChild>
                                            <w:div w:id="122773858">
                                              <w:marLeft w:val="0"/>
                                              <w:marRight w:val="0"/>
                                              <w:marTop w:val="0"/>
                                              <w:marBottom w:val="0"/>
                                              <w:divBdr>
                                                <w:top w:val="none" w:sz="0" w:space="0" w:color="auto"/>
                                                <w:left w:val="none" w:sz="0" w:space="0" w:color="auto"/>
                                                <w:bottom w:val="none" w:sz="0" w:space="0" w:color="auto"/>
                                                <w:right w:val="none" w:sz="0" w:space="0" w:color="auto"/>
                                              </w:divBdr>
                                              <w:divsChild>
                                                <w:div w:id="541331677">
                                                  <w:marLeft w:val="0"/>
                                                  <w:marRight w:val="0"/>
                                                  <w:marTop w:val="0"/>
                                                  <w:marBottom w:val="0"/>
                                                  <w:divBdr>
                                                    <w:top w:val="none" w:sz="0" w:space="0" w:color="auto"/>
                                                    <w:left w:val="none" w:sz="0" w:space="0" w:color="auto"/>
                                                    <w:bottom w:val="none" w:sz="0" w:space="0" w:color="auto"/>
                                                    <w:right w:val="none" w:sz="0" w:space="0" w:color="auto"/>
                                                  </w:divBdr>
                                                  <w:divsChild>
                                                    <w:div w:id="1243762347">
                                                      <w:marLeft w:val="0"/>
                                                      <w:marRight w:val="0"/>
                                                      <w:marTop w:val="0"/>
                                                      <w:marBottom w:val="0"/>
                                                      <w:divBdr>
                                                        <w:top w:val="none" w:sz="0" w:space="0" w:color="auto"/>
                                                        <w:left w:val="none" w:sz="0" w:space="0" w:color="auto"/>
                                                        <w:bottom w:val="none" w:sz="0" w:space="0" w:color="auto"/>
                                                        <w:right w:val="none" w:sz="0" w:space="0" w:color="auto"/>
                                                      </w:divBdr>
                                                      <w:divsChild>
                                                        <w:div w:id="1945379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48030">
      <w:bodyDiv w:val="1"/>
      <w:marLeft w:val="0"/>
      <w:marRight w:val="0"/>
      <w:marTop w:val="0"/>
      <w:marBottom w:val="0"/>
      <w:divBdr>
        <w:top w:val="none" w:sz="0" w:space="0" w:color="auto"/>
        <w:left w:val="none" w:sz="0" w:space="0" w:color="auto"/>
        <w:bottom w:val="none" w:sz="0" w:space="0" w:color="auto"/>
        <w:right w:val="none" w:sz="0" w:space="0" w:color="auto"/>
      </w:divBdr>
    </w:div>
    <w:div w:id="95566031">
      <w:bodyDiv w:val="1"/>
      <w:marLeft w:val="0"/>
      <w:marRight w:val="0"/>
      <w:marTop w:val="0"/>
      <w:marBottom w:val="0"/>
      <w:divBdr>
        <w:top w:val="none" w:sz="0" w:space="0" w:color="auto"/>
        <w:left w:val="none" w:sz="0" w:space="0" w:color="auto"/>
        <w:bottom w:val="none" w:sz="0" w:space="0" w:color="auto"/>
        <w:right w:val="none" w:sz="0" w:space="0" w:color="auto"/>
      </w:divBdr>
      <w:divsChild>
        <w:div w:id="1753619681">
          <w:marLeft w:val="-225"/>
          <w:marRight w:val="-225"/>
          <w:marTop w:val="0"/>
          <w:marBottom w:val="0"/>
          <w:divBdr>
            <w:top w:val="none" w:sz="0" w:space="0" w:color="auto"/>
            <w:left w:val="none" w:sz="0" w:space="0" w:color="auto"/>
            <w:bottom w:val="none" w:sz="0" w:space="0" w:color="auto"/>
            <w:right w:val="none" w:sz="0" w:space="0" w:color="auto"/>
          </w:divBdr>
          <w:divsChild>
            <w:div w:id="16858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2130">
      <w:bodyDiv w:val="1"/>
      <w:marLeft w:val="0"/>
      <w:marRight w:val="0"/>
      <w:marTop w:val="0"/>
      <w:marBottom w:val="0"/>
      <w:divBdr>
        <w:top w:val="none" w:sz="0" w:space="0" w:color="auto"/>
        <w:left w:val="none" w:sz="0" w:space="0" w:color="auto"/>
        <w:bottom w:val="none" w:sz="0" w:space="0" w:color="auto"/>
        <w:right w:val="none" w:sz="0" w:space="0" w:color="auto"/>
      </w:divBdr>
      <w:divsChild>
        <w:div w:id="449516979">
          <w:marLeft w:val="0"/>
          <w:marRight w:val="0"/>
          <w:marTop w:val="0"/>
          <w:marBottom w:val="0"/>
          <w:divBdr>
            <w:top w:val="none" w:sz="0" w:space="0" w:color="auto"/>
            <w:left w:val="none" w:sz="0" w:space="0" w:color="auto"/>
            <w:bottom w:val="none" w:sz="0" w:space="0" w:color="auto"/>
            <w:right w:val="none" w:sz="0" w:space="0" w:color="auto"/>
          </w:divBdr>
          <w:divsChild>
            <w:div w:id="1909071371">
              <w:marLeft w:val="0"/>
              <w:marRight w:val="0"/>
              <w:marTop w:val="0"/>
              <w:marBottom w:val="0"/>
              <w:divBdr>
                <w:top w:val="none" w:sz="0" w:space="0" w:color="auto"/>
                <w:left w:val="none" w:sz="0" w:space="0" w:color="auto"/>
                <w:bottom w:val="none" w:sz="0" w:space="0" w:color="auto"/>
                <w:right w:val="none" w:sz="0" w:space="0" w:color="auto"/>
              </w:divBdr>
              <w:divsChild>
                <w:div w:id="253629991">
                  <w:marLeft w:val="0"/>
                  <w:marRight w:val="0"/>
                  <w:marTop w:val="0"/>
                  <w:marBottom w:val="0"/>
                  <w:divBdr>
                    <w:top w:val="none" w:sz="0" w:space="0" w:color="auto"/>
                    <w:left w:val="none" w:sz="0" w:space="0" w:color="auto"/>
                    <w:bottom w:val="none" w:sz="0" w:space="0" w:color="auto"/>
                    <w:right w:val="none" w:sz="0" w:space="0" w:color="auto"/>
                  </w:divBdr>
                  <w:divsChild>
                    <w:div w:id="10928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4752">
      <w:bodyDiv w:val="1"/>
      <w:marLeft w:val="0"/>
      <w:marRight w:val="0"/>
      <w:marTop w:val="0"/>
      <w:marBottom w:val="0"/>
      <w:divBdr>
        <w:top w:val="none" w:sz="0" w:space="0" w:color="auto"/>
        <w:left w:val="none" w:sz="0" w:space="0" w:color="auto"/>
        <w:bottom w:val="none" w:sz="0" w:space="0" w:color="auto"/>
        <w:right w:val="none" w:sz="0" w:space="0" w:color="auto"/>
      </w:divBdr>
      <w:divsChild>
        <w:div w:id="197086694">
          <w:marLeft w:val="-225"/>
          <w:marRight w:val="-225"/>
          <w:marTop w:val="0"/>
          <w:marBottom w:val="0"/>
          <w:divBdr>
            <w:top w:val="none" w:sz="0" w:space="0" w:color="auto"/>
            <w:left w:val="none" w:sz="0" w:space="0" w:color="auto"/>
            <w:bottom w:val="none" w:sz="0" w:space="0" w:color="auto"/>
            <w:right w:val="none" w:sz="0" w:space="0" w:color="auto"/>
          </w:divBdr>
          <w:divsChild>
            <w:div w:id="768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5168">
      <w:bodyDiv w:val="1"/>
      <w:marLeft w:val="0"/>
      <w:marRight w:val="0"/>
      <w:marTop w:val="0"/>
      <w:marBottom w:val="0"/>
      <w:divBdr>
        <w:top w:val="none" w:sz="0" w:space="0" w:color="auto"/>
        <w:left w:val="none" w:sz="0" w:space="0" w:color="auto"/>
        <w:bottom w:val="none" w:sz="0" w:space="0" w:color="auto"/>
        <w:right w:val="none" w:sz="0" w:space="0" w:color="auto"/>
      </w:divBdr>
    </w:div>
    <w:div w:id="212622334">
      <w:bodyDiv w:val="1"/>
      <w:marLeft w:val="0"/>
      <w:marRight w:val="0"/>
      <w:marTop w:val="0"/>
      <w:marBottom w:val="0"/>
      <w:divBdr>
        <w:top w:val="none" w:sz="0" w:space="0" w:color="auto"/>
        <w:left w:val="none" w:sz="0" w:space="0" w:color="auto"/>
        <w:bottom w:val="none" w:sz="0" w:space="0" w:color="auto"/>
        <w:right w:val="none" w:sz="0" w:space="0" w:color="auto"/>
      </w:divBdr>
    </w:div>
    <w:div w:id="276521057">
      <w:bodyDiv w:val="1"/>
      <w:marLeft w:val="0"/>
      <w:marRight w:val="0"/>
      <w:marTop w:val="0"/>
      <w:marBottom w:val="0"/>
      <w:divBdr>
        <w:top w:val="none" w:sz="0" w:space="0" w:color="auto"/>
        <w:left w:val="none" w:sz="0" w:space="0" w:color="auto"/>
        <w:bottom w:val="none" w:sz="0" w:space="0" w:color="auto"/>
        <w:right w:val="none" w:sz="0" w:space="0" w:color="auto"/>
      </w:divBdr>
    </w:div>
    <w:div w:id="296379455">
      <w:bodyDiv w:val="1"/>
      <w:marLeft w:val="0"/>
      <w:marRight w:val="0"/>
      <w:marTop w:val="0"/>
      <w:marBottom w:val="0"/>
      <w:divBdr>
        <w:top w:val="none" w:sz="0" w:space="0" w:color="auto"/>
        <w:left w:val="none" w:sz="0" w:space="0" w:color="auto"/>
        <w:bottom w:val="none" w:sz="0" w:space="0" w:color="auto"/>
        <w:right w:val="none" w:sz="0" w:space="0" w:color="auto"/>
      </w:divBdr>
    </w:div>
    <w:div w:id="347098007">
      <w:bodyDiv w:val="1"/>
      <w:marLeft w:val="0"/>
      <w:marRight w:val="0"/>
      <w:marTop w:val="0"/>
      <w:marBottom w:val="0"/>
      <w:divBdr>
        <w:top w:val="none" w:sz="0" w:space="0" w:color="auto"/>
        <w:left w:val="none" w:sz="0" w:space="0" w:color="auto"/>
        <w:bottom w:val="none" w:sz="0" w:space="0" w:color="auto"/>
        <w:right w:val="none" w:sz="0" w:space="0" w:color="auto"/>
      </w:divBdr>
    </w:div>
    <w:div w:id="360518245">
      <w:bodyDiv w:val="1"/>
      <w:marLeft w:val="0"/>
      <w:marRight w:val="0"/>
      <w:marTop w:val="0"/>
      <w:marBottom w:val="0"/>
      <w:divBdr>
        <w:top w:val="none" w:sz="0" w:space="0" w:color="auto"/>
        <w:left w:val="none" w:sz="0" w:space="0" w:color="auto"/>
        <w:bottom w:val="none" w:sz="0" w:space="0" w:color="auto"/>
        <w:right w:val="none" w:sz="0" w:space="0" w:color="auto"/>
      </w:divBdr>
      <w:divsChild>
        <w:div w:id="431702615">
          <w:marLeft w:val="0"/>
          <w:marRight w:val="0"/>
          <w:marTop w:val="0"/>
          <w:marBottom w:val="0"/>
          <w:divBdr>
            <w:top w:val="none" w:sz="0" w:space="0" w:color="auto"/>
            <w:left w:val="none" w:sz="0" w:space="0" w:color="auto"/>
            <w:bottom w:val="none" w:sz="0" w:space="0" w:color="auto"/>
            <w:right w:val="none" w:sz="0" w:space="0" w:color="auto"/>
          </w:divBdr>
          <w:divsChild>
            <w:div w:id="801843750">
              <w:marLeft w:val="0"/>
              <w:marRight w:val="0"/>
              <w:marTop w:val="0"/>
              <w:marBottom w:val="0"/>
              <w:divBdr>
                <w:top w:val="none" w:sz="0" w:space="0" w:color="auto"/>
                <w:left w:val="none" w:sz="0" w:space="0" w:color="auto"/>
                <w:bottom w:val="none" w:sz="0" w:space="0" w:color="auto"/>
                <w:right w:val="none" w:sz="0" w:space="0" w:color="auto"/>
              </w:divBdr>
              <w:divsChild>
                <w:div w:id="2103181740">
                  <w:marLeft w:val="0"/>
                  <w:marRight w:val="0"/>
                  <w:marTop w:val="0"/>
                  <w:marBottom w:val="0"/>
                  <w:divBdr>
                    <w:top w:val="none" w:sz="0" w:space="0" w:color="auto"/>
                    <w:left w:val="none" w:sz="0" w:space="0" w:color="auto"/>
                    <w:bottom w:val="none" w:sz="0" w:space="0" w:color="auto"/>
                    <w:right w:val="none" w:sz="0" w:space="0" w:color="auto"/>
                  </w:divBdr>
                  <w:divsChild>
                    <w:div w:id="3267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481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298191013">
          <w:marLeft w:val="0"/>
          <w:marRight w:val="0"/>
          <w:marTop w:val="0"/>
          <w:marBottom w:val="0"/>
          <w:divBdr>
            <w:top w:val="none" w:sz="0" w:space="0" w:color="auto"/>
            <w:left w:val="none" w:sz="0" w:space="0" w:color="auto"/>
            <w:bottom w:val="none" w:sz="0" w:space="0" w:color="auto"/>
            <w:right w:val="none" w:sz="0" w:space="0" w:color="auto"/>
          </w:divBdr>
          <w:divsChild>
            <w:div w:id="631863849">
              <w:marLeft w:val="0"/>
              <w:marRight w:val="0"/>
              <w:marTop w:val="0"/>
              <w:marBottom w:val="0"/>
              <w:divBdr>
                <w:top w:val="none" w:sz="0" w:space="0" w:color="auto"/>
                <w:left w:val="none" w:sz="0" w:space="0" w:color="auto"/>
                <w:bottom w:val="none" w:sz="0" w:space="0" w:color="auto"/>
                <w:right w:val="none" w:sz="0" w:space="0" w:color="auto"/>
              </w:divBdr>
              <w:divsChild>
                <w:div w:id="141121823">
                  <w:marLeft w:val="0"/>
                  <w:marRight w:val="0"/>
                  <w:marTop w:val="0"/>
                  <w:marBottom w:val="0"/>
                  <w:divBdr>
                    <w:top w:val="none" w:sz="0" w:space="0" w:color="auto"/>
                    <w:left w:val="none" w:sz="0" w:space="0" w:color="auto"/>
                    <w:bottom w:val="none" w:sz="0" w:space="0" w:color="auto"/>
                    <w:right w:val="none" w:sz="0" w:space="0" w:color="auto"/>
                  </w:divBdr>
                  <w:divsChild>
                    <w:div w:id="1339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99264">
      <w:bodyDiv w:val="1"/>
      <w:marLeft w:val="0"/>
      <w:marRight w:val="0"/>
      <w:marTop w:val="0"/>
      <w:marBottom w:val="0"/>
      <w:divBdr>
        <w:top w:val="none" w:sz="0" w:space="0" w:color="auto"/>
        <w:left w:val="none" w:sz="0" w:space="0" w:color="auto"/>
        <w:bottom w:val="none" w:sz="0" w:space="0" w:color="auto"/>
        <w:right w:val="none" w:sz="0" w:space="0" w:color="auto"/>
      </w:divBdr>
      <w:divsChild>
        <w:div w:id="398402410">
          <w:marLeft w:val="0"/>
          <w:marRight w:val="0"/>
          <w:marTop w:val="0"/>
          <w:marBottom w:val="0"/>
          <w:divBdr>
            <w:top w:val="none" w:sz="0" w:space="0" w:color="auto"/>
            <w:left w:val="none" w:sz="0" w:space="0" w:color="auto"/>
            <w:bottom w:val="none" w:sz="0" w:space="0" w:color="auto"/>
            <w:right w:val="none" w:sz="0" w:space="0" w:color="auto"/>
          </w:divBdr>
          <w:divsChild>
            <w:div w:id="1720282117">
              <w:marLeft w:val="0"/>
              <w:marRight w:val="0"/>
              <w:marTop w:val="0"/>
              <w:marBottom w:val="0"/>
              <w:divBdr>
                <w:top w:val="none" w:sz="0" w:space="0" w:color="auto"/>
                <w:left w:val="none" w:sz="0" w:space="0" w:color="auto"/>
                <w:bottom w:val="none" w:sz="0" w:space="0" w:color="auto"/>
                <w:right w:val="none" w:sz="0" w:space="0" w:color="auto"/>
              </w:divBdr>
              <w:divsChild>
                <w:div w:id="579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790">
      <w:bodyDiv w:val="1"/>
      <w:marLeft w:val="0"/>
      <w:marRight w:val="0"/>
      <w:marTop w:val="0"/>
      <w:marBottom w:val="0"/>
      <w:divBdr>
        <w:top w:val="none" w:sz="0" w:space="0" w:color="auto"/>
        <w:left w:val="none" w:sz="0" w:space="0" w:color="auto"/>
        <w:bottom w:val="none" w:sz="0" w:space="0" w:color="auto"/>
        <w:right w:val="none" w:sz="0" w:space="0" w:color="auto"/>
      </w:divBdr>
      <w:divsChild>
        <w:div w:id="1810130772">
          <w:marLeft w:val="0"/>
          <w:marRight w:val="0"/>
          <w:marTop w:val="0"/>
          <w:marBottom w:val="0"/>
          <w:divBdr>
            <w:top w:val="none" w:sz="0" w:space="0" w:color="auto"/>
            <w:left w:val="none" w:sz="0" w:space="0" w:color="auto"/>
            <w:bottom w:val="none" w:sz="0" w:space="0" w:color="auto"/>
            <w:right w:val="none" w:sz="0" w:space="0" w:color="auto"/>
          </w:divBdr>
          <w:divsChild>
            <w:div w:id="1736659883">
              <w:marLeft w:val="0"/>
              <w:marRight w:val="0"/>
              <w:marTop w:val="0"/>
              <w:marBottom w:val="0"/>
              <w:divBdr>
                <w:top w:val="none" w:sz="0" w:space="0" w:color="auto"/>
                <w:left w:val="none" w:sz="0" w:space="0" w:color="auto"/>
                <w:bottom w:val="none" w:sz="0" w:space="0" w:color="auto"/>
                <w:right w:val="none" w:sz="0" w:space="0" w:color="auto"/>
              </w:divBdr>
              <w:divsChild>
                <w:div w:id="3351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8372">
      <w:bodyDiv w:val="1"/>
      <w:marLeft w:val="0"/>
      <w:marRight w:val="0"/>
      <w:marTop w:val="0"/>
      <w:marBottom w:val="0"/>
      <w:divBdr>
        <w:top w:val="none" w:sz="0" w:space="0" w:color="auto"/>
        <w:left w:val="none" w:sz="0" w:space="0" w:color="auto"/>
        <w:bottom w:val="none" w:sz="0" w:space="0" w:color="auto"/>
        <w:right w:val="none" w:sz="0" w:space="0" w:color="auto"/>
      </w:divBdr>
      <w:divsChild>
        <w:div w:id="1894852461">
          <w:marLeft w:val="0"/>
          <w:marRight w:val="0"/>
          <w:marTop w:val="0"/>
          <w:marBottom w:val="0"/>
          <w:divBdr>
            <w:top w:val="none" w:sz="0" w:space="0" w:color="auto"/>
            <w:left w:val="none" w:sz="0" w:space="0" w:color="auto"/>
            <w:bottom w:val="none" w:sz="0" w:space="0" w:color="auto"/>
            <w:right w:val="none" w:sz="0" w:space="0" w:color="auto"/>
          </w:divBdr>
          <w:divsChild>
            <w:div w:id="871455406">
              <w:marLeft w:val="0"/>
              <w:marRight w:val="0"/>
              <w:marTop w:val="0"/>
              <w:marBottom w:val="0"/>
              <w:divBdr>
                <w:top w:val="none" w:sz="0" w:space="0" w:color="auto"/>
                <w:left w:val="none" w:sz="0" w:space="0" w:color="auto"/>
                <w:bottom w:val="none" w:sz="0" w:space="0" w:color="auto"/>
                <w:right w:val="none" w:sz="0" w:space="0" w:color="auto"/>
              </w:divBdr>
              <w:divsChild>
                <w:div w:id="14020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2954">
      <w:bodyDiv w:val="1"/>
      <w:marLeft w:val="0"/>
      <w:marRight w:val="0"/>
      <w:marTop w:val="0"/>
      <w:marBottom w:val="0"/>
      <w:divBdr>
        <w:top w:val="none" w:sz="0" w:space="0" w:color="auto"/>
        <w:left w:val="none" w:sz="0" w:space="0" w:color="auto"/>
        <w:bottom w:val="none" w:sz="0" w:space="0" w:color="auto"/>
        <w:right w:val="none" w:sz="0" w:space="0" w:color="auto"/>
      </w:divBdr>
      <w:divsChild>
        <w:div w:id="1668241902">
          <w:marLeft w:val="0"/>
          <w:marRight w:val="0"/>
          <w:marTop w:val="0"/>
          <w:marBottom w:val="0"/>
          <w:divBdr>
            <w:top w:val="none" w:sz="0" w:space="0" w:color="auto"/>
            <w:left w:val="none" w:sz="0" w:space="0" w:color="auto"/>
            <w:bottom w:val="none" w:sz="0" w:space="0" w:color="auto"/>
            <w:right w:val="none" w:sz="0" w:space="0" w:color="auto"/>
          </w:divBdr>
          <w:divsChild>
            <w:div w:id="473181690">
              <w:marLeft w:val="0"/>
              <w:marRight w:val="0"/>
              <w:marTop w:val="0"/>
              <w:marBottom w:val="0"/>
              <w:divBdr>
                <w:top w:val="none" w:sz="0" w:space="0" w:color="auto"/>
                <w:left w:val="none" w:sz="0" w:space="0" w:color="auto"/>
                <w:bottom w:val="none" w:sz="0" w:space="0" w:color="auto"/>
                <w:right w:val="none" w:sz="0" w:space="0" w:color="auto"/>
              </w:divBdr>
              <w:divsChild>
                <w:div w:id="1641760984">
                  <w:marLeft w:val="0"/>
                  <w:marRight w:val="0"/>
                  <w:marTop w:val="0"/>
                  <w:marBottom w:val="0"/>
                  <w:divBdr>
                    <w:top w:val="none" w:sz="0" w:space="0" w:color="auto"/>
                    <w:left w:val="none" w:sz="0" w:space="0" w:color="auto"/>
                    <w:bottom w:val="none" w:sz="0" w:space="0" w:color="auto"/>
                    <w:right w:val="none" w:sz="0" w:space="0" w:color="auto"/>
                  </w:divBdr>
                  <w:divsChild>
                    <w:div w:id="11537188">
                      <w:marLeft w:val="0"/>
                      <w:marRight w:val="0"/>
                      <w:marTop w:val="0"/>
                      <w:marBottom w:val="0"/>
                      <w:divBdr>
                        <w:top w:val="none" w:sz="0" w:space="0" w:color="auto"/>
                        <w:left w:val="none" w:sz="0" w:space="0" w:color="auto"/>
                        <w:bottom w:val="none" w:sz="0" w:space="0" w:color="auto"/>
                        <w:right w:val="none" w:sz="0" w:space="0" w:color="auto"/>
                      </w:divBdr>
                      <w:divsChild>
                        <w:div w:id="7548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9260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2340256">
      <w:bodyDiv w:val="1"/>
      <w:marLeft w:val="0"/>
      <w:marRight w:val="0"/>
      <w:marTop w:val="0"/>
      <w:marBottom w:val="0"/>
      <w:divBdr>
        <w:top w:val="none" w:sz="0" w:space="0" w:color="auto"/>
        <w:left w:val="none" w:sz="0" w:space="0" w:color="auto"/>
        <w:bottom w:val="none" w:sz="0" w:space="0" w:color="auto"/>
        <w:right w:val="none" w:sz="0" w:space="0" w:color="auto"/>
      </w:divBdr>
      <w:divsChild>
        <w:div w:id="678118466">
          <w:marLeft w:val="0"/>
          <w:marRight w:val="0"/>
          <w:marTop w:val="0"/>
          <w:marBottom w:val="0"/>
          <w:divBdr>
            <w:top w:val="single" w:sz="2" w:space="0" w:color="99BBE8"/>
            <w:left w:val="single" w:sz="2" w:space="0" w:color="99BBE8"/>
            <w:bottom w:val="single" w:sz="2" w:space="0" w:color="99BBE8"/>
            <w:right w:val="single" w:sz="2" w:space="0" w:color="99BBE8"/>
          </w:divBdr>
          <w:divsChild>
            <w:div w:id="1687554129">
              <w:marLeft w:val="0"/>
              <w:marRight w:val="0"/>
              <w:marTop w:val="0"/>
              <w:marBottom w:val="0"/>
              <w:divBdr>
                <w:top w:val="none" w:sz="0" w:space="0" w:color="auto"/>
                <w:left w:val="none" w:sz="0" w:space="0" w:color="auto"/>
                <w:bottom w:val="none" w:sz="0" w:space="0" w:color="auto"/>
                <w:right w:val="none" w:sz="0" w:space="0" w:color="auto"/>
              </w:divBdr>
              <w:divsChild>
                <w:div w:id="1389105813">
                  <w:marLeft w:val="0"/>
                  <w:marRight w:val="0"/>
                  <w:marTop w:val="0"/>
                  <w:marBottom w:val="0"/>
                  <w:divBdr>
                    <w:top w:val="none" w:sz="0" w:space="0" w:color="auto"/>
                    <w:left w:val="single" w:sz="6" w:space="0" w:color="99BBE8"/>
                    <w:bottom w:val="single" w:sz="6" w:space="0" w:color="99BBE8"/>
                    <w:right w:val="single" w:sz="6" w:space="0" w:color="99BBE8"/>
                  </w:divBdr>
                  <w:divsChild>
                    <w:div w:id="842938754">
                      <w:marLeft w:val="0"/>
                      <w:marRight w:val="0"/>
                      <w:marTop w:val="0"/>
                      <w:marBottom w:val="0"/>
                      <w:divBdr>
                        <w:top w:val="single" w:sz="2" w:space="0" w:color="99BBE8"/>
                        <w:left w:val="single" w:sz="2" w:space="0" w:color="99BBE8"/>
                        <w:bottom w:val="single" w:sz="2" w:space="0" w:color="99BBE8"/>
                        <w:right w:val="single" w:sz="2" w:space="0" w:color="99BBE8"/>
                      </w:divBdr>
                      <w:divsChild>
                        <w:div w:id="401758469">
                          <w:marLeft w:val="0"/>
                          <w:marRight w:val="0"/>
                          <w:marTop w:val="0"/>
                          <w:marBottom w:val="0"/>
                          <w:divBdr>
                            <w:top w:val="none" w:sz="0" w:space="0" w:color="auto"/>
                            <w:left w:val="none" w:sz="0" w:space="0" w:color="auto"/>
                            <w:bottom w:val="none" w:sz="0" w:space="0" w:color="auto"/>
                            <w:right w:val="none" w:sz="0" w:space="0" w:color="auto"/>
                          </w:divBdr>
                          <w:divsChild>
                            <w:div w:id="1038970074">
                              <w:marLeft w:val="0"/>
                              <w:marRight w:val="0"/>
                              <w:marTop w:val="0"/>
                              <w:marBottom w:val="0"/>
                              <w:divBdr>
                                <w:top w:val="none" w:sz="0" w:space="0" w:color="auto"/>
                                <w:left w:val="none" w:sz="0" w:space="0" w:color="auto"/>
                                <w:bottom w:val="none" w:sz="0" w:space="0" w:color="auto"/>
                                <w:right w:val="none" w:sz="0" w:space="0" w:color="auto"/>
                              </w:divBdr>
                              <w:divsChild>
                                <w:div w:id="258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14638620">
      <w:bodyDiv w:val="1"/>
      <w:marLeft w:val="0"/>
      <w:marRight w:val="0"/>
      <w:marTop w:val="0"/>
      <w:marBottom w:val="0"/>
      <w:divBdr>
        <w:top w:val="none" w:sz="0" w:space="0" w:color="auto"/>
        <w:left w:val="none" w:sz="0" w:space="0" w:color="auto"/>
        <w:bottom w:val="none" w:sz="0" w:space="0" w:color="auto"/>
        <w:right w:val="none" w:sz="0" w:space="0" w:color="auto"/>
      </w:divBdr>
    </w:div>
    <w:div w:id="815924649">
      <w:bodyDiv w:val="1"/>
      <w:marLeft w:val="0"/>
      <w:marRight w:val="0"/>
      <w:marTop w:val="0"/>
      <w:marBottom w:val="0"/>
      <w:divBdr>
        <w:top w:val="none" w:sz="0" w:space="0" w:color="auto"/>
        <w:left w:val="none" w:sz="0" w:space="0" w:color="auto"/>
        <w:bottom w:val="none" w:sz="0" w:space="0" w:color="auto"/>
        <w:right w:val="none" w:sz="0" w:space="0" w:color="auto"/>
      </w:divBdr>
    </w:div>
    <w:div w:id="842404060">
      <w:bodyDiv w:val="1"/>
      <w:marLeft w:val="0"/>
      <w:marRight w:val="0"/>
      <w:marTop w:val="0"/>
      <w:marBottom w:val="0"/>
      <w:divBdr>
        <w:top w:val="none" w:sz="0" w:space="0" w:color="auto"/>
        <w:left w:val="none" w:sz="0" w:space="0" w:color="auto"/>
        <w:bottom w:val="none" w:sz="0" w:space="0" w:color="auto"/>
        <w:right w:val="none" w:sz="0" w:space="0" w:color="auto"/>
      </w:divBdr>
    </w:div>
    <w:div w:id="863178139">
      <w:bodyDiv w:val="1"/>
      <w:marLeft w:val="0"/>
      <w:marRight w:val="0"/>
      <w:marTop w:val="0"/>
      <w:marBottom w:val="0"/>
      <w:divBdr>
        <w:top w:val="none" w:sz="0" w:space="0" w:color="auto"/>
        <w:left w:val="none" w:sz="0" w:space="0" w:color="auto"/>
        <w:bottom w:val="none" w:sz="0" w:space="0" w:color="auto"/>
        <w:right w:val="none" w:sz="0" w:space="0" w:color="auto"/>
      </w:divBdr>
    </w:div>
    <w:div w:id="863832914">
      <w:bodyDiv w:val="1"/>
      <w:marLeft w:val="0"/>
      <w:marRight w:val="0"/>
      <w:marTop w:val="0"/>
      <w:marBottom w:val="0"/>
      <w:divBdr>
        <w:top w:val="none" w:sz="0" w:space="0" w:color="auto"/>
        <w:left w:val="none" w:sz="0" w:space="0" w:color="auto"/>
        <w:bottom w:val="none" w:sz="0" w:space="0" w:color="auto"/>
        <w:right w:val="none" w:sz="0" w:space="0" w:color="auto"/>
      </w:divBdr>
    </w:div>
    <w:div w:id="886600307">
      <w:bodyDiv w:val="1"/>
      <w:marLeft w:val="0"/>
      <w:marRight w:val="0"/>
      <w:marTop w:val="0"/>
      <w:marBottom w:val="0"/>
      <w:divBdr>
        <w:top w:val="none" w:sz="0" w:space="0" w:color="auto"/>
        <w:left w:val="none" w:sz="0" w:space="0" w:color="auto"/>
        <w:bottom w:val="none" w:sz="0" w:space="0" w:color="auto"/>
        <w:right w:val="none" w:sz="0" w:space="0" w:color="auto"/>
      </w:divBdr>
      <w:divsChild>
        <w:div w:id="1106775703">
          <w:marLeft w:val="0"/>
          <w:marRight w:val="0"/>
          <w:marTop w:val="0"/>
          <w:marBottom w:val="0"/>
          <w:divBdr>
            <w:top w:val="none" w:sz="0" w:space="0" w:color="auto"/>
            <w:left w:val="none" w:sz="0" w:space="0" w:color="auto"/>
            <w:bottom w:val="none" w:sz="0" w:space="0" w:color="auto"/>
            <w:right w:val="none" w:sz="0" w:space="0" w:color="auto"/>
          </w:divBdr>
          <w:divsChild>
            <w:div w:id="92633989">
              <w:marLeft w:val="0"/>
              <w:marRight w:val="0"/>
              <w:marTop w:val="0"/>
              <w:marBottom w:val="0"/>
              <w:divBdr>
                <w:top w:val="none" w:sz="0" w:space="0" w:color="auto"/>
                <w:left w:val="none" w:sz="0" w:space="0" w:color="auto"/>
                <w:bottom w:val="none" w:sz="0" w:space="0" w:color="auto"/>
                <w:right w:val="none" w:sz="0" w:space="0" w:color="auto"/>
              </w:divBdr>
              <w:divsChild>
                <w:div w:id="11585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65759">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8705811">
      <w:bodyDiv w:val="1"/>
      <w:marLeft w:val="0"/>
      <w:marRight w:val="0"/>
      <w:marTop w:val="0"/>
      <w:marBottom w:val="0"/>
      <w:divBdr>
        <w:top w:val="none" w:sz="0" w:space="0" w:color="auto"/>
        <w:left w:val="none" w:sz="0" w:space="0" w:color="auto"/>
        <w:bottom w:val="none" w:sz="0" w:space="0" w:color="auto"/>
        <w:right w:val="none" w:sz="0" w:space="0" w:color="auto"/>
      </w:divBdr>
      <w:divsChild>
        <w:div w:id="1447040076">
          <w:marLeft w:val="0"/>
          <w:marRight w:val="0"/>
          <w:marTop w:val="0"/>
          <w:marBottom w:val="0"/>
          <w:divBdr>
            <w:top w:val="none" w:sz="0" w:space="0" w:color="auto"/>
            <w:left w:val="none" w:sz="0" w:space="0" w:color="auto"/>
            <w:bottom w:val="none" w:sz="0" w:space="0" w:color="auto"/>
            <w:right w:val="none" w:sz="0" w:space="0" w:color="auto"/>
          </w:divBdr>
          <w:divsChild>
            <w:div w:id="165753381">
              <w:marLeft w:val="0"/>
              <w:marRight w:val="0"/>
              <w:marTop w:val="0"/>
              <w:marBottom w:val="0"/>
              <w:divBdr>
                <w:top w:val="none" w:sz="0" w:space="0" w:color="auto"/>
                <w:left w:val="none" w:sz="0" w:space="0" w:color="auto"/>
                <w:bottom w:val="none" w:sz="0" w:space="0" w:color="auto"/>
                <w:right w:val="none" w:sz="0" w:space="0" w:color="auto"/>
              </w:divBdr>
              <w:divsChild>
                <w:div w:id="8317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9811">
      <w:bodyDiv w:val="1"/>
      <w:marLeft w:val="0"/>
      <w:marRight w:val="0"/>
      <w:marTop w:val="0"/>
      <w:marBottom w:val="0"/>
      <w:divBdr>
        <w:top w:val="none" w:sz="0" w:space="0" w:color="auto"/>
        <w:left w:val="none" w:sz="0" w:space="0" w:color="auto"/>
        <w:bottom w:val="none" w:sz="0" w:space="0" w:color="auto"/>
        <w:right w:val="none" w:sz="0" w:space="0" w:color="auto"/>
      </w:divBdr>
    </w:div>
    <w:div w:id="1262445179">
      <w:bodyDiv w:val="1"/>
      <w:marLeft w:val="0"/>
      <w:marRight w:val="0"/>
      <w:marTop w:val="0"/>
      <w:marBottom w:val="0"/>
      <w:divBdr>
        <w:top w:val="none" w:sz="0" w:space="0" w:color="auto"/>
        <w:left w:val="none" w:sz="0" w:space="0" w:color="auto"/>
        <w:bottom w:val="none" w:sz="0" w:space="0" w:color="auto"/>
        <w:right w:val="none" w:sz="0" w:space="0" w:color="auto"/>
      </w:divBdr>
      <w:divsChild>
        <w:div w:id="937175045">
          <w:marLeft w:val="0"/>
          <w:marRight w:val="0"/>
          <w:marTop w:val="0"/>
          <w:marBottom w:val="0"/>
          <w:divBdr>
            <w:top w:val="none" w:sz="0" w:space="0" w:color="auto"/>
            <w:left w:val="none" w:sz="0" w:space="0" w:color="auto"/>
            <w:bottom w:val="none" w:sz="0" w:space="0" w:color="auto"/>
            <w:right w:val="none" w:sz="0" w:space="0" w:color="auto"/>
          </w:divBdr>
          <w:divsChild>
            <w:div w:id="1430465140">
              <w:marLeft w:val="0"/>
              <w:marRight w:val="0"/>
              <w:marTop w:val="0"/>
              <w:marBottom w:val="0"/>
              <w:divBdr>
                <w:top w:val="none" w:sz="0" w:space="0" w:color="auto"/>
                <w:left w:val="none" w:sz="0" w:space="0" w:color="auto"/>
                <w:bottom w:val="none" w:sz="0" w:space="0" w:color="auto"/>
                <w:right w:val="none" w:sz="0" w:space="0" w:color="auto"/>
              </w:divBdr>
              <w:divsChild>
                <w:div w:id="1470124303">
                  <w:marLeft w:val="0"/>
                  <w:marRight w:val="0"/>
                  <w:marTop w:val="0"/>
                  <w:marBottom w:val="0"/>
                  <w:divBdr>
                    <w:top w:val="none" w:sz="0" w:space="0" w:color="auto"/>
                    <w:left w:val="none" w:sz="0" w:space="0" w:color="auto"/>
                    <w:bottom w:val="none" w:sz="0" w:space="0" w:color="auto"/>
                    <w:right w:val="none" w:sz="0" w:space="0" w:color="auto"/>
                  </w:divBdr>
                  <w:divsChild>
                    <w:div w:id="882595308">
                      <w:marLeft w:val="0"/>
                      <w:marRight w:val="0"/>
                      <w:marTop w:val="0"/>
                      <w:marBottom w:val="0"/>
                      <w:divBdr>
                        <w:top w:val="none" w:sz="0" w:space="0" w:color="auto"/>
                        <w:left w:val="none" w:sz="0" w:space="0" w:color="auto"/>
                        <w:bottom w:val="none" w:sz="0" w:space="0" w:color="auto"/>
                        <w:right w:val="none" w:sz="0" w:space="0" w:color="auto"/>
                      </w:divBdr>
                      <w:divsChild>
                        <w:div w:id="18574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362887">
      <w:bodyDiv w:val="1"/>
      <w:marLeft w:val="0"/>
      <w:marRight w:val="0"/>
      <w:marTop w:val="0"/>
      <w:marBottom w:val="0"/>
      <w:divBdr>
        <w:top w:val="none" w:sz="0" w:space="0" w:color="auto"/>
        <w:left w:val="none" w:sz="0" w:space="0" w:color="auto"/>
        <w:bottom w:val="none" w:sz="0" w:space="0" w:color="auto"/>
        <w:right w:val="none" w:sz="0" w:space="0" w:color="auto"/>
      </w:divBdr>
      <w:divsChild>
        <w:div w:id="983124302">
          <w:marLeft w:val="0"/>
          <w:marRight w:val="0"/>
          <w:marTop w:val="0"/>
          <w:marBottom w:val="0"/>
          <w:divBdr>
            <w:top w:val="none" w:sz="0" w:space="0" w:color="auto"/>
            <w:left w:val="none" w:sz="0" w:space="0" w:color="auto"/>
            <w:bottom w:val="none" w:sz="0" w:space="0" w:color="auto"/>
            <w:right w:val="none" w:sz="0" w:space="0" w:color="auto"/>
          </w:divBdr>
          <w:divsChild>
            <w:div w:id="1070883088">
              <w:marLeft w:val="0"/>
              <w:marRight w:val="0"/>
              <w:marTop w:val="0"/>
              <w:marBottom w:val="0"/>
              <w:divBdr>
                <w:top w:val="none" w:sz="0" w:space="0" w:color="auto"/>
                <w:left w:val="none" w:sz="0" w:space="0" w:color="auto"/>
                <w:bottom w:val="none" w:sz="0" w:space="0" w:color="auto"/>
                <w:right w:val="none" w:sz="0" w:space="0" w:color="auto"/>
              </w:divBdr>
              <w:divsChild>
                <w:div w:id="802427807">
                  <w:marLeft w:val="0"/>
                  <w:marRight w:val="0"/>
                  <w:marTop w:val="0"/>
                  <w:marBottom w:val="0"/>
                  <w:divBdr>
                    <w:top w:val="none" w:sz="0" w:space="0" w:color="auto"/>
                    <w:left w:val="none" w:sz="0" w:space="0" w:color="auto"/>
                    <w:bottom w:val="none" w:sz="0" w:space="0" w:color="auto"/>
                    <w:right w:val="none" w:sz="0" w:space="0" w:color="auto"/>
                  </w:divBdr>
                  <w:divsChild>
                    <w:div w:id="15023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4569">
      <w:bodyDiv w:val="1"/>
      <w:marLeft w:val="0"/>
      <w:marRight w:val="0"/>
      <w:marTop w:val="0"/>
      <w:marBottom w:val="0"/>
      <w:divBdr>
        <w:top w:val="none" w:sz="0" w:space="0" w:color="auto"/>
        <w:left w:val="none" w:sz="0" w:space="0" w:color="auto"/>
        <w:bottom w:val="none" w:sz="0" w:space="0" w:color="auto"/>
        <w:right w:val="none" w:sz="0" w:space="0" w:color="auto"/>
      </w:divBdr>
    </w:div>
    <w:div w:id="1400401022">
      <w:bodyDiv w:val="1"/>
      <w:marLeft w:val="0"/>
      <w:marRight w:val="0"/>
      <w:marTop w:val="0"/>
      <w:marBottom w:val="0"/>
      <w:divBdr>
        <w:top w:val="none" w:sz="0" w:space="0" w:color="auto"/>
        <w:left w:val="none" w:sz="0" w:space="0" w:color="auto"/>
        <w:bottom w:val="none" w:sz="0" w:space="0" w:color="auto"/>
        <w:right w:val="none" w:sz="0" w:space="0" w:color="auto"/>
      </w:divBdr>
      <w:divsChild>
        <w:div w:id="1962805414">
          <w:marLeft w:val="0"/>
          <w:marRight w:val="0"/>
          <w:marTop w:val="0"/>
          <w:marBottom w:val="0"/>
          <w:divBdr>
            <w:top w:val="none" w:sz="0" w:space="0" w:color="auto"/>
            <w:left w:val="none" w:sz="0" w:space="0" w:color="auto"/>
            <w:bottom w:val="none" w:sz="0" w:space="0" w:color="auto"/>
            <w:right w:val="none" w:sz="0" w:space="0" w:color="auto"/>
          </w:divBdr>
          <w:divsChild>
            <w:div w:id="1693260128">
              <w:marLeft w:val="0"/>
              <w:marRight w:val="0"/>
              <w:marTop w:val="0"/>
              <w:marBottom w:val="0"/>
              <w:divBdr>
                <w:top w:val="none" w:sz="0" w:space="0" w:color="auto"/>
                <w:left w:val="none" w:sz="0" w:space="0" w:color="auto"/>
                <w:bottom w:val="none" w:sz="0" w:space="0" w:color="auto"/>
                <w:right w:val="none" w:sz="0" w:space="0" w:color="auto"/>
              </w:divBdr>
              <w:divsChild>
                <w:div w:id="703478994">
                  <w:marLeft w:val="0"/>
                  <w:marRight w:val="0"/>
                  <w:marTop w:val="0"/>
                  <w:marBottom w:val="0"/>
                  <w:divBdr>
                    <w:top w:val="none" w:sz="0" w:space="0" w:color="auto"/>
                    <w:left w:val="none" w:sz="0" w:space="0" w:color="auto"/>
                    <w:bottom w:val="none" w:sz="0" w:space="0" w:color="auto"/>
                    <w:right w:val="none" w:sz="0" w:space="0" w:color="auto"/>
                  </w:divBdr>
                  <w:divsChild>
                    <w:div w:id="1834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03805">
      <w:bodyDiv w:val="1"/>
      <w:marLeft w:val="0"/>
      <w:marRight w:val="0"/>
      <w:marTop w:val="0"/>
      <w:marBottom w:val="0"/>
      <w:divBdr>
        <w:top w:val="none" w:sz="0" w:space="0" w:color="auto"/>
        <w:left w:val="none" w:sz="0" w:space="0" w:color="auto"/>
        <w:bottom w:val="none" w:sz="0" w:space="0" w:color="auto"/>
        <w:right w:val="none" w:sz="0" w:space="0" w:color="auto"/>
      </w:divBdr>
      <w:divsChild>
        <w:div w:id="1654485432">
          <w:marLeft w:val="0"/>
          <w:marRight w:val="0"/>
          <w:marTop w:val="0"/>
          <w:marBottom w:val="0"/>
          <w:divBdr>
            <w:top w:val="none" w:sz="0" w:space="0" w:color="auto"/>
            <w:left w:val="none" w:sz="0" w:space="0" w:color="auto"/>
            <w:bottom w:val="none" w:sz="0" w:space="0" w:color="auto"/>
            <w:right w:val="none" w:sz="0" w:space="0" w:color="auto"/>
          </w:divBdr>
          <w:divsChild>
            <w:div w:id="125710258">
              <w:marLeft w:val="0"/>
              <w:marRight w:val="0"/>
              <w:marTop w:val="0"/>
              <w:marBottom w:val="0"/>
              <w:divBdr>
                <w:top w:val="none" w:sz="0" w:space="0" w:color="auto"/>
                <w:left w:val="none" w:sz="0" w:space="0" w:color="auto"/>
                <w:bottom w:val="none" w:sz="0" w:space="0" w:color="auto"/>
                <w:right w:val="none" w:sz="0" w:space="0" w:color="auto"/>
              </w:divBdr>
              <w:divsChild>
                <w:div w:id="19501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0085">
      <w:bodyDiv w:val="1"/>
      <w:marLeft w:val="0"/>
      <w:marRight w:val="0"/>
      <w:marTop w:val="0"/>
      <w:marBottom w:val="0"/>
      <w:divBdr>
        <w:top w:val="none" w:sz="0" w:space="0" w:color="auto"/>
        <w:left w:val="none" w:sz="0" w:space="0" w:color="auto"/>
        <w:bottom w:val="none" w:sz="0" w:space="0" w:color="auto"/>
        <w:right w:val="none" w:sz="0" w:space="0" w:color="auto"/>
      </w:divBdr>
      <w:divsChild>
        <w:div w:id="1833256470">
          <w:marLeft w:val="0"/>
          <w:marRight w:val="0"/>
          <w:marTop w:val="0"/>
          <w:marBottom w:val="0"/>
          <w:divBdr>
            <w:top w:val="none" w:sz="0" w:space="0" w:color="auto"/>
            <w:left w:val="none" w:sz="0" w:space="0" w:color="auto"/>
            <w:bottom w:val="none" w:sz="0" w:space="0" w:color="auto"/>
            <w:right w:val="none" w:sz="0" w:space="0" w:color="auto"/>
          </w:divBdr>
          <w:divsChild>
            <w:div w:id="470680569">
              <w:marLeft w:val="0"/>
              <w:marRight w:val="0"/>
              <w:marTop w:val="0"/>
              <w:marBottom w:val="0"/>
              <w:divBdr>
                <w:top w:val="none" w:sz="0" w:space="0" w:color="auto"/>
                <w:left w:val="none" w:sz="0" w:space="0" w:color="auto"/>
                <w:bottom w:val="none" w:sz="0" w:space="0" w:color="auto"/>
                <w:right w:val="none" w:sz="0" w:space="0" w:color="auto"/>
              </w:divBdr>
              <w:divsChild>
                <w:div w:id="8565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8520">
      <w:bodyDiv w:val="1"/>
      <w:marLeft w:val="0"/>
      <w:marRight w:val="0"/>
      <w:marTop w:val="0"/>
      <w:marBottom w:val="0"/>
      <w:divBdr>
        <w:top w:val="none" w:sz="0" w:space="0" w:color="auto"/>
        <w:left w:val="none" w:sz="0" w:space="0" w:color="auto"/>
        <w:bottom w:val="none" w:sz="0" w:space="0" w:color="auto"/>
        <w:right w:val="none" w:sz="0" w:space="0" w:color="auto"/>
      </w:divBdr>
      <w:divsChild>
        <w:div w:id="900793300">
          <w:marLeft w:val="0"/>
          <w:marRight w:val="0"/>
          <w:marTop w:val="0"/>
          <w:marBottom w:val="0"/>
          <w:divBdr>
            <w:top w:val="none" w:sz="0" w:space="0" w:color="auto"/>
            <w:left w:val="none" w:sz="0" w:space="0" w:color="auto"/>
            <w:bottom w:val="none" w:sz="0" w:space="0" w:color="auto"/>
            <w:right w:val="none" w:sz="0" w:space="0" w:color="auto"/>
          </w:divBdr>
          <w:divsChild>
            <w:div w:id="431509995">
              <w:marLeft w:val="0"/>
              <w:marRight w:val="0"/>
              <w:marTop w:val="0"/>
              <w:marBottom w:val="0"/>
              <w:divBdr>
                <w:top w:val="none" w:sz="0" w:space="0" w:color="auto"/>
                <w:left w:val="none" w:sz="0" w:space="0" w:color="auto"/>
                <w:bottom w:val="none" w:sz="0" w:space="0" w:color="auto"/>
                <w:right w:val="none" w:sz="0" w:space="0" w:color="auto"/>
              </w:divBdr>
              <w:divsChild>
                <w:div w:id="1176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9084">
      <w:bodyDiv w:val="1"/>
      <w:marLeft w:val="0"/>
      <w:marRight w:val="0"/>
      <w:marTop w:val="0"/>
      <w:marBottom w:val="0"/>
      <w:divBdr>
        <w:top w:val="none" w:sz="0" w:space="0" w:color="auto"/>
        <w:left w:val="none" w:sz="0" w:space="0" w:color="auto"/>
        <w:bottom w:val="none" w:sz="0" w:space="0" w:color="auto"/>
        <w:right w:val="none" w:sz="0" w:space="0" w:color="auto"/>
      </w:divBdr>
      <w:divsChild>
        <w:div w:id="2114283453">
          <w:marLeft w:val="0"/>
          <w:marRight w:val="0"/>
          <w:marTop w:val="0"/>
          <w:marBottom w:val="0"/>
          <w:divBdr>
            <w:top w:val="none" w:sz="0" w:space="0" w:color="auto"/>
            <w:left w:val="none" w:sz="0" w:space="0" w:color="auto"/>
            <w:bottom w:val="none" w:sz="0" w:space="0" w:color="auto"/>
            <w:right w:val="none" w:sz="0" w:space="0" w:color="auto"/>
          </w:divBdr>
          <w:divsChild>
            <w:div w:id="1415975760">
              <w:marLeft w:val="0"/>
              <w:marRight w:val="0"/>
              <w:marTop w:val="0"/>
              <w:marBottom w:val="0"/>
              <w:divBdr>
                <w:top w:val="none" w:sz="0" w:space="0" w:color="auto"/>
                <w:left w:val="none" w:sz="0" w:space="0" w:color="auto"/>
                <w:bottom w:val="none" w:sz="0" w:space="0" w:color="auto"/>
                <w:right w:val="none" w:sz="0" w:space="0" w:color="auto"/>
              </w:divBdr>
              <w:divsChild>
                <w:div w:id="1522860381">
                  <w:marLeft w:val="0"/>
                  <w:marRight w:val="0"/>
                  <w:marTop w:val="0"/>
                  <w:marBottom w:val="0"/>
                  <w:divBdr>
                    <w:top w:val="none" w:sz="0" w:space="0" w:color="auto"/>
                    <w:left w:val="none" w:sz="0" w:space="0" w:color="auto"/>
                    <w:bottom w:val="none" w:sz="0" w:space="0" w:color="auto"/>
                    <w:right w:val="none" w:sz="0" w:space="0" w:color="auto"/>
                  </w:divBdr>
                  <w:divsChild>
                    <w:div w:id="17541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6804">
      <w:bodyDiv w:val="1"/>
      <w:marLeft w:val="0"/>
      <w:marRight w:val="0"/>
      <w:marTop w:val="0"/>
      <w:marBottom w:val="0"/>
      <w:divBdr>
        <w:top w:val="none" w:sz="0" w:space="0" w:color="auto"/>
        <w:left w:val="none" w:sz="0" w:space="0" w:color="auto"/>
        <w:bottom w:val="none" w:sz="0" w:space="0" w:color="auto"/>
        <w:right w:val="none" w:sz="0" w:space="0" w:color="auto"/>
      </w:divBdr>
      <w:divsChild>
        <w:div w:id="763184439">
          <w:marLeft w:val="0"/>
          <w:marRight w:val="0"/>
          <w:marTop w:val="0"/>
          <w:marBottom w:val="0"/>
          <w:divBdr>
            <w:top w:val="none" w:sz="0" w:space="0" w:color="auto"/>
            <w:left w:val="none" w:sz="0" w:space="0" w:color="auto"/>
            <w:bottom w:val="none" w:sz="0" w:space="0" w:color="auto"/>
            <w:right w:val="none" w:sz="0" w:space="0" w:color="auto"/>
          </w:divBdr>
          <w:divsChild>
            <w:div w:id="2140416678">
              <w:marLeft w:val="0"/>
              <w:marRight w:val="0"/>
              <w:marTop w:val="0"/>
              <w:marBottom w:val="0"/>
              <w:divBdr>
                <w:top w:val="none" w:sz="0" w:space="0" w:color="auto"/>
                <w:left w:val="none" w:sz="0" w:space="0" w:color="auto"/>
                <w:bottom w:val="none" w:sz="0" w:space="0" w:color="auto"/>
                <w:right w:val="none" w:sz="0" w:space="0" w:color="auto"/>
              </w:divBdr>
              <w:divsChild>
                <w:div w:id="18658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56278">
      <w:bodyDiv w:val="1"/>
      <w:marLeft w:val="0"/>
      <w:marRight w:val="0"/>
      <w:marTop w:val="0"/>
      <w:marBottom w:val="0"/>
      <w:divBdr>
        <w:top w:val="none" w:sz="0" w:space="0" w:color="auto"/>
        <w:left w:val="none" w:sz="0" w:space="0" w:color="auto"/>
        <w:bottom w:val="none" w:sz="0" w:space="0" w:color="auto"/>
        <w:right w:val="none" w:sz="0" w:space="0" w:color="auto"/>
      </w:divBdr>
    </w:div>
    <w:div w:id="1601141665">
      <w:bodyDiv w:val="1"/>
      <w:marLeft w:val="0"/>
      <w:marRight w:val="0"/>
      <w:marTop w:val="0"/>
      <w:marBottom w:val="0"/>
      <w:divBdr>
        <w:top w:val="none" w:sz="0" w:space="0" w:color="auto"/>
        <w:left w:val="none" w:sz="0" w:space="0" w:color="auto"/>
        <w:bottom w:val="none" w:sz="0" w:space="0" w:color="auto"/>
        <w:right w:val="none" w:sz="0" w:space="0" w:color="auto"/>
      </w:divBdr>
      <w:divsChild>
        <w:div w:id="627277495">
          <w:marLeft w:val="0"/>
          <w:marRight w:val="0"/>
          <w:marTop w:val="0"/>
          <w:marBottom w:val="0"/>
          <w:divBdr>
            <w:top w:val="none" w:sz="0" w:space="0" w:color="auto"/>
            <w:left w:val="none" w:sz="0" w:space="0" w:color="auto"/>
            <w:bottom w:val="none" w:sz="0" w:space="0" w:color="auto"/>
            <w:right w:val="none" w:sz="0" w:space="0" w:color="auto"/>
          </w:divBdr>
          <w:divsChild>
            <w:div w:id="1571496493">
              <w:marLeft w:val="0"/>
              <w:marRight w:val="0"/>
              <w:marTop w:val="0"/>
              <w:marBottom w:val="0"/>
              <w:divBdr>
                <w:top w:val="none" w:sz="0" w:space="0" w:color="auto"/>
                <w:left w:val="none" w:sz="0" w:space="0" w:color="auto"/>
                <w:bottom w:val="none" w:sz="0" w:space="0" w:color="auto"/>
                <w:right w:val="none" w:sz="0" w:space="0" w:color="auto"/>
              </w:divBdr>
              <w:divsChild>
                <w:div w:id="1266572303">
                  <w:marLeft w:val="0"/>
                  <w:marRight w:val="0"/>
                  <w:marTop w:val="0"/>
                  <w:marBottom w:val="0"/>
                  <w:divBdr>
                    <w:top w:val="none" w:sz="0" w:space="0" w:color="auto"/>
                    <w:left w:val="none" w:sz="0" w:space="0" w:color="auto"/>
                    <w:bottom w:val="none" w:sz="0" w:space="0" w:color="auto"/>
                    <w:right w:val="none" w:sz="0" w:space="0" w:color="auto"/>
                  </w:divBdr>
                  <w:divsChild>
                    <w:div w:id="206841864">
                      <w:marLeft w:val="0"/>
                      <w:marRight w:val="0"/>
                      <w:marTop w:val="0"/>
                      <w:marBottom w:val="0"/>
                      <w:divBdr>
                        <w:top w:val="none" w:sz="0" w:space="0" w:color="auto"/>
                        <w:left w:val="none" w:sz="0" w:space="0" w:color="auto"/>
                        <w:bottom w:val="none" w:sz="0" w:space="0" w:color="auto"/>
                        <w:right w:val="none" w:sz="0" w:space="0" w:color="auto"/>
                      </w:divBdr>
                      <w:divsChild>
                        <w:div w:id="5024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06284">
      <w:bodyDiv w:val="1"/>
      <w:marLeft w:val="0"/>
      <w:marRight w:val="0"/>
      <w:marTop w:val="0"/>
      <w:marBottom w:val="0"/>
      <w:divBdr>
        <w:top w:val="none" w:sz="0" w:space="0" w:color="auto"/>
        <w:left w:val="none" w:sz="0" w:space="0" w:color="auto"/>
        <w:bottom w:val="none" w:sz="0" w:space="0" w:color="auto"/>
        <w:right w:val="none" w:sz="0" w:space="0" w:color="auto"/>
      </w:divBdr>
      <w:divsChild>
        <w:div w:id="1033308220">
          <w:marLeft w:val="0"/>
          <w:marRight w:val="0"/>
          <w:marTop w:val="0"/>
          <w:marBottom w:val="0"/>
          <w:divBdr>
            <w:top w:val="none" w:sz="0" w:space="0" w:color="auto"/>
            <w:left w:val="none" w:sz="0" w:space="0" w:color="auto"/>
            <w:bottom w:val="none" w:sz="0" w:space="0" w:color="auto"/>
            <w:right w:val="none" w:sz="0" w:space="0" w:color="auto"/>
          </w:divBdr>
          <w:divsChild>
            <w:div w:id="583994454">
              <w:marLeft w:val="0"/>
              <w:marRight w:val="0"/>
              <w:marTop w:val="0"/>
              <w:marBottom w:val="0"/>
              <w:divBdr>
                <w:top w:val="none" w:sz="0" w:space="0" w:color="auto"/>
                <w:left w:val="none" w:sz="0" w:space="0" w:color="auto"/>
                <w:bottom w:val="none" w:sz="0" w:space="0" w:color="auto"/>
                <w:right w:val="none" w:sz="0" w:space="0" w:color="auto"/>
              </w:divBdr>
              <w:divsChild>
                <w:div w:id="16332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8229">
      <w:bodyDiv w:val="1"/>
      <w:marLeft w:val="0"/>
      <w:marRight w:val="0"/>
      <w:marTop w:val="0"/>
      <w:marBottom w:val="0"/>
      <w:divBdr>
        <w:top w:val="none" w:sz="0" w:space="0" w:color="auto"/>
        <w:left w:val="none" w:sz="0" w:space="0" w:color="auto"/>
        <w:bottom w:val="none" w:sz="0" w:space="0" w:color="auto"/>
        <w:right w:val="none" w:sz="0" w:space="0" w:color="auto"/>
      </w:divBdr>
    </w:div>
    <w:div w:id="1853177970">
      <w:bodyDiv w:val="1"/>
      <w:marLeft w:val="0"/>
      <w:marRight w:val="0"/>
      <w:marTop w:val="0"/>
      <w:marBottom w:val="0"/>
      <w:divBdr>
        <w:top w:val="none" w:sz="0" w:space="0" w:color="auto"/>
        <w:left w:val="none" w:sz="0" w:space="0" w:color="auto"/>
        <w:bottom w:val="none" w:sz="0" w:space="0" w:color="auto"/>
        <w:right w:val="none" w:sz="0" w:space="0" w:color="auto"/>
      </w:divBdr>
      <w:divsChild>
        <w:div w:id="1539467494">
          <w:marLeft w:val="0"/>
          <w:marRight w:val="0"/>
          <w:marTop w:val="0"/>
          <w:marBottom w:val="0"/>
          <w:divBdr>
            <w:top w:val="none" w:sz="0" w:space="0" w:color="auto"/>
            <w:left w:val="none" w:sz="0" w:space="0" w:color="auto"/>
            <w:bottom w:val="none" w:sz="0" w:space="0" w:color="auto"/>
            <w:right w:val="none" w:sz="0" w:space="0" w:color="auto"/>
          </w:divBdr>
          <w:divsChild>
            <w:div w:id="952173474">
              <w:marLeft w:val="0"/>
              <w:marRight w:val="0"/>
              <w:marTop w:val="0"/>
              <w:marBottom w:val="0"/>
              <w:divBdr>
                <w:top w:val="none" w:sz="0" w:space="0" w:color="auto"/>
                <w:left w:val="none" w:sz="0" w:space="0" w:color="auto"/>
                <w:bottom w:val="none" w:sz="0" w:space="0" w:color="auto"/>
                <w:right w:val="none" w:sz="0" w:space="0" w:color="auto"/>
              </w:divBdr>
              <w:divsChild>
                <w:div w:id="1913007736">
                  <w:marLeft w:val="0"/>
                  <w:marRight w:val="0"/>
                  <w:marTop w:val="0"/>
                  <w:marBottom w:val="0"/>
                  <w:divBdr>
                    <w:top w:val="none" w:sz="0" w:space="0" w:color="auto"/>
                    <w:left w:val="none" w:sz="0" w:space="0" w:color="auto"/>
                    <w:bottom w:val="none" w:sz="0" w:space="0" w:color="auto"/>
                    <w:right w:val="none" w:sz="0" w:space="0" w:color="auto"/>
                  </w:divBdr>
                  <w:divsChild>
                    <w:div w:id="10429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9294">
      <w:bodyDiv w:val="1"/>
      <w:marLeft w:val="0"/>
      <w:marRight w:val="0"/>
      <w:marTop w:val="0"/>
      <w:marBottom w:val="0"/>
      <w:divBdr>
        <w:top w:val="none" w:sz="0" w:space="0" w:color="auto"/>
        <w:left w:val="none" w:sz="0" w:space="0" w:color="auto"/>
        <w:bottom w:val="none" w:sz="0" w:space="0" w:color="auto"/>
        <w:right w:val="none" w:sz="0" w:space="0" w:color="auto"/>
      </w:divBdr>
      <w:divsChild>
        <w:div w:id="513569823">
          <w:marLeft w:val="0"/>
          <w:marRight w:val="0"/>
          <w:marTop w:val="0"/>
          <w:marBottom w:val="0"/>
          <w:divBdr>
            <w:top w:val="none" w:sz="0" w:space="0" w:color="auto"/>
            <w:left w:val="none" w:sz="0" w:space="0" w:color="auto"/>
            <w:bottom w:val="none" w:sz="0" w:space="0" w:color="auto"/>
            <w:right w:val="none" w:sz="0" w:space="0" w:color="auto"/>
          </w:divBdr>
          <w:divsChild>
            <w:div w:id="225192296">
              <w:marLeft w:val="-225"/>
              <w:marRight w:val="-225"/>
              <w:marTop w:val="0"/>
              <w:marBottom w:val="0"/>
              <w:divBdr>
                <w:top w:val="none" w:sz="0" w:space="0" w:color="auto"/>
                <w:left w:val="none" w:sz="0" w:space="0" w:color="auto"/>
                <w:bottom w:val="none" w:sz="0" w:space="0" w:color="auto"/>
                <w:right w:val="none" w:sz="0" w:space="0" w:color="auto"/>
              </w:divBdr>
              <w:divsChild>
                <w:div w:id="1698892254">
                  <w:marLeft w:val="0"/>
                  <w:marRight w:val="0"/>
                  <w:marTop w:val="0"/>
                  <w:marBottom w:val="0"/>
                  <w:divBdr>
                    <w:top w:val="none" w:sz="0" w:space="0" w:color="auto"/>
                    <w:left w:val="none" w:sz="0" w:space="0" w:color="auto"/>
                    <w:bottom w:val="none" w:sz="0" w:space="0" w:color="auto"/>
                    <w:right w:val="none" w:sz="0" w:space="0" w:color="auto"/>
                  </w:divBdr>
                  <w:divsChild>
                    <w:div w:id="1120030468">
                      <w:marLeft w:val="0"/>
                      <w:marRight w:val="0"/>
                      <w:marTop w:val="0"/>
                      <w:marBottom w:val="0"/>
                      <w:divBdr>
                        <w:top w:val="none" w:sz="0" w:space="0" w:color="auto"/>
                        <w:left w:val="none" w:sz="0" w:space="0" w:color="auto"/>
                        <w:bottom w:val="none" w:sz="0" w:space="0" w:color="auto"/>
                        <w:right w:val="none" w:sz="0" w:space="0" w:color="auto"/>
                      </w:divBdr>
                      <w:divsChild>
                        <w:div w:id="430013849">
                          <w:marLeft w:val="0"/>
                          <w:marRight w:val="0"/>
                          <w:marTop w:val="0"/>
                          <w:marBottom w:val="0"/>
                          <w:divBdr>
                            <w:top w:val="none" w:sz="0" w:space="0" w:color="auto"/>
                            <w:left w:val="none" w:sz="0" w:space="0" w:color="auto"/>
                            <w:bottom w:val="none" w:sz="0" w:space="0" w:color="auto"/>
                            <w:right w:val="none" w:sz="0" w:space="0" w:color="auto"/>
                          </w:divBdr>
                          <w:divsChild>
                            <w:div w:id="2027900634">
                              <w:marLeft w:val="0"/>
                              <w:marRight w:val="0"/>
                              <w:marTop w:val="0"/>
                              <w:marBottom w:val="0"/>
                              <w:divBdr>
                                <w:top w:val="none" w:sz="0" w:space="0" w:color="auto"/>
                                <w:left w:val="none" w:sz="0" w:space="0" w:color="auto"/>
                                <w:bottom w:val="none" w:sz="0" w:space="0" w:color="auto"/>
                                <w:right w:val="none" w:sz="0" w:space="0" w:color="auto"/>
                              </w:divBdr>
                              <w:divsChild>
                                <w:div w:id="1597321576">
                                  <w:marLeft w:val="-225"/>
                                  <w:marRight w:val="-225"/>
                                  <w:marTop w:val="0"/>
                                  <w:marBottom w:val="0"/>
                                  <w:divBdr>
                                    <w:top w:val="none" w:sz="0" w:space="0" w:color="auto"/>
                                    <w:left w:val="none" w:sz="0" w:space="0" w:color="auto"/>
                                    <w:bottom w:val="none" w:sz="0" w:space="0" w:color="auto"/>
                                    <w:right w:val="none" w:sz="0" w:space="0" w:color="auto"/>
                                  </w:divBdr>
                                  <w:divsChild>
                                    <w:div w:id="6173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1758">
                          <w:marLeft w:val="0"/>
                          <w:marRight w:val="0"/>
                          <w:marTop w:val="0"/>
                          <w:marBottom w:val="0"/>
                          <w:divBdr>
                            <w:top w:val="none" w:sz="0" w:space="0" w:color="auto"/>
                            <w:left w:val="none" w:sz="0" w:space="0" w:color="auto"/>
                            <w:bottom w:val="none" w:sz="0" w:space="0" w:color="auto"/>
                            <w:right w:val="none" w:sz="0" w:space="0" w:color="auto"/>
                          </w:divBdr>
                          <w:divsChild>
                            <w:div w:id="1267619485">
                              <w:marLeft w:val="0"/>
                              <w:marRight w:val="0"/>
                              <w:marTop w:val="0"/>
                              <w:marBottom w:val="0"/>
                              <w:divBdr>
                                <w:top w:val="none" w:sz="0" w:space="0" w:color="auto"/>
                                <w:left w:val="none" w:sz="0" w:space="0" w:color="auto"/>
                                <w:bottom w:val="none" w:sz="0" w:space="0" w:color="auto"/>
                                <w:right w:val="none" w:sz="0" w:space="0" w:color="auto"/>
                              </w:divBdr>
                              <w:divsChild>
                                <w:div w:id="822087042">
                                  <w:marLeft w:val="0"/>
                                  <w:marRight w:val="0"/>
                                  <w:marTop w:val="0"/>
                                  <w:marBottom w:val="0"/>
                                  <w:divBdr>
                                    <w:top w:val="none" w:sz="0" w:space="0" w:color="auto"/>
                                    <w:left w:val="none" w:sz="0" w:space="0" w:color="auto"/>
                                    <w:bottom w:val="none" w:sz="0" w:space="0" w:color="auto"/>
                                    <w:right w:val="none" w:sz="0" w:space="0" w:color="auto"/>
                                  </w:divBdr>
                                  <w:divsChild>
                                    <w:div w:id="1089077653">
                                      <w:marLeft w:val="0"/>
                                      <w:marRight w:val="0"/>
                                      <w:marTop w:val="0"/>
                                      <w:marBottom w:val="0"/>
                                      <w:divBdr>
                                        <w:top w:val="none" w:sz="0" w:space="0" w:color="auto"/>
                                        <w:left w:val="none" w:sz="0" w:space="0" w:color="auto"/>
                                        <w:bottom w:val="none" w:sz="0" w:space="0" w:color="auto"/>
                                        <w:right w:val="none" w:sz="0" w:space="0" w:color="auto"/>
                                      </w:divBdr>
                                      <w:divsChild>
                                        <w:div w:id="646982614">
                                          <w:marLeft w:val="0"/>
                                          <w:marRight w:val="0"/>
                                          <w:marTop w:val="0"/>
                                          <w:marBottom w:val="0"/>
                                          <w:divBdr>
                                            <w:top w:val="none" w:sz="0" w:space="0" w:color="auto"/>
                                            <w:left w:val="none" w:sz="0" w:space="0" w:color="auto"/>
                                            <w:bottom w:val="none" w:sz="0" w:space="0" w:color="auto"/>
                                            <w:right w:val="none" w:sz="0" w:space="0" w:color="auto"/>
                                          </w:divBdr>
                                          <w:divsChild>
                                            <w:div w:id="709695827">
                                              <w:marLeft w:val="0"/>
                                              <w:marRight w:val="0"/>
                                              <w:marTop w:val="0"/>
                                              <w:marBottom w:val="0"/>
                                              <w:divBdr>
                                                <w:top w:val="none" w:sz="0" w:space="0" w:color="auto"/>
                                                <w:left w:val="none" w:sz="0" w:space="0" w:color="auto"/>
                                                <w:bottom w:val="none" w:sz="0" w:space="0" w:color="auto"/>
                                                <w:right w:val="none" w:sz="0" w:space="0" w:color="auto"/>
                                              </w:divBdr>
                                              <w:divsChild>
                                                <w:div w:id="14427713">
                                                  <w:marLeft w:val="0"/>
                                                  <w:marRight w:val="0"/>
                                                  <w:marTop w:val="0"/>
                                                  <w:marBottom w:val="0"/>
                                                  <w:divBdr>
                                                    <w:top w:val="none" w:sz="0" w:space="0" w:color="auto"/>
                                                    <w:left w:val="none" w:sz="0" w:space="0" w:color="auto"/>
                                                    <w:bottom w:val="none" w:sz="0" w:space="0" w:color="auto"/>
                                                    <w:right w:val="none" w:sz="0" w:space="0" w:color="auto"/>
                                                  </w:divBdr>
                                                  <w:divsChild>
                                                    <w:div w:id="19079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36744">
                                              <w:marLeft w:val="0"/>
                                              <w:marRight w:val="0"/>
                                              <w:marTop w:val="0"/>
                                              <w:marBottom w:val="0"/>
                                              <w:divBdr>
                                                <w:top w:val="none" w:sz="0" w:space="0" w:color="auto"/>
                                                <w:left w:val="none" w:sz="0" w:space="0" w:color="auto"/>
                                                <w:bottom w:val="none" w:sz="0" w:space="0" w:color="auto"/>
                                                <w:right w:val="none" w:sz="0" w:space="0" w:color="auto"/>
                                              </w:divBdr>
                                              <w:divsChild>
                                                <w:div w:id="1626740343">
                                                  <w:marLeft w:val="0"/>
                                                  <w:marRight w:val="0"/>
                                                  <w:marTop w:val="0"/>
                                                  <w:marBottom w:val="0"/>
                                                  <w:divBdr>
                                                    <w:top w:val="none" w:sz="0" w:space="0" w:color="auto"/>
                                                    <w:left w:val="none" w:sz="0" w:space="0" w:color="auto"/>
                                                    <w:bottom w:val="none" w:sz="0" w:space="0" w:color="auto"/>
                                                    <w:right w:val="none" w:sz="0" w:space="0" w:color="auto"/>
                                                  </w:divBdr>
                                                  <w:divsChild>
                                                    <w:div w:id="1776092026">
                                                      <w:marLeft w:val="0"/>
                                                      <w:marRight w:val="0"/>
                                                      <w:marTop w:val="0"/>
                                                      <w:marBottom w:val="0"/>
                                                      <w:divBdr>
                                                        <w:top w:val="none" w:sz="0" w:space="0" w:color="auto"/>
                                                        <w:left w:val="none" w:sz="0" w:space="0" w:color="auto"/>
                                                        <w:bottom w:val="none" w:sz="0" w:space="0" w:color="auto"/>
                                                        <w:right w:val="none" w:sz="0" w:space="0" w:color="auto"/>
                                                      </w:divBdr>
                                                      <w:divsChild>
                                                        <w:div w:id="535848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0864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344330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1474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912503">
      <w:bodyDiv w:val="1"/>
      <w:marLeft w:val="0"/>
      <w:marRight w:val="0"/>
      <w:marTop w:val="0"/>
      <w:marBottom w:val="0"/>
      <w:divBdr>
        <w:top w:val="none" w:sz="0" w:space="0" w:color="auto"/>
        <w:left w:val="none" w:sz="0" w:space="0" w:color="auto"/>
        <w:bottom w:val="none" w:sz="0" w:space="0" w:color="auto"/>
        <w:right w:val="none" w:sz="0" w:space="0" w:color="auto"/>
      </w:divBdr>
      <w:divsChild>
        <w:div w:id="1736196827">
          <w:marLeft w:val="0"/>
          <w:marRight w:val="0"/>
          <w:marTop w:val="0"/>
          <w:marBottom w:val="0"/>
          <w:divBdr>
            <w:top w:val="none" w:sz="0" w:space="0" w:color="auto"/>
            <w:left w:val="none" w:sz="0" w:space="0" w:color="auto"/>
            <w:bottom w:val="none" w:sz="0" w:space="0" w:color="auto"/>
            <w:right w:val="none" w:sz="0" w:space="0" w:color="auto"/>
          </w:divBdr>
          <w:divsChild>
            <w:div w:id="1638340292">
              <w:marLeft w:val="0"/>
              <w:marRight w:val="0"/>
              <w:marTop w:val="0"/>
              <w:marBottom w:val="0"/>
              <w:divBdr>
                <w:top w:val="none" w:sz="0" w:space="0" w:color="auto"/>
                <w:left w:val="none" w:sz="0" w:space="0" w:color="auto"/>
                <w:bottom w:val="none" w:sz="0" w:space="0" w:color="auto"/>
                <w:right w:val="none" w:sz="0" w:space="0" w:color="auto"/>
              </w:divBdr>
              <w:divsChild>
                <w:div w:id="7567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8728">
      <w:bodyDiv w:val="1"/>
      <w:marLeft w:val="0"/>
      <w:marRight w:val="0"/>
      <w:marTop w:val="0"/>
      <w:marBottom w:val="0"/>
      <w:divBdr>
        <w:top w:val="none" w:sz="0" w:space="0" w:color="auto"/>
        <w:left w:val="none" w:sz="0" w:space="0" w:color="auto"/>
        <w:bottom w:val="none" w:sz="0" w:space="0" w:color="auto"/>
        <w:right w:val="none" w:sz="0" w:space="0" w:color="auto"/>
      </w:divBdr>
      <w:divsChild>
        <w:div w:id="1657031622">
          <w:marLeft w:val="0"/>
          <w:marRight w:val="0"/>
          <w:marTop w:val="0"/>
          <w:marBottom w:val="0"/>
          <w:divBdr>
            <w:top w:val="none" w:sz="0" w:space="0" w:color="auto"/>
            <w:left w:val="none" w:sz="0" w:space="0" w:color="auto"/>
            <w:bottom w:val="none" w:sz="0" w:space="0" w:color="auto"/>
            <w:right w:val="none" w:sz="0" w:space="0" w:color="auto"/>
          </w:divBdr>
          <w:divsChild>
            <w:div w:id="1023215179">
              <w:marLeft w:val="0"/>
              <w:marRight w:val="0"/>
              <w:marTop w:val="0"/>
              <w:marBottom w:val="0"/>
              <w:divBdr>
                <w:top w:val="none" w:sz="0" w:space="0" w:color="auto"/>
                <w:left w:val="none" w:sz="0" w:space="0" w:color="auto"/>
                <w:bottom w:val="none" w:sz="0" w:space="0" w:color="auto"/>
                <w:right w:val="none" w:sz="0" w:space="0" w:color="auto"/>
              </w:divBdr>
              <w:divsChild>
                <w:div w:id="6009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3833">
      <w:bodyDiv w:val="1"/>
      <w:marLeft w:val="0"/>
      <w:marRight w:val="0"/>
      <w:marTop w:val="0"/>
      <w:marBottom w:val="0"/>
      <w:divBdr>
        <w:top w:val="none" w:sz="0" w:space="0" w:color="auto"/>
        <w:left w:val="none" w:sz="0" w:space="0" w:color="auto"/>
        <w:bottom w:val="none" w:sz="0" w:space="0" w:color="auto"/>
        <w:right w:val="none" w:sz="0" w:space="0" w:color="auto"/>
      </w:divBdr>
    </w:div>
    <w:div w:id="2125033828">
      <w:bodyDiv w:val="1"/>
      <w:marLeft w:val="0"/>
      <w:marRight w:val="0"/>
      <w:marTop w:val="0"/>
      <w:marBottom w:val="0"/>
      <w:divBdr>
        <w:top w:val="none" w:sz="0" w:space="0" w:color="auto"/>
        <w:left w:val="none" w:sz="0" w:space="0" w:color="auto"/>
        <w:bottom w:val="none" w:sz="0" w:space="0" w:color="auto"/>
        <w:right w:val="none" w:sz="0" w:space="0" w:color="auto"/>
      </w:divBdr>
    </w:div>
    <w:div w:id="2133942686">
      <w:bodyDiv w:val="1"/>
      <w:marLeft w:val="0"/>
      <w:marRight w:val="0"/>
      <w:marTop w:val="0"/>
      <w:marBottom w:val="0"/>
      <w:divBdr>
        <w:top w:val="none" w:sz="0" w:space="0" w:color="auto"/>
        <w:left w:val="none" w:sz="0" w:space="0" w:color="auto"/>
        <w:bottom w:val="none" w:sz="0" w:space="0" w:color="auto"/>
        <w:right w:val="none" w:sz="0" w:space="0" w:color="auto"/>
      </w:divBdr>
      <w:divsChild>
        <w:div w:id="1648247606">
          <w:marLeft w:val="0"/>
          <w:marRight w:val="0"/>
          <w:marTop w:val="0"/>
          <w:marBottom w:val="0"/>
          <w:divBdr>
            <w:top w:val="none" w:sz="0" w:space="0" w:color="auto"/>
            <w:left w:val="none" w:sz="0" w:space="0" w:color="auto"/>
            <w:bottom w:val="none" w:sz="0" w:space="0" w:color="auto"/>
            <w:right w:val="none" w:sz="0" w:space="0" w:color="auto"/>
          </w:divBdr>
          <w:divsChild>
            <w:div w:id="548420865">
              <w:marLeft w:val="0"/>
              <w:marRight w:val="0"/>
              <w:marTop w:val="0"/>
              <w:marBottom w:val="0"/>
              <w:divBdr>
                <w:top w:val="none" w:sz="0" w:space="0" w:color="auto"/>
                <w:left w:val="none" w:sz="0" w:space="0" w:color="auto"/>
                <w:bottom w:val="none" w:sz="0" w:space="0" w:color="auto"/>
                <w:right w:val="none" w:sz="0" w:space="0" w:color="auto"/>
              </w:divBdr>
              <w:divsChild>
                <w:div w:id="1455440104">
                  <w:marLeft w:val="0"/>
                  <w:marRight w:val="0"/>
                  <w:marTop w:val="0"/>
                  <w:marBottom w:val="0"/>
                  <w:divBdr>
                    <w:top w:val="none" w:sz="0" w:space="0" w:color="auto"/>
                    <w:left w:val="none" w:sz="0" w:space="0" w:color="auto"/>
                    <w:bottom w:val="none" w:sz="0" w:space="0" w:color="auto"/>
                    <w:right w:val="none" w:sz="0" w:space="0" w:color="auto"/>
                  </w:divBdr>
                  <w:divsChild>
                    <w:div w:id="7392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abc.net.au/news/2014-07-17/snowden-deserves-protection-from-prosecution3a-un-rights-chief/56032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09B58-941E-4F4D-A2FB-81ABF6C0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168</TotalTime>
  <Pages>106</Pages>
  <Words>33356</Words>
  <Characters>190134</Characters>
  <Application>Microsoft Office Word</Application>
  <DocSecurity>0</DocSecurity>
  <Lines>1584</Lines>
  <Paragraphs>446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223044</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Jennifer Lim</dc:creator>
  <cp:keywords/>
  <cp:lastModifiedBy>Partha Bapari</cp:lastModifiedBy>
  <cp:revision>23</cp:revision>
  <cp:lastPrinted>2018-10-12T00:47:00Z</cp:lastPrinted>
  <dcterms:created xsi:type="dcterms:W3CDTF">2018-10-11T21:42:00Z</dcterms:created>
  <dcterms:modified xsi:type="dcterms:W3CDTF">2018-10-12T04:01:00Z</dcterms:modified>
</cp:coreProperties>
</file>