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F450D7" w14:textId="77777777" w:rsidR="00591951" w:rsidRPr="00654793" w:rsidRDefault="00F20CF2" w:rsidP="00591951">
      <w:pPr>
        <w:tabs>
          <w:tab w:val="left" w:pos="3014"/>
        </w:tabs>
        <w:spacing w:after="3000"/>
        <w:rPr>
          <w:rStyle w:val="FootnoteReference"/>
        </w:rPr>
      </w:pPr>
      <w:r>
        <w:rPr>
          <w:noProof/>
        </w:rPr>
        <mc:AlternateContent>
          <mc:Choice Requires="wps">
            <w:drawing>
              <wp:anchor distT="0" distB="0" distL="114300" distR="114300" simplePos="0" relativeHeight="251656704" behindDoc="0" locked="0" layoutInCell="1" allowOverlap="1" wp14:anchorId="4AB77687" wp14:editId="7B4AF713">
                <wp:simplePos x="0" y="0"/>
                <wp:positionH relativeFrom="column">
                  <wp:posOffset>391795</wp:posOffset>
                </wp:positionH>
                <wp:positionV relativeFrom="paragraph">
                  <wp:posOffset>-45085</wp:posOffset>
                </wp:positionV>
                <wp:extent cx="5342890" cy="203835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42890" cy="2038350"/>
                        </a:xfrm>
                        <a:prstGeom prst="rect">
                          <a:avLst/>
                        </a:prstGeom>
                        <a:noFill/>
                        <a:ln w="6350">
                          <a:noFill/>
                        </a:ln>
                        <a:effectLst/>
                      </wps:spPr>
                      <wps:txbx>
                        <w:txbxContent>
                          <w:p w14:paraId="789E1A29" w14:textId="77777777" w:rsidR="003126E0" w:rsidRPr="00F20CF2" w:rsidRDefault="003126E0" w:rsidP="00F20CF2">
                            <w:pPr>
                              <w:pStyle w:val="MainTitle"/>
                              <w:rPr>
                                <w:sz w:val="52"/>
                                <w:szCs w:val="52"/>
                              </w:rPr>
                            </w:pPr>
                            <w:r>
                              <w:rPr>
                                <w:sz w:val="52"/>
                                <w:szCs w:val="52"/>
                              </w:rPr>
                              <w:t>Information concerning Australia’s compliance with the International Covenant on Civil and Political Rights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B77687" id="_x0000_t202" coordsize="21600,21600" o:spt="202" path="m,l,21600r21600,l21600,xe">
                <v:stroke joinstyle="miter"/>
                <v:path gradientshapeok="t" o:connecttype="rect"/>
              </v:shapetype>
              <v:shape id="Text Box 1" o:spid="_x0000_s1026" type="#_x0000_t202" style="position:absolute;margin-left:30.85pt;margin-top:-3.55pt;width:420.7pt;height:16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" filled="f" stroked="f" strokeweight=".5pt">
                <v:path arrowok="t"/>
                <v:textbox>
                  <w:txbxContent>
                    <w:p w14:paraId="789E1A29" w14:textId="77777777" w:rsidR="003126E0" w:rsidRPr="00F20CF2" w:rsidRDefault="003126E0" w:rsidP="00F20CF2">
                      <w:pPr>
                        <w:pStyle w:val="MainTitle"/>
                        <w:rPr>
                          <w:sz w:val="52"/>
                          <w:szCs w:val="52"/>
                        </w:rPr>
                      </w:pPr>
                      <w:r>
                        <w:rPr>
                          <w:sz w:val="52"/>
                          <w:szCs w:val="52"/>
                        </w:rPr>
                        <w:t>Information concerning Australia’s compliance with the International Covenant on Civil and Political Rights</w:t>
                      </w:r>
                    </w:p>
                  </w:txbxContent>
                </v:textbox>
              </v:shape>
            </w:pict>
          </mc:Fallback>
        </mc:AlternateContent>
      </w:r>
    </w:p>
    <w:p w14:paraId="4ECDFF41" w14:textId="77777777" w:rsidR="00591951" w:rsidRPr="00827DE2" w:rsidRDefault="007063BE" w:rsidP="00591951">
      <w:pPr>
        <w:pStyle w:val="MainTitle"/>
        <w:rPr>
          <w:sz w:val="44"/>
          <w:szCs w:val="44"/>
        </w:rPr>
      </w:pPr>
      <w:r>
        <w:rPr>
          <w:noProof/>
        </w:rPr>
        <mc:AlternateContent>
          <mc:Choice Requires="wps">
            <w:drawing>
              <wp:anchor distT="0" distB="0" distL="114300" distR="114300" simplePos="0" relativeHeight="251658752" behindDoc="0" locked="0" layoutInCell="1" allowOverlap="1" wp14:anchorId="05F59289" wp14:editId="39034459">
                <wp:simplePos x="0" y="0"/>
                <wp:positionH relativeFrom="column">
                  <wp:posOffset>1957070</wp:posOffset>
                </wp:positionH>
                <wp:positionV relativeFrom="paragraph">
                  <wp:posOffset>993141</wp:posOffset>
                </wp:positionV>
                <wp:extent cx="3775075" cy="5143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5075" cy="514350"/>
                        </a:xfrm>
                        <a:prstGeom prst="rect">
                          <a:avLst/>
                        </a:prstGeom>
                        <a:noFill/>
                        <a:ln w="6350">
                          <a:noFill/>
                        </a:ln>
                        <a:effectLst/>
                      </wps:spPr>
                      <wps:txbx>
                        <w:txbxContent>
                          <w:p w14:paraId="1C7584CB" w14:textId="77777777" w:rsidR="003126E0" w:rsidRPr="00B74219" w:rsidRDefault="003126E0" w:rsidP="002863D7">
                            <w:pPr>
                              <w:pStyle w:val="Date"/>
                            </w:pPr>
                            <w:r w:rsidRPr="00BD5EBC">
                              <w:t>18 September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F59289" id="Text Box 4" o:spid="_x0000_s1027" type="#_x0000_t202" style="position:absolute;left:0;text-align:left;margin-left:154.1pt;margin-top:78.2pt;width:297.25pt;height:4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" filled="f" stroked="f" strokeweight=".5pt">
                <v:path arrowok="t"/>
                <v:textbox>
                  <w:txbxContent>
                    <w:p w14:paraId="1C7584CB" w14:textId="77777777" w:rsidR="003126E0" w:rsidRPr="00B74219" w:rsidRDefault="003126E0" w:rsidP="002863D7">
                      <w:pPr>
                        <w:pStyle w:val="Date"/>
                      </w:pPr>
                      <w:r w:rsidRPr="00BD5EBC">
                        <w:t>18 September 2017</w:t>
                      </w:r>
                    </w:p>
                  </w:txbxContent>
                </v:textbox>
              </v:shape>
            </w:pict>
          </mc:Fallback>
        </mc:AlternateContent>
      </w:r>
      <w:r w:rsidR="00F20CF2">
        <w:rPr>
          <w:noProof/>
        </w:rPr>
        <mc:AlternateContent>
          <mc:Choice Requires="wps">
            <w:drawing>
              <wp:anchor distT="0" distB="0" distL="114300" distR="114300" simplePos="0" relativeHeight="251657728" behindDoc="0" locked="0" layoutInCell="1" allowOverlap="1" wp14:anchorId="4D61D51C" wp14:editId="3D3977A7">
                <wp:simplePos x="0" y="0"/>
                <wp:positionH relativeFrom="column">
                  <wp:posOffset>1128395</wp:posOffset>
                </wp:positionH>
                <wp:positionV relativeFrom="paragraph">
                  <wp:posOffset>221615</wp:posOffset>
                </wp:positionV>
                <wp:extent cx="4606290" cy="5524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06290" cy="552450"/>
                        </a:xfrm>
                        <a:prstGeom prst="rect">
                          <a:avLst/>
                        </a:prstGeom>
                        <a:noFill/>
                        <a:ln w="6350">
                          <a:noFill/>
                        </a:ln>
                        <a:effectLst/>
                      </wps:spPr>
                      <wps:txbx>
                        <w:txbxContent>
                          <w:p w14:paraId="799EC605" w14:textId="17AF51F8" w:rsidR="003126E0" w:rsidRPr="00B74219" w:rsidRDefault="003126E0" w:rsidP="00A11307">
                            <w:pPr>
                              <w:pStyle w:val="Subtitle"/>
                            </w:pPr>
                            <w:bookmarkStart w:id="0" w:name="_Toc492298956"/>
                            <w:bookmarkStart w:id="1" w:name="_Toc491112938"/>
                            <w:bookmarkStart w:id="2" w:name="_Toc493489579"/>
                            <w:r w:rsidRPr="002863D7">
                              <w:t>Australian Human Rights C</w:t>
                            </w:r>
                            <w:r>
                              <w:t>ommission Submission to the UN Human Rights Committee</w:t>
                            </w:r>
                            <w:bookmarkEnd w:id="0"/>
                            <w:bookmarkEnd w:id="2"/>
                          </w:p>
                          <w:p w14:paraId="5B1F9ECF" w14:textId="77777777" w:rsidR="003126E0" w:rsidRDefault="003126E0"/>
                          <w:bookmarkEnd w:id="1"/>
                          <w:p w14:paraId="671C41BD" w14:textId="77777777" w:rsidR="003126E0" w:rsidRPr="00B74219" w:rsidRDefault="003126E0" w:rsidP="00A11307">
                            <w:pPr>
                              <w:pStyle w:val="Subtitl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61D51C" id="Text Box 3" o:spid="_x0000_s1028" type="#_x0000_t202" style="position:absolute;left:0;text-align:left;margin-left:88.85pt;margin-top:17.45pt;width:362.7pt;height: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" filled="f" stroked="f" strokeweight=".5pt">
                <v:path arrowok="t"/>
                <v:textbox>
                  <w:txbxContent>
                    <w:p w14:paraId="799EC605" w14:textId="17AF51F8" w:rsidR="003126E0" w:rsidRPr="00B74219" w:rsidRDefault="003126E0" w:rsidP="00A11307">
                      <w:pPr>
                        <w:pStyle w:val="Subtitle"/>
                      </w:pPr>
                      <w:bookmarkStart w:id="3" w:name="_Toc492298956"/>
                      <w:bookmarkStart w:id="4" w:name="_Toc491112938"/>
                      <w:bookmarkStart w:id="5" w:name="_Toc493489579"/>
                      <w:r w:rsidRPr="002863D7">
                        <w:t>Australian Human Rights C</w:t>
                      </w:r>
                      <w:r>
                        <w:t>ommission Submission to the UN Human Rights Committee</w:t>
                      </w:r>
                      <w:bookmarkEnd w:id="3"/>
                      <w:bookmarkEnd w:id="5"/>
                    </w:p>
                    <w:p w14:paraId="5B1F9ECF" w14:textId="77777777" w:rsidR="003126E0" w:rsidRDefault="003126E0"/>
                    <w:bookmarkEnd w:id="4"/>
                    <w:p w14:paraId="671C41BD" w14:textId="77777777" w:rsidR="003126E0" w:rsidRPr="00B74219" w:rsidRDefault="003126E0" w:rsidP="00A11307">
                      <w:pPr>
                        <w:pStyle w:val="Subtitle"/>
                      </w:pPr>
                    </w:p>
                  </w:txbxContent>
                </v:textbox>
              </v:shape>
            </w:pict>
          </mc:Fallback>
        </mc:AlternateContent>
      </w:r>
    </w:p>
    <w:p w14:paraId="4FC62E77" w14:textId="77777777" w:rsidR="00B924E6" w:rsidRDefault="00B924E6" w:rsidP="00E26B28">
      <w:pPr>
        <w:sectPr w:rsidR="00B924E6" w:rsidSect="00B24B1D">
          <w:headerReference w:type="even" r:id="rId8"/>
          <w:headerReference w:type="default" r:id="rId9"/>
          <w:footerReference w:type="default" r:id="rId10"/>
          <w:headerReference w:type="first" r:id="rId11"/>
          <w:footerReference w:type="first" r:id="rId12"/>
          <w:type w:val="continuous"/>
          <w:pgSz w:w="11906" w:h="16838" w:code="9"/>
          <w:pgMar w:top="228" w:right="1700" w:bottom="1134" w:left="1418" w:header="277" w:footer="415" w:gutter="0"/>
          <w:cols w:space="708"/>
          <w:titlePg/>
          <w:docGrid w:linePitch="360"/>
        </w:sectPr>
      </w:pPr>
      <w:bookmarkStart w:id="6" w:name="_Toc209316062"/>
      <w:bookmarkEnd w:id="6"/>
    </w:p>
    <w:p w14:paraId="00F15A82" w14:textId="77777777" w:rsidR="00B63D24" w:rsidRPr="00907336" w:rsidRDefault="00B63D24" w:rsidP="00B63D24">
      <w:pPr>
        <w:rPr>
          <w:b/>
          <w:sz w:val="28"/>
          <w:szCs w:val="28"/>
        </w:rPr>
      </w:pPr>
      <w:bookmarkStart w:id="7" w:name="_Toc207761829"/>
      <w:r w:rsidRPr="00907336">
        <w:rPr>
          <w:b/>
          <w:sz w:val="28"/>
          <w:szCs w:val="28"/>
        </w:rPr>
        <w:lastRenderedPageBreak/>
        <w:t>Table of Contents</w:t>
      </w:r>
      <w:bookmarkEnd w:id="7"/>
    </w:p>
    <w:p w14:paraId="72D4E4F0" w14:textId="1F49495F" w:rsidR="00AF4E34" w:rsidRDefault="00B63D24">
      <w:pPr>
        <w:pStyle w:val="TOC2"/>
        <w:rPr>
          <w:rFonts w:asciiTheme="minorHAnsi" w:eastAsiaTheme="minorEastAsia" w:hAnsiTheme="minorHAnsi" w:cstheme="minorBidi"/>
          <w:b w:val="0"/>
          <w:i w:val="0"/>
          <w:sz w:val="22"/>
          <w:szCs w:val="22"/>
        </w:rPr>
      </w:pPr>
      <w:r>
        <w:rPr>
          <w:sz w:val="22"/>
        </w:rPr>
        <w:fldChar w:fldCharType="begin"/>
      </w:r>
      <w:r>
        <w:instrText xml:space="preserve"> TOC \o "1-4" \h \z \u </w:instrText>
      </w:r>
      <w:r>
        <w:rPr>
          <w:sz w:val="22"/>
        </w:rPr>
        <w:fldChar w:fldCharType="separate"/>
      </w:r>
      <w:hyperlink r:id="rId13" w:anchor="_Toc493489579" w:history="1">
        <w:r w:rsidR="00AF4E34" w:rsidRPr="007F23FA">
          <w:rPr>
            <w:rStyle w:val="Hyperlink"/>
          </w:rPr>
          <w:t>Australian Human Rights Commission Submission to the UN Human Rights Committee</w:t>
        </w:r>
        <w:r w:rsidR="00AF4E34">
          <w:rPr>
            <w:webHidden/>
          </w:rPr>
          <w:tab/>
        </w:r>
        <w:r w:rsidR="00AF4E34">
          <w:rPr>
            <w:webHidden/>
          </w:rPr>
          <w:fldChar w:fldCharType="begin"/>
        </w:r>
        <w:r w:rsidR="00AF4E34">
          <w:rPr>
            <w:webHidden/>
          </w:rPr>
          <w:instrText xml:space="preserve"> PAGEREF _Toc493489579 \h </w:instrText>
        </w:r>
        <w:r w:rsidR="00AF4E34">
          <w:rPr>
            <w:webHidden/>
          </w:rPr>
        </w:r>
        <w:r w:rsidR="00AF4E34">
          <w:rPr>
            <w:webHidden/>
          </w:rPr>
          <w:fldChar w:fldCharType="separate"/>
        </w:r>
        <w:r w:rsidR="003126E0">
          <w:rPr>
            <w:webHidden/>
          </w:rPr>
          <w:t>1</w:t>
        </w:r>
        <w:r w:rsidR="00AF4E34">
          <w:rPr>
            <w:webHidden/>
          </w:rPr>
          <w:fldChar w:fldCharType="end"/>
        </w:r>
      </w:hyperlink>
    </w:p>
    <w:p w14:paraId="6C5FD008" w14:textId="4C713756" w:rsidR="00AF4E34" w:rsidRDefault="00AF4E34">
      <w:pPr>
        <w:pStyle w:val="TOC1"/>
        <w:rPr>
          <w:rFonts w:asciiTheme="minorHAnsi" w:eastAsiaTheme="minorEastAsia" w:hAnsiTheme="minorHAnsi" w:cstheme="minorBidi"/>
          <w:b w:val="0"/>
          <w:szCs w:val="22"/>
        </w:rPr>
      </w:pPr>
      <w:hyperlink w:anchor="_Toc493489580" w:history="1">
        <w:r w:rsidRPr="007F23FA">
          <w:rPr>
            <w:rStyle w:val="Hyperlink"/>
          </w:rPr>
          <w:t>1</w:t>
        </w:r>
        <w:r>
          <w:rPr>
            <w:rFonts w:asciiTheme="minorHAnsi" w:eastAsiaTheme="minorEastAsia" w:hAnsiTheme="minorHAnsi" w:cstheme="minorBidi"/>
            <w:b w:val="0"/>
            <w:szCs w:val="22"/>
          </w:rPr>
          <w:tab/>
        </w:r>
        <w:r w:rsidRPr="007F23FA">
          <w:rPr>
            <w:rStyle w:val="Hyperlink"/>
          </w:rPr>
          <w:t>Introduction</w:t>
        </w:r>
        <w:r>
          <w:rPr>
            <w:webHidden/>
          </w:rPr>
          <w:tab/>
        </w:r>
        <w:r>
          <w:rPr>
            <w:webHidden/>
          </w:rPr>
          <w:fldChar w:fldCharType="begin"/>
        </w:r>
        <w:r>
          <w:rPr>
            <w:webHidden/>
          </w:rPr>
          <w:instrText xml:space="preserve"> PAGEREF _Toc493489580 \h </w:instrText>
        </w:r>
        <w:r>
          <w:rPr>
            <w:webHidden/>
          </w:rPr>
        </w:r>
        <w:r>
          <w:rPr>
            <w:webHidden/>
          </w:rPr>
          <w:fldChar w:fldCharType="separate"/>
        </w:r>
        <w:r w:rsidR="003126E0">
          <w:rPr>
            <w:webHidden/>
          </w:rPr>
          <w:t>5</w:t>
        </w:r>
        <w:r>
          <w:rPr>
            <w:webHidden/>
          </w:rPr>
          <w:fldChar w:fldCharType="end"/>
        </w:r>
      </w:hyperlink>
    </w:p>
    <w:p w14:paraId="32BCC50F" w14:textId="66B7E92A" w:rsidR="00AF4E34" w:rsidRDefault="00AF4E34">
      <w:pPr>
        <w:pStyle w:val="TOC1"/>
        <w:rPr>
          <w:rFonts w:asciiTheme="minorHAnsi" w:eastAsiaTheme="minorEastAsia" w:hAnsiTheme="minorHAnsi" w:cstheme="minorBidi"/>
          <w:b w:val="0"/>
          <w:szCs w:val="22"/>
        </w:rPr>
      </w:pPr>
      <w:hyperlink w:anchor="_Toc493489581" w:history="1">
        <w:r w:rsidRPr="007F23FA">
          <w:rPr>
            <w:rStyle w:val="Hyperlink"/>
          </w:rPr>
          <w:t>2</w:t>
        </w:r>
        <w:r>
          <w:rPr>
            <w:rFonts w:asciiTheme="minorHAnsi" w:eastAsiaTheme="minorEastAsia" w:hAnsiTheme="minorHAnsi" w:cstheme="minorBidi"/>
            <w:b w:val="0"/>
            <w:szCs w:val="22"/>
          </w:rPr>
          <w:tab/>
        </w:r>
        <w:r w:rsidRPr="007F23FA">
          <w:rPr>
            <w:rStyle w:val="Hyperlink"/>
          </w:rPr>
          <w:t>Priority areas</w:t>
        </w:r>
        <w:r>
          <w:rPr>
            <w:webHidden/>
          </w:rPr>
          <w:tab/>
        </w:r>
        <w:r>
          <w:rPr>
            <w:webHidden/>
          </w:rPr>
          <w:fldChar w:fldCharType="begin"/>
        </w:r>
        <w:r>
          <w:rPr>
            <w:webHidden/>
          </w:rPr>
          <w:instrText xml:space="preserve"> PAGEREF _Toc493489581 \h </w:instrText>
        </w:r>
        <w:r>
          <w:rPr>
            <w:webHidden/>
          </w:rPr>
        </w:r>
        <w:r>
          <w:rPr>
            <w:webHidden/>
          </w:rPr>
          <w:fldChar w:fldCharType="separate"/>
        </w:r>
        <w:r w:rsidR="003126E0">
          <w:rPr>
            <w:webHidden/>
          </w:rPr>
          <w:t>5</w:t>
        </w:r>
        <w:r>
          <w:rPr>
            <w:webHidden/>
          </w:rPr>
          <w:fldChar w:fldCharType="end"/>
        </w:r>
      </w:hyperlink>
    </w:p>
    <w:p w14:paraId="0EE0978F" w14:textId="0FA59376" w:rsidR="00AF4E34" w:rsidRDefault="00AF4E34">
      <w:pPr>
        <w:pStyle w:val="TOC1"/>
        <w:rPr>
          <w:rFonts w:asciiTheme="minorHAnsi" w:eastAsiaTheme="minorEastAsia" w:hAnsiTheme="minorHAnsi" w:cstheme="minorBidi"/>
          <w:b w:val="0"/>
          <w:szCs w:val="22"/>
        </w:rPr>
      </w:pPr>
      <w:hyperlink w:anchor="_Toc493489582" w:history="1">
        <w:r w:rsidRPr="007F23FA">
          <w:rPr>
            <w:rStyle w:val="Hyperlink"/>
          </w:rPr>
          <w:t>3</w:t>
        </w:r>
        <w:r>
          <w:rPr>
            <w:rFonts w:asciiTheme="minorHAnsi" w:eastAsiaTheme="minorEastAsia" w:hAnsiTheme="minorHAnsi" w:cstheme="minorBidi"/>
            <w:b w:val="0"/>
            <w:szCs w:val="22"/>
          </w:rPr>
          <w:tab/>
        </w:r>
        <w:r w:rsidRPr="007F23FA">
          <w:rPr>
            <w:rStyle w:val="Hyperlink"/>
          </w:rPr>
          <w:t>General information</w:t>
        </w:r>
        <w:r>
          <w:rPr>
            <w:webHidden/>
          </w:rPr>
          <w:tab/>
        </w:r>
        <w:r>
          <w:rPr>
            <w:webHidden/>
          </w:rPr>
          <w:fldChar w:fldCharType="begin"/>
        </w:r>
        <w:r>
          <w:rPr>
            <w:webHidden/>
          </w:rPr>
          <w:instrText xml:space="preserve"> PAGEREF _Toc493489582 \h </w:instrText>
        </w:r>
        <w:r>
          <w:rPr>
            <w:webHidden/>
          </w:rPr>
        </w:r>
        <w:r>
          <w:rPr>
            <w:webHidden/>
          </w:rPr>
          <w:fldChar w:fldCharType="separate"/>
        </w:r>
        <w:r w:rsidR="003126E0">
          <w:rPr>
            <w:webHidden/>
          </w:rPr>
          <w:t>6</w:t>
        </w:r>
        <w:r>
          <w:rPr>
            <w:webHidden/>
          </w:rPr>
          <w:fldChar w:fldCharType="end"/>
        </w:r>
      </w:hyperlink>
    </w:p>
    <w:p w14:paraId="59230AE3" w14:textId="2B2B8729" w:rsidR="00AF4E34" w:rsidRDefault="00AF4E34">
      <w:pPr>
        <w:pStyle w:val="TOC2"/>
        <w:rPr>
          <w:rFonts w:asciiTheme="minorHAnsi" w:eastAsiaTheme="minorEastAsia" w:hAnsiTheme="minorHAnsi" w:cstheme="minorBidi"/>
          <w:b w:val="0"/>
          <w:i w:val="0"/>
          <w:sz w:val="22"/>
          <w:szCs w:val="22"/>
        </w:rPr>
      </w:pPr>
      <w:hyperlink w:anchor="_Toc493489583" w:history="1">
        <w:r w:rsidRPr="007F23FA">
          <w:rPr>
            <w:rStyle w:val="Hyperlink"/>
            <w14:scene3d>
              <w14:camera w14:prst="orthographicFront"/>
              <w14:lightRig w14:rig="threePt" w14:dir="t">
                <w14:rot w14:lat="0" w14:lon="0" w14:rev="0"/>
              </w14:lightRig>
            </w14:scene3d>
          </w:rPr>
          <w:t>3.1</w:t>
        </w:r>
        <w:r>
          <w:rPr>
            <w:rFonts w:asciiTheme="minorHAnsi" w:eastAsiaTheme="minorEastAsia" w:hAnsiTheme="minorHAnsi" w:cstheme="minorBidi"/>
            <w:b w:val="0"/>
            <w:i w:val="0"/>
            <w:sz w:val="22"/>
            <w:szCs w:val="22"/>
          </w:rPr>
          <w:tab/>
        </w:r>
        <w:r w:rsidRPr="007F23FA">
          <w:rPr>
            <w:rStyle w:val="Hyperlink"/>
          </w:rPr>
          <w:t>Scrutiny of human rights and the Parliamentary Joint Committee on Human Rights (ICCPR article 2; LOI 2 &amp; 4)</w:t>
        </w:r>
        <w:r>
          <w:rPr>
            <w:webHidden/>
          </w:rPr>
          <w:tab/>
        </w:r>
        <w:r>
          <w:rPr>
            <w:webHidden/>
          </w:rPr>
          <w:fldChar w:fldCharType="begin"/>
        </w:r>
        <w:r>
          <w:rPr>
            <w:webHidden/>
          </w:rPr>
          <w:instrText xml:space="preserve"> PAGEREF _Toc493489583 \h </w:instrText>
        </w:r>
        <w:r>
          <w:rPr>
            <w:webHidden/>
          </w:rPr>
        </w:r>
        <w:r>
          <w:rPr>
            <w:webHidden/>
          </w:rPr>
          <w:fldChar w:fldCharType="separate"/>
        </w:r>
        <w:r w:rsidR="003126E0">
          <w:rPr>
            <w:webHidden/>
          </w:rPr>
          <w:t>6</w:t>
        </w:r>
        <w:r>
          <w:rPr>
            <w:webHidden/>
          </w:rPr>
          <w:fldChar w:fldCharType="end"/>
        </w:r>
      </w:hyperlink>
    </w:p>
    <w:p w14:paraId="30657A50" w14:textId="0042A983" w:rsidR="00AF4E34" w:rsidRDefault="00AF4E34">
      <w:pPr>
        <w:pStyle w:val="TOC2"/>
        <w:rPr>
          <w:rFonts w:asciiTheme="minorHAnsi" w:eastAsiaTheme="minorEastAsia" w:hAnsiTheme="minorHAnsi" w:cstheme="minorBidi"/>
          <w:b w:val="0"/>
          <w:i w:val="0"/>
          <w:sz w:val="22"/>
          <w:szCs w:val="22"/>
        </w:rPr>
      </w:pPr>
      <w:hyperlink w:anchor="_Toc493489584" w:history="1">
        <w:r w:rsidRPr="007F23FA">
          <w:rPr>
            <w:rStyle w:val="Hyperlink"/>
            <w14:scene3d>
              <w14:camera w14:prst="orthographicFront"/>
              <w14:lightRig w14:rig="threePt" w14:dir="t">
                <w14:rot w14:lat="0" w14:lon="0" w14:rev="0"/>
              </w14:lightRig>
            </w14:scene3d>
          </w:rPr>
          <w:t>3.2</w:t>
        </w:r>
        <w:r>
          <w:rPr>
            <w:rFonts w:asciiTheme="minorHAnsi" w:eastAsiaTheme="minorEastAsia" w:hAnsiTheme="minorHAnsi" w:cstheme="minorBidi"/>
            <w:b w:val="0"/>
            <w:i w:val="0"/>
            <w:sz w:val="22"/>
            <w:szCs w:val="22"/>
          </w:rPr>
          <w:tab/>
        </w:r>
        <w:r w:rsidRPr="007F23FA">
          <w:rPr>
            <w:rStyle w:val="Hyperlink"/>
          </w:rPr>
          <w:t>Domestic incorporation (ICCPR article 2; LOI 4)</w:t>
        </w:r>
        <w:r>
          <w:rPr>
            <w:webHidden/>
          </w:rPr>
          <w:tab/>
        </w:r>
        <w:r>
          <w:rPr>
            <w:webHidden/>
          </w:rPr>
          <w:fldChar w:fldCharType="begin"/>
        </w:r>
        <w:r>
          <w:rPr>
            <w:webHidden/>
          </w:rPr>
          <w:instrText xml:space="preserve"> PAGEREF _Toc493489584 \h </w:instrText>
        </w:r>
        <w:r>
          <w:rPr>
            <w:webHidden/>
          </w:rPr>
        </w:r>
        <w:r>
          <w:rPr>
            <w:webHidden/>
          </w:rPr>
          <w:fldChar w:fldCharType="separate"/>
        </w:r>
        <w:r w:rsidR="003126E0">
          <w:rPr>
            <w:webHidden/>
          </w:rPr>
          <w:t>7</w:t>
        </w:r>
        <w:r>
          <w:rPr>
            <w:webHidden/>
          </w:rPr>
          <w:fldChar w:fldCharType="end"/>
        </w:r>
      </w:hyperlink>
    </w:p>
    <w:p w14:paraId="40120C5B" w14:textId="4487EFD9" w:rsidR="00AF4E34" w:rsidRDefault="00AF4E34">
      <w:pPr>
        <w:pStyle w:val="TOC2"/>
        <w:rPr>
          <w:rFonts w:asciiTheme="minorHAnsi" w:eastAsiaTheme="minorEastAsia" w:hAnsiTheme="minorHAnsi" w:cstheme="minorBidi"/>
          <w:b w:val="0"/>
          <w:i w:val="0"/>
          <w:sz w:val="22"/>
          <w:szCs w:val="22"/>
        </w:rPr>
      </w:pPr>
      <w:hyperlink w:anchor="_Toc493489585" w:history="1">
        <w:r w:rsidRPr="007F23FA">
          <w:rPr>
            <w:rStyle w:val="Hyperlink"/>
            <w14:scene3d>
              <w14:camera w14:prst="orthographicFront"/>
              <w14:lightRig w14:rig="threePt" w14:dir="t">
                <w14:rot w14:lat="0" w14:lon="0" w14:rev="0"/>
              </w14:lightRig>
            </w14:scene3d>
          </w:rPr>
          <w:t>3.3</w:t>
        </w:r>
        <w:r>
          <w:rPr>
            <w:rFonts w:asciiTheme="minorHAnsi" w:eastAsiaTheme="minorEastAsia" w:hAnsiTheme="minorHAnsi" w:cstheme="minorBidi"/>
            <w:b w:val="0"/>
            <w:i w:val="0"/>
            <w:sz w:val="22"/>
            <w:szCs w:val="22"/>
          </w:rPr>
          <w:tab/>
        </w:r>
        <w:r w:rsidRPr="007F23FA">
          <w:rPr>
            <w:rStyle w:val="Hyperlink"/>
          </w:rPr>
          <w:t>Human rights education (ICCPR article 2; LOI 2)</w:t>
        </w:r>
        <w:r>
          <w:rPr>
            <w:webHidden/>
          </w:rPr>
          <w:tab/>
        </w:r>
        <w:r>
          <w:rPr>
            <w:webHidden/>
          </w:rPr>
          <w:fldChar w:fldCharType="begin"/>
        </w:r>
        <w:r>
          <w:rPr>
            <w:webHidden/>
          </w:rPr>
          <w:instrText xml:space="preserve"> PAGEREF _Toc493489585 \h </w:instrText>
        </w:r>
        <w:r>
          <w:rPr>
            <w:webHidden/>
          </w:rPr>
        </w:r>
        <w:r>
          <w:rPr>
            <w:webHidden/>
          </w:rPr>
          <w:fldChar w:fldCharType="separate"/>
        </w:r>
        <w:r w:rsidR="003126E0">
          <w:rPr>
            <w:webHidden/>
          </w:rPr>
          <w:t>7</w:t>
        </w:r>
        <w:r>
          <w:rPr>
            <w:webHidden/>
          </w:rPr>
          <w:fldChar w:fldCharType="end"/>
        </w:r>
      </w:hyperlink>
    </w:p>
    <w:p w14:paraId="0F70C8DE" w14:textId="33D95527" w:rsidR="00AF4E34" w:rsidRDefault="00AF4E34">
      <w:pPr>
        <w:pStyle w:val="TOC1"/>
        <w:rPr>
          <w:rFonts w:asciiTheme="minorHAnsi" w:eastAsiaTheme="minorEastAsia" w:hAnsiTheme="minorHAnsi" w:cstheme="minorBidi"/>
          <w:b w:val="0"/>
          <w:szCs w:val="22"/>
        </w:rPr>
      </w:pPr>
      <w:hyperlink w:anchor="_Toc493489586" w:history="1">
        <w:r w:rsidRPr="007F23FA">
          <w:rPr>
            <w:rStyle w:val="Hyperlink"/>
          </w:rPr>
          <w:t>4</w:t>
        </w:r>
        <w:r>
          <w:rPr>
            <w:rFonts w:asciiTheme="minorHAnsi" w:eastAsiaTheme="minorEastAsia" w:hAnsiTheme="minorHAnsi" w:cstheme="minorBidi"/>
            <w:b w:val="0"/>
            <w:szCs w:val="22"/>
          </w:rPr>
          <w:tab/>
        </w:r>
        <w:r w:rsidRPr="007F23FA">
          <w:rPr>
            <w:rStyle w:val="Hyperlink"/>
          </w:rPr>
          <w:t>Prevention of torture (ICCPR articles 7 &amp; 10; LOI 17)</w:t>
        </w:r>
        <w:r>
          <w:rPr>
            <w:webHidden/>
          </w:rPr>
          <w:tab/>
        </w:r>
        <w:r>
          <w:rPr>
            <w:webHidden/>
          </w:rPr>
          <w:fldChar w:fldCharType="begin"/>
        </w:r>
        <w:r>
          <w:rPr>
            <w:webHidden/>
          </w:rPr>
          <w:instrText xml:space="preserve"> PAGEREF _Toc493489586 \h </w:instrText>
        </w:r>
        <w:r>
          <w:rPr>
            <w:webHidden/>
          </w:rPr>
        </w:r>
        <w:r>
          <w:rPr>
            <w:webHidden/>
          </w:rPr>
          <w:fldChar w:fldCharType="separate"/>
        </w:r>
        <w:r w:rsidR="003126E0">
          <w:rPr>
            <w:webHidden/>
          </w:rPr>
          <w:t>8</w:t>
        </w:r>
        <w:r>
          <w:rPr>
            <w:webHidden/>
          </w:rPr>
          <w:fldChar w:fldCharType="end"/>
        </w:r>
      </w:hyperlink>
    </w:p>
    <w:p w14:paraId="74D69CE6" w14:textId="4C1E6018" w:rsidR="00AF4E34" w:rsidRDefault="00AF4E34">
      <w:pPr>
        <w:pStyle w:val="TOC1"/>
        <w:rPr>
          <w:rFonts w:asciiTheme="minorHAnsi" w:eastAsiaTheme="minorEastAsia" w:hAnsiTheme="minorHAnsi" w:cstheme="minorBidi"/>
          <w:b w:val="0"/>
          <w:szCs w:val="22"/>
        </w:rPr>
      </w:pPr>
      <w:hyperlink w:anchor="_Toc493489587" w:history="1">
        <w:r w:rsidRPr="007F23FA">
          <w:rPr>
            <w:rStyle w:val="Hyperlink"/>
          </w:rPr>
          <w:t>5</w:t>
        </w:r>
        <w:r>
          <w:rPr>
            <w:rFonts w:asciiTheme="minorHAnsi" w:eastAsiaTheme="minorEastAsia" w:hAnsiTheme="minorHAnsi" w:cstheme="minorBidi"/>
            <w:b w:val="0"/>
            <w:szCs w:val="22"/>
          </w:rPr>
          <w:tab/>
        </w:r>
        <w:r w:rsidRPr="007F23FA">
          <w:rPr>
            <w:rStyle w:val="Hyperlink"/>
          </w:rPr>
          <w:t>Aboriginal and Torres Strait Islander peoples</w:t>
        </w:r>
        <w:r>
          <w:rPr>
            <w:webHidden/>
          </w:rPr>
          <w:tab/>
        </w:r>
        <w:r>
          <w:rPr>
            <w:webHidden/>
          </w:rPr>
          <w:fldChar w:fldCharType="begin"/>
        </w:r>
        <w:r>
          <w:rPr>
            <w:webHidden/>
          </w:rPr>
          <w:instrText xml:space="preserve"> PAGEREF _Toc493489587 \h </w:instrText>
        </w:r>
        <w:r>
          <w:rPr>
            <w:webHidden/>
          </w:rPr>
        </w:r>
        <w:r>
          <w:rPr>
            <w:webHidden/>
          </w:rPr>
          <w:fldChar w:fldCharType="separate"/>
        </w:r>
        <w:r w:rsidR="003126E0">
          <w:rPr>
            <w:webHidden/>
          </w:rPr>
          <w:t>8</w:t>
        </w:r>
        <w:r>
          <w:rPr>
            <w:webHidden/>
          </w:rPr>
          <w:fldChar w:fldCharType="end"/>
        </w:r>
      </w:hyperlink>
    </w:p>
    <w:p w14:paraId="684E22DB" w14:textId="351C82F4" w:rsidR="00AF4E34" w:rsidRDefault="00AF4E34">
      <w:pPr>
        <w:pStyle w:val="TOC2"/>
        <w:rPr>
          <w:rFonts w:asciiTheme="minorHAnsi" w:eastAsiaTheme="minorEastAsia" w:hAnsiTheme="minorHAnsi" w:cstheme="minorBidi"/>
          <w:b w:val="0"/>
          <w:i w:val="0"/>
          <w:sz w:val="22"/>
          <w:szCs w:val="22"/>
        </w:rPr>
      </w:pPr>
      <w:hyperlink w:anchor="_Toc493489588" w:history="1">
        <w:r w:rsidRPr="007F23FA">
          <w:rPr>
            <w:rStyle w:val="Hyperlink"/>
            <w14:scene3d>
              <w14:camera w14:prst="orthographicFront"/>
              <w14:lightRig w14:rig="threePt" w14:dir="t">
                <w14:rot w14:lat="0" w14:lon="0" w14:rev="0"/>
              </w14:lightRig>
            </w14:scene3d>
          </w:rPr>
          <w:t>5.1</w:t>
        </w:r>
        <w:r>
          <w:rPr>
            <w:rFonts w:asciiTheme="minorHAnsi" w:eastAsiaTheme="minorEastAsia" w:hAnsiTheme="minorHAnsi" w:cstheme="minorBidi"/>
            <w:b w:val="0"/>
            <w:i w:val="0"/>
            <w:sz w:val="22"/>
            <w:szCs w:val="22"/>
          </w:rPr>
          <w:tab/>
        </w:r>
        <w:r w:rsidRPr="007F23FA">
          <w:rPr>
            <w:rStyle w:val="Hyperlink"/>
          </w:rPr>
          <w:t>UN Declaration on the Rights of Indigenous Peoples (ICCPR article 2; LOI 2)</w:t>
        </w:r>
        <w:r>
          <w:rPr>
            <w:webHidden/>
          </w:rPr>
          <w:tab/>
        </w:r>
        <w:r>
          <w:rPr>
            <w:webHidden/>
          </w:rPr>
          <w:fldChar w:fldCharType="begin"/>
        </w:r>
        <w:r>
          <w:rPr>
            <w:webHidden/>
          </w:rPr>
          <w:instrText xml:space="preserve"> PAGEREF _Toc493489588 \h </w:instrText>
        </w:r>
        <w:r>
          <w:rPr>
            <w:webHidden/>
          </w:rPr>
        </w:r>
        <w:r>
          <w:rPr>
            <w:webHidden/>
          </w:rPr>
          <w:fldChar w:fldCharType="separate"/>
        </w:r>
        <w:r w:rsidR="003126E0">
          <w:rPr>
            <w:webHidden/>
          </w:rPr>
          <w:t>8</w:t>
        </w:r>
        <w:r>
          <w:rPr>
            <w:webHidden/>
          </w:rPr>
          <w:fldChar w:fldCharType="end"/>
        </w:r>
      </w:hyperlink>
    </w:p>
    <w:p w14:paraId="189C1CC7" w14:textId="0E6A3D06" w:rsidR="00AF4E34" w:rsidRDefault="00AF4E34">
      <w:pPr>
        <w:pStyle w:val="TOC2"/>
        <w:rPr>
          <w:rFonts w:asciiTheme="minorHAnsi" w:eastAsiaTheme="minorEastAsia" w:hAnsiTheme="minorHAnsi" w:cstheme="minorBidi"/>
          <w:b w:val="0"/>
          <w:i w:val="0"/>
          <w:sz w:val="22"/>
          <w:szCs w:val="22"/>
        </w:rPr>
      </w:pPr>
      <w:hyperlink w:anchor="_Toc493489589" w:history="1">
        <w:r w:rsidRPr="007F23FA">
          <w:rPr>
            <w:rStyle w:val="Hyperlink"/>
            <w14:scene3d>
              <w14:camera w14:prst="orthographicFront"/>
              <w14:lightRig w14:rig="threePt" w14:dir="t">
                <w14:rot w14:lat="0" w14:lon="0" w14:rev="0"/>
              </w14:lightRig>
            </w14:scene3d>
          </w:rPr>
          <w:t>5.2</w:t>
        </w:r>
        <w:r>
          <w:rPr>
            <w:rFonts w:asciiTheme="minorHAnsi" w:eastAsiaTheme="minorEastAsia" w:hAnsiTheme="minorHAnsi" w:cstheme="minorBidi"/>
            <w:b w:val="0"/>
            <w:i w:val="0"/>
            <w:sz w:val="22"/>
            <w:szCs w:val="22"/>
          </w:rPr>
          <w:tab/>
        </w:r>
        <w:r w:rsidRPr="007F23FA">
          <w:rPr>
            <w:rStyle w:val="Hyperlink"/>
          </w:rPr>
          <w:t>Justice system (ICCPR articles 2, 7, 9, 10 &amp; 13; LOI 13, 17 &amp; 18)</w:t>
        </w:r>
        <w:r>
          <w:rPr>
            <w:webHidden/>
          </w:rPr>
          <w:tab/>
        </w:r>
        <w:r>
          <w:rPr>
            <w:webHidden/>
          </w:rPr>
          <w:fldChar w:fldCharType="begin"/>
        </w:r>
        <w:r>
          <w:rPr>
            <w:webHidden/>
          </w:rPr>
          <w:instrText xml:space="preserve"> PAGEREF _Toc493489589 \h </w:instrText>
        </w:r>
        <w:r>
          <w:rPr>
            <w:webHidden/>
          </w:rPr>
        </w:r>
        <w:r>
          <w:rPr>
            <w:webHidden/>
          </w:rPr>
          <w:fldChar w:fldCharType="separate"/>
        </w:r>
        <w:r w:rsidR="003126E0">
          <w:rPr>
            <w:webHidden/>
          </w:rPr>
          <w:t>8</w:t>
        </w:r>
        <w:r>
          <w:rPr>
            <w:webHidden/>
          </w:rPr>
          <w:fldChar w:fldCharType="end"/>
        </w:r>
      </w:hyperlink>
    </w:p>
    <w:p w14:paraId="3808C361" w14:textId="38508C6B" w:rsidR="00AF4E34" w:rsidRDefault="00AF4E34">
      <w:pPr>
        <w:pStyle w:val="TOC2"/>
        <w:rPr>
          <w:rFonts w:asciiTheme="minorHAnsi" w:eastAsiaTheme="minorEastAsia" w:hAnsiTheme="minorHAnsi" w:cstheme="minorBidi"/>
          <w:b w:val="0"/>
          <w:i w:val="0"/>
          <w:sz w:val="22"/>
          <w:szCs w:val="22"/>
        </w:rPr>
      </w:pPr>
      <w:hyperlink w:anchor="_Toc493489590" w:history="1">
        <w:r w:rsidRPr="007F23FA">
          <w:rPr>
            <w:rStyle w:val="Hyperlink"/>
            <w14:scene3d>
              <w14:camera w14:prst="orthographicFront"/>
              <w14:lightRig w14:rig="threePt" w14:dir="t">
                <w14:rot w14:lat="0" w14:lon="0" w14:rev="0"/>
              </w14:lightRig>
            </w14:scene3d>
          </w:rPr>
          <w:t>5.3</w:t>
        </w:r>
        <w:r>
          <w:rPr>
            <w:rFonts w:asciiTheme="minorHAnsi" w:eastAsiaTheme="minorEastAsia" w:hAnsiTheme="minorHAnsi" w:cstheme="minorBidi"/>
            <w:b w:val="0"/>
            <w:i w:val="0"/>
            <w:sz w:val="22"/>
            <w:szCs w:val="22"/>
          </w:rPr>
          <w:tab/>
        </w:r>
        <w:r w:rsidRPr="007F23FA">
          <w:rPr>
            <w:rStyle w:val="Hyperlink"/>
          </w:rPr>
          <w:t>Native title and land rights (ICCPR article 27; LOI 25)</w:t>
        </w:r>
        <w:r>
          <w:rPr>
            <w:webHidden/>
          </w:rPr>
          <w:tab/>
        </w:r>
        <w:r>
          <w:rPr>
            <w:webHidden/>
          </w:rPr>
          <w:fldChar w:fldCharType="begin"/>
        </w:r>
        <w:r>
          <w:rPr>
            <w:webHidden/>
          </w:rPr>
          <w:instrText xml:space="preserve"> PAGEREF _Toc493489590 \h </w:instrText>
        </w:r>
        <w:r>
          <w:rPr>
            <w:webHidden/>
          </w:rPr>
        </w:r>
        <w:r>
          <w:rPr>
            <w:webHidden/>
          </w:rPr>
          <w:fldChar w:fldCharType="separate"/>
        </w:r>
        <w:r w:rsidR="003126E0">
          <w:rPr>
            <w:webHidden/>
          </w:rPr>
          <w:t>10</w:t>
        </w:r>
        <w:r>
          <w:rPr>
            <w:webHidden/>
          </w:rPr>
          <w:fldChar w:fldCharType="end"/>
        </w:r>
      </w:hyperlink>
    </w:p>
    <w:p w14:paraId="433C25D9" w14:textId="5F8D0C25" w:rsidR="00AF4E34" w:rsidRDefault="00AF4E34">
      <w:pPr>
        <w:pStyle w:val="TOC2"/>
        <w:rPr>
          <w:rFonts w:asciiTheme="minorHAnsi" w:eastAsiaTheme="minorEastAsia" w:hAnsiTheme="minorHAnsi" w:cstheme="minorBidi"/>
          <w:b w:val="0"/>
          <w:i w:val="0"/>
          <w:sz w:val="22"/>
          <w:szCs w:val="22"/>
        </w:rPr>
      </w:pPr>
      <w:hyperlink w:anchor="_Toc493489591" w:history="1">
        <w:r w:rsidRPr="007F23FA">
          <w:rPr>
            <w:rStyle w:val="Hyperlink"/>
            <w14:scene3d>
              <w14:camera w14:prst="orthographicFront"/>
              <w14:lightRig w14:rig="threePt" w14:dir="t">
                <w14:rot w14:lat="0" w14:lon="0" w14:rev="0"/>
              </w14:lightRig>
            </w14:scene3d>
          </w:rPr>
          <w:t>5.4</w:t>
        </w:r>
        <w:r>
          <w:rPr>
            <w:rFonts w:asciiTheme="minorHAnsi" w:eastAsiaTheme="minorEastAsia" w:hAnsiTheme="minorHAnsi" w:cstheme="minorBidi"/>
            <w:b w:val="0"/>
            <w:i w:val="0"/>
            <w:sz w:val="22"/>
            <w:szCs w:val="22"/>
          </w:rPr>
          <w:tab/>
        </w:r>
        <w:r w:rsidRPr="007F23FA">
          <w:rPr>
            <w:rStyle w:val="Hyperlink"/>
          </w:rPr>
          <w:t>Aboriginal and Torres Strait Islander women (ICCPR articles 2, 3, 7 &amp; 26; LOI 10)</w:t>
        </w:r>
        <w:r>
          <w:rPr>
            <w:webHidden/>
          </w:rPr>
          <w:tab/>
        </w:r>
        <w:r>
          <w:rPr>
            <w:webHidden/>
          </w:rPr>
          <w:fldChar w:fldCharType="begin"/>
        </w:r>
        <w:r>
          <w:rPr>
            <w:webHidden/>
          </w:rPr>
          <w:instrText xml:space="preserve"> PAGEREF _Toc493489591 \h </w:instrText>
        </w:r>
        <w:r>
          <w:rPr>
            <w:webHidden/>
          </w:rPr>
        </w:r>
        <w:r>
          <w:rPr>
            <w:webHidden/>
          </w:rPr>
          <w:fldChar w:fldCharType="separate"/>
        </w:r>
        <w:r w:rsidR="003126E0">
          <w:rPr>
            <w:webHidden/>
          </w:rPr>
          <w:t>10</w:t>
        </w:r>
        <w:r>
          <w:rPr>
            <w:webHidden/>
          </w:rPr>
          <w:fldChar w:fldCharType="end"/>
        </w:r>
      </w:hyperlink>
    </w:p>
    <w:p w14:paraId="7584C5DA" w14:textId="46DD5EA6" w:rsidR="00AF4E34" w:rsidRDefault="00AF4E34">
      <w:pPr>
        <w:pStyle w:val="TOC2"/>
        <w:rPr>
          <w:rFonts w:asciiTheme="minorHAnsi" w:eastAsiaTheme="minorEastAsia" w:hAnsiTheme="minorHAnsi" w:cstheme="minorBidi"/>
          <w:b w:val="0"/>
          <w:i w:val="0"/>
          <w:sz w:val="22"/>
          <w:szCs w:val="22"/>
        </w:rPr>
      </w:pPr>
      <w:hyperlink w:anchor="_Toc493489592" w:history="1">
        <w:r w:rsidRPr="007F23FA">
          <w:rPr>
            <w:rStyle w:val="Hyperlink"/>
            <w14:scene3d>
              <w14:camera w14:prst="orthographicFront"/>
              <w14:lightRig w14:rig="threePt" w14:dir="t">
                <w14:rot w14:lat="0" w14:lon="0" w14:rev="0"/>
              </w14:lightRig>
            </w14:scene3d>
          </w:rPr>
          <w:t>5.5</w:t>
        </w:r>
        <w:r>
          <w:rPr>
            <w:rFonts w:asciiTheme="minorHAnsi" w:eastAsiaTheme="minorEastAsia" w:hAnsiTheme="minorHAnsi" w:cstheme="minorBidi"/>
            <w:b w:val="0"/>
            <w:i w:val="0"/>
            <w:sz w:val="22"/>
            <w:szCs w:val="22"/>
          </w:rPr>
          <w:tab/>
        </w:r>
        <w:r w:rsidRPr="007F23FA">
          <w:rPr>
            <w:rStyle w:val="Hyperlink"/>
          </w:rPr>
          <w:t>Democratic participation (ICCPR articles 1, 2, 25, 26 &amp; 27; LOI 23)</w:t>
        </w:r>
        <w:r>
          <w:rPr>
            <w:webHidden/>
          </w:rPr>
          <w:tab/>
        </w:r>
        <w:r>
          <w:rPr>
            <w:webHidden/>
          </w:rPr>
          <w:fldChar w:fldCharType="begin"/>
        </w:r>
        <w:r>
          <w:rPr>
            <w:webHidden/>
          </w:rPr>
          <w:instrText xml:space="preserve"> PAGEREF _Toc493489592 \h </w:instrText>
        </w:r>
        <w:r>
          <w:rPr>
            <w:webHidden/>
          </w:rPr>
        </w:r>
        <w:r>
          <w:rPr>
            <w:webHidden/>
          </w:rPr>
          <w:fldChar w:fldCharType="separate"/>
        </w:r>
        <w:r w:rsidR="003126E0">
          <w:rPr>
            <w:webHidden/>
          </w:rPr>
          <w:t>11</w:t>
        </w:r>
        <w:r>
          <w:rPr>
            <w:webHidden/>
          </w:rPr>
          <w:fldChar w:fldCharType="end"/>
        </w:r>
      </w:hyperlink>
    </w:p>
    <w:p w14:paraId="01A73C1A" w14:textId="449228E2" w:rsidR="00AF4E34" w:rsidRDefault="00AF4E34">
      <w:pPr>
        <w:pStyle w:val="TOC3"/>
        <w:rPr>
          <w:rFonts w:asciiTheme="minorHAnsi" w:eastAsiaTheme="minorEastAsia" w:hAnsiTheme="minorHAnsi" w:cstheme="minorBidi"/>
          <w:i w:val="0"/>
          <w:sz w:val="22"/>
          <w:szCs w:val="22"/>
        </w:rPr>
      </w:pPr>
      <w:hyperlink w:anchor="_Toc493489593" w:history="1">
        <w:r w:rsidRPr="007F23FA">
          <w:rPr>
            <w:rStyle w:val="Hyperlink"/>
          </w:rPr>
          <w:t>(a)</w:t>
        </w:r>
        <w:r>
          <w:rPr>
            <w:rFonts w:asciiTheme="minorHAnsi" w:eastAsiaTheme="minorEastAsia" w:hAnsiTheme="minorHAnsi" w:cstheme="minorBidi"/>
            <w:i w:val="0"/>
            <w:sz w:val="22"/>
            <w:szCs w:val="22"/>
          </w:rPr>
          <w:tab/>
        </w:r>
        <w:r w:rsidRPr="007F23FA">
          <w:rPr>
            <w:rStyle w:val="Hyperlink"/>
          </w:rPr>
          <w:t>Funding to representative bodies</w:t>
        </w:r>
        <w:r>
          <w:rPr>
            <w:webHidden/>
          </w:rPr>
          <w:tab/>
        </w:r>
        <w:r>
          <w:rPr>
            <w:webHidden/>
          </w:rPr>
          <w:fldChar w:fldCharType="begin"/>
        </w:r>
        <w:r>
          <w:rPr>
            <w:webHidden/>
          </w:rPr>
          <w:instrText xml:space="preserve"> PAGEREF _Toc493489593 \h </w:instrText>
        </w:r>
        <w:r>
          <w:rPr>
            <w:webHidden/>
          </w:rPr>
        </w:r>
        <w:r>
          <w:rPr>
            <w:webHidden/>
          </w:rPr>
          <w:fldChar w:fldCharType="separate"/>
        </w:r>
        <w:r w:rsidR="003126E0">
          <w:rPr>
            <w:webHidden/>
          </w:rPr>
          <w:t>11</w:t>
        </w:r>
        <w:r>
          <w:rPr>
            <w:webHidden/>
          </w:rPr>
          <w:fldChar w:fldCharType="end"/>
        </w:r>
      </w:hyperlink>
    </w:p>
    <w:p w14:paraId="07B96753" w14:textId="7F4101DE" w:rsidR="00AF4E34" w:rsidRDefault="00AF4E34">
      <w:pPr>
        <w:pStyle w:val="TOC3"/>
        <w:rPr>
          <w:rFonts w:asciiTheme="minorHAnsi" w:eastAsiaTheme="minorEastAsia" w:hAnsiTheme="minorHAnsi" w:cstheme="minorBidi"/>
          <w:i w:val="0"/>
          <w:sz w:val="22"/>
          <w:szCs w:val="22"/>
        </w:rPr>
      </w:pPr>
      <w:hyperlink w:anchor="_Toc493489594" w:history="1">
        <w:r w:rsidRPr="007F23FA">
          <w:rPr>
            <w:rStyle w:val="Hyperlink"/>
          </w:rPr>
          <w:t>(b)</w:t>
        </w:r>
        <w:r>
          <w:rPr>
            <w:rFonts w:asciiTheme="minorHAnsi" w:eastAsiaTheme="minorEastAsia" w:hAnsiTheme="minorHAnsi" w:cstheme="minorBidi"/>
            <w:i w:val="0"/>
            <w:sz w:val="22"/>
            <w:szCs w:val="22"/>
          </w:rPr>
          <w:tab/>
        </w:r>
        <w:r w:rsidRPr="007F23FA">
          <w:rPr>
            <w:rStyle w:val="Hyperlink"/>
          </w:rPr>
          <w:t>Constitutional recognition</w:t>
        </w:r>
        <w:r>
          <w:rPr>
            <w:webHidden/>
          </w:rPr>
          <w:tab/>
        </w:r>
        <w:r>
          <w:rPr>
            <w:webHidden/>
          </w:rPr>
          <w:fldChar w:fldCharType="begin"/>
        </w:r>
        <w:r>
          <w:rPr>
            <w:webHidden/>
          </w:rPr>
          <w:instrText xml:space="preserve"> PAGEREF _Toc493489594 \h </w:instrText>
        </w:r>
        <w:r>
          <w:rPr>
            <w:webHidden/>
          </w:rPr>
        </w:r>
        <w:r>
          <w:rPr>
            <w:webHidden/>
          </w:rPr>
          <w:fldChar w:fldCharType="separate"/>
        </w:r>
        <w:r w:rsidR="003126E0">
          <w:rPr>
            <w:webHidden/>
          </w:rPr>
          <w:t>11</w:t>
        </w:r>
        <w:r>
          <w:rPr>
            <w:webHidden/>
          </w:rPr>
          <w:fldChar w:fldCharType="end"/>
        </w:r>
      </w:hyperlink>
    </w:p>
    <w:p w14:paraId="6EBD7F44" w14:textId="7FC6DAC5" w:rsidR="00AF4E34" w:rsidRDefault="00AF4E34">
      <w:pPr>
        <w:pStyle w:val="TOC2"/>
        <w:rPr>
          <w:rFonts w:asciiTheme="minorHAnsi" w:eastAsiaTheme="minorEastAsia" w:hAnsiTheme="minorHAnsi" w:cstheme="minorBidi"/>
          <w:b w:val="0"/>
          <w:i w:val="0"/>
          <w:sz w:val="22"/>
          <w:szCs w:val="22"/>
        </w:rPr>
      </w:pPr>
      <w:hyperlink w:anchor="_Toc493489595" w:history="1">
        <w:r w:rsidRPr="007F23FA">
          <w:rPr>
            <w:rStyle w:val="Hyperlink"/>
            <w14:scene3d>
              <w14:camera w14:prst="orthographicFront"/>
              <w14:lightRig w14:rig="threePt" w14:dir="t">
                <w14:rot w14:lat="0" w14:lon="0" w14:rev="0"/>
              </w14:lightRig>
            </w14:scene3d>
          </w:rPr>
          <w:t>5.6</w:t>
        </w:r>
        <w:r>
          <w:rPr>
            <w:rFonts w:asciiTheme="minorHAnsi" w:eastAsiaTheme="minorEastAsia" w:hAnsiTheme="minorHAnsi" w:cstheme="minorBidi"/>
            <w:b w:val="0"/>
            <w:i w:val="0"/>
            <w:sz w:val="22"/>
            <w:szCs w:val="22"/>
          </w:rPr>
          <w:tab/>
        </w:r>
        <w:r w:rsidRPr="007F23FA">
          <w:rPr>
            <w:rStyle w:val="Hyperlink"/>
          </w:rPr>
          <w:t>Aboriginal and Torres Strait Islander people with disability (ICCPR articles 2, 7 &amp; 9)</w:t>
        </w:r>
        <w:r>
          <w:rPr>
            <w:webHidden/>
          </w:rPr>
          <w:tab/>
        </w:r>
        <w:r>
          <w:rPr>
            <w:webHidden/>
          </w:rPr>
          <w:fldChar w:fldCharType="begin"/>
        </w:r>
        <w:r>
          <w:rPr>
            <w:webHidden/>
          </w:rPr>
          <w:instrText xml:space="preserve"> PAGEREF _Toc493489595 \h </w:instrText>
        </w:r>
        <w:r>
          <w:rPr>
            <w:webHidden/>
          </w:rPr>
        </w:r>
        <w:r>
          <w:rPr>
            <w:webHidden/>
          </w:rPr>
          <w:fldChar w:fldCharType="separate"/>
        </w:r>
        <w:r w:rsidR="003126E0">
          <w:rPr>
            <w:webHidden/>
          </w:rPr>
          <w:t>12</w:t>
        </w:r>
        <w:r>
          <w:rPr>
            <w:webHidden/>
          </w:rPr>
          <w:fldChar w:fldCharType="end"/>
        </w:r>
      </w:hyperlink>
    </w:p>
    <w:p w14:paraId="76C84E2C" w14:textId="0FF26363" w:rsidR="00AF4E34" w:rsidRDefault="00AF4E34">
      <w:pPr>
        <w:pStyle w:val="TOC1"/>
        <w:rPr>
          <w:rFonts w:asciiTheme="minorHAnsi" w:eastAsiaTheme="minorEastAsia" w:hAnsiTheme="minorHAnsi" w:cstheme="minorBidi"/>
          <w:b w:val="0"/>
          <w:szCs w:val="22"/>
        </w:rPr>
      </w:pPr>
      <w:hyperlink w:anchor="_Toc493489596" w:history="1">
        <w:r w:rsidRPr="007F23FA">
          <w:rPr>
            <w:rStyle w:val="Hyperlink"/>
          </w:rPr>
          <w:t>6</w:t>
        </w:r>
        <w:r>
          <w:rPr>
            <w:rFonts w:asciiTheme="minorHAnsi" w:eastAsiaTheme="minorEastAsia" w:hAnsiTheme="minorHAnsi" w:cstheme="minorBidi"/>
            <w:b w:val="0"/>
            <w:szCs w:val="22"/>
          </w:rPr>
          <w:tab/>
        </w:r>
        <w:r w:rsidRPr="007F23FA">
          <w:rPr>
            <w:rStyle w:val="Hyperlink"/>
          </w:rPr>
          <w:t>Older persons</w:t>
        </w:r>
        <w:r>
          <w:rPr>
            <w:webHidden/>
          </w:rPr>
          <w:tab/>
        </w:r>
        <w:r>
          <w:rPr>
            <w:webHidden/>
          </w:rPr>
          <w:fldChar w:fldCharType="begin"/>
        </w:r>
        <w:r>
          <w:rPr>
            <w:webHidden/>
          </w:rPr>
          <w:instrText xml:space="preserve"> PAGEREF _Toc493489596 \h </w:instrText>
        </w:r>
        <w:r>
          <w:rPr>
            <w:webHidden/>
          </w:rPr>
        </w:r>
        <w:r>
          <w:rPr>
            <w:webHidden/>
          </w:rPr>
          <w:fldChar w:fldCharType="separate"/>
        </w:r>
        <w:r w:rsidR="003126E0">
          <w:rPr>
            <w:webHidden/>
          </w:rPr>
          <w:t>12</w:t>
        </w:r>
        <w:r>
          <w:rPr>
            <w:webHidden/>
          </w:rPr>
          <w:fldChar w:fldCharType="end"/>
        </w:r>
      </w:hyperlink>
    </w:p>
    <w:p w14:paraId="7D6BD6F5" w14:textId="61DDC992" w:rsidR="00AF4E34" w:rsidRDefault="00AF4E34">
      <w:pPr>
        <w:pStyle w:val="TOC2"/>
        <w:rPr>
          <w:rFonts w:asciiTheme="minorHAnsi" w:eastAsiaTheme="minorEastAsia" w:hAnsiTheme="minorHAnsi" w:cstheme="minorBidi"/>
          <w:b w:val="0"/>
          <w:i w:val="0"/>
          <w:sz w:val="22"/>
          <w:szCs w:val="22"/>
        </w:rPr>
      </w:pPr>
      <w:hyperlink w:anchor="_Toc493489597" w:history="1">
        <w:r w:rsidRPr="007F23FA">
          <w:rPr>
            <w:rStyle w:val="Hyperlink"/>
            <w14:scene3d>
              <w14:camera w14:prst="orthographicFront"/>
              <w14:lightRig w14:rig="threePt" w14:dir="t">
                <w14:rot w14:lat="0" w14:lon="0" w14:rev="0"/>
              </w14:lightRig>
            </w14:scene3d>
          </w:rPr>
          <w:t>6.1</w:t>
        </w:r>
        <w:r>
          <w:rPr>
            <w:rFonts w:asciiTheme="minorHAnsi" w:eastAsiaTheme="minorEastAsia" w:hAnsiTheme="minorHAnsi" w:cstheme="minorBidi"/>
            <w:b w:val="0"/>
            <w:i w:val="0"/>
            <w:sz w:val="22"/>
            <w:szCs w:val="22"/>
          </w:rPr>
          <w:tab/>
        </w:r>
        <w:r w:rsidRPr="007F23FA">
          <w:rPr>
            <w:rStyle w:val="Hyperlink"/>
          </w:rPr>
          <w:t>Elder abuse (ICCPR articles 2, 7 &amp; 9)</w:t>
        </w:r>
        <w:r>
          <w:rPr>
            <w:webHidden/>
          </w:rPr>
          <w:tab/>
        </w:r>
        <w:r>
          <w:rPr>
            <w:webHidden/>
          </w:rPr>
          <w:fldChar w:fldCharType="begin"/>
        </w:r>
        <w:r>
          <w:rPr>
            <w:webHidden/>
          </w:rPr>
          <w:instrText xml:space="preserve"> PAGEREF _Toc493489597 \h </w:instrText>
        </w:r>
        <w:r>
          <w:rPr>
            <w:webHidden/>
          </w:rPr>
        </w:r>
        <w:r>
          <w:rPr>
            <w:webHidden/>
          </w:rPr>
          <w:fldChar w:fldCharType="separate"/>
        </w:r>
        <w:r w:rsidR="003126E0">
          <w:rPr>
            <w:webHidden/>
          </w:rPr>
          <w:t>12</w:t>
        </w:r>
        <w:r>
          <w:rPr>
            <w:webHidden/>
          </w:rPr>
          <w:fldChar w:fldCharType="end"/>
        </w:r>
      </w:hyperlink>
    </w:p>
    <w:p w14:paraId="2D226147" w14:textId="2E4E1A1B" w:rsidR="00AF4E34" w:rsidRDefault="00AF4E34">
      <w:pPr>
        <w:pStyle w:val="TOC2"/>
        <w:rPr>
          <w:rFonts w:asciiTheme="minorHAnsi" w:eastAsiaTheme="minorEastAsia" w:hAnsiTheme="minorHAnsi" w:cstheme="minorBidi"/>
          <w:b w:val="0"/>
          <w:i w:val="0"/>
          <w:sz w:val="22"/>
          <w:szCs w:val="22"/>
        </w:rPr>
      </w:pPr>
      <w:hyperlink w:anchor="_Toc493489598" w:history="1">
        <w:r w:rsidRPr="007F23FA">
          <w:rPr>
            <w:rStyle w:val="Hyperlink"/>
            <w14:scene3d>
              <w14:camera w14:prst="orthographicFront"/>
              <w14:lightRig w14:rig="threePt" w14:dir="t">
                <w14:rot w14:lat="0" w14:lon="0" w14:rev="0"/>
              </w14:lightRig>
            </w14:scene3d>
          </w:rPr>
          <w:t>6.2</w:t>
        </w:r>
        <w:r>
          <w:rPr>
            <w:rFonts w:asciiTheme="minorHAnsi" w:eastAsiaTheme="minorEastAsia" w:hAnsiTheme="minorHAnsi" w:cstheme="minorBidi"/>
            <w:b w:val="0"/>
            <w:i w:val="0"/>
            <w:sz w:val="22"/>
            <w:szCs w:val="22"/>
          </w:rPr>
          <w:tab/>
        </w:r>
        <w:r w:rsidRPr="007F23FA">
          <w:rPr>
            <w:rStyle w:val="Hyperlink"/>
          </w:rPr>
          <w:t>Access to work (ICCPR articles 2 &amp; 25(c))</w:t>
        </w:r>
        <w:r>
          <w:rPr>
            <w:webHidden/>
          </w:rPr>
          <w:tab/>
        </w:r>
        <w:r>
          <w:rPr>
            <w:webHidden/>
          </w:rPr>
          <w:fldChar w:fldCharType="begin"/>
        </w:r>
        <w:r>
          <w:rPr>
            <w:webHidden/>
          </w:rPr>
          <w:instrText xml:space="preserve"> PAGEREF _Toc493489598 \h </w:instrText>
        </w:r>
        <w:r>
          <w:rPr>
            <w:webHidden/>
          </w:rPr>
        </w:r>
        <w:r>
          <w:rPr>
            <w:webHidden/>
          </w:rPr>
          <w:fldChar w:fldCharType="separate"/>
        </w:r>
        <w:r w:rsidR="003126E0">
          <w:rPr>
            <w:webHidden/>
          </w:rPr>
          <w:t>13</w:t>
        </w:r>
        <w:r>
          <w:rPr>
            <w:webHidden/>
          </w:rPr>
          <w:fldChar w:fldCharType="end"/>
        </w:r>
      </w:hyperlink>
    </w:p>
    <w:p w14:paraId="1AFAA667" w14:textId="5833A1DF" w:rsidR="00AF4E34" w:rsidRDefault="00AF4E34">
      <w:pPr>
        <w:pStyle w:val="TOC1"/>
        <w:rPr>
          <w:rFonts w:asciiTheme="minorHAnsi" w:eastAsiaTheme="minorEastAsia" w:hAnsiTheme="minorHAnsi" w:cstheme="minorBidi"/>
          <w:b w:val="0"/>
          <w:szCs w:val="22"/>
        </w:rPr>
      </w:pPr>
      <w:hyperlink w:anchor="_Toc493489599" w:history="1">
        <w:r w:rsidRPr="007F23FA">
          <w:rPr>
            <w:rStyle w:val="Hyperlink"/>
          </w:rPr>
          <w:t>7</w:t>
        </w:r>
        <w:r>
          <w:rPr>
            <w:rFonts w:asciiTheme="minorHAnsi" w:eastAsiaTheme="minorEastAsia" w:hAnsiTheme="minorHAnsi" w:cstheme="minorBidi"/>
            <w:b w:val="0"/>
            <w:szCs w:val="22"/>
          </w:rPr>
          <w:tab/>
        </w:r>
        <w:r w:rsidRPr="007F23FA">
          <w:rPr>
            <w:rStyle w:val="Hyperlink"/>
          </w:rPr>
          <w:t>People with disability</w:t>
        </w:r>
        <w:r>
          <w:rPr>
            <w:webHidden/>
          </w:rPr>
          <w:tab/>
        </w:r>
        <w:r>
          <w:rPr>
            <w:webHidden/>
          </w:rPr>
          <w:fldChar w:fldCharType="begin"/>
        </w:r>
        <w:r>
          <w:rPr>
            <w:webHidden/>
          </w:rPr>
          <w:instrText xml:space="preserve"> PAGEREF _Toc493489599 \h </w:instrText>
        </w:r>
        <w:r>
          <w:rPr>
            <w:webHidden/>
          </w:rPr>
        </w:r>
        <w:r>
          <w:rPr>
            <w:webHidden/>
          </w:rPr>
          <w:fldChar w:fldCharType="separate"/>
        </w:r>
        <w:r w:rsidR="003126E0">
          <w:rPr>
            <w:webHidden/>
          </w:rPr>
          <w:t>13</w:t>
        </w:r>
        <w:r>
          <w:rPr>
            <w:webHidden/>
          </w:rPr>
          <w:fldChar w:fldCharType="end"/>
        </w:r>
      </w:hyperlink>
    </w:p>
    <w:p w14:paraId="1CCE8D72" w14:textId="560A7EE9" w:rsidR="00AF4E34" w:rsidRDefault="00AF4E34">
      <w:pPr>
        <w:pStyle w:val="TOC2"/>
        <w:rPr>
          <w:rFonts w:asciiTheme="minorHAnsi" w:eastAsiaTheme="minorEastAsia" w:hAnsiTheme="minorHAnsi" w:cstheme="minorBidi"/>
          <w:b w:val="0"/>
          <w:i w:val="0"/>
          <w:sz w:val="22"/>
          <w:szCs w:val="22"/>
        </w:rPr>
      </w:pPr>
      <w:hyperlink w:anchor="_Toc493489600" w:history="1">
        <w:r w:rsidRPr="007F23FA">
          <w:rPr>
            <w:rStyle w:val="Hyperlink"/>
            <w14:scene3d>
              <w14:camera w14:prst="orthographicFront"/>
              <w14:lightRig w14:rig="threePt" w14:dir="t">
                <w14:rot w14:lat="0" w14:lon="0" w14:rev="0"/>
              </w14:lightRig>
            </w14:scene3d>
          </w:rPr>
          <w:t>7.1</w:t>
        </w:r>
        <w:r>
          <w:rPr>
            <w:rFonts w:asciiTheme="minorHAnsi" w:eastAsiaTheme="minorEastAsia" w:hAnsiTheme="minorHAnsi" w:cstheme="minorBidi"/>
            <w:b w:val="0"/>
            <w:i w:val="0"/>
            <w:sz w:val="22"/>
            <w:szCs w:val="22"/>
          </w:rPr>
          <w:tab/>
        </w:r>
        <w:r w:rsidRPr="007F23FA">
          <w:rPr>
            <w:rStyle w:val="Hyperlink"/>
          </w:rPr>
          <w:t>Prisoners and mental health (ICCPR articles 2, 9 &amp; 10;  LOI 17)</w:t>
        </w:r>
        <w:r>
          <w:rPr>
            <w:webHidden/>
          </w:rPr>
          <w:tab/>
        </w:r>
        <w:r>
          <w:rPr>
            <w:webHidden/>
          </w:rPr>
          <w:fldChar w:fldCharType="begin"/>
        </w:r>
        <w:r>
          <w:rPr>
            <w:webHidden/>
          </w:rPr>
          <w:instrText xml:space="preserve"> PAGEREF _Toc493489600 \h </w:instrText>
        </w:r>
        <w:r>
          <w:rPr>
            <w:webHidden/>
          </w:rPr>
        </w:r>
        <w:r>
          <w:rPr>
            <w:webHidden/>
          </w:rPr>
          <w:fldChar w:fldCharType="separate"/>
        </w:r>
        <w:r w:rsidR="003126E0">
          <w:rPr>
            <w:webHidden/>
          </w:rPr>
          <w:t>13</w:t>
        </w:r>
        <w:r>
          <w:rPr>
            <w:webHidden/>
          </w:rPr>
          <w:fldChar w:fldCharType="end"/>
        </w:r>
      </w:hyperlink>
    </w:p>
    <w:p w14:paraId="3B150197" w14:textId="62DA1CF3" w:rsidR="00AF4E34" w:rsidRDefault="00AF4E34">
      <w:pPr>
        <w:pStyle w:val="TOC2"/>
        <w:rPr>
          <w:rFonts w:asciiTheme="minorHAnsi" w:eastAsiaTheme="minorEastAsia" w:hAnsiTheme="minorHAnsi" w:cstheme="minorBidi"/>
          <w:b w:val="0"/>
          <w:i w:val="0"/>
          <w:sz w:val="22"/>
          <w:szCs w:val="22"/>
        </w:rPr>
      </w:pPr>
      <w:hyperlink w:anchor="_Toc493489601" w:history="1">
        <w:r w:rsidRPr="007F23FA">
          <w:rPr>
            <w:rStyle w:val="Hyperlink"/>
            <w14:scene3d>
              <w14:camera w14:prst="orthographicFront"/>
              <w14:lightRig w14:rig="threePt" w14:dir="t">
                <w14:rot w14:lat="0" w14:lon="0" w14:rev="0"/>
              </w14:lightRig>
            </w14:scene3d>
          </w:rPr>
          <w:t>7.2</w:t>
        </w:r>
        <w:r>
          <w:rPr>
            <w:rFonts w:asciiTheme="minorHAnsi" w:eastAsiaTheme="minorEastAsia" w:hAnsiTheme="minorHAnsi" w:cstheme="minorBidi"/>
            <w:b w:val="0"/>
            <w:i w:val="0"/>
            <w:sz w:val="22"/>
            <w:szCs w:val="22"/>
          </w:rPr>
          <w:tab/>
        </w:r>
        <w:r w:rsidRPr="007F23FA">
          <w:rPr>
            <w:rStyle w:val="Hyperlink"/>
          </w:rPr>
          <w:t>Freedom from exploitation, violence and abuse (ICCPR articles 7 &amp; 9; LOI 13)</w:t>
        </w:r>
        <w:r>
          <w:rPr>
            <w:webHidden/>
          </w:rPr>
          <w:tab/>
        </w:r>
        <w:r>
          <w:rPr>
            <w:webHidden/>
          </w:rPr>
          <w:fldChar w:fldCharType="begin"/>
        </w:r>
        <w:r>
          <w:rPr>
            <w:webHidden/>
          </w:rPr>
          <w:instrText xml:space="preserve"> PAGEREF _Toc493489601 \h </w:instrText>
        </w:r>
        <w:r>
          <w:rPr>
            <w:webHidden/>
          </w:rPr>
        </w:r>
        <w:r>
          <w:rPr>
            <w:webHidden/>
          </w:rPr>
          <w:fldChar w:fldCharType="separate"/>
        </w:r>
        <w:r w:rsidR="003126E0">
          <w:rPr>
            <w:webHidden/>
          </w:rPr>
          <w:t>14</w:t>
        </w:r>
        <w:r>
          <w:rPr>
            <w:webHidden/>
          </w:rPr>
          <w:fldChar w:fldCharType="end"/>
        </w:r>
      </w:hyperlink>
    </w:p>
    <w:p w14:paraId="2FEADA05" w14:textId="55373258" w:rsidR="00AF4E34" w:rsidRDefault="00AF4E34">
      <w:pPr>
        <w:pStyle w:val="TOC2"/>
        <w:rPr>
          <w:rFonts w:asciiTheme="minorHAnsi" w:eastAsiaTheme="minorEastAsia" w:hAnsiTheme="minorHAnsi" w:cstheme="minorBidi"/>
          <w:b w:val="0"/>
          <w:i w:val="0"/>
          <w:sz w:val="22"/>
          <w:szCs w:val="22"/>
        </w:rPr>
      </w:pPr>
      <w:hyperlink w:anchor="_Toc493489602" w:history="1">
        <w:r w:rsidRPr="007F23FA">
          <w:rPr>
            <w:rStyle w:val="Hyperlink"/>
            <w14:scene3d>
              <w14:camera w14:prst="orthographicFront"/>
              <w14:lightRig w14:rig="threePt" w14:dir="t">
                <w14:rot w14:lat="0" w14:lon="0" w14:rev="0"/>
              </w14:lightRig>
            </w14:scene3d>
          </w:rPr>
          <w:t>7.3</w:t>
        </w:r>
        <w:r>
          <w:rPr>
            <w:rFonts w:asciiTheme="minorHAnsi" w:eastAsiaTheme="minorEastAsia" w:hAnsiTheme="minorHAnsi" w:cstheme="minorBidi"/>
            <w:b w:val="0"/>
            <w:i w:val="0"/>
            <w:sz w:val="22"/>
            <w:szCs w:val="22"/>
          </w:rPr>
          <w:tab/>
        </w:r>
        <w:r w:rsidRPr="007F23FA">
          <w:rPr>
            <w:rStyle w:val="Hyperlink"/>
          </w:rPr>
          <w:t>Access and democratic participation (ICCPR articles 2, 25 &amp; 26; LOI 22)</w:t>
        </w:r>
        <w:r>
          <w:rPr>
            <w:webHidden/>
          </w:rPr>
          <w:tab/>
        </w:r>
        <w:r>
          <w:rPr>
            <w:webHidden/>
          </w:rPr>
          <w:fldChar w:fldCharType="begin"/>
        </w:r>
        <w:r>
          <w:rPr>
            <w:webHidden/>
          </w:rPr>
          <w:instrText xml:space="preserve"> PAGEREF _Toc493489602 \h </w:instrText>
        </w:r>
        <w:r>
          <w:rPr>
            <w:webHidden/>
          </w:rPr>
        </w:r>
        <w:r>
          <w:rPr>
            <w:webHidden/>
          </w:rPr>
          <w:fldChar w:fldCharType="separate"/>
        </w:r>
        <w:r w:rsidR="003126E0">
          <w:rPr>
            <w:webHidden/>
          </w:rPr>
          <w:t>14</w:t>
        </w:r>
        <w:r>
          <w:rPr>
            <w:webHidden/>
          </w:rPr>
          <w:fldChar w:fldCharType="end"/>
        </w:r>
      </w:hyperlink>
    </w:p>
    <w:p w14:paraId="5FBAB553" w14:textId="4834527D" w:rsidR="00AF4E34" w:rsidRDefault="00AF4E34">
      <w:pPr>
        <w:pStyle w:val="TOC2"/>
        <w:rPr>
          <w:rFonts w:asciiTheme="minorHAnsi" w:eastAsiaTheme="minorEastAsia" w:hAnsiTheme="minorHAnsi" w:cstheme="minorBidi"/>
          <w:b w:val="0"/>
          <w:i w:val="0"/>
          <w:sz w:val="22"/>
          <w:szCs w:val="22"/>
        </w:rPr>
      </w:pPr>
      <w:hyperlink w:anchor="_Toc493489603" w:history="1">
        <w:r w:rsidRPr="007F23FA">
          <w:rPr>
            <w:rStyle w:val="Hyperlink"/>
            <w14:scene3d>
              <w14:camera w14:prst="orthographicFront"/>
              <w14:lightRig w14:rig="threePt" w14:dir="t">
                <w14:rot w14:lat="0" w14:lon="0" w14:rev="0"/>
              </w14:lightRig>
            </w14:scene3d>
          </w:rPr>
          <w:t>7.4</w:t>
        </w:r>
        <w:r>
          <w:rPr>
            <w:rFonts w:asciiTheme="minorHAnsi" w:eastAsiaTheme="minorEastAsia" w:hAnsiTheme="minorHAnsi" w:cstheme="minorBidi"/>
            <w:b w:val="0"/>
            <w:i w:val="0"/>
            <w:sz w:val="22"/>
            <w:szCs w:val="22"/>
          </w:rPr>
          <w:tab/>
        </w:r>
        <w:r w:rsidRPr="007F23FA">
          <w:rPr>
            <w:rStyle w:val="Hyperlink"/>
          </w:rPr>
          <w:t>Women and girls with disability (ICCPR articles 2, 3, 7 &amp; 26; LOI 10 &amp; 11)</w:t>
        </w:r>
        <w:r>
          <w:rPr>
            <w:webHidden/>
          </w:rPr>
          <w:tab/>
        </w:r>
        <w:r>
          <w:rPr>
            <w:webHidden/>
          </w:rPr>
          <w:fldChar w:fldCharType="begin"/>
        </w:r>
        <w:r>
          <w:rPr>
            <w:webHidden/>
          </w:rPr>
          <w:instrText xml:space="preserve"> PAGEREF _Toc493489603 \h </w:instrText>
        </w:r>
        <w:r>
          <w:rPr>
            <w:webHidden/>
          </w:rPr>
        </w:r>
        <w:r>
          <w:rPr>
            <w:webHidden/>
          </w:rPr>
          <w:fldChar w:fldCharType="separate"/>
        </w:r>
        <w:r w:rsidR="003126E0">
          <w:rPr>
            <w:webHidden/>
          </w:rPr>
          <w:t>15</w:t>
        </w:r>
        <w:r>
          <w:rPr>
            <w:webHidden/>
          </w:rPr>
          <w:fldChar w:fldCharType="end"/>
        </w:r>
      </w:hyperlink>
    </w:p>
    <w:p w14:paraId="18CB243F" w14:textId="285F887D" w:rsidR="00AF4E34" w:rsidRDefault="00AF4E34">
      <w:pPr>
        <w:pStyle w:val="TOC1"/>
        <w:rPr>
          <w:rFonts w:asciiTheme="minorHAnsi" w:eastAsiaTheme="minorEastAsia" w:hAnsiTheme="minorHAnsi" w:cstheme="minorBidi"/>
          <w:b w:val="0"/>
          <w:szCs w:val="22"/>
        </w:rPr>
      </w:pPr>
      <w:hyperlink w:anchor="_Toc493489604" w:history="1">
        <w:r w:rsidRPr="007F23FA">
          <w:rPr>
            <w:rStyle w:val="Hyperlink"/>
          </w:rPr>
          <w:t>8</w:t>
        </w:r>
        <w:r>
          <w:rPr>
            <w:rFonts w:asciiTheme="minorHAnsi" w:eastAsiaTheme="minorEastAsia" w:hAnsiTheme="minorHAnsi" w:cstheme="minorBidi"/>
            <w:b w:val="0"/>
            <w:szCs w:val="22"/>
          </w:rPr>
          <w:tab/>
        </w:r>
        <w:r w:rsidRPr="007F23FA">
          <w:rPr>
            <w:rStyle w:val="Hyperlink"/>
          </w:rPr>
          <w:t>Lesbian, gay, bisexual, transgender and intersex people</w:t>
        </w:r>
        <w:r>
          <w:rPr>
            <w:webHidden/>
          </w:rPr>
          <w:tab/>
        </w:r>
        <w:r>
          <w:rPr>
            <w:webHidden/>
          </w:rPr>
          <w:fldChar w:fldCharType="begin"/>
        </w:r>
        <w:r>
          <w:rPr>
            <w:webHidden/>
          </w:rPr>
          <w:instrText xml:space="preserve"> PAGEREF _Toc493489604 \h </w:instrText>
        </w:r>
        <w:r>
          <w:rPr>
            <w:webHidden/>
          </w:rPr>
        </w:r>
        <w:r>
          <w:rPr>
            <w:webHidden/>
          </w:rPr>
          <w:fldChar w:fldCharType="separate"/>
        </w:r>
        <w:r w:rsidR="003126E0">
          <w:rPr>
            <w:webHidden/>
          </w:rPr>
          <w:t>15</w:t>
        </w:r>
        <w:r>
          <w:rPr>
            <w:webHidden/>
          </w:rPr>
          <w:fldChar w:fldCharType="end"/>
        </w:r>
      </w:hyperlink>
    </w:p>
    <w:p w14:paraId="443A385D" w14:textId="5587EF68" w:rsidR="00AF4E34" w:rsidRDefault="00AF4E34">
      <w:pPr>
        <w:pStyle w:val="TOC2"/>
        <w:rPr>
          <w:rFonts w:asciiTheme="minorHAnsi" w:eastAsiaTheme="minorEastAsia" w:hAnsiTheme="minorHAnsi" w:cstheme="minorBidi"/>
          <w:b w:val="0"/>
          <w:i w:val="0"/>
          <w:sz w:val="22"/>
          <w:szCs w:val="22"/>
        </w:rPr>
      </w:pPr>
      <w:hyperlink w:anchor="_Toc493489605" w:history="1">
        <w:r w:rsidRPr="007F23FA">
          <w:rPr>
            <w:rStyle w:val="Hyperlink"/>
            <w14:scene3d>
              <w14:camera w14:prst="orthographicFront"/>
              <w14:lightRig w14:rig="threePt" w14:dir="t">
                <w14:rot w14:lat="0" w14:lon="0" w14:rev="0"/>
              </w14:lightRig>
            </w14:scene3d>
          </w:rPr>
          <w:t>8.1</w:t>
        </w:r>
        <w:r>
          <w:rPr>
            <w:rFonts w:asciiTheme="minorHAnsi" w:eastAsiaTheme="minorEastAsia" w:hAnsiTheme="minorHAnsi" w:cstheme="minorBidi"/>
            <w:b w:val="0"/>
            <w:i w:val="0"/>
            <w:sz w:val="22"/>
            <w:szCs w:val="22"/>
          </w:rPr>
          <w:tab/>
        </w:r>
        <w:r w:rsidRPr="007F23FA">
          <w:rPr>
            <w:rStyle w:val="Hyperlink"/>
          </w:rPr>
          <w:t>Access to stage 2 hormone treatment (ICCPR articles 17 &amp; 26)</w:t>
        </w:r>
        <w:r>
          <w:rPr>
            <w:webHidden/>
          </w:rPr>
          <w:tab/>
        </w:r>
        <w:r>
          <w:rPr>
            <w:webHidden/>
          </w:rPr>
          <w:fldChar w:fldCharType="begin"/>
        </w:r>
        <w:r>
          <w:rPr>
            <w:webHidden/>
          </w:rPr>
          <w:instrText xml:space="preserve"> PAGEREF _Toc493489605 \h </w:instrText>
        </w:r>
        <w:r>
          <w:rPr>
            <w:webHidden/>
          </w:rPr>
        </w:r>
        <w:r>
          <w:rPr>
            <w:webHidden/>
          </w:rPr>
          <w:fldChar w:fldCharType="separate"/>
        </w:r>
        <w:r w:rsidR="003126E0">
          <w:rPr>
            <w:webHidden/>
          </w:rPr>
          <w:t>15</w:t>
        </w:r>
        <w:r>
          <w:rPr>
            <w:webHidden/>
          </w:rPr>
          <w:fldChar w:fldCharType="end"/>
        </w:r>
      </w:hyperlink>
    </w:p>
    <w:p w14:paraId="08911976" w14:textId="03E97F5D" w:rsidR="00AF4E34" w:rsidRDefault="00AF4E34">
      <w:pPr>
        <w:pStyle w:val="TOC2"/>
        <w:rPr>
          <w:rFonts w:asciiTheme="minorHAnsi" w:eastAsiaTheme="minorEastAsia" w:hAnsiTheme="minorHAnsi" w:cstheme="minorBidi"/>
          <w:b w:val="0"/>
          <w:i w:val="0"/>
          <w:sz w:val="22"/>
          <w:szCs w:val="22"/>
        </w:rPr>
      </w:pPr>
      <w:hyperlink w:anchor="_Toc493489606" w:history="1">
        <w:r w:rsidRPr="007F23FA">
          <w:rPr>
            <w:rStyle w:val="Hyperlink"/>
            <w14:scene3d>
              <w14:camera w14:prst="orthographicFront"/>
              <w14:lightRig w14:rig="threePt" w14:dir="t">
                <w14:rot w14:lat="0" w14:lon="0" w14:rev="0"/>
              </w14:lightRig>
            </w14:scene3d>
          </w:rPr>
          <w:t>8.2</w:t>
        </w:r>
        <w:r>
          <w:rPr>
            <w:rFonts w:asciiTheme="minorHAnsi" w:eastAsiaTheme="minorEastAsia" w:hAnsiTheme="minorHAnsi" w:cstheme="minorBidi"/>
            <w:b w:val="0"/>
            <w:i w:val="0"/>
            <w:sz w:val="22"/>
            <w:szCs w:val="22"/>
          </w:rPr>
          <w:tab/>
        </w:r>
        <w:r w:rsidRPr="007F23FA">
          <w:rPr>
            <w:rStyle w:val="Hyperlink"/>
          </w:rPr>
          <w:t>Access to surrogacy (ICCPR articles 2 &amp; 26)</w:t>
        </w:r>
        <w:r>
          <w:rPr>
            <w:webHidden/>
          </w:rPr>
          <w:tab/>
        </w:r>
        <w:r>
          <w:rPr>
            <w:webHidden/>
          </w:rPr>
          <w:fldChar w:fldCharType="begin"/>
        </w:r>
        <w:r>
          <w:rPr>
            <w:webHidden/>
          </w:rPr>
          <w:instrText xml:space="preserve"> PAGEREF _Toc493489606 \h </w:instrText>
        </w:r>
        <w:r>
          <w:rPr>
            <w:webHidden/>
          </w:rPr>
        </w:r>
        <w:r>
          <w:rPr>
            <w:webHidden/>
          </w:rPr>
          <w:fldChar w:fldCharType="separate"/>
        </w:r>
        <w:r w:rsidR="003126E0">
          <w:rPr>
            <w:webHidden/>
          </w:rPr>
          <w:t>16</w:t>
        </w:r>
        <w:r>
          <w:rPr>
            <w:webHidden/>
          </w:rPr>
          <w:fldChar w:fldCharType="end"/>
        </w:r>
      </w:hyperlink>
    </w:p>
    <w:p w14:paraId="418A76E5" w14:textId="200D72FE" w:rsidR="00AF4E34" w:rsidRDefault="00AF4E34">
      <w:pPr>
        <w:pStyle w:val="TOC2"/>
        <w:rPr>
          <w:rFonts w:asciiTheme="minorHAnsi" w:eastAsiaTheme="minorEastAsia" w:hAnsiTheme="minorHAnsi" w:cstheme="minorBidi"/>
          <w:b w:val="0"/>
          <w:i w:val="0"/>
          <w:sz w:val="22"/>
          <w:szCs w:val="22"/>
        </w:rPr>
      </w:pPr>
      <w:hyperlink w:anchor="_Toc493489607" w:history="1">
        <w:r w:rsidRPr="007F23FA">
          <w:rPr>
            <w:rStyle w:val="Hyperlink"/>
            <w14:scene3d>
              <w14:camera w14:prst="orthographicFront"/>
              <w14:lightRig w14:rig="threePt" w14:dir="t">
                <w14:rot w14:lat="0" w14:lon="0" w14:rev="0"/>
              </w14:lightRig>
            </w14:scene3d>
          </w:rPr>
          <w:t>8.3</w:t>
        </w:r>
        <w:r>
          <w:rPr>
            <w:rFonts w:asciiTheme="minorHAnsi" w:eastAsiaTheme="minorEastAsia" w:hAnsiTheme="minorHAnsi" w:cstheme="minorBidi"/>
            <w:b w:val="0"/>
            <w:i w:val="0"/>
            <w:sz w:val="22"/>
            <w:szCs w:val="22"/>
          </w:rPr>
          <w:tab/>
        </w:r>
        <w:r w:rsidRPr="007F23FA">
          <w:rPr>
            <w:rStyle w:val="Hyperlink"/>
          </w:rPr>
          <w:t>Anti-discrimination laws (ICCPR articles 2 &amp; 26; LOI 9)</w:t>
        </w:r>
        <w:r>
          <w:rPr>
            <w:webHidden/>
          </w:rPr>
          <w:tab/>
        </w:r>
        <w:r>
          <w:rPr>
            <w:webHidden/>
          </w:rPr>
          <w:fldChar w:fldCharType="begin"/>
        </w:r>
        <w:r>
          <w:rPr>
            <w:webHidden/>
          </w:rPr>
          <w:instrText xml:space="preserve"> PAGEREF _Toc493489607 \h </w:instrText>
        </w:r>
        <w:r>
          <w:rPr>
            <w:webHidden/>
          </w:rPr>
        </w:r>
        <w:r>
          <w:rPr>
            <w:webHidden/>
          </w:rPr>
          <w:fldChar w:fldCharType="separate"/>
        </w:r>
        <w:r w:rsidR="003126E0">
          <w:rPr>
            <w:webHidden/>
          </w:rPr>
          <w:t>16</w:t>
        </w:r>
        <w:r>
          <w:rPr>
            <w:webHidden/>
          </w:rPr>
          <w:fldChar w:fldCharType="end"/>
        </w:r>
      </w:hyperlink>
    </w:p>
    <w:p w14:paraId="77FFFD6A" w14:textId="30413701" w:rsidR="00AF4E34" w:rsidRDefault="00AF4E34">
      <w:pPr>
        <w:pStyle w:val="TOC2"/>
        <w:rPr>
          <w:rFonts w:asciiTheme="minorHAnsi" w:eastAsiaTheme="minorEastAsia" w:hAnsiTheme="minorHAnsi" w:cstheme="minorBidi"/>
          <w:b w:val="0"/>
          <w:i w:val="0"/>
          <w:sz w:val="22"/>
          <w:szCs w:val="22"/>
        </w:rPr>
      </w:pPr>
      <w:hyperlink w:anchor="_Toc493489608" w:history="1">
        <w:r w:rsidRPr="007F23FA">
          <w:rPr>
            <w:rStyle w:val="Hyperlink"/>
            <w14:scene3d>
              <w14:camera w14:prst="orthographicFront"/>
              <w14:lightRig w14:rig="threePt" w14:dir="t">
                <w14:rot w14:lat="0" w14:lon="0" w14:rev="0"/>
              </w14:lightRig>
            </w14:scene3d>
          </w:rPr>
          <w:t>8.4</w:t>
        </w:r>
        <w:r>
          <w:rPr>
            <w:rFonts w:asciiTheme="minorHAnsi" w:eastAsiaTheme="minorEastAsia" w:hAnsiTheme="minorHAnsi" w:cstheme="minorBidi"/>
            <w:b w:val="0"/>
            <w:i w:val="0"/>
            <w:sz w:val="22"/>
            <w:szCs w:val="22"/>
          </w:rPr>
          <w:tab/>
        </w:r>
        <w:r w:rsidRPr="007F23FA">
          <w:rPr>
            <w:rStyle w:val="Hyperlink"/>
          </w:rPr>
          <w:t>Births, deaths and marriages registration (ICCPR articles 2, 17 &amp; 26)</w:t>
        </w:r>
        <w:r>
          <w:rPr>
            <w:webHidden/>
          </w:rPr>
          <w:tab/>
        </w:r>
        <w:r>
          <w:rPr>
            <w:webHidden/>
          </w:rPr>
          <w:fldChar w:fldCharType="begin"/>
        </w:r>
        <w:r>
          <w:rPr>
            <w:webHidden/>
          </w:rPr>
          <w:instrText xml:space="preserve"> PAGEREF _Toc493489608 \h </w:instrText>
        </w:r>
        <w:r>
          <w:rPr>
            <w:webHidden/>
          </w:rPr>
        </w:r>
        <w:r>
          <w:rPr>
            <w:webHidden/>
          </w:rPr>
          <w:fldChar w:fldCharType="separate"/>
        </w:r>
        <w:r w:rsidR="003126E0">
          <w:rPr>
            <w:webHidden/>
          </w:rPr>
          <w:t>16</w:t>
        </w:r>
        <w:r>
          <w:rPr>
            <w:webHidden/>
          </w:rPr>
          <w:fldChar w:fldCharType="end"/>
        </w:r>
      </w:hyperlink>
    </w:p>
    <w:p w14:paraId="32A9BDA0" w14:textId="6A8C3A60" w:rsidR="00AF4E34" w:rsidRDefault="00AF4E34">
      <w:pPr>
        <w:pStyle w:val="TOC2"/>
        <w:rPr>
          <w:rFonts w:asciiTheme="minorHAnsi" w:eastAsiaTheme="minorEastAsia" w:hAnsiTheme="minorHAnsi" w:cstheme="minorBidi"/>
          <w:b w:val="0"/>
          <w:i w:val="0"/>
          <w:sz w:val="22"/>
          <w:szCs w:val="22"/>
        </w:rPr>
      </w:pPr>
      <w:hyperlink w:anchor="_Toc493489609" w:history="1">
        <w:r w:rsidRPr="007F23FA">
          <w:rPr>
            <w:rStyle w:val="Hyperlink"/>
            <w14:scene3d>
              <w14:camera w14:prst="orthographicFront"/>
              <w14:lightRig w14:rig="threePt" w14:dir="t">
                <w14:rot w14:lat="0" w14:lon="0" w14:rev="0"/>
              </w14:lightRig>
            </w14:scene3d>
          </w:rPr>
          <w:t>8.5</w:t>
        </w:r>
        <w:r>
          <w:rPr>
            <w:rFonts w:asciiTheme="minorHAnsi" w:eastAsiaTheme="minorEastAsia" w:hAnsiTheme="minorHAnsi" w:cstheme="minorBidi"/>
            <w:b w:val="0"/>
            <w:i w:val="0"/>
            <w:sz w:val="22"/>
            <w:szCs w:val="22"/>
          </w:rPr>
          <w:tab/>
        </w:r>
        <w:r w:rsidRPr="007F23FA">
          <w:rPr>
            <w:rStyle w:val="Hyperlink"/>
          </w:rPr>
          <w:t>Involuntary medical interventions (ICCPR articles 7 &amp; 26)</w:t>
        </w:r>
        <w:r>
          <w:rPr>
            <w:webHidden/>
          </w:rPr>
          <w:tab/>
        </w:r>
        <w:r>
          <w:rPr>
            <w:webHidden/>
          </w:rPr>
          <w:fldChar w:fldCharType="begin"/>
        </w:r>
        <w:r>
          <w:rPr>
            <w:webHidden/>
          </w:rPr>
          <w:instrText xml:space="preserve"> PAGEREF _Toc493489609 \h </w:instrText>
        </w:r>
        <w:r>
          <w:rPr>
            <w:webHidden/>
          </w:rPr>
        </w:r>
        <w:r>
          <w:rPr>
            <w:webHidden/>
          </w:rPr>
          <w:fldChar w:fldCharType="separate"/>
        </w:r>
        <w:r w:rsidR="003126E0">
          <w:rPr>
            <w:webHidden/>
          </w:rPr>
          <w:t>17</w:t>
        </w:r>
        <w:r>
          <w:rPr>
            <w:webHidden/>
          </w:rPr>
          <w:fldChar w:fldCharType="end"/>
        </w:r>
      </w:hyperlink>
    </w:p>
    <w:p w14:paraId="34DC6F2E" w14:textId="78E85A36" w:rsidR="00AF4E34" w:rsidRDefault="00AF4E34">
      <w:pPr>
        <w:pStyle w:val="TOC2"/>
        <w:rPr>
          <w:rFonts w:asciiTheme="minorHAnsi" w:eastAsiaTheme="minorEastAsia" w:hAnsiTheme="minorHAnsi" w:cstheme="minorBidi"/>
          <w:b w:val="0"/>
          <w:i w:val="0"/>
          <w:sz w:val="22"/>
          <w:szCs w:val="22"/>
        </w:rPr>
      </w:pPr>
      <w:hyperlink w:anchor="_Toc493489610" w:history="1">
        <w:r w:rsidRPr="007F23FA">
          <w:rPr>
            <w:rStyle w:val="Hyperlink"/>
            <w14:scene3d>
              <w14:camera w14:prst="orthographicFront"/>
              <w14:lightRig w14:rig="threePt" w14:dir="t">
                <w14:rot w14:lat="0" w14:lon="0" w14:rev="0"/>
              </w14:lightRig>
            </w14:scene3d>
          </w:rPr>
          <w:t>8.6</w:t>
        </w:r>
        <w:r>
          <w:rPr>
            <w:rFonts w:asciiTheme="minorHAnsi" w:eastAsiaTheme="minorEastAsia" w:hAnsiTheme="minorHAnsi" w:cstheme="minorBidi"/>
            <w:b w:val="0"/>
            <w:i w:val="0"/>
            <w:sz w:val="22"/>
            <w:szCs w:val="22"/>
          </w:rPr>
          <w:tab/>
        </w:r>
        <w:r w:rsidRPr="007F23FA">
          <w:rPr>
            <w:rStyle w:val="Hyperlink"/>
          </w:rPr>
          <w:t>Marriage equality (ICCPR articles 2 &amp; 26)</w:t>
        </w:r>
        <w:r>
          <w:rPr>
            <w:webHidden/>
          </w:rPr>
          <w:tab/>
        </w:r>
        <w:r>
          <w:rPr>
            <w:webHidden/>
          </w:rPr>
          <w:fldChar w:fldCharType="begin"/>
        </w:r>
        <w:r>
          <w:rPr>
            <w:webHidden/>
          </w:rPr>
          <w:instrText xml:space="preserve"> PAGEREF _Toc493489610 \h </w:instrText>
        </w:r>
        <w:r>
          <w:rPr>
            <w:webHidden/>
          </w:rPr>
        </w:r>
        <w:r>
          <w:rPr>
            <w:webHidden/>
          </w:rPr>
          <w:fldChar w:fldCharType="separate"/>
        </w:r>
        <w:r w:rsidR="003126E0">
          <w:rPr>
            <w:webHidden/>
          </w:rPr>
          <w:t>17</w:t>
        </w:r>
        <w:r>
          <w:rPr>
            <w:webHidden/>
          </w:rPr>
          <w:fldChar w:fldCharType="end"/>
        </w:r>
      </w:hyperlink>
    </w:p>
    <w:p w14:paraId="07A1F934" w14:textId="31571817" w:rsidR="00AF4E34" w:rsidRDefault="00AF4E34">
      <w:pPr>
        <w:pStyle w:val="TOC1"/>
        <w:rPr>
          <w:rFonts w:asciiTheme="minorHAnsi" w:eastAsiaTheme="minorEastAsia" w:hAnsiTheme="minorHAnsi" w:cstheme="minorBidi"/>
          <w:b w:val="0"/>
          <w:szCs w:val="22"/>
        </w:rPr>
      </w:pPr>
      <w:hyperlink w:anchor="_Toc493489611" w:history="1">
        <w:r w:rsidRPr="007F23FA">
          <w:rPr>
            <w:rStyle w:val="Hyperlink"/>
          </w:rPr>
          <w:t>9</w:t>
        </w:r>
        <w:r>
          <w:rPr>
            <w:rFonts w:asciiTheme="minorHAnsi" w:eastAsiaTheme="minorEastAsia" w:hAnsiTheme="minorHAnsi" w:cstheme="minorBidi"/>
            <w:b w:val="0"/>
            <w:szCs w:val="22"/>
          </w:rPr>
          <w:tab/>
        </w:r>
        <w:r w:rsidRPr="007F23FA">
          <w:rPr>
            <w:rStyle w:val="Hyperlink"/>
          </w:rPr>
          <w:t>Women</w:t>
        </w:r>
        <w:r>
          <w:rPr>
            <w:webHidden/>
          </w:rPr>
          <w:tab/>
        </w:r>
        <w:r>
          <w:rPr>
            <w:webHidden/>
          </w:rPr>
          <w:fldChar w:fldCharType="begin"/>
        </w:r>
        <w:r>
          <w:rPr>
            <w:webHidden/>
          </w:rPr>
          <w:instrText xml:space="preserve"> PAGEREF _Toc493489611 \h </w:instrText>
        </w:r>
        <w:r>
          <w:rPr>
            <w:webHidden/>
          </w:rPr>
        </w:r>
        <w:r>
          <w:rPr>
            <w:webHidden/>
          </w:rPr>
          <w:fldChar w:fldCharType="separate"/>
        </w:r>
        <w:r w:rsidR="003126E0">
          <w:rPr>
            <w:webHidden/>
          </w:rPr>
          <w:t>18</w:t>
        </w:r>
        <w:r>
          <w:rPr>
            <w:webHidden/>
          </w:rPr>
          <w:fldChar w:fldCharType="end"/>
        </w:r>
      </w:hyperlink>
    </w:p>
    <w:p w14:paraId="6BE1E9EC" w14:textId="4B98B866" w:rsidR="00AF4E34" w:rsidRDefault="00AF4E34">
      <w:pPr>
        <w:pStyle w:val="TOC2"/>
        <w:rPr>
          <w:rFonts w:asciiTheme="minorHAnsi" w:eastAsiaTheme="minorEastAsia" w:hAnsiTheme="minorHAnsi" w:cstheme="minorBidi"/>
          <w:b w:val="0"/>
          <w:i w:val="0"/>
          <w:sz w:val="22"/>
          <w:szCs w:val="22"/>
        </w:rPr>
      </w:pPr>
      <w:hyperlink w:anchor="_Toc493489612" w:history="1">
        <w:r w:rsidRPr="007F23FA">
          <w:rPr>
            <w:rStyle w:val="Hyperlink"/>
            <w14:scene3d>
              <w14:camera w14:prst="orthographicFront"/>
              <w14:lightRig w14:rig="threePt" w14:dir="t">
                <w14:rot w14:lat="0" w14:lon="0" w14:rev="0"/>
              </w14:lightRig>
            </w14:scene3d>
          </w:rPr>
          <w:t>9.1</w:t>
        </w:r>
        <w:r>
          <w:rPr>
            <w:rFonts w:asciiTheme="minorHAnsi" w:eastAsiaTheme="minorEastAsia" w:hAnsiTheme="minorHAnsi" w:cstheme="minorBidi"/>
            <w:b w:val="0"/>
            <w:i w:val="0"/>
            <w:sz w:val="22"/>
            <w:szCs w:val="22"/>
          </w:rPr>
          <w:tab/>
        </w:r>
        <w:r w:rsidRPr="007F23FA">
          <w:rPr>
            <w:rStyle w:val="Hyperlink"/>
          </w:rPr>
          <w:t>Violence against women (ICCPR articles 2, 3, 7 &amp; 26; LOI 10)</w:t>
        </w:r>
        <w:r>
          <w:rPr>
            <w:webHidden/>
          </w:rPr>
          <w:tab/>
        </w:r>
        <w:r>
          <w:rPr>
            <w:webHidden/>
          </w:rPr>
          <w:fldChar w:fldCharType="begin"/>
        </w:r>
        <w:r>
          <w:rPr>
            <w:webHidden/>
          </w:rPr>
          <w:instrText xml:space="preserve"> PAGEREF _Toc493489612 \h </w:instrText>
        </w:r>
        <w:r>
          <w:rPr>
            <w:webHidden/>
          </w:rPr>
        </w:r>
        <w:r>
          <w:rPr>
            <w:webHidden/>
          </w:rPr>
          <w:fldChar w:fldCharType="separate"/>
        </w:r>
        <w:r w:rsidR="003126E0">
          <w:rPr>
            <w:webHidden/>
          </w:rPr>
          <w:t>18</w:t>
        </w:r>
        <w:r>
          <w:rPr>
            <w:webHidden/>
          </w:rPr>
          <w:fldChar w:fldCharType="end"/>
        </w:r>
      </w:hyperlink>
    </w:p>
    <w:p w14:paraId="54D7FF1D" w14:textId="049B7036" w:rsidR="00AF4E34" w:rsidRDefault="00AF4E34">
      <w:pPr>
        <w:pStyle w:val="TOC2"/>
        <w:rPr>
          <w:rFonts w:asciiTheme="minorHAnsi" w:eastAsiaTheme="minorEastAsia" w:hAnsiTheme="minorHAnsi" w:cstheme="minorBidi"/>
          <w:b w:val="0"/>
          <w:i w:val="0"/>
          <w:sz w:val="22"/>
          <w:szCs w:val="22"/>
        </w:rPr>
      </w:pPr>
      <w:hyperlink w:anchor="_Toc493489613" w:history="1">
        <w:r w:rsidRPr="007F23FA">
          <w:rPr>
            <w:rStyle w:val="Hyperlink"/>
            <w14:scene3d>
              <w14:camera w14:prst="orthographicFront"/>
              <w14:lightRig w14:rig="threePt" w14:dir="t">
                <w14:rot w14:lat="0" w14:lon="0" w14:rev="0"/>
              </w14:lightRig>
            </w14:scene3d>
          </w:rPr>
          <w:t>9.2</w:t>
        </w:r>
        <w:r>
          <w:rPr>
            <w:rFonts w:asciiTheme="minorHAnsi" w:eastAsiaTheme="minorEastAsia" w:hAnsiTheme="minorHAnsi" w:cstheme="minorBidi"/>
            <w:b w:val="0"/>
            <w:i w:val="0"/>
            <w:sz w:val="22"/>
            <w:szCs w:val="22"/>
          </w:rPr>
          <w:tab/>
        </w:r>
        <w:r w:rsidRPr="007F23FA">
          <w:rPr>
            <w:rStyle w:val="Hyperlink"/>
          </w:rPr>
          <w:t>Sexual assault and sexual harassment in the workplace and in university settings (ICCPR articles 2, 3, 7 &amp; 26; LOI 10)</w:t>
        </w:r>
        <w:r>
          <w:rPr>
            <w:webHidden/>
          </w:rPr>
          <w:tab/>
        </w:r>
        <w:r>
          <w:rPr>
            <w:webHidden/>
          </w:rPr>
          <w:fldChar w:fldCharType="begin"/>
        </w:r>
        <w:r>
          <w:rPr>
            <w:webHidden/>
          </w:rPr>
          <w:instrText xml:space="preserve"> PAGEREF _Toc493489613 \h </w:instrText>
        </w:r>
        <w:r>
          <w:rPr>
            <w:webHidden/>
          </w:rPr>
        </w:r>
        <w:r>
          <w:rPr>
            <w:webHidden/>
          </w:rPr>
          <w:fldChar w:fldCharType="separate"/>
        </w:r>
        <w:r w:rsidR="003126E0">
          <w:rPr>
            <w:webHidden/>
          </w:rPr>
          <w:t>18</w:t>
        </w:r>
        <w:r>
          <w:rPr>
            <w:webHidden/>
          </w:rPr>
          <w:fldChar w:fldCharType="end"/>
        </w:r>
      </w:hyperlink>
    </w:p>
    <w:p w14:paraId="7D62E974" w14:textId="782D515F" w:rsidR="00AF4E34" w:rsidRDefault="00AF4E34">
      <w:pPr>
        <w:pStyle w:val="TOC2"/>
        <w:rPr>
          <w:rFonts w:asciiTheme="minorHAnsi" w:eastAsiaTheme="minorEastAsia" w:hAnsiTheme="minorHAnsi" w:cstheme="minorBidi"/>
          <w:b w:val="0"/>
          <w:i w:val="0"/>
          <w:sz w:val="22"/>
          <w:szCs w:val="22"/>
        </w:rPr>
      </w:pPr>
      <w:hyperlink w:anchor="_Toc493489614" w:history="1">
        <w:r w:rsidRPr="007F23FA">
          <w:rPr>
            <w:rStyle w:val="Hyperlink"/>
            <w14:scene3d>
              <w14:camera w14:prst="orthographicFront"/>
              <w14:lightRig w14:rig="threePt" w14:dir="t">
                <w14:rot w14:lat="0" w14:lon="0" w14:rev="0"/>
              </w14:lightRig>
            </w14:scene3d>
          </w:rPr>
          <w:t>9.3</w:t>
        </w:r>
        <w:r>
          <w:rPr>
            <w:rFonts w:asciiTheme="minorHAnsi" w:eastAsiaTheme="minorEastAsia" w:hAnsiTheme="minorHAnsi" w:cstheme="minorBidi"/>
            <w:b w:val="0"/>
            <w:i w:val="0"/>
            <w:sz w:val="22"/>
            <w:szCs w:val="22"/>
          </w:rPr>
          <w:tab/>
        </w:r>
        <w:r w:rsidRPr="007F23FA">
          <w:rPr>
            <w:rStyle w:val="Hyperlink"/>
          </w:rPr>
          <w:t>Women in defence (ICCPR articles 2, 3 &amp; 26)</w:t>
        </w:r>
        <w:r>
          <w:rPr>
            <w:webHidden/>
          </w:rPr>
          <w:tab/>
        </w:r>
        <w:r>
          <w:rPr>
            <w:webHidden/>
          </w:rPr>
          <w:fldChar w:fldCharType="begin"/>
        </w:r>
        <w:r>
          <w:rPr>
            <w:webHidden/>
          </w:rPr>
          <w:instrText xml:space="preserve"> PAGEREF _Toc493489614 \h </w:instrText>
        </w:r>
        <w:r>
          <w:rPr>
            <w:webHidden/>
          </w:rPr>
        </w:r>
        <w:r>
          <w:rPr>
            <w:webHidden/>
          </w:rPr>
          <w:fldChar w:fldCharType="separate"/>
        </w:r>
        <w:r w:rsidR="003126E0">
          <w:rPr>
            <w:webHidden/>
          </w:rPr>
          <w:t>19</w:t>
        </w:r>
        <w:r>
          <w:rPr>
            <w:webHidden/>
          </w:rPr>
          <w:fldChar w:fldCharType="end"/>
        </w:r>
      </w:hyperlink>
    </w:p>
    <w:p w14:paraId="56A2F2E3" w14:textId="3A79CFB7" w:rsidR="00AF4E34" w:rsidRDefault="00AF4E34">
      <w:pPr>
        <w:pStyle w:val="TOC1"/>
        <w:rPr>
          <w:rFonts w:asciiTheme="minorHAnsi" w:eastAsiaTheme="minorEastAsia" w:hAnsiTheme="minorHAnsi" w:cstheme="minorBidi"/>
          <w:b w:val="0"/>
          <w:szCs w:val="22"/>
        </w:rPr>
      </w:pPr>
      <w:hyperlink w:anchor="_Toc493489615" w:history="1">
        <w:r w:rsidRPr="007F23FA">
          <w:rPr>
            <w:rStyle w:val="Hyperlink"/>
          </w:rPr>
          <w:t>10</w:t>
        </w:r>
        <w:r>
          <w:rPr>
            <w:rFonts w:asciiTheme="minorHAnsi" w:eastAsiaTheme="minorEastAsia" w:hAnsiTheme="minorHAnsi" w:cstheme="minorBidi"/>
            <w:b w:val="0"/>
            <w:szCs w:val="22"/>
          </w:rPr>
          <w:tab/>
        </w:r>
        <w:r w:rsidRPr="007F23FA">
          <w:rPr>
            <w:rStyle w:val="Hyperlink"/>
          </w:rPr>
          <w:t>Immigration and citizenship</w:t>
        </w:r>
        <w:r>
          <w:rPr>
            <w:webHidden/>
          </w:rPr>
          <w:tab/>
        </w:r>
        <w:r>
          <w:rPr>
            <w:webHidden/>
          </w:rPr>
          <w:fldChar w:fldCharType="begin"/>
        </w:r>
        <w:r>
          <w:rPr>
            <w:webHidden/>
          </w:rPr>
          <w:instrText xml:space="preserve"> PAGEREF _Toc493489615 \h </w:instrText>
        </w:r>
        <w:r>
          <w:rPr>
            <w:webHidden/>
          </w:rPr>
        </w:r>
        <w:r>
          <w:rPr>
            <w:webHidden/>
          </w:rPr>
          <w:fldChar w:fldCharType="separate"/>
        </w:r>
        <w:r w:rsidR="003126E0">
          <w:rPr>
            <w:webHidden/>
          </w:rPr>
          <w:t>19</w:t>
        </w:r>
        <w:r>
          <w:rPr>
            <w:webHidden/>
          </w:rPr>
          <w:fldChar w:fldCharType="end"/>
        </w:r>
      </w:hyperlink>
    </w:p>
    <w:p w14:paraId="444CD019" w14:textId="3C4D082F" w:rsidR="00AF4E34" w:rsidRDefault="00AF4E34">
      <w:pPr>
        <w:pStyle w:val="TOC2"/>
        <w:rPr>
          <w:rFonts w:asciiTheme="minorHAnsi" w:eastAsiaTheme="minorEastAsia" w:hAnsiTheme="minorHAnsi" w:cstheme="minorBidi"/>
          <w:b w:val="0"/>
          <w:i w:val="0"/>
          <w:sz w:val="22"/>
          <w:szCs w:val="22"/>
        </w:rPr>
      </w:pPr>
      <w:hyperlink w:anchor="_Toc493489616" w:history="1">
        <w:r w:rsidRPr="007F23FA">
          <w:rPr>
            <w:rStyle w:val="Hyperlink"/>
            <w14:scene3d>
              <w14:camera w14:prst="orthographicFront"/>
              <w14:lightRig w14:rig="threePt" w14:dir="t">
                <w14:rot w14:lat="0" w14:lon="0" w14:rev="0"/>
              </w14:lightRig>
            </w14:scene3d>
          </w:rPr>
          <w:t>10.1</w:t>
        </w:r>
        <w:r>
          <w:rPr>
            <w:rFonts w:asciiTheme="minorHAnsi" w:eastAsiaTheme="minorEastAsia" w:hAnsiTheme="minorHAnsi" w:cstheme="minorBidi"/>
            <w:b w:val="0"/>
            <w:i w:val="0"/>
            <w:sz w:val="22"/>
            <w:szCs w:val="22"/>
          </w:rPr>
          <w:tab/>
        </w:r>
        <w:r w:rsidRPr="007F23FA">
          <w:rPr>
            <w:rStyle w:val="Hyperlink"/>
          </w:rPr>
          <w:t>Refugees and asylum seekers (ICCPR articles 6, 7, 9, 10, 13 &amp; 23; LOI 12, 14 &amp; 15)</w:t>
        </w:r>
        <w:r>
          <w:rPr>
            <w:webHidden/>
          </w:rPr>
          <w:tab/>
        </w:r>
        <w:r>
          <w:rPr>
            <w:webHidden/>
          </w:rPr>
          <w:fldChar w:fldCharType="begin"/>
        </w:r>
        <w:r>
          <w:rPr>
            <w:webHidden/>
          </w:rPr>
          <w:instrText xml:space="preserve"> PAGEREF _Toc493489616 \h </w:instrText>
        </w:r>
        <w:r>
          <w:rPr>
            <w:webHidden/>
          </w:rPr>
        </w:r>
        <w:r>
          <w:rPr>
            <w:webHidden/>
          </w:rPr>
          <w:fldChar w:fldCharType="separate"/>
        </w:r>
        <w:r w:rsidR="003126E0">
          <w:rPr>
            <w:webHidden/>
          </w:rPr>
          <w:t>19</w:t>
        </w:r>
        <w:r>
          <w:rPr>
            <w:webHidden/>
          </w:rPr>
          <w:fldChar w:fldCharType="end"/>
        </w:r>
      </w:hyperlink>
    </w:p>
    <w:p w14:paraId="51D81C8F" w14:textId="155176EC" w:rsidR="00AF4E34" w:rsidRDefault="00AF4E34">
      <w:pPr>
        <w:pStyle w:val="TOC3"/>
        <w:rPr>
          <w:rFonts w:asciiTheme="minorHAnsi" w:eastAsiaTheme="minorEastAsia" w:hAnsiTheme="minorHAnsi" w:cstheme="minorBidi"/>
          <w:i w:val="0"/>
          <w:sz w:val="22"/>
          <w:szCs w:val="22"/>
        </w:rPr>
      </w:pPr>
      <w:hyperlink w:anchor="_Toc493489617" w:history="1">
        <w:r w:rsidRPr="007F23FA">
          <w:rPr>
            <w:rStyle w:val="Hyperlink"/>
          </w:rPr>
          <w:t>(a)</w:t>
        </w:r>
        <w:r>
          <w:rPr>
            <w:rFonts w:asciiTheme="minorHAnsi" w:eastAsiaTheme="minorEastAsia" w:hAnsiTheme="minorHAnsi" w:cstheme="minorBidi"/>
            <w:i w:val="0"/>
            <w:sz w:val="22"/>
            <w:szCs w:val="22"/>
          </w:rPr>
          <w:tab/>
        </w:r>
        <w:r w:rsidRPr="007F23FA">
          <w:rPr>
            <w:rStyle w:val="Hyperlink"/>
          </w:rPr>
          <w:t>Third country processing</w:t>
        </w:r>
        <w:r>
          <w:rPr>
            <w:webHidden/>
          </w:rPr>
          <w:tab/>
        </w:r>
        <w:r>
          <w:rPr>
            <w:webHidden/>
          </w:rPr>
          <w:fldChar w:fldCharType="begin"/>
        </w:r>
        <w:r>
          <w:rPr>
            <w:webHidden/>
          </w:rPr>
          <w:instrText xml:space="preserve"> PAGEREF _Toc493489617 \h </w:instrText>
        </w:r>
        <w:r>
          <w:rPr>
            <w:webHidden/>
          </w:rPr>
        </w:r>
        <w:r>
          <w:rPr>
            <w:webHidden/>
          </w:rPr>
          <w:fldChar w:fldCharType="separate"/>
        </w:r>
        <w:r w:rsidR="003126E0">
          <w:rPr>
            <w:webHidden/>
          </w:rPr>
          <w:t>19</w:t>
        </w:r>
        <w:r>
          <w:rPr>
            <w:webHidden/>
          </w:rPr>
          <w:fldChar w:fldCharType="end"/>
        </w:r>
      </w:hyperlink>
    </w:p>
    <w:p w14:paraId="6ACC6CBE" w14:textId="0C499815" w:rsidR="00AF4E34" w:rsidRDefault="00AF4E34">
      <w:pPr>
        <w:pStyle w:val="TOC3"/>
        <w:rPr>
          <w:rFonts w:asciiTheme="minorHAnsi" w:eastAsiaTheme="minorEastAsia" w:hAnsiTheme="minorHAnsi" w:cstheme="minorBidi"/>
          <w:i w:val="0"/>
          <w:sz w:val="22"/>
          <w:szCs w:val="22"/>
        </w:rPr>
      </w:pPr>
      <w:hyperlink w:anchor="_Toc493489618" w:history="1">
        <w:r w:rsidRPr="007F23FA">
          <w:rPr>
            <w:rStyle w:val="Hyperlink"/>
          </w:rPr>
          <w:t>(b)</w:t>
        </w:r>
        <w:r>
          <w:rPr>
            <w:rFonts w:asciiTheme="minorHAnsi" w:eastAsiaTheme="minorEastAsia" w:hAnsiTheme="minorHAnsi" w:cstheme="minorBidi"/>
            <w:i w:val="0"/>
            <w:sz w:val="22"/>
            <w:szCs w:val="22"/>
          </w:rPr>
          <w:tab/>
        </w:r>
        <w:r w:rsidRPr="007F23FA">
          <w:rPr>
            <w:rStyle w:val="Hyperlink"/>
          </w:rPr>
          <w:t>Mandatory immigration detention</w:t>
        </w:r>
        <w:r>
          <w:rPr>
            <w:webHidden/>
          </w:rPr>
          <w:tab/>
        </w:r>
        <w:r>
          <w:rPr>
            <w:webHidden/>
          </w:rPr>
          <w:fldChar w:fldCharType="begin"/>
        </w:r>
        <w:r>
          <w:rPr>
            <w:webHidden/>
          </w:rPr>
          <w:instrText xml:space="preserve"> PAGEREF _Toc493489618 \h </w:instrText>
        </w:r>
        <w:r>
          <w:rPr>
            <w:webHidden/>
          </w:rPr>
        </w:r>
        <w:r>
          <w:rPr>
            <w:webHidden/>
          </w:rPr>
          <w:fldChar w:fldCharType="separate"/>
        </w:r>
        <w:r w:rsidR="003126E0">
          <w:rPr>
            <w:webHidden/>
          </w:rPr>
          <w:t>20</w:t>
        </w:r>
        <w:r>
          <w:rPr>
            <w:webHidden/>
          </w:rPr>
          <w:fldChar w:fldCharType="end"/>
        </w:r>
      </w:hyperlink>
    </w:p>
    <w:p w14:paraId="3F74AA36" w14:textId="2C8A902C" w:rsidR="00AF4E34" w:rsidRDefault="00AF4E34">
      <w:pPr>
        <w:pStyle w:val="TOC3"/>
        <w:rPr>
          <w:rFonts w:asciiTheme="minorHAnsi" w:eastAsiaTheme="minorEastAsia" w:hAnsiTheme="minorHAnsi" w:cstheme="minorBidi"/>
          <w:i w:val="0"/>
          <w:sz w:val="22"/>
          <w:szCs w:val="22"/>
        </w:rPr>
      </w:pPr>
      <w:hyperlink w:anchor="_Toc493489619" w:history="1">
        <w:r w:rsidRPr="007F23FA">
          <w:rPr>
            <w:rStyle w:val="Hyperlink"/>
          </w:rPr>
          <w:t>(c)</w:t>
        </w:r>
        <w:r>
          <w:rPr>
            <w:rFonts w:asciiTheme="minorHAnsi" w:eastAsiaTheme="minorEastAsia" w:hAnsiTheme="minorHAnsi" w:cstheme="minorBidi"/>
            <w:i w:val="0"/>
            <w:sz w:val="22"/>
            <w:szCs w:val="22"/>
          </w:rPr>
          <w:tab/>
        </w:r>
        <w:r w:rsidRPr="007F23FA">
          <w:rPr>
            <w:rStyle w:val="Hyperlink"/>
          </w:rPr>
          <w:t>Refoulement</w:t>
        </w:r>
        <w:r>
          <w:rPr>
            <w:webHidden/>
          </w:rPr>
          <w:tab/>
        </w:r>
        <w:r>
          <w:rPr>
            <w:webHidden/>
          </w:rPr>
          <w:fldChar w:fldCharType="begin"/>
        </w:r>
        <w:r>
          <w:rPr>
            <w:webHidden/>
          </w:rPr>
          <w:instrText xml:space="preserve"> PAGEREF _Toc493489619 \h </w:instrText>
        </w:r>
        <w:r>
          <w:rPr>
            <w:webHidden/>
          </w:rPr>
        </w:r>
        <w:r>
          <w:rPr>
            <w:webHidden/>
          </w:rPr>
          <w:fldChar w:fldCharType="separate"/>
        </w:r>
        <w:r w:rsidR="003126E0">
          <w:rPr>
            <w:webHidden/>
          </w:rPr>
          <w:t>20</w:t>
        </w:r>
        <w:r>
          <w:rPr>
            <w:webHidden/>
          </w:rPr>
          <w:fldChar w:fldCharType="end"/>
        </w:r>
      </w:hyperlink>
    </w:p>
    <w:p w14:paraId="79B2B6C0" w14:textId="077F9FF3" w:rsidR="00AF4E34" w:rsidRDefault="00AF4E34">
      <w:pPr>
        <w:pStyle w:val="TOC2"/>
        <w:rPr>
          <w:rFonts w:asciiTheme="minorHAnsi" w:eastAsiaTheme="minorEastAsia" w:hAnsiTheme="minorHAnsi" w:cstheme="minorBidi"/>
          <w:b w:val="0"/>
          <w:i w:val="0"/>
          <w:sz w:val="22"/>
          <w:szCs w:val="22"/>
        </w:rPr>
      </w:pPr>
      <w:hyperlink w:anchor="_Toc493489620" w:history="1">
        <w:r w:rsidRPr="007F23FA">
          <w:rPr>
            <w:rStyle w:val="Hyperlink"/>
            <w14:scene3d>
              <w14:camera w14:prst="orthographicFront"/>
              <w14:lightRig w14:rig="threePt" w14:dir="t">
                <w14:rot w14:lat="0" w14:lon="0" w14:rev="0"/>
              </w14:lightRig>
            </w14:scene3d>
          </w:rPr>
          <w:t>10.2</w:t>
        </w:r>
        <w:r>
          <w:rPr>
            <w:rFonts w:asciiTheme="minorHAnsi" w:eastAsiaTheme="minorEastAsia" w:hAnsiTheme="minorHAnsi" w:cstheme="minorBidi"/>
            <w:b w:val="0"/>
            <w:i w:val="0"/>
            <w:sz w:val="22"/>
            <w:szCs w:val="22"/>
          </w:rPr>
          <w:tab/>
        </w:r>
        <w:r w:rsidRPr="007F23FA">
          <w:rPr>
            <w:rStyle w:val="Hyperlink"/>
          </w:rPr>
          <w:t>Visa refusals and cancellations on character grounds (ICCPR articles 2, 12 &amp; 13)</w:t>
        </w:r>
        <w:r>
          <w:rPr>
            <w:webHidden/>
          </w:rPr>
          <w:tab/>
        </w:r>
        <w:r>
          <w:rPr>
            <w:webHidden/>
          </w:rPr>
          <w:fldChar w:fldCharType="begin"/>
        </w:r>
        <w:r>
          <w:rPr>
            <w:webHidden/>
          </w:rPr>
          <w:instrText xml:space="preserve"> PAGEREF _Toc493489620 \h </w:instrText>
        </w:r>
        <w:r>
          <w:rPr>
            <w:webHidden/>
          </w:rPr>
        </w:r>
        <w:r>
          <w:rPr>
            <w:webHidden/>
          </w:rPr>
          <w:fldChar w:fldCharType="separate"/>
        </w:r>
        <w:r w:rsidR="003126E0">
          <w:rPr>
            <w:webHidden/>
          </w:rPr>
          <w:t>21</w:t>
        </w:r>
        <w:r>
          <w:rPr>
            <w:webHidden/>
          </w:rPr>
          <w:fldChar w:fldCharType="end"/>
        </w:r>
      </w:hyperlink>
    </w:p>
    <w:p w14:paraId="5819DB7C" w14:textId="0586BF87" w:rsidR="00AF4E34" w:rsidRDefault="00AF4E34">
      <w:pPr>
        <w:pStyle w:val="TOC2"/>
        <w:rPr>
          <w:rFonts w:asciiTheme="minorHAnsi" w:eastAsiaTheme="minorEastAsia" w:hAnsiTheme="minorHAnsi" w:cstheme="minorBidi"/>
          <w:b w:val="0"/>
          <w:i w:val="0"/>
          <w:sz w:val="22"/>
          <w:szCs w:val="22"/>
        </w:rPr>
      </w:pPr>
      <w:hyperlink w:anchor="_Toc493489621" w:history="1">
        <w:r w:rsidRPr="007F23FA">
          <w:rPr>
            <w:rStyle w:val="Hyperlink"/>
            <w14:scene3d>
              <w14:camera w14:prst="orthographicFront"/>
              <w14:lightRig w14:rig="threePt" w14:dir="t">
                <w14:rot w14:lat="0" w14:lon="0" w14:rev="0"/>
              </w14:lightRig>
            </w14:scene3d>
          </w:rPr>
          <w:t>10.3</w:t>
        </w:r>
        <w:r>
          <w:rPr>
            <w:rFonts w:asciiTheme="minorHAnsi" w:eastAsiaTheme="minorEastAsia" w:hAnsiTheme="minorHAnsi" w:cstheme="minorBidi"/>
            <w:b w:val="0"/>
            <w:i w:val="0"/>
            <w:sz w:val="22"/>
            <w:szCs w:val="22"/>
          </w:rPr>
          <w:tab/>
        </w:r>
        <w:r w:rsidRPr="007F23FA">
          <w:rPr>
            <w:rStyle w:val="Hyperlink"/>
          </w:rPr>
          <w:t>Strengthening citizenship requirements (ICCPR articles 2, 12 &amp; 13)</w:t>
        </w:r>
        <w:r>
          <w:rPr>
            <w:webHidden/>
          </w:rPr>
          <w:tab/>
        </w:r>
        <w:r>
          <w:rPr>
            <w:webHidden/>
          </w:rPr>
          <w:fldChar w:fldCharType="begin"/>
        </w:r>
        <w:r>
          <w:rPr>
            <w:webHidden/>
          </w:rPr>
          <w:instrText xml:space="preserve"> PAGEREF _Toc493489621 \h </w:instrText>
        </w:r>
        <w:r>
          <w:rPr>
            <w:webHidden/>
          </w:rPr>
        </w:r>
        <w:r>
          <w:rPr>
            <w:webHidden/>
          </w:rPr>
          <w:fldChar w:fldCharType="separate"/>
        </w:r>
        <w:r w:rsidR="003126E0">
          <w:rPr>
            <w:webHidden/>
          </w:rPr>
          <w:t>22</w:t>
        </w:r>
        <w:r>
          <w:rPr>
            <w:webHidden/>
          </w:rPr>
          <w:fldChar w:fldCharType="end"/>
        </w:r>
      </w:hyperlink>
    </w:p>
    <w:p w14:paraId="73060813" w14:textId="2B5FB6D2" w:rsidR="00AF4E34" w:rsidRDefault="00AF4E34">
      <w:pPr>
        <w:pStyle w:val="TOC1"/>
        <w:rPr>
          <w:rFonts w:asciiTheme="minorHAnsi" w:eastAsiaTheme="minorEastAsia" w:hAnsiTheme="minorHAnsi" w:cstheme="minorBidi"/>
          <w:b w:val="0"/>
          <w:szCs w:val="22"/>
        </w:rPr>
      </w:pPr>
      <w:hyperlink w:anchor="_Toc493489622" w:history="1">
        <w:r w:rsidRPr="007F23FA">
          <w:rPr>
            <w:rStyle w:val="Hyperlink"/>
          </w:rPr>
          <w:t>11</w:t>
        </w:r>
        <w:r>
          <w:rPr>
            <w:rFonts w:asciiTheme="minorHAnsi" w:eastAsiaTheme="minorEastAsia" w:hAnsiTheme="minorHAnsi" w:cstheme="minorBidi"/>
            <w:b w:val="0"/>
            <w:szCs w:val="22"/>
          </w:rPr>
          <w:tab/>
        </w:r>
        <w:r w:rsidRPr="007F23FA">
          <w:rPr>
            <w:rStyle w:val="Hyperlink"/>
          </w:rPr>
          <w:t>Children and young people</w:t>
        </w:r>
        <w:r>
          <w:rPr>
            <w:webHidden/>
          </w:rPr>
          <w:tab/>
        </w:r>
        <w:r>
          <w:rPr>
            <w:webHidden/>
          </w:rPr>
          <w:fldChar w:fldCharType="begin"/>
        </w:r>
        <w:r>
          <w:rPr>
            <w:webHidden/>
          </w:rPr>
          <w:instrText xml:space="preserve"> PAGEREF _Toc493489622 \h </w:instrText>
        </w:r>
        <w:r>
          <w:rPr>
            <w:webHidden/>
          </w:rPr>
        </w:r>
        <w:r>
          <w:rPr>
            <w:webHidden/>
          </w:rPr>
          <w:fldChar w:fldCharType="separate"/>
        </w:r>
        <w:r w:rsidR="003126E0">
          <w:rPr>
            <w:webHidden/>
          </w:rPr>
          <w:t>22</w:t>
        </w:r>
        <w:r>
          <w:rPr>
            <w:webHidden/>
          </w:rPr>
          <w:fldChar w:fldCharType="end"/>
        </w:r>
      </w:hyperlink>
    </w:p>
    <w:p w14:paraId="4970AD8C" w14:textId="0AFBEBCB" w:rsidR="00AF4E34" w:rsidRDefault="00AF4E34">
      <w:pPr>
        <w:pStyle w:val="TOC2"/>
        <w:rPr>
          <w:rFonts w:asciiTheme="minorHAnsi" w:eastAsiaTheme="minorEastAsia" w:hAnsiTheme="minorHAnsi" w:cstheme="minorBidi"/>
          <w:b w:val="0"/>
          <w:i w:val="0"/>
          <w:sz w:val="22"/>
          <w:szCs w:val="22"/>
        </w:rPr>
      </w:pPr>
      <w:hyperlink w:anchor="_Toc493489623" w:history="1">
        <w:r w:rsidRPr="007F23FA">
          <w:rPr>
            <w:rStyle w:val="Hyperlink"/>
            <w14:scene3d>
              <w14:camera w14:prst="orthographicFront"/>
              <w14:lightRig w14:rig="threePt" w14:dir="t">
                <w14:rot w14:lat="0" w14:lon="0" w14:rev="0"/>
              </w14:lightRig>
            </w14:scene3d>
          </w:rPr>
          <w:t>11.1</w:t>
        </w:r>
        <w:r>
          <w:rPr>
            <w:rFonts w:asciiTheme="minorHAnsi" w:eastAsiaTheme="minorEastAsia" w:hAnsiTheme="minorHAnsi" w:cstheme="minorBidi"/>
            <w:b w:val="0"/>
            <w:i w:val="0"/>
            <w:sz w:val="22"/>
            <w:szCs w:val="22"/>
          </w:rPr>
          <w:tab/>
        </w:r>
        <w:r w:rsidRPr="007F23FA">
          <w:rPr>
            <w:rStyle w:val="Hyperlink"/>
          </w:rPr>
          <w:t>Child protection (ICCPR article 24; LOI 20)</w:t>
        </w:r>
        <w:r>
          <w:rPr>
            <w:webHidden/>
          </w:rPr>
          <w:tab/>
        </w:r>
        <w:r>
          <w:rPr>
            <w:webHidden/>
          </w:rPr>
          <w:fldChar w:fldCharType="begin"/>
        </w:r>
        <w:r>
          <w:rPr>
            <w:webHidden/>
          </w:rPr>
          <w:instrText xml:space="preserve"> PAGEREF _Toc493489623 \h </w:instrText>
        </w:r>
        <w:r>
          <w:rPr>
            <w:webHidden/>
          </w:rPr>
        </w:r>
        <w:r>
          <w:rPr>
            <w:webHidden/>
          </w:rPr>
          <w:fldChar w:fldCharType="separate"/>
        </w:r>
        <w:r w:rsidR="003126E0">
          <w:rPr>
            <w:webHidden/>
          </w:rPr>
          <w:t>22</w:t>
        </w:r>
        <w:r>
          <w:rPr>
            <w:webHidden/>
          </w:rPr>
          <w:fldChar w:fldCharType="end"/>
        </w:r>
      </w:hyperlink>
    </w:p>
    <w:p w14:paraId="02BEBC63" w14:textId="4F653C3E" w:rsidR="00AF4E34" w:rsidRDefault="00AF4E34">
      <w:pPr>
        <w:pStyle w:val="TOC2"/>
        <w:rPr>
          <w:rFonts w:asciiTheme="minorHAnsi" w:eastAsiaTheme="minorEastAsia" w:hAnsiTheme="minorHAnsi" w:cstheme="minorBidi"/>
          <w:b w:val="0"/>
          <w:i w:val="0"/>
          <w:sz w:val="22"/>
          <w:szCs w:val="22"/>
        </w:rPr>
      </w:pPr>
      <w:hyperlink w:anchor="_Toc493489624" w:history="1">
        <w:r w:rsidRPr="007F23FA">
          <w:rPr>
            <w:rStyle w:val="Hyperlink"/>
            <w14:scene3d>
              <w14:camera w14:prst="orthographicFront"/>
              <w14:lightRig w14:rig="threePt" w14:dir="t">
                <w14:rot w14:lat="0" w14:lon="0" w14:rev="0"/>
              </w14:lightRig>
            </w14:scene3d>
          </w:rPr>
          <w:t>11.2</w:t>
        </w:r>
        <w:r>
          <w:rPr>
            <w:rFonts w:asciiTheme="minorHAnsi" w:eastAsiaTheme="minorEastAsia" w:hAnsiTheme="minorHAnsi" w:cstheme="minorBidi"/>
            <w:b w:val="0"/>
            <w:i w:val="0"/>
            <w:sz w:val="22"/>
            <w:szCs w:val="22"/>
          </w:rPr>
          <w:tab/>
        </w:r>
        <w:r w:rsidRPr="007F23FA">
          <w:rPr>
            <w:rStyle w:val="Hyperlink"/>
          </w:rPr>
          <w:t>Violence against children and young people (ICCPR articles 7, 9 &amp; 24)</w:t>
        </w:r>
        <w:r>
          <w:rPr>
            <w:webHidden/>
          </w:rPr>
          <w:tab/>
        </w:r>
        <w:r>
          <w:rPr>
            <w:webHidden/>
          </w:rPr>
          <w:fldChar w:fldCharType="begin"/>
        </w:r>
        <w:r>
          <w:rPr>
            <w:webHidden/>
          </w:rPr>
          <w:instrText xml:space="preserve"> PAGEREF _Toc493489624 \h </w:instrText>
        </w:r>
        <w:r>
          <w:rPr>
            <w:webHidden/>
          </w:rPr>
        </w:r>
        <w:r>
          <w:rPr>
            <w:webHidden/>
          </w:rPr>
          <w:fldChar w:fldCharType="separate"/>
        </w:r>
        <w:r w:rsidR="003126E0">
          <w:rPr>
            <w:webHidden/>
          </w:rPr>
          <w:t>23</w:t>
        </w:r>
        <w:r>
          <w:rPr>
            <w:webHidden/>
          </w:rPr>
          <w:fldChar w:fldCharType="end"/>
        </w:r>
      </w:hyperlink>
    </w:p>
    <w:p w14:paraId="6A4DE459" w14:textId="160351E8" w:rsidR="00AF4E34" w:rsidRDefault="00AF4E34">
      <w:pPr>
        <w:pStyle w:val="TOC2"/>
        <w:rPr>
          <w:rFonts w:asciiTheme="minorHAnsi" w:eastAsiaTheme="minorEastAsia" w:hAnsiTheme="minorHAnsi" w:cstheme="minorBidi"/>
          <w:b w:val="0"/>
          <w:i w:val="0"/>
          <w:sz w:val="22"/>
          <w:szCs w:val="22"/>
        </w:rPr>
      </w:pPr>
      <w:hyperlink w:anchor="_Toc493489625" w:history="1">
        <w:r w:rsidRPr="007F23FA">
          <w:rPr>
            <w:rStyle w:val="Hyperlink"/>
            <w14:scene3d>
              <w14:camera w14:prst="orthographicFront"/>
              <w14:lightRig w14:rig="threePt" w14:dir="t">
                <w14:rot w14:lat="0" w14:lon="0" w14:rev="0"/>
              </w14:lightRig>
            </w14:scene3d>
          </w:rPr>
          <w:t>11.3</w:t>
        </w:r>
        <w:r>
          <w:rPr>
            <w:rFonts w:asciiTheme="minorHAnsi" w:eastAsiaTheme="minorEastAsia" w:hAnsiTheme="minorHAnsi" w:cstheme="minorBidi"/>
            <w:b w:val="0"/>
            <w:i w:val="0"/>
            <w:sz w:val="22"/>
            <w:szCs w:val="22"/>
          </w:rPr>
          <w:tab/>
        </w:r>
        <w:r w:rsidRPr="007F23FA">
          <w:rPr>
            <w:rStyle w:val="Hyperlink"/>
          </w:rPr>
          <w:t>Self-harm (ICCPR articles 7, 9 &amp; 24; LOI 20)</w:t>
        </w:r>
        <w:r>
          <w:rPr>
            <w:webHidden/>
          </w:rPr>
          <w:tab/>
        </w:r>
        <w:r>
          <w:rPr>
            <w:webHidden/>
          </w:rPr>
          <w:fldChar w:fldCharType="begin"/>
        </w:r>
        <w:r>
          <w:rPr>
            <w:webHidden/>
          </w:rPr>
          <w:instrText xml:space="preserve"> PAGEREF _Toc493489625 \h </w:instrText>
        </w:r>
        <w:r>
          <w:rPr>
            <w:webHidden/>
          </w:rPr>
        </w:r>
        <w:r>
          <w:rPr>
            <w:webHidden/>
          </w:rPr>
          <w:fldChar w:fldCharType="separate"/>
        </w:r>
        <w:r w:rsidR="003126E0">
          <w:rPr>
            <w:webHidden/>
          </w:rPr>
          <w:t>24</w:t>
        </w:r>
        <w:r>
          <w:rPr>
            <w:webHidden/>
          </w:rPr>
          <w:fldChar w:fldCharType="end"/>
        </w:r>
      </w:hyperlink>
    </w:p>
    <w:p w14:paraId="493E27FD" w14:textId="3037C6A2" w:rsidR="00AF4E34" w:rsidRDefault="00AF4E34">
      <w:pPr>
        <w:pStyle w:val="TOC2"/>
        <w:rPr>
          <w:rFonts w:asciiTheme="minorHAnsi" w:eastAsiaTheme="minorEastAsia" w:hAnsiTheme="minorHAnsi" w:cstheme="minorBidi"/>
          <w:b w:val="0"/>
          <w:i w:val="0"/>
          <w:sz w:val="22"/>
          <w:szCs w:val="22"/>
        </w:rPr>
      </w:pPr>
      <w:hyperlink w:anchor="_Toc493489626" w:history="1">
        <w:r w:rsidRPr="007F23FA">
          <w:rPr>
            <w:rStyle w:val="Hyperlink"/>
            <w14:scene3d>
              <w14:camera w14:prst="orthographicFront"/>
              <w14:lightRig w14:rig="threePt" w14:dir="t">
                <w14:rot w14:lat="0" w14:lon="0" w14:rev="0"/>
              </w14:lightRig>
            </w14:scene3d>
          </w:rPr>
          <w:t>11.4</w:t>
        </w:r>
        <w:r>
          <w:rPr>
            <w:rFonts w:asciiTheme="minorHAnsi" w:eastAsiaTheme="minorEastAsia" w:hAnsiTheme="minorHAnsi" w:cstheme="minorBidi"/>
            <w:b w:val="0"/>
            <w:i w:val="0"/>
            <w:sz w:val="22"/>
            <w:szCs w:val="22"/>
          </w:rPr>
          <w:tab/>
        </w:r>
        <w:r w:rsidRPr="007F23FA">
          <w:rPr>
            <w:rStyle w:val="Hyperlink"/>
          </w:rPr>
          <w:t>Juvenile justice (ICCPR articles 7, 9 &amp; 24; LOI 20)</w:t>
        </w:r>
        <w:r>
          <w:rPr>
            <w:webHidden/>
          </w:rPr>
          <w:tab/>
        </w:r>
        <w:r>
          <w:rPr>
            <w:webHidden/>
          </w:rPr>
          <w:fldChar w:fldCharType="begin"/>
        </w:r>
        <w:r>
          <w:rPr>
            <w:webHidden/>
          </w:rPr>
          <w:instrText xml:space="preserve"> PAGEREF _Toc493489626 \h </w:instrText>
        </w:r>
        <w:r>
          <w:rPr>
            <w:webHidden/>
          </w:rPr>
        </w:r>
        <w:r>
          <w:rPr>
            <w:webHidden/>
          </w:rPr>
          <w:fldChar w:fldCharType="separate"/>
        </w:r>
        <w:r w:rsidR="003126E0">
          <w:rPr>
            <w:webHidden/>
          </w:rPr>
          <w:t>24</w:t>
        </w:r>
        <w:r>
          <w:rPr>
            <w:webHidden/>
          </w:rPr>
          <w:fldChar w:fldCharType="end"/>
        </w:r>
      </w:hyperlink>
    </w:p>
    <w:p w14:paraId="7090F6D7" w14:textId="3D792CAE" w:rsidR="00AF4E34" w:rsidRDefault="00AF4E34">
      <w:pPr>
        <w:pStyle w:val="TOC3"/>
        <w:rPr>
          <w:rFonts w:asciiTheme="minorHAnsi" w:eastAsiaTheme="minorEastAsia" w:hAnsiTheme="minorHAnsi" w:cstheme="minorBidi"/>
          <w:i w:val="0"/>
          <w:sz w:val="22"/>
          <w:szCs w:val="22"/>
        </w:rPr>
      </w:pPr>
      <w:hyperlink w:anchor="_Toc493489627" w:history="1">
        <w:r w:rsidRPr="007F23FA">
          <w:rPr>
            <w:rStyle w:val="Hyperlink"/>
          </w:rPr>
          <w:t>(a)</w:t>
        </w:r>
        <w:r>
          <w:rPr>
            <w:rFonts w:asciiTheme="minorHAnsi" w:eastAsiaTheme="minorEastAsia" w:hAnsiTheme="minorHAnsi" w:cstheme="minorBidi"/>
            <w:i w:val="0"/>
            <w:sz w:val="22"/>
            <w:szCs w:val="22"/>
          </w:rPr>
          <w:tab/>
        </w:r>
        <w:r w:rsidRPr="007F23FA">
          <w:rPr>
            <w:rStyle w:val="Hyperlink"/>
          </w:rPr>
          <w:t>Detention</w:t>
        </w:r>
        <w:r>
          <w:rPr>
            <w:webHidden/>
          </w:rPr>
          <w:tab/>
        </w:r>
        <w:r>
          <w:rPr>
            <w:webHidden/>
          </w:rPr>
          <w:fldChar w:fldCharType="begin"/>
        </w:r>
        <w:r>
          <w:rPr>
            <w:webHidden/>
          </w:rPr>
          <w:instrText xml:space="preserve"> PAGEREF _Toc493489627 \h </w:instrText>
        </w:r>
        <w:r>
          <w:rPr>
            <w:webHidden/>
          </w:rPr>
        </w:r>
        <w:r>
          <w:rPr>
            <w:webHidden/>
          </w:rPr>
          <w:fldChar w:fldCharType="separate"/>
        </w:r>
        <w:r w:rsidR="003126E0">
          <w:rPr>
            <w:webHidden/>
          </w:rPr>
          <w:t>24</w:t>
        </w:r>
        <w:r>
          <w:rPr>
            <w:webHidden/>
          </w:rPr>
          <w:fldChar w:fldCharType="end"/>
        </w:r>
      </w:hyperlink>
    </w:p>
    <w:p w14:paraId="045A7F75" w14:textId="4C81EF16" w:rsidR="00AF4E34" w:rsidRDefault="00AF4E34">
      <w:pPr>
        <w:pStyle w:val="TOC3"/>
        <w:rPr>
          <w:rFonts w:asciiTheme="minorHAnsi" w:eastAsiaTheme="minorEastAsia" w:hAnsiTheme="minorHAnsi" w:cstheme="minorBidi"/>
          <w:i w:val="0"/>
          <w:sz w:val="22"/>
          <w:szCs w:val="22"/>
        </w:rPr>
      </w:pPr>
      <w:hyperlink w:anchor="_Toc493489628" w:history="1">
        <w:r w:rsidRPr="007F23FA">
          <w:rPr>
            <w:rStyle w:val="Hyperlink"/>
          </w:rPr>
          <w:t>(b)</w:t>
        </w:r>
        <w:r>
          <w:rPr>
            <w:rFonts w:asciiTheme="minorHAnsi" w:eastAsiaTheme="minorEastAsia" w:hAnsiTheme="minorHAnsi" w:cstheme="minorBidi"/>
            <w:i w:val="0"/>
            <w:sz w:val="22"/>
            <w:szCs w:val="22"/>
          </w:rPr>
          <w:tab/>
        </w:r>
        <w:r w:rsidRPr="007F23FA">
          <w:rPr>
            <w:rStyle w:val="Hyperlink"/>
          </w:rPr>
          <w:t>Mandatory sentencing</w:t>
        </w:r>
        <w:r>
          <w:rPr>
            <w:webHidden/>
          </w:rPr>
          <w:tab/>
        </w:r>
        <w:r>
          <w:rPr>
            <w:webHidden/>
          </w:rPr>
          <w:fldChar w:fldCharType="begin"/>
        </w:r>
        <w:r>
          <w:rPr>
            <w:webHidden/>
          </w:rPr>
          <w:instrText xml:space="preserve"> PAGEREF _Toc493489628 \h </w:instrText>
        </w:r>
        <w:r>
          <w:rPr>
            <w:webHidden/>
          </w:rPr>
        </w:r>
        <w:r>
          <w:rPr>
            <w:webHidden/>
          </w:rPr>
          <w:fldChar w:fldCharType="separate"/>
        </w:r>
        <w:r w:rsidR="003126E0">
          <w:rPr>
            <w:webHidden/>
          </w:rPr>
          <w:t>25</w:t>
        </w:r>
        <w:r>
          <w:rPr>
            <w:webHidden/>
          </w:rPr>
          <w:fldChar w:fldCharType="end"/>
        </w:r>
      </w:hyperlink>
    </w:p>
    <w:p w14:paraId="1ED86DF8" w14:textId="2461E7AD" w:rsidR="00AF4E34" w:rsidRDefault="00AF4E34">
      <w:pPr>
        <w:pStyle w:val="TOC3"/>
        <w:rPr>
          <w:rFonts w:asciiTheme="minorHAnsi" w:eastAsiaTheme="minorEastAsia" w:hAnsiTheme="minorHAnsi" w:cstheme="minorBidi"/>
          <w:i w:val="0"/>
          <w:sz w:val="22"/>
          <w:szCs w:val="22"/>
        </w:rPr>
      </w:pPr>
      <w:hyperlink w:anchor="_Toc493489629" w:history="1">
        <w:r w:rsidRPr="007F23FA">
          <w:rPr>
            <w:rStyle w:val="Hyperlink"/>
          </w:rPr>
          <w:t>(c)</w:t>
        </w:r>
        <w:r>
          <w:rPr>
            <w:rFonts w:asciiTheme="minorHAnsi" w:eastAsiaTheme="minorEastAsia" w:hAnsiTheme="minorHAnsi" w:cstheme="minorBidi"/>
            <w:i w:val="0"/>
            <w:sz w:val="22"/>
            <w:szCs w:val="22"/>
          </w:rPr>
          <w:tab/>
        </w:r>
        <w:r w:rsidRPr="007F23FA">
          <w:rPr>
            <w:rStyle w:val="Hyperlink"/>
          </w:rPr>
          <w:t>Minimum age of criminal responsibility</w:t>
        </w:r>
        <w:r>
          <w:rPr>
            <w:webHidden/>
          </w:rPr>
          <w:tab/>
        </w:r>
        <w:r>
          <w:rPr>
            <w:webHidden/>
          </w:rPr>
          <w:fldChar w:fldCharType="begin"/>
        </w:r>
        <w:r>
          <w:rPr>
            <w:webHidden/>
          </w:rPr>
          <w:instrText xml:space="preserve"> PAGEREF _Toc493489629 \h </w:instrText>
        </w:r>
        <w:r>
          <w:rPr>
            <w:webHidden/>
          </w:rPr>
        </w:r>
        <w:r>
          <w:rPr>
            <w:webHidden/>
          </w:rPr>
          <w:fldChar w:fldCharType="separate"/>
        </w:r>
        <w:r w:rsidR="003126E0">
          <w:rPr>
            <w:webHidden/>
          </w:rPr>
          <w:t>25</w:t>
        </w:r>
        <w:r>
          <w:rPr>
            <w:webHidden/>
          </w:rPr>
          <w:fldChar w:fldCharType="end"/>
        </w:r>
      </w:hyperlink>
    </w:p>
    <w:p w14:paraId="6FFF7AFD" w14:textId="67EB628F" w:rsidR="00AF4E34" w:rsidRDefault="00AF4E34">
      <w:pPr>
        <w:pStyle w:val="TOC1"/>
        <w:rPr>
          <w:rFonts w:asciiTheme="minorHAnsi" w:eastAsiaTheme="minorEastAsia" w:hAnsiTheme="minorHAnsi" w:cstheme="minorBidi"/>
          <w:b w:val="0"/>
          <w:szCs w:val="22"/>
        </w:rPr>
      </w:pPr>
      <w:hyperlink w:anchor="_Toc493489630" w:history="1">
        <w:r w:rsidRPr="007F23FA">
          <w:rPr>
            <w:rStyle w:val="Hyperlink"/>
          </w:rPr>
          <w:t>12</w:t>
        </w:r>
        <w:r>
          <w:rPr>
            <w:rFonts w:asciiTheme="minorHAnsi" w:eastAsiaTheme="minorEastAsia" w:hAnsiTheme="minorHAnsi" w:cstheme="minorBidi"/>
            <w:b w:val="0"/>
            <w:szCs w:val="22"/>
          </w:rPr>
          <w:tab/>
        </w:r>
        <w:r w:rsidRPr="007F23FA">
          <w:rPr>
            <w:rStyle w:val="Hyperlink"/>
          </w:rPr>
          <w:t>Rights and freedoms</w:t>
        </w:r>
        <w:r>
          <w:rPr>
            <w:webHidden/>
          </w:rPr>
          <w:tab/>
        </w:r>
        <w:r>
          <w:rPr>
            <w:webHidden/>
          </w:rPr>
          <w:fldChar w:fldCharType="begin"/>
        </w:r>
        <w:r>
          <w:rPr>
            <w:webHidden/>
          </w:rPr>
          <w:instrText xml:space="preserve"> PAGEREF _Toc493489630 \h </w:instrText>
        </w:r>
        <w:r>
          <w:rPr>
            <w:webHidden/>
          </w:rPr>
        </w:r>
        <w:r>
          <w:rPr>
            <w:webHidden/>
          </w:rPr>
          <w:fldChar w:fldCharType="separate"/>
        </w:r>
        <w:r w:rsidR="003126E0">
          <w:rPr>
            <w:webHidden/>
          </w:rPr>
          <w:t>25</w:t>
        </w:r>
        <w:r>
          <w:rPr>
            <w:webHidden/>
          </w:rPr>
          <w:fldChar w:fldCharType="end"/>
        </w:r>
      </w:hyperlink>
    </w:p>
    <w:p w14:paraId="371E2915" w14:textId="0F381BAC" w:rsidR="00AF4E34" w:rsidRDefault="00AF4E34">
      <w:pPr>
        <w:pStyle w:val="TOC2"/>
        <w:rPr>
          <w:rFonts w:asciiTheme="minorHAnsi" w:eastAsiaTheme="minorEastAsia" w:hAnsiTheme="minorHAnsi" w:cstheme="minorBidi"/>
          <w:b w:val="0"/>
          <w:i w:val="0"/>
          <w:sz w:val="22"/>
          <w:szCs w:val="22"/>
        </w:rPr>
      </w:pPr>
      <w:hyperlink w:anchor="_Toc493489631" w:history="1">
        <w:r w:rsidRPr="007F23FA">
          <w:rPr>
            <w:rStyle w:val="Hyperlink"/>
            <w14:scene3d>
              <w14:camera w14:prst="orthographicFront"/>
              <w14:lightRig w14:rig="threePt" w14:dir="t">
                <w14:rot w14:lat="0" w14:lon="0" w14:rev="0"/>
              </w14:lightRig>
            </w14:scene3d>
          </w:rPr>
          <w:t>12.1</w:t>
        </w:r>
        <w:r>
          <w:rPr>
            <w:rFonts w:asciiTheme="minorHAnsi" w:eastAsiaTheme="minorEastAsia" w:hAnsiTheme="minorHAnsi" w:cstheme="minorBidi"/>
            <w:b w:val="0"/>
            <w:i w:val="0"/>
            <w:sz w:val="22"/>
            <w:szCs w:val="22"/>
          </w:rPr>
          <w:tab/>
        </w:r>
        <w:r w:rsidRPr="007F23FA">
          <w:rPr>
            <w:rStyle w:val="Hyperlink"/>
          </w:rPr>
          <w:t>Freedom of religion (ICCPR articles 18 &amp; 27; LOI 21)</w:t>
        </w:r>
        <w:r>
          <w:rPr>
            <w:webHidden/>
          </w:rPr>
          <w:tab/>
        </w:r>
        <w:r>
          <w:rPr>
            <w:webHidden/>
          </w:rPr>
          <w:fldChar w:fldCharType="begin"/>
        </w:r>
        <w:r>
          <w:rPr>
            <w:webHidden/>
          </w:rPr>
          <w:instrText xml:space="preserve"> PAGEREF _Toc493489631 \h </w:instrText>
        </w:r>
        <w:r>
          <w:rPr>
            <w:webHidden/>
          </w:rPr>
        </w:r>
        <w:r>
          <w:rPr>
            <w:webHidden/>
          </w:rPr>
          <w:fldChar w:fldCharType="separate"/>
        </w:r>
        <w:r w:rsidR="003126E0">
          <w:rPr>
            <w:webHidden/>
          </w:rPr>
          <w:t>25</w:t>
        </w:r>
        <w:r>
          <w:rPr>
            <w:webHidden/>
          </w:rPr>
          <w:fldChar w:fldCharType="end"/>
        </w:r>
      </w:hyperlink>
    </w:p>
    <w:p w14:paraId="1B1AD722" w14:textId="32FE0CF4" w:rsidR="00AF4E34" w:rsidRDefault="00AF4E34">
      <w:pPr>
        <w:pStyle w:val="TOC2"/>
        <w:rPr>
          <w:rFonts w:asciiTheme="minorHAnsi" w:eastAsiaTheme="minorEastAsia" w:hAnsiTheme="minorHAnsi" w:cstheme="minorBidi"/>
          <w:b w:val="0"/>
          <w:i w:val="0"/>
          <w:sz w:val="22"/>
          <w:szCs w:val="22"/>
        </w:rPr>
      </w:pPr>
      <w:hyperlink w:anchor="_Toc493489632" w:history="1">
        <w:r w:rsidRPr="007F23FA">
          <w:rPr>
            <w:rStyle w:val="Hyperlink"/>
            <w14:scene3d>
              <w14:camera w14:prst="orthographicFront"/>
              <w14:lightRig w14:rig="threePt" w14:dir="t">
                <w14:rot w14:lat="0" w14:lon="0" w14:rev="0"/>
              </w14:lightRig>
            </w14:scene3d>
          </w:rPr>
          <w:t>12.2</w:t>
        </w:r>
        <w:r>
          <w:rPr>
            <w:rFonts w:asciiTheme="minorHAnsi" w:eastAsiaTheme="minorEastAsia" w:hAnsiTheme="minorHAnsi" w:cstheme="minorBidi"/>
            <w:b w:val="0"/>
            <w:i w:val="0"/>
            <w:sz w:val="22"/>
            <w:szCs w:val="22"/>
          </w:rPr>
          <w:tab/>
        </w:r>
        <w:r w:rsidRPr="007F23FA">
          <w:rPr>
            <w:rStyle w:val="Hyperlink"/>
          </w:rPr>
          <w:t>Freedom of expression (ICCPR article 19)</w:t>
        </w:r>
        <w:r>
          <w:rPr>
            <w:webHidden/>
          </w:rPr>
          <w:tab/>
        </w:r>
        <w:r>
          <w:rPr>
            <w:webHidden/>
          </w:rPr>
          <w:fldChar w:fldCharType="begin"/>
        </w:r>
        <w:r>
          <w:rPr>
            <w:webHidden/>
          </w:rPr>
          <w:instrText xml:space="preserve"> PAGEREF _Toc493489632 \h </w:instrText>
        </w:r>
        <w:r>
          <w:rPr>
            <w:webHidden/>
          </w:rPr>
        </w:r>
        <w:r>
          <w:rPr>
            <w:webHidden/>
          </w:rPr>
          <w:fldChar w:fldCharType="separate"/>
        </w:r>
        <w:r w:rsidR="003126E0">
          <w:rPr>
            <w:webHidden/>
          </w:rPr>
          <w:t>26</w:t>
        </w:r>
        <w:r>
          <w:rPr>
            <w:webHidden/>
          </w:rPr>
          <w:fldChar w:fldCharType="end"/>
        </w:r>
      </w:hyperlink>
    </w:p>
    <w:p w14:paraId="6FBBF848" w14:textId="5BE34838" w:rsidR="00AF4E34" w:rsidRDefault="00AF4E34">
      <w:pPr>
        <w:pStyle w:val="TOC3"/>
        <w:rPr>
          <w:rFonts w:asciiTheme="minorHAnsi" w:eastAsiaTheme="minorEastAsia" w:hAnsiTheme="minorHAnsi" w:cstheme="minorBidi"/>
          <w:i w:val="0"/>
          <w:sz w:val="22"/>
          <w:szCs w:val="22"/>
        </w:rPr>
      </w:pPr>
      <w:hyperlink w:anchor="_Toc493489633" w:history="1">
        <w:r w:rsidRPr="007F23FA">
          <w:rPr>
            <w:rStyle w:val="Hyperlink"/>
          </w:rPr>
          <w:t>(a)</w:t>
        </w:r>
        <w:r>
          <w:rPr>
            <w:rFonts w:asciiTheme="minorHAnsi" w:eastAsiaTheme="minorEastAsia" w:hAnsiTheme="minorHAnsi" w:cstheme="minorBidi"/>
            <w:i w:val="0"/>
            <w:sz w:val="22"/>
            <w:szCs w:val="22"/>
          </w:rPr>
          <w:tab/>
        </w:r>
        <w:r w:rsidRPr="007F23FA">
          <w:rPr>
            <w:rStyle w:val="Hyperlink"/>
          </w:rPr>
          <w:t>Secrecy laws</w:t>
        </w:r>
        <w:r>
          <w:rPr>
            <w:webHidden/>
          </w:rPr>
          <w:tab/>
        </w:r>
        <w:r>
          <w:rPr>
            <w:webHidden/>
          </w:rPr>
          <w:fldChar w:fldCharType="begin"/>
        </w:r>
        <w:r>
          <w:rPr>
            <w:webHidden/>
          </w:rPr>
          <w:instrText xml:space="preserve"> PAGEREF _Toc493489633 \h </w:instrText>
        </w:r>
        <w:r>
          <w:rPr>
            <w:webHidden/>
          </w:rPr>
        </w:r>
        <w:r>
          <w:rPr>
            <w:webHidden/>
          </w:rPr>
          <w:fldChar w:fldCharType="separate"/>
        </w:r>
        <w:r w:rsidR="003126E0">
          <w:rPr>
            <w:webHidden/>
          </w:rPr>
          <w:t>26</w:t>
        </w:r>
        <w:r>
          <w:rPr>
            <w:webHidden/>
          </w:rPr>
          <w:fldChar w:fldCharType="end"/>
        </w:r>
      </w:hyperlink>
    </w:p>
    <w:p w14:paraId="1930E68F" w14:textId="45528B73" w:rsidR="00AF4E34" w:rsidRDefault="00AF4E34">
      <w:pPr>
        <w:pStyle w:val="TOC3"/>
        <w:rPr>
          <w:rFonts w:asciiTheme="minorHAnsi" w:eastAsiaTheme="minorEastAsia" w:hAnsiTheme="minorHAnsi" w:cstheme="minorBidi"/>
          <w:i w:val="0"/>
          <w:sz w:val="22"/>
          <w:szCs w:val="22"/>
        </w:rPr>
      </w:pPr>
      <w:hyperlink w:anchor="_Toc493489634" w:history="1">
        <w:r w:rsidRPr="007F23FA">
          <w:rPr>
            <w:rStyle w:val="Hyperlink"/>
          </w:rPr>
          <w:t>(b)</w:t>
        </w:r>
        <w:r>
          <w:rPr>
            <w:rFonts w:asciiTheme="minorHAnsi" w:eastAsiaTheme="minorEastAsia" w:hAnsiTheme="minorHAnsi" w:cstheme="minorBidi"/>
            <w:i w:val="0"/>
            <w:sz w:val="22"/>
            <w:szCs w:val="22"/>
          </w:rPr>
          <w:tab/>
        </w:r>
        <w:r w:rsidRPr="007F23FA">
          <w:rPr>
            <w:rStyle w:val="Hyperlink"/>
          </w:rPr>
          <w:t>Anti-protest laws</w:t>
        </w:r>
        <w:r>
          <w:rPr>
            <w:webHidden/>
          </w:rPr>
          <w:tab/>
        </w:r>
        <w:r>
          <w:rPr>
            <w:webHidden/>
          </w:rPr>
          <w:fldChar w:fldCharType="begin"/>
        </w:r>
        <w:r>
          <w:rPr>
            <w:webHidden/>
          </w:rPr>
          <w:instrText xml:space="preserve"> PAGEREF _Toc493489634 \h </w:instrText>
        </w:r>
        <w:r>
          <w:rPr>
            <w:webHidden/>
          </w:rPr>
        </w:r>
        <w:r>
          <w:rPr>
            <w:webHidden/>
          </w:rPr>
          <w:fldChar w:fldCharType="separate"/>
        </w:r>
        <w:r w:rsidR="003126E0">
          <w:rPr>
            <w:webHidden/>
          </w:rPr>
          <w:t>26</w:t>
        </w:r>
        <w:r>
          <w:rPr>
            <w:webHidden/>
          </w:rPr>
          <w:fldChar w:fldCharType="end"/>
        </w:r>
      </w:hyperlink>
    </w:p>
    <w:p w14:paraId="0409ADEE" w14:textId="7F92C396" w:rsidR="00AF4E34" w:rsidRDefault="00AF4E34">
      <w:pPr>
        <w:pStyle w:val="TOC3"/>
        <w:rPr>
          <w:rFonts w:asciiTheme="minorHAnsi" w:eastAsiaTheme="minorEastAsia" w:hAnsiTheme="minorHAnsi" w:cstheme="minorBidi"/>
          <w:i w:val="0"/>
          <w:sz w:val="22"/>
          <w:szCs w:val="22"/>
        </w:rPr>
      </w:pPr>
      <w:hyperlink w:anchor="_Toc493489635" w:history="1">
        <w:r w:rsidRPr="007F23FA">
          <w:rPr>
            <w:rStyle w:val="Hyperlink"/>
          </w:rPr>
          <w:t>(c)</w:t>
        </w:r>
        <w:r>
          <w:rPr>
            <w:rFonts w:asciiTheme="minorHAnsi" w:eastAsiaTheme="minorEastAsia" w:hAnsiTheme="minorHAnsi" w:cstheme="minorBidi"/>
            <w:i w:val="0"/>
            <w:sz w:val="22"/>
            <w:szCs w:val="22"/>
          </w:rPr>
          <w:tab/>
        </w:r>
        <w:r w:rsidRPr="007F23FA">
          <w:rPr>
            <w:rStyle w:val="Hyperlink"/>
          </w:rPr>
          <w:t>Freedom to advocate</w:t>
        </w:r>
        <w:r>
          <w:rPr>
            <w:webHidden/>
          </w:rPr>
          <w:tab/>
        </w:r>
        <w:r>
          <w:rPr>
            <w:webHidden/>
          </w:rPr>
          <w:fldChar w:fldCharType="begin"/>
        </w:r>
        <w:r>
          <w:rPr>
            <w:webHidden/>
          </w:rPr>
          <w:instrText xml:space="preserve"> PAGEREF _Toc493489635 \h </w:instrText>
        </w:r>
        <w:r>
          <w:rPr>
            <w:webHidden/>
          </w:rPr>
        </w:r>
        <w:r>
          <w:rPr>
            <w:webHidden/>
          </w:rPr>
          <w:fldChar w:fldCharType="separate"/>
        </w:r>
        <w:r w:rsidR="003126E0">
          <w:rPr>
            <w:webHidden/>
          </w:rPr>
          <w:t>27</w:t>
        </w:r>
        <w:r>
          <w:rPr>
            <w:webHidden/>
          </w:rPr>
          <w:fldChar w:fldCharType="end"/>
        </w:r>
      </w:hyperlink>
    </w:p>
    <w:p w14:paraId="02623CDC" w14:textId="390051F3" w:rsidR="00AF4E34" w:rsidRDefault="00AF4E34">
      <w:pPr>
        <w:pStyle w:val="TOC3"/>
        <w:rPr>
          <w:rFonts w:asciiTheme="minorHAnsi" w:eastAsiaTheme="minorEastAsia" w:hAnsiTheme="minorHAnsi" w:cstheme="minorBidi"/>
          <w:i w:val="0"/>
          <w:sz w:val="22"/>
          <w:szCs w:val="22"/>
        </w:rPr>
      </w:pPr>
      <w:hyperlink w:anchor="_Toc493489636" w:history="1">
        <w:r w:rsidRPr="007F23FA">
          <w:rPr>
            <w:rStyle w:val="Hyperlink"/>
          </w:rPr>
          <w:t>(d)</w:t>
        </w:r>
        <w:r>
          <w:rPr>
            <w:rFonts w:asciiTheme="minorHAnsi" w:eastAsiaTheme="minorEastAsia" w:hAnsiTheme="minorHAnsi" w:cstheme="minorBidi"/>
            <w:i w:val="0"/>
            <w:sz w:val="22"/>
            <w:szCs w:val="22"/>
          </w:rPr>
          <w:tab/>
        </w:r>
        <w:r w:rsidRPr="007F23FA">
          <w:rPr>
            <w:rStyle w:val="Hyperlink"/>
          </w:rPr>
          <w:t>Inquiries</w:t>
        </w:r>
        <w:r>
          <w:rPr>
            <w:webHidden/>
          </w:rPr>
          <w:tab/>
        </w:r>
        <w:r>
          <w:rPr>
            <w:webHidden/>
          </w:rPr>
          <w:fldChar w:fldCharType="begin"/>
        </w:r>
        <w:r>
          <w:rPr>
            <w:webHidden/>
          </w:rPr>
          <w:instrText xml:space="preserve"> PAGEREF _Toc493489636 \h </w:instrText>
        </w:r>
        <w:r>
          <w:rPr>
            <w:webHidden/>
          </w:rPr>
        </w:r>
        <w:r>
          <w:rPr>
            <w:webHidden/>
          </w:rPr>
          <w:fldChar w:fldCharType="separate"/>
        </w:r>
        <w:r w:rsidR="003126E0">
          <w:rPr>
            <w:webHidden/>
          </w:rPr>
          <w:t>27</w:t>
        </w:r>
        <w:r>
          <w:rPr>
            <w:webHidden/>
          </w:rPr>
          <w:fldChar w:fldCharType="end"/>
        </w:r>
      </w:hyperlink>
    </w:p>
    <w:p w14:paraId="0DC57CA5" w14:textId="3926F18B" w:rsidR="00AF4E34" w:rsidRDefault="00AF4E34">
      <w:pPr>
        <w:pStyle w:val="TOC1"/>
        <w:rPr>
          <w:rFonts w:asciiTheme="minorHAnsi" w:eastAsiaTheme="minorEastAsia" w:hAnsiTheme="minorHAnsi" w:cstheme="minorBidi"/>
          <w:b w:val="0"/>
          <w:szCs w:val="22"/>
        </w:rPr>
      </w:pPr>
      <w:hyperlink w:anchor="_Toc493489637" w:history="1">
        <w:r w:rsidRPr="007F23FA">
          <w:rPr>
            <w:rStyle w:val="Hyperlink"/>
          </w:rPr>
          <w:t>13</w:t>
        </w:r>
        <w:r>
          <w:rPr>
            <w:rFonts w:asciiTheme="minorHAnsi" w:eastAsiaTheme="minorEastAsia" w:hAnsiTheme="minorHAnsi" w:cstheme="minorBidi"/>
            <w:b w:val="0"/>
            <w:szCs w:val="22"/>
          </w:rPr>
          <w:tab/>
        </w:r>
        <w:r w:rsidRPr="007F23FA">
          <w:rPr>
            <w:rStyle w:val="Hyperlink"/>
          </w:rPr>
          <w:t>Racial discrimination (ICCPR articles 20 &amp; 26; LOI 21)</w:t>
        </w:r>
        <w:r>
          <w:rPr>
            <w:webHidden/>
          </w:rPr>
          <w:tab/>
        </w:r>
        <w:r>
          <w:rPr>
            <w:webHidden/>
          </w:rPr>
          <w:fldChar w:fldCharType="begin"/>
        </w:r>
        <w:r>
          <w:rPr>
            <w:webHidden/>
          </w:rPr>
          <w:instrText xml:space="preserve"> PAGEREF _Toc493489637 \h </w:instrText>
        </w:r>
        <w:r>
          <w:rPr>
            <w:webHidden/>
          </w:rPr>
        </w:r>
        <w:r>
          <w:rPr>
            <w:webHidden/>
          </w:rPr>
          <w:fldChar w:fldCharType="separate"/>
        </w:r>
        <w:r w:rsidR="003126E0">
          <w:rPr>
            <w:webHidden/>
          </w:rPr>
          <w:t>27</w:t>
        </w:r>
        <w:r>
          <w:rPr>
            <w:webHidden/>
          </w:rPr>
          <w:fldChar w:fldCharType="end"/>
        </w:r>
      </w:hyperlink>
    </w:p>
    <w:p w14:paraId="6C4B8CAC" w14:textId="64A7440B" w:rsidR="00AF4E34" w:rsidRDefault="00AF4E34">
      <w:pPr>
        <w:pStyle w:val="TOC1"/>
        <w:rPr>
          <w:rFonts w:asciiTheme="minorHAnsi" w:eastAsiaTheme="minorEastAsia" w:hAnsiTheme="minorHAnsi" w:cstheme="minorBidi"/>
          <w:b w:val="0"/>
          <w:szCs w:val="22"/>
        </w:rPr>
      </w:pPr>
      <w:hyperlink w:anchor="_Toc493489638" w:history="1">
        <w:r w:rsidRPr="007F23FA">
          <w:rPr>
            <w:rStyle w:val="Hyperlink"/>
          </w:rPr>
          <w:t>14</w:t>
        </w:r>
        <w:r>
          <w:rPr>
            <w:rFonts w:asciiTheme="minorHAnsi" w:eastAsiaTheme="minorEastAsia" w:hAnsiTheme="minorHAnsi" w:cstheme="minorBidi"/>
            <w:b w:val="0"/>
            <w:szCs w:val="22"/>
          </w:rPr>
          <w:tab/>
        </w:r>
        <w:r w:rsidRPr="007F23FA">
          <w:rPr>
            <w:rStyle w:val="Hyperlink"/>
          </w:rPr>
          <w:t>Counter-terrorism</w:t>
        </w:r>
        <w:r>
          <w:rPr>
            <w:webHidden/>
          </w:rPr>
          <w:tab/>
        </w:r>
        <w:r>
          <w:rPr>
            <w:webHidden/>
          </w:rPr>
          <w:fldChar w:fldCharType="begin"/>
        </w:r>
        <w:r>
          <w:rPr>
            <w:webHidden/>
          </w:rPr>
          <w:instrText xml:space="preserve"> PAGEREF _Toc493489638 \h </w:instrText>
        </w:r>
        <w:r>
          <w:rPr>
            <w:webHidden/>
          </w:rPr>
        </w:r>
        <w:r>
          <w:rPr>
            <w:webHidden/>
          </w:rPr>
          <w:fldChar w:fldCharType="separate"/>
        </w:r>
        <w:r w:rsidR="003126E0">
          <w:rPr>
            <w:webHidden/>
          </w:rPr>
          <w:t>28</w:t>
        </w:r>
        <w:r>
          <w:rPr>
            <w:webHidden/>
          </w:rPr>
          <w:fldChar w:fldCharType="end"/>
        </w:r>
      </w:hyperlink>
    </w:p>
    <w:p w14:paraId="2960A550" w14:textId="57604413" w:rsidR="00AF4E34" w:rsidRDefault="00AF4E34">
      <w:pPr>
        <w:pStyle w:val="TOC2"/>
        <w:rPr>
          <w:rFonts w:asciiTheme="minorHAnsi" w:eastAsiaTheme="minorEastAsia" w:hAnsiTheme="minorHAnsi" w:cstheme="minorBidi"/>
          <w:b w:val="0"/>
          <w:i w:val="0"/>
          <w:sz w:val="22"/>
          <w:szCs w:val="22"/>
        </w:rPr>
      </w:pPr>
      <w:hyperlink w:anchor="_Toc493489639" w:history="1">
        <w:r w:rsidRPr="007F23FA">
          <w:rPr>
            <w:rStyle w:val="Hyperlink"/>
            <w14:scene3d>
              <w14:camera w14:prst="orthographicFront"/>
              <w14:lightRig w14:rig="threePt" w14:dir="t">
                <w14:rot w14:lat="0" w14:lon="0" w14:rev="0"/>
              </w14:lightRig>
            </w14:scene3d>
          </w:rPr>
          <w:t>14.1</w:t>
        </w:r>
        <w:r>
          <w:rPr>
            <w:rFonts w:asciiTheme="minorHAnsi" w:eastAsiaTheme="minorEastAsia" w:hAnsiTheme="minorHAnsi" w:cstheme="minorBidi"/>
            <w:b w:val="0"/>
            <w:i w:val="0"/>
            <w:sz w:val="22"/>
            <w:szCs w:val="22"/>
          </w:rPr>
          <w:tab/>
        </w:r>
        <w:r w:rsidRPr="007F23FA">
          <w:rPr>
            <w:rStyle w:val="Hyperlink"/>
            <w:lang w:eastAsia="en-US"/>
          </w:rPr>
          <w:t xml:space="preserve">Independent National Security Legislation Monitor </w:t>
        </w:r>
        <w:r w:rsidRPr="007F23FA">
          <w:rPr>
            <w:rStyle w:val="Hyperlink"/>
          </w:rPr>
          <w:t>(ICCPR article 2; LOI 7)</w:t>
        </w:r>
        <w:r>
          <w:rPr>
            <w:webHidden/>
          </w:rPr>
          <w:tab/>
        </w:r>
        <w:r>
          <w:rPr>
            <w:webHidden/>
          </w:rPr>
          <w:fldChar w:fldCharType="begin"/>
        </w:r>
        <w:r>
          <w:rPr>
            <w:webHidden/>
          </w:rPr>
          <w:instrText xml:space="preserve"> PAGEREF _Toc493489639 \h </w:instrText>
        </w:r>
        <w:r>
          <w:rPr>
            <w:webHidden/>
          </w:rPr>
        </w:r>
        <w:r>
          <w:rPr>
            <w:webHidden/>
          </w:rPr>
          <w:fldChar w:fldCharType="separate"/>
        </w:r>
        <w:r w:rsidR="003126E0">
          <w:rPr>
            <w:webHidden/>
          </w:rPr>
          <w:t>28</w:t>
        </w:r>
        <w:r>
          <w:rPr>
            <w:webHidden/>
          </w:rPr>
          <w:fldChar w:fldCharType="end"/>
        </w:r>
      </w:hyperlink>
    </w:p>
    <w:p w14:paraId="7BB2A73B" w14:textId="313FA896" w:rsidR="00AF4E34" w:rsidRDefault="00AF4E34">
      <w:pPr>
        <w:pStyle w:val="TOC2"/>
        <w:rPr>
          <w:rFonts w:asciiTheme="minorHAnsi" w:eastAsiaTheme="minorEastAsia" w:hAnsiTheme="minorHAnsi" w:cstheme="minorBidi"/>
          <w:b w:val="0"/>
          <w:i w:val="0"/>
          <w:sz w:val="22"/>
          <w:szCs w:val="22"/>
        </w:rPr>
      </w:pPr>
      <w:hyperlink w:anchor="_Toc493489640" w:history="1">
        <w:r w:rsidRPr="007F23FA">
          <w:rPr>
            <w:rStyle w:val="Hyperlink"/>
            <w14:scene3d>
              <w14:camera w14:prst="orthographicFront"/>
              <w14:lightRig w14:rig="threePt" w14:dir="t">
                <w14:rot w14:lat="0" w14:lon="0" w14:rev="0"/>
              </w14:lightRig>
            </w14:scene3d>
          </w:rPr>
          <w:t>14.2</w:t>
        </w:r>
        <w:r>
          <w:rPr>
            <w:rFonts w:asciiTheme="minorHAnsi" w:eastAsiaTheme="minorEastAsia" w:hAnsiTheme="minorHAnsi" w:cstheme="minorBidi"/>
            <w:b w:val="0"/>
            <w:i w:val="0"/>
            <w:sz w:val="22"/>
            <w:szCs w:val="22"/>
          </w:rPr>
          <w:tab/>
        </w:r>
        <w:r w:rsidRPr="007F23FA">
          <w:rPr>
            <w:rStyle w:val="Hyperlink"/>
          </w:rPr>
          <w:t>Recent measures (ICCPR articles 7, 9, 12, 14, 17 &amp; 26; LOI 7)</w:t>
        </w:r>
        <w:r>
          <w:rPr>
            <w:webHidden/>
          </w:rPr>
          <w:tab/>
        </w:r>
        <w:r>
          <w:rPr>
            <w:webHidden/>
          </w:rPr>
          <w:fldChar w:fldCharType="begin"/>
        </w:r>
        <w:r>
          <w:rPr>
            <w:webHidden/>
          </w:rPr>
          <w:instrText xml:space="preserve"> PAGEREF _Toc493489640 \h </w:instrText>
        </w:r>
        <w:r>
          <w:rPr>
            <w:webHidden/>
          </w:rPr>
        </w:r>
        <w:r>
          <w:rPr>
            <w:webHidden/>
          </w:rPr>
          <w:fldChar w:fldCharType="separate"/>
        </w:r>
        <w:r w:rsidR="003126E0">
          <w:rPr>
            <w:webHidden/>
          </w:rPr>
          <w:t>29</w:t>
        </w:r>
        <w:r>
          <w:rPr>
            <w:webHidden/>
          </w:rPr>
          <w:fldChar w:fldCharType="end"/>
        </w:r>
      </w:hyperlink>
    </w:p>
    <w:p w14:paraId="0FC672FB" w14:textId="379238BE" w:rsidR="00AF4E34" w:rsidRDefault="00AF4E34">
      <w:pPr>
        <w:pStyle w:val="TOC3"/>
        <w:rPr>
          <w:rFonts w:asciiTheme="minorHAnsi" w:eastAsiaTheme="minorEastAsia" w:hAnsiTheme="minorHAnsi" w:cstheme="minorBidi"/>
          <w:i w:val="0"/>
          <w:sz w:val="22"/>
          <w:szCs w:val="22"/>
        </w:rPr>
      </w:pPr>
      <w:hyperlink w:anchor="_Toc493489641" w:history="1">
        <w:r w:rsidRPr="007F23FA">
          <w:rPr>
            <w:rStyle w:val="Hyperlink"/>
          </w:rPr>
          <w:t>(a)</w:t>
        </w:r>
        <w:r>
          <w:rPr>
            <w:rFonts w:asciiTheme="minorHAnsi" w:eastAsiaTheme="minorEastAsia" w:hAnsiTheme="minorHAnsi" w:cstheme="minorBidi"/>
            <w:i w:val="0"/>
            <w:sz w:val="22"/>
            <w:szCs w:val="22"/>
          </w:rPr>
          <w:tab/>
        </w:r>
        <w:r w:rsidRPr="007F23FA">
          <w:rPr>
            <w:rStyle w:val="Hyperlink"/>
          </w:rPr>
          <w:t>Control Orders and Preventative Detention Order regimes</w:t>
        </w:r>
        <w:r>
          <w:rPr>
            <w:webHidden/>
          </w:rPr>
          <w:tab/>
        </w:r>
        <w:r>
          <w:rPr>
            <w:webHidden/>
          </w:rPr>
          <w:fldChar w:fldCharType="begin"/>
        </w:r>
        <w:r>
          <w:rPr>
            <w:webHidden/>
          </w:rPr>
          <w:instrText xml:space="preserve"> PAGEREF _Toc493489641 \h </w:instrText>
        </w:r>
        <w:r>
          <w:rPr>
            <w:webHidden/>
          </w:rPr>
        </w:r>
        <w:r>
          <w:rPr>
            <w:webHidden/>
          </w:rPr>
          <w:fldChar w:fldCharType="separate"/>
        </w:r>
        <w:r w:rsidR="003126E0">
          <w:rPr>
            <w:webHidden/>
          </w:rPr>
          <w:t>29</w:t>
        </w:r>
        <w:r>
          <w:rPr>
            <w:webHidden/>
          </w:rPr>
          <w:fldChar w:fldCharType="end"/>
        </w:r>
      </w:hyperlink>
    </w:p>
    <w:p w14:paraId="4B35B411" w14:textId="758BD419" w:rsidR="00AF4E34" w:rsidRDefault="00AF4E34">
      <w:pPr>
        <w:pStyle w:val="TOC3"/>
        <w:rPr>
          <w:rFonts w:asciiTheme="minorHAnsi" w:eastAsiaTheme="minorEastAsia" w:hAnsiTheme="minorHAnsi" w:cstheme="minorBidi"/>
          <w:i w:val="0"/>
          <w:sz w:val="22"/>
          <w:szCs w:val="22"/>
        </w:rPr>
      </w:pPr>
      <w:hyperlink w:anchor="_Toc493489642" w:history="1">
        <w:r w:rsidRPr="007F23FA">
          <w:rPr>
            <w:rStyle w:val="Hyperlink"/>
          </w:rPr>
          <w:t>(b)</w:t>
        </w:r>
        <w:r>
          <w:rPr>
            <w:rFonts w:asciiTheme="minorHAnsi" w:eastAsiaTheme="minorEastAsia" w:hAnsiTheme="minorHAnsi" w:cstheme="minorBidi"/>
            <w:i w:val="0"/>
            <w:sz w:val="22"/>
            <w:szCs w:val="22"/>
          </w:rPr>
          <w:tab/>
        </w:r>
        <w:r w:rsidRPr="007F23FA">
          <w:rPr>
            <w:rStyle w:val="Hyperlink"/>
          </w:rPr>
          <w:t>Post-sentence detention</w:t>
        </w:r>
        <w:r>
          <w:rPr>
            <w:webHidden/>
          </w:rPr>
          <w:tab/>
        </w:r>
        <w:r>
          <w:rPr>
            <w:webHidden/>
          </w:rPr>
          <w:fldChar w:fldCharType="begin"/>
        </w:r>
        <w:r>
          <w:rPr>
            <w:webHidden/>
          </w:rPr>
          <w:instrText xml:space="preserve"> PAGEREF _Toc493489642 \h </w:instrText>
        </w:r>
        <w:r>
          <w:rPr>
            <w:webHidden/>
          </w:rPr>
        </w:r>
        <w:r>
          <w:rPr>
            <w:webHidden/>
          </w:rPr>
          <w:fldChar w:fldCharType="separate"/>
        </w:r>
        <w:r w:rsidR="003126E0">
          <w:rPr>
            <w:webHidden/>
          </w:rPr>
          <w:t>29</w:t>
        </w:r>
        <w:r>
          <w:rPr>
            <w:webHidden/>
          </w:rPr>
          <w:fldChar w:fldCharType="end"/>
        </w:r>
      </w:hyperlink>
    </w:p>
    <w:p w14:paraId="6649C272" w14:textId="1B1A4434" w:rsidR="00AF4E34" w:rsidRDefault="00AF4E34">
      <w:pPr>
        <w:pStyle w:val="TOC3"/>
        <w:rPr>
          <w:rFonts w:asciiTheme="minorHAnsi" w:eastAsiaTheme="minorEastAsia" w:hAnsiTheme="minorHAnsi" w:cstheme="minorBidi"/>
          <w:i w:val="0"/>
          <w:sz w:val="22"/>
          <w:szCs w:val="22"/>
        </w:rPr>
      </w:pPr>
      <w:hyperlink w:anchor="_Toc493489643" w:history="1">
        <w:r w:rsidRPr="007F23FA">
          <w:rPr>
            <w:rStyle w:val="Hyperlink"/>
          </w:rPr>
          <w:t>(c)</w:t>
        </w:r>
        <w:r>
          <w:rPr>
            <w:rFonts w:asciiTheme="minorHAnsi" w:eastAsiaTheme="minorEastAsia" w:hAnsiTheme="minorHAnsi" w:cstheme="minorBidi"/>
            <w:i w:val="0"/>
            <w:sz w:val="22"/>
            <w:szCs w:val="22"/>
          </w:rPr>
          <w:tab/>
        </w:r>
        <w:r w:rsidRPr="007F23FA">
          <w:rPr>
            <w:rStyle w:val="Hyperlink"/>
          </w:rPr>
          <w:t>’Stop, search and seize’ powers</w:t>
        </w:r>
        <w:r>
          <w:rPr>
            <w:webHidden/>
          </w:rPr>
          <w:tab/>
        </w:r>
        <w:r>
          <w:rPr>
            <w:webHidden/>
          </w:rPr>
          <w:fldChar w:fldCharType="begin"/>
        </w:r>
        <w:r>
          <w:rPr>
            <w:webHidden/>
          </w:rPr>
          <w:instrText xml:space="preserve"> PAGEREF _Toc493489643 \h </w:instrText>
        </w:r>
        <w:r>
          <w:rPr>
            <w:webHidden/>
          </w:rPr>
        </w:r>
        <w:r>
          <w:rPr>
            <w:webHidden/>
          </w:rPr>
          <w:fldChar w:fldCharType="separate"/>
        </w:r>
        <w:r w:rsidR="003126E0">
          <w:rPr>
            <w:webHidden/>
          </w:rPr>
          <w:t>29</w:t>
        </w:r>
        <w:r>
          <w:rPr>
            <w:webHidden/>
          </w:rPr>
          <w:fldChar w:fldCharType="end"/>
        </w:r>
      </w:hyperlink>
    </w:p>
    <w:p w14:paraId="36B57A30" w14:textId="68DF7A99" w:rsidR="00AF4E34" w:rsidRDefault="00AF4E34">
      <w:pPr>
        <w:pStyle w:val="TOC3"/>
        <w:rPr>
          <w:rFonts w:asciiTheme="minorHAnsi" w:eastAsiaTheme="minorEastAsia" w:hAnsiTheme="minorHAnsi" w:cstheme="minorBidi"/>
          <w:i w:val="0"/>
          <w:sz w:val="22"/>
          <w:szCs w:val="22"/>
        </w:rPr>
      </w:pPr>
      <w:hyperlink w:anchor="_Toc493489644" w:history="1">
        <w:r w:rsidRPr="007F23FA">
          <w:rPr>
            <w:rStyle w:val="Hyperlink"/>
          </w:rPr>
          <w:t>(d)</w:t>
        </w:r>
        <w:r>
          <w:rPr>
            <w:rFonts w:asciiTheme="minorHAnsi" w:eastAsiaTheme="minorEastAsia" w:hAnsiTheme="minorHAnsi" w:cstheme="minorBidi"/>
            <w:i w:val="0"/>
            <w:sz w:val="22"/>
            <w:szCs w:val="22"/>
          </w:rPr>
          <w:tab/>
        </w:r>
        <w:r w:rsidRPr="007F23FA">
          <w:rPr>
            <w:rStyle w:val="Hyperlink"/>
          </w:rPr>
          <w:t>‘Declared areas’ offences</w:t>
        </w:r>
        <w:r>
          <w:rPr>
            <w:webHidden/>
          </w:rPr>
          <w:tab/>
        </w:r>
        <w:r>
          <w:rPr>
            <w:webHidden/>
          </w:rPr>
          <w:fldChar w:fldCharType="begin"/>
        </w:r>
        <w:r>
          <w:rPr>
            <w:webHidden/>
          </w:rPr>
          <w:instrText xml:space="preserve"> PAGEREF _Toc493489644 \h </w:instrText>
        </w:r>
        <w:r>
          <w:rPr>
            <w:webHidden/>
          </w:rPr>
        </w:r>
        <w:r>
          <w:rPr>
            <w:webHidden/>
          </w:rPr>
          <w:fldChar w:fldCharType="separate"/>
        </w:r>
        <w:r w:rsidR="003126E0">
          <w:rPr>
            <w:webHidden/>
          </w:rPr>
          <w:t>29</w:t>
        </w:r>
        <w:r>
          <w:rPr>
            <w:webHidden/>
          </w:rPr>
          <w:fldChar w:fldCharType="end"/>
        </w:r>
      </w:hyperlink>
    </w:p>
    <w:p w14:paraId="6B1D570E" w14:textId="21DE6E05" w:rsidR="00AF4E34" w:rsidRDefault="00AF4E34">
      <w:pPr>
        <w:pStyle w:val="TOC3"/>
        <w:rPr>
          <w:rFonts w:asciiTheme="minorHAnsi" w:eastAsiaTheme="minorEastAsia" w:hAnsiTheme="minorHAnsi" w:cstheme="minorBidi"/>
          <w:i w:val="0"/>
          <w:sz w:val="22"/>
          <w:szCs w:val="22"/>
        </w:rPr>
      </w:pPr>
      <w:hyperlink w:anchor="_Toc493489645" w:history="1">
        <w:r w:rsidRPr="007F23FA">
          <w:rPr>
            <w:rStyle w:val="Hyperlink"/>
          </w:rPr>
          <w:t>(e)</w:t>
        </w:r>
        <w:r>
          <w:rPr>
            <w:rFonts w:asciiTheme="minorHAnsi" w:eastAsiaTheme="minorEastAsia" w:hAnsiTheme="minorHAnsi" w:cstheme="minorBidi"/>
            <w:i w:val="0"/>
            <w:sz w:val="22"/>
            <w:szCs w:val="22"/>
          </w:rPr>
          <w:tab/>
        </w:r>
        <w:r w:rsidRPr="007F23FA">
          <w:rPr>
            <w:rStyle w:val="Hyperlink"/>
          </w:rPr>
          <w:t>Revocation of citizenship</w:t>
        </w:r>
        <w:r>
          <w:rPr>
            <w:webHidden/>
          </w:rPr>
          <w:tab/>
        </w:r>
        <w:r>
          <w:rPr>
            <w:webHidden/>
          </w:rPr>
          <w:fldChar w:fldCharType="begin"/>
        </w:r>
        <w:r>
          <w:rPr>
            <w:webHidden/>
          </w:rPr>
          <w:instrText xml:space="preserve"> PAGEREF _Toc493489645 \h </w:instrText>
        </w:r>
        <w:r>
          <w:rPr>
            <w:webHidden/>
          </w:rPr>
        </w:r>
        <w:r>
          <w:rPr>
            <w:webHidden/>
          </w:rPr>
          <w:fldChar w:fldCharType="separate"/>
        </w:r>
        <w:r w:rsidR="003126E0">
          <w:rPr>
            <w:webHidden/>
          </w:rPr>
          <w:t>30</w:t>
        </w:r>
        <w:r>
          <w:rPr>
            <w:webHidden/>
          </w:rPr>
          <w:fldChar w:fldCharType="end"/>
        </w:r>
      </w:hyperlink>
    </w:p>
    <w:p w14:paraId="5FA1A932" w14:textId="51683714" w:rsidR="00AF4E34" w:rsidRDefault="00AF4E34">
      <w:pPr>
        <w:pStyle w:val="TOC3"/>
        <w:rPr>
          <w:rFonts w:asciiTheme="minorHAnsi" w:eastAsiaTheme="minorEastAsia" w:hAnsiTheme="minorHAnsi" w:cstheme="minorBidi"/>
          <w:i w:val="0"/>
          <w:sz w:val="22"/>
          <w:szCs w:val="22"/>
        </w:rPr>
      </w:pPr>
      <w:hyperlink w:anchor="_Toc493489646" w:history="1">
        <w:r w:rsidRPr="007F23FA">
          <w:rPr>
            <w:rStyle w:val="Hyperlink"/>
          </w:rPr>
          <w:t>(f)</w:t>
        </w:r>
        <w:r>
          <w:rPr>
            <w:rFonts w:asciiTheme="minorHAnsi" w:eastAsiaTheme="minorEastAsia" w:hAnsiTheme="minorHAnsi" w:cstheme="minorBidi"/>
            <w:i w:val="0"/>
            <w:sz w:val="22"/>
            <w:szCs w:val="22"/>
          </w:rPr>
          <w:tab/>
        </w:r>
        <w:r w:rsidRPr="007F23FA">
          <w:rPr>
            <w:rStyle w:val="Hyperlink"/>
          </w:rPr>
          <w:t>Other measures</w:t>
        </w:r>
        <w:r>
          <w:rPr>
            <w:webHidden/>
          </w:rPr>
          <w:tab/>
        </w:r>
        <w:r>
          <w:rPr>
            <w:webHidden/>
          </w:rPr>
          <w:fldChar w:fldCharType="begin"/>
        </w:r>
        <w:r>
          <w:rPr>
            <w:webHidden/>
          </w:rPr>
          <w:instrText xml:space="preserve"> PAGEREF _Toc493489646 \h </w:instrText>
        </w:r>
        <w:r>
          <w:rPr>
            <w:webHidden/>
          </w:rPr>
        </w:r>
        <w:r>
          <w:rPr>
            <w:webHidden/>
          </w:rPr>
          <w:fldChar w:fldCharType="separate"/>
        </w:r>
        <w:r w:rsidR="003126E0">
          <w:rPr>
            <w:webHidden/>
          </w:rPr>
          <w:t>30</w:t>
        </w:r>
        <w:r>
          <w:rPr>
            <w:webHidden/>
          </w:rPr>
          <w:fldChar w:fldCharType="end"/>
        </w:r>
      </w:hyperlink>
    </w:p>
    <w:p w14:paraId="57E4DFC5" w14:textId="2EAA9F27" w:rsidR="00AF4E34" w:rsidRDefault="00AF4E34">
      <w:pPr>
        <w:pStyle w:val="TOC1"/>
        <w:rPr>
          <w:rFonts w:asciiTheme="minorHAnsi" w:eastAsiaTheme="minorEastAsia" w:hAnsiTheme="minorHAnsi" w:cstheme="minorBidi"/>
          <w:b w:val="0"/>
          <w:szCs w:val="22"/>
        </w:rPr>
      </w:pPr>
      <w:hyperlink w:anchor="_Toc493489647" w:history="1">
        <w:r w:rsidRPr="007F23FA">
          <w:rPr>
            <w:rStyle w:val="Hyperlink"/>
          </w:rPr>
          <w:t>15</w:t>
        </w:r>
        <w:r>
          <w:rPr>
            <w:rFonts w:asciiTheme="minorHAnsi" w:eastAsiaTheme="minorEastAsia" w:hAnsiTheme="minorHAnsi" w:cstheme="minorBidi"/>
            <w:b w:val="0"/>
            <w:szCs w:val="22"/>
          </w:rPr>
          <w:tab/>
        </w:r>
        <w:r w:rsidRPr="007F23FA">
          <w:rPr>
            <w:rStyle w:val="Hyperlink"/>
          </w:rPr>
          <w:t>Human trafficking and slavery (ICCPR article 7 &amp; 8; LOI 16)</w:t>
        </w:r>
        <w:r>
          <w:rPr>
            <w:webHidden/>
          </w:rPr>
          <w:tab/>
        </w:r>
        <w:r>
          <w:rPr>
            <w:webHidden/>
          </w:rPr>
          <w:fldChar w:fldCharType="begin"/>
        </w:r>
        <w:r>
          <w:rPr>
            <w:webHidden/>
          </w:rPr>
          <w:instrText xml:space="preserve"> PAGEREF _Toc493489647 \h </w:instrText>
        </w:r>
        <w:r>
          <w:rPr>
            <w:webHidden/>
          </w:rPr>
        </w:r>
        <w:r>
          <w:rPr>
            <w:webHidden/>
          </w:rPr>
          <w:fldChar w:fldCharType="separate"/>
        </w:r>
        <w:r w:rsidR="003126E0">
          <w:rPr>
            <w:webHidden/>
          </w:rPr>
          <w:t>30</w:t>
        </w:r>
        <w:r>
          <w:rPr>
            <w:webHidden/>
          </w:rPr>
          <w:fldChar w:fldCharType="end"/>
        </w:r>
      </w:hyperlink>
    </w:p>
    <w:p w14:paraId="02696508" w14:textId="73EE1BC6" w:rsidR="00AF4E34" w:rsidRDefault="00AF4E34">
      <w:pPr>
        <w:pStyle w:val="TOC1"/>
        <w:rPr>
          <w:rFonts w:asciiTheme="minorHAnsi" w:eastAsiaTheme="minorEastAsia" w:hAnsiTheme="minorHAnsi" w:cstheme="minorBidi"/>
          <w:b w:val="0"/>
          <w:szCs w:val="22"/>
        </w:rPr>
      </w:pPr>
      <w:hyperlink w:anchor="_Toc493489648" w:history="1">
        <w:r w:rsidRPr="007F23FA">
          <w:rPr>
            <w:rStyle w:val="Hyperlink"/>
          </w:rPr>
          <w:t>16</w:t>
        </w:r>
        <w:r>
          <w:rPr>
            <w:rFonts w:asciiTheme="minorHAnsi" w:eastAsiaTheme="minorEastAsia" w:hAnsiTheme="minorHAnsi" w:cstheme="minorBidi"/>
            <w:b w:val="0"/>
            <w:szCs w:val="22"/>
          </w:rPr>
          <w:tab/>
        </w:r>
        <w:r w:rsidRPr="007F23FA">
          <w:rPr>
            <w:rStyle w:val="Hyperlink"/>
          </w:rPr>
          <w:t>Business and human rights</w:t>
        </w:r>
        <w:r>
          <w:rPr>
            <w:webHidden/>
          </w:rPr>
          <w:tab/>
        </w:r>
        <w:r>
          <w:rPr>
            <w:webHidden/>
          </w:rPr>
          <w:fldChar w:fldCharType="begin"/>
        </w:r>
        <w:r>
          <w:rPr>
            <w:webHidden/>
          </w:rPr>
          <w:instrText xml:space="preserve"> PAGEREF _Toc493489648 \h </w:instrText>
        </w:r>
        <w:r>
          <w:rPr>
            <w:webHidden/>
          </w:rPr>
        </w:r>
        <w:r>
          <w:rPr>
            <w:webHidden/>
          </w:rPr>
          <w:fldChar w:fldCharType="separate"/>
        </w:r>
        <w:r w:rsidR="003126E0">
          <w:rPr>
            <w:webHidden/>
          </w:rPr>
          <w:t>31</w:t>
        </w:r>
        <w:r>
          <w:rPr>
            <w:webHidden/>
          </w:rPr>
          <w:fldChar w:fldCharType="end"/>
        </w:r>
      </w:hyperlink>
    </w:p>
    <w:p w14:paraId="20559CEE" w14:textId="43DFDA64" w:rsidR="00AF4E34" w:rsidRDefault="00AF4E34">
      <w:pPr>
        <w:pStyle w:val="TOC2"/>
        <w:rPr>
          <w:rFonts w:asciiTheme="minorHAnsi" w:eastAsiaTheme="minorEastAsia" w:hAnsiTheme="minorHAnsi" w:cstheme="minorBidi"/>
          <w:b w:val="0"/>
          <w:i w:val="0"/>
          <w:sz w:val="22"/>
          <w:szCs w:val="22"/>
        </w:rPr>
      </w:pPr>
      <w:hyperlink w:anchor="_Toc493489649" w:history="1">
        <w:r w:rsidRPr="007F23FA">
          <w:rPr>
            <w:rStyle w:val="Hyperlink"/>
            <w14:scene3d>
              <w14:camera w14:prst="orthographicFront"/>
              <w14:lightRig w14:rig="threePt" w14:dir="t">
                <w14:rot w14:lat="0" w14:lon="0" w14:rev="0"/>
              </w14:lightRig>
            </w14:scene3d>
          </w:rPr>
          <w:t>16.1</w:t>
        </w:r>
        <w:r>
          <w:rPr>
            <w:rFonts w:asciiTheme="minorHAnsi" w:eastAsiaTheme="minorEastAsia" w:hAnsiTheme="minorHAnsi" w:cstheme="minorBidi"/>
            <w:b w:val="0"/>
            <w:i w:val="0"/>
            <w:sz w:val="22"/>
            <w:szCs w:val="22"/>
          </w:rPr>
          <w:tab/>
        </w:r>
        <w:r w:rsidRPr="007F23FA">
          <w:rPr>
            <w:rStyle w:val="Hyperlink"/>
          </w:rPr>
          <w:t>National Action Plan on Business and Human Rights (ICCPR article 2)</w:t>
        </w:r>
        <w:r>
          <w:rPr>
            <w:webHidden/>
          </w:rPr>
          <w:tab/>
        </w:r>
        <w:r>
          <w:rPr>
            <w:webHidden/>
          </w:rPr>
          <w:fldChar w:fldCharType="begin"/>
        </w:r>
        <w:r>
          <w:rPr>
            <w:webHidden/>
          </w:rPr>
          <w:instrText xml:space="preserve"> PAGEREF _Toc493489649 \h </w:instrText>
        </w:r>
        <w:r>
          <w:rPr>
            <w:webHidden/>
          </w:rPr>
        </w:r>
        <w:r>
          <w:rPr>
            <w:webHidden/>
          </w:rPr>
          <w:fldChar w:fldCharType="separate"/>
        </w:r>
        <w:r w:rsidR="003126E0">
          <w:rPr>
            <w:webHidden/>
          </w:rPr>
          <w:t>31</w:t>
        </w:r>
        <w:r>
          <w:rPr>
            <w:webHidden/>
          </w:rPr>
          <w:fldChar w:fldCharType="end"/>
        </w:r>
      </w:hyperlink>
    </w:p>
    <w:p w14:paraId="0F7212B5" w14:textId="4C0F7B20" w:rsidR="00AF4E34" w:rsidRDefault="00AF4E34">
      <w:pPr>
        <w:pStyle w:val="TOC2"/>
        <w:rPr>
          <w:rFonts w:asciiTheme="minorHAnsi" w:eastAsiaTheme="minorEastAsia" w:hAnsiTheme="minorHAnsi" w:cstheme="minorBidi"/>
          <w:b w:val="0"/>
          <w:i w:val="0"/>
          <w:sz w:val="22"/>
          <w:szCs w:val="22"/>
        </w:rPr>
      </w:pPr>
      <w:hyperlink w:anchor="_Toc493489650" w:history="1">
        <w:r w:rsidRPr="007F23FA">
          <w:rPr>
            <w:rStyle w:val="Hyperlink"/>
            <w14:scene3d>
              <w14:camera w14:prst="orthographicFront"/>
              <w14:lightRig w14:rig="threePt" w14:dir="t">
                <w14:rot w14:lat="0" w14:lon="0" w14:rev="0"/>
              </w14:lightRig>
            </w14:scene3d>
          </w:rPr>
          <w:t>16.2</w:t>
        </w:r>
        <w:r>
          <w:rPr>
            <w:rFonts w:asciiTheme="minorHAnsi" w:eastAsiaTheme="minorEastAsia" w:hAnsiTheme="minorHAnsi" w:cstheme="minorBidi"/>
            <w:b w:val="0"/>
            <w:i w:val="0"/>
            <w:sz w:val="22"/>
            <w:szCs w:val="22"/>
          </w:rPr>
          <w:tab/>
        </w:r>
        <w:r w:rsidRPr="007F23FA">
          <w:rPr>
            <w:rStyle w:val="Hyperlink"/>
          </w:rPr>
          <w:t>Modern slavery (ICCPR articles 2 &amp; 8; LOI 2, 4 &amp; 16)</w:t>
        </w:r>
        <w:r>
          <w:rPr>
            <w:webHidden/>
          </w:rPr>
          <w:tab/>
        </w:r>
        <w:r>
          <w:rPr>
            <w:webHidden/>
          </w:rPr>
          <w:fldChar w:fldCharType="begin"/>
        </w:r>
        <w:r>
          <w:rPr>
            <w:webHidden/>
          </w:rPr>
          <w:instrText xml:space="preserve"> PAGEREF _Toc493489650 \h </w:instrText>
        </w:r>
        <w:r>
          <w:rPr>
            <w:webHidden/>
          </w:rPr>
        </w:r>
        <w:r>
          <w:rPr>
            <w:webHidden/>
          </w:rPr>
          <w:fldChar w:fldCharType="separate"/>
        </w:r>
        <w:r w:rsidR="003126E0">
          <w:rPr>
            <w:webHidden/>
          </w:rPr>
          <w:t>32</w:t>
        </w:r>
        <w:r>
          <w:rPr>
            <w:webHidden/>
          </w:rPr>
          <w:fldChar w:fldCharType="end"/>
        </w:r>
      </w:hyperlink>
    </w:p>
    <w:p w14:paraId="264475BC" w14:textId="7D3805A7" w:rsidR="00AF4E34" w:rsidRDefault="00AF4E34">
      <w:pPr>
        <w:pStyle w:val="TOC3"/>
        <w:rPr>
          <w:rFonts w:asciiTheme="minorHAnsi" w:eastAsiaTheme="minorEastAsia" w:hAnsiTheme="minorHAnsi" w:cstheme="minorBidi"/>
          <w:i w:val="0"/>
          <w:sz w:val="22"/>
          <w:szCs w:val="22"/>
        </w:rPr>
      </w:pPr>
      <w:hyperlink w:anchor="_Toc493489651" w:history="1">
        <w:r w:rsidRPr="007F23FA">
          <w:rPr>
            <w:rStyle w:val="Hyperlink"/>
          </w:rPr>
          <w:t>(a)</w:t>
        </w:r>
        <w:r>
          <w:rPr>
            <w:rFonts w:asciiTheme="minorHAnsi" w:eastAsiaTheme="minorEastAsia" w:hAnsiTheme="minorHAnsi" w:cstheme="minorBidi"/>
            <w:i w:val="0"/>
            <w:sz w:val="22"/>
            <w:szCs w:val="22"/>
          </w:rPr>
          <w:tab/>
        </w:r>
        <w:r w:rsidRPr="007F23FA">
          <w:rPr>
            <w:rStyle w:val="Hyperlink"/>
          </w:rPr>
          <w:t>Modern Slavery Reporting Requirement</w:t>
        </w:r>
        <w:r>
          <w:rPr>
            <w:webHidden/>
          </w:rPr>
          <w:tab/>
        </w:r>
        <w:r>
          <w:rPr>
            <w:webHidden/>
          </w:rPr>
          <w:fldChar w:fldCharType="begin"/>
        </w:r>
        <w:r>
          <w:rPr>
            <w:webHidden/>
          </w:rPr>
          <w:instrText xml:space="preserve"> PAGEREF _Toc493489651 \h </w:instrText>
        </w:r>
        <w:r>
          <w:rPr>
            <w:webHidden/>
          </w:rPr>
        </w:r>
        <w:r>
          <w:rPr>
            <w:webHidden/>
          </w:rPr>
          <w:fldChar w:fldCharType="separate"/>
        </w:r>
        <w:r w:rsidR="003126E0">
          <w:rPr>
            <w:webHidden/>
          </w:rPr>
          <w:t>32</w:t>
        </w:r>
        <w:r>
          <w:rPr>
            <w:webHidden/>
          </w:rPr>
          <w:fldChar w:fldCharType="end"/>
        </w:r>
      </w:hyperlink>
    </w:p>
    <w:p w14:paraId="2B6567D1" w14:textId="04DA1466" w:rsidR="00AF4E34" w:rsidRDefault="00AF4E34">
      <w:pPr>
        <w:pStyle w:val="TOC3"/>
        <w:rPr>
          <w:rFonts w:asciiTheme="minorHAnsi" w:eastAsiaTheme="minorEastAsia" w:hAnsiTheme="minorHAnsi" w:cstheme="minorBidi"/>
          <w:i w:val="0"/>
          <w:sz w:val="22"/>
          <w:szCs w:val="22"/>
        </w:rPr>
      </w:pPr>
      <w:hyperlink w:anchor="_Toc493489652" w:history="1">
        <w:r w:rsidRPr="007F23FA">
          <w:rPr>
            <w:rStyle w:val="Hyperlink"/>
          </w:rPr>
          <w:t>(b)</w:t>
        </w:r>
        <w:r>
          <w:rPr>
            <w:rFonts w:asciiTheme="minorHAnsi" w:eastAsiaTheme="minorEastAsia" w:hAnsiTheme="minorHAnsi" w:cstheme="minorBidi"/>
            <w:i w:val="0"/>
            <w:sz w:val="22"/>
            <w:szCs w:val="22"/>
          </w:rPr>
          <w:tab/>
        </w:r>
        <w:r w:rsidRPr="007F23FA">
          <w:rPr>
            <w:rStyle w:val="Hyperlink"/>
          </w:rPr>
          <w:t>Modern Slavery Act</w:t>
        </w:r>
        <w:r>
          <w:rPr>
            <w:webHidden/>
          </w:rPr>
          <w:tab/>
        </w:r>
        <w:r>
          <w:rPr>
            <w:webHidden/>
          </w:rPr>
          <w:fldChar w:fldCharType="begin"/>
        </w:r>
        <w:r>
          <w:rPr>
            <w:webHidden/>
          </w:rPr>
          <w:instrText xml:space="preserve"> PAGEREF _Toc493489652 \h </w:instrText>
        </w:r>
        <w:r>
          <w:rPr>
            <w:webHidden/>
          </w:rPr>
        </w:r>
        <w:r>
          <w:rPr>
            <w:webHidden/>
          </w:rPr>
          <w:fldChar w:fldCharType="separate"/>
        </w:r>
        <w:r w:rsidR="003126E0">
          <w:rPr>
            <w:webHidden/>
          </w:rPr>
          <w:t>32</w:t>
        </w:r>
        <w:r>
          <w:rPr>
            <w:webHidden/>
          </w:rPr>
          <w:fldChar w:fldCharType="end"/>
        </w:r>
      </w:hyperlink>
    </w:p>
    <w:p w14:paraId="6C4C9171" w14:textId="59DC3A1E" w:rsidR="00AF4E34" w:rsidRDefault="00AF4E34">
      <w:pPr>
        <w:pStyle w:val="TOC2"/>
        <w:rPr>
          <w:rFonts w:asciiTheme="minorHAnsi" w:eastAsiaTheme="minorEastAsia" w:hAnsiTheme="minorHAnsi" w:cstheme="minorBidi"/>
          <w:b w:val="0"/>
          <w:i w:val="0"/>
          <w:sz w:val="22"/>
          <w:szCs w:val="22"/>
        </w:rPr>
      </w:pPr>
      <w:hyperlink w:anchor="_Toc493489653" w:history="1">
        <w:r w:rsidRPr="007F23FA">
          <w:rPr>
            <w:rStyle w:val="Hyperlink"/>
            <w14:scene3d>
              <w14:camera w14:prst="orthographicFront"/>
              <w14:lightRig w14:rig="threePt" w14:dir="t">
                <w14:rot w14:lat="0" w14:lon="0" w14:rev="0"/>
              </w14:lightRig>
            </w14:scene3d>
          </w:rPr>
          <w:t>16.3</w:t>
        </w:r>
        <w:r>
          <w:rPr>
            <w:rFonts w:asciiTheme="minorHAnsi" w:eastAsiaTheme="minorEastAsia" w:hAnsiTheme="minorHAnsi" w:cstheme="minorBidi"/>
            <w:b w:val="0"/>
            <w:i w:val="0"/>
            <w:sz w:val="22"/>
            <w:szCs w:val="22"/>
          </w:rPr>
          <w:tab/>
        </w:r>
        <w:r w:rsidRPr="007F23FA">
          <w:rPr>
            <w:rStyle w:val="Hyperlink"/>
          </w:rPr>
          <w:t>Procurement (ICCPR articles 2 &amp; 8; LOI 2, 4 &amp; 16)</w:t>
        </w:r>
        <w:r>
          <w:rPr>
            <w:webHidden/>
          </w:rPr>
          <w:tab/>
        </w:r>
        <w:r>
          <w:rPr>
            <w:webHidden/>
          </w:rPr>
          <w:fldChar w:fldCharType="begin"/>
        </w:r>
        <w:r>
          <w:rPr>
            <w:webHidden/>
          </w:rPr>
          <w:instrText xml:space="preserve"> PAGEREF _Toc493489653 \h </w:instrText>
        </w:r>
        <w:r>
          <w:rPr>
            <w:webHidden/>
          </w:rPr>
        </w:r>
        <w:r>
          <w:rPr>
            <w:webHidden/>
          </w:rPr>
          <w:fldChar w:fldCharType="separate"/>
        </w:r>
        <w:r w:rsidR="003126E0">
          <w:rPr>
            <w:webHidden/>
          </w:rPr>
          <w:t>32</w:t>
        </w:r>
        <w:r>
          <w:rPr>
            <w:webHidden/>
          </w:rPr>
          <w:fldChar w:fldCharType="end"/>
        </w:r>
      </w:hyperlink>
    </w:p>
    <w:p w14:paraId="5074980E" w14:textId="6FBA3563" w:rsidR="00AF4E34" w:rsidRDefault="00AF4E34">
      <w:pPr>
        <w:pStyle w:val="TOC1"/>
        <w:rPr>
          <w:rFonts w:asciiTheme="minorHAnsi" w:eastAsiaTheme="minorEastAsia" w:hAnsiTheme="minorHAnsi" w:cstheme="minorBidi"/>
          <w:b w:val="0"/>
          <w:szCs w:val="22"/>
        </w:rPr>
      </w:pPr>
      <w:hyperlink w:anchor="_Toc493489654" w:history="1">
        <w:r w:rsidRPr="007F23FA">
          <w:rPr>
            <w:rStyle w:val="Hyperlink"/>
          </w:rPr>
          <w:t>Attachment 1: Compilation of Recommendations</w:t>
        </w:r>
        <w:r>
          <w:rPr>
            <w:webHidden/>
          </w:rPr>
          <w:tab/>
        </w:r>
        <w:r>
          <w:rPr>
            <w:webHidden/>
          </w:rPr>
          <w:fldChar w:fldCharType="begin"/>
        </w:r>
        <w:r>
          <w:rPr>
            <w:webHidden/>
          </w:rPr>
          <w:instrText xml:space="preserve"> PAGEREF _Toc493489654 \h </w:instrText>
        </w:r>
        <w:r>
          <w:rPr>
            <w:webHidden/>
          </w:rPr>
        </w:r>
        <w:r>
          <w:rPr>
            <w:webHidden/>
          </w:rPr>
          <w:fldChar w:fldCharType="separate"/>
        </w:r>
        <w:r w:rsidR="003126E0">
          <w:rPr>
            <w:webHidden/>
          </w:rPr>
          <w:t>33</w:t>
        </w:r>
        <w:r>
          <w:rPr>
            <w:webHidden/>
          </w:rPr>
          <w:fldChar w:fldCharType="end"/>
        </w:r>
      </w:hyperlink>
    </w:p>
    <w:p w14:paraId="23FA429B" w14:textId="52CFE3CC" w:rsidR="00AF4E34" w:rsidRDefault="00AF4E34">
      <w:pPr>
        <w:pStyle w:val="TOC1"/>
        <w:rPr>
          <w:rFonts w:asciiTheme="minorHAnsi" w:eastAsiaTheme="minorEastAsia" w:hAnsiTheme="minorHAnsi" w:cstheme="minorBidi"/>
          <w:b w:val="0"/>
          <w:szCs w:val="22"/>
        </w:rPr>
      </w:pPr>
      <w:hyperlink w:anchor="_Toc493489655" w:history="1">
        <w:r w:rsidRPr="007F23FA">
          <w:rPr>
            <w:rStyle w:val="Hyperlink"/>
          </w:rPr>
          <w:t>Endnotes</w:t>
        </w:r>
        <w:r>
          <w:rPr>
            <w:webHidden/>
          </w:rPr>
          <w:tab/>
        </w:r>
        <w:r>
          <w:rPr>
            <w:webHidden/>
          </w:rPr>
          <w:fldChar w:fldCharType="begin"/>
        </w:r>
        <w:r>
          <w:rPr>
            <w:webHidden/>
          </w:rPr>
          <w:instrText xml:space="preserve"> PAGEREF _Toc493489655 \h </w:instrText>
        </w:r>
        <w:r>
          <w:rPr>
            <w:webHidden/>
          </w:rPr>
        </w:r>
        <w:r>
          <w:rPr>
            <w:webHidden/>
          </w:rPr>
          <w:fldChar w:fldCharType="separate"/>
        </w:r>
        <w:r w:rsidR="003126E0">
          <w:rPr>
            <w:webHidden/>
          </w:rPr>
          <w:t>40</w:t>
        </w:r>
        <w:r>
          <w:rPr>
            <w:webHidden/>
          </w:rPr>
          <w:fldChar w:fldCharType="end"/>
        </w:r>
      </w:hyperlink>
    </w:p>
    <w:p w14:paraId="76F56481" w14:textId="60E60183" w:rsidR="007C25B4" w:rsidRDefault="00B63D24" w:rsidP="0045639E">
      <w:r>
        <w:fldChar w:fldCharType="end"/>
      </w:r>
    </w:p>
    <w:p w14:paraId="3F1D8E64" w14:textId="77777777" w:rsidR="007C25B4" w:rsidRDefault="007C25B4">
      <w:pPr>
        <w:spacing w:before="0" w:after="0"/>
      </w:pPr>
      <w:r>
        <w:br w:type="page"/>
      </w:r>
      <w:bookmarkStart w:id="8" w:name="_GoBack"/>
      <w:bookmarkEnd w:id="8"/>
    </w:p>
    <w:p w14:paraId="6BEC70F6" w14:textId="77777777" w:rsidR="00B34946" w:rsidRPr="00EC4B73" w:rsidRDefault="00B34946" w:rsidP="00EC4B73">
      <w:pPr>
        <w:pStyle w:val="Heading1"/>
      </w:pPr>
      <w:bookmarkStart w:id="9" w:name="_Toc207761830"/>
      <w:bookmarkStart w:id="10" w:name="_Toc209578266"/>
      <w:bookmarkStart w:id="11" w:name="_Toc493489580"/>
      <w:r w:rsidRPr="00EC4B73">
        <w:lastRenderedPageBreak/>
        <w:t>Introduction</w:t>
      </w:r>
      <w:bookmarkEnd w:id="9"/>
      <w:bookmarkEnd w:id="10"/>
      <w:bookmarkEnd w:id="11"/>
      <w:r w:rsidRPr="00EC4B73">
        <w:t xml:space="preserve"> </w:t>
      </w:r>
    </w:p>
    <w:p w14:paraId="68B67704" w14:textId="77777777" w:rsidR="00EE4605" w:rsidRDefault="00950A08" w:rsidP="00EE4605">
      <w:pPr>
        <w:pStyle w:val="SubmissionNormal"/>
      </w:pPr>
      <w:r>
        <w:t>This submission is made by the Australian Human Rights Commission</w:t>
      </w:r>
      <w:r w:rsidRPr="001925D1">
        <w:t>. The Commission is an ‘A status’ national human rights institution established and operating in full compliance with the Paris Principles</w:t>
      </w:r>
      <w:bookmarkStart w:id="12" w:name="OLE_LINK1"/>
      <w:r w:rsidRPr="001925D1">
        <w:t>.</w:t>
      </w:r>
      <w:bookmarkEnd w:id="12"/>
      <w:r>
        <w:t xml:space="preserve"> </w:t>
      </w:r>
    </w:p>
    <w:p w14:paraId="3B00B2CA" w14:textId="77777777" w:rsidR="00950A08" w:rsidRDefault="00EE4605" w:rsidP="00EE4605">
      <w:pPr>
        <w:pStyle w:val="SubmissionNormal"/>
      </w:pPr>
      <w:r w:rsidRPr="008A0C37">
        <w:t xml:space="preserve">The </w:t>
      </w:r>
      <w:r>
        <w:t xml:space="preserve">Commission has a statutory power </w:t>
      </w:r>
      <w:r w:rsidRPr="00325C29">
        <w:t>to promote and protect human rights</w:t>
      </w:r>
      <w:r>
        <w:t xml:space="preserve"> under the </w:t>
      </w:r>
      <w:r w:rsidRPr="00953A98">
        <w:rPr>
          <w:i/>
        </w:rPr>
        <w:t>Australian Human Rights Commission Act 1986</w:t>
      </w:r>
      <w:r>
        <w:t xml:space="preserve"> (Cth) (AHRC Act)</w:t>
      </w:r>
      <w:r w:rsidRPr="00325C29">
        <w:t xml:space="preserve">. </w:t>
      </w:r>
      <w:r w:rsidR="00953A98">
        <w:t>The</w:t>
      </w:r>
      <w:r w:rsidR="004F4513">
        <w:t xml:space="preserve"> AHRC Act defines human rights</w:t>
      </w:r>
      <w:r>
        <w:t xml:space="preserve"> </w:t>
      </w:r>
      <w:r w:rsidR="00953A98">
        <w:t xml:space="preserve">as the international instruments scheduled to or declared under the AHRC Act, which includes the </w:t>
      </w:r>
      <w:r w:rsidR="00953A98">
        <w:rPr>
          <w:i/>
        </w:rPr>
        <w:t xml:space="preserve">International Covenant on Civil and Political Rights </w:t>
      </w:r>
      <w:r w:rsidR="00953A98">
        <w:t xml:space="preserve">(ICCPR). </w:t>
      </w:r>
      <w:r>
        <w:t>Further i</w:t>
      </w:r>
      <w:r w:rsidR="00950A08">
        <w:t xml:space="preserve">nformation about the Commission can be found </w:t>
      </w:r>
      <w:r w:rsidR="00D80539">
        <w:t>at</w:t>
      </w:r>
      <w:r w:rsidR="00950A08">
        <w:t xml:space="preserve"> </w:t>
      </w:r>
      <w:hyperlink r:id="rId14" w:history="1">
        <w:r w:rsidR="00950A08" w:rsidRPr="00FC5F95">
          <w:rPr>
            <w:rStyle w:val="Hyperlink"/>
          </w:rPr>
          <w:t>www.humanrights.gov.au</w:t>
        </w:r>
      </w:hyperlink>
      <w:r w:rsidR="00950A08">
        <w:t>.</w:t>
      </w:r>
    </w:p>
    <w:p w14:paraId="24D7BD29" w14:textId="77777777" w:rsidR="00B34946" w:rsidRDefault="009706AA" w:rsidP="009706AA">
      <w:pPr>
        <w:pStyle w:val="SubmissionNormal"/>
      </w:pPr>
      <w:r w:rsidRPr="009706AA">
        <w:t xml:space="preserve">The Commission thanks the </w:t>
      </w:r>
      <w:r w:rsidR="00EE4605">
        <w:t xml:space="preserve">United Nations </w:t>
      </w:r>
      <w:r w:rsidRPr="00EE4605">
        <w:t>Human Rights Committee</w:t>
      </w:r>
      <w:r>
        <w:t xml:space="preserve"> (</w:t>
      </w:r>
      <w:r w:rsidR="00EE4605">
        <w:t>the Committee</w:t>
      </w:r>
      <w:r>
        <w:t xml:space="preserve">) </w:t>
      </w:r>
      <w:r w:rsidRPr="009706AA">
        <w:t xml:space="preserve">for the opportunity to provide a written contribution prior to its consideration of Australia’s </w:t>
      </w:r>
      <w:r w:rsidR="00EE4605">
        <w:t>sixth</w:t>
      </w:r>
      <w:r>
        <w:t xml:space="preserve"> </w:t>
      </w:r>
      <w:r w:rsidRPr="009706AA">
        <w:t xml:space="preserve">periodic report under </w:t>
      </w:r>
      <w:r>
        <w:t xml:space="preserve">the </w:t>
      </w:r>
      <w:r w:rsidR="00953A98">
        <w:t>ICCPR</w:t>
      </w:r>
      <w:r w:rsidRPr="009706AA">
        <w:t xml:space="preserve">. </w:t>
      </w:r>
      <w:r w:rsidR="00953A98">
        <w:t>The Commission</w:t>
      </w:r>
      <w:r w:rsidRPr="009706AA">
        <w:t xml:space="preserve"> look</w:t>
      </w:r>
      <w:r w:rsidR="00953A98">
        <w:t>s</w:t>
      </w:r>
      <w:r w:rsidRPr="009706AA">
        <w:t xml:space="preserve"> forward to further engaging with the Committee</w:t>
      </w:r>
      <w:r w:rsidR="00B34946" w:rsidRPr="008A0C37">
        <w:t>.</w:t>
      </w:r>
    </w:p>
    <w:p w14:paraId="03809634" w14:textId="692E4F03" w:rsidR="00FC1673" w:rsidRPr="00881E51" w:rsidRDefault="00FC1673" w:rsidP="00FC1673">
      <w:pPr>
        <w:pStyle w:val="SubmissionNormal"/>
        <w:rPr>
          <w:b/>
        </w:rPr>
      </w:pPr>
      <w:r>
        <w:t xml:space="preserve">The Commission congratulates the </w:t>
      </w:r>
      <w:r w:rsidR="00F91F55">
        <w:t xml:space="preserve">Australian </w:t>
      </w:r>
      <w:r>
        <w:t>Government on</w:t>
      </w:r>
      <w:r w:rsidR="00C30152">
        <w:t xml:space="preserve"> </w:t>
      </w:r>
      <w:r w:rsidR="00D1115C">
        <w:t>the steps it has taken to improve Au</w:t>
      </w:r>
      <w:r w:rsidR="00C30152">
        <w:t xml:space="preserve">stralia’s human rights situation </w:t>
      </w:r>
      <w:r>
        <w:t xml:space="preserve">following the Committee’s concluding observations </w:t>
      </w:r>
      <w:r w:rsidR="00D1115C">
        <w:t xml:space="preserve">in respect of </w:t>
      </w:r>
      <w:r>
        <w:t xml:space="preserve">Australia’s </w:t>
      </w:r>
      <w:r w:rsidR="006E2EAC">
        <w:t xml:space="preserve">fifth </w:t>
      </w:r>
      <w:r>
        <w:t>periodic report. However, the</w:t>
      </w:r>
      <w:r w:rsidR="00C30152">
        <w:t xml:space="preserve"> </w:t>
      </w:r>
      <w:r w:rsidR="00DE1984">
        <w:t>primary purpose of this submission is to identify issues of human rights concern</w:t>
      </w:r>
      <w:r>
        <w:t>.</w:t>
      </w:r>
      <w:r w:rsidR="00C30152">
        <w:t xml:space="preserve"> </w:t>
      </w:r>
      <w:r>
        <w:t xml:space="preserve"> </w:t>
      </w:r>
    </w:p>
    <w:p w14:paraId="770F073A" w14:textId="77777777" w:rsidR="009706AA" w:rsidRDefault="00EE4605" w:rsidP="009706AA">
      <w:pPr>
        <w:pStyle w:val="SubmissionNormal"/>
      </w:pPr>
      <w:r>
        <w:t>This</w:t>
      </w:r>
      <w:r w:rsidR="009706AA">
        <w:t xml:space="preserve"> submission is based on work that has been undertaken by the Commission in accordance with </w:t>
      </w:r>
      <w:r w:rsidR="00953A98">
        <w:t>its</w:t>
      </w:r>
      <w:r w:rsidR="009706AA">
        <w:t xml:space="preserve"> mandate and functions</w:t>
      </w:r>
      <w:r w:rsidR="00DE1309">
        <w:t xml:space="preserve">, or otherwise </w:t>
      </w:r>
      <w:r w:rsidR="004F4513">
        <w:t xml:space="preserve">on </w:t>
      </w:r>
      <w:r w:rsidR="00DE1309">
        <w:t>publicly available information</w:t>
      </w:r>
      <w:r w:rsidR="009706AA">
        <w:t xml:space="preserve">. The </w:t>
      </w:r>
      <w:r w:rsidR="002365D9">
        <w:t xml:space="preserve">Commission has brought the issues raised in this submission to the </w:t>
      </w:r>
      <w:r w:rsidR="009706AA">
        <w:t xml:space="preserve">attention of the Australian </w:t>
      </w:r>
      <w:r w:rsidR="00DE1984">
        <w:t>G</w:t>
      </w:r>
      <w:r w:rsidR="009706AA">
        <w:t>overnment.</w:t>
      </w:r>
    </w:p>
    <w:p w14:paraId="16954112" w14:textId="77777777" w:rsidR="00FC7B22" w:rsidRPr="00927D8E" w:rsidRDefault="005935BA" w:rsidP="009706AA">
      <w:pPr>
        <w:pStyle w:val="SubmissionNormal"/>
      </w:pPr>
      <w:r w:rsidRPr="00927D8E">
        <w:t>This submission provides information concerning the civil and political rights of key population groups in Australia and other thematic issues engaging civil and political rights. In relation to each section, the Commission has referred to the relevant articles of the ICCPR engaged and (where appropriate) the relevant paragraph of the Committee’s list of issues prior to reporting dated 9 November 2012</w:t>
      </w:r>
      <w:r w:rsidR="00927D8E">
        <w:t>.</w:t>
      </w:r>
    </w:p>
    <w:p w14:paraId="76EE12E6" w14:textId="77777777" w:rsidR="009706AA" w:rsidRDefault="009706AA" w:rsidP="009706AA">
      <w:pPr>
        <w:pStyle w:val="SubmissionNormal"/>
      </w:pPr>
      <w:r>
        <w:t xml:space="preserve">The </w:t>
      </w:r>
      <w:r w:rsidR="00EE4605">
        <w:t xml:space="preserve">Commission’s </w:t>
      </w:r>
      <w:r>
        <w:t xml:space="preserve">proposed recommendations are contained in the body of </w:t>
      </w:r>
      <w:r w:rsidR="00EE4605">
        <w:t>this</w:t>
      </w:r>
      <w:r>
        <w:t xml:space="preserve"> submission and </w:t>
      </w:r>
      <w:r w:rsidR="00EE4605">
        <w:t xml:space="preserve">also </w:t>
      </w:r>
      <w:r>
        <w:t xml:space="preserve">compiled in </w:t>
      </w:r>
      <w:r w:rsidR="00514832">
        <w:rPr>
          <w:b/>
        </w:rPr>
        <w:t>Attachment</w:t>
      </w:r>
      <w:r>
        <w:rPr>
          <w:b/>
        </w:rPr>
        <w:t xml:space="preserve"> 1</w:t>
      </w:r>
      <w:r>
        <w:t>.</w:t>
      </w:r>
    </w:p>
    <w:p w14:paraId="2657E6B6" w14:textId="77777777" w:rsidR="00E13B44" w:rsidRDefault="00E13B44" w:rsidP="00E13B44">
      <w:pPr>
        <w:pStyle w:val="Heading1"/>
      </w:pPr>
      <w:bookmarkStart w:id="13" w:name="_Toc493489581"/>
      <w:r>
        <w:t>Priority areas</w:t>
      </w:r>
      <w:bookmarkEnd w:id="13"/>
    </w:p>
    <w:p w14:paraId="02B29569" w14:textId="610E2EEE" w:rsidR="00E13B44" w:rsidRPr="000C722E" w:rsidRDefault="00A6443D" w:rsidP="00E13B44">
      <w:pPr>
        <w:pStyle w:val="SubmissionNormal"/>
        <w:rPr>
          <w:rFonts w:eastAsia="MS Mincho"/>
        </w:rPr>
      </w:pPr>
      <w:r>
        <w:t xml:space="preserve">The Commission considers all of the information and recommendations provided in this submission to be of importance to Australia’s compliance with the ICCPR. However, the Commission </w:t>
      </w:r>
      <w:r w:rsidR="004501D4">
        <w:t xml:space="preserve">wishes to draw the Committee’s attention to </w:t>
      </w:r>
      <w:r w:rsidR="00E13B44">
        <w:t xml:space="preserve">five priority areas </w:t>
      </w:r>
      <w:r>
        <w:t>of particular importance</w:t>
      </w:r>
      <w:r w:rsidR="00E13B44">
        <w:t>:</w:t>
      </w:r>
    </w:p>
    <w:p w14:paraId="181A8EFA" w14:textId="1AD7297E" w:rsidR="00E13B44" w:rsidRPr="006E617B" w:rsidRDefault="00E13B44" w:rsidP="00E90792">
      <w:pPr>
        <w:pStyle w:val="ListParagraph"/>
        <w:numPr>
          <w:ilvl w:val="0"/>
          <w:numId w:val="64"/>
        </w:numPr>
        <w:rPr>
          <w:rFonts w:eastAsia="MS Mincho"/>
        </w:rPr>
      </w:pPr>
      <w:r>
        <w:t>The Australian Government’s ratification of</w:t>
      </w:r>
      <w:r w:rsidR="00ED2CD6">
        <w:t xml:space="preserve"> the </w:t>
      </w:r>
      <w:r w:rsidR="00A6443D" w:rsidRPr="00D40206">
        <w:rPr>
          <w:i/>
        </w:rPr>
        <w:t>Optional Protocol to the Convention Against Torture and other Cruel, Inhuman or Degrading Treatment or Punishment</w:t>
      </w:r>
      <w:r w:rsidR="00A6443D">
        <w:t xml:space="preserve"> (OPCAT) </w:t>
      </w:r>
      <w:r>
        <w:t xml:space="preserve">by December 2017 and progressive implementation immediately thereafter, as </w:t>
      </w:r>
      <w:r w:rsidR="00700F66">
        <w:t>discussed</w:t>
      </w:r>
      <w:r>
        <w:t xml:space="preserve"> in </w:t>
      </w:r>
      <w:hyperlink w:anchor="_Prevention_of_torture" w:history="1">
        <w:r w:rsidRPr="00A6443D">
          <w:rPr>
            <w:rStyle w:val="Hyperlink"/>
          </w:rPr>
          <w:t xml:space="preserve">section </w:t>
        </w:r>
        <w:r w:rsidR="00A6443D" w:rsidRPr="00A6443D">
          <w:rPr>
            <w:rStyle w:val="Hyperlink"/>
          </w:rPr>
          <w:t>4</w:t>
        </w:r>
      </w:hyperlink>
      <w:r>
        <w:t>.</w:t>
      </w:r>
    </w:p>
    <w:p w14:paraId="4DEBB848" w14:textId="77777777" w:rsidR="006E617B" w:rsidRPr="000C722E" w:rsidRDefault="006E617B" w:rsidP="006E617B">
      <w:pPr>
        <w:pStyle w:val="ListParagraph"/>
        <w:ind w:left="1440"/>
        <w:rPr>
          <w:rFonts w:eastAsia="MS Mincho"/>
        </w:rPr>
      </w:pPr>
    </w:p>
    <w:p w14:paraId="67097A1F" w14:textId="4B5F8F01" w:rsidR="00E13B44" w:rsidRDefault="00E13B44" w:rsidP="00E90792">
      <w:pPr>
        <w:pStyle w:val="ListParagraph"/>
        <w:numPr>
          <w:ilvl w:val="0"/>
          <w:numId w:val="64"/>
        </w:numPr>
        <w:rPr>
          <w:rFonts w:eastAsia="MS Mincho"/>
        </w:rPr>
      </w:pPr>
      <w:r>
        <w:rPr>
          <w:rFonts w:eastAsia="MS Mincho"/>
        </w:rPr>
        <w:lastRenderedPageBreak/>
        <w:t xml:space="preserve">The </w:t>
      </w:r>
      <w:r w:rsidRPr="000C722E">
        <w:rPr>
          <w:rFonts w:eastAsia="MS Mincho"/>
        </w:rPr>
        <w:t xml:space="preserve">Australian </w:t>
      </w:r>
      <w:r>
        <w:rPr>
          <w:rFonts w:eastAsia="MS Mincho"/>
        </w:rPr>
        <w:t>Government’s</w:t>
      </w:r>
      <w:r w:rsidRPr="000C722E">
        <w:rPr>
          <w:rFonts w:eastAsia="MS Mincho"/>
        </w:rPr>
        <w:t xml:space="preserve"> commit</w:t>
      </w:r>
      <w:r>
        <w:rPr>
          <w:rFonts w:eastAsia="MS Mincho"/>
        </w:rPr>
        <w:t>ment</w:t>
      </w:r>
      <w:r w:rsidRPr="000C722E">
        <w:rPr>
          <w:rFonts w:eastAsia="MS Mincho"/>
        </w:rPr>
        <w:t xml:space="preserve"> to</w:t>
      </w:r>
      <w:r>
        <w:rPr>
          <w:rFonts w:eastAsia="MS Mincho"/>
        </w:rPr>
        <w:t xml:space="preserve"> adopt</w:t>
      </w:r>
      <w:r w:rsidRPr="000C722E">
        <w:rPr>
          <w:rFonts w:eastAsia="MS Mincho"/>
        </w:rPr>
        <w:t xml:space="preserve"> national justice targets to reduce the rates of imprisonment of Aboriginal and Torres Strait Islander adults and juveniles, and </w:t>
      </w:r>
      <w:r>
        <w:rPr>
          <w:rFonts w:eastAsia="MS Mincho"/>
        </w:rPr>
        <w:t xml:space="preserve">to </w:t>
      </w:r>
      <w:r w:rsidRPr="000C722E">
        <w:rPr>
          <w:rFonts w:eastAsia="MS Mincho"/>
        </w:rPr>
        <w:t>resource a national strategy to achieve this</w:t>
      </w:r>
      <w:r>
        <w:rPr>
          <w:rFonts w:eastAsia="MS Mincho"/>
        </w:rPr>
        <w:t xml:space="preserve">, as </w:t>
      </w:r>
      <w:r w:rsidR="00700F66">
        <w:rPr>
          <w:rFonts w:eastAsia="MS Mincho"/>
        </w:rPr>
        <w:t>discussed</w:t>
      </w:r>
      <w:r>
        <w:rPr>
          <w:rFonts w:eastAsia="MS Mincho"/>
        </w:rPr>
        <w:t xml:space="preserve"> in </w:t>
      </w:r>
      <w:hyperlink w:anchor="_Justice_system_(ICCPR" w:history="1">
        <w:r w:rsidRPr="00007BE6">
          <w:rPr>
            <w:rStyle w:val="Hyperlink"/>
            <w:rFonts w:eastAsia="MS Mincho"/>
          </w:rPr>
          <w:t xml:space="preserve">section </w:t>
        </w:r>
        <w:r w:rsidR="00007BE6" w:rsidRPr="00007BE6">
          <w:rPr>
            <w:rStyle w:val="Hyperlink"/>
            <w:rFonts w:eastAsia="MS Mincho"/>
          </w:rPr>
          <w:t>5.2</w:t>
        </w:r>
      </w:hyperlink>
      <w:r>
        <w:rPr>
          <w:rFonts w:eastAsia="MS Mincho"/>
        </w:rPr>
        <w:t>.</w:t>
      </w:r>
    </w:p>
    <w:p w14:paraId="719EDA8A" w14:textId="77777777" w:rsidR="006E617B" w:rsidRDefault="006E617B" w:rsidP="006E617B">
      <w:pPr>
        <w:pStyle w:val="ListParagraph"/>
        <w:ind w:left="1440"/>
        <w:rPr>
          <w:rFonts w:eastAsia="MS Mincho"/>
        </w:rPr>
      </w:pPr>
    </w:p>
    <w:p w14:paraId="7632D3D2" w14:textId="48FD5CD6" w:rsidR="00E13B44" w:rsidRDefault="00E13B44" w:rsidP="00E90792">
      <w:pPr>
        <w:pStyle w:val="ListParagraph"/>
        <w:numPr>
          <w:ilvl w:val="0"/>
          <w:numId w:val="64"/>
        </w:numPr>
        <w:rPr>
          <w:rFonts w:eastAsia="MS Mincho"/>
        </w:rPr>
      </w:pPr>
      <w:r>
        <w:rPr>
          <w:rFonts w:eastAsia="MS Mincho"/>
        </w:rPr>
        <w:t xml:space="preserve">The Australian Government’s </w:t>
      </w:r>
      <w:r w:rsidR="003F187F">
        <w:rPr>
          <w:rFonts w:eastAsia="MS Mincho"/>
        </w:rPr>
        <w:t xml:space="preserve">immigration policy (especially as it relates to </w:t>
      </w:r>
      <w:r>
        <w:rPr>
          <w:rFonts w:eastAsia="MS Mincho"/>
        </w:rPr>
        <w:t>refugees and asylum seekers</w:t>
      </w:r>
      <w:r w:rsidR="003F187F">
        <w:rPr>
          <w:rFonts w:eastAsia="MS Mincho"/>
        </w:rPr>
        <w:t>)</w:t>
      </w:r>
      <w:r>
        <w:rPr>
          <w:rFonts w:eastAsia="MS Mincho"/>
        </w:rPr>
        <w:t xml:space="preserve">, as </w:t>
      </w:r>
      <w:r w:rsidR="00700F66">
        <w:rPr>
          <w:rFonts w:eastAsia="MS Mincho"/>
        </w:rPr>
        <w:t>discussed</w:t>
      </w:r>
      <w:r>
        <w:rPr>
          <w:rFonts w:eastAsia="MS Mincho"/>
        </w:rPr>
        <w:t xml:space="preserve"> in </w:t>
      </w:r>
      <w:hyperlink w:anchor="_Refugees_and_asylum" w:history="1">
        <w:r w:rsidRPr="00007BE6">
          <w:rPr>
            <w:rStyle w:val="Hyperlink"/>
            <w:rFonts w:eastAsia="MS Mincho"/>
          </w:rPr>
          <w:t>section</w:t>
        </w:r>
        <w:r w:rsidR="00007BE6" w:rsidRPr="00007BE6">
          <w:rPr>
            <w:rStyle w:val="Hyperlink"/>
            <w:rFonts w:eastAsia="MS Mincho"/>
          </w:rPr>
          <w:t xml:space="preserve"> 10.1</w:t>
        </w:r>
      </w:hyperlink>
      <w:r>
        <w:rPr>
          <w:rFonts w:eastAsia="MS Mincho"/>
        </w:rPr>
        <w:t xml:space="preserve">. </w:t>
      </w:r>
    </w:p>
    <w:p w14:paraId="16F50A84" w14:textId="77777777" w:rsidR="006E617B" w:rsidRPr="006E617B" w:rsidRDefault="006E617B" w:rsidP="006E617B">
      <w:pPr>
        <w:pStyle w:val="ListParagraph"/>
        <w:rPr>
          <w:rFonts w:eastAsia="MS Mincho"/>
        </w:rPr>
      </w:pPr>
    </w:p>
    <w:p w14:paraId="51A11ABB" w14:textId="311FE2D7" w:rsidR="00E13B44" w:rsidRDefault="00700F66" w:rsidP="00E90792">
      <w:pPr>
        <w:pStyle w:val="ListParagraph"/>
        <w:numPr>
          <w:ilvl w:val="0"/>
          <w:numId w:val="64"/>
        </w:numPr>
        <w:rPr>
          <w:rFonts w:eastAsia="MS Mincho"/>
        </w:rPr>
      </w:pPr>
      <w:r>
        <w:t>A</w:t>
      </w:r>
      <w:r w:rsidRPr="00700F66">
        <w:t xml:space="preserve">ll Australian governments’ compliance with, and implementation of, the recommendations of the Royal Commission into Institutional </w:t>
      </w:r>
      <w:r w:rsidR="00A5575F">
        <w:t>Responses to Child Sexual Abuse</w:t>
      </w:r>
      <w:r w:rsidR="00E13B44" w:rsidRPr="00700F66">
        <w:t>,</w:t>
      </w:r>
      <w:r w:rsidR="00E13B44">
        <w:t xml:space="preserve"> </w:t>
      </w:r>
      <w:r w:rsidR="00E13B44">
        <w:rPr>
          <w:rFonts w:eastAsia="MS Mincho"/>
        </w:rPr>
        <w:t xml:space="preserve">as </w:t>
      </w:r>
      <w:r>
        <w:rPr>
          <w:rFonts w:eastAsia="MS Mincho"/>
        </w:rPr>
        <w:t>discussed</w:t>
      </w:r>
      <w:r w:rsidR="00E13B44">
        <w:rPr>
          <w:rFonts w:eastAsia="MS Mincho"/>
        </w:rPr>
        <w:t xml:space="preserve"> in </w:t>
      </w:r>
      <w:hyperlink w:anchor="_Violence_against_children" w:history="1">
        <w:r w:rsidR="00E13B44" w:rsidRPr="00700F66">
          <w:rPr>
            <w:rStyle w:val="Hyperlink"/>
            <w:rFonts w:eastAsia="MS Mincho"/>
          </w:rPr>
          <w:t xml:space="preserve">section </w:t>
        </w:r>
        <w:r w:rsidRPr="00700F66">
          <w:rPr>
            <w:rStyle w:val="Hyperlink"/>
            <w:rFonts w:eastAsia="MS Mincho"/>
          </w:rPr>
          <w:t>11.2</w:t>
        </w:r>
      </w:hyperlink>
      <w:r w:rsidR="00E13B44">
        <w:rPr>
          <w:rFonts w:eastAsia="MS Mincho"/>
        </w:rPr>
        <w:t>.</w:t>
      </w:r>
    </w:p>
    <w:p w14:paraId="2C8B5B4A" w14:textId="77777777" w:rsidR="006E617B" w:rsidRPr="006E617B" w:rsidRDefault="006E617B" w:rsidP="006E617B">
      <w:pPr>
        <w:pStyle w:val="ListParagraph"/>
        <w:rPr>
          <w:rFonts w:eastAsia="MS Mincho"/>
        </w:rPr>
      </w:pPr>
    </w:p>
    <w:p w14:paraId="7939FA2D" w14:textId="57E09442" w:rsidR="00E13B44" w:rsidRDefault="00D77D6F" w:rsidP="00E90792">
      <w:pPr>
        <w:pStyle w:val="ListParagraph"/>
        <w:numPr>
          <w:ilvl w:val="0"/>
          <w:numId w:val="64"/>
        </w:numPr>
        <w:rPr>
          <w:rFonts w:eastAsia="MS Mincho"/>
        </w:rPr>
      </w:pPr>
      <w:r>
        <w:rPr>
          <w:rFonts w:eastAsia="Calibri"/>
          <w:lang w:val="en-NZ" w:eastAsia="en-US"/>
        </w:rPr>
        <w:t xml:space="preserve">The Australian Government’s review of counter-terrorism laws to </w:t>
      </w:r>
      <w:r w:rsidR="00E13B44" w:rsidRPr="006E617B">
        <w:rPr>
          <w:rFonts w:eastAsia="Calibri"/>
          <w:lang w:val="en-NZ" w:eastAsia="en-US"/>
        </w:rPr>
        <w:t xml:space="preserve">ensure </w:t>
      </w:r>
      <w:r w:rsidR="00A5575F">
        <w:rPr>
          <w:rFonts w:eastAsia="Calibri"/>
          <w:lang w:val="en-NZ" w:eastAsia="en-US"/>
        </w:rPr>
        <w:t>any limitation on human rights</w:t>
      </w:r>
      <w:r w:rsidR="00E13B44" w:rsidRPr="006E617B">
        <w:rPr>
          <w:rFonts w:eastAsia="Calibri"/>
          <w:lang w:val="en-NZ" w:eastAsia="en-US"/>
        </w:rPr>
        <w:t xml:space="preserve"> is </w:t>
      </w:r>
      <w:r w:rsidR="00E13B44" w:rsidRPr="006E617B">
        <w:rPr>
          <w:rFonts w:eastAsia="Calibri"/>
          <w:lang w:eastAsia="en-US"/>
        </w:rPr>
        <w:t xml:space="preserve">clearly expressed, necessary for the pursuit of a </w:t>
      </w:r>
      <w:r w:rsidR="00E13B44" w:rsidRPr="006E617B">
        <w:rPr>
          <w:rFonts w:eastAsia="Calibri"/>
          <w:lang w:val="en-NZ" w:eastAsia="en-US"/>
        </w:rPr>
        <w:t xml:space="preserve">legitimate purpose, reasonable and proportionate, as </w:t>
      </w:r>
      <w:r>
        <w:rPr>
          <w:rFonts w:eastAsia="MS Mincho"/>
        </w:rPr>
        <w:t>discussed</w:t>
      </w:r>
      <w:r w:rsidR="00E13B44">
        <w:rPr>
          <w:rFonts w:eastAsia="MS Mincho"/>
        </w:rPr>
        <w:t xml:space="preserve"> in </w:t>
      </w:r>
      <w:hyperlink w:anchor="_Counter-terrorism" w:history="1">
        <w:r w:rsidR="00E13B44" w:rsidRPr="00D77D6F">
          <w:rPr>
            <w:rStyle w:val="Hyperlink"/>
            <w:rFonts w:eastAsia="MS Mincho"/>
          </w:rPr>
          <w:t xml:space="preserve">section </w:t>
        </w:r>
        <w:r w:rsidRPr="00D77D6F">
          <w:rPr>
            <w:rStyle w:val="Hyperlink"/>
            <w:rFonts w:eastAsia="MS Mincho"/>
          </w:rPr>
          <w:t>14</w:t>
        </w:r>
      </w:hyperlink>
      <w:r w:rsidR="00E13B44">
        <w:rPr>
          <w:rFonts w:eastAsia="MS Mincho"/>
        </w:rPr>
        <w:t>.</w:t>
      </w:r>
    </w:p>
    <w:p w14:paraId="403F7773" w14:textId="5DA4912D" w:rsidR="00A6443D" w:rsidRPr="00A6443D" w:rsidRDefault="00D95BC4" w:rsidP="00A6443D">
      <w:pPr>
        <w:pStyle w:val="SubmissionNormal"/>
        <w:rPr>
          <w:rFonts w:eastAsia="MS Mincho"/>
        </w:rPr>
      </w:pPr>
      <w:r>
        <w:t>T</w:t>
      </w:r>
      <w:r w:rsidR="00A6443D">
        <w:t xml:space="preserve">he Committee </w:t>
      </w:r>
      <w:r w:rsidR="00A6443D" w:rsidRPr="000C722E">
        <w:t xml:space="preserve">should request an update from the Australian Government on </w:t>
      </w:r>
      <w:r w:rsidR="00A6443D">
        <w:t xml:space="preserve">its </w:t>
      </w:r>
      <w:r w:rsidR="00A6443D" w:rsidRPr="000C722E">
        <w:t>progress in</w:t>
      </w:r>
      <w:r w:rsidR="00A6443D">
        <w:t xml:space="preserve"> relation to these five priority areas i</w:t>
      </w:r>
      <w:r w:rsidR="00A6443D" w:rsidRPr="000C722E">
        <w:t>n 12 months time</w:t>
      </w:r>
      <w:r>
        <w:t xml:space="preserve"> under rule 72 of the Rules of procedure</w:t>
      </w:r>
      <w:r w:rsidR="00A6443D" w:rsidRPr="000C722E">
        <w:t>.</w:t>
      </w:r>
      <w:r>
        <w:rPr>
          <w:rStyle w:val="EndnoteReference"/>
        </w:rPr>
        <w:endnoteReference w:id="1"/>
      </w:r>
    </w:p>
    <w:p w14:paraId="5DD64E38" w14:textId="77777777" w:rsidR="00B34946" w:rsidRPr="00EC4B73" w:rsidRDefault="009706AA" w:rsidP="00EC4B73">
      <w:pPr>
        <w:pStyle w:val="Heading1"/>
      </w:pPr>
      <w:bookmarkStart w:id="14" w:name="_Toc162769290"/>
      <w:bookmarkStart w:id="15" w:name="_Toc207761831"/>
      <w:bookmarkStart w:id="16" w:name="_Toc209578267"/>
      <w:bookmarkStart w:id="17" w:name="_Toc493489582"/>
      <w:r w:rsidRPr="00EC4B73">
        <w:t xml:space="preserve">General </w:t>
      </w:r>
      <w:r w:rsidR="00EE4605">
        <w:t>i</w:t>
      </w:r>
      <w:r w:rsidRPr="00EC4B73">
        <w:t>nformation</w:t>
      </w:r>
      <w:bookmarkEnd w:id="17"/>
      <w:r w:rsidRPr="00EC4B73">
        <w:t xml:space="preserve"> </w:t>
      </w:r>
      <w:bookmarkEnd w:id="14"/>
      <w:bookmarkEnd w:id="15"/>
      <w:bookmarkEnd w:id="16"/>
    </w:p>
    <w:p w14:paraId="01839336" w14:textId="77777777" w:rsidR="009706AA" w:rsidRPr="00AE2193" w:rsidRDefault="000C4B5E" w:rsidP="00EC4B73">
      <w:pPr>
        <w:pStyle w:val="Heading2"/>
      </w:pPr>
      <w:bookmarkStart w:id="18" w:name="_Toc493489583"/>
      <w:r w:rsidRPr="00AE2193">
        <w:t>Scrutiny of human rights and the Parliamentary Joint Committee on Human Rights (</w:t>
      </w:r>
      <w:r w:rsidR="00F2581D" w:rsidRPr="00AE2193">
        <w:t xml:space="preserve">ICCPR </w:t>
      </w:r>
      <w:r w:rsidR="007B076B">
        <w:t>a</w:t>
      </w:r>
      <w:r w:rsidR="00F2581D" w:rsidRPr="00AE2193">
        <w:t xml:space="preserve">rticle 2; </w:t>
      </w:r>
      <w:r w:rsidRPr="00AE2193">
        <w:t>LOI 2</w:t>
      </w:r>
      <w:r w:rsidR="00F2581D" w:rsidRPr="00AE2193">
        <w:t xml:space="preserve"> &amp; 4</w:t>
      </w:r>
      <w:r w:rsidRPr="00AE2193">
        <w:t>)</w:t>
      </w:r>
      <w:bookmarkEnd w:id="18"/>
    </w:p>
    <w:p w14:paraId="2FB3426E" w14:textId="77777777" w:rsidR="00C033BE" w:rsidRDefault="00C033BE" w:rsidP="00C033BE">
      <w:pPr>
        <w:pStyle w:val="SubmissionNormal"/>
      </w:pPr>
      <w:r>
        <w:t xml:space="preserve">The Commission commends the Government for establishing the </w:t>
      </w:r>
      <w:r w:rsidR="004C6049" w:rsidRPr="00242765">
        <w:t>Parliamentary Joint Committee on Human Right</w:t>
      </w:r>
      <w:r w:rsidR="004C6049">
        <w:t>s</w:t>
      </w:r>
      <w:r w:rsidR="004C6049" w:rsidRPr="00242765">
        <w:t xml:space="preserve"> (PJCHR)</w:t>
      </w:r>
      <w:r>
        <w:t>.</w:t>
      </w:r>
    </w:p>
    <w:p w14:paraId="469E8BAF" w14:textId="77777777" w:rsidR="007765B6" w:rsidRPr="00242765" w:rsidRDefault="00C033BE" w:rsidP="007765B6">
      <w:pPr>
        <w:pStyle w:val="SubmissionNormal"/>
      </w:pPr>
      <w:r>
        <w:t>The PJCHR</w:t>
      </w:r>
      <w:r w:rsidR="004C6049" w:rsidRPr="00242765">
        <w:t xml:space="preserve"> analyses bills</w:t>
      </w:r>
      <w:r w:rsidR="004C6049" w:rsidRPr="00C033BE">
        <w:t xml:space="preserve"> </w:t>
      </w:r>
      <w:r w:rsidRPr="00C033BE">
        <w:t>and legislative instruments</w:t>
      </w:r>
      <w:r>
        <w:t xml:space="preserve"> </w:t>
      </w:r>
      <w:r w:rsidR="00EE4605">
        <w:t>introduced into</w:t>
      </w:r>
      <w:r w:rsidR="004C6049">
        <w:t xml:space="preserve"> the f</w:t>
      </w:r>
      <w:r w:rsidR="004C6049" w:rsidRPr="00242765">
        <w:t>ederal Parliament for compliance with human rights.</w:t>
      </w:r>
      <w:r w:rsidR="004C6049">
        <w:t xml:space="preserve"> </w:t>
      </w:r>
      <w:r w:rsidR="006C5D34">
        <w:t>Some</w:t>
      </w:r>
      <w:r w:rsidR="00964211">
        <w:t xml:space="preserve"> other parliamentary committees also scrutinise legislation</w:t>
      </w:r>
      <w:r w:rsidR="006C5D34">
        <w:t xml:space="preserve"> taking into account compliance with human rights</w:t>
      </w:r>
      <w:r w:rsidR="00964211">
        <w:t>.</w:t>
      </w:r>
      <w:r w:rsidR="00964211">
        <w:rPr>
          <w:rStyle w:val="EndnoteReference"/>
        </w:rPr>
        <w:endnoteReference w:id="2"/>
      </w:r>
      <w:r w:rsidR="004C6049" w:rsidRPr="00242765">
        <w:t xml:space="preserve"> </w:t>
      </w:r>
      <w:r w:rsidR="007765B6" w:rsidRPr="00380CFD">
        <w:t xml:space="preserve">Since August 2012, the PJCHR has produced </w:t>
      </w:r>
      <w:r w:rsidR="007765B6" w:rsidRPr="00340568">
        <w:t xml:space="preserve">over </w:t>
      </w:r>
      <w:r w:rsidR="007765B6" w:rsidRPr="00D575F8">
        <w:t>65</w:t>
      </w:r>
      <w:r w:rsidR="007765B6" w:rsidRPr="00340568">
        <w:t xml:space="preserve"> reports</w:t>
      </w:r>
      <w:r w:rsidR="007765B6" w:rsidRPr="00380CFD">
        <w:t xml:space="preserve"> to Parliament assessing </w:t>
      </w:r>
      <w:r w:rsidR="007765B6" w:rsidRPr="00340568">
        <w:t xml:space="preserve">over </w:t>
      </w:r>
      <w:r w:rsidR="007765B6" w:rsidRPr="00D575F8">
        <w:t>960</w:t>
      </w:r>
      <w:r w:rsidR="007765B6" w:rsidRPr="00340568">
        <w:t xml:space="preserve"> bills</w:t>
      </w:r>
      <w:r w:rsidR="007765B6" w:rsidRPr="00380CFD">
        <w:t>.</w:t>
      </w:r>
      <w:r w:rsidR="007765B6" w:rsidRPr="00380CFD">
        <w:rPr>
          <w:vertAlign w:val="superscript"/>
        </w:rPr>
        <w:endnoteReference w:id="3"/>
      </w:r>
      <w:r w:rsidR="007765B6" w:rsidRPr="00380CFD">
        <w:t xml:space="preserve"> </w:t>
      </w:r>
    </w:p>
    <w:p w14:paraId="5560D162" w14:textId="517EBC66" w:rsidR="00714E2B" w:rsidRDefault="00F2581D" w:rsidP="00F2581D">
      <w:pPr>
        <w:pStyle w:val="SubmissionNormal"/>
      </w:pPr>
      <w:r>
        <w:t xml:space="preserve">The </w:t>
      </w:r>
      <w:r w:rsidRPr="00F2581D">
        <w:rPr>
          <w:i/>
        </w:rPr>
        <w:t>Human Rights (Parliamentary Scrutiny) Act 2011</w:t>
      </w:r>
      <w:r>
        <w:t xml:space="preserve"> (Cth)</w:t>
      </w:r>
      <w:r w:rsidR="00714E2B">
        <w:t xml:space="preserve"> requires each </w:t>
      </w:r>
      <w:r w:rsidR="00D1115C" w:rsidRPr="00D1115C">
        <w:t>bill</w:t>
      </w:r>
      <w:r w:rsidR="003551D8">
        <w:t>, regulation and ordinance</w:t>
      </w:r>
      <w:r w:rsidR="00714E2B">
        <w:t xml:space="preserve"> introduced into </w:t>
      </w:r>
      <w:r w:rsidR="00DE1984">
        <w:t>P</w:t>
      </w:r>
      <w:r w:rsidR="00714E2B">
        <w:t xml:space="preserve">arliament to be accompanied by a statement </w:t>
      </w:r>
      <w:r w:rsidR="008E78A4">
        <w:t>of</w:t>
      </w:r>
      <w:r w:rsidR="004501D4">
        <w:t xml:space="preserve"> </w:t>
      </w:r>
      <w:r w:rsidR="00714E2B">
        <w:t xml:space="preserve">compatibility with human </w:t>
      </w:r>
      <w:r w:rsidR="003241A3">
        <w:t xml:space="preserve">rights, defined as the seven </w:t>
      </w:r>
      <w:r w:rsidR="00714E2B">
        <w:t>core international human rights instruments to which Australia is a party.</w:t>
      </w:r>
      <w:r>
        <w:rPr>
          <w:rStyle w:val="EndnoteReference"/>
        </w:rPr>
        <w:endnoteReference w:id="4"/>
      </w:r>
      <w:r w:rsidR="00714E2B">
        <w:t xml:space="preserve"> </w:t>
      </w:r>
    </w:p>
    <w:p w14:paraId="7DF7C0E9" w14:textId="77777777" w:rsidR="004C6049" w:rsidRDefault="004C6049" w:rsidP="00EE609D">
      <w:pPr>
        <w:pStyle w:val="SubmissionNormal"/>
      </w:pPr>
      <w:r>
        <w:t xml:space="preserve">The Commission </w:t>
      </w:r>
      <w:r w:rsidR="00EE4605">
        <w:t>is</w:t>
      </w:r>
      <w:r>
        <w:t xml:space="preserve"> concerned that </w:t>
      </w:r>
      <w:r w:rsidR="00AC6006">
        <w:t xml:space="preserve">legislators </w:t>
      </w:r>
      <w:r w:rsidR="00E60972">
        <w:t xml:space="preserve">do not always have an opportunity </w:t>
      </w:r>
      <w:r w:rsidR="00AC6006">
        <w:t xml:space="preserve">to consider </w:t>
      </w:r>
      <w:r w:rsidR="002C301D">
        <w:t xml:space="preserve">the </w:t>
      </w:r>
      <w:r w:rsidR="00AC6006">
        <w:t xml:space="preserve">PJCHR’s </w:t>
      </w:r>
      <w:r w:rsidR="00C30152">
        <w:t>views</w:t>
      </w:r>
      <w:r w:rsidR="002C301D">
        <w:t xml:space="preserve"> during the legislative process</w:t>
      </w:r>
      <w:r w:rsidR="00051DBC">
        <w:t xml:space="preserve"> </w:t>
      </w:r>
      <w:r w:rsidR="003551D8">
        <w:t>with</w:t>
      </w:r>
      <w:r w:rsidR="00051DBC">
        <w:t xml:space="preserve"> bills sometimes passed into law before the PJCHR has released its conclusions</w:t>
      </w:r>
      <w:r w:rsidR="002C301D">
        <w:t>.</w:t>
      </w:r>
      <w:r w:rsidR="002C301D">
        <w:rPr>
          <w:rStyle w:val="EndnoteReference"/>
        </w:rPr>
        <w:endnoteReference w:id="5"/>
      </w:r>
      <w:r>
        <w:t xml:space="preserve"> </w:t>
      </w:r>
    </w:p>
    <w:p w14:paraId="24B0962B" w14:textId="77777777" w:rsidR="00703922" w:rsidRDefault="00714E2B" w:rsidP="00BF193B">
      <w:pPr>
        <w:pStyle w:val="SubmissionNormal"/>
      </w:pPr>
      <w:r>
        <w:t xml:space="preserve">The Commission is concerned that there </w:t>
      </w:r>
      <w:r w:rsidR="00E60972">
        <w:t xml:space="preserve">is </w:t>
      </w:r>
      <w:r>
        <w:t>varying qualit</w:t>
      </w:r>
      <w:r w:rsidR="00E60972">
        <w:t>y</w:t>
      </w:r>
      <w:r>
        <w:t xml:space="preserve"> </w:t>
      </w:r>
      <w:r w:rsidR="00E60972">
        <w:t xml:space="preserve">in </w:t>
      </w:r>
      <w:r w:rsidR="00F766D3">
        <w:t xml:space="preserve">the </w:t>
      </w:r>
      <w:r w:rsidR="00E60972">
        <w:t xml:space="preserve">drafting </w:t>
      </w:r>
      <w:r>
        <w:t>of statements of compatibilit</w:t>
      </w:r>
      <w:r w:rsidR="00E83107">
        <w:t>y</w:t>
      </w:r>
      <w:r w:rsidR="00334A7A">
        <w:t xml:space="preserve"> within and acros</w:t>
      </w:r>
      <w:r w:rsidR="00C30152">
        <w:t>s G</w:t>
      </w:r>
      <w:r w:rsidR="00703922">
        <w:t>overnment departments.</w:t>
      </w:r>
      <w:r w:rsidR="00051DBC" w:rsidRPr="00051DBC">
        <w:rPr>
          <w:rStyle w:val="EndnoteReference"/>
        </w:rPr>
        <w:t xml:space="preserve"> </w:t>
      </w:r>
      <w:r w:rsidR="00051DBC">
        <w:rPr>
          <w:rStyle w:val="EndnoteReference"/>
        </w:rPr>
        <w:endnoteReference w:id="6"/>
      </w:r>
      <w:r w:rsidR="00BF193B">
        <w:t xml:space="preserve"> </w:t>
      </w:r>
      <w:r w:rsidR="00664E79">
        <w:t>S</w:t>
      </w:r>
      <w:r w:rsidR="00E60972">
        <w:t xml:space="preserve">ome </w:t>
      </w:r>
      <w:r w:rsidR="00BF193B">
        <w:t>statements of compatibility devote cursory attention to assessing a</w:t>
      </w:r>
      <w:r w:rsidR="00E60972">
        <w:t xml:space="preserve"> draft law’s</w:t>
      </w:r>
      <w:r w:rsidR="00BF193B">
        <w:t xml:space="preserve"> identified </w:t>
      </w:r>
      <w:r w:rsidR="00E60972">
        <w:t xml:space="preserve">impingement on human </w:t>
      </w:r>
      <w:r w:rsidR="00BF193B">
        <w:t>rights</w:t>
      </w:r>
      <w:r w:rsidR="00664E79">
        <w:t xml:space="preserve"> and some simply assert (without due explanation) that a draft law is compatible with human rights even where an impingement on rights has been acknowledged.</w:t>
      </w:r>
      <w:r w:rsidR="00BF193B">
        <w:rPr>
          <w:rStyle w:val="EndnoteReference"/>
        </w:rPr>
        <w:endnoteReference w:id="7"/>
      </w:r>
    </w:p>
    <w:p w14:paraId="257DBC46" w14:textId="63410A56" w:rsidR="00EE4605" w:rsidRPr="00714E2B" w:rsidRDefault="00EE4605" w:rsidP="00971335">
      <w:pPr>
        <w:pStyle w:val="SubmissionNormal"/>
        <w:numPr>
          <w:ilvl w:val="0"/>
          <w:numId w:val="52"/>
        </w:numPr>
      </w:pPr>
      <w:r>
        <w:rPr>
          <w:b/>
        </w:rPr>
        <w:lastRenderedPageBreak/>
        <w:t xml:space="preserve">That the </w:t>
      </w:r>
      <w:r w:rsidR="003D132B">
        <w:rPr>
          <w:b/>
        </w:rPr>
        <w:t xml:space="preserve">Australian </w:t>
      </w:r>
      <w:r>
        <w:rPr>
          <w:b/>
        </w:rPr>
        <w:t xml:space="preserve">Government ensure that concerns raised by the </w:t>
      </w:r>
      <w:r w:rsidR="00971335" w:rsidRPr="00971335">
        <w:rPr>
          <w:b/>
        </w:rPr>
        <w:t xml:space="preserve">Parliamentary Joint Committee on Human Rights </w:t>
      </w:r>
      <w:r>
        <w:rPr>
          <w:b/>
        </w:rPr>
        <w:t>are fully considered in the legislative process.</w:t>
      </w:r>
    </w:p>
    <w:p w14:paraId="63AC9C4C" w14:textId="1827A03E" w:rsidR="00714E2B" w:rsidRPr="00EE4605" w:rsidRDefault="00714E2B" w:rsidP="00E90792">
      <w:pPr>
        <w:pStyle w:val="SubmissionNormal"/>
        <w:numPr>
          <w:ilvl w:val="0"/>
          <w:numId w:val="52"/>
        </w:numPr>
      </w:pPr>
      <w:r>
        <w:rPr>
          <w:b/>
        </w:rPr>
        <w:t xml:space="preserve">That the </w:t>
      </w:r>
      <w:r w:rsidR="003D132B">
        <w:rPr>
          <w:b/>
        </w:rPr>
        <w:t xml:space="preserve">Australian </w:t>
      </w:r>
      <w:r>
        <w:rPr>
          <w:b/>
        </w:rPr>
        <w:t xml:space="preserve">Government ensure that </w:t>
      </w:r>
      <w:r w:rsidR="009E3D77">
        <w:rPr>
          <w:b/>
        </w:rPr>
        <w:t xml:space="preserve">all </w:t>
      </w:r>
      <w:r w:rsidR="00DE1309">
        <w:rPr>
          <w:b/>
        </w:rPr>
        <w:t xml:space="preserve">statements of compatibility are consistently of a high standard </w:t>
      </w:r>
      <w:r w:rsidR="00703922">
        <w:rPr>
          <w:b/>
        </w:rPr>
        <w:t>and</w:t>
      </w:r>
      <w:r>
        <w:rPr>
          <w:b/>
        </w:rPr>
        <w:t xml:space="preserve"> are supported by evidence and analysis.</w:t>
      </w:r>
    </w:p>
    <w:p w14:paraId="6FF50BC3" w14:textId="529E9C24" w:rsidR="00EE4605" w:rsidRPr="00EC4B73" w:rsidRDefault="004E46B3" w:rsidP="00EE4605">
      <w:pPr>
        <w:pStyle w:val="Heading2"/>
      </w:pPr>
      <w:bookmarkStart w:id="19" w:name="_Toc493489584"/>
      <w:r>
        <w:t>Domestic incorporation</w:t>
      </w:r>
      <w:r w:rsidR="00EE4605">
        <w:t xml:space="preserve"> </w:t>
      </w:r>
      <w:r w:rsidR="00EE4605" w:rsidRPr="00EC4B73">
        <w:t>(</w:t>
      </w:r>
      <w:r w:rsidR="001924B4">
        <w:t xml:space="preserve">ICCPR </w:t>
      </w:r>
      <w:r w:rsidR="007B076B">
        <w:t>a</w:t>
      </w:r>
      <w:r w:rsidR="00EE4605" w:rsidRPr="00EC4B73">
        <w:t>rt</w:t>
      </w:r>
      <w:r w:rsidR="001924B4">
        <w:t>icle</w:t>
      </w:r>
      <w:r w:rsidR="00953A98">
        <w:t xml:space="preserve"> 2</w:t>
      </w:r>
      <w:r w:rsidR="00EE4605" w:rsidRPr="00EC4B73">
        <w:t xml:space="preserve">; </w:t>
      </w:r>
      <w:r w:rsidR="001924B4">
        <w:t>LOI</w:t>
      </w:r>
      <w:r w:rsidR="00EE4605" w:rsidRPr="00EC4B73">
        <w:t xml:space="preserve"> 4)</w:t>
      </w:r>
      <w:bookmarkEnd w:id="19"/>
    </w:p>
    <w:p w14:paraId="788BD6BA" w14:textId="5239397F" w:rsidR="001F5CB1" w:rsidRPr="0001458A" w:rsidRDefault="002D734C">
      <w:pPr>
        <w:pStyle w:val="SubmissionNormal"/>
        <w:rPr>
          <w:lang w:val="en-GB"/>
        </w:rPr>
      </w:pPr>
      <w:r>
        <w:t>Australia has passed legislation in areas such as discrimination, privacy and freedom of information, which incorporate some important elements of the ICCPR into domestic law.</w:t>
      </w:r>
      <w:r w:rsidR="0001458A">
        <w:t xml:space="preserve"> </w:t>
      </w:r>
      <w:r>
        <w:t xml:space="preserve">However, there remain many rights in the ICCPR that have not been domestically incorporated in accordance with </w:t>
      </w:r>
      <w:r w:rsidR="00BC081D">
        <w:t>a</w:t>
      </w:r>
      <w:r>
        <w:t xml:space="preserve">rticle 2(2). </w:t>
      </w:r>
    </w:p>
    <w:p w14:paraId="36B6C842" w14:textId="77777777" w:rsidR="001F5CB1" w:rsidRPr="001F5CB1" w:rsidRDefault="006C5D34" w:rsidP="005E79B2">
      <w:pPr>
        <w:pStyle w:val="SubmissionNormal"/>
        <w:rPr>
          <w:lang w:val="en-GB"/>
        </w:rPr>
      </w:pPr>
      <w:r>
        <w:t xml:space="preserve">The Commission notes that the </w:t>
      </w:r>
      <w:r>
        <w:rPr>
          <w:rFonts w:cs="Arial"/>
        </w:rPr>
        <w:t>Australian Law Reform Commission</w:t>
      </w:r>
      <w:r>
        <w:t xml:space="preserve"> (ALRC) has made a number of suggestions to improve the mechanisms and processes for the scrutiny of laws for compatibility with rights and freedoms</w:t>
      </w:r>
      <w:r w:rsidR="001F5CB1">
        <w:t xml:space="preserve"> (including the PJCHR)</w:t>
      </w:r>
      <w:r>
        <w:t>.</w:t>
      </w:r>
      <w:r>
        <w:rPr>
          <w:rStyle w:val="EndnoteReference"/>
        </w:rPr>
        <w:endnoteReference w:id="8"/>
      </w:r>
      <w:r w:rsidR="001F5CB1">
        <w:t xml:space="preserve"> </w:t>
      </w:r>
    </w:p>
    <w:p w14:paraId="43403117" w14:textId="28C55E13" w:rsidR="002D734C" w:rsidRPr="002A492D" w:rsidRDefault="002D734C" w:rsidP="005E79B2">
      <w:pPr>
        <w:pStyle w:val="SubmissionNormal"/>
        <w:rPr>
          <w:lang w:val="en-GB"/>
        </w:rPr>
      </w:pPr>
      <w:r>
        <w:t xml:space="preserve">The scrutiny provided for by the PJCHR, while </w:t>
      </w:r>
      <w:r w:rsidR="005F0741">
        <w:t xml:space="preserve">a </w:t>
      </w:r>
      <w:r>
        <w:t>welcome</w:t>
      </w:r>
      <w:r w:rsidR="005F0741">
        <w:t xml:space="preserve"> extension of existing parliamentary rights review mechanisms</w:t>
      </w:r>
      <w:r>
        <w:t xml:space="preserve">, is not a substitute for </w:t>
      </w:r>
      <w:r w:rsidRPr="004B7D9B">
        <w:t>full incorporation of the ICCPR into domestic law through mechanisms such as a national human rights Act</w:t>
      </w:r>
      <w:r>
        <w:t>.</w:t>
      </w:r>
    </w:p>
    <w:p w14:paraId="10A81FB7" w14:textId="049A720C" w:rsidR="006D2E32" w:rsidRDefault="00271C71" w:rsidP="006D2E32">
      <w:pPr>
        <w:pStyle w:val="SubmissionNormal"/>
      </w:pPr>
      <w:r w:rsidRPr="00E0568F">
        <w:t xml:space="preserve">The Commission notes that </w:t>
      </w:r>
      <w:r w:rsidR="00ED2CD6">
        <w:t xml:space="preserve">Victoria and the Australian Capital Territory each have a general </w:t>
      </w:r>
      <w:r w:rsidRPr="00E0568F">
        <w:t xml:space="preserve">human rights </w:t>
      </w:r>
      <w:r w:rsidR="00ED2CD6">
        <w:t>statute,</w:t>
      </w:r>
      <w:r w:rsidRPr="00E0568F">
        <w:rPr>
          <w:rStyle w:val="EndnoteReference"/>
        </w:rPr>
        <w:endnoteReference w:id="9"/>
      </w:r>
      <w:r w:rsidRPr="00E0568F">
        <w:t xml:space="preserve"> and </w:t>
      </w:r>
      <w:r w:rsidR="00ED2CD6">
        <w:t xml:space="preserve">other </w:t>
      </w:r>
      <w:r w:rsidRPr="00E0568F">
        <w:t xml:space="preserve">states are </w:t>
      </w:r>
      <w:r w:rsidR="00ED2CD6">
        <w:t xml:space="preserve">also </w:t>
      </w:r>
      <w:r w:rsidRPr="00E0568F">
        <w:t xml:space="preserve">considering </w:t>
      </w:r>
      <w:r w:rsidR="00ED2CD6">
        <w:t>similar legislation</w:t>
      </w:r>
      <w:r w:rsidRPr="00E0568F">
        <w:t>.</w:t>
      </w:r>
      <w:r w:rsidRPr="00E0568F">
        <w:rPr>
          <w:rStyle w:val="EndnoteReference"/>
        </w:rPr>
        <w:endnoteReference w:id="10"/>
      </w:r>
      <w:r w:rsidRPr="00E0568F">
        <w:t xml:space="preserve"> The Commission is concerned that, absent </w:t>
      </w:r>
      <w:r w:rsidR="00AC4669">
        <w:t xml:space="preserve">comprehensive </w:t>
      </w:r>
      <w:r w:rsidRPr="00E0568F">
        <w:t xml:space="preserve">human rights </w:t>
      </w:r>
      <w:r w:rsidR="00E15BD3">
        <w:t>law</w:t>
      </w:r>
      <w:r w:rsidRPr="00E0568F">
        <w:t xml:space="preserve">, </w:t>
      </w:r>
      <w:r w:rsidR="00ED2CD6">
        <w:t xml:space="preserve">there are gaps and inconsistencies in the protection of human rights in </w:t>
      </w:r>
      <w:r w:rsidRPr="00E0568F">
        <w:t>Australia.</w:t>
      </w:r>
      <w:r w:rsidR="006D2E32" w:rsidRPr="006D2E32">
        <w:t xml:space="preserve"> </w:t>
      </w:r>
    </w:p>
    <w:p w14:paraId="1CD57996" w14:textId="63A04369" w:rsidR="00271C71" w:rsidRPr="008023D9" w:rsidRDefault="006D2E32" w:rsidP="006D2E32">
      <w:pPr>
        <w:pStyle w:val="SubmissionNormal"/>
      </w:pPr>
      <w:r w:rsidRPr="00E67162">
        <w:t>The Commission commends the Government’s establishment of a Standing National Human Rights Mechanism to strengthen its engageme</w:t>
      </w:r>
      <w:r>
        <w:t xml:space="preserve">nt with human rights reporting. This is an opportunity to improve the timeliness of </w:t>
      </w:r>
      <w:r w:rsidRPr="00E67162">
        <w:t>Australia’s</w:t>
      </w:r>
      <w:r>
        <w:t xml:space="preserve"> responses to UN</w:t>
      </w:r>
      <w:r w:rsidRPr="00E67162">
        <w:t xml:space="preserve"> treaty body communications.</w:t>
      </w:r>
    </w:p>
    <w:p w14:paraId="44A63B9F" w14:textId="12DD85F0" w:rsidR="00CE5261" w:rsidRDefault="00CE5261" w:rsidP="00E90792">
      <w:pPr>
        <w:pStyle w:val="SubmissionNormal"/>
        <w:numPr>
          <w:ilvl w:val="0"/>
          <w:numId w:val="52"/>
        </w:numPr>
      </w:pPr>
      <w:r w:rsidRPr="004C6E00">
        <w:rPr>
          <w:b/>
        </w:rPr>
        <w:t xml:space="preserve">That the </w:t>
      </w:r>
      <w:r w:rsidR="003D132B">
        <w:rPr>
          <w:b/>
        </w:rPr>
        <w:t xml:space="preserve">Australian </w:t>
      </w:r>
      <w:r w:rsidRPr="004C6E00">
        <w:rPr>
          <w:b/>
        </w:rPr>
        <w:t>Government</w:t>
      </w:r>
      <w:r w:rsidR="001231A9">
        <w:rPr>
          <w:b/>
        </w:rPr>
        <w:t xml:space="preserve"> further</w:t>
      </w:r>
      <w:r w:rsidRPr="004C6E00">
        <w:rPr>
          <w:b/>
        </w:rPr>
        <w:t xml:space="preserve"> incorporate </w:t>
      </w:r>
      <w:r w:rsidR="00D80201">
        <w:rPr>
          <w:b/>
        </w:rPr>
        <w:t xml:space="preserve">the </w:t>
      </w:r>
      <w:r>
        <w:rPr>
          <w:b/>
        </w:rPr>
        <w:t>ICCPR</w:t>
      </w:r>
      <w:r w:rsidRPr="004C6E00">
        <w:rPr>
          <w:b/>
        </w:rPr>
        <w:t xml:space="preserve"> into Australian l</w:t>
      </w:r>
      <w:r w:rsidR="00D80201">
        <w:rPr>
          <w:b/>
        </w:rPr>
        <w:t>egislation</w:t>
      </w:r>
      <w:r>
        <w:t>.</w:t>
      </w:r>
    </w:p>
    <w:p w14:paraId="23BD6B91" w14:textId="1BC93E83" w:rsidR="006A74D6" w:rsidRPr="007655E2" w:rsidRDefault="00BC081D" w:rsidP="006A74D6">
      <w:pPr>
        <w:pStyle w:val="Heading2"/>
      </w:pPr>
      <w:bookmarkStart w:id="20" w:name="_Toc492904729"/>
      <w:bookmarkStart w:id="21" w:name="_Toc492904730"/>
      <w:bookmarkStart w:id="22" w:name="_Toc493489585"/>
      <w:bookmarkEnd w:id="20"/>
      <w:bookmarkEnd w:id="21"/>
      <w:r>
        <w:t>Human r</w:t>
      </w:r>
      <w:r w:rsidR="006A74D6" w:rsidRPr="007655E2">
        <w:t xml:space="preserve">ights </w:t>
      </w:r>
      <w:r>
        <w:t>e</w:t>
      </w:r>
      <w:r w:rsidR="006A74D6" w:rsidRPr="007655E2">
        <w:t>ducation</w:t>
      </w:r>
      <w:r w:rsidR="006A74D6">
        <w:t xml:space="preserve"> (</w:t>
      </w:r>
      <w:r w:rsidR="0098623B">
        <w:t xml:space="preserve">ICCPR article 2; </w:t>
      </w:r>
      <w:r w:rsidR="006A74D6">
        <w:t>LOI 2)</w:t>
      </w:r>
      <w:bookmarkEnd w:id="22"/>
    </w:p>
    <w:p w14:paraId="34D470D2" w14:textId="10E2E8D6" w:rsidR="006A74D6" w:rsidRPr="007C25B4" w:rsidRDefault="006A74D6" w:rsidP="006A74D6">
      <w:pPr>
        <w:pStyle w:val="SubmissionNormal"/>
      </w:pPr>
      <w:r w:rsidRPr="004E5B3B">
        <w:rPr>
          <w:lang w:val="en-NZ" w:eastAsia="en-US"/>
        </w:rPr>
        <w:t xml:space="preserve">The Commission commends the inclusion of some </w:t>
      </w:r>
      <w:r>
        <w:rPr>
          <w:lang w:val="en-NZ" w:eastAsia="en-US"/>
        </w:rPr>
        <w:t xml:space="preserve">references to </w:t>
      </w:r>
      <w:r w:rsidRPr="004E5B3B">
        <w:rPr>
          <w:lang w:val="en-NZ" w:eastAsia="en-US"/>
        </w:rPr>
        <w:t xml:space="preserve">human rights </w:t>
      </w:r>
      <w:r>
        <w:rPr>
          <w:lang w:val="en-NZ" w:eastAsia="en-US"/>
        </w:rPr>
        <w:t>i</w:t>
      </w:r>
      <w:r w:rsidRPr="004E5B3B">
        <w:rPr>
          <w:lang w:val="en-NZ" w:eastAsia="en-US"/>
        </w:rPr>
        <w:t>n the national school curriculum</w:t>
      </w:r>
      <w:r>
        <w:rPr>
          <w:lang w:val="en-NZ" w:eastAsia="en-US"/>
        </w:rPr>
        <w:t>, although considers that this remains too limited.</w:t>
      </w:r>
      <w:r w:rsidRPr="004E5B3B">
        <w:rPr>
          <w:lang w:val="en-NZ" w:eastAsia="en-US"/>
        </w:rPr>
        <w:t xml:space="preserve"> </w:t>
      </w:r>
      <w:r w:rsidR="00024C7A">
        <w:rPr>
          <w:lang w:val="en-NZ" w:eastAsia="en-US"/>
        </w:rPr>
        <w:t xml:space="preserve">Human </w:t>
      </w:r>
      <w:r w:rsidR="009C0863">
        <w:rPr>
          <w:lang w:val="en-NZ" w:eastAsia="en-US"/>
        </w:rPr>
        <w:t>r</w:t>
      </w:r>
      <w:r w:rsidR="00024C7A">
        <w:rPr>
          <w:lang w:val="en-NZ" w:eastAsia="en-US"/>
        </w:rPr>
        <w:t>ights e</w:t>
      </w:r>
      <w:r>
        <w:rPr>
          <w:lang w:val="en-NZ" w:eastAsia="en-US"/>
        </w:rPr>
        <w:t xml:space="preserve">ducation for public servants remains limited, especially for those officials in the administration of justice and with legislative responsibilities to develop </w:t>
      </w:r>
      <w:r w:rsidR="00024C7A">
        <w:rPr>
          <w:lang w:val="en-NZ" w:eastAsia="en-US"/>
        </w:rPr>
        <w:t xml:space="preserve">statements of compatibility </w:t>
      </w:r>
      <w:r>
        <w:rPr>
          <w:lang w:val="en-NZ" w:eastAsia="en-US"/>
        </w:rPr>
        <w:t>with human rights for new legislation.</w:t>
      </w:r>
    </w:p>
    <w:p w14:paraId="54F8E548" w14:textId="77777777" w:rsidR="006A74D6" w:rsidRPr="008137CC" w:rsidRDefault="006A74D6" w:rsidP="006A74D6">
      <w:pPr>
        <w:pStyle w:val="SubmissionNormal"/>
      </w:pPr>
      <w:r>
        <w:t xml:space="preserve">The Commission also notes that </w:t>
      </w:r>
      <w:r w:rsidRPr="008137CC">
        <w:t xml:space="preserve">Australia’s activities for the World Program for Human Rights Education </w:t>
      </w:r>
      <w:r>
        <w:t xml:space="preserve">are </w:t>
      </w:r>
      <w:r w:rsidRPr="008137CC">
        <w:t>ad hoc and uncoordinated.</w:t>
      </w:r>
    </w:p>
    <w:p w14:paraId="6B80CF73" w14:textId="6C0B153C" w:rsidR="006A74D6" w:rsidRPr="00E90792" w:rsidRDefault="006A74D6" w:rsidP="00E90792">
      <w:pPr>
        <w:pStyle w:val="SubmissionNormal"/>
        <w:numPr>
          <w:ilvl w:val="0"/>
          <w:numId w:val="52"/>
        </w:numPr>
      </w:pPr>
      <w:r w:rsidRPr="00BE030E">
        <w:rPr>
          <w:b/>
        </w:rPr>
        <w:lastRenderedPageBreak/>
        <w:t xml:space="preserve">That the Australian Government support human rights education for all areas of the public sector, particularly in the administration of justice and places of detention, </w:t>
      </w:r>
      <w:r w:rsidRPr="00BE030E">
        <w:rPr>
          <w:rFonts w:eastAsia="Calibri" w:cs="Arial"/>
          <w:b/>
          <w:lang w:val="en-NZ" w:eastAsia="en-US"/>
        </w:rPr>
        <w:t>including targeted initiatives for public officials</w:t>
      </w:r>
      <w:r w:rsidRPr="00BE030E">
        <w:rPr>
          <w:b/>
        </w:rPr>
        <w:t>; and incorporate more comprehensive human rights education (including ICCPR rights) in the national school curriculum.</w:t>
      </w:r>
    </w:p>
    <w:p w14:paraId="47A355E1" w14:textId="77777777" w:rsidR="003C2C77" w:rsidRPr="001E1304" w:rsidRDefault="00063C13" w:rsidP="003C2C77">
      <w:pPr>
        <w:pStyle w:val="Heading1"/>
      </w:pPr>
      <w:bookmarkStart w:id="23" w:name="_Prevention_of_torture"/>
      <w:bookmarkStart w:id="24" w:name="_Toc493489586"/>
      <w:bookmarkEnd w:id="23"/>
      <w:r>
        <w:t>Prevention of torture</w:t>
      </w:r>
      <w:r w:rsidR="005229B3">
        <w:t xml:space="preserve"> </w:t>
      </w:r>
      <w:r w:rsidR="00EE4605">
        <w:t>(</w:t>
      </w:r>
      <w:r w:rsidR="00D40206">
        <w:t xml:space="preserve">ICCPR </w:t>
      </w:r>
      <w:r w:rsidR="007B076B">
        <w:t>a</w:t>
      </w:r>
      <w:r w:rsidR="00D40206">
        <w:t>rticle</w:t>
      </w:r>
      <w:r w:rsidR="00525082">
        <w:t xml:space="preserve">s 7 </w:t>
      </w:r>
      <w:r w:rsidR="002F3ED5">
        <w:t>&amp;</w:t>
      </w:r>
      <w:r w:rsidR="003C2C77">
        <w:t xml:space="preserve"> 10; LOI 17)</w:t>
      </w:r>
      <w:bookmarkEnd w:id="24"/>
    </w:p>
    <w:p w14:paraId="6022702E" w14:textId="24DFEA40" w:rsidR="00AA2432" w:rsidRPr="000E4CC0" w:rsidRDefault="00AA2432" w:rsidP="00AA2432">
      <w:pPr>
        <w:pStyle w:val="SubmissionNormal"/>
      </w:pPr>
      <w:r>
        <w:t xml:space="preserve">The Commission </w:t>
      </w:r>
      <w:r w:rsidR="00063C13">
        <w:t xml:space="preserve">remains concerned </w:t>
      </w:r>
      <w:r w:rsidR="009C0863">
        <w:t xml:space="preserve">by </w:t>
      </w:r>
      <w:r w:rsidR="00063C13">
        <w:t>the gaps in independent monitoring of places of detention in Australia</w:t>
      </w:r>
      <w:r w:rsidR="00063C13" w:rsidRPr="000E4CC0">
        <w:t xml:space="preserve">. </w:t>
      </w:r>
      <w:r w:rsidR="00063C13">
        <w:t>We commend</w:t>
      </w:r>
      <w:r>
        <w:t xml:space="preserve"> the Government’s</w:t>
      </w:r>
      <w:r w:rsidR="00DE1309">
        <w:t xml:space="preserve"> </w:t>
      </w:r>
      <w:r w:rsidR="00591C44">
        <w:t xml:space="preserve">commitment </w:t>
      </w:r>
      <w:r>
        <w:t>to ratify OPCAT by December 2017.</w:t>
      </w:r>
      <w:r w:rsidRPr="00EE4605">
        <w:rPr>
          <w:vertAlign w:val="superscript"/>
        </w:rPr>
        <w:endnoteReference w:id="11"/>
      </w:r>
      <w:r w:rsidR="00063C13">
        <w:t xml:space="preserve"> </w:t>
      </w:r>
      <w:r w:rsidR="002D734C">
        <w:t xml:space="preserve"> </w:t>
      </w:r>
    </w:p>
    <w:p w14:paraId="24366D94" w14:textId="79458002" w:rsidR="00681369" w:rsidRPr="00681369" w:rsidRDefault="00AA2432" w:rsidP="00E90792">
      <w:pPr>
        <w:pStyle w:val="SubmissionNormal"/>
        <w:numPr>
          <w:ilvl w:val="0"/>
          <w:numId w:val="52"/>
        </w:numPr>
        <w:rPr>
          <w:b/>
        </w:rPr>
      </w:pPr>
      <w:r>
        <w:rPr>
          <w:b/>
        </w:rPr>
        <w:t xml:space="preserve">That the </w:t>
      </w:r>
      <w:r w:rsidR="00AE030D">
        <w:rPr>
          <w:b/>
        </w:rPr>
        <w:t xml:space="preserve">Australian </w:t>
      </w:r>
      <w:r w:rsidRPr="00681369">
        <w:rPr>
          <w:b/>
        </w:rPr>
        <w:t xml:space="preserve">Government </w:t>
      </w:r>
      <w:r>
        <w:rPr>
          <w:b/>
        </w:rPr>
        <w:t xml:space="preserve">fulfil its commitment to </w:t>
      </w:r>
      <w:r w:rsidRPr="00681369">
        <w:rPr>
          <w:b/>
        </w:rPr>
        <w:t>ratif</w:t>
      </w:r>
      <w:r w:rsidR="00E324ED">
        <w:rPr>
          <w:b/>
        </w:rPr>
        <w:t>y</w:t>
      </w:r>
      <w:r w:rsidRPr="00681369">
        <w:rPr>
          <w:b/>
        </w:rPr>
        <w:t xml:space="preserve"> </w:t>
      </w:r>
      <w:r>
        <w:rPr>
          <w:b/>
        </w:rPr>
        <w:t>OPCAT</w:t>
      </w:r>
      <w:r w:rsidRPr="00681369">
        <w:rPr>
          <w:b/>
        </w:rPr>
        <w:t xml:space="preserve"> </w:t>
      </w:r>
      <w:r>
        <w:rPr>
          <w:b/>
        </w:rPr>
        <w:t xml:space="preserve">by December 2017, </w:t>
      </w:r>
      <w:r w:rsidR="00BD3811">
        <w:rPr>
          <w:b/>
        </w:rPr>
        <w:t xml:space="preserve">in accordance with its timetable, </w:t>
      </w:r>
      <w:r w:rsidRPr="00681369">
        <w:rPr>
          <w:b/>
        </w:rPr>
        <w:t>and</w:t>
      </w:r>
      <w:r>
        <w:rPr>
          <w:b/>
        </w:rPr>
        <w:t xml:space="preserve"> commence its progressive</w:t>
      </w:r>
      <w:r w:rsidRPr="00681369">
        <w:rPr>
          <w:b/>
        </w:rPr>
        <w:t xml:space="preserve"> </w:t>
      </w:r>
      <w:r>
        <w:rPr>
          <w:b/>
        </w:rPr>
        <w:t>implementation immediately thereafter.</w:t>
      </w:r>
      <w:r w:rsidR="00063C13">
        <w:rPr>
          <w:b/>
        </w:rPr>
        <w:t xml:space="preserve"> </w:t>
      </w:r>
      <w:r w:rsidR="00A2060D">
        <w:rPr>
          <w:b/>
        </w:rPr>
        <w:t>The Commission considers this issue to be of such importance that the Committee should request an update from the Australian Government on progress in 12 months time.</w:t>
      </w:r>
    </w:p>
    <w:p w14:paraId="57168A93" w14:textId="77777777" w:rsidR="00532B69" w:rsidRDefault="00532B69" w:rsidP="00532B69">
      <w:pPr>
        <w:pStyle w:val="Heading1"/>
      </w:pPr>
      <w:bookmarkStart w:id="25" w:name="_Toc493489587"/>
      <w:r w:rsidRPr="00EC4B73">
        <w:t>Aboriginal and Torres Strait Islander peoples</w:t>
      </w:r>
      <w:bookmarkEnd w:id="25"/>
    </w:p>
    <w:p w14:paraId="16CF1201" w14:textId="77777777" w:rsidR="00532B69" w:rsidRDefault="00532B69" w:rsidP="00532B69">
      <w:pPr>
        <w:pStyle w:val="Heading2"/>
      </w:pPr>
      <w:bookmarkStart w:id="26" w:name="_Toc493489588"/>
      <w:r>
        <w:t xml:space="preserve">UN Declaration on the Rights of Indigenous Peoples </w:t>
      </w:r>
      <w:r>
        <w:rPr>
          <w:i w:val="0"/>
        </w:rPr>
        <w:t>(</w:t>
      </w:r>
      <w:r w:rsidRPr="00092AB1">
        <w:t xml:space="preserve">ICCPR </w:t>
      </w:r>
      <w:r w:rsidR="007B076B">
        <w:t>a</w:t>
      </w:r>
      <w:r w:rsidRPr="00092AB1">
        <w:t>rticle 2; LOI 2</w:t>
      </w:r>
      <w:r>
        <w:rPr>
          <w:i w:val="0"/>
        </w:rPr>
        <w:t>)</w:t>
      </w:r>
      <w:bookmarkEnd w:id="26"/>
    </w:p>
    <w:p w14:paraId="20F279B8" w14:textId="77777777" w:rsidR="00532B69" w:rsidRDefault="00532B69" w:rsidP="00532B69">
      <w:pPr>
        <w:pStyle w:val="SubmissionNormal"/>
      </w:pPr>
      <w:r>
        <w:t xml:space="preserve">The Commission considers that </w:t>
      </w:r>
      <w:r w:rsidR="002D734C">
        <w:t xml:space="preserve">more robust consideration and </w:t>
      </w:r>
      <w:r>
        <w:t xml:space="preserve">implementation of the Declaration would enhance the ability of Aboriginal and Torres Strait Islander peoples to realise their civil and political rights. </w:t>
      </w:r>
    </w:p>
    <w:p w14:paraId="11345B04" w14:textId="77777777" w:rsidR="00532B69" w:rsidRDefault="00532B69" w:rsidP="00532B69">
      <w:pPr>
        <w:pStyle w:val="SubmissionNormal"/>
      </w:pPr>
      <w:r>
        <w:t xml:space="preserve">The Special Rapporteur on the rights of </w:t>
      </w:r>
      <w:r w:rsidR="00591C44">
        <w:t>i</w:t>
      </w:r>
      <w:r>
        <w:t xml:space="preserve">ndigenous </w:t>
      </w:r>
      <w:r w:rsidR="00591C44">
        <w:t>p</w:t>
      </w:r>
      <w:r>
        <w:t xml:space="preserve">eoples has called for the Declaration to be specifically included </w:t>
      </w:r>
      <w:r w:rsidR="004F4513">
        <w:t>in the definition of human rights</w:t>
      </w:r>
      <w:r w:rsidRPr="009B3962">
        <w:t xml:space="preserve"> in the </w:t>
      </w:r>
      <w:r w:rsidRPr="00703922">
        <w:rPr>
          <w:i/>
        </w:rPr>
        <w:t>Human Rights (Parliamentary Scrutiny) Act 2011</w:t>
      </w:r>
      <w:r w:rsidRPr="009B3962">
        <w:t xml:space="preserve"> (Cth)</w:t>
      </w:r>
      <w:r>
        <w:t>.</w:t>
      </w:r>
      <w:r>
        <w:rPr>
          <w:rStyle w:val="EndnoteReference"/>
        </w:rPr>
        <w:endnoteReference w:id="12"/>
      </w:r>
    </w:p>
    <w:p w14:paraId="209473C2" w14:textId="29DCFDFA" w:rsidR="00251241" w:rsidRDefault="00532B69" w:rsidP="00BC081D">
      <w:pPr>
        <w:pStyle w:val="SubmissionNormal"/>
        <w:numPr>
          <w:ilvl w:val="0"/>
          <w:numId w:val="52"/>
        </w:numPr>
        <w:rPr>
          <w:b/>
        </w:rPr>
      </w:pPr>
      <w:r>
        <w:rPr>
          <w:b/>
        </w:rPr>
        <w:t xml:space="preserve">That the </w:t>
      </w:r>
      <w:r w:rsidR="00AE030D">
        <w:rPr>
          <w:b/>
        </w:rPr>
        <w:t xml:space="preserve">Australian </w:t>
      </w:r>
      <w:r>
        <w:rPr>
          <w:b/>
        </w:rPr>
        <w:t xml:space="preserve">Government, </w:t>
      </w:r>
      <w:r w:rsidRPr="001001FD">
        <w:rPr>
          <w:b/>
        </w:rPr>
        <w:t xml:space="preserve">in partnership with Aboriginal and Torres Strait Islander peoples, </w:t>
      </w:r>
      <w:r>
        <w:rPr>
          <w:b/>
        </w:rPr>
        <w:t>d</w:t>
      </w:r>
      <w:r w:rsidRPr="00092AB1">
        <w:rPr>
          <w:b/>
        </w:rPr>
        <w:t>evelop a National Strategy to</w:t>
      </w:r>
      <w:r>
        <w:rPr>
          <w:b/>
        </w:rPr>
        <w:t xml:space="preserve"> give effect to the </w:t>
      </w:r>
      <w:r w:rsidR="00BC081D" w:rsidRPr="00BC081D">
        <w:rPr>
          <w:b/>
          <w:i/>
        </w:rPr>
        <w:t>UN Declaration on the Rights of Indigenous Peoples</w:t>
      </w:r>
      <w:r w:rsidR="002D734C">
        <w:rPr>
          <w:b/>
        </w:rPr>
        <w:t xml:space="preserve">. </w:t>
      </w:r>
    </w:p>
    <w:p w14:paraId="7A29A201" w14:textId="77777777" w:rsidR="00532B69" w:rsidRPr="002D734C" w:rsidRDefault="002D734C" w:rsidP="005D67D9">
      <w:pPr>
        <w:pStyle w:val="SubmissionNormal"/>
        <w:numPr>
          <w:ilvl w:val="0"/>
          <w:numId w:val="0"/>
        </w:numPr>
        <w:ind w:left="720"/>
        <w:rPr>
          <w:b/>
        </w:rPr>
      </w:pPr>
      <w:r w:rsidRPr="002D734C">
        <w:rPr>
          <w:b/>
        </w:rPr>
        <w:t xml:space="preserve">Further, that </w:t>
      </w:r>
      <w:r w:rsidR="00532B69" w:rsidRPr="002D734C">
        <w:rPr>
          <w:b/>
        </w:rPr>
        <w:t xml:space="preserve">the Declaration </w:t>
      </w:r>
      <w:r w:rsidRPr="002D734C">
        <w:rPr>
          <w:b/>
        </w:rPr>
        <w:t xml:space="preserve">be included </w:t>
      </w:r>
      <w:r w:rsidR="00532B69" w:rsidRPr="002D734C">
        <w:rPr>
          <w:b/>
        </w:rPr>
        <w:t xml:space="preserve">in the definition of ‘human rights’ in the </w:t>
      </w:r>
      <w:r w:rsidR="00532B69" w:rsidRPr="002D734C">
        <w:rPr>
          <w:b/>
          <w:i/>
        </w:rPr>
        <w:t xml:space="preserve">Human Rights (Parliamentary Scrutiny) Act 2011 </w:t>
      </w:r>
      <w:r w:rsidR="00532B69" w:rsidRPr="002D734C">
        <w:rPr>
          <w:b/>
        </w:rPr>
        <w:t xml:space="preserve">(Cth) </w:t>
      </w:r>
      <w:r w:rsidRPr="002D734C">
        <w:rPr>
          <w:b/>
        </w:rPr>
        <w:t>to ensure that</w:t>
      </w:r>
      <w:r w:rsidR="00532B69" w:rsidRPr="002D734C">
        <w:rPr>
          <w:b/>
        </w:rPr>
        <w:t xml:space="preserve"> </w:t>
      </w:r>
      <w:r w:rsidRPr="002D734C">
        <w:rPr>
          <w:b/>
        </w:rPr>
        <w:t>new</w:t>
      </w:r>
      <w:r w:rsidR="00251241">
        <w:rPr>
          <w:b/>
        </w:rPr>
        <w:t xml:space="preserve"> legislation</w:t>
      </w:r>
      <w:r w:rsidR="00532B69" w:rsidRPr="002D734C">
        <w:rPr>
          <w:b/>
        </w:rPr>
        <w:t xml:space="preserve"> </w:t>
      </w:r>
      <w:r w:rsidRPr="002D734C">
        <w:rPr>
          <w:b/>
        </w:rPr>
        <w:t>is regularly assessed for</w:t>
      </w:r>
      <w:r w:rsidR="00532B69" w:rsidRPr="002D734C">
        <w:rPr>
          <w:b/>
        </w:rPr>
        <w:t xml:space="preserve"> conformity with the Declaration.  </w:t>
      </w:r>
    </w:p>
    <w:p w14:paraId="2A38F9F9" w14:textId="77777777" w:rsidR="00532B69" w:rsidRDefault="00532B69" w:rsidP="00532B69">
      <w:pPr>
        <w:pStyle w:val="Heading2"/>
      </w:pPr>
      <w:bookmarkStart w:id="27" w:name="_Justice_system_(ICCPR"/>
      <w:bookmarkStart w:id="28" w:name="_Toc493489589"/>
      <w:bookmarkEnd w:id="27"/>
      <w:r>
        <w:t>Justice system</w:t>
      </w:r>
      <w:r w:rsidRPr="007D6662">
        <w:t xml:space="preserve"> </w:t>
      </w:r>
      <w:r>
        <w:t xml:space="preserve">(ICCPR </w:t>
      </w:r>
      <w:r w:rsidR="007B076B">
        <w:t>a</w:t>
      </w:r>
      <w:r>
        <w:t>rticles 2, 7, 9, 10 &amp; 13; LOI 13, 17 &amp; 18)</w:t>
      </w:r>
      <w:bookmarkEnd w:id="28"/>
    </w:p>
    <w:p w14:paraId="66DA97CD" w14:textId="7F94229B" w:rsidR="00532B69" w:rsidRDefault="00532B69" w:rsidP="00532B69">
      <w:pPr>
        <w:pStyle w:val="SubmissionNormal"/>
        <w:rPr>
          <w:rFonts w:cs="Arial"/>
        </w:rPr>
      </w:pPr>
      <w:r>
        <w:t xml:space="preserve">The Commission is extremely concerned that </w:t>
      </w:r>
      <w:r w:rsidRPr="00C00B4D">
        <w:t>Aboriginal</w:t>
      </w:r>
      <w:r w:rsidRPr="00CA605D">
        <w:t xml:space="preserve"> and Torres Strait Islander </w:t>
      </w:r>
      <w:r>
        <w:t>people are significantly over</w:t>
      </w:r>
      <w:r w:rsidRPr="00CA605D">
        <w:t>represented in Australia’s prison population</w:t>
      </w:r>
      <w:r>
        <w:t>,</w:t>
      </w:r>
      <w:r w:rsidRPr="00E27DE0">
        <w:rPr>
          <w:rStyle w:val="EndnoteReference"/>
          <w:rFonts w:cs="Arial"/>
        </w:rPr>
        <w:endnoteReference w:id="13"/>
      </w:r>
      <w:r>
        <w:t xml:space="preserve"> especially </w:t>
      </w:r>
      <w:r>
        <w:rPr>
          <w:rFonts w:cs="Arial"/>
        </w:rPr>
        <w:t xml:space="preserve">those with </w:t>
      </w:r>
      <w:r w:rsidRPr="00683EC8">
        <w:rPr>
          <w:rFonts w:cs="Arial"/>
        </w:rPr>
        <w:t>mental health disorders</w:t>
      </w:r>
      <w:r w:rsidR="00BC081D">
        <w:rPr>
          <w:rFonts w:cs="Arial"/>
        </w:rPr>
        <w:t xml:space="preserve"> or</w:t>
      </w:r>
      <w:r w:rsidRPr="00683EC8">
        <w:rPr>
          <w:rFonts w:cs="Arial"/>
        </w:rPr>
        <w:t xml:space="preserve"> cognitive </w:t>
      </w:r>
      <w:r w:rsidRPr="00683EC8">
        <w:rPr>
          <w:rFonts w:cs="Arial"/>
        </w:rPr>
        <w:lastRenderedPageBreak/>
        <w:t>disability</w:t>
      </w:r>
      <w:r>
        <w:rPr>
          <w:rStyle w:val="EndnoteReference"/>
          <w:rFonts w:cs="Arial"/>
        </w:rPr>
        <w:endnoteReference w:id="14"/>
      </w:r>
      <w:r>
        <w:rPr>
          <w:rFonts w:cs="Arial"/>
        </w:rPr>
        <w:t xml:space="preserve"> and children.</w:t>
      </w:r>
      <w:r>
        <w:rPr>
          <w:rStyle w:val="EndnoteReference"/>
          <w:rFonts w:cs="Arial"/>
        </w:rPr>
        <w:endnoteReference w:id="15"/>
      </w:r>
      <w:r w:rsidR="004947D5">
        <w:rPr>
          <w:rFonts w:cs="Arial"/>
        </w:rPr>
        <w:t xml:space="preserve"> </w:t>
      </w:r>
      <w:r w:rsidR="00251241">
        <w:rPr>
          <w:rFonts w:cs="Arial"/>
        </w:rPr>
        <w:t xml:space="preserve">Rates of </w:t>
      </w:r>
      <w:r w:rsidR="00024C7A">
        <w:rPr>
          <w:rFonts w:cs="Arial"/>
        </w:rPr>
        <w:t xml:space="preserve">imprisonment of </w:t>
      </w:r>
      <w:r w:rsidR="00251241">
        <w:rPr>
          <w:rFonts w:cs="Arial"/>
        </w:rPr>
        <w:t>Indigenous women have risen substantially in the past decade.</w:t>
      </w:r>
    </w:p>
    <w:p w14:paraId="6AFE8536" w14:textId="4293E04A" w:rsidR="00760785" w:rsidRPr="00C10CEE" w:rsidRDefault="00760785" w:rsidP="00532B69">
      <w:pPr>
        <w:pStyle w:val="SubmissionNormal"/>
        <w:rPr>
          <w:rFonts w:cs="Arial"/>
        </w:rPr>
      </w:pPr>
      <w:r>
        <w:t xml:space="preserve">The issue of Aboriginal and Torres Strait Islander deaths in police custody and in prison has been cause for alarm for several decades. </w:t>
      </w:r>
      <w:r>
        <w:rPr>
          <w:rFonts w:cs="Arial"/>
        </w:rPr>
        <w:t>Nationally in 2014</w:t>
      </w:r>
      <w:r w:rsidR="001231A9">
        <w:rPr>
          <w:rFonts w:cs="Arial"/>
        </w:rPr>
        <w:t>–</w:t>
      </w:r>
      <w:r w:rsidRPr="00B07ABB">
        <w:rPr>
          <w:rFonts w:cs="Arial"/>
        </w:rPr>
        <w:t>15, there were 11 deaths in police custody, of which five were Aboriginal and Torres Strait Islander deaths.</w:t>
      </w:r>
      <w:r w:rsidRPr="00F20DBB">
        <w:rPr>
          <w:rFonts w:cs="Arial"/>
          <w:sz w:val="20"/>
          <w:szCs w:val="20"/>
          <w:vertAlign w:val="superscript"/>
        </w:rPr>
        <w:endnoteReference w:id="16"/>
      </w:r>
    </w:p>
    <w:p w14:paraId="41495E7B" w14:textId="3E105358" w:rsidR="00532B69" w:rsidRDefault="00532B69" w:rsidP="00532B69">
      <w:pPr>
        <w:pStyle w:val="SubmissionNormal"/>
        <w:rPr>
          <w:rFonts w:cs="Arial"/>
        </w:rPr>
      </w:pPr>
      <w:r>
        <w:rPr>
          <w:rFonts w:cs="Arial"/>
        </w:rPr>
        <w:t xml:space="preserve">Laws and policies </w:t>
      </w:r>
      <w:r>
        <w:t xml:space="preserve">disproportionately </w:t>
      </w:r>
      <w:r w:rsidR="001231A9">
        <w:t>affecting</w:t>
      </w:r>
      <w:r>
        <w:t xml:space="preserve"> Aboriginal an</w:t>
      </w:r>
      <w:r w:rsidR="00022662">
        <w:t>d Torres Strait Islander people</w:t>
      </w:r>
      <w:r>
        <w:rPr>
          <w:rFonts w:cs="Arial"/>
        </w:rPr>
        <w:t xml:space="preserve"> have contributed to these incarceration rates</w:t>
      </w:r>
      <w:r>
        <w:t>.</w:t>
      </w:r>
      <w:r>
        <w:rPr>
          <w:rFonts w:cs="Arial"/>
        </w:rPr>
        <w:t xml:space="preserve"> In particular, the Commission notes:</w:t>
      </w:r>
    </w:p>
    <w:p w14:paraId="36BA63E2" w14:textId="4F679D93" w:rsidR="00532B69" w:rsidRPr="00C36486" w:rsidRDefault="002D734C" w:rsidP="00A014B6">
      <w:pPr>
        <w:pStyle w:val="SubmissionNormal"/>
        <w:numPr>
          <w:ilvl w:val="0"/>
          <w:numId w:val="19"/>
        </w:numPr>
        <w:rPr>
          <w:rFonts w:cs="Arial"/>
        </w:rPr>
      </w:pPr>
      <w:r>
        <w:t>‘Paperless arrest</w:t>
      </w:r>
      <w:r w:rsidR="00532B69">
        <w:t>’</w:t>
      </w:r>
      <w:r>
        <w:t xml:space="preserve"> laws in the </w:t>
      </w:r>
      <w:r w:rsidR="00BC081D">
        <w:t>Northern Territory</w:t>
      </w:r>
      <w:r w:rsidR="00532B69">
        <w:t xml:space="preserve"> provide police with the power to detain a person for up to four hours (or longer if the person is intoxicated) if they suspect the person has committed or is about to commit an ‘infringement notice offence’ (a minor offence).</w:t>
      </w:r>
      <w:r w:rsidR="004A2C04">
        <w:rPr>
          <w:rStyle w:val="EndnoteReference"/>
        </w:rPr>
        <w:endnoteReference w:id="17"/>
      </w:r>
      <w:r w:rsidR="00532B69">
        <w:t xml:space="preserve"> </w:t>
      </w:r>
    </w:p>
    <w:p w14:paraId="2796AEB8" w14:textId="3C51FB85" w:rsidR="00532B69" w:rsidRPr="00C36486" w:rsidRDefault="00532B69" w:rsidP="00A014B6">
      <w:pPr>
        <w:pStyle w:val="SubmissionNormal"/>
        <w:numPr>
          <w:ilvl w:val="0"/>
          <w:numId w:val="19"/>
        </w:numPr>
        <w:rPr>
          <w:rFonts w:cs="Arial"/>
        </w:rPr>
      </w:pPr>
      <w:r>
        <w:t>Bail laws and policies have become more restrictive in Australia and have led to a significant increase in the number of Aboriginal and Torres Strait Islander people held on remand.</w:t>
      </w:r>
      <w:r>
        <w:rPr>
          <w:rStyle w:val="EndnoteReference"/>
        </w:rPr>
        <w:endnoteReference w:id="18"/>
      </w:r>
      <w:r>
        <w:t xml:space="preserve">  </w:t>
      </w:r>
    </w:p>
    <w:p w14:paraId="5AB9859C" w14:textId="58AF2D44" w:rsidR="00532B69" w:rsidRPr="009C73DB" w:rsidRDefault="00532B69" w:rsidP="00A014B6">
      <w:pPr>
        <w:pStyle w:val="SubmissionNormal"/>
        <w:numPr>
          <w:ilvl w:val="0"/>
          <w:numId w:val="19"/>
        </w:numPr>
        <w:rPr>
          <w:rFonts w:cs="Arial"/>
        </w:rPr>
      </w:pPr>
      <w:r>
        <w:t>The Special Rapporteur on the rights of Indigenous people</w:t>
      </w:r>
      <w:r w:rsidR="001231A9">
        <w:t>s</w:t>
      </w:r>
      <w:r>
        <w:t xml:space="preserve"> has said that </w:t>
      </w:r>
      <w:r w:rsidRPr="00C36486">
        <w:rPr>
          <w:rFonts w:cs="Arial"/>
        </w:rPr>
        <w:t>mandatory</w:t>
      </w:r>
      <w:r>
        <w:t xml:space="preserve"> sentencing laws need to be reviewed.</w:t>
      </w:r>
      <w:r>
        <w:rPr>
          <w:rStyle w:val="EndnoteReference"/>
        </w:rPr>
        <w:endnoteReference w:id="19"/>
      </w:r>
      <w:r>
        <w:t xml:space="preserve"> </w:t>
      </w:r>
    </w:p>
    <w:p w14:paraId="1A47976D" w14:textId="2E60FF89" w:rsidR="00532B69" w:rsidRPr="007D0DF6" w:rsidRDefault="00532B69" w:rsidP="00A014B6">
      <w:pPr>
        <w:pStyle w:val="SubmissionNormal"/>
        <w:numPr>
          <w:ilvl w:val="0"/>
          <w:numId w:val="19"/>
        </w:numPr>
      </w:pPr>
      <w:r>
        <w:t xml:space="preserve">The Commission has previously reported on several cases </w:t>
      </w:r>
      <w:r w:rsidR="00022662">
        <w:t>where indigenous people</w:t>
      </w:r>
      <w:r w:rsidR="002D734C">
        <w:t xml:space="preserve"> are in</w:t>
      </w:r>
      <w:r>
        <w:t xml:space="preserve"> prolonged detention</w:t>
      </w:r>
      <w:r w:rsidR="002D734C">
        <w:t xml:space="preserve"> due to being</w:t>
      </w:r>
      <w:r w:rsidR="00FC7305">
        <w:t xml:space="preserve"> considered</w:t>
      </w:r>
      <w:r w:rsidR="002D734C">
        <w:t xml:space="preserve"> </w:t>
      </w:r>
      <w:r w:rsidR="00FC7305">
        <w:t>‘</w:t>
      </w:r>
      <w:r w:rsidR="002D734C">
        <w:t>unfit to plead</w:t>
      </w:r>
      <w:r w:rsidR="00FC7305">
        <w:t>’</w:t>
      </w:r>
      <w:r>
        <w:t xml:space="preserve"> </w:t>
      </w:r>
      <w:r w:rsidR="002D734C">
        <w:t>resulting in them being</w:t>
      </w:r>
      <w:r>
        <w:t xml:space="preserve"> detained for a period longer than the maximum sentence if they had been </w:t>
      </w:r>
      <w:r w:rsidR="002D734C">
        <w:t xml:space="preserve">tried and </w:t>
      </w:r>
      <w:r>
        <w:t>found guilty.</w:t>
      </w:r>
      <w:r w:rsidR="000C722E" w:rsidRPr="000C722E">
        <w:rPr>
          <w:rStyle w:val="EndnoteReference"/>
          <w:rFonts w:eastAsia="MS Mincho"/>
          <w:iCs/>
        </w:rPr>
        <w:t xml:space="preserve"> </w:t>
      </w:r>
      <w:r w:rsidR="000C722E">
        <w:rPr>
          <w:rStyle w:val="EndnoteReference"/>
          <w:rFonts w:eastAsia="MS Mincho"/>
          <w:iCs/>
        </w:rPr>
        <w:endnoteReference w:id="20"/>
      </w:r>
      <w:r w:rsidRPr="002A3076">
        <w:rPr>
          <w:rFonts w:eastAsia="MS Mincho"/>
          <w:iCs/>
        </w:rPr>
        <w:t xml:space="preserve"> </w:t>
      </w:r>
    </w:p>
    <w:p w14:paraId="4788FDB3" w14:textId="0D1A0B4F" w:rsidR="00532B69" w:rsidRPr="00BC081D" w:rsidRDefault="00532B69" w:rsidP="00A014B6">
      <w:pPr>
        <w:pStyle w:val="SubmissionNormal"/>
        <w:numPr>
          <w:ilvl w:val="0"/>
          <w:numId w:val="19"/>
        </w:numPr>
        <w:rPr>
          <w:color w:val="000000" w:themeColor="text1"/>
        </w:rPr>
      </w:pPr>
      <w:r>
        <w:t xml:space="preserve">Imprisonment from fine default </w:t>
      </w:r>
      <w:r w:rsidR="001231A9">
        <w:t>—</w:t>
      </w:r>
      <w:r>
        <w:t xml:space="preserve"> often caused by small overdue fines</w:t>
      </w:r>
      <w:r w:rsidR="00D575F8">
        <w:t xml:space="preserve"> for criminal offences </w:t>
      </w:r>
      <w:r w:rsidR="00C9271F">
        <w:t>that</w:t>
      </w:r>
      <w:r w:rsidR="00D575F8">
        <w:t xml:space="preserve">, on their own, </w:t>
      </w:r>
      <w:r w:rsidR="00484E57">
        <w:t>do</w:t>
      </w:r>
      <w:r w:rsidR="00C9271F">
        <w:t xml:space="preserve"> </w:t>
      </w:r>
      <w:r>
        <w:t xml:space="preserve">not carry an imprisonment penalty </w:t>
      </w:r>
      <w:r w:rsidR="001F7124">
        <w:t>—</w:t>
      </w:r>
      <w:r>
        <w:t xml:space="preserve"> is </w:t>
      </w:r>
      <w:r w:rsidRPr="00BC081D">
        <w:rPr>
          <w:color w:val="000000" w:themeColor="text1"/>
        </w:rPr>
        <w:t>contribut</w:t>
      </w:r>
      <w:r w:rsidR="00AA2432" w:rsidRPr="00BC081D">
        <w:rPr>
          <w:color w:val="000000" w:themeColor="text1"/>
        </w:rPr>
        <w:t>ing to high incarceration rates.</w:t>
      </w:r>
      <w:r w:rsidR="00CF249D" w:rsidRPr="00BC081D">
        <w:rPr>
          <w:rStyle w:val="EndnoteReference"/>
          <w:color w:val="000000" w:themeColor="text1"/>
        </w:rPr>
        <w:endnoteReference w:id="21"/>
      </w:r>
    </w:p>
    <w:p w14:paraId="6D799258" w14:textId="73794E4F" w:rsidR="00532B69" w:rsidRPr="00BC081D" w:rsidRDefault="00532B69" w:rsidP="00532B69">
      <w:pPr>
        <w:pStyle w:val="SubmissionNormal"/>
        <w:rPr>
          <w:rFonts w:cs="Arial"/>
          <w:color w:val="000000" w:themeColor="text1"/>
        </w:rPr>
      </w:pPr>
      <w:r w:rsidRPr="00BC081D">
        <w:rPr>
          <w:rFonts w:cs="Arial"/>
          <w:color w:val="000000" w:themeColor="text1"/>
        </w:rPr>
        <w:t>The Commission notes that the current inquiry by the ALRC into the incarceration of Aboriginal and Torres Strait Islander people</w:t>
      </w:r>
      <w:r w:rsidR="001F7124" w:rsidRPr="00BC081D">
        <w:rPr>
          <w:rFonts w:cs="Arial"/>
          <w:color w:val="000000" w:themeColor="text1"/>
        </w:rPr>
        <w:t>s</w:t>
      </w:r>
      <w:r w:rsidRPr="00BC081D">
        <w:rPr>
          <w:rFonts w:cs="Arial"/>
          <w:color w:val="000000" w:themeColor="text1"/>
        </w:rPr>
        <w:t xml:space="preserve"> will assist in identifying laws requiring amendment to reduce Indigenous incarceration.</w:t>
      </w:r>
      <w:r w:rsidRPr="00BC081D">
        <w:rPr>
          <w:rStyle w:val="EndnoteReference"/>
          <w:rFonts w:cs="Arial"/>
          <w:color w:val="000000" w:themeColor="text1"/>
        </w:rPr>
        <w:endnoteReference w:id="22"/>
      </w:r>
    </w:p>
    <w:p w14:paraId="6BF01D65" w14:textId="6EC5633E" w:rsidR="00532B69" w:rsidRPr="00BC081D" w:rsidRDefault="00532B69" w:rsidP="00532B69">
      <w:pPr>
        <w:pStyle w:val="SubmissionNormal"/>
        <w:rPr>
          <w:rFonts w:cs="Arial"/>
          <w:color w:val="000000" w:themeColor="text1"/>
        </w:rPr>
      </w:pPr>
      <w:r w:rsidRPr="00BC081D">
        <w:rPr>
          <w:rFonts w:eastAsia="MS Mincho"/>
          <w:iCs/>
          <w:color w:val="000000" w:themeColor="text1"/>
        </w:rPr>
        <w:t xml:space="preserve">The Commission </w:t>
      </w:r>
      <w:r w:rsidRPr="00BC081D">
        <w:rPr>
          <w:color w:val="000000" w:themeColor="text1"/>
        </w:rPr>
        <w:t>ha</w:t>
      </w:r>
      <w:r w:rsidR="00E156A4" w:rsidRPr="00BC081D">
        <w:rPr>
          <w:color w:val="000000" w:themeColor="text1"/>
        </w:rPr>
        <w:t>s</w:t>
      </w:r>
      <w:r w:rsidRPr="00BC081D">
        <w:rPr>
          <w:color w:val="000000" w:themeColor="text1"/>
        </w:rPr>
        <w:t xml:space="preserve"> advocated that justice targets be set to halve the gap in rates of incarceration for Aboriginal and Torres Strait Islander people</w:t>
      </w:r>
      <w:r w:rsidR="001F7124" w:rsidRPr="00BC081D">
        <w:rPr>
          <w:color w:val="000000" w:themeColor="text1"/>
        </w:rPr>
        <w:t>s</w:t>
      </w:r>
      <w:r w:rsidR="00484E57" w:rsidRPr="00BC081D">
        <w:rPr>
          <w:color w:val="000000" w:themeColor="text1"/>
        </w:rPr>
        <w:t>, as compared with non-Indigenous people</w:t>
      </w:r>
      <w:r w:rsidRPr="00BC081D">
        <w:rPr>
          <w:color w:val="000000" w:themeColor="text1"/>
        </w:rPr>
        <w:t>.</w:t>
      </w:r>
      <w:r w:rsidRPr="00BC081D">
        <w:rPr>
          <w:color w:val="000000" w:themeColor="text1"/>
          <w:sz w:val="20"/>
          <w:szCs w:val="23"/>
          <w:vertAlign w:val="superscript"/>
        </w:rPr>
        <w:endnoteReference w:id="23"/>
      </w:r>
      <w:r w:rsidRPr="00BC081D">
        <w:rPr>
          <w:color w:val="000000" w:themeColor="text1"/>
        </w:rPr>
        <w:t xml:space="preserve"> The Senate Legal and Constitutional Affairs Committee and successive Social Justice Commissioners have </w:t>
      </w:r>
      <w:r w:rsidRPr="00BC081D">
        <w:rPr>
          <w:rFonts w:cs="Arial"/>
          <w:color w:val="000000" w:themeColor="text1"/>
        </w:rPr>
        <w:t>recommended justice reinvestment strategies.</w:t>
      </w:r>
      <w:r w:rsidRPr="00BC081D">
        <w:rPr>
          <w:rFonts w:cs="Arial"/>
          <w:color w:val="000000" w:themeColor="text1"/>
          <w:vertAlign w:val="superscript"/>
        </w:rPr>
        <w:endnoteReference w:id="24"/>
      </w:r>
    </w:p>
    <w:p w14:paraId="75A4AD64" w14:textId="0FBE16A7" w:rsidR="00CE1313" w:rsidRPr="00BC081D" w:rsidRDefault="00CE1313" w:rsidP="00CE1313">
      <w:pPr>
        <w:pStyle w:val="SubmissionNormal"/>
        <w:rPr>
          <w:rFonts w:cs="Arial"/>
          <w:bCs/>
          <w:color w:val="000000" w:themeColor="text1"/>
        </w:rPr>
      </w:pPr>
      <w:r w:rsidRPr="00BC081D">
        <w:rPr>
          <w:rFonts w:cs="Arial"/>
          <w:bCs/>
          <w:color w:val="000000" w:themeColor="text1"/>
        </w:rPr>
        <w:t xml:space="preserve">Noting that </w:t>
      </w:r>
      <w:r w:rsidR="00BD3811" w:rsidRPr="00BC081D">
        <w:rPr>
          <w:rFonts w:cs="Arial"/>
          <w:bCs/>
          <w:color w:val="000000" w:themeColor="text1"/>
        </w:rPr>
        <w:t xml:space="preserve">a federal approach is needed to address </w:t>
      </w:r>
      <w:r w:rsidR="001F7124" w:rsidRPr="00BC081D">
        <w:rPr>
          <w:rFonts w:cs="Arial"/>
          <w:bCs/>
          <w:color w:val="000000" w:themeColor="text1"/>
        </w:rPr>
        <w:t xml:space="preserve">imprisonment rates and the experience of violence of </w:t>
      </w:r>
      <w:r w:rsidRPr="00BC081D">
        <w:rPr>
          <w:rFonts w:cs="Arial"/>
          <w:bCs/>
          <w:color w:val="000000" w:themeColor="text1"/>
        </w:rPr>
        <w:t xml:space="preserve">Aboriginal and Torres Strait Islander peoples, the Commission </w:t>
      </w:r>
      <w:r w:rsidR="00213E00" w:rsidRPr="00BC081D">
        <w:rPr>
          <w:rFonts w:cs="Arial"/>
          <w:bCs/>
          <w:color w:val="000000" w:themeColor="text1"/>
        </w:rPr>
        <w:t xml:space="preserve">welcomes </w:t>
      </w:r>
      <w:r w:rsidRPr="00BC081D">
        <w:rPr>
          <w:rFonts w:cs="Arial"/>
          <w:bCs/>
          <w:color w:val="000000" w:themeColor="text1"/>
        </w:rPr>
        <w:t xml:space="preserve">the Change the Record Coalition’s </w:t>
      </w:r>
      <w:r w:rsidRPr="00BC081D">
        <w:rPr>
          <w:rFonts w:cs="Arial"/>
          <w:bCs/>
          <w:i/>
          <w:color w:val="000000" w:themeColor="text1"/>
        </w:rPr>
        <w:t>Blueprint for change</w:t>
      </w:r>
      <w:r w:rsidRPr="00BC081D">
        <w:rPr>
          <w:rFonts w:cs="Arial"/>
          <w:bCs/>
          <w:color w:val="000000" w:themeColor="text1"/>
        </w:rPr>
        <w:t>.</w:t>
      </w:r>
      <w:r w:rsidRPr="00BC081D">
        <w:rPr>
          <w:rStyle w:val="EndnoteReference"/>
          <w:rFonts w:cs="Arial"/>
          <w:color w:val="000000" w:themeColor="text1"/>
          <w:sz w:val="24"/>
        </w:rPr>
        <w:endnoteReference w:id="25"/>
      </w:r>
    </w:p>
    <w:p w14:paraId="499CBF5A" w14:textId="77777777" w:rsidR="00532B69" w:rsidRDefault="00532B69" w:rsidP="00532B69">
      <w:pPr>
        <w:pStyle w:val="SubmissionNormal"/>
      </w:pPr>
      <w:r w:rsidRPr="00BC081D">
        <w:rPr>
          <w:rFonts w:cs="Arial"/>
          <w:color w:val="000000" w:themeColor="text1"/>
        </w:rPr>
        <w:t xml:space="preserve">The Special Rapporteur on the rights of </w:t>
      </w:r>
      <w:r w:rsidR="00484E57" w:rsidRPr="00BC081D">
        <w:rPr>
          <w:rFonts w:cs="Arial"/>
          <w:color w:val="000000" w:themeColor="text1"/>
        </w:rPr>
        <w:t>i</w:t>
      </w:r>
      <w:r w:rsidRPr="00BC081D">
        <w:rPr>
          <w:rFonts w:cs="Arial"/>
          <w:color w:val="000000" w:themeColor="text1"/>
        </w:rPr>
        <w:t>ndigenous</w:t>
      </w:r>
      <w:r w:rsidRPr="00BC081D">
        <w:rPr>
          <w:color w:val="000000" w:themeColor="text1"/>
        </w:rPr>
        <w:t xml:space="preserve"> peoples has recommended that efforts be made to recruit Aboriginal and Torres Strait Islander prison staff and that police and prison staff be </w:t>
      </w:r>
      <w:r>
        <w:t>trained in cultural sensitivity.</w:t>
      </w:r>
      <w:r>
        <w:rPr>
          <w:rStyle w:val="EndnoteReference"/>
        </w:rPr>
        <w:endnoteReference w:id="26"/>
      </w:r>
    </w:p>
    <w:p w14:paraId="1D65BA70" w14:textId="679DB2BE" w:rsidR="00251241" w:rsidRPr="00251241" w:rsidRDefault="00532B69" w:rsidP="00E90792">
      <w:pPr>
        <w:pStyle w:val="SubmissionNormal"/>
        <w:numPr>
          <w:ilvl w:val="0"/>
          <w:numId w:val="52"/>
        </w:numPr>
        <w:rPr>
          <w:b/>
        </w:rPr>
      </w:pPr>
      <w:r w:rsidRPr="00E54D64">
        <w:rPr>
          <w:b/>
        </w:rPr>
        <w:lastRenderedPageBreak/>
        <w:t xml:space="preserve">That </w:t>
      </w:r>
      <w:r w:rsidR="00251241">
        <w:rPr>
          <w:b/>
        </w:rPr>
        <w:t>all</w:t>
      </w:r>
      <w:r w:rsidRPr="00E54D64">
        <w:rPr>
          <w:b/>
        </w:rPr>
        <w:t xml:space="preserve"> </w:t>
      </w:r>
      <w:bookmarkStart w:id="29" w:name="_Hlk492861405"/>
      <w:r w:rsidR="00C72D0D">
        <w:rPr>
          <w:b/>
        </w:rPr>
        <w:t xml:space="preserve">Australian </w:t>
      </w:r>
      <w:r w:rsidR="00251241">
        <w:rPr>
          <w:b/>
        </w:rPr>
        <w:t>g</w:t>
      </w:r>
      <w:r>
        <w:rPr>
          <w:b/>
        </w:rPr>
        <w:t>overnment</w:t>
      </w:r>
      <w:r w:rsidR="00251241">
        <w:rPr>
          <w:b/>
        </w:rPr>
        <w:t xml:space="preserve">s </w:t>
      </w:r>
      <w:r w:rsidR="00DE1309" w:rsidRPr="00251241">
        <w:rPr>
          <w:b/>
        </w:rPr>
        <w:t>commit</w:t>
      </w:r>
      <w:r w:rsidRPr="00251241">
        <w:rPr>
          <w:b/>
        </w:rPr>
        <w:t xml:space="preserve"> to </w:t>
      </w:r>
      <w:r w:rsidR="002D734C" w:rsidRPr="00251241">
        <w:rPr>
          <w:b/>
        </w:rPr>
        <w:t>national justice targets to reduce the</w:t>
      </w:r>
      <w:r w:rsidRPr="00251241">
        <w:rPr>
          <w:b/>
        </w:rPr>
        <w:t xml:space="preserve"> rates of imprisonment </w:t>
      </w:r>
      <w:r w:rsidR="002D734C" w:rsidRPr="00251241">
        <w:rPr>
          <w:b/>
        </w:rPr>
        <w:t>of</w:t>
      </w:r>
      <w:r w:rsidRPr="00251241">
        <w:rPr>
          <w:b/>
        </w:rPr>
        <w:t xml:space="preserve"> Aboriginal and Torres Strait Islander </w:t>
      </w:r>
      <w:r w:rsidR="002D734C" w:rsidRPr="00251241">
        <w:rPr>
          <w:b/>
        </w:rPr>
        <w:t>adults</w:t>
      </w:r>
      <w:r w:rsidRPr="00251241">
        <w:rPr>
          <w:b/>
        </w:rPr>
        <w:t xml:space="preserve"> </w:t>
      </w:r>
      <w:r w:rsidR="002D734C" w:rsidRPr="00251241">
        <w:rPr>
          <w:b/>
        </w:rPr>
        <w:t>and juveniles</w:t>
      </w:r>
      <w:r w:rsidR="00251241">
        <w:rPr>
          <w:b/>
        </w:rPr>
        <w:t>, and resource a national strategy</w:t>
      </w:r>
      <w:r w:rsidR="00251241" w:rsidRPr="00251241">
        <w:rPr>
          <w:b/>
        </w:rPr>
        <w:t xml:space="preserve"> to achieve </w:t>
      </w:r>
      <w:r w:rsidR="00251241">
        <w:rPr>
          <w:b/>
        </w:rPr>
        <w:t>this</w:t>
      </w:r>
      <w:bookmarkEnd w:id="29"/>
      <w:r w:rsidR="00251241">
        <w:rPr>
          <w:b/>
        </w:rPr>
        <w:t xml:space="preserve">. </w:t>
      </w:r>
      <w:r w:rsidR="00063C13">
        <w:rPr>
          <w:b/>
        </w:rPr>
        <w:t xml:space="preserve"> The Commission considers this issue to be of such importance that the Committee should request an update from the Australian Government on progress in 12 months time.</w:t>
      </w:r>
    </w:p>
    <w:p w14:paraId="62AE0CE3" w14:textId="77777777" w:rsidR="00532B69" w:rsidRDefault="00532B69" w:rsidP="00532B69">
      <w:pPr>
        <w:pStyle w:val="Heading2"/>
      </w:pPr>
      <w:bookmarkStart w:id="30" w:name="_Toc493489590"/>
      <w:r>
        <w:t xml:space="preserve">Native title and land rights (ICCPR </w:t>
      </w:r>
      <w:r w:rsidR="007B076B">
        <w:t>a</w:t>
      </w:r>
      <w:r>
        <w:t>rticle 27; LOI 25)</w:t>
      </w:r>
      <w:bookmarkEnd w:id="30"/>
    </w:p>
    <w:p w14:paraId="4A315521" w14:textId="70318308" w:rsidR="00532B69" w:rsidRPr="00641533" w:rsidRDefault="00532B69" w:rsidP="00532B69">
      <w:pPr>
        <w:pStyle w:val="SubmissionNormal"/>
        <w:tabs>
          <w:tab w:val="clear" w:pos="720"/>
        </w:tabs>
      </w:pPr>
      <w:r>
        <w:rPr>
          <w:rFonts w:cs="Arial"/>
        </w:rPr>
        <w:t xml:space="preserve">The </w:t>
      </w:r>
      <w:r w:rsidRPr="00715D4A">
        <w:rPr>
          <w:rFonts w:cs="Arial"/>
        </w:rPr>
        <w:t>Commission welcomes</w:t>
      </w:r>
      <w:r>
        <w:rPr>
          <w:rFonts w:cs="Arial"/>
        </w:rPr>
        <w:t xml:space="preserve"> recent initiatives</w:t>
      </w:r>
      <w:r>
        <w:rPr>
          <w:lang w:val="en"/>
        </w:rPr>
        <w:t xml:space="preserve"> t</w:t>
      </w:r>
      <w:r>
        <w:rPr>
          <w:rFonts w:cs="Arial"/>
        </w:rPr>
        <w:t xml:space="preserve">o </w:t>
      </w:r>
      <w:r>
        <w:rPr>
          <w:lang w:val="en"/>
        </w:rPr>
        <w:t xml:space="preserve">address barriers to </w:t>
      </w:r>
      <w:r w:rsidR="00F5597E">
        <w:rPr>
          <w:lang w:val="en"/>
        </w:rPr>
        <w:t xml:space="preserve">the </w:t>
      </w:r>
      <w:r>
        <w:rPr>
          <w:lang w:val="en"/>
        </w:rPr>
        <w:t>recognition of native title and challenges to enabling Indigenous-led devel</w:t>
      </w:r>
      <w:r w:rsidR="004F4513">
        <w:rPr>
          <w:lang w:val="en"/>
        </w:rPr>
        <w:t xml:space="preserve">opment on the Indigenous Estate, such as </w:t>
      </w:r>
      <w:r w:rsidR="004F4513" w:rsidRPr="00D24362">
        <w:t xml:space="preserve">the </w:t>
      </w:r>
      <w:r w:rsidR="00CE1313">
        <w:t>Council of Australian Governments</w:t>
      </w:r>
      <w:r w:rsidR="00213E00">
        <w:t>’</w:t>
      </w:r>
      <w:r w:rsidR="00CE1313">
        <w:t xml:space="preserve"> (</w:t>
      </w:r>
      <w:r w:rsidR="004F4513">
        <w:t>COAG</w:t>
      </w:r>
      <w:r w:rsidR="004F4513" w:rsidRPr="00D24362">
        <w:t>’s</w:t>
      </w:r>
      <w:r w:rsidR="00CE1313">
        <w:t>)</w:t>
      </w:r>
      <w:r w:rsidR="004F4513" w:rsidRPr="00D24362">
        <w:t xml:space="preserve"> Investigation into Indigenous Land Administration and Use</w:t>
      </w:r>
      <w:r w:rsidR="004F4513" w:rsidRPr="00D24362">
        <w:rPr>
          <w:sz w:val="20"/>
          <w:vertAlign w:val="superscript"/>
        </w:rPr>
        <w:endnoteReference w:id="27"/>
      </w:r>
      <w:r w:rsidR="004F4513" w:rsidRPr="00D24362">
        <w:t xml:space="preserve"> and the </w:t>
      </w:r>
      <w:r w:rsidR="004F4513">
        <w:t>ALRC’s</w:t>
      </w:r>
      <w:r w:rsidR="004F4513" w:rsidRPr="00D24362">
        <w:t xml:space="preserve"> </w:t>
      </w:r>
      <w:r w:rsidR="00484E57">
        <w:t>r</w:t>
      </w:r>
      <w:r w:rsidR="004F4513" w:rsidRPr="00CD52F1">
        <w:t>eview of the</w:t>
      </w:r>
      <w:r w:rsidR="004F4513" w:rsidRPr="00CD52F1">
        <w:rPr>
          <w:i/>
        </w:rPr>
        <w:t xml:space="preserve"> </w:t>
      </w:r>
      <w:r w:rsidR="004F4513" w:rsidRPr="00D24362">
        <w:rPr>
          <w:i/>
        </w:rPr>
        <w:t>Native Title Act 1993</w:t>
      </w:r>
      <w:r w:rsidR="004F4513" w:rsidRPr="00D24362">
        <w:t xml:space="preserve"> (Cth).</w:t>
      </w:r>
      <w:r w:rsidR="004F4513" w:rsidRPr="00D24362">
        <w:rPr>
          <w:sz w:val="20"/>
          <w:vertAlign w:val="superscript"/>
        </w:rPr>
        <w:endnoteReference w:id="28"/>
      </w:r>
    </w:p>
    <w:p w14:paraId="619BA5B5" w14:textId="2E3E6CC5" w:rsidR="00532B69" w:rsidRPr="00D24362" w:rsidRDefault="00532B69" w:rsidP="00532B69">
      <w:pPr>
        <w:pStyle w:val="SubmissionNormal"/>
      </w:pPr>
      <w:r w:rsidRPr="00D24362">
        <w:t xml:space="preserve">The Government has released a White Paper on the development of </w:t>
      </w:r>
      <w:r w:rsidR="00484E57">
        <w:t>n</w:t>
      </w:r>
      <w:r w:rsidRPr="00D24362">
        <w:t xml:space="preserve">orthern Australia. Significant tranches of land in </w:t>
      </w:r>
      <w:r w:rsidR="00484E57">
        <w:t>n</w:t>
      </w:r>
      <w:r w:rsidRPr="00D24362">
        <w:t>orthern Australia (Western Australia, Queensland and the Northern Territory) are held by Aboriginal and Torres Strait Islander peoples</w:t>
      </w:r>
      <w:r w:rsidR="00930B30">
        <w:t>.</w:t>
      </w:r>
      <w:r w:rsidRPr="00D24362">
        <w:t xml:space="preserve"> </w:t>
      </w:r>
      <w:r w:rsidR="00930B30">
        <w:t>S</w:t>
      </w:r>
      <w:r w:rsidR="00930B30" w:rsidRPr="00D24362">
        <w:t xml:space="preserve">erious </w:t>
      </w:r>
      <w:r w:rsidRPr="00D24362">
        <w:t xml:space="preserve">concerns have been raised about the extent of </w:t>
      </w:r>
      <w:r w:rsidR="00930B30">
        <w:t xml:space="preserve">genuine </w:t>
      </w:r>
      <w:r w:rsidRPr="00D24362">
        <w:t>engagement</w:t>
      </w:r>
      <w:r w:rsidR="00930B30">
        <w:t xml:space="preserve"> by governments</w:t>
      </w:r>
      <w:r w:rsidRPr="00D24362">
        <w:t xml:space="preserve"> with these land holders</w:t>
      </w:r>
      <w:r w:rsidR="00930B30">
        <w:t xml:space="preserve"> on issues that affect them and the effectiveness of laws for the protection and management of Indigenous heritage sites and knowledge</w:t>
      </w:r>
      <w:r w:rsidRPr="00D24362">
        <w:t>.</w:t>
      </w:r>
      <w:r w:rsidR="005A19DD">
        <w:rPr>
          <w:rStyle w:val="EndnoteReference"/>
        </w:rPr>
        <w:endnoteReference w:id="29"/>
      </w:r>
      <w:r w:rsidRPr="00D24362">
        <w:t xml:space="preserve"> </w:t>
      </w:r>
    </w:p>
    <w:p w14:paraId="2B30FEFA" w14:textId="2BDF9ABC" w:rsidR="00532B69" w:rsidRPr="00254671" w:rsidRDefault="00532B69" w:rsidP="00E90792">
      <w:pPr>
        <w:pStyle w:val="SubmissionNormal"/>
        <w:numPr>
          <w:ilvl w:val="0"/>
          <w:numId w:val="52"/>
        </w:numPr>
      </w:pPr>
      <w:r w:rsidRPr="00D24362">
        <w:rPr>
          <w:b/>
        </w:rPr>
        <w:t xml:space="preserve">That the </w:t>
      </w:r>
      <w:r w:rsidR="00C72D0D">
        <w:rPr>
          <w:b/>
        </w:rPr>
        <w:t xml:space="preserve">Australian </w:t>
      </w:r>
      <w:r w:rsidRPr="00D24362">
        <w:rPr>
          <w:b/>
        </w:rPr>
        <w:t>Government</w:t>
      </w:r>
      <w:r>
        <w:rPr>
          <w:b/>
        </w:rPr>
        <w:t>:</w:t>
      </w:r>
    </w:p>
    <w:p w14:paraId="11B277B8" w14:textId="10F53814" w:rsidR="00532B69" w:rsidRDefault="00BC081D" w:rsidP="005D67D9">
      <w:pPr>
        <w:pStyle w:val="ListParagraph"/>
        <w:numPr>
          <w:ilvl w:val="0"/>
          <w:numId w:val="21"/>
        </w:numPr>
        <w:ind w:left="1440"/>
        <w:rPr>
          <w:b/>
        </w:rPr>
      </w:pPr>
      <w:r>
        <w:rPr>
          <w:b/>
        </w:rPr>
        <w:t>e</w:t>
      </w:r>
      <w:r w:rsidR="00251241">
        <w:rPr>
          <w:b/>
        </w:rPr>
        <w:t xml:space="preserve">nsure that any reforms that affect </w:t>
      </w:r>
      <w:r w:rsidR="00532B69" w:rsidRPr="00254671">
        <w:rPr>
          <w:b/>
        </w:rPr>
        <w:t>Aboriginal and Torres Strait Islander peoples</w:t>
      </w:r>
      <w:r w:rsidR="00213E00">
        <w:rPr>
          <w:b/>
        </w:rPr>
        <w:t>’</w:t>
      </w:r>
      <w:r w:rsidR="00532B69" w:rsidRPr="00254671">
        <w:rPr>
          <w:b/>
        </w:rPr>
        <w:t xml:space="preserve"> lands are undertaken with their free, prior and informed consent</w:t>
      </w:r>
      <w:r w:rsidR="00D91CCD">
        <w:rPr>
          <w:b/>
        </w:rPr>
        <w:t>.</w:t>
      </w:r>
    </w:p>
    <w:p w14:paraId="06A7787B" w14:textId="77777777" w:rsidR="00532B69" w:rsidRPr="00254671" w:rsidRDefault="00532B69" w:rsidP="005D67D9">
      <w:pPr>
        <w:pStyle w:val="ListParagraph"/>
        <w:ind w:left="1440"/>
        <w:rPr>
          <w:b/>
        </w:rPr>
      </w:pPr>
    </w:p>
    <w:p w14:paraId="61C5C7B8" w14:textId="783FA083" w:rsidR="00532B69" w:rsidRPr="00254671" w:rsidRDefault="00514832" w:rsidP="005D67D9">
      <w:pPr>
        <w:pStyle w:val="ListParagraph"/>
        <w:numPr>
          <w:ilvl w:val="0"/>
          <w:numId w:val="21"/>
        </w:numPr>
        <w:ind w:left="1440"/>
        <w:rPr>
          <w:b/>
        </w:rPr>
      </w:pPr>
      <w:r>
        <w:rPr>
          <w:b/>
        </w:rPr>
        <w:t>i</w:t>
      </w:r>
      <w:r w:rsidR="00532B69" w:rsidRPr="00254671">
        <w:rPr>
          <w:b/>
        </w:rPr>
        <w:t xml:space="preserve">mplement the recommendations of the </w:t>
      </w:r>
      <w:r w:rsidR="00532B69">
        <w:rPr>
          <w:b/>
        </w:rPr>
        <w:t>ALRC</w:t>
      </w:r>
      <w:r w:rsidR="00532B69" w:rsidRPr="00254671">
        <w:rPr>
          <w:b/>
        </w:rPr>
        <w:t xml:space="preserve">’s Connection to Country Review of the </w:t>
      </w:r>
      <w:r w:rsidR="00532B69" w:rsidRPr="00CD52F1">
        <w:rPr>
          <w:b/>
          <w:i/>
        </w:rPr>
        <w:t>Native Title Act 1993</w:t>
      </w:r>
      <w:r w:rsidR="00532B69" w:rsidRPr="00254671">
        <w:rPr>
          <w:b/>
        </w:rPr>
        <w:t xml:space="preserve"> (Cth) and the </w:t>
      </w:r>
      <w:r w:rsidR="00213E00">
        <w:rPr>
          <w:rFonts w:cs="Arial"/>
          <w:b/>
          <w:iCs/>
        </w:rPr>
        <w:t>Council of Australian Governments’</w:t>
      </w:r>
      <w:r w:rsidR="00532B69" w:rsidRPr="00254671">
        <w:rPr>
          <w:b/>
        </w:rPr>
        <w:t xml:space="preserve"> Investigation into Indigenous Land Administration and Use in order to better recognise and protect </w:t>
      </w:r>
      <w:r w:rsidR="00532B69">
        <w:rPr>
          <w:b/>
        </w:rPr>
        <w:t>Aboriginal and Torres Strait Islander</w:t>
      </w:r>
      <w:r w:rsidR="00532B69" w:rsidRPr="00254671">
        <w:rPr>
          <w:b/>
        </w:rPr>
        <w:t xml:space="preserve"> peoples’ native title rights and interests</w:t>
      </w:r>
      <w:r w:rsidR="008A67D5">
        <w:rPr>
          <w:b/>
        </w:rPr>
        <w:t>.</w:t>
      </w:r>
    </w:p>
    <w:p w14:paraId="7B8BD128" w14:textId="77777777" w:rsidR="00532B69" w:rsidRDefault="00532B69" w:rsidP="005D67D9">
      <w:pPr>
        <w:pStyle w:val="ListParagraph"/>
        <w:ind w:left="1440"/>
        <w:rPr>
          <w:b/>
        </w:rPr>
      </w:pPr>
    </w:p>
    <w:p w14:paraId="3DE3DA47" w14:textId="3BFDB2CF" w:rsidR="00532B69" w:rsidRPr="00254671" w:rsidRDefault="00514832" w:rsidP="005D67D9">
      <w:pPr>
        <w:pStyle w:val="ListParagraph"/>
        <w:numPr>
          <w:ilvl w:val="0"/>
          <w:numId w:val="21"/>
        </w:numPr>
        <w:ind w:left="1440"/>
        <w:rPr>
          <w:b/>
        </w:rPr>
      </w:pPr>
      <w:r>
        <w:rPr>
          <w:b/>
        </w:rPr>
        <w:t>e</w:t>
      </w:r>
      <w:r w:rsidR="00532B69" w:rsidRPr="00254671">
        <w:rPr>
          <w:b/>
        </w:rPr>
        <w:t xml:space="preserve">nsure that Aboriginal and Torres Strait Islander peoples’ rights to their traditional estates are not negatively </w:t>
      </w:r>
      <w:r w:rsidR="00D91CCD">
        <w:rPr>
          <w:b/>
        </w:rPr>
        <w:t>affected</w:t>
      </w:r>
      <w:r w:rsidR="00D91CCD" w:rsidRPr="00254671">
        <w:rPr>
          <w:b/>
        </w:rPr>
        <w:t xml:space="preserve"> </w:t>
      </w:r>
      <w:r w:rsidR="00532B69" w:rsidRPr="00254671">
        <w:rPr>
          <w:b/>
        </w:rPr>
        <w:t>by the</w:t>
      </w:r>
      <w:r w:rsidR="00DE1309">
        <w:rPr>
          <w:b/>
        </w:rPr>
        <w:t xml:space="preserve"> development of </w:t>
      </w:r>
      <w:r w:rsidR="007C61A0">
        <w:rPr>
          <w:b/>
        </w:rPr>
        <w:t>n</w:t>
      </w:r>
      <w:r w:rsidR="00DE1309">
        <w:rPr>
          <w:b/>
        </w:rPr>
        <w:t>orthern Australia.</w:t>
      </w:r>
    </w:p>
    <w:p w14:paraId="69399B40" w14:textId="77777777" w:rsidR="00532B69" w:rsidRDefault="00532B69" w:rsidP="00532B69">
      <w:pPr>
        <w:pStyle w:val="Heading2"/>
      </w:pPr>
      <w:bookmarkStart w:id="31" w:name="_Toc493489591"/>
      <w:r>
        <w:t xml:space="preserve">Aboriginal and Torres Strait Islander women (ICCPR </w:t>
      </w:r>
      <w:r w:rsidR="007B076B">
        <w:t>a</w:t>
      </w:r>
      <w:r>
        <w:t>rticles 2, 3, 7 &amp; 26; LOI 10)</w:t>
      </w:r>
      <w:bookmarkEnd w:id="31"/>
    </w:p>
    <w:p w14:paraId="6205CEB3" w14:textId="6C73A524" w:rsidR="000F7E80" w:rsidRPr="000F7E80" w:rsidRDefault="00532B69" w:rsidP="00FC1015">
      <w:pPr>
        <w:pStyle w:val="SubmissionNormal"/>
      </w:pPr>
      <w:r w:rsidRPr="009E5CE5">
        <w:t>Aboriginal and Torres Strait Islander women</w:t>
      </w:r>
      <w:r>
        <w:t xml:space="preserve"> are particularly at risk of violence.</w:t>
      </w:r>
      <w:r w:rsidRPr="00B51BC2">
        <w:rPr>
          <w:rStyle w:val="EndnoteReference"/>
        </w:rPr>
        <w:endnoteReference w:id="30"/>
      </w:r>
      <w:r>
        <w:t xml:space="preserve"> They </w:t>
      </w:r>
      <w:r w:rsidRPr="009E5CE5">
        <w:t>are hospitalised for family violence</w:t>
      </w:r>
      <w:r w:rsidR="007C61A0">
        <w:t>-</w:t>
      </w:r>
      <w:r w:rsidRPr="009E5CE5">
        <w:t>related assault at 3</w:t>
      </w:r>
      <w:r w:rsidR="00E122EC">
        <w:t>0</w:t>
      </w:r>
      <w:r w:rsidRPr="009E5CE5">
        <w:t xml:space="preserve"> times the rate of non-Indigenous </w:t>
      </w:r>
      <w:r w:rsidRPr="009E5CE5">
        <w:rPr>
          <w:lang w:val="en-GB" w:eastAsia="en-GB"/>
        </w:rPr>
        <w:t>women.</w:t>
      </w:r>
      <w:r w:rsidRPr="00B51BC2">
        <w:rPr>
          <w:rStyle w:val="EndnoteReference"/>
          <w:rFonts w:cs="Arial"/>
        </w:rPr>
        <w:endnoteReference w:id="31"/>
      </w:r>
      <w:r w:rsidRPr="009E5CE5">
        <w:rPr>
          <w:lang w:val="en-GB" w:eastAsia="en-GB"/>
        </w:rPr>
        <w:t xml:space="preserve"> </w:t>
      </w:r>
    </w:p>
    <w:p w14:paraId="13D78AD0" w14:textId="4CCE4FD3" w:rsidR="00532B69" w:rsidRDefault="00532B69" w:rsidP="00FC1015">
      <w:pPr>
        <w:pStyle w:val="SubmissionNormal"/>
      </w:pPr>
      <w:r w:rsidRPr="00254671">
        <w:t xml:space="preserve">The </w:t>
      </w:r>
      <w:r w:rsidR="00486F2B">
        <w:t>Commission notes that</w:t>
      </w:r>
      <w:r w:rsidR="00FC1015">
        <w:t xml:space="preserve"> </w:t>
      </w:r>
      <w:r w:rsidR="00D91CCD">
        <w:t xml:space="preserve">the </w:t>
      </w:r>
      <w:r w:rsidR="00FC1015" w:rsidRPr="00FC1015">
        <w:rPr>
          <w:rFonts w:cs="Arial"/>
          <w:i/>
        </w:rPr>
        <w:t>National Plan to Reduce Violence against Women and their Children 2010 – 2022</w:t>
      </w:r>
      <w:r w:rsidR="00FC1015">
        <w:rPr>
          <w:rFonts w:cs="Arial"/>
        </w:rPr>
        <w:t xml:space="preserve">, which </w:t>
      </w:r>
      <w:r w:rsidR="00FC1015">
        <w:t xml:space="preserve">has </w:t>
      </w:r>
      <w:r w:rsidR="00FC1015" w:rsidRPr="00FC1015">
        <w:t xml:space="preserve">been developed to support all women </w:t>
      </w:r>
      <w:r w:rsidR="00FC1015">
        <w:t xml:space="preserve">(including Indigenous women) </w:t>
      </w:r>
      <w:r w:rsidR="00FC1015" w:rsidRPr="00FC1015">
        <w:t>and their c</w:t>
      </w:r>
      <w:r w:rsidR="00FC1015">
        <w:t xml:space="preserve">hildren experiencing violence, builds on COAG’s commitment under the Close the Gap </w:t>
      </w:r>
      <w:r w:rsidR="00FC1015">
        <w:lastRenderedPageBreak/>
        <w:t>framework.</w:t>
      </w:r>
      <w:r w:rsidR="007A4A8E">
        <w:rPr>
          <w:rStyle w:val="EndnoteReference"/>
        </w:rPr>
        <w:endnoteReference w:id="32"/>
      </w:r>
      <w:r w:rsidR="00FC1015">
        <w:t xml:space="preserve"> </w:t>
      </w:r>
      <w:r w:rsidR="00486F2B">
        <w:t xml:space="preserve"> </w:t>
      </w:r>
      <w:r w:rsidR="00E122EC">
        <w:t xml:space="preserve">The Commission notes that action </w:t>
      </w:r>
      <w:r w:rsidRPr="00254671">
        <w:t xml:space="preserve">on violence against Aboriginal and Torres Strait Islander women </w:t>
      </w:r>
      <w:r w:rsidR="00E122EC">
        <w:t>should</w:t>
      </w:r>
      <w:r w:rsidR="00E122EC" w:rsidRPr="00254671">
        <w:t xml:space="preserve"> </w:t>
      </w:r>
      <w:r w:rsidRPr="00254671">
        <w:t xml:space="preserve">be developed in close consultation with </w:t>
      </w:r>
      <w:r w:rsidR="00E122EC" w:rsidRPr="00254671">
        <w:t xml:space="preserve">Aboriginal and Torres Strait Islander </w:t>
      </w:r>
      <w:r w:rsidRPr="00254671">
        <w:t>women and other relevant stakeholders.</w:t>
      </w:r>
    </w:p>
    <w:p w14:paraId="4EF5029C" w14:textId="77777777" w:rsidR="00760785" w:rsidRPr="00DE1309" w:rsidRDefault="00760785" w:rsidP="00760785">
      <w:pPr>
        <w:pStyle w:val="SubmissionNormal"/>
        <w:rPr>
          <w:rFonts w:cs="Arial"/>
        </w:rPr>
      </w:pPr>
      <w:r w:rsidRPr="00B46F72">
        <w:t>Aboriginal and Torres Strait Islander women account for 34% of the adult female prison population</w:t>
      </w:r>
      <w:r>
        <w:t>.</w:t>
      </w:r>
      <w:r w:rsidRPr="00B46F72">
        <w:rPr>
          <w:rStyle w:val="EndnoteReference"/>
        </w:rPr>
        <w:endnoteReference w:id="33"/>
      </w:r>
      <w:r>
        <w:t xml:space="preserve"> It is also important to note that 80% of Aboriginal and Torres Strait Islander women in prison are mothers.</w:t>
      </w:r>
      <w:r>
        <w:rPr>
          <w:rStyle w:val="EndnoteReference"/>
        </w:rPr>
        <w:endnoteReference w:id="34"/>
      </w:r>
    </w:p>
    <w:p w14:paraId="28720B97" w14:textId="0EC1745D" w:rsidR="00532B69" w:rsidRPr="007D0DF6" w:rsidRDefault="00532B69" w:rsidP="00E90792">
      <w:pPr>
        <w:pStyle w:val="SubmissionNormal"/>
        <w:numPr>
          <w:ilvl w:val="0"/>
          <w:numId w:val="52"/>
        </w:numPr>
        <w:rPr>
          <w:b/>
          <w:lang w:val="en-US"/>
        </w:rPr>
      </w:pPr>
      <w:r>
        <w:rPr>
          <w:b/>
        </w:rPr>
        <w:t>T</w:t>
      </w:r>
      <w:r w:rsidRPr="00321E37">
        <w:rPr>
          <w:b/>
        </w:rPr>
        <w:t xml:space="preserve">hat the </w:t>
      </w:r>
      <w:r w:rsidR="00C72D0D">
        <w:rPr>
          <w:b/>
        </w:rPr>
        <w:t xml:space="preserve">Australian </w:t>
      </w:r>
      <w:r w:rsidRPr="00321E37">
        <w:rPr>
          <w:b/>
        </w:rPr>
        <w:t>Government</w:t>
      </w:r>
      <w:r w:rsidR="00A014B6">
        <w:rPr>
          <w:b/>
        </w:rPr>
        <w:t>:</w:t>
      </w:r>
    </w:p>
    <w:p w14:paraId="3A336F6E" w14:textId="5A815DE7" w:rsidR="00532B69" w:rsidRPr="002725C2" w:rsidRDefault="00532B69" w:rsidP="00A014B6">
      <w:pPr>
        <w:pStyle w:val="SubmissionNormal"/>
        <w:numPr>
          <w:ilvl w:val="0"/>
          <w:numId w:val="24"/>
        </w:numPr>
      </w:pPr>
      <w:r w:rsidRPr="007D0DF6">
        <w:rPr>
          <w:b/>
        </w:rPr>
        <w:t>commi</w:t>
      </w:r>
      <w:r w:rsidR="00A014B6">
        <w:rPr>
          <w:b/>
        </w:rPr>
        <w:t>t</w:t>
      </w:r>
      <w:r w:rsidRPr="007D0DF6">
        <w:rPr>
          <w:b/>
        </w:rPr>
        <w:t xml:space="preserve"> to </w:t>
      </w:r>
      <w:r w:rsidR="00FD3627">
        <w:rPr>
          <w:b/>
        </w:rPr>
        <w:t>cut the disproportionate rates of</w:t>
      </w:r>
      <w:r w:rsidR="00FD3627" w:rsidRPr="007D0DF6">
        <w:rPr>
          <w:b/>
        </w:rPr>
        <w:t xml:space="preserve"> </w:t>
      </w:r>
      <w:r w:rsidRPr="007D0DF6">
        <w:rPr>
          <w:b/>
        </w:rPr>
        <w:t>violence against Aboriginal and Torres Strait Islander people to close the gap by 2040 (with priority strategies for women and children)</w:t>
      </w:r>
      <w:r w:rsidR="001F5CB1">
        <w:rPr>
          <w:b/>
        </w:rPr>
        <w:t>;</w:t>
      </w:r>
      <w:r w:rsidR="002626BD" w:rsidRPr="002725C2" w:rsidDel="002626BD">
        <w:rPr>
          <w:rStyle w:val="EndnoteReference"/>
        </w:rPr>
        <w:t xml:space="preserve"> </w:t>
      </w:r>
    </w:p>
    <w:p w14:paraId="6246A50D" w14:textId="77777777" w:rsidR="00532B69" w:rsidRPr="00321E37" w:rsidRDefault="00532B69" w:rsidP="00A014B6">
      <w:pPr>
        <w:pStyle w:val="SubmissionNormal"/>
        <w:numPr>
          <w:ilvl w:val="0"/>
          <w:numId w:val="24"/>
        </w:numPr>
        <w:rPr>
          <w:b/>
          <w:lang w:val="en-US"/>
        </w:rPr>
      </w:pPr>
      <w:r w:rsidRPr="00321E37">
        <w:rPr>
          <w:b/>
        </w:rPr>
        <w:t>prioritise early intervention and prevention initiatives that provide comprehensive support and protection from violence to vulnerable Indigenous populations including women, children and the elderly.</w:t>
      </w:r>
    </w:p>
    <w:p w14:paraId="4B36D89C" w14:textId="5DF1BDF5" w:rsidR="00532B69" w:rsidRPr="00993C73" w:rsidRDefault="00532B69" w:rsidP="00532B69">
      <w:pPr>
        <w:pStyle w:val="Heading2"/>
      </w:pPr>
      <w:bookmarkStart w:id="32" w:name="_Toc493489592"/>
      <w:r>
        <w:t xml:space="preserve">Democratic </w:t>
      </w:r>
      <w:r w:rsidR="00692F0B">
        <w:t>p</w:t>
      </w:r>
      <w:r>
        <w:t xml:space="preserve">articipation (ICCPR </w:t>
      </w:r>
      <w:r w:rsidR="007B076B">
        <w:t>a</w:t>
      </w:r>
      <w:r>
        <w:t>rticles 1, 2, 25, 26 &amp; 27; LOI 23)</w:t>
      </w:r>
      <w:bookmarkEnd w:id="32"/>
    </w:p>
    <w:p w14:paraId="1220C04D" w14:textId="77777777" w:rsidR="00532B69" w:rsidRDefault="00532B69" w:rsidP="00532B69">
      <w:pPr>
        <w:pStyle w:val="Heading3"/>
        <w:numPr>
          <w:ilvl w:val="2"/>
          <w:numId w:val="16"/>
        </w:numPr>
      </w:pPr>
      <w:bookmarkStart w:id="33" w:name="_Toc493489593"/>
      <w:r>
        <w:t>Funding to representative bodies</w:t>
      </w:r>
      <w:bookmarkEnd w:id="33"/>
    </w:p>
    <w:p w14:paraId="0D7E0578" w14:textId="2FFC40D5" w:rsidR="00532B69" w:rsidRDefault="00532B69" w:rsidP="00532B69">
      <w:pPr>
        <w:pStyle w:val="SubmissionNormal"/>
      </w:pPr>
      <w:r>
        <w:t xml:space="preserve">The Commission notes that reform of the justice system must be </w:t>
      </w:r>
      <w:r w:rsidR="00024C7A">
        <w:t>undertaken</w:t>
      </w:r>
      <w:r>
        <w:t xml:space="preserve"> in partnership with the Aboriginal and Torres Strait Islander peak legal and representative bodies. The </w:t>
      </w:r>
      <w:r w:rsidRPr="008C27EE">
        <w:t>Government has</w:t>
      </w:r>
      <w:r>
        <w:t xml:space="preserve"> provided limited</w:t>
      </w:r>
      <w:r w:rsidRPr="008C27EE">
        <w:t xml:space="preserve"> funding support for the National </w:t>
      </w:r>
      <w:r w:rsidRPr="009C73DB">
        <w:rPr>
          <w:rStyle w:val="Hyperlink"/>
          <w:rFonts w:cs="Arial"/>
          <w:color w:val="auto"/>
          <w:u w:val="none"/>
        </w:rPr>
        <w:t>Congress</w:t>
      </w:r>
      <w:r w:rsidRPr="00062821">
        <w:t xml:space="preserve"> </w:t>
      </w:r>
      <w:r w:rsidRPr="008C27EE">
        <w:t xml:space="preserve">of Australia’s First Peoples, a </w:t>
      </w:r>
      <w:r>
        <w:t>national representative voice for Aboriginal and Torres Strait Islander peoples.</w:t>
      </w:r>
      <w:r w:rsidRPr="008C27EE">
        <w:t xml:space="preserve"> </w:t>
      </w:r>
      <w:r>
        <w:t xml:space="preserve">As noted by the Special </w:t>
      </w:r>
      <w:r w:rsidRPr="009C73DB">
        <w:rPr>
          <w:rFonts w:cs="Arial"/>
        </w:rPr>
        <w:t>Rapporteur</w:t>
      </w:r>
      <w:r>
        <w:t xml:space="preserve"> on the rights of </w:t>
      </w:r>
      <w:r w:rsidR="00B3313A">
        <w:t>i</w:t>
      </w:r>
      <w:r>
        <w:t>ndigenous peoples, ‘explicit defunding since 2014</w:t>
      </w:r>
      <w:r w:rsidR="003D54AA">
        <w:t xml:space="preserve"> </w:t>
      </w:r>
      <w:r>
        <w:t>…</w:t>
      </w:r>
      <w:r w:rsidR="003D54AA">
        <w:t xml:space="preserve"> </w:t>
      </w:r>
      <w:r>
        <w:t>runs counter to the Government’s stated commitment to work with [I]ndigenous peoples.’</w:t>
      </w:r>
      <w:r>
        <w:rPr>
          <w:rStyle w:val="EndnoteReference"/>
        </w:rPr>
        <w:endnoteReference w:id="35"/>
      </w:r>
      <w:r>
        <w:t xml:space="preserve"> </w:t>
      </w:r>
    </w:p>
    <w:p w14:paraId="36A4889D" w14:textId="0E8A5BD4" w:rsidR="00532B69" w:rsidRPr="002725C2" w:rsidRDefault="00532B69" w:rsidP="00E90792">
      <w:pPr>
        <w:pStyle w:val="SubmissionNormal"/>
        <w:numPr>
          <w:ilvl w:val="0"/>
          <w:numId w:val="52"/>
        </w:numPr>
      </w:pPr>
      <w:r>
        <w:rPr>
          <w:b/>
        </w:rPr>
        <w:t xml:space="preserve">That the </w:t>
      </w:r>
      <w:r w:rsidR="00B3313A">
        <w:rPr>
          <w:b/>
        </w:rPr>
        <w:t xml:space="preserve">Australian </w:t>
      </w:r>
      <w:r>
        <w:rPr>
          <w:b/>
        </w:rPr>
        <w:t xml:space="preserve">Government provide adequate ongoing </w:t>
      </w:r>
      <w:r w:rsidRPr="00062821">
        <w:rPr>
          <w:b/>
        </w:rPr>
        <w:t xml:space="preserve">funding </w:t>
      </w:r>
      <w:r w:rsidRPr="00062821">
        <w:rPr>
          <w:rFonts w:cs="Arial"/>
          <w:b/>
        </w:rPr>
        <w:t>of</w:t>
      </w:r>
      <w:r w:rsidRPr="00062821">
        <w:rPr>
          <w:b/>
        </w:rPr>
        <w:t xml:space="preserve"> the National</w:t>
      </w:r>
      <w:r w:rsidRPr="00112FB1">
        <w:rPr>
          <w:b/>
        </w:rPr>
        <w:t xml:space="preserve"> Congress of Australia’s First Peoples </w:t>
      </w:r>
      <w:r>
        <w:rPr>
          <w:b/>
        </w:rPr>
        <w:t>and to Indigenous legal assistance programs.</w:t>
      </w:r>
    </w:p>
    <w:p w14:paraId="6119B577" w14:textId="77777777" w:rsidR="00532B69" w:rsidRPr="00E57AE0" w:rsidRDefault="00532B69" w:rsidP="00532B69">
      <w:pPr>
        <w:pStyle w:val="Heading3"/>
      </w:pPr>
      <w:bookmarkStart w:id="34" w:name="_Toc493489594"/>
      <w:r w:rsidRPr="00E57AE0">
        <w:t>Constitutional recognition</w:t>
      </w:r>
      <w:bookmarkEnd w:id="34"/>
    </w:p>
    <w:p w14:paraId="32538C8B" w14:textId="7248439B" w:rsidR="00532B69" w:rsidRDefault="00532B69" w:rsidP="00532B69">
      <w:pPr>
        <w:pStyle w:val="SubmissionNormal"/>
      </w:pPr>
      <w:r>
        <w:t xml:space="preserve">The Commission commends the Government for supporting the ongoing consultation process with Indigenous representatives regarding constitutional recognition of Aboriginal and Torres Strait Islander peoples. </w:t>
      </w:r>
    </w:p>
    <w:p w14:paraId="1D798901" w14:textId="7AA0332B" w:rsidR="00532B69" w:rsidRDefault="00532B69">
      <w:pPr>
        <w:pStyle w:val="SubmissionNormal"/>
      </w:pPr>
      <w:r>
        <w:t xml:space="preserve">The Commission notes the </w:t>
      </w:r>
      <w:r w:rsidRPr="0049581D">
        <w:t xml:space="preserve">First Nations National Constitutional Convention </w:t>
      </w:r>
      <w:r>
        <w:t xml:space="preserve">to discuss constitutional recognition (Uluru Convention), </w:t>
      </w:r>
      <w:r w:rsidR="00F42880">
        <w:t xml:space="preserve">held on 23–26 May 2017, </w:t>
      </w:r>
      <w:r>
        <w:t>at which the Uluru Statement of the Heart</w:t>
      </w:r>
      <w:r w:rsidRPr="0049581D">
        <w:t xml:space="preserve"> </w:t>
      </w:r>
      <w:r>
        <w:t>(Uluru Statement) was adopted.</w:t>
      </w:r>
      <w:r w:rsidR="007765B6">
        <w:t xml:space="preserve"> </w:t>
      </w:r>
      <w:r>
        <w:t xml:space="preserve">The Uluru </w:t>
      </w:r>
      <w:r w:rsidRPr="0049581D">
        <w:t xml:space="preserve">Statement calls for </w:t>
      </w:r>
      <w:r>
        <w:t xml:space="preserve">the </w:t>
      </w:r>
      <w:r w:rsidRPr="0049581D">
        <w:t>establishment of a First Nations</w:t>
      </w:r>
      <w:r w:rsidR="00F42880">
        <w:t>’</w:t>
      </w:r>
      <w:r w:rsidRPr="0049581D">
        <w:t xml:space="preserve"> Voice enshrined in the Constitution and of a Makarrata Commission to supervise a process of agreement making</w:t>
      </w:r>
      <w:r>
        <w:t xml:space="preserve"> between governments and First </w:t>
      </w:r>
      <w:r w:rsidRPr="0049581D">
        <w:t>Nations that includes truth-telling about Aboriginal an</w:t>
      </w:r>
      <w:r>
        <w:t xml:space="preserve">d Torres Strait </w:t>
      </w:r>
      <w:r>
        <w:lastRenderedPageBreak/>
        <w:t>Islander people</w:t>
      </w:r>
      <w:r w:rsidRPr="0049581D">
        <w:t>s</w:t>
      </w:r>
      <w:r>
        <w:t>’</w:t>
      </w:r>
      <w:r w:rsidRPr="0049581D">
        <w:t xml:space="preserve"> history.</w:t>
      </w:r>
      <w:r w:rsidR="007765B6">
        <w:t xml:space="preserve"> </w:t>
      </w:r>
      <w:r>
        <w:t>The Commission welcomes the Uluru Statement</w:t>
      </w:r>
      <w:r w:rsidRPr="00BC40E5">
        <w:t xml:space="preserve"> </w:t>
      </w:r>
      <w:r>
        <w:t xml:space="preserve">and supports the calls for </w:t>
      </w:r>
      <w:r w:rsidRPr="008315E0">
        <w:t xml:space="preserve">a First Nations’ </w:t>
      </w:r>
      <w:r w:rsidR="00894110">
        <w:t>v</w:t>
      </w:r>
      <w:r w:rsidRPr="008315E0">
        <w:t>oice to Parliament</w:t>
      </w:r>
      <w:r>
        <w:t>.</w:t>
      </w:r>
      <w:r>
        <w:rPr>
          <w:rStyle w:val="EndnoteReference"/>
        </w:rPr>
        <w:endnoteReference w:id="36"/>
      </w:r>
    </w:p>
    <w:p w14:paraId="5A89BB9C" w14:textId="77777777" w:rsidR="00532B69" w:rsidRDefault="00532B69" w:rsidP="00532B69">
      <w:pPr>
        <w:pStyle w:val="SubmissionNormal"/>
      </w:pPr>
      <w:r>
        <w:t xml:space="preserve">The Special Rapporteur on the rights of </w:t>
      </w:r>
      <w:r w:rsidR="00B3313A">
        <w:t>i</w:t>
      </w:r>
      <w:r>
        <w:t xml:space="preserve">ndigenous </w:t>
      </w:r>
      <w:r w:rsidR="00DE1309">
        <w:t>p</w:t>
      </w:r>
      <w:r>
        <w:t xml:space="preserve">eoples has encouraged the </w:t>
      </w:r>
      <w:r w:rsidR="00B3313A">
        <w:t xml:space="preserve">Australian </w:t>
      </w:r>
      <w:r>
        <w:t>Government to explore the possibility of a national treaty with Aboriginal and Torres Strait Islander peoples.</w:t>
      </w:r>
      <w:r>
        <w:rPr>
          <w:rStyle w:val="EndnoteReference"/>
        </w:rPr>
        <w:endnoteReference w:id="37"/>
      </w:r>
    </w:p>
    <w:p w14:paraId="70EF3E1D" w14:textId="1D5C1EFD" w:rsidR="00532B69" w:rsidRPr="0049581D" w:rsidRDefault="00532B69" w:rsidP="00E90792">
      <w:pPr>
        <w:pStyle w:val="SubmissionNormal"/>
        <w:numPr>
          <w:ilvl w:val="0"/>
          <w:numId w:val="52"/>
        </w:numPr>
        <w:rPr>
          <w:rFonts w:cs="Arial"/>
          <w:b/>
        </w:rPr>
      </w:pPr>
      <w:r w:rsidRPr="0049581D">
        <w:rPr>
          <w:b/>
        </w:rPr>
        <w:t xml:space="preserve">That the </w:t>
      </w:r>
      <w:r w:rsidR="00B3313A">
        <w:rPr>
          <w:b/>
        </w:rPr>
        <w:t xml:space="preserve">Australian </w:t>
      </w:r>
      <w:r w:rsidRPr="0049581D">
        <w:rPr>
          <w:b/>
        </w:rPr>
        <w:t xml:space="preserve">Government </w:t>
      </w:r>
      <w:r>
        <w:rPr>
          <w:b/>
          <w:lang w:val="en-GB" w:eastAsia="en-GB"/>
        </w:rPr>
        <w:t xml:space="preserve">develop with Aboriginal and Torres Strait Islander peoples </w:t>
      </w:r>
      <w:r w:rsidRPr="0049581D">
        <w:rPr>
          <w:b/>
        </w:rPr>
        <w:t>a model for const</w:t>
      </w:r>
      <w:r w:rsidRPr="00BC40E5">
        <w:rPr>
          <w:b/>
        </w:rPr>
        <w:t>itutional recognition and for a First Nations’ voice to Parliament</w:t>
      </w:r>
      <w:r w:rsidRPr="0049581D">
        <w:rPr>
          <w:b/>
        </w:rPr>
        <w:t xml:space="preserve">. </w:t>
      </w:r>
    </w:p>
    <w:p w14:paraId="252ED4B3" w14:textId="01A93F2E" w:rsidR="00532B69" w:rsidRPr="00A966B0" w:rsidRDefault="00532B69" w:rsidP="00532B69">
      <w:pPr>
        <w:pStyle w:val="Heading2"/>
      </w:pPr>
      <w:bookmarkStart w:id="35" w:name="_Toc486493953"/>
      <w:bookmarkStart w:id="36" w:name="_Toc493489595"/>
      <w:r w:rsidRPr="00A966B0">
        <w:t xml:space="preserve">Aboriginal and Torres Strait Islander </w:t>
      </w:r>
      <w:bookmarkEnd w:id="35"/>
      <w:r w:rsidR="00024C7A">
        <w:t>people with disability</w:t>
      </w:r>
      <w:r w:rsidR="00931D4A">
        <w:t xml:space="preserve"> </w:t>
      </w:r>
      <w:r w:rsidR="00AB7F55">
        <w:t xml:space="preserve">(ICCPR </w:t>
      </w:r>
      <w:r w:rsidR="007B076B">
        <w:t>a</w:t>
      </w:r>
      <w:r w:rsidR="00AB7F55">
        <w:t>rticles 2, 7 &amp; 9)</w:t>
      </w:r>
      <w:bookmarkEnd w:id="36"/>
    </w:p>
    <w:p w14:paraId="10A29BBD" w14:textId="4B1E7878" w:rsidR="00DE1309" w:rsidRPr="00980187" w:rsidRDefault="00532B69" w:rsidP="00532B69">
      <w:pPr>
        <w:pStyle w:val="SubmissionNormal"/>
        <w:rPr>
          <w:rFonts w:cs="Arial"/>
        </w:rPr>
      </w:pPr>
      <w:r w:rsidRPr="005330D7">
        <w:t>Aboriginal and Torres Strait Islander people</w:t>
      </w:r>
      <w:r>
        <w:t xml:space="preserve"> with disabilities</w:t>
      </w:r>
      <w:r w:rsidRPr="005330D7">
        <w:t xml:space="preserve"> face institutional </w:t>
      </w:r>
      <w:r>
        <w:t xml:space="preserve">and endemic </w:t>
      </w:r>
      <w:r w:rsidRPr="005330D7">
        <w:t xml:space="preserve">discrimination because of their disability and </w:t>
      </w:r>
      <w:r>
        <w:t>Indigenous status</w:t>
      </w:r>
      <w:r w:rsidRPr="00C13B02">
        <w:rPr>
          <w:rFonts w:cs="Arial"/>
          <w:color w:val="333333"/>
          <w:shd w:val="clear" w:color="auto" w:fill="FFFFFF"/>
        </w:rPr>
        <w:t>.</w:t>
      </w:r>
      <w:r>
        <w:rPr>
          <w:rStyle w:val="EndnoteReference"/>
          <w:rFonts w:cs="Arial"/>
          <w:color w:val="333333"/>
          <w:shd w:val="clear" w:color="auto" w:fill="FFFFFF"/>
        </w:rPr>
        <w:endnoteReference w:id="38"/>
      </w:r>
      <w:r>
        <w:t xml:space="preserve">  </w:t>
      </w:r>
    </w:p>
    <w:p w14:paraId="5436AC03" w14:textId="485C1B35" w:rsidR="00CC6C91" w:rsidRPr="002A7972" w:rsidRDefault="00CC6C91" w:rsidP="00CC6C91">
      <w:pPr>
        <w:pStyle w:val="SubmissionNormal"/>
        <w:rPr>
          <w:b/>
        </w:rPr>
      </w:pPr>
      <w:r w:rsidRPr="006C0F05">
        <w:t>The Commission</w:t>
      </w:r>
      <w:r>
        <w:t xml:space="preserve"> not</w:t>
      </w:r>
      <w:r w:rsidRPr="006C0F05">
        <w:t xml:space="preserve">es the Government’s commitment in </w:t>
      </w:r>
      <w:r>
        <w:t xml:space="preserve">the </w:t>
      </w:r>
      <w:r>
        <w:rPr>
          <w:i/>
        </w:rPr>
        <w:t xml:space="preserve">National Disability Strategy Second Implementation Plan: </w:t>
      </w:r>
      <w:r w:rsidRPr="00C13B02">
        <w:rPr>
          <w:i/>
        </w:rPr>
        <w:t>Driving Action 2015</w:t>
      </w:r>
      <w:r w:rsidR="00E72F32">
        <w:rPr>
          <w:i/>
        </w:rPr>
        <w:t>–</w:t>
      </w:r>
      <w:r w:rsidRPr="00C13B02">
        <w:rPr>
          <w:i/>
        </w:rPr>
        <w:t>18</w:t>
      </w:r>
      <w:r w:rsidRPr="006C0F05">
        <w:t xml:space="preserve"> to develop </w:t>
      </w:r>
      <w:r>
        <w:t>an</w:t>
      </w:r>
      <w:r w:rsidRPr="006C0F05">
        <w:t xml:space="preserve"> </w:t>
      </w:r>
      <w:r w:rsidRPr="00C13B02">
        <w:rPr>
          <w:i/>
        </w:rPr>
        <w:t>Australian Government Plan to Improve Outcomes for Aboriginal and Torres Strait Islander People with Disability</w:t>
      </w:r>
      <w:r>
        <w:rPr>
          <w:i/>
        </w:rPr>
        <w:t>.</w:t>
      </w:r>
      <w:r w:rsidRPr="006C0F05">
        <w:rPr>
          <w:rStyle w:val="EndnoteReference"/>
        </w:rPr>
        <w:endnoteReference w:id="39"/>
      </w:r>
    </w:p>
    <w:p w14:paraId="5071C6C1" w14:textId="6B0062B7" w:rsidR="00CC6C91" w:rsidRPr="002F6F01" w:rsidRDefault="00CC6C91" w:rsidP="00E90792">
      <w:pPr>
        <w:pStyle w:val="SubmissionNormal"/>
        <w:numPr>
          <w:ilvl w:val="0"/>
          <w:numId w:val="52"/>
        </w:numPr>
        <w:rPr>
          <w:b/>
        </w:rPr>
      </w:pPr>
      <w:r w:rsidRPr="00C14BF6">
        <w:rPr>
          <w:b/>
        </w:rPr>
        <w:t xml:space="preserve">That the </w:t>
      </w:r>
      <w:r w:rsidR="00B3313A">
        <w:rPr>
          <w:b/>
        </w:rPr>
        <w:t xml:space="preserve">Australian </w:t>
      </w:r>
      <w:r w:rsidRPr="00C14BF6">
        <w:rPr>
          <w:b/>
        </w:rPr>
        <w:t xml:space="preserve">Government develop the </w:t>
      </w:r>
      <w:r w:rsidRPr="00C14BF6">
        <w:rPr>
          <w:b/>
          <w:i/>
        </w:rPr>
        <w:t xml:space="preserve">Plan to Improve Outcomes for Aboriginal and Torres Strait Islander People with Disability. </w:t>
      </w:r>
    </w:p>
    <w:p w14:paraId="37E2C7E2" w14:textId="3DE097E4" w:rsidR="003C2C77" w:rsidRDefault="00692F0B" w:rsidP="00532B69">
      <w:pPr>
        <w:pStyle w:val="Heading1"/>
      </w:pPr>
      <w:bookmarkStart w:id="37" w:name="_Toc493489596"/>
      <w:r>
        <w:t>Older p</w:t>
      </w:r>
      <w:r w:rsidR="00146938" w:rsidRPr="0061495E">
        <w:t>ersons</w:t>
      </w:r>
      <w:bookmarkEnd w:id="37"/>
    </w:p>
    <w:p w14:paraId="121B06EA" w14:textId="77777777" w:rsidR="00733D0E" w:rsidRPr="00A246B3" w:rsidRDefault="00733D0E" w:rsidP="00733D0E">
      <w:pPr>
        <w:pStyle w:val="Heading2"/>
      </w:pPr>
      <w:bookmarkStart w:id="38" w:name="_Toc481742645"/>
      <w:bookmarkStart w:id="39" w:name="_Toc493489597"/>
      <w:r w:rsidRPr="00A246B3">
        <w:t xml:space="preserve">Elder abuse (ICCPR </w:t>
      </w:r>
      <w:r w:rsidR="007B076B">
        <w:t>a</w:t>
      </w:r>
      <w:r>
        <w:t>rticles</w:t>
      </w:r>
      <w:r w:rsidRPr="00A246B3">
        <w:t xml:space="preserve"> 2</w:t>
      </w:r>
      <w:r w:rsidR="00FB1F5F">
        <w:t>, 7 &amp; 9</w:t>
      </w:r>
      <w:r w:rsidRPr="00A246B3">
        <w:t>)</w:t>
      </w:r>
      <w:bookmarkEnd w:id="38"/>
      <w:bookmarkEnd w:id="39"/>
    </w:p>
    <w:p w14:paraId="3998B54D" w14:textId="76ABA977" w:rsidR="00733D0E" w:rsidRDefault="00733D0E">
      <w:pPr>
        <w:pStyle w:val="SubmissionNormal"/>
      </w:pPr>
      <w:r w:rsidRPr="002F64C8">
        <w:t>E</w:t>
      </w:r>
      <w:r>
        <w:t xml:space="preserve">lder abuse </w:t>
      </w:r>
      <w:r w:rsidRPr="002F64C8">
        <w:t>is a fundamental human rights issue faced by many older people</w:t>
      </w:r>
      <w:r>
        <w:t>. Common</w:t>
      </w:r>
      <w:r w:rsidR="002B7726">
        <w:t>ly</w:t>
      </w:r>
      <w:r>
        <w:t xml:space="preserve"> recognised forms of elder abuse include p</w:t>
      </w:r>
      <w:r w:rsidRPr="00915B25">
        <w:rPr>
          <w:rFonts w:cs="Arial"/>
          <w:bCs/>
        </w:rPr>
        <w:t>sychological/emotional abuse;</w:t>
      </w:r>
      <w:r>
        <w:rPr>
          <w:rFonts w:cs="Arial"/>
          <w:bCs/>
        </w:rPr>
        <w:t xml:space="preserve"> p</w:t>
      </w:r>
      <w:r w:rsidRPr="00915B25">
        <w:rPr>
          <w:rFonts w:cs="Arial"/>
          <w:bCs/>
        </w:rPr>
        <w:t>hysical abuse;</w:t>
      </w:r>
      <w:r>
        <w:rPr>
          <w:rFonts w:cs="Arial"/>
          <w:bCs/>
        </w:rPr>
        <w:t xml:space="preserve"> s</w:t>
      </w:r>
      <w:r w:rsidRPr="00915B25">
        <w:rPr>
          <w:rFonts w:cs="Arial"/>
          <w:bCs/>
        </w:rPr>
        <w:t>exual abuse;</w:t>
      </w:r>
      <w:r>
        <w:rPr>
          <w:rFonts w:cs="Arial"/>
          <w:bCs/>
        </w:rPr>
        <w:t xml:space="preserve"> f</w:t>
      </w:r>
      <w:r w:rsidRPr="00915B25">
        <w:rPr>
          <w:rFonts w:cs="Arial"/>
          <w:bCs/>
        </w:rPr>
        <w:t>inancial abuse;</w:t>
      </w:r>
      <w:r w:rsidRPr="00915B25">
        <w:rPr>
          <w:rFonts w:cs="Arial"/>
        </w:rPr>
        <w:t xml:space="preserve"> </w:t>
      </w:r>
      <w:r>
        <w:rPr>
          <w:rFonts w:cs="Arial"/>
        </w:rPr>
        <w:t>and n</w:t>
      </w:r>
      <w:r w:rsidRPr="00915B25">
        <w:rPr>
          <w:rFonts w:cs="Arial"/>
          <w:bCs/>
        </w:rPr>
        <w:t>eglect</w:t>
      </w:r>
      <w:r w:rsidRPr="00915B25">
        <w:rPr>
          <w:rFonts w:cs="Arial"/>
        </w:rPr>
        <w:t>.</w:t>
      </w:r>
      <w:r w:rsidRPr="00760785">
        <w:rPr>
          <w:rStyle w:val="EndnoteReference"/>
          <w:rFonts w:cs="Arial"/>
        </w:rPr>
        <w:endnoteReference w:id="40"/>
      </w:r>
      <w:r w:rsidR="00200814">
        <w:t xml:space="preserve"> </w:t>
      </w:r>
      <w:r>
        <w:t>Some Australians have heightened vulnerability to elder abuse, such as older people in culturally and lin</w:t>
      </w:r>
      <w:r w:rsidR="00024C7A">
        <w:t>guistically diverse communities,</w:t>
      </w:r>
      <w:r w:rsidRPr="00AC5C27">
        <w:rPr>
          <w:rStyle w:val="EndnoteReference"/>
        </w:rPr>
        <w:t xml:space="preserve"> </w:t>
      </w:r>
      <w:r>
        <w:t>older p</w:t>
      </w:r>
      <w:r w:rsidR="00024C7A">
        <w:t>eople in rural and remote areas,</w:t>
      </w:r>
      <w:r w:rsidR="002A7972">
        <w:t xml:space="preserve"> </w:t>
      </w:r>
      <w:r>
        <w:t>older people with cognitive impairments</w:t>
      </w:r>
      <w:r w:rsidRPr="00AC5C27">
        <w:rPr>
          <w:rStyle w:val="EndnoteReference"/>
        </w:rPr>
        <w:t xml:space="preserve"> </w:t>
      </w:r>
      <w:r w:rsidR="00024C7A">
        <w:t xml:space="preserve"> and/or other disabilities, older Indigenous people,</w:t>
      </w:r>
      <w:r>
        <w:t xml:space="preserve"> and older women.</w:t>
      </w:r>
      <w:r>
        <w:rPr>
          <w:rStyle w:val="EndnoteReference"/>
        </w:rPr>
        <w:endnoteReference w:id="41"/>
      </w:r>
    </w:p>
    <w:p w14:paraId="32702D0E" w14:textId="08A6B1D9" w:rsidR="00733D0E" w:rsidRDefault="00733D0E" w:rsidP="002C64C1">
      <w:pPr>
        <w:pStyle w:val="SubmissionNormal"/>
      </w:pPr>
      <w:r>
        <w:t xml:space="preserve">The Commission welcomes </w:t>
      </w:r>
      <w:r w:rsidR="00514832">
        <w:t xml:space="preserve">the </w:t>
      </w:r>
      <w:r>
        <w:t xml:space="preserve">ALRC’s report </w:t>
      </w:r>
      <w:r w:rsidRPr="00A40385">
        <w:rPr>
          <w:i/>
        </w:rPr>
        <w:t>Elder Abuse—A National Legal Response</w:t>
      </w:r>
      <w:r w:rsidRPr="00733D0E">
        <w:rPr>
          <w:rStyle w:val="EndnoteReference"/>
          <w:sz w:val="24"/>
        </w:rPr>
        <w:endnoteReference w:id="42"/>
      </w:r>
      <w:r>
        <w:t xml:space="preserve"> and other</w:t>
      </w:r>
      <w:r w:rsidRPr="00915B25">
        <w:t xml:space="preserve"> </w:t>
      </w:r>
      <w:r>
        <w:t>relevant independent and government-funded studies.</w:t>
      </w:r>
      <w:r>
        <w:rPr>
          <w:rStyle w:val="EndnoteReference"/>
        </w:rPr>
        <w:endnoteReference w:id="43"/>
      </w:r>
    </w:p>
    <w:p w14:paraId="147D4303" w14:textId="77777777" w:rsidR="00733D0E" w:rsidRDefault="00733D0E" w:rsidP="00733D0E">
      <w:pPr>
        <w:pStyle w:val="SubmissionNormal"/>
      </w:pPr>
      <w:r>
        <w:t>The Commission welcomes the Government’s commitment to developing a national plan to better protect the rights of older Australians, including a prevalence study into elder abuse, pilot training programmes for frontline staff and an awareness and education campaign.</w:t>
      </w:r>
      <w:r>
        <w:rPr>
          <w:rStyle w:val="EndnoteReference"/>
        </w:rPr>
        <w:endnoteReference w:id="44"/>
      </w:r>
      <w:r>
        <w:t xml:space="preserve"> </w:t>
      </w:r>
    </w:p>
    <w:p w14:paraId="24808429" w14:textId="77777777" w:rsidR="00733D0E" w:rsidRDefault="00733D0E" w:rsidP="00733D0E">
      <w:pPr>
        <w:pStyle w:val="SubmissionNormal"/>
      </w:pPr>
      <w:r>
        <w:t>The Commission also welcomes the Government’s commitment of $50 million to improve seniors</w:t>
      </w:r>
      <w:r w:rsidR="00DA0BC7">
        <w:t>’</w:t>
      </w:r>
      <w:r>
        <w:t xml:space="preserve"> digital literacy</w:t>
      </w:r>
      <w:r w:rsidR="00DA0BC7">
        <w:t>,</w:t>
      </w:r>
      <w:r>
        <w:t xml:space="preserve"> which will include the development of an online safety strategy for senior Australians.</w:t>
      </w:r>
      <w:r>
        <w:rPr>
          <w:rStyle w:val="EndnoteReference"/>
        </w:rPr>
        <w:endnoteReference w:id="45"/>
      </w:r>
    </w:p>
    <w:p w14:paraId="715AE9F7" w14:textId="1A3BE6B2" w:rsidR="007E12D3" w:rsidRDefault="00E122EC" w:rsidP="00E122EC">
      <w:pPr>
        <w:pStyle w:val="SubmissionNormal"/>
      </w:pPr>
      <w:r>
        <w:lastRenderedPageBreak/>
        <w:t>The Commission com</w:t>
      </w:r>
      <w:r w:rsidR="00F81BF8">
        <w:t>mends the establishment of an e</w:t>
      </w:r>
      <w:r>
        <w:t>Safety Commissioner.</w:t>
      </w:r>
      <w:r>
        <w:rPr>
          <w:rStyle w:val="EndnoteReference"/>
        </w:rPr>
        <w:endnoteReference w:id="46"/>
      </w:r>
      <w:r>
        <w:t xml:space="preserve"> The eSafety Commissioner</w:t>
      </w:r>
      <w:r w:rsidR="006752FE">
        <w:t>’s role</w:t>
      </w:r>
      <w:r>
        <w:t xml:space="preserve"> initially </w:t>
      </w:r>
      <w:r w:rsidR="00F81BF8">
        <w:t>focused on</w:t>
      </w:r>
      <w:r w:rsidR="006752FE">
        <w:t xml:space="preserve"> </w:t>
      </w:r>
      <w:r w:rsidRPr="00E122EC">
        <w:t>cyberbullying</w:t>
      </w:r>
      <w:r w:rsidR="00F81BF8">
        <w:t xml:space="preserve"> </w:t>
      </w:r>
      <w:r w:rsidR="00E72F32">
        <w:t xml:space="preserve">of </w:t>
      </w:r>
      <w:r w:rsidR="00F81BF8">
        <w:t>young people, but</w:t>
      </w:r>
      <w:r w:rsidR="006752FE">
        <w:t xml:space="preserve"> has since expanded to include improving the digital confidence and skills of senior Australians, and establishing a national online complaints mechanism.</w:t>
      </w:r>
      <w:r w:rsidR="006752FE">
        <w:rPr>
          <w:rStyle w:val="EndnoteReference"/>
        </w:rPr>
        <w:endnoteReference w:id="47"/>
      </w:r>
      <w:r w:rsidR="00F81BF8">
        <w:t xml:space="preserve"> </w:t>
      </w:r>
      <w:r w:rsidR="002B7726">
        <w:t>The Government has also committed to undertaking a prevalence study</w:t>
      </w:r>
      <w:r w:rsidR="00EF4A2A">
        <w:t>. A</w:t>
      </w:r>
      <w:r w:rsidR="002B7726">
        <w:t xml:space="preserve"> scoping study has already been undertaken and a tender has been issued.</w:t>
      </w:r>
    </w:p>
    <w:p w14:paraId="47CE971A" w14:textId="070DF03E" w:rsidR="00733D0E" w:rsidRPr="00733D0E" w:rsidRDefault="002C64C1" w:rsidP="00E90792">
      <w:pPr>
        <w:pStyle w:val="SubmissionNormal"/>
        <w:numPr>
          <w:ilvl w:val="0"/>
          <w:numId w:val="52"/>
        </w:numPr>
      </w:pPr>
      <w:r w:rsidRPr="002C64C1">
        <w:rPr>
          <w:b/>
        </w:rPr>
        <w:t xml:space="preserve">That the </w:t>
      </w:r>
      <w:r w:rsidR="00B3313A">
        <w:rPr>
          <w:b/>
        </w:rPr>
        <w:t xml:space="preserve">Australian </w:t>
      </w:r>
      <w:r w:rsidRPr="002C64C1">
        <w:rPr>
          <w:b/>
        </w:rPr>
        <w:t xml:space="preserve">Government implement recommendations from the ALRC’s report </w:t>
      </w:r>
      <w:r w:rsidRPr="002C64C1">
        <w:rPr>
          <w:b/>
          <w:i/>
        </w:rPr>
        <w:t>Elder Abuse—A National Legal Response</w:t>
      </w:r>
      <w:r w:rsidRPr="002C64C1">
        <w:rPr>
          <w:b/>
        </w:rPr>
        <w:t xml:space="preserve"> and continue to work towards the development of a </w:t>
      </w:r>
      <w:r w:rsidR="000B29FE">
        <w:rPr>
          <w:b/>
        </w:rPr>
        <w:t>n</w:t>
      </w:r>
      <w:r w:rsidRPr="002C64C1">
        <w:rPr>
          <w:b/>
        </w:rPr>
        <w:t xml:space="preserve">ational </w:t>
      </w:r>
      <w:r w:rsidR="000B29FE">
        <w:rPr>
          <w:b/>
        </w:rPr>
        <w:t>p</w:t>
      </w:r>
      <w:r w:rsidRPr="002C64C1">
        <w:rPr>
          <w:b/>
        </w:rPr>
        <w:t>lan to tackle elder abuse</w:t>
      </w:r>
      <w:r w:rsidR="00733D0E" w:rsidRPr="00733D0E">
        <w:rPr>
          <w:b/>
        </w:rPr>
        <w:t>.</w:t>
      </w:r>
    </w:p>
    <w:p w14:paraId="5B878959" w14:textId="77777777" w:rsidR="00E76897" w:rsidRDefault="008F06B8" w:rsidP="00E76897">
      <w:pPr>
        <w:pStyle w:val="Heading2"/>
      </w:pPr>
      <w:bookmarkStart w:id="40" w:name="_Toc493489598"/>
      <w:r>
        <w:t>A</w:t>
      </w:r>
      <w:r w:rsidR="00E76897">
        <w:t xml:space="preserve">ccess to work </w:t>
      </w:r>
      <w:r w:rsidR="00E76897" w:rsidRPr="00287C9D">
        <w:t>(</w:t>
      </w:r>
      <w:r w:rsidR="00AE1ECC">
        <w:t xml:space="preserve">ICCPR </w:t>
      </w:r>
      <w:r w:rsidR="007B076B">
        <w:t>a</w:t>
      </w:r>
      <w:r w:rsidR="00AE1ECC">
        <w:t>rticles</w:t>
      </w:r>
      <w:r w:rsidR="00E76897" w:rsidRPr="00287C9D">
        <w:t xml:space="preserve"> 2</w:t>
      </w:r>
      <w:r w:rsidR="00AE1ECC">
        <w:t xml:space="preserve"> </w:t>
      </w:r>
      <w:r>
        <w:t>&amp;</w:t>
      </w:r>
      <w:r w:rsidR="00E76897" w:rsidRPr="00287C9D">
        <w:t xml:space="preserve"> 2</w:t>
      </w:r>
      <w:r w:rsidR="00E76897">
        <w:t>5(c)</w:t>
      </w:r>
      <w:r w:rsidR="00E76897" w:rsidRPr="00287C9D">
        <w:t>)</w:t>
      </w:r>
      <w:bookmarkEnd w:id="40"/>
    </w:p>
    <w:p w14:paraId="79AD116A" w14:textId="77777777" w:rsidR="004C53F0" w:rsidRPr="008F06B8" w:rsidRDefault="008F06B8" w:rsidP="008F06B8">
      <w:pPr>
        <w:pStyle w:val="SubmissionNormal"/>
        <w:rPr>
          <w:rFonts w:cs="Arial"/>
          <w:i/>
          <w:color w:val="000000"/>
          <w:lang w:val="en-GB"/>
        </w:rPr>
      </w:pPr>
      <w:r>
        <w:rPr>
          <w:rFonts w:cs="Arial"/>
          <w:color w:val="000000"/>
          <w:lang w:val="en-GB"/>
        </w:rPr>
        <w:t xml:space="preserve">In </w:t>
      </w:r>
      <w:r w:rsidR="000B29FE">
        <w:rPr>
          <w:rFonts w:cs="Arial"/>
          <w:color w:val="000000"/>
          <w:lang w:val="en-GB"/>
        </w:rPr>
        <w:t>the</w:t>
      </w:r>
      <w:r>
        <w:rPr>
          <w:rFonts w:cs="Arial"/>
          <w:color w:val="000000"/>
          <w:lang w:val="en-GB"/>
        </w:rPr>
        <w:t xml:space="preserve"> </w:t>
      </w:r>
      <w:r w:rsidR="00A246B3" w:rsidRPr="004C53F0">
        <w:rPr>
          <w:rFonts w:cs="Arial"/>
          <w:i/>
          <w:color w:val="000000"/>
          <w:lang w:val="en-GB"/>
        </w:rPr>
        <w:t>Willing to Work National Inquiry into Employment Discrimination against Older Australians and Australians with Disability</w:t>
      </w:r>
      <w:r w:rsidR="00AE1ECC">
        <w:rPr>
          <w:rFonts w:cs="Arial"/>
          <w:i/>
          <w:color w:val="000000"/>
          <w:lang w:val="en-GB"/>
        </w:rPr>
        <w:t xml:space="preserve"> </w:t>
      </w:r>
      <w:r w:rsidR="00AE1ECC">
        <w:rPr>
          <w:rFonts w:cs="Arial"/>
          <w:color w:val="000000"/>
          <w:lang w:val="en-GB"/>
        </w:rPr>
        <w:t>(</w:t>
      </w:r>
      <w:r w:rsidR="00AE1ECC" w:rsidRPr="00E72F32">
        <w:rPr>
          <w:rFonts w:cs="Arial"/>
          <w:i/>
          <w:color w:val="000000"/>
          <w:lang w:val="en-GB"/>
        </w:rPr>
        <w:t>Willing to Work</w:t>
      </w:r>
      <w:r w:rsidR="00AE1ECC" w:rsidRPr="00AE1ECC">
        <w:rPr>
          <w:rFonts w:cs="Arial"/>
          <w:color w:val="000000"/>
          <w:lang w:val="en-GB"/>
        </w:rPr>
        <w:t xml:space="preserve"> Report</w:t>
      </w:r>
      <w:r w:rsidR="00AE1ECC">
        <w:rPr>
          <w:rFonts w:cs="Arial"/>
          <w:color w:val="000000"/>
          <w:lang w:val="en-GB"/>
        </w:rPr>
        <w:t>)</w:t>
      </w:r>
      <w:r>
        <w:rPr>
          <w:rFonts w:cs="Arial"/>
          <w:color w:val="000000"/>
          <w:lang w:val="en-GB"/>
        </w:rPr>
        <w:t>,</w:t>
      </w:r>
      <w:r w:rsidR="005854C6">
        <w:rPr>
          <w:rStyle w:val="EndnoteReference"/>
          <w:rFonts w:cs="Arial"/>
          <w:color w:val="000000"/>
          <w:lang w:val="en-GB"/>
        </w:rPr>
        <w:endnoteReference w:id="48"/>
      </w:r>
      <w:r w:rsidR="009420CE" w:rsidRPr="004C53F0">
        <w:rPr>
          <w:rFonts w:cs="Arial"/>
        </w:rPr>
        <w:t xml:space="preserve"> </w:t>
      </w:r>
      <w:r>
        <w:rPr>
          <w:rFonts w:cs="Arial"/>
        </w:rPr>
        <w:t xml:space="preserve">the </w:t>
      </w:r>
      <w:r w:rsidR="00C82CA3" w:rsidRPr="008F06B8">
        <w:rPr>
          <w:rFonts w:cs="Arial"/>
        </w:rPr>
        <w:t>Commission reported</w:t>
      </w:r>
      <w:r w:rsidR="004C53F0" w:rsidRPr="008F06B8">
        <w:rPr>
          <w:rFonts w:cs="Arial"/>
        </w:rPr>
        <w:t>:</w:t>
      </w:r>
    </w:p>
    <w:p w14:paraId="7F8219E6" w14:textId="77777777" w:rsidR="00A246B3" w:rsidRPr="004C53F0" w:rsidRDefault="004C53F0" w:rsidP="001F16B1">
      <w:pPr>
        <w:pStyle w:val="SubmissionNormal"/>
        <w:numPr>
          <w:ilvl w:val="0"/>
          <w:numId w:val="17"/>
        </w:numPr>
        <w:rPr>
          <w:rFonts w:cs="Arial"/>
          <w:i/>
          <w:color w:val="000000"/>
          <w:lang w:val="en-GB"/>
        </w:rPr>
      </w:pPr>
      <w:r>
        <w:t>I</w:t>
      </w:r>
      <w:r w:rsidR="00C82CA3">
        <w:t>n 2015, 27% of people over the age of 50 had recently experienced discrimination in the workplace.</w:t>
      </w:r>
      <w:r w:rsidR="00C82CA3">
        <w:rPr>
          <w:rStyle w:val="EndnoteReference"/>
        </w:rPr>
        <w:endnoteReference w:id="49"/>
      </w:r>
      <w:r w:rsidR="00C82CA3">
        <w:t xml:space="preserve"> </w:t>
      </w:r>
    </w:p>
    <w:p w14:paraId="3D287947" w14:textId="097EF7BA" w:rsidR="00F9298B" w:rsidRPr="009A0AC5" w:rsidRDefault="00F9298B" w:rsidP="001F16B1">
      <w:pPr>
        <w:pStyle w:val="SubmissionNormal"/>
        <w:numPr>
          <w:ilvl w:val="0"/>
          <w:numId w:val="17"/>
        </w:numPr>
      </w:pPr>
      <w:r>
        <w:rPr>
          <w:rFonts w:cs="Arial"/>
        </w:rPr>
        <w:t>I</w:t>
      </w:r>
      <w:r w:rsidRPr="000F5C85">
        <w:t xml:space="preserve">n 2015, 53.4% of people with disability were participating in the labour force, compared </w:t>
      </w:r>
      <w:r w:rsidR="00E72F32">
        <w:t>to</w:t>
      </w:r>
      <w:r w:rsidR="00E72F32" w:rsidRPr="000F5C85">
        <w:t xml:space="preserve"> </w:t>
      </w:r>
      <w:r w:rsidRPr="000F5C85">
        <w:t>83.2% of people without disability.</w:t>
      </w:r>
      <w:r w:rsidRPr="000F5C85">
        <w:rPr>
          <w:bCs/>
          <w:sz w:val="20"/>
          <w:vertAlign w:val="superscript"/>
          <w:lang w:val="en"/>
        </w:rPr>
        <w:endnoteReference w:id="50"/>
      </w:r>
      <w:r w:rsidRPr="000F5C85">
        <w:t xml:space="preserve"> </w:t>
      </w:r>
    </w:p>
    <w:p w14:paraId="54C161D9" w14:textId="77777777" w:rsidR="005854C6" w:rsidRPr="00F9298B" w:rsidRDefault="005854C6" w:rsidP="004C53F0">
      <w:pPr>
        <w:pStyle w:val="SubmissionNormal"/>
        <w:rPr>
          <w:rFonts w:cs="Arial"/>
        </w:rPr>
      </w:pPr>
      <w:r>
        <w:t>There has been no formal</w:t>
      </w:r>
      <w:r w:rsidR="00B36D85">
        <w:t xml:space="preserve"> Government</w:t>
      </w:r>
      <w:r>
        <w:t xml:space="preserve"> </w:t>
      </w:r>
      <w:r w:rsidRPr="00B36D85">
        <w:rPr>
          <w:rFonts w:cs="Arial"/>
          <w:color w:val="000000"/>
          <w:lang w:val="en-GB"/>
        </w:rPr>
        <w:t>response</w:t>
      </w:r>
      <w:r>
        <w:t xml:space="preserve"> to the </w:t>
      </w:r>
      <w:r w:rsidR="00B36D85" w:rsidRPr="00E72F32">
        <w:rPr>
          <w:rFonts w:cs="Arial"/>
          <w:i/>
          <w:color w:val="000000"/>
          <w:lang w:val="en-GB"/>
        </w:rPr>
        <w:t>Willing to Work</w:t>
      </w:r>
      <w:r w:rsidR="00B36D85" w:rsidRPr="004C53F0">
        <w:rPr>
          <w:rFonts w:cs="Arial"/>
          <w:i/>
          <w:color w:val="000000"/>
          <w:lang w:val="en-GB"/>
        </w:rPr>
        <w:t xml:space="preserve"> </w:t>
      </w:r>
      <w:r w:rsidR="00AE1ECC">
        <w:rPr>
          <w:rFonts w:cs="Arial"/>
          <w:color w:val="000000"/>
          <w:lang w:val="en-GB"/>
        </w:rPr>
        <w:t xml:space="preserve">Report </w:t>
      </w:r>
      <w:r>
        <w:t xml:space="preserve">and no </w:t>
      </w:r>
      <w:r w:rsidR="00B36D85">
        <w:t>G</w:t>
      </w:r>
      <w:r>
        <w:t xml:space="preserve">overnment-led action plan to implement its recommendations. </w:t>
      </w:r>
    </w:p>
    <w:p w14:paraId="19D39F7F" w14:textId="66F249FF" w:rsidR="005854C6" w:rsidRPr="001B17A9" w:rsidRDefault="005854C6" w:rsidP="00E90792">
      <w:pPr>
        <w:pStyle w:val="SubmissionNormal"/>
        <w:numPr>
          <w:ilvl w:val="0"/>
          <w:numId w:val="52"/>
        </w:numPr>
      </w:pPr>
      <w:r>
        <w:rPr>
          <w:b/>
        </w:rPr>
        <w:t>That</w:t>
      </w:r>
      <w:r w:rsidRPr="00B36D85">
        <w:rPr>
          <w:b/>
        </w:rPr>
        <w:t xml:space="preserve"> the </w:t>
      </w:r>
      <w:r w:rsidR="00B3313A">
        <w:rPr>
          <w:b/>
        </w:rPr>
        <w:t xml:space="preserve">Australian </w:t>
      </w:r>
      <w:r w:rsidRPr="00B36D85">
        <w:rPr>
          <w:b/>
        </w:rPr>
        <w:t>Government implement the</w:t>
      </w:r>
      <w:r w:rsidR="008F06B8">
        <w:rPr>
          <w:b/>
        </w:rPr>
        <w:t xml:space="preserve"> recommendations in </w:t>
      </w:r>
      <w:r w:rsidR="00DA0BC7">
        <w:rPr>
          <w:b/>
        </w:rPr>
        <w:t>the</w:t>
      </w:r>
      <w:r w:rsidR="00DA0BC7" w:rsidRPr="00B36D85">
        <w:rPr>
          <w:b/>
        </w:rPr>
        <w:t xml:space="preserve"> </w:t>
      </w:r>
      <w:r w:rsidR="00B36D85" w:rsidRPr="00E72F32">
        <w:rPr>
          <w:rFonts w:cs="Arial"/>
          <w:b/>
          <w:i/>
          <w:color w:val="000000"/>
          <w:lang w:val="en-GB"/>
        </w:rPr>
        <w:t>Willing to Work</w:t>
      </w:r>
      <w:r w:rsidR="008F06B8">
        <w:rPr>
          <w:rFonts w:cs="Arial"/>
          <w:b/>
          <w:i/>
          <w:color w:val="000000"/>
          <w:lang w:val="en-GB"/>
        </w:rPr>
        <w:t xml:space="preserve"> </w:t>
      </w:r>
      <w:r w:rsidR="008F06B8">
        <w:rPr>
          <w:rFonts w:cs="Arial"/>
          <w:b/>
          <w:color w:val="000000"/>
          <w:lang w:val="en-GB"/>
        </w:rPr>
        <w:t>Report to r</w:t>
      </w:r>
      <w:r>
        <w:rPr>
          <w:b/>
        </w:rPr>
        <w:t>educe employment discrimination against older Australians</w:t>
      </w:r>
      <w:r w:rsidR="00915B25">
        <w:rPr>
          <w:b/>
        </w:rPr>
        <w:t xml:space="preserve"> and Australians</w:t>
      </w:r>
      <w:r w:rsidR="002C64C1">
        <w:rPr>
          <w:b/>
        </w:rPr>
        <w:t xml:space="preserve"> with disability</w:t>
      </w:r>
      <w:r>
        <w:rPr>
          <w:b/>
        </w:rPr>
        <w:t>.</w:t>
      </w:r>
    </w:p>
    <w:p w14:paraId="669A808F" w14:textId="5938FE9D" w:rsidR="00146938" w:rsidRPr="006F1517" w:rsidRDefault="00024C7A" w:rsidP="00146938">
      <w:pPr>
        <w:pStyle w:val="Heading1"/>
      </w:pPr>
      <w:bookmarkStart w:id="41" w:name="_Toc493489599"/>
      <w:r>
        <w:t>People with disability</w:t>
      </w:r>
      <w:bookmarkEnd w:id="41"/>
    </w:p>
    <w:p w14:paraId="5042DB58" w14:textId="77777777" w:rsidR="003E5AF9" w:rsidRDefault="00C92215" w:rsidP="003E5AF9">
      <w:pPr>
        <w:pStyle w:val="Heading2"/>
      </w:pPr>
      <w:bookmarkStart w:id="42" w:name="_Toc493489600"/>
      <w:r>
        <w:t>Prisoners and mental health</w:t>
      </w:r>
      <w:r w:rsidR="005D1E95">
        <w:t xml:space="preserve"> (ICCPR </w:t>
      </w:r>
      <w:r w:rsidR="007B076B">
        <w:t>a</w:t>
      </w:r>
      <w:r w:rsidR="005D1E95">
        <w:t xml:space="preserve">rticles 2, 9 &amp; 10; </w:t>
      </w:r>
      <w:r w:rsidR="00FA204D">
        <w:br/>
      </w:r>
      <w:r w:rsidR="005D1E95">
        <w:t>LOI 17)</w:t>
      </w:r>
      <w:bookmarkEnd w:id="42"/>
    </w:p>
    <w:p w14:paraId="174381F1" w14:textId="4352B5EA" w:rsidR="00CC6C91" w:rsidRPr="00200814" w:rsidRDefault="00CA605D">
      <w:pPr>
        <w:pStyle w:val="SubmissionNormal"/>
        <w:rPr>
          <w:rFonts w:cs="Arial"/>
          <w:iCs/>
        </w:rPr>
      </w:pPr>
      <w:r>
        <w:rPr>
          <w:szCs w:val="23"/>
        </w:rPr>
        <w:t>P</w:t>
      </w:r>
      <w:r w:rsidRPr="00D93AB6">
        <w:rPr>
          <w:szCs w:val="23"/>
        </w:rPr>
        <w:t xml:space="preserve">eople with disability </w:t>
      </w:r>
      <w:r w:rsidR="005D1E95" w:rsidRPr="002356DD">
        <w:rPr>
          <w:rFonts w:cs="Arial"/>
        </w:rPr>
        <w:t xml:space="preserve">have </w:t>
      </w:r>
      <w:r w:rsidR="00733D0E">
        <w:rPr>
          <w:rFonts w:cs="Arial"/>
        </w:rPr>
        <w:t>disproportionately high r</w:t>
      </w:r>
      <w:r w:rsidR="005D1E95" w:rsidRPr="002356DD">
        <w:rPr>
          <w:rFonts w:cs="Arial"/>
        </w:rPr>
        <w:t xml:space="preserve">ates of interaction with the criminal justice system </w:t>
      </w:r>
      <w:r w:rsidR="005D1E95">
        <w:rPr>
          <w:szCs w:val="23"/>
        </w:rPr>
        <w:t xml:space="preserve">and </w:t>
      </w:r>
      <w:r w:rsidRPr="00D93AB6">
        <w:rPr>
          <w:szCs w:val="23"/>
        </w:rPr>
        <w:t>are significantly overrepresented in Australia’s prison population</w:t>
      </w:r>
      <w:r>
        <w:rPr>
          <w:szCs w:val="23"/>
        </w:rPr>
        <w:t>.</w:t>
      </w:r>
      <w:r w:rsidRPr="00D93AB6">
        <w:rPr>
          <w:rStyle w:val="EndnoteReference"/>
          <w:bCs/>
          <w:szCs w:val="23"/>
        </w:rPr>
        <w:endnoteReference w:id="51"/>
      </w:r>
      <w:r w:rsidR="00200814">
        <w:t xml:space="preserve"> </w:t>
      </w:r>
      <w:r w:rsidR="00CC6C91">
        <w:t>N</w:t>
      </w:r>
      <w:r w:rsidR="00CC6C91" w:rsidRPr="00866879">
        <w:t xml:space="preserve">ecessary supports and adjustments for </w:t>
      </w:r>
      <w:r w:rsidR="00024C7A">
        <w:t>people with disability</w:t>
      </w:r>
      <w:r w:rsidR="00CC6C91" w:rsidRPr="00866879">
        <w:t xml:space="preserve"> </w:t>
      </w:r>
      <w:r w:rsidR="00CC6C91">
        <w:t>are</w:t>
      </w:r>
      <w:r w:rsidR="00CC6C91" w:rsidRPr="00866879">
        <w:t xml:space="preserve"> frequently not provided in the criminal justice system.</w:t>
      </w:r>
      <w:r w:rsidR="00CC6C91">
        <w:rPr>
          <w:bCs/>
          <w:vertAlign w:val="superscript"/>
        </w:rPr>
        <w:endnoteReference w:id="52"/>
      </w:r>
      <w:r w:rsidR="00CC6C91">
        <w:t xml:space="preserve"> </w:t>
      </w:r>
    </w:p>
    <w:p w14:paraId="13DCB778" w14:textId="77777777" w:rsidR="00CC6C91" w:rsidRDefault="00CC6C91" w:rsidP="00CC6C91">
      <w:pPr>
        <w:pStyle w:val="SubmissionNormal"/>
      </w:pPr>
      <w:r w:rsidRPr="00EC7927">
        <w:t xml:space="preserve">The Commission </w:t>
      </w:r>
      <w:r>
        <w:t>commends the Government on its</w:t>
      </w:r>
      <w:r w:rsidRPr="00EC7927">
        <w:t xml:space="preserve"> commitment to improve the way the criminal justice system treats people with cognitive disability who are unfit to plead or found not guilty due to mental impairment,</w:t>
      </w:r>
      <w:r w:rsidRPr="00EC7927">
        <w:rPr>
          <w:rStyle w:val="EndnoteReference"/>
        </w:rPr>
        <w:endnoteReference w:id="53"/>
      </w:r>
      <w:r w:rsidRPr="00EC7927">
        <w:t xml:space="preserve"> and to analyse existing data and develop best practice resources in Australia.</w:t>
      </w:r>
    </w:p>
    <w:p w14:paraId="157743EC" w14:textId="3415E59A" w:rsidR="00CC6C91" w:rsidRPr="005D1E95" w:rsidRDefault="00CC6C91" w:rsidP="00CC6C91">
      <w:pPr>
        <w:pStyle w:val="SubmissionNormal"/>
      </w:pPr>
      <w:r w:rsidRPr="005D1E95">
        <w:t xml:space="preserve">The Commission notes that implementation of OPCAT will provide for improved monitoring of conditions of detention for </w:t>
      </w:r>
      <w:r w:rsidR="00FC7305">
        <w:t>people with disability</w:t>
      </w:r>
      <w:r w:rsidRPr="005D1E95">
        <w:t>.</w:t>
      </w:r>
    </w:p>
    <w:p w14:paraId="1B757999" w14:textId="5719B67C" w:rsidR="00CC6C91" w:rsidRPr="009C534A" w:rsidRDefault="00CC6C91" w:rsidP="00E90792">
      <w:pPr>
        <w:pStyle w:val="SubmissionNormal"/>
        <w:numPr>
          <w:ilvl w:val="0"/>
          <w:numId w:val="52"/>
        </w:numPr>
      </w:pPr>
      <w:r>
        <w:rPr>
          <w:rFonts w:cs="Arial"/>
          <w:b/>
          <w:iCs/>
        </w:rPr>
        <w:lastRenderedPageBreak/>
        <w:t>That the</w:t>
      </w:r>
      <w:r w:rsidRPr="00732347">
        <w:rPr>
          <w:rFonts w:cs="Arial"/>
          <w:b/>
          <w:iCs/>
        </w:rPr>
        <w:t xml:space="preserve"> </w:t>
      </w:r>
      <w:r w:rsidR="00B3313A">
        <w:rPr>
          <w:rFonts w:cs="Arial"/>
          <w:b/>
          <w:iCs/>
        </w:rPr>
        <w:t xml:space="preserve">Australian </w:t>
      </w:r>
      <w:r>
        <w:rPr>
          <w:rFonts w:cs="Arial"/>
          <w:b/>
          <w:iCs/>
        </w:rPr>
        <w:t xml:space="preserve">Government, through </w:t>
      </w:r>
      <w:r w:rsidR="00213E00">
        <w:rPr>
          <w:rFonts w:cs="Arial"/>
          <w:b/>
          <w:iCs/>
        </w:rPr>
        <w:t>the Council of Australian Governments</w:t>
      </w:r>
      <w:r>
        <w:rPr>
          <w:rFonts w:cs="Arial"/>
          <w:b/>
          <w:iCs/>
        </w:rPr>
        <w:t>,</w:t>
      </w:r>
      <w:r w:rsidRPr="00732347">
        <w:rPr>
          <w:rFonts w:cs="Arial"/>
          <w:b/>
          <w:iCs/>
        </w:rPr>
        <w:t xml:space="preserve"> develop appropriate support for </w:t>
      </w:r>
      <w:r w:rsidR="00024C7A">
        <w:rPr>
          <w:rFonts w:cs="Arial"/>
          <w:b/>
          <w:iCs/>
        </w:rPr>
        <w:t>people with disability</w:t>
      </w:r>
      <w:r w:rsidRPr="00732347">
        <w:rPr>
          <w:rFonts w:cs="Arial"/>
          <w:b/>
          <w:iCs/>
        </w:rPr>
        <w:t>, particularly those with mental health disorders and cognitive</w:t>
      </w:r>
      <w:r>
        <w:rPr>
          <w:rFonts w:cs="Arial"/>
          <w:b/>
          <w:iCs/>
        </w:rPr>
        <w:t xml:space="preserve"> impairment,</w:t>
      </w:r>
      <w:r w:rsidRPr="00732347">
        <w:rPr>
          <w:rFonts w:cs="Arial"/>
          <w:b/>
          <w:iCs/>
        </w:rPr>
        <w:t xml:space="preserve"> including national guidelines on ‘fitness to plead’</w:t>
      </w:r>
      <w:r>
        <w:rPr>
          <w:rFonts w:cs="Arial"/>
          <w:b/>
          <w:iCs/>
        </w:rPr>
        <w:t>.</w:t>
      </w:r>
    </w:p>
    <w:p w14:paraId="04C6934A" w14:textId="77777777" w:rsidR="00C74840" w:rsidRDefault="00C74840" w:rsidP="00C74840">
      <w:pPr>
        <w:pStyle w:val="Heading2"/>
      </w:pPr>
      <w:bookmarkStart w:id="43" w:name="_Toc486493962"/>
      <w:bookmarkStart w:id="44" w:name="_Toc493489601"/>
      <w:r>
        <w:t>Freedom from exploitation, violence and abuse</w:t>
      </w:r>
      <w:bookmarkEnd w:id="43"/>
      <w:r w:rsidR="005D1E95">
        <w:t xml:space="preserve"> (ICCPR </w:t>
      </w:r>
      <w:r w:rsidR="009B0AD2">
        <w:t>a</w:t>
      </w:r>
      <w:r w:rsidR="005D1E95">
        <w:t>rticles 7 &amp; 9; LOI 13)</w:t>
      </w:r>
      <w:bookmarkEnd w:id="44"/>
    </w:p>
    <w:p w14:paraId="510D33E8" w14:textId="77777777" w:rsidR="00C74840" w:rsidRDefault="00CC6C91" w:rsidP="00641409">
      <w:pPr>
        <w:pStyle w:val="SubmissionNormal"/>
      </w:pPr>
      <w:r>
        <w:t xml:space="preserve">The Commission welcomes the Government’s commitment to establishing the </w:t>
      </w:r>
      <w:r w:rsidR="00213E00">
        <w:t>National Disability Insurance Scheme (</w:t>
      </w:r>
      <w:r>
        <w:t>NDIS</w:t>
      </w:r>
      <w:r w:rsidR="00213E00">
        <w:t>)</w:t>
      </w:r>
      <w:r>
        <w:t xml:space="preserve"> Quality and Safeguards Commission to oversee the NDIS Quality and Safeguards Framework,</w:t>
      </w:r>
      <w:r>
        <w:rPr>
          <w:rStyle w:val="EndnoteReference"/>
        </w:rPr>
        <w:endnoteReference w:id="54"/>
      </w:r>
      <w:r>
        <w:t xml:space="preserve"> but is concerned that it only applies to NDIS participants (approximately 10% of the Australian disability population).</w:t>
      </w:r>
      <w:r w:rsidR="00C74840">
        <w:t xml:space="preserve"> </w:t>
      </w:r>
    </w:p>
    <w:p w14:paraId="028D23B3" w14:textId="77777777" w:rsidR="00733D0E" w:rsidRDefault="00733D0E" w:rsidP="00733D0E">
      <w:pPr>
        <w:pStyle w:val="SubmissionNormal"/>
      </w:pPr>
      <w:r>
        <w:t xml:space="preserve">The Commission notes the recommendations of the </w:t>
      </w:r>
      <w:r w:rsidRPr="00887A50">
        <w:t xml:space="preserve">Senate Community Affairs References Committee </w:t>
      </w:r>
      <w:r>
        <w:rPr>
          <w:i/>
        </w:rPr>
        <w:t>I</w:t>
      </w:r>
      <w:r w:rsidRPr="00887A50">
        <w:rPr>
          <w:i/>
        </w:rPr>
        <w:t>nquiry into Violence, abuse and neglect against people with disability in instit</w:t>
      </w:r>
      <w:r>
        <w:rPr>
          <w:i/>
        </w:rPr>
        <w:t>utional and residential settings</w:t>
      </w:r>
      <w:r w:rsidRPr="00733D0E">
        <w:t>.</w:t>
      </w:r>
      <w:r w:rsidRPr="00B44B34">
        <w:rPr>
          <w:rFonts w:eastAsia="MS Mincho"/>
          <w:sz w:val="20"/>
          <w:vertAlign w:val="superscript"/>
        </w:rPr>
        <w:endnoteReference w:id="55"/>
      </w:r>
      <w:r>
        <w:t xml:space="preserve"> </w:t>
      </w:r>
    </w:p>
    <w:p w14:paraId="7B9F4A63" w14:textId="4F0C22B3" w:rsidR="00921027" w:rsidRDefault="00921027" w:rsidP="00E90792">
      <w:pPr>
        <w:pStyle w:val="SubmissionNormal"/>
        <w:numPr>
          <w:ilvl w:val="0"/>
          <w:numId w:val="52"/>
        </w:numPr>
      </w:pPr>
      <w:r>
        <w:rPr>
          <w:rFonts w:eastAsia="Calibri" w:cs="Arial"/>
          <w:b/>
          <w:lang w:val="en-NZ" w:eastAsia="en-US"/>
        </w:rPr>
        <w:t xml:space="preserve">That the </w:t>
      </w:r>
      <w:r w:rsidR="00B3313A">
        <w:rPr>
          <w:rFonts w:eastAsia="Calibri" w:cs="Arial"/>
          <w:b/>
          <w:lang w:val="en-NZ" w:eastAsia="en-US"/>
        </w:rPr>
        <w:t xml:space="preserve">Australian </w:t>
      </w:r>
      <w:r>
        <w:rPr>
          <w:rFonts w:eastAsia="Calibri" w:cs="Arial"/>
          <w:b/>
          <w:lang w:val="en-NZ" w:eastAsia="en-US"/>
        </w:rPr>
        <w:t>Government a</w:t>
      </w:r>
      <w:r w:rsidRPr="00921027">
        <w:rPr>
          <w:rFonts w:eastAsia="Calibri" w:cs="Arial"/>
          <w:b/>
          <w:lang w:val="en-NZ" w:eastAsia="en-US"/>
        </w:rPr>
        <w:t xml:space="preserve">dopt a national approach to address violence against </w:t>
      </w:r>
      <w:r w:rsidR="00024C7A">
        <w:rPr>
          <w:b/>
        </w:rPr>
        <w:t>people with disability</w:t>
      </w:r>
      <w:r w:rsidR="00C81C05">
        <w:rPr>
          <w:rFonts w:eastAsia="Calibri" w:cs="Arial"/>
          <w:b/>
          <w:lang w:val="en-NZ" w:eastAsia="en-US"/>
        </w:rPr>
        <w:t>.</w:t>
      </w:r>
    </w:p>
    <w:p w14:paraId="28F5B94C" w14:textId="77777777" w:rsidR="002C1299" w:rsidRPr="005854C6" w:rsidRDefault="005854C6" w:rsidP="005854C6">
      <w:pPr>
        <w:pStyle w:val="Heading2"/>
      </w:pPr>
      <w:bookmarkStart w:id="45" w:name="_Toc493489602"/>
      <w:r>
        <w:t>Access and</w:t>
      </w:r>
      <w:r w:rsidR="00965AF7">
        <w:t xml:space="preserve"> democratic</w:t>
      </w:r>
      <w:r>
        <w:t xml:space="preserve"> participation </w:t>
      </w:r>
      <w:r w:rsidR="008A6107">
        <w:t xml:space="preserve">(ICCPR </w:t>
      </w:r>
      <w:r w:rsidR="009B0AD2">
        <w:t>a</w:t>
      </w:r>
      <w:r w:rsidR="008A6107">
        <w:t>rticles 2, 25 &amp; 26; LOI 22)</w:t>
      </w:r>
      <w:bookmarkEnd w:id="45"/>
    </w:p>
    <w:p w14:paraId="75D2506E" w14:textId="77777777" w:rsidR="00EC7927" w:rsidRDefault="00916C3F" w:rsidP="00916C3F">
      <w:pPr>
        <w:pStyle w:val="SubmissionNormal"/>
      </w:pPr>
      <w:r>
        <w:t>P</w:t>
      </w:r>
      <w:r w:rsidR="0015066F" w:rsidRPr="006C0F05">
        <w:t xml:space="preserve">eople with disability face </w:t>
      </w:r>
      <w:r w:rsidR="0015066F">
        <w:t>barriers to</w:t>
      </w:r>
      <w:r w:rsidR="0015066F" w:rsidRPr="006C0F05">
        <w:t xml:space="preserve"> accessing the built environment, including schools, shops, workplaces, services and entertainment facilities.</w:t>
      </w:r>
      <w:r w:rsidR="0015066F">
        <w:rPr>
          <w:rStyle w:val="EndnoteReference"/>
        </w:rPr>
        <w:endnoteReference w:id="56"/>
      </w:r>
      <w:r w:rsidR="00EC7927">
        <w:t xml:space="preserve"> </w:t>
      </w:r>
      <w:r>
        <w:t>They are also</w:t>
      </w:r>
      <w:r w:rsidR="00EC7927" w:rsidRPr="006C0F05">
        <w:t xml:space="preserve"> unable to access communi</w:t>
      </w:r>
      <w:r w:rsidR="00EC7927">
        <w:t xml:space="preserve">cation and information systems, including media, </w:t>
      </w:r>
      <w:r w:rsidR="00EC7927" w:rsidRPr="006C0F05">
        <w:t>on an equal basis with others.</w:t>
      </w:r>
      <w:r w:rsidR="00EC7927" w:rsidRPr="00916C3F">
        <w:rPr>
          <w:rStyle w:val="EndnoteReference"/>
        </w:rPr>
        <w:endnoteReference w:id="57"/>
      </w:r>
      <w:r w:rsidR="00EC7927" w:rsidRPr="00916C3F">
        <w:rPr>
          <w:highlight w:val="yellow"/>
        </w:rPr>
        <w:t xml:space="preserve">  </w:t>
      </w:r>
    </w:p>
    <w:p w14:paraId="2064722A" w14:textId="77777777" w:rsidR="00EC7927" w:rsidRDefault="00FA204D" w:rsidP="00EC7927">
      <w:pPr>
        <w:pStyle w:val="SubmissionNormal"/>
      </w:pPr>
      <w:r>
        <w:t>The Commission is concerned that i</w:t>
      </w:r>
      <w:r w:rsidR="00EC7927">
        <w:t>naccessible premises can limit p</w:t>
      </w:r>
      <w:r w:rsidR="00EC7927" w:rsidRPr="006C0F05">
        <w:t>articipation of people with disability in votin</w:t>
      </w:r>
      <w:r w:rsidR="00D81140">
        <w:t>g and other political processes,</w:t>
      </w:r>
      <w:r w:rsidR="00EC7927" w:rsidRPr="006C0F05">
        <w:rPr>
          <w:rStyle w:val="EndnoteReference"/>
        </w:rPr>
        <w:endnoteReference w:id="58"/>
      </w:r>
      <w:r w:rsidR="00D81140">
        <w:t xml:space="preserve"> as can inability to access </w:t>
      </w:r>
      <w:r w:rsidR="00D81140" w:rsidRPr="006C0F05">
        <w:t>communi</w:t>
      </w:r>
      <w:r w:rsidR="00D81140">
        <w:t>cation and information systems.</w:t>
      </w:r>
    </w:p>
    <w:p w14:paraId="487C85CE" w14:textId="2E8C7FC6" w:rsidR="00C81C05" w:rsidRPr="00EC7927" w:rsidRDefault="00916C3F" w:rsidP="00FF3D2B">
      <w:pPr>
        <w:pStyle w:val="SubmissionNormal"/>
      </w:pPr>
      <w:r>
        <w:t xml:space="preserve">The Commission is also concerned </w:t>
      </w:r>
      <w:r w:rsidR="00FF3D2B">
        <w:t>about</w:t>
      </w:r>
      <w:r>
        <w:t xml:space="preserve"> elec</w:t>
      </w:r>
      <w:r w:rsidR="00FF3D2B">
        <w:t xml:space="preserve">toral laws that </w:t>
      </w:r>
      <w:r w:rsidR="007968C7">
        <w:t xml:space="preserve">provide that </w:t>
      </w:r>
      <w:r w:rsidR="00FF3D2B" w:rsidRPr="00FF3D2B">
        <w:t>persons of ‘unsound mind’ are not entitled to have their names on the electoral roll or to vote in elections, and may be removed from</w:t>
      </w:r>
      <w:r w:rsidR="007968C7">
        <w:t xml:space="preserve"> the</w:t>
      </w:r>
      <w:r w:rsidR="00FF3D2B" w:rsidRPr="00FF3D2B">
        <w:t xml:space="preserve"> electoral roll following objection.</w:t>
      </w:r>
      <w:r w:rsidR="00FF3D2B">
        <w:rPr>
          <w:rStyle w:val="EndnoteReference"/>
        </w:rPr>
        <w:endnoteReference w:id="59"/>
      </w:r>
      <w:r w:rsidR="00FF3D2B">
        <w:t xml:space="preserve"> The ALRC has recommended the repeal of these provisions.</w:t>
      </w:r>
      <w:r w:rsidR="00FF3D2B">
        <w:rPr>
          <w:rStyle w:val="EndnoteReference"/>
        </w:rPr>
        <w:endnoteReference w:id="60"/>
      </w:r>
    </w:p>
    <w:p w14:paraId="6C2613CA" w14:textId="5F0E8C5F" w:rsidR="00E60EE8" w:rsidRPr="00FF3D2B" w:rsidRDefault="00FF3D2B" w:rsidP="00E90792">
      <w:pPr>
        <w:pStyle w:val="SubmissionNormal"/>
        <w:numPr>
          <w:ilvl w:val="0"/>
          <w:numId w:val="52"/>
        </w:numPr>
      </w:pPr>
      <w:r w:rsidRPr="00FF3D2B">
        <w:rPr>
          <w:rFonts w:cs="Arial"/>
          <w:b/>
          <w:iCs/>
        </w:rPr>
        <w:t xml:space="preserve">That the </w:t>
      </w:r>
      <w:r w:rsidR="00700CF9">
        <w:rPr>
          <w:rFonts w:cs="Arial"/>
          <w:b/>
          <w:iCs/>
        </w:rPr>
        <w:t xml:space="preserve">Australian </w:t>
      </w:r>
      <w:r w:rsidRPr="00FF3D2B">
        <w:rPr>
          <w:rFonts w:cs="Arial"/>
          <w:b/>
          <w:iCs/>
        </w:rPr>
        <w:t xml:space="preserve">Government </w:t>
      </w:r>
      <w:r w:rsidR="007276EE">
        <w:rPr>
          <w:rFonts w:cs="Arial"/>
          <w:b/>
          <w:iCs/>
        </w:rPr>
        <w:t xml:space="preserve">encourage </w:t>
      </w:r>
      <w:r w:rsidR="007276EE" w:rsidRPr="007276EE">
        <w:rPr>
          <w:rFonts w:cs="Arial"/>
          <w:b/>
          <w:iCs/>
        </w:rPr>
        <w:t xml:space="preserve">monitoring, compliance and implementation of the </w:t>
      </w:r>
      <w:r w:rsidR="007276EE" w:rsidRPr="007276EE">
        <w:rPr>
          <w:rFonts w:cs="Arial"/>
          <w:b/>
          <w:i/>
          <w:iCs/>
        </w:rPr>
        <w:t>Disability (Access to Premises – Buildings) Standards 2010</w:t>
      </w:r>
      <w:r w:rsidR="007276EE" w:rsidRPr="007276EE">
        <w:rPr>
          <w:rFonts w:cs="Arial"/>
          <w:b/>
          <w:iCs/>
        </w:rPr>
        <w:t xml:space="preserve"> and </w:t>
      </w:r>
      <w:r w:rsidR="007276EE" w:rsidRPr="007276EE">
        <w:rPr>
          <w:rFonts w:cs="Arial"/>
          <w:b/>
          <w:i/>
          <w:iCs/>
        </w:rPr>
        <w:t>Disability Standards for Accessible Public Transport 2002</w:t>
      </w:r>
      <w:r w:rsidR="00733D0E">
        <w:rPr>
          <w:rFonts w:cs="Arial"/>
          <w:b/>
          <w:iCs/>
        </w:rPr>
        <w:t xml:space="preserve">, and ensure that </w:t>
      </w:r>
      <w:r w:rsidR="00024C7A">
        <w:rPr>
          <w:rFonts w:cs="Arial"/>
          <w:b/>
          <w:iCs/>
        </w:rPr>
        <w:t>people with disability</w:t>
      </w:r>
      <w:r w:rsidR="00733D0E">
        <w:rPr>
          <w:rFonts w:cs="Arial"/>
          <w:b/>
          <w:iCs/>
        </w:rPr>
        <w:t xml:space="preserve"> have the requisite access to fully participate </w:t>
      </w:r>
      <w:r w:rsidRPr="00FF3D2B">
        <w:rPr>
          <w:rFonts w:cs="Arial"/>
          <w:b/>
          <w:iCs/>
        </w:rPr>
        <w:t>in the democratic process.</w:t>
      </w:r>
    </w:p>
    <w:p w14:paraId="0BD21210" w14:textId="0349A6F8" w:rsidR="00D81140" w:rsidRDefault="00D81140" w:rsidP="00D81140">
      <w:pPr>
        <w:pStyle w:val="Heading2"/>
      </w:pPr>
      <w:bookmarkStart w:id="46" w:name="_Toc493489603"/>
      <w:r>
        <w:lastRenderedPageBreak/>
        <w:t>W</w:t>
      </w:r>
      <w:r w:rsidR="00751468">
        <w:t>omen and girls with disability</w:t>
      </w:r>
      <w:r>
        <w:t xml:space="preserve"> </w:t>
      </w:r>
      <w:r w:rsidR="00E05EBC">
        <w:t xml:space="preserve">(ICCPR </w:t>
      </w:r>
      <w:r w:rsidR="009B0AD2">
        <w:t>a</w:t>
      </w:r>
      <w:r w:rsidR="00E05EBC">
        <w:t>rticles</w:t>
      </w:r>
      <w:r w:rsidR="00FB1F5F">
        <w:t xml:space="preserve"> 2, 3, 7 &amp;</w:t>
      </w:r>
      <w:r>
        <w:t xml:space="preserve"> 26; LOI 10</w:t>
      </w:r>
      <w:r w:rsidR="00B32655">
        <w:t xml:space="preserve"> &amp; 11</w:t>
      </w:r>
      <w:r>
        <w:t>)</w:t>
      </w:r>
      <w:bookmarkEnd w:id="46"/>
    </w:p>
    <w:p w14:paraId="150BB606" w14:textId="051EAF75" w:rsidR="00D81140" w:rsidRDefault="008A6107" w:rsidP="00D81140">
      <w:pPr>
        <w:pStyle w:val="SubmissionNormal"/>
      </w:pPr>
      <w:r>
        <w:t xml:space="preserve">Women with </w:t>
      </w:r>
      <w:r w:rsidR="00751468">
        <w:t>disability</w:t>
      </w:r>
      <w:r w:rsidR="00D53D10">
        <w:t xml:space="preserve"> </w:t>
      </w:r>
      <w:r w:rsidR="00E05EBC">
        <w:t>experience intersectional inequality and violence at higher rates than the general population.</w:t>
      </w:r>
      <w:r w:rsidR="00E05EBC">
        <w:rPr>
          <w:rStyle w:val="EndnoteReference"/>
        </w:rPr>
        <w:endnoteReference w:id="61"/>
      </w:r>
      <w:r w:rsidR="00E05EBC">
        <w:t xml:space="preserve"> </w:t>
      </w:r>
    </w:p>
    <w:p w14:paraId="7D52BF38" w14:textId="19BD0799" w:rsidR="00E05EBC" w:rsidRDefault="00D81140" w:rsidP="00E05EBC">
      <w:pPr>
        <w:pStyle w:val="SubmissionNormal"/>
      </w:pPr>
      <w:r>
        <w:t xml:space="preserve">The Commission welcomes the </w:t>
      </w:r>
      <w:r w:rsidRPr="00FF7E22">
        <w:rPr>
          <w:i/>
        </w:rPr>
        <w:t xml:space="preserve">Third Action Plan (2016-19) </w:t>
      </w:r>
      <w:r>
        <w:t xml:space="preserve">under the </w:t>
      </w:r>
      <w:r w:rsidRPr="00FF7E22">
        <w:rPr>
          <w:i/>
        </w:rPr>
        <w:t>National Plan to Reduce Violence Against Women and their Children</w:t>
      </w:r>
      <w:r>
        <w:t xml:space="preserve"> to </w:t>
      </w:r>
      <w:r w:rsidRPr="006821C6">
        <w:t>“improve support to women with disability who experience or are at risk of violence by working with them, the disability sector, specialist family and domestic violence services and mainstream services”</w:t>
      </w:r>
      <w:r w:rsidR="008A6107">
        <w:t xml:space="preserve"> (Third Action Plan).</w:t>
      </w:r>
      <w:r>
        <w:rPr>
          <w:rStyle w:val="EndnoteReference"/>
        </w:rPr>
        <w:endnoteReference w:id="62"/>
      </w:r>
      <w:r>
        <w:t xml:space="preserve"> </w:t>
      </w:r>
    </w:p>
    <w:p w14:paraId="03D938F3" w14:textId="778529E9" w:rsidR="008C75B0" w:rsidRDefault="008C75B0" w:rsidP="00E05EBC">
      <w:pPr>
        <w:pStyle w:val="SubmissionNormal"/>
      </w:pPr>
      <w:r>
        <w:t xml:space="preserve">The Commission notes the </w:t>
      </w:r>
      <w:r>
        <w:rPr>
          <w:i/>
        </w:rPr>
        <w:t>Stop the Violence Project</w:t>
      </w:r>
      <w:r w:rsidRPr="008C75B0">
        <w:t>, which provides an evidence base to support future reform in service provision to better respond to the needs of women and girls with disability experiencing violence</w:t>
      </w:r>
      <w:r>
        <w:rPr>
          <w:i/>
        </w:rPr>
        <w:t>.</w:t>
      </w:r>
      <w:r>
        <w:rPr>
          <w:rStyle w:val="EndnoteReference"/>
        </w:rPr>
        <w:endnoteReference w:id="63"/>
      </w:r>
      <w:r>
        <w:rPr>
          <w:i/>
        </w:rPr>
        <w:t xml:space="preserve"> </w:t>
      </w:r>
    </w:p>
    <w:p w14:paraId="6A7ECCA4" w14:textId="28131B75" w:rsidR="00C81C05" w:rsidRDefault="00D53D10" w:rsidP="00C81C05">
      <w:pPr>
        <w:pStyle w:val="SubmissionNormal"/>
      </w:pPr>
      <w:r>
        <w:t>T</w:t>
      </w:r>
      <w:r w:rsidR="00E05EBC">
        <w:t>he</w:t>
      </w:r>
      <w:r w:rsidR="00D81140" w:rsidRPr="00FF7E22">
        <w:rPr>
          <w:rFonts w:cs="Arial"/>
        </w:rPr>
        <w:t xml:space="preserve"> Commission is concerned that </w:t>
      </w:r>
      <w:r w:rsidR="008A6107">
        <w:rPr>
          <w:rFonts w:cs="Arial"/>
        </w:rPr>
        <w:t>the Third Action Plan</w:t>
      </w:r>
      <w:r w:rsidR="00E05EBC">
        <w:rPr>
          <w:rFonts w:cs="Arial"/>
        </w:rPr>
        <w:t xml:space="preserve"> focuses on </w:t>
      </w:r>
      <w:r w:rsidR="00D81140" w:rsidRPr="00FF7E22">
        <w:rPr>
          <w:rFonts w:cs="Arial"/>
        </w:rPr>
        <w:t>domestic/family violence and sexual assault</w:t>
      </w:r>
      <w:r>
        <w:rPr>
          <w:rFonts w:cs="Arial"/>
        </w:rPr>
        <w:t xml:space="preserve"> </w:t>
      </w:r>
      <w:r w:rsidR="00D81140" w:rsidRPr="00FF7E22">
        <w:rPr>
          <w:rFonts w:cs="Arial"/>
        </w:rPr>
        <w:t>in the context of intimate partner rela</w:t>
      </w:r>
      <w:r>
        <w:rPr>
          <w:rFonts w:cs="Arial"/>
        </w:rPr>
        <w:t>tionships only</w:t>
      </w:r>
      <w:r w:rsidR="00E05EBC">
        <w:rPr>
          <w:rFonts w:cs="Arial"/>
        </w:rPr>
        <w:t xml:space="preserve"> and </w:t>
      </w:r>
      <w:r w:rsidR="00D81140" w:rsidRPr="00FF7E22">
        <w:rPr>
          <w:rFonts w:cs="Arial"/>
        </w:rPr>
        <w:t xml:space="preserve">fails to address other forms of violence perpetrated against women and girls with </w:t>
      </w:r>
      <w:r w:rsidR="00751468">
        <w:rPr>
          <w:rFonts w:cs="Arial"/>
        </w:rPr>
        <w:t>disability</w:t>
      </w:r>
      <w:r w:rsidR="00D81140">
        <w:rPr>
          <w:rFonts w:cs="Arial"/>
        </w:rPr>
        <w:t>.</w:t>
      </w:r>
      <w:r w:rsidR="00D81140">
        <w:rPr>
          <w:rStyle w:val="EndnoteReference"/>
          <w:rFonts w:cs="Arial"/>
        </w:rPr>
        <w:endnoteReference w:id="64"/>
      </w:r>
      <w:r w:rsidR="00C81C05">
        <w:rPr>
          <w:rFonts w:cs="Arial"/>
        </w:rPr>
        <w:t xml:space="preserve"> In particular, </w:t>
      </w:r>
      <w:r w:rsidR="00C81C05">
        <w:t>t</w:t>
      </w:r>
      <w:r w:rsidR="00C81C05" w:rsidRPr="008476A2">
        <w:t xml:space="preserve">he Commission remains concerned that sterilisation of </w:t>
      </w:r>
      <w:r w:rsidR="00C81C05">
        <w:t>women and girls</w:t>
      </w:r>
      <w:r w:rsidR="00C81C05" w:rsidRPr="008476A2">
        <w:t xml:space="preserve"> with </w:t>
      </w:r>
      <w:r w:rsidR="00751468">
        <w:t>disability</w:t>
      </w:r>
      <w:r w:rsidR="00C81C05">
        <w:t>, without consent,</w:t>
      </w:r>
      <w:r w:rsidR="00C81C05" w:rsidRPr="008476A2">
        <w:t xml:space="preserve"> continues to </w:t>
      </w:r>
      <w:r w:rsidR="00C81C05">
        <w:t>occur in Australia.</w:t>
      </w:r>
      <w:r w:rsidR="00B2471B">
        <w:rPr>
          <w:rStyle w:val="EndnoteReference"/>
        </w:rPr>
        <w:endnoteReference w:id="65"/>
      </w:r>
      <w:r w:rsidR="00C81C05">
        <w:t xml:space="preserve"> </w:t>
      </w:r>
    </w:p>
    <w:p w14:paraId="1D7D8ED0" w14:textId="28C62130" w:rsidR="00D81140" w:rsidRPr="00C81C05" w:rsidRDefault="00D81140" w:rsidP="00D81140">
      <w:pPr>
        <w:pStyle w:val="SubmissionNormal"/>
      </w:pPr>
      <w:r>
        <w:t>T</w:t>
      </w:r>
      <w:r w:rsidRPr="00FF7E22">
        <w:rPr>
          <w:rFonts w:cs="Arial"/>
          <w:lang w:val="en"/>
        </w:rPr>
        <w:t xml:space="preserve">he </w:t>
      </w:r>
      <w:r w:rsidRPr="00FF7E22">
        <w:rPr>
          <w:rFonts w:cs="Arial"/>
        </w:rPr>
        <w:t xml:space="preserve">Commission </w:t>
      </w:r>
      <w:r w:rsidR="00C81C05">
        <w:rPr>
          <w:rFonts w:cs="Arial"/>
        </w:rPr>
        <w:t>is</w:t>
      </w:r>
      <w:r w:rsidRPr="00FF7E22">
        <w:rPr>
          <w:rFonts w:cs="Arial"/>
        </w:rPr>
        <w:t xml:space="preserve"> </w:t>
      </w:r>
      <w:r w:rsidR="00965AF7">
        <w:rPr>
          <w:rFonts w:cs="Arial"/>
        </w:rPr>
        <w:t xml:space="preserve">also </w:t>
      </w:r>
      <w:r w:rsidRPr="00FF7E22">
        <w:rPr>
          <w:rFonts w:cs="Arial"/>
        </w:rPr>
        <w:t xml:space="preserve">concerned </w:t>
      </w:r>
      <w:r w:rsidR="00965AF7">
        <w:rPr>
          <w:rFonts w:cs="Arial"/>
        </w:rPr>
        <w:t>about</w:t>
      </w:r>
      <w:r w:rsidR="00C81C05">
        <w:rPr>
          <w:rFonts w:cs="Arial"/>
        </w:rPr>
        <w:t xml:space="preserve"> </w:t>
      </w:r>
      <w:r w:rsidRPr="00FF7E22">
        <w:rPr>
          <w:rFonts w:cs="Arial"/>
        </w:rPr>
        <w:t>the under-resourcing of accommodation and support services</w:t>
      </w:r>
      <w:r>
        <w:rPr>
          <w:rFonts w:cs="Arial"/>
        </w:rPr>
        <w:t>.</w:t>
      </w:r>
      <w:r>
        <w:rPr>
          <w:rStyle w:val="EndnoteReference"/>
          <w:rFonts w:cs="Arial"/>
        </w:rPr>
        <w:endnoteReference w:id="66"/>
      </w:r>
    </w:p>
    <w:p w14:paraId="5BAD6F4C" w14:textId="75E51D13" w:rsidR="005E61B2" w:rsidRPr="005E61B2" w:rsidRDefault="005E61B2" w:rsidP="00E90792">
      <w:pPr>
        <w:pStyle w:val="SubmissionNormal"/>
        <w:numPr>
          <w:ilvl w:val="0"/>
          <w:numId w:val="52"/>
        </w:numPr>
        <w:rPr>
          <w:rFonts w:eastAsia="Calibri" w:cs="Arial"/>
          <w:b/>
          <w:lang w:val="en-NZ" w:eastAsia="en-US"/>
        </w:rPr>
      </w:pPr>
      <w:r w:rsidRPr="00290D27">
        <w:rPr>
          <w:rFonts w:eastAsia="Calibri" w:cs="Arial"/>
          <w:b/>
          <w:lang w:val="en-NZ" w:eastAsia="en-US"/>
        </w:rPr>
        <w:t xml:space="preserve">That the Australian Government ensure that subsequent Action Plans to the </w:t>
      </w:r>
      <w:r w:rsidRPr="00290D27">
        <w:rPr>
          <w:rFonts w:eastAsia="Calibri" w:cs="Arial"/>
          <w:b/>
          <w:i/>
          <w:lang w:val="en-NZ" w:eastAsia="en-US"/>
        </w:rPr>
        <w:t xml:space="preserve">National Plan to Reduce Violence Against Women and their Children </w:t>
      </w:r>
      <w:r w:rsidRPr="00290D27">
        <w:rPr>
          <w:rFonts w:eastAsia="Calibri" w:cs="Arial"/>
          <w:b/>
          <w:lang w:val="en-NZ" w:eastAsia="en-US"/>
        </w:rPr>
        <w:t xml:space="preserve">continue to address and prevent gendered disability violence, including implementation of relevant recommendations from the </w:t>
      </w:r>
      <w:r w:rsidRPr="00290D27">
        <w:rPr>
          <w:rFonts w:eastAsia="Calibri" w:cs="Arial"/>
          <w:b/>
          <w:i/>
          <w:lang w:val="en-NZ" w:eastAsia="en-US"/>
        </w:rPr>
        <w:t xml:space="preserve">Stop the Violence Project </w:t>
      </w:r>
      <w:r w:rsidRPr="00290D27">
        <w:rPr>
          <w:rFonts w:eastAsia="Calibri" w:cs="Arial"/>
          <w:b/>
          <w:lang w:val="en-NZ" w:eastAsia="en-US"/>
        </w:rPr>
        <w:t>to improve the provision of support and services for people experiencing gendered disability violence.</w:t>
      </w:r>
      <w:r>
        <w:rPr>
          <w:rFonts w:eastAsia="Calibri" w:cs="Arial"/>
          <w:b/>
          <w:lang w:val="en-NZ" w:eastAsia="en-US"/>
        </w:rPr>
        <w:t xml:space="preserve"> </w:t>
      </w:r>
    </w:p>
    <w:p w14:paraId="74DC963B" w14:textId="71994EB2" w:rsidR="00C81C05" w:rsidRPr="00C81C05" w:rsidRDefault="00C81C05" w:rsidP="00E90792">
      <w:pPr>
        <w:pStyle w:val="SubmissionNormal"/>
        <w:numPr>
          <w:ilvl w:val="0"/>
          <w:numId w:val="52"/>
        </w:numPr>
      </w:pPr>
      <w:r>
        <w:rPr>
          <w:rFonts w:eastAsia="Calibri" w:cs="Arial"/>
          <w:b/>
          <w:lang w:val="en-NZ" w:eastAsia="en-US"/>
        </w:rPr>
        <w:t xml:space="preserve">That the </w:t>
      </w:r>
      <w:r w:rsidR="00B717CD">
        <w:rPr>
          <w:rFonts w:eastAsia="Calibri" w:cs="Arial"/>
          <w:b/>
          <w:lang w:val="en-NZ" w:eastAsia="en-US"/>
        </w:rPr>
        <w:t xml:space="preserve">Australian </w:t>
      </w:r>
      <w:r>
        <w:rPr>
          <w:rFonts w:eastAsia="Calibri" w:cs="Arial"/>
          <w:b/>
          <w:lang w:val="en-NZ" w:eastAsia="en-US"/>
        </w:rPr>
        <w:t xml:space="preserve">Government </w:t>
      </w:r>
      <w:r w:rsidRPr="00921027">
        <w:rPr>
          <w:rFonts w:eastAsia="Calibri" w:cs="Arial"/>
          <w:b/>
          <w:lang w:val="en-NZ" w:eastAsia="en-US"/>
        </w:rPr>
        <w:t xml:space="preserve">introduce legal protections to </w:t>
      </w:r>
      <w:r>
        <w:rPr>
          <w:rFonts w:eastAsia="Calibri" w:cs="Arial"/>
          <w:b/>
          <w:lang w:val="en-NZ" w:eastAsia="en-US"/>
        </w:rPr>
        <w:t>prevent</w:t>
      </w:r>
      <w:r w:rsidRPr="00921027">
        <w:rPr>
          <w:rFonts w:eastAsia="Calibri" w:cs="Arial"/>
          <w:b/>
          <w:lang w:val="en-NZ" w:eastAsia="en-US"/>
        </w:rPr>
        <w:t xml:space="preserve"> sterilisation of </w:t>
      </w:r>
      <w:r>
        <w:rPr>
          <w:rFonts w:eastAsia="Calibri" w:cs="Arial"/>
          <w:b/>
          <w:lang w:val="en-NZ" w:eastAsia="en-US"/>
        </w:rPr>
        <w:t>women and girls</w:t>
      </w:r>
      <w:r w:rsidRPr="00921027">
        <w:rPr>
          <w:rFonts w:eastAsia="Calibri" w:cs="Arial"/>
          <w:b/>
          <w:lang w:val="en-NZ" w:eastAsia="en-US"/>
        </w:rPr>
        <w:t xml:space="preserve"> with </w:t>
      </w:r>
      <w:r w:rsidR="00751468">
        <w:rPr>
          <w:rFonts w:eastAsia="Calibri" w:cs="Arial"/>
          <w:b/>
          <w:lang w:val="en-NZ" w:eastAsia="en-US"/>
        </w:rPr>
        <w:t>disability</w:t>
      </w:r>
      <w:r w:rsidRPr="00921027">
        <w:rPr>
          <w:rFonts w:eastAsia="Calibri" w:cs="Arial"/>
          <w:b/>
          <w:lang w:val="en-NZ" w:eastAsia="en-US"/>
        </w:rPr>
        <w:t xml:space="preserve"> without consent.</w:t>
      </w:r>
    </w:p>
    <w:p w14:paraId="4D7C3903" w14:textId="216CF8FA" w:rsidR="00C81C05" w:rsidRPr="00C81C05" w:rsidRDefault="00C81C05" w:rsidP="00E90792">
      <w:pPr>
        <w:pStyle w:val="SubmissionNormal"/>
        <w:numPr>
          <w:ilvl w:val="0"/>
          <w:numId w:val="52"/>
        </w:numPr>
        <w:rPr>
          <w:b/>
        </w:rPr>
      </w:pPr>
      <w:r w:rsidRPr="00C81C05">
        <w:rPr>
          <w:rFonts w:eastAsia="Calibri" w:cs="Arial"/>
          <w:b/>
          <w:lang w:val="en-NZ" w:eastAsia="en-US"/>
        </w:rPr>
        <w:t xml:space="preserve">That the </w:t>
      </w:r>
      <w:r w:rsidR="00B717CD">
        <w:rPr>
          <w:rFonts w:eastAsia="Calibri" w:cs="Arial"/>
          <w:b/>
          <w:lang w:val="en-NZ" w:eastAsia="en-US"/>
        </w:rPr>
        <w:t xml:space="preserve">Australian </w:t>
      </w:r>
      <w:r w:rsidRPr="00C81C05">
        <w:rPr>
          <w:rFonts w:eastAsia="Calibri" w:cs="Arial"/>
          <w:b/>
          <w:lang w:val="en-NZ" w:eastAsia="en-US"/>
        </w:rPr>
        <w:t xml:space="preserve">Government properly resource </w:t>
      </w:r>
      <w:r w:rsidRPr="00C81C05">
        <w:rPr>
          <w:rFonts w:cs="Arial"/>
          <w:b/>
        </w:rPr>
        <w:t xml:space="preserve">accommodation and support services for </w:t>
      </w:r>
      <w:r w:rsidRPr="00C81C05">
        <w:rPr>
          <w:rFonts w:eastAsia="Calibri" w:cs="Arial"/>
          <w:b/>
          <w:lang w:val="en-NZ" w:eastAsia="en-US"/>
        </w:rPr>
        <w:t xml:space="preserve">women and girls with </w:t>
      </w:r>
      <w:r w:rsidR="00751468">
        <w:rPr>
          <w:rFonts w:eastAsia="Calibri" w:cs="Arial"/>
          <w:b/>
          <w:lang w:val="en-NZ" w:eastAsia="en-US"/>
        </w:rPr>
        <w:t>disability</w:t>
      </w:r>
      <w:r w:rsidRPr="00C81C05">
        <w:rPr>
          <w:rFonts w:eastAsia="Calibri" w:cs="Arial"/>
          <w:b/>
          <w:lang w:val="en-NZ" w:eastAsia="en-US"/>
        </w:rPr>
        <w:t>.</w:t>
      </w:r>
    </w:p>
    <w:p w14:paraId="31A4115E" w14:textId="77777777" w:rsidR="00E73105" w:rsidRPr="00EC4B73" w:rsidRDefault="00E73105" w:rsidP="00E73105">
      <w:pPr>
        <w:pStyle w:val="Heading1"/>
      </w:pPr>
      <w:bookmarkStart w:id="47" w:name="_Toc493489604"/>
      <w:r>
        <w:t>Lesbian, gay, bisexual, transgender and intersex people</w:t>
      </w:r>
      <w:bookmarkEnd w:id="47"/>
    </w:p>
    <w:p w14:paraId="7E3AFE7D" w14:textId="77777777" w:rsidR="00E73105" w:rsidRDefault="00E73105" w:rsidP="00E73105">
      <w:pPr>
        <w:pStyle w:val="Heading2"/>
      </w:pPr>
      <w:bookmarkStart w:id="48" w:name="_Toc493489605"/>
      <w:r>
        <w:t>Access to stage 2 hormone treatment</w:t>
      </w:r>
      <w:r w:rsidR="00E44BCA">
        <w:t xml:space="preserve"> </w:t>
      </w:r>
      <w:r>
        <w:t xml:space="preserve">(ICCPR </w:t>
      </w:r>
      <w:r w:rsidR="009B0AD2">
        <w:t>a</w:t>
      </w:r>
      <w:r>
        <w:t>rticles 17 &amp; 26)</w:t>
      </w:r>
      <w:bookmarkEnd w:id="48"/>
    </w:p>
    <w:p w14:paraId="3841FC38" w14:textId="77777777" w:rsidR="00E73105" w:rsidRDefault="00E73105" w:rsidP="00E73105">
      <w:pPr>
        <w:pStyle w:val="SubmissionNormal"/>
      </w:pPr>
      <w:r>
        <w:t xml:space="preserve">The Commission is concerned by the </w:t>
      </w:r>
      <w:r w:rsidR="00E44BCA">
        <w:t xml:space="preserve">blanket </w:t>
      </w:r>
      <w:r>
        <w:t>requirement of</w:t>
      </w:r>
      <w:r w:rsidRPr="009E3471">
        <w:t xml:space="preserve"> authorisation</w:t>
      </w:r>
      <w:r>
        <w:t xml:space="preserve"> by the Family Court of Australia</w:t>
      </w:r>
      <w:r w:rsidRPr="009E3471">
        <w:t xml:space="preserve"> for </w:t>
      </w:r>
      <w:r w:rsidR="00E44BCA">
        <w:t>‘s</w:t>
      </w:r>
      <w:r w:rsidRPr="009E3471">
        <w:t>tage 2</w:t>
      </w:r>
      <w:r w:rsidR="00E44BCA">
        <w:t>’</w:t>
      </w:r>
      <w:r w:rsidRPr="009E3471">
        <w:t xml:space="preserve"> hormone treatment of </w:t>
      </w:r>
      <w:r>
        <w:t>young p</w:t>
      </w:r>
      <w:r w:rsidR="00E44BCA">
        <w:t>eo</w:t>
      </w:r>
      <w:r>
        <w:t>ple</w:t>
      </w:r>
      <w:r w:rsidRPr="009E3471">
        <w:t xml:space="preserve"> </w:t>
      </w:r>
      <w:r>
        <w:t>diagnosed with gender dysphoria.</w:t>
      </w:r>
    </w:p>
    <w:p w14:paraId="5675BF18" w14:textId="77777777" w:rsidR="00E73105" w:rsidRDefault="00E73105" w:rsidP="00E73105">
      <w:pPr>
        <w:pStyle w:val="SubmissionNormal"/>
      </w:pPr>
      <w:r>
        <w:lastRenderedPageBreak/>
        <w:t xml:space="preserve">The Commission </w:t>
      </w:r>
      <w:r w:rsidR="00E44BCA">
        <w:t>refers to</w:t>
      </w:r>
      <w:r w:rsidRPr="009E3471">
        <w:t xml:space="preserve"> the current state of medical knowledge regarding the purpose for which </w:t>
      </w:r>
      <w:r>
        <w:t xml:space="preserve">stage 2 hormone </w:t>
      </w:r>
      <w:r w:rsidRPr="009E3471">
        <w:t>treatment is provided, the nature of the treatment, and the risks</w:t>
      </w:r>
      <w:r w:rsidRPr="00C81406">
        <w:t xml:space="preserve"> involved in undergoing, withholding or delaying treatment</w:t>
      </w:r>
      <w:r w:rsidR="00E44BCA">
        <w:t>.</w:t>
      </w:r>
      <w:r w:rsidR="00166F3B">
        <w:rPr>
          <w:rStyle w:val="EndnoteReference"/>
        </w:rPr>
        <w:endnoteReference w:id="67"/>
      </w:r>
      <w:r w:rsidR="00E44BCA">
        <w:t xml:space="preserve"> I</w:t>
      </w:r>
      <w:r w:rsidRPr="00C81406">
        <w:t xml:space="preserve">n the absence of </w:t>
      </w:r>
      <w:r w:rsidR="00E44BCA">
        <w:t>disagreement among the child, the child’s medical team and the child’s parents or guardians</w:t>
      </w:r>
      <w:r w:rsidRPr="00C81406">
        <w:t xml:space="preserve">, the </w:t>
      </w:r>
      <w:r w:rsidR="00E44BCA">
        <w:t xml:space="preserve">Commission considers the </w:t>
      </w:r>
      <w:r w:rsidRPr="00C81406">
        <w:t xml:space="preserve">requirement for court authorisation has a deleterious impact on the </w:t>
      </w:r>
      <w:r>
        <w:t xml:space="preserve">human </w:t>
      </w:r>
      <w:r w:rsidRPr="00C81406">
        <w:t xml:space="preserve">rights of affected </w:t>
      </w:r>
      <w:r>
        <w:t>young people</w:t>
      </w:r>
      <w:r w:rsidRPr="00C81406">
        <w:t>.</w:t>
      </w:r>
    </w:p>
    <w:p w14:paraId="7E30D1E2" w14:textId="193707E2" w:rsidR="00E73105" w:rsidRDefault="00E73105" w:rsidP="00E90792">
      <w:pPr>
        <w:pStyle w:val="SubmissionNormal"/>
        <w:numPr>
          <w:ilvl w:val="0"/>
          <w:numId w:val="52"/>
        </w:numPr>
        <w:rPr>
          <w:b/>
        </w:rPr>
      </w:pPr>
      <w:r w:rsidRPr="00C81406">
        <w:rPr>
          <w:b/>
        </w:rPr>
        <w:t xml:space="preserve">That the </w:t>
      </w:r>
      <w:r w:rsidR="00B717CD">
        <w:rPr>
          <w:b/>
        </w:rPr>
        <w:t xml:space="preserve">Australian </w:t>
      </w:r>
      <w:r w:rsidRPr="00C81406">
        <w:rPr>
          <w:b/>
        </w:rPr>
        <w:t xml:space="preserve">Government </w:t>
      </w:r>
      <w:r w:rsidR="003D736D">
        <w:rPr>
          <w:b/>
        </w:rPr>
        <w:t>ensure that Australian law</w:t>
      </w:r>
      <w:r>
        <w:rPr>
          <w:b/>
        </w:rPr>
        <w:t xml:space="preserve"> enable</w:t>
      </w:r>
      <w:r w:rsidR="003D736D">
        <w:rPr>
          <w:b/>
        </w:rPr>
        <w:t>s</w:t>
      </w:r>
      <w:r>
        <w:rPr>
          <w:b/>
        </w:rPr>
        <w:t xml:space="preserve"> young people </w:t>
      </w:r>
      <w:r w:rsidRPr="00C81406">
        <w:rPr>
          <w:b/>
        </w:rPr>
        <w:t>diagnosed with gender dysphoria</w:t>
      </w:r>
      <w:r>
        <w:rPr>
          <w:b/>
        </w:rPr>
        <w:t xml:space="preserve"> to </w:t>
      </w:r>
      <w:r w:rsidRPr="00C81406">
        <w:rPr>
          <w:b/>
        </w:rPr>
        <w:t>access stage 2 hormone treatment</w:t>
      </w:r>
      <w:r w:rsidR="005D02BE">
        <w:rPr>
          <w:b/>
        </w:rPr>
        <w:t xml:space="preserve"> without court authorisation</w:t>
      </w:r>
      <w:r>
        <w:rPr>
          <w:b/>
        </w:rPr>
        <w:t xml:space="preserve"> with the approval of their parents or guardians and medical team and in accordance with the relevant medical standards of care and treatment guidelines.</w:t>
      </w:r>
    </w:p>
    <w:p w14:paraId="31F0C6F6" w14:textId="77777777" w:rsidR="00E73105" w:rsidRDefault="00E73105" w:rsidP="00E73105">
      <w:pPr>
        <w:pStyle w:val="Heading2"/>
      </w:pPr>
      <w:bookmarkStart w:id="49" w:name="_Toc493489606"/>
      <w:r>
        <w:t xml:space="preserve">Access to surrogacy (ICCPR </w:t>
      </w:r>
      <w:r w:rsidR="009B0AD2">
        <w:t>a</w:t>
      </w:r>
      <w:r>
        <w:t>rticles 2 &amp; 26</w:t>
      </w:r>
      <w:r w:rsidRPr="00287C9D">
        <w:t>)</w:t>
      </w:r>
      <w:bookmarkEnd w:id="49"/>
    </w:p>
    <w:p w14:paraId="7D0D8895" w14:textId="6884B2E2" w:rsidR="00E73105" w:rsidRDefault="00E73105" w:rsidP="00E73105">
      <w:pPr>
        <w:pStyle w:val="SubmissionNormal"/>
        <w:tabs>
          <w:tab w:val="clear" w:pos="720"/>
        </w:tabs>
      </w:pPr>
      <w:r>
        <w:t xml:space="preserve">The Commission is concerned that, in </w:t>
      </w:r>
      <w:r w:rsidR="003D736D">
        <w:t xml:space="preserve">one </w:t>
      </w:r>
      <w:r>
        <w:t xml:space="preserve">state, </w:t>
      </w:r>
      <w:r w:rsidR="009C0863">
        <w:t xml:space="preserve">some </w:t>
      </w:r>
      <w:r>
        <w:t>same-sex couples are subject to prohibitions on being intended parents of domestic surrogacy.</w:t>
      </w:r>
      <w:r>
        <w:rPr>
          <w:rStyle w:val="EndnoteReference"/>
        </w:rPr>
        <w:endnoteReference w:id="68"/>
      </w:r>
    </w:p>
    <w:p w14:paraId="0B3DA555" w14:textId="43B020E6" w:rsidR="00E73105" w:rsidRPr="00357490" w:rsidRDefault="00E73105" w:rsidP="00E90792">
      <w:pPr>
        <w:pStyle w:val="SubmissionNormal"/>
        <w:numPr>
          <w:ilvl w:val="0"/>
          <w:numId w:val="52"/>
        </w:numPr>
        <w:rPr>
          <w:b/>
        </w:rPr>
      </w:pPr>
      <w:r>
        <w:rPr>
          <w:b/>
        </w:rPr>
        <w:t>T</w:t>
      </w:r>
      <w:r w:rsidRPr="00A45DED">
        <w:rPr>
          <w:b/>
        </w:rPr>
        <w:t xml:space="preserve">hat </w:t>
      </w:r>
      <w:r>
        <w:rPr>
          <w:b/>
        </w:rPr>
        <w:t xml:space="preserve">the </w:t>
      </w:r>
      <w:r w:rsidR="00B717CD">
        <w:rPr>
          <w:b/>
        </w:rPr>
        <w:t xml:space="preserve">Australian </w:t>
      </w:r>
      <w:r>
        <w:rPr>
          <w:b/>
        </w:rPr>
        <w:t xml:space="preserve">Government encourage </w:t>
      </w:r>
      <w:r w:rsidRPr="00A45DED">
        <w:rPr>
          <w:b/>
        </w:rPr>
        <w:t xml:space="preserve">Western Australia to provide access to surrogacy arrangements for </w:t>
      </w:r>
      <w:r w:rsidR="009C0863">
        <w:rPr>
          <w:b/>
        </w:rPr>
        <w:t xml:space="preserve">all </w:t>
      </w:r>
      <w:r w:rsidRPr="00A45DED">
        <w:rPr>
          <w:b/>
        </w:rPr>
        <w:t>same</w:t>
      </w:r>
      <w:r>
        <w:rPr>
          <w:b/>
        </w:rPr>
        <w:t>-</w:t>
      </w:r>
      <w:r w:rsidRPr="00A45DED">
        <w:rPr>
          <w:b/>
        </w:rPr>
        <w:t xml:space="preserve">sex couples as is provided </w:t>
      </w:r>
      <w:r>
        <w:rPr>
          <w:b/>
        </w:rPr>
        <w:t>to</w:t>
      </w:r>
      <w:r w:rsidRPr="00A45DED">
        <w:rPr>
          <w:b/>
        </w:rPr>
        <w:t xml:space="preserve"> heterosexual co</w:t>
      </w:r>
      <w:r>
        <w:rPr>
          <w:b/>
        </w:rPr>
        <w:t>uples.</w:t>
      </w:r>
    </w:p>
    <w:p w14:paraId="56FC6241" w14:textId="77777777" w:rsidR="00E73105" w:rsidRDefault="00E73105" w:rsidP="00E73105">
      <w:pPr>
        <w:pStyle w:val="Heading2"/>
      </w:pPr>
      <w:bookmarkStart w:id="50" w:name="_Toc493489607"/>
      <w:r>
        <w:t xml:space="preserve">Anti-discrimination laws (ICCPR </w:t>
      </w:r>
      <w:r w:rsidR="009B0AD2">
        <w:t>a</w:t>
      </w:r>
      <w:r>
        <w:t>rticles 2 &amp;</w:t>
      </w:r>
      <w:r w:rsidRPr="00287C9D">
        <w:t xml:space="preserve"> 26; LOI 9)</w:t>
      </w:r>
      <w:bookmarkEnd w:id="50"/>
    </w:p>
    <w:p w14:paraId="2B52302E" w14:textId="30B66849" w:rsidR="00E73105" w:rsidRDefault="00E73105" w:rsidP="00E73105">
      <w:pPr>
        <w:pStyle w:val="SubmissionNormal"/>
        <w:tabs>
          <w:tab w:val="clear" w:pos="720"/>
        </w:tabs>
      </w:pPr>
      <w:r>
        <w:t xml:space="preserve">The Commission commends the Government for passing amendments to the </w:t>
      </w:r>
      <w:r w:rsidRPr="00E05EBC">
        <w:rPr>
          <w:i/>
        </w:rPr>
        <w:t xml:space="preserve">Sex Discrimination Act 1984 </w:t>
      </w:r>
      <w:r>
        <w:t>(Cth) (SDA) in 2013 prohibiting discrimination on the basis of sexual orientation, gender identity and intersex (SOGII) status,</w:t>
      </w:r>
      <w:r>
        <w:rPr>
          <w:rStyle w:val="EndnoteReference"/>
        </w:rPr>
        <w:endnoteReference w:id="69"/>
      </w:r>
      <w:r>
        <w:t xml:space="preserve"> subject to exceptions.</w:t>
      </w:r>
      <w:r>
        <w:rPr>
          <w:rStyle w:val="EndnoteReference"/>
        </w:rPr>
        <w:endnoteReference w:id="70"/>
      </w:r>
      <w:r>
        <w:t xml:space="preserve"> </w:t>
      </w:r>
    </w:p>
    <w:p w14:paraId="0B0F2304" w14:textId="77777777" w:rsidR="00E73105" w:rsidRPr="007A2AD3" w:rsidRDefault="00E73105" w:rsidP="00E73105">
      <w:pPr>
        <w:pStyle w:val="SubmissionNormal"/>
      </w:pPr>
      <w:r>
        <w:t xml:space="preserve">The Commission </w:t>
      </w:r>
      <w:r w:rsidR="00B717CD">
        <w:t xml:space="preserve">also </w:t>
      </w:r>
      <w:r>
        <w:t>commends the Government on its removal of exemptions for Australian state and territory laws from the operation of Australia’s national anti-discrimination laws.</w:t>
      </w:r>
      <w:r>
        <w:rPr>
          <w:rStyle w:val="EndnoteReference"/>
        </w:rPr>
        <w:endnoteReference w:id="71"/>
      </w:r>
      <w:r>
        <w:t xml:space="preserve"> However, the Commission is concerned that s</w:t>
      </w:r>
      <w:r w:rsidRPr="00B90EA6">
        <w:t xml:space="preserve">ome state and territory laws remain inconsistent with the protections against discrimination on the basis of </w:t>
      </w:r>
      <w:r>
        <w:t>SOGII</w:t>
      </w:r>
      <w:r w:rsidRPr="00B90EA6">
        <w:t xml:space="preserve"> status in the </w:t>
      </w:r>
      <w:r>
        <w:t>SDA</w:t>
      </w:r>
      <w:r w:rsidRPr="00C540A5">
        <w:rPr>
          <w:i/>
        </w:rPr>
        <w:t>.</w:t>
      </w:r>
      <w:r w:rsidRPr="006821C6">
        <w:rPr>
          <w:rStyle w:val="EndnoteReference"/>
        </w:rPr>
        <w:endnoteReference w:id="72"/>
      </w:r>
    </w:p>
    <w:p w14:paraId="5EBEFCCF" w14:textId="60D70AEC" w:rsidR="00E73105" w:rsidRPr="005D40CA" w:rsidRDefault="00E73105" w:rsidP="00E90792">
      <w:pPr>
        <w:pStyle w:val="SubmissionNormal"/>
        <w:numPr>
          <w:ilvl w:val="0"/>
          <w:numId w:val="52"/>
        </w:numPr>
      </w:pPr>
      <w:r>
        <w:rPr>
          <w:b/>
        </w:rPr>
        <w:t xml:space="preserve">That the </w:t>
      </w:r>
      <w:r w:rsidR="00B717CD">
        <w:rPr>
          <w:b/>
        </w:rPr>
        <w:t xml:space="preserve">Australian </w:t>
      </w:r>
      <w:r>
        <w:rPr>
          <w:b/>
        </w:rPr>
        <w:t xml:space="preserve">Government, through the </w:t>
      </w:r>
      <w:r w:rsidR="00213E00">
        <w:rPr>
          <w:rFonts w:cs="Arial"/>
          <w:b/>
          <w:iCs/>
        </w:rPr>
        <w:t>Council of Australian Governments</w:t>
      </w:r>
      <w:r>
        <w:rPr>
          <w:b/>
        </w:rPr>
        <w:t xml:space="preserve">, ensure consistency of all policies and laws </w:t>
      </w:r>
      <w:r w:rsidRPr="000C1FA2">
        <w:rPr>
          <w:b/>
        </w:rPr>
        <w:t xml:space="preserve">with </w:t>
      </w:r>
      <w:r>
        <w:rPr>
          <w:b/>
        </w:rPr>
        <w:t>the</w:t>
      </w:r>
      <w:r w:rsidRPr="000C1FA2">
        <w:rPr>
          <w:b/>
        </w:rPr>
        <w:t xml:space="preserve"> protections against discrimination on the basis of sexual orientation, gender identity and intersex status in the </w:t>
      </w:r>
      <w:r w:rsidRPr="000C1FA2">
        <w:rPr>
          <w:b/>
          <w:i/>
        </w:rPr>
        <w:t xml:space="preserve">Sex Discrimination Act 1984 </w:t>
      </w:r>
      <w:r w:rsidRPr="000C1FA2">
        <w:rPr>
          <w:b/>
        </w:rPr>
        <w:t>(Cth).</w:t>
      </w:r>
    </w:p>
    <w:p w14:paraId="5FF57F6B" w14:textId="58A81CEC" w:rsidR="00E73105" w:rsidRDefault="00894110" w:rsidP="00E73105">
      <w:pPr>
        <w:pStyle w:val="Heading2"/>
      </w:pPr>
      <w:bookmarkStart w:id="51" w:name="_Toc493489608"/>
      <w:r>
        <w:t>Births, deaths and m</w:t>
      </w:r>
      <w:r w:rsidR="00E73105">
        <w:t>arriage</w:t>
      </w:r>
      <w:r w:rsidR="00751468">
        <w:t>s</w:t>
      </w:r>
      <w:r w:rsidR="00E73105">
        <w:t xml:space="preserve"> </w:t>
      </w:r>
      <w:r>
        <w:t>r</w:t>
      </w:r>
      <w:r w:rsidR="00E73105">
        <w:t xml:space="preserve">egistration (ICCPR </w:t>
      </w:r>
      <w:r w:rsidR="009B0AD2">
        <w:t>a</w:t>
      </w:r>
      <w:r w:rsidR="00E73105">
        <w:t>rticles 2, 17 &amp; 26)</w:t>
      </w:r>
      <w:bookmarkEnd w:id="51"/>
    </w:p>
    <w:p w14:paraId="68260D20" w14:textId="66C35639" w:rsidR="00E73105" w:rsidRDefault="00E73105" w:rsidP="00E73105">
      <w:pPr>
        <w:pStyle w:val="SubmissionNormal"/>
        <w:tabs>
          <w:tab w:val="clear" w:pos="720"/>
        </w:tabs>
      </w:pPr>
      <w:r>
        <w:t xml:space="preserve">The Commission is concerned that in all </w:t>
      </w:r>
      <w:r w:rsidR="00596FF1">
        <w:t>parts of Australia except the Australian Capital Territory and South Australia</w:t>
      </w:r>
      <w:r>
        <w:t>,</w:t>
      </w:r>
      <w:r w:rsidR="00596FF1">
        <w:rPr>
          <w:rStyle w:val="EndnoteReference"/>
        </w:rPr>
        <w:endnoteReference w:id="73"/>
      </w:r>
      <w:r>
        <w:t xml:space="preserve"> </w:t>
      </w:r>
      <w:r w:rsidR="00790FCD">
        <w:t xml:space="preserve">a person </w:t>
      </w:r>
      <w:r>
        <w:t>must undergo surgical or medical treatment and also be unmarried to change the legal record of their sex.</w:t>
      </w:r>
      <w:r>
        <w:rPr>
          <w:rStyle w:val="EndnoteReference"/>
        </w:rPr>
        <w:endnoteReference w:id="74"/>
      </w:r>
    </w:p>
    <w:p w14:paraId="16D27BFD" w14:textId="77777777" w:rsidR="00E73105" w:rsidRDefault="00E73105" w:rsidP="00E90792">
      <w:pPr>
        <w:pStyle w:val="SubmissionNormal"/>
        <w:tabs>
          <w:tab w:val="clear" w:pos="720"/>
        </w:tabs>
      </w:pPr>
      <w:r>
        <w:lastRenderedPageBreak/>
        <w:t>The Commission notes the Committee’s recent decision</w:t>
      </w:r>
      <w:r w:rsidR="00790FCD">
        <w:t>,</w:t>
      </w:r>
      <w:r>
        <w:t xml:space="preserve"> </w:t>
      </w:r>
      <w:r>
        <w:rPr>
          <w:i/>
        </w:rPr>
        <w:t>G v Australia</w:t>
      </w:r>
      <w:r>
        <w:t xml:space="preserve">, in which it found that </w:t>
      </w:r>
      <w:r w:rsidRPr="00EC49E8">
        <w:t xml:space="preserve">Australia, by refusing to allow a </w:t>
      </w:r>
      <w:r>
        <w:t xml:space="preserve">transgender </w:t>
      </w:r>
      <w:r w:rsidRPr="00EC49E8">
        <w:t>married person to have a birth certificate consistent with their sex unless they get a divorce,</w:t>
      </w:r>
      <w:r>
        <w:t xml:space="preserve"> violated articles 17 and 26 of the ICCPR.</w:t>
      </w:r>
      <w:r>
        <w:rPr>
          <w:rStyle w:val="EndnoteReference"/>
        </w:rPr>
        <w:endnoteReference w:id="75"/>
      </w:r>
    </w:p>
    <w:p w14:paraId="23EB59F3" w14:textId="682F92FB" w:rsidR="00E73105" w:rsidRPr="008D7065" w:rsidRDefault="00E73105" w:rsidP="00E90792">
      <w:pPr>
        <w:pStyle w:val="SubmissionNormal"/>
        <w:numPr>
          <w:ilvl w:val="0"/>
          <w:numId w:val="52"/>
        </w:numPr>
        <w:rPr>
          <w:b/>
        </w:rPr>
      </w:pPr>
      <w:r w:rsidRPr="00AB39E2">
        <w:rPr>
          <w:b/>
        </w:rPr>
        <w:t>Th</w:t>
      </w:r>
      <w:r>
        <w:rPr>
          <w:b/>
        </w:rPr>
        <w:t>at th</w:t>
      </w:r>
      <w:r w:rsidRPr="00AB39E2">
        <w:rPr>
          <w:b/>
        </w:rPr>
        <w:t xml:space="preserve">e </w:t>
      </w:r>
      <w:r w:rsidR="00B717CD">
        <w:rPr>
          <w:b/>
        </w:rPr>
        <w:t xml:space="preserve">Australian </w:t>
      </w:r>
      <w:r w:rsidRPr="00AB39E2">
        <w:rPr>
          <w:b/>
        </w:rPr>
        <w:t xml:space="preserve">Government, through the </w:t>
      </w:r>
      <w:r w:rsidR="00213E00">
        <w:rPr>
          <w:rFonts w:cs="Arial"/>
          <w:b/>
          <w:iCs/>
        </w:rPr>
        <w:t>Council of Australian Governments</w:t>
      </w:r>
      <w:r w:rsidRPr="00AB39E2">
        <w:rPr>
          <w:b/>
        </w:rPr>
        <w:t>, encourage</w:t>
      </w:r>
      <w:r>
        <w:rPr>
          <w:b/>
        </w:rPr>
        <w:t xml:space="preserve"> the removal of surgery and marital status requirements in births, deaths and marriages registration legislation.</w:t>
      </w:r>
    </w:p>
    <w:p w14:paraId="16E68C3B" w14:textId="77777777" w:rsidR="00E73105" w:rsidRDefault="00E73105" w:rsidP="00E73105">
      <w:pPr>
        <w:pStyle w:val="Heading2"/>
      </w:pPr>
      <w:bookmarkStart w:id="52" w:name="_Toc493489609"/>
      <w:r>
        <w:t xml:space="preserve">Involuntary medical interventions (ICCPR </w:t>
      </w:r>
      <w:r w:rsidR="009B0AD2">
        <w:t>a</w:t>
      </w:r>
      <w:r>
        <w:t>rticles 7 &amp; 26</w:t>
      </w:r>
      <w:r w:rsidRPr="00287C9D">
        <w:t>)</w:t>
      </w:r>
      <w:bookmarkEnd w:id="52"/>
    </w:p>
    <w:p w14:paraId="259E7BD1" w14:textId="77777777" w:rsidR="00E73105" w:rsidRDefault="00E73105" w:rsidP="00E73105">
      <w:pPr>
        <w:pStyle w:val="SubmissionNormal"/>
        <w:tabs>
          <w:tab w:val="clear" w:pos="720"/>
        </w:tabs>
      </w:pPr>
      <w:r>
        <w:t>The Commission is concerned that children born with intersex variations remain subject to medically unnecessary medical interventions in circumstances where they are unable to provide full and informed consent.</w:t>
      </w:r>
      <w:r>
        <w:rPr>
          <w:rStyle w:val="EndnoteReference"/>
        </w:rPr>
        <w:endnoteReference w:id="76"/>
      </w:r>
      <w:r>
        <w:t xml:space="preserve"> </w:t>
      </w:r>
    </w:p>
    <w:p w14:paraId="4C00C63C" w14:textId="77777777" w:rsidR="00623EE3" w:rsidRDefault="00623EE3" w:rsidP="00623EE3">
      <w:pPr>
        <w:pStyle w:val="SubmissionNormal"/>
      </w:pPr>
      <w:r>
        <w:t xml:space="preserve">The Commission notes the </w:t>
      </w:r>
      <w:r w:rsidRPr="00623EE3">
        <w:t>recommendations of the 2013 Senate Community Affairs Committee inquiry into the involuntary or coerced sterilisation of intersex people</w:t>
      </w:r>
      <w:r w:rsidRPr="00C10184">
        <w:rPr>
          <w:b/>
        </w:rPr>
        <w:t>.</w:t>
      </w:r>
      <w:r>
        <w:rPr>
          <w:rStyle w:val="EndnoteReference"/>
        </w:rPr>
        <w:endnoteReference w:id="77"/>
      </w:r>
    </w:p>
    <w:p w14:paraId="54C1C64F" w14:textId="251E2A94" w:rsidR="00E73105" w:rsidRDefault="00E73105" w:rsidP="00E90792">
      <w:pPr>
        <w:pStyle w:val="SubmissionNormal"/>
        <w:numPr>
          <w:ilvl w:val="0"/>
          <w:numId w:val="52"/>
        </w:numPr>
        <w:rPr>
          <w:b/>
        </w:rPr>
      </w:pPr>
      <w:r>
        <w:rPr>
          <w:b/>
        </w:rPr>
        <w:t xml:space="preserve">That the </w:t>
      </w:r>
      <w:r w:rsidR="00B717CD">
        <w:rPr>
          <w:b/>
        </w:rPr>
        <w:t xml:space="preserve">Australian </w:t>
      </w:r>
      <w:r>
        <w:rPr>
          <w:b/>
        </w:rPr>
        <w:t xml:space="preserve">Government implement the recommendations of the </w:t>
      </w:r>
      <w:r w:rsidRPr="00C10184">
        <w:rPr>
          <w:b/>
        </w:rPr>
        <w:t>2013 Senate Community Affairs Committee inquiry into the involuntary or coerced sterilisation of intersex people.</w:t>
      </w:r>
    </w:p>
    <w:p w14:paraId="28E1AEB9" w14:textId="77777777" w:rsidR="00E73105" w:rsidRDefault="00E73105" w:rsidP="00E73105">
      <w:pPr>
        <w:pStyle w:val="Heading2"/>
      </w:pPr>
      <w:bookmarkStart w:id="53" w:name="_Toc493489610"/>
      <w:r>
        <w:t>Marriage equality</w:t>
      </w:r>
      <w:r w:rsidRPr="00287C9D">
        <w:t xml:space="preserve"> </w:t>
      </w:r>
      <w:r>
        <w:t xml:space="preserve">(ICCPR </w:t>
      </w:r>
      <w:r w:rsidR="009B0AD2">
        <w:t>a</w:t>
      </w:r>
      <w:r>
        <w:t>rticles 2 &amp; 26</w:t>
      </w:r>
      <w:r w:rsidRPr="00287C9D">
        <w:t>)</w:t>
      </w:r>
      <w:bookmarkEnd w:id="53"/>
    </w:p>
    <w:p w14:paraId="74F8C9DE" w14:textId="77777777" w:rsidR="00E73105" w:rsidRPr="00E05EBC" w:rsidRDefault="00E73105" w:rsidP="00E73105">
      <w:pPr>
        <w:pStyle w:val="SubmissionNormal"/>
        <w:tabs>
          <w:tab w:val="clear" w:pos="720"/>
          <w:tab w:val="num" w:pos="1080"/>
        </w:tabs>
        <w:rPr>
          <w:rFonts w:cs="Arial"/>
        </w:rPr>
      </w:pPr>
      <w:r w:rsidRPr="00512AC7">
        <w:t xml:space="preserve">The </w:t>
      </w:r>
      <w:r w:rsidRPr="00867173">
        <w:rPr>
          <w:i/>
        </w:rPr>
        <w:t>Marriage Act 1961</w:t>
      </w:r>
      <w:r w:rsidRPr="00512AC7">
        <w:t xml:space="preserve"> (Cth)</w:t>
      </w:r>
      <w:r w:rsidR="00D53D10">
        <w:t xml:space="preserve"> </w:t>
      </w:r>
      <w:r w:rsidR="008F443D">
        <w:t xml:space="preserve">(the Marriage Act) </w:t>
      </w:r>
      <w:r>
        <w:t>defines marriage as the union of a man and a woman to the exclusion of all others.</w:t>
      </w:r>
      <w:r>
        <w:rPr>
          <w:rStyle w:val="EndnoteReference"/>
        </w:rPr>
        <w:endnoteReference w:id="78"/>
      </w:r>
      <w:r w:rsidRPr="00512AC7">
        <w:t xml:space="preserve"> </w:t>
      </w:r>
      <w:r w:rsidRPr="00A326C4">
        <w:rPr>
          <w:rFonts w:cs="Arial"/>
        </w:rPr>
        <w:t xml:space="preserve">The </w:t>
      </w:r>
      <w:r w:rsidRPr="00A326C4">
        <w:t>Commission</w:t>
      </w:r>
      <w:r w:rsidRPr="00A326C4">
        <w:rPr>
          <w:rFonts w:cs="Arial"/>
        </w:rPr>
        <w:t xml:space="preserve"> </w:t>
      </w:r>
      <w:r w:rsidRPr="00A326C4">
        <w:rPr>
          <w:rFonts w:cs="Arial"/>
          <w:color w:val="000000"/>
          <w:shd w:val="clear" w:color="auto" w:fill="FFFFFF"/>
        </w:rPr>
        <w:t>considers that civil marriage should be available, without discrimination, to</w:t>
      </w:r>
      <w:r>
        <w:rPr>
          <w:rFonts w:cs="Arial"/>
          <w:color w:val="000000"/>
          <w:shd w:val="clear" w:color="auto" w:fill="FFFFFF"/>
        </w:rPr>
        <w:t xml:space="preserve"> all couples, regardless of sex</w:t>
      </w:r>
      <w:r w:rsidR="00D53D10">
        <w:rPr>
          <w:rFonts w:cs="Arial"/>
          <w:color w:val="000000"/>
          <w:shd w:val="clear" w:color="auto" w:fill="FFFFFF"/>
        </w:rPr>
        <w:t xml:space="preserve"> or SOGII </w:t>
      </w:r>
      <w:r>
        <w:rPr>
          <w:rFonts w:cs="Arial"/>
          <w:color w:val="000000"/>
          <w:shd w:val="clear" w:color="auto" w:fill="FFFFFF"/>
        </w:rPr>
        <w:t>status</w:t>
      </w:r>
      <w:r w:rsidRPr="00A326C4">
        <w:rPr>
          <w:rFonts w:cs="Arial"/>
          <w:color w:val="000000"/>
          <w:shd w:val="clear" w:color="auto" w:fill="FFFFFF"/>
        </w:rPr>
        <w:t>, on the basis of the fundamental human rights principles of equality and non-discrimination.</w:t>
      </w:r>
      <w:r w:rsidRPr="001B3028">
        <w:rPr>
          <w:rStyle w:val="EndnoteReference"/>
          <w:rFonts w:cs="Arial"/>
          <w:color w:val="000000"/>
          <w:sz w:val="24"/>
          <w:shd w:val="clear" w:color="auto" w:fill="FFFFFF"/>
        </w:rPr>
        <w:endnoteReference w:id="79"/>
      </w:r>
    </w:p>
    <w:p w14:paraId="0765419D" w14:textId="77777777" w:rsidR="00E73105" w:rsidRPr="0024267D" w:rsidRDefault="00E73105" w:rsidP="00E73105">
      <w:pPr>
        <w:pStyle w:val="SubmissionNormal"/>
        <w:rPr>
          <w:rFonts w:cs="Arial"/>
        </w:rPr>
      </w:pPr>
      <w:r>
        <w:t xml:space="preserve">The </w:t>
      </w:r>
      <w:r w:rsidRPr="002A3649">
        <w:t>Marriage Act</w:t>
      </w:r>
      <w:r>
        <w:rPr>
          <w:i/>
        </w:rPr>
        <w:t xml:space="preserve"> </w:t>
      </w:r>
      <w:r>
        <w:t>currently</w:t>
      </w:r>
      <w:r>
        <w:rPr>
          <w:i/>
        </w:rPr>
        <w:t xml:space="preserve"> </w:t>
      </w:r>
      <w:r>
        <w:t>allows ministers of religion to refuse to solemnise a marriage.</w:t>
      </w:r>
      <w:r>
        <w:rPr>
          <w:rStyle w:val="EndnoteReference"/>
        </w:rPr>
        <w:endnoteReference w:id="80"/>
      </w:r>
      <w:r>
        <w:t xml:space="preserve"> The Commission considers that if the </w:t>
      </w:r>
      <w:r w:rsidRPr="002A3649">
        <w:t>Marriage Act</w:t>
      </w:r>
      <w:r>
        <w:t xml:space="preserve"> is amended to permit two people to marry</w:t>
      </w:r>
      <w:r w:rsidR="00790FCD">
        <w:t>,</w:t>
      </w:r>
      <w:r>
        <w:t xml:space="preserve"> ministers of religion should be able refuse to solemnise a marriage in accordance with the doctrines, tenets and beliefs of their religious organisation.</w:t>
      </w:r>
      <w:r>
        <w:rPr>
          <w:rStyle w:val="EndnoteReference"/>
        </w:rPr>
        <w:endnoteReference w:id="81"/>
      </w:r>
      <w:r w:rsidRPr="00B84CC6">
        <w:t xml:space="preserve"> </w:t>
      </w:r>
    </w:p>
    <w:p w14:paraId="5292D02B" w14:textId="471608BA" w:rsidR="00E73105" w:rsidRPr="00C65D41" w:rsidRDefault="00071D6F" w:rsidP="00E73105">
      <w:pPr>
        <w:pStyle w:val="SubmissionNormal"/>
        <w:tabs>
          <w:tab w:val="clear" w:pos="720"/>
          <w:tab w:val="num" w:pos="1080"/>
        </w:tabs>
        <w:rPr>
          <w:rFonts w:cs="Arial"/>
        </w:rPr>
      </w:pPr>
      <w:r>
        <w:t xml:space="preserve">Human rights reform should take place in accordance with ordinary legislative processes. </w:t>
      </w:r>
      <w:r w:rsidR="00E73105">
        <w:t xml:space="preserve">The Commission </w:t>
      </w:r>
      <w:r>
        <w:t xml:space="preserve">considers that </w:t>
      </w:r>
      <w:r w:rsidR="00E73105">
        <w:t>the Government’s voluntary</w:t>
      </w:r>
      <w:r w:rsidR="00790FCD">
        <w:t>,</w:t>
      </w:r>
      <w:r w:rsidR="00E73105">
        <w:t xml:space="preserve"> non-binding postal survey on the issue of marriage equality</w:t>
      </w:r>
      <w:r>
        <w:t>,</w:t>
      </w:r>
      <w:r w:rsidR="00E73105">
        <w:rPr>
          <w:rStyle w:val="EndnoteReference"/>
        </w:rPr>
        <w:endnoteReference w:id="82"/>
      </w:r>
      <w:r w:rsidR="00E73105">
        <w:t xml:space="preserve"> </w:t>
      </w:r>
      <w:r>
        <w:t>is</w:t>
      </w:r>
      <w:r w:rsidR="00E73105">
        <w:t xml:space="preserve"> not </w:t>
      </w:r>
      <w:r>
        <w:t xml:space="preserve">an </w:t>
      </w:r>
      <w:r w:rsidR="00E73105">
        <w:t xml:space="preserve">appropriate </w:t>
      </w:r>
      <w:r w:rsidR="00D53D10">
        <w:t>mechanism</w:t>
      </w:r>
      <w:r w:rsidR="00E73105">
        <w:t xml:space="preserve"> to resolve</w:t>
      </w:r>
      <w:r>
        <w:t xml:space="preserve"> an</w:t>
      </w:r>
      <w:r w:rsidR="00E73105">
        <w:t xml:space="preserve"> issue of fundamental human rights.</w:t>
      </w:r>
      <w:r w:rsidR="00E73105">
        <w:rPr>
          <w:rStyle w:val="EndnoteReference"/>
        </w:rPr>
        <w:endnoteReference w:id="83"/>
      </w:r>
    </w:p>
    <w:p w14:paraId="6548DAEF" w14:textId="77777777" w:rsidR="00E73105" w:rsidRPr="00A326C4" w:rsidRDefault="00E73105" w:rsidP="00E73105">
      <w:pPr>
        <w:pStyle w:val="SubmissionNormal"/>
        <w:rPr>
          <w:rFonts w:cs="Arial"/>
        </w:rPr>
      </w:pPr>
      <w:r>
        <w:t>The Commission notes the Committee’s recent decision</w:t>
      </w:r>
      <w:r w:rsidR="00790FCD">
        <w:t>,</w:t>
      </w:r>
      <w:r>
        <w:t xml:space="preserve"> </w:t>
      </w:r>
      <w:r>
        <w:rPr>
          <w:i/>
        </w:rPr>
        <w:t>C v Australia</w:t>
      </w:r>
      <w:r>
        <w:t xml:space="preserve">, in which it </w:t>
      </w:r>
      <w:r w:rsidR="00790FCD">
        <w:t xml:space="preserve">found </w:t>
      </w:r>
      <w:r>
        <w:rPr>
          <w:rFonts w:cs="Arial"/>
        </w:rPr>
        <w:t xml:space="preserve">that </w:t>
      </w:r>
      <w:r w:rsidRPr="00C224AD">
        <w:rPr>
          <w:rFonts w:cs="Arial"/>
        </w:rPr>
        <w:t xml:space="preserve">Australia's </w:t>
      </w:r>
      <w:r>
        <w:rPr>
          <w:rFonts w:cs="Arial"/>
        </w:rPr>
        <w:t>denial</w:t>
      </w:r>
      <w:r w:rsidRPr="00C224AD">
        <w:rPr>
          <w:rFonts w:cs="Arial"/>
        </w:rPr>
        <w:t xml:space="preserve"> of access to</w:t>
      </w:r>
      <w:r>
        <w:rPr>
          <w:rFonts w:cs="Arial"/>
        </w:rPr>
        <w:t xml:space="preserve"> divorce proceedings to </w:t>
      </w:r>
      <w:r w:rsidRPr="00C224AD">
        <w:rPr>
          <w:rFonts w:cs="Arial"/>
        </w:rPr>
        <w:t xml:space="preserve">a same-sex couple who married overseas </w:t>
      </w:r>
      <w:r>
        <w:rPr>
          <w:rFonts w:cs="Arial"/>
        </w:rPr>
        <w:t>violated a</w:t>
      </w:r>
      <w:r w:rsidRPr="00C224AD">
        <w:rPr>
          <w:rFonts w:cs="Arial"/>
        </w:rPr>
        <w:t>rticle 26 of the ICCPR.</w:t>
      </w:r>
      <w:r>
        <w:rPr>
          <w:rStyle w:val="EndnoteReference"/>
          <w:rFonts w:cs="Arial"/>
        </w:rPr>
        <w:endnoteReference w:id="84"/>
      </w:r>
    </w:p>
    <w:p w14:paraId="3703F072" w14:textId="4F2C607D" w:rsidR="00C81406" w:rsidRPr="00C81406" w:rsidRDefault="00E73105" w:rsidP="00E90792">
      <w:pPr>
        <w:pStyle w:val="SubmissionNormal"/>
        <w:numPr>
          <w:ilvl w:val="0"/>
          <w:numId w:val="52"/>
        </w:numPr>
        <w:rPr>
          <w:b/>
        </w:rPr>
      </w:pPr>
      <w:r>
        <w:rPr>
          <w:b/>
        </w:rPr>
        <w:t xml:space="preserve">That the </w:t>
      </w:r>
      <w:r w:rsidR="00FC4C9A">
        <w:rPr>
          <w:b/>
        </w:rPr>
        <w:t xml:space="preserve">Australian </w:t>
      </w:r>
      <w:r>
        <w:rPr>
          <w:b/>
        </w:rPr>
        <w:t>Government</w:t>
      </w:r>
      <w:r w:rsidRPr="00B84CC6">
        <w:rPr>
          <w:b/>
        </w:rPr>
        <w:t xml:space="preserve"> legislate to </w:t>
      </w:r>
      <w:r>
        <w:rPr>
          <w:b/>
        </w:rPr>
        <w:t>enable two people to marry, irrespective of sex, sexual orientation, gender identity or intersex status, whil</w:t>
      </w:r>
      <w:r w:rsidR="00790FCD">
        <w:rPr>
          <w:b/>
        </w:rPr>
        <w:t>e</w:t>
      </w:r>
      <w:r>
        <w:rPr>
          <w:b/>
        </w:rPr>
        <w:t xml:space="preserve"> enabling </w:t>
      </w:r>
      <w:r w:rsidR="00790FCD">
        <w:rPr>
          <w:b/>
        </w:rPr>
        <w:t xml:space="preserve">a </w:t>
      </w:r>
      <w:r>
        <w:rPr>
          <w:b/>
        </w:rPr>
        <w:t xml:space="preserve">minister of religion to refuse </w:t>
      </w:r>
      <w:r>
        <w:rPr>
          <w:b/>
        </w:rPr>
        <w:lastRenderedPageBreak/>
        <w:t>to solemnise a marriage in accordance with the doctrines, tenets and beliefs of the minister’s religious body or organisation.</w:t>
      </w:r>
    </w:p>
    <w:p w14:paraId="2D2C154A" w14:textId="77777777" w:rsidR="000C4B5E" w:rsidRDefault="00E62DD1" w:rsidP="00EC4B73">
      <w:pPr>
        <w:pStyle w:val="Heading1"/>
      </w:pPr>
      <w:bookmarkStart w:id="54" w:name="_Toc493489611"/>
      <w:r>
        <w:t>W</w:t>
      </w:r>
      <w:r w:rsidR="000E0F0C" w:rsidRPr="00EC4B73">
        <w:t>omen</w:t>
      </w:r>
      <w:bookmarkEnd w:id="54"/>
      <w:r w:rsidR="000E0F0C" w:rsidRPr="00EC4B73">
        <w:t xml:space="preserve"> </w:t>
      </w:r>
    </w:p>
    <w:p w14:paraId="0F39837D" w14:textId="77777777" w:rsidR="00CC6C91" w:rsidRDefault="00CC6C91" w:rsidP="00CC6C91">
      <w:pPr>
        <w:pStyle w:val="Heading2"/>
      </w:pPr>
      <w:bookmarkStart w:id="55" w:name="_Toc491243298"/>
      <w:bookmarkStart w:id="56" w:name="_Toc493489612"/>
      <w:r>
        <w:t>Violence against women</w:t>
      </w:r>
      <w:r w:rsidRPr="00EC4B73">
        <w:t xml:space="preserve"> </w:t>
      </w:r>
      <w:r>
        <w:t xml:space="preserve">(ICCPR </w:t>
      </w:r>
      <w:r w:rsidR="009B0AD2">
        <w:t>a</w:t>
      </w:r>
      <w:r>
        <w:t>rticles 2, 3, 7 &amp; 26; LOI 10)</w:t>
      </w:r>
      <w:bookmarkEnd w:id="55"/>
      <w:bookmarkEnd w:id="56"/>
    </w:p>
    <w:p w14:paraId="2C761074" w14:textId="0501326E" w:rsidR="00CC6C91" w:rsidRDefault="00CC6C91" w:rsidP="00CC6C91">
      <w:pPr>
        <w:pStyle w:val="SubmissionNormal"/>
        <w:tabs>
          <w:tab w:val="clear" w:pos="720"/>
        </w:tabs>
      </w:pPr>
      <w:r>
        <w:t xml:space="preserve">Violence against women in Australia remains endemic and continues to </w:t>
      </w:r>
      <w:r w:rsidR="003D736D">
        <w:t xml:space="preserve">have a </w:t>
      </w:r>
      <w:r>
        <w:t xml:space="preserve">negative impact on the realisation of women’s civil and political rights. </w:t>
      </w:r>
    </w:p>
    <w:p w14:paraId="70FD15AF" w14:textId="19F85445" w:rsidR="00CC6C91" w:rsidRDefault="00CC6C91" w:rsidP="00E90792">
      <w:pPr>
        <w:pStyle w:val="SubmissionNormal"/>
      </w:pPr>
      <w:r>
        <w:rPr>
          <w:rFonts w:cs="Arial"/>
        </w:rPr>
        <w:t>The Commission c</w:t>
      </w:r>
      <w:r w:rsidRPr="00062821">
        <w:rPr>
          <w:rFonts w:cs="Arial"/>
        </w:rPr>
        <w:t xml:space="preserve">ommends efforts made to address </w:t>
      </w:r>
      <w:r>
        <w:rPr>
          <w:rFonts w:cs="Arial"/>
        </w:rPr>
        <w:t>violence against women</w:t>
      </w:r>
      <w:r w:rsidRPr="00062821">
        <w:rPr>
          <w:rFonts w:cs="Arial"/>
        </w:rPr>
        <w:t xml:space="preserve"> under the </w:t>
      </w:r>
      <w:r w:rsidRPr="00062821">
        <w:rPr>
          <w:rFonts w:cs="Arial"/>
          <w:i/>
        </w:rPr>
        <w:t>National Plan to Reduce Violence against Women and their Children 2010</w:t>
      </w:r>
      <w:r w:rsidR="006821C6">
        <w:rPr>
          <w:rFonts w:cs="Arial"/>
          <w:i/>
        </w:rPr>
        <w:t>–</w:t>
      </w:r>
      <w:r w:rsidRPr="00062821">
        <w:rPr>
          <w:rFonts w:cs="Arial"/>
          <w:i/>
        </w:rPr>
        <w:t>22</w:t>
      </w:r>
      <w:r w:rsidR="00D53D10">
        <w:rPr>
          <w:rFonts w:cs="Arial"/>
        </w:rPr>
        <w:t xml:space="preserve"> (the National Plan).</w:t>
      </w:r>
      <w:r w:rsidRPr="005323A0">
        <w:rPr>
          <w:rStyle w:val="EndnoteReference"/>
        </w:rPr>
        <w:endnoteReference w:id="85"/>
      </w:r>
      <w:r w:rsidRPr="00FF6BDC">
        <w:t xml:space="preserve"> </w:t>
      </w:r>
      <w:r>
        <w:t>The Comm</w:t>
      </w:r>
      <w:r w:rsidRPr="002E689A">
        <w:t>is</w:t>
      </w:r>
      <w:r>
        <w:t>si</w:t>
      </w:r>
      <w:r w:rsidRPr="002E689A">
        <w:t xml:space="preserve">on </w:t>
      </w:r>
      <w:r>
        <w:t>also commends</w:t>
      </w:r>
      <w:r w:rsidRPr="002E689A">
        <w:t xml:space="preserve"> </w:t>
      </w:r>
      <w:r>
        <w:t xml:space="preserve">the </w:t>
      </w:r>
      <w:r w:rsidRPr="002E689A">
        <w:t>Governmen</w:t>
      </w:r>
      <w:r>
        <w:t>t’s</w:t>
      </w:r>
      <w:r w:rsidRPr="002E689A">
        <w:t xml:space="preserve"> additional funding committed in 2015 to both prevention and response measures and servi</w:t>
      </w:r>
      <w:r>
        <w:t>c</w:t>
      </w:r>
      <w:r w:rsidRPr="002E689A">
        <w:t>es.</w:t>
      </w:r>
      <w:r w:rsidRPr="00B743D4">
        <w:rPr>
          <w:rStyle w:val="EndnoteReference"/>
          <w:rFonts w:cs="Arial"/>
          <w:sz w:val="24"/>
        </w:rPr>
        <w:endnoteReference w:id="86"/>
      </w:r>
    </w:p>
    <w:p w14:paraId="3835DDA0" w14:textId="77777777" w:rsidR="00F9429D" w:rsidRDefault="00F9429D" w:rsidP="00F9429D">
      <w:pPr>
        <w:pStyle w:val="SubmissionNormal"/>
        <w:tabs>
          <w:tab w:val="clear" w:pos="720"/>
        </w:tabs>
      </w:pPr>
      <w:r>
        <w:t>T</w:t>
      </w:r>
      <w:r w:rsidRPr="00FF6BDC">
        <w:t xml:space="preserve">he Commission </w:t>
      </w:r>
      <w:r w:rsidR="00442696">
        <w:t xml:space="preserve">is concerned </w:t>
      </w:r>
      <w:r w:rsidR="00210116">
        <w:rPr>
          <w:rFonts w:cs="Arial"/>
        </w:rPr>
        <w:t>about the lack of</w:t>
      </w:r>
      <w:r w:rsidR="00442696" w:rsidRPr="007F62E7">
        <w:rPr>
          <w:rFonts w:cs="Arial"/>
        </w:rPr>
        <w:t xml:space="preserve"> Australia</w:t>
      </w:r>
      <w:r w:rsidR="00442696">
        <w:rPr>
          <w:rFonts w:cs="Arial"/>
        </w:rPr>
        <w:t>-</w:t>
      </w:r>
      <w:r w:rsidR="00442696" w:rsidRPr="007F62E7">
        <w:rPr>
          <w:rFonts w:cs="Arial"/>
        </w:rPr>
        <w:t>wide data on domestic and family violence deaths</w:t>
      </w:r>
      <w:r w:rsidR="006D668E">
        <w:rPr>
          <w:rFonts w:cs="Arial"/>
        </w:rPr>
        <w:t xml:space="preserve">. The Commission </w:t>
      </w:r>
      <w:r>
        <w:t xml:space="preserve">has highlighted </w:t>
      </w:r>
      <w:r w:rsidRPr="00FF6BDC">
        <w:t xml:space="preserve">the importance of </w:t>
      </w:r>
      <w:r>
        <w:t>the domestic and family violence death review process and propos</w:t>
      </w:r>
      <w:r w:rsidR="00210116">
        <w:t>ed</w:t>
      </w:r>
      <w:r>
        <w:t xml:space="preserve"> measures to ensure national coherence and collection of data on domestic and family violence deaths.</w:t>
      </w:r>
      <w:r>
        <w:rPr>
          <w:rStyle w:val="EndnoteReference"/>
        </w:rPr>
        <w:endnoteReference w:id="87"/>
      </w:r>
    </w:p>
    <w:p w14:paraId="05841121" w14:textId="3CAFE22E" w:rsidR="00CC6C91" w:rsidRPr="00E23DBD" w:rsidRDefault="00CC6C91" w:rsidP="00CC6C91">
      <w:pPr>
        <w:pStyle w:val="SubmissionNormal"/>
        <w:tabs>
          <w:tab w:val="clear" w:pos="720"/>
        </w:tabs>
      </w:pPr>
      <w:r>
        <w:t>Gender inequality often intersects with other forms of inequality to affect the nature and prevalence of family and domestic violence. W</w:t>
      </w:r>
      <w:r w:rsidRPr="00E23DBD">
        <w:t xml:space="preserve">omen with </w:t>
      </w:r>
      <w:r w:rsidR="00751468">
        <w:t>disability</w:t>
      </w:r>
      <w:r w:rsidRPr="00E23DBD">
        <w:t xml:space="preserve">, Aboriginal and Torres Strait Islander women, </w:t>
      </w:r>
      <w:r w:rsidR="00FB0E02">
        <w:t>lesbian, bisexual, trans and intersex</w:t>
      </w:r>
      <w:r w:rsidRPr="00E23DBD">
        <w:t xml:space="preserve"> women, and women from culturally and linguistic</w:t>
      </w:r>
      <w:r>
        <w:t xml:space="preserve">ally diverse backgrounds, </w:t>
      </w:r>
      <w:r w:rsidRPr="00FF6BDC">
        <w:t xml:space="preserve">often experience higher rates of </w:t>
      </w:r>
      <w:r>
        <w:t xml:space="preserve">family and </w:t>
      </w:r>
      <w:r w:rsidRPr="00FF6BDC">
        <w:t>domestic violence and face additional barriers to seeking help and support</w:t>
      </w:r>
      <w:r w:rsidRPr="00E23DBD">
        <w:t>.</w:t>
      </w:r>
      <w:r w:rsidRPr="0015014E">
        <w:rPr>
          <w:rStyle w:val="EndnoteReference"/>
          <w:rFonts w:cs="Arial"/>
          <w:color w:val="000000"/>
          <w:sz w:val="24"/>
        </w:rPr>
        <w:endnoteReference w:id="88"/>
      </w:r>
      <w:r w:rsidRPr="00E23DBD">
        <w:t xml:space="preserve"> </w:t>
      </w:r>
    </w:p>
    <w:p w14:paraId="3691D5D6" w14:textId="7C550259" w:rsidR="00CC6C91" w:rsidRPr="00F9429D" w:rsidRDefault="00CC6C91" w:rsidP="00E90792">
      <w:pPr>
        <w:pStyle w:val="SubmissionNormal"/>
        <w:numPr>
          <w:ilvl w:val="0"/>
          <w:numId w:val="52"/>
        </w:numPr>
      </w:pPr>
      <w:r w:rsidRPr="00641409">
        <w:rPr>
          <w:b/>
          <w:color w:val="000000" w:themeColor="text1"/>
        </w:rPr>
        <w:t xml:space="preserve">That the </w:t>
      </w:r>
      <w:r w:rsidR="008F443D">
        <w:rPr>
          <w:b/>
          <w:color w:val="000000" w:themeColor="text1"/>
        </w:rPr>
        <w:t xml:space="preserve">Australian </w:t>
      </w:r>
      <w:r w:rsidRPr="00641409">
        <w:rPr>
          <w:b/>
          <w:color w:val="000000" w:themeColor="text1"/>
        </w:rPr>
        <w:t xml:space="preserve">Government </w:t>
      </w:r>
      <w:r>
        <w:rPr>
          <w:b/>
          <w:color w:val="000000" w:themeColor="text1"/>
        </w:rPr>
        <w:t>undertake further work to understand the nature and prevalence of family and domestic violence, and sexual assault and sexual harassment for women experiencing intersectional discrimination</w:t>
      </w:r>
      <w:r w:rsidR="00EF4A2A">
        <w:rPr>
          <w:b/>
          <w:color w:val="000000" w:themeColor="text1"/>
        </w:rPr>
        <w:t>.</w:t>
      </w:r>
      <w:r>
        <w:t xml:space="preserve"> </w:t>
      </w:r>
      <w:r>
        <w:rPr>
          <w:b/>
          <w:color w:val="000000" w:themeColor="text1"/>
        </w:rPr>
        <w:t xml:space="preserve"> </w:t>
      </w:r>
      <w:r>
        <w:rPr>
          <w:b/>
        </w:rPr>
        <w:t xml:space="preserve"> </w:t>
      </w:r>
    </w:p>
    <w:p w14:paraId="13C54B16" w14:textId="644818C6" w:rsidR="00F9429D" w:rsidRPr="00FF6BDC" w:rsidRDefault="00F9429D" w:rsidP="00E90792">
      <w:pPr>
        <w:pStyle w:val="SubmissionNormal"/>
        <w:numPr>
          <w:ilvl w:val="0"/>
          <w:numId w:val="52"/>
        </w:numPr>
      </w:pPr>
      <w:r w:rsidRPr="00C10358">
        <w:rPr>
          <w:rFonts w:cs="Arial"/>
          <w:b/>
        </w:rPr>
        <w:t xml:space="preserve">That </w:t>
      </w:r>
      <w:r w:rsidR="00210116">
        <w:rPr>
          <w:rFonts w:cs="Arial"/>
          <w:b/>
        </w:rPr>
        <w:t>all Australian</w:t>
      </w:r>
      <w:r w:rsidRPr="00C10358">
        <w:rPr>
          <w:rFonts w:cs="Arial"/>
          <w:b/>
        </w:rPr>
        <w:t xml:space="preserve"> Governments </w:t>
      </w:r>
      <w:r>
        <w:rPr>
          <w:rFonts w:cs="Arial"/>
          <w:b/>
        </w:rPr>
        <w:t>commit to strengthening national f</w:t>
      </w:r>
      <w:r w:rsidRPr="00C10358">
        <w:rPr>
          <w:rFonts w:cs="Arial"/>
          <w:b/>
        </w:rPr>
        <w:t>amily</w:t>
      </w:r>
      <w:r>
        <w:rPr>
          <w:rFonts w:cs="Arial"/>
          <w:b/>
        </w:rPr>
        <w:t xml:space="preserve"> and domestic v</w:t>
      </w:r>
      <w:r w:rsidRPr="00C10358">
        <w:rPr>
          <w:rFonts w:cs="Arial"/>
          <w:b/>
        </w:rPr>
        <w:t xml:space="preserve">iolence data </w:t>
      </w:r>
      <w:r>
        <w:rPr>
          <w:rFonts w:cs="Arial"/>
          <w:b/>
        </w:rPr>
        <w:t>collection and reporting mechanisms.</w:t>
      </w:r>
    </w:p>
    <w:p w14:paraId="12DE4464" w14:textId="77777777" w:rsidR="00CC6C91" w:rsidRPr="0034606B" w:rsidRDefault="00CC6C91" w:rsidP="00CC6C91">
      <w:pPr>
        <w:pStyle w:val="Heading2"/>
      </w:pPr>
      <w:bookmarkStart w:id="57" w:name="_Toc491243299"/>
      <w:bookmarkStart w:id="58" w:name="_Toc493489613"/>
      <w:r>
        <w:t>S</w:t>
      </w:r>
      <w:r w:rsidRPr="0034606B">
        <w:t>exual assault and sexual harassment</w:t>
      </w:r>
      <w:r>
        <w:t xml:space="preserve"> in the workpl</w:t>
      </w:r>
      <w:r w:rsidR="00D53D10">
        <w:t xml:space="preserve">ace and in university settings </w:t>
      </w:r>
      <w:r>
        <w:t xml:space="preserve">(ICCPR </w:t>
      </w:r>
      <w:r w:rsidR="009B0AD2">
        <w:t>a</w:t>
      </w:r>
      <w:r>
        <w:t>rticles 2, 3, 7 &amp; 26; LOI 10)</w:t>
      </w:r>
      <w:bookmarkEnd w:id="57"/>
      <w:bookmarkEnd w:id="58"/>
    </w:p>
    <w:p w14:paraId="73F2690C" w14:textId="2E958512" w:rsidR="00CC6C91" w:rsidRDefault="00D53D10" w:rsidP="00CC6C91">
      <w:pPr>
        <w:pStyle w:val="SubmissionNormal"/>
        <w:tabs>
          <w:tab w:val="clear" w:pos="720"/>
        </w:tabs>
      </w:pPr>
      <w:r>
        <w:t>In</w:t>
      </w:r>
      <w:r w:rsidR="00CC6C91" w:rsidRPr="00FF6BDC">
        <w:t xml:space="preserve"> </w:t>
      </w:r>
      <w:r w:rsidR="00C006EB">
        <w:t xml:space="preserve">2012, the Commission reported in its </w:t>
      </w:r>
      <w:r w:rsidR="00C006EB" w:rsidRPr="002A451B">
        <w:rPr>
          <w:i/>
        </w:rPr>
        <w:t>Working without fear: Results of the Sexual Harassment National Telephone Survey</w:t>
      </w:r>
      <w:r w:rsidR="00C006EB">
        <w:rPr>
          <w:i/>
        </w:rPr>
        <w:t xml:space="preserve"> </w:t>
      </w:r>
      <w:r w:rsidR="00C006EB">
        <w:t>report (</w:t>
      </w:r>
      <w:r w:rsidR="00C006EB">
        <w:rPr>
          <w:i/>
        </w:rPr>
        <w:t xml:space="preserve">Working without fear </w:t>
      </w:r>
      <w:r w:rsidR="00C006EB">
        <w:t xml:space="preserve">report) </w:t>
      </w:r>
      <w:r w:rsidR="00CC6C91" w:rsidRPr="00FF6BDC">
        <w:t>that 21%</w:t>
      </w:r>
      <w:r w:rsidR="00210116">
        <w:t xml:space="preserve"> of</w:t>
      </w:r>
      <w:r w:rsidR="00CC6C91" w:rsidRPr="00FF6BDC">
        <w:t xml:space="preserve"> people in Australia had been sexually harassed since the age of 15, with the majority (68%) experiencing this harassment in the workplace.</w:t>
      </w:r>
      <w:r w:rsidR="00CC6C91" w:rsidRPr="00CA12AF">
        <w:rPr>
          <w:rStyle w:val="EndnoteReference"/>
        </w:rPr>
        <w:endnoteReference w:id="89"/>
      </w:r>
      <w:r w:rsidR="00CC6C91" w:rsidRPr="00FF6BDC">
        <w:t xml:space="preserve"> The survey also found that s</w:t>
      </w:r>
      <w:r w:rsidR="00CC6C91" w:rsidRPr="00094527">
        <w:rPr>
          <w:bCs/>
        </w:rPr>
        <w:t>exual harassment affects more women than men</w:t>
      </w:r>
      <w:r w:rsidR="00CC6C91" w:rsidRPr="00FF6BDC">
        <w:t>. One-third of women (33%) had been sexually harassed since the age of 15, compared to 9%</w:t>
      </w:r>
      <w:r w:rsidR="007E27C1">
        <w:t xml:space="preserve"> of</w:t>
      </w:r>
      <w:r w:rsidR="00CC6C91" w:rsidRPr="00FF6BDC">
        <w:t xml:space="preserve"> men.</w:t>
      </w:r>
      <w:r w:rsidR="00CC6C91" w:rsidRPr="00CA12AF">
        <w:rPr>
          <w:rStyle w:val="EndnoteReference"/>
        </w:rPr>
        <w:endnoteReference w:id="90"/>
      </w:r>
    </w:p>
    <w:p w14:paraId="35B4DE75" w14:textId="21407773" w:rsidR="00CC6C91" w:rsidRDefault="00CC6C91" w:rsidP="00CC6C91">
      <w:pPr>
        <w:pStyle w:val="SubmissionNormal"/>
      </w:pPr>
      <w:r>
        <w:t>The Commission commends the Government for funding the</w:t>
      </w:r>
      <w:r w:rsidR="00D53D10">
        <w:t xml:space="preserve"> Commission’s</w:t>
      </w:r>
      <w:r>
        <w:t xml:space="preserve"> 2017 survey, which is underway.  </w:t>
      </w:r>
    </w:p>
    <w:p w14:paraId="76C6F3F6" w14:textId="77777777" w:rsidR="00CC6C91" w:rsidRDefault="00CC6C91" w:rsidP="00CC6C91">
      <w:pPr>
        <w:pStyle w:val="SubmissionNormal"/>
      </w:pPr>
      <w:r>
        <w:lastRenderedPageBreak/>
        <w:t>The</w:t>
      </w:r>
      <w:r w:rsidRPr="00007B8C">
        <w:t xml:space="preserve"> Commission </w:t>
      </w:r>
      <w:r w:rsidR="00D53D10">
        <w:t>conducted</w:t>
      </w:r>
      <w:r w:rsidRPr="00007B8C">
        <w:t xml:space="preserve"> a </w:t>
      </w:r>
      <w:r>
        <w:rPr>
          <w:color w:val="231F20"/>
        </w:rPr>
        <w:t>n</w:t>
      </w:r>
      <w:r w:rsidRPr="00DA0AEB">
        <w:rPr>
          <w:color w:val="231F20"/>
        </w:rPr>
        <w:t>ational</w:t>
      </w:r>
      <w:r>
        <w:rPr>
          <w:color w:val="231F20"/>
        </w:rPr>
        <w:t xml:space="preserve"> survey on sexual assault and sexual harassment in Australian universities </w:t>
      </w:r>
      <w:r w:rsidR="006D668E">
        <w:rPr>
          <w:color w:val="231F20"/>
        </w:rPr>
        <w:t>and released a report in 2017 (</w:t>
      </w:r>
      <w:r w:rsidR="006D668E">
        <w:rPr>
          <w:i/>
          <w:color w:val="231F20"/>
        </w:rPr>
        <w:t xml:space="preserve">Change The Course </w:t>
      </w:r>
      <w:r w:rsidR="006D668E">
        <w:rPr>
          <w:color w:val="231F20"/>
        </w:rPr>
        <w:t xml:space="preserve">report). The Commission </w:t>
      </w:r>
      <w:r>
        <w:rPr>
          <w:color w:val="231F20"/>
        </w:rPr>
        <w:t xml:space="preserve">found that </w:t>
      </w:r>
      <w:r>
        <w:t>51%</w:t>
      </w:r>
      <w:r w:rsidRPr="0034606B">
        <w:t xml:space="preserve"> of all university students were sexually harassed on at least one occasion in 2016, and 6.9% of students were sexually assaulted on at least one occasion in 2015 or 2016.</w:t>
      </w:r>
      <w:r>
        <w:rPr>
          <w:rStyle w:val="EndnoteReference"/>
        </w:rPr>
        <w:endnoteReference w:id="91"/>
      </w:r>
      <w:r>
        <w:t xml:space="preserve"> </w:t>
      </w:r>
    </w:p>
    <w:p w14:paraId="498A0CD1" w14:textId="413340CF" w:rsidR="00CC6C91" w:rsidRDefault="00CC6C91" w:rsidP="00E90792">
      <w:pPr>
        <w:pStyle w:val="SubmissionNormal"/>
        <w:numPr>
          <w:ilvl w:val="0"/>
          <w:numId w:val="52"/>
        </w:numPr>
        <w:rPr>
          <w:b/>
        </w:rPr>
      </w:pPr>
      <w:r>
        <w:rPr>
          <w:b/>
        </w:rPr>
        <w:t xml:space="preserve">That the </w:t>
      </w:r>
      <w:r w:rsidR="008F443D">
        <w:rPr>
          <w:b/>
        </w:rPr>
        <w:t xml:space="preserve">Australian </w:t>
      </w:r>
      <w:r>
        <w:rPr>
          <w:b/>
        </w:rPr>
        <w:t>Government</w:t>
      </w:r>
      <w:r w:rsidRPr="00007B8C">
        <w:rPr>
          <w:b/>
        </w:rPr>
        <w:t xml:space="preserve"> encourage universities to implement the </w:t>
      </w:r>
      <w:r w:rsidRPr="00007B8C">
        <w:rPr>
          <w:b/>
          <w:i/>
        </w:rPr>
        <w:t xml:space="preserve">Change </w:t>
      </w:r>
      <w:r w:rsidR="006D668E">
        <w:rPr>
          <w:b/>
          <w:i/>
        </w:rPr>
        <w:t>T</w:t>
      </w:r>
      <w:r w:rsidRPr="00007B8C">
        <w:rPr>
          <w:b/>
          <w:i/>
        </w:rPr>
        <w:t>he Course</w:t>
      </w:r>
      <w:r w:rsidRPr="00007B8C">
        <w:rPr>
          <w:b/>
        </w:rPr>
        <w:t xml:space="preserve"> report recommendations to reduce the prevalence of sexual assault and sexual harassment in Australian universities.</w:t>
      </w:r>
    </w:p>
    <w:p w14:paraId="58FE673D" w14:textId="417C3800" w:rsidR="00C006EB" w:rsidRPr="00C006EB" w:rsidRDefault="00C006EB" w:rsidP="00E90792">
      <w:pPr>
        <w:pStyle w:val="SubmissionNormal"/>
        <w:numPr>
          <w:ilvl w:val="0"/>
          <w:numId w:val="52"/>
        </w:numPr>
      </w:pPr>
      <w:r>
        <w:rPr>
          <w:b/>
        </w:rPr>
        <w:t xml:space="preserve">That the Australian Government continue to ensure there are adequate protections in place to address sexual harassment in the workplace, with consideration of the identified strategies in the </w:t>
      </w:r>
      <w:r>
        <w:rPr>
          <w:b/>
          <w:i/>
        </w:rPr>
        <w:t xml:space="preserve">Working without fear </w:t>
      </w:r>
      <w:r>
        <w:rPr>
          <w:b/>
        </w:rPr>
        <w:t>report and the forthcoming outcomes of the Commission’s 2017 survey.</w:t>
      </w:r>
    </w:p>
    <w:p w14:paraId="501A8FDB" w14:textId="77777777" w:rsidR="002F745D" w:rsidRPr="003409B3" w:rsidRDefault="002F745D" w:rsidP="002F745D">
      <w:pPr>
        <w:pStyle w:val="Heading2"/>
      </w:pPr>
      <w:bookmarkStart w:id="59" w:name="_Toc493489614"/>
      <w:r w:rsidRPr="003409B3">
        <w:t>Women in defence</w:t>
      </w:r>
      <w:r w:rsidR="00FB1F5F">
        <w:t xml:space="preserve"> (ICCPR </w:t>
      </w:r>
      <w:r w:rsidR="009B0AD2">
        <w:t>a</w:t>
      </w:r>
      <w:r w:rsidR="00FB1F5F">
        <w:t>rticles 2, 3 &amp; 26)</w:t>
      </w:r>
      <w:bookmarkEnd w:id="59"/>
    </w:p>
    <w:p w14:paraId="260DADE9" w14:textId="6D42FB09" w:rsidR="003409B3" w:rsidRPr="00FF6BDC" w:rsidRDefault="003409B3" w:rsidP="001E638D">
      <w:pPr>
        <w:pStyle w:val="SubmissionNormal"/>
        <w:tabs>
          <w:tab w:val="clear" w:pos="720"/>
        </w:tabs>
      </w:pPr>
      <w:r>
        <w:t xml:space="preserve">Since 2014, </w:t>
      </w:r>
      <w:r w:rsidRPr="0079295E">
        <w:t xml:space="preserve">the Commission has been </w:t>
      </w:r>
      <w:r>
        <w:t>working in a collaborati</w:t>
      </w:r>
      <w:r w:rsidR="00405ED7">
        <w:t>ve</w:t>
      </w:r>
      <w:r>
        <w:t xml:space="preserve"> relationship with </w:t>
      </w:r>
      <w:r w:rsidRPr="0079295E">
        <w:t xml:space="preserve">the </w:t>
      </w:r>
      <w:r>
        <w:t>A</w:t>
      </w:r>
      <w:r w:rsidR="002A3649">
        <w:t xml:space="preserve">ustralian </w:t>
      </w:r>
      <w:r>
        <w:t>D</w:t>
      </w:r>
      <w:r w:rsidR="002A3649">
        <w:t xml:space="preserve">efence </w:t>
      </w:r>
      <w:r>
        <w:t>F</w:t>
      </w:r>
      <w:r w:rsidR="002A3649">
        <w:t>orce</w:t>
      </w:r>
      <w:r w:rsidR="00FB0E02">
        <w:t xml:space="preserve"> (ADF)</w:t>
      </w:r>
      <w:r w:rsidRPr="0079295E">
        <w:t xml:space="preserve"> </w:t>
      </w:r>
      <w:r w:rsidRPr="00FF6BDC">
        <w:t>to encourage cultural reform</w:t>
      </w:r>
      <w:r>
        <w:t xml:space="preserve"> and enhance the </w:t>
      </w:r>
      <w:r w:rsidRPr="00FF6BDC">
        <w:t>participation of women.</w:t>
      </w:r>
      <w:r>
        <w:t xml:space="preserve"> This builds on cultural reform initiatives in </w:t>
      </w:r>
      <w:r w:rsidRPr="00066869">
        <w:rPr>
          <w:i/>
        </w:rPr>
        <w:t xml:space="preserve">Pathway to Change, </w:t>
      </w:r>
      <w:r>
        <w:t xml:space="preserve">an implementation strategy for cultural change across the </w:t>
      </w:r>
      <w:r w:rsidR="00066869">
        <w:t>ADF</w:t>
      </w:r>
      <w:r w:rsidRPr="0079295E">
        <w:t>.</w:t>
      </w:r>
      <w:r w:rsidRPr="009640F7">
        <w:rPr>
          <w:rStyle w:val="EndnoteReference"/>
        </w:rPr>
        <w:endnoteReference w:id="92"/>
      </w:r>
      <w:r w:rsidR="002A3649">
        <w:t xml:space="preserve"> The Government has also commenced removing a reservation to CEDAW on women in defence combat roles.</w:t>
      </w:r>
      <w:r>
        <w:t xml:space="preserve"> </w:t>
      </w:r>
    </w:p>
    <w:p w14:paraId="75D585F4" w14:textId="0796C0A6" w:rsidR="00392372" w:rsidRPr="005B4E6F" w:rsidRDefault="00E10141" w:rsidP="00E90792">
      <w:pPr>
        <w:pStyle w:val="SubmissionNormal"/>
        <w:numPr>
          <w:ilvl w:val="0"/>
          <w:numId w:val="52"/>
        </w:numPr>
        <w:rPr>
          <w:b/>
        </w:rPr>
      </w:pPr>
      <w:r w:rsidRPr="005B4E6F">
        <w:rPr>
          <w:b/>
        </w:rPr>
        <w:t>T</w:t>
      </w:r>
      <w:r w:rsidR="003426A4" w:rsidRPr="005B4E6F">
        <w:rPr>
          <w:b/>
        </w:rPr>
        <w:t xml:space="preserve">hat the </w:t>
      </w:r>
      <w:r w:rsidR="008F443D">
        <w:rPr>
          <w:b/>
        </w:rPr>
        <w:t xml:space="preserve">Australian </w:t>
      </w:r>
      <w:r w:rsidR="003426A4" w:rsidRPr="005B4E6F">
        <w:rPr>
          <w:b/>
        </w:rPr>
        <w:t xml:space="preserve">Government continue to encourage cultural reform and enhance the participation of women in the </w:t>
      </w:r>
      <w:r w:rsidR="00FB0E02">
        <w:rPr>
          <w:b/>
        </w:rPr>
        <w:t>Australian Defence Force</w:t>
      </w:r>
      <w:r w:rsidR="003426A4" w:rsidRPr="005B4E6F">
        <w:rPr>
          <w:b/>
        </w:rPr>
        <w:t xml:space="preserve">, consistent with the initiatives in </w:t>
      </w:r>
      <w:r w:rsidR="003426A4" w:rsidRPr="005B4E6F">
        <w:rPr>
          <w:b/>
          <w:i/>
        </w:rPr>
        <w:t>Pathway to Change</w:t>
      </w:r>
      <w:r w:rsidR="003426A4" w:rsidRPr="005B4E6F">
        <w:rPr>
          <w:b/>
        </w:rPr>
        <w:t>.</w:t>
      </w:r>
    </w:p>
    <w:p w14:paraId="1B80D854" w14:textId="77777777" w:rsidR="00803F58" w:rsidRPr="00EC4B73" w:rsidRDefault="001D2554" w:rsidP="00EC4B73">
      <w:pPr>
        <w:pStyle w:val="Heading1"/>
      </w:pPr>
      <w:bookmarkStart w:id="60" w:name="_Toc493489615"/>
      <w:r>
        <w:t>Immigration and citizenship</w:t>
      </w:r>
      <w:bookmarkEnd w:id="60"/>
    </w:p>
    <w:p w14:paraId="38F7DD91" w14:textId="77777777" w:rsidR="00C05FEE" w:rsidRDefault="00C05FEE" w:rsidP="00C05FEE">
      <w:pPr>
        <w:pStyle w:val="Heading2"/>
      </w:pPr>
      <w:bookmarkStart w:id="61" w:name="_Refugees_and_asylum"/>
      <w:bookmarkStart w:id="62" w:name="_Toc491243302"/>
      <w:bookmarkStart w:id="63" w:name="_Toc493489616"/>
      <w:bookmarkEnd w:id="61"/>
      <w:r w:rsidRPr="00EC4B73">
        <w:t>Refugees and asylum seekers</w:t>
      </w:r>
      <w:r>
        <w:t xml:space="preserve"> (ICCPR </w:t>
      </w:r>
      <w:r w:rsidR="009B0AD2">
        <w:t>a</w:t>
      </w:r>
      <w:r>
        <w:t>rticles 6, 7, 9, 10, 13 &amp; 23; LOI 12, 14 &amp; 15)</w:t>
      </w:r>
      <w:bookmarkEnd w:id="62"/>
      <w:bookmarkEnd w:id="63"/>
    </w:p>
    <w:p w14:paraId="17FBCF5B" w14:textId="77777777" w:rsidR="00C05FEE" w:rsidRDefault="00C05FEE" w:rsidP="00C05FEE">
      <w:pPr>
        <w:pStyle w:val="Heading3"/>
      </w:pPr>
      <w:bookmarkStart w:id="64" w:name="_Toc491243303"/>
      <w:bookmarkStart w:id="65" w:name="_Toc493489617"/>
      <w:r w:rsidRPr="00803F58">
        <w:t>Third country</w:t>
      </w:r>
      <w:r>
        <w:t xml:space="preserve"> processing</w:t>
      </w:r>
      <w:bookmarkEnd w:id="64"/>
      <w:bookmarkEnd w:id="65"/>
    </w:p>
    <w:p w14:paraId="324E9B12" w14:textId="019C0B8D" w:rsidR="00C05FEE" w:rsidRDefault="00C05FEE" w:rsidP="00C05FEE">
      <w:pPr>
        <w:pStyle w:val="SubmissionNormal"/>
      </w:pPr>
      <w:r>
        <w:t xml:space="preserve">Numerous reports and inquiries have repeatedly documented serious </w:t>
      </w:r>
      <w:r w:rsidR="00FC7BFA">
        <w:t>human rights concerns</w:t>
      </w:r>
      <w:r>
        <w:t xml:space="preserve"> for people </w:t>
      </w:r>
      <w:r w:rsidR="00FC7BFA">
        <w:t xml:space="preserve">seeking asylum in Australia whose applications are processed </w:t>
      </w:r>
      <w:r>
        <w:t>in Nauru and Papua New Guinea</w:t>
      </w:r>
      <w:r w:rsidR="00FC7BFA">
        <w:t xml:space="preserve"> (third country processing)</w:t>
      </w:r>
      <w:r>
        <w:t>.</w:t>
      </w:r>
      <w:r>
        <w:rPr>
          <w:rStyle w:val="EndnoteReference"/>
        </w:rPr>
        <w:endnoteReference w:id="93"/>
      </w:r>
      <w:r>
        <w:t xml:space="preserve"> Av</w:t>
      </w:r>
      <w:r w:rsidRPr="00403EA9">
        <w:t xml:space="preserve">ailable evidence suggests that there has been limited improvement </w:t>
      </w:r>
      <w:r w:rsidR="00FC7BFA" w:rsidRPr="00403EA9">
        <w:t xml:space="preserve">over time </w:t>
      </w:r>
      <w:r w:rsidRPr="00403EA9">
        <w:t>in the conditions</w:t>
      </w:r>
      <w:r w:rsidR="00FC7BFA">
        <w:t xml:space="preserve"> </w:t>
      </w:r>
      <w:r w:rsidR="00FB0E02">
        <w:t>under</w:t>
      </w:r>
      <w:r w:rsidR="00FC7BFA">
        <w:t xml:space="preserve"> which these people are held</w:t>
      </w:r>
      <w:r>
        <w:t>.</w:t>
      </w:r>
      <w:r>
        <w:rPr>
          <w:rStyle w:val="EndnoteReference"/>
        </w:rPr>
        <w:endnoteReference w:id="94"/>
      </w:r>
      <w:r>
        <w:t xml:space="preserve"> Significant safety concerns have also been identified, including allegations of assault, harassment and exploitation.</w:t>
      </w:r>
      <w:r>
        <w:rPr>
          <w:rStyle w:val="EndnoteReference"/>
        </w:rPr>
        <w:endnoteReference w:id="95"/>
      </w:r>
      <w:r>
        <w:t xml:space="preserve"> </w:t>
      </w:r>
    </w:p>
    <w:p w14:paraId="0C9FC02F" w14:textId="3E12289D" w:rsidR="00C05FEE" w:rsidRDefault="00C05FEE" w:rsidP="00C05FEE">
      <w:pPr>
        <w:pStyle w:val="SubmissionNormal"/>
      </w:pPr>
      <w:r>
        <w:t xml:space="preserve">The combination of delays in processing asylum claims, </w:t>
      </w:r>
      <w:r w:rsidR="00FC7BFA">
        <w:t xml:space="preserve">harsh </w:t>
      </w:r>
      <w:r>
        <w:t xml:space="preserve">living conditions, concerns about physical safety, and uncertainty about the future has </w:t>
      </w:r>
      <w:r w:rsidR="00FB0E02">
        <w:t>had</w:t>
      </w:r>
      <w:r w:rsidR="00FC7BFA">
        <w:t xml:space="preserve"> </w:t>
      </w:r>
      <w:r>
        <w:t>a profoundly negative impact on the mental health outcomes of people subject to third country processing.</w:t>
      </w:r>
      <w:r>
        <w:rPr>
          <w:rStyle w:val="EndnoteReference"/>
        </w:rPr>
        <w:endnoteReference w:id="96"/>
      </w:r>
      <w:r>
        <w:t xml:space="preserve"> These factors </w:t>
      </w:r>
      <w:r w:rsidRPr="009D261F">
        <w:t xml:space="preserve">may </w:t>
      </w:r>
      <w:r>
        <w:t xml:space="preserve">also </w:t>
      </w:r>
      <w:r w:rsidR="00FD0A96">
        <w:t>i</w:t>
      </w:r>
      <w:r w:rsidRPr="009D261F">
        <w:t xml:space="preserve">mpel </w:t>
      </w:r>
      <w:r w:rsidRPr="009D261F">
        <w:lastRenderedPageBreak/>
        <w:t xml:space="preserve">some </w:t>
      </w:r>
      <w:r>
        <w:t xml:space="preserve">asylum seekers </w:t>
      </w:r>
      <w:r w:rsidRPr="009D261F">
        <w:t>to consider returning to their country of origin, even if they have a well-founded fear of persecution.</w:t>
      </w:r>
      <w:r>
        <w:rPr>
          <w:rStyle w:val="EndnoteReference"/>
        </w:rPr>
        <w:endnoteReference w:id="97"/>
      </w:r>
    </w:p>
    <w:p w14:paraId="679C78DA" w14:textId="3E80802E" w:rsidR="00C05FEE" w:rsidRDefault="00C05FEE" w:rsidP="00C05FEE">
      <w:pPr>
        <w:pStyle w:val="SubmissionNormal"/>
      </w:pPr>
      <w:r>
        <w:t>The Commission has ongoing concerns regarding the quality of refugee status determination under third country arrangements.</w:t>
      </w:r>
      <w:r>
        <w:rPr>
          <w:rStyle w:val="EndnoteReference"/>
        </w:rPr>
        <w:endnoteReference w:id="98"/>
      </w:r>
      <w:r>
        <w:t xml:space="preserve"> The Commission is also aware of several cases in which same-sex attracted people have been </w:t>
      </w:r>
      <w:r w:rsidR="00FB0E02">
        <w:t>sent</w:t>
      </w:r>
      <w:r>
        <w:t xml:space="preserve"> to Nauru and Papua New Guinea, despite the fact that both countries criminalised same-sex sexual activity at the time.</w:t>
      </w:r>
      <w:r>
        <w:rPr>
          <w:rStyle w:val="EndnoteReference"/>
        </w:rPr>
        <w:endnoteReference w:id="99"/>
      </w:r>
    </w:p>
    <w:p w14:paraId="78D542B8" w14:textId="10B61BEA" w:rsidR="00C05FEE" w:rsidRDefault="00C05FEE" w:rsidP="00E90792">
      <w:pPr>
        <w:pStyle w:val="SubmissionNormal"/>
        <w:numPr>
          <w:ilvl w:val="0"/>
          <w:numId w:val="52"/>
        </w:numPr>
      </w:pPr>
      <w:r>
        <w:rPr>
          <w:b/>
        </w:rPr>
        <w:t xml:space="preserve">That the </w:t>
      </w:r>
      <w:r w:rsidR="008F443D">
        <w:rPr>
          <w:b/>
        </w:rPr>
        <w:t xml:space="preserve">Australian </w:t>
      </w:r>
      <w:r>
        <w:rPr>
          <w:b/>
        </w:rPr>
        <w:t xml:space="preserve">Government ensure that the human rights of people subject </w:t>
      </w:r>
      <w:r w:rsidRPr="00420061">
        <w:rPr>
          <w:b/>
        </w:rPr>
        <w:t xml:space="preserve">to third </w:t>
      </w:r>
      <w:r>
        <w:rPr>
          <w:b/>
        </w:rPr>
        <w:t>c</w:t>
      </w:r>
      <w:r w:rsidRPr="00420061">
        <w:rPr>
          <w:b/>
        </w:rPr>
        <w:t>o</w:t>
      </w:r>
      <w:r>
        <w:rPr>
          <w:b/>
        </w:rPr>
        <w:t xml:space="preserve">untry processing are adequately </w:t>
      </w:r>
      <w:r w:rsidRPr="00420061">
        <w:rPr>
          <w:b/>
        </w:rPr>
        <w:t>protected</w:t>
      </w:r>
      <w:r>
        <w:t>.</w:t>
      </w:r>
    </w:p>
    <w:p w14:paraId="286D92E4" w14:textId="6A5CAF05" w:rsidR="00C05FEE" w:rsidRDefault="00C05FEE" w:rsidP="00C05FEE">
      <w:pPr>
        <w:pStyle w:val="Heading3"/>
      </w:pPr>
      <w:bookmarkStart w:id="66" w:name="_Toc491243304"/>
      <w:bookmarkStart w:id="67" w:name="_Toc493489618"/>
      <w:r w:rsidRPr="00803F58">
        <w:t>Mandatory</w:t>
      </w:r>
      <w:r w:rsidR="006042F3">
        <w:t xml:space="preserve"> immigration</w:t>
      </w:r>
      <w:r w:rsidRPr="00803F58">
        <w:t xml:space="preserve"> detention</w:t>
      </w:r>
      <w:bookmarkEnd w:id="66"/>
      <w:bookmarkEnd w:id="67"/>
    </w:p>
    <w:p w14:paraId="0EA90D06" w14:textId="77777777" w:rsidR="00C05FEE" w:rsidRDefault="00C05FEE" w:rsidP="00C05FEE">
      <w:pPr>
        <w:pStyle w:val="SubmissionNormal"/>
      </w:pPr>
      <w:r>
        <w:t xml:space="preserve">Under the </w:t>
      </w:r>
      <w:r w:rsidRPr="007466D7">
        <w:rPr>
          <w:i/>
        </w:rPr>
        <w:t xml:space="preserve">Migration Act 1958 </w:t>
      </w:r>
      <w:r>
        <w:t>(Cth) (the Migration Act), immigration detention remains mandatory for all unlawful non-citizens.</w:t>
      </w:r>
      <w:r>
        <w:rPr>
          <w:rStyle w:val="EndnoteReference"/>
        </w:rPr>
        <w:endnoteReference w:id="100"/>
      </w:r>
      <w:r>
        <w:t xml:space="preserve"> </w:t>
      </w:r>
      <w:r w:rsidR="008E23DB">
        <w:t xml:space="preserve">Australian courts do not have jurisdiction to remove a person from detention on the basis that </w:t>
      </w:r>
      <w:r w:rsidRPr="00647BF6">
        <w:t xml:space="preserve">their detention is arbitrary, and there is no </w:t>
      </w:r>
      <w:r>
        <w:t xml:space="preserve">legislative </w:t>
      </w:r>
      <w:r w:rsidRPr="00647BF6">
        <w:t xml:space="preserve">time limit on </w:t>
      </w:r>
      <w:r>
        <w:t>detention</w:t>
      </w:r>
      <w:r w:rsidRPr="00647BF6">
        <w:t>.</w:t>
      </w:r>
    </w:p>
    <w:p w14:paraId="06654AA4" w14:textId="77777777" w:rsidR="00C05FEE" w:rsidRDefault="00C05FEE" w:rsidP="00C05FEE">
      <w:pPr>
        <w:pStyle w:val="SubmissionNormal"/>
      </w:pPr>
      <w:r>
        <w:t>Numerous studies have documented high rates of mental health problems among people in immigration detention in Australia,</w:t>
      </w:r>
      <w:r>
        <w:rPr>
          <w:rStyle w:val="EndnoteReference"/>
        </w:rPr>
        <w:endnoteReference w:id="101"/>
      </w:r>
      <w:r>
        <w:t xml:space="preserve"> with the negative impacts tending to worsen as detention becomes more prolonged.</w:t>
      </w:r>
      <w:r>
        <w:rPr>
          <w:rStyle w:val="EndnoteReference"/>
        </w:rPr>
        <w:endnoteReference w:id="102"/>
      </w:r>
    </w:p>
    <w:p w14:paraId="76ED368A" w14:textId="77777777" w:rsidR="00C05FEE" w:rsidRDefault="00C05FEE" w:rsidP="00C05FEE">
      <w:pPr>
        <w:pStyle w:val="SubmissionNormal"/>
        <w:tabs>
          <w:tab w:val="clear" w:pos="720"/>
        </w:tabs>
      </w:pPr>
      <w:r>
        <w:t>Positive</w:t>
      </w:r>
      <w:r w:rsidRPr="003B7BA7">
        <w:t xml:space="preserve"> developments </w:t>
      </w:r>
      <w:r>
        <w:t xml:space="preserve">relating to immigration detention since 2009 include: the release of </w:t>
      </w:r>
      <w:r w:rsidRPr="004169A1">
        <w:t>almost all children</w:t>
      </w:r>
      <w:r>
        <w:t xml:space="preserve"> from closed facilities into alternative community </w:t>
      </w:r>
      <w:r w:rsidRPr="004169A1">
        <w:t>arrangements</w:t>
      </w:r>
      <w:r>
        <w:t>;</w:t>
      </w:r>
      <w:r w:rsidRPr="004169A1">
        <w:rPr>
          <w:rStyle w:val="EndnoteReference"/>
        </w:rPr>
        <w:endnoteReference w:id="103"/>
      </w:r>
      <w:r w:rsidRPr="003B7BA7">
        <w:t xml:space="preserve"> </w:t>
      </w:r>
      <w:r>
        <w:t>the closure of several detention facilities;</w:t>
      </w:r>
      <w:r>
        <w:rPr>
          <w:rStyle w:val="EndnoteReference"/>
        </w:rPr>
        <w:endnoteReference w:id="104"/>
      </w:r>
      <w:r w:rsidRPr="003B7BA7">
        <w:t xml:space="preserve"> </w:t>
      </w:r>
      <w:r>
        <w:t>increased use of community alternatives to detention; commitment to ratification of OPCAT; and the release of a number of refugees who previously had been detained indefinitely due to having received an adverse security assessment.</w:t>
      </w:r>
    </w:p>
    <w:p w14:paraId="0552387C" w14:textId="77777777" w:rsidR="00C05FEE" w:rsidRDefault="00C05FEE" w:rsidP="00C05FEE">
      <w:pPr>
        <w:pStyle w:val="SubmissionNormal"/>
        <w:tabs>
          <w:tab w:val="clear" w:pos="720"/>
        </w:tabs>
      </w:pPr>
      <w:r>
        <w:t>However, the Commission is concerned about an increase in long-term detention, an increase in the number of people detained due to visa cancellation, and a small number of refugees who continue to be indefinitely detained due to adverse security assessments.</w:t>
      </w:r>
      <w:r>
        <w:rPr>
          <w:rStyle w:val="EndnoteReference"/>
        </w:rPr>
        <w:endnoteReference w:id="105"/>
      </w:r>
      <w:r>
        <w:t xml:space="preserve"> </w:t>
      </w:r>
    </w:p>
    <w:p w14:paraId="474ED51E" w14:textId="0FEEAFF7" w:rsidR="007A5D7F" w:rsidRPr="007A5D7F" w:rsidRDefault="009B4F83" w:rsidP="00E90792">
      <w:pPr>
        <w:pStyle w:val="SubmissionNormal"/>
        <w:numPr>
          <w:ilvl w:val="0"/>
          <w:numId w:val="52"/>
        </w:numPr>
        <w:rPr>
          <w:b/>
        </w:rPr>
      </w:pPr>
      <w:r w:rsidRPr="007A5D7F">
        <w:rPr>
          <w:b/>
        </w:rPr>
        <w:t>That the Australian Government</w:t>
      </w:r>
      <w:r>
        <w:rPr>
          <w:b/>
        </w:rPr>
        <w:t xml:space="preserve"> continue to expand the use of alternatives to closed detention and, where immigration detention is necessary, ensure that it is </w:t>
      </w:r>
      <w:r w:rsidRPr="007A5D7F">
        <w:rPr>
          <w:b/>
        </w:rPr>
        <w:t>time limited, strictly necessary (such as for the purpose of public health and security checks) and subject to individualised decision-making and judicial oversight</w:t>
      </w:r>
      <w:r>
        <w:rPr>
          <w:b/>
        </w:rPr>
        <w:t>.</w:t>
      </w:r>
    </w:p>
    <w:p w14:paraId="21DBB755" w14:textId="77777777" w:rsidR="00C05FEE" w:rsidRDefault="00C05FEE" w:rsidP="00C05FEE">
      <w:pPr>
        <w:pStyle w:val="Heading3"/>
      </w:pPr>
      <w:bookmarkStart w:id="68" w:name="_Toc491243305"/>
      <w:bookmarkStart w:id="69" w:name="_Toc493489619"/>
      <w:r>
        <w:t>Refoulement</w:t>
      </w:r>
      <w:bookmarkEnd w:id="68"/>
      <w:bookmarkEnd w:id="69"/>
    </w:p>
    <w:p w14:paraId="0514EA89" w14:textId="77777777" w:rsidR="00C05FEE" w:rsidRDefault="00C05FEE" w:rsidP="00C05FEE">
      <w:pPr>
        <w:pStyle w:val="SubmissionNormal"/>
      </w:pPr>
      <w:r>
        <w:t xml:space="preserve">Since December 2013, boats carrying asylum seekers which seek to enter Australia have been intercepted and returned to their point of departure. In some cases, people have been returned directly to their countries of origin after undergoing a screening process at sea. </w:t>
      </w:r>
    </w:p>
    <w:p w14:paraId="0E763528" w14:textId="77777777" w:rsidR="00C05FEE" w:rsidRPr="00A87D07" w:rsidRDefault="00C05FEE" w:rsidP="00C05FEE">
      <w:pPr>
        <w:pStyle w:val="SubmissionNormal"/>
      </w:pPr>
      <w:r>
        <w:t xml:space="preserve">The </w:t>
      </w:r>
      <w:r w:rsidRPr="00A87D07">
        <w:rPr>
          <w:i/>
        </w:rPr>
        <w:t>Migration and Maritime Powers Legislation Amendment (Resolving the Asylum Legacy Caseload) Act 2014</w:t>
      </w:r>
      <w:r>
        <w:t xml:space="preserve"> (Cth) introduced a number of changes to </w:t>
      </w:r>
      <w:r>
        <w:lastRenderedPageBreak/>
        <w:t xml:space="preserve">Australia’s </w:t>
      </w:r>
      <w:r w:rsidR="00593B27">
        <w:t xml:space="preserve">onshore </w:t>
      </w:r>
      <w:r>
        <w:t xml:space="preserve">refugee status determination process, including the removal of almost all references to the Refugee Convention from the Migration Act and the introduction of a truncated merits review process. In addition, most asylum seekers currently in Australia no longer have </w:t>
      </w:r>
      <w:r w:rsidRPr="00220508">
        <w:rPr>
          <w:rFonts w:cs="Arial"/>
        </w:rPr>
        <w:t>access</w:t>
      </w:r>
      <w:r>
        <w:t xml:space="preserve"> to free government-funded legal advice to assist them in presenting their asylum claims.</w:t>
      </w:r>
      <w:r w:rsidRPr="00B62E15">
        <w:rPr>
          <w:i/>
        </w:rPr>
        <w:t xml:space="preserve"> </w:t>
      </w:r>
    </w:p>
    <w:p w14:paraId="67E1F986" w14:textId="77777777" w:rsidR="00C05FEE" w:rsidRPr="00246398" w:rsidRDefault="00C05FEE" w:rsidP="00C05FEE">
      <w:pPr>
        <w:pStyle w:val="SubmissionNormal"/>
      </w:pPr>
      <w:r>
        <w:t xml:space="preserve">The Commission is concerned these measures may increase the risk of </w:t>
      </w:r>
      <w:r>
        <w:rPr>
          <w:i/>
        </w:rPr>
        <w:t xml:space="preserve">refoulement </w:t>
      </w:r>
      <w:r>
        <w:t xml:space="preserve">for some asylum seekers. </w:t>
      </w:r>
    </w:p>
    <w:p w14:paraId="632E7A25" w14:textId="1F00E894" w:rsidR="00C05FEE" w:rsidRPr="00A87D07" w:rsidRDefault="00C05FEE" w:rsidP="00E90792">
      <w:pPr>
        <w:pStyle w:val="SubmissionNormal"/>
        <w:numPr>
          <w:ilvl w:val="0"/>
          <w:numId w:val="52"/>
        </w:numPr>
        <w:rPr>
          <w:b/>
        </w:rPr>
      </w:pPr>
      <w:r w:rsidRPr="00A87D07">
        <w:rPr>
          <w:b/>
        </w:rPr>
        <w:t xml:space="preserve">That the </w:t>
      </w:r>
      <w:r w:rsidR="008F443D">
        <w:rPr>
          <w:b/>
        </w:rPr>
        <w:t xml:space="preserve">Australian </w:t>
      </w:r>
      <w:r w:rsidRPr="00A87D07">
        <w:rPr>
          <w:b/>
        </w:rPr>
        <w:t>Government</w:t>
      </w:r>
      <w:r w:rsidR="009545F0">
        <w:rPr>
          <w:b/>
        </w:rPr>
        <w:t xml:space="preserve"> </w:t>
      </w:r>
      <w:r w:rsidR="0008794E">
        <w:rPr>
          <w:b/>
        </w:rPr>
        <w:t xml:space="preserve">ensure that its refugee status determination process is consistent with international human rights law and </w:t>
      </w:r>
      <w:r w:rsidRPr="00A87D07">
        <w:rPr>
          <w:b/>
        </w:rPr>
        <w:t xml:space="preserve">discontinue </w:t>
      </w:r>
      <w:r w:rsidR="0008794E">
        <w:rPr>
          <w:b/>
        </w:rPr>
        <w:t>any</w:t>
      </w:r>
      <w:r w:rsidRPr="00A87D07">
        <w:rPr>
          <w:b/>
        </w:rPr>
        <w:t xml:space="preserve"> practice</w:t>
      </w:r>
      <w:r w:rsidR="0008794E">
        <w:rPr>
          <w:b/>
        </w:rPr>
        <w:t xml:space="preserve">s </w:t>
      </w:r>
      <w:r w:rsidR="008102D9">
        <w:rPr>
          <w:b/>
        </w:rPr>
        <w:t xml:space="preserve">obstructing a full and proper status determination process (such as </w:t>
      </w:r>
      <w:r w:rsidR="00095E9E">
        <w:rPr>
          <w:b/>
        </w:rPr>
        <w:t xml:space="preserve">the current practice of </w:t>
      </w:r>
      <w:r w:rsidRPr="00A87D07">
        <w:rPr>
          <w:b/>
        </w:rPr>
        <w:t>intercepting and turning back boats carrying asylum seekers</w:t>
      </w:r>
      <w:r w:rsidR="008102D9">
        <w:rPr>
          <w:b/>
        </w:rPr>
        <w:t>)</w:t>
      </w:r>
      <w:r w:rsidRPr="00A87D07">
        <w:rPr>
          <w:b/>
        </w:rPr>
        <w:t xml:space="preserve">. </w:t>
      </w:r>
    </w:p>
    <w:p w14:paraId="0910CFEF" w14:textId="1A7F040B" w:rsidR="00C05FEE" w:rsidRPr="00A87D07" w:rsidRDefault="00C05FEE" w:rsidP="00E90792">
      <w:pPr>
        <w:pStyle w:val="SubmissionNormal"/>
        <w:numPr>
          <w:ilvl w:val="0"/>
          <w:numId w:val="52"/>
        </w:numPr>
        <w:rPr>
          <w:b/>
        </w:rPr>
      </w:pPr>
      <w:r w:rsidRPr="00A87D07">
        <w:rPr>
          <w:b/>
        </w:rPr>
        <w:t xml:space="preserve">That the </w:t>
      </w:r>
      <w:r w:rsidRPr="00514832">
        <w:rPr>
          <w:b/>
          <w:i/>
        </w:rPr>
        <w:t>Migration and Maritime Powers Legislation Amendment (Resolving the Asylum Legacy Caseload) Act 2014</w:t>
      </w:r>
      <w:r w:rsidR="00514832">
        <w:rPr>
          <w:b/>
        </w:rPr>
        <w:t xml:space="preserve"> (Cth)</w:t>
      </w:r>
      <w:r w:rsidRPr="00A87D07">
        <w:rPr>
          <w:b/>
        </w:rPr>
        <w:t xml:space="preserve"> be repealed.</w:t>
      </w:r>
    </w:p>
    <w:p w14:paraId="6505CC47" w14:textId="217E3E04" w:rsidR="00C05FEE" w:rsidRDefault="00C05FEE" w:rsidP="00E90792">
      <w:pPr>
        <w:pStyle w:val="SubmissionNormal"/>
        <w:numPr>
          <w:ilvl w:val="0"/>
          <w:numId w:val="52"/>
        </w:numPr>
        <w:rPr>
          <w:b/>
        </w:rPr>
      </w:pPr>
      <w:r w:rsidRPr="00A87D07">
        <w:rPr>
          <w:b/>
        </w:rPr>
        <w:t xml:space="preserve">That the </w:t>
      </w:r>
      <w:r w:rsidR="006B2CF0">
        <w:rPr>
          <w:b/>
        </w:rPr>
        <w:t xml:space="preserve">Australian </w:t>
      </w:r>
      <w:r w:rsidRPr="00A87D07">
        <w:rPr>
          <w:b/>
        </w:rPr>
        <w:t xml:space="preserve">Government reinstate access to free legal advice for </w:t>
      </w:r>
      <w:r>
        <w:rPr>
          <w:b/>
        </w:rPr>
        <w:t xml:space="preserve">asylum seekers </w:t>
      </w:r>
      <w:r w:rsidRPr="00A87D07">
        <w:rPr>
          <w:b/>
        </w:rPr>
        <w:t xml:space="preserve">who are disadvantaged, regardless of their mode of arrival. </w:t>
      </w:r>
    </w:p>
    <w:p w14:paraId="2A7AB26F" w14:textId="62FF08C2" w:rsidR="00452200" w:rsidRPr="008F0DE4" w:rsidRDefault="00452200" w:rsidP="005D67D9">
      <w:pPr>
        <w:pStyle w:val="SubmissionNormal"/>
        <w:numPr>
          <w:ilvl w:val="0"/>
          <w:numId w:val="0"/>
        </w:numPr>
        <w:ind w:left="720"/>
        <w:rPr>
          <w:b/>
        </w:rPr>
      </w:pPr>
      <w:r>
        <w:rPr>
          <w:b/>
        </w:rPr>
        <w:t xml:space="preserve">The Commission considers the issues raised </w:t>
      </w:r>
      <w:r w:rsidR="00A2060D">
        <w:rPr>
          <w:b/>
        </w:rPr>
        <w:t>in this section to be of such importance that the Committee should request an update from the Australian Government on progress in 12 months time.</w:t>
      </w:r>
    </w:p>
    <w:p w14:paraId="401C22B8" w14:textId="77777777" w:rsidR="00C05FEE" w:rsidRPr="00116B97" w:rsidRDefault="00C05FEE" w:rsidP="00C05FEE">
      <w:pPr>
        <w:pStyle w:val="Heading2"/>
      </w:pPr>
      <w:bookmarkStart w:id="70" w:name="_Toc491243306"/>
      <w:bookmarkStart w:id="71" w:name="_Toc493489620"/>
      <w:r w:rsidRPr="00116B97">
        <w:t>Visa refusals and cancellations on character grounds</w:t>
      </w:r>
      <w:r>
        <w:t xml:space="preserve"> (ICCPR </w:t>
      </w:r>
      <w:r w:rsidR="009B0AD2">
        <w:t>a</w:t>
      </w:r>
      <w:r>
        <w:t>rticles 2, 12 &amp; 13)</w:t>
      </w:r>
      <w:bookmarkEnd w:id="70"/>
      <w:bookmarkEnd w:id="71"/>
    </w:p>
    <w:p w14:paraId="126CB0E2" w14:textId="77777777" w:rsidR="00C05FEE" w:rsidRPr="00A87D07" w:rsidRDefault="00C05FEE" w:rsidP="00C05FEE">
      <w:pPr>
        <w:pStyle w:val="SubmissionNormal"/>
        <w:rPr>
          <w:rFonts w:ascii="Times New Roman" w:hAnsi="Times New Roman"/>
        </w:rPr>
      </w:pPr>
      <w:r w:rsidRPr="004631A4">
        <w:rPr>
          <w:rFonts w:cs="Arial"/>
        </w:rPr>
        <w:t>Under section 501 of the Migration Act, the Minister</w:t>
      </w:r>
      <w:r>
        <w:rPr>
          <w:rFonts w:cs="Arial"/>
        </w:rPr>
        <w:t xml:space="preserve"> for Immigration</w:t>
      </w:r>
      <w:r w:rsidRPr="004631A4">
        <w:rPr>
          <w:rFonts w:cs="Arial"/>
        </w:rPr>
        <w:t xml:space="preserve"> or their delegate can refuse or cancel a visa on the basis that the person does not</w:t>
      </w:r>
      <w:r>
        <w:rPr>
          <w:rFonts w:cs="Arial"/>
        </w:rPr>
        <w:t xml:space="preserve"> </w:t>
      </w:r>
      <w:r w:rsidRPr="004631A4">
        <w:rPr>
          <w:rFonts w:cs="Arial"/>
        </w:rPr>
        <w:t>pass the ‘character test’</w:t>
      </w:r>
      <w:r>
        <w:rPr>
          <w:rFonts w:cs="Arial"/>
        </w:rPr>
        <w:t xml:space="preserve">. Legislation passed in 2014 significantly broadened the scope of section 501, resulting in an increase in visa refusals and cancellations on character grounds. </w:t>
      </w:r>
    </w:p>
    <w:p w14:paraId="6ECA7EE1" w14:textId="77777777" w:rsidR="006B2CF0" w:rsidRDefault="00C05FEE" w:rsidP="00C05FEE">
      <w:pPr>
        <w:pStyle w:val="SubmissionNormal"/>
        <w:tabs>
          <w:tab w:val="clear" w:pos="720"/>
        </w:tabs>
      </w:pPr>
      <w:r>
        <w:t xml:space="preserve">The Commission has previously raised concerns that decisions to refuse or cancel visas on character grounds under section 501 </w:t>
      </w:r>
      <w:r w:rsidRPr="007E725D">
        <w:t xml:space="preserve">may lead to breaches of </w:t>
      </w:r>
      <w:r>
        <w:t xml:space="preserve">Australia’s international human rights obligations, including: </w:t>
      </w:r>
    </w:p>
    <w:p w14:paraId="69726117" w14:textId="32BC0DDE" w:rsidR="006B2CF0" w:rsidRDefault="00C05FEE" w:rsidP="006B2CF0">
      <w:pPr>
        <w:pStyle w:val="SubmissionNormal"/>
        <w:numPr>
          <w:ilvl w:val="0"/>
          <w:numId w:val="43"/>
        </w:numPr>
      </w:pPr>
      <w:r>
        <w:t xml:space="preserve">the risk of </w:t>
      </w:r>
      <w:r w:rsidRPr="00130197">
        <w:rPr>
          <w:i/>
        </w:rPr>
        <w:t>refoulement</w:t>
      </w:r>
      <w:r>
        <w:t xml:space="preserve"> if refugees subject to visa cancell</w:t>
      </w:r>
      <w:r w:rsidR="006B2CF0">
        <w:t>ation are subsequently deported</w:t>
      </w:r>
      <w:r w:rsidR="00894110">
        <w:t>;</w:t>
      </w:r>
      <w:r>
        <w:t xml:space="preserve"> </w:t>
      </w:r>
    </w:p>
    <w:p w14:paraId="6403AA29" w14:textId="55CDA247" w:rsidR="006B2CF0" w:rsidRDefault="00C05FEE" w:rsidP="006B2CF0">
      <w:pPr>
        <w:pStyle w:val="SubmissionNormal"/>
        <w:numPr>
          <w:ilvl w:val="0"/>
          <w:numId w:val="43"/>
        </w:numPr>
      </w:pPr>
      <w:r>
        <w:t>mandatory detention of people whose visas are cancelled under section 501,</w:t>
      </w:r>
      <w:r w:rsidR="006B2CF0">
        <w:t xml:space="preserve"> at times for prolonged periods</w:t>
      </w:r>
      <w:r w:rsidR="00894110">
        <w:t>;</w:t>
      </w:r>
      <w:r>
        <w:t xml:space="preserve"> </w:t>
      </w:r>
    </w:p>
    <w:p w14:paraId="7BA3DBEE" w14:textId="7BA8294B" w:rsidR="006B2CF0" w:rsidRDefault="00C05FEE" w:rsidP="006B2CF0">
      <w:pPr>
        <w:pStyle w:val="SubmissionNormal"/>
        <w:numPr>
          <w:ilvl w:val="0"/>
          <w:numId w:val="43"/>
        </w:numPr>
      </w:pPr>
      <w:r>
        <w:t xml:space="preserve">the deportation of long-term Australian residents who have little or no connection </w:t>
      </w:r>
      <w:r w:rsidR="006B2CF0">
        <w:t>to their country of citizenship</w:t>
      </w:r>
      <w:r w:rsidR="00894110">
        <w:t>; and</w:t>
      </w:r>
    </w:p>
    <w:p w14:paraId="58392F06" w14:textId="77777777" w:rsidR="00C05FEE" w:rsidRDefault="00C05FEE" w:rsidP="006B2CF0">
      <w:pPr>
        <w:pStyle w:val="SubmissionNormal"/>
        <w:numPr>
          <w:ilvl w:val="0"/>
          <w:numId w:val="43"/>
        </w:numPr>
      </w:pPr>
      <w:r>
        <w:t>the separation of families resulting from such deportations.</w:t>
      </w:r>
      <w:r>
        <w:rPr>
          <w:rStyle w:val="EndnoteReference"/>
        </w:rPr>
        <w:endnoteReference w:id="106"/>
      </w:r>
    </w:p>
    <w:p w14:paraId="24CDD2DF" w14:textId="6CFFF26F" w:rsidR="00C05FEE" w:rsidRPr="00116B97" w:rsidRDefault="00C05FEE" w:rsidP="00E90792">
      <w:pPr>
        <w:pStyle w:val="SubmissionNormal"/>
        <w:numPr>
          <w:ilvl w:val="0"/>
          <w:numId w:val="52"/>
        </w:numPr>
        <w:rPr>
          <w:b/>
        </w:rPr>
      </w:pPr>
      <w:r w:rsidRPr="00116B97">
        <w:rPr>
          <w:b/>
        </w:rPr>
        <w:lastRenderedPageBreak/>
        <w:t xml:space="preserve">That the </w:t>
      </w:r>
      <w:r w:rsidR="006B2CF0">
        <w:rPr>
          <w:b/>
        </w:rPr>
        <w:t xml:space="preserve">Australian </w:t>
      </w:r>
      <w:r w:rsidRPr="00116B97">
        <w:rPr>
          <w:b/>
        </w:rPr>
        <w:t xml:space="preserve">Government put in place </w:t>
      </w:r>
      <w:r w:rsidRPr="00116B97">
        <w:rPr>
          <w:rFonts w:cs="Arial"/>
          <w:b/>
        </w:rPr>
        <w:t xml:space="preserve">transparent decision-making </w:t>
      </w:r>
      <w:r w:rsidR="00EE07CA">
        <w:rPr>
          <w:rFonts w:cs="Arial"/>
          <w:b/>
        </w:rPr>
        <w:t xml:space="preserve">and external review </w:t>
      </w:r>
      <w:r w:rsidRPr="00116B97">
        <w:rPr>
          <w:rFonts w:cs="Arial"/>
          <w:b/>
        </w:rPr>
        <w:t>processes to ensure</w:t>
      </w:r>
      <w:r>
        <w:rPr>
          <w:rFonts w:cs="Arial"/>
          <w:b/>
        </w:rPr>
        <w:t xml:space="preserve"> the exercise of</w:t>
      </w:r>
      <w:r w:rsidRPr="00116B97">
        <w:rPr>
          <w:rFonts w:cs="Arial"/>
          <w:b/>
        </w:rPr>
        <w:t xml:space="preserve"> discretionary power in s 501 </w:t>
      </w:r>
      <w:r>
        <w:rPr>
          <w:rFonts w:cs="Arial"/>
          <w:b/>
        </w:rPr>
        <w:t xml:space="preserve">of the Migration Act </w:t>
      </w:r>
      <w:r w:rsidR="00EE07CA">
        <w:rPr>
          <w:rFonts w:cs="Arial"/>
          <w:b/>
        </w:rPr>
        <w:t>complies</w:t>
      </w:r>
      <w:r w:rsidRPr="00116B97">
        <w:rPr>
          <w:rFonts w:cs="Arial"/>
          <w:b/>
        </w:rPr>
        <w:t xml:space="preserve"> with international human ri</w:t>
      </w:r>
      <w:r>
        <w:rPr>
          <w:rFonts w:cs="Arial"/>
          <w:b/>
        </w:rPr>
        <w:t>ghts law.</w:t>
      </w:r>
    </w:p>
    <w:p w14:paraId="071F78C0" w14:textId="77777777" w:rsidR="00C05FEE" w:rsidRDefault="00C05FEE" w:rsidP="00C05FEE">
      <w:pPr>
        <w:pStyle w:val="Heading2"/>
      </w:pPr>
      <w:bookmarkStart w:id="72" w:name="_Toc491243307"/>
      <w:bookmarkStart w:id="73" w:name="_Toc493489621"/>
      <w:r>
        <w:t xml:space="preserve">Strengthening citizenship requirements (ICCPR </w:t>
      </w:r>
      <w:r w:rsidR="009B0AD2">
        <w:t>a</w:t>
      </w:r>
      <w:r>
        <w:t>rticles 2, 12 &amp; 13)</w:t>
      </w:r>
      <w:bookmarkEnd w:id="72"/>
      <w:bookmarkEnd w:id="73"/>
    </w:p>
    <w:p w14:paraId="7D94A24A" w14:textId="4F761F9C" w:rsidR="00C05FEE" w:rsidRDefault="008E2E5C">
      <w:pPr>
        <w:pStyle w:val="SubmissionNormal"/>
      </w:pPr>
      <w:r>
        <w:t xml:space="preserve">The Commission is concerned about the </w:t>
      </w:r>
      <w:r w:rsidRPr="008E2E5C">
        <w:t>Australian Citizenship Legislation Amendment (Strengthening the Requirements for Australian Citizenship and Other Measures) Bill 2017</w:t>
      </w:r>
      <w:r>
        <w:t xml:space="preserve"> </w:t>
      </w:r>
      <w:r w:rsidR="00EE07CA">
        <w:t>(Cth)</w:t>
      </w:r>
      <w:r w:rsidR="00C05FEE">
        <w:t>, which, if passed, will make it more difficult to obtain Australian citizenship by imposing additional requirements</w:t>
      </w:r>
      <w:r w:rsidR="00C05FEE" w:rsidRPr="004269FB">
        <w:t xml:space="preserve"> </w:t>
      </w:r>
      <w:r w:rsidR="00C05FEE" w:rsidRPr="008F0DE4">
        <w:t>on people seeking to obtain Australian citizenship by conferral</w:t>
      </w:r>
      <w:r w:rsidR="00FB0E02">
        <w:t>;</w:t>
      </w:r>
      <w:r w:rsidR="00C05FEE">
        <w:rPr>
          <w:rStyle w:val="EndnoteReference"/>
        </w:rPr>
        <w:endnoteReference w:id="107"/>
      </w:r>
      <w:r w:rsidR="00C05FEE" w:rsidRPr="008F0DE4">
        <w:t xml:space="preserve"> </w:t>
      </w:r>
      <w:r w:rsidR="00C05FEE">
        <w:t>centralising discretionary power in the hands of the Minister to make decisions about who should and who should not be an Australian citizen</w:t>
      </w:r>
      <w:r w:rsidR="00EE07CA">
        <w:t>, with very limited rights of external review</w:t>
      </w:r>
      <w:r w:rsidR="00C05FEE">
        <w:t>; and reducing</w:t>
      </w:r>
      <w:r w:rsidR="00C05FEE" w:rsidRPr="008F0DE4">
        <w:t xml:space="preserve"> the ability of particular groups of people to qualify for citizenship</w:t>
      </w:r>
      <w:r w:rsidR="00C05FEE">
        <w:t>.</w:t>
      </w:r>
      <w:r w:rsidR="00C05FEE">
        <w:rPr>
          <w:rStyle w:val="EndnoteReference"/>
        </w:rPr>
        <w:endnoteReference w:id="108"/>
      </w:r>
      <w:r w:rsidR="00003611">
        <w:t xml:space="preserve"> </w:t>
      </w:r>
      <w:r w:rsidR="007B55EC">
        <w:t>The bill is currently before the Australian Senate having passed the Australian House of Representatives.</w:t>
      </w:r>
    </w:p>
    <w:p w14:paraId="4A22EA0B" w14:textId="01A784DC" w:rsidR="00C05FEE" w:rsidRDefault="00C05FEE" w:rsidP="00E90792">
      <w:pPr>
        <w:pStyle w:val="SubmissionNormal"/>
        <w:numPr>
          <w:ilvl w:val="0"/>
          <w:numId w:val="52"/>
        </w:numPr>
        <w:rPr>
          <w:b/>
        </w:rPr>
      </w:pPr>
      <w:r w:rsidRPr="008F0DE4">
        <w:rPr>
          <w:b/>
        </w:rPr>
        <w:t xml:space="preserve">That </w:t>
      </w:r>
      <w:r w:rsidR="00213E00">
        <w:rPr>
          <w:b/>
        </w:rPr>
        <w:t xml:space="preserve">the Australian </w:t>
      </w:r>
      <w:r w:rsidR="00EE07CA">
        <w:rPr>
          <w:b/>
        </w:rPr>
        <w:t>Parliament</w:t>
      </w:r>
      <w:r w:rsidRPr="008F0DE4">
        <w:rPr>
          <w:b/>
        </w:rPr>
        <w:t xml:space="preserve"> not pass the </w:t>
      </w:r>
      <w:r w:rsidRPr="00DE3EF0">
        <w:rPr>
          <w:b/>
        </w:rPr>
        <w:t>Australian Citizenship Legislation Amendment (Strengthening the Requirements for Australian Citizenship and Other Measures) Bill 2017</w:t>
      </w:r>
      <w:r w:rsidR="00D53D10">
        <w:rPr>
          <w:b/>
        </w:rPr>
        <w:t xml:space="preserve"> in its current form.</w:t>
      </w:r>
    </w:p>
    <w:p w14:paraId="26D3134C" w14:textId="77777777" w:rsidR="004072EA" w:rsidRPr="00DA0C09" w:rsidRDefault="004072EA" w:rsidP="004072EA">
      <w:pPr>
        <w:pStyle w:val="Heading1"/>
      </w:pPr>
      <w:bookmarkStart w:id="74" w:name="_Toc492904768"/>
      <w:bookmarkStart w:id="75" w:name="_Toc493489622"/>
      <w:bookmarkEnd w:id="74"/>
      <w:r w:rsidRPr="00DA0C09">
        <w:t>Children</w:t>
      </w:r>
      <w:r w:rsidR="00534B3E">
        <w:t xml:space="preserve"> and young people</w:t>
      </w:r>
      <w:bookmarkEnd w:id="75"/>
    </w:p>
    <w:p w14:paraId="0A9817DD" w14:textId="77777777" w:rsidR="00704CA7" w:rsidRDefault="00704CA7" w:rsidP="00704CA7">
      <w:pPr>
        <w:pStyle w:val="Heading2"/>
      </w:pPr>
      <w:bookmarkStart w:id="76" w:name="_Toc491243309"/>
      <w:bookmarkStart w:id="77" w:name="_Toc493489623"/>
      <w:r>
        <w:t xml:space="preserve">Child protection (ICCPR </w:t>
      </w:r>
      <w:r w:rsidR="009B0AD2">
        <w:t>a</w:t>
      </w:r>
      <w:r>
        <w:t>rticle</w:t>
      </w:r>
      <w:r w:rsidRPr="00EC4B73">
        <w:t xml:space="preserve"> 24; LOI 20)</w:t>
      </w:r>
      <w:bookmarkEnd w:id="76"/>
      <w:bookmarkEnd w:id="77"/>
    </w:p>
    <w:p w14:paraId="07D8372E" w14:textId="3359A8C1" w:rsidR="00704CA7" w:rsidRDefault="00704CA7" w:rsidP="00704CA7">
      <w:pPr>
        <w:pStyle w:val="SubmissionNormal"/>
      </w:pPr>
      <w:r>
        <w:t>The</w:t>
      </w:r>
      <w:r w:rsidRPr="000329E9">
        <w:t xml:space="preserve"> Commission is concerned that </w:t>
      </w:r>
      <w:r w:rsidRPr="009F22C8">
        <w:t>the rate of children in out-of-home care has increased,</w:t>
      </w:r>
      <w:r>
        <w:rPr>
          <w:rStyle w:val="EndnoteReference"/>
        </w:rPr>
        <w:endnoteReference w:id="109"/>
      </w:r>
      <w:r w:rsidRPr="000329E9">
        <w:t xml:space="preserve"> </w:t>
      </w:r>
      <w:r>
        <w:t>with Aboriginal and Torres Strait Islander</w:t>
      </w:r>
      <w:r w:rsidRPr="009F22C8">
        <w:t xml:space="preserve"> children</w:t>
      </w:r>
      <w:r>
        <w:rPr>
          <w:rStyle w:val="EndnoteReference"/>
        </w:rPr>
        <w:endnoteReference w:id="110"/>
      </w:r>
      <w:r>
        <w:t xml:space="preserve"> and children with </w:t>
      </w:r>
      <w:r w:rsidR="00751468">
        <w:t>disability</w:t>
      </w:r>
      <w:r>
        <w:rPr>
          <w:rStyle w:val="EndnoteReference"/>
          <w:rFonts w:eastAsia="MS Mincho"/>
        </w:rPr>
        <w:endnoteReference w:id="111"/>
      </w:r>
      <w:r>
        <w:t xml:space="preserve"> overrepresented</w:t>
      </w:r>
      <w:r w:rsidRPr="009F22C8">
        <w:t>.</w:t>
      </w:r>
      <w:r>
        <w:t xml:space="preserve"> </w:t>
      </w:r>
    </w:p>
    <w:p w14:paraId="0CC9948A" w14:textId="7EA542BA" w:rsidR="00704CA7" w:rsidRPr="003E2151" w:rsidRDefault="00704CA7" w:rsidP="00704CA7">
      <w:pPr>
        <w:pStyle w:val="SubmissionNormal"/>
        <w:tabs>
          <w:tab w:val="clear" w:pos="720"/>
        </w:tabs>
      </w:pPr>
      <w:r w:rsidRPr="003E2151">
        <w:t xml:space="preserve">The Commission </w:t>
      </w:r>
      <w:r>
        <w:t>commends</w:t>
      </w:r>
      <w:r w:rsidRPr="003E2151">
        <w:t xml:space="preserve"> the </w:t>
      </w:r>
      <w:r w:rsidR="00FB0E02">
        <w:t xml:space="preserve">allocation of </w:t>
      </w:r>
      <w:r w:rsidRPr="003E2151">
        <w:t xml:space="preserve">$5.1 million </w:t>
      </w:r>
      <w:r w:rsidR="00FB0E02">
        <w:t>for</w:t>
      </w:r>
      <w:r w:rsidRPr="003E2151">
        <w:t xml:space="preserve"> the implementation of the Third Action Plan of the </w:t>
      </w:r>
      <w:r w:rsidRPr="003E2151">
        <w:rPr>
          <w:i/>
        </w:rPr>
        <w:t xml:space="preserve">National Framework for Protecting Australia’s </w:t>
      </w:r>
      <w:r w:rsidRPr="00C13234">
        <w:rPr>
          <w:i/>
        </w:rPr>
        <w:t>Children</w:t>
      </w:r>
      <w:r w:rsidRPr="003E2151">
        <w:rPr>
          <w:i/>
        </w:rPr>
        <w:t xml:space="preserve"> 2009</w:t>
      </w:r>
      <w:r w:rsidR="006042F3">
        <w:rPr>
          <w:i/>
        </w:rPr>
        <w:t>–</w:t>
      </w:r>
      <w:r w:rsidRPr="003E2151">
        <w:rPr>
          <w:i/>
        </w:rPr>
        <w:t>2020</w:t>
      </w:r>
      <w:r w:rsidR="002B7726">
        <w:rPr>
          <w:i/>
        </w:rPr>
        <w:t xml:space="preserve"> </w:t>
      </w:r>
      <w:r w:rsidR="002B7726">
        <w:t>(National Framework)</w:t>
      </w:r>
      <w:r w:rsidRPr="003E2151">
        <w:t>, which will help support early intervention and child safe approaches.</w:t>
      </w:r>
      <w:r w:rsidRPr="003E2151">
        <w:rPr>
          <w:sz w:val="20"/>
          <w:vertAlign w:val="superscript"/>
        </w:rPr>
        <w:endnoteReference w:id="112"/>
      </w:r>
      <w:r w:rsidRPr="003E2151">
        <w:t xml:space="preserve"> </w:t>
      </w:r>
      <w:r>
        <w:t xml:space="preserve">However, </w:t>
      </w:r>
      <w:r w:rsidRPr="003E2151">
        <w:t xml:space="preserve">the Commission </w:t>
      </w:r>
      <w:r>
        <w:t>is</w:t>
      </w:r>
      <w:r w:rsidRPr="003E2151">
        <w:t xml:space="preserve"> concerned that </w:t>
      </w:r>
      <w:r>
        <w:t xml:space="preserve">this </w:t>
      </w:r>
      <w:r w:rsidRPr="003E2151">
        <w:t xml:space="preserve">funding is inadequate to achieve </w:t>
      </w:r>
      <w:r w:rsidR="00EE07CA">
        <w:t>its</w:t>
      </w:r>
      <w:r w:rsidR="00EE07CA" w:rsidRPr="003E2151">
        <w:t xml:space="preserve"> </w:t>
      </w:r>
      <w:r w:rsidRPr="003E2151">
        <w:t xml:space="preserve">objectives. </w:t>
      </w:r>
    </w:p>
    <w:p w14:paraId="2C5427C8" w14:textId="1CA34E2F" w:rsidR="00704CA7" w:rsidRDefault="00856B37" w:rsidP="00003611">
      <w:pPr>
        <w:pStyle w:val="SubmissionNormal"/>
      </w:pPr>
      <w:r>
        <w:t xml:space="preserve">The Commission submits that </w:t>
      </w:r>
      <w:r w:rsidRPr="0052516B">
        <w:t xml:space="preserve">work </w:t>
      </w:r>
      <w:r>
        <w:t xml:space="preserve">should </w:t>
      </w:r>
      <w:r w:rsidRPr="0052516B">
        <w:t xml:space="preserve">be undertaken </w:t>
      </w:r>
      <w:r>
        <w:t xml:space="preserve">under the National Framework </w:t>
      </w:r>
      <w:r w:rsidRPr="0052516B">
        <w:t xml:space="preserve">to develop specific principles and practice standards </w:t>
      </w:r>
      <w:r>
        <w:t>regarding</w:t>
      </w:r>
      <w:r w:rsidRPr="0052516B">
        <w:t xml:space="preserve"> children with </w:t>
      </w:r>
      <w:r>
        <w:t>disability</w:t>
      </w:r>
      <w:r w:rsidRPr="0052516B">
        <w:t xml:space="preserve"> in the care and protection system.</w:t>
      </w:r>
    </w:p>
    <w:p w14:paraId="3386FF98" w14:textId="080D14FA" w:rsidR="00704CA7" w:rsidRPr="00C015F3" w:rsidRDefault="00704CA7" w:rsidP="00E90792">
      <w:pPr>
        <w:pStyle w:val="SubmissionNormal"/>
        <w:numPr>
          <w:ilvl w:val="0"/>
          <w:numId w:val="52"/>
        </w:numPr>
        <w:rPr>
          <w:b/>
          <w:bCs/>
        </w:rPr>
      </w:pPr>
      <w:r>
        <w:rPr>
          <w:b/>
          <w:bCs/>
        </w:rPr>
        <w:t>T</w:t>
      </w:r>
      <w:r w:rsidRPr="00C015F3">
        <w:rPr>
          <w:b/>
          <w:bCs/>
        </w:rPr>
        <w:t>hat</w:t>
      </w:r>
      <w:r>
        <w:rPr>
          <w:b/>
          <w:bCs/>
        </w:rPr>
        <w:t xml:space="preserve"> the</w:t>
      </w:r>
      <w:r w:rsidRPr="00C015F3">
        <w:rPr>
          <w:b/>
          <w:bCs/>
        </w:rPr>
        <w:t xml:space="preserve"> </w:t>
      </w:r>
      <w:r w:rsidR="00875015">
        <w:rPr>
          <w:b/>
          <w:bCs/>
        </w:rPr>
        <w:t xml:space="preserve">Australian </w:t>
      </w:r>
      <w:r w:rsidRPr="00C015F3">
        <w:rPr>
          <w:b/>
          <w:bCs/>
        </w:rPr>
        <w:t>Government strengthen early intervention programs that support vulnerable families and improve data collection relating to child protection</w:t>
      </w:r>
      <w:r w:rsidR="00856B37">
        <w:rPr>
          <w:b/>
          <w:bCs/>
        </w:rPr>
        <w:t xml:space="preserve">, </w:t>
      </w:r>
      <w:r w:rsidRPr="00C015F3">
        <w:rPr>
          <w:b/>
          <w:bCs/>
        </w:rPr>
        <w:t>out-of-home care</w:t>
      </w:r>
      <w:r w:rsidR="00856B37">
        <w:rPr>
          <w:b/>
          <w:bCs/>
        </w:rPr>
        <w:t>, and the prevalence and nature of child abuse and neglect</w:t>
      </w:r>
      <w:r w:rsidRPr="00C015F3">
        <w:rPr>
          <w:b/>
          <w:bCs/>
        </w:rPr>
        <w:t>.</w:t>
      </w:r>
    </w:p>
    <w:p w14:paraId="5D083F30" w14:textId="77777777" w:rsidR="00704CA7" w:rsidRDefault="00704CA7" w:rsidP="00704CA7">
      <w:pPr>
        <w:pStyle w:val="Heading2"/>
        <w:rPr>
          <w:i w:val="0"/>
        </w:rPr>
      </w:pPr>
      <w:bookmarkStart w:id="78" w:name="_Violence_against_children"/>
      <w:bookmarkStart w:id="79" w:name="_Toc491243310"/>
      <w:bookmarkStart w:id="80" w:name="_Toc493489624"/>
      <w:bookmarkEnd w:id="78"/>
      <w:r>
        <w:lastRenderedPageBreak/>
        <w:t xml:space="preserve">Violence against children and young people </w:t>
      </w:r>
      <w:r>
        <w:rPr>
          <w:i w:val="0"/>
        </w:rPr>
        <w:t>(</w:t>
      </w:r>
      <w:r>
        <w:t xml:space="preserve">ICCPR </w:t>
      </w:r>
      <w:r w:rsidR="009B0AD2">
        <w:t>a</w:t>
      </w:r>
      <w:r>
        <w:t>rticles 7, 9 &amp;</w:t>
      </w:r>
      <w:r w:rsidRPr="00061177">
        <w:t xml:space="preserve"> 24</w:t>
      </w:r>
      <w:r>
        <w:rPr>
          <w:i w:val="0"/>
        </w:rPr>
        <w:t>)</w:t>
      </w:r>
      <w:bookmarkEnd w:id="79"/>
      <w:bookmarkEnd w:id="80"/>
    </w:p>
    <w:p w14:paraId="206CED88" w14:textId="77777777" w:rsidR="00704CA7" w:rsidRDefault="00704CA7" w:rsidP="00704CA7">
      <w:pPr>
        <w:pStyle w:val="SubmissionNormal"/>
      </w:pPr>
      <w:r>
        <w:rPr>
          <w:rFonts w:cs="Arial"/>
        </w:rPr>
        <w:t xml:space="preserve">Children are witnesses, bystanders and direct victims of violence in the home. </w:t>
      </w:r>
      <w:r>
        <w:t>E</w:t>
      </w:r>
      <w:r w:rsidRPr="002A5BDC">
        <w:t xml:space="preserve">xperiences of family </w:t>
      </w:r>
      <w:r>
        <w:t>and domestic violence</w:t>
      </w:r>
      <w:r w:rsidRPr="002A5BDC">
        <w:t xml:space="preserve"> have long-term, detrimental effects on </w:t>
      </w:r>
      <w:r>
        <w:t>children</w:t>
      </w:r>
      <w:r w:rsidRPr="002A5BDC">
        <w:t>.</w:t>
      </w:r>
      <w:r w:rsidRPr="009D6BD0">
        <w:rPr>
          <w:rStyle w:val="EndnoteReference"/>
          <w:lang w:val="en"/>
        </w:rPr>
        <w:endnoteReference w:id="113"/>
      </w:r>
      <w:r w:rsidRPr="002A5BDC">
        <w:t xml:space="preserve"> Children living with family and domestic violence are at an increased risk of experiencing emotional, physical and sexual abuse.</w:t>
      </w:r>
      <w:r w:rsidRPr="003246B6">
        <w:rPr>
          <w:sz w:val="20"/>
          <w:vertAlign w:val="superscript"/>
        </w:rPr>
        <w:endnoteReference w:id="114"/>
      </w:r>
      <w:r>
        <w:t xml:space="preserve"> There are also clear links between child suicide and self-harm and domestic violence.</w:t>
      </w:r>
      <w:r>
        <w:rPr>
          <w:rStyle w:val="EndnoteReference"/>
          <w:rFonts w:cs="Arial"/>
        </w:rPr>
        <w:endnoteReference w:id="115"/>
      </w:r>
    </w:p>
    <w:p w14:paraId="0DE12CC3" w14:textId="77777777" w:rsidR="00704CA7" w:rsidRPr="003070D9" w:rsidRDefault="00704CA7" w:rsidP="00704CA7">
      <w:pPr>
        <w:pStyle w:val="SubmissionNormal"/>
        <w:tabs>
          <w:tab w:val="clear" w:pos="720"/>
        </w:tabs>
        <w:rPr>
          <w:rFonts w:cs="Arial"/>
        </w:rPr>
      </w:pPr>
      <w:r w:rsidRPr="00B80226">
        <w:t>The impact of family and domestic violence on some groups of children is further compounded by experiences of discrimination and marginalisation</w:t>
      </w:r>
      <w:r>
        <w:t>, part</w:t>
      </w:r>
      <w:r w:rsidRPr="00B80226">
        <w:t>icularly Aboriginal and Torres Strait Islander children, children with disability, children from culturally and linguistically diverse ba</w:t>
      </w:r>
      <w:r>
        <w:t>ckgrounds and children who are l</w:t>
      </w:r>
      <w:r w:rsidRPr="00B80226">
        <w:t>esb</w:t>
      </w:r>
      <w:r>
        <w:t xml:space="preserve">ian, gay, bisexual, transgender </w:t>
      </w:r>
      <w:r w:rsidR="00EE07CA">
        <w:t xml:space="preserve">or </w:t>
      </w:r>
      <w:r>
        <w:t>i</w:t>
      </w:r>
      <w:r w:rsidRPr="00B80226">
        <w:t>ntersex</w:t>
      </w:r>
      <w:r>
        <w:t>.</w:t>
      </w:r>
      <w:r>
        <w:rPr>
          <w:rStyle w:val="EndnoteReference"/>
        </w:rPr>
        <w:endnoteReference w:id="116"/>
      </w:r>
    </w:p>
    <w:p w14:paraId="127EEAB7" w14:textId="44D9DB66" w:rsidR="00704CA7" w:rsidRDefault="00704CA7" w:rsidP="00704CA7">
      <w:pPr>
        <w:pStyle w:val="SubmissionNormal"/>
        <w:tabs>
          <w:tab w:val="clear" w:pos="720"/>
        </w:tabs>
      </w:pPr>
      <w:r>
        <w:t>In 2015, t</w:t>
      </w:r>
      <w:r w:rsidRPr="0084474E">
        <w:t xml:space="preserve">he </w:t>
      </w:r>
      <w:r>
        <w:t>National Children’s Commissioner</w:t>
      </w:r>
      <w:r w:rsidRPr="0084474E">
        <w:t xml:space="preserve"> investigat</w:t>
      </w:r>
      <w:r w:rsidR="00EE07CA">
        <w:t>ed</w:t>
      </w:r>
      <w:r w:rsidRPr="0084474E">
        <w:t xml:space="preserve"> the impact of family and </w:t>
      </w:r>
      <w:r>
        <w:t>domestic violence on children across Australia. Data sourced for the investigation indicated that one in every 12 people first experienced physical abuse as a child before the age of 15 years perpetrated by a family member, and one in every 28 people first experienced sexual abuse as a child before the age of 15 years perpetrated by family member.</w:t>
      </w:r>
      <w:r>
        <w:rPr>
          <w:rStyle w:val="EndnoteReference"/>
        </w:rPr>
        <w:endnoteReference w:id="117"/>
      </w:r>
      <w:r>
        <w:t xml:space="preserve"> The Commission </w:t>
      </w:r>
      <w:r w:rsidR="003B6E08">
        <w:t>notes</w:t>
      </w:r>
      <w:r>
        <w:t xml:space="preserve"> the findings and recommendations made by the National Children’s Commissioner in Chapter 4 of the </w:t>
      </w:r>
      <w:r w:rsidRPr="00FB2527">
        <w:rPr>
          <w:i/>
        </w:rPr>
        <w:t>Children’s Rights Report 2015</w:t>
      </w:r>
      <w:r>
        <w:t>.</w:t>
      </w:r>
      <w:r>
        <w:rPr>
          <w:rStyle w:val="EndnoteReference"/>
        </w:rPr>
        <w:endnoteReference w:id="118"/>
      </w:r>
    </w:p>
    <w:p w14:paraId="29FF38F6" w14:textId="6AE7BE9B" w:rsidR="00704CA7" w:rsidRPr="00DB42DB" w:rsidRDefault="00704CA7" w:rsidP="00704CA7">
      <w:pPr>
        <w:pStyle w:val="SubmissionNormal"/>
        <w:tabs>
          <w:tab w:val="clear" w:pos="720"/>
        </w:tabs>
        <w:rPr>
          <w:rFonts w:eastAsia="MS Mincho"/>
          <w:vertAlign w:val="superscript"/>
        </w:rPr>
      </w:pPr>
      <w:r>
        <w:t xml:space="preserve">The Commission </w:t>
      </w:r>
      <w:r w:rsidR="003B6E08">
        <w:t>welcome</w:t>
      </w:r>
      <w:r w:rsidR="000B7C7D">
        <w:t>d</w:t>
      </w:r>
      <w:r w:rsidR="003B6E08">
        <w:t xml:space="preserve"> </w:t>
      </w:r>
      <w:r>
        <w:t>the establishment of the Royal Commission into Institutional Responses to Child Sexual Abuse in 2012 to investigate the sexual abuse of children within private, public and non-government institutions. The Commission stresses the need for an enhanced evidence base through improved data collection on institutional abuse.</w:t>
      </w:r>
      <w:r>
        <w:rPr>
          <w:sz w:val="20"/>
          <w:szCs w:val="20"/>
          <w:vertAlign w:val="superscript"/>
        </w:rPr>
        <w:endnoteReference w:id="119"/>
      </w:r>
      <w:r>
        <w:t xml:space="preserve"> The Commission notes that the Royal Commission is due to deliver its final report by 15 December 2017.</w:t>
      </w:r>
      <w:r w:rsidR="00063C13">
        <w:t xml:space="preserve"> </w:t>
      </w:r>
    </w:p>
    <w:p w14:paraId="3F38FDF9" w14:textId="65DFE322" w:rsidR="00704CA7" w:rsidRPr="00004ABB" w:rsidRDefault="00704CA7" w:rsidP="00704CA7">
      <w:pPr>
        <w:pStyle w:val="SubmissionNormal"/>
        <w:tabs>
          <w:tab w:val="clear" w:pos="720"/>
        </w:tabs>
        <w:rPr>
          <w:rFonts w:cs="Arial"/>
          <w:color w:val="000000"/>
        </w:rPr>
      </w:pPr>
      <w:r>
        <w:t xml:space="preserve">The Commission welcomes the amendments to the </w:t>
      </w:r>
      <w:r w:rsidRPr="00567F16">
        <w:rPr>
          <w:i/>
        </w:rPr>
        <w:t>Family Law Act 1975</w:t>
      </w:r>
      <w:r>
        <w:t xml:space="preserve"> (Cth) in 2012, which strengthen protection of the rights of the child, especially in violent situations,</w:t>
      </w:r>
      <w:r>
        <w:rPr>
          <w:rStyle w:val="EndnoteReference"/>
        </w:rPr>
        <w:endnoteReference w:id="120"/>
      </w:r>
      <w:r>
        <w:t xml:space="preserve"> and efforts by government and across the community to address cyber-bullying and online safety of children.</w:t>
      </w:r>
      <w:r>
        <w:rPr>
          <w:rStyle w:val="EndnoteReference"/>
        </w:rPr>
        <w:endnoteReference w:id="121"/>
      </w:r>
      <w:r>
        <w:t xml:space="preserve"> </w:t>
      </w:r>
      <w:r w:rsidRPr="00A51A26">
        <w:t xml:space="preserve"> </w:t>
      </w:r>
      <w:r w:rsidRPr="00004ABB">
        <w:rPr>
          <w:color w:val="FF0000"/>
        </w:rPr>
        <w:t xml:space="preserve"> </w:t>
      </w:r>
    </w:p>
    <w:p w14:paraId="087413AD" w14:textId="426EC5BC" w:rsidR="00866841" w:rsidRPr="00063C13" w:rsidRDefault="00866841" w:rsidP="00E90792">
      <w:pPr>
        <w:pStyle w:val="SubmissionNormal"/>
        <w:numPr>
          <w:ilvl w:val="0"/>
          <w:numId w:val="52"/>
        </w:numPr>
        <w:rPr>
          <w:rFonts w:eastAsia="MS Mincho"/>
        </w:rPr>
      </w:pPr>
      <w:r>
        <w:rPr>
          <w:b/>
        </w:rPr>
        <w:t>That t</w:t>
      </w:r>
      <w:r w:rsidRPr="00D33B78">
        <w:rPr>
          <w:b/>
        </w:rPr>
        <w:t xml:space="preserve">he </w:t>
      </w:r>
      <w:r>
        <w:rPr>
          <w:b/>
        </w:rPr>
        <w:t xml:space="preserve">Australian </w:t>
      </w:r>
      <w:r w:rsidRPr="00D33B78">
        <w:rPr>
          <w:b/>
        </w:rPr>
        <w:t xml:space="preserve">Government </w:t>
      </w:r>
      <w:r>
        <w:rPr>
          <w:b/>
        </w:rPr>
        <w:t>implement</w:t>
      </w:r>
      <w:r w:rsidRPr="00D33B78">
        <w:rPr>
          <w:b/>
        </w:rPr>
        <w:t xml:space="preserve"> the </w:t>
      </w:r>
      <w:r>
        <w:rPr>
          <w:b/>
        </w:rPr>
        <w:t xml:space="preserve">National Children’s Commissioner’s </w:t>
      </w:r>
      <w:r w:rsidRPr="00D33B78">
        <w:rPr>
          <w:b/>
        </w:rPr>
        <w:t xml:space="preserve">recommendations in the </w:t>
      </w:r>
      <w:r w:rsidRPr="00DB42DB">
        <w:rPr>
          <w:b/>
          <w:i/>
        </w:rPr>
        <w:t>Children’s Rights Report 2015</w:t>
      </w:r>
      <w:r w:rsidRPr="00D33B78">
        <w:rPr>
          <w:b/>
        </w:rPr>
        <w:t xml:space="preserve"> (Chapter 4).</w:t>
      </w:r>
    </w:p>
    <w:p w14:paraId="68237BA2" w14:textId="15EEE7F0" w:rsidR="00866841" w:rsidRPr="00F83F73" w:rsidRDefault="00866841" w:rsidP="00E90792">
      <w:pPr>
        <w:pStyle w:val="SubmissionNormal"/>
        <w:numPr>
          <w:ilvl w:val="0"/>
          <w:numId w:val="52"/>
        </w:numPr>
        <w:rPr>
          <w:rFonts w:eastAsia="MS Mincho"/>
        </w:rPr>
      </w:pPr>
      <w:r>
        <w:rPr>
          <w:b/>
        </w:rPr>
        <w:t xml:space="preserve">That the Australian Government maintain a public register that monitors all Australian governments’ compliance with, and implementation of, the recommendations of the Royal Commission into Institutional Abuse of Children once released, and that remedies </w:t>
      </w:r>
      <w:r w:rsidR="00FB0E02">
        <w:rPr>
          <w:b/>
        </w:rPr>
        <w:t>be</w:t>
      </w:r>
      <w:r>
        <w:rPr>
          <w:b/>
        </w:rPr>
        <w:t xml:space="preserve"> provided to victims. The Commission considers this inquiry to be of such importance that the Committee should request an update from the Australian Government on</w:t>
      </w:r>
      <w:r w:rsidR="00700F66">
        <w:rPr>
          <w:b/>
        </w:rPr>
        <w:t xml:space="preserve"> </w:t>
      </w:r>
      <w:r>
        <w:rPr>
          <w:b/>
        </w:rPr>
        <w:t xml:space="preserve">progress </w:t>
      </w:r>
      <w:r w:rsidR="00700F66">
        <w:rPr>
          <w:b/>
        </w:rPr>
        <w:t>of</w:t>
      </w:r>
      <w:r>
        <w:rPr>
          <w:b/>
        </w:rPr>
        <w:t xml:space="preserve"> implementation in 12 months time.  </w:t>
      </w:r>
    </w:p>
    <w:p w14:paraId="344AE100" w14:textId="77777777" w:rsidR="00704CA7" w:rsidRDefault="00704CA7" w:rsidP="00704CA7">
      <w:pPr>
        <w:pStyle w:val="Heading2"/>
      </w:pPr>
      <w:bookmarkStart w:id="81" w:name="_Toc491243311"/>
      <w:bookmarkStart w:id="82" w:name="_Toc493489625"/>
      <w:r>
        <w:lastRenderedPageBreak/>
        <w:t xml:space="preserve">Self-harm (ICCPR </w:t>
      </w:r>
      <w:r w:rsidR="009B0AD2">
        <w:t>a</w:t>
      </w:r>
      <w:r>
        <w:t>rticles</w:t>
      </w:r>
      <w:r w:rsidRPr="00EC4B73">
        <w:t xml:space="preserve"> 7</w:t>
      </w:r>
      <w:r>
        <w:t>,</w:t>
      </w:r>
      <w:r w:rsidRPr="00EC4B73">
        <w:t xml:space="preserve"> </w:t>
      </w:r>
      <w:r>
        <w:t xml:space="preserve">9 &amp; </w:t>
      </w:r>
      <w:r w:rsidRPr="00EC4B73">
        <w:t>24; LOI 20)</w:t>
      </w:r>
      <w:bookmarkEnd w:id="81"/>
      <w:bookmarkEnd w:id="82"/>
    </w:p>
    <w:p w14:paraId="37A68D19" w14:textId="1CB8E609" w:rsidR="00704CA7" w:rsidRDefault="00704CA7" w:rsidP="00704CA7">
      <w:pPr>
        <w:pStyle w:val="SubmissionNormal"/>
        <w:tabs>
          <w:tab w:val="clear" w:pos="720"/>
        </w:tabs>
      </w:pPr>
      <w:r w:rsidRPr="003070D9">
        <w:rPr>
          <w:rFonts w:eastAsia="MS Mincho"/>
        </w:rPr>
        <w:t>In 2014, the</w:t>
      </w:r>
      <w:r>
        <w:rPr>
          <w:rFonts w:eastAsia="MS Mincho"/>
        </w:rPr>
        <w:t xml:space="preserve"> National Children’s Commissioner conducted an investigation into intentional self-harm </w:t>
      </w:r>
      <w:r w:rsidR="00EE07CA">
        <w:rPr>
          <w:rFonts w:eastAsia="MS Mincho"/>
        </w:rPr>
        <w:t xml:space="preserve">by </w:t>
      </w:r>
      <w:r>
        <w:rPr>
          <w:rFonts w:eastAsia="MS Mincho"/>
        </w:rPr>
        <w:t xml:space="preserve">children, </w:t>
      </w:r>
      <w:r>
        <w:t>reporting that intentional self-harm is the leading cause of death among children and young people aged 15 to 24 years in Australia.</w:t>
      </w:r>
      <w:r>
        <w:rPr>
          <w:vertAlign w:val="superscript"/>
        </w:rPr>
        <w:endnoteReference w:id="122"/>
      </w:r>
      <w:r>
        <w:t xml:space="preserve"> The Commission </w:t>
      </w:r>
      <w:r w:rsidR="003B6E08">
        <w:t>notes</w:t>
      </w:r>
      <w:r>
        <w:t xml:space="preserve"> the findings and recommendations made by the National Children’s Commissioner in Chapter 3 of the </w:t>
      </w:r>
      <w:r w:rsidRPr="003070D9">
        <w:rPr>
          <w:i/>
        </w:rPr>
        <w:t>Children’s Rights Report 2014</w:t>
      </w:r>
      <w:r>
        <w:t>.</w:t>
      </w:r>
      <w:r>
        <w:rPr>
          <w:rStyle w:val="EndnoteReference"/>
        </w:rPr>
        <w:endnoteReference w:id="123"/>
      </w:r>
    </w:p>
    <w:p w14:paraId="0B7FD898" w14:textId="34917F36" w:rsidR="00704CA7" w:rsidRPr="00C13FFF" w:rsidRDefault="00704CA7" w:rsidP="00E90792">
      <w:pPr>
        <w:pStyle w:val="SubmissionNormal"/>
        <w:numPr>
          <w:ilvl w:val="0"/>
          <w:numId w:val="52"/>
        </w:numPr>
        <w:rPr>
          <w:rFonts w:eastAsia="MS Mincho"/>
        </w:rPr>
      </w:pPr>
      <w:r w:rsidRPr="00D33B78">
        <w:rPr>
          <w:b/>
        </w:rPr>
        <w:t>Th</w:t>
      </w:r>
      <w:r>
        <w:rPr>
          <w:b/>
        </w:rPr>
        <w:t>at th</w:t>
      </w:r>
      <w:r w:rsidRPr="00D33B78">
        <w:rPr>
          <w:b/>
        </w:rPr>
        <w:t xml:space="preserve">e </w:t>
      </w:r>
      <w:r w:rsidR="00875015">
        <w:rPr>
          <w:b/>
        </w:rPr>
        <w:t xml:space="preserve">Australian </w:t>
      </w:r>
      <w:r w:rsidRPr="00D33B78">
        <w:rPr>
          <w:b/>
        </w:rPr>
        <w:t xml:space="preserve">Government </w:t>
      </w:r>
      <w:r>
        <w:rPr>
          <w:b/>
        </w:rPr>
        <w:t>implement</w:t>
      </w:r>
      <w:r w:rsidRPr="00D33B78">
        <w:rPr>
          <w:b/>
        </w:rPr>
        <w:t xml:space="preserve"> the </w:t>
      </w:r>
      <w:r>
        <w:rPr>
          <w:b/>
        </w:rPr>
        <w:t xml:space="preserve">National Children’s Commissioner’s </w:t>
      </w:r>
      <w:r w:rsidRPr="00D33B78">
        <w:rPr>
          <w:b/>
        </w:rPr>
        <w:t xml:space="preserve">recommendations in the </w:t>
      </w:r>
      <w:r w:rsidRPr="00DB42DB">
        <w:rPr>
          <w:b/>
          <w:i/>
        </w:rPr>
        <w:t xml:space="preserve">Children’s Rights Report 2014 </w:t>
      </w:r>
      <w:r>
        <w:rPr>
          <w:b/>
        </w:rPr>
        <w:t>(Chapter 3</w:t>
      </w:r>
      <w:r w:rsidRPr="00D33B78">
        <w:rPr>
          <w:b/>
        </w:rPr>
        <w:t>).</w:t>
      </w:r>
    </w:p>
    <w:p w14:paraId="42A4F0E5" w14:textId="77777777" w:rsidR="00704CA7" w:rsidRDefault="00704CA7" w:rsidP="00704CA7">
      <w:pPr>
        <w:pStyle w:val="Heading2"/>
      </w:pPr>
      <w:bookmarkStart w:id="83" w:name="_Toc491243312"/>
      <w:bookmarkStart w:id="84" w:name="_Toc493489626"/>
      <w:r>
        <w:t xml:space="preserve">Juvenile justice (ICCPR </w:t>
      </w:r>
      <w:r w:rsidR="009B0AD2">
        <w:t>a</w:t>
      </w:r>
      <w:r>
        <w:t>rticles</w:t>
      </w:r>
      <w:r w:rsidRPr="00EC4B73">
        <w:t xml:space="preserve"> 7</w:t>
      </w:r>
      <w:r>
        <w:t>,</w:t>
      </w:r>
      <w:r w:rsidRPr="00EC4B73">
        <w:t xml:space="preserve"> </w:t>
      </w:r>
      <w:r>
        <w:t xml:space="preserve">9 &amp; </w:t>
      </w:r>
      <w:r w:rsidRPr="00EC4B73">
        <w:t>24; LOI 20)</w:t>
      </w:r>
      <w:bookmarkEnd w:id="83"/>
      <w:bookmarkEnd w:id="84"/>
    </w:p>
    <w:p w14:paraId="4CBA6B70" w14:textId="77777777" w:rsidR="00704CA7" w:rsidRDefault="00704CA7" w:rsidP="00704CA7">
      <w:pPr>
        <w:pStyle w:val="Heading3"/>
      </w:pPr>
      <w:bookmarkStart w:id="85" w:name="_Toc491243313"/>
      <w:bookmarkStart w:id="86" w:name="_Toc493489627"/>
      <w:r>
        <w:t>Detention</w:t>
      </w:r>
      <w:bookmarkEnd w:id="85"/>
      <w:bookmarkEnd w:id="86"/>
    </w:p>
    <w:p w14:paraId="26B89742" w14:textId="79794B3E" w:rsidR="00704CA7" w:rsidRPr="00FB2527" w:rsidRDefault="00704CA7" w:rsidP="00704CA7">
      <w:pPr>
        <w:pStyle w:val="SubmissionNormal"/>
        <w:tabs>
          <w:tab w:val="clear" w:pos="720"/>
        </w:tabs>
      </w:pPr>
      <w:r>
        <w:t>The Commission is concerned by the treatment of children in, and the conditions of, juvenile justice detention across Australia</w:t>
      </w:r>
      <w:r w:rsidR="00B40544">
        <w:t xml:space="preserve">, including </w:t>
      </w:r>
      <w:r>
        <w:t>the disproportionate use of force, isolation and restraints against children in juvenile detention facilities, and the lack of monitoring, reporting and accountability in relation to these practices.</w:t>
      </w:r>
      <w:r w:rsidRPr="006F5673">
        <w:rPr>
          <w:szCs w:val="23"/>
        </w:rPr>
        <w:t xml:space="preserve"> </w:t>
      </w:r>
    </w:p>
    <w:p w14:paraId="128F8437" w14:textId="77777777" w:rsidR="00704CA7" w:rsidRPr="00DB42DB" w:rsidRDefault="00704CA7" w:rsidP="00704CA7">
      <w:pPr>
        <w:pStyle w:val="SubmissionNormal"/>
      </w:pPr>
      <w:r>
        <w:t xml:space="preserve">The Commission continues to express concern about the number of children being detained </w:t>
      </w:r>
      <w:r w:rsidR="00ED7DF4">
        <w:t xml:space="preserve">on remand </w:t>
      </w:r>
      <w:r>
        <w:t xml:space="preserve">in juvenile justice centres. </w:t>
      </w:r>
      <w:r w:rsidRPr="003B1FC3">
        <w:rPr>
          <w:szCs w:val="23"/>
        </w:rPr>
        <w:t xml:space="preserve">The Commission is </w:t>
      </w:r>
      <w:r>
        <w:rPr>
          <w:szCs w:val="23"/>
        </w:rPr>
        <w:t xml:space="preserve">also </w:t>
      </w:r>
      <w:r w:rsidRPr="003B1FC3">
        <w:rPr>
          <w:szCs w:val="23"/>
        </w:rPr>
        <w:t xml:space="preserve">concerned that child offenders are sometimes held in the same correctional </w:t>
      </w:r>
      <w:r w:rsidRPr="00AB5CCB">
        <w:t>centres</w:t>
      </w:r>
      <w:r w:rsidRPr="003B1FC3">
        <w:rPr>
          <w:szCs w:val="23"/>
        </w:rPr>
        <w:t xml:space="preserve"> as adults.</w:t>
      </w:r>
      <w:r w:rsidRPr="00D93AB6">
        <w:rPr>
          <w:szCs w:val="23"/>
          <w:vertAlign w:val="superscript"/>
        </w:rPr>
        <w:endnoteReference w:id="124"/>
      </w:r>
      <w:r w:rsidRPr="003B1FC3">
        <w:rPr>
          <w:szCs w:val="23"/>
        </w:rPr>
        <w:t xml:space="preserve"> </w:t>
      </w:r>
    </w:p>
    <w:p w14:paraId="26CFDF2A" w14:textId="77777777" w:rsidR="00704CA7" w:rsidRDefault="00704CA7" w:rsidP="00704CA7">
      <w:pPr>
        <w:pStyle w:val="SubmissionNormal"/>
      </w:pPr>
      <w:r>
        <w:t xml:space="preserve">In </w:t>
      </w:r>
      <w:r w:rsidRPr="00DB42DB">
        <w:t>2016</w:t>
      </w:r>
      <w:r>
        <w:t>, the National Children’s Commissioner examined the oversight of youth justice in Australia, and the readiness of youth justice processes for the implementation of OPCAT.</w:t>
      </w:r>
      <w:r w:rsidRPr="008C33CA">
        <w:t xml:space="preserve"> </w:t>
      </w:r>
      <w:r>
        <w:t xml:space="preserve">The Commission draws the Committee’s attention to the findings and recommendations made by the National Children’s Commissioner in Chapter 3 of the </w:t>
      </w:r>
      <w:r>
        <w:rPr>
          <w:i/>
        </w:rPr>
        <w:t>Children’s Rights Report 2016.</w:t>
      </w:r>
      <w:r>
        <w:rPr>
          <w:rStyle w:val="EndnoteReference"/>
        </w:rPr>
        <w:endnoteReference w:id="125"/>
      </w:r>
    </w:p>
    <w:p w14:paraId="0FB1160B" w14:textId="77777777" w:rsidR="00704CA7" w:rsidRDefault="00704CA7" w:rsidP="00704CA7">
      <w:pPr>
        <w:pStyle w:val="SubmissionNormal"/>
      </w:pPr>
      <w:r>
        <w:t>Noting that the Northern Territory has the highest rate of children and young people in detention in Australia,</w:t>
      </w:r>
      <w:r>
        <w:rPr>
          <w:rStyle w:val="EndnoteReference"/>
        </w:rPr>
        <w:endnoteReference w:id="126"/>
      </w:r>
      <w:r>
        <w:t xml:space="preserve"> the Commission welcomes the establishment of the Royal Commission into the Protection and Detention of Children in the Northern Territory.</w:t>
      </w:r>
      <w:r>
        <w:rPr>
          <w:rStyle w:val="EndnoteReference"/>
          <w:rFonts w:cs="Arial"/>
        </w:rPr>
        <w:endnoteReference w:id="127"/>
      </w:r>
      <w:r>
        <w:t xml:space="preserve"> </w:t>
      </w:r>
      <w:r w:rsidRPr="009A2D3F">
        <w:t xml:space="preserve">The </w:t>
      </w:r>
      <w:r>
        <w:t xml:space="preserve">Commission notes that the </w:t>
      </w:r>
      <w:r w:rsidRPr="009C06E0">
        <w:rPr>
          <w:rFonts w:cs="Arial"/>
        </w:rPr>
        <w:t xml:space="preserve">Royal Commission </w:t>
      </w:r>
      <w:r>
        <w:t xml:space="preserve">will deliver its final </w:t>
      </w:r>
      <w:r w:rsidRPr="009A2D3F">
        <w:t xml:space="preserve">report on </w:t>
      </w:r>
      <w:r w:rsidR="00D57A5D">
        <w:t>17 November</w:t>
      </w:r>
      <w:r w:rsidRPr="009A2D3F">
        <w:t xml:space="preserve"> 2017.</w:t>
      </w:r>
    </w:p>
    <w:p w14:paraId="17A757ED" w14:textId="77777777" w:rsidR="00704CA7" w:rsidRPr="003B1FC3" w:rsidRDefault="00704CA7" w:rsidP="00704CA7">
      <w:pPr>
        <w:pStyle w:val="SubmissionNormal"/>
      </w:pPr>
      <w:r w:rsidRPr="00D93AB6">
        <w:rPr>
          <w:szCs w:val="23"/>
        </w:rPr>
        <w:t>The Commission</w:t>
      </w:r>
      <w:r>
        <w:rPr>
          <w:szCs w:val="23"/>
        </w:rPr>
        <w:t xml:space="preserve"> </w:t>
      </w:r>
      <w:r w:rsidRPr="00D93AB6">
        <w:rPr>
          <w:szCs w:val="23"/>
        </w:rPr>
        <w:t xml:space="preserve">notes that </w:t>
      </w:r>
      <w:r>
        <w:rPr>
          <w:szCs w:val="23"/>
        </w:rPr>
        <w:t xml:space="preserve">several jurisdictions have commenced reviews into their juvenile justice systems, and </w:t>
      </w:r>
      <w:r w:rsidRPr="00D93AB6">
        <w:rPr>
          <w:szCs w:val="23"/>
        </w:rPr>
        <w:t>some jurisdictions have progressed the use of non-custodial measures and strengthened diversionary programs.</w:t>
      </w:r>
      <w:r w:rsidRPr="00D93AB6">
        <w:rPr>
          <w:szCs w:val="23"/>
          <w:vertAlign w:val="superscript"/>
        </w:rPr>
        <w:endnoteReference w:id="128"/>
      </w:r>
    </w:p>
    <w:p w14:paraId="09E4CDDB" w14:textId="3D486F94" w:rsidR="00704CA7" w:rsidRPr="00FB2527" w:rsidRDefault="00704CA7" w:rsidP="00E90792">
      <w:pPr>
        <w:pStyle w:val="SubmissionNormal"/>
        <w:numPr>
          <w:ilvl w:val="0"/>
          <w:numId w:val="52"/>
        </w:numPr>
        <w:rPr>
          <w:rFonts w:cs="Arial"/>
          <w:b/>
        </w:rPr>
      </w:pPr>
      <w:r>
        <w:rPr>
          <w:b/>
        </w:rPr>
        <w:t>That t</w:t>
      </w:r>
      <w:r w:rsidRPr="00D33B78">
        <w:rPr>
          <w:b/>
        </w:rPr>
        <w:t xml:space="preserve">he </w:t>
      </w:r>
      <w:r w:rsidR="0070216C">
        <w:rPr>
          <w:b/>
        </w:rPr>
        <w:t xml:space="preserve">Australian </w:t>
      </w:r>
      <w:r w:rsidRPr="00D33B78">
        <w:rPr>
          <w:b/>
        </w:rPr>
        <w:t xml:space="preserve">Government </w:t>
      </w:r>
      <w:r>
        <w:rPr>
          <w:b/>
        </w:rPr>
        <w:t>implement</w:t>
      </w:r>
      <w:r w:rsidRPr="00D33B78">
        <w:rPr>
          <w:b/>
        </w:rPr>
        <w:t xml:space="preserve"> the </w:t>
      </w:r>
      <w:r>
        <w:rPr>
          <w:b/>
        </w:rPr>
        <w:t xml:space="preserve">National Children’s Commissioner’s </w:t>
      </w:r>
      <w:r w:rsidRPr="00D33B78">
        <w:rPr>
          <w:b/>
        </w:rPr>
        <w:t>recommendations in t</w:t>
      </w:r>
      <w:r>
        <w:rPr>
          <w:b/>
        </w:rPr>
        <w:t xml:space="preserve">he </w:t>
      </w:r>
      <w:r w:rsidRPr="00DB42DB">
        <w:rPr>
          <w:b/>
          <w:i/>
        </w:rPr>
        <w:t>Children’s Rights Report 2016</w:t>
      </w:r>
      <w:r>
        <w:rPr>
          <w:b/>
        </w:rPr>
        <w:t xml:space="preserve"> (Chapter 3</w:t>
      </w:r>
      <w:r w:rsidRPr="00D33B78">
        <w:rPr>
          <w:b/>
        </w:rPr>
        <w:t>).</w:t>
      </w:r>
    </w:p>
    <w:p w14:paraId="29BA0B39" w14:textId="4E02B940" w:rsidR="00704CA7" w:rsidRPr="001B5BDA" w:rsidRDefault="00704CA7" w:rsidP="00E90792">
      <w:pPr>
        <w:pStyle w:val="SubmissionNormal"/>
        <w:numPr>
          <w:ilvl w:val="0"/>
          <w:numId w:val="52"/>
        </w:numPr>
        <w:rPr>
          <w:b/>
        </w:rPr>
      </w:pPr>
      <w:r w:rsidRPr="001B5BDA">
        <w:rPr>
          <w:b/>
        </w:rPr>
        <w:t xml:space="preserve">That </w:t>
      </w:r>
      <w:r w:rsidR="00831606">
        <w:rPr>
          <w:b/>
        </w:rPr>
        <w:t xml:space="preserve">all </w:t>
      </w:r>
      <w:r w:rsidR="0070216C">
        <w:rPr>
          <w:b/>
        </w:rPr>
        <w:t xml:space="preserve">Australian </w:t>
      </w:r>
      <w:r w:rsidR="00514832">
        <w:rPr>
          <w:b/>
        </w:rPr>
        <w:t>Government</w:t>
      </w:r>
      <w:r w:rsidR="00831606">
        <w:rPr>
          <w:b/>
        </w:rPr>
        <w:t>s</w:t>
      </w:r>
      <w:r w:rsidR="00514832">
        <w:rPr>
          <w:b/>
        </w:rPr>
        <w:t xml:space="preserve"> develop </w:t>
      </w:r>
      <w:r w:rsidRPr="001B5BDA">
        <w:rPr>
          <w:b/>
        </w:rPr>
        <w:t xml:space="preserve">alternative </w:t>
      </w:r>
      <w:r>
        <w:rPr>
          <w:b/>
        </w:rPr>
        <w:t xml:space="preserve">behaviour </w:t>
      </w:r>
      <w:r w:rsidRPr="001B5BDA">
        <w:rPr>
          <w:b/>
        </w:rPr>
        <w:t xml:space="preserve">management techniques to </w:t>
      </w:r>
      <w:r>
        <w:rPr>
          <w:rFonts w:cs="Arial"/>
          <w:b/>
        </w:rPr>
        <w:t xml:space="preserve">reduce the use of </w:t>
      </w:r>
      <w:r>
        <w:rPr>
          <w:rFonts w:cs="Arial"/>
          <w:b/>
        </w:rPr>
        <w:lastRenderedPageBreak/>
        <w:t xml:space="preserve">force, </w:t>
      </w:r>
      <w:r w:rsidRPr="001B5BDA">
        <w:rPr>
          <w:rFonts w:cs="Arial"/>
          <w:b/>
        </w:rPr>
        <w:t>isolation</w:t>
      </w:r>
      <w:r>
        <w:rPr>
          <w:rFonts w:cs="Arial"/>
          <w:b/>
        </w:rPr>
        <w:t xml:space="preserve"> and restraints</w:t>
      </w:r>
      <w:r w:rsidRPr="001B5BDA">
        <w:rPr>
          <w:rFonts w:cs="Arial"/>
          <w:b/>
        </w:rPr>
        <w:t xml:space="preserve"> </w:t>
      </w:r>
      <w:r>
        <w:rPr>
          <w:rFonts w:cs="Arial"/>
          <w:b/>
        </w:rPr>
        <w:t xml:space="preserve">against children </w:t>
      </w:r>
      <w:r w:rsidRPr="001B5BDA">
        <w:rPr>
          <w:rFonts w:cs="Arial"/>
          <w:b/>
        </w:rPr>
        <w:t>in juvenile detention facilities.</w:t>
      </w:r>
    </w:p>
    <w:p w14:paraId="614D5A2E" w14:textId="0EEC8698" w:rsidR="00704CA7" w:rsidRPr="003E2151" w:rsidRDefault="00704CA7" w:rsidP="00E90792">
      <w:pPr>
        <w:pStyle w:val="SubmissionNormal"/>
        <w:numPr>
          <w:ilvl w:val="0"/>
          <w:numId w:val="52"/>
        </w:numPr>
        <w:rPr>
          <w:rFonts w:cs="Arial"/>
          <w:b/>
        </w:rPr>
      </w:pPr>
      <w:r>
        <w:rPr>
          <w:b/>
          <w:szCs w:val="23"/>
        </w:rPr>
        <w:t xml:space="preserve">That </w:t>
      </w:r>
      <w:r w:rsidR="00131F5C">
        <w:rPr>
          <w:b/>
          <w:szCs w:val="23"/>
        </w:rPr>
        <w:t xml:space="preserve">all </w:t>
      </w:r>
      <w:r w:rsidR="00D57A5D">
        <w:rPr>
          <w:b/>
          <w:szCs w:val="23"/>
        </w:rPr>
        <w:t xml:space="preserve">Australian </w:t>
      </w:r>
      <w:r>
        <w:rPr>
          <w:b/>
          <w:szCs w:val="23"/>
        </w:rPr>
        <w:t>Government</w:t>
      </w:r>
      <w:r w:rsidR="00D57A5D">
        <w:rPr>
          <w:b/>
          <w:szCs w:val="23"/>
        </w:rPr>
        <w:t>s</w:t>
      </w:r>
      <w:r>
        <w:rPr>
          <w:b/>
          <w:szCs w:val="23"/>
        </w:rPr>
        <w:t xml:space="preserve"> c</w:t>
      </w:r>
      <w:r w:rsidRPr="00CA605D">
        <w:rPr>
          <w:b/>
          <w:szCs w:val="23"/>
        </w:rPr>
        <w:t>ease detention of children in adult facilities.</w:t>
      </w:r>
    </w:p>
    <w:p w14:paraId="6F8973B2" w14:textId="22F42B52" w:rsidR="00704CA7" w:rsidRPr="007A19D6" w:rsidRDefault="00704CA7" w:rsidP="00E90792">
      <w:pPr>
        <w:pStyle w:val="SubmissionNormal"/>
        <w:numPr>
          <w:ilvl w:val="0"/>
          <w:numId w:val="52"/>
        </w:numPr>
        <w:rPr>
          <w:rFonts w:cs="Arial"/>
          <w:b/>
        </w:rPr>
      </w:pPr>
      <w:r w:rsidRPr="007A19D6">
        <w:rPr>
          <w:b/>
        </w:rPr>
        <w:t xml:space="preserve">That </w:t>
      </w:r>
      <w:r w:rsidR="0070216C">
        <w:rPr>
          <w:b/>
        </w:rPr>
        <w:t xml:space="preserve">all Australian </w:t>
      </w:r>
      <w:r w:rsidRPr="007A19D6">
        <w:rPr>
          <w:b/>
          <w:szCs w:val="23"/>
        </w:rPr>
        <w:t>Government</w:t>
      </w:r>
      <w:r w:rsidR="0070216C">
        <w:rPr>
          <w:b/>
          <w:szCs w:val="23"/>
        </w:rPr>
        <w:t>s</w:t>
      </w:r>
      <w:r w:rsidRPr="007A19D6">
        <w:rPr>
          <w:b/>
          <w:szCs w:val="23"/>
        </w:rPr>
        <w:t xml:space="preserve"> expand the use of diversionary programs for </w:t>
      </w:r>
      <w:r>
        <w:rPr>
          <w:b/>
          <w:szCs w:val="23"/>
        </w:rPr>
        <w:t>children and young people</w:t>
      </w:r>
      <w:r w:rsidRPr="007A19D6">
        <w:rPr>
          <w:b/>
          <w:szCs w:val="23"/>
        </w:rPr>
        <w:t>.</w:t>
      </w:r>
    </w:p>
    <w:p w14:paraId="07285D77" w14:textId="77777777" w:rsidR="00704CA7" w:rsidRDefault="00704CA7" w:rsidP="00704CA7">
      <w:pPr>
        <w:pStyle w:val="Heading3"/>
      </w:pPr>
      <w:bookmarkStart w:id="87" w:name="_Toc491243315"/>
      <w:bookmarkStart w:id="88" w:name="_Toc493489628"/>
      <w:r>
        <w:t>Mandatory sentencing</w:t>
      </w:r>
      <w:bookmarkEnd w:id="87"/>
      <w:bookmarkEnd w:id="88"/>
    </w:p>
    <w:p w14:paraId="329663FD" w14:textId="7C9ED1EF" w:rsidR="00704CA7" w:rsidRPr="007A19D6" w:rsidRDefault="00704CA7" w:rsidP="00704CA7">
      <w:pPr>
        <w:pStyle w:val="SubmissionNormal"/>
      </w:pPr>
      <w:r>
        <w:t xml:space="preserve">In the </w:t>
      </w:r>
      <w:r w:rsidRPr="007276EE">
        <w:rPr>
          <w:i/>
        </w:rPr>
        <w:t>Children’s Rights Report</w:t>
      </w:r>
      <w:r>
        <w:t xml:space="preserve"> </w:t>
      </w:r>
      <w:r>
        <w:rPr>
          <w:i/>
        </w:rPr>
        <w:t>2016</w:t>
      </w:r>
      <w:r>
        <w:t>, it was reported that Western Australia’s</w:t>
      </w:r>
      <w:r w:rsidRPr="007A19D6">
        <w:t xml:space="preserve"> mandatory minimum sentencing laws arguably contribute to the comparatively high rates of detention and the overrepresentation of young Aboriginal people in Banksia Hill</w:t>
      </w:r>
      <w:r w:rsidR="00FB0E02">
        <w:t xml:space="preserve"> Detention Centre</w:t>
      </w:r>
      <w:r w:rsidRPr="007A19D6">
        <w:t>.</w:t>
      </w:r>
      <w:r>
        <w:rPr>
          <w:rStyle w:val="EndnoteReference"/>
        </w:rPr>
        <w:endnoteReference w:id="129"/>
      </w:r>
      <w:r>
        <w:t xml:space="preserve"> </w:t>
      </w:r>
    </w:p>
    <w:p w14:paraId="4E86BEDF" w14:textId="73E8A705" w:rsidR="00704CA7" w:rsidRPr="00DA0C09" w:rsidRDefault="00704CA7" w:rsidP="00E90792">
      <w:pPr>
        <w:pStyle w:val="SubmissionNormal"/>
        <w:numPr>
          <w:ilvl w:val="0"/>
          <w:numId w:val="52"/>
        </w:numPr>
        <w:rPr>
          <w:rFonts w:cs="Arial"/>
          <w:b/>
        </w:rPr>
      </w:pPr>
      <w:r w:rsidRPr="00DA0C09">
        <w:rPr>
          <w:b/>
        </w:rPr>
        <w:t>That mandatory sentencing for children and young people should be discontinued in all jurisdictions.</w:t>
      </w:r>
    </w:p>
    <w:p w14:paraId="22554250" w14:textId="77777777" w:rsidR="00704CA7" w:rsidRDefault="00704CA7" w:rsidP="00704CA7">
      <w:pPr>
        <w:pStyle w:val="Heading3"/>
      </w:pPr>
      <w:bookmarkStart w:id="89" w:name="_Toc491243316"/>
      <w:bookmarkStart w:id="90" w:name="_Toc493489629"/>
      <w:r>
        <w:t>Minimum age of criminal responsibility</w:t>
      </w:r>
      <w:bookmarkEnd w:id="89"/>
      <w:bookmarkEnd w:id="90"/>
      <w:r>
        <w:t xml:space="preserve"> </w:t>
      </w:r>
    </w:p>
    <w:p w14:paraId="3BDDAD9C" w14:textId="77777777" w:rsidR="00704CA7" w:rsidRDefault="00704CA7" w:rsidP="00704CA7">
      <w:pPr>
        <w:pStyle w:val="SubmissionNormal"/>
      </w:pPr>
      <w:r>
        <w:t>The Commission continues to express concern about the lack of action on raising the minimum age of criminal responsibility to an internationally</w:t>
      </w:r>
      <w:r w:rsidR="00D57A5D">
        <w:t>-</w:t>
      </w:r>
      <w:r>
        <w:t>accepted level.</w:t>
      </w:r>
      <w:r>
        <w:rPr>
          <w:rStyle w:val="EndnoteReference"/>
        </w:rPr>
        <w:endnoteReference w:id="130"/>
      </w:r>
    </w:p>
    <w:p w14:paraId="425A1C81" w14:textId="6EC3FD6F" w:rsidR="00704CA7" w:rsidRPr="00D47BD3" w:rsidRDefault="00704CA7" w:rsidP="00E90792">
      <w:pPr>
        <w:pStyle w:val="SubmissionNormal"/>
        <w:numPr>
          <w:ilvl w:val="0"/>
          <w:numId w:val="52"/>
        </w:numPr>
        <w:rPr>
          <w:rFonts w:cs="Arial"/>
          <w:b/>
        </w:rPr>
      </w:pPr>
      <w:r>
        <w:rPr>
          <w:b/>
          <w:szCs w:val="23"/>
        </w:rPr>
        <w:t>T</w:t>
      </w:r>
      <w:r w:rsidRPr="00E54D64">
        <w:rPr>
          <w:b/>
          <w:szCs w:val="23"/>
        </w:rPr>
        <w:t xml:space="preserve">hat the age of criminal responsibility should be raised from 10 years to 12 years in the first instance, with preservation of </w:t>
      </w:r>
      <w:r>
        <w:rPr>
          <w:b/>
          <w:szCs w:val="23"/>
        </w:rPr>
        <w:t xml:space="preserve">the common law presumption of </w:t>
      </w:r>
      <w:r w:rsidRPr="00E54D64">
        <w:rPr>
          <w:b/>
          <w:i/>
          <w:szCs w:val="23"/>
        </w:rPr>
        <w:t>doli incapax</w:t>
      </w:r>
      <w:r w:rsidRPr="00E54D64">
        <w:rPr>
          <w:b/>
          <w:szCs w:val="23"/>
        </w:rPr>
        <w:t>.</w:t>
      </w:r>
    </w:p>
    <w:p w14:paraId="16044ABF" w14:textId="70E6F573" w:rsidR="000D4E69" w:rsidRPr="004E46B3" w:rsidRDefault="000D4E69" w:rsidP="000D4E69">
      <w:pPr>
        <w:pStyle w:val="Heading1"/>
      </w:pPr>
      <w:bookmarkStart w:id="91" w:name="_Toc493489630"/>
      <w:r w:rsidRPr="004E46B3">
        <w:t xml:space="preserve">Rights and </w:t>
      </w:r>
      <w:r w:rsidR="00894110">
        <w:t>f</w:t>
      </w:r>
      <w:r w:rsidRPr="004E46B3">
        <w:t>reedoms</w:t>
      </w:r>
      <w:bookmarkEnd w:id="91"/>
    </w:p>
    <w:p w14:paraId="3DB4389C" w14:textId="77777777" w:rsidR="000D4E69" w:rsidRPr="00DD66E0" w:rsidRDefault="000D4E69" w:rsidP="000D4E69">
      <w:pPr>
        <w:pStyle w:val="Heading2"/>
      </w:pPr>
      <w:bookmarkStart w:id="92" w:name="_Freedom_of_religion"/>
      <w:bookmarkStart w:id="93" w:name="_Toc476059377"/>
      <w:bookmarkStart w:id="94" w:name="_Toc493489631"/>
      <w:bookmarkEnd w:id="92"/>
      <w:r w:rsidRPr="00DD66E0">
        <w:t>Freedom of religion</w:t>
      </w:r>
      <w:bookmarkEnd w:id="93"/>
      <w:r w:rsidR="00FB1F5F">
        <w:t xml:space="preserve"> (ICCPR </w:t>
      </w:r>
      <w:r w:rsidR="009B0AD2">
        <w:t>a</w:t>
      </w:r>
      <w:r w:rsidR="00FB1F5F">
        <w:t>rticles 18 &amp; 27; LOI 21)</w:t>
      </w:r>
      <w:bookmarkEnd w:id="94"/>
    </w:p>
    <w:p w14:paraId="45EC8D7E" w14:textId="77777777" w:rsidR="000D4E69" w:rsidRDefault="000D4E69" w:rsidP="000D4E69">
      <w:pPr>
        <w:pStyle w:val="SubmissionNormal"/>
        <w:tabs>
          <w:tab w:val="clear" w:pos="720"/>
        </w:tabs>
      </w:pPr>
      <w:r w:rsidRPr="00023D0D">
        <w:t xml:space="preserve">The Commission </w:t>
      </w:r>
      <w:r>
        <w:t>notes</w:t>
      </w:r>
      <w:r w:rsidRPr="00023D0D">
        <w:t xml:space="preserve"> that people in Australia generally </w:t>
      </w:r>
      <w:r w:rsidR="00D57A5D">
        <w:t xml:space="preserve">can </w:t>
      </w:r>
      <w:r w:rsidRPr="00023D0D">
        <w:t>manifest their religion or belief without signif</w:t>
      </w:r>
      <w:r>
        <w:t>icant obstacles or impediments. However, discrimination</w:t>
      </w:r>
      <w:r w:rsidR="00466555">
        <w:t xml:space="preserve"> on the basis of religion</w:t>
      </w:r>
      <w:r>
        <w:t xml:space="preserve"> may occur </w:t>
      </w:r>
      <w:r w:rsidR="00466555">
        <w:t>through</w:t>
      </w:r>
      <w:r>
        <w:t xml:space="preserve"> public harassment, prejudice, violence, and myriad forms of unequal treatment. </w:t>
      </w:r>
    </w:p>
    <w:p w14:paraId="1EFCE5EE" w14:textId="77777777" w:rsidR="000D4E69" w:rsidRPr="00023D0D" w:rsidRDefault="000D4E69" w:rsidP="000D4E69">
      <w:pPr>
        <w:pStyle w:val="SubmissionNormal"/>
        <w:tabs>
          <w:tab w:val="clear" w:pos="720"/>
        </w:tabs>
      </w:pPr>
      <w:r>
        <w:t xml:space="preserve">Fear of discrimination and prejudice may restrict people from practising their religion, disclosing to others </w:t>
      </w:r>
      <w:r w:rsidR="00D57A5D">
        <w:t>their</w:t>
      </w:r>
      <w:r>
        <w:t xml:space="preserve"> religious</w:t>
      </w:r>
      <w:r w:rsidR="00D57A5D">
        <w:t xml:space="preserve"> belief or affiliation</w:t>
      </w:r>
      <w:r>
        <w:t xml:space="preserve">, or presenting themselves as visibly religious (such as through their clothing). </w:t>
      </w:r>
      <w:r w:rsidR="00D57A5D">
        <w:t xml:space="preserve">Some </w:t>
      </w:r>
      <w:r>
        <w:t xml:space="preserve">Muslim Australians, for instance, have altered their participation in public life and cancelled public events due to fears of being attacked or abused for their </w:t>
      </w:r>
      <w:r w:rsidRPr="00023D0D">
        <w:t>religion.</w:t>
      </w:r>
      <w:r w:rsidRPr="00023D0D">
        <w:rPr>
          <w:rStyle w:val="EndnoteReference"/>
        </w:rPr>
        <w:endnoteReference w:id="131"/>
      </w:r>
      <w:r w:rsidRPr="00023D0D">
        <w:t xml:space="preserve"> </w:t>
      </w:r>
    </w:p>
    <w:p w14:paraId="670D960E" w14:textId="6CC58C1A" w:rsidR="000D4E69" w:rsidRPr="004D600F" w:rsidRDefault="000D4E69" w:rsidP="000D4E69">
      <w:pPr>
        <w:pStyle w:val="SubmissionNormal"/>
        <w:tabs>
          <w:tab w:val="clear" w:pos="720"/>
        </w:tabs>
      </w:pPr>
      <w:r>
        <w:t>Attacks on places of worship and on pe</w:t>
      </w:r>
      <w:r w:rsidR="00F918FC">
        <w:t xml:space="preserve">ople who are visibly religious </w:t>
      </w:r>
      <w:r>
        <w:t>are regularly reported in the news media. Attacks on and threats towards mosques and Islamic prayer rooms,</w:t>
      </w:r>
      <w:r>
        <w:rPr>
          <w:rStyle w:val="EndnoteReference"/>
        </w:rPr>
        <w:endnoteReference w:id="132"/>
      </w:r>
      <w:r>
        <w:t xml:space="preserve"> synagogues,</w:t>
      </w:r>
      <w:r>
        <w:rPr>
          <w:rStyle w:val="EndnoteReference"/>
        </w:rPr>
        <w:endnoteReference w:id="133"/>
      </w:r>
      <w:r>
        <w:t xml:space="preserve"> and churches</w:t>
      </w:r>
      <w:r>
        <w:rPr>
          <w:rStyle w:val="EndnoteReference"/>
        </w:rPr>
        <w:endnoteReference w:id="134"/>
      </w:r>
      <w:r w:rsidR="00B41F45">
        <w:t xml:space="preserve"> occur</w:t>
      </w:r>
      <w:r>
        <w:t>, as do instances of public abuse and physical attack on people perceived to belong to a particular religion, such as Muslims,</w:t>
      </w:r>
      <w:r>
        <w:rPr>
          <w:rStyle w:val="EndnoteReference"/>
        </w:rPr>
        <w:endnoteReference w:id="135"/>
      </w:r>
      <w:r w:rsidR="00FB0E02">
        <w:t xml:space="preserve"> Jews</w:t>
      </w:r>
      <w:r>
        <w:rPr>
          <w:rStyle w:val="EndnoteReference"/>
        </w:rPr>
        <w:endnoteReference w:id="136"/>
      </w:r>
      <w:r>
        <w:t xml:space="preserve"> and Sikhs.</w:t>
      </w:r>
      <w:r>
        <w:rPr>
          <w:rStyle w:val="EndnoteReference"/>
        </w:rPr>
        <w:endnoteReference w:id="137"/>
      </w:r>
      <w:r>
        <w:t xml:space="preserve">  </w:t>
      </w:r>
    </w:p>
    <w:p w14:paraId="0F427294" w14:textId="77777777" w:rsidR="000D4E69" w:rsidRDefault="00B3444F" w:rsidP="000D4E69">
      <w:pPr>
        <w:pStyle w:val="SubmissionNormal"/>
        <w:tabs>
          <w:tab w:val="clear" w:pos="720"/>
        </w:tabs>
      </w:pPr>
      <w:r>
        <w:lastRenderedPageBreak/>
        <w:t>The Commission notes that f</w:t>
      </w:r>
      <w:r w:rsidR="000D4E69">
        <w:t xml:space="preserve">reedom of religion or belief is not directly protected under federal anti-discrimination law. </w:t>
      </w:r>
      <w:r w:rsidR="004269FB">
        <w:t xml:space="preserve">The Commission </w:t>
      </w:r>
      <w:r>
        <w:t>considers</w:t>
      </w:r>
      <w:r w:rsidR="004269FB">
        <w:t xml:space="preserve"> that </w:t>
      </w:r>
      <w:r w:rsidR="00361B48">
        <w:t>consideration should be given to how federal law could further incorporate international human rights law relating to religion, so as better to protect people from discrimination and other breaches of human rights on the basis of their religious belief and observance</w:t>
      </w:r>
      <w:r w:rsidR="000D4E69">
        <w:t xml:space="preserve">. </w:t>
      </w:r>
    </w:p>
    <w:p w14:paraId="033242EE" w14:textId="18578CF7" w:rsidR="00D53D10" w:rsidRDefault="00D53D10" w:rsidP="000D4E69">
      <w:pPr>
        <w:pStyle w:val="SubmissionNormal"/>
        <w:tabs>
          <w:tab w:val="clear" w:pos="720"/>
        </w:tabs>
      </w:pPr>
      <w:r>
        <w:t>The Commission notes that a parliamentary inquiry is underway relating to the status of the right to freedom of religion in Australia.</w:t>
      </w:r>
      <w:r>
        <w:rPr>
          <w:rStyle w:val="EndnoteReference"/>
        </w:rPr>
        <w:endnoteReference w:id="138"/>
      </w:r>
    </w:p>
    <w:p w14:paraId="3A3E498D" w14:textId="71C78DE2" w:rsidR="000D4E69" w:rsidRPr="00AE6045" w:rsidRDefault="000D4E69" w:rsidP="00E90792">
      <w:pPr>
        <w:pStyle w:val="SubmissionNormal"/>
        <w:numPr>
          <w:ilvl w:val="0"/>
          <w:numId w:val="52"/>
        </w:numPr>
        <w:rPr>
          <w:b/>
        </w:rPr>
      </w:pPr>
      <w:r w:rsidRPr="00AE6045">
        <w:rPr>
          <w:b/>
        </w:rPr>
        <w:t xml:space="preserve">That the </w:t>
      </w:r>
      <w:r w:rsidR="0070216C">
        <w:rPr>
          <w:b/>
        </w:rPr>
        <w:t xml:space="preserve">Australian </w:t>
      </w:r>
      <w:r w:rsidRPr="00AE6045">
        <w:rPr>
          <w:b/>
        </w:rPr>
        <w:t xml:space="preserve">Government consider </w:t>
      </w:r>
      <w:r w:rsidR="00361B48" w:rsidRPr="00361B48">
        <w:rPr>
          <w:b/>
        </w:rPr>
        <w:t xml:space="preserve">how </w:t>
      </w:r>
      <w:r w:rsidR="00361B48">
        <w:rPr>
          <w:b/>
        </w:rPr>
        <w:t xml:space="preserve">Australian </w:t>
      </w:r>
      <w:r w:rsidR="00361B48" w:rsidRPr="00361B48">
        <w:rPr>
          <w:b/>
        </w:rPr>
        <w:t xml:space="preserve">law could further incorporate international human rights law relating </w:t>
      </w:r>
      <w:r w:rsidR="00361B48">
        <w:rPr>
          <w:b/>
        </w:rPr>
        <w:t>to religious belief and observance</w:t>
      </w:r>
      <w:r w:rsidRPr="00AE6045">
        <w:rPr>
          <w:b/>
        </w:rPr>
        <w:t xml:space="preserve">. </w:t>
      </w:r>
    </w:p>
    <w:p w14:paraId="02987CB2" w14:textId="77777777" w:rsidR="000D4E69" w:rsidRPr="00251E95" w:rsidRDefault="000D4E69" w:rsidP="000D4E69">
      <w:pPr>
        <w:pStyle w:val="Heading2"/>
      </w:pPr>
      <w:bookmarkStart w:id="95" w:name="_Toc493489632"/>
      <w:r w:rsidRPr="00251E95">
        <w:t xml:space="preserve">Freedom of </w:t>
      </w:r>
      <w:r w:rsidR="00361B48">
        <w:t xml:space="preserve">expression </w:t>
      </w:r>
      <w:r w:rsidR="00FB1F5F">
        <w:t xml:space="preserve">(ICCPR </w:t>
      </w:r>
      <w:r w:rsidR="009B0AD2">
        <w:t>a</w:t>
      </w:r>
      <w:r w:rsidR="00FB1F5F">
        <w:t>rticle 19)</w:t>
      </w:r>
      <w:bookmarkEnd w:id="95"/>
    </w:p>
    <w:p w14:paraId="2EF4744F" w14:textId="77777777" w:rsidR="00503259" w:rsidRDefault="00503259" w:rsidP="00503259">
      <w:pPr>
        <w:pStyle w:val="Heading3"/>
      </w:pPr>
      <w:bookmarkStart w:id="96" w:name="_Toc493489633"/>
      <w:r>
        <w:t>Secrecy laws</w:t>
      </w:r>
      <w:bookmarkEnd w:id="96"/>
    </w:p>
    <w:p w14:paraId="731EC4A7" w14:textId="77777777" w:rsidR="00503259" w:rsidRDefault="00503259" w:rsidP="00B82DF8">
      <w:pPr>
        <w:pStyle w:val="SubmissionNormal"/>
      </w:pPr>
      <w:r>
        <w:t xml:space="preserve">The Commission notes the ALRC’s 2009 </w:t>
      </w:r>
      <w:r w:rsidR="00B3444F">
        <w:t>report</w:t>
      </w:r>
      <w:r w:rsidR="0060059F">
        <w:t>,</w:t>
      </w:r>
      <w:r w:rsidR="00B3444F">
        <w:t xml:space="preserve"> </w:t>
      </w:r>
      <w:r>
        <w:rPr>
          <w:i/>
        </w:rPr>
        <w:t>Secrecy Laws and Open Government</w:t>
      </w:r>
      <w:r>
        <w:t>.</w:t>
      </w:r>
      <w:r>
        <w:rPr>
          <w:rStyle w:val="EndnoteReference"/>
        </w:rPr>
        <w:endnoteReference w:id="139"/>
      </w:r>
    </w:p>
    <w:p w14:paraId="720C16C6" w14:textId="5E982672" w:rsidR="00077825" w:rsidRDefault="0060059F">
      <w:pPr>
        <w:pStyle w:val="SubmissionNormal"/>
        <w:tabs>
          <w:tab w:val="clear" w:pos="720"/>
        </w:tabs>
      </w:pPr>
      <w:r>
        <w:t xml:space="preserve">The Commission is concerned about provisions in </w:t>
      </w:r>
      <w:r w:rsidR="00320E2E">
        <w:t xml:space="preserve">the </w:t>
      </w:r>
      <w:r w:rsidR="00B3444F">
        <w:rPr>
          <w:i/>
        </w:rPr>
        <w:t xml:space="preserve">Australian </w:t>
      </w:r>
      <w:r w:rsidR="00320E2E" w:rsidRPr="00320E2E">
        <w:rPr>
          <w:i/>
        </w:rPr>
        <w:t>Border Force Act</w:t>
      </w:r>
      <w:r w:rsidR="00320E2E">
        <w:t xml:space="preserve"> </w:t>
      </w:r>
      <w:r w:rsidR="00B3444F">
        <w:rPr>
          <w:i/>
        </w:rPr>
        <w:t xml:space="preserve">2015 </w:t>
      </w:r>
      <w:r w:rsidR="00B3444F">
        <w:t xml:space="preserve">(Cth) </w:t>
      </w:r>
      <w:r>
        <w:t xml:space="preserve">that </w:t>
      </w:r>
      <w:r w:rsidR="00320E2E">
        <w:t>p</w:t>
      </w:r>
      <w:r w:rsidR="00320E2E" w:rsidRPr="00155376">
        <w:t>rohibit disclosure of any information obtained by a person in their official capacity (subject to some exceptions)</w:t>
      </w:r>
      <w:r w:rsidR="00320E2E">
        <w:t>, including those working in immigration detention centres.</w:t>
      </w:r>
      <w:r w:rsidR="00B40544">
        <w:t xml:space="preserve"> </w:t>
      </w:r>
      <w:r>
        <w:t xml:space="preserve">The Commission welcomes the </w:t>
      </w:r>
      <w:r w:rsidRPr="00D95173">
        <w:t>Australian Border Force Amendment (Protected Information) Bill 2017</w:t>
      </w:r>
      <w:r>
        <w:t xml:space="preserve"> (Cth), which would reduce the scope of these criminal secrecy provisions. </w:t>
      </w:r>
      <w:r w:rsidR="004945F9">
        <w:t xml:space="preserve">The Commission has recommended that the Government pass </w:t>
      </w:r>
      <w:r w:rsidR="004945F9" w:rsidRPr="004945F9">
        <w:t>th</w:t>
      </w:r>
      <w:r>
        <w:t xml:space="preserve">is </w:t>
      </w:r>
      <w:r w:rsidR="00DE3EF0">
        <w:t>b</w:t>
      </w:r>
      <w:r>
        <w:t>ill</w:t>
      </w:r>
      <w:r w:rsidR="004945F9" w:rsidRPr="004945F9">
        <w:t xml:space="preserve"> </w:t>
      </w:r>
      <w:r w:rsidR="004945F9">
        <w:t>with certain amendments.</w:t>
      </w:r>
      <w:r w:rsidR="004945F9">
        <w:rPr>
          <w:rStyle w:val="EndnoteReference"/>
        </w:rPr>
        <w:endnoteReference w:id="140"/>
      </w:r>
    </w:p>
    <w:p w14:paraId="54D2A3B0" w14:textId="0E07D6BB" w:rsidR="00503259" w:rsidRPr="00101014" w:rsidRDefault="00503259" w:rsidP="00E90792">
      <w:pPr>
        <w:pStyle w:val="SubmissionNormal"/>
        <w:numPr>
          <w:ilvl w:val="0"/>
          <w:numId w:val="52"/>
        </w:numPr>
      </w:pPr>
      <w:r>
        <w:rPr>
          <w:b/>
        </w:rPr>
        <w:t xml:space="preserve">That </w:t>
      </w:r>
      <w:r w:rsidR="00FD1423">
        <w:rPr>
          <w:b/>
        </w:rPr>
        <w:t xml:space="preserve">the Australian </w:t>
      </w:r>
      <w:r w:rsidR="0060059F">
        <w:rPr>
          <w:b/>
        </w:rPr>
        <w:t>Parliament</w:t>
      </w:r>
      <w:r>
        <w:rPr>
          <w:b/>
        </w:rPr>
        <w:t xml:space="preserve"> pass the </w:t>
      </w:r>
      <w:r w:rsidR="00B82DF8" w:rsidRPr="00131F5C">
        <w:rPr>
          <w:b/>
        </w:rPr>
        <w:t>Australian Border Force Amendment (Protected Information) Bill 2017</w:t>
      </w:r>
      <w:r w:rsidR="0056633E">
        <w:rPr>
          <w:b/>
          <w:i/>
        </w:rPr>
        <w:t xml:space="preserve"> </w:t>
      </w:r>
      <w:r w:rsidR="0060059F">
        <w:rPr>
          <w:b/>
        </w:rPr>
        <w:t xml:space="preserve">(Cth) </w:t>
      </w:r>
      <w:r w:rsidR="0056633E">
        <w:rPr>
          <w:b/>
        </w:rPr>
        <w:t xml:space="preserve">with </w:t>
      </w:r>
      <w:r w:rsidR="004945F9">
        <w:rPr>
          <w:b/>
        </w:rPr>
        <w:t xml:space="preserve">certain </w:t>
      </w:r>
      <w:r w:rsidR="0056633E">
        <w:rPr>
          <w:b/>
        </w:rPr>
        <w:t>amendm</w:t>
      </w:r>
      <w:r w:rsidR="00077825">
        <w:rPr>
          <w:b/>
        </w:rPr>
        <w:t>ents</w:t>
      </w:r>
      <w:r w:rsidR="004945F9">
        <w:rPr>
          <w:b/>
        </w:rPr>
        <w:t>, as</w:t>
      </w:r>
      <w:r w:rsidR="00077825">
        <w:rPr>
          <w:b/>
        </w:rPr>
        <w:t xml:space="preserve"> previously </w:t>
      </w:r>
      <w:r w:rsidR="004945F9">
        <w:rPr>
          <w:b/>
        </w:rPr>
        <w:t>recommended</w:t>
      </w:r>
      <w:r w:rsidR="00077825">
        <w:rPr>
          <w:b/>
        </w:rPr>
        <w:t xml:space="preserve"> by the Commission</w:t>
      </w:r>
      <w:r w:rsidR="00B82DF8" w:rsidRPr="00301F0E">
        <w:rPr>
          <w:b/>
        </w:rPr>
        <w:t>.</w:t>
      </w:r>
      <w:r>
        <w:rPr>
          <w:b/>
        </w:rPr>
        <w:t xml:space="preserve"> </w:t>
      </w:r>
    </w:p>
    <w:p w14:paraId="2FDE7739" w14:textId="5DC58C50" w:rsidR="00503259" w:rsidRPr="00320E2E" w:rsidRDefault="00503259" w:rsidP="00E90792">
      <w:pPr>
        <w:pStyle w:val="SubmissionNormal"/>
        <w:numPr>
          <w:ilvl w:val="0"/>
          <w:numId w:val="52"/>
        </w:numPr>
      </w:pPr>
      <w:r>
        <w:rPr>
          <w:b/>
        </w:rPr>
        <w:t xml:space="preserve">That the </w:t>
      </w:r>
      <w:r w:rsidR="005C5870">
        <w:rPr>
          <w:b/>
        </w:rPr>
        <w:t xml:space="preserve">Australian </w:t>
      </w:r>
      <w:r>
        <w:rPr>
          <w:b/>
        </w:rPr>
        <w:t xml:space="preserve">Government amend other secrecy laws in accordance with the recommendations of the ALRC in its </w:t>
      </w:r>
      <w:r w:rsidRPr="00B3444F">
        <w:rPr>
          <w:b/>
          <w:i/>
        </w:rPr>
        <w:t>Secrecy Laws and Open Governmen</w:t>
      </w:r>
      <w:r>
        <w:rPr>
          <w:b/>
        </w:rPr>
        <w:t xml:space="preserve">t </w:t>
      </w:r>
      <w:r w:rsidR="00B3444F">
        <w:rPr>
          <w:b/>
        </w:rPr>
        <w:t>r</w:t>
      </w:r>
      <w:r>
        <w:rPr>
          <w:b/>
        </w:rPr>
        <w:t xml:space="preserve">eport. </w:t>
      </w:r>
    </w:p>
    <w:p w14:paraId="049088D9" w14:textId="77777777" w:rsidR="00324D76" w:rsidRPr="00320E2E" w:rsidRDefault="00324D76" w:rsidP="00324D76">
      <w:pPr>
        <w:pStyle w:val="Heading3"/>
      </w:pPr>
      <w:bookmarkStart w:id="97" w:name="_Toc493489634"/>
      <w:r>
        <w:t>Anti-protest laws</w:t>
      </w:r>
      <w:bookmarkEnd w:id="97"/>
    </w:p>
    <w:p w14:paraId="37DE96B8" w14:textId="77777777" w:rsidR="00324D76" w:rsidRDefault="00324D76" w:rsidP="00324D76">
      <w:pPr>
        <w:pStyle w:val="SubmissionNormal"/>
      </w:pPr>
      <w:r>
        <w:t xml:space="preserve">The Commission </w:t>
      </w:r>
      <w:r w:rsidR="004056B3">
        <w:t xml:space="preserve">notes </w:t>
      </w:r>
      <w:r>
        <w:t>that Tasmania has introduced anti-protest laws in order to protect business interests</w:t>
      </w:r>
      <w:r w:rsidR="0060059F">
        <w:t>,</w:t>
      </w:r>
      <w:r>
        <w:rPr>
          <w:rStyle w:val="EndnoteReference"/>
        </w:rPr>
        <w:endnoteReference w:id="141"/>
      </w:r>
      <w:r>
        <w:t xml:space="preserve"> and that Queensland passed anti-protest laws in connection with the G20 Summit.</w:t>
      </w:r>
      <w:r>
        <w:rPr>
          <w:rStyle w:val="EndnoteReference"/>
        </w:rPr>
        <w:endnoteReference w:id="142"/>
      </w:r>
      <w:r w:rsidR="004056B3">
        <w:t xml:space="preserve"> The Commission is concerned that these laws impinge disproportionately on democratic rights and freedoms including the freedoms of expression, association and peaceful assembly.</w:t>
      </w:r>
    </w:p>
    <w:p w14:paraId="7148D8EC" w14:textId="1F1A3AEB" w:rsidR="00324D76" w:rsidRPr="008137CC" w:rsidRDefault="00324D76" w:rsidP="00E90792">
      <w:pPr>
        <w:pStyle w:val="SubmissionNormal"/>
        <w:numPr>
          <w:ilvl w:val="0"/>
          <w:numId w:val="52"/>
        </w:numPr>
      </w:pPr>
      <w:r>
        <w:rPr>
          <w:b/>
        </w:rPr>
        <w:t xml:space="preserve">That </w:t>
      </w:r>
      <w:r w:rsidR="004056B3">
        <w:rPr>
          <w:b/>
        </w:rPr>
        <w:t>Australian parliaments</w:t>
      </w:r>
      <w:r>
        <w:rPr>
          <w:b/>
        </w:rPr>
        <w:t xml:space="preserve"> </w:t>
      </w:r>
      <w:r w:rsidR="00894110">
        <w:rPr>
          <w:b/>
        </w:rPr>
        <w:t>ensure that</w:t>
      </w:r>
      <w:r w:rsidR="004056B3">
        <w:rPr>
          <w:b/>
        </w:rPr>
        <w:t xml:space="preserve"> </w:t>
      </w:r>
      <w:r>
        <w:rPr>
          <w:b/>
        </w:rPr>
        <w:t>all laws</w:t>
      </w:r>
      <w:r w:rsidR="00AA2432">
        <w:rPr>
          <w:b/>
        </w:rPr>
        <w:t xml:space="preserve"> </w:t>
      </w:r>
      <w:r w:rsidR="004056B3">
        <w:rPr>
          <w:b/>
        </w:rPr>
        <w:t xml:space="preserve">that </w:t>
      </w:r>
      <w:r>
        <w:rPr>
          <w:b/>
        </w:rPr>
        <w:t>regulat</w:t>
      </w:r>
      <w:r w:rsidR="004056B3">
        <w:rPr>
          <w:b/>
        </w:rPr>
        <w:t>e</w:t>
      </w:r>
      <w:r>
        <w:rPr>
          <w:b/>
        </w:rPr>
        <w:t xml:space="preserve"> protest activity </w:t>
      </w:r>
      <w:r w:rsidR="004056B3">
        <w:rPr>
          <w:b/>
        </w:rPr>
        <w:t xml:space="preserve">do not impinge disproportionately on </w:t>
      </w:r>
      <w:r>
        <w:rPr>
          <w:b/>
        </w:rPr>
        <w:t xml:space="preserve">freedom of </w:t>
      </w:r>
      <w:r w:rsidR="004056B3">
        <w:rPr>
          <w:b/>
        </w:rPr>
        <w:t>expression</w:t>
      </w:r>
      <w:r>
        <w:rPr>
          <w:b/>
        </w:rPr>
        <w:t xml:space="preserve">, freedom of association and freedom of peaceful assembly. </w:t>
      </w:r>
    </w:p>
    <w:p w14:paraId="12B6CBE6" w14:textId="77777777" w:rsidR="00320E2E" w:rsidRPr="00320E2E" w:rsidRDefault="00320E2E" w:rsidP="00320E2E">
      <w:pPr>
        <w:pStyle w:val="Heading3"/>
      </w:pPr>
      <w:bookmarkStart w:id="98" w:name="_Toc493489635"/>
      <w:r w:rsidRPr="00320E2E">
        <w:lastRenderedPageBreak/>
        <w:t>Freedom to advocate</w:t>
      </w:r>
      <w:bookmarkEnd w:id="98"/>
    </w:p>
    <w:p w14:paraId="09B8FB44" w14:textId="5891DC2C" w:rsidR="00320E2E" w:rsidRDefault="00320E2E" w:rsidP="00415415">
      <w:pPr>
        <w:pStyle w:val="SubmissionNormal"/>
      </w:pPr>
      <w:r>
        <w:t xml:space="preserve">The Commission is concerned that </w:t>
      </w:r>
      <w:r w:rsidR="009D50FF">
        <w:t xml:space="preserve">the Government’s </w:t>
      </w:r>
      <w:r w:rsidR="009D50FF" w:rsidRPr="009D50FF">
        <w:rPr>
          <w:i/>
        </w:rPr>
        <w:t>National Partnership Agreement on Legal Assistance Services</w:t>
      </w:r>
      <w:r w:rsidR="009D50FF">
        <w:t xml:space="preserve"> could have the effect of </w:t>
      </w:r>
      <w:r>
        <w:t>prohibit</w:t>
      </w:r>
      <w:r w:rsidR="009D50FF">
        <w:t>ing</w:t>
      </w:r>
      <w:r>
        <w:t xml:space="preserve"> or deter</w:t>
      </w:r>
      <w:r w:rsidR="009D50FF">
        <w:t>ring</w:t>
      </w:r>
      <w:r>
        <w:t xml:space="preserve"> advocacy by community organisations.</w:t>
      </w:r>
      <w:r>
        <w:rPr>
          <w:rStyle w:val="EndnoteReference"/>
        </w:rPr>
        <w:endnoteReference w:id="143"/>
      </w:r>
      <w:r>
        <w:t xml:space="preserve"> The Commission is </w:t>
      </w:r>
      <w:r w:rsidR="009D50FF">
        <w:t xml:space="preserve">also </w:t>
      </w:r>
      <w:r>
        <w:t xml:space="preserve">concerned </w:t>
      </w:r>
      <w:r w:rsidR="009D50FF">
        <w:t>by proposals</w:t>
      </w:r>
      <w:r w:rsidR="00AF0169">
        <w:t xml:space="preserve"> </w:t>
      </w:r>
      <w:r w:rsidR="009D50FF">
        <w:t xml:space="preserve">that could reduce </w:t>
      </w:r>
      <w:r>
        <w:t xml:space="preserve">the capacity of civil society organisations to engage in </w:t>
      </w:r>
      <w:r w:rsidR="009D50FF">
        <w:t xml:space="preserve">debate on important issues of public interest, including at the time of </w:t>
      </w:r>
      <w:r>
        <w:t>elections.</w:t>
      </w:r>
      <w:r>
        <w:rPr>
          <w:rStyle w:val="EndnoteReference"/>
        </w:rPr>
        <w:endnoteReference w:id="144"/>
      </w:r>
    </w:p>
    <w:p w14:paraId="188C28D6" w14:textId="6EB87A85" w:rsidR="00320E2E" w:rsidRPr="00324D76" w:rsidRDefault="00320E2E" w:rsidP="00E90792">
      <w:pPr>
        <w:pStyle w:val="SubmissionNormal"/>
        <w:numPr>
          <w:ilvl w:val="0"/>
          <w:numId w:val="52"/>
        </w:numPr>
      </w:pPr>
      <w:r>
        <w:rPr>
          <w:b/>
        </w:rPr>
        <w:t>That the</w:t>
      </w:r>
      <w:r w:rsidR="005C5870">
        <w:rPr>
          <w:b/>
        </w:rPr>
        <w:t xml:space="preserve"> Australian</w:t>
      </w:r>
      <w:r>
        <w:rPr>
          <w:b/>
        </w:rPr>
        <w:t xml:space="preserve"> Government </w:t>
      </w:r>
      <w:r w:rsidR="009D50FF">
        <w:rPr>
          <w:b/>
        </w:rPr>
        <w:t xml:space="preserve">ensure </w:t>
      </w:r>
      <w:r w:rsidR="00131F5C">
        <w:rPr>
          <w:b/>
        </w:rPr>
        <w:t xml:space="preserve">that funding agreements, laws and policies </w:t>
      </w:r>
      <w:r w:rsidR="009D50FF">
        <w:rPr>
          <w:b/>
        </w:rPr>
        <w:t xml:space="preserve">do not unreasonably and disproportionately restrict </w:t>
      </w:r>
      <w:r>
        <w:rPr>
          <w:b/>
        </w:rPr>
        <w:t xml:space="preserve">civil society organisations from engaging in </w:t>
      </w:r>
      <w:r w:rsidRPr="0073174F">
        <w:rPr>
          <w:b/>
        </w:rPr>
        <w:t>law reform, policy or advocacy work</w:t>
      </w:r>
      <w:r>
        <w:rPr>
          <w:b/>
        </w:rPr>
        <w:t xml:space="preserve"> on issues </w:t>
      </w:r>
      <w:r w:rsidR="009D50FF">
        <w:rPr>
          <w:b/>
        </w:rPr>
        <w:t>of public interest</w:t>
      </w:r>
      <w:r>
        <w:rPr>
          <w:b/>
        </w:rPr>
        <w:t>.</w:t>
      </w:r>
    </w:p>
    <w:p w14:paraId="54075802" w14:textId="77777777" w:rsidR="00324D76" w:rsidRDefault="004269FB" w:rsidP="00324D76">
      <w:pPr>
        <w:pStyle w:val="Heading3"/>
      </w:pPr>
      <w:bookmarkStart w:id="99" w:name="_Toc493489636"/>
      <w:r>
        <w:t>Inquiries</w:t>
      </w:r>
      <w:bookmarkEnd w:id="99"/>
    </w:p>
    <w:p w14:paraId="050A2F54" w14:textId="5A8FF609" w:rsidR="000D3FD9" w:rsidRDefault="00324D76" w:rsidP="00324D76">
      <w:pPr>
        <w:pStyle w:val="SubmissionNormal"/>
      </w:pPr>
      <w:r>
        <w:t>The Commission notes</w:t>
      </w:r>
      <w:r w:rsidR="000D3FD9">
        <w:t>:</w:t>
      </w:r>
    </w:p>
    <w:p w14:paraId="3762E033" w14:textId="38764078" w:rsidR="000D3FD9" w:rsidRDefault="00324D76" w:rsidP="00110397">
      <w:pPr>
        <w:pStyle w:val="ListParagraph"/>
        <w:numPr>
          <w:ilvl w:val="0"/>
          <w:numId w:val="49"/>
        </w:numPr>
        <w:ind w:left="1440"/>
      </w:pPr>
      <w:r>
        <w:t>the ALRC’s report</w:t>
      </w:r>
      <w:r w:rsidR="009B4F83">
        <w:t>,</w:t>
      </w:r>
      <w:r>
        <w:t xml:space="preserve"> </w:t>
      </w:r>
      <w:r w:rsidRPr="000D3FD9">
        <w:rPr>
          <w:i/>
        </w:rPr>
        <w:t>Traditional Rights and Freedoms</w:t>
      </w:r>
      <w:r w:rsidR="00B40544">
        <w:rPr>
          <w:i/>
        </w:rPr>
        <w:t xml:space="preserve"> </w:t>
      </w:r>
      <w:r w:rsidRPr="000D3FD9">
        <w:rPr>
          <w:i/>
        </w:rPr>
        <w:t>— Encroachments by Commonwealth Laws</w:t>
      </w:r>
      <w:r w:rsidR="00B3444F">
        <w:t>.</w:t>
      </w:r>
      <w:r>
        <w:rPr>
          <w:rStyle w:val="EndnoteReference"/>
        </w:rPr>
        <w:endnoteReference w:id="145"/>
      </w:r>
      <w:r>
        <w:t xml:space="preserve"> </w:t>
      </w:r>
    </w:p>
    <w:p w14:paraId="2B940566" w14:textId="77777777" w:rsidR="00C9408A" w:rsidRDefault="00C9408A" w:rsidP="00C9408A">
      <w:pPr>
        <w:pStyle w:val="ListParagraph"/>
        <w:ind w:left="1440"/>
      </w:pPr>
    </w:p>
    <w:p w14:paraId="6FF61618" w14:textId="4C26A6A1" w:rsidR="004269FB" w:rsidRDefault="004269FB" w:rsidP="001C00BD">
      <w:pPr>
        <w:pStyle w:val="ListParagraph"/>
        <w:numPr>
          <w:ilvl w:val="0"/>
          <w:numId w:val="49"/>
        </w:numPr>
        <w:ind w:left="1440"/>
      </w:pPr>
      <w:r>
        <w:t>the PJCHR’s report in relation to w</w:t>
      </w:r>
      <w:r w:rsidRPr="00A1382F">
        <w:t xml:space="preserve">hether the operation of Part IIA of the </w:t>
      </w:r>
      <w:r w:rsidRPr="000D3FD9">
        <w:rPr>
          <w:i/>
        </w:rPr>
        <w:t>Racial Discrimination Act 1975</w:t>
      </w:r>
      <w:r w:rsidRPr="00A1382F">
        <w:t xml:space="preserve"> (Cth) </w:t>
      </w:r>
      <w:r w:rsidR="00B3444F">
        <w:t xml:space="preserve">(RDA) </w:t>
      </w:r>
      <w:r w:rsidRPr="00A1382F">
        <w:t>imposes unreasonable restrictions upon freedom of speech</w:t>
      </w:r>
      <w:r>
        <w:t>.</w:t>
      </w:r>
      <w:r>
        <w:rPr>
          <w:rStyle w:val="EndnoteReference"/>
        </w:rPr>
        <w:endnoteReference w:id="146"/>
      </w:r>
    </w:p>
    <w:p w14:paraId="1AC058F4" w14:textId="77777777" w:rsidR="00C9408A" w:rsidRDefault="00C9408A" w:rsidP="00C9408A">
      <w:pPr>
        <w:pStyle w:val="ListParagraph"/>
        <w:ind w:left="1440"/>
      </w:pPr>
    </w:p>
    <w:p w14:paraId="4EBA9AE4" w14:textId="1FB5C12B" w:rsidR="00324D76" w:rsidRDefault="00B40544" w:rsidP="00E90792">
      <w:pPr>
        <w:pStyle w:val="ListParagraph"/>
        <w:numPr>
          <w:ilvl w:val="0"/>
          <w:numId w:val="49"/>
        </w:numPr>
        <w:ind w:left="1440"/>
      </w:pPr>
      <w:r>
        <w:t xml:space="preserve">the current Senate inquiry into </w:t>
      </w:r>
      <w:r w:rsidR="00324D76">
        <w:t>laws of contempt in Australia</w:t>
      </w:r>
      <w:r w:rsidR="001610C6">
        <w:t xml:space="preserve">, which </w:t>
      </w:r>
      <w:r w:rsidR="00324D76">
        <w:t xml:space="preserve">will consider </w:t>
      </w:r>
      <w:r w:rsidR="00415415">
        <w:t xml:space="preserve">how competing principles, including </w:t>
      </w:r>
      <w:r w:rsidR="00324D76">
        <w:t>freedom of speech</w:t>
      </w:r>
      <w:r w:rsidR="00415415">
        <w:t xml:space="preserve">, are balanced in </w:t>
      </w:r>
      <w:r w:rsidR="00324D76">
        <w:t>contempt laws.</w:t>
      </w:r>
      <w:r w:rsidR="00324D76">
        <w:rPr>
          <w:rStyle w:val="EndnoteReference"/>
        </w:rPr>
        <w:endnoteReference w:id="147"/>
      </w:r>
    </w:p>
    <w:p w14:paraId="67D5068D" w14:textId="77777777" w:rsidR="00866841" w:rsidRDefault="00866841" w:rsidP="00866841">
      <w:pPr>
        <w:pStyle w:val="SubmissionNormal"/>
        <w:tabs>
          <w:tab w:val="clear" w:pos="720"/>
        </w:tabs>
      </w:pPr>
      <w:r>
        <w:t>The Commission</w:t>
      </w:r>
      <w:r w:rsidRPr="00DA67EA">
        <w:t xml:space="preserve"> </w:t>
      </w:r>
      <w:r>
        <w:t xml:space="preserve">considers that a broad </w:t>
      </w:r>
      <w:r w:rsidRPr="00DA67EA">
        <w:t>inquiry</w:t>
      </w:r>
      <w:r>
        <w:t xml:space="preserve"> into the protection of freedom of expression in Australia</w:t>
      </w:r>
      <w:r w:rsidRPr="00DA67EA">
        <w:t xml:space="preserve"> is </w:t>
      </w:r>
      <w:r>
        <w:t>warranted, covering criminal laws,</w:t>
      </w:r>
      <w:r>
        <w:rPr>
          <w:rStyle w:val="EndnoteReference"/>
        </w:rPr>
        <w:endnoteReference w:id="148"/>
      </w:r>
      <w:r>
        <w:t xml:space="preserve"> secrecy laws,</w:t>
      </w:r>
      <w:r>
        <w:rPr>
          <w:rStyle w:val="EndnoteReference"/>
        </w:rPr>
        <w:endnoteReference w:id="149"/>
      </w:r>
      <w:r>
        <w:t xml:space="preserve"> laws regarding participation in the democratic process,</w:t>
      </w:r>
      <w:r>
        <w:rPr>
          <w:rStyle w:val="EndnoteReference"/>
        </w:rPr>
        <w:endnoteReference w:id="150"/>
      </w:r>
      <w:r>
        <w:t xml:space="preserve"> media, broadcasting and communications laws and freedom of information laws. </w:t>
      </w:r>
    </w:p>
    <w:p w14:paraId="72693460" w14:textId="17780C84" w:rsidR="00866841" w:rsidRPr="00324D76" w:rsidRDefault="00866841" w:rsidP="00E90792">
      <w:pPr>
        <w:pStyle w:val="SubmissionNormal"/>
        <w:numPr>
          <w:ilvl w:val="0"/>
          <w:numId w:val="52"/>
        </w:numPr>
        <w:rPr>
          <w:b/>
        </w:rPr>
      </w:pPr>
      <w:r w:rsidRPr="00324D76">
        <w:rPr>
          <w:b/>
        </w:rPr>
        <w:t xml:space="preserve">That the </w:t>
      </w:r>
      <w:r w:rsidR="00FD1423">
        <w:rPr>
          <w:b/>
        </w:rPr>
        <w:t xml:space="preserve">Australian </w:t>
      </w:r>
      <w:r w:rsidRPr="00324D76">
        <w:rPr>
          <w:b/>
        </w:rPr>
        <w:t xml:space="preserve">Government </w:t>
      </w:r>
      <w:r>
        <w:rPr>
          <w:b/>
        </w:rPr>
        <w:t xml:space="preserve">commission an independent, </w:t>
      </w:r>
      <w:r w:rsidRPr="00324D76">
        <w:rPr>
          <w:b/>
        </w:rPr>
        <w:t>broad</w:t>
      </w:r>
      <w:r>
        <w:rPr>
          <w:b/>
        </w:rPr>
        <w:t>ly focused</w:t>
      </w:r>
      <w:r w:rsidRPr="00324D76">
        <w:rPr>
          <w:b/>
        </w:rPr>
        <w:t xml:space="preserve"> inquiry into freedom of </w:t>
      </w:r>
      <w:r>
        <w:rPr>
          <w:b/>
        </w:rPr>
        <w:t xml:space="preserve">expression </w:t>
      </w:r>
      <w:r w:rsidRPr="00324D76">
        <w:rPr>
          <w:b/>
        </w:rPr>
        <w:t>in Australia.</w:t>
      </w:r>
    </w:p>
    <w:p w14:paraId="490B28F5" w14:textId="01B89178" w:rsidR="00866841" w:rsidRDefault="00866841" w:rsidP="00866841">
      <w:pPr>
        <w:pStyle w:val="Heading1"/>
      </w:pPr>
      <w:bookmarkStart w:id="100" w:name="_Toc366706503"/>
      <w:bookmarkStart w:id="101" w:name="_Toc493489637"/>
      <w:r w:rsidRPr="00D87B87">
        <w:t xml:space="preserve">Racial </w:t>
      </w:r>
      <w:r w:rsidR="00894110">
        <w:t>d</w:t>
      </w:r>
      <w:r w:rsidRPr="00D87B87">
        <w:t xml:space="preserve">iscrimination </w:t>
      </w:r>
      <w:r>
        <w:t>(ICCPR articles 20 &amp;</w:t>
      </w:r>
      <w:r w:rsidRPr="00D87B87">
        <w:t xml:space="preserve"> 26; LOI 21)</w:t>
      </w:r>
      <w:bookmarkEnd w:id="100"/>
      <w:bookmarkEnd w:id="101"/>
    </w:p>
    <w:p w14:paraId="4C2F1000" w14:textId="77777777" w:rsidR="000D4E69" w:rsidRDefault="000114E6" w:rsidP="0001458A">
      <w:pPr>
        <w:pStyle w:val="SubmissionNormal"/>
        <w:tabs>
          <w:tab w:val="clear" w:pos="720"/>
        </w:tabs>
        <w:ind w:left="709" w:hanging="709"/>
      </w:pPr>
      <w:r>
        <w:t>The</w:t>
      </w:r>
      <w:r w:rsidR="000D4E69">
        <w:t xml:space="preserve"> Commission </w:t>
      </w:r>
      <w:r>
        <w:t xml:space="preserve">is concerned that </w:t>
      </w:r>
      <w:r w:rsidR="000D4E69">
        <w:t>r</w:t>
      </w:r>
      <w:r w:rsidR="000D4E69" w:rsidRPr="005F7763">
        <w:t xml:space="preserve">acial discrimination continues to affect migrants and Australia-born people of many cultural backgrounds. </w:t>
      </w:r>
    </w:p>
    <w:p w14:paraId="4485B767" w14:textId="2B219D8B" w:rsidR="00B9347B" w:rsidRDefault="00B9347B" w:rsidP="0001458A">
      <w:pPr>
        <w:pStyle w:val="SubmissionNormal"/>
        <w:tabs>
          <w:tab w:val="clear" w:pos="720"/>
        </w:tabs>
        <w:ind w:left="709" w:hanging="709"/>
      </w:pPr>
      <w:r>
        <w:t xml:space="preserve">The Special Rapporteur on the </w:t>
      </w:r>
      <w:r w:rsidR="00B3444F">
        <w:t xml:space="preserve">rights of </w:t>
      </w:r>
      <w:r w:rsidR="007B076B">
        <w:t>i</w:t>
      </w:r>
      <w:r w:rsidR="00B3444F">
        <w:t>ndigenous p</w:t>
      </w:r>
      <w:r>
        <w:t xml:space="preserve">eoples has described the prevalence of racism against Aboriginal and Torres Strait Islander people as </w:t>
      </w:r>
      <w:r w:rsidR="001610C6">
        <w:t>‘</w:t>
      </w:r>
      <w:r>
        <w:t>deeply disturbing</w:t>
      </w:r>
      <w:r w:rsidR="001610C6">
        <w:t>’</w:t>
      </w:r>
      <w:r>
        <w:t>.</w:t>
      </w:r>
      <w:r>
        <w:rPr>
          <w:rStyle w:val="EndnoteReference"/>
        </w:rPr>
        <w:endnoteReference w:id="151"/>
      </w:r>
      <w:r>
        <w:t xml:space="preserve"> </w:t>
      </w:r>
    </w:p>
    <w:p w14:paraId="58D9B75E" w14:textId="77777777" w:rsidR="000D4E69" w:rsidRDefault="000D4E69" w:rsidP="0001458A">
      <w:pPr>
        <w:pStyle w:val="SubmissionNormal"/>
        <w:tabs>
          <w:tab w:val="clear" w:pos="720"/>
        </w:tabs>
        <w:ind w:left="709" w:hanging="709"/>
      </w:pPr>
      <w:r>
        <w:t>Among migrants, those from African countries, including Ethiopia, Kenya, Zimbabwe and South Sudan, have reported particularly high levels of discrimination and racial profiling.</w:t>
      </w:r>
      <w:r>
        <w:rPr>
          <w:rStyle w:val="EndnoteReference"/>
        </w:rPr>
        <w:endnoteReference w:id="152"/>
      </w:r>
      <w:r>
        <w:t xml:space="preserve"> </w:t>
      </w:r>
      <w:r w:rsidR="0084198D">
        <w:t>A</w:t>
      </w:r>
      <w:r>
        <w:t xml:space="preserve"> national survey found strong negative </w:t>
      </w:r>
      <w:r>
        <w:lastRenderedPageBreak/>
        <w:t>attitudes towards immigrants from Middle Eastern countries compared to immigrants from elsewhere.</w:t>
      </w:r>
      <w:r>
        <w:rPr>
          <w:rStyle w:val="EndnoteReference"/>
        </w:rPr>
        <w:endnoteReference w:id="153"/>
      </w:r>
      <w:r>
        <w:t xml:space="preserve"> </w:t>
      </w:r>
    </w:p>
    <w:p w14:paraId="335C7FE5" w14:textId="77777777" w:rsidR="000D4E69" w:rsidRDefault="00415415" w:rsidP="0001458A">
      <w:pPr>
        <w:pStyle w:val="SubmissionNormal"/>
        <w:tabs>
          <w:tab w:val="clear" w:pos="720"/>
        </w:tabs>
        <w:ind w:left="709" w:hanging="709"/>
      </w:pPr>
      <w:r>
        <w:t>A</w:t>
      </w:r>
      <w:r w:rsidR="000D4E69">
        <w:t xml:space="preserve"> Foundation of Young Australians report found that over 80% of non-Anglo Australian </w:t>
      </w:r>
      <w:r w:rsidR="000D4E69" w:rsidRPr="0042388E">
        <w:t>background children indicated they had been subjected to some form of racism.</w:t>
      </w:r>
      <w:r w:rsidR="000D4E69" w:rsidRPr="0042388E">
        <w:rPr>
          <w:rStyle w:val="EndnoteReference"/>
        </w:rPr>
        <w:endnoteReference w:id="154"/>
      </w:r>
      <w:r w:rsidR="000D4E69" w:rsidRPr="0042388E">
        <w:t xml:space="preserve"> </w:t>
      </w:r>
      <w:r w:rsidR="000D4E69">
        <w:t>Young people from such backgrounds, particularly those of African descent, report concerns about encountering racism from public institutions, including police.</w:t>
      </w:r>
      <w:r w:rsidR="000D4E69" w:rsidRPr="0042388E">
        <w:rPr>
          <w:rStyle w:val="EndnoteReference"/>
        </w:rPr>
        <w:endnoteReference w:id="155"/>
      </w:r>
    </w:p>
    <w:p w14:paraId="56E1BE03" w14:textId="43A5B96F" w:rsidR="00934118" w:rsidRDefault="001860D0" w:rsidP="00E90792">
      <w:pPr>
        <w:pStyle w:val="SubmissionNormal"/>
        <w:tabs>
          <w:tab w:val="clear" w:pos="720"/>
        </w:tabs>
        <w:ind w:left="709" w:hanging="709"/>
      </w:pPr>
      <w:r>
        <w:t xml:space="preserve">The Commission refers to the recommendations made in its submission to the PJCHR inquiry into </w:t>
      </w:r>
      <w:r w:rsidRPr="00A1382F">
        <w:t>Part IIA of the</w:t>
      </w:r>
      <w:r>
        <w:t xml:space="preserve"> RDA.</w:t>
      </w:r>
      <w:r>
        <w:rPr>
          <w:rStyle w:val="EndnoteReference"/>
        </w:rPr>
        <w:endnoteReference w:id="156"/>
      </w:r>
      <w:r w:rsidR="007B4360">
        <w:t xml:space="preserve"> </w:t>
      </w:r>
      <w:r w:rsidR="00934118">
        <w:t xml:space="preserve">The Commission </w:t>
      </w:r>
      <w:r w:rsidR="007B076B">
        <w:t xml:space="preserve">also </w:t>
      </w:r>
      <w:r w:rsidR="00934118">
        <w:t xml:space="preserve">refers to its National Anti-Racism Strategy, which incorporates the </w:t>
      </w:r>
      <w:r w:rsidR="00934118" w:rsidRPr="007B4360">
        <w:rPr>
          <w:i/>
        </w:rPr>
        <w:t xml:space="preserve">Racism. It Stops with Me </w:t>
      </w:r>
      <w:r w:rsidR="00934118">
        <w:t>campaign.</w:t>
      </w:r>
      <w:r w:rsidR="00934118">
        <w:rPr>
          <w:rStyle w:val="EndnoteReference"/>
        </w:rPr>
        <w:endnoteReference w:id="157"/>
      </w:r>
    </w:p>
    <w:p w14:paraId="2D43631D" w14:textId="47C7AC4B" w:rsidR="000D4E69" w:rsidRPr="00B14C07" w:rsidRDefault="000D4E69" w:rsidP="00E90792">
      <w:pPr>
        <w:pStyle w:val="SubmissionNormal"/>
        <w:numPr>
          <w:ilvl w:val="0"/>
          <w:numId w:val="52"/>
        </w:numPr>
        <w:rPr>
          <w:b/>
        </w:rPr>
      </w:pPr>
      <w:r w:rsidRPr="00B14C07">
        <w:rPr>
          <w:b/>
        </w:rPr>
        <w:t xml:space="preserve">That the </w:t>
      </w:r>
      <w:r w:rsidR="007B076B">
        <w:rPr>
          <w:b/>
        </w:rPr>
        <w:t xml:space="preserve">Australian </w:t>
      </w:r>
      <w:r w:rsidRPr="00B14C07">
        <w:rPr>
          <w:b/>
        </w:rPr>
        <w:t>Government continue to fund and support initiatives to address r</w:t>
      </w:r>
      <w:r w:rsidR="00934118">
        <w:rPr>
          <w:b/>
        </w:rPr>
        <w:t>acism and racial discrimination.</w:t>
      </w:r>
    </w:p>
    <w:p w14:paraId="0D3E2A34" w14:textId="1FDFC5F6" w:rsidR="000D4E69" w:rsidRDefault="000D4E69" w:rsidP="00E90792">
      <w:pPr>
        <w:pStyle w:val="SubmissionNormal"/>
        <w:numPr>
          <w:ilvl w:val="0"/>
          <w:numId w:val="52"/>
        </w:numPr>
        <w:rPr>
          <w:b/>
        </w:rPr>
      </w:pPr>
      <w:r w:rsidRPr="0083253A">
        <w:rPr>
          <w:b/>
        </w:rPr>
        <w:t xml:space="preserve">That the </w:t>
      </w:r>
      <w:r w:rsidR="007B076B">
        <w:rPr>
          <w:b/>
        </w:rPr>
        <w:t xml:space="preserve">Australian </w:t>
      </w:r>
      <w:r w:rsidRPr="0083253A">
        <w:rPr>
          <w:b/>
        </w:rPr>
        <w:t xml:space="preserve">Government recognise the importance of </w:t>
      </w:r>
      <w:r w:rsidRPr="00BE4698">
        <w:rPr>
          <w:b/>
        </w:rPr>
        <w:t>maintaining</w:t>
      </w:r>
      <w:r w:rsidRPr="0083253A">
        <w:rPr>
          <w:b/>
        </w:rPr>
        <w:t xml:space="preserve"> effective legal protection</w:t>
      </w:r>
      <w:r w:rsidR="00934118">
        <w:rPr>
          <w:b/>
        </w:rPr>
        <w:t>s against racial discrimination</w:t>
      </w:r>
      <w:r w:rsidRPr="0083253A">
        <w:rPr>
          <w:b/>
        </w:rPr>
        <w:t xml:space="preserve"> in setting a standard for public conduct in a multicultural society.</w:t>
      </w:r>
    </w:p>
    <w:p w14:paraId="24E5B820" w14:textId="77777777" w:rsidR="00022B1C" w:rsidRPr="00B435FF" w:rsidRDefault="00534B3E" w:rsidP="00022B1C">
      <w:pPr>
        <w:pStyle w:val="Heading1"/>
      </w:pPr>
      <w:bookmarkStart w:id="102" w:name="_Counter-terrorism"/>
      <w:bookmarkStart w:id="103" w:name="_Toc493489638"/>
      <w:bookmarkEnd w:id="102"/>
      <w:r>
        <w:t>Counter</w:t>
      </w:r>
      <w:r w:rsidR="00152626">
        <w:t>-</w:t>
      </w:r>
      <w:r>
        <w:t>terrorism</w:t>
      </w:r>
      <w:bookmarkEnd w:id="103"/>
      <w:r>
        <w:t xml:space="preserve"> </w:t>
      </w:r>
    </w:p>
    <w:p w14:paraId="1BD5760C" w14:textId="2A8E217B" w:rsidR="00D3592F" w:rsidRDefault="00D3592F" w:rsidP="00D3592F">
      <w:pPr>
        <w:pStyle w:val="SubmissionNormal"/>
      </w:pPr>
      <w:r w:rsidRPr="0035411E">
        <w:t xml:space="preserve">The Commission recognises the vital importance of ensuring that intelligence and </w:t>
      </w:r>
      <w:r w:rsidRPr="00BA791D">
        <w:rPr>
          <w:rFonts w:cs="Arial"/>
        </w:rPr>
        <w:t>law</w:t>
      </w:r>
      <w:r w:rsidRPr="0035411E">
        <w:t xml:space="preserve"> enforcement agencies have appropriate powers to protect Australia’s national security and to protect the com</w:t>
      </w:r>
      <w:r w:rsidR="001610C6">
        <w:t xml:space="preserve">munity from terrorism. </w:t>
      </w:r>
      <w:r w:rsidRPr="0035411E">
        <w:t xml:space="preserve">Indeed, such steps are consistent with Australia’s obligation to protect the right to life of persons within Australia’s jurisdiction, enshrined in </w:t>
      </w:r>
      <w:r>
        <w:t>a</w:t>
      </w:r>
      <w:r w:rsidRPr="0035411E">
        <w:t xml:space="preserve">rticle 6 of the </w:t>
      </w:r>
      <w:r>
        <w:t>ICCPR</w:t>
      </w:r>
      <w:r w:rsidRPr="0035411E">
        <w:t xml:space="preserve">.  </w:t>
      </w:r>
    </w:p>
    <w:p w14:paraId="671E7CB4" w14:textId="77777777" w:rsidR="00D3592F" w:rsidRDefault="00D3592F" w:rsidP="00D3592F">
      <w:pPr>
        <w:pStyle w:val="SubmissionNormal"/>
      </w:pPr>
      <w:r>
        <w:t>The Commission also recognises that h</w:t>
      </w:r>
      <w:r w:rsidRPr="0035411E">
        <w:t xml:space="preserve">uman rights law accepts, subject to certain conditions, that the exercise of those powers might impinge to some extent on individual rights and freedoms. </w:t>
      </w:r>
      <w:r>
        <w:t xml:space="preserve">However, </w:t>
      </w:r>
      <w:r w:rsidRPr="0035411E">
        <w:t>any such limi</w:t>
      </w:r>
      <w:r>
        <w:t xml:space="preserve">tation on human rights must be clearly expressed, unambiguous in its terms, and </w:t>
      </w:r>
      <w:r w:rsidRPr="0035411E">
        <w:t>necessary and proportionate in how it responds to potential harm.</w:t>
      </w:r>
    </w:p>
    <w:p w14:paraId="17A2F722" w14:textId="77777777" w:rsidR="00D3592F" w:rsidRDefault="00D3592F" w:rsidP="00D3592F">
      <w:pPr>
        <w:pStyle w:val="Heading2"/>
      </w:pPr>
      <w:bookmarkStart w:id="104" w:name="_Toc491243326"/>
      <w:bookmarkStart w:id="105" w:name="_Toc493489639"/>
      <w:r w:rsidRPr="004E46B3">
        <w:rPr>
          <w:lang w:eastAsia="en-US"/>
        </w:rPr>
        <w:t>Independent National Security Legislation Monitor</w:t>
      </w:r>
      <w:r>
        <w:rPr>
          <w:lang w:eastAsia="en-US"/>
        </w:rPr>
        <w:t xml:space="preserve"> </w:t>
      </w:r>
      <w:r w:rsidRPr="00B435FF">
        <w:t xml:space="preserve">(ICCPR </w:t>
      </w:r>
      <w:r w:rsidR="009B0AD2">
        <w:t>a</w:t>
      </w:r>
      <w:r>
        <w:t>rticle 2</w:t>
      </w:r>
      <w:r w:rsidRPr="00B435FF">
        <w:t>; LOI 7)</w:t>
      </w:r>
      <w:bookmarkEnd w:id="104"/>
      <w:bookmarkEnd w:id="105"/>
    </w:p>
    <w:p w14:paraId="61EFA2D9" w14:textId="77777777" w:rsidR="00D3592F" w:rsidRDefault="00D3592F" w:rsidP="00D3592F">
      <w:pPr>
        <w:pStyle w:val="SubmissionNormal"/>
      </w:pPr>
      <w:r w:rsidRPr="004E46B3">
        <w:rPr>
          <w:lang w:eastAsia="en-US"/>
        </w:rPr>
        <w:t xml:space="preserve">The Commission </w:t>
      </w:r>
      <w:r>
        <w:rPr>
          <w:lang w:eastAsia="en-US"/>
        </w:rPr>
        <w:t>notes the role of the</w:t>
      </w:r>
      <w:r w:rsidRPr="004E46B3">
        <w:rPr>
          <w:lang w:eastAsia="en-US"/>
        </w:rPr>
        <w:t xml:space="preserve"> Independent National Security Legislation Monitor (INSLM)</w:t>
      </w:r>
      <w:r>
        <w:rPr>
          <w:lang w:eastAsia="en-US"/>
        </w:rPr>
        <w:t>.</w:t>
      </w:r>
      <w:r w:rsidRPr="004E46B3">
        <w:rPr>
          <w:rStyle w:val="EndnoteReference"/>
          <w:rFonts w:cs="Arial"/>
          <w:color w:val="000000"/>
          <w:lang w:eastAsia="en-US"/>
        </w:rPr>
        <w:endnoteReference w:id="158"/>
      </w:r>
      <w:r>
        <w:rPr>
          <w:lang w:eastAsia="en-US"/>
        </w:rPr>
        <w:t xml:space="preserve"> </w:t>
      </w:r>
      <w:r>
        <w:t>T</w:t>
      </w:r>
      <w:r w:rsidRPr="004E46B3">
        <w:t xml:space="preserve">he </w:t>
      </w:r>
      <w:r>
        <w:t>INSLM</w:t>
      </w:r>
      <w:r w:rsidRPr="004E46B3">
        <w:t xml:space="preserve"> </w:t>
      </w:r>
      <w:r>
        <w:t xml:space="preserve">reviews </w:t>
      </w:r>
      <w:r w:rsidRPr="004E46B3">
        <w:t xml:space="preserve">the operation, effectiveness and implications of Australia’s counter-terrorism and national security legislation on an ongoing basis. In performing </w:t>
      </w:r>
      <w:r>
        <w:t>that function</w:t>
      </w:r>
      <w:r w:rsidRPr="004E46B3">
        <w:t xml:space="preserve">, the INSLM </w:t>
      </w:r>
      <w:r>
        <w:t>has</w:t>
      </w:r>
      <w:r w:rsidRPr="004E46B3">
        <w:t xml:space="preserve"> regard to Australia’s international human rights obligations.</w:t>
      </w:r>
      <w:r w:rsidRPr="004E46B3">
        <w:rPr>
          <w:rStyle w:val="EndnoteReference"/>
        </w:rPr>
        <w:endnoteReference w:id="159"/>
      </w:r>
      <w:r w:rsidRPr="004E46B3">
        <w:t xml:space="preserve">  </w:t>
      </w:r>
    </w:p>
    <w:p w14:paraId="687AA06F" w14:textId="21646168" w:rsidR="00D3592F" w:rsidRDefault="00D3592F" w:rsidP="00894110">
      <w:pPr>
        <w:pStyle w:val="SubmissionNormal"/>
      </w:pPr>
      <w:r>
        <w:t>The Commission is concerned that the Government has passed counter-terrorism measures despite concerns raised by the INSLM. This has occurred in relation to the control order</w:t>
      </w:r>
      <w:r>
        <w:rPr>
          <w:rStyle w:val="EndnoteReference"/>
        </w:rPr>
        <w:endnoteReference w:id="160"/>
      </w:r>
      <w:r>
        <w:t xml:space="preserve"> and preventative detention order</w:t>
      </w:r>
      <w:r>
        <w:rPr>
          <w:rStyle w:val="EndnoteReference"/>
        </w:rPr>
        <w:endnoteReference w:id="161"/>
      </w:r>
      <w:r w:rsidR="00894110">
        <w:t xml:space="preserve"> regimes. </w:t>
      </w:r>
      <w:r w:rsidR="00692F0B">
        <w:t>T</w:t>
      </w:r>
      <w:r>
        <w:t>hese provisions are currently the subject of further review by the INSLM and</w:t>
      </w:r>
      <w:r w:rsidR="00F36526">
        <w:t xml:space="preserve"> a parliamentary joint committee</w:t>
      </w:r>
      <w:r w:rsidR="009932C5">
        <w:t>.</w:t>
      </w:r>
      <w:r>
        <w:rPr>
          <w:rStyle w:val="EndnoteReference"/>
        </w:rPr>
        <w:endnoteReference w:id="162"/>
      </w:r>
      <w:r>
        <w:t xml:space="preserve">  </w:t>
      </w:r>
    </w:p>
    <w:p w14:paraId="4369A993" w14:textId="145472FC" w:rsidR="00D3592F" w:rsidRPr="00A847AF" w:rsidRDefault="00D3592F" w:rsidP="00E90792">
      <w:pPr>
        <w:pStyle w:val="SubmissionNormal"/>
        <w:numPr>
          <w:ilvl w:val="0"/>
          <w:numId w:val="52"/>
        </w:numPr>
      </w:pPr>
      <w:r w:rsidRPr="00A847AF">
        <w:rPr>
          <w:rFonts w:eastAsia="Calibri"/>
          <w:b/>
          <w:lang w:val="en-NZ" w:eastAsia="en-US"/>
        </w:rPr>
        <w:lastRenderedPageBreak/>
        <w:t xml:space="preserve">That the </w:t>
      </w:r>
      <w:r w:rsidR="007B076B">
        <w:rPr>
          <w:rFonts w:eastAsia="Calibri"/>
          <w:b/>
          <w:lang w:val="en-NZ" w:eastAsia="en-US"/>
        </w:rPr>
        <w:t xml:space="preserve">Australian </w:t>
      </w:r>
      <w:r w:rsidRPr="00A847AF">
        <w:rPr>
          <w:rFonts w:eastAsia="Calibri"/>
          <w:b/>
          <w:lang w:val="en-NZ" w:eastAsia="en-US"/>
        </w:rPr>
        <w:t xml:space="preserve">Government </w:t>
      </w:r>
      <w:r>
        <w:rPr>
          <w:rFonts w:eastAsia="Calibri"/>
          <w:b/>
          <w:lang w:val="en-NZ" w:eastAsia="en-US"/>
        </w:rPr>
        <w:t>consider</w:t>
      </w:r>
      <w:r w:rsidRPr="00A847AF">
        <w:rPr>
          <w:b/>
        </w:rPr>
        <w:t xml:space="preserve"> the concerns raised by the </w:t>
      </w:r>
      <w:r w:rsidR="00692F0B">
        <w:rPr>
          <w:b/>
        </w:rPr>
        <w:t>Independent National Security Legislation Monitor</w:t>
      </w:r>
      <w:r w:rsidRPr="00A847AF">
        <w:rPr>
          <w:b/>
        </w:rPr>
        <w:t xml:space="preserve"> </w:t>
      </w:r>
      <w:r>
        <w:rPr>
          <w:b/>
        </w:rPr>
        <w:t>in ensuring that counter-terrorism measures do not unnecessarily limit human rights.</w:t>
      </w:r>
    </w:p>
    <w:p w14:paraId="479B51C8" w14:textId="77777777" w:rsidR="00D3592F" w:rsidRDefault="00D3592F" w:rsidP="00D3592F">
      <w:pPr>
        <w:pStyle w:val="Heading2"/>
      </w:pPr>
      <w:bookmarkStart w:id="106" w:name="_Toc491243327"/>
      <w:bookmarkStart w:id="107" w:name="_Toc493489640"/>
      <w:r>
        <w:t xml:space="preserve">Recent measures </w:t>
      </w:r>
      <w:r w:rsidRPr="00B435FF">
        <w:t xml:space="preserve">(ICCPR </w:t>
      </w:r>
      <w:r w:rsidR="009B0AD2">
        <w:t>a</w:t>
      </w:r>
      <w:r w:rsidRPr="00B435FF">
        <w:t xml:space="preserve">rticles 7, 9, 12, 14, 17 </w:t>
      </w:r>
      <w:r>
        <w:t>&amp;</w:t>
      </w:r>
      <w:r w:rsidRPr="00B435FF">
        <w:t xml:space="preserve"> 26; LOI 7)</w:t>
      </w:r>
      <w:bookmarkEnd w:id="106"/>
      <w:bookmarkEnd w:id="107"/>
    </w:p>
    <w:p w14:paraId="2C9D3648" w14:textId="77777777" w:rsidR="00D3592F" w:rsidRDefault="00D3592F" w:rsidP="00D3592F">
      <w:pPr>
        <w:pStyle w:val="SubmissionNormal"/>
        <w:tabs>
          <w:tab w:val="clear" w:pos="720"/>
        </w:tabs>
        <w:rPr>
          <w:rFonts w:cs="Arial"/>
        </w:rPr>
      </w:pPr>
      <w:r w:rsidRPr="004E46B3">
        <w:rPr>
          <w:rFonts w:cs="Arial"/>
        </w:rPr>
        <w:t>The Co</w:t>
      </w:r>
      <w:r>
        <w:rPr>
          <w:rFonts w:cs="Arial"/>
        </w:rPr>
        <w:t>mmission consider</w:t>
      </w:r>
      <w:r w:rsidR="00415415">
        <w:rPr>
          <w:rFonts w:cs="Arial"/>
        </w:rPr>
        <w:t>s</w:t>
      </w:r>
      <w:r w:rsidRPr="004E46B3">
        <w:rPr>
          <w:rFonts w:cs="Arial"/>
        </w:rPr>
        <w:t xml:space="preserve"> that </w:t>
      </w:r>
      <w:r>
        <w:rPr>
          <w:rFonts w:cs="Arial"/>
        </w:rPr>
        <w:t>the following</w:t>
      </w:r>
      <w:r w:rsidRPr="004E46B3">
        <w:rPr>
          <w:rFonts w:cs="Arial"/>
        </w:rPr>
        <w:t xml:space="preserve"> counter-terrorism laws </w:t>
      </w:r>
      <w:r>
        <w:rPr>
          <w:rFonts w:cs="Arial"/>
        </w:rPr>
        <w:t xml:space="preserve">may disproportionately </w:t>
      </w:r>
      <w:r w:rsidRPr="00BA791D">
        <w:t>restrict</w:t>
      </w:r>
      <w:r w:rsidRPr="004E46B3">
        <w:rPr>
          <w:rFonts w:cs="Arial"/>
        </w:rPr>
        <w:t xml:space="preserve"> rights</w:t>
      </w:r>
      <w:r>
        <w:rPr>
          <w:rFonts w:cs="Arial"/>
        </w:rPr>
        <w:t xml:space="preserve"> under the ICCPR.</w:t>
      </w:r>
      <w:r w:rsidRPr="004E46B3">
        <w:rPr>
          <w:rStyle w:val="EndnoteReference"/>
        </w:rPr>
        <w:endnoteReference w:id="163"/>
      </w:r>
      <w:r>
        <w:rPr>
          <w:rFonts w:cs="Arial"/>
        </w:rPr>
        <w:t xml:space="preserve"> </w:t>
      </w:r>
    </w:p>
    <w:p w14:paraId="26382CB8" w14:textId="77777777" w:rsidR="00D3592F" w:rsidRDefault="00D3592F" w:rsidP="00D3592F">
      <w:pPr>
        <w:pStyle w:val="Heading3"/>
        <w:numPr>
          <w:ilvl w:val="2"/>
          <w:numId w:val="18"/>
        </w:numPr>
      </w:pPr>
      <w:bookmarkStart w:id="108" w:name="_Toc491243328"/>
      <w:bookmarkStart w:id="109" w:name="_Toc493489641"/>
      <w:r>
        <w:t>Control Orders</w:t>
      </w:r>
      <w:r>
        <w:rPr>
          <w:i w:val="0"/>
        </w:rPr>
        <w:t xml:space="preserve"> </w:t>
      </w:r>
      <w:r w:rsidRPr="00053CB9">
        <w:t>and</w:t>
      </w:r>
      <w:r>
        <w:rPr>
          <w:i w:val="0"/>
        </w:rPr>
        <w:t xml:space="preserve"> </w:t>
      </w:r>
      <w:r>
        <w:t>Preventative Detention Order regimes</w:t>
      </w:r>
      <w:r w:rsidRPr="00F6442D">
        <w:rPr>
          <w:rStyle w:val="EndnoteReference"/>
          <w:i w:val="0"/>
        </w:rPr>
        <w:endnoteReference w:id="164"/>
      </w:r>
      <w:bookmarkEnd w:id="108"/>
      <w:bookmarkEnd w:id="109"/>
    </w:p>
    <w:p w14:paraId="54184A09" w14:textId="6FD126EE" w:rsidR="00D3592F" w:rsidRPr="0035411E" w:rsidRDefault="00D3592F" w:rsidP="00D3592F">
      <w:pPr>
        <w:pStyle w:val="SubmissionNormal"/>
      </w:pPr>
      <w:r>
        <w:t xml:space="preserve">These regimes </w:t>
      </w:r>
      <w:r w:rsidRPr="0035411E">
        <w:t>may allow for the arb</w:t>
      </w:r>
      <w:r>
        <w:t xml:space="preserve">itrary detention of individuals; may </w:t>
      </w:r>
      <w:r w:rsidRPr="0035411E">
        <w:t>result in arbitrary interference with the right to privacy and the freedom</w:t>
      </w:r>
      <w:r>
        <w:t>s</w:t>
      </w:r>
      <w:r w:rsidRPr="0035411E">
        <w:t xml:space="preserve"> of movement, expression and association</w:t>
      </w:r>
      <w:r>
        <w:t xml:space="preserve">; and </w:t>
      </w:r>
      <w:r w:rsidRPr="0035411E">
        <w:t>do not provide effective review procedures.</w:t>
      </w:r>
      <w:r w:rsidRPr="0035411E">
        <w:rPr>
          <w:rStyle w:val="EndnoteReference"/>
        </w:rPr>
        <w:endnoteReference w:id="165"/>
      </w:r>
      <w:r w:rsidRPr="0035411E">
        <w:t xml:space="preserve"> </w:t>
      </w:r>
    </w:p>
    <w:p w14:paraId="42DD2824" w14:textId="2B7E3D14" w:rsidR="00D3592F" w:rsidRDefault="00D3592F" w:rsidP="00D3592F">
      <w:pPr>
        <w:pStyle w:val="SubmissionNormal"/>
      </w:pPr>
      <w:r>
        <w:t>The Commission has recommended that,</w:t>
      </w:r>
      <w:r w:rsidRPr="00BC4759">
        <w:t xml:space="preserve"> absen</w:t>
      </w:r>
      <w:r>
        <w:t>t</w:t>
      </w:r>
      <w:r w:rsidRPr="00BC4759">
        <w:t xml:space="preserve"> compelling evidence that the provisions are necessary and proportionate to achieving a legitimate objective, </w:t>
      </w:r>
      <w:r>
        <w:t>the preventative detention order regime should be repealed,</w:t>
      </w:r>
      <w:r w:rsidRPr="004E46B3">
        <w:rPr>
          <w:rStyle w:val="EndnoteReference"/>
        </w:rPr>
        <w:endnoteReference w:id="166"/>
      </w:r>
      <w:r>
        <w:t xml:space="preserve"> and</w:t>
      </w:r>
      <w:r w:rsidRPr="00BC4759">
        <w:t xml:space="preserve"> </w:t>
      </w:r>
      <w:r>
        <w:t xml:space="preserve">the control orders regime should be amended to comply with international human rights law, or, </w:t>
      </w:r>
      <w:r w:rsidR="00415415">
        <w:t>failing that</w:t>
      </w:r>
      <w:r w:rsidRPr="00A2592F">
        <w:t xml:space="preserve">, should </w:t>
      </w:r>
      <w:r>
        <w:t xml:space="preserve">also </w:t>
      </w:r>
      <w:r w:rsidRPr="00A2592F">
        <w:t>be repealed.</w:t>
      </w:r>
      <w:r w:rsidRPr="00A2592F">
        <w:rPr>
          <w:rStyle w:val="EndnoteReference"/>
        </w:rPr>
        <w:endnoteReference w:id="167"/>
      </w:r>
    </w:p>
    <w:p w14:paraId="3959C3FF" w14:textId="77777777" w:rsidR="00D3592F" w:rsidRPr="00A2592F" w:rsidRDefault="00D3592F" w:rsidP="00D3592F">
      <w:pPr>
        <w:pStyle w:val="Heading3"/>
        <w:numPr>
          <w:ilvl w:val="2"/>
          <w:numId w:val="18"/>
        </w:numPr>
      </w:pPr>
      <w:bookmarkStart w:id="110" w:name="_Toc491243329"/>
      <w:bookmarkStart w:id="111" w:name="_Toc493489642"/>
      <w:r>
        <w:t>Post-sentence d</w:t>
      </w:r>
      <w:r w:rsidRPr="00A2592F">
        <w:t>etention</w:t>
      </w:r>
      <w:r w:rsidRPr="00BB083A">
        <w:rPr>
          <w:rStyle w:val="EndnoteReference"/>
          <w:i w:val="0"/>
        </w:rPr>
        <w:endnoteReference w:id="168"/>
      </w:r>
      <w:bookmarkEnd w:id="110"/>
      <w:bookmarkEnd w:id="111"/>
    </w:p>
    <w:p w14:paraId="43C0DC16" w14:textId="77777777" w:rsidR="00AD69DE" w:rsidRDefault="00D3592F" w:rsidP="00D3592F">
      <w:pPr>
        <w:pStyle w:val="SubmissionNormal"/>
      </w:pPr>
      <w:r>
        <w:t xml:space="preserve">This measure permits the </w:t>
      </w:r>
      <w:r w:rsidRPr="00A2592F">
        <w:t>continued detention of people convicted of a range of terrorism</w:t>
      </w:r>
      <w:r>
        <w:t>-</w:t>
      </w:r>
      <w:r w:rsidRPr="00A2592F">
        <w:t xml:space="preserve">related offences after the expiration of their sentences in circumstances where </w:t>
      </w:r>
      <w:r>
        <w:t>they</w:t>
      </w:r>
      <w:r w:rsidRPr="00A2592F">
        <w:t xml:space="preserve"> are assessed as posing an unacceptable risk to community safety and that risk cannot be managed in a less restrictive way.</w:t>
      </w:r>
      <w:r>
        <w:rPr>
          <w:rStyle w:val="EndnoteReference"/>
        </w:rPr>
        <w:endnoteReference w:id="169"/>
      </w:r>
      <w:r>
        <w:t xml:space="preserve"> The </w:t>
      </w:r>
      <w:r w:rsidR="00415415">
        <w:t xml:space="preserve">Commission </w:t>
      </w:r>
      <w:r w:rsidR="00AD69DE">
        <w:t>has recommended</w:t>
      </w:r>
      <w:r w:rsidR="00415415">
        <w:t xml:space="preserve"> that these provisions be amended so as to achieve their legitimate purpose without impinging disproportionately on the human rights of those affected. </w:t>
      </w:r>
    </w:p>
    <w:p w14:paraId="58C818A6" w14:textId="77777777" w:rsidR="00D3592F" w:rsidRPr="00A2592F" w:rsidRDefault="00AD69DE" w:rsidP="00D3592F">
      <w:pPr>
        <w:pStyle w:val="SubmissionNormal"/>
      </w:pPr>
      <w:r>
        <w:t xml:space="preserve">The Commission notes that the </w:t>
      </w:r>
      <w:r w:rsidR="00D3592F" w:rsidRPr="00A2592F">
        <w:t xml:space="preserve">Committee has considered post-sentence preventative detention schemes </w:t>
      </w:r>
      <w:r w:rsidR="00D3592F">
        <w:t xml:space="preserve">in Australia </w:t>
      </w:r>
      <w:r>
        <w:t xml:space="preserve">outside of the counter-terrorism context, in relation </w:t>
      </w:r>
      <w:r w:rsidR="00D3592F" w:rsidRPr="00A2592F">
        <w:t>to two people convicted of sex offences</w:t>
      </w:r>
      <w:r>
        <w:t>. The Committee found these laws</w:t>
      </w:r>
      <w:r w:rsidR="00D3592F" w:rsidRPr="00A2592F">
        <w:t xml:space="preserve"> </w:t>
      </w:r>
      <w:r>
        <w:t xml:space="preserve">violated </w:t>
      </w:r>
      <w:r w:rsidR="00D3592F">
        <w:t>article 9 of the ICCPR.</w:t>
      </w:r>
      <w:r w:rsidR="00D3592F" w:rsidRPr="00A2592F">
        <w:rPr>
          <w:rStyle w:val="EndnoteReference"/>
        </w:rPr>
        <w:endnoteReference w:id="170"/>
      </w:r>
      <w:r w:rsidR="00D3592F" w:rsidRPr="00A2592F">
        <w:t xml:space="preserve"> </w:t>
      </w:r>
    </w:p>
    <w:p w14:paraId="0F667E49" w14:textId="04AA569B" w:rsidR="00D3592F" w:rsidRPr="00A2592F" w:rsidRDefault="0081685A" w:rsidP="00D3592F">
      <w:pPr>
        <w:pStyle w:val="Heading3"/>
        <w:numPr>
          <w:ilvl w:val="2"/>
          <w:numId w:val="18"/>
        </w:numPr>
      </w:pPr>
      <w:bookmarkStart w:id="112" w:name="_Toc491243330"/>
      <w:bookmarkStart w:id="113" w:name="_Toc493489643"/>
      <w:r>
        <w:t>’</w:t>
      </w:r>
      <w:r w:rsidR="00D3592F" w:rsidRPr="00A2592F">
        <w:t>Stop, search and seize</w:t>
      </w:r>
      <w:r>
        <w:t>’</w:t>
      </w:r>
      <w:r w:rsidR="00D3592F" w:rsidRPr="00A2592F">
        <w:t xml:space="preserve"> powers</w:t>
      </w:r>
      <w:r w:rsidR="00D3592F" w:rsidRPr="00EB593F">
        <w:rPr>
          <w:rStyle w:val="EndnoteReference"/>
          <w:i w:val="0"/>
        </w:rPr>
        <w:endnoteReference w:id="171"/>
      </w:r>
      <w:bookmarkEnd w:id="112"/>
      <w:bookmarkEnd w:id="113"/>
    </w:p>
    <w:p w14:paraId="6A077229" w14:textId="2E17C827" w:rsidR="00D3592F" w:rsidRDefault="00D3592F" w:rsidP="00D3592F">
      <w:pPr>
        <w:pStyle w:val="SubmissionNormal"/>
      </w:pPr>
      <w:r w:rsidRPr="0035411E">
        <w:t xml:space="preserve">These powers involve restrictions on the freedom of movement </w:t>
      </w:r>
      <w:r w:rsidR="001610C6">
        <w:t>and the right to privacy</w:t>
      </w:r>
      <w:r w:rsidRPr="0035411E">
        <w:t>.</w:t>
      </w:r>
      <w:r>
        <w:t xml:space="preserve"> The Commission is concerned that the breadth </w:t>
      </w:r>
      <w:r w:rsidRPr="0035411E">
        <w:t xml:space="preserve">of </w:t>
      </w:r>
      <w:r>
        <w:t>these</w:t>
      </w:r>
      <w:r w:rsidRPr="0035411E">
        <w:t xml:space="preserve"> powers</w:t>
      </w:r>
      <w:r>
        <w:t xml:space="preserve"> is not</w:t>
      </w:r>
      <w:r w:rsidRPr="0035411E">
        <w:t xml:space="preserve"> proportionate to the legitimate need to protect public safety</w:t>
      </w:r>
      <w:r>
        <w:t>.</w:t>
      </w:r>
      <w:r w:rsidR="00543C2F">
        <w:rPr>
          <w:rStyle w:val="EndnoteReference"/>
        </w:rPr>
        <w:endnoteReference w:id="172"/>
      </w:r>
    </w:p>
    <w:p w14:paraId="3AB37F36" w14:textId="0CC32312" w:rsidR="00D3592F" w:rsidRDefault="001610C6" w:rsidP="00D3592F">
      <w:pPr>
        <w:pStyle w:val="Heading3"/>
        <w:numPr>
          <w:ilvl w:val="2"/>
          <w:numId w:val="18"/>
        </w:numPr>
      </w:pPr>
      <w:bookmarkStart w:id="114" w:name="_Toc491243331"/>
      <w:bookmarkStart w:id="115" w:name="_Toc493489644"/>
      <w:r>
        <w:t>‘</w:t>
      </w:r>
      <w:r w:rsidR="00D3592F">
        <w:t>Declared areas</w:t>
      </w:r>
      <w:r>
        <w:t>’</w:t>
      </w:r>
      <w:r w:rsidR="00D3592F">
        <w:t xml:space="preserve"> offences</w:t>
      </w:r>
      <w:r w:rsidR="00D3592F" w:rsidRPr="00EB593F">
        <w:rPr>
          <w:rStyle w:val="EndnoteReference"/>
          <w:i w:val="0"/>
        </w:rPr>
        <w:endnoteReference w:id="173"/>
      </w:r>
      <w:bookmarkEnd w:id="114"/>
      <w:bookmarkEnd w:id="115"/>
    </w:p>
    <w:p w14:paraId="13241F2D" w14:textId="141737FB" w:rsidR="00D3592F" w:rsidRDefault="00D3592F" w:rsidP="00D3592F">
      <w:pPr>
        <w:pStyle w:val="SubmissionNormal"/>
      </w:pPr>
      <w:r>
        <w:t xml:space="preserve">These offences, aimed at ‘foreign fighters’, criminalise entry into </w:t>
      </w:r>
      <w:r w:rsidRPr="0035411E">
        <w:t>an</w:t>
      </w:r>
      <w:r>
        <w:t>d remaining in ‘declared areas’, unless s</w:t>
      </w:r>
      <w:r w:rsidRPr="0035411E">
        <w:t>olely for a ‘legitimate’ purpose</w:t>
      </w:r>
      <w:r>
        <w:t xml:space="preserve">. The Commission has expressed concern that, by </w:t>
      </w:r>
      <w:r w:rsidRPr="0035411E">
        <w:t xml:space="preserve">potentially capturing a wide range of innocent conduct, and making that conduct subject to severe criminal </w:t>
      </w:r>
      <w:r w:rsidRPr="0035411E">
        <w:lastRenderedPageBreak/>
        <w:t>penalty, in the absence of a demonstrated compelling need</w:t>
      </w:r>
      <w:r>
        <w:t>, the ‘</w:t>
      </w:r>
      <w:r w:rsidRPr="0035411E">
        <w:t>declared area</w:t>
      </w:r>
      <w:r>
        <w:t>’</w:t>
      </w:r>
      <w:r w:rsidRPr="0035411E">
        <w:t xml:space="preserve"> provisions</w:t>
      </w:r>
      <w:r>
        <w:t xml:space="preserve"> may unjustifiably</w:t>
      </w:r>
      <w:r w:rsidR="001610C6">
        <w:t xml:space="preserve"> limit freedom of movement</w:t>
      </w:r>
      <w:r>
        <w:t xml:space="preserve"> and </w:t>
      </w:r>
      <w:r w:rsidRPr="0035411E">
        <w:t>the right to family life.</w:t>
      </w:r>
      <w:r w:rsidRPr="004E46B3">
        <w:rPr>
          <w:rStyle w:val="EndnoteReference"/>
        </w:rPr>
        <w:endnoteReference w:id="174"/>
      </w:r>
      <w:r>
        <w:t xml:space="preserve"> </w:t>
      </w:r>
    </w:p>
    <w:p w14:paraId="6BCCABAE" w14:textId="77777777" w:rsidR="00D3592F" w:rsidRDefault="00D3592F" w:rsidP="00D3592F">
      <w:pPr>
        <w:pStyle w:val="Heading3"/>
        <w:numPr>
          <w:ilvl w:val="2"/>
          <w:numId w:val="18"/>
        </w:numPr>
      </w:pPr>
      <w:bookmarkStart w:id="116" w:name="_Toc491243332"/>
      <w:bookmarkStart w:id="117" w:name="_Toc493489645"/>
      <w:r>
        <w:t>Revocation of citizenship</w:t>
      </w:r>
      <w:r w:rsidRPr="00131F5C">
        <w:rPr>
          <w:rStyle w:val="EndnoteReference"/>
          <w:i w:val="0"/>
        </w:rPr>
        <w:endnoteReference w:id="175"/>
      </w:r>
      <w:bookmarkEnd w:id="116"/>
      <w:bookmarkEnd w:id="117"/>
    </w:p>
    <w:p w14:paraId="25E3241B" w14:textId="77777777" w:rsidR="00D3592F" w:rsidRDefault="00D3592F" w:rsidP="00D3592F">
      <w:pPr>
        <w:pStyle w:val="SubmissionNormal"/>
        <w:rPr>
          <w:lang w:eastAsia="en-US"/>
        </w:rPr>
      </w:pPr>
      <w:r>
        <w:t xml:space="preserve">Recent amendments provide for the </w:t>
      </w:r>
      <w:r>
        <w:rPr>
          <w:lang w:eastAsia="en-US"/>
        </w:rPr>
        <w:t>revocation of</w:t>
      </w:r>
      <w:r>
        <w:t xml:space="preserve"> </w:t>
      </w:r>
      <w:r w:rsidRPr="00B435FF">
        <w:t>a dual national</w:t>
      </w:r>
      <w:r>
        <w:t>’s</w:t>
      </w:r>
      <w:r w:rsidRPr="00B435FF">
        <w:t xml:space="preserve"> Australian citizenship</w:t>
      </w:r>
      <w:r>
        <w:t>:</w:t>
      </w:r>
    </w:p>
    <w:p w14:paraId="15ECD6E2" w14:textId="2ECF73F5" w:rsidR="00D3592F" w:rsidRDefault="00D3592F" w:rsidP="00E90792">
      <w:pPr>
        <w:pStyle w:val="SubmissionNormal"/>
        <w:numPr>
          <w:ilvl w:val="0"/>
          <w:numId w:val="65"/>
        </w:numPr>
        <w:ind w:left="1418"/>
        <w:rPr>
          <w:lang w:eastAsia="en-US"/>
        </w:rPr>
      </w:pPr>
      <w:r w:rsidRPr="00B435FF">
        <w:t>automatically</w:t>
      </w:r>
      <w:r>
        <w:t>,</w:t>
      </w:r>
      <w:r w:rsidRPr="00B435FF">
        <w:t xml:space="preserve"> if </w:t>
      </w:r>
      <w:r>
        <w:t>they</w:t>
      </w:r>
      <w:r w:rsidRPr="00B435FF">
        <w:t xml:space="preserve"> engage in certain kinds of conduct</w:t>
      </w:r>
      <w:r>
        <w:t xml:space="preserve"> (mostly terrorism-related);</w:t>
      </w:r>
      <w:r w:rsidR="009932C5">
        <w:t xml:space="preserve"> and</w:t>
      </w:r>
    </w:p>
    <w:p w14:paraId="39FC62FC" w14:textId="77777777" w:rsidR="00D3592F" w:rsidRDefault="00D3592F" w:rsidP="00E90792">
      <w:pPr>
        <w:pStyle w:val="SubmissionNormal"/>
        <w:numPr>
          <w:ilvl w:val="0"/>
          <w:numId w:val="65"/>
        </w:numPr>
        <w:ind w:left="1418"/>
        <w:rPr>
          <w:lang w:eastAsia="en-US"/>
        </w:rPr>
      </w:pPr>
      <w:r>
        <w:t>by Ministerial determination, if they are</w:t>
      </w:r>
      <w:r w:rsidRPr="00B435FF">
        <w:t xml:space="preserve"> convicted of certain offences (most</w:t>
      </w:r>
      <w:r>
        <w:t>ly</w:t>
      </w:r>
      <w:r w:rsidRPr="00B435FF">
        <w:t xml:space="preserve"> terrorism-related). </w:t>
      </w:r>
    </w:p>
    <w:p w14:paraId="226E30F2" w14:textId="57433570" w:rsidR="00D3592F" w:rsidRDefault="00D3592F" w:rsidP="00D3592F">
      <w:pPr>
        <w:pStyle w:val="SubmissionNormal"/>
        <w:rPr>
          <w:lang w:eastAsia="en-US"/>
        </w:rPr>
      </w:pPr>
      <w:r w:rsidRPr="00B435FF">
        <w:t xml:space="preserve">The Commission </w:t>
      </w:r>
      <w:r>
        <w:t xml:space="preserve">has </w:t>
      </w:r>
      <w:r w:rsidRPr="00B435FF">
        <w:t xml:space="preserve">expressed concern that these </w:t>
      </w:r>
      <w:r>
        <w:t>measures</w:t>
      </w:r>
      <w:r w:rsidRPr="00B435FF">
        <w:t xml:space="preserve"> </w:t>
      </w:r>
      <w:r>
        <w:t>arbitrarily</w:t>
      </w:r>
      <w:r w:rsidRPr="00B435FF">
        <w:t xml:space="preserve"> impair the right of Australians to enter or remain in their own country</w:t>
      </w:r>
      <w:r>
        <w:t>, and interfere</w:t>
      </w:r>
      <w:r w:rsidRPr="00B435FF">
        <w:t xml:space="preserve"> with their family and family life</w:t>
      </w:r>
      <w:r>
        <w:t xml:space="preserve">. </w:t>
      </w:r>
    </w:p>
    <w:p w14:paraId="78586DC1" w14:textId="77777777" w:rsidR="00D3592F" w:rsidRPr="00B435FF" w:rsidRDefault="00D3592F" w:rsidP="00D3592F">
      <w:pPr>
        <w:pStyle w:val="SubmissionNormal"/>
        <w:rPr>
          <w:lang w:eastAsia="en-US"/>
        </w:rPr>
      </w:pPr>
      <w:r>
        <w:t>The Commission has also expressed concern that these amendments: appl</w:t>
      </w:r>
      <w:r w:rsidR="00E93429">
        <w:t>y</w:t>
      </w:r>
      <w:r>
        <w:t xml:space="preserve"> </w:t>
      </w:r>
      <w:r w:rsidRPr="00B435FF">
        <w:t>to chi</w:t>
      </w:r>
      <w:r>
        <w:t>ldren aged 10–14 years</w:t>
      </w:r>
      <w:r w:rsidRPr="00B435FF">
        <w:t xml:space="preserve">; </w:t>
      </w:r>
      <w:r w:rsidR="00E93429">
        <w:t xml:space="preserve">are </w:t>
      </w:r>
      <w:r>
        <w:t>retrospective</w:t>
      </w:r>
      <w:r w:rsidRPr="00B435FF">
        <w:t xml:space="preserve">; </w:t>
      </w:r>
      <w:r w:rsidR="00E93429">
        <w:t xml:space="preserve">do </w:t>
      </w:r>
      <w:r>
        <w:t>not entitle the person t</w:t>
      </w:r>
      <w:r w:rsidRPr="00B435FF">
        <w:t xml:space="preserve">o make submissions on the revocation of their citizenship; </w:t>
      </w:r>
      <w:r>
        <w:t>and lack</w:t>
      </w:r>
      <w:r w:rsidRPr="00B435FF">
        <w:t xml:space="preserve"> a requirement for a criminal conviction prior to revocation of citizenship for some offences.</w:t>
      </w:r>
      <w:r w:rsidRPr="00B435FF">
        <w:rPr>
          <w:rStyle w:val="EndnoteReference"/>
        </w:rPr>
        <w:endnoteReference w:id="176"/>
      </w:r>
    </w:p>
    <w:p w14:paraId="73778E01" w14:textId="77777777" w:rsidR="00D3592F" w:rsidRDefault="00D3592F" w:rsidP="00D3592F">
      <w:pPr>
        <w:pStyle w:val="Heading3"/>
        <w:numPr>
          <w:ilvl w:val="2"/>
          <w:numId w:val="18"/>
        </w:numPr>
      </w:pPr>
      <w:bookmarkStart w:id="118" w:name="_Toc491243333"/>
      <w:bookmarkStart w:id="119" w:name="_Toc493489646"/>
      <w:r>
        <w:t>Other measures</w:t>
      </w:r>
      <w:bookmarkEnd w:id="118"/>
      <w:bookmarkEnd w:id="119"/>
      <w:r>
        <w:t xml:space="preserve"> </w:t>
      </w:r>
    </w:p>
    <w:p w14:paraId="4C8FB72C" w14:textId="25B96668" w:rsidR="00D3592F" w:rsidRDefault="00D3592F" w:rsidP="00D3592F">
      <w:pPr>
        <w:pStyle w:val="SubmissionNormal"/>
      </w:pPr>
      <w:r>
        <w:rPr>
          <w:lang w:eastAsia="en-US"/>
        </w:rPr>
        <w:t xml:space="preserve">The </w:t>
      </w:r>
      <w:r w:rsidRPr="00EB593F">
        <w:rPr>
          <w:rFonts w:cs="Arial"/>
        </w:rPr>
        <w:t>Commission</w:t>
      </w:r>
      <w:r>
        <w:rPr>
          <w:lang w:eastAsia="en-US"/>
        </w:rPr>
        <w:t xml:space="preserve"> has also expressed concern in relation to reforms seeking to:</w:t>
      </w:r>
      <w:r>
        <w:t xml:space="preserve"> l</w:t>
      </w:r>
      <w:r>
        <w:rPr>
          <w:lang w:eastAsia="en-US"/>
        </w:rPr>
        <w:t>imit</w:t>
      </w:r>
      <w:r w:rsidRPr="004E46B3">
        <w:rPr>
          <w:lang w:eastAsia="en-US"/>
        </w:rPr>
        <w:t xml:space="preserve"> journalists’ ability to report on terrorist</w:t>
      </w:r>
      <w:r>
        <w:rPr>
          <w:lang w:eastAsia="en-US"/>
        </w:rPr>
        <w:t>-</w:t>
      </w:r>
      <w:r w:rsidRPr="004E46B3">
        <w:rPr>
          <w:lang w:eastAsia="en-US"/>
        </w:rPr>
        <w:t>related issues</w:t>
      </w:r>
      <w:r>
        <w:rPr>
          <w:lang w:eastAsia="en-US"/>
        </w:rPr>
        <w:t>;</w:t>
      </w:r>
      <w:r>
        <w:t xml:space="preserve"> e</w:t>
      </w:r>
      <w:r>
        <w:rPr>
          <w:lang w:eastAsia="en-US"/>
        </w:rPr>
        <w:t>xpand the</w:t>
      </w:r>
      <w:r w:rsidRPr="004E46B3">
        <w:rPr>
          <w:lang w:eastAsia="en-US"/>
        </w:rPr>
        <w:t xml:space="preserve"> powers of security agencies to obt</w:t>
      </w:r>
      <w:r>
        <w:rPr>
          <w:lang w:eastAsia="en-US"/>
        </w:rPr>
        <w:t xml:space="preserve">ain information without warrant; introduce a </w:t>
      </w:r>
      <w:r w:rsidRPr="004E46B3">
        <w:t>mandatory data retention scheme</w:t>
      </w:r>
      <w:r>
        <w:t>; expand monitoring powers; and increase secrecy in certain terrorism-related</w:t>
      </w:r>
      <w:r w:rsidRPr="00EB61BB">
        <w:t xml:space="preserve"> court proceedings</w:t>
      </w:r>
      <w:r>
        <w:t>.</w:t>
      </w:r>
      <w:r>
        <w:rPr>
          <w:rStyle w:val="EndnoteReference"/>
        </w:rPr>
        <w:endnoteReference w:id="177"/>
      </w:r>
      <w:r w:rsidRPr="00EB61BB">
        <w:t xml:space="preserve"> </w:t>
      </w:r>
    </w:p>
    <w:p w14:paraId="4072E1BC" w14:textId="0FECB757" w:rsidR="00D3592F" w:rsidRPr="00152626" w:rsidRDefault="00D3592F" w:rsidP="00E90792">
      <w:pPr>
        <w:pStyle w:val="SubmissionNormal"/>
        <w:numPr>
          <w:ilvl w:val="0"/>
          <w:numId w:val="52"/>
        </w:numPr>
        <w:rPr>
          <w:rFonts w:cs="Arial"/>
        </w:rPr>
      </w:pPr>
      <w:r>
        <w:rPr>
          <w:rFonts w:eastAsia="Calibri"/>
          <w:b/>
          <w:lang w:val="en-NZ" w:eastAsia="en-US"/>
        </w:rPr>
        <w:t>T</w:t>
      </w:r>
      <w:r w:rsidRPr="004E46B3">
        <w:rPr>
          <w:rFonts w:eastAsia="Calibri"/>
          <w:b/>
          <w:lang w:val="en-NZ" w:eastAsia="en-US"/>
        </w:rPr>
        <w:t xml:space="preserve">hat the </w:t>
      </w:r>
      <w:r w:rsidR="00D77D6F">
        <w:rPr>
          <w:rFonts w:eastAsia="Calibri"/>
          <w:b/>
          <w:lang w:val="en-NZ" w:eastAsia="en-US"/>
        </w:rPr>
        <w:t xml:space="preserve">Australian </w:t>
      </w:r>
      <w:r w:rsidRPr="004E46B3">
        <w:rPr>
          <w:rFonts w:eastAsia="Calibri"/>
          <w:b/>
          <w:lang w:val="en-NZ" w:eastAsia="en-US"/>
        </w:rPr>
        <w:t xml:space="preserve">Government ensure </w:t>
      </w:r>
      <w:r w:rsidR="00E93429">
        <w:rPr>
          <w:rFonts w:eastAsia="Calibri"/>
          <w:b/>
          <w:lang w:val="en-NZ" w:eastAsia="en-US"/>
        </w:rPr>
        <w:t xml:space="preserve">that where </w:t>
      </w:r>
      <w:r w:rsidRPr="004E46B3">
        <w:rPr>
          <w:rFonts w:eastAsia="Calibri"/>
          <w:b/>
          <w:lang w:val="en-NZ" w:eastAsia="en-US"/>
        </w:rPr>
        <w:t>counter-</w:t>
      </w:r>
      <w:r w:rsidRPr="000C100F">
        <w:rPr>
          <w:b/>
        </w:rPr>
        <w:t>terrorism</w:t>
      </w:r>
      <w:r w:rsidRPr="004E46B3">
        <w:rPr>
          <w:rFonts w:eastAsia="Calibri"/>
          <w:b/>
          <w:lang w:val="en-NZ" w:eastAsia="en-US"/>
        </w:rPr>
        <w:t xml:space="preserve"> laws </w:t>
      </w:r>
      <w:r w:rsidR="00E93429">
        <w:rPr>
          <w:rFonts w:cs="Arial"/>
          <w:b/>
        </w:rPr>
        <w:t xml:space="preserve">limit </w:t>
      </w:r>
      <w:r w:rsidRPr="004E46B3">
        <w:rPr>
          <w:rFonts w:eastAsia="Calibri"/>
          <w:b/>
          <w:lang w:val="en-NZ" w:eastAsia="en-US"/>
        </w:rPr>
        <w:t>human rights</w:t>
      </w:r>
      <w:r w:rsidR="00E93429">
        <w:rPr>
          <w:rFonts w:eastAsia="Calibri"/>
          <w:b/>
          <w:lang w:val="en-NZ" w:eastAsia="en-US"/>
        </w:rPr>
        <w:t>,</w:t>
      </w:r>
      <w:r w:rsidRPr="004E46B3">
        <w:rPr>
          <w:rFonts w:eastAsia="Calibri"/>
          <w:b/>
          <w:lang w:val="en-NZ" w:eastAsia="en-US"/>
        </w:rPr>
        <w:t xml:space="preserve"> </w:t>
      </w:r>
      <w:r w:rsidR="00E93429">
        <w:rPr>
          <w:rFonts w:eastAsia="Calibri"/>
          <w:b/>
          <w:lang w:val="en-NZ" w:eastAsia="en-US"/>
        </w:rPr>
        <w:t xml:space="preserve">the limitation </w:t>
      </w:r>
      <w:r>
        <w:rPr>
          <w:rFonts w:eastAsia="Calibri"/>
          <w:b/>
          <w:lang w:val="en-NZ" w:eastAsia="en-US"/>
        </w:rPr>
        <w:t xml:space="preserve">is </w:t>
      </w:r>
      <w:r w:rsidR="00E93429">
        <w:rPr>
          <w:rFonts w:eastAsia="Calibri"/>
          <w:b/>
          <w:lang w:eastAsia="en-US"/>
        </w:rPr>
        <w:t>clearly expressed</w:t>
      </w:r>
      <w:r w:rsidR="00E93429" w:rsidRPr="00E93429">
        <w:rPr>
          <w:rFonts w:eastAsia="Calibri"/>
          <w:b/>
          <w:lang w:eastAsia="en-US"/>
        </w:rPr>
        <w:t xml:space="preserve">, necessary </w:t>
      </w:r>
      <w:r w:rsidR="00E93429">
        <w:rPr>
          <w:rFonts w:eastAsia="Calibri"/>
          <w:b/>
          <w:lang w:eastAsia="en-US"/>
        </w:rPr>
        <w:t xml:space="preserve">for the pursuit of a </w:t>
      </w:r>
      <w:r>
        <w:rPr>
          <w:rFonts w:eastAsia="Calibri"/>
          <w:b/>
          <w:lang w:val="en-NZ" w:eastAsia="en-US"/>
        </w:rPr>
        <w:t xml:space="preserve">legitimate </w:t>
      </w:r>
      <w:r w:rsidR="00E93429">
        <w:rPr>
          <w:rFonts w:eastAsia="Calibri"/>
          <w:b/>
          <w:lang w:val="en-NZ" w:eastAsia="en-US"/>
        </w:rPr>
        <w:t xml:space="preserve">purpose, reasonable </w:t>
      </w:r>
      <w:r>
        <w:rPr>
          <w:rFonts w:eastAsia="Calibri"/>
          <w:b/>
          <w:lang w:val="en-NZ" w:eastAsia="en-US"/>
        </w:rPr>
        <w:t>and proportionate.</w:t>
      </w:r>
      <w:r w:rsidR="00152626">
        <w:rPr>
          <w:rFonts w:eastAsia="Calibri"/>
          <w:b/>
          <w:lang w:val="en-NZ" w:eastAsia="en-US"/>
        </w:rPr>
        <w:t xml:space="preserve"> </w:t>
      </w:r>
      <w:r w:rsidR="00A2060D">
        <w:rPr>
          <w:b/>
        </w:rPr>
        <w:t>The Commission considers this issue to be of such importance that the Committee should request an update from the Australian Government on progress in 12 months time.</w:t>
      </w:r>
    </w:p>
    <w:p w14:paraId="124ABF78" w14:textId="7DBBBB94" w:rsidR="00BB083A" w:rsidRPr="0083253A" w:rsidRDefault="00BB083A" w:rsidP="00C224AD">
      <w:pPr>
        <w:pStyle w:val="Heading1"/>
      </w:pPr>
      <w:bookmarkStart w:id="120" w:name="_Toc162769295"/>
      <w:bookmarkStart w:id="121" w:name="_Toc493489647"/>
      <w:r w:rsidRPr="0083253A">
        <w:t xml:space="preserve">Human </w:t>
      </w:r>
      <w:r w:rsidR="00692F0B">
        <w:t>trafficking and s</w:t>
      </w:r>
      <w:r w:rsidRPr="0083253A">
        <w:t xml:space="preserve">lavery </w:t>
      </w:r>
      <w:r w:rsidR="00561EDC">
        <w:t xml:space="preserve">(ICCPR </w:t>
      </w:r>
      <w:r w:rsidR="00BA6902">
        <w:t>a</w:t>
      </w:r>
      <w:r w:rsidR="00561EDC">
        <w:t>rticle 7 &amp;</w:t>
      </w:r>
      <w:r>
        <w:t xml:space="preserve"> </w:t>
      </w:r>
      <w:r w:rsidRPr="00F12C54">
        <w:t>8; LOI 16)</w:t>
      </w:r>
      <w:bookmarkEnd w:id="121"/>
    </w:p>
    <w:p w14:paraId="58A00DB9" w14:textId="77777777" w:rsidR="00BB083A" w:rsidRPr="00D87B87" w:rsidRDefault="00BB083A" w:rsidP="00BB083A">
      <w:pPr>
        <w:pStyle w:val="SubmissionNormal"/>
        <w:rPr>
          <w:rFonts w:cs="Arial"/>
        </w:rPr>
      </w:pPr>
      <w:r w:rsidRPr="00AC613D">
        <w:t xml:space="preserve">The Commission commends </w:t>
      </w:r>
      <w:r w:rsidR="00B10791">
        <w:t>the Government’s development of</w:t>
      </w:r>
      <w:r w:rsidRPr="00AC613D">
        <w:t xml:space="preserve"> a </w:t>
      </w:r>
      <w:r w:rsidRPr="00BE1212">
        <w:rPr>
          <w:i/>
        </w:rPr>
        <w:t>National Action Plan to Combat Human Trafficking and Slavery 2015–2019</w:t>
      </w:r>
      <w:r w:rsidRPr="00AC613D">
        <w:rPr>
          <w:sz w:val="20"/>
          <w:vertAlign w:val="superscript"/>
        </w:rPr>
        <w:endnoteReference w:id="178"/>
      </w:r>
      <w:r w:rsidRPr="00D87B87">
        <w:rPr>
          <w:b/>
        </w:rPr>
        <w:t xml:space="preserve"> </w:t>
      </w:r>
      <w:r w:rsidRPr="00D47BD3">
        <w:t>and</w:t>
      </w:r>
      <w:r>
        <w:t xml:space="preserve"> supporting</w:t>
      </w:r>
      <w:r w:rsidRPr="00D47BD3">
        <w:t xml:space="preserve"> in</w:t>
      </w:r>
      <w:r>
        <w:t>itiatives.</w:t>
      </w:r>
      <w:r>
        <w:rPr>
          <w:rStyle w:val="EndnoteReference"/>
        </w:rPr>
        <w:endnoteReference w:id="179"/>
      </w:r>
      <w:r>
        <w:rPr>
          <w:rFonts w:cs="Arial"/>
          <w:color w:val="000000"/>
        </w:rPr>
        <w:t xml:space="preserve"> </w:t>
      </w:r>
      <w:r w:rsidRPr="00205AED">
        <w:t xml:space="preserve">The Commission </w:t>
      </w:r>
      <w:r>
        <w:t>notes that adequate funding is needed for the full implementation of the National Action Plan.</w:t>
      </w:r>
    </w:p>
    <w:p w14:paraId="0F3B55B7" w14:textId="77777777" w:rsidR="00071754" w:rsidRPr="00071754" w:rsidRDefault="00071754" w:rsidP="00071754">
      <w:pPr>
        <w:pStyle w:val="SubmissionNormal"/>
        <w:rPr>
          <w:rFonts w:cs="Arial"/>
        </w:rPr>
      </w:pPr>
      <w:r>
        <w:rPr>
          <w:rFonts w:cs="Arial"/>
        </w:rPr>
        <w:t xml:space="preserve">The Commission welcomes the </w:t>
      </w:r>
      <w:r w:rsidRPr="00071754">
        <w:rPr>
          <w:rFonts w:cs="Arial"/>
        </w:rPr>
        <w:t>Interdepartmental Committee on Human Trafficking and Slavery</w:t>
      </w:r>
      <w:r>
        <w:rPr>
          <w:rFonts w:cs="Arial"/>
        </w:rPr>
        <w:t>.</w:t>
      </w:r>
      <w:r>
        <w:rPr>
          <w:rStyle w:val="EndnoteReference"/>
          <w:rFonts w:cs="Arial"/>
        </w:rPr>
        <w:endnoteReference w:id="180"/>
      </w:r>
    </w:p>
    <w:p w14:paraId="72540958" w14:textId="77777777" w:rsidR="00BB083A" w:rsidRPr="00D87B87" w:rsidRDefault="00BB083A" w:rsidP="00BB083A">
      <w:pPr>
        <w:pStyle w:val="SubmissionNormal"/>
        <w:rPr>
          <w:rFonts w:cs="Arial"/>
        </w:rPr>
      </w:pPr>
      <w:r w:rsidRPr="00AC613D">
        <w:lastRenderedPageBreak/>
        <w:t xml:space="preserve">The Commission </w:t>
      </w:r>
      <w:r>
        <w:t>commends</w:t>
      </w:r>
      <w:r w:rsidRPr="00AC613D">
        <w:t xml:space="preserve"> legislative amendments that strengthen Australia’s response to human trafficking, including by recognising various slavery-like practices as offences</w:t>
      </w:r>
      <w:r w:rsidRPr="00AC613D">
        <w:rPr>
          <w:sz w:val="20"/>
          <w:vertAlign w:val="superscript"/>
        </w:rPr>
        <w:endnoteReference w:id="181"/>
      </w:r>
      <w:r w:rsidRPr="00AC613D">
        <w:t xml:space="preserve"> and extending witness protections to victims of trafficking.</w:t>
      </w:r>
      <w:r w:rsidRPr="00AC613D">
        <w:rPr>
          <w:sz w:val="20"/>
          <w:vertAlign w:val="superscript"/>
        </w:rPr>
        <w:endnoteReference w:id="182"/>
      </w:r>
      <w:r>
        <w:t xml:space="preserve"> </w:t>
      </w:r>
    </w:p>
    <w:p w14:paraId="1CF77A32" w14:textId="6AC2668C" w:rsidR="00BB083A" w:rsidRPr="00403EB4" w:rsidRDefault="00BB083A" w:rsidP="00BB083A">
      <w:pPr>
        <w:pStyle w:val="SubmissionNormal"/>
        <w:tabs>
          <w:tab w:val="clear" w:pos="720"/>
        </w:tabs>
      </w:pPr>
      <w:r w:rsidRPr="00752CF5">
        <w:rPr>
          <w:color w:val="000000"/>
          <w:lang w:val="en"/>
        </w:rPr>
        <w:t xml:space="preserve">The </w:t>
      </w:r>
      <w:r w:rsidRPr="00752CF5">
        <w:rPr>
          <w:color w:val="000000"/>
        </w:rPr>
        <w:t xml:space="preserve">Special Rapporteur </w:t>
      </w:r>
      <w:r w:rsidRPr="00752CF5">
        <w:rPr>
          <w:bCs/>
          <w:color w:val="000000"/>
        </w:rPr>
        <w:t>on trafficking in persons</w:t>
      </w:r>
      <w:r w:rsidRPr="00752CF5">
        <w:rPr>
          <w:color w:val="000000"/>
        </w:rPr>
        <w:t xml:space="preserve"> </w:t>
      </w:r>
      <w:r w:rsidRPr="00752CF5">
        <w:rPr>
          <w:bCs/>
          <w:color w:val="000000"/>
        </w:rPr>
        <w:t>recommended the Government establish a federal, comprehensive compensation scheme for survivors of trafficking.</w:t>
      </w:r>
      <w:r>
        <w:rPr>
          <w:rStyle w:val="EndnoteReference"/>
          <w:rFonts w:cs="Arial"/>
          <w:bCs/>
          <w:color w:val="000000"/>
        </w:rPr>
        <w:endnoteReference w:id="183"/>
      </w:r>
      <w:r w:rsidRPr="00752CF5">
        <w:rPr>
          <w:bCs/>
          <w:color w:val="000000"/>
        </w:rPr>
        <w:t xml:space="preserve"> The Commission </w:t>
      </w:r>
      <w:r>
        <w:rPr>
          <w:bCs/>
          <w:color w:val="000000"/>
        </w:rPr>
        <w:t xml:space="preserve">encourages the Government to </w:t>
      </w:r>
      <w:r w:rsidRPr="00752CF5">
        <w:rPr>
          <w:lang w:val="en"/>
        </w:rPr>
        <w:t xml:space="preserve">develop </w:t>
      </w:r>
      <w:r>
        <w:rPr>
          <w:lang w:val="en"/>
        </w:rPr>
        <w:t>such a scheme</w:t>
      </w:r>
      <w:r w:rsidRPr="00752CF5">
        <w:rPr>
          <w:lang w:val="en"/>
        </w:rPr>
        <w:t>.</w:t>
      </w:r>
      <w:r>
        <w:rPr>
          <w:rStyle w:val="EndnoteReference"/>
        </w:rPr>
        <w:endnoteReference w:id="184"/>
      </w:r>
    </w:p>
    <w:p w14:paraId="5D178224" w14:textId="77777777" w:rsidR="00B10791" w:rsidRPr="00B10791" w:rsidRDefault="00BB083A" w:rsidP="00BB083A">
      <w:pPr>
        <w:pStyle w:val="SubmissionNormal"/>
        <w:tabs>
          <w:tab w:val="clear" w:pos="720"/>
        </w:tabs>
      </w:pPr>
      <w:r>
        <w:rPr>
          <w:lang w:val="en"/>
        </w:rPr>
        <w:t xml:space="preserve">The Commission is concerned </w:t>
      </w:r>
      <w:r w:rsidR="00E93429">
        <w:rPr>
          <w:lang w:val="en"/>
        </w:rPr>
        <w:t xml:space="preserve">by </w:t>
      </w:r>
      <w:r w:rsidRPr="005A01C1">
        <w:rPr>
          <w:lang w:val="en"/>
        </w:rPr>
        <w:t>a lack of data and research on the prevalence of child trafficking and slavery in Australia</w:t>
      </w:r>
      <w:r>
        <w:rPr>
          <w:lang w:val="en"/>
        </w:rPr>
        <w:t xml:space="preserve">. </w:t>
      </w:r>
    </w:p>
    <w:p w14:paraId="69E87ED6" w14:textId="77777777" w:rsidR="00BB083A" w:rsidRPr="00141EAD" w:rsidRDefault="00BB083A" w:rsidP="00BB083A">
      <w:pPr>
        <w:pStyle w:val="SubmissionNormal"/>
        <w:tabs>
          <w:tab w:val="clear" w:pos="720"/>
        </w:tabs>
      </w:pPr>
      <w:r>
        <w:rPr>
          <w:lang w:val="en"/>
        </w:rPr>
        <w:t>The Commission considers that</w:t>
      </w:r>
      <w:r w:rsidRPr="005A01C1">
        <w:rPr>
          <w:lang w:val="en"/>
        </w:rPr>
        <w:t xml:space="preserve"> specific policy guidelines and support services </w:t>
      </w:r>
      <w:r>
        <w:rPr>
          <w:lang w:val="en"/>
        </w:rPr>
        <w:t xml:space="preserve">need </w:t>
      </w:r>
      <w:r w:rsidRPr="005A01C1">
        <w:rPr>
          <w:lang w:val="en"/>
        </w:rPr>
        <w:t xml:space="preserve">to be developed </w:t>
      </w:r>
      <w:r>
        <w:rPr>
          <w:lang w:val="en"/>
        </w:rPr>
        <w:t>to protect the</w:t>
      </w:r>
      <w:r w:rsidRPr="005A01C1">
        <w:rPr>
          <w:lang w:val="en"/>
        </w:rPr>
        <w:t xml:space="preserve"> rights of child survivors of trafficking and slavery.</w:t>
      </w:r>
      <w:r>
        <w:rPr>
          <w:rStyle w:val="EndnoteReference"/>
        </w:rPr>
        <w:endnoteReference w:id="185"/>
      </w:r>
    </w:p>
    <w:p w14:paraId="1756B6D4" w14:textId="3F25825B" w:rsidR="00BB083A" w:rsidRDefault="00BB083A" w:rsidP="00BB083A">
      <w:pPr>
        <w:pStyle w:val="SubmissionNormal"/>
        <w:tabs>
          <w:tab w:val="clear" w:pos="720"/>
        </w:tabs>
      </w:pPr>
      <w:r w:rsidRPr="00E118D3">
        <w:t xml:space="preserve">The Commission </w:t>
      </w:r>
      <w:r>
        <w:t>notes</w:t>
      </w:r>
      <w:r w:rsidRPr="00E118D3">
        <w:t xml:space="preserve"> that unregulated</w:t>
      </w:r>
      <w:r w:rsidR="00A17BE4">
        <w:t xml:space="preserve"> international</w:t>
      </w:r>
      <w:r w:rsidRPr="00E118D3">
        <w:t xml:space="preserve"> surrogacy arrangements raise concerns about the potential for the tr</w:t>
      </w:r>
      <w:r>
        <w:t>afficking of women and children.</w:t>
      </w:r>
      <w:r w:rsidRPr="00E118D3">
        <w:rPr>
          <w:rStyle w:val="EndnoteReference"/>
        </w:rPr>
        <w:endnoteReference w:id="186"/>
      </w:r>
      <w:r w:rsidRPr="00141EAD">
        <w:t xml:space="preserve"> </w:t>
      </w:r>
      <w:r w:rsidRPr="00E118D3">
        <w:t xml:space="preserve">The Commission </w:t>
      </w:r>
      <w:r>
        <w:t>acknowledges</w:t>
      </w:r>
      <w:r w:rsidRPr="00E118D3">
        <w:t xml:space="preserve"> the recent </w:t>
      </w:r>
      <w:r w:rsidR="00C57A6A">
        <w:t xml:space="preserve">parliamentary </w:t>
      </w:r>
      <w:r w:rsidRPr="00E118D3">
        <w:t>inquiry and report into the regulatory and legislative aspects of international and domestic surrogacy arrangements</w:t>
      </w:r>
      <w:r>
        <w:t>,</w:t>
      </w:r>
      <w:r w:rsidRPr="00E118D3">
        <w:t xml:space="preserve"> </w:t>
      </w:r>
      <w:r w:rsidRPr="00E118D3">
        <w:rPr>
          <w:i/>
        </w:rPr>
        <w:t>Surrogacy Matters</w:t>
      </w:r>
      <w:r w:rsidRPr="00E118D3">
        <w:t>.</w:t>
      </w:r>
      <w:r w:rsidRPr="00E118D3">
        <w:rPr>
          <w:rStyle w:val="EndnoteReference"/>
        </w:rPr>
        <w:endnoteReference w:id="187"/>
      </w:r>
    </w:p>
    <w:p w14:paraId="74B0A9BF" w14:textId="3441ED31" w:rsidR="00BB083A" w:rsidRPr="00BB083A" w:rsidRDefault="00BB083A" w:rsidP="00E90792">
      <w:pPr>
        <w:pStyle w:val="SubmissionNormal"/>
        <w:numPr>
          <w:ilvl w:val="0"/>
          <w:numId w:val="52"/>
        </w:numPr>
        <w:rPr>
          <w:b/>
        </w:rPr>
      </w:pPr>
      <w:r w:rsidRPr="00BB083A">
        <w:rPr>
          <w:b/>
          <w:bCs/>
        </w:rPr>
        <w:t xml:space="preserve">That the </w:t>
      </w:r>
      <w:r w:rsidR="002A413E">
        <w:rPr>
          <w:b/>
          <w:bCs/>
        </w:rPr>
        <w:t xml:space="preserve">Australian </w:t>
      </w:r>
      <w:r w:rsidRPr="00BB083A">
        <w:rPr>
          <w:b/>
          <w:bCs/>
        </w:rPr>
        <w:t xml:space="preserve">Government fully implement the </w:t>
      </w:r>
      <w:r w:rsidRPr="002248CE">
        <w:rPr>
          <w:b/>
          <w:bCs/>
          <w:i/>
        </w:rPr>
        <w:t xml:space="preserve">National </w:t>
      </w:r>
      <w:r w:rsidRPr="002248CE">
        <w:rPr>
          <w:b/>
          <w:i/>
          <w:lang w:val="en"/>
        </w:rPr>
        <w:t>Action</w:t>
      </w:r>
      <w:r w:rsidRPr="002248CE">
        <w:rPr>
          <w:b/>
          <w:bCs/>
          <w:i/>
        </w:rPr>
        <w:t xml:space="preserve"> Plan to Combat Human Trafficking and Slavery 2015–2019</w:t>
      </w:r>
      <w:r w:rsidR="0080635E">
        <w:rPr>
          <w:b/>
        </w:rPr>
        <w:t>;</w:t>
      </w:r>
      <w:r w:rsidRPr="00BB083A">
        <w:rPr>
          <w:b/>
        </w:rPr>
        <w:t xml:space="preserve"> develop a federal compensation scheme for survivors o</w:t>
      </w:r>
      <w:r w:rsidR="0080635E">
        <w:rPr>
          <w:b/>
        </w:rPr>
        <w:t>f human trafficking and slavery;</w:t>
      </w:r>
      <w:r w:rsidRPr="00BB083A">
        <w:rPr>
          <w:b/>
        </w:rPr>
        <w:t xml:space="preserve"> </w:t>
      </w:r>
      <w:r w:rsidRPr="00BB083A">
        <w:rPr>
          <w:rFonts w:cs="Arial"/>
          <w:b/>
          <w:lang w:val="en"/>
        </w:rPr>
        <w:t>ensure regular collection of data on</w:t>
      </w:r>
      <w:r w:rsidR="0080635E">
        <w:rPr>
          <w:rFonts w:cs="Arial"/>
          <w:b/>
          <w:lang w:val="en"/>
        </w:rPr>
        <w:t xml:space="preserve"> the </w:t>
      </w:r>
      <w:r w:rsidR="0080635E" w:rsidRPr="0080635E">
        <w:rPr>
          <w:b/>
          <w:lang w:val="en"/>
        </w:rPr>
        <w:t>prevalence of child trafficking and slavery in Australia</w:t>
      </w:r>
      <w:r w:rsidRPr="0080635E">
        <w:rPr>
          <w:rFonts w:cs="Arial"/>
          <w:b/>
          <w:lang w:val="en"/>
        </w:rPr>
        <w:t xml:space="preserve"> and the provision of </w:t>
      </w:r>
      <w:r w:rsidRPr="00BB083A">
        <w:rPr>
          <w:rFonts w:cs="Arial"/>
          <w:b/>
          <w:lang w:val="en"/>
        </w:rPr>
        <w:t>specialist support services to child survi</w:t>
      </w:r>
      <w:r w:rsidR="002248CE">
        <w:rPr>
          <w:rFonts w:cs="Arial"/>
          <w:b/>
          <w:lang w:val="en"/>
        </w:rPr>
        <w:t>vors</w:t>
      </w:r>
      <w:r w:rsidR="0080635E">
        <w:rPr>
          <w:rFonts w:cs="Arial"/>
          <w:b/>
          <w:lang w:val="en"/>
        </w:rPr>
        <w:t>;</w:t>
      </w:r>
      <w:r w:rsidRPr="00BB083A">
        <w:rPr>
          <w:rFonts w:cs="Arial"/>
          <w:b/>
          <w:lang w:val="en"/>
        </w:rPr>
        <w:t xml:space="preserve"> and </w:t>
      </w:r>
      <w:r w:rsidRPr="00BB083A">
        <w:rPr>
          <w:b/>
        </w:rPr>
        <w:t xml:space="preserve">develop a regulatory regime addressing </w:t>
      </w:r>
      <w:r w:rsidR="00A17BE4">
        <w:rPr>
          <w:b/>
        </w:rPr>
        <w:t xml:space="preserve">international </w:t>
      </w:r>
      <w:r w:rsidRPr="00BB083A">
        <w:rPr>
          <w:b/>
        </w:rPr>
        <w:t>surrogacy arrangements.</w:t>
      </w:r>
    </w:p>
    <w:p w14:paraId="386CF036" w14:textId="7EBF1F02" w:rsidR="00B34946" w:rsidRPr="00D47BD3" w:rsidRDefault="003C2C77" w:rsidP="00EC4B73">
      <w:pPr>
        <w:pStyle w:val="Heading1"/>
      </w:pPr>
      <w:bookmarkStart w:id="122" w:name="_Toc493489648"/>
      <w:r w:rsidRPr="00D47BD3">
        <w:t xml:space="preserve">Business and </w:t>
      </w:r>
      <w:r w:rsidR="00692F0B">
        <w:t>h</w:t>
      </w:r>
      <w:r w:rsidRPr="00D47BD3">
        <w:t xml:space="preserve">uman </w:t>
      </w:r>
      <w:r w:rsidR="00692F0B">
        <w:t>r</w:t>
      </w:r>
      <w:r w:rsidRPr="00D47BD3">
        <w:t>ights</w:t>
      </w:r>
      <w:bookmarkEnd w:id="122"/>
      <w:r w:rsidRPr="00D47BD3">
        <w:t xml:space="preserve"> </w:t>
      </w:r>
    </w:p>
    <w:p w14:paraId="464809C7" w14:textId="77777777" w:rsidR="00B8300D" w:rsidRPr="00141EAD" w:rsidRDefault="00B8300D" w:rsidP="003C2C77">
      <w:pPr>
        <w:pStyle w:val="Heading2"/>
      </w:pPr>
      <w:bookmarkStart w:id="123" w:name="_Toc493489649"/>
      <w:r w:rsidRPr="00141EAD">
        <w:t>National Action Plan</w:t>
      </w:r>
      <w:r w:rsidR="00141EAD">
        <w:t xml:space="preserve"> </w:t>
      </w:r>
      <w:r w:rsidR="00BB083A">
        <w:t>on Business and Human Rights</w:t>
      </w:r>
      <w:r w:rsidR="00931D4A">
        <w:t xml:space="preserve"> </w:t>
      </w:r>
      <w:r w:rsidR="00141EAD">
        <w:t xml:space="preserve">(ICCPR </w:t>
      </w:r>
      <w:r w:rsidR="00BA6902">
        <w:t>article</w:t>
      </w:r>
      <w:r w:rsidR="00141EAD">
        <w:t xml:space="preserve"> 2)</w:t>
      </w:r>
      <w:bookmarkEnd w:id="123"/>
    </w:p>
    <w:p w14:paraId="658A7D49" w14:textId="55E9E5E4" w:rsidR="00403EB4" w:rsidRDefault="00B8300D">
      <w:pPr>
        <w:pStyle w:val="SubmissionNormal"/>
        <w:tabs>
          <w:tab w:val="clear" w:pos="720"/>
        </w:tabs>
      </w:pPr>
      <w:r>
        <w:rPr>
          <w:rFonts w:eastAsia="Calibri" w:cs="Arial"/>
          <w:lang w:val="en-NZ" w:eastAsia="en-US"/>
        </w:rPr>
        <w:t xml:space="preserve">The Commission commends the Australian business community’s support for the </w:t>
      </w:r>
      <w:r w:rsidR="001C00BD">
        <w:rPr>
          <w:rFonts w:eastAsia="Calibri" w:cs="Arial"/>
          <w:lang w:val="en-NZ" w:eastAsia="en-US"/>
        </w:rPr>
        <w:t xml:space="preserve">UN </w:t>
      </w:r>
      <w:r w:rsidRPr="00AF0ACF">
        <w:rPr>
          <w:rFonts w:eastAsia="Calibri" w:cs="Arial"/>
          <w:lang w:val="en-NZ" w:eastAsia="en-US"/>
        </w:rPr>
        <w:t>Guiding Principles on Business and Human Rights</w:t>
      </w:r>
      <w:r w:rsidR="001C00BD">
        <w:rPr>
          <w:rFonts w:eastAsia="Calibri" w:cs="Arial"/>
          <w:lang w:val="en-NZ" w:eastAsia="en-US"/>
        </w:rPr>
        <w:t xml:space="preserve"> (UNGP)</w:t>
      </w:r>
      <w:r w:rsidRPr="00AF0ACF">
        <w:rPr>
          <w:rFonts w:eastAsia="Calibri" w:cs="Arial"/>
          <w:lang w:val="en-NZ" w:eastAsia="en-US"/>
        </w:rPr>
        <w:t xml:space="preserve"> </w:t>
      </w:r>
      <w:r>
        <w:rPr>
          <w:rFonts w:eastAsia="Calibri" w:cs="Arial"/>
          <w:lang w:val="en-NZ" w:eastAsia="en-US"/>
        </w:rPr>
        <w:t>through the Global Compact Network Australia.</w:t>
      </w:r>
      <w:r>
        <w:rPr>
          <w:rStyle w:val="EndnoteReference"/>
          <w:rFonts w:eastAsia="Calibri" w:cs="Arial"/>
          <w:lang w:val="en-NZ" w:eastAsia="en-US"/>
        </w:rPr>
        <w:endnoteReference w:id="188"/>
      </w:r>
      <w:r>
        <w:rPr>
          <w:rFonts w:eastAsia="Calibri" w:cs="Arial"/>
          <w:lang w:val="en-NZ" w:eastAsia="en-US"/>
        </w:rPr>
        <w:t xml:space="preserve"> </w:t>
      </w:r>
      <w:r w:rsidR="00403EB4">
        <w:t xml:space="preserve">The </w:t>
      </w:r>
      <w:r w:rsidR="00403EB4" w:rsidRPr="001E2A06">
        <w:t xml:space="preserve">Commission notes that the Government is undertaking a national consultation on the implementation of the </w:t>
      </w:r>
      <w:r w:rsidR="00403EB4">
        <w:t>UNGP</w:t>
      </w:r>
      <w:r w:rsidR="00403EB4" w:rsidRPr="001E2A06">
        <w:t>.</w:t>
      </w:r>
      <w:r w:rsidR="00403EB4" w:rsidRPr="001E2A06">
        <w:rPr>
          <w:rStyle w:val="EndnoteReference"/>
        </w:rPr>
        <w:endnoteReference w:id="189"/>
      </w:r>
    </w:p>
    <w:p w14:paraId="0CF54AD1" w14:textId="09253885" w:rsidR="00403EB4" w:rsidRDefault="00403EB4" w:rsidP="00403EB4">
      <w:pPr>
        <w:pStyle w:val="SubmissionNormal"/>
        <w:tabs>
          <w:tab w:val="clear" w:pos="720"/>
        </w:tabs>
      </w:pPr>
      <w:r w:rsidRPr="001E2A06">
        <w:t xml:space="preserve">The Commission considers that </w:t>
      </w:r>
      <w:r>
        <w:t>the</w:t>
      </w:r>
      <w:r w:rsidRPr="001E2A06">
        <w:t xml:space="preserve"> National Action Plan on Business and Human Rights </w:t>
      </w:r>
      <w:r>
        <w:t xml:space="preserve">should have </w:t>
      </w:r>
      <w:r w:rsidRPr="00E118D3">
        <w:t xml:space="preserve">clear links with the </w:t>
      </w:r>
      <w:r w:rsidRPr="00333C34">
        <w:rPr>
          <w:i/>
        </w:rPr>
        <w:t xml:space="preserve">National Action Plan to Combat Human Trafficking and </w:t>
      </w:r>
      <w:r w:rsidRPr="00333C34">
        <w:t>Slavery 2015</w:t>
      </w:r>
      <w:r w:rsidR="00984968" w:rsidRPr="00984968">
        <w:rPr>
          <w:i/>
        </w:rPr>
        <w:t>–</w:t>
      </w:r>
      <w:r w:rsidRPr="00333C34">
        <w:t xml:space="preserve">2019. </w:t>
      </w:r>
    </w:p>
    <w:p w14:paraId="3943D99E" w14:textId="3CB3A6FB" w:rsidR="00403EB4" w:rsidRDefault="00403EB4" w:rsidP="00E90792">
      <w:pPr>
        <w:pStyle w:val="SubmissionNormal"/>
        <w:numPr>
          <w:ilvl w:val="0"/>
          <w:numId w:val="52"/>
        </w:numPr>
        <w:rPr>
          <w:b/>
        </w:rPr>
      </w:pPr>
      <w:r w:rsidRPr="00403EB4">
        <w:rPr>
          <w:rFonts w:eastAsia="Calibri" w:cs="Arial"/>
          <w:b/>
          <w:lang w:val="en-NZ" w:eastAsia="en-US"/>
        </w:rPr>
        <w:t xml:space="preserve">That the </w:t>
      </w:r>
      <w:r w:rsidR="002A413E">
        <w:rPr>
          <w:rFonts w:eastAsia="Calibri" w:cs="Arial"/>
          <w:b/>
          <w:lang w:val="en-NZ" w:eastAsia="en-US"/>
        </w:rPr>
        <w:t xml:space="preserve">Australian </w:t>
      </w:r>
      <w:r w:rsidR="00B8300D" w:rsidRPr="00403EB4">
        <w:rPr>
          <w:rFonts w:eastAsia="Calibri" w:cs="Arial"/>
          <w:b/>
          <w:lang w:val="en-NZ" w:eastAsia="en-US"/>
        </w:rPr>
        <w:t xml:space="preserve">Government formulate a </w:t>
      </w:r>
      <w:r w:rsidR="00B8300D" w:rsidRPr="00403EB4">
        <w:rPr>
          <w:b/>
        </w:rPr>
        <w:t>National</w:t>
      </w:r>
      <w:r w:rsidR="00B8300D" w:rsidRPr="00403EB4">
        <w:rPr>
          <w:rFonts w:eastAsia="Calibri" w:cs="Arial"/>
          <w:b/>
          <w:lang w:val="en-NZ" w:eastAsia="en-US"/>
        </w:rPr>
        <w:t xml:space="preserve"> Action Plan on Business and Human Rights, in consul</w:t>
      </w:r>
      <w:r w:rsidRPr="00403EB4">
        <w:rPr>
          <w:rFonts w:eastAsia="Calibri" w:cs="Arial"/>
          <w:b/>
          <w:lang w:val="en-NZ" w:eastAsia="en-US"/>
        </w:rPr>
        <w:t xml:space="preserve">tation with the business sector, and that it have </w:t>
      </w:r>
      <w:r w:rsidRPr="00403EB4">
        <w:rPr>
          <w:b/>
        </w:rPr>
        <w:t xml:space="preserve">clear links with the </w:t>
      </w:r>
      <w:r w:rsidRPr="00403EB4">
        <w:rPr>
          <w:b/>
          <w:i/>
        </w:rPr>
        <w:t>National Action Plan to Combat Human Trafficking and Slavery 2015</w:t>
      </w:r>
      <w:r w:rsidR="00984968">
        <w:rPr>
          <w:b/>
          <w:i/>
        </w:rPr>
        <w:t>–</w:t>
      </w:r>
      <w:r w:rsidRPr="00403EB4">
        <w:rPr>
          <w:b/>
          <w:i/>
        </w:rPr>
        <w:t>2019</w:t>
      </w:r>
      <w:r w:rsidRPr="00403EB4">
        <w:rPr>
          <w:b/>
        </w:rPr>
        <w:t>.</w:t>
      </w:r>
    </w:p>
    <w:p w14:paraId="7B0043E2" w14:textId="77777777" w:rsidR="003C2C77" w:rsidRPr="00403EB4" w:rsidRDefault="00333C34" w:rsidP="00403EB4">
      <w:pPr>
        <w:pStyle w:val="Heading2"/>
        <w:rPr>
          <w:i w:val="0"/>
        </w:rPr>
      </w:pPr>
      <w:bookmarkStart w:id="124" w:name="_Toc493489650"/>
      <w:r w:rsidRPr="00403EB4">
        <w:rPr>
          <w:i w:val="0"/>
        </w:rPr>
        <w:lastRenderedPageBreak/>
        <w:t>Modern slavery</w:t>
      </w:r>
      <w:r w:rsidR="00561EDC">
        <w:rPr>
          <w:i w:val="0"/>
        </w:rPr>
        <w:t xml:space="preserve"> (</w:t>
      </w:r>
      <w:r w:rsidR="00561EDC">
        <w:t xml:space="preserve">ICCPR </w:t>
      </w:r>
      <w:r w:rsidR="00BA6902">
        <w:t>article</w:t>
      </w:r>
      <w:r w:rsidR="00561EDC">
        <w:t>s 2 &amp; 8; LOI 2, 4 &amp; 16)</w:t>
      </w:r>
      <w:bookmarkEnd w:id="124"/>
    </w:p>
    <w:p w14:paraId="54392BDD" w14:textId="77777777" w:rsidR="00141EAD" w:rsidRDefault="00141EAD" w:rsidP="00333C34">
      <w:pPr>
        <w:pStyle w:val="Heading3"/>
      </w:pPr>
      <w:bookmarkStart w:id="125" w:name="_Toc493489651"/>
      <w:r>
        <w:t>Modern Slavery Reporting Requirement</w:t>
      </w:r>
      <w:bookmarkEnd w:id="125"/>
    </w:p>
    <w:p w14:paraId="30549361" w14:textId="18D56135" w:rsidR="00BB083A" w:rsidRDefault="00141EAD" w:rsidP="00BB083A">
      <w:pPr>
        <w:pStyle w:val="SubmissionNormal"/>
        <w:rPr>
          <w:b/>
        </w:rPr>
      </w:pPr>
      <w:r w:rsidRPr="002A36CF">
        <w:t>The Commission welcomes the Government's propos</w:t>
      </w:r>
      <w:r w:rsidR="00665E1F">
        <w:t>al</w:t>
      </w:r>
      <w:r w:rsidRPr="002A36CF">
        <w:t xml:space="preserve"> for large corporations and other entities operating in Australia to publish annual statements outlining their actions to address modern slavery in the</w:t>
      </w:r>
      <w:r w:rsidR="00BB083A">
        <w:t>ir operations and supply chains</w:t>
      </w:r>
      <w:r w:rsidRPr="002A36CF">
        <w:t>.</w:t>
      </w:r>
      <w:r>
        <w:rPr>
          <w:rStyle w:val="EndnoteReference"/>
        </w:rPr>
        <w:endnoteReference w:id="190"/>
      </w:r>
      <w:r w:rsidRPr="002A36CF">
        <w:t xml:space="preserve"> </w:t>
      </w:r>
      <w:r w:rsidR="00131F5C">
        <w:t xml:space="preserve">At this stage, it is not proposed that these requirements will apply to </w:t>
      </w:r>
      <w:r w:rsidR="00CF5804">
        <w:t>Australian g</w:t>
      </w:r>
      <w:r w:rsidR="00131F5C">
        <w:t>overnment</w:t>
      </w:r>
      <w:r w:rsidR="00CF5804">
        <w:t>s</w:t>
      </w:r>
      <w:r w:rsidR="00131F5C">
        <w:t>, despite them having supply chains of significant scale.</w:t>
      </w:r>
      <w:r w:rsidR="00BB083A">
        <w:rPr>
          <w:b/>
        </w:rPr>
        <w:t xml:space="preserve"> </w:t>
      </w:r>
    </w:p>
    <w:p w14:paraId="37A6BEC4" w14:textId="5319C7B8" w:rsidR="00141EAD" w:rsidRPr="00BB083A" w:rsidRDefault="00141EAD" w:rsidP="00BB083A">
      <w:pPr>
        <w:pStyle w:val="SubmissionNormal"/>
        <w:rPr>
          <w:b/>
        </w:rPr>
      </w:pPr>
      <w:r w:rsidRPr="00BB083A">
        <w:rPr>
          <w:lang w:val="en"/>
        </w:rPr>
        <w:t>The Commission notes that the Government’s national</w:t>
      </w:r>
      <w:r w:rsidRPr="00BB083A">
        <w:rPr>
          <w:rFonts w:eastAsia="Calibri" w:cs="Arial"/>
        </w:rPr>
        <w:t xml:space="preserve"> consultation process to refine the Government’s propo</w:t>
      </w:r>
      <w:r w:rsidR="009932C5">
        <w:rPr>
          <w:rFonts w:eastAsia="Calibri" w:cs="Arial"/>
        </w:rPr>
        <w:t>sed model is underway</w:t>
      </w:r>
      <w:r w:rsidRPr="00BB083A">
        <w:rPr>
          <w:rFonts w:eastAsia="Calibri" w:cs="Arial"/>
        </w:rPr>
        <w:t xml:space="preserve">. </w:t>
      </w:r>
    </w:p>
    <w:p w14:paraId="12F12678" w14:textId="77777777" w:rsidR="00333C34" w:rsidRPr="002A36CF" w:rsidRDefault="001A3704" w:rsidP="00333C34">
      <w:pPr>
        <w:pStyle w:val="Heading3"/>
      </w:pPr>
      <w:bookmarkStart w:id="126" w:name="_Toc493489652"/>
      <w:r w:rsidRPr="002A36CF">
        <w:t>Modern Slavery Act</w:t>
      </w:r>
      <w:bookmarkEnd w:id="126"/>
      <w:r w:rsidRPr="002A36CF">
        <w:t xml:space="preserve"> </w:t>
      </w:r>
    </w:p>
    <w:p w14:paraId="485D8516" w14:textId="7831C17F" w:rsidR="0098247B" w:rsidRPr="0098247B" w:rsidRDefault="002A36CF" w:rsidP="003241A3">
      <w:pPr>
        <w:pStyle w:val="SubmissionNormal"/>
        <w:rPr>
          <w:b/>
        </w:rPr>
      </w:pPr>
      <w:r w:rsidRPr="00A04DB6">
        <w:rPr>
          <w:rFonts w:eastAsia="Calibri"/>
        </w:rPr>
        <w:t xml:space="preserve">The Commission </w:t>
      </w:r>
      <w:r w:rsidR="00A04DB6" w:rsidRPr="00A04DB6">
        <w:rPr>
          <w:rFonts w:eastAsia="Calibri"/>
        </w:rPr>
        <w:t xml:space="preserve">welcomes the </w:t>
      </w:r>
      <w:r w:rsidRPr="00A04DB6">
        <w:rPr>
          <w:rFonts w:eastAsia="Calibri"/>
        </w:rPr>
        <w:t xml:space="preserve">Joint Standing Committee on Foreign Affairs, Defence and Trade </w:t>
      </w:r>
      <w:r w:rsidR="00A04DB6" w:rsidRPr="00A04DB6">
        <w:rPr>
          <w:rFonts w:eastAsia="Calibri"/>
        </w:rPr>
        <w:t xml:space="preserve">inquiry into </w:t>
      </w:r>
      <w:r w:rsidRPr="00A04DB6">
        <w:rPr>
          <w:rFonts w:eastAsia="Calibri"/>
        </w:rPr>
        <w:t>establishing a Mo</w:t>
      </w:r>
      <w:r w:rsidR="00A04DB6" w:rsidRPr="00A04DB6">
        <w:rPr>
          <w:rFonts w:eastAsia="Calibri"/>
        </w:rPr>
        <w:t>dern Slavery Act in Australia</w:t>
      </w:r>
      <w:r w:rsidR="00F91ED5">
        <w:rPr>
          <w:rFonts w:eastAsia="Calibri"/>
        </w:rPr>
        <w:t xml:space="preserve">. The Commission also </w:t>
      </w:r>
      <w:r w:rsidR="00A15CE8">
        <w:rPr>
          <w:rFonts w:eastAsia="Calibri"/>
        </w:rPr>
        <w:t xml:space="preserve">notes the Joint Committee’s recommendation </w:t>
      </w:r>
      <w:r w:rsidR="000E7AEC" w:rsidRPr="00A04DB6">
        <w:rPr>
          <w:rFonts w:eastAsia="Calibri"/>
        </w:rPr>
        <w:t>that the Government consider supporting in-principle the development of a Modern Slavery Act in Australia, including</w:t>
      </w:r>
      <w:r w:rsidR="00F91ED5">
        <w:rPr>
          <w:rFonts w:eastAsia="Calibri"/>
        </w:rPr>
        <w:t>:</w:t>
      </w:r>
    </w:p>
    <w:p w14:paraId="46C77F5F" w14:textId="26D3A0FD" w:rsidR="0098247B" w:rsidRPr="0098247B" w:rsidRDefault="00CF5804" w:rsidP="0098247B">
      <w:pPr>
        <w:pStyle w:val="SubmissionNormal"/>
        <w:numPr>
          <w:ilvl w:val="0"/>
          <w:numId w:val="42"/>
        </w:numPr>
        <w:rPr>
          <w:b/>
        </w:rPr>
      </w:pPr>
      <w:r>
        <w:rPr>
          <w:rFonts w:eastAsia="Calibri"/>
        </w:rPr>
        <w:t>s</w:t>
      </w:r>
      <w:r w:rsidR="000E7AEC" w:rsidRPr="00A04DB6">
        <w:rPr>
          <w:rFonts w:eastAsia="Calibri"/>
        </w:rPr>
        <w:t>upply</w:t>
      </w:r>
      <w:r w:rsidR="00C714F0">
        <w:rPr>
          <w:rFonts w:eastAsia="Calibri"/>
        </w:rPr>
        <w:t>-</w:t>
      </w:r>
      <w:r w:rsidR="000E7AEC" w:rsidRPr="00A04DB6">
        <w:rPr>
          <w:rFonts w:eastAsia="Calibri"/>
        </w:rPr>
        <w:t>chain reporting requirements for companies, businesses, organisatio</w:t>
      </w:r>
      <w:r>
        <w:rPr>
          <w:rFonts w:eastAsia="Calibri"/>
        </w:rPr>
        <w:t>ns and governments in Australia; and</w:t>
      </w:r>
      <w:r w:rsidR="000E7AEC" w:rsidRPr="00A04DB6">
        <w:rPr>
          <w:rFonts w:eastAsia="Calibri"/>
        </w:rPr>
        <w:t xml:space="preserve"> </w:t>
      </w:r>
    </w:p>
    <w:p w14:paraId="6E6E4C4E" w14:textId="77777777" w:rsidR="002A36CF" w:rsidRPr="00A04DB6" w:rsidRDefault="000E7AEC" w:rsidP="0098247B">
      <w:pPr>
        <w:pStyle w:val="SubmissionNormal"/>
        <w:numPr>
          <w:ilvl w:val="0"/>
          <w:numId w:val="42"/>
        </w:numPr>
        <w:rPr>
          <w:b/>
        </w:rPr>
      </w:pPr>
      <w:r w:rsidRPr="00A04DB6">
        <w:rPr>
          <w:rFonts w:eastAsia="Calibri"/>
        </w:rPr>
        <w:t>an Independent Anti-Slavery Commissioner, subject to reviewing the recommendations of the Committee’s final report.</w:t>
      </w:r>
      <w:r>
        <w:rPr>
          <w:rStyle w:val="EndnoteReference"/>
          <w:rFonts w:eastAsia="Calibri"/>
        </w:rPr>
        <w:endnoteReference w:id="191"/>
      </w:r>
      <w:r w:rsidRPr="00A04DB6">
        <w:rPr>
          <w:rFonts w:eastAsia="Calibri"/>
        </w:rPr>
        <w:t xml:space="preserve"> </w:t>
      </w:r>
    </w:p>
    <w:p w14:paraId="187242A7" w14:textId="1F0FC433" w:rsidR="000E7AEC" w:rsidRPr="002A36CF" w:rsidRDefault="000E7AEC" w:rsidP="00E90792">
      <w:pPr>
        <w:pStyle w:val="SubmissionNormal"/>
        <w:numPr>
          <w:ilvl w:val="0"/>
          <w:numId w:val="52"/>
        </w:numPr>
        <w:rPr>
          <w:b/>
        </w:rPr>
      </w:pPr>
      <w:r>
        <w:rPr>
          <w:b/>
        </w:rPr>
        <w:t xml:space="preserve">That the </w:t>
      </w:r>
      <w:r w:rsidR="002A413E">
        <w:rPr>
          <w:b/>
        </w:rPr>
        <w:t xml:space="preserve">Australian </w:t>
      </w:r>
      <w:r>
        <w:rPr>
          <w:b/>
        </w:rPr>
        <w:t xml:space="preserve">Government </w:t>
      </w:r>
      <w:r w:rsidR="00C714F0">
        <w:rPr>
          <w:rFonts w:eastAsia="Calibri"/>
          <w:b/>
        </w:rPr>
        <w:t>develop</w:t>
      </w:r>
      <w:r w:rsidRPr="000E7AEC">
        <w:rPr>
          <w:rFonts w:eastAsia="Calibri"/>
          <w:b/>
        </w:rPr>
        <w:t xml:space="preserve"> a </w:t>
      </w:r>
      <w:r w:rsidR="009932C5">
        <w:rPr>
          <w:rFonts w:eastAsia="Calibri"/>
          <w:b/>
        </w:rPr>
        <w:t xml:space="preserve">Modern Slavery Act in Australia. </w:t>
      </w:r>
    </w:p>
    <w:p w14:paraId="7273ACF3" w14:textId="77777777" w:rsidR="00B8300D" w:rsidRDefault="00B8300D" w:rsidP="00B8300D">
      <w:pPr>
        <w:pStyle w:val="Heading2"/>
      </w:pPr>
      <w:bookmarkStart w:id="127" w:name="_Toc493489653"/>
      <w:r>
        <w:t>Procurement</w:t>
      </w:r>
      <w:r w:rsidR="00561EDC">
        <w:t xml:space="preserve"> </w:t>
      </w:r>
      <w:r w:rsidR="00561EDC">
        <w:rPr>
          <w:i w:val="0"/>
        </w:rPr>
        <w:t>(</w:t>
      </w:r>
      <w:r w:rsidR="00561EDC">
        <w:t xml:space="preserve">ICCPR </w:t>
      </w:r>
      <w:r w:rsidR="00BA6902">
        <w:t>article</w:t>
      </w:r>
      <w:r w:rsidR="00561EDC">
        <w:t>s 2 &amp; 8; LOI 2, 4 &amp; 16)</w:t>
      </w:r>
      <w:bookmarkEnd w:id="127"/>
    </w:p>
    <w:p w14:paraId="5ABECD87" w14:textId="77777777" w:rsidR="00BB083A" w:rsidRDefault="0027723C" w:rsidP="00BE1212">
      <w:pPr>
        <w:pStyle w:val="SubmissionNormal"/>
        <w:tabs>
          <w:tab w:val="clear" w:pos="720"/>
        </w:tabs>
      </w:pPr>
      <w:r>
        <w:t>T</w:t>
      </w:r>
      <w:r w:rsidR="00141EAD" w:rsidRPr="00462632">
        <w:t>he Commonwealth Procurement Rules do not explicitly refer to human rights.</w:t>
      </w:r>
      <w:r w:rsidR="00BB083A" w:rsidRPr="00BB083A">
        <w:t xml:space="preserve"> </w:t>
      </w:r>
      <w:r w:rsidR="00BB083A">
        <w:t>The Commission notes that t</w:t>
      </w:r>
      <w:r w:rsidR="00BB083A" w:rsidRPr="00462632">
        <w:t>he Australian regulatory framework is insufficient to prevent human rights abuses from occurr</w:t>
      </w:r>
      <w:r w:rsidR="00BB083A">
        <w:t>ing in Commonwealth procurement.</w:t>
      </w:r>
      <w:r w:rsidR="00BB083A" w:rsidRPr="00462632">
        <w:rPr>
          <w:rStyle w:val="EndnoteReference"/>
          <w:sz w:val="24"/>
        </w:rPr>
        <w:endnoteReference w:id="192"/>
      </w:r>
    </w:p>
    <w:p w14:paraId="64DF9992" w14:textId="41F9D2C0" w:rsidR="006404E8" w:rsidRPr="00E316F3" w:rsidRDefault="00C714F0" w:rsidP="00EB65D1">
      <w:pPr>
        <w:pStyle w:val="SubmissionNormal"/>
      </w:pPr>
      <w:r>
        <w:rPr>
          <w:rFonts w:eastAsia="Calibri" w:cs="Arial"/>
        </w:rPr>
        <w:t>A</w:t>
      </w:r>
      <w:r w:rsidR="00EB65D1">
        <w:rPr>
          <w:rFonts w:eastAsia="Calibri" w:cs="Arial"/>
        </w:rPr>
        <w:t xml:space="preserve"> </w:t>
      </w:r>
      <w:r w:rsidR="0027723C">
        <w:rPr>
          <w:rFonts w:eastAsia="Calibri" w:cs="Arial"/>
        </w:rPr>
        <w:t xml:space="preserve">parliamentary committee </w:t>
      </w:r>
      <w:r w:rsidR="00EB65D1">
        <w:t xml:space="preserve">has </w:t>
      </w:r>
      <w:r w:rsidR="00112851">
        <w:t xml:space="preserve">recommended that the Government </w:t>
      </w:r>
      <w:r w:rsidR="00F918FC">
        <w:t xml:space="preserve">develop a procurement policy </w:t>
      </w:r>
      <w:r w:rsidR="00EB65D1" w:rsidRPr="00EB65D1">
        <w:t>requiring Commonwealth agencies to evaluate suppliers’ compliance with human rights regulation</w:t>
      </w:r>
      <w:r w:rsidR="00EB65D1">
        <w:t>.</w:t>
      </w:r>
      <w:r w:rsidR="00EB65D1">
        <w:rPr>
          <w:rStyle w:val="EndnoteReference"/>
        </w:rPr>
        <w:endnoteReference w:id="193"/>
      </w:r>
      <w:r w:rsidR="00EB65D1">
        <w:t xml:space="preserve"> Another parliamentary committee has noted that </w:t>
      </w:r>
      <w:r w:rsidR="00EB65D1" w:rsidRPr="00EB65D1">
        <w:t>consideration of modern slavery risks s</w:t>
      </w:r>
      <w:r w:rsidR="00EB65D1">
        <w:t>hould be included in this procurement policy</w:t>
      </w:r>
      <w:r w:rsidR="00F918FC" w:rsidRPr="007C25B4">
        <w:rPr>
          <w:rFonts w:eastAsia="Calibri"/>
        </w:rPr>
        <w:t>.</w:t>
      </w:r>
      <w:r w:rsidR="00F918FC">
        <w:rPr>
          <w:rStyle w:val="EndnoteReference"/>
          <w:rFonts w:eastAsia="Calibri"/>
        </w:rPr>
        <w:endnoteReference w:id="194"/>
      </w:r>
      <w:r w:rsidR="00F918FC" w:rsidRPr="007C25B4">
        <w:rPr>
          <w:rFonts w:eastAsia="Calibri"/>
        </w:rPr>
        <w:t xml:space="preserve"> </w:t>
      </w:r>
      <w:r w:rsidR="006404E8" w:rsidRPr="007C25B4">
        <w:rPr>
          <w:rFonts w:eastAsia="Calibri" w:cs="Arial"/>
        </w:rPr>
        <w:t xml:space="preserve"> </w:t>
      </w:r>
    </w:p>
    <w:p w14:paraId="71135499" w14:textId="28A5F8FD" w:rsidR="00C36869" w:rsidRDefault="00A51F41" w:rsidP="00E90792">
      <w:pPr>
        <w:pStyle w:val="SubmissionNormal"/>
        <w:numPr>
          <w:ilvl w:val="0"/>
          <w:numId w:val="52"/>
        </w:numPr>
        <w:rPr>
          <w:b/>
        </w:rPr>
      </w:pPr>
      <w:r w:rsidRPr="00A51F41">
        <w:rPr>
          <w:b/>
        </w:rPr>
        <w:t>That the</w:t>
      </w:r>
      <w:r w:rsidR="002A413E">
        <w:rPr>
          <w:b/>
        </w:rPr>
        <w:t xml:space="preserve"> Australian</w:t>
      </w:r>
      <w:r w:rsidR="00F918FC">
        <w:rPr>
          <w:b/>
        </w:rPr>
        <w:t xml:space="preserve"> Government </w:t>
      </w:r>
      <w:r w:rsidR="00004EDC">
        <w:rPr>
          <w:b/>
        </w:rPr>
        <w:t xml:space="preserve">amend </w:t>
      </w:r>
      <w:r w:rsidR="00F918FC">
        <w:rPr>
          <w:b/>
        </w:rPr>
        <w:t>the</w:t>
      </w:r>
      <w:r w:rsidRPr="00A51F41">
        <w:rPr>
          <w:b/>
        </w:rPr>
        <w:t xml:space="preserve"> Commonwealth Procurement Rules </w:t>
      </w:r>
      <w:r w:rsidR="00004EDC">
        <w:rPr>
          <w:b/>
        </w:rPr>
        <w:t xml:space="preserve">to align </w:t>
      </w:r>
      <w:r w:rsidRPr="00A51F41">
        <w:rPr>
          <w:b/>
        </w:rPr>
        <w:t xml:space="preserve">with the </w:t>
      </w:r>
      <w:r w:rsidR="00E952DF">
        <w:rPr>
          <w:b/>
        </w:rPr>
        <w:t>UN Guiding Principles on Business and Human Rights</w:t>
      </w:r>
      <w:r w:rsidR="00004EDC">
        <w:rPr>
          <w:b/>
        </w:rPr>
        <w:t>, including</w:t>
      </w:r>
      <w:r w:rsidRPr="00A51F41">
        <w:rPr>
          <w:b/>
        </w:rPr>
        <w:t xml:space="preserve"> </w:t>
      </w:r>
      <w:r w:rsidR="00004EDC">
        <w:rPr>
          <w:b/>
        </w:rPr>
        <w:t xml:space="preserve">in regard to </w:t>
      </w:r>
      <w:r w:rsidRPr="00A51F41">
        <w:rPr>
          <w:b/>
        </w:rPr>
        <w:t xml:space="preserve">human rights due diligence in procurement. </w:t>
      </w:r>
      <w:r w:rsidR="00687E92" w:rsidRPr="000D4E69">
        <w:rPr>
          <w:b/>
        </w:rPr>
        <w:t xml:space="preserve"> </w:t>
      </w:r>
      <w:r w:rsidR="00C36869">
        <w:rPr>
          <w:b/>
        </w:rPr>
        <w:br w:type="page"/>
      </w:r>
    </w:p>
    <w:p w14:paraId="0DA15444" w14:textId="2FB30425" w:rsidR="008057CE" w:rsidRDefault="008057CE" w:rsidP="004E00DD">
      <w:pPr>
        <w:pStyle w:val="Heading1"/>
        <w:numPr>
          <w:ilvl w:val="0"/>
          <w:numId w:val="0"/>
        </w:numPr>
        <w:ind w:left="851" w:hanging="851"/>
      </w:pPr>
      <w:bookmarkStart w:id="128" w:name="_Hlk492233243"/>
      <w:bookmarkStart w:id="129" w:name="_Toc493489654"/>
      <w:bookmarkEnd w:id="120"/>
      <w:r>
        <w:lastRenderedPageBreak/>
        <w:t>Attachment 1: Compilation of Recommendations</w:t>
      </w:r>
      <w:bookmarkEnd w:id="128"/>
      <w:bookmarkEnd w:id="129"/>
    </w:p>
    <w:p w14:paraId="01B2D952" w14:textId="0A2C4763" w:rsidR="003726B6" w:rsidRPr="00BE1AF1" w:rsidRDefault="003726B6" w:rsidP="003726B6">
      <w:pPr>
        <w:rPr>
          <w:b/>
          <w:sz w:val="28"/>
        </w:rPr>
      </w:pPr>
      <w:r w:rsidRPr="00BE1AF1">
        <w:rPr>
          <w:b/>
          <w:sz w:val="28"/>
        </w:rPr>
        <w:t>General</w:t>
      </w:r>
    </w:p>
    <w:p w14:paraId="72CE7716" w14:textId="18C74516" w:rsidR="007D625B" w:rsidRPr="00714E2B" w:rsidRDefault="007D625B" w:rsidP="006C5F8E">
      <w:pPr>
        <w:pStyle w:val="SubmissionNormal"/>
        <w:numPr>
          <w:ilvl w:val="0"/>
          <w:numId w:val="66"/>
        </w:numPr>
      </w:pPr>
      <w:r>
        <w:rPr>
          <w:b/>
        </w:rPr>
        <w:t xml:space="preserve">That the Australian Government ensure that concerns raised by the </w:t>
      </w:r>
      <w:r w:rsidR="006C5F8E" w:rsidRPr="006C5F8E">
        <w:rPr>
          <w:b/>
        </w:rPr>
        <w:t xml:space="preserve">Parliamentary Joint Committee on Human Rights </w:t>
      </w:r>
      <w:r>
        <w:rPr>
          <w:b/>
        </w:rPr>
        <w:t>are fully considered in the legislative process.</w:t>
      </w:r>
    </w:p>
    <w:p w14:paraId="75BB74FC" w14:textId="77777777" w:rsidR="007D625B" w:rsidRPr="00EE4605" w:rsidRDefault="007D625B" w:rsidP="007D625B">
      <w:pPr>
        <w:pStyle w:val="SubmissionNormal"/>
        <w:numPr>
          <w:ilvl w:val="0"/>
          <w:numId w:val="66"/>
        </w:numPr>
      </w:pPr>
      <w:r>
        <w:rPr>
          <w:b/>
        </w:rPr>
        <w:t>That the Australian Government ensure that all statements of compatibility are consistently of a high standard and are supported by evidence and analysis.</w:t>
      </w:r>
    </w:p>
    <w:p w14:paraId="3383DA43" w14:textId="77777777" w:rsidR="007D625B" w:rsidRDefault="007D625B" w:rsidP="007D625B">
      <w:pPr>
        <w:pStyle w:val="SubmissionNormal"/>
        <w:numPr>
          <w:ilvl w:val="0"/>
          <w:numId w:val="66"/>
        </w:numPr>
      </w:pPr>
      <w:r w:rsidRPr="004C6E00">
        <w:rPr>
          <w:b/>
        </w:rPr>
        <w:t xml:space="preserve">That the </w:t>
      </w:r>
      <w:r>
        <w:rPr>
          <w:b/>
        </w:rPr>
        <w:t xml:space="preserve">Australian </w:t>
      </w:r>
      <w:r w:rsidRPr="004C6E00">
        <w:rPr>
          <w:b/>
        </w:rPr>
        <w:t>Government</w:t>
      </w:r>
      <w:r>
        <w:rPr>
          <w:b/>
        </w:rPr>
        <w:t xml:space="preserve"> further</w:t>
      </w:r>
      <w:r w:rsidRPr="004C6E00">
        <w:rPr>
          <w:b/>
        </w:rPr>
        <w:t xml:space="preserve"> incorporate </w:t>
      </w:r>
      <w:r>
        <w:rPr>
          <w:b/>
        </w:rPr>
        <w:t>the ICCPR</w:t>
      </w:r>
      <w:r w:rsidRPr="004C6E00">
        <w:rPr>
          <w:b/>
        </w:rPr>
        <w:t xml:space="preserve"> into Australian l</w:t>
      </w:r>
      <w:r>
        <w:rPr>
          <w:b/>
        </w:rPr>
        <w:t>egislation</w:t>
      </w:r>
      <w:r>
        <w:t>.</w:t>
      </w:r>
    </w:p>
    <w:p w14:paraId="645919C6" w14:textId="0B3BA869" w:rsidR="007D625B" w:rsidRPr="003726B6" w:rsidRDefault="007D625B" w:rsidP="007D625B">
      <w:pPr>
        <w:pStyle w:val="SubmissionNormal"/>
        <w:numPr>
          <w:ilvl w:val="0"/>
          <w:numId w:val="66"/>
        </w:numPr>
      </w:pPr>
      <w:r w:rsidRPr="00BE030E">
        <w:rPr>
          <w:b/>
        </w:rPr>
        <w:t xml:space="preserve">That the Australian Government support human rights education for all areas of the public sector, particularly in the administration of justice and places of detention, </w:t>
      </w:r>
      <w:r w:rsidRPr="00BE030E">
        <w:rPr>
          <w:rFonts w:eastAsia="Calibri" w:cs="Arial"/>
          <w:b/>
          <w:lang w:val="en-NZ" w:eastAsia="en-US"/>
        </w:rPr>
        <w:t>including targeted initiatives for public officials</w:t>
      </w:r>
      <w:r w:rsidRPr="00BE030E">
        <w:rPr>
          <w:b/>
        </w:rPr>
        <w:t>; and incorporate more comprehensive human rights education (including ICCPR rights) in the national school curriculum.</w:t>
      </w:r>
    </w:p>
    <w:p w14:paraId="7494AD4C" w14:textId="3E75ADC7" w:rsidR="003726B6" w:rsidRPr="00BE1AF1" w:rsidRDefault="003726B6" w:rsidP="003726B6">
      <w:pPr>
        <w:rPr>
          <w:b/>
          <w:sz w:val="28"/>
        </w:rPr>
      </w:pPr>
      <w:r w:rsidRPr="00BE1AF1">
        <w:rPr>
          <w:b/>
          <w:sz w:val="28"/>
        </w:rPr>
        <w:t>Prevention of torture</w:t>
      </w:r>
    </w:p>
    <w:p w14:paraId="493EAE2D" w14:textId="34F6A915" w:rsidR="007D625B" w:rsidRDefault="007D625B" w:rsidP="007D625B">
      <w:pPr>
        <w:pStyle w:val="SubmissionNormal"/>
        <w:numPr>
          <w:ilvl w:val="0"/>
          <w:numId w:val="66"/>
        </w:numPr>
        <w:rPr>
          <w:b/>
        </w:rPr>
      </w:pPr>
      <w:r>
        <w:rPr>
          <w:b/>
        </w:rPr>
        <w:t xml:space="preserve">That the Australian </w:t>
      </w:r>
      <w:r w:rsidRPr="00681369">
        <w:rPr>
          <w:b/>
        </w:rPr>
        <w:t xml:space="preserve">Government </w:t>
      </w:r>
      <w:r>
        <w:rPr>
          <w:b/>
        </w:rPr>
        <w:t xml:space="preserve">fulfil its commitment to </w:t>
      </w:r>
      <w:r w:rsidRPr="00681369">
        <w:rPr>
          <w:b/>
        </w:rPr>
        <w:t>ratif</w:t>
      </w:r>
      <w:r>
        <w:rPr>
          <w:b/>
        </w:rPr>
        <w:t>y</w:t>
      </w:r>
      <w:r w:rsidRPr="00681369">
        <w:rPr>
          <w:b/>
        </w:rPr>
        <w:t xml:space="preserve"> </w:t>
      </w:r>
      <w:r>
        <w:rPr>
          <w:b/>
        </w:rPr>
        <w:t>OPCAT</w:t>
      </w:r>
      <w:r w:rsidRPr="00681369">
        <w:rPr>
          <w:b/>
        </w:rPr>
        <w:t xml:space="preserve"> </w:t>
      </w:r>
      <w:r>
        <w:rPr>
          <w:b/>
        </w:rPr>
        <w:t xml:space="preserve">by December 2017, in accordance with its timetable, </w:t>
      </w:r>
      <w:r w:rsidRPr="00681369">
        <w:rPr>
          <w:b/>
        </w:rPr>
        <w:t>and</w:t>
      </w:r>
      <w:r>
        <w:rPr>
          <w:b/>
        </w:rPr>
        <w:t xml:space="preserve"> commence its progressive</w:t>
      </w:r>
      <w:r w:rsidRPr="00681369">
        <w:rPr>
          <w:b/>
        </w:rPr>
        <w:t xml:space="preserve"> </w:t>
      </w:r>
      <w:r>
        <w:rPr>
          <w:b/>
        </w:rPr>
        <w:t>implementation immediately thereafter. The Commission considers this issue to be of such importance that the Committee should request an update from the Australian Government on progress in 12 months time.</w:t>
      </w:r>
    </w:p>
    <w:p w14:paraId="75C15A80" w14:textId="6C513E91" w:rsidR="003726B6" w:rsidRPr="00BE1AF1" w:rsidRDefault="003726B6" w:rsidP="003726B6">
      <w:pPr>
        <w:rPr>
          <w:b/>
          <w:sz w:val="28"/>
        </w:rPr>
      </w:pPr>
      <w:r w:rsidRPr="00BE1AF1">
        <w:rPr>
          <w:b/>
          <w:sz w:val="28"/>
        </w:rPr>
        <w:t>Aboriginal and Torres Strait Islander Peoples</w:t>
      </w:r>
    </w:p>
    <w:p w14:paraId="320723CB" w14:textId="77777777" w:rsidR="00BC081D" w:rsidRPr="00BC081D" w:rsidRDefault="007D625B" w:rsidP="00BC081D">
      <w:pPr>
        <w:pStyle w:val="ListParagraph"/>
        <w:numPr>
          <w:ilvl w:val="0"/>
          <w:numId w:val="66"/>
        </w:numPr>
        <w:rPr>
          <w:b/>
        </w:rPr>
      </w:pPr>
      <w:r w:rsidRPr="00BC081D">
        <w:rPr>
          <w:b/>
        </w:rPr>
        <w:t xml:space="preserve">That the Australian Government, in partnership with Aboriginal and Torres Strait Islander peoples, develop a National Strategy to give effect to the </w:t>
      </w:r>
      <w:r w:rsidR="00BC081D" w:rsidRPr="00BC081D">
        <w:rPr>
          <w:b/>
          <w:i/>
        </w:rPr>
        <w:t>UN Declaration on the Rights of Indigenous Peoples</w:t>
      </w:r>
      <w:r w:rsidR="00BC081D" w:rsidRPr="00BC081D">
        <w:rPr>
          <w:b/>
        </w:rPr>
        <w:t xml:space="preserve">. </w:t>
      </w:r>
    </w:p>
    <w:p w14:paraId="7377A43B" w14:textId="77777777" w:rsidR="007D625B" w:rsidRPr="002D734C" w:rsidRDefault="007D625B" w:rsidP="007D625B">
      <w:pPr>
        <w:pStyle w:val="SubmissionNormal"/>
        <w:numPr>
          <w:ilvl w:val="0"/>
          <w:numId w:val="0"/>
        </w:numPr>
        <w:ind w:left="720"/>
        <w:rPr>
          <w:b/>
        </w:rPr>
      </w:pPr>
      <w:r w:rsidRPr="002D734C">
        <w:rPr>
          <w:b/>
        </w:rPr>
        <w:t xml:space="preserve">Further, that the Declaration be included in the definition of ‘human rights’ in the </w:t>
      </w:r>
      <w:r w:rsidRPr="002D734C">
        <w:rPr>
          <w:b/>
          <w:i/>
        </w:rPr>
        <w:t xml:space="preserve">Human Rights (Parliamentary Scrutiny) Act 2011 </w:t>
      </w:r>
      <w:r w:rsidRPr="002D734C">
        <w:rPr>
          <w:b/>
        </w:rPr>
        <w:t>(Cth) to ensure that new</w:t>
      </w:r>
      <w:r>
        <w:rPr>
          <w:b/>
        </w:rPr>
        <w:t xml:space="preserve"> legislation</w:t>
      </w:r>
      <w:r w:rsidRPr="002D734C">
        <w:rPr>
          <w:b/>
        </w:rPr>
        <w:t xml:space="preserve"> is regularly assessed for conformity with the Declaration.  </w:t>
      </w:r>
    </w:p>
    <w:p w14:paraId="4FE44DF7" w14:textId="77777777" w:rsidR="007D625B" w:rsidRPr="00251241" w:rsidRDefault="007D625B" w:rsidP="007D625B">
      <w:pPr>
        <w:pStyle w:val="SubmissionNormal"/>
        <w:numPr>
          <w:ilvl w:val="0"/>
          <w:numId w:val="66"/>
        </w:numPr>
        <w:rPr>
          <w:b/>
        </w:rPr>
      </w:pPr>
      <w:r w:rsidRPr="00E54D64">
        <w:rPr>
          <w:b/>
        </w:rPr>
        <w:t xml:space="preserve">That </w:t>
      </w:r>
      <w:r>
        <w:rPr>
          <w:b/>
        </w:rPr>
        <w:t>all</w:t>
      </w:r>
      <w:r w:rsidRPr="00E54D64">
        <w:rPr>
          <w:b/>
        </w:rPr>
        <w:t xml:space="preserve"> </w:t>
      </w:r>
      <w:r>
        <w:rPr>
          <w:b/>
        </w:rPr>
        <w:t xml:space="preserve">Australian governments </w:t>
      </w:r>
      <w:r w:rsidRPr="00251241">
        <w:rPr>
          <w:b/>
        </w:rPr>
        <w:t>commit to national justice targets to reduce the rates of imprisonment of Aboriginal and Torres Strait Islander adults and juveniles</w:t>
      </w:r>
      <w:r>
        <w:rPr>
          <w:b/>
        </w:rPr>
        <w:t>, and resource a national strategy</w:t>
      </w:r>
      <w:r w:rsidRPr="00251241">
        <w:rPr>
          <w:b/>
        </w:rPr>
        <w:t xml:space="preserve"> to achieve </w:t>
      </w:r>
      <w:r>
        <w:rPr>
          <w:b/>
        </w:rPr>
        <w:t>this.  The Commission considers this issue to be of such importance that the Committee should request an update from the Australian Government on progress in 12 months time.</w:t>
      </w:r>
    </w:p>
    <w:p w14:paraId="048FD12E" w14:textId="77777777" w:rsidR="007D625B" w:rsidRPr="00254671" w:rsidRDefault="007D625B" w:rsidP="007D625B">
      <w:pPr>
        <w:pStyle w:val="SubmissionNormal"/>
        <w:numPr>
          <w:ilvl w:val="0"/>
          <w:numId w:val="66"/>
        </w:numPr>
      </w:pPr>
      <w:r w:rsidRPr="00D24362">
        <w:rPr>
          <w:b/>
        </w:rPr>
        <w:t xml:space="preserve">That the </w:t>
      </w:r>
      <w:r>
        <w:rPr>
          <w:b/>
        </w:rPr>
        <w:t xml:space="preserve">Australian </w:t>
      </w:r>
      <w:r w:rsidRPr="00D24362">
        <w:rPr>
          <w:b/>
        </w:rPr>
        <w:t>Government</w:t>
      </w:r>
      <w:r>
        <w:rPr>
          <w:b/>
        </w:rPr>
        <w:t>:</w:t>
      </w:r>
    </w:p>
    <w:p w14:paraId="1C587A06" w14:textId="25C1D412" w:rsidR="007D625B" w:rsidRDefault="00894110" w:rsidP="007D625B">
      <w:pPr>
        <w:pStyle w:val="ListParagraph"/>
        <w:numPr>
          <w:ilvl w:val="0"/>
          <w:numId w:val="21"/>
        </w:numPr>
        <w:ind w:left="1440"/>
        <w:rPr>
          <w:b/>
        </w:rPr>
      </w:pPr>
      <w:r>
        <w:rPr>
          <w:b/>
        </w:rPr>
        <w:lastRenderedPageBreak/>
        <w:t>e</w:t>
      </w:r>
      <w:r w:rsidR="007D625B">
        <w:rPr>
          <w:b/>
        </w:rPr>
        <w:t xml:space="preserve">nsure that any reforms that affect </w:t>
      </w:r>
      <w:r w:rsidR="007D625B" w:rsidRPr="00254671">
        <w:rPr>
          <w:b/>
        </w:rPr>
        <w:t>Aboriginal and Torres Strait Islander peoples</w:t>
      </w:r>
      <w:r w:rsidR="007D625B">
        <w:rPr>
          <w:b/>
        </w:rPr>
        <w:t>’</w:t>
      </w:r>
      <w:r w:rsidR="007D625B" w:rsidRPr="00254671">
        <w:rPr>
          <w:b/>
        </w:rPr>
        <w:t xml:space="preserve"> lands are undertaken with their free, prior and informed consent</w:t>
      </w:r>
      <w:r w:rsidR="007D625B">
        <w:rPr>
          <w:b/>
        </w:rPr>
        <w:t>.</w:t>
      </w:r>
    </w:p>
    <w:p w14:paraId="094E0762" w14:textId="77777777" w:rsidR="007D625B" w:rsidRPr="00254671" w:rsidRDefault="007D625B" w:rsidP="007D625B">
      <w:pPr>
        <w:pStyle w:val="ListParagraph"/>
        <w:ind w:left="1440"/>
        <w:rPr>
          <w:b/>
        </w:rPr>
      </w:pPr>
    </w:p>
    <w:p w14:paraId="117DEDDB" w14:textId="77777777" w:rsidR="007D625B" w:rsidRPr="00254671" w:rsidRDefault="007D625B" w:rsidP="007D625B">
      <w:pPr>
        <w:pStyle w:val="ListParagraph"/>
        <w:numPr>
          <w:ilvl w:val="0"/>
          <w:numId w:val="21"/>
        </w:numPr>
        <w:ind w:left="1440"/>
        <w:rPr>
          <w:b/>
        </w:rPr>
      </w:pPr>
      <w:r>
        <w:rPr>
          <w:b/>
        </w:rPr>
        <w:t>i</w:t>
      </w:r>
      <w:r w:rsidRPr="00254671">
        <w:rPr>
          <w:b/>
        </w:rPr>
        <w:t xml:space="preserve">mplement the recommendations of the </w:t>
      </w:r>
      <w:r>
        <w:rPr>
          <w:b/>
        </w:rPr>
        <w:t>ALRC</w:t>
      </w:r>
      <w:r w:rsidRPr="00254671">
        <w:rPr>
          <w:b/>
        </w:rPr>
        <w:t xml:space="preserve">’s Connection to Country Review of the </w:t>
      </w:r>
      <w:r w:rsidRPr="00CD52F1">
        <w:rPr>
          <w:b/>
          <w:i/>
        </w:rPr>
        <w:t>Native Title Act 1993</w:t>
      </w:r>
      <w:r w:rsidRPr="00254671">
        <w:rPr>
          <w:b/>
        </w:rPr>
        <w:t xml:space="preserve"> (Cth) and the </w:t>
      </w:r>
      <w:r>
        <w:rPr>
          <w:rFonts w:cs="Arial"/>
          <w:b/>
          <w:iCs/>
        </w:rPr>
        <w:t>Council of Australian Governments’</w:t>
      </w:r>
      <w:r w:rsidRPr="00254671">
        <w:rPr>
          <w:b/>
        </w:rPr>
        <w:t xml:space="preserve"> Investigation into Indigenous Land Administration and Use in order to better recognise and protect </w:t>
      </w:r>
      <w:r>
        <w:rPr>
          <w:b/>
        </w:rPr>
        <w:t>Aboriginal and Torres Strait Islander</w:t>
      </w:r>
      <w:r w:rsidRPr="00254671">
        <w:rPr>
          <w:b/>
        </w:rPr>
        <w:t xml:space="preserve"> peoples’ native title rights and interests</w:t>
      </w:r>
      <w:r>
        <w:rPr>
          <w:b/>
        </w:rPr>
        <w:t>.</w:t>
      </w:r>
    </w:p>
    <w:p w14:paraId="271AA754" w14:textId="77777777" w:rsidR="007D625B" w:rsidRDefault="007D625B" w:rsidP="007D625B">
      <w:pPr>
        <w:pStyle w:val="ListParagraph"/>
        <w:ind w:left="1440"/>
        <w:rPr>
          <w:b/>
        </w:rPr>
      </w:pPr>
    </w:p>
    <w:p w14:paraId="449200E8" w14:textId="77777777" w:rsidR="007D625B" w:rsidRPr="00254671" w:rsidRDefault="007D625B" w:rsidP="007D625B">
      <w:pPr>
        <w:pStyle w:val="ListParagraph"/>
        <w:numPr>
          <w:ilvl w:val="0"/>
          <w:numId w:val="21"/>
        </w:numPr>
        <w:ind w:left="1440"/>
        <w:rPr>
          <w:b/>
        </w:rPr>
      </w:pPr>
      <w:r>
        <w:rPr>
          <w:b/>
        </w:rPr>
        <w:t>e</w:t>
      </w:r>
      <w:r w:rsidRPr="00254671">
        <w:rPr>
          <w:b/>
        </w:rPr>
        <w:t xml:space="preserve">nsure that Aboriginal and Torres Strait Islander peoples’ rights to their traditional estates are not negatively </w:t>
      </w:r>
      <w:r>
        <w:rPr>
          <w:b/>
        </w:rPr>
        <w:t>affected</w:t>
      </w:r>
      <w:r w:rsidRPr="00254671">
        <w:rPr>
          <w:b/>
        </w:rPr>
        <w:t xml:space="preserve"> by the</w:t>
      </w:r>
      <w:r>
        <w:rPr>
          <w:b/>
        </w:rPr>
        <w:t xml:space="preserve"> development of northern Australia.</w:t>
      </w:r>
    </w:p>
    <w:p w14:paraId="30399162" w14:textId="77777777" w:rsidR="007D625B" w:rsidRPr="007D0DF6" w:rsidRDefault="007D625B" w:rsidP="007D625B">
      <w:pPr>
        <w:pStyle w:val="SubmissionNormal"/>
        <w:numPr>
          <w:ilvl w:val="0"/>
          <w:numId w:val="66"/>
        </w:numPr>
        <w:rPr>
          <w:b/>
          <w:lang w:val="en-US"/>
        </w:rPr>
      </w:pPr>
      <w:r>
        <w:rPr>
          <w:b/>
        </w:rPr>
        <w:t>T</w:t>
      </w:r>
      <w:r w:rsidRPr="00321E37">
        <w:rPr>
          <w:b/>
        </w:rPr>
        <w:t xml:space="preserve">hat the </w:t>
      </w:r>
      <w:r>
        <w:rPr>
          <w:b/>
        </w:rPr>
        <w:t xml:space="preserve">Australian </w:t>
      </w:r>
      <w:r w:rsidRPr="00321E37">
        <w:rPr>
          <w:b/>
        </w:rPr>
        <w:t>Government</w:t>
      </w:r>
      <w:r>
        <w:rPr>
          <w:b/>
        </w:rPr>
        <w:t>:</w:t>
      </w:r>
    </w:p>
    <w:p w14:paraId="2B8B32EC" w14:textId="77777777" w:rsidR="007D625B" w:rsidRPr="002725C2" w:rsidRDefault="007D625B" w:rsidP="007D625B">
      <w:pPr>
        <w:pStyle w:val="SubmissionNormal"/>
        <w:numPr>
          <w:ilvl w:val="0"/>
          <w:numId w:val="24"/>
        </w:numPr>
      </w:pPr>
      <w:r w:rsidRPr="007D0DF6">
        <w:rPr>
          <w:b/>
        </w:rPr>
        <w:t>commi</w:t>
      </w:r>
      <w:r>
        <w:rPr>
          <w:b/>
        </w:rPr>
        <w:t>t</w:t>
      </w:r>
      <w:r w:rsidRPr="007D0DF6">
        <w:rPr>
          <w:b/>
        </w:rPr>
        <w:t xml:space="preserve"> to </w:t>
      </w:r>
      <w:r>
        <w:rPr>
          <w:b/>
        </w:rPr>
        <w:t>cut the disproportionate rates of</w:t>
      </w:r>
      <w:r w:rsidRPr="007D0DF6">
        <w:rPr>
          <w:b/>
        </w:rPr>
        <w:t xml:space="preserve"> violence against Aboriginal and Torres Strait Islander people to close the gap by 2040 (with priority strategies for women and children)</w:t>
      </w:r>
      <w:r>
        <w:rPr>
          <w:b/>
        </w:rPr>
        <w:t>;</w:t>
      </w:r>
      <w:r w:rsidRPr="002725C2" w:rsidDel="002626BD">
        <w:rPr>
          <w:rStyle w:val="EndnoteReference"/>
        </w:rPr>
        <w:t xml:space="preserve"> </w:t>
      </w:r>
    </w:p>
    <w:p w14:paraId="162D44CE" w14:textId="77777777" w:rsidR="007D625B" w:rsidRPr="00321E37" w:rsidRDefault="007D625B" w:rsidP="007D625B">
      <w:pPr>
        <w:pStyle w:val="SubmissionNormal"/>
        <w:numPr>
          <w:ilvl w:val="0"/>
          <w:numId w:val="24"/>
        </w:numPr>
        <w:rPr>
          <w:b/>
          <w:lang w:val="en-US"/>
        </w:rPr>
      </w:pPr>
      <w:r w:rsidRPr="00321E37">
        <w:rPr>
          <w:b/>
        </w:rPr>
        <w:t>prioritise early intervention and prevention initiatives that provide comprehensive support and protection from violence to vulnerable Indigenous populations including women, children and the elderly.</w:t>
      </w:r>
    </w:p>
    <w:p w14:paraId="61B547BC" w14:textId="77777777" w:rsidR="007D625B" w:rsidRPr="00C07E99" w:rsidRDefault="007D625B" w:rsidP="007D625B">
      <w:pPr>
        <w:pStyle w:val="SubmissionNormal"/>
        <w:numPr>
          <w:ilvl w:val="0"/>
          <w:numId w:val="66"/>
        </w:numPr>
      </w:pPr>
      <w:r>
        <w:rPr>
          <w:b/>
        </w:rPr>
        <w:t xml:space="preserve">That the Australian Government provide adequate ongoing </w:t>
      </w:r>
      <w:r w:rsidRPr="00062821">
        <w:rPr>
          <w:b/>
        </w:rPr>
        <w:t xml:space="preserve">funding </w:t>
      </w:r>
      <w:r w:rsidRPr="00062821">
        <w:rPr>
          <w:rFonts w:cs="Arial"/>
          <w:b/>
        </w:rPr>
        <w:t>of</w:t>
      </w:r>
      <w:r w:rsidRPr="00062821">
        <w:rPr>
          <w:b/>
        </w:rPr>
        <w:t xml:space="preserve"> the National</w:t>
      </w:r>
      <w:r w:rsidRPr="00112FB1">
        <w:rPr>
          <w:b/>
        </w:rPr>
        <w:t xml:space="preserve"> Congress of Australia’s First Peoples </w:t>
      </w:r>
      <w:r>
        <w:rPr>
          <w:b/>
        </w:rPr>
        <w:t>and to Indigenous legal assistance programs.</w:t>
      </w:r>
    </w:p>
    <w:p w14:paraId="028DDA48" w14:textId="77777777" w:rsidR="007D625B" w:rsidRPr="0049581D" w:rsidRDefault="007D625B" w:rsidP="007D625B">
      <w:pPr>
        <w:pStyle w:val="SubmissionNormal"/>
        <w:numPr>
          <w:ilvl w:val="0"/>
          <w:numId w:val="66"/>
        </w:numPr>
        <w:rPr>
          <w:rFonts w:cs="Arial"/>
          <w:b/>
        </w:rPr>
      </w:pPr>
      <w:r w:rsidRPr="0049581D">
        <w:rPr>
          <w:b/>
        </w:rPr>
        <w:t xml:space="preserve">That the </w:t>
      </w:r>
      <w:r>
        <w:rPr>
          <w:b/>
        </w:rPr>
        <w:t xml:space="preserve">Australian </w:t>
      </w:r>
      <w:r w:rsidRPr="0049581D">
        <w:rPr>
          <w:b/>
        </w:rPr>
        <w:t xml:space="preserve">Government </w:t>
      </w:r>
      <w:r>
        <w:rPr>
          <w:b/>
          <w:lang w:val="en-GB" w:eastAsia="en-GB"/>
        </w:rPr>
        <w:t xml:space="preserve">develop with Aboriginal and Torres Strait Islander peoples </w:t>
      </w:r>
      <w:r w:rsidRPr="0049581D">
        <w:rPr>
          <w:b/>
        </w:rPr>
        <w:t>a model for const</w:t>
      </w:r>
      <w:r w:rsidRPr="00BC40E5">
        <w:rPr>
          <w:b/>
        </w:rPr>
        <w:t>itutional recognition and for a First Nations’ voice to Parliament</w:t>
      </w:r>
      <w:r w:rsidRPr="0049581D">
        <w:rPr>
          <w:b/>
        </w:rPr>
        <w:t xml:space="preserve">. </w:t>
      </w:r>
    </w:p>
    <w:p w14:paraId="16FBAD9D" w14:textId="77777777" w:rsidR="007D625B" w:rsidRPr="002F6F01" w:rsidRDefault="007D625B" w:rsidP="007D625B">
      <w:pPr>
        <w:pStyle w:val="SubmissionNormal"/>
        <w:numPr>
          <w:ilvl w:val="0"/>
          <w:numId w:val="66"/>
        </w:numPr>
        <w:rPr>
          <w:b/>
        </w:rPr>
      </w:pPr>
      <w:r w:rsidRPr="00C14BF6">
        <w:rPr>
          <w:b/>
        </w:rPr>
        <w:t xml:space="preserve">That the </w:t>
      </w:r>
      <w:r>
        <w:rPr>
          <w:b/>
        </w:rPr>
        <w:t xml:space="preserve">Australian </w:t>
      </w:r>
      <w:r w:rsidRPr="00C14BF6">
        <w:rPr>
          <w:b/>
        </w:rPr>
        <w:t xml:space="preserve">Government develop the </w:t>
      </w:r>
      <w:r w:rsidRPr="00C14BF6">
        <w:rPr>
          <w:b/>
          <w:i/>
        </w:rPr>
        <w:t xml:space="preserve">Plan to Improve Outcomes for Aboriginal and Torres Strait Islander People with Disability. </w:t>
      </w:r>
    </w:p>
    <w:p w14:paraId="43E24C42" w14:textId="3B839438" w:rsidR="003726B6" w:rsidRPr="00BE1AF1" w:rsidRDefault="003726B6" w:rsidP="003726B6">
      <w:pPr>
        <w:rPr>
          <w:sz w:val="28"/>
        </w:rPr>
      </w:pPr>
      <w:r w:rsidRPr="00BE1AF1">
        <w:rPr>
          <w:b/>
          <w:sz w:val="28"/>
        </w:rPr>
        <w:t>Older persons</w:t>
      </w:r>
    </w:p>
    <w:p w14:paraId="50400F04" w14:textId="40818544" w:rsidR="007D625B" w:rsidRPr="00733D0E" w:rsidRDefault="007D625B" w:rsidP="007D625B">
      <w:pPr>
        <w:pStyle w:val="SubmissionNormal"/>
        <w:numPr>
          <w:ilvl w:val="0"/>
          <w:numId w:val="66"/>
        </w:numPr>
      </w:pPr>
      <w:r w:rsidRPr="002C64C1">
        <w:rPr>
          <w:b/>
        </w:rPr>
        <w:t xml:space="preserve">That the </w:t>
      </w:r>
      <w:r>
        <w:rPr>
          <w:b/>
        </w:rPr>
        <w:t xml:space="preserve">Australian </w:t>
      </w:r>
      <w:r w:rsidRPr="002C64C1">
        <w:rPr>
          <w:b/>
        </w:rPr>
        <w:t xml:space="preserve">Government implement recommendations from the ALRC’s report </w:t>
      </w:r>
      <w:r w:rsidRPr="002C64C1">
        <w:rPr>
          <w:b/>
          <w:i/>
        </w:rPr>
        <w:t>Elder Abuse—A National Legal Response</w:t>
      </w:r>
      <w:r w:rsidRPr="002C64C1">
        <w:rPr>
          <w:b/>
        </w:rPr>
        <w:t xml:space="preserve"> and continue to work towards the development of a </w:t>
      </w:r>
      <w:r>
        <w:rPr>
          <w:b/>
        </w:rPr>
        <w:t>n</w:t>
      </w:r>
      <w:r w:rsidRPr="002C64C1">
        <w:rPr>
          <w:b/>
        </w:rPr>
        <w:t xml:space="preserve">ational </w:t>
      </w:r>
      <w:r>
        <w:rPr>
          <w:b/>
        </w:rPr>
        <w:t>p</w:t>
      </w:r>
      <w:r w:rsidRPr="002C64C1">
        <w:rPr>
          <w:b/>
        </w:rPr>
        <w:t>lan to tackle elder abuse</w:t>
      </w:r>
      <w:r w:rsidRPr="00733D0E">
        <w:rPr>
          <w:b/>
        </w:rPr>
        <w:t>.</w:t>
      </w:r>
    </w:p>
    <w:p w14:paraId="448CF906" w14:textId="3D01CFE5" w:rsidR="007D625B" w:rsidRPr="003726B6" w:rsidRDefault="007D625B" w:rsidP="007D625B">
      <w:pPr>
        <w:pStyle w:val="SubmissionNormal"/>
        <w:numPr>
          <w:ilvl w:val="0"/>
          <w:numId w:val="66"/>
        </w:numPr>
      </w:pPr>
      <w:r>
        <w:rPr>
          <w:b/>
        </w:rPr>
        <w:t>That</w:t>
      </w:r>
      <w:r w:rsidRPr="00B36D85">
        <w:rPr>
          <w:b/>
        </w:rPr>
        <w:t xml:space="preserve"> the </w:t>
      </w:r>
      <w:r>
        <w:rPr>
          <w:b/>
        </w:rPr>
        <w:t xml:space="preserve">Australian </w:t>
      </w:r>
      <w:r w:rsidRPr="00B36D85">
        <w:rPr>
          <w:b/>
        </w:rPr>
        <w:t>Government implement the</w:t>
      </w:r>
      <w:r>
        <w:rPr>
          <w:b/>
        </w:rPr>
        <w:t xml:space="preserve"> recommendations in the</w:t>
      </w:r>
      <w:r w:rsidRPr="00B36D85">
        <w:rPr>
          <w:b/>
        </w:rPr>
        <w:t xml:space="preserve"> </w:t>
      </w:r>
      <w:r w:rsidRPr="00E72F32">
        <w:rPr>
          <w:rFonts w:cs="Arial"/>
          <w:b/>
          <w:i/>
          <w:color w:val="000000"/>
          <w:lang w:val="en-GB"/>
        </w:rPr>
        <w:t>Willing to Work</w:t>
      </w:r>
      <w:r>
        <w:rPr>
          <w:rFonts w:cs="Arial"/>
          <w:b/>
          <w:i/>
          <w:color w:val="000000"/>
          <w:lang w:val="en-GB"/>
        </w:rPr>
        <w:t xml:space="preserve"> </w:t>
      </w:r>
      <w:r>
        <w:rPr>
          <w:rFonts w:cs="Arial"/>
          <w:b/>
          <w:color w:val="000000"/>
          <w:lang w:val="en-GB"/>
        </w:rPr>
        <w:t>Report to r</w:t>
      </w:r>
      <w:r>
        <w:rPr>
          <w:b/>
        </w:rPr>
        <w:t>educe employment discrimination against older Australians and Australians with disability.</w:t>
      </w:r>
    </w:p>
    <w:p w14:paraId="62D49240" w14:textId="77777777" w:rsidR="00BE1AF1" w:rsidRDefault="00BE1AF1" w:rsidP="003726B6">
      <w:pPr>
        <w:rPr>
          <w:b/>
          <w:sz w:val="28"/>
        </w:rPr>
      </w:pPr>
    </w:p>
    <w:p w14:paraId="65DC3DA5" w14:textId="77777777" w:rsidR="00BE1AF1" w:rsidRDefault="00BE1AF1" w:rsidP="003726B6">
      <w:pPr>
        <w:rPr>
          <w:b/>
          <w:sz w:val="28"/>
        </w:rPr>
      </w:pPr>
    </w:p>
    <w:p w14:paraId="099156C4" w14:textId="481EEFA4" w:rsidR="003726B6" w:rsidRPr="00BE1AF1" w:rsidRDefault="003726B6" w:rsidP="003726B6">
      <w:pPr>
        <w:rPr>
          <w:sz w:val="28"/>
        </w:rPr>
      </w:pPr>
      <w:r w:rsidRPr="00BE1AF1">
        <w:rPr>
          <w:b/>
          <w:sz w:val="28"/>
        </w:rPr>
        <w:lastRenderedPageBreak/>
        <w:t xml:space="preserve">People with disability </w:t>
      </w:r>
    </w:p>
    <w:p w14:paraId="6F3A3C95" w14:textId="77777777" w:rsidR="007D625B" w:rsidRPr="009C534A" w:rsidRDefault="007D625B" w:rsidP="007D625B">
      <w:pPr>
        <w:pStyle w:val="SubmissionNormal"/>
        <w:numPr>
          <w:ilvl w:val="0"/>
          <w:numId w:val="66"/>
        </w:numPr>
      </w:pPr>
      <w:r>
        <w:rPr>
          <w:rFonts w:cs="Arial"/>
          <w:b/>
          <w:iCs/>
        </w:rPr>
        <w:t>That the</w:t>
      </w:r>
      <w:r w:rsidRPr="00732347">
        <w:rPr>
          <w:rFonts w:cs="Arial"/>
          <w:b/>
          <w:iCs/>
        </w:rPr>
        <w:t xml:space="preserve"> </w:t>
      </w:r>
      <w:r>
        <w:rPr>
          <w:rFonts w:cs="Arial"/>
          <w:b/>
          <w:iCs/>
        </w:rPr>
        <w:t>Australian Government, through the Council of Australian Governments,</w:t>
      </w:r>
      <w:r w:rsidRPr="00732347">
        <w:rPr>
          <w:rFonts w:cs="Arial"/>
          <w:b/>
          <w:iCs/>
        </w:rPr>
        <w:t xml:space="preserve"> develop appropriate support for </w:t>
      </w:r>
      <w:r>
        <w:rPr>
          <w:rFonts w:cs="Arial"/>
          <w:b/>
          <w:iCs/>
        </w:rPr>
        <w:t>people with disability</w:t>
      </w:r>
      <w:r w:rsidRPr="00732347">
        <w:rPr>
          <w:rFonts w:cs="Arial"/>
          <w:b/>
          <w:iCs/>
        </w:rPr>
        <w:t>, particularly those with mental health disorders and cognitive</w:t>
      </w:r>
      <w:r>
        <w:rPr>
          <w:rFonts w:cs="Arial"/>
          <w:b/>
          <w:iCs/>
        </w:rPr>
        <w:t xml:space="preserve"> impairment,</w:t>
      </w:r>
      <w:r w:rsidRPr="00732347">
        <w:rPr>
          <w:rFonts w:cs="Arial"/>
          <w:b/>
          <w:iCs/>
        </w:rPr>
        <w:t xml:space="preserve"> including national guidelines on ‘fitness to plead’</w:t>
      </w:r>
      <w:r>
        <w:rPr>
          <w:rFonts w:cs="Arial"/>
          <w:b/>
          <w:iCs/>
        </w:rPr>
        <w:t>.</w:t>
      </w:r>
    </w:p>
    <w:p w14:paraId="2833256E" w14:textId="77777777" w:rsidR="007D625B" w:rsidRDefault="007D625B" w:rsidP="007D625B">
      <w:pPr>
        <w:pStyle w:val="SubmissionNormal"/>
        <w:numPr>
          <w:ilvl w:val="0"/>
          <w:numId w:val="66"/>
        </w:numPr>
      </w:pPr>
      <w:r>
        <w:rPr>
          <w:rFonts w:eastAsia="Calibri" w:cs="Arial"/>
          <w:b/>
          <w:lang w:val="en-NZ" w:eastAsia="en-US"/>
        </w:rPr>
        <w:t>That the Australian Government a</w:t>
      </w:r>
      <w:r w:rsidRPr="00921027">
        <w:rPr>
          <w:rFonts w:eastAsia="Calibri" w:cs="Arial"/>
          <w:b/>
          <w:lang w:val="en-NZ" w:eastAsia="en-US"/>
        </w:rPr>
        <w:t xml:space="preserve">dopt a national approach to address violence against </w:t>
      </w:r>
      <w:r>
        <w:rPr>
          <w:b/>
        </w:rPr>
        <w:t>people with disability</w:t>
      </w:r>
      <w:r>
        <w:rPr>
          <w:rFonts w:eastAsia="Calibri" w:cs="Arial"/>
          <w:b/>
          <w:lang w:val="en-NZ" w:eastAsia="en-US"/>
        </w:rPr>
        <w:t>.</w:t>
      </w:r>
    </w:p>
    <w:p w14:paraId="4D2FA5D5" w14:textId="77777777" w:rsidR="007D625B" w:rsidRPr="00FF3D2B" w:rsidRDefault="007D625B" w:rsidP="007D625B">
      <w:pPr>
        <w:pStyle w:val="SubmissionNormal"/>
        <w:numPr>
          <w:ilvl w:val="0"/>
          <w:numId w:val="66"/>
        </w:numPr>
      </w:pPr>
      <w:r w:rsidRPr="00FF3D2B">
        <w:rPr>
          <w:rFonts w:cs="Arial"/>
          <w:b/>
          <w:iCs/>
        </w:rPr>
        <w:t xml:space="preserve">That the </w:t>
      </w:r>
      <w:r>
        <w:rPr>
          <w:rFonts w:cs="Arial"/>
          <w:b/>
          <w:iCs/>
        </w:rPr>
        <w:t xml:space="preserve">Australian </w:t>
      </w:r>
      <w:r w:rsidRPr="00FF3D2B">
        <w:rPr>
          <w:rFonts w:cs="Arial"/>
          <w:b/>
          <w:iCs/>
        </w:rPr>
        <w:t xml:space="preserve">Government </w:t>
      </w:r>
      <w:r>
        <w:rPr>
          <w:rFonts w:cs="Arial"/>
          <w:b/>
          <w:iCs/>
        </w:rPr>
        <w:t xml:space="preserve">encourage </w:t>
      </w:r>
      <w:r w:rsidRPr="007276EE">
        <w:rPr>
          <w:rFonts w:cs="Arial"/>
          <w:b/>
          <w:iCs/>
        </w:rPr>
        <w:t xml:space="preserve">monitoring, compliance and implementation of the </w:t>
      </w:r>
      <w:r w:rsidRPr="007276EE">
        <w:rPr>
          <w:rFonts w:cs="Arial"/>
          <w:b/>
          <w:i/>
          <w:iCs/>
        </w:rPr>
        <w:t>Disability (Access to Premises – Buildings) Standards 2010</w:t>
      </w:r>
      <w:r w:rsidRPr="007276EE">
        <w:rPr>
          <w:rFonts w:cs="Arial"/>
          <w:b/>
          <w:iCs/>
        </w:rPr>
        <w:t xml:space="preserve"> and </w:t>
      </w:r>
      <w:r w:rsidRPr="007276EE">
        <w:rPr>
          <w:rFonts w:cs="Arial"/>
          <w:b/>
          <w:i/>
          <w:iCs/>
        </w:rPr>
        <w:t>Disability Standards for Accessible Public Transport 2002</w:t>
      </w:r>
      <w:r>
        <w:rPr>
          <w:rFonts w:cs="Arial"/>
          <w:b/>
          <w:iCs/>
        </w:rPr>
        <w:t xml:space="preserve">, and ensure that people with disability have the requisite access to fully participate </w:t>
      </w:r>
      <w:r w:rsidRPr="00FF3D2B">
        <w:rPr>
          <w:rFonts w:cs="Arial"/>
          <w:b/>
          <w:iCs/>
        </w:rPr>
        <w:t>in the democratic process.</w:t>
      </w:r>
    </w:p>
    <w:p w14:paraId="37F9B10C" w14:textId="77777777" w:rsidR="007D625B" w:rsidRPr="005E61B2" w:rsidRDefault="007D625B" w:rsidP="007D625B">
      <w:pPr>
        <w:pStyle w:val="SubmissionNormal"/>
        <w:numPr>
          <w:ilvl w:val="0"/>
          <w:numId w:val="66"/>
        </w:numPr>
        <w:rPr>
          <w:rFonts w:eastAsia="Calibri" w:cs="Arial"/>
          <w:b/>
          <w:lang w:val="en-NZ" w:eastAsia="en-US"/>
        </w:rPr>
      </w:pPr>
      <w:r w:rsidRPr="00290D27">
        <w:rPr>
          <w:rFonts w:eastAsia="Calibri" w:cs="Arial"/>
          <w:b/>
          <w:lang w:val="en-NZ" w:eastAsia="en-US"/>
        </w:rPr>
        <w:t xml:space="preserve">That the Australian Government ensure that subsequent Action Plans to the </w:t>
      </w:r>
      <w:r w:rsidRPr="00290D27">
        <w:rPr>
          <w:rFonts w:eastAsia="Calibri" w:cs="Arial"/>
          <w:b/>
          <w:i/>
          <w:lang w:val="en-NZ" w:eastAsia="en-US"/>
        </w:rPr>
        <w:t xml:space="preserve">National Plan to Reduce Violence Against Women and their Children </w:t>
      </w:r>
      <w:r w:rsidRPr="00290D27">
        <w:rPr>
          <w:rFonts w:eastAsia="Calibri" w:cs="Arial"/>
          <w:b/>
          <w:lang w:val="en-NZ" w:eastAsia="en-US"/>
        </w:rPr>
        <w:t xml:space="preserve">continue to address and prevent gendered disability violence, including implementation of relevant recommendations from the </w:t>
      </w:r>
      <w:r w:rsidRPr="00290D27">
        <w:rPr>
          <w:rFonts w:eastAsia="Calibri" w:cs="Arial"/>
          <w:b/>
          <w:i/>
          <w:lang w:val="en-NZ" w:eastAsia="en-US"/>
        </w:rPr>
        <w:t xml:space="preserve">Stop the Violence Project </w:t>
      </w:r>
      <w:r w:rsidRPr="00290D27">
        <w:rPr>
          <w:rFonts w:eastAsia="Calibri" w:cs="Arial"/>
          <w:b/>
          <w:lang w:val="en-NZ" w:eastAsia="en-US"/>
        </w:rPr>
        <w:t>to improve the provision of support and services for people experiencing gendered disability violence.</w:t>
      </w:r>
      <w:r>
        <w:rPr>
          <w:rFonts w:eastAsia="Calibri" w:cs="Arial"/>
          <w:b/>
          <w:lang w:val="en-NZ" w:eastAsia="en-US"/>
        </w:rPr>
        <w:t xml:space="preserve"> </w:t>
      </w:r>
    </w:p>
    <w:p w14:paraId="0109FCF1" w14:textId="77777777" w:rsidR="007D625B" w:rsidRPr="00C81C05" w:rsidRDefault="007D625B" w:rsidP="007D625B">
      <w:pPr>
        <w:pStyle w:val="SubmissionNormal"/>
        <w:numPr>
          <w:ilvl w:val="0"/>
          <w:numId w:val="66"/>
        </w:numPr>
      </w:pPr>
      <w:r>
        <w:rPr>
          <w:rFonts w:eastAsia="Calibri" w:cs="Arial"/>
          <w:b/>
          <w:lang w:val="en-NZ" w:eastAsia="en-US"/>
        </w:rPr>
        <w:t xml:space="preserve">That the Australian Government </w:t>
      </w:r>
      <w:r w:rsidRPr="00921027">
        <w:rPr>
          <w:rFonts w:eastAsia="Calibri" w:cs="Arial"/>
          <w:b/>
          <w:lang w:val="en-NZ" w:eastAsia="en-US"/>
        </w:rPr>
        <w:t xml:space="preserve">introduce legal protections to </w:t>
      </w:r>
      <w:r>
        <w:rPr>
          <w:rFonts w:eastAsia="Calibri" w:cs="Arial"/>
          <w:b/>
          <w:lang w:val="en-NZ" w:eastAsia="en-US"/>
        </w:rPr>
        <w:t>prevent</w:t>
      </w:r>
      <w:r w:rsidRPr="00921027">
        <w:rPr>
          <w:rFonts w:eastAsia="Calibri" w:cs="Arial"/>
          <w:b/>
          <w:lang w:val="en-NZ" w:eastAsia="en-US"/>
        </w:rPr>
        <w:t xml:space="preserve"> sterilisation of </w:t>
      </w:r>
      <w:r>
        <w:rPr>
          <w:rFonts w:eastAsia="Calibri" w:cs="Arial"/>
          <w:b/>
          <w:lang w:val="en-NZ" w:eastAsia="en-US"/>
        </w:rPr>
        <w:t>women and girls</w:t>
      </w:r>
      <w:r w:rsidRPr="00921027">
        <w:rPr>
          <w:rFonts w:eastAsia="Calibri" w:cs="Arial"/>
          <w:b/>
          <w:lang w:val="en-NZ" w:eastAsia="en-US"/>
        </w:rPr>
        <w:t xml:space="preserve"> with </w:t>
      </w:r>
      <w:r>
        <w:rPr>
          <w:rFonts w:eastAsia="Calibri" w:cs="Arial"/>
          <w:b/>
          <w:lang w:val="en-NZ" w:eastAsia="en-US"/>
        </w:rPr>
        <w:t>disability</w:t>
      </w:r>
      <w:r w:rsidRPr="00921027">
        <w:rPr>
          <w:rFonts w:eastAsia="Calibri" w:cs="Arial"/>
          <w:b/>
          <w:lang w:val="en-NZ" w:eastAsia="en-US"/>
        </w:rPr>
        <w:t xml:space="preserve"> without consent.</w:t>
      </w:r>
    </w:p>
    <w:p w14:paraId="77396C62" w14:textId="0989F78B" w:rsidR="007D625B" w:rsidRPr="003726B6" w:rsidRDefault="007D625B" w:rsidP="007D625B">
      <w:pPr>
        <w:pStyle w:val="SubmissionNormal"/>
        <w:numPr>
          <w:ilvl w:val="0"/>
          <w:numId w:val="66"/>
        </w:numPr>
        <w:rPr>
          <w:b/>
        </w:rPr>
      </w:pPr>
      <w:r w:rsidRPr="00C81C05">
        <w:rPr>
          <w:rFonts w:eastAsia="Calibri" w:cs="Arial"/>
          <w:b/>
          <w:lang w:val="en-NZ" w:eastAsia="en-US"/>
        </w:rPr>
        <w:t xml:space="preserve">That the </w:t>
      </w:r>
      <w:r>
        <w:rPr>
          <w:rFonts w:eastAsia="Calibri" w:cs="Arial"/>
          <w:b/>
          <w:lang w:val="en-NZ" w:eastAsia="en-US"/>
        </w:rPr>
        <w:t xml:space="preserve">Australian </w:t>
      </w:r>
      <w:r w:rsidRPr="00C81C05">
        <w:rPr>
          <w:rFonts w:eastAsia="Calibri" w:cs="Arial"/>
          <w:b/>
          <w:lang w:val="en-NZ" w:eastAsia="en-US"/>
        </w:rPr>
        <w:t xml:space="preserve">Government properly resource </w:t>
      </w:r>
      <w:r w:rsidRPr="00C81C05">
        <w:rPr>
          <w:rFonts w:cs="Arial"/>
          <w:b/>
        </w:rPr>
        <w:t xml:space="preserve">accommodation and support services for </w:t>
      </w:r>
      <w:r w:rsidRPr="00C81C05">
        <w:rPr>
          <w:rFonts w:eastAsia="Calibri" w:cs="Arial"/>
          <w:b/>
          <w:lang w:val="en-NZ" w:eastAsia="en-US"/>
        </w:rPr>
        <w:t xml:space="preserve">women and girls with </w:t>
      </w:r>
      <w:r>
        <w:rPr>
          <w:rFonts w:eastAsia="Calibri" w:cs="Arial"/>
          <w:b/>
          <w:lang w:val="en-NZ" w:eastAsia="en-US"/>
        </w:rPr>
        <w:t>disability</w:t>
      </w:r>
      <w:r w:rsidRPr="00C81C05">
        <w:rPr>
          <w:rFonts w:eastAsia="Calibri" w:cs="Arial"/>
          <w:b/>
          <w:lang w:val="en-NZ" w:eastAsia="en-US"/>
        </w:rPr>
        <w:t>.</w:t>
      </w:r>
    </w:p>
    <w:p w14:paraId="0CEA3D81" w14:textId="39DDF543" w:rsidR="003726B6" w:rsidRPr="00BE1AF1" w:rsidRDefault="003726B6" w:rsidP="003726B6">
      <w:pPr>
        <w:rPr>
          <w:b/>
          <w:sz w:val="28"/>
        </w:rPr>
      </w:pPr>
      <w:r w:rsidRPr="00BE1AF1">
        <w:rPr>
          <w:rFonts w:eastAsia="Calibri" w:cs="Arial"/>
          <w:b/>
          <w:sz w:val="28"/>
          <w:lang w:val="en-NZ" w:eastAsia="en-US"/>
        </w:rPr>
        <w:t>Lesbian, gay, bisexual, transgender and intersex people</w:t>
      </w:r>
    </w:p>
    <w:p w14:paraId="70FFECB4" w14:textId="77777777" w:rsidR="007D625B" w:rsidRDefault="007D625B" w:rsidP="007D625B">
      <w:pPr>
        <w:pStyle w:val="SubmissionNormal"/>
        <w:numPr>
          <w:ilvl w:val="0"/>
          <w:numId w:val="66"/>
        </w:numPr>
        <w:rPr>
          <w:b/>
        </w:rPr>
      </w:pPr>
      <w:r w:rsidRPr="00C81406">
        <w:rPr>
          <w:b/>
        </w:rPr>
        <w:t xml:space="preserve">That the </w:t>
      </w:r>
      <w:r>
        <w:rPr>
          <w:b/>
        </w:rPr>
        <w:t xml:space="preserve">Australian </w:t>
      </w:r>
      <w:r w:rsidRPr="00C81406">
        <w:rPr>
          <w:b/>
        </w:rPr>
        <w:t xml:space="preserve">Government </w:t>
      </w:r>
      <w:r>
        <w:rPr>
          <w:b/>
        </w:rPr>
        <w:t xml:space="preserve">ensure that Australian law enables young people </w:t>
      </w:r>
      <w:r w:rsidRPr="00C81406">
        <w:rPr>
          <w:b/>
        </w:rPr>
        <w:t>diagnosed with gender dysphoria</w:t>
      </w:r>
      <w:r>
        <w:rPr>
          <w:b/>
        </w:rPr>
        <w:t xml:space="preserve"> to </w:t>
      </w:r>
      <w:r w:rsidRPr="00C81406">
        <w:rPr>
          <w:b/>
        </w:rPr>
        <w:t>access stage 2 hormone treatment</w:t>
      </w:r>
      <w:r>
        <w:rPr>
          <w:b/>
        </w:rPr>
        <w:t xml:space="preserve"> without court authorisation with the approval of their parents or guardians and medical team and in accordance with the relevant medical standards of care and treatment guidelines.</w:t>
      </w:r>
    </w:p>
    <w:p w14:paraId="25289992" w14:textId="77777777" w:rsidR="007D625B" w:rsidRPr="00357490" w:rsidRDefault="007D625B" w:rsidP="007D625B">
      <w:pPr>
        <w:pStyle w:val="SubmissionNormal"/>
        <w:numPr>
          <w:ilvl w:val="0"/>
          <w:numId w:val="66"/>
        </w:numPr>
        <w:rPr>
          <w:b/>
        </w:rPr>
      </w:pPr>
      <w:r>
        <w:rPr>
          <w:b/>
        </w:rPr>
        <w:t>T</w:t>
      </w:r>
      <w:r w:rsidRPr="00A45DED">
        <w:rPr>
          <w:b/>
        </w:rPr>
        <w:t xml:space="preserve">hat </w:t>
      </w:r>
      <w:r>
        <w:rPr>
          <w:b/>
        </w:rPr>
        <w:t xml:space="preserve">the Australian Government encourage </w:t>
      </w:r>
      <w:r w:rsidRPr="00A45DED">
        <w:rPr>
          <w:b/>
        </w:rPr>
        <w:t xml:space="preserve">Western Australia to provide access to surrogacy arrangements for </w:t>
      </w:r>
      <w:r>
        <w:rPr>
          <w:b/>
        </w:rPr>
        <w:t xml:space="preserve">all </w:t>
      </w:r>
      <w:r w:rsidRPr="00A45DED">
        <w:rPr>
          <w:b/>
        </w:rPr>
        <w:t>same</w:t>
      </w:r>
      <w:r>
        <w:rPr>
          <w:b/>
        </w:rPr>
        <w:t>-</w:t>
      </w:r>
      <w:r w:rsidRPr="00A45DED">
        <w:rPr>
          <w:b/>
        </w:rPr>
        <w:t xml:space="preserve">sex couples as is provided </w:t>
      </w:r>
      <w:r>
        <w:rPr>
          <w:b/>
        </w:rPr>
        <w:t>to</w:t>
      </w:r>
      <w:r w:rsidRPr="00A45DED">
        <w:rPr>
          <w:b/>
        </w:rPr>
        <w:t xml:space="preserve"> heterosexual co</w:t>
      </w:r>
      <w:r>
        <w:rPr>
          <w:b/>
        </w:rPr>
        <w:t>uples.</w:t>
      </w:r>
    </w:p>
    <w:p w14:paraId="21984A56" w14:textId="77777777" w:rsidR="007D625B" w:rsidRPr="005D40CA" w:rsidRDefault="007D625B" w:rsidP="007D625B">
      <w:pPr>
        <w:pStyle w:val="SubmissionNormal"/>
        <w:numPr>
          <w:ilvl w:val="0"/>
          <w:numId w:val="66"/>
        </w:numPr>
      </w:pPr>
      <w:r>
        <w:rPr>
          <w:b/>
        </w:rPr>
        <w:t xml:space="preserve">That the Australian Government, through the </w:t>
      </w:r>
      <w:r>
        <w:rPr>
          <w:rFonts w:cs="Arial"/>
          <w:b/>
          <w:iCs/>
        </w:rPr>
        <w:t>Council of Australian Governments</w:t>
      </w:r>
      <w:r>
        <w:rPr>
          <w:b/>
        </w:rPr>
        <w:t xml:space="preserve">, ensure consistency of all policies and laws </w:t>
      </w:r>
      <w:r w:rsidRPr="000C1FA2">
        <w:rPr>
          <w:b/>
        </w:rPr>
        <w:t xml:space="preserve">with </w:t>
      </w:r>
      <w:r>
        <w:rPr>
          <w:b/>
        </w:rPr>
        <w:t>the</w:t>
      </w:r>
      <w:r w:rsidRPr="000C1FA2">
        <w:rPr>
          <w:b/>
        </w:rPr>
        <w:t xml:space="preserve"> protections against discrimination on the basis of sexual orientation, gender identity and intersex status in the </w:t>
      </w:r>
      <w:r w:rsidRPr="000C1FA2">
        <w:rPr>
          <w:b/>
          <w:i/>
        </w:rPr>
        <w:t xml:space="preserve">Sex Discrimination Act 1984 </w:t>
      </w:r>
      <w:r w:rsidRPr="000C1FA2">
        <w:rPr>
          <w:b/>
        </w:rPr>
        <w:t>(Cth).</w:t>
      </w:r>
    </w:p>
    <w:p w14:paraId="6A6885FA" w14:textId="77777777" w:rsidR="007D625B" w:rsidRPr="008D7065" w:rsidRDefault="007D625B" w:rsidP="007D625B">
      <w:pPr>
        <w:pStyle w:val="SubmissionNormal"/>
        <w:numPr>
          <w:ilvl w:val="0"/>
          <w:numId w:val="66"/>
        </w:numPr>
        <w:rPr>
          <w:b/>
        </w:rPr>
      </w:pPr>
      <w:r w:rsidRPr="00AB39E2">
        <w:rPr>
          <w:b/>
        </w:rPr>
        <w:lastRenderedPageBreak/>
        <w:t>Th</w:t>
      </w:r>
      <w:r>
        <w:rPr>
          <w:b/>
        </w:rPr>
        <w:t>at th</w:t>
      </w:r>
      <w:r w:rsidRPr="00AB39E2">
        <w:rPr>
          <w:b/>
        </w:rPr>
        <w:t xml:space="preserve">e </w:t>
      </w:r>
      <w:r>
        <w:rPr>
          <w:b/>
        </w:rPr>
        <w:t xml:space="preserve">Australian </w:t>
      </w:r>
      <w:r w:rsidRPr="00AB39E2">
        <w:rPr>
          <w:b/>
        </w:rPr>
        <w:t xml:space="preserve">Government, through the </w:t>
      </w:r>
      <w:r>
        <w:rPr>
          <w:rFonts w:cs="Arial"/>
          <w:b/>
          <w:iCs/>
        </w:rPr>
        <w:t>Council of Australian Governments</w:t>
      </w:r>
      <w:r w:rsidRPr="00AB39E2">
        <w:rPr>
          <w:b/>
        </w:rPr>
        <w:t>, encourage</w:t>
      </w:r>
      <w:r>
        <w:rPr>
          <w:b/>
        </w:rPr>
        <w:t xml:space="preserve"> the removal of surgery and marital status requirements in births, deaths and marriages registration legislation.</w:t>
      </w:r>
    </w:p>
    <w:p w14:paraId="46E8C5A0" w14:textId="77777777" w:rsidR="007D625B" w:rsidRDefault="007D625B" w:rsidP="007D625B">
      <w:pPr>
        <w:pStyle w:val="SubmissionNormal"/>
        <w:numPr>
          <w:ilvl w:val="0"/>
          <w:numId w:val="66"/>
        </w:numPr>
        <w:rPr>
          <w:b/>
        </w:rPr>
      </w:pPr>
      <w:r>
        <w:rPr>
          <w:b/>
        </w:rPr>
        <w:t xml:space="preserve">That the Australian Government implement the recommendations of the </w:t>
      </w:r>
      <w:r w:rsidRPr="00C10184">
        <w:rPr>
          <w:b/>
        </w:rPr>
        <w:t>2013 Senate Community Affairs Committee inquiry into the involuntary or coerced sterilisation of intersex people.</w:t>
      </w:r>
    </w:p>
    <w:p w14:paraId="6AF263FD" w14:textId="2C064401" w:rsidR="007D625B" w:rsidRDefault="007D625B" w:rsidP="007D625B">
      <w:pPr>
        <w:pStyle w:val="SubmissionNormal"/>
        <w:numPr>
          <w:ilvl w:val="0"/>
          <w:numId w:val="66"/>
        </w:numPr>
        <w:rPr>
          <w:b/>
        </w:rPr>
      </w:pPr>
      <w:r>
        <w:rPr>
          <w:b/>
        </w:rPr>
        <w:t>That the Australian Government</w:t>
      </w:r>
      <w:r w:rsidRPr="00B84CC6">
        <w:rPr>
          <w:b/>
        </w:rPr>
        <w:t xml:space="preserve"> legislate to </w:t>
      </w:r>
      <w:r>
        <w:rPr>
          <w:b/>
        </w:rPr>
        <w:t>enable two people to marry, irrespective of sex, sexual orientation, gender identity or intersex status, while enabling a minister of religion to refuse to solemnise a marriage in accordance with the doctrines, tenets and beliefs of the minister’s religious body or organisation.</w:t>
      </w:r>
    </w:p>
    <w:p w14:paraId="076BA48C" w14:textId="0E2237E7" w:rsidR="00BE1AF1" w:rsidRPr="00BE1AF1" w:rsidRDefault="00BE1AF1" w:rsidP="00BE1AF1">
      <w:pPr>
        <w:rPr>
          <w:b/>
          <w:sz w:val="28"/>
        </w:rPr>
      </w:pPr>
      <w:r w:rsidRPr="00BE1AF1">
        <w:rPr>
          <w:rFonts w:eastAsia="Calibri" w:cs="Arial"/>
          <w:b/>
          <w:sz w:val="28"/>
          <w:lang w:val="en-NZ" w:eastAsia="en-US"/>
        </w:rPr>
        <w:t>Women</w:t>
      </w:r>
    </w:p>
    <w:p w14:paraId="6FF2CB15" w14:textId="77777777" w:rsidR="007D625B" w:rsidRPr="00F9429D" w:rsidRDefault="007D625B" w:rsidP="007D625B">
      <w:pPr>
        <w:pStyle w:val="SubmissionNormal"/>
        <w:numPr>
          <w:ilvl w:val="0"/>
          <w:numId w:val="66"/>
        </w:numPr>
      </w:pPr>
      <w:r w:rsidRPr="00641409">
        <w:rPr>
          <w:b/>
          <w:color w:val="000000" w:themeColor="text1"/>
        </w:rPr>
        <w:t xml:space="preserve">That the </w:t>
      </w:r>
      <w:r>
        <w:rPr>
          <w:b/>
          <w:color w:val="000000" w:themeColor="text1"/>
        </w:rPr>
        <w:t xml:space="preserve">Australian </w:t>
      </w:r>
      <w:r w:rsidRPr="00641409">
        <w:rPr>
          <w:b/>
          <w:color w:val="000000" w:themeColor="text1"/>
        </w:rPr>
        <w:t xml:space="preserve">Government </w:t>
      </w:r>
      <w:r>
        <w:rPr>
          <w:b/>
          <w:color w:val="000000" w:themeColor="text1"/>
        </w:rPr>
        <w:t>undertake further work to understand the nature and prevalence of family and domestic violence, and sexual assault and sexual harassment for women experiencing intersectional discrimination.</w:t>
      </w:r>
      <w:r>
        <w:t xml:space="preserve"> </w:t>
      </w:r>
      <w:r>
        <w:rPr>
          <w:b/>
          <w:color w:val="000000" w:themeColor="text1"/>
        </w:rPr>
        <w:t xml:space="preserve"> </w:t>
      </w:r>
      <w:r>
        <w:rPr>
          <w:b/>
        </w:rPr>
        <w:t xml:space="preserve"> </w:t>
      </w:r>
    </w:p>
    <w:p w14:paraId="5065CD4E" w14:textId="77777777" w:rsidR="007D625B" w:rsidRPr="00FF6BDC" w:rsidRDefault="007D625B" w:rsidP="007D625B">
      <w:pPr>
        <w:pStyle w:val="SubmissionNormal"/>
        <w:numPr>
          <w:ilvl w:val="0"/>
          <w:numId w:val="66"/>
        </w:numPr>
      </w:pPr>
      <w:r w:rsidRPr="00C10358">
        <w:rPr>
          <w:rFonts w:cs="Arial"/>
          <w:b/>
        </w:rPr>
        <w:t xml:space="preserve">That </w:t>
      </w:r>
      <w:r>
        <w:rPr>
          <w:rFonts w:cs="Arial"/>
          <w:b/>
        </w:rPr>
        <w:t>all Australian</w:t>
      </w:r>
      <w:r w:rsidRPr="00C10358">
        <w:rPr>
          <w:rFonts w:cs="Arial"/>
          <w:b/>
        </w:rPr>
        <w:t xml:space="preserve"> Governments </w:t>
      </w:r>
      <w:r>
        <w:rPr>
          <w:rFonts w:cs="Arial"/>
          <w:b/>
        </w:rPr>
        <w:t>commit to strengthening national f</w:t>
      </w:r>
      <w:r w:rsidRPr="00C10358">
        <w:rPr>
          <w:rFonts w:cs="Arial"/>
          <w:b/>
        </w:rPr>
        <w:t>amily</w:t>
      </w:r>
      <w:r>
        <w:rPr>
          <w:rFonts w:cs="Arial"/>
          <w:b/>
        </w:rPr>
        <w:t xml:space="preserve"> and domestic v</w:t>
      </w:r>
      <w:r w:rsidRPr="00C10358">
        <w:rPr>
          <w:rFonts w:cs="Arial"/>
          <w:b/>
        </w:rPr>
        <w:t xml:space="preserve">iolence data </w:t>
      </w:r>
      <w:r>
        <w:rPr>
          <w:rFonts w:cs="Arial"/>
          <w:b/>
        </w:rPr>
        <w:t>collection and reporting mechanisms.</w:t>
      </w:r>
    </w:p>
    <w:p w14:paraId="6C81F9BB" w14:textId="77777777" w:rsidR="007D625B" w:rsidRDefault="007D625B" w:rsidP="007D625B">
      <w:pPr>
        <w:pStyle w:val="SubmissionNormal"/>
        <w:numPr>
          <w:ilvl w:val="0"/>
          <w:numId w:val="66"/>
        </w:numPr>
        <w:rPr>
          <w:b/>
        </w:rPr>
      </w:pPr>
      <w:r>
        <w:rPr>
          <w:b/>
        </w:rPr>
        <w:t>That the Australian Government</w:t>
      </w:r>
      <w:r w:rsidRPr="00007B8C">
        <w:rPr>
          <w:b/>
        </w:rPr>
        <w:t xml:space="preserve"> encourage universities to implement the </w:t>
      </w:r>
      <w:r w:rsidRPr="00007B8C">
        <w:rPr>
          <w:b/>
          <w:i/>
        </w:rPr>
        <w:t xml:space="preserve">Change </w:t>
      </w:r>
      <w:r>
        <w:rPr>
          <w:b/>
          <w:i/>
        </w:rPr>
        <w:t>T</w:t>
      </w:r>
      <w:r w:rsidRPr="00007B8C">
        <w:rPr>
          <w:b/>
          <w:i/>
        </w:rPr>
        <w:t>he Course</w:t>
      </w:r>
      <w:r w:rsidRPr="00007B8C">
        <w:rPr>
          <w:b/>
        </w:rPr>
        <w:t xml:space="preserve"> report recommendations to reduce the prevalence of sexual assault and sexual harassment in Australian universities.</w:t>
      </w:r>
    </w:p>
    <w:p w14:paraId="51567750" w14:textId="77777777" w:rsidR="007D625B" w:rsidRPr="00C006EB" w:rsidRDefault="007D625B" w:rsidP="007D625B">
      <w:pPr>
        <w:pStyle w:val="SubmissionNormal"/>
        <w:numPr>
          <w:ilvl w:val="0"/>
          <w:numId w:val="66"/>
        </w:numPr>
      </w:pPr>
      <w:r>
        <w:rPr>
          <w:b/>
        </w:rPr>
        <w:t xml:space="preserve">That the Australian Government continue to ensure there are adequate protections in place to address sexual harassment in the workplace, with consideration of the identified strategies in the </w:t>
      </w:r>
      <w:r>
        <w:rPr>
          <w:b/>
          <w:i/>
        </w:rPr>
        <w:t xml:space="preserve">Working without fear </w:t>
      </w:r>
      <w:r>
        <w:rPr>
          <w:b/>
        </w:rPr>
        <w:t>report and the forthcoming outcomes of the Commission’s 2017 survey.</w:t>
      </w:r>
    </w:p>
    <w:p w14:paraId="7D2C25FB" w14:textId="180D2892" w:rsidR="007D625B" w:rsidRDefault="007D625B" w:rsidP="007D625B">
      <w:pPr>
        <w:pStyle w:val="SubmissionNormal"/>
        <w:numPr>
          <w:ilvl w:val="0"/>
          <w:numId w:val="66"/>
        </w:numPr>
        <w:rPr>
          <w:b/>
        </w:rPr>
      </w:pPr>
      <w:r w:rsidRPr="005B4E6F">
        <w:rPr>
          <w:b/>
        </w:rPr>
        <w:t xml:space="preserve">That the </w:t>
      </w:r>
      <w:r>
        <w:rPr>
          <w:b/>
        </w:rPr>
        <w:t xml:space="preserve">Australian </w:t>
      </w:r>
      <w:r w:rsidRPr="005B4E6F">
        <w:rPr>
          <w:b/>
        </w:rPr>
        <w:t xml:space="preserve">Government continue to encourage cultural reform and enhance the participation of women in the </w:t>
      </w:r>
      <w:r>
        <w:rPr>
          <w:b/>
        </w:rPr>
        <w:t>Australian Defence Force</w:t>
      </w:r>
      <w:r w:rsidRPr="005B4E6F">
        <w:rPr>
          <w:b/>
        </w:rPr>
        <w:t xml:space="preserve">, consistent with the initiatives in </w:t>
      </w:r>
      <w:r w:rsidRPr="005B4E6F">
        <w:rPr>
          <w:b/>
          <w:i/>
        </w:rPr>
        <w:t>Pathway to Change</w:t>
      </w:r>
      <w:r w:rsidRPr="005B4E6F">
        <w:rPr>
          <w:b/>
        </w:rPr>
        <w:t>.</w:t>
      </w:r>
    </w:p>
    <w:p w14:paraId="44B5F099" w14:textId="7AA55B69" w:rsidR="00BE1AF1" w:rsidRPr="00BE1AF1" w:rsidRDefault="00BE1AF1" w:rsidP="00BE1AF1">
      <w:pPr>
        <w:rPr>
          <w:b/>
          <w:sz w:val="28"/>
        </w:rPr>
      </w:pPr>
      <w:r w:rsidRPr="00BE1AF1">
        <w:rPr>
          <w:rFonts w:eastAsia="Calibri" w:cs="Arial"/>
          <w:b/>
          <w:sz w:val="28"/>
          <w:lang w:val="en-NZ" w:eastAsia="en-US"/>
        </w:rPr>
        <w:t>Immigration and citizenship</w:t>
      </w:r>
    </w:p>
    <w:p w14:paraId="21B9F9EF" w14:textId="77777777" w:rsidR="007D625B" w:rsidRDefault="007D625B" w:rsidP="007D625B">
      <w:pPr>
        <w:pStyle w:val="SubmissionNormal"/>
        <w:numPr>
          <w:ilvl w:val="0"/>
          <w:numId w:val="66"/>
        </w:numPr>
      </w:pPr>
      <w:r>
        <w:rPr>
          <w:b/>
        </w:rPr>
        <w:t xml:space="preserve">That the Australian Government ensure that the human rights of people subject </w:t>
      </w:r>
      <w:r w:rsidRPr="00420061">
        <w:rPr>
          <w:b/>
        </w:rPr>
        <w:t xml:space="preserve">to third </w:t>
      </w:r>
      <w:r>
        <w:rPr>
          <w:b/>
        </w:rPr>
        <w:t>c</w:t>
      </w:r>
      <w:r w:rsidRPr="00420061">
        <w:rPr>
          <w:b/>
        </w:rPr>
        <w:t>o</w:t>
      </w:r>
      <w:r>
        <w:rPr>
          <w:b/>
        </w:rPr>
        <w:t xml:space="preserve">untry processing are adequately </w:t>
      </w:r>
      <w:r w:rsidRPr="00420061">
        <w:rPr>
          <w:b/>
        </w:rPr>
        <w:t>protected</w:t>
      </w:r>
      <w:r>
        <w:t>.</w:t>
      </w:r>
    </w:p>
    <w:p w14:paraId="76B60117" w14:textId="77777777" w:rsidR="007D625B" w:rsidRPr="007A5D7F" w:rsidRDefault="007D625B" w:rsidP="007D625B">
      <w:pPr>
        <w:pStyle w:val="SubmissionNormal"/>
        <w:numPr>
          <w:ilvl w:val="0"/>
          <w:numId w:val="66"/>
        </w:numPr>
        <w:rPr>
          <w:b/>
        </w:rPr>
      </w:pPr>
      <w:r w:rsidRPr="007A5D7F">
        <w:rPr>
          <w:b/>
        </w:rPr>
        <w:t>That the Australian Government</w:t>
      </w:r>
      <w:r>
        <w:rPr>
          <w:b/>
        </w:rPr>
        <w:t xml:space="preserve"> continue to expand the use of alternatives to closed detention and, where immigration detention is necessary, ensure that it is </w:t>
      </w:r>
      <w:r w:rsidRPr="007A5D7F">
        <w:rPr>
          <w:b/>
        </w:rPr>
        <w:t xml:space="preserve">time limited, strictly </w:t>
      </w:r>
      <w:r w:rsidRPr="007A5D7F">
        <w:rPr>
          <w:b/>
        </w:rPr>
        <w:lastRenderedPageBreak/>
        <w:t>necessary (such as for the purpose of public health and security checks) and subject to individualised decision-making and judicial oversight</w:t>
      </w:r>
      <w:r>
        <w:rPr>
          <w:b/>
        </w:rPr>
        <w:t>.</w:t>
      </w:r>
    </w:p>
    <w:p w14:paraId="3F54C332" w14:textId="36297D93" w:rsidR="007D625B" w:rsidRPr="00A87D07" w:rsidRDefault="007D625B" w:rsidP="007D625B">
      <w:pPr>
        <w:pStyle w:val="SubmissionNormal"/>
        <w:numPr>
          <w:ilvl w:val="0"/>
          <w:numId w:val="66"/>
        </w:numPr>
        <w:rPr>
          <w:b/>
        </w:rPr>
      </w:pPr>
      <w:r w:rsidRPr="00A87D07">
        <w:rPr>
          <w:b/>
        </w:rPr>
        <w:t xml:space="preserve">That the </w:t>
      </w:r>
      <w:r>
        <w:rPr>
          <w:b/>
        </w:rPr>
        <w:t xml:space="preserve">Australian </w:t>
      </w:r>
      <w:r w:rsidRPr="00A87D07">
        <w:rPr>
          <w:b/>
        </w:rPr>
        <w:t>Government</w:t>
      </w:r>
      <w:r>
        <w:rPr>
          <w:b/>
        </w:rPr>
        <w:t xml:space="preserve"> ensure that its refugee status determination process is consistent with international human rights law and </w:t>
      </w:r>
      <w:r w:rsidRPr="00A87D07">
        <w:rPr>
          <w:b/>
        </w:rPr>
        <w:t xml:space="preserve">discontinue </w:t>
      </w:r>
      <w:r>
        <w:rPr>
          <w:b/>
        </w:rPr>
        <w:t>any</w:t>
      </w:r>
      <w:r w:rsidRPr="00A87D07">
        <w:rPr>
          <w:b/>
        </w:rPr>
        <w:t xml:space="preserve"> practice</w:t>
      </w:r>
      <w:r>
        <w:rPr>
          <w:b/>
        </w:rPr>
        <w:t xml:space="preserve">s obstructing a full and proper status determination process (such as </w:t>
      </w:r>
      <w:r w:rsidR="00095E9E">
        <w:rPr>
          <w:b/>
        </w:rPr>
        <w:t xml:space="preserve">the current practice of </w:t>
      </w:r>
      <w:r w:rsidRPr="00A87D07">
        <w:rPr>
          <w:b/>
        </w:rPr>
        <w:t>intercepting and turning back boats carrying asylum seekers</w:t>
      </w:r>
      <w:r>
        <w:rPr>
          <w:b/>
        </w:rPr>
        <w:t>)</w:t>
      </w:r>
      <w:r w:rsidRPr="00A87D07">
        <w:rPr>
          <w:b/>
        </w:rPr>
        <w:t xml:space="preserve">. </w:t>
      </w:r>
    </w:p>
    <w:p w14:paraId="31D1281C" w14:textId="77777777" w:rsidR="007D625B" w:rsidRPr="00A87D07" w:rsidRDefault="007D625B" w:rsidP="007D625B">
      <w:pPr>
        <w:pStyle w:val="SubmissionNormal"/>
        <w:numPr>
          <w:ilvl w:val="0"/>
          <w:numId w:val="66"/>
        </w:numPr>
        <w:rPr>
          <w:b/>
        </w:rPr>
      </w:pPr>
      <w:r w:rsidRPr="00A87D07">
        <w:rPr>
          <w:b/>
        </w:rPr>
        <w:t xml:space="preserve">That the </w:t>
      </w:r>
      <w:r w:rsidRPr="00514832">
        <w:rPr>
          <w:b/>
          <w:i/>
        </w:rPr>
        <w:t>Migration and Maritime Powers Legislation Amendment (Resolving the Asylum Legacy Caseload) Act 2014</w:t>
      </w:r>
      <w:r>
        <w:rPr>
          <w:b/>
        </w:rPr>
        <w:t xml:space="preserve"> (Cth)</w:t>
      </w:r>
      <w:r w:rsidRPr="00A87D07">
        <w:rPr>
          <w:b/>
        </w:rPr>
        <w:t xml:space="preserve"> be repealed.</w:t>
      </w:r>
    </w:p>
    <w:p w14:paraId="3FFC96EF" w14:textId="77777777" w:rsidR="007D625B" w:rsidRDefault="007D625B" w:rsidP="007D625B">
      <w:pPr>
        <w:pStyle w:val="SubmissionNormal"/>
        <w:numPr>
          <w:ilvl w:val="0"/>
          <w:numId w:val="66"/>
        </w:numPr>
        <w:rPr>
          <w:b/>
        </w:rPr>
      </w:pPr>
      <w:r w:rsidRPr="00A87D07">
        <w:rPr>
          <w:b/>
        </w:rPr>
        <w:t xml:space="preserve">That the </w:t>
      </w:r>
      <w:r>
        <w:rPr>
          <w:b/>
        </w:rPr>
        <w:t xml:space="preserve">Australian </w:t>
      </w:r>
      <w:r w:rsidRPr="00A87D07">
        <w:rPr>
          <w:b/>
        </w:rPr>
        <w:t xml:space="preserve">Government reinstate access to free legal advice for </w:t>
      </w:r>
      <w:r>
        <w:rPr>
          <w:b/>
        </w:rPr>
        <w:t xml:space="preserve">asylum seekers </w:t>
      </w:r>
      <w:r w:rsidRPr="00A87D07">
        <w:rPr>
          <w:b/>
        </w:rPr>
        <w:t xml:space="preserve">who are disadvantaged, regardless of their mode of arrival. </w:t>
      </w:r>
    </w:p>
    <w:p w14:paraId="583723B8" w14:textId="77777777" w:rsidR="007D625B" w:rsidRPr="008F0DE4" w:rsidRDefault="007D625B" w:rsidP="007D625B">
      <w:pPr>
        <w:pStyle w:val="SubmissionNormal"/>
        <w:numPr>
          <w:ilvl w:val="0"/>
          <w:numId w:val="0"/>
        </w:numPr>
        <w:ind w:left="720"/>
        <w:rPr>
          <w:b/>
        </w:rPr>
      </w:pPr>
      <w:r>
        <w:rPr>
          <w:b/>
        </w:rPr>
        <w:t>The Commission considers the issues raised in this section to be of such importance that the Committee should request an update from the Australian Government on progress in 12 months time.</w:t>
      </w:r>
    </w:p>
    <w:p w14:paraId="56621BF7" w14:textId="77777777" w:rsidR="007D625B" w:rsidRPr="00116B97" w:rsidRDefault="007D625B" w:rsidP="007D625B">
      <w:pPr>
        <w:pStyle w:val="SubmissionNormal"/>
        <w:numPr>
          <w:ilvl w:val="0"/>
          <w:numId w:val="66"/>
        </w:numPr>
        <w:rPr>
          <w:b/>
        </w:rPr>
      </w:pPr>
      <w:r w:rsidRPr="00116B97">
        <w:rPr>
          <w:b/>
        </w:rPr>
        <w:t xml:space="preserve">That the </w:t>
      </w:r>
      <w:r>
        <w:rPr>
          <w:b/>
        </w:rPr>
        <w:t xml:space="preserve">Australian </w:t>
      </w:r>
      <w:r w:rsidRPr="00116B97">
        <w:rPr>
          <w:b/>
        </w:rPr>
        <w:t xml:space="preserve">Government put in place </w:t>
      </w:r>
      <w:r w:rsidRPr="00116B97">
        <w:rPr>
          <w:rFonts w:cs="Arial"/>
          <w:b/>
        </w:rPr>
        <w:t xml:space="preserve">transparent decision-making </w:t>
      </w:r>
      <w:r>
        <w:rPr>
          <w:rFonts w:cs="Arial"/>
          <w:b/>
        </w:rPr>
        <w:t xml:space="preserve">and external review </w:t>
      </w:r>
      <w:r w:rsidRPr="00116B97">
        <w:rPr>
          <w:rFonts w:cs="Arial"/>
          <w:b/>
        </w:rPr>
        <w:t>processes to ensure</w:t>
      </w:r>
      <w:r>
        <w:rPr>
          <w:rFonts w:cs="Arial"/>
          <w:b/>
        </w:rPr>
        <w:t xml:space="preserve"> the exercise of</w:t>
      </w:r>
      <w:r w:rsidRPr="00116B97">
        <w:rPr>
          <w:rFonts w:cs="Arial"/>
          <w:b/>
        </w:rPr>
        <w:t xml:space="preserve"> discretionary power in s 501 </w:t>
      </w:r>
      <w:r>
        <w:rPr>
          <w:rFonts w:cs="Arial"/>
          <w:b/>
        </w:rPr>
        <w:t>of the Migration Act complies</w:t>
      </w:r>
      <w:r w:rsidRPr="00116B97">
        <w:rPr>
          <w:rFonts w:cs="Arial"/>
          <w:b/>
        </w:rPr>
        <w:t xml:space="preserve"> with international human ri</w:t>
      </w:r>
      <w:r>
        <w:rPr>
          <w:rFonts w:cs="Arial"/>
          <w:b/>
        </w:rPr>
        <w:t>ghts law.</w:t>
      </w:r>
    </w:p>
    <w:p w14:paraId="0CD7AF92" w14:textId="5DE0B359" w:rsidR="007D625B" w:rsidRDefault="007D625B" w:rsidP="007D625B">
      <w:pPr>
        <w:pStyle w:val="SubmissionNormal"/>
        <w:numPr>
          <w:ilvl w:val="0"/>
          <w:numId w:val="66"/>
        </w:numPr>
        <w:rPr>
          <w:b/>
        </w:rPr>
      </w:pPr>
      <w:r w:rsidRPr="008F0DE4">
        <w:rPr>
          <w:b/>
        </w:rPr>
        <w:t xml:space="preserve">That </w:t>
      </w:r>
      <w:r>
        <w:rPr>
          <w:b/>
        </w:rPr>
        <w:t>the Australian Parliament</w:t>
      </w:r>
      <w:r w:rsidRPr="008F0DE4">
        <w:rPr>
          <w:b/>
        </w:rPr>
        <w:t xml:space="preserve"> not pass the </w:t>
      </w:r>
      <w:r w:rsidRPr="00DE3EF0">
        <w:rPr>
          <w:b/>
        </w:rPr>
        <w:t>Australian Citizenship Legislation Amendment (Strengthening the Requirements for Australian Citizenship and Other Measures) Bill 2017</w:t>
      </w:r>
      <w:r>
        <w:rPr>
          <w:b/>
        </w:rPr>
        <w:t xml:space="preserve"> in its current form.</w:t>
      </w:r>
    </w:p>
    <w:p w14:paraId="104D4363" w14:textId="643AB4FD" w:rsidR="00BE1AF1" w:rsidRPr="00BE1AF1" w:rsidRDefault="00BE1AF1" w:rsidP="00BE1AF1">
      <w:pPr>
        <w:rPr>
          <w:b/>
          <w:sz w:val="28"/>
        </w:rPr>
      </w:pPr>
      <w:r w:rsidRPr="00BE1AF1">
        <w:rPr>
          <w:b/>
          <w:sz w:val="28"/>
        </w:rPr>
        <w:t xml:space="preserve">Children </w:t>
      </w:r>
      <w:r w:rsidRPr="00BE1AF1">
        <w:rPr>
          <w:rFonts w:eastAsia="Calibri" w:cs="Arial"/>
          <w:b/>
          <w:sz w:val="28"/>
          <w:lang w:val="en-NZ" w:eastAsia="en-US"/>
        </w:rPr>
        <w:t>and</w:t>
      </w:r>
      <w:r w:rsidRPr="00BE1AF1">
        <w:rPr>
          <w:b/>
          <w:sz w:val="28"/>
        </w:rPr>
        <w:t xml:space="preserve"> young people</w:t>
      </w:r>
    </w:p>
    <w:p w14:paraId="4977298A" w14:textId="77777777" w:rsidR="007D625B" w:rsidRPr="00C015F3" w:rsidRDefault="007D625B" w:rsidP="007D625B">
      <w:pPr>
        <w:pStyle w:val="SubmissionNormal"/>
        <w:numPr>
          <w:ilvl w:val="0"/>
          <w:numId w:val="66"/>
        </w:numPr>
        <w:rPr>
          <w:b/>
          <w:bCs/>
        </w:rPr>
      </w:pPr>
      <w:r>
        <w:rPr>
          <w:b/>
          <w:bCs/>
        </w:rPr>
        <w:t>T</w:t>
      </w:r>
      <w:r w:rsidRPr="00C015F3">
        <w:rPr>
          <w:b/>
          <w:bCs/>
        </w:rPr>
        <w:t>hat</w:t>
      </w:r>
      <w:r>
        <w:rPr>
          <w:b/>
          <w:bCs/>
        </w:rPr>
        <w:t xml:space="preserve"> the</w:t>
      </w:r>
      <w:r w:rsidRPr="00C015F3">
        <w:rPr>
          <w:b/>
          <w:bCs/>
        </w:rPr>
        <w:t xml:space="preserve"> </w:t>
      </w:r>
      <w:r>
        <w:rPr>
          <w:b/>
          <w:bCs/>
        </w:rPr>
        <w:t xml:space="preserve">Australian </w:t>
      </w:r>
      <w:r w:rsidRPr="00C015F3">
        <w:rPr>
          <w:b/>
          <w:bCs/>
        </w:rPr>
        <w:t>Government strengthen early intervention programs that support vulnerable families and improve data collection relating to child protection</w:t>
      </w:r>
      <w:r>
        <w:rPr>
          <w:b/>
          <w:bCs/>
        </w:rPr>
        <w:t xml:space="preserve">, </w:t>
      </w:r>
      <w:r w:rsidRPr="00C015F3">
        <w:rPr>
          <w:b/>
          <w:bCs/>
        </w:rPr>
        <w:t>out-of-home care</w:t>
      </w:r>
      <w:r>
        <w:rPr>
          <w:b/>
          <w:bCs/>
        </w:rPr>
        <w:t>, and the prevalence and nature of child abuse and neglect</w:t>
      </w:r>
      <w:r w:rsidRPr="00C015F3">
        <w:rPr>
          <w:b/>
          <w:bCs/>
        </w:rPr>
        <w:t>.</w:t>
      </w:r>
    </w:p>
    <w:p w14:paraId="7B816121" w14:textId="77777777" w:rsidR="007D625B" w:rsidRPr="00063C13" w:rsidRDefault="007D625B" w:rsidP="007D625B">
      <w:pPr>
        <w:pStyle w:val="SubmissionNormal"/>
        <w:numPr>
          <w:ilvl w:val="0"/>
          <w:numId w:val="66"/>
        </w:numPr>
        <w:rPr>
          <w:rFonts w:eastAsia="MS Mincho"/>
        </w:rPr>
      </w:pPr>
      <w:r>
        <w:rPr>
          <w:b/>
        </w:rPr>
        <w:t>That t</w:t>
      </w:r>
      <w:r w:rsidRPr="00D33B78">
        <w:rPr>
          <w:b/>
        </w:rPr>
        <w:t xml:space="preserve">he </w:t>
      </w:r>
      <w:r>
        <w:rPr>
          <w:b/>
        </w:rPr>
        <w:t xml:space="preserve">Australian </w:t>
      </w:r>
      <w:r w:rsidRPr="00D33B78">
        <w:rPr>
          <w:b/>
        </w:rPr>
        <w:t xml:space="preserve">Government </w:t>
      </w:r>
      <w:r>
        <w:rPr>
          <w:b/>
        </w:rPr>
        <w:t>implement</w:t>
      </w:r>
      <w:r w:rsidRPr="00D33B78">
        <w:rPr>
          <w:b/>
        </w:rPr>
        <w:t xml:space="preserve"> the </w:t>
      </w:r>
      <w:r>
        <w:rPr>
          <w:b/>
        </w:rPr>
        <w:t xml:space="preserve">National Children’s Commissioner’s </w:t>
      </w:r>
      <w:r w:rsidRPr="00D33B78">
        <w:rPr>
          <w:b/>
        </w:rPr>
        <w:t xml:space="preserve">recommendations in the </w:t>
      </w:r>
      <w:r w:rsidRPr="00DB42DB">
        <w:rPr>
          <w:b/>
          <w:i/>
        </w:rPr>
        <w:t>Children’s Rights Report 2015</w:t>
      </w:r>
      <w:r w:rsidRPr="00D33B78">
        <w:rPr>
          <w:b/>
        </w:rPr>
        <w:t xml:space="preserve"> (Chapter 4).</w:t>
      </w:r>
    </w:p>
    <w:p w14:paraId="2D783290" w14:textId="77777777" w:rsidR="007D625B" w:rsidRPr="00F83F73" w:rsidRDefault="007D625B" w:rsidP="007D625B">
      <w:pPr>
        <w:pStyle w:val="SubmissionNormal"/>
        <w:numPr>
          <w:ilvl w:val="0"/>
          <w:numId w:val="66"/>
        </w:numPr>
        <w:rPr>
          <w:rFonts w:eastAsia="MS Mincho"/>
        </w:rPr>
      </w:pPr>
      <w:r>
        <w:rPr>
          <w:b/>
        </w:rPr>
        <w:t xml:space="preserve">That the Australian Government maintain a public register that monitors all Australian governments’ compliance with, and implementation of, the recommendations of the Royal Commission into Institutional Abuse of Children once released, and that remedies be provided to victims. The Commission considers this inquiry to be of such importance that the Committee should request an update from the Australian Government on progress of implementation in 12 months time.  </w:t>
      </w:r>
    </w:p>
    <w:p w14:paraId="773896A6" w14:textId="77777777" w:rsidR="007D625B" w:rsidRPr="00C13FFF" w:rsidRDefault="007D625B" w:rsidP="007D625B">
      <w:pPr>
        <w:pStyle w:val="SubmissionNormal"/>
        <w:numPr>
          <w:ilvl w:val="0"/>
          <w:numId w:val="66"/>
        </w:numPr>
        <w:rPr>
          <w:rFonts w:eastAsia="MS Mincho"/>
        </w:rPr>
      </w:pPr>
      <w:r w:rsidRPr="00D33B78">
        <w:rPr>
          <w:b/>
        </w:rPr>
        <w:lastRenderedPageBreak/>
        <w:t>Th</w:t>
      </w:r>
      <w:r>
        <w:rPr>
          <w:b/>
        </w:rPr>
        <w:t>at th</w:t>
      </w:r>
      <w:r w:rsidRPr="00D33B78">
        <w:rPr>
          <w:b/>
        </w:rPr>
        <w:t xml:space="preserve">e </w:t>
      </w:r>
      <w:r>
        <w:rPr>
          <w:b/>
        </w:rPr>
        <w:t xml:space="preserve">Australian </w:t>
      </w:r>
      <w:r w:rsidRPr="00D33B78">
        <w:rPr>
          <w:b/>
        </w:rPr>
        <w:t xml:space="preserve">Government </w:t>
      </w:r>
      <w:r>
        <w:rPr>
          <w:b/>
        </w:rPr>
        <w:t>implement</w:t>
      </w:r>
      <w:r w:rsidRPr="00D33B78">
        <w:rPr>
          <w:b/>
        </w:rPr>
        <w:t xml:space="preserve"> the </w:t>
      </w:r>
      <w:r>
        <w:rPr>
          <w:b/>
        </w:rPr>
        <w:t xml:space="preserve">National Children’s Commissioner’s </w:t>
      </w:r>
      <w:r w:rsidRPr="00D33B78">
        <w:rPr>
          <w:b/>
        </w:rPr>
        <w:t xml:space="preserve">recommendations in the </w:t>
      </w:r>
      <w:r w:rsidRPr="00DB42DB">
        <w:rPr>
          <w:b/>
          <w:i/>
        </w:rPr>
        <w:t xml:space="preserve">Children’s Rights Report 2014 </w:t>
      </w:r>
      <w:r>
        <w:rPr>
          <w:b/>
        </w:rPr>
        <w:t>(Chapter 3</w:t>
      </w:r>
      <w:r w:rsidRPr="00D33B78">
        <w:rPr>
          <w:b/>
        </w:rPr>
        <w:t>).</w:t>
      </w:r>
    </w:p>
    <w:p w14:paraId="50F8646D" w14:textId="77777777" w:rsidR="007D625B" w:rsidRPr="00FB2527" w:rsidRDefault="007D625B" w:rsidP="007D625B">
      <w:pPr>
        <w:pStyle w:val="SubmissionNormal"/>
        <w:numPr>
          <w:ilvl w:val="0"/>
          <w:numId w:val="66"/>
        </w:numPr>
        <w:rPr>
          <w:rFonts w:cs="Arial"/>
          <w:b/>
        </w:rPr>
      </w:pPr>
      <w:r>
        <w:rPr>
          <w:b/>
        </w:rPr>
        <w:t>That t</w:t>
      </w:r>
      <w:r w:rsidRPr="00D33B78">
        <w:rPr>
          <w:b/>
        </w:rPr>
        <w:t xml:space="preserve">he </w:t>
      </w:r>
      <w:r>
        <w:rPr>
          <w:b/>
        </w:rPr>
        <w:t xml:space="preserve">Australian </w:t>
      </w:r>
      <w:r w:rsidRPr="00D33B78">
        <w:rPr>
          <w:b/>
        </w:rPr>
        <w:t xml:space="preserve">Government </w:t>
      </w:r>
      <w:r>
        <w:rPr>
          <w:b/>
        </w:rPr>
        <w:t>implement</w:t>
      </w:r>
      <w:r w:rsidRPr="00D33B78">
        <w:rPr>
          <w:b/>
        </w:rPr>
        <w:t xml:space="preserve"> the </w:t>
      </w:r>
      <w:r>
        <w:rPr>
          <w:b/>
        </w:rPr>
        <w:t xml:space="preserve">National Children’s Commissioner’s </w:t>
      </w:r>
      <w:r w:rsidRPr="00D33B78">
        <w:rPr>
          <w:b/>
        </w:rPr>
        <w:t>recommendations in t</w:t>
      </w:r>
      <w:r>
        <w:rPr>
          <w:b/>
        </w:rPr>
        <w:t xml:space="preserve">he </w:t>
      </w:r>
      <w:r w:rsidRPr="00DB42DB">
        <w:rPr>
          <w:b/>
          <w:i/>
        </w:rPr>
        <w:t>Children’s Rights Report 2016</w:t>
      </w:r>
      <w:r>
        <w:rPr>
          <w:b/>
        </w:rPr>
        <w:t xml:space="preserve"> (Chapter 3</w:t>
      </w:r>
      <w:r w:rsidRPr="00D33B78">
        <w:rPr>
          <w:b/>
        </w:rPr>
        <w:t>).</w:t>
      </w:r>
    </w:p>
    <w:p w14:paraId="643188D4" w14:textId="77777777" w:rsidR="007D625B" w:rsidRPr="001B5BDA" w:rsidRDefault="007D625B" w:rsidP="007D625B">
      <w:pPr>
        <w:pStyle w:val="SubmissionNormal"/>
        <w:numPr>
          <w:ilvl w:val="0"/>
          <w:numId w:val="66"/>
        </w:numPr>
        <w:rPr>
          <w:b/>
        </w:rPr>
      </w:pPr>
      <w:r w:rsidRPr="001B5BDA">
        <w:rPr>
          <w:b/>
        </w:rPr>
        <w:t xml:space="preserve">That </w:t>
      </w:r>
      <w:r>
        <w:rPr>
          <w:b/>
        </w:rPr>
        <w:t xml:space="preserve">all Australian Governments develop </w:t>
      </w:r>
      <w:r w:rsidRPr="001B5BDA">
        <w:rPr>
          <w:b/>
        </w:rPr>
        <w:t xml:space="preserve">alternative </w:t>
      </w:r>
      <w:r>
        <w:rPr>
          <w:b/>
        </w:rPr>
        <w:t xml:space="preserve">behaviour </w:t>
      </w:r>
      <w:r w:rsidRPr="001B5BDA">
        <w:rPr>
          <w:b/>
        </w:rPr>
        <w:t xml:space="preserve">management techniques to </w:t>
      </w:r>
      <w:r>
        <w:rPr>
          <w:rFonts w:cs="Arial"/>
          <w:b/>
        </w:rPr>
        <w:t xml:space="preserve">reduce the use of force, </w:t>
      </w:r>
      <w:r w:rsidRPr="001B5BDA">
        <w:rPr>
          <w:rFonts w:cs="Arial"/>
          <w:b/>
        </w:rPr>
        <w:t>isolation</w:t>
      </w:r>
      <w:r>
        <w:rPr>
          <w:rFonts w:cs="Arial"/>
          <w:b/>
        </w:rPr>
        <w:t xml:space="preserve"> and restraints</w:t>
      </w:r>
      <w:r w:rsidRPr="001B5BDA">
        <w:rPr>
          <w:rFonts w:cs="Arial"/>
          <w:b/>
        </w:rPr>
        <w:t xml:space="preserve"> </w:t>
      </w:r>
      <w:r>
        <w:rPr>
          <w:rFonts w:cs="Arial"/>
          <w:b/>
        </w:rPr>
        <w:t xml:space="preserve">against children </w:t>
      </w:r>
      <w:r w:rsidRPr="001B5BDA">
        <w:rPr>
          <w:rFonts w:cs="Arial"/>
          <w:b/>
        </w:rPr>
        <w:t>in juvenile detention facilities.</w:t>
      </w:r>
    </w:p>
    <w:p w14:paraId="5B5B280C" w14:textId="77777777" w:rsidR="007D625B" w:rsidRPr="003E2151" w:rsidRDefault="007D625B" w:rsidP="007D625B">
      <w:pPr>
        <w:pStyle w:val="SubmissionNormal"/>
        <w:numPr>
          <w:ilvl w:val="0"/>
          <w:numId w:val="66"/>
        </w:numPr>
        <w:rPr>
          <w:rFonts w:cs="Arial"/>
          <w:b/>
        </w:rPr>
      </w:pPr>
      <w:r>
        <w:rPr>
          <w:b/>
          <w:szCs w:val="23"/>
        </w:rPr>
        <w:t>That all Australian Governments c</w:t>
      </w:r>
      <w:r w:rsidRPr="00CA605D">
        <w:rPr>
          <w:b/>
          <w:szCs w:val="23"/>
        </w:rPr>
        <w:t>ease detention of children in adult facilities.</w:t>
      </w:r>
    </w:p>
    <w:p w14:paraId="531C37F0" w14:textId="77777777" w:rsidR="007D625B" w:rsidRPr="00C07E99" w:rsidRDefault="007D625B" w:rsidP="007D625B">
      <w:pPr>
        <w:pStyle w:val="SubmissionNormal"/>
        <w:numPr>
          <w:ilvl w:val="0"/>
          <w:numId w:val="66"/>
        </w:numPr>
      </w:pPr>
      <w:r w:rsidRPr="007A19D6">
        <w:rPr>
          <w:b/>
        </w:rPr>
        <w:t xml:space="preserve">That </w:t>
      </w:r>
      <w:r>
        <w:rPr>
          <w:b/>
        </w:rPr>
        <w:t xml:space="preserve">all Australian </w:t>
      </w:r>
      <w:r w:rsidRPr="007A19D6">
        <w:rPr>
          <w:b/>
          <w:szCs w:val="23"/>
        </w:rPr>
        <w:t>Government</w:t>
      </w:r>
      <w:r>
        <w:rPr>
          <w:b/>
          <w:szCs w:val="23"/>
        </w:rPr>
        <w:t>s</w:t>
      </w:r>
      <w:r w:rsidRPr="007A19D6">
        <w:rPr>
          <w:b/>
          <w:szCs w:val="23"/>
        </w:rPr>
        <w:t xml:space="preserve"> expand the use of diversionary programs for </w:t>
      </w:r>
      <w:r>
        <w:rPr>
          <w:b/>
          <w:szCs w:val="23"/>
        </w:rPr>
        <w:t>children and young people</w:t>
      </w:r>
      <w:r w:rsidRPr="007A19D6">
        <w:rPr>
          <w:b/>
          <w:szCs w:val="23"/>
        </w:rPr>
        <w:t>.</w:t>
      </w:r>
    </w:p>
    <w:p w14:paraId="7C9ADB62" w14:textId="77777777" w:rsidR="007D625B" w:rsidRPr="00DA0C09" w:rsidRDefault="007D625B" w:rsidP="007D625B">
      <w:pPr>
        <w:pStyle w:val="SubmissionNormal"/>
        <w:numPr>
          <w:ilvl w:val="0"/>
          <w:numId w:val="66"/>
        </w:numPr>
        <w:rPr>
          <w:rFonts w:cs="Arial"/>
          <w:b/>
        </w:rPr>
      </w:pPr>
      <w:r w:rsidRPr="00DA0C09">
        <w:rPr>
          <w:b/>
        </w:rPr>
        <w:t>That mandatory sentencing for children and young people should be discontinued in all jurisdictions.</w:t>
      </w:r>
    </w:p>
    <w:p w14:paraId="5BDF3FB4" w14:textId="6BF5C4CC" w:rsidR="007D625B" w:rsidRPr="00BE1AF1" w:rsidRDefault="007D625B" w:rsidP="007D625B">
      <w:pPr>
        <w:pStyle w:val="SubmissionNormal"/>
        <w:numPr>
          <w:ilvl w:val="0"/>
          <w:numId w:val="66"/>
        </w:numPr>
        <w:rPr>
          <w:rFonts w:cs="Arial"/>
          <w:b/>
        </w:rPr>
      </w:pPr>
      <w:r>
        <w:rPr>
          <w:b/>
          <w:szCs w:val="23"/>
        </w:rPr>
        <w:t>T</w:t>
      </w:r>
      <w:r w:rsidRPr="00E54D64">
        <w:rPr>
          <w:b/>
          <w:szCs w:val="23"/>
        </w:rPr>
        <w:t xml:space="preserve">hat the age of criminal responsibility should be raised from 10 years to 12 years in the first instance, with preservation of </w:t>
      </w:r>
      <w:r>
        <w:rPr>
          <w:b/>
          <w:szCs w:val="23"/>
        </w:rPr>
        <w:t xml:space="preserve">the common law presumption of </w:t>
      </w:r>
      <w:r w:rsidRPr="00E54D64">
        <w:rPr>
          <w:b/>
          <w:i/>
          <w:szCs w:val="23"/>
        </w:rPr>
        <w:t>doli incapax</w:t>
      </w:r>
      <w:r w:rsidRPr="00E54D64">
        <w:rPr>
          <w:b/>
          <w:szCs w:val="23"/>
        </w:rPr>
        <w:t>.</w:t>
      </w:r>
    </w:p>
    <w:p w14:paraId="4E8BC5C9" w14:textId="4D4B2106" w:rsidR="00BE1AF1" w:rsidRPr="00BE1AF1" w:rsidRDefault="00BE1AF1" w:rsidP="00BE1AF1">
      <w:pPr>
        <w:rPr>
          <w:rFonts w:cs="Arial"/>
          <w:b/>
          <w:sz w:val="28"/>
        </w:rPr>
      </w:pPr>
      <w:r w:rsidRPr="00BE1AF1">
        <w:rPr>
          <w:b/>
          <w:sz w:val="28"/>
        </w:rPr>
        <w:t>Rights</w:t>
      </w:r>
      <w:r w:rsidRPr="00BE1AF1">
        <w:rPr>
          <w:b/>
          <w:sz w:val="28"/>
          <w:szCs w:val="23"/>
        </w:rPr>
        <w:t xml:space="preserve"> and freedoms</w:t>
      </w:r>
    </w:p>
    <w:p w14:paraId="1E9BB508" w14:textId="77777777" w:rsidR="007D625B" w:rsidRPr="00AE6045" w:rsidRDefault="007D625B" w:rsidP="007D625B">
      <w:pPr>
        <w:pStyle w:val="SubmissionNormal"/>
        <w:numPr>
          <w:ilvl w:val="0"/>
          <w:numId w:val="66"/>
        </w:numPr>
        <w:rPr>
          <w:b/>
        </w:rPr>
      </w:pPr>
      <w:r w:rsidRPr="00AE6045">
        <w:rPr>
          <w:b/>
        </w:rPr>
        <w:t xml:space="preserve">That the </w:t>
      </w:r>
      <w:r>
        <w:rPr>
          <w:b/>
        </w:rPr>
        <w:t xml:space="preserve">Australian </w:t>
      </w:r>
      <w:r w:rsidRPr="00AE6045">
        <w:rPr>
          <w:b/>
        </w:rPr>
        <w:t xml:space="preserve">Government consider </w:t>
      </w:r>
      <w:r w:rsidRPr="00361B48">
        <w:rPr>
          <w:b/>
        </w:rPr>
        <w:t xml:space="preserve">how </w:t>
      </w:r>
      <w:r>
        <w:rPr>
          <w:b/>
        </w:rPr>
        <w:t xml:space="preserve">Australian </w:t>
      </w:r>
      <w:r w:rsidRPr="00361B48">
        <w:rPr>
          <w:b/>
        </w:rPr>
        <w:t xml:space="preserve">law could further incorporate international human rights law relating </w:t>
      </w:r>
      <w:r>
        <w:rPr>
          <w:b/>
        </w:rPr>
        <w:t>to religious belief and observance</w:t>
      </w:r>
      <w:r w:rsidRPr="00AE6045">
        <w:rPr>
          <w:b/>
        </w:rPr>
        <w:t xml:space="preserve">. </w:t>
      </w:r>
    </w:p>
    <w:p w14:paraId="567CC92C" w14:textId="77777777" w:rsidR="007D625B" w:rsidRPr="00101014" w:rsidRDefault="007D625B" w:rsidP="007D625B">
      <w:pPr>
        <w:pStyle w:val="SubmissionNormal"/>
        <w:numPr>
          <w:ilvl w:val="0"/>
          <w:numId w:val="66"/>
        </w:numPr>
      </w:pPr>
      <w:r>
        <w:rPr>
          <w:b/>
        </w:rPr>
        <w:t xml:space="preserve">That the Australian Parliament pass the </w:t>
      </w:r>
      <w:r w:rsidRPr="00131F5C">
        <w:rPr>
          <w:b/>
        </w:rPr>
        <w:t>Australian Border Force Amendment (Protected Information) Bill 2017</w:t>
      </w:r>
      <w:r>
        <w:rPr>
          <w:b/>
          <w:i/>
        </w:rPr>
        <w:t xml:space="preserve"> </w:t>
      </w:r>
      <w:r>
        <w:rPr>
          <w:b/>
        </w:rPr>
        <w:t>(Cth) with certain amendments, as previously recommended by the Commission</w:t>
      </w:r>
      <w:r w:rsidRPr="00301F0E">
        <w:rPr>
          <w:b/>
        </w:rPr>
        <w:t>.</w:t>
      </w:r>
      <w:r>
        <w:rPr>
          <w:b/>
        </w:rPr>
        <w:t xml:space="preserve"> </w:t>
      </w:r>
    </w:p>
    <w:p w14:paraId="0C3E91F3" w14:textId="77777777" w:rsidR="007D625B" w:rsidRPr="00320E2E" w:rsidRDefault="007D625B" w:rsidP="007D625B">
      <w:pPr>
        <w:pStyle w:val="SubmissionNormal"/>
        <w:numPr>
          <w:ilvl w:val="0"/>
          <w:numId w:val="66"/>
        </w:numPr>
      </w:pPr>
      <w:r>
        <w:rPr>
          <w:b/>
        </w:rPr>
        <w:t xml:space="preserve">That the Australian Government amend other secrecy laws in accordance with the recommendations of the ALRC in its </w:t>
      </w:r>
      <w:r w:rsidRPr="00B3444F">
        <w:rPr>
          <w:b/>
          <w:i/>
        </w:rPr>
        <w:t>Secrecy Laws and Open Governmen</w:t>
      </w:r>
      <w:r>
        <w:rPr>
          <w:b/>
        </w:rPr>
        <w:t xml:space="preserve">t report. </w:t>
      </w:r>
    </w:p>
    <w:p w14:paraId="5771DF82" w14:textId="284E2981" w:rsidR="007D625B" w:rsidRPr="008137CC" w:rsidRDefault="007D625B" w:rsidP="007D625B">
      <w:pPr>
        <w:pStyle w:val="SubmissionNormal"/>
        <w:numPr>
          <w:ilvl w:val="0"/>
          <w:numId w:val="66"/>
        </w:numPr>
      </w:pPr>
      <w:r>
        <w:rPr>
          <w:b/>
        </w:rPr>
        <w:t xml:space="preserve">That Australian parliaments </w:t>
      </w:r>
      <w:r w:rsidR="00894110">
        <w:rPr>
          <w:b/>
        </w:rPr>
        <w:t>ensure that</w:t>
      </w:r>
      <w:r>
        <w:rPr>
          <w:b/>
        </w:rPr>
        <w:t xml:space="preserve"> all laws that regulate protest activity do not impinge disproportionately on freedom of expression, freedom of association and freedom of peaceful assembly. </w:t>
      </w:r>
    </w:p>
    <w:p w14:paraId="46985BF6" w14:textId="77777777" w:rsidR="007D625B" w:rsidRPr="00324D76" w:rsidRDefault="007D625B" w:rsidP="007D625B">
      <w:pPr>
        <w:pStyle w:val="SubmissionNormal"/>
        <w:numPr>
          <w:ilvl w:val="0"/>
          <w:numId w:val="66"/>
        </w:numPr>
      </w:pPr>
      <w:r>
        <w:rPr>
          <w:b/>
        </w:rPr>
        <w:t xml:space="preserve">That the Australian Government ensure that funding agreements, laws and policies do not unreasonably and disproportionately restrict civil society organisations from engaging in </w:t>
      </w:r>
      <w:r w:rsidRPr="0073174F">
        <w:rPr>
          <w:b/>
        </w:rPr>
        <w:t>law reform, policy or advocacy work</w:t>
      </w:r>
      <w:r>
        <w:rPr>
          <w:b/>
        </w:rPr>
        <w:t xml:space="preserve"> on issues of public interest.</w:t>
      </w:r>
    </w:p>
    <w:p w14:paraId="5E0CCF1F" w14:textId="228EC6FD" w:rsidR="007D625B" w:rsidRDefault="007D625B" w:rsidP="007D625B">
      <w:pPr>
        <w:pStyle w:val="SubmissionNormal"/>
        <w:numPr>
          <w:ilvl w:val="0"/>
          <w:numId w:val="66"/>
        </w:numPr>
        <w:rPr>
          <w:b/>
        </w:rPr>
      </w:pPr>
      <w:r w:rsidRPr="00324D76">
        <w:rPr>
          <w:b/>
        </w:rPr>
        <w:t xml:space="preserve">That the </w:t>
      </w:r>
      <w:r>
        <w:rPr>
          <w:b/>
        </w:rPr>
        <w:t xml:space="preserve">Australian </w:t>
      </w:r>
      <w:r w:rsidRPr="00324D76">
        <w:rPr>
          <w:b/>
        </w:rPr>
        <w:t xml:space="preserve">Government </w:t>
      </w:r>
      <w:r>
        <w:rPr>
          <w:b/>
        </w:rPr>
        <w:t xml:space="preserve">commission an independent, </w:t>
      </w:r>
      <w:r w:rsidRPr="00324D76">
        <w:rPr>
          <w:b/>
        </w:rPr>
        <w:t>broad</w:t>
      </w:r>
      <w:r>
        <w:rPr>
          <w:b/>
        </w:rPr>
        <w:t>ly focused</w:t>
      </w:r>
      <w:r w:rsidRPr="00324D76">
        <w:rPr>
          <w:b/>
        </w:rPr>
        <w:t xml:space="preserve"> inquiry into freedom of </w:t>
      </w:r>
      <w:r>
        <w:rPr>
          <w:b/>
        </w:rPr>
        <w:t xml:space="preserve">expression </w:t>
      </w:r>
      <w:r w:rsidRPr="00324D76">
        <w:rPr>
          <w:b/>
        </w:rPr>
        <w:t>in Australia.</w:t>
      </w:r>
    </w:p>
    <w:p w14:paraId="5A7492E1" w14:textId="2393491D" w:rsidR="00BE1AF1" w:rsidRPr="00BE1AF1" w:rsidRDefault="00BE1AF1" w:rsidP="00BE1AF1">
      <w:pPr>
        <w:rPr>
          <w:b/>
          <w:sz w:val="28"/>
        </w:rPr>
      </w:pPr>
      <w:r w:rsidRPr="00BE1AF1">
        <w:rPr>
          <w:b/>
          <w:sz w:val="28"/>
          <w:szCs w:val="23"/>
        </w:rPr>
        <w:lastRenderedPageBreak/>
        <w:t>Racial</w:t>
      </w:r>
      <w:r w:rsidRPr="00BE1AF1">
        <w:rPr>
          <w:b/>
          <w:sz w:val="28"/>
        </w:rPr>
        <w:t xml:space="preserve"> discrimination</w:t>
      </w:r>
    </w:p>
    <w:p w14:paraId="2C72C18A" w14:textId="77777777" w:rsidR="007D625B" w:rsidRPr="00B14C07" w:rsidRDefault="007D625B" w:rsidP="007D625B">
      <w:pPr>
        <w:pStyle w:val="SubmissionNormal"/>
        <w:numPr>
          <w:ilvl w:val="0"/>
          <w:numId w:val="66"/>
        </w:numPr>
        <w:rPr>
          <w:b/>
        </w:rPr>
      </w:pPr>
      <w:r w:rsidRPr="00B14C07">
        <w:rPr>
          <w:b/>
        </w:rPr>
        <w:t xml:space="preserve">That the </w:t>
      </w:r>
      <w:r>
        <w:rPr>
          <w:b/>
        </w:rPr>
        <w:t xml:space="preserve">Australian </w:t>
      </w:r>
      <w:r w:rsidRPr="00B14C07">
        <w:rPr>
          <w:b/>
        </w:rPr>
        <w:t>Government continue to fund and support initiatives to address r</w:t>
      </w:r>
      <w:r>
        <w:rPr>
          <w:b/>
        </w:rPr>
        <w:t>acism and racial discrimination.</w:t>
      </w:r>
    </w:p>
    <w:p w14:paraId="4977867A" w14:textId="29EF3FAB" w:rsidR="007D625B" w:rsidRDefault="007D625B" w:rsidP="007D625B">
      <w:pPr>
        <w:pStyle w:val="SubmissionNormal"/>
        <w:numPr>
          <w:ilvl w:val="0"/>
          <w:numId w:val="66"/>
        </w:numPr>
        <w:rPr>
          <w:b/>
        </w:rPr>
      </w:pPr>
      <w:r w:rsidRPr="0083253A">
        <w:rPr>
          <w:b/>
        </w:rPr>
        <w:t xml:space="preserve">That the </w:t>
      </w:r>
      <w:r>
        <w:rPr>
          <w:b/>
        </w:rPr>
        <w:t xml:space="preserve">Australian </w:t>
      </w:r>
      <w:r w:rsidRPr="0083253A">
        <w:rPr>
          <w:b/>
        </w:rPr>
        <w:t xml:space="preserve">Government recognise the importance of </w:t>
      </w:r>
      <w:r w:rsidRPr="00BE4698">
        <w:rPr>
          <w:b/>
        </w:rPr>
        <w:t>maintaining</w:t>
      </w:r>
      <w:r w:rsidRPr="0083253A">
        <w:rPr>
          <w:b/>
        </w:rPr>
        <w:t xml:space="preserve"> effective legal protection</w:t>
      </w:r>
      <w:r>
        <w:rPr>
          <w:b/>
        </w:rPr>
        <w:t>s against racial discrimination</w:t>
      </w:r>
      <w:r w:rsidRPr="0083253A">
        <w:rPr>
          <w:b/>
        </w:rPr>
        <w:t xml:space="preserve"> in setting a standard for public conduct in a multicultural society.</w:t>
      </w:r>
    </w:p>
    <w:p w14:paraId="5A6A3BC4" w14:textId="6C9F26B8" w:rsidR="00BE1AF1" w:rsidRPr="00BE1AF1" w:rsidRDefault="00BE1AF1" w:rsidP="00BE1AF1">
      <w:pPr>
        <w:rPr>
          <w:b/>
          <w:sz w:val="28"/>
        </w:rPr>
      </w:pPr>
      <w:r w:rsidRPr="00BE1AF1">
        <w:rPr>
          <w:b/>
          <w:sz w:val="28"/>
        </w:rPr>
        <w:t>Counter-terrorism</w:t>
      </w:r>
    </w:p>
    <w:p w14:paraId="096ECAC5" w14:textId="7332008B" w:rsidR="007D625B" w:rsidRPr="00A847AF" w:rsidRDefault="007D625B" w:rsidP="007D625B">
      <w:pPr>
        <w:pStyle w:val="SubmissionNormal"/>
        <w:numPr>
          <w:ilvl w:val="0"/>
          <w:numId w:val="66"/>
        </w:numPr>
      </w:pPr>
      <w:r w:rsidRPr="00A847AF">
        <w:rPr>
          <w:rFonts w:eastAsia="Calibri"/>
          <w:b/>
          <w:lang w:val="en-NZ" w:eastAsia="en-US"/>
        </w:rPr>
        <w:t xml:space="preserve">That the </w:t>
      </w:r>
      <w:r>
        <w:rPr>
          <w:rFonts w:eastAsia="Calibri"/>
          <w:b/>
          <w:lang w:val="en-NZ" w:eastAsia="en-US"/>
        </w:rPr>
        <w:t xml:space="preserve">Australian </w:t>
      </w:r>
      <w:r w:rsidRPr="00A847AF">
        <w:rPr>
          <w:rFonts w:eastAsia="Calibri"/>
          <w:b/>
          <w:lang w:val="en-NZ" w:eastAsia="en-US"/>
        </w:rPr>
        <w:t xml:space="preserve">Government </w:t>
      </w:r>
      <w:r>
        <w:rPr>
          <w:rFonts w:eastAsia="Calibri"/>
          <w:b/>
          <w:lang w:val="en-NZ" w:eastAsia="en-US"/>
        </w:rPr>
        <w:t>consider</w:t>
      </w:r>
      <w:r w:rsidRPr="00A847AF">
        <w:rPr>
          <w:b/>
        </w:rPr>
        <w:t xml:space="preserve"> the concerns raised by the </w:t>
      </w:r>
      <w:r w:rsidR="00692F0B">
        <w:rPr>
          <w:b/>
        </w:rPr>
        <w:t>Independent National Security Legislation Monitor</w:t>
      </w:r>
      <w:r w:rsidR="00692F0B" w:rsidRPr="00A847AF">
        <w:rPr>
          <w:b/>
        </w:rPr>
        <w:t xml:space="preserve"> </w:t>
      </w:r>
      <w:r>
        <w:rPr>
          <w:b/>
        </w:rPr>
        <w:t>in ensuring that counter-terrorism measures do not unnecessarily limit human rights.</w:t>
      </w:r>
    </w:p>
    <w:p w14:paraId="7A658FE0" w14:textId="7EAEB1A8" w:rsidR="007D625B" w:rsidRPr="00BE1AF1" w:rsidRDefault="007D625B" w:rsidP="007D625B">
      <w:pPr>
        <w:pStyle w:val="SubmissionNormal"/>
        <w:numPr>
          <w:ilvl w:val="0"/>
          <w:numId w:val="66"/>
        </w:numPr>
        <w:rPr>
          <w:rFonts w:cs="Arial"/>
        </w:rPr>
      </w:pPr>
      <w:r>
        <w:rPr>
          <w:rFonts w:eastAsia="Calibri"/>
          <w:b/>
          <w:lang w:val="en-NZ" w:eastAsia="en-US"/>
        </w:rPr>
        <w:t>T</w:t>
      </w:r>
      <w:r w:rsidRPr="004E46B3">
        <w:rPr>
          <w:rFonts w:eastAsia="Calibri"/>
          <w:b/>
          <w:lang w:val="en-NZ" w:eastAsia="en-US"/>
        </w:rPr>
        <w:t xml:space="preserve">hat the </w:t>
      </w:r>
      <w:r>
        <w:rPr>
          <w:rFonts w:eastAsia="Calibri"/>
          <w:b/>
          <w:lang w:val="en-NZ" w:eastAsia="en-US"/>
        </w:rPr>
        <w:t xml:space="preserve">Australian </w:t>
      </w:r>
      <w:r w:rsidRPr="004E46B3">
        <w:rPr>
          <w:rFonts w:eastAsia="Calibri"/>
          <w:b/>
          <w:lang w:val="en-NZ" w:eastAsia="en-US"/>
        </w:rPr>
        <w:t xml:space="preserve">Government ensure </w:t>
      </w:r>
      <w:r>
        <w:rPr>
          <w:rFonts w:eastAsia="Calibri"/>
          <w:b/>
          <w:lang w:val="en-NZ" w:eastAsia="en-US"/>
        </w:rPr>
        <w:t xml:space="preserve">that where </w:t>
      </w:r>
      <w:r w:rsidRPr="004E46B3">
        <w:rPr>
          <w:rFonts w:eastAsia="Calibri"/>
          <w:b/>
          <w:lang w:val="en-NZ" w:eastAsia="en-US"/>
        </w:rPr>
        <w:t>counter-</w:t>
      </w:r>
      <w:r w:rsidRPr="000C100F">
        <w:rPr>
          <w:b/>
        </w:rPr>
        <w:t>terrorism</w:t>
      </w:r>
      <w:r w:rsidRPr="004E46B3">
        <w:rPr>
          <w:rFonts w:eastAsia="Calibri"/>
          <w:b/>
          <w:lang w:val="en-NZ" w:eastAsia="en-US"/>
        </w:rPr>
        <w:t xml:space="preserve"> laws </w:t>
      </w:r>
      <w:r>
        <w:rPr>
          <w:rFonts w:cs="Arial"/>
          <w:b/>
        </w:rPr>
        <w:t xml:space="preserve">limit </w:t>
      </w:r>
      <w:r w:rsidRPr="004E46B3">
        <w:rPr>
          <w:rFonts w:eastAsia="Calibri"/>
          <w:b/>
          <w:lang w:val="en-NZ" w:eastAsia="en-US"/>
        </w:rPr>
        <w:t>human rights</w:t>
      </w:r>
      <w:r>
        <w:rPr>
          <w:rFonts w:eastAsia="Calibri"/>
          <w:b/>
          <w:lang w:val="en-NZ" w:eastAsia="en-US"/>
        </w:rPr>
        <w:t>,</w:t>
      </w:r>
      <w:r w:rsidRPr="004E46B3">
        <w:rPr>
          <w:rFonts w:eastAsia="Calibri"/>
          <w:b/>
          <w:lang w:val="en-NZ" w:eastAsia="en-US"/>
        </w:rPr>
        <w:t xml:space="preserve"> </w:t>
      </w:r>
      <w:r>
        <w:rPr>
          <w:rFonts w:eastAsia="Calibri"/>
          <w:b/>
          <w:lang w:val="en-NZ" w:eastAsia="en-US"/>
        </w:rPr>
        <w:t xml:space="preserve">the limitation is </w:t>
      </w:r>
      <w:r>
        <w:rPr>
          <w:rFonts w:eastAsia="Calibri"/>
          <w:b/>
          <w:lang w:eastAsia="en-US"/>
        </w:rPr>
        <w:t>clearly expressed</w:t>
      </w:r>
      <w:r w:rsidRPr="00E93429">
        <w:rPr>
          <w:rFonts w:eastAsia="Calibri"/>
          <w:b/>
          <w:lang w:eastAsia="en-US"/>
        </w:rPr>
        <w:t xml:space="preserve">, necessary </w:t>
      </w:r>
      <w:r>
        <w:rPr>
          <w:rFonts w:eastAsia="Calibri"/>
          <w:b/>
          <w:lang w:eastAsia="en-US"/>
        </w:rPr>
        <w:t xml:space="preserve">for the pursuit of a </w:t>
      </w:r>
      <w:r>
        <w:rPr>
          <w:rFonts w:eastAsia="Calibri"/>
          <w:b/>
          <w:lang w:val="en-NZ" w:eastAsia="en-US"/>
        </w:rPr>
        <w:t xml:space="preserve">legitimate purpose, reasonable and proportionate. </w:t>
      </w:r>
      <w:r>
        <w:rPr>
          <w:b/>
        </w:rPr>
        <w:t>The Commission considers this issue to be of such importance that the Committee should request an update from the Australian Government on progress in 12 months time.</w:t>
      </w:r>
    </w:p>
    <w:p w14:paraId="0EE28686" w14:textId="11FCECC3" w:rsidR="00BE1AF1" w:rsidRPr="00BE1AF1" w:rsidRDefault="00BE1AF1" w:rsidP="00BE1AF1">
      <w:pPr>
        <w:rPr>
          <w:rFonts w:cs="Arial"/>
          <w:sz w:val="28"/>
        </w:rPr>
      </w:pPr>
      <w:r w:rsidRPr="00BE1AF1">
        <w:rPr>
          <w:b/>
          <w:sz w:val="28"/>
        </w:rPr>
        <w:t>Human</w:t>
      </w:r>
      <w:r w:rsidRPr="00BE1AF1">
        <w:rPr>
          <w:rFonts w:eastAsia="Calibri"/>
          <w:b/>
          <w:sz w:val="28"/>
          <w:lang w:val="en-NZ" w:eastAsia="en-US"/>
        </w:rPr>
        <w:t xml:space="preserve"> trafficking and slavery</w:t>
      </w:r>
    </w:p>
    <w:p w14:paraId="254D79F0" w14:textId="34BAB135" w:rsidR="007D625B" w:rsidRDefault="007D625B" w:rsidP="007D625B">
      <w:pPr>
        <w:pStyle w:val="SubmissionNormal"/>
        <w:numPr>
          <w:ilvl w:val="0"/>
          <w:numId w:val="66"/>
        </w:numPr>
        <w:rPr>
          <w:b/>
        </w:rPr>
      </w:pPr>
      <w:r w:rsidRPr="00BB083A">
        <w:rPr>
          <w:b/>
          <w:bCs/>
        </w:rPr>
        <w:t xml:space="preserve">That the </w:t>
      </w:r>
      <w:r>
        <w:rPr>
          <w:b/>
          <w:bCs/>
        </w:rPr>
        <w:t xml:space="preserve">Australian </w:t>
      </w:r>
      <w:r w:rsidRPr="00BB083A">
        <w:rPr>
          <w:b/>
          <w:bCs/>
        </w:rPr>
        <w:t xml:space="preserve">Government fully implement the </w:t>
      </w:r>
      <w:r w:rsidRPr="002248CE">
        <w:rPr>
          <w:b/>
          <w:bCs/>
          <w:i/>
        </w:rPr>
        <w:t xml:space="preserve">National </w:t>
      </w:r>
      <w:r w:rsidRPr="002248CE">
        <w:rPr>
          <w:b/>
          <w:i/>
          <w:lang w:val="en"/>
        </w:rPr>
        <w:t>Action</w:t>
      </w:r>
      <w:r w:rsidRPr="002248CE">
        <w:rPr>
          <w:b/>
          <w:bCs/>
          <w:i/>
        </w:rPr>
        <w:t xml:space="preserve"> Plan to Combat Human Trafficking and Slavery 2015–2019</w:t>
      </w:r>
      <w:r>
        <w:rPr>
          <w:b/>
        </w:rPr>
        <w:t>;</w:t>
      </w:r>
      <w:r w:rsidRPr="00BB083A">
        <w:rPr>
          <w:b/>
        </w:rPr>
        <w:t xml:space="preserve"> develop a federal compensation scheme for survivors o</w:t>
      </w:r>
      <w:r>
        <w:rPr>
          <w:b/>
        </w:rPr>
        <w:t>f human trafficking and slavery;</w:t>
      </w:r>
      <w:r w:rsidRPr="00BB083A">
        <w:rPr>
          <w:b/>
        </w:rPr>
        <w:t xml:space="preserve"> </w:t>
      </w:r>
      <w:r w:rsidRPr="00BB083A">
        <w:rPr>
          <w:rFonts w:cs="Arial"/>
          <w:b/>
          <w:lang w:val="en"/>
        </w:rPr>
        <w:t>ensure regular collection of data on</w:t>
      </w:r>
      <w:r>
        <w:rPr>
          <w:rFonts w:cs="Arial"/>
          <w:b/>
          <w:lang w:val="en"/>
        </w:rPr>
        <w:t xml:space="preserve"> the </w:t>
      </w:r>
      <w:r w:rsidRPr="0080635E">
        <w:rPr>
          <w:b/>
          <w:lang w:val="en"/>
        </w:rPr>
        <w:t>prevalence of child trafficking and slavery in Australia</w:t>
      </w:r>
      <w:r w:rsidRPr="0080635E">
        <w:rPr>
          <w:rFonts w:cs="Arial"/>
          <w:b/>
          <w:lang w:val="en"/>
        </w:rPr>
        <w:t xml:space="preserve"> and the provision of </w:t>
      </w:r>
      <w:r w:rsidRPr="00BB083A">
        <w:rPr>
          <w:rFonts w:cs="Arial"/>
          <w:b/>
          <w:lang w:val="en"/>
        </w:rPr>
        <w:t>specialist support services to child survi</w:t>
      </w:r>
      <w:r>
        <w:rPr>
          <w:rFonts w:cs="Arial"/>
          <w:b/>
          <w:lang w:val="en"/>
        </w:rPr>
        <w:t>vors;</w:t>
      </w:r>
      <w:r w:rsidRPr="00BB083A">
        <w:rPr>
          <w:rFonts w:cs="Arial"/>
          <w:b/>
          <w:lang w:val="en"/>
        </w:rPr>
        <w:t xml:space="preserve"> and </w:t>
      </w:r>
      <w:r w:rsidRPr="00BB083A">
        <w:rPr>
          <w:b/>
        </w:rPr>
        <w:t xml:space="preserve">develop a regulatory regime addressing </w:t>
      </w:r>
      <w:r>
        <w:rPr>
          <w:b/>
        </w:rPr>
        <w:t xml:space="preserve">international </w:t>
      </w:r>
      <w:r w:rsidRPr="00BB083A">
        <w:rPr>
          <w:b/>
        </w:rPr>
        <w:t>surrogacy arrangements.</w:t>
      </w:r>
    </w:p>
    <w:p w14:paraId="792D07FB" w14:textId="42E6F3C4" w:rsidR="00BE1AF1" w:rsidRPr="00BE1AF1" w:rsidRDefault="00BE1AF1" w:rsidP="00BE1AF1">
      <w:pPr>
        <w:rPr>
          <w:b/>
          <w:sz w:val="28"/>
        </w:rPr>
      </w:pPr>
      <w:r w:rsidRPr="00BE1AF1">
        <w:rPr>
          <w:rFonts w:eastAsia="Calibri"/>
          <w:b/>
          <w:sz w:val="28"/>
          <w:lang w:val="en-NZ" w:eastAsia="en-US"/>
        </w:rPr>
        <w:t>Business</w:t>
      </w:r>
      <w:r w:rsidRPr="00BE1AF1">
        <w:rPr>
          <w:b/>
          <w:sz w:val="28"/>
        </w:rPr>
        <w:t xml:space="preserve"> and human rights</w:t>
      </w:r>
    </w:p>
    <w:p w14:paraId="284BC5E1" w14:textId="77777777" w:rsidR="007D625B" w:rsidRDefault="007D625B" w:rsidP="007D625B">
      <w:pPr>
        <w:pStyle w:val="SubmissionNormal"/>
        <w:numPr>
          <w:ilvl w:val="0"/>
          <w:numId w:val="66"/>
        </w:numPr>
        <w:rPr>
          <w:b/>
        </w:rPr>
      </w:pPr>
      <w:r w:rsidRPr="00403EB4">
        <w:rPr>
          <w:rFonts w:eastAsia="Calibri" w:cs="Arial"/>
          <w:b/>
          <w:lang w:val="en-NZ" w:eastAsia="en-US"/>
        </w:rPr>
        <w:t xml:space="preserve">That the </w:t>
      </w:r>
      <w:r>
        <w:rPr>
          <w:rFonts w:eastAsia="Calibri" w:cs="Arial"/>
          <w:b/>
          <w:lang w:val="en-NZ" w:eastAsia="en-US"/>
        </w:rPr>
        <w:t xml:space="preserve">Australian </w:t>
      </w:r>
      <w:r w:rsidRPr="00403EB4">
        <w:rPr>
          <w:rFonts w:eastAsia="Calibri" w:cs="Arial"/>
          <w:b/>
          <w:lang w:val="en-NZ" w:eastAsia="en-US"/>
        </w:rPr>
        <w:t xml:space="preserve">Government formulate a </w:t>
      </w:r>
      <w:r w:rsidRPr="00403EB4">
        <w:rPr>
          <w:b/>
        </w:rPr>
        <w:t>National</w:t>
      </w:r>
      <w:r w:rsidRPr="00403EB4">
        <w:rPr>
          <w:rFonts w:eastAsia="Calibri" w:cs="Arial"/>
          <w:b/>
          <w:lang w:val="en-NZ" w:eastAsia="en-US"/>
        </w:rPr>
        <w:t xml:space="preserve"> Action Plan on Business and Human Rights, in consultation with the business sector, and that it have </w:t>
      </w:r>
      <w:r w:rsidRPr="00403EB4">
        <w:rPr>
          <w:b/>
        </w:rPr>
        <w:t xml:space="preserve">clear links with the </w:t>
      </w:r>
      <w:r w:rsidRPr="00403EB4">
        <w:rPr>
          <w:b/>
          <w:i/>
        </w:rPr>
        <w:t>National Action Plan to Combat Human Trafficking and Slavery 2015</w:t>
      </w:r>
      <w:r>
        <w:rPr>
          <w:b/>
          <w:i/>
        </w:rPr>
        <w:t>–</w:t>
      </w:r>
      <w:r w:rsidRPr="00403EB4">
        <w:rPr>
          <w:b/>
          <w:i/>
        </w:rPr>
        <w:t>2019</w:t>
      </w:r>
      <w:r w:rsidRPr="00403EB4">
        <w:rPr>
          <w:b/>
        </w:rPr>
        <w:t>.</w:t>
      </w:r>
    </w:p>
    <w:p w14:paraId="7DF30C78" w14:textId="14C80B97" w:rsidR="007D625B" w:rsidRPr="006976B1" w:rsidRDefault="007D625B" w:rsidP="007D625B">
      <w:pPr>
        <w:pStyle w:val="SubmissionNormal"/>
        <w:numPr>
          <w:ilvl w:val="0"/>
          <w:numId w:val="66"/>
        </w:numPr>
        <w:rPr>
          <w:b/>
        </w:rPr>
      </w:pPr>
      <w:r>
        <w:rPr>
          <w:b/>
        </w:rPr>
        <w:t xml:space="preserve">That the Australian Government </w:t>
      </w:r>
      <w:r>
        <w:rPr>
          <w:rFonts w:eastAsia="Calibri"/>
          <w:b/>
        </w:rPr>
        <w:t>develop</w:t>
      </w:r>
      <w:r w:rsidRPr="000E7AEC">
        <w:rPr>
          <w:rFonts w:eastAsia="Calibri"/>
          <w:b/>
        </w:rPr>
        <w:t xml:space="preserve"> a </w:t>
      </w:r>
      <w:r>
        <w:rPr>
          <w:rFonts w:eastAsia="Calibri"/>
          <w:b/>
        </w:rPr>
        <w:t xml:space="preserve">Modern Slavery Act in Australia. </w:t>
      </w:r>
    </w:p>
    <w:p w14:paraId="59716098" w14:textId="1B623712" w:rsidR="006976B1" w:rsidRDefault="006976B1" w:rsidP="007D625B">
      <w:pPr>
        <w:pStyle w:val="SubmissionNormal"/>
        <w:numPr>
          <w:ilvl w:val="0"/>
          <w:numId w:val="66"/>
        </w:numPr>
        <w:rPr>
          <w:b/>
        </w:rPr>
      </w:pPr>
      <w:r w:rsidRPr="00A51F41">
        <w:rPr>
          <w:b/>
        </w:rPr>
        <w:t>That the</w:t>
      </w:r>
      <w:r>
        <w:rPr>
          <w:b/>
        </w:rPr>
        <w:t xml:space="preserve"> Australian Government amend the</w:t>
      </w:r>
      <w:r w:rsidRPr="00A51F41">
        <w:rPr>
          <w:b/>
        </w:rPr>
        <w:t xml:space="preserve"> Commonwealth Procurement Rules </w:t>
      </w:r>
      <w:r>
        <w:rPr>
          <w:b/>
        </w:rPr>
        <w:t xml:space="preserve">to align </w:t>
      </w:r>
      <w:r w:rsidRPr="00A51F41">
        <w:rPr>
          <w:b/>
        </w:rPr>
        <w:t xml:space="preserve">with the </w:t>
      </w:r>
      <w:r>
        <w:rPr>
          <w:b/>
        </w:rPr>
        <w:t>UN Guiding Principles on Business and Human Rights, including</w:t>
      </w:r>
      <w:r w:rsidRPr="00A51F41">
        <w:rPr>
          <w:b/>
        </w:rPr>
        <w:t xml:space="preserve"> </w:t>
      </w:r>
      <w:r>
        <w:rPr>
          <w:b/>
        </w:rPr>
        <w:t xml:space="preserve">in regard to </w:t>
      </w:r>
      <w:r w:rsidRPr="00A51F41">
        <w:rPr>
          <w:b/>
        </w:rPr>
        <w:t xml:space="preserve">human rights due diligence in procurement. </w:t>
      </w:r>
      <w:r w:rsidRPr="000D4E69">
        <w:rPr>
          <w:b/>
        </w:rPr>
        <w:t xml:space="preserve"> </w:t>
      </w:r>
    </w:p>
    <w:p w14:paraId="21E7636A" w14:textId="44E728C0" w:rsidR="004E0CED" w:rsidRDefault="004E0CED" w:rsidP="004E0CED">
      <w:pPr>
        <w:pStyle w:val="SubmissionNormal"/>
        <w:numPr>
          <w:ilvl w:val="0"/>
          <w:numId w:val="0"/>
        </w:numPr>
        <w:ind w:left="720" w:hanging="720"/>
        <w:rPr>
          <w:b/>
        </w:rPr>
      </w:pPr>
    </w:p>
    <w:p w14:paraId="731319CD" w14:textId="77777777" w:rsidR="004E0CED" w:rsidRPr="002A36CF" w:rsidRDefault="004E0CED" w:rsidP="004E0CED">
      <w:pPr>
        <w:pStyle w:val="SubmissionNormal"/>
        <w:numPr>
          <w:ilvl w:val="0"/>
          <w:numId w:val="0"/>
        </w:numPr>
        <w:ind w:left="720" w:hanging="720"/>
        <w:rPr>
          <w:b/>
        </w:rPr>
      </w:pPr>
    </w:p>
    <w:p w14:paraId="54332FA4" w14:textId="77777777" w:rsidR="00EB6A76" w:rsidRPr="00A96892" w:rsidRDefault="004E00DD" w:rsidP="004E00DD">
      <w:pPr>
        <w:pStyle w:val="Heading1"/>
        <w:numPr>
          <w:ilvl w:val="0"/>
          <w:numId w:val="0"/>
        </w:numPr>
        <w:ind w:left="851" w:hanging="851"/>
      </w:pPr>
      <w:bookmarkStart w:id="130" w:name="_Toc493489655"/>
      <w:r>
        <w:lastRenderedPageBreak/>
        <w:t>Endnotes</w:t>
      </w:r>
      <w:bookmarkEnd w:id="130"/>
    </w:p>
    <w:sectPr w:rsidR="00EB6A76" w:rsidRPr="00A96892" w:rsidSect="00B63D24">
      <w:headerReference w:type="even" r:id="rId15"/>
      <w:headerReference w:type="default" r:id="rId16"/>
      <w:footerReference w:type="default" r:id="rId17"/>
      <w:headerReference w:type="first" r:id="rId18"/>
      <w:endnotePr>
        <w:numFmt w:val="decimal"/>
      </w:endnotePr>
      <w:pgSz w:w="11906" w:h="16838" w:code="9"/>
      <w:pgMar w:top="1134" w:right="1418" w:bottom="1134" w:left="1418" w:header="709" w:footer="709" w:gutter="0"/>
      <w:pgNumType w:start="2"/>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59213B" w16cid:durableId="1D60656E"/>
  <w16cid:commentId w16cid:paraId="78CB75A3" w16cid:durableId="1D60656F"/>
  <w16cid:commentId w16cid:paraId="4E5DB113" w16cid:durableId="1D606570"/>
  <w16cid:commentId w16cid:paraId="7E903E3F" w16cid:durableId="1D606571"/>
  <w16cid:commentId w16cid:paraId="12526CBF" w16cid:durableId="1D606572"/>
  <w16cid:commentId w16cid:paraId="5DD01A4D" w16cid:durableId="1D606574"/>
  <w16cid:commentId w16cid:paraId="3130038C" w16cid:durableId="1D606575"/>
  <w16cid:commentId w16cid:paraId="12AA18FD" w16cid:durableId="1D606576"/>
  <w16cid:commentId w16cid:paraId="2E5B2EAE" w16cid:durableId="1D606577"/>
  <w16cid:commentId w16cid:paraId="101CE65F" w16cid:durableId="1D606578"/>
  <w16cid:commentId w16cid:paraId="242ED06C" w16cid:durableId="1D606579"/>
  <w16cid:commentId w16cid:paraId="79BB3612" w16cid:durableId="1D60657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A24B9E" w14:textId="77777777" w:rsidR="003126E0" w:rsidRDefault="003126E0" w:rsidP="00F14C6D">
      <w:r>
        <w:separator/>
      </w:r>
    </w:p>
  </w:endnote>
  <w:endnote w:type="continuationSeparator" w:id="0">
    <w:p w14:paraId="411936E7" w14:textId="77777777" w:rsidR="003126E0" w:rsidRDefault="003126E0" w:rsidP="00F14C6D">
      <w:r>
        <w:continuationSeparator/>
      </w:r>
    </w:p>
  </w:endnote>
  <w:endnote w:id="1">
    <w:p w14:paraId="442BFDF9" w14:textId="62C8407B" w:rsidR="003126E0" w:rsidRPr="00D95BC4" w:rsidRDefault="003126E0">
      <w:pPr>
        <w:pStyle w:val="EndnoteText"/>
      </w:pPr>
      <w:r>
        <w:rPr>
          <w:rStyle w:val="EndnoteReference"/>
        </w:rPr>
        <w:endnoteRef/>
      </w:r>
      <w:r>
        <w:t xml:space="preserve"> United Nations Human Rights Committee, </w:t>
      </w:r>
      <w:r>
        <w:rPr>
          <w:i/>
        </w:rPr>
        <w:t>Rules of procedure of the Human Rights Committee</w:t>
      </w:r>
      <w:r>
        <w:t xml:space="preserve">, UN Doc CCPR/C/3/Rev.10 (11 January 2012). At </w:t>
      </w:r>
      <w:hyperlink r:id="rId1" w:history="1">
        <w:r w:rsidRPr="004519B6">
          <w:rPr>
            <w:rStyle w:val="Hyperlink"/>
          </w:rPr>
          <w:t>http://tbinternet.ohchr.org/_layouts/treatybodyexternal/Download.aspx?symbolno=CCPR%2fC%2f3%2fREV.10&amp;Lang=en</w:t>
        </w:r>
      </w:hyperlink>
      <w:r>
        <w:t xml:space="preserve"> (viewed 14 September 2017).  </w:t>
      </w:r>
    </w:p>
  </w:endnote>
  <w:endnote w:id="2">
    <w:p w14:paraId="155FA6A5" w14:textId="4EAFD9F2" w:rsidR="003126E0" w:rsidRPr="00964211" w:rsidRDefault="003126E0">
      <w:pPr>
        <w:pStyle w:val="EndnoteText"/>
      </w:pPr>
      <w:r w:rsidRPr="00964211">
        <w:rPr>
          <w:rStyle w:val="EndnoteReference"/>
        </w:rPr>
        <w:endnoteRef/>
      </w:r>
      <w:r w:rsidRPr="00964211">
        <w:t xml:space="preserve"> Parliamentary scrutiny processes include the Senate Standing Committee on Regulations and Ordinances, Senate Standing Committee for the Scrutiny of Bills, Parliamentary Joint Committee on Human Rights, Senate Standing Committee on Legal and Constitutional Affairs, Parliamentary Joint Committee on Intelligence and Security and Parliamentary Joint Committee on Law Enforcement. Other review mechanisms include the Australian Human Rights Commission, Independent National Security Legislation Monitor and Australian Law Reform Commission.</w:t>
      </w:r>
      <w:r>
        <w:t xml:space="preserve"> See </w:t>
      </w:r>
      <w:r w:rsidRPr="008A17CC">
        <w:rPr>
          <w:rFonts w:cs="Arial"/>
        </w:rPr>
        <w:t xml:space="preserve">Australian Law Reform Commission, </w:t>
      </w:r>
      <w:r w:rsidRPr="008A17CC">
        <w:rPr>
          <w:rFonts w:cs="Arial"/>
          <w:i/>
        </w:rPr>
        <w:t xml:space="preserve">Traditional Rights and Freedoms – Encroachments by Commonwealth Laws (Final Report) </w:t>
      </w:r>
      <w:r w:rsidRPr="008A17CC">
        <w:rPr>
          <w:rFonts w:cs="Arial"/>
        </w:rPr>
        <w:t>(2016)</w:t>
      </w:r>
      <w:r>
        <w:rPr>
          <w:rFonts w:cs="Arial"/>
        </w:rPr>
        <w:t xml:space="preserve"> Ch 3</w:t>
      </w:r>
      <w:r w:rsidRPr="008A17CC">
        <w:rPr>
          <w:rFonts w:cs="Arial"/>
        </w:rPr>
        <w:t xml:space="preserve">. At </w:t>
      </w:r>
      <w:hyperlink r:id="rId2" w:history="1">
        <w:r w:rsidRPr="008A17CC">
          <w:rPr>
            <w:rStyle w:val="Hyperlink"/>
            <w:rFonts w:cs="Arial"/>
          </w:rPr>
          <w:t>https://www.alrc.gov.au/sites/default/files/pdfs/publications/alrc_129_final_report_.pdf</w:t>
        </w:r>
      </w:hyperlink>
      <w:r w:rsidRPr="008A17CC">
        <w:rPr>
          <w:rFonts w:cs="Arial"/>
        </w:rPr>
        <w:t xml:space="preserve"> (</w:t>
      </w:r>
      <w:r w:rsidRPr="00BF602B">
        <w:rPr>
          <w:rFonts w:cs="Arial"/>
        </w:rPr>
        <w:t xml:space="preserve">viewed </w:t>
      </w:r>
      <w:r>
        <w:rPr>
          <w:rFonts w:cs="Arial"/>
        </w:rPr>
        <w:t>11 September 2017</w:t>
      </w:r>
      <w:r w:rsidRPr="008A17CC">
        <w:rPr>
          <w:rFonts w:cs="Arial"/>
        </w:rPr>
        <w:t>).</w:t>
      </w:r>
    </w:p>
  </w:endnote>
  <w:endnote w:id="3">
    <w:p w14:paraId="4B618779" w14:textId="77777777" w:rsidR="003126E0" w:rsidRPr="00892424" w:rsidRDefault="003126E0" w:rsidP="007765B6">
      <w:pPr>
        <w:pStyle w:val="EndnoteText"/>
        <w:rPr>
          <w:rFonts w:cs="Arial"/>
        </w:rPr>
      </w:pPr>
      <w:r w:rsidRPr="00892424">
        <w:rPr>
          <w:rStyle w:val="EndnoteReference"/>
          <w:rFonts w:cs="Arial"/>
        </w:rPr>
        <w:endnoteRef/>
      </w:r>
      <w:r w:rsidRPr="00892424">
        <w:rPr>
          <w:rFonts w:cs="Arial"/>
        </w:rPr>
        <w:t xml:space="preserve"> </w:t>
      </w:r>
      <w:r w:rsidRPr="00FC5B79">
        <w:rPr>
          <w:rFonts w:cs="Arial"/>
        </w:rPr>
        <w:t xml:space="preserve">Since the beginning of 2016, </w:t>
      </w:r>
      <w:r>
        <w:rPr>
          <w:rFonts w:cs="Arial"/>
        </w:rPr>
        <w:t>the Parliamentary Joint Committee on Human Rights</w:t>
      </w:r>
      <w:r w:rsidRPr="00FC5B79">
        <w:rPr>
          <w:rFonts w:cs="Arial"/>
        </w:rPr>
        <w:t xml:space="preserve"> has reviewed 74 other legislative instruments. </w:t>
      </w:r>
      <w:r w:rsidRPr="00892424">
        <w:rPr>
          <w:rFonts w:cs="Arial"/>
        </w:rPr>
        <w:t xml:space="preserve">Parliamentary Joint Committee on Human Rights, </w:t>
      </w:r>
      <w:r w:rsidRPr="00892424">
        <w:rPr>
          <w:rFonts w:cs="Arial"/>
          <w:i/>
        </w:rPr>
        <w:t>Index of Bills and Legislative Instruments</w:t>
      </w:r>
      <w:r w:rsidRPr="00892424">
        <w:rPr>
          <w:rFonts w:cs="Arial"/>
        </w:rPr>
        <w:t xml:space="preserve">. At </w:t>
      </w:r>
      <w:hyperlink r:id="rId3" w:history="1">
        <w:r w:rsidRPr="00BF602B">
          <w:rPr>
            <w:rStyle w:val="Hyperlink"/>
            <w:rFonts w:cs="Arial"/>
          </w:rPr>
          <w:t>http://www.aph.gov.au/Parliamentary_Business/Committees/Joint/Human_Rights/Index_of_bills_and_instruments</w:t>
        </w:r>
      </w:hyperlink>
      <w:r w:rsidRPr="00BF602B">
        <w:rPr>
          <w:rFonts w:cs="Arial"/>
        </w:rPr>
        <w:t xml:space="preserve"> </w:t>
      </w:r>
      <w:hyperlink r:id="rId4" w:history="1"/>
      <w:r w:rsidRPr="00BF602B">
        <w:rPr>
          <w:rFonts w:cs="Arial"/>
        </w:rPr>
        <w:t xml:space="preserve"> (viewed </w:t>
      </w:r>
      <w:r>
        <w:rPr>
          <w:rFonts w:cs="Arial"/>
        </w:rPr>
        <w:t xml:space="preserve">11 September </w:t>
      </w:r>
      <w:r w:rsidRPr="00BF602B">
        <w:rPr>
          <w:rFonts w:cs="Arial"/>
        </w:rPr>
        <w:t>2017).</w:t>
      </w:r>
      <w:r>
        <w:rPr>
          <w:rFonts w:cs="Arial"/>
        </w:rPr>
        <w:t xml:space="preserve"> </w:t>
      </w:r>
    </w:p>
  </w:endnote>
  <w:endnote w:id="4">
    <w:p w14:paraId="51C255EC" w14:textId="0C1DCF78" w:rsidR="003126E0" w:rsidRPr="00892424" w:rsidRDefault="003126E0" w:rsidP="00F2581D">
      <w:pPr>
        <w:pStyle w:val="EndnoteText"/>
        <w:rPr>
          <w:rFonts w:cs="Arial"/>
        </w:rPr>
      </w:pPr>
      <w:r w:rsidRPr="00892424">
        <w:rPr>
          <w:rStyle w:val="EndnoteReference"/>
          <w:rFonts w:cs="Arial"/>
        </w:rPr>
        <w:endnoteRef/>
      </w:r>
      <w:r w:rsidRPr="00892424">
        <w:rPr>
          <w:rFonts w:cs="Arial"/>
        </w:rPr>
        <w:t xml:space="preserve"> </w:t>
      </w:r>
      <w:r w:rsidRPr="00892424">
        <w:rPr>
          <w:rFonts w:cs="Arial"/>
          <w:i/>
        </w:rPr>
        <w:t xml:space="preserve">Human Rights (Parliamentary Scrutiny) Act 2011 </w:t>
      </w:r>
      <w:r w:rsidRPr="00892424">
        <w:rPr>
          <w:rFonts w:cs="Arial"/>
        </w:rPr>
        <w:t xml:space="preserve">(Cth), ss 8, 9. At </w:t>
      </w:r>
      <w:hyperlink r:id="rId5" w:history="1">
        <w:r w:rsidRPr="00C42601">
          <w:rPr>
            <w:rStyle w:val="Hyperlink"/>
            <w:rFonts w:cs="Arial"/>
          </w:rPr>
          <w:t>https://www.legislation.gov.au/Details/C2011A00186</w:t>
        </w:r>
      </w:hyperlink>
      <w:r>
        <w:rPr>
          <w:rFonts w:cs="Arial"/>
        </w:rPr>
        <w:t xml:space="preserve"> (viewed 11 September 2017). </w:t>
      </w:r>
    </w:p>
  </w:endnote>
  <w:endnote w:id="5">
    <w:p w14:paraId="3BCA12AF" w14:textId="77777777" w:rsidR="003126E0" w:rsidRPr="00BF602B" w:rsidRDefault="003126E0" w:rsidP="002C301D">
      <w:pPr>
        <w:pStyle w:val="EndnoteText"/>
        <w:rPr>
          <w:rFonts w:cs="Arial"/>
        </w:rPr>
      </w:pPr>
      <w:r w:rsidRPr="00892424">
        <w:rPr>
          <w:rStyle w:val="EndnoteReference"/>
          <w:rFonts w:cs="Arial"/>
        </w:rPr>
        <w:endnoteRef/>
      </w:r>
      <w:r w:rsidRPr="00892424">
        <w:rPr>
          <w:rFonts w:cs="Arial"/>
        </w:rPr>
        <w:t xml:space="preserve"> George Williams and </w:t>
      </w:r>
      <w:r w:rsidRPr="00BF602B">
        <w:rPr>
          <w:rFonts w:cs="Arial"/>
        </w:rPr>
        <w:t xml:space="preserve">Daniel Reynolds, ‘The Operation and Impact of Australia’s Parliamentary Scrutiny Regime for Human Rights’ (2015) 41(2) </w:t>
      </w:r>
      <w:r w:rsidRPr="00BF602B">
        <w:rPr>
          <w:rFonts w:cs="Arial"/>
          <w:i/>
        </w:rPr>
        <w:t>Monash University Law Review</w:t>
      </w:r>
      <w:r w:rsidRPr="00BF602B">
        <w:rPr>
          <w:rFonts w:cs="Arial"/>
        </w:rPr>
        <w:t xml:space="preserve"> 469, </w:t>
      </w:r>
      <w:r>
        <w:rPr>
          <w:rFonts w:cs="Arial"/>
        </w:rPr>
        <w:t xml:space="preserve">477, </w:t>
      </w:r>
      <w:r w:rsidRPr="00BF602B">
        <w:rPr>
          <w:rFonts w:cs="Arial"/>
        </w:rPr>
        <w:t xml:space="preserve">506-7. At </w:t>
      </w:r>
      <w:hyperlink r:id="rId6" w:history="1">
        <w:r w:rsidRPr="00BF602B">
          <w:rPr>
            <w:rStyle w:val="Hyperlink"/>
            <w:rFonts w:cs="Arial"/>
          </w:rPr>
          <w:t>http://www.austlii.edu.au/au/journals/MonashULawRw/2015/17.html</w:t>
        </w:r>
      </w:hyperlink>
      <w:r w:rsidRPr="00BF602B">
        <w:rPr>
          <w:rFonts w:cs="Arial"/>
        </w:rPr>
        <w:t xml:space="preserve"> (viewed </w:t>
      </w:r>
      <w:r>
        <w:rPr>
          <w:rFonts w:cs="Arial"/>
        </w:rPr>
        <w:t>11 September 2017</w:t>
      </w:r>
      <w:r w:rsidRPr="00BF602B">
        <w:rPr>
          <w:rFonts w:cs="Arial"/>
        </w:rPr>
        <w:t>).</w:t>
      </w:r>
    </w:p>
  </w:endnote>
  <w:endnote w:id="6">
    <w:p w14:paraId="523B9399" w14:textId="77777777" w:rsidR="003126E0" w:rsidRPr="00BF602B" w:rsidRDefault="003126E0" w:rsidP="00051DBC">
      <w:pPr>
        <w:pStyle w:val="EndnoteText"/>
        <w:rPr>
          <w:rFonts w:cs="Arial"/>
        </w:rPr>
      </w:pPr>
      <w:r w:rsidRPr="00892424">
        <w:rPr>
          <w:rStyle w:val="EndnoteReference"/>
          <w:rFonts w:cs="Arial"/>
        </w:rPr>
        <w:endnoteRef/>
      </w:r>
      <w:r w:rsidRPr="00892424">
        <w:rPr>
          <w:rFonts w:cs="Arial"/>
        </w:rPr>
        <w:t xml:space="preserve"> George Williams and </w:t>
      </w:r>
      <w:r w:rsidRPr="00BF602B">
        <w:rPr>
          <w:rFonts w:cs="Arial"/>
        </w:rPr>
        <w:t xml:space="preserve">Daniel Reynolds, ‘The Operation and Impact of Australia’s Parliamentary Scrutiny Regime for Human Rights’ (2015) 41(2) </w:t>
      </w:r>
      <w:r w:rsidRPr="00BF602B">
        <w:rPr>
          <w:rFonts w:cs="Arial"/>
          <w:i/>
        </w:rPr>
        <w:t>Monash University Law Review</w:t>
      </w:r>
      <w:r>
        <w:rPr>
          <w:rFonts w:cs="Arial"/>
        </w:rPr>
        <w:t xml:space="preserve"> 469, 474</w:t>
      </w:r>
      <w:r w:rsidRPr="00BF602B">
        <w:rPr>
          <w:rFonts w:cs="Arial"/>
        </w:rPr>
        <w:t>-</w:t>
      </w:r>
      <w:r>
        <w:rPr>
          <w:rFonts w:cs="Arial"/>
        </w:rPr>
        <w:t>5</w:t>
      </w:r>
      <w:r w:rsidRPr="00BF602B">
        <w:rPr>
          <w:rFonts w:cs="Arial"/>
        </w:rPr>
        <w:t xml:space="preserve">. At </w:t>
      </w:r>
      <w:hyperlink r:id="rId7" w:history="1">
        <w:r w:rsidRPr="00BF602B">
          <w:rPr>
            <w:rStyle w:val="Hyperlink"/>
            <w:rFonts w:cs="Arial"/>
          </w:rPr>
          <w:t>http://www.austlii.edu.au/au/journals/MonashULawRw/2015/17.html</w:t>
        </w:r>
      </w:hyperlink>
      <w:r w:rsidRPr="00BF602B">
        <w:rPr>
          <w:rFonts w:cs="Arial"/>
        </w:rPr>
        <w:t xml:space="preserve"> (viewed </w:t>
      </w:r>
      <w:r>
        <w:rPr>
          <w:rFonts w:cs="Arial"/>
        </w:rPr>
        <w:t>11 September 2017</w:t>
      </w:r>
      <w:r w:rsidRPr="00BF602B">
        <w:rPr>
          <w:rFonts w:cs="Arial"/>
        </w:rPr>
        <w:t>).</w:t>
      </w:r>
    </w:p>
  </w:endnote>
  <w:endnote w:id="7">
    <w:p w14:paraId="529A2E1F" w14:textId="77777777" w:rsidR="003126E0" w:rsidRPr="00BF193B" w:rsidRDefault="003126E0">
      <w:pPr>
        <w:pStyle w:val="EndnoteText"/>
      </w:pPr>
      <w:r>
        <w:rPr>
          <w:rStyle w:val="EndnoteReference"/>
        </w:rPr>
        <w:endnoteRef/>
      </w:r>
      <w:r>
        <w:t xml:space="preserve"> Shawn Rajanayagam, ‘Does Parliament Do Enough? Evaluating Statements of Compatibility under the </w:t>
      </w:r>
      <w:r w:rsidRPr="00BF193B">
        <w:rPr>
          <w:i/>
        </w:rPr>
        <w:t>Human Rights (Parliamentary Scrutiny) Act</w:t>
      </w:r>
      <w:r>
        <w:t xml:space="preserve">’ (2015) 38(3) </w:t>
      </w:r>
      <w:r>
        <w:rPr>
          <w:i/>
        </w:rPr>
        <w:t xml:space="preserve">University of New South Wales Law Journal </w:t>
      </w:r>
      <w:r>
        <w:t xml:space="preserve">1046, 1069-1070. At </w:t>
      </w:r>
      <w:hyperlink r:id="rId8" w:history="1">
        <w:r w:rsidRPr="00C42601">
          <w:rPr>
            <w:rStyle w:val="Hyperlink"/>
          </w:rPr>
          <w:t>http://www.austlii.edu.au/cgi-bin/download.cgi/cgi-bin/download.cgi/download/au/journals/UNSWLJ/2015/37.pdf</w:t>
        </w:r>
      </w:hyperlink>
      <w:r>
        <w:t xml:space="preserve"> (</w:t>
      </w:r>
      <w:r w:rsidRPr="00BF602B">
        <w:rPr>
          <w:rFonts w:cs="Arial"/>
        </w:rPr>
        <w:t xml:space="preserve">viewed </w:t>
      </w:r>
      <w:r>
        <w:rPr>
          <w:rFonts w:cs="Arial"/>
        </w:rPr>
        <w:t>11 September 2017</w:t>
      </w:r>
      <w:r>
        <w:t>).</w:t>
      </w:r>
    </w:p>
  </w:endnote>
  <w:endnote w:id="8">
    <w:p w14:paraId="79B36AC1" w14:textId="77777777" w:rsidR="003126E0" w:rsidRDefault="003126E0" w:rsidP="006C5D34">
      <w:pPr>
        <w:pStyle w:val="EndnoteText"/>
      </w:pPr>
      <w:r>
        <w:rPr>
          <w:rStyle w:val="EndnoteReference"/>
        </w:rPr>
        <w:endnoteRef/>
      </w:r>
      <w:r>
        <w:t xml:space="preserve"> </w:t>
      </w:r>
      <w:r w:rsidRPr="008A17CC">
        <w:rPr>
          <w:rFonts w:cs="Arial"/>
        </w:rPr>
        <w:t xml:space="preserve">Australian Law Reform Commission, </w:t>
      </w:r>
      <w:r w:rsidRPr="008A17CC">
        <w:rPr>
          <w:rFonts w:cs="Arial"/>
          <w:i/>
        </w:rPr>
        <w:t xml:space="preserve">Traditional Rights and Freedoms – Encroachments by Commonwealth Laws (Final Report) </w:t>
      </w:r>
      <w:r w:rsidRPr="008A17CC">
        <w:rPr>
          <w:rFonts w:cs="Arial"/>
        </w:rPr>
        <w:t>(2016)</w:t>
      </w:r>
      <w:r>
        <w:rPr>
          <w:rFonts w:cs="Arial"/>
        </w:rPr>
        <w:t xml:space="preserve"> 75-76 [3.95]</w:t>
      </w:r>
      <w:r w:rsidRPr="008A17CC">
        <w:rPr>
          <w:rFonts w:cs="Arial"/>
        </w:rPr>
        <w:t xml:space="preserve">. At </w:t>
      </w:r>
      <w:hyperlink r:id="rId9" w:history="1">
        <w:r w:rsidRPr="008A17CC">
          <w:rPr>
            <w:rStyle w:val="Hyperlink"/>
            <w:rFonts w:cs="Arial"/>
          </w:rPr>
          <w:t>https://www.alrc.gov.au/sites/default/files/pdfs/publications/alrc_129_final_report_.pdf</w:t>
        </w:r>
      </w:hyperlink>
      <w:r w:rsidRPr="008A17CC">
        <w:rPr>
          <w:rFonts w:cs="Arial"/>
        </w:rPr>
        <w:t xml:space="preserve"> (</w:t>
      </w:r>
      <w:r w:rsidRPr="00BF602B">
        <w:rPr>
          <w:rFonts w:cs="Arial"/>
        </w:rPr>
        <w:t xml:space="preserve">viewed </w:t>
      </w:r>
      <w:r>
        <w:rPr>
          <w:rFonts w:cs="Arial"/>
        </w:rPr>
        <w:t>11 September 2017</w:t>
      </w:r>
      <w:r w:rsidRPr="008A17CC">
        <w:rPr>
          <w:rFonts w:cs="Arial"/>
        </w:rPr>
        <w:t>).</w:t>
      </w:r>
      <w:r>
        <w:rPr>
          <w:rFonts w:cs="Arial"/>
        </w:rPr>
        <w:t xml:space="preserve"> The ALRC’s suggestions include </w:t>
      </w:r>
      <w:r w:rsidRPr="008C7780">
        <w:rPr>
          <w:rFonts w:cs="Arial"/>
        </w:rPr>
        <w:t>additional guidance to policy makers during policy development and legislative drafting stages; improving quality of explanatory material and statements of compatibility; effective and appropriate streamlining of overlapping work across scrutiny committees; increasing time available to conduct scrutiny; and improving extent to which Parliament considers the scrutiny reports</w:t>
      </w:r>
      <w:r>
        <w:rPr>
          <w:rFonts w:cs="Arial"/>
        </w:rPr>
        <w:t>.</w:t>
      </w:r>
    </w:p>
  </w:endnote>
  <w:endnote w:id="9">
    <w:p w14:paraId="7FE8376C" w14:textId="77777777" w:rsidR="003126E0" w:rsidRPr="00E0568F" w:rsidRDefault="003126E0" w:rsidP="00271C71">
      <w:pPr>
        <w:pStyle w:val="EndnoteText"/>
      </w:pPr>
      <w:r w:rsidRPr="00E0568F">
        <w:rPr>
          <w:rStyle w:val="EndnoteReference"/>
        </w:rPr>
        <w:endnoteRef/>
      </w:r>
      <w:r w:rsidRPr="00DE3C2E">
        <w:rPr>
          <w:i/>
        </w:rPr>
        <w:t xml:space="preserve"> Charter of Human Rights and Responsibilities Act</w:t>
      </w:r>
      <w:r w:rsidRPr="000F6885">
        <w:t xml:space="preserve"> 2006</w:t>
      </w:r>
      <w:r>
        <w:t xml:space="preserve"> (Vic). At </w:t>
      </w:r>
      <w:hyperlink r:id="rId10" w:history="1">
        <w:r w:rsidRPr="00A248BB">
          <w:rPr>
            <w:rStyle w:val="Hyperlink"/>
          </w:rPr>
          <w:t>https://www.humanrightscommission.vic.gov.au/human-rights/the-charter</w:t>
        </w:r>
      </w:hyperlink>
      <w:r>
        <w:t xml:space="preserve"> (viewed 11 September 2017); </w:t>
      </w:r>
      <w:r>
        <w:rPr>
          <w:i/>
        </w:rPr>
        <w:t xml:space="preserve">Human Rights Act 2004 </w:t>
      </w:r>
      <w:r>
        <w:t xml:space="preserve">(ACT). At </w:t>
      </w:r>
      <w:hyperlink r:id="rId11" w:history="1">
        <w:r w:rsidRPr="00A248BB">
          <w:rPr>
            <w:rStyle w:val="Hyperlink"/>
          </w:rPr>
          <w:t>http://www6.austlii.edu.au/cgi-bin/viewdb/au/legis/act/consol_act/hra2004148/</w:t>
        </w:r>
      </w:hyperlink>
      <w:r>
        <w:t xml:space="preserve"> (viewed 11 September 2017).</w:t>
      </w:r>
    </w:p>
  </w:endnote>
  <w:endnote w:id="10">
    <w:p w14:paraId="0AA3141D" w14:textId="6EACEAAF" w:rsidR="003126E0" w:rsidRPr="00E0568F" w:rsidRDefault="003126E0" w:rsidP="00271C71">
      <w:pPr>
        <w:pStyle w:val="EndnoteText"/>
      </w:pPr>
      <w:r>
        <w:rPr>
          <w:rStyle w:val="EndnoteReference"/>
        </w:rPr>
        <w:endnoteRef/>
      </w:r>
      <w:r>
        <w:t xml:space="preserve"> Legal Affairs and Community Safety Committee, Parliament of Queensland, </w:t>
      </w:r>
      <w:r>
        <w:rPr>
          <w:i/>
        </w:rPr>
        <w:t xml:space="preserve">Inquiry into a possible Human Rights Act for Queensland </w:t>
      </w:r>
      <w:r>
        <w:t xml:space="preserve">(Report No 30) Recommendation 1, xx. At </w:t>
      </w:r>
      <w:hyperlink r:id="rId12" w:history="1">
        <w:r w:rsidRPr="00A248BB">
          <w:rPr>
            <w:rStyle w:val="Hyperlink"/>
          </w:rPr>
          <w:t>http://www.parliament.qld.gov.au/docs/find.aspx?id=5516T405</w:t>
        </w:r>
      </w:hyperlink>
      <w:r>
        <w:t xml:space="preserve"> (viewed 11 September 2017). Earlier this year, a petition was launched calling for a Tasmanian human rights Act (10 years after the Tasmanian Law Reform Institute recommended the establishment of a state human rights Act). See Blair Richards, ‘Campaign begins to put a human rights Act back on agenda’, </w:t>
      </w:r>
      <w:r>
        <w:rPr>
          <w:i/>
        </w:rPr>
        <w:t>The Mercury</w:t>
      </w:r>
      <w:r>
        <w:t xml:space="preserve"> (online), 22 January 2017. At </w:t>
      </w:r>
      <w:hyperlink r:id="rId13" w:history="1">
        <w:r w:rsidRPr="00A248BB">
          <w:rPr>
            <w:rStyle w:val="Hyperlink"/>
          </w:rPr>
          <w:t>http://www.themercury.com.au/news/politics/campaign-begins-to-put-a-human-rights-act-back-on-agenda/news-story/d70cf11696eed0de5c42cf2be381335f</w:t>
        </w:r>
      </w:hyperlink>
      <w:r>
        <w:t xml:space="preserve"> (viewed 11 September 2017). </w:t>
      </w:r>
    </w:p>
  </w:endnote>
  <w:endnote w:id="11">
    <w:p w14:paraId="2D4742FA" w14:textId="77777777" w:rsidR="003126E0" w:rsidRPr="00892424" w:rsidRDefault="003126E0" w:rsidP="00AA2432">
      <w:pPr>
        <w:pStyle w:val="EndnoteText"/>
        <w:rPr>
          <w:rFonts w:cs="Arial"/>
        </w:rPr>
      </w:pPr>
      <w:r w:rsidRPr="00892424">
        <w:rPr>
          <w:rStyle w:val="EndnoteReference"/>
          <w:rFonts w:cs="Arial"/>
        </w:rPr>
        <w:endnoteRef/>
      </w:r>
      <w:r w:rsidRPr="00892424">
        <w:rPr>
          <w:rFonts w:cs="Arial"/>
        </w:rPr>
        <w:t xml:space="preserve"> Minister for Foreign Affairs and Attorney General, ‘Improving oversight and conditions in detention’ (Media Release, 9 February 2017). At </w:t>
      </w:r>
      <w:hyperlink r:id="rId14" w:history="1">
        <w:r w:rsidRPr="00892424">
          <w:rPr>
            <w:rStyle w:val="Hyperlink"/>
            <w:rFonts w:cs="Arial"/>
          </w:rPr>
          <w:t>https://www.attorneygeneral.gov.au/Mediareleases/Pages/2017/FirstQuarter/Improving-oversight-and-conditions-in-detention.aspx</w:t>
        </w:r>
      </w:hyperlink>
      <w:r w:rsidRPr="00892424">
        <w:rPr>
          <w:rFonts w:cs="Arial"/>
        </w:rPr>
        <w:t xml:space="preserve"> </w:t>
      </w:r>
      <w:r>
        <w:rPr>
          <w:rFonts w:cs="Arial"/>
        </w:rPr>
        <w:t>(viewed 11 September 2017).</w:t>
      </w:r>
    </w:p>
  </w:endnote>
  <w:endnote w:id="12">
    <w:p w14:paraId="21E12B44" w14:textId="74D9A02C" w:rsidR="003126E0" w:rsidRPr="00892424" w:rsidRDefault="003126E0" w:rsidP="00532B69">
      <w:pPr>
        <w:pStyle w:val="EndnoteText"/>
        <w:rPr>
          <w:rFonts w:cs="Arial"/>
        </w:rPr>
      </w:pPr>
      <w:r w:rsidRPr="00892424">
        <w:rPr>
          <w:rStyle w:val="EndnoteReference"/>
          <w:rFonts w:cs="Arial"/>
        </w:rPr>
        <w:endnoteRef/>
      </w:r>
      <w:r w:rsidRPr="00892424">
        <w:rPr>
          <w:rFonts w:cs="Arial"/>
        </w:rPr>
        <w:t xml:space="preserve"> </w:t>
      </w:r>
      <w:r w:rsidRPr="002D2AC4">
        <w:t>Victoria Tauli-Corpuz</w:t>
      </w:r>
      <w:r>
        <w:t>,</w:t>
      </w:r>
      <w:r w:rsidRPr="002D2AC4">
        <w:t xml:space="preserve"> </w:t>
      </w:r>
      <w:r>
        <w:t xml:space="preserve">United Nations Special Rapporteur on the rights of indigenous peoples, </w:t>
      </w:r>
      <w:r>
        <w:rPr>
          <w:i/>
        </w:rPr>
        <w:t xml:space="preserve">End of Mission Statement by the United Nations Special Rapporteur on the rights of indigenous peoples, Victoria Tauli-Corpuz on her visit to Australia </w:t>
      </w:r>
      <w:r>
        <w:t xml:space="preserve">(2017). At </w:t>
      </w:r>
      <w:hyperlink r:id="rId15" w:history="1">
        <w:r w:rsidRPr="006D18FC">
          <w:rPr>
            <w:rStyle w:val="Hyperlink"/>
          </w:rPr>
          <w:t>http://www.ohchr.org/EN/NewsEvents/Pages/DisplayNews.aspx?NewsID=21473&amp;LangID=E</w:t>
        </w:r>
      </w:hyperlink>
      <w:r>
        <w:t xml:space="preserve"> (viewed 11 September 2017)</w:t>
      </w:r>
      <w:r w:rsidRPr="00892424">
        <w:rPr>
          <w:rFonts w:cs="Arial"/>
        </w:rPr>
        <w:t>.</w:t>
      </w:r>
    </w:p>
  </w:endnote>
  <w:endnote w:id="13">
    <w:p w14:paraId="56459D41" w14:textId="2E9D5DF9" w:rsidR="003126E0" w:rsidRPr="00BF602B" w:rsidRDefault="003126E0" w:rsidP="00532B69">
      <w:pPr>
        <w:pStyle w:val="EndnoteText"/>
        <w:rPr>
          <w:rFonts w:cs="Arial"/>
          <w:iCs/>
        </w:rPr>
      </w:pPr>
      <w:r w:rsidRPr="00892424">
        <w:rPr>
          <w:rStyle w:val="EndnoteReference"/>
          <w:rFonts w:cs="Arial"/>
        </w:rPr>
        <w:endnoteRef/>
      </w:r>
      <w:r w:rsidRPr="00892424">
        <w:rPr>
          <w:rFonts w:cs="Arial"/>
        </w:rPr>
        <w:t xml:space="preserve"> </w:t>
      </w:r>
      <w:r>
        <w:t>Despite being only 3% of the total Australian population</w:t>
      </w:r>
      <w:r>
        <w:rPr>
          <w:rFonts w:cs="Arial"/>
        </w:rPr>
        <w:t xml:space="preserve">, </w:t>
      </w:r>
      <w:r w:rsidRPr="00E74CE8">
        <w:rPr>
          <w:rFonts w:cs="Arial"/>
        </w:rPr>
        <w:t>Aboriginal and Torres Strait Islander adults account for over a quarter (27%) of the total Australian prison population</w:t>
      </w:r>
      <w:r>
        <w:rPr>
          <w:rFonts w:cs="Arial"/>
        </w:rPr>
        <w:t xml:space="preserve">. See </w:t>
      </w:r>
      <w:r w:rsidRPr="006865C2">
        <w:rPr>
          <w:rFonts w:cs="Arial"/>
        </w:rPr>
        <w:t>Australian Bureau of Statistics</w:t>
      </w:r>
      <w:r w:rsidRPr="005B4472">
        <w:rPr>
          <w:rFonts w:cs="Arial"/>
        </w:rPr>
        <w:t xml:space="preserve"> (2016) Prisoners in Australia, Aboriginal and Torres Strait Islander Prisoner Characteristics, 4517.0</w:t>
      </w:r>
      <w:r>
        <w:rPr>
          <w:rFonts w:cs="Arial"/>
        </w:rPr>
        <w:t xml:space="preserve"> (8 December 2016). At </w:t>
      </w:r>
      <w:hyperlink r:id="rId16" w:history="1">
        <w:r w:rsidRPr="005B4472">
          <w:rPr>
            <w:rStyle w:val="Hyperlink"/>
            <w:rFonts w:cs="Arial"/>
          </w:rPr>
          <w:t>http://www.abs.gov.au/ausstats/abs@.nsf/Lookup/by%20Subject/4517.0~2016~Main%20Features~Aboriginal%20and%20Torres%20Strait%20Islander%20prisoner%20characteristics~5</w:t>
        </w:r>
      </w:hyperlink>
      <w:r w:rsidRPr="00E74CE8">
        <w:rPr>
          <w:rFonts w:cs="Arial"/>
        </w:rPr>
        <w:t xml:space="preserve"> </w:t>
      </w:r>
      <w:r>
        <w:rPr>
          <w:rFonts w:cs="Arial"/>
        </w:rPr>
        <w:t>(</w:t>
      </w:r>
      <w:r w:rsidRPr="00BF602B">
        <w:rPr>
          <w:rFonts w:cs="Arial"/>
        </w:rPr>
        <w:t xml:space="preserve">viewed </w:t>
      </w:r>
      <w:r>
        <w:rPr>
          <w:rFonts w:cs="Arial"/>
        </w:rPr>
        <w:t xml:space="preserve">11 September 2017). </w:t>
      </w:r>
      <w:r w:rsidRPr="00892424">
        <w:rPr>
          <w:rFonts w:cs="Arial"/>
        </w:rPr>
        <w:t xml:space="preserve">Between 2000 and 2013 the imprisonment rate for Aboriginal Torres Strait Islander adults increased by 57%. Most recent statistics show Aboriginal and Torres Strait Islander adults are imprisoned at 13 times the rate of non-Indigenous adults. Aboriginal children are imprisoned at 24 times the rate of non-Indigenous young people. Steering Committee for the Review of Government Service Provision, </w:t>
      </w:r>
      <w:r w:rsidRPr="00892424">
        <w:rPr>
          <w:rFonts w:cs="Arial"/>
          <w:i/>
        </w:rPr>
        <w:t xml:space="preserve">Overcoming Indigenous Disadvantage Key Indicators 2014 </w:t>
      </w:r>
      <w:r>
        <w:rPr>
          <w:rFonts w:cs="Arial"/>
        </w:rPr>
        <w:t>(2014), 4</w:t>
      </w:r>
      <w:r w:rsidRPr="00892424">
        <w:rPr>
          <w:rFonts w:cs="Arial"/>
        </w:rPr>
        <w:t xml:space="preserve">. At </w:t>
      </w:r>
      <w:hyperlink r:id="rId17" w:anchor="report" w:history="1">
        <w:r w:rsidRPr="00892424">
          <w:rPr>
            <w:rStyle w:val="Hyperlink"/>
            <w:rFonts w:cs="Arial"/>
          </w:rPr>
          <w:t>http://www.pc.gov.au/research/recurring/overcoming-indigenous-disadvantage/key-indicators-2014#report</w:t>
        </w:r>
      </w:hyperlink>
      <w:r w:rsidRPr="00892424">
        <w:rPr>
          <w:rFonts w:cs="Arial"/>
        </w:rPr>
        <w:t xml:space="preserve"> (</w:t>
      </w:r>
      <w:r w:rsidRPr="00BF602B">
        <w:rPr>
          <w:rFonts w:cs="Arial"/>
        </w:rPr>
        <w:t xml:space="preserve">viewed </w:t>
      </w:r>
      <w:r>
        <w:rPr>
          <w:rFonts w:cs="Arial"/>
        </w:rPr>
        <w:t>11 September 2017</w:t>
      </w:r>
      <w:r w:rsidRPr="00892424">
        <w:rPr>
          <w:rFonts w:cs="Arial"/>
        </w:rPr>
        <w:t>). On an average day, Indigenous children aged 10–17 were 1</w:t>
      </w:r>
      <w:r>
        <w:rPr>
          <w:rFonts w:cs="Arial"/>
        </w:rPr>
        <w:t>7</w:t>
      </w:r>
      <w:r w:rsidRPr="00892424">
        <w:rPr>
          <w:rFonts w:cs="Arial"/>
        </w:rPr>
        <w:t xml:space="preserve"> times as likely to be under community-based supervision as non-Indigenous young people and 2</w:t>
      </w:r>
      <w:r>
        <w:rPr>
          <w:rFonts w:cs="Arial"/>
        </w:rPr>
        <w:t>5</w:t>
      </w:r>
      <w:r w:rsidRPr="00892424">
        <w:rPr>
          <w:rFonts w:cs="Arial"/>
        </w:rPr>
        <w:t xml:space="preserve"> times as likely to be in juvenile detention: Australian Institute of Health and Welfare, </w:t>
      </w:r>
      <w:r w:rsidRPr="00892424">
        <w:rPr>
          <w:rFonts w:cs="Arial"/>
          <w:i/>
        </w:rPr>
        <w:t xml:space="preserve">Youth Justice in </w:t>
      </w:r>
      <w:r w:rsidRPr="00BF602B">
        <w:rPr>
          <w:rFonts w:cs="Arial"/>
          <w:i/>
        </w:rPr>
        <w:t>Australia 201</w:t>
      </w:r>
      <w:r>
        <w:rPr>
          <w:rFonts w:cs="Arial"/>
          <w:i/>
        </w:rPr>
        <w:t>5</w:t>
      </w:r>
      <w:r w:rsidRPr="00BF602B">
        <w:rPr>
          <w:rFonts w:cs="Arial"/>
          <w:i/>
        </w:rPr>
        <w:t>–1</w:t>
      </w:r>
      <w:r>
        <w:rPr>
          <w:rFonts w:cs="Arial"/>
          <w:i/>
        </w:rPr>
        <w:t>6</w:t>
      </w:r>
      <w:r>
        <w:rPr>
          <w:rFonts w:cs="Arial"/>
        </w:rPr>
        <w:t xml:space="preserve"> (March 2017), 2</w:t>
      </w:r>
      <w:r w:rsidRPr="00BF602B">
        <w:rPr>
          <w:rFonts w:cs="Arial"/>
        </w:rPr>
        <w:t>. At</w:t>
      </w:r>
      <w:hyperlink r:id="rId18" w:history="1">
        <w:r w:rsidRPr="00940AAC">
          <w:rPr>
            <w:rStyle w:val="Hyperlink"/>
            <w:rFonts w:cs="Arial"/>
          </w:rPr>
          <w:t>https://www.aihw.gov.au/getmedia/b85be60c-9fef-436d-85df-82d8e5c5f566/20705.pdf.aspx?inline=true</w:t>
        </w:r>
      </w:hyperlink>
      <w:r>
        <w:rPr>
          <w:rFonts w:cs="Arial"/>
        </w:rPr>
        <w:t xml:space="preserve"> (viewed 11 September 2017). </w:t>
      </w:r>
    </w:p>
  </w:endnote>
  <w:endnote w:id="14">
    <w:p w14:paraId="47AEA061" w14:textId="77777777" w:rsidR="003126E0" w:rsidRPr="00892424" w:rsidRDefault="003126E0" w:rsidP="00532B69">
      <w:pPr>
        <w:pStyle w:val="EndnoteText"/>
        <w:rPr>
          <w:rFonts w:cs="Arial"/>
        </w:rPr>
      </w:pPr>
      <w:r w:rsidRPr="00BF602B">
        <w:rPr>
          <w:rStyle w:val="EndnoteReference"/>
          <w:rFonts w:cs="Arial"/>
        </w:rPr>
        <w:endnoteRef/>
      </w:r>
      <w:r w:rsidRPr="00BF602B">
        <w:rPr>
          <w:rFonts w:cs="Arial"/>
        </w:rPr>
        <w:t xml:space="preserve"> Australian Bureau of Statistics, </w:t>
      </w:r>
      <w:r w:rsidRPr="00BF602B">
        <w:rPr>
          <w:rFonts w:cs="Arial"/>
          <w:i/>
        </w:rPr>
        <w:t>Profiles of Disability, Australia, 2009</w:t>
      </w:r>
      <w:r w:rsidRPr="00BF602B">
        <w:rPr>
          <w:rFonts w:cs="Arial"/>
        </w:rPr>
        <w:t>,</w:t>
      </w:r>
      <w:r w:rsidRPr="00BF602B">
        <w:rPr>
          <w:rFonts w:cs="Arial"/>
          <w:i/>
        </w:rPr>
        <w:t xml:space="preserve"> </w:t>
      </w:r>
      <w:r w:rsidRPr="00BF602B">
        <w:rPr>
          <w:rFonts w:cs="Arial"/>
        </w:rPr>
        <w:t>Comparison</w:t>
      </w:r>
      <w:r w:rsidRPr="008E47B0">
        <w:rPr>
          <w:rFonts w:cs="Arial"/>
        </w:rPr>
        <w:t xml:space="preserve"> of Disability Prevalence between Aboriginal and Torres Strait Islander Peoples and Non-Indigenous Peoples (2013). At </w:t>
      </w:r>
      <w:r w:rsidRPr="008E47B0" w:rsidDel="00356DCD">
        <w:rPr>
          <w:rFonts w:cs="Arial"/>
        </w:rPr>
        <w:t xml:space="preserve"> </w:t>
      </w:r>
      <w:hyperlink r:id="rId19" w:history="1">
        <w:r w:rsidRPr="00BF602B">
          <w:rPr>
            <w:rStyle w:val="Hyperlink"/>
            <w:rFonts w:cs="Arial"/>
          </w:rPr>
          <w:t>http://www.abs.gov.au/ausstats/abs@.nsf/Lookup/by%20Subject/4429.0~2009~Main%20Features~Comparison%20of%20disability%20prevalence%20between%20Aboriginal%20and%20Torres%20Strait%20Islander%20peoples%20and%20non-Indigenous%20peoples~10029</w:t>
        </w:r>
      </w:hyperlink>
      <w:r w:rsidRPr="00AD06FB">
        <w:rPr>
          <w:rFonts w:cs="Arial"/>
        </w:rPr>
        <w:t xml:space="preserve"> </w:t>
      </w:r>
      <w:r>
        <w:rPr>
          <w:lang w:val="en-US"/>
        </w:rPr>
        <w:t>(</w:t>
      </w:r>
      <w:r w:rsidRPr="00BF602B">
        <w:rPr>
          <w:rFonts w:cs="Arial"/>
        </w:rPr>
        <w:t xml:space="preserve">viewed </w:t>
      </w:r>
      <w:r>
        <w:rPr>
          <w:rFonts w:cs="Arial"/>
        </w:rPr>
        <w:t>11 September 2017</w:t>
      </w:r>
      <w:r>
        <w:rPr>
          <w:lang w:val="en-US"/>
        </w:rPr>
        <w:t xml:space="preserve">). </w:t>
      </w:r>
      <w:r>
        <w:rPr>
          <w:rFonts w:cs="Arial"/>
          <w:iCs/>
        </w:rPr>
        <w:t>Australian Human Rights Commission</w:t>
      </w:r>
      <w:r>
        <w:rPr>
          <w:rFonts w:cs="Arial"/>
          <w:i/>
          <w:iCs/>
        </w:rPr>
        <w:t>, Equal Before the Law: Towards disability justice strategies</w:t>
      </w:r>
      <w:r>
        <w:rPr>
          <w:rFonts w:cs="Arial"/>
          <w:iCs/>
        </w:rPr>
        <w:t xml:space="preserve"> (2014) 12-13. At </w:t>
      </w:r>
      <w:hyperlink r:id="rId20" w:history="1">
        <w:r>
          <w:rPr>
            <w:rStyle w:val="Hyperlink"/>
            <w:rFonts w:cs="Arial"/>
          </w:rPr>
          <w:t>https://www.humanrights.gov.au/our-work/disability-rights/publications/equal-law</w:t>
        </w:r>
      </w:hyperlink>
      <w:r>
        <w:rPr>
          <w:rFonts w:cs="Arial"/>
        </w:rPr>
        <w:t xml:space="preserve"> </w:t>
      </w:r>
      <w:r>
        <w:rPr>
          <w:rFonts w:cs="Arial"/>
          <w:iCs/>
        </w:rPr>
        <w:t>(</w:t>
      </w:r>
      <w:r w:rsidRPr="00BF602B">
        <w:rPr>
          <w:rFonts w:cs="Arial"/>
        </w:rPr>
        <w:t xml:space="preserve">viewed </w:t>
      </w:r>
      <w:r>
        <w:rPr>
          <w:rFonts w:cs="Arial"/>
        </w:rPr>
        <w:t>11 September 2017</w:t>
      </w:r>
      <w:r>
        <w:rPr>
          <w:rFonts w:cs="Arial"/>
          <w:iCs/>
        </w:rPr>
        <w:t xml:space="preserve">). </w:t>
      </w:r>
      <w:r>
        <w:t>E Baldry, R McCausland, L Dowse, E</w:t>
      </w:r>
      <w:r w:rsidRPr="003673AF">
        <w:t xml:space="preserve"> McEntyre</w:t>
      </w:r>
      <w:r>
        <w:t xml:space="preserve">, </w:t>
      </w:r>
      <w:r w:rsidRPr="003673AF">
        <w:rPr>
          <w:i/>
        </w:rPr>
        <w:t>A predictable and preventable path: IAMHDCD Report</w:t>
      </w:r>
      <w:r>
        <w:t xml:space="preserve"> (UNSW, October 2015). At </w:t>
      </w:r>
      <w:hyperlink r:id="rId21" w:history="1">
        <w:r w:rsidRPr="00F90B0F">
          <w:rPr>
            <w:rStyle w:val="Hyperlink"/>
          </w:rPr>
          <w:t>https://www.mhdcd.unsw.edu.au/a-predictable-and-preventable-path-iamhdcd-report.html</w:t>
        </w:r>
      </w:hyperlink>
      <w:r>
        <w:t xml:space="preserve"> (</w:t>
      </w:r>
      <w:r w:rsidRPr="00BF602B">
        <w:rPr>
          <w:rFonts w:cs="Arial"/>
        </w:rPr>
        <w:t xml:space="preserve">viewed </w:t>
      </w:r>
      <w:r>
        <w:rPr>
          <w:rFonts w:cs="Arial"/>
        </w:rPr>
        <w:t>11 September 2017</w:t>
      </w:r>
      <w:r>
        <w:t>).</w:t>
      </w:r>
    </w:p>
  </w:endnote>
  <w:endnote w:id="15">
    <w:p w14:paraId="114B73F2" w14:textId="61B452E3" w:rsidR="003126E0" w:rsidRPr="00892424" w:rsidRDefault="003126E0" w:rsidP="00532B69">
      <w:pPr>
        <w:pStyle w:val="EndnoteText"/>
        <w:rPr>
          <w:rFonts w:cs="Arial"/>
        </w:rPr>
      </w:pPr>
      <w:r w:rsidRPr="00892424">
        <w:rPr>
          <w:rStyle w:val="EndnoteReference"/>
          <w:rFonts w:cs="Arial"/>
        </w:rPr>
        <w:endnoteRef/>
      </w:r>
      <w:r w:rsidRPr="00892424">
        <w:rPr>
          <w:rFonts w:cs="Arial"/>
        </w:rPr>
        <w:t xml:space="preserve"> </w:t>
      </w:r>
      <w:r>
        <w:t>Aboriginal and Torres Strait Islander youth aged between 10-17 years make up more than half (55%) of all children in juvenile detention.</w:t>
      </w:r>
      <w:r w:rsidRPr="00892424">
        <w:rPr>
          <w:rFonts w:cs="Arial"/>
        </w:rPr>
        <w:t xml:space="preserve"> </w:t>
      </w:r>
      <w:r>
        <w:rPr>
          <w:rFonts w:cs="Arial"/>
        </w:rPr>
        <w:t xml:space="preserve">See </w:t>
      </w:r>
      <w:r w:rsidRPr="005B4472">
        <w:rPr>
          <w:rFonts w:cs="Arial"/>
        </w:rPr>
        <w:t xml:space="preserve">Australian Institute of Health and Welfare, </w:t>
      </w:r>
      <w:r w:rsidRPr="006E617B">
        <w:rPr>
          <w:rFonts w:cs="Arial"/>
          <w:i/>
        </w:rPr>
        <w:t>Youth detention population in Australia</w:t>
      </w:r>
      <w:r w:rsidRPr="005B4472">
        <w:rPr>
          <w:rFonts w:cs="Arial"/>
        </w:rPr>
        <w:t xml:space="preserve"> </w:t>
      </w:r>
      <w:r>
        <w:rPr>
          <w:rFonts w:cs="Arial"/>
        </w:rPr>
        <w:t>(</w:t>
      </w:r>
      <w:r w:rsidRPr="005B4472">
        <w:rPr>
          <w:rFonts w:cs="Arial"/>
        </w:rPr>
        <w:t>2016</w:t>
      </w:r>
      <w:r>
        <w:rPr>
          <w:rFonts w:cs="Arial"/>
        </w:rPr>
        <w:t>). At</w:t>
      </w:r>
      <w:r w:rsidRPr="005B4472">
        <w:rPr>
          <w:rFonts w:cs="Arial"/>
        </w:rPr>
        <w:t xml:space="preserve"> </w:t>
      </w:r>
      <w:hyperlink r:id="rId22" w:history="1">
        <w:r w:rsidRPr="005B4472">
          <w:rPr>
            <w:rStyle w:val="Hyperlink"/>
            <w:rFonts w:cs="Arial"/>
          </w:rPr>
          <w:t>http://www.aihw.gov.au/publication-detail/?id=60129557387&amp;tab=2</w:t>
        </w:r>
      </w:hyperlink>
      <w:r>
        <w:rPr>
          <w:rFonts w:cs="Arial"/>
        </w:rPr>
        <w:t xml:space="preserve"> (viewed 11 September 2017). I</w:t>
      </w:r>
      <w:r w:rsidRPr="00892424">
        <w:rPr>
          <w:rFonts w:cs="Arial"/>
        </w:rPr>
        <w:t xml:space="preserve">n her country visit to Australia in 2017, the Special Rapporteur for the rights of indigenous peoples found that in Cleveland Youth Detention Centre in Townsville, Queensland, Aboriginal and Torres Strait Islander children constitute 95% of the children detained there. </w:t>
      </w:r>
      <w:r w:rsidRPr="00CC24E1">
        <w:rPr>
          <w:rFonts w:cs="Arial"/>
        </w:rPr>
        <w:t xml:space="preserve">See </w:t>
      </w:r>
      <w:r w:rsidRPr="006E617B">
        <w:t>Victoria Tauli-Corpuz</w:t>
      </w:r>
      <w:r>
        <w:t>,</w:t>
      </w:r>
      <w:r w:rsidRPr="006E617B">
        <w:t xml:space="preserve"> </w:t>
      </w:r>
      <w:r>
        <w:t xml:space="preserve">United Nations Special Rapporteur on the rights of indigenous peoples, </w:t>
      </w:r>
      <w:r>
        <w:rPr>
          <w:i/>
        </w:rPr>
        <w:t xml:space="preserve">End of Mission Statement by the United Nations Special Rapporteur on the rights of indigenous peoples, Victoria Tauli-Corpuz on her visit to Australia </w:t>
      </w:r>
      <w:r>
        <w:t xml:space="preserve">(2017). At </w:t>
      </w:r>
      <w:hyperlink r:id="rId23" w:history="1">
        <w:r w:rsidRPr="006D18FC">
          <w:rPr>
            <w:rStyle w:val="Hyperlink"/>
          </w:rPr>
          <w:t>http://www.ohchr.org/EN/NewsEvents/Pages/DisplayNews.aspx?NewsID=21473&amp;LangID=E</w:t>
        </w:r>
      </w:hyperlink>
      <w:r>
        <w:t xml:space="preserve"> (viewed 11 September 2017).</w:t>
      </w:r>
    </w:p>
  </w:endnote>
  <w:endnote w:id="16">
    <w:p w14:paraId="16ABC210" w14:textId="77777777" w:rsidR="003126E0" w:rsidRPr="005B4472" w:rsidRDefault="003126E0" w:rsidP="00760785">
      <w:pPr>
        <w:pStyle w:val="EndnoteText"/>
        <w:rPr>
          <w:rFonts w:cs="Arial"/>
        </w:rPr>
      </w:pPr>
      <w:r w:rsidRPr="005B4472">
        <w:rPr>
          <w:rStyle w:val="EndnoteReference"/>
          <w:rFonts w:cs="Arial"/>
        </w:rPr>
        <w:endnoteRef/>
      </w:r>
      <w:r w:rsidRPr="005B4472">
        <w:rPr>
          <w:rFonts w:cs="Arial"/>
        </w:rPr>
        <w:t xml:space="preserve"> Productivity Commission, </w:t>
      </w:r>
      <w:r w:rsidRPr="005B4472">
        <w:rPr>
          <w:rFonts w:cs="Arial"/>
          <w:i/>
        </w:rPr>
        <w:t>Report on Government Services 2017</w:t>
      </w:r>
      <w:r w:rsidRPr="005B4472">
        <w:rPr>
          <w:rFonts w:cs="Arial"/>
        </w:rPr>
        <w:t xml:space="preserve">, Vol C: Justice, Steering Committee for the Review of Government Service Provision (2017) 6.13; First Peoples Disability Justice Consortium, Submission 39 to the Senate Standing Committee on Community Affairs, Parliament of Australia, </w:t>
      </w:r>
      <w:r w:rsidRPr="005B4472">
        <w:rPr>
          <w:rFonts w:cs="Arial"/>
          <w:i/>
        </w:rPr>
        <w:t>Inquiry on the Indefinite Detention of People with Cognitive and Psychiatric Impairment in Australia</w:t>
      </w:r>
      <w:r w:rsidRPr="005B4472">
        <w:rPr>
          <w:rFonts w:cs="Arial"/>
        </w:rPr>
        <w:t>.</w:t>
      </w:r>
    </w:p>
  </w:endnote>
  <w:endnote w:id="17">
    <w:p w14:paraId="5640ADA9" w14:textId="77777777" w:rsidR="003126E0" w:rsidRPr="00892424" w:rsidRDefault="003126E0" w:rsidP="004A2C04">
      <w:pPr>
        <w:pStyle w:val="EndnoteText"/>
        <w:rPr>
          <w:rFonts w:cs="Arial"/>
        </w:rPr>
      </w:pPr>
      <w:r w:rsidRPr="004A2C04">
        <w:rPr>
          <w:rStyle w:val="EndnoteReference"/>
          <w:rFonts w:cs="Arial"/>
        </w:rPr>
        <w:endnoteRef/>
      </w:r>
      <w:r w:rsidRPr="004A2C04">
        <w:rPr>
          <w:rFonts w:cs="Arial"/>
        </w:rPr>
        <w:t xml:space="preserve"> </w:t>
      </w:r>
      <w:r w:rsidRPr="007310C6">
        <w:rPr>
          <w:rFonts w:cs="Arial"/>
          <w:i/>
        </w:rPr>
        <w:t>Police Administration Act</w:t>
      </w:r>
      <w:r w:rsidRPr="007310C6">
        <w:rPr>
          <w:rFonts w:cs="Arial"/>
        </w:rPr>
        <w:t xml:space="preserve"> (NT</w:t>
      </w:r>
      <w:r w:rsidRPr="004A2C04">
        <w:rPr>
          <w:rFonts w:cs="Arial"/>
        </w:rPr>
        <w:t>)</w:t>
      </w:r>
      <w:r>
        <w:rPr>
          <w:rFonts w:cs="Arial"/>
        </w:rPr>
        <w:t>, Div 4AA.</w:t>
      </w:r>
    </w:p>
  </w:endnote>
  <w:endnote w:id="18">
    <w:p w14:paraId="0A532209" w14:textId="2581E103" w:rsidR="003126E0" w:rsidRPr="00892424" w:rsidRDefault="003126E0" w:rsidP="00532B69">
      <w:pPr>
        <w:pStyle w:val="EndnoteText"/>
        <w:rPr>
          <w:rFonts w:cs="Arial"/>
        </w:rPr>
      </w:pPr>
      <w:r w:rsidRPr="00892424">
        <w:rPr>
          <w:rStyle w:val="EndnoteReference"/>
          <w:rFonts w:cs="Arial"/>
        </w:rPr>
        <w:endnoteRef/>
      </w:r>
      <w:r w:rsidRPr="00892424">
        <w:rPr>
          <w:rFonts w:cs="Arial"/>
        </w:rPr>
        <w:t xml:space="preserve"> </w:t>
      </w:r>
      <w:r w:rsidRPr="002D2AC4">
        <w:t>Victoria Tauli-Corpuz</w:t>
      </w:r>
      <w:r>
        <w:t>,</w:t>
      </w:r>
      <w:r w:rsidRPr="002D2AC4">
        <w:t xml:space="preserve"> </w:t>
      </w:r>
      <w:r>
        <w:t xml:space="preserve">United Nations Special Rapporteur on the rights of indigenous peoples, </w:t>
      </w:r>
      <w:r>
        <w:rPr>
          <w:i/>
        </w:rPr>
        <w:t xml:space="preserve">End of Mission Statement by the United Nations Special Rapporteur on the rights of indigenous peoples, Victoria Tauli-Corpuz on her visit to Australia </w:t>
      </w:r>
      <w:r>
        <w:t xml:space="preserve">(2017). At </w:t>
      </w:r>
      <w:hyperlink r:id="rId24" w:history="1">
        <w:r w:rsidRPr="006D18FC">
          <w:rPr>
            <w:rStyle w:val="Hyperlink"/>
          </w:rPr>
          <w:t>http://www.ohchr.org/EN/NewsEvents/Pages/DisplayNews.aspx?NewsID=21473&amp;LangID=E</w:t>
        </w:r>
      </w:hyperlink>
      <w:r>
        <w:t xml:space="preserve"> (viewed 11 September 2017).</w:t>
      </w:r>
    </w:p>
  </w:endnote>
  <w:endnote w:id="19">
    <w:p w14:paraId="324D6D7D" w14:textId="43BB6259" w:rsidR="003126E0" w:rsidRPr="00892424" w:rsidRDefault="003126E0" w:rsidP="00532B69">
      <w:pPr>
        <w:pStyle w:val="EndnoteText"/>
        <w:rPr>
          <w:rFonts w:cs="Arial"/>
        </w:rPr>
      </w:pPr>
      <w:r w:rsidRPr="00892424">
        <w:rPr>
          <w:rStyle w:val="EndnoteReference"/>
          <w:rFonts w:cs="Arial"/>
        </w:rPr>
        <w:endnoteRef/>
      </w:r>
      <w:r w:rsidRPr="00892424">
        <w:rPr>
          <w:rFonts w:cs="Arial"/>
        </w:rPr>
        <w:t xml:space="preserve"> </w:t>
      </w:r>
      <w:r w:rsidRPr="002D2AC4">
        <w:t>Victoria Tauli-Corpuz</w:t>
      </w:r>
      <w:r>
        <w:t>,</w:t>
      </w:r>
      <w:r w:rsidRPr="002D2AC4">
        <w:t xml:space="preserve"> </w:t>
      </w:r>
      <w:r>
        <w:t xml:space="preserve">United Nations Special Rapporteur on the rights of indigenous peoples, </w:t>
      </w:r>
      <w:r>
        <w:rPr>
          <w:i/>
        </w:rPr>
        <w:t xml:space="preserve">End of Mission Statement by the United Nations Special Rapporteur on the rights of indigenous peoples, Victoria Tauli-Corpuz on her visit to Australia </w:t>
      </w:r>
      <w:r>
        <w:t xml:space="preserve">(2017). At </w:t>
      </w:r>
      <w:hyperlink r:id="rId25" w:history="1">
        <w:r w:rsidRPr="006D18FC">
          <w:rPr>
            <w:rStyle w:val="Hyperlink"/>
          </w:rPr>
          <w:t>http://www.ohchr.org/EN/NewsEvents/Pages/DisplayNews.aspx?NewsID=21473&amp;LangID=E</w:t>
        </w:r>
      </w:hyperlink>
      <w:r>
        <w:t xml:space="preserve"> (viewed 11 September 2017).</w:t>
      </w:r>
    </w:p>
  </w:endnote>
  <w:endnote w:id="20">
    <w:p w14:paraId="5F6E336B" w14:textId="77777777" w:rsidR="003126E0" w:rsidRPr="00892424" w:rsidRDefault="003126E0" w:rsidP="000C722E">
      <w:pPr>
        <w:pStyle w:val="EndnoteText"/>
        <w:rPr>
          <w:rFonts w:cs="Arial"/>
        </w:rPr>
      </w:pPr>
      <w:r w:rsidRPr="00892424">
        <w:rPr>
          <w:rStyle w:val="EndnoteReference"/>
          <w:rFonts w:cs="Arial"/>
        </w:rPr>
        <w:endnoteRef/>
      </w:r>
      <w:r w:rsidRPr="00892424">
        <w:rPr>
          <w:rFonts w:cs="Arial"/>
        </w:rPr>
        <w:t xml:space="preserve"> In 2014, the Commission inquired into complaints by four Aboriginal men with intellectual and cognitive disabilities who had been incarcerated for a number of years despite being found unfit to stand trial or not guilty by reason of insanity. See </w:t>
      </w:r>
      <w:r w:rsidRPr="00892424">
        <w:rPr>
          <w:rFonts w:cs="Arial"/>
          <w:i/>
        </w:rPr>
        <w:t>KA, KB, KC and KD v Commonwealth of Australia</w:t>
      </w:r>
      <w:r w:rsidRPr="00892424">
        <w:rPr>
          <w:rFonts w:cs="Arial"/>
        </w:rPr>
        <w:t xml:space="preserve"> [2014] AusHRC 80. At </w:t>
      </w:r>
      <w:hyperlink r:id="rId26" w:history="1">
        <w:r w:rsidRPr="00892424">
          <w:rPr>
            <w:rStyle w:val="Hyperlink"/>
            <w:rFonts w:cs="Arial"/>
          </w:rPr>
          <w:t>https://www.humanrights.gov.au/our-work/legal/publications/ka-kb-kc-and-kd-v-commonwealth-australia</w:t>
        </w:r>
      </w:hyperlink>
      <w:r w:rsidRPr="00892424">
        <w:rPr>
          <w:rFonts w:cs="Arial"/>
        </w:rPr>
        <w:t xml:space="preserve"> (</w:t>
      </w:r>
      <w:r w:rsidRPr="00BF602B">
        <w:rPr>
          <w:rFonts w:cs="Arial"/>
        </w:rPr>
        <w:t xml:space="preserve">viewed </w:t>
      </w:r>
      <w:r>
        <w:rPr>
          <w:rFonts w:cs="Arial"/>
        </w:rPr>
        <w:t>11 September 2017</w:t>
      </w:r>
      <w:r w:rsidRPr="00892424">
        <w:rPr>
          <w:rFonts w:cs="Arial"/>
        </w:rPr>
        <w:t>).</w:t>
      </w:r>
      <w:r>
        <w:rPr>
          <w:rFonts w:cs="Arial"/>
        </w:rPr>
        <w:t xml:space="preserve"> </w:t>
      </w:r>
      <w:r w:rsidRPr="00892424">
        <w:rPr>
          <w:rFonts w:cs="Arial"/>
        </w:rPr>
        <w:t xml:space="preserve">The Aboriginal Disability Justice Campaign advocates for progress in relation to the indefinite incarceration of Aboriginal people with intellectual and cognitive disabilities. People with Disability Australia, </w:t>
      </w:r>
      <w:r w:rsidRPr="00892424">
        <w:rPr>
          <w:rFonts w:cs="Arial"/>
          <w:i/>
        </w:rPr>
        <w:t>Aboriginal Disability Justice Campaign</w:t>
      </w:r>
      <w:r w:rsidRPr="00892424">
        <w:rPr>
          <w:rFonts w:cs="Arial"/>
        </w:rPr>
        <w:t xml:space="preserve"> (2015). At </w:t>
      </w:r>
      <w:hyperlink r:id="rId27" w:history="1">
        <w:r w:rsidRPr="00940AAC">
          <w:rPr>
            <w:rStyle w:val="Hyperlink"/>
            <w:rFonts w:cs="Arial"/>
          </w:rPr>
          <w:t>http://www.pwd.org.au/about-us/about-pwda.html</w:t>
        </w:r>
      </w:hyperlink>
      <w:r>
        <w:rPr>
          <w:rFonts w:cs="Arial"/>
        </w:rPr>
        <w:t xml:space="preserve"> </w:t>
      </w:r>
      <w:r w:rsidRPr="00892424">
        <w:rPr>
          <w:rFonts w:cs="Arial"/>
        </w:rPr>
        <w:t xml:space="preserve">(viewed </w:t>
      </w:r>
      <w:r>
        <w:rPr>
          <w:rFonts w:cs="Arial"/>
        </w:rPr>
        <w:t>11 September 2017</w:t>
      </w:r>
      <w:r w:rsidRPr="00892424">
        <w:rPr>
          <w:rFonts w:cs="Arial"/>
        </w:rPr>
        <w:t>)</w:t>
      </w:r>
      <w:r>
        <w:rPr>
          <w:rFonts w:cs="Arial"/>
        </w:rPr>
        <w:t>.</w:t>
      </w:r>
    </w:p>
  </w:endnote>
  <w:endnote w:id="21">
    <w:p w14:paraId="21B77600" w14:textId="77777777" w:rsidR="003126E0" w:rsidRDefault="003126E0" w:rsidP="00CF249D">
      <w:pPr>
        <w:pStyle w:val="EndnoteText"/>
      </w:pPr>
      <w:r>
        <w:rPr>
          <w:rStyle w:val="EndnoteReference"/>
        </w:rPr>
        <w:endnoteRef/>
      </w:r>
      <w:r>
        <w:t xml:space="preserve"> </w:t>
      </w:r>
      <w:r w:rsidRPr="00892424">
        <w:rPr>
          <w:rFonts w:cs="Arial"/>
        </w:rPr>
        <w:t xml:space="preserve">Australian Human Rights Commission, </w:t>
      </w:r>
      <w:r w:rsidRPr="00892424">
        <w:rPr>
          <w:rFonts w:cs="Arial"/>
          <w:i/>
        </w:rPr>
        <w:t>Social Justice and Native Title Report 201</w:t>
      </w:r>
      <w:r>
        <w:rPr>
          <w:rFonts w:cs="Arial"/>
          <w:i/>
        </w:rPr>
        <w:t>6</w:t>
      </w:r>
      <w:r>
        <w:rPr>
          <w:rFonts w:cs="Arial"/>
        </w:rPr>
        <w:t xml:space="preserve"> (2016), 42-45.</w:t>
      </w:r>
      <w:r w:rsidRPr="00892424">
        <w:rPr>
          <w:rFonts w:cs="Arial"/>
        </w:rPr>
        <w:t xml:space="preserve"> At </w:t>
      </w:r>
      <w:hyperlink r:id="rId28" w:history="1">
        <w:r w:rsidRPr="00802685">
          <w:rPr>
            <w:rStyle w:val="Hyperlink"/>
          </w:rPr>
          <w:t>http://www.humanrights.gov.au/sites/default/files/document/publication/AHRC_SJNTR_2016.pdf</w:t>
        </w:r>
      </w:hyperlink>
      <w:r>
        <w:t xml:space="preserve"> (</w:t>
      </w:r>
      <w:r w:rsidRPr="00BF602B">
        <w:rPr>
          <w:rFonts w:cs="Arial"/>
        </w:rPr>
        <w:t xml:space="preserve">viewed </w:t>
      </w:r>
      <w:r>
        <w:rPr>
          <w:rFonts w:cs="Arial"/>
        </w:rPr>
        <w:t>11 September 2017</w:t>
      </w:r>
      <w:r>
        <w:t xml:space="preserve">). </w:t>
      </w:r>
    </w:p>
  </w:endnote>
  <w:endnote w:id="22">
    <w:p w14:paraId="1636A795" w14:textId="06B8BD4A" w:rsidR="003126E0" w:rsidRPr="00892424" w:rsidRDefault="003126E0" w:rsidP="00532B69">
      <w:pPr>
        <w:pStyle w:val="EndnoteText"/>
        <w:rPr>
          <w:rFonts w:cs="Arial"/>
        </w:rPr>
      </w:pPr>
      <w:r w:rsidRPr="00892424">
        <w:rPr>
          <w:rStyle w:val="EndnoteReference"/>
          <w:rFonts w:cs="Arial"/>
        </w:rPr>
        <w:endnoteRef/>
      </w:r>
      <w:r w:rsidRPr="00892424">
        <w:rPr>
          <w:rFonts w:cs="Arial"/>
        </w:rPr>
        <w:t xml:space="preserve"> </w:t>
      </w:r>
      <w:r>
        <w:rPr>
          <w:rFonts w:cs="Arial"/>
        </w:rPr>
        <w:t xml:space="preserve">Australian Law Reform Commission, </w:t>
      </w:r>
      <w:r w:rsidRPr="00C6719E">
        <w:rPr>
          <w:i/>
        </w:rPr>
        <w:t>Incarceration rates of Aboriginal and Torres Strait Islander peoples</w:t>
      </w:r>
      <w:r>
        <w:t xml:space="preserve">. At </w:t>
      </w:r>
      <w:hyperlink r:id="rId29" w:history="1">
        <w:r w:rsidRPr="00892424">
          <w:rPr>
            <w:rStyle w:val="Hyperlink"/>
            <w:rFonts w:cs="Arial"/>
          </w:rPr>
          <w:t>https://www.alrc.gov.au/inquiries/indigenous-incarceration</w:t>
        </w:r>
      </w:hyperlink>
      <w:r w:rsidRPr="00892424">
        <w:rPr>
          <w:rFonts w:cs="Arial"/>
        </w:rPr>
        <w:t xml:space="preserve"> </w:t>
      </w:r>
      <w:r>
        <w:rPr>
          <w:rFonts w:cs="Arial"/>
        </w:rPr>
        <w:t>(</w:t>
      </w:r>
      <w:r w:rsidRPr="00BF602B">
        <w:rPr>
          <w:rFonts w:cs="Arial"/>
        </w:rPr>
        <w:t xml:space="preserve">viewed </w:t>
      </w:r>
      <w:r>
        <w:rPr>
          <w:rFonts w:cs="Arial"/>
        </w:rPr>
        <w:t>11 September 2017).</w:t>
      </w:r>
    </w:p>
  </w:endnote>
  <w:endnote w:id="23">
    <w:p w14:paraId="49C7C0D7" w14:textId="25B2A03B" w:rsidR="003126E0" w:rsidRPr="00892424" w:rsidRDefault="003126E0" w:rsidP="00532B69">
      <w:pPr>
        <w:pStyle w:val="EndnoteText"/>
        <w:rPr>
          <w:rFonts w:cs="Arial"/>
          <w:highlight w:val="yellow"/>
        </w:rPr>
      </w:pPr>
      <w:r w:rsidRPr="00892424">
        <w:rPr>
          <w:rStyle w:val="EndnoteReference"/>
          <w:rFonts w:cs="Arial"/>
        </w:rPr>
        <w:endnoteRef/>
      </w:r>
      <w:r w:rsidRPr="00892424">
        <w:rPr>
          <w:rFonts w:cs="Arial"/>
        </w:rPr>
        <w:t xml:space="preserve"> Justice targets refer to targets to address the overrepresentation of Aboriginal and Torres Strait Islander peoples as both offenders and victims in the criminal justice system. It has been recommended by the National Congress of Australia’s First Peoples that targets be set to halve the gap in rates of incarceration for Aboriginal and Torres Strait Islander people</w:t>
      </w:r>
      <w:r>
        <w:rPr>
          <w:rFonts w:cs="Arial"/>
        </w:rPr>
        <w:t>s</w:t>
      </w:r>
      <w:r w:rsidRPr="00892424">
        <w:rPr>
          <w:rFonts w:cs="Arial"/>
        </w:rPr>
        <w:t xml:space="preserve">. Proposed justice targets could be included in the existing Close the Gap framework. The </w:t>
      </w:r>
      <w:r>
        <w:rPr>
          <w:rFonts w:cs="Arial"/>
        </w:rPr>
        <w:t>Australian G</w:t>
      </w:r>
      <w:r w:rsidRPr="00892424">
        <w:rPr>
          <w:rFonts w:cs="Arial"/>
        </w:rPr>
        <w:t xml:space="preserve">overnment has stated that it rejects the adoption of justice-related targets. See Aboriginal and Torres Strait Islander Social Justice Commissioner, </w:t>
      </w:r>
      <w:r w:rsidRPr="00892424">
        <w:rPr>
          <w:rFonts w:cs="Arial"/>
          <w:i/>
        </w:rPr>
        <w:t>Social Justice and Native Title Report 2014</w:t>
      </w:r>
      <w:r w:rsidRPr="00892424">
        <w:rPr>
          <w:rFonts w:cs="Arial"/>
        </w:rPr>
        <w:t xml:space="preserve"> (2014), 117-123. At </w:t>
      </w:r>
      <w:hyperlink r:id="rId30" w:history="1">
        <w:r w:rsidRPr="00892424">
          <w:rPr>
            <w:rStyle w:val="Hyperlink"/>
            <w:rFonts w:cs="Arial"/>
          </w:rPr>
          <w:t>https://www.humanrights.gov.au/publications/social-justice-and-native-title-report-2014</w:t>
        </w:r>
      </w:hyperlink>
      <w:r w:rsidRPr="00892424">
        <w:rPr>
          <w:rFonts w:cs="Arial"/>
        </w:rPr>
        <w:t xml:space="preserve"> (</w:t>
      </w:r>
      <w:r w:rsidRPr="00BF602B">
        <w:rPr>
          <w:rFonts w:cs="Arial"/>
        </w:rPr>
        <w:t xml:space="preserve">viewed </w:t>
      </w:r>
      <w:r>
        <w:rPr>
          <w:rFonts w:cs="Arial"/>
        </w:rPr>
        <w:t>11 September 2017</w:t>
      </w:r>
      <w:r w:rsidRPr="00892424">
        <w:rPr>
          <w:rFonts w:cs="Arial"/>
        </w:rPr>
        <w:t xml:space="preserve">). </w:t>
      </w:r>
    </w:p>
  </w:endnote>
  <w:endnote w:id="24">
    <w:p w14:paraId="0F3DDD69" w14:textId="22453595" w:rsidR="003126E0" w:rsidRPr="008E47B0" w:rsidRDefault="003126E0" w:rsidP="00532B69">
      <w:pPr>
        <w:pStyle w:val="EndnoteText"/>
        <w:rPr>
          <w:rFonts w:cs="Arial"/>
        </w:rPr>
      </w:pPr>
      <w:r w:rsidRPr="00892424">
        <w:rPr>
          <w:rStyle w:val="EndnoteReference"/>
          <w:rFonts w:cs="Arial"/>
        </w:rPr>
        <w:endnoteRef/>
      </w:r>
      <w:r w:rsidRPr="00892424">
        <w:rPr>
          <w:rFonts w:cs="Arial"/>
        </w:rPr>
        <w:t xml:space="preserve"> Senate Legal and Constitutional Affairs Committee, </w:t>
      </w:r>
      <w:r w:rsidRPr="00892424">
        <w:rPr>
          <w:rFonts w:cs="Arial"/>
          <w:i/>
          <w:iCs/>
        </w:rPr>
        <w:t xml:space="preserve">Value of a justice reinvestment approach to criminal justice in Australia </w:t>
      </w:r>
      <w:r>
        <w:rPr>
          <w:rFonts w:cs="Arial"/>
        </w:rPr>
        <w:t xml:space="preserve">(2013), </w:t>
      </w:r>
      <w:r w:rsidRPr="00892424">
        <w:rPr>
          <w:rFonts w:cs="Arial"/>
        </w:rPr>
        <w:t xml:space="preserve">124. At </w:t>
      </w:r>
      <w:hyperlink r:id="rId31" w:history="1">
        <w:r w:rsidRPr="00892424">
          <w:rPr>
            <w:rStyle w:val="Hyperlink"/>
            <w:rFonts w:cs="Arial"/>
          </w:rPr>
          <w:t>http://www.aph.gov.au/Parliamentary_Business/Committees/Senate/Legal_and_Constitutional_Affairs/Completed_inquiries/2010-13/justicereinvestment/report/index</w:t>
        </w:r>
      </w:hyperlink>
      <w:r w:rsidRPr="00892424">
        <w:rPr>
          <w:rFonts w:cs="Arial"/>
        </w:rPr>
        <w:t xml:space="preserve"> (</w:t>
      </w:r>
      <w:r w:rsidRPr="00BF602B">
        <w:rPr>
          <w:rFonts w:cs="Arial"/>
        </w:rPr>
        <w:t xml:space="preserve">viewed </w:t>
      </w:r>
      <w:r>
        <w:rPr>
          <w:rFonts w:cs="Arial"/>
        </w:rPr>
        <w:t>11 September 2017</w:t>
      </w:r>
      <w:r w:rsidRPr="00892424">
        <w:rPr>
          <w:rFonts w:cs="Arial"/>
        </w:rPr>
        <w:t>)</w:t>
      </w:r>
      <w:r>
        <w:rPr>
          <w:rFonts w:cs="Arial"/>
        </w:rPr>
        <w:t xml:space="preserve">. </w:t>
      </w:r>
      <w:r w:rsidRPr="00892424">
        <w:rPr>
          <w:rFonts w:cs="Arial"/>
        </w:rPr>
        <w:t xml:space="preserve">Justice reinvestment involves diverting and reinvesting funds used for imprisonment to services that address underlying causes of crime in communities with high rates of offending. The Aboriginal and Torres Strait Islander Social Justice Commissioner has advocated for justice reinvestment over the past five years. The 2014 Social Justice and Native Title Report recommends that, ‘the Australian Government take a leadership role on justice reinvestment and works with states, territories and Aboriginal and Torres Strait Islander communities to identify further trial sites.’ Australian Human Rights Commission, </w:t>
      </w:r>
      <w:r w:rsidRPr="00892424">
        <w:rPr>
          <w:rFonts w:cs="Arial"/>
          <w:i/>
        </w:rPr>
        <w:t>Social Justice and Native Title Report 2014</w:t>
      </w:r>
      <w:r>
        <w:rPr>
          <w:rFonts w:cs="Arial"/>
        </w:rPr>
        <w:t xml:space="preserve"> (2014), </w:t>
      </w:r>
      <w:r w:rsidRPr="00892424">
        <w:rPr>
          <w:rFonts w:cs="Arial"/>
        </w:rPr>
        <w:t xml:space="preserve">12. At </w:t>
      </w:r>
      <w:hyperlink r:id="rId32" w:history="1">
        <w:r w:rsidRPr="00892424">
          <w:rPr>
            <w:rStyle w:val="Hyperlink"/>
            <w:rFonts w:cs="Arial"/>
          </w:rPr>
          <w:t>https://www.humanrights.gov.au/our-work/aboriginal-and-torres-strait-islander-social-justice/publications/social-justice-and-nati-0</w:t>
        </w:r>
      </w:hyperlink>
      <w:r w:rsidRPr="00892424">
        <w:rPr>
          <w:rFonts w:cs="Arial"/>
        </w:rPr>
        <w:t xml:space="preserve"> (viewed </w:t>
      </w:r>
      <w:r>
        <w:rPr>
          <w:rFonts w:cs="Arial"/>
        </w:rPr>
        <w:t>11 September 2017</w:t>
      </w:r>
      <w:r w:rsidRPr="00892424">
        <w:rPr>
          <w:rFonts w:cs="Arial"/>
        </w:rPr>
        <w:t>).</w:t>
      </w:r>
    </w:p>
  </w:endnote>
  <w:endnote w:id="25">
    <w:p w14:paraId="5363CECC" w14:textId="77777777" w:rsidR="003126E0" w:rsidRPr="00892424" w:rsidRDefault="003126E0" w:rsidP="00CE1313">
      <w:pPr>
        <w:pStyle w:val="EndnoteText"/>
        <w:rPr>
          <w:rFonts w:cs="Arial"/>
        </w:rPr>
      </w:pPr>
      <w:r w:rsidRPr="00892424">
        <w:rPr>
          <w:rStyle w:val="EndnoteReference"/>
          <w:rFonts w:cs="Arial"/>
        </w:rPr>
        <w:endnoteRef/>
      </w:r>
      <w:r w:rsidRPr="00892424">
        <w:rPr>
          <w:rFonts w:cs="Arial"/>
        </w:rPr>
        <w:t xml:space="preserve"> </w:t>
      </w:r>
      <w:r w:rsidRPr="005B4472">
        <w:rPr>
          <w:rFonts w:cs="Arial"/>
        </w:rPr>
        <w:t>Change the Record</w:t>
      </w:r>
      <w:r>
        <w:rPr>
          <w:rFonts w:cs="Arial"/>
        </w:rPr>
        <w:t xml:space="preserve"> Coalition</w:t>
      </w:r>
      <w:r w:rsidRPr="005B4472">
        <w:rPr>
          <w:rFonts w:cs="Arial"/>
        </w:rPr>
        <w:t xml:space="preserve">, </w:t>
      </w:r>
      <w:r w:rsidRPr="005B4472">
        <w:rPr>
          <w:rFonts w:cs="Arial"/>
          <w:i/>
        </w:rPr>
        <w:t>Blueprint for Change</w:t>
      </w:r>
      <w:r w:rsidRPr="005B4472">
        <w:rPr>
          <w:rFonts w:cs="Arial"/>
        </w:rPr>
        <w:t>, Change the Record Steering Committee (2015).</w:t>
      </w:r>
    </w:p>
  </w:endnote>
  <w:endnote w:id="26">
    <w:p w14:paraId="37015727" w14:textId="7FBC36EB" w:rsidR="003126E0" w:rsidRPr="00892424" w:rsidRDefault="003126E0" w:rsidP="00532B69">
      <w:pPr>
        <w:pStyle w:val="EndnoteText"/>
        <w:rPr>
          <w:rFonts w:cs="Arial"/>
        </w:rPr>
      </w:pPr>
      <w:r w:rsidRPr="00CC24E1">
        <w:rPr>
          <w:rStyle w:val="EndnoteReference"/>
          <w:rFonts w:cs="Arial"/>
        </w:rPr>
        <w:endnoteRef/>
      </w:r>
      <w:r w:rsidRPr="00CC24E1">
        <w:rPr>
          <w:rFonts w:cs="Arial"/>
        </w:rPr>
        <w:t xml:space="preserve"> </w:t>
      </w:r>
      <w:r w:rsidRPr="002D2AC4">
        <w:t>Victoria Tauli-Corpuz</w:t>
      </w:r>
      <w:r>
        <w:t>,</w:t>
      </w:r>
      <w:r w:rsidRPr="002D2AC4">
        <w:t xml:space="preserve"> </w:t>
      </w:r>
      <w:r>
        <w:t xml:space="preserve">United Nations Special Rapporteur on the rights of indigenous peoples, </w:t>
      </w:r>
      <w:r>
        <w:rPr>
          <w:i/>
        </w:rPr>
        <w:t xml:space="preserve">End of Mission Statement by the United Nations Special Rapporteur on the rights of indigenous peoples, Victoria Tauli-Corpuz on her visit to Australia </w:t>
      </w:r>
      <w:r>
        <w:t xml:space="preserve">(2017). At </w:t>
      </w:r>
      <w:hyperlink r:id="rId33" w:history="1">
        <w:r w:rsidRPr="006D18FC">
          <w:rPr>
            <w:rStyle w:val="Hyperlink"/>
          </w:rPr>
          <w:t>http://www.ohchr.org/EN/NewsEvents/Pages/DisplayNews.aspx?NewsID=21473&amp;LangID=E</w:t>
        </w:r>
      </w:hyperlink>
      <w:r>
        <w:t xml:space="preserve"> (viewed 11 September 2017).</w:t>
      </w:r>
    </w:p>
  </w:endnote>
  <w:endnote w:id="27">
    <w:p w14:paraId="4979545A" w14:textId="77777777" w:rsidR="003126E0" w:rsidRPr="00892424" w:rsidRDefault="003126E0" w:rsidP="004F4513">
      <w:pPr>
        <w:pStyle w:val="EndnoteText"/>
        <w:rPr>
          <w:rFonts w:cs="Arial"/>
          <w:lang w:val="en-US"/>
        </w:rPr>
      </w:pPr>
      <w:r w:rsidRPr="00892424">
        <w:rPr>
          <w:rStyle w:val="EndnoteReference"/>
          <w:rFonts w:cs="Arial"/>
        </w:rPr>
        <w:endnoteRef/>
      </w:r>
      <w:r w:rsidRPr="00892424">
        <w:rPr>
          <w:rFonts w:cs="Arial"/>
        </w:rPr>
        <w:t xml:space="preserve"> Council of Australian Government</w:t>
      </w:r>
      <w:r>
        <w:rPr>
          <w:rFonts w:cs="Arial"/>
        </w:rPr>
        <w:t>s</w:t>
      </w:r>
      <w:r w:rsidRPr="00892424">
        <w:rPr>
          <w:rFonts w:cs="Arial"/>
        </w:rPr>
        <w:t xml:space="preserve">, </w:t>
      </w:r>
      <w:r w:rsidRPr="00892424">
        <w:rPr>
          <w:rFonts w:cs="Arial"/>
          <w:i/>
        </w:rPr>
        <w:t>Investigation into Indigenous Land Administration and Use Final Report</w:t>
      </w:r>
      <w:r w:rsidRPr="00892424">
        <w:rPr>
          <w:rFonts w:cs="Arial"/>
        </w:rPr>
        <w:t xml:space="preserve">, December 2015. At </w:t>
      </w:r>
      <w:hyperlink r:id="rId34" w:history="1">
        <w:r w:rsidRPr="00892424">
          <w:rPr>
            <w:rStyle w:val="Hyperlink"/>
            <w:rFonts w:cs="Arial"/>
          </w:rPr>
          <w:t>https://www.dpmc.gov.au/sites/default/files/files/COAG_Investigation_into_Indigenous_Land_Administration_and_Use.pdf</w:t>
        </w:r>
      </w:hyperlink>
      <w:r w:rsidRPr="00892424">
        <w:rPr>
          <w:rFonts w:cs="Arial"/>
        </w:rPr>
        <w:t xml:space="preserve"> </w:t>
      </w:r>
      <w:r w:rsidRPr="00892424">
        <w:rPr>
          <w:rFonts w:cs="Arial"/>
          <w:lang w:val="en-US"/>
        </w:rPr>
        <w:t>(</w:t>
      </w:r>
      <w:r w:rsidRPr="00BF602B">
        <w:rPr>
          <w:rFonts w:cs="Arial"/>
        </w:rPr>
        <w:t xml:space="preserve">viewed </w:t>
      </w:r>
      <w:r>
        <w:rPr>
          <w:rFonts w:cs="Arial"/>
        </w:rPr>
        <w:t>11 September 2017</w:t>
      </w:r>
      <w:r w:rsidRPr="00892424">
        <w:rPr>
          <w:rFonts w:cs="Arial"/>
          <w:lang w:val="en-US"/>
        </w:rPr>
        <w:t>).</w:t>
      </w:r>
    </w:p>
  </w:endnote>
  <w:endnote w:id="28">
    <w:p w14:paraId="4EA5CAB9" w14:textId="7293E36F" w:rsidR="003126E0" w:rsidRPr="00892424" w:rsidRDefault="003126E0" w:rsidP="004F4513">
      <w:pPr>
        <w:pStyle w:val="EndnoteText"/>
        <w:rPr>
          <w:rFonts w:cs="Arial"/>
          <w:lang w:val="en-US"/>
        </w:rPr>
      </w:pPr>
      <w:r w:rsidRPr="00892424">
        <w:rPr>
          <w:rStyle w:val="EndnoteReference"/>
          <w:rFonts w:cs="Arial"/>
        </w:rPr>
        <w:endnoteRef/>
      </w:r>
      <w:r w:rsidRPr="00892424">
        <w:rPr>
          <w:rFonts w:cs="Arial"/>
        </w:rPr>
        <w:t xml:space="preserve"> Australian Law Reform Commission, </w:t>
      </w:r>
      <w:r w:rsidRPr="00892424">
        <w:rPr>
          <w:rFonts w:cs="Arial"/>
          <w:i/>
        </w:rPr>
        <w:t>Connection to Country Review of the Native Title Act 1993</w:t>
      </w:r>
      <w:r w:rsidRPr="00892424">
        <w:rPr>
          <w:rFonts w:cs="Arial"/>
        </w:rPr>
        <w:t xml:space="preserve"> (Cth), </w:t>
      </w:r>
      <w:r>
        <w:rPr>
          <w:rFonts w:cs="Arial"/>
        </w:rPr>
        <w:t>Report No 126 (</w:t>
      </w:r>
      <w:r w:rsidRPr="00892424">
        <w:rPr>
          <w:rFonts w:cs="Arial"/>
        </w:rPr>
        <w:t>2015</w:t>
      </w:r>
      <w:r>
        <w:rPr>
          <w:rFonts w:cs="Arial"/>
        </w:rPr>
        <w:t>)</w:t>
      </w:r>
      <w:r w:rsidRPr="00892424">
        <w:rPr>
          <w:rFonts w:cs="Arial"/>
        </w:rPr>
        <w:t xml:space="preserve">. At  </w:t>
      </w:r>
      <w:hyperlink r:id="rId35" w:history="1">
        <w:r w:rsidRPr="00892424">
          <w:rPr>
            <w:rStyle w:val="Hyperlink"/>
            <w:rFonts w:cs="Arial"/>
          </w:rPr>
          <w:t>https://www.alrc.gov.au/sites/default/files/pdfs/publications/alrc_126_final_report.pdf</w:t>
        </w:r>
      </w:hyperlink>
      <w:r w:rsidRPr="00892424">
        <w:rPr>
          <w:rFonts w:cs="Arial"/>
        </w:rPr>
        <w:t xml:space="preserve"> </w:t>
      </w:r>
      <w:r w:rsidRPr="00892424">
        <w:rPr>
          <w:rFonts w:cs="Arial"/>
          <w:lang w:val="en-US"/>
        </w:rPr>
        <w:t>(</w:t>
      </w:r>
      <w:r w:rsidRPr="00BF602B">
        <w:rPr>
          <w:rFonts w:cs="Arial"/>
        </w:rPr>
        <w:t xml:space="preserve">viewed </w:t>
      </w:r>
      <w:r>
        <w:rPr>
          <w:rFonts w:cs="Arial"/>
        </w:rPr>
        <w:t>11 September 2017</w:t>
      </w:r>
      <w:r w:rsidRPr="00892424">
        <w:rPr>
          <w:rFonts w:cs="Arial"/>
          <w:lang w:val="en-US"/>
        </w:rPr>
        <w:t>).</w:t>
      </w:r>
    </w:p>
  </w:endnote>
  <w:endnote w:id="29">
    <w:p w14:paraId="6FD9B196" w14:textId="4B32D070" w:rsidR="003126E0" w:rsidRDefault="003126E0">
      <w:pPr>
        <w:pStyle w:val="EndnoteText"/>
      </w:pPr>
      <w:r>
        <w:rPr>
          <w:rStyle w:val="EndnoteReference"/>
        </w:rPr>
        <w:endnoteRef/>
      </w:r>
      <w:r>
        <w:t xml:space="preserve"> Australian Human Rights Commission, </w:t>
      </w:r>
      <w:r w:rsidRPr="005A19DD">
        <w:rPr>
          <w:i/>
        </w:rPr>
        <w:t>Communiqué</w:t>
      </w:r>
      <w:r>
        <w:rPr>
          <w:i/>
        </w:rPr>
        <w:t xml:space="preserve">, Indigenous Leader’s Roundtable on economic development and property rights – Broome, 19-20 May </w:t>
      </w:r>
      <w:r w:rsidRPr="005A19DD">
        <w:rPr>
          <w:i/>
        </w:rPr>
        <w:t>2015</w:t>
      </w:r>
      <w:r>
        <w:t xml:space="preserve"> (2015) 1. At </w:t>
      </w:r>
      <w:hyperlink r:id="rId36" w:history="1">
        <w:r w:rsidRPr="004519B6">
          <w:rPr>
            <w:rStyle w:val="Hyperlink"/>
          </w:rPr>
          <w:t>http://www.humanrights.gov.au/sites/default/files/IndigenousLeadersRoundtable_communique_2015_AHRC.pdf</w:t>
        </w:r>
      </w:hyperlink>
      <w:r>
        <w:t xml:space="preserve"> (viewed 14 September 2017). Australian Human Rights Commission, </w:t>
      </w:r>
      <w:r>
        <w:rPr>
          <w:i/>
        </w:rPr>
        <w:t xml:space="preserve">Indigenous Property Rights Project – GARMA Roundtable Background Paper </w:t>
      </w:r>
      <w:r>
        <w:t xml:space="preserve">(29 July – 1 August 2016) 9. At </w:t>
      </w:r>
      <w:hyperlink r:id="rId37" w:history="1">
        <w:r w:rsidRPr="004519B6">
          <w:rPr>
            <w:rStyle w:val="Hyperlink"/>
          </w:rPr>
          <w:t>http://www.humanrights.gov.au/sites/default/files/Garma%20discussion%20paper%2011%20August%202016_1.pdf</w:t>
        </w:r>
      </w:hyperlink>
      <w:r>
        <w:t xml:space="preserve"> (viewed 14 September 2017). </w:t>
      </w:r>
      <w:r w:rsidRPr="005A19DD">
        <w:t>See</w:t>
      </w:r>
      <w:r>
        <w:t xml:space="preserve"> generally </w:t>
      </w:r>
      <w:r>
        <w:rPr>
          <w:lang w:val="en-US"/>
        </w:rPr>
        <w:t xml:space="preserve">Australian Human Rights Commission, </w:t>
      </w:r>
      <w:r w:rsidRPr="00633AE7">
        <w:rPr>
          <w:i/>
          <w:lang w:val="en-US"/>
        </w:rPr>
        <w:t>Indigenous Property Rights</w:t>
      </w:r>
      <w:r>
        <w:rPr>
          <w:lang w:val="en-US"/>
        </w:rPr>
        <w:t xml:space="preserve">. At </w:t>
      </w:r>
      <w:hyperlink r:id="rId38" w:history="1">
        <w:r w:rsidRPr="007237D3">
          <w:rPr>
            <w:rStyle w:val="Hyperlink"/>
            <w:lang w:val="en-US"/>
          </w:rPr>
          <w:t>https://www.humanrights.gov.au/our-work/aboriginal-and-torres-strait-islander-social-justice/projects/indigenous-property-rights</w:t>
        </w:r>
      </w:hyperlink>
      <w:r>
        <w:rPr>
          <w:lang w:val="en-US"/>
        </w:rPr>
        <w:t xml:space="preserve"> (viewed 14 September 2017).</w:t>
      </w:r>
    </w:p>
  </w:endnote>
  <w:endnote w:id="30">
    <w:p w14:paraId="495F06BB" w14:textId="77777777" w:rsidR="003126E0" w:rsidRPr="00892424" w:rsidRDefault="003126E0" w:rsidP="00532B69">
      <w:pPr>
        <w:pStyle w:val="EndnoteText"/>
        <w:rPr>
          <w:rFonts w:cs="Arial"/>
        </w:rPr>
      </w:pPr>
      <w:r w:rsidRPr="00892424">
        <w:rPr>
          <w:rStyle w:val="EndnoteReference"/>
          <w:rFonts w:cs="Arial"/>
        </w:rPr>
        <w:endnoteRef/>
      </w:r>
      <w:r w:rsidRPr="00892424">
        <w:rPr>
          <w:rFonts w:cs="Arial"/>
        </w:rPr>
        <w:t xml:space="preserve"> The Commission has reported to the UN on violence against Aboriginal and Torres Strait Islander women and to </w:t>
      </w:r>
      <w:r w:rsidRPr="00C6719E">
        <w:rPr>
          <w:rFonts w:cs="Arial"/>
        </w:rPr>
        <w:t xml:space="preserve">Commonwealth Inquiries. See Australian Human Rights Commission, </w:t>
      </w:r>
      <w:r w:rsidRPr="00C6719E">
        <w:rPr>
          <w:rFonts w:cs="Arial"/>
          <w:i/>
          <w:lang w:val="en"/>
        </w:rPr>
        <w:t xml:space="preserve">Australia's Universal Periodic Review on human rights – Annual </w:t>
      </w:r>
      <w:r w:rsidRPr="00840969">
        <w:rPr>
          <w:rStyle w:val="EndnoteReference"/>
          <w:rFonts w:cs="Arial"/>
          <w:i/>
          <w:vertAlign w:val="baseline"/>
        </w:rPr>
        <w:t>Progress</w:t>
      </w:r>
      <w:r w:rsidRPr="00C6719E">
        <w:rPr>
          <w:rFonts w:cs="Arial"/>
          <w:i/>
          <w:lang w:val="en"/>
        </w:rPr>
        <w:t xml:space="preserve"> Reports</w:t>
      </w:r>
      <w:r w:rsidRPr="00C6719E">
        <w:rPr>
          <w:rFonts w:cs="Arial"/>
          <w:lang w:val="en"/>
        </w:rPr>
        <w:t xml:space="preserve">. At </w:t>
      </w:r>
      <w:hyperlink r:id="rId39" w:history="1">
        <w:r w:rsidRPr="00C6719E">
          <w:rPr>
            <w:rStyle w:val="Hyperlink"/>
            <w:rFonts w:cs="Arial"/>
            <w:lang w:val="en"/>
          </w:rPr>
          <w:t>https://www.humanrights.gov.au/australias-universal-periodic-review-human-rights</w:t>
        </w:r>
      </w:hyperlink>
      <w:r w:rsidRPr="00C6719E">
        <w:rPr>
          <w:rFonts w:cs="Arial"/>
          <w:lang w:val="en"/>
        </w:rPr>
        <w:t xml:space="preserve"> (</w:t>
      </w:r>
      <w:r w:rsidRPr="00BF602B">
        <w:rPr>
          <w:rFonts w:cs="Arial"/>
        </w:rPr>
        <w:t xml:space="preserve">viewed </w:t>
      </w:r>
      <w:r>
        <w:rPr>
          <w:rFonts w:cs="Arial"/>
        </w:rPr>
        <w:t>11 September 2017</w:t>
      </w:r>
      <w:r w:rsidRPr="00C6719E">
        <w:rPr>
          <w:rFonts w:cs="Arial"/>
          <w:lang w:val="en"/>
        </w:rPr>
        <w:t>).</w:t>
      </w:r>
      <w:r w:rsidRPr="00C6719E">
        <w:rPr>
          <w:rFonts w:cs="Arial"/>
        </w:rPr>
        <w:t xml:space="preserve"> Australian Human Rights Commission, Submission No 57 to Senate Standing Committee on Community Affairs, Parliament of Australia, </w:t>
      </w:r>
      <w:r w:rsidRPr="00C6719E">
        <w:rPr>
          <w:rFonts w:cs="Arial"/>
          <w:i/>
        </w:rPr>
        <w:t xml:space="preserve">Inquiry into violence, abuse and neglect against people with </w:t>
      </w:r>
      <w:r w:rsidRPr="00C6719E">
        <w:rPr>
          <w:rStyle w:val="EndnoteReference"/>
          <w:rFonts w:cs="Arial"/>
          <w:vertAlign w:val="baseline"/>
        </w:rPr>
        <w:t>disability</w:t>
      </w:r>
      <w:r w:rsidRPr="00C6719E">
        <w:rPr>
          <w:rFonts w:cs="Arial"/>
          <w:i/>
        </w:rPr>
        <w:t xml:space="preserve"> in institutional and residential settings</w:t>
      </w:r>
      <w:r w:rsidRPr="00892424">
        <w:rPr>
          <w:rFonts w:cs="Arial"/>
        </w:rPr>
        <w:t xml:space="preserve">, 11 February 2015, 3. At </w:t>
      </w:r>
      <w:hyperlink r:id="rId40" w:history="1">
        <w:r w:rsidRPr="00892424">
          <w:rPr>
            <w:rStyle w:val="Hyperlink"/>
            <w:rFonts w:cs="Arial"/>
          </w:rPr>
          <w:t>http://www.aph.gov.au/Parliamentary_Business/Committees/Senate/Community_Affairs/Violence_abuse_neglect</w:t>
        </w:r>
      </w:hyperlink>
      <w:r w:rsidRPr="00892424">
        <w:rPr>
          <w:rFonts w:cs="Arial"/>
        </w:rPr>
        <w:t xml:space="preserve"> (</w:t>
      </w:r>
      <w:r w:rsidRPr="00BF602B">
        <w:rPr>
          <w:rFonts w:cs="Arial"/>
        </w:rPr>
        <w:t xml:space="preserve">viewed </w:t>
      </w:r>
      <w:r>
        <w:rPr>
          <w:rFonts w:cs="Arial"/>
        </w:rPr>
        <w:t>11 September 2017</w:t>
      </w:r>
      <w:r w:rsidRPr="00892424">
        <w:rPr>
          <w:rFonts w:cs="Arial"/>
        </w:rPr>
        <w:t xml:space="preserve">); Australian Human Rights Commission, Submission </w:t>
      </w:r>
      <w:r>
        <w:rPr>
          <w:rFonts w:cs="Arial"/>
        </w:rPr>
        <w:t xml:space="preserve">No </w:t>
      </w:r>
      <w:r w:rsidRPr="00892424">
        <w:rPr>
          <w:rFonts w:cs="Arial"/>
        </w:rPr>
        <w:t xml:space="preserve">41 to the Senate Finance and Public Administration Reference Committee, Inquiry into Domestic Violence and Gender Inequality, 4 April 2016. At </w:t>
      </w:r>
      <w:hyperlink r:id="rId41" w:history="1">
        <w:r w:rsidRPr="00892424">
          <w:rPr>
            <w:rStyle w:val="Hyperlink"/>
            <w:rFonts w:cs="Arial"/>
          </w:rPr>
          <w:t>http://www.aph.gov.au/Parliamentary_Business/Committees/Senate/Finance_and_Public_Administration/DV_and_Gender_Inequality</w:t>
        </w:r>
      </w:hyperlink>
      <w:r w:rsidRPr="00892424">
        <w:rPr>
          <w:rFonts w:cs="Arial"/>
        </w:rPr>
        <w:t xml:space="preserve"> (</w:t>
      </w:r>
      <w:r w:rsidRPr="00BF602B">
        <w:rPr>
          <w:rFonts w:cs="Arial"/>
        </w:rPr>
        <w:t xml:space="preserve">viewed </w:t>
      </w:r>
      <w:r>
        <w:rPr>
          <w:rFonts w:cs="Arial"/>
        </w:rPr>
        <w:t>11 September 2017</w:t>
      </w:r>
      <w:r w:rsidRPr="00892424">
        <w:rPr>
          <w:rFonts w:cs="Arial"/>
        </w:rPr>
        <w:t>).</w:t>
      </w:r>
    </w:p>
  </w:endnote>
  <w:endnote w:id="31">
    <w:p w14:paraId="5D920082" w14:textId="34B64360" w:rsidR="003126E0" w:rsidRPr="004A2C04" w:rsidRDefault="003126E0" w:rsidP="00532B69">
      <w:pPr>
        <w:pStyle w:val="EndnoteText"/>
        <w:rPr>
          <w:rFonts w:cs="Arial"/>
          <w:lang w:val="en-US"/>
        </w:rPr>
      </w:pPr>
      <w:r w:rsidRPr="00892424">
        <w:rPr>
          <w:rStyle w:val="EndnoteReference"/>
          <w:rFonts w:cs="Arial"/>
        </w:rPr>
        <w:endnoteRef/>
      </w:r>
      <w:r w:rsidRPr="00892424">
        <w:rPr>
          <w:rFonts w:cs="Arial"/>
        </w:rPr>
        <w:t xml:space="preserve"> </w:t>
      </w:r>
      <w:r>
        <w:t xml:space="preserve">Commonwealth of Australia, Department of the Prime Minister and Cabinet, </w:t>
      </w:r>
      <w:r>
        <w:rPr>
          <w:i/>
        </w:rPr>
        <w:t>Closing the Gap Prime Minister’s Report 2017</w:t>
      </w:r>
      <w:r>
        <w:t xml:space="preserve"> (2017) 95. At </w:t>
      </w:r>
      <w:hyperlink r:id="rId42" w:history="1">
        <w:r w:rsidRPr="007B2245">
          <w:rPr>
            <w:rStyle w:val="Hyperlink"/>
          </w:rPr>
          <w:t>http://closingthegap.pmc.gov.au/sites/default/files/ctg-report-2017.pdf</w:t>
        </w:r>
      </w:hyperlink>
      <w:r>
        <w:t xml:space="preserve"> </w:t>
      </w:r>
      <w:r w:rsidRPr="00E122EC">
        <w:t>(viewed 11 September 2017).</w:t>
      </w:r>
    </w:p>
  </w:endnote>
  <w:endnote w:id="32">
    <w:p w14:paraId="452A6D7E" w14:textId="79C7A12E" w:rsidR="003126E0" w:rsidRPr="00E122EC" w:rsidRDefault="003126E0">
      <w:pPr>
        <w:pStyle w:val="EndnoteText"/>
      </w:pPr>
      <w:r>
        <w:rPr>
          <w:rStyle w:val="EndnoteReference"/>
        </w:rPr>
        <w:endnoteRef/>
      </w:r>
      <w:r>
        <w:t xml:space="preserve"> Council of Australian Governments, </w:t>
      </w:r>
      <w:r>
        <w:rPr>
          <w:i/>
        </w:rPr>
        <w:t>National Plan to reduce violence against women and their children</w:t>
      </w:r>
      <w:r>
        <w:t xml:space="preserve"> (2011) 7. At </w:t>
      </w:r>
      <w:hyperlink r:id="rId43" w:history="1">
        <w:r w:rsidRPr="00A248BB">
          <w:rPr>
            <w:rStyle w:val="Hyperlink"/>
          </w:rPr>
          <w:t>https://www.dss.gov.au/women/programs-services/reducing-violence/the-national-plan-to-reduce-violence-against-women-and-their-children-2010-2022</w:t>
        </w:r>
      </w:hyperlink>
      <w:r>
        <w:t xml:space="preserve"> (viewed 11 September 2017). See also Commonwealth of Australia, Department of the Prime Minister and Cabinet, </w:t>
      </w:r>
      <w:r>
        <w:rPr>
          <w:i/>
        </w:rPr>
        <w:t>Closing the Gap Prime Minister’s Report 2017</w:t>
      </w:r>
      <w:r>
        <w:t xml:space="preserve"> (2017) 95-96. At </w:t>
      </w:r>
      <w:hyperlink r:id="rId44" w:history="1">
        <w:r w:rsidRPr="007B2245">
          <w:rPr>
            <w:rStyle w:val="Hyperlink"/>
          </w:rPr>
          <w:t>http://closingthegap.pmc.gov.au/sites/default/files/ctg-report-2017.pdf</w:t>
        </w:r>
      </w:hyperlink>
      <w:r>
        <w:t xml:space="preserve"> </w:t>
      </w:r>
      <w:r w:rsidRPr="00E122EC">
        <w:t>(viewed 11 September 2017).</w:t>
      </w:r>
    </w:p>
  </w:endnote>
  <w:endnote w:id="33">
    <w:p w14:paraId="1F38BC94" w14:textId="1C893AC5" w:rsidR="003126E0" w:rsidRPr="00DF70F6" w:rsidRDefault="003126E0" w:rsidP="00760785">
      <w:pPr>
        <w:pStyle w:val="EndnoteText"/>
        <w:rPr>
          <w:rFonts w:cs="Arial"/>
        </w:rPr>
      </w:pPr>
      <w:r w:rsidRPr="005B4472">
        <w:rPr>
          <w:rStyle w:val="EndnoteReference"/>
          <w:rFonts w:cs="Arial"/>
        </w:rPr>
        <w:endnoteRef/>
      </w:r>
      <w:r w:rsidRPr="005B4472">
        <w:rPr>
          <w:rFonts w:cs="Arial"/>
        </w:rPr>
        <w:t xml:space="preserve"> Australian Bureau of Statistics, Prisoners in Australia, 2016 (data tables) in Human Rights Law Centre and Change the Record</w:t>
      </w:r>
      <w:r>
        <w:rPr>
          <w:rFonts w:cs="Arial"/>
        </w:rPr>
        <w:t xml:space="preserve"> </w:t>
      </w:r>
      <w:r w:rsidRPr="00DF70F6">
        <w:rPr>
          <w:rFonts w:cs="Arial"/>
        </w:rPr>
        <w:t xml:space="preserve">Coalition, </w:t>
      </w:r>
      <w:r w:rsidRPr="00DF70F6">
        <w:rPr>
          <w:rFonts w:cs="Arial"/>
          <w:i/>
        </w:rPr>
        <w:t>Over-represented and overlooked: the crisis of Aboriginal and Torres Strait Islander women’s growing over-imprisonment</w:t>
      </w:r>
      <w:r w:rsidRPr="00340568">
        <w:rPr>
          <w:rFonts w:cs="Arial"/>
          <w:i/>
        </w:rPr>
        <w:t xml:space="preserve"> </w:t>
      </w:r>
      <w:r w:rsidRPr="00452200">
        <w:rPr>
          <w:rFonts w:cs="Arial"/>
        </w:rPr>
        <w:t xml:space="preserve">(May 2017), </w:t>
      </w:r>
      <w:r w:rsidRPr="00E0568F">
        <w:rPr>
          <w:rFonts w:cs="Arial"/>
        </w:rPr>
        <w:t>10.</w:t>
      </w:r>
      <w:r w:rsidRPr="00271C71">
        <w:rPr>
          <w:rFonts w:cs="Arial"/>
        </w:rPr>
        <w:t xml:space="preserve"> At </w:t>
      </w:r>
      <w:hyperlink r:id="rId45" w:history="1">
        <w:r w:rsidRPr="00DF70F6">
          <w:rPr>
            <w:rStyle w:val="Hyperlink"/>
            <w:rFonts w:cs="Arial"/>
          </w:rPr>
          <w:t>https://static1.squarespace.com/static/580025f66b8f5b2dabbe4291/t/59378aa91e5b6cbaaa281d22/1496812234196/OverRepresented_online.pdf</w:t>
        </w:r>
      </w:hyperlink>
      <w:r w:rsidRPr="00DF70F6">
        <w:rPr>
          <w:rFonts w:cs="Arial"/>
        </w:rPr>
        <w:t xml:space="preserve"> (viewed 11 September 2017).</w:t>
      </w:r>
    </w:p>
  </w:endnote>
  <w:endnote w:id="34">
    <w:p w14:paraId="5EA74F08" w14:textId="3D37A1FA" w:rsidR="003126E0" w:rsidRPr="005B4472" w:rsidRDefault="003126E0" w:rsidP="00760785">
      <w:pPr>
        <w:pStyle w:val="EndnoteText"/>
        <w:rPr>
          <w:rFonts w:cs="Arial"/>
        </w:rPr>
      </w:pPr>
      <w:r w:rsidRPr="00DF70F6">
        <w:rPr>
          <w:rStyle w:val="EndnoteReference"/>
          <w:rFonts w:cs="Arial"/>
        </w:rPr>
        <w:endnoteRef/>
      </w:r>
      <w:r w:rsidRPr="00DF70F6">
        <w:rPr>
          <w:rFonts w:cs="Arial"/>
        </w:rPr>
        <w:t xml:space="preserve"> Human Rights Law Centre and Change the Record Coalition,</w:t>
      </w:r>
      <w:r>
        <w:rPr>
          <w:rFonts w:cs="Arial"/>
        </w:rPr>
        <w:t xml:space="preserve"> </w:t>
      </w:r>
      <w:r w:rsidRPr="005B4472">
        <w:rPr>
          <w:rFonts w:cs="Arial"/>
          <w:i/>
        </w:rPr>
        <w:t>Over-represented and overlooked: the crisis of Aboriginal and Torres Strait Islander women’s growing over-imprisonment</w:t>
      </w:r>
      <w:r>
        <w:rPr>
          <w:rFonts w:cs="Arial"/>
          <w:i/>
        </w:rPr>
        <w:t xml:space="preserve"> </w:t>
      </w:r>
      <w:r w:rsidRPr="00840969">
        <w:rPr>
          <w:rFonts w:cs="Arial"/>
        </w:rPr>
        <w:t>(May 2017)</w:t>
      </w:r>
      <w:r w:rsidRPr="005B4472">
        <w:rPr>
          <w:rFonts w:cs="Arial"/>
        </w:rPr>
        <w:t xml:space="preserve">, </w:t>
      </w:r>
      <w:r>
        <w:rPr>
          <w:rFonts w:cs="Arial"/>
        </w:rPr>
        <w:t>5</w:t>
      </w:r>
      <w:r w:rsidRPr="005B4472">
        <w:rPr>
          <w:rFonts w:cs="Arial"/>
        </w:rPr>
        <w:t>.</w:t>
      </w:r>
      <w:r>
        <w:rPr>
          <w:rFonts w:cs="Arial"/>
        </w:rPr>
        <w:t xml:space="preserve"> At </w:t>
      </w:r>
      <w:hyperlink r:id="rId46" w:history="1">
        <w:r w:rsidRPr="00940AAC">
          <w:rPr>
            <w:rStyle w:val="Hyperlink"/>
            <w:rFonts w:cs="Arial"/>
          </w:rPr>
          <w:t>https://static1.squarespace.com/static/580025f66b8f5b2dabbe4291/t/59378aa91e5b6cbaaa281d22/1496812234196/OverRepresented_online.pdf</w:t>
        </w:r>
      </w:hyperlink>
      <w:r>
        <w:rPr>
          <w:rFonts w:cs="Arial"/>
        </w:rPr>
        <w:t xml:space="preserve"> (viewed 11 September 2017).</w:t>
      </w:r>
    </w:p>
  </w:endnote>
  <w:endnote w:id="35">
    <w:p w14:paraId="538FDADE" w14:textId="24AD5F73" w:rsidR="003126E0" w:rsidRPr="00CC24E1" w:rsidRDefault="003126E0" w:rsidP="00532B69">
      <w:pPr>
        <w:pStyle w:val="EndnoteText"/>
        <w:rPr>
          <w:rFonts w:cs="Arial"/>
        </w:rPr>
      </w:pPr>
      <w:r w:rsidRPr="00CC24E1">
        <w:rPr>
          <w:rStyle w:val="EndnoteReference"/>
          <w:rFonts w:cs="Arial"/>
        </w:rPr>
        <w:endnoteRef/>
      </w:r>
      <w:r w:rsidRPr="00CC24E1">
        <w:rPr>
          <w:rFonts w:cs="Arial"/>
        </w:rPr>
        <w:t xml:space="preserve"> </w:t>
      </w:r>
      <w:r w:rsidRPr="002D2AC4">
        <w:t>Victoria Tauli-Corpuz</w:t>
      </w:r>
      <w:r>
        <w:t>,</w:t>
      </w:r>
      <w:r w:rsidRPr="002D2AC4">
        <w:t xml:space="preserve"> </w:t>
      </w:r>
      <w:r>
        <w:t xml:space="preserve">United Nations Special Rapporteur on the rights of indigenous peoples, </w:t>
      </w:r>
      <w:r>
        <w:rPr>
          <w:i/>
        </w:rPr>
        <w:t xml:space="preserve">End of Mission Statement by the United Nations Special Rapporteur on the rights of indigenous peoples, Victoria Tauli-Corpuz on her visit to Australia </w:t>
      </w:r>
      <w:r>
        <w:t xml:space="preserve">(2017). At </w:t>
      </w:r>
      <w:hyperlink r:id="rId47" w:history="1">
        <w:r w:rsidRPr="006D18FC">
          <w:rPr>
            <w:rStyle w:val="Hyperlink"/>
          </w:rPr>
          <w:t>http://www.ohchr.org/EN/NewsEvents/Pages/DisplayNews.aspx?NewsID=21473&amp;LangID=E</w:t>
        </w:r>
      </w:hyperlink>
      <w:r>
        <w:t xml:space="preserve"> (viewed 11 September 2017)</w:t>
      </w:r>
      <w:r w:rsidRPr="00CC24E1">
        <w:rPr>
          <w:rFonts w:cs="Arial"/>
        </w:rPr>
        <w:t>.</w:t>
      </w:r>
    </w:p>
  </w:endnote>
  <w:endnote w:id="36">
    <w:p w14:paraId="50CC653E" w14:textId="5BEAF7EC" w:rsidR="003126E0" w:rsidRPr="00CC24E1" w:rsidRDefault="003126E0" w:rsidP="00532B69">
      <w:pPr>
        <w:pStyle w:val="EndnoteText"/>
        <w:rPr>
          <w:rFonts w:cs="Arial"/>
        </w:rPr>
      </w:pPr>
      <w:r w:rsidRPr="00CC24E1">
        <w:rPr>
          <w:rStyle w:val="EndnoteReference"/>
          <w:rFonts w:cs="Arial"/>
        </w:rPr>
        <w:endnoteRef/>
      </w:r>
      <w:r w:rsidRPr="00CC24E1">
        <w:rPr>
          <w:rFonts w:cs="Arial"/>
        </w:rPr>
        <w:t xml:space="preserve"> First Nations National Constitutional Convention, ‘Uluru Statement From The Heart’ (Group statement, 26 May 2017). </w:t>
      </w:r>
      <w:r>
        <w:rPr>
          <w:rFonts w:cs="Arial"/>
        </w:rPr>
        <w:t>At</w:t>
      </w:r>
      <w:r w:rsidRPr="00CC24E1">
        <w:rPr>
          <w:rFonts w:cs="Arial"/>
        </w:rPr>
        <w:t xml:space="preserve"> </w:t>
      </w:r>
      <w:hyperlink r:id="rId48" w:history="1">
        <w:r w:rsidRPr="00CC24E1">
          <w:rPr>
            <w:rStyle w:val="Hyperlink"/>
          </w:rPr>
          <w:t>https://www.referendumcouncil.org.au/sites/default/files/2017-05/Uluru_Statement_From_The_Heart_0.PDF</w:t>
        </w:r>
      </w:hyperlink>
      <w:r w:rsidRPr="00CC24E1">
        <w:t xml:space="preserve"> (</w:t>
      </w:r>
      <w:r w:rsidRPr="00BF602B">
        <w:rPr>
          <w:rFonts w:cs="Arial"/>
        </w:rPr>
        <w:t xml:space="preserve">viewed </w:t>
      </w:r>
      <w:r>
        <w:rPr>
          <w:rFonts w:cs="Arial"/>
        </w:rPr>
        <w:t>11 September 2017</w:t>
      </w:r>
      <w:r w:rsidRPr="00CC24E1">
        <w:t>)</w:t>
      </w:r>
      <w:r>
        <w:t>.</w:t>
      </w:r>
    </w:p>
  </w:endnote>
  <w:endnote w:id="37">
    <w:p w14:paraId="4C54D942" w14:textId="298A34FD" w:rsidR="003126E0" w:rsidRPr="00892424" w:rsidRDefault="003126E0" w:rsidP="00532B69">
      <w:pPr>
        <w:pStyle w:val="EndnoteText"/>
        <w:rPr>
          <w:rFonts w:cs="Arial"/>
        </w:rPr>
      </w:pPr>
      <w:r w:rsidRPr="00CC24E1">
        <w:rPr>
          <w:rStyle w:val="EndnoteReference"/>
          <w:rFonts w:cs="Arial"/>
        </w:rPr>
        <w:endnoteRef/>
      </w:r>
      <w:r w:rsidRPr="00CC24E1">
        <w:rPr>
          <w:rFonts w:cs="Arial"/>
        </w:rPr>
        <w:t xml:space="preserve"> </w:t>
      </w:r>
      <w:r w:rsidRPr="002D2AC4">
        <w:t>Victoria Tauli-Corpuz</w:t>
      </w:r>
      <w:r>
        <w:t>,</w:t>
      </w:r>
      <w:r w:rsidRPr="002D2AC4">
        <w:t xml:space="preserve"> </w:t>
      </w:r>
      <w:r>
        <w:t xml:space="preserve">United Nations Special Rapporteur on the rights of indigenous peoples, </w:t>
      </w:r>
      <w:r>
        <w:rPr>
          <w:i/>
        </w:rPr>
        <w:t xml:space="preserve">End of Mission Statement by the United Nations Special Rapporteur on the rights of indigenous peoples, Victoria Tauli-Corpuz on her visit to Australia </w:t>
      </w:r>
      <w:r>
        <w:t xml:space="preserve">(2017). At </w:t>
      </w:r>
      <w:hyperlink r:id="rId49" w:history="1">
        <w:r w:rsidRPr="006D18FC">
          <w:rPr>
            <w:rStyle w:val="Hyperlink"/>
          </w:rPr>
          <w:t>http://www.ohchr.org/EN/NewsEvents/Pages/DisplayNews.aspx?NewsID=21473&amp;LangID=E</w:t>
        </w:r>
      </w:hyperlink>
      <w:r>
        <w:t xml:space="preserve"> (viewed 11 September 2017)</w:t>
      </w:r>
      <w:r w:rsidRPr="00892424">
        <w:rPr>
          <w:rFonts w:cs="Arial"/>
        </w:rPr>
        <w:t>.</w:t>
      </w:r>
    </w:p>
  </w:endnote>
  <w:endnote w:id="38">
    <w:p w14:paraId="6E1F9BBB" w14:textId="77777777" w:rsidR="003126E0" w:rsidRPr="00892424" w:rsidRDefault="003126E0" w:rsidP="00532B69">
      <w:pPr>
        <w:pStyle w:val="EndnoteText"/>
        <w:rPr>
          <w:rFonts w:cs="Arial"/>
        </w:rPr>
      </w:pPr>
      <w:r w:rsidRPr="00892424">
        <w:rPr>
          <w:rStyle w:val="EndnoteReference"/>
          <w:rFonts w:cs="Arial"/>
        </w:rPr>
        <w:endnoteRef/>
      </w:r>
      <w:r w:rsidRPr="00892424">
        <w:rPr>
          <w:rFonts w:cs="Arial"/>
        </w:rPr>
        <w:t xml:space="preserve"> Australian Bureau of Statistics, </w:t>
      </w:r>
      <w:r w:rsidRPr="00892424">
        <w:rPr>
          <w:rFonts w:cs="Arial"/>
          <w:i/>
        </w:rPr>
        <w:t>Social and Economic Wellbeing of Aboriginal and Torres Strait Islander People with Disability</w:t>
      </w:r>
      <w:r>
        <w:rPr>
          <w:rFonts w:cs="Arial"/>
        </w:rPr>
        <w:t xml:space="preserve">. At </w:t>
      </w:r>
      <w:hyperlink r:id="rId50" w:history="1">
        <w:r w:rsidRPr="00892424">
          <w:rPr>
            <w:rStyle w:val="Hyperlink"/>
            <w:rFonts w:cs="Arial"/>
          </w:rPr>
          <w:t>http://www.abs.gov.au/ausstats/abs@.nsf/Lookup/by%20Subject/4714.0~2014-15~Feature%20Article~Social%20and%20economic%20wellbeing%20of%20Aboriginal%20and%20Torres%20Strait%20Islander%20people%20with%20disability%20(Feature%20Article)~10000</w:t>
        </w:r>
      </w:hyperlink>
      <w:r w:rsidRPr="00892424">
        <w:rPr>
          <w:rFonts w:cs="Arial"/>
        </w:rPr>
        <w:t xml:space="preserve"> </w:t>
      </w:r>
      <w:r>
        <w:rPr>
          <w:rFonts w:cs="Arial"/>
        </w:rPr>
        <w:t>(</w:t>
      </w:r>
      <w:r w:rsidRPr="00BF602B">
        <w:rPr>
          <w:rFonts w:cs="Arial"/>
        </w:rPr>
        <w:t xml:space="preserve">viewed </w:t>
      </w:r>
      <w:r>
        <w:rPr>
          <w:rFonts w:cs="Arial"/>
        </w:rPr>
        <w:t>11 September 2017).</w:t>
      </w:r>
    </w:p>
  </w:endnote>
  <w:endnote w:id="39">
    <w:p w14:paraId="7DAD5908" w14:textId="77777777" w:rsidR="003126E0" w:rsidRPr="00892424" w:rsidRDefault="003126E0" w:rsidP="00CC6C91">
      <w:pPr>
        <w:pStyle w:val="EndnoteText"/>
        <w:rPr>
          <w:rFonts w:cs="Arial"/>
        </w:rPr>
      </w:pPr>
      <w:r w:rsidRPr="00892424">
        <w:rPr>
          <w:rStyle w:val="EndnoteReference"/>
          <w:rFonts w:cs="Arial"/>
        </w:rPr>
        <w:endnoteRef/>
      </w:r>
      <w:r w:rsidRPr="00892424">
        <w:rPr>
          <w:rFonts w:cs="Arial"/>
        </w:rPr>
        <w:t xml:space="preserve"> Australian Government Department of Social Services</w:t>
      </w:r>
      <w:r w:rsidRPr="00892424">
        <w:rPr>
          <w:rFonts w:cs="Arial"/>
          <w:i/>
        </w:rPr>
        <w:t>, National Disability Strategy</w:t>
      </w:r>
      <w:r w:rsidRPr="00892424">
        <w:rPr>
          <w:rFonts w:cs="Arial"/>
        </w:rPr>
        <w:t xml:space="preserve"> (2016). At </w:t>
      </w:r>
      <w:hyperlink r:id="rId51" w:history="1">
        <w:r w:rsidRPr="00892424">
          <w:rPr>
            <w:rStyle w:val="Hyperlink"/>
            <w:rFonts w:cs="Arial"/>
          </w:rPr>
          <w:t>https://www.dss.gov.au/our-responsibilities/disability-and-carers/program-services/Government-international/national-disability-strategy</w:t>
        </w:r>
      </w:hyperlink>
      <w:r w:rsidRPr="00892424">
        <w:rPr>
          <w:rFonts w:cs="Arial"/>
        </w:rPr>
        <w:t xml:space="preserve"> (</w:t>
      </w:r>
      <w:r w:rsidRPr="00BF602B">
        <w:rPr>
          <w:rFonts w:cs="Arial"/>
        </w:rPr>
        <w:t xml:space="preserve">viewed </w:t>
      </w:r>
      <w:r>
        <w:rPr>
          <w:rFonts w:cs="Arial"/>
        </w:rPr>
        <w:t>11 September 2017</w:t>
      </w:r>
      <w:r w:rsidRPr="00892424">
        <w:rPr>
          <w:rFonts w:cs="Arial"/>
        </w:rPr>
        <w:t>).</w:t>
      </w:r>
    </w:p>
  </w:endnote>
  <w:endnote w:id="40">
    <w:p w14:paraId="7E3D89AE" w14:textId="77777777" w:rsidR="003126E0" w:rsidRPr="00C6719E" w:rsidRDefault="003126E0" w:rsidP="00C6719E">
      <w:pPr>
        <w:autoSpaceDE w:val="0"/>
        <w:autoSpaceDN w:val="0"/>
        <w:adjustRightInd w:val="0"/>
        <w:spacing w:before="0" w:after="0"/>
        <w:rPr>
          <w:rFonts w:eastAsia="Times New Roman" w:cs="Arial"/>
          <w:color w:val="000000"/>
          <w:sz w:val="20"/>
          <w:szCs w:val="20"/>
        </w:rPr>
      </w:pPr>
      <w:r w:rsidRPr="00892424">
        <w:rPr>
          <w:rStyle w:val="EndnoteReference"/>
          <w:rFonts w:cs="Arial"/>
          <w:szCs w:val="20"/>
        </w:rPr>
        <w:endnoteRef/>
      </w:r>
      <w:r w:rsidRPr="00892424">
        <w:rPr>
          <w:rFonts w:cs="Arial"/>
          <w:sz w:val="20"/>
          <w:szCs w:val="20"/>
        </w:rPr>
        <w:t xml:space="preserve"> </w:t>
      </w:r>
      <w:r w:rsidRPr="00892424">
        <w:rPr>
          <w:rFonts w:eastAsia="Times New Roman" w:cs="Arial"/>
          <w:color w:val="000000"/>
          <w:sz w:val="20"/>
          <w:szCs w:val="20"/>
        </w:rPr>
        <w:t xml:space="preserve">Australian Law Reform Commission, </w:t>
      </w:r>
      <w:r w:rsidRPr="00892424">
        <w:rPr>
          <w:rFonts w:eastAsia="Times New Roman" w:cs="Arial"/>
          <w:i/>
          <w:iCs/>
          <w:color w:val="000000"/>
          <w:sz w:val="20"/>
          <w:szCs w:val="20"/>
        </w:rPr>
        <w:t>Elder Abuse Discussion Paper</w:t>
      </w:r>
      <w:r w:rsidRPr="00892424">
        <w:rPr>
          <w:rFonts w:eastAsia="Times New Roman" w:cs="Arial"/>
          <w:color w:val="000000"/>
          <w:sz w:val="20"/>
          <w:szCs w:val="20"/>
        </w:rPr>
        <w:t>, Discussion Paper No 83 (2016</w:t>
      </w:r>
      <w:r w:rsidRPr="00C6719E">
        <w:rPr>
          <w:rFonts w:eastAsia="Times New Roman" w:cs="Arial"/>
          <w:color w:val="000000"/>
          <w:sz w:val="20"/>
          <w:szCs w:val="20"/>
        </w:rPr>
        <w:t xml:space="preserve">) 17 [1.13]. At </w:t>
      </w:r>
      <w:r w:rsidRPr="00C6719E">
        <w:rPr>
          <w:rFonts w:eastAsia="Times New Roman" w:cs="Arial"/>
          <w:color w:val="0000FF"/>
          <w:sz w:val="20"/>
          <w:szCs w:val="20"/>
        </w:rPr>
        <w:t xml:space="preserve">https://www.alrc.gov.au/publications/elder-abuse-dp83 </w:t>
      </w:r>
      <w:r w:rsidRPr="00C6719E">
        <w:rPr>
          <w:rFonts w:eastAsia="Times New Roman" w:cs="Arial"/>
          <w:color w:val="000000"/>
          <w:sz w:val="20"/>
          <w:szCs w:val="20"/>
        </w:rPr>
        <w:t>(</w:t>
      </w:r>
      <w:r w:rsidRPr="00242AC2">
        <w:rPr>
          <w:rFonts w:eastAsia="Times New Roman" w:cs="Arial"/>
          <w:color w:val="000000"/>
          <w:sz w:val="20"/>
          <w:szCs w:val="20"/>
        </w:rPr>
        <w:t>viewed 11 September 2017</w:t>
      </w:r>
      <w:r w:rsidRPr="00C6719E">
        <w:rPr>
          <w:rFonts w:eastAsia="Times New Roman" w:cs="Arial"/>
          <w:color w:val="000000"/>
          <w:sz w:val="20"/>
          <w:szCs w:val="20"/>
        </w:rPr>
        <w:t>).</w:t>
      </w:r>
    </w:p>
  </w:endnote>
  <w:endnote w:id="41">
    <w:p w14:paraId="19D7C921" w14:textId="77777777" w:rsidR="003126E0" w:rsidRPr="00B21157" w:rsidRDefault="003126E0" w:rsidP="00B21157">
      <w:pPr>
        <w:autoSpaceDE w:val="0"/>
        <w:autoSpaceDN w:val="0"/>
        <w:adjustRightInd w:val="0"/>
        <w:spacing w:before="0" w:after="0"/>
        <w:rPr>
          <w:rFonts w:eastAsia="Times New Roman" w:cs="Arial"/>
          <w:color w:val="000000"/>
          <w:sz w:val="20"/>
          <w:szCs w:val="20"/>
        </w:rPr>
      </w:pPr>
      <w:r w:rsidRPr="00892424">
        <w:rPr>
          <w:rStyle w:val="EndnoteReference"/>
          <w:rFonts w:cs="Arial"/>
          <w:szCs w:val="20"/>
        </w:rPr>
        <w:endnoteRef/>
      </w:r>
      <w:r w:rsidRPr="00892424">
        <w:rPr>
          <w:rFonts w:cs="Arial"/>
          <w:sz w:val="20"/>
          <w:szCs w:val="20"/>
        </w:rPr>
        <w:t xml:space="preserve"> </w:t>
      </w:r>
      <w:r w:rsidRPr="00892424">
        <w:rPr>
          <w:rFonts w:eastAsia="Times New Roman" w:cs="Arial"/>
          <w:color w:val="000000"/>
          <w:sz w:val="20"/>
          <w:szCs w:val="20"/>
        </w:rPr>
        <w:t xml:space="preserve">Australian </w:t>
      </w:r>
      <w:r w:rsidRPr="00B21157">
        <w:rPr>
          <w:rFonts w:eastAsia="Times New Roman" w:cs="Arial"/>
          <w:color w:val="000000"/>
          <w:sz w:val="20"/>
          <w:szCs w:val="20"/>
        </w:rPr>
        <w:t xml:space="preserve">Law Reform Commission, </w:t>
      </w:r>
      <w:r w:rsidRPr="00B21157">
        <w:rPr>
          <w:rFonts w:eastAsia="Times New Roman" w:cs="Arial"/>
          <w:i/>
          <w:iCs/>
          <w:color w:val="000000"/>
          <w:sz w:val="20"/>
          <w:szCs w:val="20"/>
        </w:rPr>
        <w:t>Elder Abuse Discussion Paper</w:t>
      </w:r>
      <w:r w:rsidRPr="00B21157">
        <w:rPr>
          <w:rFonts w:eastAsia="Times New Roman" w:cs="Arial"/>
          <w:color w:val="000000"/>
          <w:sz w:val="20"/>
          <w:szCs w:val="20"/>
        </w:rPr>
        <w:t>, Discussion Paper No 83</w:t>
      </w:r>
    </w:p>
    <w:p w14:paraId="24103847" w14:textId="3314B2F3" w:rsidR="003126E0" w:rsidRPr="00633AE7" w:rsidRDefault="003126E0" w:rsidP="00733D0E">
      <w:pPr>
        <w:autoSpaceDE w:val="0"/>
        <w:autoSpaceDN w:val="0"/>
        <w:adjustRightInd w:val="0"/>
        <w:spacing w:before="0" w:after="0"/>
        <w:rPr>
          <w:rFonts w:eastAsia="Times New Roman" w:cs="Arial"/>
          <w:i/>
          <w:iCs/>
          <w:color w:val="000000"/>
          <w:sz w:val="20"/>
          <w:szCs w:val="20"/>
        </w:rPr>
      </w:pPr>
      <w:r w:rsidRPr="00B21157">
        <w:rPr>
          <w:rFonts w:eastAsia="Times New Roman" w:cs="Arial"/>
          <w:color w:val="000000"/>
          <w:sz w:val="20"/>
          <w:szCs w:val="20"/>
        </w:rPr>
        <w:t xml:space="preserve">(2016) 22 [1.36], 30 [1.73], 128 [7.6]. At </w:t>
      </w:r>
      <w:r w:rsidRPr="00B21157">
        <w:rPr>
          <w:rFonts w:eastAsia="Times New Roman" w:cs="Arial"/>
          <w:color w:val="0000FF"/>
          <w:sz w:val="20"/>
          <w:szCs w:val="20"/>
        </w:rPr>
        <w:t xml:space="preserve">https://www.alrc.gov.au/publications/elder-abuse-dp83 </w:t>
      </w:r>
      <w:r w:rsidRPr="00B21157">
        <w:rPr>
          <w:rFonts w:eastAsia="Times New Roman" w:cs="Arial"/>
          <w:color w:val="000000"/>
          <w:sz w:val="20"/>
          <w:szCs w:val="20"/>
        </w:rPr>
        <w:t>(</w:t>
      </w:r>
      <w:r w:rsidRPr="00242AC2">
        <w:rPr>
          <w:rFonts w:eastAsia="Times New Roman" w:cs="Arial"/>
          <w:color w:val="000000"/>
          <w:sz w:val="20"/>
          <w:szCs w:val="20"/>
        </w:rPr>
        <w:t>viewed 11 September 2017</w:t>
      </w:r>
      <w:r w:rsidRPr="00B21157">
        <w:rPr>
          <w:rFonts w:eastAsia="Times New Roman" w:cs="Arial"/>
          <w:color w:val="000000"/>
          <w:sz w:val="20"/>
          <w:szCs w:val="20"/>
        </w:rPr>
        <w:t xml:space="preserve">); Australian Institute of Family Studies, </w:t>
      </w:r>
      <w:r w:rsidRPr="00B21157">
        <w:rPr>
          <w:rFonts w:eastAsia="Times New Roman" w:cs="Arial"/>
          <w:i/>
          <w:iCs/>
          <w:color w:val="000000"/>
          <w:sz w:val="20"/>
          <w:szCs w:val="20"/>
        </w:rPr>
        <w:t>Elder Abuse: Under</w:t>
      </w:r>
      <w:r>
        <w:rPr>
          <w:rFonts w:eastAsia="Times New Roman" w:cs="Arial"/>
          <w:i/>
          <w:iCs/>
          <w:color w:val="000000"/>
          <w:sz w:val="20"/>
          <w:szCs w:val="20"/>
        </w:rPr>
        <w:t xml:space="preserve">standing issues, frameworks and </w:t>
      </w:r>
      <w:r w:rsidRPr="00B2471B">
        <w:rPr>
          <w:rFonts w:eastAsia="Times New Roman" w:cs="Arial"/>
          <w:i/>
          <w:iCs/>
          <w:color w:val="000000"/>
          <w:sz w:val="20"/>
          <w:szCs w:val="20"/>
        </w:rPr>
        <w:t>responses</w:t>
      </w:r>
      <w:r w:rsidRPr="00B2471B">
        <w:rPr>
          <w:rFonts w:eastAsia="Times New Roman" w:cs="Arial"/>
          <w:color w:val="000000"/>
          <w:sz w:val="20"/>
          <w:szCs w:val="20"/>
        </w:rPr>
        <w:t xml:space="preserve">, Research Report No 35 (2016). At </w:t>
      </w:r>
      <w:hyperlink r:id="rId52" w:history="1">
        <w:r w:rsidRPr="00940AAC">
          <w:rPr>
            <w:rStyle w:val="Hyperlink"/>
            <w:rFonts w:eastAsia="Times New Roman" w:cs="Arial"/>
            <w:sz w:val="20"/>
            <w:szCs w:val="20"/>
          </w:rPr>
          <w:t>https://aifs.gov.au/publications/elder-abuse/2-whatelder-abuse</w:t>
        </w:r>
      </w:hyperlink>
      <w:r>
        <w:rPr>
          <w:rFonts w:eastAsia="Times New Roman" w:cs="Arial"/>
          <w:color w:val="0000FF"/>
          <w:sz w:val="20"/>
          <w:szCs w:val="20"/>
        </w:rPr>
        <w:t xml:space="preserve"> </w:t>
      </w:r>
      <w:r w:rsidRPr="00892424">
        <w:rPr>
          <w:rFonts w:eastAsia="Times New Roman" w:cs="Arial"/>
          <w:color w:val="000000"/>
          <w:sz w:val="20"/>
          <w:szCs w:val="20"/>
        </w:rPr>
        <w:t>(</w:t>
      </w:r>
      <w:r w:rsidRPr="00242AC2">
        <w:rPr>
          <w:rFonts w:eastAsia="Times New Roman" w:cs="Arial"/>
          <w:color w:val="000000"/>
          <w:sz w:val="20"/>
          <w:szCs w:val="20"/>
        </w:rPr>
        <w:t>viewed 11 September 2017</w:t>
      </w:r>
      <w:r w:rsidRPr="00892424">
        <w:rPr>
          <w:rFonts w:eastAsia="Times New Roman" w:cs="Arial"/>
          <w:color w:val="000000"/>
          <w:sz w:val="20"/>
          <w:szCs w:val="20"/>
        </w:rPr>
        <w:t>).</w:t>
      </w:r>
    </w:p>
  </w:endnote>
  <w:endnote w:id="42">
    <w:p w14:paraId="1D4BC633" w14:textId="361FA4FA" w:rsidR="003126E0" w:rsidRPr="00892424" w:rsidRDefault="003126E0" w:rsidP="00733D0E">
      <w:pPr>
        <w:pStyle w:val="EndnoteText"/>
        <w:rPr>
          <w:rFonts w:cs="Arial"/>
        </w:rPr>
      </w:pPr>
      <w:r w:rsidRPr="00892424">
        <w:rPr>
          <w:rStyle w:val="EndnoteReference"/>
          <w:rFonts w:cs="Arial"/>
        </w:rPr>
        <w:endnoteRef/>
      </w:r>
      <w:r w:rsidRPr="00892424">
        <w:rPr>
          <w:rFonts w:cs="Arial"/>
        </w:rPr>
        <w:t> </w:t>
      </w:r>
      <w:r w:rsidRPr="002C64C1">
        <w:t>The report also provided recommendations in a number of specific areas including aged care, enduring documents, family agreements, superannuation, wills, banking, tribunal appointed guardians and administrators, social security, health and criminal justice responses</w:t>
      </w:r>
      <w:r>
        <w:t xml:space="preserve">. See Australian Law Reform Commission, </w:t>
      </w:r>
      <w:r>
        <w:rPr>
          <w:i/>
        </w:rPr>
        <w:t>Elder Abuse – A National Legal Response (Final Report)</w:t>
      </w:r>
      <w:r>
        <w:t xml:space="preserve">, Report No 131 (31 May 2017). At </w:t>
      </w:r>
      <w:hyperlink r:id="rId53" w:history="1">
        <w:r w:rsidRPr="00940AAC">
          <w:rPr>
            <w:rStyle w:val="Hyperlink"/>
            <w:rFonts w:cs="Arial"/>
          </w:rPr>
          <w:t>https://www.alrc.gov.au/sites/default/files/pdfs/publications/elder_abuse_131_final_report_31_may_2017.pdf</w:t>
        </w:r>
      </w:hyperlink>
      <w:r>
        <w:rPr>
          <w:rFonts w:cs="Arial"/>
        </w:rPr>
        <w:t xml:space="preserve"> (</w:t>
      </w:r>
      <w:r w:rsidRPr="00BF602B">
        <w:rPr>
          <w:rFonts w:cs="Arial"/>
        </w:rPr>
        <w:t xml:space="preserve">viewed </w:t>
      </w:r>
      <w:r>
        <w:rPr>
          <w:rFonts w:cs="Arial"/>
        </w:rPr>
        <w:t xml:space="preserve">11 September 2017). </w:t>
      </w:r>
    </w:p>
  </w:endnote>
  <w:endnote w:id="43">
    <w:p w14:paraId="7EFF5429" w14:textId="77777777" w:rsidR="003126E0" w:rsidRPr="00892424" w:rsidRDefault="003126E0" w:rsidP="00733D0E">
      <w:pPr>
        <w:autoSpaceDE w:val="0"/>
        <w:autoSpaceDN w:val="0"/>
        <w:adjustRightInd w:val="0"/>
        <w:spacing w:before="0" w:after="0"/>
        <w:rPr>
          <w:rFonts w:eastAsia="Times New Roman" w:cs="Arial"/>
          <w:i/>
          <w:iCs/>
          <w:color w:val="000000"/>
          <w:sz w:val="20"/>
          <w:szCs w:val="20"/>
        </w:rPr>
      </w:pPr>
      <w:r w:rsidRPr="00892424">
        <w:rPr>
          <w:rStyle w:val="EndnoteReference"/>
          <w:rFonts w:cs="Arial"/>
          <w:szCs w:val="20"/>
        </w:rPr>
        <w:endnoteRef/>
      </w:r>
      <w:r w:rsidRPr="00892424">
        <w:rPr>
          <w:rFonts w:cs="Arial"/>
          <w:sz w:val="20"/>
          <w:szCs w:val="20"/>
        </w:rPr>
        <w:t xml:space="preserve"> See </w:t>
      </w:r>
      <w:r w:rsidRPr="00892424">
        <w:rPr>
          <w:rFonts w:eastAsia="Times New Roman" w:cs="Arial"/>
          <w:color w:val="000000"/>
          <w:sz w:val="20"/>
          <w:szCs w:val="20"/>
        </w:rPr>
        <w:t xml:space="preserve">Australian Institute of Family Studies, </w:t>
      </w:r>
      <w:r w:rsidRPr="00892424">
        <w:rPr>
          <w:rFonts w:eastAsia="Times New Roman" w:cs="Arial"/>
          <w:i/>
          <w:iCs/>
          <w:color w:val="000000"/>
          <w:sz w:val="20"/>
          <w:szCs w:val="20"/>
        </w:rPr>
        <w:t>Elder Abuse: Understanding issues, frameworks and</w:t>
      </w:r>
    </w:p>
    <w:p w14:paraId="2CAC6E12" w14:textId="706F33A3" w:rsidR="003126E0" w:rsidRPr="00633AE7" w:rsidRDefault="003126E0" w:rsidP="00733D0E">
      <w:pPr>
        <w:autoSpaceDE w:val="0"/>
        <w:autoSpaceDN w:val="0"/>
        <w:adjustRightInd w:val="0"/>
        <w:spacing w:before="0" w:after="0"/>
        <w:rPr>
          <w:rFonts w:eastAsia="Times New Roman" w:cs="Arial"/>
          <w:color w:val="0000FF"/>
          <w:sz w:val="20"/>
          <w:szCs w:val="20"/>
        </w:rPr>
      </w:pPr>
      <w:r w:rsidRPr="00892424">
        <w:rPr>
          <w:rFonts w:eastAsia="Times New Roman" w:cs="Arial"/>
          <w:i/>
          <w:iCs/>
          <w:color w:val="000000"/>
          <w:sz w:val="20"/>
          <w:szCs w:val="20"/>
        </w:rPr>
        <w:t>responses</w:t>
      </w:r>
      <w:r w:rsidRPr="00892424">
        <w:rPr>
          <w:rFonts w:eastAsia="Times New Roman" w:cs="Arial"/>
          <w:color w:val="000000"/>
          <w:sz w:val="20"/>
          <w:szCs w:val="20"/>
        </w:rPr>
        <w:t xml:space="preserve">, Research Report No 35 (2016). At </w:t>
      </w:r>
      <w:hyperlink r:id="rId54" w:history="1">
        <w:r w:rsidRPr="000A5C86">
          <w:rPr>
            <w:rStyle w:val="Hyperlink"/>
            <w:rFonts w:eastAsia="Times New Roman" w:cs="Arial"/>
            <w:sz w:val="20"/>
            <w:szCs w:val="20"/>
          </w:rPr>
          <w:t>https://aifs.gov.au/publications/elder-abuse/2-whatelder-abuse</w:t>
        </w:r>
      </w:hyperlink>
      <w:r>
        <w:rPr>
          <w:rFonts w:eastAsia="Times New Roman" w:cs="Arial"/>
          <w:color w:val="0000FF"/>
          <w:sz w:val="20"/>
          <w:szCs w:val="20"/>
        </w:rPr>
        <w:t xml:space="preserve"> </w:t>
      </w:r>
      <w:r w:rsidRPr="00892424">
        <w:rPr>
          <w:rFonts w:eastAsia="Times New Roman" w:cs="Arial"/>
          <w:color w:val="000000"/>
          <w:sz w:val="20"/>
          <w:szCs w:val="20"/>
        </w:rPr>
        <w:t>(</w:t>
      </w:r>
      <w:r w:rsidRPr="00242AC2">
        <w:rPr>
          <w:rFonts w:eastAsia="Times New Roman" w:cs="Arial"/>
          <w:color w:val="000000"/>
          <w:sz w:val="20"/>
          <w:szCs w:val="20"/>
        </w:rPr>
        <w:t>viewed 11 September 2017</w:t>
      </w:r>
      <w:r w:rsidRPr="00892424">
        <w:rPr>
          <w:rFonts w:eastAsia="Times New Roman" w:cs="Arial"/>
          <w:color w:val="000000"/>
          <w:sz w:val="20"/>
          <w:szCs w:val="20"/>
        </w:rPr>
        <w:t xml:space="preserve">); Queensland 55th Parliament, </w:t>
      </w:r>
      <w:r w:rsidRPr="00892424">
        <w:rPr>
          <w:rFonts w:eastAsia="Times New Roman" w:cs="Arial"/>
          <w:i/>
          <w:iCs/>
          <w:color w:val="000000"/>
          <w:sz w:val="20"/>
          <w:szCs w:val="20"/>
        </w:rPr>
        <w:t>‘Inquiry into the adequacy of existing protections for Queensland’s</w:t>
      </w:r>
      <w:r>
        <w:rPr>
          <w:rFonts w:eastAsia="Times New Roman" w:cs="Arial"/>
          <w:color w:val="0000FF"/>
          <w:sz w:val="20"/>
          <w:szCs w:val="20"/>
        </w:rPr>
        <w:t xml:space="preserve"> </w:t>
      </w:r>
      <w:r w:rsidRPr="00892424">
        <w:rPr>
          <w:rFonts w:eastAsia="Times New Roman" w:cs="Arial"/>
          <w:i/>
          <w:iCs/>
          <w:color w:val="000000"/>
          <w:sz w:val="20"/>
          <w:szCs w:val="20"/>
        </w:rPr>
        <w:t>seniors’</w:t>
      </w:r>
      <w:r w:rsidRPr="00892424">
        <w:rPr>
          <w:rFonts w:eastAsia="Times New Roman" w:cs="Arial"/>
          <w:color w:val="000000"/>
          <w:sz w:val="20"/>
          <w:szCs w:val="20"/>
        </w:rPr>
        <w:t>, Communities, Disability Services and Domestic and Family Violence Prevention Committee</w:t>
      </w:r>
    </w:p>
    <w:p w14:paraId="6E0777D0" w14:textId="77777777" w:rsidR="003126E0" w:rsidRPr="00892424" w:rsidRDefault="003126E0" w:rsidP="00733D0E">
      <w:pPr>
        <w:autoSpaceDE w:val="0"/>
        <w:autoSpaceDN w:val="0"/>
        <w:adjustRightInd w:val="0"/>
        <w:spacing w:before="0" w:after="0"/>
        <w:rPr>
          <w:rFonts w:eastAsia="Times New Roman" w:cs="Arial"/>
          <w:color w:val="000000"/>
          <w:sz w:val="20"/>
          <w:szCs w:val="20"/>
        </w:rPr>
      </w:pPr>
      <w:r w:rsidRPr="00892424">
        <w:rPr>
          <w:rFonts w:eastAsia="Times New Roman" w:cs="Arial"/>
          <w:color w:val="000000"/>
          <w:sz w:val="20"/>
          <w:szCs w:val="20"/>
        </w:rPr>
        <w:t>Report No. 2. August 2015. At</w:t>
      </w:r>
    </w:p>
    <w:p w14:paraId="2F8C4725" w14:textId="77777777" w:rsidR="003126E0" w:rsidRPr="00F31CBB" w:rsidRDefault="003126E0" w:rsidP="00242AC2">
      <w:pPr>
        <w:autoSpaceDE w:val="0"/>
        <w:autoSpaceDN w:val="0"/>
        <w:adjustRightInd w:val="0"/>
        <w:spacing w:before="0" w:after="0"/>
        <w:rPr>
          <w:rFonts w:eastAsia="Times New Roman" w:cs="Arial"/>
          <w:i/>
          <w:iCs/>
          <w:color w:val="000000"/>
          <w:sz w:val="20"/>
          <w:szCs w:val="20"/>
        </w:rPr>
      </w:pPr>
      <w:hyperlink r:id="rId55" w:history="1">
        <w:r w:rsidRPr="00940AAC">
          <w:rPr>
            <w:rStyle w:val="Hyperlink"/>
            <w:rFonts w:eastAsia="Times New Roman" w:cs="Arial"/>
            <w:sz w:val="20"/>
            <w:szCs w:val="20"/>
          </w:rPr>
          <w:t>http://www.parliament.qld.gov.au/documents/tableOffice/TabledPapers/2015/5515T876.pdf</w:t>
        </w:r>
      </w:hyperlink>
      <w:r>
        <w:rPr>
          <w:rFonts w:eastAsia="Times New Roman" w:cs="Arial"/>
          <w:color w:val="0000FF"/>
          <w:sz w:val="20"/>
          <w:szCs w:val="20"/>
        </w:rPr>
        <w:t xml:space="preserve"> </w:t>
      </w:r>
      <w:r w:rsidRPr="00892424">
        <w:rPr>
          <w:rFonts w:eastAsia="Times New Roman" w:cs="Arial"/>
          <w:color w:val="000000"/>
          <w:sz w:val="20"/>
          <w:szCs w:val="20"/>
        </w:rPr>
        <w:t>(</w:t>
      </w:r>
      <w:r w:rsidRPr="00242AC2">
        <w:rPr>
          <w:rFonts w:eastAsia="Times New Roman" w:cs="Arial"/>
          <w:color w:val="000000"/>
          <w:sz w:val="20"/>
          <w:szCs w:val="20"/>
        </w:rPr>
        <w:t>viewed 11 September 2017</w:t>
      </w:r>
      <w:r w:rsidRPr="00892424">
        <w:rPr>
          <w:rFonts w:eastAsia="Times New Roman" w:cs="Arial"/>
          <w:color w:val="000000"/>
          <w:sz w:val="20"/>
          <w:szCs w:val="20"/>
        </w:rPr>
        <w:t xml:space="preserve">); NSW Legislative Council, General Purpose Standing Committee No 2, </w:t>
      </w:r>
      <w:r w:rsidRPr="00892424">
        <w:rPr>
          <w:rFonts w:eastAsia="Times New Roman" w:cs="Arial"/>
          <w:i/>
          <w:iCs/>
          <w:color w:val="000000"/>
          <w:sz w:val="20"/>
          <w:szCs w:val="20"/>
        </w:rPr>
        <w:t xml:space="preserve">Inquiry into </w:t>
      </w:r>
      <w:r w:rsidRPr="00892424">
        <w:rPr>
          <w:rFonts w:eastAsia="Times New Roman" w:cs="Arial"/>
          <w:color w:val="000000"/>
          <w:sz w:val="20"/>
          <w:szCs w:val="20"/>
        </w:rPr>
        <w:t>e</w:t>
      </w:r>
      <w:r>
        <w:rPr>
          <w:rFonts w:eastAsia="Times New Roman" w:cs="Arial"/>
          <w:i/>
          <w:iCs/>
          <w:color w:val="000000"/>
          <w:sz w:val="20"/>
          <w:szCs w:val="20"/>
        </w:rPr>
        <w:t xml:space="preserve">lder abuse in </w:t>
      </w:r>
      <w:r w:rsidRPr="00892424">
        <w:rPr>
          <w:rFonts w:eastAsia="Times New Roman" w:cs="Arial"/>
          <w:i/>
          <w:iCs/>
          <w:color w:val="000000"/>
          <w:sz w:val="20"/>
          <w:szCs w:val="20"/>
        </w:rPr>
        <w:t>New South Wales</w:t>
      </w:r>
      <w:r w:rsidRPr="00892424">
        <w:rPr>
          <w:rFonts w:eastAsia="Times New Roman" w:cs="Arial"/>
          <w:color w:val="000000"/>
          <w:sz w:val="20"/>
          <w:szCs w:val="20"/>
        </w:rPr>
        <w:t>, Report 44 (2016). At</w:t>
      </w:r>
    </w:p>
    <w:p w14:paraId="33923587" w14:textId="4EC95BA0" w:rsidR="003126E0" w:rsidRPr="00F31CBB" w:rsidRDefault="003126E0" w:rsidP="00733D0E">
      <w:pPr>
        <w:autoSpaceDE w:val="0"/>
        <w:autoSpaceDN w:val="0"/>
        <w:adjustRightInd w:val="0"/>
        <w:spacing w:before="0" w:after="0"/>
        <w:rPr>
          <w:rFonts w:eastAsia="Times New Roman" w:cs="Arial"/>
          <w:color w:val="0000FF"/>
          <w:sz w:val="20"/>
          <w:szCs w:val="20"/>
        </w:rPr>
      </w:pPr>
      <w:hyperlink r:id="rId56" w:anchor="tabreports" w:history="1">
        <w:r w:rsidRPr="000A5C86">
          <w:rPr>
            <w:rStyle w:val="Hyperlink"/>
            <w:rFonts w:eastAsia="Times New Roman" w:cs="Arial"/>
            <w:sz w:val="20"/>
            <w:szCs w:val="20"/>
          </w:rPr>
          <w:t>https://www.parliament.nsw.gov.au/committees/inquiries/Pages/inquiry-details.aspx?pk=2387#tabreports</w:t>
        </w:r>
      </w:hyperlink>
      <w:r>
        <w:rPr>
          <w:rFonts w:eastAsia="Times New Roman" w:cs="Arial"/>
          <w:color w:val="0000FF"/>
          <w:sz w:val="20"/>
          <w:szCs w:val="20"/>
        </w:rPr>
        <w:t xml:space="preserve"> </w:t>
      </w:r>
      <w:r w:rsidRPr="00892424">
        <w:rPr>
          <w:rFonts w:eastAsia="Times New Roman" w:cs="Arial"/>
          <w:color w:val="000000"/>
          <w:sz w:val="20"/>
          <w:szCs w:val="20"/>
        </w:rPr>
        <w:t>(</w:t>
      </w:r>
      <w:r w:rsidRPr="00242AC2">
        <w:rPr>
          <w:rFonts w:eastAsia="Times New Roman" w:cs="Arial"/>
          <w:color w:val="000000"/>
          <w:sz w:val="20"/>
          <w:szCs w:val="20"/>
        </w:rPr>
        <w:t>viewed 11 September 2017</w:t>
      </w:r>
      <w:r w:rsidRPr="00892424">
        <w:rPr>
          <w:rFonts w:eastAsia="Times New Roman" w:cs="Arial"/>
          <w:color w:val="000000"/>
          <w:sz w:val="20"/>
          <w:szCs w:val="20"/>
        </w:rPr>
        <w:t xml:space="preserve">); Victorian Government, </w:t>
      </w:r>
      <w:r w:rsidRPr="00892424">
        <w:rPr>
          <w:rFonts w:eastAsia="Times New Roman" w:cs="Arial"/>
          <w:i/>
          <w:iCs/>
          <w:color w:val="000000"/>
          <w:sz w:val="20"/>
          <w:szCs w:val="20"/>
        </w:rPr>
        <w:t>Royal Commission into Family Violence</w:t>
      </w:r>
      <w:r w:rsidRPr="00892424">
        <w:rPr>
          <w:rFonts w:eastAsia="Times New Roman" w:cs="Arial"/>
          <w:color w:val="000000"/>
          <w:sz w:val="20"/>
          <w:szCs w:val="20"/>
        </w:rPr>
        <w:t>, Report (2016). At</w:t>
      </w:r>
    </w:p>
    <w:p w14:paraId="0B1C42C7" w14:textId="7708E734" w:rsidR="003126E0" w:rsidRPr="00892424" w:rsidRDefault="003126E0" w:rsidP="00733D0E">
      <w:pPr>
        <w:pStyle w:val="EndnoteText"/>
        <w:rPr>
          <w:rFonts w:cs="Arial"/>
        </w:rPr>
      </w:pPr>
      <w:hyperlink r:id="rId57" w:history="1">
        <w:r w:rsidRPr="00940AAC">
          <w:rPr>
            <w:rStyle w:val="Hyperlink"/>
            <w:rFonts w:eastAsia="Times New Roman" w:cs="Arial"/>
          </w:rPr>
          <w:t>http://www.rcfv.com.au/Report-Recommendations</w:t>
        </w:r>
      </w:hyperlink>
      <w:r>
        <w:rPr>
          <w:rFonts w:eastAsia="Times New Roman" w:cs="Arial"/>
          <w:color w:val="0000FF"/>
        </w:rPr>
        <w:t xml:space="preserve"> </w:t>
      </w:r>
      <w:r w:rsidRPr="00892424">
        <w:rPr>
          <w:rFonts w:eastAsia="Times New Roman" w:cs="Arial"/>
          <w:color w:val="000000"/>
        </w:rPr>
        <w:t>(</w:t>
      </w:r>
      <w:r w:rsidRPr="00242AC2">
        <w:rPr>
          <w:rFonts w:eastAsia="Times New Roman" w:cs="Arial"/>
          <w:color w:val="000000"/>
        </w:rPr>
        <w:t>viewed 11 September 2017</w:t>
      </w:r>
      <w:r w:rsidRPr="00892424">
        <w:rPr>
          <w:rFonts w:eastAsia="Times New Roman" w:cs="Arial"/>
          <w:color w:val="000000"/>
        </w:rPr>
        <w:t>).</w:t>
      </w:r>
    </w:p>
  </w:endnote>
  <w:endnote w:id="44">
    <w:p w14:paraId="563A91C0" w14:textId="77777777" w:rsidR="003126E0" w:rsidRPr="00892424" w:rsidRDefault="003126E0" w:rsidP="00733D0E">
      <w:pPr>
        <w:autoSpaceDE w:val="0"/>
        <w:autoSpaceDN w:val="0"/>
        <w:adjustRightInd w:val="0"/>
        <w:spacing w:before="0" w:after="0"/>
        <w:rPr>
          <w:rFonts w:eastAsia="Times New Roman" w:cs="Arial"/>
          <w:i/>
          <w:iCs/>
          <w:color w:val="000000"/>
          <w:sz w:val="20"/>
          <w:szCs w:val="20"/>
        </w:rPr>
      </w:pPr>
      <w:r w:rsidRPr="00892424">
        <w:rPr>
          <w:rStyle w:val="EndnoteReference"/>
          <w:rFonts w:cs="Arial"/>
          <w:szCs w:val="20"/>
        </w:rPr>
        <w:endnoteRef/>
      </w:r>
      <w:r w:rsidRPr="00892424">
        <w:rPr>
          <w:rFonts w:cs="Arial"/>
          <w:sz w:val="20"/>
          <w:szCs w:val="20"/>
        </w:rPr>
        <w:t xml:space="preserve"> </w:t>
      </w:r>
      <w:r w:rsidRPr="00892424">
        <w:rPr>
          <w:rFonts w:eastAsia="Times New Roman" w:cs="Arial"/>
          <w:color w:val="000000"/>
          <w:sz w:val="20"/>
          <w:szCs w:val="20"/>
        </w:rPr>
        <w:t xml:space="preserve">As announced in the Liberal Party of Australia, </w:t>
      </w:r>
      <w:r w:rsidRPr="00892424">
        <w:rPr>
          <w:rFonts w:eastAsia="Times New Roman" w:cs="Arial"/>
          <w:i/>
          <w:iCs/>
          <w:color w:val="000000"/>
          <w:sz w:val="20"/>
          <w:szCs w:val="20"/>
        </w:rPr>
        <w:t>The Coalition’s Policy to Protect the Rights of Older</w:t>
      </w:r>
    </w:p>
    <w:p w14:paraId="1FF65B34" w14:textId="2B9AB4AC" w:rsidR="003126E0" w:rsidRPr="00892424" w:rsidRDefault="003126E0" w:rsidP="00242AC2">
      <w:pPr>
        <w:autoSpaceDE w:val="0"/>
        <w:autoSpaceDN w:val="0"/>
        <w:adjustRightInd w:val="0"/>
        <w:spacing w:before="0" w:after="0"/>
        <w:rPr>
          <w:rFonts w:cs="Arial"/>
        </w:rPr>
      </w:pPr>
      <w:r w:rsidRPr="00892424">
        <w:rPr>
          <w:rFonts w:eastAsia="Times New Roman" w:cs="Arial"/>
          <w:i/>
          <w:iCs/>
          <w:color w:val="000000"/>
          <w:sz w:val="20"/>
          <w:szCs w:val="20"/>
        </w:rPr>
        <w:t xml:space="preserve">Australians </w:t>
      </w:r>
      <w:r w:rsidRPr="00892424">
        <w:rPr>
          <w:rFonts w:eastAsia="Times New Roman" w:cs="Arial"/>
          <w:color w:val="000000"/>
          <w:sz w:val="20"/>
          <w:szCs w:val="20"/>
        </w:rPr>
        <w:t xml:space="preserve">(2016). At </w:t>
      </w:r>
      <w:hyperlink r:id="rId58" w:history="1">
        <w:r w:rsidRPr="00940AAC">
          <w:rPr>
            <w:rStyle w:val="Hyperlink"/>
            <w:rFonts w:eastAsia="Times New Roman" w:cs="Arial"/>
            <w:sz w:val="20"/>
            <w:szCs w:val="20"/>
          </w:rPr>
          <w:t>www.liberal.org.au/coalitions-policy-protect-rights-older-australians</w:t>
        </w:r>
      </w:hyperlink>
      <w:r>
        <w:rPr>
          <w:rFonts w:eastAsia="Times New Roman" w:cs="Arial"/>
          <w:color w:val="0000FF"/>
          <w:sz w:val="20"/>
          <w:szCs w:val="20"/>
        </w:rPr>
        <w:t xml:space="preserve"> </w:t>
      </w:r>
      <w:r w:rsidRPr="00892424">
        <w:rPr>
          <w:rFonts w:eastAsia="Times New Roman" w:cs="Arial"/>
          <w:color w:val="000000"/>
          <w:sz w:val="20"/>
          <w:szCs w:val="20"/>
        </w:rPr>
        <w:t>(</w:t>
      </w:r>
      <w:r w:rsidRPr="00242AC2">
        <w:rPr>
          <w:rFonts w:eastAsia="Times New Roman" w:cs="Arial"/>
          <w:color w:val="000000"/>
          <w:sz w:val="20"/>
          <w:szCs w:val="20"/>
        </w:rPr>
        <w:t>viewed 11 September 2017</w:t>
      </w:r>
      <w:r w:rsidRPr="00892424">
        <w:rPr>
          <w:rFonts w:eastAsia="Times New Roman" w:cs="Arial"/>
          <w:color w:val="000000"/>
        </w:rPr>
        <w:t>).</w:t>
      </w:r>
    </w:p>
  </w:endnote>
  <w:endnote w:id="45">
    <w:p w14:paraId="4915954F" w14:textId="77777777" w:rsidR="003126E0" w:rsidRPr="00892424" w:rsidRDefault="003126E0" w:rsidP="00733D0E">
      <w:pPr>
        <w:autoSpaceDE w:val="0"/>
        <w:autoSpaceDN w:val="0"/>
        <w:adjustRightInd w:val="0"/>
        <w:spacing w:before="0" w:after="0"/>
        <w:rPr>
          <w:rFonts w:eastAsia="Times New Roman" w:cs="Arial"/>
          <w:i/>
          <w:iCs/>
          <w:color w:val="000000"/>
          <w:sz w:val="20"/>
          <w:szCs w:val="20"/>
        </w:rPr>
      </w:pPr>
      <w:r w:rsidRPr="00892424">
        <w:rPr>
          <w:rStyle w:val="EndnoteReference"/>
          <w:rFonts w:cs="Arial"/>
          <w:szCs w:val="20"/>
        </w:rPr>
        <w:endnoteRef/>
      </w:r>
      <w:r w:rsidRPr="00892424">
        <w:rPr>
          <w:rFonts w:cs="Arial"/>
          <w:sz w:val="20"/>
          <w:szCs w:val="20"/>
        </w:rPr>
        <w:t xml:space="preserve"> </w:t>
      </w:r>
      <w:r w:rsidRPr="00892424">
        <w:rPr>
          <w:rFonts w:eastAsia="Times New Roman" w:cs="Arial"/>
          <w:color w:val="000000"/>
          <w:sz w:val="20"/>
          <w:szCs w:val="20"/>
        </w:rPr>
        <w:t xml:space="preserve">As announced in the Liberal Party of Australia, </w:t>
      </w:r>
      <w:r w:rsidRPr="00892424">
        <w:rPr>
          <w:rFonts w:eastAsia="Times New Roman" w:cs="Arial"/>
          <w:i/>
          <w:iCs/>
          <w:color w:val="000000"/>
          <w:sz w:val="20"/>
          <w:szCs w:val="20"/>
        </w:rPr>
        <w:t>Improving the digital confidence and skills of senior</w:t>
      </w:r>
    </w:p>
    <w:p w14:paraId="5C0DD31C" w14:textId="6911EAD8" w:rsidR="003126E0" w:rsidRPr="00F31CBB" w:rsidRDefault="003126E0" w:rsidP="00F31CBB">
      <w:pPr>
        <w:autoSpaceDE w:val="0"/>
        <w:autoSpaceDN w:val="0"/>
        <w:adjustRightInd w:val="0"/>
        <w:spacing w:before="0" w:after="0"/>
        <w:rPr>
          <w:rFonts w:cs="Arial"/>
          <w:sz w:val="20"/>
          <w:szCs w:val="20"/>
        </w:rPr>
      </w:pPr>
      <w:r w:rsidRPr="00892424">
        <w:rPr>
          <w:rFonts w:eastAsia="Times New Roman" w:cs="Arial"/>
          <w:i/>
          <w:iCs/>
          <w:color w:val="000000"/>
          <w:sz w:val="20"/>
          <w:szCs w:val="20"/>
        </w:rPr>
        <w:t xml:space="preserve">Australians </w:t>
      </w:r>
      <w:r w:rsidRPr="00892424">
        <w:rPr>
          <w:rFonts w:eastAsia="Times New Roman" w:cs="Arial"/>
          <w:color w:val="000000"/>
          <w:sz w:val="20"/>
          <w:szCs w:val="20"/>
        </w:rPr>
        <w:t xml:space="preserve">(2016). At </w:t>
      </w:r>
      <w:hyperlink r:id="rId59" w:history="1">
        <w:r w:rsidRPr="00A248BB">
          <w:rPr>
            <w:rStyle w:val="Hyperlink"/>
            <w:rFonts w:eastAsia="Times New Roman" w:cs="Arial"/>
            <w:sz w:val="20"/>
            <w:szCs w:val="20"/>
          </w:rPr>
          <w:t>https://www.liberal.org.au/latest-news/2016/06/26/improving-digital-confidence-and-skills-senior-australians</w:t>
        </w:r>
      </w:hyperlink>
      <w:r>
        <w:rPr>
          <w:rFonts w:eastAsia="Times New Roman" w:cs="Arial"/>
          <w:color w:val="0000FF"/>
          <w:sz w:val="20"/>
          <w:szCs w:val="20"/>
        </w:rPr>
        <w:t xml:space="preserve"> </w:t>
      </w:r>
      <w:r w:rsidRPr="00F31CBB">
        <w:rPr>
          <w:rFonts w:eastAsia="Times New Roman" w:cs="Arial"/>
          <w:color w:val="000000"/>
          <w:sz w:val="20"/>
          <w:szCs w:val="20"/>
        </w:rPr>
        <w:t>(</w:t>
      </w:r>
      <w:r w:rsidRPr="00242AC2">
        <w:rPr>
          <w:rFonts w:eastAsia="Times New Roman" w:cs="Arial"/>
          <w:color w:val="000000"/>
          <w:sz w:val="20"/>
          <w:szCs w:val="20"/>
        </w:rPr>
        <w:t>viewed 11 September 2017</w:t>
      </w:r>
      <w:r w:rsidRPr="00F31CBB">
        <w:rPr>
          <w:rFonts w:eastAsia="Times New Roman" w:cs="Arial"/>
          <w:color w:val="000000"/>
          <w:sz w:val="20"/>
          <w:szCs w:val="20"/>
        </w:rPr>
        <w:t>).</w:t>
      </w:r>
    </w:p>
  </w:endnote>
  <w:endnote w:id="46">
    <w:p w14:paraId="1968CA17" w14:textId="77777777" w:rsidR="003126E0" w:rsidRPr="00E122EC" w:rsidRDefault="003126E0">
      <w:pPr>
        <w:pStyle w:val="EndnoteText"/>
      </w:pPr>
      <w:r>
        <w:rPr>
          <w:rStyle w:val="EndnoteReference"/>
        </w:rPr>
        <w:endnoteRef/>
      </w:r>
      <w:r>
        <w:t xml:space="preserve"> Australian Government, ‘About the office’, </w:t>
      </w:r>
      <w:r w:rsidRPr="00F81BF8">
        <w:rPr>
          <w:i/>
        </w:rPr>
        <w:t>Office of the eSafety Commissioner</w:t>
      </w:r>
      <w:r>
        <w:t xml:space="preserve">. At </w:t>
      </w:r>
      <w:hyperlink r:id="rId60" w:history="1">
        <w:r w:rsidRPr="00A248BB">
          <w:rPr>
            <w:rStyle w:val="Hyperlink"/>
          </w:rPr>
          <w:t>https://www.esafety.gov.au/about-the-office</w:t>
        </w:r>
      </w:hyperlink>
      <w:r>
        <w:t xml:space="preserve"> (viewed 11 September 2017). See also </w:t>
      </w:r>
      <w:r w:rsidRPr="00E122EC">
        <w:rPr>
          <w:i/>
        </w:rPr>
        <w:t>Enhancing Online Safety for Children Act</w:t>
      </w:r>
      <w:r w:rsidRPr="00E122EC">
        <w:t xml:space="preserve"> </w:t>
      </w:r>
      <w:r w:rsidRPr="00E122EC">
        <w:rPr>
          <w:i/>
        </w:rPr>
        <w:t>2015</w:t>
      </w:r>
      <w:r>
        <w:rPr>
          <w:i/>
        </w:rPr>
        <w:t xml:space="preserve"> </w:t>
      </w:r>
      <w:r>
        <w:t>(Cth).</w:t>
      </w:r>
    </w:p>
  </w:endnote>
  <w:endnote w:id="47">
    <w:p w14:paraId="641DA3ED" w14:textId="77777777" w:rsidR="003126E0" w:rsidRDefault="003126E0">
      <w:pPr>
        <w:pStyle w:val="EndnoteText"/>
      </w:pPr>
      <w:r>
        <w:rPr>
          <w:rStyle w:val="EndnoteReference"/>
        </w:rPr>
        <w:endnoteRef/>
      </w:r>
      <w:r>
        <w:t xml:space="preserve"> The Hon Mitch Fifield, Minister for Communications, and The Hon Michaelia Cash, Minister for Women, </w:t>
      </w:r>
      <w:r w:rsidRPr="006752FE">
        <w:rPr>
          <w:i/>
        </w:rPr>
        <w:t>eSafety Commissioner to enhance online safety for all Australians</w:t>
      </w:r>
      <w:r>
        <w:t xml:space="preserve">, Ministers for the Department of Communications and the Arts, Australian Government (20 June 2017). At </w:t>
      </w:r>
      <w:hyperlink r:id="rId61" w:anchor=".WbXnsk1dY8Q" w:history="1">
        <w:r w:rsidRPr="00A248BB">
          <w:rPr>
            <w:rStyle w:val="Hyperlink"/>
          </w:rPr>
          <w:t>http://www.minister.communications.gov.au/mitch_fifield/news/esafety_commissioner_to_enhance_online_safety_for_all_australians#.WbXnsk1dY8Q</w:t>
        </w:r>
      </w:hyperlink>
      <w:r>
        <w:t xml:space="preserve"> (viewed 11 September 2017). </w:t>
      </w:r>
    </w:p>
  </w:endnote>
  <w:endnote w:id="48">
    <w:p w14:paraId="6026B78D" w14:textId="77777777" w:rsidR="003126E0" w:rsidRPr="00892424" w:rsidRDefault="003126E0" w:rsidP="005854C6">
      <w:pPr>
        <w:pStyle w:val="EndnoteText"/>
        <w:rPr>
          <w:rFonts w:cs="Arial"/>
          <w:lang w:val="en-US"/>
        </w:rPr>
      </w:pPr>
      <w:r w:rsidRPr="00892424">
        <w:rPr>
          <w:rStyle w:val="EndnoteReference"/>
          <w:rFonts w:cs="Arial"/>
        </w:rPr>
        <w:endnoteRef/>
      </w:r>
      <w:r w:rsidRPr="00892424">
        <w:rPr>
          <w:rFonts w:cs="Arial"/>
        </w:rPr>
        <w:t xml:space="preserve"> </w:t>
      </w:r>
      <w:r w:rsidRPr="00892424">
        <w:rPr>
          <w:rFonts w:cs="Arial"/>
          <w:lang w:val="en-US"/>
        </w:rPr>
        <w:t xml:space="preserve">Australian Human Rights Commission, </w:t>
      </w:r>
      <w:r w:rsidRPr="00892424">
        <w:rPr>
          <w:rFonts w:cs="Arial"/>
          <w:i/>
          <w:lang w:val="en-US"/>
        </w:rPr>
        <w:t xml:space="preserve">Willing to Work: National Inquiry into Employment Discrimination Against Older Australians and Australians with Disability </w:t>
      </w:r>
      <w:r>
        <w:rPr>
          <w:rFonts w:cs="Arial"/>
          <w:lang w:val="en-US"/>
        </w:rPr>
        <w:t>(</w:t>
      </w:r>
      <w:r>
        <w:rPr>
          <w:rFonts w:eastAsia="Times New Roman" w:cs="Arial"/>
          <w:color w:val="000000"/>
        </w:rPr>
        <w:t>2 May 2016)</w:t>
      </w:r>
      <w:r w:rsidRPr="00892424">
        <w:rPr>
          <w:rFonts w:cs="Arial"/>
          <w:lang w:val="en-US"/>
        </w:rPr>
        <w:t xml:space="preserve">. At </w:t>
      </w:r>
      <w:hyperlink r:id="rId62" w:history="1">
        <w:r w:rsidRPr="00892424">
          <w:rPr>
            <w:rStyle w:val="Hyperlink"/>
            <w:rFonts w:cs="Arial"/>
          </w:rPr>
          <w:t>https://www.humanrights.gov.au/our-work/disability-rights/publications/willing-work-national-inquiry-employment-discrimination</w:t>
        </w:r>
      </w:hyperlink>
      <w:r w:rsidRPr="00892424">
        <w:rPr>
          <w:rFonts w:cs="Arial"/>
        </w:rPr>
        <w:t xml:space="preserve"> </w:t>
      </w:r>
      <w:r w:rsidRPr="00892424">
        <w:rPr>
          <w:rFonts w:cs="Arial"/>
          <w:lang w:val="en-US"/>
        </w:rPr>
        <w:t xml:space="preserve"> (</w:t>
      </w:r>
      <w:r w:rsidRPr="00BF602B">
        <w:rPr>
          <w:rFonts w:cs="Arial"/>
        </w:rPr>
        <w:t xml:space="preserve">viewed </w:t>
      </w:r>
      <w:r>
        <w:rPr>
          <w:rFonts w:cs="Arial"/>
        </w:rPr>
        <w:t>11 September 2017</w:t>
      </w:r>
      <w:r w:rsidRPr="00892424">
        <w:rPr>
          <w:rFonts w:cs="Arial"/>
          <w:lang w:val="en-US"/>
        </w:rPr>
        <w:t>).</w:t>
      </w:r>
    </w:p>
  </w:endnote>
  <w:endnote w:id="49">
    <w:p w14:paraId="485C911C" w14:textId="77777777" w:rsidR="003126E0" w:rsidRPr="00892424" w:rsidRDefault="003126E0" w:rsidP="00C82CA3">
      <w:pPr>
        <w:autoSpaceDE w:val="0"/>
        <w:autoSpaceDN w:val="0"/>
        <w:adjustRightInd w:val="0"/>
        <w:spacing w:before="0" w:after="0"/>
        <w:rPr>
          <w:rFonts w:eastAsia="Times New Roman" w:cs="Arial"/>
          <w:i/>
          <w:iCs/>
          <w:color w:val="000000"/>
          <w:sz w:val="20"/>
          <w:szCs w:val="20"/>
        </w:rPr>
      </w:pPr>
      <w:r w:rsidRPr="00892424">
        <w:rPr>
          <w:rStyle w:val="EndnoteReference"/>
          <w:rFonts w:cs="Arial"/>
          <w:szCs w:val="20"/>
        </w:rPr>
        <w:endnoteRef/>
      </w:r>
      <w:r w:rsidRPr="00892424">
        <w:rPr>
          <w:rFonts w:cs="Arial"/>
          <w:sz w:val="20"/>
          <w:szCs w:val="20"/>
        </w:rPr>
        <w:t xml:space="preserve"> </w:t>
      </w:r>
      <w:r w:rsidRPr="00892424">
        <w:rPr>
          <w:rFonts w:eastAsia="Times New Roman" w:cs="Arial"/>
          <w:color w:val="000000"/>
          <w:sz w:val="20"/>
          <w:szCs w:val="20"/>
        </w:rPr>
        <w:t xml:space="preserve">Australian Human Rights Commission, </w:t>
      </w:r>
      <w:r w:rsidRPr="00892424">
        <w:rPr>
          <w:rFonts w:eastAsia="Times New Roman" w:cs="Arial"/>
          <w:i/>
          <w:iCs/>
          <w:color w:val="000000"/>
          <w:sz w:val="20"/>
          <w:szCs w:val="20"/>
        </w:rPr>
        <w:t>Willing to Work National Inquiry into Employment</w:t>
      </w:r>
    </w:p>
    <w:p w14:paraId="2237C6CD" w14:textId="77777777" w:rsidR="003126E0" w:rsidRPr="00892424" w:rsidRDefault="003126E0" w:rsidP="00C82CA3">
      <w:pPr>
        <w:autoSpaceDE w:val="0"/>
        <w:autoSpaceDN w:val="0"/>
        <w:adjustRightInd w:val="0"/>
        <w:spacing w:before="0" w:after="0"/>
        <w:rPr>
          <w:rFonts w:eastAsia="Times New Roman" w:cs="Arial"/>
          <w:color w:val="000000"/>
          <w:sz w:val="20"/>
          <w:szCs w:val="20"/>
        </w:rPr>
      </w:pPr>
      <w:r w:rsidRPr="00892424">
        <w:rPr>
          <w:rFonts w:eastAsia="Times New Roman" w:cs="Arial"/>
          <w:i/>
          <w:iCs/>
          <w:color w:val="000000"/>
          <w:sz w:val="20"/>
          <w:szCs w:val="20"/>
        </w:rPr>
        <w:t>Discrimination against Older Australians and Australians with Disability</w:t>
      </w:r>
      <w:r w:rsidRPr="00892424">
        <w:rPr>
          <w:rFonts w:eastAsia="Times New Roman" w:cs="Arial"/>
          <w:color w:val="000000"/>
          <w:sz w:val="20"/>
          <w:szCs w:val="20"/>
        </w:rPr>
        <w:t>, 2 May 2016. At</w:t>
      </w:r>
    </w:p>
    <w:p w14:paraId="50D261F7" w14:textId="6F6B61CB" w:rsidR="003126E0" w:rsidRPr="00892424" w:rsidRDefault="003126E0" w:rsidP="00C82CA3">
      <w:pPr>
        <w:autoSpaceDE w:val="0"/>
        <w:autoSpaceDN w:val="0"/>
        <w:adjustRightInd w:val="0"/>
        <w:spacing w:before="0" w:after="0"/>
        <w:rPr>
          <w:rFonts w:cs="Arial"/>
          <w:sz w:val="20"/>
          <w:szCs w:val="20"/>
        </w:rPr>
      </w:pPr>
      <w:hyperlink r:id="rId63" w:history="1">
        <w:r w:rsidRPr="00940AAC">
          <w:rPr>
            <w:rStyle w:val="Hyperlink"/>
            <w:rFonts w:eastAsia="Times New Roman" w:cs="Arial"/>
            <w:sz w:val="20"/>
            <w:szCs w:val="20"/>
          </w:rPr>
          <w:t>https://www.humanrights.gov.au/our-work/disability-rights/publications/willing-work-national-inquiryemployment-discrimination</w:t>
        </w:r>
      </w:hyperlink>
      <w:r>
        <w:rPr>
          <w:rFonts w:eastAsia="Times New Roman" w:cs="Arial"/>
          <w:color w:val="0000FF"/>
          <w:sz w:val="20"/>
          <w:szCs w:val="20"/>
        </w:rPr>
        <w:t xml:space="preserve"> </w:t>
      </w:r>
      <w:r w:rsidRPr="00892424">
        <w:rPr>
          <w:rFonts w:eastAsia="Times New Roman" w:cs="Arial"/>
          <w:color w:val="000000"/>
          <w:sz w:val="20"/>
          <w:szCs w:val="20"/>
        </w:rPr>
        <w:t>(</w:t>
      </w:r>
      <w:r w:rsidRPr="00242AC2">
        <w:rPr>
          <w:rFonts w:eastAsia="Times New Roman" w:cs="Arial"/>
          <w:color w:val="000000"/>
          <w:sz w:val="20"/>
          <w:szCs w:val="20"/>
        </w:rPr>
        <w:t>viewed 11 September 2017</w:t>
      </w:r>
      <w:r>
        <w:rPr>
          <w:rFonts w:eastAsia="Times New Roman" w:cs="Arial"/>
          <w:color w:val="000000"/>
          <w:sz w:val="20"/>
          <w:szCs w:val="20"/>
        </w:rPr>
        <w:t>)</w:t>
      </w:r>
      <w:r w:rsidRPr="00892424">
        <w:rPr>
          <w:rFonts w:eastAsia="Times New Roman" w:cs="Arial"/>
          <w:color w:val="000000"/>
          <w:sz w:val="20"/>
          <w:szCs w:val="20"/>
        </w:rPr>
        <w:t>.</w:t>
      </w:r>
    </w:p>
  </w:endnote>
  <w:endnote w:id="50">
    <w:p w14:paraId="3205231D" w14:textId="3419C258" w:rsidR="003126E0" w:rsidRPr="00892424" w:rsidRDefault="003126E0" w:rsidP="00F9298B">
      <w:pPr>
        <w:spacing w:before="0" w:after="0"/>
        <w:rPr>
          <w:rFonts w:cs="Arial"/>
          <w:sz w:val="20"/>
          <w:szCs w:val="20"/>
          <w:lang w:eastAsia="en-US"/>
        </w:rPr>
      </w:pPr>
      <w:r w:rsidRPr="00892424">
        <w:rPr>
          <w:rStyle w:val="EndnoteReference"/>
          <w:rFonts w:cs="Arial"/>
          <w:szCs w:val="20"/>
        </w:rPr>
        <w:endnoteRef/>
      </w:r>
      <w:r w:rsidRPr="00892424">
        <w:rPr>
          <w:rFonts w:cs="Arial"/>
          <w:sz w:val="20"/>
          <w:szCs w:val="20"/>
        </w:rPr>
        <w:t xml:space="preserve"> Australian Bureau of Statistics, </w:t>
      </w:r>
      <w:r w:rsidRPr="00892424">
        <w:rPr>
          <w:rFonts w:cs="Arial"/>
          <w:i/>
          <w:iCs/>
          <w:sz w:val="20"/>
          <w:szCs w:val="20"/>
        </w:rPr>
        <w:t>Disability, Ageing and Carers, Australia: First Results, 2015</w:t>
      </w:r>
      <w:r w:rsidRPr="00892424">
        <w:rPr>
          <w:rFonts w:cs="Arial"/>
          <w:sz w:val="20"/>
          <w:szCs w:val="20"/>
        </w:rPr>
        <w:t xml:space="preserve"> (Cat. No. 4430.0.10.001). At </w:t>
      </w:r>
      <w:hyperlink r:id="rId64" w:history="1">
        <w:r w:rsidRPr="00892424">
          <w:rPr>
            <w:rStyle w:val="Hyperlink"/>
            <w:rFonts w:cs="Arial"/>
            <w:sz w:val="20"/>
            <w:szCs w:val="20"/>
          </w:rPr>
          <w:t>http://www.abs.gov.au/ausstats/a</w:t>
        </w:r>
        <w:r w:rsidRPr="00892424">
          <w:rPr>
            <w:rStyle w:val="Hyperlink"/>
            <w:rFonts w:cs="Arial"/>
            <w:sz w:val="20"/>
            <w:szCs w:val="20"/>
          </w:rPr>
          <w:t>b</w:t>
        </w:r>
        <w:r w:rsidRPr="00892424">
          <w:rPr>
            <w:rStyle w:val="Hyperlink"/>
            <w:rFonts w:cs="Arial"/>
            <w:sz w:val="20"/>
            <w:szCs w:val="20"/>
          </w:rPr>
          <w:t>s@.nsf/mf/4430.0.10.001</w:t>
        </w:r>
      </w:hyperlink>
      <w:r>
        <w:rPr>
          <w:rFonts w:cs="Arial"/>
          <w:sz w:val="20"/>
          <w:szCs w:val="20"/>
        </w:rPr>
        <w:t xml:space="preserve"> (viewed 11 September 2017).</w:t>
      </w:r>
    </w:p>
  </w:endnote>
  <w:endnote w:id="51">
    <w:p w14:paraId="0A20D5F9" w14:textId="51C22474" w:rsidR="003126E0" w:rsidRPr="00892424" w:rsidRDefault="003126E0" w:rsidP="00CA605D">
      <w:pPr>
        <w:pStyle w:val="EndnoteText"/>
        <w:rPr>
          <w:rFonts w:cs="Arial"/>
        </w:rPr>
      </w:pPr>
      <w:r w:rsidRPr="00892424">
        <w:rPr>
          <w:rStyle w:val="EndnoteReference"/>
          <w:rFonts w:cs="Arial"/>
        </w:rPr>
        <w:endnoteRef/>
      </w:r>
      <w:r w:rsidRPr="00892424">
        <w:rPr>
          <w:rFonts w:cs="Arial"/>
        </w:rPr>
        <w:t xml:space="preserve"> </w:t>
      </w:r>
      <w:r w:rsidRPr="00892424">
        <w:rPr>
          <w:rFonts w:cs="Arial"/>
          <w:iCs/>
        </w:rPr>
        <w:t xml:space="preserve">The Commission’s report, </w:t>
      </w:r>
      <w:r w:rsidRPr="00892424">
        <w:rPr>
          <w:rFonts w:cs="Arial"/>
          <w:i/>
          <w:iCs/>
        </w:rPr>
        <w:t>Equal Before The Law,</w:t>
      </w:r>
      <w:r w:rsidRPr="00892424">
        <w:rPr>
          <w:rFonts w:cs="Arial"/>
          <w:iCs/>
        </w:rPr>
        <w:t xml:space="preserve"> concluded that </w:t>
      </w:r>
      <w:r>
        <w:rPr>
          <w:rFonts w:cs="Arial"/>
          <w:iCs/>
        </w:rPr>
        <w:t>people with disability</w:t>
      </w:r>
      <w:r w:rsidRPr="00892424">
        <w:rPr>
          <w:rFonts w:cs="Arial"/>
          <w:iCs/>
        </w:rPr>
        <w:t xml:space="preserve"> have higher rates of interaction with the criminal justice system than other Australians, citing 2012 statistics that indicate 38% of prison entrants reported that they have been told by a doctor, psychiatrist, psychologist or nurse that they have a mental health disorder and 46% of prison discharges reported that they have been told they have a health condition – mental health, including drug and alcohol abuse. Australian Human Rights Commission</w:t>
      </w:r>
      <w:r w:rsidRPr="00892424">
        <w:rPr>
          <w:rFonts w:cs="Arial"/>
          <w:i/>
          <w:iCs/>
        </w:rPr>
        <w:t>, Equal Before the Law: Towards disability justice strategies</w:t>
      </w:r>
      <w:r>
        <w:rPr>
          <w:rFonts w:cs="Arial"/>
          <w:iCs/>
        </w:rPr>
        <w:t xml:space="preserve"> (2014)</w:t>
      </w:r>
      <w:r w:rsidRPr="00892424">
        <w:rPr>
          <w:rFonts w:cs="Arial"/>
          <w:iCs/>
        </w:rPr>
        <w:t xml:space="preserve"> 12. At </w:t>
      </w:r>
      <w:hyperlink r:id="rId65" w:history="1">
        <w:r w:rsidRPr="00892424">
          <w:rPr>
            <w:rStyle w:val="Hyperlink"/>
            <w:rFonts w:cs="Arial"/>
          </w:rPr>
          <w:t>https://www.</w:t>
        </w:r>
        <w:r w:rsidRPr="00892424">
          <w:rPr>
            <w:rStyle w:val="Hyperlink"/>
            <w:rFonts w:cs="Arial"/>
          </w:rPr>
          <w:t>h</w:t>
        </w:r>
        <w:r w:rsidRPr="00892424">
          <w:rPr>
            <w:rStyle w:val="Hyperlink"/>
            <w:rFonts w:cs="Arial"/>
          </w:rPr>
          <w:t>umanrights.gov.au/our-work/disability-rights/publications/equal-law</w:t>
        </w:r>
      </w:hyperlink>
      <w:r w:rsidRPr="00892424">
        <w:rPr>
          <w:rFonts w:cs="Arial"/>
        </w:rPr>
        <w:t xml:space="preserve"> </w:t>
      </w:r>
      <w:r w:rsidRPr="00892424">
        <w:rPr>
          <w:rFonts w:cs="Arial"/>
          <w:iCs/>
        </w:rPr>
        <w:t>(</w:t>
      </w:r>
      <w:r w:rsidRPr="00BF602B">
        <w:rPr>
          <w:rFonts w:cs="Arial"/>
        </w:rPr>
        <w:t xml:space="preserve">viewed </w:t>
      </w:r>
      <w:r>
        <w:rPr>
          <w:rFonts w:cs="Arial"/>
        </w:rPr>
        <w:t>11 September 2017</w:t>
      </w:r>
      <w:r w:rsidRPr="00892424">
        <w:rPr>
          <w:rFonts w:cs="Arial"/>
          <w:iCs/>
        </w:rPr>
        <w:t xml:space="preserve">). </w:t>
      </w:r>
    </w:p>
  </w:endnote>
  <w:endnote w:id="52">
    <w:p w14:paraId="28BD5B0B" w14:textId="77777777" w:rsidR="003126E0" w:rsidRPr="00892424" w:rsidRDefault="003126E0" w:rsidP="00CC6C91">
      <w:pPr>
        <w:pStyle w:val="EndnoteText"/>
        <w:rPr>
          <w:rFonts w:cs="Arial"/>
        </w:rPr>
      </w:pPr>
      <w:r w:rsidRPr="00892424">
        <w:rPr>
          <w:rStyle w:val="EndnoteReference"/>
          <w:rFonts w:cs="Arial"/>
        </w:rPr>
        <w:endnoteRef/>
      </w:r>
      <w:r w:rsidRPr="00892424">
        <w:rPr>
          <w:rFonts w:cs="Arial"/>
        </w:rPr>
        <w:t xml:space="preserve"> </w:t>
      </w:r>
      <w:r w:rsidRPr="00892424">
        <w:rPr>
          <w:rFonts w:cs="Arial"/>
          <w:iCs/>
        </w:rPr>
        <w:t>Australian Human Rights Commission</w:t>
      </w:r>
      <w:r w:rsidRPr="00892424">
        <w:rPr>
          <w:rFonts w:cs="Arial"/>
          <w:i/>
          <w:iCs/>
        </w:rPr>
        <w:t>, Equal Before the Law: Towards disability justice strategies</w:t>
      </w:r>
      <w:r w:rsidRPr="00892424">
        <w:rPr>
          <w:rFonts w:cs="Arial"/>
          <w:iCs/>
        </w:rPr>
        <w:t xml:space="preserve"> (2014) 12. At </w:t>
      </w:r>
      <w:hyperlink r:id="rId66" w:history="1">
        <w:r w:rsidRPr="00892424">
          <w:rPr>
            <w:rStyle w:val="Hyperlink"/>
            <w:rFonts w:cs="Arial"/>
          </w:rPr>
          <w:t>https://www.humanrights.gov.au/our-work/disability-rights/publications/equal-law</w:t>
        </w:r>
      </w:hyperlink>
      <w:r w:rsidRPr="00892424">
        <w:rPr>
          <w:rFonts w:cs="Arial"/>
        </w:rPr>
        <w:t xml:space="preserve"> </w:t>
      </w:r>
      <w:r w:rsidRPr="00892424">
        <w:rPr>
          <w:rFonts w:cs="Arial"/>
          <w:iCs/>
        </w:rPr>
        <w:t>(</w:t>
      </w:r>
      <w:r w:rsidRPr="00BF602B">
        <w:rPr>
          <w:rFonts w:cs="Arial"/>
        </w:rPr>
        <w:t xml:space="preserve">viewed </w:t>
      </w:r>
      <w:r>
        <w:rPr>
          <w:rFonts w:cs="Arial"/>
        </w:rPr>
        <w:t>11 September 2017</w:t>
      </w:r>
      <w:r w:rsidRPr="00892424">
        <w:rPr>
          <w:rFonts w:cs="Arial"/>
          <w:iCs/>
        </w:rPr>
        <w:t xml:space="preserve">). </w:t>
      </w:r>
    </w:p>
  </w:endnote>
  <w:endnote w:id="53">
    <w:p w14:paraId="035A8792" w14:textId="283A3A4F" w:rsidR="003126E0" w:rsidRPr="00892424" w:rsidRDefault="003126E0" w:rsidP="00CC6C91">
      <w:pPr>
        <w:pStyle w:val="EndnoteText"/>
        <w:rPr>
          <w:rFonts w:cs="Arial"/>
        </w:rPr>
      </w:pPr>
      <w:r w:rsidRPr="00892424">
        <w:rPr>
          <w:rStyle w:val="EndnoteReference"/>
          <w:rFonts w:cs="Arial"/>
        </w:rPr>
        <w:endnoteRef/>
      </w:r>
      <w:r w:rsidRPr="00892424">
        <w:rPr>
          <w:rFonts w:cs="Arial"/>
        </w:rPr>
        <w:t xml:space="preserve"> </w:t>
      </w:r>
      <w:r w:rsidRPr="00892424">
        <w:rPr>
          <w:rFonts w:cs="Arial"/>
          <w:i/>
        </w:rPr>
        <w:t>Report of the Working Group on the Universal Periodic Review</w:t>
      </w:r>
      <w:r w:rsidRPr="00892424">
        <w:rPr>
          <w:rFonts w:cs="Arial"/>
        </w:rPr>
        <w:t xml:space="preserve"> </w:t>
      </w:r>
      <w:r w:rsidRPr="00892424">
        <w:rPr>
          <w:rFonts w:cs="Arial"/>
          <w:i/>
        </w:rPr>
        <w:t>Australia</w:t>
      </w:r>
      <w:r w:rsidRPr="00892424">
        <w:rPr>
          <w:rFonts w:cs="Arial"/>
        </w:rPr>
        <w:t>, HRC, 31</w:t>
      </w:r>
      <w:r w:rsidRPr="00892424">
        <w:rPr>
          <w:rFonts w:cs="Arial"/>
          <w:vertAlign w:val="superscript"/>
        </w:rPr>
        <w:t>st</w:t>
      </w:r>
      <w:r w:rsidRPr="00892424">
        <w:rPr>
          <w:rFonts w:cs="Arial"/>
        </w:rPr>
        <w:t xml:space="preserve"> sess, Agenda Item 6, UN Doc A/HRC/31/14 (31 January 2016) [141]. At </w:t>
      </w:r>
      <w:hyperlink w:history="1">
        <w:r w:rsidRPr="007B2245">
          <w:rPr>
            <w:rStyle w:val="Hyperlink"/>
            <w:rFonts w:cs="Arial"/>
          </w:rPr>
          <w:t>http:// www.ohchr.org/EN/HRBodies/UPR/Pages/AUSession23.aspx</w:t>
        </w:r>
      </w:hyperlink>
      <w:r w:rsidRPr="00892424">
        <w:rPr>
          <w:rFonts w:cs="Arial"/>
        </w:rPr>
        <w:t xml:space="preserve"> (</w:t>
      </w:r>
      <w:r w:rsidRPr="00BF602B">
        <w:rPr>
          <w:rFonts w:cs="Arial"/>
        </w:rPr>
        <w:t xml:space="preserve">viewed </w:t>
      </w:r>
      <w:r>
        <w:rPr>
          <w:rFonts w:cs="Arial"/>
        </w:rPr>
        <w:t>11 September 2017</w:t>
      </w:r>
      <w:r w:rsidRPr="00892424">
        <w:rPr>
          <w:rFonts w:cs="Arial"/>
        </w:rPr>
        <w:t>).</w:t>
      </w:r>
      <w:r>
        <w:rPr>
          <w:rFonts w:cs="Arial"/>
        </w:rPr>
        <w:t xml:space="preserve"> See also Australian Law Reform Commission, </w:t>
      </w:r>
      <w:r>
        <w:rPr>
          <w:rFonts w:cs="Arial"/>
          <w:i/>
        </w:rPr>
        <w:t xml:space="preserve">Equality, Capacity and Disability in Commonwealth Laws, </w:t>
      </w:r>
      <w:r>
        <w:rPr>
          <w:rFonts w:cs="Arial"/>
        </w:rPr>
        <w:t xml:space="preserve">Report No 124 (2014) 200–201 (Recommendation 7–1), 206 (Recommendation 7-2); Senate Standing Committee on Community Affairs, Parliament of Australia, </w:t>
      </w:r>
      <w:r>
        <w:rPr>
          <w:rFonts w:cs="Arial"/>
          <w:i/>
        </w:rPr>
        <w:t>Indefinite detention of people with cognitive and psychiatric impairment in Australia</w:t>
      </w:r>
      <w:r>
        <w:rPr>
          <w:rFonts w:cs="Arial"/>
        </w:rPr>
        <w:t xml:space="preserve"> (2016) 173 [9.11] (Recommendation 1). At </w:t>
      </w:r>
      <w:hyperlink r:id="rId67" w:history="1">
        <w:r w:rsidRPr="004519B6">
          <w:rPr>
            <w:rStyle w:val="Hyperlink"/>
            <w:rFonts w:cs="Arial"/>
          </w:rPr>
          <w:t>http://www.aph.gov.au/Parliamentary_Business/Committees/Senate/Community_Affairs/IndefiniteDetention45/Report</w:t>
        </w:r>
      </w:hyperlink>
      <w:r>
        <w:rPr>
          <w:rFonts w:cs="Arial"/>
        </w:rPr>
        <w:t xml:space="preserve"> (viewed 14 September 2017).</w:t>
      </w:r>
    </w:p>
  </w:endnote>
  <w:endnote w:id="54">
    <w:p w14:paraId="430FA5F5" w14:textId="77777777" w:rsidR="003126E0" w:rsidRPr="00892424" w:rsidRDefault="003126E0" w:rsidP="00CC6C91">
      <w:pPr>
        <w:pStyle w:val="EndnoteText"/>
        <w:rPr>
          <w:rFonts w:cs="Arial"/>
        </w:rPr>
      </w:pPr>
      <w:r w:rsidRPr="00892424">
        <w:rPr>
          <w:rStyle w:val="EndnoteReference"/>
          <w:rFonts w:cs="Arial"/>
        </w:rPr>
        <w:endnoteRef/>
      </w:r>
      <w:r w:rsidRPr="00892424">
        <w:rPr>
          <w:rFonts w:cs="Arial"/>
        </w:rPr>
        <w:t xml:space="preserve"> Australian Government Department of Social Services, </w:t>
      </w:r>
      <w:r w:rsidRPr="00892424">
        <w:rPr>
          <w:rFonts w:cs="Arial"/>
          <w:i/>
        </w:rPr>
        <w:t xml:space="preserve">Australian Government response to the Senate Community Affairs References Committee report: Violence, abuse and neglect against people with disability in institutional and residential settings, including the gender and age related dimensions, and the particular situation of Aboriginal and Torres Strait Islander people with disability, and culturally and linguistically diverse people with disability </w:t>
      </w:r>
      <w:r w:rsidRPr="00892424">
        <w:rPr>
          <w:rFonts w:cs="Arial"/>
        </w:rPr>
        <w:t xml:space="preserve">(2017). At </w:t>
      </w:r>
      <w:hyperlink r:id="rId68" w:history="1">
        <w:r w:rsidRPr="00892424">
          <w:rPr>
            <w:rStyle w:val="Hyperlink"/>
            <w:rFonts w:cs="Arial"/>
          </w:rPr>
          <w:t>https://www.dss.gov.au/disability-and-carers/publications-articles/general/australian-government-response-violence-abuse-neglect-against-people-with-disability</w:t>
        </w:r>
      </w:hyperlink>
      <w:r w:rsidRPr="00892424">
        <w:rPr>
          <w:rFonts w:cs="Arial"/>
        </w:rPr>
        <w:t xml:space="preserve"> (</w:t>
      </w:r>
      <w:r w:rsidRPr="00BF602B">
        <w:rPr>
          <w:rFonts w:cs="Arial"/>
        </w:rPr>
        <w:t xml:space="preserve">viewed </w:t>
      </w:r>
      <w:r>
        <w:rPr>
          <w:rFonts w:cs="Arial"/>
        </w:rPr>
        <w:t>11 September 2017</w:t>
      </w:r>
      <w:r w:rsidRPr="00892424">
        <w:rPr>
          <w:rFonts w:cs="Arial"/>
        </w:rPr>
        <w:t>).</w:t>
      </w:r>
    </w:p>
  </w:endnote>
  <w:endnote w:id="55">
    <w:p w14:paraId="4A5E9181" w14:textId="77777777" w:rsidR="003126E0" w:rsidRPr="007A4BDE" w:rsidRDefault="003126E0" w:rsidP="00733D0E">
      <w:pPr>
        <w:pStyle w:val="EndnoteText"/>
        <w:rPr>
          <w:rFonts w:cs="Arial"/>
        </w:rPr>
      </w:pPr>
      <w:r w:rsidRPr="00892424">
        <w:rPr>
          <w:rStyle w:val="EndnoteReference"/>
          <w:rFonts w:cs="Arial"/>
        </w:rPr>
        <w:endnoteRef/>
      </w:r>
      <w:r w:rsidRPr="00892424">
        <w:rPr>
          <w:rFonts w:cs="Arial"/>
        </w:rPr>
        <w:t xml:space="preserve">  Senate Standing Committees on Community Affairs, Parliament of Australia, </w:t>
      </w:r>
      <w:r w:rsidRPr="00892424">
        <w:rPr>
          <w:rFonts w:cs="Arial"/>
          <w:i/>
        </w:rPr>
        <w:t>Violence, abuse and neglect against people with disability in institutional and residential settings</w:t>
      </w:r>
      <w:r w:rsidRPr="00892424">
        <w:rPr>
          <w:rFonts w:cs="Arial"/>
        </w:rPr>
        <w:t xml:space="preserve">, At </w:t>
      </w:r>
      <w:hyperlink r:id="rId69" w:history="1">
        <w:r w:rsidRPr="007A4BDE">
          <w:rPr>
            <w:rStyle w:val="Hyperlink"/>
            <w:rFonts w:cs="Arial"/>
          </w:rPr>
          <w:t>http://www.aph.gov.au/Parliamentary_Business/Committees/Senate/Community_Affairs/Violence_abuse_neglect</w:t>
        </w:r>
      </w:hyperlink>
      <w:r w:rsidRPr="007A4BDE">
        <w:rPr>
          <w:rFonts w:cs="Arial"/>
        </w:rPr>
        <w:t xml:space="preserve">  (</w:t>
      </w:r>
      <w:r w:rsidRPr="00BF602B">
        <w:rPr>
          <w:rFonts w:cs="Arial"/>
        </w:rPr>
        <w:t xml:space="preserve">viewed </w:t>
      </w:r>
      <w:r>
        <w:rPr>
          <w:rFonts w:cs="Arial"/>
        </w:rPr>
        <w:t>11 September 2017</w:t>
      </w:r>
      <w:r w:rsidRPr="007A4BDE">
        <w:rPr>
          <w:rFonts w:cs="Arial"/>
        </w:rPr>
        <w:t>).</w:t>
      </w:r>
    </w:p>
  </w:endnote>
  <w:endnote w:id="56">
    <w:p w14:paraId="2900D21D" w14:textId="77777777" w:rsidR="003126E0" w:rsidRPr="007A4BDE" w:rsidRDefault="003126E0" w:rsidP="0015066F">
      <w:pPr>
        <w:pStyle w:val="EndnoteText"/>
        <w:rPr>
          <w:rFonts w:cs="Arial"/>
        </w:rPr>
      </w:pPr>
      <w:r w:rsidRPr="007A4BDE">
        <w:rPr>
          <w:rStyle w:val="EndnoteReference"/>
          <w:rFonts w:cs="Arial"/>
        </w:rPr>
        <w:endnoteRef/>
      </w:r>
      <w:r w:rsidRPr="007A4BDE">
        <w:rPr>
          <w:rFonts w:cs="Arial"/>
        </w:rPr>
        <w:t xml:space="preserve"> Australian Human Rights Commission, </w:t>
      </w:r>
      <w:r w:rsidRPr="007A4BDE">
        <w:rPr>
          <w:rFonts w:cs="Arial"/>
          <w:i/>
        </w:rPr>
        <w:t>Shap</w:t>
      </w:r>
      <w:r w:rsidRPr="00A35ED9">
        <w:rPr>
          <w:rFonts w:cs="Arial"/>
          <w:i/>
        </w:rPr>
        <w:t>ing our future: discussions on disability rights</w:t>
      </w:r>
      <w:r w:rsidRPr="00A35ED9">
        <w:rPr>
          <w:rFonts w:cs="Arial"/>
        </w:rPr>
        <w:t xml:space="preserve"> (2017). At </w:t>
      </w:r>
      <w:hyperlink r:id="rId70" w:history="1">
        <w:r w:rsidRPr="007A4BDE">
          <w:rPr>
            <w:rStyle w:val="Hyperlink"/>
            <w:rFonts w:cs="Arial"/>
          </w:rPr>
          <w:t>http://www.humanrights.gov.au/our-work/disability-rights/projects/</w:t>
        </w:r>
        <w:r w:rsidRPr="00A35ED9">
          <w:rPr>
            <w:rStyle w:val="Hyperlink"/>
            <w:rFonts w:cs="Arial"/>
          </w:rPr>
          <w:t>shaping-our-future-discussions-disability-rights</w:t>
        </w:r>
      </w:hyperlink>
      <w:r w:rsidRPr="007A4BDE">
        <w:rPr>
          <w:rFonts w:cs="Arial"/>
        </w:rPr>
        <w:t xml:space="preserve"> (</w:t>
      </w:r>
      <w:r w:rsidRPr="00BF602B">
        <w:rPr>
          <w:rFonts w:cs="Arial"/>
        </w:rPr>
        <w:t xml:space="preserve">viewed </w:t>
      </w:r>
      <w:r>
        <w:rPr>
          <w:rFonts w:cs="Arial"/>
        </w:rPr>
        <w:t>11 September 2017</w:t>
      </w:r>
      <w:r w:rsidRPr="007A4BDE">
        <w:rPr>
          <w:rFonts w:cs="Arial"/>
        </w:rPr>
        <w:t>).</w:t>
      </w:r>
    </w:p>
  </w:endnote>
  <w:endnote w:id="57">
    <w:p w14:paraId="1F896A9E" w14:textId="77777777" w:rsidR="003126E0" w:rsidRPr="00892424" w:rsidRDefault="003126E0" w:rsidP="00EC7927">
      <w:pPr>
        <w:pStyle w:val="EndnoteText"/>
        <w:rPr>
          <w:rFonts w:cs="Arial"/>
        </w:rPr>
      </w:pPr>
      <w:r w:rsidRPr="007A4BDE">
        <w:rPr>
          <w:rStyle w:val="EndnoteReference"/>
          <w:rFonts w:cs="Arial"/>
        </w:rPr>
        <w:endnoteRef/>
      </w:r>
      <w:r w:rsidRPr="007A4BDE">
        <w:rPr>
          <w:rFonts w:cs="Arial"/>
        </w:rPr>
        <w:t xml:space="preserve"> </w:t>
      </w:r>
      <w:r w:rsidRPr="00CC24E1">
        <w:rPr>
          <w:rFonts w:cs="Arial"/>
        </w:rPr>
        <w:t xml:space="preserve">The Commission notes that the Australian Communications and Media Authority’s report on the outcomes of its statutory review of the television captioning requirements in the </w:t>
      </w:r>
      <w:r w:rsidRPr="00CC24E1">
        <w:rPr>
          <w:rFonts w:cs="Arial"/>
          <w:i/>
        </w:rPr>
        <w:t>Broadcasting Services Act 1992</w:t>
      </w:r>
      <w:r w:rsidRPr="00CC24E1">
        <w:rPr>
          <w:rFonts w:cs="Arial"/>
        </w:rPr>
        <w:t xml:space="preserve"> by 30 June 2017. At </w:t>
      </w:r>
      <w:hyperlink r:id="rId71" w:history="1">
        <w:r w:rsidRPr="007A4BDE">
          <w:rPr>
            <w:rStyle w:val="Hyperlink"/>
            <w:rFonts w:cs="Arial"/>
          </w:rPr>
          <w:t>https://www.acma.gov.au/-/media/Content-Projects-and-Policy/Information/pdf/ACMA-captioning-report_April2017-pdf.pdf?la=en</w:t>
        </w:r>
      </w:hyperlink>
      <w:r w:rsidRPr="007A4BDE">
        <w:rPr>
          <w:rFonts w:cs="Arial"/>
        </w:rPr>
        <w:t xml:space="preserve"> (</w:t>
      </w:r>
      <w:r w:rsidRPr="00BF602B">
        <w:rPr>
          <w:rFonts w:cs="Arial"/>
        </w:rPr>
        <w:t xml:space="preserve">viewed </w:t>
      </w:r>
      <w:r>
        <w:rPr>
          <w:rFonts w:cs="Arial"/>
        </w:rPr>
        <w:t>11 September 2017</w:t>
      </w:r>
      <w:r w:rsidRPr="007A4BDE">
        <w:rPr>
          <w:rFonts w:cs="Arial"/>
        </w:rPr>
        <w:t>)</w:t>
      </w:r>
      <w:r w:rsidRPr="00CC24E1">
        <w:rPr>
          <w:rFonts w:cs="Arial"/>
        </w:rPr>
        <w:t>. The Commission also welcomes the recently announced audio description working group that will look at ways to facilitate greater access to information and new for people who are blind and people with low vision.</w:t>
      </w:r>
      <w:r w:rsidRPr="00CC24E1">
        <w:rPr>
          <w:rStyle w:val="EndnoteReference"/>
          <w:rFonts w:cs="Arial"/>
        </w:rPr>
        <w:t xml:space="preserve"> </w:t>
      </w:r>
      <w:r w:rsidRPr="00CC24E1">
        <w:rPr>
          <w:rFonts w:cs="Arial"/>
        </w:rPr>
        <w:t xml:space="preserve"> See Australian Government Department of Communications and the Arts, </w:t>
      </w:r>
      <w:r w:rsidRPr="00CC24E1">
        <w:rPr>
          <w:rFonts w:cs="Arial"/>
          <w:i/>
        </w:rPr>
        <w:t>Accessible Television</w:t>
      </w:r>
      <w:r w:rsidRPr="00CC24E1">
        <w:rPr>
          <w:rFonts w:cs="Arial"/>
        </w:rPr>
        <w:t xml:space="preserve"> (2017). At </w:t>
      </w:r>
      <w:hyperlink r:id="rId72" w:history="1">
        <w:r w:rsidRPr="00CC24E1">
          <w:rPr>
            <w:rStyle w:val="Hyperlink"/>
            <w:rFonts w:cs="Arial"/>
          </w:rPr>
          <w:t>https://www.communications.gov.au/what-we-do/television/accessible_television</w:t>
        </w:r>
      </w:hyperlink>
      <w:r w:rsidRPr="00CC24E1">
        <w:rPr>
          <w:rFonts w:cs="Arial"/>
        </w:rPr>
        <w:t xml:space="preserve"> (</w:t>
      </w:r>
      <w:r w:rsidRPr="00BF602B">
        <w:rPr>
          <w:rFonts w:cs="Arial"/>
        </w:rPr>
        <w:t xml:space="preserve">viewed </w:t>
      </w:r>
      <w:r>
        <w:rPr>
          <w:rFonts w:cs="Arial"/>
        </w:rPr>
        <w:t>11 September 2017</w:t>
      </w:r>
      <w:r w:rsidRPr="00CC24E1">
        <w:rPr>
          <w:rFonts w:cs="Arial"/>
        </w:rPr>
        <w:t>).</w:t>
      </w:r>
    </w:p>
  </w:endnote>
  <w:endnote w:id="58">
    <w:p w14:paraId="75CBFF32" w14:textId="77777777" w:rsidR="003126E0" w:rsidRPr="00892424" w:rsidRDefault="003126E0" w:rsidP="00EC7927">
      <w:pPr>
        <w:pStyle w:val="EndnoteText"/>
        <w:rPr>
          <w:rFonts w:cs="Arial"/>
        </w:rPr>
      </w:pPr>
      <w:r w:rsidRPr="00892424">
        <w:rPr>
          <w:rStyle w:val="EndnoteReference"/>
          <w:rFonts w:cs="Arial"/>
        </w:rPr>
        <w:endnoteRef/>
      </w:r>
      <w:r w:rsidRPr="00892424">
        <w:rPr>
          <w:rFonts w:cs="Arial"/>
        </w:rPr>
        <w:t xml:space="preserve"> In the 2016 Federal Election, a man who was a wheelchair user was unable to enter the only pre-polling place in Wollongong to vote, and instead had to vote outside under the supervision of an Australian Electoral Commission official. See Ben Langford, </w:t>
      </w:r>
      <w:r w:rsidRPr="00892424">
        <w:rPr>
          <w:rFonts w:cs="Arial"/>
          <w:i/>
        </w:rPr>
        <w:t xml:space="preserve">Wollongong man in wheelchair forced to vote in the street as polling place not accessible </w:t>
      </w:r>
      <w:r w:rsidRPr="00892424">
        <w:rPr>
          <w:rFonts w:cs="Arial"/>
        </w:rPr>
        <w:t xml:space="preserve">(2016). At </w:t>
      </w:r>
      <w:hyperlink r:id="rId73" w:history="1">
        <w:r w:rsidRPr="00892424">
          <w:rPr>
            <w:rStyle w:val="Hyperlink"/>
            <w:rFonts w:cs="Arial"/>
          </w:rPr>
          <w:t>http://www.illawarramercury.com.au/story/3999846/vote-access-a-step-too-far/</w:t>
        </w:r>
      </w:hyperlink>
      <w:r w:rsidRPr="00892424">
        <w:rPr>
          <w:rFonts w:cs="Arial"/>
        </w:rPr>
        <w:t xml:space="preserve"> (</w:t>
      </w:r>
      <w:r w:rsidRPr="00BF602B">
        <w:rPr>
          <w:rFonts w:cs="Arial"/>
        </w:rPr>
        <w:t xml:space="preserve">viewed </w:t>
      </w:r>
      <w:r>
        <w:rPr>
          <w:rFonts w:cs="Arial"/>
        </w:rPr>
        <w:t>11 September 2017</w:t>
      </w:r>
      <w:r w:rsidRPr="00892424">
        <w:rPr>
          <w:rFonts w:cs="Arial"/>
        </w:rPr>
        <w:t>).</w:t>
      </w:r>
    </w:p>
  </w:endnote>
  <w:endnote w:id="59">
    <w:p w14:paraId="2E0A0C2A" w14:textId="77777777" w:rsidR="003126E0" w:rsidRPr="00892424" w:rsidRDefault="003126E0" w:rsidP="00FF3D2B">
      <w:pPr>
        <w:pStyle w:val="EndnoteText"/>
        <w:rPr>
          <w:rFonts w:cs="Arial"/>
        </w:rPr>
      </w:pPr>
      <w:r w:rsidRPr="00892424">
        <w:rPr>
          <w:rStyle w:val="EndnoteReference"/>
          <w:rFonts w:cs="Arial"/>
        </w:rPr>
        <w:endnoteRef/>
      </w:r>
      <w:r w:rsidRPr="00892424">
        <w:rPr>
          <w:rFonts w:cs="Arial"/>
        </w:rPr>
        <w:t xml:space="preserve"> </w:t>
      </w:r>
      <w:r w:rsidRPr="00F31CBB">
        <w:rPr>
          <w:rFonts w:cs="Arial"/>
          <w:i/>
        </w:rPr>
        <w:t>Commonwealth Electoral Act 1918</w:t>
      </w:r>
      <w:r w:rsidRPr="00892424">
        <w:rPr>
          <w:rFonts w:cs="Arial"/>
        </w:rPr>
        <w:t xml:space="preserve"> (Cth), s 93(8)(a), 118(4). See also </w:t>
      </w:r>
      <w:r w:rsidRPr="00F31CBB">
        <w:rPr>
          <w:rFonts w:cs="Arial"/>
          <w:i/>
        </w:rPr>
        <w:t xml:space="preserve">Parliamentary Electorates and Elections Act 1912 </w:t>
      </w:r>
      <w:r w:rsidRPr="00892424">
        <w:rPr>
          <w:rFonts w:cs="Arial"/>
        </w:rPr>
        <w:t xml:space="preserve">(NSW) s 25(a); </w:t>
      </w:r>
      <w:r w:rsidRPr="00F31CBB">
        <w:rPr>
          <w:rFonts w:cs="Arial"/>
          <w:i/>
        </w:rPr>
        <w:t>Electoral Act 1907</w:t>
      </w:r>
      <w:r w:rsidRPr="00892424">
        <w:rPr>
          <w:rFonts w:cs="Arial"/>
        </w:rPr>
        <w:t xml:space="preserve"> (WA) s 18(1)(a); </w:t>
      </w:r>
      <w:r w:rsidRPr="00F31CBB">
        <w:rPr>
          <w:rFonts w:cs="Arial"/>
          <w:i/>
        </w:rPr>
        <w:t>Electoral Act 1985</w:t>
      </w:r>
      <w:r w:rsidRPr="00892424">
        <w:rPr>
          <w:rFonts w:cs="Arial"/>
        </w:rPr>
        <w:t xml:space="preserve"> (SA) s 29(1)(iv).</w:t>
      </w:r>
    </w:p>
  </w:endnote>
  <w:endnote w:id="60">
    <w:p w14:paraId="5281696B" w14:textId="77777777" w:rsidR="003126E0" w:rsidRPr="00153C56" w:rsidRDefault="003126E0">
      <w:pPr>
        <w:pStyle w:val="EndnoteText"/>
        <w:rPr>
          <w:rFonts w:cs="Arial"/>
        </w:rPr>
      </w:pPr>
      <w:r w:rsidRPr="00CC24E1">
        <w:rPr>
          <w:rStyle w:val="EndnoteReference"/>
          <w:rFonts w:cs="Arial"/>
        </w:rPr>
        <w:endnoteRef/>
      </w:r>
      <w:r w:rsidRPr="00CC24E1">
        <w:rPr>
          <w:rFonts w:cs="Arial"/>
        </w:rPr>
        <w:t xml:space="preserve"> </w:t>
      </w:r>
      <w:r w:rsidRPr="00F57A03">
        <w:rPr>
          <w:rFonts w:cs="Arial"/>
        </w:rPr>
        <w:t>Australian Law Reform Commission</w:t>
      </w:r>
      <w:r>
        <w:rPr>
          <w:rFonts w:cs="Arial"/>
        </w:rPr>
        <w:t>,</w:t>
      </w:r>
      <w:r w:rsidRPr="00F57A03">
        <w:rPr>
          <w:rFonts w:cs="Arial"/>
        </w:rPr>
        <w:t xml:space="preserve"> </w:t>
      </w:r>
      <w:r w:rsidRPr="00F57A03">
        <w:rPr>
          <w:rFonts w:cs="Arial"/>
          <w:i/>
        </w:rPr>
        <w:t>Equality, Capacity and Disability in Commonwealth Laws</w:t>
      </w:r>
      <w:r>
        <w:rPr>
          <w:rFonts w:cs="Arial"/>
          <w:i/>
        </w:rPr>
        <w:t xml:space="preserve"> </w:t>
      </w:r>
      <w:r w:rsidRPr="00F57A03">
        <w:rPr>
          <w:rFonts w:cs="Arial"/>
        </w:rPr>
        <w:t>(2014)</w:t>
      </w:r>
      <w:r>
        <w:rPr>
          <w:rFonts w:cs="Arial"/>
        </w:rPr>
        <w:t>. At</w:t>
      </w:r>
      <w:r w:rsidRPr="00F57A03">
        <w:rPr>
          <w:rFonts w:cs="Arial"/>
        </w:rPr>
        <w:t xml:space="preserve"> </w:t>
      </w:r>
      <w:hyperlink r:id="rId74" w:history="1">
        <w:r w:rsidRPr="00F57A03">
          <w:rPr>
            <w:rStyle w:val="Hyperlink"/>
            <w:rFonts w:cs="Arial"/>
          </w:rPr>
          <w:t>https://www.alrc.gov.au/publications/equality-capacity-disability-report-124</w:t>
        </w:r>
      </w:hyperlink>
      <w:r>
        <w:rPr>
          <w:rStyle w:val="Hyperlink"/>
          <w:rFonts w:cs="Arial"/>
        </w:rPr>
        <w:t xml:space="preserve"> </w:t>
      </w:r>
      <w:r w:rsidRPr="00153C56">
        <w:rPr>
          <w:rStyle w:val="Hyperlink"/>
          <w:rFonts w:cs="Arial"/>
          <w:color w:val="auto"/>
          <w:u w:val="none"/>
        </w:rPr>
        <w:t>(</w:t>
      </w:r>
      <w:r w:rsidRPr="00BF602B">
        <w:rPr>
          <w:rFonts w:cs="Arial"/>
        </w:rPr>
        <w:t xml:space="preserve">viewed </w:t>
      </w:r>
      <w:r>
        <w:rPr>
          <w:rFonts w:cs="Arial"/>
        </w:rPr>
        <w:t>11 September 2017</w:t>
      </w:r>
      <w:r w:rsidRPr="00153C56">
        <w:rPr>
          <w:rStyle w:val="Hyperlink"/>
          <w:rFonts w:cs="Arial"/>
          <w:color w:val="auto"/>
          <w:u w:val="none"/>
        </w:rPr>
        <w:t>)</w:t>
      </w:r>
      <w:r>
        <w:rPr>
          <w:rStyle w:val="Hyperlink"/>
          <w:rFonts w:cs="Arial"/>
          <w:color w:val="auto"/>
          <w:u w:val="none"/>
        </w:rPr>
        <w:t>.</w:t>
      </w:r>
      <w:r w:rsidRPr="00153C56">
        <w:rPr>
          <w:rStyle w:val="Hyperlink"/>
          <w:rFonts w:cs="Arial"/>
          <w:color w:val="auto"/>
          <w:u w:val="none"/>
        </w:rPr>
        <w:t xml:space="preserve"> </w:t>
      </w:r>
    </w:p>
  </w:endnote>
  <w:endnote w:id="61">
    <w:p w14:paraId="49B6169F" w14:textId="77777777" w:rsidR="003126E0" w:rsidRPr="00892424" w:rsidRDefault="003126E0">
      <w:pPr>
        <w:pStyle w:val="EndnoteText"/>
        <w:rPr>
          <w:rFonts w:cs="Arial"/>
        </w:rPr>
      </w:pPr>
      <w:r w:rsidRPr="00F57A03">
        <w:rPr>
          <w:rStyle w:val="EndnoteReference"/>
          <w:rFonts w:cs="Arial"/>
        </w:rPr>
        <w:endnoteRef/>
      </w:r>
      <w:r w:rsidRPr="00F57A03">
        <w:rPr>
          <w:rFonts w:cs="Arial"/>
        </w:rPr>
        <w:t xml:space="preserve"> Australian Human Rights Commission, </w:t>
      </w:r>
      <w:r w:rsidRPr="00F57A03">
        <w:rPr>
          <w:rFonts w:cs="Arial"/>
          <w:i/>
        </w:rPr>
        <w:t>Shaping our future: discussions on disability rights</w:t>
      </w:r>
      <w:r w:rsidRPr="00F57A03">
        <w:rPr>
          <w:rFonts w:cs="Arial"/>
        </w:rPr>
        <w:t xml:space="preserve"> (2017</w:t>
      </w:r>
      <w:r w:rsidRPr="00892424">
        <w:rPr>
          <w:rFonts w:cs="Arial"/>
        </w:rPr>
        <w:t xml:space="preserve">). At </w:t>
      </w:r>
      <w:hyperlink r:id="rId75" w:history="1">
        <w:r w:rsidRPr="00892424">
          <w:rPr>
            <w:rStyle w:val="Hyperlink"/>
            <w:rFonts w:cs="Arial"/>
          </w:rPr>
          <w:t>http://www.humanrights.gov.au/our-work/disability-rights/projects/shaping-our-future-discussions-disability-rights</w:t>
        </w:r>
      </w:hyperlink>
      <w:r w:rsidRPr="00892424">
        <w:rPr>
          <w:rFonts w:cs="Arial"/>
        </w:rPr>
        <w:t xml:space="preserve"> (</w:t>
      </w:r>
      <w:r w:rsidRPr="00BF602B">
        <w:rPr>
          <w:rFonts w:cs="Arial"/>
        </w:rPr>
        <w:t xml:space="preserve">viewed </w:t>
      </w:r>
      <w:r>
        <w:rPr>
          <w:rFonts w:cs="Arial"/>
        </w:rPr>
        <w:t>11 September 2017</w:t>
      </w:r>
      <w:r w:rsidRPr="00892424">
        <w:rPr>
          <w:rFonts w:cs="Arial"/>
        </w:rPr>
        <w:t xml:space="preserve">); Australian Human Rights Commission, </w:t>
      </w:r>
      <w:r w:rsidRPr="00892424">
        <w:rPr>
          <w:rFonts w:cs="Arial"/>
          <w:i/>
        </w:rPr>
        <w:t>A Conversation in Gender Equality</w:t>
      </w:r>
      <w:r w:rsidRPr="00892424">
        <w:rPr>
          <w:rFonts w:cs="Arial"/>
        </w:rPr>
        <w:t xml:space="preserve"> (2017). At </w:t>
      </w:r>
      <w:hyperlink r:id="rId76" w:history="1">
        <w:r w:rsidRPr="00892424">
          <w:rPr>
            <w:rStyle w:val="Hyperlink"/>
            <w:rFonts w:cs="Arial"/>
          </w:rPr>
          <w:t>http://www.humanrights.gov.au/our-work/sex-discrimination/publications/conversation-gender-equality-2017</w:t>
        </w:r>
      </w:hyperlink>
      <w:r w:rsidRPr="00892424">
        <w:rPr>
          <w:rFonts w:cs="Arial"/>
        </w:rPr>
        <w:t xml:space="preserve"> (</w:t>
      </w:r>
      <w:r w:rsidRPr="00BF602B">
        <w:rPr>
          <w:rFonts w:cs="Arial"/>
        </w:rPr>
        <w:t xml:space="preserve">viewed </w:t>
      </w:r>
      <w:r>
        <w:rPr>
          <w:rFonts w:cs="Arial"/>
        </w:rPr>
        <w:t>11 September 2017</w:t>
      </w:r>
      <w:r w:rsidRPr="00892424">
        <w:rPr>
          <w:rFonts w:cs="Arial"/>
        </w:rPr>
        <w:t>).</w:t>
      </w:r>
    </w:p>
  </w:endnote>
  <w:endnote w:id="62">
    <w:p w14:paraId="698EA90D" w14:textId="77777777" w:rsidR="003126E0" w:rsidRPr="00892424" w:rsidRDefault="003126E0" w:rsidP="00D81140">
      <w:pPr>
        <w:pStyle w:val="EndnoteText"/>
        <w:rPr>
          <w:rFonts w:cs="Arial"/>
        </w:rPr>
      </w:pPr>
      <w:r w:rsidRPr="00892424">
        <w:rPr>
          <w:rStyle w:val="EndnoteReference"/>
          <w:rFonts w:cs="Arial"/>
        </w:rPr>
        <w:endnoteRef/>
      </w:r>
      <w:r w:rsidRPr="00892424">
        <w:rPr>
          <w:rFonts w:cs="Arial"/>
        </w:rPr>
        <w:t xml:space="preserve"> Australian Government Department of Social Services</w:t>
      </w:r>
      <w:r w:rsidRPr="00892424">
        <w:rPr>
          <w:rFonts w:cs="Arial"/>
          <w:i/>
        </w:rPr>
        <w:t>, Third Action Plan 2016-19 of the National Plan to Reduce Violence Against Women and their Children 2010-2022</w:t>
      </w:r>
      <w:r w:rsidRPr="00892424">
        <w:rPr>
          <w:rFonts w:cs="Arial"/>
        </w:rPr>
        <w:t xml:space="preserve"> (2016). At </w:t>
      </w:r>
      <w:hyperlink r:id="rId77" w:history="1">
        <w:r w:rsidRPr="00892424">
          <w:rPr>
            <w:rStyle w:val="Hyperlink"/>
            <w:rFonts w:cs="Arial"/>
          </w:rPr>
          <w:t>https://www.dss.gov.au/women/programs-services/reducing-violence/third-action-plan</w:t>
        </w:r>
      </w:hyperlink>
      <w:r w:rsidRPr="00892424">
        <w:rPr>
          <w:rFonts w:cs="Arial"/>
        </w:rPr>
        <w:t xml:space="preserve"> (</w:t>
      </w:r>
      <w:r w:rsidRPr="00BF602B">
        <w:rPr>
          <w:rFonts w:cs="Arial"/>
        </w:rPr>
        <w:t xml:space="preserve">viewed </w:t>
      </w:r>
      <w:r>
        <w:rPr>
          <w:rFonts w:cs="Arial"/>
        </w:rPr>
        <w:t>11 September 2017</w:t>
      </w:r>
      <w:r w:rsidRPr="00892424">
        <w:rPr>
          <w:rFonts w:cs="Arial"/>
        </w:rPr>
        <w:t>).</w:t>
      </w:r>
    </w:p>
  </w:endnote>
  <w:endnote w:id="63">
    <w:p w14:paraId="7F9FFFD5" w14:textId="42FC58C0" w:rsidR="003126E0" w:rsidRPr="00E41D36" w:rsidRDefault="003126E0" w:rsidP="00633AE7">
      <w:pPr>
        <w:pStyle w:val="EndnoteText"/>
        <w:tabs>
          <w:tab w:val="left" w:pos="142"/>
        </w:tabs>
      </w:pPr>
      <w:r>
        <w:rPr>
          <w:rStyle w:val="EndnoteReference"/>
        </w:rPr>
        <w:endnoteRef/>
      </w:r>
      <w:r>
        <w:t xml:space="preserve"> Stop the Violence Project, </w:t>
      </w:r>
      <w:r>
        <w:rPr>
          <w:i/>
          <w:iCs/>
        </w:rPr>
        <w:t xml:space="preserve">Stop the Violence: Addressing Violence against Women and Girls with Disabilities in Australia: Discussion Paper </w:t>
      </w:r>
      <w:r>
        <w:t xml:space="preserve">(2013). All STVP reports are available at: </w:t>
      </w:r>
      <w:hyperlink r:id="rId78" w:history="1">
        <w:r>
          <w:rPr>
            <w:rStyle w:val="Hyperlink"/>
          </w:rPr>
          <w:t>http://www.stvp.org.au/National-Symposium.htm</w:t>
        </w:r>
      </w:hyperlink>
      <w:r>
        <w:t xml:space="preserve"> (viewed 14 September 2017). The outcomes and recommendations of the Stop the Violence Project are outlined in Stop the Violence Project, </w:t>
      </w:r>
      <w:r>
        <w:rPr>
          <w:i/>
          <w:iCs/>
        </w:rPr>
        <w:t xml:space="preserve">Report of the Proceedings and Outcomes: National Symposium on Violence against Women and Girls with Disabilities </w:t>
      </w:r>
      <w:r>
        <w:t xml:space="preserve">(2013), 22-30. At </w:t>
      </w:r>
      <w:hyperlink r:id="rId79" w:history="1">
        <w:r w:rsidRPr="007B2245">
          <w:rPr>
            <w:rStyle w:val="Hyperlink"/>
          </w:rPr>
          <w:t>http://wwda.org.au/wp-content/uploads/2013/12/STV_Outcomes_Paper.pdf</w:t>
        </w:r>
      </w:hyperlink>
      <w:r>
        <w:t xml:space="preserve"> (viewed 14 September 2017). See also Stop the Violence Project, </w:t>
      </w:r>
      <w:r>
        <w:rPr>
          <w:i/>
        </w:rPr>
        <w:t>Resource Compendium: Key Principles for Good Practice in Service Delivery</w:t>
      </w:r>
      <w:r>
        <w:t xml:space="preserve"> and </w:t>
      </w:r>
      <w:r w:rsidRPr="00E41D36">
        <w:rPr>
          <w:i/>
        </w:rPr>
        <w:t>Key principles for good practice in policy development and service modelling</w:t>
      </w:r>
      <w:r>
        <w:t xml:space="preserve">. At </w:t>
      </w:r>
      <w:hyperlink r:id="rId80" w:history="1">
        <w:r>
          <w:rPr>
            <w:rStyle w:val="Hyperlink"/>
          </w:rPr>
          <w:t>http://www.stvp.org.au/Resource-Compendium.html</w:t>
        </w:r>
      </w:hyperlink>
      <w:r>
        <w:rPr>
          <w:color w:val="1F497D"/>
        </w:rPr>
        <w:t xml:space="preserve"> </w:t>
      </w:r>
      <w:r w:rsidRPr="00633AE7">
        <w:rPr>
          <w:color w:val="000000" w:themeColor="text1"/>
        </w:rPr>
        <w:t xml:space="preserve">(viewed 14 September 2017). </w:t>
      </w:r>
    </w:p>
  </w:endnote>
  <w:endnote w:id="64">
    <w:p w14:paraId="20F84904" w14:textId="77777777" w:rsidR="003126E0" w:rsidRPr="00892424" w:rsidRDefault="003126E0" w:rsidP="00D81140">
      <w:pPr>
        <w:pStyle w:val="EndnoteText"/>
        <w:rPr>
          <w:rFonts w:cs="Arial"/>
        </w:rPr>
      </w:pPr>
      <w:r w:rsidRPr="00892424">
        <w:rPr>
          <w:rStyle w:val="EndnoteReference"/>
          <w:rFonts w:cs="Arial"/>
        </w:rPr>
        <w:endnoteRef/>
      </w:r>
      <w:r w:rsidRPr="00892424">
        <w:rPr>
          <w:rFonts w:cs="Arial"/>
        </w:rPr>
        <w:t xml:space="preserve"> Such as violence in institutions and residential settings, sexual and reproductive rights violations, including forced sterilisation and forced abortion, restrictive practices, seclusion and restraint. See Carolyn Frohmader, </w:t>
      </w:r>
      <w:r w:rsidRPr="00892424">
        <w:rPr>
          <w:rFonts w:cs="Arial"/>
          <w:i/>
        </w:rPr>
        <w:t>Violence Against Women with Disabilities</w:t>
      </w:r>
      <w:r w:rsidRPr="00892424">
        <w:rPr>
          <w:rFonts w:cs="Arial"/>
        </w:rPr>
        <w:t xml:space="preserve"> (2014). At </w:t>
      </w:r>
      <w:hyperlink r:id="rId81" w:history="1">
        <w:r w:rsidRPr="00892424">
          <w:rPr>
            <w:rStyle w:val="Hyperlink"/>
            <w:rFonts w:cs="Arial"/>
          </w:rPr>
          <w:t>https://www.pwd.org.au/ documents/temp/FS_Violence_WWD's.pdf</w:t>
        </w:r>
      </w:hyperlink>
      <w:r>
        <w:rPr>
          <w:rFonts w:cs="Arial"/>
        </w:rPr>
        <w:t xml:space="preserve"> (</w:t>
      </w:r>
      <w:r w:rsidRPr="00BF602B">
        <w:rPr>
          <w:rFonts w:cs="Arial"/>
        </w:rPr>
        <w:t xml:space="preserve">viewed </w:t>
      </w:r>
      <w:r>
        <w:rPr>
          <w:rFonts w:cs="Arial"/>
        </w:rPr>
        <w:t>11 September 2017).</w:t>
      </w:r>
    </w:p>
  </w:endnote>
  <w:endnote w:id="65">
    <w:p w14:paraId="7015EA81" w14:textId="0CE82FEF" w:rsidR="003126E0" w:rsidRPr="00941488" w:rsidRDefault="003126E0" w:rsidP="00941488">
      <w:pPr>
        <w:pStyle w:val="EndnoteText"/>
      </w:pPr>
      <w:r>
        <w:rPr>
          <w:rStyle w:val="EndnoteReference"/>
        </w:rPr>
        <w:endnoteRef/>
      </w:r>
      <w:r>
        <w:t xml:space="preserve"> Senate Standing Committee on Community Affairs, Parliament of Australia, </w:t>
      </w:r>
      <w:r>
        <w:rPr>
          <w:i/>
        </w:rPr>
        <w:t xml:space="preserve">Involuntary or coerced sterilisation of people with disability in Australia </w:t>
      </w:r>
      <w:r>
        <w:t xml:space="preserve">(2013). At </w:t>
      </w:r>
      <w:hyperlink r:id="rId82" w:history="1">
        <w:r w:rsidRPr="008D5AA8">
          <w:rPr>
            <w:rStyle w:val="Hyperlink"/>
          </w:rPr>
          <w:t>http://www.aph.gov.au/Parliamentary_Business/Committees/Senate/Community_Affairs/Involuntary_Sterilisation/~/media/Committees/Senate/committee/clac_ctte/involuntary_sterilisation/first_report/report.ashx</w:t>
        </w:r>
      </w:hyperlink>
      <w:r>
        <w:t xml:space="preserve"> (</w:t>
      </w:r>
      <w:r w:rsidRPr="00BF602B">
        <w:rPr>
          <w:rFonts w:cs="Arial"/>
        </w:rPr>
        <w:t xml:space="preserve">viewed </w:t>
      </w:r>
      <w:r>
        <w:rPr>
          <w:rFonts w:cs="Arial"/>
        </w:rPr>
        <w:t>11 September 2017</w:t>
      </w:r>
      <w:r>
        <w:t xml:space="preserve">); Australian Human Rights Commission, Submission No 5 to Senate Standing Committee on Community Affairs, </w:t>
      </w:r>
      <w:r>
        <w:rPr>
          <w:i/>
        </w:rPr>
        <w:t xml:space="preserve">Involuntary or coerced sterilisation of people with disability in Australia </w:t>
      </w:r>
      <w:r>
        <w:t xml:space="preserve">(20 November 2012). At </w:t>
      </w:r>
      <w:hyperlink r:id="rId83" w:history="1">
        <w:r w:rsidRPr="008D5AA8">
          <w:rPr>
            <w:rStyle w:val="Hyperlink"/>
          </w:rPr>
          <w:t>http://www.aph.gov.au/DocumentStore.ashx?id=3d3c9b64-7a59-4e30-bd96-e38d52fe85c8&amp;subId=16108</w:t>
        </w:r>
      </w:hyperlink>
      <w:r>
        <w:t xml:space="preserve"> (</w:t>
      </w:r>
      <w:r w:rsidRPr="00BF602B">
        <w:rPr>
          <w:rFonts w:cs="Arial"/>
        </w:rPr>
        <w:t xml:space="preserve">viewed </w:t>
      </w:r>
      <w:r>
        <w:rPr>
          <w:rFonts w:cs="Arial"/>
        </w:rPr>
        <w:t>11 September 2017</w:t>
      </w:r>
      <w:r>
        <w:t xml:space="preserve">). </w:t>
      </w:r>
    </w:p>
  </w:endnote>
  <w:endnote w:id="66">
    <w:p w14:paraId="13D23EB8" w14:textId="3CE400F7" w:rsidR="003126E0" w:rsidRPr="00892424" w:rsidRDefault="003126E0" w:rsidP="00D81140">
      <w:pPr>
        <w:pStyle w:val="EndnoteText"/>
        <w:rPr>
          <w:rFonts w:cs="Arial"/>
        </w:rPr>
      </w:pPr>
      <w:r w:rsidRPr="00892424">
        <w:rPr>
          <w:rStyle w:val="EndnoteReference"/>
          <w:rFonts w:cs="Arial"/>
        </w:rPr>
        <w:endnoteRef/>
      </w:r>
      <w:r w:rsidRPr="00892424">
        <w:rPr>
          <w:rFonts w:cs="Arial"/>
        </w:rPr>
        <w:t xml:space="preserve"> Carolyn Frohmader, </w:t>
      </w:r>
      <w:r w:rsidRPr="00892424">
        <w:rPr>
          <w:rFonts w:cs="Arial"/>
          <w:i/>
        </w:rPr>
        <w:t>Violence Against Women with Disabilities</w:t>
      </w:r>
      <w:r w:rsidRPr="00892424">
        <w:rPr>
          <w:rFonts w:cs="Arial"/>
        </w:rPr>
        <w:t xml:space="preserve"> (2014). At </w:t>
      </w:r>
      <w:hyperlink r:id="rId84" w:history="1">
        <w:r w:rsidRPr="00A248BB">
          <w:rPr>
            <w:rStyle w:val="Hyperlink"/>
          </w:rPr>
          <w:t>https://www.pwd.org.au/documents/temp/FS_Violence_WWD's.pdf</w:t>
        </w:r>
      </w:hyperlink>
      <w:r>
        <w:t xml:space="preserve"> </w:t>
      </w:r>
      <w:r>
        <w:rPr>
          <w:rFonts w:cs="Arial"/>
        </w:rPr>
        <w:t>(</w:t>
      </w:r>
      <w:r w:rsidRPr="00BF602B">
        <w:rPr>
          <w:rFonts w:cs="Arial"/>
        </w:rPr>
        <w:t xml:space="preserve">viewed </w:t>
      </w:r>
      <w:r>
        <w:rPr>
          <w:rFonts w:cs="Arial"/>
        </w:rPr>
        <w:t>11 September 2017).</w:t>
      </w:r>
    </w:p>
  </w:endnote>
  <w:endnote w:id="67">
    <w:p w14:paraId="03BCC308" w14:textId="77777777" w:rsidR="003126E0" w:rsidRDefault="003126E0">
      <w:pPr>
        <w:pStyle w:val="EndnoteText"/>
      </w:pPr>
      <w:r>
        <w:rPr>
          <w:rStyle w:val="EndnoteReference"/>
        </w:rPr>
        <w:endnoteRef/>
      </w:r>
      <w:r>
        <w:t xml:space="preserve"> </w:t>
      </w:r>
      <w:r w:rsidRPr="004702AA">
        <w:rPr>
          <w:rFonts w:cs="Arial"/>
        </w:rPr>
        <w:t xml:space="preserve">Michelle Telfer, Michelle Tollit and Debi Feldman, ‘Transformation of health-care and legal systems for the transgender population: The need for change in Australia’ (2015) 51 </w:t>
      </w:r>
      <w:r w:rsidRPr="004702AA">
        <w:rPr>
          <w:rFonts w:cs="Arial"/>
          <w:i/>
        </w:rPr>
        <w:t>Journal of Paediatrics and Child Health</w:t>
      </w:r>
      <w:r w:rsidRPr="004702AA">
        <w:rPr>
          <w:rFonts w:cs="Arial"/>
        </w:rPr>
        <w:t xml:space="preserve"> 1051</w:t>
      </w:r>
      <w:r>
        <w:rPr>
          <w:rFonts w:cs="Arial"/>
        </w:rPr>
        <w:t>.</w:t>
      </w:r>
    </w:p>
  </w:endnote>
  <w:endnote w:id="68">
    <w:p w14:paraId="7B92C77E" w14:textId="2E616D18" w:rsidR="003126E0" w:rsidRPr="00892424" w:rsidRDefault="003126E0" w:rsidP="00633AE7">
      <w:pPr>
        <w:pStyle w:val="EndnoteText"/>
        <w:rPr>
          <w:rFonts w:cs="Arial"/>
        </w:rPr>
      </w:pPr>
      <w:r w:rsidRPr="00892424">
        <w:rPr>
          <w:rStyle w:val="EndnoteReference"/>
          <w:rFonts w:cs="Arial"/>
        </w:rPr>
        <w:endnoteRef/>
      </w:r>
      <w:r w:rsidRPr="00892424">
        <w:rPr>
          <w:rFonts w:cs="Arial"/>
        </w:rPr>
        <w:t xml:space="preserve"> </w:t>
      </w:r>
      <w:r>
        <w:rPr>
          <w:rFonts w:cs="Arial"/>
        </w:rPr>
        <w:t>See</w:t>
      </w:r>
      <w:r w:rsidRPr="00892424">
        <w:rPr>
          <w:rFonts w:cs="Arial"/>
        </w:rPr>
        <w:t xml:space="preserve"> Australian Human Rights Commission, </w:t>
      </w:r>
      <w:r w:rsidRPr="00892424">
        <w:rPr>
          <w:rFonts w:cs="Arial"/>
          <w:i/>
        </w:rPr>
        <w:t xml:space="preserve">Resilient Individuals: Sexual Orientation Gender </w:t>
      </w:r>
      <w:r w:rsidRPr="00633AE7">
        <w:rPr>
          <w:rFonts w:cs="Arial"/>
        </w:rPr>
        <w:t>Identity</w:t>
      </w:r>
      <w:r w:rsidRPr="00892424">
        <w:rPr>
          <w:rFonts w:cs="Arial"/>
          <w:i/>
        </w:rPr>
        <w:t xml:space="preserve"> &amp; Intersex Rights</w:t>
      </w:r>
      <w:r>
        <w:rPr>
          <w:rFonts w:cs="Arial"/>
        </w:rPr>
        <w:t xml:space="preserve"> (2015), </w:t>
      </w:r>
      <w:r w:rsidRPr="00892424">
        <w:rPr>
          <w:rFonts w:cs="Arial"/>
        </w:rPr>
        <w:t xml:space="preserve">29-31. At </w:t>
      </w:r>
      <w:hyperlink r:id="rId85" w:history="1">
        <w:r w:rsidRPr="00892424">
          <w:rPr>
            <w:rStyle w:val="Hyperlink"/>
            <w:rFonts w:cs="Arial"/>
          </w:rPr>
          <w:t>https://www.humanrights.gov.au/our-work/sexual-orientation-sex-gender-identity/publications/resilient-individuals-sexual</w:t>
        </w:r>
      </w:hyperlink>
      <w:r w:rsidRPr="00892424">
        <w:rPr>
          <w:rFonts w:cs="Arial"/>
        </w:rPr>
        <w:t xml:space="preserve"> (</w:t>
      </w:r>
      <w:r w:rsidRPr="00BF602B">
        <w:rPr>
          <w:rFonts w:cs="Arial"/>
        </w:rPr>
        <w:t xml:space="preserve">viewed </w:t>
      </w:r>
      <w:r>
        <w:rPr>
          <w:rFonts w:cs="Arial"/>
        </w:rPr>
        <w:t>11 September 2017</w:t>
      </w:r>
      <w:r w:rsidRPr="00892424">
        <w:rPr>
          <w:rFonts w:cs="Arial"/>
        </w:rPr>
        <w:t>).</w:t>
      </w:r>
    </w:p>
  </w:endnote>
  <w:endnote w:id="69">
    <w:p w14:paraId="48FC38D0" w14:textId="77777777" w:rsidR="003126E0" w:rsidRPr="00892424" w:rsidRDefault="003126E0" w:rsidP="00E73105">
      <w:pPr>
        <w:pStyle w:val="EndnoteText"/>
        <w:rPr>
          <w:rFonts w:cs="Arial"/>
        </w:rPr>
      </w:pPr>
      <w:r w:rsidRPr="00892424">
        <w:rPr>
          <w:rStyle w:val="EndnoteReference"/>
          <w:rFonts w:cs="Arial"/>
        </w:rPr>
        <w:endnoteRef/>
      </w:r>
      <w:r w:rsidRPr="00892424">
        <w:rPr>
          <w:rFonts w:cs="Arial"/>
        </w:rPr>
        <w:t xml:space="preserve"> </w:t>
      </w:r>
      <w:r w:rsidRPr="00892424">
        <w:rPr>
          <w:rFonts w:cs="Arial"/>
          <w:i/>
        </w:rPr>
        <w:t xml:space="preserve">Sex Discrimination Act 1984 </w:t>
      </w:r>
      <w:r w:rsidRPr="00892424">
        <w:rPr>
          <w:rFonts w:cs="Arial"/>
        </w:rPr>
        <w:t xml:space="preserve">(Cth) ss 5A – 5C. </w:t>
      </w:r>
    </w:p>
  </w:endnote>
  <w:endnote w:id="70">
    <w:p w14:paraId="0F1C7023" w14:textId="77777777" w:rsidR="003126E0" w:rsidRPr="00892424" w:rsidRDefault="003126E0" w:rsidP="00E73105">
      <w:pPr>
        <w:pStyle w:val="EndnoteText"/>
        <w:rPr>
          <w:rFonts w:cs="Arial"/>
        </w:rPr>
      </w:pPr>
      <w:r w:rsidRPr="00892424">
        <w:rPr>
          <w:rStyle w:val="EndnoteReference"/>
          <w:rFonts w:cs="Arial"/>
        </w:rPr>
        <w:endnoteRef/>
      </w:r>
      <w:r w:rsidRPr="00892424">
        <w:rPr>
          <w:rFonts w:cs="Arial"/>
        </w:rPr>
        <w:t xml:space="preserve"> These amendments include exceptions that allow some clubs and religious service providers to discriminate against LGBTI people in service provision, employment, education and sports.</w:t>
      </w:r>
    </w:p>
  </w:endnote>
  <w:endnote w:id="71">
    <w:p w14:paraId="5106A9C2" w14:textId="084AAA1F" w:rsidR="003126E0" w:rsidRPr="00892424" w:rsidRDefault="003126E0" w:rsidP="00E73105">
      <w:pPr>
        <w:pStyle w:val="EndnoteText"/>
        <w:rPr>
          <w:rFonts w:cs="Arial"/>
        </w:rPr>
      </w:pPr>
      <w:r w:rsidRPr="00892424">
        <w:rPr>
          <w:rStyle w:val="EndnoteReference"/>
          <w:rFonts w:cs="Arial"/>
        </w:rPr>
        <w:endnoteRef/>
      </w:r>
      <w:r w:rsidRPr="00892424">
        <w:rPr>
          <w:rFonts w:cs="Arial"/>
        </w:rPr>
        <w:t xml:space="preserve">  </w:t>
      </w:r>
      <w:r w:rsidRPr="00892424">
        <w:rPr>
          <w:rFonts w:cs="Arial"/>
          <w:i/>
        </w:rPr>
        <w:t xml:space="preserve">Sex Discrimination Regulations 1984 </w:t>
      </w:r>
      <w:r w:rsidRPr="00892424">
        <w:rPr>
          <w:rFonts w:cs="Arial"/>
        </w:rPr>
        <w:t>(Cth) reg 5(2).</w:t>
      </w:r>
      <w:r w:rsidRPr="000B4558">
        <w:rPr>
          <w:rFonts w:cs="Arial"/>
        </w:rPr>
        <w:t xml:space="preserve"> </w:t>
      </w:r>
      <w:r>
        <w:rPr>
          <w:rFonts w:cs="Arial"/>
        </w:rPr>
        <w:t>This amendment was an implementation of UPR Recommendation 221 (</w:t>
      </w:r>
      <w:r w:rsidRPr="00892424">
        <w:rPr>
          <w:rFonts w:cs="Arial"/>
        </w:rPr>
        <w:t xml:space="preserve">Ensure that states’ legislation is consistent with the amended </w:t>
      </w:r>
      <w:r w:rsidRPr="00A22EC0">
        <w:rPr>
          <w:rFonts w:cs="Arial"/>
          <w:i/>
        </w:rPr>
        <w:t>Sex Discrimination Act 1984</w:t>
      </w:r>
      <w:r w:rsidRPr="00892424">
        <w:rPr>
          <w:rFonts w:cs="Arial"/>
        </w:rPr>
        <w:t xml:space="preserve"> (</w:t>
      </w:r>
      <w:r>
        <w:rPr>
          <w:rFonts w:cs="Arial"/>
        </w:rPr>
        <w:t>Cth</w:t>
      </w:r>
      <w:r w:rsidRPr="00892424">
        <w:rPr>
          <w:rFonts w:cs="Arial"/>
        </w:rPr>
        <w:t>)</w:t>
      </w:r>
      <w:r>
        <w:rPr>
          <w:rFonts w:cs="Arial"/>
        </w:rPr>
        <w:t xml:space="preserve"> (Israel))</w:t>
      </w:r>
      <w:r w:rsidRPr="00892424">
        <w:rPr>
          <w:rFonts w:cs="Arial"/>
        </w:rPr>
        <w:t>.</w:t>
      </w:r>
    </w:p>
  </w:endnote>
  <w:endnote w:id="72">
    <w:p w14:paraId="07AB566A" w14:textId="77777777" w:rsidR="003126E0" w:rsidRPr="00A22EC0" w:rsidRDefault="003126E0" w:rsidP="00E73105">
      <w:pPr>
        <w:pStyle w:val="EndnoteText"/>
      </w:pPr>
      <w:r>
        <w:rPr>
          <w:rStyle w:val="EndnoteReference"/>
        </w:rPr>
        <w:endnoteRef/>
      </w:r>
      <w:r>
        <w:t xml:space="preserve"> See, for example, </w:t>
      </w:r>
      <w:r>
        <w:rPr>
          <w:i/>
        </w:rPr>
        <w:t xml:space="preserve">Human Reproductive Technology Act 1991 </w:t>
      </w:r>
      <w:r>
        <w:t>(WA) s 19(2).</w:t>
      </w:r>
    </w:p>
  </w:endnote>
  <w:endnote w:id="73">
    <w:p w14:paraId="5BBE7220" w14:textId="77777777" w:rsidR="003126E0" w:rsidRPr="00892424" w:rsidRDefault="003126E0" w:rsidP="00596FF1">
      <w:pPr>
        <w:pStyle w:val="EndnoteText"/>
        <w:rPr>
          <w:rFonts w:cs="Arial"/>
        </w:rPr>
      </w:pPr>
      <w:r w:rsidRPr="00892424">
        <w:rPr>
          <w:rStyle w:val="EndnoteReference"/>
          <w:rFonts w:cs="Arial"/>
        </w:rPr>
        <w:endnoteRef/>
      </w:r>
      <w:r w:rsidRPr="00892424">
        <w:rPr>
          <w:rFonts w:cs="Arial"/>
        </w:rPr>
        <w:t xml:space="preserve"> </w:t>
      </w:r>
      <w:r w:rsidRPr="00892424">
        <w:rPr>
          <w:rFonts w:cs="Arial"/>
          <w:i/>
        </w:rPr>
        <w:t xml:space="preserve">Births, Deaths and Marriages Registration Act 1997 </w:t>
      </w:r>
      <w:r w:rsidRPr="00892424">
        <w:rPr>
          <w:rFonts w:cs="Arial"/>
        </w:rPr>
        <w:t>(ACT) s 24(1)(c)(i)</w:t>
      </w:r>
      <w:r>
        <w:rPr>
          <w:rFonts w:cs="Arial"/>
        </w:rPr>
        <w:t xml:space="preserve">; </w:t>
      </w:r>
      <w:r>
        <w:rPr>
          <w:rFonts w:cs="Arial"/>
          <w:i/>
        </w:rPr>
        <w:t xml:space="preserve">Births, Deaths and Marriages Registration (Gender Identity) Amendment Act 2016 </w:t>
      </w:r>
      <w:r>
        <w:rPr>
          <w:rFonts w:cs="Arial"/>
        </w:rPr>
        <w:t>(SA)</w:t>
      </w:r>
      <w:r>
        <w:rPr>
          <w:rFonts w:cs="Arial"/>
          <w:i/>
        </w:rPr>
        <w:t xml:space="preserve"> </w:t>
      </w:r>
      <w:r>
        <w:rPr>
          <w:rFonts w:cs="Arial"/>
        </w:rPr>
        <w:t>s 29K(a)(ii)(B).</w:t>
      </w:r>
    </w:p>
  </w:endnote>
  <w:endnote w:id="74">
    <w:p w14:paraId="531ED94D" w14:textId="77777777" w:rsidR="003126E0" w:rsidRPr="00892424" w:rsidRDefault="003126E0" w:rsidP="00E73105">
      <w:pPr>
        <w:pStyle w:val="EndnoteText"/>
        <w:rPr>
          <w:rFonts w:cs="Arial"/>
        </w:rPr>
      </w:pPr>
      <w:r w:rsidRPr="00892424">
        <w:rPr>
          <w:rStyle w:val="EndnoteReference"/>
          <w:rFonts w:cs="Arial"/>
        </w:rPr>
        <w:endnoteRef/>
      </w:r>
      <w:r w:rsidRPr="00892424">
        <w:rPr>
          <w:rFonts w:cs="Arial"/>
        </w:rPr>
        <w:t xml:space="preserve"> Australian Human Rights Commission, </w:t>
      </w:r>
      <w:r w:rsidRPr="00892424">
        <w:rPr>
          <w:rFonts w:cs="Arial"/>
          <w:i/>
          <w:iCs/>
        </w:rPr>
        <w:t>Resilient Individuals: Sexual Orientation, Gender Identity &amp; Intersex Rights 2015</w:t>
      </w:r>
      <w:r w:rsidRPr="00892424">
        <w:rPr>
          <w:rFonts w:cs="Arial"/>
        </w:rPr>
        <w:t xml:space="preserve">, 50. At </w:t>
      </w:r>
      <w:hyperlink r:id="rId86" w:history="1">
        <w:r w:rsidRPr="00892424">
          <w:rPr>
            <w:rStyle w:val="Hyperlink"/>
            <w:rFonts w:cs="Arial"/>
          </w:rPr>
          <w:t>https://www.humanrights.gov.au/our-work/sexual-orientation-sex-gender-identity/publications/resilient-individuals-sexual</w:t>
        </w:r>
      </w:hyperlink>
      <w:r w:rsidRPr="00892424">
        <w:rPr>
          <w:rFonts w:cs="Arial"/>
        </w:rPr>
        <w:t xml:space="preserve"> (</w:t>
      </w:r>
      <w:r w:rsidRPr="00BF602B">
        <w:rPr>
          <w:rFonts w:cs="Arial"/>
        </w:rPr>
        <w:t xml:space="preserve">viewed </w:t>
      </w:r>
      <w:r>
        <w:rPr>
          <w:rFonts w:cs="Arial"/>
        </w:rPr>
        <w:t>11 September 2017</w:t>
      </w:r>
      <w:r w:rsidRPr="00892424">
        <w:rPr>
          <w:rFonts w:cs="Arial"/>
        </w:rPr>
        <w:t>).</w:t>
      </w:r>
    </w:p>
  </w:endnote>
  <w:endnote w:id="75">
    <w:p w14:paraId="061567F9" w14:textId="77777777" w:rsidR="003126E0" w:rsidRPr="00892424" w:rsidRDefault="003126E0" w:rsidP="00E73105">
      <w:pPr>
        <w:pStyle w:val="EndnoteText"/>
        <w:rPr>
          <w:rFonts w:cs="Arial"/>
        </w:rPr>
      </w:pPr>
      <w:r w:rsidRPr="00892424">
        <w:rPr>
          <w:rStyle w:val="EndnoteReference"/>
          <w:rFonts w:cs="Arial"/>
        </w:rPr>
        <w:endnoteRef/>
      </w:r>
      <w:r w:rsidRPr="00892424">
        <w:rPr>
          <w:rFonts w:cs="Arial"/>
        </w:rPr>
        <w:t> </w:t>
      </w:r>
      <w:r>
        <w:rPr>
          <w:rFonts w:cs="Arial"/>
        </w:rPr>
        <w:t xml:space="preserve">Human Rights Committee, </w:t>
      </w:r>
      <w:r>
        <w:rPr>
          <w:rFonts w:cs="Arial"/>
          <w:i/>
        </w:rPr>
        <w:t>Views: Communication No 2172/2012</w:t>
      </w:r>
      <w:r>
        <w:rPr>
          <w:rFonts w:cs="Arial"/>
        </w:rPr>
        <w:t>, 119</w:t>
      </w:r>
      <w:r w:rsidRPr="009B065C">
        <w:rPr>
          <w:rFonts w:cs="Arial"/>
          <w:vertAlign w:val="superscript"/>
        </w:rPr>
        <w:t>th</w:t>
      </w:r>
      <w:r>
        <w:rPr>
          <w:rFonts w:cs="Arial"/>
        </w:rPr>
        <w:t xml:space="preserve"> sess, UN Doc </w:t>
      </w:r>
      <w:r w:rsidRPr="009B065C">
        <w:rPr>
          <w:rFonts w:cs="Arial"/>
        </w:rPr>
        <w:t>CCPR/C/119/D/2172/2012</w:t>
      </w:r>
      <w:r>
        <w:rPr>
          <w:rFonts w:cs="Arial"/>
        </w:rPr>
        <w:t xml:space="preserve"> (17 March 2017) (‘</w:t>
      </w:r>
      <w:r w:rsidRPr="009B065C">
        <w:rPr>
          <w:rFonts w:cs="Arial"/>
          <w:i/>
        </w:rPr>
        <w:t>G v Australia</w:t>
      </w:r>
      <w:r>
        <w:rPr>
          <w:rFonts w:cs="Arial"/>
        </w:rPr>
        <w:t xml:space="preserve">’). At </w:t>
      </w:r>
      <w:hyperlink r:id="rId87" w:history="1">
        <w:r w:rsidRPr="000A5C86">
          <w:rPr>
            <w:rStyle w:val="Hyperlink"/>
            <w:rFonts w:cs="Arial"/>
          </w:rPr>
          <w:t>http://tbinternet.ohchr.org/Treaties/CCPR/Shared%20Documents/AUS/CCPR_C_119_D_2172_2012_25976_E.pdf</w:t>
        </w:r>
      </w:hyperlink>
      <w:r>
        <w:rPr>
          <w:rFonts w:cs="Arial"/>
        </w:rPr>
        <w:t xml:space="preserve"> (</w:t>
      </w:r>
      <w:r w:rsidRPr="00BF602B">
        <w:rPr>
          <w:rFonts w:cs="Arial"/>
        </w:rPr>
        <w:t xml:space="preserve">viewed </w:t>
      </w:r>
      <w:r>
        <w:rPr>
          <w:rFonts w:cs="Arial"/>
        </w:rPr>
        <w:t xml:space="preserve">11 September 2017). </w:t>
      </w:r>
      <w:r w:rsidRPr="00892424">
        <w:rPr>
          <w:rFonts w:cs="Arial"/>
        </w:rPr>
        <w:t xml:space="preserve"> </w:t>
      </w:r>
    </w:p>
  </w:endnote>
  <w:endnote w:id="76">
    <w:p w14:paraId="7E427DEA" w14:textId="77777777" w:rsidR="003126E0" w:rsidRPr="00892424" w:rsidRDefault="003126E0" w:rsidP="00E73105">
      <w:pPr>
        <w:pStyle w:val="EndnoteText"/>
        <w:rPr>
          <w:rFonts w:cs="Arial"/>
        </w:rPr>
      </w:pPr>
      <w:r w:rsidRPr="00892424">
        <w:rPr>
          <w:rStyle w:val="EndnoteReference"/>
          <w:rFonts w:cs="Arial"/>
        </w:rPr>
        <w:endnoteRef/>
      </w:r>
      <w:r w:rsidRPr="00892424">
        <w:rPr>
          <w:rFonts w:cs="Arial"/>
        </w:rPr>
        <w:t xml:space="preserve"> Australian Human Rights Commission, </w:t>
      </w:r>
      <w:r w:rsidRPr="00892424">
        <w:rPr>
          <w:rFonts w:cs="Arial"/>
          <w:i/>
          <w:iCs/>
        </w:rPr>
        <w:t>Resilient Individuals: Sexual Orientation Gender Identity &amp; Intersex Rights 2015</w:t>
      </w:r>
      <w:r w:rsidRPr="00892424">
        <w:rPr>
          <w:rFonts w:cs="Arial"/>
        </w:rPr>
        <w:t xml:space="preserve">, 57. At </w:t>
      </w:r>
      <w:hyperlink r:id="rId88" w:history="1">
        <w:r w:rsidRPr="00892424">
          <w:rPr>
            <w:rStyle w:val="Hyperlink"/>
            <w:rFonts w:cs="Arial"/>
          </w:rPr>
          <w:t>https://www.humanrights.gov.au/our-work/sexual-orientation-sex-gender-identity/publications/resilient-individuals-sexual</w:t>
        </w:r>
      </w:hyperlink>
      <w:r w:rsidRPr="00892424">
        <w:rPr>
          <w:rFonts w:cs="Arial"/>
        </w:rPr>
        <w:t xml:space="preserve"> (</w:t>
      </w:r>
      <w:r w:rsidRPr="00BF602B">
        <w:rPr>
          <w:rFonts w:cs="Arial"/>
        </w:rPr>
        <w:t xml:space="preserve">viewed </w:t>
      </w:r>
      <w:r>
        <w:rPr>
          <w:rFonts w:cs="Arial"/>
        </w:rPr>
        <w:t>11 September 2017</w:t>
      </w:r>
      <w:r w:rsidRPr="00892424">
        <w:rPr>
          <w:rFonts w:cs="Arial"/>
        </w:rPr>
        <w:t>).</w:t>
      </w:r>
    </w:p>
  </w:endnote>
  <w:endnote w:id="77">
    <w:p w14:paraId="57E57EA1" w14:textId="77777777" w:rsidR="003126E0" w:rsidRPr="00892424" w:rsidRDefault="003126E0" w:rsidP="00623EE3">
      <w:pPr>
        <w:pStyle w:val="EndnoteText"/>
        <w:rPr>
          <w:rFonts w:cs="Arial"/>
        </w:rPr>
      </w:pPr>
      <w:r w:rsidRPr="00892424">
        <w:rPr>
          <w:rStyle w:val="EndnoteReference"/>
          <w:rFonts w:cs="Arial"/>
        </w:rPr>
        <w:endnoteRef/>
      </w:r>
      <w:r w:rsidRPr="00892424">
        <w:rPr>
          <w:rFonts w:cs="Arial"/>
        </w:rPr>
        <w:t xml:space="preserve"> Senate Standing Committee on Community Affairs, </w:t>
      </w:r>
      <w:r w:rsidRPr="00892424">
        <w:rPr>
          <w:rFonts w:cs="Arial"/>
          <w:i/>
        </w:rPr>
        <w:t>Involuntary or coerced sterilisation of intersex people in Australia</w:t>
      </w:r>
      <w:r w:rsidRPr="00892424">
        <w:rPr>
          <w:rFonts w:cs="Arial"/>
        </w:rPr>
        <w:t xml:space="preserve"> (2013). At </w:t>
      </w:r>
      <w:hyperlink r:id="rId89" w:history="1">
        <w:r w:rsidRPr="00892424">
          <w:rPr>
            <w:rStyle w:val="Hyperlink"/>
            <w:rFonts w:cs="Arial"/>
          </w:rPr>
          <w:t>http://www.aph.gov.au/Parliamentary_Business/Committees/Senate/Community_Affairs/Involuntary_Sterilisation/Sec_Report/index</w:t>
        </w:r>
      </w:hyperlink>
      <w:r w:rsidRPr="00892424">
        <w:rPr>
          <w:rFonts w:cs="Arial"/>
        </w:rPr>
        <w:t xml:space="preserve"> (</w:t>
      </w:r>
      <w:r w:rsidRPr="00BF602B">
        <w:rPr>
          <w:rFonts w:cs="Arial"/>
        </w:rPr>
        <w:t xml:space="preserve">viewed </w:t>
      </w:r>
      <w:r>
        <w:rPr>
          <w:rFonts w:cs="Arial"/>
        </w:rPr>
        <w:t>11 September 2017</w:t>
      </w:r>
      <w:r w:rsidRPr="00892424">
        <w:rPr>
          <w:rFonts w:cs="Arial"/>
        </w:rPr>
        <w:t xml:space="preserve">). </w:t>
      </w:r>
    </w:p>
  </w:endnote>
  <w:endnote w:id="78">
    <w:p w14:paraId="1A37D3D0" w14:textId="77777777" w:rsidR="003126E0" w:rsidRDefault="003126E0" w:rsidP="00E73105">
      <w:pPr>
        <w:pStyle w:val="EndnoteText"/>
      </w:pPr>
      <w:r>
        <w:rPr>
          <w:rStyle w:val="EndnoteReference"/>
        </w:rPr>
        <w:endnoteRef/>
      </w:r>
      <w:r>
        <w:t xml:space="preserve"> </w:t>
      </w:r>
      <w:r w:rsidRPr="00D14B37">
        <w:rPr>
          <w:i/>
        </w:rPr>
        <w:t>Marriage Act 1961</w:t>
      </w:r>
      <w:r>
        <w:t xml:space="preserve"> (Cth) s 5(1).</w:t>
      </w:r>
    </w:p>
  </w:endnote>
  <w:endnote w:id="79">
    <w:p w14:paraId="6AC5868F" w14:textId="77777777" w:rsidR="003126E0" w:rsidRPr="00892424" w:rsidRDefault="003126E0" w:rsidP="00E73105">
      <w:pPr>
        <w:pStyle w:val="EndnoteText"/>
        <w:rPr>
          <w:rFonts w:cs="Arial"/>
        </w:rPr>
      </w:pPr>
      <w:r w:rsidRPr="00892424">
        <w:rPr>
          <w:rStyle w:val="EndnoteReference"/>
          <w:rFonts w:cs="Arial"/>
        </w:rPr>
        <w:endnoteRef/>
      </w:r>
      <w:r w:rsidRPr="00892424">
        <w:rPr>
          <w:rFonts w:cs="Arial"/>
        </w:rPr>
        <w:t xml:space="preserve"> Australian Human Rights Commission, </w:t>
      </w:r>
      <w:r w:rsidRPr="00892424">
        <w:rPr>
          <w:rFonts w:cs="Arial"/>
          <w:i/>
        </w:rPr>
        <w:t xml:space="preserve">Marriage Equality in a Changing World: Position Paper on Marriage Equality </w:t>
      </w:r>
      <w:r w:rsidRPr="00892424">
        <w:rPr>
          <w:rFonts w:cs="Arial"/>
        </w:rPr>
        <w:t>(2012)</w:t>
      </w:r>
      <w:r>
        <w:rPr>
          <w:rFonts w:cs="Arial"/>
        </w:rPr>
        <w:t xml:space="preserve"> 1</w:t>
      </w:r>
      <w:r w:rsidRPr="00892424">
        <w:rPr>
          <w:rFonts w:cs="Arial"/>
        </w:rPr>
        <w:t xml:space="preserve">. At </w:t>
      </w:r>
      <w:hyperlink r:id="rId90" w:history="1">
        <w:r w:rsidRPr="00892424">
          <w:rPr>
            <w:rStyle w:val="Hyperlink"/>
            <w:rFonts w:cs="Arial"/>
          </w:rPr>
          <w:t>http://www.humanrights.gov.au/lesbian-gay-bisexual-trans-and-intersex-equality-0</w:t>
        </w:r>
      </w:hyperlink>
      <w:r>
        <w:rPr>
          <w:rFonts w:cs="Arial"/>
        </w:rPr>
        <w:t xml:space="preserve"> (</w:t>
      </w:r>
      <w:r w:rsidRPr="00BF602B">
        <w:rPr>
          <w:rFonts w:cs="Arial"/>
        </w:rPr>
        <w:t xml:space="preserve">viewed </w:t>
      </w:r>
      <w:r>
        <w:rPr>
          <w:rFonts w:cs="Arial"/>
        </w:rPr>
        <w:t>11 September 2017)</w:t>
      </w:r>
      <w:r w:rsidRPr="00892424">
        <w:rPr>
          <w:rFonts w:cs="Arial"/>
        </w:rPr>
        <w:t>.</w:t>
      </w:r>
    </w:p>
  </w:endnote>
  <w:endnote w:id="80">
    <w:p w14:paraId="36C81E66" w14:textId="77777777" w:rsidR="003126E0" w:rsidRPr="007711C5" w:rsidRDefault="003126E0" w:rsidP="00E73105">
      <w:pPr>
        <w:pStyle w:val="EndnoteText"/>
      </w:pPr>
      <w:r>
        <w:rPr>
          <w:rStyle w:val="EndnoteReference"/>
        </w:rPr>
        <w:endnoteRef/>
      </w:r>
      <w:r>
        <w:t xml:space="preserve"> </w:t>
      </w:r>
      <w:r>
        <w:rPr>
          <w:i/>
        </w:rPr>
        <w:t xml:space="preserve">Marriage Act 1961 </w:t>
      </w:r>
      <w:r>
        <w:t>(Cth) s 47.</w:t>
      </w:r>
    </w:p>
  </w:endnote>
  <w:endnote w:id="81">
    <w:p w14:paraId="36431209" w14:textId="5A0F95FF" w:rsidR="003126E0" w:rsidRDefault="003126E0" w:rsidP="00E73105">
      <w:pPr>
        <w:pStyle w:val="EndnoteText"/>
      </w:pPr>
      <w:r w:rsidRPr="00584937">
        <w:rPr>
          <w:rStyle w:val="EndnoteReference"/>
        </w:rPr>
        <w:endnoteRef/>
      </w:r>
      <w:r w:rsidRPr="00584937">
        <w:t xml:space="preserve"> </w:t>
      </w:r>
      <w:r w:rsidRPr="00584937">
        <w:rPr>
          <w:rFonts w:cs="Arial"/>
        </w:rPr>
        <w:t>Australian</w:t>
      </w:r>
      <w:r w:rsidRPr="00892424">
        <w:rPr>
          <w:rFonts w:cs="Arial"/>
        </w:rPr>
        <w:t xml:space="preserve"> Human Rights Commission, </w:t>
      </w:r>
      <w:r w:rsidRPr="00892424">
        <w:rPr>
          <w:rFonts w:cs="Arial"/>
          <w:i/>
        </w:rPr>
        <w:t xml:space="preserve">Marriage Equality in a Changing World: Position Paper on Marriage Equality </w:t>
      </w:r>
      <w:r w:rsidRPr="00892424">
        <w:rPr>
          <w:rFonts w:cs="Arial"/>
        </w:rPr>
        <w:t>(2012)</w:t>
      </w:r>
      <w:r>
        <w:rPr>
          <w:rFonts w:cs="Arial"/>
        </w:rPr>
        <w:t xml:space="preserve"> 4</w:t>
      </w:r>
      <w:r w:rsidRPr="00892424">
        <w:rPr>
          <w:rFonts w:cs="Arial"/>
        </w:rPr>
        <w:t xml:space="preserve">. At </w:t>
      </w:r>
      <w:hyperlink r:id="rId91" w:history="1">
        <w:r w:rsidRPr="00892424">
          <w:rPr>
            <w:rStyle w:val="Hyperlink"/>
            <w:rFonts w:cs="Arial"/>
          </w:rPr>
          <w:t>http://www.humanrights.gov.au/lesbian-gay-bisexual-trans-and-intersex-equality-0</w:t>
        </w:r>
      </w:hyperlink>
      <w:r>
        <w:rPr>
          <w:rFonts w:cs="Arial"/>
        </w:rPr>
        <w:t xml:space="preserve"> (</w:t>
      </w:r>
      <w:r w:rsidRPr="00BF602B">
        <w:rPr>
          <w:rFonts w:cs="Arial"/>
        </w:rPr>
        <w:t xml:space="preserve">viewed </w:t>
      </w:r>
      <w:r>
        <w:rPr>
          <w:rFonts w:cs="Arial"/>
        </w:rPr>
        <w:t>11 September 2017)</w:t>
      </w:r>
      <w:r w:rsidRPr="00892424">
        <w:rPr>
          <w:rFonts w:cs="Arial"/>
        </w:rPr>
        <w:t>.</w:t>
      </w:r>
      <w:r>
        <w:rPr>
          <w:rFonts w:cs="Arial"/>
        </w:rPr>
        <w:t xml:space="preserve"> The right to freedom of religion is discussed in section </w:t>
      </w:r>
      <w:hyperlink w:anchor="_Freedom_of_religion" w:history="1">
        <w:r w:rsidRPr="003D736D">
          <w:rPr>
            <w:rStyle w:val="Hyperlink"/>
            <w:rFonts w:cs="Arial"/>
          </w:rPr>
          <w:t>12.1</w:t>
        </w:r>
      </w:hyperlink>
      <w:hyperlink w:anchor="_Freedom_of_religion" w:history="1"/>
      <w:r>
        <w:rPr>
          <w:rFonts w:cs="Arial"/>
        </w:rPr>
        <w:t xml:space="preserve"> of this submission.</w:t>
      </w:r>
    </w:p>
  </w:endnote>
  <w:endnote w:id="82">
    <w:p w14:paraId="4617BB16" w14:textId="77777777" w:rsidR="003126E0" w:rsidRPr="000B4558" w:rsidRDefault="003126E0" w:rsidP="000B4558">
      <w:pPr>
        <w:spacing w:before="0" w:after="0"/>
        <w:rPr>
          <w:sz w:val="20"/>
          <w:szCs w:val="20"/>
        </w:rPr>
      </w:pPr>
      <w:r w:rsidRPr="00FF4EF5">
        <w:rPr>
          <w:rStyle w:val="EndnoteReference"/>
          <w:rFonts w:cs="Arial"/>
        </w:rPr>
        <w:endnoteRef/>
      </w:r>
      <w:r w:rsidRPr="00FF4EF5">
        <w:rPr>
          <w:rFonts w:cs="Arial"/>
        </w:rPr>
        <w:t xml:space="preserve"> </w:t>
      </w:r>
      <w:r w:rsidRPr="00584937">
        <w:rPr>
          <w:sz w:val="20"/>
          <w:szCs w:val="20"/>
        </w:rPr>
        <w:t>Mathias Cormann, ‘Commitment to a National Plebiscite on Same Sex Marriage’ (Media Release, MC 46/17, 8 August 2017)</w:t>
      </w:r>
      <w:r>
        <w:rPr>
          <w:sz w:val="20"/>
          <w:szCs w:val="20"/>
        </w:rPr>
        <w:t>. At</w:t>
      </w:r>
      <w:r w:rsidRPr="00584937">
        <w:rPr>
          <w:sz w:val="20"/>
          <w:szCs w:val="20"/>
        </w:rPr>
        <w:t xml:space="preserve"> </w:t>
      </w:r>
      <w:hyperlink r:id="rId92" w:history="1">
        <w:r w:rsidRPr="005C3025">
          <w:rPr>
            <w:rStyle w:val="Hyperlink"/>
            <w:sz w:val="20"/>
            <w:szCs w:val="20"/>
          </w:rPr>
          <w:t>http://www.financeminister.gov.au/media-release/2017/08/08/commitment-national-plebiscite-same-sex-marriage</w:t>
        </w:r>
      </w:hyperlink>
      <w:r>
        <w:rPr>
          <w:sz w:val="20"/>
          <w:szCs w:val="20"/>
        </w:rPr>
        <w:t xml:space="preserve"> (</w:t>
      </w:r>
      <w:r w:rsidRPr="00242AC2">
        <w:rPr>
          <w:sz w:val="20"/>
          <w:szCs w:val="20"/>
        </w:rPr>
        <w:t>viewed 11 September 2017</w:t>
      </w:r>
      <w:r>
        <w:rPr>
          <w:sz w:val="20"/>
          <w:szCs w:val="20"/>
        </w:rPr>
        <w:t>).</w:t>
      </w:r>
    </w:p>
  </w:endnote>
  <w:endnote w:id="83">
    <w:p w14:paraId="17711057" w14:textId="77777777" w:rsidR="003126E0" w:rsidRPr="00E15BB9" w:rsidRDefault="003126E0" w:rsidP="00E73105">
      <w:pPr>
        <w:pStyle w:val="EndnoteText"/>
      </w:pPr>
      <w:r>
        <w:rPr>
          <w:rStyle w:val="EndnoteReference"/>
        </w:rPr>
        <w:endnoteRef/>
      </w:r>
      <w:r>
        <w:t xml:space="preserve"> Australian Human Rights Commission, Submission No 26 to Senate Standing Committee on Legal and Constitutional Affairs, Parliament of Australia, </w:t>
      </w:r>
      <w:r>
        <w:rPr>
          <w:i/>
        </w:rPr>
        <w:t>Inquiry into a Popular Vote in the Form of a Plebiscite or Referendum, on Marriage in Australia</w:t>
      </w:r>
      <w:r>
        <w:t xml:space="preserve">, 4 September 2015, 3. At </w:t>
      </w:r>
      <w:hyperlink r:id="rId93" w:history="1">
        <w:r w:rsidRPr="005C3025">
          <w:rPr>
            <w:rStyle w:val="Hyperlink"/>
          </w:rPr>
          <w:t>https://www.humanrights.gov.au/submissions/senate-inquiry-matter-popular-vote-form-plebiscite-or-referendum-matter-marriage</w:t>
        </w:r>
      </w:hyperlink>
      <w:r>
        <w:t xml:space="preserve"> (</w:t>
      </w:r>
      <w:r w:rsidRPr="00BF602B">
        <w:rPr>
          <w:rFonts w:cs="Arial"/>
        </w:rPr>
        <w:t xml:space="preserve">viewed </w:t>
      </w:r>
      <w:r>
        <w:rPr>
          <w:rFonts w:cs="Arial"/>
        </w:rPr>
        <w:t>11 September 2017</w:t>
      </w:r>
      <w:r>
        <w:t>).</w:t>
      </w:r>
    </w:p>
  </w:endnote>
  <w:endnote w:id="84">
    <w:p w14:paraId="678C88CF" w14:textId="77777777" w:rsidR="003126E0" w:rsidRPr="008D79ED" w:rsidRDefault="003126E0" w:rsidP="00E73105">
      <w:pPr>
        <w:pStyle w:val="EndnoteText"/>
        <w:rPr>
          <w:rFonts w:cs="Arial"/>
          <w:highlight w:val="yellow"/>
        </w:rPr>
      </w:pPr>
      <w:r w:rsidRPr="00892424">
        <w:rPr>
          <w:rStyle w:val="EndnoteReference"/>
          <w:rFonts w:cs="Arial"/>
        </w:rPr>
        <w:endnoteRef/>
      </w:r>
      <w:r w:rsidRPr="00892424">
        <w:rPr>
          <w:rFonts w:cs="Arial"/>
        </w:rPr>
        <w:t xml:space="preserve"> </w:t>
      </w:r>
      <w:r>
        <w:rPr>
          <w:rFonts w:cs="Arial"/>
        </w:rPr>
        <w:t xml:space="preserve">Human Rights Committee, </w:t>
      </w:r>
      <w:r>
        <w:rPr>
          <w:rFonts w:cs="Arial"/>
          <w:i/>
        </w:rPr>
        <w:t>Views: Communication No 221</w:t>
      </w:r>
      <w:r w:rsidRPr="00C754A2">
        <w:rPr>
          <w:rFonts w:cs="Arial"/>
          <w:i/>
        </w:rPr>
        <w:t xml:space="preserve">6/2012, </w:t>
      </w:r>
      <w:r w:rsidRPr="00C754A2">
        <w:rPr>
          <w:rFonts w:cs="Arial"/>
        </w:rPr>
        <w:t>119</w:t>
      </w:r>
      <w:r w:rsidRPr="00C754A2">
        <w:rPr>
          <w:rFonts w:cs="Arial"/>
          <w:vertAlign w:val="superscript"/>
        </w:rPr>
        <w:t>th</w:t>
      </w:r>
      <w:r w:rsidRPr="00C754A2">
        <w:rPr>
          <w:rFonts w:cs="Arial"/>
        </w:rPr>
        <w:t xml:space="preserve"> sess, UN Doc CCPR/C/119/D/2216/2012 (3 August 2017) (‘</w:t>
      </w:r>
      <w:r w:rsidRPr="00C754A2">
        <w:rPr>
          <w:rFonts w:cs="Arial"/>
          <w:i/>
        </w:rPr>
        <w:t>C v Australia’</w:t>
      </w:r>
      <w:r w:rsidRPr="00C754A2">
        <w:rPr>
          <w:rFonts w:cs="Arial"/>
        </w:rPr>
        <w:t>).</w:t>
      </w:r>
      <w:r>
        <w:rPr>
          <w:rFonts w:cs="Arial"/>
        </w:rPr>
        <w:t xml:space="preserve"> </w:t>
      </w:r>
      <w:r w:rsidRPr="00892424">
        <w:rPr>
          <w:rFonts w:cs="Arial"/>
        </w:rPr>
        <w:t xml:space="preserve"> </w:t>
      </w:r>
    </w:p>
  </w:endnote>
  <w:endnote w:id="85">
    <w:p w14:paraId="156957AD" w14:textId="77777777" w:rsidR="003126E0" w:rsidRPr="00892424" w:rsidRDefault="003126E0" w:rsidP="00B87672">
      <w:pPr>
        <w:pStyle w:val="EndnoteText"/>
        <w:contextualSpacing/>
        <w:rPr>
          <w:rFonts w:cs="Arial"/>
        </w:rPr>
      </w:pPr>
      <w:r w:rsidRPr="00892424">
        <w:rPr>
          <w:rStyle w:val="EndnoteReference"/>
          <w:rFonts w:cs="Arial"/>
        </w:rPr>
        <w:endnoteRef/>
      </w:r>
      <w:r w:rsidRPr="00892424">
        <w:rPr>
          <w:rFonts w:cs="Arial"/>
        </w:rPr>
        <w:t xml:space="preserve"> </w:t>
      </w:r>
      <w:r>
        <w:rPr>
          <w:rFonts w:cs="Arial"/>
        </w:rPr>
        <w:t xml:space="preserve">The National Plan is </w:t>
      </w:r>
      <w:r w:rsidRPr="00FF6BDC">
        <w:t>a twelve-year plan which aims to coordinate actions across Australian jurisdictions to reduce levels of violence against women</w:t>
      </w:r>
      <w:r>
        <w:t xml:space="preserve"> and children</w:t>
      </w:r>
      <w:r>
        <w:rPr>
          <w:rFonts w:cs="Arial"/>
        </w:rPr>
        <w:t xml:space="preserve">. See </w:t>
      </w:r>
      <w:r w:rsidRPr="00892424">
        <w:rPr>
          <w:rFonts w:cs="Arial"/>
        </w:rPr>
        <w:t xml:space="preserve">Council of Australian Governments, </w:t>
      </w:r>
      <w:r w:rsidRPr="00892424">
        <w:rPr>
          <w:rFonts w:cs="Arial"/>
          <w:i/>
        </w:rPr>
        <w:t>The National Plan to Reduce Violence against Women and their Children 2010–2022</w:t>
      </w:r>
      <w:r w:rsidRPr="00892424">
        <w:rPr>
          <w:rFonts w:cs="Arial"/>
        </w:rPr>
        <w:t xml:space="preserve"> (2011). At </w:t>
      </w:r>
      <w:hyperlink r:id="rId94" w:history="1">
        <w:r w:rsidRPr="00892424">
          <w:rPr>
            <w:rStyle w:val="Hyperlink"/>
            <w:rFonts w:cs="Arial"/>
          </w:rPr>
          <w:t>https://www.dss.gov.au/sites/default/files/documents/08_2014/national_plan_accessible.pdf</w:t>
        </w:r>
      </w:hyperlink>
      <w:r w:rsidRPr="00892424">
        <w:rPr>
          <w:rFonts w:cs="Arial"/>
        </w:rPr>
        <w:t xml:space="preserve"> (</w:t>
      </w:r>
      <w:r w:rsidRPr="00BF602B">
        <w:rPr>
          <w:rFonts w:cs="Arial"/>
        </w:rPr>
        <w:t xml:space="preserve">viewed </w:t>
      </w:r>
      <w:r>
        <w:rPr>
          <w:rFonts w:cs="Arial"/>
        </w:rPr>
        <w:t>11 September 2017</w:t>
      </w:r>
      <w:r w:rsidRPr="00892424">
        <w:rPr>
          <w:rFonts w:cs="Arial"/>
        </w:rPr>
        <w:t xml:space="preserve">). </w:t>
      </w:r>
    </w:p>
  </w:endnote>
  <w:endnote w:id="86">
    <w:p w14:paraId="05553F99" w14:textId="22B81AC9" w:rsidR="003126E0" w:rsidRPr="00892424" w:rsidRDefault="003126E0" w:rsidP="00B87672">
      <w:pPr>
        <w:spacing w:before="0" w:after="0"/>
        <w:contextualSpacing/>
        <w:rPr>
          <w:rFonts w:cs="Arial"/>
          <w:color w:val="343434"/>
          <w:sz w:val="20"/>
          <w:szCs w:val="20"/>
        </w:rPr>
      </w:pPr>
      <w:r w:rsidRPr="00892424">
        <w:rPr>
          <w:rStyle w:val="EndnoteReference"/>
          <w:rFonts w:cs="Arial"/>
          <w:szCs w:val="20"/>
        </w:rPr>
        <w:endnoteRef/>
      </w:r>
      <w:r w:rsidRPr="00892424">
        <w:rPr>
          <w:rFonts w:cs="Arial"/>
          <w:sz w:val="20"/>
          <w:szCs w:val="20"/>
        </w:rPr>
        <w:t xml:space="preserve"> Council of Australian Governments, </w:t>
      </w:r>
      <w:r w:rsidRPr="00892424">
        <w:rPr>
          <w:rFonts w:cs="Arial"/>
          <w:i/>
          <w:sz w:val="20"/>
          <w:szCs w:val="20"/>
        </w:rPr>
        <w:t>Communique</w:t>
      </w:r>
      <w:r w:rsidRPr="00892424">
        <w:rPr>
          <w:rFonts w:cs="Arial"/>
          <w:sz w:val="20"/>
          <w:szCs w:val="20"/>
        </w:rPr>
        <w:t xml:space="preserve">, April 2015. At </w:t>
      </w:r>
      <w:hyperlink r:id="rId95" w:history="1">
        <w:r w:rsidRPr="00940AAC">
          <w:rPr>
            <w:rStyle w:val="Hyperlink"/>
            <w:rFonts w:cs="Arial"/>
            <w:sz w:val="20"/>
            <w:szCs w:val="20"/>
          </w:rPr>
          <w:t>https://www.coag.gov.au/meeting-outcomes/coag-meeting-communiqu%C3%A9-17-april-2015</w:t>
        </w:r>
      </w:hyperlink>
      <w:r>
        <w:rPr>
          <w:rFonts w:cs="Arial"/>
          <w:sz w:val="20"/>
          <w:szCs w:val="20"/>
        </w:rPr>
        <w:t xml:space="preserve"> </w:t>
      </w:r>
      <w:r w:rsidRPr="000B4558">
        <w:rPr>
          <w:rStyle w:val="Hyperlink"/>
          <w:rFonts w:cs="Arial"/>
          <w:color w:val="auto"/>
          <w:sz w:val="20"/>
          <w:szCs w:val="20"/>
          <w:u w:val="none"/>
        </w:rPr>
        <w:t xml:space="preserve">(viewed 22 February 2016); </w:t>
      </w:r>
      <w:r w:rsidRPr="00892424">
        <w:rPr>
          <w:rStyle w:val="Hyperlink"/>
          <w:rFonts w:cs="Arial"/>
          <w:color w:val="000000" w:themeColor="text1"/>
          <w:sz w:val="20"/>
          <w:szCs w:val="20"/>
          <w:u w:val="none"/>
        </w:rPr>
        <w:t xml:space="preserve">Malcolm Turnbull, Media </w:t>
      </w:r>
      <w:r w:rsidRPr="00633AE7">
        <w:rPr>
          <w:rStyle w:val="Hyperlink"/>
          <w:rFonts w:cs="Arial"/>
          <w:color w:val="000000" w:themeColor="text1"/>
          <w:sz w:val="20"/>
          <w:szCs w:val="20"/>
          <w:u w:val="none"/>
        </w:rPr>
        <w:t xml:space="preserve">Release: </w:t>
      </w:r>
      <w:r w:rsidRPr="00633AE7">
        <w:rPr>
          <w:rFonts w:cs="Arial"/>
          <w:i/>
          <w:color w:val="000000" w:themeColor="text1"/>
          <w:sz w:val="20"/>
          <w:szCs w:val="20"/>
        </w:rPr>
        <w:t>Women’s Safety Package to #StoptheViolence,</w:t>
      </w:r>
      <w:r w:rsidRPr="00633AE7">
        <w:rPr>
          <w:rFonts w:cs="Arial"/>
          <w:color w:val="000000" w:themeColor="text1"/>
          <w:sz w:val="20"/>
          <w:szCs w:val="20"/>
        </w:rPr>
        <w:t xml:space="preserve"> (24 September </w:t>
      </w:r>
      <w:r w:rsidRPr="00892424">
        <w:rPr>
          <w:rFonts w:cs="Arial"/>
          <w:color w:val="343434"/>
          <w:sz w:val="20"/>
          <w:szCs w:val="20"/>
        </w:rPr>
        <w:t xml:space="preserve">2015). At </w:t>
      </w:r>
      <w:hyperlink r:id="rId96" w:history="1">
        <w:r w:rsidRPr="00892424">
          <w:rPr>
            <w:rStyle w:val="Hyperlink"/>
            <w:rFonts w:cs="Arial"/>
            <w:sz w:val="20"/>
            <w:szCs w:val="20"/>
          </w:rPr>
          <w:t>http://www.malcolmturnbull.com.au/media/release-womens-safety-package-to-stoptheviolence</w:t>
        </w:r>
      </w:hyperlink>
      <w:r w:rsidRPr="00892424">
        <w:rPr>
          <w:rFonts w:cs="Arial"/>
          <w:color w:val="343434"/>
          <w:sz w:val="20"/>
          <w:szCs w:val="20"/>
        </w:rPr>
        <w:t xml:space="preserve">  (</w:t>
      </w:r>
      <w:r w:rsidRPr="00242AC2">
        <w:rPr>
          <w:rFonts w:cs="Arial"/>
          <w:color w:val="343434"/>
          <w:sz w:val="20"/>
          <w:szCs w:val="20"/>
        </w:rPr>
        <w:t>viewed 11 September 2017</w:t>
      </w:r>
      <w:r w:rsidRPr="00892424">
        <w:rPr>
          <w:rFonts w:cs="Arial"/>
          <w:color w:val="343434"/>
          <w:sz w:val="20"/>
          <w:szCs w:val="20"/>
        </w:rPr>
        <w:t>)</w:t>
      </w:r>
      <w:r>
        <w:rPr>
          <w:rFonts w:cs="Arial"/>
          <w:color w:val="343434"/>
          <w:sz w:val="20"/>
          <w:szCs w:val="20"/>
        </w:rPr>
        <w:t>.</w:t>
      </w:r>
    </w:p>
  </w:endnote>
  <w:endnote w:id="87">
    <w:p w14:paraId="32758974" w14:textId="417D8A2A" w:rsidR="003126E0" w:rsidRPr="00E90792" w:rsidRDefault="003126E0" w:rsidP="00953D66">
      <w:pPr>
        <w:pStyle w:val="EndnoteText"/>
        <w:contextualSpacing/>
        <w:rPr>
          <w:i/>
        </w:rPr>
      </w:pPr>
      <w:r>
        <w:rPr>
          <w:rStyle w:val="EndnoteReference"/>
        </w:rPr>
        <w:endnoteRef/>
      </w:r>
      <w:r>
        <w:t xml:space="preserve"> Australian Human Rights Commission, </w:t>
      </w:r>
      <w:r>
        <w:rPr>
          <w:i/>
        </w:rPr>
        <w:t>A National System for Domestic and Family Violence Death Review</w:t>
      </w:r>
      <w:r>
        <w:t xml:space="preserve"> (2017) 12. At </w:t>
      </w:r>
      <w:hyperlink r:id="rId97" w:history="1">
        <w:r w:rsidRPr="00C42601">
          <w:rPr>
            <w:rStyle w:val="Hyperlink"/>
          </w:rPr>
          <w:t>https://www.humanrights.gov.au/sites/default/files/document/publication/AHRC_2016_12_19_Expanding_DV_Death_Review.pdf</w:t>
        </w:r>
      </w:hyperlink>
      <w:r>
        <w:t xml:space="preserve"> (</w:t>
      </w:r>
      <w:r w:rsidRPr="00242AC2">
        <w:t>viewed 11 September 2017</w:t>
      </w:r>
      <w:r>
        <w:t xml:space="preserve">). The Special Rapporteur on violence against women, its causes and consequences has also encouraged the Australian Government to further improve collection of comparable data on gender-related killings. See </w:t>
      </w:r>
      <w:r w:rsidRPr="00953D66">
        <w:t>Dubravka Šimonović</w:t>
      </w:r>
      <w:r>
        <w:t>,</w:t>
      </w:r>
      <w:r w:rsidRPr="006E617B">
        <w:t xml:space="preserve"> </w:t>
      </w:r>
      <w:r>
        <w:t xml:space="preserve">United Nations Special Rapporteur violence against women, its causes and consequences, </w:t>
      </w:r>
      <w:r>
        <w:rPr>
          <w:i/>
        </w:rPr>
        <w:t xml:space="preserve">End of Mission Statement Dubravka Šimonović, </w:t>
      </w:r>
      <w:r w:rsidRPr="00953D66">
        <w:rPr>
          <w:i/>
        </w:rPr>
        <w:t xml:space="preserve">United Nations Special Rapporteur on Violence against women, its causes and consequences </w:t>
      </w:r>
      <w:r>
        <w:rPr>
          <w:i/>
        </w:rPr>
        <w:t xml:space="preserve">on her visit to Australia </w:t>
      </w:r>
      <w:r>
        <w:t>(27 February 2017). At</w:t>
      </w:r>
      <w:r w:rsidRPr="00953D66">
        <w:t xml:space="preserve"> </w:t>
      </w:r>
      <w:hyperlink r:id="rId98" w:history="1">
        <w:r w:rsidRPr="004519B6">
          <w:rPr>
            <w:rStyle w:val="Hyperlink"/>
          </w:rPr>
          <w:t>http://www.ohchr.org/EN/NewsEvents/Pages/DisplayNews.aspx?NewsID=21243&amp;LangID=E</w:t>
        </w:r>
      </w:hyperlink>
      <w:r>
        <w:t xml:space="preserve"> (viewed 14 September 2017).</w:t>
      </w:r>
    </w:p>
  </w:endnote>
  <w:endnote w:id="88">
    <w:p w14:paraId="6226FBCF" w14:textId="3A480C05" w:rsidR="003126E0" w:rsidRPr="00892424" w:rsidRDefault="003126E0" w:rsidP="00B87672">
      <w:pPr>
        <w:pStyle w:val="EndnoteText"/>
        <w:contextualSpacing/>
        <w:rPr>
          <w:rFonts w:cs="Arial"/>
          <w:b/>
        </w:rPr>
      </w:pPr>
      <w:r w:rsidRPr="00892424">
        <w:rPr>
          <w:rStyle w:val="EndnoteReference"/>
          <w:rFonts w:cs="Arial"/>
        </w:rPr>
        <w:endnoteRef/>
      </w:r>
      <w:r w:rsidRPr="00892424">
        <w:rPr>
          <w:rFonts w:cs="Arial"/>
        </w:rPr>
        <w:t xml:space="preserve"> VicHealth, </w:t>
      </w:r>
      <w:r w:rsidRPr="00892424">
        <w:rPr>
          <w:rFonts w:cs="Arial"/>
          <w:i/>
          <w:iCs/>
        </w:rPr>
        <w:t xml:space="preserve">Preventing Violence against Women in Australia: Research Summary, </w:t>
      </w:r>
      <w:r w:rsidRPr="00892424">
        <w:rPr>
          <w:rFonts w:cs="Arial"/>
        </w:rPr>
        <w:t xml:space="preserve">Victorian Health Promotion Foundation (2011). At </w:t>
      </w:r>
      <w:hyperlink r:id="rId99" w:history="1">
        <w:r w:rsidRPr="00940AAC">
          <w:rPr>
            <w:rStyle w:val="Hyperlink"/>
          </w:rPr>
          <w:t>https://www.vichealth.vic.gov.au/media-and-resources/publications/violence-against-women-in-australia-research-summary</w:t>
        </w:r>
      </w:hyperlink>
      <w:r>
        <w:t xml:space="preserve"> </w:t>
      </w:r>
      <w:r w:rsidRPr="00892424">
        <w:rPr>
          <w:rFonts w:cs="Arial"/>
        </w:rPr>
        <w:t xml:space="preserve">(viewed </w:t>
      </w:r>
      <w:r>
        <w:rPr>
          <w:rFonts w:cs="Arial"/>
        </w:rPr>
        <w:t>11 September 2017</w:t>
      </w:r>
      <w:r w:rsidRPr="00892424">
        <w:rPr>
          <w:rFonts w:cs="Arial"/>
        </w:rPr>
        <w:t xml:space="preserve">).  </w:t>
      </w:r>
      <w:r>
        <w:rPr>
          <w:rFonts w:cs="Arial"/>
        </w:rPr>
        <w:t xml:space="preserve">The </w:t>
      </w:r>
      <w:r>
        <w:t>Special Rapporteur on violence against women, its causes and consequences</w:t>
      </w:r>
      <w:r>
        <w:rPr>
          <w:rFonts w:cs="Arial"/>
        </w:rPr>
        <w:t xml:space="preserve"> paid special attention to the situation of women who encounter multiple and intersecting forms of discrimination and violence during the visit to Australia in February 2017. </w:t>
      </w:r>
      <w:r>
        <w:t xml:space="preserve">See </w:t>
      </w:r>
      <w:r w:rsidRPr="00953D66">
        <w:t>Dubravka Šimonović</w:t>
      </w:r>
      <w:r>
        <w:t>,</w:t>
      </w:r>
      <w:r w:rsidRPr="006E617B">
        <w:t xml:space="preserve"> </w:t>
      </w:r>
      <w:r>
        <w:t xml:space="preserve">United Nations Special Rapporteur violence against women, its causes and consequences, </w:t>
      </w:r>
      <w:r>
        <w:rPr>
          <w:i/>
        </w:rPr>
        <w:t xml:space="preserve">End of Mission Statement Dubravka Šimonović, </w:t>
      </w:r>
      <w:r w:rsidRPr="00953D66">
        <w:rPr>
          <w:i/>
        </w:rPr>
        <w:t xml:space="preserve">United Nations Special Rapporteur on Violence against women, its causes and consequences </w:t>
      </w:r>
      <w:r>
        <w:rPr>
          <w:i/>
        </w:rPr>
        <w:t xml:space="preserve">on her visit to Australia </w:t>
      </w:r>
      <w:r>
        <w:t>(27 February 2017). At</w:t>
      </w:r>
      <w:r w:rsidRPr="00953D66">
        <w:t xml:space="preserve"> </w:t>
      </w:r>
      <w:hyperlink r:id="rId100" w:history="1">
        <w:r w:rsidRPr="004519B6">
          <w:rPr>
            <w:rStyle w:val="Hyperlink"/>
          </w:rPr>
          <w:t>http://www.ohchr.org/EN/NewsEvents/Pages/DisplayNews.aspx?NewsID=21243&amp;LangID=E</w:t>
        </w:r>
      </w:hyperlink>
      <w:r>
        <w:t xml:space="preserve"> (viewed 14 September 2017).</w:t>
      </w:r>
    </w:p>
  </w:endnote>
  <w:endnote w:id="89">
    <w:p w14:paraId="0C9717C8" w14:textId="77777777" w:rsidR="003126E0" w:rsidRDefault="003126E0" w:rsidP="00CC6C91">
      <w:pPr>
        <w:pStyle w:val="EndnoteText"/>
      </w:pPr>
      <w:r>
        <w:rPr>
          <w:rStyle w:val="EndnoteReference"/>
        </w:rPr>
        <w:endnoteRef/>
      </w:r>
      <w:r>
        <w:t xml:space="preserve"> Australian Human Rights Commission, </w:t>
      </w:r>
      <w:r w:rsidRPr="002A451B">
        <w:rPr>
          <w:i/>
        </w:rPr>
        <w:t xml:space="preserve">Working without fear: Results of the Sexual Harassment National Telephone Survey </w:t>
      </w:r>
      <w:r>
        <w:t xml:space="preserve">(2012) 12. At </w:t>
      </w:r>
      <w:hyperlink r:id="rId101" w:history="1">
        <w:r w:rsidRPr="0043095B">
          <w:rPr>
            <w:rStyle w:val="Hyperlink"/>
          </w:rPr>
          <w:t>https://www.humanrights.gov.au/our-work/sex-discrimination/projects/working-without-fear-results-sexual-harassment-national</w:t>
        </w:r>
      </w:hyperlink>
      <w:r>
        <w:t xml:space="preserve"> (</w:t>
      </w:r>
      <w:r w:rsidRPr="00BF602B">
        <w:rPr>
          <w:rFonts w:cs="Arial"/>
        </w:rPr>
        <w:t xml:space="preserve">viewed </w:t>
      </w:r>
      <w:r>
        <w:rPr>
          <w:rFonts w:cs="Arial"/>
        </w:rPr>
        <w:t>11 September 2017</w:t>
      </w:r>
      <w:r>
        <w:t xml:space="preserve">). </w:t>
      </w:r>
    </w:p>
  </w:endnote>
  <w:endnote w:id="90">
    <w:p w14:paraId="1B78167F" w14:textId="77777777" w:rsidR="003126E0" w:rsidRDefault="003126E0" w:rsidP="00CC6C91">
      <w:pPr>
        <w:pStyle w:val="EndnoteText"/>
      </w:pPr>
      <w:r>
        <w:rPr>
          <w:rStyle w:val="EndnoteReference"/>
        </w:rPr>
        <w:endnoteRef/>
      </w:r>
      <w:r>
        <w:t xml:space="preserve"> Australian Human Rights Commission, </w:t>
      </w:r>
      <w:r w:rsidRPr="002A451B">
        <w:rPr>
          <w:i/>
        </w:rPr>
        <w:t xml:space="preserve">Working without fear: Results of the Sexual Harassment National Telephone Survey </w:t>
      </w:r>
      <w:r>
        <w:t xml:space="preserve">(2012) 12. At </w:t>
      </w:r>
      <w:hyperlink r:id="rId102" w:history="1">
        <w:r w:rsidRPr="0043095B">
          <w:rPr>
            <w:rStyle w:val="Hyperlink"/>
          </w:rPr>
          <w:t>https://www.humanrights.gov.au/our-work/sex-discrimination/projects/working-without-fear-results-sexual-harassment-national</w:t>
        </w:r>
      </w:hyperlink>
      <w:r>
        <w:t xml:space="preserve"> (</w:t>
      </w:r>
      <w:r w:rsidRPr="00BF602B">
        <w:rPr>
          <w:rFonts w:cs="Arial"/>
        </w:rPr>
        <w:t xml:space="preserve">viewed </w:t>
      </w:r>
      <w:r>
        <w:rPr>
          <w:rFonts w:cs="Arial"/>
        </w:rPr>
        <w:t>11 September 2017)</w:t>
      </w:r>
      <w:r>
        <w:t>.</w:t>
      </w:r>
    </w:p>
  </w:endnote>
  <w:endnote w:id="91">
    <w:p w14:paraId="6903BA82" w14:textId="77777777" w:rsidR="003126E0" w:rsidRPr="006D668E" w:rsidRDefault="003126E0" w:rsidP="00CC6C91">
      <w:pPr>
        <w:pStyle w:val="EndnoteText"/>
        <w:rPr>
          <w:rFonts w:cs="Arial"/>
          <w:i/>
        </w:rPr>
      </w:pPr>
      <w:r w:rsidRPr="006D668E">
        <w:rPr>
          <w:rStyle w:val="EndnoteReference"/>
          <w:rFonts w:cs="Arial"/>
        </w:rPr>
        <w:endnoteRef/>
      </w:r>
      <w:r w:rsidRPr="006D668E">
        <w:rPr>
          <w:rFonts w:cs="Arial"/>
        </w:rPr>
        <w:t xml:space="preserve"> Australian</w:t>
      </w:r>
      <w:r>
        <w:rPr>
          <w:rFonts w:cs="Arial"/>
        </w:rPr>
        <w:t xml:space="preserve"> Human Rights Commission, </w:t>
      </w:r>
      <w:r>
        <w:rPr>
          <w:rFonts w:cs="Arial"/>
          <w:i/>
        </w:rPr>
        <w:t xml:space="preserve">Change The Course: National Report on Sexual Assault and Sexual Harassment at Australia Universities </w:t>
      </w:r>
      <w:r w:rsidRPr="006D668E">
        <w:rPr>
          <w:rFonts w:cs="Arial"/>
        </w:rPr>
        <w:t>(2017)</w:t>
      </w:r>
      <w:r>
        <w:rPr>
          <w:rFonts w:cs="Arial"/>
        </w:rPr>
        <w:t xml:space="preserve"> 3. At </w:t>
      </w:r>
      <w:hyperlink r:id="rId103" w:history="1">
        <w:r w:rsidRPr="00C42601">
          <w:rPr>
            <w:rStyle w:val="Hyperlink"/>
            <w:rFonts w:cs="Arial"/>
          </w:rPr>
          <w:t>https://www.humanrights.gov.au/sites/default/files/document/publication/AHRC_2017_ChangeTheCourse_UniversityReport.pdf</w:t>
        </w:r>
      </w:hyperlink>
      <w:r>
        <w:rPr>
          <w:rFonts w:cs="Arial"/>
        </w:rPr>
        <w:t xml:space="preserve"> (</w:t>
      </w:r>
      <w:r w:rsidRPr="00BF602B">
        <w:rPr>
          <w:rFonts w:cs="Arial"/>
        </w:rPr>
        <w:t xml:space="preserve">viewed </w:t>
      </w:r>
      <w:r>
        <w:rPr>
          <w:rFonts w:cs="Arial"/>
        </w:rPr>
        <w:t>11 September 2017).</w:t>
      </w:r>
    </w:p>
  </w:endnote>
  <w:endnote w:id="92">
    <w:p w14:paraId="4F170C28" w14:textId="77777777" w:rsidR="003126E0" w:rsidRPr="00892424" w:rsidRDefault="003126E0" w:rsidP="003409B3">
      <w:pPr>
        <w:pStyle w:val="EndnoteText"/>
        <w:rPr>
          <w:rFonts w:cs="Arial"/>
        </w:rPr>
      </w:pPr>
      <w:r w:rsidRPr="00892424">
        <w:rPr>
          <w:rStyle w:val="EndnoteReference"/>
          <w:rFonts w:cs="Arial"/>
        </w:rPr>
        <w:endnoteRef/>
      </w:r>
      <w:r w:rsidRPr="00892424">
        <w:rPr>
          <w:rFonts w:cs="Arial"/>
        </w:rPr>
        <w:t xml:space="preserve"> Department of Defence, </w:t>
      </w:r>
      <w:r w:rsidRPr="00892424">
        <w:rPr>
          <w:rFonts w:cs="Arial"/>
          <w:i/>
        </w:rPr>
        <w:t>Pathway to Change: Evolving Defence Culture</w:t>
      </w:r>
      <w:r w:rsidRPr="00892424">
        <w:rPr>
          <w:rFonts w:cs="Arial"/>
        </w:rPr>
        <w:t xml:space="preserve"> (2012). At </w:t>
      </w:r>
      <w:hyperlink r:id="rId104" w:history="1">
        <w:r w:rsidRPr="00892424">
          <w:rPr>
            <w:rStyle w:val="Hyperlink"/>
            <w:rFonts w:cs="Arial"/>
          </w:rPr>
          <w:t>http://www.defence.gov.au/PathwayToChange/Docs/120410%20Pathway%20to%20Change%20-%20Evolving%20Defence%20Culture%20-%20web%20version.pdf</w:t>
        </w:r>
      </w:hyperlink>
      <w:r w:rsidRPr="00892424">
        <w:rPr>
          <w:rFonts w:cs="Arial"/>
        </w:rPr>
        <w:t xml:space="preserve"> (</w:t>
      </w:r>
      <w:r w:rsidRPr="00BF602B">
        <w:rPr>
          <w:rFonts w:cs="Arial"/>
        </w:rPr>
        <w:t xml:space="preserve">viewed </w:t>
      </w:r>
      <w:r>
        <w:rPr>
          <w:rFonts w:cs="Arial"/>
        </w:rPr>
        <w:t>11 September 2017</w:t>
      </w:r>
      <w:r w:rsidRPr="00892424">
        <w:rPr>
          <w:rFonts w:cs="Arial"/>
        </w:rPr>
        <w:t>).</w:t>
      </w:r>
    </w:p>
  </w:endnote>
  <w:endnote w:id="93">
    <w:p w14:paraId="423A28D5" w14:textId="2A695B54" w:rsidR="003126E0" w:rsidRPr="00892424" w:rsidRDefault="003126E0" w:rsidP="00C05FEE">
      <w:pPr>
        <w:pStyle w:val="EndnoteText"/>
        <w:rPr>
          <w:rFonts w:cs="Arial"/>
        </w:rPr>
      </w:pPr>
      <w:r w:rsidRPr="00892424">
        <w:rPr>
          <w:rStyle w:val="EndnoteReference"/>
          <w:rFonts w:cs="Arial"/>
        </w:rPr>
        <w:endnoteRef/>
      </w:r>
      <w:r w:rsidRPr="00892424">
        <w:rPr>
          <w:rFonts w:cs="Arial"/>
        </w:rPr>
        <w:t xml:space="preserve"> See United Nations High Commissioner for Refugees, </w:t>
      </w:r>
      <w:r w:rsidRPr="00892424">
        <w:rPr>
          <w:rFonts w:cs="Arial"/>
          <w:i/>
        </w:rPr>
        <w:t>UNHCR Mission to the Republic of Nauru, 3-5 December 2012</w:t>
      </w:r>
      <w:r w:rsidRPr="00892424">
        <w:rPr>
          <w:rFonts w:cs="Arial"/>
        </w:rPr>
        <w:t xml:space="preserve"> (2012). At </w:t>
      </w:r>
      <w:hyperlink r:id="rId105" w:history="1">
        <w:r w:rsidRPr="00892424">
          <w:rPr>
            <w:rStyle w:val="Hyperlink"/>
            <w:rFonts w:cs="Arial"/>
          </w:rPr>
          <w:t>http://reliefweb.int/sites/reliefweb.int/files/resources/2012-12-14%2Bnauru%2Bmonitoring%2Breport%2Bfinal.pdf</w:t>
        </w:r>
      </w:hyperlink>
      <w:r w:rsidRPr="00892424">
        <w:rPr>
          <w:rFonts w:cs="Arial"/>
        </w:rPr>
        <w:t xml:space="preserve"> (</w:t>
      </w:r>
      <w:r w:rsidRPr="00BF602B">
        <w:rPr>
          <w:rFonts w:cs="Arial"/>
        </w:rPr>
        <w:t xml:space="preserve">viewed </w:t>
      </w:r>
      <w:r>
        <w:rPr>
          <w:rFonts w:cs="Arial"/>
        </w:rPr>
        <w:t>11 September 2017</w:t>
      </w:r>
      <w:r w:rsidRPr="00892424">
        <w:rPr>
          <w:rFonts w:cs="Arial"/>
        </w:rPr>
        <w:t xml:space="preserve">); United Nations High Commissioner for Refugees, </w:t>
      </w:r>
      <w:r w:rsidRPr="00892424">
        <w:rPr>
          <w:rFonts w:cs="Arial"/>
          <w:i/>
        </w:rPr>
        <w:t>UNHCR Mission to Manus Island, Papua New Guinea, 15-17 January 2013</w:t>
      </w:r>
      <w:r w:rsidRPr="00892424">
        <w:rPr>
          <w:rFonts w:cs="Arial"/>
        </w:rPr>
        <w:t xml:space="preserve"> (2013). At </w:t>
      </w:r>
      <w:hyperlink r:id="rId106" w:history="1">
        <w:r w:rsidRPr="00940AAC">
          <w:rPr>
            <w:rStyle w:val="Hyperlink"/>
          </w:rPr>
          <w:t>http://www.refworld.org/docid/5139ab872.html</w:t>
        </w:r>
      </w:hyperlink>
      <w:r>
        <w:t xml:space="preserve"> (viewed 11 September 2017)</w:t>
      </w:r>
      <w:r w:rsidRPr="00892424">
        <w:rPr>
          <w:rFonts w:cs="Arial"/>
        </w:rPr>
        <w:t xml:space="preserve">; United Nations High Commissioner for Refugees, </w:t>
      </w:r>
      <w:r w:rsidRPr="00892424">
        <w:rPr>
          <w:rFonts w:cs="Arial"/>
          <w:i/>
        </w:rPr>
        <w:t>UNHCR Monitoring Visit to Manus Island, Papua New Guinea, 11-13 June 2013</w:t>
      </w:r>
      <w:r w:rsidRPr="00892424">
        <w:rPr>
          <w:rFonts w:cs="Arial"/>
        </w:rPr>
        <w:t xml:space="preserve"> (2013). At </w:t>
      </w:r>
      <w:hyperlink r:id="rId107" w:history="1">
        <w:r w:rsidRPr="00940AAC">
          <w:rPr>
            <w:rStyle w:val="Hyperlink"/>
          </w:rPr>
          <w:t>http://www.refworld.org/docid/51f61ed54.html</w:t>
        </w:r>
      </w:hyperlink>
      <w:r>
        <w:t xml:space="preserve"> (viewed 11 September 2017)</w:t>
      </w:r>
      <w:r w:rsidRPr="00892424">
        <w:rPr>
          <w:rFonts w:cs="Arial"/>
        </w:rPr>
        <w:t xml:space="preserve">; Parliamentary Joint Committee on Human Rights, Parliament of Australia, </w:t>
      </w:r>
      <w:r w:rsidRPr="00892424">
        <w:rPr>
          <w:rFonts w:cs="Arial"/>
          <w:i/>
        </w:rPr>
        <w:t>Examination of the Migration (Regional Processing) package of legislation</w:t>
      </w:r>
      <w:r w:rsidRPr="00892424">
        <w:rPr>
          <w:rFonts w:cs="Arial"/>
        </w:rPr>
        <w:t xml:space="preserve"> (19 June 2013). At </w:t>
      </w:r>
      <w:hyperlink r:id="rId108" w:history="1">
        <w:r w:rsidRPr="00940AAC">
          <w:rPr>
            <w:rStyle w:val="Hyperlink"/>
          </w:rPr>
          <w:t>http://www.aph.gov.au/Parliamentary_Business/Committees/Joint/Human_Rights/Committee_Inquiries/migration/index</w:t>
        </w:r>
      </w:hyperlink>
      <w:r>
        <w:t xml:space="preserve"> (viewed 11 September 2017) </w:t>
      </w:r>
      <w:r w:rsidRPr="00892424">
        <w:rPr>
          <w:rFonts w:cs="Arial"/>
        </w:rPr>
        <w:t xml:space="preserve">; United Nations High Commissioner for Refugees, </w:t>
      </w:r>
      <w:r w:rsidRPr="00892424">
        <w:rPr>
          <w:rFonts w:cs="Arial"/>
          <w:i/>
        </w:rPr>
        <w:t>UNHCR monitoring visit to the Republic of Nauru, 7 to 9 October 2013</w:t>
      </w:r>
      <w:r w:rsidRPr="00892424">
        <w:rPr>
          <w:rFonts w:cs="Arial"/>
        </w:rPr>
        <w:t xml:space="preserve"> (2013). At </w:t>
      </w:r>
      <w:hyperlink r:id="rId109" w:history="1">
        <w:r w:rsidRPr="00940AAC">
          <w:rPr>
            <w:rStyle w:val="Hyperlink"/>
          </w:rPr>
          <w:t>http://www.unhcr.org/en-au/publications/legal/58117b931/unhcr-monitoring-visit-to-the-republic-of-nauru-7-to-9-october-2013.html</w:t>
        </w:r>
      </w:hyperlink>
      <w:r>
        <w:t xml:space="preserve"> (viewed 11 September 2017)</w:t>
      </w:r>
      <w:r w:rsidRPr="00892424">
        <w:rPr>
          <w:rFonts w:cs="Arial"/>
        </w:rPr>
        <w:t xml:space="preserve">; United Nations High Commissioner for Refugees, </w:t>
      </w:r>
      <w:r w:rsidRPr="00892424">
        <w:rPr>
          <w:rFonts w:cs="Arial"/>
          <w:i/>
        </w:rPr>
        <w:t>UNHCR monitoring visit to Manus Island, Papua New Guinea, 23 to 25 October 2013</w:t>
      </w:r>
      <w:r w:rsidRPr="00892424">
        <w:rPr>
          <w:rFonts w:cs="Arial"/>
        </w:rPr>
        <w:t xml:space="preserve"> (2013). </w:t>
      </w:r>
      <w:hyperlink r:id="rId110" w:history="1">
        <w:r w:rsidRPr="00940AAC">
          <w:rPr>
            <w:rStyle w:val="Hyperlink"/>
            <w:rFonts w:cs="Arial"/>
          </w:rPr>
          <w:t>http://www.unhcr.org/en-au/publications/legal/58117aff7/unhcr-monitoring-visit-to-manus-island-papua-new-guinea-23-to-25-october.html</w:t>
        </w:r>
      </w:hyperlink>
      <w:r>
        <w:rPr>
          <w:rFonts w:cs="Arial"/>
        </w:rPr>
        <w:t xml:space="preserve"> (viewed 11 September 2017)</w:t>
      </w:r>
      <w:r w:rsidRPr="00892424">
        <w:rPr>
          <w:rFonts w:cs="Arial"/>
        </w:rPr>
        <w:t xml:space="preserve">; Robert Cornall, </w:t>
      </w:r>
      <w:r w:rsidRPr="00892424">
        <w:rPr>
          <w:rFonts w:cs="Arial"/>
          <w:i/>
        </w:rPr>
        <w:t>Review into the events of 16-18 February 2014 at the Manus Regional Processing Centre</w:t>
      </w:r>
      <w:r w:rsidRPr="00892424">
        <w:rPr>
          <w:rFonts w:cs="Arial"/>
        </w:rPr>
        <w:t xml:space="preserve"> (Department of Immigration and Border Protection, 23 May 2014). At </w:t>
      </w:r>
      <w:hyperlink r:id="rId111" w:history="1">
        <w:r w:rsidRPr="00892424">
          <w:rPr>
            <w:rStyle w:val="Hyperlink"/>
            <w:rFonts w:cs="Arial"/>
          </w:rPr>
          <w:t>https://www.border.gov.au/ReportsandPublications/Documents/reviews-and-inquiries/review-robert-cornall.pdf</w:t>
        </w:r>
      </w:hyperlink>
      <w:r w:rsidRPr="00892424">
        <w:rPr>
          <w:rFonts w:cs="Arial"/>
        </w:rPr>
        <w:t xml:space="preserve"> (</w:t>
      </w:r>
      <w:r w:rsidRPr="00BF602B">
        <w:rPr>
          <w:rFonts w:cs="Arial"/>
        </w:rPr>
        <w:t xml:space="preserve">viewed </w:t>
      </w:r>
      <w:r>
        <w:rPr>
          <w:rFonts w:cs="Arial"/>
        </w:rPr>
        <w:t>11 September 2017</w:t>
      </w:r>
      <w:r w:rsidRPr="00892424">
        <w:rPr>
          <w:rFonts w:cs="Arial"/>
        </w:rPr>
        <w:t xml:space="preserve">); United Nations </w:t>
      </w:r>
      <w:r w:rsidRPr="00892424">
        <w:rPr>
          <w:rFonts w:cs="Arial"/>
          <w:bCs/>
        </w:rPr>
        <w:t xml:space="preserve">Committee against Torture, </w:t>
      </w:r>
      <w:r w:rsidRPr="00892424">
        <w:rPr>
          <w:rFonts w:cs="Arial"/>
          <w:bCs/>
          <w:i/>
        </w:rPr>
        <w:t>Concluding observations on the combined fourth and fifth periodic reports of Australia</w:t>
      </w:r>
      <w:r w:rsidRPr="00892424">
        <w:rPr>
          <w:rFonts w:cs="Arial"/>
          <w:bCs/>
        </w:rPr>
        <w:t xml:space="preserve">, UN Doc CAT/C/AUS/CO/4-5 (23 December 2014), 6. At </w:t>
      </w:r>
      <w:hyperlink r:id="rId112" w:history="1">
        <w:r w:rsidRPr="00892424">
          <w:rPr>
            <w:rStyle w:val="Hyperlink"/>
            <w:rFonts w:cs="Arial"/>
            <w:bCs/>
          </w:rPr>
          <w:t>http://tbinternet.ohchr.org/_layouts/treatybodyexternal/Download.aspx?symbolno=CAT/C/AUS/CO/4-5&amp;Lang=En</w:t>
        </w:r>
      </w:hyperlink>
      <w:r w:rsidRPr="00892424">
        <w:rPr>
          <w:rFonts w:cs="Arial"/>
          <w:bCs/>
        </w:rPr>
        <w:t xml:space="preserve"> (</w:t>
      </w:r>
      <w:r w:rsidRPr="00BF602B">
        <w:rPr>
          <w:rFonts w:cs="Arial"/>
        </w:rPr>
        <w:t xml:space="preserve">viewed </w:t>
      </w:r>
      <w:r>
        <w:rPr>
          <w:rFonts w:cs="Arial"/>
        </w:rPr>
        <w:t>11 September 2017</w:t>
      </w:r>
      <w:r w:rsidRPr="00892424">
        <w:rPr>
          <w:rFonts w:cs="Arial"/>
          <w:bCs/>
        </w:rPr>
        <w:t xml:space="preserve">); </w:t>
      </w:r>
      <w:r w:rsidRPr="00892424">
        <w:rPr>
          <w:rFonts w:cs="Arial"/>
        </w:rPr>
        <w:t xml:space="preserve">Philip Moss, </w:t>
      </w:r>
      <w:r w:rsidRPr="00892424">
        <w:rPr>
          <w:rFonts w:cs="Arial"/>
          <w:i/>
        </w:rPr>
        <w:t>Review into recent allegations relating to conditions and circumstances at the Regional Processing Centre in Nauru</w:t>
      </w:r>
      <w:r w:rsidRPr="00892424">
        <w:rPr>
          <w:rFonts w:cs="Arial"/>
        </w:rPr>
        <w:t xml:space="preserve"> (Department of Immigration and Border Protection, 6 February 2015). At </w:t>
      </w:r>
      <w:hyperlink r:id="rId113" w:history="1">
        <w:r w:rsidRPr="00892424">
          <w:rPr>
            <w:rStyle w:val="Hyperlink"/>
            <w:rFonts w:cs="Arial"/>
          </w:rPr>
          <w:t>https://www.border.gov.au/ReportsandPublications/Documents/reviews-and-inquiries/review-conditions-circumstances-nauru.pdf</w:t>
        </w:r>
      </w:hyperlink>
      <w:r w:rsidRPr="00892424">
        <w:rPr>
          <w:rFonts w:cs="Arial"/>
        </w:rPr>
        <w:t xml:space="preserve"> (</w:t>
      </w:r>
      <w:r w:rsidRPr="00BF602B">
        <w:rPr>
          <w:rFonts w:cs="Arial"/>
        </w:rPr>
        <w:t xml:space="preserve">viewed </w:t>
      </w:r>
      <w:r>
        <w:rPr>
          <w:rFonts w:cs="Arial"/>
        </w:rPr>
        <w:t>11 September 2017</w:t>
      </w:r>
      <w:r w:rsidRPr="00892424">
        <w:rPr>
          <w:rFonts w:cs="Arial"/>
        </w:rPr>
        <w:t xml:space="preserve">); </w:t>
      </w:r>
      <w:r w:rsidRPr="00892424">
        <w:rPr>
          <w:rFonts w:cs="Arial"/>
          <w:lang w:val="x-none"/>
        </w:rPr>
        <w:t>Juan E. Méndez</w:t>
      </w:r>
      <w:r w:rsidRPr="00892424">
        <w:rPr>
          <w:rFonts w:cs="Arial"/>
        </w:rPr>
        <w:t xml:space="preserve">, Special Rapporteur on torture and other cruel, inhuman or degrading treatment or punishment, </w:t>
      </w:r>
      <w:r w:rsidRPr="00892424">
        <w:rPr>
          <w:rFonts w:cs="Arial"/>
          <w:i/>
        </w:rPr>
        <w:t>Observations on communications transmitted to Governments and replies received</w:t>
      </w:r>
      <w:r w:rsidRPr="00892424">
        <w:rPr>
          <w:rFonts w:cs="Arial"/>
        </w:rPr>
        <w:t>, United Nations Human Rights Council, 28</w:t>
      </w:r>
      <w:r w:rsidRPr="00892424">
        <w:rPr>
          <w:rFonts w:cs="Arial"/>
          <w:vertAlign w:val="superscript"/>
        </w:rPr>
        <w:t>th</w:t>
      </w:r>
      <w:r w:rsidRPr="00892424">
        <w:rPr>
          <w:rFonts w:cs="Arial"/>
        </w:rPr>
        <w:t xml:space="preserve"> sess, Agenda Item 3, UN Doc A/HRC/28/68/Add.1 (5 March 2015). At </w:t>
      </w:r>
      <w:hyperlink r:id="rId114" w:history="1">
        <w:r w:rsidRPr="00892424">
          <w:rPr>
            <w:rStyle w:val="Hyperlink"/>
            <w:rFonts w:cs="Arial"/>
          </w:rPr>
          <w:t>http://www.ohchr.org/EN/HRBodies/HRC/RegularSessions/Session28/Documents/A_HRC_28_68_Add.1_en.doc</w:t>
        </w:r>
      </w:hyperlink>
      <w:r w:rsidRPr="00892424">
        <w:rPr>
          <w:rFonts w:cs="Arial"/>
        </w:rPr>
        <w:t xml:space="preserve"> (</w:t>
      </w:r>
      <w:r w:rsidRPr="00BF602B">
        <w:rPr>
          <w:rFonts w:cs="Arial"/>
        </w:rPr>
        <w:t xml:space="preserve">viewed </w:t>
      </w:r>
      <w:r>
        <w:rPr>
          <w:rFonts w:cs="Arial"/>
        </w:rPr>
        <w:t>11 September 2017</w:t>
      </w:r>
      <w:r w:rsidRPr="00892424">
        <w:rPr>
          <w:rFonts w:cs="Arial"/>
        </w:rPr>
        <w:t xml:space="preserve">); Senate Legal and Constitutional Affairs References Committee, Parliament of Australia, </w:t>
      </w:r>
      <w:r w:rsidRPr="00892424">
        <w:rPr>
          <w:rFonts w:cs="Arial"/>
          <w:i/>
        </w:rPr>
        <w:t>Incident at the Manus Island Detention Centre from 16 February to 18 February 2014</w:t>
      </w:r>
      <w:r w:rsidRPr="00892424">
        <w:rPr>
          <w:rFonts w:cs="Arial"/>
        </w:rPr>
        <w:t xml:space="preserve"> (December 2014) 37–54. At </w:t>
      </w:r>
      <w:hyperlink r:id="rId115" w:history="1">
        <w:r w:rsidRPr="00892424">
          <w:rPr>
            <w:rStyle w:val="Hyperlink"/>
            <w:rFonts w:cs="Arial"/>
          </w:rPr>
          <w:t>http://www.aph.gov.au/Parliamentary_Business/Committees/Senate/Legal_and_Constitutional_Affairs/Manus_Island/~/media/Committees/Senate/committee/legcon_ctte/Manus_Island/Report/report.pdf</w:t>
        </w:r>
      </w:hyperlink>
      <w:r w:rsidRPr="00892424">
        <w:rPr>
          <w:rFonts w:cs="Arial"/>
        </w:rPr>
        <w:t xml:space="preserve"> (</w:t>
      </w:r>
      <w:r w:rsidRPr="00BF602B">
        <w:rPr>
          <w:rFonts w:cs="Arial"/>
        </w:rPr>
        <w:t xml:space="preserve">viewed </w:t>
      </w:r>
      <w:r>
        <w:rPr>
          <w:rFonts w:cs="Arial"/>
        </w:rPr>
        <w:t>11 September 2017</w:t>
      </w:r>
      <w:r w:rsidRPr="00892424">
        <w:rPr>
          <w:rFonts w:cs="Arial"/>
        </w:rPr>
        <w:t xml:space="preserve">); Select Committee on the recent allegations relating to conditions and circumstances at the Regional Processing Centre in Nauru, Parliament of Australia, </w:t>
      </w:r>
      <w:r w:rsidRPr="00892424">
        <w:rPr>
          <w:rFonts w:cs="Arial"/>
          <w:i/>
        </w:rPr>
        <w:t xml:space="preserve">Taking responsibility: Conditions and circumstances at Australia's Regional Processing Centre in Nauru </w:t>
      </w:r>
      <w:r w:rsidRPr="00892424">
        <w:rPr>
          <w:rFonts w:cs="Arial"/>
        </w:rPr>
        <w:t xml:space="preserve">(August 2015) 59–86. At </w:t>
      </w:r>
      <w:hyperlink r:id="rId116" w:history="1">
        <w:r w:rsidRPr="00892424">
          <w:rPr>
            <w:rStyle w:val="Hyperlink"/>
            <w:rFonts w:cs="Arial"/>
          </w:rPr>
          <w:t>http://www.aph.gov.au/Parliamentary_Business/Committees/Senate/Regional_processing_Nauru/Regional_processing_Nauru/~/media/Committees/nauru_ctte/Final_Report/report.pdf</w:t>
        </w:r>
      </w:hyperlink>
      <w:r w:rsidRPr="00892424">
        <w:rPr>
          <w:rFonts w:cs="Arial"/>
        </w:rPr>
        <w:t xml:space="preserve"> (</w:t>
      </w:r>
      <w:r w:rsidRPr="00BF602B">
        <w:rPr>
          <w:rFonts w:cs="Arial"/>
        </w:rPr>
        <w:t xml:space="preserve">viewed </w:t>
      </w:r>
      <w:r>
        <w:rPr>
          <w:rFonts w:cs="Arial"/>
        </w:rPr>
        <w:t>11 September 2017</w:t>
      </w:r>
      <w:r w:rsidRPr="00892424">
        <w:rPr>
          <w:rFonts w:cs="Arial"/>
        </w:rPr>
        <w:t xml:space="preserve">); Elizabeth Elliott and Hasantha Gunasekera, </w:t>
      </w:r>
      <w:r w:rsidRPr="00892424">
        <w:rPr>
          <w:rFonts w:cs="Arial"/>
          <w:i/>
        </w:rPr>
        <w:t>The health and well-being of children in immigration detention: Report to the Australian Human Rights Commission – Monitoring Visit to Wickham Point Detention Centre, Darwin, NT</w:t>
      </w:r>
      <w:r w:rsidRPr="00892424">
        <w:rPr>
          <w:rFonts w:cs="Arial"/>
        </w:rPr>
        <w:t xml:space="preserve"> (Australian Human Rights Commission, 2016) 12. At </w:t>
      </w:r>
      <w:hyperlink r:id="rId117" w:history="1">
        <w:r w:rsidRPr="00892424">
          <w:rPr>
            <w:rStyle w:val="Hyperlink"/>
            <w:rFonts w:cs="Arial"/>
          </w:rPr>
          <w:t>https://www.humanrights.gov.au/our-work/asylum-seekers-and-refugees/publications/health-and-well-being-children-immigration</w:t>
        </w:r>
      </w:hyperlink>
      <w:r w:rsidRPr="00892424">
        <w:rPr>
          <w:rFonts w:cs="Arial"/>
        </w:rPr>
        <w:t xml:space="preserve"> (</w:t>
      </w:r>
      <w:r w:rsidRPr="00BF602B">
        <w:rPr>
          <w:rFonts w:cs="Arial"/>
        </w:rPr>
        <w:t xml:space="preserve">viewed </w:t>
      </w:r>
      <w:r>
        <w:rPr>
          <w:rFonts w:cs="Arial"/>
        </w:rPr>
        <w:t>11 September 2017</w:t>
      </w:r>
      <w:r w:rsidRPr="00892424">
        <w:rPr>
          <w:rFonts w:cs="Arial"/>
        </w:rPr>
        <w:t>).</w:t>
      </w:r>
    </w:p>
  </w:endnote>
  <w:endnote w:id="94">
    <w:p w14:paraId="4C3D4619" w14:textId="77777777" w:rsidR="003126E0" w:rsidRPr="00892424" w:rsidRDefault="003126E0" w:rsidP="00C05FEE">
      <w:pPr>
        <w:pStyle w:val="EndnoteText"/>
        <w:rPr>
          <w:rFonts w:cs="Arial"/>
        </w:rPr>
      </w:pPr>
      <w:r w:rsidRPr="00892424">
        <w:rPr>
          <w:rStyle w:val="EndnoteReference"/>
          <w:rFonts w:cs="Arial"/>
        </w:rPr>
        <w:endnoteRef/>
      </w:r>
      <w:r w:rsidRPr="00892424">
        <w:rPr>
          <w:rFonts w:cs="Arial"/>
        </w:rPr>
        <w:t xml:space="preserve"> As indicated by a comparison of the issues raised in the documents referred to above. </w:t>
      </w:r>
    </w:p>
  </w:endnote>
  <w:endnote w:id="95">
    <w:p w14:paraId="65B71B4D" w14:textId="77777777" w:rsidR="003126E0" w:rsidRDefault="003126E0" w:rsidP="00C05FEE">
      <w:pPr>
        <w:pStyle w:val="EndnoteText"/>
      </w:pPr>
      <w:r>
        <w:rPr>
          <w:rStyle w:val="EndnoteReference"/>
        </w:rPr>
        <w:endnoteRef/>
      </w:r>
      <w:r>
        <w:t xml:space="preserve"> See, for example, Robert Cornall, </w:t>
      </w:r>
      <w:r w:rsidRPr="00BF1059">
        <w:rPr>
          <w:i/>
        </w:rPr>
        <w:t>Review into the events of 16-18 February 2014 at the Manus Regional Processing Centre</w:t>
      </w:r>
      <w:r>
        <w:t xml:space="preserve"> (Department of Immigration and Border Protection, 23 May 2014). At </w:t>
      </w:r>
      <w:hyperlink r:id="rId118" w:history="1">
        <w:r w:rsidRPr="00533AD8">
          <w:rPr>
            <w:rStyle w:val="Hyperlink"/>
          </w:rPr>
          <w:t>https://www.border.gov.au/ReportsandPublications/Documents/reviews-and-inquiries/review-robert-cornall.pdf</w:t>
        </w:r>
      </w:hyperlink>
      <w:r>
        <w:rPr>
          <w:rStyle w:val="Hyperlink"/>
        </w:rPr>
        <w:t xml:space="preserve"> </w:t>
      </w:r>
      <w:r>
        <w:t>(</w:t>
      </w:r>
      <w:r w:rsidRPr="00BF602B">
        <w:rPr>
          <w:rFonts w:cs="Arial"/>
        </w:rPr>
        <w:t xml:space="preserve">viewed </w:t>
      </w:r>
      <w:r>
        <w:rPr>
          <w:rFonts w:cs="Arial"/>
        </w:rPr>
        <w:t>11 September 2017</w:t>
      </w:r>
      <w:r>
        <w:t xml:space="preserve">); Philip Moss, </w:t>
      </w:r>
      <w:r w:rsidRPr="004D20C7">
        <w:rPr>
          <w:i/>
        </w:rPr>
        <w:t>Review into recent allegations relating to conditions and circumstances at the Regional Processing Centre in Nauru</w:t>
      </w:r>
      <w:r>
        <w:t xml:space="preserve"> (Department of Immigration and Border Protection, 6 February 2015) 23–51. At </w:t>
      </w:r>
      <w:hyperlink r:id="rId119" w:history="1">
        <w:r w:rsidRPr="00533AD8">
          <w:rPr>
            <w:rStyle w:val="Hyperlink"/>
          </w:rPr>
          <w:t>https://www.border.gov.au/ReportsandPublications/Documents/reviews-and-inquiries/review-conditions-circumstances-nauru.pdf</w:t>
        </w:r>
      </w:hyperlink>
      <w:r>
        <w:t xml:space="preserve"> (</w:t>
      </w:r>
      <w:r w:rsidRPr="00BF602B">
        <w:rPr>
          <w:rFonts w:cs="Arial"/>
        </w:rPr>
        <w:t xml:space="preserve">viewed </w:t>
      </w:r>
      <w:r>
        <w:rPr>
          <w:rFonts w:cs="Arial"/>
        </w:rPr>
        <w:t>11 September 2017</w:t>
      </w:r>
      <w:r>
        <w:t xml:space="preserve">); Select Committee on the recent allegations relating to conditions and circumstances at the Regional Processing Centre in Nauru, Parliament of Australia, </w:t>
      </w:r>
      <w:r w:rsidRPr="004B6E0D">
        <w:rPr>
          <w:i/>
        </w:rPr>
        <w:t>Taking responsibility: C</w:t>
      </w:r>
      <w:r>
        <w:rPr>
          <w:i/>
        </w:rPr>
        <w:t xml:space="preserve">onditions and </w:t>
      </w:r>
      <w:r w:rsidRPr="004B6E0D">
        <w:rPr>
          <w:i/>
        </w:rPr>
        <w:t>circumstances at Australia</w:t>
      </w:r>
      <w:r>
        <w:rPr>
          <w:i/>
        </w:rPr>
        <w:t>’</w:t>
      </w:r>
      <w:r w:rsidRPr="004B6E0D">
        <w:rPr>
          <w:i/>
        </w:rPr>
        <w:t>s Regional Processing Centre in Nauru</w:t>
      </w:r>
      <w:r>
        <w:rPr>
          <w:i/>
        </w:rPr>
        <w:t xml:space="preserve"> </w:t>
      </w:r>
      <w:r>
        <w:t xml:space="preserve">(August 2015). At </w:t>
      </w:r>
      <w:hyperlink r:id="rId120" w:history="1">
        <w:r w:rsidRPr="00A860B6">
          <w:rPr>
            <w:rStyle w:val="Hyperlink"/>
          </w:rPr>
          <w:t>http://www.aph.gov.au/Parliamentary_Business/Committees/Senate/Regional_processing_Nauru/Regional_processing_Nauru/~/media/Committees/nauru_ctte/Final_Report/report.pdf</w:t>
        </w:r>
      </w:hyperlink>
      <w:r>
        <w:t xml:space="preserve"> (</w:t>
      </w:r>
      <w:r w:rsidRPr="00BF602B">
        <w:rPr>
          <w:rFonts w:cs="Arial"/>
        </w:rPr>
        <w:t xml:space="preserve">viewed </w:t>
      </w:r>
      <w:r>
        <w:rPr>
          <w:rFonts w:cs="Arial"/>
        </w:rPr>
        <w:t>11 September 2017</w:t>
      </w:r>
      <w:r>
        <w:t>).</w:t>
      </w:r>
    </w:p>
  </w:endnote>
  <w:endnote w:id="96">
    <w:p w14:paraId="3C9F3A3B" w14:textId="77777777" w:rsidR="003126E0" w:rsidRPr="00892424" w:rsidRDefault="003126E0" w:rsidP="00C05FEE">
      <w:pPr>
        <w:pStyle w:val="EndnoteText"/>
        <w:rPr>
          <w:rFonts w:cs="Arial"/>
        </w:rPr>
      </w:pPr>
      <w:r w:rsidRPr="00892424">
        <w:rPr>
          <w:rStyle w:val="EndnoteReference"/>
          <w:rFonts w:cs="Arial"/>
        </w:rPr>
        <w:endnoteRef/>
      </w:r>
      <w:r w:rsidRPr="00892424">
        <w:rPr>
          <w:rFonts w:cs="Arial"/>
        </w:rPr>
        <w:t xml:space="preserve"> For example, interviews and assessments conducted by the Commission in November 2015 with children and families who had been subject to third country processing in Nauru revealed high levels of trauma and developmental risk amongst these children. See Elizabeth Elliott and Hasantha Gunasekera, </w:t>
      </w:r>
      <w:r w:rsidRPr="00892424">
        <w:rPr>
          <w:rFonts w:cs="Arial"/>
          <w:i/>
        </w:rPr>
        <w:t>The health and well-being of children in immigration detention: Report to the Australian Human Rights Commission – Monitoring Visit to Wickham Point Detention Centre, Darwin, NT</w:t>
      </w:r>
      <w:r w:rsidRPr="00892424">
        <w:rPr>
          <w:rFonts w:cs="Arial"/>
        </w:rPr>
        <w:t xml:space="preserve"> (Australian Human Rights Commission, 2016). At </w:t>
      </w:r>
      <w:hyperlink r:id="rId121" w:history="1">
        <w:r w:rsidRPr="00892424">
          <w:rPr>
            <w:rStyle w:val="Hyperlink"/>
            <w:rFonts w:cs="Arial"/>
          </w:rPr>
          <w:t>https://www.humanrights.gov.au/our-work/asylum-seekers-and-refugees/publications/health-and-well-being-children-immigration</w:t>
        </w:r>
      </w:hyperlink>
      <w:r w:rsidRPr="00892424">
        <w:rPr>
          <w:rFonts w:cs="Arial"/>
        </w:rPr>
        <w:t xml:space="preserve"> (</w:t>
      </w:r>
      <w:r w:rsidRPr="00BF602B">
        <w:rPr>
          <w:rFonts w:cs="Arial"/>
        </w:rPr>
        <w:t xml:space="preserve">viewed </w:t>
      </w:r>
      <w:r>
        <w:rPr>
          <w:rFonts w:cs="Arial"/>
        </w:rPr>
        <w:t>11 September 2017</w:t>
      </w:r>
      <w:r w:rsidRPr="00892424">
        <w:rPr>
          <w:rFonts w:cs="Arial"/>
        </w:rPr>
        <w:t>).</w:t>
      </w:r>
    </w:p>
  </w:endnote>
  <w:endnote w:id="97">
    <w:p w14:paraId="4389BA6E" w14:textId="24D907AB" w:rsidR="003126E0" w:rsidRDefault="003126E0" w:rsidP="00C05FEE">
      <w:pPr>
        <w:pStyle w:val="EndnoteText"/>
      </w:pPr>
      <w:r>
        <w:rPr>
          <w:rStyle w:val="EndnoteReference"/>
        </w:rPr>
        <w:endnoteRef/>
      </w:r>
      <w:r>
        <w:t xml:space="preserve"> </w:t>
      </w:r>
      <w:r w:rsidRPr="00A77B24">
        <w:t xml:space="preserve">United Nations High Commissioner for Refugees, </w:t>
      </w:r>
      <w:r w:rsidRPr="00A77B24">
        <w:rPr>
          <w:i/>
        </w:rPr>
        <w:t>UNHCR monitoring visit to Manus Island, Papua New Guinea, 23 to 25 October 2013</w:t>
      </w:r>
      <w:r w:rsidRPr="00A77B24">
        <w:t xml:space="preserve"> (2013) 24. At </w:t>
      </w:r>
      <w:hyperlink r:id="rId122" w:history="1">
        <w:r w:rsidRPr="00940AAC">
          <w:rPr>
            <w:rStyle w:val="Hyperlink"/>
          </w:rPr>
          <w:t>http://www.unhcr.org/en-au/publications/legal/58117aff7/unhcr-monitoring-visit-to-manus-island-papua-new-guinea-23-to-25-october.html</w:t>
        </w:r>
      </w:hyperlink>
      <w:r>
        <w:t xml:space="preserve"> (viewed 11 September 2017)</w:t>
      </w:r>
      <w:r w:rsidRPr="00A77B24">
        <w:t xml:space="preserve">; United Nations High Commissioner for Refugees, </w:t>
      </w:r>
      <w:r w:rsidRPr="00A77B24">
        <w:rPr>
          <w:i/>
        </w:rPr>
        <w:t>UNHCR monitoring visit to the Republic of Nauru, 7 to 9 October 2013</w:t>
      </w:r>
      <w:r w:rsidRPr="00A77B24">
        <w:t xml:space="preserve"> (2013) 25.</w:t>
      </w:r>
      <w:r>
        <w:t xml:space="preserve"> At</w:t>
      </w:r>
      <w:r w:rsidRPr="00A77B24">
        <w:t xml:space="preserve"> </w:t>
      </w:r>
      <w:hyperlink r:id="rId123" w:history="1">
        <w:r w:rsidRPr="00940AAC">
          <w:rPr>
            <w:rStyle w:val="Hyperlink"/>
          </w:rPr>
          <w:t>http://www.unhcr.org/en-au/publications/legal/58117b931/unhcr-monitoring-visit-to-the-republic-of-nauru-7-to-9-october-2013.html</w:t>
        </w:r>
      </w:hyperlink>
      <w:r>
        <w:t xml:space="preserve"> (viewed 11 September 2017).</w:t>
      </w:r>
    </w:p>
  </w:endnote>
  <w:endnote w:id="98">
    <w:p w14:paraId="15C1F55D" w14:textId="1B62D5B3" w:rsidR="003126E0" w:rsidRDefault="003126E0" w:rsidP="00C05FEE">
      <w:pPr>
        <w:pStyle w:val="EndnoteText"/>
      </w:pPr>
      <w:r>
        <w:rPr>
          <w:rStyle w:val="EndnoteReference"/>
        </w:rPr>
        <w:endnoteRef/>
      </w:r>
      <w:r>
        <w:t xml:space="preserve"> See, for example, United Nations High Commissioner for Refugees, </w:t>
      </w:r>
      <w:r w:rsidRPr="007659EC">
        <w:rPr>
          <w:i/>
        </w:rPr>
        <w:t>UNHCR monitoring visit to Manus Island, Papua New Guinea, 23 to 25 October 2013</w:t>
      </w:r>
      <w:r>
        <w:t xml:space="preserve"> (2013) 7–12. </w:t>
      </w:r>
      <w:r w:rsidRPr="00A77B24">
        <w:t xml:space="preserve">At </w:t>
      </w:r>
      <w:hyperlink r:id="rId124" w:history="1">
        <w:r w:rsidRPr="00940AAC">
          <w:rPr>
            <w:rStyle w:val="Hyperlink"/>
          </w:rPr>
          <w:t>http://www.unhcr.org/en-au/publications/legal/58117aff7/unhcr-monitoring-visit-to-manus-island-papua-new-guinea-23-to-25-october.html</w:t>
        </w:r>
      </w:hyperlink>
      <w:r>
        <w:t xml:space="preserve"> (viewed 11 September 2017).</w:t>
      </w:r>
    </w:p>
  </w:endnote>
  <w:endnote w:id="99">
    <w:p w14:paraId="4CEEBDBC" w14:textId="77777777" w:rsidR="003126E0" w:rsidRPr="00892424" w:rsidRDefault="003126E0" w:rsidP="00C05FEE">
      <w:pPr>
        <w:pStyle w:val="EndnoteText"/>
        <w:rPr>
          <w:rFonts w:cs="Arial"/>
        </w:rPr>
      </w:pPr>
      <w:r w:rsidRPr="00892424">
        <w:rPr>
          <w:rStyle w:val="EndnoteReference"/>
          <w:rFonts w:cs="Arial"/>
        </w:rPr>
        <w:endnoteRef/>
      </w:r>
      <w:r w:rsidRPr="00892424">
        <w:rPr>
          <w:rFonts w:cs="Arial"/>
        </w:rPr>
        <w:t xml:space="preserve"> While Nauru has recently decriminalised same-sex sexual activity, it remained a criminal offence at the time that the transfers took place in these cases. See </w:t>
      </w:r>
      <w:r w:rsidRPr="007419E0">
        <w:t>Australian Human Rights Commission,</w:t>
      </w:r>
      <w:r w:rsidRPr="00FF5A90">
        <w:rPr>
          <w:i/>
        </w:rPr>
        <w:t xml:space="preserve"> Asylum seekers, refugees and human rights: Snapshot Report (2nd edition)</w:t>
      </w:r>
      <w:r>
        <w:t xml:space="preserve"> (2017) 33. At </w:t>
      </w:r>
      <w:hyperlink r:id="rId125" w:history="1">
        <w:r w:rsidRPr="00E92965">
          <w:rPr>
            <w:rStyle w:val="Hyperlink"/>
          </w:rPr>
          <w:t>https://www.humanrights.gov.au/our-work/asylum-seekers-and-refugees/publications/asylum-seekers-refugees-and-human-rights-snapsho-0</w:t>
        </w:r>
      </w:hyperlink>
      <w:r>
        <w:t xml:space="preserve"> (</w:t>
      </w:r>
      <w:r w:rsidRPr="00BF602B">
        <w:rPr>
          <w:rFonts w:cs="Arial"/>
        </w:rPr>
        <w:t xml:space="preserve">viewed </w:t>
      </w:r>
      <w:r>
        <w:rPr>
          <w:rFonts w:cs="Arial"/>
        </w:rPr>
        <w:t>11 September 2017</w:t>
      </w:r>
      <w:r>
        <w:t>).</w:t>
      </w:r>
    </w:p>
  </w:endnote>
  <w:endnote w:id="100">
    <w:p w14:paraId="7DF1C40A" w14:textId="2ED0F42A" w:rsidR="003126E0" w:rsidRPr="00892424" w:rsidRDefault="003126E0" w:rsidP="00C05FEE">
      <w:pPr>
        <w:pStyle w:val="EndnoteText"/>
        <w:rPr>
          <w:rFonts w:cs="Arial"/>
        </w:rPr>
      </w:pPr>
      <w:r w:rsidRPr="00892424">
        <w:rPr>
          <w:rStyle w:val="EndnoteReference"/>
          <w:rFonts w:cs="Arial"/>
        </w:rPr>
        <w:endnoteRef/>
      </w:r>
      <w:r w:rsidRPr="00892424">
        <w:rPr>
          <w:rFonts w:cs="Arial"/>
          <w:iCs/>
        </w:rPr>
        <w:t xml:space="preserve"> </w:t>
      </w:r>
      <w:r w:rsidRPr="00892424">
        <w:rPr>
          <w:rFonts w:cs="Arial"/>
          <w:i/>
          <w:iCs/>
        </w:rPr>
        <w:t xml:space="preserve">Migration Act 1958 </w:t>
      </w:r>
      <w:r w:rsidRPr="00892424">
        <w:rPr>
          <w:rFonts w:cs="Arial"/>
        </w:rPr>
        <w:t>(Cth) s</w:t>
      </w:r>
      <w:r>
        <w:rPr>
          <w:rFonts w:cs="Arial"/>
        </w:rPr>
        <w:t>s</w:t>
      </w:r>
      <w:r w:rsidRPr="00892424">
        <w:rPr>
          <w:rFonts w:cs="Arial"/>
        </w:rPr>
        <w:t xml:space="preserve"> 189, 196</w:t>
      </w:r>
    </w:p>
  </w:endnote>
  <w:endnote w:id="101">
    <w:p w14:paraId="3EFA9F4E" w14:textId="77777777" w:rsidR="003126E0" w:rsidRPr="00892424" w:rsidRDefault="003126E0" w:rsidP="00C05FEE">
      <w:pPr>
        <w:pStyle w:val="EndnoteText"/>
        <w:rPr>
          <w:rFonts w:cs="Arial"/>
        </w:rPr>
      </w:pPr>
      <w:r w:rsidRPr="00892424">
        <w:rPr>
          <w:rStyle w:val="EndnoteReference"/>
          <w:rFonts w:cs="Arial"/>
        </w:rPr>
        <w:endnoteRef/>
      </w:r>
      <w:r w:rsidRPr="00892424">
        <w:rPr>
          <w:rFonts w:cs="Arial"/>
        </w:rPr>
        <w:t xml:space="preserve"> See, for example, Janette P Green and Kathy Eagar, ‘The health of people in Australian immigration detention centres’ (2010) 192 2 </w:t>
      </w:r>
      <w:r w:rsidRPr="00892424">
        <w:rPr>
          <w:rFonts w:cs="Arial"/>
          <w:i/>
        </w:rPr>
        <w:t xml:space="preserve">Medical Journal of Australia </w:t>
      </w:r>
      <w:r w:rsidRPr="00892424">
        <w:rPr>
          <w:rFonts w:cs="Arial"/>
        </w:rPr>
        <w:t xml:space="preserve">65; Louise K Newman, Nicholas G Procter and Michael J Dudley, ‘Suicide and self-harm in immigration detention’ (2011) 195 6 </w:t>
      </w:r>
      <w:r w:rsidRPr="00892424">
        <w:rPr>
          <w:rFonts w:cs="Arial"/>
          <w:i/>
        </w:rPr>
        <w:t>Medical Journal of Australia</w:t>
      </w:r>
      <w:r w:rsidRPr="00892424">
        <w:rPr>
          <w:rFonts w:cs="Arial"/>
        </w:rPr>
        <w:t xml:space="preserve"> 310; Melissa Bull et al, ‘Sickness in the system of long-term immigration detention’ (2012) 26 1 </w:t>
      </w:r>
      <w:r w:rsidRPr="00892424">
        <w:rPr>
          <w:rFonts w:cs="Arial"/>
          <w:i/>
        </w:rPr>
        <w:t xml:space="preserve">Journal of Refugee Studies </w:t>
      </w:r>
      <w:r w:rsidRPr="00892424">
        <w:rPr>
          <w:rFonts w:cs="Arial"/>
        </w:rPr>
        <w:t xml:space="preserve">47; Commonwealth Ombudsman, </w:t>
      </w:r>
      <w:r w:rsidRPr="00892424">
        <w:rPr>
          <w:rFonts w:cs="Arial"/>
          <w:i/>
        </w:rPr>
        <w:t>Suicide and Self-harm in the Immigration Detention Network</w:t>
      </w:r>
      <w:r w:rsidRPr="00892424">
        <w:rPr>
          <w:rFonts w:cs="Arial"/>
        </w:rPr>
        <w:t xml:space="preserve"> (2013). At </w:t>
      </w:r>
      <w:hyperlink r:id="rId126" w:history="1">
        <w:r w:rsidRPr="00892424">
          <w:rPr>
            <w:rStyle w:val="Hyperlink"/>
            <w:rFonts w:cs="Arial"/>
          </w:rPr>
          <w:t>http://www.ombudsman.gov.au/news-and-media/media-releases/media-release-documents/commonwealth-ombudsman/2013?a=26154</w:t>
        </w:r>
      </w:hyperlink>
      <w:r w:rsidRPr="00892424">
        <w:rPr>
          <w:rFonts w:cs="Arial"/>
        </w:rPr>
        <w:t xml:space="preserve"> (</w:t>
      </w:r>
      <w:r w:rsidRPr="00BF602B">
        <w:rPr>
          <w:rFonts w:cs="Arial"/>
        </w:rPr>
        <w:t xml:space="preserve">viewed </w:t>
      </w:r>
      <w:r>
        <w:rPr>
          <w:rFonts w:cs="Arial"/>
        </w:rPr>
        <w:t>11 September 2017</w:t>
      </w:r>
      <w:r w:rsidRPr="00892424">
        <w:rPr>
          <w:rFonts w:cs="Arial"/>
        </w:rPr>
        <w:t xml:space="preserve">); Ilan Katz </w:t>
      </w:r>
      <w:r w:rsidRPr="00892424">
        <w:rPr>
          <w:rFonts w:cs="Arial"/>
          <w:iCs/>
        </w:rPr>
        <w:t>et al</w:t>
      </w:r>
      <w:r w:rsidRPr="00892424">
        <w:rPr>
          <w:rFonts w:cs="Arial"/>
        </w:rPr>
        <w:t xml:space="preserve">, </w:t>
      </w:r>
      <w:r w:rsidRPr="00892424">
        <w:rPr>
          <w:rFonts w:cs="Arial"/>
          <w:i/>
        </w:rPr>
        <w:t xml:space="preserve">The experiences of Irregular Maritime Arrivals detained in immigration detention facilities: Final report </w:t>
      </w:r>
      <w:r w:rsidRPr="00892424">
        <w:rPr>
          <w:rFonts w:cs="Arial"/>
        </w:rPr>
        <w:t xml:space="preserve">(2013). At </w:t>
      </w:r>
      <w:hyperlink r:id="rId127" w:history="1">
        <w:r w:rsidRPr="00892424">
          <w:rPr>
            <w:rStyle w:val="Hyperlink"/>
            <w:rFonts w:cs="Arial"/>
          </w:rPr>
          <w:t>http://www.unsworks.unsw.edu.au/primo_library/libweb/action/dlDisplay.do?vid=UNSWORKS&amp;docId=unsworks_modsunsworks_39307</w:t>
        </w:r>
      </w:hyperlink>
      <w:r w:rsidRPr="00892424">
        <w:rPr>
          <w:rFonts w:cs="Arial"/>
        </w:rPr>
        <w:t xml:space="preserve"> (</w:t>
      </w:r>
      <w:r w:rsidRPr="00BF602B">
        <w:rPr>
          <w:rFonts w:cs="Arial"/>
        </w:rPr>
        <w:t xml:space="preserve">viewed </w:t>
      </w:r>
      <w:r>
        <w:rPr>
          <w:rFonts w:cs="Arial"/>
        </w:rPr>
        <w:t>11 September 2017</w:t>
      </w:r>
      <w:r w:rsidRPr="00892424">
        <w:rPr>
          <w:rFonts w:cs="Arial"/>
        </w:rPr>
        <w:t>).</w:t>
      </w:r>
    </w:p>
  </w:endnote>
  <w:endnote w:id="102">
    <w:p w14:paraId="2FBE4DED" w14:textId="77777777" w:rsidR="003126E0" w:rsidRPr="00892424" w:rsidRDefault="003126E0" w:rsidP="00C05FEE">
      <w:pPr>
        <w:pStyle w:val="EndnoteText"/>
        <w:rPr>
          <w:rFonts w:cs="Arial"/>
        </w:rPr>
      </w:pPr>
      <w:r w:rsidRPr="00892424">
        <w:rPr>
          <w:rStyle w:val="EndnoteReference"/>
          <w:rFonts w:cs="Arial"/>
        </w:rPr>
        <w:endnoteRef/>
      </w:r>
      <w:r w:rsidRPr="00892424">
        <w:rPr>
          <w:rFonts w:cs="Arial"/>
        </w:rPr>
        <w:t xml:space="preserve"> For example, a 2004 study of asylum seeker families in immigration detention found that this incidence of psychiatric disorders amongst both adults and children in detention increased over time. See Zachary Steel et al, ‘Psychiatric status of asylum seeker families held for a protracted period in a remote detention centre in Australia’ (2004) 282 </w:t>
      </w:r>
      <w:r w:rsidRPr="00892424">
        <w:rPr>
          <w:rFonts w:cs="Arial"/>
          <w:i/>
        </w:rPr>
        <w:t>Australian and New Zealand Journal of Public Health</w:t>
      </w:r>
      <w:r w:rsidRPr="00892424">
        <w:rPr>
          <w:rFonts w:cs="Arial"/>
        </w:rPr>
        <w:t xml:space="preserve"> 23. </w:t>
      </w:r>
    </w:p>
  </w:endnote>
  <w:endnote w:id="103">
    <w:p w14:paraId="32C047BA" w14:textId="77777777" w:rsidR="003126E0" w:rsidRPr="00892424" w:rsidRDefault="003126E0" w:rsidP="00C05FEE">
      <w:pPr>
        <w:pStyle w:val="EndnoteText"/>
        <w:rPr>
          <w:rFonts w:cs="Arial"/>
        </w:rPr>
      </w:pPr>
      <w:r w:rsidRPr="00892424">
        <w:rPr>
          <w:rStyle w:val="EndnoteReference"/>
          <w:rFonts w:cs="Arial"/>
        </w:rPr>
        <w:endnoteRef/>
      </w:r>
      <w:r w:rsidRPr="00892424">
        <w:rPr>
          <w:rFonts w:cs="Arial"/>
        </w:rPr>
        <w:t xml:space="preserve"> The Department of Immigration and Border Protection’s monthly immigration detention statistics summaries show that </w:t>
      </w:r>
      <w:r>
        <w:rPr>
          <w:rFonts w:cs="Arial"/>
        </w:rPr>
        <w:t xml:space="preserve">by the </w:t>
      </w:r>
      <w:r w:rsidRPr="00892424">
        <w:rPr>
          <w:rFonts w:cs="Arial"/>
        </w:rPr>
        <w:t xml:space="preserve">end February 2017 there were less than 5 children in detention. The summaries are available at </w:t>
      </w:r>
      <w:hyperlink r:id="rId128" w:history="1">
        <w:r w:rsidRPr="00892424">
          <w:rPr>
            <w:rStyle w:val="Hyperlink"/>
            <w:rFonts w:cs="Arial"/>
          </w:rPr>
          <w:t>http://www.border.gov.au/about/reports-publications/research-statistics/statistics/live-in-australia/immigration-detention</w:t>
        </w:r>
      </w:hyperlink>
      <w:r w:rsidRPr="00892424">
        <w:rPr>
          <w:rFonts w:cs="Arial"/>
        </w:rPr>
        <w:t xml:space="preserve"> (</w:t>
      </w:r>
      <w:r w:rsidRPr="00BF602B">
        <w:rPr>
          <w:rFonts w:cs="Arial"/>
        </w:rPr>
        <w:t xml:space="preserve">viewed </w:t>
      </w:r>
      <w:r>
        <w:rPr>
          <w:rFonts w:cs="Arial"/>
        </w:rPr>
        <w:t>11 September 2017</w:t>
      </w:r>
      <w:r w:rsidRPr="00892424">
        <w:rPr>
          <w:rFonts w:cs="Arial"/>
        </w:rPr>
        <w:t>).</w:t>
      </w:r>
    </w:p>
  </w:endnote>
  <w:endnote w:id="104">
    <w:p w14:paraId="158C811E" w14:textId="77777777" w:rsidR="003126E0" w:rsidRPr="00892424" w:rsidRDefault="003126E0" w:rsidP="00C05FEE">
      <w:pPr>
        <w:pStyle w:val="EndnoteText"/>
        <w:rPr>
          <w:rFonts w:cs="Arial"/>
        </w:rPr>
      </w:pPr>
      <w:r w:rsidRPr="00892424">
        <w:rPr>
          <w:rStyle w:val="EndnoteReference"/>
          <w:rFonts w:cs="Arial"/>
        </w:rPr>
        <w:endnoteRef/>
      </w:r>
      <w:r w:rsidRPr="00892424">
        <w:rPr>
          <w:rFonts w:cs="Arial"/>
        </w:rPr>
        <w:t xml:space="preserve"> Scott Morrison, Minister for Immigration and Border Protection, ‘Government success stopping illegal boats to save $2.5 billion’ (Media Release, 13 May 2014). At </w:t>
      </w:r>
      <w:hyperlink r:id="rId129" w:history="1">
        <w:r w:rsidRPr="00892424">
          <w:rPr>
            <w:rStyle w:val="Hyperlink"/>
            <w:rFonts w:cs="Arial"/>
          </w:rPr>
          <w:t>http://parlinfo.aph.gov.au/parlInfo/download/media/pressrel/3165273/upload_binary/3165273.pdf</w:t>
        </w:r>
      </w:hyperlink>
      <w:r w:rsidRPr="00892424">
        <w:rPr>
          <w:rFonts w:cs="Arial"/>
        </w:rPr>
        <w:t xml:space="preserve"> (</w:t>
      </w:r>
      <w:r w:rsidRPr="00BF602B">
        <w:rPr>
          <w:rFonts w:cs="Arial"/>
        </w:rPr>
        <w:t xml:space="preserve">viewed </w:t>
      </w:r>
      <w:r>
        <w:rPr>
          <w:rFonts w:cs="Arial"/>
        </w:rPr>
        <w:t>11 September 2017</w:t>
      </w:r>
      <w:r w:rsidRPr="00892424">
        <w:rPr>
          <w:rFonts w:cs="Arial"/>
        </w:rPr>
        <w:t xml:space="preserve">). </w:t>
      </w:r>
    </w:p>
    <w:p w14:paraId="4A420782" w14:textId="77777777" w:rsidR="003126E0" w:rsidRPr="00892424" w:rsidRDefault="003126E0" w:rsidP="00C05FEE">
      <w:pPr>
        <w:pStyle w:val="EndnoteText"/>
        <w:rPr>
          <w:rFonts w:cs="Arial"/>
        </w:rPr>
      </w:pPr>
      <w:r w:rsidRPr="00892424">
        <w:rPr>
          <w:rFonts w:cs="Arial"/>
        </w:rPr>
        <w:t xml:space="preserve">Scott Morrison, Minister for Immigration and Border Protection, ‘Government closes Labor's Inverbrackie detention centre’ (Media Release, 12 December 2014). At </w:t>
      </w:r>
      <w:hyperlink r:id="rId130" w:history="1">
        <w:r w:rsidRPr="00892424">
          <w:rPr>
            <w:rStyle w:val="Hyperlink"/>
            <w:rFonts w:cs="Arial"/>
          </w:rPr>
          <w:t>http://parlinfo.aph.gov.au/parlInfo/search/display/display.w3p;query=Id%3A%22media%2Fpressrel%2F3575101%22</w:t>
        </w:r>
      </w:hyperlink>
      <w:r w:rsidRPr="00892424">
        <w:rPr>
          <w:rFonts w:cs="Arial"/>
        </w:rPr>
        <w:t xml:space="preserve"> (</w:t>
      </w:r>
      <w:r w:rsidRPr="00BF602B">
        <w:rPr>
          <w:rFonts w:cs="Arial"/>
        </w:rPr>
        <w:t xml:space="preserve">viewed </w:t>
      </w:r>
      <w:r>
        <w:rPr>
          <w:rFonts w:cs="Arial"/>
        </w:rPr>
        <w:t>11 September 2017</w:t>
      </w:r>
      <w:r w:rsidRPr="00892424">
        <w:rPr>
          <w:rFonts w:cs="Arial"/>
        </w:rPr>
        <w:t xml:space="preserve">); Peter Dutton, Minister for Immigration and Border Protection, ‘Government closes Darwin's Bladin detention facility’ (Media Release, 21 February 2015). At </w:t>
      </w:r>
      <w:hyperlink r:id="rId131" w:history="1">
        <w:r w:rsidRPr="00892424">
          <w:rPr>
            <w:rStyle w:val="Hyperlink"/>
            <w:rFonts w:cs="Arial"/>
          </w:rPr>
          <w:t>http://www.minister.border.gov.au/peterdutton/2015/Pages/government-closes-bladin-detention-facility.aspx</w:t>
        </w:r>
      </w:hyperlink>
      <w:r w:rsidRPr="00892424">
        <w:rPr>
          <w:rFonts w:cs="Arial"/>
        </w:rPr>
        <w:t xml:space="preserve"> (</w:t>
      </w:r>
      <w:r w:rsidRPr="00BF602B">
        <w:rPr>
          <w:rFonts w:cs="Arial"/>
        </w:rPr>
        <w:t xml:space="preserve">viewed </w:t>
      </w:r>
      <w:r>
        <w:rPr>
          <w:rFonts w:cs="Arial"/>
        </w:rPr>
        <w:t>11 September 2017</w:t>
      </w:r>
      <w:r w:rsidRPr="00892424">
        <w:rPr>
          <w:rFonts w:cs="Arial"/>
        </w:rPr>
        <w:t xml:space="preserve">); Commonwealth of Australia, </w:t>
      </w:r>
      <w:r w:rsidRPr="00892424">
        <w:rPr>
          <w:rFonts w:cs="Arial"/>
          <w:i/>
        </w:rPr>
        <w:t>Budget Paper No. 2 2016-17</w:t>
      </w:r>
      <w:r w:rsidRPr="00892424">
        <w:rPr>
          <w:rFonts w:cs="Arial"/>
        </w:rPr>
        <w:t xml:space="preserve"> (3 May 2016) 123. At </w:t>
      </w:r>
      <w:hyperlink r:id="rId132" w:history="1">
        <w:r w:rsidRPr="00892424">
          <w:rPr>
            <w:rStyle w:val="Hyperlink"/>
            <w:rFonts w:cs="Arial"/>
          </w:rPr>
          <w:t>http://budget.gov.au/2016-17/content/bp2/download/BP2_consolidated.pdf</w:t>
        </w:r>
      </w:hyperlink>
      <w:r w:rsidRPr="00892424">
        <w:rPr>
          <w:rFonts w:cs="Arial"/>
        </w:rPr>
        <w:t xml:space="preserve"> (</w:t>
      </w:r>
      <w:r w:rsidRPr="00BF602B">
        <w:rPr>
          <w:rFonts w:cs="Arial"/>
        </w:rPr>
        <w:t xml:space="preserve">viewed </w:t>
      </w:r>
      <w:r>
        <w:rPr>
          <w:rFonts w:cs="Arial"/>
        </w:rPr>
        <w:t>11 September 2017</w:t>
      </w:r>
      <w:r w:rsidRPr="00892424">
        <w:rPr>
          <w:rFonts w:cs="Arial"/>
        </w:rPr>
        <w:t xml:space="preserve">); Commonwealth of Australia, </w:t>
      </w:r>
      <w:r w:rsidRPr="00892424">
        <w:rPr>
          <w:rFonts w:cs="Arial"/>
          <w:i/>
        </w:rPr>
        <w:t>Budget Paper No. 2 2016-17</w:t>
      </w:r>
      <w:r w:rsidRPr="00892424">
        <w:rPr>
          <w:rFonts w:cs="Arial"/>
        </w:rPr>
        <w:t xml:space="preserve"> (3 May 2016) 123. At </w:t>
      </w:r>
      <w:hyperlink r:id="rId133" w:history="1">
        <w:r w:rsidRPr="00892424">
          <w:rPr>
            <w:rStyle w:val="Hyperlink"/>
            <w:rFonts w:cs="Arial"/>
          </w:rPr>
          <w:t>http://budget.gov.au/2016-17/content/bp2/download/BP2_consolidated.pdf</w:t>
        </w:r>
      </w:hyperlink>
      <w:r w:rsidRPr="00892424">
        <w:rPr>
          <w:rFonts w:cs="Arial"/>
        </w:rPr>
        <w:t xml:space="preserve"> (</w:t>
      </w:r>
      <w:r w:rsidRPr="00BF602B">
        <w:rPr>
          <w:rFonts w:cs="Arial"/>
        </w:rPr>
        <w:t xml:space="preserve">viewed </w:t>
      </w:r>
      <w:r>
        <w:rPr>
          <w:rFonts w:cs="Arial"/>
        </w:rPr>
        <w:t>11 September 2017</w:t>
      </w:r>
      <w:r w:rsidRPr="00892424">
        <w:rPr>
          <w:rFonts w:cs="Arial"/>
        </w:rPr>
        <w:t xml:space="preserve">). </w:t>
      </w:r>
    </w:p>
  </w:endnote>
  <w:endnote w:id="105">
    <w:p w14:paraId="6226D520" w14:textId="3C79AC3F" w:rsidR="003126E0" w:rsidRPr="00892424" w:rsidRDefault="003126E0" w:rsidP="00C05FEE">
      <w:pPr>
        <w:pStyle w:val="EndnoteText"/>
        <w:rPr>
          <w:rFonts w:cs="Arial"/>
        </w:rPr>
      </w:pPr>
      <w:r w:rsidRPr="00892424">
        <w:rPr>
          <w:rStyle w:val="EndnoteReference"/>
          <w:rFonts w:cs="Arial"/>
        </w:rPr>
        <w:endnoteRef/>
      </w:r>
      <w:r w:rsidRPr="00892424">
        <w:rPr>
          <w:rFonts w:cs="Arial"/>
        </w:rPr>
        <w:t xml:space="preserve"> As at June 2016, 667 people had been held in closed detention for more than one year (including 362 people who had been held for more than two years).  The overall average length of detention in closed facilities has remained in excess of one year since August 2014. See the Department of Immigration and Border Protection’s immigration detention statistics summaries from 31 Augus</w:t>
      </w:r>
      <w:r>
        <w:rPr>
          <w:rFonts w:cs="Arial"/>
        </w:rPr>
        <w:t>t 2014 to 28 February 2017. A</w:t>
      </w:r>
      <w:r w:rsidRPr="00892424">
        <w:rPr>
          <w:rFonts w:cs="Arial"/>
        </w:rPr>
        <w:t xml:space="preserve">t </w:t>
      </w:r>
      <w:hyperlink r:id="rId134" w:history="1">
        <w:r w:rsidRPr="00892424">
          <w:rPr>
            <w:rStyle w:val="Hyperlink"/>
            <w:rFonts w:cs="Arial"/>
          </w:rPr>
          <w:t>http://www.border.gov.au/about/reports-publications/research-statistics/statistics/live-in-australia/immigration-detention</w:t>
        </w:r>
      </w:hyperlink>
      <w:r w:rsidRPr="00892424">
        <w:rPr>
          <w:rFonts w:cs="Arial"/>
        </w:rPr>
        <w:t xml:space="preserve"> (</w:t>
      </w:r>
      <w:r w:rsidRPr="00BF602B">
        <w:rPr>
          <w:rFonts w:cs="Arial"/>
        </w:rPr>
        <w:t xml:space="preserve">viewed </w:t>
      </w:r>
      <w:r>
        <w:rPr>
          <w:rFonts w:cs="Arial"/>
        </w:rPr>
        <w:t>11 September 2017</w:t>
      </w:r>
      <w:r w:rsidRPr="00892424">
        <w:rPr>
          <w:rFonts w:cs="Arial"/>
        </w:rPr>
        <w:t>).</w:t>
      </w:r>
    </w:p>
  </w:endnote>
  <w:endnote w:id="106">
    <w:p w14:paraId="06CB10BC" w14:textId="77777777" w:rsidR="003126E0" w:rsidRPr="00892424" w:rsidRDefault="003126E0" w:rsidP="00C05FEE">
      <w:pPr>
        <w:pStyle w:val="EndnoteText"/>
        <w:rPr>
          <w:rFonts w:cs="Arial"/>
        </w:rPr>
      </w:pPr>
      <w:r w:rsidRPr="00892424">
        <w:rPr>
          <w:rStyle w:val="EndnoteReference"/>
          <w:rFonts w:cs="Arial"/>
        </w:rPr>
        <w:endnoteRef/>
      </w:r>
      <w:r w:rsidRPr="00892424">
        <w:rPr>
          <w:rFonts w:cs="Arial"/>
        </w:rPr>
        <w:t xml:space="preserve"> See </w:t>
      </w:r>
      <w:r w:rsidRPr="00892424">
        <w:rPr>
          <w:rFonts w:cs="Arial"/>
          <w:i/>
        </w:rPr>
        <w:t>NK v Commonwealth of Australia (Department of Immigration and Citizenship)</w:t>
      </w:r>
      <w:r w:rsidRPr="00892424">
        <w:rPr>
          <w:rFonts w:cs="Arial"/>
        </w:rPr>
        <w:t xml:space="preserve"> [2011] AusHRC 43. At </w:t>
      </w:r>
      <w:hyperlink r:id="rId135" w:history="1">
        <w:r w:rsidRPr="00892424">
          <w:rPr>
            <w:rStyle w:val="Hyperlink"/>
            <w:rFonts w:cs="Arial"/>
          </w:rPr>
          <w:t>https://www.humanrights.gov.au/publications/report-no-43-mr-nk-v-commonwealth-australia-department-immigration-and-citizenship-2011</w:t>
        </w:r>
      </w:hyperlink>
      <w:r w:rsidRPr="00892424">
        <w:rPr>
          <w:rFonts w:cs="Arial"/>
        </w:rPr>
        <w:t xml:space="preserve"> (</w:t>
      </w:r>
      <w:r w:rsidRPr="00BF602B">
        <w:rPr>
          <w:rFonts w:cs="Arial"/>
        </w:rPr>
        <w:t xml:space="preserve">viewed </w:t>
      </w:r>
      <w:r>
        <w:rPr>
          <w:rFonts w:cs="Arial"/>
        </w:rPr>
        <w:t>11 September 2017</w:t>
      </w:r>
      <w:r w:rsidRPr="00892424">
        <w:rPr>
          <w:rFonts w:cs="Arial"/>
        </w:rPr>
        <w:t xml:space="preserve">); </w:t>
      </w:r>
      <w:r w:rsidRPr="00863C0E">
        <w:rPr>
          <w:rFonts w:cs="Arial"/>
          <w:i/>
        </w:rPr>
        <w:t>Toro-Martinez v Commonwealth of Australia</w:t>
      </w:r>
      <w:r w:rsidRPr="00892424">
        <w:rPr>
          <w:rFonts w:cs="Arial"/>
        </w:rPr>
        <w:t xml:space="preserve"> (Department of Immigration and Citizenship) [2011] AusHRC 44. At </w:t>
      </w:r>
      <w:hyperlink r:id="rId136" w:history="1">
        <w:r w:rsidRPr="00892424">
          <w:rPr>
            <w:rStyle w:val="Hyperlink"/>
            <w:rFonts w:cs="Arial"/>
          </w:rPr>
          <w:t>https://www.humanrights.gov.au/publications/aushrc-44-mr-toro-martinez-v-commonwealth-australia-department-immigration-and</w:t>
        </w:r>
      </w:hyperlink>
      <w:r w:rsidRPr="00892424">
        <w:rPr>
          <w:rFonts w:cs="Arial"/>
        </w:rPr>
        <w:t xml:space="preserve"> (</w:t>
      </w:r>
      <w:r w:rsidRPr="00BF602B">
        <w:rPr>
          <w:rFonts w:cs="Arial"/>
        </w:rPr>
        <w:t xml:space="preserve">viewed </w:t>
      </w:r>
      <w:r>
        <w:rPr>
          <w:rFonts w:cs="Arial"/>
        </w:rPr>
        <w:t>11 September 2017</w:t>
      </w:r>
      <w:r w:rsidRPr="00892424">
        <w:rPr>
          <w:rFonts w:cs="Arial"/>
        </w:rPr>
        <w:t xml:space="preserve">); </w:t>
      </w:r>
      <w:r w:rsidRPr="00892424">
        <w:rPr>
          <w:rFonts w:cs="Arial"/>
          <w:i/>
        </w:rPr>
        <w:t>Al Jenabi v Commonwealth of Australia (Department of Immigration and Citizenship)</w:t>
      </w:r>
      <w:r w:rsidRPr="00892424">
        <w:rPr>
          <w:rFonts w:cs="Arial"/>
        </w:rPr>
        <w:t xml:space="preserve"> [2011] AusHRC 45. At </w:t>
      </w:r>
      <w:hyperlink r:id="rId137" w:history="1">
        <w:r w:rsidRPr="00892424">
          <w:rPr>
            <w:rStyle w:val="Hyperlink"/>
            <w:rFonts w:cs="Arial"/>
          </w:rPr>
          <w:t>https://www.humanrights.gov.au/publications/aushrc-45-mr-al-jenabi-v-commonwealth-australia-department-immigration-and-citizenship</w:t>
        </w:r>
      </w:hyperlink>
      <w:r w:rsidRPr="00892424">
        <w:rPr>
          <w:rFonts w:cs="Arial"/>
        </w:rPr>
        <w:t xml:space="preserve"> (</w:t>
      </w:r>
      <w:r w:rsidRPr="00BF602B">
        <w:rPr>
          <w:rFonts w:cs="Arial"/>
        </w:rPr>
        <w:t xml:space="preserve">viewed </w:t>
      </w:r>
      <w:r>
        <w:rPr>
          <w:rFonts w:cs="Arial"/>
        </w:rPr>
        <w:t>11 September 2017</w:t>
      </w:r>
      <w:r w:rsidRPr="00892424">
        <w:rPr>
          <w:rFonts w:cs="Arial"/>
        </w:rPr>
        <w:t xml:space="preserve">); </w:t>
      </w:r>
      <w:r w:rsidRPr="00892424">
        <w:rPr>
          <w:rFonts w:cs="Arial"/>
          <w:i/>
        </w:rPr>
        <w:t>Heyward v Commonwealth of Australia (Department of Immigration and Citizenship)</w:t>
      </w:r>
      <w:r w:rsidRPr="00892424">
        <w:rPr>
          <w:rFonts w:cs="Arial"/>
        </w:rPr>
        <w:t xml:space="preserve"> [2011] AusHRC 47. At </w:t>
      </w:r>
      <w:hyperlink r:id="rId138" w:history="1">
        <w:r w:rsidRPr="00892424">
          <w:rPr>
            <w:rStyle w:val="Hyperlink"/>
            <w:rFonts w:cs="Arial"/>
          </w:rPr>
          <w:t>https://www.humanrights.gov.au/publications/aushrc-47-mr-heyward-v-commonwealth-australia-department-immigration-and-citizenship</w:t>
        </w:r>
      </w:hyperlink>
      <w:r w:rsidRPr="00892424">
        <w:rPr>
          <w:rFonts w:cs="Arial"/>
        </w:rPr>
        <w:t xml:space="preserve"> (</w:t>
      </w:r>
      <w:r w:rsidRPr="00BF602B">
        <w:rPr>
          <w:rFonts w:cs="Arial"/>
        </w:rPr>
        <w:t xml:space="preserve">viewed </w:t>
      </w:r>
      <w:r>
        <w:rPr>
          <w:rFonts w:cs="Arial"/>
        </w:rPr>
        <w:t>11 September 2017</w:t>
      </w:r>
      <w:r w:rsidRPr="00892424">
        <w:rPr>
          <w:rFonts w:cs="Arial"/>
        </w:rPr>
        <w:t xml:space="preserve">); </w:t>
      </w:r>
      <w:r w:rsidRPr="00892424">
        <w:rPr>
          <w:rFonts w:cs="Arial"/>
          <w:i/>
        </w:rPr>
        <w:t>Brown v Commonwealth of Australia (Department of Immigration &amp; Citizenship)</w:t>
      </w:r>
      <w:r w:rsidRPr="00892424">
        <w:rPr>
          <w:rFonts w:cs="Arial"/>
        </w:rPr>
        <w:t xml:space="preserve"> [2012] AusHRC 51. At </w:t>
      </w:r>
      <w:hyperlink r:id="rId139" w:history="1">
        <w:r w:rsidRPr="00892424">
          <w:rPr>
            <w:rStyle w:val="Hyperlink"/>
            <w:rFonts w:cs="Arial"/>
          </w:rPr>
          <w:t>https://www.humanrights.gov.au/publications/aushrc-51-brown-v-commonwealth-australia-department-immigration-citizenship</w:t>
        </w:r>
      </w:hyperlink>
      <w:r w:rsidRPr="00892424">
        <w:rPr>
          <w:rFonts w:cs="Arial"/>
        </w:rPr>
        <w:t xml:space="preserve"> (</w:t>
      </w:r>
      <w:r w:rsidRPr="00BF602B">
        <w:rPr>
          <w:rFonts w:cs="Arial"/>
        </w:rPr>
        <w:t xml:space="preserve">viewed </w:t>
      </w:r>
      <w:r>
        <w:rPr>
          <w:rFonts w:cs="Arial"/>
        </w:rPr>
        <w:t>11 September 2017</w:t>
      </w:r>
      <w:r w:rsidRPr="00892424">
        <w:rPr>
          <w:rFonts w:cs="Arial"/>
        </w:rPr>
        <w:t xml:space="preserve">); Australian Human Rights Commission, </w:t>
      </w:r>
      <w:r w:rsidRPr="00892424">
        <w:rPr>
          <w:rFonts w:cs="Arial"/>
          <w:i/>
        </w:rPr>
        <w:t xml:space="preserve">Background paper: Human rights issues raised by visa refusal or cancellation under section 501 of the Migration Act </w:t>
      </w:r>
      <w:r w:rsidRPr="00892424">
        <w:rPr>
          <w:rFonts w:cs="Arial"/>
        </w:rPr>
        <w:t xml:space="preserve">(June 2013). At </w:t>
      </w:r>
      <w:hyperlink r:id="rId140" w:history="1">
        <w:r w:rsidRPr="00892424">
          <w:rPr>
            <w:rStyle w:val="Hyperlink"/>
            <w:rFonts w:cs="Arial"/>
          </w:rPr>
          <w:t>https://www.humanrights.gov.au/our-work/asylum-seekers-and-refugees/publications/background-paper-human-rights-issues-raised-visa</w:t>
        </w:r>
      </w:hyperlink>
      <w:r w:rsidRPr="00892424">
        <w:rPr>
          <w:rFonts w:cs="Arial"/>
        </w:rPr>
        <w:t xml:space="preserve"> (</w:t>
      </w:r>
      <w:r w:rsidRPr="00BF602B">
        <w:rPr>
          <w:rFonts w:cs="Arial"/>
        </w:rPr>
        <w:t xml:space="preserve">viewed </w:t>
      </w:r>
      <w:r>
        <w:rPr>
          <w:rFonts w:cs="Arial"/>
        </w:rPr>
        <w:t>11 September 2017</w:t>
      </w:r>
      <w:r w:rsidRPr="00892424">
        <w:rPr>
          <w:rFonts w:cs="Arial"/>
        </w:rPr>
        <w:t xml:space="preserve">); Australian Human Rights Commission, Submission No 8 to the Senate Legal and Constitutional Affairs Legislation Committee, Parliament of Australia, </w:t>
      </w:r>
      <w:r w:rsidRPr="00892424">
        <w:rPr>
          <w:rFonts w:cs="Arial"/>
          <w:i/>
        </w:rPr>
        <w:t>Inquiry into the Migration Amendment (Character and General Visa Cancellation) Bill 2014</w:t>
      </w:r>
      <w:r w:rsidRPr="00892424">
        <w:rPr>
          <w:rFonts w:cs="Arial"/>
        </w:rPr>
        <w:t xml:space="preserve">, 24 October 2014. </w:t>
      </w:r>
      <w:r>
        <w:rPr>
          <w:rFonts w:cs="Arial"/>
        </w:rPr>
        <w:t xml:space="preserve">At </w:t>
      </w:r>
      <w:hyperlink r:id="rId141" w:history="1">
        <w:r w:rsidRPr="000A5C86">
          <w:rPr>
            <w:rStyle w:val="Hyperlink"/>
            <w:rFonts w:cs="Arial"/>
          </w:rPr>
          <w:t>https://www.humanrights.gov.au/sites/default/files/2014.10.28%20Submission%20-%20Final.pdf</w:t>
        </w:r>
      </w:hyperlink>
      <w:r>
        <w:rPr>
          <w:rFonts w:cs="Arial"/>
        </w:rPr>
        <w:t xml:space="preserve"> (</w:t>
      </w:r>
      <w:r w:rsidRPr="00BF602B">
        <w:rPr>
          <w:rFonts w:cs="Arial"/>
        </w:rPr>
        <w:t xml:space="preserve">viewed </w:t>
      </w:r>
      <w:r>
        <w:rPr>
          <w:rFonts w:cs="Arial"/>
        </w:rPr>
        <w:t>11 September 2017).</w:t>
      </w:r>
    </w:p>
  </w:endnote>
  <w:endnote w:id="107">
    <w:p w14:paraId="374DA32F" w14:textId="77777777" w:rsidR="003126E0" w:rsidRPr="00892424" w:rsidRDefault="003126E0" w:rsidP="00C05FEE">
      <w:pPr>
        <w:pStyle w:val="EndnoteText"/>
        <w:rPr>
          <w:rFonts w:cs="Arial"/>
        </w:rPr>
      </w:pPr>
      <w:r w:rsidRPr="00892424">
        <w:rPr>
          <w:rStyle w:val="EndnoteReference"/>
          <w:rFonts w:cs="Arial"/>
        </w:rPr>
        <w:endnoteRef/>
      </w:r>
      <w:r w:rsidRPr="00892424">
        <w:rPr>
          <w:rFonts w:cs="Arial"/>
        </w:rPr>
        <w:t xml:space="preserve"> The proposed additional requirements include increasing residency requirements to four years permanent residency; increasing the language requirements of the English language from ‘basic knowledge’ to ‘competent English’; a new requirement that a person ‘has integrated into the Australian community’, amongst others.</w:t>
      </w:r>
    </w:p>
  </w:endnote>
  <w:endnote w:id="108">
    <w:p w14:paraId="387A2654" w14:textId="77777777" w:rsidR="003126E0" w:rsidRPr="00892424" w:rsidRDefault="003126E0" w:rsidP="00C05FEE">
      <w:pPr>
        <w:pStyle w:val="EndnoteText"/>
        <w:rPr>
          <w:rFonts w:cs="Arial"/>
        </w:rPr>
      </w:pPr>
      <w:r w:rsidRPr="00892424">
        <w:rPr>
          <w:rStyle w:val="EndnoteReference"/>
          <w:rFonts w:cs="Arial"/>
        </w:rPr>
        <w:endnoteRef/>
      </w:r>
      <w:r w:rsidRPr="00892424">
        <w:rPr>
          <w:rFonts w:cs="Arial"/>
        </w:rPr>
        <w:t xml:space="preserve"> Groups include children born in Australia to asylum seeker or refugee parents, even after those children have been lawfully in Australia for up to 10 years; children born in Australia to parents who had a valid visa but overstayed the visa before the child’s 10th birthday; children who are found abandoned in Australia; children as young as 10 years old that the Minister considers are not of good character; people with mental illness or cognitive impairment who come into contact with the criminal justice system.</w:t>
      </w:r>
    </w:p>
  </w:endnote>
  <w:endnote w:id="109">
    <w:p w14:paraId="411D3FB4" w14:textId="77777777" w:rsidR="003126E0" w:rsidRPr="00892424" w:rsidRDefault="003126E0" w:rsidP="00704CA7">
      <w:pPr>
        <w:pStyle w:val="EndnoteText"/>
        <w:rPr>
          <w:rFonts w:cs="Arial"/>
        </w:rPr>
      </w:pPr>
      <w:r w:rsidRPr="00892424">
        <w:rPr>
          <w:rStyle w:val="EndnoteReference"/>
          <w:rFonts w:cs="Arial"/>
        </w:rPr>
        <w:endnoteRef/>
      </w:r>
      <w:r w:rsidRPr="00892424">
        <w:rPr>
          <w:rFonts w:cs="Arial"/>
        </w:rPr>
        <w:t xml:space="preserve"> Productivity Commission, </w:t>
      </w:r>
      <w:r w:rsidRPr="00892424">
        <w:rPr>
          <w:rFonts w:cs="Arial"/>
          <w:i/>
        </w:rPr>
        <w:t>Report on Government Services</w:t>
      </w:r>
      <w:r w:rsidRPr="00892424">
        <w:rPr>
          <w:rFonts w:cs="Arial"/>
        </w:rPr>
        <w:t xml:space="preserve"> (2015), Table 15A.18, Column N. As at 30 June 2014, there were 43,009 children in out-of-home care in Australia: Productivity Commission, </w:t>
      </w:r>
      <w:r w:rsidRPr="00892424">
        <w:rPr>
          <w:rFonts w:cs="Arial"/>
          <w:i/>
        </w:rPr>
        <w:t>Report on Government Services</w:t>
      </w:r>
      <w:r w:rsidRPr="00892424">
        <w:rPr>
          <w:rFonts w:cs="Arial"/>
        </w:rPr>
        <w:t xml:space="preserve"> (2015), Table 15A.18, Column N, Row 9. Rates have increased from 6.8 to 8.1 per 1,000 between 2009 and 2014. At </w:t>
      </w:r>
      <w:hyperlink r:id="rId142" w:history="1">
        <w:r w:rsidRPr="00892424">
          <w:rPr>
            <w:rStyle w:val="Hyperlink"/>
            <w:rFonts w:cs="Arial"/>
          </w:rPr>
          <w:t>http://www.pc.gov.au/research/recurring/report-on-government-services/2015/community-services/data/rogs-2015-volumef-chapter15-attachment.xlsx</w:t>
        </w:r>
      </w:hyperlink>
      <w:r w:rsidRPr="00892424">
        <w:rPr>
          <w:rFonts w:cs="Arial"/>
        </w:rPr>
        <w:t xml:space="preserve"> (</w:t>
      </w:r>
      <w:r w:rsidRPr="00BF602B">
        <w:rPr>
          <w:rFonts w:cs="Arial"/>
        </w:rPr>
        <w:t xml:space="preserve">viewed </w:t>
      </w:r>
      <w:r>
        <w:rPr>
          <w:rFonts w:cs="Arial"/>
        </w:rPr>
        <w:t>11 September 2017</w:t>
      </w:r>
      <w:r w:rsidRPr="00892424">
        <w:rPr>
          <w:rFonts w:cs="Arial"/>
        </w:rPr>
        <w:t>).</w:t>
      </w:r>
    </w:p>
  </w:endnote>
  <w:endnote w:id="110">
    <w:p w14:paraId="1A21B868" w14:textId="77777777" w:rsidR="003126E0" w:rsidRPr="00892424" w:rsidRDefault="003126E0" w:rsidP="00704CA7">
      <w:pPr>
        <w:pStyle w:val="EndnoteText"/>
        <w:rPr>
          <w:rFonts w:cs="Arial"/>
        </w:rPr>
      </w:pPr>
      <w:r w:rsidRPr="00892424">
        <w:rPr>
          <w:rStyle w:val="EndnoteReference"/>
          <w:rFonts w:cs="Arial"/>
        </w:rPr>
        <w:endnoteRef/>
      </w:r>
      <w:r w:rsidRPr="00892424">
        <w:rPr>
          <w:rFonts w:cs="Arial"/>
        </w:rPr>
        <w:t xml:space="preserve"> The national rate of Indigenous children in out-of-home care was 9.1 times the rate for non-Indigenous children. In all jurisdictions, the rate of Indigenous children in out-of-home care was higher than for non-Indigenous children, with rate ratios ranging from 6.1 in Victoria to 14.3 in the Northern Territory: Productivity Commission, </w:t>
      </w:r>
      <w:r w:rsidRPr="00892424">
        <w:rPr>
          <w:rFonts w:cs="Arial"/>
          <w:i/>
        </w:rPr>
        <w:t>Report on Government Services</w:t>
      </w:r>
      <w:r w:rsidRPr="00892424">
        <w:rPr>
          <w:rFonts w:cs="Arial"/>
        </w:rPr>
        <w:t xml:space="preserve"> (2015), Table 15A.18, Columns F-M, Rows 11-12. At </w:t>
      </w:r>
      <w:hyperlink r:id="rId143" w:history="1">
        <w:r w:rsidRPr="00892424">
          <w:rPr>
            <w:rStyle w:val="Hyperlink"/>
            <w:rFonts w:cs="Arial"/>
          </w:rPr>
          <w:t>http://www.pc.gov.au/research/recurring/report-on-government-services/2015/community-services/data/rogs-2015-volumef-chapter15-attachment.xlsx</w:t>
        </w:r>
      </w:hyperlink>
      <w:r w:rsidRPr="00892424">
        <w:rPr>
          <w:rFonts w:cs="Arial"/>
        </w:rPr>
        <w:t xml:space="preserve"> (</w:t>
      </w:r>
      <w:r w:rsidRPr="00BF602B">
        <w:rPr>
          <w:rFonts w:cs="Arial"/>
        </w:rPr>
        <w:t xml:space="preserve">viewed </w:t>
      </w:r>
      <w:r>
        <w:rPr>
          <w:rFonts w:cs="Arial"/>
        </w:rPr>
        <w:t>11 September 2017</w:t>
      </w:r>
      <w:r w:rsidRPr="00892424">
        <w:rPr>
          <w:rFonts w:cs="Arial"/>
        </w:rPr>
        <w:t>).</w:t>
      </w:r>
    </w:p>
  </w:endnote>
  <w:endnote w:id="111">
    <w:p w14:paraId="1AAC235C" w14:textId="77777777" w:rsidR="003126E0" w:rsidRPr="00892424" w:rsidRDefault="003126E0" w:rsidP="00704CA7">
      <w:pPr>
        <w:pStyle w:val="EndnoteText"/>
        <w:rPr>
          <w:rFonts w:cs="Arial"/>
        </w:rPr>
      </w:pPr>
      <w:r w:rsidRPr="00892424">
        <w:rPr>
          <w:rStyle w:val="EndnoteReference"/>
          <w:rFonts w:cs="Arial"/>
        </w:rPr>
        <w:endnoteRef/>
      </w:r>
      <w:r w:rsidRPr="00892424">
        <w:rPr>
          <w:rFonts w:cs="Arial"/>
        </w:rPr>
        <w:t xml:space="preserve"> Australian Government Department of Social Services, </w:t>
      </w:r>
      <w:r w:rsidRPr="00892424">
        <w:rPr>
          <w:rFonts w:cs="Arial"/>
          <w:i/>
        </w:rPr>
        <w:t>An outline of National Standards for out-of-home care</w:t>
      </w:r>
      <w:r w:rsidRPr="00892424">
        <w:rPr>
          <w:rFonts w:cs="Arial"/>
        </w:rPr>
        <w:t xml:space="preserve"> (2011). At </w:t>
      </w:r>
      <w:hyperlink r:id="rId144" w:history="1">
        <w:r w:rsidRPr="00892424">
          <w:rPr>
            <w:rStyle w:val="Hyperlink"/>
            <w:rFonts w:cs="Arial"/>
          </w:rPr>
          <w:t>https://www.dss.gov.au/our-responsibilities/families-and-children/publications-articles/an-outline-of-national-standards-for-out-of-home-care-2011</w:t>
        </w:r>
      </w:hyperlink>
      <w:r w:rsidRPr="00892424">
        <w:rPr>
          <w:rFonts w:cs="Arial"/>
        </w:rPr>
        <w:t xml:space="preserve"> (</w:t>
      </w:r>
      <w:r w:rsidRPr="00BF602B">
        <w:rPr>
          <w:rFonts w:cs="Arial"/>
        </w:rPr>
        <w:t xml:space="preserve">viewed </w:t>
      </w:r>
      <w:r>
        <w:rPr>
          <w:rFonts w:cs="Arial"/>
        </w:rPr>
        <w:t>11 September 2017</w:t>
      </w:r>
      <w:r w:rsidRPr="00892424">
        <w:rPr>
          <w:rFonts w:cs="Arial"/>
        </w:rPr>
        <w:t>).</w:t>
      </w:r>
    </w:p>
  </w:endnote>
  <w:endnote w:id="112">
    <w:p w14:paraId="58D52F07" w14:textId="77777777" w:rsidR="003126E0" w:rsidRPr="00892424" w:rsidRDefault="003126E0" w:rsidP="00704CA7">
      <w:pPr>
        <w:pStyle w:val="EndnoteText"/>
        <w:rPr>
          <w:rFonts w:cs="Arial"/>
        </w:rPr>
      </w:pPr>
      <w:r w:rsidRPr="00892424">
        <w:rPr>
          <w:rStyle w:val="EndnoteReference"/>
          <w:rFonts w:cs="Arial"/>
        </w:rPr>
        <w:endnoteRef/>
      </w:r>
      <w:r w:rsidRPr="00892424">
        <w:rPr>
          <w:rFonts w:cs="Arial"/>
        </w:rPr>
        <w:t xml:space="preserve"> Australian Government, </w:t>
      </w:r>
      <w:r w:rsidRPr="00892424">
        <w:rPr>
          <w:rFonts w:cs="Arial"/>
          <w:i/>
        </w:rPr>
        <w:t>Budget 2016-17. Budget Paper No. 2. Part 2: Expense Measures</w:t>
      </w:r>
      <w:r w:rsidRPr="00892424">
        <w:rPr>
          <w:rFonts w:cs="Arial"/>
        </w:rPr>
        <w:t xml:space="preserve">. At </w:t>
      </w:r>
      <w:hyperlink r:id="rId145" w:history="1">
        <w:r w:rsidRPr="00892424">
          <w:rPr>
            <w:rStyle w:val="Hyperlink"/>
            <w:rFonts w:cs="Arial"/>
          </w:rPr>
          <w:t>http://www.budget.gov.au/2016-17/content/bp2/html/bp2_expense-21.htm</w:t>
        </w:r>
      </w:hyperlink>
      <w:r w:rsidRPr="00892424">
        <w:rPr>
          <w:rFonts w:cs="Arial"/>
        </w:rPr>
        <w:t xml:space="preserve"> (</w:t>
      </w:r>
      <w:r w:rsidRPr="00BF602B">
        <w:rPr>
          <w:rFonts w:cs="Arial"/>
        </w:rPr>
        <w:t xml:space="preserve">viewed </w:t>
      </w:r>
      <w:r>
        <w:rPr>
          <w:rFonts w:cs="Arial"/>
        </w:rPr>
        <w:t>11 September 2017</w:t>
      </w:r>
      <w:r w:rsidRPr="00892424">
        <w:rPr>
          <w:rStyle w:val="Hyperlink"/>
          <w:rFonts w:cs="Arial"/>
          <w:color w:val="000000" w:themeColor="text1"/>
          <w:u w:val="none"/>
        </w:rPr>
        <w:t>).</w:t>
      </w:r>
      <w:r w:rsidRPr="00892424">
        <w:rPr>
          <w:rFonts w:cs="Arial"/>
        </w:rPr>
        <w:t xml:space="preserve"> In August 2016, the Minister for Social Services and Multicultural Affairs re-affirmed the Commonwealth Government’s strong support for the </w:t>
      </w:r>
      <w:r w:rsidRPr="00892424">
        <w:rPr>
          <w:rFonts w:cs="Arial"/>
          <w:i/>
        </w:rPr>
        <w:t>National Framework for Protecting Australia’s Children 2009-2020</w:t>
      </w:r>
      <w:r w:rsidRPr="00892424">
        <w:rPr>
          <w:rFonts w:cs="Arial"/>
        </w:rPr>
        <w:t>, especially the Third Action Plan with its emphasis on the First Thousand Days for a Child. See Families Australia, 5</w:t>
      </w:r>
      <w:r w:rsidRPr="00892424">
        <w:rPr>
          <w:rFonts w:cs="Arial"/>
          <w:vertAlign w:val="superscript"/>
        </w:rPr>
        <w:t>th</w:t>
      </w:r>
      <w:r w:rsidRPr="00892424">
        <w:rPr>
          <w:rFonts w:cs="Arial"/>
        </w:rPr>
        <w:t xml:space="preserve"> National Coalition Meeting, 17 August 2016. At </w:t>
      </w:r>
      <w:hyperlink r:id="rId146" w:history="1">
        <w:r w:rsidRPr="00892424">
          <w:rPr>
            <w:rStyle w:val="Hyperlink"/>
            <w:rFonts w:cs="Arial"/>
          </w:rPr>
          <w:t>http://us1.campaign-archive1.com/?u=61efdfe9e3c03ed2d6188fdb1&amp;id=f87a7e7111&amp;e=f3a9e06879</w:t>
        </w:r>
      </w:hyperlink>
      <w:r w:rsidRPr="00892424">
        <w:rPr>
          <w:rFonts w:cs="Arial"/>
        </w:rPr>
        <w:t xml:space="preserve"> (</w:t>
      </w:r>
      <w:r w:rsidRPr="00BF602B">
        <w:rPr>
          <w:rFonts w:cs="Arial"/>
        </w:rPr>
        <w:t xml:space="preserve">viewed </w:t>
      </w:r>
      <w:r>
        <w:rPr>
          <w:rFonts w:cs="Arial"/>
        </w:rPr>
        <w:t>11 September 2017</w:t>
      </w:r>
      <w:r w:rsidRPr="00892424">
        <w:rPr>
          <w:rFonts w:cs="Arial"/>
        </w:rPr>
        <w:t>).</w:t>
      </w:r>
    </w:p>
  </w:endnote>
  <w:endnote w:id="113">
    <w:p w14:paraId="33443791" w14:textId="77777777" w:rsidR="003126E0" w:rsidRPr="00892424" w:rsidRDefault="003126E0" w:rsidP="00704CA7">
      <w:pPr>
        <w:pStyle w:val="EndnoteText"/>
        <w:rPr>
          <w:rFonts w:cs="Arial"/>
        </w:rPr>
      </w:pPr>
      <w:r w:rsidRPr="00892424">
        <w:rPr>
          <w:rStyle w:val="EndnoteReference"/>
          <w:rFonts w:cs="Arial"/>
        </w:rPr>
        <w:endnoteRef/>
      </w:r>
      <w:r w:rsidRPr="00892424">
        <w:rPr>
          <w:rFonts w:cs="Arial"/>
        </w:rPr>
        <w:t xml:space="preserve"> Council of Australian Governments (COAG) Advisory Panel on Reducing Violence against Women and their Children, Final Report, 1 April 2016, 62. </w:t>
      </w:r>
      <w:r>
        <w:rPr>
          <w:rFonts w:cs="Arial"/>
        </w:rPr>
        <w:t>At</w:t>
      </w:r>
      <w:r w:rsidRPr="00892424">
        <w:rPr>
          <w:rFonts w:cs="Arial"/>
        </w:rPr>
        <w:t xml:space="preserve"> </w:t>
      </w:r>
      <w:hyperlink r:id="rId147" w:history="1">
        <w:r w:rsidRPr="00892424">
          <w:rPr>
            <w:rStyle w:val="Hyperlink"/>
            <w:rFonts w:cs="Arial"/>
          </w:rPr>
          <w:t>https://www.pmc.gov.au/office-women/womens-safety/coag-advisory-panel-reducing-violence-against-women-and-their-children</w:t>
        </w:r>
      </w:hyperlink>
      <w:r w:rsidRPr="00892424">
        <w:rPr>
          <w:rFonts w:cs="Arial"/>
        </w:rPr>
        <w:t xml:space="preserve"> (</w:t>
      </w:r>
      <w:r w:rsidRPr="00BF602B">
        <w:rPr>
          <w:rFonts w:cs="Arial"/>
        </w:rPr>
        <w:t xml:space="preserve">viewed </w:t>
      </w:r>
      <w:r>
        <w:rPr>
          <w:rFonts w:cs="Arial"/>
        </w:rPr>
        <w:t>11 September 2017</w:t>
      </w:r>
      <w:r w:rsidRPr="00892424">
        <w:rPr>
          <w:rFonts w:cs="Arial"/>
        </w:rPr>
        <w:t xml:space="preserve">). </w:t>
      </w:r>
    </w:p>
  </w:endnote>
  <w:endnote w:id="114">
    <w:p w14:paraId="5B1491E9" w14:textId="77777777" w:rsidR="003126E0" w:rsidRPr="00892424" w:rsidRDefault="003126E0" w:rsidP="00704CA7">
      <w:pPr>
        <w:pStyle w:val="EndnoteText"/>
        <w:rPr>
          <w:rFonts w:cs="Arial"/>
        </w:rPr>
      </w:pPr>
      <w:r w:rsidRPr="00892424">
        <w:rPr>
          <w:rStyle w:val="EndnoteReference"/>
          <w:rFonts w:cs="Arial"/>
        </w:rPr>
        <w:endnoteRef/>
      </w:r>
      <w:r w:rsidRPr="00892424">
        <w:rPr>
          <w:rFonts w:cs="Arial"/>
        </w:rPr>
        <w:t xml:space="preserve"> S Holt, H Buckley and S Whelan, ‘The impact of exposure to domestic violence on children and young people: a review of the literature’ (2008) 32 </w:t>
      </w:r>
      <w:r w:rsidRPr="00892424">
        <w:rPr>
          <w:rFonts w:cs="Arial"/>
          <w:i/>
        </w:rPr>
        <w:t>Child Abuse and Neglect</w:t>
      </w:r>
      <w:r w:rsidRPr="00892424">
        <w:rPr>
          <w:rFonts w:cs="Arial"/>
        </w:rPr>
        <w:t xml:space="preserve"> 797, 810. At </w:t>
      </w:r>
      <w:hyperlink r:id="rId148" w:history="1">
        <w:r w:rsidRPr="00892424">
          <w:rPr>
            <w:rStyle w:val="Hyperlink"/>
            <w:rFonts w:cs="Arial"/>
          </w:rPr>
          <w:t>http://www.researchgate.net/publication/23219462_The_impact_of_exposure_to_domestic_violence_on_children_and_young_people_A_review_of_the_literature</w:t>
        </w:r>
      </w:hyperlink>
      <w:r w:rsidRPr="00892424">
        <w:rPr>
          <w:rFonts w:cs="Arial"/>
        </w:rPr>
        <w:t xml:space="preserve"> (</w:t>
      </w:r>
      <w:r w:rsidRPr="00BF602B">
        <w:rPr>
          <w:rFonts w:cs="Arial"/>
        </w:rPr>
        <w:t xml:space="preserve">viewed </w:t>
      </w:r>
      <w:r>
        <w:rPr>
          <w:rFonts w:cs="Arial"/>
        </w:rPr>
        <w:t>11 September 2017</w:t>
      </w:r>
      <w:r w:rsidRPr="00892424">
        <w:rPr>
          <w:rFonts w:cs="Arial"/>
        </w:rPr>
        <w:t>).</w:t>
      </w:r>
    </w:p>
  </w:endnote>
  <w:endnote w:id="115">
    <w:p w14:paraId="3F2E887D" w14:textId="77777777" w:rsidR="003126E0" w:rsidRPr="00892424" w:rsidRDefault="003126E0" w:rsidP="00704CA7">
      <w:pPr>
        <w:pStyle w:val="EndnoteText"/>
        <w:rPr>
          <w:rFonts w:cs="Arial"/>
        </w:rPr>
      </w:pPr>
      <w:r w:rsidRPr="00892424">
        <w:rPr>
          <w:rStyle w:val="EndnoteReference"/>
          <w:rFonts w:cs="Arial"/>
        </w:rPr>
        <w:endnoteRef/>
      </w:r>
      <w:r w:rsidRPr="00892424">
        <w:rPr>
          <w:rFonts w:cs="Arial"/>
        </w:rPr>
        <w:t xml:space="preserve"> Australian Human Rights Commission, </w:t>
      </w:r>
      <w:r w:rsidRPr="00892424">
        <w:rPr>
          <w:rFonts w:cs="Arial"/>
          <w:i/>
        </w:rPr>
        <w:t>Children’s Rights Report 2015</w:t>
      </w:r>
      <w:r w:rsidRPr="00892424">
        <w:rPr>
          <w:rFonts w:cs="Arial"/>
        </w:rPr>
        <w:t xml:space="preserve"> (2015) 95. At </w:t>
      </w:r>
      <w:hyperlink r:id="rId149" w:history="1">
        <w:r w:rsidRPr="00892424">
          <w:rPr>
            <w:rStyle w:val="Hyperlink"/>
            <w:rFonts w:cs="Arial"/>
          </w:rPr>
          <w:t>https://www.humanrights.gov.au/our-work/childrens-rights/publications/childrens-rights-report-2015</w:t>
        </w:r>
      </w:hyperlink>
      <w:r w:rsidRPr="00892424">
        <w:rPr>
          <w:rFonts w:cs="Arial"/>
        </w:rPr>
        <w:t xml:space="preserve"> (</w:t>
      </w:r>
      <w:r w:rsidRPr="00BF602B">
        <w:rPr>
          <w:rFonts w:cs="Arial"/>
        </w:rPr>
        <w:t xml:space="preserve">viewed </w:t>
      </w:r>
      <w:r>
        <w:rPr>
          <w:rFonts w:cs="Arial"/>
        </w:rPr>
        <w:t>11 September 2017</w:t>
      </w:r>
      <w:r w:rsidRPr="00892424">
        <w:rPr>
          <w:rFonts w:cs="Arial"/>
        </w:rPr>
        <w:t>).</w:t>
      </w:r>
    </w:p>
  </w:endnote>
  <w:endnote w:id="116">
    <w:p w14:paraId="7736EC03" w14:textId="77777777" w:rsidR="003126E0" w:rsidRPr="00892424" w:rsidRDefault="003126E0" w:rsidP="00704CA7">
      <w:pPr>
        <w:pStyle w:val="EndnoteText"/>
        <w:rPr>
          <w:rFonts w:cs="Arial"/>
        </w:rPr>
      </w:pPr>
      <w:r w:rsidRPr="00892424">
        <w:rPr>
          <w:rStyle w:val="EndnoteReference"/>
          <w:rFonts w:cs="Arial"/>
        </w:rPr>
        <w:endnoteRef/>
      </w:r>
      <w:r w:rsidRPr="00892424">
        <w:rPr>
          <w:rFonts w:cs="Arial"/>
        </w:rPr>
        <w:t xml:space="preserve"> Australian Human Rights Commission, </w:t>
      </w:r>
      <w:r w:rsidRPr="00892424">
        <w:rPr>
          <w:rFonts w:cs="Arial"/>
          <w:i/>
        </w:rPr>
        <w:t>Children’s Rights Report 2015</w:t>
      </w:r>
      <w:r w:rsidRPr="00892424">
        <w:rPr>
          <w:rFonts w:cs="Arial"/>
        </w:rPr>
        <w:t xml:space="preserve"> (2015) 132. At </w:t>
      </w:r>
      <w:hyperlink r:id="rId150" w:history="1">
        <w:r w:rsidRPr="00892424">
          <w:rPr>
            <w:rStyle w:val="Hyperlink"/>
            <w:rFonts w:cs="Arial"/>
          </w:rPr>
          <w:t>https://www.humanrights.gov.au/our-work/childrens-rights/publications/childrens-rights-report-2015</w:t>
        </w:r>
      </w:hyperlink>
      <w:r w:rsidRPr="00892424">
        <w:rPr>
          <w:rFonts w:cs="Arial"/>
        </w:rPr>
        <w:t xml:space="preserve"> (</w:t>
      </w:r>
      <w:r w:rsidRPr="00BF602B">
        <w:rPr>
          <w:rFonts w:cs="Arial"/>
        </w:rPr>
        <w:t xml:space="preserve">viewed </w:t>
      </w:r>
      <w:r>
        <w:rPr>
          <w:rFonts w:cs="Arial"/>
        </w:rPr>
        <w:t>11 September 2017</w:t>
      </w:r>
      <w:r w:rsidRPr="00892424">
        <w:rPr>
          <w:rFonts w:cs="Arial"/>
        </w:rPr>
        <w:t>).</w:t>
      </w:r>
    </w:p>
  </w:endnote>
  <w:endnote w:id="117">
    <w:p w14:paraId="11092FAC" w14:textId="77777777" w:rsidR="003126E0" w:rsidRPr="00892424" w:rsidRDefault="003126E0" w:rsidP="00704CA7">
      <w:pPr>
        <w:pStyle w:val="EndnoteText"/>
        <w:rPr>
          <w:rFonts w:cs="Arial"/>
        </w:rPr>
      </w:pPr>
      <w:r w:rsidRPr="00892424">
        <w:rPr>
          <w:rStyle w:val="EndnoteReference"/>
          <w:rFonts w:cs="Arial"/>
        </w:rPr>
        <w:endnoteRef/>
      </w:r>
      <w:r w:rsidRPr="00892424">
        <w:rPr>
          <w:rFonts w:cs="Arial"/>
        </w:rPr>
        <w:t xml:space="preserve"> Australian Human Rights Commission, </w:t>
      </w:r>
      <w:r w:rsidRPr="00892424">
        <w:rPr>
          <w:rFonts w:cs="Arial"/>
          <w:i/>
        </w:rPr>
        <w:t>Children’s Rights Report 2015</w:t>
      </w:r>
      <w:r w:rsidRPr="00892424">
        <w:rPr>
          <w:rFonts w:cs="Arial"/>
        </w:rPr>
        <w:t xml:space="preserve"> (2015). At </w:t>
      </w:r>
      <w:hyperlink r:id="rId151" w:history="1">
        <w:r w:rsidRPr="00892424">
          <w:rPr>
            <w:rStyle w:val="Hyperlink"/>
            <w:rFonts w:cs="Arial"/>
          </w:rPr>
          <w:t>https://www.humanrights.gov.au/our-work/childrens-rights/publications/childrens-rights-report-2015</w:t>
        </w:r>
      </w:hyperlink>
      <w:r w:rsidRPr="00892424">
        <w:rPr>
          <w:rFonts w:cs="Arial"/>
        </w:rPr>
        <w:t xml:space="preserve"> (</w:t>
      </w:r>
      <w:r w:rsidRPr="00BF602B">
        <w:rPr>
          <w:rFonts w:cs="Arial"/>
        </w:rPr>
        <w:t xml:space="preserve">viewed </w:t>
      </w:r>
      <w:r>
        <w:rPr>
          <w:rFonts w:cs="Arial"/>
        </w:rPr>
        <w:t>11 September 2017</w:t>
      </w:r>
      <w:r w:rsidRPr="00892424">
        <w:rPr>
          <w:rFonts w:cs="Arial"/>
        </w:rPr>
        <w:t xml:space="preserve">). </w:t>
      </w:r>
    </w:p>
  </w:endnote>
  <w:endnote w:id="118">
    <w:p w14:paraId="28768146" w14:textId="77777777" w:rsidR="003126E0" w:rsidRPr="00892424" w:rsidRDefault="003126E0" w:rsidP="00704CA7">
      <w:pPr>
        <w:pStyle w:val="EndnoteText"/>
        <w:rPr>
          <w:rFonts w:cs="Arial"/>
          <w:i/>
        </w:rPr>
      </w:pPr>
      <w:r w:rsidRPr="00892424">
        <w:rPr>
          <w:rStyle w:val="EndnoteReference"/>
          <w:rFonts w:cs="Arial"/>
        </w:rPr>
        <w:endnoteRef/>
      </w:r>
      <w:r w:rsidRPr="00892424">
        <w:rPr>
          <w:rFonts w:cs="Arial"/>
        </w:rPr>
        <w:t xml:space="preserve"> Australian Human Rights Commission, </w:t>
      </w:r>
      <w:r w:rsidRPr="00892424">
        <w:rPr>
          <w:rFonts w:cs="Arial"/>
          <w:i/>
        </w:rPr>
        <w:t>All I want is a life free from violence</w:t>
      </w:r>
      <w:r w:rsidRPr="00892424">
        <w:rPr>
          <w:rFonts w:cs="Arial"/>
        </w:rPr>
        <w:t xml:space="preserve"> (2015). At </w:t>
      </w:r>
      <w:hyperlink r:id="rId152" w:history="1">
        <w:r w:rsidRPr="00892424">
          <w:rPr>
            <w:rStyle w:val="Hyperlink"/>
            <w:rFonts w:cs="Arial"/>
          </w:rPr>
          <w:t>https://www.humanrights.gov.au/sites/default/files/AHRC_Summary_Childrens_Rights_Report_2015.pdf</w:t>
        </w:r>
      </w:hyperlink>
      <w:r w:rsidRPr="00892424">
        <w:rPr>
          <w:rFonts w:cs="Arial"/>
        </w:rPr>
        <w:t xml:space="preserve"> (</w:t>
      </w:r>
      <w:r w:rsidRPr="00BF602B">
        <w:rPr>
          <w:rFonts w:cs="Arial"/>
        </w:rPr>
        <w:t xml:space="preserve">viewed </w:t>
      </w:r>
      <w:r>
        <w:rPr>
          <w:rFonts w:cs="Arial"/>
        </w:rPr>
        <w:t>11 September 2017</w:t>
      </w:r>
      <w:r w:rsidRPr="00892424">
        <w:rPr>
          <w:rFonts w:cs="Arial"/>
        </w:rPr>
        <w:t xml:space="preserve">); Australian Human Rights Commission, </w:t>
      </w:r>
      <w:r w:rsidRPr="00892424">
        <w:rPr>
          <w:rFonts w:cs="Arial"/>
          <w:i/>
        </w:rPr>
        <w:t>Children’s Rights Report 2015</w:t>
      </w:r>
      <w:r w:rsidRPr="00892424">
        <w:rPr>
          <w:rFonts w:cs="Arial"/>
        </w:rPr>
        <w:t xml:space="preserve"> (2015), chapter 4. At </w:t>
      </w:r>
      <w:hyperlink r:id="rId153" w:history="1">
        <w:r w:rsidRPr="00892424">
          <w:rPr>
            <w:rStyle w:val="Hyperlink"/>
            <w:rFonts w:cs="Arial"/>
          </w:rPr>
          <w:t>https://www.humanrights.gov.au/sites/default/files/AHRC_ChildrensRights_Report_2015_0.pdf</w:t>
        </w:r>
      </w:hyperlink>
      <w:r w:rsidRPr="00892424">
        <w:rPr>
          <w:rFonts w:cs="Arial"/>
        </w:rPr>
        <w:t xml:space="preserve"> (</w:t>
      </w:r>
      <w:r w:rsidRPr="00BF602B">
        <w:rPr>
          <w:rFonts w:cs="Arial"/>
        </w:rPr>
        <w:t xml:space="preserve">viewed </w:t>
      </w:r>
      <w:r>
        <w:rPr>
          <w:rFonts w:cs="Arial"/>
        </w:rPr>
        <w:t>11 September 2017</w:t>
      </w:r>
      <w:r w:rsidRPr="00892424">
        <w:rPr>
          <w:rFonts w:cs="Arial"/>
        </w:rPr>
        <w:t xml:space="preserve">). </w:t>
      </w:r>
      <w:r w:rsidRPr="00892424">
        <w:rPr>
          <w:rFonts w:cs="Arial"/>
          <w:i/>
        </w:rPr>
        <w:t xml:space="preserve"> </w:t>
      </w:r>
    </w:p>
  </w:endnote>
  <w:endnote w:id="119">
    <w:p w14:paraId="654A1F36" w14:textId="39179316" w:rsidR="003126E0" w:rsidRPr="00892424" w:rsidRDefault="003126E0" w:rsidP="00704CA7">
      <w:pPr>
        <w:pStyle w:val="EndnoteText"/>
        <w:rPr>
          <w:rFonts w:cs="Arial"/>
        </w:rPr>
      </w:pPr>
      <w:r w:rsidRPr="00892424">
        <w:rPr>
          <w:rStyle w:val="EndnoteReference"/>
          <w:rFonts w:cs="Arial"/>
        </w:rPr>
        <w:endnoteRef/>
      </w:r>
      <w:r w:rsidRPr="00892424">
        <w:rPr>
          <w:rFonts w:cs="Arial"/>
        </w:rPr>
        <w:t xml:space="preserve"> Productivity Commission, </w:t>
      </w:r>
      <w:r w:rsidRPr="00892424">
        <w:rPr>
          <w:rFonts w:cs="Arial"/>
          <w:i/>
        </w:rPr>
        <w:t>Report on Government Services 2015</w:t>
      </w:r>
      <w:r w:rsidRPr="00892424">
        <w:rPr>
          <w:rFonts w:cs="Arial"/>
        </w:rPr>
        <w:t xml:space="preserve"> (2015) 15.28</w:t>
      </w:r>
      <w:r w:rsidRPr="00892424">
        <w:rPr>
          <w:rFonts w:cs="Arial"/>
          <w:i/>
        </w:rPr>
        <w:t>–</w:t>
      </w:r>
      <w:r w:rsidRPr="00892424">
        <w:rPr>
          <w:rFonts w:cs="Arial"/>
        </w:rPr>
        <w:t xml:space="preserve">15.30. </w:t>
      </w:r>
      <w:r>
        <w:rPr>
          <w:rFonts w:cs="Arial"/>
        </w:rPr>
        <w:t xml:space="preserve">At </w:t>
      </w:r>
      <w:hyperlink r:id="rId154" w:history="1">
        <w:r w:rsidRPr="00892424">
          <w:rPr>
            <w:rStyle w:val="Hyperlink"/>
            <w:rFonts w:cs="Arial"/>
          </w:rPr>
          <w:t>http://www.pc.gov.au/research/recurring/report-on-government-services/2015/community-services/child-protection</w:t>
        </w:r>
      </w:hyperlink>
      <w:r>
        <w:rPr>
          <w:rFonts w:cs="Arial"/>
        </w:rPr>
        <w:t xml:space="preserve"> (viewed 11 September 2017)</w:t>
      </w:r>
      <w:r w:rsidRPr="00892424">
        <w:rPr>
          <w:rFonts w:cs="Arial"/>
        </w:rPr>
        <w:t>.</w:t>
      </w:r>
    </w:p>
  </w:endnote>
  <w:endnote w:id="120">
    <w:p w14:paraId="679C5114" w14:textId="77777777" w:rsidR="003126E0" w:rsidRDefault="003126E0" w:rsidP="00704CA7">
      <w:pPr>
        <w:pStyle w:val="EndnoteText"/>
      </w:pPr>
      <w:r>
        <w:rPr>
          <w:rStyle w:val="EndnoteReference"/>
        </w:rPr>
        <w:endnoteRef/>
      </w:r>
      <w:r>
        <w:t xml:space="preserve"> The </w:t>
      </w:r>
      <w:r w:rsidRPr="004E5986">
        <w:rPr>
          <w:rFonts w:cs="Arial"/>
          <w:i/>
        </w:rPr>
        <w:t>Family Law Legislation Amendment (Family Violence and Other Measures) Act 2011</w:t>
      </w:r>
      <w:r>
        <w:rPr>
          <w:rFonts w:cs="Arial"/>
        </w:rPr>
        <w:t xml:space="preserve"> (Cth) introduced changes to the </w:t>
      </w:r>
      <w:r>
        <w:rPr>
          <w:rFonts w:cs="Arial"/>
          <w:i/>
        </w:rPr>
        <w:t xml:space="preserve">Family Law Act 1975 </w:t>
      </w:r>
      <w:r>
        <w:rPr>
          <w:rFonts w:cs="Arial"/>
        </w:rPr>
        <w:t>(Cth) that better ensure the safety of children by</w:t>
      </w:r>
      <w:r w:rsidRPr="00755F02">
        <w:rPr>
          <w:rFonts w:cs="Arial"/>
        </w:rPr>
        <w:t xml:space="preserve"> expanding the definition of ‘family violence’ to include socially and financially controlling behaviour and expo</w:t>
      </w:r>
      <w:r>
        <w:rPr>
          <w:rFonts w:cs="Arial"/>
        </w:rPr>
        <w:t xml:space="preserve">sing a child to family violence </w:t>
      </w:r>
      <w:r w:rsidRPr="00755F02">
        <w:rPr>
          <w:rFonts w:cs="Arial"/>
        </w:rPr>
        <w:t>and making it easier for victims to report violence.</w:t>
      </w:r>
    </w:p>
  </w:endnote>
  <w:endnote w:id="121">
    <w:p w14:paraId="72DF4CC5" w14:textId="77777777" w:rsidR="003126E0" w:rsidRDefault="003126E0" w:rsidP="00704CA7">
      <w:pPr>
        <w:pStyle w:val="EndnoteText"/>
      </w:pPr>
      <w:r>
        <w:rPr>
          <w:rStyle w:val="EndnoteReference"/>
        </w:rPr>
        <w:endnoteRef/>
      </w:r>
      <w:r>
        <w:t xml:space="preserve"> </w:t>
      </w:r>
      <w:r w:rsidRPr="00481727">
        <w:t xml:space="preserve">Australian Human Rights Commission, </w:t>
      </w:r>
      <w:r w:rsidRPr="00481727">
        <w:rPr>
          <w:i/>
        </w:rPr>
        <w:t>Children’s Rights Report 2014</w:t>
      </w:r>
      <w:r w:rsidRPr="00481727">
        <w:t xml:space="preserve"> (2014), 16-18. At </w:t>
      </w:r>
      <w:hyperlink r:id="rId155" w:history="1">
        <w:r w:rsidRPr="007A0781">
          <w:rPr>
            <w:rStyle w:val="Hyperlink"/>
          </w:rPr>
          <w:t>https://www.humanrights.gov.au/our-work/childrens-rights/publications/childrens-rights-report-2014</w:t>
        </w:r>
      </w:hyperlink>
      <w:r>
        <w:t xml:space="preserve"> </w:t>
      </w:r>
      <w:r w:rsidRPr="00481727">
        <w:t xml:space="preserve"> (</w:t>
      </w:r>
      <w:r w:rsidRPr="00BF602B">
        <w:rPr>
          <w:rFonts w:cs="Arial"/>
        </w:rPr>
        <w:t xml:space="preserve">viewed </w:t>
      </w:r>
      <w:r>
        <w:rPr>
          <w:rFonts w:cs="Arial"/>
        </w:rPr>
        <w:t>11 September 2017</w:t>
      </w:r>
      <w:r w:rsidRPr="00481727">
        <w:t xml:space="preserve">). The </w:t>
      </w:r>
      <w:r>
        <w:t>Federal Parliament</w:t>
      </w:r>
      <w:r w:rsidRPr="00481727">
        <w:t xml:space="preserve"> </w:t>
      </w:r>
      <w:r>
        <w:t xml:space="preserve">also passed the </w:t>
      </w:r>
      <w:r w:rsidRPr="00567F16">
        <w:rPr>
          <w:i/>
        </w:rPr>
        <w:t>Enhancing Online Safety for Children Act (2015)</w:t>
      </w:r>
      <w:r>
        <w:t xml:space="preserve"> Cth,</w:t>
      </w:r>
      <w:r w:rsidRPr="00481727">
        <w:t xml:space="preserve"> which </w:t>
      </w:r>
      <w:r>
        <w:t>will establish</w:t>
      </w:r>
      <w:r w:rsidRPr="00481727">
        <w:t xml:space="preserve"> a Children’s e-Safety Commissioner.</w:t>
      </w:r>
      <w:r>
        <w:t xml:space="preserve"> </w:t>
      </w:r>
    </w:p>
  </w:endnote>
  <w:endnote w:id="122">
    <w:p w14:paraId="7B911FF8" w14:textId="77777777" w:rsidR="003126E0" w:rsidRPr="00892424" w:rsidRDefault="003126E0" w:rsidP="00704CA7">
      <w:pPr>
        <w:pStyle w:val="EndnoteText"/>
        <w:rPr>
          <w:rFonts w:cs="Arial"/>
        </w:rPr>
      </w:pPr>
      <w:r w:rsidRPr="00892424">
        <w:rPr>
          <w:rStyle w:val="EndnoteReference"/>
          <w:rFonts w:cs="Arial"/>
        </w:rPr>
        <w:endnoteRef/>
      </w:r>
      <w:r w:rsidRPr="00892424">
        <w:rPr>
          <w:rFonts w:cs="Arial"/>
        </w:rPr>
        <w:t xml:space="preserve"> Australian Bureau of Statistics, </w:t>
      </w:r>
      <w:r w:rsidRPr="00892424">
        <w:rPr>
          <w:rFonts w:cs="Arial"/>
          <w:i/>
        </w:rPr>
        <w:t xml:space="preserve">3303.0 – Causes of Death, Australia, 2012 </w:t>
      </w:r>
      <w:r w:rsidRPr="00892424">
        <w:rPr>
          <w:rFonts w:cs="Arial"/>
        </w:rPr>
        <w:t xml:space="preserve">(2014), Table 1.3, Line 40. At </w:t>
      </w:r>
      <w:hyperlink r:id="rId156" w:history="1">
        <w:r w:rsidRPr="00892424">
          <w:rPr>
            <w:rStyle w:val="Hyperlink"/>
            <w:rFonts w:cs="Arial"/>
          </w:rPr>
          <w:t>http://www.abs.gov.au/AUSSTATS/abs@.nsf/Lookup/3303.0Explanatory%20Notes12012?OpenDocument</w:t>
        </w:r>
      </w:hyperlink>
      <w:r w:rsidRPr="00892424">
        <w:rPr>
          <w:rFonts w:cs="Arial"/>
        </w:rPr>
        <w:t xml:space="preserve"> (</w:t>
      </w:r>
      <w:r w:rsidRPr="00BF602B">
        <w:rPr>
          <w:rFonts w:cs="Arial"/>
        </w:rPr>
        <w:t xml:space="preserve">viewed </w:t>
      </w:r>
      <w:r>
        <w:rPr>
          <w:rFonts w:cs="Arial"/>
        </w:rPr>
        <w:t>11 September 2017</w:t>
      </w:r>
      <w:r w:rsidRPr="00892424">
        <w:rPr>
          <w:rFonts w:cs="Arial"/>
        </w:rPr>
        <w:t>).</w:t>
      </w:r>
    </w:p>
  </w:endnote>
  <w:endnote w:id="123">
    <w:p w14:paraId="0984576C" w14:textId="77777777" w:rsidR="003126E0" w:rsidRPr="00892424" w:rsidRDefault="003126E0" w:rsidP="00704CA7">
      <w:pPr>
        <w:pStyle w:val="EndnoteText"/>
        <w:rPr>
          <w:rFonts w:cs="Arial"/>
          <w:i/>
        </w:rPr>
      </w:pPr>
      <w:r w:rsidRPr="00892424">
        <w:rPr>
          <w:rStyle w:val="EndnoteReference"/>
          <w:rFonts w:cs="Arial"/>
        </w:rPr>
        <w:endnoteRef/>
      </w:r>
      <w:r w:rsidRPr="00892424">
        <w:rPr>
          <w:rFonts w:cs="Arial"/>
        </w:rPr>
        <w:t xml:space="preserve"> Australian Human Rights Commission, </w:t>
      </w:r>
      <w:r w:rsidRPr="00892424">
        <w:rPr>
          <w:rFonts w:cs="Arial"/>
          <w:i/>
        </w:rPr>
        <w:t>All I want is a life free from violence</w:t>
      </w:r>
      <w:r w:rsidRPr="00892424">
        <w:rPr>
          <w:rFonts w:cs="Arial"/>
        </w:rPr>
        <w:t xml:space="preserve"> (2015). At </w:t>
      </w:r>
      <w:hyperlink r:id="rId157" w:history="1">
        <w:r w:rsidRPr="00892424">
          <w:rPr>
            <w:rStyle w:val="Hyperlink"/>
            <w:rFonts w:cs="Arial"/>
          </w:rPr>
          <w:t>https://www.humanrights.gov.au/sites/default/files/AHRC_Summary_Childrens_Rights_Report_2015.pdf</w:t>
        </w:r>
      </w:hyperlink>
      <w:r w:rsidRPr="00892424">
        <w:rPr>
          <w:rFonts w:cs="Arial"/>
        </w:rPr>
        <w:t xml:space="preserve"> (</w:t>
      </w:r>
      <w:r w:rsidRPr="00BF602B">
        <w:rPr>
          <w:rFonts w:cs="Arial"/>
        </w:rPr>
        <w:t xml:space="preserve">viewed </w:t>
      </w:r>
      <w:r>
        <w:rPr>
          <w:rFonts w:cs="Arial"/>
        </w:rPr>
        <w:t>11 September 2017</w:t>
      </w:r>
      <w:r w:rsidRPr="00892424">
        <w:rPr>
          <w:rFonts w:cs="Arial"/>
        </w:rPr>
        <w:t xml:space="preserve">); Australian Human Rights Commission, </w:t>
      </w:r>
      <w:r w:rsidRPr="00892424">
        <w:rPr>
          <w:rFonts w:cs="Arial"/>
          <w:i/>
        </w:rPr>
        <w:t>Children’s Rights Report 2015</w:t>
      </w:r>
      <w:r w:rsidRPr="00892424">
        <w:rPr>
          <w:rFonts w:cs="Arial"/>
        </w:rPr>
        <w:t xml:space="preserve"> (2015), chapter 4. At </w:t>
      </w:r>
      <w:hyperlink r:id="rId158" w:history="1">
        <w:r w:rsidRPr="00892424">
          <w:rPr>
            <w:rStyle w:val="Hyperlink"/>
            <w:rFonts w:cs="Arial"/>
          </w:rPr>
          <w:t>https://www.humanrights.gov.au/sites/default/files/AHRC_ChildrensRights_Report_2015_0.pdf</w:t>
        </w:r>
      </w:hyperlink>
      <w:r w:rsidRPr="00892424">
        <w:rPr>
          <w:rFonts w:cs="Arial"/>
        </w:rPr>
        <w:t xml:space="preserve"> (</w:t>
      </w:r>
      <w:r w:rsidRPr="00BF602B">
        <w:rPr>
          <w:rFonts w:cs="Arial"/>
        </w:rPr>
        <w:t xml:space="preserve">viewed </w:t>
      </w:r>
      <w:r>
        <w:rPr>
          <w:rFonts w:cs="Arial"/>
        </w:rPr>
        <w:t>11 September 2017</w:t>
      </w:r>
      <w:r w:rsidRPr="00892424">
        <w:rPr>
          <w:rFonts w:cs="Arial"/>
        </w:rPr>
        <w:t xml:space="preserve">). </w:t>
      </w:r>
      <w:r w:rsidRPr="00892424">
        <w:rPr>
          <w:rFonts w:cs="Arial"/>
          <w:i/>
        </w:rPr>
        <w:t xml:space="preserve"> </w:t>
      </w:r>
    </w:p>
  </w:endnote>
  <w:endnote w:id="124">
    <w:p w14:paraId="351A741F" w14:textId="77777777" w:rsidR="003126E0" w:rsidRPr="00892424" w:rsidRDefault="003126E0" w:rsidP="00704CA7">
      <w:pPr>
        <w:pStyle w:val="EndnoteText"/>
        <w:rPr>
          <w:rFonts w:cs="Arial"/>
        </w:rPr>
      </w:pPr>
      <w:r w:rsidRPr="00892424">
        <w:rPr>
          <w:rStyle w:val="EndnoteReference"/>
          <w:rFonts w:cs="Arial"/>
        </w:rPr>
        <w:endnoteRef/>
      </w:r>
      <w:r w:rsidRPr="00892424">
        <w:rPr>
          <w:rFonts w:cs="Arial"/>
        </w:rPr>
        <w:t xml:space="preserve"> In particular, children have been held in adult detention facilities in Western Australia and Victoria. These transfers have been examined through litigation in which the Commission intervened, </w:t>
      </w:r>
      <w:r w:rsidRPr="00892424">
        <w:rPr>
          <w:rFonts w:cs="Arial"/>
          <w:i/>
        </w:rPr>
        <w:t>Wilson v Joseph Michael Francis, Minister for Corrective Services for the State of Western Australia</w:t>
      </w:r>
      <w:r w:rsidRPr="00892424">
        <w:rPr>
          <w:rFonts w:cs="Arial"/>
        </w:rPr>
        <w:t xml:space="preserve"> [2013] WASC 157 (3 May 2013), and a Victorian Ombudsman investigation, </w:t>
      </w:r>
      <w:r w:rsidRPr="00892424">
        <w:rPr>
          <w:rFonts w:cs="Arial"/>
          <w:i/>
        </w:rPr>
        <w:t xml:space="preserve">Investigation into Children Transferred from the Youth Justice System to the Adult Prison System </w:t>
      </w:r>
      <w:r w:rsidRPr="00892424">
        <w:rPr>
          <w:rFonts w:cs="Arial"/>
        </w:rPr>
        <w:t xml:space="preserve">(2013). At </w:t>
      </w:r>
      <w:hyperlink r:id="rId159" w:history="1">
        <w:r w:rsidRPr="00892424">
          <w:rPr>
            <w:rStyle w:val="Hyperlink"/>
            <w:rFonts w:cs="Arial"/>
          </w:rPr>
          <w:t>https://www.ombudsman.vic.gov.au/getattachment/6a579e49-212e-42b0-9d3c-791e2d60e102//reports-publications/parliamentary-reports/investigation-into-children-transferred-from-the-y.aspx</w:t>
        </w:r>
      </w:hyperlink>
      <w:r w:rsidRPr="00892424">
        <w:rPr>
          <w:rFonts w:cs="Arial"/>
        </w:rPr>
        <w:t xml:space="preserve"> (</w:t>
      </w:r>
      <w:r w:rsidRPr="00BF602B">
        <w:rPr>
          <w:rFonts w:cs="Arial"/>
        </w:rPr>
        <w:t xml:space="preserve">viewed </w:t>
      </w:r>
      <w:r>
        <w:rPr>
          <w:rFonts w:cs="Arial"/>
        </w:rPr>
        <w:t>11 September 2017</w:t>
      </w:r>
      <w:r w:rsidRPr="00892424">
        <w:rPr>
          <w:rFonts w:cs="Arial"/>
        </w:rPr>
        <w:t xml:space="preserve">). The National Children Commissioner raised this concern in her inaugural report. Australian Human Rights Commission, </w:t>
      </w:r>
      <w:r w:rsidRPr="00892424">
        <w:rPr>
          <w:rFonts w:cs="Arial"/>
          <w:i/>
        </w:rPr>
        <w:t>Children’s Rights Report 2013</w:t>
      </w:r>
      <w:r w:rsidRPr="00892424">
        <w:rPr>
          <w:rFonts w:cs="Arial"/>
        </w:rPr>
        <w:t xml:space="preserve"> (2013), 33. At </w:t>
      </w:r>
      <w:hyperlink r:id="rId160" w:history="1">
        <w:r w:rsidRPr="00892424">
          <w:rPr>
            <w:rStyle w:val="Hyperlink"/>
            <w:rFonts w:cs="Arial"/>
          </w:rPr>
          <w:t>https://www.humanrights.gov.au/publications/childrens-rights-report-2013</w:t>
        </w:r>
      </w:hyperlink>
      <w:r w:rsidRPr="00892424">
        <w:rPr>
          <w:rFonts w:cs="Arial"/>
        </w:rPr>
        <w:t xml:space="preserve"> (</w:t>
      </w:r>
      <w:r w:rsidRPr="00BF602B">
        <w:rPr>
          <w:rFonts w:cs="Arial"/>
        </w:rPr>
        <w:t xml:space="preserve">viewed </w:t>
      </w:r>
      <w:r>
        <w:rPr>
          <w:rFonts w:cs="Arial"/>
        </w:rPr>
        <w:t>11 September 2017</w:t>
      </w:r>
      <w:r w:rsidRPr="00892424">
        <w:rPr>
          <w:rFonts w:cs="Arial"/>
        </w:rPr>
        <w:t xml:space="preserve">). The Commission notes recent amendments to the </w:t>
      </w:r>
      <w:r w:rsidRPr="00892424">
        <w:rPr>
          <w:rFonts w:cs="Arial"/>
          <w:i/>
        </w:rPr>
        <w:t>Youth Justice Act 1992</w:t>
      </w:r>
      <w:r w:rsidRPr="00892424">
        <w:rPr>
          <w:rFonts w:cs="Arial"/>
        </w:rPr>
        <w:t xml:space="preserve"> (Qld) that will stop the transfer to 17-year-olds with six months remaining of their sentence from a youth justice centre to an adult facility in Queensland (see </w:t>
      </w:r>
      <w:r w:rsidRPr="00DE3EF0">
        <w:rPr>
          <w:rFonts w:cs="Arial"/>
        </w:rPr>
        <w:t xml:space="preserve">Youth Justice and Other Legislation Amendment Bill </w:t>
      </w:r>
      <w:r w:rsidRPr="00892424">
        <w:rPr>
          <w:rFonts w:cs="Arial"/>
        </w:rPr>
        <w:t xml:space="preserve">2016 (Qld) cl 30 amending </w:t>
      </w:r>
      <w:r w:rsidRPr="00892424">
        <w:rPr>
          <w:rFonts w:cs="Arial"/>
          <w:i/>
        </w:rPr>
        <w:t>Youth Justice Act</w:t>
      </w:r>
      <w:r w:rsidRPr="00892424">
        <w:rPr>
          <w:rFonts w:cs="Arial"/>
        </w:rPr>
        <w:t xml:space="preserve"> </w:t>
      </w:r>
      <w:r w:rsidRPr="00892424">
        <w:rPr>
          <w:rFonts w:cs="Arial"/>
          <w:i/>
        </w:rPr>
        <w:t xml:space="preserve">1992 </w:t>
      </w:r>
      <w:r w:rsidRPr="00892424">
        <w:rPr>
          <w:rFonts w:cs="Arial"/>
        </w:rPr>
        <w:t xml:space="preserve">(Qld) s 276B). However, the Commission remains concerned that young people aged 17 years continue to be treated as adults by the Queensland criminal justice system and may still serve a sentence of imprisonment in an adult facility (see </w:t>
      </w:r>
      <w:r w:rsidRPr="00892424">
        <w:rPr>
          <w:rFonts w:cs="Arial"/>
          <w:i/>
        </w:rPr>
        <w:t>Youth Justice Act</w:t>
      </w:r>
      <w:r w:rsidRPr="00892424">
        <w:rPr>
          <w:rFonts w:cs="Arial"/>
        </w:rPr>
        <w:t xml:space="preserve"> </w:t>
      </w:r>
      <w:r w:rsidRPr="00892424">
        <w:rPr>
          <w:rFonts w:cs="Arial"/>
          <w:i/>
        </w:rPr>
        <w:t xml:space="preserve">1992 </w:t>
      </w:r>
      <w:r w:rsidRPr="00892424">
        <w:rPr>
          <w:rFonts w:cs="Arial"/>
        </w:rPr>
        <w:t>(Qld) sch 4 definition of ‘child’).</w:t>
      </w:r>
    </w:p>
  </w:endnote>
  <w:endnote w:id="125">
    <w:p w14:paraId="52E59158" w14:textId="77777777" w:rsidR="003126E0" w:rsidRPr="00892424" w:rsidRDefault="003126E0" w:rsidP="00704CA7">
      <w:pPr>
        <w:pStyle w:val="EndnoteText"/>
        <w:rPr>
          <w:rFonts w:cs="Arial"/>
        </w:rPr>
      </w:pPr>
      <w:r w:rsidRPr="00892424">
        <w:rPr>
          <w:rStyle w:val="EndnoteReference"/>
          <w:rFonts w:cs="Arial"/>
        </w:rPr>
        <w:endnoteRef/>
      </w:r>
      <w:r w:rsidRPr="00892424">
        <w:rPr>
          <w:rFonts w:cs="Arial"/>
        </w:rPr>
        <w:t xml:space="preserve"> </w:t>
      </w:r>
      <w:r w:rsidRPr="007233E9">
        <w:rPr>
          <w:rFonts w:cs="Arial"/>
        </w:rPr>
        <w:t xml:space="preserve">Australian Human Rights Commission, </w:t>
      </w:r>
      <w:r w:rsidRPr="007233E9">
        <w:rPr>
          <w:rFonts w:cs="Arial"/>
          <w:i/>
        </w:rPr>
        <w:t>Children’s Rights Report 201</w:t>
      </w:r>
      <w:r w:rsidRPr="00301CED">
        <w:rPr>
          <w:rFonts w:cs="Arial"/>
          <w:i/>
        </w:rPr>
        <w:t>6</w:t>
      </w:r>
      <w:r w:rsidRPr="00301CED">
        <w:rPr>
          <w:rFonts w:cs="Arial"/>
        </w:rPr>
        <w:t xml:space="preserve"> (2016) </w:t>
      </w:r>
      <w:r>
        <w:rPr>
          <w:rFonts w:cs="Arial"/>
        </w:rPr>
        <w:t>Ch 3</w:t>
      </w:r>
      <w:r w:rsidRPr="00301CED">
        <w:rPr>
          <w:rFonts w:cs="Arial"/>
        </w:rPr>
        <w:t xml:space="preserve">. At </w:t>
      </w:r>
      <w:hyperlink r:id="rId161" w:history="1">
        <w:r w:rsidRPr="00CC24E1">
          <w:rPr>
            <w:rStyle w:val="Hyperlink"/>
          </w:rPr>
          <w:t>https://www.</w:t>
        </w:r>
        <w:r w:rsidRPr="00987405">
          <w:rPr>
            <w:rStyle w:val="Hyperlink"/>
          </w:rPr>
          <w:t>humanrights.gov.au/sites/default/files/document/publication/AHRC_CRR_2016.pdf</w:t>
        </w:r>
      </w:hyperlink>
      <w:r>
        <w:t xml:space="preserve"> </w:t>
      </w:r>
      <w:r>
        <w:rPr>
          <w:rFonts w:cs="Arial"/>
        </w:rPr>
        <w:t xml:space="preserve"> (</w:t>
      </w:r>
      <w:r w:rsidRPr="00BF602B">
        <w:rPr>
          <w:rFonts w:cs="Arial"/>
        </w:rPr>
        <w:t xml:space="preserve">viewed </w:t>
      </w:r>
      <w:r>
        <w:rPr>
          <w:rFonts w:cs="Arial"/>
        </w:rPr>
        <w:t>11 September 2017).</w:t>
      </w:r>
    </w:p>
  </w:endnote>
  <w:endnote w:id="126">
    <w:p w14:paraId="4C05ACC4" w14:textId="77777777" w:rsidR="003126E0" w:rsidRPr="00892424" w:rsidRDefault="003126E0" w:rsidP="00704CA7">
      <w:pPr>
        <w:pStyle w:val="EndnoteText"/>
        <w:rPr>
          <w:rFonts w:cs="Arial"/>
        </w:rPr>
      </w:pPr>
      <w:r w:rsidRPr="00CC24E1">
        <w:rPr>
          <w:rStyle w:val="EndnoteReference"/>
          <w:rFonts w:cs="Arial"/>
        </w:rPr>
        <w:endnoteRef/>
      </w:r>
      <w:r w:rsidRPr="00CC24E1">
        <w:rPr>
          <w:rFonts w:cs="Arial"/>
        </w:rPr>
        <w:t xml:space="preserve"> </w:t>
      </w:r>
      <w:r w:rsidRPr="007233E9">
        <w:rPr>
          <w:rFonts w:cs="Arial"/>
        </w:rPr>
        <w:t>In 2015-16</w:t>
      </w:r>
      <w:r w:rsidRPr="00892424">
        <w:rPr>
          <w:rFonts w:cs="Arial"/>
        </w:rPr>
        <w:t xml:space="preserve"> the nightly average of children and young people being held in detention was 49 – 11 in the Alice Springs Youth Detention Centre and 38 in the Don Dale Youth Detention Centre in Darwin. 94% of the children and young people in detention in the Northern Territory are Aboriginal and Torres Strait Islander children. </w:t>
      </w:r>
      <w:r w:rsidRPr="005B4472">
        <w:rPr>
          <w:rFonts w:cs="Arial"/>
        </w:rPr>
        <w:t xml:space="preserve">Royal Commission into </w:t>
      </w:r>
      <w:r>
        <w:rPr>
          <w:rFonts w:cs="Arial"/>
        </w:rPr>
        <w:t>the Protection and Detention of Children in the Northern Territory</w:t>
      </w:r>
      <w:r w:rsidRPr="005B4472">
        <w:rPr>
          <w:rFonts w:cs="Arial"/>
        </w:rPr>
        <w:t xml:space="preserve">, </w:t>
      </w:r>
      <w:r>
        <w:rPr>
          <w:rFonts w:cs="Arial"/>
        </w:rPr>
        <w:t>Interim</w:t>
      </w:r>
      <w:r w:rsidRPr="005B4472">
        <w:rPr>
          <w:rFonts w:cs="Arial"/>
        </w:rPr>
        <w:t xml:space="preserve"> Report (</w:t>
      </w:r>
      <w:r>
        <w:rPr>
          <w:rFonts w:cs="Arial"/>
        </w:rPr>
        <w:t>31 March 2017</w:t>
      </w:r>
      <w:r w:rsidRPr="005B4472">
        <w:rPr>
          <w:rFonts w:cs="Arial"/>
        </w:rPr>
        <w:t>)</w:t>
      </w:r>
      <w:r>
        <w:rPr>
          <w:rFonts w:cs="Arial"/>
        </w:rPr>
        <w:t xml:space="preserve"> 9. At </w:t>
      </w:r>
      <w:hyperlink r:id="rId162" w:history="1">
        <w:r w:rsidRPr="00987405">
          <w:rPr>
            <w:rStyle w:val="Hyperlink"/>
            <w:rFonts w:cs="Arial"/>
          </w:rPr>
          <w:t>https://childdetentionnt.royalcommission.gov.au/about-us/Documents/RCNT-Interim-report.pdf</w:t>
        </w:r>
      </w:hyperlink>
      <w:r>
        <w:rPr>
          <w:rFonts w:cs="Arial"/>
        </w:rPr>
        <w:t xml:space="preserve"> (</w:t>
      </w:r>
      <w:r w:rsidRPr="00BF602B">
        <w:rPr>
          <w:rFonts w:cs="Arial"/>
        </w:rPr>
        <w:t xml:space="preserve">viewed </w:t>
      </w:r>
      <w:r>
        <w:rPr>
          <w:rFonts w:cs="Arial"/>
        </w:rPr>
        <w:t>11 September 2017).</w:t>
      </w:r>
    </w:p>
  </w:endnote>
  <w:endnote w:id="127">
    <w:p w14:paraId="10C1C634" w14:textId="77777777" w:rsidR="003126E0" w:rsidRPr="00892424" w:rsidRDefault="003126E0" w:rsidP="00704CA7">
      <w:pPr>
        <w:pStyle w:val="EndnoteText"/>
        <w:rPr>
          <w:rFonts w:cs="Arial"/>
        </w:rPr>
      </w:pPr>
      <w:r w:rsidRPr="00892424">
        <w:rPr>
          <w:rStyle w:val="EndnoteReference"/>
          <w:rFonts w:cs="Arial"/>
        </w:rPr>
        <w:endnoteRef/>
      </w:r>
      <w:r w:rsidRPr="00892424">
        <w:rPr>
          <w:rFonts w:cs="Arial"/>
        </w:rPr>
        <w:t xml:space="preserve"> The Hon Malcolm Turnbull MP, Prime Minister, and the Hon Sen George Brandis QC, ‘Royal Commission into the Child Protection and youth detention systems of the Northern Territory’, (Media release, 28 July 2016)</w:t>
      </w:r>
      <w:r>
        <w:rPr>
          <w:rFonts w:cs="Arial"/>
        </w:rPr>
        <w:t>. At</w:t>
      </w:r>
      <w:r w:rsidRPr="00892424">
        <w:rPr>
          <w:rFonts w:cs="Arial"/>
        </w:rPr>
        <w:t xml:space="preserve"> </w:t>
      </w:r>
      <w:hyperlink r:id="rId163" w:history="1">
        <w:r w:rsidRPr="00892424">
          <w:rPr>
            <w:rStyle w:val="Hyperlink"/>
            <w:rFonts w:cs="Arial"/>
          </w:rPr>
          <w:t>https://www.pm.gov.au/media/2016-07-28/royal-commission-child-protection-and-youth-detention-systems-northern-territory</w:t>
        </w:r>
      </w:hyperlink>
      <w:r>
        <w:rPr>
          <w:rFonts w:cs="Arial"/>
        </w:rPr>
        <w:t xml:space="preserve"> (</w:t>
      </w:r>
      <w:r w:rsidRPr="00BF602B">
        <w:rPr>
          <w:rFonts w:cs="Arial"/>
        </w:rPr>
        <w:t xml:space="preserve">viewed </w:t>
      </w:r>
      <w:r>
        <w:rPr>
          <w:rFonts w:cs="Arial"/>
        </w:rPr>
        <w:t>11 September 2017).</w:t>
      </w:r>
    </w:p>
  </w:endnote>
  <w:endnote w:id="128">
    <w:p w14:paraId="74DD7B0D" w14:textId="77777777" w:rsidR="003126E0" w:rsidRPr="00892424" w:rsidRDefault="003126E0" w:rsidP="00704CA7">
      <w:pPr>
        <w:pStyle w:val="EndnoteText"/>
        <w:rPr>
          <w:rFonts w:cs="Arial"/>
        </w:rPr>
      </w:pPr>
      <w:r w:rsidRPr="00892424">
        <w:rPr>
          <w:rStyle w:val="EndnoteReference"/>
          <w:rFonts w:cs="Arial"/>
        </w:rPr>
        <w:endnoteRef/>
      </w:r>
      <w:r w:rsidRPr="00892424">
        <w:rPr>
          <w:rFonts w:cs="Arial"/>
        </w:rPr>
        <w:t xml:space="preserve"> The Australian Human Rights Commission’s consultations in the lead up to the UPR identified successful diversionary initiatives in Victoria, the ACT and Tasmania.</w:t>
      </w:r>
    </w:p>
  </w:endnote>
  <w:endnote w:id="129">
    <w:p w14:paraId="6FC68A78" w14:textId="77777777" w:rsidR="003126E0" w:rsidRPr="00892424" w:rsidRDefault="003126E0" w:rsidP="00704CA7">
      <w:pPr>
        <w:pStyle w:val="EndnoteText"/>
        <w:rPr>
          <w:rFonts w:cs="Arial"/>
        </w:rPr>
      </w:pPr>
      <w:r w:rsidRPr="00CC24E1">
        <w:rPr>
          <w:rStyle w:val="EndnoteReference"/>
          <w:rFonts w:cs="Arial"/>
        </w:rPr>
        <w:endnoteRef/>
      </w:r>
      <w:r w:rsidRPr="00CC24E1">
        <w:rPr>
          <w:rFonts w:cs="Arial"/>
        </w:rPr>
        <w:t xml:space="preserve"> </w:t>
      </w:r>
      <w:r w:rsidRPr="007233E9">
        <w:rPr>
          <w:rFonts w:cs="Arial"/>
        </w:rPr>
        <w:t xml:space="preserve">Australian Human Rights Commission, </w:t>
      </w:r>
      <w:r w:rsidRPr="007233E9">
        <w:rPr>
          <w:rFonts w:cs="Arial"/>
          <w:i/>
        </w:rPr>
        <w:t>Children’s Rights Report 201</w:t>
      </w:r>
      <w:r w:rsidRPr="00301CED">
        <w:rPr>
          <w:rFonts w:cs="Arial"/>
          <w:i/>
        </w:rPr>
        <w:t>6</w:t>
      </w:r>
      <w:r w:rsidRPr="00301CED">
        <w:rPr>
          <w:rFonts w:cs="Arial"/>
        </w:rPr>
        <w:t xml:space="preserve"> (2016) 200. At </w:t>
      </w:r>
      <w:hyperlink r:id="rId164" w:history="1">
        <w:r w:rsidRPr="00CC24E1">
          <w:rPr>
            <w:rStyle w:val="Hyperlink"/>
          </w:rPr>
          <w:t>https://www.</w:t>
        </w:r>
        <w:r w:rsidRPr="00987405">
          <w:rPr>
            <w:rStyle w:val="Hyperlink"/>
          </w:rPr>
          <w:t>humanrights.gov.au/sites/default/files/document/publication/AHRC_CRR_2016.pdf</w:t>
        </w:r>
      </w:hyperlink>
      <w:r>
        <w:t xml:space="preserve"> </w:t>
      </w:r>
      <w:r w:rsidRPr="00892424">
        <w:rPr>
          <w:rFonts w:cs="Arial"/>
        </w:rPr>
        <w:t xml:space="preserve"> (</w:t>
      </w:r>
      <w:r w:rsidRPr="00BF602B">
        <w:rPr>
          <w:rFonts w:cs="Arial"/>
        </w:rPr>
        <w:t xml:space="preserve">viewed </w:t>
      </w:r>
      <w:r>
        <w:rPr>
          <w:rFonts w:cs="Arial"/>
        </w:rPr>
        <w:t>11 September 2017</w:t>
      </w:r>
      <w:r w:rsidRPr="00892424">
        <w:rPr>
          <w:rFonts w:cs="Arial"/>
        </w:rPr>
        <w:t>).</w:t>
      </w:r>
    </w:p>
  </w:endnote>
  <w:endnote w:id="130">
    <w:p w14:paraId="2EBB1B66" w14:textId="08F8B0E9" w:rsidR="003126E0" w:rsidRPr="00892424" w:rsidRDefault="003126E0" w:rsidP="00704CA7">
      <w:pPr>
        <w:pStyle w:val="EndnoteText"/>
        <w:rPr>
          <w:rFonts w:cs="Arial"/>
        </w:rPr>
      </w:pPr>
      <w:r w:rsidRPr="00892424">
        <w:rPr>
          <w:rStyle w:val="EndnoteReference"/>
          <w:rFonts w:cs="Arial"/>
        </w:rPr>
        <w:endnoteRef/>
      </w:r>
      <w:r w:rsidRPr="00892424">
        <w:rPr>
          <w:rFonts w:cs="Arial"/>
        </w:rPr>
        <w:t xml:space="preserve"> </w:t>
      </w:r>
      <w:r w:rsidRPr="00892424">
        <w:rPr>
          <w:rFonts w:cs="Arial"/>
          <w:lang w:val="en-US"/>
        </w:rPr>
        <w:t xml:space="preserve">Australian Human Rights Commission, </w:t>
      </w:r>
      <w:r w:rsidRPr="00892424">
        <w:rPr>
          <w:rFonts w:cs="Arial"/>
        </w:rPr>
        <w:t xml:space="preserve">‘Submission to the UN Committee Against Torture under the </w:t>
      </w:r>
      <w:r w:rsidRPr="00892424">
        <w:rPr>
          <w:rFonts w:cs="Arial"/>
          <w:i/>
        </w:rPr>
        <w:t>Convention Against Torture</w:t>
      </w:r>
      <w:r w:rsidRPr="00892424">
        <w:rPr>
          <w:rFonts w:cs="Arial"/>
        </w:rPr>
        <w:t>, 17 October 2014, [70</w:t>
      </w:r>
      <w:r>
        <w:rPr>
          <w:rFonts w:cs="Arial"/>
        </w:rPr>
        <w:t>]</w:t>
      </w:r>
      <w:r w:rsidRPr="00892424">
        <w:rPr>
          <w:rFonts w:cs="Arial"/>
        </w:rPr>
        <w:t>-</w:t>
      </w:r>
      <w:r>
        <w:rPr>
          <w:rFonts w:cs="Arial"/>
        </w:rPr>
        <w:t>[</w:t>
      </w:r>
      <w:r w:rsidRPr="00892424">
        <w:rPr>
          <w:rFonts w:cs="Arial"/>
        </w:rPr>
        <w:t xml:space="preserve">77]. At </w:t>
      </w:r>
      <w:hyperlink r:id="rId165" w:history="1">
        <w:r w:rsidRPr="00892424">
          <w:rPr>
            <w:rStyle w:val="Hyperlink"/>
            <w:rFonts w:cs="Arial"/>
          </w:rPr>
          <w:t>http://tbinternet.ohchr.org/_layouts/treatybodyexternal/Download.aspx?symbolno=INT%2fCAT%2fNGO%2fAUS%2f18690&amp;Lang=en</w:t>
        </w:r>
      </w:hyperlink>
      <w:r w:rsidRPr="00892424">
        <w:rPr>
          <w:rFonts w:cs="Arial"/>
        </w:rPr>
        <w:t xml:space="preserve"> (</w:t>
      </w:r>
      <w:r w:rsidRPr="00BF602B">
        <w:rPr>
          <w:rFonts w:cs="Arial"/>
        </w:rPr>
        <w:t xml:space="preserve">viewed </w:t>
      </w:r>
      <w:r>
        <w:rPr>
          <w:rFonts w:cs="Arial"/>
        </w:rPr>
        <w:t>11 September 2017).</w:t>
      </w:r>
    </w:p>
  </w:endnote>
  <w:endnote w:id="131">
    <w:p w14:paraId="5B16F0FE" w14:textId="77777777" w:rsidR="003126E0" w:rsidRPr="00892424" w:rsidRDefault="003126E0" w:rsidP="000D4E69">
      <w:pPr>
        <w:pStyle w:val="EndnoteText"/>
        <w:rPr>
          <w:rFonts w:cs="Arial"/>
        </w:rPr>
      </w:pPr>
      <w:r w:rsidRPr="00892424">
        <w:rPr>
          <w:rStyle w:val="EndnoteReference"/>
          <w:rFonts w:cs="Arial"/>
        </w:rPr>
        <w:endnoteRef/>
      </w:r>
      <w:r w:rsidRPr="00892424">
        <w:rPr>
          <w:rFonts w:cs="Arial"/>
        </w:rPr>
        <w:t xml:space="preserve"> Australian Human Rights Commission, </w:t>
      </w:r>
      <w:r w:rsidRPr="00892424">
        <w:rPr>
          <w:rFonts w:cs="Arial"/>
          <w:i/>
        </w:rPr>
        <w:t>Freedom from Discrimination: Report on the 40</w:t>
      </w:r>
      <w:r w:rsidRPr="00892424">
        <w:rPr>
          <w:rFonts w:cs="Arial"/>
          <w:i/>
          <w:vertAlign w:val="superscript"/>
        </w:rPr>
        <w:t>th</w:t>
      </w:r>
      <w:r w:rsidRPr="00892424">
        <w:rPr>
          <w:rFonts w:cs="Arial"/>
          <w:i/>
        </w:rPr>
        <w:t xml:space="preserve"> anniversary of the Racial Discrimination Act </w:t>
      </w:r>
      <w:r w:rsidRPr="00892424">
        <w:rPr>
          <w:rFonts w:cs="Arial"/>
        </w:rPr>
        <w:t xml:space="preserve">(2015) 60. At </w:t>
      </w:r>
      <w:hyperlink r:id="rId166" w:history="1">
        <w:r w:rsidRPr="00892424">
          <w:rPr>
            <w:rStyle w:val="Hyperlink"/>
            <w:rFonts w:cs="Arial"/>
          </w:rPr>
          <w:t>https://www.humanrights.gov.au/our-work/race-discrimination/publications/freedom-discrimination-report-40th-anniversary-racial</w:t>
        </w:r>
      </w:hyperlink>
      <w:r w:rsidRPr="00892424">
        <w:rPr>
          <w:rFonts w:cs="Arial"/>
        </w:rPr>
        <w:t xml:space="preserve"> (</w:t>
      </w:r>
      <w:r w:rsidRPr="00BF602B">
        <w:rPr>
          <w:rFonts w:cs="Arial"/>
        </w:rPr>
        <w:t xml:space="preserve">viewed </w:t>
      </w:r>
      <w:r>
        <w:rPr>
          <w:rFonts w:cs="Arial"/>
        </w:rPr>
        <w:t>11 September 2017</w:t>
      </w:r>
      <w:r w:rsidRPr="00892424">
        <w:rPr>
          <w:rFonts w:cs="Arial"/>
        </w:rPr>
        <w:t xml:space="preserve">). </w:t>
      </w:r>
    </w:p>
  </w:endnote>
  <w:endnote w:id="132">
    <w:p w14:paraId="1A28316B" w14:textId="65BE7718" w:rsidR="003126E0" w:rsidRPr="00892424" w:rsidRDefault="003126E0" w:rsidP="000D4E69">
      <w:pPr>
        <w:pStyle w:val="EndnoteText"/>
        <w:rPr>
          <w:rFonts w:cs="Arial"/>
        </w:rPr>
      </w:pPr>
      <w:r w:rsidRPr="00892424">
        <w:rPr>
          <w:rStyle w:val="EndnoteReference"/>
          <w:rFonts w:cs="Arial"/>
        </w:rPr>
        <w:endnoteRef/>
      </w:r>
      <w:r w:rsidRPr="00892424">
        <w:rPr>
          <w:rFonts w:cs="Arial"/>
        </w:rPr>
        <w:t xml:space="preserve"> See Lucy Carter, ‘”Burn in hell”: Hate message taped to door of Newcastle mosque amidst reports of rise in Islamophobia since Paris attack’ (ABC News, 18 November 2015) </w:t>
      </w:r>
      <w:r>
        <w:rPr>
          <w:rFonts w:cs="Arial"/>
        </w:rPr>
        <w:t>At</w:t>
      </w:r>
      <w:r w:rsidRPr="00892424">
        <w:rPr>
          <w:rFonts w:cs="Arial"/>
        </w:rPr>
        <w:t xml:space="preserve"> </w:t>
      </w:r>
      <w:hyperlink r:id="rId167" w:history="1">
        <w:r w:rsidRPr="00892424">
          <w:rPr>
            <w:rStyle w:val="Hyperlink"/>
            <w:rFonts w:cs="Arial"/>
          </w:rPr>
          <w:t>http://www.abc.net.au/news/2015-11-18/hate-message-taped-to-door-of-newcastle-mosque/6951428</w:t>
        </w:r>
      </w:hyperlink>
      <w:r w:rsidRPr="00892424">
        <w:rPr>
          <w:rFonts w:cs="Arial"/>
        </w:rPr>
        <w:t xml:space="preserve"> (</w:t>
      </w:r>
      <w:r w:rsidRPr="00BF602B">
        <w:rPr>
          <w:rFonts w:cs="Arial"/>
        </w:rPr>
        <w:t xml:space="preserve">viewed </w:t>
      </w:r>
      <w:r>
        <w:rPr>
          <w:rFonts w:cs="Arial"/>
        </w:rPr>
        <w:t>11 September 2017</w:t>
      </w:r>
      <w:r w:rsidRPr="00892424">
        <w:rPr>
          <w:rFonts w:cs="Arial"/>
        </w:rPr>
        <w:t>); AAP, “Toowoomba mosque fire suspicious: police” (Brisbane Times, 24 January 2015)</w:t>
      </w:r>
      <w:r>
        <w:rPr>
          <w:rFonts w:cs="Arial"/>
        </w:rPr>
        <w:t>.</w:t>
      </w:r>
      <w:r w:rsidRPr="00892424">
        <w:rPr>
          <w:rFonts w:cs="Arial"/>
        </w:rPr>
        <w:t xml:space="preserve"> </w:t>
      </w:r>
      <w:r>
        <w:rPr>
          <w:rFonts w:cs="Arial"/>
        </w:rPr>
        <w:t>At</w:t>
      </w:r>
      <w:r w:rsidRPr="00892424">
        <w:rPr>
          <w:rFonts w:cs="Arial"/>
        </w:rPr>
        <w:t xml:space="preserve"> </w:t>
      </w:r>
      <w:hyperlink r:id="rId168" w:history="1">
        <w:r w:rsidRPr="00892424">
          <w:rPr>
            <w:rStyle w:val="Hyperlink"/>
            <w:rFonts w:cs="Arial"/>
          </w:rPr>
          <w:t>http://www.brisbanetimes.com.au/queensland/toowoomba-mosque-fire-suspicious-police-20150124-12xi6s.html</w:t>
        </w:r>
      </w:hyperlink>
      <w:r w:rsidRPr="00892424">
        <w:rPr>
          <w:rFonts w:cs="Arial"/>
        </w:rPr>
        <w:t xml:space="preserve"> (</w:t>
      </w:r>
      <w:r w:rsidRPr="00BF602B">
        <w:rPr>
          <w:rFonts w:cs="Arial"/>
        </w:rPr>
        <w:t xml:space="preserve">viewed </w:t>
      </w:r>
      <w:r>
        <w:rPr>
          <w:rFonts w:cs="Arial"/>
        </w:rPr>
        <w:t>11 September 2017</w:t>
      </w:r>
      <w:r w:rsidRPr="00892424">
        <w:rPr>
          <w:rFonts w:cs="Arial"/>
        </w:rPr>
        <w:t xml:space="preserve">). </w:t>
      </w:r>
    </w:p>
  </w:endnote>
  <w:endnote w:id="133">
    <w:p w14:paraId="12FC93FD" w14:textId="16F09C64" w:rsidR="003126E0" w:rsidRPr="00892424" w:rsidRDefault="003126E0" w:rsidP="000D4E69">
      <w:pPr>
        <w:pStyle w:val="EndnoteText"/>
        <w:rPr>
          <w:rFonts w:cs="Arial"/>
        </w:rPr>
      </w:pPr>
      <w:r w:rsidRPr="00892424">
        <w:rPr>
          <w:rStyle w:val="EndnoteReference"/>
          <w:rFonts w:cs="Arial"/>
        </w:rPr>
        <w:endnoteRef/>
      </w:r>
      <w:r w:rsidRPr="00892424">
        <w:rPr>
          <w:rFonts w:cs="Arial"/>
        </w:rPr>
        <w:t xml:space="preserve"> See Laura Aubusson, ‘Police investigate swastika graffiti on Jewish synagogue’ (Daily Telegraph, 14 April 2016)</w:t>
      </w:r>
      <w:r>
        <w:rPr>
          <w:rFonts w:cs="Arial"/>
        </w:rPr>
        <w:t>.</w:t>
      </w:r>
      <w:r w:rsidRPr="00892424">
        <w:rPr>
          <w:rFonts w:cs="Arial"/>
        </w:rPr>
        <w:t xml:space="preserve"> </w:t>
      </w:r>
      <w:r>
        <w:rPr>
          <w:rFonts w:cs="Arial"/>
        </w:rPr>
        <w:t>At</w:t>
      </w:r>
      <w:r w:rsidRPr="00892424">
        <w:rPr>
          <w:rFonts w:cs="Arial"/>
        </w:rPr>
        <w:t xml:space="preserve"> </w:t>
      </w:r>
      <w:hyperlink r:id="rId169" w:history="1">
        <w:r w:rsidRPr="00892424">
          <w:rPr>
            <w:rStyle w:val="Hyperlink"/>
            <w:rFonts w:cs="Arial"/>
          </w:rPr>
          <w:t>http://www.dailytelegraph.com.au/newslocal/city-east/police-investigate-swastika-graffiti-on-jewish-synagogue/news-story/6b2fd822f1f7853699ced9fcd649dfdb</w:t>
        </w:r>
      </w:hyperlink>
      <w:r>
        <w:rPr>
          <w:rFonts w:cs="Arial"/>
        </w:rPr>
        <w:t xml:space="preserve"> (</w:t>
      </w:r>
      <w:r w:rsidRPr="00BF602B">
        <w:rPr>
          <w:rFonts w:cs="Arial"/>
        </w:rPr>
        <w:t xml:space="preserve">viewed </w:t>
      </w:r>
      <w:r>
        <w:rPr>
          <w:rFonts w:cs="Arial"/>
        </w:rPr>
        <w:t>11 September 2017</w:t>
      </w:r>
      <w:r w:rsidRPr="00892424">
        <w:rPr>
          <w:rFonts w:cs="Arial"/>
        </w:rPr>
        <w:t>); Henry Benjamin, ‘Broken Hill synagogue defaced’ (J-Wire, 1 December 2015)</w:t>
      </w:r>
      <w:r>
        <w:rPr>
          <w:rFonts w:cs="Arial"/>
        </w:rPr>
        <w:t>.</w:t>
      </w:r>
      <w:r w:rsidRPr="00892424">
        <w:rPr>
          <w:rFonts w:cs="Arial"/>
        </w:rPr>
        <w:t xml:space="preserve"> </w:t>
      </w:r>
      <w:r>
        <w:rPr>
          <w:rFonts w:cs="Arial"/>
        </w:rPr>
        <w:t>At</w:t>
      </w:r>
      <w:r w:rsidRPr="00892424">
        <w:rPr>
          <w:rFonts w:cs="Arial"/>
        </w:rPr>
        <w:t xml:space="preserve"> </w:t>
      </w:r>
      <w:hyperlink r:id="rId170" w:history="1">
        <w:r w:rsidRPr="00892424">
          <w:rPr>
            <w:rStyle w:val="Hyperlink"/>
            <w:rFonts w:cs="Arial"/>
          </w:rPr>
          <w:t>http://www.jwire.com.au/broken-hill/</w:t>
        </w:r>
      </w:hyperlink>
      <w:r w:rsidRPr="00892424">
        <w:rPr>
          <w:rFonts w:cs="Arial"/>
        </w:rPr>
        <w:t xml:space="preserve"> (</w:t>
      </w:r>
      <w:r w:rsidRPr="00BF602B">
        <w:rPr>
          <w:rFonts w:cs="Arial"/>
        </w:rPr>
        <w:t xml:space="preserve">viewed </w:t>
      </w:r>
      <w:r>
        <w:rPr>
          <w:rFonts w:cs="Arial"/>
        </w:rPr>
        <w:t>11 September 2017</w:t>
      </w:r>
      <w:r w:rsidRPr="00892424">
        <w:rPr>
          <w:rFonts w:cs="Arial"/>
        </w:rPr>
        <w:t>).</w:t>
      </w:r>
    </w:p>
  </w:endnote>
  <w:endnote w:id="134">
    <w:p w14:paraId="7EC61AA3" w14:textId="03F0B06D" w:rsidR="003126E0" w:rsidRPr="00892424" w:rsidRDefault="003126E0" w:rsidP="000D4E69">
      <w:pPr>
        <w:pStyle w:val="EndnoteText"/>
        <w:rPr>
          <w:rFonts w:cs="Arial"/>
        </w:rPr>
      </w:pPr>
      <w:r w:rsidRPr="00892424">
        <w:rPr>
          <w:rStyle w:val="EndnoteReference"/>
          <w:rFonts w:cs="Arial"/>
        </w:rPr>
        <w:endnoteRef/>
      </w:r>
      <w:r w:rsidRPr="00892424">
        <w:rPr>
          <w:rFonts w:cs="Arial"/>
        </w:rPr>
        <w:t xml:space="preserve"> ABC News, ‘Graffiti vandals spray swastikas and hate messages on Ukrainian Catholic church in Lidcombe’ (ABC News, 22 June 2014)</w:t>
      </w:r>
      <w:r>
        <w:rPr>
          <w:rFonts w:cs="Arial"/>
        </w:rPr>
        <w:t>.</w:t>
      </w:r>
      <w:r w:rsidRPr="00892424">
        <w:rPr>
          <w:rFonts w:cs="Arial"/>
        </w:rPr>
        <w:t xml:space="preserve"> </w:t>
      </w:r>
      <w:r>
        <w:rPr>
          <w:rFonts w:cs="Arial"/>
        </w:rPr>
        <w:t>At</w:t>
      </w:r>
      <w:r w:rsidRPr="00892424">
        <w:rPr>
          <w:rFonts w:cs="Arial"/>
        </w:rPr>
        <w:t xml:space="preserve"> </w:t>
      </w:r>
      <w:hyperlink r:id="rId171" w:history="1">
        <w:r w:rsidRPr="00892424">
          <w:rPr>
            <w:rStyle w:val="Hyperlink"/>
            <w:rFonts w:cs="Arial"/>
          </w:rPr>
          <w:t>http://www.abc.net.au/news/2014-06-21/swastikas-graffitied-on-side-of-ukranian-church-in-sydney/5540968</w:t>
        </w:r>
      </w:hyperlink>
      <w:r w:rsidRPr="00892424">
        <w:rPr>
          <w:rFonts w:cs="Arial"/>
        </w:rPr>
        <w:t xml:space="preserve"> (</w:t>
      </w:r>
      <w:r w:rsidRPr="00BF602B">
        <w:rPr>
          <w:rFonts w:cs="Arial"/>
        </w:rPr>
        <w:t xml:space="preserve">viewed </w:t>
      </w:r>
      <w:r>
        <w:rPr>
          <w:rFonts w:cs="Arial"/>
        </w:rPr>
        <w:t>11 September 2017</w:t>
      </w:r>
      <w:r w:rsidRPr="00892424">
        <w:rPr>
          <w:rFonts w:cs="Arial"/>
        </w:rPr>
        <w:t xml:space="preserve">); Tracey Prisk, ‘Orange church attacked by vandals: police investigating arson and graffiti’ (Central Western Daily, 23 November 2015) </w:t>
      </w:r>
      <w:r>
        <w:rPr>
          <w:rFonts w:cs="Arial"/>
        </w:rPr>
        <w:t>At</w:t>
      </w:r>
      <w:r w:rsidRPr="00892424">
        <w:rPr>
          <w:rFonts w:cs="Arial"/>
        </w:rPr>
        <w:t xml:space="preserve"> </w:t>
      </w:r>
      <w:hyperlink r:id="rId172" w:history="1">
        <w:r w:rsidRPr="00892424">
          <w:rPr>
            <w:rStyle w:val="Hyperlink"/>
            <w:rFonts w:cs="Arial"/>
          </w:rPr>
          <w:t>http://www.centralwesterndaily.com.au/story/3509341/orange-church-attacked-by-vandals-police-investigating-arson-and-graffiti/</w:t>
        </w:r>
      </w:hyperlink>
      <w:r w:rsidRPr="00892424">
        <w:rPr>
          <w:rFonts w:cs="Arial"/>
        </w:rPr>
        <w:t xml:space="preserve"> (</w:t>
      </w:r>
      <w:r w:rsidRPr="00BF602B">
        <w:rPr>
          <w:rFonts w:cs="Arial"/>
        </w:rPr>
        <w:t xml:space="preserve">viewed </w:t>
      </w:r>
      <w:r>
        <w:rPr>
          <w:rFonts w:cs="Arial"/>
        </w:rPr>
        <w:t>11 September 2017</w:t>
      </w:r>
      <w:r w:rsidRPr="00892424">
        <w:rPr>
          <w:rFonts w:cs="Arial"/>
        </w:rPr>
        <w:t>).</w:t>
      </w:r>
    </w:p>
  </w:endnote>
  <w:endnote w:id="135">
    <w:p w14:paraId="10F8D53B" w14:textId="1D660E95" w:rsidR="003126E0" w:rsidRPr="00892424" w:rsidRDefault="003126E0" w:rsidP="000D4E69">
      <w:pPr>
        <w:pStyle w:val="EndnoteText"/>
        <w:rPr>
          <w:rFonts w:cs="Arial"/>
        </w:rPr>
      </w:pPr>
      <w:r w:rsidRPr="00892424">
        <w:rPr>
          <w:rStyle w:val="EndnoteReference"/>
          <w:rFonts w:cs="Arial"/>
        </w:rPr>
        <w:endnoteRef/>
      </w:r>
      <w:r w:rsidRPr="00892424">
        <w:rPr>
          <w:rFonts w:cs="Arial"/>
        </w:rPr>
        <w:t xml:space="preserve"> See Beau Donelly, ‘Muslims on what it’s like to live in Australia’ (Sydney Morning Herald, 26 May 2016)</w:t>
      </w:r>
      <w:r>
        <w:rPr>
          <w:rFonts w:cs="Arial"/>
        </w:rPr>
        <w:t>.</w:t>
      </w:r>
      <w:r w:rsidRPr="00892424">
        <w:rPr>
          <w:rFonts w:cs="Arial"/>
        </w:rPr>
        <w:t xml:space="preserve"> </w:t>
      </w:r>
      <w:r>
        <w:rPr>
          <w:rFonts w:cs="Arial"/>
        </w:rPr>
        <w:t>At</w:t>
      </w:r>
      <w:r w:rsidRPr="00892424">
        <w:rPr>
          <w:rFonts w:cs="Arial"/>
        </w:rPr>
        <w:t xml:space="preserve"> </w:t>
      </w:r>
      <w:hyperlink r:id="rId173" w:history="1">
        <w:r w:rsidRPr="00892424">
          <w:rPr>
            <w:rStyle w:val="Hyperlink"/>
            <w:rFonts w:cs="Arial"/>
          </w:rPr>
          <w:t>http://www.smh.com.au/national/muslims-on-what-its-like-to-live-in-australia-20160429-goi953.html</w:t>
        </w:r>
      </w:hyperlink>
      <w:r w:rsidRPr="00892424">
        <w:rPr>
          <w:rFonts w:cs="Arial"/>
        </w:rPr>
        <w:t xml:space="preserve"> (</w:t>
      </w:r>
      <w:r w:rsidRPr="00BF602B">
        <w:rPr>
          <w:rFonts w:cs="Arial"/>
        </w:rPr>
        <w:t xml:space="preserve">viewed </w:t>
      </w:r>
      <w:r>
        <w:rPr>
          <w:rFonts w:cs="Arial"/>
        </w:rPr>
        <w:t>11 September 2017</w:t>
      </w:r>
      <w:r w:rsidRPr="00892424">
        <w:rPr>
          <w:rFonts w:cs="Arial"/>
        </w:rPr>
        <w:t>); Heath Aston, ‘Dozens of anti-Muslim attacks as Islamic leaders warn of community fear’ (Sydney Morning Herald, 9 October 2014)</w:t>
      </w:r>
      <w:r>
        <w:rPr>
          <w:rFonts w:cs="Arial"/>
        </w:rPr>
        <w:t>.</w:t>
      </w:r>
      <w:r w:rsidRPr="00892424">
        <w:rPr>
          <w:rFonts w:cs="Arial"/>
        </w:rPr>
        <w:t xml:space="preserve"> </w:t>
      </w:r>
      <w:r>
        <w:rPr>
          <w:rFonts w:cs="Arial"/>
        </w:rPr>
        <w:t>At</w:t>
      </w:r>
      <w:r w:rsidRPr="00892424">
        <w:rPr>
          <w:rFonts w:cs="Arial"/>
        </w:rPr>
        <w:t xml:space="preserve"> </w:t>
      </w:r>
      <w:hyperlink r:id="rId174" w:history="1">
        <w:r w:rsidRPr="00892424">
          <w:rPr>
            <w:rStyle w:val="Hyperlink"/>
            <w:rFonts w:cs="Arial"/>
          </w:rPr>
          <w:t>http://www.smh.com.au/national/dozens-of-antimuslim-attacks-as-islamic-leaders-warn-of-community-fear-20141009-113tmk.html</w:t>
        </w:r>
      </w:hyperlink>
      <w:r w:rsidRPr="00892424">
        <w:rPr>
          <w:rFonts w:cs="Arial"/>
        </w:rPr>
        <w:t xml:space="preserve">  (</w:t>
      </w:r>
      <w:r w:rsidRPr="00BF602B">
        <w:rPr>
          <w:rFonts w:cs="Arial"/>
        </w:rPr>
        <w:t xml:space="preserve">viewed </w:t>
      </w:r>
      <w:r>
        <w:rPr>
          <w:rFonts w:cs="Arial"/>
        </w:rPr>
        <w:t>11 September 2017</w:t>
      </w:r>
      <w:r w:rsidRPr="00892424">
        <w:rPr>
          <w:rFonts w:cs="Arial"/>
        </w:rPr>
        <w:t xml:space="preserve">). </w:t>
      </w:r>
    </w:p>
  </w:endnote>
  <w:endnote w:id="136">
    <w:p w14:paraId="3518EF35" w14:textId="075B660C" w:rsidR="003126E0" w:rsidRPr="00892424" w:rsidRDefault="003126E0" w:rsidP="000D4E69">
      <w:pPr>
        <w:pStyle w:val="EndnoteText"/>
        <w:rPr>
          <w:rFonts w:cs="Arial"/>
        </w:rPr>
      </w:pPr>
      <w:r w:rsidRPr="00892424">
        <w:rPr>
          <w:rStyle w:val="EndnoteReference"/>
          <w:rFonts w:cs="Arial"/>
        </w:rPr>
        <w:endnoteRef/>
      </w:r>
      <w:r w:rsidRPr="00892424">
        <w:rPr>
          <w:rFonts w:cs="Arial"/>
        </w:rPr>
        <w:t xml:space="preserve"> See Megan Levy, ‘Teens arrested over racist attack on bus full of Jewish school students’ (Sydney Morning Herald, 7 August 2014) </w:t>
      </w:r>
      <w:r>
        <w:rPr>
          <w:rFonts w:cs="Arial"/>
        </w:rPr>
        <w:t>At</w:t>
      </w:r>
      <w:r w:rsidRPr="00892424">
        <w:rPr>
          <w:rFonts w:cs="Arial"/>
        </w:rPr>
        <w:t xml:space="preserve"> </w:t>
      </w:r>
      <w:hyperlink r:id="rId175" w:history="1">
        <w:r w:rsidRPr="00892424">
          <w:rPr>
            <w:rStyle w:val="Hyperlink"/>
            <w:rFonts w:cs="Arial"/>
          </w:rPr>
          <w:t>http://www.smh.com.au/nsw/teens-arrested-over-racist-attack-on-bus-full-of-jewish-school-students-20140806-101995.html</w:t>
        </w:r>
      </w:hyperlink>
      <w:r w:rsidRPr="00892424">
        <w:rPr>
          <w:rFonts w:cs="Arial"/>
        </w:rPr>
        <w:t xml:space="preserve"> (</w:t>
      </w:r>
      <w:r w:rsidRPr="00BF602B">
        <w:rPr>
          <w:rFonts w:cs="Arial"/>
        </w:rPr>
        <w:t xml:space="preserve">viewed </w:t>
      </w:r>
      <w:r>
        <w:rPr>
          <w:rFonts w:cs="Arial"/>
        </w:rPr>
        <w:t>11 September 2017</w:t>
      </w:r>
      <w:r w:rsidRPr="00892424">
        <w:rPr>
          <w:rFonts w:cs="Arial"/>
        </w:rPr>
        <w:t>); Tom Cowie, ‘”Go back to Israel”: racial attack outside Melbourne synagogue posted online’ (Age, 27 November 2015)</w:t>
      </w:r>
      <w:r>
        <w:rPr>
          <w:rFonts w:cs="Arial"/>
        </w:rPr>
        <w:t>.</w:t>
      </w:r>
      <w:r w:rsidRPr="00892424">
        <w:rPr>
          <w:rFonts w:cs="Arial"/>
        </w:rPr>
        <w:t xml:space="preserve"> </w:t>
      </w:r>
      <w:r>
        <w:rPr>
          <w:rFonts w:cs="Arial"/>
        </w:rPr>
        <w:t>At</w:t>
      </w:r>
      <w:r w:rsidRPr="00892424">
        <w:rPr>
          <w:rFonts w:cs="Arial"/>
        </w:rPr>
        <w:t xml:space="preserve"> </w:t>
      </w:r>
      <w:hyperlink r:id="rId176" w:history="1">
        <w:r w:rsidRPr="00892424">
          <w:rPr>
            <w:rStyle w:val="Hyperlink"/>
            <w:rFonts w:cs="Arial"/>
          </w:rPr>
          <w:t>http://www.theage.com.au/victoria/go-back-to-israel-racial-attack-outside-melbourne-synagogue-posted-online-20151126-gl9gw5.html</w:t>
        </w:r>
      </w:hyperlink>
      <w:r w:rsidRPr="00892424">
        <w:rPr>
          <w:rFonts w:cs="Arial"/>
        </w:rPr>
        <w:t xml:space="preserve"> (</w:t>
      </w:r>
      <w:r w:rsidRPr="00BF602B">
        <w:rPr>
          <w:rFonts w:cs="Arial"/>
        </w:rPr>
        <w:t xml:space="preserve">viewed </w:t>
      </w:r>
      <w:r>
        <w:rPr>
          <w:rFonts w:cs="Arial"/>
        </w:rPr>
        <w:t>11 September 2017</w:t>
      </w:r>
      <w:r w:rsidRPr="00892424">
        <w:rPr>
          <w:rFonts w:cs="Arial"/>
        </w:rPr>
        <w:t>).</w:t>
      </w:r>
    </w:p>
  </w:endnote>
  <w:endnote w:id="137">
    <w:p w14:paraId="189D95A1" w14:textId="0F9DF58B" w:rsidR="003126E0" w:rsidRPr="00892424" w:rsidRDefault="003126E0" w:rsidP="000D4E69">
      <w:pPr>
        <w:pStyle w:val="EndnoteText"/>
        <w:rPr>
          <w:rFonts w:cs="Arial"/>
        </w:rPr>
      </w:pPr>
      <w:r w:rsidRPr="00892424">
        <w:rPr>
          <w:rStyle w:val="EndnoteReference"/>
          <w:rFonts w:cs="Arial"/>
        </w:rPr>
        <w:endnoteRef/>
      </w:r>
      <w:r w:rsidRPr="00892424">
        <w:rPr>
          <w:rFonts w:cs="Arial"/>
        </w:rPr>
        <w:t xml:space="preserve"> See Camille Bianchi, ‘Sikh teen shaken after alleged turban attack on bus’ (SBS News, 4 March 2016)</w:t>
      </w:r>
      <w:r>
        <w:rPr>
          <w:rFonts w:cs="Arial"/>
        </w:rPr>
        <w:t>.</w:t>
      </w:r>
      <w:r w:rsidRPr="00892424">
        <w:rPr>
          <w:rFonts w:cs="Arial"/>
        </w:rPr>
        <w:t xml:space="preserve"> </w:t>
      </w:r>
      <w:r>
        <w:rPr>
          <w:rFonts w:cs="Arial"/>
        </w:rPr>
        <w:t>At</w:t>
      </w:r>
      <w:r w:rsidRPr="00892424">
        <w:rPr>
          <w:rFonts w:cs="Arial"/>
        </w:rPr>
        <w:t xml:space="preserve"> </w:t>
      </w:r>
      <w:hyperlink r:id="rId177" w:history="1">
        <w:r w:rsidRPr="00892424">
          <w:rPr>
            <w:rStyle w:val="Hyperlink"/>
            <w:rFonts w:cs="Arial"/>
          </w:rPr>
          <w:t>http://www.sbs.com.au/news/article/2016/03/03/sikh-teen-shaken-after-alleged-turban-attack-bus</w:t>
        </w:r>
      </w:hyperlink>
      <w:r w:rsidRPr="00892424">
        <w:rPr>
          <w:rFonts w:cs="Arial"/>
        </w:rPr>
        <w:t xml:space="preserve"> (</w:t>
      </w:r>
      <w:r w:rsidRPr="00BF602B">
        <w:rPr>
          <w:rFonts w:cs="Arial"/>
        </w:rPr>
        <w:t xml:space="preserve">viewed </w:t>
      </w:r>
      <w:r>
        <w:rPr>
          <w:rFonts w:cs="Arial"/>
        </w:rPr>
        <w:t>11 September 2017</w:t>
      </w:r>
      <w:r w:rsidRPr="00892424">
        <w:rPr>
          <w:rFonts w:cs="Arial"/>
        </w:rPr>
        <w:t>).</w:t>
      </w:r>
    </w:p>
  </w:endnote>
  <w:endnote w:id="138">
    <w:p w14:paraId="7081FF00" w14:textId="77777777" w:rsidR="003126E0" w:rsidRPr="009B5AFA" w:rsidRDefault="003126E0">
      <w:pPr>
        <w:pStyle w:val="EndnoteText"/>
      </w:pPr>
      <w:r>
        <w:rPr>
          <w:rStyle w:val="EndnoteReference"/>
        </w:rPr>
        <w:endnoteRef/>
      </w:r>
      <w:r>
        <w:t xml:space="preserve"> The Commission has made a submission to the parliamentary inquiry. See Australian Human Rights Commission, Submission No 12 to the Joint Standing Committee on Foreign Affairs, Defence and Trade, Parliament of Australia, </w:t>
      </w:r>
      <w:r>
        <w:rPr>
          <w:i/>
        </w:rPr>
        <w:t xml:space="preserve">Inquiry into the status of the human right to freedom of religion or belief, </w:t>
      </w:r>
      <w:r>
        <w:t xml:space="preserve">28 February 2017. At </w:t>
      </w:r>
      <w:hyperlink r:id="rId178" w:history="1">
        <w:r w:rsidRPr="009B5AFA">
          <w:rPr>
            <w:rStyle w:val="Hyperlink"/>
          </w:rPr>
          <w:t>http://www.aph.gov.au/DocumentStore.ashx?id=23c02ad6-1904-478a-adf0-2da8495c28b4&amp;subId=464627</w:t>
        </w:r>
      </w:hyperlink>
      <w:r w:rsidRPr="009B5AFA">
        <w:t xml:space="preserve"> (</w:t>
      </w:r>
      <w:r w:rsidRPr="00BF602B">
        <w:rPr>
          <w:rFonts w:cs="Arial"/>
        </w:rPr>
        <w:t xml:space="preserve">viewed </w:t>
      </w:r>
      <w:r>
        <w:rPr>
          <w:rFonts w:cs="Arial"/>
        </w:rPr>
        <w:t>11 September 2017</w:t>
      </w:r>
      <w:r w:rsidRPr="009B5AFA">
        <w:t>).</w:t>
      </w:r>
    </w:p>
  </w:endnote>
  <w:endnote w:id="139">
    <w:p w14:paraId="4620A813" w14:textId="77777777" w:rsidR="003126E0" w:rsidRPr="009B5AFA" w:rsidRDefault="003126E0" w:rsidP="00503259">
      <w:pPr>
        <w:pStyle w:val="EndnoteText"/>
        <w:rPr>
          <w:rFonts w:cs="Arial"/>
          <w:b/>
        </w:rPr>
      </w:pPr>
      <w:r w:rsidRPr="009B5AFA">
        <w:rPr>
          <w:rStyle w:val="EndnoteReference"/>
          <w:rFonts w:cs="Arial"/>
        </w:rPr>
        <w:endnoteRef/>
      </w:r>
      <w:r w:rsidRPr="009B5AFA">
        <w:rPr>
          <w:rFonts w:cs="Arial"/>
        </w:rPr>
        <w:t xml:space="preserve"> Australian Law Reform Commission, </w:t>
      </w:r>
      <w:r w:rsidRPr="009B5AFA">
        <w:rPr>
          <w:rFonts w:cs="Arial"/>
          <w:i/>
        </w:rPr>
        <w:t>Secrecy Laws and Open Government in Australia</w:t>
      </w:r>
      <w:r w:rsidRPr="009B5AFA">
        <w:rPr>
          <w:rFonts w:cs="Arial"/>
        </w:rPr>
        <w:t xml:space="preserve">. Report No 112 (2010). </w:t>
      </w:r>
      <w:r>
        <w:rPr>
          <w:rFonts w:cs="Arial"/>
        </w:rPr>
        <w:t xml:space="preserve">At </w:t>
      </w:r>
      <w:hyperlink r:id="rId179" w:history="1">
        <w:r w:rsidRPr="00C42601">
          <w:rPr>
            <w:rStyle w:val="Hyperlink"/>
            <w:rFonts w:cs="Arial"/>
          </w:rPr>
          <w:t>http://www.alrc.gov.au/sites/default/files/pdfs/publications/ALRC112.pdf</w:t>
        </w:r>
      </w:hyperlink>
      <w:r>
        <w:rPr>
          <w:rFonts w:cs="Arial"/>
        </w:rPr>
        <w:t xml:space="preserve"> (</w:t>
      </w:r>
      <w:r w:rsidRPr="00BF602B">
        <w:rPr>
          <w:rFonts w:cs="Arial"/>
        </w:rPr>
        <w:t xml:space="preserve">viewed </w:t>
      </w:r>
      <w:r>
        <w:rPr>
          <w:rFonts w:cs="Arial"/>
        </w:rPr>
        <w:t xml:space="preserve">11 September 2017). </w:t>
      </w:r>
    </w:p>
  </w:endnote>
  <w:endnote w:id="140">
    <w:p w14:paraId="6DDCAB27" w14:textId="77777777" w:rsidR="003126E0" w:rsidRPr="004945F9" w:rsidRDefault="003126E0">
      <w:pPr>
        <w:pStyle w:val="EndnoteText"/>
      </w:pPr>
      <w:r>
        <w:rPr>
          <w:rStyle w:val="EndnoteReference"/>
        </w:rPr>
        <w:endnoteRef/>
      </w:r>
      <w:r>
        <w:t xml:space="preserve"> Australian Human Rights Commission, Submission No 13 to the Senate Legal and Constitutional Affairs Legislation Committee, </w:t>
      </w:r>
      <w:r>
        <w:rPr>
          <w:i/>
        </w:rPr>
        <w:t>Inquiry into the Australian Border Force Amendment (Protected Information) Bill 2017 (Cth)</w:t>
      </w:r>
      <w:r>
        <w:t xml:space="preserve">, 1 September 2017, 4-5. At </w:t>
      </w:r>
      <w:hyperlink r:id="rId180" w:history="1">
        <w:r w:rsidRPr="008D5AA8">
          <w:rPr>
            <w:rStyle w:val="Hyperlink"/>
          </w:rPr>
          <w:t>http://www.aph.gov.au/DocumentStore.ashx?id=5e83eea9-a66e-4020-8b07-ddb15086fdf0&amp;subId=515858</w:t>
        </w:r>
      </w:hyperlink>
      <w:r>
        <w:t xml:space="preserve"> (</w:t>
      </w:r>
      <w:r w:rsidRPr="00BF602B">
        <w:rPr>
          <w:rFonts w:cs="Arial"/>
        </w:rPr>
        <w:t xml:space="preserve">viewed </w:t>
      </w:r>
      <w:r>
        <w:rPr>
          <w:rFonts w:cs="Arial"/>
        </w:rPr>
        <w:t>11 September 2017</w:t>
      </w:r>
      <w:r>
        <w:t>).</w:t>
      </w:r>
    </w:p>
  </w:endnote>
  <w:endnote w:id="141">
    <w:p w14:paraId="459EF798" w14:textId="58729778" w:rsidR="003126E0" w:rsidRPr="00892424" w:rsidRDefault="003126E0" w:rsidP="00324D76">
      <w:pPr>
        <w:pStyle w:val="EndnoteText"/>
        <w:rPr>
          <w:rFonts w:cs="Arial"/>
        </w:rPr>
      </w:pPr>
      <w:r w:rsidRPr="00892424">
        <w:rPr>
          <w:rStyle w:val="EndnoteReference"/>
          <w:rFonts w:cs="Arial"/>
        </w:rPr>
        <w:endnoteRef/>
      </w:r>
      <w:r w:rsidRPr="00892424">
        <w:rPr>
          <w:rFonts w:cs="Arial"/>
        </w:rPr>
        <w:t xml:space="preserve"> </w:t>
      </w:r>
      <w:r w:rsidRPr="00892424">
        <w:rPr>
          <w:rFonts w:cs="Arial"/>
          <w:i/>
        </w:rPr>
        <w:t xml:space="preserve">Workplaces (Protection from Protesters) Act 2014 </w:t>
      </w:r>
      <w:r w:rsidRPr="00892424">
        <w:rPr>
          <w:rFonts w:cs="Arial"/>
        </w:rPr>
        <w:t xml:space="preserve">(Tas). The </w:t>
      </w:r>
      <w:r>
        <w:rPr>
          <w:rFonts w:cs="Arial"/>
        </w:rPr>
        <w:t>C</w:t>
      </w:r>
      <w:r w:rsidRPr="00892424">
        <w:rPr>
          <w:rFonts w:cs="Arial"/>
        </w:rPr>
        <w:t>ommission notes that the constitutional validity of aspects of this Act are currently being considered by the High Court of Australia</w:t>
      </w:r>
      <w:r>
        <w:rPr>
          <w:rFonts w:cs="Arial"/>
        </w:rPr>
        <w:t xml:space="preserve"> in </w:t>
      </w:r>
      <w:r w:rsidRPr="009B5AFA">
        <w:rPr>
          <w:rFonts w:cs="Arial"/>
          <w:i/>
        </w:rPr>
        <w:t>Brown &amp; Anor v. The State of Tasmania</w:t>
      </w:r>
      <w:r>
        <w:rPr>
          <w:rFonts w:cs="Arial"/>
        </w:rPr>
        <w:t xml:space="preserve"> (Case H3/2016) .</w:t>
      </w:r>
      <w:r w:rsidRPr="00892424">
        <w:rPr>
          <w:rFonts w:cs="Arial"/>
        </w:rPr>
        <w:t xml:space="preserve"> In Western Australia, the </w:t>
      </w:r>
      <w:r w:rsidRPr="00DE3EF0">
        <w:rPr>
          <w:rFonts w:cs="Arial"/>
        </w:rPr>
        <w:t>Criminal Code Amendment (Prevention of lawful activity) Bill 2015</w:t>
      </w:r>
      <w:r w:rsidRPr="00892424">
        <w:rPr>
          <w:rFonts w:cs="Arial"/>
          <w:i/>
        </w:rPr>
        <w:t xml:space="preserve"> </w:t>
      </w:r>
      <w:r w:rsidRPr="00892424">
        <w:rPr>
          <w:rFonts w:cs="Arial"/>
        </w:rPr>
        <w:t xml:space="preserve">(WA) was introduced into Parliament but has not yet passed into law.  </w:t>
      </w:r>
    </w:p>
  </w:endnote>
  <w:endnote w:id="142">
    <w:p w14:paraId="7E8D68F1" w14:textId="77777777" w:rsidR="003126E0" w:rsidRPr="00892424" w:rsidRDefault="003126E0" w:rsidP="00324D76">
      <w:pPr>
        <w:pStyle w:val="EndnoteText"/>
        <w:rPr>
          <w:rFonts w:cs="Arial"/>
        </w:rPr>
      </w:pPr>
      <w:r w:rsidRPr="00892424">
        <w:rPr>
          <w:rStyle w:val="EndnoteReference"/>
          <w:rFonts w:cs="Arial"/>
        </w:rPr>
        <w:endnoteRef/>
      </w:r>
      <w:r w:rsidRPr="00892424">
        <w:rPr>
          <w:rFonts w:cs="Arial"/>
        </w:rPr>
        <w:t xml:space="preserve"> </w:t>
      </w:r>
      <w:r w:rsidRPr="00892424">
        <w:rPr>
          <w:rFonts w:cs="Arial"/>
          <w:i/>
        </w:rPr>
        <w:t xml:space="preserve">G20 (Safety and Security) Act 2013 </w:t>
      </w:r>
      <w:r w:rsidRPr="00892424">
        <w:rPr>
          <w:rFonts w:cs="Arial"/>
        </w:rPr>
        <w:t xml:space="preserve">(Qld). This Act created a special security area over Brisbane and covered many homes and businesses. Police were permitted to stop and search any person within the security area for any reason without the requirement of reasonable suspicion before a search. See </w:t>
      </w:r>
      <w:r>
        <w:rPr>
          <w:rFonts w:cs="Arial"/>
        </w:rPr>
        <w:t xml:space="preserve">Human Rights Law Centre, </w:t>
      </w:r>
      <w:r>
        <w:rPr>
          <w:rFonts w:cs="Arial"/>
          <w:i/>
        </w:rPr>
        <w:t xml:space="preserve">Safeguarding </w:t>
      </w:r>
      <w:r w:rsidRPr="000274A0">
        <w:rPr>
          <w:rFonts w:cs="Arial"/>
          <w:i/>
        </w:rPr>
        <w:t>Democracy</w:t>
      </w:r>
      <w:r>
        <w:rPr>
          <w:rFonts w:cs="Arial"/>
        </w:rPr>
        <w:t xml:space="preserve"> (February 2016) 22. At </w:t>
      </w:r>
      <w:hyperlink r:id="rId181" w:history="1">
        <w:r w:rsidRPr="00C42601">
          <w:rPr>
            <w:rStyle w:val="Hyperlink"/>
            <w:rFonts w:cs="Arial"/>
          </w:rPr>
          <w:t>http://static1.squarespace.com/static/580025f66b8f5b2dabbe4291/5812996f1dd4540186f54894/581299ee1dd4540186f55760/1477614062728/HRLC_Report_SafeguardingDemocracy_online.pdf?format=original</w:t>
        </w:r>
      </w:hyperlink>
      <w:r w:rsidRPr="000274A0">
        <w:rPr>
          <w:rFonts w:cs="Arial"/>
        </w:rPr>
        <w:t xml:space="preserve"> (</w:t>
      </w:r>
      <w:r w:rsidRPr="00BF602B">
        <w:rPr>
          <w:rFonts w:cs="Arial"/>
        </w:rPr>
        <w:t xml:space="preserve">viewed </w:t>
      </w:r>
      <w:r>
        <w:rPr>
          <w:rFonts w:cs="Arial"/>
        </w:rPr>
        <w:t>11 September 2017</w:t>
      </w:r>
      <w:r w:rsidRPr="000274A0">
        <w:rPr>
          <w:rFonts w:cs="Arial"/>
        </w:rPr>
        <w:t>).</w:t>
      </w:r>
      <w:r w:rsidRPr="00892424">
        <w:rPr>
          <w:rFonts w:cs="Arial"/>
        </w:rPr>
        <w:t xml:space="preserve"> </w:t>
      </w:r>
    </w:p>
  </w:endnote>
  <w:endnote w:id="143">
    <w:p w14:paraId="11FFE6E1" w14:textId="3F29C6B0" w:rsidR="003126E0" w:rsidRPr="00892424" w:rsidRDefault="003126E0" w:rsidP="00320E2E">
      <w:pPr>
        <w:pStyle w:val="EndnoteText"/>
        <w:rPr>
          <w:rFonts w:cs="Arial"/>
        </w:rPr>
      </w:pPr>
      <w:r w:rsidRPr="00892424">
        <w:rPr>
          <w:rStyle w:val="EndnoteReference"/>
          <w:rFonts w:cs="Arial"/>
        </w:rPr>
        <w:endnoteRef/>
      </w:r>
      <w:r w:rsidRPr="00892424">
        <w:rPr>
          <w:rFonts w:cs="Arial"/>
        </w:rPr>
        <w:t xml:space="preserve"> The </w:t>
      </w:r>
      <w:r>
        <w:rPr>
          <w:rFonts w:cs="Arial"/>
        </w:rPr>
        <w:t>National Partnership Agreement</w:t>
      </w:r>
      <w:r w:rsidRPr="00892424">
        <w:rPr>
          <w:rFonts w:cs="Arial"/>
        </w:rPr>
        <w:t xml:space="preserve"> governs CLC funding and expressly prohibits Government funding from being used to undertake law reform, policy or advocacy work including lobbying governments or engaging in public campaigns, with limited exceptions. See Council of Australian Governments, National Partnership Agreement on Legal Services (2015), Ge</w:t>
      </w:r>
      <w:r>
        <w:rPr>
          <w:rFonts w:cs="Arial"/>
        </w:rPr>
        <w:t xml:space="preserve">neral Principle B7. At </w:t>
      </w:r>
      <w:hyperlink r:id="rId182" w:history="1">
        <w:r w:rsidRPr="00C42601">
          <w:rPr>
            <w:rStyle w:val="Hyperlink"/>
            <w:rFonts w:cs="Arial"/>
          </w:rPr>
          <w:t>https://www.ag.gov.au/LegalSystem/Legalaidprogrammes/Documents/NationalPartnershipAgreementOnLegalServices.pdf</w:t>
        </w:r>
      </w:hyperlink>
      <w:r w:rsidRPr="00E135CD">
        <w:rPr>
          <w:rFonts w:cs="Arial"/>
        </w:rPr>
        <w:t xml:space="preserve">  (</w:t>
      </w:r>
      <w:r w:rsidRPr="00BF602B">
        <w:rPr>
          <w:rFonts w:cs="Arial"/>
        </w:rPr>
        <w:t xml:space="preserve">viewed </w:t>
      </w:r>
      <w:r>
        <w:rPr>
          <w:rFonts w:cs="Arial"/>
        </w:rPr>
        <w:t>11 September 2017</w:t>
      </w:r>
      <w:r w:rsidRPr="00E135CD">
        <w:rPr>
          <w:rFonts w:cs="Arial"/>
        </w:rPr>
        <w:t xml:space="preserve">).  See Human Rights Law Centre, </w:t>
      </w:r>
      <w:r w:rsidRPr="00E135CD">
        <w:rPr>
          <w:rFonts w:cs="Arial"/>
          <w:i/>
        </w:rPr>
        <w:t xml:space="preserve">Defending Democracy: Safeguarding independent community voices </w:t>
      </w:r>
      <w:r w:rsidRPr="00E135CD">
        <w:rPr>
          <w:rFonts w:cs="Arial"/>
        </w:rPr>
        <w:t xml:space="preserve">(June 2017) 4. At </w:t>
      </w:r>
      <w:hyperlink r:id="rId183" w:history="1">
        <w:r w:rsidRPr="00E135CD">
          <w:rPr>
            <w:rStyle w:val="Hyperlink"/>
            <w:rFonts w:cs="Arial"/>
          </w:rPr>
          <w:t>https://static1.squarespace.com/static/580025f66b8f5b2dabbe4291/t/5936933d579fb38a23dc2eda/1496748893178/DefendingDemocracy_online_June2017.pdf</w:t>
        </w:r>
      </w:hyperlink>
      <w:r w:rsidRPr="00E135CD">
        <w:rPr>
          <w:rFonts w:cs="Arial"/>
        </w:rPr>
        <w:t xml:space="preserve"> (</w:t>
      </w:r>
      <w:r w:rsidRPr="00BF602B">
        <w:rPr>
          <w:rFonts w:cs="Arial"/>
        </w:rPr>
        <w:t xml:space="preserve">viewed </w:t>
      </w:r>
      <w:r>
        <w:rPr>
          <w:rFonts w:cs="Arial"/>
        </w:rPr>
        <w:t>11 September 2017</w:t>
      </w:r>
      <w:r w:rsidRPr="00E135CD">
        <w:rPr>
          <w:rFonts w:cs="Arial"/>
        </w:rPr>
        <w:t>).</w:t>
      </w:r>
    </w:p>
  </w:endnote>
  <w:endnote w:id="144">
    <w:p w14:paraId="21490CFF" w14:textId="34B704BE" w:rsidR="003126E0" w:rsidRPr="00892424" w:rsidRDefault="003126E0" w:rsidP="00320E2E">
      <w:pPr>
        <w:pStyle w:val="EndnoteText"/>
        <w:rPr>
          <w:rFonts w:cs="Arial"/>
        </w:rPr>
      </w:pPr>
      <w:r w:rsidRPr="00892424">
        <w:rPr>
          <w:rStyle w:val="EndnoteReference"/>
          <w:rFonts w:cs="Arial"/>
        </w:rPr>
        <w:endnoteRef/>
      </w:r>
      <w:r>
        <w:rPr>
          <w:rFonts w:cs="Arial"/>
        </w:rPr>
        <w:t xml:space="preserve"> See, for example, </w:t>
      </w:r>
      <w:r w:rsidRPr="00892424">
        <w:rPr>
          <w:rFonts w:cs="Arial"/>
        </w:rPr>
        <w:t>Joint Standing Committee on Electoral Matters,</w:t>
      </w:r>
      <w:r>
        <w:rPr>
          <w:rFonts w:cs="Arial"/>
        </w:rPr>
        <w:t xml:space="preserve"> Parliament of Australia, </w:t>
      </w:r>
      <w:r>
        <w:rPr>
          <w:rFonts w:cs="Arial"/>
          <w:i/>
        </w:rPr>
        <w:t>Second interim report on the inquiry into the conduct of the 2016 federal election: Foreign Donations</w:t>
      </w:r>
      <w:r>
        <w:rPr>
          <w:rFonts w:cs="Arial"/>
        </w:rPr>
        <w:t xml:space="preserve"> (2</w:t>
      </w:r>
      <w:r w:rsidRPr="00892424">
        <w:rPr>
          <w:rFonts w:cs="Arial"/>
        </w:rPr>
        <w:t>017</w:t>
      </w:r>
      <w:r>
        <w:rPr>
          <w:rFonts w:cs="Arial"/>
        </w:rPr>
        <w:t>)</w:t>
      </w:r>
      <w:r w:rsidRPr="00892424">
        <w:rPr>
          <w:rFonts w:cs="Arial"/>
        </w:rPr>
        <w:t xml:space="preserve">, </w:t>
      </w:r>
      <w:r>
        <w:rPr>
          <w:rFonts w:cs="Arial"/>
        </w:rPr>
        <w:t>r</w:t>
      </w:r>
      <w:r w:rsidRPr="00892424">
        <w:rPr>
          <w:rFonts w:cs="Arial"/>
        </w:rPr>
        <w:t>ecommendation 4,</w:t>
      </w:r>
      <w:r>
        <w:rPr>
          <w:rFonts w:cs="Arial"/>
        </w:rPr>
        <w:t xml:space="preserve"> 40 </w:t>
      </w:r>
      <w:r w:rsidRPr="00892424">
        <w:rPr>
          <w:rFonts w:cs="Arial"/>
        </w:rPr>
        <w:t>[3.76].</w:t>
      </w:r>
      <w:r>
        <w:rPr>
          <w:rFonts w:cs="Arial"/>
        </w:rPr>
        <w:t xml:space="preserve"> At </w:t>
      </w:r>
      <w:hyperlink r:id="rId184" w:history="1">
        <w:r w:rsidRPr="007B2245">
          <w:rPr>
            <w:rStyle w:val="Hyperlink"/>
            <w:rFonts w:cs="Arial"/>
          </w:rPr>
          <w:t>http://parlinfo.aph.gov.au/parlInfo/download/committees/reportjnt/024053/toc_pdf/Secondinterimreportontheinquiryintotheconductofthe2016federalelectionForeignDonations.pdf;fileType=application%2Fpdf</w:t>
        </w:r>
      </w:hyperlink>
      <w:r>
        <w:rPr>
          <w:rFonts w:cs="Arial"/>
        </w:rPr>
        <w:t xml:space="preserve"> (viewed 11 September 2017);</w:t>
      </w:r>
      <w:r w:rsidRPr="00892424">
        <w:rPr>
          <w:rFonts w:cs="Arial"/>
        </w:rPr>
        <w:t xml:space="preserve"> </w:t>
      </w:r>
      <w:r>
        <w:rPr>
          <w:rFonts w:cs="Arial"/>
        </w:rPr>
        <w:t xml:space="preserve">See </w:t>
      </w:r>
      <w:r w:rsidRPr="00E135CD">
        <w:rPr>
          <w:rFonts w:cs="Arial"/>
        </w:rPr>
        <w:t xml:space="preserve">Human Rights Law Centre, </w:t>
      </w:r>
      <w:r w:rsidRPr="00E135CD">
        <w:rPr>
          <w:rFonts w:cs="Arial"/>
          <w:i/>
        </w:rPr>
        <w:t xml:space="preserve">Defending Democracy: Safeguarding independent community voices </w:t>
      </w:r>
      <w:r w:rsidRPr="00E135CD">
        <w:rPr>
          <w:rFonts w:cs="Arial"/>
        </w:rPr>
        <w:t xml:space="preserve">(June 2017) </w:t>
      </w:r>
      <w:r>
        <w:rPr>
          <w:rFonts w:cs="Arial"/>
        </w:rPr>
        <w:t>7</w:t>
      </w:r>
      <w:r w:rsidRPr="00E135CD">
        <w:rPr>
          <w:rFonts w:cs="Arial"/>
        </w:rPr>
        <w:t xml:space="preserve">. At </w:t>
      </w:r>
      <w:hyperlink r:id="rId185" w:history="1">
        <w:r w:rsidRPr="00E135CD">
          <w:rPr>
            <w:rStyle w:val="Hyperlink"/>
            <w:rFonts w:cs="Arial"/>
          </w:rPr>
          <w:t>https://static1.squarespace.com/static/580025f66b8f5b2dabbe4291/t/5936933d579fb38a23dc2eda/1496748893178/DefendingDemocracy_online_June2017.pdf</w:t>
        </w:r>
      </w:hyperlink>
      <w:r w:rsidRPr="00E135CD">
        <w:rPr>
          <w:rFonts w:cs="Arial"/>
        </w:rPr>
        <w:t xml:space="preserve"> (</w:t>
      </w:r>
      <w:r w:rsidRPr="00BF602B">
        <w:rPr>
          <w:rFonts w:cs="Arial"/>
        </w:rPr>
        <w:t xml:space="preserve">viewed </w:t>
      </w:r>
      <w:r>
        <w:rPr>
          <w:rFonts w:cs="Arial"/>
        </w:rPr>
        <w:t>11 September 2017</w:t>
      </w:r>
      <w:r w:rsidRPr="00E135CD">
        <w:rPr>
          <w:rFonts w:cs="Arial"/>
        </w:rPr>
        <w:t>).</w:t>
      </w:r>
    </w:p>
  </w:endnote>
  <w:endnote w:id="145">
    <w:p w14:paraId="0A846284" w14:textId="77777777" w:rsidR="003126E0" w:rsidRPr="008A17CC" w:rsidRDefault="003126E0" w:rsidP="00324D76">
      <w:pPr>
        <w:pStyle w:val="EndnoteText"/>
        <w:rPr>
          <w:rFonts w:cs="Arial"/>
        </w:rPr>
      </w:pPr>
      <w:r w:rsidRPr="008A17CC">
        <w:rPr>
          <w:rStyle w:val="EndnoteReference"/>
          <w:rFonts w:cs="Arial"/>
        </w:rPr>
        <w:endnoteRef/>
      </w:r>
      <w:r w:rsidRPr="008A17CC">
        <w:rPr>
          <w:rFonts w:cs="Arial"/>
        </w:rPr>
        <w:t xml:space="preserve"> Australian Law Reform Commission, </w:t>
      </w:r>
      <w:r w:rsidRPr="008A17CC">
        <w:rPr>
          <w:rFonts w:cs="Arial"/>
          <w:i/>
        </w:rPr>
        <w:t xml:space="preserve">Traditional Rights and Freedoms – Encroachments by Commonwealth Laws (Final Report) </w:t>
      </w:r>
      <w:r w:rsidRPr="008A17CC">
        <w:rPr>
          <w:rFonts w:cs="Arial"/>
        </w:rPr>
        <w:t xml:space="preserve">(2016). At </w:t>
      </w:r>
      <w:hyperlink r:id="rId186" w:history="1">
        <w:r w:rsidRPr="008A17CC">
          <w:rPr>
            <w:rStyle w:val="Hyperlink"/>
            <w:rFonts w:cs="Arial"/>
          </w:rPr>
          <w:t>https://www.alrc.gov.au/sites/default/files/pdfs/publications/alrc_129_final_report_.pdf</w:t>
        </w:r>
      </w:hyperlink>
      <w:r w:rsidRPr="008A17CC">
        <w:rPr>
          <w:rFonts w:cs="Arial"/>
        </w:rPr>
        <w:t xml:space="preserve"> (</w:t>
      </w:r>
      <w:r w:rsidRPr="00BF602B">
        <w:rPr>
          <w:rFonts w:cs="Arial"/>
        </w:rPr>
        <w:t xml:space="preserve">viewed </w:t>
      </w:r>
      <w:r>
        <w:rPr>
          <w:rFonts w:cs="Arial"/>
        </w:rPr>
        <w:t>11 September 2017</w:t>
      </w:r>
      <w:r w:rsidRPr="008A17CC">
        <w:rPr>
          <w:rFonts w:cs="Arial"/>
        </w:rPr>
        <w:t>).</w:t>
      </w:r>
    </w:p>
  </w:endnote>
  <w:endnote w:id="146">
    <w:p w14:paraId="13C40732" w14:textId="77777777" w:rsidR="003126E0" w:rsidRPr="008A17CC" w:rsidRDefault="003126E0" w:rsidP="004269FB">
      <w:pPr>
        <w:pStyle w:val="EndnoteText"/>
        <w:rPr>
          <w:rFonts w:cs="Arial"/>
        </w:rPr>
      </w:pPr>
      <w:r w:rsidRPr="008A17CC">
        <w:rPr>
          <w:rStyle w:val="EndnoteReference"/>
          <w:rFonts w:cs="Arial"/>
        </w:rPr>
        <w:endnoteRef/>
      </w:r>
      <w:r w:rsidRPr="008A17CC">
        <w:rPr>
          <w:rFonts w:cs="Arial"/>
        </w:rPr>
        <w:t xml:space="preserve"> Parliamentary Joint Committee on Human Rights, Parliament of Australia, </w:t>
      </w:r>
      <w:r w:rsidRPr="008A17CC">
        <w:rPr>
          <w:rFonts w:cs="Arial"/>
          <w:i/>
        </w:rPr>
        <w:t xml:space="preserve">Freedom of speech in Australia: Inquiry into the operation of Part IIA of the Racial Discrimination Act 195 (Cth) and related procedures under the Australian Human Rights Commission Act 1986 (Cth) </w:t>
      </w:r>
      <w:r w:rsidRPr="008A17CC">
        <w:rPr>
          <w:rFonts w:cs="Arial"/>
        </w:rPr>
        <w:t xml:space="preserve">(2017). At </w:t>
      </w:r>
      <w:hyperlink r:id="rId187" w:history="1">
        <w:r w:rsidRPr="008A17CC">
          <w:rPr>
            <w:rStyle w:val="Hyperlink"/>
            <w:rFonts w:cs="Arial"/>
          </w:rPr>
          <w:t>http://www.aph.gov.au/Parliamentary_Business/Committees/Joint/Human_Rights_inquiries/FreedomspeechAustralia/Report</w:t>
        </w:r>
      </w:hyperlink>
      <w:r w:rsidRPr="008A17CC">
        <w:rPr>
          <w:rFonts w:cs="Arial"/>
        </w:rPr>
        <w:t xml:space="preserve"> (</w:t>
      </w:r>
      <w:r w:rsidRPr="00BF602B">
        <w:rPr>
          <w:rFonts w:cs="Arial"/>
        </w:rPr>
        <w:t xml:space="preserve">viewed </w:t>
      </w:r>
      <w:r>
        <w:rPr>
          <w:rFonts w:cs="Arial"/>
        </w:rPr>
        <w:t>11 September 2017</w:t>
      </w:r>
      <w:r w:rsidRPr="008A17CC">
        <w:rPr>
          <w:rFonts w:cs="Arial"/>
        </w:rPr>
        <w:t>).</w:t>
      </w:r>
    </w:p>
  </w:endnote>
  <w:endnote w:id="147">
    <w:p w14:paraId="6254C734" w14:textId="77777777" w:rsidR="003126E0" w:rsidRPr="00892424" w:rsidRDefault="003126E0" w:rsidP="00324D76">
      <w:pPr>
        <w:pStyle w:val="EndnoteText"/>
        <w:rPr>
          <w:rFonts w:cs="Arial"/>
        </w:rPr>
      </w:pPr>
      <w:r w:rsidRPr="008A17CC">
        <w:rPr>
          <w:rStyle w:val="EndnoteReference"/>
          <w:rFonts w:cs="Arial"/>
        </w:rPr>
        <w:endnoteRef/>
      </w:r>
      <w:r w:rsidRPr="008A17CC">
        <w:rPr>
          <w:rFonts w:cs="Arial"/>
        </w:rPr>
        <w:t xml:space="preserve"> Senate Legal and Constitutional Affairs Committee, </w:t>
      </w:r>
      <w:r w:rsidRPr="008A17CC">
        <w:rPr>
          <w:rFonts w:cs="Arial"/>
          <w:i/>
        </w:rPr>
        <w:t xml:space="preserve">Inquiry into Law of Contempt </w:t>
      </w:r>
      <w:r w:rsidRPr="008A17CC">
        <w:rPr>
          <w:rFonts w:cs="Arial"/>
        </w:rPr>
        <w:t xml:space="preserve">(2017), Parliament of Australia. At </w:t>
      </w:r>
      <w:hyperlink r:id="rId188" w:history="1">
        <w:r w:rsidRPr="008A17CC">
          <w:rPr>
            <w:rStyle w:val="Hyperlink"/>
            <w:rFonts w:cs="Arial"/>
          </w:rPr>
          <w:t>http://www.aph.gov.au/Parliamentary_Business/Committees/Senate/Legal_and_Constitutional_Affairs/LawofContempt</w:t>
        </w:r>
      </w:hyperlink>
      <w:r w:rsidRPr="008A17CC">
        <w:rPr>
          <w:rFonts w:cs="Arial"/>
        </w:rPr>
        <w:t xml:space="preserve"> (</w:t>
      </w:r>
      <w:r w:rsidRPr="00BF602B">
        <w:rPr>
          <w:rFonts w:cs="Arial"/>
        </w:rPr>
        <w:t xml:space="preserve">viewed </w:t>
      </w:r>
      <w:r>
        <w:rPr>
          <w:rFonts w:cs="Arial"/>
        </w:rPr>
        <w:t>11 September 2017</w:t>
      </w:r>
      <w:r w:rsidRPr="008A17CC">
        <w:rPr>
          <w:rFonts w:cs="Arial"/>
        </w:rPr>
        <w:t>).</w:t>
      </w:r>
    </w:p>
  </w:endnote>
  <w:endnote w:id="148">
    <w:p w14:paraId="696AFF03" w14:textId="77777777" w:rsidR="003126E0" w:rsidRPr="00892424" w:rsidRDefault="003126E0" w:rsidP="00866841">
      <w:pPr>
        <w:pStyle w:val="EndnoteText"/>
        <w:rPr>
          <w:rFonts w:cs="Arial"/>
        </w:rPr>
      </w:pPr>
      <w:r w:rsidRPr="00892424">
        <w:rPr>
          <w:rStyle w:val="EndnoteReference"/>
          <w:rFonts w:cs="Arial"/>
        </w:rPr>
        <w:endnoteRef/>
      </w:r>
      <w:r>
        <w:rPr>
          <w:rFonts w:cs="Arial"/>
        </w:rPr>
        <w:t xml:space="preserve"> This includes </w:t>
      </w:r>
      <w:r w:rsidRPr="00892424">
        <w:rPr>
          <w:rFonts w:cs="Arial"/>
        </w:rPr>
        <w:t>offences relating to advocating terrorism; prescribed terrorist organisations; using a postal service to menace, harass or cause offence; and incitement and conspiracy laws</w:t>
      </w:r>
    </w:p>
  </w:endnote>
  <w:endnote w:id="149">
    <w:p w14:paraId="48C61039" w14:textId="77777777" w:rsidR="003126E0" w:rsidRPr="00892424" w:rsidRDefault="003126E0" w:rsidP="00866841">
      <w:pPr>
        <w:pStyle w:val="EndnoteText"/>
        <w:rPr>
          <w:rFonts w:cs="Arial"/>
        </w:rPr>
      </w:pPr>
      <w:r w:rsidRPr="00892424">
        <w:rPr>
          <w:rStyle w:val="EndnoteReference"/>
          <w:rFonts w:cs="Arial"/>
        </w:rPr>
        <w:endnoteRef/>
      </w:r>
      <w:r w:rsidRPr="00892424">
        <w:rPr>
          <w:rFonts w:cs="Arial"/>
        </w:rPr>
        <w:t xml:space="preserve"> </w:t>
      </w:r>
      <w:r>
        <w:rPr>
          <w:rFonts w:cs="Arial"/>
        </w:rPr>
        <w:t xml:space="preserve">This includes </w:t>
      </w:r>
      <w:r w:rsidRPr="00892424">
        <w:rPr>
          <w:rFonts w:cs="Arial"/>
        </w:rPr>
        <w:t xml:space="preserve">laws that impose criminal sanctions for breaches of secrecy or confidentiality obligations such as Part 6 of the </w:t>
      </w:r>
      <w:r w:rsidRPr="00892424">
        <w:rPr>
          <w:rFonts w:cs="Arial"/>
          <w:i/>
        </w:rPr>
        <w:t xml:space="preserve">Australian Border Force Act 2015 </w:t>
      </w:r>
      <w:r w:rsidRPr="00892424">
        <w:rPr>
          <w:rFonts w:cs="Arial"/>
        </w:rPr>
        <w:t xml:space="preserve">(Cth) and section 35P of the </w:t>
      </w:r>
      <w:r w:rsidRPr="00892424">
        <w:rPr>
          <w:rFonts w:cs="Arial"/>
          <w:i/>
        </w:rPr>
        <w:t xml:space="preserve">Australian Security Intelligence Organisation Act 1979 </w:t>
      </w:r>
      <w:r w:rsidRPr="00892424">
        <w:rPr>
          <w:rFonts w:cs="Arial"/>
        </w:rPr>
        <w:t>(Cth).</w:t>
      </w:r>
    </w:p>
  </w:endnote>
  <w:endnote w:id="150">
    <w:p w14:paraId="71693764" w14:textId="77777777" w:rsidR="003126E0" w:rsidRPr="00892424" w:rsidRDefault="003126E0" w:rsidP="00866841">
      <w:pPr>
        <w:pStyle w:val="EndnoteText"/>
        <w:rPr>
          <w:rFonts w:cs="Arial"/>
        </w:rPr>
      </w:pPr>
      <w:r w:rsidRPr="00892424">
        <w:rPr>
          <w:rStyle w:val="EndnoteReference"/>
          <w:rFonts w:cs="Arial"/>
        </w:rPr>
        <w:endnoteRef/>
      </w:r>
      <w:r w:rsidRPr="00892424">
        <w:rPr>
          <w:rFonts w:cs="Arial"/>
        </w:rPr>
        <w:t xml:space="preserve"> </w:t>
      </w:r>
      <w:r>
        <w:rPr>
          <w:rFonts w:cs="Arial"/>
        </w:rPr>
        <w:t xml:space="preserve">This includes </w:t>
      </w:r>
      <w:r w:rsidRPr="00892424">
        <w:rPr>
          <w:rFonts w:cs="Arial"/>
        </w:rPr>
        <w:t>laws against secondary boycotts and laws preventing charities from promoting or opposing a political party or a candidate for political office.</w:t>
      </w:r>
    </w:p>
  </w:endnote>
  <w:endnote w:id="151">
    <w:p w14:paraId="6C7EEB9D" w14:textId="67C7E836" w:rsidR="003126E0" w:rsidRPr="00892424" w:rsidRDefault="003126E0">
      <w:pPr>
        <w:pStyle w:val="EndnoteText"/>
        <w:rPr>
          <w:rFonts w:cs="Arial"/>
        </w:rPr>
      </w:pPr>
      <w:r w:rsidRPr="00892424">
        <w:rPr>
          <w:rStyle w:val="EndnoteReference"/>
          <w:rFonts w:cs="Arial"/>
        </w:rPr>
        <w:endnoteRef/>
      </w:r>
      <w:r w:rsidRPr="00892424">
        <w:rPr>
          <w:rFonts w:cs="Arial"/>
        </w:rPr>
        <w:t xml:space="preserve"> </w:t>
      </w:r>
      <w:r w:rsidRPr="002D2AC4">
        <w:t>Victoria Tauli-Corpuz</w:t>
      </w:r>
      <w:r>
        <w:t>,</w:t>
      </w:r>
      <w:r w:rsidRPr="002D2AC4">
        <w:t xml:space="preserve"> </w:t>
      </w:r>
      <w:r>
        <w:t xml:space="preserve">United Nations Special Rapporteur on the rights of indigenous peoples, </w:t>
      </w:r>
      <w:r>
        <w:rPr>
          <w:i/>
        </w:rPr>
        <w:t xml:space="preserve">End of Mission Statement by the United Nations Special Rapporteur on the rights of indigenous peoples, Victoria Tauli-Corpuz on her visit to Australia </w:t>
      </w:r>
      <w:r>
        <w:t xml:space="preserve">(2017). At </w:t>
      </w:r>
      <w:hyperlink r:id="rId189" w:history="1">
        <w:r w:rsidRPr="006D18FC">
          <w:rPr>
            <w:rStyle w:val="Hyperlink"/>
          </w:rPr>
          <w:t>http://www.ohchr.org/EN/NewsEvents/Pages/DisplayNews.aspx?NewsID=21473&amp;LangID=E</w:t>
        </w:r>
      </w:hyperlink>
      <w:r>
        <w:t xml:space="preserve"> (viewed 11 September 2017)</w:t>
      </w:r>
      <w:r w:rsidRPr="00892424">
        <w:rPr>
          <w:rFonts w:cs="Arial"/>
        </w:rPr>
        <w:t>.</w:t>
      </w:r>
    </w:p>
  </w:endnote>
  <w:endnote w:id="152">
    <w:p w14:paraId="5C21E2A4" w14:textId="77777777" w:rsidR="003126E0" w:rsidRPr="00892424" w:rsidRDefault="003126E0" w:rsidP="000D4E69">
      <w:pPr>
        <w:pStyle w:val="EndnoteText"/>
        <w:rPr>
          <w:rFonts w:cs="Arial"/>
        </w:rPr>
      </w:pPr>
      <w:r w:rsidRPr="00892424">
        <w:rPr>
          <w:rStyle w:val="EndnoteReference"/>
          <w:rFonts w:cs="Arial"/>
        </w:rPr>
        <w:endnoteRef/>
      </w:r>
      <w:r w:rsidRPr="00892424">
        <w:rPr>
          <w:rFonts w:cs="Arial"/>
        </w:rPr>
        <w:t xml:space="preserve"> Andrew Markus, </w:t>
      </w:r>
      <w:r w:rsidRPr="00892424">
        <w:rPr>
          <w:rFonts w:cs="Arial"/>
          <w:i/>
        </w:rPr>
        <w:t>Australians Today: The Australia@2015 Scanlon Foundation Survey</w:t>
      </w:r>
      <w:r w:rsidRPr="00892424">
        <w:rPr>
          <w:rFonts w:cs="Arial"/>
        </w:rPr>
        <w:t xml:space="preserve"> (2016) Scanlon Foundation, Australian Multicultural Foundation and Monash University, 62. At </w:t>
      </w:r>
      <w:hyperlink r:id="rId190" w:history="1">
        <w:r w:rsidRPr="00892424">
          <w:rPr>
            <w:rStyle w:val="Hyperlink"/>
            <w:rFonts w:cs="Arial"/>
          </w:rPr>
          <w:t>http://scanlonfoundation.org.au/wp-content/uploads/2016/08/Australians-Today.pdf</w:t>
        </w:r>
      </w:hyperlink>
      <w:r w:rsidRPr="00892424">
        <w:rPr>
          <w:rFonts w:cs="Arial"/>
        </w:rPr>
        <w:t xml:space="preserve"> (</w:t>
      </w:r>
      <w:r w:rsidRPr="00BF602B">
        <w:rPr>
          <w:rFonts w:cs="Arial"/>
        </w:rPr>
        <w:t xml:space="preserve">viewed </w:t>
      </w:r>
      <w:r>
        <w:rPr>
          <w:rFonts w:cs="Arial"/>
        </w:rPr>
        <w:t>11 September 2017</w:t>
      </w:r>
      <w:r w:rsidRPr="00892424">
        <w:rPr>
          <w:rFonts w:cs="Arial"/>
        </w:rPr>
        <w:t>).</w:t>
      </w:r>
    </w:p>
  </w:endnote>
  <w:endnote w:id="153">
    <w:p w14:paraId="1B008A1E" w14:textId="77777777" w:rsidR="003126E0" w:rsidRPr="00892424" w:rsidRDefault="003126E0" w:rsidP="000D4E69">
      <w:pPr>
        <w:pStyle w:val="EndnoteText"/>
        <w:rPr>
          <w:rFonts w:cs="Arial"/>
        </w:rPr>
      </w:pPr>
      <w:r w:rsidRPr="00892424">
        <w:rPr>
          <w:rStyle w:val="EndnoteReference"/>
          <w:rFonts w:cs="Arial"/>
        </w:rPr>
        <w:endnoteRef/>
      </w:r>
      <w:r w:rsidRPr="00892424">
        <w:rPr>
          <w:rFonts w:cs="Arial"/>
        </w:rPr>
        <w:t xml:space="preserve"> Andrew Markus, </w:t>
      </w:r>
      <w:r w:rsidRPr="00892424">
        <w:rPr>
          <w:rFonts w:cs="Arial"/>
          <w:i/>
        </w:rPr>
        <w:t>Australians Today: The Australia@2015 Scanlon Foundation Survey</w:t>
      </w:r>
      <w:r w:rsidRPr="00892424">
        <w:rPr>
          <w:rFonts w:cs="Arial"/>
        </w:rPr>
        <w:t xml:space="preserve"> (2016) Scanlon Foundation, Australian Multicultural Foundation and Monash University, 78. At </w:t>
      </w:r>
      <w:hyperlink r:id="rId191" w:history="1">
        <w:r w:rsidRPr="00892424">
          <w:rPr>
            <w:rStyle w:val="Hyperlink"/>
            <w:rFonts w:cs="Arial"/>
          </w:rPr>
          <w:t>http://scanlonfoundation.org.au/wp-content/uploads/2016/08/Australians-Today.pdf</w:t>
        </w:r>
      </w:hyperlink>
      <w:r w:rsidRPr="00892424">
        <w:rPr>
          <w:rFonts w:cs="Arial"/>
        </w:rPr>
        <w:t xml:space="preserve"> (</w:t>
      </w:r>
      <w:r w:rsidRPr="00BF602B">
        <w:rPr>
          <w:rFonts w:cs="Arial"/>
        </w:rPr>
        <w:t xml:space="preserve">viewed </w:t>
      </w:r>
      <w:r>
        <w:rPr>
          <w:rFonts w:cs="Arial"/>
        </w:rPr>
        <w:t>11 September 2017</w:t>
      </w:r>
      <w:r w:rsidRPr="00892424">
        <w:rPr>
          <w:rFonts w:cs="Arial"/>
        </w:rPr>
        <w:t>).</w:t>
      </w:r>
    </w:p>
  </w:endnote>
  <w:endnote w:id="154">
    <w:p w14:paraId="7EBF60E2" w14:textId="77777777" w:rsidR="003126E0" w:rsidRPr="00892424" w:rsidRDefault="003126E0" w:rsidP="000D4E69">
      <w:pPr>
        <w:pStyle w:val="EndnoteText"/>
        <w:rPr>
          <w:rFonts w:cs="Arial"/>
        </w:rPr>
      </w:pPr>
      <w:r w:rsidRPr="00892424">
        <w:rPr>
          <w:rStyle w:val="EndnoteReference"/>
          <w:rFonts w:cs="Arial"/>
        </w:rPr>
        <w:endnoteRef/>
      </w:r>
      <w:r w:rsidRPr="00892424">
        <w:rPr>
          <w:rFonts w:cs="Arial"/>
        </w:rPr>
        <w:t xml:space="preserve"> Fethi Mansouri, </w:t>
      </w:r>
      <w:r w:rsidRPr="00892424">
        <w:rPr>
          <w:rFonts w:cs="Arial"/>
          <w:i/>
        </w:rPr>
        <w:t>The impact of racism upon the health and wellbeing of young Australians</w:t>
      </w:r>
      <w:r w:rsidRPr="00892424">
        <w:rPr>
          <w:rFonts w:cs="Arial"/>
        </w:rPr>
        <w:t xml:space="preserve"> (2009) Foundation for Young Australians and the Institute for Citizenship and Globalisation (Deakin University) 4. At </w:t>
      </w:r>
      <w:hyperlink r:id="rId192" w:history="1">
        <w:r w:rsidRPr="00892424">
          <w:rPr>
            <w:rStyle w:val="Hyperlink"/>
            <w:rFonts w:cs="Arial"/>
            <w:shd w:val="clear" w:color="auto" w:fill="FFFFFF"/>
          </w:rPr>
          <w:t>https://www.fya.org.au/app/theme/default/design/assets/publications/Impact_of_Racism_FYA_report.pdf</w:t>
        </w:r>
      </w:hyperlink>
      <w:r w:rsidRPr="00892424">
        <w:rPr>
          <w:rFonts w:cs="Arial"/>
          <w:color w:val="222222"/>
          <w:shd w:val="clear" w:color="auto" w:fill="FFFFFF"/>
        </w:rPr>
        <w:t xml:space="preserve"> (</w:t>
      </w:r>
      <w:r w:rsidRPr="00BF602B">
        <w:rPr>
          <w:rFonts w:cs="Arial"/>
        </w:rPr>
        <w:t xml:space="preserve">viewed </w:t>
      </w:r>
      <w:r>
        <w:rPr>
          <w:rFonts w:cs="Arial"/>
        </w:rPr>
        <w:t>11 September 2017</w:t>
      </w:r>
      <w:r w:rsidRPr="00892424">
        <w:rPr>
          <w:rFonts w:cs="Arial"/>
          <w:color w:val="222222"/>
          <w:shd w:val="clear" w:color="auto" w:fill="FFFFFF"/>
        </w:rPr>
        <w:t>).</w:t>
      </w:r>
    </w:p>
  </w:endnote>
  <w:endnote w:id="155">
    <w:p w14:paraId="0EF4C2F4" w14:textId="77777777" w:rsidR="003126E0" w:rsidRPr="008A17CC" w:rsidRDefault="003126E0" w:rsidP="000D4E69">
      <w:pPr>
        <w:pStyle w:val="EndnoteText"/>
        <w:rPr>
          <w:rFonts w:cs="Arial"/>
        </w:rPr>
      </w:pPr>
      <w:r w:rsidRPr="00892424">
        <w:rPr>
          <w:rStyle w:val="EndnoteReference"/>
          <w:rFonts w:cs="Arial"/>
        </w:rPr>
        <w:endnoteRef/>
      </w:r>
      <w:r w:rsidRPr="00892424">
        <w:rPr>
          <w:rFonts w:cs="Arial"/>
        </w:rPr>
        <w:t xml:space="preserve"> See, for example, Arnold Bloch Leibler, ‘Racial discrimination action settles’ (Media Release, 18 February 2013). At </w:t>
      </w:r>
      <w:hyperlink r:id="rId193" w:history="1">
        <w:r w:rsidRPr="00892424">
          <w:rPr>
            <w:rStyle w:val="Hyperlink"/>
            <w:rFonts w:cs="Arial"/>
          </w:rPr>
          <w:t>http://www.smartjustice.org.au/cb_pages/files/Media%20Release%20-%20FKCLC%20%26%20ABL%20Feb%202013.pdf</w:t>
        </w:r>
      </w:hyperlink>
      <w:r w:rsidRPr="00892424">
        <w:rPr>
          <w:rFonts w:cs="Arial"/>
        </w:rPr>
        <w:t xml:space="preserve"> (</w:t>
      </w:r>
      <w:r w:rsidRPr="00BF602B">
        <w:rPr>
          <w:rFonts w:cs="Arial"/>
        </w:rPr>
        <w:t xml:space="preserve">viewed </w:t>
      </w:r>
      <w:r>
        <w:rPr>
          <w:rFonts w:cs="Arial"/>
        </w:rPr>
        <w:t>11 September 2017</w:t>
      </w:r>
      <w:r w:rsidRPr="00892424">
        <w:rPr>
          <w:rFonts w:cs="Arial"/>
        </w:rPr>
        <w:t>); Sarah Farnsworth, ‘Young South Sudanese “constantly stopped” by police, as c</w:t>
      </w:r>
      <w:r w:rsidRPr="008A17CC">
        <w:rPr>
          <w:rFonts w:cs="Arial"/>
        </w:rPr>
        <w:t xml:space="preserve">ommunity grapples with Apex stigma’, </w:t>
      </w:r>
      <w:r w:rsidRPr="008A17CC">
        <w:rPr>
          <w:rFonts w:cs="Arial"/>
          <w:i/>
        </w:rPr>
        <w:t xml:space="preserve">ABC News </w:t>
      </w:r>
      <w:r w:rsidRPr="008A17CC">
        <w:rPr>
          <w:rFonts w:cs="Arial"/>
        </w:rPr>
        <w:t xml:space="preserve">(4 December 2016). At </w:t>
      </w:r>
      <w:hyperlink r:id="rId194" w:history="1">
        <w:r w:rsidRPr="008A17CC">
          <w:rPr>
            <w:rStyle w:val="Hyperlink"/>
            <w:rFonts w:cs="Arial"/>
          </w:rPr>
          <w:t>http://www.abc.net.au/news/2016-12-04/young-south-sudanese-constantly-stopped-by-police/8078642</w:t>
        </w:r>
      </w:hyperlink>
      <w:r w:rsidRPr="008A17CC">
        <w:rPr>
          <w:rFonts w:cs="Arial"/>
        </w:rPr>
        <w:t xml:space="preserve"> (</w:t>
      </w:r>
      <w:r w:rsidRPr="00BF602B">
        <w:rPr>
          <w:rFonts w:cs="Arial"/>
        </w:rPr>
        <w:t xml:space="preserve">viewed </w:t>
      </w:r>
      <w:r>
        <w:rPr>
          <w:rFonts w:cs="Arial"/>
        </w:rPr>
        <w:t>11 September 2017</w:t>
      </w:r>
      <w:r w:rsidRPr="008A17CC">
        <w:rPr>
          <w:rFonts w:cs="Arial"/>
        </w:rPr>
        <w:t>).</w:t>
      </w:r>
    </w:p>
  </w:endnote>
  <w:endnote w:id="156">
    <w:p w14:paraId="5EE7C010" w14:textId="77777777" w:rsidR="003126E0" w:rsidRDefault="003126E0">
      <w:pPr>
        <w:pStyle w:val="EndnoteText"/>
      </w:pPr>
      <w:r w:rsidRPr="008A17CC">
        <w:rPr>
          <w:rStyle w:val="EndnoteReference"/>
        </w:rPr>
        <w:endnoteRef/>
      </w:r>
      <w:r w:rsidRPr="008A17CC">
        <w:t xml:space="preserve"> Australian Human Rights Commission, Submission No 13 to Parliamentary Joint Committee on Human Rights, </w:t>
      </w:r>
      <w:r w:rsidRPr="008A17CC">
        <w:rPr>
          <w:i/>
        </w:rPr>
        <w:t xml:space="preserve">Inquiry into freedom of speech, </w:t>
      </w:r>
      <w:r w:rsidRPr="008A17CC">
        <w:t xml:space="preserve">9 December 2016. At </w:t>
      </w:r>
      <w:hyperlink r:id="rId195" w:history="1">
        <w:r w:rsidRPr="008A17CC">
          <w:rPr>
            <w:rStyle w:val="Hyperlink"/>
          </w:rPr>
          <w:t>http://www.aph.gov.au/DocumentStore.ashx?id=d42f430a-869c-4706-9414-bf0cba934162&amp;subId=461226</w:t>
        </w:r>
      </w:hyperlink>
      <w:r w:rsidRPr="008A17CC">
        <w:t xml:space="preserve"> (</w:t>
      </w:r>
      <w:r w:rsidRPr="00BF602B">
        <w:rPr>
          <w:rFonts w:cs="Arial"/>
        </w:rPr>
        <w:t xml:space="preserve">viewed </w:t>
      </w:r>
      <w:r>
        <w:rPr>
          <w:rFonts w:cs="Arial"/>
        </w:rPr>
        <w:t>11 September 2017</w:t>
      </w:r>
      <w:r w:rsidRPr="008A17CC">
        <w:t>).</w:t>
      </w:r>
    </w:p>
  </w:endnote>
  <w:endnote w:id="157">
    <w:p w14:paraId="7BC01334" w14:textId="77777777" w:rsidR="003126E0" w:rsidRPr="00892424" w:rsidRDefault="003126E0" w:rsidP="00934118">
      <w:pPr>
        <w:pStyle w:val="EndnoteText"/>
        <w:rPr>
          <w:rFonts w:cs="Arial"/>
        </w:rPr>
      </w:pPr>
      <w:r w:rsidRPr="00892424">
        <w:rPr>
          <w:rStyle w:val="EndnoteReference"/>
          <w:rFonts w:cs="Arial"/>
        </w:rPr>
        <w:endnoteRef/>
      </w:r>
      <w:r w:rsidRPr="00892424">
        <w:rPr>
          <w:rFonts w:cs="Arial"/>
        </w:rPr>
        <w:t xml:space="preserve"> Australian Human Rights Commission, ‘National Anti-Racism Strategy and Racism. It Stops with Me Campaign’ (2015). At </w:t>
      </w:r>
      <w:hyperlink r:id="rId196" w:history="1">
        <w:r w:rsidRPr="00892424">
          <w:rPr>
            <w:rStyle w:val="Hyperlink"/>
            <w:rFonts w:cs="Arial"/>
          </w:rPr>
          <w:t>https://www.humanrights.gov.au/our-work/race-discrimination/projects/national-anti-racism-strategy-and-racism-it-stops-me-campaign</w:t>
        </w:r>
      </w:hyperlink>
      <w:r w:rsidRPr="00892424">
        <w:rPr>
          <w:rFonts w:cs="Arial"/>
        </w:rPr>
        <w:t xml:space="preserve"> (</w:t>
      </w:r>
      <w:r w:rsidRPr="00BF602B">
        <w:rPr>
          <w:rFonts w:cs="Arial"/>
        </w:rPr>
        <w:t xml:space="preserve">viewed </w:t>
      </w:r>
      <w:r>
        <w:rPr>
          <w:rFonts w:cs="Arial"/>
        </w:rPr>
        <w:t>11 September 2017</w:t>
      </w:r>
      <w:r w:rsidRPr="00892424">
        <w:rPr>
          <w:rFonts w:cs="Arial"/>
        </w:rPr>
        <w:t>).</w:t>
      </w:r>
    </w:p>
  </w:endnote>
  <w:endnote w:id="158">
    <w:p w14:paraId="12ADB997" w14:textId="77777777" w:rsidR="003126E0" w:rsidRPr="00892424" w:rsidRDefault="003126E0" w:rsidP="00D3592F">
      <w:pPr>
        <w:pStyle w:val="EndnoteText"/>
        <w:rPr>
          <w:rFonts w:cs="Arial"/>
          <w:b/>
        </w:rPr>
      </w:pPr>
      <w:r w:rsidRPr="00892424">
        <w:rPr>
          <w:rStyle w:val="EndnoteReference"/>
          <w:rFonts w:cs="Arial"/>
        </w:rPr>
        <w:endnoteRef/>
      </w:r>
      <w:r w:rsidRPr="00892424">
        <w:rPr>
          <w:rFonts w:cs="Arial"/>
        </w:rPr>
        <w:t xml:space="preserve"> The Independent National Security Legislation Monitor’s annual reports are available at Department of the Prime Minister and Cabinet, </w:t>
      </w:r>
      <w:r w:rsidRPr="00892424">
        <w:rPr>
          <w:rFonts w:cs="Arial"/>
          <w:i/>
        </w:rPr>
        <w:t>Independent National Security Legislation Monitor</w:t>
      </w:r>
      <w:r w:rsidRPr="00892424">
        <w:rPr>
          <w:rFonts w:cs="Arial"/>
        </w:rPr>
        <w:t xml:space="preserve">. At </w:t>
      </w:r>
      <w:hyperlink r:id="rId197" w:history="1">
        <w:r w:rsidRPr="00C42601">
          <w:rPr>
            <w:rStyle w:val="Hyperlink"/>
          </w:rPr>
          <w:t>http://www.inslm.gov.au/reviews-reports</w:t>
        </w:r>
      </w:hyperlink>
      <w:r>
        <w:t xml:space="preserve"> </w:t>
      </w:r>
      <w:r w:rsidRPr="00892424">
        <w:rPr>
          <w:rFonts w:cs="Arial"/>
        </w:rPr>
        <w:t>(</w:t>
      </w:r>
      <w:r w:rsidRPr="00BF602B">
        <w:rPr>
          <w:rFonts w:cs="Arial"/>
        </w:rPr>
        <w:t xml:space="preserve">viewed </w:t>
      </w:r>
      <w:r>
        <w:rPr>
          <w:rFonts w:cs="Arial"/>
        </w:rPr>
        <w:t>11 September 2017</w:t>
      </w:r>
      <w:r w:rsidRPr="00892424">
        <w:rPr>
          <w:rFonts w:cs="Arial"/>
        </w:rPr>
        <w:t xml:space="preserve">). </w:t>
      </w:r>
    </w:p>
  </w:endnote>
  <w:endnote w:id="159">
    <w:p w14:paraId="2DB58789" w14:textId="77777777" w:rsidR="003126E0" w:rsidRPr="00892424" w:rsidRDefault="003126E0" w:rsidP="00D3592F">
      <w:pPr>
        <w:pStyle w:val="EndnoteText"/>
        <w:rPr>
          <w:rFonts w:cs="Arial"/>
        </w:rPr>
      </w:pPr>
      <w:r w:rsidRPr="00892424">
        <w:rPr>
          <w:rStyle w:val="EndnoteReference"/>
          <w:rFonts w:cs="Arial"/>
        </w:rPr>
        <w:endnoteRef/>
      </w:r>
      <w:r w:rsidRPr="00892424">
        <w:rPr>
          <w:rFonts w:cs="Arial"/>
        </w:rPr>
        <w:t xml:space="preserve"> </w:t>
      </w:r>
      <w:r w:rsidRPr="00892424">
        <w:rPr>
          <w:rFonts w:cs="Arial"/>
          <w:i/>
        </w:rPr>
        <w:t xml:space="preserve">Independent National Security Legislation Monitor Act 2010 </w:t>
      </w:r>
      <w:r w:rsidRPr="00892424">
        <w:rPr>
          <w:rFonts w:cs="Arial"/>
        </w:rPr>
        <w:t xml:space="preserve">(Cth) s 8(a)(i).  </w:t>
      </w:r>
    </w:p>
  </w:endnote>
  <w:endnote w:id="160">
    <w:p w14:paraId="281D56A8" w14:textId="6D69B18F" w:rsidR="003126E0" w:rsidRPr="00633AE7" w:rsidRDefault="003126E0" w:rsidP="00D3592F">
      <w:pPr>
        <w:pStyle w:val="EndnoteText"/>
        <w:rPr>
          <w:rFonts w:cs="Arial"/>
        </w:rPr>
      </w:pPr>
      <w:r w:rsidRPr="00892424">
        <w:rPr>
          <w:rStyle w:val="EndnoteReference"/>
          <w:rFonts w:cs="Arial"/>
        </w:rPr>
        <w:endnoteRef/>
      </w:r>
      <w:r w:rsidRPr="00892424">
        <w:rPr>
          <w:rFonts w:cs="Arial"/>
        </w:rPr>
        <w:t xml:space="preserve"> The INSLM concluded that ‘control orders in their present form are not effective, not appropriate and not necessary’.  The 2013 COAG Review of Counter-Terrorism Legislation concluded that the control order regime should be retained but with additional safeguards and protections included.  The INSLM then recommended that a number of the COAG recommendations be implemented.  Despite this, and the fact that the recommended reviews of the control order regime (including the present review) are ongoing, that regime has been extended. Independent National Security Legislation Monitor, </w:t>
      </w:r>
      <w:r w:rsidRPr="00892424">
        <w:rPr>
          <w:rFonts w:cs="Arial"/>
          <w:i/>
        </w:rPr>
        <w:t>Declassified Annual Report</w:t>
      </w:r>
      <w:r w:rsidRPr="00892424">
        <w:rPr>
          <w:rFonts w:cs="Arial"/>
        </w:rPr>
        <w:t xml:space="preserve"> (2012), 40. At </w:t>
      </w:r>
      <w:hyperlink r:id="rId198" w:history="1">
        <w:r w:rsidRPr="00892424">
          <w:rPr>
            <w:rStyle w:val="Hyperlink"/>
            <w:rFonts w:cs="Arial"/>
          </w:rPr>
          <w:t>https://www.inslm.gov.au/reviews-reports/annual-reports</w:t>
        </w:r>
      </w:hyperlink>
      <w:r w:rsidRPr="00892424">
        <w:rPr>
          <w:rFonts w:cs="Arial"/>
        </w:rPr>
        <w:t xml:space="preserve"> (viewed 28 April 2017). </w:t>
      </w:r>
      <w:r w:rsidRPr="00892424">
        <w:rPr>
          <w:rFonts w:cs="Arial"/>
          <w:i/>
        </w:rPr>
        <w:t>Council of Australian Governments Review of Counter-Terrorism Legislation</w:t>
      </w:r>
      <w:r w:rsidRPr="00892424">
        <w:rPr>
          <w:rFonts w:cs="Arial"/>
        </w:rPr>
        <w:t xml:space="preserve"> (2013), 54 [215]</w:t>
      </w:r>
      <w:r>
        <w:rPr>
          <w:rFonts w:cs="Arial"/>
        </w:rPr>
        <w:t xml:space="preserve">. At </w:t>
      </w:r>
      <w:hyperlink r:id="rId199" w:history="1">
        <w:r w:rsidRPr="00892424">
          <w:rPr>
            <w:rStyle w:val="Hyperlink"/>
            <w:rFonts w:cs="Arial"/>
          </w:rPr>
          <w:t>https://www.ag.gov.au/Consultations/Pages/COAGReviewofCounter-TerrorismLegislation.aspx</w:t>
        </w:r>
      </w:hyperlink>
      <w:r>
        <w:rPr>
          <w:rStyle w:val="Hyperlink"/>
          <w:rFonts w:cs="Arial"/>
          <w:u w:val="none"/>
        </w:rPr>
        <w:t xml:space="preserve"> </w:t>
      </w:r>
      <w:r w:rsidRPr="00633AE7">
        <w:rPr>
          <w:rStyle w:val="Hyperlink"/>
          <w:rFonts w:cs="Arial"/>
          <w:color w:val="000000" w:themeColor="text1"/>
          <w:u w:val="none"/>
        </w:rPr>
        <w:t xml:space="preserve">(viewed 11 September 2017). </w:t>
      </w:r>
    </w:p>
  </w:endnote>
  <w:endnote w:id="161">
    <w:p w14:paraId="0892343D" w14:textId="77777777" w:rsidR="003126E0" w:rsidRPr="00892424" w:rsidRDefault="003126E0" w:rsidP="00D3592F">
      <w:pPr>
        <w:pStyle w:val="EndnoteText"/>
        <w:rPr>
          <w:rFonts w:cs="Arial"/>
        </w:rPr>
      </w:pPr>
      <w:r w:rsidRPr="00892424">
        <w:rPr>
          <w:rStyle w:val="EndnoteReference"/>
          <w:rFonts w:cs="Arial"/>
        </w:rPr>
        <w:endnoteRef/>
      </w:r>
      <w:r w:rsidRPr="00892424">
        <w:rPr>
          <w:rFonts w:cs="Arial"/>
        </w:rPr>
        <w:t xml:space="preserve"> The INSLM recommended that the preventative detention regime be repealed because there is “no demonstrated necessity for these extraordinary powers”. In 2013, the Council of Australian Governments (COAG) Review of Counter-Terrorism Legislation also recommended that the PDO regime be repealed, finding that the provisions were unlikely to be used, and that the purposes of the PDO regime could be achieved ‘by traditional methods of arrest, interrogation and charge.’</w:t>
      </w:r>
      <w:r w:rsidRPr="00892424">
        <w:rPr>
          <w:rStyle w:val="EndnoteReference"/>
          <w:rFonts w:cs="Arial"/>
        </w:rPr>
        <w:t xml:space="preserve"> </w:t>
      </w:r>
      <w:r w:rsidRPr="00892424">
        <w:rPr>
          <w:rFonts w:cs="Arial"/>
        </w:rPr>
        <w:t xml:space="preserve">Despite these recommendations, in 2016, the threshold for applying for a PDO was reduced. See Independent National Security Legislation Monitor, </w:t>
      </w:r>
      <w:r w:rsidRPr="00892424">
        <w:rPr>
          <w:rFonts w:cs="Arial"/>
          <w:i/>
        </w:rPr>
        <w:t>Declassified Annual Report</w:t>
      </w:r>
      <w:r w:rsidRPr="00892424">
        <w:rPr>
          <w:rFonts w:cs="Arial"/>
        </w:rPr>
        <w:t xml:space="preserve"> (2012), Chapter III, Recommendation III/4</w:t>
      </w:r>
      <w:r>
        <w:rPr>
          <w:rFonts w:cs="Arial"/>
        </w:rPr>
        <w:t>.</w:t>
      </w:r>
      <w:r w:rsidRPr="00892424">
        <w:rPr>
          <w:rFonts w:cs="Arial"/>
        </w:rPr>
        <w:t xml:space="preserve"> At </w:t>
      </w:r>
      <w:hyperlink r:id="rId200" w:history="1">
        <w:r w:rsidRPr="00892424">
          <w:rPr>
            <w:rStyle w:val="Hyperlink"/>
            <w:rFonts w:cs="Arial"/>
          </w:rPr>
          <w:t>https://www.inslm.gov.au/reviews-reports/annual-reports</w:t>
        </w:r>
      </w:hyperlink>
      <w:r>
        <w:rPr>
          <w:rFonts w:cs="Arial"/>
        </w:rPr>
        <w:t xml:space="preserve"> (</w:t>
      </w:r>
      <w:r w:rsidRPr="00BF602B">
        <w:rPr>
          <w:rFonts w:cs="Arial"/>
        </w:rPr>
        <w:t xml:space="preserve">viewed </w:t>
      </w:r>
      <w:r>
        <w:rPr>
          <w:rFonts w:cs="Arial"/>
        </w:rPr>
        <w:t>11 September 2017)</w:t>
      </w:r>
      <w:r w:rsidRPr="00892424">
        <w:rPr>
          <w:rFonts w:cs="Arial"/>
        </w:rPr>
        <w:t xml:space="preserve">; </w:t>
      </w:r>
      <w:r w:rsidRPr="00892424">
        <w:rPr>
          <w:rFonts w:cs="Arial"/>
          <w:i/>
        </w:rPr>
        <w:t>Council of Australian Governments Review of Counter-Terrorism Legislation</w:t>
      </w:r>
      <w:r w:rsidRPr="00892424">
        <w:rPr>
          <w:rFonts w:cs="Arial"/>
        </w:rPr>
        <w:t xml:space="preserve"> (2013) </w:t>
      </w:r>
      <w:r>
        <w:rPr>
          <w:rFonts w:cs="Arial"/>
        </w:rPr>
        <w:t xml:space="preserve">67, </w:t>
      </w:r>
      <w:r w:rsidRPr="00892424">
        <w:rPr>
          <w:rFonts w:cs="Arial"/>
        </w:rPr>
        <w:t xml:space="preserve">69-71 [269]-[276].  At </w:t>
      </w:r>
      <w:hyperlink r:id="rId201" w:history="1">
        <w:r w:rsidRPr="00892424">
          <w:rPr>
            <w:rStyle w:val="Hyperlink"/>
            <w:rFonts w:cs="Arial"/>
          </w:rPr>
          <w:t>https://www.ag.gov.au/Consultations/Pages/COAGReviewofCounter-TerrorismLegislation.aspx</w:t>
        </w:r>
      </w:hyperlink>
      <w:r w:rsidRPr="00892424">
        <w:rPr>
          <w:rFonts w:cs="Arial"/>
        </w:rPr>
        <w:t xml:space="preserve"> (</w:t>
      </w:r>
      <w:r w:rsidRPr="00BF602B">
        <w:rPr>
          <w:rFonts w:cs="Arial"/>
        </w:rPr>
        <w:t xml:space="preserve">viewed </w:t>
      </w:r>
      <w:r>
        <w:rPr>
          <w:rFonts w:cs="Arial"/>
        </w:rPr>
        <w:t>11 September 2017).</w:t>
      </w:r>
      <w:r w:rsidRPr="00892424">
        <w:rPr>
          <w:rFonts w:cs="Arial"/>
        </w:rPr>
        <w:t xml:space="preserve"> </w:t>
      </w:r>
    </w:p>
  </w:endnote>
  <w:endnote w:id="162">
    <w:p w14:paraId="6BEACD64" w14:textId="77777777" w:rsidR="003126E0" w:rsidRPr="009932C5" w:rsidRDefault="003126E0" w:rsidP="00D3592F">
      <w:pPr>
        <w:pStyle w:val="EndnoteText"/>
      </w:pPr>
      <w:r>
        <w:rPr>
          <w:rStyle w:val="EndnoteReference"/>
        </w:rPr>
        <w:endnoteRef/>
      </w:r>
      <w:r>
        <w:t xml:space="preserve"> </w:t>
      </w:r>
      <w:r w:rsidRPr="007B6905">
        <w:rPr>
          <w:i/>
        </w:rPr>
        <w:t>Independent National Security Legislation Monitor Act 2010</w:t>
      </w:r>
      <w:r w:rsidRPr="007B6905">
        <w:t xml:space="preserve"> (Cth)</w:t>
      </w:r>
      <w:r>
        <w:t>,</w:t>
      </w:r>
      <w:r w:rsidRPr="007B6905">
        <w:t xml:space="preserve"> s 6(1B)</w:t>
      </w:r>
      <w:r>
        <w:t xml:space="preserve">; </w:t>
      </w:r>
      <w:r w:rsidRPr="007B6905">
        <w:rPr>
          <w:i/>
        </w:rPr>
        <w:t xml:space="preserve">Intelligence Services Act 2001 </w:t>
      </w:r>
      <w:r>
        <w:t>(Cth,) s 29(1)(bb). See also, Parliamentary Joint Committee on Intelligence and Security, Parliament of Australia,</w:t>
      </w:r>
      <w:r w:rsidRPr="009932C5">
        <w:rPr>
          <w:i/>
        </w:rPr>
        <w:t xml:space="preserve"> Review of police stop, search and seizure powers, the control order regime and the preventative detention order regime</w:t>
      </w:r>
      <w:r>
        <w:t xml:space="preserve">. At </w:t>
      </w:r>
      <w:hyperlink r:id="rId202" w:history="1">
        <w:r w:rsidRPr="000A5C86">
          <w:rPr>
            <w:rStyle w:val="Hyperlink"/>
          </w:rPr>
          <w:t>http://www.aph.gov.au/Parliamentary_Business/Committees/Joint/Intelligence_and_Security/AFPpowersreview</w:t>
        </w:r>
      </w:hyperlink>
      <w:r>
        <w:t xml:space="preserve"> (</w:t>
      </w:r>
      <w:r w:rsidRPr="00BF602B">
        <w:rPr>
          <w:rFonts w:cs="Arial"/>
        </w:rPr>
        <w:t xml:space="preserve">viewed </w:t>
      </w:r>
      <w:r>
        <w:rPr>
          <w:rFonts w:cs="Arial"/>
        </w:rPr>
        <w:t>11 September 2017</w:t>
      </w:r>
      <w:r>
        <w:t>).</w:t>
      </w:r>
    </w:p>
  </w:endnote>
  <w:endnote w:id="163">
    <w:p w14:paraId="29D66F3D" w14:textId="77777777" w:rsidR="003126E0" w:rsidRPr="00A35ED9" w:rsidRDefault="003126E0" w:rsidP="00D3592F">
      <w:pPr>
        <w:pStyle w:val="EndnoteText"/>
        <w:rPr>
          <w:rFonts w:cs="Arial"/>
          <w:lang w:val="en-US"/>
        </w:rPr>
      </w:pPr>
      <w:r w:rsidRPr="00892424">
        <w:rPr>
          <w:rStyle w:val="EndnoteReference"/>
          <w:rFonts w:cs="Arial"/>
        </w:rPr>
        <w:endnoteRef/>
      </w:r>
      <w:r w:rsidRPr="00892424">
        <w:rPr>
          <w:rFonts w:cs="Arial"/>
        </w:rPr>
        <w:t xml:space="preserve"> </w:t>
      </w:r>
      <w:r w:rsidRPr="00892424">
        <w:rPr>
          <w:rFonts w:cs="Arial"/>
          <w:lang w:val="en-US"/>
        </w:rPr>
        <w:t xml:space="preserve">Australian Human Rights Commission, </w:t>
      </w:r>
      <w:r w:rsidRPr="00892424">
        <w:rPr>
          <w:rFonts w:cs="Arial"/>
        </w:rPr>
        <w:t xml:space="preserve">‘Submission to the UN Committee Against Torture under the </w:t>
      </w:r>
      <w:r w:rsidRPr="00892424">
        <w:rPr>
          <w:rFonts w:cs="Arial"/>
          <w:i/>
        </w:rPr>
        <w:t>Convention Against Torture</w:t>
      </w:r>
      <w:r w:rsidRPr="00892424">
        <w:rPr>
          <w:rFonts w:cs="Arial"/>
        </w:rPr>
        <w:t xml:space="preserve">, 17 October 2014, [93]. At </w:t>
      </w:r>
      <w:hyperlink r:id="rId203" w:history="1">
        <w:r w:rsidRPr="00A35ED9">
          <w:rPr>
            <w:rStyle w:val="Hyperlink"/>
            <w:rFonts w:cs="Arial"/>
          </w:rPr>
          <w:t>http://tbinternet.ohchr.org/_layouts/treatybodyexternal/Download.aspx?symbolno=INT%2fCAT%2fNGO%2fAUS%2f18690&amp;Lang=en</w:t>
        </w:r>
      </w:hyperlink>
      <w:r w:rsidRPr="00A35ED9">
        <w:rPr>
          <w:rFonts w:cs="Arial"/>
        </w:rPr>
        <w:t xml:space="preserve"> (</w:t>
      </w:r>
      <w:r w:rsidRPr="00BF602B">
        <w:rPr>
          <w:rFonts w:cs="Arial"/>
        </w:rPr>
        <w:t xml:space="preserve">viewed </w:t>
      </w:r>
      <w:r>
        <w:rPr>
          <w:rFonts w:cs="Arial"/>
        </w:rPr>
        <w:t>11 September 2017</w:t>
      </w:r>
      <w:r w:rsidRPr="00A35ED9">
        <w:rPr>
          <w:rFonts w:cs="Arial"/>
        </w:rPr>
        <w:t xml:space="preserve">). </w:t>
      </w:r>
      <w:r w:rsidRPr="00A35ED9">
        <w:rPr>
          <w:rFonts w:cs="Arial"/>
          <w:lang w:val="en-US"/>
        </w:rPr>
        <w:t xml:space="preserve">Australian Human Rights Commission, </w:t>
      </w:r>
      <w:r w:rsidRPr="007233E9">
        <w:rPr>
          <w:rFonts w:cs="Arial"/>
        </w:rPr>
        <w:t xml:space="preserve">‘Submission to the UN Committee Against Torture under the </w:t>
      </w:r>
      <w:r w:rsidRPr="007233E9">
        <w:rPr>
          <w:rFonts w:cs="Arial"/>
          <w:i/>
        </w:rPr>
        <w:t>Convention Against Torture</w:t>
      </w:r>
      <w:r w:rsidRPr="00301CED">
        <w:rPr>
          <w:rFonts w:cs="Arial"/>
        </w:rPr>
        <w:t xml:space="preserve">, 27 June 2016, [62]-[66]. At </w:t>
      </w:r>
      <w:hyperlink r:id="rId204" w:history="1">
        <w:r w:rsidRPr="00A35ED9">
          <w:rPr>
            <w:rStyle w:val="Hyperlink"/>
            <w:rFonts w:cs="Arial"/>
          </w:rPr>
          <w:t>https://www.humanrights.gov.au/sites/default/files/AHRC_CAT_LOIPR_2016.pdf</w:t>
        </w:r>
      </w:hyperlink>
      <w:r w:rsidRPr="00A35ED9">
        <w:rPr>
          <w:rFonts w:cs="Arial"/>
        </w:rPr>
        <w:t xml:space="preserve"> (</w:t>
      </w:r>
      <w:r w:rsidRPr="00BF602B">
        <w:rPr>
          <w:rFonts w:cs="Arial"/>
        </w:rPr>
        <w:t xml:space="preserve">viewed </w:t>
      </w:r>
      <w:r>
        <w:rPr>
          <w:rFonts w:cs="Arial"/>
        </w:rPr>
        <w:t>11 September 2017</w:t>
      </w:r>
      <w:r w:rsidRPr="00A35ED9">
        <w:rPr>
          <w:rFonts w:cs="Arial"/>
        </w:rPr>
        <w:t>); and Australian Human Rights Commission, ‘Submission to the Universal Periodic Review, 15 April 2015, [37]-[38]</w:t>
      </w:r>
      <w:r w:rsidRPr="00A35ED9">
        <w:rPr>
          <w:rFonts w:cs="Arial"/>
          <w:lang w:val="en-US"/>
        </w:rPr>
        <w:t>. At</w:t>
      </w:r>
      <w:r w:rsidRPr="00892424">
        <w:rPr>
          <w:rFonts w:cs="Arial"/>
          <w:lang w:val="en-US"/>
        </w:rPr>
        <w:t xml:space="preserve"> </w:t>
      </w:r>
      <w:hyperlink r:id="rId205" w:history="1">
        <w:r w:rsidRPr="00A35ED9">
          <w:rPr>
            <w:rStyle w:val="Hyperlink"/>
            <w:rFonts w:cs="Arial"/>
            <w:lang w:val="en-US"/>
          </w:rPr>
          <w:t>https://www.humanrights.gov.au/submissions/australia-s-second-universal-periodic-review</w:t>
        </w:r>
      </w:hyperlink>
      <w:r w:rsidRPr="00A35ED9">
        <w:rPr>
          <w:rFonts w:cs="Arial"/>
          <w:lang w:val="en-US"/>
        </w:rPr>
        <w:t xml:space="preserve"> (</w:t>
      </w:r>
      <w:r w:rsidRPr="00BF602B">
        <w:rPr>
          <w:rFonts w:cs="Arial"/>
        </w:rPr>
        <w:t xml:space="preserve">viewed </w:t>
      </w:r>
      <w:r>
        <w:rPr>
          <w:rFonts w:cs="Arial"/>
        </w:rPr>
        <w:t>11 September 2017</w:t>
      </w:r>
      <w:r w:rsidRPr="00A35ED9">
        <w:rPr>
          <w:rFonts w:cs="Arial"/>
          <w:lang w:val="en-US"/>
        </w:rPr>
        <w:t>).</w:t>
      </w:r>
    </w:p>
  </w:endnote>
  <w:endnote w:id="164">
    <w:p w14:paraId="22763F05" w14:textId="77777777" w:rsidR="003126E0" w:rsidRPr="00892424" w:rsidRDefault="003126E0" w:rsidP="00D3592F">
      <w:pPr>
        <w:pStyle w:val="EndnoteText"/>
        <w:rPr>
          <w:rFonts w:cs="Arial"/>
        </w:rPr>
      </w:pPr>
      <w:r w:rsidRPr="00A35ED9">
        <w:rPr>
          <w:rStyle w:val="EndnoteReference"/>
          <w:rFonts w:cs="Arial"/>
        </w:rPr>
        <w:endnoteRef/>
      </w:r>
      <w:r w:rsidRPr="00A35ED9">
        <w:rPr>
          <w:rFonts w:cs="Arial"/>
        </w:rPr>
        <w:t xml:space="preserve"> Divisions 104 and 105 of Part 5.3 of the Criminal Code contain the</w:t>
      </w:r>
      <w:r w:rsidRPr="00892424">
        <w:rPr>
          <w:rFonts w:cs="Arial"/>
        </w:rPr>
        <w:t xml:space="preserve"> control order and preventative detention order (PDO) regimes respectively.</w:t>
      </w:r>
    </w:p>
  </w:endnote>
  <w:endnote w:id="165">
    <w:p w14:paraId="2D5C5DB6" w14:textId="77777777" w:rsidR="003126E0" w:rsidRPr="00892424" w:rsidRDefault="003126E0" w:rsidP="00D3592F">
      <w:pPr>
        <w:pStyle w:val="EndnoteText"/>
        <w:rPr>
          <w:rFonts w:cs="Arial"/>
        </w:rPr>
      </w:pPr>
      <w:r w:rsidRPr="00892424">
        <w:rPr>
          <w:rStyle w:val="EndnoteReference"/>
          <w:rFonts w:cs="Arial"/>
        </w:rPr>
        <w:endnoteRef/>
      </w:r>
      <w:r w:rsidRPr="00892424">
        <w:rPr>
          <w:rFonts w:cs="Arial"/>
        </w:rPr>
        <w:t xml:space="preserve"> See for example: Human Rights and Equal Opportunity Commission (as the Commission was then known), Submission No 158, 158A and 158B to Senate Legal and Constitutional Legislation Committee, </w:t>
      </w:r>
      <w:r w:rsidRPr="00892424">
        <w:rPr>
          <w:rFonts w:cs="Arial"/>
          <w:i/>
        </w:rPr>
        <w:t>Inquiry into the Anti-Terrorism Bill (No 2) 2005</w:t>
      </w:r>
      <w:r w:rsidRPr="00892424">
        <w:rPr>
          <w:rFonts w:cs="Arial"/>
        </w:rPr>
        <w:t xml:space="preserve">, 11 November 2005. At </w:t>
      </w:r>
      <w:hyperlink r:id="rId206" w:history="1">
        <w:r w:rsidRPr="00892424">
          <w:rPr>
            <w:rStyle w:val="Hyperlink"/>
            <w:rFonts w:cs="Arial"/>
          </w:rPr>
          <w:t>http://www.humanrights.gov.au/submission-anti-terrorism-bill-no-2-2005</w:t>
        </w:r>
      </w:hyperlink>
      <w:r w:rsidRPr="00892424">
        <w:rPr>
          <w:rFonts w:cs="Arial"/>
        </w:rPr>
        <w:t xml:space="preserve"> (</w:t>
      </w:r>
      <w:r w:rsidRPr="00BF602B">
        <w:rPr>
          <w:rFonts w:cs="Arial"/>
        </w:rPr>
        <w:t xml:space="preserve">viewed </w:t>
      </w:r>
      <w:r>
        <w:rPr>
          <w:rFonts w:cs="Arial"/>
        </w:rPr>
        <w:t>11 September 2017</w:t>
      </w:r>
      <w:r w:rsidRPr="00892424">
        <w:rPr>
          <w:rFonts w:cs="Arial"/>
        </w:rPr>
        <w:t xml:space="preserve">);   Australian Human Rights Commission, </w:t>
      </w:r>
      <w:r w:rsidRPr="00892424">
        <w:rPr>
          <w:rFonts w:cs="Arial"/>
          <w:i/>
        </w:rPr>
        <w:t xml:space="preserve">A Human Rights Guide to Australia’s Counter-Terrorism Laws </w:t>
      </w:r>
      <w:r w:rsidRPr="00892424">
        <w:rPr>
          <w:rFonts w:cs="Arial"/>
        </w:rPr>
        <w:t xml:space="preserve">(2008). At </w:t>
      </w:r>
      <w:hyperlink r:id="rId207" w:history="1">
        <w:r w:rsidRPr="00892424">
          <w:rPr>
            <w:rStyle w:val="Hyperlink"/>
            <w:rFonts w:cs="Arial"/>
          </w:rPr>
          <w:t>https://www.humanrights.gov.au/human-rights-guide-australias-counter-terrorism-laws</w:t>
        </w:r>
      </w:hyperlink>
      <w:r w:rsidRPr="00892424">
        <w:rPr>
          <w:rFonts w:cs="Arial"/>
        </w:rPr>
        <w:t xml:space="preserve"> (</w:t>
      </w:r>
      <w:r w:rsidRPr="00BF602B">
        <w:rPr>
          <w:rFonts w:cs="Arial"/>
        </w:rPr>
        <w:t xml:space="preserve">viewed </w:t>
      </w:r>
      <w:r>
        <w:rPr>
          <w:rFonts w:cs="Arial"/>
        </w:rPr>
        <w:t>11 September 2017</w:t>
      </w:r>
      <w:r w:rsidRPr="00892424">
        <w:rPr>
          <w:rFonts w:cs="Arial"/>
        </w:rPr>
        <w:t>).</w:t>
      </w:r>
    </w:p>
  </w:endnote>
  <w:endnote w:id="166">
    <w:p w14:paraId="4B83E01D" w14:textId="77777777" w:rsidR="003126E0" w:rsidRPr="00892424" w:rsidRDefault="003126E0" w:rsidP="00D3592F">
      <w:pPr>
        <w:pStyle w:val="EndnoteText"/>
        <w:rPr>
          <w:rFonts w:cs="Arial"/>
        </w:rPr>
      </w:pPr>
      <w:r w:rsidRPr="00892424">
        <w:rPr>
          <w:rStyle w:val="EndnoteReference"/>
          <w:rFonts w:cs="Arial"/>
        </w:rPr>
        <w:endnoteRef/>
      </w:r>
      <w:r w:rsidRPr="00892424">
        <w:rPr>
          <w:rFonts w:cs="Arial"/>
        </w:rPr>
        <w:t xml:space="preserve"> </w:t>
      </w:r>
      <w:r>
        <w:rPr>
          <w:rFonts w:cs="Arial"/>
        </w:rPr>
        <w:t xml:space="preserve">Australian Human Rights Commission, Submission No 11 to Independent National Security Legislation Monitor, Australian Government, </w:t>
      </w:r>
      <w:r>
        <w:rPr>
          <w:rFonts w:cs="Arial"/>
          <w:i/>
        </w:rPr>
        <w:t>Statutory Deadline Review</w:t>
      </w:r>
      <w:r>
        <w:rPr>
          <w:rFonts w:cs="Arial"/>
        </w:rPr>
        <w:t>, 15 May 2017, 4-5 [10]. At</w:t>
      </w:r>
      <w:r w:rsidRPr="00EC70EE">
        <w:t xml:space="preserve"> </w:t>
      </w:r>
      <w:hyperlink r:id="rId208" w:history="1">
        <w:r w:rsidRPr="00C42601">
          <w:rPr>
            <w:rStyle w:val="Hyperlink"/>
            <w:rFonts w:cs="Arial"/>
          </w:rPr>
          <w:t>https://www.inslm.gov.au/sites/default/files/submissions/11-australian-human-rights-commission.pdf</w:t>
        </w:r>
      </w:hyperlink>
      <w:r>
        <w:rPr>
          <w:rFonts w:cs="Arial"/>
        </w:rPr>
        <w:t xml:space="preserve"> (</w:t>
      </w:r>
      <w:r w:rsidRPr="00BF602B">
        <w:rPr>
          <w:rFonts w:cs="Arial"/>
        </w:rPr>
        <w:t xml:space="preserve">viewed </w:t>
      </w:r>
      <w:r>
        <w:rPr>
          <w:rFonts w:cs="Arial"/>
        </w:rPr>
        <w:t>11 September 2017).</w:t>
      </w:r>
    </w:p>
  </w:endnote>
  <w:endnote w:id="167">
    <w:p w14:paraId="1D399FF0" w14:textId="77777777" w:rsidR="003126E0" w:rsidRPr="00892424" w:rsidRDefault="003126E0" w:rsidP="00D3592F">
      <w:pPr>
        <w:pStyle w:val="EndnoteText"/>
        <w:rPr>
          <w:rFonts w:cs="Arial"/>
        </w:rPr>
      </w:pPr>
      <w:r w:rsidRPr="00892424">
        <w:rPr>
          <w:rStyle w:val="EndnoteReference"/>
          <w:rFonts w:cs="Arial"/>
        </w:rPr>
        <w:endnoteRef/>
      </w:r>
      <w:r w:rsidRPr="00892424">
        <w:rPr>
          <w:rFonts w:cs="Arial"/>
        </w:rPr>
        <w:t xml:space="preserve"> </w:t>
      </w:r>
      <w:r>
        <w:rPr>
          <w:rFonts w:cs="Arial"/>
        </w:rPr>
        <w:t xml:space="preserve">Australian Human Rights Commission, Submission No 11 to Independent National Security Legislation Monitor, Australian Government, </w:t>
      </w:r>
      <w:r>
        <w:rPr>
          <w:rFonts w:cs="Arial"/>
          <w:i/>
        </w:rPr>
        <w:t>Statutory Deadline Review</w:t>
      </w:r>
      <w:r>
        <w:rPr>
          <w:rFonts w:cs="Arial"/>
        </w:rPr>
        <w:t>, 15 May 2017, 4-5 [10]. At</w:t>
      </w:r>
      <w:r w:rsidRPr="00EC70EE">
        <w:t xml:space="preserve"> </w:t>
      </w:r>
      <w:hyperlink r:id="rId209" w:history="1">
        <w:r w:rsidRPr="00C42601">
          <w:rPr>
            <w:rStyle w:val="Hyperlink"/>
            <w:rFonts w:cs="Arial"/>
          </w:rPr>
          <w:t>https://www.inslm.gov.au/sites/default/files/submissions/11-australian-human-rights-commission.pdf</w:t>
        </w:r>
      </w:hyperlink>
      <w:r>
        <w:rPr>
          <w:rFonts w:cs="Arial"/>
        </w:rPr>
        <w:t xml:space="preserve"> (</w:t>
      </w:r>
      <w:r w:rsidRPr="00BF602B">
        <w:rPr>
          <w:rFonts w:cs="Arial"/>
        </w:rPr>
        <w:t xml:space="preserve">viewed </w:t>
      </w:r>
      <w:r>
        <w:rPr>
          <w:rFonts w:cs="Arial"/>
        </w:rPr>
        <w:t>11 September 2017).</w:t>
      </w:r>
    </w:p>
  </w:endnote>
  <w:endnote w:id="168">
    <w:p w14:paraId="46B98724" w14:textId="77777777" w:rsidR="003126E0" w:rsidRPr="00B43C26" w:rsidRDefault="003126E0" w:rsidP="00D3592F">
      <w:pPr>
        <w:pStyle w:val="EndnoteText"/>
        <w:rPr>
          <w:rFonts w:cs="Arial"/>
        </w:rPr>
      </w:pPr>
      <w:r w:rsidRPr="00892424">
        <w:rPr>
          <w:rStyle w:val="EndnoteReference"/>
          <w:rFonts w:cs="Arial"/>
        </w:rPr>
        <w:endnoteRef/>
      </w:r>
      <w:r w:rsidRPr="00892424">
        <w:rPr>
          <w:rFonts w:cs="Arial"/>
        </w:rPr>
        <w:t xml:space="preserve"> </w:t>
      </w:r>
      <w:r w:rsidRPr="00DE3EF0">
        <w:rPr>
          <w:rFonts w:cs="Arial"/>
        </w:rPr>
        <w:t>Criminal Code Amendment (High Risk Terrorist Offenders) Bill 2016.</w:t>
      </w:r>
    </w:p>
  </w:endnote>
  <w:endnote w:id="169">
    <w:p w14:paraId="56823875" w14:textId="77777777" w:rsidR="003126E0" w:rsidRPr="00892424" w:rsidRDefault="003126E0" w:rsidP="00D3592F">
      <w:pPr>
        <w:pStyle w:val="EndnoteText"/>
        <w:rPr>
          <w:rFonts w:cs="Arial"/>
        </w:rPr>
      </w:pPr>
      <w:r w:rsidRPr="00B43C26">
        <w:rPr>
          <w:rStyle w:val="EndnoteReference"/>
          <w:rFonts w:cs="Arial"/>
        </w:rPr>
        <w:endnoteRef/>
      </w:r>
      <w:r w:rsidRPr="00B43C26">
        <w:rPr>
          <w:rFonts w:cs="Arial"/>
        </w:rPr>
        <w:t xml:space="preserve"> Australian Human Rights Commission, Submission No </w:t>
      </w:r>
      <w:r>
        <w:rPr>
          <w:rFonts w:cs="Arial"/>
        </w:rPr>
        <w:t>8</w:t>
      </w:r>
      <w:r w:rsidRPr="00B43C26">
        <w:rPr>
          <w:rFonts w:cs="Arial"/>
        </w:rPr>
        <w:t xml:space="preserve"> to Parliamentary Joint Committee on Intelligence and Security, </w:t>
      </w:r>
      <w:r w:rsidRPr="00B43C26">
        <w:rPr>
          <w:rFonts w:cs="Arial"/>
          <w:i/>
        </w:rPr>
        <w:t>Inquiry into Criminal Code Amendment (High Risk Terrorist Offenders) Bill 2016</w:t>
      </w:r>
      <w:r w:rsidRPr="00B43C26">
        <w:rPr>
          <w:rFonts w:cs="Arial"/>
        </w:rPr>
        <w:t>,</w:t>
      </w:r>
      <w:r w:rsidRPr="00B43C26">
        <w:rPr>
          <w:rFonts w:cs="Arial"/>
          <w:i/>
        </w:rPr>
        <w:t xml:space="preserve"> </w:t>
      </w:r>
      <w:r w:rsidRPr="00B43C26">
        <w:rPr>
          <w:rFonts w:cs="Arial"/>
        </w:rPr>
        <w:t xml:space="preserve">12 October 2016, 11 [34]. At  </w:t>
      </w:r>
      <w:hyperlink r:id="rId210" w:history="1">
        <w:r w:rsidRPr="00B43C26">
          <w:rPr>
            <w:rStyle w:val="Hyperlink"/>
            <w:rFonts w:cs="Arial"/>
          </w:rPr>
          <w:t>http://www.aph.gov.au/DocumentStore.ashx?id=32397a66-a179-4a07-a5fb-ab60b776676f&amp;subId=414693</w:t>
        </w:r>
      </w:hyperlink>
      <w:r w:rsidRPr="00B43C26">
        <w:rPr>
          <w:rFonts w:cs="Arial"/>
        </w:rPr>
        <w:t xml:space="preserve"> (</w:t>
      </w:r>
      <w:r w:rsidRPr="00BF602B">
        <w:rPr>
          <w:rFonts w:cs="Arial"/>
        </w:rPr>
        <w:t xml:space="preserve">viewed </w:t>
      </w:r>
      <w:r>
        <w:rPr>
          <w:rFonts w:cs="Arial"/>
        </w:rPr>
        <w:t>11 September 2017</w:t>
      </w:r>
      <w:r w:rsidRPr="00B43C26">
        <w:rPr>
          <w:rFonts w:cs="Arial"/>
        </w:rPr>
        <w:t>).</w:t>
      </w:r>
      <w:r>
        <w:rPr>
          <w:rFonts w:cs="Arial"/>
        </w:rPr>
        <w:t xml:space="preserve"> </w:t>
      </w:r>
    </w:p>
  </w:endnote>
  <w:endnote w:id="170">
    <w:p w14:paraId="5CBCCC2D" w14:textId="77777777" w:rsidR="003126E0" w:rsidRPr="00892424" w:rsidRDefault="003126E0" w:rsidP="006C03C3">
      <w:pPr>
        <w:pStyle w:val="EndnoteText"/>
        <w:rPr>
          <w:rFonts w:cs="Arial"/>
        </w:rPr>
      </w:pPr>
      <w:r w:rsidRPr="00892424">
        <w:rPr>
          <w:rStyle w:val="EndnoteReference"/>
          <w:rFonts w:cs="Arial"/>
        </w:rPr>
        <w:endnoteRef/>
      </w:r>
      <w:r w:rsidRPr="00892424">
        <w:rPr>
          <w:rFonts w:cs="Arial"/>
        </w:rPr>
        <w:t xml:space="preserve"> Human Rights Committee, </w:t>
      </w:r>
      <w:r>
        <w:rPr>
          <w:rFonts w:cs="Arial"/>
          <w:i/>
        </w:rPr>
        <w:t>Views:</w:t>
      </w:r>
      <w:r w:rsidRPr="00244021">
        <w:rPr>
          <w:rFonts w:cs="Arial"/>
          <w:i/>
        </w:rPr>
        <w:t xml:space="preserve"> Communication No. 1629/2007</w:t>
      </w:r>
      <w:r>
        <w:rPr>
          <w:rFonts w:cs="Arial"/>
          <w:i/>
        </w:rPr>
        <w:t xml:space="preserve">, </w:t>
      </w:r>
      <w:r>
        <w:rPr>
          <w:rFonts w:cs="Arial"/>
        </w:rPr>
        <w:t>98</w:t>
      </w:r>
      <w:r w:rsidRPr="005F0A69">
        <w:rPr>
          <w:rFonts w:cs="Arial"/>
          <w:vertAlign w:val="superscript"/>
        </w:rPr>
        <w:t>th</w:t>
      </w:r>
      <w:r>
        <w:rPr>
          <w:rFonts w:cs="Arial"/>
        </w:rPr>
        <w:t xml:space="preserve"> sess, UN </w:t>
      </w:r>
      <w:r w:rsidRPr="00892424">
        <w:rPr>
          <w:rFonts w:cs="Arial"/>
        </w:rPr>
        <w:t>Doc CCPR/C/98/D/1629/2007 (10 May 2010)</w:t>
      </w:r>
      <w:r>
        <w:rPr>
          <w:rFonts w:cs="Arial"/>
        </w:rPr>
        <w:t xml:space="preserve"> (‘</w:t>
      </w:r>
      <w:r w:rsidRPr="00244021">
        <w:rPr>
          <w:rFonts w:cs="Arial"/>
          <w:i/>
        </w:rPr>
        <w:t>Fardon</w:t>
      </w:r>
      <w:r w:rsidRPr="00892424">
        <w:rPr>
          <w:rFonts w:cs="Arial"/>
          <w:i/>
        </w:rPr>
        <w:t xml:space="preserve"> v Australia</w:t>
      </w:r>
      <w:r w:rsidRPr="00244021">
        <w:rPr>
          <w:rFonts w:cs="Arial"/>
        </w:rPr>
        <w:t>’</w:t>
      </w:r>
      <w:r>
        <w:rPr>
          <w:rFonts w:cs="Arial"/>
        </w:rPr>
        <w:t>). A</w:t>
      </w:r>
      <w:r w:rsidRPr="00892424">
        <w:rPr>
          <w:rFonts w:cs="Arial"/>
        </w:rPr>
        <w:t xml:space="preserve">t </w:t>
      </w:r>
      <w:hyperlink r:id="rId211" w:history="1">
        <w:r w:rsidRPr="00892424">
          <w:rPr>
            <w:rStyle w:val="Hyperlink"/>
            <w:rFonts w:cs="Arial"/>
          </w:rPr>
          <w:t>http://juris.ohchr.org/Search/Details/1574</w:t>
        </w:r>
      </w:hyperlink>
      <w:r w:rsidRPr="00892424">
        <w:rPr>
          <w:rFonts w:cs="Arial"/>
        </w:rPr>
        <w:t xml:space="preserve"> (</w:t>
      </w:r>
      <w:r w:rsidRPr="00BF602B">
        <w:rPr>
          <w:rFonts w:cs="Arial"/>
        </w:rPr>
        <w:t xml:space="preserve">viewed </w:t>
      </w:r>
      <w:r>
        <w:rPr>
          <w:rFonts w:cs="Arial"/>
        </w:rPr>
        <w:t>11 September 2017</w:t>
      </w:r>
      <w:r w:rsidRPr="00892424">
        <w:rPr>
          <w:rFonts w:cs="Arial"/>
        </w:rPr>
        <w:t xml:space="preserve">); Human Rights Committee, </w:t>
      </w:r>
      <w:r>
        <w:rPr>
          <w:rFonts w:cs="Arial"/>
          <w:i/>
        </w:rPr>
        <w:t>Views:</w:t>
      </w:r>
      <w:r w:rsidRPr="00244021">
        <w:rPr>
          <w:rFonts w:cs="Arial"/>
          <w:i/>
        </w:rPr>
        <w:t xml:space="preserve"> Communication No. 1635/2007</w:t>
      </w:r>
      <w:r>
        <w:rPr>
          <w:rFonts w:cs="Arial"/>
          <w:i/>
        </w:rPr>
        <w:t xml:space="preserve">, </w:t>
      </w:r>
      <w:r>
        <w:rPr>
          <w:rFonts w:cs="Arial"/>
        </w:rPr>
        <w:t>98</w:t>
      </w:r>
      <w:r w:rsidRPr="005F0A69">
        <w:rPr>
          <w:rFonts w:cs="Arial"/>
          <w:vertAlign w:val="superscript"/>
        </w:rPr>
        <w:t>th</w:t>
      </w:r>
      <w:r>
        <w:rPr>
          <w:rFonts w:cs="Arial"/>
        </w:rPr>
        <w:t xml:space="preserve"> sess, </w:t>
      </w:r>
      <w:r w:rsidRPr="005F0A69">
        <w:rPr>
          <w:rFonts w:cs="Arial"/>
        </w:rPr>
        <w:t>Doc CCPR/C/98/D/1635/2007</w:t>
      </w:r>
      <w:r w:rsidRPr="00892424">
        <w:rPr>
          <w:rFonts w:cs="Arial"/>
        </w:rPr>
        <w:t xml:space="preserve"> (10 May 2010)</w:t>
      </w:r>
      <w:r>
        <w:rPr>
          <w:rFonts w:cs="Arial"/>
        </w:rPr>
        <w:t xml:space="preserve"> (‘</w:t>
      </w:r>
      <w:r w:rsidRPr="00892424">
        <w:rPr>
          <w:rFonts w:cs="Arial"/>
          <w:i/>
        </w:rPr>
        <w:t>Tillman v Australia</w:t>
      </w:r>
      <w:r w:rsidRPr="00244021">
        <w:rPr>
          <w:rFonts w:cs="Arial"/>
        </w:rPr>
        <w:t>’</w:t>
      </w:r>
      <w:r>
        <w:rPr>
          <w:rFonts w:cs="Arial"/>
        </w:rPr>
        <w:t>). At</w:t>
      </w:r>
      <w:r w:rsidRPr="00892424">
        <w:rPr>
          <w:rFonts w:cs="Arial"/>
        </w:rPr>
        <w:t xml:space="preserve"> </w:t>
      </w:r>
      <w:hyperlink r:id="rId212" w:history="1">
        <w:r w:rsidRPr="00892424">
          <w:rPr>
            <w:rStyle w:val="Hyperlink"/>
            <w:rFonts w:cs="Arial"/>
          </w:rPr>
          <w:t>http://juris.ohchr.org/Search/Details/1576</w:t>
        </w:r>
      </w:hyperlink>
      <w:r w:rsidRPr="00892424">
        <w:rPr>
          <w:rFonts w:cs="Arial"/>
        </w:rPr>
        <w:t xml:space="preserve"> (</w:t>
      </w:r>
      <w:r w:rsidRPr="00BF602B">
        <w:rPr>
          <w:rFonts w:cs="Arial"/>
        </w:rPr>
        <w:t xml:space="preserve">viewed </w:t>
      </w:r>
      <w:r>
        <w:rPr>
          <w:rFonts w:cs="Arial"/>
        </w:rPr>
        <w:t>11 September 2017</w:t>
      </w:r>
      <w:r w:rsidRPr="00892424">
        <w:rPr>
          <w:rFonts w:cs="Arial"/>
        </w:rPr>
        <w:t>).</w:t>
      </w:r>
      <w:r>
        <w:rPr>
          <w:rFonts w:cs="Arial"/>
        </w:rPr>
        <w:t xml:space="preserve"> </w:t>
      </w:r>
      <w:r w:rsidRPr="00892424">
        <w:rPr>
          <w:rFonts w:cs="Arial"/>
        </w:rPr>
        <w:t xml:space="preserve"> </w:t>
      </w:r>
    </w:p>
  </w:endnote>
  <w:endnote w:id="171">
    <w:p w14:paraId="51F1B4DC" w14:textId="77777777" w:rsidR="003126E0" w:rsidRPr="00EC70EE" w:rsidRDefault="003126E0" w:rsidP="00D3592F">
      <w:pPr>
        <w:pStyle w:val="EndnoteText"/>
        <w:rPr>
          <w:rFonts w:cs="Arial"/>
        </w:rPr>
      </w:pPr>
      <w:r w:rsidRPr="00892424">
        <w:rPr>
          <w:rStyle w:val="EndnoteReference"/>
          <w:rFonts w:cs="Arial"/>
        </w:rPr>
        <w:endnoteRef/>
      </w:r>
      <w:r w:rsidRPr="00892424">
        <w:rPr>
          <w:rFonts w:cs="Arial"/>
        </w:rPr>
        <w:t xml:space="preserve"> Division 3A of Part IAA of the </w:t>
      </w:r>
      <w:r w:rsidRPr="00892424">
        <w:rPr>
          <w:rFonts w:cs="Arial"/>
          <w:i/>
        </w:rPr>
        <w:t>Crimes Act</w:t>
      </w:r>
      <w:r>
        <w:rPr>
          <w:rFonts w:cs="Arial"/>
          <w:i/>
        </w:rPr>
        <w:t xml:space="preserve"> 1914 </w:t>
      </w:r>
      <w:r>
        <w:rPr>
          <w:rFonts w:cs="Arial"/>
        </w:rPr>
        <w:t>(Cth).</w:t>
      </w:r>
    </w:p>
  </w:endnote>
  <w:endnote w:id="172">
    <w:p w14:paraId="40B445F2" w14:textId="77777777" w:rsidR="003126E0" w:rsidRPr="00D13146" w:rsidRDefault="003126E0">
      <w:pPr>
        <w:pStyle w:val="EndnoteText"/>
      </w:pPr>
      <w:r>
        <w:rPr>
          <w:rStyle w:val="EndnoteReference"/>
        </w:rPr>
        <w:endnoteRef/>
      </w:r>
      <w:r>
        <w:t xml:space="preserve"> See Australian Human Rights Commission, Submission No 11 to Independent National Security Legislation Monitor, </w:t>
      </w:r>
      <w:r>
        <w:rPr>
          <w:i/>
        </w:rPr>
        <w:t>Statutory Deadline Reviews</w:t>
      </w:r>
      <w:r>
        <w:t xml:space="preserve"> (15 May 2017) 9-10. At </w:t>
      </w:r>
      <w:hyperlink r:id="rId213" w:history="1">
        <w:r w:rsidRPr="008D5AA8">
          <w:rPr>
            <w:rStyle w:val="Hyperlink"/>
          </w:rPr>
          <w:t>https://www.inslm.gov.au/sites/default/files/submissions/11-australian-human-rights-commission.pdf</w:t>
        </w:r>
      </w:hyperlink>
      <w:r>
        <w:t xml:space="preserve"> (</w:t>
      </w:r>
      <w:r w:rsidRPr="00BF602B">
        <w:rPr>
          <w:rFonts w:cs="Arial"/>
        </w:rPr>
        <w:t xml:space="preserve">viewed </w:t>
      </w:r>
      <w:r>
        <w:rPr>
          <w:rFonts w:cs="Arial"/>
        </w:rPr>
        <w:t>11 September 2017</w:t>
      </w:r>
      <w:r>
        <w:t>).</w:t>
      </w:r>
    </w:p>
  </w:endnote>
  <w:endnote w:id="173">
    <w:p w14:paraId="5EEC2F93" w14:textId="77777777" w:rsidR="003126E0" w:rsidRPr="00EC70EE" w:rsidRDefault="003126E0" w:rsidP="00D3592F">
      <w:pPr>
        <w:pStyle w:val="EndnoteText"/>
        <w:rPr>
          <w:rFonts w:cs="Arial"/>
        </w:rPr>
      </w:pPr>
      <w:r w:rsidRPr="00892424">
        <w:rPr>
          <w:rStyle w:val="EndnoteReference"/>
          <w:rFonts w:cs="Arial"/>
        </w:rPr>
        <w:endnoteRef/>
      </w:r>
      <w:r w:rsidRPr="00892424">
        <w:rPr>
          <w:rFonts w:cs="Arial"/>
        </w:rPr>
        <w:t xml:space="preserve"> </w:t>
      </w:r>
      <w:r w:rsidRPr="00EC70EE">
        <w:rPr>
          <w:rFonts w:cs="Arial"/>
        </w:rPr>
        <w:t xml:space="preserve">Division 119 of Part 5.5 of the </w:t>
      </w:r>
      <w:r w:rsidRPr="00EC70EE">
        <w:rPr>
          <w:rFonts w:cs="Arial"/>
          <w:i/>
        </w:rPr>
        <w:t xml:space="preserve">Criminal Code </w:t>
      </w:r>
      <w:r w:rsidRPr="00EC70EE">
        <w:rPr>
          <w:rFonts w:cs="Arial"/>
        </w:rPr>
        <w:t>(Cth)</w:t>
      </w:r>
      <w:r>
        <w:rPr>
          <w:rFonts w:cs="Arial"/>
        </w:rPr>
        <w:t>.</w:t>
      </w:r>
    </w:p>
  </w:endnote>
  <w:endnote w:id="174">
    <w:p w14:paraId="25EA125D" w14:textId="7DB23B66" w:rsidR="003126E0" w:rsidRPr="00892424" w:rsidRDefault="003126E0" w:rsidP="00D3592F">
      <w:pPr>
        <w:pStyle w:val="EndnoteText"/>
        <w:rPr>
          <w:rFonts w:cs="Arial"/>
        </w:rPr>
      </w:pPr>
      <w:r w:rsidRPr="00EC70EE">
        <w:rPr>
          <w:rStyle w:val="EndnoteReference"/>
          <w:rFonts w:cs="Arial"/>
        </w:rPr>
        <w:endnoteRef/>
      </w:r>
      <w:r w:rsidRPr="00EC70EE">
        <w:rPr>
          <w:rFonts w:cs="Arial"/>
        </w:rPr>
        <w:t xml:space="preserve"> To date, two areas have been declared under s 119.3 of the Criminal Code, namely Al Raqqa Province in</w:t>
      </w:r>
      <w:r w:rsidRPr="00892424">
        <w:rPr>
          <w:rFonts w:cs="Arial"/>
        </w:rPr>
        <w:t xml:space="preserve"> Syria and Mosul District in Iraq. See </w:t>
      </w:r>
      <w:r w:rsidRPr="00892424">
        <w:rPr>
          <w:rFonts w:cs="Arial"/>
          <w:i/>
        </w:rPr>
        <w:t>Criminal Code (Foreign Incursions and Recruitment – Declared Areas) Declaration 2014—Al-Raqqa Province, Syria</w:t>
      </w:r>
      <w:r w:rsidRPr="00892424">
        <w:rPr>
          <w:rFonts w:cs="Arial"/>
        </w:rPr>
        <w:t xml:space="preserve"> (4 December 2014); </w:t>
      </w:r>
      <w:r w:rsidRPr="00892424">
        <w:rPr>
          <w:rFonts w:cs="Arial"/>
          <w:i/>
        </w:rPr>
        <w:t>Criminal Code (Foreign Incursions and Recruitment—Declared Areas) Declaration 2015—Mosul District, Ninewa Province, Iraq</w:t>
      </w:r>
      <w:r w:rsidRPr="00892424">
        <w:rPr>
          <w:rFonts w:cs="Arial"/>
        </w:rPr>
        <w:t xml:space="preserve"> (2 March 2015). </w:t>
      </w:r>
      <w:r>
        <w:rPr>
          <w:rFonts w:cs="Arial"/>
        </w:rPr>
        <w:t>See</w:t>
      </w:r>
      <w:r w:rsidRPr="00892424">
        <w:rPr>
          <w:rFonts w:cs="Arial"/>
        </w:rPr>
        <w:t xml:space="preserve"> </w:t>
      </w:r>
      <w:r>
        <w:rPr>
          <w:rFonts w:cs="Arial"/>
        </w:rPr>
        <w:t xml:space="preserve">Australian Human Rights Commission, Submission No 11 to Independent National Security Legislation Monitor, Australian Government, </w:t>
      </w:r>
      <w:r>
        <w:rPr>
          <w:rFonts w:cs="Arial"/>
          <w:i/>
        </w:rPr>
        <w:t>Statutory Deadline Review</w:t>
      </w:r>
      <w:r>
        <w:rPr>
          <w:rFonts w:cs="Arial"/>
        </w:rPr>
        <w:t>, 15 May 2017, 10-13 [33]-[45]. At</w:t>
      </w:r>
      <w:r w:rsidRPr="00EC70EE">
        <w:t xml:space="preserve"> </w:t>
      </w:r>
      <w:hyperlink r:id="rId214" w:history="1">
        <w:r w:rsidRPr="00C42601">
          <w:rPr>
            <w:rStyle w:val="Hyperlink"/>
            <w:rFonts w:cs="Arial"/>
          </w:rPr>
          <w:t>https://www.inslm.gov.au/sites/default/files/submissions/11-australian-human-rights-commission.pdf</w:t>
        </w:r>
      </w:hyperlink>
      <w:r>
        <w:rPr>
          <w:rFonts w:cs="Arial"/>
        </w:rPr>
        <w:t xml:space="preserve"> (</w:t>
      </w:r>
      <w:r w:rsidRPr="00BF602B">
        <w:rPr>
          <w:rFonts w:cs="Arial"/>
        </w:rPr>
        <w:t xml:space="preserve">viewed </w:t>
      </w:r>
      <w:r>
        <w:rPr>
          <w:rFonts w:cs="Arial"/>
        </w:rPr>
        <w:t>11 September 2017)</w:t>
      </w:r>
      <w:r w:rsidRPr="00EC70EE">
        <w:rPr>
          <w:rStyle w:val="Hyperlink"/>
          <w:rFonts w:cs="Arial"/>
          <w:u w:val="none"/>
        </w:rPr>
        <w:t>.</w:t>
      </w:r>
    </w:p>
  </w:endnote>
  <w:endnote w:id="175">
    <w:p w14:paraId="1FCF4C35" w14:textId="77777777" w:rsidR="003126E0" w:rsidRPr="006C03C3" w:rsidRDefault="003126E0" w:rsidP="00D3592F">
      <w:pPr>
        <w:pStyle w:val="EndnoteText"/>
        <w:rPr>
          <w:rFonts w:cs="Arial"/>
          <w:highlight w:val="yellow"/>
        </w:rPr>
      </w:pPr>
      <w:r w:rsidRPr="00DF3B20">
        <w:rPr>
          <w:rStyle w:val="EndnoteReference"/>
          <w:rFonts w:cs="Arial"/>
        </w:rPr>
        <w:endnoteRef/>
      </w:r>
      <w:r w:rsidRPr="00DF3B20">
        <w:rPr>
          <w:rFonts w:cs="Arial"/>
        </w:rPr>
        <w:t xml:space="preserve"> </w:t>
      </w:r>
      <w:r w:rsidRPr="00DF3B20">
        <w:rPr>
          <w:rFonts w:cs="Arial"/>
          <w:lang w:eastAsia="en-US"/>
        </w:rPr>
        <w:t xml:space="preserve">The </w:t>
      </w:r>
      <w:r w:rsidRPr="00DF3B20">
        <w:rPr>
          <w:rFonts w:cs="Arial"/>
        </w:rPr>
        <w:t>Australian Citizenship Amendment (Allegiance to Australia) Bill 2015.</w:t>
      </w:r>
    </w:p>
  </w:endnote>
  <w:endnote w:id="176">
    <w:p w14:paraId="6EAB5F99" w14:textId="77777777" w:rsidR="003126E0" w:rsidRPr="00892424" w:rsidRDefault="003126E0" w:rsidP="00D3592F">
      <w:pPr>
        <w:pStyle w:val="EndnoteText"/>
        <w:rPr>
          <w:rFonts w:cs="Arial"/>
        </w:rPr>
      </w:pPr>
      <w:r w:rsidRPr="00A17BE4">
        <w:rPr>
          <w:rStyle w:val="EndnoteReference"/>
          <w:rFonts w:cs="Arial"/>
        </w:rPr>
        <w:endnoteRef/>
      </w:r>
      <w:r w:rsidRPr="00A17BE4">
        <w:rPr>
          <w:rFonts w:cs="Arial"/>
        </w:rPr>
        <w:t xml:space="preserve"> </w:t>
      </w:r>
      <w:r w:rsidRPr="006C03C3">
        <w:rPr>
          <w:rFonts w:cs="Arial"/>
        </w:rPr>
        <w:t xml:space="preserve">Australian Human Rights Commission, Submission No 13 to Parliamentary Joint Committee on Intelligence and Security, </w:t>
      </w:r>
      <w:r w:rsidRPr="006C03C3">
        <w:rPr>
          <w:rFonts w:cs="Arial"/>
          <w:i/>
        </w:rPr>
        <w:t>Inquiry into the Australian Citizenship Amendment (Allegiance to Australia) Bill 2015</w:t>
      </w:r>
      <w:r w:rsidRPr="006C03C3">
        <w:rPr>
          <w:rFonts w:cs="Arial"/>
        </w:rPr>
        <w:t xml:space="preserve"> (16 July 2015). At </w:t>
      </w:r>
      <w:hyperlink r:id="rId215" w:history="1">
        <w:r w:rsidRPr="00A17BE4">
          <w:rPr>
            <w:rStyle w:val="Hyperlink"/>
            <w:rFonts w:cs="Arial"/>
          </w:rPr>
          <w:t>http://www.aph.gov.au/DocumentStore.ashx?id=8cfea01e-ec16-4074-8edf-dcc4d0625ee2&amp;subId=354238</w:t>
        </w:r>
      </w:hyperlink>
      <w:r w:rsidRPr="00A17BE4">
        <w:rPr>
          <w:rFonts w:cs="Arial"/>
        </w:rPr>
        <w:t xml:space="preserve"> (</w:t>
      </w:r>
      <w:r w:rsidRPr="00BF602B">
        <w:rPr>
          <w:rFonts w:cs="Arial"/>
        </w:rPr>
        <w:t xml:space="preserve">viewed </w:t>
      </w:r>
      <w:r>
        <w:rPr>
          <w:rFonts w:cs="Arial"/>
        </w:rPr>
        <w:t>11 September 2017</w:t>
      </w:r>
      <w:r w:rsidRPr="00A17BE4">
        <w:rPr>
          <w:rFonts w:cs="Arial"/>
        </w:rPr>
        <w:t>).</w:t>
      </w:r>
    </w:p>
  </w:endnote>
  <w:endnote w:id="177">
    <w:p w14:paraId="1AB683FD" w14:textId="3F0C279C" w:rsidR="003126E0" w:rsidRPr="00892424" w:rsidRDefault="003126E0" w:rsidP="00D3592F">
      <w:pPr>
        <w:pStyle w:val="EndnoteText"/>
        <w:rPr>
          <w:rFonts w:cs="Arial"/>
        </w:rPr>
      </w:pPr>
      <w:r w:rsidRPr="00B7344C">
        <w:rPr>
          <w:rStyle w:val="EndnoteReference"/>
          <w:rFonts w:cs="Arial"/>
        </w:rPr>
        <w:endnoteRef/>
      </w:r>
      <w:r w:rsidRPr="00B7344C">
        <w:rPr>
          <w:rFonts w:cs="Arial"/>
        </w:rPr>
        <w:t xml:space="preserve"> </w:t>
      </w:r>
      <w:r w:rsidRPr="00892424">
        <w:rPr>
          <w:rFonts w:eastAsia="Times New Roman" w:cs="Arial"/>
          <w:i/>
          <w:iCs/>
        </w:rPr>
        <w:t xml:space="preserve">National Security Legislation Amendment Act (No.1) 2014 </w:t>
      </w:r>
      <w:r w:rsidRPr="00892424">
        <w:rPr>
          <w:rFonts w:eastAsia="Times New Roman" w:cs="Arial"/>
        </w:rPr>
        <w:t xml:space="preserve">(Cth), </w:t>
      </w:r>
      <w:r w:rsidRPr="00892424">
        <w:rPr>
          <w:rFonts w:eastAsia="Times New Roman" w:cs="Arial"/>
          <w:i/>
          <w:iCs/>
        </w:rPr>
        <w:t xml:space="preserve">Counter-Terrorism Legislation Amendment (Foreign Fighters) Act 2014 </w:t>
      </w:r>
      <w:r w:rsidRPr="00892424">
        <w:rPr>
          <w:rFonts w:eastAsia="Times New Roman" w:cs="Arial"/>
        </w:rPr>
        <w:t xml:space="preserve">(Cth) and </w:t>
      </w:r>
      <w:r w:rsidRPr="00892424">
        <w:rPr>
          <w:rFonts w:eastAsia="Times New Roman" w:cs="Arial"/>
          <w:i/>
        </w:rPr>
        <w:t>Counter-Terrorism Legislation Amendment Act (No.1) 2014</w:t>
      </w:r>
      <w:r w:rsidRPr="00892424">
        <w:rPr>
          <w:rFonts w:eastAsia="Times New Roman" w:cs="Arial"/>
        </w:rPr>
        <w:t xml:space="preserve"> (Cth). The Commission's concerns about this legislation are detailed in its submissions on the proposed legislation. See </w:t>
      </w:r>
      <w:r w:rsidRPr="00892424">
        <w:rPr>
          <w:rFonts w:eastAsia="Times New Roman" w:cs="Arial"/>
          <w:i/>
          <w:iCs/>
          <w:color w:val="000000"/>
        </w:rPr>
        <w:t xml:space="preserve">Submission to the Parliamentary Joint Committee on Intelligence and Security Inquiry into the National Security Legislation Amendment Bill (No. 1) 2014 </w:t>
      </w:r>
      <w:r w:rsidRPr="00892424">
        <w:rPr>
          <w:rFonts w:eastAsia="Times New Roman" w:cs="Arial"/>
          <w:color w:val="000000"/>
        </w:rPr>
        <w:t xml:space="preserve">(21 August 2014). At </w:t>
      </w:r>
      <w:hyperlink r:id="rId216" w:history="1">
        <w:r w:rsidRPr="00892424">
          <w:rPr>
            <w:rStyle w:val="Hyperlink"/>
            <w:rFonts w:eastAsia="Times New Roman" w:cs="Arial"/>
          </w:rPr>
          <w:t>https://www.humanrights.gov.au/submissions/submission-inquiry-national-security-legislation-amendment-bill-no-1-2014</w:t>
        </w:r>
      </w:hyperlink>
      <w:r w:rsidRPr="00892424">
        <w:rPr>
          <w:rFonts w:eastAsia="Times New Roman" w:cs="Arial"/>
          <w:color w:val="000000"/>
        </w:rPr>
        <w:t xml:space="preserve"> (</w:t>
      </w:r>
      <w:r w:rsidRPr="00F94784">
        <w:rPr>
          <w:rFonts w:eastAsia="Times New Roman" w:cs="Arial"/>
          <w:color w:val="000000"/>
        </w:rPr>
        <w:t>viewed 11 September 2017</w:t>
      </w:r>
      <w:r w:rsidRPr="00892424">
        <w:rPr>
          <w:rFonts w:eastAsia="Times New Roman" w:cs="Arial"/>
          <w:color w:val="000000"/>
        </w:rPr>
        <w:t xml:space="preserve">); Australian Human Rights Commission, </w:t>
      </w:r>
      <w:r w:rsidRPr="00892424">
        <w:rPr>
          <w:rFonts w:eastAsia="Times New Roman" w:cs="Arial"/>
          <w:i/>
          <w:iCs/>
          <w:color w:val="000000"/>
        </w:rPr>
        <w:t xml:space="preserve">Submission to the Parliamentary Joint Committee on Intelligence and Security Inquiry into the Counter-Terrorism Legislation Amendment (Foreign Fighters) Bill 2014 </w:t>
      </w:r>
      <w:r w:rsidRPr="00892424">
        <w:rPr>
          <w:rFonts w:eastAsia="Times New Roman" w:cs="Arial"/>
          <w:color w:val="000000"/>
        </w:rPr>
        <w:t xml:space="preserve">(2 October 2014). At </w:t>
      </w:r>
      <w:hyperlink r:id="rId217" w:history="1">
        <w:r w:rsidRPr="00892424">
          <w:rPr>
            <w:rStyle w:val="Hyperlink"/>
            <w:rFonts w:cs="Arial"/>
          </w:rPr>
          <w:t>https://www.humanrights.gov.au/submissions/inquiry-counter-terrorism-legislation-amendment-foreign-fighters-bill-2014</w:t>
        </w:r>
      </w:hyperlink>
      <w:r w:rsidRPr="00892424">
        <w:rPr>
          <w:rStyle w:val="Hyperlink"/>
          <w:rFonts w:cs="Arial"/>
        </w:rPr>
        <w:t xml:space="preserve"> </w:t>
      </w:r>
      <w:r w:rsidRPr="00892424">
        <w:rPr>
          <w:rFonts w:eastAsia="Times New Roman" w:cs="Arial"/>
          <w:color w:val="000000"/>
        </w:rPr>
        <w:t>(</w:t>
      </w:r>
      <w:r w:rsidRPr="00F94784">
        <w:rPr>
          <w:rFonts w:eastAsia="Times New Roman" w:cs="Arial"/>
          <w:color w:val="000000"/>
        </w:rPr>
        <w:t>viewed 11 September 2017</w:t>
      </w:r>
      <w:r w:rsidRPr="00892424">
        <w:rPr>
          <w:rFonts w:eastAsia="Times New Roman" w:cs="Arial"/>
          <w:color w:val="000000"/>
        </w:rPr>
        <w:t xml:space="preserve">) and Australian Human Rights Commission, </w:t>
      </w:r>
      <w:r w:rsidRPr="00892424">
        <w:rPr>
          <w:rFonts w:eastAsia="Times New Roman" w:cs="Arial"/>
          <w:i/>
          <w:iCs/>
          <w:color w:val="000000"/>
        </w:rPr>
        <w:t xml:space="preserve">Submission to the Parliamentary Joint Committee on Intelligence and Security Inquiry into the Counter-Terrorism Legislation Amendment Bill (No. 1) 2014 </w:t>
      </w:r>
      <w:r w:rsidRPr="00892424">
        <w:rPr>
          <w:rFonts w:eastAsia="Times New Roman" w:cs="Arial"/>
          <w:color w:val="000000"/>
        </w:rPr>
        <w:t xml:space="preserve">(11 November 2014). At </w:t>
      </w:r>
      <w:hyperlink r:id="rId218" w:history="1">
        <w:r w:rsidRPr="00B7344C">
          <w:rPr>
            <w:rStyle w:val="Hyperlink"/>
            <w:rFonts w:cs="Arial"/>
          </w:rPr>
          <w:t>http://www.aph.gov.au/Parliamentary_Business/Committees/Joint/Intelligence_and_Security/Amendment_Bill/Submissions</w:t>
        </w:r>
      </w:hyperlink>
      <w:r w:rsidRPr="00B7344C">
        <w:rPr>
          <w:rFonts w:eastAsia="Times New Roman" w:cs="Arial"/>
          <w:color w:val="1235FF"/>
        </w:rPr>
        <w:t xml:space="preserve"> </w:t>
      </w:r>
      <w:r w:rsidRPr="00B7344C">
        <w:rPr>
          <w:rFonts w:eastAsia="Times New Roman" w:cs="Arial"/>
          <w:color w:val="000000"/>
        </w:rPr>
        <w:t>(</w:t>
      </w:r>
      <w:r w:rsidRPr="00F94784">
        <w:rPr>
          <w:rFonts w:eastAsia="Times New Roman" w:cs="Arial"/>
          <w:color w:val="000000"/>
        </w:rPr>
        <w:t>viewed 11 September 2017</w:t>
      </w:r>
      <w:r>
        <w:rPr>
          <w:rFonts w:eastAsia="Times New Roman" w:cs="Arial"/>
          <w:color w:val="000000"/>
        </w:rPr>
        <w:t xml:space="preserve">); </w:t>
      </w:r>
      <w:r w:rsidRPr="00B7344C">
        <w:rPr>
          <w:rFonts w:cs="Arial"/>
          <w:i/>
        </w:rPr>
        <w:t xml:space="preserve">Telecommunications (Interception and </w:t>
      </w:r>
      <w:r w:rsidRPr="00B7344C">
        <w:rPr>
          <w:rFonts w:cs="Arial"/>
        </w:rPr>
        <w:t>Access</w:t>
      </w:r>
      <w:r w:rsidRPr="00B7344C">
        <w:rPr>
          <w:rFonts w:cs="Arial"/>
          <w:i/>
        </w:rPr>
        <w:t>) Amendment (Data Retention) Act</w:t>
      </w:r>
      <w:r w:rsidRPr="00B7344C">
        <w:rPr>
          <w:rFonts w:cs="Arial"/>
        </w:rPr>
        <w:t xml:space="preserve"> </w:t>
      </w:r>
      <w:r w:rsidRPr="00B7344C">
        <w:rPr>
          <w:rFonts w:cs="Arial"/>
          <w:i/>
        </w:rPr>
        <w:t>2014</w:t>
      </w:r>
      <w:r w:rsidRPr="00B7344C">
        <w:rPr>
          <w:rFonts w:cs="Arial"/>
        </w:rPr>
        <w:t xml:space="preserve"> (Cth)</w:t>
      </w:r>
      <w:r>
        <w:rPr>
          <w:rFonts w:cs="Arial"/>
        </w:rPr>
        <w:t xml:space="preserve">; </w:t>
      </w:r>
      <w:r w:rsidRPr="00B7344C">
        <w:rPr>
          <w:rFonts w:cs="Arial"/>
        </w:rPr>
        <w:t xml:space="preserve">Australian Human Rights Commission, Submission No 5 to Parliamentary Joint Committee on Intelligence and Security, </w:t>
      </w:r>
      <w:r w:rsidRPr="00B7344C">
        <w:rPr>
          <w:rFonts w:cs="Arial"/>
          <w:i/>
        </w:rPr>
        <w:t>Inquiry into the Counter-Terrorism Legislation Amendment Bill (No 1) 2015</w:t>
      </w:r>
      <w:r w:rsidRPr="00B7344C">
        <w:rPr>
          <w:rFonts w:cs="Arial"/>
        </w:rPr>
        <w:t xml:space="preserve">, 9 December 2015. At </w:t>
      </w:r>
      <w:hyperlink r:id="rId219" w:history="1">
        <w:r w:rsidRPr="00B7344C">
          <w:rPr>
            <w:rStyle w:val="Hyperlink"/>
            <w:rFonts w:cs="Arial"/>
          </w:rPr>
          <w:t>http://www.aph.gov.au/DocumentStore.ashx?id=080c06ef-59cb-4d40-9132-f1664588c82c&amp;subId=407290</w:t>
        </w:r>
      </w:hyperlink>
      <w:r w:rsidRPr="00B7344C">
        <w:rPr>
          <w:rFonts w:cs="Arial"/>
        </w:rPr>
        <w:t xml:space="preserve"> (</w:t>
      </w:r>
      <w:r w:rsidRPr="00F94784">
        <w:rPr>
          <w:rFonts w:cs="Arial"/>
        </w:rPr>
        <w:t>viewed 11 September 2017</w:t>
      </w:r>
      <w:r w:rsidRPr="00B7344C">
        <w:rPr>
          <w:rFonts w:cs="Arial"/>
        </w:rPr>
        <w:t>).</w:t>
      </w:r>
    </w:p>
  </w:endnote>
  <w:endnote w:id="178">
    <w:p w14:paraId="66F238E1" w14:textId="77777777" w:rsidR="003126E0" w:rsidRPr="00892424" w:rsidRDefault="003126E0" w:rsidP="00BB083A">
      <w:pPr>
        <w:pStyle w:val="EndnoteText"/>
        <w:rPr>
          <w:rFonts w:cs="Arial"/>
          <w:lang w:val="en-US"/>
        </w:rPr>
      </w:pPr>
      <w:r w:rsidRPr="00892424">
        <w:rPr>
          <w:rStyle w:val="EndnoteReference"/>
          <w:rFonts w:cs="Arial"/>
        </w:rPr>
        <w:endnoteRef/>
      </w:r>
      <w:r w:rsidRPr="00892424">
        <w:rPr>
          <w:rFonts w:cs="Arial"/>
        </w:rPr>
        <w:t xml:space="preserve"> Attorney-General’s Department, </w:t>
      </w:r>
      <w:r w:rsidRPr="00892424">
        <w:rPr>
          <w:rFonts w:cs="Arial"/>
          <w:i/>
        </w:rPr>
        <w:t>National Action Plan to Combat Human Trafficking and Slavery 2015–2019</w:t>
      </w:r>
      <w:r w:rsidRPr="00892424">
        <w:rPr>
          <w:rFonts w:cs="Arial"/>
        </w:rPr>
        <w:t xml:space="preserve"> (2014). At </w:t>
      </w:r>
      <w:hyperlink r:id="rId220" w:history="1">
        <w:r w:rsidRPr="00892424">
          <w:rPr>
            <w:rStyle w:val="Hyperlink"/>
            <w:rFonts w:cs="Arial"/>
          </w:rPr>
          <w:t>http://www.ag.gov.au/CrimeAndCorruption/HumanTrafficking/Pages/Australiasresponsetohumantrafficking.aspx</w:t>
        </w:r>
      </w:hyperlink>
      <w:r w:rsidRPr="00892424">
        <w:rPr>
          <w:rFonts w:cs="Arial"/>
        </w:rPr>
        <w:t xml:space="preserve"> (</w:t>
      </w:r>
      <w:r w:rsidRPr="00F94784">
        <w:rPr>
          <w:rFonts w:cs="Arial"/>
        </w:rPr>
        <w:t>viewed 11 September 2017</w:t>
      </w:r>
      <w:r w:rsidRPr="00892424">
        <w:rPr>
          <w:rFonts w:cs="Arial"/>
        </w:rPr>
        <w:t>).</w:t>
      </w:r>
    </w:p>
  </w:endnote>
  <w:endnote w:id="179">
    <w:p w14:paraId="757D03E0" w14:textId="77777777" w:rsidR="003126E0" w:rsidRPr="00892424" w:rsidRDefault="003126E0" w:rsidP="00BB083A">
      <w:pPr>
        <w:pStyle w:val="EndnoteText"/>
        <w:rPr>
          <w:rFonts w:cs="Arial"/>
        </w:rPr>
      </w:pPr>
      <w:r w:rsidRPr="00892424">
        <w:rPr>
          <w:rStyle w:val="EndnoteReference"/>
          <w:rFonts w:cs="Arial"/>
        </w:rPr>
        <w:endnoteRef/>
      </w:r>
      <w:r w:rsidRPr="00892424">
        <w:rPr>
          <w:rFonts w:cs="Arial"/>
        </w:rPr>
        <w:t xml:space="preserve"> Such as the reforms to the </w:t>
      </w:r>
      <w:r w:rsidRPr="00892424">
        <w:rPr>
          <w:rFonts w:cs="Arial"/>
          <w:color w:val="000000"/>
        </w:rPr>
        <w:t xml:space="preserve">Human Trafficking Visa Framework (2015) and Australia’s International Strategy to Combat Human Trafficking and Slavery (2016). </w:t>
      </w:r>
      <w:r w:rsidRPr="00892424">
        <w:rPr>
          <w:rFonts w:cs="Arial"/>
        </w:rPr>
        <w:t xml:space="preserve">This </w:t>
      </w:r>
      <w:r w:rsidRPr="00892424">
        <w:rPr>
          <w:rFonts w:cs="Arial"/>
          <w:color w:val="000000"/>
        </w:rPr>
        <w:t xml:space="preserve">Human Trafficking Visa Framework </w:t>
      </w:r>
      <w:r w:rsidRPr="00892424">
        <w:rPr>
          <w:rFonts w:cs="Arial"/>
        </w:rPr>
        <w:t>reforms included</w:t>
      </w:r>
      <w:r w:rsidRPr="00892424">
        <w:rPr>
          <w:rFonts w:cs="Arial"/>
          <w:color w:val="000000"/>
        </w:rPr>
        <w:t>: making it available for survivors of slavery and slavery-like practices; enabling recipients to maintain their lawful status; waiving the Newly Arrived Resident’s Waiting Period, which enables recipients to access English classes, social security payments and other services.</w:t>
      </w:r>
    </w:p>
  </w:endnote>
  <w:endnote w:id="180">
    <w:p w14:paraId="580A970B" w14:textId="399DAD51" w:rsidR="003126E0" w:rsidRPr="00A10D24" w:rsidRDefault="003126E0" w:rsidP="00A10D24">
      <w:pPr>
        <w:pStyle w:val="EndnoteText"/>
      </w:pPr>
      <w:r>
        <w:rPr>
          <w:rStyle w:val="EndnoteReference"/>
        </w:rPr>
        <w:endnoteRef/>
      </w:r>
      <w:r>
        <w:t xml:space="preserve"> T</w:t>
      </w:r>
      <w:r w:rsidRPr="00071754">
        <w:t xml:space="preserve">he </w:t>
      </w:r>
      <w:r>
        <w:t>Interdepartmental Committee</w:t>
      </w:r>
      <w:r w:rsidRPr="00071754">
        <w:t xml:space="preserve"> comprises of eleven government agencies that provide oversight of Australia’s response to human trafficking</w:t>
      </w:r>
      <w:r>
        <w:t xml:space="preserve">, including the </w:t>
      </w:r>
      <w:r w:rsidRPr="00071754">
        <w:t>Attorney-General’s Department</w:t>
      </w:r>
      <w:r>
        <w:t xml:space="preserve">, </w:t>
      </w:r>
      <w:r w:rsidRPr="00071754">
        <w:t>Australian Criminal Intelligence Commission</w:t>
      </w:r>
      <w:r>
        <w:t xml:space="preserve">, </w:t>
      </w:r>
      <w:r w:rsidRPr="00071754">
        <w:t>Australian Federal Police</w:t>
      </w:r>
      <w:r>
        <w:t xml:space="preserve">, </w:t>
      </w:r>
      <w:r w:rsidRPr="00071754">
        <w:t>Australian Institute of Criminology</w:t>
      </w:r>
      <w:r>
        <w:t xml:space="preserve">, </w:t>
      </w:r>
      <w:r w:rsidRPr="00071754">
        <w:t>Commonwealth Director of Public Prosecutions</w:t>
      </w:r>
      <w:r>
        <w:t xml:space="preserve">, </w:t>
      </w:r>
      <w:r w:rsidRPr="00071754">
        <w:t>Department of Employment</w:t>
      </w:r>
      <w:r>
        <w:t xml:space="preserve">, </w:t>
      </w:r>
      <w:r w:rsidRPr="00071754">
        <w:t>Department of Foreign Affairs and Trade</w:t>
      </w:r>
      <w:r>
        <w:t>,</w:t>
      </w:r>
      <w:r w:rsidRPr="00A10D24">
        <w:t xml:space="preserve"> Department of Immigration and Border Protection</w:t>
      </w:r>
      <w:r>
        <w:t xml:space="preserve">,  </w:t>
      </w:r>
      <w:r w:rsidRPr="00A10D24">
        <w:t>Department of Social Services</w:t>
      </w:r>
      <w:r>
        <w:t xml:space="preserve">, </w:t>
      </w:r>
      <w:r w:rsidRPr="00A10D24">
        <w:t>Department of Prime Minister and Cabinet</w:t>
      </w:r>
      <w:r>
        <w:t xml:space="preserve"> and </w:t>
      </w:r>
      <w:r w:rsidRPr="00A10D24">
        <w:t>Fair Work Ombudsman</w:t>
      </w:r>
      <w:r>
        <w:t xml:space="preserve">. See Attorney-General’s Department, Australian Government, </w:t>
      </w:r>
      <w:r>
        <w:rPr>
          <w:i/>
        </w:rPr>
        <w:t xml:space="preserve">Australia’s response to human trafficking. </w:t>
      </w:r>
      <w:r>
        <w:t xml:space="preserve">At </w:t>
      </w:r>
      <w:hyperlink r:id="rId221" w:history="1">
        <w:r w:rsidRPr="000A5C86">
          <w:rPr>
            <w:rStyle w:val="Hyperlink"/>
          </w:rPr>
          <w:t>https://www.ag.gov.au/CrimeAndCorruption/HumanTrafficking/Pages/Australias-response-to-human-trafficking.aspx</w:t>
        </w:r>
      </w:hyperlink>
      <w:r>
        <w:t xml:space="preserve"> (</w:t>
      </w:r>
      <w:r w:rsidRPr="00F94784">
        <w:t>viewed 11 September 2017</w:t>
      </w:r>
      <w:r>
        <w:t xml:space="preserve">). </w:t>
      </w:r>
    </w:p>
  </w:endnote>
  <w:endnote w:id="181">
    <w:p w14:paraId="295165C7" w14:textId="77777777" w:rsidR="003126E0" w:rsidRPr="00892424" w:rsidRDefault="003126E0" w:rsidP="00BB083A">
      <w:pPr>
        <w:pStyle w:val="EndnoteText"/>
        <w:rPr>
          <w:rFonts w:cs="Arial"/>
        </w:rPr>
      </w:pPr>
      <w:r w:rsidRPr="00892424">
        <w:rPr>
          <w:rStyle w:val="EndnoteReference"/>
          <w:rFonts w:cs="Arial"/>
        </w:rPr>
        <w:endnoteRef/>
      </w:r>
      <w:r w:rsidRPr="00892424">
        <w:rPr>
          <w:rFonts w:cs="Arial"/>
        </w:rPr>
        <w:t xml:space="preserve"> New offences were created through the </w:t>
      </w:r>
      <w:r w:rsidRPr="00892424">
        <w:rPr>
          <w:rFonts w:cs="Arial"/>
          <w:i/>
        </w:rPr>
        <w:t xml:space="preserve">Crimes Legislation Amendment (Slavery, Slavery-like Conditions and People Trafficking) Act 2013 </w:t>
      </w:r>
      <w:r w:rsidRPr="00892424">
        <w:rPr>
          <w:rFonts w:cs="Arial"/>
        </w:rPr>
        <w:t xml:space="preserve">(Cth), passed in 2012. The Act amends the </w:t>
      </w:r>
      <w:r w:rsidRPr="00892424">
        <w:rPr>
          <w:rFonts w:cs="Arial"/>
          <w:i/>
        </w:rPr>
        <w:t xml:space="preserve">Criminal Code Act 1995 </w:t>
      </w:r>
      <w:r w:rsidRPr="00892424">
        <w:rPr>
          <w:rFonts w:cs="Arial"/>
        </w:rPr>
        <w:t>(Cth) to introduce offences of servitude (s 270.5), forced labour (s 270.6A), deceptive recruiting for labour or services (s 270.7), forced marriage (s 270.7B), organ trafficking (s 271.7A – 271.7E), and harbouring a victim (s 271.7F).</w:t>
      </w:r>
    </w:p>
  </w:endnote>
  <w:endnote w:id="182">
    <w:p w14:paraId="32BA4289" w14:textId="77777777" w:rsidR="003126E0" w:rsidRPr="00892424" w:rsidRDefault="003126E0" w:rsidP="00BB083A">
      <w:pPr>
        <w:pStyle w:val="EndnoteText"/>
        <w:rPr>
          <w:rFonts w:cs="Arial"/>
        </w:rPr>
      </w:pPr>
      <w:r w:rsidRPr="00892424">
        <w:rPr>
          <w:rStyle w:val="EndnoteReference"/>
          <w:rFonts w:cs="Arial"/>
        </w:rPr>
        <w:endnoteRef/>
      </w:r>
      <w:r w:rsidRPr="00892424">
        <w:rPr>
          <w:rFonts w:cs="Arial"/>
        </w:rPr>
        <w:t xml:space="preserve"> The </w:t>
      </w:r>
      <w:r w:rsidRPr="00892424">
        <w:rPr>
          <w:rFonts w:cs="Arial"/>
          <w:i/>
        </w:rPr>
        <w:t xml:space="preserve">Crimes Legislation Amendment (Law Enforcement Integrity, Vulnerable Witness Protection and Other Measures) Act 2013 </w:t>
      </w:r>
      <w:r w:rsidRPr="00892424">
        <w:rPr>
          <w:rFonts w:cs="Arial"/>
        </w:rPr>
        <w:t>(Cth), extends</w:t>
      </w:r>
      <w:r w:rsidRPr="00892424">
        <w:rPr>
          <w:rFonts w:cs="Arial"/>
          <w:b/>
        </w:rPr>
        <w:t xml:space="preserve"> </w:t>
      </w:r>
      <w:r w:rsidRPr="00892424">
        <w:rPr>
          <w:rFonts w:cs="Arial"/>
        </w:rPr>
        <w:t>existing vulnerable witness protections to adult victims of slavery, slavery-like and human trafficking offences, and includes specific protections for witnesses who may be vulnerable due to a particular characteristic such as a disability or their cultural background. The Act also places the burden of proving the defendant was aged 18 or over on the prosecution.</w:t>
      </w:r>
    </w:p>
  </w:endnote>
  <w:endnote w:id="183">
    <w:p w14:paraId="2E9740EF" w14:textId="77777777" w:rsidR="003126E0" w:rsidRPr="00892424" w:rsidRDefault="003126E0" w:rsidP="00BB083A">
      <w:pPr>
        <w:pStyle w:val="Default"/>
        <w:rPr>
          <w:rFonts w:ascii="Arial" w:hAnsi="Arial" w:cs="Arial"/>
          <w:sz w:val="20"/>
          <w:szCs w:val="20"/>
        </w:rPr>
      </w:pPr>
      <w:r w:rsidRPr="00892424">
        <w:rPr>
          <w:rStyle w:val="EndnoteReference"/>
          <w:rFonts w:cs="Arial"/>
          <w:szCs w:val="20"/>
        </w:rPr>
        <w:endnoteRef/>
      </w:r>
      <w:r w:rsidRPr="00892424">
        <w:rPr>
          <w:rFonts w:ascii="Arial" w:hAnsi="Arial" w:cs="Arial"/>
          <w:sz w:val="20"/>
          <w:szCs w:val="20"/>
        </w:rPr>
        <w:t xml:space="preserve"> </w:t>
      </w:r>
      <w:r w:rsidRPr="0033315D">
        <w:rPr>
          <w:rFonts w:ascii="Arial" w:hAnsi="Arial" w:cs="Arial"/>
          <w:sz w:val="20"/>
          <w:szCs w:val="20"/>
        </w:rPr>
        <w:t>Joy Ngozi Ezeilo</w:t>
      </w:r>
      <w:r>
        <w:rPr>
          <w:rFonts w:ascii="Arial" w:hAnsi="Arial" w:cs="Arial"/>
          <w:sz w:val="20"/>
          <w:szCs w:val="20"/>
        </w:rPr>
        <w:t>, United Nations</w:t>
      </w:r>
      <w:r w:rsidRPr="0033315D">
        <w:rPr>
          <w:rFonts w:ascii="Arial" w:hAnsi="Arial" w:cs="Arial"/>
          <w:sz w:val="20"/>
          <w:szCs w:val="20"/>
        </w:rPr>
        <w:t xml:space="preserve"> </w:t>
      </w:r>
      <w:r w:rsidRPr="00892424">
        <w:rPr>
          <w:rFonts w:ascii="Arial" w:hAnsi="Arial" w:cs="Arial"/>
          <w:bCs/>
          <w:sz w:val="20"/>
          <w:szCs w:val="20"/>
        </w:rPr>
        <w:t xml:space="preserve">Special Rapporteur on trafficking in persons, especially women and children, </w:t>
      </w:r>
      <w:r w:rsidRPr="00892424">
        <w:rPr>
          <w:rFonts w:ascii="Arial" w:hAnsi="Arial" w:cs="Arial"/>
          <w:bCs/>
          <w:i/>
          <w:sz w:val="20"/>
          <w:szCs w:val="20"/>
        </w:rPr>
        <w:t>Mission to Australia</w:t>
      </w:r>
      <w:r w:rsidRPr="00892424">
        <w:rPr>
          <w:rFonts w:ascii="Arial" w:hAnsi="Arial" w:cs="Arial"/>
          <w:bCs/>
          <w:sz w:val="20"/>
          <w:szCs w:val="20"/>
        </w:rPr>
        <w:t xml:space="preserve">, </w:t>
      </w:r>
      <w:r w:rsidRPr="00892424">
        <w:rPr>
          <w:rFonts w:ascii="Arial" w:hAnsi="Arial" w:cs="Arial"/>
          <w:sz w:val="20"/>
          <w:szCs w:val="20"/>
        </w:rPr>
        <w:t xml:space="preserve">(2012), </w:t>
      </w:r>
      <w:r w:rsidRPr="00892424">
        <w:rPr>
          <w:rFonts w:ascii="Arial" w:hAnsi="Arial" w:cs="Arial"/>
          <w:bCs/>
          <w:sz w:val="20"/>
          <w:szCs w:val="20"/>
        </w:rPr>
        <w:t xml:space="preserve">UN Doc </w:t>
      </w:r>
      <w:r w:rsidRPr="00892424">
        <w:rPr>
          <w:rFonts w:ascii="Arial" w:hAnsi="Arial" w:cs="Arial"/>
          <w:sz w:val="20"/>
          <w:szCs w:val="20"/>
        </w:rPr>
        <w:t xml:space="preserve">A/HRC/20/18/Add.1, para 82 (g). At </w:t>
      </w:r>
      <w:hyperlink r:id="rId222" w:history="1">
        <w:r w:rsidRPr="00892424">
          <w:rPr>
            <w:rStyle w:val="Hyperlink"/>
            <w:rFonts w:ascii="Arial" w:hAnsi="Arial" w:cs="Arial"/>
            <w:sz w:val="20"/>
            <w:szCs w:val="20"/>
          </w:rPr>
          <w:t>http://www.ohchr.org/EN/Issues/Trafficking/Pages/Visits.aspx</w:t>
        </w:r>
      </w:hyperlink>
      <w:r>
        <w:rPr>
          <w:rFonts w:ascii="Arial" w:hAnsi="Arial" w:cs="Arial"/>
          <w:sz w:val="20"/>
          <w:szCs w:val="20"/>
        </w:rPr>
        <w:t xml:space="preserve"> (</w:t>
      </w:r>
      <w:r w:rsidRPr="00F94784">
        <w:rPr>
          <w:rFonts w:ascii="Arial" w:hAnsi="Arial" w:cs="Arial"/>
          <w:sz w:val="20"/>
          <w:szCs w:val="20"/>
        </w:rPr>
        <w:t>viewed 11 September 2017</w:t>
      </w:r>
      <w:r>
        <w:rPr>
          <w:rFonts w:ascii="Arial" w:hAnsi="Arial" w:cs="Arial"/>
          <w:sz w:val="20"/>
          <w:szCs w:val="20"/>
        </w:rPr>
        <w:t xml:space="preserve">); </w:t>
      </w:r>
    </w:p>
    <w:p w14:paraId="7BA2EF61" w14:textId="77777777" w:rsidR="003126E0" w:rsidRPr="00892424" w:rsidRDefault="003126E0" w:rsidP="00BB083A">
      <w:pPr>
        <w:autoSpaceDE w:val="0"/>
        <w:autoSpaceDN w:val="0"/>
        <w:adjustRightInd w:val="0"/>
        <w:spacing w:before="0" w:after="0"/>
        <w:rPr>
          <w:rFonts w:cs="Arial"/>
          <w:sz w:val="20"/>
          <w:szCs w:val="20"/>
        </w:rPr>
      </w:pPr>
      <w:r w:rsidRPr="00892424">
        <w:rPr>
          <w:rFonts w:cs="Arial"/>
          <w:sz w:val="20"/>
          <w:szCs w:val="20"/>
        </w:rPr>
        <w:t xml:space="preserve">Joint Standing Committee on Foreign Affairs, Defence and Trade, </w:t>
      </w:r>
      <w:r w:rsidRPr="00892424">
        <w:rPr>
          <w:rFonts w:cs="Arial"/>
          <w:i/>
          <w:sz w:val="20"/>
          <w:szCs w:val="20"/>
        </w:rPr>
        <w:t>Trading Lives: Modern Day Human Trafficking</w:t>
      </w:r>
      <w:r w:rsidRPr="00892424">
        <w:rPr>
          <w:rFonts w:cs="Arial"/>
          <w:sz w:val="20"/>
          <w:szCs w:val="20"/>
        </w:rPr>
        <w:t xml:space="preserve"> (2013). At </w:t>
      </w:r>
      <w:hyperlink r:id="rId223" w:history="1">
        <w:r w:rsidRPr="00892424">
          <w:rPr>
            <w:rStyle w:val="Hyperlink"/>
            <w:rFonts w:cs="Arial"/>
            <w:sz w:val="20"/>
            <w:szCs w:val="20"/>
          </w:rPr>
          <w:t>http://www.aph.gov.au/parliamentary_business/committees/house_of_representatives_committees?url=jfadt/slavery_people_trafficking/report.htm</w:t>
        </w:r>
      </w:hyperlink>
      <w:r w:rsidRPr="00892424">
        <w:rPr>
          <w:rFonts w:cs="Arial"/>
          <w:sz w:val="20"/>
          <w:szCs w:val="20"/>
        </w:rPr>
        <w:t xml:space="preserve"> (</w:t>
      </w:r>
      <w:r w:rsidRPr="00F94784">
        <w:rPr>
          <w:rFonts w:cs="Arial"/>
          <w:sz w:val="20"/>
          <w:szCs w:val="20"/>
        </w:rPr>
        <w:t>viewed 11 September 2017</w:t>
      </w:r>
      <w:r w:rsidRPr="00892424">
        <w:rPr>
          <w:rFonts w:cs="Arial"/>
          <w:sz w:val="20"/>
          <w:szCs w:val="20"/>
        </w:rPr>
        <w:t>).</w:t>
      </w:r>
    </w:p>
  </w:endnote>
  <w:endnote w:id="184">
    <w:p w14:paraId="34C66548" w14:textId="710EE09A" w:rsidR="003126E0" w:rsidRPr="00892424" w:rsidRDefault="003126E0" w:rsidP="00BB083A">
      <w:pPr>
        <w:pStyle w:val="EndnoteText"/>
        <w:rPr>
          <w:rFonts w:cs="Arial"/>
        </w:rPr>
      </w:pPr>
      <w:r w:rsidRPr="00892424">
        <w:rPr>
          <w:rStyle w:val="EndnoteReference"/>
          <w:rFonts w:cs="Arial"/>
        </w:rPr>
        <w:endnoteRef/>
      </w:r>
      <w:r w:rsidRPr="00892424">
        <w:rPr>
          <w:rFonts w:cs="Arial"/>
        </w:rPr>
        <w:t xml:space="preserve"> Australian Human Rights Commission, </w:t>
      </w:r>
      <w:r w:rsidRPr="00197D72">
        <w:rPr>
          <w:rFonts w:cs="Arial"/>
          <w:lang w:val="en"/>
        </w:rPr>
        <w:t>Submission No 23 to Parliamentary Joint Committee on Law Enforcement</w:t>
      </w:r>
      <w:r>
        <w:rPr>
          <w:rFonts w:cs="Arial"/>
          <w:lang w:val="en"/>
        </w:rPr>
        <w:t>,</w:t>
      </w:r>
      <w:r w:rsidRPr="00892424">
        <w:rPr>
          <w:rFonts w:cs="Arial"/>
          <w:i/>
          <w:lang w:val="en"/>
        </w:rPr>
        <w:t xml:space="preserve"> Inquiry into Human Trafficking</w:t>
      </w:r>
      <w:r w:rsidRPr="00892424">
        <w:rPr>
          <w:rFonts w:cs="Arial"/>
          <w:lang w:val="en"/>
        </w:rPr>
        <w:t xml:space="preserve"> (</w:t>
      </w:r>
      <w:r>
        <w:rPr>
          <w:rFonts w:cs="Arial"/>
          <w:lang w:val="en"/>
        </w:rPr>
        <w:t xml:space="preserve">4 March </w:t>
      </w:r>
      <w:r w:rsidRPr="00892424">
        <w:rPr>
          <w:rFonts w:cs="Arial"/>
          <w:lang w:val="en"/>
        </w:rPr>
        <w:t xml:space="preserve">2016). At </w:t>
      </w:r>
      <w:hyperlink r:id="rId224" w:history="1">
        <w:r w:rsidRPr="00892424">
          <w:rPr>
            <w:rStyle w:val="Hyperlink"/>
            <w:rFonts w:cs="Arial"/>
            <w:lang w:val="en"/>
          </w:rPr>
          <w:t>http://www.humanrights.gov.au/submissions/submission-inquiry-human-trafficking-2016</w:t>
        </w:r>
      </w:hyperlink>
      <w:r w:rsidRPr="00892424">
        <w:rPr>
          <w:rFonts w:cs="Arial"/>
          <w:lang w:val="en"/>
        </w:rPr>
        <w:t xml:space="preserve"> (</w:t>
      </w:r>
      <w:r w:rsidRPr="00F94784">
        <w:rPr>
          <w:rFonts w:cs="Arial"/>
          <w:lang w:val="en"/>
        </w:rPr>
        <w:t>viewed 11 September 2017</w:t>
      </w:r>
      <w:r w:rsidRPr="00892424">
        <w:rPr>
          <w:rFonts w:cs="Arial"/>
          <w:lang w:val="en"/>
        </w:rPr>
        <w:t>).</w:t>
      </w:r>
    </w:p>
  </w:endnote>
  <w:endnote w:id="185">
    <w:p w14:paraId="3A285D8A" w14:textId="42DAB123" w:rsidR="003126E0" w:rsidRPr="00892424" w:rsidRDefault="003126E0" w:rsidP="00BB083A">
      <w:pPr>
        <w:pStyle w:val="EndnoteText"/>
        <w:rPr>
          <w:rFonts w:cs="Arial"/>
        </w:rPr>
      </w:pPr>
      <w:r w:rsidRPr="00892424">
        <w:rPr>
          <w:rStyle w:val="EndnoteReference"/>
          <w:rFonts w:cs="Arial"/>
        </w:rPr>
        <w:endnoteRef/>
      </w:r>
      <w:r w:rsidRPr="00892424">
        <w:rPr>
          <w:rFonts w:cs="Arial"/>
        </w:rPr>
        <w:t xml:space="preserve"> Australian Human Rights Commission, </w:t>
      </w:r>
      <w:r w:rsidRPr="002D2AC4">
        <w:rPr>
          <w:rFonts w:cs="Arial"/>
          <w:lang w:val="en"/>
        </w:rPr>
        <w:t>Submission No 23 to Parliamentary Joint Committee on Law Enforcement</w:t>
      </w:r>
      <w:r>
        <w:rPr>
          <w:rFonts w:cs="Arial"/>
          <w:lang w:val="en"/>
        </w:rPr>
        <w:t>,</w:t>
      </w:r>
      <w:r w:rsidRPr="00892424">
        <w:rPr>
          <w:rFonts w:cs="Arial"/>
          <w:i/>
          <w:lang w:val="en"/>
        </w:rPr>
        <w:t xml:space="preserve"> Inquiry into Human Trafficking</w:t>
      </w:r>
      <w:r w:rsidRPr="00892424">
        <w:rPr>
          <w:rFonts w:cs="Arial"/>
          <w:lang w:val="en"/>
        </w:rPr>
        <w:t xml:space="preserve"> (</w:t>
      </w:r>
      <w:r>
        <w:rPr>
          <w:rFonts w:cs="Arial"/>
          <w:lang w:val="en"/>
        </w:rPr>
        <w:t>4 March 2016)</w:t>
      </w:r>
      <w:r w:rsidRPr="00892424">
        <w:rPr>
          <w:rFonts w:cs="Arial"/>
          <w:lang w:val="en"/>
        </w:rPr>
        <w:t xml:space="preserve">. At </w:t>
      </w:r>
      <w:hyperlink r:id="rId225" w:history="1">
        <w:r w:rsidRPr="00892424">
          <w:rPr>
            <w:rStyle w:val="Hyperlink"/>
            <w:rFonts w:cs="Arial"/>
            <w:lang w:val="en"/>
          </w:rPr>
          <w:t>http://www.humanrights.gov.au/submissions/submission-inquiry-human-trafficking-2016</w:t>
        </w:r>
      </w:hyperlink>
      <w:r w:rsidRPr="00892424">
        <w:rPr>
          <w:rFonts w:cs="Arial"/>
          <w:lang w:val="en"/>
        </w:rPr>
        <w:t xml:space="preserve"> (</w:t>
      </w:r>
      <w:r w:rsidRPr="00F94784">
        <w:rPr>
          <w:rFonts w:cs="Arial"/>
          <w:lang w:val="en"/>
        </w:rPr>
        <w:t>viewed 11 September 2017</w:t>
      </w:r>
      <w:r w:rsidRPr="00892424">
        <w:rPr>
          <w:rFonts w:cs="Arial"/>
          <w:lang w:val="en"/>
        </w:rPr>
        <w:t>).</w:t>
      </w:r>
    </w:p>
  </w:endnote>
  <w:endnote w:id="186">
    <w:p w14:paraId="39993D91" w14:textId="096C6314" w:rsidR="003126E0" w:rsidRPr="00892424" w:rsidRDefault="003126E0" w:rsidP="00BB083A">
      <w:pPr>
        <w:pStyle w:val="EndnoteText"/>
        <w:rPr>
          <w:rFonts w:cs="Arial"/>
        </w:rPr>
      </w:pPr>
      <w:r w:rsidRPr="00892424">
        <w:rPr>
          <w:rStyle w:val="EndnoteReference"/>
          <w:rFonts w:cs="Arial"/>
        </w:rPr>
        <w:endnoteRef/>
      </w:r>
      <w:r w:rsidRPr="00892424">
        <w:rPr>
          <w:rFonts w:cs="Arial"/>
        </w:rPr>
        <w:t xml:space="preserve"> </w:t>
      </w:r>
      <w:r>
        <w:t xml:space="preserve">Unregulated </w:t>
      </w:r>
      <w:r w:rsidRPr="00AC0009">
        <w:rPr>
          <w:lang w:val="en"/>
        </w:rPr>
        <w:t>surrogacy</w:t>
      </w:r>
      <w:r>
        <w:t xml:space="preserve"> arrangements can interfere with a surrogate mother’s right to bodily integrity and to be free from subjection to cruel, inhuman or degrading treatment or to medical or scientific experimentation without consent. </w:t>
      </w:r>
      <w:r w:rsidRPr="00892424">
        <w:rPr>
          <w:rFonts w:cs="Arial"/>
        </w:rPr>
        <w:t xml:space="preserve">Australian Human Rights Commission, Submission No. 67 to the House of Representatives Standing Committee on Social Policy and Legal Affairs </w:t>
      </w:r>
      <w:r w:rsidRPr="00892424">
        <w:rPr>
          <w:rFonts w:cs="Arial"/>
          <w:i/>
        </w:rPr>
        <w:t xml:space="preserve">Inquiry into the </w:t>
      </w:r>
      <w:r>
        <w:rPr>
          <w:rFonts w:cs="Arial"/>
          <w:i/>
        </w:rPr>
        <w:t>R</w:t>
      </w:r>
      <w:r w:rsidRPr="00892424">
        <w:rPr>
          <w:rFonts w:cs="Arial"/>
          <w:i/>
        </w:rPr>
        <w:t xml:space="preserve">egulatory and </w:t>
      </w:r>
      <w:r>
        <w:rPr>
          <w:rFonts w:cs="Arial"/>
          <w:i/>
        </w:rPr>
        <w:t>L</w:t>
      </w:r>
      <w:r w:rsidRPr="00892424">
        <w:rPr>
          <w:rFonts w:cs="Arial"/>
          <w:i/>
        </w:rPr>
        <w:t xml:space="preserve">egislative </w:t>
      </w:r>
      <w:r>
        <w:rPr>
          <w:rFonts w:cs="Arial"/>
          <w:i/>
        </w:rPr>
        <w:t>Aspects of I</w:t>
      </w:r>
      <w:r w:rsidRPr="00892424">
        <w:rPr>
          <w:rFonts w:cs="Arial"/>
          <w:i/>
        </w:rPr>
        <w:t xml:space="preserve">nternational and </w:t>
      </w:r>
      <w:r>
        <w:rPr>
          <w:rFonts w:cs="Arial"/>
          <w:i/>
        </w:rPr>
        <w:t>D</w:t>
      </w:r>
      <w:r w:rsidRPr="00892424">
        <w:rPr>
          <w:rFonts w:cs="Arial"/>
          <w:i/>
        </w:rPr>
        <w:t xml:space="preserve">omestic </w:t>
      </w:r>
      <w:r>
        <w:rPr>
          <w:rFonts w:cs="Arial"/>
          <w:i/>
        </w:rPr>
        <w:t>S</w:t>
      </w:r>
      <w:r w:rsidRPr="00892424">
        <w:rPr>
          <w:rFonts w:cs="Arial"/>
          <w:i/>
        </w:rPr>
        <w:t xml:space="preserve">urrogacy </w:t>
      </w:r>
      <w:r>
        <w:rPr>
          <w:rFonts w:cs="Arial"/>
          <w:i/>
        </w:rPr>
        <w:t>A</w:t>
      </w:r>
      <w:r w:rsidRPr="00892424">
        <w:rPr>
          <w:rFonts w:cs="Arial"/>
          <w:i/>
        </w:rPr>
        <w:t>rrangements</w:t>
      </w:r>
      <w:r w:rsidRPr="00892424">
        <w:rPr>
          <w:rFonts w:cs="Arial"/>
        </w:rPr>
        <w:t xml:space="preserve">, </w:t>
      </w:r>
      <w:r>
        <w:rPr>
          <w:rFonts w:cs="Arial"/>
        </w:rPr>
        <w:t xml:space="preserve">17 </w:t>
      </w:r>
      <w:r w:rsidRPr="00892424">
        <w:rPr>
          <w:rFonts w:cs="Arial"/>
        </w:rPr>
        <w:t xml:space="preserve">February 2016, </w:t>
      </w:r>
      <w:r>
        <w:rPr>
          <w:rFonts w:cs="Arial"/>
        </w:rPr>
        <w:t xml:space="preserve">8 </w:t>
      </w:r>
      <w:r w:rsidRPr="00892424">
        <w:rPr>
          <w:rFonts w:cs="Arial"/>
        </w:rPr>
        <w:t xml:space="preserve">[25]-[27]. At </w:t>
      </w:r>
      <w:hyperlink r:id="rId226" w:history="1">
        <w:r w:rsidRPr="000A5C86">
          <w:rPr>
            <w:rStyle w:val="Hyperlink"/>
          </w:rPr>
          <w:t>http://www.aph.gov.au/DocumentStore.ashx?id=dedb38e1-e23a-44fb-99be-9f4bea82f9ba&amp;subId=409138</w:t>
        </w:r>
      </w:hyperlink>
      <w:r>
        <w:t xml:space="preserve">  </w:t>
      </w:r>
      <w:r w:rsidRPr="00892424">
        <w:rPr>
          <w:rFonts w:cs="Arial"/>
        </w:rPr>
        <w:t>(</w:t>
      </w:r>
      <w:r w:rsidRPr="00BF602B">
        <w:rPr>
          <w:rFonts w:cs="Arial"/>
        </w:rPr>
        <w:t xml:space="preserve">viewed </w:t>
      </w:r>
      <w:r>
        <w:rPr>
          <w:rFonts w:cs="Arial"/>
        </w:rPr>
        <w:t>11 September 2017</w:t>
      </w:r>
      <w:r w:rsidRPr="00892424">
        <w:rPr>
          <w:rFonts w:cs="Arial"/>
        </w:rPr>
        <w:t>).</w:t>
      </w:r>
    </w:p>
  </w:endnote>
  <w:endnote w:id="187">
    <w:p w14:paraId="7586D3B1" w14:textId="77777777" w:rsidR="003126E0" w:rsidRPr="00892424" w:rsidRDefault="003126E0" w:rsidP="00BB083A">
      <w:pPr>
        <w:pStyle w:val="EndnoteText"/>
        <w:rPr>
          <w:rFonts w:cs="Arial"/>
        </w:rPr>
      </w:pPr>
      <w:r w:rsidRPr="00892424">
        <w:rPr>
          <w:rStyle w:val="EndnoteReference"/>
          <w:rFonts w:cs="Arial"/>
        </w:rPr>
        <w:endnoteRef/>
      </w:r>
      <w:r w:rsidRPr="00892424">
        <w:rPr>
          <w:rFonts w:cs="Arial"/>
        </w:rPr>
        <w:t xml:space="preserve"> </w:t>
      </w:r>
      <w:r w:rsidRPr="00892424">
        <w:rPr>
          <w:rFonts w:eastAsia="Calibri" w:cs="Arial"/>
          <w:lang w:val="en-US" w:eastAsia="en-US"/>
        </w:rPr>
        <w:t xml:space="preserve">House of Representatives Standing Committee on Social Policy and Legal Affairs, Parliament of Australia, </w:t>
      </w:r>
      <w:r w:rsidRPr="00892424">
        <w:rPr>
          <w:rFonts w:eastAsia="Calibri" w:cs="Arial"/>
          <w:i/>
          <w:lang w:val="en-US" w:eastAsia="en-US"/>
        </w:rPr>
        <w:t xml:space="preserve">Surrogacy Matters </w:t>
      </w:r>
      <w:r w:rsidRPr="00892424">
        <w:rPr>
          <w:rFonts w:eastAsia="Calibri" w:cs="Arial"/>
          <w:lang w:val="en-US" w:eastAsia="en-US"/>
        </w:rPr>
        <w:t xml:space="preserve">(2016). At </w:t>
      </w:r>
      <w:hyperlink r:id="rId227" w:history="1">
        <w:r w:rsidRPr="00892424">
          <w:rPr>
            <w:rFonts w:eastAsia="Calibri" w:cs="Arial"/>
            <w:color w:val="0000FF"/>
            <w:u w:val="single"/>
            <w:lang w:val="en-US" w:eastAsia="en-US"/>
          </w:rPr>
          <w:t>http://www.aph.gov.au/Parliamentary_Business/Committees/House/Social_Policy_and_Legal_Affairs/Inquiry_into_surrogacy/Report</w:t>
        </w:r>
      </w:hyperlink>
      <w:r w:rsidRPr="00892424">
        <w:rPr>
          <w:rFonts w:eastAsia="Calibri" w:cs="Arial"/>
          <w:lang w:val="en-US" w:eastAsia="en-US"/>
        </w:rPr>
        <w:t xml:space="preserve"> (</w:t>
      </w:r>
      <w:r w:rsidRPr="00BF602B">
        <w:rPr>
          <w:rFonts w:cs="Arial"/>
        </w:rPr>
        <w:t xml:space="preserve">viewed </w:t>
      </w:r>
      <w:r>
        <w:rPr>
          <w:rFonts w:cs="Arial"/>
        </w:rPr>
        <w:t>11 September 2017</w:t>
      </w:r>
      <w:r w:rsidRPr="00892424">
        <w:rPr>
          <w:rFonts w:eastAsia="Calibri" w:cs="Arial"/>
          <w:lang w:val="en-US" w:eastAsia="en-US"/>
        </w:rPr>
        <w:t>).</w:t>
      </w:r>
      <w:r>
        <w:rPr>
          <w:rFonts w:eastAsia="Calibri" w:cs="Arial"/>
          <w:lang w:val="en-US" w:eastAsia="en-US"/>
        </w:rPr>
        <w:t xml:space="preserve"> </w:t>
      </w:r>
      <w:r w:rsidRPr="00892424">
        <w:rPr>
          <w:rFonts w:cs="Arial"/>
        </w:rPr>
        <w:t>The Committee’s 10 recommendations concern improving access to well-regulated and lawful domestic surrogacy arrangements so that there is less need for Australians to travel overseas to engage in surrogacy (Recommendations 1-6), and to promote better protection of the human rights of birth mothers and the children they carry on behalf of Australian citizens involved in international surrogacy arrangements (Recommendations 7-10). If the recommendations are adopted, it will be a step towards more uniform domestic laws that provide increased access to well-regulated surrogacy arrangements in Australia, and increased scrutiny of the practices in other countries which should lead to better human rights outcomes.</w:t>
      </w:r>
    </w:p>
  </w:endnote>
  <w:endnote w:id="188">
    <w:p w14:paraId="507433F2" w14:textId="77777777" w:rsidR="003126E0" w:rsidRPr="00892424" w:rsidRDefault="003126E0" w:rsidP="00B8300D">
      <w:pPr>
        <w:pStyle w:val="EndnoteText"/>
        <w:rPr>
          <w:rFonts w:cs="Arial"/>
        </w:rPr>
      </w:pPr>
      <w:r w:rsidRPr="00892424">
        <w:rPr>
          <w:rStyle w:val="EndnoteReference"/>
          <w:rFonts w:cs="Arial"/>
        </w:rPr>
        <w:endnoteRef/>
      </w:r>
      <w:r w:rsidRPr="00892424">
        <w:rPr>
          <w:rFonts w:cs="Arial"/>
        </w:rPr>
        <w:t xml:space="preserve"> </w:t>
      </w:r>
      <w:r>
        <w:rPr>
          <w:rFonts w:cs="Arial"/>
        </w:rPr>
        <w:t>The Global Compact Network Australia</w:t>
      </w:r>
      <w:r w:rsidRPr="00892424">
        <w:rPr>
          <w:rFonts w:cs="Arial"/>
        </w:rPr>
        <w:t xml:space="preserve"> is comprised on business stakeholders ranging from multi-nationals and top 200 companies down to smaller enterprises.</w:t>
      </w:r>
    </w:p>
  </w:endnote>
  <w:endnote w:id="189">
    <w:p w14:paraId="14F9B47E" w14:textId="77777777" w:rsidR="003126E0" w:rsidRPr="00A04DB6" w:rsidRDefault="003126E0" w:rsidP="00403EB4">
      <w:pPr>
        <w:pStyle w:val="EndnoteText"/>
        <w:rPr>
          <w:rFonts w:cs="Arial"/>
        </w:rPr>
      </w:pPr>
      <w:r w:rsidRPr="00892424">
        <w:rPr>
          <w:rStyle w:val="EndnoteReference"/>
          <w:rFonts w:cs="Arial"/>
        </w:rPr>
        <w:endnoteRef/>
      </w:r>
      <w:r w:rsidRPr="00892424">
        <w:rPr>
          <w:rFonts w:cs="Arial"/>
        </w:rPr>
        <w:t xml:space="preserve"> </w:t>
      </w:r>
      <w:r w:rsidRPr="00892424">
        <w:rPr>
          <w:rFonts w:cs="Arial"/>
          <w:i/>
        </w:rPr>
        <w:t>Report of the Working Group on the Universal Periodic Review</w:t>
      </w:r>
      <w:r w:rsidRPr="00892424">
        <w:rPr>
          <w:rFonts w:cs="Arial"/>
        </w:rPr>
        <w:t xml:space="preserve"> </w:t>
      </w:r>
      <w:r w:rsidRPr="00892424">
        <w:rPr>
          <w:rFonts w:cs="Arial"/>
          <w:i/>
        </w:rPr>
        <w:t>Australia</w:t>
      </w:r>
      <w:r w:rsidRPr="00892424">
        <w:rPr>
          <w:rFonts w:cs="Arial"/>
        </w:rPr>
        <w:t>, HRC, 31</w:t>
      </w:r>
      <w:r w:rsidRPr="00892424">
        <w:rPr>
          <w:rFonts w:cs="Arial"/>
          <w:vertAlign w:val="superscript"/>
        </w:rPr>
        <w:t>st</w:t>
      </w:r>
      <w:r w:rsidRPr="00892424">
        <w:rPr>
          <w:rFonts w:cs="Arial"/>
        </w:rPr>
        <w:t xml:space="preserve"> sess, Agenda Item 6, Addendum 1, UN Doc A/HRC/31/14 (31 Janua</w:t>
      </w:r>
      <w:r w:rsidRPr="00A04DB6">
        <w:rPr>
          <w:rFonts w:cs="Arial"/>
        </w:rPr>
        <w:t xml:space="preserve">ry 2016) [63]. At </w:t>
      </w:r>
      <w:hyperlink r:id="rId228" w:history="1">
        <w:r w:rsidRPr="00A04DB6">
          <w:rPr>
            <w:rStyle w:val="Hyperlink"/>
            <w:rFonts w:cs="Arial"/>
          </w:rPr>
          <w:t>http://www.ohchr.org/EN/HRBodies/UPR/Pages/AUIndex.aspx</w:t>
        </w:r>
      </w:hyperlink>
      <w:r w:rsidRPr="00A04DB6">
        <w:rPr>
          <w:rFonts w:cs="Arial"/>
        </w:rPr>
        <w:t xml:space="preserve">  (</w:t>
      </w:r>
      <w:r w:rsidRPr="00BF602B">
        <w:rPr>
          <w:rFonts w:cs="Arial"/>
        </w:rPr>
        <w:t xml:space="preserve">viewed </w:t>
      </w:r>
      <w:r>
        <w:rPr>
          <w:rFonts w:cs="Arial"/>
        </w:rPr>
        <w:t>11 September 2017</w:t>
      </w:r>
      <w:r w:rsidRPr="00A04DB6">
        <w:rPr>
          <w:rFonts w:cs="Arial"/>
        </w:rPr>
        <w:t>).</w:t>
      </w:r>
    </w:p>
  </w:endnote>
  <w:endnote w:id="190">
    <w:p w14:paraId="4A8DF6A0" w14:textId="7745E446" w:rsidR="003126E0" w:rsidRPr="00F978D1" w:rsidRDefault="003126E0" w:rsidP="00141EAD">
      <w:pPr>
        <w:pStyle w:val="EndnoteText"/>
        <w:rPr>
          <w:rFonts w:cs="Arial"/>
        </w:rPr>
      </w:pPr>
      <w:r w:rsidRPr="00A04DB6">
        <w:rPr>
          <w:rStyle w:val="EndnoteReference"/>
          <w:rFonts w:cs="Arial"/>
        </w:rPr>
        <w:endnoteRef/>
      </w:r>
      <w:r w:rsidRPr="00A04DB6">
        <w:rPr>
          <w:rFonts w:cs="Arial"/>
        </w:rPr>
        <w:t xml:space="preserve"> Attorney-General’s Department, Australian Government, </w:t>
      </w:r>
      <w:r w:rsidRPr="00A04DB6">
        <w:rPr>
          <w:rFonts w:cs="Arial"/>
          <w:i/>
        </w:rPr>
        <w:t xml:space="preserve">Modern Slavery in Supply Chains Reporting Requirement (Public Consultation Paper and Regulation Impact Statement) </w:t>
      </w:r>
      <w:r w:rsidRPr="00A04DB6">
        <w:rPr>
          <w:rFonts w:cs="Arial"/>
        </w:rPr>
        <w:t xml:space="preserve">(2017) 5. At </w:t>
      </w:r>
      <w:hyperlink r:id="rId229" w:history="1">
        <w:r w:rsidRPr="00A04DB6">
          <w:rPr>
            <w:rStyle w:val="Hyperlink"/>
            <w:rFonts w:cs="Arial"/>
          </w:rPr>
          <w:t>https://www.ag.gov.au/Consultations/Pages/modern-slavery-in-supply-chains-reporting-requirement-public-consultation.aspx</w:t>
        </w:r>
      </w:hyperlink>
      <w:r w:rsidRPr="00A04DB6">
        <w:rPr>
          <w:rFonts w:cs="Arial"/>
        </w:rPr>
        <w:t xml:space="preserve"> (</w:t>
      </w:r>
      <w:r w:rsidRPr="00BF602B">
        <w:rPr>
          <w:rFonts w:cs="Arial"/>
        </w:rPr>
        <w:t xml:space="preserve">viewed </w:t>
      </w:r>
      <w:r>
        <w:rPr>
          <w:rFonts w:cs="Arial"/>
        </w:rPr>
        <w:t xml:space="preserve">11 September 2017); The Hon Michael Keenan MP, Minister for Justice, ‘Proposed new laws to help end modern slavery’ (Media release, 16 August 2017). At </w:t>
      </w:r>
      <w:hyperlink r:id="rId230" w:history="1">
        <w:r w:rsidRPr="00A248BB">
          <w:rPr>
            <w:rStyle w:val="Hyperlink"/>
            <w:rFonts w:cs="Arial"/>
          </w:rPr>
          <w:t>https://www.ministerjustice.gov.au/Media/Pages/Proposed-new-laws-to-help-end-modern-slavery-16-August-2017.aspx/</w:t>
        </w:r>
      </w:hyperlink>
      <w:r>
        <w:rPr>
          <w:rFonts w:cs="Arial"/>
        </w:rPr>
        <w:t xml:space="preserve"> (viewed 11 September 2017). </w:t>
      </w:r>
      <w:r w:rsidRPr="00A04DB6">
        <w:rPr>
          <w:rFonts w:cs="Arial"/>
        </w:rPr>
        <w:t xml:space="preserve"> </w:t>
      </w:r>
    </w:p>
  </w:endnote>
  <w:endnote w:id="191">
    <w:p w14:paraId="433B4273" w14:textId="77777777" w:rsidR="003126E0" w:rsidRPr="00CC24E1" w:rsidRDefault="003126E0">
      <w:pPr>
        <w:pStyle w:val="EndnoteText"/>
        <w:rPr>
          <w:rFonts w:cs="Arial"/>
          <w:highlight w:val="yellow"/>
        </w:rPr>
      </w:pPr>
      <w:r w:rsidRPr="00F978D1">
        <w:rPr>
          <w:rStyle w:val="EndnoteReference"/>
          <w:rFonts w:cs="Arial"/>
        </w:rPr>
        <w:endnoteRef/>
      </w:r>
      <w:r w:rsidRPr="00F978D1">
        <w:rPr>
          <w:rFonts w:cs="Arial"/>
        </w:rPr>
        <w:t xml:space="preserve"> Joint Standing Committee on Foreign Affairs, Defence and Trade, Parliament of Australia, </w:t>
      </w:r>
      <w:r w:rsidRPr="00F978D1">
        <w:rPr>
          <w:rFonts w:cs="Arial"/>
          <w:i/>
        </w:rPr>
        <w:t xml:space="preserve">Modern slavery and global supply chains: Interim report of the Joint Standing Committee on Foreign Affairs, defence and Trade’s inquiry into establishing a Modern Slavery Act in </w:t>
      </w:r>
      <w:r w:rsidRPr="00F978D1">
        <w:rPr>
          <w:rFonts w:cs="Arial"/>
        </w:rPr>
        <w:t xml:space="preserve">Australia (August 2017) Joint Committee’s report on Modern Slavery, Recommendation 1, [4.55]. At </w:t>
      </w:r>
      <w:hyperlink r:id="rId231" w:history="1">
        <w:r w:rsidRPr="00F978D1">
          <w:rPr>
            <w:rStyle w:val="Hyperlink"/>
            <w:rFonts w:cs="Arial"/>
          </w:rPr>
          <w:t>http://parlinfo.aph.gov.au/parlInfo/download/committees/reportjnt/024092/toc_pdf/Modernslaveryandglobalsupplychains.pdf;fileType=application%2Fpdf</w:t>
        </w:r>
      </w:hyperlink>
      <w:r w:rsidRPr="00F978D1">
        <w:rPr>
          <w:rFonts w:cs="Arial"/>
        </w:rPr>
        <w:t xml:space="preserve"> (</w:t>
      </w:r>
      <w:r w:rsidRPr="00BF602B">
        <w:rPr>
          <w:rFonts w:cs="Arial"/>
        </w:rPr>
        <w:t xml:space="preserve">viewed </w:t>
      </w:r>
      <w:r>
        <w:rPr>
          <w:rFonts w:cs="Arial"/>
        </w:rPr>
        <w:t>11 September 2017</w:t>
      </w:r>
      <w:r w:rsidRPr="00F978D1">
        <w:rPr>
          <w:rFonts w:cs="Arial"/>
        </w:rPr>
        <w:t>).</w:t>
      </w:r>
      <w:r>
        <w:rPr>
          <w:rFonts w:cs="Arial"/>
        </w:rPr>
        <w:t xml:space="preserve"> </w:t>
      </w:r>
    </w:p>
  </w:endnote>
  <w:endnote w:id="192">
    <w:p w14:paraId="537105F3" w14:textId="77777777" w:rsidR="003126E0" w:rsidRPr="00112851" w:rsidRDefault="003126E0" w:rsidP="00BB083A">
      <w:pPr>
        <w:pStyle w:val="EndnoteText"/>
        <w:rPr>
          <w:rFonts w:cs="Arial"/>
          <w:i/>
        </w:rPr>
      </w:pPr>
      <w:r w:rsidRPr="00112851">
        <w:rPr>
          <w:rStyle w:val="EndnoteReference"/>
          <w:rFonts w:cs="Arial"/>
        </w:rPr>
        <w:endnoteRef/>
      </w:r>
      <w:r w:rsidRPr="00112851">
        <w:rPr>
          <w:rFonts w:cs="Arial"/>
        </w:rPr>
        <w:t xml:space="preserve"> Australian Human Rights Commission, Submission No 33 to Joint Select Committee on Government Procurement, </w:t>
      </w:r>
      <w:r w:rsidRPr="00112851">
        <w:rPr>
          <w:rFonts w:cs="Arial"/>
          <w:i/>
        </w:rPr>
        <w:t xml:space="preserve">Inquiry into the Commonwealth Procurement Framework </w:t>
      </w:r>
      <w:r w:rsidRPr="00112851">
        <w:rPr>
          <w:rFonts w:cs="Arial"/>
        </w:rPr>
        <w:t xml:space="preserve">(5 April 2017) 2. </w:t>
      </w:r>
      <w:r>
        <w:rPr>
          <w:rFonts w:cs="Arial"/>
        </w:rPr>
        <w:t xml:space="preserve">At </w:t>
      </w:r>
      <w:hyperlink r:id="rId232" w:history="1">
        <w:r w:rsidRPr="00A248BB">
          <w:rPr>
            <w:rStyle w:val="Hyperlink"/>
            <w:rFonts w:cs="Arial"/>
          </w:rPr>
          <w:t>http://www.aph.gov.au/DocumentStore.ashx?id=b8cec9b3-343e-47b4-87f9-fa21808c875f&amp;subId=510109</w:t>
        </w:r>
      </w:hyperlink>
      <w:r>
        <w:rPr>
          <w:rFonts w:cs="Arial"/>
        </w:rPr>
        <w:t xml:space="preserve"> (viewed 11 September 2017).</w:t>
      </w:r>
    </w:p>
  </w:endnote>
  <w:endnote w:id="193">
    <w:p w14:paraId="31FE22C1" w14:textId="77777777" w:rsidR="003126E0" w:rsidRDefault="003126E0" w:rsidP="00EB65D1">
      <w:pPr>
        <w:pStyle w:val="EndnoteText"/>
      </w:pPr>
      <w:r>
        <w:rPr>
          <w:rStyle w:val="EndnoteReference"/>
        </w:rPr>
        <w:endnoteRef/>
      </w:r>
      <w:r>
        <w:t xml:space="preserve"> </w:t>
      </w:r>
      <w:r>
        <w:rPr>
          <w:rFonts w:cs="Arial"/>
        </w:rPr>
        <w:t xml:space="preserve">Joint Select Committee on Government Procurement, </w:t>
      </w:r>
      <w:r>
        <w:rPr>
          <w:rFonts w:cs="Arial"/>
          <w:i/>
        </w:rPr>
        <w:t xml:space="preserve">Buying into our </w:t>
      </w:r>
      <w:r w:rsidRPr="00782E60">
        <w:rPr>
          <w:rFonts w:cs="Arial"/>
          <w:i/>
        </w:rPr>
        <w:t>Future</w:t>
      </w:r>
      <w:r>
        <w:rPr>
          <w:rFonts w:cs="Arial"/>
        </w:rPr>
        <w:t xml:space="preserve"> (June 2017) Recommendation 2, [9.16]. At </w:t>
      </w:r>
      <w:hyperlink r:id="rId233" w:history="1">
        <w:r w:rsidRPr="00A248BB">
          <w:rPr>
            <w:rStyle w:val="Hyperlink"/>
            <w:rFonts w:cs="Arial"/>
          </w:rPr>
          <w:t>http://parlinfo.aph.gov.au/parlInfo/download/committees/reportjnt/024068/toc_pdf/BuyingintoourFuture.pdf;fileType=application%2Fpdf</w:t>
        </w:r>
      </w:hyperlink>
      <w:r>
        <w:rPr>
          <w:rFonts w:cs="Arial"/>
        </w:rPr>
        <w:t xml:space="preserve"> (viewed 11 September 2017).</w:t>
      </w:r>
    </w:p>
  </w:endnote>
  <w:endnote w:id="194">
    <w:p w14:paraId="7D881A08" w14:textId="1E219A29" w:rsidR="003126E0" w:rsidRPr="00CC24E1" w:rsidRDefault="003126E0" w:rsidP="00F918FC">
      <w:pPr>
        <w:pStyle w:val="EndnoteText"/>
        <w:rPr>
          <w:rFonts w:cs="Arial"/>
          <w:highlight w:val="yellow"/>
        </w:rPr>
      </w:pPr>
      <w:r w:rsidRPr="00112851">
        <w:rPr>
          <w:rStyle w:val="EndnoteReference"/>
          <w:rFonts w:cs="Arial"/>
        </w:rPr>
        <w:endnoteRef/>
      </w:r>
      <w:r w:rsidRPr="00112851">
        <w:rPr>
          <w:rFonts w:cs="Arial"/>
        </w:rPr>
        <w:t xml:space="preserve"> </w:t>
      </w:r>
      <w:r w:rsidRPr="00782E60">
        <w:rPr>
          <w:rFonts w:cs="Arial"/>
        </w:rPr>
        <w:t>Joint</w:t>
      </w:r>
      <w:r w:rsidRPr="00F978D1">
        <w:rPr>
          <w:rFonts w:cs="Arial"/>
        </w:rPr>
        <w:t xml:space="preserve"> Standing Committee on Foreign Affairs, Defence and Trade, Parliament of Australia, </w:t>
      </w:r>
      <w:r w:rsidRPr="00F978D1">
        <w:rPr>
          <w:rFonts w:cs="Arial"/>
          <w:i/>
        </w:rPr>
        <w:t xml:space="preserve">Modern slavery and global supply chains: Interim report of the Joint Standing Committee on Foreign Affairs, defence and Trade’s inquiry into establishing a Modern Slavery Act in </w:t>
      </w:r>
      <w:r w:rsidRPr="00633AE7">
        <w:rPr>
          <w:rFonts w:cs="Arial"/>
          <w:i/>
        </w:rPr>
        <w:t>Australia</w:t>
      </w:r>
      <w:r w:rsidRPr="00F978D1">
        <w:rPr>
          <w:rFonts w:cs="Arial"/>
        </w:rPr>
        <w:t xml:space="preserve"> (August 2017) Recommendation 1, [4.</w:t>
      </w:r>
      <w:r>
        <w:rPr>
          <w:rFonts w:cs="Arial"/>
        </w:rPr>
        <w:t>43</w:t>
      </w:r>
      <w:r w:rsidRPr="00F978D1">
        <w:rPr>
          <w:rFonts w:cs="Arial"/>
        </w:rPr>
        <w:t xml:space="preserve">]. At </w:t>
      </w:r>
      <w:hyperlink r:id="rId234" w:history="1">
        <w:r w:rsidRPr="00F978D1">
          <w:rPr>
            <w:rStyle w:val="Hyperlink"/>
            <w:rFonts w:cs="Arial"/>
          </w:rPr>
          <w:t>http://parlinfo.aph.gov.au/parlInfo/download/committees/reportjnt/024092/toc_pdf/Modernslaveryandglobalsupplychains.pdf;fileType=application%2Fpdf</w:t>
        </w:r>
      </w:hyperlink>
      <w:r w:rsidRPr="00F978D1">
        <w:rPr>
          <w:rFonts w:cs="Arial"/>
        </w:rPr>
        <w:t xml:space="preserve"> (</w:t>
      </w:r>
      <w:r w:rsidRPr="00BF602B">
        <w:rPr>
          <w:rFonts w:cs="Arial"/>
        </w:rPr>
        <w:t xml:space="preserve">viewed </w:t>
      </w:r>
      <w:r>
        <w:rPr>
          <w:rFonts w:cs="Arial"/>
        </w:rPr>
        <w:t>11 September 2017</w:t>
      </w:r>
      <w:r w:rsidRPr="00F978D1">
        <w:rPr>
          <w:rFonts w:cs="Aria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 w:name="ArialMT">
    <w:altName w:val="Arial"/>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NeueLT Pro 55 Roman">
    <w:altName w:val="HelveticaNeueLT Pro 55 Roman"/>
    <w:panose1 w:val="00000000000000000000"/>
    <w:charset w:val="00"/>
    <w:family w:val="roman"/>
    <w:notTrueType/>
    <w:pitch w:val="default"/>
    <w:sig w:usb0="00000003" w:usb1="00000000" w:usb2="00000000" w:usb3="00000000" w:csb0="00000001" w:csb1="00000000"/>
  </w:font>
  <w:font w:name="Helvetica Neue">
    <w:charset w:val="00"/>
    <w:family w:val="swiss"/>
    <w:pitch w:val="variable"/>
    <w:sig w:usb0="E50002FF" w:usb1="500079DB" w:usb2="00000010" w:usb3="00000000" w:csb0="00000001" w:csb1="00000000"/>
  </w:font>
  <w:font w:name="Calibri">
    <w:panose1 w:val="020F0502020204030204"/>
    <w:charset w:val="00"/>
    <w:family w:val="swiss"/>
    <w:pitch w:val="variable"/>
    <w:sig w:usb0="E10002FF" w:usb1="4000ACFF" w:usb2="00000009"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3CEB9" w14:textId="77777777" w:rsidR="003126E0" w:rsidRPr="0090165F" w:rsidRDefault="003126E0" w:rsidP="00162A8D">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27D09" w14:textId="77777777" w:rsidR="003126E0" w:rsidRPr="004A187B" w:rsidRDefault="003126E0" w:rsidP="008B23BC">
    <w:pPr>
      <w:pStyle w:val="Footer"/>
    </w:pPr>
    <w:r>
      <w:rPr>
        <w:noProof/>
      </w:rPr>
      <mc:AlternateContent>
        <mc:Choice Requires="wps">
          <w:drawing>
            <wp:anchor distT="0" distB="0" distL="114300" distR="114300" simplePos="0" relativeHeight="251660288" behindDoc="0" locked="0" layoutInCell="1" allowOverlap="1" wp14:anchorId="56937620" wp14:editId="72279C90">
              <wp:simplePos x="0" y="0"/>
              <wp:positionH relativeFrom="column">
                <wp:posOffset>-548005</wp:posOffset>
              </wp:positionH>
              <wp:positionV relativeFrom="paragraph">
                <wp:posOffset>-1305560</wp:posOffset>
              </wp:positionV>
              <wp:extent cx="6071235" cy="85407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1235" cy="854075"/>
                      </a:xfrm>
                      <a:prstGeom prst="rect">
                        <a:avLst/>
                      </a:prstGeom>
                      <a:noFill/>
                      <a:ln w="6350">
                        <a:noFill/>
                      </a:ln>
                      <a:effectLst/>
                    </wps:spPr>
                    <wps:txbx>
                      <w:txbxContent>
                        <w:p w14:paraId="3DCA9BE0" w14:textId="77777777" w:rsidR="003126E0" w:rsidRPr="0003606D" w:rsidRDefault="003126E0" w:rsidP="0003606D">
                          <w:pPr>
                            <w:pStyle w:val="coveraddresses"/>
                          </w:pPr>
                          <w:r w:rsidRPr="0003606D">
                            <w:t>ABN 47 996 232 602</w:t>
                          </w:r>
                        </w:p>
                        <w:p w14:paraId="20CAADA1" w14:textId="77777777" w:rsidR="003126E0" w:rsidRPr="0003606D" w:rsidRDefault="003126E0" w:rsidP="0003606D">
                          <w:pPr>
                            <w:pStyle w:val="coveraddresses"/>
                          </w:pPr>
                          <w:r w:rsidRPr="0003606D">
                            <w:t>Level 3, 175 Pitt Street, Sydney NSW 2000</w:t>
                          </w:r>
                        </w:p>
                        <w:p w14:paraId="1A73B762" w14:textId="77777777" w:rsidR="003126E0" w:rsidRPr="0003606D" w:rsidRDefault="003126E0" w:rsidP="0003606D">
                          <w:pPr>
                            <w:pStyle w:val="coveraddresses"/>
                          </w:pPr>
                          <w:r w:rsidRPr="0003606D">
                            <w:t>GPO Box 5218, Sydney NSW 2001</w:t>
                          </w:r>
                        </w:p>
                        <w:p w14:paraId="644EDF6D" w14:textId="77777777" w:rsidR="003126E0" w:rsidRPr="0003606D" w:rsidRDefault="003126E0" w:rsidP="0003606D">
                          <w:pPr>
                            <w:pStyle w:val="coveraddresses"/>
                          </w:pPr>
                          <w:r w:rsidRPr="0003606D">
                            <w:t>General enquiries 1300 369 711</w:t>
                          </w:r>
                        </w:p>
                        <w:p w14:paraId="40DE349C" w14:textId="77777777" w:rsidR="003126E0" w:rsidRPr="0003606D" w:rsidRDefault="003126E0" w:rsidP="0003606D">
                          <w:pPr>
                            <w:pStyle w:val="coveraddresses"/>
                          </w:pPr>
                          <w:r w:rsidRPr="0003606D">
                            <w:t>Complaints info line 1300 656 419</w:t>
                          </w:r>
                        </w:p>
                        <w:p w14:paraId="2795209C" w14:textId="77777777" w:rsidR="003126E0" w:rsidRPr="0003606D" w:rsidRDefault="003126E0" w:rsidP="0003606D">
                          <w:pPr>
                            <w:pStyle w:val="coveraddresses"/>
                          </w:pPr>
                          <w:r w:rsidRPr="0003606D">
                            <w:t>TTY 1800 620 241</w:t>
                          </w:r>
                        </w:p>
                        <w:p w14:paraId="1F10D5A5" w14:textId="77777777" w:rsidR="003126E0" w:rsidRPr="00B63D24" w:rsidRDefault="003126E0" w:rsidP="00B63D24">
                          <w:pPr>
                            <w:pStyle w:val="Footer"/>
                          </w:pPr>
                          <w:r w:rsidRPr="00B63D24">
                            <w:tab/>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937620" id="_x0000_t202" coordsize="21600,21600" o:spt="202" path="m,l,21600r21600,l21600,xe">
              <v:stroke joinstyle="miter"/>
              <v:path gradientshapeok="t" o:connecttype="rect"/>
            </v:shapetype>
            <v:shape id="Text Box 9" o:spid="_x0000_s1029" type="#_x0000_t202" style="position:absolute;margin-left:-43.15pt;margin-top:-102.8pt;width:478.05pt;height:6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" filled="f" stroked="f" strokeweight=".5pt">
              <v:path arrowok="t"/>
              <v:textbox inset="0,0,0,0">
                <w:txbxContent>
                  <w:p w14:paraId="3DCA9BE0" w14:textId="77777777" w:rsidR="003126E0" w:rsidRPr="0003606D" w:rsidRDefault="003126E0" w:rsidP="0003606D">
                    <w:pPr>
                      <w:pStyle w:val="coveraddresses"/>
                    </w:pPr>
                    <w:r w:rsidRPr="0003606D">
                      <w:t>ABN 47 996 232 602</w:t>
                    </w:r>
                  </w:p>
                  <w:p w14:paraId="20CAADA1" w14:textId="77777777" w:rsidR="003126E0" w:rsidRPr="0003606D" w:rsidRDefault="003126E0" w:rsidP="0003606D">
                    <w:pPr>
                      <w:pStyle w:val="coveraddresses"/>
                    </w:pPr>
                    <w:r w:rsidRPr="0003606D">
                      <w:t>Level 3, 175 Pitt Street, Sydney NSW 2000</w:t>
                    </w:r>
                  </w:p>
                  <w:p w14:paraId="1A73B762" w14:textId="77777777" w:rsidR="003126E0" w:rsidRPr="0003606D" w:rsidRDefault="003126E0" w:rsidP="0003606D">
                    <w:pPr>
                      <w:pStyle w:val="coveraddresses"/>
                    </w:pPr>
                    <w:r w:rsidRPr="0003606D">
                      <w:t>GPO Box 5218, Sydney NSW 2001</w:t>
                    </w:r>
                  </w:p>
                  <w:p w14:paraId="644EDF6D" w14:textId="77777777" w:rsidR="003126E0" w:rsidRPr="0003606D" w:rsidRDefault="003126E0" w:rsidP="0003606D">
                    <w:pPr>
                      <w:pStyle w:val="coveraddresses"/>
                    </w:pPr>
                    <w:r w:rsidRPr="0003606D">
                      <w:t>General enquiries 1300 369 711</w:t>
                    </w:r>
                  </w:p>
                  <w:p w14:paraId="40DE349C" w14:textId="77777777" w:rsidR="003126E0" w:rsidRPr="0003606D" w:rsidRDefault="003126E0" w:rsidP="0003606D">
                    <w:pPr>
                      <w:pStyle w:val="coveraddresses"/>
                    </w:pPr>
                    <w:r w:rsidRPr="0003606D">
                      <w:t>Complaints info line 1300 656 419</w:t>
                    </w:r>
                  </w:p>
                  <w:p w14:paraId="2795209C" w14:textId="77777777" w:rsidR="003126E0" w:rsidRPr="0003606D" w:rsidRDefault="003126E0" w:rsidP="0003606D">
                    <w:pPr>
                      <w:pStyle w:val="coveraddresses"/>
                    </w:pPr>
                    <w:r w:rsidRPr="0003606D">
                      <w:t>TTY 1800 620 241</w:t>
                    </w:r>
                  </w:p>
                  <w:p w14:paraId="1F10D5A5" w14:textId="77777777" w:rsidR="003126E0" w:rsidRPr="00B63D24" w:rsidRDefault="003126E0" w:rsidP="00B63D24">
                    <w:pPr>
                      <w:pStyle w:val="Footer"/>
                    </w:pPr>
                    <w:r w:rsidRPr="00B63D24">
                      <w:tab/>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04054" w14:textId="0B97E263" w:rsidR="003126E0" w:rsidRPr="0090165F" w:rsidRDefault="003126E0" w:rsidP="00162A8D">
    <w:pPr>
      <w:pStyle w:val="Footer"/>
      <w:jc w:val="right"/>
    </w:pPr>
    <w:r>
      <w:rPr>
        <w:rStyle w:val="PageNumber"/>
      </w:rPr>
      <w:fldChar w:fldCharType="begin"/>
    </w:r>
    <w:r>
      <w:rPr>
        <w:rStyle w:val="PageNumber"/>
      </w:rPr>
      <w:instrText xml:space="preserve"> PAGE </w:instrText>
    </w:r>
    <w:r>
      <w:rPr>
        <w:rStyle w:val="PageNumber"/>
      </w:rPr>
      <w:fldChar w:fldCharType="separate"/>
    </w:r>
    <w:r w:rsidR="006412E5">
      <w:rPr>
        <w:rStyle w:val="PageNumber"/>
        <w:noProof/>
      </w:rPr>
      <w:t>32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42B801" w14:textId="77777777" w:rsidR="003126E0" w:rsidRDefault="003126E0" w:rsidP="00F14C6D">
      <w:r>
        <w:separator/>
      </w:r>
    </w:p>
  </w:footnote>
  <w:footnote w:type="continuationSeparator" w:id="0">
    <w:p w14:paraId="37FD431F" w14:textId="77777777" w:rsidR="003126E0" w:rsidRDefault="003126E0" w:rsidP="00F14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23340" w14:textId="77777777" w:rsidR="003126E0" w:rsidRDefault="003126E0">
    <w:pPr>
      <w:pStyle w:val="Header"/>
    </w:pPr>
    <w:r>
      <w:rPr>
        <w:noProof/>
      </w:rPr>
      <w:pict w14:anchorId="602EA3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8" o:spid="_x0000_s2050" type="#_x0000_t75" style="position:absolute;margin-left:0;margin-top:0;width:595.65pt;height:870.15pt;z-index:-251660288;mso-position-horizontal:center;mso-position-horizontal-relative:margin;mso-position-vertical:center;mso-position-vertical-relative:margin" o:allowincell="f">
          <v:imagedata r:id="rId1" o:title="MS word cover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3F228" w14:textId="77777777" w:rsidR="003126E0" w:rsidRPr="00D27262" w:rsidRDefault="003126E0" w:rsidP="002B1B65">
    <w:pPr>
      <w:spacing w:before="0" w:after="0"/>
      <w:jc w:val="right"/>
      <w:rPr>
        <w:sz w:val="22"/>
        <w:szCs w:val="22"/>
      </w:rPr>
    </w:pPr>
    <w:r>
      <w:rPr>
        <w:noProof/>
        <w:sz w:val="22"/>
        <w:szCs w:val="22"/>
      </w:rPr>
      <w:pict w14:anchorId="785003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9" o:spid="_x0000_s2051" type="#_x0000_t75" style="position:absolute;left:0;text-align:left;margin-left:0;margin-top:0;width:595.65pt;height:870.15pt;z-index:-251659264;mso-position-horizontal:center;mso-position-horizontal-relative:margin;mso-position-vertical:center;mso-position-vertical-relative:margin" o:allowincell="f">
          <v:imagedata r:id="rId1" o:title="MS word cover1"/>
          <w10:wrap anchorx="margin" anchory="margin"/>
        </v:shape>
      </w:pict>
    </w:r>
    <w:r w:rsidRPr="00D27262">
      <w:rPr>
        <w:sz w:val="22"/>
        <w:szCs w:val="22"/>
      </w:rPr>
      <w:t>Au</w:t>
    </w:r>
    <w:r>
      <w:rPr>
        <w:sz w:val="22"/>
        <w:szCs w:val="22"/>
      </w:rPr>
      <w:t>stralian Human Rights Commission</w:t>
    </w:r>
  </w:p>
  <w:p w14:paraId="0C4DD6C1" w14:textId="77777777" w:rsidR="003126E0" w:rsidRDefault="003126E0" w:rsidP="002B1B65">
    <w:pPr>
      <w:pStyle w:val="Footer"/>
      <w:jc w:val="right"/>
      <w:rPr>
        <w:i/>
        <w:szCs w:val="22"/>
      </w:rPr>
    </w:pPr>
    <w:r w:rsidRPr="00D27262">
      <w:rPr>
        <w:b/>
        <w:i/>
        <w:szCs w:val="22"/>
      </w:rPr>
      <w:t>Short document title</w:t>
    </w:r>
    <w:r w:rsidRPr="00D27262">
      <w:rPr>
        <w:i/>
        <w:szCs w:val="22"/>
      </w:rPr>
      <w:t xml:space="preserve">, </w:t>
    </w:r>
    <w:r>
      <w:rPr>
        <w:i/>
        <w:szCs w:val="22"/>
      </w:rPr>
      <w:t>Short description – Date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3126E0" w:rsidRPr="00B85DD4" w14:paraId="43FDD4D2" w14:textId="77777777" w:rsidTr="00165E3C">
      <w:trPr>
        <w:trHeight w:val="1276"/>
      </w:trPr>
      <w:tc>
        <w:tcPr>
          <w:tcW w:w="1508" w:type="dxa"/>
        </w:tcPr>
        <w:p w14:paraId="63490B9F" w14:textId="77777777" w:rsidR="003126E0" w:rsidRPr="00B85DD4" w:rsidRDefault="003126E0" w:rsidP="00B520BC">
          <w:pPr>
            <w:pStyle w:val="Header"/>
            <w:tabs>
              <w:tab w:val="left" w:pos="4686"/>
              <w:tab w:val="left" w:pos="7088"/>
              <w:tab w:val="left" w:pos="7242"/>
            </w:tabs>
            <w:ind w:left="-108"/>
            <w:rPr>
              <w:rFonts w:cs="ArialMT"/>
              <w:b/>
              <w:spacing w:val="-20"/>
            </w:rPr>
          </w:pPr>
        </w:p>
      </w:tc>
      <w:tc>
        <w:tcPr>
          <w:tcW w:w="2688" w:type="dxa"/>
          <w:vAlign w:val="center"/>
        </w:tcPr>
        <w:p w14:paraId="044FC196" w14:textId="77777777" w:rsidR="003126E0" w:rsidRPr="00B85DD4" w:rsidRDefault="003126E0" w:rsidP="002B1B65">
          <w:pPr>
            <w:spacing w:before="0" w:after="0"/>
            <w:rPr>
              <w:rFonts w:cs="ArialMT"/>
              <w:i/>
              <w:color w:val="808080"/>
              <w:sz w:val="17"/>
            </w:rPr>
          </w:pPr>
        </w:p>
      </w:tc>
      <w:tc>
        <w:tcPr>
          <w:tcW w:w="2302" w:type="dxa"/>
        </w:tcPr>
        <w:p w14:paraId="02C23D69" w14:textId="77777777" w:rsidR="003126E0" w:rsidRPr="00B85DD4" w:rsidRDefault="003126E0" w:rsidP="00B520BC">
          <w:pPr>
            <w:pStyle w:val="HeaderFooter"/>
            <w:rPr>
              <w:b/>
              <w:spacing w:val="-20"/>
              <w:sz w:val="40"/>
            </w:rPr>
          </w:pPr>
        </w:p>
      </w:tc>
      <w:tc>
        <w:tcPr>
          <w:tcW w:w="2130" w:type="dxa"/>
        </w:tcPr>
        <w:p w14:paraId="70BA952C" w14:textId="77777777" w:rsidR="003126E0" w:rsidRPr="00B85DD4" w:rsidRDefault="003126E0" w:rsidP="00B520BC">
          <w:pPr>
            <w:pStyle w:val="HeaderFooter"/>
            <w:rPr>
              <w:b/>
              <w:spacing w:val="-20"/>
              <w:sz w:val="40"/>
            </w:rPr>
          </w:pPr>
        </w:p>
      </w:tc>
      <w:tc>
        <w:tcPr>
          <w:tcW w:w="1721" w:type="dxa"/>
        </w:tcPr>
        <w:p w14:paraId="40F9A363" w14:textId="77777777" w:rsidR="003126E0" w:rsidRPr="00B85DD4" w:rsidRDefault="003126E0" w:rsidP="00B520BC">
          <w:pPr>
            <w:pStyle w:val="HeaderFooter"/>
            <w:spacing w:before="227" w:after="340"/>
            <w:rPr>
              <w:b/>
              <w:spacing w:val="-20"/>
              <w:sz w:val="40"/>
            </w:rPr>
          </w:pPr>
        </w:p>
      </w:tc>
    </w:tr>
  </w:tbl>
  <w:p w14:paraId="7BDA5D8B" w14:textId="77777777" w:rsidR="003126E0" w:rsidRDefault="003126E0">
    <w:pPr>
      <w:pStyle w:val="Header"/>
    </w:pPr>
    <w:r>
      <w:rPr>
        <w:rFonts w:cs="ArialMT"/>
        <w:b/>
        <w:noProof/>
        <w:spacing w:val="-20"/>
      </w:rPr>
      <w:pict w14:anchorId="30A575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7" o:spid="_x0000_s2056" type="#_x0000_t75" style="position:absolute;margin-left:-71.05pt;margin-top:-116pt;width:595.65pt;height:870.15pt;z-index:-251661312;mso-position-horizontal-relative:margin;mso-position-vertical-relative:margin" o:allowincell="f">
          <v:imagedata r:id="rId1" o:title="MS word cover1"/>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5B111" w14:textId="77777777" w:rsidR="003126E0" w:rsidRDefault="003126E0">
    <w:pPr>
      <w:pStyle w:val="Header"/>
    </w:pPr>
    <w:r>
      <w:rPr>
        <w:noProof/>
      </w:rPr>
      <w:pict w14:anchorId="74AE32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21" o:spid="_x0000_s2053" type="#_x0000_t75" style="position:absolute;margin-left:0;margin-top:0;width:595.65pt;height:870.15pt;z-index:-251657216;mso-position-horizontal:center;mso-position-horizontal-relative:margin;mso-position-vertical:center;mso-position-vertical-relative:margin" o:allowincell="f">
          <v:imagedata r:id="rId1" o:title="MS word cover1"/>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D6491" w14:textId="7EE98E4A" w:rsidR="003126E0" w:rsidRPr="00D27262" w:rsidRDefault="003126E0" w:rsidP="00B34946">
    <w:pPr>
      <w:spacing w:before="0" w:after="60"/>
      <w:jc w:val="right"/>
      <w:rPr>
        <w:sz w:val="22"/>
        <w:szCs w:val="22"/>
      </w:rPr>
    </w:pPr>
    <w:r w:rsidRPr="00D27262">
      <w:rPr>
        <w:sz w:val="22"/>
        <w:szCs w:val="22"/>
      </w:rPr>
      <w:t>Au</w:t>
    </w:r>
    <w:r>
      <w:rPr>
        <w:sz w:val="22"/>
        <w:szCs w:val="22"/>
      </w:rPr>
      <w:t>stralian Human Rights Commission</w:t>
    </w:r>
  </w:p>
  <w:p w14:paraId="00E7C920" w14:textId="77777777" w:rsidR="003126E0" w:rsidRPr="00D729AD" w:rsidRDefault="003126E0" w:rsidP="002F4CE1">
    <w:pPr>
      <w:pStyle w:val="Footer"/>
      <w:spacing w:after="240"/>
      <w:jc w:val="right"/>
      <w:rPr>
        <w:i/>
        <w:szCs w:val="18"/>
      </w:rPr>
    </w:pPr>
    <w:r>
      <w:rPr>
        <w:b/>
        <w:i/>
        <w:szCs w:val="18"/>
      </w:rPr>
      <w:t xml:space="preserve">Submission to the UN Human </w:t>
    </w:r>
    <w:r w:rsidRPr="00F80EDA">
      <w:rPr>
        <w:b/>
        <w:i/>
        <w:szCs w:val="18"/>
      </w:rPr>
      <w:t>Rights Committee</w:t>
    </w:r>
    <w:r w:rsidRPr="00F80EDA">
      <w:rPr>
        <w:i/>
        <w:szCs w:val="18"/>
      </w:rPr>
      <w:t>, 18 September 2017</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3126E0" w:rsidRPr="00B85DD4" w14:paraId="612F62E2" w14:textId="77777777" w:rsidTr="002B1B65">
      <w:trPr>
        <w:trHeight w:val="1603"/>
      </w:trPr>
      <w:tc>
        <w:tcPr>
          <w:tcW w:w="1508" w:type="dxa"/>
        </w:tcPr>
        <w:p w14:paraId="072D8B12" w14:textId="77777777" w:rsidR="003126E0" w:rsidRPr="00B85DD4" w:rsidRDefault="003126E0" w:rsidP="00B520BC">
          <w:pPr>
            <w:pStyle w:val="Header"/>
            <w:tabs>
              <w:tab w:val="left" w:pos="4686"/>
              <w:tab w:val="left" w:pos="7088"/>
              <w:tab w:val="left" w:pos="7242"/>
            </w:tabs>
            <w:ind w:left="-108"/>
            <w:rPr>
              <w:rFonts w:cs="ArialMT"/>
              <w:b/>
              <w:spacing w:val="-20"/>
            </w:rPr>
          </w:pPr>
          <w:r w:rsidRPr="004D6E55">
            <w:rPr>
              <w:rFonts w:cs="ArialMT"/>
              <w:b/>
              <w:noProof/>
              <w:spacing w:val="-20"/>
            </w:rPr>
            <w:drawing>
              <wp:inline distT="0" distB="0" distL="0" distR="0" wp14:anchorId="59D731C1" wp14:editId="2F9C98CC">
                <wp:extent cx="819150" cy="819150"/>
                <wp:effectExtent l="0" t="0" r="0" b="0"/>
                <wp:docPr id="5" name="Picture 2" descr="Description: Description: HREOC-Globe_PMS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HREOC-Globe_PMS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2688" w:type="dxa"/>
          <w:vAlign w:val="center"/>
        </w:tcPr>
        <w:p w14:paraId="793CEEC1" w14:textId="77777777" w:rsidR="003126E0" w:rsidRPr="00D36BB2" w:rsidRDefault="003126E0" w:rsidP="002B1B65">
          <w:pPr>
            <w:pStyle w:val="LogoType"/>
            <w:pBdr>
              <w:bottom w:val="single" w:sz="4" w:space="1" w:color="808080"/>
            </w:pBdr>
            <w:spacing w:line="240" w:lineRule="auto"/>
          </w:pPr>
          <w:r w:rsidRPr="00D36BB2">
            <w:t>Australian</w:t>
          </w:r>
        </w:p>
        <w:p w14:paraId="31A04B50" w14:textId="77777777" w:rsidR="003126E0" w:rsidRPr="00D36BB2" w:rsidRDefault="003126E0" w:rsidP="002B1B65">
          <w:pPr>
            <w:pStyle w:val="LogoType"/>
            <w:pBdr>
              <w:bottom w:val="single" w:sz="4" w:space="1" w:color="808080"/>
            </w:pBdr>
            <w:spacing w:line="240" w:lineRule="auto"/>
          </w:pPr>
          <w:r w:rsidRPr="00D36BB2">
            <w:t>Human Rights</w:t>
          </w:r>
        </w:p>
        <w:p w14:paraId="6D7616CC" w14:textId="77777777" w:rsidR="003126E0" w:rsidRPr="00D36BB2" w:rsidRDefault="003126E0" w:rsidP="002B1B65">
          <w:pPr>
            <w:pStyle w:val="LogoType"/>
            <w:pBdr>
              <w:bottom w:val="single" w:sz="4" w:space="1" w:color="808080"/>
            </w:pBdr>
            <w:spacing w:line="240" w:lineRule="auto"/>
          </w:pPr>
          <w:r w:rsidRPr="00D36BB2">
            <w:t>Commission</w:t>
          </w:r>
        </w:p>
        <w:p w14:paraId="66558F09" w14:textId="77777777" w:rsidR="003126E0" w:rsidRPr="00B85DD4" w:rsidRDefault="003126E0" w:rsidP="002B1B65">
          <w:pPr>
            <w:spacing w:before="0" w:after="0"/>
            <w:rPr>
              <w:rFonts w:cs="ArialMT"/>
              <w:i/>
              <w:color w:val="808080"/>
              <w:sz w:val="17"/>
            </w:rPr>
          </w:pPr>
          <w:r w:rsidRPr="00B85DD4">
            <w:rPr>
              <w:rFonts w:cs="ArialMT"/>
              <w:i/>
              <w:color w:val="808080"/>
              <w:sz w:val="17"/>
            </w:rPr>
            <w:t>everyone, everywhere, everyday</w:t>
          </w:r>
        </w:p>
      </w:tc>
      <w:tc>
        <w:tcPr>
          <w:tcW w:w="2302" w:type="dxa"/>
        </w:tcPr>
        <w:p w14:paraId="7B5D4114" w14:textId="77777777" w:rsidR="003126E0" w:rsidRPr="00B85DD4" w:rsidRDefault="003126E0" w:rsidP="00B520BC">
          <w:pPr>
            <w:pStyle w:val="HeaderFooter"/>
            <w:rPr>
              <w:b/>
              <w:spacing w:val="-20"/>
              <w:sz w:val="40"/>
            </w:rPr>
          </w:pPr>
        </w:p>
      </w:tc>
      <w:tc>
        <w:tcPr>
          <w:tcW w:w="2130" w:type="dxa"/>
        </w:tcPr>
        <w:p w14:paraId="4396A349" w14:textId="77777777" w:rsidR="003126E0" w:rsidRPr="00B85DD4" w:rsidRDefault="003126E0" w:rsidP="00B520BC">
          <w:pPr>
            <w:pStyle w:val="HeaderFooter"/>
            <w:rPr>
              <w:b/>
              <w:spacing w:val="-20"/>
              <w:sz w:val="40"/>
            </w:rPr>
          </w:pPr>
        </w:p>
      </w:tc>
      <w:tc>
        <w:tcPr>
          <w:tcW w:w="1721" w:type="dxa"/>
        </w:tcPr>
        <w:p w14:paraId="05030DA7" w14:textId="77777777" w:rsidR="003126E0" w:rsidRPr="00B85DD4" w:rsidRDefault="003126E0" w:rsidP="00B520BC">
          <w:pPr>
            <w:pStyle w:val="HeaderFooter"/>
            <w:spacing w:before="227" w:after="340"/>
            <w:rPr>
              <w:b/>
              <w:spacing w:val="-20"/>
              <w:sz w:val="40"/>
            </w:rPr>
          </w:pPr>
        </w:p>
      </w:tc>
    </w:tr>
  </w:tbl>
  <w:p w14:paraId="71F1602D" w14:textId="77777777" w:rsidR="003126E0" w:rsidRDefault="003126E0">
    <w:pPr>
      <w:pStyle w:val="Header"/>
    </w:pPr>
    <w:r>
      <w:rPr>
        <w:rFonts w:cs="ArialMT"/>
        <w:b/>
        <w:noProof/>
        <w:spacing w:val="-20"/>
      </w:rPr>
      <w:pict w14:anchorId="259EA2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20" o:spid="_x0000_s2055" type="#_x0000_t75" style="position:absolute;margin-left:0;margin-top:0;width:595.65pt;height:870.15pt;z-index:-251658240;mso-position-horizontal:center;mso-position-horizontal-relative:margin;mso-position-vertical:center;mso-position-vertical-relative:margin" o:allowincell="f">
          <v:imagedata r:id="rId2" o:title="MS word cover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8D0D9D"/>
    <w:multiLevelType w:val="multilevel"/>
    <w:tmpl w:val="EB6416E6"/>
    <w:lvl w:ilvl="0">
      <w:start w:val="1"/>
      <w:numFmt w:val="decimal"/>
      <w:suff w:val="space"/>
      <w:lvlText w:val="Recommendation %1:"/>
      <w:lvlJc w:val="left"/>
      <w:pPr>
        <w:ind w:left="720" w:firstLine="0"/>
      </w:pPr>
      <w:rPr>
        <w:rFonts w:ascii="Arial" w:hAnsi="Arial" w:hint="default"/>
        <w:b/>
        <w:i w:val="0"/>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8CB145D"/>
    <w:multiLevelType w:val="hybridMultilevel"/>
    <w:tmpl w:val="E21C0C7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9D8510A"/>
    <w:multiLevelType w:val="multilevel"/>
    <w:tmpl w:val="EB6416E6"/>
    <w:lvl w:ilvl="0">
      <w:start w:val="1"/>
      <w:numFmt w:val="decimal"/>
      <w:suff w:val="space"/>
      <w:lvlText w:val="Recommendation %1:"/>
      <w:lvlJc w:val="left"/>
      <w:pPr>
        <w:ind w:left="720" w:firstLine="0"/>
      </w:pPr>
      <w:rPr>
        <w:rFonts w:ascii="Arial" w:hAnsi="Arial" w:hint="default"/>
        <w:b/>
        <w:i w:val="0"/>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199492F"/>
    <w:multiLevelType w:val="multilevel"/>
    <w:tmpl w:val="EB6416E6"/>
    <w:lvl w:ilvl="0">
      <w:start w:val="1"/>
      <w:numFmt w:val="decimal"/>
      <w:suff w:val="space"/>
      <w:lvlText w:val="Recommendation %1:"/>
      <w:lvlJc w:val="left"/>
      <w:pPr>
        <w:ind w:left="720" w:firstLine="0"/>
      </w:pPr>
      <w:rPr>
        <w:rFonts w:ascii="Arial" w:hAnsi="Arial" w:hint="default"/>
        <w:b/>
        <w:i w:val="0"/>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DCB237C"/>
    <w:multiLevelType w:val="hybridMultilevel"/>
    <w:tmpl w:val="788CEE16"/>
    <w:lvl w:ilvl="0" w:tplc="0DEC95AC">
      <w:start w:val="1"/>
      <w:numFmt w:val="decimal"/>
      <w:pStyle w:val="SubmissionNormal"/>
      <w:lvlText w:val="%1."/>
      <w:lvlJc w:val="left"/>
      <w:pPr>
        <w:tabs>
          <w:tab w:val="num" w:pos="3556"/>
        </w:tabs>
        <w:ind w:left="3556" w:hanging="720"/>
      </w:pPr>
      <w:rPr>
        <w:rFonts w:ascii="Arial" w:hAnsi="Arial" w:cs="Arial" w:hint="default"/>
        <w:b w:val="0"/>
        <w:i w:val="0"/>
        <w:color w:val="auto"/>
        <w:sz w:val="24"/>
        <w:szCs w:val="24"/>
        <w:vertAlign w:val="baseline"/>
      </w:rPr>
    </w:lvl>
    <w:lvl w:ilvl="1" w:tplc="83CEFDC4">
      <w:start w:val="1"/>
      <w:numFmt w:val="lowerLetter"/>
      <w:lvlText w:val="%2."/>
      <w:lvlJc w:val="left"/>
      <w:pPr>
        <w:tabs>
          <w:tab w:val="num" w:pos="731"/>
        </w:tabs>
        <w:ind w:left="731" w:hanging="360"/>
      </w:pPr>
      <w:rPr>
        <w:rFonts w:ascii="Arial" w:hAnsi="Arial" w:cs="Arial" w:hint="default"/>
        <w:b w:val="0"/>
      </w:rPr>
    </w:lvl>
    <w:lvl w:ilvl="2" w:tplc="0C09001B">
      <w:start w:val="1"/>
      <w:numFmt w:val="lowerRoman"/>
      <w:lvlText w:val="%3."/>
      <w:lvlJc w:val="right"/>
      <w:pPr>
        <w:tabs>
          <w:tab w:val="num" w:pos="1451"/>
        </w:tabs>
        <w:ind w:left="1451" w:hanging="180"/>
      </w:pPr>
    </w:lvl>
    <w:lvl w:ilvl="3" w:tplc="0C09000F" w:tentative="1">
      <w:start w:val="1"/>
      <w:numFmt w:val="decimal"/>
      <w:lvlText w:val="%4."/>
      <w:lvlJc w:val="left"/>
      <w:pPr>
        <w:tabs>
          <w:tab w:val="num" w:pos="2171"/>
        </w:tabs>
        <w:ind w:left="2171" w:hanging="360"/>
      </w:pPr>
    </w:lvl>
    <w:lvl w:ilvl="4" w:tplc="0C090019" w:tentative="1">
      <w:start w:val="1"/>
      <w:numFmt w:val="lowerLetter"/>
      <w:lvlText w:val="%5."/>
      <w:lvlJc w:val="left"/>
      <w:pPr>
        <w:tabs>
          <w:tab w:val="num" w:pos="2891"/>
        </w:tabs>
        <w:ind w:left="2891" w:hanging="360"/>
      </w:pPr>
    </w:lvl>
    <w:lvl w:ilvl="5" w:tplc="0C09001B" w:tentative="1">
      <w:start w:val="1"/>
      <w:numFmt w:val="lowerRoman"/>
      <w:lvlText w:val="%6."/>
      <w:lvlJc w:val="right"/>
      <w:pPr>
        <w:tabs>
          <w:tab w:val="num" w:pos="3611"/>
        </w:tabs>
        <w:ind w:left="3611" w:hanging="180"/>
      </w:pPr>
    </w:lvl>
    <w:lvl w:ilvl="6" w:tplc="0C09000F" w:tentative="1">
      <w:start w:val="1"/>
      <w:numFmt w:val="decimal"/>
      <w:lvlText w:val="%7."/>
      <w:lvlJc w:val="left"/>
      <w:pPr>
        <w:tabs>
          <w:tab w:val="num" w:pos="4331"/>
        </w:tabs>
        <w:ind w:left="4331" w:hanging="360"/>
      </w:pPr>
    </w:lvl>
    <w:lvl w:ilvl="7" w:tplc="0C090019" w:tentative="1">
      <w:start w:val="1"/>
      <w:numFmt w:val="lowerLetter"/>
      <w:lvlText w:val="%8."/>
      <w:lvlJc w:val="left"/>
      <w:pPr>
        <w:tabs>
          <w:tab w:val="num" w:pos="5051"/>
        </w:tabs>
        <w:ind w:left="5051" w:hanging="360"/>
      </w:pPr>
    </w:lvl>
    <w:lvl w:ilvl="8" w:tplc="0C09001B" w:tentative="1">
      <w:start w:val="1"/>
      <w:numFmt w:val="lowerRoman"/>
      <w:lvlText w:val="%9."/>
      <w:lvlJc w:val="right"/>
      <w:pPr>
        <w:tabs>
          <w:tab w:val="num" w:pos="5771"/>
        </w:tabs>
        <w:ind w:left="5771" w:hanging="180"/>
      </w:pPr>
    </w:lvl>
  </w:abstractNum>
  <w:abstractNum w:abstractNumId="15" w15:restartNumberingAfterBreak="0">
    <w:nsid w:val="20C018F3"/>
    <w:multiLevelType w:val="hybridMultilevel"/>
    <w:tmpl w:val="A5A4EDE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3A36E18"/>
    <w:multiLevelType w:val="hybridMultilevel"/>
    <w:tmpl w:val="D610D25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25A030AB"/>
    <w:multiLevelType w:val="multilevel"/>
    <w:tmpl w:val="EB6416E6"/>
    <w:lvl w:ilvl="0">
      <w:start w:val="1"/>
      <w:numFmt w:val="decimal"/>
      <w:suff w:val="space"/>
      <w:lvlText w:val="Recommendation %1:"/>
      <w:lvlJc w:val="left"/>
      <w:pPr>
        <w:ind w:left="720" w:firstLine="0"/>
      </w:pPr>
      <w:rPr>
        <w:rFonts w:ascii="Arial" w:hAnsi="Arial" w:hint="default"/>
        <w:b/>
        <w:i w:val="0"/>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5F90B43"/>
    <w:multiLevelType w:val="hybridMultilevel"/>
    <w:tmpl w:val="8D72F7FC"/>
    <w:lvl w:ilvl="0" w:tplc="0C090001">
      <w:start w:val="1"/>
      <w:numFmt w:val="bullet"/>
      <w:lvlText w:val=""/>
      <w:lvlJc w:val="left"/>
      <w:pPr>
        <w:tabs>
          <w:tab w:val="num" w:pos="1440"/>
        </w:tabs>
        <w:ind w:left="1440" w:hanging="720"/>
      </w:pPr>
      <w:rPr>
        <w:rFonts w:ascii="Symbol" w:hAnsi="Symbol" w:hint="default"/>
        <w:b w:val="0"/>
        <w:i w:val="0"/>
        <w:color w:val="auto"/>
        <w:sz w:val="24"/>
        <w:szCs w:val="24"/>
        <w:vertAlign w:val="baseline"/>
      </w:rPr>
    </w:lvl>
    <w:lvl w:ilvl="1" w:tplc="83CEFDC4">
      <w:start w:val="1"/>
      <w:numFmt w:val="lowerLetter"/>
      <w:lvlText w:val="%2."/>
      <w:lvlJc w:val="left"/>
      <w:pPr>
        <w:tabs>
          <w:tab w:val="num" w:pos="1451"/>
        </w:tabs>
        <w:ind w:left="1451" w:hanging="360"/>
      </w:pPr>
      <w:rPr>
        <w:rFonts w:ascii="Arial" w:hAnsi="Arial" w:cs="Arial" w:hint="default"/>
        <w:b w:val="0"/>
      </w:rPr>
    </w:lvl>
    <w:lvl w:ilvl="2" w:tplc="0C09001B">
      <w:start w:val="1"/>
      <w:numFmt w:val="lowerRoman"/>
      <w:lvlText w:val="%3."/>
      <w:lvlJc w:val="right"/>
      <w:pPr>
        <w:tabs>
          <w:tab w:val="num" w:pos="2171"/>
        </w:tabs>
        <w:ind w:left="2171" w:hanging="180"/>
      </w:pPr>
    </w:lvl>
    <w:lvl w:ilvl="3" w:tplc="0C09000F" w:tentative="1">
      <w:start w:val="1"/>
      <w:numFmt w:val="decimal"/>
      <w:lvlText w:val="%4."/>
      <w:lvlJc w:val="left"/>
      <w:pPr>
        <w:tabs>
          <w:tab w:val="num" w:pos="2891"/>
        </w:tabs>
        <w:ind w:left="2891" w:hanging="360"/>
      </w:pPr>
    </w:lvl>
    <w:lvl w:ilvl="4" w:tplc="0C090019" w:tentative="1">
      <w:start w:val="1"/>
      <w:numFmt w:val="lowerLetter"/>
      <w:lvlText w:val="%5."/>
      <w:lvlJc w:val="left"/>
      <w:pPr>
        <w:tabs>
          <w:tab w:val="num" w:pos="3611"/>
        </w:tabs>
        <w:ind w:left="3611" w:hanging="360"/>
      </w:pPr>
    </w:lvl>
    <w:lvl w:ilvl="5" w:tplc="0C09001B" w:tentative="1">
      <w:start w:val="1"/>
      <w:numFmt w:val="lowerRoman"/>
      <w:lvlText w:val="%6."/>
      <w:lvlJc w:val="right"/>
      <w:pPr>
        <w:tabs>
          <w:tab w:val="num" w:pos="4331"/>
        </w:tabs>
        <w:ind w:left="4331" w:hanging="180"/>
      </w:pPr>
    </w:lvl>
    <w:lvl w:ilvl="6" w:tplc="0C09000F" w:tentative="1">
      <w:start w:val="1"/>
      <w:numFmt w:val="decimal"/>
      <w:lvlText w:val="%7."/>
      <w:lvlJc w:val="left"/>
      <w:pPr>
        <w:tabs>
          <w:tab w:val="num" w:pos="5051"/>
        </w:tabs>
        <w:ind w:left="5051" w:hanging="360"/>
      </w:pPr>
    </w:lvl>
    <w:lvl w:ilvl="7" w:tplc="0C090019" w:tentative="1">
      <w:start w:val="1"/>
      <w:numFmt w:val="lowerLetter"/>
      <w:lvlText w:val="%8."/>
      <w:lvlJc w:val="left"/>
      <w:pPr>
        <w:tabs>
          <w:tab w:val="num" w:pos="5771"/>
        </w:tabs>
        <w:ind w:left="5771" w:hanging="360"/>
      </w:pPr>
    </w:lvl>
    <w:lvl w:ilvl="8" w:tplc="0C09001B" w:tentative="1">
      <w:start w:val="1"/>
      <w:numFmt w:val="lowerRoman"/>
      <w:lvlText w:val="%9."/>
      <w:lvlJc w:val="right"/>
      <w:pPr>
        <w:tabs>
          <w:tab w:val="num" w:pos="6491"/>
        </w:tabs>
        <w:ind w:left="6491" w:hanging="180"/>
      </w:pPr>
    </w:lvl>
  </w:abstractNum>
  <w:abstractNum w:abstractNumId="20" w15:restartNumberingAfterBreak="0">
    <w:nsid w:val="26A54828"/>
    <w:multiLevelType w:val="hybridMultilevel"/>
    <w:tmpl w:val="FFD8CDA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297817C3"/>
    <w:multiLevelType w:val="multilevel"/>
    <w:tmpl w:val="20A0E41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ascii="Arial" w:hAnsi="Arial" w:hint="default"/>
        <w:b w:val="0"/>
        <w:i/>
        <w:sz w:val="24"/>
      </w:rPr>
    </w:lvl>
    <w:lvl w:ilvl="3">
      <w:start w:val="1"/>
      <w:numFmt w:val="lowerRoman"/>
      <w:lvlText w:val="(%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2A4F4319"/>
    <w:multiLevelType w:val="hybridMultilevel"/>
    <w:tmpl w:val="963863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B440A6F"/>
    <w:multiLevelType w:val="hybridMultilevel"/>
    <w:tmpl w:val="CFB051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7905216"/>
    <w:multiLevelType w:val="multilevel"/>
    <w:tmpl w:val="EB6416E6"/>
    <w:lvl w:ilvl="0">
      <w:start w:val="1"/>
      <w:numFmt w:val="decimal"/>
      <w:suff w:val="space"/>
      <w:lvlText w:val="Recommendation %1:"/>
      <w:lvlJc w:val="left"/>
      <w:pPr>
        <w:ind w:left="720" w:firstLine="0"/>
      </w:pPr>
      <w:rPr>
        <w:rFonts w:ascii="Arial" w:hAnsi="Arial" w:hint="default"/>
        <w:b/>
        <w:i w:val="0"/>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F5A1B37"/>
    <w:multiLevelType w:val="multilevel"/>
    <w:tmpl w:val="EB6416E6"/>
    <w:lvl w:ilvl="0">
      <w:start w:val="1"/>
      <w:numFmt w:val="decimal"/>
      <w:suff w:val="space"/>
      <w:lvlText w:val="Recommendation %1:"/>
      <w:lvlJc w:val="left"/>
      <w:pPr>
        <w:ind w:left="720" w:firstLine="0"/>
      </w:pPr>
      <w:rPr>
        <w:rFonts w:ascii="Arial" w:hAnsi="Arial" w:hint="default"/>
        <w:b/>
        <w:i w:val="0"/>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0EE1F75"/>
    <w:multiLevelType w:val="hybridMultilevel"/>
    <w:tmpl w:val="280474D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47B47868"/>
    <w:multiLevelType w:val="hybridMultilevel"/>
    <w:tmpl w:val="F572D53A"/>
    <w:lvl w:ilvl="0" w:tplc="0C090001">
      <w:start w:val="1"/>
      <w:numFmt w:val="bullet"/>
      <w:lvlText w:val=""/>
      <w:lvlJc w:val="left"/>
      <w:pPr>
        <w:tabs>
          <w:tab w:val="num" w:pos="1080"/>
        </w:tabs>
        <w:ind w:left="1080" w:hanging="360"/>
      </w:pPr>
      <w:rPr>
        <w:rFonts w:ascii="Symbol" w:hAnsi="Symbol" w:hint="default"/>
        <w:b w:val="0"/>
      </w:rPr>
    </w:lvl>
    <w:lvl w:ilvl="1" w:tplc="0C090019">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9" w15:restartNumberingAfterBreak="0">
    <w:nsid w:val="49FF7A73"/>
    <w:multiLevelType w:val="multilevel"/>
    <w:tmpl w:val="FDCAC12A"/>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b/>
        <w:bCs w:val="0"/>
        <w:i/>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30"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1" w15:restartNumberingAfterBreak="0">
    <w:nsid w:val="57E83A15"/>
    <w:multiLevelType w:val="multilevel"/>
    <w:tmpl w:val="EB6416E6"/>
    <w:lvl w:ilvl="0">
      <w:start w:val="1"/>
      <w:numFmt w:val="decimal"/>
      <w:suff w:val="space"/>
      <w:lvlText w:val="Recommendation %1:"/>
      <w:lvlJc w:val="left"/>
      <w:pPr>
        <w:ind w:left="720" w:firstLine="0"/>
      </w:pPr>
      <w:rPr>
        <w:rFonts w:ascii="Arial" w:hAnsi="Arial" w:hint="default"/>
        <w:b/>
        <w:i w:val="0"/>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8613DF3"/>
    <w:multiLevelType w:val="multilevel"/>
    <w:tmpl w:val="EB6416E6"/>
    <w:lvl w:ilvl="0">
      <w:start w:val="1"/>
      <w:numFmt w:val="decimal"/>
      <w:suff w:val="space"/>
      <w:lvlText w:val="Recommendation %1:"/>
      <w:lvlJc w:val="left"/>
      <w:pPr>
        <w:ind w:left="720" w:firstLine="0"/>
      </w:pPr>
      <w:rPr>
        <w:rFonts w:ascii="Arial" w:hAnsi="Arial" w:hint="default"/>
        <w:b/>
        <w:i w:val="0"/>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C294C95"/>
    <w:multiLevelType w:val="multilevel"/>
    <w:tmpl w:val="3C3409C8"/>
    <w:lvl w:ilvl="0">
      <w:start w:val="1"/>
      <w:numFmt w:val="decimal"/>
      <w:suff w:val="nothing"/>
      <w:lvlText w:val="Recommendation %1:"/>
      <w:lvlJc w:val="left"/>
      <w:pPr>
        <w:ind w:left="720" w:firstLine="0"/>
      </w:pPr>
      <w:rPr>
        <w:rFonts w:ascii="Arial" w:hAnsi="Arial" w:hint="default"/>
        <w:b/>
        <w:i w:val="0"/>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F063CB9"/>
    <w:multiLevelType w:val="multilevel"/>
    <w:tmpl w:val="EB6416E6"/>
    <w:lvl w:ilvl="0">
      <w:start w:val="1"/>
      <w:numFmt w:val="decimal"/>
      <w:suff w:val="space"/>
      <w:lvlText w:val="Recommendation %1:"/>
      <w:lvlJc w:val="left"/>
      <w:pPr>
        <w:ind w:left="720" w:firstLine="0"/>
      </w:pPr>
      <w:rPr>
        <w:rFonts w:ascii="Arial" w:hAnsi="Arial" w:hint="default"/>
        <w:b/>
        <w:i w:val="0"/>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F3373EC"/>
    <w:multiLevelType w:val="multilevel"/>
    <w:tmpl w:val="EB6416E6"/>
    <w:lvl w:ilvl="0">
      <w:start w:val="1"/>
      <w:numFmt w:val="decimal"/>
      <w:suff w:val="space"/>
      <w:lvlText w:val="Recommendation %1:"/>
      <w:lvlJc w:val="left"/>
      <w:pPr>
        <w:ind w:left="720" w:firstLine="0"/>
      </w:pPr>
      <w:rPr>
        <w:rFonts w:ascii="Arial" w:hAnsi="Arial" w:hint="default"/>
        <w:b/>
        <w:i w:val="0"/>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5F9A6B85"/>
    <w:multiLevelType w:val="multilevel"/>
    <w:tmpl w:val="6DE8C42E"/>
    <w:lvl w:ilvl="0">
      <w:start w:val="1"/>
      <w:numFmt w:val="decimal"/>
      <w:suff w:val="nothing"/>
      <w:lvlText w:val="Recommendation %1:"/>
      <w:lvlJc w:val="left"/>
      <w:pPr>
        <w:ind w:left="720" w:firstLine="0"/>
      </w:pPr>
      <w:rPr>
        <w:rFonts w:ascii="Arial" w:hAnsi="Arial" w:hint="default"/>
        <w:b/>
        <w:i w:val="0"/>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3741AAC"/>
    <w:multiLevelType w:val="hybridMultilevel"/>
    <w:tmpl w:val="E8E06410"/>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8" w15:restartNumberingAfterBreak="0">
    <w:nsid w:val="63AF0165"/>
    <w:multiLevelType w:val="hybridMultilevel"/>
    <w:tmpl w:val="4CB2C30C"/>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9" w15:restartNumberingAfterBreak="0">
    <w:nsid w:val="662C7D2D"/>
    <w:multiLevelType w:val="multilevel"/>
    <w:tmpl w:val="EB6416E6"/>
    <w:lvl w:ilvl="0">
      <w:start w:val="1"/>
      <w:numFmt w:val="decimal"/>
      <w:suff w:val="space"/>
      <w:lvlText w:val="Recommendation %1:"/>
      <w:lvlJc w:val="left"/>
      <w:pPr>
        <w:ind w:left="720" w:firstLine="0"/>
      </w:pPr>
      <w:rPr>
        <w:rFonts w:ascii="Arial" w:hAnsi="Arial" w:hint="default"/>
        <w:b/>
        <w:i w:val="0"/>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6DB1FD7"/>
    <w:multiLevelType w:val="multilevel"/>
    <w:tmpl w:val="EB6416E6"/>
    <w:lvl w:ilvl="0">
      <w:start w:val="1"/>
      <w:numFmt w:val="decimal"/>
      <w:suff w:val="space"/>
      <w:lvlText w:val="Recommendation %1:"/>
      <w:lvlJc w:val="left"/>
      <w:pPr>
        <w:ind w:left="720" w:firstLine="0"/>
      </w:pPr>
      <w:rPr>
        <w:rFonts w:ascii="Arial" w:hAnsi="Arial" w:hint="default"/>
        <w:b/>
        <w:i w:val="0"/>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D1F061F"/>
    <w:multiLevelType w:val="hybridMultilevel"/>
    <w:tmpl w:val="F260FE3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2" w15:restartNumberingAfterBreak="0">
    <w:nsid w:val="6F7062CE"/>
    <w:multiLevelType w:val="hybridMultilevel"/>
    <w:tmpl w:val="8E943AD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3" w15:restartNumberingAfterBreak="0">
    <w:nsid w:val="71145D99"/>
    <w:multiLevelType w:val="hybridMultilevel"/>
    <w:tmpl w:val="E668C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393194C"/>
    <w:multiLevelType w:val="hybridMultilevel"/>
    <w:tmpl w:val="56F09F3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5" w15:restartNumberingAfterBreak="0">
    <w:nsid w:val="764B64E6"/>
    <w:multiLevelType w:val="multilevel"/>
    <w:tmpl w:val="EB6416E6"/>
    <w:lvl w:ilvl="0">
      <w:start w:val="1"/>
      <w:numFmt w:val="decimal"/>
      <w:suff w:val="space"/>
      <w:lvlText w:val="Recommendation %1:"/>
      <w:lvlJc w:val="left"/>
      <w:pPr>
        <w:ind w:left="720" w:firstLine="0"/>
      </w:pPr>
      <w:rPr>
        <w:rFonts w:ascii="Arial" w:hAnsi="Arial" w:hint="default"/>
        <w:b/>
        <w:i w:val="0"/>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7D5B4E10"/>
    <w:multiLevelType w:val="hybridMultilevel"/>
    <w:tmpl w:val="F5C88F0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29"/>
  </w:num>
  <w:num w:numId="2">
    <w:abstractNumId w:val="9"/>
  </w:num>
  <w:num w:numId="3">
    <w:abstractNumId w:val="7"/>
  </w:num>
  <w:num w:numId="4">
    <w:abstractNumId w:val="6"/>
  </w:num>
  <w:num w:numId="5">
    <w:abstractNumId w:val="5"/>
  </w:num>
  <w:num w:numId="6">
    <w:abstractNumId w:val="4"/>
  </w:num>
  <w:num w:numId="7">
    <w:abstractNumId w:val="8"/>
  </w:num>
  <w:num w:numId="8">
    <w:abstractNumId w:val="1"/>
  </w:num>
  <w:num w:numId="9">
    <w:abstractNumId w:val="0"/>
  </w:num>
  <w:num w:numId="10">
    <w:abstractNumId w:val="3"/>
  </w:num>
  <w:num w:numId="11">
    <w:abstractNumId w:val="2"/>
  </w:num>
  <w:num w:numId="12">
    <w:abstractNumId w:val="30"/>
  </w:num>
  <w:num w:numId="13">
    <w:abstractNumId w:val="25"/>
  </w:num>
  <w:num w:numId="14">
    <w:abstractNumId w:val="16"/>
  </w:num>
  <w:num w:numId="15">
    <w:abstractNumId w:val="14"/>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21"/>
  </w:num>
  <w:num w:numId="19">
    <w:abstractNumId w:val="19"/>
  </w:num>
  <w:num w:numId="20">
    <w:abstractNumId w:val="28"/>
  </w:num>
  <w:num w:numId="21">
    <w:abstractNumId w:val="17"/>
  </w:num>
  <w:num w:numId="22">
    <w:abstractNumId w:val="44"/>
  </w:num>
  <w:num w:numId="23">
    <w:abstractNumId w:val="42"/>
  </w:num>
  <w:num w:numId="24">
    <w:abstractNumId w:val="41"/>
  </w:num>
  <w:num w:numId="25">
    <w:abstractNumId w:val="14"/>
  </w:num>
  <w:num w:numId="26">
    <w:abstractNumId w:val="43"/>
  </w:num>
  <w:num w:numId="27">
    <w:abstractNumId w:val="29"/>
  </w:num>
  <w:num w:numId="28">
    <w:abstractNumId w:val="29"/>
  </w:num>
  <w:num w:numId="29">
    <w:abstractNumId w:val="29"/>
  </w:num>
  <w:num w:numId="30">
    <w:abstractNumId w:val="29"/>
  </w:num>
  <w:num w:numId="31">
    <w:abstractNumId w:val="29"/>
  </w:num>
  <w:num w:numId="32">
    <w:abstractNumId w:val="29"/>
  </w:num>
  <w:num w:numId="33">
    <w:abstractNumId w:val="29"/>
  </w:num>
  <w:num w:numId="34">
    <w:abstractNumId w:val="29"/>
  </w:num>
  <w:num w:numId="35">
    <w:abstractNumId w:val="29"/>
  </w:num>
  <w:num w:numId="36">
    <w:abstractNumId w:val="29"/>
  </w:num>
  <w:num w:numId="37">
    <w:abstractNumId w:val="29"/>
  </w:num>
  <w:num w:numId="38">
    <w:abstractNumId w:val="29"/>
  </w:num>
  <w:num w:numId="39">
    <w:abstractNumId w:val="29"/>
  </w:num>
  <w:num w:numId="40">
    <w:abstractNumId w:val="29"/>
  </w:num>
  <w:num w:numId="41">
    <w:abstractNumId w:val="29"/>
  </w:num>
  <w:num w:numId="42">
    <w:abstractNumId w:val="46"/>
  </w:num>
  <w:num w:numId="43">
    <w:abstractNumId w:val="15"/>
  </w:num>
  <w:num w:numId="44">
    <w:abstractNumId w:val="14"/>
  </w:num>
  <w:num w:numId="45">
    <w:abstractNumId w:val="22"/>
  </w:num>
  <w:num w:numId="46">
    <w:abstractNumId w:val="38"/>
  </w:num>
  <w:num w:numId="47">
    <w:abstractNumId w:val="14"/>
  </w:num>
  <w:num w:numId="48">
    <w:abstractNumId w:val="20"/>
  </w:num>
  <w:num w:numId="49">
    <w:abstractNumId w:val="27"/>
  </w:num>
  <w:num w:numId="50">
    <w:abstractNumId w:val="33"/>
  </w:num>
  <w:num w:numId="51">
    <w:abstractNumId w:val="36"/>
  </w:num>
  <w:num w:numId="52">
    <w:abstractNumId w:val="18"/>
  </w:num>
  <w:num w:numId="53">
    <w:abstractNumId w:val="10"/>
  </w:num>
  <w:num w:numId="54">
    <w:abstractNumId w:val="31"/>
  </w:num>
  <w:num w:numId="55">
    <w:abstractNumId w:val="45"/>
  </w:num>
  <w:num w:numId="56">
    <w:abstractNumId w:val="26"/>
  </w:num>
  <w:num w:numId="57">
    <w:abstractNumId w:val="32"/>
  </w:num>
  <w:num w:numId="58">
    <w:abstractNumId w:val="12"/>
  </w:num>
  <w:num w:numId="59">
    <w:abstractNumId w:val="40"/>
  </w:num>
  <w:num w:numId="60">
    <w:abstractNumId w:val="35"/>
  </w:num>
  <w:num w:numId="61">
    <w:abstractNumId w:val="24"/>
  </w:num>
  <w:num w:numId="62">
    <w:abstractNumId w:val="34"/>
  </w:num>
  <w:num w:numId="63">
    <w:abstractNumId w:val="39"/>
  </w:num>
  <w:num w:numId="64">
    <w:abstractNumId w:val="37"/>
  </w:num>
  <w:num w:numId="65">
    <w:abstractNumId w:val="23"/>
  </w:num>
  <w:num w:numId="66">
    <w:abstractNumId w:val="1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CF2"/>
    <w:rsid w:val="00000CAD"/>
    <w:rsid w:val="000023A0"/>
    <w:rsid w:val="00002A11"/>
    <w:rsid w:val="00003611"/>
    <w:rsid w:val="000045C6"/>
    <w:rsid w:val="00004EDC"/>
    <w:rsid w:val="00007B8C"/>
    <w:rsid w:val="00007BE6"/>
    <w:rsid w:val="00007FE9"/>
    <w:rsid w:val="000114E6"/>
    <w:rsid w:val="000122C9"/>
    <w:rsid w:val="0001458A"/>
    <w:rsid w:val="0001477A"/>
    <w:rsid w:val="0001579F"/>
    <w:rsid w:val="000204E3"/>
    <w:rsid w:val="00022662"/>
    <w:rsid w:val="00022B1C"/>
    <w:rsid w:val="00024652"/>
    <w:rsid w:val="00024C7A"/>
    <w:rsid w:val="000252B6"/>
    <w:rsid w:val="000271C1"/>
    <w:rsid w:val="000274A0"/>
    <w:rsid w:val="00030873"/>
    <w:rsid w:val="00031169"/>
    <w:rsid w:val="00034B24"/>
    <w:rsid w:val="0003606D"/>
    <w:rsid w:val="00043C9F"/>
    <w:rsid w:val="00045094"/>
    <w:rsid w:val="000515BD"/>
    <w:rsid w:val="00051752"/>
    <w:rsid w:val="00051DBC"/>
    <w:rsid w:val="00052489"/>
    <w:rsid w:val="000579B1"/>
    <w:rsid w:val="0006047F"/>
    <w:rsid w:val="00061177"/>
    <w:rsid w:val="00062821"/>
    <w:rsid w:val="00063C13"/>
    <w:rsid w:val="00066869"/>
    <w:rsid w:val="00067762"/>
    <w:rsid w:val="00071754"/>
    <w:rsid w:val="00071D6F"/>
    <w:rsid w:val="00072D2F"/>
    <w:rsid w:val="00074319"/>
    <w:rsid w:val="00076498"/>
    <w:rsid w:val="00076DFE"/>
    <w:rsid w:val="00077825"/>
    <w:rsid w:val="0008794E"/>
    <w:rsid w:val="00092214"/>
    <w:rsid w:val="00092AB1"/>
    <w:rsid w:val="0009511C"/>
    <w:rsid w:val="00095E9E"/>
    <w:rsid w:val="000A004C"/>
    <w:rsid w:val="000A0D4E"/>
    <w:rsid w:val="000A1DB8"/>
    <w:rsid w:val="000A2A11"/>
    <w:rsid w:val="000A41AD"/>
    <w:rsid w:val="000A444D"/>
    <w:rsid w:val="000A48AC"/>
    <w:rsid w:val="000B0A5D"/>
    <w:rsid w:val="000B1FB7"/>
    <w:rsid w:val="000B29FE"/>
    <w:rsid w:val="000B388D"/>
    <w:rsid w:val="000B4558"/>
    <w:rsid w:val="000B542E"/>
    <w:rsid w:val="000B62B3"/>
    <w:rsid w:val="000B7C7D"/>
    <w:rsid w:val="000B7D10"/>
    <w:rsid w:val="000B7E4D"/>
    <w:rsid w:val="000C04AE"/>
    <w:rsid w:val="000C100F"/>
    <w:rsid w:val="000C1922"/>
    <w:rsid w:val="000C2032"/>
    <w:rsid w:val="000C3AB2"/>
    <w:rsid w:val="000C4B5E"/>
    <w:rsid w:val="000C722E"/>
    <w:rsid w:val="000C77E2"/>
    <w:rsid w:val="000D2D9C"/>
    <w:rsid w:val="000D3FC9"/>
    <w:rsid w:val="000D3FD9"/>
    <w:rsid w:val="000D4E69"/>
    <w:rsid w:val="000E0F0C"/>
    <w:rsid w:val="000E130A"/>
    <w:rsid w:val="000E5CB1"/>
    <w:rsid w:val="000E7AEC"/>
    <w:rsid w:val="000F0258"/>
    <w:rsid w:val="000F0906"/>
    <w:rsid w:val="000F4A77"/>
    <w:rsid w:val="000F4F89"/>
    <w:rsid w:val="000F6885"/>
    <w:rsid w:val="000F6F48"/>
    <w:rsid w:val="000F7E80"/>
    <w:rsid w:val="00101014"/>
    <w:rsid w:val="00104078"/>
    <w:rsid w:val="00110397"/>
    <w:rsid w:val="00112851"/>
    <w:rsid w:val="00115151"/>
    <w:rsid w:val="00116B97"/>
    <w:rsid w:val="00117B7B"/>
    <w:rsid w:val="00120C5E"/>
    <w:rsid w:val="00121588"/>
    <w:rsid w:val="0012189D"/>
    <w:rsid w:val="001231A9"/>
    <w:rsid w:val="00124CFC"/>
    <w:rsid w:val="001259CE"/>
    <w:rsid w:val="001275DB"/>
    <w:rsid w:val="00127C6C"/>
    <w:rsid w:val="00131F5C"/>
    <w:rsid w:val="00132D5D"/>
    <w:rsid w:val="00134774"/>
    <w:rsid w:val="00140274"/>
    <w:rsid w:val="0014067C"/>
    <w:rsid w:val="00140F4B"/>
    <w:rsid w:val="00141EAD"/>
    <w:rsid w:val="001442AB"/>
    <w:rsid w:val="001449A3"/>
    <w:rsid w:val="00145765"/>
    <w:rsid w:val="00146938"/>
    <w:rsid w:val="0014714C"/>
    <w:rsid w:val="0015066F"/>
    <w:rsid w:val="001511BE"/>
    <w:rsid w:val="00151263"/>
    <w:rsid w:val="00151951"/>
    <w:rsid w:val="00152626"/>
    <w:rsid w:val="00153C56"/>
    <w:rsid w:val="00155288"/>
    <w:rsid w:val="00155376"/>
    <w:rsid w:val="00157251"/>
    <w:rsid w:val="001610C6"/>
    <w:rsid w:val="00161B83"/>
    <w:rsid w:val="00162A8D"/>
    <w:rsid w:val="00165E3C"/>
    <w:rsid w:val="00166F3B"/>
    <w:rsid w:val="00171A89"/>
    <w:rsid w:val="0017298C"/>
    <w:rsid w:val="00173FB5"/>
    <w:rsid w:val="00182317"/>
    <w:rsid w:val="0018377B"/>
    <w:rsid w:val="00184DA9"/>
    <w:rsid w:val="00185D83"/>
    <w:rsid w:val="001860D0"/>
    <w:rsid w:val="001863E9"/>
    <w:rsid w:val="001924B4"/>
    <w:rsid w:val="001925D1"/>
    <w:rsid w:val="00197D72"/>
    <w:rsid w:val="001A21AC"/>
    <w:rsid w:val="001A3704"/>
    <w:rsid w:val="001A457C"/>
    <w:rsid w:val="001A5C1F"/>
    <w:rsid w:val="001A7B52"/>
    <w:rsid w:val="001B0353"/>
    <w:rsid w:val="001B51B6"/>
    <w:rsid w:val="001B5BDA"/>
    <w:rsid w:val="001B7B5E"/>
    <w:rsid w:val="001C00BD"/>
    <w:rsid w:val="001C1F8B"/>
    <w:rsid w:val="001D116D"/>
    <w:rsid w:val="001D1662"/>
    <w:rsid w:val="001D1DDD"/>
    <w:rsid w:val="001D2554"/>
    <w:rsid w:val="001D303F"/>
    <w:rsid w:val="001D5C08"/>
    <w:rsid w:val="001D70E2"/>
    <w:rsid w:val="001E4FE9"/>
    <w:rsid w:val="001E638D"/>
    <w:rsid w:val="001F16B1"/>
    <w:rsid w:val="001F2AC9"/>
    <w:rsid w:val="001F2BBB"/>
    <w:rsid w:val="001F5CB1"/>
    <w:rsid w:val="001F606E"/>
    <w:rsid w:val="001F6736"/>
    <w:rsid w:val="001F7124"/>
    <w:rsid w:val="001F7B9E"/>
    <w:rsid w:val="00200677"/>
    <w:rsid w:val="00200814"/>
    <w:rsid w:val="002047D9"/>
    <w:rsid w:val="00205A29"/>
    <w:rsid w:val="00207403"/>
    <w:rsid w:val="00210116"/>
    <w:rsid w:val="00213E00"/>
    <w:rsid w:val="002151F3"/>
    <w:rsid w:val="00216216"/>
    <w:rsid w:val="00216F35"/>
    <w:rsid w:val="00220508"/>
    <w:rsid w:val="002248CE"/>
    <w:rsid w:val="00224AA3"/>
    <w:rsid w:val="00226299"/>
    <w:rsid w:val="00226D90"/>
    <w:rsid w:val="00231ED1"/>
    <w:rsid w:val="00233322"/>
    <w:rsid w:val="002365D9"/>
    <w:rsid w:val="00241CB5"/>
    <w:rsid w:val="00242624"/>
    <w:rsid w:val="0024267D"/>
    <w:rsid w:val="00242AC2"/>
    <w:rsid w:val="00243AAB"/>
    <w:rsid w:val="00244021"/>
    <w:rsid w:val="0024557E"/>
    <w:rsid w:val="00246EC6"/>
    <w:rsid w:val="00251241"/>
    <w:rsid w:val="00251E95"/>
    <w:rsid w:val="00254671"/>
    <w:rsid w:val="002566D8"/>
    <w:rsid w:val="002575D3"/>
    <w:rsid w:val="00260700"/>
    <w:rsid w:val="002626BD"/>
    <w:rsid w:val="00262D0E"/>
    <w:rsid w:val="00271C71"/>
    <w:rsid w:val="002725C2"/>
    <w:rsid w:val="0027478F"/>
    <w:rsid w:val="0027723C"/>
    <w:rsid w:val="00280321"/>
    <w:rsid w:val="00281A63"/>
    <w:rsid w:val="00285913"/>
    <w:rsid w:val="002861C0"/>
    <w:rsid w:val="002863D7"/>
    <w:rsid w:val="00287C9D"/>
    <w:rsid w:val="00287E6C"/>
    <w:rsid w:val="00290681"/>
    <w:rsid w:val="00290AC8"/>
    <w:rsid w:val="00290D27"/>
    <w:rsid w:val="00293638"/>
    <w:rsid w:val="002A010A"/>
    <w:rsid w:val="002A3076"/>
    <w:rsid w:val="002A3649"/>
    <w:rsid w:val="002A36CF"/>
    <w:rsid w:val="002A374E"/>
    <w:rsid w:val="002A413E"/>
    <w:rsid w:val="002A492D"/>
    <w:rsid w:val="002A7972"/>
    <w:rsid w:val="002A7ACA"/>
    <w:rsid w:val="002B0538"/>
    <w:rsid w:val="002B1B65"/>
    <w:rsid w:val="002B7726"/>
    <w:rsid w:val="002C1299"/>
    <w:rsid w:val="002C1866"/>
    <w:rsid w:val="002C301D"/>
    <w:rsid w:val="002C4B35"/>
    <w:rsid w:val="002C55F2"/>
    <w:rsid w:val="002C5F14"/>
    <w:rsid w:val="002C64C1"/>
    <w:rsid w:val="002D734C"/>
    <w:rsid w:val="002F3ED5"/>
    <w:rsid w:val="002F421D"/>
    <w:rsid w:val="002F45FA"/>
    <w:rsid w:val="002F4CE1"/>
    <w:rsid w:val="002F745D"/>
    <w:rsid w:val="00300F22"/>
    <w:rsid w:val="00301CED"/>
    <w:rsid w:val="00301F0E"/>
    <w:rsid w:val="00304386"/>
    <w:rsid w:val="00304A37"/>
    <w:rsid w:val="00305CC9"/>
    <w:rsid w:val="003070D9"/>
    <w:rsid w:val="00307E78"/>
    <w:rsid w:val="00310ED4"/>
    <w:rsid w:val="00312301"/>
    <w:rsid w:val="003126E0"/>
    <w:rsid w:val="00312A64"/>
    <w:rsid w:val="0031492A"/>
    <w:rsid w:val="00316C1A"/>
    <w:rsid w:val="00320919"/>
    <w:rsid w:val="00320E2E"/>
    <w:rsid w:val="00321215"/>
    <w:rsid w:val="003215C9"/>
    <w:rsid w:val="00321E37"/>
    <w:rsid w:val="00323C73"/>
    <w:rsid w:val="003241A3"/>
    <w:rsid w:val="00324D76"/>
    <w:rsid w:val="00331141"/>
    <w:rsid w:val="00331527"/>
    <w:rsid w:val="0033315D"/>
    <w:rsid w:val="00333C34"/>
    <w:rsid w:val="00334A7A"/>
    <w:rsid w:val="00334F96"/>
    <w:rsid w:val="003379A5"/>
    <w:rsid w:val="00340568"/>
    <w:rsid w:val="0034068A"/>
    <w:rsid w:val="003409B3"/>
    <w:rsid w:val="00341E67"/>
    <w:rsid w:val="00341F4B"/>
    <w:rsid w:val="003426A4"/>
    <w:rsid w:val="00344758"/>
    <w:rsid w:val="0034606B"/>
    <w:rsid w:val="00347142"/>
    <w:rsid w:val="00350BE0"/>
    <w:rsid w:val="003551D8"/>
    <w:rsid w:val="00355CE4"/>
    <w:rsid w:val="00355F91"/>
    <w:rsid w:val="003565A8"/>
    <w:rsid w:val="003566EA"/>
    <w:rsid w:val="00356AC8"/>
    <w:rsid w:val="003605B6"/>
    <w:rsid w:val="003614BC"/>
    <w:rsid w:val="00361B48"/>
    <w:rsid w:val="00363E3A"/>
    <w:rsid w:val="00364050"/>
    <w:rsid w:val="003726B6"/>
    <w:rsid w:val="00372C79"/>
    <w:rsid w:val="00372FDF"/>
    <w:rsid w:val="00374FA9"/>
    <w:rsid w:val="003758A3"/>
    <w:rsid w:val="00380CFD"/>
    <w:rsid w:val="00381A32"/>
    <w:rsid w:val="00383AEB"/>
    <w:rsid w:val="00383D80"/>
    <w:rsid w:val="00383F10"/>
    <w:rsid w:val="00385AA4"/>
    <w:rsid w:val="00390177"/>
    <w:rsid w:val="00391297"/>
    <w:rsid w:val="00392372"/>
    <w:rsid w:val="003946B9"/>
    <w:rsid w:val="003A08C9"/>
    <w:rsid w:val="003A1549"/>
    <w:rsid w:val="003A440E"/>
    <w:rsid w:val="003A4A3A"/>
    <w:rsid w:val="003B02F1"/>
    <w:rsid w:val="003B1FC3"/>
    <w:rsid w:val="003B5FAF"/>
    <w:rsid w:val="003B6E08"/>
    <w:rsid w:val="003C2C77"/>
    <w:rsid w:val="003C3A98"/>
    <w:rsid w:val="003C47FF"/>
    <w:rsid w:val="003C5093"/>
    <w:rsid w:val="003C69F0"/>
    <w:rsid w:val="003D124D"/>
    <w:rsid w:val="003D132B"/>
    <w:rsid w:val="003D2AE3"/>
    <w:rsid w:val="003D35D0"/>
    <w:rsid w:val="003D36A1"/>
    <w:rsid w:val="003D54AA"/>
    <w:rsid w:val="003D5A3B"/>
    <w:rsid w:val="003D6DEA"/>
    <w:rsid w:val="003D736D"/>
    <w:rsid w:val="003E2108"/>
    <w:rsid w:val="003E2151"/>
    <w:rsid w:val="003E4C11"/>
    <w:rsid w:val="003E5AF9"/>
    <w:rsid w:val="003F187F"/>
    <w:rsid w:val="003F2B9F"/>
    <w:rsid w:val="003F37F0"/>
    <w:rsid w:val="003F5950"/>
    <w:rsid w:val="00400E2C"/>
    <w:rsid w:val="004016C8"/>
    <w:rsid w:val="00403EB4"/>
    <w:rsid w:val="00405579"/>
    <w:rsid w:val="004056B3"/>
    <w:rsid w:val="00405ED7"/>
    <w:rsid w:val="004072EA"/>
    <w:rsid w:val="00410ED8"/>
    <w:rsid w:val="00412720"/>
    <w:rsid w:val="00413B6D"/>
    <w:rsid w:val="00415415"/>
    <w:rsid w:val="00417777"/>
    <w:rsid w:val="00422417"/>
    <w:rsid w:val="00424233"/>
    <w:rsid w:val="00425585"/>
    <w:rsid w:val="00425880"/>
    <w:rsid w:val="004269FB"/>
    <w:rsid w:val="004301BC"/>
    <w:rsid w:val="0043042B"/>
    <w:rsid w:val="004315AC"/>
    <w:rsid w:val="00433979"/>
    <w:rsid w:val="00436449"/>
    <w:rsid w:val="00442696"/>
    <w:rsid w:val="00445DD3"/>
    <w:rsid w:val="004501D4"/>
    <w:rsid w:val="00452200"/>
    <w:rsid w:val="00455095"/>
    <w:rsid w:val="0045639E"/>
    <w:rsid w:val="00457CA2"/>
    <w:rsid w:val="00466555"/>
    <w:rsid w:val="004719F1"/>
    <w:rsid w:val="00472EFF"/>
    <w:rsid w:val="00474063"/>
    <w:rsid w:val="00476793"/>
    <w:rsid w:val="00477CB2"/>
    <w:rsid w:val="00481AF8"/>
    <w:rsid w:val="00484D2E"/>
    <w:rsid w:val="00484E57"/>
    <w:rsid w:val="00486246"/>
    <w:rsid w:val="00486F2B"/>
    <w:rsid w:val="004945F9"/>
    <w:rsid w:val="004947D5"/>
    <w:rsid w:val="0049581D"/>
    <w:rsid w:val="004977B0"/>
    <w:rsid w:val="004A04D2"/>
    <w:rsid w:val="004A10DB"/>
    <w:rsid w:val="004A141B"/>
    <w:rsid w:val="004A172C"/>
    <w:rsid w:val="004A187B"/>
    <w:rsid w:val="004A2C04"/>
    <w:rsid w:val="004A2D3C"/>
    <w:rsid w:val="004B7D9B"/>
    <w:rsid w:val="004C2360"/>
    <w:rsid w:val="004C431A"/>
    <w:rsid w:val="004C53F0"/>
    <w:rsid w:val="004C6049"/>
    <w:rsid w:val="004C6B4F"/>
    <w:rsid w:val="004C7412"/>
    <w:rsid w:val="004D04BF"/>
    <w:rsid w:val="004D05F0"/>
    <w:rsid w:val="004D26CB"/>
    <w:rsid w:val="004D3A00"/>
    <w:rsid w:val="004D6E55"/>
    <w:rsid w:val="004E00DD"/>
    <w:rsid w:val="004E0CED"/>
    <w:rsid w:val="004E0DFF"/>
    <w:rsid w:val="004E1E27"/>
    <w:rsid w:val="004E46B3"/>
    <w:rsid w:val="004E5B3B"/>
    <w:rsid w:val="004E6A48"/>
    <w:rsid w:val="004E7B5C"/>
    <w:rsid w:val="004F1838"/>
    <w:rsid w:val="004F1C7C"/>
    <w:rsid w:val="004F24A7"/>
    <w:rsid w:val="004F4513"/>
    <w:rsid w:val="005018D2"/>
    <w:rsid w:val="00503259"/>
    <w:rsid w:val="00506FCB"/>
    <w:rsid w:val="005112C9"/>
    <w:rsid w:val="005123F0"/>
    <w:rsid w:val="00512AC7"/>
    <w:rsid w:val="00512B18"/>
    <w:rsid w:val="00513540"/>
    <w:rsid w:val="00513941"/>
    <w:rsid w:val="00514832"/>
    <w:rsid w:val="00515DBF"/>
    <w:rsid w:val="0051715F"/>
    <w:rsid w:val="005229B3"/>
    <w:rsid w:val="005232D3"/>
    <w:rsid w:val="005246EC"/>
    <w:rsid w:val="00525082"/>
    <w:rsid w:val="005259B7"/>
    <w:rsid w:val="00526326"/>
    <w:rsid w:val="005273C1"/>
    <w:rsid w:val="0053051D"/>
    <w:rsid w:val="00531790"/>
    <w:rsid w:val="005323A0"/>
    <w:rsid w:val="00532B69"/>
    <w:rsid w:val="00533096"/>
    <w:rsid w:val="00534649"/>
    <w:rsid w:val="00534B3E"/>
    <w:rsid w:val="00535D44"/>
    <w:rsid w:val="005369C9"/>
    <w:rsid w:val="00536CE1"/>
    <w:rsid w:val="00543C2F"/>
    <w:rsid w:val="00545FD1"/>
    <w:rsid w:val="0054658A"/>
    <w:rsid w:val="0054693F"/>
    <w:rsid w:val="00557DFC"/>
    <w:rsid w:val="00561EDC"/>
    <w:rsid w:val="005623F1"/>
    <w:rsid w:val="00562593"/>
    <w:rsid w:val="00564208"/>
    <w:rsid w:val="00565222"/>
    <w:rsid w:val="0056633E"/>
    <w:rsid w:val="00571CEB"/>
    <w:rsid w:val="005721BD"/>
    <w:rsid w:val="0057759C"/>
    <w:rsid w:val="00583BC2"/>
    <w:rsid w:val="005854C6"/>
    <w:rsid w:val="00586957"/>
    <w:rsid w:val="00591951"/>
    <w:rsid w:val="00591C44"/>
    <w:rsid w:val="005935BA"/>
    <w:rsid w:val="00593B27"/>
    <w:rsid w:val="00596FF1"/>
    <w:rsid w:val="005A18D8"/>
    <w:rsid w:val="005A19DD"/>
    <w:rsid w:val="005A2706"/>
    <w:rsid w:val="005B4E6F"/>
    <w:rsid w:val="005B6162"/>
    <w:rsid w:val="005B6876"/>
    <w:rsid w:val="005B79BA"/>
    <w:rsid w:val="005C14C1"/>
    <w:rsid w:val="005C32EE"/>
    <w:rsid w:val="005C3CF9"/>
    <w:rsid w:val="005C5870"/>
    <w:rsid w:val="005C5D41"/>
    <w:rsid w:val="005D0085"/>
    <w:rsid w:val="005D02BE"/>
    <w:rsid w:val="005D1E95"/>
    <w:rsid w:val="005D1F34"/>
    <w:rsid w:val="005D383D"/>
    <w:rsid w:val="005D50E7"/>
    <w:rsid w:val="005D67D9"/>
    <w:rsid w:val="005E4062"/>
    <w:rsid w:val="005E42D6"/>
    <w:rsid w:val="005E61B2"/>
    <w:rsid w:val="005E79B2"/>
    <w:rsid w:val="005F0741"/>
    <w:rsid w:val="005F07BE"/>
    <w:rsid w:val="005F0A69"/>
    <w:rsid w:val="005F0C05"/>
    <w:rsid w:val="0060059F"/>
    <w:rsid w:val="006042F3"/>
    <w:rsid w:val="00606B19"/>
    <w:rsid w:val="00607D32"/>
    <w:rsid w:val="00612677"/>
    <w:rsid w:val="0061495E"/>
    <w:rsid w:val="0061688F"/>
    <w:rsid w:val="00623605"/>
    <w:rsid w:val="00623EE3"/>
    <w:rsid w:val="00627D3E"/>
    <w:rsid w:val="006336C8"/>
    <w:rsid w:val="00633AE7"/>
    <w:rsid w:val="00633CF7"/>
    <w:rsid w:val="00635AF2"/>
    <w:rsid w:val="006404E8"/>
    <w:rsid w:val="006412E5"/>
    <w:rsid w:val="00641409"/>
    <w:rsid w:val="00641533"/>
    <w:rsid w:val="00643043"/>
    <w:rsid w:val="006511BE"/>
    <w:rsid w:val="00651877"/>
    <w:rsid w:val="006523B0"/>
    <w:rsid w:val="00652F14"/>
    <w:rsid w:val="00654793"/>
    <w:rsid w:val="00656008"/>
    <w:rsid w:val="006612B9"/>
    <w:rsid w:val="00662905"/>
    <w:rsid w:val="00664E79"/>
    <w:rsid w:val="00665E1F"/>
    <w:rsid w:val="006666C2"/>
    <w:rsid w:val="00672161"/>
    <w:rsid w:val="00673781"/>
    <w:rsid w:val="006752FE"/>
    <w:rsid w:val="00681369"/>
    <w:rsid w:val="006821C6"/>
    <w:rsid w:val="00683EC8"/>
    <w:rsid w:val="00686702"/>
    <w:rsid w:val="006874CC"/>
    <w:rsid w:val="00687E92"/>
    <w:rsid w:val="006904DE"/>
    <w:rsid w:val="006920EC"/>
    <w:rsid w:val="00692F0B"/>
    <w:rsid w:val="006930E2"/>
    <w:rsid w:val="006931FD"/>
    <w:rsid w:val="00694583"/>
    <w:rsid w:val="006976B1"/>
    <w:rsid w:val="006A0061"/>
    <w:rsid w:val="006A1044"/>
    <w:rsid w:val="006A5924"/>
    <w:rsid w:val="006A6BB3"/>
    <w:rsid w:val="006A74D6"/>
    <w:rsid w:val="006A7D27"/>
    <w:rsid w:val="006B0714"/>
    <w:rsid w:val="006B2CF0"/>
    <w:rsid w:val="006B5B05"/>
    <w:rsid w:val="006B6A85"/>
    <w:rsid w:val="006C03C3"/>
    <w:rsid w:val="006C5D34"/>
    <w:rsid w:val="006C5F8E"/>
    <w:rsid w:val="006D07E4"/>
    <w:rsid w:val="006D1A3E"/>
    <w:rsid w:val="006D2605"/>
    <w:rsid w:val="006D2E32"/>
    <w:rsid w:val="006D5EE5"/>
    <w:rsid w:val="006D668E"/>
    <w:rsid w:val="006D7154"/>
    <w:rsid w:val="006E05AC"/>
    <w:rsid w:val="006E1E8E"/>
    <w:rsid w:val="006E2EAC"/>
    <w:rsid w:val="006E32EA"/>
    <w:rsid w:val="006E617B"/>
    <w:rsid w:val="006E71CB"/>
    <w:rsid w:val="006F1517"/>
    <w:rsid w:val="006F26AB"/>
    <w:rsid w:val="006F47F0"/>
    <w:rsid w:val="006F6261"/>
    <w:rsid w:val="006F6B36"/>
    <w:rsid w:val="00700CF9"/>
    <w:rsid w:val="00700F66"/>
    <w:rsid w:val="00700F71"/>
    <w:rsid w:val="0070216C"/>
    <w:rsid w:val="00702E6D"/>
    <w:rsid w:val="00703922"/>
    <w:rsid w:val="00704CA7"/>
    <w:rsid w:val="007063BE"/>
    <w:rsid w:val="00710EF7"/>
    <w:rsid w:val="0071353B"/>
    <w:rsid w:val="00713C99"/>
    <w:rsid w:val="00713F40"/>
    <w:rsid w:val="00714E2B"/>
    <w:rsid w:val="00715C9C"/>
    <w:rsid w:val="007160B7"/>
    <w:rsid w:val="007228B4"/>
    <w:rsid w:val="00722E56"/>
    <w:rsid w:val="007233E9"/>
    <w:rsid w:val="0072363D"/>
    <w:rsid w:val="00723D42"/>
    <w:rsid w:val="00725153"/>
    <w:rsid w:val="00725644"/>
    <w:rsid w:val="00725A06"/>
    <w:rsid w:val="007276EE"/>
    <w:rsid w:val="00727A76"/>
    <w:rsid w:val="00730706"/>
    <w:rsid w:val="0073174F"/>
    <w:rsid w:val="00732B5A"/>
    <w:rsid w:val="00732E11"/>
    <w:rsid w:val="00733D0E"/>
    <w:rsid w:val="00736AE3"/>
    <w:rsid w:val="00743727"/>
    <w:rsid w:val="00744E11"/>
    <w:rsid w:val="00744E2D"/>
    <w:rsid w:val="007454BA"/>
    <w:rsid w:val="00746A10"/>
    <w:rsid w:val="007479BB"/>
    <w:rsid w:val="00751468"/>
    <w:rsid w:val="007528A2"/>
    <w:rsid w:val="00752AD6"/>
    <w:rsid w:val="00753841"/>
    <w:rsid w:val="007540BF"/>
    <w:rsid w:val="00755BB9"/>
    <w:rsid w:val="0075618F"/>
    <w:rsid w:val="00760785"/>
    <w:rsid w:val="007655E2"/>
    <w:rsid w:val="007656B9"/>
    <w:rsid w:val="007659F9"/>
    <w:rsid w:val="00770DCB"/>
    <w:rsid w:val="0077334E"/>
    <w:rsid w:val="00775485"/>
    <w:rsid w:val="007765B6"/>
    <w:rsid w:val="00781781"/>
    <w:rsid w:val="00782E60"/>
    <w:rsid w:val="00790FCD"/>
    <w:rsid w:val="0079270F"/>
    <w:rsid w:val="00793C91"/>
    <w:rsid w:val="00795C4A"/>
    <w:rsid w:val="007968C7"/>
    <w:rsid w:val="007A19D6"/>
    <w:rsid w:val="007A4A8E"/>
    <w:rsid w:val="007A4BDE"/>
    <w:rsid w:val="007A5D7F"/>
    <w:rsid w:val="007B076B"/>
    <w:rsid w:val="007B0F06"/>
    <w:rsid w:val="007B256C"/>
    <w:rsid w:val="007B4360"/>
    <w:rsid w:val="007B55EC"/>
    <w:rsid w:val="007B643F"/>
    <w:rsid w:val="007C25B4"/>
    <w:rsid w:val="007C2ED4"/>
    <w:rsid w:val="007C61A0"/>
    <w:rsid w:val="007C61A5"/>
    <w:rsid w:val="007C762C"/>
    <w:rsid w:val="007D3628"/>
    <w:rsid w:val="007D5B74"/>
    <w:rsid w:val="007D5C67"/>
    <w:rsid w:val="007D625B"/>
    <w:rsid w:val="007D6662"/>
    <w:rsid w:val="007E12D3"/>
    <w:rsid w:val="007E27C1"/>
    <w:rsid w:val="007E5B88"/>
    <w:rsid w:val="007F0D0B"/>
    <w:rsid w:val="007F1FF7"/>
    <w:rsid w:val="007F4316"/>
    <w:rsid w:val="007F55DD"/>
    <w:rsid w:val="007F58C7"/>
    <w:rsid w:val="008007A8"/>
    <w:rsid w:val="008023D9"/>
    <w:rsid w:val="00803F58"/>
    <w:rsid w:val="008042D9"/>
    <w:rsid w:val="00804330"/>
    <w:rsid w:val="008057CE"/>
    <w:rsid w:val="00805854"/>
    <w:rsid w:val="0080635E"/>
    <w:rsid w:val="008063BB"/>
    <w:rsid w:val="008071BD"/>
    <w:rsid w:val="008102D9"/>
    <w:rsid w:val="00814FC0"/>
    <w:rsid w:val="0081526B"/>
    <w:rsid w:val="0081685A"/>
    <w:rsid w:val="008168EA"/>
    <w:rsid w:val="008208A3"/>
    <w:rsid w:val="00822FE7"/>
    <w:rsid w:val="00825DEC"/>
    <w:rsid w:val="008315E0"/>
    <w:rsid w:val="00831606"/>
    <w:rsid w:val="00831B5C"/>
    <w:rsid w:val="0083253A"/>
    <w:rsid w:val="008325B1"/>
    <w:rsid w:val="00834BD9"/>
    <w:rsid w:val="00840969"/>
    <w:rsid w:val="0084198D"/>
    <w:rsid w:val="008436E3"/>
    <w:rsid w:val="00850ADE"/>
    <w:rsid w:val="00854581"/>
    <w:rsid w:val="00855F81"/>
    <w:rsid w:val="00856B37"/>
    <w:rsid w:val="00857FE8"/>
    <w:rsid w:val="00862DBE"/>
    <w:rsid w:val="00863C0E"/>
    <w:rsid w:val="008640C0"/>
    <w:rsid w:val="00864A77"/>
    <w:rsid w:val="00866841"/>
    <w:rsid w:val="00867173"/>
    <w:rsid w:val="008675B1"/>
    <w:rsid w:val="00870F29"/>
    <w:rsid w:val="008724DE"/>
    <w:rsid w:val="00874ADD"/>
    <w:rsid w:val="00875015"/>
    <w:rsid w:val="00875329"/>
    <w:rsid w:val="00876C39"/>
    <w:rsid w:val="008770FA"/>
    <w:rsid w:val="00881E51"/>
    <w:rsid w:val="00886130"/>
    <w:rsid w:val="00886DEB"/>
    <w:rsid w:val="008905A0"/>
    <w:rsid w:val="00890845"/>
    <w:rsid w:val="00892424"/>
    <w:rsid w:val="00894110"/>
    <w:rsid w:val="008A17CC"/>
    <w:rsid w:val="008A1C18"/>
    <w:rsid w:val="008A21EA"/>
    <w:rsid w:val="008A3D57"/>
    <w:rsid w:val="008A6107"/>
    <w:rsid w:val="008A67D5"/>
    <w:rsid w:val="008A7B72"/>
    <w:rsid w:val="008B0715"/>
    <w:rsid w:val="008B23BC"/>
    <w:rsid w:val="008B5AB6"/>
    <w:rsid w:val="008C022F"/>
    <w:rsid w:val="008C5F4E"/>
    <w:rsid w:val="008C7221"/>
    <w:rsid w:val="008C75B0"/>
    <w:rsid w:val="008C7780"/>
    <w:rsid w:val="008C7798"/>
    <w:rsid w:val="008D0C81"/>
    <w:rsid w:val="008D150B"/>
    <w:rsid w:val="008D2076"/>
    <w:rsid w:val="008D2173"/>
    <w:rsid w:val="008D4024"/>
    <w:rsid w:val="008D79ED"/>
    <w:rsid w:val="008E0852"/>
    <w:rsid w:val="008E23DB"/>
    <w:rsid w:val="008E2E5C"/>
    <w:rsid w:val="008E3D60"/>
    <w:rsid w:val="008E3F4C"/>
    <w:rsid w:val="008E47B0"/>
    <w:rsid w:val="008E48DD"/>
    <w:rsid w:val="008E537E"/>
    <w:rsid w:val="008E78A4"/>
    <w:rsid w:val="008F06B8"/>
    <w:rsid w:val="008F0DE4"/>
    <w:rsid w:val="008F2FF8"/>
    <w:rsid w:val="008F3EA6"/>
    <w:rsid w:val="008F443D"/>
    <w:rsid w:val="008F6B7B"/>
    <w:rsid w:val="00901004"/>
    <w:rsid w:val="0090165F"/>
    <w:rsid w:val="00901B82"/>
    <w:rsid w:val="009042E1"/>
    <w:rsid w:val="00904D39"/>
    <w:rsid w:val="0090766A"/>
    <w:rsid w:val="00912B09"/>
    <w:rsid w:val="009157D5"/>
    <w:rsid w:val="00915B25"/>
    <w:rsid w:val="00916C3F"/>
    <w:rsid w:val="00921027"/>
    <w:rsid w:val="00925B38"/>
    <w:rsid w:val="00927D8E"/>
    <w:rsid w:val="009309F5"/>
    <w:rsid w:val="00930B30"/>
    <w:rsid w:val="00931198"/>
    <w:rsid w:val="00931D4A"/>
    <w:rsid w:val="00934118"/>
    <w:rsid w:val="00941488"/>
    <w:rsid w:val="00941EBF"/>
    <w:rsid w:val="009420CE"/>
    <w:rsid w:val="00942EFB"/>
    <w:rsid w:val="0094626F"/>
    <w:rsid w:val="009479D0"/>
    <w:rsid w:val="00950A08"/>
    <w:rsid w:val="00953086"/>
    <w:rsid w:val="00953A98"/>
    <w:rsid w:val="00953D66"/>
    <w:rsid w:val="009545F0"/>
    <w:rsid w:val="00960ADC"/>
    <w:rsid w:val="00961D2D"/>
    <w:rsid w:val="00964211"/>
    <w:rsid w:val="00965AF7"/>
    <w:rsid w:val="00966C2F"/>
    <w:rsid w:val="00967CE4"/>
    <w:rsid w:val="009706AA"/>
    <w:rsid w:val="00971335"/>
    <w:rsid w:val="0097367A"/>
    <w:rsid w:val="0097414F"/>
    <w:rsid w:val="0097512B"/>
    <w:rsid w:val="00980187"/>
    <w:rsid w:val="0098247B"/>
    <w:rsid w:val="00984968"/>
    <w:rsid w:val="00985271"/>
    <w:rsid w:val="0098623B"/>
    <w:rsid w:val="009863B0"/>
    <w:rsid w:val="00987A8A"/>
    <w:rsid w:val="00991C97"/>
    <w:rsid w:val="009920CD"/>
    <w:rsid w:val="009928D5"/>
    <w:rsid w:val="009932C5"/>
    <w:rsid w:val="00993C73"/>
    <w:rsid w:val="009A0AC5"/>
    <w:rsid w:val="009A2D3F"/>
    <w:rsid w:val="009A51BC"/>
    <w:rsid w:val="009A5883"/>
    <w:rsid w:val="009A6C54"/>
    <w:rsid w:val="009A7B53"/>
    <w:rsid w:val="009B065C"/>
    <w:rsid w:val="009B0AD2"/>
    <w:rsid w:val="009B3962"/>
    <w:rsid w:val="009B3F0A"/>
    <w:rsid w:val="009B4F83"/>
    <w:rsid w:val="009B5AFA"/>
    <w:rsid w:val="009B63C2"/>
    <w:rsid w:val="009B6911"/>
    <w:rsid w:val="009B70D6"/>
    <w:rsid w:val="009C06E0"/>
    <w:rsid w:val="009C0863"/>
    <w:rsid w:val="009C1199"/>
    <w:rsid w:val="009C53F4"/>
    <w:rsid w:val="009C6E26"/>
    <w:rsid w:val="009C73DB"/>
    <w:rsid w:val="009D0558"/>
    <w:rsid w:val="009D14ED"/>
    <w:rsid w:val="009D1A07"/>
    <w:rsid w:val="009D4E66"/>
    <w:rsid w:val="009D50FF"/>
    <w:rsid w:val="009D67F6"/>
    <w:rsid w:val="009D7634"/>
    <w:rsid w:val="009E06CE"/>
    <w:rsid w:val="009E0FE1"/>
    <w:rsid w:val="009E1E7B"/>
    <w:rsid w:val="009E3471"/>
    <w:rsid w:val="009E3D77"/>
    <w:rsid w:val="009E5CE5"/>
    <w:rsid w:val="009F069A"/>
    <w:rsid w:val="009F42B2"/>
    <w:rsid w:val="009F5397"/>
    <w:rsid w:val="009F6AB6"/>
    <w:rsid w:val="00A00425"/>
    <w:rsid w:val="00A014B6"/>
    <w:rsid w:val="00A01EEE"/>
    <w:rsid w:val="00A0406E"/>
    <w:rsid w:val="00A04DB6"/>
    <w:rsid w:val="00A10D24"/>
    <w:rsid w:val="00A11307"/>
    <w:rsid w:val="00A1382F"/>
    <w:rsid w:val="00A13AF3"/>
    <w:rsid w:val="00A15CE8"/>
    <w:rsid w:val="00A17BE4"/>
    <w:rsid w:val="00A2060D"/>
    <w:rsid w:val="00A21310"/>
    <w:rsid w:val="00A21388"/>
    <w:rsid w:val="00A22890"/>
    <w:rsid w:val="00A246B3"/>
    <w:rsid w:val="00A2592F"/>
    <w:rsid w:val="00A26D8A"/>
    <w:rsid w:val="00A27791"/>
    <w:rsid w:val="00A27A6F"/>
    <w:rsid w:val="00A326C4"/>
    <w:rsid w:val="00A35ED9"/>
    <w:rsid w:val="00A369FF"/>
    <w:rsid w:val="00A40385"/>
    <w:rsid w:val="00A41355"/>
    <w:rsid w:val="00A4158D"/>
    <w:rsid w:val="00A43994"/>
    <w:rsid w:val="00A43B92"/>
    <w:rsid w:val="00A45DED"/>
    <w:rsid w:val="00A50070"/>
    <w:rsid w:val="00A51F41"/>
    <w:rsid w:val="00A535D7"/>
    <w:rsid w:val="00A54077"/>
    <w:rsid w:val="00A54251"/>
    <w:rsid w:val="00A5575F"/>
    <w:rsid w:val="00A57B9C"/>
    <w:rsid w:val="00A6179E"/>
    <w:rsid w:val="00A641A1"/>
    <w:rsid w:val="00A64316"/>
    <w:rsid w:val="00A6443D"/>
    <w:rsid w:val="00A64B5B"/>
    <w:rsid w:val="00A664D4"/>
    <w:rsid w:val="00A66CDC"/>
    <w:rsid w:val="00A671E9"/>
    <w:rsid w:val="00A67847"/>
    <w:rsid w:val="00A70014"/>
    <w:rsid w:val="00A71B10"/>
    <w:rsid w:val="00A757B7"/>
    <w:rsid w:val="00A804D9"/>
    <w:rsid w:val="00A83E5E"/>
    <w:rsid w:val="00A847AF"/>
    <w:rsid w:val="00A85F5B"/>
    <w:rsid w:val="00A87CB9"/>
    <w:rsid w:val="00A904CA"/>
    <w:rsid w:val="00A92F92"/>
    <w:rsid w:val="00A966B0"/>
    <w:rsid w:val="00A96892"/>
    <w:rsid w:val="00AA1185"/>
    <w:rsid w:val="00AA2051"/>
    <w:rsid w:val="00AA2432"/>
    <w:rsid w:val="00AA2604"/>
    <w:rsid w:val="00AA4B5E"/>
    <w:rsid w:val="00AA62E9"/>
    <w:rsid w:val="00AB55BF"/>
    <w:rsid w:val="00AB5CCB"/>
    <w:rsid w:val="00AB7F55"/>
    <w:rsid w:val="00AC0009"/>
    <w:rsid w:val="00AC3469"/>
    <w:rsid w:val="00AC4669"/>
    <w:rsid w:val="00AC5C27"/>
    <w:rsid w:val="00AC6006"/>
    <w:rsid w:val="00AC6787"/>
    <w:rsid w:val="00AC69A3"/>
    <w:rsid w:val="00AD69DE"/>
    <w:rsid w:val="00AD791C"/>
    <w:rsid w:val="00AE030D"/>
    <w:rsid w:val="00AE1ECC"/>
    <w:rsid w:val="00AE2193"/>
    <w:rsid w:val="00AE2A31"/>
    <w:rsid w:val="00AE4E7C"/>
    <w:rsid w:val="00AE5AE1"/>
    <w:rsid w:val="00AE6045"/>
    <w:rsid w:val="00AE6ABF"/>
    <w:rsid w:val="00AF0169"/>
    <w:rsid w:val="00AF1A65"/>
    <w:rsid w:val="00AF2E4B"/>
    <w:rsid w:val="00AF46CF"/>
    <w:rsid w:val="00AF4E34"/>
    <w:rsid w:val="00AF4EC1"/>
    <w:rsid w:val="00AF6D35"/>
    <w:rsid w:val="00B001B6"/>
    <w:rsid w:val="00B0127B"/>
    <w:rsid w:val="00B06BAF"/>
    <w:rsid w:val="00B10791"/>
    <w:rsid w:val="00B11B93"/>
    <w:rsid w:val="00B120E7"/>
    <w:rsid w:val="00B13F3B"/>
    <w:rsid w:val="00B14C07"/>
    <w:rsid w:val="00B1749D"/>
    <w:rsid w:val="00B21157"/>
    <w:rsid w:val="00B21469"/>
    <w:rsid w:val="00B21BAF"/>
    <w:rsid w:val="00B2471B"/>
    <w:rsid w:val="00B24B1D"/>
    <w:rsid w:val="00B277E0"/>
    <w:rsid w:val="00B32655"/>
    <w:rsid w:val="00B3313A"/>
    <w:rsid w:val="00B3444F"/>
    <w:rsid w:val="00B34946"/>
    <w:rsid w:val="00B36D85"/>
    <w:rsid w:val="00B36FD4"/>
    <w:rsid w:val="00B40544"/>
    <w:rsid w:val="00B40D7A"/>
    <w:rsid w:val="00B41F45"/>
    <w:rsid w:val="00B435FF"/>
    <w:rsid w:val="00B43C26"/>
    <w:rsid w:val="00B446F0"/>
    <w:rsid w:val="00B46E25"/>
    <w:rsid w:val="00B474EC"/>
    <w:rsid w:val="00B476E9"/>
    <w:rsid w:val="00B519FD"/>
    <w:rsid w:val="00B520BC"/>
    <w:rsid w:val="00B5447A"/>
    <w:rsid w:val="00B55EE4"/>
    <w:rsid w:val="00B574EB"/>
    <w:rsid w:val="00B600DB"/>
    <w:rsid w:val="00B63D24"/>
    <w:rsid w:val="00B642CF"/>
    <w:rsid w:val="00B7122A"/>
    <w:rsid w:val="00B717CD"/>
    <w:rsid w:val="00B7344C"/>
    <w:rsid w:val="00B74473"/>
    <w:rsid w:val="00B82DF8"/>
    <w:rsid w:val="00B8300D"/>
    <w:rsid w:val="00B84CC6"/>
    <w:rsid w:val="00B873EC"/>
    <w:rsid w:val="00B87672"/>
    <w:rsid w:val="00B90EA6"/>
    <w:rsid w:val="00B924E6"/>
    <w:rsid w:val="00B929D3"/>
    <w:rsid w:val="00B9347B"/>
    <w:rsid w:val="00B952BD"/>
    <w:rsid w:val="00B96A89"/>
    <w:rsid w:val="00B96E93"/>
    <w:rsid w:val="00BA262D"/>
    <w:rsid w:val="00BA37A6"/>
    <w:rsid w:val="00BA5698"/>
    <w:rsid w:val="00BA6902"/>
    <w:rsid w:val="00BB0264"/>
    <w:rsid w:val="00BB083A"/>
    <w:rsid w:val="00BB2CA2"/>
    <w:rsid w:val="00BB3BAC"/>
    <w:rsid w:val="00BB5B9B"/>
    <w:rsid w:val="00BB7CDC"/>
    <w:rsid w:val="00BC081D"/>
    <w:rsid w:val="00BC3E49"/>
    <w:rsid w:val="00BC40E5"/>
    <w:rsid w:val="00BC74F9"/>
    <w:rsid w:val="00BC79EB"/>
    <w:rsid w:val="00BD3811"/>
    <w:rsid w:val="00BD59C6"/>
    <w:rsid w:val="00BD5EBC"/>
    <w:rsid w:val="00BD7FCF"/>
    <w:rsid w:val="00BE030E"/>
    <w:rsid w:val="00BE1212"/>
    <w:rsid w:val="00BE16ED"/>
    <w:rsid w:val="00BE1AF1"/>
    <w:rsid w:val="00BE4698"/>
    <w:rsid w:val="00BF193B"/>
    <w:rsid w:val="00BF5305"/>
    <w:rsid w:val="00BF602B"/>
    <w:rsid w:val="00C006EB"/>
    <w:rsid w:val="00C00B4D"/>
    <w:rsid w:val="00C01C24"/>
    <w:rsid w:val="00C01E2E"/>
    <w:rsid w:val="00C033BE"/>
    <w:rsid w:val="00C050A3"/>
    <w:rsid w:val="00C05FEE"/>
    <w:rsid w:val="00C06266"/>
    <w:rsid w:val="00C10CEE"/>
    <w:rsid w:val="00C11962"/>
    <w:rsid w:val="00C121FD"/>
    <w:rsid w:val="00C13234"/>
    <w:rsid w:val="00C13FFF"/>
    <w:rsid w:val="00C17387"/>
    <w:rsid w:val="00C22199"/>
    <w:rsid w:val="00C224AD"/>
    <w:rsid w:val="00C22654"/>
    <w:rsid w:val="00C25BDA"/>
    <w:rsid w:val="00C26000"/>
    <w:rsid w:val="00C2617B"/>
    <w:rsid w:val="00C262E7"/>
    <w:rsid w:val="00C30152"/>
    <w:rsid w:val="00C317A3"/>
    <w:rsid w:val="00C33104"/>
    <w:rsid w:val="00C362F3"/>
    <w:rsid w:val="00C36486"/>
    <w:rsid w:val="00C36869"/>
    <w:rsid w:val="00C42F2A"/>
    <w:rsid w:val="00C540A5"/>
    <w:rsid w:val="00C54EDE"/>
    <w:rsid w:val="00C5601F"/>
    <w:rsid w:val="00C57A6A"/>
    <w:rsid w:val="00C65D41"/>
    <w:rsid w:val="00C6719E"/>
    <w:rsid w:val="00C67AAC"/>
    <w:rsid w:val="00C714F0"/>
    <w:rsid w:val="00C72D0D"/>
    <w:rsid w:val="00C74840"/>
    <w:rsid w:val="00C748D6"/>
    <w:rsid w:val="00C753F8"/>
    <w:rsid w:val="00C754A2"/>
    <w:rsid w:val="00C75CD4"/>
    <w:rsid w:val="00C80B27"/>
    <w:rsid w:val="00C81123"/>
    <w:rsid w:val="00C81406"/>
    <w:rsid w:val="00C81C05"/>
    <w:rsid w:val="00C82293"/>
    <w:rsid w:val="00C82736"/>
    <w:rsid w:val="00C82CA3"/>
    <w:rsid w:val="00C84126"/>
    <w:rsid w:val="00C854D4"/>
    <w:rsid w:val="00C867F5"/>
    <w:rsid w:val="00C87731"/>
    <w:rsid w:val="00C87891"/>
    <w:rsid w:val="00C90556"/>
    <w:rsid w:val="00C92215"/>
    <w:rsid w:val="00C923D4"/>
    <w:rsid w:val="00C9245D"/>
    <w:rsid w:val="00C9271F"/>
    <w:rsid w:val="00C9408A"/>
    <w:rsid w:val="00C969D0"/>
    <w:rsid w:val="00CA0D78"/>
    <w:rsid w:val="00CA4855"/>
    <w:rsid w:val="00CA4A64"/>
    <w:rsid w:val="00CA605D"/>
    <w:rsid w:val="00CA7831"/>
    <w:rsid w:val="00CA7AEE"/>
    <w:rsid w:val="00CB24FE"/>
    <w:rsid w:val="00CB2996"/>
    <w:rsid w:val="00CB2DDE"/>
    <w:rsid w:val="00CB350F"/>
    <w:rsid w:val="00CB382D"/>
    <w:rsid w:val="00CC24E1"/>
    <w:rsid w:val="00CC5D07"/>
    <w:rsid w:val="00CC600A"/>
    <w:rsid w:val="00CC6C91"/>
    <w:rsid w:val="00CD089A"/>
    <w:rsid w:val="00CD135D"/>
    <w:rsid w:val="00CD52F1"/>
    <w:rsid w:val="00CD58FD"/>
    <w:rsid w:val="00CE1117"/>
    <w:rsid w:val="00CE1313"/>
    <w:rsid w:val="00CE36D0"/>
    <w:rsid w:val="00CE5261"/>
    <w:rsid w:val="00CE6316"/>
    <w:rsid w:val="00CF249D"/>
    <w:rsid w:val="00CF41C1"/>
    <w:rsid w:val="00CF50BE"/>
    <w:rsid w:val="00CF5804"/>
    <w:rsid w:val="00D1115C"/>
    <w:rsid w:val="00D13146"/>
    <w:rsid w:val="00D13924"/>
    <w:rsid w:val="00D14DF6"/>
    <w:rsid w:val="00D15F36"/>
    <w:rsid w:val="00D22A15"/>
    <w:rsid w:val="00D22B83"/>
    <w:rsid w:val="00D2360C"/>
    <w:rsid w:val="00D265DA"/>
    <w:rsid w:val="00D30A61"/>
    <w:rsid w:val="00D30F00"/>
    <w:rsid w:val="00D33B78"/>
    <w:rsid w:val="00D343FA"/>
    <w:rsid w:val="00D34D16"/>
    <w:rsid w:val="00D353E7"/>
    <w:rsid w:val="00D3592F"/>
    <w:rsid w:val="00D37460"/>
    <w:rsid w:val="00D40206"/>
    <w:rsid w:val="00D418FF"/>
    <w:rsid w:val="00D41A62"/>
    <w:rsid w:val="00D4398A"/>
    <w:rsid w:val="00D47BD3"/>
    <w:rsid w:val="00D50294"/>
    <w:rsid w:val="00D520A4"/>
    <w:rsid w:val="00D53D10"/>
    <w:rsid w:val="00D54ED9"/>
    <w:rsid w:val="00D55798"/>
    <w:rsid w:val="00D575F8"/>
    <w:rsid w:val="00D57A5D"/>
    <w:rsid w:val="00D57E35"/>
    <w:rsid w:val="00D65C76"/>
    <w:rsid w:val="00D66CA6"/>
    <w:rsid w:val="00D677D3"/>
    <w:rsid w:val="00D729AD"/>
    <w:rsid w:val="00D734C7"/>
    <w:rsid w:val="00D73942"/>
    <w:rsid w:val="00D743B9"/>
    <w:rsid w:val="00D77C3A"/>
    <w:rsid w:val="00D77D6F"/>
    <w:rsid w:val="00D80201"/>
    <w:rsid w:val="00D80539"/>
    <w:rsid w:val="00D81140"/>
    <w:rsid w:val="00D84103"/>
    <w:rsid w:val="00D87B87"/>
    <w:rsid w:val="00D91121"/>
    <w:rsid w:val="00D91CCD"/>
    <w:rsid w:val="00D92337"/>
    <w:rsid w:val="00D95960"/>
    <w:rsid w:val="00D95BC4"/>
    <w:rsid w:val="00D96ED5"/>
    <w:rsid w:val="00DA06C2"/>
    <w:rsid w:val="00DA0AEB"/>
    <w:rsid w:val="00DA0BC7"/>
    <w:rsid w:val="00DA0C09"/>
    <w:rsid w:val="00DA2F73"/>
    <w:rsid w:val="00DA45AA"/>
    <w:rsid w:val="00DA586E"/>
    <w:rsid w:val="00DB34AC"/>
    <w:rsid w:val="00DB3BF0"/>
    <w:rsid w:val="00DB4A48"/>
    <w:rsid w:val="00DC00CD"/>
    <w:rsid w:val="00DC1419"/>
    <w:rsid w:val="00DC1693"/>
    <w:rsid w:val="00DC462F"/>
    <w:rsid w:val="00DC5130"/>
    <w:rsid w:val="00DC6B38"/>
    <w:rsid w:val="00DC7F16"/>
    <w:rsid w:val="00DD06DB"/>
    <w:rsid w:val="00DD075D"/>
    <w:rsid w:val="00DD2912"/>
    <w:rsid w:val="00DD66E0"/>
    <w:rsid w:val="00DD6A21"/>
    <w:rsid w:val="00DD6BA1"/>
    <w:rsid w:val="00DD76FD"/>
    <w:rsid w:val="00DE1309"/>
    <w:rsid w:val="00DE1984"/>
    <w:rsid w:val="00DE35F9"/>
    <w:rsid w:val="00DE3E16"/>
    <w:rsid w:val="00DE3EF0"/>
    <w:rsid w:val="00DE60CA"/>
    <w:rsid w:val="00DF0882"/>
    <w:rsid w:val="00DF1567"/>
    <w:rsid w:val="00DF3B20"/>
    <w:rsid w:val="00DF70F6"/>
    <w:rsid w:val="00E04900"/>
    <w:rsid w:val="00E0568F"/>
    <w:rsid w:val="00E05EBC"/>
    <w:rsid w:val="00E06399"/>
    <w:rsid w:val="00E10141"/>
    <w:rsid w:val="00E122EC"/>
    <w:rsid w:val="00E135CD"/>
    <w:rsid w:val="00E13B44"/>
    <w:rsid w:val="00E156A4"/>
    <w:rsid w:val="00E15BD3"/>
    <w:rsid w:val="00E16B8D"/>
    <w:rsid w:val="00E22E8B"/>
    <w:rsid w:val="00E243B4"/>
    <w:rsid w:val="00E24AA9"/>
    <w:rsid w:val="00E24FA3"/>
    <w:rsid w:val="00E26B28"/>
    <w:rsid w:val="00E27DE0"/>
    <w:rsid w:val="00E31465"/>
    <w:rsid w:val="00E316F3"/>
    <w:rsid w:val="00E31A49"/>
    <w:rsid w:val="00E324ED"/>
    <w:rsid w:val="00E328CD"/>
    <w:rsid w:val="00E32B10"/>
    <w:rsid w:val="00E33B27"/>
    <w:rsid w:val="00E36B95"/>
    <w:rsid w:val="00E37537"/>
    <w:rsid w:val="00E37DC6"/>
    <w:rsid w:val="00E4003F"/>
    <w:rsid w:val="00E41D36"/>
    <w:rsid w:val="00E44BCA"/>
    <w:rsid w:val="00E458F6"/>
    <w:rsid w:val="00E45954"/>
    <w:rsid w:val="00E51A0F"/>
    <w:rsid w:val="00E54D64"/>
    <w:rsid w:val="00E57AE0"/>
    <w:rsid w:val="00E608C1"/>
    <w:rsid w:val="00E60972"/>
    <w:rsid w:val="00E60B4F"/>
    <w:rsid w:val="00E60EE8"/>
    <w:rsid w:val="00E62DD1"/>
    <w:rsid w:val="00E635D4"/>
    <w:rsid w:val="00E65AAB"/>
    <w:rsid w:val="00E66948"/>
    <w:rsid w:val="00E67162"/>
    <w:rsid w:val="00E713B2"/>
    <w:rsid w:val="00E72F32"/>
    <w:rsid w:val="00E73105"/>
    <w:rsid w:val="00E73657"/>
    <w:rsid w:val="00E74CE8"/>
    <w:rsid w:val="00E74D40"/>
    <w:rsid w:val="00E76897"/>
    <w:rsid w:val="00E76FE6"/>
    <w:rsid w:val="00E8024B"/>
    <w:rsid w:val="00E82CB8"/>
    <w:rsid w:val="00E83107"/>
    <w:rsid w:val="00E83973"/>
    <w:rsid w:val="00E8672F"/>
    <w:rsid w:val="00E86F5D"/>
    <w:rsid w:val="00E90131"/>
    <w:rsid w:val="00E90792"/>
    <w:rsid w:val="00E929A9"/>
    <w:rsid w:val="00E93429"/>
    <w:rsid w:val="00E952DF"/>
    <w:rsid w:val="00E95497"/>
    <w:rsid w:val="00E9775B"/>
    <w:rsid w:val="00EA44D9"/>
    <w:rsid w:val="00EA7D40"/>
    <w:rsid w:val="00EB209D"/>
    <w:rsid w:val="00EB4C9F"/>
    <w:rsid w:val="00EB583C"/>
    <w:rsid w:val="00EB593F"/>
    <w:rsid w:val="00EB61BB"/>
    <w:rsid w:val="00EB65D1"/>
    <w:rsid w:val="00EB6A76"/>
    <w:rsid w:val="00EC00D7"/>
    <w:rsid w:val="00EC093D"/>
    <w:rsid w:val="00EC1F3A"/>
    <w:rsid w:val="00EC4964"/>
    <w:rsid w:val="00EC49E8"/>
    <w:rsid w:val="00EC4B73"/>
    <w:rsid w:val="00EC70EE"/>
    <w:rsid w:val="00EC7927"/>
    <w:rsid w:val="00ED0624"/>
    <w:rsid w:val="00ED22E0"/>
    <w:rsid w:val="00ED2CD6"/>
    <w:rsid w:val="00ED484D"/>
    <w:rsid w:val="00ED7DF4"/>
    <w:rsid w:val="00EE07CA"/>
    <w:rsid w:val="00EE3D89"/>
    <w:rsid w:val="00EE4605"/>
    <w:rsid w:val="00EE609D"/>
    <w:rsid w:val="00EE7443"/>
    <w:rsid w:val="00EF0839"/>
    <w:rsid w:val="00EF1236"/>
    <w:rsid w:val="00EF3D70"/>
    <w:rsid w:val="00EF4A2A"/>
    <w:rsid w:val="00EF5933"/>
    <w:rsid w:val="00F0057A"/>
    <w:rsid w:val="00F05F9A"/>
    <w:rsid w:val="00F0772A"/>
    <w:rsid w:val="00F07A68"/>
    <w:rsid w:val="00F125F1"/>
    <w:rsid w:val="00F12C54"/>
    <w:rsid w:val="00F14C6D"/>
    <w:rsid w:val="00F20CF2"/>
    <w:rsid w:val="00F213BC"/>
    <w:rsid w:val="00F24A03"/>
    <w:rsid w:val="00F25761"/>
    <w:rsid w:val="00F2581D"/>
    <w:rsid w:val="00F27022"/>
    <w:rsid w:val="00F277E7"/>
    <w:rsid w:val="00F31920"/>
    <w:rsid w:val="00F31CBB"/>
    <w:rsid w:val="00F35B50"/>
    <w:rsid w:val="00F36526"/>
    <w:rsid w:val="00F37A0F"/>
    <w:rsid w:val="00F42880"/>
    <w:rsid w:val="00F42F23"/>
    <w:rsid w:val="00F4715C"/>
    <w:rsid w:val="00F529A3"/>
    <w:rsid w:val="00F53CD2"/>
    <w:rsid w:val="00F5597E"/>
    <w:rsid w:val="00F571C4"/>
    <w:rsid w:val="00F57A03"/>
    <w:rsid w:val="00F60624"/>
    <w:rsid w:val="00F6313B"/>
    <w:rsid w:val="00F6442D"/>
    <w:rsid w:val="00F65C42"/>
    <w:rsid w:val="00F70B7D"/>
    <w:rsid w:val="00F70BA4"/>
    <w:rsid w:val="00F72837"/>
    <w:rsid w:val="00F766D3"/>
    <w:rsid w:val="00F802A2"/>
    <w:rsid w:val="00F80EDA"/>
    <w:rsid w:val="00F81BF8"/>
    <w:rsid w:val="00F83F73"/>
    <w:rsid w:val="00F8450D"/>
    <w:rsid w:val="00F900D8"/>
    <w:rsid w:val="00F918FC"/>
    <w:rsid w:val="00F91ED5"/>
    <w:rsid w:val="00F91F55"/>
    <w:rsid w:val="00F9298B"/>
    <w:rsid w:val="00F9429D"/>
    <w:rsid w:val="00F94784"/>
    <w:rsid w:val="00F96939"/>
    <w:rsid w:val="00F978D1"/>
    <w:rsid w:val="00FA204D"/>
    <w:rsid w:val="00FA2E40"/>
    <w:rsid w:val="00FA4916"/>
    <w:rsid w:val="00FA636C"/>
    <w:rsid w:val="00FA6AB1"/>
    <w:rsid w:val="00FB008B"/>
    <w:rsid w:val="00FB0E02"/>
    <w:rsid w:val="00FB1F5F"/>
    <w:rsid w:val="00FB2D17"/>
    <w:rsid w:val="00FC1015"/>
    <w:rsid w:val="00FC1673"/>
    <w:rsid w:val="00FC3A90"/>
    <w:rsid w:val="00FC3DA9"/>
    <w:rsid w:val="00FC45A7"/>
    <w:rsid w:val="00FC4AE2"/>
    <w:rsid w:val="00FC4C9A"/>
    <w:rsid w:val="00FC5B79"/>
    <w:rsid w:val="00FC6AF8"/>
    <w:rsid w:val="00FC7305"/>
    <w:rsid w:val="00FC7B22"/>
    <w:rsid w:val="00FC7BFA"/>
    <w:rsid w:val="00FD01B5"/>
    <w:rsid w:val="00FD0A96"/>
    <w:rsid w:val="00FD1423"/>
    <w:rsid w:val="00FD3627"/>
    <w:rsid w:val="00FD4F3F"/>
    <w:rsid w:val="00FE2AD3"/>
    <w:rsid w:val="00FE3F97"/>
    <w:rsid w:val="00FE6071"/>
    <w:rsid w:val="00FE608E"/>
    <w:rsid w:val="00FF2281"/>
    <w:rsid w:val="00FF3586"/>
    <w:rsid w:val="00FF3D2B"/>
    <w:rsid w:val="00FF641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7"/>
    <o:shapelayout v:ext="edit">
      <o:idmap v:ext="edit" data="1"/>
    </o:shapelayout>
  </w:shapeDefaults>
  <w:decimalSymbol w:val="."/>
  <w:listSeparator w:val=","/>
  <w14:docId w14:val="700AB9A9"/>
  <w15:docId w15:val="{5AB29169-6993-4A78-B4AE-FE3345A80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lsdException w:name="index 3" w:locked="1"/>
    <w:lsdException w:name="index 4" w:locked="1"/>
    <w:lsdException w:name="index 5" w:locked="1"/>
    <w:lsdException w:name="index 6" w:lock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semiHidden="1" w:unhideWhenUsed="1"/>
    <w:lsdException w:name="annotation text" w:locked="1" w:semiHidden="1" w:unhideWhenUsed="1"/>
    <w:lsdException w:name="header" w:semiHidden="1"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semiHidden="1" w:unhideWhenUsed="1"/>
    <w:lsdException w:name="endnote text" w:semiHidden="1" w:unhideWhenUsed="1" w:qFormat="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lsdException w:name="List Number 3" w:locked="1" w:semiHidden="1" w:unhideWhenUsed="1"/>
    <w:lsdException w:name="List Number 4" w:locked="1" w:semiHidden="1" w:unhideWhenUsed="1"/>
    <w:lsdException w:name="List Number 5" w:lock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iPriority="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lsdException w:name="Block Text" w:locked="1"/>
    <w:lsdException w:name="Hyperlink" w:uiPriority="99"/>
    <w:lsdException w:name="FollowedHyperlink" w:locked="1"/>
    <w:lsdException w:name="Strong"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1B65"/>
    <w:pPr>
      <w:spacing w:before="240" w:after="240"/>
    </w:pPr>
    <w:rPr>
      <w:rFonts w:ascii="Arial" w:eastAsia="MS Mincho" w:hAnsi="Arial"/>
      <w:sz w:val="24"/>
      <w:szCs w:val="24"/>
    </w:rPr>
  </w:style>
  <w:style w:type="paragraph" w:styleId="Heading1">
    <w:name w:val="heading 1"/>
    <w:basedOn w:val="Normal"/>
    <w:next w:val="Normal"/>
    <w:link w:val="Heading1Char"/>
    <w:qFormat/>
    <w:rsid w:val="008007A8"/>
    <w:pPr>
      <w:keepNext/>
      <w:keepLines/>
      <w:numPr>
        <w:numId w:val="1"/>
      </w:numPr>
      <w:spacing w:before="360"/>
      <w:outlineLvl w:val="0"/>
    </w:pPr>
    <w:rPr>
      <w:b/>
      <w:bCs/>
      <w:sz w:val="28"/>
      <w:szCs w:val="28"/>
    </w:rPr>
  </w:style>
  <w:style w:type="paragraph" w:styleId="Heading2">
    <w:name w:val="heading 2"/>
    <w:basedOn w:val="Heading1"/>
    <w:next w:val="Normal"/>
    <w:link w:val="Heading2Char"/>
    <w:qFormat/>
    <w:rsid w:val="008007A8"/>
    <w:pPr>
      <w:numPr>
        <w:ilvl w:val="1"/>
      </w:numPr>
      <w:outlineLvl w:val="1"/>
    </w:pPr>
    <w:rPr>
      <w:bCs w:val="0"/>
      <w:i/>
      <w:color w:val="000000"/>
      <w:szCs w:val="26"/>
    </w:rPr>
  </w:style>
  <w:style w:type="paragraph" w:styleId="Heading3">
    <w:name w:val="heading 3"/>
    <w:basedOn w:val="Heading2"/>
    <w:next w:val="Normal"/>
    <w:link w:val="Heading3Char"/>
    <w:qFormat/>
    <w:rsid w:val="008007A8"/>
    <w:pPr>
      <w:numPr>
        <w:ilvl w:val="2"/>
      </w:numPr>
      <w:outlineLvl w:val="2"/>
    </w:pPr>
    <w:rPr>
      <w:b w:val="0"/>
      <w:bCs/>
      <w:color w:val="auto"/>
      <w:sz w:val="24"/>
    </w:rPr>
  </w:style>
  <w:style w:type="paragraph" w:styleId="Heading4">
    <w:name w:val="heading 4"/>
    <w:basedOn w:val="Heading3"/>
    <w:next w:val="Normal"/>
    <w:link w:val="Heading4Char"/>
    <w:qFormat/>
    <w:rsid w:val="008007A8"/>
    <w:pPr>
      <w:numPr>
        <w:ilvl w:val="3"/>
      </w:numPr>
      <w:outlineLvl w:val="3"/>
    </w:pPr>
    <w:rPr>
      <w:bCs w:val="0"/>
      <w:i w:val="0"/>
      <w:iCs/>
    </w:rPr>
  </w:style>
  <w:style w:type="paragraph" w:styleId="Heading5">
    <w:name w:val="heading 5"/>
    <w:basedOn w:val="Normal"/>
    <w:next w:val="Normal"/>
    <w:link w:val="Heading5Char"/>
    <w:qFormat/>
    <w:locked/>
    <w:rsid w:val="008007A8"/>
    <w:pPr>
      <w:keepNext/>
      <w:keepLines/>
      <w:numPr>
        <w:ilvl w:val="4"/>
        <w:numId w:val="1"/>
      </w:numPr>
      <w:spacing w:before="200"/>
      <w:outlineLvl w:val="4"/>
    </w:pPr>
    <w:rPr>
      <w:rFonts w:ascii="Cambria" w:hAnsi="Cambria"/>
      <w:color w:val="243F60"/>
    </w:rPr>
  </w:style>
  <w:style w:type="paragraph" w:styleId="Heading6">
    <w:name w:val="heading 6"/>
    <w:basedOn w:val="Normal"/>
    <w:next w:val="Normal"/>
    <w:link w:val="Heading6Char"/>
    <w:qFormat/>
    <w:locked/>
    <w:rsid w:val="008007A8"/>
    <w:pPr>
      <w:keepNext/>
      <w:keepLines/>
      <w:numPr>
        <w:ilvl w:val="5"/>
        <w:numId w:val="1"/>
      </w:numPr>
      <w:spacing w:before="200"/>
      <w:outlineLvl w:val="5"/>
    </w:pPr>
    <w:rPr>
      <w:rFonts w:ascii="Cambria" w:hAnsi="Cambria"/>
      <w:i/>
      <w:iCs/>
      <w:color w:val="243F60"/>
    </w:rPr>
  </w:style>
  <w:style w:type="paragraph" w:styleId="Heading7">
    <w:name w:val="heading 7"/>
    <w:basedOn w:val="Normal"/>
    <w:next w:val="Normal"/>
    <w:link w:val="Heading7Char"/>
    <w:qFormat/>
    <w:locked/>
    <w:rsid w:val="008007A8"/>
    <w:pPr>
      <w:keepNext/>
      <w:keepLines/>
      <w:numPr>
        <w:ilvl w:val="6"/>
        <w:numId w:val="1"/>
      </w:numPr>
      <w:spacing w:before="200"/>
      <w:outlineLvl w:val="6"/>
    </w:pPr>
    <w:rPr>
      <w:rFonts w:ascii="Cambria" w:hAnsi="Cambria"/>
      <w:i/>
      <w:iCs/>
      <w:color w:val="404040"/>
    </w:rPr>
  </w:style>
  <w:style w:type="paragraph" w:styleId="Heading8">
    <w:name w:val="heading 8"/>
    <w:basedOn w:val="Normal"/>
    <w:next w:val="Normal"/>
    <w:link w:val="Heading8Char"/>
    <w:qFormat/>
    <w:locked/>
    <w:rsid w:val="008007A8"/>
    <w:pPr>
      <w:keepNext/>
      <w:keepLines/>
      <w:numPr>
        <w:ilvl w:val="7"/>
        <w:numId w:val="1"/>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8007A8"/>
    <w:pPr>
      <w:keepNext/>
      <w:keepLines/>
      <w:numPr>
        <w:ilvl w:val="8"/>
        <w:numId w:val="1"/>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007A8"/>
    <w:rPr>
      <w:rFonts w:ascii="Arial" w:eastAsia="MS Mincho" w:hAnsi="Arial"/>
      <w:b/>
      <w:bCs/>
      <w:sz w:val="28"/>
      <w:szCs w:val="28"/>
    </w:rPr>
  </w:style>
  <w:style w:type="character" w:customStyle="1" w:styleId="Heading2Char">
    <w:name w:val="Heading 2 Char"/>
    <w:link w:val="Heading2"/>
    <w:rsid w:val="008007A8"/>
    <w:rPr>
      <w:rFonts w:ascii="Arial" w:eastAsia="MS Mincho" w:hAnsi="Arial"/>
      <w:b/>
      <w:i/>
      <w:color w:val="000000"/>
      <w:sz w:val="28"/>
      <w:szCs w:val="26"/>
    </w:rPr>
  </w:style>
  <w:style w:type="character" w:customStyle="1" w:styleId="Heading3Char">
    <w:name w:val="Heading 3 Char"/>
    <w:link w:val="Heading3"/>
    <w:rsid w:val="008007A8"/>
    <w:rPr>
      <w:rFonts w:ascii="Arial" w:eastAsia="MS Mincho" w:hAnsi="Arial"/>
      <w:bCs/>
      <w:i/>
      <w:sz w:val="24"/>
      <w:szCs w:val="26"/>
    </w:rPr>
  </w:style>
  <w:style w:type="character" w:customStyle="1" w:styleId="Heading4Char">
    <w:name w:val="Heading 4 Char"/>
    <w:link w:val="Heading4"/>
    <w:rsid w:val="008007A8"/>
    <w:rPr>
      <w:rFonts w:ascii="Arial" w:eastAsia="MS Mincho" w:hAnsi="Arial"/>
      <w:iCs/>
      <w:sz w:val="24"/>
      <w:szCs w:val="26"/>
    </w:rPr>
  </w:style>
  <w:style w:type="character" w:styleId="Strong">
    <w:name w:val="Strong"/>
    <w:uiPriority w:val="22"/>
    <w:qFormat/>
    <w:locked/>
    <w:rsid w:val="000B0A5D"/>
    <w:rPr>
      <w:b/>
      <w:bCs/>
    </w:rPr>
  </w:style>
  <w:style w:type="character" w:customStyle="1" w:styleId="Heading5Char">
    <w:name w:val="Heading 5 Char"/>
    <w:link w:val="Heading5"/>
    <w:rsid w:val="008007A8"/>
    <w:rPr>
      <w:rFonts w:ascii="Cambria" w:eastAsia="MS Mincho" w:hAnsi="Cambria"/>
      <w:color w:val="243F60"/>
      <w:sz w:val="24"/>
      <w:szCs w:val="24"/>
    </w:rPr>
  </w:style>
  <w:style w:type="character" w:customStyle="1" w:styleId="Heading6Char">
    <w:name w:val="Heading 6 Char"/>
    <w:link w:val="Heading6"/>
    <w:rsid w:val="008007A8"/>
    <w:rPr>
      <w:rFonts w:ascii="Cambria" w:eastAsia="MS Mincho" w:hAnsi="Cambria"/>
      <w:i/>
      <w:iCs/>
      <w:color w:val="243F60"/>
      <w:sz w:val="24"/>
      <w:szCs w:val="24"/>
    </w:rPr>
  </w:style>
  <w:style w:type="character" w:customStyle="1" w:styleId="Heading7Char">
    <w:name w:val="Heading 7 Char"/>
    <w:link w:val="Heading7"/>
    <w:rsid w:val="008007A8"/>
    <w:rPr>
      <w:rFonts w:ascii="Cambria" w:eastAsia="MS Mincho" w:hAnsi="Cambria"/>
      <w:i/>
      <w:iCs/>
      <w:color w:val="404040"/>
      <w:sz w:val="24"/>
      <w:szCs w:val="24"/>
    </w:rPr>
  </w:style>
  <w:style w:type="character" w:customStyle="1" w:styleId="Heading8Char">
    <w:name w:val="Heading 8 Char"/>
    <w:link w:val="Heading8"/>
    <w:rsid w:val="008007A8"/>
    <w:rPr>
      <w:rFonts w:ascii="Cambria" w:eastAsia="MS Mincho" w:hAnsi="Cambria"/>
      <w:color w:val="404040"/>
    </w:rPr>
  </w:style>
  <w:style w:type="character" w:customStyle="1" w:styleId="Heading9Char">
    <w:name w:val="Heading 9 Char"/>
    <w:link w:val="Heading9"/>
    <w:rsid w:val="008007A8"/>
    <w:rPr>
      <w:rFonts w:ascii="Cambria" w:eastAsia="MS Mincho" w:hAnsi="Cambria"/>
      <w:i/>
      <w:iCs/>
      <w:color w:val="404040"/>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03606D"/>
    <w:pPr>
      <w:tabs>
        <w:tab w:val="right" w:pos="2835"/>
        <w:tab w:val="right" w:pos="5670"/>
      </w:tabs>
      <w:spacing w:before="0" w:after="60"/>
    </w:pPr>
    <w:rPr>
      <w:color w:val="404040"/>
      <w:sz w:val="18"/>
    </w:rPr>
  </w:style>
  <w:style w:type="character" w:customStyle="1" w:styleId="FooterChar">
    <w:name w:val="Footer Char"/>
    <w:link w:val="Footer"/>
    <w:uiPriority w:val="99"/>
    <w:semiHidden/>
    <w:rsid w:val="0003606D"/>
    <w:rPr>
      <w:rFonts w:ascii="Arial" w:eastAsia="MS Mincho" w:hAnsi="Arial"/>
      <w:color w:val="404040"/>
      <w:sz w:val="18"/>
      <w:szCs w:val="24"/>
    </w:rPr>
  </w:style>
  <w:style w:type="paragraph" w:styleId="TOC3">
    <w:name w:val="toc 3"/>
    <w:basedOn w:val="Normal"/>
    <w:next w:val="Normal"/>
    <w:autoRedefine/>
    <w:uiPriority w:val="39"/>
    <w:qFormat/>
    <w:locked/>
    <w:rsid w:val="00A92F92"/>
    <w:pPr>
      <w:tabs>
        <w:tab w:val="left" w:pos="1202"/>
        <w:tab w:val="right" w:leader="dot" w:pos="9060"/>
      </w:tabs>
      <w:spacing w:before="0" w:after="0"/>
      <w:ind w:left="1202" w:hanging="720"/>
    </w:pPr>
    <w:rPr>
      <w:rFonts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2"/>
      </w:numPr>
    </w:pPr>
  </w:style>
  <w:style w:type="paragraph" w:styleId="TOC1">
    <w:name w:val="toc 1"/>
    <w:basedOn w:val="Normal"/>
    <w:next w:val="Normal"/>
    <w:autoRedefine/>
    <w:uiPriority w:val="39"/>
    <w:qFormat/>
    <w:locked/>
    <w:rsid w:val="00A92F92"/>
    <w:pPr>
      <w:tabs>
        <w:tab w:val="right" w:leader="dot" w:pos="9060"/>
      </w:tabs>
      <w:spacing w:after="0"/>
      <w:ind w:left="720" w:hanging="720"/>
    </w:pPr>
    <w:rPr>
      <w:b/>
      <w:noProof/>
      <w:sz w:val="22"/>
    </w:rPr>
  </w:style>
  <w:style w:type="paragraph" w:styleId="TOC2">
    <w:name w:val="toc 2"/>
    <w:basedOn w:val="Normal"/>
    <w:next w:val="Normal"/>
    <w:autoRedefine/>
    <w:uiPriority w:val="39"/>
    <w:qFormat/>
    <w:locked/>
    <w:rsid w:val="00A92F92"/>
    <w:pPr>
      <w:tabs>
        <w:tab w:val="right" w:leader="dot" w:pos="9060"/>
      </w:tabs>
      <w:spacing w:before="0" w:after="0"/>
      <w:ind w:left="958" w:hanging="720"/>
    </w:pPr>
    <w:rPr>
      <w:b/>
      <w:i/>
      <w:noProof/>
    </w:rPr>
  </w:style>
  <w:style w:type="paragraph" w:styleId="TOC4">
    <w:name w:val="toc 4"/>
    <w:basedOn w:val="Normal"/>
    <w:next w:val="Normal"/>
    <w:autoRedefine/>
    <w:uiPriority w:val="39"/>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styleId="TOCHeading">
    <w:name w:val="TOC Heading"/>
    <w:basedOn w:val="Normal"/>
    <w:next w:val="Normal"/>
    <w:uiPriority w:val="39"/>
    <w:qFormat/>
    <w:locked/>
    <w:rsid w:val="007540BF"/>
    <w:pPr>
      <w:spacing w:before="0" w:after="360"/>
    </w:pPr>
    <w:rPr>
      <w:b/>
      <w:color w:val="000000"/>
      <w:lang w:val="en-US" w:eastAsia="en-US"/>
    </w:rPr>
  </w:style>
  <w:style w:type="paragraph" w:styleId="EndnoteText">
    <w:name w:val="endnote text"/>
    <w:basedOn w:val="Normal"/>
    <w:link w:val="EndnoteTextChar1"/>
    <w:qFormat/>
    <w:rsid w:val="000E130A"/>
    <w:pPr>
      <w:spacing w:before="0" w:after="0"/>
    </w:pPr>
    <w:rPr>
      <w:sz w:val="20"/>
      <w:szCs w:val="20"/>
    </w:rPr>
  </w:style>
  <w:style w:type="character" w:customStyle="1" w:styleId="EndnoteTextChar1">
    <w:name w:val="Endnote Text Char1"/>
    <w:link w:val="EndnoteText"/>
    <w:rsid w:val="000E130A"/>
    <w:rPr>
      <w:rFonts w:ascii="Arial" w:eastAsia="MS Mincho" w:hAnsi="Arial"/>
      <w:lang w:val="en-AU" w:eastAsia="en-AU" w:bidi="ar-SA"/>
    </w:rPr>
  </w:style>
  <w:style w:type="character" w:styleId="EndnoteReference">
    <w:name w:val="endnote reference"/>
    <w:rsid w:val="000A1DB8"/>
    <w:rPr>
      <w:rFonts w:ascii="Arial" w:hAnsi="Arial"/>
      <w:sz w:val="20"/>
      <w:vertAlign w:val="superscript"/>
    </w:rPr>
  </w:style>
  <w:style w:type="numbering" w:styleId="1ai">
    <w:name w:val="Outline List 1"/>
    <w:basedOn w:val="NoList"/>
    <w:semiHidden/>
    <w:locked/>
    <w:rsid w:val="00E45954"/>
    <w:pPr>
      <w:numPr>
        <w:numId w:val="13"/>
      </w:numPr>
    </w:pPr>
  </w:style>
  <w:style w:type="numbering" w:styleId="ArticleSection">
    <w:name w:val="Outline List 3"/>
    <w:basedOn w:val="NoList"/>
    <w:semiHidden/>
    <w:locked/>
    <w:rsid w:val="00E45954"/>
    <w:pPr>
      <w:numPr>
        <w:numId w:val="14"/>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link w:val="BodyTextChar"/>
    <w:uiPriority w:val="1"/>
    <w:qFormat/>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C33104"/>
    <w:pPr>
      <w:spacing w:before="120" w:after="120"/>
      <w:jc w:val="right"/>
    </w:pPr>
    <w:rPr>
      <w:color w:val="595959"/>
      <w:sz w:val="26"/>
    </w:rPr>
  </w:style>
  <w:style w:type="paragraph" w:styleId="E-mailSignature">
    <w:name w:val="E-mail Signature"/>
    <w:basedOn w:val="Normal"/>
    <w:semiHidden/>
    <w:locked/>
    <w:rsid w:val="00E45954"/>
  </w:style>
  <w:style w:type="character" w:styleId="Emphasis">
    <w:name w:val="Emphasis"/>
    <w:uiPriority w:val="20"/>
    <w:qFormat/>
    <w:locked/>
    <w:rsid w:val="00E45954"/>
    <w:rPr>
      <w:i/>
      <w:iCs/>
    </w:rPr>
  </w:style>
  <w:style w:type="paragraph" w:styleId="EnvelopeAddress">
    <w:name w:val="envelope address"/>
    <w:basedOn w:val="Normal"/>
    <w:semiHidden/>
    <w:locked/>
    <w:rsid w:val="000A1DB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0A1DB8"/>
    <w:rPr>
      <w:rFonts w:ascii="Arial" w:hAnsi="Arial"/>
      <w:sz w:val="20"/>
      <w:vertAlign w:val="superscript"/>
    </w:rPr>
  </w:style>
  <w:style w:type="paragraph" w:styleId="FootnoteText">
    <w:name w:val="footnote text"/>
    <w:basedOn w:val="Normal"/>
    <w:semiHidden/>
    <w:rsid w:val="000E130A"/>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2"/>
      </w:numPr>
    </w:pPr>
  </w:style>
  <w:style w:type="paragraph" w:styleId="ListBullet2">
    <w:name w:val="List Bullet 2"/>
    <w:basedOn w:val="Normal"/>
    <w:semiHidden/>
    <w:locked/>
    <w:rsid w:val="00E45954"/>
    <w:pPr>
      <w:numPr>
        <w:numId w:val="3"/>
      </w:numPr>
    </w:pPr>
  </w:style>
  <w:style w:type="paragraph" w:styleId="ListBullet3">
    <w:name w:val="List Bullet 3"/>
    <w:basedOn w:val="Normal"/>
    <w:semiHidden/>
    <w:locked/>
    <w:rsid w:val="00E45954"/>
    <w:pPr>
      <w:numPr>
        <w:numId w:val="4"/>
      </w:numPr>
    </w:pPr>
  </w:style>
  <w:style w:type="paragraph" w:styleId="ListBullet4">
    <w:name w:val="List Bullet 4"/>
    <w:basedOn w:val="Normal"/>
    <w:semiHidden/>
    <w:locked/>
    <w:rsid w:val="00E45954"/>
    <w:pPr>
      <w:numPr>
        <w:numId w:val="5"/>
      </w:numPr>
    </w:pPr>
  </w:style>
  <w:style w:type="paragraph" w:styleId="ListBullet5">
    <w:name w:val="List Bullet 5"/>
    <w:basedOn w:val="Normal"/>
    <w:semiHidden/>
    <w:locked/>
    <w:rsid w:val="00E45954"/>
    <w:pPr>
      <w:numPr>
        <w:numId w:val="6"/>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7"/>
      </w:numPr>
    </w:pPr>
  </w:style>
  <w:style w:type="paragraph" w:styleId="ListNumber2">
    <w:name w:val="List Number 2"/>
    <w:basedOn w:val="Normal"/>
    <w:semiHidden/>
    <w:locked/>
    <w:rsid w:val="00E45954"/>
    <w:pPr>
      <w:numPr>
        <w:numId w:val="10"/>
      </w:numPr>
    </w:pPr>
  </w:style>
  <w:style w:type="paragraph" w:styleId="ListNumber3">
    <w:name w:val="List Number 3"/>
    <w:basedOn w:val="Normal"/>
    <w:semiHidden/>
    <w:locked/>
    <w:rsid w:val="00E45954"/>
    <w:pPr>
      <w:numPr>
        <w:numId w:val="11"/>
      </w:numPr>
    </w:pPr>
  </w:style>
  <w:style w:type="paragraph" w:styleId="ListNumber4">
    <w:name w:val="List Number 4"/>
    <w:basedOn w:val="Normal"/>
    <w:semiHidden/>
    <w:locked/>
    <w:rsid w:val="00E45954"/>
    <w:pPr>
      <w:numPr>
        <w:numId w:val="8"/>
      </w:numPr>
    </w:pPr>
  </w:style>
  <w:style w:type="paragraph" w:styleId="ListNumber5">
    <w:name w:val="List Number 5"/>
    <w:basedOn w:val="Normal"/>
    <w:semiHidden/>
    <w:locked/>
    <w:rsid w:val="00E45954"/>
    <w:pPr>
      <w:numPr>
        <w:numId w:val="9"/>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link w:val="SubtitleChar"/>
    <w:qFormat/>
    <w:locked/>
    <w:rsid w:val="00323C73"/>
    <w:pPr>
      <w:spacing w:before="40" w:after="0"/>
      <w:jc w:val="right"/>
      <w:outlineLvl w:val="1"/>
    </w:pPr>
    <w:rPr>
      <w:rFonts w:cs="Arial"/>
      <w:b/>
      <w:caps/>
      <w:sz w:val="26"/>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MainTitle">
    <w:name w:val="Main Title"/>
    <w:semiHidden/>
    <w:qFormat/>
    <w:rsid w:val="00FD01B5"/>
    <w:pPr>
      <w:spacing w:line="740" w:lineRule="exact"/>
      <w:contextualSpacing/>
      <w:jc w:val="right"/>
    </w:pPr>
    <w:rPr>
      <w:rFonts w:ascii="Arial" w:hAnsi="Arial"/>
      <w:bCs/>
      <w:color w:val="237BBC"/>
      <w:kern w:val="32"/>
      <w:sz w:val="56"/>
      <w:szCs w:val="32"/>
    </w:rPr>
  </w:style>
  <w:style w:type="paragraph" w:customStyle="1" w:styleId="HeaderFooter">
    <w:name w:val="Header &amp; Footer"/>
    <w:basedOn w:val="Normal"/>
    <w:semiHidden/>
    <w:rsid w:val="00591951"/>
    <w:pPr>
      <w:spacing w:line="200" w:lineRule="exact"/>
      <w:jc w:val="both"/>
    </w:pPr>
    <w:rPr>
      <w:rFonts w:eastAsia="Times New Roman" w:cs="ArialMT"/>
      <w:color w:val="000000"/>
      <w:sz w:val="16"/>
      <w:lang w:eastAsia="en-US"/>
    </w:rPr>
  </w:style>
  <w:style w:type="paragraph" w:customStyle="1" w:styleId="LogoType">
    <w:name w:val="Logo Type"/>
    <w:basedOn w:val="Header"/>
    <w:semiHidden/>
    <w:rsid w:val="00591951"/>
    <w:pPr>
      <w:pBdr>
        <w:bottom w:val="single" w:sz="4" w:space="4" w:color="auto"/>
      </w:pBdr>
      <w:tabs>
        <w:tab w:val="clear" w:pos="4513"/>
        <w:tab w:val="clear" w:pos="9026"/>
        <w:tab w:val="left" w:pos="4686"/>
        <w:tab w:val="left" w:pos="7088"/>
        <w:tab w:val="left" w:pos="7242"/>
      </w:tabs>
      <w:spacing w:before="0" w:line="320" w:lineRule="exact"/>
    </w:pPr>
    <w:rPr>
      <w:rFonts w:cs="ArialMT"/>
      <w:b/>
      <w:color w:val="808080"/>
      <w:spacing w:val="-20"/>
      <w:sz w:val="32"/>
      <w:lang w:eastAsia="en-US"/>
    </w:rPr>
  </w:style>
  <w:style w:type="paragraph" w:styleId="BalloonText">
    <w:name w:val="Balloon Text"/>
    <w:basedOn w:val="Normal"/>
    <w:link w:val="BalloonTextChar"/>
    <w:semiHidden/>
    <w:locked/>
    <w:rsid w:val="00A96892"/>
    <w:pPr>
      <w:spacing w:before="0" w:after="0"/>
    </w:pPr>
    <w:rPr>
      <w:rFonts w:ascii="Tahoma" w:hAnsi="Tahoma" w:cs="Tahoma"/>
      <w:sz w:val="16"/>
      <w:szCs w:val="16"/>
    </w:rPr>
  </w:style>
  <w:style w:type="character" w:customStyle="1" w:styleId="BalloonTextChar">
    <w:name w:val="Balloon Text Char"/>
    <w:link w:val="BalloonText"/>
    <w:rsid w:val="00A96892"/>
    <w:rPr>
      <w:rFonts w:ascii="Tahoma" w:eastAsia="MS Mincho" w:hAnsi="Tahoma" w:cs="Tahoma"/>
      <w:sz w:val="16"/>
      <w:szCs w:val="16"/>
    </w:rPr>
  </w:style>
  <w:style w:type="character" w:customStyle="1" w:styleId="CharChar">
    <w:name w:val="Char Char"/>
    <w:semiHidden/>
    <w:locked/>
    <w:rsid w:val="000A48AC"/>
    <w:rPr>
      <w:rFonts w:ascii="Arial" w:hAnsi="Arial" w:cs="Arial"/>
      <w:lang w:val="en-AU" w:eastAsia="en-AU" w:bidi="ar-SA"/>
    </w:rPr>
  </w:style>
  <w:style w:type="character" w:customStyle="1" w:styleId="EndnoteTextChar">
    <w:name w:val="Endnote Text Char"/>
    <w:locked/>
    <w:rsid w:val="00EB6A76"/>
    <w:rPr>
      <w:rFonts w:ascii="Arial" w:hAnsi="Arial"/>
      <w:lang w:bidi="ar-SA"/>
    </w:rPr>
  </w:style>
  <w:style w:type="character" w:customStyle="1" w:styleId="SubtitleChar">
    <w:name w:val="Subtitle Char"/>
    <w:link w:val="Subtitle"/>
    <w:rsid w:val="00323C73"/>
    <w:rPr>
      <w:rFonts w:ascii="Arial" w:eastAsia="MS Mincho" w:hAnsi="Arial" w:cs="Arial"/>
      <w:b/>
      <w:caps/>
      <w:sz w:val="26"/>
      <w:szCs w:val="24"/>
    </w:rPr>
  </w:style>
  <w:style w:type="paragraph" w:customStyle="1" w:styleId="SubmissionNormal">
    <w:name w:val="Submission Normal"/>
    <w:aliases w:val="No Spacing,No Spacing1,No Spacing11"/>
    <w:basedOn w:val="Normal"/>
    <w:link w:val="SubmissionNormalChar"/>
    <w:qFormat/>
    <w:rsid w:val="00B34946"/>
    <w:pPr>
      <w:numPr>
        <w:numId w:val="15"/>
      </w:numPr>
      <w:tabs>
        <w:tab w:val="clear" w:pos="3556"/>
        <w:tab w:val="num" w:pos="720"/>
      </w:tabs>
      <w:ind w:left="720"/>
    </w:pPr>
    <w:rPr>
      <w:rFonts w:eastAsia="Times New Roman"/>
    </w:rPr>
  </w:style>
  <w:style w:type="character" w:customStyle="1" w:styleId="SubmissionNormalChar">
    <w:name w:val="Submission Normal Char"/>
    <w:aliases w:val="No Spacing Char,No Spacing1 Char"/>
    <w:link w:val="SubmissionNormal"/>
    <w:rsid w:val="00B34946"/>
    <w:rPr>
      <w:rFonts w:ascii="Arial" w:hAnsi="Arial"/>
      <w:sz w:val="24"/>
      <w:szCs w:val="24"/>
    </w:rPr>
  </w:style>
  <w:style w:type="paragraph" w:customStyle="1" w:styleId="coveraddresses">
    <w:name w:val="cover addresses"/>
    <w:basedOn w:val="Footer"/>
    <w:qFormat/>
    <w:rsid w:val="0003606D"/>
    <w:pPr>
      <w:spacing w:after="40"/>
    </w:pPr>
    <w:rPr>
      <w:sz w:val="16"/>
      <w:szCs w:val="16"/>
    </w:rPr>
  </w:style>
  <w:style w:type="paragraph" w:styleId="ListParagraph">
    <w:name w:val="List Paragraph"/>
    <w:aliases w:val="Recommendation,List Paragraph1,List Paragraph11,L,EOT List Paragraph,Bullet point,Bullets,NAST Quote,CV text,Table text,F5 List Paragraph,Dot pt,List Paragraph111,Medium Grid 1 - Accent 21,Numbered Paragraph,List Paragraph2,FooterText,列"/>
    <w:basedOn w:val="Normal"/>
    <w:link w:val="ListParagraphChar"/>
    <w:uiPriority w:val="34"/>
    <w:qFormat/>
    <w:rsid w:val="007C762C"/>
    <w:pPr>
      <w:ind w:left="720"/>
      <w:contextualSpacing/>
    </w:pPr>
    <w:rPr>
      <w:rFonts w:eastAsia="Times New Roman"/>
    </w:rPr>
  </w:style>
  <w:style w:type="paragraph" w:customStyle="1" w:styleId="TableText10pt">
    <w:name w:val="Table Text 10pt"/>
    <w:basedOn w:val="Normal"/>
    <w:rsid w:val="00531790"/>
    <w:pPr>
      <w:keepLines/>
      <w:widowControl w:val="0"/>
      <w:spacing w:before="0" w:after="0"/>
      <w:jc w:val="center"/>
    </w:pPr>
    <w:rPr>
      <w:rFonts w:eastAsia="Times New Roman" w:cs="Arial"/>
      <w:bCs/>
      <w:color w:val="000000"/>
      <w:sz w:val="20"/>
      <w:szCs w:val="21"/>
    </w:rPr>
  </w:style>
  <w:style w:type="character" w:customStyle="1" w:styleId="A14">
    <w:name w:val="A14"/>
    <w:uiPriority w:val="99"/>
    <w:rsid w:val="00D743B9"/>
    <w:rPr>
      <w:rFonts w:cs="HelveticaNeueLT Pro 55 Roman"/>
      <w:color w:val="000000"/>
      <w:sz w:val="17"/>
      <w:szCs w:val="17"/>
    </w:rPr>
  </w:style>
  <w:style w:type="character" w:customStyle="1" w:styleId="BodyTextChar">
    <w:name w:val="Body Text Char"/>
    <w:basedOn w:val="DefaultParagraphFont"/>
    <w:link w:val="BodyText"/>
    <w:uiPriority w:val="1"/>
    <w:rsid w:val="0034606B"/>
    <w:rPr>
      <w:rFonts w:ascii="Arial" w:eastAsia="MS Mincho" w:hAnsi="Arial"/>
      <w:sz w:val="24"/>
      <w:szCs w:val="24"/>
    </w:rPr>
  </w:style>
  <w:style w:type="paragraph" w:customStyle="1" w:styleId="Default">
    <w:name w:val="Default"/>
    <w:rsid w:val="009479D0"/>
    <w:pPr>
      <w:autoSpaceDE w:val="0"/>
      <w:autoSpaceDN w:val="0"/>
      <w:adjustRightInd w:val="0"/>
    </w:pPr>
    <w:rPr>
      <w:rFonts w:ascii="Helvetica Neue" w:hAnsi="Helvetica Neue" w:cs="Helvetica Neue"/>
      <w:color w:val="000000"/>
      <w:sz w:val="24"/>
      <w:szCs w:val="24"/>
    </w:rPr>
  </w:style>
  <w:style w:type="character" w:customStyle="1" w:styleId="apple-converted-space">
    <w:name w:val="apple-converted-space"/>
    <w:basedOn w:val="DefaultParagraphFont"/>
    <w:rsid w:val="009D4E66"/>
  </w:style>
  <w:style w:type="character" w:styleId="CommentReference">
    <w:name w:val="annotation reference"/>
    <w:basedOn w:val="DefaultParagraphFont"/>
    <w:locked/>
    <w:rsid w:val="00941EBF"/>
    <w:rPr>
      <w:sz w:val="16"/>
      <w:szCs w:val="16"/>
    </w:rPr>
  </w:style>
  <w:style w:type="character" w:customStyle="1" w:styleId="ListParagraphChar">
    <w:name w:val="List Paragraph Char"/>
    <w:aliases w:val="Recommendation Char,List Paragraph1 Char,List Paragraph11 Char,L Char,EOT List Paragraph Char,Bullet point Char,Bullets Char,NAST Quote Char,CV text Char,Table text Char,F5 List Paragraph Char,Dot pt Char,List Paragraph111 Char"/>
    <w:link w:val="ListParagraph"/>
    <w:uiPriority w:val="34"/>
    <w:locked/>
    <w:rsid w:val="00857FE8"/>
    <w:rPr>
      <w:rFonts w:ascii="Arial" w:hAnsi="Arial"/>
      <w:sz w:val="24"/>
      <w:szCs w:val="24"/>
    </w:rPr>
  </w:style>
  <w:style w:type="paragraph" w:styleId="TOC5">
    <w:name w:val="toc 5"/>
    <w:basedOn w:val="Normal"/>
    <w:next w:val="Normal"/>
    <w:autoRedefine/>
    <w:uiPriority w:val="39"/>
    <w:unhideWhenUsed/>
    <w:locked/>
    <w:rsid w:val="0045639E"/>
    <w:pPr>
      <w:spacing w:before="0"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locked/>
    <w:rsid w:val="0045639E"/>
    <w:pPr>
      <w:spacing w:before="0"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locked/>
    <w:rsid w:val="0045639E"/>
    <w:pPr>
      <w:spacing w:before="0"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locked/>
    <w:rsid w:val="0045639E"/>
    <w:pPr>
      <w:spacing w:before="0"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locked/>
    <w:rsid w:val="0045639E"/>
    <w:pPr>
      <w:spacing w:before="0" w:after="100" w:line="259" w:lineRule="auto"/>
      <w:ind w:left="1760"/>
    </w:pPr>
    <w:rPr>
      <w:rFonts w:asciiTheme="minorHAnsi" w:eastAsiaTheme="minorEastAsia" w:hAnsiTheme="minorHAnsi" w:cstheme="minorBidi"/>
      <w:sz w:val="22"/>
      <w:szCs w:val="22"/>
    </w:rPr>
  </w:style>
  <w:style w:type="paragraph" w:styleId="CommentText">
    <w:name w:val="annotation text"/>
    <w:basedOn w:val="Normal"/>
    <w:link w:val="CommentTextChar"/>
    <w:locked/>
    <w:rsid w:val="007D5B74"/>
  </w:style>
  <w:style w:type="character" w:customStyle="1" w:styleId="CommentTextChar">
    <w:name w:val="Comment Text Char"/>
    <w:basedOn w:val="DefaultParagraphFont"/>
    <w:link w:val="CommentText"/>
    <w:rsid w:val="007D5B74"/>
    <w:rPr>
      <w:rFonts w:ascii="Arial" w:eastAsia="MS Mincho" w:hAnsi="Arial"/>
      <w:sz w:val="24"/>
      <w:szCs w:val="24"/>
    </w:rPr>
  </w:style>
  <w:style w:type="paragraph" w:styleId="CommentSubject">
    <w:name w:val="annotation subject"/>
    <w:basedOn w:val="CommentText"/>
    <w:next w:val="CommentText"/>
    <w:link w:val="CommentSubjectChar"/>
    <w:locked/>
    <w:rsid w:val="007D5B74"/>
    <w:rPr>
      <w:b/>
      <w:bCs/>
      <w:sz w:val="20"/>
      <w:szCs w:val="20"/>
    </w:rPr>
  </w:style>
  <w:style w:type="character" w:customStyle="1" w:styleId="CommentSubjectChar">
    <w:name w:val="Comment Subject Char"/>
    <w:basedOn w:val="CommentTextChar"/>
    <w:link w:val="CommentSubject"/>
    <w:rsid w:val="007D5B74"/>
    <w:rPr>
      <w:rFonts w:ascii="Arial" w:eastAsia="MS Mincho" w:hAnsi="Arial"/>
      <w:b/>
      <w:bCs/>
      <w:sz w:val="24"/>
      <w:szCs w:val="24"/>
    </w:rPr>
  </w:style>
  <w:style w:type="character" w:customStyle="1" w:styleId="UnresolvedMention1">
    <w:name w:val="Unresolved Mention1"/>
    <w:basedOn w:val="DefaultParagraphFont"/>
    <w:uiPriority w:val="99"/>
    <w:semiHidden/>
    <w:unhideWhenUsed/>
    <w:rsid w:val="00A1382F"/>
    <w:rPr>
      <w:color w:val="808080"/>
      <w:shd w:val="clear" w:color="auto" w:fill="E6E6E6"/>
    </w:rPr>
  </w:style>
  <w:style w:type="character" w:customStyle="1" w:styleId="UnresolvedMention2">
    <w:name w:val="Unresolved Mention2"/>
    <w:basedOn w:val="DefaultParagraphFont"/>
    <w:uiPriority w:val="99"/>
    <w:semiHidden/>
    <w:unhideWhenUsed/>
    <w:rsid w:val="004E7B5C"/>
    <w:rPr>
      <w:color w:val="808080"/>
      <w:shd w:val="clear" w:color="auto" w:fill="E6E6E6"/>
    </w:rPr>
  </w:style>
  <w:style w:type="character" w:customStyle="1" w:styleId="UnresolvedMention3">
    <w:name w:val="Unresolved Mention3"/>
    <w:basedOn w:val="DefaultParagraphFont"/>
    <w:uiPriority w:val="99"/>
    <w:semiHidden/>
    <w:unhideWhenUsed/>
    <w:rsid w:val="00D53D10"/>
    <w:rPr>
      <w:color w:val="808080"/>
      <w:shd w:val="clear" w:color="auto" w:fill="E6E6E6"/>
    </w:rPr>
  </w:style>
  <w:style w:type="character" w:customStyle="1" w:styleId="UnresolvedMention4">
    <w:name w:val="Unresolved Mention4"/>
    <w:basedOn w:val="DefaultParagraphFont"/>
    <w:uiPriority w:val="99"/>
    <w:semiHidden/>
    <w:unhideWhenUsed/>
    <w:rsid w:val="008D79ED"/>
    <w:rPr>
      <w:color w:val="808080"/>
      <w:shd w:val="clear" w:color="auto" w:fill="E6E6E6"/>
    </w:rPr>
  </w:style>
  <w:style w:type="character" w:customStyle="1" w:styleId="UnresolvedMention">
    <w:name w:val="Unresolved Mention"/>
    <w:basedOn w:val="DefaultParagraphFont"/>
    <w:uiPriority w:val="99"/>
    <w:semiHidden/>
    <w:unhideWhenUsed/>
    <w:rsid w:val="00E6694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75200">
      <w:bodyDiv w:val="1"/>
      <w:marLeft w:val="0"/>
      <w:marRight w:val="0"/>
      <w:marTop w:val="0"/>
      <w:marBottom w:val="0"/>
      <w:divBdr>
        <w:top w:val="none" w:sz="0" w:space="0" w:color="auto"/>
        <w:left w:val="none" w:sz="0" w:space="0" w:color="auto"/>
        <w:bottom w:val="none" w:sz="0" w:space="0" w:color="auto"/>
        <w:right w:val="none" w:sz="0" w:space="0" w:color="auto"/>
      </w:divBdr>
    </w:div>
    <w:div w:id="71128598">
      <w:bodyDiv w:val="1"/>
      <w:marLeft w:val="0"/>
      <w:marRight w:val="0"/>
      <w:marTop w:val="0"/>
      <w:marBottom w:val="0"/>
      <w:divBdr>
        <w:top w:val="none" w:sz="0" w:space="0" w:color="auto"/>
        <w:left w:val="none" w:sz="0" w:space="0" w:color="auto"/>
        <w:bottom w:val="none" w:sz="0" w:space="0" w:color="auto"/>
        <w:right w:val="none" w:sz="0" w:space="0" w:color="auto"/>
      </w:divBdr>
    </w:div>
    <w:div w:id="91173555">
      <w:bodyDiv w:val="1"/>
      <w:marLeft w:val="0"/>
      <w:marRight w:val="0"/>
      <w:marTop w:val="0"/>
      <w:marBottom w:val="0"/>
      <w:divBdr>
        <w:top w:val="none" w:sz="0" w:space="0" w:color="auto"/>
        <w:left w:val="none" w:sz="0" w:space="0" w:color="auto"/>
        <w:bottom w:val="none" w:sz="0" w:space="0" w:color="auto"/>
        <w:right w:val="none" w:sz="0" w:space="0" w:color="auto"/>
      </w:divBdr>
    </w:div>
    <w:div w:id="193006204">
      <w:bodyDiv w:val="1"/>
      <w:marLeft w:val="0"/>
      <w:marRight w:val="0"/>
      <w:marTop w:val="0"/>
      <w:marBottom w:val="0"/>
      <w:divBdr>
        <w:top w:val="none" w:sz="0" w:space="0" w:color="auto"/>
        <w:left w:val="none" w:sz="0" w:space="0" w:color="auto"/>
        <w:bottom w:val="none" w:sz="0" w:space="0" w:color="auto"/>
        <w:right w:val="none" w:sz="0" w:space="0" w:color="auto"/>
      </w:divBdr>
    </w:div>
    <w:div w:id="205220307">
      <w:bodyDiv w:val="1"/>
      <w:marLeft w:val="0"/>
      <w:marRight w:val="0"/>
      <w:marTop w:val="0"/>
      <w:marBottom w:val="0"/>
      <w:divBdr>
        <w:top w:val="none" w:sz="0" w:space="0" w:color="auto"/>
        <w:left w:val="none" w:sz="0" w:space="0" w:color="auto"/>
        <w:bottom w:val="none" w:sz="0" w:space="0" w:color="auto"/>
        <w:right w:val="none" w:sz="0" w:space="0" w:color="auto"/>
      </w:divBdr>
    </w:div>
    <w:div w:id="237179589">
      <w:bodyDiv w:val="1"/>
      <w:marLeft w:val="0"/>
      <w:marRight w:val="0"/>
      <w:marTop w:val="0"/>
      <w:marBottom w:val="0"/>
      <w:divBdr>
        <w:top w:val="none" w:sz="0" w:space="0" w:color="auto"/>
        <w:left w:val="none" w:sz="0" w:space="0" w:color="auto"/>
        <w:bottom w:val="none" w:sz="0" w:space="0" w:color="auto"/>
        <w:right w:val="none" w:sz="0" w:space="0" w:color="auto"/>
      </w:divBdr>
    </w:div>
    <w:div w:id="250548527">
      <w:bodyDiv w:val="1"/>
      <w:marLeft w:val="0"/>
      <w:marRight w:val="0"/>
      <w:marTop w:val="0"/>
      <w:marBottom w:val="0"/>
      <w:divBdr>
        <w:top w:val="none" w:sz="0" w:space="0" w:color="auto"/>
        <w:left w:val="none" w:sz="0" w:space="0" w:color="auto"/>
        <w:bottom w:val="none" w:sz="0" w:space="0" w:color="auto"/>
        <w:right w:val="none" w:sz="0" w:space="0" w:color="auto"/>
      </w:divBdr>
    </w:div>
    <w:div w:id="402409555">
      <w:bodyDiv w:val="1"/>
      <w:marLeft w:val="0"/>
      <w:marRight w:val="0"/>
      <w:marTop w:val="0"/>
      <w:marBottom w:val="0"/>
      <w:divBdr>
        <w:top w:val="none" w:sz="0" w:space="0" w:color="auto"/>
        <w:left w:val="none" w:sz="0" w:space="0" w:color="auto"/>
        <w:bottom w:val="none" w:sz="0" w:space="0" w:color="auto"/>
        <w:right w:val="none" w:sz="0" w:space="0" w:color="auto"/>
      </w:divBdr>
    </w:div>
    <w:div w:id="403263875">
      <w:bodyDiv w:val="1"/>
      <w:marLeft w:val="0"/>
      <w:marRight w:val="0"/>
      <w:marTop w:val="0"/>
      <w:marBottom w:val="0"/>
      <w:divBdr>
        <w:top w:val="none" w:sz="0" w:space="0" w:color="auto"/>
        <w:left w:val="none" w:sz="0" w:space="0" w:color="auto"/>
        <w:bottom w:val="none" w:sz="0" w:space="0" w:color="auto"/>
        <w:right w:val="none" w:sz="0" w:space="0" w:color="auto"/>
      </w:divBdr>
    </w:div>
    <w:div w:id="477040104">
      <w:bodyDiv w:val="1"/>
      <w:marLeft w:val="0"/>
      <w:marRight w:val="0"/>
      <w:marTop w:val="0"/>
      <w:marBottom w:val="0"/>
      <w:divBdr>
        <w:top w:val="none" w:sz="0" w:space="0" w:color="auto"/>
        <w:left w:val="none" w:sz="0" w:space="0" w:color="auto"/>
        <w:bottom w:val="none" w:sz="0" w:space="0" w:color="auto"/>
        <w:right w:val="none" w:sz="0" w:space="0" w:color="auto"/>
      </w:divBdr>
    </w:div>
    <w:div w:id="652292204">
      <w:bodyDiv w:val="1"/>
      <w:marLeft w:val="0"/>
      <w:marRight w:val="0"/>
      <w:marTop w:val="0"/>
      <w:marBottom w:val="0"/>
      <w:divBdr>
        <w:top w:val="none" w:sz="0" w:space="0" w:color="auto"/>
        <w:left w:val="none" w:sz="0" w:space="0" w:color="auto"/>
        <w:bottom w:val="none" w:sz="0" w:space="0" w:color="auto"/>
        <w:right w:val="none" w:sz="0" w:space="0" w:color="auto"/>
      </w:divBdr>
    </w:div>
    <w:div w:id="652755032">
      <w:bodyDiv w:val="1"/>
      <w:marLeft w:val="0"/>
      <w:marRight w:val="0"/>
      <w:marTop w:val="0"/>
      <w:marBottom w:val="0"/>
      <w:divBdr>
        <w:top w:val="none" w:sz="0" w:space="0" w:color="auto"/>
        <w:left w:val="none" w:sz="0" w:space="0" w:color="auto"/>
        <w:bottom w:val="none" w:sz="0" w:space="0" w:color="auto"/>
        <w:right w:val="none" w:sz="0" w:space="0" w:color="auto"/>
      </w:divBdr>
    </w:div>
    <w:div w:id="683559324">
      <w:bodyDiv w:val="1"/>
      <w:marLeft w:val="0"/>
      <w:marRight w:val="0"/>
      <w:marTop w:val="0"/>
      <w:marBottom w:val="0"/>
      <w:divBdr>
        <w:top w:val="none" w:sz="0" w:space="0" w:color="auto"/>
        <w:left w:val="none" w:sz="0" w:space="0" w:color="auto"/>
        <w:bottom w:val="none" w:sz="0" w:space="0" w:color="auto"/>
        <w:right w:val="none" w:sz="0" w:space="0" w:color="auto"/>
      </w:divBdr>
    </w:div>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57944942">
      <w:bodyDiv w:val="1"/>
      <w:marLeft w:val="0"/>
      <w:marRight w:val="0"/>
      <w:marTop w:val="0"/>
      <w:marBottom w:val="0"/>
      <w:divBdr>
        <w:top w:val="none" w:sz="0" w:space="0" w:color="auto"/>
        <w:left w:val="none" w:sz="0" w:space="0" w:color="auto"/>
        <w:bottom w:val="none" w:sz="0" w:space="0" w:color="auto"/>
        <w:right w:val="none" w:sz="0" w:space="0" w:color="auto"/>
      </w:divBdr>
    </w:div>
    <w:div w:id="766534309">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966082101">
      <w:bodyDiv w:val="1"/>
      <w:marLeft w:val="0"/>
      <w:marRight w:val="0"/>
      <w:marTop w:val="0"/>
      <w:marBottom w:val="0"/>
      <w:divBdr>
        <w:top w:val="none" w:sz="0" w:space="0" w:color="auto"/>
        <w:left w:val="none" w:sz="0" w:space="0" w:color="auto"/>
        <w:bottom w:val="none" w:sz="0" w:space="0" w:color="auto"/>
        <w:right w:val="none" w:sz="0" w:space="0" w:color="auto"/>
      </w:divBdr>
    </w:div>
    <w:div w:id="975597842">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 w:id="978724854">
      <w:bodyDiv w:val="1"/>
      <w:marLeft w:val="0"/>
      <w:marRight w:val="0"/>
      <w:marTop w:val="0"/>
      <w:marBottom w:val="0"/>
      <w:divBdr>
        <w:top w:val="none" w:sz="0" w:space="0" w:color="auto"/>
        <w:left w:val="none" w:sz="0" w:space="0" w:color="auto"/>
        <w:bottom w:val="none" w:sz="0" w:space="0" w:color="auto"/>
        <w:right w:val="none" w:sz="0" w:space="0" w:color="auto"/>
      </w:divBdr>
    </w:div>
    <w:div w:id="1041589480">
      <w:bodyDiv w:val="1"/>
      <w:marLeft w:val="0"/>
      <w:marRight w:val="0"/>
      <w:marTop w:val="0"/>
      <w:marBottom w:val="0"/>
      <w:divBdr>
        <w:top w:val="none" w:sz="0" w:space="0" w:color="auto"/>
        <w:left w:val="none" w:sz="0" w:space="0" w:color="auto"/>
        <w:bottom w:val="none" w:sz="0" w:space="0" w:color="auto"/>
        <w:right w:val="none" w:sz="0" w:space="0" w:color="auto"/>
      </w:divBdr>
    </w:div>
    <w:div w:id="1050811380">
      <w:bodyDiv w:val="1"/>
      <w:marLeft w:val="0"/>
      <w:marRight w:val="0"/>
      <w:marTop w:val="0"/>
      <w:marBottom w:val="0"/>
      <w:divBdr>
        <w:top w:val="none" w:sz="0" w:space="0" w:color="auto"/>
        <w:left w:val="none" w:sz="0" w:space="0" w:color="auto"/>
        <w:bottom w:val="none" w:sz="0" w:space="0" w:color="auto"/>
        <w:right w:val="none" w:sz="0" w:space="0" w:color="auto"/>
      </w:divBdr>
    </w:div>
    <w:div w:id="1153984404">
      <w:bodyDiv w:val="1"/>
      <w:marLeft w:val="0"/>
      <w:marRight w:val="0"/>
      <w:marTop w:val="0"/>
      <w:marBottom w:val="0"/>
      <w:divBdr>
        <w:top w:val="none" w:sz="0" w:space="0" w:color="auto"/>
        <w:left w:val="none" w:sz="0" w:space="0" w:color="auto"/>
        <w:bottom w:val="none" w:sz="0" w:space="0" w:color="auto"/>
        <w:right w:val="none" w:sz="0" w:space="0" w:color="auto"/>
      </w:divBdr>
    </w:div>
    <w:div w:id="1213496288">
      <w:bodyDiv w:val="1"/>
      <w:marLeft w:val="0"/>
      <w:marRight w:val="0"/>
      <w:marTop w:val="0"/>
      <w:marBottom w:val="0"/>
      <w:divBdr>
        <w:top w:val="none" w:sz="0" w:space="0" w:color="auto"/>
        <w:left w:val="none" w:sz="0" w:space="0" w:color="auto"/>
        <w:bottom w:val="none" w:sz="0" w:space="0" w:color="auto"/>
        <w:right w:val="none" w:sz="0" w:space="0" w:color="auto"/>
      </w:divBdr>
    </w:div>
    <w:div w:id="1234437803">
      <w:bodyDiv w:val="1"/>
      <w:marLeft w:val="0"/>
      <w:marRight w:val="0"/>
      <w:marTop w:val="0"/>
      <w:marBottom w:val="0"/>
      <w:divBdr>
        <w:top w:val="none" w:sz="0" w:space="0" w:color="auto"/>
        <w:left w:val="none" w:sz="0" w:space="0" w:color="auto"/>
        <w:bottom w:val="none" w:sz="0" w:space="0" w:color="auto"/>
        <w:right w:val="none" w:sz="0" w:space="0" w:color="auto"/>
      </w:divBdr>
    </w:div>
    <w:div w:id="1243685988">
      <w:bodyDiv w:val="1"/>
      <w:marLeft w:val="0"/>
      <w:marRight w:val="0"/>
      <w:marTop w:val="0"/>
      <w:marBottom w:val="0"/>
      <w:divBdr>
        <w:top w:val="none" w:sz="0" w:space="0" w:color="auto"/>
        <w:left w:val="none" w:sz="0" w:space="0" w:color="auto"/>
        <w:bottom w:val="none" w:sz="0" w:space="0" w:color="auto"/>
        <w:right w:val="none" w:sz="0" w:space="0" w:color="auto"/>
      </w:divBdr>
    </w:div>
    <w:div w:id="1252086944">
      <w:bodyDiv w:val="1"/>
      <w:marLeft w:val="0"/>
      <w:marRight w:val="0"/>
      <w:marTop w:val="0"/>
      <w:marBottom w:val="0"/>
      <w:divBdr>
        <w:top w:val="none" w:sz="0" w:space="0" w:color="auto"/>
        <w:left w:val="none" w:sz="0" w:space="0" w:color="auto"/>
        <w:bottom w:val="none" w:sz="0" w:space="0" w:color="auto"/>
        <w:right w:val="none" w:sz="0" w:space="0" w:color="auto"/>
      </w:divBdr>
    </w:div>
    <w:div w:id="1260068140">
      <w:bodyDiv w:val="1"/>
      <w:marLeft w:val="0"/>
      <w:marRight w:val="0"/>
      <w:marTop w:val="0"/>
      <w:marBottom w:val="0"/>
      <w:divBdr>
        <w:top w:val="none" w:sz="0" w:space="0" w:color="auto"/>
        <w:left w:val="none" w:sz="0" w:space="0" w:color="auto"/>
        <w:bottom w:val="none" w:sz="0" w:space="0" w:color="auto"/>
        <w:right w:val="none" w:sz="0" w:space="0" w:color="auto"/>
      </w:divBdr>
    </w:div>
    <w:div w:id="1266772266">
      <w:bodyDiv w:val="1"/>
      <w:marLeft w:val="0"/>
      <w:marRight w:val="0"/>
      <w:marTop w:val="0"/>
      <w:marBottom w:val="0"/>
      <w:divBdr>
        <w:top w:val="none" w:sz="0" w:space="0" w:color="auto"/>
        <w:left w:val="none" w:sz="0" w:space="0" w:color="auto"/>
        <w:bottom w:val="none" w:sz="0" w:space="0" w:color="auto"/>
        <w:right w:val="none" w:sz="0" w:space="0" w:color="auto"/>
      </w:divBdr>
    </w:div>
    <w:div w:id="1297949381">
      <w:bodyDiv w:val="1"/>
      <w:marLeft w:val="0"/>
      <w:marRight w:val="0"/>
      <w:marTop w:val="0"/>
      <w:marBottom w:val="0"/>
      <w:divBdr>
        <w:top w:val="none" w:sz="0" w:space="0" w:color="auto"/>
        <w:left w:val="none" w:sz="0" w:space="0" w:color="auto"/>
        <w:bottom w:val="none" w:sz="0" w:space="0" w:color="auto"/>
        <w:right w:val="none" w:sz="0" w:space="0" w:color="auto"/>
      </w:divBdr>
    </w:div>
    <w:div w:id="1392773320">
      <w:bodyDiv w:val="1"/>
      <w:marLeft w:val="0"/>
      <w:marRight w:val="0"/>
      <w:marTop w:val="0"/>
      <w:marBottom w:val="0"/>
      <w:divBdr>
        <w:top w:val="none" w:sz="0" w:space="0" w:color="auto"/>
        <w:left w:val="none" w:sz="0" w:space="0" w:color="auto"/>
        <w:bottom w:val="none" w:sz="0" w:space="0" w:color="auto"/>
        <w:right w:val="none" w:sz="0" w:space="0" w:color="auto"/>
      </w:divBdr>
      <w:divsChild>
        <w:div w:id="1978950495">
          <w:marLeft w:val="0"/>
          <w:marRight w:val="0"/>
          <w:marTop w:val="0"/>
          <w:marBottom w:val="0"/>
          <w:divBdr>
            <w:top w:val="none" w:sz="0" w:space="0" w:color="auto"/>
            <w:left w:val="none" w:sz="0" w:space="0" w:color="auto"/>
            <w:bottom w:val="none" w:sz="0" w:space="0" w:color="auto"/>
            <w:right w:val="none" w:sz="0" w:space="0" w:color="auto"/>
          </w:divBdr>
          <w:divsChild>
            <w:div w:id="964965239">
              <w:marLeft w:val="0"/>
              <w:marRight w:val="0"/>
              <w:marTop w:val="0"/>
              <w:marBottom w:val="0"/>
              <w:divBdr>
                <w:top w:val="none" w:sz="0" w:space="0" w:color="auto"/>
                <w:left w:val="none" w:sz="0" w:space="0" w:color="auto"/>
                <w:bottom w:val="none" w:sz="0" w:space="0" w:color="auto"/>
                <w:right w:val="none" w:sz="0" w:space="0" w:color="auto"/>
              </w:divBdr>
              <w:divsChild>
                <w:div w:id="948203796">
                  <w:marLeft w:val="0"/>
                  <w:marRight w:val="0"/>
                  <w:marTop w:val="0"/>
                  <w:marBottom w:val="0"/>
                  <w:divBdr>
                    <w:top w:val="none" w:sz="0" w:space="0" w:color="auto"/>
                    <w:left w:val="none" w:sz="0" w:space="0" w:color="auto"/>
                    <w:bottom w:val="none" w:sz="0" w:space="0" w:color="auto"/>
                    <w:right w:val="none" w:sz="0" w:space="0" w:color="auto"/>
                  </w:divBdr>
                  <w:divsChild>
                    <w:div w:id="2105302908">
                      <w:marLeft w:val="0"/>
                      <w:marRight w:val="0"/>
                      <w:marTop w:val="0"/>
                      <w:marBottom w:val="0"/>
                      <w:divBdr>
                        <w:top w:val="none" w:sz="0" w:space="0" w:color="auto"/>
                        <w:left w:val="none" w:sz="0" w:space="0" w:color="auto"/>
                        <w:bottom w:val="none" w:sz="0" w:space="0" w:color="auto"/>
                        <w:right w:val="none" w:sz="0" w:space="0" w:color="auto"/>
                      </w:divBdr>
                      <w:divsChild>
                        <w:div w:id="1622955928">
                          <w:marLeft w:val="0"/>
                          <w:marRight w:val="0"/>
                          <w:marTop w:val="0"/>
                          <w:marBottom w:val="0"/>
                          <w:divBdr>
                            <w:top w:val="none" w:sz="0" w:space="0" w:color="auto"/>
                            <w:left w:val="none" w:sz="0" w:space="0" w:color="auto"/>
                            <w:bottom w:val="none" w:sz="0" w:space="0" w:color="auto"/>
                            <w:right w:val="none" w:sz="0" w:space="0" w:color="auto"/>
                          </w:divBdr>
                          <w:divsChild>
                            <w:div w:id="1142775794">
                              <w:marLeft w:val="0"/>
                              <w:marRight w:val="0"/>
                              <w:marTop w:val="0"/>
                              <w:marBottom w:val="0"/>
                              <w:divBdr>
                                <w:top w:val="none" w:sz="0" w:space="0" w:color="auto"/>
                                <w:left w:val="none" w:sz="0" w:space="0" w:color="auto"/>
                                <w:bottom w:val="none" w:sz="0" w:space="0" w:color="auto"/>
                                <w:right w:val="none" w:sz="0" w:space="0" w:color="auto"/>
                              </w:divBdr>
                              <w:divsChild>
                                <w:div w:id="612781954">
                                  <w:marLeft w:val="0"/>
                                  <w:marRight w:val="0"/>
                                  <w:marTop w:val="0"/>
                                  <w:marBottom w:val="0"/>
                                  <w:divBdr>
                                    <w:top w:val="none" w:sz="0" w:space="0" w:color="auto"/>
                                    <w:left w:val="none" w:sz="0" w:space="0" w:color="auto"/>
                                    <w:bottom w:val="none" w:sz="0" w:space="0" w:color="auto"/>
                                    <w:right w:val="none" w:sz="0" w:space="0" w:color="auto"/>
                                  </w:divBdr>
                                  <w:divsChild>
                                    <w:div w:id="626548944">
                                      <w:marLeft w:val="0"/>
                                      <w:marRight w:val="0"/>
                                      <w:marTop w:val="0"/>
                                      <w:marBottom w:val="0"/>
                                      <w:divBdr>
                                        <w:top w:val="none" w:sz="0" w:space="0" w:color="auto"/>
                                        <w:left w:val="none" w:sz="0" w:space="0" w:color="auto"/>
                                        <w:bottom w:val="none" w:sz="0" w:space="0" w:color="auto"/>
                                        <w:right w:val="none" w:sz="0" w:space="0" w:color="auto"/>
                                      </w:divBdr>
                                      <w:divsChild>
                                        <w:div w:id="1382630649">
                                          <w:marLeft w:val="0"/>
                                          <w:marRight w:val="0"/>
                                          <w:marTop w:val="0"/>
                                          <w:marBottom w:val="0"/>
                                          <w:divBdr>
                                            <w:top w:val="none" w:sz="0" w:space="0" w:color="auto"/>
                                            <w:left w:val="none" w:sz="0" w:space="0" w:color="auto"/>
                                            <w:bottom w:val="none" w:sz="0" w:space="0" w:color="auto"/>
                                            <w:right w:val="none" w:sz="0" w:space="0" w:color="auto"/>
                                          </w:divBdr>
                                          <w:divsChild>
                                            <w:div w:id="1873835679">
                                              <w:marLeft w:val="0"/>
                                              <w:marRight w:val="0"/>
                                              <w:marTop w:val="0"/>
                                              <w:marBottom w:val="0"/>
                                              <w:divBdr>
                                                <w:top w:val="none" w:sz="0" w:space="0" w:color="auto"/>
                                                <w:left w:val="none" w:sz="0" w:space="0" w:color="auto"/>
                                                <w:bottom w:val="none" w:sz="0" w:space="0" w:color="auto"/>
                                                <w:right w:val="none" w:sz="0" w:space="0" w:color="auto"/>
                                              </w:divBdr>
                                              <w:divsChild>
                                                <w:div w:id="734082858">
                                                  <w:marLeft w:val="0"/>
                                                  <w:marRight w:val="0"/>
                                                  <w:marTop w:val="0"/>
                                                  <w:marBottom w:val="0"/>
                                                  <w:divBdr>
                                                    <w:top w:val="none" w:sz="0" w:space="0" w:color="auto"/>
                                                    <w:left w:val="none" w:sz="0" w:space="0" w:color="auto"/>
                                                    <w:bottom w:val="none" w:sz="0" w:space="0" w:color="auto"/>
                                                    <w:right w:val="none" w:sz="0" w:space="0" w:color="auto"/>
                                                  </w:divBdr>
                                                  <w:divsChild>
                                                    <w:div w:id="1180774364">
                                                      <w:marLeft w:val="0"/>
                                                      <w:marRight w:val="0"/>
                                                      <w:marTop w:val="0"/>
                                                      <w:marBottom w:val="0"/>
                                                      <w:divBdr>
                                                        <w:top w:val="none" w:sz="0" w:space="0" w:color="auto"/>
                                                        <w:left w:val="none" w:sz="0" w:space="0" w:color="auto"/>
                                                        <w:bottom w:val="none" w:sz="0" w:space="0" w:color="auto"/>
                                                        <w:right w:val="none" w:sz="0" w:space="0" w:color="auto"/>
                                                      </w:divBdr>
                                                      <w:divsChild>
                                                        <w:div w:id="174679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5923524">
      <w:bodyDiv w:val="1"/>
      <w:marLeft w:val="0"/>
      <w:marRight w:val="0"/>
      <w:marTop w:val="0"/>
      <w:marBottom w:val="0"/>
      <w:divBdr>
        <w:top w:val="none" w:sz="0" w:space="0" w:color="auto"/>
        <w:left w:val="none" w:sz="0" w:space="0" w:color="auto"/>
        <w:bottom w:val="none" w:sz="0" w:space="0" w:color="auto"/>
        <w:right w:val="none" w:sz="0" w:space="0" w:color="auto"/>
      </w:divBdr>
    </w:div>
    <w:div w:id="1573004257">
      <w:bodyDiv w:val="1"/>
      <w:marLeft w:val="0"/>
      <w:marRight w:val="0"/>
      <w:marTop w:val="0"/>
      <w:marBottom w:val="0"/>
      <w:divBdr>
        <w:top w:val="none" w:sz="0" w:space="0" w:color="auto"/>
        <w:left w:val="none" w:sz="0" w:space="0" w:color="auto"/>
        <w:bottom w:val="none" w:sz="0" w:space="0" w:color="auto"/>
        <w:right w:val="none" w:sz="0" w:space="0" w:color="auto"/>
      </w:divBdr>
      <w:divsChild>
        <w:div w:id="687754932">
          <w:marLeft w:val="0"/>
          <w:marRight w:val="0"/>
          <w:marTop w:val="0"/>
          <w:marBottom w:val="0"/>
          <w:divBdr>
            <w:top w:val="none" w:sz="0" w:space="0" w:color="auto"/>
            <w:left w:val="none" w:sz="0" w:space="0" w:color="auto"/>
            <w:bottom w:val="none" w:sz="0" w:space="0" w:color="auto"/>
            <w:right w:val="none" w:sz="0" w:space="0" w:color="auto"/>
          </w:divBdr>
          <w:divsChild>
            <w:div w:id="853302666">
              <w:marLeft w:val="0"/>
              <w:marRight w:val="0"/>
              <w:marTop w:val="0"/>
              <w:marBottom w:val="0"/>
              <w:divBdr>
                <w:top w:val="none" w:sz="0" w:space="0" w:color="auto"/>
                <w:left w:val="none" w:sz="0" w:space="0" w:color="auto"/>
                <w:bottom w:val="none" w:sz="0" w:space="0" w:color="auto"/>
                <w:right w:val="none" w:sz="0" w:space="0" w:color="auto"/>
              </w:divBdr>
              <w:divsChild>
                <w:div w:id="831410570">
                  <w:marLeft w:val="0"/>
                  <w:marRight w:val="0"/>
                  <w:marTop w:val="0"/>
                  <w:marBottom w:val="0"/>
                  <w:divBdr>
                    <w:top w:val="none" w:sz="0" w:space="0" w:color="auto"/>
                    <w:left w:val="none" w:sz="0" w:space="0" w:color="auto"/>
                    <w:bottom w:val="none" w:sz="0" w:space="0" w:color="auto"/>
                    <w:right w:val="none" w:sz="0" w:space="0" w:color="auto"/>
                  </w:divBdr>
                  <w:divsChild>
                    <w:div w:id="1902213150">
                      <w:marLeft w:val="0"/>
                      <w:marRight w:val="0"/>
                      <w:marTop w:val="0"/>
                      <w:marBottom w:val="0"/>
                      <w:divBdr>
                        <w:top w:val="none" w:sz="0" w:space="0" w:color="auto"/>
                        <w:left w:val="none" w:sz="0" w:space="0" w:color="auto"/>
                        <w:bottom w:val="none" w:sz="0" w:space="0" w:color="auto"/>
                        <w:right w:val="none" w:sz="0" w:space="0" w:color="auto"/>
                      </w:divBdr>
                      <w:divsChild>
                        <w:div w:id="1374842213">
                          <w:marLeft w:val="0"/>
                          <w:marRight w:val="0"/>
                          <w:marTop w:val="0"/>
                          <w:marBottom w:val="0"/>
                          <w:divBdr>
                            <w:top w:val="none" w:sz="0" w:space="0" w:color="auto"/>
                            <w:left w:val="none" w:sz="0" w:space="0" w:color="auto"/>
                            <w:bottom w:val="none" w:sz="0" w:space="0" w:color="auto"/>
                            <w:right w:val="none" w:sz="0" w:space="0" w:color="auto"/>
                          </w:divBdr>
                          <w:divsChild>
                            <w:div w:id="737636365">
                              <w:marLeft w:val="0"/>
                              <w:marRight w:val="0"/>
                              <w:marTop w:val="0"/>
                              <w:marBottom w:val="0"/>
                              <w:divBdr>
                                <w:top w:val="none" w:sz="0" w:space="0" w:color="auto"/>
                                <w:left w:val="none" w:sz="0" w:space="0" w:color="auto"/>
                                <w:bottom w:val="none" w:sz="0" w:space="0" w:color="auto"/>
                                <w:right w:val="none" w:sz="0" w:space="0" w:color="auto"/>
                              </w:divBdr>
                              <w:divsChild>
                                <w:div w:id="1675915773">
                                  <w:marLeft w:val="0"/>
                                  <w:marRight w:val="0"/>
                                  <w:marTop w:val="0"/>
                                  <w:marBottom w:val="0"/>
                                  <w:divBdr>
                                    <w:top w:val="none" w:sz="0" w:space="0" w:color="auto"/>
                                    <w:left w:val="none" w:sz="0" w:space="0" w:color="auto"/>
                                    <w:bottom w:val="none" w:sz="0" w:space="0" w:color="auto"/>
                                    <w:right w:val="none" w:sz="0" w:space="0" w:color="auto"/>
                                  </w:divBdr>
                                  <w:divsChild>
                                    <w:div w:id="419064975">
                                      <w:marLeft w:val="0"/>
                                      <w:marRight w:val="0"/>
                                      <w:marTop w:val="0"/>
                                      <w:marBottom w:val="0"/>
                                      <w:divBdr>
                                        <w:top w:val="none" w:sz="0" w:space="0" w:color="auto"/>
                                        <w:left w:val="none" w:sz="0" w:space="0" w:color="auto"/>
                                        <w:bottom w:val="none" w:sz="0" w:space="0" w:color="auto"/>
                                        <w:right w:val="none" w:sz="0" w:space="0" w:color="auto"/>
                                      </w:divBdr>
                                      <w:divsChild>
                                        <w:div w:id="810560192">
                                          <w:marLeft w:val="0"/>
                                          <w:marRight w:val="0"/>
                                          <w:marTop w:val="0"/>
                                          <w:marBottom w:val="0"/>
                                          <w:divBdr>
                                            <w:top w:val="none" w:sz="0" w:space="0" w:color="auto"/>
                                            <w:left w:val="none" w:sz="0" w:space="0" w:color="auto"/>
                                            <w:bottom w:val="none" w:sz="0" w:space="0" w:color="auto"/>
                                            <w:right w:val="none" w:sz="0" w:space="0" w:color="auto"/>
                                          </w:divBdr>
                                          <w:divsChild>
                                            <w:div w:id="361054517">
                                              <w:marLeft w:val="0"/>
                                              <w:marRight w:val="0"/>
                                              <w:marTop w:val="0"/>
                                              <w:marBottom w:val="0"/>
                                              <w:divBdr>
                                                <w:top w:val="none" w:sz="0" w:space="0" w:color="auto"/>
                                                <w:left w:val="none" w:sz="0" w:space="0" w:color="auto"/>
                                                <w:bottom w:val="none" w:sz="0" w:space="0" w:color="auto"/>
                                                <w:right w:val="none" w:sz="0" w:space="0" w:color="auto"/>
                                              </w:divBdr>
                                              <w:divsChild>
                                                <w:div w:id="640118936">
                                                  <w:marLeft w:val="0"/>
                                                  <w:marRight w:val="0"/>
                                                  <w:marTop w:val="0"/>
                                                  <w:marBottom w:val="0"/>
                                                  <w:divBdr>
                                                    <w:top w:val="none" w:sz="0" w:space="0" w:color="auto"/>
                                                    <w:left w:val="none" w:sz="0" w:space="0" w:color="auto"/>
                                                    <w:bottom w:val="none" w:sz="0" w:space="0" w:color="auto"/>
                                                    <w:right w:val="none" w:sz="0" w:space="0" w:color="auto"/>
                                                  </w:divBdr>
                                                  <w:divsChild>
                                                    <w:div w:id="49034982">
                                                      <w:marLeft w:val="0"/>
                                                      <w:marRight w:val="0"/>
                                                      <w:marTop w:val="0"/>
                                                      <w:marBottom w:val="0"/>
                                                      <w:divBdr>
                                                        <w:top w:val="none" w:sz="0" w:space="0" w:color="auto"/>
                                                        <w:left w:val="none" w:sz="0" w:space="0" w:color="auto"/>
                                                        <w:bottom w:val="none" w:sz="0" w:space="0" w:color="auto"/>
                                                        <w:right w:val="none" w:sz="0" w:space="0" w:color="auto"/>
                                                      </w:divBdr>
                                                      <w:divsChild>
                                                        <w:div w:id="190803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5313019">
      <w:bodyDiv w:val="1"/>
      <w:marLeft w:val="0"/>
      <w:marRight w:val="0"/>
      <w:marTop w:val="0"/>
      <w:marBottom w:val="0"/>
      <w:divBdr>
        <w:top w:val="none" w:sz="0" w:space="0" w:color="auto"/>
        <w:left w:val="none" w:sz="0" w:space="0" w:color="auto"/>
        <w:bottom w:val="none" w:sz="0" w:space="0" w:color="auto"/>
        <w:right w:val="none" w:sz="0" w:space="0" w:color="auto"/>
      </w:divBdr>
    </w:div>
    <w:div w:id="1678117981">
      <w:bodyDiv w:val="1"/>
      <w:marLeft w:val="0"/>
      <w:marRight w:val="0"/>
      <w:marTop w:val="0"/>
      <w:marBottom w:val="0"/>
      <w:divBdr>
        <w:top w:val="none" w:sz="0" w:space="0" w:color="auto"/>
        <w:left w:val="none" w:sz="0" w:space="0" w:color="auto"/>
        <w:bottom w:val="none" w:sz="0" w:space="0" w:color="auto"/>
        <w:right w:val="none" w:sz="0" w:space="0" w:color="auto"/>
      </w:divBdr>
    </w:div>
    <w:div w:id="1698307334">
      <w:bodyDiv w:val="1"/>
      <w:marLeft w:val="0"/>
      <w:marRight w:val="0"/>
      <w:marTop w:val="0"/>
      <w:marBottom w:val="0"/>
      <w:divBdr>
        <w:top w:val="none" w:sz="0" w:space="0" w:color="auto"/>
        <w:left w:val="none" w:sz="0" w:space="0" w:color="auto"/>
        <w:bottom w:val="none" w:sz="0" w:space="0" w:color="auto"/>
        <w:right w:val="none" w:sz="0" w:space="0" w:color="auto"/>
      </w:divBdr>
    </w:div>
    <w:div w:id="1705640361">
      <w:bodyDiv w:val="1"/>
      <w:marLeft w:val="0"/>
      <w:marRight w:val="0"/>
      <w:marTop w:val="0"/>
      <w:marBottom w:val="0"/>
      <w:divBdr>
        <w:top w:val="none" w:sz="0" w:space="0" w:color="auto"/>
        <w:left w:val="none" w:sz="0" w:space="0" w:color="auto"/>
        <w:bottom w:val="none" w:sz="0" w:space="0" w:color="auto"/>
        <w:right w:val="none" w:sz="0" w:space="0" w:color="auto"/>
      </w:divBdr>
    </w:div>
    <w:div w:id="1711759099">
      <w:bodyDiv w:val="1"/>
      <w:marLeft w:val="0"/>
      <w:marRight w:val="0"/>
      <w:marTop w:val="0"/>
      <w:marBottom w:val="0"/>
      <w:divBdr>
        <w:top w:val="none" w:sz="0" w:space="0" w:color="auto"/>
        <w:left w:val="none" w:sz="0" w:space="0" w:color="auto"/>
        <w:bottom w:val="none" w:sz="0" w:space="0" w:color="auto"/>
        <w:right w:val="none" w:sz="0" w:space="0" w:color="auto"/>
      </w:divBdr>
    </w:div>
    <w:div w:id="1836846388">
      <w:bodyDiv w:val="1"/>
      <w:marLeft w:val="0"/>
      <w:marRight w:val="0"/>
      <w:marTop w:val="0"/>
      <w:marBottom w:val="0"/>
      <w:divBdr>
        <w:top w:val="none" w:sz="0" w:space="0" w:color="auto"/>
        <w:left w:val="none" w:sz="0" w:space="0" w:color="auto"/>
        <w:bottom w:val="none" w:sz="0" w:space="0" w:color="auto"/>
        <w:right w:val="none" w:sz="0" w:space="0" w:color="auto"/>
      </w:divBdr>
    </w:div>
    <w:div w:id="1923683685">
      <w:bodyDiv w:val="1"/>
      <w:marLeft w:val="0"/>
      <w:marRight w:val="0"/>
      <w:marTop w:val="0"/>
      <w:marBottom w:val="0"/>
      <w:divBdr>
        <w:top w:val="none" w:sz="0" w:space="0" w:color="auto"/>
        <w:left w:val="none" w:sz="0" w:space="0" w:color="auto"/>
        <w:bottom w:val="none" w:sz="0" w:space="0" w:color="auto"/>
        <w:right w:val="none" w:sz="0" w:space="0" w:color="auto"/>
      </w:divBdr>
    </w:div>
    <w:div w:id="192873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file:///S:\Final%20products\Submissions\Submissions%202017\ICCPR%20Submission\17.09.15%20ICCPR%20Submission%20Final.docx" TargetMode="Externa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humanrights.gov.au" TargetMode="External"/></Relationships>
</file>

<file path=word/_rels/endnotes.xml.rels><?xml version="1.0" encoding="UTF-8" standalone="yes"?>
<Relationships xmlns="http://schemas.openxmlformats.org/package/2006/relationships"><Relationship Id="rId117" Type="http://schemas.openxmlformats.org/officeDocument/2006/relationships/hyperlink" Target="https://www.humanrights.gov.au/our-work/asylum-seekers-and-refugees/publications/health-and-well-being-children-immigration" TargetMode="External"/><Relationship Id="rId21" Type="http://schemas.openxmlformats.org/officeDocument/2006/relationships/hyperlink" Target="https://www.mhdcd.unsw.edu.au/a-predictable-and-preventable-path-iamhdcd-report.html" TargetMode="External"/><Relationship Id="rId42" Type="http://schemas.openxmlformats.org/officeDocument/2006/relationships/hyperlink" Target="http://closingthegap.pmc.gov.au/sites/default/files/ctg-report-2017.pdf" TargetMode="External"/><Relationship Id="rId63" Type="http://schemas.openxmlformats.org/officeDocument/2006/relationships/hyperlink" Target="https://www.humanrights.gov.au/our-work/disability-rights/publications/willing-work-national-inquiryemployment-discrimination" TargetMode="External"/><Relationship Id="rId84" Type="http://schemas.openxmlformats.org/officeDocument/2006/relationships/hyperlink" Target="https://www.pwd.org.au/documents/temp/FS_Violence_WWD's.pdf" TargetMode="External"/><Relationship Id="rId138" Type="http://schemas.openxmlformats.org/officeDocument/2006/relationships/hyperlink" Target="https://www.humanrights.gov.au/publications/aushrc-47-mr-heyward-v-commonwealth-australia-department-immigration-and-citizenship" TargetMode="External"/><Relationship Id="rId159" Type="http://schemas.openxmlformats.org/officeDocument/2006/relationships/hyperlink" Target="https://www.ombudsman.vic.gov.au/getattachment/6a579e49-212e-42b0-9d3c-791e2d60e102//reports-publications/parliamentary-reports/investigation-into-children-transferred-from-the-y.aspx" TargetMode="External"/><Relationship Id="rId170" Type="http://schemas.openxmlformats.org/officeDocument/2006/relationships/hyperlink" Target="http://www.jwire.com.au/broken-hill/" TargetMode="External"/><Relationship Id="rId191" Type="http://schemas.openxmlformats.org/officeDocument/2006/relationships/hyperlink" Target="http://scanlonfoundation.org.au/wp-content/uploads/2016/08/Australians-Today.pdf" TargetMode="External"/><Relationship Id="rId205" Type="http://schemas.openxmlformats.org/officeDocument/2006/relationships/hyperlink" Target="https://www.humanrights.gov.au/submissions/australia-s-second-universal-periodic-review" TargetMode="External"/><Relationship Id="rId226" Type="http://schemas.openxmlformats.org/officeDocument/2006/relationships/hyperlink" Target="http://www.aph.gov.au/DocumentStore.ashx?id=dedb38e1-e23a-44fb-99be-9f4bea82f9ba&amp;subId=409138" TargetMode="External"/><Relationship Id="rId107" Type="http://schemas.openxmlformats.org/officeDocument/2006/relationships/hyperlink" Target="http://www.refworld.org/docid/51f61ed54.html" TargetMode="External"/><Relationship Id="rId11" Type="http://schemas.openxmlformats.org/officeDocument/2006/relationships/hyperlink" Target="http://www6.austlii.edu.au/cgi-bin/viewdb/au/legis/act/consol_act/hra2004148/" TargetMode="External"/><Relationship Id="rId32" Type="http://schemas.openxmlformats.org/officeDocument/2006/relationships/hyperlink" Target="https://www.humanrights.gov.au/our-work/aboriginal-and-torres-strait-islander-social-justice/publications/social-justice-and-nati-0" TargetMode="External"/><Relationship Id="rId53" Type="http://schemas.openxmlformats.org/officeDocument/2006/relationships/hyperlink" Target="https://www.alrc.gov.au/sites/default/files/pdfs/publications/elder_abuse_131_final_report_31_may_2017.pdf" TargetMode="External"/><Relationship Id="rId74" Type="http://schemas.openxmlformats.org/officeDocument/2006/relationships/hyperlink" Target="https://www.alrc.gov.au/publications/equality-capacity-disability-report-124" TargetMode="External"/><Relationship Id="rId128" Type="http://schemas.openxmlformats.org/officeDocument/2006/relationships/hyperlink" Target="http://www.border.gov.au/about/reports-publications/research-statistics/statistics/live-in-australia/immigration-detention" TargetMode="External"/><Relationship Id="rId149" Type="http://schemas.openxmlformats.org/officeDocument/2006/relationships/hyperlink" Target="https://www.humanrights.gov.au/our-work/childrens-rights/publications/childrens-rights-report-2015" TargetMode="External"/><Relationship Id="rId5" Type="http://schemas.openxmlformats.org/officeDocument/2006/relationships/hyperlink" Target="https://www.legislation.gov.au/Details/C2011A00186" TargetMode="External"/><Relationship Id="rId95" Type="http://schemas.openxmlformats.org/officeDocument/2006/relationships/hyperlink" Target="https://www.coag.gov.au/meeting-outcomes/coag-meeting-communiqu%C3%A9-17-april-2015" TargetMode="External"/><Relationship Id="rId160" Type="http://schemas.openxmlformats.org/officeDocument/2006/relationships/hyperlink" Target="https://www.humanrights.gov.au/publications/childrens-rights-report-2013" TargetMode="External"/><Relationship Id="rId181" Type="http://schemas.openxmlformats.org/officeDocument/2006/relationships/hyperlink" Target="http://static1.squarespace.com/static/580025f66b8f5b2dabbe4291/5812996f1dd4540186f54894/581299ee1dd4540186f55760/1477614062728/HRLC_Report_SafeguardingDemocracy_online.pdf?format=original" TargetMode="External"/><Relationship Id="rId216" Type="http://schemas.openxmlformats.org/officeDocument/2006/relationships/hyperlink" Target="https://www.humanrights.gov.au/submissions/submission-inquiry-national-security-legislation-amendment-bill-no-1-2014" TargetMode="External"/><Relationship Id="rId22" Type="http://schemas.openxmlformats.org/officeDocument/2006/relationships/hyperlink" Target="http://www.aihw.gov.au/publication-detail/?id=60129557387&amp;tab=2" TargetMode="External"/><Relationship Id="rId27" Type="http://schemas.openxmlformats.org/officeDocument/2006/relationships/hyperlink" Target="http://www.pwd.org.au/about-us/about-pwda.html" TargetMode="External"/><Relationship Id="rId43" Type="http://schemas.openxmlformats.org/officeDocument/2006/relationships/hyperlink" Target="https://www.dss.gov.au/women/programs-services/reducing-violence/the-national-plan-to-reduce-violence-against-women-and-their-children-2010-2022" TargetMode="External"/><Relationship Id="rId48" Type="http://schemas.openxmlformats.org/officeDocument/2006/relationships/hyperlink" Target="https://www.referendumcouncil.org.au/sites/default/files/2017-05/Uluru_Statement_From_The_Heart_0.PDF" TargetMode="External"/><Relationship Id="rId64" Type="http://schemas.openxmlformats.org/officeDocument/2006/relationships/hyperlink" Target="http://www.abs.gov.au/ausstats/abs@.nsf/mf/4430.0.10.001" TargetMode="External"/><Relationship Id="rId69" Type="http://schemas.openxmlformats.org/officeDocument/2006/relationships/hyperlink" Target="http://www.aph.gov.au/Parliamentary_Business/Committees/Senate/Community_Affairs/Violence_abuse_neglect" TargetMode="External"/><Relationship Id="rId113" Type="http://schemas.openxmlformats.org/officeDocument/2006/relationships/hyperlink" Target="https://www.border.gov.au/ReportsandPublications/Documents/reviews-and-inquiries/review-conditions-circumstances-nauru.pdf" TargetMode="External"/><Relationship Id="rId118" Type="http://schemas.openxmlformats.org/officeDocument/2006/relationships/hyperlink" Target="https://www.border.gov.au/ReportsandPublications/Documents/reviews-and-inquiries/review-robert-cornall.pdf" TargetMode="External"/><Relationship Id="rId134" Type="http://schemas.openxmlformats.org/officeDocument/2006/relationships/hyperlink" Target="http://www.border.gov.au/about/reports-publications/research-statistics/statistics/live-in-australia/immigration-detention" TargetMode="External"/><Relationship Id="rId139" Type="http://schemas.openxmlformats.org/officeDocument/2006/relationships/hyperlink" Target="https://www.humanrights.gov.au/publications/aushrc-51-brown-v-commonwealth-australia-department-immigration-citizenship" TargetMode="External"/><Relationship Id="rId80" Type="http://schemas.openxmlformats.org/officeDocument/2006/relationships/hyperlink" Target="http://www.stvp.org.au/Resource-Compendium.html" TargetMode="External"/><Relationship Id="rId85" Type="http://schemas.openxmlformats.org/officeDocument/2006/relationships/hyperlink" Target="https://www.humanrights.gov.au/our-work/sexual-orientation-sex-gender-identity/publications/resilient-individuals-sexual" TargetMode="External"/><Relationship Id="rId150" Type="http://schemas.openxmlformats.org/officeDocument/2006/relationships/hyperlink" Target="https://www.humanrights.gov.au/our-work/childrens-rights/publications/childrens-rights-report-2015" TargetMode="External"/><Relationship Id="rId155" Type="http://schemas.openxmlformats.org/officeDocument/2006/relationships/hyperlink" Target="https://www.humanrights.gov.au/our-work/childrens-rights/publications/childrens-rights-report-2014" TargetMode="External"/><Relationship Id="rId171" Type="http://schemas.openxmlformats.org/officeDocument/2006/relationships/hyperlink" Target="http://www.abc.net.au/news/2014-06-21/swastikas-graffitied-on-side-of-ukranian-church-in-sydney/5540968" TargetMode="External"/><Relationship Id="rId176" Type="http://schemas.openxmlformats.org/officeDocument/2006/relationships/hyperlink" Target="http://www.theage.com.au/victoria/go-back-to-israel-racial-attack-outside-melbourne-synagogue-posted-online-20151126-gl9gw5.html" TargetMode="External"/><Relationship Id="rId192" Type="http://schemas.openxmlformats.org/officeDocument/2006/relationships/hyperlink" Target="https://www.fya.org.au/app/theme/default/design/assets/publications/Impact_of_Racism_FYA_report.pdf" TargetMode="External"/><Relationship Id="rId197" Type="http://schemas.openxmlformats.org/officeDocument/2006/relationships/hyperlink" Target="http://www.inslm.gov.au/reviews-reports" TargetMode="External"/><Relationship Id="rId206" Type="http://schemas.openxmlformats.org/officeDocument/2006/relationships/hyperlink" Target="http://www.humanrights.gov.au/submission-anti-terrorism-bill-no-2-2005" TargetMode="External"/><Relationship Id="rId227" Type="http://schemas.openxmlformats.org/officeDocument/2006/relationships/hyperlink" Target="http://www.aph.gov.au/Parliamentary_Business/Committees/House/Social_Policy_and_Legal_Affairs/Inquiry_into_surrogacy/Report" TargetMode="External"/><Relationship Id="rId201" Type="http://schemas.openxmlformats.org/officeDocument/2006/relationships/hyperlink" Target="https://www.ag.gov.au/Consultations/Pages/COAGReviewofCounter-TerrorismLegislation.aspx" TargetMode="External"/><Relationship Id="rId222" Type="http://schemas.openxmlformats.org/officeDocument/2006/relationships/hyperlink" Target="http://www.ohchr.org/EN/Issues/Trafficking/Pages/Visits.aspx" TargetMode="External"/><Relationship Id="rId12" Type="http://schemas.openxmlformats.org/officeDocument/2006/relationships/hyperlink" Target="http://www.parliament.qld.gov.au/docs/find.aspx?id=5516T405" TargetMode="External"/><Relationship Id="rId17" Type="http://schemas.openxmlformats.org/officeDocument/2006/relationships/hyperlink" Target="http://www.pc.gov.au/research/recurring/overcoming-indigenous-disadvantage/key-indicators-2014" TargetMode="External"/><Relationship Id="rId33" Type="http://schemas.openxmlformats.org/officeDocument/2006/relationships/hyperlink" Target="http://www.ohchr.org/EN/NewsEvents/Pages/DisplayNews.aspx?NewsID=21473&amp;LangID=E" TargetMode="External"/><Relationship Id="rId38" Type="http://schemas.openxmlformats.org/officeDocument/2006/relationships/hyperlink" Target="https://www.humanrights.gov.au/our-work/aboriginal-and-torres-strait-islander-social-justice/projects/indigenous-property-rights" TargetMode="External"/><Relationship Id="rId59" Type="http://schemas.openxmlformats.org/officeDocument/2006/relationships/hyperlink" Target="https://www.liberal.org.au/latest-news/2016/06/26/improving-digital-confidence-and-skills-senior-australians" TargetMode="External"/><Relationship Id="rId103" Type="http://schemas.openxmlformats.org/officeDocument/2006/relationships/hyperlink" Target="https://www.humanrights.gov.au/sites/default/files/document/publication/AHRC_2017_ChangeTheCourse_UniversityReport.pdf" TargetMode="External"/><Relationship Id="rId108" Type="http://schemas.openxmlformats.org/officeDocument/2006/relationships/hyperlink" Target="http://www.aph.gov.au/Parliamentary_Business/Committees/Joint/Human_Rights/Committee_Inquiries/migration/index" TargetMode="External"/><Relationship Id="rId124" Type="http://schemas.openxmlformats.org/officeDocument/2006/relationships/hyperlink" Target="http://www.unhcr.org/en-au/publications/legal/58117aff7/unhcr-monitoring-visit-to-manus-island-papua-new-guinea-23-to-25-october.html" TargetMode="External"/><Relationship Id="rId129" Type="http://schemas.openxmlformats.org/officeDocument/2006/relationships/hyperlink" Target="http://parlinfo.aph.gov.au/parlInfo/download/media/pressrel/3165273/upload_binary/3165273.pdf" TargetMode="External"/><Relationship Id="rId54" Type="http://schemas.openxmlformats.org/officeDocument/2006/relationships/hyperlink" Target="https://aifs.gov.au/publications/elder-abuse/2-whatelder-abuse" TargetMode="External"/><Relationship Id="rId70" Type="http://schemas.openxmlformats.org/officeDocument/2006/relationships/hyperlink" Target="http://www.humanrights.gov.au/our-work/disability-rights/projects/shaping-our-future-discussions-disability-rights" TargetMode="External"/><Relationship Id="rId75" Type="http://schemas.openxmlformats.org/officeDocument/2006/relationships/hyperlink" Target="http://www.humanrights.gov.au/our-work/disability-rights/projects/shaping-our-future-discussions-disability-rights" TargetMode="External"/><Relationship Id="rId91" Type="http://schemas.openxmlformats.org/officeDocument/2006/relationships/hyperlink" Target="http://www.humanrights.gov.au/lesbian-gay-bisexual-trans-and-intersex-equality-0" TargetMode="External"/><Relationship Id="rId96" Type="http://schemas.openxmlformats.org/officeDocument/2006/relationships/hyperlink" Target="http://www.malcolmturnbull.com.au/media/release-womens-safety-package-to-stoptheviolence" TargetMode="External"/><Relationship Id="rId140" Type="http://schemas.openxmlformats.org/officeDocument/2006/relationships/hyperlink" Target="https://www.humanrights.gov.au/our-work/asylum-seekers-and-refugees/publications/background-paper-human-rights-issues-raised-visa" TargetMode="External"/><Relationship Id="rId145" Type="http://schemas.openxmlformats.org/officeDocument/2006/relationships/hyperlink" Target="http://www.budget.gov.au/2016-17/content/bp2/html/bp2_expense-21.htm" TargetMode="External"/><Relationship Id="rId161" Type="http://schemas.openxmlformats.org/officeDocument/2006/relationships/hyperlink" Target="https://www.humanrights.gov.au/sites/default/files/document/publication/AHRC_CRR_2016.pdf" TargetMode="External"/><Relationship Id="rId166" Type="http://schemas.openxmlformats.org/officeDocument/2006/relationships/hyperlink" Target="https://www.humanrights.gov.au/our-work/race-discrimination/publications/freedom-discrimination-report-40th-anniversary-racial" TargetMode="External"/><Relationship Id="rId182" Type="http://schemas.openxmlformats.org/officeDocument/2006/relationships/hyperlink" Target="https://www.ag.gov.au/LegalSystem/Legalaidprogrammes/Documents/NationalPartnershipAgreementOnLegalServices.pdf" TargetMode="External"/><Relationship Id="rId187" Type="http://schemas.openxmlformats.org/officeDocument/2006/relationships/hyperlink" Target="http://www.aph.gov.au/Parliamentary_Business/Committees/Joint/Human_Rights_inquiries/FreedomspeechAustralia/Report" TargetMode="External"/><Relationship Id="rId217" Type="http://schemas.openxmlformats.org/officeDocument/2006/relationships/hyperlink" Target="https://www.humanrights.gov.au/submissions/inquiry-counter-terrorism-legislation-amendment-foreign-fighters-bill-2014" TargetMode="External"/><Relationship Id="rId1" Type="http://schemas.openxmlformats.org/officeDocument/2006/relationships/hyperlink" Target="http://tbinternet.ohchr.org/_layouts/treatybodyexternal/Download.aspx?symbolno=CCPR%2fC%2f3%2fREV.10&amp;Lang=en" TargetMode="External"/><Relationship Id="rId6" Type="http://schemas.openxmlformats.org/officeDocument/2006/relationships/hyperlink" Target="http://www.austlii.edu.au/au/journals/MonashULawRw/2015/17.html" TargetMode="External"/><Relationship Id="rId212" Type="http://schemas.openxmlformats.org/officeDocument/2006/relationships/hyperlink" Target="http://juris.ohchr.org/Search/Details/1576" TargetMode="External"/><Relationship Id="rId233" Type="http://schemas.openxmlformats.org/officeDocument/2006/relationships/hyperlink" Target="http://parlinfo.aph.gov.au/parlInfo/download/committees/reportjnt/024068/toc_pdf/BuyingintoourFuture.pdf;fileType=application%2Fpdf" TargetMode="External"/><Relationship Id="rId23" Type="http://schemas.openxmlformats.org/officeDocument/2006/relationships/hyperlink" Target="http://www.ohchr.org/EN/NewsEvents/Pages/DisplayNews.aspx?NewsID=21473&amp;LangID=E" TargetMode="External"/><Relationship Id="rId28" Type="http://schemas.openxmlformats.org/officeDocument/2006/relationships/hyperlink" Target="http://www.humanrights.gov.au/sites/default/files/document/publication/AHRC_SJNTR_2016.pdf" TargetMode="External"/><Relationship Id="rId49" Type="http://schemas.openxmlformats.org/officeDocument/2006/relationships/hyperlink" Target="http://www.ohchr.org/EN/NewsEvents/Pages/DisplayNews.aspx?NewsID=21473&amp;LangID=E" TargetMode="External"/><Relationship Id="rId114" Type="http://schemas.openxmlformats.org/officeDocument/2006/relationships/hyperlink" Target="http://www.ohchr.org/EN/HRBodies/HRC/RegularSessions/Session28/Documents/A_HRC_28_68_Add.1_en.doc" TargetMode="External"/><Relationship Id="rId119" Type="http://schemas.openxmlformats.org/officeDocument/2006/relationships/hyperlink" Target="https://www.border.gov.au/ReportsandPublications/Documents/reviews-and-inquiries/review-conditions-circumstances-nauru.pdf" TargetMode="External"/><Relationship Id="rId44" Type="http://schemas.openxmlformats.org/officeDocument/2006/relationships/hyperlink" Target="http://closingthegap.pmc.gov.au/sites/default/files/ctg-report-2017.pdf" TargetMode="External"/><Relationship Id="rId60" Type="http://schemas.openxmlformats.org/officeDocument/2006/relationships/hyperlink" Target="https://www.esafety.gov.au/about-the-office" TargetMode="External"/><Relationship Id="rId65" Type="http://schemas.openxmlformats.org/officeDocument/2006/relationships/hyperlink" Target="https://www.humanrights.gov.au/our-work/disability-rights/publications/equal-law" TargetMode="External"/><Relationship Id="rId81" Type="http://schemas.openxmlformats.org/officeDocument/2006/relationships/hyperlink" Target="https://www.pwd.org.au/%20documents/temp/FS_Violence_WWD's.pdf" TargetMode="External"/><Relationship Id="rId86" Type="http://schemas.openxmlformats.org/officeDocument/2006/relationships/hyperlink" Target="https://www.humanrights.gov.au/our-work/sexual-orientation-sex-gender-identity/publications/resilient-individuals-sexual" TargetMode="External"/><Relationship Id="rId130" Type="http://schemas.openxmlformats.org/officeDocument/2006/relationships/hyperlink" Target="http://parlinfo.aph.gov.au/parlInfo/search/display/display.w3p;query=Id%3A%22media%2Fpressrel%2F3575101%22" TargetMode="External"/><Relationship Id="rId135" Type="http://schemas.openxmlformats.org/officeDocument/2006/relationships/hyperlink" Target="https://www.humanrights.gov.au/publications/report-no-43-mr-nk-v-commonwealth-australia-department-immigration-and-citizenship-2011" TargetMode="External"/><Relationship Id="rId151" Type="http://schemas.openxmlformats.org/officeDocument/2006/relationships/hyperlink" Target="https://www.humanrights.gov.au/our-work/childrens-rights/publications/childrens-rights-report-2015" TargetMode="External"/><Relationship Id="rId156" Type="http://schemas.openxmlformats.org/officeDocument/2006/relationships/hyperlink" Target="http://www.abs.gov.au/AUSSTATS/abs@.nsf/Lookup/3303.0Explanatory%20Notes12012?OpenDocument" TargetMode="External"/><Relationship Id="rId177" Type="http://schemas.openxmlformats.org/officeDocument/2006/relationships/hyperlink" Target="http://www.sbs.com.au/news/article/2016/03/03/sikh-teen-shaken-after-alleged-turban-attack-bus" TargetMode="External"/><Relationship Id="rId198" Type="http://schemas.openxmlformats.org/officeDocument/2006/relationships/hyperlink" Target="https://www.inslm.gov.au/reviews-reports/annual-reports" TargetMode="External"/><Relationship Id="rId172" Type="http://schemas.openxmlformats.org/officeDocument/2006/relationships/hyperlink" Target="http://www.centralwesterndaily.com.au/story/3509341/orange-church-attacked-by-vandals-police-investigating-arson-and-graffiti/" TargetMode="External"/><Relationship Id="rId193" Type="http://schemas.openxmlformats.org/officeDocument/2006/relationships/hyperlink" Target="http://www.smartjustice.org.au/cb_pages/files/Media%20Release%20-%20FKCLC%20%26%20ABL%20Feb%202013.pdf" TargetMode="External"/><Relationship Id="rId202" Type="http://schemas.openxmlformats.org/officeDocument/2006/relationships/hyperlink" Target="http://www.aph.gov.au/Parliamentary_Business/Committees/Joint/Intelligence_and_Security/AFPpowersreview" TargetMode="External"/><Relationship Id="rId207" Type="http://schemas.openxmlformats.org/officeDocument/2006/relationships/hyperlink" Target="https://www.humanrights.gov.au/human-rights-guide-australias-counter-terrorism-laws" TargetMode="External"/><Relationship Id="rId223" Type="http://schemas.openxmlformats.org/officeDocument/2006/relationships/hyperlink" Target="http://www.aph.gov.au/parliamentary_business/committees/house_of_representatives_committees?url=jfadt/slavery_people_trafficking/report.htm" TargetMode="External"/><Relationship Id="rId228" Type="http://schemas.openxmlformats.org/officeDocument/2006/relationships/hyperlink" Target="http://www.ohchr.org/EN/HRBodies/UPR/Pages/AUIndex.aspx" TargetMode="External"/><Relationship Id="rId13" Type="http://schemas.openxmlformats.org/officeDocument/2006/relationships/hyperlink" Target="http://www.themercury.com.au/news/politics/campaign-begins-to-put-a-human-rights-act-back-on-agenda/news-story/d70cf11696eed0de5c42cf2be381335f" TargetMode="External"/><Relationship Id="rId18" Type="http://schemas.openxmlformats.org/officeDocument/2006/relationships/hyperlink" Target="https://www.aihw.gov.au/getmedia/b85be60c-9fef-436d-85df-82d8e5c5f566/20705.pdf.aspx?inline=true" TargetMode="External"/><Relationship Id="rId39" Type="http://schemas.openxmlformats.org/officeDocument/2006/relationships/hyperlink" Target="https://www.humanrights.gov.au/australias-universal-periodic-review-human-rights" TargetMode="External"/><Relationship Id="rId109" Type="http://schemas.openxmlformats.org/officeDocument/2006/relationships/hyperlink" Target="http://www.unhcr.org/en-au/publications/legal/58117b931/unhcr-monitoring-visit-to-the-republic-of-nauru-7-to-9-october-2013.html" TargetMode="External"/><Relationship Id="rId34" Type="http://schemas.openxmlformats.org/officeDocument/2006/relationships/hyperlink" Target="https://www.dpmc.gov.au/sites/default/files/files/COAG_Investigation_into_Indigenous_Land_Administration_and_Use.pdf" TargetMode="External"/><Relationship Id="rId50" Type="http://schemas.openxmlformats.org/officeDocument/2006/relationships/hyperlink" Target="http://www.abs.gov.au/ausstats/abs@.nsf/Lookup/by%20Subject/4714.0~2014-15~Feature%20Article~Social%20and%20economic%20wellbeing%20of%20Aboriginal%20and%20Torres%20Strait%20Islander%20people%20with%20disability%20(Feature%20Article)~10000" TargetMode="External"/><Relationship Id="rId55" Type="http://schemas.openxmlformats.org/officeDocument/2006/relationships/hyperlink" Target="http://www.parliament.qld.gov.au/documents/tableOffice/TabledPapers/2015/5515T876.pdf" TargetMode="External"/><Relationship Id="rId76" Type="http://schemas.openxmlformats.org/officeDocument/2006/relationships/hyperlink" Target="http://www.humanrights.gov.au/our-work/sex-discrimination/publications/conversation-gender-equality-2017" TargetMode="External"/><Relationship Id="rId97" Type="http://schemas.openxmlformats.org/officeDocument/2006/relationships/hyperlink" Target="https://www.humanrights.gov.au/sites/default/files/document/publication/AHRC_2016_12_19_Expanding_DV_Death_Review.pdf" TargetMode="External"/><Relationship Id="rId104" Type="http://schemas.openxmlformats.org/officeDocument/2006/relationships/hyperlink" Target="http://www.defence.gov.au/PathwayToChange/Docs/120410%20Pathway%20to%20Change%20-%20Evolving%20Defence%20Culture%20-%20web%20version.pdf" TargetMode="External"/><Relationship Id="rId120" Type="http://schemas.openxmlformats.org/officeDocument/2006/relationships/hyperlink" Target="http://www.aph.gov.au/Parliamentary_Business/Committees/Senate/Regional_processing_Nauru/Regional_processing_Nauru/~/media/Committees/nauru_ctte/Final_Report/report.pdf" TargetMode="External"/><Relationship Id="rId125" Type="http://schemas.openxmlformats.org/officeDocument/2006/relationships/hyperlink" Target="https://www.humanrights.gov.au/our-work/asylum-seekers-and-refugees/publications/asylum-seekers-refugees-and-human-rights-snapsho-0" TargetMode="External"/><Relationship Id="rId141" Type="http://schemas.openxmlformats.org/officeDocument/2006/relationships/hyperlink" Target="https://www.humanrights.gov.au/sites/default/files/2014.10.28%20Submission%20-%20Final.pdf" TargetMode="External"/><Relationship Id="rId146" Type="http://schemas.openxmlformats.org/officeDocument/2006/relationships/hyperlink" Target="http://us1.campaign-archive1.com/?u=61efdfe9e3c03ed2d6188fdb1&amp;id=f87a7e7111&amp;e=f3a9e06879" TargetMode="External"/><Relationship Id="rId167" Type="http://schemas.openxmlformats.org/officeDocument/2006/relationships/hyperlink" Target="http://www.abc.net.au/news/2015-11-18/hate-message-taped-to-door-of-newcastle-mosque/6951428" TargetMode="External"/><Relationship Id="rId188" Type="http://schemas.openxmlformats.org/officeDocument/2006/relationships/hyperlink" Target="http://www.aph.gov.au/Parliamentary_Business/Committees/Senate/Legal_and_Constitutional_Affairs/LawofContempt" TargetMode="External"/><Relationship Id="rId7" Type="http://schemas.openxmlformats.org/officeDocument/2006/relationships/hyperlink" Target="http://www.austlii.edu.au/au/journals/MonashULawRw/2015/17.html" TargetMode="External"/><Relationship Id="rId71" Type="http://schemas.openxmlformats.org/officeDocument/2006/relationships/hyperlink" Target="https://www.acma.gov.au/-/media/Content-Projects-and-Policy/Information/pdf/ACMA-captioning-report_April2017-pdf.pdf?la=en" TargetMode="External"/><Relationship Id="rId92" Type="http://schemas.openxmlformats.org/officeDocument/2006/relationships/hyperlink" Target="http://www.financeminister.gov.au/media-release/2017/08/08/commitment-national-plebiscite-same-sex-marriage" TargetMode="External"/><Relationship Id="rId162" Type="http://schemas.openxmlformats.org/officeDocument/2006/relationships/hyperlink" Target="https://childdetentionnt.royalcommission.gov.au/about-us/Documents/RCNT-Interim-report.pdf" TargetMode="External"/><Relationship Id="rId183" Type="http://schemas.openxmlformats.org/officeDocument/2006/relationships/hyperlink" Target="https://static1.squarespace.com/static/580025f66b8f5b2dabbe4291/t/5936933d579fb38a23dc2eda/1496748893178/DefendingDemocracy_online_June2017.pdf" TargetMode="External"/><Relationship Id="rId213" Type="http://schemas.openxmlformats.org/officeDocument/2006/relationships/hyperlink" Target="https://www.inslm.gov.au/sites/default/files/submissions/11-australian-human-rights-commission.pdf" TargetMode="External"/><Relationship Id="rId218" Type="http://schemas.openxmlformats.org/officeDocument/2006/relationships/hyperlink" Target="http://www.aph.gov.au/Parliamentary_Business/Committees/Joint/Intelligence_and_Security/Amendment_Bill/Submissions" TargetMode="External"/><Relationship Id="rId234" Type="http://schemas.openxmlformats.org/officeDocument/2006/relationships/hyperlink" Target="http://parlinfo.aph.gov.au/parlInfo/download/committees/reportjnt/024092/toc_pdf/Modernslaveryandglobalsupplychains.pdf;fileType=application%2Fpdf" TargetMode="External"/><Relationship Id="rId2" Type="http://schemas.openxmlformats.org/officeDocument/2006/relationships/hyperlink" Target="https://www.alrc.gov.au/sites/default/files/pdfs/publications/alrc_129_final_report_.pdf" TargetMode="External"/><Relationship Id="rId29" Type="http://schemas.openxmlformats.org/officeDocument/2006/relationships/hyperlink" Target="https://www.alrc.gov.au/inquiries/indigenous-incarceration" TargetMode="External"/><Relationship Id="rId24" Type="http://schemas.openxmlformats.org/officeDocument/2006/relationships/hyperlink" Target="http://www.ohchr.org/EN/NewsEvents/Pages/DisplayNews.aspx?NewsID=21473&amp;LangID=E" TargetMode="External"/><Relationship Id="rId40" Type="http://schemas.openxmlformats.org/officeDocument/2006/relationships/hyperlink" Target="http://www.aph.gov.au/Parliamentary_Business/Committees/Senate/Community_Affairs/Violence_abuse_neglect" TargetMode="External"/><Relationship Id="rId45" Type="http://schemas.openxmlformats.org/officeDocument/2006/relationships/hyperlink" Target="https://static1.squarespace.com/static/580025f66b8f5b2dabbe4291/t/59378aa91e5b6cbaaa281d22/1496812234196/OverRepresented_online.pdf" TargetMode="External"/><Relationship Id="rId66" Type="http://schemas.openxmlformats.org/officeDocument/2006/relationships/hyperlink" Target="https://www.humanrights.gov.au/our-work/disability-rights/publications/equal-law" TargetMode="External"/><Relationship Id="rId87" Type="http://schemas.openxmlformats.org/officeDocument/2006/relationships/hyperlink" Target="http://tbinternet.ohchr.org/Treaties/CCPR/Shared%20Documents/AUS/CCPR_C_119_D_2172_2012_25976_E.pdf" TargetMode="External"/><Relationship Id="rId110" Type="http://schemas.openxmlformats.org/officeDocument/2006/relationships/hyperlink" Target="http://www.unhcr.org/en-au/publications/legal/58117aff7/unhcr-monitoring-visit-to-manus-island-papua-new-guinea-23-to-25-october.html" TargetMode="External"/><Relationship Id="rId115" Type="http://schemas.openxmlformats.org/officeDocument/2006/relationships/hyperlink" Target="http://www.aph.gov.au/Parliamentary_Business/Committees/Senate/Legal_and_Constitutional_Affairs/Manus_Island/~/media/Committees/Senate/committee/legcon_ctte/Manus_Island/Report/report.pdf" TargetMode="External"/><Relationship Id="rId131" Type="http://schemas.openxmlformats.org/officeDocument/2006/relationships/hyperlink" Target="http://www.minister.border.gov.au/peterdutton/2015/Pages/government-closes-bladin-detention-facility.aspx" TargetMode="External"/><Relationship Id="rId136" Type="http://schemas.openxmlformats.org/officeDocument/2006/relationships/hyperlink" Target="https://www.humanrights.gov.au/publications/aushrc-44-mr-toro-martinez-v-commonwealth-australia-department-immigration-and" TargetMode="External"/><Relationship Id="rId157" Type="http://schemas.openxmlformats.org/officeDocument/2006/relationships/hyperlink" Target="https://www.humanrights.gov.au/sites/default/files/AHRC_Summary_Childrens_Rights_Report_2015.pdf" TargetMode="External"/><Relationship Id="rId178" Type="http://schemas.openxmlformats.org/officeDocument/2006/relationships/hyperlink" Target="http://www.aph.gov.au/DocumentStore.ashx?id=23c02ad6-1904-478a-adf0-2da8495c28b4&amp;subId=464627" TargetMode="External"/><Relationship Id="rId61" Type="http://schemas.openxmlformats.org/officeDocument/2006/relationships/hyperlink" Target="http://www.minister.communications.gov.au/mitch_fifield/news/esafety_commissioner_to_enhance_online_safety_for_all_australians" TargetMode="External"/><Relationship Id="rId82" Type="http://schemas.openxmlformats.org/officeDocument/2006/relationships/hyperlink" Target="http://www.aph.gov.au/Parliamentary_Business/Committees/Senate/Community_Affairs/Involuntary_Sterilisation/~/media/Committees/Senate/committee/clac_ctte/involuntary_sterilisation/first_report/report.ashx" TargetMode="External"/><Relationship Id="rId152" Type="http://schemas.openxmlformats.org/officeDocument/2006/relationships/hyperlink" Target="https://www.humanrights.gov.au/sites/default/files/AHRC_Summary_Childrens_Rights_Report_2015.pdf" TargetMode="External"/><Relationship Id="rId173" Type="http://schemas.openxmlformats.org/officeDocument/2006/relationships/hyperlink" Target="http://www.smh.com.au/national/muslims-on-what-its-like-to-live-in-australia-20160429-goi953.html" TargetMode="External"/><Relationship Id="rId194" Type="http://schemas.openxmlformats.org/officeDocument/2006/relationships/hyperlink" Target="http://www.abc.net.au/news/2016-12-04/young-south-sudanese-constantly-stopped-by-police/8078642" TargetMode="External"/><Relationship Id="rId199" Type="http://schemas.openxmlformats.org/officeDocument/2006/relationships/hyperlink" Target="https://www.ag.gov.au/Consultations/Pages/COAGReviewofCounter-TerrorismLegislation.aspx" TargetMode="External"/><Relationship Id="rId203" Type="http://schemas.openxmlformats.org/officeDocument/2006/relationships/hyperlink" Target="http://tbinternet.ohchr.org/_layouts/treatybodyexternal/Download.aspx?symbolno=INT%2fCAT%2fNGO%2fAUS%2f18690&amp;Lang=en" TargetMode="External"/><Relationship Id="rId208" Type="http://schemas.openxmlformats.org/officeDocument/2006/relationships/hyperlink" Target="https://www.inslm.gov.au/sites/default/files/submissions/11-australian-human-rights-commission.pdf" TargetMode="External"/><Relationship Id="rId229" Type="http://schemas.openxmlformats.org/officeDocument/2006/relationships/hyperlink" Target="https://www.ag.gov.au/Consultations/Pages/modern-slavery-in-supply-chains-reporting-requirement-public-consultation.aspx" TargetMode="External"/><Relationship Id="rId19" Type="http://schemas.openxmlformats.org/officeDocument/2006/relationships/hyperlink" Target="http://www.abs.gov.au/ausstats/abs@.nsf/Lookup/by%20Subject/4429.0~2009~Main%20Features~Comparison%20of%20disability%20prevalence%20between%20Aboriginal%20and%20Torres%20Strait%20Islander%20peoples%20and%20non-Indigenous%20peoples~10029" TargetMode="External"/><Relationship Id="rId224" Type="http://schemas.openxmlformats.org/officeDocument/2006/relationships/hyperlink" Target="http://www.humanrights.gov.au/submissions/submission-inquiry-human-trafficking-2016" TargetMode="External"/><Relationship Id="rId14" Type="http://schemas.openxmlformats.org/officeDocument/2006/relationships/hyperlink" Target="https://www.attorneygeneral.gov.au/Mediareleases/Pages/2017/FirstQuarter/Improving-oversight-and-conditions-in-detention.aspx" TargetMode="External"/><Relationship Id="rId30" Type="http://schemas.openxmlformats.org/officeDocument/2006/relationships/hyperlink" Target="https://www.humanrights.gov.au/publications/social-justice-and-native-title-report-2014" TargetMode="External"/><Relationship Id="rId35" Type="http://schemas.openxmlformats.org/officeDocument/2006/relationships/hyperlink" Target="https://www.alrc.gov.au/sites/default/files/pdfs/publications/alrc_126_final_report.pdf" TargetMode="External"/><Relationship Id="rId56" Type="http://schemas.openxmlformats.org/officeDocument/2006/relationships/hyperlink" Target="https://www.parliament.nsw.gov.au/committees/inquiries/Pages/inquiry-details.aspx?pk=2387" TargetMode="External"/><Relationship Id="rId77" Type="http://schemas.openxmlformats.org/officeDocument/2006/relationships/hyperlink" Target="https://www.dss.gov.au/women/programs-services/reducing-violence/third-action-plan" TargetMode="External"/><Relationship Id="rId100" Type="http://schemas.openxmlformats.org/officeDocument/2006/relationships/hyperlink" Target="http://www.ohchr.org/EN/NewsEvents/Pages/DisplayNews.aspx?NewsID=21243&amp;LangID=E" TargetMode="External"/><Relationship Id="rId105" Type="http://schemas.openxmlformats.org/officeDocument/2006/relationships/hyperlink" Target="http://reliefweb.int/sites/reliefweb.int/files/resources/2012-12-14%2Bnauru%2Bmonitoring%2Breport%2Bfinal.pdf" TargetMode="External"/><Relationship Id="rId126" Type="http://schemas.openxmlformats.org/officeDocument/2006/relationships/hyperlink" Target="http://www.ombudsman.gov.au/news-and-media/media-releases/media-release-documents/commonwealth-ombudsman/2013?a=26154" TargetMode="External"/><Relationship Id="rId147" Type="http://schemas.openxmlformats.org/officeDocument/2006/relationships/hyperlink" Target="https://www.pmc.gov.au/office-women/womens-safety/coag-advisory-panel-reducing-violence-against-women-and-their-children" TargetMode="External"/><Relationship Id="rId168" Type="http://schemas.openxmlformats.org/officeDocument/2006/relationships/hyperlink" Target="http://www.brisbanetimes.com.au/queensland/toowoomba-mosque-fire-suspicious-police-20150124-12xi6s.html" TargetMode="External"/><Relationship Id="rId8" Type="http://schemas.openxmlformats.org/officeDocument/2006/relationships/hyperlink" Target="http://www.austlii.edu.au/cgi-bin/download.cgi/cgi-bin/download.cgi/download/au/journals/UNSWLJ/2015/37.pdf" TargetMode="External"/><Relationship Id="rId51" Type="http://schemas.openxmlformats.org/officeDocument/2006/relationships/hyperlink" Target="https://www.dss.gov.au/our-responsibilities/disability-and-carers/program-services/government-international/national-disability-strategy" TargetMode="External"/><Relationship Id="rId72" Type="http://schemas.openxmlformats.org/officeDocument/2006/relationships/hyperlink" Target="https://www.communications.gov.au/what-we-do/television/accessible_television" TargetMode="External"/><Relationship Id="rId93" Type="http://schemas.openxmlformats.org/officeDocument/2006/relationships/hyperlink" Target="https://www.humanrights.gov.au/submissions/senate-inquiry-matter-popular-vote-form-plebiscite-or-referendum-matter-marriage" TargetMode="External"/><Relationship Id="rId98" Type="http://schemas.openxmlformats.org/officeDocument/2006/relationships/hyperlink" Target="http://www.ohchr.org/EN/NewsEvents/Pages/DisplayNews.aspx?NewsID=21243&amp;LangID=E" TargetMode="External"/><Relationship Id="rId121" Type="http://schemas.openxmlformats.org/officeDocument/2006/relationships/hyperlink" Target="https://www.humanrights.gov.au/our-work/asylum-seekers-and-refugees/publications/health-and-well-being-children-immigration" TargetMode="External"/><Relationship Id="rId142" Type="http://schemas.openxmlformats.org/officeDocument/2006/relationships/hyperlink" Target="http://www.pc.gov.au/research/recurring/report-on-government-services/2015/community-services/data/rogs-2015-volumef-chapter15-attachment.xlsx" TargetMode="External"/><Relationship Id="rId163" Type="http://schemas.openxmlformats.org/officeDocument/2006/relationships/hyperlink" Target="https://www.pm.gov.au/media/2016-07-28/royal-commission-child-protection-and-youth-detention-systems-northern-territory" TargetMode="External"/><Relationship Id="rId184" Type="http://schemas.openxmlformats.org/officeDocument/2006/relationships/hyperlink" Target="http://parlinfo.aph.gov.au/parlInfo/download/committees/reportjnt/024053/toc_pdf/Secondinterimreportontheinquiryintotheconductofthe2016federalelectionForeignDonations.pdf;fileType=application%2Fpdf" TargetMode="External"/><Relationship Id="rId189" Type="http://schemas.openxmlformats.org/officeDocument/2006/relationships/hyperlink" Target="http://www.ohchr.org/EN/NewsEvents/Pages/DisplayNews.aspx?NewsID=21473&amp;LangID=E" TargetMode="External"/><Relationship Id="rId219" Type="http://schemas.openxmlformats.org/officeDocument/2006/relationships/hyperlink" Target="http://www.aph.gov.au/DocumentStore.ashx?id=080c06ef-59cb-4d40-9132-f1664588c82c&amp;subId=407290" TargetMode="External"/><Relationship Id="rId3" Type="http://schemas.openxmlformats.org/officeDocument/2006/relationships/hyperlink" Target="http://www.aph.gov.au/Parliamentary_Business/Committees/Joint/Human_Rights/Index_of_bills_and_instruments" TargetMode="External"/><Relationship Id="rId214" Type="http://schemas.openxmlformats.org/officeDocument/2006/relationships/hyperlink" Target="https://www.inslm.gov.au/sites/default/files/submissions/11-australian-human-rights-commission.pdf" TargetMode="External"/><Relationship Id="rId230" Type="http://schemas.openxmlformats.org/officeDocument/2006/relationships/hyperlink" Target="https://www.ministerjustice.gov.au/Media/Pages/Proposed-new-laws-to-help-end-modern-slavery-16-August-2017.aspx/" TargetMode="External"/><Relationship Id="rId25" Type="http://schemas.openxmlformats.org/officeDocument/2006/relationships/hyperlink" Target="http://www.ohchr.org/EN/NewsEvents/Pages/DisplayNews.aspx?NewsID=21473&amp;LangID=E" TargetMode="External"/><Relationship Id="rId46" Type="http://schemas.openxmlformats.org/officeDocument/2006/relationships/hyperlink" Target="https://static1.squarespace.com/static/580025f66b8f5b2dabbe4291/t/59378aa91e5b6cbaaa281d22/1496812234196/OverRepresented_online.pdf" TargetMode="External"/><Relationship Id="rId67" Type="http://schemas.openxmlformats.org/officeDocument/2006/relationships/hyperlink" Target="http://www.aph.gov.au/Parliamentary_Business/Committees/Senate/Community_Affairs/IndefiniteDetention45/Report" TargetMode="External"/><Relationship Id="rId116" Type="http://schemas.openxmlformats.org/officeDocument/2006/relationships/hyperlink" Target="http://www.aph.gov.au/Parliamentary_Business/Committees/Senate/Regional_processing_Nauru/Regional_processing_Nauru/~/media/Committees/nauru_ctte/Final_Report/report.pdf" TargetMode="External"/><Relationship Id="rId137" Type="http://schemas.openxmlformats.org/officeDocument/2006/relationships/hyperlink" Target="https://www.humanrights.gov.au/publications/aushrc-45-mr-al-jenabi-v-commonwealth-australia-department-immigration-and-citizenship" TargetMode="External"/><Relationship Id="rId158" Type="http://schemas.openxmlformats.org/officeDocument/2006/relationships/hyperlink" Target="https://www.humanrights.gov.au/sites/default/files/AHRC_ChildrensRights_Report_2015_0.pdf" TargetMode="External"/><Relationship Id="rId20" Type="http://schemas.openxmlformats.org/officeDocument/2006/relationships/hyperlink" Target="https://www.humanrights.gov.au/our-work/disability-rights/publications/equal-law" TargetMode="External"/><Relationship Id="rId41" Type="http://schemas.openxmlformats.org/officeDocument/2006/relationships/hyperlink" Target="http://www.aph.gov.au/Parliamentary_Business/Committees/Senate/Finance_and_Public_Administration/DV_and_Gender_Inequality" TargetMode="External"/><Relationship Id="rId62" Type="http://schemas.openxmlformats.org/officeDocument/2006/relationships/hyperlink" Target="https://www.humanrights.gov.au/our-work/disability-rights/publications/willing-work-national-inquiry-employment-discrimination" TargetMode="External"/><Relationship Id="rId83" Type="http://schemas.openxmlformats.org/officeDocument/2006/relationships/hyperlink" Target="http://www.aph.gov.au/DocumentStore.ashx?id=3d3c9b64-7a59-4e30-bd96-e38d52fe85c8&amp;subId=16108" TargetMode="External"/><Relationship Id="rId88" Type="http://schemas.openxmlformats.org/officeDocument/2006/relationships/hyperlink" Target="https://www.humanrights.gov.au/our-work/sexual-orientation-sex-gender-identity/publications/resilient-individuals-sexual" TargetMode="External"/><Relationship Id="rId111" Type="http://schemas.openxmlformats.org/officeDocument/2006/relationships/hyperlink" Target="https://www.border.gov.au/ReportsandPublications/Documents/reviews-and-inquiries/review-robert-cornall.pdf" TargetMode="External"/><Relationship Id="rId132" Type="http://schemas.openxmlformats.org/officeDocument/2006/relationships/hyperlink" Target="http://budget.gov.au/2016-17/content/bp2/download/BP2_consolidated.pdf" TargetMode="External"/><Relationship Id="rId153" Type="http://schemas.openxmlformats.org/officeDocument/2006/relationships/hyperlink" Target="https://www.humanrights.gov.au/sites/default/files/AHRC_ChildrensRights_Report_2015_0.pdf" TargetMode="External"/><Relationship Id="rId174" Type="http://schemas.openxmlformats.org/officeDocument/2006/relationships/hyperlink" Target="http://www.smh.com.au/national/dozens-of-antimuslim-attacks-as-islamic-leaders-warn-of-community-fear-20141009-113tmk.html" TargetMode="External"/><Relationship Id="rId179" Type="http://schemas.openxmlformats.org/officeDocument/2006/relationships/hyperlink" Target="http://www.alrc.gov.au/sites/default/files/pdfs/publications/ALRC112.pdf" TargetMode="External"/><Relationship Id="rId195" Type="http://schemas.openxmlformats.org/officeDocument/2006/relationships/hyperlink" Target="http://www.aph.gov.au/DocumentStore.ashx?id=d42f430a-869c-4706-9414-bf0cba934162&amp;subId=461226" TargetMode="External"/><Relationship Id="rId209" Type="http://schemas.openxmlformats.org/officeDocument/2006/relationships/hyperlink" Target="https://www.inslm.gov.au/sites/default/files/submissions/11-australian-human-rights-commission.pdf" TargetMode="External"/><Relationship Id="rId190" Type="http://schemas.openxmlformats.org/officeDocument/2006/relationships/hyperlink" Target="http://scanlonfoundation.org.au/wp-content/uploads/2016/08/Australians-Today.pdf" TargetMode="External"/><Relationship Id="rId204" Type="http://schemas.openxmlformats.org/officeDocument/2006/relationships/hyperlink" Target="https://www.humanrights.gov.au/sites/default/files/AHRC_CAT_LOIPR_2016.pdf" TargetMode="External"/><Relationship Id="rId220" Type="http://schemas.openxmlformats.org/officeDocument/2006/relationships/hyperlink" Target="http://www.ag.gov.au/CrimeAndCorruption/HumanTrafficking/Pages/Australiasresponsetohumantrafficking.aspx" TargetMode="External"/><Relationship Id="rId225" Type="http://schemas.openxmlformats.org/officeDocument/2006/relationships/hyperlink" Target="http://www.humanrights.gov.au/submissions/submission-inquiry-human-trafficking-2016" TargetMode="External"/><Relationship Id="rId15" Type="http://schemas.openxmlformats.org/officeDocument/2006/relationships/hyperlink" Target="http://www.ohchr.org/EN/NewsEvents/Pages/DisplayNews.aspx?NewsID=21473&amp;LangID=E" TargetMode="External"/><Relationship Id="rId36" Type="http://schemas.openxmlformats.org/officeDocument/2006/relationships/hyperlink" Target="http://www.humanrights.gov.au/sites/default/files/IndigenousLeadersRoundtable_communique_2015_AHRC.pdf" TargetMode="External"/><Relationship Id="rId57" Type="http://schemas.openxmlformats.org/officeDocument/2006/relationships/hyperlink" Target="http://www.rcfv.com.au/Report-Recommendations" TargetMode="External"/><Relationship Id="rId106" Type="http://schemas.openxmlformats.org/officeDocument/2006/relationships/hyperlink" Target="http://www.refworld.org/docid/5139ab872.html" TargetMode="External"/><Relationship Id="rId127" Type="http://schemas.openxmlformats.org/officeDocument/2006/relationships/hyperlink" Target="http://www.unsworks.unsw.edu.au/primo_library/libweb/action/dlDisplay.do?vid=UNSWORKS&amp;docId=unsworks_modsunsworks_39307" TargetMode="External"/><Relationship Id="rId10" Type="http://schemas.openxmlformats.org/officeDocument/2006/relationships/hyperlink" Target="https://www.humanrightscommission.vic.gov.au/human-rights/the-charter" TargetMode="External"/><Relationship Id="rId31" Type="http://schemas.openxmlformats.org/officeDocument/2006/relationships/hyperlink" Target="http://www.aph.gov.au/Parliamentary_Business/Committees/Senate/Legal_and_Constitutional_Affairs/Completed_inquiries/2010-13/justicereinvestment/report/index" TargetMode="External"/><Relationship Id="rId52" Type="http://schemas.openxmlformats.org/officeDocument/2006/relationships/hyperlink" Target="https://aifs.gov.au/publications/elder-abuse/2-whatelder-abuse" TargetMode="External"/><Relationship Id="rId73" Type="http://schemas.openxmlformats.org/officeDocument/2006/relationships/hyperlink" Target="http://www.illawarramercury.com.au/story/3999846/vote-access-a-step-too-far/" TargetMode="External"/><Relationship Id="rId78" Type="http://schemas.openxmlformats.org/officeDocument/2006/relationships/hyperlink" Target="http://www.stvp.org.au/National-Symposium.htm" TargetMode="External"/><Relationship Id="rId94" Type="http://schemas.openxmlformats.org/officeDocument/2006/relationships/hyperlink" Target="https://www.dss.gov.au/sites/default/files/documents/08_2014/national_plan_accessible.pdf" TargetMode="External"/><Relationship Id="rId99" Type="http://schemas.openxmlformats.org/officeDocument/2006/relationships/hyperlink" Target="https://www.vichealth.vic.gov.au/media-and-resources/publications/violence-against-women-in-australia-research-summary" TargetMode="External"/><Relationship Id="rId101" Type="http://schemas.openxmlformats.org/officeDocument/2006/relationships/hyperlink" Target="https://www.humanrights.gov.au/our-work/sex-discrimination/projects/working-without-fear-results-sexual-harassment-national" TargetMode="External"/><Relationship Id="rId122" Type="http://schemas.openxmlformats.org/officeDocument/2006/relationships/hyperlink" Target="http://www.unhcr.org/en-au/publications/legal/58117aff7/unhcr-monitoring-visit-to-manus-island-papua-new-guinea-23-to-25-october.html" TargetMode="External"/><Relationship Id="rId143" Type="http://schemas.openxmlformats.org/officeDocument/2006/relationships/hyperlink" Target="http://www.pc.gov.au/research/recurring/report-on-government-services/2015/community-services/data/rogs-2015-volumef-chapter15-attachment.xlsx" TargetMode="External"/><Relationship Id="rId148" Type="http://schemas.openxmlformats.org/officeDocument/2006/relationships/hyperlink" Target="http://www.researchgate.net/publication/23219462_The_impact_of_exposure_to_domestic_violence_on_children_and_young_people_A_review_of_the_literature" TargetMode="External"/><Relationship Id="rId164" Type="http://schemas.openxmlformats.org/officeDocument/2006/relationships/hyperlink" Target="https://www.humanrights.gov.au/sites/default/files/document/publication/AHRC_CRR_2016.pdf" TargetMode="External"/><Relationship Id="rId169" Type="http://schemas.openxmlformats.org/officeDocument/2006/relationships/hyperlink" Target="http://www.dailytelegraph.com.au/newslocal/city-east/police-investigate-swastika-graffiti-on-jewish-synagogue/news-story/6b2fd822f1f7853699ced9fcd649dfdb" TargetMode="External"/><Relationship Id="rId185" Type="http://schemas.openxmlformats.org/officeDocument/2006/relationships/hyperlink" Target="https://static1.squarespace.com/static/580025f66b8f5b2dabbe4291/t/5936933d579fb38a23dc2eda/1496748893178/DefendingDemocracy_online_June2017.pdf" TargetMode="External"/><Relationship Id="rId4" Type="http://schemas.openxmlformats.org/officeDocument/2006/relationships/hyperlink" Target="http://www.aph.gov.au/Parliamentary_Business/Committees/Joint/Human_Rights/Completed_inquiries" TargetMode="External"/><Relationship Id="rId9" Type="http://schemas.openxmlformats.org/officeDocument/2006/relationships/hyperlink" Target="https://www.alrc.gov.au/sites/default/files/pdfs/publications/alrc_129_final_report_.pdf" TargetMode="External"/><Relationship Id="rId180" Type="http://schemas.openxmlformats.org/officeDocument/2006/relationships/hyperlink" Target="http://www.aph.gov.au/DocumentStore.ashx?id=5e83eea9-a66e-4020-8b07-ddb15086fdf0&amp;subId=515858" TargetMode="External"/><Relationship Id="rId210" Type="http://schemas.openxmlformats.org/officeDocument/2006/relationships/hyperlink" Target="http://www.aph.gov.au/DocumentStore.ashx?id=32397a66-a179-4a07-a5fb-ab60b776676f&amp;subId=414693" TargetMode="External"/><Relationship Id="rId215" Type="http://schemas.openxmlformats.org/officeDocument/2006/relationships/hyperlink" Target="http://www.aph.gov.au/DocumentStore.ashx?id=8cfea01e-ec16-4074-8edf-dcc4d0625ee2&amp;subId=354238" TargetMode="External"/><Relationship Id="rId26" Type="http://schemas.openxmlformats.org/officeDocument/2006/relationships/hyperlink" Target="https://www.humanrights.gov.au/our-work/legal/publications/ka-kb-kc-and-kd-v-commonwealth-australia" TargetMode="External"/><Relationship Id="rId231" Type="http://schemas.openxmlformats.org/officeDocument/2006/relationships/hyperlink" Target="http://parlinfo.aph.gov.au/parlInfo/download/committees/reportjnt/024092/toc_pdf/Modernslaveryandglobalsupplychains.pdf;fileType=application%2Fpdf" TargetMode="External"/><Relationship Id="rId47" Type="http://schemas.openxmlformats.org/officeDocument/2006/relationships/hyperlink" Target="http://www.ohchr.org/EN/NewsEvents/Pages/DisplayNews.aspx?NewsID=21473&amp;LangID=E" TargetMode="External"/><Relationship Id="rId68" Type="http://schemas.openxmlformats.org/officeDocument/2006/relationships/hyperlink" Target="https://www.dss.gov.au/disability-and-carers/publications-articles/general/australian-government-response-violence-abuse-neglect-against-people-with-disability" TargetMode="External"/><Relationship Id="rId89" Type="http://schemas.openxmlformats.org/officeDocument/2006/relationships/hyperlink" Target="http://www.aph.gov.au/Parliamentary_Business/Committees/Senate/Community_Affairs/Involuntary_Sterilisation/Sec_Report/index" TargetMode="External"/><Relationship Id="rId112" Type="http://schemas.openxmlformats.org/officeDocument/2006/relationships/hyperlink" Target="http://tbinternet.ohchr.org/_layouts/treatybodyexternal/Download.aspx?symbolno=CAT/C/AUS/CO/4-5&amp;Lang=En" TargetMode="External"/><Relationship Id="rId133" Type="http://schemas.openxmlformats.org/officeDocument/2006/relationships/hyperlink" Target="http://budget.gov.au/2016-17/content/bp2/download/BP2_consolidated.pdf" TargetMode="External"/><Relationship Id="rId154" Type="http://schemas.openxmlformats.org/officeDocument/2006/relationships/hyperlink" Target="http://www.pc.gov.au/research/recurring/report-on-government-services/2015/community-services/child-protection" TargetMode="External"/><Relationship Id="rId175" Type="http://schemas.openxmlformats.org/officeDocument/2006/relationships/hyperlink" Target="http://www.smh.com.au/nsw/teens-arrested-over-racist-attack-on-bus-full-of-jewish-school-students-20140806-101995.html" TargetMode="External"/><Relationship Id="rId196" Type="http://schemas.openxmlformats.org/officeDocument/2006/relationships/hyperlink" Target="https://www.humanrights.gov.au/our-work/race-discrimination/projects/national-anti-racism-strategy-and-racism-it-stops-me-campaign" TargetMode="External"/><Relationship Id="rId200" Type="http://schemas.openxmlformats.org/officeDocument/2006/relationships/hyperlink" Target="https://www.inslm.gov.au/reviews-reports/annual-reports" TargetMode="External"/><Relationship Id="rId16" Type="http://schemas.openxmlformats.org/officeDocument/2006/relationships/hyperlink" Target="http://www.abs.gov.au/ausstats/abs@.nsf/Lookup/by%20Subject/4517.0~2016~Main%20Features~Aboriginal%20and%20Torres%20Strait%20Islander%20prisoner%20characteristics~5" TargetMode="External"/><Relationship Id="rId221" Type="http://schemas.openxmlformats.org/officeDocument/2006/relationships/hyperlink" Target="https://www.ag.gov.au/CrimeAndCorruption/HumanTrafficking/Pages/Australias-response-to-human-trafficking.aspx" TargetMode="External"/><Relationship Id="rId37" Type="http://schemas.openxmlformats.org/officeDocument/2006/relationships/hyperlink" Target="http://www.humanrights.gov.au/sites/default/files/Garma%20discussion%20paper%2011%20August%202016_1.pdf" TargetMode="External"/><Relationship Id="rId58" Type="http://schemas.openxmlformats.org/officeDocument/2006/relationships/hyperlink" Target="http://www.liberal.org.au/coalitions-policy-protect-rights-older-australians" TargetMode="External"/><Relationship Id="rId79" Type="http://schemas.openxmlformats.org/officeDocument/2006/relationships/hyperlink" Target="http://wwda.org.au/wp-content/uploads/2013/12/STV_Outcomes_Paper.pdf" TargetMode="External"/><Relationship Id="rId102" Type="http://schemas.openxmlformats.org/officeDocument/2006/relationships/hyperlink" Target="https://www.humanrights.gov.au/our-work/sex-discrimination/projects/working-without-fear-results-sexual-harassment-national" TargetMode="External"/><Relationship Id="rId123" Type="http://schemas.openxmlformats.org/officeDocument/2006/relationships/hyperlink" Target="http://www.unhcr.org/en-au/publications/legal/58117b931/unhcr-monitoring-visit-to-the-republic-of-nauru-7-to-9-october-2013.html" TargetMode="External"/><Relationship Id="rId144" Type="http://schemas.openxmlformats.org/officeDocument/2006/relationships/hyperlink" Target="https://www.dss.gov.au/our-responsibilities/families-and-children/publications-articles/an-outline-of-national-standards-for-out-of-home-care-2011" TargetMode="External"/><Relationship Id="rId90" Type="http://schemas.openxmlformats.org/officeDocument/2006/relationships/hyperlink" Target="http://www.humanrights.gov.au/lesbian-gay-bisexual-trans-and-intersex-equality-0" TargetMode="External"/><Relationship Id="rId165" Type="http://schemas.openxmlformats.org/officeDocument/2006/relationships/hyperlink" Target="http://tbinternet.ohchr.org/_layouts/treatybodyexternal/Download.aspx?symbolno=INT%2fCAT%2fNGO%2fAUS%2f18690&amp;Lang=en" TargetMode="External"/><Relationship Id="rId186" Type="http://schemas.openxmlformats.org/officeDocument/2006/relationships/hyperlink" Target="https://www.alrc.gov.au/sites/default/files/pdfs/publications/alrc_129_final_report_.pdf" TargetMode="External"/><Relationship Id="rId211" Type="http://schemas.openxmlformats.org/officeDocument/2006/relationships/hyperlink" Target="http://juris.ohchr.org/Search/Details/1574" TargetMode="External"/><Relationship Id="rId232" Type="http://schemas.openxmlformats.org/officeDocument/2006/relationships/hyperlink" Target="http://www.aph.gov.au/DocumentStore.ashx?id=b8cec9b3-343e-47b4-87f9-fa21808c875f&amp;subId=51010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Commission\Submiss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B630B-A82F-4609-BBE4-B29739F54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Submission.dot</Template>
  <TotalTime>103</TotalTime>
  <Pages>57</Pages>
  <Words>12883</Words>
  <Characters>77805</Characters>
  <Application>Microsoft Office Word</Application>
  <DocSecurity>0</DocSecurity>
  <Lines>648</Lines>
  <Paragraphs>181</Paragraphs>
  <ScaleCrop>false</ScaleCrop>
  <HeadingPairs>
    <vt:vector size="2" baseType="variant">
      <vt:variant>
        <vt:lpstr>Title</vt:lpstr>
      </vt:variant>
      <vt:variant>
        <vt:i4>1</vt:i4>
      </vt:variant>
    </vt:vector>
  </HeadingPairs>
  <TitlesOfParts>
    <vt:vector size="1" baseType="lpstr">
      <vt:lpstr>Year</vt:lpstr>
    </vt:vector>
  </TitlesOfParts>
  <Company>Human Rights and Equal Opportunity Commission</Company>
  <LinksUpToDate>false</LinksUpToDate>
  <CharactersWithSpaces>90507</CharactersWithSpaces>
  <SharedDoc>false</SharedDoc>
  <HLinks>
    <vt:vector size="42" baseType="variant">
      <vt:variant>
        <vt:i4>1572920</vt:i4>
      </vt:variant>
      <vt:variant>
        <vt:i4>38</vt:i4>
      </vt:variant>
      <vt:variant>
        <vt:i4>0</vt:i4>
      </vt:variant>
      <vt:variant>
        <vt:i4>5</vt:i4>
      </vt:variant>
      <vt:variant>
        <vt:lpwstr/>
      </vt:variant>
      <vt:variant>
        <vt:lpwstr>_Toc209941772</vt:lpwstr>
      </vt:variant>
      <vt:variant>
        <vt:i4>1572920</vt:i4>
      </vt:variant>
      <vt:variant>
        <vt:i4>32</vt:i4>
      </vt:variant>
      <vt:variant>
        <vt:i4>0</vt:i4>
      </vt:variant>
      <vt:variant>
        <vt:i4>5</vt:i4>
      </vt:variant>
      <vt:variant>
        <vt:lpwstr/>
      </vt:variant>
      <vt:variant>
        <vt:lpwstr>_Toc209941771</vt:lpwstr>
      </vt:variant>
      <vt:variant>
        <vt:i4>1572920</vt:i4>
      </vt:variant>
      <vt:variant>
        <vt:i4>26</vt:i4>
      </vt:variant>
      <vt:variant>
        <vt:i4>0</vt:i4>
      </vt:variant>
      <vt:variant>
        <vt:i4>5</vt:i4>
      </vt:variant>
      <vt:variant>
        <vt:lpwstr/>
      </vt:variant>
      <vt:variant>
        <vt:lpwstr>_Toc209941770</vt:lpwstr>
      </vt:variant>
      <vt:variant>
        <vt:i4>1638456</vt:i4>
      </vt:variant>
      <vt:variant>
        <vt:i4>20</vt:i4>
      </vt:variant>
      <vt:variant>
        <vt:i4>0</vt:i4>
      </vt:variant>
      <vt:variant>
        <vt:i4>5</vt:i4>
      </vt:variant>
      <vt:variant>
        <vt:lpwstr/>
      </vt:variant>
      <vt:variant>
        <vt:lpwstr>_Toc209941769</vt:lpwstr>
      </vt:variant>
      <vt:variant>
        <vt:i4>1638456</vt:i4>
      </vt:variant>
      <vt:variant>
        <vt:i4>14</vt:i4>
      </vt:variant>
      <vt:variant>
        <vt:i4>0</vt:i4>
      </vt:variant>
      <vt:variant>
        <vt:i4>5</vt:i4>
      </vt:variant>
      <vt:variant>
        <vt:lpwstr/>
      </vt:variant>
      <vt:variant>
        <vt:lpwstr>_Toc209941768</vt:lpwstr>
      </vt:variant>
      <vt:variant>
        <vt:i4>1638456</vt:i4>
      </vt:variant>
      <vt:variant>
        <vt:i4>8</vt:i4>
      </vt:variant>
      <vt:variant>
        <vt:i4>0</vt:i4>
      </vt:variant>
      <vt:variant>
        <vt:i4>5</vt:i4>
      </vt:variant>
      <vt:variant>
        <vt:lpwstr/>
      </vt:variant>
      <vt:variant>
        <vt:lpwstr>_Toc209941767</vt:lpwstr>
      </vt:variant>
      <vt:variant>
        <vt:i4>1638456</vt:i4>
      </vt:variant>
      <vt:variant>
        <vt:i4>2</vt:i4>
      </vt:variant>
      <vt:variant>
        <vt:i4>0</vt:i4>
      </vt:variant>
      <vt:variant>
        <vt:i4>5</vt:i4>
      </vt:variant>
      <vt:variant>
        <vt:lpwstr/>
      </vt:variant>
      <vt:variant>
        <vt:lpwstr>_Toc209941766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dc:title>
  <dc:subject/>
  <dc:creator>Helen Potts</dc:creator>
  <cp:keywords/>
  <cp:lastModifiedBy>Rohan Nanthakumar</cp:lastModifiedBy>
  <cp:revision>54</cp:revision>
  <cp:lastPrinted>2017-09-17T23:18:00Z</cp:lastPrinted>
  <dcterms:created xsi:type="dcterms:W3CDTF">2017-09-15T06:19:00Z</dcterms:created>
  <dcterms:modified xsi:type="dcterms:W3CDTF">2017-09-18T00:23:00Z</dcterms:modified>
</cp:coreProperties>
</file>