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951" w:rsidRPr="00654793" w:rsidRDefault="00874594" w:rsidP="00CB47F9">
      <w:pPr>
        <w:tabs>
          <w:tab w:val="left" w:pos="3014"/>
        </w:tabs>
        <w:spacing w:after="3000"/>
        <w:jc w:val="both"/>
        <w:rPr>
          <w:rStyle w:val="FootnoteReference"/>
        </w:rPr>
      </w:pPr>
      <w:r>
        <w:rPr>
          <w:noProof/>
        </w:rPr>
        <mc:AlternateContent>
          <mc:Choice Requires="wps">
            <w:drawing>
              <wp:anchor distT="0" distB="0" distL="114300" distR="114300" simplePos="0" relativeHeight="251657728" behindDoc="0" locked="0" layoutInCell="1" allowOverlap="1" wp14:anchorId="4B3F4E7A" wp14:editId="56B27E14">
                <wp:simplePos x="0" y="0"/>
                <wp:positionH relativeFrom="column">
                  <wp:posOffset>-405130</wp:posOffset>
                </wp:positionH>
                <wp:positionV relativeFrom="paragraph">
                  <wp:posOffset>1469390</wp:posOffset>
                </wp:positionV>
                <wp:extent cx="6142990" cy="676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2990" cy="676275"/>
                        </a:xfrm>
                        <a:prstGeom prst="rect">
                          <a:avLst/>
                        </a:prstGeom>
                        <a:noFill/>
                        <a:ln w="6350">
                          <a:noFill/>
                        </a:ln>
                        <a:effectLst/>
                      </wps:spPr>
                      <wps:txbx>
                        <w:txbxContent>
                          <w:p w:rsidR="00435042" w:rsidRPr="00B74219" w:rsidRDefault="00435042" w:rsidP="00A11307">
                            <w:pPr>
                              <w:pStyle w:val="Subtitle"/>
                            </w:pPr>
                            <w:bookmarkStart w:id="1" w:name="_Toc351383134"/>
                            <w:r w:rsidRPr="002863D7">
                              <w:t xml:space="preserve">Australian Human Rights Commission Submission to the </w:t>
                            </w:r>
                            <w:r>
                              <w:t>AUSTRALIAN BUREAU OF STATISTICS’ REVIEW OF THE SEX STANDARD</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9pt;margin-top:115.7pt;width:483.7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" filled="f" stroked="f" strokeweight=".5pt">
                <v:path arrowok="t"/>
                <v:textbox>
                  <w:txbxContent>
                    <w:p w:rsidR="00435042" w:rsidRPr="00B74219" w:rsidRDefault="00435042" w:rsidP="00A11307">
                      <w:pPr>
                        <w:pStyle w:val="Subtitle"/>
                      </w:pPr>
                      <w:bookmarkStart w:id="1" w:name="_Toc351383134"/>
                      <w:r w:rsidRPr="002863D7">
                        <w:t xml:space="preserve">Australian Human Rights Commission Submission to the </w:t>
                      </w:r>
                      <w:r>
                        <w:t>AUSTRALIAN BUREAU OF STATISTICS’ REVIEW OF THE SEX STANDARD</w:t>
                      </w:r>
                      <w:bookmarkEnd w:id="1"/>
                    </w:p>
                  </w:txbxContent>
                </v:textbox>
              </v:shape>
            </w:pict>
          </mc:Fallback>
        </mc:AlternateContent>
      </w:r>
      <w:r w:rsidR="009728B4">
        <w:rPr>
          <w:noProof/>
        </w:rPr>
        <mc:AlternateContent>
          <mc:Choice Requires="wps">
            <w:drawing>
              <wp:anchor distT="0" distB="0" distL="114300" distR="114300" simplePos="0" relativeHeight="251658752" behindDoc="0" locked="0" layoutInCell="1" allowOverlap="1" wp14:anchorId="01133C34" wp14:editId="59F947AB">
                <wp:simplePos x="0" y="0"/>
                <wp:positionH relativeFrom="column">
                  <wp:posOffset>1959610</wp:posOffset>
                </wp:positionH>
                <wp:positionV relativeFrom="paragraph">
                  <wp:posOffset>1996440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435042" w:rsidRPr="00B74219" w:rsidRDefault="00435042" w:rsidP="002863D7">
                            <w:pPr>
                              <w:pStyle w:val="Date"/>
                            </w:pPr>
                            <w:r>
                              <w:t>March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54.3pt;margin-top:157.2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" filled="f" stroked="f" strokeweight=".5pt">
                <v:path arrowok="t"/>
                <v:textbox>
                  <w:txbxContent>
                    <w:p w:rsidR="00435042" w:rsidRPr="00B74219" w:rsidRDefault="00435042" w:rsidP="002863D7">
                      <w:pPr>
                        <w:pStyle w:val="Date"/>
                      </w:pPr>
                      <w:r>
                        <w:t>March 2013</w:t>
                      </w:r>
                    </w:p>
                  </w:txbxContent>
                </v:textbox>
              </v:shape>
            </w:pict>
          </mc:Fallback>
        </mc:AlternateContent>
      </w:r>
      <w:r w:rsidR="009728B4">
        <w:rPr>
          <w:noProof/>
        </w:rPr>
        <mc:AlternateContent>
          <mc:Choice Requires="wps">
            <w:drawing>
              <wp:anchor distT="0" distB="0" distL="114300" distR="114300" simplePos="0" relativeHeight="251656704" behindDoc="0" locked="0" layoutInCell="1" allowOverlap="1">
                <wp:simplePos x="0" y="0"/>
                <wp:positionH relativeFrom="column">
                  <wp:posOffset>394970</wp:posOffset>
                </wp:positionH>
                <wp:positionV relativeFrom="paragraph">
                  <wp:posOffset>-45085</wp:posOffset>
                </wp:positionV>
                <wp:extent cx="5339715" cy="155575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715" cy="1555750"/>
                        </a:xfrm>
                        <a:prstGeom prst="rect">
                          <a:avLst/>
                        </a:prstGeom>
                        <a:noFill/>
                        <a:ln w="6350">
                          <a:noFill/>
                        </a:ln>
                        <a:effectLst/>
                      </wps:spPr>
                      <wps:txbx>
                        <w:txbxContent>
                          <w:p w:rsidR="00435042" w:rsidRDefault="00435042" w:rsidP="00FD01B5">
                            <w:pPr>
                              <w:pStyle w:val="MainTitle"/>
                            </w:pPr>
                            <w:r>
                              <w:t>Review of the Sex Standard</w:t>
                            </w:r>
                          </w:p>
                          <w:p w:rsidR="00435042" w:rsidRDefault="00435042" w:rsidP="0085358C">
                            <w:pPr>
                              <w:pStyle w:val="MainTitle"/>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31.1pt;margin-top:-3.55pt;width:420.45pt;height:1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" filled="f" stroked="f" strokeweight=".5pt">
                <v:path arrowok="t"/>
                <v:textbox>
                  <w:txbxContent>
                    <w:p w:rsidR="00435042" w:rsidRDefault="00435042" w:rsidP="00FD01B5">
                      <w:pPr>
                        <w:pStyle w:val="MainTitle"/>
                      </w:pPr>
                      <w:r>
                        <w:t>Review of the Sex Standard</w:t>
                      </w:r>
                    </w:p>
                    <w:p w:rsidR="00435042" w:rsidRDefault="00435042" w:rsidP="0085358C">
                      <w:pPr>
                        <w:pStyle w:val="MainTitle"/>
                        <w:jc w:val="center"/>
                      </w:pPr>
                    </w:p>
                  </w:txbxContent>
                </v:textbox>
              </v:shape>
            </w:pict>
          </mc:Fallback>
        </mc:AlternateContent>
      </w:r>
    </w:p>
    <w:p w:rsidR="00B924E6" w:rsidRDefault="00B924E6" w:rsidP="00CB47F9">
      <w:pPr>
        <w:jc w:val="both"/>
        <w:sectPr w:rsidR="00B924E6" w:rsidSect="00B24B1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2" w:name="_Toc209316062"/>
      <w:bookmarkEnd w:id="2"/>
    </w:p>
    <w:p w:rsidR="00D90A40" w:rsidRDefault="00D90A40" w:rsidP="00CB47F9">
      <w:pPr>
        <w:spacing w:before="0" w:after="0"/>
        <w:jc w:val="both"/>
        <w:rPr>
          <w:b/>
          <w:sz w:val="28"/>
          <w:szCs w:val="28"/>
        </w:rPr>
      </w:pPr>
      <w:bookmarkStart w:id="3" w:name="_Toc207761830"/>
      <w:bookmarkStart w:id="4" w:name="_Toc209578266"/>
      <w:bookmarkStart w:id="5" w:name="_Toc209941766"/>
      <w:r w:rsidRPr="00907336">
        <w:rPr>
          <w:b/>
          <w:sz w:val="28"/>
          <w:szCs w:val="28"/>
        </w:rPr>
        <w:lastRenderedPageBreak/>
        <w:t>Table of Contents</w:t>
      </w:r>
    </w:p>
    <w:p w:rsidR="008071C6" w:rsidRDefault="000F3A4C">
      <w:pPr>
        <w:pStyle w:val="TOC2"/>
        <w:rPr>
          <w:rFonts w:asciiTheme="minorHAnsi" w:eastAsiaTheme="minorEastAsia" w:hAnsiTheme="minorHAnsi" w:cstheme="minorBidi"/>
          <w:b w:val="0"/>
          <w:i w:val="0"/>
          <w:szCs w:val="22"/>
        </w:rPr>
      </w:pPr>
      <w:r>
        <w:rPr>
          <w:bCs/>
          <w:i w:val="0"/>
        </w:rPr>
        <w:fldChar w:fldCharType="begin"/>
      </w:r>
      <w:r>
        <w:rPr>
          <w:bCs/>
          <w:i w:val="0"/>
        </w:rPr>
        <w:instrText xml:space="preserve"> TOC \o "1-3" \h \z \u </w:instrText>
      </w:r>
      <w:r>
        <w:rPr>
          <w:bCs/>
          <w:i w:val="0"/>
        </w:rPr>
        <w:fldChar w:fldCharType="separate"/>
      </w:r>
      <w:hyperlink r:id="rId14" w:anchor="_Toc351383134" w:history="1">
        <w:r w:rsidR="008071C6" w:rsidRPr="00F84639">
          <w:rPr>
            <w:rStyle w:val="Hyperlink"/>
          </w:rPr>
          <w:t>Australian Human Rights Commission Submission to the AUSTRALIAN BUREAU OF STATISTICS’ REVIEW OF THE SEX STANDARD</w:t>
        </w:r>
        <w:r w:rsidR="008071C6">
          <w:rPr>
            <w:webHidden/>
          </w:rPr>
          <w:tab/>
        </w:r>
        <w:r w:rsidR="008071C6">
          <w:rPr>
            <w:webHidden/>
          </w:rPr>
          <w:fldChar w:fldCharType="begin"/>
        </w:r>
        <w:r w:rsidR="008071C6">
          <w:rPr>
            <w:webHidden/>
          </w:rPr>
          <w:instrText xml:space="preserve"> PAGEREF _Toc351383134 \h </w:instrText>
        </w:r>
        <w:r w:rsidR="008071C6">
          <w:rPr>
            <w:webHidden/>
          </w:rPr>
        </w:r>
        <w:r w:rsidR="008071C6">
          <w:rPr>
            <w:webHidden/>
          </w:rPr>
          <w:fldChar w:fldCharType="separate"/>
        </w:r>
        <w:r w:rsidR="008071C6">
          <w:rPr>
            <w:webHidden/>
          </w:rPr>
          <w:t>1</w:t>
        </w:r>
        <w:r w:rsidR="008071C6">
          <w:rPr>
            <w:webHidden/>
          </w:rPr>
          <w:fldChar w:fldCharType="end"/>
        </w:r>
      </w:hyperlink>
    </w:p>
    <w:p w:rsidR="008071C6" w:rsidRDefault="008F3EA9">
      <w:pPr>
        <w:pStyle w:val="TOC1"/>
        <w:rPr>
          <w:rFonts w:asciiTheme="minorHAnsi" w:eastAsiaTheme="minorEastAsia" w:hAnsiTheme="minorHAnsi" w:cstheme="minorBidi"/>
          <w:b w:val="0"/>
          <w:sz w:val="22"/>
          <w:szCs w:val="22"/>
        </w:rPr>
      </w:pPr>
      <w:hyperlink w:anchor="_Toc351383135" w:history="1">
        <w:r w:rsidR="008071C6" w:rsidRPr="00F84639">
          <w:rPr>
            <w:rStyle w:val="Hyperlink"/>
          </w:rPr>
          <w:t>1</w:t>
        </w:r>
        <w:r w:rsidR="008071C6">
          <w:rPr>
            <w:rFonts w:asciiTheme="minorHAnsi" w:eastAsiaTheme="minorEastAsia" w:hAnsiTheme="minorHAnsi" w:cstheme="minorBidi"/>
            <w:b w:val="0"/>
            <w:sz w:val="22"/>
            <w:szCs w:val="22"/>
          </w:rPr>
          <w:tab/>
        </w:r>
        <w:r w:rsidR="008071C6" w:rsidRPr="00F84639">
          <w:rPr>
            <w:rStyle w:val="Hyperlink"/>
          </w:rPr>
          <w:t>Introduction</w:t>
        </w:r>
        <w:r w:rsidR="008071C6">
          <w:rPr>
            <w:webHidden/>
          </w:rPr>
          <w:tab/>
        </w:r>
        <w:r w:rsidR="008071C6">
          <w:rPr>
            <w:webHidden/>
          </w:rPr>
          <w:fldChar w:fldCharType="begin"/>
        </w:r>
        <w:r w:rsidR="008071C6">
          <w:rPr>
            <w:webHidden/>
          </w:rPr>
          <w:instrText xml:space="preserve"> PAGEREF _Toc351383135 \h </w:instrText>
        </w:r>
        <w:r w:rsidR="008071C6">
          <w:rPr>
            <w:webHidden/>
          </w:rPr>
        </w:r>
        <w:r w:rsidR="008071C6">
          <w:rPr>
            <w:webHidden/>
          </w:rPr>
          <w:fldChar w:fldCharType="separate"/>
        </w:r>
        <w:r w:rsidR="008071C6">
          <w:rPr>
            <w:webHidden/>
          </w:rPr>
          <w:t>3</w:t>
        </w:r>
        <w:r w:rsidR="008071C6">
          <w:rPr>
            <w:webHidden/>
          </w:rPr>
          <w:fldChar w:fldCharType="end"/>
        </w:r>
      </w:hyperlink>
    </w:p>
    <w:p w:rsidR="008071C6" w:rsidRDefault="008F3EA9">
      <w:pPr>
        <w:pStyle w:val="TOC1"/>
        <w:rPr>
          <w:rFonts w:asciiTheme="minorHAnsi" w:eastAsiaTheme="minorEastAsia" w:hAnsiTheme="minorHAnsi" w:cstheme="minorBidi"/>
          <w:b w:val="0"/>
          <w:sz w:val="22"/>
          <w:szCs w:val="22"/>
        </w:rPr>
      </w:pPr>
      <w:hyperlink w:anchor="_Toc351383136" w:history="1">
        <w:r w:rsidR="008071C6" w:rsidRPr="00F84639">
          <w:rPr>
            <w:rStyle w:val="Hyperlink"/>
          </w:rPr>
          <w:t>2</w:t>
        </w:r>
        <w:r w:rsidR="008071C6">
          <w:rPr>
            <w:rFonts w:asciiTheme="minorHAnsi" w:eastAsiaTheme="minorEastAsia" w:hAnsiTheme="minorHAnsi" w:cstheme="minorBidi"/>
            <w:b w:val="0"/>
            <w:sz w:val="22"/>
            <w:szCs w:val="22"/>
          </w:rPr>
          <w:tab/>
        </w:r>
        <w:r w:rsidR="008071C6" w:rsidRPr="00F84639">
          <w:rPr>
            <w:rStyle w:val="Hyperlink"/>
          </w:rPr>
          <w:t>Recommendations</w:t>
        </w:r>
        <w:r w:rsidR="008071C6">
          <w:rPr>
            <w:webHidden/>
          </w:rPr>
          <w:tab/>
        </w:r>
        <w:r w:rsidR="008071C6">
          <w:rPr>
            <w:webHidden/>
          </w:rPr>
          <w:fldChar w:fldCharType="begin"/>
        </w:r>
        <w:r w:rsidR="008071C6">
          <w:rPr>
            <w:webHidden/>
          </w:rPr>
          <w:instrText xml:space="preserve"> PAGEREF _Toc351383136 \h </w:instrText>
        </w:r>
        <w:r w:rsidR="008071C6">
          <w:rPr>
            <w:webHidden/>
          </w:rPr>
        </w:r>
        <w:r w:rsidR="008071C6">
          <w:rPr>
            <w:webHidden/>
          </w:rPr>
          <w:fldChar w:fldCharType="separate"/>
        </w:r>
        <w:r w:rsidR="008071C6">
          <w:rPr>
            <w:webHidden/>
          </w:rPr>
          <w:t>3</w:t>
        </w:r>
        <w:r w:rsidR="008071C6">
          <w:rPr>
            <w:webHidden/>
          </w:rPr>
          <w:fldChar w:fldCharType="end"/>
        </w:r>
      </w:hyperlink>
    </w:p>
    <w:p w:rsidR="008071C6" w:rsidRDefault="008F3EA9">
      <w:pPr>
        <w:pStyle w:val="TOC1"/>
        <w:rPr>
          <w:rFonts w:asciiTheme="minorHAnsi" w:eastAsiaTheme="minorEastAsia" w:hAnsiTheme="minorHAnsi" w:cstheme="minorBidi"/>
          <w:b w:val="0"/>
          <w:sz w:val="22"/>
          <w:szCs w:val="22"/>
        </w:rPr>
      </w:pPr>
      <w:hyperlink w:anchor="_Toc351383137" w:history="1">
        <w:r w:rsidR="008071C6" w:rsidRPr="00F84639">
          <w:rPr>
            <w:rStyle w:val="Hyperlink"/>
          </w:rPr>
          <w:t>3</w:t>
        </w:r>
        <w:r w:rsidR="008071C6">
          <w:rPr>
            <w:rFonts w:asciiTheme="minorHAnsi" w:eastAsiaTheme="minorEastAsia" w:hAnsiTheme="minorHAnsi" w:cstheme="minorBidi"/>
            <w:b w:val="0"/>
            <w:sz w:val="22"/>
            <w:szCs w:val="22"/>
          </w:rPr>
          <w:tab/>
        </w:r>
        <w:r w:rsidR="008071C6" w:rsidRPr="00F84639">
          <w:rPr>
            <w:rStyle w:val="Hyperlink"/>
          </w:rPr>
          <w:t>Why collect intersex and gender identity data?</w:t>
        </w:r>
        <w:r w:rsidR="008071C6">
          <w:rPr>
            <w:webHidden/>
          </w:rPr>
          <w:tab/>
        </w:r>
        <w:r w:rsidR="008071C6">
          <w:rPr>
            <w:webHidden/>
          </w:rPr>
          <w:fldChar w:fldCharType="begin"/>
        </w:r>
        <w:r w:rsidR="008071C6">
          <w:rPr>
            <w:webHidden/>
          </w:rPr>
          <w:instrText xml:space="preserve"> PAGEREF _Toc351383137 \h </w:instrText>
        </w:r>
        <w:r w:rsidR="008071C6">
          <w:rPr>
            <w:webHidden/>
          </w:rPr>
        </w:r>
        <w:r w:rsidR="008071C6">
          <w:rPr>
            <w:webHidden/>
          </w:rPr>
          <w:fldChar w:fldCharType="separate"/>
        </w:r>
        <w:r w:rsidR="008071C6">
          <w:rPr>
            <w:webHidden/>
          </w:rPr>
          <w:t>3</w:t>
        </w:r>
        <w:r w:rsidR="008071C6">
          <w:rPr>
            <w:webHidden/>
          </w:rPr>
          <w:fldChar w:fldCharType="end"/>
        </w:r>
      </w:hyperlink>
    </w:p>
    <w:p w:rsidR="008071C6" w:rsidRDefault="008F3EA9">
      <w:pPr>
        <w:pStyle w:val="TOC1"/>
        <w:rPr>
          <w:rFonts w:asciiTheme="minorHAnsi" w:eastAsiaTheme="minorEastAsia" w:hAnsiTheme="minorHAnsi" w:cstheme="minorBidi"/>
          <w:b w:val="0"/>
          <w:sz w:val="22"/>
          <w:szCs w:val="22"/>
        </w:rPr>
      </w:pPr>
      <w:hyperlink w:anchor="_Toc351383138" w:history="1">
        <w:r w:rsidR="008071C6" w:rsidRPr="00F84639">
          <w:rPr>
            <w:rStyle w:val="Hyperlink"/>
          </w:rPr>
          <w:t>4</w:t>
        </w:r>
        <w:r w:rsidR="008071C6">
          <w:rPr>
            <w:rFonts w:asciiTheme="minorHAnsi" w:eastAsiaTheme="minorEastAsia" w:hAnsiTheme="minorHAnsi" w:cstheme="minorBidi"/>
            <w:b w:val="0"/>
            <w:sz w:val="22"/>
            <w:szCs w:val="22"/>
          </w:rPr>
          <w:tab/>
        </w:r>
        <w:r w:rsidR="008071C6" w:rsidRPr="00F84639">
          <w:rPr>
            <w:rStyle w:val="Hyperlink"/>
          </w:rPr>
          <w:t>Why standardise intersex and gender identity?</w:t>
        </w:r>
        <w:r w:rsidR="008071C6">
          <w:rPr>
            <w:webHidden/>
          </w:rPr>
          <w:tab/>
        </w:r>
        <w:r w:rsidR="008071C6">
          <w:rPr>
            <w:webHidden/>
          </w:rPr>
          <w:fldChar w:fldCharType="begin"/>
        </w:r>
        <w:r w:rsidR="008071C6">
          <w:rPr>
            <w:webHidden/>
          </w:rPr>
          <w:instrText xml:space="preserve"> PAGEREF _Toc351383138 \h </w:instrText>
        </w:r>
        <w:r w:rsidR="008071C6">
          <w:rPr>
            <w:webHidden/>
          </w:rPr>
        </w:r>
        <w:r w:rsidR="008071C6">
          <w:rPr>
            <w:webHidden/>
          </w:rPr>
          <w:fldChar w:fldCharType="separate"/>
        </w:r>
        <w:r w:rsidR="008071C6">
          <w:rPr>
            <w:webHidden/>
          </w:rPr>
          <w:t>4</w:t>
        </w:r>
        <w:r w:rsidR="008071C6">
          <w:rPr>
            <w:webHidden/>
          </w:rPr>
          <w:fldChar w:fldCharType="end"/>
        </w:r>
      </w:hyperlink>
    </w:p>
    <w:p w:rsidR="008071C6" w:rsidRDefault="008F3EA9">
      <w:pPr>
        <w:pStyle w:val="TOC1"/>
        <w:rPr>
          <w:rFonts w:asciiTheme="minorHAnsi" w:eastAsiaTheme="minorEastAsia" w:hAnsiTheme="minorHAnsi" w:cstheme="minorBidi"/>
          <w:b w:val="0"/>
          <w:sz w:val="22"/>
          <w:szCs w:val="22"/>
        </w:rPr>
      </w:pPr>
      <w:hyperlink w:anchor="_Toc351383139" w:history="1">
        <w:r w:rsidR="008071C6" w:rsidRPr="00F84639">
          <w:rPr>
            <w:rStyle w:val="Hyperlink"/>
          </w:rPr>
          <w:t>5</w:t>
        </w:r>
        <w:r w:rsidR="008071C6">
          <w:rPr>
            <w:rFonts w:asciiTheme="minorHAnsi" w:eastAsiaTheme="minorEastAsia" w:hAnsiTheme="minorHAnsi" w:cstheme="minorBidi"/>
            <w:b w:val="0"/>
            <w:sz w:val="22"/>
            <w:szCs w:val="22"/>
          </w:rPr>
          <w:tab/>
        </w:r>
        <w:r w:rsidR="008071C6" w:rsidRPr="00F84639">
          <w:rPr>
            <w:rStyle w:val="Hyperlink"/>
          </w:rPr>
          <w:t>Standardising and collecting intersex and gender identity data</w:t>
        </w:r>
        <w:r w:rsidR="008071C6">
          <w:rPr>
            <w:webHidden/>
          </w:rPr>
          <w:tab/>
        </w:r>
        <w:r w:rsidR="008071C6">
          <w:rPr>
            <w:webHidden/>
          </w:rPr>
          <w:fldChar w:fldCharType="begin"/>
        </w:r>
        <w:r w:rsidR="008071C6">
          <w:rPr>
            <w:webHidden/>
          </w:rPr>
          <w:instrText xml:space="preserve"> PAGEREF _Toc351383139 \h </w:instrText>
        </w:r>
        <w:r w:rsidR="008071C6">
          <w:rPr>
            <w:webHidden/>
          </w:rPr>
        </w:r>
        <w:r w:rsidR="008071C6">
          <w:rPr>
            <w:webHidden/>
          </w:rPr>
          <w:fldChar w:fldCharType="separate"/>
        </w:r>
        <w:r w:rsidR="008071C6">
          <w:rPr>
            <w:webHidden/>
          </w:rPr>
          <w:t>4</w:t>
        </w:r>
        <w:r w:rsidR="008071C6">
          <w:rPr>
            <w:webHidden/>
          </w:rPr>
          <w:fldChar w:fldCharType="end"/>
        </w:r>
      </w:hyperlink>
    </w:p>
    <w:p w:rsidR="008071C6" w:rsidRDefault="008F3EA9">
      <w:pPr>
        <w:pStyle w:val="TOC2"/>
        <w:rPr>
          <w:rFonts w:asciiTheme="minorHAnsi" w:eastAsiaTheme="minorEastAsia" w:hAnsiTheme="minorHAnsi" w:cstheme="minorBidi"/>
          <w:b w:val="0"/>
          <w:i w:val="0"/>
          <w:szCs w:val="22"/>
        </w:rPr>
      </w:pPr>
      <w:hyperlink w:anchor="_Toc351383140" w:history="1">
        <w:r w:rsidR="008071C6" w:rsidRPr="00F84639">
          <w:rPr>
            <w:rStyle w:val="Hyperlink"/>
          </w:rPr>
          <w:t>5.1</w:t>
        </w:r>
        <w:r w:rsidR="008071C6">
          <w:rPr>
            <w:rFonts w:asciiTheme="minorHAnsi" w:eastAsiaTheme="minorEastAsia" w:hAnsiTheme="minorHAnsi" w:cstheme="minorBidi"/>
            <w:b w:val="0"/>
            <w:i w:val="0"/>
            <w:szCs w:val="22"/>
          </w:rPr>
          <w:tab/>
        </w:r>
        <w:r w:rsidR="008071C6" w:rsidRPr="00F84639">
          <w:rPr>
            <w:rStyle w:val="Hyperlink"/>
          </w:rPr>
          <w:t>Standardising the collection of intersex data</w:t>
        </w:r>
        <w:r w:rsidR="008071C6">
          <w:rPr>
            <w:webHidden/>
          </w:rPr>
          <w:tab/>
        </w:r>
        <w:r w:rsidR="008071C6">
          <w:rPr>
            <w:webHidden/>
          </w:rPr>
          <w:fldChar w:fldCharType="begin"/>
        </w:r>
        <w:r w:rsidR="008071C6">
          <w:rPr>
            <w:webHidden/>
          </w:rPr>
          <w:instrText xml:space="preserve"> PAGEREF _Toc351383140 \h </w:instrText>
        </w:r>
        <w:r w:rsidR="008071C6">
          <w:rPr>
            <w:webHidden/>
          </w:rPr>
        </w:r>
        <w:r w:rsidR="008071C6">
          <w:rPr>
            <w:webHidden/>
          </w:rPr>
          <w:fldChar w:fldCharType="separate"/>
        </w:r>
        <w:r w:rsidR="008071C6">
          <w:rPr>
            <w:webHidden/>
          </w:rPr>
          <w:t>4</w:t>
        </w:r>
        <w:r w:rsidR="008071C6">
          <w:rPr>
            <w:webHidden/>
          </w:rPr>
          <w:fldChar w:fldCharType="end"/>
        </w:r>
      </w:hyperlink>
    </w:p>
    <w:p w:rsidR="008071C6" w:rsidRDefault="008F3EA9">
      <w:pPr>
        <w:pStyle w:val="TOC2"/>
        <w:rPr>
          <w:rFonts w:asciiTheme="minorHAnsi" w:eastAsiaTheme="minorEastAsia" w:hAnsiTheme="minorHAnsi" w:cstheme="minorBidi"/>
          <w:b w:val="0"/>
          <w:i w:val="0"/>
          <w:szCs w:val="22"/>
        </w:rPr>
      </w:pPr>
      <w:hyperlink w:anchor="_Toc351383141" w:history="1">
        <w:r w:rsidR="008071C6" w:rsidRPr="00F84639">
          <w:rPr>
            <w:rStyle w:val="Hyperlink"/>
          </w:rPr>
          <w:t>5.2</w:t>
        </w:r>
        <w:r w:rsidR="008071C6">
          <w:rPr>
            <w:rFonts w:asciiTheme="minorHAnsi" w:eastAsiaTheme="minorEastAsia" w:hAnsiTheme="minorHAnsi" w:cstheme="minorBidi"/>
            <w:b w:val="0"/>
            <w:i w:val="0"/>
            <w:szCs w:val="22"/>
          </w:rPr>
          <w:tab/>
        </w:r>
        <w:r w:rsidR="008071C6" w:rsidRPr="00F84639">
          <w:rPr>
            <w:rStyle w:val="Hyperlink"/>
          </w:rPr>
          <w:t>Standardising the collection of gender identity data</w:t>
        </w:r>
        <w:r w:rsidR="008071C6">
          <w:rPr>
            <w:webHidden/>
          </w:rPr>
          <w:tab/>
        </w:r>
        <w:r w:rsidR="008071C6">
          <w:rPr>
            <w:webHidden/>
          </w:rPr>
          <w:fldChar w:fldCharType="begin"/>
        </w:r>
        <w:r w:rsidR="008071C6">
          <w:rPr>
            <w:webHidden/>
          </w:rPr>
          <w:instrText xml:space="preserve"> PAGEREF _Toc351383141 \h </w:instrText>
        </w:r>
        <w:r w:rsidR="008071C6">
          <w:rPr>
            <w:webHidden/>
          </w:rPr>
        </w:r>
        <w:r w:rsidR="008071C6">
          <w:rPr>
            <w:webHidden/>
          </w:rPr>
          <w:fldChar w:fldCharType="separate"/>
        </w:r>
        <w:r w:rsidR="008071C6">
          <w:rPr>
            <w:webHidden/>
          </w:rPr>
          <w:t>5</w:t>
        </w:r>
        <w:r w:rsidR="008071C6">
          <w:rPr>
            <w:webHidden/>
          </w:rPr>
          <w:fldChar w:fldCharType="end"/>
        </w:r>
      </w:hyperlink>
    </w:p>
    <w:p w:rsidR="008071C6" w:rsidRDefault="008F3EA9">
      <w:pPr>
        <w:pStyle w:val="TOC2"/>
        <w:rPr>
          <w:rFonts w:asciiTheme="minorHAnsi" w:eastAsiaTheme="minorEastAsia" w:hAnsiTheme="minorHAnsi" w:cstheme="minorBidi"/>
          <w:b w:val="0"/>
          <w:i w:val="0"/>
          <w:szCs w:val="22"/>
        </w:rPr>
      </w:pPr>
      <w:hyperlink w:anchor="_Toc351383142" w:history="1">
        <w:r w:rsidR="008071C6" w:rsidRPr="00F84639">
          <w:rPr>
            <w:rStyle w:val="Hyperlink"/>
          </w:rPr>
          <w:t>5.3</w:t>
        </w:r>
        <w:r w:rsidR="008071C6">
          <w:rPr>
            <w:rFonts w:asciiTheme="minorHAnsi" w:eastAsiaTheme="minorEastAsia" w:hAnsiTheme="minorHAnsi" w:cstheme="minorBidi"/>
            <w:b w:val="0"/>
            <w:i w:val="0"/>
            <w:szCs w:val="22"/>
          </w:rPr>
          <w:tab/>
        </w:r>
        <w:r w:rsidR="008071C6" w:rsidRPr="00F84639">
          <w:rPr>
            <w:rStyle w:val="Hyperlink"/>
          </w:rPr>
          <w:t>Disclosure by respondents</w:t>
        </w:r>
        <w:r w:rsidR="008071C6">
          <w:rPr>
            <w:webHidden/>
          </w:rPr>
          <w:tab/>
        </w:r>
        <w:r w:rsidR="008071C6">
          <w:rPr>
            <w:webHidden/>
          </w:rPr>
          <w:fldChar w:fldCharType="begin"/>
        </w:r>
        <w:r w:rsidR="008071C6">
          <w:rPr>
            <w:webHidden/>
          </w:rPr>
          <w:instrText xml:space="preserve"> PAGEREF _Toc351383142 \h </w:instrText>
        </w:r>
        <w:r w:rsidR="008071C6">
          <w:rPr>
            <w:webHidden/>
          </w:rPr>
        </w:r>
        <w:r w:rsidR="008071C6">
          <w:rPr>
            <w:webHidden/>
          </w:rPr>
          <w:fldChar w:fldCharType="separate"/>
        </w:r>
        <w:r w:rsidR="008071C6">
          <w:rPr>
            <w:webHidden/>
          </w:rPr>
          <w:t>6</w:t>
        </w:r>
        <w:r w:rsidR="008071C6">
          <w:rPr>
            <w:webHidden/>
          </w:rPr>
          <w:fldChar w:fldCharType="end"/>
        </w:r>
      </w:hyperlink>
    </w:p>
    <w:p w:rsidR="008071C6" w:rsidRDefault="008F3EA9">
      <w:pPr>
        <w:pStyle w:val="TOC2"/>
        <w:rPr>
          <w:rFonts w:asciiTheme="minorHAnsi" w:eastAsiaTheme="minorEastAsia" w:hAnsiTheme="minorHAnsi" w:cstheme="minorBidi"/>
          <w:b w:val="0"/>
          <w:i w:val="0"/>
          <w:szCs w:val="22"/>
        </w:rPr>
      </w:pPr>
      <w:hyperlink w:anchor="_Toc351383143" w:history="1">
        <w:r w:rsidR="008071C6" w:rsidRPr="00F84639">
          <w:rPr>
            <w:rStyle w:val="Hyperlink"/>
          </w:rPr>
          <w:t>5.4</w:t>
        </w:r>
        <w:r w:rsidR="008071C6">
          <w:rPr>
            <w:rFonts w:asciiTheme="minorHAnsi" w:eastAsiaTheme="minorEastAsia" w:hAnsiTheme="minorHAnsi" w:cstheme="minorBidi"/>
            <w:b w:val="0"/>
            <w:i w:val="0"/>
            <w:szCs w:val="22"/>
          </w:rPr>
          <w:tab/>
        </w:r>
        <w:r w:rsidR="008071C6" w:rsidRPr="00F84639">
          <w:rPr>
            <w:rStyle w:val="Hyperlink"/>
          </w:rPr>
          <w:t>Appropriate terminology</w:t>
        </w:r>
        <w:r w:rsidR="008071C6">
          <w:rPr>
            <w:webHidden/>
          </w:rPr>
          <w:tab/>
        </w:r>
        <w:r w:rsidR="008071C6">
          <w:rPr>
            <w:webHidden/>
          </w:rPr>
          <w:fldChar w:fldCharType="begin"/>
        </w:r>
        <w:r w:rsidR="008071C6">
          <w:rPr>
            <w:webHidden/>
          </w:rPr>
          <w:instrText xml:space="preserve"> PAGEREF _Toc351383143 \h </w:instrText>
        </w:r>
        <w:r w:rsidR="008071C6">
          <w:rPr>
            <w:webHidden/>
          </w:rPr>
        </w:r>
        <w:r w:rsidR="008071C6">
          <w:rPr>
            <w:webHidden/>
          </w:rPr>
          <w:fldChar w:fldCharType="separate"/>
        </w:r>
        <w:r w:rsidR="008071C6">
          <w:rPr>
            <w:webHidden/>
          </w:rPr>
          <w:t>6</w:t>
        </w:r>
        <w:r w:rsidR="008071C6">
          <w:rPr>
            <w:webHidden/>
          </w:rPr>
          <w:fldChar w:fldCharType="end"/>
        </w:r>
      </w:hyperlink>
    </w:p>
    <w:p w:rsidR="008071C6" w:rsidRDefault="008F3EA9">
      <w:pPr>
        <w:pStyle w:val="TOC1"/>
        <w:rPr>
          <w:rFonts w:asciiTheme="minorHAnsi" w:eastAsiaTheme="minorEastAsia" w:hAnsiTheme="minorHAnsi" w:cstheme="minorBidi"/>
          <w:b w:val="0"/>
          <w:sz w:val="22"/>
          <w:szCs w:val="22"/>
        </w:rPr>
      </w:pPr>
      <w:hyperlink w:anchor="_Toc351383144" w:history="1">
        <w:r w:rsidR="008071C6" w:rsidRPr="00F84639">
          <w:rPr>
            <w:rStyle w:val="Hyperlink"/>
          </w:rPr>
          <w:t>6</w:t>
        </w:r>
        <w:r w:rsidR="008071C6">
          <w:rPr>
            <w:rFonts w:asciiTheme="minorHAnsi" w:eastAsiaTheme="minorEastAsia" w:hAnsiTheme="minorHAnsi" w:cstheme="minorBidi"/>
            <w:b w:val="0"/>
            <w:sz w:val="22"/>
            <w:szCs w:val="22"/>
          </w:rPr>
          <w:tab/>
        </w:r>
        <w:r w:rsidR="008071C6" w:rsidRPr="00F84639">
          <w:rPr>
            <w:rStyle w:val="Hyperlink"/>
          </w:rPr>
          <w:t>Options for further action</w:t>
        </w:r>
        <w:r w:rsidR="008071C6">
          <w:rPr>
            <w:webHidden/>
          </w:rPr>
          <w:tab/>
        </w:r>
        <w:r w:rsidR="008071C6">
          <w:rPr>
            <w:webHidden/>
          </w:rPr>
          <w:fldChar w:fldCharType="begin"/>
        </w:r>
        <w:r w:rsidR="008071C6">
          <w:rPr>
            <w:webHidden/>
          </w:rPr>
          <w:instrText xml:space="preserve"> PAGEREF _Toc351383144 \h </w:instrText>
        </w:r>
        <w:r w:rsidR="008071C6">
          <w:rPr>
            <w:webHidden/>
          </w:rPr>
        </w:r>
        <w:r w:rsidR="008071C6">
          <w:rPr>
            <w:webHidden/>
          </w:rPr>
          <w:fldChar w:fldCharType="separate"/>
        </w:r>
        <w:r w:rsidR="008071C6">
          <w:rPr>
            <w:webHidden/>
          </w:rPr>
          <w:t>6</w:t>
        </w:r>
        <w:r w:rsidR="008071C6">
          <w:rPr>
            <w:webHidden/>
          </w:rPr>
          <w:fldChar w:fldCharType="end"/>
        </w:r>
      </w:hyperlink>
    </w:p>
    <w:p w:rsidR="008071C6" w:rsidRDefault="008F3EA9">
      <w:pPr>
        <w:pStyle w:val="TOC2"/>
        <w:rPr>
          <w:rFonts w:asciiTheme="minorHAnsi" w:eastAsiaTheme="minorEastAsia" w:hAnsiTheme="minorHAnsi" w:cstheme="minorBidi"/>
          <w:b w:val="0"/>
          <w:i w:val="0"/>
          <w:szCs w:val="22"/>
        </w:rPr>
      </w:pPr>
      <w:hyperlink w:anchor="_Toc351383145" w:history="1">
        <w:r w:rsidR="008071C6" w:rsidRPr="00F84639">
          <w:rPr>
            <w:rStyle w:val="Hyperlink"/>
          </w:rPr>
          <w:t>6.1</w:t>
        </w:r>
        <w:r w:rsidR="008071C6">
          <w:rPr>
            <w:rFonts w:asciiTheme="minorHAnsi" w:eastAsiaTheme="minorEastAsia" w:hAnsiTheme="minorHAnsi" w:cstheme="minorBidi"/>
            <w:b w:val="0"/>
            <w:i w:val="0"/>
            <w:szCs w:val="22"/>
          </w:rPr>
          <w:tab/>
        </w:r>
        <w:r w:rsidR="008071C6" w:rsidRPr="00F84639">
          <w:rPr>
            <w:rStyle w:val="Hyperlink"/>
          </w:rPr>
          <w:t>Working group</w:t>
        </w:r>
        <w:r w:rsidR="008071C6">
          <w:rPr>
            <w:webHidden/>
          </w:rPr>
          <w:tab/>
        </w:r>
        <w:r w:rsidR="008071C6">
          <w:rPr>
            <w:webHidden/>
          </w:rPr>
          <w:fldChar w:fldCharType="begin"/>
        </w:r>
        <w:r w:rsidR="008071C6">
          <w:rPr>
            <w:webHidden/>
          </w:rPr>
          <w:instrText xml:space="preserve"> PAGEREF _Toc351383145 \h </w:instrText>
        </w:r>
        <w:r w:rsidR="008071C6">
          <w:rPr>
            <w:webHidden/>
          </w:rPr>
        </w:r>
        <w:r w:rsidR="008071C6">
          <w:rPr>
            <w:webHidden/>
          </w:rPr>
          <w:fldChar w:fldCharType="separate"/>
        </w:r>
        <w:r w:rsidR="008071C6">
          <w:rPr>
            <w:webHidden/>
          </w:rPr>
          <w:t>6</w:t>
        </w:r>
        <w:r w:rsidR="008071C6">
          <w:rPr>
            <w:webHidden/>
          </w:rPr>
          <w:fldChar w:fldCharType="end"/>
        </w:r>
      </w:hyperlink>
    </w:p>
    <w:p w:rsidR="008071C6" w:rsidRDefault="008F3EA9">
      <w:pPr>
        <w:pStyle w:val="TOC2"/>
        <w:rPr>
          <w:rFonts w:asciiTheme="minorHAnsi" w:eastAsiaTheme="minorEastAsia" w:hAnsiTheme="minorHAnsi" w:cstheme="minorBidi"/>
          <w:b w:val="0"/>
          <w:i w:val="0"/>
          <w:szCs w:val="22"/>
        </w:rPr>
      </w:pPr>
      <w:hyperlink w:anchor="_Toc351383146" w:history="1">
        <w:r w:rsidR="008071C6" w:rsidRPr="00F84639">
          <w:rPr>
            <w:rStyle w:val="Hyperlink"/>
          </w:rPr>
          <w:t>6.2</w:t>
        </w:r>
        <w:r w:rsidR="008071C6">
          <w:rPr>
            <w:rFonts w:asciiTheme="minorHAnsi" w:eastAsiaTheme="minorEastAsia" w:hAnsiTheme="minorHAnsi" w:cstheme="minorBidi"/>
            <w:b w:val="0"/>
            <w:i w:val="0"/>
            <w:szCs w:val="22"/>
          </w:rPr>
          <w:tab/>
        </w:r>
        <w:r w:rsidR="008071C6" w:rsidRPr="00F84639">
          <w:rPr>
            <w:rStyle w:val="Hyperlink"/>
          </w:rPr>
          <w:t>Consistency across the Australian Government</w:t>
        </w:r>
        <w:r w:rsidR="008071C6">
          <w:rPr>
            <w:webHidden/>
          </w:rPr>
          <w:tab/>
        </w:r>
        <w:r w:rsidR="008071C6">
          <w:rPr>
            <w:webHidden/>
          </w:rPr>
          <w:fldChar w:fldCharType="begin"/>
        </w:r>
        <w:r w:rsidR="008071C6">
          <w:rPr>
            <w:webHidden/>
          </w:rPr>
          <w:instrText xml:space="preserve"> PAGEREF _Toc351383146 \h </w:instrText>
        </w:r>
        <w:r w:rsidR="008071C6">
          <w:rPr>
            <w:webHidden/>
          </w:rPr>
        </w:r>
        <w:r w:rsidR="008071C6">
          <w:rPr>
            <w:webHidden/>
          </w:rPr>
          <w:fldChar w:fldCharType="separate"/>
        </w:r>
        <w:r w:rsidR="008071C6">
          <w:rPr>
            <w:webHidden/>
          </w:rPr>
          <w:t>7</w:t>
        </w:r>
        <w:r w:rsidR="008071C6">
          <w:rPr>
            <w:webHidden/>
          </w:rPr>
          <w:fldChar w:fldCharType="end"/>
        </w:r>
      </w:hyperlink>
    </w:p>
    <w:p w:rsidR="005132AC" w:rsidRDefault="000F3A4C" w:rsidP="005132AC">
      <w:r>
        <w:rPr>
          <w:i/>
          <w:noProof/>
          <w:sz w:val="22"/>
        </w:rPr>
        <w:fldChar w:fldCharType="end"/>
      </w:r>
      <w:r w:rsidR="007D4107">
        <w:t xml:space="preserve"> </w:t>
      </w:r>
      <w:r w:rsidR="007411DF">
        <w:br w:type="page"/>
      </w:r>
    </w:p>
    <w:p w:rsidR="00D90A40" w:rsidRPr="005132AC" w:rsidRDefault="00D90A40" w:rsidP="005132AC">
      <w:pPr>
        <w:pStyle w:val="Heading1"/>
      </w:pPr>
      <w:bookmarkStart w:id="6" w:name="_Toc351383135"/>
      <w:r w:rsidRPr="005132AC">
        <w:lastRenderedPageBreak/>
        <w:t>Introduction</w:t>
      </w:r>
      <w:bookmarkEnd w:id="6"/>
      <w:r w:rsidRPr="005132AC">
        <w:t xml:space="preserve"> </w:t>
      </w:r>
    </w:p>
    <w:p w:rsidR="00874594" w:rsidRDefault="00874594" w:rsidP="00874594">
      <w:pPr>
        <w:pStyle w:val="SubmissionNormal"/>
        <w:ind w:left="1276" w:hanging="709"/>
        <w:jc w:val="both"/>
      </w:pPr>
      <w:r w:rsidRPr="00874594">
        <w:t>The Australian Human Rights Commission makes this submission to the Australian Bureau of Statistics (ABS) Review of the Sex Standard/Potential New Gender Standard.</w:t>
      </w:r>
    </w:p>
    <w:p w:rsidR="002C51ED" w:rsidRDefault="002C51ED" w:rsidP="00874594">
      <w:pPr>
        <w:pStyle w:val="SubmissionNormal"/>
        <w:ind w:left="1276" w:hanging="709"/>
        <w:jc w:val="both"/>
      </w:pPr>
      <w:r>
        <w:t xml:space="preserve">The </w:t>
      </w:r>
      <w:r w:rsidR="000329FB">
        <w:t xml:space="preserve">Commission commends the ABS for </w:t>
      </w:r>
      <w:r w:rsidR="00123B34">
        <w:t xml:space="preserve">reviewing the Sex Standard and considering options for standardising the collection </w:t>
      </w:r>
      <w:r w:rsidR="00585FC0">
        <w:t xml:space="preserve">of data </w:t>
      </w:r>
      <w:r w:rsidR="00123B34">
        <w:t xml:space="preserve">which is not </w:t>
      </w:r>
      <w:r w:rsidR="0041740B">
        <w:t xml:space="preserve">currently </w:t>
      </w:r>
      <w:r w:rsidR="00123B34">
        <w:t xml:space="preserve">captured by </w:t>
      </w:r>
      <w:r w:rsidR="0041740B">
        <w:t>the Sex Standard’s</w:t>
      </w:r>
      <w:r w:rsidR="00121DB2">
        <w:t xml:space="preserve"> biological</w:t>
      </w:r>
      <w:r w:rsidR="0041740B">
        <w:t xml:space="preserve"> </w:t>
      </w:r>
      <w:r w:rsidR="00121DB2">
        <w:t xml:space="preserve">sex </w:t>
      </w:r>
      <w:r w:rsidR="0041740B">
        <w:t>categories of male, female and in some circumstances ‘intersex or indeterminate’.</w:t>
      </w:r>
      <w:r w:rsidR="00123B34">
        <w:t xml:space="preserve"> </w:t>
      </w:r>
      <w:r w:rsidR="0041740B">
        <w:t xml:space="preserve">Further consideration of the concepts of sex and gender </w:t>
      </w:r>
      <w:r w:rsidR="00585FC0">
        <w:t xml:space="preserve">identity </w:t>
      </w:r>
      <w:r w:rsidR="0041740B">
        <w:t xml:space="preserve">may provide the ABS with options to promote </w:t>
      </w:r>
      <w:r w:rsidR="000B0A98">
        <w:t xml:space="preserve">greater </w:t>
      </w:r>
      <w:r w:rsidR="0041740B">
        <w:t xml:space="preserve">collection of </w:t>
      </w:r>
      <w:r w:rsidR="00523A8F">
        <w:t>intersex data and</w:t>
      </w:r>
      <w:r w:rsidR="00351648">
        <w:t xml:space="preserve"> to collect data which is currently missing, such as </w:t>
      </w:r>
      <w:r w:rsidR="00585FC0">
        <w:t xml:space="preserve">regarding </w:t>
      </w:r>
      <w:proofErr w:type="gramStart"/>
      <w:r w:rsidR="00351648">
        <w:t>trans</w:t>
      </w:r>
      <w:proofErr w:type="gramEnd"/>
      <w:r w:rsidR="00F63DDE">
        <w:rPr>
          <w:rStyle w:val="EndnoteReference"/>
        </w:rPr>
        <w:endnoteReference w:id="1"/>
      </w:r>
      <w:r w:rsidR="00351648">
        <w:t xml:space="preserve"> people whose</w:t>
      </w:r>
      <w:r w:rsidR="00523A8F">
        <w:t xml:space="preserve"> </w:t>
      </w:r>
      <w:r w:rsidR="0041740B">
        <w:t>gender identit</w:t>
      </w:r>
      <w:r w:rsidR="00351648">
        <w:t>y</w:t>
      </w:r>
      <w:r w:rsidR="00F63DDE">
        <w:rPr>
          <w:rStyle w:val="EndnoteReference"/>
        </w:rPr>
        <w:endnoteReference w:id="2"/>
      </w:r>
      <w:r w:rsidR="00351648">
        <w:t xml:space="preserve"> may be different to their sex at birth.</w:t>
      </w:r>
      <w:r w:rsidR="000B0A98">
        <w:t xml:space="preserve"> </w:t>
      </w:r>
    </w:p>
    <w:p w:rsidR="00B956B9" w:rsidRPr="00553D13" w:rsidRDefault="00443281" w:rsidP="00240D51">
      <w:pPr>
        <w:pStyle w:val="SubmissionNormal"/>
        <w:ind w:left="1276" w:hanging="717"/>
        <w:jc w:val="both"/>
      </w:pPr>
      <w:r>
        <w:t xml:space="preserve">This </w:t>
      </w:r>
      <w:r w:rsidR="0041740B">
        <w:t xml:space="preserve">brief submission outlines the need to collect </w:t>
      </w:r>
      <w:r w:rsidR="000B0A98">
        <w:t xml:space="preserve">further and better data </w:t>
      </w:r>
      <w:r w:rsidR="00F939C0">
        <w:t>on intersex and gender identity</w:t>
      </w:r>
      <w:r w:rsidR="00435042">
        <w:t xml:space="preserve"> </w:t>
      </w:r>
      <w:r w:rsidR="000B0A98">
        <w:t xml:space="preserve">and </w:t>
      </w:r>
      <w:r>
        <w:t xml:space="preserve">provides </w:t>
      </w:r>
      <w:r w:rsidR="000B0A98">
        <w:t>options for</w:t>
      </w:r>
      <w:r>
        <w:t xml:space="preserve"> </w:t>
      </w:r>
      <w:r w:rsidR="006A5C43">
        <w:t xml:space="preserve">further action on </w:t>
      </w:r>
      <w:r>
        <w:t>standardis</w:t>
      </w:r>
      <w:r w:rsidR="006A5C43">
        <w:t>ing</w:t>
      </w:r>
      <w:r>
        <w:t xml:space="preserve"> this collection.</w:t>
      </w:r>
    </w:p>
    <w:p w:rsidR="00B956B9" w:rsidRDefault="00B956B9" w:rsidP="00286200">
      <w:pPr>
        <w:pStyle w:val="Heading1"/>
      </w:pPr>
      <w:bookmarkStart w:id="7" w:name="_Toc343004750"/>
      <w:bookmarkStart w:id="8" w:name="_Toc351383136"/>
      <w:bookmarkEnd w:id="7"/>
      <w:r w:rsidRPr="005132AC">
        <w:t>Recommendations</w:t>
      </w:r>
      <w:bookmarkEnd w:id="8"/>
    </w:p>
    <w:p w:rsidR="00B956B9" w:rsidRPr="008A0DF3" w:rsidRDefault="00B956B9" w:rsidP="000801AA">
      <w:pPr>
        <w:pStyle w:val="SubmissionNormal"/>
        <w:ind w:left="1276" w:hanging="709"/>
        <w:jc w:val="both"/>
      </w:pPr>
      <w:r w:rsidRPr="008A0DF3">
        <w:t>The Australian Hum</w:t>
      </w:r>
      <w:r w:rsidR="00874594" w:rsidRPr="008A0DF3">
        <w:t>an Rights Commission recommends that the Australian Bureau of Statistics:</w:t>
      </w:r>
    </w:p>
    <w:p w:rsidR="00874594" w:rsidRDefault="00874594" w:rsidP="00C90E5B">
      <w:pPr>
        <w:pStyle w:val="ListParagraph"/>
        <w:numPr>
          <w:ilvl w:val="0"/>
          <w:numId w:val="37"/>
        </w:numPr>
      </w:pPr>
      <w:r w:rsidRPr="00874594">
        <w:t xml:space="preserve">Prioritise </w:t>
      </w:r>
      <w:r w:rsidR="00585FC0">
        <w:t>standardising</w:t>
      </w:r>
      <w:r w:rsidR="00C90E5B">
        <w:t xml:space="preserve"> the collection of </w:t>
      </w:r>
      <w:r w:rsidR="00914AEB">
        <w:t xml:space="preserve">intersex and </w:t>
      </w:r>
      <w:r w:rsidR="00C90E5B">
        <w:t xml:space="preserve">gender identity data </w:t>
      </w:r>
      <w:r w:rsidR="00ED6479">
        <w:rPr>
          <w:b/>
        </w:rPr>
        <w:t>[Recommendation 1</w:t>
      </w:r>
      <w:r w:rsidR="00C90E5B">
        <w:rPr>
          <w:b/>
        </w:rPr>
        <w:t>].</w:t>
      </w:r>
      <w:r w:rsidR="001B14FF">
        <w:br/>
      </w:r>
    </w:p>
    <w:p w:rsidR="00874594" w:rsidRDefault="00874594" w:rsidP="00C90E5B">
      <w:pPr>
        <w:pStyle w:val="ListParagraph"/>
        <w:numPr>
          <w:ilvl w:val="0"/>
          <w:numId w:val="37"/>
        </w:numPr>
      </w:pPr>
      <w:r w:rsidRPr="00874594">
        <w:t>Conve</w:t>
      </w:r>
      <w:r w:rsidR="00C90E5B">
        <w:t xml:space="preserve">ne a Working Group with representatives of </w:t>
      </w:r>
      <w:proofErr w:type="gramStart"/>
      <w:r w:rsidRPr="00874594">
        <w:t>trans</w:t>
      </w:r>
      <w:proofErr w:type="gramEnd"/>
      <w:r w:rsidRPr="00874594">
        <w:t xml:space="preserve"> and intersex </w:t>
      </w:r>
      <w:r w:rsidR="00C90E5B">
        <w:t>communities</w:t>
      </w:r>
      <w:r w:rsidRPr="00874594">
        <w:t xml:space="preserve">, academics and policy-makers to further consider </w:t>
      </w:r>
      <w:r w:rsidR="00E53F0C">
        <w:t xml:space="preserve">options for the </w:t>
      </w:r>
      <w:r w:rsidRPr="00874594">
        <w:t xml:space="preserve">Sex </w:t>
      </w:r>
      <w:r w:rsidR="00E53F0C">
        <w:t xml:space="preserve">Standard </w:t>
      </w:r>
      <w:r w:rsidRPr="00874594">
        <w:t xml:space="preserve">and </w:t>
      </w:r>
      <w:r w:rsidR="00914AEB">
        <w:t xml:space="preserve">a </w:t>
      </w:r>
      <w:r w:rsidR="00E53F0C">
        <w:t>potential</w:t>
      </w:r>
      <w:r w:rsidR="00914AEB">
        <w:t xml:space="preserve"> standard for gender identity</w:t>
      </w:r>
      <w:r w:rsidR="00ED6479">
        <w:rPr>
          <w:b/>
        </w:rPr>
        <w:t xml:space="preserve"> [Recommendation 2</w:t>
      </w:r>
      <w:r w:rsidRPr="00C90E5B">
        <w:rPr>
          <w:b/>
        </w:rPr>
        <w:t>]</w:t>
      </w:r>
      <w:r w:rsidR="00C90E5B">
        <w:rPr>
          <w:b/>
        </w:rPr>
        <w:t>.</w:t>
      </w:r>
      <w:r w:rsidR="001B14FF">
        <w:br/>
      </w:r>
    </w:p>
    <w:p w:rsidR="00874594" w:rsidRPr="00874594" w:rsidRDefault="00E53F0C" w:rsidP="00C90E5B">
      <w:pPr>
        <w:pStyle w:val="ListParagraph"/>
        <w:numPr>
          <w:ilvl w:val="0"/>
          <w:numId w:val="37"/>
        </w:numPr>
      </w:pPr>
      <w:r>
        <w:t xml:space="preserve">Develop options for change </w:t>
      </w:r>
      <w:r w:rsidR="00874594" w:rsidRPr="00874594">
        <w:t>collaboratively with the Attorney-General’s Department to ensure consistency with the</w:t>
      </w:r>
      <w:r>
        <w:t xml:space="preserve"> proposed national guidelines on the collection and recognition of gender by the Australian Government</w:t>
      </w:r>
      <w:r w:rsidR="00874594" w:rsidRPr="00874594">
        <w:t xml:space="preserve"> </w:t>
      </w:r>
      <w:r w:rsidR="00ED6479">
        <w:rPr>
          <w:b/>
        </w:rPr>
        <w:t>[Recommendation 3</w:t>
      </w:r>
      <w:r w:rsidR="00874594" w:rsidRPr="00C90E5B">
        <w:rPr>
          <w:b/>
        </w:rPr>
        <w:t>]</w:t>
      </w:r>
      <w:r w:rsidR="00C90E5B">
        <w:rPr>
          <w:b/>
        </w:rPr>
        <w:t>.</w:t>
      </w:r>
      <w:r w:rsidR="00874594" w:rsidRPr="00874594">
        <w:t xml:space="preserve">  </w:t>
      </w:r>
    </w:p>
    <w:p w:rsidR="001B14FF" w:rsidRPr="001B14FF" w:rsidRDefault="001B14FF" w:rsidP="002C51ED">
      <w:pPr>
        <w:pStyle w:val="Heading1"/>
      </w:pPr>
      <w:bookmarkStart w:id="9" w:name="_Toc351383137"/>
      <w:r>
        <w:t xml:space="preserve">Why collect </w:t>
      </w:r>
      <w:r w:rsidR="00F97E45">
        <w:t xml:space="preserve">intersex and gender identity </w:t>
      </w:r>
      <w:r>
        <w:t>data?</w:t>
      </w:r>
      <w:bookmarkEnd w:id="9"/>
    </w:p>
    <w:bookmarkEnd w:id="3"/>
    <w:bookmarkEnd w:id="4"/>
    <w:bookmarkEnd w:id="5"/>
    <w:p w:rsidR="00C21AE9" w:rsidRDefault="00C21AE9" w:rsidP="006B0E19">
      <w:pPr>
        <w:pStyle w:val="SubmissionNormal"/>
        <w:ind w:hanging="717"/>
        <w:jc w:val="both"/>
      </w:pPr>
      <w:r>
        <w:t xml:space="preserve">Collecting data is a necessary step in order to measure inequality, track progress towards the </w:t>
      </w:r>
      <w:r w:rsidR="00243CCB">
        <w:t>realisation</w:t>
      </w:r>
      <w:r>
        <w:t xml:space="preserve"> of human rights and </w:t>
      </w:r>
      <w:r w:rsidR="00243CCB">
        <w:t xml:space="preserve">to </w:t>
      </w:r>
      <w:r>
        <w:t xml:space="preserve">determine how best to develop policy and provide services to particular groups. </w:t>
      </w:r>
      <w:r w:rsidR="00637596">
        <w:t>Essentially, ‘if it is not counted, it tends not to be noticed’.</w:t>
      </w:r>
      <w:r w:rsidR="00637596">
        <w:rPr>
          <w:rStyle w:val="EndnoteReference"/>
        </w:rPr>
        <w:endnoteReference w:id="3"/>
      </w:r>
      <w:r w:rsidR="00637596">
        <w:t xml:space="preserve"> The Office of the High Commissioner for Human Rights has said:</w:t>
      </w:r>
    </w:p>
    <w:p w:rsidR="00637596" w:rsidRPr="00637596" w:rsidRDefault="00637596" w:rsidP="00637596">
      <w:pPr>
        <w:pStyle w:val="SubmissionNormal"/>
        <w:numPr>
          <w:ilvl w:val="0"/>
          <w:numId w:val="0"/>
        </w:numPr>
        <w:ind w:left="2160"/>
        <w:jc w:val="both"/>
        <w:rPr>
          <w:sz w:val="20"/>
          <w:szCs w:val="20"/>
        </w:rPr>
      </w:pPr>
      <w:r>
        <w:rPr>
          <w:sz w:val="20"/>
          <w:szCs w:val="20"/>
        </w:rPr>
        <w:t xml:space="preserve">[t]here is a need for suitable information, for example, in the form of statistics, indicators or even indices, in order to undertake a situational analysis, inform public policy, monitor progress and </w:t>
      </w:r>
      <w:r w:rsidR="000B44B1">
        <w:rPr>
          <w:sz w:val="20"/>
          <w:szCs w:val="20"/>
        </w:rPr>
        <w:t>measure performance and overall outcomes.</w:t>
      </w:r>
      <w:r w:rsidR="000B44B1">
        <w:rPr>
          <w:rStyle w:val="EndnoteReference"/>
          <w:szCs w:val="20"/>
        </w:rPr>
        <w:endnoteReference w:id="4"/>
      </w:r>
    </w:p>
    <w:p w:rsidR="009701FB" w:rsidRDefault="00F62320" w:rsidP="006B0E19">
      <w:pPr>
        <w:pStyle w:val="SubmissionNormal"/>
        <w:ind w:hanging="717"/>
        <w:jc w:val="both"/>
      </w:pPr>
      <w:r w:rsidRPr="005C7426">
        <w:t xml:space="preserve">There is </w:t>
      </w:r>
      <w:r w:rsidR="00914AEB">
        <w:t xml:space="preserve">a </w:t>
      </w:r>
      <w:r w:rsidR="000A08F5">
        <w:t xml:space="preserve">severe lack of </w:t>
      </w:r>
      <w:r w:rsidR="000B44B1">
        <w:t xml:space="preserve">‘suitable information’ </w:t>
      </w:r>
      <w:r w:rsidR="009701FB">
        <w:t xml:space="preserve">concerning </w:t>
      </w:r>
      <w:proofErr w:type="gramStart"/>
      <w:r w:rsidRPr="005C7426">
        <w:t>trans</w:t>
      </w:r>
      <w:proofErr w:type="gramEnd"/>
      <w:r w:rsidRPr="005C7426">
        <w:t xml:space="preserve"> </w:t>
      </w:r>
      <w:r w:rsidR="000459FA">
        <w:t xml:space="preserve">and intersex </w:t>
      </w:r>
      <w:r w:rsidR="000A08F5">
        <w:t>people</w:t>
      </w:r>
      <w:r w:rsidRPr="005C7426">
        <w:t xml:space="preserve">. The current available sources </w:t>
      </w:r>
      <w:r w:rsidR="000B44B1">
        <w:t xml:space="preserve">relating to health data </w:t>
      </w:r>
      <w:r w:rsidRPr="005C7426">
        <w:t xml:space="preserve">are </w:t>
      </w:r>
      <w:r w:rsidRPr="005C7426">
        <w:lastRenderedPageBreak/>
        <w:t xml:space="preserve">outlined in the National LGBTI Health Alliance’s discussion paper </w:t>
      </w:r>
      <w:r w:rsidRPr="00593BC2">
        <w:rPr>
          <w:i/>
        </w:rPr>
        <w:t>LGBTI Data: developing an evidence-information environment for LGBTI health policy.</w:t>
      </w:r>
      <w:r w:rsidRPr="00EF5547">
        <w:rPr>
          <w:rStyle w:val="EndnoteReference"/>
        </w:rPr>
        <w:endnoteReference w:id="5"/>
      </w:r>
      <w:r w:rsidR="000B44B1" w:rsidRPr="00593BC2">
        <w:rPr>
          <w:i/>
        </w:rPr>
        <w:t xml:space="preserve"> </w:t>
      </w:r>
      <w:r w:rsidR="000B44B1">
        <w:t>Not only is it important to monitor</w:t>
      </w:r>
      <w:r w:rsidR="003B676D">
        <w:t xml:space="preserve"> the health needs of trans</w:t>
      </w:r>
      <w:r w:rsidR="000B44B1">
        <w:t xml:space="preserve"> and intersex people, there is a need to measure the realisation of </w:t>
      </w:r>
      <w:r w:rsidRPr="005C7426">
        <w:t xml:space="preserve">other economic, cultural and social rights and </w:t>
      </w:r>
      <w:r w:rsidR="000B44B1">
        <w:t xml:space="preserve">equality in </w:t>
      </w:r>
      <w:r w:rsidRPr="005C7426">
        <w:t>civil and political rights.</w:t>
      </w:r>
      <w:r w:rsidR="00593BC2">
        <w:t xml:space="preserve"> A</w:t>
      </w:r>
      <w:r w:rsidR="009701FB">
        <w:t xml:space="preserve">s will be discussed below, the </w:t>
      </w:r>
      <w:r w:rsidR="00593BC2">
        <w:t xml:space="preserve">Sex Standard does not currently provide a framework for </w:t>
      </w:r>
      <w:r w:rsidR="009701FB">
        <w:t>the collection of this data.</w:t>
      </w:r>
    </w:p>
    <w:p w:rsidR="000A08F5" w:rsidRDefault="00404884" w:rsidP="002C51ED">
      <w:pPr>
        <w:pStyle w:val="Heading1"/>
      </w:pPr>
      <w:bookmarkStart w:id="10" w:name="_Toc351383138"/>
      <w:r>
        <w:t>Why standardise intersex and gender identity?</w:t>
      </w:r>
      <w:bookmarkEnd w:id="10"/>
    </w:p>
    <w:p w:rsidR="009E4FE0" w:rsidRDefault="00593BC2" w:rsidP="009E4FE0">
      <w:pPr>
        <w:pStyle w:val="SubmissionNormal"/>
        <w:ind w:hanging="717"/>
        <w:jc w:val="both"/>
      </w:pPr>
      <w:r>
        <w:t>As the ABS has describ</w:t>
      </w:r>
      <w:r w:rsidR="009E4FE0">
        <w:t>ed</w:t>
      </w:r>
      <w:r w:rsidR="00880EC2">
        <w:t>,</w:t>
      </w:r>
      <w:r w:rsidR="009E4FE0">
        <w:t xml:space="preserve"> the aim of the Sex Standard is to ‘achieve consistency across all data sources in terminology, data collection procedures and definitions of categories associated with human sexes’.</w:t>
      </w:r>
      <w:r w:rsidR="009E4FE0">
        <w:rPr>
          <w:rStyle w:val="EndnoteReference"/>
        </w:rPr>
        <w:endnoteReference w:id="6"/>
      </w:r>
      <w:r w:rsidR="009E4FE0">
        <w:t xml:space="preserve"> The Standard is used for the collection of data by the ABS but it also provides ‘</w:t>
      </w:r>
      <w:r w:rsidR="009E4FE0" w:rsidRPr="00C408AE">
        <w:t>a standard for other organisations to collect data about sex in surveys and administrative collections’.</w:t>
      </w:r>
      <w:r w:rsidR="009E4FE0">
        <w:rPr>
          <w:rStyle w:val="EndnoteReference"/>
        </w:rPr>
        <w:endnoteReference w:id="7"/>
      </w:r>
    </w:p>
    <w:p w:rsidR="000A08F5" w:rsidRDefault="009E4FE0" w:rsidP="000A08F5">
      <w:pPr>
        <w:pStyle w:val="SubmissionNormal"/>
        <w:ind w:hanging="717"/>
        <w:jc w:val="both"/>
      </w:pPr>
      <w:r>
        <w:t>Researchers and organisations may be reluctant to collect in</w:t>
      </w:r>
      <w:r w:rsidR="00880EC2">
        <w:t xml:space="preserve">tersex and gender identity data through lack of guidance or </w:t>
      </w:r>
      <w:r w:rsidR="002166E4">
        <w:t>understanding</w:t>
      </w:r>
      <w:r w:rsidR="003F32A5">
        <w:t>.</w:t>
      </w:r>
      <w:r>
        <w:t xml:space="preserve"> Given the </w:t>
      </w:r>
      <w:r w:rsidR="002166E4">
        <w:t xml:space="preserve">current </w:t>
      </w:r>
      <w:r>
        <w:t>collection of intersex a</w:t>
      </w:r>
      <w:r w:rsidR="003F32A5">
        <w:t>nd gender identity data is so</w:t>
      </w:r>
      <w:r w:rsidR="003B676D">
        <w:t xml:space="preserve"> sparse</w:t>
      </w:r>
      <w:r>
        <w:t xml:space="preserve">, the standardisation of how to collect this data could promote confidence in how to collect </w:t>
      </w:r>
      <w:r w:rsidR="00351648">
        <w:t>it,</w:t>
      </w:r>
      <w:r w:rsidR="003F32A5">
        <w:t xml:space="preserve"> and result in increased rates and improved quality of collection.</w:t>
      </w:r>
    </w:p>
    <w:p w:rsidR="00F62320" w:rsidRDefault="00F67672" w:rsidP="002C51ED">
      <w:pPr>
        <w:pStyle w:val="Heading1"/>
      </w:pPr>
      <w:bookmarkStart w:id="11" w:name="_Toc351383139"/>
      <w:r>
        <w:t xml:space="preserve">Standardising and collecting </w:t>
      </w:r>
      <w:r w:rsidR="00F62320">
        <w:t>intersex and gender identity data</w:t>
      </w:r>
      <w:bookmarkEnd w:id="11"/>
    </w:p>
    <w:p w:rsidR="00F62320" w:rsidRDefault="00ED2964" w:rsidP="002C51ED">
      <w:pPr>
        <w:pStyle w:val="Heading2"/>
      </w:pPr>
      <w:bookmarkStart w:id="12" w:name="_Toc351383140"/>
      <w:r>
        <w:t xml:space="preserve">Standardising the collection of </w:t>
      </w:r>
      <w:r w:rsidR="00351648">
        <w:t>inter</w:t>
      </w:r>
      <w:r>
        <w:t>sex data</w:t>
      </w:r>
      <w:bookmarkEnd w:id="12"/>
    </w:p>
    <w:p w:rsidR="00DF1547" w:rsidRDefault="00825D10" w:rsidP="00C408AE">
      <w:pPr>
        <w:pStyle w:val="SubmissionNormal"/>
        <w:ind w:hanging="717"/>
        <w:jc w:val="both"/>
      </w:pPr>
      <w:r>
        <w:t>The c</w:t>
      </w:r>
      <w:r w:rsidR="00F62320">
        <w:t>urrent Sex Standard</w:t>
      </w:r>
      <w:r>
        <w:t xml:space="preserve"> defines sex as the ‘biological distinction between male and female’.</w:t>
      </w:r>
      <w:r>
        <w:rPr>
          <w:rStyle w:val="EndnoteReference"/>
        </w:rPr>
        <w:endnoteReference w:id="8"/>
      </w:r>
      <w:r>
        <w:t xml:space="preserve"> The standard classification offers two categories</w:t>
      </w:r>
      <w:r w:rsidR="00DF1547">
        <w:t xml:space="preserve"> of</w:t>
      </w:r>
      <w:r>
        <w:t xml:space="preserve"> ‘Male’ and ‘Female’</w:t>
      </w:r>
      <w:r w:rsidR="00F62320">
        <w:t xml:space="preserve"> </w:t>
      </w:r>
      <w:r>
        <w:t xml:space="preserve">with the option to include the category of ‘Intersex or Indeterminate’ </w:t>
      </w:r>
      <w:r w:rsidR="00A35D46">
        <w:t>‘</w:t>
      </w:r>
      <w:r>
        <w:t>where necessary</w:t>
      </w:r>
      <w:r w:rsidR="00DF1547">
        <w:t>’</w:t>
      </w:r>
      <w:r>
        <w:t>.</w:t>
      </w:r>
      <w:r w:rsidR="00DF1547">
        <w:rPr>
          <w:rStyle w:val="EndnoteReference"/>
        </w:rPr>
        <w:endnoteReference w:id="9"/>
      </w:r>
      <w:r w:rsidR="00DF1547">
        <w:t xml:space="preserve"> The Sex Standard currently states that ‘Intersex or Indeterminate’ should not generally be used on data collection forms completed by respondents. Further the Glossary of Terms limits </w:t>
      </w:r>
      <w:r w:rsidR="003F32A5">
        <w:t xml:space="preserve">guidance on </w:t>
      </w:r>
      <w:r w:rsidR="00DF1547">
        <w:t>the examples of surveys in which this category can be used to ‘perinatal collections and hospital morbidity’.</w:t>
      </w:r>
      <w:r w:rsidR="00DF1547">
        <w:rPr>
          <w:rStyle w:val="EndnoteReference"/>
        </w:rPr>
        <w:endnoteReference w:id="10"/>
      </w:r>
    </w:p>
    <w:p w:rsidR="00DF1547" w:rsidRDefault="00DF1547" w:rsidP="00C408AE">
      <w:pPr>
        <w:pStyle w:val="SubmissionNormal"/>
        <w:ind w:hanging="717"/>
        <w:jc w:val="both"/>
      </w:pPr>
      <w:r>
        <w:t xml:space="preserve">The Australian Institute of Health and Welfare (AIHW) National Health Data Dictionary and National Community Services Data Dictionary </w:t>
      </w:r>
      <w:r w:rsidR="002166E4">
        <w:t>both suggest that ‘Intersex or I</w:t>
      </w:r>
      <w:r>
        <w:t>ndeterminate’ is normally used for babies for whom sex has not been determined for whatever reason.</w:t>
      </w:r>
      <w:r>
        <w:rPr>
          <w:rStyle w:val="EndnoteReference"/>
        </w:rPr>
        <w:endnoteReference w:id="11"/>
      </w:r>
      <w:r>
        <w:t xml:space="preserve"> This </w:t>
      </w:r>
      <w:r w:rsidR="00A43B62">
        <w:t xml:space="preserve">wording </w:t>
      </w:r>
      <w:r>
        <w:t>is based on the Sex Standard.</w:t>
      </w:r>
      <w:r>
        <w:rPr>
          <w:rStyle w:val="EndnoteReference"/>
        </w:rPr>
        <w:endnoteReference w:id="12"/>
      </w:r>
    </w:p>
    <w:p w:rsidR="00A35D46" w:rsidRDefault="00DF1547" w:rsidP="00C408AE">
      <w:pPr>
        <w:pStyle w:val="SubmissionNormal"/>
        <w:ind w:hanging="717"/>
        <w:jc w:val="both"/>
      </w:pPr>
      <w:r w:rsidRPr="00C56571">
        <w:t>An intersex person may have the biological attributes of both sexes or lack some of the biological attributes considered necessary to be defined as one or the other sex.</w:t>
      </w:r>
      <w:r>
        <w:t xml:space="preserve"> </w:t>
      </w:r>
      <w:r w:rsidR="00A35D46">
        <w:t xml:space="preserve">Further an intersex person may be of any age. </w:t>
      </w:r>
    </w:p>
    <w:p w:rsidR="00F62320" w:rsidRDefault="00DF1547" w:rsidP="00BA57BB">
      <w:pPr>
        <w:pStyle w:val="SubmissionNormal"/>
        <w:ind w:hanging="717"/>
        <w:jc w:val="both"/>
      </w:pPr>
      <w:r>
        <w:t>The incl</w:t>
      </w:r>
      <w:r w:rsidR="004F2BAF">
        <w:t xml:space="preserve">usion of intersex as a </w:t>
      </w:r>
      <w:r>
        <w:t>category in the Sex Standard is consistent with the definition of sex as a biological characteristic.</w:t>
      </w:r>
      <w:r w:rsidR="00A35D46">
        <w:t xml:space="preserve"> </w:t>
      </w:r>
      <w:r>
        <w:t xml:space="preserve">The Sex Standard </w:t>
      </w:r>
      <w:r w:rsidR="003F32A5">
        <w:t>currently f</w:t>
      </w:r>
      <w:r>
        <w:t>acilitate</w:t>
      </w:r>
      <w:r w:rsidR="003F32A5">
        <w:t>s</w:t>
      </w:r>
      <w:r>
        <w:t xml:space="preserve"> the collection of ‘</w:t>
      </w:r>
      <w:r w:rsidR="00A43B62">
        <w:t>Intersex or I</w:t>
      </w:r>
      <w:r>
        <w:t>ndeterminate’ data</w:t>
      </w:r>
      <w:r w:rsidR="003F32A5">
        <w:t>, but</w:t>
      </w:r>
      <w:r>
        <w:t xml:space="preserve"> within limited parameters. The Standard </w:t>
      </w:r>
      <w:r w:rsidR="003B5D9F">
        <w:t>c</w:t>
      </w:r>
      <w:r>
        <w:t xml:space="preserve">ould be amended to clarify that </w:t>
      </w:r>
      <w:r w:rsidR="003B5D9F">
        <w:t>‘</w:t>
      </w:r>
      <w:r w:rsidR="00A43B62">
        <w:t>I</w:t>
      </w:r>
      <w:r>
        <w:t>ntersex</w:t>
      </w:r>
      <w:r w:rsidR="00A43B62">
        <w:t xml:space="preserve"> or I</w:t>
      </w:r>
      <w:r w:rsidR="003B5D9F">
        <w:t>ndeterminate’</w:t>
      </w:r>
      <w:r w:rsidR="00764B2D">
        <w:t xml:space="preserve"> can be an option alongside Male and F</w:t>
      </w:r>
      <w:r>
        <w:t xml:space="preserve">emale in all circumstances, including </w:t>
      </w:r>
      <w:r w:rsidR="00BA57BB">
        <w:t xml:space="preserve">in surveys completed by the respondent themselves. The </w:t>
      </w:r>
      <w:r w:rsidR="006F2CB5">
        <w:t>notes in the Standard could</w:t>
      </w:r>
      <w:r w:rsidR="004F536A">
        <w:t xml:space="preserve"> </w:t>
      </w:r>
      <w:r w:rsidR="00A43B62">
        <w:t xml:space="preserve">also be amended to </w:t>
      </w:r>
      <w:r w:rsidR="004F536A">
        <w:t xml:space="preserve">reflect that the collection of this data need not be restricted to babies </w:t>
      </w:r>
      <w:r w:rsidR="00A43B62">
        <w:t>for whom sex has not been determined</w:t>
      </w:r>
      <w:r w:rsidR="004F536A">
        <w:t>.</w:t>
      </w:r>
    </w:p>
    <w:p w:rsidR="00F62320" w:rsidRDefault="00F62320" w:rsidP="002C51ED">
      <w:pPr>
        <w:pStyle w:val="Heading2"/>
      </w:pPr>
      <w:bookmarkStart w:id="13" w:name="_Toc351383141"/>
      <w:r>
        <w:t xml:space="preserve">Standardising </w:t>
      </w:r>
      <w:r w:rsidR="00ED2964">
        <w:t xml:space="preserve">the collection of </w:t>
      </w:r>
      <w:r>
        <w:t>gender identity</w:t>
      </w:r>
      <w:r w:rsidR="00ED2964">
        <w:t xml:space="preserve"> data</w:t>
      </w:r>
      <w:bookmarkEnd w:id="13"/>
    </w:p>
    <w:p w:rsidR="0084790A" w:rsidRDefault="006F2CB5" w:rsidP="006F2CB5">
      <w:pPr>
        <w:pStyle w:val="SubmissionNormal"/>
        <w:ind w:hanging="717"/>
        <w:jc w:val="both"/>
      </w:pPr>
      <w:r>
        <w:t>The Sex Standard acknowledges that a person’s sex m</w:t>
      </w:r>
      <w:r w:rsidR="00764B2D">
        <w:t xml:space="preserve">ay change during their lifetime and </w:t>
      </w:r>
      <w:r>
        <w:t>that over time ‘sex could be recorded as either Male or Female’.</w:t>
      </w:r>
      <w:r w:rsidR="00764B2D">
        <w:rPr>
          <w:rStyle w:val="EndnoteReference"/>
        </w:rPr>
        <w:endnoteReference w:id="13"/>
      </w:r>
      <w:r>
        <w:t xml:space="preserve"> This </w:t>
      </w:r>
      <w:r w:rsidR="00464CD9">
        <w:t xml:space="preserve">recognises that </w:t>
      </w:r>
      <w:r>
        <w:t xml:space="preserve">a trans person </w:t>
      </w:r>
      <w:r w:rsidR="00464CD9">
        <w:t>should</w:t>
      </w:r>
      <w:r>
        <w:t xml:space="preserve"> be able to identify as their affirmed ‘sex’. </w:t>
      </w:r>
      <w:r w:rsidR="0084790A">
        <w:t>Trans is a general term for a person whose gender identity is different to their sex at birth. A trans person may take steps to live pe</w:t>
      </w:r>
      <w:r w:rsidR="00764B2D">
        <w:t>rmanently in their nominated gender</w:t>
      </w:r>
      <w:r w:rsidR="0084790A">
        <w:t xml:space="preserve"> with or without medical treatment.</w:t>
      </w:r>
    </w:p>
    <w:p w:rsidR="006F2CB5" w:rsidRDefault="006F2CB5" w:rsidP="006F2CB5">
      <w:pPr>
        <w:pStyle w:val="SubmissionNormal"/>
        <w:ind w:hanging="717"/>
        <w:jc w:val="both"/>
      </w:pPr>
      <w:r>
        <w:t>This</w:t>
      </w:r>
      <w:r w:rsidR="0084790A">
        <w:t xml:space="preserve"> option in the Standard</w:t>
      </w:r>
      <w:r>
        <w:t xml:space="preserve"> </w:t>
      </w:r>
      <w:r w:rsidR="00464CD9">
        <w:t>will</w:t>
      </w:r>
      <w:r>
        <w:t xml:space="preserve"> be appropriate in many circumst</w:t>
      </w:r>
      <w:r w:rsidR="0084790A">
        <w:t>ances, for example</w:t>
      </w:r>
      <w:r w:rsidR="00464CD9">
        <w:t xml:space="preserve"> in the way a person</w:t>
      </w:r>
      <w:r>
        <w:t xml:space="preserve"> would like to record their ‘sex’ in interactions with governments.</w:t>
      </w:r>
      <w:r>
        <w:rPr>
          <w:rStyle w:val="EndnoteReference"/>
        </w:rPr>
        <w:endnoteReference w:id="14"/>
      </w:r>
      <w:r>
        <w:t xml:space="preserve"> It is</w:t>
      </w:r>
      <w:r w:rsidR="00464CD9">
        <w:t xml:space="preserve"> also indicative of the way a trans person</w:t>
      </w:r>
      <w:r>
        <w:t xml:space="preserve"> live</w:t>
      </w:r>
      <w:r w:rsidR="00464CD9">
        <w:t>s</w:t>
      </w:r>
      <w:r>
        <w:t xml:space="preserve"> their life. However this </w:t>
      </w:r>
      <w:r w:rsidR="00764B2D">
        <w:t xml:space="preserve">data will only establish how the person currently identifies, it </w:t>
      </w:r>
      <w:r>
        <w:t xml:space="preserve">will not enable the collection of data indicating whether the person </w:t>
      </w:r>
      <w:r w:rsidR="001E0F7C">
        <w:t xml:space="preserve">has a gender identity which may not correspond to their sex at birth. </w:t>
      </w:r>
      <w:r w:rsidR="003B676D">
        <w:t xml:space="preserve">Further, it restricts gender to either male or female. Individuals may have gender identities that do not fit within this binary construction. </w:t>
      </w:r>
      <w:r>
        <w:t xml:space="preserve">Such data may </w:t>
      </w:r>
      <w:r w:rsidR="00832DA4">
        <w:t xml:space="preserve">be important for health studies or </w:t>
      </w:r>
      <w:r w:rsidR="00A43B62">
        <w:t xml:space="preserve">in determining </w:t>
      </w:r>
      <w:r w:rsidR="00832DA4">
        <w:t>levels of equality.</w:t>
      </w:r>
    </w:p>
    <w:p w:rsidR="0083048D" w:rsidRDefault="0083048D" w:rsidP="006F2CB5">
      <w:pPr>
        <w:pStyle w:val="SubmissionNormal"/>
        <w:ind w:hanging="717"/>
        <w:jc w:val="both"/>
      </w:pPr>
      <w:r>
        <w:t>This means the information sought may actually be the gender, or</w:t>
      </w:r>
      <w:r w:rsidR="001E0F7C">
        <w:t xml:space="preserve"> gender identity, of the person rather than sex.</w:t>
      </w:r>
      <w:r>
        <w:t xml:space="preserve"> </w:t>
      </w:r>
      <w:r w:rsidR="006F2CB5">
        <w:t xml:space="preserve">The review correctly identifies that there is a difference between sex and gender. </w:t>
      </w:r>
      <w:r w:rsidR="006F2CB5" w:rsidRPr="00C56571">
        <w:t>While there is no consensus about the definition of sex or gender, a commonly held view is that sex is a fixed concept that is biologically determined and gender is socially constructed.</w:t>
      </w:r>
      <w:r w:rsidR="006F2CB5">
        <w:rPr>
          <w:rStyle w:val="EndnoteReference"/>
        </w:rPr>
        <w:endnoteReference w:id="15"/>
      </w:r>
      <w:r w:rsidR="00764B2D">
        <w:t xml:space="preserve"> </w:t>
      </w:r>
      <w:r w:rsidR="001E0F7C">
        <w:t>A person’s g</w:t>
      </w:r>
      <w:r w:rsidR="00404260">
        <w:t xml:space="preserve">ender identity </w:t>
      </w:r>
      <w:r>
        <w:t>may or may not be consistent with their sex at birth. Gender identity is:</w:t>
      </w:r>
    </w:p>
    <w:p w:rsidR="0083048D" w:rsidRDefault="0083048D" w:rsidP="0083048D">
      <w:pPr>
        <w:pStyle w:val="SubmissionNormal"/>
        <w:numPr>
          <w:ilvl w:val="0"/>
          <w:numId w:val="0"/>
        </w:numPr>
        <w:ind w:left="2064"/>
        <w:jc w:val="both"/>
      </w:pPr>
      <w:r w:rsidRPr="0083048D">
        <w:rPr>
          <w:sz w:val="20"/>
          <w:szCs w:val="20"/>
        </w:rPr>
        <w:t>understood to refer to each person’s deeply felt internal and individual experience of gender, which may or may not correspond with the sex assigned at birth, including the personal sense of the body (which may involve, if freely chosen, modification of bodily appearance or function by medical, surgical or other means) and other expressions of gender, including dress, speech and mannerisms</w:t>
      </w:r>
      <w:r>
        <w:t>.</w:t>
      </w:r>
      <w:r>
        <w:rPr>
          <w:rStyle w:val="EndnoteReference"/>
        </w:rPr>
        <w:endnoteReference w:id="16"/>
      </w:r>
    </w:p>
    <w:p w:rsidR="00F62320" w:rsidRDefault="00F62320" w:rsidP="002A1BE0">
      <w:pPr>
        <w:pStyle w:val="SubmissionNormal"/>
        <w:ind w:hanging="717"/>
        <w:jc w:val="both"/>
      </w:pPr>
      <w:r>
        <w:t xml:space="preserve">Given the </w:t>
      </w:r>
      <w:r w:rsidRPr="00C56571">
        <w:t>current Sex Standard is based</w:t>
      </w:r>
      <w:r>
        <w:t xml:space="preserve"> on biological differences</w:t>
      </w:r>
      <w:r w:rsidR="00746CA1">
        <w:t>, unless the definition of sex is expanded,</w:t>
      </w:r>
      <w:r>
        <w:t xml:space="preserve"> it may not be appropria</w:t>
      </w:r>
      <w:r w:rsidR="00B71243">
        <w:t xml:space="preserve">te to </w:t>
      </w:r>
      <w:r w:rsidR="00F44EC5">
        <w:t>include the category of trans</w:t>
      </w:r>
      <w:r w:rsidR="00B71243">
        <w:t xml:space="preserve"> </w:t>
      </w:r>
      <w:r w:rsidR="00E106B6">
        <w:t xml:space="preserve">or gender identity </w:t>
      </w:r>
      <w:r>
        <w:t xml:space="preserve">under the </w:t>
      </w:r>
      <w:r w:rsidR="00E106B6">
        <w:t>S</w:t>
      </w:r>
      <w:r>
        <w:t xml:space="preserve">ex </w:t>
      </w:r>
      <w:r w:rsidR="00E106B6">
        <w:t>S</w:t>
      </w:r>
      <w:r>
        <w:t>tandard. There may be need for a</w:t>
      </w:r>
      <w:r w:rsidR="00BA004E">
        <w:t>nother</w:t>
      </w:r>
      <w:r>
        <w:t xml:space="preserve"> </w:t>
      </w:r>
      <w:r w:rsidR="00BA004E">
        <w:t xml:space="preserve">standard </w:t>
      </w:r>
      <w:r w:rsidR="00F44EC5">
        <w:t>which further elaborates on the diversity of gender identities which exist</w:t>
      </w:r>
      <w:r w:rsidR="00746CA1">
        <w:t>.</w:t>
      </w:r>
      <w:r w:rsidR="00764B2D">
        <w:t xml:space="preserve"> In any event, there will be occasions when </w:t>
      </w:r>
      <w:r w:rsidR="00BA004E">
        <w:t>gender i</w:t>
      </w:r>
      <w:r w:rsidR="00764B2D">
        <w:t>dentity is the data</w:t>
      </w:r>
      <w:r w:rsidR="00F44EC5">
        <w:t xml:space="preserve"> being</w:t>
      </w:r>
      <w:r w:rsidR="00764B2D">
        <w:t xml:space="preserve"> sought and therefore there is a need to standardise the collection.</w:t>
      </w:r>
    </w:p>
    <w:p w:rsidR="00E106B6" w:rsidRDefault="00E106B6" w:rsidP="002A1BE0">
      <w:pPr>
        <w:pStyle w:val="SubmissionNormal"/>
        <w:ind w:hanging="717"/>
        <w:jc w:val="both"/>
      </w:pPr>
      <w:r>
        <w:t>The UK Equality and Human Rights Commission offers two different models</w:t>
      </w:r>
      <w:r w:rsidR="00964715">
        <w:t xml:space="preserve"> for collecting gender identity data, depend</w:t>
      </w:r>
      <w:r>
        <w:t xml:space="preserve">ing on space </w:t>
      </w:r>
      <w:r w:rsidR="00AC0B54">
        <w:t>and purpose of collection</w:t>
      </w:r>
      <w:r>
        <w:t xml:space="preserve">. One model asks </w:t>
      </w:r>
      <w:r w:rsidR="00964715">
        <w:t xml:space="preserve">the respondent </w:t>
      </w:r>
      <w:r>
        <w:t>how the</w:t>
      </w:r>
      <w:r w:rsidR="00964715">
        <w:t>y were</w:t>
      </w:r>
      <w:r>
        <w:t xml:space="preserve"> described at birth with a follow up question which asks how the person thinks of themselves</w:t>
      </w:r>
      <w:r w:rsidR="00AC0B54">
        <w:t xml:space="preserve"> now. The other model</w:t>
      </w:r>
      <w:r>
        <w:t xml:space="preserve"> ask</w:t>
      </w:r>
      <w:r w:rsidR="00AC0B54">
        <w:t>s</w:t>
      </w:r>
      <w:r>
        <w:t xml:space="preserve"> all respondents whether they have undergone or propose to undergo a process </w:t>
      </w:r>
      <w:r w:rsidR="00964715">
        <w:t xml:space="preserve">to </w:t>
      </w:r>
      <w:r>
        <w:t>affirm a gender different to the</w:t>
      </w:r>
      <w:r w:rsidR="00964715">
        <w:t xml:space="preserve"> sex they were born. The follow-</w:t>
      </w:r>
      <w:r>
        <w:t>up question</w:t>
      </w:r>
      <w:r w:rsidR="00964715">
        <w:t xml:space="preserve"> is only for those who ans</w:t>
      </w:r>
      <w:r w:rsidR="00764B2D">
        <w:t>wered yes to the first question.</w:t>
      </w:r>
      <w:r w:rsidR="00964715">
        <w:t xml:space="preserve"> The follow-up question asks for the </w:t>
      </w:r>
      <w:r w:rsidR="00AC0B54">
        <w:t xml:space="preserve">status </w:t>
      </w:r>
      <w:r w:rsidR="00964715">
        <w:t>of</w:t>
      </w:r>
      <w:r w:rsidR="00AC0B54">
        <w:t xml:space="preserve"> this process, for example if they are thinking about going through the process or if they have already been</w:t>
      </w:r>
      <w:r w:rsidR="00435042">
        <w:t xml:space="preserve"> through it</w:t>
      </w:r>
      <w:r w:rsidR="00AC0B54">
        <w:t>.</w:t>
      </w:r>
      <w:r w:rsidR="00AC0B54">
        <w:rPr>
          <w:rStyle w:val="EndnoteReference"/>
        </w:rPr>
        <w:endnoteReference w:id="17"/>
      </w:r>
    </w:p>
    <w:p w:rsidR="00ED0E16" w:rsidRDefault="00ED0E16" w:rsidP="00AC0B54">
      <w:pPr>
        <w:pStyle w:val="SubmissionNormal"/>
        <w:ind w:hanging="717"/>
        <w:jc w:val="both"/>
      </w:pPr>
      <w:r>
        <w:t>The Commission does not offer a firm view on how gender identity should be included, however it does advocate that the ABS should prioritise the standardisation of gender identity to faci</w:t>
      </w:r>
      <w:r w:rsidR="00AC0B54">
        <w:t xml:space="preserve">litate further </w:t>
      </w:r>
      <w:r w:rsidR="00345E96">
        <w:t xml:space="preserve">and better </w:t>
      </w:r>
      <w:r w:rsidR="00AC0B54">
        <w:t>data collection.</w:t>
      </w:r>
    </w:p>
    <w:p w:rsidR="00ED0E16" w:rsidRDefault="00ED0E16" w:rsidP="00ED0E16">
      <w:pPr>
        <w:pStyle w:val="Heading2"/>
      </w:pPr>
      <w:bookmarkStart w:id="14" w:name="_Toc351383142"/>
      <w:r>
        <w:t>Disclosure by respondents</w:t>
      </w:r>
      <w:bookmarkEnd w:id="14"/>
    </w:p>
    <w:p w:rsidR="00ED0E16" w:rsidRDefault="003B676D" w:rsidP="0075735B">
      <w:pPr>
        <w:pStyle w:val="SubmissionNormal"/>
        <w:ind w:hanging="717"/>
        <w:jc w:val="both"/>
      </w:pPr>
      <w:r>
        <w:t>F</w:t>
      </w:r>
      <w:r w:rsidR="000D1767">
        <w:t>urther consideration sho</w:t>
      </w:r>
      <w:r w:rsidR="0075735B">
        <w:t xml:space="preserve">uld be given to amending the notes in the Sex Standard (and potential </w:t>
      </w:r>
      <w:r w:rsidR="00EF49DE">
        <w:t>s</w:t>
      </w:r>
      <w:r w:rsidR="0075735B">
        <w:t>tandard</w:t>
      </w:r>
      <w:r w:rsidR="00EF49DE">
        <w:t xml:space="preserve"> for gender identity</w:t>
      </w:r>
      <w:r w:rsidR="0075735B">
        <w:t>) to ref</w:t>
      </w:r>
      <w:r w:rsidR="007626F8">
        <w:t>lect that trust and anonymity are paramount in ensuring</w:t>
      </w:r>
      <w:r w:rsidR="0075735B">
        <w:t xml:space="preserve"> disclosure by respondents. Trans and intersex people may have experienced discrimination and harassment and may therefore be reluctant to ‘out’ themselves for fear of subsequent treatment.</w:t>
      </w:r>
      <w:r w:rsidR="0075735B">
        <w:rPr>
          <w:rStyle w:val="EndnoteReference"/>
        </w:rPr>
        <w:endnoteReference w:id="18"/>
      </w:r>
    </w:p>
    <w:p w:rsidR="003B676D" w:rsidRDefault="00F44EC5" w:rsidP="003B676D">
      <w:pPr>
        <w:pStyle w:val="Heading2"/>
      </w:pPr>
      <w:bookmarkStart w:id="15" w:name="_Toc351383143"/>
      <w:r>
        <w:t>Appropriate terminology</w:t>
      </w:r>
      <w:bookmarkEnd w:id="15"/>
    </w:p>
    <w:p w:rsidR="003B676D" w:rsidRPr="003B676D" w:rsidRDefault="00F44EC5" w:rsidP="003B676D">
      <w:pPr>
        <w:pStyle w:val="SubmissionNormal"/>
        <w:ind w:hanging="717"/>
        <w:jc w:val="both"/>
      </w:pPr>
      <w:r>
        <w:t>Finally, the Commission recognises that terminology can have a profound impact on a person’s identity, self-worth and inherent dignity. The use of inclusive and acceptable terminology empowers individuals and enables visibility of important issues.</w:t>
      </w:r>
      <w:r>
        <w:rPr>
          <w:rStyle w:val="EndnoteReference"/>
        </w:rPr>
        <w:endnoteReference w:id="19"/>
      </w:r>
      <w:r>
        <w:t xml:space="preserve"> The ABS should work with members of the trans and intersex communities to </w:t>
      </w:r>
      <w:r w:rsidR="000165C2">
        <w:t>develop appropriate terminology in the standards.</w:t>
      </w:r>
    </w:p>
    <w:p w:rsidR="00F62320" w:rsidRDefault="00F62320" w:rsidP="00D770E5">
      <w:pPr>
        <w:pStyle w:val="Heading1"/>
      </w:pPr>
      <w:bookmarkStart w:id="16" w:name="_Toc351383144"/>
      <w:r>
        <w:t>Options for further action</w:t>
      </w:r>
      <w:bookmarkEnd w:id="16"/>
    </w:p>
    <w:p w:rsidR="00F62320" w:rsidRDefault="00F62320" w:rsidP="00953E6E">
      <w:pPr>
        <w:pStyle w:val="SubmissionNormal"/>
        <w:ind w:hanging="717"/>
        <w:jc w:val="both"/>
      </w:pPr>
      <w:r>
        <w:t>The Commission is supportive of efforts to improve the data collection for trans and inters</w:t>
      </w:r>
      <w:r w:rsidR="00964715">
        <w:t>ex people. This section provides</w:t>
      </w:r>
      <w:r>
        <w:t xml:space="preserve"> two suggestions for progressing the review.</w:t>
      </w:r>
    </w:p>
    <w:p w:rsidR="00F62320" w:rsidRDefault="00EF49DE" w:rsidP="00A54676">
      <w:pPr>
        <w:pStyle w:val="Heading2"/>
      </w:pPr>
      <w:bookmarkStart w:id="17" w:name="_Toc351383145"/>
      <w:r>
        <w:t>W</w:t>
      </w:r>
      <w:r w:rsidR="00F62320">
        <w:t>orking group</w:t>
      </w:r>
      <w:bookmarkEnd w:id="17"/>
    </w:p>
    <w:p w:rsidR="004402B7" w:rsidRDefault="00741A7A" w:rsidP="00A54676">
      <w:pPr>
        <w:pStyle w:val="SubmissionNormal"/>
        <w:ind w:hanging="717"/>
        <w:jc w:val="both"/>
      </w:pPr>
      <w:r>
        <w:t>T</w:t>
      </w:r>
      <w:r w:rsidR="00F62320">
        <w:t>he Commission does not have expertise in research statistics and therefore this submission does not offer a particular model for standardising sex and gender</w:t>
      </w:r>
      <w:r w:rsidR="00EF49DE">
        <w:t xml:space="preserve"> identity</w:t>
      </w:r>
      <w:r w:rsidR="00F62320">
        <w:t>.</w:t>
      </w:r>
      <w:r>
        <w:t xml:space="preserve"> Instead, t</w:t>
      </w:r>
      <w:r w:rsidR="00F62320">
        <w:t>he Commission recommends that the ABS establish a working group or advisory panel to further di</w:t>
      </w:r>
      <w:r w:rsidR="00764B2D">
        <w:t xml:space="preserve">scuss and refine options for </w:t>
      </w:r>
      <w:r w:rsidR="00EF49DE">
        <w:t>standards on sex and gender identity.</w:t>
      </w:r>
      <w:r w:rsidR="00F62320">
        <w:t xml:space="preserve"> This group should </w:t>
      </w:r>
      <w:r w:rsidR="008A0DF3">
        <w:t xml:space="preserve">consist of </w:t>
      </w:r>
      <w:r w:rsidR="00F62320">
        <w:t>members of the trans and intersex communities, researchers and policy makers. This will provide an opportunity for expertise to be shared and different perspectives clarified. The ABS already has a number of Statistics User Groups for specialised areas.</w:t>
      </w:r>
      <w:r w:rsidR="004402B7">
        <w:rPr>
          <w:rStyle w:val="EndnoteReference"/>
        </w:rPr>
        <w:endnoteReference w:id="20"/>
      </w:r>
    </w:p>
    <w:p w:rsidR="00F62320" w:rsidRPr="006059A2" w:rsidRDefault="00435042" w:rsidP="00A54676">
      <w:pPr>
        <w:pStyle w:val="SubmissionNormal"/>
        <w:ind w:hanging="717"/>
        <w:jc w:val="both"/>
      </w:pPr>
      <w:r>
        <w:t>The membership of this</w:t>
      </w:r>
      <w:r w:rsidR="00F62320" w:rsidRPr="006059A2">
        <w:t xml:space="preserve"> working group could be expanded and made permanent </w:t>
      </w:r>
      <w:r w:rsidR="00764B2D">
        <w:t xml:space="preserve">in order </w:t>
      </w:r>
      <w:r w:rsidR="00F62320" w:rsidRPr="006059A2">
        <w:t>to consider the types of data which should be</w:t>
      </w:r>
      <w:r>
        <w:t xml:space="preserve"> targeted for collection regarding </w:t>
      </w:r>
      <w:r w:rsidR="00F62320" w:rsidRPr="006059A2">
        <w:t>sexual orientatio</w:t>
      </w:r>
      <w:r w:rsidR="00F62320">
        <w:t>n, intersex and gender identity</w:t>
      </w:r>
      <w:r>
        <w:t xml:space="preserve"> for inclusion in the Census and other national data collections.</w:t>
      </w:r>
      <w:r w:rsidR="00F62320">
        <w:t xml:space="preserve"> Th</w:t>
      </w:r>
      <w:r w:rsidR="00F62320" w:rsidRPr="006059A2">
        <w:t xml:space="preserve">is would be consistent with the Australian Government’s commitment in the </w:t>
      </w:r>
      <w:r w:rsidR="00741A7A">
        <w:t>National Human Rights Action Plan (NHRA</w:t>
      </w:r>
      <w:r w:rsidR="00F62320" w:rsidRPr="006059A2">
        <w:t>P</w:t>
      </w:r>
      <w:r w:rsidR="00741A7A">
        <w:t>)</w:t>
      </w:r>
      <w:r w:rsidR="00F62320" w:rsidRPr="006059A2">
        <w:t xml:space="preserve"> to ‘amend data collection to allow for or encourage disclosure of sexual orientation and gender identity to establish a better evidence base for service provision and policy development’.</w:t>
      </w:r>
      <w:r w:rsidR="00F62320" w:rsidRPr="006059A2">
        <w:rPr>
          <w:vertAlign w:val="superscript"/>
        </w:rPr>
        <w:endnoteReference w:id="21"/>
      </w:r>
      <w:r>
        <w:t xml:space="preserve"> The Attorney-General’s Department and the ABS have joint responsibility under this action item.</w:t>
      </w:r>
    </w:p>
    <w:p w:rsidR="00F62320" w:rsidRDefault="008A0DF3" w:rsidP="00D770E5">
      <w:pPr>
        <w:pStyle w:val="Heading2"/>
      </w:pPr>
      <w:bookmarkStart w:id="18" w:name="_Toc351383146"/>
      <w:r>
        <w:t>Consistency across the Australian Government</w:t>
      </w:r>
      <w:bookmarkEnd w:id="18"/>
    </w:p>
    <w:p w:rsidR="00F62320" w:rsidRDefault="00F62320" w:rsidP="006059A2">
      <w:pPr>
        <w:pStyle w:val="SubmissionNormal"/>
        <w:ind w:hanging="717"/>
        <w:jc w:val="both"/>
      </w:pPr>
      <w:r>
        <w:t xml:space="preserve">Given ABS standards are used by ‘other organisations to collect data about sex in survey and administrative collections’ it is important that the development of the standards are consistent with progress being made elsewhere. </w:t>
      </w:r>
    </w:p>
    <w:p w:rsidR="00860E46" w:rsidRDefault="00F62320" w:rsidP="006059A2">
      <w:pPr>
        <w:pStyle w:val="SubmissionNormal"/>
        <w:ind w:hanging="717"/>
        <w:jc w:val="both"/>
      </w:pPr>
      <w:r w:rsidRPr="006059A2">
        <w:t>The Australian Government announced in its National Human Rights Action Plan 2012 that it is ‘developing national guidelines across the Australian Government public sector agencies to ensure sex and gender information is collected consistently across government and only where there is a legitimate purpose, and to build consistency in the way gender may be changed in Commonwealth records’.</w:t>
      </w:r>
      <w:r>
        <w:rPr>
          <w:rStyle w:val="EndnoteReference"/>
        </w:rPr>
        <w:endnoteReference w:id="22"/>
      </w:r>
      <w:r>
        <w:t xml:space="preserve"> </w:t>
      </w:r>
      <w:bookmarkStart w:id="19" w:name="_Toc162769295"/>
      <w:r w:rsidR="00860E46">
        <w:t>This data could be used as part of administrative collections.</w:t>
      </w:r>
    </w:p>
    <w:p w:rsidR="00EB6A76" w:rsidRPr="00A96892" w:rsidRDefault="006059A2" w:rsidP="00CB47F9">
      <w:pPr>
        <w:pStyle w:val="SubmissionNormal"/>
        <w:ind w:hanging="717"/>
        <w:jc w:val="both"/>
      </w:pPr>
      <w:r w:rsidRPr="006059A2">
        <w:t>The ABS should ensure that in reviewing the Sex Standard</w:t>
      </w:r>
      <w:r w:rsidR="00F62320">
        <w:t>,</w:t>
      </w:r>
      <w:r w:rsidRPr="006059A2">
        <w:t xml:space="preserve"> and</w:t>
      </w:r>
      <w:r w:rsidR="00F62320">
        <w:t xml:space="preserve"> in</w:t>
      </w:r>
      <w:r w:rsidRPr="006059A2">
        <w:t xml:space="preserve"> considering </w:t>
      </w:r>
      <w:r w:rsidR="00F62320">
        <w:t xml:space="preserve">the necessity of </w:t>
      </w:r>
      <w:r w:rsidRPr="006059A2">
        <w:t xml:space="preserve">a </w:t>
      </w:r>
      <w:r w:rsidR="009E11BD">
        <w:t>standard for gender identity</w:t>
      </w:r>
      <w:r w:rsidR="00F62320">
        <w:t>,</w:t>
      </w:r>
      <w:r w:rsidRPr="006059A2">
        <w:t xml:space="preserve"> there is consistency with the development of the </w:t>
      </w:r>
      <w:r w:rsidR="00F62320">
        <w:t xml:space="preserve">Australian Government’s </w:t>
      </w:r>
      <w:r w:rsidRPr="006059A2">
        <w:t>nationa</w:t>
      </w:r>
      <w:r w:rsidR="00860E46">
        <w:t>l guidelines on sex and gender.</w:t>
      </w:r>
      <w:bookmarkEnd w:id="19"/>
    </w:p>
    <w:sectPr w:rsidR="00EB6A76" w:rsidRPr="00A96892"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42" w:rsidRDefault="00435042" w:rsidP="00F14C6D">
      <w:r>
        <w:separator/>
      </w:r>
    </w:p>
  </w:endnote>
  <w:endnote w:type="continuationSeparator" w:id="0">
    <w:p w:rsidR="00435042" w:rsidRDefault="00435042" w:rsidP="00F14C6D">
      <w:r>
        <w:continuationSeparator/>
      </w:r>
    </w:p>
  </w:endnote>
  <w:endnote w:id="1">
    <w:p w:rsidR="00435042" w:rsidRPr="00351648" w:rsidRDefault="00435042" w:rsidP="00F63DDE">
      <w:pPr>
        <w:pStyle w:val="EndnoteText"/>
        <w:rPr>
          <w:i/>
        </w:rPr>
      </w:pPr>
      <w:r>
        <w:rPr>
          <w:rStyle w:val="EndnoteReference"/>
        </w:rPr>
        <w:endnoteRef/>
      </w:r>
      <w:r>
        <w:t xml:space="preserve"> </w:t>
      </w:r>
      <w:r w:rsidRPr="003B676D">
        <w:t xml:space="preserve">Trans is a general term for a person whose gender identity is different to their sex at birth. A </w:t>
      </w:r>
      <w:proofErr w:type="gramStart"/>
      <w:r w:rsidRPr="003B676D">
        <w:t>trans</w:t>
      </w:r>
      <w:proofErr w:type="gramEnd"/>
      <w:r w:rsidRPr="003B676D">
        <w:t xml:space="preserve"> person may take steps to live permanently in their nominated gender with or without medical treatment.</w:t>
      </w:r>
      <w:r>
        <w:t xml:space="preserve"> For further information on terminology see Australian Human Rights Commission, </w:t>
      </w:r>
      <w:r>
        <w:rPr>
          <w:i/>
        </w:rPr>
        <w:t xml:space="preserve">Addressing sexual orientation and sex and/or gender identity discrimination </w:t>
      </w:r>
      <w:r>
        <w:t xml:space="preserve">(2011), p 5. At </w:t>
      </w:r>
      <w:hyperlink r:id="rId1" w:history="1">
        <w:r w:rsidRPr="0058632C">
          <w:rPr>
            <w:rStyle w:val="Hyperlink"/>
          </w:rPr>
          <w:t>http://www.humanrights.gov.au/human_rights/lgbti/lgbticonsult/index.html</w:t>
        </w:r>
      </w:hyperlink>
      <w:r>
        <w:t xml:space="preserve"> (viewed 13 March 2013).</w:t>
      </w:r>
    </w:p>
  </w:endnote>
  <w:endnote w:id="2">
    <w:p w:rsidR="00435042" w:rsidRDefault="00435042">
      <w:pPr>
        <w:pStyle w:val="EndnoteText"/>
      </w:pPr>
      <w:r>
        <w:rPr>
          <w:rStyle w:val="EndnoteReference"/>
        </w:rPr>
        <w:endnoteRef/>
      </w:r>
      <w:r>
        <w:t xml:space="preserve"> ‘Gender identity’ is </w:t>
      </w:r>
      <w:r w:rsidRPr="00F63DDE">
        <w:t>understood to refer to each person’s deeply felt internal and individual experience of gender, which may or may not correspond with the sex assigned at birth, including the personal sense of the body (which may involve, if freely chosen, modification of bodily appearance or function by medical, surgical or other means) and other expressions of gender, including dress, speech and mannerisms</w:t>
      </w:r>
      <w:r>
        <w:t xml:space="preserve">: </w:t>
      </w:r>
      <w:r w:rsidRPr="00F63DDE">
        <w:rPr>
          <w:i/>
        </w:rPr>
        <w:t>The Yogyakarta Principles: Principles on the Application of International Human Rights Law in Relation to Sexual Orientation and Gender Identity</w:t>
      </w:r>
      <w:r w:rsidRPr="00F63DDE">
        <w:t xml:space="preserve"> (2007), introduction, preamble</w:t>
      </w:r>
      <w:r>
        <w:t>.</w:t>
      </w:r>
    </w:p>
  </w:endnote>
  <w:endnote w:id="3">
    <w:p w:rsidR="00435042" w:rsidRDefault="00435042">
      <w:pPr>
        <w:pStyle w:val="EndnoteText"/>
      </w:pPr>
      <w:r>
        <w:rPr>
          <w:rStyle w:val="EndnoteReference"/>
        </w:rPr>
        <w:endnoteRef/>
      </w:r>
      <w:r>
        <w:t xml:space="preserve"> J.K Galbraith cited in Office of the High Commissioner for Human Rights, </w:t>
      </w:r>
      <w:r>
        <w:rPr>
          <w:i/>
        </w:rPr>
        <w:t xml:space="preserve">Human Rights Indicators: A Guide to Measurement and Implementation </w:t>
      </w:r>
      <w:r>
        <w:t>(2012), p 1.</w:t>
      </w:r>
    </w:p>
  </w:endnote>
  <w:endnote w:id="4">
    <w:p w:rsidR="00435042" w:rsidRDefault="00435042">
      <w:pPr>
        <w:pStyle w:val="EndnoteText"/>
      </w:pPr>
      <w:r>
        <w:rPr>
          <w:rStyle w:val="EndnoteReference"/>
        </w:rPr>
        <w:endnoteRef/>
      </w:r>
      <w:r>
        <w:t xml:space="preserve"> Office of the High Commissioner for Human Rights, </w:t>
      </w:r>
      <w:r>
        <w:rPr>
          <w:i/>
        </w:rPr>
        <w:t xml:space="preserve">Human Rights Indicators: A Guide to Measurement and Implementation </w:t>
      </w:r>
      <w:r>
        <w:t>(2012), p 1.</w:t>
      </w:r>
    </w:p>
  </w:endnote>
  <w:endnote w:id="5">
    <w:p w:rsidR="00435042" w:rsidRPr="007C55B2" w:rsidRDefault="00435042" w:rsidP="006B0E19">
      <w:pPr>
        <w:pStyle w:val="EndnoteText"/>
      </w:pPr>
      <w:r>
        <w:rPr>
          <w:rStyle w:val="EndnoteReference"/>
        </w:rPr>
        <w:endnoteRef/>
      </w:r>
      <w:r>
        <w:t xml:space="preserve"> National LGBTI Health Alliance, </w:t>
      </w:r>
      <w:r>
        <w:rPr>
          <w:i/>
        </w:rPr>
        <w:t xml:space="preserve">LGBTI Data: developing an evidence-informed environment for LGBTI health policy </w:t>
      </w:r>
      <w:r>
        <w:t xml:space="preserve">(2012), pp 27-30. At </w:t>
      </w:r>
      <w:hyperlink r:id="rId2" w:history="1">
        <w:r w:rsidRPr="0058632C">
          <w:rPr>
            <w:rStyle w:val="Hyperlink"/>
          </w:rPr>
          <w:t>http://www.lgbthealth.org.au/data</w:t>
        </w:r>
      </w:hyperlink>
      <w:r>
        <w:t xml:space="preserve"> (viewed 13 March 2013). </w:t>
      </w:r>
    </w:p>
  </w:endnote>
  <w:endnote w:id="6">
    <w:p w:rsidR="00435042" w:rsidRDefault="00435042" w:rsidP="009E4FE0">
      <w:pPr>
        <w:pStyle w:val="EndnoteText"/>
      </w:pPr>
      <w:r>
        <w:rPr>
          <w:rStyle w:val="EndnoteReference"/>
        </w:rPr>
        <w:endnoteRef/>
      </w:r>
      <w:r>
        <w:t xml:space="preserve"> Australian Bureau of Statistics, </w:t>
      </w:r>
      <w:r>
        <w:rPr>
          <w:i/>
        </w:rPr>
        <w:t xml:space="preserve">1285.0 Demographic Variables: Sex Standard </w:t>
      </w:r>
      <w:r>
        <w:t>(1999), para 2.</w:t>
      </w:r>
    </w:p>
  </w:endnote>
  <w:endnote w:id="7">
    <w:p w:rsidR="00435042" w:rsidRDefault="00435042" w:rsidP="009E4FE0">
      <w:pPr>
        <w:pStyle w:val="EndnoteText"/>
      </w:pPr>
      <w:r>
        <w:rPr>
          <w:rStyle w:val="EndnoteReference"/>
        </w:rPr>
        <w:endnoteRef/>
      </w:r>
      <w:r>
        <w:t xml:space="preserve"> Australian Bureau of Statistics, </w:t>
      </w:r>
      <w:r>
        <w:rPr>
          <w:i/>
        </w:rPr>
        <w:t>Review of the Sex Standard</w:t>
      </w:r>
      <w:r w:rsidRPr="002C68C5">
        <w:t xml:space="preserve">, </w:t>
      </w:r>
      <w:hyperlink r:id="rId3" w:history="1">
        <w:r w:rsidRPr="002C68C5">
          <w:rPr>
            <w:rStyle w:val="Hyperlink"/>
          </w:rPr>
          <w:t>http://www.abs.gov.au/websitedbs/D3310114.nsf/home/Review+of+the+Sex+Standard</w:t>
        </w:r>
      </w:hyperlink>
      <w:r w:rsidRPr="002C68C5">
        <w:t xml:space="preserve"> (viewed 20 February 2013)</w:t>
      </w:r>
      <w:r>
        <w:rPr>
          <w:i/>
        </w:rPr>
        <w:t>.</w:t>
      </w:r>
    </w:p>
  </w:endnote>
  <w:endnote w:id="8">
    <w:p w:rsidR="00435042" w:rsidRDefault="00435042">
      <w:pPr>
        <w:pStyle w:val="EndnoteText"/>
      </w:pPr>
      <w:r>
        <w:rPr>
          <w:rStyle w:val="EndnoteReference"/>
        </w:rPr>
        <w:endnoteRef/>
      </w:r>
      <w:r>
        <w:t xml:space="preserve"> Australian Bureau of Statistics, </w:t>
      </w:r>
      <w:r>
        <w:rPr>
          <w:i/>
        </w:rPr>
        <w:t xml:space="preserve">1285.0 Demographic Variables: Sex Standard </w:t>
      </w:r>
      <w:r>
        <w:t>(1999), para 5.</w:t>
      </w:r>
    </w:p>
  </w:endnote>
  <w:endnote w:id="9">
    <w:p w:rsidR="00435042" w:rsidRDefault="00435042">
      <w:pPr>
        <w:pStyle w:val="EndnoteText"/>
      </w:pPr>
      <w:r>
        <w:rPr>
          <w:rStyle w:val="EndnoteReference"/>
        </w:rPr>
        <w:endnoteRef/>
      </w:r>
      <w:r>
        <w:t xml:space="preserve"> Australian Bureau of Statistics, </w:t>
      </w:r>
      <w:r>
        <w:rPr>
          <w:i/>
        </w:rPr>
        <w:t xml:space="preserve">1285.0 Demographic Variables: Sex Standard </w:t>
      </w:r>
      <w:r>
        <w:t>(1999), paras 11-12.</w:t>
      </w:r>
    </w:p>
  </w:endnote>
  <w:endnote w:id="10">
    <w:p w:rsidR="00435042" w:rsidRDefault="00435042">
      <w:pPr>
        <w:pStyle w:val="EndnoteText"/>
      </w:pPr>
      <w:r>
        <w:rPr>
          <w:rStyle w:val="EndnoteReference"/>
        </w:rPr>
        <w:endnoteRef/>
      </w:r>
      <w:r>
        <w:t xml:space="preserve"> Australian Bureau of Statistics, </w:t>
      </w:r>
      <w:r>
        <w:rPr>
          <w:i/>
        </w:rPr>
        <w:t xml:space="preserve">1285.0 Demographic Variables: Sex Standard </w:t>
      </w:r>
      <w:r>
        <w:t>(1999), Glossary.</w:t>
      </w:r>
    </w:p>
  </w:endnote>
  <w:endnote w:id="11">
    <w:p w:rsidR="00435042" w:rsidRDefault="00435042">
      <w:pPr>
        <w:pStyle w:val="EndnoteText"/>
      </w:pPr>
      <w:r>
        <w:rPr>
          <w:rStyle w:val="EndnoteReference"/>
        </w:rPr>
        <w:endnoteRef/>
      </w:r>
      <w:r>
        <w:t xml:space="preserve"> Australian Institute of Health and Welfare, National Community Services Data Dictionary Version 7 (2012), </w:t>
      </w:r>
      <w:r w:rsidRPr="00F56E4E">
        <w:t>p</w:t>
      </w:r>
      <w:r>
        <w:t xml:space="preserve"> 483; Australian Institute of Health and Welfare, National health data dictionary Version 15 (2010), p 1466.</w:t>
      </w:r>
    </w:p>
  </w:endnote>
  <w:endnote w:id="12">
    <w:p w:rsidR="00435042" w:rsidRDefault="00435042">
      <w:pPr>
        <w:pStyle w:val="EndnoteText"/>
      </w:pPr>
      <w:r>
        <w:rPr>
          <w:rStyle w:val="EndnoteReference"/>
        </w:rPr>
        <w:endnoteRef/>
      </w:r>
      <w:r>
        <w:t xml:space="preserve"> Australian Bureau of Statistics, </w:t>
      </w:r>
      <w:r>
        <w:rPr>
          <w:i/>
        </w:rPr>
        <w:t xml:space="preserve">1285.0 Demographic Variables: Sex Standard </w:t>
      </w:r>
      <w:r>
        <w:t>(1999), para 20.</w:t>
      </w:r>
    </w:p>
  </w:endnote>
  <w:endnote w:id="13">
    <w:p w:rsidR="00435042" w:rsidRDefault="00435042" w:rsidP="00764B2D">
      <w:pPr>
        <w:pStyle w:val="EndnoteText"/>
      </w:pPr>
      <w:r>
        <w:rPr>
          <w:rStyle w:val="EndnoteReference"/>
        </w:rPr>
        <w:endnoteRef/>
      </w:r>
      <w:r>
        <w:t xml:space="preserve"> Australian Bureau of Statistics, </w:t>
      </w:r>
      <w:r>
        <w:rPr>
          <w:i/>
        </w:rPr>
        <w:t xml:space="preserve">1285.0 Demographic Variables: Sex Standard </w:t>
      </w:r>
      <w:r>
        <w:t>(1999), paras 8, 27.</w:t>
      </w:r>
    </w:p>
  </w:endnote>
  <w:endnote w:id="14">
    <w:p w:rsidR="00435042" w:rsidRDefault="00435042" w:rsidP="006F2CB5">
      <w:pPr>
        <w:pStyle w:val="EndnoteText"/>
      </w:pPr>
      <w:r>
        <w:rPr>
          <w:rStyle w:val="EndnoteReference"/>
        </w:rPr>
        <w:endnoteRef/>
      </w:r>
      <w:r>
        <w:t xml:space="preserve"> Office for National Statistics, </w:t>
      </w:r>
      <w:r>
        <w:rPr>
          <w:i/>
        </w:rPr>
        <w:t xml:space="preserve">Trans Data Position Paper </w:t>
      </w:r>
      <w:r>
        <w:t>(May 2009), p 9.</w:t>
      </w:r>
    </w:p>
  </w:endnote>
  <w:endnote w:id="15">
    <w:p w:rsidR="00435042" w:rsidRPr="00FD4B74" w:rsidRDefault="00435042" w:rsidP="006F2CB5">
      <w:pPr>
        <w:pStyle w:val="EndnoteText"/>
      </w:pPr>
      <w:r>
        <w:rPr>
          <w:rStyle w:val="EndnoteReference"/>
        </w:rPr>
        <w:endnoteRef/>
      </w:r>
      <w:r>
        <w:t xml:space="preserve"> For further discussion see Australian Human Rights Commission, </w:t>
      </w:r>
      <w:r>
        <w:rPr>
          <w:i/>
        </w:rPr>
        <w:t xml:space="preserve">The sex and gender diversity project </w:t>
      </w:r>
      <w:r>
        <w:t xml:space="preserve">(2009), p 7. At </w:t>
      </w:r>
      <w:hyperlink r:id="rId4" w:history="1">
        <w:r w:rsidRPr="00CB3DE5">
          <w:rPr>
            <w:rStyle w:val="Hyperlink"/>
          </w:rPr>
          <w:t>http://www.humanrights.gov.au/genderdiversity/sex_files2009.html</w:t>
        </w:r>
      </w:hyperlink>
      <w:r>
        <w:t xml:space="preserve"> (viewed 20 February 2013).</w:t>
      </w:r>
    </w:p>
  </w:endnote>
  <w:endnote w:id="16">
    <w:p w:rsidR="00435042" w:rsidRDefault="00435042" w:rsidP="0083048D">
      <w:pPr>
        <w:pStyle w:val="EndnoteText"/>
      </w:pPr>
      <w:r>
        <w:rPr>
          <w:rStyle w:val="EndnoteReference"/>
        </w:rPr>
        <w:endnoteRef/>
      </w:r>
      <w:r>
        <w:t xml:space="preserve"> </w:t>
      </w:r>
      <w:r w:rsidRPr="002F3394">
        <w:rPr>
          <w:i/>
        </w:rPr>
        <w:t>The Yogyakarta Principles: Principles on the Application of International Human Rights Law in Relation to Sexual Orientation and Gender Identity</w:t>
      </w:r>
      <w:r>
        <w:t xml:space="preserve"> (2007), introduction, preamble.</w:t>
      </w:r>
    </w:p>
  </w:endnote>
  <w:endnote w:id="17">
    <w:p w:rsidR="00435042" w:rsidRDefault="00435042">
      <w:pPr>
        <w:pStyle w:val="EndnoteText"/>
      </w:pPr>
      <w:r>
        <w:rPr>
          <w:rStyle w:val="EndnoteReference"/>
        </w:rPr>
        <w:endnoteRef/>
      </w:r>
      <w:r>
        <w:t xml:space="preserve"> For the questionnaire see Equality and Human Rights Commission, </w:t>
      </w:r>
      <w:r>
        <w:rPr>
          <w:i/>
        </w:rPr>
        <w:t xml:space="preserve">Collecting information on gender identity, </w:t>
      </w:r>
      <w:r>
        <w:t>revised (second) edition (2012), appendix 1.</w:t>
      </w:r>
    </w:p>
  </w:endnote>
  <w:endnote w:id="18">
    <w:p w:rsidR="00435042" w:rsidRDefault="00435042">
      <w:pPr>
        <w:pStyle w:val="EndnoteText"/>
      </w:pPr>
      <w:r>
        <w:rPr>
          <w:rStyle w:val="EndnoteReference"/>
        </w:rPr>
        <w:endnoteRef/>
      </w:r>
      <w:r>
        <w:t xml:space="preserve"> See for example Equality and Human Rights Commission, </w:t>
      </w:r>
      <w:r>
        <w:rPr>
          <w:i/>
        </w:rPr>
        <w:t xml:space="preserve">Collecting information on gender identity, </w:t>
      </w:r>
      <w:r>
        <w:t xml:space="preserve">revised (second) edition (2012); Office for National Statistics, </w:t>
      </w:r>
      <w:r>
        <w:rPr>
          <w:i/>
        </w:rPr>
        <w:t xml:space="preserve">Trans Data Position Paper </w:t>
      </w:r>
      <w:r>
        <w:t>(May 2009), p 7.</w:t>
      </w:r>
    </w:p>
  </w:endnote>
  <w:endnote w:id="19">
    <w:p w:rsidR="00435042" w:rsidRDefault="00435042">
      <w:pPr>
        <w:pStyle w:val="EndnoteText"/>
      </w:pPr>
      <w:r>
        <w:rPr>
          <w:rStyle w:val="EndnoteReference"/>
        </w:rPr>
        <w:endnoteRef/>
      </w:r>
      <w:r>
        <w:t xml:space="preserve"> For further discussion see Australian Human Rights Commission, </w:t>
      </w:r>
      <w:r>
        <w:rPr>
          <w:i/>
        </w:rPr>
        <w:t xml:space="preserve">Addressing sexual orientation and sex and/or gender identity discrimination </w:t>
      </w:r>
      <w:r>
        <w:t xml:space="preserve">(2011), p 5. At </w:t>
      </w:r>
      <w:hyperlink r:id="rId5" w:history="1">
        <w:r w:rsidRPr="0058632C">
          <w:rPr>
            <w:rStyle w:val="Hyperlink"/>
          </w:rPr>
          <w:t>http://www.humanrights.gov.au/human_rights/lgbti/lgbticonsult/index.html</w:t>
        </w:r>
      </w:hyperlink>
      <w:r>
        <w:t xml:space="preserve"> (viewed 13 March 2013).</w:t>
      </w:r>
    </w:p>
  </w:endnote>
  <w:endnote w:id="20">
    <w:p w:rsidR="00435042" w:rsidRPr="00E80111" w:rsidRDefault="00435042">
      <w:pPr>
        <w:pStyle w:val="EndnoteText"/>
      </w:pPr>
      <w:r>
        <w:rPr>
          <w:rStyle w:val="EndnoteReference"/>
        </w:rPr>
        <w:endnoteRef/>
      </w:r>
      <w:r>
        <w:t xml:space="preserve"> Australian Bureau of Statistics, </w:t>
      </w:r>
      <w:r>
        <w:rPr>
          <w:i/>
        </w:rPr>
        <w:t>ABS Statistics User Groups,</w:t>
      </w:r>
      <w:r w:rsidRPr="00E80111">
        <w:t xml:space="preserve"> </w:t>
      </w:r>
      <w:hyperlink r:id="rId6" w:history="1">
        <w:r w:rsidRPr="00E80111">
          <w:rPr>
            <w:rStyle w:val="Hyperlink"/>
          </w:rPr>
          <w:t>http://www.abs.gov.au/ausstats/abs@.nsf/Latestproducts/702BBC3495950293CA257A4B0083B186?opendocument</w:t>
        </w:r>
      </w:hyperlink>
      <w:r w:rsidRPr="00E80111">
        <w:t xml:space="preserve"> (viewed 12 March 2013).</w:t>
      </w:r>
    </w:p>
  </w:endnote>
  <w:endnote w:id="21">
    <w:p w:rsidR="00435042" w:rsidRDefault="00435042" w:rsidP="00A54676">
      <w:pPr>
        <w:pStyle w:val="EndnoteText"/>
      </w:pPr>
      <w:r>
        <w:rPr>
          <w:rStyle w:val="EndnoteReference"/>
        </w:rPr>
        <w:endnoteRef/>
      </w:r>
      <w:r>
        <w:t xml:space="preserve"> Australian Government, </w:t>
      </w:r>
      <w:r>
        <w:rPr>
          <w:i/>
        </w:rPr>
        <w:t xml:space="preserve">National Human Rights Action Plan </w:t>
      </w:r>
      <w:r>
        <w:t>(2012), action 205.</w:t>
      </w:r>
    </w:p>
  </w:endnote>
  <w:endnote w:id="22">
    <w:p w:rsidR="00435042" w:rsidRDefault="00435042" w:rsidP="006059A2">
      <w:pPr>
        <w:pStyle w:val="EndnoteText"/>
      </w:pPr>
      <w:r>
        <w:rPr>
          <w:rStyle w:val="EndnoteReference"/>
        </w:rPr>
        <w:endnoteRef/>
      </w:r>
      <w:r>
        <w:t xml:space="preserve"> Australian Government, </w:t>
      </w:r>
      <w:r>
        <w:rPr>
          <w:i/>
        </w:rPr>
        <w:t xml:space="preserve">National Human Rights Action Plan </w:t>
      </w:r>
      <w:r>
        <w:t>(2012), action 209.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A9" w:rsidRDefault="008F3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42" w:rsidRPr="0090165F" w:rsidRDefault="00435042" w:rsidP="00162A8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42" w:rsidRPr="004A187B" w:rsidRDefault="00435042" w:rsidP="008B23BC">
    <w:pPr>
      <w:pStyle w:val="Footer"/>
    </w:pPr>
    <w:r>
      <w:rPr>
        <w:noProof/>
      </w:rPr>
      <mc:AlternateContent>
        <mc:Choice Requires="wps">
          <w:drawing>
            <wp:anchor distT="0" distB="0" distL="114300" distR="114300" simplePos="0" relativeHeight="251657216" behindDoc="0" locked="0" layoutInCell="1" allowOverlap="1" wp14:anchorId="6E56C36F" wp14:editId="11946380">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435042" w:rsidRPr="0003606D" w:rsidRDefault="00435042" w:rsidP="0003606D">
                          <w:pPr>
                            <w:pStyle w:val="coveraddresses"/>
                          </w:pPr>
                          <w:r w:rsidRPr="0003606D">
                            <w:t>ABN 47 996 232 602</w:t>
                          </w:r>
                        </w:p>
                        <w:p w:rsidR="00435042" w:rsidRPr="0003606D" w:rsidRDefault="00435042" w:rsidP="0003606D">
                          <w:pPr>
                            <w:pStyle w:val="coveraddresses"/>
                          </w:pPr>
                          <w:r w:rsidRPr="0003606D">
                            <w:t>Level 3, 175 Pitt Street, Sydney NSW 2000</w:t>
                          </w:r>
                        </w:p>
                        <w:p w:rsidR="00435042" w:rsidRPr="0003606D" w:rsidRDefault="00435042" w:rsidP="0003606D">
                          <w:pPr>
                            <w:pStyle w:val="coveraddresses"/>
                          </w:pPr>
                          <w:r w:rsidRPr="0003606D">
                            <w:t>GPO Box 5218, Sydney NSW 2001</w:t>
                          </w:r>
                        </w:p>
                        <w:p w:rsidR="00435042" w:rsidRPr="0003606D" w:rsidRDefault="00435042" w:rsidP="0003606D">
                          <w:pPr>
                            <w:pStyle w:val="coveraddresses"/>
                          </w:pPr>
                          <w:r w:rsidRPr="0003606D">
                            <w:t>General enquiries 1300 369 711</w:t>
                          </w:r>
                        </w:p>
                        <w:p w:rsidR="00435042" w:rsidRPr="0003606D" w:rsidRDefault="00435042" w:rsidP="0003606D">
                          <w:pPr>
                            <w:pStyle w:val="coveraddresses"/>
                          </w:pPr>
                          <w:r w:rsidRPr="0003606D">
                            <w:t>Complaints info line 1300 656 419</w:t>
                          </w:r>
                        </w:p>
                        <w:p w:rsidR="00435042" w:rsidRPr="0003606D" w:rsidRDefault="00435042" w:rsidP="0003606D">
                          <w:pPr>
                            <w:pStyle w:val="coveraddresses"/>
                          </w:pPr>
                          <w:r w:rsidRPr="0003606D">
                            <w:t>TTY 1800 620 241</w:t>
                          </w:r>
                        </w:p>
                        <w:p w:rsidR="00435042" w:rsidRPr="00B63D24" w:rsidRDefault="00435042"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435042" w:rsidRPr="0003606D" w:rsidRDefault="00435042" w:rsidP="0003606D">
                    <w:pPr>
                      <w:pStyle w:val="coveraddresses"/>
                    </w:pPr>
                    <w:r w:rsidRPr="0003606D">
                      <w:t>ABN 47 996 232 602</w:t>
                    </w:r>
                  </w:p>
                  <w:p w:rsidR="00435042" w:rsidRPr="0003606D" w:rsidRDefault="00435042" w:rsidP="0003606D">
                    <w:pPr>
                      <w:pStyle w:val="coveraddresses"/>
                    </w:pPr>
                    <w:r w:rsidRPr="0003606D">
                      <w:t>Level 3, 175 Pitt Street, Sydney NSW 2000</w:t>
                    </w:r>
                  </w:p>
                  <w:p w:rsidR="00435042" w:rsidRPr="0003606D" w:rsidRDefault="00435042" w:rsidP="0003606D">
                    <w:pPr>
                      <w:pStyle w:val="coveraddresses"/>
                    </w:pPr>
                    <w:r w:rsidRPr="0003606D">
                      <w:t>GPO Box 5218, Sydney NSW 2001</w:t>
                    </w:r>
                  </w:p>
                  <w:p w:rsidR="00435042" w:rsidRPr="0003606D" w:rsidRDefault="00435042" w:rsidP="0003606D">
                    <w:pPr>
                      <w:pStyle w:val="coveraddresses"/>
                    </w:pPr>
                    <w:r w:rsidRPr="0003606D">
                      <w:t>General enquiries 1300 369 711</w:t>
                    </w:r>
                  </w:p>
                  <w:p w:rsidR="00435042" w:rsidRPr="0003606D" w:rsidRDefault="00435042" w:rsidP="0003606D">
                    <w:pPr>
                      <w:pStyle w:val="coveraddresses"/>
                    </w:pPr>
                    <w:r w:rsidRPr="0003606D">
                      <w:t>Complaints info line 1300 656 419</w:t>
                    </w:r>
                  </w:p>
                  <w:p w:rsidR="00435042" w:rsidRPr="0003606D" w:rsidRDefault="00435042" w:rsidP="0003606D">
                    <w:pPr>
                      <w:pStyle w:val="coveraddresses"/>
                    </w:pPr>
                    <w:r w:rsidRPr="0003606D">
                      <w:t>TTY 1800 620 241</w:t>
                    </w:r>
                  </w:p>
                  <w:p w:rsidR="00435042" w:rsidRPr="00B63D24" w:rsidRDefault="00435042" w:rsidP="00B63D24">
                    <w:pPr>
                      <w:pStyle w:val="Footer"/>
                    </w:pPr>
                    <w:r w:rsidRPr="00B63D24">
                      <w:tab/>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42" w:rsidRPr="0090165F" w:rsidRDefault="00435042"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8F3EA9">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42" w:rsidRDefault="00435042" w:rsidP="00F14C6D">
      <w:r>
        <w:separator/>
      </w:r>
    </w:p>
  </w:footnote>
  <w:footnote w:type="continuationSeparator" w:id="0">
    <w:p w:rsidR="00435042" w:rsidRDefault="0043504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A9" w:rsidRDefault="008F3E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42" w:rsidRPr="00D27262" w:rsidRDefault="00435042" w:rsidP="002B1B65">
    <w:pPr>
      <w:spacing w:before="0" w:after="0"/>
      <w:jc w:val="right"/>
      <w:rPr>
        <w:sz w:val="22"/>
        <w:szCs w:val="22"/>
      </w:rPr>
    </w:pPr>
    <w:r w:rsidRPr="00D27262">
      <w:rPr>
        <w:sz w:val="22"/>
        <w:szCs w:val="22"/>
      </w:rPr>
      <w:t>Au</w:t>
    </w:r>
    <w:r>
      <w:rPr>
        <w:sz w:val="22"/>
        <w:szCs w:val="22"/>
      </w:rPr>
      <w:t>stralian Human Rights Commission</w:t>
    </w:r>
  </w:p>
  <w:p w:rsidR="00435042" w:rsidRDefault="00435042"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35042" w:rsidRPr="00B85DD4" w:rsidTr="00165E3C">
      <w:trPr>
        <w:trHeight w:val="1276"/>
      </w:trPr>
      <w:tc>
        <w:tcPr>
          <w:tcW w:w="1508" w:type="dxa"/>
        </w:tcPr>
        <w:p w:rsidR="00435042" w:rsidRPr="00B85DD4" w:rsidRDefault="008F3EA9"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4097" type="#_x0000_t75" style="position:absolute;left:0;text-align:left;margin-left:-71.05pt;margin-top:-116pt;width:595.65pt;height:870.15pt;z-index:-251658240;mso-position-horizontal-relative:margin;mso-position-vertical-relative:margin" o:allowincell="f">
                <v:imagedata r:id="rId1" o:title="MS word cover1"/>
                <w10:wrap anchorx="margin" anchory="margin"/>
              </v:shape>
            </w:pict>
          </w:r>
        </w:p>
      </w:tc>
      <w:tc>
        <w:tcPr>
          <w:tcW w:w="2688" w:type="dxa"/>
          <w:vAlign w:val="center"/>
        </w:tcPr>
        <w:p w:rsidR="00435042" w:rsidRPr="00B85DD4" w:rsidRDefault="00435042" w:rsidP="002B1B65">
          <w:pPr>
            <w:spacing w:before="0" w:after="0"/>
            <w:rPr>
              <w:rFonts w:cs="ArialMT"/>
              <w:i/>
              <w:color w:val="808080"/>
              <w:sz w:val="17"/>
            </w:rPr>
          </w:pPr>
        </w:p>
      </w:tc>
      <w:tc>
        <w:tcPr>
          <w:tcW w:w="2302" w:type="dxa"/>
        </w:tcPr>
        <w:p w:rsidR="00435042" w:rsidRPr="00B85DD4" w:rsidRDefault="00435042" w:rsidP="00B520BC">
          <w:pPr>
            <w:pStyle w:val="HeaderFooter"/>
            <w:rPr>
              <w:b/>
              <w:spacing w:val="-20"/>
              <w:sz w:val="40"/>
            </w:rPr>
          </w:pPr>
        </w:p>
      </w:tc>
      <w:tc>
        <w:tcPr>
          <w:tcW w:w="2130" w:type="dxa"/>
        </w:tcPr>
        <w:p w:rsidR="00435042" w:rsidRPr="00B85DD4" w:rsidRDefault="00435042" w:rsidP="00B520BC">
          <w:pPr>
            <w:pStyle w:val="HeaderFooter"/>
            <w:rPr>
              <w:b/>
              <w:spacing w:val="-20"/>
              <w:sz w:val="40"/>
            </w:rPr>
          </w:pPr>
        </w:p>
      </w:tc>
      <w:tc>
        <w:tcPr>
          <w:tcW w:w="1721" w:type="dxa"/>
        </w:tcPr>
        <w:p w:rsidR="00435042" w:rsidRPr="00B85DD4" w:rsidRDefault="00435042" w:rsidP="00B520BC">
          <w:pPr>
            <w:pStyle w:val="HeaderFooter"/>
            <w:spacing w:before="227" w:after="340"/>
            <w:rPr>
              <w:b/>
              <w:spacing w:val="-20"/>
              <w:sz w:val="40"/>
            </w:rPr>
          </w:pPr>
        </w:p>
      </w:tc>
    </w:tr>
  </w:tbl>
  <w:p w:rsidR="00435042" w:rsidRDefault="004350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42" w:rsidRDefault="004350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042" w:rsidRPr="00D27262" w:rsidRDefault="00435042" w:rsidP="00B34946">
    <w:pPr>
      <w:spacing w:before="0" w:after="60"/>
      <w:jc w:val="right"/>
      <w:rPr>
        <w:sz w:val="22"/>
        <w:szCs w:val="22"/>
      </w:rPr>
    </w:pPr>
    <w:r w:rsidRPr="00D27262">
      <w:rPr>
        <w:sz w:val="22"/>
        <w:szCs w:val="22"/>
      </w:rPr>
      <w:t>Au</w:t>
    </w:r>
    <w:r>
      <w:rPr>
        <w:sz w:val="22"/>
        <w:szCs w:val="22"/>
      </w:rPr>
      <w:t>stralian Human Rights Commission</w:t>
    </w:r>
  </w:p>
  <w:p w:rsidR="00435042" w:rsidRPr="00D729AD" w:rsidRDefault="00435042" w:rsidP="002F4CE1">
    <w:pPr>
      <w:pStyle w:val="Footer"/>
      <w:spacing w:after="240"/>
      <w:jc w:val="right"/>
      <w:rPr>
        <w:i/>
        <w:szCs w:val="18"/>
      </w:rPr>
    </w:pPr>
    <w:r w:rsidRPr="00717175">
      <w:rPr>
        <w:i/>
        <w:szCs w:val="18"/>
      </w:rPr>
      <w:t xml:space="preserve">Submission to </w:t>
    </w:r>
    <w:r>
      <w:rPr>
        <w:i/>
        <w:szCs w:val="18"/>
      </w:rPr>
      <w:t>the Review of the Sex Standard – March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35042" w:rsidRPr="00B85DD4" w:rsidTr="002B1B65">
      <w:trPr>
        <w:trHeight w:val="1603"/>
      </w:trPr>
      <w:tc>
        <w:tcPr>
          <w:tcW w:w="1508" w:type="dxa"/>
        </w:tcPr>
        <w:p w:rsidR="00435042" w:rsidRPr="00B85DD4" w:rsidRDefault="00435042"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435042" w:rsidRPr="00D36BB2" w:rsidRDefault="00435042" w:rsidP="002B1B65">
          <w:pPr>
            <w:pStyle w:val="LogoType"/>
            <w:pBdr>
              <w:bottom w:val="single" w:sz="4" w:space="1" w:color="808080"/>
            </w:pBdr>
            <w:spacing w:line="240" w:lineRule="auto"/>
          </w:pPr>
          <w:r w:rsidRPr="00D36BB2">
            <w:t>Australian</w:t>
          </w:r>
        </w:p>
        <w:p w:rsidR="00435042" w:rsidRPr="00D36BB2" w:rsidRDefault="00435042" w:rsidP="002B1B65">
          <w:pPr>
            <w:pStyle w:val="LogoType"/>
            <w:pBdr>
              <w:bottom w:val="single" w:sz="4" w:space="1" w:color="808080"/>
            </w:pBdr>
            <w:spacing w:line="240" w:lineRule="auto"/>
          </w:pPr>
          <w:r w:rsidRPr="00D36BB2">
            <w:t>Human Rights</w:t>
          </w:r>
        </w:p>
        <w:p w:rsidR="00435042" w:rsidRPr="00D36BB2" w:rsidRDefault="00435042" w:rsidP="002B1B65">
          <w:pPr>
            <w:pStyle w:val="LogoType"/>
            <w:pBdr>
              <w:bottom w:val="single" w:sz="4" w:space="1" w:color="808080"/>
            </w:pBdr>
            <w:spacing w:line="240" w:lineRule="auto"/>
          </w:pPr>
          <w:r w:rsidRPr="00D36BB2">
            <w:t>Commission</w:t>
          </w:r>
        </w:p>
        <w:p w:rsidR="00435042" w:rsidRPr="00B85DD4" w:rsidRDefault="00435042"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435042" w:rsidRPr="00B85DD4" w:rsidRDefault="00435042" w:rsidP="00B520BC">
          <w:pPr>
            <w:pStyle w:val="HeaderFooter"/>
            <w:rPr>
              <w:b/>
              <w:spacing w:val="-20"/>
              <w:sz w:val="40"/>
            </w:rPr>
          </w:pPr>
        </w:p>
      </w:tc>
      <w:tc>
        <w:tcPr>
          <w:tcW w:w="2130" w:type="dxa"/>
        </w:tcPr>
        <w:p w:rsidR="00435042" w:rsidRPr="00B85DD4" w:rsidRDefault="00435042" w:rsidP="00B520BC">
          <w:pPr>
            <w:pStyle w:val="HeaderFooter"/>
            <w:rPr>
              <w:b/>
              <w:spacing w:val="-20"/>
              <w:sz w:val="40"/>
            </w:rPr>
          </w:pPr>
        </w:p>
      </w:tc>
      <w:tc>
        <w:tcPr>
          <w:tcW w:w="1721" w:type="dxa"/>
        </w:tcPr>
        <w:p w:rsidR="00435042" w:rsidRPr="00B85DD4" w:rsidRDefault="00435042" w:rsidP="00B520BC">
          <w:pPr>
            <w:pStyle w:val="HeaderFooter"/>
            <w:spacing w:before="227" w:after="340"/>
            <w:rPr>
              <w:b/>
              <w:spacing w:val="-20"/>
              <w:sz w:val="40"/>
            </w:rPr>
          </w:pPr>
        </w:p>
      </w:tc>
    </w:tr>
  </w:tbl>
  <w:p w:rsidR="00435042" w:rsidRDefault="00435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0F4A3032"/>
    <w:multiLevelType w:val="hybridMultilevel"/>
    <w:tmpl w:val="515EF4E4"/>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2">
    <w:nsid w:val="1DCB237C"/>
    <w:multiLevelType w:val="hybridMultilevel"/>
    <w:tmpl w:val="B052CE9C"/>
    <w:lvl w:ilvl="0" w:tplc="E1CA8FCE">
      <w:start w:val="1"/>
      <w:numFmt w:val="decimal"/>
      <w:pStyle w:val="SubmissionNormal"/>
      <w:lvlText w:val="%1."/>
      <w:lvlJc w:val="left"/>
      <w:pPr>
        <w:tabs>
          <w:tab w:val="num" w:pos="1284"/>
        </w:tabs>
        <w:ind w:left="128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tabs>
          <w:tab w:val="num" w:pos="2004"/>
        </w:tabs>
        <w:ind w:left="2004" w:hanging="360"/>
      </w:pPr>
    </w:lvl>
    <w:lvl w:ilvl="2" w:tplc="0C09001B" w:tentative="1">
      <w:start w:val="1"/>
      <w:numFmt w:val="lowerRoman"/>
      <w:lvlText w:val="%3."/>
      <w:lvlJc w:val="right"/>
      <w:pPr>
        <w:tabs>
          <w:tab w:val="num" w:pos="2724"/>
        </w:tabs>
        <w:ind w:left="2724" w:hanging="180"/>
      </w:pPr>
    </w:lvl>
    <w:lvl w:ilvl="3" w:tplc="0C09000F" w:tentative="1">
      <w:start w:val="1"/>
      <w:numFmt w:val="decimal"/>
      <w:lvlText w:val="%4."/>
      <w:lvlJc w:val="left"/>
      <w:pPr>
        <w:tabs>
          <w:tab w:val="num" w:pos="3444"/>
        </w:tabs>
        <w:ind w:left="3444" w:hanging="360"/>
      </w:pPr>
    </w:lvl>
    <w:lvl w:ilvl="4" w:tplc="0C090019" w:tentative="1">
      <w:start w:val="1"/>
      <w:numFmt w:val="lowerLetter"/>
      <w:lvlText w:val="%5."/>
      <w:lvlJc w:val="left"/>
      <w:pPr>
        <w:tabs>
          <w:tab w:val="num" w:pos="4164"/>
        </w:tabs>
        <w:ind w:left="4164" w:hanging="360"/>
      </w:pPr>
    </w:lvl>
    <w:lvl w:ilvl="5" w:tplc="0C09001B" w:tentative="1">
      <w:start w:val="1"/>
      <w:numFmt w:val="lowerRoman"/>
      <w:lvlText w:val="%6."/>
      <w:lvlJc w:val="right"/>
      <w:pPr>
        <w:tabs>
          <w:tab w:val="num" w:pos="4884"/>
        </w:tabs>
        <w:ind w:left="4884" w:hanging="180"/>
      </w:pPr>
    </w:lvl>
    <w:lvl w:ilvl="6" w:tplc="0C09000F" w:tentative="1">
      <w:start w:val="1"/>
      <w:numFmt w:val="decimal"/>
      <w:lvlText w:val="%7."/>
      <w:lvlJc w:val="left"/>
      <w:pPr>
        <w:tabs>
          <w:tab w:val="num" w:pos="5604"/>
        </w:tabs>
        <w:ind w:left="5604" w:hanging="360"/>
      </w:pPr>
    </w:lvl>
    <w:lvl w:ilvl="7" w:tplc="0C090019" w:tentative="1">
      <w:start w:val="1"/>
      <w:numFmt w:val="lowerLetter"/>
      <w:lvlText w:val="%8."/>
      <w:lvlJc w:val="left"/>
      <w:pPr>
        <w:tabs>
          <w:tab w:val="num" w:pos="6324"/>
        </w:tabs>
        <w:ind w:left="6324" w:hanging="360"/>
      </w:pPr>
    </w:lvl>
    <w:lvl w:ilvl="8" w:tplc="0C09001B" w:tentative="1">
      <w:start w:val="1"/>
      <w:numFmt w:val="lowerRoman"/>
      <w:lvlText w:val="%9."/>
      <w:lvlJc w:val="right"/>
      <w:pPr>
        <w:tabs>
          <w:tab w:val="num" w:pos="7044"/>
        </w:tabs>
        <w:ind w:left="7044" w:hanging="18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0FE3102"/>
    <w:multiLevelType w:val="hybridMultilevel"/>
    <w:tmpl w:val="9A3C872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B76788"/>
    <w:multiLevelType w:val="hybridMultilevel"/>
    <w:tmpl w:val="1F86A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353FB5"/>
    <w:multiLevelType w:val="hybridMultilevel"/>
    <w:tmpl w:val="6DEA2E02"/>
    <w:lvl w:ilvl="0" w:tplc="A32EC982">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B575343"/>
    <w:multiLevelType w:val="hybridMultilevel"/>
    <w:tmpl w:val="172668A6"/>
    <w:lvl w:ilvl="0" w:tplc="0C090001">
      <w:start w:val="1"/>
      <w:numFmt w:val="bullet"/>
      <w:lvlText w:val=""/>
      <w:lvlJc w:val="left"/>
      <w:pPr>
        <w:ind w:left="1448" w:hanging="360"/>
      </w:pPr>
      <w:rPr>
        <w:rFonts w:ascii="Symbol" w:hAnsi="Symbol" w:hint="default"/>
      </w:rPr>
    </w:lvl>
    <w:lvl w:ilvl="1" w:tplc="0C090003">
      <w:start w:val="1"/>
      <w:numFmt w:val="bullet"/>
      <w:lvlText w:val="o"/>
      <w:lvlJc w:val="left"/>
      <w:pPr>
        <w:ind w:left="4046" w:hanging="360"/>
      </w:pPr>
      <w:rPr>
        <w:rFonts w:ascii="Courier New" w:hAnsi="Courier New" w:cs="Courier New" w:hint="default"/>
      </w:rPr>
    </w:lvl>
    <w:lvl w:ilvl="2" w:tplc="0C090005" w:tentative="1">
      <w:start w:val="1"/>
      <w:numFmt w:val="bullet"/>
      <w:lvlText w:val=""/>
      <w:lvlJc w:val="left"/>
      <w:pPr>
        <w:ind w:left="2888" w:hanging="360"/>
      </w:pPr>
      <w:rPr>
        <w:rFonts w:ascii="Wingdings" w:hAnsi="Wingdings" w:hint="default"/>
      </w:rPr>
    </w:lvl>
    <w:lvl w:ilvl="3" w:tplc="0C090001" w:tentative="1">
      <w:start w:val="1"/>
      <w:numFmt w:val="bullet"/>
      <w:lvlText w:val=""/>
      <w:lvlJc w:val="left"/>
      <w:pPr>
        <w:ind w:left="3608" w:hanging="360"/>
      </w:pPr>
      <w:rPr>
        <w:rFonts w:ascii="Symbol" w:hAnsi="Symbol" w:hint="default"/>
      </w:rPr>
    </w:lvl>
    <w:lvl w:ilvl="4" w:tplc="0C090003" w:tentative="1">
      <w:start w:val="1"/>
      <w:numFmt w:val="bullet"/>
      <w:lvlText w:val="o"/>
      <w:lvlJc w:val="left"/>
      <w:pPr>
        <w:ind w:left="4328" w:hanging="360"/>
      </w:pPr>
      <w:rPr>
        <w:rFonts w:ascii="Courier New" w:hAnsi="Courier New" w:cs="Courier New" w:hint="default"/>
      </w:rPr>
    </w:lvl>
    <w:lvl w:ilvl="5" w:tplc="0C090005" w:tentative="1">
      <w:start w:val="1"/>
      <w:numFmt w:val="bullet"/>
      <w:lvlText w:val=""/>
      <w:lvlJc w:val="left"/>
      <w:pPr>
        <w:ind w:left="5048" w:hanging="360"/>
      </w:pPr>
      <w:rPr>
        <w:rFonts w:ascii="Wingdings" w:hAnsi="Wingdings" w:hint="default"/>
      </w:rPr>
    </w:lvl>
    <w:lvl w:ilvl="6" w:tplc="0C090001" w:tentative="1">
      <w:start w:val="1"/>
      <w:numFmt w:val="bullet"/>
      <w:lvlText w:val=""/>
      <w:lvlJc w:val="left"/>
      <w:pPr>
        <w:ind w:left="5768" w:hanging="360"/>
      </w:pPr>
      <w:rPr>
        <w:rFonts w:ascii="Symbol" w:hAnsi="Symbol" w:hint="default"/>
      </w:rPr>
    </w:lvl>
    <w:lvl w:ilvl="7" w:tplc="0C090003" w:tentative="1">
      <w:start w:val="1"/>
      <w:numFmt w:val="bullet"/>
      <w:lvlText w:val="o"/>
      <w:lvlJc w:val="left"/>
      <w:pPr>
        <w:ind w:left="6488" w:hanging="360"/>
      </w:pPr>
      <w:rPr>
        <w:rFonts w:ascii="Courier New" w:hAnsi="Courier New" w:cs="Courier New" w:hint="default"/>
      </w:rPr>
    </w:lvl>
    <w:lvl w:ilvl="8" w:tplc="0C090005" w:tentative="1">
      <w:start w:val="1"/>
      <w:numFmt w:val="bullet"/>
      <w:lvlText w:val=""/>
      <w:lvlJc w:val="left"/>
      <w:pPr>
        <w:ind w:left="7208" w:hanging="360"/>
      </w:pPr>
      <w:rPr>
        <w:rFonts w:ascii="Wingdings" w:hAnsi="Wingdings" w:hint="default"/>
      </w:rPr>
    </w:lvl>
  </w:abstractNum>
  <w:abstractNum w:abstractNumId="23">
    <w:nsid w:val="70831E19"/>
    <w:multiLevelType w:val="hybridMultilevel"/>
    <w:tmpl w:val="9A7402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1"/>
  </w:num>
  <w:num w:numId="13">
    <w:abstractNumId w:val="16"/>
  </w:num>
  <w:num w:numId="14">
    <w:abstractNumId w:val="13"/>
  </w:num>
  <w:num w:numId="15">
    <w:abstractNumId w:val="12"/>
  </w:num>
  <w:num w:numId="16">
    <w:abstractNumId w:val="10"/>
  </w:num>
  <w:num w:numId="17">
    <w:abstractNumId w:val="20"/>
  </w:num>
  <w:num w:numId="18">
    <w:abstractNumId w:val="14"/>
  </w:num>
  <w:num w:numId="19">
    <w:abstractNumId w:val="22"/>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2"/>
  </w:num>
  <w:num w:numId="25">
    <w:abstractNumId w:val="19"/>
  </w:num>
  <w:num w:numId="26">
    <w:abstractNumId w:val="19"/>
  </w:num>
  <w:num w:numId="27">
    <w:abstractNumId w:val="19"/>
  </w:num>
  <w:num w:numId="28">
    <w:abstractNumId w:val="12"/>
  </w:num>
  <w:num w:numId="29">
    <w:abstractNumId w:val="12"/>
  </w:num>
  <w:num w:numId="30">
    <w:abstractNumId w:val="19"/>
  </w:num>
  <w:num w:numId="31">
    <w:abstractNumId w:val="19"/>
  </w:num>
  <w:num w:numId="32">
    <w:abstractNumId w:val="12"/>
  </w:num>
  <w:num w:numId="33">
    <w:abstractNumId w:val="12"/>
  </w:num>
  <w:num w:numId="34">
    <w:abstractNumId w:val="17"/>
  </w:num>
  <w:num w:numId="35">
    <w:abstractNumId w:val="12"/>
    <w:lvlOverride w:ilvl="0">
      <w:startOverride w:val="1"/>
    </w:lvlOverride>
  </w:num>
  <w:num w:numId="36">
    <w:abstractNumId w:val="18"/>
  </w:num>
  <w:num w:numId="37">
    <w:abstractNumId w:val="11"/>
  </w:num>
  <w:num w:numId="3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40"/>
    <w:rsid w:val="000030ED"/>
    <w:rsid w:val="0000322E"/>
    <w:rsid w:val="0000749A"/>
    <w:rsid w:val="000079A3"/>
    <w:rsid w:val="00011A3B"/>
    <w:rsid w:val="00011C65"/>
    <w:rsid w:val="000137F3"/>
    <w:rsid w:val="00013F28"/>
    <w:rsid w:val="000140F6"/>
    <w:rsid w:val="000160AF"/>
    <w:rsid w:val="0001656C"/>
    <w:rsid w:val="000165C2"/>
    <w:rsid w:val="00016876"/>
    <w:rsid w:val="000207FD"/>
    <w:rsid w:val="00022BBA"/>
    <w:rsid w:val="00022C90"/>
    <w:rsid w:val="00022F24"/>
    <w:rsid w:val="0002557C"/>
    <w:rsid w:val="000265C5"/>
    <w:rsid w:val="00026D4C"/>
    <w:rsid w:val="00027B64"/>
    <w:rsid w:val="00030B51"/>
    <w:rsid w:val="000329FB"/>
    <w:rsid w:val="000339A0"/>
    <w:rsid w:val="00033D82"/>
    <w:rsid w:val="0003606D"/>
    <w:rsid w:val="00037863"/>
    <w:rsid w:val="000427E8"/>
    <w:rsid w:val="00044588"/>
    <w:rsid w:val="00044855"/>
    <w:rsid w:val="000449A8"/>
    <w:rsid w:val="00044BBE"/>
    <w:rsid w:val="000459FA"/>
    <w:rsid w:val="00051200"/>
    <w:rsid w:val="00052C8D"/>
    <w:rsid w:val="00053C7E"/>
    <w:rsid w:val="00054D5E"/>
    <w:rsid w:val="0005579F"/>
    <w:rsid w:val="0005658B"/>
    <w:rsid w:val="0005712F"/>
    <w:rsid w:val="000572FA"/>
    <w:rsid w:val="000579B1"/>
    <w:rsid w:val="000603BB"/>
    <w:rsid w:val="0006046C"/>
    <w:rsid w:val="0006250D"/>
    <w:rsid w:val="00064DAC"/>
    <w:rsid w:val="00065C50"/>
    <w:rsid w:val="00066B0D"/>
    <w:rsid w:val="00070DA2"/>
    <w:rsid w:val="00072D2F"/>
    <w:rsid w:val="00074319"/>
    <w:rsid w:val="00074679"/>
    <w:rsid w:val="000765B9"/>
    <w:rsid w:val="0007682B"/>
    <w:rsid w:val="00077B3F"/>
    <w:rsid w:val="00077EFF"/>
    <w:rsid w:val="000801AA"/>
    <w:rsid w:val="0008093B"/>
    <w:rsid w:val="0008141F"/>
    <w:rsid w:val="0008163F"/>
    <w:rsid w:val="00081E97"/>
    <w:rsid w:val="0008201F"/>
    <w:rsid w:val="00082317"/>
    <w:rsid w:val="0008446D"/>
    <w:rsid w:val="000846B3"/>
    <w:rsid w:val="000852BA"/>
    <w:rsid w:val="00085498"/>
    <w:rsid w:val="0008569C"/>
    <w:rsid w:val="00086A4B"/>
    <w:rsid w:val="00086D30"/>
    <w:rsid w:val="00086E9C"/>
    <w:rsid w:val="000879BC"/>
    <w:rsid w:val="000879F9"/>
    <w:rsid w:val="00087C89"/>
    <w:rsid w:val="00091C7E"/>
    <w:rsid w:val="0009230B"/>
    <w:rsid w:val="00094904"/>
    <w:rsid w:val="0009570D"/>
    <w:rsid w:val="000A08F5"/>
    <w:rsid w:val="000A0EDF"/>
    <w:rsid w:val="000A1DB8"/>
    <w:rsid w:val="000A3579"/>
    <w:rsid w:val="000A3F6B"/>
    <w:rsid w:val="000A48AC"/>
    <w:rsid w:val="000A6446"/>
    <w:rsid w:val="000A6F8E"/>
    <w:rsid w:val="000B0A5D"/>
    <w:rsid w:val="000B0A98"/>
    <w:rsid w:val="000B3673"/>
    <w:rsid w:val="000B44B1"/>
    <w:rsid w:val="000B746F"/>
    <w:rsid w:val="000C1165"/>
    <w:rsid w:val="000D1767"/>
    <w:rsid w:val="000D217C"/>
    <w:rsid w:val="000D2D9C"/>
    <w:rsid w:val="000D2DCE"/>
    <w:rsid w:val="000D4BF3"/>
    <w:rsid w:val="000D4FC8"/>
    <w:rsid w:val="000D5028"/>
    <w:rsid w:val="000D7C4E"/>
    <w:rsid w:val="000E130A"/>
    <w:rsid w:val="000E1A3D"/>
    <w:rsid w:val="000E1D8C"/>
    <w:rsid w:val="000E2199"/>
    <w:rsid w:val="000E33FB"/>
    <w:rsid w:val="000E4730"/>
    <w:rsid w:val="000E650A"/>
    <w:rsid w:val="000E6FBE"/>
    <w:rsid w:val="000F0A5C"/>
    <w:rsid w:val="000F0F78"/>
    <w:rsid w:val="000F29B8"/>
    <w:rsid w:val="000F3A4C"/>
    <w:rsid w:val="000F4844"/>
    <w:rsid w:val="000F4B1C"/>
    <w:rsid w:val="000F5C8B"/>
    <w:rsid w:val="000F67DF"/>
    <w:rsid w:val="000F6FD5"/>
    <w:rsid w:val="000F73AF"/>
    <w:rsid w:val="000F761D"/>
    <w:rsid w:val="0010060C"/>
    <w:rsid w:val="0010094A"/>
    <w:rsid w:val="00102B3A"/>
    <w:rsid w:val="001051A2"/>
    <w:rsid w:val="00105804"/>
    <w:rsid w:val="00107DEC"/>
    <w:rsid w:val="001144FD"/>
    <w:rsid w:val="00114FE0"/>
    <w:rsid w:val="001156E3"/>
    <w:rsid w:val="0011626D"/>
    <w:rsid w:val="00116B62"/>
    <w:rsid w:val="00117C13"/>
    <w:rsid w:val="00117C16"/>
    <w:rsid w:val="00121DB2"/>
    <w:rsid w:val="00122A2F"/>
    <w:rsid w:val="00123897"/>
    <w:rsid w:val="00123B34"/>
    <w:rsid w:val="00124332"/>
    <w:rsid w:val="00124502"/>
    <w:rsid w:val="00124768"/>
    <w:rsid w:val="0012581B"/>
    <w:rsid w:val="00125A24"/>
    <w:rsid w:val="001265AB"/>
    <w:rsid w:val="00130DDE"/>
    <w:rsid w:val="00132E4C"/>
    <w:rsid w:val="00134168"/>
    <w:rsid w:val="00134774"/>
    <w:rsid w:val="001357B1"/>
    <w:rsid w:val="0013686C"/>
    <w:rsid w:val="00136FC2"/>
    <w:rsid w:val="00140274"/>
    <w:rsid w:val="00142B71"/>
    <w:rsid w:val="00144A8F"/>
    <w:rsid w:val="00145245"/>
    <w:rsid w:val="00145420"/>
    <w:rsid w:val="001467F8"/>
    <w:rsid w:val="001500CB"/>
    <w:rsid w:val="0015089F"/>
    <w:rsid w:val="00151263"/>
    <w:rsid w:val="00154AE4"/>
    <w:rsid w:val="00155349"/>
    <w:rsid w:val="0015555C"/>
    <w:rsid w:val="0015568E"/>
    <w:rsid w:val="00155755"/>
    <w:rsid w:val="00157FBC"/>
    <w:rsid w:val="001600DF"/>
    <w:rsid w:val="001600F0"/>
    <w:rsid w:val="00160D5F"/>
    <w:rsid w:val="00162A8D"/>
    <w:rsid w:val="00165693"/>
    <w:rsid w:val="00165B04"/>
    <w:rsid w:val="00165E3C"/>
    <w:rsid w:val="00171119"/>
    <w:rsid w:val="001711A2"/>
    <w:rsid w:val="00171562"/>
    <w:rsid w:val="001716C9"/>
    <w:rsid w:val="001716D7"/>
    <w:rsid w:val="00171FE7"/>
    <w:rsid w:val="001725EB"/>
    <w:rsid w:val="00173FB5"/>
    <w:rsid w:val="0017511E"/>
    <w:rsid w:val="00175392"/>
    <w:rsid w:val="00175E42"/>
    <w:rsid w:val="00182D06"/>
    <w:rsid w:val="001834F0"/>
    <w:rsid w:val="00183E38"/>
    <w:rsid w:val="001843E2"/>
    <w:rsid w:val="0018511C"/>
    <w:rsid w:val="00191088"/>
    <w:rsid w:val="00192338"/>
    <w:rsid w:val="00193088"/>
    <w:rsid w:val="00193100"/>
    <w:rsid w:val="0019338C"/>
    <w:rsid w:val="001942A0"/>
    <w:rsid w:val="00194DA4"/>
    <w:rsid w:val="00195504"/>
    <w:rsid w:val="001976CA"/>
    <w:rsid w:val="00197EE8"/>
    <w:rsid w:val="001A05BC"/>
    <w:rsid w:val="001A0777"/>
    <w:rsid w:val="001A44FE"/>
    <w:rsid w:val="001A4EE0"/>
    <w:rsid w:val="001A54D2"/>
    <w:rsid w:val="001A5677"/>
    <w:rsid w:val="001A7BB2"/>
    <w:rsid w:val="001A7C3F"/>
    <w:rsid w:val="001A7D2D"/>
    <w:rsid w:val="001B0353"/>
    <w:rsid w:val="001B14FF"/>
    <w:rsid w:val="001B4414"/>
    <w:rsid w:val="001B4A16"/>
    <w:rsid w:val="001B5066"/>
    <w:rsid w:val="001B614C"/>
    <w:rsid w:val="001B7451"/>
    <w:rsid w:val="001C1F8B"/>
    <w:rsid w:val="001C3F1E"/>
    <w:rsid w:val="001C40EF"/>
    <w:rsid w:val="001C5CAA"/>
    <w:rsid w:val="001C6C05"/>
    <w:rsid w:val="001D0C20"/>
    <w:rsid w:val="001D2F8E"/>
    <w:rsid w:val="001D34DD"/>
    <w:rsid w:val="001D3D06"/>
    <w:rsid w:val="001D48EC"/>
    <w:rsid w:val="001E02E5"/>
    <w:rsid w:val="001E0F7C"/>
    <w:rsid w:val="001E133B"/>
    <w:rsid w:val="001E2CE0"/>
    <w:rsid w:val="001E3ED4"/>
    <w:rsid w:val="001E523F"/>
    <w:rsid w:val="001E78F5"/>
    <w:rsid w:val="001F2BBB"/>
    <w:rsid w:val="001F3F85"/>
    <w:rsid w:val="001F41BD"/>
    <w:rsid w:val="001F6736"/>
    <w:rsid w:val="001F7020"/>
    <w:rsid w:val="001F7570"/>
    <w:rsid w:val="00200677"/>
    <w:rsid w:val="00201C58"/>
    <w:rsid w:val="00202E0F"/>
    <w:rsid w:val="0020417F"/>
    <w:rsid w:val="00210CD1"/>
    <w:rsid w:val="002119D7"/>
    <w:rsid w:val="002138E3"/>
    <w:rsid w:val="00214CB3"/>
    <w:rsid w:val="00214CD0"/>
    <w:rsid w:val="00215690"/>
    <w:rsid w:val="002166E4"/>
    <w:rsid w:val="00220A63"/>
    <w:rsid w:val="00221801"/>
    <w:rsid w:val="00222DD6"/>
    <w:rsid w:val="002230E1"/>
    <w:rsid w:val="00224787"/>
    <w:rsid w:val="0022487D"/>
    <w:rsid w:val="00224AA3"/>
    <w:rsid w:val="00224E41"/>
    <w:rsid w:val="00226C83"/>
    <w:rsid w:val="002304D2"/>
    <w:rsid w:val="00231ED1"/>
    <w:rsid w:val="002349BF"/>
    <w:rsid w:val="00235806"/>
    <w:rsid w:val="00236878"/>
    <w:rsid w:val="00236B0E"/>
    <w:rsid w:val="00237BCC"/>
    <w:rsid w:val="00240D51"/>
    <w:rsid w:val="00241F11"/>
    <w:rsid w:val="002423E1"/>
    <w:rsid w:val="00242624"/>
    <w:rsid w:val="0024385E"/>
    <w:rsid w:val="00243AC2"/>
    <w:rsid w:val="00243CCB"/>
    <w:rsid w:val="0024465B"/>
    <w:rsid w:val="00244CBA"/>
    <w:rsid w:val="0024557E"/>
    <w:rsid w:val="00246E1F"/>
    <w:rsid w:val="00247886"/>
    <w:rsid w:val="00247A20"/>
    <w:rsid w:val="00247AD8"/>
    <w:rsid w:val="00251187"/>
    <w:rsid w:val="0025118B"/>
    <w:rsid w:val="002529A6"/>
    <w:rsid w:val="00253008"/>
    <w:rsid w:val="0025422B"/>
    <w:rsid w:val="0025459B"/>
    <w:rsid w:val="00254834"/>
    <w:rsid w:val="00254ABB"/>
    <w:rsid w:val="0025768B"/>
    <w:rsid w:val="00260595"/>
    <w:rsid w:val="00261757"/>
    <w:rsid w:val="00261802"/>
    <w:rsid w:val="00262400"/>
    <w:rsid w:val="00262C20"/>
    <w:rsid w:val="00263063"/>
    <w:rsid w:val="0026454A"/>
    <w:rsid w:val="002722DC"/>
    <w:rsid w:val="00273CD1"/>
    <w:rsid w:val="00274173"/>
    <w:rsid w:val="002747C7"/>
    <w:rsid w:val="00281E27"/>
    <w:rsid w:val="00282551"/>
    <w:rsid w:val="00283ED0"/>
    <w:rsid w:val="0028423B"/>
    <w:rsid w:val="00286200"/>
    <w:rsid w:val="002863D7"/>
    <w:rsid w:val="0028662C"/>
    <w:rsid w:val="002904BE"/>
    <w:rsid w:val="002939E6"/>
    <w:rsid w:val="00295452"/>
    <w:rsid w:val="002965CB"/>
    <w:rsid w:val="00296E0A"/>
    <w:rsid w:val="002A04A5"/>
    <w:rsid w:val="002A19A7"/>
    <w:rsid w:val="002A1BE0"/>
    <w:rsid w:val="002A22EC"/>
    <w:rsid w:val="002A582D"/>
    <w:rsid w:val="002A6D3B"/>
    <w:rsid w:val="002A7F19"/>
    <w:rsid w:val="002B015E"/>
    <w:rsid w:val="002B1B65"/>
    <w:rsid w:val="002B1E70"/>
    <w:rsid w:val="002B22FF"/>
    <w:rsid w:val="002B53C9"/>
    <w:rsid w:val="002B6BE8"/>
    <w:rsid w:val="002B79D4"/>
    <w:rsid w:val="002C1866"/>
    <w:rsid w:val="002C299B"/>
    <w:rsid w:val="002C368F"/>
    <w:rsid w:val="002C46ED"/>
    <w:rsid w:val="002C4896"/>
    <w:rsid w:val="002C51ED"/>
    <w:rsid w:val="002C5BD2"/>
    <w:rsid w:val="002C6046"/>
    <w:rsid w:val="002D1814"/>
    <w:rsid w:val="002D2265"/>
    <w:rsid w:val="002D3D6C"/>
    <w:rsid w:val="002D4248"/>
    <w:rsid w:val="002D455B"/>
    <w:rsid w:val="002E12C7"/>
    <w:rsid w:val="002E239B"/>
    <w:rsid w:val="002E4252"/>
    <w:rsid w:val="002E5A5C"/>
    <w:rsid w:val="002E71D7"/>
    <w:rsid w:val="002F0055"/>
    <w:rsid w:val="002F08B0"/>
    <w:rsid w:val="002F0CCF"/>
    <w:rsid w:val="002F145B"/>
    <w:rsid w:val="002F14AE"/>
    <w:rsid w:val="002F1B64"/>
    <w:rsid w:val="002F1E7B"/>
    <w:rsid w:val="002F2F6D"/>
    <w:rsid w:val="002F3394"/>
    <w:rsid w:val="002F4CE1"/>
    <w:rsid w:val="002F50BD"/>
    <w:rsid w:val="002F55D8"/>
    <w:rsid w:val="002F5900"/>
    <w:rsid w:val="002F660F"/>
    <w:rsid w:val="002F7633"/>
    <w:rsid w:val="00300F22"/>
    <w:rsid w:val="00301B8A"/>
    <w:rsid w:val="00302390"/>
    <w:rsid w:val="0030391C"/>
    <w:rsid w:val="00304A37"/>
    <w:rsid w:val="003057CF"/>
    <w:rsid w:val="0030701B"/>
    <w:rsid w:val="0030764D"/>
    <w:rsid w:val="00307927"/>
    <w:rsid w:val="003100B9"/>
    <w:rsid w:val="00310381"/>
    <w:rsid w:val="00310ED4"/>
    <w:rsid w:val="003115EC"/>
    <w:rsid w:val="00311852"/>
    <w:rsid w:val="00312301"/>
    <w:rsid w:val="00312EFF"/>
    <w:rsid w:val="003142BF"/>
    <w:rsid w:val="0031492A"/>
    <w:rsid w:val="003150AF"/>
    <w:rsid w:val="0031550F"/>
    <w:rsid w:val="003162D0"/>
    <w:rsid w:val="00316C1A"/>
    <w:rsid w:val="00316D05"/>
    <w:rsid w:val="0031731B"/>
    <w:rsid w:val="00317E3C"/>
    <w:rsid w:val="0032024B"/>
    <w:rsid w:val="00320C14"/>
    <w:rsid w:val="003216CB"/>
    <w:rsid w:val="00323C73"/>
    <w:rsid w:val="00323EE9"/>
    <w:rsid w:val="003244C4"/>
    <w:rsid w:val="00324DA1"/>
    <w:rsid w:val="00331141"/>
    <w:rsid w:val="00331F4A"/>
    <w:rsid w:val="00333025"/>
    <w:rsid w:val="003358C2"/>
    <w:rsid w:val="003378F8"/>
    <w:rsid w:val="003419DC"/>
    <w:rsid w:val="00341D61"/>
    <w:rsid w:val="0034417C"/>
    <w:rsid w:val="00344758"/>
    <w:rsid w:val="00345E96"/>
    <w:rsid w:val="00346524"/>
    <w:rsid w:val="00347142"/>
    <w:rsid w:val="003511BE"/>
    <w:rsid w:val="00351648"/>
    <w:rsid w:val="0035398E"/>
    <w:rsid w:val="0035541A"/>
    <w:rsid w:val="00355C7E"/>
    <w:rsid w:val="003565A8"/>
    <w:rsid w:val="003566EA"/>
    <w:rsid w:val="00356E07"/>
    <w:rsid w:val="00361627"/>
    <w:rsid w:val="003619CF"/>
    <w:rsid w:val="00362986"/>
    <w:rsid w:val="00363BA6"/>
    <w:rsid w:val="00364F31"/>
    <w:rsid w:val="0037184C"/>
    <w:rsid w:val="00371A90"/>
    <w:rsid w:val="003724F3"/>
    <w:rsid w:val="00372C79"/>
    <w:rsid w:val="003735F8"/>
    <w:rsid w:val="00373E54"/>
    <w:rsid w:val="00374F24"/>
    <w:rsid w:val="0037760E"/>
    <w:rsid w:val="0037783E"/>
    <w:rsid w:val="003779A3"/>
    <w:rsid w:val="003800AF"/>
    <w:rsid w:val="00380B28"/>
    <w:rsid w:val="003811D1"/>
    <w:rsid w:val="00381809"/>
    <w:rsid w:val="00382A93"/>
    <w:rsid w:val="0038460D"/>
    <w:rsid w:val="003859E1"/>
    <w:rsid w:val="00386063"/>
    <w:rsid w:val="00387732"/>
    <w:rsid w:val="00391688"/>
    <w:rsid w:val="00395649"/>
    <w:rsid w:val="003A0AB4"/>
    <w:rsid w:val="003A0D28"/>
    <w:rsid w:val="003A120B"/>
    <w:rsid w:val="003A1515"/>
    <w:rsid w:val="003A17A5"/>
    <w:rsid w:val="003A2A55"/>
    <w:rsid w:val="003A2BCE"/>
    <w:rsid w:val="003A41F1"/>
    <w:rsid w:val="003A5873"/>
    <w:rsid w:val="003A597C"/>
    <w:rsid w:val="003A6C86"/>
    <w:rsid w:val="003B0C43"/>
    <w:rsid w:val="003B15A2"/>
    <w:rsid w:val="003B19D4"/>
    <w:rsid w:val="003B273B"/>
    <w:rsid w:val="003B438A"/>
    <w:rsid w:val="003B5D9F"/>
    <w:rsid w:val="003B658C"/>
    <w:rsid w:val="003B676D"/>
    <w:rsid w:val="003B70B0"/>
    <w:rsid w:val="003C0690"/>
    <w:rsid w:val="003C0AA5"/>
    <w:rsid w:val="003C16C5"/>
    <w:rsid w:val="003C16C8"/>
    <w:rsid w:val="003C1A85"/>
    <w:rsid w:val="003C2879"/>
    <w:rsid w:val="003C30A5"/>
    <w:rsid w:val="003C347D"/>
    <w:rsid w:val="003C3800"/>
    <w:rsid w:val="003C3980"/>
    <w:rsid w:val="003C39FD"/>
    <w:rsid w:val="003C552E"/>
    <w:rsid w:val="003C589A"/>
    <w:rsid w:val="003D2922"/>
    <w:rsid w:val="003D33A6"/>
    <w:rsid w:val="003D6ED2"/>
    <w:rsid w:val="003E0298"/>
    <w:rsid w:val="003E432F"/>
    <w:rsid w:val="003E5B94"/>
    <w:rsid w:val="003E5FBC"/>
    <w:rsid w:val="003E6733"/>
    <w:rsid w:val="003E7AC4"/>
    <w:rsid w:val="003F0EE8"/>
    <w:rsid w:val="003F0F28"/>
    <w:rsid w:val="003F1874"/>
    <w:rsid w:val="003F1F57"/>
    <w:rsid w:val="003F234D"/>
    <w:rsid w:val="003F2646"/>
    <w:rsid w:val="003F2B0B"/>
    <w:rsid w:val="003F32A5"/>
    <w:rsid w:val="003F3D62"/>
    <w:rsid w:val="003F44B2"/>
    <w:rsid w:val="003F4902"/>
    <w:rsid w:val="003F6E4F"/>
    <w:rsid w:val="003F71D4"/>
    <w:rsid w:val="004022C7"/>
    <w:rsid w:val="00402D2A"/>
    <w:rsid w:val="00402FC6"/>
    <w:rsid w:val="004033DC"/>
    <w:rsid w:val="00404260"/>
    <w:rsid w:val="00404884"/>
    <w:rsid w:val="00404BDB"/>
    <w:rsid w:val="00404EF8"/>
    <w:rsid w:val="004058FA"/>
    <w:rsid w:val="0040617E"/>
    <w:rsid w:val="00407BC8"/>
    <w:rsid w:val="00407C47"/>
    <w:rsid w:val="004121FF"/>
    <w:rsid w:val="00412C2F"/>
    <w:rsid w:val="0041335B"/>
    <w:rsid w:val="00415C35"/>
    <w:rsid w:val="00415F1A"/>
    <w:rsid w:val="0041740B"/>
    <w:rsid w:val="0041769B"/>
    <w:rsid w:val="00417924"/>
    <w:rsid w:val="00420292"/>
    <w:rsid w:val="00420919"/>
    <w:rsid w:val="00422417"/>
    <w:rsid w:val="00424233"/>
    <w:rsid w:val="00424A72"/>
    <w:rsid w:val="0042755D"/>
    <w:rsid w:val="0043042B"/>
    <w:rsid w:val="00430469"/>
    <w:rsid w:val="00430B75"/>
    <w:rsid w:val="00430CD2"/>
    <w:rsid w:val="004321F1"/>
    <w:rsid w:val="0043230C"/>
    <w:rsid w:val="00432B78"/>
    <w:rsid w:val="00433D07"/>
    <w:rsid w:val="00433E63"/>
    <w:rsid w:val="00435042"/>
    <w:rsid w:val="0043566A"/>
    <w:rsid w:val="00436838"/>
    <w:rsid w:val="004368E9"/>
    <w:rsid w:val="00437304"/>
    <w:rsid w:val="00437AE7"/>
    <w:rsid w:val="00437C6B"/>
    <w:rsid w:val="004402B7"/>
    <w:rsid w:val="00442543"/>
    <w:rsid w:val="00443281"/>
    <w:rsid w:val="00443C26"/>
    <w:rsid w:val="0044434A"/>
    <w:rsid w:val="00446AB3"/>
    <w:rsid w:val="00446F6F"/>
    <w:rsid w:val="004515C2"/>
    <w:rsid w:val="00456C06"/>
    <w:rsid w:val="0046029D"/>
    <w:rsid w:val="00462168"/>
    <w:rsid w:val="00464CD9"/>
    <w:rsid w:val="00465BB2"/>
    <w:rsid w:val="00465BF9"/>
    <w:rsid w:val="00467E5D"/>
    <w:rsid w:val="00467E66"/>
    <w:rsid w:val="00472157"/>
    <w:rsid w:val="00472EFF"/>
    <w:rsid w:val="00473A9C"/>
    <w:rsid w:val="00473CCC"/>
    <w:rsid w:val="00474063"/>
    <w:rsid w:val="00475759"/>
    <w:rsid w:val="00476447"/>
    <w:rsid w:val="00476793"/>
    <w:rsid w:val="0047795F"/>
    <w:rsid w:val="00481C30"/>
    <w:rsid w:val="00481E84"/>
    <w:rsid w:val="00484CAB"/>
    <w:rsid w:val="00486F70"/>
    <w:rsid w:val="00487ACE"/>
    <w:rsid w:val="00487D51"/>
    <w:rsid w:val="004954A8"/>
    <w:rsid w:val="004962B5"/>
    <w:rsid w:val="00497A78"/>
    <w:rsid w:val="004A0BA3"/>
    <w:rsid w:val="004A1413"/>
    <w:rsid w:val="004A187B"/>
    <w:rsid w:val="004A19D7"/>
    <w:rsid w:val="004A2D3C"/>
    <w:rsid w:val="004A52A2"/>
    <w:rsid w:val="004A6028"/>
    <w:rsid w:val="004A780F"/>
    <w:rsid w:val="004A7D0F"/>
    <w:rsid w:val="004B131D"/>
    <w:rsid w:val="004B1787"/>
    <w:rsid w:val="004B3795"/>
    <w:rsid w:val="004B4EAC"/>
    <w:rsid w:val="004B5FB4"/>
    <w:rsid w:val="004B65DD"/>
    <w:rsid w:val="004C0F5D"/>
    <w:rsid w:val="004C4101"/>
    <w:rsid w:val="004C59E0"/>
    <w:rsid w:val="004C5CE8"/>
    <w:rsid w:val="004C6BA5"/>
    <w:rsid w:val="004C73C7"/>
    <w:rsid w:val="004C7412"/>
    <w:rsid w:val="004D04BF"/>
    <w:rsid w:val="004D1388"/>
    <w:rsid w:val="004D3D3A"/>
    <w:rsid w:val="004D5634"/>
    <w:rsid w:val="004D5D3E"/>
    <w:rsid w:val="004D6E55"/>
    <w:rsid w:val="004E0DFF"/>
    <w:rsid w:val="004E163C"/>
    <w:rsid w:val="004E1A28"/>
    <w:rsid w:val="004E1F8D"/>
    <w:rsid w:val="004E25EC"/>
    <w:rsid w:val="004E3270"/>
    <w:rsid w:val="004E371D"/>
    <w:rsid w:val="004E4864"/>
    <w:rsid w:val="004E7921"/>
    <w:rsid w:val="004F1C7C"/>
    <w:rsid w:val="004F2BAF"/>
    <w:rsid w:val="004F2BBE"/>
    <w:rsid w:val="004F3551"/>
    <w:rsid w:val="004F4B36"/>
    <w:rsid w:val="004F536A"/>
    <w:rsid w:val="005004A7"/>
    <w:rsid w:val="005004EE"/>
    <w:rsid w:val="00500890"/>
    <w:rsid w:val="005041BC"/>
    <w:rsid w:val="005078D4"/>
    <w:rsid w:val="005112B7"/>
    <w:rsid w:val="005123F0"/>
    <w:rsid w:val="005132AC"/>
    <w:rsid w:val="00513540"/>
    <w:rsid w:val="00513941"/>
    <w:rsid w:val="00513DB6"/>
    <w:rsid w:val="00516859"/>
    <w:rsid w:val="0052123D"/>
    <w:rsid w:val="00522451"/>
    <w:rsid w:val="00522A64"/>
    <w:rsid w:val="00522C49"/>
    <w:rsid w:val="005230E9"/>
    <w:rsid w:val="005239D8"/>
    <w:rsid w:val="00523A8F"/>
    <w:rsid w:val="00524003"/>
    <w:rsid w:val="005253AB"/>
    <w:rsid w:val="00526627"/>
    <w:rsid w:val="00527352"/>
    <w:rsid w:val="00527AFE"/>
    <w:rsid w:val="0053051D"/>
    <w:rsid w:val="00531497"/>
    <w:rsid w:val="005325F4"/>
    <w:rsid w:val="0053307D"/>
    <w:rsid w:val="005336F6"/>
    <w:rsid w:val="00534037"/>
    <w:rsid w:val="00535A96"/>
    <w:rsid w:val="00536E23"/>
    <w:rsid w:val="00542352"/>
    <w:rsid w:val="00542950"/>
    <w:rsid w:val="00543336"/>
    <w:rsid w:val="00543820"/>
    <w:rsid w:val="005440A3"/>
    <w:rsid w:val="00544438"/>
    <w:rsid w:val="0054685D"/>
    <w:rsid w:val="005518F7"/>
    <w:rsid w:val="00552E45"/>
    <w:rsid w:val="00553D13"/>
    <w:rsid w:val="00553E3F"/>
    <w:rsid w:val="0055408F"/>
    <w:rsid w:val="00556809"/>
    <w:rsid w:val="00557A0D"/>
    <w:rsid w:val="00560100"/>
    <w:rsid w:val="00560963"/>
    <w:rsid w:val="00560B54"/>
    <w:rsid w:val="00560C5E"/>
    <w:rsid w:val="0056397C"/>
    <w:rsid w:val="00563A14"/>
    <w:rsid w:val="00564208"/>
    <w:rsid w:val="00564627"/>
    <w:rsid w:val="0056649A"/>
    <w:rsid w:val="005664BE"/>
    <w:rsid w:val="00566A93"/>
    <w:rsid w:val="005706FE"/>
    <w:rsid w:val="00571CEB"/>
    <w:rsid w:val="00573757"/>
    <w:rsid w:val="00575ED3"/>
    <w:rsid w:val="005763D3"/>
    <w:rsid w:val="005763E3"/>
    <w:rsid w:val="00577291"/>
    <w:rsid w:val="00577802"/>
    <w:rsid w:val="005801B3"/>
    <w:rsid w:val="00582CF1"/>
    <w:rsid w:val="00584328"/>
    <w:rsid w:val="00585FC0"/>
    <w:rsid w:val="00586447"/>
    <w:rsid w:val="0059011F"/>
    <w:rsid w:val="00591951"/>
    <w:rsid w:val="0059399F"/>
    <w:rsid w:val="005939FC"/>
    <w:rsid w:val="00593BC2"/>
    <w:rsid w:val="00595058"/>
    <w:rsid w:val="0059608A"/>
    <w:rsid w:val="005A00C6"/>
    <w:rsid w:val="005A17B9"/>
    <w:rsid w:val="005A18EA"/>
    <w:rsid w:val="005A1AFE"/>
    <w:rsid w:val="005A1C16"/>
    <w:rsid w:val="005A3479"/>
    <w:rsid w:val="005A4251"/>
    <w:rsid w:val="005A5827"/>
    <w:rsid w:val="005A7466"/>
    <w:rsid w:val="005A7A78"/>
    <w:rsid w:val="005B3E0F"/>
    <w:rsid w:val="005B43DB"/>
    <w:rsid w:val="005B47A3"/>
    <w:rsid w:val="005B7343"/>
    <w:rsid w:val="005C0A8D"/>
    <w:rsid w:val="005C0AF0"/>
    <w:rsid w:val="005C0F33"/>
    <w:rsid w:val="005C29CE"/>
    <w:rsid w:val="005C2FEB"/>
    <w:rsid w:val="005C4EF7"/>
    <w:rsid w:val="005C59F4"/>
    <w:rsid w:val="005C5D41"/>
    <w:rsid w:val="005C60A2"/>
    <w:rsid w:val="005C64E4"/>
    <w:rsid w:val="005C684F"/>
    <w:rsid w:val="005C7426"/>
    <w:rsid w:val="005D0349"/>
    <w:rsid w:val="005D132B"/>
    <w:rsid w:val="005D1F34"/>
    <w:rsid w:val="005D1FDC"/>
    <w:rsid w:val="005D383D"/>
    <w:rsid w:val="005D5005"/>
    <w:rsid w:val="005D5970"/>
    <w:rsid w:val="005D616E"/>
    <w:rsid w:val="005E2CDB"/>
    <w:rsid w:val="005E3D12"/>
    <w:rsid w:val="005E5BFB"/>
    <w:rsid w:val="005E5F86"/>
    <w:rsid w:val="005E6A3F"/>
    <w:rsid w:val="005F1086"/>
    <w:rsid w:val="005F26D2"/>
    <w:rsid w:val="005F411E"/>
    <w:rsid w:val="005F4970"/>
    <w:rsid w:val="005F5E99"/>
    <w:rsid w:val="005F7DBD"/>
    <w:rsid w:val="00601B07"/>
    <w:rsid w:val="006038D3"/>
    <w:rsid w:val="006059A2"/>
    <w:rsid w:val="006062F7"/>
    <w:rsid w:val="006065A7"/>
    <w:rsid w:val="00611210"/>
    <w:rsid w:val="006113DF"/>
    <w:rsid w:val="00611460"/>
    <w:rsid w:val="0061241A"/>
    <w:rsid w:val="00613461"/>
    <w:rsid w:val="00613532"/>
    <w:rsid w:val="006141DF"/>
    <w:rsid w:val="00614971"/>
    <w:rsid w:val="006151CC"/>
    <w:rsid w:val="00615EFB"/>
    <w:rsid w:val="00616FDF"/>
    <w:rsid w:val="006175CF"/>
    <w:rsid w:val="00617D09"/>
    <w:rsid w:val="0062115C"/>
    <w:rsid w:val="00623569"/>
    <w:rsid w:val="006246EB"/>
    <w:rsid w:val="00625511"/>
    <w:rsid w:val="00626201"/>
    <w:rsid w:val="00626627"/>
    <w:rsid w:val="00627968"/>
    <w:rsid w:val="006308C1"/>
    <w:rsid w:val="006316C2"/>
    <w:rsid w:val="00633B6A"/>
    <w:rsid w:val="00635EAB"/>
    <w:rsid w:val="00637596"/>
    <w:rsid w:val="00637DC7"/>
    <w:rsid w:val="00642A05"/>
    <w:rsid w:val="00642A34"/>
    <w:rsid w:val="0064302B"/>
    <w:rsid w:val="006440DE"/>
    <w:rsid w:val="006513CA"/>
    <w:rsid w:val="00652688"/>
    <w:rsid w:val="006526E2"/>
    <w:rsid w:val="00654793"/>
    <w:rsid w:val="00656079"/>
    <w:rsid w:val="006606CF"/>
    <w:rsid w:val="00660777"/>
    <w:rsid w:val="006612B3"/>
    <w:rsid w:val="006628B5"/>
    <w:rsid w:val="00662D6E"/>
    <w:rsid w:val="00663C09"/>
    <w:rsid w:val="00664760"/>
    <w:rsid w:val="006653CD"/>
    <w:rsid w:val="00672BE8"/>
    <w:rsid w:val="00673DA1"/>
    <w:rsid w:val="00673FEB"/>
    <w:rsid w:val="0067537D"/>
    <w:rsid w:val="006765FC"/>
    <w:rsid w:val="00676CB5"/>
    <w:rsid w:val="006777A0"/>
    <w:rsid w:val="0068042B"/>
    <w:rsid w:val="006807C5"/>
    <w:rsid w:val="00683795"/>
    <w:rsid w:val="00683C1E"/>
    <w:rsid w:val="00685C21"/>
    <w:rsid w:val="00686D4C"/>
    <w:rsid w:val="00687913"/>
    <w:rsid w:val="006901AC"/>
    <w:rsid w:val="00691EFC"/>
    <w:rsid w:val="006923EE"/>
    <w:rsid w:val="0069363E"/>
    <w:rsid w:val="00693A76"/>
    <w:rsid w:val="00694A76"/>
    <w:rsid w:val="006951FF"/>
    <w:rsid w:val="00697A71"/>
    <w:rsid w:val="006A00E8"/>
    <w:rsid w:val="006A0748"/>
    <w:rsid w:val="006A0B20"/>
    <w:rsid w:val="006A0C38"/>
    <w:rsid w:val="006A24CA"/>
    <w:rsid w:val="006A4A6D"/>
    <w:rsid w:val="006A5C43"/>
    <w:rsid w:val="006A6BB3"/>
    <w:rsid w:val="006A7725"/>
    <w:rsid w:val="006B0207"/>
    <w:rsid w:val="006B06C3"/>
    <w:rsid w:val="006B0757"/>
    <w:rsid w:val="006B0E19"/>
    <w:rsid w:val="006B11A8"/>
    <w:rsid w:val="006B594D"/>
    <w:rsid w:val="006B6121"/>
    <w:rsid w:val="006C1F20"/>
    <w:rsid w:val="006C309B"/>
    <w:rsid w:val="006C3AEA"/>
    <w:rsid w:val="006C44FB"/>
    <w:rsid w:val="006C79AE"/>
    <w:rsid w:val="006D005A"/>
    <w:rsid w:val="006D04AD"/>
    <w:rsid w:val="006D1237"/>
    <w:rsid w:val="006D1BC9"/>
    <w:rsid w:val="006D21BF"/>
    <w:rsid w:val="006D2335"/>
    <w:rsid w:val="006D244A"/>
    <w:rsid w:val="006D36A5"/>
    <w:rsid w:val="006D4520"/>
    <w:rsid w:val="006D4865"/>
    <w:rsid w:val="006D5EE5"/>
    <w:rsid w:val="006D60FB"/>
    <w:rsid w:val="006D678C"/>
    <w:rsid w:val="006D6BAD"/>
    <w:rsid w:val="006E2852"/>
    <w:rsid w:val="006F2CB5"/>
    <w:rsid w:val="006F3B7F"/>
    <w:rsid w:val="006F559A"/>
    <w:rsid w:val="006F6285"/>
    <w:rsid w:val="006F65A4"/>
    <w:rsid w:val="006F6F1C"/>
    <w:rsid w:val="006F78FA"/>
    <w:rsid w:val="00702E48"/>
    <w:rsid w:val="00707E39"/>
    <w:rsid w:val="007105A7"/>
    <w:rsid w:val="0071232F"/>
    <w:rsid w:val="007128F7"/>
    <w:rsid w:val="00713729"/>
    <w:rsid w:val="007142CB"/>
    <w:rsid w:val="00714360"/>
    <w:rsid w:val="00714634"/>
    <w:rsid w:val="0071495F"/>
    <w:rsid w:val="00714F42"/>
    <w:rsid w:val="00715543"/>
    <w:rsid w:val="00715681"/>
    <w:rsid w:val="00716BE6"/>
    <w:rsid w:val="00716D00"/>
    <w:rsid w:val="00717175"/>
    <w:rsid w:val="00717767"/>
    <w:rsid w:val="00720560"/>
    <w:rsid w:val="00720B10"/>
    <w:rsid w:val="00724D09"/>
    <w:rsid w:val="00725A27"/>
    <w:rsid w:val="007273BB"/>
    <w:rsid w:val="0072786C"/>
    <w:rsid w:val="007279D3"/>
    <w:rsid w:val="0073033B"/>
    <w:rsid w:val="007320B9"/>
    <w:rsid w:val="007330AF"/>
    <w:rsid w:val="007371A5"/>
    <w:rsid w:val="00737600"/>
    <w:rsid w:val="00740B55"/>
    <w:rsid w:val="007411DF"/>
    <w:rsid w:val="007412CD"/>
    <w:rsid w:val="00741A7A"/>
    <w:rsid w:val="0074294C"/>
    <w:rsid w:val="00743100"/>
    <w:rsid w:val="00743727"/>
    <w:rsid w:val="00743875"/>
    <w:rsid w:val="007443E7"/>
    <w:rsid w:val="00745631"/>
    <w:rsid w:val="00745E8B"/>
    <w:rsid w:val="007465B5"/>
    <w:rsid w:val="00746CA1"/>
    <w:rsid w:val="00746D6D"/>
    <w:rsid w:val="0074703E"/>
    <w:rsid w:val="0074724B"/>
    <w:rsid w:val="00750A29"/>
    <w:rsid w:val="00750E37"/>
    <w:rsid w:val="00750F22"/>
    <w:rsid w:val="00752472"/>
    <w:rsid w:val="007526E2"/>
    <w:rsid w:val="007540BF"/>
    <w:rsid w:val="007554BA"/>
    <w:rsid w:val="00755550"/>
    <w:rsid w:val="0075735B"/>
    <w:rsid w:val="00757761"/>
    <w:rsid w:val="0076098D"/>
    <w:rsid w:val="007613D7"/>
    <w:rsid w:val="007624CE"/>
    <w:rsid w:val="007626F8"/>
    <w:rsid w:val="007644A8"/>
    <w:rsid w:val="00764B2D"/>
    <w:rsid w:val="00765F16"/>
    <w:rsid w:val="00767209"/>
    <w:rsid w:val="00770DCB"/>
    <w:rsid w:val="0077123B"/>
    <w:rsid w:val="00773349"/>
    <w:rsid w:val="00775485"/>
    <w:rsid w:val="007757FC"/>
    <w:rsid w:val="0077613C"/>
    <w:rsid w:val="00777F81"/>
    <w:rsid w:val="00780562"/>
    <w:rsid w:val="007832B9"/>
    <w:rsid w:val="00784280"/>
    <w:rsid w:val="00784B93"/>
    <w:rsid w:val="00785351"/>
    <w:rsid w:val="00790A86"/>
    <w:rsid w:val="00791249"/>
    <w:rsid w:val="00793081"/>
    <w:rsid w:val="0079533B"/>
    <w:rsid w:val="007A0CF4"/>
    <w:rsid w:val="007A154C"/>
    <w:rsid w:val="007A2414"/>
    <w:rsid w:val="007B18E1"/>
    <w:rsid w:val="007B2996"/>
    <w:rsid w:val="007B2B7D"/>
    <w:rsid w:val="007B6709"/>
    <w:rsid w:val="007C2E8D"/>
    <w:rsid w:val="007C40B0"/>
    <w:rsid w:val="007C434B"/>
    <w:rsid w:val="007C55B2"/>
    <w:rsid w:val="007C75EA"/>
    <w:rsid w:val="007D1150"/>
    <w:rsid w:val="007D1ACB"/>
    <w:rsid w:val="007D3419"/>
    <w:rsid w:val="007D4107"/>
    <w:rsid w:val="007D5861"/>
    <w:rsid w:val="007D7F42"/>
    <w:rsid w:val="007E1387"/>
    <w:rsid w:val="007E22B4"/>
    <w:rsid w:val="007E240D"/>
    <w:rsid w:val="007E3AFF"/>
    <w:rsid w:val="007E4DA1"/>
    <w:rsid w:val="007E5376"/>
    <w:rsid w:val="007E5AAF"/>
    <w:rsid w:val="007E5B88"/>
    <w:rsid w:val="007E5E1A"/>
    <w:rsid w:val="007E6589"/>
    <w:rsid w:val="007E694D"/>
    <w:rsid w:val="007E7E95"/>
    <w:rsid w:val="007F0D0B"/>
    <w:rsid w:val="007F1D75"/>
    <w:rsid w:val="007F2CE5"/>
    <w:rsid w:val="007F2E4A"/>
    <w:rsid w:val="007F39D5"/>
    <w:rsid w:val="007F5EFC"/>
    <w:rsid w:val="007F672C"/>
    <w:rsid w:val="007F7923"/>
    <w:rsid w:val="008007A8"/>
    <w:rsid w:val="00801A93"/>
    <w:rsid w:val="00803584"/>
    <w:rsid w:val="008036EF"/>
    <w:rsid w:val="008042D9"/>
    <w:rsid w:val="00805871"/>
    <w:rsid w:val="00807009"/>
    <w:rsid w:val="008071C6"/>
    <w:rsid w:val="00807338"/>
    <w:rsid w:val="00807B8B"/>
    <w:rsid w:val="00812F85"/>
    <w:rsid w:val="00814C8F"/>
    <w:rsid w:val="00814FC0"/>
    <w:rsid w:val="0081675C"/>
    <w:rsid w:val="008214F7"/>
    <w:rsid w:val="008219C3"/>
    <w:rsid w:val="008219E3"/>
    <w:rsid w:val="00821E73"/>
    <w:rsid w:val="00822548"/>
    <w:rsid w:val="00824373"/>
    <w:rsid w:val="00825D10"/>
    <w:rsid w:val="00826762"/>
    <w:rsid w:val="0082694E"/>
    <w:rsid w:val="008276A4"/>
    <w:rsid w:val="0083048D"/>
    <w:rsid w:val="008328E9"/>
    <w:rsid w:val="00832DA4"/>
    <w:rsid w:val="008330E9"/>
    <w:rsid w:val="00834FF0"/>
    <w:rsid w:val="00844AC2"/>
    <w:rsid w:val="0084572F"/>
    <w:rsid w:val="00846226"/>
    <w:rsid w:val="0084790A"/>
    <w:rsid w:val="00847CA4"/>
    <w:rsid w:val="00847FF6"/>
    <w:rsid w:val="00850840"/>
    <w:rsid w:val="0085131D"/>
    <w:rsid w:val="00852430"/>
    <w:rsid w:val="0085358C"/>
    <w:rsid w:val="0085411E"/>
    <w:rsid w:val="00854CD0"/>
    <w:rsid w:val="0085504E"/>
    <w:rsid w:val="008559A7"/>
    <w:rsid w:val="00857A90"/>
    <w:rsid w:val="00860E46"/>
    <w:rsid w:val="00861360"/>
    <w:rsid w:val="0086145E"/>
    <w:rsid w:val="00863614"/>
    <w:rsid w:val="008657D0"/>
    <w:rsid w:val="00865947"/>
    <w:rsid w:val="008724DE"/>
    <w:rsid w:val="00874594"/>
    <w:rsid w:val="00874630"/>
    <w:rsid w:val="00874724"/>
    <w:rsid w:val="00875FE9"/>
    <w:rsid w:val="00877487"/>
    <w:rsid w:val="00877705"/>
    <w:rsid w:val="0088043E"/>
    <w:rsid w:val="00880EC2"/>
    <w:rsid w:val="00881A50"/>
    <w:rsid w:val="008824B7"/>
    <w:rsid w:val="00883252"/>
    <w:rsid w:val="0088394F"/>
    <w:rsid w:val="00885742"/>
    <w:rsid w:val="00886763"/>
    <w:rsid w:val="00887753"/>
    <w:rsid w:val="0088795E"/>
    <w:rsid w:val="0089021A"/>
    <w:rsid w:val="0089059C"/>
    <w:rsid w:val="0089094A"/>
    <w:rsid w:val="00892833"/>
    <w:rsid w:val="0089303C"/>
    <w:rsid w:val="008A0DF3"/>
    <w:rsid w:val="008A1624"/>
    <w:rsid w:val="008A37E6"/>
    <w:rsid w:val="008A3D57"/>
    <w:rsid w:val="008A3D72"/>
    <w:rsid w:val="008A3E71"/>
    <w:rsid w:val="008A5E4F"/>
    <w:rsid w:val="008A757F"/>
    <w:rsid w:val="008A7A1E"/>
    <w:rsid w:val="008A7DA2"/>
    <w:rsid w:val="008B0224"/>
    <w:rsid w:val="008B23BC"/>
    <w:rsid w:val="008B2D0F"/>
    <w:rsid w:val="008B2D7B"/>
    <w:rsid w:val="008C03E9"/>
    <w:rsid w:val="008C12BE"/>
    <w:rsid w:val="008C2368"/>
    <w:rsid w:val="008C2540"/>
    <w:rsid w:val="008C2577"/>
    <w:rsid w:val="008C25AD"/>
    <w:rsid w:val="008C2BF6"/>
    <w:rsid w:val="008C3D13"/>
    <w:rsid w:val="008C3DAB"/>
    <w:rsid w:val="008C3F56"/>
    <w:rsid w:val="008C7D45"/>
    <w:rsid w:val="008D0312"/>
    <w:rsid w:val="008D1660"/>
    <w:rsid w:val="008D1E3A"/>
    <w:rsid w:val="008D2BB4"/>
    <w:rsid w:val="008D3E2D"/>
    <w:rsid w:val="008D54F6"/>
    <w:rsid w:val="008D7321"/>
    <w:rsid w:val="008D75D5"/>
    <w:rsid w:val="008E0C76"/>
    <w:rsid w:val="008E3D60"/>
    <w:rsid w:val="008E3F4C"/>
    <w:rsid w:val="008E5D6F"/>
    <w:rsid w:val="008E6255"/>
    <w:rsid w:val="008E6BCE"/>
    <w:rsid w:val="008E78D4"/>
    <w:rsid w:val="008E7C59"/>
    <w:rsid w:val="008F0007"/>
    <w:rsid w:val="008F0509"/>
    <w:rsid w:val="008F1A1A"/>
    <w:rsid w:val="008F25C1"/>
    <w:rsid w:val="008F2D64"/>
    <w:rsid w:val="008F3EA9"/>
    <w:rsid w:val="008F6B7B"/>
    <w:rsid w:val="008F720B"/>
    <w:rsid w:val="008F7D66"/>
    <w:rsid w:val="009000CE"/>
    <w:rsid w:val="0090030B"/>
    <w:rsid w:val="0090165F"/>
    <w:rsid w:val="00901B82"/>
    <w:rsid w:val="009022EF"/>
    <w:rsid w:val="00902351"/>
    <w:rsid w:val="00902609"/>
    <w:rsid w:val="00903BE4"/>
    <w:rsid w:val="0090660F"/>
    <w:rsid w:val="009109BA"/>
    <w:rsid w:val="00912B09"/>
    <w:rsid w:val="00914A0D"/>
    <w:rsid w:val="00914AEB"/>
    <w:rsid w:val="009168C6"/>
    <w:rsid w:val="00916AE1"/>
    <w:rsid w:val="00917033"/>
    <w:rsid w:val="009178BD"/>
    <w:rsid w:val="009223DC"/>
    <w:rsid w:val="0092574E"/>
    <w:rsid w:val="00925BDF"/>
    <w:rsid w:val="00926017"/>
    <w:rsid w:val="00931ADF"/>
    <w:rsid w:val="00934774"/>
    <w:rsid w:val="00934CF3"/>
    <w:rsid w:val="0093571A"/>
    <w:rsid w:val="00941057"/>
    <w:rsid w:val="00942C42"/>
    <w:rsid w:val="009435C1"/>
    <w:rsid w:val="00944460"/>
    <w:rsid w:val="00945B95"/>
    <w:rsid w:val="0094768D"/>
    <w:rsid w:val="009501F4"/>
    <w:rsid w:val="009537BF"/>
    <w:rsid w:val="009539C4"/>
    <w:rsid w:val="00953D4F"/>
    <w:rsid w:val="00953E6E"/>
    <w:rsid w:val="00955075"/>
    <w:rsid w:val="009552A9"/>
    <w:rsid w:val="00956BEA"/>
    <w:rsid w:val="0095792C"/>
    <w:rsid w:val="00960435"/>
    <w:rsid w:val="0096051E"/>
    <w:rsid w:val="00964485"/>
    <w:rsid w:val="00964715"/>
    <w:rsid w:val="00966C2F"/>
    <w:rsid w:val="009674FA"/>
    <w:rsid w:val="009701FB"/>
    <w:rsid w:val="00970B7A"/>
    <w:rsid w:val="009712CC"/>
    <w:rsid w:val="00971F2C"/>
    <w:rsid w:val="009728B4"/>
    <w:rsid w:val="00973F38"/>
    <w:rsid w:val="009740AB"/>
    <w:rsid w:val="0097512B"/>
    <w:rsid w:val="0097624E"/>
    <w:rsid w:val="00977051"/>
    <w:rsid w:val="0097785D"/>
    <w:rsid w:val="00980E6A"/>
    <w:rsid w:val="00981A7A"/>
    <w:rsid w:val="00982024"/>
    <w:rsid w:val="00984483"/>
    <w:rsid w:val="009845B4"/>
    <w:rsid w:val="00985204"/>
    <w:rsid w:val="00986833"/>
    <w:rsid w:val="00987BF6"/>
    <w:rsid w:val="00987D1B"/>
    <w:rsid w:val="009903FB"/>
    <w:rsid w:val="009906F1"/>
    <w:rsid w:val="00992FCE"/>
    <w:rsid w:val="00993375"/>
    <w:rsid w:val="00993425"/>
    <w:rsid w:val="00993ABB"/>
    <w:rsid w:val="00994642"/>
    <w:rsid w:val="00994DF9"/>
    <w:rsid w:val="00995308"/>
    <w:rsid w:val="00997291"/>
    <w:rsid w:val="009A1E16"/>
    <w:rsid w:val="009A1FB0"/>
    <w:rsid w:val="009A45EC"/>
    <w:rsid w:val="009A4CDE"/>
    <w:rsid w:val="009A5AFD"/>
    <w:rsid w:val="009A5C40"/>
    <w:rsid w:val="009B209C"/>
    <w:rsid w:val="009B29F4"/>
    <w:rsid w:val="009B2E2E"/>
    <w:rsid w:val="009B4054"/>
    <w:rsid w:val="009B4601"/>
    <w:rsid w:val="009B4CA5"/>
    <w:rsid w:val="009B5DE3"/>
    <w:rsid w:val="009B797B"/>
    <w:rsid w:val="009C1050"/>
    <w:rsid w:val="009C1B6D"/>
    <w:rsid w:val="009C4E77"/>
    <w:rsid w:val="009D001E"/>
    <w:rsid w:val="009D0848"/>
    <w:rsid w:val="009D0DC5"/>
    <w:rsid w:val="009D5A83"/>
    <w:rsid w:val="009D5D5C"/>
    <w:rsid w:val="009D67F6"/>
    <w:rsid w:val="009D6A78"/>
    <w:rsid w:val="009D7064"/>
    <w:rsid w:val="009E0FE1"/>
    <w:rsid w:val="009E11BD"/>
    <w:rsid w:val="009E2162"/>
    <w:rsid w:val="009E4A6E"/>
    <w:rsid w:val="009E4A85"/>
    <w:rsid w:val="009E4FE0"/>
    <w:rsid w:val="009E58AA"/>
    <w:rsid w:val="009E63AC"/>
    <w:rsid w:val="009F107C"/>
    <w:rsid w:val="009F158D"/>
    <w:rsid w:val="009F62F2"/>
    <w:rsid w:val="009F74BE"/>
    <w:rsid w:val="00A0034C"/>
    <w:rsid w:val="00A0227A"/>
    <w:rsid w:val="00A02B70"/>
    <w:rsid w:val="00A03F94"/>
    <w:rsid w:val="00A0406E"/>
    <w:rsid w:val="00A0438D"/>
    <w:rsid w:val="00A0482E"/>
    <w:rsid w:val="00A05602"/>
    <w:rsid w:val="00A05E7E"/>
    <w:rsid w:val="00A07FE0"/>
    <w:rsid w:val="00A107D0"/>
    <w:rsid w:val="00A10D91"/>
    <w:rsid w:val="00A10DAB"/>
    <w:rsid w:val="00A11307"/>
    <w:rsid w:val="00A117D4"/>
    <w:rsid w:val="00A124D4"/>
    <w:rsid w:val="00A12849"/>
    <w:rsid w:val="00A1375B"/>
    <w:rsid w:val="00A13AF3"/>
    <w:rsid w:val="00A144BF"/>
    <w:rsid w:val="00A15552"/>
    <w:rsid w:val="00A21388"/>
    <w:rsid w:val="00A23AE4"/>
    <w:rsid w:val="00A260CB"/>
    <w:rsid w:val="00A27791"/>
    <w:rsid w:val="00A31D7F"/>
    <w:rsid w:val="00A324D6"/>
    <w:rsid w:val="00A33592"/>
    <w:rsid w:val="00A33A95"/>
    <w:rsid w:val="00A34EE6"/>
    <w:rsid w:val="00A35D46"/>
    <w:rsid w:val="00A4078F"/>
    <w:rsid w:val="00A41355"/>
    <w:rsid w:val="00A41892"/>
    <w:rsid w:val="00A42A6D"/>
    <w:rsid w:val="00A43829"/>
    <w:rsid w:val="00A43B62"/>
    <w:rsid w:val="00A43B92"/>
    <w:rsid w:val="00A4535C"/>
    <w:rsid w:val="00A45846"/>
    <w:rsid w:val="00A46499"/>
    <w:rsid w:val="00A4745D"/>
    <w:rsid w:val="00A479F6"/>
    <w:rsid w:val="00A47BCA"/>
    <w:rsid w:val="00A503CD"/>
    <w:rsid w:val="00A512AB"/>
    <w:rsid w:val="00A522B8"/>
    <w:rsid w:val="00A54251"/>
    <w:rsid w:val="00A54676"/>
    <w:rsid w:val="00A54F55"/>
    <w:rsid w:val="00A56800"/>
    <w:rsid w:val="00A57270"/>
    <w:rsid w:val="00A578EC"/>
    <w:rsid w:val="00A57BA1"/>
    <w:rsid w:val="00A6179E"/>
    <w:rsid w:val="00A62A8A"/>
    <w:rsid w:val="00A634FF"/>
    <w:rsid w:val="00A63F78"/>
    <w:rsid w:val="00A64316"/>
    <w:rsid w:val="00A6478B"/>
    <w:rsid w:val="00A64F9C"/>
    <w:rsid w:val="00A6534A"/>
    <w:rsid w:val="00A65DD2"/>
    <w:rsid w:val="00A66682"/>
    <w:rsid w:val="00A67989"/>
    <w:rsid w:val="00A71EBE"/>
    <w:rsid w:val="00A73504"/>
    <w:rsid w:val="00A74D4E"/>
    <w:rsid w:val="00A754A7"/>
    <w:rsid w:val="00A75709"/>
    <w:rsid w:val="00A758BA"/>
    <w:rsid w:val="00A804D9"/>
    <w:rsid w:val="00A81521"/>
    <w:rsid w:val="00A8184A"/>
    <w:rsid w:val="00A82103"/>
    <w:rsid w:val="00A84A1A"/>
    <w:rsid w:val="00A8763A"/>
    <w:rsid w:val="00A9054D"/>
    <w:rsid w:val="00A90E30"/>
    <w:rsid w:val="00A92000"/>
    <w:rsid w:val="00A9280B"/>
    <w:rsid w:val="00A92F92"/>
    <w:rsid w:val="00A957A6"/>
    <w:rsid w:val="00A95B3F"/>
    <w:rsid w:val="00A96892"/>
    <w:rsid w:val="00A96C7A"/>
    <w:rsid w:val="00A97042"/>
    <w:rsid w:val="00A974D0"/>
    <w:rsid w:val="00A9752A"/>
    <w:rsid w:val="00A97DA0"/>
    <w:rsid w:val="00AA12DB"/>
    <w:rsid w:val="00AA1BAF"/>
    <w:rsid w:val="00AA2051"/>
    <w:rsid w:val="00AA486E"/>
    <w:rsid w:val="00AA4C22"/>
    <w:rsid w:val="00AA5107"/>
    <w:rsid w:val="00AA62D4"/>
    <w:rsid w:val="00AA68DC"/>
    <w:rsid w:val="00AB2645"/>
    <w:rsid w:val="00AB3C87"/>
    <w:rsid w:val="00AB403D"/>
    <w:rsid w:val="00AB441C"/>
    <w:rsid w:val="00AB4528"/>
    <w:rsid w:val="00AB6041"/>
    <w:rsid w:val="00AC0B54"/>
    <w:rsid w:val="00AC226A"/>
    <w:rsid w:val="00AC2DA0"/>
    <w:rsid w:val="00AC357A"/>
    <w:rsid w:val="00AC4315"/>
    <w:rsid w:val="00AC5971"/>
    <w:rsid w:val="00AC784E"/>
    <w:rsid w:val="00AD45B1"/>
    <w:rsid w:val="00AD5456"/>
    <w:rsid w:val="00AD59A1"/>
    <w:rsid w:val="00AE600D"/>
    <w:rsid w:val="00AE6792"/>
    <w:rsid w:val="00AE7EBA"/>
    <w:rsid w:val="00AF1054"/>
    <w:rsid w:val="00AF1AB3"/>
    <w:rsid w:val="00AF56BB"/>
    <w:rsid w:val="00AF5B2C"/>
    <w:rsid w:val="00AF600E"/>
    <w:rsid w:val="00AF7BDA"/>
    <w:rsid w:val="00B01994"/>
    <w:rsid w:val="00B02EAA"/>
    <w:rsid w:val="00B056AD"/>
    <w:rsid w:val="00B05FA2"/>
    <w:rsid w:val="00B0769D"/>
    <w:rsid w:val="00B10024"/>
    <w:rsid w:val="00B11487"/>
    <w:rsid w:val="00B12266"/>
    <w:rsid w:val="00B122C7"/>
    <w:rsid w:val="00B126D9"/>
    <w:rsid w:val="00B14DD2"/>
    <w:rsid w:val="00B15C4F"/>
    <w:rsid w:val="00B221E5"/>
    <w:rsid w:val="00B226AD"/>
    <w:rsid w:val="00B2288C"/>
    <w:rsid w:val="00B23B4C"/>
    <w:rsid w:val="00B24004"/>
    <w:rsid w:val="00B24B1D"/>
    <w:rsid w:val="00B24FEA"/>
    <w:rsid w:val="00B277E0"/>
    <w:rsid w:val="00B32D3D"/>
    <w:rsid w:val="00B3344F"/>
    <w:rsid w:val="00B3462F"/>
    <w:rsid w:val="00B34946"/>
    <w:rsid w:val="00B34BCB"/>
    <w:rsid w:val="00B35BAC"/>
    <w:rsid w:val="00B36FB9"/>
    <w:rsid w:val="00B37C40"/>
    <w:rsid w:val="00B40DA2"/>
    <w:rsid w:val="00B4310F"/>
    <w:rsid w:val="00B43479"/>
    <w:rsid w:val="00B43B7C"/>
    <w:rsid w:val="00B43FBD"/>
    <w:rsid w:val="00B45321"/>
    <w:rsid w:val="00B4678C"/>
    <w:rsid w:val="00B467FA"/>
    <w:rsid w:val="00B46DC7"/>
    <w:rsid w:val="00B47EB1"/>
    <w:rsid w:val="00B516F9"/>
    <w:rsid w:val="00B519FD"/>
    <w:rsid w:val="00B51FD1"/>
    <w:rsid w:val="00B520BC"/>
    <w:rsid w:val="00B5277F"/>
    <w:rsid w:val="00B52781"/>
    <w:rsid w:val="00B53A74"/>
    <w:rsid w:val="00B54EFD"/>
    <w:rsid w:val="00B557C0"/>
    <w:rsid w:val="00B557D6"/>
    <w:rsid w:val="00B56C1C"/>
    <w:rsid w:val="00B60326"/>
    <w:rsid w:val="00B6144C"/>
    <w:rsid w:val="00B61ED0"/>
    <w:rsid w:val="00B63BD4"/>
    <w:rsid w:val="00B63D24"/>
    <w:rsid w:val="00B6450F"/>
    <w:rsid w:val="00B64EA8"/>
    <w:rsid w:val="00B65ED3"/>
    <w:rsid w:val="00B67B37"/>
    <w:rsid w:val="00B71243"/>
    <w:rsid w:val="00B719B2"/>
    <w:rsid w:val="00B71AFF"/>
    <w:rsid w:val="00B727A1"/>
    <w:rsid w:val="00B756E7"/>
    <w:rsid w:val="00B75E91"/>
    <w:rsid w:val="00B76C18"/>
    <w:rsid w:val="00B770D3"/>
    <w:rsid w:val="00B77343"/>
    <w:rsid w:val="00B77EC4"/>
    <w:rsid w:val="00B844FD"/>
    <w:rsid w:val="00B84880"/>
    <w:rsid w:val="00B867C3"/>
    <w:rsid w:val="00B86C9D"/>
    <w:rsid w:val="00B924E6"/>
    <w:rsid w:val="00B938A7"/>
    <w:rsid w:val="00B93940"/>
    <w:rsid w:val="00B956B9"/>
    <w:rsid w:val="00B959CE"/>
    <w:rsid w:val="00BA004E"/>
    <w:rsid w:val="00BA1B74"/>
    <w:rsid w:val="00BA262D"/>
    <w:rsid w:val="00BA2894"/>
    <w:rsid w:val="00BA5698"/>
    <w:rsid w:val="00BA57BB"/>
    <w:rsid w:val="00BA5C7F"/>
    <w:rsid w:val="00BA6382"/>
    <w:rsid w:val="00BB168B"/>
    <w:rsid w:val="00BB1D9C"/>
    <w:rsid w:val="00BB2F88"/>
    <w:rsid w:val="00BB5A3E"/>
    <w:rsid w:val="00BC2DB9"/>
    <w:rsid w:val="00BC3A01"/>
    <w:rsid w:val="00BC4881"/>
    <w:rsid w:val="00BC79EB"/>
    <w:rsid w:val="00BD33EB"/>
    <w:rsid w:val="00BD4D68"/>
    <w:rsid w:val="00BD5160"/>
    <w:rsid w:val="00BD581C"/>
    <w:rsid w:val="00BD7FCF"/>
    <w:rsid w:val="00BE167F"/>
    <w:rsid w:val="00BE3EE5"/>
    <w:rsid w:val="00BE75A5"/>
    <w:rsid w:val="00BF0626"/>
    <w:rsid w:val="00BF2840"/>
    <w:rsid w:val="00BF288F"/>
    <w:rsid w:val="00BF323C"/>
    <w:rsid w:val="00BF4876"/>
    <w:rsid w:val="00BF73DD"/>
    <w:rsid w:val="00BF7490"/>
    <w:rsid w:val="00BF7A9B"/>
    <w:rsid w:val="00C006DD"/>
    <w:rsid w:val="00C008DC"/>
    <w:rsid w:val="00C0162E"/>
    <w:rsid w:val="00C025DD"/>
    <w:rsid w:val="00C026E3"/>
    <w:rsid w:val="00C03839"/>
    <w:rsid w:val="00C03B93"/>
    <w:rsid w:val="00C041C7"/>
    <w:rsid w:val="00C0442F"/>
    <w:rsid w:val="00C04BD0"/>
    <w:rsid w:val="00C051A5"/>
    <w:rsid w:val="00C06574"/>
    <w:rsid w:val="00C0671E"/>
    <w:rsid w:val="00C06F17"/>
    <w:rsid w:val="00C07955"/>
    <w:rsid w:val="00C10889"/>
    <w:rsid w:val="00C1208A"/>
    <w:rsid w:val="00C12458"/>
    <w:rsid w:val="00C12A96"/>
    <w:rsid w:val="00C132C6"/>
    <w:rsid w:val="00C146D9"/>
    <w:rsid w:val="00C16653"/>
    <w:rsid w:val="00C17074"/>
    <w:rsid w:val="00C21353"/>
    <w:rsid w:val="00C21AE9"/>
    <w:rsid w:val="00C24B57"/>
    <w:rsid w:val="00C254EA"/>
    <w:rsid w:val="00C25BDA"/>
    <w:rsid w:val="00C2618F"/>
    <w:rsid w:val="00C267A5"/>
    <w:rsid w:val="00C32875"/>
    <w:rsid w:val="00C32922"/>
    <w:rsid w:val="00C329BB"/>
    <w:rsid w:val="00C33104"/>
    <w:rsid w:val="00C338F3"/>
    <w:rsid w:val="00C34AE8"/>
    <w:rsid w:val="00C36F85"/>
    <w:rsid w:val="00C37A78"/>
    <w:rsid w:val="00C40616"/>
    <w:rsid w:val="00C408AE"/>
    <w:rsid w:val="00C40F70"/>
    <w:rsid w:val="00C4199C"/>
    <w:rsid w:val="00C428CE"/>
    <w:rsid w:val="00C43F2D"/>
    <w:rsid w:val="00C448AE"/>
    <w:rsid w:val="00C478B5"/>
    <w:rsid w:val="00C50021"/>
    <w:rsid w:val="00C50889"/>
    <w:rsid w:val="00C51D88"/>
    <w:rsid w:val="00C52C27"/>
    <w:rsid w:val="00C53135"/>
    <w:rsid w:val="00C534A0"/>
    <w:rsid w:val="00C540A2"/>
    <w:rsid w:val="00C555EF"/>
    <w:rsid w:val="00C5563E"/>
    <w:rsid w:val="00C56360"/>
    <w:rsid w:val="00C56571"/>
    <w:rsid w:val="00C57EA8"/>
    <w:rsid w:val="00C64291"/>
    <w:rsid w:val="00C64693"/>
    <w:rsid w:val="00C65ADC"/>
    <w:rsid w:val="00C6613D"/>
    <w:rsid w:val="00C7247C"/>
    <w:rsid w:val="00C747A2"/>
    <w:rsid w:val="00C75C38"/>
    <w:rsid w:val="00C766DE"/>
    <w:rsid w:val="00C81928"/>
    <w:rsid w:val="00C82D35"/>
    <w:rsid w:val="00C82DCD"/>
    <w:rsid w:val="00C83F19"/>
    <w:rsid w:val="00C854D4"/>
    <w:rsid w:val="00C8604E"/>
    <w:rsid w:val="00C865CA"/>
    <w:rsid w:val="00C867CF"/>
    <w:rsid w:val="00C8778B"/>
    <w:rsid w:val="00C87E6E"/>
    <w:rsid w:val="00C90556"/>
    <w:rsid w:val="00C90E5B"/>
    <w:rsid w:val="00C91C76"/>
    <w:rsid w:val="00C91E4D"/>
    <w:rsid w:val="00C91E87"/>
    <w:rsid w:val="00C92A86"/>
    <w:rsid w:val="00C93646"/>
    <w:rsid w:val="00C94465"/>
    <w:rsid w:val="00C964A4"/>
    <w:rsid w:val="00C971FF"/>
    <w:rsid w:val="00CA04B2"/>
    <w:rsid w:val="00CA0D78"/>
    <w:rsid w:val="00CA0E2B"/>
    <w:rsid w:val="00CA1F0B"/>
    <w:rsid w:val="00CA2765"/>
    <w:rsid w:val="00CA2B31"/>
    <w:rsid w:val="00CA30AB"/>
    <w:rsid w:val="00CA4855"/>
    <w:rsid w:val="00CA51A9"/>
    <w:rsid w:val="00CA6B63"/>
    <w:rsid w:val="00CA6F6C"/>
    <w:rsid w:val="00CB1C85"/>
    <w:rsid w:val="00CB24FE"/>
    <w:rsid w:val="00CB4413"/>
    <w:rsid w:val="00CB47F9"/>
    <w:rsid w:val="00CB7C13"/>
    <w:rsid w:val="00CB7F90"/>
    <w:rsid w:val="00CC0AF9"/>
    <w:rsid w:val="00CC1EE9"/>
    <w:rsid w:val="00CC20EE"/>
    <w:rsid w:val="00CC24A5"/>
    <w:rsid w:val="00CC2D91"/>
    <w:rsid w:val="00CC3623"/>
    <w:rsid w:val="00CC42FE"/>
    <w:rsid w:val="00CC7DF1"/>
    <w:rsid w:val="00CD0195"/>
    <w:rsid w:val="00CD1C6F"/>
    <w:rsid w:val="00CD3865"/>
    <w:rsid w:val="00CD58FD"/>
    <w:rsid w:val="00CE2228"/>
    <w:rsid w:val="00CE286B"/>
    <w:rsid w:val="00CE2910"/>
    <w:rsid w:val="00CE5DF4"/>
    <w:rsid w:val="00CF2417"/>
    <w:rsid w:val="00CF2794"/>
    <w:rsid w:val="00CF4B31"/>
    <w:rsid w:val="00CF58F6"/>
    <w:rsid w:val="00CF614D"/>
    <w:rsid w:val="00D02236"/>
    <w:rsid w:val="00D036CC"/>
    <w:rsid w:val="00D051DE"/>
    <w:rsid w:val="00D07238"/>
    <w:rsid w:val="00D07C08"/>
    <w:rsid w:val="00D12253"/>
    <w:rsid w:val="00D134B7"/>
    <w:rsid w:val="00D13533"/>
    <w:rsid w:val="00D1586B"/>
    <w:rsid w:val="00D160E4"/>
    <w:rsid w:val="00D1683A"/>
    <w:rsid w:val="00D170A3"/>
    <w:rsid w:val="00D17C18"/>
    <w:rsid w:val="00D20F40"/>
    <w:rsid w:val="00D218CD"/>
    <w:rsid w:val="00D224A9"/>
    <w:rsid w:val="00D23673"/>
    <w:rsid w:val="00D25313"/>
    <w:rsid w:val="00D26AFE"/>
    <w:rsid w:val="00D272C1"/>
    <w:rsid w:val="00D3041C"/>
    <w:rsid w:val="00D30A61"/>
    <w:rsid w:val="00D31443"/>
    <w:rsid w:val="00D315F5"/>
    <w:rsid w:val="00D3434C"/>
    <w:rsid w:val="00D343F2"/>
    <w:rsid w:val="00D343FA"/>
    <w:rsid w:val="00D34979"/>
    <w:rsid w:val="00D359B7"/>
    <w:rsid w:val="00D362A7"/>
    <w:rsid w:val="00D36759"/>
    <w:rsid w:val="00D379EF"/>
    <w:rsid w:val="00D406B7"/>
    <w:rsid w:val="00D409C4"/>
    <w:rsid w:val="00D418FF"/>
    <w:rsid w:val="00D41DB6"/>
    <w:rsid w:val="00D42EF2"/>
    <w:rsid w:val="00D42FE0"/>
    <w:rsid w:val="00D432E2"/>
    <w:rsid w:val="00D43698"/>
    <w:rsid w:val="00D43A84"/>
    <w:rsid w:val="00D43FD7"/>
    <w:rsid w:val="00D4655E"/>
    <w:rsid w:val="00D46F21"/>
    <w:rsid w:val="00D4763B"/>
    <w:rsid w:val="00D478D2"/>
    <w:rsid w:val="00D50664"/>
    <w:rsid w:val="00D5331E"/>
    <w:rsid w:val="00D53321"/>
    <w:rsid w:val="00D5399D"/>
    <w:rsid w:val="00D54D03"/>
    <w:rsid w:val="00D556C3"/>
    <w:rsid w:val="00D56F98"/>
    <w:rsid w:val="00D57129"/>
    <w:rsid w:val="00D57161"/>
    <w:rsid w:val="00D6034B"/>
    <w:rsid w:val="00D60982"/>
    <w:rsid w:val="00D63682"/>
    <w:rsid w:val="00D64874"/>
    <w:rsid w:val="00D6564B"/>
    <w:rsid w:val="00D65C76"/>
    <w:rsid w:val="00D7025F"/>
    <w:rsid w:val="00D72687"/>
    <w:rsid w:val="00D729AD"/>
    <w:rsid w:val="00D734C7"/>
    <w:rsid w:val="00D739CB"/>
    <w:rsid w:val="00D766AD"/>
    <w:rsid w:val="00D770E5"/>
    <w:rsid w:val="00D77536"/>
    <w:rsid w:val="00D80E99"/>
    <w:rsid w:val="00D8116A"/>
    <w:rsid w:val="00D84573"/>
    <w:rsid w:val="00D857A0"/>
    <w:rsid w:val="00D86022"/>
    <w:rsid w:val="00D87284"/>
    <w:rsid w:val="00D90278"/>
    <w:rsid w:val="00D9032C"/>
    <w:rsid w:val="00D90A40"/>
    <w:rsid w:val="00D91678"/>
    <w:rsid w:val="00D948EA"/>
    <w:rsid w:val="00D950F1"/>
    <w:rsid w:val="00DA0A50"/>
    <w:rsid w:val="00DA160C"/>
    <w:rsid w:val="00DA2F73"/>
    <w:rsid w:val="00DA362C"/>
    <w:rsid w:val="00DA65B7"/>
    <w:rsid w:val="00DA6C9A"/>
    <w:rsid w:val="00DA6D69"/>
    <w:rsid w:val="00DB105B"/>
    <w:rsid w:val="00DB3669"/>
    <w:rsid w:val="00DB56F0"/>
    <w:rsid w:val="00DB5EFD"/>
    <w:rsid w:val="00DB6283"/>
    <w:rsid w:val="00DB6A4E"/>
    <w:rsid w:val="00DB77EC"/>
    <w:rsid w:val="00DB7851"/>
    <w:rsid w:val="00DC01E0"/>
    <w:rsid w:val="00DC462F"/>
    <w:rsid w:val="00DC5249"/>
    <w:rsid w:val="00DC6B1B"/>
    <w:rsid w:val="00DC7E53"/>
    <w:rsid w:val="00DD1121"/>
    <w:rsid w:val="00DD12A2"/>
    <w:rsid w:val="00DD35F1"/>
    <w:rsid w:val="00DD49D9"/>
    <w:rsid w:val="00DD4B0E"/>
    <w:rsid w:val="00DD6A21"/>
    <w:rsid w:val="00DD7CAB"/>
    <w:rsid w:val="00DE04D7"/>
    <w:rsid w:val="00DE1E7C"/>
    <w:rsid w:val="00DE39B3"/>
    <w:rsid w:val="00DE3BBD"/>
    <w:rsid w:val="00DE457C"/>
    <w:rsid w:val="00DE4E2C"/>
    <w:rsid w:val="00DE502E"/>
    <w:rsid w:val="00DE5CDB"/>
    <w:rsid w:val="00DE60CA"/>
    <w:rsid w:val="00DE772B"/>
    <w:rsid w:val="00DF0768"/>
    <w:rsid w:val="00DF09E1"/>
    <w:rsid w:val="00DF0B56"/>
    <w:rsid w:val="00DF0D6E"/>
    <w:rsid w:val="00DF151C"/>
    <w:rsid w:val="00DF1547"/>
    <w:rsid w:val="00DF1F59"/>
    <w:rsid w:val="00DF20CF"/>
    <w:rsid w:val="00DF31D6"/>
    <w:rsid w:val="00DF3516"/>
    <w:rsid w:val="00DF3DC0"/>
    <w:rsid w:val="00DF510B"/>
    <w:rsid w:val="00DF72C6"/>
    <w:rsid w:val="00DF7DBB"/>
    <w:rsid w:val="00E00066"/>
    <w:rsid w:val="00E00E0C"/>
    <w:rsid w:val="00E0137C"/>
    <w:rsid w:val="00E01A93"/>
    <w:rsid w:val="00E02AC8"/>
    <w:rsid w:val="00E03683"/>
    <w:rsid w:val="00E0381C"/>
    <w:rsid w:val="00E03D1D"/>
    <w:rsid w:val="00E03DC7"/>
    <w:rsid w:val="00E05633"/>
    <w:rsid w:val="00E074E7"/>
    <w:rsid w:val="00E0761A"/>
    <w:rsid w:val="00E106B6"/>
    <w:rsid w:val="00E10C10"/>
    <w:rsid w:val="00E10D78"/>
    <w:rsid w:val="00E1190B"/>
    <w:rsid w:val="00E12B7A"/>
    <w:rsid w:val="00E15904"/>
    <w:rsid w:val="00E15971"/>
    <w:rsid w:val="00E15BB7"/>
    <w:rsid w:val="00E21278"/>
    <w:rsid w:val="00E2155B"/>
    <w:rsid w:val="00E21A31"/>
    <w:rsid w:val="00E22BAD"/>
    <w:rsid w:val="00E22D35"/>
    <w:rsid w:val="00E24FA3"/>
    <w:rsid w:val="00E266B6"/>
    <w:rsid w:val="00E26B28"/>
    <w:rsid w:val="00E2739D"/>
    <w:rsid w:val="00E3096C"/>
    <w:rsid w:val="00E30D1B"/>
    <w:rsid w:val="00E30F84"/>
    <w:rsid w:val="00E31465"/>
    <w:rsid w:val="00E328CD"/>
    <w:rsid w:val="00E32A4F"/>
    <w:rsid w:val="00E340E1"/>
    <w:rsid w:val="00E345C0"/>
    <w:rsid w:val="00E35DAE"/>
    <w:rsid w:val="00E36B95"/>
    <w:rsid w:val="00E36FFB"/>
    <w:rsid w:val="00E37EAD"/>
    <w:rsid w:val="00E4003F"/>
    <w:rsid w:val="00E40390"/>
    <w:rsid w:val="00E40EFC"/>
    <w:rsid w:val="00E4101C"/>
    <w:rsid w:val="00E42D8B"/>
    <w:rsid w:val="00E4413C"/>
    <w:rsid w:val="00E44261"/>
    <w:rsid w:val="00E443AC"/>
    <w:rsid w:val="00E44BB7"/>
    <w:rsid w:val="00E458F6"/>
    <w:rsid w:val="00E45954"/>
    <w:rsid w:val="00E4658A"/>
    <w:rsid w:val="00E46C2D"/>
    <w:rsid w:val="00E50A41"/>
    <w:rsid w:val="00E519EB"/>
    <w:rsid w:val="00E51B7D"/>
    <w:rsid w:val="00E51E87"/>
    <w:rsid w:val="00E53274"/>
    <w:rsid w:val="00E539CD"/>
    <w:rsid w:val="00E53F0C"/>
    <w:rsid w:val="00E53F42"/>
    <w:rsid w:val="00E548BE"/>
    <w:rsid w:val="00E57525"/>
    <w:rsid w:val="00E6355C"/>
    <w:rsid w:val="00E63D4C"/>
    <w:rsid w:val="00E65BAD"/>
    <w:rsid w:val="00E66059"/>
    <w:rsid w:val="00E66F52"/>
    <w:rsid w:val="00E67D44"/>
    <w:rsid w:val="00E67FB7"/>
    <w:rsid w:val="00E7149B"/>
    <w:rsid w:val="00E71BC4"/>
    <w:rsid w:val="00E728A2"/>
    <w:rsid w:val="00E72FF3"/>
    <w:rsid w:val="00E73260"/>
    <w:rsid w:val="00E733BA"/>
    <w:rsid w:val="00E735B2"/>
    <w:rsid w:val="00E73B60"/>
    <w:rsid w:val="00E73EAA"/>
    <w:rsid w:val="00E7543B"/>
    <w:rsid w:val="00E76CA0"/>
    <w:rsid w:val="00E7730F"/>
    <w:rsid w:val="00E80111"/>
    <w:rsid w:val="00E80E91"/>
    <w:rsid w:val="00E83AD5"/>
    <w:rsid w:val="00E86F91"/>
    <w:rsid w:val="00E87E1D"/>
    <w:rsid w:val="00E90782"/>
    <w:rsid w:val="00E91C0D"/>
    <w:rsid w:val="00E92A25"/>
    <w:rsid w:val="00E935DB"/>
    <w:rsid w:val="00E94F0E"/>
    <w:rsid w:val="00E95BE5"/>
    <w:rsid w:val="00E95C2C"/>
    <w:rsid w:val="00E95E23"/>
    <w:rsid w:val="00E96C2B"/>
    <w:rsid w:val="00E97A1A"/>
    <w:rsid w:val="00EA02CC"/>
    <w:rsid w:val="00EA14EC"/>
    <w:rsid w:val="00EA1707"/>
    <w:rsid w:val="00EA2A37"/>
    <w:rsid w:val="00EA3CCA"/>
    <w:rsid w:val="00EA43F2"/>
    <w:rsid w:val="00EA44D9"/>
    <w:rsid w:val="00EA6A19"/>
    <w:rsid w:val="00EB092F"/>
    <w:rsid w:val="00EB098F"/>
    <w:rsid w:val="00EB26A7"/>
    <w:rsid w:val="00EB2F24"/>
    <w:rsid w:val="00EB3A13"/>
    <w:rsid w:val="00EB4C9F"/>
    <w:rsid w:val="00EB5169"/>
    <w:rsid w:val="00EB6A76"/>
    <w:rsid w:val="00EB72EA"/>
    <w:rsid w:val="00EB7458"/>
    <w:rsid w:val="00EB7850"/>
    <w:rsid w:val="00EC017D"/>
    <w:rsid w:val="00EC0C89"/>
    <w:rsid w:val="00EC214A"/>
    <w:rsid w:val="00EC5409"/>
    <w:rsid w:val="00EC7919"/>
    <w:rsid w:val="00EC7F50"/>
    <w:rsid w:val="00ED006F"/>
    <w:rsid w:val="00ED01D6"/>
    <w:rsid w:val="00ED031A"/>
    <w:rsid w:val="00ED0E16"/>
    <w:rsid w:val="00ED10CB"/>
    <w:rsid w:val="00ED2105"/>
    <w:rsid w:val="00ED2964"/>
    <w:rsid w:val="00ED348B"/>
    <w:rsid w:val="00ED37BE"/>
    <w:rsid w:val="00ED6479"/>
    <w:rsid w:val="00ED6B66"/>
    <w:rsid w:val="00EE1393"/>
    <w:rsid w:val="00EE1803"/>
    <w:rsid w:val="00EE2263"/>
    <w:rsid w:val="00EE3B78"/>
    <w:rsid w:val="00EE5B0E"/>
    <w:rsid w:val="00EF0C4C"/>
    <w:rsid w:val="00EF0CC9"/>
    <w:rsid w:val="00EF1015"/>
    <w:rsid w:val="00EF3B6A"/>
    <w:rsid w:val="00EF4802"/>
    <w:rsid w:val="00EF49DE"/>
    <w:rsid w:val="00EF5547"/>
    <w:rsid w:val="00EF6AAC"/>
    <w:rsid w:val="00F004CC"/>
    <w:rsid w:val="00F00D02"/>
    <w:rsid w:val="00F01FC9"/>
    <w:rsid w:val="00F02387"/>
    <w:rsid w:val="00F03DAA"/>
    <w:rsid w:val="00F04FD6"/>
    <w:rsid w:val="00F0509A"/>
    <w:rsid w:val="00F053D6"/>
    <w:rsid w:val="00F0578E"/>
    <w:rsid w:val="00F0593E"/>
    <w:rsid w:val="00F059BE"/>
    <w:rsid w:val="00F113CA"/>
    <w:rsid w:val="00F11A81"/>
    <w:rsid w:val="00F12517"/>
    <w:rsid w:val="00F12F76"/>
    <w:rsid w:val="00F13233"/>
    <w:rsid w:val="00F147C0"/>
    <w:rsid w:val="00F14C6D"/>
    <w:rsid w:val="00F157ED"/>
    <w:rsid w:val="00F16804"/>
    <w:rsid w:val="00F177BB"/>
    <w:rsid w:val="00F207C2"/>
    <w:rsid w:val="00F20BA9"/>
    <w:rsid w:val="00F21347"/>
    <w:rsid w:val="00F21A13"/>
    <w:rsid w:val="00F22127"/>
    <w:rsid w:val="00F229DC"/>
    <w:rsid w:val="00F319BF"/>
    <w:rsid w:val="00F363E6"/>
    <w:rsid w:val="00F369A0"/>
    <w:rsid w:val="00F40CCF"/>
    <w:rsid w:val="00F41449"/>
    <w:rsid w:val="00F42F7E"/>
    <w:rsid w:val="00F44EC5"/>
    <w:rsid w:val="00F50D29"/>
    <w:rsid w:val="00F510E3"/>
    <w:rsid w:val="00F5119D"/>
    <w:rsid w:val="00F51CFB"/>
    <w:rsid w:val="00F521FB"/>
    <w:rsid w:val="00F536BA"/>
    <w:rsid w:val="00F53A3A"/>
    <w:rsid w:val="00F55F10"/>
    <w:rsid w:val="00F56E4E"/>
    <w:rsid w:val="00F62320"/>
    <w:rsid w:val="00F63DDE"/>
    <w:rsid w:val="00F65D7D"/>
    <w:rsid w:val="00F66C63"/>
    <w:rsid w:val="00F67672"/>
    <w:rsid w:val="00F67A72"/>
    <w:rsid w:val="00F75965"/>
    <w:rsid w:val="00F75FF6"/>
    <w:rsid w:val="00F76FCC"/>
    <w:rsid w:val="00F7734F"/>
    <w:rsid w:val="00F8247D"/>
    <w:rsid w:val="00F82635"/>
    <w:rsid w:val="00F84BAE"/>
    <w:rsid w:val="00F85AE9"/>
    <w:rsid w:val="00F862BA"/>
    <w:rsid w:val="00F939C0"/>
    <w:rsid w:val="00F93D78"/>
    <w:rsid w:val="00F94A15"/>
    <w:rsid w:val="00F94AFE"/>
    <w:rsid w:val="00F9614F"/>
    <w:rsid w:val="00F97E45"/>
    <w:rsid w:val="00FA00BF"/>
    <w:rsid w:val="00FA0C4A"/>
    <w:rsid w:val="00FA178E"/>
    <w:rsid w:val="00FA2409"/>
    <w:rsid w:val="00FA4916"/>
    <w:rsid w:val="00FA547F"/>
    <w:rsid w:val="00FA54E8"/>
    <w:rsid w:val="00FA5BBE"/>
    <w:rsid w:val="00FB30D8"/>
    <w:rsid w:val="00FB3355"/>
    <w:rsid w:val="00FB5C17"/>
    <w:rsid w:val="00FB704E"/>
    <w:rsid w:val="00FB7DED"/>
    <w:rsid w:val="00FC1288"/>
    <w:rsid w:val="00FC3A30"/>
    <w:rsid w:val="00FC4A81"/>
    <w:rsid w:val="00FC604A"/>
    <w:rsid w:val="00FC6DD1"/>
    <w:rsid w:val="00FD01B5"/>
    <w:rsid w:val="00FD0229"/>
    <w:rsid w:val="00FD051B"/>
    <w:rsid w:val="00FD2283"/>
    <w:rsid w:val="00FD28C2"/>
    <w:rsid w:val="00FD6366"/>
    <w:rsid w:val="00FD6C2E"/>
    <w:rsid w:val="00FD7C9B"/>
    <w:rsid w:val="00FE0A91"/>
    <w:rsid w:val="00FE0C19"/>
    <w:rsid w:val="00FE1A57"/>
    <w:rsid w:val="00FE3751"/>
    <w:rsid w:val="00FE651B"/>
    <w:rsid w:val="00FF08F8"/>
    <w:rsid w:val="00FF0ECB"/>
    <w:rsid w:val="00FF1686"/>
    <w:rsid w:val="00FF223E"/>
    <w:rsid w:val="00FF375E"/>
    <w:rsid w:val="00FF4BAD"/>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433D07"/>
    <w:pPr>
      <w:tabs>
        <w:tab w:val="left" w:pos="1202"/>
        <w:tab w:val="right" w:leader="dot" w:pos="9060"/>
      </w:tabs>
      <w:spacing w:before="0"/>
      <w:ind w:left="1202" w:hanging="720"/>
    </w:pPr>
    <w:rPr>
      <w:rFonts w:cs="Arial"/>
      <w:i/>
      <w:noProof/>
      <w:sz w:val="22"/>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433D07"/>
    <w:pPr>
      <w:tabs>
        <w:tab w:val="right" w:leader="dot" w:pos="9060"/>
      </w:tabs>
      <w:ind w:left="720" w:hanging="720"/>
    </w:pPr>
    <w:rPr>
      <w:b/>
      <w:noProof/>
    </w:rPr>
  </w:style>
  <w:style w:type="paragraph" w:styleId="TOC2">
    <w:name w:val="toc 2"/>
    <w:basedOn w:val="Normal"/>
    <w:next w:val="Normal"/>
    <w:autoRedefine/>
    <w:uiPriority w:val="39"/>
    <w:qFormat/>
    <w:locked/>
    <w:rsid w:val="000F3A4C"/>
    <w:pPr>
      <w:tabs>
        <w:tab w:val="right" w:leader="dot" w:pos="9060"/>
      </w:tabs>
      <w:spacing w:before="0" w:after="120"/>
      <w:ind w:left="958" w:hanging="720"/>
    </w:pPr>
    <w:rPr>
      <w:b/>
      <w:i/>
      <w:noProof/>
      <w:sz w:val="22"/>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uiPriority w:val="99"/>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uiPriority w:val="99"/>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numbering" w:customStyle="1" w:styleId="StyleNumbered">
    <w:name w:val="Style Numbered"/>
    <w:basedOn w:val="NoList"/>
    <w:semiHidden/>
    <w:rsid w:val="00D90A40"/>
    <w:pPr>
      <w:numPr>
        <w:numId w:val="17"/>
      </w:numPr>
    </w:pPr>
  </w:style>
  <w:style w:type="paragraph" w:customStyle="1" w:styleId="Contactdetails">
    <w:name w:val="Contact details"/>
    <w:basedOn w:val="Normal"/>
    <w:semiHidden/>
    <w:rsid w:val="00D90A40"/>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D90A40"/>
    <w:rPr>
      <w:rFonts w:ascii="Arial" w:hAnsi="Arial"/>
      <w:bCs/>
      <w:i/>
      <w:sz w:val="24"/>
      <w:szCs w:val="26"/>
      <w:lang w:val="en-AU" w:eastAsia="en-AU" w:bidi="ar-SA"/>
    </w:rPr>
  </w:style>
  <w:style w:type="character" w:customStyle="1" w:styleId="CharChar8">
    <w:name w:val="Char Char8"/>
    <w:semiHidden/>
    <w:locked/>
    <w:rsid w:val="00D90A40"/>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link w:val="FootnoteText"/>
    <w:uiPriority w:val="99"/>
    <w:locked/>
    <w:rsid w:val="00D90A40"/>
    <w:rPr>
      <w:rFonts w:ascii="Arial" w:eastAsia="MS Mincho" w:hAnsi="Arial"/>
    </w:rPr>
  </w:style>
  <w:style w:type="paragraph" w:styleId="ListParagraph">
    <w:name w:val="List Paragraph"/>
    <w:basedOn w:val="Normal"/>
    <w:uiPriority w:val="34"/>
    <w:qFormat/>
    <w:rsid w:val="00D90A40"/>
    <w:pPr>
      <w:ind w:left="720"/>
      <w:contextualSpacing/>
    </w:pPr>
  </w:style>
  <w:style w:type="character" w:styleId="CommentReference">
    <w:name w:val="annotation reference"/>
    <w:locked/>
    <w:rsid w:val="00D90A40"/>
    <w:rPr>
      <w:sz w:val="16"/>
      <w:szCs w:val="16"/>
    </w:rPr>
  </w:style>
  <w:style w:type="paragraph" w:styleId="CommentText">
    <w:name w:val="annotation text"/>
    <w:basedOn w:val="Normal"/>
    <w:link w:val="CommentTextChar"/>
    <w:locked/>
    <w:rsid w:val="00D90A40"/>
    <w:rPr>
      <w:sz w:val="20"/>
      <w:szCs w:val="20"/>
    </w:rPr>
  </w:style>
  <w:style w:type="character" w:customStyle="1" w:styleId="CommentTextChar">
    <w:name w:val="Comment Text Char"/>
    <w:basedOn w:val="DefaultParagraphFont"/>
    <w:link w:val="CommentText"/>
    <w:rsid w:val="00D90A40"/>
    <w:rPr>
      <w:rFonts w:ascii="Arial" w:eastAsia="MS Mincho" w:hAnsi="Arial"/>
    </w:rPr>
  </w:style>
  <w:style w:type="character" w:customStyle="1" w:styleId="sb8d990e2">
    <w:name w:val="sb8d990e2"/>
    <w:rsid w:val="00D90A40"/>
  </w:style>
  <w:style w:type="paragraph" w:styleId="CommentSubject">
    <w:name w:val="annotation subject"/>
    <w:basedOn w:val="CommentText"/>
    <w:next w:val="CommentText"/>
    <w:link w:val="CommentSubjectChar"/>
    <w:locked/>
    <w:rsid w:val="00D90A40"/>
    <w:rPr>
      <w:b/>
      <w:bCs/>
    </w:rPr>
  </w:style>
  <w:style w:type="character" w:customStyle="1" w:styleId="CommentSubjectChar">
    <w:name w:val="Comment Subject Char"/>
    <w:basedOn w:val="CommentTextChar"/>
    <w:link w:val="CommentSubject"/>
    <w:rsid w:val="00D90A40"/>
    <w:rPr>
      <w:rFonts w:ascii="Arial" w:eastAsia="MS Mincho" w:hAnsi="Arial"/>
      <w:b/>
      <w:bCs/>
    </w:rPr>
  </w:style>
  <w:style w:type="character" w:customStyle="1" w:styleId="SubmissionnormalChar0">
    <w:name w:val="Submission normal Char"/>
    <w:link w:val="Submissionnormal0"/>
    <w:locked/>
    <w:rsid w:val="00D90A40"/>
    <w:rPr>
      <w:rFonts w:ascii="Arial" w:hAnsi="Arial" w:cs="Arial"/>
    </w:rPr>
  </w:style>
  <w:style w:type="paragraph" w:customStyle="1" w:styleId="Submissionnormal0">
    <w:name w:val="Submission normal"/>
    <w:basedOn w:val="Normal"/>
    <w:link w:val="SubmissionnormalChar0"/>
    <w:rsid w:val="00D90A40"/>
    <w:pPr>
      <w:tabs>
        <w:tab w:val="num" w:pos="360"/>
      </w:tabs>
    </w:pPr>
    <w:rPr>
      <w:rFonts w:eastAsia="Times New Roman" w:cs="Arial"/>
      <w:sz w:val="20"/>
      <w:szCs w:val="20"/>
    </w:rPr>
  </w:style>
  <w:style w:type="paragraph" w:styleId="NoSpacing">
    <w:name w:val="No Spacing"/>
    <w:aliases w:val="No Spacing2"/>
    <w:basedOn w:val="Normal"/>
    <w:qFormat/>
    <w:rsid w:val="00D90A40"/>
    <w:pPr>
      <w:tabs>
        <w:tab w:val="num" w:pos="720"/>
      </w:tabs>
      <w:ind w:left="720" w:hanging="360"/>
    </w:pPr>
    <w:rPr>
      <w:rFonts w:eastAsia="Times New Roman" w:cs="Arial"/>
    </w:rPr>
  </w:style>
  <w:style w:type="paragraph" w:styleId="Quote">
    <w:name w:val="Quote"/>
    <w:basedOn w:val="Normal"/>
    <w:next w:val="Normal"/>
    <w:link w:val="QuoteChar"/>
    <w:uiPriority w:val="99"/>
    <w:qFormat/>
    <w:rsid w:val="00D90A40"/>
    <w:rPr>
      <w:i/>
      <w:iCs/>
      <w:color w:val="000000"/>
    </w:rPr>
  </w:style>
  <w:style w:type="character" w:customStyle="1" w:styleId="QuoteChar">
    <w:name w:val="Quote Char"/>
    <w:basedOn w:val="DefaultParagraphFont"/>
    <w:link w:val="Quote"/>
    <w:uiPriority w:val="99"/>
    <w:rsid w:val="00D90A40"/>
    <w:rPr>
      <w:rFonts w:ascii="Arial" w:eastAsia="MS Mincho" w:hAnsi="Arial"/>
      <w:i/>
      <w:iCs/>
      <w:color w:val="000000"/>
      <w:sz w:val="24"/>
      <w:szCs w:val="24"/>
    </w:rPr>
  </w:style>
  <w:style w:type="character" w:customStyle="1" w:styleId="legtitle1">
    <w:name w:val="legtitle1"/>
    <w:rsid w:val="00D90A40"/>
    <w:rPr>
      <w:rFonts w:ascii="Arial" w:hAnsi="Arial" w:cs="Arial" w:hint="default"/>
      <w:b/>
      <w:bCs/>
      <w:color w:val="10418E"/>
      <w:sz w:val="40"/>
      <w:szCs w:val="40"/>
    </w:rPr>
  </w:style>
  <w:style w:type="character" w:customStyle="1" w:styleId="style71">
    <w:name w:val="style71"/>
    <w:rsid w:val="00D90A40"/>
    <w:rPr>
      <w:rFonts w:ascii="Georgia" w:hAnsi="Georgia" w:hint="default"/>
    </w:rPr>
  </w:style>
  <w:style w:type="paragraph" w:styleId="Revision">
    <w:name w:val="Revision"/>
    <w:hidden/>
    <w:uiPriority w:val="99"/>
    <w:semiHidden/>
    <w:rsid w:val="00D90A40"/>
    <w:rPr>
      <w:rFonts w:ascii="Arial" w:eastAsia="MS Mincho" w:hAnsi="Arial"/>
      <w:sz w:val="24"/>
      <w:szCs w:val="24"/>
    </w:rPr>
  </w:style>
  <w:style w:type="character" w:customStyle="1" w:styleId="st">
    <w:name w:val="st"/>
    <w:rsid w:val="00F82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433D07"/>
    <w:pPr>
      <w:tabs>
        <w:tab w:val="left" w:pos="1202"/>
        <w:tab w:val="right" w:leader="dot" w:pos="9060"/>
      </w:tabs>
      <w:spacing w:before="0"/>
      <w:ind w:left="1202" w:hanging="720"/>
    </w:pPr>
    <w:rPr>
      <w:rFonts w:cs="Arial"/>
      <w:i/>
      <w:noProof/>
      <w:sz w:val="22"/>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433D07"/>
    <w:pPr>
      <w:tabs>
        <w:tab w:val="right" w:leader="dot" w:pos="9060"/>
      </w:tabs>
      <w:ind w:left="720" w:hanging="720"/>
    </w:pPr>
    <w:rPr>
      <w:b/>
      <w:noProof/>
    </w:rPr>
  </w:style>
  <w:style w:type="paragraph" w:styleId="TOC2">
    <w:name w:val="toc 2"/>
    <w:basedOn w:val="Normal"/>
    <w:next w:val="Normal"/>
    <w:autoRedefine/>
    <w:uiPriority w:val="39"/>
    <w:qFormat/>
    <w:locked/>
    <w:rsid w:val="000F3A4C"/>
    <w:pPr>
      <w:tabs>
        <w:tab w:val="right" w:leader="dot" w:pos="9060"/>
      </w:tabs>
      <w:spacing w:before="0" w:after="120"/>
      <w:ind w:left="958" w:hanging="720"/>
    </w:pPr>
    <w:rPr>
      <w:b/>
      <w:i/>
      <w:noProof/>
      <w:sz w:val="22"/>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uiPriority w:val="99"/>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uiPriority w:val="99"/>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numbering" w:customStyle="1" w:styleId="StyleNumbered">
    <w:name w:val="Style Numbered"/>
    <w:basedOn w:val="NoList"/>
    <w:semiHidden/>
    <w:rsid w:val="00D90A40"/>
    <w:pPr>
      <w:numPr>
        <w:numId w:val="17"/>
      </w:numPr>
    </w:pPr>
  </w:style>
  <w:style w:type="paragraph" w:customStyle="1" w:styleId="Contactdetails">
    <w:name w:val="Contact details"/>
    <w:basedOn w:val="Normal"/>
    <w:semiHidden/>
    <w:rsid w:val="00D90A40"/>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D90A40"/>
    <w:rPr>
      <w:rFonts w:ascii="Arial" w:hAnsi="Arial"/>
      <w:bCs/>
      <w:i/>
      <w:sz w:val="24"/>
      <w:szCs w:val="26"/>
      <w:lang w:val="en-AU" w:eastAsia="en-AU" w:bidi="ar-SA"/>
    </w:rPr>
  </w:style>
  <w:style w:type="character" w:customStyle="1" w:styleId="CharChar8">
    <w:name w:val="Char Char8"/>
    <w:semiHidden/>
    <w:locked/>
    <w:rsid w:val="00D90A40"/>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link w:val="FootnoteText"/>
    <w:uiPriority w:val="99"/>
    <w:locked/>
    <w:rsid w:val="00D90A40"/>
    <w:rPr>
      <w:rFonts w:ascii="Arial" w:eastAsia="MS Mincho" w:hAnsi="Arial"/>
    </w:rPr>
  </w:style>
  <w:style w:type="paragraph" w:styleId="ListParagraph">
    <w:name w:val="List Paragraph"/>
    <w:basedOn w:val="Normal"/>
    <w:uiPriority w:val="34"/>
    <w:qFormat/>
    <w:rsid w:val="00D90A40"/>
    <w:pPr>
      <w:ind w:left="720"/>
      <w:contextualSpacing/>
    </w:pPr>
  </w:style>
  <w:style w:type="character" w:styleId="CommentReference">
    <w:name w:val="annotation reference"/>
    <w:locked/>
    <w:rsid w:val="00D90A40"/>
    <w:rPr>
      <w:sz w:val="16"/>
      <w:szCs w:val="16"/>
    </w:rPr>
  </w:style>
  <w:style w:type="paragraph" w:styleId="CommentText">
    <w:name w:val="annotation text"/>
    <w:basedOn w:val="Normal"/>
    <w:link w:val="CommentTextChar"/>
    <w:locked/>
    <w:rsid w:val="00D90A40"/>
    <w:rPr>
      <w:sz w:val="20"/>
      <w:szCs w:val="20"/>
    </w:rPr>
  </w:style>
  <w:style w:type="character" w:customStyle="1" w:styleId="CommentTextChar">
    <w:name w:val="Comment Text Char"/>
    <w:basedOn w:val="DefaultParagraphFont"/>
    <w:link w:val="CommentText"/>
    <w:rsid w:val="00D90A40"/>
    <w:rPr>
      <w:rFonts w:ascii="Arial" w:eastAsia="MS Mincho" w:hAnsi="Arial"/>
    </w:rPr>
  </w:style>
  <w:style w:type="character" w:customStyle="1" w:styleId="sb8d990e2">
    <w:name w:val="sb8d990e2"/>
    <w:rsid w:val="00D90A40"/>
  </w:style>
  <w:style w:type="paragraph" w:styleId="CommentSubject">
    <w:name w:val="annotation subject"/>
    <w:basedOn w:val="CommentText"/>
    <w:next w:val="CommentText"/>
    <w:link w:val="CommentSubjectChar"/>
    <w:locked/>
    <w:rsid w:val="00D90A40"/>
    <w:rPr>
      <w:b/>
      <w:bCs/>
    </w:rPr>
  </w:style>
  <w:style w:type="character" w:customStyle="1" w:styleId="CommentSubjectChar">
    <w:name w:val="Comment Subject Char"/>
    <w:basedOn w:val="CommentTextChar"/>
    <w:link w:val="CommentSubject"/>
    <w:rsid w:val="00D90A40"/>
    <w:rPr>
      <w:rFonts w:ascii="Arial" w:eastAsia="MS Mincho" w:hAnsi="Arial"/>
      <w:b/>
      <w:bCs/>
    </w:rPr>
  </w:style>
  <w:style w:type="character" w:customStyle="1" w:styleId="SubmissionnormalChar0">
    <w:name w:val="Submission normal Char"/>
    <w:link w:val="Submissionnormal0"/>
    <w:locked/>
    <w:rsid w:val="00D90A40"/>
    <w:rPr>
      <w:rFonts w:ascii="Arial" w:hAnsi="Arial" w:cs="Arial"/>
    </w:rPr>
  </w:style>
  <w:style w:type="paragraph" w:customStyle="1" w:styleId="Submissionnormal0">
    <w:name w:val="Submission normal"/>
    <w:basedOn w:val="Normal"/>
    <w:link w:val="SubmissionnormalChar0"/>
    <w:rsid w:val="00D90A40"/>
    <w:pPr>
      <w:tabs>
        <w:tab w:val="num" w:pos="360"/>
      </w:tabs>
    </w:pPr>
    <w:rPr>
      <w:rFonts w:eastAsia="Times New Roman" w:cs="Arial"/>
      <w:sz w:val="20"/>
      <w:szCs w:val="20"/>
    </w:rPr>
  </w:style>
  <w:style w:type="paragraph" w:styleId="NoSpacing">
    <w:name w:val="No Spacing"/>
    <w:aliases w:val="No Spacing2"/>
    <w:basedOn w:val="Normal"/>
    <w:qFormat/>
    <w:rsid w:val="00D90A40"/>
    <w:pPr>
      <w:tabs>
        <w:tab w:val="num" w:pos="720"/>
      </w:tabs>
      <w:ind w:left="720" w:hanging="360"/>
    </w:pPr>
    <w:rPr>
      <w:rFonts w:eastAsia="Times New Roman" w:cs="Arial"/>
    </w:rPr>
  </w:style>
  <w:style w:type="paragraph" w:styleId="Quote">
    <w:name w:val="Quote"/>
    <w:basedOn w:val="Normal"/>
    <w:next w:val="Normal"/>
    <w:link w:val="QuoteChar"/>
    <w:uiPriority w:val="99"/>
    <w:qFormat/>
    <w:rsid w:val="00D90A40"/>
    <w:rPr>
      <w:i/>
      <w:iCs/>
      <w:color w:val="000000"/>
    </w:rPr>
  </w:style>
  <w:style w:type="character" w:customStyle="1" w:styleId="QuoteChar">
    <w:name w:val="Quote Char"/>
    <w:basedOn w:val="DefaultParagraphFont"/>
    <w:link w:val="Quote"/>
    <w:uiPriority w:val="99"/>
    <w:rsid w:val="00D90A40"/>
    <w:rPr>
      <w:rFonts w:ascii="Arial" w:eastAsia="MS Mincho" w:hAnsi="Arial"/>
      <w:i/>
      <w:iCs/>
      <w:color w:val="000000"/>
      <w:sz w:val="24"/>
      <w:szCs w:val="24"/>
    </w:rPr>
  </w:style>
  <w:style w:type="character" w:customStyle="1" w:styleId="legtitle1">
    <w:name w:val="legtitle1"/>
    <w:rsid w:val="00D90A40"/>
    <w:rPr>
      <w:rFonts w:ascii="Arial" w:hAnsi="Arial" w:cs="Arial" w:hint="default"/>
      <w:b/>
      <w:bCs/>
      <w:color w:val="10418E"/>
      <w:sz w:val="40"/>
      <w:szCs w:val="40"/>
    </w:rPr>
  </w:style>
  <w:style w:type="character" w:customStyle="1" w:styleId="style71">
    <w:name w:val="style71"/>
    <w:rsid w:val="00D90A40"/>
    <w:rPr>
      <w:rFonts w:ascii="Georgia" w:hAnsi="Georgia" w:hint="default"/>
    </w:rPr>
  </w:style>
  <w:style w:type="paragraph" w:styleId="Revision">
    <w:name w:val="Revision"/>
    <w:hidden/>
    <w:uiPriority w:val="99"/>
    <w:semiHidden/>
    <w:rsid w:val="00D90A40"/>
    <w:rPr>
      <w:rFonts w:ascii="Arial" w:eastAsia="MS Mincho" w:hAnsi="Arial"/>
      <w:sz w:val="24"/>
      <w:szCs w:val="24"/>
    </w:rPr>
  </w:style>
  <w:style w:type="character" w:customStyle="1" w:styleId="st">
    <w:name w:val="st"/>
    <w:rsid w:val="00F8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External%20Projects\Strategic%20Advocacy%20SOSGI%2012.13\Data%20Collection\Submission\AHRC%20sub%20to%20ABS%20re%20Sex%20Standard.docx"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bs.gov.au/websitedbs/D3310114.nsf/home/Review+of+the+Sex+Standard" TargetMode="External"/><Relationship Id="rId2" Type="http://schemas.openxmlformats.org/officeDocument/2006/relationships/hyperlink" Target="http://www.lgbthealth.org.au/data" TargetMode="External"/><Relationship Id="rId1" Type="http://schemas.openxmlformats.org/officeDocument/2006/relationships/hyperlink" Target="http://www.humanrights.gov.au/human_rights/lgbti/lgbticonsult/index.html" TargetMode="External"/><Relationship Id="rId6" Type="http://schemas.openxmlformats.org/officeDocument/2006/relationships/hyperlink" Target="http://www.abs.gov.au/ausstats/abs@.nsf/Latestproducts/702BBC3495950293CA257A4B0083B186?opendocument" TargetMode="External"/><Relationship Id="rId5" Type="http://schemas.openxmlformats.org/officeDocument/2006/relationships/hyperlink" Target="http://www.humanrights.gov.au/human_rights/lgbti/lgbticonsult/index.html" TargetMode="External"/><Relationship Id="rId4" Type="http://schemas.openxmlformats.org/officeDocument/2006/relationships/hyperlink" Target="http://www.humanrights.gov.au/genderdiversity/sex_files2009.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2019</Words>
  <Characters>11831</Characters>
  <Application>Microsoft Office Word</Application>
  <DocSecurity>0</DocSecurity>
  <Lines>98</Lines>
  <Paragraphs>27</Paragraphs>
  <ScaleCrop>false</ScaleCrop>
  <Company/>
  <LinksUpToDate>false</LinksUpToDate>
  <CharactersWithSpaces>13823</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2013-03-27T06:42:00Z</dcterms:created>
  <dcterms:modified xsi:type="dcterms:W3CDTF">2013-03-27T06:42:00Z</dcterms:modified>
</cp:coreProperties>
</file>